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643F4" w14:textId="77777777" w:rsidR="00A13FF9" w:rsidRDefault="00A13FF9" w:rsidP="00A13FF9">
      <w:pPr>
        <w:tabs>
          <w:tab w:val="center" w:pos="4680"/>
          <w:tab w:val="left" w:pos="7512"/>
        </w:tabs>
        <w:spacing w:before="2400"/>
        <w:jc w:val="center"/>
        <w:rPr>
          <w:b/>
          <w:sz w:val="36"/>
          <w:szCs w:val="36"/>
        </w:rPr>
      </w:pPr>
      <w:r>
        <w:rPr>
          <w:b/>
          <w:sz w:val="36"/>
          <w:szCs w:val="36"/>
        </w:rPr>
        <w:t>ERCOT Nodal Protocols</w:t>
      </w:r>
    </w:p>
    <w:p w14:paraId="36D9B425" w14:textId="77777777" w:rsidR="00A13FF9" w:rsidRDefault="00A13FF9" w:rsidP="00A13FF9">
      <w:pPr>
        <w:jc w:val="center"/>
        <w:rPr>
          <w:b/>
          <w:sz w:val="36"/>
          <w:szCs w:val="36"/>
        </w:rPr>
      </w:pPr>
    </w:p>
    <w:p w14:paraId="58E0B460" w14:textId="77777777" w:rsidR="00A13FF9" w:rsidRDefault="00A13FF9" w:rsidP="00A13FF9">
      <w:pPr>
        <w:jc w:val="center"/>
        <w:rPr>
          <w:b/>
          <w:sz w:val="36"/>
          <w:szCs w:val="36"/>
        </w:rPr>
      </w:pPr>
      <w:r>
        <w:rPr>
          <w:b/>
          <w:sz w:val="36"/>
          <w:szCs w:val="36"/>
        </w:rPr>
        <w:t xml:space="preserve">Section 6:  Adjustment Period and Real-Time Operations  </w:t>
      </w:r>
    </w:p>
    <w:p w14:paraId="3F74A4E9" w14:textId="77777777" w:rsidR="00A13FF9" w:rsidRDefault="00A13FF9" w:rsidP="00A13FF9">
      <w:pPr>
        <w:pStyle w:val="BodyText"/>
        <w:jc w:val="center"/>
        <w:rPr>
          <w:b/>
          <w:szCs w:val="24"/>
        </w:rPr>
      </w:pPr>
    </w:p>
    <w:p w14:paraId="78E756E8" w14:textId="77777777" w:rsidR="00A13FF9" w:rsidRDefault="00A13FF9" w:rsidP="00A13FF9">
      <w:pPr>
        <w:pStyle w:val="BodyText"/>
        <w:jc w:val="center"/>
        <w:rPr>
          <w:b/>
          <w:szCs w:val="24"/>
        </w:rPr>
      </w:pPr>
    </w:p>
    <w:p w14:paraId="5DFE016F" w14:textId="3ED35437" w:rsidR="00A13FF9" w:rsidRDefault="007763BA" w:rsidP="00A13FF9">
      <w:pPr>
        <w:pStyle w:val="BodyText"/>
        <w:jc w:val="center"/>
        <w:rPr>
          <w:b/>
          <w:szCs w:val="24"/>
        </w:rPr>
      </w:pPr>
      <w:r>
        <w:rPr>
          <w:b/>
          <w:szCs w:val="24"/>
        </w:rPr>
        <w:t>August</w:t>
      </w:r>
      <w:r w:rsidR="00AD58D8">
        <w:rPr>
          <w:b/>
          <w:szCs w:val="24"/>
        </w:rPr>
        <w:t xml:space="preserve"> </w:t>
      </w:r>
      <w:r w:rsidR="00072829">
        <w:rPr>
          <w:b/>
          <w:szCs w:val="24"/>
        </w:rPr>
        <w:t>1</w:t>
      </w:r>
      <w:r w:rsidR="00A13FF9">
        <w:rPr>
          <w:b/>
          <w:szCs w:val="24"/>
        </w:rPr>
        <w:t>, 20</w:t>
      </w:r>
      <w:r w:rsidR="00ED4C7D">
        <w:rPr>
          <w:b/>
          <w:szCs w:val="24"/>
        </w:rPr>
        <w:t>2</w:t>
      </w:r>
      <w:r w:rsidR="0070447C">
        <w:rPr>
          <w:b/>
          <w:szCs w:val="24"/>
        </w:rPr>
        <w:t>5</w:t>
      </w:r>
      <w:r w:rsidR="00735A77">
        <w:rPr>
          <w:b/>
          <w:szCs w:val="24"/>
        </w:rPr>
        <w:t xml:space="preserve"> </w:t>
      </w:r>
    </w:p>
    <w:p w14:paraId="7489E29A" w14:textId="77777777" w:rsidR="00A13FF9" w:rsidRDefault="00A13FF9" w:rsidP="00A13FF9">
      <w:pPr>
        <w:tabs>
          <w:tab w:val="left" w:pos="675"/>
        </w:tabs>
        <w:spacing w:before="360"/>
        <w:rPr>
          <w:b/>
          <w:bCs/>
          <w:i/>
          <w:iCs/>
        </w:rPr>
      </w:pPr>
    </w:p>
    <w:p w14:paraId="68C721A2" w14:textId="77777777" w:rsidR="00A13FF9" w:rsidRDefault="00A13FF9" w:rsidP="00A13FF9">
      <w:pPr>
        <w:pBdr>
          <w:top w:val="single" w:sz="4" w:space="1" w:color="auto"/>
        </w:pBdr>
      </w:pPr>
    </w:p>
    <w:p w14:paraId="3A622F13" w14:textId="77777777" w:rsidR="00A13FF9" w:rsidRDefault="00A13FF9" w:rsidP="00A13FF9">
      <w:pPr>
        <w:pBdr>
          <w:top w:val="single" w:sz="4" w:space="1" w:color="auto"/>
        </w:pBdr>
        <w:sectPr w:rsidR="00A13FF9" w:rsidSect="0011669A">
          <w:headerReference w:type="default" r:id="rId8"/>
          <w:footerReference w:type="even" r:id="rId9"/>
          <w:footerReference w:type="default" r:id="rId10"/>
          <w:pgSz w:w="12240" w:h="15840" w:code="1"/>
          <w:pgMar w:top="1440" w:right="1440" w:bottom="1440" w:left="1440" w:header="720" w:footer="720" w:gutter="0"/>
          <w:pgNumType w:start="1"/>
          <w:cols w:space="720"/>
        </w:sectPr>
      </w:pPr>
    </w:p>
    <w:p w14:paraId="2A4CE9E6" w14:textId="69930C1D" w:rsidR="00494238" w:rsidRDefault="00A1378D">
      <w:pPr>
        <w:pStyle w:val="TOC1"/>
        <w:rPr>
          <w:rFonts w:asciiTheme="minorHAnsi" w:eastAsiaTheme="minorEastAsia" w:hAnsiTheme="minorHAnsi" w:cstheme="minorBidi"/>
          <w:b w:val="0"/>
          <w:bCs w:val="0"/>
          <w:kern w:val="2"/>
          <w:szCs w:val="24"/>
          <w14:ligatures w14:val="standardContextual"/>
        </w:rPr>
      </w:pPr>
      <w:r w:rsidRPr="001E4447">
        <w:rPr>
          <w:sz w:val="20"/>
        </w:rPr>
        <w:lastRenderedPageBreak/>
        <w:fldChar w:fldCharType="begin"/>
      </w:r>
      <w:r w:rsidR="00A13FF9" w:rsidRPr="001E4447">
        <w:rPr>
          <w:sz w:val="20"/>
        </w:rPr>
        <w:instrText xml:space="preserve"> TOC \o "1-5" \h \z \u </w:instrText>
      </w:r>
      <w:r w:rsidRPr="001E4447">
        <w:rPr>
          <w:sz w:val="20"/>
        </w:rPr>
        <w:fldChar w:fldCharType="separate"/>
      </w:r>
      <w:hyperlink w:anchor="_Toc204411532" w:history="1">
        <w:r w:rsidR="00494238" w:rsidRPr="00FA1811">
          <w:rPr>
            <w:rStyle w:val="Hyperlink"/>
          </w:rPr>
          <w:t>6</w:t>
        </w:r>
        <w:r w:rsidR="00494238">
          <w:rPr>
            <w:rFonts w:asciiTheme="minorHAnsi" w:eastAsiaTheme="minorEastAsia" w:hAnsiTheme="minorHAnsi" w:cstheme="minorBidi"/>
            <w:b w:val="0"/>
            <w:bCs w:val="0"/>
            <w:kern w:val="2"/>
            <w:szCs w:val="24"/>
            <w14:ligatures w14:val="standardContextual"/>
          </w:rPr>
          <w:tab/>
        </w:r>
        <w:r w:rsidR="00494238" w:rsidRPr="00FA1811">
          <w:rPr>
            <w:rStyle w:val="Hyperlink"/>
          </w:rPr>
          <w:t>Adjustment Period and Real-Time Operations</w:t>
        </w:r>
        <w:r w:rsidR="00494238">
          <w:rPr>
            <w:webHidden/>
          </w:rPr>
          <w:tab/>
        </w:r>
        <w:r w:rsidR="00494238">
          <w:rPr>
            <w:webHidden/>
          </w:rPr>
          <w:fldChar w:fldCharType="begin"/>
        </w:r>
        <w:r w:rsidR="00494238">
          <w:rPr>
            <w:webHidden/>
          </w:rPr>
          <w:instrText xml:space="preserve"> PAGEREF _Toc204411532 \h </w:instrText>
        </w:r>
        <w:r w:rsidR="00494238">
          <w:rPr>
            <w:webHidden/>
          </w:rPr>
        </w:r>
        <w:r w:rsidR="00494238">
          <w:rPr>
            <w:webHidden/>
          </w:rPr>
          <w:fldChar w:fldCharType="separate"/>
        </w:r>
        <w:r w:rsidR="00494238">
          <w:rPr>
            <w:webHidden/>
          </w:rPr>
          <w:t>6-1</w:t>
        </w:r>
        <w:r w:rsidR="00494238">
          <w:rPr>
            <w:webHidden/>
          </w:rPr>
          <w:fldChar w:fldCharType="end"/>
        </w:r>
      </w:hyperlink>
    </w:p>
    <w:p w14:paraId="63B5E89B" w14:textId="6AC8547D" w:rsidR="00494238" w:rsidRPr="00494238" w:rsidRDefault="00494238">
      <w:pPr>
        <w:pStyle w:val="TOC2"/>
        <w:rPr>
          <w:rFonts w:eastAsiaTheme="minorEastAsia"/>
          <w:noProof/>
          <w:kern w:val="2"/>
          <w14:ligatures w14:val="standardContextual"/>
        </w:rPr>
      </w:pPr>
      <w:hyperlink w:anchor="_Toc204411533" w:history="1">
        <w:r w:rsidRPr="00494238">
          <w:rPr>
            <w:rStyle w:val="Hyperlink"/>
            <w:noProof/>
          </w:rPr>
          <w:t>6.1</w:t>
        </w:r>
        <w:r w:rsidRPr="00494238">
          <w:rPr>
            <w:rFonts w:eastAsiaTheme="minorEastAsia"/>
            <w:noProof/>
            <w:kern w:val="2"/>
            <w14:ligatures w14:val="standardContextual"/>
          </w:rPr>
          <w:tab/>
        </w:r>
        <w:r w:rsidRPr="00494238">
          <w:rPr>
            <w:rStyle w:val="Hyperlink"/>
            <w:noProof/>
          </w:rPr>
          <w:t>Introduction</w:t>
        </w:r>
        <w:r w:rsidRPr="00494238">
          <w:rPr>
            <w:noProof/>
            <w:webHidden/>
          </w:rPr>
          <w:tab/>
        </w:r>
        <w:r w:rsidRPr="00494238">
          <w:rPr>
            <w:noProof/>
            <w:webHidden/>
          </w:rPr>
          <w:fldChar w:fldCharType="begin"/>
        </w:r>
        <w:r w:rsidRPr="00494238">
          <w:rPr>
            <w:noProof/>
            <w:webHidden/>
          </w:rPr>
          <w:instrText xml:space="preserve"> PAGEREF _Toc204411533 \h </w:instrText>
        </w:r>
        <w:r w:rsidRPr="00494238">
          <w:rPr>
            <w:noProof/>
            <w:webHidden/>
          </w:rPr>
        </w:r>
        <w:r w:rsidRPr="00494238">
          <w:rPr>
            <w:noProof/>
            <w:webHidden/>
          </w:rPr>
          <w:fldChar w:fldCharType="separate"/>
        </w:r>
        <w:r w:rsidRPr="00494238">
          <w:rPr>
            <w:noProof/>
            <w:webHidden/>
          </w:rPr>
          <w:t>6-1</w:t>
        </w:r>
        <w:r w:rsidRPr="00494238">
          <w:rPr>
            <w:noProof/>
            <w:webHidden/>
          </w:rPr>
          <w:fldChar w:fldCharType="end"/>
        </w:r>
      </w:hyperlink>
    </w:p>
    <w:p w14:paraId="54A96A29" w14:textId="0F79F84F" w:rsidR="00494238" w:rsidRPr="00494238" w:rsidRDefault="00494238">
      <w:pPr>
        <w:pStyle w:val="TOC2"/>
        <w:rPr>
          <w:rFonts w:eastAsiaTheme="minorEastAsia"/>
          <w:noProof/>
          <w:kern w:val="2"/>
          <w14:ligatures w14:val="standardContextual"/>
        </w:rPr>
      </w:pPr>
      <w:hyperlink w:anchor="_Toc204411534" w:history="1">
        <w:r w:rsidRPr="00494238">
          <w:rPr>
            <w:rStyle w:val="Hyperlink"/>
            <w:noProof/>
          </w:rPr>
          <w:t>6.2</w:t>
        </w:r>
        <w:r w:rsidRPr="00494238">
          <w:rPr>
            <w:rFonts w:eastAsiaTheme="minorEastAsia"/>
            <w:noProof/>
            <w:kern w:val="2"/>
            <w14:ligatures w14:val="standardContextual"/>
          </w:rPr>
          <w:tab/>
        </w:r>
        <w:r w:rsidRPr="00494238">
          <w:rPr>
            <w:rStyle w:val="Hyperlink"/>
            <w:noProof/>
          </w:rPr>
          <w:t>Market Timeline Summary</w:t>
        </w:r>
        <w:r w:rsidRPr="00494238">
          <w:rPr>
            <w:noProof/>
            <w:webHidden/>
          </w:rPr>
          <w:tab/>
        </w:r>
        <w:r w:rsidRPr="00494238">
          <w:rPr>
            <w:noProof/>
            <w:webHidden/>
          </w:rPr>
          <w:fldChar w:fldCharType="begin"/>
        </w:r>
        <w:r w:rsidRPr="00494238">
          <w:rPr>
            <w:noProof/>
            <w:webHidden/>
          </w:rPr>
          <w:instrText xml:space="preserve"> PAGEREF _Toc204411534 \h </w:instrText>
        </w:r>
        <w:r w:rsidRPr="00494238">
          <w:rPr>
            <w:noProof/>
            <w:webHidden/>
          </w:rPr>
        </w:r>
        <w:r w:rsidRPr="00494238">
          <w:rPr>
            <w:noProof/>
            <w:webHidden/>
          </w:rPr>
          <w:fldChar w:fldCharType="separate"/>
        </w:r>
        <w:r w:rsidRPr="00494238">
          <w:rPr>
            <w:noProof/>
            <w:webHidden/>
          </w:rPr>
          <w:t>6-2</w:t>
        </w:r>
        <w:r w:rsidRPr="00494238">
          <w:rPr>
            <w:noProof/>
            <w:webHidden/>
          </w:rPr>
          <w:fldChar w:fldCharType="end"/>
        </w:r>
      </w:hyperlink>
    </w:p>
    <w:p w14:paraId="025A774C" w14:textId="54E1ECA9" w:rsidR="00494238" w:rsidRPr="00494238" w:rsidRDefault="00494238">
      <w:pPr>
        <w:pStyle w:val="TOC2"/>
        <w:rPr>
          <w:rFonts w:eastAsiaTheme="minorEastAsia"/>
          <w:noProof/>
          <w:kern w:val="2"/>
          <w14:ligatures w14:val="standardContextual"/>
        </w:rPr>
      </w:pPr>
      <w:hyperlink w:anchor="_Toc204411535" w:history="1">
        <w:r w:rsidRPr="00494238">
          <w:rPr>
            <w:rStyle w:val="Hyperlink"/>
            <w:noProof/>
          </w:rPr>
          <w:t>6.3</w:t>
        </w:r>
        <w:r w:rsidRPr="00494238">
          <w:rPr>
            <w:rFonts w:eastAsiaTheme="minorEastAsia"/>
            <w:noProof/>
            <w:kern w:val="2"/>
            <w14:ligatures w14:val="standardContextual"/>
          </w:rPr>
          <w:tab/>
        </w:r>
        <w:r w:rsidRPr="00494238">
          <w:rPr>
            <w:rStyle w:val="Hyperlink"/>
            <w:noProof/>
          </w:rPr>
          <w:t>Adjustment Period and Real-Time Operations Timeline</w:t>
        </w:r>
        <w:r w:rsidRPr="00494238">
          <w:rPr>
            <w:noProof/>
            <w:webHidden/>
          </w:rPr>
          <w:tab/>
        </w:r>
        <w:r w:rsidRPr="00494238">
          <w:rPr>
            <w:noProof/>
            <w:webHidden/>
          </w:rPr>
          <w:fldChar w:fldCharType="begin"/>
        </w:r>
        <w:r w:rsidRPr="00494238">
          <w:rPr>
            <w:noProof/>
            <w:webHidden/>
          </w:rPr>
          <w:instrText xml:space="preserve"> PAGEREF _Toc204411535 \h </w:instrText>
        </w:r>
        <w:r w:rsidRPr="00494238">
          <w:rPr>
            <w:noProof/>
            <w:webHidden/>
          </w:rPr>
        </w:r>
        <w:r w:rsidRPr="00494238">
          <w:rPr>
            <w:noProof/>
            <w:webHidden/>
          </w:rPr>
          <w:fldChar w:fldCharType="separate"/>
        </w:r>
        <w:r w:rsidRPr="00494238">
          <w:rPr>
            <w:noProof/>
            <w:webHidden/>
          </w:rPr>
          <w:t>6-3</w:t>
        </w:r>
        <w:r w:rsidRPr="00494238">
          <w:rPr>
            <w:noProof/>
            <w:webHidden/>
          </w:rPr>
          <w:fldChar w:fldCharType="end"/>
        </w:r>
      </w:hyperlink>
    </w:p>
    <w:p w14:paraId="639F4E43" w14:textId="2AB8AC82" w:rsidR="00494238" w:rsidRPr="00494238" w:rsidRDefault="00494238">
      <w:pPr>
        <w:pStyle w:val="TOC2"/>
        <w:rPr>
          <w:rFonts w:eastAsiaTheme="minorEastAsia"/>
          <w:noProof/>
          <w:kern w:val="2"/>
          <w14:ligatures w14:val="standardContextual"/>
        </w:rPr>
      </w:pPr>
      <w:hyperlink w:anchor="_Toc204411536" w:history="1">
        <w:r w:rsidRPr="00494238">
          <w:rPr>
            <w:rStyle w:val="Hyperlink"/>
            <w:noProof/>
          </w:rPr>
          <w:t>6.3</w:t>
        </w:r>
        <w:r w:rsidRPr="00494238">
          <w:rPr>
            <w:rFonts w:eastAsiaTheme="minorEastAsia"/>
            <w:noProof/>
            <w:kern w:val="2"/>
            <w14:ligatures w14:val="standardContextual"/>
          </w:rPr>
          <w:tab/>
        </w:r>
        <w:r w:rsidRPr="00494238">
          <w:rPr>
            <w:rStyle w:val="Hyperlink"/>
            <w:noProof/>
          </w:rPr>
          <w:t>Adjustment Period and Real-Time Operations Timeline</w:t>
        </w:r>
        <w:r w:rsidRPr="00494238">
          <w:rPr>
            <w:noProof/>
            <w:webHidden/>
          </w:rPr>
          <w:tab/>
        </w:r>
        <w:r w:rsidRPr="00494238">
          <w:rPr>
            <w:noProof/>
            <w:webHidden/>
          </w:rPr>
          <w:fldChar w:fldCharType="begin"/>
        </w:r>
        <w:r w:rsidRPr="00494238">
          <w:rPr>
            <w:noProof/>
            <w:webHidden/>
          </w:rPr>
          <w:instrText xml:space="preserve"> PAGEREF _Toc204411536 \h </w:instrText>
        </w:r>
        <w:r w:rsidRPr="00494238">
          <w:rPr>
            <w:noProof/>
            <w:webHidden/>
          </w:rPr>
        </w:r>
        <w:r w:rsidRPr="00494238">
          <w:rPr>
            <w:noProof/>
            <w:webHidden/>
          </w:rPr>
          <w:fldChar w:fldCharType="separate"/>
        </w:r>
        <w:r w:rsidRPr="00494238">
          <w:rPr>
            <w:noProof/>
            <w:webHidden/>
          </w:rPr>
          <w:t>6-7</w:t>
        </w:r>
        <w:r w:rsidRPr="00494238">
          <w:rPr>
            <w:noProof/>
            <w:webHidden/>
          </w:rPr>
          <w:fldChar w:fldCharType="end"/>
        </w:r>
      </w:hyperlink>
    </w:p>
    <w:p w14:paraId="718A4E42" w14:textId="773C584B" w:rsidR="00494238" w:rsidRPr="00494238" w:rsidRDefault="00494238">
      <w:pPr>
        <w:pStyle w:val="TOC3"/>
        <w:rPr>
          <w:rFonts w:eastAsiaTheme="minorEastAsia"/>
          <w:i w:val="0"/>
          <w:iCs w:val="0"/>
          <w:kern w:val="2"/>
          <w14:ligatures w14:val="standardContextual"/>
        </w:rPr>
      </w:pPr>
      <w:hyperlink w:anchor="_Toc204411537" w:history="1">
        <w:r w:rsidRPr="00494238">
          <w:rPr>
            <w:rStyle w:val="Hyperlink"/>
            <w:i w:val="0"/>
            <w:iCs w:val="0"/>
          </w:rPr>
          <w:t>6.3.1</w:t>
        </w:r>
        <w:r w:rsidRPr="00494238">
          <w:rPr>
            <w:rFonts w:eastAsiaTheme="minorEastAsia"/>
            <w:i w:val="0"/>
            <w:iCs w:val="0"/>
            <w:kern w:val="2"/>
            <w14:ligatures w14:val="standardContextual"/>
          </w:rPr>
          <w:tab/>
        </w:r>
        <w:r w:rsidRPr="00494238">
          <w:rPr>
            <w:rStyle w:val="Hyperlink"/>
            <w:i w:val="0"/>
            <w:iCs w:val="0"/>
          </w:rPr>
          <w:t>Activities for the Adjustment Period</w:t>
        </w:r>
        <w:r w:rsidRPr="00494238">
          <w:rPr>
            <w:i w:val="0"/>
            <w:iCs w:val="0"/>
            <w:webHidden/>
          </w:rPr>
          <w:tab/>
        </w:r>
        <w:r w:rsidRPr="00494238">
          <w:rPr>
            <w:i w:val="0"/>
            <w:iCs w:val="0"/>
            <w:webHidden/>
          </w:rPr>
          <w:fldChar w:fldCharType="begin"/>
        </w:r>
        <w:r w:rsidRPr="00494238">
          <w:rPr>
            <w:i w:val="0"/>
            <w:iCs w:val="0"/>
            <w:webHidden/>
          </w:rPr>
          <w:instrText xml:space="preserve"> PAGEREF _Toc204411537 \h </w:instrText>
        </w:r>
        <w:r w:rsidRPr="00494238">
          <w:rPr>
            <w:i w:val="0"/>
            <w:iCs w:val="0"/>
            <w:webHidden/>
          </w:rPr>
        </w:r>
        <w:r w:rsidRPr="00494238">
          <w:rPr>
            <w:i w:val="0"/>
            <w:iCs w:val="0"/>
            <w:webHidden/>
          </w:rPr>
          <w:fldChar w:fldCharType="separate"/>
        </w:r>
        <w:r w:rsidRPr="00494238">
          <w:rPr>
            <w:i w:val="0"/>
            <w:iCs w:val="0"/>
            <w:webHidden/>
          </w:rPr>
          <w:t>6-11</w:t>
        </w:r>
        <w:r w:rsidRPr="00494238">
          <w:rPr>
            <w:i w:val="0"/>
            <w:iCs w:val="0"/>
            <w:webHidden/>
          </w:rPr>
          <w:fldChar w:fldCharType="end"/>
        </w:r>
      </w:hyperlink>
    </w:p>
    <w:p w14:paraId="61E93CBA" w14:textId="603F03EB" w:rsidR="00494238" w:rsidRPr="00494238" w:rsidRDefault="00494238">
      <w:pPr>
        <w:pStyle w:val="TOC3"/>
        <w:rPr>
          <w:rFonts w:eastAsiaTheme="minorEastAsia"/>
          <w:i w:val="0"/>
          <w:iCs w:val="0"/>
          <w:kern w:val="2"/>
          <w14:ligatures w14:val="standardContextual"/>
        </w:rPr>
      </w:pPr>
      <w:hyperlink w:anchor="_Toc204411538" w:history="1">
        <w:r w:rsidRPr="00494238">
          <w:rPr>
            <w:rStyle w:val="Hyperlink"/>
            <w:i w:val="0"/>
            <w:iCs w:val="0"/>
          </w:rPr>
          <w:t>6.3.2</w:t>
        </w:r>
        <w:r w:rsidRPr="00494238">
          <w:rPr>
            <w:rFonts w:eastAsiaTheme="minorEastAsia"/>
            <w:i w:val="0"/>
            <w:iCs w:val="0"/>
            <w:kern w:val="2"/>
            <w14:ligatures w14:val="standardContextual"/>
          </w:rPr>
          <w:tab/>
        </w:r>
        <w:r w:rsidRPr="00494238">
          <w:rPr>
            <w:rStyle w:val="Hyperlink"/>
            <w:i w:val="0"/>
            <w:iCs w:val="0"/>
          </w:rPr>
          <w:t>Activities for Real-Time Operations</w:t>
        </w:r>
        <w:r w:rsidRPr="00494238">
          <w:rPr>
            <w:i w:val="0"/>
            <w:iCs w:val="0"/>
            <w:webHidden/>
          </w:rPr>
          <w:tab/>
        </w:r>
        <w:r w:rsidRPr="00494238">
          <w:rPr>
            <w:i w:val="0"/>
            <w:iCs w:val="0"/>
            <w:webHidden/>
          </w:rPr>
          <w:fldChar w:fldCharType="begin"/>
        </w:r>
        <w:r w:rsidRPr="00494238">
          <w:rPr>
            <w:i w:val="0"/>
            <w:iCs w:val="0"/>
            <w:webHidden/>
          </w:rPr>
          <w:instrText xml:space="preserve"> PAGEREF _Toc204411538 \h </w:instrText>
        </w:r>
        <w:r w:rsidRPr="00494238">
          <w:rPr>
            <w:i w:val="0"/>
            <w:iCs w:val="0"/>
            <w:webHidden/>
          </w:rPr>
        </w:r>
        <w:r w:rsidRPr="00494238">
          <w:rPr>
            <w:i w:val="0"/>
            <w:iCs w:val="0"/>
            <w:webHidden/>
          </w:rPr>
          <w:fldChar w:fldCharType="separate"/>
        </w:r>
        <w:r w:rsidRPr="00494238">
          <w:rPr>
            <w:i w:val="0"/>
            <w:iCs w:val="0"/>
            <w:webHidden/>
          </w:rPr>
          <w:t>6-13</w:t>
        </w:r>
        <w:r w:rsidRPr="00494238">
          <w:rPr>
            <w:i w:val="0"/>
            <w:iCs w:val="0"/>
            <w:webHidden/>
          </w:rPr>
          <w:fldChar w:fldCharType="end"/>
        </w:r>
      </w:hyperlink>
    </w:p>
    <w:p w14:paraId="4BCB840F" w14:textId="73D5395C" w:rsidR="00494238" w:rsidRPr="00494238" w:rsidRDefault="00494238">
      <w:pPr>
        <w:pStyle w:val="TOC3"/>
        <w:rPr>
          <w:rFonts w:eastAsiaTheme="minorEastAsia"/>
          <w:i w:val="0"/>
          <w:iCs w:val="0"/>
          <w:kern w:val="2"/>
          <w14:ligatures w14:val="standardContextual"/>
        </w:rPr>
      </w:pPr>
      <w:hyperlink w:anchor="_Toc204411539" w:history="1">
        <w:r w:rsidRPr="00494238">
          <w:rPr>
            <w:rStyle w:val="Hyperlink"/>
            <w:i w:val="0"/>
            <w:iCs w:val="0"/>
          </w:rPr>
          <w:t>6.3.3</w:t>
        </w:r>
        <w:r w:rsidRPr="00494238">
          <w:rPr>
            <w:rFonts w:eastAsiaTheme="minorEastAsia"/>
            <w:i w:val="0"/>
            <w:iCs w:val="0"/>
            <w:kern w:val="2"/>
            <w14:ligatures w14:val="standardContextual"/>
          </w:rPr>
          <w:tab/>
        </w:r>
        <w:r w:rsidRPr="00494238">
          <w:rPr>
            <w:rStyle w:val="Hyperlink"/>
            <w:i w:val="0"/>
            <w:iCs w:val="0"/>
          </w:rPr>
          <w:t>Real-Time Timeline Deviations</w:t>
        </w:r>
        <w:r w:rsidRPr="00494238">
          <w:rPr>
            <w:i w:val="0"/>
            <w:iCs w:val="0"/>
            <w:webHidden/>
          </w:rPr>
          <w:tab/>
        </w:r>
        <w:r w:rsidRPr="00494238">
          <w:rPr>
            <w:i w:val="0"/>
            <w:iCs w:val="0"/>
            <w:webHidden/>
          </w:rPr>
          <w:fldChar w:fldCharType="begin"/>
        </w:r>
        <w:r w:rsidRPr="00494238">
          <w:rPr>
            <w:i w:val="0"/>
            <w:iCs w:val="0"/>
            <w:webHidden/>
          </w:rPr>
          <w:instrText xml:space="preserve"> PAGEREF _Toc204411539 \h </w:instrText>
        </w:r>
        <w:r w:rsidRPr="00494238">
          <w:rPr>
            <w:i w:val="0"/>
            <w:iCs w:val="0"/>
            <w:webHidden/>
          </w:rPr>
        </w:r>
        <w:r w:rsidRPr="00494238">
          <w:rPr>
            <w:i w:val="0"/>
            <w:iCs w:val="0"/>
            <w:webHidden/>
          </w:rPr>
          <w:fldChar w:fldCharType="separate"/>
        </w:r>
        <w:r w:rsidRPr="00494238">
          <w:rPr>
            <w:i w:val="0"/>
            <w:iCs w:val="0"/>
            <w:webHidden/>
          </w:rPr>
          <w:t>6-22</w:t>
        </w:r>
        <w:r w:rsidRPr="00494238">
          <w:rPr>
            <w:i w:val="0"/>
            <w:iCs w:val="0"/>
            <w:webHidden/>
          </w:rPr>
          <w:fldChar w:fldCharType="end"/>
        </w:r>
      </w:hyperlink>
    </w:p>
    <w:p w14:paraId="59962125" w14:textId="52E10A1D" w:rsidR="00494238" w:rsidRPr="00494238" w:rsidRDefault="00494238">
      <w:pPr>
        <w:pStyle w:val="TOC3"/>
        <w:rPr>
          <w:rFonts w:eastAsiaTheme="minorEastAsia"/>
          <w:i w:val="0"/>
          <w:iCs w:val="0"/>
          <w:kern w:val="2"/>
          <w14:ligatures w14:val="standardContextual"/>
        </w:rPr>
      </w:pPr>
      <w:hyperlink w:anchor="_Toc204411540" w:history="1">
        <w:r w:rsidRPr="00494238">
          <w:rPr>
            <w:rStyle w:val="Hyperlink"/>
            <w:i w:val="0"/>
            <w:iCs w:val="0"/>
          </w:rPr>
          <w:t>6.3.4</w:t>
        </w:r>
        <w:r w:rsidRPr="00494238">
          <w:rPr>
            <w:rFonts w:eastAsiaTheme="minorEastAsia"/>
            <w:i w:val="0"/>
            <w:iCs w:val="0"/>
            <w:kern w:val="2"/>
            <w14:ligatures w14:val="standardContextual"/>
          </w:rPr>
          <w:tab/>
        </w:r>
        <w:r w:rsidRPr="00494238">
          <w:rPr>
            <w:rStyle w:val="Hyperlink"/>
            <w:i w:val="0"/>
            <w:iCs w:val="0"/>
          </w:rPr>
          <w:t>ERCOT Notification of Validation Rules for Real-Time</w:t>
        </w:r>
        <w:r w:rsidRPr="00494238">
          <w:rPr>
            <w:i w:val="0"/>
            <w:iCs w:val="0"/>
            <w:webHidden/>
          </w:rPr>
          <w:tab/>
        </w:r>
        <w:r w:rsidRPr="00494238">
          <w:rPr>
            <w:i w:val="0"/>
            <w:iCs w:val="0"/>
            <w:webHidden/>
          </w:rPr>
          <w:fldChar w:fldCharType="begin"/>
        </w:r>
        <w:r w:rsidRPr="00494238">
          <w:rPr>
            <w:i w:val="0"/>
            <w:iCs w:val="0"/>
            <w:webHidden/>
          </w:rPr>
          <w:instrText xml:space="preserve"> PAGEREF _Toc204411540 \h </w:instrText>
        </w:r>
        <w:r w:rsidRPr="00494238">
          <w:rPr>
            <w:i w:val="0"/>
            <w:iCs w:val="0"/>
            <w:webHidden/>
          </w:rPr>
        </w:r>
        <w:r w:rsidRPr="00494238">
          <w:rPr>
            <w:i w:val="0"/>
            <w:iCs w:val="0"/>
            <w:webHidden/>
          </w:rPr>
          <w:fldChar w:fldCharType="separate"/>
        </w:r>
        <w:r w:rsidRPr="00494238">
          <w:rPr>
            <w:i w:val="0"/>
            <w:iCs w:val="0"/>
            <w:webHidden/>
          </w:rPr>
          <w:t>6-22</w:t>
        </w:r>
        <w:r w:rsidRPr="00494238">
          <w:rPr>
            <w:i w:val="0"/>
            <w:iCs w:val="0"/>
            <w:webHidden/>
          </w:rPr>
          <w:fldChar w:fldCharType="end"/>
        </w:r>
      </w:hyperlink>
    </w:p>
    <w:p w14:paraId="6F825F48" w14:textId="2943EAC9" w:rsidR="00494238" w:rsidRPr="00494238" w:rsidRDefault="00494238">
      <w:pPr>
        <w:pStyle w:val="TOC2"/>
        <w:rPr>
          <w:rFonts w:eastAsiaTheme="minorEastAsia"/>
          <w:noProof/>
          <w:kern w:val="2"/>
          <w14:ligatures w14:val="standardContextual"/>
        </w:rPr>
      </w:pPr>
      <w:hyperlink w:anchor="_Toc204411541" w:history="1">
        <w:r w:rsidRPr="00494238">
          <w:rPr>
            <w:rStyle w:val="Hyperlink"/>
            <w:noProof/>
          </w:rPr>
          <w:t>6.4</w:t>
        </w:r>
        <w:r w:rsidRPr="00494238">
          <w:rPr>
            <w:rFonts w:eastAsiaTheme="minorEastAsia"/>
            <w:noProof/>
            <w:kern w:val="2"/>
            <w14:ligatures w14:val="standardContextual"/>
          </w:rPr>
          <w:tab/>
        </w:r>
        <w:r w:rsidRPr="00494238">
          <w:rPr>
            <w:rStyle w:val="Hyperlink"/>
            <w:noProof/>
          </w:rPr>
          <w:t>Adjustment Period</w:t>
        </w:r>
        <w:r w:rsidRPr="00494238">
          <w:rPr>
            <w:noProof/>
            <w:webHidden/>
          </w:rPr>
          <w:tab/>
        </w:r>
        <w:r w:rsidRPr="00494238">
          <w:rPr>
            <w:noProof/>
            <w:webHidden/>
          </w:rPr>
          <w:fldChar w:fldCharType="begin"/>
        </w:r>
        <w:r w:rsidRPr="00494238">
          <w:rPr>
            <w:noProof/>
            <w:webHidden/>
          </w:rPr>
          <w:instrText xml:space="preserve"> PAGEREF _Toc204411541 \h </w:instrText>
        </w:r>
        <w:r w:rsidRPr="00494238">
          <w:rPr>
            <w:noProof/>
            <w:webHidden/>
          </w:rPr>
        </w:r>
        <w:r w:rsidRPr="00494238">
          <w:rPr>
            <w:noProof/>
            <w:webHidden/>
          </w:rPr>
          <w:fldChar w:fldCharType="separate"/>
        </w:r>
        <w:r w:rsidRPr="00494238">
          <w:rPr>
            <w:noProof/>
            <w:webHidden/>
          </w:rPr>
          <w:t>6-23</w:t>
        </w:r>
        <w:r w:rsidRPr="00494238">
          <w:rPr>
            <w:noProof/>
            <w:webHidden/>
          </w:rPr>
          <w:fldChar w:fldCharType="end"/>
        </w:r>
      </w:hyperlink>
    </w:p>
    <w:p w14:paraId="778E3B00" w14:textId="75B534E2" w:rsidR="00494238" w:rsidRPr="00494238" w:rsidRDefault="00494238">
      <w:pPr>
        <w:pStyle w:val="TOC3"/>
        <w:rPr>
          <w:rFonts w:eastAsiaTheme="minorEastAsia"/>
          <w:i w:val="0"/>
          <w:iCs w:val="0"/>
          <w:kern w:val="2"/>
          <w14:ligatures w14:val="standardContextual"/>
        </w:rPr>
      </w:pPr>
      <w:hyperlink w:anchor="_Toc204411542" w:history="1">
        <w:r w:rsidRPr="00494238">
          <w:rPr>
            <w:rStyle w:val="Hyperlink"/>
            <w:i w:val="0"/>
            <w:iCs w:val="0"/>
          </w:rPr>
          <w:t>6.4.1</w:t>
        </w:r>
        <w:r w:rsidRPr="00494238">
          <w:rPr>
            <w:rFonts w:eastAsiaTheme="minorEastAsia"/>
            <w:i w:val="0"/>
            <w:iCs w:val="0"/>
            <w:kern w:val="2"/>
            <w14:ligatures w14:val="standardContextual"/>
          </w:rPr>
          <w:tab/>
        </w:r>
        <w:r w:rsidRPr="00494238">
          <w:rPr>
            <w:rStyle w:val="Hyperlink"/>
            <w:i w:val="0"/>
            <w:iCs w:val="0"/>
          </w:rPr>
          <w:t>Capacity Trade, Energy Trade, Self-Schedule, and Ancillary Service Trades</w:t>
        </w:r>
        <w:r w:rsidRPr="00494238">
          <w:rPr>
            <w:i w:val="0"/>
            <w:iCs w:val="0"/>
            <w:webHidden/>
          </w:rPr>
          <w:tab/>
        </w:r>
        <w:r w:rsidRPr="00494238">
          <w:rPr>
            <w:i w:val="0"/>
            <w:iCs w:val="0"/>
            <w:webHidden/>
          </w:rPr>
          <w:fldChar w:fldCharType="begin"/>
        </w:r>
        <w:r w:rsidRPr="00494238">
          <w:rPr>
            <w:i w:val="0"/>
            <w:iCs w:val="0"/>
            <w:webHidden/>
          </w:rPr>
          <w:instrText xml:space="preserve"> PAGEREF _Toc204411542 \h </w:instrText>
        </w:r>
        <w:r w:rsidRPr="00494238">
          <w:rPr>
            <w:i w:val="0"/>
            <w:iCs w:val="0"/>
            <w:webHidden/>
          </w:rPr>
        </w:r>
        <w:r w:rsidRPr="00494238">
          <w:rPr>
            <w:i w:val="0"/>
            <w:iCs w:val="0"/>
            <w:webHidden/>
          </w:rPr>
          <w:fldChar w:fldCharType="separate"/>
        </w:r>
        <w:r w:rsidRPr="00494238">
          <w:rPr>
            <w:i w:val="0"/>
            <w:iCs w:val="0"/>
            <w:webHidden/>
          </w:rPr>
          <w:t>6-23</w:t>
        </w:r>
        <w:r w:rsidRPr="00494238">
          <w:rPr>
            <w:i w:val="0"/>
            <w:iCs w:val="0"/>
            <w:webHidden/>
          </w:rPr>
          <w:fldChar w:fldCharType="end"/>
        </w:r>
      </w:hyperlink>
    </w:p>
    <w:p w14:paraId="267A53EE" w14:textId="6C4D3838" w:rsidR="00494238" w:rsidRPr="00494238" w:rsidRDefault="00494238">
      <w:pPr>
        <w:pStyle w:val="TOC3"/>
        <w:rPr>
          <w:rFonts w:eastAsiaTheme="minorEastAsia"/>
          <w:i w:val="0"/>
          <w:iCs w:val="0"/>
          <w:kern w:val="2"/>
          <w14:ligatures w14:val="standardContextual"/>
        </w:rPr>
      </w:pPr>
      <w:hyperlink w:anchor="_Toc204411543" w:history="1">
        <w:r w:rsidRPr="00494238">
          <w:rPr>
            <w:rStyle w:val="Hyperlink"/>
            <w:i w:val="0"/>
            <w:iCs w:val="0"/>
          </w:rPr>
          <w:t>6.4.2</w:t>
        </w:r>
        <w:r w:rsidRPr="00494238">
          <w:rPr>
            <w:rFonts w:eastAsiaTheme="minorEastAsia"/>
            <w:i w:val="0"/>
            <w:iCs w:val="0"/>
            <w:kern w:val="2"/>
            <w14:ligatures w14:val="standardContextual"/>
          </w:rPr>
          <w:tab/>
        </w:r>
        <w:r w:rsidRPr="00494238">
          <w:rPr>
            <w:rStyle w:val="Hyperlink"/>
            <w:i w:val="0"/>
            <w:iCs w:val="0"/>
          </w:rPr>
          <w:t>Output Schedules</w:t>
        </w:r>
        <w:r w:rsidRPr="00494238">
          <w:rPr>
            <w:i w:val="0"/>
            <w:iCs w:val="0"/>
            <w:webHidden/>
          </w:rPr>
          <w:tab/>
        </w:r>
        <w:r w:rsidRPr="00494238">
          <w:rPr>
            <w:i w:val="0"/>
            <w:iCs w:val="0"/>
            <w:webHidden/>
          </w:rPr>
          <w:fldChar w:fldCharType="begin"/>
        </w:r>
        <w:r w:rsidRPr="00494238">
          <w:rPr>
            <w:i w:val="0"/>
            <w:iCs w:val="0"/>
            <w:webHidden/>
          </w:rPr>
          <w:instrText xml:space="preserve"> PAGEREF _Toc204411543 \h </w:instrText>
        </w:r>
        <w:r w:rsidRPr="00494238">
          <w:rPr>
            <w:i w:val="0"/>
            <w:iCs w:val="0"/>
            <w:webHidden/>
          </w:rPr>
        </w:r>
        <w:r w:rsidRPr="00494238">
          <w:rPr>
            <w:i w:val="0"/>
            <w:iCs w:val="0"/>
            <w:webHidden/>
          </w:rPr>
          <w:fldChar w:fldCharType="separate"/>
        </w:r>
        <w:r w:rsidRPr="00494238">
          <w:rPr>
            <w:i w:val="0"/>
            <w:iCs w:val="0"/>
            <w:webHidden/>
          </w:rPr>
          <w:t>6-23</w:t>
        </w:r>
        <w:r w:rsidRPr="00494238">
          <w:rPr>
            <w:i w:val="0"/>
            <w:iCs w:val="0"/>
            <w:webHidden/>
          </w:rPr>
          <w:fldChar w:fldCharType="end"/>
        </w:r>
      </w:hyperlink>
    </w:p>
    <w:p w14:paraId="3DF29EB6" w14:textId="6FC6CF0D" w:rsidR="00494238" w:rsidRPr="00494238" w:rsidRDefault="00494238">
      <w:pPr>
        <w:pStyle w:val="TOC3"/>
        <w:rPr>
          <w:rFonts w:eastAsiaTheme="minorEastAsia"/>
          <w:i w:val="0"/>
          <w:iCs w:val="0"/>
          <w:kern w:val="2"/>
          <w14:ligatures w14:val="standardContextual"/>
        </w:rPr>
      </w:pPr>
      <w:hyperlink w:anchor="_Toc204411544" w:history="1">
        <w:r w:rsidRPr="00494238">
          <w:rPr>
            <w:rStyle w:val="Hyperlink"/>
            <w:i w:val="0"/>
            <w:iCs w:val="0"/>
          </w:rPr>
          <w:t>6.4.2</w:t>
        </w:r>
        <w:r w:rsidRPr="00494238">
          <w:rPr>
            <w:rFonts w:eastAsiaTheme="minorEastAsia"/>
            <w:i w:val="0"/>
            <w:iCs w:val="0"/>
            <w:kern w:val="2"/>
            <w14:ligatures w14:val="standardContextual"/>
          </w:rPr>
          <w:tab/>
        </w:r>
        <w:r w:rsidRPr="00494238">
          <w:rPr>
            <w:rStyle w:val="Hyperlink"/>
            <w:i w:val="0"/>
            <w:iCs w:val="0"/>
          </w:rPr>
          <w:t>Output Schedules</w:t>
        </w:r>
        <w:r w:rsidRPr="00494238">
          <w:rPr>
            <w:i w:val="0"/>
            <w:iCs w:val="0"/>
            <w:webHidden/>
          </w:rPr>
          <w:tab/>
        </w:r>
        <w:r w:rsidRPr="00494238">
          <w:rPr>
            <w:i w:val="0"/>
            <w:iCs w:val="0"/>
            <w:webHidden/>
          </w:rPr>
          <w:fldChar w:fldCharType="begin"/>
        </w:r>
        <w:r w:rsidRPr="00494238">
          <w:rPr>
            <w:i w:val="0"/>
            <w:iCs w:val="0"/>
            <w:webHidden/>
          </w:rPr>
          <w:instrText xml:space="preserve"> PAGEREF _Toc204411544 \h </w:instrText>
        </w:r>
        <w:r w:rsidRPr="00494238">
          <w:rPr>
            <w:i w:val="0"/>
            <w:iCs w:val="0"/>
            <w:webHidden/>
          </w:rPr>
        </w:r>
        <w:r w:rsidRPr="00494238">
          <w:rPr>
            <w:i w:val="0"/>
            <w:iCs w:val="0"/>
            <w:webHidden/>
          </w:rPr>
          <w:fldChar w:fldCharType="separate"/>
        </w:r>
        <w:r w:rsidRPr="00494238">
          <w:rPr>
            <w:i w:val="0"/>
            <w:iCs w:val="0"/>
            <w:webHidden/>
          </w:rPr>
          <w:t>6-24</w:t>
        </w:r>
        <w:r w:rsidRPr="00494238">
          <w:rPr>
            <w:i w:val="0"/>
            <w:iCs w:val="0"/>
            <w:webHidden/>
          </w:rPr>
          <w:fldChar w:fldCharType="end"/>
        </w:r>
      </w:hyperlink>
    </w:p>
    <w:p w14:paraId="1FBF9060" w14:textId="2216EB30" w:rsidR="00494238" w:rsidRPr="00494238" w:rsidRDefault="00494238">
      <w:pPr>
        <w:pStyle w:val="TOC4"/>
        <w:rPr>
          <w:rFonts w:eastAsiaTheme="minorEastAsia"/>
          <w:kern w:val="2"/>
          <w:lang w:val="en-US"/>
          <w14:ligatures w14:val="standardContextual"/>
        </w:rPr>
      </w:pPr>
      <w:hyperlink w:anchor="_Toc204411545" w:history="1">
        <w:r w:rsidRPr="00494238">
          <w:rPr>
            <w:rStyle w:val="Hyperlink"/>
          </w:rPr>
          <w:t>6.4.2.1</w:t>
        </w:r>
        <w:r w:rsidRPr="00494238">
          <w:rPr>
            <w:rFonts w:eastAsiaTheme="minorEastAsia"/>
            <w:kern w:val="2"/>
            <w:lang w:val="en-US"/>
            <w14:ligatures w14:val="standardContextual"/>
          </w:rPr>
          <w:tab/>
        </w:r>
        <w:r w:rsidRPr="00494238">
          <w:rPr>
            <w:rStyle w:val="Hyperlink"/>
          </w:rPr>
          <w:t>Output Schedules for Resources Other than Dynamically Scheduled Resources</w:t>
        </w:r>
        <w:r w:rsidRPr="00494238">
          <w:rPr>
            <w:webHidden/>
          </w:rPr>
          <w:tab/>
        </w:r>
        <w:r w:rsidRPr="00494238">
          <w:rPr>
            <w:webHidden/>
          </w:rPr>
          <w:fldChar w:fldCharType="begin"/>
        </w:r>
        <w:r w:rsidRPr="00494238">
          <w:rPr>
            <w:webHidden/>
          </w:rPr>
          <w:instrText xml:space="preserve"> PAGEREF _Toc204411545 \h </w:instrText>
        </w:r>
        <w:r w:rsidRPr="00494238">
          <w:rPr>
            <w:webHidden/>
          </w:rPr>
        </w:r>
        <w:r w:rsidRPr="00494238">
          <w:rPr>
            <w:webHidden/>
          </w:rPr>
          <w:fldChar w:fldCharType="separate"/>
        </w:r>
        <w:r w:rsidRPr="00494238">
          <w:rPr>
            <w:webHidden/>
          </w:rPr>
          <w:t>6-24</w:t>
        </w:r>
        <w:r w:rsidRPr="00494238">
          <w:rPr>
            <w:webHidden/>
          </w:rPr>
          <w:fldChar w:fldCharType="end"/>
        </w:r>
      </w:hyperlink>
    </w:p>
    <w:p w14:paraId="131267B4" w14:textId="6EE69E51" w:rsidR="00494238" w:rsidRPr="00494238" w:rsidRDefault="00494238">
      <w:pPr>
        <w:pStyle w:val="TOC4"/>
        <w:rPr>
          <w:rFonts w:eastAsiaTheme="minorEastAsia"/>
          <w:kern w:val="2"/>
          <w:lang w:val="en-US"/>
          <w14:ligatures w14:val="standardContextual"/>
        </w:rPr>
      </w:pPr>
      <w:hyperlink w:anchor="_Toc204411546" w:history="1">
        <w:r w:rsidRPr="00494238">
          <w:rPr>
            <w:rStyle w:val="Hyperlink"/>
            <w:snapToGrid w:val="0"/>
          </w:rPr>
          <w:t>6.4.2.1</w:t>
        </w:r>
        <w:r w:rsidRPr="00494238">
          <w:rPr>
            <w:rFonts w:eastAsiaTheme="minorEastAsia"/>
            <w:kern w:val="2"/>
            <w:lang w:val="en-US"/>
            <w14:ligatures w14:val="standardContextual"/>
          </w:rPr>
          <w:tab/>
        </w:r>
        <w:r w:rsidRPr="00494238">
          <w:rPr>
            <w:rStyle w:val="Hyperlink"/>
            <w:snapToGrid w:val="0"/>
          </w:rPr>
          <w:t>Output Schedules for Resources</w:t>
        </w:r>
        <w:r w:rsidRPr="00494238">
          <w:rPr>
            <w:webHidden/>
          </w:rPr>
          <w:tab/>
        </w:r>
        <w:r w:rsidRPr="00494238">
          <w:rPr>
            <w:webHidden/>
          </w:rPr>
          <w:fldChar w:fldCharType="begin"/>
        </w:r>
        <w:r w:rsidRPr="00494238">
          <w:rPr>
            <w:webHidden/>
          </w:rPr>
          <w:instrText xml:space="preserve"> PAGEREF _Toc204411546 \h </w:instrText>
        </w:r>
        <w:r w:rsidRPr="00494238">
          <w:rPr>
            <w:webHidden/>
          </w:rPr>
        </w:r>
        <w:r w:rsidRPr="00494238">
          <w:rPr>
            <w:webHidden/>
          </w:rPr>
          <w:fldChar w:fldCharType="separate"/>
        </w:r>
        <w:r w:rsidRPr="00494238">
          <w:rPr>
            <w:webHidden/>
          </w:rPr>
          <w:t>6-25</w:t>
        </w:r>
        <w:r w:rsidRPr="00494238">
          <w:rPr>
            <w:webHidden/>
          </w:rPr>
          <w:fldChar w:fldCharType="end"/>
        </w:r>
      </w:hyperlink>
    </w:p>
    <w:p w14:paraId="44211A0A" w14:textId="645C2C3D" w:rsidR="00494238" w:rsidRPr="00494238" w:rsidRDefault="00494238">
      <w:pPr>
        <w:pStyle w:val="TOC4"/>
        <w:rPr>
          <w:rFonts w:eastAsiaTheme="minorEastAsia"/>
          <w:kern w:val="2"/>
          <w:lang w:val="en-US"/>
          <w14:ligatures w14:val="standardContextual"/>
        </w:rPr>
      </w:pPr>
      <w:hyperlink w:anchor="_Toc204411547" w:history="1">
        <w:r w:rsidRPr="00494238">
          <w:rPr>
            <w:rStyle w:val="Hyperlink"/>
          </w:rPr>
          <w:t>6.4.2.2</w:t>
        </w:r>
        <w:r w:rsidRPr="00494238">
          <w:rPr>
            <w:rFonts w:eastAsiaTheme="minorEastAsia"/>
            <w:kern w:val="2"/>
            <w:lang w:val="en-US"/>
            <w14:ligatures w14:val="standardContextual"/>
          </w:rPr>
          <w:tab/>
        </w:r>
        <w:r w:rsidRPr="00494238">
          <w:rPr>
            <w:rStyle w:val="Hyperlink"/>
          </w:rPr>
          <w:t>Output Schedules for Dynamically Scheduled Resources</w:t>
        </w:r>
        <w:r w:rsidRPr="00494238">
          <w:rPr>
            <w:webHidden/>
          </w:rPr>
          <w:tab/>
        </w:r>
        <w:r w:rsidRPr="00494238">
          <w:rPr>
            <w:webHidden/>
          </w:rPr>
          <w:fldChar w:fldCharType="begin"/>
        </w:r>
        <w:r w:rsidRPr="00494238">
          <w:rPr>
            <w:webHidden/>
          </w:rPr>
          <w:instrText xml:space="preserve"> PAGEREF _Toc204411547 \h </w:instrText>
        </w:r>
        <w:r w:rsidRPr="00494238">
          <w:rPr>
            <w:webHidden/>
          </w:rPr>
        </w:r>
        <w:r w:rsidRPr="00494238">
          <w:rPr>
            <w:webHidden/>
          </w:rPr>
          <w:fldChar w:fldCharType="separate"/>
        </w:r>
        <w:r w:rsidRPr="00494238">
          <w:rPr>
            <w:webHidden/>
          </w:rPr>
          <w:t>6-25</w:t>
        </w:r>
        <w:r w:rsidRPr="00494238">
          <w:rPr>
            <w:webHidden/>
          </w:rPr>
          <w:fldChar w:fldCharType="end"/>
        </w:r>
      </w:hyperlink>
    </w:p>
    <w:p w14:paraId="44F0CD92" w14:textId="6575A2B1" w:rsidR="00494238" w:rsidRPr="00494238" w:rsidRDefault="00494238">
      <w:pPr>
        <w:pStyle w:val="TOC4"/>
        <w:rPr>
          <w:rFonts w:eastAsiaTheme="minorEastAsia"/>
          <w:kern w:val="2"/>
          <w:lang w:val="en-US"/>
          <w14:ligatures w14:val="standardContextual"/>
        </w:rPr>
      </w:pPr>
      <w:hyperlink w:anchor="_Toc204411548" w:history="1">
        <w:r w:rsidRPr="00494238">
          <w:rPr>
            <w:rStyle w:val="Hyperlink"/>
          </w:rPr>
          <w:t>6.4.2.3</w:t>
        </w:r>
        <w:r w:rsidRPr="00494238">
          <w:rPr>
            <w:rFonts w:eastAsiaTheme="minorEastAsia"/>
            <w:kern w:val="2"/>
            <w:lang w:val="en-US"/>
            <w14:ligatures w14:val="standardContextual"/>
          </w:rPr>
          <w:tab/>
        </w:r>
        <w:r w:rsidRPr="00494238">
          <w:rPr>
            <w:rStyle w:val="Hyperlink"/>
          </w:rPr>
          <w:t>Output Schedule Criteria</w:t>
        </w:r>
        <w:r w:rsidRPr="00494238">
          <w:rPr>
            <w:webHidden/>
          </w:rPr>
          <w:tab/>
        </w:r>
        <w:r w:rsidRPr="00494238">
          <w:rPr>
            <w:webHidden/>
          </w:rPr>
          <w:fldChar w:fldCharType="begin"/>
        </w:r>
        <w:r w:rsidRPr="00494238">
          <w:rPr>
            <w:webHidden/>
          </w:rPr>
          <w:instrText xml:space="preserve"> PAGEREF _Toc204411548 \h </w:instrText>
        </w:r>
        <w:r w:rsidRPr="00494238">
          <w:rPr>
            <w:webHidden/>
          </w:rPr>
        </w:r>
        <w:r w:rsidRPr="00494238">
          <w:rPr>
            <w:webHidden/>
          </w:rPr>
          <w:fldChar w:fldCharType="separate"/>
        </w:r>
        <w:r w:rsidRPr="00494238">
          <w:rPr>
            <w:webHidden/>
          </w:rPr>
          <w:t>6-26</w:t>
        </w:r>
        <w:r w:rsidRPr="00494238">
          <w:rPr>
            <w:webHidden/>
          </w:rPr>
          <w:fldChar w:fldCharType="end"/>
        </w:r>
      </w:hyperlink>
    </w:p>
    <w:p w14:paraId="650B2F01" w14:textId="3403014E" w:rsidR="00494238" w:rsidRPr="00494238" w:rsidRDefault="00494238">
      <w:pPr>
        <w:pStyle w:val="TOC4"/>
        <w:rPr>
          <w:rFonts w:eastAsiaTheme="minorEastAsia"/>
          <w:kern w:val="2"/>
          <w:lang w:val="en-US"/>
          <w14:ligatures w14:val="standardContextual"/>
        </w:rPr>
      </w:pPr>
      <w:hyperlink w:anchor="_Toc204411549" w:history="1">
        <w:r w:rsidRPr="00494238">
          <w:rPr>
            <w:rStyle w:val="Hyperlink"/>
          </w:rPr>
          <w:t>6.4.2.4</w:t>
        </w:r>
        <w:r w:rsidRPr="00494238">
          <w:rPr>
            <w:rFonts w:eastAsiaTheme="minorEastAsia"/>
            <w:kern w:val="2"/>
            <w:lang w:val="en-US"/>
            <w14:ligatures w14:val="standardContextual"/>
          </w:rPr>
          <w:tab/>
        </w:r>
        <w:r w:rsidRPr="00494238">
          <w:rPr>
            <w:rStyle w:val="Hyperlink"/>
          </w:rPr>
          <w:t>Output Schedule Validation</w:t>
        </w:r>
        <w:r w:rsidRPr="00494238">
          <w:rPr>
            <w:webHidden/>
          </w:rPr>
          <w:tab/>
        </w:r>
        <w:r w:rsidRPr="00494238">
          <w:rPr>
            <w:webHidden/>
          </w:rPr>
          <w:fldChar w:fldCharType="begin"/>
        </w:r>
        <w:r w:rsidRPr="00494238">
          <w:rPr>
            <w:webHidden/>
          </w:rPr>
          <w:instrText xml:space="preserve"> PAGEREF _Toc204411549 \h </w:instrText>
        </w:r>
        <w:r w:rsidRPr="00494238">
          <w:rPr>
            <w:webHidden/>
          </w:rPr>
        </w:r>
        <w:r w:rsidRPr="00494238">
          <w:rPr>
            <w:webHidden/>
          </w:rPr>
          <w:fldChar w:fldCharType="separate"/>
        </w:r>
        <w:r w:rsidRPr="00494238">
          <w:rPr>
            <w:webHidden/>
          </w:rPr>
          <w:t>6-27</w:t>
        </w:r>
        <w:r w:rsidRPr="00494238">
          <w:rPr>
            <w:webHidden/>
          </w:rPr>
          <w:fldChar w:fldCharType="end"/>
        </w:r>
      </w:hyperlink>
    </w:p>
    <w:p w14:paraId="791738D0" w14:textId="65DFEC04" w:rsidR="00494238" w:rsidRPr="00494238" w:rsidRDefault="00494238">
      <w:pPr>
        <w:pStyle w:val="TOC4"/>
        <w:rPr>
          <w:rFonts w:eastAsiaTheme="minorEastAsia"/>
          <w:kern w:val="2"/>
          <w:lang w:val="en-US"/>
          <w14:ligatures w14:val="standardContextual"/>
        </w:rPr>
      </w:pPr>
      <w:hyperlink w:anchor="_Toc204411550" w:history="1">
        <w:r w:rsidRPr="00494238">
          <w:rPr>
            <w:rStyle w:val="Hyperlink"/>
          </w:rPr>
          <w:t>6.4.2.5</w:t>
        </w:r>
        <w:r w:rsidRPr="00494238">
          <w:rPr>
            <w:rFonts w:eastAsiaTheme="minorEastAsia"/>
            <w:kern w:val="2"/>
            <w:lang w:val="en-US"/>
            <w14:ligatures w14:val="standardContextual"/>
          </w:rPr>
          <w:tab/>
        </w:r>
        <w:r w:rsidRPr="00494238">
          <w:rPr>
            <w:rStyle w:val="Hyperlink"/>
          </w:rPr>
          <w:t>DSR Load</w:t>
        </w:r>
        <w:r w:rsidRPr="00494238">
          <w:rPr>
            <w:webHidden/>
          </w:rPr>
          <w:tab/>
        </w:r>
        <w:r w:rsidRPr="00494238">
          <w:rPr>
            <w:webHidden/>
          </w:rPr>
          <w:fldChar w:fldCharType="begin"/>
        </w:r>
        <w:r w:rsidRPr="00494238">
          <w:rPr>
            <w:webHidden/>
          </w:rPr>
          <w:instrText xml:space="preserve"> PAGEREF _Toc204411550 \h </w:instrText>
        </w:r>
        <w:r w:rsidRPr="00494238">
          <w:rPr>
            <w:webHidden/>
          </w:rPr>
        </w:r>
        <w:r w:rsidRPr="00494238">
          <w:rPr>
            <w:webHidden/>
          </w:rPr>
          <w:fldChar w:fldCharType="separate"/>
        </w:r>
        <w:r w:rsidRPr="00494238">
          <w:rPr>
            <w:webHidden/>
          </w:rPr>
          <w:t>6-28</w:t>
        </w:r>
        <w:r w:rsidRPr="00494238">
          <w:rPr>
            <w:webHidden/>
          </w:rPr>
          <w:fldChar w:fldCharType="end"/>
        </w:r>
      </w:hyperlink>
    </w:p>
    <w:p w14:paraId="0AEB82A5" w14:textId="5326FEBE" w:rsidR="00494238" w:rsidRPr="00494238" w:rsidRDefault="00494238">
      <w:pPr>
        <w:pStyle w:val="TOC3"/>
        <w:rPr>
          <w:rFonts w:eastAsiaTheme="minorEastAsia"/>
          <w:i w:val="0"/>
          <w:iCs w:val="0"/>
          <w:kern w:val="2"/>
          <w14:ligatures w14:val="standardContextual"/>
        </w:rPr>
      </w:pPr>
      <w:hyperlink w:anchor="_Toc204411551" w:history="1">
        <w:r w:rsidRPr="00494238">
          <w:rPr>
            <w:rStyle w:val="Hyperlink"/>
            <w:i w:val="0"/>
            <w:iCs w:val="0"/>
          </w:rPr>
          <w:t>6.4.3</w:t>
        </w:r>
        <w:r w:rsidRPr="00494238">
          <w:rPr>
            <w:rFonts w:eastAsiaTheme="minorEastAsia"/>
            <w:i w:val="0"/>
            <w:iCs w:val="0"/>
            <w:kern w:val="2"/>
            <w14:ligatures w14:val="standardContextual"/>
          </w:rPr>
          <w:tab/>
        </w:r>
        <w:r w:rsidRPr="00494238">
          <w:rPr>
            <w:rStyle w:val="Hyperlink"/>
            <w:i w:val="0"/>
            <w:iCs w:val="0"/>
          </w:rPr>
          <w:t>Real-Time Market (RTM) Energy Bids and Offers</w:t>
        </w:r>
        <w:r w:rsidRPr="00494238">
          <w:rPr>
            <w:i w:val="0"/>
            <w:iCs w:val="0"/>
            <w:webHidden/>
          </w:rPr>
          <w:tab/>
        </w:r>
        <w:r w:rsidRPr="00494238">
          <w:rPr>
            <w:i w:val="0"/>
            <w:iCs w:val="0"/>
            <w:webHidden/>
          </w:rPr>
          <w:fldChar w:fldCharType="begin"/>
        </w:r>
        <w:r w:rsidRPr="00494238">
          <w:rPr>
            <w:i w:val="0"/>
            <w:iCs w:val="0"/>
            <w:webHidden/>
          </w:rPr>
          <w:instrText xml:space="preserve"> PAGEREF _Toc204411551 \h </w:instrText>
        </w:r>
        <w:r w:rsidRPr="00494238">
          <w:rPr>
            <w:i w:val="0"/>
            <w:iCs w:val="0"/>
            <w:webHidden/>
          </w:rPr>
        </w:r>
        <w:r w:rsidRPr="00494238">
          <w:rPr>
            <w:i w:val="0"/>
            <w:iCs w:val="0"/>
            <w:webHidden/>
          </w:rPr>
          <w:fldChar w:fldCharType="separate"/>
        </w:r>
        <w:r w:rsidRPr="00494238">
          <w:rPr>
            <w:i w:val="0"/>
            <w:iCs w:val="0"/>
            <w:webHidden/>
          </w:rPr>
          <w:t>6-29</w:t>
        </w:r>
        <w:r w:rsidRPr="00494238">
          <w:rPr>
            <w:i w:val="0"/>
            <w:iCs w:val="0"/>
            <w:webHidden/>
          </w:rPr>
          <w:fldChar w:fldCharType="end"/>
        </w:r>
      </w:hyperlink>
    </w:p>
    <w:p w14:paraId="07FFA9D2" w14:textId="2F2CF738" w:rsidR="00494238" w:rsidRPr="00494238" w:rsidRDefault="00494238">
      <w:pPr>
        <w:pStyle w:val="TOC3"/>
        <w:rPr>
          <w:rFonts w:eastAsiaTheme="minorEastAsia"/>
          <w:i w:val="0"/>
          <w:iCs w:val="0"/>
          <w:kern w:val="2"/>
          <w14:ligatures w14:val="standardContextual"/>
        </w:rPr>
      </w:pPr>
      <w:hyperlink w:anchor="_Toc204411552" w:history="1">
        <w:r w:rsidRPr="00494238">
          <w:rPr>
            <w:rStyle w:val="Hyperlink"/>
            <w:i w:val="0"/>
            <w:iCs w:val="0"/>
          </w:rPr>
          <w:t>6.4.3</w:t>
        </w:r>
        <w:r w:rsidRPr="00494238">
          <w:rPr>
            <w:rFonts w:eastAsiaTheme="minorEastAsia"/>
            <w:i w:val="0"/>
            <w:iCs w:val="0"/>
            <w:kern w:val="2"/>
            <w14:ligatures w14:val="standardContextual"/>
          </w:rPr>
          <w:tab/>
        </w:r>
        <w:r w:rsidRPr="00494238">
          <w:rPr>
            <w:rStyle w:val="Hyperlink"/>
            <w:i w:val="0"/>
            <w:iCs w:val="0"/>
          </w:rPr>
          <w:t>[RESERVED]</w:t>
        </w:r>
        <w:r w:rsidRPr="00494238">
          <w:rPr>
            <w:i w:val="0"/>
            <w:iCs w:val="0"/>
            <w:webHidden/>
          </w:rPr>
          <w:tab/>
        </w:r>
        <w:r w:rsidRPr="00494238">
          <w:rPr>
            <w:i w:val="0"/>
            <w:iCs w:val="0"/>
            <w:webHidden/>
          </w:rPr>
          <w:fldChar w:fldCharType="begin"/>
        </w:r>
        <w:r w:rsidRPr="00494238">
          <w:rPr>
            <w:i w:val="0"/>
            <w:iCs w:val="0"/>
            <w:webHidden/>
          </w:rPr>
          <w:instrText xml:space="preserve"> PAGEREF _Toc204411552 \h </w:instrText>
        </w:r>
        <w:r w:rsidRPr="00494238">
          <w:rPr>
            <w:i w:val="0"/>
            <w:iCs w:val="0"/>
            <w:webHidden/>
          </w:rPr>
        </w:r>
        <w:r w:rsidRPr="00494238">
          <w:rPr>
            <w:i w:val="0"/>
            <w:iCs w:val="0"/>
            <w:webHidden/>
          </w:rPr>
          <w:fldChar w:fldCharType="separate"/>
        </w:r>
        <w:r w:rsidRPr="00494238">
          <w:rPr>
            <w:i w:val="0"/>
            <w:iCs w:val="0"/>
            <w:webHidden/>
          </w:rPr>
          <w:t>6-29</w:t>
        </w:r>
        <w:r w:rsidRPr="00494238">
          <w:rPr>
            <w:i w:val="0"/>
            <w:iCs w:val="0"/>
            <w:webHidden/>
          </w:rPr>
          <w:fldChar w:fldCharType="end"/>
        </w:r>
      </w:hyperlink>
    </w:p>
    <w:p w14:paraId="76228167" w14:textId="1CB9E7FE" w:rsidR="00494238" w:rsidRPr="00494238" w:rsidRDefault="00494238">
      <w:pPr>
        <w:pStyle w:val="TOC4"/>
        <w:rPr>
          <w:rFonts w:eastAsiaTheme="minorEastAsia"/>
          <w:kern w:val="2"/>
          <w:lang w:val="en-US"/>
          <w14:ligatures w14:val="standardContextual"/>
        </w:rPr>
      </w:pPr>
      <w:hyperlink w:anchor="_Toc204411553" w:history="1">
        <w:r w:rsidRPr="00494238">
          <w:rPr>
            <w:rStyle w:val="Hyperlink"/>
          </w:rPr>
          <w:t>6.4.3.1</w:t>
        </w:r>
        <w:r w:rsidRPr="00494238">
          <w:rPr>
            <w:rFonts w:eastAsiaTheme="minorEastAsia"/>
            <w:kern w:val="2"/>
            <w:lang w:val="en-US"/>
            <w14:ligatures w14:val="standardContextual"/>
          </w:rPr>
          <w:tab/>
        </w:r>
        <w:r w:rsidRPr="00494238">
          <w:rPr>
            <w:rStyle w:val="Hyperlink"/>
          </w:rPr>
          <w:t>RTM Energy Bids</w:t>
        </w:r>
        <w:r w:rsidRPr="00494238">
          <w:rPr>
            <w:webHidden/>
          </w:rPr>
          <w:tab/>
        </w:r>
        <w:r w:rsidRPr="00494238">
          <w:rPr>
            <w:webHidden/>
          </w:rPr>
          <w:fldChar w:fldCharType="begin"/>
        </w:r>
        <w:r w:rsidRPr="00494238">
          <w:rPr>
            <w:webHidden/>
          </w:rPr>
          <w:instrText xml:space="preserve"> PAGEREF _Toc204411553 \h </w:instrText>
        </w:r>
        <w:r w:rsidRPr="00494238">
          <w:rPr>
            <w:webHidden/>
          </w:rPr>
        </w:r>
        <w:r w:rsidRPr="00494238">
          <w:rPr>
            <w:webHidden/>
          </w:rPr>
          <w:fldChar w:fldCharType="separate"/>
        </w:r>
        <w:r w:rsidRPr="00494238">
          <w:rPr>
            <w:webHidden/>
          </w:rPr>
          <w:t>6-29</w:t>
        </w:r>
        <w:r w:rsidRPr="00494238">
          <w:rPr>
            <w:webHidden/>
          </w:rPr>
          <w:fldChar w:fldCharType="end"/>
        </w:r>
      </w:hyperlink>
    </w:p>
    <w:p w14:paraId="24CB3B64" w14:textId="2EBFAE63" w:rsidR="00494238" w:rsidRPr="00494238" w:rsidRDefault="00494238">
      <w:pPr>
        <w:pStyle w:val="TOC5"/>
        <w:rPr>
          <w:rFonts w:eastAsiaTheme="minorEastAsia"/>
          <w:i w:val="0"/>
          <w:kern w:val="2"/>
          <w:sz w:val="20"/>
          <w:szCs w:val="20"/>
          <w14:ligatures w14:val="standardContextual"/>
        </w:rPr>
      </w:pPr>
      <w:hyperlink w:anchor="_Toc204411554" w:history="1">
        <w:r w:rsidRPr="00494238">
          <w:rPr>
            <w:rStyle w:val="Hyperlink"/>
            <w:i w:val="0"/>
            <w:sz w:val="20"/>
            <w:szCs w:val="20"/>
          </w:rPr>
          <w:t>6.4.3.1.1</w:t>
        </w:r>
        <w:r w:rsidRPr="00494238">
          <w:rPr>
            <w:rFonts w:eastAsiaTheme="minorEastAsia"/>
            <w:i w:val="0"/>
            <w:kern w:val="2"/>
            <w:sz w:val="20"/>
            <w:szCs w:val="20"/>
            <w14:ligatures w14:val="standardContextual"/>
          </w:rPr>
          <w:tab/>
        </w:r>
        <w:r w:rsidRPr="00494238">
          <w:rPr>
            <w:rStyle w:val="Hyperlink"/>
            <w:i w:val="0"/>
            <w:sz w:val="20"/>
            <w:szCs w:val="20"/>
          </w:rPr>
          <w:t>RTM Energy Bid Criteria</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_Toc204411554 \h </w:instrText>
        </w:r>
        <w:r w:rsidRPr="00494238">
          <w:rPr>
            <w:i w:val="0"/>
            <w:webHidden/>
            <w:sz w:val="20"/>
            <w:szCs w:val="20"/>
          </w:rPr>
        </w:r>
        <w:r w:rsidRPr="00494238">
          <w:rPr>
            <w:i w:val="0"/>
            <w:webHidden/>
            <w:sz w:val="20"/>
            <w:szCs w:val="20"/>
          </w:rPr>
          <w:fldChar w:fldCharType="separate"/>
        </w:r>
        <w:r w:rsidRPr="00494238">
          <w:rPr>
            <w:i w:val="0"/>
            <w:webHidden/>
            <w:sz w:val="20"/>
            <w:szCs w:val="20"/>
          </w:rPr>
          <w:t>6-30</w:t>
        </w:r>
        <w:r w:rsidRPr="00494238">
          <w:rPr>
            <w:i w:val="0"/>
            <w:webHidden/>
            <w:sz w:val="20"/>
            <w:szCs w:val="20"/>
          </w:rPr>
          <w:fldChar w:fldCharType="end"/>
        </w:r>
      </w:hyperlink>
    </w:p>
    <w:p w14:paraId="23B21F41" w14:textId="159AD604" w:rsidR="00494238" w:rsidRPr="00494238" w:rsidRDefault="00494238">
      <w:pPr>
        <w:pStyle w:val="TOC5"/>
        <w:rPr>
          <w:rFonts w:eastAsiaTheme="minorEastAsia"/>
          <w:i w:val="0"/>
          <w:kern w:val="2"/>
          <w:sz w:val="20"/>
          <w:szCs w:val="20"/>
          <w14:ligatures w14:val="standardContextual"/>
        </w:rPr>
      </w:pPr>
      <w:hyperlink w:anchor="_Toc204411555" w:history="1">
        <w:r w:rsidRPr="00494238">
          <w:rPr>
            <w:rStyle w:val="Hyperlink"/>
            <w:i w:val="0"/>
            <w:sz w:val="20"/>
            <w:szCs w:val="20"/>
          </w:rPr>
          <w:t>6.4.3.1.2</w:t>
        </w:r>
        <w:r w:rsidRPr="00494238">
          <w:rPr>
            <w:rFonts w:eastAsiaTheme="minorEastAsia"/>
            <w:i w:val="0"/>
            <w:kern w:val="2"/>
            <w:sz w:val="20"/>
            <w:szCs w:val="20"/>
            <w14:ligatures w14:val="standardContextual"/>
          </w:rPr>
          <w:tab/>
        </w:r>
        <w:r w:rsidRPr="00494238">
          <w:rPr>
            <w:rStyle w:val="Hyperlink"/>
            <w:i w:val="0"/>
            <w:sz w:val="20"/>
            <w:szCs w:val="20"/>
          </w:rPr>
          <w:t>RTM Energy Bid Validation</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_Toc204411555 \h </w:instrText>
        </w:r>
        <w:r w:rsidRPr="00494238">
          <w:rPr>
            <w:i w:val="0"/>
            <w:webHidden/>
            <w:sz w:val="20"/>
            <w:szCs w:val="20"/>
          </w:rPr>
        </w:r>
        <w:r w:rsidRPr="00494238">
          <w:rPr>
            <w:i w:val="0"/>
            <w:webHidden/>
            <w:sz w:val="20"/>
            <w:szCs w:val="20"/>
          </w:rPr>
          <w:fldChar w:fldCharType="separate"/>
        </w:r>
        <w:r w:rsidRPr="00494238">
          <w:rPr>
            <w:i w:val="0"/>
            <w:webHidden/>
            <w:sz w:val="20"/>
            <w:szCs w:val="20"/>
          </w:rPr>
          <w:t>6-31</w:t>
        </w:r>
        <w:r w:rsidRPr="00494238">
          <w:rPr>
            <w:i w:val="0"/>
            <w:webHidden/>
            <w:sz w:val="20"/>
            <w:szCs w:val="20"/>
          </w:rPr>
          <w:fldChar w:fldCharType="end"/>
        </w:r>
      </w:hyperlink>
    </w:p>
    <w:p w14:paraId="0365D5BC" w14:textId="5C52764D" w:rsidR="00494238" w:rsidRPr="00494238" w:rsidRDefault="00494238">
      <w:pPr>
        <w:pStyle w:val="TOC3"/>
        <w:rPr>
          <w:rFonts w:eastAsiaTheme="minorEastAsia"/>
          <w:i w:val="0"/>
          <w:iCs w:val="0"/>
          <w:kern w:val="2"/>
          <w14:ligatures w14:val="standardContextual"/>
        </w:rPr>
      </w:pPr>
      <w:hyperlink w:anchor="_Toc204411556" w:history="1">
        <w:r w:rsidRPr="00494238">
          <w:rPr>
            <w:rStyle w:val="Hyperlink"/>
            <w:i w:val="0"/>
            <w:iCs w:val="0"/>
          </w:rPr>
          <w:t>6.4.4</w:t>
        </w:r>
        <w:r w:rsidRPr="00494238">
          <w:rPr>
            <w:rFonts w:eastAsiaTheme="minorEastAsia"/>
            <w:i w:val="0"/>
            <w:iCs w:val="0"/>
            <w:kern w:val="2"/>
            <w14:ligatures w14:val="standardContextual"/>
          </w:rPr>
          <w:tab/>
        </w:r>
        <w:r w:rsidRPr="00494238">
          <w:rPr>
            <w:rStyle w:val="Hyperlink"/>
            <w:i w:val="0"/>
            <w:iCs w:val="0"/>
          </w:rPr>
          <w:t>Energy Offer Curve</w:t>
        </w:r>
        <w:r w:rsidRPr="00494238">
          <w:rPr>
            <w:i w:val="0"/>
            <w:iCs w:val="0"/>
            <w:webHidden/>
          </w:rPr>
          <w:tab/>
        </w:r>
        <w:r w:rsidRPr="00494238">
          <w:rPr>
            <w:i w:val="0"/>
            <w:iCs w:val="0"/>
            <w:webHidden/>
          </w:rPr>
          <w:fldChar w:fldCharType="begin"/>
        </w:r>
        <w:r w:rsidRPr="00494238">
          <w:rPr>
            <w:i w:val="0"/>
            <w:iCs w:val="0"/>
            <w:webHidden/>
          </w:rPr>
          <w:instrText xml:space="preserve"> PAGEREF _Toc204411556 \h </w:instrText>
        </w:r>
        <w:r w:rsidRPr="00494238">
          <w:rPr>
            <w:i w:val="0"/>
            <w:iCs w:val="0"/>
            <w:webHidden/>
          </w:rPr>
        </w:r>
        <w:r w:rsidRPr="00494238">
          <w:rPr>
            <w:i w:val="0"/>
            <w:iCs w:val="0"/>
            <w:webHidden/>
          </w:rPr>
          <w:fldChar w:fldCharType="separate"/>
        </w:r>
        <w:r w:rsidRPr="00494238">
          <w:rPr>
            <w:i w:val="0"/>
            <w:iCs w:val="0"/>
            <w:webHidden/>
          </w:rPr>
          <w:t>6-31</w:t>
        </w:r>
        <w:r w:rsidRPr="00494238">
          <w:rPr>
            <w:i w:val="0"/>
            <w:iCs w:val="0"/>
            <w:webHidden/>
          </w:rPr>
          <w:fldChar w:fldCharType="end"/>
        </w:r>
      </w:hyperlink>
    </w:p>
    <w:p w14:paraId="74C54DF5" w14:textId="790CA070" w:rsidR="00494238" w:rsidRPr="00494238" w:rsidRDefault="00494238">
      <w:pPr>
        <w:pStyle w:val="TOC3"/>
        <w:rPr>
          <w:rFonts w:eastAsiaTheme="minorEastAsia"/>
          <w:i w:val="0"/>
          <w:iCs w:val="0"/>
          <w:kern w:val="2"/>
          <w14:ligatures w14:val="standardContextual"/>
        </w:rPr>
      </w:pPr>
      <w:hyperlink w:anchor="_Toc204411557" w:history="1">
        <w:r w:rsidRPr="00494238">
          <w:rPr>
            <w:rStyle w:val="Hyperlink"/>
            <w:i w:val="0"/>
            <w:iCs w:val="0"/>
          </w:rPr>
          <w:t>6.4.4</w:t>
        </w:r>
        <w:r w:rsidRPr="00494238">
          <w:rPr>
            <w:rFonts w:eastAsiaTheme="minorEastAsia"/>
            <w:i w:val="0"/>
            <w:iCs w:val="0"/>
            <w:kern w:val="2"/>
            <w14:ligatures w14:val="standardContextual"/>
          </w:rPr>
          <w:tab/>
        </w:r>
        <w:r w:rsidRPr="00494238">
          <w:rPr>
            <w:rStyle w:val="Hyperlink"/>
            <w:i w:val="0"/>
            <w:iCs w:val="0"/>
          </w:rPr>
          <w:t>Energy Offer Curve and Energy Bid/Offer Curve</w:t>
        </w:r>
        <w:r w:rsidRPr="00494238">
          <w:rPr>
            <w:i w:val="0"/>
            <w:iCs w:val="0"/>
            <w:webHidden/>
          </w:rPr>
          <w:tab/>
        </w:r>
        <w:r w:rsidRPr="00494238">
          <w:rPr>
            <w:i w:val="0"/>
            <w:iCs w:val="0"/>
            <w:webHidden/>
          </w:rPr>
          <w:fldChar w:fldCharType="begin"/>
        </w:r>
        <w:r w:rsidRPr="00494238">
          <w:rPr>
            <w:i w:val="0"/>
            <w:iCs w:val="0"/>
            <w:webHidden/>
          </w:rPr>
          <w:instrText xml:space="preserve"> PAGEREF _Toc204411557 \h </w:instrText>
        </w:r>
        <w:r w:rsidRPr="00494238">
          <w:rPr>
            <w:i w:val="0"/>
            <w:iCs w:val="0"/>
            <w:webHidden/>
          </w:rPr>
        </w:r>
        <w:r w:rsidRPr="00494238">
          <w:rPr>
            <w:i w:val="0"/>
            <w:iCs w:val="0"/>
            <w:webHidden/>
          </w:rPr>
          <w:fldChar w:fldCharType="separate"/>
        </w:r>
        <w:r w:rsidRPr="00494238">
          <w:rPr>
            <w:i w:val="0"/>
            <w:iCs w:val="0"/>
            <w:webHidden/>
          </w:rPr>
          <w:t>6-32</w:t>
        </w:r>
        <w:r w:rsidRPr="00494238">
          <w:rPr>
            <w:i w:val="0"/>
            <w:iCs w:val="0"/>
            <w:webHidden/>
          </w:rPr>
          <w:fldChar w:fldCharType="end"/>
        </w:r>
      </w:hyperlink>
    </w:p>
    <w:p w14:paraId="504CA6D7" w14:textId="1E8EFB02" w:rsidR="00494238" w:rsidRPr="00494238" w:rsidRDefault="00494238">
      <w:pPr>
        <w:pStyle w:val="TOC4"/>
        <w:rPr>
          <w:rFonts w:eastAsiaTheme="minorEastAsia"/>
          <w:kern w:val="2"/>
          <w:lang w:val="en-US"/>
          <w14:ligatures w14:val="standardContextual"/>
        </w:rPr>
      </w:pPr>
      <w:hyperlink w:anchor="_Toc204411558" w:history="1">
        <w:r w:rsidRPr="00494238">
          <w:rPr>
            <w:rStyle w:val="Hyperlink"/>
          </w:rPr>
          <w:t>6.4.4.1</w:t>
        </w:r>
        <w:r w:rsidRPr="00494238">
          <w:rPr>
            <w:rFonts w:eastAsiaTheme="minorEastAsia"/>
            <w:kern w:val="2"/>
            <w:lang w:val="en-US"/>
            <w14:ligatures w14:val="standardContextual"/>
          </w:rPr>
          <w:tab/>
        </w:r>
        <w:r w:rsidRPr="00494238">
          <w:rPr>
            <w:rStyle w:val="Hyperlink"/>
          </w:rPr>
          <w:t>Energy Offer Curve or Energy Bid Curve for On-Line Non-Spinning Reserve Capacity</w:t>
        </w:r>
        <w:r w:rsidRPr="00494238">
          <w:rPr>
            <w:webHidden/>
          </w:rPr>
          <w:tab/>
        </w:r>
        <w:r w:rsidRPr="00494238">
          <w:rPr>
            <w:webHidden/>
          </w:rPr>
          <w:fldChar w:fldCharType="begin"/>
        </w:r>
        <w:r w:rsidRPr="00494238">
          <w:rPr>
            <w:webHidden/>
          </w:rPr>
          <w:instrText xml:space="preserve"> PAGEREF _Toc204411558 \h </w:instrText>
        </w:r>
        <w:r w:rsidRPr="00494238">
          <w:rPr>
            <w:webHidden/>
          </w:rPr>
        </w:r>
        <w:r w:rsidRPr="00494238">
          <w:rPr>
            <w:webHidden/>
          </w:rPr>
          <w:fldChar w:fldCharType="separate"/>
        </w:r>
        <w:r w:rsidRPr="00494238">
          <w:rPr>
            <w:webHidden/>
          </w:rPr>
          <w:t>6-32</w:t>
        </w:r>
        <w:r w:rsidRPr="00494238">
          <w:rPr>
            <w:webHidden/>
          </w:rPr>
          <w:fldChar w:fldCharType="end"/>
        </w:r>
      </w:hyperlink>
    </w:p>
    <w:p w14:paraId="27A9633E" w14:textId="30A760D2" w:rsidR="00494238" w:rsidRPr="00494238" w:rsidRDefault="00494238">
      <w:pPr>
        <w:pStyle w:val="TOC4"/>
        <w:rPr>
          <w:rFonts w:eastAsiaTheme="minorEastAsia"/>
          <w:kern w:val="2"/>
          <w:lang w:val="en-US"/>
          <w14:ligatures w14:val="standardContextual"/>
        </w:rPr>
      </w:pPr>
      <w:hyperlink w:anchor="_Toc204411559" w:history="1">
        <w:r w:rsidRPr="00494238">
          <w:rPr>
            <w:rStyle w:val="Hyperlink"/>
          </w:rPr>
          <w:t>6.4.4.2</w:t>
        </w:r>
        <w:r w:rsidRPr="00494238">
          <w:rPr>
            <w:rFonts w:eastAsiaTheme="minorEastAsia"/>
            <w:kern w:val="2"/>
            <w:lang w:val="en-US"/>
            <w14:ligatures w14:val="standardContextual"/>
          </w:rPr>
          <w:tab/>
        </w:r>
        <w:r w:rsidRPr="00494238">
          <w:rPr>
            <w:rStyle w:val="Hyperlink"/>
          </w:rPr>
          <w:t>Energy Offer Curve for RUC-Committed Switchable Generation Resources</w:t>
        </w:r>
        <w:r w:rsidRPr="00494238">
          <w:rPr>
            <w:webHidden/>
          </w:rPr>
          <w:tab/>
        </w:r>
        <w:r w:rsidRPr="00494238">
          <w:rPr>
            <w:webHidden/>
          </w:rPr>
          <w:fldChar w:fldCharType="begin"/>
        </w:r>
        <w:r w:rsidRPr="00494238">
          <w:rPr>
            <w:webHidden/>
          </w:rPr>
          <w:instrText xml:space="preserve"> PAGEREF _Toc204411559 \h </w:instrText>
        </w:r>
        <w:r w:rsidRPr="00494238">
          <w:rPr>
            <w:webHidden/>
          </w:rPr>
        </w:r>
        <w:r w:rsidRPr="00494238">
          <w:rPr>
            <w:webHidden/>
          </w:rPr>
          <w:fldChar w:fldCharType="separate"/>
        </w:r>
        <w:r w:rsidRPr="00494238">
          <w:rPr>
            <w:webHidden/>
          </w:rPr>
          <w:t>6-33</w:t>
        </w:r>
        <w:r w:rsidRPr="00494238">
          <w:rPr>
            <w:webHidden/>
          </w:rPr>
          <w:fldChar w:fldCharType="end"/>
        </w:r>
      </w:hyperlink>
    </w:p>
    <w:p w14:paraId="285112E6" w14:textId="72267EBA" w:rsidR="00494238" w:rsidRPr="00494238" w:rsidRDefault="00494238">
      <w:pPr>
        <w:pStyle w:val="TOC3"/>
        <w:rPr>
          <w:rFonts w:eastAsiaTheme="minorEastAsia"/>
          <w:i w:val="0"/>
          <w:iCs w:val="0"/>
          <w:kern w:val="2"/>
          <w14:ligatures w14:val="standardContextual"/>
        </w:rPr>
      </w:pPr>
      <w:hyperlink w:anchor="_Toc204411560" w:history="1">
        <w:r w:rsidRPr="00494238">
          <w:rPr>
            <w:rStyle w:val="Hyperlink"/>
            <w:i w:val="0"/>
            <w:iCs w:val="0"/>
          </w:rPr>
          <w:t>6.4.5</w:t>
        </w:r>
        <w:r w:rsidRPr="00494238">
          <w:rPr>
            <w:rFonts w:eastAsiaTheme="minorEastAsia"/>
            <w:i w:val="0"/>
            <w:iCs w:val="0"/>
            <w:kern w:val="2"/>
            <w14:ligatures w14:val="standardContextual"/>
          </w:rPr>
          <w:tab/>
        </w:r>
        <w:r w:rsidRPr="00494238">
          <w:rPr>
            <w:rStyle w:val="Hyperlink"/>
            <w:i w:val="0"/>
            <w:iCs w:val="0"/>
          </w:rPr>
          <w:t>Incremental and Decremental Energy Offer Curves</w:t>
        </w:r>
        <w:r w:rsidRPr="00494238">
          <w:rPr>
            <w:i w:val="0"/>
            <w:iCs w:val="0"/>
            <w:webHidden/>
          </w:rPr>
          <w:tab/>
        </w:r>
        <w:r w:rsidRPr="00494238">
          <w:rPr>
            <w:i w:val="0"/>
            <w:iCs w:val="0"/>
            <w:webHidden/>
          </w:rPr>
          <w:fldChar w:fldCharType="begin"/>
        </w:r>
        <w:r w:rsidRPr="00494238">
          <w:rPr>
            <w:i w:val="0"/>
            <w:iCs w:val="0"/>
            <w:webHidden/>
          </w:rPr>
          <w:instrText xml:space="preserve"> PAGEREF _Toc204411560 \h </w:instrText>
        </w:r>
        <w:r w:rsidRPr="00494238">
          <w:rPr>
            <w:i w:val="0"/>
            <w:iCs w:val="0"/>
            <w:webHidden/>
          </w:rPr>
        </w:r>
        <w:r w:rsidRPr="00494238">
          <w:rPr>
            <w:i w:val="0"/>
            <w:iCs w:val="0"/>
            <w:webHidden/>
          </w:rPr>
          <w:fldChar w:fldCharType="separate"/>
        </w:r>
        <w:r w:rsidRPr="00494238">
          <w:rPr>
            <w:i w:val="0"/>
            <w:iCs w:val="0"/>
            <w:webHidden/>
          </w:rPr>
          <w:t>6-34</w:t>
        </w:r>
        <w:r w:rsidRPr="00494238">
          <w:rPr>
            <w:i w:val="0"/>
            <w:iCs w:val="0"/>
            <w:webHidden/>
          </w:rPr>
          <w:fldChar w:fldCharType="end"/>
        </w:r>
      </w:hyperlink>
    </w:p>
    <w:p w14:paraId="494EBF12" w14:textId="1853A38F" w:rsidR="00494238" w:rsidRPr="00494238" w:rsidRDefault="00494238">
      <w:pPr>
        <w:pStyle w:val="TOC3"/>
        <w:rPr>
          <w:rFonts w:eastAsiaTheme="minorEastAsia"/>
          <w:i w:val="0"/>
          <w:iCs w:val="0"/>
          <w:kern w:val="2"/>
          <w14:ligatures w14:val="standardContextual"/>
        </w:rPr>
      </w:pPr>
      <w:hyperlink w:anchor="_Toc204411561" w:history="1">
        <w:r w:rsidRPr="00494238">
          <w:rPr>
            <w:rStyle w:val="Hyperlink"/>
            <w:i w:val="0"/>
            <w:iCs w:val="0"/>
          </w:rPr>
          <w:t>6.4.6</w:t>
        </w:r>
        <w:r w:rsidRPr="00494238">
          <w:rPr>
            <w:rFonts w:eastAsiaTheme="minorEastAsia"/>
            <w:i w:val="0"/>
            <w:iCs w:val="0"/>
            <w:kern w:val="2"/>
            <w14:ligatures w14:val="standardContextual"/>
          </w:rPr>
          <w:tab/>
        </w:r>
        <w:r w:rsidRPr="00494238">
          <w:rPr>
            <w:rStyle w:val="Hyperlink"/>
            <w:i w:val="0"/>
            <w:iCs w:val="0"/>
          </w:rPr>
          <w:t>Resource Status</w:t>
        </w:r>
        <w:r w:rsidRPr="00494238">
          <w:rPr>
            <w:i w:val="0"/>
            <w:iCs w:val="0"/>
            <w:webHidden/>
          </w:rPr>
          <w:tab/>
        </w:r>
        <w:r w:rsidRPr="00494238">
          <w:rPr>
            <w:i w:val="0"/>
            <w:iCs w:val="0"/>
            <w:webHidden/>
          </w:rPr>
          <w:fldChar w:fldCharType="begin"/>
        </w:r>
        <w:r w:rsidRPr="00494238">
          <w:rPr>
            <w:i w:val="0"/>
            <w:iCs w:val="0"/>
            <w:webHidden/>
          </w:rPr>
          <w:instrText xml:space="preserve"> PAGEREF _Toc204411561 \h </w:instrText>
        </w:r>
        <w:r w:rsidRPr="00494238">
          <w:rPr>
            <w:i w:val="0"/>
            <w:iCs w:val="0"/>
            <w:webHidden/>
          </w:rPr>
        </w:r>
        <w:r w:rsidRPr="00494238">
          <w:rPr>
            <w:i w:val="0"/>
            <w:iCs w:val="0"/>
            <w:webHidden/>
          </w:rPr>
          <w:fldChar w:fldCharType="separate"/>
        </w:r>
        <w:r w:rsidRPr="00494238">
          <w:rPr>
            <w:i w:val="0"/>
            <w:iCs w:val="0"/>
            <w:webHidden/>
          </w:rPr>
          <w:t>6-35</w:t>
        </w:r>
        <w:r w:rsidRPr="00494238">
          <w:rPr>
            <w:i w:val="0"/>
            <w:iCs w:val="0"/>
            <w:webHidden/>
          </w:rPr>
          <w:fldChar w:fldCharType="end"/>
        </w:r>
      </w:hyperlink>
    </w:p>
    <w:p w14:paraId="6D04F43F" w14:textId="7D0683CB" w:rsidR="00494238" w:rsidRPr="00494238" w:rsidRDefault="00494238">
      <w:pPr>
        <w:pStyle w:val="TOC3"/>
        <w:rPr>
          <w:rFonts w:eastAsiaTheme="minorEastAsia"/>
          <w:i w:val="0"/>
          <w:iCs w:val="0"/>
          <w:kern w:val="2"/>
          <w14:ligatures w14:val="standardContextual"/>
        </w:rPr>
      </w:pPr>
      <w:hyperlink w:anchor="_Toc204411562" w:history="1">
        <w:r w:rsidRPr="00494238">
          <w:rPr>
            <w:rStyle w:val="Hyperlink"/>
            <w:i w:val="0"/>
            <w:iCs w:val="0"/>
          </w:rPr>
          <w:t>6.4.7</w:t>
        </w:r>
        <w:r w:rsidRPr="00494238">
          <w:rPr>
            <w:rFonts w:eastAsiaTheme="minorEastAsia"/>
            <w:i w:val="0"/>
            <w:iCs w:val="0"/>
            <w:kern w:val="2"/>
            <w14:ligatures w14:val="standardContextual"/>
          </w:rPr>
          <w:tab/>
        </w:r>
        <w:r w:rsidRPr="00494238">
          <w:rPr>
            <w:rStyle w:val="Hyperlink"/>
            <w:i w:val="0"/>
            <w:iCs w:val="0"/>
          </w:rPr>
          <w:t>QSE-Requested Decommitment of Resources and Changes to Ancillary Service Resource Responsibility of Resources</w:t>
        </w:r>
        <w:r w:rsidRPr="00494238">
          <w:rPr>
            <w:i w:val="0"/>
            <w:iCs w:val="0"/>
            <w:webHidden/>
          </w:rPr>
          <w:tab/>
        </w:r>
        <w:r w:rsidRPr="00494238">
          <w:rPr>
            <w:i w:val="0"/>
            <w:iCs w:val="0"/>
            <w:webHidden/>
          </w:rPr>
          <w:fldChar w:fldCharType="begin"/>
        </w:r>
        <w:r w:rsidRPr="00494238">
          <w:rPr>
            <w:i w:val="0"/>
            <w:iCs w:val="0"/>
            <w:webHidden/>
          </w:rPr>
          <w:instrText xml:space="preserve"> PAGEREF _Toc204411562 \h </w:instrText>
        </w:r>
        <w:r w:rsidRPr="00494238">
          <w:rPr>
            <w:i w:val="0"/>
            <w:iCs w:val="0"/>
            <w:webHidden/>
          </w:rPr>
        </w:r>
        <w:r w:rsidRPr="00494238">
          <w:rPr>
            <w:i w:val="0"/>
            <w:iCs w:val="0"/>
            <w:webHidden/>
          </w:rPr>
          <w:fldChar w:fldCharType="separate"/>
        </w:r>
        <w:r w:rsidRPr="00494238">
          <w:rPr>
            <w:i w:val="0"/>
            <w:iCs w:val="0"/>
            <w:webHidden/>
          </w:rPr>
          <w:t>6-35</w:t>
        </w:r>
        <w:r w:rsidRPr="00494238">
          <w:rPr>
            <w:i w:val="0"/>
            <w:iCs w:val="0"/>
            <w:webHidden/>
          </w:rPr>
          <w:fldChar w:fldCharType="end"/>
        </w:r>
      </w:hyperlink>
    </w:p>
    <w:p w14:paraId="721B0580" w14:textId="203A26C9" w:rsidR="00494238" w:rsidRPr="00494238" w:rsidRDefault="00494238">
      <w:pPr>
        <w:pStyle w:val="TOC3"/>
        <w:rPr>
          <w:rFonts w:eastAsiaTheme="minorEastAsia"/>
          <w:i w:val="0"/>
          <w:iCs w:val="0"/>
          <w:kern w:val="2"/>
          <w14:ligatures w14:val="standardContextual"/>
        </w:rPr>
      </w:pPr>
      <w:hyperlink w:anchor="_Toc204411563" w:history="1">
        <w:r w:rsidRPr="00494238">
          <w:rPr>
            <w:rStyle w:val="Hyperlink"/>
            <w:i w:val="0"/>
            <w:iCs w:val="0"/>
          </w:rPr>
          <w:t>6.4.7</w:t>
        </w:r>
        <w:r w:rsidRPr="00494238">
          <w:rPr>
            <w:rFonts w:eastAsiaTheme="minorEastAsia"/>
            <w:i w:val="0"/>
            <w:iCs w:val="0"/>
            <w:kern w:val="2"/>
            <w14:ligatures w14:val="standardContextual"/>
          </w:rPr>
          <w:tab/>
        </w:r>
        <w:r w:rsidRPr="00494238">
          <w:rPr>
            <w:rStyle w:val="Hyperlink"/>
            <w:i w:val="0"/>
            <w:iCs w:val="0"/>
          </w:rPr>
          <w:t>QSE-Requested Decommitment of Resources</w:t>
        </w:r>
        <w:r w:rsidRPr="00494238">
          <w:rPr>
            <w:i w:val="0"/>
            <w:iCs w:val="0"/>
            <w:webHidden/>
          </w:rPr>
          <w:tab/>
        </w:r>
        <w:r w:rsidRPr="00494238">
          <w:rPr>
            <w:i w:val="0"/>
            <w:iCs w:val="0"/>
            <w:webHidden/>
          </w:rPr>
          <w:fldChar w:fldCharType="begin"/>
        </w:r>
        <w:r w:rsidRPr="00494238">
          <w:rPr>
            <w:i w:val="0"/>
            <w:iCs w:val="0"/>
            <w:webHidden/>
          </w:rPr>
          <w:instrText xml:space="preserve"> PAGEREF _Toc204411563 \h </w:instrText>
        </w:r>
        <w:r w:rsidRPr="00494238">
          <w:rPr>
            <w:i w:val="0"/>
            <w:iCs w:val="0"/>
            <w:webHidden/>
          </w:rPr>
        </w:r>
        <w:r w:rsidRPr="00494238">
          <w:rPr>
            <w:i w:val="0"/>
            <w:iCs w:val="0"/>
            <w:webHidden/>
          </w:rPr>
          <w:fldChar w:fldCharType="separate"/>
        </w:r>
        <w:r w:rsidRPr="00494238">
          <w:rPr>
            <w:i w:val="0"/>
            <w:iCs w:val="0"/>
            <w:webHidden/>
          </w:rPr>
          <w:t>6-36</w:t>
        </w:r>
        <w:r w:rsidRPr="00494238">
          <w:rPr>
            <w:i w:val="0"/>
            <w:iCs w:val="0"/>
            <w:webHidden/>
          </w:rPr>
          <w:fldChar w:fldCharType="end"/>
        </w:r>
      </w:hyperlink>
    </w:p>
    <w:p w14:paraId="11AF0001" w14:textId="6BC66BD7" w:rsidR="00494238" w:rsidRPr="00494238" w:rsidRDefault="00494238">
      <w:pPr>
        <w:pStyle w:val="TOC4"/>
        <w:rPr>
          <w:rFonts w:eastAsiaTheme="minorEastAsia"/>
          <w:kern w:val="2"/>
          <w:lang w:val="en-US"/>
          <w14:ligatures w14:val="standardContextual"/>
        </w:rPr>
      </w:pPr>
      <w:hyperlink w:anchor="_Toc204411564" w:history="1">
        <w:r w:rsidRPr="00494238">
          <w:rPr>
            <w:rStyle w:val="Hyperlink"/>
          </w:rPr>
          <w:t>6.4.7.1</w:t>
        </w:r>
        <w:r w:rsidRPr="00494238">
          <w:rPr>
            <w:rFonts w:eastAsiaTheme="minorEastAsia"/>
            <w:kern w:val="2"/>
            <w:lang w:val="en-US"/>
            <w14:ligatures w14:val="standardContextual"/>
          </w:rPr>
          <w:tab/>
        </w:r>
        <w:r w:rsidRPr="00494238">
          <w:rPr>
            <w:rStyle w:val="Hyperlink"/>
          </w:rPr>
          <w:t>QSE Request to Decommit Resources in the Operating Period</w:t>
        </w:r>
        <w:r w:rsidRPr="00494238">
          <w:rPr>
            <w:webHidden/>
          </w:rPr>
          <w:tab/>
        </w:r>
        <w:r w:rsidRPr="00494238">
          <w:rPr>
            <w:webHidden/>
          </w:rPr>
          <w:fldChar w:fldCharType="begin"/>
        </w:r>
        <w:r w:rsidRPr="00494238">
          <w:rPr>
            <w:webHidden/>
          </w:rPr>
          <w:instrText xml:space="preserve"> PAGEREF _Toc204411564 \h </w:instrText>
        </w:r>
        <w:r w:rsidRPr="00494238">
          <w:rPr>
            <w:webHidden/>
          </w:rPr>
        </w:r>
        <w:r w:rsidRPr="00494238">
          <w:rPr>
            <w:webHidden/>
          </w:rPr>
          <w:fldChar w:fldCharType="separate"/>
        </w:r>
        <w:r w:rsidRPr="00494238">
          <w:rPr>
            <w:webHidden/>
          </w:rPr>
          <w:t>6-37</w:t>
        </w:r>
        <w:r w:rsidRPr="00494238">
          <w:rPr>
            <w:webHidden/>
          </w:rPr>
          <w:fldChar w:fldCharType="end"/>
        </w:r>
      </w:hyperlink>
    </w:p>
    <w:p w14:paraId="019FEDA0" w14:textId="1E1E2BCC" w:rsidR="00494238" w:rsidRPr="00494238" w:rsidRDefault="00494238">
      <w:pPr>
        <w:pStyle w:val="TOC4"/>
        <w:rPr>
          <w:rFonts w:eastAsiaTheme="minorEastAsia"/>
          <w:kern w:val="2"/>
          <w:lang w:val="en-US"/>
          <w14:ligatures w14:val="standardContextual"/>
        </w:rPr>
      </w:pPr>
      <w:hyperlink w:anchor="_Toc204411565" w:history="1">
        <w:r w:rsidRPr="00494238">
          <w:rPr>
            <w:rStyle w:val="Hyperlink"/>
          </w:rPr>
          <w:t>6.4.7.2</w:t>
        </w:r>
        <w:r w:rsidRPr="00494238">
          <w:rPr>
            <w:rFonts w:eastAsiaTheme="minorEastAsia"/>
            <w:kern w:val="2"/>
            <w:lang w:val="en-US"/>
            <w14:ligatures w14:val="standardContextual"/>
          </w:rPr>
          <w:tab/>
        </w:r>
        <w:r w:rsidRPr="00494238">
          <w:rPr>
            <w:rStyle w:val="Hyperlink"/>
          </w:rPr>
          <w:t>QSE Request to Decommit Resources in the Adjustment Period</w:t>
        </w:r>
        <w:r w:rsidRPr="00494238">
          <w:rPr>
            <w:webHidden/>
          </w:rPr>
          <w:tab/>
        </w:r>
        <w:r w:rsidRPr="00494238">
          <w:rPr>
            <w:webHidden/>
          </w:rPr>
          <w:fldChar w:fldCharType="begin"/>
        </w:r>
        <w:r w:rsidRPr="00494238">
          <w:rPr>
            <w:webHidden/>
          </w:rPr>
          <w:instrText xml:space="preserve"> PAGEREF _Toc204411565 \h </w:instrText>
        </w:r>
        <w:r w:rsidRPr="00494238">
          <w:rPr>
            <w:webHidden/>
          </w:rPr>
        </w:r>
        <w:r w:rsidRPr="00494238">
          <w:rPr>
            <w:webHidden/>
          </w:rPr>
          <w:fldChar w:fldCharType="separate"/>
        </w:r>
        <w:r w:rsidRPr="00494238">
          <w:rPr>
            <w:webHidden/>
          </w:rPr>
          <w:t>6-37</w:t>
        </w:r>
        <w:r w:rsidRPr="00494238">
          <w:rPr>
            <w:webHidden/>
          </w:rPr>
          <w:fldChar w:fldCharType="end"/>
        </w:r>
      </w:hyperlink>
    </w:p>
    <w:p w14:paraId="6F6BBCA2" w14:textId="6A7912C5" w:rsidR="00494238" w:rsidRPr="00494238" w:rsidRDefault="00494238">
      <w:pPr>
        <w:pStyle w:val="TOC3"/>
        <w:rPr>
          <w:rFonts w:eastAsiaTheme="minorEastAsia"/>
          <w:i w:val="0"/>
          <w:iCs w:val="0"/>
          <w:kern w:val="2"/>
          <w14:ligatures w14:val="standardContextual"/>
        </w:rPr>
      </w:pPr>
      <w:hyperlink w:anchor="_Toc204411566" w:history="1">
        <w:r w:rsidRPr="00494238">
          <w:rPr>
            <w:rStyle w:val="Hyperlink"/>
            <w:i w:val="0"/>
            <w:iCs w:val="0"/>
          </w:rPr>
          <w:t>6.4.8</w:t>
        </w:r>
        <w:r w:rsidRPr="00494238">
          <w:rPr>
            <w:rFonts w:eastAsiaTheme="minorEastAsia"/>
            <w:i w:val="0"/>
            <w:iCs w:val="0"/>
            <w:kern w:val="2"/>
            <w14:ligatures w14:val="standardContextual"/>
          </w:rPr>
          <w:tab/>
        </w:r>
        <w:r w:rsidRPr="00494238">
          <w:rPr>
            <w:rStyle w:val="Hyperlink"/>
            <w:i w:val="0"/>
            <w:iCs w:val="0"/>
          </w:rPr>
          <w:t>Notification of Forced Outage of a Resource</w:t>
        </w:r>
        <w:r w:rsidRPr="00494238">
          <w:rPr>
            <w:i w:val="0"/>
            <w:iCs w:val="0"/>
            <w:webHidden/>
          </w:rPr>
          <w:tab/>
        </w:r>
        <w:r w:rsidRPr="00494238">
          <w:rPr>
            <w:i w:val="0"/>
            <w:iCs w:val="0"/>
            <w:webHidden/>
          </w:rPr>
          <w:fldChar w:fldCharType="begin"/>
        </w:r>
        <w:r w:rsidRPr="00494238">
          <w:rPr>
            <w:i w:val="0"/>
            <w:iCs w:val="0"/>
            <w:webHidden/>
          </w:rPr>
          <w:instrText xml:space="preserve"> PAGEREF _Toc204411566 \h </w:instrText>
        </w:r>
        <w:r w:rsidRPr="00494238">
          <w:rPr>
            <w:i w:val="0"/>
            <w:iCs w:val="0"/>
            <w:webHidden/>
          </w:rPr>
        </w:r>
        <w:r w:rsidRPr="00494238">
          <w:rPr>
            <w:i w:val="0"/>
            <w:iCs w:val="0"/>
            <w:webHidden/>
          </w:rPr>
          <w:fldChar w:fldCharType="separate"/>
        </w:r>
        <w:r w:rsidRPr="00494238">
          <w:rPr>
            <w:i w:val="0"/>
            <w:iCs w:val="0"/>
            <w:webHidden/>
          </w:rPr>
          <w:t>6-38</w:t>
        </w:r>
        <w:r w:rsidRPr="00494238">
          <w:rPr>
            <w:i w:val="0"/>
            <w:iCs w:val="0"/>
            <w:webHidden/>
          </w:rPr>
          <w:fldChar w:fldCharType="end"/>
        </w:r>
      </w:hyperlink>
    </w:p>
    <w:p w14:paraId="133084D2" w14:textId="2E94D9B4" w:rsidR="00494238" w:rsidRPr="00494238" w:rsidRDefault="00494238">
      <w:pPr>
        <w:pStyle w:val="TOC3"/>
        <w:rPr>
          <w:rFonts w:eastAsiaTheme="minorEastAsia"/>
          <w:i w:val="0"/>
          <w:iCs w:val="0"/>
          <w:kern w:val="2"/>
          <w14:ligatures w14:val="standardContextual"/>
        </w:rPr>
      </w:pPr>
      <w:hyperlink w:anchor="_Toc204411567" w:history="1">
        <w:r w:rsidRPr="00494238">
          <w:rPr>
            <w:rStyle w:val="Hyperlink"/>
            <w:i w:val="0"/>
            <w:iCs w:val="0"/>
          </w:rPr>
          <w:t>6.4.9</w:t>
        </w:r>
        <w:r w:rsidRPr="00494238">
          <w:rPr>
            <w:rFonts w:eastAsiaTheme="minorEastAsia"/>
            <w:i w:val="0"/>
            <w:iCs w:val="0"/>
            <w:kern w:val="2"/>
            <w14:ligatures w14:val="standardContextual"/>
          </w:rPr>
          <w:tab/>
        </w:r>
        <w:r w:rsidRPr="00494238">
          <w:rPr>
            <w:rStyle w:val="Hyperlink"/>
            <w:i w:val="0"/>
            <w:iCs w:val="0"/>
          </w:rPr>
          <w:t>Ancillary Services Capacity During the Adjustment Period and in Real-Time</w:t>
        </w:r>
        <w:r w:rsidRPr="00494238">
          <w:rPr>
            <w:i w:val="0"/>
            <w:iCs w:val="0"/>
            <w:webHidden/>
          </w:rPr>
          <w:tab/>
        </w:r>
        <w:r w:rsidRPr="00494238">
          <w:rPr>
            <w:i w:val="0"/>
            <w:iCs w:val="0"/>
            <w:webHidden/>
          </w:rPr>
          <w:fldChar w:fldCharType="begin"/>
        </w:r>
        <w:r w:rsidRPr="00494238">
          <w:rPr>
            <w:i w:val="0"/>
            <w:iCs w:val="0"/>
            <w:webHidden/>
          </w:rPr>
          <w:instrText xml:space="preserve"> PAGEREF _Toc204411567 \h </w:instrText>
        </w:r>
        <w:r w:rsidRPr="00494238">
          <w:rPr>
            <w:i w:val="0"/>
            <w:iCs w:val="0"/>
            <w:webHidden/>
          </w:rPr>
        </w:r>
        <w:r w:rsidRPr="00494238">
          <w:rPr>
            <w:i w:val="0"/>
            <w:iCs w:val="0"/>
            <w:webHidden/>
          </w:rPr>
          <w:fldChar w:fldCharType="separate"/>
        </w:r>
        <w:r w:rsidRPr="00494238">
          <w:rPr>
            <w:i w:val="0"/>
            <w:iCs w:val="0"/>
            <w:webHidden/>
          </w:rPr>
          <w:t>6-38</w:t>
        </w:r>
        <w:r w:rsidRPr="00494238">
          <w:rPr>
            <w:i w:val="0"/>
            <w:iCs w:val="0"/>
            <w:webHidden/>
          </w:rPr>
          <w:fldChar w:fldCharType="end"/>
        </w:r>
      </w:hyperlink>
    </w:p>
    <w:p w14:paraId="476435F2" w14:textId="3C917808" w:rsidR="00494238" w:rsidRPr="00494238" w:rsidRDefault="00494238">
      <w:pPr>
        <w:pStyle w:val="TOC3"/>
        <w:rPr>
          <w:rFonts w:eastAsiaTheme="minorEastAsia"/>
          <w:i w:val="0"/>
          <w:iCs w:val="0"/>
          <w:kern w:val="2"/>
          <w14:ligatures w14:val="standardContextual"/>
        </w:rPr>
      </w:pPr>
      <w:hyperlink w:anchor="_Toc204411568" w:history="1">
        <w:r w:rsidRPr="00494238">
          <w:rPr>
            <w:rStyle w:val="Hyperlink"/>
            <w:i w:val="0"/>
            <w:iCs w:val="0"/>
          </w:rPr>
          <w:t>6.4.9</w:t>
        </w:r>
        <w:r w:rsidRPr="00494238">
          <w:rPr>
            <w:rFonts w:eastAsiaTheme="minorEastAsia"/>
            <w:i w:val="0"/>
            <w:iCs w:val="0"/>
            <w:kern w:val="2"/>
            <w14:ligatures w14:val="standardContextual"/>
          </w:rPr>
          <w:tab/>
        </w:r>
        <w:r w:rsidRPr="00494238">
          <w:rPr>
            <w:rStyle w:val="Hyperlink"/>
            <w:i w:val="0"/>
            <w:iCs w:val="0"/>
          </w:rPr>
          <w:t>Real-Time Ancillary Service Offers and Awards</w:t>
        </w:r>
        <w:r w:rsidRPr="00494238">
          <w:rPr>
            <w:i w:val="0"/>
            <w:iCs w:val="0"/>
            <w:webHidden/>
          </w:rPr>
          <w:tab/>
        </w:r>
        <w:r w:rsidRPr="00494238">
          <w:rPr>
            <w:i w:val="0"/>
            <w:iCs w:val="0"/>
            <w:webHidden/>
          </w:rPr>
          <w:fldChar w:fldCharType="begin"/>
        </w:r>
        <w:r w:rsidRPr="00494238">
          <w:rPr>
            <w:i w:val="0"/>
            <w:iCs w:val="0"/>
            <w:webHidden/>
          </w:rPr>
          <w:instrText xml:space="preserve"> PAGEREF _Toc204411568 \h </w:instrText>
        </w:r>
        <w:r w:rsidRPr="00494238">
          <w:rPr>
            <w:i w:val="0"/>
            <w:iCs w:val="0"/>
            <w:webHidden/>
          </w:rPr>
        </w:r>
        <w:r w:rsidRPr="00494238">
          <w:rPr>
            <w:i w:val="0"/>
            <w:iCs w:val="0"/>
            <w:webHidden/>
          </w:rPr>
          <w:fldChar w:fldCharType="separate"/>
        </w:r>
        <w:r w:rsidRPr="00494238">
          <w:rPr>
            <w:i w:val="0"/>
            <w:iCs w:val="0"/>
            <w:webHidden/>
          </w:rPr>
          <w:t>6-39</w:t>
        </w:r>
        <w:r w:rsidRPr="00494238">
          <w:rPr>
            <w:i w:val="0"/>
            <w:iCs w:val="0"/>
            <w:webHidden/>
          </w:rPr>
          <w:fldChar w:fldCharType="end"/>
        </w:r>
      </w:hyperlink>
    </w:p>
    <w:p w14:paraId="6A764D98" w14:textId="02B54FB9" w:rsidR="00494238" w:rsidRPr="00494238" w:rsidRDefault="00494238">
      <w:pPr>
        <w:pStyle w:val="TOC4"/>
        <w:rPr>
          <w:rFonts w:eastAsiaTheme="minorEastAsia"/>
          <w:kern w:val="2"/>
          <w:lang w:val="en-US"/>
          <w14:ligatures w14:val="standardContextual"/>
        </w:rPr>
      </w:pPr>
      <w:hyperlink w:anchor="_Toc204411569" w:history="1">
        <w:r w:rsidRPr="00494238">
          <w:rPr>
            <w:rStyle w:val="Hyperlink"/>
          </w:rPr>
          <w:t>6.4.9.1</w:t>
        </w:r>
        <w:r w:rsidRPr="00494238">
          <w:rPr>
            <w:rFonts w:eastAsiaTheme="minorEastAsia"/>
            <w:kern w:val="2"/>
            <w:lang w:val="en-US"/>
            <w14:ligatures w14:val="standardContextual"/>
          </w:rPr>
          <w:tab/>
        </w:r>
        <w:r w:rsidRPr="00494238">
          <w:rPr>
            <w:rStyle w:val="Hyperlink"/>
          </w:rPr>
          <w:t>Evaluation and Maintenance of Ancillary Service Capacity Sufficiency</w:t>
        </w:r>
        <w:r w:rsidRPr="00494238">
          <w:rPr>
            <w:webHidden/>
          </w:rPr>
          <w:tab/>
        </w:r>
        <w:r w:rsidRPr="00494238">
          <w:rPr>
            <w:webHidden/>
          </w:rPr>
          <w:fldChar w:fldCharType="begin"/>
        </w:r>
        <w:r w:rsidRPr="00494238">
          <w:rPr>
            <w:webHidden/>
          </w:rPr>
          <w:instrText xml:space="preserve"> PAGEREF _Toc204411569 \h </w:instrText>
        </w:r>
        <w:r w:rsidRPr="00494238">
          <w:rPr>
            <w:webHidden/>
          </w:rPr>
        </w:r>
        <w:r w:rsidRPr="00494238">
          <w:rPr>
            <w:webHidden/>
          </w:rPr>
          <w:fldChar w:fldCharType="separate"/>
        </w:r>
        <w:r w:rsidRPr="00494238">
          <w:rPr>
            <w:webHidden/>
          </w:rPr>
          <w:t>6-39</w:t>
        </w:r>
        <w:r w:rsidRPr="00494238">
          <w:rPr>
            <w:webHidden/>
          </w:rPr>
          <w:fldChar w:fldCharType="end"/>
        </w:r>
      </w:hyperlink>
    </w:p>
    <w:p w14:paraId="578BA166" w14:textId="67105CCA" w:rsidR="00494238" w:rsidRPr="00494238" w:rsidRDefault="00494238">
      <w:pPr>
        <w:pStyle w:val="TOC4"/>
        <w:rPr>
          <w:rFonts w:eastAsiaTheme="minorEastAsia"/>
          <w:kern w:val="2"/>
          <w:lang w:val="en-US"/>
          <w14:ligatures w14:val="standardContextual"/>
        </w:rPr>
      </w:pPr>
      <w:hyperlink w:anchor="_Toc204411570" w:history="1">
        <w:r w:rsidRPr="00494238">
          <w:rPr>
            <w:rStyle w:val="Hyperlink"/>
            <w:snapToGrid w:val="0"/>
          </w:rPr>
          <w:t>6.4.9.1</w:t>
        </w:r>
        <w:r w:rsidRPr="00494238">
          <w:rPr>
            <w:rFonts w:eastAsiaTheme="minorEastAsia"/>
            <w:kern w:val="2"/>
            <w:lang w:val="en-US"/>
            <w14:ligatures w14:val="standardContextual"/>
          </w:rPr>
          <w:tab/>
        </w:r>
        <w:r w:rsidRPr="00494238">
          <w:rPr>
            <w:rStyle w:val="Hyperlink"/>
            <w:snapToGrid w:val="0"/>
          </w:rPr>
          <w:t>Ancillary Service Offers</w:t>
        </w:r>
        <w:r w:rsidRPr="00494238">
          <w:rPr>
            <w:webHidden/>
          </w:rPr>
          <w:tab/>
        </w:r>
        <w:r w:rsidRPr="00494238">
          <w:rPr>
            <w:webHidden/>
          </w:rPr>
          <w:fldChar w:fldCharType="begin"/>
        </w:r>
        <w:r w:rsidRPr="00494238">
          <w:rPr>
            <w:webHidden/>
          </w:rPr>
          <w:instrText xml:space="preserve"> PAGEREF _Toc204411570 \h </w:instrText>
        </w:r>
        <w:r w:rsidRPr="00494238">
          <w:rPr>
            <w:webHidden/>
          </w:rPr>
        </w:r>
        <w:r w:rsidRPr="00494238">
          <w:rPr>
            <w:webHidden/>
          </w:rPr>
          <w:fldChar w:fldCharType="separate"/>
        </w:r>
        <w:r w:rsidRPr="00494238">
          <w:rPr>
            <w:webHidden/>
          </w:rPr>
          <w:t>6-39</w:t>
        </w:r>
        <w:r w:rsidRPr="00494238">
          <w:rPr>
            <w:webHidden/>
          </w:rPr>
          <w:fldChar w:fldCharType="end"/>
        </w:r>
      </w:hyperlink>
    </w:p>
    <w:p w14:paraId="22BBB673" w14:textId="049C1C39" w:rsidR="00494238" w:rsidRPr="00494238" w:rsidRDefault="00494238">
      <w:pPr>
        <w:pStyle w:val="TOC5"/>
        <w:rPr>
          <w:rFonts w:eastAsiaTheme="minorEastAsia"/>
          <w:i w:val="0"/>
          <w:kern w:val="2"/>
          <w:sz w:val="20"/>
          <w:szCs w:val="20"/>
          <w14:ligatures w14:val="standardContextual"/>
        </w:rPr>
      </w:pPr>
      <w:hyperlink w:anchor="_Toc204411571" w:history="1">
        <w:r w:rsidRPr="00494238">
          <w:rPr>
            <w:rStyle w:val="Hyperlink"/>
            <w:i w:val="0"/>
            <w:sz w:val="20"/>
            <w:szCs w:val="20"/>
          </w:rPr>
          <w:t>6.4.9.1.1</w:t>
        </w:r>
        <w:r w:rsidRPr="00494238">
          <w:rPr>
            <w:rFonts w:eastAsiaTheme="minorEastAsia"/>
            <w:i w:val="0"/>
            <w:kern w:val="2"/>
            <w:sz w:val="20"/>
            <w:szCs w:val="20"/>
            <w14:ligatures w14:val="standardContextual"/>
          </w:rPr>
          <w:tab/>
        </w:r>
        <w:r w:rsidRPr="00494238">
          <w:rPr>
            <w:rStyle w:val="Hyperlink"/>
            <w:i w:val="0"/>
            <w:sz w:val="20"/>
            <w:szCs w:val="20"/>
          </w:rPr>
          <w:t>ERCOT Increases to the Ancillary Services Plan</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_Toc204411571 \h </w:instrText>
        </w:r>
        <w:r w:rsidRPr="00494238">
          <w:rPr>
            <w:i w:val="0"/>
            <w:webHidden/>
            <w:sz w:val="20"/>
            <w:szCs w:val="20"/>
          </w:rPr>
        </w:r>
        <w:r w:rsidRPr="00494238">
          <w:rPr>
            <w:i w:val="0"/>
            <w:webHidden/>
            <w:sz w:val="20"/>
            <w:szCs w:val="20"/>
          </w:rPr>
          <w:fldChar w:fldCharType="separate"/>
        </w:r>
        <w:r w:rsidRPr="00494238">
          <w:rPr>
            <w:i w:val="0"/>
            <w:webHidden/>
            <w:sz w:val="20"/>
            <w:szCs w:val="20"/>
          </w:rPr>
          <w:t>6-40</w:t>
        </w:r>
        <w:r w:rsidRPr="00494238">
          <w:rPr>
            <w:i w:val="0"/>
            <w:webHidden/>
            <w:sz w:val="20"/>
            <w:szCs w:val="20"/>
          </w:rPr>
          <w:fldChar w:fldCharType="end"/>
        </w:r>
      </w:hyperlink>
    </w:p>
    <w:p w14:paraId="16531EF0" w14:textId="5BECE25E" w:rsidR="00494238" w:rsidRPr="00494238" w:rsidRDefault="00494238">
      <w:pPr>
        <w:pStyle w:val="TOC5"/>
        <w:rPr>
          <w:rFonts w:eastAsiaTheme="minorEastAsia"/>
          <w:i w:val="0"/>
          <w:kern w:val="2"/>
          <w:sz w:val="20"/>
          <w:szCs w:val="20"/>
          <w14:ligatures w14:val="standardContextual"/>
        </w:rPr>
      </w:pPr>
      <w:hyperlink w:anchor="_Toc204411572" w:history="1">
        <w:r w:rsidRPr="00494238">
          <w:rPr>
            <w:rStyle w:val="Hyperlink"/>
            <w:i w:val="0"/>
            <w:sz w:val="20"/>
            <w:szCs w:val="20"/>
          </w:rPr>
          <w:t>6.4.9.1.2</w:t>
        </w:r>
        <w:r w:rsidRPr="00494238">
          <w:rPr>
            <w:rFonts w:eastAsiaTheme="minorEastAsia"/>
            <w:i w:val="0"/>
            <w:kern w:val="2"/>
            <w:sz w:val="20"/>
            <w:szCs w:val="20"/>
            <w14:ligatures w14:val="standardContextual"/>
          </w:rPr>
          <w:tab/>
        </w:r>
        <w:r w:rsidRPr="00494238">
          <w:rPr>
            <w:rStyle w:val="Hyperlink"/>
            <w:i w:val="0"/>
            <w:sz w:val="20"/>
            <w:szCs w:val="20"/>
          </w:rPr>
          <w:t>Replacement of Infeasible Ancillary Service Due to Transmission Constraints</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_Toc204411572 \h </w:instrText>
        </w:r>
        <w:r w:rsidRPr="00494238">
          <w:rPr>
            <w:i w:val="0"/>
            <w:webHidden/>
            <w:sz w:val="20"/>
            <w:szCs w:val="20"/>
          </w:rPr>
        </w:r>
        <w:r w:rsidRPr="00494238">
          <w:rPr>
            <w:i w:val="0"/>
            <w:webHidden/>
            <w:sz w:val="20"/>
            <w:szCs w:val="20"/>
          </w:rPr>
          <w:fldChar w:fldCharType="separate"/>
        </w:r>
        <w:r w:rsidRPr="00494238">
          <w:rPr>
            <w:i w:val="0"/>
            <w:webHidden/>
            <w:sz w:val="20"/>
            <w:szCs w:val="20"/>
          </w:rPr>
          <w:t>6-41</w:t>
        </w:r>
        <w:r w:rsidRPr="00494238">
          <w:rPr>
            <w:i w:val="0"/>
            <w:webHidden/>
            <w:sz w:val="20"/>
            <w:szCs w:val="20"/>
          </w:rPr>
          <w:fldChar w:fldCharType="end"/>
        </w:r>
      </w:hyperlink>
    </w:p>
    <w:p w14:paraId="0DD6A9C5" w14:textId="214D0096" w:rsidR="00494238" w:rsidRPr="00494238" w:rsidRDefault="00494238">
      <w:pPr>
        <w:pStyle w:val="TOC5"/>
        <w:rPr>
          <w:rFonts w:eastAsiaTheme="minorEastAsia"/>
          <w:i w:val="0"/>
          <w:kern w:val="2"/>
          <w:sz w:val="20"/>
          <w:szCs w:val="20"/>
          <w14:ligatures w14:val="standardContextual"/>
        </w:rPr>
      </w:pPr>
      <w:hyperlink w:anchor="_Toc204411573" w:history="1">
        <w:r w:rsidRPr="00494238">
          <w:rPr>
            <w:rStyle w:val="Hyperlink"/>
            <w:i w:val="0"/>
            <w:sz w:val="20"/>
            <w:szCs w:val="20"/>
          </w:rPr>
          <w:t>6.4.9.1.3</w:t>
        </w:r>
        <w:r w:rsidRPr="00494238">
          <w:rPr>
            <w:rFonts w:eastAsiaTheme="minorEastAsia"/>
            <w:i w:val="0"/>
            <w:kern w:val="2"/>
            <w:sz w:val="20"/>
            <w:szCs w:val="20"/>
            <w14:ligatures w14:val="standardContextual"/>
          </w:rPr>
          <w:tab/>
        </w:r>
        <w:r w:rsidRPr="00494238">
          <w:rPr>
            <w:rStyle w:val="Hyperlink"/>
            <w:i w:val="0"/>
            <w:sz w:val="20"/>
            <w:szCs w:val="20"/>
          </w:rPr>
          <w:t>Failure to Provide Ancillary Service</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_Toc204411573 \h </w:instrText>
        </w:r>
        <w:r w:rsidRPr="00494238">
          <w:rPr>
            <w:i w:val="0"/>
            <w:webHidden/>
            <w:sz w:val="20"/>
            <w:szCs w:val="20"/>
          </w:rPr>
        </w:r>
        <w:r w:rsidRPr="00494238">
          <w:rPr>
            <w:i w:val="0"/>
            <w:webHidden/>
            <w:sz w:val="20"/>
            <w:szCs w:val="20"/>
          </w:rPr>
          <w:fldChar w:fldCharType="separate"/>
        </w:r>
        <w:r w:rsidRPr="00494238">
          <w:rPr>
            <w:i w:val="0"/>
            <w:webHidden/>
            <w:sz w:val="20"/>
            <w:szCs w:val="20"/>
          </w:rPr>
          <w:t>6-42</w:t>
        </w:r>
        <w:r w:rsidRPr="00494238">
          <w:rPr>
            <w:i w:val="0"/>
            <w:webHidden/>
            <w:sz w:val="20"/>
            <w:szCs w:val="20"/>
          </w:rPr>
          <w:fldChar w:fldCharType="end"/>
        </w:r>
      </w:hyperlink>
    </w:p>
    <w:p w14:paraId="7F3B901A" w14:textId="2E0B158B" w:rsidR="00494238" w:rsidRPr="00494238" w:rsidRDefault="00494238">
      <w:pPr>
        <w:pStyle w:val="TOC5"/>
        <w:rPr>
          <w:rFonts w:eastAsiaTheme="minorEastAsia"/>
          <w:i w:val="0"/>
          <w:kern w:val="2"/>
          <w:sz w:val="20"/>
          <w:szCs w:val="20"/>
          <w14:ligatures w14:val="standardContextual"/>
        </w:rPr>
      </w:pPr>
      <w:hyperlink w:anchor="_Toc204411574" w:history="1">
        <w:r w:rsidRPr="00494238">
          <w:rPr>
            <w:rStyle w:val="Hyperlink"/>
            <w:i w:val="0"/>
            <w:sz w:val="20"/>
            <w:szCs w:val="20"/>
          </w:rPr>
          <w:t>6.4.9.1.2</w:t>
        </w:r>
        <w:r w:rsidRPr="00494238">
          <w:rPr>
            <w:rFonts w:eastAsiaTheme="minorEastAsia"/>
            <w:i w:val="0"/>
            <w:kern w:val="2"/>
            <w:sz w:val="20"/>
            <w:szCs w:val="20"/>
            <w14:ligatures w14:val="standardContextual"/>
          </w:rPr>
          <w:tab/>
        </w:r>
        <w:r w:rsidRPr="00494238">
          <w:rPr>
            <w:rStyle w:val="Hyperlink"/>
            <w:i w:val="0"/>
            <w:sz w:val="20"/>
            <w:szCs w:val="20"/>
          </w:rPr>
          <w:t>Changes to Operating Day Ancillary Service Plan</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_Toc204411574 \h </w:instrText>
        </w:r>
        <w:r w:rsidRPr="00494238">
          <w:rPr>
            <w:i w:val="0"/>
            <w:webHidden/>
            <w:sz w:val="20"/>
            <w:szCs w:val="20"/>
          </w:rPr>
        </w:r>
        <w:r w:rsidRPr="00494238">
          <w:rPr>
            <w:i w:val="0"/>
            <w:webHidden/>
            <w:sz w:val="20"/>
            <w:szCs w:val="20"/>
          </w:rPr>
          <w:fldChar w:fldCharType="separate"/>
        </w:r>
        <w:r w:rsidRPr="00494238">
          <w:rPr>
            <w:i w:val="0"/>
            <w:webHidden/>
            <w:sz w:val="20"/>
            <w:szCs w:val="20"/>
          </w:rPr>
          <w:t>6-43</w:t>
        </w:r>
        <w:r w:rsidRPr="00494238">
          <w:rPr>
            <w:i w:val="0"/>
            <w:webHidden/>
            <w:sz w:val="20"/>
            <w:szCs w:val="20"/>
          </w:rPr>
          <w:fldChar w:fldCharType="end"/>
        </w:r>
      </w:hyperlink>
    </w:p>
    <w:p w14:paraId="2B1435B9" w14:textId="74420039" w:rsidR="00494238" w:rsidRPr="00494238" w:rsidRDefault="00494238">
      <w:pPr>
        <w:pStyle w:val="TOC4"/>
        <w:rPr>
          <w:rFonts w:eastAsiaTheme="minorEastAsia"/>
          <w:kern w:val="2"/>
          <w:lang w:val="en-US"/>
          <w14:ligatures w14:val="standardContextual"/>
        </w:rPr>
      </w:pPr>
      <w:hyperlink w:anchor="_Toc204411575" w:history="1">
        <w:r w:rsidRPr="00494238">
          <w:rPr>
            <w:rStyle w:val="Hyperlink"/>
          </w:rPr>
          <w:t>6.4.9.2</w:t>
        </w:r>
        <w:r w:rsidRPr="00494238">
          <w:rPr>
            <w:rFonts w:eastAsiaTheme="minorEastAsia"/>
            <w:kern w:val="2"/>
            <w:lang w:val="en-US"/>
            <w14:ligatures w14:val="standardContextual"/>
          </w:rPr>
          <w:tab/>
        </w:r>
        <w:r w:rsidRPr="00494238">
          <w:rPr>
            <w:rStyle w:val="Hyperlink"/>
          </w:rPr>
          <w:t>Supplemental Ancillary Services Market</w:t>
        </w:r>
        <w:r w:rsidRPr="00494238">
          <w:rPr>
            <w:webHidden/>
          </w:rPr>
          <w:tab/>
        </w:r>
        <w:r w:rsidRPr="00494238">
          <w:rPr>
            <w:webHidden/>
          </w:rPr>
          <w:fldChar w:fldCharType="begin"/>
        </w:r>
        <w:r w:rsidRPr="00494238">
          <w:rPr>
            <w:webHidden/>
          </w:rPr>
          <w:instrText xml:space="preserve"> PAGEREF _Toc204411575 \h </w:instrText>
        </w:r>
        <w:r w:rsidRPr="00494238">
          <w:rPr>
            <w:webHidden/>
          </w:rPr>
        </w:r>
        <w:r w:rsidRPr="00494238">
          <w:rPr>
            <w:webHidden/>
          </w:rPr>
          <w:fldChar w:fldCharType="separate"/>
        </w:r>
        <w:r w:rsidRPr="00494238">
          <w:rPr>
            <w:webHidden/>
          </w:rPr>
          <w:t>6-43</w:t>
        </w:r>
        <w:r w:rsidRPr="00494238">
          <w:rPr>
            <w:webHidden/>
          </w:rPr>
          <w:fldChar w:fldCharType="end"/>
        </w:r>
      </w:hyperlink>
    </w:p>
    <w:p w14:paraId="415DD2D9" w14:textId="2764D1FA" w:rsidR="00494238" w:rsidRPr="00494238" w:rsidRDefault="00494238">
      <w:pPr>
        <w:pStyle w:val="TOC5"/>
        <w:rPr>
          <w:rFonts w:eastAsiaTheme="minorEastAsia"/>
          <w:i w:val="0"/>
          <w:kern w:val="2"/>
          <w:sz w:val="20"/>
          <w:szCs w:val="20"/>
          <w14:ligatures w14:val="standardContextual"/>
        </w:rPr>
      </w:pPr>
      <w:hyperlink w:anchor="_Toc204411576" w:history="1">
        <w:r w:rsidRPr="00494238">
          <w:rPr>
            <w:rStyle w:val="Hyperlink"/>
            <w:i w:val="0"/>
            <w:sz w:val="20"/>
            <w:szCs w:val="20"/>
          </w:rPr>
          <w:t>6.4.9.2.1</w:t>
        </w:r>
        <w:r w:rsidRPr="00494238">
          <w:rPr>
            <w:rFonts w:eastAsiaTheme="minorEastAsia"/>
            <w:i w:val="0"/>
            <w:kern w:val="2"/>
            <w:sz w:val="20"/>
            <w:szCs w:val="20"/>
            <w14:ligatures w14:val="standardContextual"/>
          </w:rPr>
          <w:tab/>
        </w:r>
        <w:r w:rsidRPr="00494238">
          <w:rPr>
            <w:rStyle w:val="Hyperlink"/>
            <w:i w:val="0"/>
            <w:sz w:val="20"/>
            <w:szCs w:val="20"/>
          </w:rPr>
          <w:t>Resubmitting Offers for Ancillary Services in the Adjustment Period</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_Toc204411576 \h </w:instrText>
        </w:r>
        <w:r w:rsidRPr="00494238">
          <w:rPr>
            <w:i w:val="0"/>
            <w:webHidden/>
            <w:sz w:val="20"/>
            <w:szCs w:val="20"/>
          </w:rPr>
        </w:r>
        <w:r w:rsidRPr="00494238">
          <w:rPr>
            <w:i w:val="0"/>
            <w:webHidden/>
            <w:sz w:val="20"/>
            <w:szCs w:val="20"/>
          </w:rPr>
          <w:fldChar w:fldCharType="separate"/>
        </w:r>
        <w:r w:rsidRPr="00494238">
          <w:rPr>
            <w:i w:val="0"/>
            <w:webHidden/>
            <w:sz w:val="20"/>
            <w:szCs w:val="20"/>
          </w:rPr>
          <w:t>6-45</w:t>
        </w:r>
        <w:r w:rsidRPr="00494238">
          <w:rPr>
            <w:i w:val="0"/>
            <w:webHidden/>
            <w:sz w:val="20"/>
            <w:szCs w:val="20"/>
          </w:rPr>
          <w:fldChar w:fldCharType="end"/>
        </w:r>
      </w:hyperlink>
    </w:p>
    <w:p w14:paraId="476EA41A" w14:textId="3EF07782" w:rsidR="00494238" w:rsidRPr="00494238" w:rsidRDefault="00494238">
      <w:pPr>
        <w:pStyle w:val="TOC5"/>
        <w:rPr>
          <w:rFonts w:eastAsiaTheme="minorEastAsia"/>
          <w:i w:val="0"/>
          <w:kern w:val="2"/>
          <w:sz w:val="20"/>
          <w:szCs w:val="20"/>
          <w14:ligatures w14:val="standardContextual"/>
        </w:rPr>
      </w:pPr>
      <w:hyperlink w:anchor="_Toc204411577" w:history="1">
        <w:r w:rsidRPr="00494238">
          <w:rPr>
            <w:rStyle w:val="Hyperlink"/>
            <w:i w:val="0"/>
            <w:sz w:val="20"/>
            <w:szCs w:val="20"/>
          </w:rPr>
          <w:t>6.4.9.2.2</w:t>
        </w:r>
        <w:r w:rsidRPr="00494238">
          <w:rPr>
            <w:rFonts w:eastAsiaTheme="minorEastAsia"/>
            <w:i w:val="0"/>
            <w:kern w:val="2"/>
            <w:sz w:val="20"/>
            <w:szCs w:val="20"/>
            <w14:ligatures w14:val="standardContextual"/>
          </w:rPr>
          <w:tab/>
        </w:r>
        <w:r w:rsidRPr="00494238">
          <w:rPr>
            <w:rStyle w:val="Hyperlink"/>
            <w:i w:val="0"/>
            <w:sz w:val="20"/>
            <w:szCs w:val="20"/>
          </w:rPr>
          <w:t>SASM Clearing Process</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_Toc204411577 \h </w:instrText>
        </w:r>
        <w:r w:rsidRPr="00494238">
          <w:rPr>
            <w:i w:val="0"/>
            <w:webHidden/>
            <w:sz w:val="20"/>
            <w:szCs w:val="20"/>
          </w:rPr>
        </w:r>
        <w:r w:rsidRPr="00494238">
          <w:rPr>
            <w:i w:val="0"/>
            <w:webHidden/>
            <w:sz w:val="20"/>
            <w:szCs w:val="20"/>
          </w:rPr>
          <w:fldChar w:fldCharType="separate"/>
        </w:r>
        <w:r w:rsidRPr="00494238">
          <w:rPr>
            <w:i w:val="0"/>
            <w:webHidden/>
            <w:sz w:val="20"/>
            <w:szCs w:val="20"/>
          </w:rPr>
          <w:t>6-45</w:t>
        </w:r>
        <w:r w:rsidRPr="00494238">
          <w:rPr>
            <w:i w:val="0"/>
            <w:webHidden/>
            <w:sz w:val="20"/>
            <w:szCs w:val="20"/>
          </w:rPr>
          <w:fldChar w:fldCharType="end"/>
        </w:r>
      </w:hyperlink>
    </w:p>
    <w:p w14:paraId="7A9A480B" w14:textId="7D1A9918" w:rsidR="00494238" w:rsidRPr="00494238" w:rsidRDefault="00494238">
      <w:pPr>
        <w:pStyle w:val="TOC5"/>
        <w:rPr>
          <w:rFonts w:eastAsiaTheme="minorEastAsia"/>
          <w:i w:val="0"/>
          <w:kern w:val="2"/>
          <w:sz w:val="20"/>
          <w:szCs w:val="20"/>
          <w14:ligatures w14:val="standardContextual"/>
        </w:rPr>
      </w:pPr>
      <w:hyperlink w:anchor="_Toc204411578" w:history="1">
        <w:r w:rsidRPr="00494238">
          <w:rPr>
            <w:rStyle w:val="Hyperlink"/>
            <w:i w:val="0"/>
            <w:sz w:val="20"/>
            <w:szCs w:val="20"/>
          </w:rPr>
          <w:t>6.4.9.2.3</w:t>
        </w:r>
        <w:r w:rsidRPr="00494238">
          <w:rPr>
            <w:rFonts w:eastAsiaTheme="minorEastAsia"/>
            <w:i w:val="0"/>
            <w:kern w:val="2"/>
            <w:sz w:val="20"/>
            <w:szCs w:val="20"/>
            <w14:ligatures w14:val="standardContextual"/>
          </w:rPr>
          <w:tab/>
        </w:r>
        <w:r w:rsidRPr="00494238">
          <w:rPr>
            <w:rStyle w:val="Hyperlink"/>
            <w:i w:val="0"/>
            <w:sz w:val="20"/>
            <w:szCs w:val="20"/>
          </w:rPr>
          <w:t>Communication of SASM Results</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_Toc204411578 \h </w:instrText>
        </w:r>
        <w:r w:rsidRPr="00494238">
          <w:rPr>
            <w:i w:val="0"/>
            <w:webHidden/>
            <w:sz w:val="20"/>
            <w:szCs w:val="20"/>
          </w:rPr>
        </w:r>
        <w:r w:rsidRPr="00494238">
          <w:rPr>
            <w:i w:val="0"/>
            <w:webHidden/>
            <w:sz w:val="20"/>
            <w:szCs w:val="20"/>
          </w:rPr>
          <w:fldChar w:fldCharType="separate"/>
        </w:r>
        <w:r w:rsidRPr="00494238">
          <w:rPr>
            <w:i w:val="0"/>
            <w:webHidden/>
            <w:sz w:val="20"/>
            <w:szCs w:val="20"/>
          </w:rPr>
          <w:t>6-47</w:t>
        </w:r>
        <w:r w:rsidRPr="00494238">
          <w:rPr>
            <w:i w:val="0"/>
            <w:webHidden/>
            <w:sz w:val="20"/>
            <w:szCs w:val="20"/>
          </w:rPr>
          <w:fldChar w:fldCharType="end"/>
        </w:r>
      </w:hyperlink>
    </w:p>
    <w:p w14:paraId="0BCABC98" w14:textId="6C8A1270" w:rsidR="00494238" w:rsidRPr="00494238" w:rsidRDefault="00494238">
      <w:pPr>
        <w:pStyle w:val="TOC2"/>
        <w:rPr>
          <w:rFonts w:eastAsiaTheme="minorEastAsia"/>
          <w:noProof/>
          <w:kern w:val="2"/>
          <w14:ligatures w14:val="standardContextual"/>
        </w:rPr>
      </w:pPr>
      <w:hyperlink w:anchor="_Toc204411579" w:history="1">
        <w:r w:rsidRPr="00494238">
          <w:rPr>
            <w:rStyle w:val="Hyperlink"/>
            <w:noProof/>
          </w:rPr>
          <w:t>6.5</w:t>
        </w:r>
        <w:r w:rsidRPr="00494238">
          <w:rPr>
            <w:rFonts w:eastAsiaTheme="minorEastAsia"/>
            <w:noProof/>
            <w:kern w:val="2"/>
            <w14:ligatures w14:val="standardContextual"/>
          </w:rPr>
          <w:tab/>
        </w:r>
        <w:r w:rsidRPr="00494238">
          <w:rPr>
            <w:rStyle w:val="Hyperlink"/>
            <w:noProof/>
          </w:rPr>
          <w:t>Real-Time Energy Operations</w:t>
        </w:r>
        <w:r w:rsidRPr="00494238">
          <w:rPr>
            <w:noProof/>
            <w:webHidden/>
          </w:rPr>
          <w:tab/>
        </w:r>
        <w:r w:rsidRPr="00494238">
          <w:rPr>
            <w:noProof/>
            <w:webHidden/>
          </w:rPr>
          <w:fldChar w:fldCharType="begin"/>
        </w:r>
        <w:r w:rsidRPr="00494238">
          <w:rPr>
            <w:noProof/>
            <w:webHidden/>
          </w:rPr>
          <w:instrText xml:space="preserve"> PAGEREF _Toc204411579 \h </w:instrText>
        </w:r>
        <w:r w:rsidRPr="00494238">
          <w:rPr>
            <w:noProof/>
            <w:webHidden/>
          </w:rPr>
        </w:r>
        <w:r w:rsidRPr="00494238">
          <w:rPr>
            <w:noProof/>
            <w:webHidden/>
          </w:rPr>
          <w:fldChar w:fldCharType="separate"/>
        </w:r>
        <w:r w:rsidRPr="00494238">
          <w:rPr>
            <w:noProof/>
            <w:webHidden/>
          </w:rPr>
          <w:t>6-47</w:t>
        </w:r>
        <w:r w:rsidRPr="00494238">
          <w:rPr>
            <w:noProof/>
            <w:webHidden/>
          </w:rPr>
          <w:fldChar w:fldCharType="end"/>
        </w:r>
      </w:hyperlink>
    </w:p>
    <w:p w14:paraId="7BB1CA96" w14:textId="7648F333" w:rsidR="00494238" w:rsidRPr="00494238" w:rsidRDefault="00494238">
      <w:pPr>
        <w:pStyle w:val="TOC3"/>
        <w:rPr>
          <w:rFonts w:eastAsiaTheme="minorEastAsia"/>
          <w:i w:val="0"/>
          <w:iCs w:val="0"/>
          <w:kern w:val="2"/>
          <w14:ligatures w14:val="standardContextual"/>
        </w:rPr>
      </w:pPr>
      <w:hyperlink w:anchor="_Toc204411580" w:history="1">
        <w:r w:rsidRPr="00494238">
          <w:rPr>
            <w:rStyle w:val="Hyperlink"/>
            <w:i w:val="0"/>
            <w:iCs w:val="0"/>
          </w:rPr>
          <w:t>6.5.1</w:t>
        </w:r>
        <w:r w:rsidRPr="00494238">
          <w:rPr>
            <w:rFonts w:eastAsiaTheme="minorEastAsia"/>
            <w:i w:val="0"/>
            <w:iCs w:val="0"/>
            <w:kern w:val="2"/>
            <w14:ligatures w14:val="standardContextual"/>
          </w:rPr>
          <w:tab/>
        </w:r>
        <w:r w:rsidRPr="00494238">
          <w:rPr>
            <w:rStyle w:val="Hyperlink"/>
            <w:i w:val="0"/>
            <w:iCs w:val="0"/>
          </w:rPr>
          <w:t>ERCOT Activities</w:t>
        </w:r>
        <w:r w:rsidRPr="00494238">
          <w:rPr>
            <w:i w:val="0"/>
            <w:iCs w:val="0"/>
            <w:webHidden/>
          </w:rPr>
          <w:tab/>
        </w:r>
        <w:r w:rsidRPr="00494238">
          <w:rPr>
            <w:i w:val="0"/>
            <w:iCs w:val="0"/>
            <w:webHidden/>
          </w:rPr>
          <w:fldChar w:fldCharType="begin"/>
        </w:r>
        <w:r w:rsidRPr="00494238">
          <w:rPr>
            <w:i w:val="0"/>
            <w:iCs w:val="0"/>
            <w:webHidden/>
          </w:rPr>
          <w:instrText xml:space="preserve"> PAGEREF _Toc204411580 \h </w:instrText>
        </w:r>
        <w:r w:rsidRPr="00494238">
          <w:rPr>
            <w:i w:val="0"/>
            <w:iCs w:val="0"/>
            <w:webHidden/>
          </w:rPr>
        </w:r>
        <w:r w:rsidRPr="00494238">
          <w:rPr>
            <w:i w:val="0"/>
            <w:iCs w:val="0"/>
            <w:webHidden/>
          </w:rPr>
          <w:fldChar w:fldCharType="separate"/>
        </w:r>
        <w:r w:rsidRPr="00494238">
          <w:rPr>
            <w:i w:val="0"/>
            <w:iCs w:val="0"/>
            <w:webHidden/>
          </w:rPr>
          <w:t>6-47</w:t>
        </w:r>
        <w:r w:rsidRPr="00494238">
          <w:rPr>
            <w:i w:val="0"/>
            <w:iCs w:val="0"/>
            <w:webHidden/>
          </w:rPr>
          <w:fldChar w:fldCharType="end"/>
        </w:r>
      </w:hyperlink>
    </w:p>
    <w:p w14:paraId="6EB5E59C" w14:textId="0943DB8B" w:rsidR="00494238" w:rsidRPr="00494238" w:rsidRDefault="00494238">
      <w:pPr>
        <w:pStyle w:val="TOC4"/>
        <w:rPr>
          <w:rFonts w:eastAsiaTheme="minorEastAsia"/>
          <w:kern w:val="2"/>
          <w:lang w:val="en-US"/>
          <w14:ligatures w14:val="standardContextual"/>
        </w:rPr>
      </w:pPr>
      <w:hyperlink w:anchor="_Toc204411581" w:history="1">
        <w:r w:rsidRPr="00494238">
          <w:rPr>
            <w:rStyle w:val="Hyperlink"/>
          </w:rPr>
          <w:t>6.5.1.1</w:t>
        </w:r>
        <w:r w:rsidRPr="00494238">
          <w:rPr>
            <w:rFonts w:eastAsiaTheme="minorEastAsia"/>
            <w:kern w:val="2"/>
            <w:lang w:val="en-US"/>
            <w14:ligatures w14:val="standardContextual"/>
          </w:rPr>
          <w:tab/>
        </w:r>
        <w:r w:rsidRPr="00494238">
          <w:rPr>
            <w:rStyle w:val="Hyperlink"/>
          </w:rPr>
          <w:t>ERCOT Control Area Authority</w:t>
        </w:r>
        <w:r w:rsidRPr="00494238">
          <w:rPr>
            <w:webHidden/>
          </w:rPr>
          <w:tab/>
        </w:r>
        <w:r w:rsidRPr="00494238">
          <w:rPr>
            <w:webHidden/>
          </w:rPr>
          <w:fldChar w:fldCharType="begin"/>
        </w:r>
        <w:r w:rsidRPr="00494238">
          <w:rPr>
            <w:webHidden/>
          </w:rPr>
          <w:instrText xml:space="preserve"> PAGEREF _Toc204411581 \h </w:instrText>
        </w:r>
        <w:r w:rsidRPr="00494238">
          <w:rPr>
            <w:webHidden/>
          </w:rPr>
        </w:r>
        <w:r w:rsidRPr="00494238">
          <w:rPr>
            <w:webHidden/>
          </w:rPr>
          <w:fldChar w:fldCharType="separate"/>
        </w:r>
        <w:r w:rsidRPr="00494238">
          <w:rPr>
            <w:webHidden/>
          </w:rPr>
          <w:t>6-48</w:t>
        </w:r>
        <w:r w:rsidRPr="00494238">
          <w:rPr>
            <w:webHidden/>
          </w:rPr>
          <w:fldChar w:fldCharType="end"/>
        </w:r>
      </w:hyperlink>
    </w:p>
    <w:p w14:paraId="53367B18" w14:textId="36402A88" w:rsidR="00494238" w:rsidRPr="00494238" w:rsidRDefault="00494238">
      <w:pPr>
        <w:pStyle w:val="TOC4"/>
        <w:rPr>
          <w:rFonts w:eastAsiaTheme="minorEastAsia"/>
          <w:kern w:val="2"/>
          <w:lang w:val="en-US"/>
          <w14:ligatures w14:val="standardContextual"/>
        </w:rPr>
      </w:pPr>
      <w:hyperlink w:anchor="_Toc204411582" w:history="1">
        <w:r w:rsidRPr="00494238">
          <w:rPr>
            <w:rStyle w:val="Hyperlink"/>
          </w:rPr>
          <w:t>6.5.1.2</w:t>
        </w:r>
        <w:r w:rsidRPr="00494238">
          <w:rPr>
            <w:rFonts w:eastAsiaTheme="minorEastAsia"/>
            <w:kern w:val="2"/>
            <w:lang w:val="en-US"/>
            <w14:ligatures w14:val="standardContextual"/>
          </w:rPr>
          <w:tab/>
        </w:r>
        <w:r w:rsidRPr="00494238">
          <w:rPr>
            <w:rStyle w:val="Hyperlink"/>
          </w:rPr>
          <w:t>Centralized Dispatch</w:t>
        </w:r>
        <w:r w:rsidRPr="00494238">
          <w:rPr>
            <w:webHidden/>
          </w:rPr>
          <w:tab/>
        </w:r>
        <w:r w:rsidRPr="00494238">
          <w:rPr>
            <w:webHidden/>
          </w:rPr>
          <w:fldChar w:fldCharType="begin"/>
        </w:r>
        <w:r w:rsidRPr="00494238">
          <w:rPr>
            <w:webHidden/>
          </w:rPr>
          <w:instrText xml:space="preserve"> PAGEREF _Toc204411582 \h </w:instrText>
        </w:r>
        <w:r w:rsidRPr="00494238">
          <w:rPr>
            <w:webHidden/>
          </w:rPr>
        </w:r>
        <w:r w:rsidRPr="00494238">
          <w:rPr>
            <w:webHidden/>
          </w:rPr>
          <w:fldChar w:fldCharType="separate"/>
        </w:r>
        <w:r w:rsidRPr="00494238">
          <w:rPr>
            <w:webHidden/>
          </w:rPr>
          <w:t>6-55</w:t>
        </w:r>
        <w:r w:rsidRPr="00494238">
          <w:rPr>
            <w:webHidden/>
          </w:rPr>
          <w:fldChar w:fldCharType="end"/>
        </w:r>
      </w:hyperlink>
    </w:p>
    <w:p w14:paraId="6C1D376F" w14:textId="32958854" w:rsidR="00494238" w:rsidRPr="00494238" w:rsidRDefault="00494238">
      <w:pPr>
        <w:pStyle w:val="TOC3"/>
        <w:rPr>
          <w:rFonts w:eastAsiaTheme="minorEastAsia"/>
          <w:i w:val="0"/>
          <w:iCs w:val="0"/>
          <w:kern w:val="2"/>
          <w14:ligatures w14:val="standardContextual"/>
        </w:rPr>
      </w:pPr>
      <w:hyperlink w:anchor="_Toc204411583" w:history="1">
        <w:r w:rsidRPr="00494238">
          <w:rPr>
            <w:rStyle w:val="Hyperlink"/>
            <w:i w:val="0"/>
            <w:iCs w:val="0"/>
          </w:rPr>
          <w:t>6.5.2</w:t>
        </w:r>
        <w:r w:rsidRPr="00494238">
          <w:rPr>
            <w:rFonts w:eastAsiaTheme="minorEastAsia"/>
            <w:i w:val="0"/>
            <w:iCs w:val="0"/>
            <w:kern w:val="2"/>
            <w14:ligatures w14:val="standardContextual"/>
          </w:rPr>
          <w:tab/>
        </w:r>
        <w:r w:rsidRPr="00494238">
          <w:rPr>
            <w:rStyle w:val="Hyperlink"/>
            <w:i w:val="0"/>
            <w:iCs w:val="0"/>
          </w:rPr>
          <w:t>Operating Standards</w:t>
        </w:r>
        <w:r w:rsidRPr="00494238">
          <w:rPr>
            <w:i w:val="0"/>
            <w:iCs w:val="0"/>
            <w:webHidden/>
          </w:rPr>
          <w:tab/>
        </w:r>
        <w:r w:rsidRPr="00494238">
          <w:rPr>
            <w:i w:val="0"/>
            <w:iCs w:val="0"/>
            <w:webHidden/>
          </w:rPr>
          <w:fldChar w:fldCharType="begin"/>
        </w:r>
        <w:r w:rsidRPr="00494238">
          <w:rPr>
            <w:i w:val="0"/>
            <w:iCs w:val="0"/>
            <w:webHidden/>
          </w:rPr>
          <w:instrText xml:space="preserve"> PAGEREF _Toc204411583 \h </w:instrText>
        </w:r>
        <w:r w:rsidRPr="00494238">
          <w:rPr>
            <w:i w:val="0"/>
            <w:iCs w:val="0"/>
            <w:webHidden/>
          </w:rPr>
        </w:r>
        <w:r w:rsidRPr="00494238">
          <w:rPr>
            <w:i w:val="0"/>
            <w:iCs w:val="0"/>
            <w:webHidden/>
          </w:rPr>
          <w:fldChar w:fldCharType="separate"/>
        </w:r>
        <w:r w:rsidRPr="00494238">
          <w:rPr>
            <w:i w:val="0"/>
            <w:iCs w:val="0"/>
            <w:webHidden/>
          </w:rPr>
          <w:t>6-56</w:t>
        </w:r>
        <w:r w:rsidRPr="00494238">
          <w:rPr>
            <w:i w:val="0"/>
            <w:iCs w:val="0"/>
            <w:webHidden/>
          </w:rPr>
          <w:fldChar w:fldCharType="end"/>
        </w:r>
      </w:hyperlink>
    </w:p>
    <w:p w14:paraId="37E496DC" w14:textId="4AC5BAE6" w:rsidR="00494238" w:rsidRPr="00494238" w:rsidRDefault="00494238">
      <w:pPr>
        <w:pStyle w:val="TOC3"/>
        <w:rPr>
          <w:rFonts w:eastAsiaTheme="minorEastAsia"/>
          <w:i w:val="0"/>
          <w:iCs w:val="0"/>
          <w:kern w:val="2"/>
          <w14:ligatures w14:val="standardContextual"/>
        </w:rPr>
      </w:pPr>
      <w:hyperlink w:anchor="_Toc204411584" w:history="1">
        <w:r w:rsidRPr="00494238">
          <w:rPr>
            <w:rStyle w:val="Hyperlink"/>
            <w:i w:val="0"/>
            <w:iCs w:val="0"/>
          </w:rPr>
          <w:t>6.5.3</w:t>
        </w:r>
        <w:r w:rsidRPr="00494238">
          <w:rPr>
            <w:rFonts w:eastAsiaTheme="minorEastAsia"/>
            <w:i w:val="0"/>
            <w:iCs w:val="0"/>
            <w:kern w:val="2"/>
            <w14:ligatures w14:val="standardContextual"/>
          </w:rPr>
          <w:tab/>
        </w:r>
        <w:r w:rsidRPr="00494238">
          <w:rPr>
            <w:rStyle w:val="Hyperlink"/>
            <w:i w:val="0"/>
            <w:iCs w:val="0"/>
          </w:rPr>
          <w:t>Equipment Operating Ratings and Limits</w:t>
        </w:r>
        <w:r w:rsidRPr="00494238">
          <w:rPr>
            <w:i w:val="0"/>
            <w:iCs w:val="0"/>
            <w:webHidden/>
          </w:rPr>
          <w:tab/>
        </w:r>
        <w:r w:rsidRPr="00494238">
          <w:rPr>
            <w:i w:val="0"/>
            <w:iCs w:val="0"/>
            <w:webHidden/>
          </w:rPr>
          <w:fldChar w:fldCharType="begin"/>
        </w:r>
        <w:r w:rsidRPr="00494238">
          <w:rPr>
            <w:i w:val="0"/>
            <w:iCs w:val="0"/>
            <w:webHidden/>
          </w:rPr>
          <w:instrText xml:space="preserve"> PAGEREF _Toc204411584 \h </w:instrText>
        </w:r>
        <w:r w:rsidRPr="00494238">
          <w:rPr>
            <w:i w:val="0"/>
            <w:iCs w:val="0"/>
            <w:webHidden/>
          </w:rPr>
        </w:r>
        <w:r w:rsidRPr="00494238">
          <w:rPr>
            <w:i w:val="0"/>
            <w:iCs w:val="0"/>
            <w:webHidden/>
          </w:rPr>
          <w:fldChar w:fldCharType="separate"/>
        </w:r>
        <w:r w:rsidRPr="00494238">
          <w:rPr>
            <w:i w:val="0"/>
            <w:iCs w:val="0"/>
            <w:webHidden/>
          </w:rPr>
          <w:t>6-57</w:t>
        </w:r>
        <w:r w:rsidRPr="00494238">
          <w:rPr>
            <w:i w:val="0"/>
            <w:iCs w:val="0"/>
            <w:webHidden/>
          </w:rPr>
          <w:fldChar w:fldCharType="end"/>
        </w:r>
      </w:hyperlink>
    </w:p>
    <w:p w14:paraId="577C4160" w14:textId="78D4B4FD" w:rsidR="00494238" w:rsidRPr="00494238" w:rsidRDefault="00494238">
      <w:pPr>
        <w:pStyle w:val="TOC3"/>
        <w:rPr>
          <w:rFonts w:eastAsiaTheme="minorEastAsia"/>
          <w:i w:val="0"/>
          <w:iCs w:val="0"/>
          <w:kern w:val="2"/>
          <w14:ligatures w14:val="standardContextual"/>
        </w:rPr>
      </w:pPr>
      <w:hyperlink w:anchor="_Toc204411585" w:history="1">
        <w:r w:rsidRPr="00494238">
          <w:rPr>
            <w:rStyle w:val="Hyperlink"/>
            <w:i w:val="0"/>
            <w:iCs w:val="0"/>
          </w:rPr>
          <w:t>6.5.4</w:t>
        </w:r>
        <w:r w:rsidRPr="00494238">
          <w:rPr>
            <w:rFonts w:eastAsiaTheme="minorEastAsia"/>
            <w:i w:val="0"/>
            <w:iCs w:val="0"/>
            <w:kern w:val="2"/>
            <w14:ligatures w14:val="standardContextual"/>
          </w:rPr>
          <w:tab/>
        </w:r>
        <w:r w:rsidRPr="00494238">
          <w:rPr>
            <w:rStyle w:val="Hyperlink"/>
            <w:i w:val="0"/>
            <w:iCs w:val="0"/>
          </w:rPr>
          <w:t>Inadvertent Energy Account</w:t>
        </w:r>
        <w:r w:rsidRPr="00494238">
          <w:rPr>
            <w:i w:val="0"/>
            <w:iCs w:val="0"/>
            <w:webHidden/>
          </w:rPr>
          <w:tab/>
        </w:r>
        <w:r w:rsidRPr="00494238">
          <w:rPr>
            <w:i w:val="0"/>
            <w:iCs w:val="0"/>
            <w:webHidden/>
          </w:rPr>
          <w:fldChar w:fldCharType="begin"/>
        </w:r>
        <w:r w:rsidRPr="00494238">
          <w:rPr>
            <w:i w:val="0"/>
            <w:iCs w:val="0"/>
            <w:webHidden/>
          </w:rPr>
          <w:instrText xml:space="preserve"> PAGEREF _Toc204411585 \h </w:instrText>
        </w:r>
        <w:r w:rsidRPr="00494238">
          <w:rPr>
            <w:i w:val="0"/>
            <w:iCs w:val="0"/>
            <w:webHidden/>
          </w:rPr>
        </w:r>
        <w:r w:rsidRPr="00494238">
          <w:rPr>
            <w:i w:val="0"/>
            <w:iCs w:val="0"/>
            <w:webHidden/>
          </w:rPr>
          <w:fldChar w:fldCharType="separate"/>
        </w:r>
        <w:r w:rsidRPr="00494238">
          <w:rPr>
            <w:i w:val="0"/>
            <w:iCs w:val="0"/>
            <w:webHidden/>
          </w:rPr>
          <w:t>6-58</w:t>
        </w:r>
        <w:r w:rsidRPr="00494238">
          <w:rPr>
            <w:i w:val="0"/>
            <w:iCs w:val="0"/>
            <w:webHidden/>
          </w:rPr>
          <w:fldChar w:fldCharType="end"/>
        </w:r>
      </w:hyperlink>
    </w:p>
    <w:p w14:paraId="54E4D657" w14:textId="3BC4C7CD" w:rsidR="00494238" w:rsidRPr="00494238" w:rsidRDefault="00494238">
      <w:pPr>
        <w:pStyle w:val="TOC3"/>
        <w:rPr>
          <w:rFonts w:eastAsiaTheme="minorEastAsia"/>
          <w:i w:val="0"/>
          <w:iCs w:val="0"/>
          <w:kern w:val="2"/>
          <w14:ligatures w14:val="standardContextual"/>
        </w:rPr>
      </w:pPr>
      <w:hyperlink w:anchor="_Toc204411586" w:history="1">
        <w:r w:rsidRPr="00494238">
          <w:rPr>
            <w:rStyle w:val="Hyperlink"/>
            <w:i w:val="0"/>
            <w:iCs w:val="0"/>
          </w:rPr>
          <w:t>6.5.5</w:t>
        </w:r>
        <w:r w:rsidRPr="00494238">
          <w:rPr>
            <w:rFonts w:eastAsiaTheme="minorEastAsia"/>
            <w:i w:val="0"/>
            <w:iCs w:val="0"/>
            <w:kern w:val="2"/>
            <w14:ligatures w14:val="standardContextual"/>
          </w:rPr>
          <w:tab/>
        </w:r>
        <w:r w:rsidRPr="00494238">
          <w:rPr>
            <w:rStyle w:val="Hyperlink"/>
            <w:i w:val="0"/>
            <w:iCs w:val="0"/>
          </w:rPr>
          <w:t>QSE Activities</w:t>
        </w:r>
        <w:r w:rsidRPr="00494238">
          <w:rPr>
            <w:i w:val="0"/>
            <w:iCs w:val="0"/>
            <w:webHidden/>
          </w:rPr>
          <w:tab/>
        </w:r>
        <w:r w:rsidRPr="00494238">
          <w:rPr>
            <w:i w:val="0"/>
            <w:iCs w:val="0"/>
            <w:webHidden/>
          </w:rPr>
          <w:fldChar w:fldCharType="begin"/>
        </w:r>
        <w:r w:rsidRPr="00494238">
          <w:rPr>
            <w:i w:val="0"/>
            <w:iCs w:val="0"/>
            <w:webHidden/>
          </w:rPr>
          <w:instrText xml:space="preserve"> PAGEREF _Toc204411586 \h </w:instrText>
        </w:r>
        <w:r w:rsidRPr="00494238">
          <w:rPr>
            <w:i w:val="0"/>
            <w:iCs w:val="0"/>
            <w:webHidden/>
          </w:rPr>
        </w:r>
        <w:r w:rsidRPr="00494238">
          <w:rPr>
            <w:i w:val="0"/>
            <w:iCs w:val="0"/>
            <w:webHidden/>
          </w:rPr>
          <w:fldChar w:fldCharType="separate"/>
        </w:r>
        <w:r w:rsidRPr="00494238">
          <w:rPr>
            <w:i w:val="0"/>
            <w:iCs w:val="0"/>
            <w:webHidden/>
          </w:rPr>
          <w:t>6-58</w:t>
        </w:r>
        <w:r w:rsidRPr="00494238">
          <w:rPr>
            <w:i w:val="0"/>
            <w:iCs w:val="0"/>
            <w:webHidden/>
          </w:rPr>
          <w:fldChar w:fldCharType="end"/>
        </w:r>
      </w:hyperlink>
    </w:p>
    <w:p w14:paraId="69FFB8F8" w14:textId="1FADB01B" w:rsidR="00494238" w:rsidRPr="00494238" w:rsidRDefault="00494238">
      <w:pPr>
        <w:pStyle w:val="TOC4"/>
        <w:rPr>
          <w:rFonts w:eastAsiaTheme="minorEastAsia"/>
          <w:kern w:val="2"/>
          <w:lang w:val="en-US"/>
          <w14:ligatures w14:val="standardContextual"/>
        </w:rPr>
      </w:pPr>
      <w:hyperlink w:anchor="_Toc204411587" w:history="1">
        <w:r w:rsidRPr="00494238">
          <w:rPr>
            <w:rStyle w:val="Hyperlink"/>
          </w:rPr>
          <w:t>6.5.5.1</w:t>
        </w:r>
        <w:r w:rsidRPr="00494238">
          <w:rPr>
            <w:rFonts w:eastAsiaTheme="minorEastAsia"/>
            <w:kern w:val="2"/>
            <w:lang w:val="en-US"/>
            <w14:ligatures w14:val="standardContextual"/>
          </w:rPr>
          <w:tab/>
        </w:r>
        <w:r w:rsidRPr="00494238">
          <w:rPr>
            <w:rStyle w:val="Hyperlink"/>
          </w:rPr>
          <w:t>Changes in Resource Status</w:t>
        </w:r>
        <w:r w:rsidRPr="00494238">
          <w:rPr>
            <w:webHidden/>
          </w:rPr>
          <w:tab/>
        </w:r>
        <w:r w:rsidRPr="00494238">
          <w:rPr>
            <w:webHidden/>
          </w:rPr>
          <w:fldChar w:fldCharType="begin"/>
        </w:r>
        <w:r w:rsidRPr="00494238">
          <w:rPr>
            <w:webHidden/>
          </w:rPr>
          <w:instrText xml:space="preserve"> PAGEREF _Toc204411587 \h </w:instrText>
        </w:r>
        <w:r w:rsidRPr="00494238">
          <w:rPr>
            <w:webHidden/>
          </w:rPr>
        </w:r>
        <w:r w:rsidRPr="00494238">
          <w:rPr>
            <w:webHidden/>
          </w:rPr>
          <w:fldChar w:fldCharType="separate"/>
        </w:r>
        <w:r w:rsidRPr="00494238">
          <w:rPr>
            <w:webHidden/>
          </w:rPr>
          <w:t>6-58</w:t>
        </w:r>
        <w:r w:rsidRPr="00494238">
          <w:rPr>
            <w:webHidden/>
          </w:rPr>
          <w:fldChar w:fldCharType="end"/>
        </w:r>
      </w:hyperlink>
    </w:p>
    <w:p w14:paraId="1267FB7B" w14:textId="5A938A20" w:rsidR="00494238" w:rsidRPr="00494238" w:rsidRDefault="00494238">
      <w:pPr>
        <w:pStyle w:val="TOC4"/>
        <w:rPr>
          <w:rFonts w:eastAsiaTheme="minorEastAsia"/>
          <w:kern w:val="2"/>
          <w:lang w:val="en-US"/>
          <w14:ligatures w14:val="standardContextual"/>
        </w:rPr>
      </w:pPr>
      <w:hyperlink w:anchor="_Toc204411588" w:history="1">
        <w:r w:rsidRPr="00494238">
          <w:rPr>
            <w:rStyle w:val="Hyperlink"/>
          </w:rPr>
          <w:t>6.5.5.2</w:t>
        </w:r>
        <w:r w:rsidRPr="00494238">
          <w:rPr>
            <w:rFonts w:eastAsiaTheme="minorEastAsia"/>
            <w:kern w:val="2"/>
            <w:lang w:val="en-US"/>
            <w14:ligatures w14:val="standardContextual"/>
          </w:rPr>
          <w:tab/>
        </w:r>
        <w:r w:rsidRPr="00494238">
          <w:rPr>
            <w:rStyle w:val="Hyperlink"/>
          </w:rPr>
          <w:t>Operational Data Requirements</w:t>
        </w:r>
        <w:r w:rsidRPr="00494238">
          <w:rPr>
            <w:webHidden/>
          </w:rPr>
          <w:tab/>
        </w:r>
        <w:r w:rsidRPr="00494238">
          <w:rPr>
            <w:webHidden/>
          </w:rPr>
          <w:fldChar w:fldCharType="begin"/>
        </w:r>
        <w:r w:rsidRPr="00494238">
          <w:rPr>
            <w:webHidden/>
          </w:rPr>
          <w:instrText xml:space="preserve"> PAGEREF _Toc204411588 \h </w:instrText>
        </w:r>
        <w:r w:rsidRPr="00494238">
          <w:rPr>
            <w:webHidden/>
          </w:rPr>
        </w:r>
        <w:r w:rsidRPr="00494238">
          <w:rPr>
            <w:webHidden/>
          </w:rPr>
          <w:fldChar w:fldCharType="separate"/>
        </w:r>
        <w:r w:rsidRPr="00494238">
          <w:rPr>
            <w:webHidden/>
          </w:rPr>
          <w:t>6-61</w:t>
        </w:r>
        <w:r w:rsidRPr="00494238">
          <w:rPr>
            <w:webHidden/>
          </w:rPr>
          <w:fldChar w:fldCharType="end"/>
        </w:r>
      </w:hyperlink>
    </w:p>
    <w:p w14:paraId="3A275B0D" w14:textId="10FE038D" w:rsidR="00494238" w:rsidRPr="00494238" w:rsidRDefault="00494238">
      <w:pPr>
        <w:pStyle w:val="TOC3"/>
        <w:rPr>
          <w:rFonts w:eastAsiaTheme="minorEastAsia"/>
          <w:i w:val="0"/>
          <w:iCs w:val="0"/>
          <w:kern w:val="2"/>
          <w14:ligatures w14:val="standardContextual"/>
        </w:rPr>
      </w:pPr>
      <w:hyperlink w:anchor="_Toc204411589" w:history="1">
        <w:r w:rsidRPr="00494238">
          <w:rPr>
            <w:rStyle w:val="Hyperlink"/>
            <w:i w:val="0"/>
            <w:iCs w:val="0"/>
          </w:rPr>
          <w:t>6.5.6</w:t>
        </w:r>
        <w:r w:rsidRPr="00494238">
          <w:rPr>
            <w:rFonts w:eastAsiaTheme="minorEastAsia"/>
            <w:i w:val="0"/>
            <w:iCs w:val="0"/>
            <w:kern w:val="2"/>
            <w14:ligatures w14:val="standardContextual"/>
          </w:rPr>
          <w:tab/>
        </w:r>
        <w:r w:rsidRPr="00494238">
          <w:rPr>
            <w:rStyle w:val="Hyperlink"/>
            <w:i w:val="0"/>
            <w:iCs w:val="0"/>
          </w:rPr>
          <w:t>TSP and DSP Responsibilities</w:t>
        </w:r>
        <w:r w:rsidRPr="00494238">
          <w:rPr>
            <w:i w:val="0"/>
            <w:iCs w:val="0"/>
            <w:webHidden/>
          </w:rPr>
          <w:tab/>
        </w:r>
        <w:r w:rsidRPr="00494238">
          <w:rPr>
            <w:i w:val="0"/>
            <w:iCs w:val="0"/>
            <w:webHidden/>
          </w:rPr>
          <w:fldChar w:fldCharType="begin"/>
        </w:r>
        <w:r w:rsidRPr="00494238">
          <w:rPr>
            <w:i w:val="0"/>
            <w:iCs w:val="0"/>
            <w:webHidden/>
          </w:rPr>
          <w:instrText xml:space="preserve"> PAGEREF _Toc204411589 \h </w:instrText>
        </w:r>
        <w:r w:rsidRPr="00494238">
          <w:rPr>
            <w:i w:val="0"/>
            <w:iCs w:val="0"/>
            <w:webHidden/>
          </w:rPr>
        </w:r>
        <w:r w:rsidRPr="00494238">
          <w:rPr>
            <w:i w:val="0"/>
            <w:iCs w:val="0"/>
            <w:webHidden/>
          </w:rPr>
          <w:fldChar w:fldCharType="separate"/>
        </w:r>
        <w:r w:rsidRPr="00494238">
          <w:rPr>
            <w:i w:val="0"/>
            <w:iCs w:val="0"/>
            <w:webHidden/>
          </w:rPr>
          <w:t>6-74</w:t>
        </w:r>
        <w:r w:rsidRPr="00494238">
          <w:rPr>
            <w:i w:val="0"/>
            <w:iCs w:val="0"/>
            <w:webHidden/>
          </w:rPr>
          <w:fldChar w:fldCharType="end"/>
        </w:r>
      </w:hyperlink>
    </w:p>
    <w:p w14:paraId="12DCD280" w14:textId="18EFDF6F" w:rsidR="00494238" w:rsidRPr="00494238" w:rsidRDefault="00494238">
      <w:pPr>
        <w:pStyle w:val="TOC3"/>
        <w:rPr>
          <w:rFonts w:eastAsiaTheme="minorEastAsia"/>
          <w:i w:val="0"/>
          <w:iCs w:val="0"/>
          <w:kern w:val="2"/>
          <w14:ligatures w14:val="standardContextual"/>
        </w:rPr>
      </w:pPr>
      <w:hyperlink w:anchor="_Toc204411590" w:history="1">
        <w:r w:rsidRPr="00494238">
          <w:rPr>
            <w:rStyle w:val="Hyperlink"/>
            <w:i w:val="0"/>
            <w:iCs w:val="0"/>
          </w:rPr>
          <w:t>6.5.6</w:t>
        </w:r>
        <w:r w:rsidRPr="00494238">
          <w:rPr>
            <w:rFonts w:eastAsiaTheme="minorEastAsia"/>
            <w:i w:val="0"/>
            <w:iCs w:val="0"/>
            <w:kern w:val="2"/>
            <w14:ligatures w14:val="standardContextual"/>
          </w:rPr>
          <w:tab/>
        </w:r>
        <w:r w:rsidRPr="00494238">
          <w:rPr>
            <w:rStyle w:val="Hyperlink"/>
            <w:i w:val="0"/>
            <w:iCs w:val="0"/>
          </w:rPr>
          <w:t>TSP, TO, DCTO, and DSP Responsibilities</w:t>
        </w:r>
        <w:r w:rsidRPr="00494238">
          <w:rPr>
            <w:i w:val="0"/>
            <w:iCs w:val="0"/>
            <w:webHidden/>
          </w:rPr>
          <w:tab/>
        </w:r>
        <w:r w:rsidRPr="00494238">
          <w:rPr>
            <w:i w:val="0"/>
            <w:iCs w:val="0"/>
            <w:webHidden/>
          </w:rPr>
          <w:fldChar w:fldCharType="begin"/>
        </w:r>
        <w:r w:rsidRPr="00494238">
          <w:rPr>
            <w:i w:val="0"/>
            <w:iCs w:val="0"/>
            <w:webHidden/>
          </w:rPr>
          <w:instrText xml:space="preserve"> PAGEREF _Toc204411590 \h </w:instrText>
        </w:r>
        <w:r w:rsidRPr="00494238">
          <w:rPr>
            <w:i w:val="0"/>
            <w:iCs w:val="0"/>
            <w:webHidden/>
          </w:rPr>
        </w:r>
        <w:r w:rsidRPr="00494238">
          <w:rPr>
            <w:i w:val="0"/>
            <w:iCs w:val="0"/>
            <w:webHidden/>
          </w:rPr>
          <w:fldChar w:fldCharType="separate"/>
        </w:r>
        <w:r w:rsidRPr="00494238">
          <w:rPr>
            <w:i w:val="0"/>
            <w:iCs w:val="0"/>
            <w:webHidden/>
          </w:rPr>
          <w:t>6-74</w:t>
        </w:r>
        <w:r w:rsidRPr="00494238">
          <w:rPr>
            <w:i w:val="0"/>
            <w:iCs w:val="0"/>
            <w:webHidden/>
          </w:rPr>
          <w:fldChar w:fldCharType="end"/>
        </w:r>
      </w:hyperlink>
    </w:p>
    <w:p w14:paraId="3C8424A2" w14:textId="5EF9E4A8" w:rsidR="00494238" w:rsidRPr="00494238" w:rsidRDefault="00494238">
      <w:pPr>
        <w:pStyle w:val="TOC3"/>
        <w:rPr>
          <w:rFonts w:eastAsiaTheme="minorEastAsia"/>
          <w:i w:val="0"/>
          <w:iCs w:val="0"/>
          <w:kern w:val="2"/>
          <w14:ligatures w14:val="standardContextual"/>
        </w:rPr>
      </w:pPr>
      <w:hyperlink w:anchor="_Toc204411591" w:history="1">
        <w:r w:rsidRPr="00494238">
          <w:rPr>
            <w:rStyle w:val="Hyperlink"/>
            <w:i w:val="0"/>
            <w:iCs w:val="0"/>
          </w:rPr>
          <w:t>6.5.7</w:t>
        </w:r>
        <w:r w:rsidRPr="00494238">
          <w:rPr>
            <w:rFonts w:eastAsiaTheme="minorEastAsia"/>
            <w:i w:val="0"/>
            <w:iCs w:val="0"/>
            <w:kern w:val="2"/>
            <w14:ligatures w14:val="standardContextual"/>
          </w:rPr>
          <w:tab/>
        </w:r>
        <w:r w:rsidRPr="00494238">
          <w:rPr>
            <w:rStyle w:val="Hyperlink"/>
            <w:i w:val="0"/>
            <w:iCs w:val="0"/>
          </w:rPr>
          <w:t>Energy Dispatch Methodology</w:t>
        </w:r>
        <w:r w:rsidRPr="00494238">
          <w:rPr>
            <w:i w:val="0"/>
            <w:iCs w:val="0"/>
            <w:webHidden/>
          </w:rPr>
          <w:tab/>
        </w:r>
        <w:r w:rsidRPr="00494238">
          <w:rPr>
            <w:i w:val="0"/>
            <w:iCs w:val="0"/>
            <w:webHidden/>
          </w:rPr>
          <w:fldChar w:fldCharType="begin"/>
        </w:r>
        <w:r w:rsidRPr="00494238">
          <w:rPr>
            <w:i w:val="0"/>
            <w:iCs w:val="0"/>
            <w:webHidden/>
          </w:rPr>
          <w:instrText xml:space="preserve"> PAGEREF _Toc204411591 \h </w:instrText>
        </w:r>
        <w:r w:rsidRPr="00494238">
          <w:rPr>
            <w:i w:val="0"/>
            <w:iCs w:val="0"/>
            <w:webHidden/>
          </w:rPr>
        </w:r>
        <w:r w:rsidRPr="00494238">
          <w:rPr>
            <w:i w:val="0"/>
            <w:iCs w:val="0"/>
            <w:webHidden/>
          </w:rPr>
          <w:fldChar w:fldCharType="separate"/>
        </w:r>
        <w:r w:rsidRPr="00494238">
          <w:rPr>
            <w:i w:val="0"/>
            <w:iCs w:val="0"/>
            <w:webHidden/>
          </w:rPr>
          <w:t>6-75</w:t>
        </w:r>
        <w:r w:rsidRPr="00494238">
          <w:rPr>
            <w:i w:val="0"/>
            <w:iCs w:val="0"/>
            <w:webHidden/>
          </w:rPr>
          <w:fldChar w:fldCharType="end"/>
        </w:r>
      </w:hyperlink>
    </w:p>
    <w:p w14:paraId="347E342B" w14:textId="4B448DD6" w:rsidR="00494238" w:rsidRPr="00494238" w:rsidRDefault="00494238">
      <w:pPr>
        <w:pStyle w:val="TOC3"/>
        <w:rPr>
          <w:rFonts w:eastAsiaTheme="minorEastAsia"/>
          <w:i w:val="0"/>
          <w:iCs w:val="0"/>
          <w:kern w:val="2"/>
          <w14:ligatures w14:val="standardContextual"/>
        </w:rPr>
      </w:pPr>
      <w:hyperlink w:anchor="_Toc204411592" w:history="1">
        <w:r w:rsidRPr="00494238">
          <w:rPr>
            <w:rStyle w:val="Hyperlink"/>
            <w:i w:val="0"/>
            <w:iCs w:val="0"/>
          </w:rPr>
          <w:t>6.5.7</w:t>
        </w:r>
        <w:r w:rsidRPr="00494238">
          <w:rPr>
            <w:rFonts w:eastAsiaTheme="minorEastAsia"/>
            <w:i w:val="0"/>
            <w:iCs w:val="0"/>
            <w:kern w:val="2"/>
            <w14:ligatures w14:val="standardContextual"/>
          </w:rPr>
          <w:tab/>
        </w:r>
        <w:r w:rsidRPr="00494238">
          <w:rPr>
            <w:rStyle w:val="Hyperlink"/>
            <w:i w:val="0"/>
            <w:iCs w:val="0"/>
          </w:rPr>
          <w:t>Real-Time Sequence Methodology</w:t>
        </w:r>
        <w:r w:rsidRPr="00494238">
          <w:rPr>
            <w:i w:val="0"/>
            <w:iCs w:val="0"/>
            <w:webHidden/>
          </w:rPr>
          <w:tab/>
        </w:r>
        <w:r w:rsidRPr="00494238">
          <w:rPr>
            <w:i w:val="0"/>
            <w:iCs w:val="0"/>
            <w:webHidden/>
          </w:rPr>
          <w:fldChar w:fldCharType="begin"/>
        </w:r>
        <w:r w:rsidRPr="00494238">
          <w:rPr>
            <w:i w:val="0"/>
            <w:iCs w:val="0"/>
            <w:webHidden/>
          </w:rPr>
          <w:instrText xml:space="preserve"> PAGEREF _Toc204411592 \h </w:instrText>
        </w:r>
        <w:r w:rsidRPr="00494238">
          <w:rPr>
            <w:i w:val="0"/>
            <w:iCs w:val="0"/>
            <w:webHidden/>
          </w:rPr>
        </w:r>
        <w:r w:rsidRPr="00494238">
          <w:rPr>
            <w:i w:val="0"/>
            <w:iCs w:val="0"/>
            <w:webHidden/>
          </w:rPr>
          <w:fldChar w:fldCharType="separate"/>
        </w:r>
        <w:r w:rsidRPr="00494238">
          <w:rPr>
            <w:i w:val="0"/>
            <w:iCs w:val="0"/>
            <w:webHidden/>
          </w:rPr>
          <w:t>6-75</w:t>
        </w:r>
        <w:r w:rsidRPr="00494238">
          <w:rPr>
            <w:i w:val="0"/>
            <w:iCs w:val="0"/>
            <w:webHidden/>
          </w:rPr>
          <w:fldChar w:fldCharType="end"/>
        </w:r>
      </w:hyperlink>
    </w:p>
    <w:p w14:paraId="68A41CE0" w14:textId="0B8D4D76" w:rsidR="00494238" w:rsidRPr="00494238" w:rsidRDefault="00494238">
      <w:pPr>
        <w:pStyle w:val="TOC4"/>
        <w:rPr>
          <w:rFonts w:eastAsiaTheme="minorEastAsia"/>
          <w:kern w:val="2"/>
          <w:lang w:val="en-US"/>
          <w14:ligatures w14:val="standardContextual"/>
        </w:rPr>
      </w:pPr>
      <w:hyperlink w:anchor="_Toc204411593" w:history="1">
        <w:r w:rsidRPr="00494238">
          <w:rPr>
            <w:rStyle w:val="Hyperlink"/>
          </w:rPr>
          <w:t>6.5.7.1</w:t>
        </w:r>
        <w:r w:rsidRPr="00494238">
          <w:rPr>
            <w:rFonts w:eastAsiaTheme="minorEastAsia"/>
            <w:kern w:val="2"/>
            <w:lang w:val="en-US"/>
            <w14:ligatures w14:val="standardContextual"/>
          </w:rPr>
          <w:tab/>
        </w:r>
        <w:r w:rsidRPr="00494238">
          <w:rPr>
            <w:rStyle w:val="Hyperlink"/>
          </w:rPr>
          <w:t>Real-Time Sequence</w:t>
        </w:r>
        <w:r w:rsidRPr="00494238">
          <w:rPr>
            <w:webHidden/>
          </w:rPr>
          <w:tab/>
        </w:r>
        <w:r w:rsidRPr="00494238">
          <w:rPr>
            <w:webHidden/>
          </w:rPr>
          <w:fldChar w:fldCharType="begin"/>
        </w:r>
        <w:r w:rsidRPr="00494238">
          <w:rPr>
            <w:webHidden/>
          </w:rPr>
          <w:instrText xml:space="preserve"> PAGEREF _Toc204411593 \h </w:instrText>
        </w:r>
        <w:r w:rsidRPr="00494238">
          <w:rPr>
            <w:webHidden/>
          </w:rPr>
        </w:r>
        <w:r w:rsidRPr="00494238">
          <w:rPr>
            <w:webHidden/>
          </w:rPr>
          <w:fldChar w:fldCharType="separate"/>
        </w:r>
        <w:r w:rsidRPr="00494238">
          <w:rPr>
            <w:webHidden/>
          </w:rPr>
          <w:t>6-76</w:t>
        </w:r>
        <w:r w:rsidRPr="00494238">
          <w:rPr>
            <w:webHidden/>
          </w:rPr>
          <w:fldChar w:fldCharType="end"/>
        </w:r>
      </w:hyperlink>
    </w:p>
    <w:p w14:paraId="7AF4B39C" w14:textId="504BBBB0" w:rsidR="00494238" w:rsidRPr="00494238" w:rsidRDefault="00494238">
      <w:pPr>
        <w:pStyle w:val="TOC5"/>
        <w:rPr>
          <w:rFonts w:eastAsiaTheme="minorEastAsia"/>
          <w:i w:val="0"/>
          <w:kern w:val="2"/>
          <w:sz w:val="20"/>
          <w:szCs w:val="20"/>
          <w14:ligatures w14:val="standardContextual"/>
        </w:rPr>
      </w:pPr>
      <w:hyperlink w:anchor="_Toc204411594" w:history="1">
        <w:r w:rsidRPr="00494238">
          <w:rPr>
            <w:rStyle w:val="Hyperlink"/>
            <w:i w:val="0"/>
            <w:sz w:val="20"/>
            <w:szCs w:val="20"/>
          </w:rPr>
          <w:t>6.5.7.1.1</w:t>
        </w:r>
        <w:r w:rsidRPr="00494238">
          <w:rPr>
            <w:rFonts w:eastAsiaTheme="minorEastAsia"/>
            <w:i w:val="0"/>
            <w:kern w:val="2"/>
            <w:sz w:val="20"/>
            <w:szCs w:val="20"/>
            <w14:ligatures w14:val="standardContextual"/>
          </w:rPr>
          <w:tab/>
        </w:r>
        <w:r w:rsidRPr="00494238">
          <w:rPr>
            <w:rStyle w:val="Hyperlink"/>
            <w:i w:val="0"/>
            <w:sz w:val="20"/>
            <w:szCs w:val="20"/>
          </w:rPr>
          <w:t>SCADA Telemetry</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_Toc204411594 \h </w:instrText>
        </w:r>
        <w:r w:rsidRPr="00494238">
          <w:rPr>
            <w:i w:val="0"/>
            <w:webHidden/>
            <w:sz w:val="20"/>
            <w:szCs w:val="20"/>
          </w:rPr>
        </w:r>
        <w:r w:rsidRPr="00494238">
          <w:rPr>
            <w:i w:val="0"/>
            <w:webHidden/>
            <w:sz w:val="20"/>
            <w:szCs w:val="20"/>
          </w:rPr>
          <w:fldChar w:fldCharType="separate"/>
        </w:r>
        <w:r w:rsidRPr="00494238">
          <w:rPr>
            <w:i w:val="0"/>
            <w:webHidden/>
            <w:sz w:val="20"/>
            <w:szCs w:val="20"/>
          </w:rPr>
          <w:t>6-76</w:t>
        </w:r>
        <w:r w:rsidRPr="00494238">
          <w:rPr>
            <w:i w:val="0"/>
            <w:webHidden/>
            <w:sz w:val="20"/>
            <w:szCs w:val="20"/>
          </w:rPr>
          <w:fldChar w:fldCharType="end"/>
        </w:r>
      </w:hyperlink>
    </w:p>
    <w:p w14:paraId="189B59A4" w14:textId="47C3852B" w:rsidR="00494238" w:rsidRPr="00494238" w:rsidRDefault="00494238">
      <w:pPr>
        <w:pStyle w:val="TOC5"/>
        <w:rPr>
          <w:rFonts w:eastAsiaTheme="minorEastAsia"/>
          <w:i w:val="0"/>
          <w:kern w:val="2"/>
          <w:sz w:val="20"/>
          <w:szCs w:val="20"/>
          <w14:ligatures w14:val="standardContextual"/>
        </w:rPr>
      </w:pPr>
      <w:hyperlink w:anchor="_Toc204411595" w:history="1">
        <w:r w:rsidRPr="00494238">
          <w:rPr>
            <w:rStyle w:val="Hyperlink"/>
            <w:i w:val="0"/>
            <w:sz w:val="20"/>
            <w:szCs w:val="20"/>
          </w:rPr>
          <w:t>6.5.7.1.2</w:t>
        </w:r>
        <w:r w:rsidRPr="00494238">
          <w:rPr>
            <w:rFonts w:eastAsiaTheme="minorEastAsia"/>
            <w:i w:val="0"/>
            <w:kern w:val="2"/>
            <w:sz w:val="20"/>
            <w:szCs w:val="20"/>
            <w14:ligatures w14:val="standardContextual"/>
          </w:rPr>
          <w:tab/>
        </w:r>
        <w:r w:rsidRPr="00494238">
          <w:rPr>
            <w:rStyle w:val="Hyperlink"/>
            <w:i w:val="0"/>
            <w:sz w:val="20"/>
            <w:szCs w:val="20"/>
          </w:rPr>
          <w:t>Network Topology Builder</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_Toc204411595 \h </w:instrText>
        </w:r>
        <w:r w:rsidRPr="00494238">
          <w:rPr>
            <w:i w:val="0"/>
            <w:webHidden/>
            <w:sz w:val="20"/>
            <w:szCs w:val="20"/>
          </w:rPr>
        </w:r>
        <w:r w:rsidRPr="00494238">
          <w:rPr>
            <w:i w:val="0"/>
            <w:webHidden/>
            <w:sz w:val="20"/>
            <w:szCs w:val="20"/>
          </w:rPr>
          <w:fldChar w:fldCharType="separate"/>
        </w:r>
        <w:r w:rsidRPr="00494238">
          <w:rPr>
            <w:i w:val="0"/>
            <w:webHidden/>
            <w:sz w:val="20"/>
            <w:szCs w:val="20"/>
          </w:rPr>
          <w:t>6-76</w:t>
        </w:r>
        <w:r w:rsidRPr="00494238">
          <w:rPr>
            <w:i w:val="0"/>
            <w:webHidden/>
            <w:sz w:val="20"/>
            <w:szCs w:val="20"/>
          </w:rPr>
          <w:fldChar w:fldCharType="end"/>
        </w:r>
      </w:hyperlink>
    </w:p>
    <w:p w14:paraId="1ACAA6B2" w14:textId="39987C51" w:rsidR="00494238" w:rsidRPr="00494238" w:rsidRDefault="00494238">
      <w:pPr>
        <w:pStyle w:val="TOC5"/>
        <w:rPr>
          <w:rFonts w:eastAsiaTheme="minorEastAsia"/>
          <w:i w:val="0"/>
          <w:kern w:val="2"/>
          <w:sz w:val="20"/>
          <w:szCs w:val="20"/>
          <w14:ligatures w14:val="standardContextual"/>
        </w:rPr>
      </w:pPr>
      <w:hyperlink w:anchor="_Toc204411596" w:history="1">
        <w:r w:rsidRPr="00494238">
          <w:rPr>
            <w:rStyle w:val="Hyperlink"/>
            <w:i w:val="0"/>
            <w:sz w:val="20"/>
            <w:szCs w:val="20"/>
          </w:rPr>
          <w:t>6.5.7.1.3</w:t>
        </w:r>
        <w:r w:rsidRPr="00494238">
          <w:rPr>
            <w:rFonts w:eastAsiaTheme="minorEastAsia"/>
            <w:i w:val="0"/>
            <w:kern w:val="2"/>
            <w:sz w:val="20"/>
            <w:szCs w:val="20"/>
            <w14:ligatures w14:val="standardContextual"/>
          </w:rPr>
          <w:tab/>
        </w:r>
        <w:r w:rsidRPr="00494238">
          <w:rPr>
            <w:rStyle w:val="Hyperlink"/>
            <w:i w:val="0"/>
            <w:sz w:val="20"/>
            <w:szCs w:val="20"/>
          </w:rPr>
          <w:t>Bus Load Forecast</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_Toc204411596 \h </w:instrText>
        </w:r>
        <w:r w:rsidRPr="00494238">
          <w:rPr>
            <w:i w:val="0"/>
            <w:webHidden/>
            <w:sz w:val="20"/>
            <w:szCs w:val="20"/>
          </w:rPr>
        </w:r>
        <w:r w:rsidRPr="00494238">
          <w:rPr>
            <w:i w:val="0"/>
            <w:webHidden/>
            <w:sz w:val="20"/>
            <w:szCs w:val="20"/>
          </w:rPr>
          <w:fldChar w:fldCharType="separate"/>
        </w:r>
        <w:r w:rsidRPr="00494238">
          <w:rPr>
            <w:i w:val="0"/>
            <w:webHidden/>
            <w:sz w:val="20"/>
            <w:szCs w:val="20"/>
          </w:rPr>
          <w:t>6-77</w:t>
        </w:r>
        <w:r w:rsidRPr="00494238">
          <w:rPr>
            <w:i w:val="0"/>
            <w:webHidden/>
            <w:sz w:val="20"/>
            <w:szCs w:val="20"/>
          </w:rPr>
          <w:fldChar w:fldCharType="end"/>
        </w:r>
      </w:hyperlink>
    </w:p>
    <w:p w14:paraId="6B69C464" w14:textId="7988412A" w:rsidR="00494238" w:rsidRPr="00494238" w:rsidRDefault="00494238">
      <w:pPr>
        <w:pStyle w:val="TOC5"/>
        <w:rPr>
          <w:rFonts w:eastAsiaTheme="minorEastAsia"/>
          <w:i w:val="0"/>
          <w:kern w:val="2"/>
          <w:sz w:val="20"/>
          <w:szCs w:val="20"/>
          <w14:ligatures w14:val="standardContextual"/>
        </w:rPr>
      </w:pPr>
      <w:hyperlink w:anchor="_Toc204411597" w:history="1">
        <w:r w:rsidRPr="00494238">
          <w:rPr>
            <w:rStyle w:val="Hyperlink"/>
            <w:i w:val="0"/>
            <w:sz w:val="20"/>
            <w:szCs w:val="20"/>
          </w:rPr>
          <w:t>6.5.7.1.4</w:t>
        </w:r>
        <w:r w:rsidRPr="00494238">
          <w:rPr>
            <w:rFonts w:eastAsiaTheme="minorEastAsia"/>
            <w:i w:val="0"/>
            <w:kern w:val="2"/>
            <w:sz w:val="20"/>
            <w:szCs w:val="20"/>
            <w14:ligatures w14:val="standardContextual"/>
          </w:rPr>
          <w:tab/>
        </w:r>
        <w:r w:rsidRPr="00494238">
          <w:rPr>
            <w:rStyle w:val="Hyperlink"/>
            <w:i w:val="0"/>
            <w:sz w:val="20"/>
            <w:szCs w:val="20"/>
          </w:rPr>
          <w:t>State Estimator</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_Toc204411597 \h </w:instrText>
        </w:r>
        <w:r w:rsidRPr="00494238">
          <w:rPr>
            <w:i w:val="0"/>
            <w:webHidden/>
            <w:sz w:val="20"/>
            <w:szCs w:val="20"/>
          </w:rPr>
        </w:r>
        <w:r w:rsidRPr="00494238">
          <w:rPr>
            <w:i w:val="0"/>
            <w:webHidden/>
            <w:sz w:val="20"/>
            <w:szCs w:val="20"/>
          </w:rPr>
          <w:fldChar w:fldCharType="separate"/>
        </w:r>
        <w:r w:rsidRPr="00494238">
          <w:rPr>
            <w:i w:val="0"/>
            <w:webHidden/>
            <w:sz w:val="20"/>
            <w:szCs w:val="20"/>
          </w:rPr>
          <w:t>6-77</w:t>
        </w:r>
        <w:r w:rsidRPr="00494238">
          <w:rPr>
            <w:i w:val="0"/>
            <w:webHidden/>
            <w:sz w:val="20"/>
            <w:szCs w:val="20"/>
          </w:rPr>
          <w:fldChar w:fldCharType="end"/>
        </w:r>
      </w:hyperlink>
    </w:p>
    <w:p w14:paraId="53A02657" w14:textId="504393BC" w:rsidR="00494238" w:rsidRPr="00494238" w:rsidRDefault="00494238">
      <w:pPr>
        <w:pStyle w:val="TOC5"/>
        <w:rPr>
          <w:rFonts w:eastAsiaTheme="minorEastAsia"/>
          <w:i w:val="0"/>
          <w:kern w:val="2"/>
          <w:sz w:val="20"/>
          <w:szCs w:val="20"/>
          <w14:ligatures w14:val="standardContextual"/>
        </w:rPr>
      </w:pPr>
      <w:hyperlink w:anchor="_Toc204411598" w:history="1">
        <w:r w:rsidRPr="00494238">
          <w:rPr>
            <w:rStyle w:val="Hyperlink"/>
            <w:i w:val="0"/>
            <w:sz w:val="20"/>
            <w:szCs w:val="20"/>
          </w:rPr>
          <w:t>6.5.7.1.5</w:t>
        </w:r>
        <w:r w:rsidRPr="00494238">
          <w:rPr>
            <w:rFonts w:eastAsiaTheme="minorEastAsia"/>
            <w:i w:val="0"/>
            <w:kern w:val="2"/>
            <w:sz w:val="20"/>
            <w:szCs w:val="20"/>
            <w14:ligatures w14:val="standardContextual"/>
          </w:rPr>
          <w:tab/>
        </w:r>
        <w:r w:rsidRPr="00494238">
          <w:rPr>
            <w:rStyle w:val="Hyperlink"/>
            <w:i w:val="0"/>
            <w:sz w:val="20"/>
            <w:szCs w:val="20"/>
          </w:rPr>
          <w:t>Topology Consistency Analyzer</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_Toc204411598 \h </w:instrText>
        </w:r>
        <w:r w:rsidRPr="00494238">
          <w:rPr>
            <w:i w:val="0"/>
            <w:webHidden/>
            <w:sz w:val="20"/>
            <w:szCs w:val="20"/>
          </w:rPr>
        </w:r>
        <w:r w:rsidRPr="00494238">
          <w:rPr>
            <w:i w:val="0"/>
            <w:webHidden/>
            <w:sz w:val="20"/>
            <w:szCs w:val="20"/>
          </w:rPr>
          <w:fldChar w:fldCharType="separate"/>
        </w:r>
        <w:r w:rsidRPr="00494238">
          <w:rPr>
            <w:i w:val="0"/>
            <w:webHidden/>
            <w:sz w:val="20"/>
            <w:szCs w:val="20"/>
          </w:rPr>
          <w:t>6-77</w:t>
        </w:r>
        <w:r w:rsidRPr="00494238">
          <w:rPr>
            <w:i w:val="0"/>
            <w:webHidden/>
            <w:sz w:val="20"/>
            <w:szCs w:val="20"/>
          </w:rPr>
          <w:fldChar w:fldCharType="end"/>
        </w:r>
      </w:hyperlink>
    </w:p>
    <w:p w14:paraId="41EBB4BE" w14:textId="27CE4E3B" w:rsidR="00494238" w:rsidRPr="00494238" w:rsidRDefault="00494238">
      <w:pPr>
        <w:pStyle w:val="TOC5"/>
        <w:rPr>
          <w:rFonts w:eastAsiaTheme="minorEastAsia"/>
          <w:i w:val="0"/>
          <w:kern w:val="2"/>
          <w:sz w:val="20"/>
          <w:szCs w:val="20"/>
          <w14:ligatures w14:val="standardContextual"/>
        </w:rPr>
      </w:pPr>
      <w:hyperlink w:anchor="_Toc204411599" w:history="1">
        <w:r w:rsidRPr="00494238">
          <w:rPr>
            <w:rStyle w:val="Hyperlink"/>
            <w:i w:val="0"/>
            <w:sz w:val="20"/>
            <w:szCs w:val="20"/>
          </w:rPr>
          <w:t>6.5.7.1.6</w:t>
        </w:r>
        <w:r w:rsidRPr="00494238">
          <w:rPr>
            <w:rFonts w:eastAsiaTheme="minorEastAsia"/>
            <w:i w:val="0"/>
            <w:kern w:val="2"/>
            <w:sz w:val="20"/>
            <w:szCs w:val="20"/>
            <w14:ligatures w14:val="standardContextual"/>
          </w:rPr>
          <w:tab/>
        </w:r>
        <w:r w:rsidRPr="00494238">
          <w:rPr>
            <w:rStyle w:val="Hyperlink"/>
            <w:i w:val="0"/>
            <w:sz w:val="20"/>
            <w:szCs w:val="20"/>
          </w:rPr>
          <w:t>Breakers/Switch Status Alarm Processor and Forced Outage Detection Processor</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_Toc204411599 \h </w:instrText>
        </w:r>
        <w:r w:rsidRPr="00494238">
          <w:rPr>
            <w:i w:val="0"/>
            <w:webHidden/>
            <w:sz w:val="20"/>
            <w:szCs w:val="20"/>
          </w:rPr>
        </w:r>
        <w:r w:rsidRPr="00494238">
          <w:rPr>
            <w:i w:val="0"/>
            <w:webHidden/>
            <w:sz w:val="20"/>
            <w:szCs w:val="20"/>
          </w:rPr>
          <w:fldChar w:fldCharType="separate"/>
        </w:r>
        <w:r w:rsidRPr="00494238">
          <w:rPr>
            <w:i w:val="0"/>
            <w:webHidden/>
            <w:sz w:val="20"/>
            <w:szCs w:val="20"/>
          </w:rPr>
          <w:t>6-78</w:t>
        </w:r>
        <w:r w:rsidRPr="00494238">
          <w:rPr>
            <w:i w:val="0"/>
            <w:webHidden/>
            <w:sz w:val="20"/>
            <w:szCs w:val="20"/>
          </w:rPr>
          <w:fldChar w:fldCharType="end"/>
        </w:r>
      </w:hyperlink>
    </w:p>
    <w:p w14:paraId="0A81AE66" w14:textId="69887FDD" w:rsidR="00494238" w:rsidRPr="00494238" w:rsidRDefault="00494238">
      <w:pPr>
        <w:pStyle w:val="TOC5"/>
        <w:rPr>
          <w:rFonts w:eastAsiaTheme="minorEastAsia"/>
          <w:i w:val="0"/>
          <w:kern w:val="2"/>
          <w:sz w:val="20"/>
          <w:szCs w:val="20"/>
          <w14:ligatures w14:val="standardContextual"/>
        </w:rPr>
      </w:pPr>
      <w:hyperlink w:anchor="_Toc204411600" w:history="1">
        <w:r w:rsidRPr="00494238">
          <w:rPr>
            <w:rStyle w:val="Hyperlink"/>
            <w:i w:val="0"/>
            <w:sz w:val="20"/>
            <w:szCs w:val="20"/>
          </w:rPr>
          <w:t>6.5.7.1.7</w:t>
        </w:r>
        <w:r w:rsidRPr="00494238">
          <w:rPr>
            <w:rFonts w:eastAsiaTheme="minorEastAsia"/>
            <w:i w:val="0"/>
            <w:kern w:val="2"/>
            <w:sz w:val="20"/>
            <w:szCs w:val="20"/>
            <w14:ligatures w14:val="standardContextual"/>
          </w:rPr>
          <w:tab/>
        </w:r>
        <w:r w:rsidRPr="00494238">
          <w:rPr>
            <w:rStyle w:val="Hyperlink"/>
            <w:i w:val="0"/>
            <w:sz w:val="20"/>
            <w:szCs w:val="20"/>
          </w:rPr>
          <w:t>Real-Time Weather and Dynamic Rating Processor</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_Toc204411600 \h </w:instrText>
        </w:r>
        <w:r w:rsidRPr="00494238">
          <w:rPr>
            <w:i w:val="0"/>
            <w:webHidden/>
            <w:sz w:val="20"/>
            <w:szCs w:val="20"/>
          </w:rPr>
        </w:r>
        <w:r w:rsidRPr="00494238">
          <w:rPr>
            <w:i w:val="0"/>
            <w:webHidden/>
            <w:sz w:val="20"/>
            <w:szCs w:val="20"/>
          </w:rPr>
          <w:fldChar w:fldCharType="separate"/>
        </w:r>
        <w:r w:rsidRPr="00494238">
          <w:rPr>
            <w:i w:val="0"/>
            <w:webHidden/>
            <w:sz w:val="20"/>
            <w:szCs w:val="20"/>
          </w:rPr>
          <w:t>6-78</w:t>
        </w:r>
        <w:r w:rsidRPr="00494238">
          <w:rPr>
            <w:i w:val="0"/>
            <w:webHidden/>
            <w:sz w:val="20"/>
            <w:szCs w:val="20"/>
          </w:rPr>
          <w:fldChar w:fldCharType="end"/>
        </w:r>
      </w:hyperlink>
    </w:p>
    <w:p w14:paraId="2C0C3C93" w14:textId="328E94C3" w:rsidR="00494238" w:rsidRPr="00494238" w:rsidRDefault="00494238">
      <w:pPr>
        <w:pStyle w:val="TOC5"/>
        <w:rPr>
          <w:rFonts w:eastAsiaTheme="minorEastAsia"/>
          <w:i w:val="0"/>
          <w:kern w:val="2"/>
          <w:sz w:val="20"/>
          <w:szCs w:val="20"/>
          <w14:ligatures w14:val="standardContextual"/>
        </w:rPr>
      </w:pPr>
      <w:hyperlink w:anchor="_Toc204411601" w:history="1">
        <w:r w:rsidRPr="00494238">
          <w:rPr>
            <w:rStyle w:val="Hyperlink"/>
            <w:i w:val="0"/>
            <w:sz w:val="20"/>
            <w:szCs w:val="20"/>
          </w:rPr>
          <w:t>6.5.7.1.8</w:t>
        </w:r>
        <w:r w:rsidRPr="00494238">
          <w:rPr>
            <w:rFonts w:eastAsiaTheme="minorEastAsia"/>
            <w:i w:val="0"/>
            <w:kern w:val="2"/>
            <w:sz w:val="20"/>
            <w:szCs w:val="20"/>
            <w14:ligatures w14:val="standardContextual"/>
          </w:rPr>
          <w:tab/>
        </w:r>
        <w:r w:rsidRPr="00494238">
          <w:rPr>
            <w:rStyle w:val="Hyperlink"/>
            <w:i w:val="0"/>
            <w:sz w:val="20"/>
            <w:szCs w:val="20"/>
          </w:rPr>
          <w:t>Overload Alarm Processor</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_Toc204411601 \h </w:instrText>
        </w:r>
        <w:r w:rsidRPr="00494238">
          <w:rPr>
            <w:i w:val="0"/>
            <w:webHidden/>
            <w:sz w:val="20"/>
            <w:szCs w:val="20"/>
          </w:rPr>
        </w:r>
        <w:r w:rsidRPr="00494238">
          <w:rPr>
            <w:i w:val="0"/>
            <w:webHidden/>
            <w:sz w:val="20"/>
            <w:szCs w:val="20"/>
          </w:rPr>
          <w:fldChar w:fldCharType="separate"/>
        </w:r>
        <w:r w:rsidRPr="00494238">
          <w:rPr>
            <w:i w:val="0"/>
            <w:webHidden/>
            <w:sz w:val="20"/>
            <w:szCs w:val="20"/>
          </w:rPr>
          <w:t>6-78</w:t>
        </w:r>
        <w:r w:rsidRPr="00494238">
          <w:rPr>
            <w:i w:val="0"/>
            <w:webHidden/>
            <w:sz w:val="20"/>
            <w:szCs w:val="20"/>
          </w:rPr>
          <w:fldChar w:fldCharType="end"/>
        </w:r>
      </w:hyperlink>
    </w:p>
    <w:p w14:paraId="6C7C8BBF" w14:textId="1615C822" w:rsidR="00494238" w:rsidRPr="00494238" w:rsidRDefault="00494238">
      <w:pPr>
        <w:pStyle w:val="TOC5"/>
        <w:rPr>
          <w:rFonts w:eastAsiaTheme="minorEastAsia"/>
          <w:i w:val="0"/>
          <w:kern w:val="2"/>
          <w:sz w:val="20"/>
          <w:szCs w:val="20"/>
          <w14:ligatures w14:val="standardContextual"/>
        </w:rPr>
      </w:pPr>
      <w:hyperlink w:anchor="_Toc204411602" w:history="1">
        <w:r w:rsidRPr="00494238">
          <w:rPr>
            <w:rStyle w:val="Hyperlink"/>
            <w:i w:val="0"/>
            <w:sz w:val="20"/>
            <w:szCs w:val="20"/>
          </w:rPr>
          <w:t>6.5.7.1.9</w:t>
        </w:r>
        <w:r w:rsidRPr="00494238">
          <w:rPr>
            <w:rFonts w:eastAsiaTheme="minorEastAsia"/>
            <w:i w:val="0"/>
            <w:kern w:val="2"/>
            <w:sz w:val="20"/>
            <w:szCs w:val="20"/>
            <w14:ligatures w14:val="standardContextual"/>
          </w:rPr>
          <w:tab/>
        </w:r>
        <w:r w:rsidRPr="00494238">
          <w:rPr>
            <w:rStyle w:val="Hyperlink"/>
            <w:i w:val="0"/>
            <w:sz w:val="20"/>
            <w:szCs w:val="20"/>
          </w:rPr>
          <w:t>Contingency List and Contingency Screening</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_Toc204411602 \h </w:instrText>
        </w:r>
        <w:r w:rsidRPr="00494238">
          <w:rPr>
            <w:i w:val="0"/>
            <w:webHidden/>
            <w:sz w:val="20"/>
            <w:szCs w:val="20"/>
          </w:rPr>
        </w:r>
        <w:r w:rsidRPr="00494238">
          <w:rPr>
            <w:i w:val="0"/>
            <w:webHidden/>
            <w:sz w:val="20"/>
            <w:szCs w:val="20"/>
          </w:rPr>
          <w:fldChar w:fldCharType="separate"/>
        </w:r>
        <w:r w:rsidRPr="00494238">
          <w:rPr>
            <w:i w:val="0"/>
            <w:webHidden/>
            <w:sz w:val="20"/>
            <w:szCs w:val="20"/>
          </w:rPr>
          <w:t>6-79</w:t>
        </w:r>
        <w:r w:rsidRPr="00494238">
          <w:rPr>
            <w:i w:val="0"/>
            <w:webHidden/>
            <w:sz w:val="20"/>
            <w:szCs w:val="20"/>
          </w:rPr>
          <w:fldChar w:fldCharType="end"/>
        </w:r>
      </w:hyperlink>
    </w:p>
    <w:p w14:paraId="010A0F02" w14:textId="381A229A" w:rsidR="00494238" w:rsidRPr="00494238" w:rsidRDefault="00494238">
      <w:pPr>
        <w:pStyle w:val="TOC5"/>
        <w:rPr>
          <w:rFonts w:eastAsiaTheme="minorEastAsia"/>
          <w:i w:val="0"/>
          <w:kern w:val="2"/>
          <w:sz w:val="20"/>
          <w:szCs w:val="20"/>
          <w14:ligatures w14:val="standardContextual"/>
        </w:rPr>
      </w:pPr>
      <w:hyperlink w:anchor="_Toc204411603" w:history="1">
        <w:r w:rsidRPr="00494238">
          <w:rPr>
            <w:rStyle w:val="Hyperlink"/>
            <w:i w:val="0"/>
            <w:sz w:val="20"/>
            <w:szCs w:val="20"/>
          </w:rPr>
          <w:t>6.5.7.1.10</w:t>
        </w:r>
        <w:r w:rsidRPr="00494238">
          <w:rPr>
            <w:rFonts w:eastAsiaTheme="minorEastAsia"/>
            <w:i w:val="0"/>
            <w:kern w:val="2"/>
            <w:sz w:val="20"/>
            <w:szCs w:val="20"/>
            <w14:ligatures w14:val="standardContextual"/>
          </w:rPr>
          <w:tab/>
        </w:r>
        <w:r w:rsidRPr="00494238">
          <w:rPr>
            <w:rStyle w:val="Hyperlink"/>
            <w:i w:val="0"/>
            <w:sz w:val="20"/>
            <w:szCs w:val="20"/>
          </w:rPr>
          <w:t>Network Security Analysis Processor and Security Violation Alarm</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_Toc204411603 \h </w:instrText>
        </w:r>
        <w:r w:rsidRPr="00494238">
          <w:rPr>
            <w:i w:val="0"/>
            <w:webHidden/>
            <w:sz w:val="20"/>
            <w:szCs w:val="20"/>
          </w:rPr>
        </w:r>
        <w:r w:rsidRPr="00494238">
          <w:rPr>
            <w:i w:val="0"/>
            <w:webHidden/>
            <w:sz w:val="20"/>
            <w:szCs w:val="20"/>
          </w:rPr>
          <w:fldChar w:fldCharType="separate"/>
        </w:r>
        <w:r w:rsidRPr="00494238">
          <w:rPr>
            <w:i w:val="0"/>
            <w:webHidden/>
            <w:sz w:val="20"/>
            <w:szCs w:val="20"/>
          </w:rPr>
          <w:t>6-79</w:t>
        </w:r>
        <w:r w:rsidRPr="00494238">
          <w:rPr>
            <w:i w:val="0"/>
            <w:webHidden/>
            <w:sz w:val="20"/>
            <w:szCs w:val="20"/>
          </w:rPr>
          <w:fldChar w:fldCharType="end"/>
        </w:r>
      </w:hyperlink>
    </w:p>
    <w:p w14:paraId="79EE7380" w14:textId="026C370A" w:rsidR="00494238" w:rsidRPr="00494238" w:rsidRDefault="00494238">
      <w:pPr>
        <w:pStyle w:val="TOC5"/>
        <w:rPr>
          <w:rFonts w:eastAsiaTheme="minorEastAsia"/>
          <w:i w:val="0"/>
          <w:kern w:val="2"/>
          <w:sz w:val="20"/>
          <w:szCs w:val="20"/>
          <w14:ligatures w14:val="standardContextual"/>
        </w:rPr>
      </w:pPr>
      <w:hyperlink w:anchor="_Toc204411604" w:history="1">
        <w:r w:rsidRPr="00494238">
          <w:rPr>
            <w:rStyle w:val="Hyperlink"/>
            <w:i w:val="0"/>
            <w:sz w:val="20"/>
            <w:szCs w:val="20"/>
          </w:rPr>
          <w:t>6.5.7.1.11</w:t>
        </w:r>
        <w:r w:rsidRPr="00494238">
          <w:rPr>
            <w:rFonts w:eastAsiaTheme="minorEastAsia"/>
            <w:i w:val="0"/>
            <w:kern w:val="2"/>
            <w:sz w:val="20"/>
            <w:szCs w:val="20"/>
            <w14:ligatures w14:val="standardContextual"/>
          </w:rPr>
          <w:tab/>
        </w:r>
        <w:r w:rsidRPr="00494238">
          <w:rPr>
            <w:rStyle w:val="Hyperlink"/>
            <w:i w:val="0"/>
            <w:sz w:val="20"/>
            <w:szCs w:val="20"/>
          </w:rPr>
          <w:t>Transmission Network and Power Balance Constraint Management</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_Toc204411604 \h </w:instrText>
        </w:r>
        <w:r w:rsidRPr="00494238">
          <w:rPr>
            <w:i w:val="0"/>
            <w:webHidden/>
            <w:sz w:val="20"/>
            <w:szCs w:val="20"/>
          </w:rPr>
        </w:r>
        <w:r w:rsidRPr="00494238">
          <w:rPr>
            <w:i w:val="0"/>
            <w:webHidden/>
            <w:sz w:val="20"/>
            <w:szCs w:val="20"/>
          </w:rPr>
          <w:fldChar w:fldCharType="separate"/>
        </w:r>
        <w:r w:rsidRPr="00494238">
          <w:rPr>
            <w:i w:val="0"/>
            <w:webHidden/>
            <w:sz w:val="20"/>
            <w:szCs w:val="20"/>
          </w:rPr>
          <w:t>6-81</w:t>
        </w:r>
        <w:r w:rsidRPr="00494238">
          <w:rPr>
            <w:i w:val="0"/>
            <w:webHidden/>
            <w:sz w:val="20"/>
            <w:szCs w:val="20"/>
          </w:rPr>
          <w:fldChar w:fldCharType="end"/>
        </w:r>
      </w:hyperlink>
    </w:p>
    <w:p w14:paraId="4BD1E30C" w14:textId="600FF1D4" w:rsidR="00494238" w:rsidRPr="00494238" w:rsidRDefault="00494238">
      <w:pPr>
        <w:pStyle w:val="TOC5"/>
        <w:rPr>
          <w:rFonts w:eastAsiaTheme="minorEastAsia"/>
          <w:i w:val="0"/>
          <w:kern w:val="2"/>
          <w:sz w:val="20"/>
          <w:szCs w:val="20"/>
          <w14:ligatures w14:val="standardContextual"/>
        </w:rPr>
      </w:pPr>
      <w:hyperlink w:anchor="_Toc204411605" w:history="1">
        <w:r w:rsidRPr="00494238">
          <w:rPr>
            <w:rStyle w:val="Hyperlink"/>
            <w:i w:val="0"/>
            <w:sz w:val="20"/>
            <w:szCs w:val="20"/>
          </w:rPr>
          <w:t>6.5.7.1.12</w:t>
        </w:r>
        <w:r w:rsidRPr="00494238">
          <w:rPr>
            <w:rFonts w:eastAsiaTheme="minorEastAsia"/>
            <w:i w:val="0"/>
            <w:kern w:val="2"/>
            <w:sz w:val="20"/>
            <w:szCs w:val="20"/>
            <w14:ligatures w14:val="standardContextual"/>
          </w:rPr>
          <w:tab/>
        </w:r>
        <w:r w:rsidRPr="00494238">
          <w:rPr>
            <w:rStyle w:val="Hyperlink"/>
            <w:i w:val="0"/>
            <w:sz w:val="20"/>
            <w:szCs w:val="20"/>
          </w:rPr>
          <w:t>Resource Limits</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_Toc204411605 \h </w:instrText>
        </w:r>
        <w:r w:rsidRPr="00494238">
          <w:rPr>
            <w:i w:val="0"/>
            <w:webHidden/>
            <w:sz w:val="20"/>
            <w:szCs w:val="20"/>
          </w:rPr>
        </w:r>
        <w:r w:rsidRPr="00494238">
          <w:rPr>
            <w:i w:val="0"/>
            <w:webHidden/>
            <w:sz w:val="20"/>
            <w:szCs w:val="20"/>
          </w:rPr>
          <w:fldChar w:fldCharType="separate"/>
        </w:r>
        <w:r w:rsidRPr="00494238">
          <w:rPr>
            <w:i w:val="0"/>
            <w:webHidden/>
            <w:sz w:val="20"/>
            <w:szCs w:val="20"/>
          </w:rPr>
          <w:t>6-82</w:t>
        </w:r>
        <w:r w:rsidRPr="00494238">
          <w:rPr>
            <w:i w:val="0"/>
            <w:webHidden/>
            <w:sz w:val="20"/>
            <w:szCs w:val="20"/>
          </w:rPr>
          <w:fldChar w:fldCharType="end"/>
        </w:r>
      </w:hyperlink>
    </w:p>
    <w:p w14:paraId="4E0017CE" w14:textId="19DD8B02" w:rsidR="00494238" w:rsidRPr="00494238" w:rsidRDefault="00494238">
      <w:pPr>
        <w:pStyle w:val="TOC5"/>
        <w:rPr>
          <w:rFonts w:eastAsiaTheme="minorEastAsia"/>
          <w:i w:val="0"/>
          <w:kern w:val="2"/>
          <w:sz w:val="20"/>
          <w:szCs w:val="20"/>
          <w14:ligatures w14:val="standardContextual"/>
        </w:rPr>
      </w:pPr>
      <w:hyperlink w:anchor="_Toc204411606" w:history="1">
        <w:r w:rsidRPr="00494238">
          <w:rPr>
            <w:rStyle w:val="Hyperlink"/>
            <w:i w:val="0"/>
            <w:sz w:val="20"/>
            <w:szCs w:val="20"/>
          </w:rPr>
          <w:t>6.5.7.1.12</w:t>
        </w:r>
        <w:r w:rsidRPr="00494238">
          <w:rPr>
            <w:rFonts w:eastAsiaTheme="minorEastAsia"/>
            <w:i w:val="0"/>
            <w:kern w:val="2"/>
            <w:sz w:val="20"/>
            <w:szCs w:val="20"/>
            <w14:ligatures w14:val="standardContextual"/>
          </w:rPr>
          <w:tab/>
        </w:r>
        <w:r w:rsidRPr="00494238">
          <w:rPr>
            <w:rStyle w:val="Hyperlink"/>
            <w:i w:val="0"/>
            <w:sz w:val="20"/>
            <w:szCs w:val="20"/>
          </w:rPr>
          <w:t>Resource Limits</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_Toc204411606 \h </w:instrText>
        </w:r>
        <w:r w:rsidRPr="00494238">
          <w:rPr>
            <w:i w:val="0"/>
            <w:webHidden/>
            <w:sz w:val="20"/>
            <w:szCs w:val="20"/>
          </w:rPr>
        </w:r>
        <w:r w:rsidRPr="00494238">
          <w:rPr>
            <w:i w:val="0"/>
            <w:webHidden/>
            <w:sz w:val="20"/>
            <w:szCs w:val="20"/>
          </w:rPr>
          <w:fldChar w:fldCharType="separate"/>
        </w:r>
        <w:r w:rsidRPr="00494238">
          <w:rPr>
            <w:i w:val="0"/>
            <w:webHidden/>
            <w:sz w:val="20"/>
            <w:szCs w:val="20"/>
          </w:rPr>
          <w:t>6-83</w:t>
        </w:r>
        <w:r w:rsidRPr="00494238">
          <w:rPr>
            <w:i w:val="0"/>
            <w:webHidden/>
            <w:sz w:val="20"/>
            <w:szCs w:val="20"/>
          </w:rPr>
          <w:fldChar w:fldCharType="end"/>
        </w:r>
      </w:hyperlink>
    </w:p>
    <w:p w14:paraId="749E0882" w14:textId="6FD7A5A3" w:rsidR="00494238" w:rsidRPr="00494238" w:rsidRDefault="00494238">
      <w:pPr>
        <w:pStyle w:val="TOC5"/>
        <w:rPr>
          <w:rFonts w:eastAsiaTheme="minorEastAsia"/>
          <w:i w:val="0"/>
          <w:kern w:val="2"/>
          <w:sz w:val="20"/>
          <w:szCs w:val="20"/>
          <w14:ligatures w14:val="standardContextual"/>
        </w:rPr>
      </w:pPr>
      <w:hyperlink w:anchor="_Toc204411607" w:history="1">
        <w:r w:rsidRPr="00494238">
          <w:rPr>
            <w:rStyle w:val="Hyperlink"/>
            <w:i w:val="0"/>
            <w:sz w:val="20"/>
            <w:szCs w:val="20"/>
          </w:rPr>
          <w:t>6.5.7.1.13</w:t>
        </w:r>
        <w:r w:rsidRPr="00494238">
          <w:rPr>
            <w:rFonts w:eastAsiaTheme="minorEastAsia"/>
            <w:i w:val="0"/>
            <w:kern w:val="2"/>
            <w:sz w:val="20"/>
            <w:szCs w:val="20"/>
            <w14:ligatures w14:val="standardContextual"/>
          </w:rPr>
          <w:tab/>
        </w:r>
        <w:r w:rsidRPr="00494238">
          <w:rPr>
            <w:rStyle w:val="Hyperlink"/>
            <w:i w:val="0"/>
            <w:sz w:val="20"/>
            <w:szCs w:val="20"/>
          </w:rPr>
          <w:t>Data Inputs and Outputs for the Real-Time Sequence and SCED</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_Toc204411607 \h </w:instrText>
        </w:r>
        <w:r w:rsidRPr="00494238">
          <w:rPr>
            <w:i w:val="0"/>
            <w:webHidden/>
            <w:sz w:val="20"/>
            <w:szCs w:val="20"/>
          </w:rPr>
        </w:r>
        <w:r w:rsidRPr="00494238">
          <w:rPr>
            <w:i w:val="0"/>
            <w:webHidden/>
            <w:sz w:val="20"/>
            <w:szCs w:val="20"/>
          </w:rPr>
          <w:fldChar w:fldCharType="separate"/>
        </w:r>
        <w:r w:rsidRPr="00494238">
          <w:rPr>
            <w:i w:val="0"/>
            <w:webHidden/>
            <w:sz w:val="20"/>
            <w:szCs w:val="20"/>
          </w:rPr>
          <w:t>6-84</w:t>
        </w:r>
        <w:r w:rsidRPr="00494238">
          <w:rPr>
            <w:i w:val="0"/>
            <w:webHidden/>
            <w:sz w:val="20"/>
            <w:szCs w:val="20"/>
          </w:rPr>
          <w:fldChar w:fldCharType="end"/>
        </w:r>
      </w:hyperlink>
    </w:p>
    <w:p w14:paraId="6DB958C9" w14:textId="263B9E3D" w:rsidR="00494238" w:rsidRPr="00494238" w:rsidRDefault="00494238">
      <w:pPr>
        <w:pStyle w:val="TOC4"/>
        <w:rPr>
          <w:rFonts w:eastAsiaTheme="minorEastAsia"/>
          <w:kern w:val="2"/>
          <w:lang w:val="en-US"/>
          <w14:ligatures w14:val="standardContextual"/>
        </w:rPr>
      </w:pPr>
      <w:hyperlink w:anchor="_Toc204411608" w:history="1">
        <w:r w:rsidRPr="00494238">
          <w:rPr>
            <w:rStyle w:val="Hyperlink"/>
          </w:rPr>
          <w:t>6.5.7.2</w:t>
        </w:r>
        <w:r w:rsidRPr="00494238">
          <w:rPr>
            <w:rFonts w:eastAsiaTheme="minorEastAsia"/>
            <w:kern w:val="2"/>
            <w:lang w:val="en-US"/>
            <w14:ligatures w14:val="standardContextual"/>
          </w:rPr>
          <w:tab/>
        </w:r>
        <w:r w:rsidRPr="00494238">
          <w:rPr>
            <w:rStyle w:val="Hyperlink"/>
          </w:rPr>
          <w:t>Resource Limit Calculator</w:t>
        </w:r>
        <w:r w:rsidRPr="00494238">
          <w:rPr>
            <w:webHidden/>
          </w:rPr>
          <w:tab/>
        </w:r>
        <w:r w:rsidRPr="00494238">
          <w:rPr>
            <w:webHidden/>
          </w:rPr>
          <w:fldChar w:fldCharType="begin"/>
        </w:r>
        <w:r w:rsidRPr="00494238">
          <w:rPr>
            <w:webHidden/>
          </w:rPr>
          <w:instrText xml:space="preserve"> PAGEREF _Toc204411608 \h </w:instrText>
        </w:r>
        <w:r w:rsidRPr="00494238">
          <w:rPr>
            <w:webHidden/>
          </w:rPr>
        </w:r>
        <w:r w:rsidRPr="00494238">
          <w:rPr>
            <w:webHidden/>
          </w:rPr>
          <w:fldChar w:fldCharType="separate"/>
        </w:r>
        <w:r w:rsidRPr="00494238">
          <w:rPr>
            <w:webHidden/>
          </w:rPr>
          <w:t>6-90</w:t>
        </w:r>
        <w:r w:rsidRPr="00494238">
          <w:rPr>
            <w:webHidden/>
          </w:rPr>
          <w:fldChar w:fldCharType="end"/>
        </w:r>
      </w:hyperlink>
    </w:p>
    <w:p w14:paraId="7A901712" w14:textId="1C3C7354" w:rsidR="00494238" w:rsidRPr="00494238" w:rsidRDefault="00494238">
      <w:pPr>
        <w:pStyle w:val="TOC4"/>
        <w:rPr>
          <w:rFonts w:eastAsiaTheme="minorEastAsia"/>
          <w:kern w:val="2"/>
          <w:lang w:val="en-US"/>
          <w14:ligatures w14:val="standardContextual"/>
        </w:rPr>
      </w:pPr>
      <w:hyperlink w:anchor="_Toc204411609" w:history="1">
        <w:r w:rsidRPr="00494238">
          <w:rPr>
            <w:rStyle w:val="Hyperlink"/>
            <w:snapToGrid w:val="0"/>
          </w:rPr>
          <w:t>6.5.7.2</w:t>
        </w:r>
        <w:r w:rsidRPr="00494238">
          <w:rPr>
            <w:rFonts w:eastAsiaTheme="minorEastAsia"/>
            <w:kern w:val="2"/>
            <w:lang w:val="en-US"/>
            <w14:ligatures w14:val="standardContextual"/>
          </w:rPr>
          <w:tab/>
        </w:r>
        <w:r w:rsidRPr="00494238">
          <w:rPr>
            <w:rStyle w:val="Hyperlink"/>
            <w:snapToGrid w:val="0"/>
          </w:rPr>
          <w:t>Resource Limit Calculator</w:t>
        </w:r>
        <w:r w:rsidRPr="00494238">
          <w:rPr>
            <w:webHidden/>
          </w:rPr>
          <w:tab/>
        </w:r>
        <w:r w:rsidRPr="00494238">
          <w:rPr>
            <w:webHidden/>
          </w:rPr>
          <w:fldChar w:fldCharType="begin"/>
        </w:r>
        <w:r w:rsidRPr="00494238">
          <w:rPr>
            <w:webHidden/>
          </w:rPr>
          <w:instrText xml:space="preserve"> PAGEREF _Toc204411609 \h </w:instrText>
        </w:r>
        <w:r w:rsidRPr="00494238">
          <w:rPr>
            <w:webHidden/>
          </w:rPr>
        </w:r>
        <w:r w:rsidRPr="00494238">
          <w:rPr>
            <w:webHidden/>
          </w:rPr>
          <w:fldChar w:fldCharType="separate"/>
        </w:r>
        <w:r w:rsidRPr="00494238">
          <w:rPr>
            <w:webHidden/>
          </w:rPr>
          <w:t>6-96</w:t>
        </w:r>
        <w:r w:rsidRPr="00494238">
          <w:rPr>
            <w:webHidden/>
          </w:rPr>
          <w:fldChar w:fldCharType="end"/>
        </w:r>
      </w:hyperlink>
    </w:p>
    <w:p w14:paraId="04D1F7B7" w14:textId="4D0E9806" w:rsidR="00494238" w:rsidRPr="00494238" w:rsidRDefault="00494238">
      <w:pPr>
        <w:pStyle w:val="TOC4"/>
        <w:rPr>
          <w:rFonts w:eastAsiaTheme="minorEastAsia"/>
          <w:kern w:val="2"/>
          <w:lang w:val="en-US"/>
          <w14:ligatures w14:val="standardContextual"/>
        </w:rPr>
      </w:pPr>
      <w:hyperlink w:anchor="_Toc204411610" w:history="1">
        <w:r w:rsidRPr="00494238">
          <w:rPr>
            <w:rStyle w:val="Hyperlink"/>
          </w:rPr>
          <w:t>6.5.7.3</w:t>
        </w:r>
        <w:r w:rsidRPr="00494238">
          <w:rPr>
            <w:rFonts w:eastAsiaTheme="minorEastAsia"/>
            <w:kern w:val="2"/>
            <w:lang w:val="en-US"/>
            <w14:ligatures w14:val="standardContextual"/>
          </w:rPr>
          <w:tab/>
        </w:r>
        <w:r w:rsidRPr="00494238">
          <w:rPr>
            <w:rStyle w:val="Hyperlink"/>
          </w:rPr>
          <w:t>Security Constrained Economic Dispatch</w:t>
        </w:r>
        <w:r w:rsidRPr="00494238">
          <w:rPr>
            <w:webHidden/>
          </w:rPr>
          <w:tab/>
        </w:r>
        <w:r w:rsidRPr="00494238">
          <w:rPr>
            <w:webHidden/>
          </w:rPr>
          <w:fldChar w:fldCharType="begin"/>
        </w:r>
        <w:r w:rsidRPr="00494238">
          <w:rPr>
            <w:webHidden/>
          </w:rPr>
          <w:instrText xml:space="preserve"> PAGEREF _Toc204411610 \h </w:instrText>
        </w:r>
        <w:r w:rsidRPr="00494238">
          <w:rPr>
            <w:webHidden/>
          </w:rPr>
        </w:r>
        <w:r w:rsidRPr="00494238">
          <w:rPr>
            <w:webHidden/>
          </w:rPr>
          <w:fldChar w:fldCharType="separate"/>
        </w:r>
        <w:r w:rsidRPr="00494238">
          <w:rPr>
            <w:webHidden/>
          </w:rPr>
          <w:t>6-98</w:t>
        </w:r>
        <w:r w:rsidRPr="00494238">
          <w:rPr>
            <w:webHidden/>
          </w:rPr>
          <w:fldChar w:fldCharType="end"/>
        </w:r>
      </w:hyperlink>
    </w:p>
    <w:p w14:paraId="0618E9CC" w14:textId="28704708" w:rsidR="00494238" w:rsidRPr="00494238" w:rsidRDefault="00494238">
      <w:pPr>
        <w:pStyle w:val="TOC4"/>
        <w:rPr>
          <w:rFonts w:eastAsiaTheme="minorEastAsia"/>
          <w:kern w:val="2"/>
          <w:lang w:val="en-US"/>
          <w14:ligatures w14:val="standardContextual"/>
        </w:rPr>
      </w:pPr>
      <w:hyperlink w:anchor="_Toc204411611" w:history="1">
        <w:r w:rsidRPr="00494238">
          <w:rPr>
            <w:rStyle w:val="Hyperlink"/>
            <w:snapToGrid w:val="0"/>
          </w:rPr>
          <w:t>6.5.7.3</w:t>
        </w:r>
        <w:r w:rsidRPr="00494238">
          <w:rPr>
            <w:rFonts w:eastAsiaTheme="minorEastAsia"/>
            <w:kern w:val="2"/>
            <w:lang w:val="en-US"/>
            <w14:ligatures w14:val="standardContextual"/>
          </w:rPr>
          <w:tab/>
        </w:r>
        <w:r w:rsidRPr="00494238">
          <w:rPr>
            <w:rStyle w:val="Hyperlink"/>
            <w:snapToGrid w:val="0"/>
          </w:rPr>
          <w:t>Security Constrained Economic Dispatch</w:t>
        </w:r>
        <w:r w:rsidRPr="00494238">
          <w:rPr>
            <w:webHidden/>
          </w:rPr>
          <w:tab/>
        </w:r>
        <w:r w:rsidRPr="00494238">
          <w:rPr>
            <w:webHidden/>
          </w:rPr>
          <w:fldChar w:fldCharType="begin"/>
        </w:r>
        <w:r w:rsidRPr="00494238">
          <w:rPr>
            <w:webHidden/>
          </w:rPr>
          <w:instrText xml:space="preserve"> PAGEREF _Toc204411611 \h </w:instrText>
        </w:r>
        <w:r w:rsidRPr="00494238">
          <w:rPr>
            <w:webHidden/>
          </w:rPr>
        </w:r>
        <w:r w:rsidRPr="00494238">
          <w:rPr>
            <w:webHidden/>
          </w:rPr>
          <w:fldChar w:fldCharType="separate"/>
        </w:r>
        <w:r w:rsidRPr="00494238">
          <w:rPr>
            <w:webHidden/>
          </w:rPr>
          <w:t>6-105</w:t>
        </w:r>
        <w:r w:rsidRPr="00494238">
          <w:rPr>
            <w:webHidden/>
          </w:rPr>
          <w:fldChar w:fldCharType="end"/>
        </w:r>
      </w:hyperlink>
    </w:p>
    <w:p w14:paraId="04CDE113" w14:textId="2250EF8D" w:rsidR="00494238" w:rsidRPr="00494238" w:rsidRDefault="00494238">
      <w:pPr>
        <w:pStyle w:val="TOC5"/>
        <w:rPr>
          <w:rFonts w:eastAsiaTheme="minorEastAsia"/>
          <w:i w:val="0"/>
          <w:kern w:val="2"/>
          <w:sz w:val="20"/>
          <w:szCs w:val="20"/>
          <w14:ligatures w14:val="standardContextual"/>
        </w:rPr>
      </w:pPr>
      <w:hyperlink w:anchor="_Toc204411612" w:history="1">
        <w:r w:rsidRPr="00494238">
          <w:rPr>
            <w:rStyle w:val="Hyperlink"/>
            <w:i w:val="0"/>
            <w:snapToGrid w:val="0"/>
            <w:sz w:val="20"/>
            <w:szCs w:val="20"/>
          </w:rPr>
          <w:t>6.5.7.3.1</w:t>
        </w:r>
        <w:r w:rsidRPr="00494238">
          <w:rPr>
            <w:rFonts w:eastAsiaTheme="minorEastAsia"/>
            <w:i w:val="0"/>
            <w:kern w:val="2"/>
            <w:sz w:val="20"/>
            <w:szCs w:val="20"/>
            <w14:ligatures w14:val="standardContextual"/>
          </w:rPr>
          <w:tab/>
        </w:r>
        <w:r w:rsidRPr="00494238">
          <w:rPr>
            <w:rStyle w:val="Hyperlink"/>
            <w:i w:val="0"/>
            <w:snapToGrid w:val="0"/>
            <w:sz w:val="20"/>
            <w:szCs w:val="20"/>
          </w:rPr>
          <w:t>Determination of Real-Time On-Line Reliability Deployment Price Adder</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_Toc204411612 \h </w:instrText>
        </w:r>
        <w:r w:rsidRPr="00494238">
          <w:rPr>
            <w:i w:val="0"/>
            <w:webHidden/>
            <w:sz w:val="20"/>
            <w:szCs w:val="20"/>
          </w:rPr>
        </w:r>
        <w:r w:rsidRPr="00494238">
          <w:rPr>
            <w:i w:val="0"/>
            <w:webHidden/>
            <w:sz w:val="20"/>
            <w:szCs w:val="20"/>
          </w:rPr>
          <w:fldChar w:fldCharType="separate"/>
        </w:r>
        <w:r w:rsidRPr="00494238">
          <w:rPr>
            <w:i w:val="0"/>
            <w:webHidden/>
            <w:sz w:val="20"/>
            <w:szCs w:val="20"/>
          </w:rPr>
          <w:t>6-118</w:t>
        </w:r>
        <w:r w:rsidRPr="00494238">
          <w:rPr>
            <w:i w:val="0"/>
            <w:webHidden/>
            <w:sz w:val="20"/>
            <w:szCs w:val="20"/>
          </w:rPr>
          <w:fldChar w:fldCharType="end"/>
        </w:r>
      </w:hyperlink>
    </w:p>
    <w:p w14:paraId="69403E96" w14:textId="040714BB" w:rsidR="00494238" w:rsidRPr="00494238" w:rsidRDefault="00494238">
      <w:pPr>
        <w:pStyle w:val="TOC5"/>
        <w:rPr>
          <w:rFonts w:eastAsiaTheme="minorEastAsia"/>
          <w:i w:val="0"/>
          <w:kern w:val="2"/>
          <w:sz w:val="20"/>
          <w:szCs w:val="20"/>
          <w14:ligatures w14:val="standardContextual"/>
        </w:rPr>
      </w:pPr>
      <w:hyperlink w:anchor="_Toc204411613" w:history="1">
        <w:r w:rsidRPr="00494238">
          <w:rPr>
            <w:rStyle w:val="Hyperlink"/>
            <w:i w:val="0"/>
            <w:snapToGrid w:val="0"/>
            <w:sz w:val="20"/>
            <w:szCs w:val="20"/>
          </w:rPr>
          <w:t>6.5.7.3.1</w:t>
        </w:r>
        <w:r w:rsidRPr="00494238">
          <w:rPr>
            <w:rFonts w:eastAsiaTheme="minorEastAsia"/>
            <w:i w:val="0"/>
            <w:kern w:val="2"/>
            <w:sz w:val="20"/>
            <w:szCs w:val="20"/>
            <w14:ligatures w14:val="standardContextual"/>
          </w:rPr>
          <w:tab/>
        </w:r>
        <w:r w:rsidRPr="00494238">
          <w:rPr>
            <w:rStyle w:val="Hyperlink"/>
            <w:i w:val="0"/>
            <w:snapToGrid w:val="0"/>
            <w:sz w:val="20"/>
            <w:szCs w:val="20"/>
          </w:rPr>
          <w:t>Determination of Real-Time Reliability Deployment Price Adder</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_Toc204411613 \h </w:instrText>
        </w:r>
        <w:r w:rsidRPr="00494238">
          <w:rPr>
            <w:i w:val="0"/>
            <w:webHidden/>
            <w:sz w:val="20"/>
            <w:szCs w:val="20"/>
          </w:rPr>
        </w:r>
        <w:r w:rsidRPr="00494238">
          <w:rPr>
            <w:i w:val="0"/>
            <w:webHidden/>
            <w:sz w:val="20"/>
            <w:szCs w:val="20"/>
          </w:rPr>
          <w:fldChar w:fldCharType="separate"/>
        </w:r>
        <w:r w:rsidRPr="00494238">
          <w:rPr>
            <w:i w:val="0"/>
            <w:webHidden/>
            <w:sz w:val="20"/>
            <w:szCs w:val="20"/>
          </w:rPr>
          <w:t>6-121</w:t>
        </w:r>
        <w:r w:rsidRPr="00494238">
          <w:rPr>
            <w:i w:val="0"/>
            <w:webHidden/>
            <w:sz w:val="20"/>
            <w:szCs w:val="20"/>
          </w:rPr>
          <w:fldChar w:fldCharType="end"/>
        </w:r>
      </w:hyperlink>
    </w:p>
    <w:p w14:paraId="60ADF288" w14:textId="53B6368F" w:rsidR="00494238" w:rsidRPr="00494238" w:rsidRDefault="00494238">
      <w:pPr>
        <w:pStyle w:val="TOC4"/>
        <w:rPr>
          <w:rFonts w:eastAsiaTheme="minorEastAsia"/>
          <w:kern w:val="2"/>
          <w:lang w:val="en-US"/>
          <w14:ligatures w14:val="standardContextual"/>
        </w:rPr>
      </w:pPr>
      <w:hyperlink w:anchor="_Toc204411614" w:history="1">
        <w:r w:rsidRPr="00494238">
          <w:rPr>
            <w:rStyle w:val="Hyperlink"/>
          </w:rPr>
          <w:t>6.5.7.4</w:t>
        </w:r>
        <w:r w:rsidRPr="00494238">
          <w:rPr>
            <w:rFonts w:eastAsiaTheme="minorEastAsia"/>
            <w:kern w:val="2"/>
            <w:lang w:val="en-US"/>
            <w14:ligatures w14:val="standardContextual"/>
          </w:rPr>
          <w:tab/>
        </w:r>
        <w:r w:rsidRPr="00494238">
          <w:rPr>
            <w:rStyle w:val="Hyperlink"/>
          </w:rPr>
          <w:t>Base Points</w:t>
        </w:r>
        <w:r w:rsidRPr="00494238">
          <w:rPr>
            <w:webHidden/>
          </w:rPr>
          <w:tab/>
        </w:r>
        <w:r w:rsidRPr="00494238">
          <w:rPr>
            <w:webHidden/>
          </w:rPr>
          <w:fldChar w:fldCharType="begin"/>
        </w:r>
        <w:r w:rsidRPr="00494238">
          <w:rPr>
            <w:webHidden/>
          </w:rPr>
          <w:instrText xml:space="preserve"> PAGEREF _Toc204411614 \h </w:instrText>
        </w:r>
        <w:r w:rsidRPr="00494238">
          <w:rPr>
            <w:webHidden/>
          </w:rPr>
        </w:r>
        <w:r w:rsidRPr="00494238">
          <w:rPr>
            <w:webHidden/>
          </w:rPr>
          <w:fldChar w:fldCharType="separate"/>
        </w:r>
        <w:r w:rsidRPr="00494238">
          <w:rPr>
            <w:webHidden/>
          </w:rPr>
          <w:t>6-127</w:t>
        </w:r>
        <w:r w:rsidRPr="00494238">
          <w:rPr>
            <w:webHidden/>
          </w:rPr>
          <w:fldChar w:fldCharType="end"/>
        </w:r>
      </w:hyperlink>
    </w:p>
    <w:p w14:paraId="0C3E36C8" w14:textId="15C9D70F" w:rsidR="00494238" w:rsidRPr="00494238" w:rsidRDefault="00494238">
      <w:pPr>
        <w:pStyle w:val="TOC5"/>
        <w:rPr>
          <w:rFonts w:eastAsiaTheme="minorEastAsia"/>
          <w:i w:val="0"/>
          <w:kern w:val="2"/>
          <w:sz w:val="20"/>
          <w:szCs w:val="20"/>
          <w14:ligatures w14:val="standardContextual"/>
        </w:rPr>
      </w:pPr>
      <w:hyperlink w:anchor="_Toc204411615" w:history="1">
        <w:r w:rsidRPr="00494238">
          <w:rPr>
            <w:rStyle w:val="Hyperlink"/>
            <w:i w:val="0"/>
            <w:snapToGrid w:val="0"/>
            <w:sz w:val="20"/>
            <w:szCs w:val="20"/>
          </w:rPr>
          <w:t>6.5.7.4.1</w:t>
        </w:r>
        <w:r w:rsidRPr="00494238">
          <w:rPr>
            <w:rFonts w:eastAsiaTheme="minorEastAsia"/>
            <w:i w:val="0"/>
            <w:kern w:val="2"/>
            <w:sz w:val="20"/>
            <w:szCs w:val="20"/>
            <w14:ligatures w14:val="standardContextual"/>
          </w:rPr>
          <w:tab/>
        </w:r>
        <w:r w:rsidRPr="00494238">
          <w:rPr>
            <w:rStyle w:val="Hyperlink"/>
            <w:i w:val="0"/>
            <w:snapToGrid w:val="0"/>
            <w:sz w:val="20"/>
            <w:szCs w:val="20"/>
          </w:rPr>
          <w:t>Updated Desired Set Points</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_Toc204411615 \h </w:instrText>
        </w:r>
        <w:r w:rsidRPr="00494238">
          <w:rPr>
            <w:i w:val="0"/>
            <w:webHidden/>
            <w:sz w:val="20"/>
            <w:szCs w:val="20"/>
          </w:rPr>
        </w:r>
        <w:r w:rsidRPr="00494238">
          <w:rPr>
            <w:i w:val="0"/>
            <w:webHidden/>
            <w:sz w:val="20"/>
            <w:szCs w:val="20"/>
          </w:rPr>
          <w:fldChar w:fldCharType="separate"/>
        </w:r>
        <w:r w:rsidRPr="00494238">
          <w:rPr>
            <w:i w:val="0"/>
            <w:webHidden/>
            <w:sz w:val="20"/>
            <w:szCs w:val="20"/>
          </w:rPr>
          <w:t>6-129</w:t>
        </w:r>
        <w:r w:rsidRPr="00494238">
          <w:rPr>
            <w:i w:val="0"/>
            <w:webHidden/>
            <w:sz w:val="20"/>
            <w:szCs w:val="20"/>
          </w:rPr>
          <w:fldChar w:fldCharType="end"/>
        </w:r>
      </w:hyperlink>
    </w:p>
    <w:p w14:paraId="49C8554C" w14:textId="32543107" w:rsidR="00494238" w:rsidRPr="00494238" w:rsidRDefault="00494238">
      <w:pPr>
        <w:pStyle w:val="TOC4"/>
        <w:rPr>
          <w:rFonts w:eastAsiaTheme="minorEastAsia"/>
          <w:kern w:val="2"/>
          <w:lang w:val="en-US"/>
          <w14:ligatures w14:val="standardContextual"/>
        </w:rPr>
      </w:pPr>
      <w:hyperlink w:anchor="_Toc204411616" w:history="1">
        <w:r w:rsidRPr="00494238">
          <w:rPr>
            <w:rStyle w:val="Hyperlink"/>
          </w:rPr>
          <w:t>6.5.7.5</w:t>
        </w:r>
        <w:r w:rsidRPr="00494238">
          <w:rPr>
            <w:rFonts w:eastAsiaTheme="minorEastAsia"/>
            <w:kern w:val="2"/>
            <w:lang w:val="en-US"/>
            <w14:ligatures w14:val="standardContextual"/>
          </w:rPr>
          <w:tab/>
        </w:r>
        <w:r w:rsidRPr="00494238">
          <w:rPr>
            <w:rStyle w:val="Hyperlink"/>
          </w:rPr>
          <w:t>Ancillary Services Capacity Monitor</w:t>
        </w:r>
        <w:r w:rsidRPr="00494238">
          <w:rPr>
            <w:webHidden/>
          </w:rPr>
          <w:tab/>
        </w:r>
        <w:r w:rsidRPr="00494238">
          <w:rPr>
            <w:webHidden/>
          </w:rPr>
          <w:fldChar w:fldCharType="begin"/>
        </w:r>
        <w:r w:rsidRPr="00494238">
          <w:rPr>
            <w:webHidden/>
          </w:rPr>
          <w:instrText xml:space="preserve"> PAGEREF _Toc204411616 \h </w:instrText>
        </w:r>
        <w:r w:rsidRPr="00494238">
          <w:rPr>
            <w:webHidden/>
          </w:rPr>
        </w:r>
        <w:r w:rsidRPr="00494238">
          <w:rPr>
            <w:webHidden/>
          </w:rPr>
          <w:fldChar w:fldCharType="separate"/>
        </w:r>
        <w:r w:rsidRPr="00494238">
          <w:rPr>
            <w:webHidden/>
          </w:rPr>
          <w:t>6-130</w:t>
        </w:r>
        <w:r w:rsidRPr="00494238">
          <w:rPr>
            <w:webHidden/>
          </w:rPr>
          <w:fldChar w:fldCharType="end"/>
        </w:r>
      </w:hyperlink>
    </w:p>
    <w:p w14:paraId="257D18C1" w14:textId="3671B7DE" w:rsidR="00494238" w:rsidRPr="00494238" w:rsidRDefault="00494238">
      <w:pPr>
        <w:pStyle w:val="TOC4"/>
        <w:rPr>
          <w:rFonts w:eastAsiaTheme="minorEastAsia"/>
          <w:kern w:val="2"/>
          <w:lang w:val="en-US"/>
          <w14:ligatures w14:val="standardContextual"/>
        </w:rPr>
      </w:pPr>
      <w:hyperlink w:anchor="_Toc204411617" w:history="1">
        <w:r w:rsidRPr="00494238">
          <w:rPr>
            <w:rStyle w:val="Hyperlink"/>
            <w:snapToGrid w:val="0"/>
          </w:rPr>
          <w:t>6.5.7.5</w:t>
        </w:r>
        <w:r w:rsidRPr="00494238">
          <w:rPr>
            <w:rFonts w:eastAsiaTheme="minorEastAsia"/>
            <w:kern w:val="2"/>
            <w:lang w:val="en-US"/>
            <w14:ligatures w14:val="standardContextual"/>
          </w:rPr>
          <w:tab/>
        </w:r>
        <w:r w:rsidRPr="00494238">
          <w:rPr>
            <w:rStyle w:val="Hyperlink"/>
            <w:snapToGrid w:val="0"/>
          </w:rPr>
          <w:t>Ancillary Services Capacity Monitor</w:t>
        </w:r>
        <w:r w:rsidRPr="00494238">
          <w:rPr>
            <w:webHidden/>
          </w:rPr>
          <w:tab/>
        </w:r>
        <w:r w:rsidRPr="00494238">
          <w:rPr>
            <w:webHidden/>
          </w:rPr>
          <w:fldChar w:fldCharType="begin"/>
        </w:r>
        <w:r w:rsidRPr="00494238">
          <w:rPr>
            <w:webHidden/>
          </w:rPr>
          <w:instrText xml:space="preserve"> PAGEREF _Toc204411617 \h </w:instrText>
        </w:r>
        <w:r w:rsidRPr="00494238">
          <w:rPr>
            <w:webHidden/>
          </w:rPr>
        </w:r>
        <w:r w:rsidRPr="00494238">
          <w:rPr>
            <w:webHidden/>
          </w:rPr>
          <w:fldChar w:fldCharType="separate"/>
        </w:r>
        <w:r w:rsidRPr="00494238">
          <w:rPr>
            <w:webHidden/>
          </w:rPr>
          <w:t>6-135</w:t>
        </w:r>
        <w:r w:rsidRPr="00494238">
          <w:rPr>
            <w:webHidden/>
          </w:rPr>
          <w:fldChar w:fldCharType="end"/>
        </w:r>
      </w:hyperlink>
    </w:p>
    <w:p w14:paraId="4B2B7D47" w14:textId="0CF501E6" w:rsidR="00494238" w:rsidRPr="00494238" w:rsidRDefault="00494238">
      <w:pPr>
        <w:pStyle w:val="TOC4"/>
        <w:rPr>
          <w:rFonts w:eastAsiaTheme="minorEastAsia"/>
          <w:kern w:val="2"/>
          <w:lang w:val="en-US"/>
          <w14:ligatures w14:val="standardContextual"/>
        </w:rPr>
      </w:pPr>
      <w:hyperlink w:anchor="_Toc204411618" w:history="1">
        <w:r w:rsidRPr="00494238">
          <w:rPr>
            <w:rStyle w:val="Hyperlink"/>
          </w:rPr>
          <w:t>6.5.7.6</w:t>
        </w:r>
        <w:r w:rsidRPr="00494238">
          <w:rPr>
            <w:rFonts w:eastAsiaTheme="minorEastAsia"/>
            <w:kern w:val="2"/>
            <w:lang w:val="en-US"/>
            <w14:ligatures w14:val="standardContextual"/>
          </w:rPr>
          <w:tab/>
        </w:r>
        <w:r w:rsidRPr="00494238">
          <w:rPr>
            <w:rStyle w:val="Hyperlink"/>
          </w:rPr>
          <w:t>Load Frequency Control</w:t>
        </w:r>
        <w:r w:rsidRPr="00494238">
          <w:rPr>
            <w:webHidden/>
          </w:rPr>
          <w:tab/>
        </w:r>
        <w:r w:rsidRPr="00494238">
          <w:rPr>
            <w:webHidden/>
          </w:rPr>
          <w:fldChar w:fldCharType="begin"/>
        </w:r>
        <w:r w:rsidRPr="00494238">
          <w:rPr>
            <w:webHidden/>
          </w:rPr>
          <w:instrText xml:space="preserve"> PAGEREF _Toc204411618 \h </w:instrText>
        </w:r>
        <w:r w:rsidRPr="00494238">
          <w:rPr>
            <w:webHidden/>
          </w:rPr>
        </w:r>
        <w:r w:rsidRPr="00494238">
          <w:rPr>
            <w:webHidden/>
          </w:rPr>
          <w:fldChar w:fldCharType="separate"/>
        </w:r>
        <w:r w:rsidRPr="00494238">
          <w:rPr>
            <w:webHidden/>
          </w:rPr>
          <w:t>6-141</w:t>
        </w:r>
        <w:r w:rsidRPr="00494238">
          <w:rPr>
            <w:webHidden/>
          </w:rPr>
          <w:fldChar w:fldCharType="end"/>
        </w:r>
      </w:hyperlink>
    </w:p>
    <w:p w14:paraId="5E71EC7A" w14:textId="4B0ED129" w:rsidR="00494238" w:rsidRPr="00494238" w:rsidRDefault="00494238">
      <w:pPr>
        <w:pStyle w:val="TOC5"/>
        <w:rPr>
          <w:rFonts w:eastAsiaTheme="minorEastAsia"/>
          <w:i w:val="0"/>
          <w:kern w:val="2"/>
          <w:sz w:val="20"/>
          <w:szCs w:val="20"/>
          <w14:ligatures w14:val="standardContextual"/>
        </w:rPr>
      </w:pPr>
      <w:hyperlink w:anchor="_Toc204411619" w:history="1">
        <w:r w:rsidRPr="00494238">
          <w:rPr>
            <w:rStyle w:val="Hyperlink"/>
            <w:i w:val="0"/>
            <w:sz w:val="20"/>
            <w:szCs w:val="20"/>
          </w:rPr>
          <w:t>6.5.7.6.1</w:t>
        </w:r>
        <w:r w:rsidRPr="00494238">
          <w:rPr>
            <w:rFonts w:eastAsiaTheme="minorEastAsia"/>
            <w:i w:val="0"/>
            <w:kern w:val="2"/>
            <w:sz w:val="20"/>
            <w:szCs w:val="20"/>
            <w14:ligatures w14:val="standardContextual"/>
          </w:rPr>
          <w:tab/>
        </w:r>
        <w:r w:rsidRPr="00494238">
          <w:rPr>
            <w:rStyle w:val="Hyperlink"/>
            <w:i w:val="0"/>
            <w:sz w:val="20"/>
            <w:szCs w:val="20"/>
          </w:rPr>
          <w:t>LFC Process Description</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_Toc204411619 \h </w:instrText>
        </w:r>
        <w:r w:rsidRPr="00494238">
          <w:rPr>
            <w:i w:val="0"/>
            <w:webHidden/>
            <w:sz w:val="20"/>
            <w:szCs w:val="20"/>
          </w:rPr>
        </w:r>
        <w:r w:rsidRPr="00494238">
          <w:rPr>
            <w:i w:val="0"/>
            <w:webHidden/>
            <w:sz w:val="20"/>
            <w:szCs w:val="20"/>
          </w:rPr>
          <w:fldChar w:fldCharType="separate"/>
        </w:r>
        <w:r w:rsidRPr="00494238">
          <w:rPr>
            <w:i w:val="0"/>
            <w:webHidden/>
            <w:sz w:val="20"/>
            <w:szCs w:val="20"/>
          </w:rPr>
          <w:t>6-142</w:t>
        </w:r>
        <w:r w:rsidRPr="00494238">
          <w:rPr>
            <w:i w:val="0"/>
            <w:webHidden/>
            <w:sz w:val="20"/>
            <w:szCs w:val="20"/>
          </w:rPr>
          <w:fldChar w:fldCharType="end"/>
        </w:r>
      </w:hyperlink>
    </w:p>
    <w:p w14:paraId="5389DC6F" w14:textId="11EE8EBF" w:rsidR="00494238" w:rsidRPr="00494238" w:rsidRDefault="00494238">
      <w:pPr>
        <w:pStyle w:val="TOC5"/>
        <w:rPr>
          <w:rFonts w:eastAsiaTheme="minorEastAsia"/>
          <w:i w:val="0"/>
          <w:kern w:val="2"/>
          <w:sz w:val="20"/>
          <w:szCs w:val="20"/>
          <w14:ligatures w14:val="standardContextual"/>
        </w:rPr>
      </w:pPr>
      <w:hyperlink w:anchor="_Toc204411620" w:history="1">
        <w:r w:rsidRPr="00494238">
          <w:rPr>
            <w:rStyle w:val="Hyperlink"/>
            <w:i w:val="0"/>
            <w:sz w:val="20"/>
            <w:szCs w:val="20"/>
          </w:rPr>
          <w:t>6.5.7.6.1</w:t>
        </w:r>
        <w:r w:rsidRPr="00494238">
          <w:rPr>
            <w:rFonts w:eastAsiaTheme="minorEastAsia"/>
            <w:i w:val="0"/>
            <w:kern w:val="2"/>
            <w:sz w:val="20"/>
            <w:szCs w:val="20"/>
            <w14:ligatures w14:val="standardContextual"/>
          </w:rPr>
          <w:tab/>
        </w:r>
        <w:r w:rsidRPr="00494238">
          <w:rPr>
            <w:rStyle w:val="Hyperlink"/>
            <w:i w:val="0"/>
            <w:sz w:val="20"/>
            <w:szCs w:val="20"/>
          </w:rPr>
          <w:t>LFC Process Description</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_Toc204411620 \h </w:instrText>
        </w:r>
        <w:r w:rsidRPr="00494238">
          <w:rPr>
            <w:i w:val="0"/>
            <w:webHidden/>
            <w:sz w:val="20"/>
            <w:szCs w:val="20"/>
          </w:rPr>
        </w:r>
        <w:r w:rsidRPr="00494238">
          <w:rPr>
            <w:i w:val="0"/>
            <w:webHidden/>
            <w:sz w:val="20"/>
            <w:szCs w:val="20"/>
          </w:rPr>
          <w:fldChar w:fldCharType="separate"/>
        </w:r>
        <w:r w:rsidRPr="00494238">
          <w:rPr>
            <w:i w:val="0"/>
            <w:webHidden/>
            <w:sz w:val="20"/>
            <w:szCs w:val="20"/>
          </w:rPr>
          <w:t>6-143</w:t>
        </w:r>
        <w:r w:rsidRPr="00494238">
          <w:rPr>
            <w:i w:val="0"/>
            <w:webHidden/>
            <w:sz w:val="20"/>
            <w:szCs w:val="20"/>
          </w:rPr>
          <w:fldChar w:fldCharType="end"/>
        </w:r>
      </w:hyperlink>
    </w:p>
    <w:p w14:paraId="6ADA7F8A" w14:textId="417D2C94" w:rsidR="00494238" w:rsidRPr="00494238" w:rsidRDefault="00494238">
      <w:pPr>
        <w:pStyle w:val="TOC5"/>
        <w:rPr>
          <w:rFonts w:eastAsiaTheme="minorEastAsia"/>
          <w:i w:val="0"/>
          <w:kern w:val="2"/>
          <w:sz w:val="20"/>
          <w:szCs w:val="20"/>
          <w14:ligatures w14:val="standardContextual"/>
        </w:rPr>
      </w:pPr>
      <w:hyperlink w:anchor="_Toc204411621" w:history="1">
        <w:r w:rsidRPr="00494238">
          <w:rPr>
            <w:rStyle w:val="Hyperlink"/>
            <w:i w:val="0"/>
            <w:sz w:val="20"/>
            <w:szCs w:val="20"/>
          </w:rPr>
          <w:t>6.5.7.6.2</w:t>
        </w:r>
        <w:r w:rsidRPr="00494238">
          <w:rPr>
            <w:rFonts w:eastAsiaTheme="minorEastAsia"/>
            <w:i w:val="0"/>
            <w:kern w:val="2"/>
            <w:sz w:val="20"/>
            <w:szCs w:val="20"/>
            <w14:ligatures w14:val="standardContextual"/>
          </w:rPr>
          <w:tab/>
        </w:r>
        <w:r w:rsidRPr="00494238">
          <w:rPr>
            <w:rStyle w:val="Hyperlink"/>
            <w:i w:val="0"/>
            <w:sz w:val="20"/>
            <w:szCs w:val="20"/>
          </w:rPr>
          <w:t>LFC Deployment</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_Toc204411621 \h </w:instrText>
        </w:r>
        <w:r w:rsidRPr="00494238">
          <w:rPr>
            <w:i w:val="0"/>
            <w:webHidden/>
            <w:sz w:val="20"/>
            <w:szCs w:val="20"/>
          </w:rPr>
        </w:r>
        <w:r w:rsidRPr="00494238">
          <w:rPr>
            <w:i w:val="0"/>
            <w:webHidden/>
            <w:sz w:val="20"/>
            <w:szCs w:val="20"/>
          </w:rPr>
          <w:fldChar w:fldCharType="separate"/>
        </w:r>
        <w:r w:rsidRPr="00494238">
          <w:rPr>
            <w:i w:val="0"/>
            <w:webHidden/>
            <w:sz w:val="20"/>
            <w:szCs w:val="20"/>
          </w:rPr>
          <w:t>6-145</w:t>
        </w:r>
        <w:r w:rsidRPr="00494238">
          <w:rPr>
            <w:i w:val="0"/>
            <w:webHidden/>
            <w:sz w:val="20"/>
            <w:szCs w:val="20"/>
          </w:rPr>
          <w:fldChar w:fldCharType="end"/>
        </w:r>
      </w:hyperlink>
    </w:p>
    <w:p w14:paraId="5B5BBC94" w14:textId="4FFF01C2" w:rsidR="00494238" w:rsidRPr="00494238" w:rsidRDefault="00494238">
      <w:pPr>
        <w:pStyle w:val="TOC4"/>
        <w:rPr>
          <w:rFonts w:eastAsiaTheme="minorEastAsia"/>
          <w:kern w:val="2"/>
          <w:lang w:val="en-US"/>
          <w14:ligatures w14:val="standardContextual"/>
        </w:rPr>
      </w:pPr>
      <w:hyperlink w:anchor="_Toc204411622" w:history="1">
        <w:r w:rsidRPr="00494238">
          <w:rPr>
            <w:rStyle w:val="Hyperlink"/>
          </w:rPr>
          <w:t>6.5.7.7</w:t>
        </w:r>
        <w:r w:rsidRPr="00494238">
          <w:rPr>
            <w:rFonts w:eastAsiaTheme="minorEastAsia"/>
            <w:kern w:val="2"/>
            <w:lang w:val="en-US"/>
            <w14:ligatures w14:val="standardContextual"/>
          </w:rPr>
          <w:tab/>
        </w:r>
        <w:r w:rsidRPr="00494238">
          <w:rPr>
            <w:rStyle w:val="Hyperlink"/>
          </w:rPr>
          <w:t>Voltage Support Service</w:t>
        </w:r>
        <w:r w:rsidRPr="00494238">
          <w:rPr>
            <w:webHidden/>
          </w:rPr>
          <w:tab/>
        </w:r>
        <w:r w:rsidRPr="00494238">
          <w:rPr>
            <w:webHidden/>
          </w:rPr>
          <w:fldChar w:fldCharType="begin"/>
        </w:r>
        <w:r w:rsidRPr="00494238">
          <w:rPr>
            <w:webHidden/>
          </w:rPr>
          <w:instrText xml:space="preserve"> PAGEREF _Toc204411622 \h </w:instrText>
        </w:r>
        <w:r w:rsidRPr="00494238">
          <w:rPr>
            <w:webHidden/>
          </w:rPr>
        </w:r>
        <w:r w:rsidRPr="00494238">
          <w:rPr>
            <w:webHidden/>
          </w:rPr>
          <w:fldChar w:fldCharType="separate"/>
        </w:r>
        <w:r w:rsidRPr="00494238">
          <w:rPr>
            <w:webHidden/>
          </w:rPr>
          <w:t>6-158</w:t>
        </w:r>
        <w:r w:rsidRPr="00494238">
          <w:rPr>
            <w:webHidden/>
          </w:rPr>
          <w:fldChar w:fldCharType="end"/>
        </w:r>
      </w:hyperlink>
    </w:p>
    <w:p w14:paraId="695E65E3" w14:textId="0780D55F" w:rsidR="00494238" w:rsidRPr="00494238" w:rsidRDefault="00494238">
      <w:pPr>
        <w:pStyle w:val="TOC4"/>
        <w:rPr>
          <w:rFonts w:eastAsiaTheme="minorEastAsia"/>
          <w:kern w:val="2"/>
          <w:lang w:val="en-US"/>
          <w14:ligatures w14:val="standardContextual"/>
        </w:rPr>
      </w:pPr>
      <w:hyperlink w:anchor="_Toc204411623" w:history="1">
        <w:r w:rsidRPr="00494238">
          <w:rPr>
            <w:rStyle w:val="Hyperlink"/>
          </w:rPr>
          <w:t>6.5.7.8</w:t>
        </w:r>
        <w:r w:rsidRPr="00494238">
          <w:rPr>
            <w:rFonts w:eastAsiaTheme="minorEastAsia"/>
            <w:kern w:val="2"/>
            <w:lang w:val="en-US"/>
            <w14:ligatures w14:val="standardContextual"/>
          </w:rPr>
          <w:tab/>
        </w:r>
        <w:r w:rsidRPr="00494238">
          <w:rPr>
            <w:rStyle w:val="Hyperlink"/>
          </w:rPr>
          <w:t>Dispatch Procedures</w:t>
        </w:r>
        <w:r w:rsidRPr="00494238">
          <w:rPr>
            <w:webHidden/>
          </w:rPr>
          <w:tab/>
        </w:r>
        <w:r w:rsidRPr="00494238">
          <w:rPr>
            <w:webHidden/>
          </w:rPr>
          <w:fldChar w:fldCharType="begin"/>
        </w:r>
        <w:r w:rsidRPr="00494238">
          <w:rPr>
            <w:webHidden/>
          </w:rPr>
          <w:instrText xml:space="preserve"> PAGEREF _Toc204411623 \h </w:instrText>
        </w:r>
        <w:r w:rsidRPr="00494238">
          <w:rPr>
            <w:webHidden/>
          </w:rPr>
        </w:r>
        <w:r w:rsidRPr="00494238">
          <w:rPr>
            <w:webHidden/>
          </w:rPr>
          <w:fldChar w:fldCharType="separate"/>
        </w:r>
        <w:r w:rsidRPr="00494238">
          <w:rPr>
            <w:webHidden/>
          </w:rPr>
          <w:t>6-159</w:t>
        </w:r>
        <w:r w:rsidRPr="00494238">
          <w:rPr>
            <w:webHidden/>
          </w:rPr>
          <w:fldChar w:fldCharType="end"/>
        </w:r>
      </w:hyperlink>
    </w:p>
    <w:p w14:paraId="6577936C" w14:textId="62A0EBC4" w:rsidR="00494238" w:rsidRPr="00494238" w:rsidRDefault="00494238">
      <w:pPr>
        <w:pStyle w:val="TOC4"/>
        <w:rPr>
          <w:rFonts w:eastAsiaTheme="minorEastAsia"/>
          <w:kern w:val="2"/>
          <w:lang w:val="en-US"/>
          <w14:ligatures w14:val="standardContextual"/>
        </w:rPr>
      </w:pPr>
      <w:hyperlink w:anchor="_Toc204411624" w:history="1">
        <w:r w:rsidRPr="00494238">
          <w:rPr>
            <w:rStyle w:val="Hyperlink"/>
          </w:rPr>
          <w:t>6.5.7.9</w:t>
        </w:r>
        <w:r w:rsidRPr="00494238">
          <w:rPr>
            <w:rFonts w:eastAsiaTheme="minorEastAsia"/>
            <w:kern w:val="2"/>
            <w:lang w:val="en-US"/>
            <w14:ligatures w14:val="standardContextual"/>
          </w:rPr>
          <w:tab/>
        </w:r>
        <w:r w:rsidRPr="00494238">
          <w:rPr>
            <w:rStyle w:val="Hyperlink"/>
          </w:rPr>
          <w:t>Compliance with Dispatch Instructions</w:t>
        </w:r>
        <w:r w:rsidRPr="00494238">
          <w:rPr>
            <w:webHidden/>
          </w:rPr>
          <w:tab/>
        </w:r>
        <w:r w:rsidRPr="00494238">
          <w:rPr>
            <w:webHidden/>
          </w:rPr>
          <w:fldChar w:fldCharType="begin"/>
        </w:r>
        <w:r w:rsidRPr="00494238">
          <w:rPr>
            <w:webHidden/>
          </w:rPr>
          <w:instrText xml:space="preserve"> PAGEREF _Toc204411624 \h </w:instrText>
        </w:r>
        <w:r w:rsidRPr="00494238">
          <w:rPr>
            <w:webHidden/>
          </w:rPr>
        </w:r>
        <w:r w:rsidRPr="00494238">
          <w:rPr>
            <w:webHidden/>
          </w:rPr>
          <w:fldChar w:fldCharType="separate"/>
        </w:r>
        <w:r w:rsidRPr="00494238">
          <w:rPr>
            <w:webHidden/>
          </w:rPr>
          <w:t>6-161</w:t>
        </w:r>
        <w:r w:rsidRPr="00494238">
          <w:rPr>
            <w:webHidden/>
          </w:rPr>
          <w:fldChar w:fldCharType="end"/>
        </w:r>
      </w:hyperlink>
    </w:p>
    <w:p w14:paraId="375F8DE5" w14:textId="53EE8A6C" w:rsidR="00494238" w:rsidRPr="00494238" w:rsidRDefault="00494238">
      <w:pPr>
        <w:pStyle w:val="TOC4"/>
        <w:rPr>
          <w:rFonts w:eastAsiaTheme="minorEastAsia"/>
          <w:kern w:val="2"/>
          <w:lang w:val="en-US"/>
          <w14:ligatures w14:val="standardContextual"/>
        </w:rPr>
      </w:pPr>
      <w:hyperlink w:anchor="_Toc204411625" w:history="1">
        <w:r w:rsidRPr="00494238">
          <w:rPr>
            <w:rStyle w:val="Hyperlink"/>
          </w:rPr>
          <w:t>6.5.7.10</w:t>
        </w:r>
        <w:r w:rsidRPr="00494238">
          <w:rPr>
            <w:rFonts w:eastAsiaTheme="minorEastAsia"/>
            <w:kern w:val="2"/>
            <w:lang w:val="en-US"/>
            <w14:ligatures w14:val="standardContextual"/>
          </w:rPr>
          <w:tab/>
        </w:r>
        <w:r w:rsidRPr="00494238">
          <w:rPr>
            <w:rStyle w:val="Hyperlink"/>
          </w:rPr>
          <w:t>IRR Ramp Rate Limitations</w:t>
        </w:r>
        <w:r w:rsidRPr="00494238">
          <w:rPr>
            <w:webHidden/>
          </w:rPr>
          <w:tab/>
        </w:r>
        <w:r w:rsidRPr="00494238">
          <w:rPr>
            <w:webHidden/>
          </w:rPr>
          <w:fldChar w:fldCharType="begin"/>
        </w:r>
        <w:r w:rsidRPr="00494238">
          <w:rPr>
            <w:webHidden/>
          </w:rPr>
          <w:instrText xml:space="preserve"> PAGEREF _Toc204411625 \h </w:instrText>
        </w:r>
        <w:r w:rsidRPr="00494238">
          <w:rPr>
            <w:webHidden/>
          </w:rPr>
        </w:r>
        <w:r w:rsidRPr="00494238">
          <w:rPr>
            <w:webHidden/>
          </w:rPr>
          <w:fldChar w:fldCharType="separate"/>
        </w:r>
        <w:r w:rsidRPr="00494238">
          <w:rPr>
            <w:webHidden/>
          </w:rPr>
          <w:t>6-163</w:t>
        </w:r>
        <w:r w:rsidRPr="00494238">
          <w:rPr>
            <w:webHidden/>
          </w:rPr>
          <w:fldChar w:fldCharType="end"/>
        </w:r>
      </w:hyperlink>
    </w:p>
    <w:p w14:paraId="67D3671A" w14:textId="3C690636" w:rsidR="00494238" w:rsidRPr="00494238" w:rsidRDefault="00494238">
      <w:pPr>
        <w:pStyle w:val="TOC4"/>
        <w:rPr>
          <w:rFonts w:eastAsiaTheme="minorEastAsia"/>
          <w:kern w:val="2"/>
          <w:lang w:val="en-US"/>
          <w14:ligatures w14:val="standardContextual"/>
        </w:rPr>
      </w:pPr>
      <w:hyperlink w:anchor="_Toc204411626" w:history="1">
        <w:r w:rsidRPr="00494238">
          <w:rPr>
            <w:rStyle w:val="Hyperlink"/>
            <w:snapToGrid w:val="0"/>
          </w:rPr>
          <w:t>6.5.7.11</w:t>
        </w:r>
        <w:r w:rsidRPr="00494238">
          <w:rPr>
            <w:rFonts w:eastAsiaTheme="minorEastAsia"/>
            <w:kern w:val="2"/>
            <w:lang w:val="en-US"/>
            <w14:ligatures w14:val="standardContextual"/>
          </w:rPr>
          <w:tab/>
        </w:r>
        <w:r w:rsidRPr="00494238">
          <w:rPr>
            <w:rStyle w:val="Hyperlink"/>
            <w:snapToGrid w:val="0"/>
          </w:rPr>
          <w:t>DC-Coupled Resource Ramp Rate Limitations</w:t>
        </w:r>
        <w:r w:rsidRPr="00494238">
          <w:rPr>
            <w:webHidden/>
          </w:rPr>
          <w:tab/>
        </w:r>
        <w:r w:rsidRPr="00494238">
          <w:rPr>
            <w:webHidden/>
          </w:rPr>
          <w:fldChar w:fldCharType="begin"/>
        </w:r>
        <w:r w:rsidRPr="00494238">
          <w:rPr>
            <w:webHidden/>
          </w:rPr>
          <w:instrText xml:space="preserve"> PAGEREF _Toc204411626 \h </w:instrText>
        </w:r>
        <w:r w:rsidRPr="00494238">
          <w:rPr>
            <w:webHidden/>
          </w:rPr>
        </w:r>
        <w:r w:rsidRPr="00494238">
          <w:rPr>
            <w:webHidden/>
          </w:rPr>
          <w:fldChar w:fldCharType="separate"/>
        </w:r>
        <w:r w:rsidRPr="00494238">
          <w:rPr>
            <w:webHidden/>
          </w:rPr>
          <w:t>6-164</w:t>
        </w:r>
        <w:r w:rsidRPr="00494238">
          <w:rPr>
            <w:webHidden/>
          </w:rPr>
          <w:fldChar w:fldCharType="end"/>
        </w:r>
      </w:hyperlink>
    </w:p>
    <w:p w14:paraId="34273347" w14:textId="00831BB6" w:rsidR="00494238" w:rsidRPr="00494238" w:rsidRDefault="00494238">
      <w:pPr>
        <w:pStyle w:val="TOC3"/>
        <w:rPr>
          <w:rFonts w:eastAsiaTheme="minorEastAsia"/>
          <w:i w:val="0"/>
          <w:iCs w:val="0"/>
          <w:kern w:val="2"/>
          <w14:ligatures w14:val="standardContextual"/>
        </w:rPr>
      </w:pPr>
      <w:hyperlink w:anchor="_Toc204411627" w:history="1">
        <w:r w:rsidRPr="00494238">
          <w:rPr>
            <w:rStyle w:val="Hyperlink"/>
            <w:i w:val="0"/>
            <w:iCs w:val="0"/>
          </w:rPr>
          <w:t>6.5.8</w:t>
        </w:r>
        <w:r w:rsidRPr="00494238">
          <w:rPr>
            <w:rFonts w:eastAsiaTheme="minorEastAsia"/>
            <w:i w:val="0"/>
            <w:iCs w:val="0"/>
            <w:kern w:val="2"/>
            <w14:ligatures w14:val="standardContextual"/>
          </w:rPr>
          <w:tab/>
        </w:r>
        <w:r w:rsidRPr="00494238">
          <w:rPr>
            <w:rStyle w:val="Hyperlink"/>
            <w:i w:val="0"/>
            <w:iCs w:val="0"/>
          </w:rPr>
          <w:t>Verbal Dispatch Instruction Confirmation</w:t>
        </w:r>
        <w:r w:rsidRPr="00494238">
          <w:rPr>
            <w:i w:val="0"/>
            <w:iCs w:val="0"/>
            <w:webHidden/>
          </w:rPr>
          <w:tab/>
        </w:r>
        <w:r w:rsidRPr="00494238">
          <w:rPr>
            <w:i w:val="0"/>
            <w:iCs w:val="0"/>
            <w:webHidden/>
          </w:rPr>
          <w:fldChar w:fldCharType="begin"/>
        </w:r>
        <w:r w:rsidRPr="00494238">
          <w:rPr>
            <w:i w:val="0"/>
            <w:iCs w:val="0"/>
            <w:webHidden/>
          </w:rPr>
          <w:instrText xml:space="preserve"> PAGEREF _Toc204411627 \h </w:instrText>
        </w:r>
        <w:r w:rsidRPr="00494238">
          <w:rPr>
            <w:i w:val="0"/>
            <w:iCs w:val="0"/>
            <w:webHidden/>
          </w:rPr>
        </w:r>
        <w:r w:rsidRPr="00494238">
          <w:rPr>
            <w:i w:val="0"/>
            <w:iCs w:val="0"/>
            <w:webHidden/>
          </w:rPr>
          <w:fldChar w:fldCharType="separate"/>
        </w:r>
        <w:r w:rsidRPr="00494238">
          <w:rPr>
            <w:i w:val="0"/>
            <w:iCs w:val="0"/>
            <w:webHidden/>
          </w:rPr>
          <w:t>6-165</w:t>
        </w:r>
        <w:r w:rsidRPr="00494238">
          <w:rPr>
            <w:i w:val="0"/>
            <w:iCs w:val="0"/>
            <w:webHidden/>
          </w:rPr>
          <w:fldChar w:fldCharType="end"/>
        </w:r>
      </w:hyperlink>
    </w:p>
    <w:p w14:paraId="5EE6F4AC" w14:textId="3EB4DE6F" w:rsidR="00494238" w:rsidRPr="00494238" w:rsidRDefault="00494238">
      <w:pPr>
        <w:pStyle w:val="TOC3"/>
        <w:rPr>
          <w:rFonts w:eastAsiaTheme="minorEastAsia"/>
          <w:i w:val="0"/>
          <w:iCs w:val="0"/>
          <w:kern w:val="2"/>
          <w14:ligatures w14:val="standardContextual"/>
        </w:rPr>
      </w:pPr>
      <w:hyperlink w:anchor="_Toc204411628" w:history="1">
        <w:r w:rsidRPr="00494238">
          <w:rPr>
            <w:rStyle w:val="Hyperlink"/>
            <w:i w:val="0"/>
            <w:iCs w:val="0"/>
          </w:rPr>
          <w:t>6.5.9</w:t>
        </w:r>
        <w:r w:rsidRPr="00494238">
          <w:rPr>
            <w:rFonts w:eastAsiaTheme="minorEastAsia"/>
            <w:i w:val="0"/>
            <w:iCs w:val="0"/>
            <w:kern w:val="2"/>
            <w14:ligatures w14:val="standardContextual"/>
          </w:rPr>
          <w:tab/>
        </w:r>
        <w:r w:rsidRPr="00494238">
          <w:rPr>
            <w:rStyle w:val="Hyperlink"/>
            <w:i w:val="0"/>
            <w:iCs w:val="0"/>
          </w:rPr>
          <w:t>Emergency Operations</w:t>
        </w:r>
        <w:r w:rsidRPr="00494238">
          <w:rPr>
            <w:i w:val="0"/>
            <w:iCs w:val="0"/>
            <w:webHidden/>
          </w:rPr>
          <w:tab/>
        </w:r>
        <w:r w:rsidRPr="00494238">
          <w:rPr>
            <w:i w:val="0"/>
            <w:iCs w:val="0"/>
            <w:webHidden/>
          </w:rPr>
          <w:fldChar w:fldCharType="begin"/>
        </w:r>
        <w:r w:rsidRPr="00494238">
          <w:rPr>
            <w:i w:val="0"/>
            <w:iCs w:val="0"/>
            <w:webHidden/>
          </w:rPr>
          <w:instrText xml:space="preserve"> PAGEREF _Toc204411628 \h </w:instrText>
        </w:r>
        <w:r w:rsidRPr="00494238">
          <w:rPr>
            <w:i w:val="0"/>
            <w:iCs w:val="0"/>
            <w:webHidden/>
          </w:rPr>
        </w:r>
        <w:r w:rsidRPr="00494238">
          <w:rPr>
            <w:i w:val="0"/>
            <w:iCs w:val="0"/>
            <w:webHidden/>
          </w:rPr>
          <w:fldChar w:fldCharType="separate"/>
        </w:r>
        <w:r w:rsidRPr="00494238">
          <w:rPr>
            <w:i w:val="0"/>
            <w:iCs w:val="0"/>
            <w:webHidden/>
          </w:rPr>
          <w:t>6-165</w:t>
        </w:r>
        <w:r w:rsidRPr="00494238">
          <w:rPr>
            <w:i w:val="0"/>
            <w:iCs w:val="0"/>
            <w:webHidden/>
          </w:rPr>
          <w:fldChar w:fldCharType="end"/>
        </w:r>
      </w:hyperlink>
    </w:p>
    <w:p w14:paraId="5D454811" w14:textId="3C83A6A3" w:rsidR="00494238" w:rsidRPr="00494238" w:rsidRDefault="00494238">
      <w:pPr>
        <w:pStyle w:val="TOC4"/>
        <w:rPr>
          <w:rFonts w:eastAsiaTheme="minorEastAsia"/>
          <w:kern w:val="2"/>
          <w:lang w:val="en-US"/>
          <w14:ligatures w14:val="standardContextual"/>
        </w:rPr>
      </w:pPr>
      <w:hyperlink w:anchor="_Toc204411629" w:history="1">
        <w:r w:rsidRPr="00494238">
          <w:rPr>
            <w:rStyle w:val="Hyperlink"/>
          </w:rPr>
          <w:t>6.5.9.1</w:t>
        </w:r>
        <w:r w:rsidRPr="00494238">
          <w:rPr>
            <w:rFonts w:eastAsiaTheme="minorEastAsia"/>
            <w:kern w:val="2"/>
            <w:lang w:val="en-US"/>
            <w14:ligatures w14:val="standardContextual"/>
          </w:rPr>
          <w:tab/>
        </w:r>
        <w:r w:rsidRPr="00494238">
          <w:rPr>
            <w:rStyle w:val="Hyperlink"/>
          </w:rPr>
          <w:t>Emergency and Short Supply Operation</w:t>
        </w:r>
        <w:r w:rsidRPr="00494238">
          <w:rPr>
            <w:webHidden/>
          </w:rPr>
          <w:tab/>
        </w:r>
        <w:r w:rsidRPr="00494238">
          <w:rPr>
            <w:webHidden/>
          </w:rPr>
          <w:fldChar w:fldCharType="begin"/>
        </w:r>
        <w:r w:rsidRPr="00494238">
          <w:rPr>
            <w:webHidden/>
          </w:rPr>
          <w:instrText xml:space="preserve"> PAGEREF _Toc204411629 \h </w:instrText>
        </w:r>
        <w:r w:rsidRPr="00494238">
          <w:rPr>
            <w:webHidden/>
          </w:rPr>
        </w:r>
        <w:r w:rsidRPr="00494238">
          <w:rPr>
            <w:webHidden/>
          </w:rPr>
          <w:fldChar w:fldCharType="separate"/>
        </w:r>
        <w:r w:rsidRPr="00494238">
          <w:rPr>
            <w:webHidden/>
          </w:rPr>
          <w:t>6-166</w:t>
        </w:r>
        <w:r w:rsidRPr="00494238">
          <w:rPr>
            <w:webHidden/>
          </w:rPr>
          <w:fldChar w:fldCharType="end"/>
        </w:r>
      </w:hyperlink>
    </w:p>
    <w:p w14:paraId="45EAAF5C" w14:textId="0BEA2FF9" w:rsidR="00494238" w:rsidRPr="00494238" w:rsidRDefault="00494238">
      <w:pPr>
        <w:pStyle w:val="TOC4"/>
        <w:rPr>
          <w:rFonts w:eastAsiaTheme="minorEastAsia"/>
          <w:kern w:val="2"/>
          <w:lang w:val="en-US"/>
          <w14:ligatures w14:val="standardContextual"/>
        </w:rPr>
      </w:pPr>
      <w:hyperlink w:anchor="_Toc204411630" w:history="1">
        <w:r w:rsidRPr="00494238">
          <w:rPr>
            <w:rStyle w:val="Hyperlink"/>
          </w:rPr>
          <w:t>6.5.9.2</w:t>
        </w:r>
        <w:r w:rsidRPr="00494238">
          <w:rPr>
            <w:rFonts w:eastAsiaTheme="minorEastAsia"/>
            <w:kern w:val="2"/>
            <w:lang w:val="en-US"/>
            <w14:ligatures w14:val="standardContextual"/>
          </w:rPr>
          <w:tab/>
        </w:r>
        <w:r w:rsidRPr="00494238">
          <w:rPr>
            <w:rStyle w:val="Hyperlink"/>
          </w:rPr>
          <w:t>Failure of the SCED Process</w:t>
        </w:r>
        <w:r w:rsidRPr="00494238">
          <w:rPr>
            <w:webHidden/>
          </w:rPr>
          <w:tab/>
        </w:r>
        <w:r w:rsidRPr="00494238">
          <w:rPr>
            <w:webHidden/>
          </w:rPr>
          <w:fldChar w:fldCharType="begin"/>
        </w:r>
        <w:r w:rsidRPr="00494238">
          <w:rPr>
            <w:webHidden/>
          </w:rPr>
          <w:instrText xml:space="preserve"> PAGEREF _Toc204411630 \h </w:instrText>
        </w:r>
        <w:r w:rsidRPr="00494238">
          <w:rPr>
            <w:webHidden/>
          </w:rPr>
        </w:r>
        <w:r w:rsidRPr="00494238">
          <w:rPr>
            <w:webHidden/>
          </w:rPr>
          <w:fldChar w:fldCharType="separate"/>
        </w:r>
        <w:r w:rsidRPr="00494238">
          <w:rPr>
            <w:webHidden/>
          </w:rPr>
          <w:t>6-166</w:t>
        </w:r>
        <w:r w:rsidRPr="00494238">
          <w:rPr>
            <w:webHidden/>
          </w:rPr>
          <w:fldChar w:fldCharType="end"/>
        </w:r>
      </w:hyperlink>
    </w:p>
    <w:p w14:paraId="57562793" w14:textId="39C15C1A" w:rsidR="00494238" w:rsidRPr="00494238" w:rsidRDefault="00494238">
      <w:pPr>
        <w:pStyle w:val="TOC4"/>
        <w:rPr>
          <w:rFonts w:eastAsiaTheme="minorEastAsia"/>
          <w:kern w:val="2"/>
          <w:lang w:val="en-US"/>
          <w14:ligatures w14:val="standardContextual"/>
        </w:rPr>
      </w:pPr>
      <w:hyperlink w:anchor="_Toc204411631" w:history="1">
        <w:r w:rsidRPr="00494238">
          <w:rPr>
            <w:rStyle w:val="Hyperlink"/>
          </w:rPr>
          <w:t>6.5.9.3</w:t>
        </w:r>
        <w:r w:rsidRPr="00494238">
          <w:rPr>
            <w:rFonts w:eastAsiaTheme="minorEastAsia"/>
            <w:kern w:val="2"/>
            <w:lang w:val="en-US"/>
            <w14:ligatures w14:val="standardContextual"/>
          </w:rPr>
          <w:tab/>
        </w:r>
        <w:r w:rsidRPr="00494238">
          <w:rPr>
            <w:rStyle w:val="Hyperlink"/>
          </w:rPr>
          <w:t>Communication Prior to and During Emergency Conditions</w:t>
        </w:r>
        <w:r w:rsidRPr="00494238">
          <w:rPr>
            <w:webHidden/>
          </w:rPr>
          <w:tab/>
        </w:r>
        <w:r w:rsidRPr="00494238">
          <w:rPr>
            <w:webHidden/>
          </w:rPr>
          <w:fldChar w:fldCharType="begin"/>
        </w:r>
        <w:r w:rsidRPr="00494238">
          <w:rPr>
            <w:webHidden/>
          </w:rPr>
          <w:instrText xml:space="preserve"> PAGEREF _Toc204411631 \h </w:instrText>
        </w:r>
        <w:r w:rsidRPr="00494238">
          <w:rPr>
            <w:webHidden/>
          </w:rPr>
        </w:r>
        <w:r w:rsidRPr="00494238">
          <w:rPr>
            <w:webHidden/>
          </w:rPr>
          <w:fldChar w:fldCharType="separate"/>
        </w:r>
        <w:r w:rsidRPr="00494238">
          <w:rPr>
            <w:webHidden/>
          </w:rPr>
          <w:t>6-168</w:t>
        </w:r>
        <w:r w:rsidRPr="00494238">
          <w:rPr>
            <w:webHidden/>
          </w:rPr>
          <w:fldChar w:fldCharType="end"/>
        </w:r>
      </w:hyperlink>
    </w:p>
    <w:p w14:paraId="1F39135D" w14:textId="26730D2A" w:rsidR="00494238" w:rsidRPr="00494238" w:rsidRDefault="00494238">
      <w:pPr>
        <w:pStyle w:val="TOC5"/>
        <w:rPr>
          <w:rFonts w:eastAsiaTheme="minorEastAsia"/>
          <w:i w:val="0"/>
          <w:kern w:val="2"/>
          <w:sz w:val="20"/>
          <w:szCs w:val="20"/>
          <w14:ligatures w14:val="standardContextual"/>
        </w:rPr>
      </w:pPr>
      <w:hyperlink w:anchor="_Toc204411632" w:history="1">
        <w:r w:rsidRPr="00494238">
          <w:rPr>
            <w:rStyle w:val="Hyperlink"/>
            <w:i w:val="0"/>
            <w:sz w:val="20"/>
            <w:szCs w:val="20"/>
          </w:rPr>
          <w:t>6.5.9.3.1</w:t>
        </w:r>
        <w:r w:rsidRPr="00494238">
          <w:rPr>
            <w:rFonts w:eastAsiaTheme="minorEastAsia"/>
            <w:i w:val="0"/>
            <w:kern w:val="2"/>
            <w:sz w:val="20"/>
            <w:szCs w:val="20"/>
            <w14:ligatures w14:val="standardContextual"/>
          </w:rPr>
          <w:tab/>
        </w:r>
        <w:r w:rsidRPr="00494238">
          <w:rPr>
            <w:rStyle w:val="Hyperlink"/>
            <w:i w:val="0"/>
            <w:sz w:val="20"/>
            <w:szCs w:val="20"/>
          </w:rPr>
          <w:t>Operating Condition Notice</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_Toc204411632 \h </w:instrText>
        </w:r>
        <w:r w:rsidRPr="00494238">
          <w:rPr>
            <w:i w:val="0"/>
            <w:webHidden/>
            <w:sz w:val="20"/>
            <w:szCs w:val="20"/>
          </w:rPr>
        </w:r>
        <w:r w:rsidRPr="00494238">
          <w:rPr>
            <w:i w:val="0"/>
            <w:webHidden/>
            <w:sz w:val="20"/>
            <w:szCs w:val="20"/>
          </w:rPr>
          <w:fldChar w:fldCharType="separate"/>
        </w:r>
        <w:r w:rsidRPr="00494238">
          <w:rPr>
            <w:i w:val="0"/>
            <w:webHidden/>
            <w:sz w:val="20"/>
            <w:szCs w:val="20"/>
          </w:rPr>
          <w:t>6-170</w:t>
        </w:r>
        <w:r w:rsidRPr="00494238">
          <w:rPr>
            <w:i w:val="0"/>
            <w:webHidden/>
            <w:sz w:val="20"/>
            <w:szCs w:val="20"/>
          </w:rPr>
          <w:fldChar w:fldCharType="end"/>
        </w:r>
      </w:hyperlink>
    </w:p>
    <w:p w14:paraId="6BA88BE8" w14:textId="19A29717" w:rsidR="00494238" w:rsidRPr="00494238" w:rsidRDefault="00494238">
      <w:pPr>
        <w:pStyle w:val="TOC5"/>
        <w:rPr>
          <w:rFonts w:eastAsiaTheme="minorEastAsia"/>
          <w:i w:val="0"/>
          <w:kern w:val="2"/>
          <w:sz w:val="20"/>
          <w:szCs w:val="20"/>
          <w14:ligatures w14:val="standardContextual"/>
        </w:rPr>
      </w:pPr>
      <w:hyperlink w:anchor="_Toc204411633" w:history="1">
        <w:r w:rsidRPr="00494238">
          <w:rPr>
            <w:rStyle w:val="Hyperlink"/>
            <w:i w:val="0"/>
            <w:sz w:val="20"/>
            <w:szCs w:val="20"/>
          </w:rPr>
          <w:t>6.5.9.3.1.1</w:t>
        </w:r>
        <w:r w:rsidRPr="00494238">
          <w:rPr>
            <w:rFonts w:eastAsiaTheme="minorEastAsia"/>
            <w:i w:val="0"/>
            <w:kern w:val="2"/>
            <w:sz w:val="20"/>
            <w:szCs w:val="20"/>
            <w14:ligatures w14:val="standardContextual"/>
          </w:rPr>
          <w:tab/>
        </w:r>
        <w:r w:rsidRPr="00494238">
          <w:rPr>
            <w:rStyle w:val="Hyperlink"/>
            <w:i w:val="0"/>
            <w:sz w:val="20"/>
            <w:szCs w:val="20"/>
          </w:rPr>
          <w:t>Advance Action Notice</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_Toc204411633 \h </w:instrText>
        </w:r>
        <w:r w:rsidRPr="00494238">
          <w:rPr>
            <w:i w:val="0"/>
            <w:webHidden/>
            <w:sz w:val="20"/>
            <w:szCs w:val="20"/>
          </w:rPr>
        </w:r>
        <w:r w:rsidRPr="00494238">
          <w:rPr>
            <w:i w:val="0"/>
            <w:webHidden/>
            <w:sz w:val="20"/>
            <w:szCs w:val="20"/>
          </w:rPr>
          <w:fldChar w:fldCharType="separate"/>
        </w:r>
        <w:r w:rsidRPr="00494238">
          <w:rPr>
            <w:i w:val="0"/>
            <w:webHidden/>
            <w:sz w:val="20"/>
            <w:szCs w:val="20"/>
          </w:rPr>
          <w:t>6-172</w:t>
        </w:r>
        <w:r w:rsidRPr="00494238">
          <w:rPr>
            <w:i w:val="0"/>
            <w:webHidden/>
            <w:sz w:val="20"/>
            <w:szCs w:val="20"/>
          </w:rPr>
          <w:fldChar w:fldCharType="end"/>
        </w:r>
      </w:hyperlink>
    </w:p>
    <w:p w14:paraId="3C0C3B2B" w14:textId="27C5C766" w:rsidR="00494238" w:rsidRPr="00494238" w:rsidRDefault="00494238">
      <w:pPr>
        <w:pStyle w:val="TOC5"/>
        <w:rPr>
          <w:rFonts w:eastAsiaTheme="minorEastAsia"/>
          <w:i w:val="0"/>
          <w:kern w:val="2"/>
          <w:sz w:val="20"/>
          <w:szCs w:val="20"/>
          <w14:ligatures w14:val="standardContextual"/>
        </w:rPr>
      </w:pPr>
      <w:hyperlink w:anchor="_Toc204411634" w:history="1">
        <w:r w:rsidRPr="00494238">
          <w:rPr>
            <w:rStyle w:val="Hyperlink"/>
            <w:i w:val="0"/>
            <w:sz w:val="20"/>
            <w:szCs w:val="20"/>
          </w:rPr>
          <w:t>6.5.9.3.2</w:t>
        </w:r>
        <w:r w:rsidRPr="00494238">
          <w:rPr>
            <w:rFonts w:eastAsiaTheme="minorEastAsia"/>
            <w:i w:val="0"/>
            <w:kern w:val="2"/>
            <w:sz w:val="20"/>
            <w:szCs w:val="20"/>
            <w14:ligatures w14:val="standardContextual"/>
          </w:rPr>
          <w:tab/>
        </w:r>
        <w:r w:rsidRPr="00494238">
          <w:rPr>
            <w:rStyle w:val="Hyperlink"/>
            <w:i w:val="0"/>
            <w:sz w:val="20"/>
            <w:szCs w:val="20"/>
          </w:rPr>
          <w:t>Advisory</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_Toc204411634 \h </w:instrText>
        </w:r>
        <w:r w:rsidRPr="00494238">
          <w:rPr>
            <w:i w:val="0"/>
            <w:webHidden/>
            <w:sz w:val="20"/>
            <w:szCs w:val="20"/>
          </w:rPr>
        </w:r>
        <w:r w:rsidRPr="00494238">
          <w:rPr>
            <w:i w:val="0"/>
            <w:webHidden/>
            <w:sz w:val="20"/>
            <w:szCs w:val="20"/>
          </w:rPr>
          <w:fldChar w:fldCharType="separate"/>
        </w:r>
        <w:r w:rsidRPr="00494238">
          <w:rPr>
            <w:i w:val="0"/>
            <w:webHidden/>
            <w:sz w:val="20"/>
            <w:szCs w:val="20"/>
          </w:rPr>
          <w:t>6-172</w:t>
        </w:r>
        <w:r w:rsidRPr="00494238">
          <w:rPr>
            <w:i w:val="0"/>
            <w:webHidden/>
            <w:sz w:val="20"/>
            <w:szCs w:val="20"/>
          </w:rPr>
          <w:fldChar w:fldCharType="end"/>
        </w:r>
      </w:hyperlink>
    </w:p>
    <w:p w14:paraId="3C46AC13" w14:textId="5640978A" w:rsidR="00494238" w:rsidRPr="00494238" w:rsidRDefault="00494238">
      <w:pPr>
        <w:pStyle w:val="TOC5"/>
        <w:rPr>
          <w:rFonts w:eastAsiaTheme="minorEastAsia"/>
          <w:i w:val="0"/>
          <w:kern w:val="2"/>
          <w:sz w:val="20"/>
          <w:szCs w:val="20"/>
          <w14:ligatures w14:val="standardContextual"/>
        </w:rPr>
      </w:pPr>
      <w:hyperlink w:anchor="_Toc204411635" w:history="1">
        <w:r w:rsidRPr="00494238">
          <w:rPr>
            <w:rStyle w:val="Hyperlink"/>
            <w:i w:val="0"/>
            <w:sz w:val="20"/>
            <w:szCs w:val="20"/>
          </w:rPr>
          <w:t>6.5.9.3.3</w:t>
        </w:r>
        <w:r w:rsidRPr="00494238">
          <w:rPr>
            <w:rFonts w:eastAsiaTheme="minorEastAsia"/>
            <w:i w:val="0"/>
            <w:kern w:val="2"/>
            <w:sz w:val="20"/>
            <w:szCs w:val="20"/>
            <w14:ligatures w14:val="standardContextual"/>
          </w:rPr>
          <w:tab/>
        </w:r>
        <w:r w:rsidRPr="00494238">
          <w:rPr>
            <w:rStyle w:val="Hyperlink"/>
            <w:i w:val="0"/>
            <w:sz w:val="20"/>
            <w:szCs w:val="20"/>
          </w:rPr>
          <w:t>Watch</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_Toc204411635 \h </w:instrText>
        </w:r>
        <w:r w:rsidRPr="00494238">
          <w:rPr>
            <w:i w:val="0"/>
            <w:webHidden/>
            <w:sz w:val="20"/>
            <w:szCs w:val="20"/>
          </w:rPr>
        </w:r>
        <w:r w:rsidRPr="00494238">
          <w:rPr>
            <w:i w:val="0"/>
            <w:webHidden/>
            <w:sz w:val="20"/>
            <w:szCs w:val="20"/>
          </w:rPr>
          <w:fldChar w:fldCharType="separate"/>
        </w:r>
        <w:r w:rsidRPr="00494238">
          <w:rPr>
            <w:i w:val="0"/>
            <w:webHidden/>
            <w:sz w:val="20"/>
            <w:szCs w:val="20"/>
          </w:rPr>
          <w:t>6-173</w:t>
        </w:r>
        <w:r w:rsidRPr="00494238">
          <w:rPr>
            <w:i w:val="0"/>
            <w:webHidden/>
            <w:sz w:val="20"/>
            <w:szCs w:val="20"/>
          </w:rPr>
          <w:fldChar w:fldCharType="end"/>
        </w:r>
      </w:hyperlink>
    </w:p>
    <w:p w14:paraId="7E442B5E" w14:textId="01793DAF" w:rsidR="00494238" w:rsidRPr="00494238" w:rsidRDefault="00494238">
      <w:pPr>
        <w:pStyle w:val="TOC5"/>
        <w:rPr>
          <w:rFonts w:eastAsiaTheme="minorEastAsia"/>
          <w:i w:val="0"/>
          <w:kern w:val="2"/>
          <w:sz w:val="20"/>
          <w:szCs w:val="20"/>
          <w14:ligatures w14:val="standardContextual"/>
        </w:rPr>
      </w:pPr>
      <w:hyperlink w:anchor="_Toc204411636" w:history="1">
        <w:r w:rsidRPr="00494238">
          <w:rPr>
            <w:rStyle w:val="Hyperlink"/>
            <w:i w:val="0"/>
            <w:sz w:val="20"/>
            <w:szCs w:val="20"/>
          </w:rPr>
          <w:t>6.5.9.3.4</w:t>
        </w:r>
        <w:r w:rsidRPr="00494238">
          <w:rPr>
            <w:rFonts w:eastAsiaTheme="minorEastAsia"/>
            <w:i w:val="0"/>
            <w:kern w:val="2"/>
            <w:sz w:val="20"/>
            <w:szCs w:val="20"/>
            <w14:ligatures w14:val="standardContextual"/>
          </w:rPr>
          <w:tab/>
        </w:r>
        <w:r w:rsidRPr="00494238">
          <w:rPr>
            <w:rStyle w:val="Hyperlink"/>
            <w:i w:val="0"/>
            <w:sz w:val="20"/>
            <w:szCs w:val="20"/>
          </w:rPr>
          <w:t>Emergency Notice</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_Toc204411636 \h </w:instrText>
        </w:r>
        <w:r w:rsidRPr="00494238">
          <w:rPr>
            <w:i w:val="0"/>
            <w:webHidden/>
            <w:sz w:val="20"/>
            <w:szCs w:val="20"/>
          </w:rPr>
        </w:r>
        <w:r w:rsidRPr="00494238">
          <w:rPr>
            <w:i w:val="0"/>
            <w:webHidden/>
            <w:sz w:val="20"/>
            <w:szCs w:val="20"/>
          </w:rPr>
          <w:fldChar w:fldCharType="separate"/>
        </w:r>
        <w:r w:rsidRPr="00494238">
          <w:rPr>
            <w:i w:val="0"/>
            <w:webHidden/>
            <w:sz w:val="20"/>
            <w:szCs w:val="20"/>
          </w:rPr>
          <w:t>6-176</w:t>
        </w:r>
        <w:r w:rsidRPr="00494238">
          <w:rPr>
            <w:i w:val="0"/>
            <w:webHidden/>
            <w:sz w:val="20"/>
            <w:szCs w:val="20"/>
          </w:rPr>
          <w:fldChar w:fldCharType="end"/>
        </w:r>
      </w:hyperlink>
    </w:p>
    <w:p w14:paraId="1840A685" w14:textId="6E32F007" w:rsidR="00494238" w:rsidRPr="00494238" w:rsidRDefault="00494238">
      <w:pPr>
        <w:pStyle w:val="TOC4"/>
        <w:rPr>
          <w:rFonts w:eastAsiaTheme="minorEastAsia"/>
          <w:kern w:val="2"/>
          <w:lang w:val="en-US"/>
          <w14:ligatures w14:val="standardContextual"/>
        </w:rPr>
      </w:pPr>
      <w:hyperlink w:anchor="_Toc204411637" w:history="1">
        <w:r w:rsidRPr="00494238">
          <w:rPr>
            <w:rStyle w:val="Hyperlink"/>
          </w:rPr>
          <w:t>6.5.9.4</w:t>
        </w:r>
        <w:r w:rsidRPr="00494238">
          <w:rPr>
            <w:rFonts w:eastAsiaTheme="minorEastAsia"/>
            <w:kern w:val="2"/>
            <w:lang w:val="en-US"/>
            <w14:ligatures w14:val="standardContextual"/>
          </w:rPr>
          <w:tab/>
        </w:r>
        <w:r w:rsidRPr="00494238">
          <w:rPr>
            <w:rStyle w:val="Hyperlink"/>
          </w:rPr>
          <w:t>Energy Emergency Alert</w:t>
        </w:r>
        <w:r w:rsidRPr="00494238">
          <w:rPr>
            <w:webHidden/>
          </w:rPr>
          <w:tab/>
        </w:r>
        <w:r w:rsidRPr="00494238">
          <w:rPr>
            <w:webHidden/>
          </w:rPr>
          <w:fldChar w:fldCharType="begin"/>
        </w:r>
        <w:r w:rsidRPr="00494238">
          <w:rPr>
            <w:webHidden/>
          </w:rPr>
          <w:instrText xml:space="preserve"> PAGEREF _Toc204411637 \h </w:instrText>
        </w:r>
        <w:r w:rsidRPr="00494238">
          <w:rPr>
            <w:webHidden/>
          </w:rPr>
        </w:r>
        <w:r w:rsidRPr="00494238">
          <w:rPr>
            <w:webHidden/>
          </w:rPr>
          <w:fldChar w:fldCharType="separate"/>
        </w:r>
        <w:r w:rsidRPr="00494238">
          <w:rPr>
            <w:webHidden/>
          </w:rPr>
          <w:t>6-177</w:t>
        </w:r>
        <w:r w:rsidRPr="00494238">
          <w:rPr>
            <w:webHidden/>
          </w:rPr>
          <w:fldChar w:fldCharType="end"/>
        </w:r>
      </w:hyperlink>
    </w:p>
    <w:p w14:paraId="0340E90D" w14:textId="366C8AE9" w:rsidR="00494238" w:rsidRPr="00494238" w:rsidRDefault="00494238">
      <w:pPr>
        <w:pStyle w:val="TOC5"/>
        <w:rPr>
          <w:rFonts w:eastAsiaTheme="minorEastAsia"/>
          <w:i w:val="0"/>
          <w:kern w:val="2"/>
          <w:sz w:val="20"/>
          <w:szCs w:val="20"/>
          <w14:ligatures w14:val="standardContextual"/>
        </w:rPr>
      </w:pPr>
      <w:hyperlink w:anchor="_Toc204411638" w:history="1">
        <w:r w:rsidRPr="00494238">
          <w:rPr>
            <w:rStyle w:val="Hyperlink"/>
            <w:i w:val="0"/>
            <w:sz w:val="20"/>
            <w:szCs w:val="20"/>
          </w:rPr>
          <w:t>6.5.9.4.1</w:t>
        </w:r>
        <w:r w:rsidRPr="00494238">
          <w:rPr>
            <w:rFonts w:eastAsiaTheme="minorEastAsia"/>
            <w:i w:val="0"/>
            <w:kern w:val="2"/>
            <w:sz w:val="20"/>
            <w:szCs w:val="20"/>
            <w14:ligatures w14:val="standardContextual"/>
          </w:rPr>
          <w:tab/>
        </w:r>
        <w:r w:rsidRPr="00494238">
          <w:rPr>
            <w:rStyle w:val="Hyperlink"/>
            <w:i w:val="0"/>
            <w:sz w:val="20"/>
            <w:szCs w:val="20"/>
          </w:rPr>
          <w:t>General Procedures Prior to EEA Operations</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_Toc204411638 \h </w:instrText>
        </w:r>
        <w:r w:rsidRPr="00494238">
          <w:rPr>
            <w:i w:val="0"/>
            <w:webHidden/>
            <w:sz w:val="20"/>
            <w:szCs w:val="20"/>
          </w:rPr>
        </w:r>
        <w:r w:rsidRPr="00494238">
          <w:rPr>
            <w:i w:val="0"/>
            <w:webHidden/>
            <w:sz w:val="20"/>
            <w:szCs w:val="20"/>
          </w:rPr>
          <w:fldChar w:fldCharType="separate"/>
        </w:r>
        <w:r w:rsidRPr="00494238">
          <w:rPr>
            <w:i w:val="0"/>
            <w:webHidden/>
            <w:sz w:val="20"/>
            <w:szCs w:val="20"/>
          </w:rPr>
          <w:t>6-179</w:t>
        </w:r>
        <w:r w:rsidRPr="00494238">
          <w:rPr>
            <w:i w:val="0"/>
            <w:webHidden/>
            <w:sz w:val="20"/>
            <w:szCs w:val="20"/>
          </w:rPr>
          <w:fldChar w:fldCharType="end"/>
        </w:r>
      </w:hyperlink>
    </w:p>
    <w:p w14:paraId="6C395C0E" w14:textId="621CBDB7" w:rsidR="00494238" w:rsidRPr="00494238" w:rsidRDefault="00494238">
      <w:pPr>
        <w:pStyle w:val="TOC5"/>
        <w:rPr>
          <w:rFonts w:eastAsiaTheme="minorEastAsia"/>
          <w:i w:val="0"/>
          <w:kern w:val="2"/>
          <w:sz w:val="20"/>
          <w:szCs w:val="20"/>
          <w14:ligatures w14:val="standardContextual"/>
        </w:rPr>
      </w:pPr>
      <w:hyperlink w:anchor="_Toc204411639" w:history="1">
        <w:r w:rsidRPr="00494238">
          <w:rPr>
            <w:rStyle w:val="Hyperlink"/>
            <w:i w:val="0"/>
            <w:sz w:val="20"/>
            <w:szCs w:val="20"/>
          </w:rPr>
          <w:t>6.5.9.4.2</w:t>
        </w:r>
        <w:r w:rsidRPr="00494238">
          <w:rPr>
            <w:rFonts w:eastAsiaTheme="minorEastAsia"/>
            <w:i w:val="0"/>
            <w:kern w:val="2"/>
            <w:sz w:val="20"/>
            <w:szCs w:val="20"/>
            <w14:ligatures w14:val="standardContextual"/>
          </w:rPr>
          <w:tab/>
        </w:r>
        <w:r w:rsidRPr="00494238">
          <w:rPr>
            <w:rStyle w:val="Hyperlink"/>
            <w:i w:val="0"/>
            <w:sz w:val="20"/>
            <w:szCs w:val="20"/>
          </w:rPr>
          <w:t>EEA Levels</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_Toc204411639 \h </w:instrText>
        </w:r>
        <w:r w:rsidRPr="00494238">
          <w:rPr>
            <w:i w:val="0"/>
            <w:webHidden/>
            <w:sz w:val="20"/>
            <w:szCs w:val="20"/>
          </w:rPr>
        </w:r>
        <w:r w:rsidRPr="00494238">
          <w:rPr>
            <w:i w:val="0"/>
            <w:webHidden/>
            <w:sz w:val="20"/>
            <w:szCs w:val="20"/>
          </w:rPr>
          <w:fldChar w:fldCharType="separate"/>
        </w:r>
        <w:r w:rsidRPr="00494238">
          <w:rPr>
            <w:i w:val="0"/>
            <w:webHidden/>
            <w:sz w:val="20"/>
            <w:szCs w:val="20"/>
          </w:rPr>
          <w:t>6-183</w:t>
        </w:r>
        <w:r w:rsidRPr="00494238">
          <w:rPr>
            <w:i w:val="0"/>
            <w:webHidden/>
            <w:sz w:val="20"/>
            <w:szCs w:val="20"/>
          </w:rPr>
          <w:fldChar w:fldCharType="end"/>
        </w:r>
      </w:hyperlink>
    </w:p>
    <w:p w14:paraId="6F8D781A" w14:textId="36772B9E" w:rsidR="00494238" w:rsidRPr="00494238" w:rsidRDefault="00494238">
      <w:pPr>
        <w:pStyle w:val="TOC5"/>
        <w:rPr>
          <w:rFonts w:eastAsiaTheme="minorEastAsia"/>
          <w:i w:val="0"/>
          <w:kern w:val="2"/>
          <w:sz w:val="20"/>
          <w:szCs w:val="20"/>
          <w14:ligatures w14:val="standardContextual"/>
        </w:rPr>
      </w:pPr>
      <w:hyperlink w:anchor="_Toc204411640" w:history="1">
        <w:r w:rsidRPr="00494238">
          <w:rPr>
            <w:rStyle w:val="Hyperlink"/>
            <w:i w:val="0"/>
            <w:sz w:val="20"/>
            <w:szCs w:val="20"/>
          </w:rPr>
          <w:t>6.5.9.4.3</w:t>
        </w:r>
        <w:r w:rsidRPr="00494238">
          <w:rPr>
            <w:rFonts w:eastAsiaTheme="minorEastAsia"/>
            <w:i w:val="0"/>
            <w:kern w:val="2"/>
            <w:sz w:val="20"/>
            <w:szCs w:val="20"/>
            <w14:ligatures w14:val="standardContextual"/>
          </w:rPr>
          <w:tab/>
        </w:r>
        <w:r w:rsidRPr="00494238">
          <w:rPr>
            <w:rStyle w:val="Hyperlink"/>
            <w:i w:val="0"/>
            <w:sz w:val="20"/>
            <w:szCs w:val="20"/>
          </w:rPr>
          <w:t>Restoration of Market Operations</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_Toc204411640 \h </w:instrText>
        </w:r>
        <w:r w:rsidRPr="00494238">
          <w:rPr>
            <w:i w:val="0"/>
            <w:webHidden/>
            <w:sz w:val="20"/>
            <w:szCs w:val="20"/>
          </w:rPr>
        </w:r>
        <w:r w:rsidRPr="00494238">
          <w:rPr>
            <w:i w:val="0"/>
            <w:webHidden/>
            <w:sz w:val="20"/>
            <w:szCs w:val="20"/>
          </w:rPr>
          <w:fldChar w:fldCharType="separate"/>
        </w:r>
        <w:r w:rsidRPr="00494238">
          <w:rPr>
            <w:i w:val="0"/>
            <w:webHidden/>
            <w:sz w:val="20"/>
            <w:szCs w:val="20"/>
          </w:rPr>
          <w:t>6-189</w:t>
        </w:r>
        <w:r w:rsidRPr="00494238">
          <w:rPr>
            <w:i w:val="0"/>
            <w:webHidden/>
            <w:sz w:val="20"/>
            <w:szCs w:val="20"/>
          </w:rPr>
          <w:fldChar w:fldCharType="end"/>
        </w:r>
      </w:hyperlink>
    </w:p>
    <w:p w14:paraId="21456752" w14:textId="348CDCAA" w:rsidR="00494238" w:rsidRPr="00494238" w:rsidRDefault="00494238">
      <w:pPr>
        <w:pStyle w:val="TOC4"/>
        <w:rPr>
          <w:rFonts w:eastAsiaTheme="minorEastAsia"/>
          <w:kern w:val="2"/>
          <w:lang w:val="en-US"/>
          <w14:ligatures w14:val="standardContextual"/>
        </w:rPr>
      </w:pPr>
      <w:hyperlink w:anchor="_Toc204411641" w:history="1">
        <w:r w:rsidRPr="00494238">
          <w:rPr>
            <w:rStyle w:val="Hyperlink"/>
          </w:rPr>
          <w:t>6.5.9.5</w:t>
        </w:r>
        <w:r w:rsidRPr="00494238">
          <w:rPr>
            <w:rFonts w:eastAsiaTheme="minorEastAsia"/>
            <w:kern w:val="2"/>
            <w:lang w:val="en-US"/>
            <w14:ligatures w14:val="standardContextual"/>
          </w:rPr>
          <w:tab/>
        </w:r>
        <w:r w:rsidRPr="00494238">
          <w:rPr>
            <w:rStyle w:val="Hyperlink"/>
          </w:rPr>
          <w:t>Block Load Transfers between ERCOT and Non-ERCOT Control Areas</w:t>
        </w:r>
        <w:r w:rsidRPr="00494238">
          <w:rPr>
            <w:webHidden/>
          </w:rPr>
          <w:tab/>
        </w:r>
        <w:r w:rsidRPr="00494238">
          <w:rPr>
            <w:webHidden/>
          </w:rPr>
          <w:fldChar w:fldCharType="begin"/>
        </w:r>
        <w:r w:rsidRPr="00494238">
          <w:rPr>
            <w:webHidden/>
          </w:rPr>
          <w:instrText xml:space="preserve"> PAGEREF _Toc204411641 \h </w:instrText>
        </w:r>
        <w:r w:rsidRPr="00494238">
          <w:rPr>
            <w:webHidden/>
          </w:rPr>
        </w:r>
        <w:r w:rsidRPr="00494238">
          <w:rPr>
            <w:webHidden/>
          </w:rPr>
          <w:fldChar w:fldCharType="separate"/>
        </w:r>
        <w:r w:rsidRPr="00494238">
          <w:rPr>
            <w:webHidden/>
          </w:rPr>
          <w:t>6-190</w:t>
        </w:r>
        <w:r w:rsidRPr="00494238">
          <w:rPr>
            <w:webHidden/>
          </w:rPr>
          <w:fldChar w:fldCharType="end"/>
        </w:r>
      </w:hyperlink>
    </w:p>
    <w:p w14:paraId="7E998196" w14:textId="0B2D7BDD" w:rsidR="00494238" w:rsidRPr="00494238" w:rsidRDefault="00494238">
      <w:pPr>
        <w:pStyle w:val="TOC5"/>
        <w:rPr>
          <w:rFonts w:eastAsiaTheme="minorEastAsia"/>
          <w:i w:val="0"/>
          <w:kern w:val="2"/>
          <w:sz w:val="20"/>
          <w:szCs w:val="20"/>
          <w14:ligatures w14:val="standardContextual"/>
        </w:rPr>
      </w:pPr>
      <w:hyperlink w:anchor="_Toc204411642" w:history="1">
        <w:r w:rsidRPr="00494238">
          <w:rPr>
            <w:rStyle w:val="Hyperlink"/>
            <w:i w:val="0"/>
            <w:sz w:val="20"/>
            <w:szCs w:val="20"/>
          </w:rPr>
          <w:t>6.5.9.5.1</w:t>
        </w:r>
        <w:r w:rsidRPr="00494238">
          <w:rPr>
            <w:rFonts w:eastAsiaTheme="minorEastAsia"/>
            <w:i w:val="0"/>
            <w:kern w:val="2"/>
            <w:sz w:val="20"/>
            <w:szCs w:val="20"/>
            <w14:ligatures w14:val="standardContextual"/>
          </w:rPr>
          <w:tab/>
        </w:r>
        <w:r w:rsidRPr="00494238">
          <w:rPr>
            <w:rStyle w:val="Hyperlink"/>
            <w:i w:val="0"/>
            <w:sz w:val="20"/>
            <w:szCs w:val="20"/>
          </w:rPr>
          <w:t>Registration and Posting of BLT Points</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_Toc204411642 \h </w:instrText>
        </w:r>
        <w:r w:rsidRPr="00494238">
          <w:rPr>
            <w:i w:val="0"/>
            <w:webHidden/>
            <w:sz w:val="20"/>
            <w:szCs w:val="20"/>
          </w:rPr>
        </w:r>
        <w:r w:rsidRPr="00494238">
          <w:rPr>
            <w:i w:val="0"/>
            <w:webHidden/>
            <w:sz w:val="20"/>
            <w:szCs w:val="20"/>
          </w:rPr>
          <w:fldChar w:fldCharType="separate"/>
        </w:r>
        <w:r w:rsidRPr="00494238">
          <w:rPr>
            <w:i w:val="0"/>
            <w:webHidden/>
            <w:sz w:val="20"/>
            <w:szCs w:val="20"/>
          </w:rPr>
          <w:t>6-191</w:t>
        </w:r>
        <w:r w:rsidRPr="00494238">
          <w:rPr>
            <w:i w:val="0"/>
            <w:webHidden/>
            <w:sz w:val="20"/>
            <w:szCs w:val="20"/>
          </w:rPr>
          <w:fldChar w:fldCharType="end"/>
        </w:r>
      </w:hyperlink>
    </w:p>
    <w:p w14:paraId="620D5EA9" w14:textId="68D4F970" w:rsidR="00494238" w:rsidRPr="00494238" w:rsidRDefault="00494238">
      <w:pPr>
        <w:pStyle w:val="TOC5"/>
        <w:rPr>
          <w:rFonts w:eastAsiaTheme="minorEastAsia"/>
          <w:i w:val="0"/>
          <w:kern w:val="2"/>
          <w:sz w:val="20"/>
          <w:szCs w:val="20"/>
          <w14:ligatures w14:val="standardContextual"/>
        </w:rPr>
      </w:pPr>
      <w:hyperlink w:anchor="_Toc204411643" w:history="1">
        <w:r w:rsidRPr="00494238">
          <w:rPr>
            <w:rStyle w:val="Hyperlink"/>
            <w:i w:val="0"/>
            <w:sz w:val="20"/>
            <w:szCs w:val="20"/>
          </w:rPr>
          <w:t>6.5.9.5.2</w:t>
        </w:r>
        <w:r w:rsidRPr="00494238">
          <w:rPr>
            <w:rFonts w:eastAsiaTheme="minorEastAsia"/>
            <w:i w:val="0"/>
            <w:kern w:val="2"/>
            <w:sz w:val="20"/>
            <w:szCs w:val="20"/>
            <w14:ligatures w14:val="standardContextual"/>
          </w:rPr>
          <w:tab/>
        </w:r>
        <w:r w:rsidRPr="00494238">
          <w:rPr>
            <w:rStyle w:val="Hyperlink"/>
            <w:i w:val="0"/>
            <w:sz w:val="20"/>
            <w:szCs w:val="20"/>
          </w:rPr>
          <w:t>Scheduling and Operation of BLTs</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_Toc204411643 \h </w:instrText>
        </w:r>
        <w:r w:rsidRPr="00494238">
          <w:rPr>
            <w:i w:val="0"/>
            <w:webHidden/>
            <w:sz w:val="20"/>
            <w:szCs w:val="20"/>
          </w:rPr>
        </w:r>
        <w:r w:rsidRPr="00494238">
          <w:rPr>
            <w:i w:val="0"/>
            <w:webHidden/>
            <w:sz w:val="20"/>
            <w:szCs w:val="20"/>
          </w:rPr>
          <w:fldChar w:fldCharType="separate"/>
        </w:r>
        <w:r w:rsidRPr="00494238">
          <w:rPr>
            <w:i w:val="0"/>
            <w:webHidden/>
            <w:sz w:val="20"/>
            <w:szCs w:val="20"/>
          </w:rPr>
          <w:t>6-193</w:t>
        </w:r>
        <w:r w:rsidRPr="00494238">
          <w:rPr>
            <w:i w:val="0"/>
            <w:webHidden/>
            <w:sz w:val="20"/>
            <w:szCs w:val="20"/>
          </w:rPr>
          <w:fldChar w:fldCharType="end"/>
        </w:r>
      </w:hyperlink>
    </w:p>
    <w:p w14:paraId="35F56D4F" w14:textId="31A931EB" w:rsidR="00494238" w:rsidRPr="00494238" w:rsidRDefault="00494238">
      <w:pPr>
        <w:pStyle w:val="TOC4"/>
        <w:rPr>
          <w:rFonts w:eastAsiaTheme="minorEastAsia"/>
          <w:kern w:val="2"/>
          <w:lang w:val="en-US"/>
          <w14:ligatures w14:val="standardContextual"/>
        </w:rPr>
      </w:pPr>
      <w:hyperlink w:anchor="_Toc204411644" w:history="1">
        <w:r w:rsidRPr="00494238">
          <w:rPr>
            <w:rStyle w:val="Hyperlink"/>
          </w:rPr>
          <w:t>6.5.9.6</w:t>
        </w:r>
        <w:r w:rsidRPr="00494238">
          <w:rPr>
            <w:rFonts w:eastAsiaTheme="minorEastAsia"/>
            <w:kern w:val="2"/>
            <w:lang w:val="en-US"/>
            <w14:ligatures w14:val="standardContextual"/>
          </w:rPr>
          <w:tab/>
        </w:r>
        <w:r w:rsidRPr="00494238">
          <w:rPr>
            <w:rStyle w:val="Hyperlink"/>
          </w:rPr>
          <w:t>Black Start</w:t>
        </w:r>
        <w:r w:rsidRPr="00494238">
          <w:rPr>
            <w:webHidden/>
          </w:rPr>
          <w:tab/>
        </w:r>
        <w:r w:rsidRPr="00494238">
          <w:rPr>
            <w:webHidden/>
          </w:rPr>
          <w:fldChar w:fldCharType="begin"/>
        </w:r>
        <w:r w:rsidRPr="00494238">
          <w:rPr>
            <w:webHidden/>
          </w:rPr>
          <w:instrText xml:space="preserve"> PAGEREF _Toc204411644 \h </w:instrText>
        </w:r>
        <w:r w:rsidRPr="00494238">
          <w:rPr>
            <w:webHidden/>
          </w:rPr>
        </w:r>
        <w:r w:rsidRPr="00494238">
          <w:rPr>
            <w:webHidden/>
          </w:rPr>
          <w:fldChar w:fldCharType="separate"/>
        </w:r>
        <w:r w:rsidRPr="00494238">
          <w:rPr>
            <w:webHidden/>
          </w:rPr>
          <w:t>6-193</w:t>
        </w:r>
        <w:r w:rsidRPr="00494238">
          <w:rPr>
            <w:webHidden/>
          </w:rPr>
          <w:fldChar w:fldCharType="end"/>
        </w:r>
      </w:hyperlink>
    </w:p>
    <w:p w14:paraId="236F4977" w14:textId="10107D97" w:rsidR="00494238" w:rsidRPr="00494238" w:rsidRDefault="00494238">
      <w:pPr>
        <w:pStyle w:val="TOC2"/>
        <w:rPr>
          <w:rFonts w:eastAsiaTheme="minorEastAsia"/>
          <w:noProof/>
          <w:kern w:val="2"/>
          <w14:ligatures w14:val="standardContextual"/>
        </w:rPr>
      </w:pPr>
      <w:hyperlink w:anchor="_Toc204411645" w:history="1">
        <w:r w:rsidRPr="00494238">
          <w:rPr>
            <w:rStyle w:val="Hyperlink"/>
            <w:noProof/>
          </w:rPr>
          <w:t>6.6</w:t>
        </w:r>
        <w:r w:rsidRPr="00494238">
          <w:rPr>
            <w:rFonts w:eastAsiaTheme="minorEastAsia"/>
            <w:noProof/>
            <w:kern w:val="2"/>
            <w14:ligatures w14:val="standardContextual"/>
          </w:rPr>
          <w:tab/>
        </w:r>
        <w:r w:rsidRPr="00494238">
          <w:rPr>
            <w:rStyle w:val="Hyperlink"/>
            <w:noProof/>
          </w:rPr>
          <w:t>Settlement Calculations for the Real-Time Energy Operations</w:t>
        </w:r>
        <w:r w:rsidRPr="00494238">
          <w:rPr>
            <w:noProof/>
            <w:webHidden/>
          </w:rPr>
          <w:tab/>
        </w:r>
        <w:r w:rsidRPr="00494238">
          <w:rPr>
            <w:noProof/>
            <w:webHidden/>
          </w:rPr>
          <w:fldChar w:fldCharType="begin"/>
        </w:r>
        <w:r w:rsidRPr="00494238">
          <w:rPr>
            <w:noProof/>
            <w:webHidden/>
          </w:rPr>
          <w:instrText xml:space="preserve"> PAGEREF _Toc204411645 \h </w:instrText>
        </w:r>
        <w:r w:rsidRPr="00494238">
          <w:rPr>
            <w:noProof/>
            <w:webHidden/>
          </w:rPr>
        </w:r>
        <w:r w:rsidRPr="00494238">
          <w:rPr>
            <w:noProof/>
            <w:webHidden/>
          </w:rPr>
          <w:fldChar w:fldCharType="separate"/>
        </w:r>
        <w:r w:rsidRPr="00494238">
          <w:rPr>
            <w:noProof/>
            <w:webHidden/>
          </w:rPr>
          <w:t>6-193</w:t>
        </w:r>
        <w:r w:rsidRPr="00494238">
          <w:rPr>
            <w:noProof/>
            <w:webHidden/>
          </w:rPr>
          <w:fldChar w:fldCharType="end"/>
        </w:r>
      </w:hyperlink>
    </w:p>
    <w:p w14:paraId="7F6224EE" w14:textId="44319A11" w:rsidR="00494238" w:rsidRPr="00494238" w:rsidRDefault="00494238">
      <w:pPr>
        <w:pStyle w:val="TOC3"/>
        <w:rPr>
          <w:rFonts w:eastAsiaTheme="minorEastAsia"/>
          <w:i w:val="0"/>
          <w:iCs w:val="0"/>
          <w:kern w:val="2"/>
          <w14:ligatures w14:val="standardContextual"/>
        </w:rPr>
      </w:pPr>
      <w:hyperlink w:anchor="_Toc204411646" w:history="1">
        <w:r w:rsidRPr="00494238">
          <w:rPr>
            <w:rStyle w:val="Hyperlink"/>
            <w:i w:val="0"/>
            <w:iCs w:val="0"/>
          </w:rPr>
          <w:t>6.6.1</w:t>
        </w:r>
        <w:r w:rsidRPr="00494238">
          <w:rPr>
            <w:rFonts w:eastAsiaTheme="minorEastAsia"/>
            <w:i w:val="0"/>
            <w:iCs w:val="0"/>
            <w:kern w:val="2"/>
            <w14:ligatures w14:val="standardContextual"/>
          </w:rPr>
          <w:tab/>
        </w:r>
        <w:r w:rsidRPr="00494238">
          <w:rPr>
            <w:rStyle w:val="Hyperlink"/>
            <w:i w:val="0"/>
            <w:iCs w:val="0"/>
          </w:rPr>
          <w:t>Real-Time Settlement Point Prices</w:t>
        </w:r>
        <w:r w:rsidRPr="00494238">
          <w:rPr>
            <w:i w:val="0"/>
            <w:iCs w:val="0"/>
            <w:webHidden/>
          </w:rPr>
          <w:tab/>
        </w:r>
        <w:r w:rsidRPr="00494238">
          <w:rPr>
            <w:i w:val="0"/>
            <w:iCs w:val="0"/>
            <w:webHidden/>
          </w:rPr>
          <w:fldChar w:fldCharType="begin"/>
        </w:r>
        <w:r w:rsidRPr="00494238">
          <w:rPr>
            <w:i w:val="0"/>
            <w:iCs w:val="0"/>
            <w:webHidden/>
          </w:rPr>
          <w:instrText xml:space="preserve"> PAGEREF _Toc204411646 \h </w:instrText>
        </w:r>
        <w:r w:rsidRPr="00494238">
          <w:rPr>
            <w:i w:val="0"/>
            <w:iCs w:val="0"/>
            <w:webHidden/>
          </w:rPr>
        </w:r>
        <w:r w:rsidRPr="00494238">
          <w:rPr>
            <w:i w:val="0"/>
            <w:iCs w:val="0"/>
            <w:webHidden/>
          </w:rPr>
          <w:fldChar w:fldCharType="separate"/>
        </w:r>
        <w:r w:rsidRPr="00494238">
          <w:rPr>
            <w:i w:val="0"/>
            <w:iCs w:val="0"/>
            <w:webHidden/>
          </w:rPr>
          <w:t>6-193</w:t>
        </w:r>
        <w:r w:rsidRPr="00494238">
          <w:rPr>
            <w:i w:val="0"/>
            <w:iCs w:val="0"/>
            <w:webHidden/>
          </w:rPr>
          <w:fldChar w:fldCharType="end"/>
        </w:r>
      </w:hyperlink>
    </w:p>
    <w:p w14:paraId="732FC255" w14:textId="4587C47E" w:rsidR="00494238" w:rsidRPr="00494238" w:rsidRDefault="00494238">
      <w:pPr>
        <w:pStyle w:val="TOC4"/>
        <w:rPr>
          <w:rFonts w:eastAsiaTheme="minorEastAsia"/>
          <w:kern w:val="2"/>
          <w:lang w:val="en-US"/>
          <w14:ligatures w14:val="standardContextual"/>
        </w:rPr>
      </w:pPr>
      <w:hyperlink w:anchor="_Toc204411647" w:history="1">
        <w:r w:rsidRPr="00494238">
          <w:rPr>
            <w:rStyle w:val="Hyperlink"/>
          </w:rPr>
          <w:t>6.6.1.1</w:t>
        </w:r>
        <w:r w:rsidRPr="00494238">
          <w:rPr>
            <w:rFonts w:eastAsiaTheme="minorEastAsia"/>
            <w:kern w:val="2"/>
            <w:lang w:val="en-US"/>
            <w14:ligatures w14:val="standardContextual"/>
          </w:rPr>
          <w:tab/>
        </w:r>
        <w:r w:rsidRPr="00494238">
          <w:rPr>
            <w:rStyle w:val="Hyperlink"/>
          </w:rPr>
          <w:t>Real-Time Settlement Point Price for a Resource Node</w:t>
        </w:r>
        <w:r w:rsidRPr="00494238">
          <w:rPr>
            <w:webHidden/>
          </w:rPr>
          <w:tab/>
        </w:r>
        <w:r w:rsidRPr="00494238">
          <w:rPr>
            <w:webHidden/>
          </w:rPr>
          <w:fldChar w:fldCharType="begin"/>
        </w:r>
        <w:r w:rsidRPr="00494238">
          <w:rPr>
            <w:webHidden/>
          </w:rPr>
          <w:instrText xml:space="preserve"> PAGEREF _Toc204411647 \h </w:instrText>
        </w:r>
        <w:r w:rsidRPr="00494238">
          <w:rPr>
            <w:webHidden/>
          </w:rPr>
        </w:r>
        <w:r w:rsidRPr="00494238">
          <w:rPr>
            <w:webHidden/>
          </w:rPr>
          <w:fldChar w:fldCharType="separate"/>
        </w:r>
        <w:r w:rsidRPr="00494238">
          <w:rPr>
            <w:webHidden/>
          </w:rPr>
          <w:t>6-194</w:t>
        </w:r>
        <w:r w:rsidRPr="00494238">
          <w:rPr>
            <w:webHidden/>
          </w:rPr>
          <w:fldChar w:fldCharType="end"/>
        </w:r>
      </w:hyperlink>
    </w:p>
    <w:p w14:paraId="0A3F2B19" w14:textId="39053F5E" w:rsidR="00494238" w:rsidRPr="00494238" w:rsidRDefault="00494238">
      <w:pPr>
        <w:pStyle w:val="TOC4"/>
        <w:rPr>
          <w:rFonts w:eastAsiaTheme="minorEastAsia"/>
          <w:kern w:val="2"/>
          <w:lang w:val="en-US"/>
          <w14:ligatures w14:val="standardContextual"/>
        </w:rPr>
      </w:pPr>
      <w:hyperlink w:anchor="_Toc204411648" w:history="1">
        <w:r w:rsidRPr="00494238">
          <w:rPr>
            <w:rStyle w:val="Hyperlink"/>
          </w:rPr>
          <w:t>6.6.1.2</w:t>
        </w:r>
        <w:r w:rsidRPr="00494238">
          <w:rPr>
            <w:rFonts w:eastAsiaTheme="minorEastAsia"/>
            <w:kern w:val="2"/>
            <w:lang w:val="en-US"/>
            <w14:ligatures w14:val="standardContextual"/>
          </w:rPr>
          <w:tab/>
        </w:r>
        <w:r w:rsidRPr="00494238">
          <w:rPr>
            <w:rStyle w:val="Hyperlink"/>
          </w:rPr>
          <w:t>Real-Time Settlement Point Price for a Load Zone</w:t>
        </w:r>
        <w:r w:rsidRPr="00494238">
          <w:rPr>
            <w:webHidden/>
          </w:rPr>
          <w:tab/>
        </w:r>
        <w:r w:rsidRPr="00494238">
          <w:rPr>
            <w:webHidden/>
          </w:rPr>
          <w:fldChar w:fldCharType="begin"/>
        </w:r>
        <w:r w:rsidRPr="00494238">
          <w:rPr>
            <w:webHidden/>
          </w:rPr>
          <w:instrText xml:space="preserve"> PAGEREF _Toc204411648 \h </w:instrText>
        </w:r>
        <w:r w:rsidRPr="00494238">
          <w:rPr>
            <w:webHidden/>
          </w:rPr>
        </w:r>
        <w:r w:rsidRPr="00494238">
          <w:rPr>
            <w:webHidden/>
          </w:rPr>
          <w:fldChar w:fldCharType="separate"/>
        </w:r>
        <w:r w:rsidRPr="00494238">
          <w:rPr>
            <w:webHidden/>
          </w:rPr>
          <w:t>6-197</w:t>
        </w:r>
        <w:r w:rsidRPr="00494238">
          <w:rPr>
            <w:webHidden/>
          </w:rPr>
          <w:fldChar w:fldCharType="end"/>
        </w:r>
      </w:hyperlink>
    </w:p>
    <w:p w14:paraId="34650712" w14:textId="1528F2D9" w:rsidR="00494238" w:rsidRPr="00494238" w:rsidRDefault="00494238">
      <w:pPr>
        <w:pStyle w:val="TOC4"/>
        <w:rPr>
          <w:rFonts w:eastAsiaTheme="minorEastAsia"/>
          <w:kern w:val="2"/>
          <w:lang w:val="en-US"/>
          <w14:ligatures w14:val="standardContextual"/>
        </w:rPr>
      </w:pPr>
      <w:hyperlink w:anchor="_Toc204411649" w:history="1">
        <w:r w:rsidRPr="00494238">
          <w:rPr>
            <w:rStyle w:val="Hyperlink"/>
          </w:rPr>
          <w:t>6.6.1.3</w:t>
        </w:r>
        <w:r w:rsidRPr="00494238">
          <w:rPr>
            <w:rFonts w:eastAsiaTheme="minorEastAsia"/>
            <w:kern w:val="2"/>
            <w:lang w:val="en-US"/>
            <w14:ligatures w14:val="standardContextual"/>
          </w:rPr>
          <w:tab/>
        </w:r>
        <w:r w:rsidRPr="00494238">
          <w:rPr>
            <w:rStyle w:val="Hyperlink"/>
          </w:rPr>
          <w:t>Real-Time Settlement Point Price for a Hub</w:t>
        </w:r>
        <w:r w:rsidRPr="00494238">
          <w:rPr>
            <w:webHidden/>
          </w:rPr>
          <w:tab/>
        </w:r>
        <w:r w:rsidRPr="00494238">
          <w:rPr>
            <w:webHidden/>
          </w:rPr>
          <w:fldChar w:fldCharType="begin"/>
        </w:r>
        <w:r w:rsidRPr="00494238">
          <w:rPr>
            <w:webHidden/>
          </w:rPr>
          <w:instrText xml:space="preserve"> PAGEREF _Toc204411649 \h </w:instrText>
        </w:r>
        <w:r w:rsidRPr="00494238">
          <w:rPr>
            <w:webHidden/>
          </w:rPr>
        </w:r>
        <w:r w:rsidRPr="00494238">
          <w:rPr>
            <w:webHidden/>
          </w:rPr>
          <w:fldChar w:fldCharType="separate"/>
        </w:r>
        <w:r w:rsidRPr="00494238">
          <w:rPr>
            <w:webHidden/>
          </w:rPr>
          <w:t>6-202</w:t>
        </w:r>
        <w:r w:rsidRPr="00494238">
          <w:rPr>
            <w:webHidden/>
          </w:rPr>
          <w:fldChar w:fldCharType="end"/>
        </w:r>
      </w:hyperlink>
    </w:p>
    <w:p w14:paraId="22CCFEBB" w14:textId="1A045B93" w:rsidR="00494238" w:rsidRPr="00494238" w:rsidRDefault="00494238">
      <w:pPr>
        <w:pStyle w:val="TOC4"/>
        <w:rPr>
          <w:rFonts w:eastAsiaTheme="minorEastAsia"/>
          <w:kern w:val="2"/>
          <w:lang w:val="en-US"/>
          <w14:ligatures w14:val="standardContextual"/>
        </w:rPr>
      </w:pPr>
      <w:hyperlink w:anchor="_Toc204411650" w:history="1">
        <w:r w:rsidRPr="00494238">
          <w:rPr>
            <w:rStyle w:val="Hyperlink"/>
          </w:rPr>
          <w:t>6.6.1.4</w:t>
        </w:r>
        <w:r w:rsidRPr="00494238">
          <w:rPr>
            <w:rFonts w:eastAsiaTheme="minorEastAsia"/>
            <w:kern w:val="2"/>
            <w:lang w:val="en-US"/>
            <w14:ligatures w14:val="standardContextual"/>
          </w:rPr>
          <w:tab/>
        </w:r>
        <w:r w:rsidRPr="00494238">
          <w:rPr>
            <w:rStyle w:val="Hyperlink"/>
          </w:rPr>
          <w:t>Load Zone LMPs</w:t>
        </w:r>
        <w:r w:rsidRPr="00494238">
          <w:rPr>
            <w:webHidden/>
          </w:rPr>
          <w:tab/>
        </w:r>
        <w:r w:rsidRPr="00494238">
          <w:rPr>
            <w:webHidden/>
          </w:rPr>
          <w:fldChar w:fldCharType="begin"/>
        </w:r>
        <w:r w:rsidRPr="00494238">
          <w:rPr>
            <w:webHidden/>
          </w:rPr>
          <w:instrText xml:space="preserve"> PAGEREF _Toc204411650 \h </w:instrText>
        </w:r>
        <w:r w:rsidRPr="00494238">
          <w:rPr>
            <w:webHidden/>
          </w:rPr>
        </w:r>
        <w:r w:rsidRPr="00494238">
          <w:rPr>
            <w:webHidden/>
          </w:rPr>
          <w:fldChar w:fldCharType="separate"/>
        </w:r>
        <w:r w:rsidRPr="00494238">
          <w:rPr>
            <w:webHidden/>
          </w:rPr>
          <w:t>6-202</w:t>
        </w:r>
        <w:r w:rsidRPr="00494238">
          <w:rPr>
            <w:webHidden/>
          </w:rPr>
          <w:fldChar w:fldCharType="end"/>
        </w:r>
      </w:hyperlink>
    </w:p>
    <w:p w14:paraId="2D550076" w14:textId="2C639BF9" w:rsidR="00494238" w:rsidRPr="00494238" w:rsidRDefault="00494238">
      <w:pPr>
        <w:pStyle w:val="TOC4"/>
        <w:rPr>
          <w:rFonts w:eastAsiaTheme="minorEastAsia"/>
          <w:kern w:val="2"/>
          <w:lang w:val="en-US"/>
          <w14:ligatures w14:val="standardContextual"/>
        </w:rPr>
      </w:pPr>
      <w:hyperlink w:anchor="_Toc204411651" w:history="1">
        <w:r w:rsidRPr="00494238">
          <w:rPr>
            <w:rStyle w:val="Hyperlink"/>
          </w:rPr>
          <w:t>6.6.1.5</w:t>
        </w:r>
        <w:r w:rsidRPr="00494238">
          <w:rPr>
            <w:rFonts w:eastAsiaTheme="minorEastAsia"/>
            <w:kern w:val="2"/>
            <w:lang w:val="en-US"/>
            <w14:ligatures w14:val="standardContextual"/>
          </w:rPr>
          <w:tab/>
        </w:r>
        <w:r w:rsidRPr="00494238">
          <w:rPr>
            <w:rStyle w:val="Hyperlink"/>
          </w:rPr>
          <w:t xml:space="preserve"> Hub LMPs</w:t>
        </w:r>
        <w:r w:rsidRPr="00494238">
          <w:rPr>
            <w:webHidden/>
          </w:rPr>
          <w:tab/>
        </w:r>
        <w:r w:rsidRPr="00494238">
          <w:rPr>
            <w:webHidden/>
          </w:rPr>
          <w:fldChar w:fldCharType="begin"/>
        </w:r>
        <w:r w:rsidRPr="00494238">
          <w:rPr>
            <w:webHidden/>
          </w:rPr>
          <w:instrText xml:space="preserve"> PAGEREF _Toc204411651 \h </w:instrText>
        </w:r>
        <w:r w:rsidRPr="00494238">
          <w:rPr>
            <w:webHidden/>
          </w:rPr>
        </w:r>
        <w:r w:rsidRPr="00494238">
          <w:rPr>
            <w:webHidden/>
          </w:rPr>
          <w:fldChar w:fldCharType="separate"/>
        </w:r>
        <w:r w:rsidRPr="00494238">
          <w:rPr>
            <w:webHidden/>
          </w:rPr>
          <w:t>6-203</w:t>
        </w:r>
        <w:r w:rsidRPr="00494238">
          <w:rPr>
            <w:webHidden/>
          </w:rPr>
          <w:fldChar w:fldCharType="end"/>
        </w:r>
      </w:hyperlink>
    </w:p>
    <w:p w14:paraId="30FF6F02" w14:textId="77BB2412" w:rsidR="00494238" w:rsidRPr="00494238" w:rsidRDefault="00494238">
      <w:pPr>
        <w:pStyle w:val="TOC4"/>
        <w:rPr>
          <w:rFonts w:eastAsiaTheme="minorEastAsia"/>
          <w:kern w:val="2"/>
          <w:lang w:val="en-US"/>
          <w14:ligatures w14:val="standardContextual"/>
        </w:rPr>
      </w:pPr>
      <w:hyperlink w:anchor="_Toc204411652" w:history="1">
        <w:r w:rsidRPr="00494238">
          <w:rPr>
            <w:rStyle w:val="Hyperlink"/>
          </w:rPr>
          <w:t>6.6.1.5</w:t>
        </w:r>
        <w:r w:rsidRPr="00494238">
          <w:rPr>
            <w:rFonts w:eastAsiaTheme="minorEastAsia"/>
            <w:kern w:val="2"/>
            <w:lang w:val="en-US"/>
            <w14:ligatures w14:val="standardContextual"/>
          </w:rPr>
          <w:tab/>
        </w:r>
        <w:r w:rsidRPr="00494238">
          <w:rPr>
            <w:rStyle w:val="Hyperlink"/>
          </w:rPr>
          <w:t xml:space="preserve"> Hub LMPs</w:t>
        </w:r>
        <w:r w:rsidRPr="00494238">
          <w:rPr>
            <w:webHidden/>
          </w:rPr>
          <w:tab/>
        </w:r>
        <w:r w:rsidRPr="00494238">
          <w:rPr>
            <w:webHidden/>
          </w:rPr>
          <w:fldChar w:fldCharType="begin"/>
        </w:r>
        <w:r w:rsidRPr="00494238">
          <w:rPr>
            <w:webHidden/>
          </w:rPr>
          <w:instrText xml:space="preserve"> PAGEREF _Toc204411652 \h </w:instrText>
        </w:r>
        <w:r w:rsidRPr="00494238">
          <w:rPr>
            <w:webHidden/>
          </w:rPr>
        </w:r>
        <w:r w:rsidRPr="00494238">
          <w:rPr>
            <w:webHidden/>
          </w:rPr>
          <w:fldChar w:fldCharType="separate"/>
        </w:r>
        <w:r w:rsidRPr="00494238">
          <w:rPr>
            <w:webHidden/>
          </w:rPr>
          <w:t>6-205</w:t>
        </w:r>
        <w:r w:rsidRPr="00494238">
          <w:rPr>
            <w:webHidden/>
          </w:rPr>
          <w:fldChar w:fldCharType="end"/>
        </w:r>
      </w:hyperlink>
    </w:p>
    <w:p w14:paraId="525265C9" w14:textId="4AD503E4" w:rsidR="00494238" w:rsidRPr="00494238" w:rsidRDefault="00494238">
      <w:pPr>
        <w:pStyle w:val="TOC4"/>
        <w:rPr>
          <w:rFonts w:eastAsiaTheme="minorEastAsia"/>
          <w:kern w:val="2"/>
          <w:lang w:val="en-US"/>
          <w14:ligatures w14:val="standardContextual"/>
        </w:rPr>
      </w:pPr>
      <w:hyperlink w:anchor="_Toc204411653" w:history="1">
        <w:r w:rsidRPr="00494238">
          <w:rPr>
            <w:rStyle w:val="Hyperlink"/>
            <w:snapToGrid w:val="0"/>
          </w:rPr>
          <w:t>6.6.1.6</w:t>
        </w:r>
        <w:r w:rsidRPr="00494238">
          <w:rPr>
            <w:rFonts w:eastAsiaTheme="minorEastAsia"/>
            <w:kern w:val="2"/>
            <w:lang w:val="en-US"/>
            <w14:ligatures w14:val="standardContextual"/>
          </w:rPr>
          <w:tab/>
        </w:r>
        <w:r w:rsidRPr="00494238">
          <w:rPr>
            <w:rStyle w:val="Hyperlink"/>
            <w:snapToGrid w:val="0"/>
          </w:rPr>
          <w:t xml:space="preserve"> Real-Time Market Clearing Prices for Ancillary Services</w:t>
        </w:r>
        <w:r w:rsidRPr="00494238">
          <w:rPr>
            <w:webHidden/>
          </w:rPr>
          <w:tab/>
        </w:r>
        <w:r w:rsidRPr="00494238">
          <w:rPr>
            <w:webHidden/>
          </w:rPr>
          <w:fldChar w:fldCharType="begin"/>
        </w:r>
        <w:r w:rsidRPr="00494238">
          <w:rPr>
            <w:webHidden/>
          </w:rPr>
          <w:instrText xml:space="preserve"> PAGEREF _Toc204411653 \h </w:instrText>
        </w:r>
        <w:r w:rsidRPr="00494238">
          <w:rPr>
            <w:webHidden/>
          </w:rPr>
        </w:r>
        <w:r w:rsidRPr="00494238">
          <w:rPr>
            <w:webHidden/>
          </w:rPr>
          <w:fldChar w:fldCharType="separate"/>
        </w:r>
        <w:r w:rsidRPr="00494238">
          <w:rPr>
            <w:webHidden/>
          </w:rPr>
          <w:t>6-207</w:t>
        </w:r>
        <w:r w:rsidRPr="00494238">
          <w:rPr>
            <w:webHidden/>
          </w:rPr>
          <w:fldChar w:fldCharType="end"/>
        </w:r>
      </w:hyperlink>
    </w:p>
    <w:p w14:paraId="3E17A37D" w14:textId="39A205C4" w:rsidR="00494238" w:rsidRPr="00494238" w:rsidRDefault="00494238">
      <w:pPr>
        <w:pStyle w:val="TOC4"/>
        <w:rPr>
          <w:rFonts w:eastAsiaTheme="minorEastAsia"/>
          <w:kern w:val="2"/>
          <w:lang w:val="en-US"/>
          <w14:ligatures w14:val="standardContextual"/>
        </w:rPr>
      </w:pPr>
      <w:hyperlink w:anchor="_Toc204411654" w:history="1">
        <w:r w:rsidRPr="00494238">
          <w:rPr>
            <w:rStyle w:val="Hyperlink"/>
            <w:snapToGrid w:val="0"/>
          </w:rPr>
          <w:t>6.6.1.7</w:t>
        </w:r>
        <w:r w:rsidRPr="00494238">
          <w:rPr>
            <w:rFonts w:eastAsiaTheme="minorEastAsia"/>
            <w:kern w:val="2"/>
            <w:lang w:val="en-US"/>
            <w14:ligatures w14:val="standardContextual"/>
          </w:rPr>
          <w:tab/>
        </w:r>
        <w:r w:rsidRPr="00494238">
          <w:rPr>
            <w:rStyle w:val="Hyperlink"/>
            <w:snapToGrid w:val="0"/>
          </w:rPr>
          <w:t xml:space="preserve"> Real-Time Reliability Deployment Prices for Ancillary Services</w:t>
        </w:r>
        <w:r w:rsidRPr="00494238">
          <w:rPr>
            <w:webHidden/>
          </w:rPr>
          <w:tab/>
        </w:r>
        <w:r w:rsidRPr="00494238">
          <w:rPr>
            <w:webHidden/>
          </w:rPr>
          <w:fldChar w:fldCharType="begin"/>
        </w:r>
        <w:r w:rsidRPr="00494238">
          <w:rPr>
            <w:webHidden/>
          </w:rPr>
          <w:instrText xml:space="preserve"> PAGEREF _Toc204411654 \h </w:instrText>
        </w:r>
        <w:r w:rsidRPr="00494238">
          <w:rPr>
            <w:webHidden/>
          </w:rPr>
        </w:r>
        <w:r w:rsidRPr="00494238">
          <w:rPr>
            <w:webHidden/>
          </w:rPr>
          <w:fldChar w:fldCharType="separate"/>
        </w:r>
        <w:r w:rsidRPr="00494238">
          <w:rPr>
            <w:webHidden/>
          </w:rPr>
          <w:t>6-211</w:t>
        </w:r>
        <w:r w:rsidRPr="00494238">
          <w:rPr>
            <w:webHidden/>
          </w:rPr>
          <w:fldChar w:fldCharType="end"/>
        </w:r>
      </w:hyperlink>
    </w:p>
    <w:p w14:paraId="2BE7D997" w14:textId="5418D851" w:rsidR="00494238" w:rsidRPr="00494238" w:rsidRDefault="00494238">
      <w:pPr>
        <w:pStyle w:val="TOC3"/>
        <w:rPr>
          <w:rFonts w:eastAsiaTheme="minorEastAsia"/>
          <w:i w:val="0"/>
          <w:iCs w:val="0"/>
          <w:kern w:val="2"/>
          <w14:ligatures w14:val="standardContextual"/>
        </w:rPr>
      </w:pPr>
      <w:hyperlink w:anchor="_Toc204411655" w:history="1">
        <w:r w:rsidRPr="00494238">
          <w:rPr>
            <w:rStyle w:val="Hyperlink"/>
            <w:i w:val="0"/>
            <w:iCs w:val="0"/>
          </w:rPr>
          <w:t>6.6.2</w:t>
        </w:r>
        <w:r w:rsidRPr="00494238">
          <w:rPr>
            <w:rFonts w:eastAsiaTheme="minorEastAsia"/>
            <w:i w:val="0"/>
            <w:iCs w:val="0"/>
            <w:kern w:val="2"/>
            <w14:ligatures w14:val="standardContextual"/>
          </w:rPr>
          <w:tab/>
        </w:r>
        <w:r w:rsidRPr="00494238">
          <w:rPr>
            <w:rStyle w:val="Hyperlink"/>
            <w:i w:val="0"/>
            <w:iCs w:val="0"/>
          </w:rPr>
          <w:t>Load Ratio Share</w:t>
        </w:r>
        <w:r w:rsidRPr="00494238">
          <w:rPr>
            <w:i w:val="0"/>
            <w:iCs w:val="0"/>
            <w:webHidden/>
          </w:rPr>
          <w:tab/>
        </w:r>
        <w:r w:rsidRPr="00494238">
          <w:rPr>
            <w:i w:val="0"/>
            <w:iCs w:val="0"/>
            <w:webHidden/>
          </w:rPr>
          <w:fldChar w:fldCharType="begin"/>
        </w:r>
        <w:r w:rsidRPr="00494238">
          <w:rPr>
            <w:i w:val="0"/>
            <w:iCs w:val="0"/>
            <w:webHidden/>
          </w:rPr>
          <w:instrText xml:space="preserve"> PAGEREF _Toc204411655 \h </w:instrText>
        </w:r>
        <w:r w:rsidRPr="00494238">
          <w:rPr>
            <w:i w:val="0"/>
            <w:iCs w:val="0"/>
            <w:webHidden/>
          </w:rPr>
        </w:r>
        <w:r w:rsidRPr="00494238">
          <w:rPr>
            <w:i w:val="0"/>
            <w:iCs w:val="0"/>
            <w:webHidden/>
          </w:rPr>
          <w:fldChar w:fldCharType="separate"/>
        </w:r>
        <w:r w:rsidRPr="00494238">
          <w:rPr>
            <w:i w:val="0"/>
            <w:iCs w:val="0"/>
            <w:webHidden/>
          </w:rPr>
          <w:t>6-214</w:t>
        </w:r>
        <w:r w:rsidRPr="00494238">
          <w:rPr>
            <w:i w:val="0"/>
            <w:iCs w:val="0"/>
            <w:webHidden/>
          </w:rPr>
          <w:fldChar w:fldCharType="end"/>
        </w:r>
      </w:hyperlink>
    </w:p>
    <w:p w14:paraId="78932DE6" w14:textId="3244C5C3" w:rsidR="00494238" w:rsidRPr="00494238" w:rsidRDefault="00494238">
      <w:pPr>
        <w:pStyle w:val="TOC4"/>
        <w:rPr>
          <w:rFonts w:eastAsiaTheme="minorEastAsia"/>
          <w:kern w:val="2"/>
          <w:lang w:val="en-US"/>
          <w14:ligatures w14:val="standardContextual"/>
        </w:rPr>
      </w:pPr>
      <w:hyperlink w:anchor="_Toc204411656" w:history="1">
        <w:r w:rsidRPr="00494238">
          <w:rPr>
            <w:rStyle w:val="Hyperlink"/>
          </w:rPr>
          <w:t>6.6.2.1</w:t>
        </w:r>
        <w:r w:rsidRPr="00494238">
          <w:rPr>
            <w:rFonts w:eastAsiaTheme="minorEastAsia"/>
            <w:kern w:val="2"/>
            <w:lang w:val="en-US"/>
            <w14:ligatures w14:val="standardContextual"/>
          </w:rPr>
          <w:tab/>
        </w:r>
        <w:r w:rsidRPr="00494238">
          <w:rPr>
            <w:rStyle w:val="Hyperlink"/>
          </w:rPr>
          <w:t>ERCOT Total Adjusted Metered Load for a 15-Minute Settlement Interval</w:t>
        </w:r>
        <w:r w:rsidRPr="00494238">
          <w:rPr>
            <w:webHidden/>
          </w:rPr>
          <w:tab/>
        </w:r>
        <w:r w:rsidRPr="00494238">
          <w:rPr>
            <w:webHidden/>
          </w:rPr>
          <w:fldChar w:fldCharType="begin"/>
        </w:r>
        <w:r w:rsidRPr="00494238">
          <w:rPr>
            <w:webHidden/>
          </w:rPr>
          <w:instrText xml:space="preserve"> PAGEREF _Toc204411656 \h </w:instrText>
        </w:r>
        <w:r w:rsidRPr="00494238">
          <w:rPr>
            <w:webHidden/>
          </w:rPr>
        </w:r>
        <w:r w:rsidRPr="00494238">
          <w:rPr>
            <w:webHidden/>
          </w:rPr>
          <w:fldChar w:fldCharType="separate"/>
        </w:r>
        <w:r w:rsidRPr="00494238">
          <w:rPr>
            <w:webHidden/>
          </w:rPr>
          <w:t>6-214</w:t>
        </w:r>
        <w:r w:rsidRPr="00494238">
          <w:rPr>
            <w:webHidden/>
          </w:rPr>
          <w:fldChar w:fldCharType="end"/>
        </w:r>
      </w:hyperlink>
    </w:p>
    <w:p w14:paraId="4154CBAA" w14:textId="6D07645C" w:rsidR="00494238" w:rsidRPr="00494238" w:rsidRDefault="00494238">
      <w:pPr>
        <w:pStyle w:val="TOC4"/>
        <w:rPr>
          <w:rFonts w:eastAsiaTheme="minorEastAsia"/>
          <w:kern w:val="2"/>
          <w:lang w:val="en-US"/>
          <w14:ligatures w14:val="standardContextual"/>
        </w:rPr>
      </w:pPr>
      <w:hyperlink w:anchor="_Toc204411657" w:history="1">
        <w:r w:rsidRPr="00494238">
          <w:rPr>
            <w:rStyle w:val="Hyperlink"/>
          </w:rPr>
          <w:t>6.6.2.2</w:t>
        </w:r>
        <w:r w:rsidRPr="00494238">
          <w:rPr>
            <w:rFonts w:eastAsiaTheme="minorEastAsia"/>
            <w:kern w:val="2"/>
            <w:lang w:val="en-US"/>
            <w14:ligatures w14:val="standardContextual"/>
          </w:rPr>
          <w:tab/>
        </w:r>
        <w:r w:rsidRPr="00494238">
          <w:rPr>
            <w:rStyle w:val="Hyperlink"/>
          </w:rPr>
          <w:t>QSE Load Ratio Share for a 15-Minute Settlement Interval</w:t>
        </w:r>
        <w:r w:rsidRPr="00494238">
          <w:rPr>
            <w:webHidden/>
          </w:rPr>
          <w:tab/>
        </w:r>
        <w:r w:rsidRPr="00494238">
          <w:rPr>
            <w:webHidden/>
          </w:rPr>
          <w:fldChar w:fldCharType="begin"/>
        </w:r>
        <w:r w:rsidRPr="00494238">
          <w:rPr>
            <w:webHidden/>
          </w:rPr>
          <w:instrText xml:space="preserve"> PAGEREF _Toc204411657 \h </w:instrText>
        </w:r>
        <w:r w:rsidRPr="00494238">
          <w:rPr>
            <w:webHidden/>
          </w:rPr>
        </w:r>
        <w:r w:rsidRPr="00494238">
          <w:rPr>
            <w:webHidden/>
          </w:rPr>
          <w:fldChar w:fldCharType="separate"/>
        </w:r>
        <w:r w:rsidRPr="00494238">
          <w:rPr>
            <w:webHidden/>
          </w:rPr>
          <w:t>6-215</w:t>
        </w:r>
        <w:r w:rsidRPr="00494238">
          <w:rPr>
            <w:webHidden/>
          </w:rPr>
          <w:fldChar w:fldCharType="end"/>
        </w:r>
      </w:hyperlink>
    </w:p>
    <w:p w14:paraId="6D15FD04" w14:textId="171B4E89" w:rsidR="00494238" w:rsidRPr="00494238" w:rsidRDefault="00494238">
      <w:pPr>
        <w:pStyle w:val="TOC4"/>
        <w:rPr>
          <w:rFonts w:eastAsiaTheme="minorEastAsia"/>
          <w:kern w:val="2"/>
          <w:lang w:val="en-US"/>
          <w14:ligatures w14:val="standardContextual"/>
        </w:rPr>
      </w:pPr>
      <w:hyperlink w:anchor="_Toc204411658" w:history="1">
        <w:r w:rsidRPr="00494238">
          <w:rPr>
            <w:rStyle w:val="Hyperlink"/>
            <w:snapToGrid w:val="0"/>
          </w:rPr>
          <w:t>6.6.2.3</w:t>
        </w:r>
        <w:r w:rsidRPr="00494238">
          <w:rPr>
            <w:rFonts w:eastAsiaTheme="minorEastAsia"/>
            <w:kern w:val="2"/>
            <w:lang w:val="en-US"/>
            <w14:ligatures w14:val="standardContextual"/>
          </w:rPr>
          <w:tab/>
        </w:r>
        <w:r w:rsidRPr="00494238">
          <w:rPr>
            <w:rStyle w:val="Hyperlink"/>
            <w:snapToGrid w:val="0"/>
          </w:rPr>
          <w:t>ERCOT Total Adjusted Metered Load for an Operating Hour</w:t>
        </w:r>
        <w:r w:rsidRPr="00494238">
          <w:rPr>
            <w:webHidden/>
          </w:rPr>
          <w:tab/>
        </w:r>
        <w:r w:rsidRPr="00494238">
          <w:rPr>
            <w:webHidden/>
          </w:rPr>
          <w:fldChar w:fldCharType="begin"/>
        </w:r>
        <w:r w:rsidRPr="00494238">
          <w:rPr>
            <w:webHidden/>
          </w:rPr>
          <w:instrText xml:space="preserve"> PAGEREF _Toc204411658 \h </w:instrText>
        </w:r>
        <w:r w:rsidRPr="00494238">
          <w:rPr>
            <w:webHidden/>
          </w:rPr>
        </w:r>
        <w:r w:rsidRPr="00494238">
          <w:rPr>
            <w:webHidden/>
          </w:rPr>
          <w:fldChar w:fldCharType="separate"/>
        </w:r>
        <w:r w:rsidRPr="00494238">
          <w:rPr>
            <w:webHidden/>
          </w:rPr>
          <w:t>6-217</w:t>
        </w:r>
        <w:r w:rsidRPr="00494238">
          <w:rPr>
            <w:webHidden/>
          </w:rPr>
          <w:fldChar w:fldCharType="end"/>
        </w:r>
      </w:hyperlink>
    </w:p>
    <w:p w14:paraId="7F986E7F" w14:textId="660A775F" w:rsidR="00494238" w:rsidRPr="00494238" w:rsidRDefault="00494238">
      <w:pPr>
        <w:pStyle w:val="TOC4"/>
        <w:rPr>
          <w:rFonts w:eastAsiaTheme="minorEastAsia"/>
          <w:kern w:val="2"/>
          <w:lang w:val="en-US"/>
          <w14:ligatures w14:val="standardContextual"/>
        </w:rPr>
      </w:pPr>
      <w:hyperlink w:anchor="_Toc204411659" w:history="1">
        <w:r w:rsidRPr="00494238">
          <w:rPr>
            <w:rStyle w:val="Hyperlink"/>
          </w:rPr>
          <w:t>6.6.2.4</w:t>
        </w:r>
        <w:r w:rsidRPr="00494238">
          <w:rPr>
            <w:rFonts w:eastAsiaTheme="minorEastAsia"/>
            <w:kern w:val="2"/>
            <w:lang w:val="en-US"/>
            <w14:ligatures w14:val="standardContextual"/>
          </w:rPr>
          <w:tab/>
        </w:r>
        <w:r w:rsidRPr="00494238">
          <w:rPr>
            <w:rStyle w:val="Hyperlink"/>
          </w:rPr>
          <w:t>QSE Load Ratio Share for an Operating Hour</w:t>
        </w:r>
        <w:r w:rsidRPr="00494238">
          <w:rPr>
            <w:webHidden/>
          </w:rPr>
          <w:tab/>
        </w:r>
        <w:r w:rsidRPr="00494238">
          <w:rPr>
            <w:webHidden/>
          </w:rPr>
          <w:fldChar w:fldCharType="begin"/>
        </w:r>
        <w:r w:rsidRPr="00494238">
          <w:rPr>
            <w:webHidden/>
          </w:rPr>
          <w:instrText xml:space="preserve"> PAGEREF _Toc204411659 \h </w:instrText>
        </w:r>
        <w:r w:rsidRPr="00494238">
          <w:rPr>
            <w:webHidden/>
          </w:rPr>
        </w:r>
        <w:r w:rsidRPr="00494238">
          <w:rPr>
            <w:webHidden/>
          </w:rPr>
          <w:fldChar w:fldCharType="separate"/>
        </w:r>
        <w:r w:rsidRPr="00494238">
          <w:rPr>
            <w:webHidden/>
          </w:rPr>
          <w:t>6-217</w:t>
        </w:r>
        <w:r w:rsidRPr="00494238">
          <w:rPr>
            <w:webHidden/>
          </w:rPr>
          <w:fldChar w:fldCharType="end"/>
        </w:r>
      </w:hyperlink>
    </w:p>
    <w:p w14:paraId="15D3FBA5" w14:textId="1F74DFC0" w:rsidR="00494238" w:rsidRPr="00494238" w:rsidRDefault="00494238">
      <w:pPr>
        <w:pStyle w:val="TOC4"/>
        <w:rPr>
          <w:rFonts w:eastAsiaTheme="minorEastAsia"/>
          <w:kern w:val="2"/>
          <w:lang w:val="en-US"/>
          <w14:ligatures w14:val="standardContextual"/>
        </w:rPr>
      </w:pPr>
      <w:hyperlink w:anchor="_Toc204411660" w:history="1">
        <w:r w:rsidRPr="00494238">
          <w:rPr>
            <w:rStyle w:val="Hyperlink"/>
            <w:snapToGrid w:val="0"/>
          </w:rPr>
          <w:t>6.6.2.5</w:t>
        </w:r>
        <w:r w:rsidRPr="00494238">
          <w:rPr>
            <w:rFonts w:eastAsiaTheme="minorEastAsia"/>
            <w:kern w:val="2"/>
            <w:lang w:val="en-US"/>
            <w14:ligatures w14:val="standardContextual"/>
          </w:rPr>
          <w:tab/>
        </w:r>
        <w:r w:rsidRPr="00494238">
          <w:rPr>
            <w:rStyle w:val="Hyperlink"/>
            <w:snapToGrid w:val="0"/>
          </w:rPr>
          <w:t>ERCOT Total Adjusted Metered Load for a Month</w:t>
        </w:r>
        <w:r w:rsidRPr="00494238">
          <w:rPr>
            <w:webHidden/>
          </w:rPr>
          <w:tab/>
        </w:r>
        <w:r w:rsidRPr="00494238">
          <w:rPr>
            <w:webHidden/>
          </w:rPr>
          <w:fldChar w:fldCharType="begin"/>
        </w:r>
        <w:r w:rsidRPr="00494238">
          <w:rPr>
            <w:webHidden/>
          </w:rPr>
          <w:instrText xml:space="preserve"> PAGEREF _Toc204411660 \h </w:instrText>
        </w:r>
        <w:r w:rsidRPr="00494238">
          <w:rPr>
            <w:webHidden/>
          </w:rPr>
        </w:r>
        <w:r w:rsidRPr="00494238">
          <w:rPr>
            <w:webHidden/>
          </w:rPr>
          <w:fldChar w:fldCharType="separate"/>
        </w:r>
        <w:r w:rsidRPr="00494238">
          <w:rPr>
            <w:webHidden/>
          </w:rPr>
          <w:t>6-218</w:t>
        </w:r>
        <w:r w:rsidRPr="00494238">
          <w:rPr>
            <w:webHidden/>
          </w:rPr>
          <w:fldChar w:fldCharType="end"/>
        </w:r>
      </w:hyperlink>
    </w:p>
    <w:p w14:paraId="0069A603" w14:textId="00318FD6" w:rsidR="00494238" w:rsidRPr="00494238" w:rsidRDefault="00494238">
      <w:pPr>
        <w:pStyle w:val="TOC4"/>
        <w:rPr>
          <w:rFonts w:eastAsiaTheme="minorEastAsia"/>
          <w:kern w:val="2"/>
          <w:lang w:val="en-US"/>
          <w14:ligatures w14:val="standardContextual"/>
        </w:rPr>
      </w:pPr>
      <w:hyperlink w:anchor="_Toc204411661" w:history="1">
        <w:r w:rsidRPr="00494238">
          <w:rPr>
            <w:rStyle w:val="Hyperlink"/>
          </w:rPr>
          <w:t>6.6.2.6</w:t>
        </w:r>
        <w:r w:rsidRPr="00494238">
          <w:rPr>
            <w:rFonts w:eastAsiaTheme="minorEastAsia"/>
            <w:kern w:val="2"/>
            <w:lang w:val="en-US"/>
            <w14:ligatures w14:val="standardContextual"/>
          </w:rPr>
          <w:tab/>
        </w:r>
        <w:r w:rsidRPr="00494238">
          <w:rPr>
            <w:rStyle w:val="Hyperlink"/>
          </w:rPr>
          <w:t>QSE DC Tie Export Load Ratio Share for a Month</w:t>
        </w:r>
        <w:r w:rsidRPr="00494238">
          <w:rPr>
            <w:webHidden/>
          </w:rPr>
          <w:tab/>
        </w:r>
        <w:r w:rsidRPr="00494238">
          <w:rPr>
            <w:webHidden/>
          </w:rPr>
          <w:fldChar w:fldCharType="begin"/>
        </w:r>
        <w:r w:rsidRPr="00494238">
          <w:rPr>
            <w:webHidden/>
          </w:rPr>
          <w:instrText xml:space="preserve"> PAGEREF _Toc204411661 \h </w:instrText>
        </w:r>
        <w:r w:rsidRPr="00494238">
          <w:rPr>
            <w:webHidden/>
          </w:rPr>
        </w:r>
        <w:r w:rsidRPr="00494238">
          <w:rPr>
            <w:webHidden/>
          </w:rPr>
          <w:fldChar w:fldCharType="separate"/>
        </w:r>
        <w:r w:rsidRPr="00494238">
          <w:rPr>
            <w:webHidden/>
          </w:rPr>
          <w:t>6-218</w:t>
        </w:r>
        <w:r w:rsidRPr="00494238">
          <w:rPr>
            <w:webHidden/>
          </w:rPr>
          <w:fldChar w:fldCharType="end"/>
        </w:r>
      </w:hyperlink>
    </w:p>
    <w:p w14:paraId="701275FD" w14:textId="0FE1D933" w:rsidR="00494238" w:rsidRPr="00494238" w:rsidRDefault="00494238">
      <w:pPr>
        <w:pStyle w:val="TOC4"/>
        <w:rPr>
          <w:rFonts w:eastAsiaTheme="minorEastAsia"/>
          <w:kern w:val="2"/>
          <w:lang w:val="en-US"/>
          <w14:ligatures w14:val="standardContextual"/>
        </w:rPr>
      </w:pPr>
      <w:hyperlink w:anchor="_Toc204411662" w:history="1">
        <w:r w:rsidRPr="00494238">
          <w:rPr>
            <w:rStyle w:val="Hyperlink"/>
            <w:snapToGrid w:val="0"/>
          </w:rPr>
          <w:t>6.6.2.7</w:t>
        </w:r>
        <w:r w:rsidRPr="00494238">
          <w:rPr>
            <w:rFonts w:eastAsiaTheme="minorEastAsia"/>
            <w:kern w:val="2"/>
            <w:lang w:val="en-US"/>
            <w14:ligatures w14:val="standardContextual"/>
          </w:rPr>
          <w:tab/>
        </w:r>
        <w:r w:rsidRPr="00494238">
          <w:rPr>
            <w:rStyle w:val="Hyperlink"/>
            <w:snapToGrid w:val="0"/>
          </w:rPr>
          <w:t>ERCOT Adjusted Metered Load by Congestion Management Zone for a Month</w:t>
        </w:r>
        <w:r w:rsidRPr="00494238">
          <w:rPr>
            <w:webHidden/>
          </w:rPr>
          <w:tab/>
        </w:r>
        <w:r w:rsidRPr="00494238">
          <w:rPr>
            <w:webHidden/>
          </w:rPr>
          <w:fldChar w:fldCharType="begin"/>
        </w:r>
        <w:r w:rsidRPr="00494238">
          <w:rPr>
            <w:webHidden/>
          </w:rPr>
          <w:instrText xml:space="preserve"> PAGEREF _Toc204411662 \h </w:instrText>
        </w:r>
        <w:r w:rsidRPr="00494238">
          <w:rPr>
            <w:webHidden/>
          </w:rPr>
        </w:r>
        <w:r w:rsidRPr="00494238">
          <w:rPr>
            <w:webHidden/>
          </w:rPr>
          <w:fldChar w:fldCharType="separate"/>
        </w:r>
        <w:r w:rsidRPr="00494238">
          <w:rPr>
            <w:webHidden/>
          </w:rPr>
          <w:t>6-219</w:t>
        </w:r>
        <w:r w:rsidRPr="00494238">
          <w:rPr>
            <w:webHidden/>
          </w:rPr>
          <w:fldChar w:fldCharType="end"/>
        </w:r>
      </w:hyperlink>
    </w:p>
    <w:p w14:paraId="0F454DE5" w14:textId="136D908A" w:rsidR="00494238" w:rsidRPr="00494238" w:rsidRDefault="00494238">
      <w:pPr>
        <w:pStyle w:val="TOC4"/>
        <w:rPr>
          <w:rFonts w:eastAsiaTheme="minorEastAsia"/>
          <w:kern w:val="2"/>
          <w:lang w:val="en-US"/>
          <w14:ligatures w14:val="standardContextual"/>
        </w:rPr>
      </w:pPr>
      <w:hyperlink w:anchor="_Toc204411663" w:history="1">
        <w:r w:rsidRPr="00494238">
          <w:rPr>
            <w:rStyle w:val="Hyperlink"/>
          </w:rPr>
          <w:t>6.6.2.8</w:t>
        </w:r>
        <w:r w:rsidRPr="00494238">
          <w:rPr>
            <w:rFonts w:eastAsiaTheme="minorEastAsia"/>
            <w:kern w:val="2"/>
            <w:lang w:val="en-US"/>
            <w14:ligatures w14:val="standardContextual"/>
          </w:rPr>
          <w:tab/>
        </w:r>
        <w:r w:rsidRPr="00494238">
          <w:rPr>
            <w:rStyle w:val="Hyperlink"/>
          </w:rPr>
          <w:t>QSE DC Tie Export Load Ratio Share by Congestion Management Zone for a Month</w:t>
        </w:r>
        <w:r w:rsidRPr="00494238">
          <w:rPr>
            <w:webHidden/>
          </w:rPr>
          <w:tab/>
        </w:r>
        <w:r w:rsidRPr="00494238">
          <w:rPr>
            <w:webHidden/>
          </w:rPr>
          <w:fldChar w:fldCharType="begin"/>
        </w:r>
        <w:r w:rsidRPr="00494238">
          <w:rPr>
            <w:webHidden/>
          </w:rPr>
          <w:instrText xml:space="preserve"> PAGEREF _Toc204411663 \h </w:instrText>
        </w:r>
        <w:r w:rsidRPr="00494238">
          <w:rPr>
            <w:webHidden/>
          </w:rPr>
        </w:r>
        <w:r w:rsidRPr="00494238">
          <w:rPr>
            <w:webHidden/>
          </w:rPr>
          <w:fldChar w:fldCharType="separate"/>
        </w:r>
        <w:r w:rsidRPr="00494238">
          <w:rPr>
            <w:webHidden/>
          </w:rPr>
          <w:t>6-219</w:t>
        </w:r>
        <w:r w:rsidRPr="00494238">
          <w:rPr>
            <w:webHidden/>
          </w:rPr>
          <w:fldChar w:fldCharType="end"/>
        </w:r>
      </w:hyperlink>
    </w:p>
    <w:p w14:paraId="70CA0A1A" w14:textId="7DA4AEFD" w:rsidR="00494238" w:rsidRPr="00494238" w:rsidRDefault="00494238">
      <w:pPr>
        <w:pStyle w:val="TOC3"/>
        <w:rPr>
          <w:rFonts w:eastAsiaTheme="minorEastAsia"/>
          <w:i w:val="0"/>
          <w:iCs w:val="0"/>
          <w:kern w:val="2"/>
          <w14:ligatures w14:val="standardContextual"/>
        </w:rPr>
      </w:pPr>
      <w:hyperlink w:anchor="_Toc204411664" w:history="1">
        <w:r w:rsidRPr="00494238">
          <w:rPr>
            <w:rStyle w:val="Hyperlink"/>
            <w:i w:val="0"/>
            <w:iCs w:val="0"/>
          </w:rPr>
          <w:t>6.6.3</w:t>
        </w:r>
        <w:r w:rsidRPr="00494238">
          <w:rPr>
            <w:rFonts w:eastAsiaTheme="minorEastAsia"/>
            <w:i w:val="0"/>
            <w:iCs w:val="0"/>
            <w:kern w:val="2"/>
            <w14:ligatures w14:val="standardContextual"/>
          </w:rPr>
          <w:tab/>
        </w:r>
        <w:r w:rsidRPr="00494238">
          <w:rPr>
            <w:rStyle w:val="Hyperlink"/>
            <w:i w:val="0"/>
            <w:iCs w:val="0"/>
          </w:rPr>
          <w:t>Real-Time Energy Charges and Payments</w:t>
        </w:r>
        <w:r w:rsidRPr="00494238">
          <w:rPr>
            <w:i w:val="0"/>
            <w:iCs w:val="0"/>
            <w:webHidden/>
          </w:rPr>
          <w:tab/>
        </w:r>
        <w:r w:rsidRPr="00494238">
          <w:rPr>
            <w:i w:val="0"/>
            <w:iCs w:val="0"/>
            <w:webHidden/>
          </w:rPr>
          <w:fldChar w:fldCharType="begin"/>
        </w:r>
        <w:r w:rsidRPr="00494238">
          <w:rPr>
            <w:i w:val="0"/>
            <w:iCs w:val="0"/>
            <w:webHidden/>
          </w:rPr>
          <w:instrText xml:space="preserve"> PAGEREF _Toc204411664 \h </w:instrText>
        </w:r>
        <w:r w:rsidRPr="00494238">
          <w:rPr>
            <w:i w:val="0"/>
            <w:iCs w:val="0"/>
            <w:webHidden/>
          </w:rPr>
        </w:r>
        <w:r w:rsidRPr="00494238">
          <w:rPr>
            <w:i w:val="0"/>
            <w:iCs w:val="0"/>
            <w:webHidden/>
          </w:rPr>
          <w:fldChar w:fldCharType="separate"/>
        </w:r>
        <w:r w:rsidRPr="00494238">
          <w:rPr>
            <w:i w:val="0"/>
            <w:iCs w:val="0"/>
            <w:webHidden/>
          </w:rPr>
          <w:t>6-220</w:t>
        </w:r>
        <w:r w:rsidRPr="00494238">
          <w:rPr>
            <w:i w:val="0"/>
            <w:iCs w:val="0"/>
            <w:webHidden/>
          </w:rPr>
          <w:fldChar w:fldCharType="end"/>
        </w:r>
      </w:hyperlink>
    </w:p>
    <w:p w14:paraId="11F28554" w14:textId="17FD8B10" w:rsidR="00494238" w:rsidRPr="00494238" w:rsidRDefault="00494238">
      <w:pPr>
        <w:pStyle w:val="TOC4"/>
        <w:rPr>
          <w:rFonts w:eastAsiaTheme="minorEastAsia"/>
          <w:kern w:val="2"/>
          <w:lang w:val="en-US"/>
          <w14:ligatures w14:val="standardContextual"/>
        </w:rPr>
      </w:pPr>
      <w:hyperlink w:anchor="_Toc204411665" w:history="1">
        <w:r w:rsidRPr="00494238">
          <w:rPr>
            <w:rStyle w:val="Hyperlink"/>
          </w:rPr>
          <w:t>6.6.3.1</w:t>
        </w:r>
        <w:r w:rsidRPr="00494238">
          <w:rPr>
            <w:rFonts w:eastAsiaTheme="minorEastAsia"/>
            <w:kern w:val="2"/>
            <w:lang w:val="en-US"/>
            <w14:ligatures w14:val="standardContextual"/>
          </w:rPr>
          <w:tab/>
        </w:r>
        <w:r w:rsidRPr="00494238">
          <w:rPr>
            <w:rStyle w:val="Hyperlink"/>
          </w:rPr>
          <w:t>Real-Time Energy Imbalance Payment or Charge at a Resource Node</w:t>
        </w:r>
        <w:r w:rsidRPr="00494238">
          <w:rPr>
            <w:webHidden/>
          </w:rPr>
          <w:tab/>
        </w:r>
        <w:r w:rsidRPr="00494238">
          <w:rPr>
            <w:webHidden/>
          </w:rPr>
          <w:fldChar w:fldCharType="begin"/>
        </w:r>
        <w:r w:rsidRPr="00494238">
          <w:rPr>
            <w:webHidden/>
          </w:rPr>
          <w:instrText xml:space="preserve"> PAGEREF _Toc204411665 \h </w:instrText>
        </w:r>
        <w:r w:rsidRPr="00494238">
          <w:rPr>
            <w:webHidden/>
          </w:rPr>
        </w:r>
        <w:r w:rsidRPr="00494238">
          <w:rPr>
            <w:webHidden/>
          </w:rPr>
          <w:fldChar w:fldCharType="separate"/>
        </w:r>
        <w:r w:rsidRPr="00494238">
          <w:rPr>
            <w:webHidden/>
          </w:rPr>
          <w:t>6-220</w:t>
        </w:r>
        <w:r w:rsidRPr="00494238">
          <w:rPr>
            <w:webHidden/>
          </w:rPr>
          <w:fldChar w:fldCharType="end"/>
        </w:r>
      </w:hyperlink>
    </w:p>
    <w:p w14:paraId="1FF1A0FD" w14:textId="66EA0CD7" w:rsidR="00494238" w:rsidRPr="00494238" w:rsidRDefault="00494238">
      <w:pPr>
        <w:pStyle w:val="TOC4"/>
        <w:rPr>
          <w:rFonts w:eastAsiaTheme="minorEastAsia"/>
          <w:kern w:val="2"/>
          <w:lang w:val="en-US"/>
          <w14:ligatures w14:val="standardContextual"/>
        </w:rPr>
      </w:pPr>
      <w:hyperlink w:anchor="_Toc204411666" w:history="1">
        <w:r w:rsidRPr="00494238">
          <w:rPr>
            <w:rStyle w:val="Hyperlink"/>
          </w:rPr>
          <w:t>6.6.3.2</w:t>
        </w:r>
        <w:r w:rsidRPr="00494238">
          <w:rPr>
            <w:rFonts w:eastAsiaTheme="minorEastAsia"/>
            <w:kern w:val="2"/>
            <w:lang w:val="en-US"/>
            <w14:ligatures w14:val="standardContextual"/>
          </w:rPr>
          <w:tab/>
        </w:r>
        <w:r w:rsidRPr="00494238">
          <w:rPr>
            <w:rStyle w:val="Hyperlink"/>
          </w:rPr>
          <w:t>Real-Time Energy Imbalance Payment or Charge at a Load Zone</w:t>
        </w:r>
        <w:r w:rsidRPr="00494238">
          <w:rPr>
            <w:webHidden/>
          </w:rPr>
          <w:tab/>
        </w:r>
        <w:r w:rsidRPr="00494238">
          <w:rPr>
            <w:webHidden/>
          </w:rPr>
          <w:fldChar w:fldCharType="begin"/>
        </w:r>
        <w:r w:rsidRPr="00494238">
          <w:rPr>
            <w:webHidden/>
          </w:rPr>
          <w:instrText xml:space="preserve"> PAGEREF _Toc204411666 \h </w:instrText>
        </w:r>
        <w:r w:rsidRPr="00494238">
          <w:rPr>
            <w:webHidden/>
          </w:rPr>
        </w:r>
        <w:r w:rsidRPr="00494238">
          <w:rPr>
            <w:webHidden/>
          </w:rPr>
          <w:fldChar w:fldCharType="separate"/>
        </w:r>
        <w:r w:rsidRPr="00494238">
          <w:rPr>
            <w:webHidden/>
          </w:rPr>
          <w:t>6-236</w:t>
        </w:r>
        <w:r w:rsidRPr="00494238">
          <w:rPr>
            <w:webHidden/>
          </w:rPr>
          <w:fldChar w:fldCharType="end"/>
        </w:r>
      </w:hyperlink>
    </w:p>
    <w:p w14:paraId="13B9C99A" w14:textId="38D521A7" w:rsidR="00494238" w:rsidRPr="00494238" w:rsidRDefault="00494238">
      <w:pPr>
        <w:pStyle w:val="TOC4"/>
        <w:rPr>
          <w:rFonts w:eastAsiaTheme="minorEastAsia"/>
          <w:kern w:val="2"/>
          <w:lang w:val="en-US"/>
          <w14:ligatures w14:val="standardContextual"/>
        </w:rPr>
      </w:pPr>
      <w:hyperlink w:anchor="_Toc204411667" w:history="1">
        <w:r w:rsidRPr="00494238">
          <w:rPr>
            <w:rStyle w:val="Hyperlink"/>
          </w:rPr>
          <w:t>6.6.3.3</w:t>
        </w:r>
        <w:r w:rsidRPr="00494238">
          <w:rPr>
            <w:rFonts w:eastAsiaTheme="minorEastAsia"/>
            <w:kern w:val="2"/>
            <w:lang w:val="en-US"/>
            <w14:ligatures w14:val="standardContextual"/>
          </w:rPr>
          <w:tab/>
        </w:r>
        <w:r w:rsidRPr="00494238">
          <w:rPr>
            <w:rStyle w:val="Hyperlink"/>
          </w:rPr>
          <w:t>Real-Time Energy Imbalance Payment or Charge at a Hub</w:t>
        </w:r>
        <w:r w:rsidRPr="00494238">
          <w:rPr>
            <w:webHidden/>
          </w:rPr>
          <w:tab/>
        </w:r>
        <w:r w:rsidRPr="00494238">
          <w:rPr>
            <w:webHidden/>
          </w:rPr>
          <w:fldChar w:fldCharType="begin"/>
        </w:r>
        <w:r w:rsidRPr="00494238">
          <w:rPr>
            <w:webHidden/>
          </w:rPr>
          <w:instrText xml:space="preserve"> PAGEREF _Toc204411667 \h </w:instrText>
        </w:r>
        <w:r w:rsidRPr="00494238">
          <w:rPr>
            <w:webHidden/>
          </w:rPr>
        </w:r>
        <w:r w:rsidRPr="00494238">
          <w:rPr>
            <w:webHidden/>
          </w:rPr>
          <w:fldChar w:fldCharType="separate"/>
        </w:r>
        <w:r w:rsidRPr="00494238">
          <w:rPr>
            <w:webHidden/>
          </w:rPr>
          <w:t>6-241</w:t>
        </w:r>
        <w:r w:rsidRPr="00494238">
          <w:rPr>
            <w:webHidden/>
          </w:rPr>
          <w:fldChar w:fldCharType="end"/>
        </w:r>
      </w:hyperlink>
    </w:p>
    <w:p w14:paraId="5977DB8E" w14:textId="3040C59B" w:rsidR="00494238" w:rsidRPr="00494238" w:rsidRDefault="00494238">
      <w:pPr>
        <w:pStyle w:val="TOC4"/>
        <w:rPr>
          <w:rFonts w:eastAsiaTheme="minorEastAsia"/>
          <w:kern w:val="2"/>
          <w:lang w:val="en-US"/>
          <w14:ligatures w14:val="standardContextual"/>
        </w:rPr>
      </w:pPr>
      <w:hyperlink w:anchor="_Toc204411668" w:history="1">
        <w:r w:rsidRPr="00494238">
          <w:rPr>
            <w:rStyle w:val="Hyperlink"/>
          </w:rPr>
          <w:t>6.6.3.4</w:t>
        </w:r>
        <w:r w:rsidRPr="00494238">
          <w:rPr>
            <w:rFonts w:eastAsiaTheme="minorEastAsia"/>
            <w:kern w:val="2"/>
            <w:lang w:val="en-US"/>
            <w14:ligatures w14:val="standardContextual"/>
          </w:rPr>
          <w:tab/>
        </w:r>
        <w:r w:rsidRPr="00494238">
          <w:rPr>
            <w:rStyle w:val="Hyperlink"/>
          </w:rPr>
          <w:t>Real-Time Energy Payment for DC Tie Import</w:t>
        </w:r>
        <w:r w:rsidRPr="00494238">
          <w:rPr>
            <w:webHidden/>
          </w:rPr>
          <w:tab/>
        </w:r>
        <w:r w:rsidRPr="00494238">
          <w:rPr>
            <w:webHidden/>
          </w:rPr>
          <w:fldChar w:fldCharType="begin"/>
        </w:r>
        <w:r w:rsidRPr="00494238">
          <w:rPr>
            <w:webHidden/>
          </w:rPr>
          <w:instrText xml:space="preserve"> PAGEREF _Toc204411668 \h </w:instrText>
        </w:r>
        <w:r w:rsidRPr="00494238">
          <w:rPr>
            <w:webHidden/>
          </w:rPr>
        </w:r>
        <w:r w:rsidRPr="00494238">
          <w:rPr>
            <w:webHidden/>
          </w:rPr>
          <w:fldChar w:fldCharType="separate"/>
        </w:r>
        <w:r w:rsidRPr="00494238">
          <w:rPr>
            <w:webHidden/>
          </w:rPr>
          <w:t>6-242</w:t>
        </w:r>
        <w:r w:rsidRPr="00494238">
          <w:rPr>
            <w:webHidden/>
          </w:rPr>
          <w:fldChar w:fldCharType="end"/>
        </w:r>
      </w:hyperlink>
    </w:p>
    <w:p w14:paraId="662EC2C8" w14:textId="7E4C98AF" w:rsidR="00494238" w:rsidRPr="00494238" w:rsidRDefault="00494238">
      <w:pPr>
        <w:pStyle w:val="TOC4"/>
        <w:rPr>
          <w:rFonts w:eastAsiaTheme="minorEastAsia"/>
          <w:kern w:val="2"/>
          <w:lang w:val="en-US"/>
          <w14:ligatures w14:val="standardContextual"/>
        </w:rPr>
      </w:pPr>
      <w:hyperlink w:anchor="_Toc204411669" w:history="1">
        <w:r w:rsidRPr="00494238">
          <w:rPr>
            <w:rStyle w:val="Hyperlink"/>
          </w:rPr>
          <w:t>6.6.3.5</w:t>
        </w:r>
        <w:r w:rsidRPr="00494238">
          <w:rPr>
            <w:rFonts w:eastAsiaTheme="minorEastAsia"/>
            <w:kern w:val="2"/>
            <w:lang w:val="en-US"/>
            <w14:ligatures w14:val="standardContextual"/>
          </w:rPr>
          <w:tab/>
        </w:r>
        <w:r w:rsidRPr="00494238">
          <w:rPr>
            <w:rStyle w:val="Hyperlink"/>
          </w:rPr>
          <w:t>Real-Time Payment for a Block Load Transfer Point</w:t>
        </w:r>
        <w:r w:rsidRPr="00494238">
          <w:rPr>
            <w:webHidden/>
          </w:rPr>
          <w:tab/>
        </w:r>
        <w:r w:rsidRPr="00494238">
          <w:rPr>
            <w:webHidden/>
          </w:rPr>
          <w:fldChar w:fldCharType="begin"/>
        </w:r>
        <w:r w:rsidRPr="00494238">
          <w:rPr>
            <w:webHidden/>
          </w:rPr>
          <w:instrText xml:space="preserve"> PAGEREF _Toc204411669 \h </w:instrText>
        </w:r>
        <w:r w:rsidRPr="00494238">
          <w:rPr>
            <w:webHidden/>
          </w:rPr>
        </w:r>
        <w:r w:rsidRPr="00494238">
          <w:rPr>
            <w:webHidden/>
          </w:rPr>
          <w:fldChar w:fldCharType="separate"/>
        </w:r>
        <w:r w:rsidRPr="00494238">
          <w:rPr>
            <w:webHidden/>
          </w:rPr>
          <w:t>6-244</w:t>
        </w:r>
        <w:r w:rsidRPr="00494238">
          <w:rPr>
            <w:webHidden/>
          </w:rPr>
          <w:fldChar w:fldCharType="end"/>
        </w:r>
      </w:hyperlink>
    </w:p>
    <w:p w14:paraId="2AF35796" w14:textId="699D6CA4" w:rsidR="00494238" w:rsidRPr="00494238" w:rsidRDefault="00494238">
      <w:pPr>
        <w:pStyle w:val="TOC4"/>
        <w:rPr>
          <w:rFonts w:eastAsiaTheme="minorEastAsia"/>
          <w:kern w:val="2"/>
          <w:lang w:val="en-US"/>
          <w14:ligatures w14:val="standardContextual"/>
        </w:rPr>
      </w:pPr>
      <w:hyperlink w:anchor="_Toc204411670" w:history="1">
        <w:r w:rsidRPr="00494238">
          <w:rPr>
            <w:rStyle w:val="Hyperlink"/>
          </w:rPr>
          <w:t>6.6.3.6</w:t>
        </w:r>
        <w:r w:rsidRPr="00494238">
          <w:rPr>
            <w:rFonts w:eastAsiaTheme="minorEastAsia"/>
            <w:kern w:val="2"/>
            <w:lang w:val="en-US"/>
            <w14:ligatures w14:val="standardContextual"/>
          </w:rPr>
          <w:tab/>
        </w:r>
        <w:r w:rsidRPr="00494238">
          <w:rPr>
            <w:rStyle w:val="Hyperlink"/>
          </w:rPr>
          <w:t>Real-Time High Dispatch Limit Override Energy Payment</w:t>
        </w:r>
        <w:r w:rsidRPr="00494238">
          <w:rPr>
            <w:webHidden/>
          </w:rPr>
          <w:tab/>
        </w:r>
        <w:r w:rsidRPr="00494238">
          <w:rPr>
            <w:webHidden/>
          </w:rPr>
          <w:fldChar w:fldCharType="begin"/>
        </w:r>
        <w:r w:rsidRPr="00494238">
          <w:rPr>
            <w:webHidden/>
          </w:rPr>
          <w:instrText xml:space="preserve"> PAGEREF _Toc204411670 \h </w:instrText>
        </w:r>
        <w:r w:rsidRPr="00494238">
          <w:rPr>
            <w:webHidden/>
          </w:rPr>
        </w:r>
        <w:r w:rsidRPr="00494238">
          <w:rPr>
            <w:webHidden/>
          </w:rPr>
          <w:fldChar w:fldCharType="separate"/>
        </w:r>
        <w:r w:rsidRPr="00494238">
          <w:rPr>
            <w:webHidden/>
          </w:rPr>
          <w:t>6-247</w:t>
        </w:r>
        <w:r w:rsidRPr="00494238">
          <w:rPr>
            <w:webHidden/>
          </w:rPr>
          <w:fldChar w:fldCharType="end"/>
        </w:r>
      </w:hyperlink>
    </w:p>
    <w:p w14:paraId="5473E2AB" w14:textId="4232FD46" w:rsidR="00494238" w:rsidRPr="00494238" w:rsidRDefault="00494238">
      <w:pPr>
        <w:pStyle w:val="TOC4"/>
        <w:rPr>
          <w:rFonts w:eastAsiaTheme="minorEastAsia"/>
          <w:kern w:val="2"/>
          <w:lang w:val="en-US"/>
          <w14:ligatures w14:val="standardContextual"/>
        </w:rPr>
      </w:pPr>
      <w:hyperlink w:anchor="_Toc204411671" w:history="1">
        <w:r w:rsidRPr="00494238">
          <w:rPr>
            <w:rStyle w:val="Hyperlink"/>
          </w:rPr>
          <w:t>6.6.3.6</w:t>
        </w:r>
        <w:r w:rsidRPr="00494238">
          <w:rPr>
            <w:rFonts w:eastAsiaTheme="minorEastAsia"/>
            <w:kern w:val="2"/>
            <w:lang w:val="en-US"/>
            <w14:ligatures w14:val="standardContextual"/>
          </w:rPr>
          <w:tab/>
        </w:r>
        <w:r w:rsidRPr="00494238">
          <w:rPr>
            <w:rStyle w:val="Hyperlink"/>
          </w:rPr>
          <w:t>Real-Time High Dispatch Limit Override Energy Payment</w:t>
        </w:r>
        <w:r w:rsidRPr="00494238">
          <w:rPr>
            <w:webHidden/>
          </w:rPr>
          <w:tab/>
        </w:r>
        <w:r w:rsidRPr="00494238">
          <w:rPr>
            <w:webHidden/>
          </w:rPr>
          <w:fldChar w:fldCharType="begin"/>
        </w:r>
        <w:r w:rsidRPr="00494238">
          <w:rPr>
            <w:webHidden/>
          </w:rPr>
          <w:instrText xml:space="preserve"> PAGEREF _Toc204411671 \h </w:instrText>
        </w:r>
        <w:r w:rsidRPr="00494238">
          <w:rPr>
            <w:webHidden/>
          </w:rPr>
        </w:r>
        <w:r w:rsidRPr="00494238">
          <w:rPr>
            <w:webHidden/>
          </w:rPr>
          <w:fldChar w:fldCharType="separate"/>
        </w:r>
        <w:r w:rsidRPr="00494238">
          <w:rPr>
            <w:webHidden/>
          </w:rPr>
          <w:t>6-251</w:t>
        </w:r>
        <w:r w:rsidRPr="00494238">
          <w:rPr>
            <w:webHidden/>
          </w:rPr>
          <w:fldChar w:fldCharType="end"/>
        </w:r>
      </w:hyperlink>
    </w:p>
    <w:p w14:paraId="7CCB9767" w14:textId="488D286C" w:rsidR="00494238" w:rsidRPr="00494238" w:rsidRDefault="00494238">
      <w:pPr>
        <w:pStyle w:val="TOC4"/>
        <w:rPr>
          <w:rFonts w:eastAsiaTheme="minorEastAsia"/>
          <w:kern w:val="2"/>
          <w:lang w:val="en-US"/>
          <w14:ligatures w14:val="standardContextual"/>
        </w:rPr>
      </w:pPr>
      <w:hyperlink w:anchor="_Toc204411672" w:history="1">
        <w:r w:rsidRPr="00494238">
          <w:rPr>
            <w:rStyle w:val="Hyperlink"/>
          </w:rPr>
          <w:t>6.6.3.7</w:t>
        </w:r>
        <w:r w:rsidRPr="00494238">
          <w:rPr>
            <w:rFonts w:eastAsiaTheme="minorEastAsia"/>
            <w:kern w:val="2"/>
            <w:lang w:val="en-US"/>
            <w14:ligatures w14:val="standardContextual"/>
          </w:rPr>
          <w:tab/>
        </w:r>
        <w:r w:rsidRPr="00494238">
          <w:rPr>
            <w:rStyle w:val="Hyperlink"/>
          </w:rPr>
          <w:t>Real-Time High Dispatch Limit Override Energy Charge</w:t>
        </w:r>
        <w:r w:rsidRPr="00494238">
          <w:rPr>
            <w:webHidden/>
          </w:rPr>
          <w:tab/>
        </w:r>
        <w:r w:rsidRPr="00494238">
          <w:rPr>
            <w:webHidden/>
          </w:rPr>
          <w:fldChar w:fldCharType="begin"/>
        </w:r>
        <w:r w:rsidRPr="00494238">
          <w:rPr>
            <w:webHidden/>
          </w:rPr>
          <w:instrText xml:space="preserve"> PAGEREF _Toc204411672 \h </w:instrText>
        </w:r>
        <w:r w:rsidRPr="00494238">
          <w:rPr>
            <w:webHidden/>
          </w:rPr>
        </w:r>
        <w:r w:rsidRPr="00494238">
          <w:rPr>
            <w:webHidden/>
          </w:rPr>
          <w:fldChar w:fldCharType="separate"/>
        </w:r>
        <w:r w:rsidRPr="00494238">
          <w:rPr>
            <w:webHidden/>
          </w:rPr>
          <w:t>6-255</w:t>
        </w:r>
        <w:r w:rsidRPr="00494238">
          <w:rPr>
            <w:webHidden/>
          </w:rPr>
          <w:fldChar w:fldCharType="end"/>
        </w:r>
      </w:hyperlink>
    </w:p>
    <w:p w14:paraId="297C5017" w14:textId="4B11A345" w:rsidR="00494238" w:rsidRPr="00494238" w:rsidRDefault="00494238">
      <w:pPr>
        <w:pStyle w:val="TOC4"/>
        <w:rPr>
          <w:rFonts w:eastAsiaTheme="minorEastAsia"/>
          <w:kern w:val="2"/>
          <w:lang w:val="en-US"/>
          <w14:ligatures w14:val="standardContextual"/>
        </w:rPr>
      </w:pPr>
      <w:hyperlink w:anchor="_Toc204411673" w:history="1">
        <w:r w:rsidRPr="00494238">
          <w:rPr>
            <w:rStyle w:val="Hyperlink"/>
            <w:snapToGrid w:val="0"/>
          </w:rPr>
          <w:t>6.6.3.8</w:t>
        </w:r>
        <w:r w:rsidRPr="00494238">
          <w:rPr>
            <w:rFonts w:eastAsiaTheme="minorEastAsia"/>
            <w:kern w:val="2"/>
            <w:lang w:val="en-US"/>
            <w14:ligatures w14:val="standardContextual"/>
          </w:rPr>
          <w:tab/>
        </w:r>
        <w:r w:rsidRPr="00494238">
          <w:rPr>
            <w:rStyle w:val="Hyperlink"/>
            <w:snapToGrid w:val="0"/>
          </w:rPr>
          <w:t>Real-Time Payment or Charge for Energy from a Settlement Only Distribution Generator (SODG) or a Settlement Only Transmission Generator (SOTG)</w:t>
        </w:r>
        <w:r w:rsidRPr="00494238">
          <w:rPr>
            <w:webHidden/>
          </w:rPr>
          <w:tab/>
        </w:r>
        <w:r w:rsidRPr="00494238">
          <w:rPr>
            <w:webHidden/>
          </w:rPr>
          <w:fldChar w:fldCharType="begin"/>
        </w:r>
        <w:r w:rsidRPr="00494238">
          <w:rPr>
            <w:webHidden/>
          </w:rPr>
          <w:instrText xml:space="preserve"> PAGEREF _Toc204411673 \h </w:instrText>
        </w:r>
        <w:r w:rsidRPr="00494238">
          <w:rPr>
            <w:webHidden/>
          </w:rPr>
        </w:r>
        <w:r w:rsidRPr="00494238">
          <w:rPr>
            <w:webHidden/>
          </w:rPr>
          <w:fldChar w:fldCharType="separate"/>
        </w:r>
        <w:r w:rsidRPr="00494238">
          <w:rPr>
            <w:webHidden/>
          </w:rPr>
          <w:t>6-255</w:t>
        </w:r>
        <w:r w:rsidRPr="00494238">
          <w:rPr>
            <w:webHidden/>
          </w:rPr>
          <w:fldChar w:fldCharType="end"/>
        </w:r>
      </w:hyperlink>
    </w:p>
    <w:p w14:paraId="21195DFF" w14:textId="77A118CD" w:rsidR="00494238" w:rsidRPr="00494238" w:rsidRDefault="00494238">
      <w:pPr>
        <w:pStyle w:val="TOC4"/>
        <w:rPr>
          <w:rFonts w:eastAsiaTheme="minorEastAsia"/>
          <w:kern w:val="2"/>
          <w:lang w:val="en-US"/>
          <w14:ligatures w14:val="standardContextual"/>
        </w:rPr>
      </w:pPr>
      <w:hyperlink w:anchor="_Toc204411674" w:history="1">
        <w:r w:rsidRPr="00494238">
          <w:rPr>
            <w:rStyle w:val="Hyperlink"/>
          </w:rPr>
          <w:t>6.6.3.8</w:t>
        </w:r>
        <w:r w:rsidRPr="00494238">
          <w:rPr>
            <w:rFonts w:eastAsiaTheme="minorEastAsia"/>
            <w:kern w:val="2"/>
            <w:lang w:val="en-US"/>
            <w14:ligatures w14:val="standardContextual"/>
          </w:rPr>
          <w:tab/>
        </w:r>
        <w:r w:rsidRPr="00494238">
          <w:rPr>
            <w:rStyle w:val="Hyperlink"/>
          </w:rPr>
          <w:t>Real-Time Payment or Charge for Energy from a Settlement Only Distribution Generator (SODG), Settlement Only Transmission Generator (SOTG), Settlement Only Distribution Energy Storage System (SODESS), or Settlement Only Transmission Energy Storage System (SOTESS)</w:t>
        </w:r>
        <w:r w:rsidRPr="00494238">
          <w:rPr>
            <w:webHidden/>
          </w:rPr>
          <w:tab/>
        </w:r>
        <w:r w:rsidRPr="00494238">
          <w:rPr>
            <w:webHidden/>
          </w:rPr>
          <w:fldChar w:fldCharType="begin"/>
        </w:r>
        <w:r w:rsidRPr="00494238">
          <w:rPr>
            <w:webHidden/>
          </w:rPr>
          <w:instrText xml:space="preserve"> PAGEREF _Toc204411674 \h </w:instrText>
        </w:r>
        <w:r w:rsidRPr="00494238">
          <w:rPr>
            <w:webHidden/>
          </w:rPr>
        </w:r>
        <w:r w:rsidRPr="00494238">
          <w:rPr>
            <w:webHidden/>
          </w:rPr>
          <w:fldChar w:fldCharType="separate"/>
        </w:r>
        <w:r w:rsidRPr="00494238">
          <w:rPr>
            <w:webHidden/>
          </w:rPr>
          <w:t>6-258</w:t>
        </w:r>
        <w:r w:rsidRPr="00494238">
          <w:rPr>
            <w:webHidden/>
          </w:rPr>
          <w:fldChar w:fldCharType="end"/>
        </w:r>
      </w:hyperlink>
    </w:p>
    <w:p w14:paraId="6537B8BB" w14:textId="3CD41FDA" w:rsidR="00494238" w:rsidRPr="00494238" w:rsidRDefault="00494238">
      <w:pPr>
        <w:pStyle w:val="TOC4"/>
        <w:rPr>
          <w:rFonts w:eastAsiaTheme="minorEastAsia"/>
          <w:kern w:val="2"/>
          <w:lang w:val="en-US"/>
          <w14:ligatures w14:val="standardContextual"/>
        </w:rPr>
      </w:pPr>
      <w:hyperlink w:anchor="_Toc204411675" w:history="1">
        <w:r w:rsidRPr="00494238">
          <w:rPr>
            <w:rStyle w:val="Hyperlink"/>
          </w:rPr>
          <w:t>6.6.3.9</w:t>
        </w:r>
        <w:r w:rsidRPr="00494238">
          <w:rPr>
            <w:rFonts w:eastAsiaTheme="minorEastAsia"/>
            <w:kern w:val="2"/>
            <w:lang w:val="en-US"/>
            <w14:ligatures w14:val="standardContextual"/>
          </w:rPr>
          <w:tab/>
        </w:r>
        <w:r w:rsidRPr="00494238">
          <w:rPr>
            <w:rStyle w:val="Hyperlink"/>
          </w:rPr>
          <w:t>Real-Time Constraint Management Plan Cost Recovery Payment</w:t>
        </w:r>
        <w:r w:rsidRPr="00494238">
          <w:rPr>
            <w:webHidden/>
          </w:rPr>
          <w:tab/>
        </w:r>
        <w:r w:rsidRPr="00494238">
          <w:rPr>
            <w:webHidden/>
          </w:rPr>
          <w:fldChar w:fldCharType="begin"/>
        </w:r>
        <w:r w:rsidRPr="00494238">
          <w:rPr>
            <w:webHidden/>
          </w:rPr>
          <w:instrText xml:space="preserve"> PAGEREF _Toc204411675 \h </w:instrText>
        </w:r>
        <w:r w:rsidRPr="00494238">
          <w:rPr>
            <w:webHidden/>
          </w:rPr>
        </w:r>
        <w:r w:rsidRPr="00494238">
          <w:rPr>
            <w:webHidden/>
          </w:rPr>
          <w:fldChar w:fldCharType="separate"/>
        </w:r>
        <w:r w:rsidRPr="00494238">
          <w:rPr>
            <w:webHidden/>
          </w:rPr>
          <w:t>6-262</w:t>
        </w:r>
        <w:r w:rsidRPr="00494238">
          <w:rPr>
            <w:webHidden/>
          </w:rPr>
          <w:fldChar w:fldCharType="end"/>
        </w:r>
      </w:hyperlink>
    </w:p>
    <w:p w14:paraId="25B6C782" w14:textId="3A5797DB" w:rsidR="00494238" w:rsidRPr="00494238" w:rsidRDefault="00494238">
      <w:pPr>
        <w:pStyle w:val="TOC4"/>
        <w:rPr>
          <w:rFonts w:eastAsiaTheme="minorEastAsia"/>
          <w:kern w:val="2"/>
          <w:lang w:val="en-US"/>
          <w14:ligatures w14:val="standardContextual"/>
        </w:rPr>
      </w:pPr>
      <w:hyperlink w:anchor="_Toc204411676" w:history="1">
        <w:r w:rsidRPr="00494238">
          <w:rPr>
            <w:rStyle w:val="Hyperlink"/>
            <w:snapToGrid w:val="0"/>
          </w:rPr>
          <w:t>6.6.3.10</w:t>
        </w:r>
        <w:r w:rsidRPr="00494238">
          <w:rPr>
            <w:rFonts w:eastAsiaTheme="minorEastAsia"/>
            <w:kern w:val="2"/>
            <w:lang w:val="en-US"/>
            <w14:ligatures w14:val="standardContextual"/>
          </w:rPr>
          <w:tab/>
        </w:r>
        <w:r w:rsidRPr="00494238">
          <w:rPr>
            <w:rStyle w:val="Hyperlink"/>
            <w:snapToGrid w:val="0"/>
          </w:rPr>
          <w:t>Real-Time Constraint Management Plan Cost Recovery Charge</w:t>
        </w:r>
        <w:r w:rsidRPr="00494238">
          <w:rPr>
            <w:webHidden/>
          </w:rPr>
          <w:tab/>
        </w:r>
        <w:r w:rsidRPr="00494238">
          <w:rPr>
            <w:webHidden/>
          </w:rPr>
          <w:fldChar w:fldCharType="begin"/>
        </w:r>
        <w:r w:rsidRPr="00494238">
          <w:rPr>
            <w:webHidden/>
          </w:rPr>
          <w:instrText xml:space="preserve"> PAGEREF _Toc204411676 \h </w:instrText>
        </w:r>
        <w:r w:rsidRPr="00494238">
          <w:rPr>
            <w:webHidden/>
          </w:rPr>
        </w:r>
        <w:r w:rsidRPr="00494238">
          <w:rPr>
            <w:webHidden/>
          </w:rPr>
          <w:fldChar w:fldCharType="separate"/>
        </w:r>
        <w:r w:rsidRPr="00494238">
          <w:rPr>
            <w:webHidden/>
          </w:rPr>
          <w:t>6-267</w:t>
        </w:r>
        <w:r w:rsidRPr="00494238">
          <w:rPr>
            <w:webHidden/>
          </w:rPr>
          <w:fldChar w:fldCharType="end"/>
        </w:r>
      </w:hyperlink>
    </w:p>
    <w:p w14:paraId="70109D71" w14:textId="64BD4412" w:rsidR="00494238" w:rsidRPr="00494238" w:rsidRDefault="00494238">
      <w:pPr>
        <w:pStyle w:val="TOC4"/>
        <w:rPr>
          <w:rFonts w:eastAsiaTheme="minorEastAsia"/>
          <w:kern w:val="2"/>
          <w:lang w:val="en-US"/>
          <w14:ligatures w14:val="standardContextual"/>
        </w:rPr>
      </w:pPr>
      <w:hyperlink w:anchor="_Toc204411677" w:history="1">
        <w:r w:rsidRPr="00494238">
          <w:rPr>
            <w:rStyle w:val="Hyperlink"/>
            <w:snapToGrid w:val="0"/>
          </w:rPr>
          <w:t>6.6.3.11</w:t>
        </w:r>
        <w:r w:rsidRPr="00494238">
          <w:rPr>
            <w:rFonts w:eastAsiaTheme="minorEastAsia"/>
            <w:kern w:val="2"/>
            <w:lang w:val="en-US"/>
            <w14:ligatures w14:val="standardContextual"/>
          </w:rPr>
          <w:tab/>
        </w:r>
        <w:r w:rsidRPr="00494238">
          <w:rPr>
            <w:rStyle w:val="Hyperlink"/>
            <w:snapToGrid w:val="0"/>
          </w:rPr>
          <w:t>Miscellaneous Invoice for Cost Recovery Payments and Charges for a Real-Time Constraint Management Plan</w:t>
        </w:r>
        <w:r w:rsidRPr="00494238">
          <w:rPr>
            <w:webHidden/>
          </w:rPr>
          <w:tab/>
        </w:r>
        <w:r w:rsidRPr="00494238">
          <w:rPr>
            <w:webHidden/>
          </w:rPr>
          <w:fldChar w:fldCharType="begin"/>
        </w:r>
        <w:r w:rsidRPr="00494238">
          <w:rPr>
            <w:webHidden/>
          </w:rPr>
          <w:instrText xml:space="preserve"> PAGEREF _Toc204411677 \h </w:instrText>
        </w:r>
        <w:r w:rsidRPr="00494238">
          <w:rPr>
            <w:webHidden/>
          </w:rPr>
        </w:r>
        <w:r w:rsidRPr="00494238">
          <w:rPr>
            <w:webHidden/>
          </w:rPr>
          <w:fldChar w:fldCharType="separate"/>
        </w:r>
        <w:r w:rsidRPr="00494238">
          <w:rPr>
            <w:webHidden/>
          </w:rPr>
          <w:t>6-268</w:t>
        </w:r>
        <w:r w:rsidRPr="00494238">
          <w:rPr>
            <w:webHidden/>
          </w:rPr>
          <w:fldChar w:fldCharType="end"/>
        </w:r>
      </w:hyperlink>
    </w:p>
    <w:p w14:paraId="4874E260" w14:textId="4F09D2E4" w:rsidR="00494238" w:rsidRPr="00494238" w:rsidRDefault="00494238">
      <w:pPr>
        <w:pStyle w:val="TOC3"/>
        <w:rPr>
          <w:rFonts w:eastAsiaTheme="minorEastAsia"/>
          <w:i w:val="0"/>
          <w:iCs w:val="0"/>
          <w:kern w:val="2"/>
          <w14:ligatures w14:val="standardContextual"/>
        </w:rPr>
      </w:pPr>
      <w:hyperlink w:anchor="_Toc204411678" w:history="1">
        <w:r w:rsidRPr="00494238">
          <w:rPr>
            <w:rStyle w:val="Hyperlink"/>
            <w:i w:val="0"/>
            <w:iCs w:val="0"/>
          </w:rPr>
          <w:t>6.6.4</w:t>
        </w:r>
        <w:r w:rsidRPr="00494238">
          <w:rPr>
            <w:rFonts w:eastAsiaTheme="minorEastAsia"/>
            <w:i w:val="0"/>
            <w:iCs w:val="0"/>
            <w:kern w:val="2"/>
            <w14:ligatures w14:val="standardContextual"/>
          </w:rPr>
          <w:tab/>
        </w:r>
        <w:r w:rsidRPr="00494238">
          <w:rPr>
            <w:rStyle w:val="Hyperlink"/>
            <w:i w:val="0"/>
            <w:iCs w:val="0"/>
          </w:rPr>
          <w:t>Real-Time Congestion Payment or Charge for Self-Schedules</w:t>
        </w:r>
        <w:r w:rsidRPr="00494238">
          <w:rPr>
            <w:i w:val="0"/>
            <w:iCs w:val="0"/>
            <w:webHidden/>
          </w:rPr>
          <w:tab/>
        </w:r>
        <w:r w:rsidRPr="00494238">
          <w:rPr>
            <w:i w:val="0"/>
            <w:iCs w:val="0"/>
            <w:webHidden/>
          </w:rPr>
          <w:fldChar w:fldCharType="begin"/>
        </w:r>
        <w:r w:rsidRPr="00494238">
          <w:rPr>
            <w:i w:val="0"/>
            <w:iCs w:val="0"/>
            <w:webHidden/>
          </w:rPr>
          <w:instrText xml:space="preserve"> PAGEREF _Toc204411678 \h </w:instrText>
        </w:r>
        <w:r w:rsidRPr="00494238">
          <w:rPr>
            <w:i w:val="0"/>
            <w:iCs w:val="0"/>
            <w:webHidden/>
          </w:rPr>
        </w:r>
        <w:r w:rsidRPr="00494238">
          <w:rPr>
            <w:i w:val="0"/>
            <w:iCs w:val="0"/>
            <w:webHidden/>
          </w:rPr>
          <w:fldChar w:fldCharType="separate"/>
        </w:r>
        <w:r w:rsidRPr="00494238">
          <w:rPr>
            <w:i w:val="0"/>
            <w:iCs w:val="0"/>
            <w:webHidden/>
          </w:rPr>
          <w:t>6-268</w:t>
        </w:r>
        <w:r w:rsidRPr="00494238">
          <w:rPr>
            <w:i w:val="0"/>
            <w:iCs w:val="0"/>
            <w:webHidden/>
          </w:rPr>
          <w:fldChar w:fldCharType="end"/>
        </w:r>
      </w:hyperlink>
    </w:p>
    <w:p w14:paraId="471D4D20" w14:textId="7475B210" w:rsidR="00494238" w:rsidRPr="00494238" w:rsidRDefault="00494238">
      <w:pPr>
        <w:pStyle w:val="TOC3"/>
        <w:rPr>
          <w:rFonts w:eastAsiaTheme="minorEastAsia"/>
          <w:i w:val="0"/>
          <w:iCs w:val="0"/>
          <w:kern w:val="2"/>
          <w14:ligatures w14:val="standardContextual"/>
        </w:rPr>
      </w:pPr>
      <w:hyperlink w:anchor="_Toc204411679" w:history="1">
        <w:r w:rsidRPr="00494238">
          <w:rPr>
            <w:rStyle w:val="Hyperlink"/>
            <w:i w:val="0"/>
            <w:iCs w:val="0"/>
            <w:lang w:val="fr-FR"/>
          </w:rPr>
          <w:t>6.6.5</w:t>
        </w:r>
        <w:r w:rsidRPr="00494238">
          <w:rPr>
            <w:rFonts w:eastAsiaTheme="minorEastAsia"/>
            <w:i w:val="0"/>
            <w:iCs w:val="0"/>
            <w:kern w:val="2"/>
            <w14:ligatures w14:val="standardContextual"/>
          </w:rPr>
          <w:tab/>
        </w:r>
        <w:r w:rsidRPr="00494238">
          <w:rPr>
            <w:rStyle w:val="Hyperlink"/>
            <w:i w:val="0"/>
            <w:iCs w:val="0"/>
            <w:lang w:val="fr-FR"/>
          </w:rPr>
          <w:t>Base Point Deviation Charge</w:t>
        </w:r>
        <w:r w:rsidRPr="00494238">
          <w:rPr>
            <w:i w:val="0"/>
            <w:iCs w:val="0"/>
            <w:webHidden/>
          </w:rPr>
          <w:tab/>
        </w:r>
        <w:r w:rsidRPr="00494238">
          <w:rPr>
            <w:i w:val="0"/>
            <w:iCs w:val="0"/>
            <w:webHidden/>
          </w:rPr>
          <w:fldChar w:fldCharType="begin"/>
        </w:r>
        <w:r w:rsidRPr="00494238">
          <w:rPr>
            <w:i w:val="0"/>
            <w:iCs w:val="0"/>
            <w:webHidden/>
          </w:rPr>
          <w:instrText xml:space="preserve"> PAGEREF _Toc204411679 \h </w:instrText>
        </w:r>
        <w:r w:rsidRPr="00494238">
          <w:rPr>
            <w:i w:val="0"/>
            <w:iCs w:val="0"/>
            <w:webHidden/>
          </w:rPr>
        </w:r>
        <w:r w:rsidRPr="00494238">
          <w:rPr>
            <w:i w:val="0"/>
            <w:iCs w:val="0"/>
            <w:webHidden/>
          </w:rPr>
          <w:fldChar w:fldCharType="separate"/>
        </w:r>
        <w:r w:rsidRPr="00494238">
          <w:rPr>
            <w:i w:val="0"/>
            <w:iCs w:val="0"/>
            <w:webHidden/>
          </w:rPr>
          <w:t>6-269</w:t>
        </w:r>
        <w:r w:rsidRPr="00494238">
          <w:rPr>
            <w:i w:val="0"/>
            <w:iCs w:val="0"/>
            <w:webHidden/>
          </w:rPr>
          <w:fldChar w:fldCharType="end"/>
        </w:r>
      </w:hyperlink>
    </w:p>
    <w:p w14:paraId="4A248CB5" w14:textId="5B45FF14" w:rsidR="00494238" w:rsidRPr="00494238" w:rsidRDefault="00494238">
      <w:pPr>
        <w:pStyle w:val="TOC3"/>
        <w:rPr>
          <w:rFonts w:eastAsiaTheme="minorEastAsia"/>
          <w:i w:val="0"/>
          <w:iCs w:val="0"/>
          <w:kern w:val="2"/>
          <w14:ligatures w14:val="standardContextual"/>
        </w:rPr>
      </w:pPr>
      <w:hyperlink w:anchor="_Toc204411680" w:history="1">
        <w:r w:rsidRPr="00494238">
          <w:rPr>
            <w:rStyle w:val="Hyperlink"/>
            <w:i w:val="0"/>
            <w:iCs w:val="0"/>
            <w:lang w:val="fr-FR"/>
          </w:rPr>
          <w:t>6.6.5</w:t>
        </w:r>
        <w:r w:rsidRPr="00494238">
          <w:rPr>
            <w:rFonts w:eastAsiaTheme="minorEastAsia"/>
            <w:i w:val="0"/>
            <w:iCs w:val="0"/>
            <w:kern w:val="2"/>
            <w14:ligatures w14:val="standardContextual"/>
          </w:rPr>
          <w:tab/>
        </w:r>
        <w:r w:rsidRPr="00494238">
          <w:rPr>
            <w:rStyle w:val="Hyperlink"/>
            <w:i w:val="0"/>
            <w:iCs w:val="0"/>
            <w:lang w:val="fr-FR"/>
          </w:rPr>
          <w:t>Set Point Deviation Charge</w:t>
        </w:r>
        <w:r w:rsidRPr="00494238">
          <w:rPr>
            <w:i w:val="0"/>
            <w:iCs w:val="0"/>
            <w:webHidden/>
          </w:rPr>
          <w:tab/>
        </w:r>
        <w:r w:rsidRPr="00494238">
          <w:rPr>
            <w:i w:val="0"/>
            <w:iCs w:val="0"/>
            <w:webHidden/>
          </w:rPr>
          <w:fldChar w:fldCharType="begin"/>
        </w:r>
        <w:r w:rsidRPr="00494238">
          <w:rPr>
            <w:i w:val="0"/>
            <w:iCs w:val="0"/>
            <w:webHidden/>
          </w:rPr>
          <w:instrText xml:space="preserve"> PAGEREF _Toc204411680 \h </w:instrText>
        </w:r>
        <w:r w:rsidRPr="00494238">
          <w:rPr>
            <w:i w:val="0"/>
            <w:iCs w:val="0"/>
            <w:webHidden/>
          </w:rPr>
        </w:r>
        <w:r w:rsidRPr="00494238">
          <w:rPr>
            <w:i w:val="0"/>
            <w:iCs w:val="0"/>
            <w:webHidden/>
          </w:rPr>
          <w:fldChar w:fldCharType="separate"/>
        </w:r>
        <w:r w:rsidRPr="00494238">
          <w:rPr>
            <w:i w:val="0"/>
            <w:iCs w:val="0"/>
            <w:webHidden/>
          </w:rPr>
          <w:t>6-269</w:t>
        </w:r>
        <w:r w:rsidRPr="00494238">
          <w:rPr>
            <w:i w:val="0"/>
            <w:iCs w:val="0"/>
            <w:webHidden/>
          </w:rPr>
          <w:fldChar w:fldCharType="end"/>
        </w:r>
      </w:hyperlink>
    </w:p>
    <w:p w14:paraId="7736CB8D" w14:textId="6482AF7C" w:rsidR="00494238" w:rsidRPr="00494238" w:rsidRDefault="00494238">
      <w:pPr>
        <w:pStyle w:val="TOC4"/>
        <w:rPr>
          <w:rFonts w:eastAsiaTheme="minorEastAsia"/>
          <w:kern w:val="2"/>
          <w:lang w:val="en-US"/>
          <w14:ligatures w14:val="standardContextual"/>
        </w:rPr>
      </w:pPr>
      <w:hyperlink w:anchor="_Toc204411681" w:history="1">
        <w:r w:rsidRPr="00494238">
          <w:rPr>
            <w:rStyle w:val="Hyperlink"/>
          </w:rPr>
          <w:t>6.6.5.1</w:t>
        </w:r>
        <w:r w:rsidRPr="00494238">
          <w:rPr>
            <w:rFonts w:eastAsiaTheme="minorEastAsia"/>
            <w:kern w:val="2"/>
            <w:lang w:val="en-US"/>
            <w14:ligatures w14:val="standardContextual"/>
          </w:rPr>
          <w:tab/>
        </w:r>
        <w:r w:rsidRPr="00494238">
          <w:rPr>
            <w:rStyle w:val="Hyperlink"/>
          </w:rPr>
          <w:t>Resource Base Point Deviation Charge</w:t>
        </w:r>
        <w:r w:rsidRPr="00494238">
          <w:rPr>
            <w:webHidden/>
          </w:rPr>
          <w:tab/>
        </w:r>
        <w:r w:rsidRPr="00494238">
          <w:rPr>
            <w:webHidden/>
          </w:rPr>
          <w:fldChar w:fldCharType="begin"/>
        </w:r>
        <w:r w:rsidRPr="00494238">
          <w:rPr>
            <w:webHidden/>
          </w:rPr>
          <w:instrText xml:space="preserve"> PAGEREF _Toc204411681 \h </w:instrText>
        </w:r>
        <w:r w:rsidRPr="00494238">
          <w:rPr>
            <w:webHidden/>
          </w:rPr>
        </w:r>
        <w:r w:rsidRPr="00494238">
          <w:rPr>
            <w:webHidden/>
          </w:rPr>
          <w:fldChar w:fldCharType="separate"/>
        </w:r>
        <w:r w:rsidRPr="00494238">
          <w:rPr>
            <w:webHidden/>
          </w:rPr>
          <w:t>6-269</w:t>
        </w:r>
        <w:r w:rsidRPr="00494238">
          <w:rPr>
            <w:webHidden/>
          </w:rPr>
          <w:fldChar w:fldCharType="end"/>
        </w:r>
      </w:hyperlink>
    </w:p>
    <w:p w14:paraId="0C2BCB39" w14:textId="1903B8E3" w:rsidR="00494238" w:rsidRPr="00494238" w:rsidRDefault="00494238">
      <w:pPr>
        <w:pStyle w:val="TOC4"/>
        <w:rPr>
          <w:rFonts w:eastAsiaTheme="minorEastAsia"/>
          <w:kern w:val="2"/>
          <w:lang w:val="en-US"/>
          <w14:ligatures w14:val="standardContextual"/>
        </w:rPr>
      </w:pPr>
      <w:hyperlink w:anchor="_Toc204411682" w:history="1">
        <w:r w:rsidRPr="00494238">
          <w:rPr>
            <w:rStyle w:val="Hyperlink"/>
          </w:rPr>
          <w:t>6.6.5.1</w:t>
        </w:r>
        <w:r w:rsidRPr="00494238">
          <w:rPr>
            <w:rFonts w:eastAsiaTheme="minorEastAsia"/>
            <w:kern w:val="2"/>
            <w:lang w:val="en-US"/>
            <w14:ligatures w14:val="standardContextual"/>
          </w:rPr>
          <w:tab/>
        </w:r>
        <w:r w:rsidRPr="00494238">
          <w:rPr>
            <w:rStyle w:val="Hyperlink"/>
          </w:rPr>
          <w:t>Resource Set Point Deviation Charge</w:t>
        </w:r>
        <w:r w:rsidRPr="00494238">
          <w:rPr>
            <w:webHidden/>
          </w:rPr>
          <w:tab/>
        </w:r>
        <w:r w:rsidRPr="00494238">
          <w:rPr>
            <w:webHidden/>
          </w:rPr>
          <w:fldChar w:fldCharType="begin"/>
        </w:r>
        <w:r w:rsidRPr="00494238">
          <w:rPr>
            <w:webHidden/>
          </w:rPr>
          <w:instrText xml:space="preserve"> PAGEREF _Toc204411682 \h </w:instrText>
        </w:r>
        <w:r w:rsidRPr="00494238">
          <w:rPr>
            <w:webHidden/>
          </w:rPr>
        </w:r>
        <w:r w:rsidRPr="00494238">
          <w:rPr>
            <w:webHidden/>
          </w:rPr>
          <w:fldChar w:fldCharType="separate"/>
        </w:r>
        <w:r w:rsidRPr="00494238">
          <w:rPr>
            <w:webHidden/>
          </w:rPr>
          <w:t>6-272</w:t>
        </w:r>
        <w:r w:rsidRPr="00494238">
          <w:rPr>
            <w:webHidden/>
          </w:rPr>
          <w:fldChar w:fldCharType="end"/>
        </w:r>
      </w:hyperlink>
    </w:p>
    <w:p w14:paraId="07200BDF" w14:textId="16223633" w:rsidR="00494238" w:rsidRPr="00494238" w:rsidRDefault="00494238">
      <w:pPr>
        <w:pStyle w:val="TOC5"/>
        <w:rPr>
          <w:rFonts w:eastAsiaTheme="minorEastAsia"/>
          <w:i w:val="0"/>
          <w:kern w:val="2"/>
          <w:sz w:val="20"/>
          <w:szCs w:val="20"/>
          <w14:ligatures w14:val="standardContextual"/>
        </w:rPr>
      </w:pPr>
      <w:hyperlink w:anchor="_Toc204411683" w:history="1">
        <w:r w:rsidRPr="00494238">
          <w:rPr>
            <w:rStyle w:val="Hyperlink"/>
            <w:i w:val="0"/>
            <w:sz w:val="20"/>
            <w:szCs w:val="20"/>
          </w:rPr>
          <w:t>6.6.5.1.1</w:t>
        </w:r>
        <w:r w:rsidRPr="00494238">
          <w:rPr>
            <w:rFonts w:eastAsiaTheme="minorEastAsia"/>
            <w:i w:val="0"/>
            <w:kern w:val="2"/>
            <w:sz w:val="20"/>
            <w:szCs w:val="20"/>
            <w14:ligatures w14:val="standardContextual"/>
          </w:rPr>
          <w:tab/>
        </w:r>
        <w:r w:rsidRPr="00494238">
          <w:rPr>
            <w:rStyle w:val="Hyperlink"/>
            <w:i w:val="0"/>
            <w:sz w:val="20"/>
            <w:szCs w:val="20"/>
          </w:rPr>
          <w:t>General Generation Resource and Controllable Load Resource Base Point Deviation Charge</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_Toc204411683 \h </w:instrText>
        </w:r>
        <w:r w:rsidRPr="00494238">
          <w:rPr>
            <w:i w:val="0"/>
            <w:webHidden/>
            <w:sz w:val="20"/>
            <w:szCs w:val="20"/>
          </w:rPr>
        </w:r>
        <w:r w:rsidRPr="00494238">
          <w:rPr>
            <w:i w:val="0"/>
            <w:webHidden/>
            <w:sz w:val="20"/>
            <w:szCs w:val="20"/>
          </w:rPr>
          <w:fldChar w:fldCharType="separate"/>
        </w:r>
        <w:r w:rsidRPr="00494238">
          <w:rPr>
            <w:i w:val="0"/>
            <w:webHidden/>
            <w:sz w:val="20"/>
            <w:szCs w:val="20"/>
          </w:rPr>
          <w:t>6-272</w:t>
        </w:r>
        <w:r w:rsidRPr="00494238">
          <w:rPr>
            <w:i w:val="0"/>
            <w:webHidden/>
            <w:sz w:val="20"/>
            <w:szCs w:val="20"/>
          </w:rPr>
          <w:fldChar w:fldCharType="end"/>
        </w:r>
      </w:hyperlink>
    </w:p>
    <w:p w14:paraId="73742C65" w14:textId="6338762A" w:rsidR="00494238" w:rsidRPr="00494238" w:rsidRDefault="00494238">
      <w:pPr>
        <w:pStyle w:val="TOC5"/>
        <w:rPr>
          <w:rFonts w:eastAsiaTheme="minorEastAsia"/>
          <w:i w:val="0"/>
          <w:kern w:val="2"/>
          <w:sz w:val="20"/>
          <w:szCs w:val="20"/>
          <w14:ligatures w14:val="standardContextual"/>
        </w:rPr>
      </w:pPr>
      <w:hyperlink w:anchor="_Toc204411684" w:history="1">
        <w:r w:rsidRPr="00494238">
          <w:rPr>
            <w:rStyle w:val="Hyperlink"/>
            <w:i w:val="0"/>
            <w:sz w:val="20"/>
            <w:szCs w:val="20"/>
          </w:rPr>
          <w:t>6.6.5.1.1.1</w:t>
        </w:r>
        <w:r w:rsidRPr="00494238">
          <w:rPr>
            <w:rFonts w:eastAsiaTheme="minorEastAsia"/>
            <w:i w:val="0"/>
            <w:kern w:val="2"/>
            <w:sz w:val="20"/>
            <w:szCs w:val="20"/>
            <w14:ligatures w14:val="standardContextual"/>
          </w:rPr>
          <w:tab/>
        </w:r>
        <w:r w:rsidRPr="00494238">
          <w:rPr>
            <w:rStyle w:val="Hyperlink"/>
            <w:i w:val="0"/>
            <w:sz w:val="20"/>
            <w:szCs w:val="20"/>
          </w:rPr>
          <w:t>Base Point Deviation Charge for Over Generation</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_Toc204411684 \h </w:instrText>
        </w:r>
        <w:r w:rsidRPr="00494238">
          <w:rPr>
            <w:i w:val="0"/>
            <w:webHidden/>
            <w:sz w:val="20"/>
            <w:szCs w:val="20"/>
          </w:rPr>
        </w:r>
        <w:r w:rsidRPr="00494238">
          <w:rPr>
            <w:i w:val="0"/>
            <w:webHidden/>
            <w:sz w:val="20"/>
            <w:szCs w:val="20"/>
          </w:rPr>
          <w:fldChar w:fldCharType="separate"/>
        </w:r>
        <w:r w:rsidRPr="00494238">
          <w:rPr>
            <w:i w:val="0"/>
            <w:webHidden/>
            <w:sz w:val="20"/>
            <w:szCs w:val="20"/>
          </w:rPr>
          <w:t>6-273</w:t>
        </w:r>
        <w:r w:rsidRPr="00494238">
          <w:rPr>
            <w:i w:val="0"/>
            <w:webHidden/>
            <w:sz w:val="20"/>
            <w:szCs w:val="20"/>
          </w:rPr>
          <w:fldChar w:fldCharType="end"/>
        </w:r>
      </w:hyperlink>
    </w:p>
    <w:p w14:paraId="4AD81C59" w14:textId="6982816A" w:rsidR="00494238" w:rsidRPr="00494238" w:rsidRDefault="00494238">
      <w:pPr>
        <w:pStyle w:val="TOC5"/>
        <w:rPr>
          <w:rFonts w:eastAsiaTheme="minorEastAsia"/>
          <w:i w:val="0"/>
          <w:kern w:val="2"/>
          <w:sz w:val="20"/>
          <w:szCs w:val="20"/>
          <w14:ligatures w14:val="standardContextual"/>
        </w:rPr>
      </w:pPr>
      <w:hyperlink w:anchor="_Toc204411685" w:history="1">
        <w:r w:rsidRPr="00494238">
          <w:rPr>
            <w:rStyle w:val="Hyperlink"/>
            <w:i w:val="0"/>
            <w:sz w:val="20"/>
            <w:szCs w:val="20"/>
          </w:rPr>
          <w:t>6.6.5.2</w:t>
        </w:r>
        <w:r w:rsidRPr="00494238">
          <w:rPr>
            <w:rFonts w:eastAsiaTheme="minorEastAsia"/>
            <w:i w:val="0"/>
            <w:kern w:val="2"/>
            <w:sz w:val="20"/>
            <w:szCs w:val="20"/>
            <w14:ligatures w14:val="standardContextual"/>
          </w:rPr>
          <w:tab/>
        </w:r>
        <w:r w:rsidRPr="00494238">
          <w:rPr>
            <w:rStyle w:val="Hyperlink"/>
            <w:i w:val="0"/>
            <w:sz w:val="20"/>
            <w:szCs w:val="20"/>
          </w:rPr>
          <w:t>Set Point Deviation Charge for Over Generation</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_Toc204411685 \h </w:instrText>
        </w:r>
        <w:r w:rsidRPr="00494238">
          <w:rPr>
            <w:i w:val="0"/>
            <w:webHidden/>
            <w:sz w:val="20"/>
            <w:szCs w:val="20"/>
          </w:rPr>
        </w:r>
        <w:r w:rsidRPr="00494238">
          <w:rPr>
            <w:i w:val="0"/>
            <w:webHidden/>
            <w:sz w:val="20"/>
            <w:szCs w:val="20"/>
          </w:rPr>
          <w:fldChar w:fldCharType="separate"/>
        </w:r>
        <w:r w:rsidRPr="00494238">
          <w:rPr>
            <w:i w:val="0"/>
            <w:webHidden/>
            <w:sz w:val="20"/>
            <w:szCs w:val="20"/>
          </w:rPr>
          <w:t>6-275</w:t>
        </w:r>
        <w:r w:rsidRPr="00494238">
          <w:rPr>
            <w:i w:val="0"/>
            <w:webHidden/>
            <w:sz w:val="20"/>
            <w:szCs w:val="20"/>
          </w:rPr>
          <w:fldChar w:fldCharType="end"/>
        </w:r>
      </w:hyperlink>
    </w:p>
    <w:p w14:paraId="5FC44D55" w14:textId="2C512D07" w:rsidR="00494238" w:rsidRPr="00494238" w:rsidRDefault="00494238">
      <w:pPr>
        <w:pStyle w:val="TOC5"/>
        <w:rPr>
          <w:rFonts w:eastAsiaTheme="minorEastAsia"/>
          <w:i w:val="0"/>
          <w:kern w:val="2"/>
          <w:sz w:val="20"/>
          <w:szCs w:val="20"/>
          <w14:ligatures w14:val="standardContextual"/>
        </w:rPr>
      </w:pPr>
      <w:hyperlink w:anchor="_Toc204411686" w:history="1">
        <w:r w:rsidRPr="00494238">
          <w:rPr>
            <w:rStyle w:val="Hyperlink"/>
            <w:i w:val="0"/>
            <w:sz w:val="20"/>
            <w:szCs w:val="20"/>
          </w:rPr>
          <w:t>6.6.5.1.1.2</w:t>
        </w:r>
        <w:r w:rsidRPr="00494238">
          <w:rPr>
            <w:rFonts w:eastAsiaTheme="minorEastAsia"/>
            <w:i w:val="0"/>
            <w:kern w:val="2"/>
            <w:sz w:val="20"/>
            <w:szCs w:val="20"/>
            <w14:ligatures w14:val="standardContextual"/>
          </w:rPr>
          <w:tab/>
        </w:r>
        <w:r w:rsidRPr="00494238">
          <w:rPr>
            <w:rStyle w:val="Hyperlink"/>
            <w:i w:val="0"/>
            <w:sz w:val="20"/>
            <w:szCs w:val="20"/>
          </w:rPr>
          <w:t>Base Point Deviation Charge for Under Generation</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_Toc204411686 \h </w:instrText>
        </w:r>
        <w:r w:rsidRPr="00494238">
          <w:rPr>
            <w:i w:val="0"/>
            <w:webHidden/>
            <w:sz w:val="20"/>
            <w:szCs w:val="20"/>
          </w:rPr>
        </w:r>
        <w:r w:rsidRPr="00494238">
          <w:rPr>
            <w:i w:val="0"/>
            <w:webHidden/>
            <w:sz w:val="20"/>
            <w:szCs w:val="20"/>
          </w:rPr>
          <w:fldChar w:fldCharType="separate"/>
        </w:r>
        <w:r w:rsidRPr="00494238">
          <w:rPr>
            <w:i w:val="0"/>
            <w:webHidden/>
            <w:sz w:val="20"/>
            <w:szCs w:val="20"/>
          </w:rPr>
          <w:t>6-277</w:t>
        </w:r>
        <w:r w:rsidRPr="00494238">
          <w:rPr>
            <w:i w:val="0"/>
            <w:webHidden/>
            <w:sz w:val="20"/>
            <w:szCs w:val="20"/>
          </w:rPr>
          <w:fldChar w:fldCharType="end"/>
        </w:r>
      </w:hyperlink>
    </w:p>
    <w:p w14:paraId="08D7AF44" w14:textId="4747FD91" w:rsidR="00494238" w:rsidRPr="00494238" w:rsidRDefault="00494238">
      <w:pPr>
        <w:pStyle w:val="TOC5"/>
        <w:rPr>
          <w:rFonts w:eastAsiaTheme="minorEastAsia"/>
          <w:i w:val="0"/>
          <w:kern w:val="2"/>
          <w:sz w:val="20"/>
          <w:szCs w:val="20"/>
          <w14:ligatures w14:val="standardContextual"/>
        </w:rPr>
      </w:pPr>
      <w:hyperlink w:anchor="_Toc204411687" w:history="1">
        <w:r w:rsidRPr="00494238">
          <w:rPr>
            <w:rStyle w:val="Hyperlink"/>
            <w:i w:val="0"/>
            <w:snapToGrid w:val="0"/>
            <w:sz w:val="20"/>
            <w:szCs w:val="20"/>
          </w:rPr>
          <w:t>6.6.5.2.1</w:t>
        </w:r>
        <w:r w:rsidRPr="00494238">
          <w:rPr>
            <w:rFonts w:eastAsiaTheme="minorEastAsia"/>
            <w:i w:val="0"/>
            <w:kern w:val="2"/>
            <w:sz w:val="20"/>
            <w:szCs w:val="20"/>
            <w14:ligatures w14:val="standardContextual"/>
          </w:rPr>
          <w:tab/>
        </w:r>
        <w:r w:rsidRPr="00494238">
          <w:rPr>
            <w:rStyle w:val="Hyperlink"/>
            <w:i w:val="0"/>
            <w:snapToGrid w:val="0"/>
            <w:sz w:val="20"/>
            <w:szCs w:val="20"/>
          </w:rPr>
          <w:t>Set Point Deviation Charge for Under Generation</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_Toc204411687 \h </w:instrText>
        </w:r>
        <w:r w:rsidRPr="00494238">
          <w:rPr>
            <w:i w:val="0"/>
            <w:webHidden/>
            <w:sz w:val="20"/>
            <w:szCs w:val="20"/>
          </w:rPr>
        </w:r>
        <w:r w:rsidRPr="00494238">
          <w:rPr>
            <w:i w:val="0"/>
            <w:webHidden/>
            <w:sz w:val="20"/>
            <w:szCs w:val="20"/>
          </w:rPr>
          <w:fldChar w:fldCharType="separate"/>
        </w:r>
        <w:r w:rsidRPr="00494238">
          <w:rPr>
            <w:i w:val="0"/>
            <w:webHidden/>
            <w:sz w:val="20"/>
            <w:szCs w:val="20"/>
          </w:rPr>
          <w:t>6-278</w:t>
        </w:r>
        <w:r w:rsidRPr="00494238">
          <w:rPr>
            <w:i w:val="0"/>
            <w:webHidden/>
            <w:sz w:val="20"/>
            <w:szCs w:val="20"/>
          </w:rPr>
          <w:fldChar w:fldCharType="end"/>
        </w:r>
      </w:hyperlink>
    </w:p>
    <w:p w14:paraId="556B8112" w14:textId="76873EB0" w:rsidR="00494238" w:rsidRPr="00494238" w:rsidRDefault="00494238">
      <w:pPr>
        <w:pStyle w:val="TOC5"/>
        <w:rPr>
          <w:rFonts w:eastAsiaTheme="minorEastAsia"/>
          <w:i w:val="0"/>
          <w:kern w:val="2"/>
          <w:sz w:val="20"/>
          <w:szCs w:val="20"/>
          <w14:ligatures w14:val="standardContextual"/>
        </w:rPr>
      </w:pPr>
      <w:hyperlink w:anchor="_Toc204411688" w:history="1">
        <w:r w:rsidRPr="00494238">
          <w:rPr>
            <w:rStyle w:val="Hyperlink"/>
            <w:i w:val="0"/>
            <w:sz w:val="20"/>
            <w:szCs w:val="20"/>
          </w:rPr>
          <w:t>6.6.5.1.1.3</w:t>
        </w:r>
        <w:r w:rsidRPr="00494238">
          <w:rPr>
            <w:rFonts w:eastAsiaTheme="minorEastAsia"/>
            <w:i w:val="0"/>
            <w:kern w:val="2"/>
            <w:sz w:val="20"/>
            <w:szCs w:val="20"/>
            <w14:ligatures w14:val="standardContextual"/>
          </w:rPr>
          <w:tab/>
        </w:r>
        <w:r w:rsidRPr="00494238">
          <w:rPr>
            <w:rStyle w:val="Hyperlink"/>
            <w:i w:val="0"/>
            <w:sz w:val="20"/>
            <w:szCs w:val="20"/>
          </w:rPr>
          <w:t>Controllable Load Resource Base Point Deviation Charge for Over Consumption</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_Toc204411688 \h </w:instrText>
        </w:r>
        <w:r w:rsidRPr="00494238">
          <w:rPr>
            <w:i w:val="0"/>
            <w:webHidden/>
            <w:sz w:val="20"/>
            <w:szCs w:val="20"/>
          </w:rPr>
        </w:r>
        <w:r w:rsidRPr="00494238">
          <w:rPr>
            <w:i w:val="0"/>
            <w:webHidden/>
            <w:sz w:val="20"/>
            <w:szCs w:val="20"/>
          </w:rPr>
          <w:fldChar w:fldCharType="separate"/>
        </w:r>
        <w:r w:rsidRPr="00494238">
          <w:rPr>
            <w:i w:val="0"/>
            <w:webHidden/>
            <w:sz w:val="20"/>
            <w:szCs w:val="20"/>
          </w:rPr>
          <w:t>6-280</w:t>
        </w:r>
        <w:r w:rsidRPr="00494238">
          <w:rPr>
            <w:i w:val="0"/>
            <w:webHidden/>
            <w:sz w:val="20"/>
            <w:szCs w:val="20"/>
          </w:rPr>
          <w:fldChar w:fldCharType="end"/>
        </w:r>
      </w:hyperlink>
    </w:p>
    <w:p w14:paraId="18436051" w14:textId="778DD32D" w:rsidR="00494238" w:rsidRPr="00494238" w:rsidRDefault="00494238">
      <w:pPr>
        <w:pStyle w:val="TOC5"/>
        <w:rPr>
          <w:rFonts w:eastAsiaTheme="minorEastAsia"/>
          <w:i w:val="0"/>
          <w:kern w:val="2"/>
          <w:sz w:val="20"/>
          <w:szCs w:val="20"/>
          <w14:ligatures w14:val="standardContextual"/>
        </w:rPr>
      </w:pPr>
      <w:hyperlink w:anchor="_Toc204411689" w:history="1">
        <w:r w:rsidRPr="00494238">
          <w:rPr>
            <w:rStyle w:val="Hyperlink"/>
            <w:i w:val="0"/>
            <w:sz w:val="20"/>
            <w:szCs w:val="20"/>
          </w:rPr>
          <w:t>6.6.5.3</w:t>
        </w:r>
        <w:r w:rsidRPr="00494238">
          <w:rPr>
            <w:rFonts w:eastAsiaTheme="minorEastAsia"/>
            <w:i w:val="0"/>
            <w:kern w:val="2"/>
            <w:sz w:val="20"/>
            <w:szCs w:val="20"/>
            <w14:ligatures w14:val="standardContextual"/>
          </w:rPr>
          <w:tab/>
        </w:r>
        <w:r w:rsidRPr="00494238">
          <w:rPr>
            <w:rStyle w:val="Hyperlink"/>
            <w:i w:val="0"/>
            <w:sz w:val="20"/>
            <w:szCs w:val="20"/>
          </w:rPr>
          <w:t>Controllable Load Resource Set Point Deviation Charge for Over Consumption</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_Toc204411689 \h </w:instrText>
        </w:r>
        <w:r w:rsidRPr="00494238">
          <w:rPr>
            <w:i w:val="0"/>
            <w:webHidden/>
            <w:sz w:val="20"/>
            <w:szCs w:val="20"/>
          </w:rPr>
        </w:r>
        <w:r w:rsidRPr="00494238">
          <w:rPr>
            <w:i w:val="0"/>
            <w:webHidden/>
            <w:sz w:val="20"/>
            <w:szCs w:val="20"/>
          </w:rPr>
          <w:fldChar w:fldCharType="separate"/>
        </w:r>
        <w:r w:rsidRPr="00494238">
          <w:rPr>
            <w:i w:val="0"/>
            <w:webHidden/>
            <w:sz w:val="20"/>
            <w:szCs w:val="20"/>
          </w:rPr>
          <w:t>6-282</w:t>
        </w:r>
        <w:r w:rsidRPr="00494238">
          <w:rPr>
            <w:i w:val="0"/>
            <w:webHidden/>
            <w:sz w:val="20"/>
            <w:szCs w:val="20"/>
          </w:rPr>
          <w:fldChar w:fldCharType="end"/>
        </w:r>
      </w:hyperlink>
    </w:p>
    <w:p w14:paraId="6BD2AF8E" w14:textId="5D1161A9" w:rsidR="00494238" w:rsidRPr="00494238" w:rsidRDefault="00494238">
      <w:pPr>
        <w:pStyle w:val="TOC5"/>
        <w:rPr>
          <w:rFonts w:eastAsiaTheme="minorEastAsia"/>
          <w:i w:val="0"/>
          <w:kern w:val="2"/>
          <w:sz w:val="20"/>
          <w:szCs w:val="20"/>
          <w14:ligatures w14:val="standardContextual"/>
        </w:rPr>
      </w:pPr>
      <w:hyperlink w:anchor="_Toc204411690" w:history="1">
        <w:r w:rsidRPr="00494238">
          <w:rPr>
            <w:rStyle w:val="Hyperlink"/>
            <w:i w:val="0"/>
            <w:sz w:val="20"/>
            <w:szCs w:val="20"/>
          </w:rPr>
          <w:t>6.6.5.1.1.4</w:t>
        </w:r>
        <w:r w:rsidRPr="00494238">
          <w:rPr>
            <w:rFonts w:eastAsiaTheme="minorEastAsia"/>
            <w:i w:val="0"/>
            <w:kern w:val="2"/>
            <w:sz w:val="20"/>
            <w:szCs w:val="20"/>
            <w14:ligatures w14:val="standardContextual"/>
          </w:rPr>
          <w:tab/>
        </w:r>
        <w:r w:rsidRPr="00494238">
          <w:rPr>
            <w:rStyle w:val="Hyperlink"/>
            <w:i w:val="0"/>
            <w:sz w:val="20"/>
            <w:szCs w:val="20"/>
          </w:rPr>
          <w:t>Controllable Load Resource Base Point Deviation Charge for Under Consumption</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_Toc204411690 \h </w:instrText>
        </w:r>
        <w:r w:rsidRPr="00494238">
          <w:rPr>
            <w:i w:val="0"/>
            <w:webHidden/>
            <w:sz w:val="20"/>
            <w:szCs w:val="20"/>
          </w:rPr>
        </w:r>
        <w:r w:rsidRPr="00494238">
          <w:rPr>
            <w:i w:val="0"/>
            <w:webHidden/>
            <w:sz w:val="20"/>
            <w:szCs w:val="20"/>
          </w:rPr>
          <w:fldChar w:fldCharType="separate"/>
        </w:r>
        <w:r w:rsidRPr="00494238">
          <w:rPr>
            <w:i w:val="0"/>
            <w:webHidden/>
            <w:sz w:val="20"/>
            <w:szCs w:val="20"/>
          </w:rPr>
          <w:t>6-283</w:t>
        </w:r>
        <w:r w:rsidRPr="00494238">
          <w:rPr>
            <w:i w:val="0"/>
            <w:webHidden/>
            <w:sz w:val="20"/>
            <w:szCs w:val="20"/>
          </w:rPr>
          <w:fldChar w:fldCharType="end"/>
        </w:r>
      </w:hyperlink>
    </w:p>
    <w:p w14:paraId="0CA5DA44" w14:textId="689C74B3" w:rsidR="00494238" w:rsidRPr="00494238" w:rsidRDefault="00494238">
      <w:pPr>
        <w:pStyle w:val="TOC5"/>
        <w:rPr>
          <w:rFonts w:eastAsiaTheme="minorEastAsia"/>
          <w:i w:val="0"/>
          <w:kern w:val="2"/>
          <w:sz w:val="20"/>
          <w:szCs w:val="20"/>
          <w14:ligatures w14:val="standardContextual"/>
        </w:rPr>
      </w:pPr>
      <w:hyperlink w:anchor="_Toc204411691" w:history="1">
        <w:r w:rsidRPr="00494238">
          <w:rPr>
            <w:rStyle w:val="Hyperlink"/>
            <w:i w:val="0"/>
            <w:sz w:val="20"/>
            <w:szCs w:val="20"/>
          </w:rPr>
          <w:t>6.6.5.3.1</w:t>
        </w:r>
        <w:r w:rsidRPr="00494238">
          <w:rPr>
            <w:rFonts w:eastAsiaTheme="minorEastAsia"/>
            <w:i w:val="0"/>
            <w:kern w:val="2"/>
            <w:sz w:val="20"/>
            <w:szCs w:val="20"/>
            <w14:ligatures w14:val="standardContextual"/>
          </w:rPr>
          <w:tab/>
        </w:r>
        <w:r w:rsidRPr="00494238">
          <w:rPr>
            <w:rStyle w:val="Hyperlink"/>
            <w:i w:val="0"/>
            <w:sz w:val="20"/>
            <w:szCs w:val="20"/>
          </w:rPr>
          <w:t>Controllable Load Resource Set Point Deviation Charge for Under Consumption</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_Toc204411691 \h </w:instrText>
        </w:r>
        <w:r w:rsidRPr="00494238">
          <w:rPr>
            <w:i w:val="0"/>
            <w:webHidden/>
            <w:sz w:val="20"/>
            <w:szCs w:val="20"/>
          </w:rPr>
        </w:r>
        <w:r w:rsidRPr="00494238">
          <w:rPr>
            <w:i w:val="0"/>
            <w:webHidden/>
            <w:sz w:val="20"/>
            <w:szCs w:val="20"/>
          </w:rPr>
          <w:fldChar w:fldCharType="separate"/>
        </w:r>
        <w:r w:rsidRPr="00494238">
          <w:rPr>
            <w:i w:val="0"/>
            <w:webHidden/>
            <w:sz w:val="20"/>
            <w:szCs w:val="20"/>
          </w:rPr>
          <w:t>6-284</w:t>
        </w:r>
        <w:r w:rsidRPr="00494238">
          <w:rPr>
            <w:i w:val="0"/>
            <w:webHidden/>
            <w:sz w:val="20"/>
            <w:szCs w:val="20"/>
          </w:rPr>
          <w:fldChar w:fldCharType="end"/>
        </w:r>
      </w:hyperlink>
    </w:p>
    <w:p w14:paraId="51B329F6" w14:textId="107D3994" w:rsidR="00494238" w:rsidRPr="00494238" w:rsidRDefault="00494238">
      <w:pPr>
        <w:pStyle w:val="TOC4"/>
        <w:rPr>
          <w:rFonts w:eastAsiaTheme="minorEastAsia"/>
          <w:kern w:val="2"/>
          <w:lang w:val="en-US"/>
          <w14:ligatures w14:val="standardContextual"/>
        </w:rPr>
      </w:pPr>
      <w:hyperlink w:anchor="_Toc204411692" w:history="1">
        <w:r w:rsidRPr="00494238">
          <w:rPr>
            <w:rStyle w:val="Hyperlink"/>
          </w:rPr>
          <w:t>6.6.5.2</w:t>
        </w:r>
        <w:r w:rsidRPr="00494238">
          <w:rPr>
            <w:rFonts w:eastAsiaTheme="minorEastAsia"/>
            <w:kern w:val="2"/>
            <w:lang w:val="en-US"/>
            <w14:ligatures w14:val="standardContextual"/>
          </w:rPr>
          <w:tab/>
        </w:r>
        <w:r w:rsidRPr="00494238">
          <w:rPr>
            <w:rStyle w:val="Hyperlink"/>
          </w:rPr>
          <w:t>IRR Generation Resource Base Point Deviation Charge</w:t>
        </w:r>
        <w:r w:rsidRPr="00494238">
          <w:rPr>
            <w:webHidden/>
          </w:rPr>
          <w:tab/>
        </w:r>
        <w:r w:rsidRPr="00494238">
          <w:rPr>
            <w:webHidden/>
          </w:rPr>
          <w:fldChar w:fldCharType="begin"/>
        </w:r>
        <w:r w:rsidRPr="00494238">
          <w:rPr>
            <w:webHidden/>
          </w:rPr>
          <w:instrText xml:space="preserve"> PAGEREF _Toc204411692 \h </w:instrText>
        </w:r>
        <w:r w:rsidRPr="00494238">
          <w:rPr>
            <w:webHidden/>
          </w:rPr>
        </w:r>
        <w:r w:rsidRPr="00494238">
          <w:rPr>
            <w:webHidden/>
          </w:rPr>
          <w:fldChar w:fldCharType="separate"/>
        </w:r>
        <w:r w:rsidRPr="00494238">
          <w:rPr>
            <w:webHidden/>
          </w:rPr>
          <w:t>6-286</w:t>
        </w:r>
        <w:r w:rsidRPr="00494238">
          <w:rPr>
            <w:webHidden/>
          </w:rPr>
          <w:fldChar w:fldCharType="end"/>
        </w:r>
      </w:hyperlink>
    </w:p>
    <w:p w14:paraId="615D923D" w14:textId="0F862619" w:rsidR="00494238" w:rsidRPr="00494238" w:rsidRDefault="00494238">
      <w:pPr>
        <w:pStyle w:val="TOC4"/>
        <w:rPr>
          <w:rFonts w:eastAsiaTheme="minorEastAsia"/>
          <w:kern w:val="2"/>
          <w:lang w:val="en-US"/>
          <w14:ligatures w14:val="standardContextual"/>
        </w:rPr>
      </w:pPr>
      <w:hyperlink w:anchor="_Toc204411693" w:history="1">
        <w:r w:rsidRPr="00494238">
          <w:rPr>
            <w:rStyle w:val="Hyperlink"/>
          </w:rPr>
          <w:t>6.6.5.4</w:t>
        </w:r>
        <w:r w:rsidRPr="00494238">
          <w:rPr>
            <w:rFonts w:eastAsiaTheme="minorEastAsia"/>
            <w:kern w:val="2"/>
            <w:lang w:val="en-US"/>
            <w14:ligatures w14:val="standardContextual"/>
          </w:rPr>
          <w:tab/>
        </w:r>
        <w:r w:rsidRPr="00494238">
          <w:rPr>
            <w:rStyle w:val="Hyperlink"/>
          </w:rPr>
          <w:t>IRR Generation Resource Set Point Deviation Charge</w:t>
        </w:r>
        <w:r w:rsidRPr="00494238">
          <w:rPr>
            <w:webHidden/>
          </w:rPr>
          <w:tab/>
        </w:r>
        <w:r w:rsidRPr="00494238">
          <w:rPr>
            <w:webHidden/>
          </w:rPr>
          <w:fldChar w:fldCharType="begin"/>
        </w:r>
        <w:r w:rsidRPr="00494238">
          <w:rPr>
            <w:webHidden/>
          </w:rPr>
          <w:instrText xml:space="preserve"> PAGEREF _Toc204411693 \h </w:instrText>
        </w:r>
        <w:r w:rsidRPr="00494238">
          <w:rPr>
            <w:webHidden/>
          </w:rPr>
        </w:r>
        <w:r w:rsidRPr="00494238">
          <w:rPr>
            <w:webHidden/>
          </w:rPr>
          <w:fldChar w:fldCharType="separate"/>
        </w:r>
        <w:r w:rsidRPr="00494238">
          <w:rPr>
            <w:webHidden/>
          </w:rPr>
          <w:t>6-288</w:t>
        </w:r>
        <w:r w:rsidRPr="00494238">
          <w:rPr>
            <w:webHidden/>
          </w:rPr>
          <w:fldChar w:fldCharType="end"/>
        </w:r>
      </w:hyperlink>
    </w:p>
    <w:p w14:paraId="5DC02020" w14:textId="74ABC827" w:rsidR="00494238" w:rsidRPr="00494238" w:rsidRDefault="00494238">
      <w:pPr>
        <w:pStyle w:val="TOC4"/>
        <w:rPr>
          <w:rFonts w:eastAsiaTheme="minorEastAsia"/>
          <w:kern w:val="2"/>
          <w:lang w:val="en-US"/>
          <w14:ligatures w14:val="standardContextual"/>
        </w:rPr>
      </w:pPr>
      <w:hyperlink w:anchor="_Toc204411694" w:history="1">
        <w:r w:rsidRPr="00494238">
          <w:rPr>
            <w:rStyle w:val="Hyperlink"/>
          </w:rPr>
          <w:t>6.6.5.5</w:t>
        </w:r>
        <w:r w:rsidRPr="00494238">
          <w:rPr>
            <w:rFonts w:eastAsiaTheme="minorEastAsia"/>
            <w:kern w:val="2"/>
            <w:lang w:val="en-US"/>
            <w14:ligatures w14:val="standardContextual"/>
          </w:rPr>
          <w:tab/>
        </w:r>
        <w:r w:rsidRPr="00494238">
          <w:rPr>
            <w:rStyle w:val="Hyperlink"/>
          </w:rPr>
          <w:t>Energy Storage Resource Set Point Deviation Charge for Over Performance</w:t>
        </w:r>
        <w:r w:rsidRPr="00494238">
          <w:rPr>
            <w:webHidden/>
          </w:rPr>
          <w:tab/>
        </w:r>
        <w:r w:rsidRPr="00494238">
          <w:rPr>
            <w:webHidden/>
          </w:rPr>
          <w:fldChar w:fldCharType="begin"/>
        </w:r>
        <w:r w:rsidRPr="00494238">
          <w:rPr>
            <w:webHidden/>
          </w:rPr>
          <w:instrText xml:space="preserve"> PAGEREF _Toc204411694 \h </w:instrText>
        </w:r>
        <w:r w:rsidRPr="00494238">
          <w:rPr>
            <w:webHidden/>
          </w:rPr>
        </w:r>
        <w:r w:rsidRPr="00494238">
          <w:rPr>
            <w:webHidden/>
          </w:rPr>
          <w:fldChar w:fldCharType="separate"/>
        </w:r>
        <w:r w:rsidRPr="00494238">
          <w:rPr>
            <w:webHidden/>
          </w:rPr>
          <w:t>6-290</w:t>
        </w:r>
        <w:r w:rsidRPr="00494238">
          <w:rPr>
            <w:webHidden/>
          </w:rPr>
          <w:fldChar w:fldCharType="end"/>
        </w:r>
      </w:hyperlink>
    </w:p>
    <w:p w14:paraId="2E9D5008" w14:textId="62FE8915" w:rsidR="00494238" w:rsidRPr="00494238" w:rsidRDefault="00494238">
      <w:pPr>
        <w:pStyle w:val="TOC4"/>
        <w:rPr>
          <w:rFonts w:eastAsiaTheme="minorEastAsia"/>
          <w:kern w:val="2"/>
          <w:lang w:val="en-US"/>
          <w14:ligatures w14:val="standardContextual"/>
        </w:rPr>
      </w:pPr>
      <w:hyperlink w:anchor="_Toc204411695" w:history="1">
        <w:r w:rsidRPr="00494238">
          <w:rPr>
            <w:rStyle w:val="Hyperlink"/>
          </w:rPr>
          <w:t>6.6.5.5.1</w:t>
        </w:r>
        <w:r w:rsidRPr="00494238">
          <w:rPr>
            <w:rFonts w:eastAsiaTheme="minorEastAsia"/>
            <w:kern w:val="2"/>
            <w:lang w:val="en-US"/>
            <w14:ligatures w14:val="standardContextual"/>
          </w:rPr>
          <w:tab/>
        </w:r>
        <w:r w:rsidRPr="00494238">
          <w:rPr>
            <w:rStyle w:val="Hyperlink"/>
          </w:rPr>
          <w:t>Energy Storage Resource Set Point Deviation Charge for Under Performance</w:t>
        </w:r>
        <w:r w:rsidRPr="00494238">
          <w:rPr>
            <w:webHidden/>
          </w:rPr>
          <w:tab/>
        </w:r>
        <w:r w:rsidRPr="00494238">
          <w:rPr>
            <w:webHidden/>
          </w:rPr>
          <w:fldChar w:fldCharType="begin"/>
        </w:r>
        <w:r w:rsidRPr="00494238">
          <w:rPr>
            <w:webHidden/>
          </w:rPr>
          <w:instrText xml:space="preserve"> PAGEREF _Toc204411695 \h </w:instrText>
        </w:r>
        <w:r w:rsidRPr="00494238">
          <w:rPr>
            <w:webHidden/>
          </w:rPr>
        </w:r>
        <w:r w:rsidRPr="00494238">
          <w:rPr>
            <w:webHidden/>
          </w:rPr>
          <w:fldChar w:fldCharType="separate"/>
        </w:r>
        <w:r w:rsidRPr="00494238">
          <w:rPr>
            <w:webHidden/>
          </w:rPr>
          <w:t>6-292</w:t>
        </w:r>
        <w:r w:rsidRPr="00494238">
          <w:rPr>
            <w:webHidden/>
          </w:rPr>
          <w:fldChar w:fldCharType="end"/>
        </w:r>
      </w:hyperlink>
    </w:p>
    <w:p w14:paraId="641405AA" w14:textId="30CEC754" w:rsidR="00494238" w:rsidRPr="00494238" w:rsidRDefault="00494238">
      <w:pPr>
        <w:pStyle w:val="TOC4"/>
        <w:rPr>
          <w:rFonts w:eastAsiaTheme="minorEastAsia"/>
          <w:kern w:val="2"/>
          <w:lang w:val="en-US"/>
          <w14:ligatures w14:val="standardContextual"/>
        </w:rPr>
      </w:pPr>
      <w:hyperlink w:anchor="_Toc204411696" w:history="1">
        <w:r w:rsidRPr="00494238">
          <w:rPr>
            <w:rStyle w:val="Hyperlink"/>
          </w:rPr>
          <w:t>6.6.5.3</w:t>
        </w:r>
        <w:r w:rsidRPr="00494238">
          <w:rPr>
            <w:rFonts w:eastAsiaTheme="minorEastAsia"/>
            <w:kern w:val="2"/>
            <w:lang w:val="en-US"/>
            <w14:ligatures w14:val="standardContextual"/>
          </w:rPr>
          <w:tab/>
        </w:r>
        <w:r w:rsidRPr="00494238">
          <w:rPr>
            <w:rStyle w:val="Hyperlink"/>
          </w:rPr>
          <w:t>Resources Exempt from Deviation Charges</w:t>
        </w:r>
        <w:r w:rsidRPr="00494238">
          <w:rPr>
            <w:webHidden/>
          </w:rPr>
          <w:tab/>
        </w:r>
        <w:r w:rsidRPr="00494238">
          <w:rPr>
            <w:webHidden/>
          </w:rPr>
          <w:fldChar w:fldCharType="begin"/>
        </w:r>
        <w:r w:rsidRPr="00494238">
          <w:rPr>
            <w:webHidden/>
          </w:rPr>
          <w:instrText xml:space="preserve"> PAGEREF _Toc204411696 \h </w:instrText>
        </w:r>
        <w:r w:rsidRPr="00494238">
          <w:rPr>
            <w:webHidden/>
          </w:rPr>
        </w:r>
        <w:r w:rsidRPr="00494238">
          <w:rPr>
            <w:webHidden/>
          </w:rPr>
          <w:fldChar w:fldCharType="separate"/>
        </w:r>
        <w:r w:rsidRPr="00494238">
          <w:rPr>
            <w:webHidden/>
          </w:rPr>
          <w:t>6-293</w:t>
        </w:r>
        <w:r w:rsidRPr="00494238">
          <w:rPr>
            <w:webHidden/>
          </w:rPr>
          <w:fldChar w:fldCharType="end"/>
        </w:r>
      </w:hyperlink>
    </w:p>
    <w:p w14:paraId="6F2A44E3" w14:textId="2D742CC9" w:rsidR="00494238" w:rsidRPr="00494238" w:rsidRDefault="00494238">
      <w:pPr>
        <w:pStyle w:val="TOC4"/>
        <w:rPr>
          <w:rFonts w:eastAsiaTheme="minorEastAsia"/>
          <w:kern w:val="2"/>
          <w:lang w:val="en-US"/>
          <w14:ligatures w14:val="standardContextual"/>
        </w:rPr>
      </w:pPr>
      <w:hyperlink w:anchor="_Toc204411697" w:history="1">
        <w:r w:rsidRPr="00494238">
          <w:rPr>
            <w:rStyle w:val="Hyperlink"/>
          </w:rPr>
          <w:t>6.6.5.6</w:t>
        </w:r>
        <w:r w:rsidRPr="00494238">
          <w:rPr>
            <w:rFonts w:eastAsiaTheme="minorEastAsia"/>
            <w:kern w:val="2"/>
            <w:lang w:val="en-US"/>
            <w14:ligatures w14:val="standardContextual"/>
          </w:rPr>
          <w:tab/>
        </w:r>
        <w:r w:rsidRPr="00494238">
          <w:rPr>
            <w:rStyle w:val="Hyperlink"/>
          </w:rPr>
          <w:t>Resources Exempt from Deviation Charges</w:t>
        </w:r>
        <w:r w:rsidRPr="00494238">
          <w:rPr>
            <w:webHidden/>
          </w:rPr>
          <w:tab/>
        </w:r>
        <w:r w:rsidRPr="00494238">
          <w:rPr>
            <w:webHidden/>
          </w:rPr>
          <w:fldChar w:fldCharType="begin"/>
        </w:r>
        <w:r w:rsidRPr="00494238">
          <w:rPr>
            <w:webHidden/>
          </w:rPr>
          <w:instrText xml:space="preserve"> PAGEREF _Toc204411697 \h </w:instrText>
        </w:r>
        <w:r w:rsidRPr="00494238">
          <w:rPr>
            <w:webHidden/>
          </w:rPr>
        </w:r>
        <w:r w:rsidRPr="00494238">
          <w:rPr>
            <w:webHidden/>
          </w:rPr>
          <w:fldChar w:fldCharType="separate"/>
        </w:r>
        <w:r w:rsidRPr="00494238">
          <w:rPr>
            <w:webHidden/>
          </w:rPr>
          <w:t>6-294</w:t>
        </w:r>
        <w:r w:rsidRPr="00494238">
          <w:rPr>
            <w:webHidden/>
          </w:rPr>
          <w:fldChar w:fldCharType="end"/>
        </w:r>
      </w:hyperlink>
    </w:p>
    <w:p w14:paraId="43A1BB84" w14:textId="20780E30" w:rsidR="00494238" w:rsidRPr="00494238" w:rsidRDefault="00494238">
      <w:pPr>
        <w:pStyle w:val="TOC4"/>
        <w:rPr>
          <w:rFonts w:eastAsiaTheme="minorEastAsia"/>
          <w:kern w:val="2"/>
          <w:lang w:val="en-US"/>
          <w14:ligatures w14:val="standardContextual"/>
        </w:rPr>
      </w:pPr>
      <w:hyperlink w:anchor="_Toc204411698" w:history="1">
        <w:r w:rsidRPr="00494238">
          <w:rPr>
            <w:rStyle w:val="Hyperlink"/>
          </w:rPr>
          <w:t>6.6.5.4</w:t>
        </w:r>
        <w:r w:rsidRPr="00494238">
          <w:rPr>
            <w:rFonts w:eastAsiaTheme="minorEastAsia"/>
            <w:kern w:val="2"/>
            <w:lang w:val="en-US"/>
            <w14:ligatures w14:val="standardContextual"/>
          </w:rPr>
          <w:tab/>
        </w:r>
        <w:r w:rsidRPr="00494238">
          <w:rPr>
            <w:rStyle w:val="Hyperlink"/>
          </w:rPr>
          <w:t>Base Point Deviation Payment</w:t>
        </w:r>
        <w:r w:rsidRPr="00494238">
          <w:rPr>
            <w:webHidden/>
          </w:rPr>
          <w:tab/>
        </w:r>
        <w:r w:rsidRPr="00494238">
          <w:rPr>
            <w:webHidden/>
          </w:rPr>
          <w:fldChar w:fldCharType="begin"/>
        </w:r>
        <w:r w:rsidRPr="00494238">
          <w:rPr>
            <w:webHidden/>
          </w:rPr>
          <w:instrText xml:space="preserve"> PAGEREF _Toc204411698 \h </w:instrText>
        </w:r>
        <w:r w:rsidRPr="00494238">
          <w:rPr>
            <w:webHidden/>
          </w:rPr>
        </w:r>
        <w:r w:rsidRPr="00494238">
          <w:rPr>
            <w:webHidden/>
          </w:rPr>
          <w:fldChar w:fldCharType="separate"/>
        </w:r>
        <w:r w:rsidRPr="00494238">
          <w:rPr>
            <w:webHidden/>
          </w:rPr>
          <w:t>6-295</w:t>
        </w:r>
        <w:r w:rsidRPr="00494238">
          <w:rPr>
            <w:webHidden/>
          </w:rPr>
          <w:fldChar w:fldCharType="end"/>
        </w:r>
      </w:hyperlink>
    </w:p>
    <w:p w14:paraId="2EA384F4" w14:textId="7830F0CC" w:rsidR="00494238" w:rsidRPr="00494238" w:rsidRDefault="00494238">
      <w:pPr>
        <w:pStyle w:val="TOC4"/>
        <w:rPr>
          <w:rFonts w:eastAsiaTheme="minorEastAsia"/>
          <w:kern w:val="2"/>
          <w:lang w:val="en-US"/>
          <w14:ligatures w14:val="standardContextual"/>
        </w:rPr>
      </w:pPr>
      <w:hyperlink w:anchor="_Toc204411699" w:history="1">
        <w:r w:rsidRPr="00494238">
          <w:rPr>
            <w:rStyle w:val="Hyperlink"/>
            <w:snapToGrid w:val="0"/>
          </w:rPr>
          <w:t>6.6.5.4</w:t>
        </w:r>
        <w:r w:rsidRPr="00494238">
          <w:rPr>
            <w:rFonts w:eastAsiaTheme="minorEastAsia"/>
            <w:kern w:val="2"/>
            <w:lang w:val="en-US"/>
            <w14:ligatures w14:val="standardContextual"/>
          </w:rPr>
          <w:tab/>
        </w:r>
        <w:r w:rsidRPr="00494238">
          <w:rPr>
            <w:rStyle w:val="Hyperlink"/>
            <w:snapToGrid w:val="0"/>
          </w:rPr>
          <w:t>Set Point Deviation Payment</w:t>
        </w:r>
        <w:r w:rsidRPr="00494238">
          <w:rPr>
            <w:webHidden/>
          </w:rPr>
          <w:tab/>
        </w:r>
        <w:r w:rsidRPr="00494238">
          <w:rPr>
            <w:webHidden/>
          </w:rPr>
          <w:fldChar w:fldCharType="begin"/>
        </w:r>
        <w:r w:rsidRPr="00494238">
          <w:rPr>
            <w:webHidden/>
          </w:rPr>
          <w:instrText xml:space="preserve"> PAGEREF _Toc204411699 \h </w:instrText>
        </w:r>
        <w:r w:rsidRPr="00494238">
          <w:rPr>
            <w:webHidden/>
          </w:rPr>
        </w:r>
        <w:r w:rsidRPr="00494238">
          <w:rPr>
            <w:webHidden/>
          </w:rPr>
          <w:fldChar w:fldCharType="separate"/>
        </w:r>
        <w:r w:rsidRPr="00494238">
          <w:rPr>
            <w:webHidden/>
          </w:rPr>
          <w:t>6-296</w:t>
        </w:r>
        <w:r w:rsidRPr="00494238">
          <w:rPr>
            <w:webHidden/>
          </w:rPr>
          <w:fldChar w:fldCharType="end"/>
        </w:r>
      </w:hyperlink>
    </w:p>
    <w:p w14:paraId="523061DA" w14:textId="7FDC5853" w:rsidR="00494238" w:rsidRPr="00494238" w:rsidRDefault="00494238">
      <w:pPr>
        <w:pStyle w:val="TOC3"/>
        <w:rPr>
          <w:rFonts w:eastAsiaTheme="minorEastAsia"/>
          <w:i w:val="0"/>
          <w:iCs w:val="0"/>
          <w:kern w:val="2"/>
          <w14:ligatures w14:val="standardContextual"/>
        </w:rPr>
      </w:pPr>
      <w:hyperlink w:anchor="_Toc204411700" w:history="1">
        <w:r w:rsidRPr="00494238">
          <w:rPr>
            <w:rStyle w:val="Hyperlink"/>
            <w:i w:val="0"/>
            <w:iCs w:val="0"/>
          </w:rPr>
          <w:t>6.6.6</w:t>
        </w:r>
        <w:r w:rsidRPr="00494238">
          <w:rPr>
            <w:rFonts w:eastAsiaTheme="minorEastAsia"/>
            <w:i w:val="0"/>
            <w:iCs w:val="0"/>
            <w:kern w:val="2"/>
            <w14:ligatures w14:val="standardContextual"/>
          </w:rPr>
          <w:tab/>
        </w:r>
        <w:r w:rsidRPr="00494238">
          <w:rPr>
            <w:rStyle w:val="Hyperlink"/>
            <w:i w:val="0"/>
            <w:iCs w:val="0"/>
          </w:rPr>
          <w:t>Reliability Must-Run Settlement</w:t>
        </w:r>
        <w:r w:rsidRPr="00494238">
          <w:rPr>
            <w:i w:val="0"/>
            <w:iCs w:val="0"/>
            <w:webHidden/>
          </w:rPr>
          <w:tab/>
        </w:r>
        <w:r w:rsidRPr="00494238">
          <w:rPr>
            <w:i w:val="0"/>
            <w:iCs w:val="0"/>
            <w:webHidden/>
          </w:rPr>
          <w:fldChar w:fldCharType="begin"/>
        </w:r>
        <w:r w:rsidRPr="00494238">
          <w:rPr>
            <w:i w:val="0"/>
            <w:iCs w:val="0"/>
            <w:webHidden/>
          </w:rPr>
          <w:instrText xml:space="preserve"> PAGEREF _Toc204411700 \h </w:instrText>
        </w:r>
        <w:r w:rsidRPr="00494238">
          <w:rPr>
            <w:i w:val="0"/>
            <w:iCs w:val="0"/>
            <w:webHidden/>
          </w:rPr>
        </w:r>
        <w:r w:rsidRPr="00494238">
          <w:rPr>
            <w:i w:val="0"/>
            <w:iCs w:val="0"/>
            <w:webHidden/>
          </w:rPr>
          <w:fldChar w:fldCharType="separate"/>
        </w:r>
        <w:r w:rsidRPr="00494238">
          <w:rPr>
            <w:i w:val="0"/>
            <w:iCs w:val="0"/>
            <w:webHidden/>
          </w:rPr>
          <w:t>6-297</w:t>
        </w:r>
        <w:r w:rsidRPr="00494238">
          <w:rPr>
            <w:i w:val="0"/>
            <w:iCs w:val="0"/>
            <w:webHidden/>
          </w:rPr>
          <w:fldChar w:fldCharType="end"/>
        </w:r>
      </w:hyperlink>
    </w:p>
    <w:p w14:paraId="2526C08A" w14:textId="734A58DE" w:rsidR="00494238" w:rsidRPr="00494238" w:rsidRDefault="00494238">
      <w:pPr>
        <w:pStyle w:val="TOC3"/>
        <w:rPr>
          <w:rFonts w:eastAsiaTheme="minorEastAsia"/>
          <w:i w:val="0"/>
          <w:iCs w:val="0"/>
          <w:kern w:val="2"/>
          <w14:ligatures w14:val="standardContextual"/>
        </w:rPr>
      </w:pPr>
      <w:hyperlink w:anchor="_Toc204411701" w:history="1">
        <w:r w:rsidRPr="00494238">
          <w:rPr>
            <w:rStyle w:val="Hyperlink"/>
            <w:i w:val="0"/>
            <w:iCs w:val="0"/>
          </w:rPr>
          <w:t>6.6.6</w:t>
        </w:r>
        <w:r w:rsidRPr="00494238">
          <w:rPr>
            <w:rFonts w:eastAsiaTheme="minorEastAsia"/>
            <w:i w:val="0"/>
            <w:iCs w:val="0"/>
            <w:kern w:val="2"/>
            <w14:ligatures w14:val="standardContextual"/>
          </w:rPr>
          <w:tab/>
        </w:r>
        <w:r w:rsidRPr="00494238">
          <w:rPr>
            <w:rStyle w:val="Hyperlink"/>
            <w:i w:val="0"/>
            <w:iCs w:val="0"/>
          </w:rPr>
          <w:t>Reliability Must-Run and Must-Run Alternative Settlement</w:t>
        </w:r>
        <w:r w:rsidRPr="00494238">
          <w:rPr>
            <w:i w:val="0"/>
            <w:iCs w:val="0"/>
            <w:webHidden/>
          </w:rPr>
          <w:tab/>
        </w:r>
        <w:r w:rsidRPr="00494238">
          <w:rPr>
            <w:i w:val="0"/>
            <w:iCs w:val="0"/>
            <w:webHidden/>
          </w:rPr>
          <w:fldChar w:fldCharType="begin"/>
        </w:r>
        <w:r w:rsidRPr="00494238">
          <w:rPr>
            <w:i w:val="0"/>
            <w:iCs w:val="0"/>
            <w:webHidden/>
          </w:rPr>
          <w:instrText xml:space="preserve"> PAGEREF _Toc204411701 \h </w:instrText>
        </w:r>
        <w:r w:rsidRPr="00494238">
          <w:rPr>
            <w:i w:val="0"/>
            <w:iCs w:val="0"/>
            <w:webHidden/>
          </w:rPr>
        </w:r>
        <w:r w:rsidRPr="00494238">
          <w:rPr>
            <w:i w:val="0"/>
            <w:iCs w:val="0"/>
            <w:webHidden/>
          </w:rPr>
          <w:fldChar w:fldCharType="separate"/>
        </w:r>
        <w:r w:rsidRPr="00494238">
          <w:rPr>
            <w:i w:val="0"/>
            <w:iCs w:val="0"/>
            <w:webHidden/>
          </w:rPr>
          <w:t>6-297</w:t>
        </w:r>
        <w:r w:rsidRPr="00494238">
          <w:rPr>
            <w:i w:val="0"/>
            <w:iCs w:val="0"/>
            <w:webHidden/>
          </w:rPr>
          <w:fldChar w:fldCharType="end"/>
        </w:r>
      </w:hyperlink>
    </w:p>
    <w:p w14:paraId="5AB52787" w14:textId="698AE798" w:rsidR="00494238" w:rsidRPr="00494238" w:rsidRDefault="00494238">
      <w:pPr>
        <w:pStyle w:val="TOC4"/>
        <w:rPr>
          <w:rFonts w:eastAsiaTheme="minorEastAsia"/>
          <w:kern w:val="2"/>
          <w:lang w:val="en-US"/>
          <w14:ligatures w14:val="standardContextual"/>
        </w:rPr>
      </w:pPr>
      <w:hyperlink w:anchor="_Toc204411702" w:history="1">
        <w:r w:rsidRPr="00494238">
          <w:rPr>
            <w:rStyle w:val="Hyperlink"/>
          </w:rPr>
          <w:t>6.6.6.1</w:t>
        </w:r>
        <w:r w:rsidRPr="00494238">
          <w:rPr>
            <w:rFonts w:eastAsiaTheme="minorEastAsia"/>
            <w:kern w:val="2"/>
            <w:lang w:val="en-US"/>
            <w14:ligatures w14:val="standardContextual"/>
          </w:rPr>
          <w:tab/>
        </w:r>
        <w:r w:rsidRPr="00494238">
          <w:rPr>
            <w:rStyle w:val="Hyperlink"/>
          </w:rPr>
          <w:t>RMR Standby Payment</w:t>
        </w:r>
        <w:r w:rsidRPr="00494238">
          <w:rPr>
            <w:webHidden/>
          </w:rPr>
          <w:tab/>
        </w:r>
        <w:r w:rsidRPr="00494238">
          <w:rPr>
            <w:webHidden/>
          </w:rPr>
          <w:fldChar w:fldCharType="begin"/>
        </w:r>
        <w:r w:rsidRPr="00494238">
          <w:rPr>
            <w:webHidden/>
          </w:rPr>
          <w:instrText xml:space="preserve"> PAGEREF _Toc204411702 \h </w:instrText>
        </w:r>
        <w:r w:rsidRPr="00494238">
          <w:rPr>
            <w:webHidden/>
          </w:rPr>
        </w:r>
        <w:r w:rsidRPr="00494238">
          <w:rPr>
            <w:webHidden/>
          </w:rPr>
          <w:fldChar w:fldCharType="separate"/>
        </w:r>
        <w:r w:rsidRPr="00494238">
          <w:rPr>
            <w:webHidden/>
          </w:rPr>
          <w:t>6-297</w:t>
        </w:r>
        <w:r w:rsidRPr="00494238">
          <w:rPr>
            <w:webHidden/>
          </w:rPr>
          <w:fldChar w:fldCharType="end"/>
        </w:r>
      </w:hyperlink>
    </w:p>
    <w:p w14:paraId="72BA4520" w14:textId="057B01E0" w:rsidR="00494238" w:rsidRPr="00494238" w:rsidRDefault="00494238">
      <w:pPr>
        <w:pStyle w:val="TOC4"/>
        <w:rPr>
          <w:rFonts w:eastAsiaTheme="minorEastAsia"/>
          <w:kern w:val="2"/>
          <w:lang w:val="en-US"/>
          <w14:ligatures w14:val="standardContextual"/>
        </w:rPr>
      </w:pPr>
      <w:hyperlink w:anchor="_Toc204411703" w:history="1">
        <w:r w:rsidRPr="00494238">
          <w:rPr>
            <w:rStyle w:val="Hyperlink"/>
          </w:rPr>
          <w:t>6.6.6.2</w:t>
        </w:r>
        <w:r w:rsidRPr="00494238">
          <w:rPr>
            <w:rFonts w:eastAsiaTheme="minorEastAsia"/>
            <w:kern w:val="2"/>
            <w:lang w:val="en-US"/>
            <w14:ligatures w14:val="standardContextual"/>
          </w:rPr>
          <w:tab/>
        </w:r>
        <w:r w:rsidRPr="00494238">
          <w:rPr>
            <w:rStyle w:val="Hyperlink"/>
          </w:rPr>
          <w:t>RMR Payment for Energy</w:t>
        </w:r>
        <w:r w:rsidRPr="00494238">
          <w:rPr>
            <w:webHidden/>
          </w:rPr>
          <w:tab/>
        </w:r>
        <w:r w:rsidRPr="00494238">
          <w:rPr>
            <w:webHidden/>
          </w:rPr>
          <w:fldChar w:fldCharType="begin"/>
        </w:r>
        <w:r w:rsidRPr="00494238">
          <w:rPr>
            <w:webHidden/>
          </w:rPr>
          <w:instrText xml:space="preserve"> PAGEREF _Toc204411703 \h </w:instrText>
        </w:r>
        <w:r w:rsidRPr="00494238">
          <w:rPr>
            <w:webHidden/>
          </w:rPr>
        </w:r>
        <w:r w:rsidRPr="00494238">
          <w:rPr>
            <w:webHidden/>
          </w:rPr>
          <w:fldChar w:fldCharType="separate"/>
        </w:r>
        <w:r w:rsidRPr="00494238">
          <w:rPr>
            <w:webHidden/>
          </w:rPr>
          <w:t>6-300</w:t>
        </w:r>
        <w:r w:rsidRPr="00494238">
          <w:rPr>
            <w:webHidden/>
          </w:rPr>
          <w:fldChar w:fldCharType="end"/>
        </w:r>
      </w:hyperlink>
    </w:p>
    <w:p w14:paraId="6EFAC9B8" w14:textId="3356F189" w:rsidR="00494238" w:rsidRPr="00494238" w:rsidRDefault="00494238">
      <w:pPr>
        <w:pStyle w:val="TOC4"/>
        <w:rPr>
          <w:rFonts w:eastAsiaTheme="minorEastAsia"/>
          <w:kern w:val="2"/>
          <w:lang w:val="en-US"/>
          <w14:ligatures w14:val="standardContextual"/>
        </w:rPr>
      </w:pPr>
      <w:hyperlink w:anchor="_Toc204411704" w:history="1">
        <w:r w:rsidRPr="00494238">
          <w:rPr>
            <w:rStyle w:val="Hyperlink"/>
          </w:rPr>
          <w:t>6.6.6.3</w:t>
        </w:r>
        <w:r w:rsidRPr="00494238">
          <w:rPr>
            <w:rFonts w:eastAsiaTheme="minorEastAsia"/>
            <w:kern w:val="2"/>
            <w:lang w:val="en-US"/>
            <w14:ligatures w14:val="standardContextual"/>
          </w:rPr>
          <w:tab/>
        </w:r>
        <w:r w:rsidRPr="00494238">
          <w:rPr>
            <w:rStyle w:val="Hyperlink"/>
          </w:rPr>
          <w:t>RMR Adjustment Charge</w:t>
        </w:r>
        <w:r w:rsidRPr="00494238">
          <w:rPr>
            <w:webHidden/>
          </w:rPr>
          <w:tab/>
        </w:r>
        <w:r w:rsidRPr="00494238">
          <w:rPr>
            <w:webHidden/>
          </w:rPr>
          <w:fldChar w:fldCharType="begin"/>
        </w:r>
        <w:r w:rsidRPr="00494238">
          <w:rPr>
            <w:webHidden/>
          </w:rPr>
          <w:instrText xml:space="preserve"> PAGEREF _Toc204411704 \h </w:instrText>
        </w:r>
        <w:r w:rsidRPr="00494238">
          <w:rPr>
            <w:webHidden/>
          </w:rPr>
        </w:r>
        <w:r w:rsidRPr="00494238">
          <w:rPr>
            <w:webHidden/>
          </w:rPr>
          <w:fldChar w:fldCharType="separate"/>
        </w:r>
        <w:r w:rsidRPr="00494238">
          <w:rPr>
            <w:webHidden/>
          </w:rPr>
          <w:t>6-303</w:t>
        </w:r>
        <w:r w:rsidRPr="00494238">
          <w:rPr>
            <w:webHidden/>
          </w:rPr>
          <w:fldChar w:fldCharType="end"/>
        </w:r>
      </w:hyperlink>
    </w:p>
    <w:p w14:paraId="261983AB" w14:textId="36D25FC1" w:rsidR="00494238" w:rsidRPr="00494238" w:rsidRDefault="00494238">
      <w:pPr>
        <w:pStyle w:val="TOC4"/>
        <w:rPr>
          <w:rFonts w:eastAsiaTheme="minorEastAsia"/>
          <w:kern w:val="2"/>
          <w:lang w:val="en-US"/>
          <w14:ligatures w14:val="standardContextual"/>
        </w:rPr>
      </w:pPr>
      <w:hyperlink w:anchor="_Toc204411705" w:history="1">
        <w:r w:rsidRPr="00494238">
          <w:rPr>
            <w:rStyle w:val="Hyperlink"/>
          </w:rPr>
          <w:t>6.6.6.4</w:t>
        </w:r>
        <w:r w:rsidRPr="00494238">
          <w:rPr>
            <w:rFonts w:eastAsiaTheme="minorEastAsia"/>
            <w:kern w:val="2"/>
            <w:lang w:val="en-US"/>
            <w14:ligatures w14:val="standardContextual"/>
          </w:rPr>
          <w:tab/>
        </w:r>
        <w:r w:rsidRPr="00494238">
          <w:rPr>
            <w:rStyle w:val="Hyperlink"/>
          </w:rPr>
          <w:t>RMR Charge for Unexcused Misconduct</w:t>
        </w:r>
        <w:r w:rsidRPr="00494238">
          <w:rPr>
            <w:webHidden/>
          </w:rPr>
          <w:tab/>
        </w:r>
        <w:r w:rsidRPr="00494238">
          <w:rPr>
            <w:webHidden/>
          </w:rPr>
          <w:fldChar w:fldCharType="begin"/>
        </w:r>
        <w:r w:rsidRPr="00494238">
          <w:rPr>
            <w:webHidden/>
          </w:rPr>
          <w:instrText xml:space="preserve"> PAGEREF _Toc204411705 \h </w:instrText>
        </w:r>
        <w:r w:rsidRPr="00494238">
          <w:rPr>
            <w:webHidden/>
          </w:rPr>
        </w:r>
        <w:r w:rsidRPr="00494238">
          <w:rPr>
            <w:webHidden/>
          </w:rPr>
          <w:fldChar w:fldCharType="separate"/>
        </w:r>
        <w:r w:rsidRPr="00494238">
          <w:rPr>
            <w:webHidden/>
          </w:rPr>
          <w:t>6-304</w:t>
        </w:r>
        <w:r w:rsidRPr="00494238">
          <w:rPr>
            <w:webHidden/>
          </w:rPr>
          <w:fldChar w:fldCharType="end"/>
        </w:r>
      </w:hyperlink>
    </w:p>
    <w:p w14:paraId="3BDCF949" w14:textId="65A70FF2" w:rsidR="00494238" w:rsidRPr="00494238" w:rsidRDefault="00494238">
      <w:pPr>
        <w:pStyle w:val="TOC4"/>
        <w:rPr>
          <w:rFonts w:eastAsiaTheme="minorEastAsia"/>
          <w:kern w:val="2"/>
          <w:lang w:val="en-US"/>
          <w14:ligatures w14:val="standardContextual"/>
        </w:rPr>
      </w:pPr>
      <w:hyperlink w:anchor="_Toc204411706" w:history="1">
        <w:r w:rsidRPr="00494238">
          <w:rPr>
            <w:rStyle w:val="Hyperlink"/>
          </w:rPr>
          <w:t>6.6.6.5</w:t>
        </w:r>
        <w:r w:rsidRPr="00494238">
          <w:rPr>
            <w:rFonts w:eastAsiaTheme="minorEastAsia"/>
            <w:kern w:val="2"/>
            <w:lang w:val="en-US"/>
            <w14:ligatures w14:val="standardContextual"/>
          </w:rPr>
          <w:tab/>
        </w:r>
        <w:r w:rsidRPr="00494238">
          <w:rPr>
            <w:rStyle w:val="Hyperlink"/>
          </w:rPr>
          <w:t>RMR Service Charge</w:t>
        </w:r>
        <w:r w:rsidRPr="00494238">
          <w:rPr>
            <w:webHidden/>
          </w:rPr>
          <w:tab/>
        </w:r>
        <w:r w:rsidRPr="00494238">
          <w:rPr>
            <w:webHidden/>
          </w:rPr>
          <w:fldChar w:fldCharType="begin"/>
        </w:r>
        <w:r w:rsidRPr="00494238">
          <w:rPr>
            <w:webHidden/>
          </w:rPr>
          <w:instrText xml:space="preserve"> PAGEREF _Toc204411706 \h </w:instrText>
        </w:r>
        <w:r w:rsidRPr="00494238">
          <w:rPr>
            <w:webHidden/>
          </w:rPr>
        </w:r>
        <w:r w:rsidRPr="00494238">
          <w:rPr>
            <w:webHidden/>
          </w:rPr>
          <w:fldChar w:fldCharType="separate"/>
        </w:r>
        <w:r w:rsidRPr="00494238">
          <w:rPr>
            <w:webHidden/>
          </w:rPr>
          <w:t>6-305</w:t>
        </w:r>
        <w:r w:rsidRPr="00494238">
          <w:rPr>
            <w:webHidden/>
          </w:rPr>
          <w:fldChar w:fldCharType="end"/>
        </w:r>
      </w:hyperlink>
    </w:p>
    <w:p w14:paraId="275427E8" w14:textId="1EFA1D5D" w:rsidR="00494238" w:rsidRPr="00494238" w:rsidRDefault="00494238">
      <w:pPr>
        <w:pStyle w:val="TOC4"/>
        <w:rPr>
          <w:rFonts w:eastAsiaTheme="minorEastAsia"/>
          <w:kern w:val="2"/>
          <w:lang w:val="en-US"/>
          <w14:ligatures w14:val="standardContextual"/>
        </w:rPr>
      </w:pPr>
      <w:hyperlink w:anchor="_Toc204411707" w:history="1">
        <w:r w:rsidRPr="00494238">
          <w:rPr>
            <w:rStyle w:val="Hyperlink"/>
          </w:rPr>
          <w:t>6.6.6.6</w:t>
        </w:r>
        <w:r w:rsidRPr="00494238">
          <w:rPr>
            <w:rFonts w:eastAsiaTheme="minorEastAsia"/>
            <w:kern w:val="2"/>
            <w:lang w:val="en-US"/>
            <w14:ligatures w14:val="standardContextual"/>
          </w:rPr>
          <w:tab/>
        </w:r>
        <w:r w:rsidRPr="00494238">
          <w:rPr>
            <w:rStyle w:val="Hyperlink"/>
          </w:rPr>
          <w:t>Method for Reconciling RMR Actual Eligible Costs, RMR and MRA Contributed Capital Expenditures, and Miscellaneous RMR Incurred Expenses</w:t>
        </w:r>
        <w:r w:rsidRPr="00494238">
          <w:rPr>
            <w:webHidden/>
          </w:rPr>
          <w:tab/>
        </w:r>
        <w:r w:rsidRPr="00494238">
          <w:rPr>
            <w:webHidden/>
          </w:rPr>
          <w:fldChar w:fldCharType="begin"/>
        </w:r>
        <w:r w:rsidRPr="00494238">
          <w:rPr>
            <w:webHidden/>
          </w:rPr>
          <w:instrText xml:space="preserve"> PAGEREF _Toc204411707 \h </w:instrText>
        </w:r>
        <w:r w:rsidRPr="00494238">
          <w:rPr>
            <w:webHidden/>
          </w:rPr>
        </w:r>
        <w:r w:rsidRPr="00494238">
          <w:rPr>
            <w:webHidden/>
          </w:rPr>
          <w:fldChar w:fldCharType="separate"/>
        </w:r>
        <w:r w:rsidRPr="00494238">
          <w:rPr>
            <w:webHidden/>
          </w:rPr>
          <w:t>6-306</w:t>
        </w:r>
        <w:r w:rsidRPr="00494238">
          <w:rPr>
            <w:webHidden/>
          </w:rPr>
          <w:fldChar w:fldCharType="end"/>
        </w:r>
      </w:hyperlink>
    </w:p>
    <w:p w14:paraId="628BC692" w14:textId="06BCA120" w:rsidR="00494238" w:rsidRPr="00494238" w:rsidRDefault="00494238">
      <w:pPr>
        <w:pStyle w:val="TOC4"/>
        <w:rPr>
          <w:rFonts w:eastAsiaTheme="minorEastAsia"/>
          <w:kern w:val="2"/>
          <w:lang w:val="en-US"/>
          <w14:ligatures w14:val="standardContextual"/>
        </w:rPr>
      </w:pPr>
      <w:hyperlink w:anchor="_Toc204411708" w:history="1">
        <w:r w:rsidRPr="00494238">
          <w:rPr>
            <w:rStyle w:val="Hyperlink"/>
            <w:snapToGrid w:val="0"/>
          </w:rPr>
          <w:t>6.6.6.7</w:t>
        </w:r>
        <w:r w:rsidRPr="00494238">
          <w:rPr>
            <w:rFonts w:eastAsiaTheme="minorEastAsia"/>
            <w:kern w:val="2"/>
            <w:lang w:val="en-US"/>
            <w14:ligatures w14:val="standardContextual"/>
          </w:rPr>
          <w:tab/>
        </w:r>
        <w:r w:rsidRPr="00494238">
          <w:rPr>
            <w:rStyle w:val="Hyperlink"/>
            <w:snapToGrid w:val="0"/>
          </w:rPr>
          <w:t>MRA Standby Payment</w:t>
        </w:r>
        <w:r w:rsidRPr="00494238">
          <w:rPr>
            <w:webHidden/>
          </w:rPr>
          <w:tab/>
        </w:r>
        <w:r w:rsidRPr="00494238">
          <w:rPr>
            <w:webHidden/>
          </w:rPr>
          <w:fldChar w:fldCharType="begin"/>
        </w:r>
        <w:r w:rsidRPr="00494238">
          <w:rPr>
            <w:webHidden/>
          </w:rPr>
          <w:instrText xml:space="preserve"> PAGEREF _Toc204411708 \h </w:instrText>
        </w:r>
        <w:r w:rsidRPr="00494238">
          <w:rPr>
            <w:webHidden/>
          </w:rPr>
        </w:r>
        <w:r w:rsidRPr="00494238">
          <w:rPr>
            <w:webHidden/>
          </w:rPr>
          <w:fldChar w:fldCharType="separate"/>
        </w:r>
        <w:r w:rsidRPr="00494238">
          <w:rPr>
            <w:webHidden/>
          </w:rPr>
          <w:t>6-310</w:t>
        </w:r>
        <w:r w:rsidRPr="00494238">
          <w:rPr>
            <w:webHidden/>
          </w:rPr>
          <w:fldChar w:fldCharType="end"/>
        </w:r>
      </w:hyperlink>
    </w:p>
    <w:p w14:paraId="274DC055" w14:textId="351AC4AC" w:rsidR="00494238" w:rsidRPr="00494238" w:rsidRDefault="00494238">
      <w:pPr>
        <w:pStyle w:val="TOC4"/>
        <w:rPr>
          <w:rFonts w:eastAsiaTheme="minorEastAsia"/>
          <w:kern w:val="2"/>
          <w:lang w:val="en-US"/>
          <w14:ligatures w14:val="standardContextual"/>
        </w:rPr>
      </w:pPr>
      <w:hyperlink w:anchor="_Toc204411709" w:history="1">
        <w:r w:rsidRPr="00494238">
          <w:rPr>
            <w:rStyle w:val="Hyperlink"/>
            <w:snapToGrid w:val="0"/>
          </w:rPr>
          <w:t>6.6.6.8</w:t>
        </w:r>
        <w:r w:rsidRPr="00494238">
          <w:rPr>
            <w:rFonts w:eastAsiaTheme="minorEastAsia"/>
            <w:kern w:val="2"/>
            <w:lang w:val="en-US"/>
            <w14:ligatures w14:val="standardContextual"/>
          </w:rPr>
          <w:tab/>
        </w:r>
        <w:r w:rsidRPr="00494238">
          <w:rPr>
            <w:rStyle w:val="Hyperlink"/>
            <w:snapToGrid w:val="0"/>
          </w:rPr>
          <w:t>MRA Contributed Capital Expenditures Payment</w:t>
        </w:r>
        <w:r w:rsidRPr="00494238">
          <w:rPr>
            <w:webHidden/>
          </w:rPr>
          <w:tab/>
        </w:r>
        <w:r w:rsidRPr="00494238">
          <w:rPr>
            <w:webHidden/>
          </w:rPr>
          <w:fldChar w:fldCharType="begin"/>
        </w:r>
        <w:r w:rsidRPr="00494238">
          <w:rPr>
            <w:webHidden/>
          </w:rPr>
          <w:instrText xml:space="preserve"> PAGEREF _Toc204411709 \h </w:instrText>
        </w:r>
        <w:r w:rsidRPr="00494238">
          <w:rPr>
            <w:webHidden/>
          </w:rPr>
        </w:r>
        <w:r w:rsidRPr="00494238">
          <w:rPr>
            <w:webHidden/>
          </w:rPr>
          <w:fldChar w:fldCharType="separate"/>
        </w:r>
        <w:r w:rsidRPr="00494238">
          <w:rPr>
            <w:webHidden/>
          </w:rPr>
          <w:t>6-314</w:t>
        </w:r>
        <w:r w:rsidRPr="00494238">
          <w:rPr>
            <w:webHidden/>
          </w:rPr>
          <w:fldChar w:fldCharType="end"/>
        </w:r>
      </w:hyperlink>
    </w:p>
    <w:p w14:paraId="6CD848EE" w14:textId="6071B5AC" w:rsidR="00494238" w:rsidRPr="00494238" w:rsidRDefault="00494238">
      <w:pPr>
        <w:pStyle w:val="TOC4"/>
        <w:rPr>
          <w:rFonts w:eastAsiaTheme="minorEastAsia"/>
          <w:kern w:val="2"/>
          <w:lang w:val="en-US"/>
          <w14:ligatures w14:val="standardContextual"/>
        </w:rPr>
      </w:pPr>
      <w:hyperlink w:anchor="_Toc204411710" w:history="1">
        <w:r w:rsidRPr="00494238">
          <w:rPr>
            <w:rStyle w:val="Hyperlink"/>
            <w:snapToGrid w:val="0"/>
          </w:rPr>
          <w:t>6.6.6.9</w:t>
        </w:r>
        <w:r w:rsidRPr="00494238">
          <w:rPr>
            <w:rFonts w:eastAsiaTheme="minorEastAsia"/>
            <w:kern w:val="2"/>
            <w:lang w:val="en-US"/>
            <w14:ligatures w14:val="standardContextual"/>
          </w:rPr>
          <w:tab/>
        </w:r>
        <w:r w:rsidRPr="00494238">
          <w:rPr>
            <w:rStyle w:val="Hyperlink"/>
            <w:snapToGrid w:val="0"/>
          </w:rPr>
          <w:t>MRA Payment for Deployment Event</w:t>
        </w:r>
        <w:r w:rsidRPr="00494238">
          <w:rPr>
            <w:webHidden/>
          </w:rPr>
          <w:tab/>
        </w:r>
        <w:r w:rsidRPr="00494238">
          <w:rPr>
            <w:webHidden/>
          </w:rPr>
          <w:fldChar w:fldCharType="begin"/>
        </w:r>
        <w:r w:rsidRPr="00494238">
          <w:rPr>
            <w:webHidden/>
          </w:rPr>
          <w:instrText xml:space="preserve"> PAGEREF _Toc204411710 \h </w:instrText>
        </w:r>
        <w:r w:rsidRPr="00494238">
          <w:rPr>
            <w:webHidden/>
          </w:rPr>
        </w:r>
        <w:r w:rsidRPr="00494238">
          <w:rPr>
            <w:webHidden/>
          </w:rPr>
          <w:fldChar w:fldCharType="separate"/>
        </w:r>
        <w:r w:rsidRPr="00494238">
          <w:rPr>
            <w:webHidden/>
          </w:rPr>
          <w:t>6-315</w:t>
        </w:r>
        <w:r w:rsidRPr="00494238">
          <w:rPr>
            <w:webHidden/>
          </w:rPr>
          <w:fldChar w:fldCharType="end"/>
        </w:r>
      </w:hyperlink>
    </w:p>
    <w:p w14:paraId="4072BA50" w14:textId="6F024E32" w:rsidR="00494238" w:rsidRPr="00494238" w:rsidRDefault="00494238">
      <w:pPr>
        <w:pStyle w:val="TOC4"/>
        <w:rPr>
          <w:rFonts w:eastAsiaTheme="minorEastAsia"/>
          <w:kern w:val="2"/>
          <w:lang w:val="en-US"/>
          <w14:ligatures w14:val="standardContextual"/>
        </w:rPr>
      </w:pPr>
      <w:hyperlink w:anchor="_Toc204411711" w:history="1">
        <w:r w:rsidRPr="00494238">
          <w:rPr>
            <w:rStyle w:val="Hyperlink"/>
            <w:snapToGrid w:val="0"/>
          </w:rPr>
          <w:t>6.6.6.10</w:t>
        </w:r>
        <w:r w:rsidRPr="00494238">
          <w:rPr>
            <w:rFonts w:eastAsiaTheme="minorEastAsia"/>
            <w:kern w:val="2"/>
            <w:lang w:val="en-US"/>
            <w14:ligatures w14:val="standardContextual"/>
          </w:rPr>
          <w:tab/>
        </w:r>
        <w:r w:rsidRPr="00494238">
          <w:rPr>
            <w:rStyle w:val="Hyperlink"/>
            <w:snapToGrid w:val="0"/>
          </w:rPr>
          <w:t>MRA Variable Payment for Deployment</w:t>
        </w:r>
        <w:r w:rsidRPr="00494238">
          <w:rPr>
            <w:webHidden/>
          </w:rPr>
          <w:tab/>
        </w:r>
        <w:r w:rsidRPr="00494238">
          <w:rPr>
            <w:webHidden/>
          </w:rPr>
          <w:fldChar w:fldCharType="begin"/>
        </w:r>
        <w:r w:rsidRPr="00494238">
          <w:rPr>
            <w:webHidden/>
          </w:rPr>
          <w:instrText xml:space="preserve"> PAGEREF _Toc204411711 \h </w:instrText>
        </w:r>
        <w:r w:rsidRPr="00494238">
          <w:rPr>
            <w:webHidden/>
          </w:rPr>
        </w:r>
        <w:r w:rsidRPr="00494238">
          <w:rPr>
            <w:webHidden/>
          </w:rPr>
          <w:fldChar w:fldCharType="separate"/>
        </w:r>
        <w:r w:rsidRPr="00494238">
          <w:rPr>
            <w:webHidden/>
          </w:rPr>
          <w:t>6-318</w:t>
        </w:r>
        <w:r w:rsidRPr="00494238">
          <w:rPr>
            <w:webHidden/>
          </w:rPr>
          <w:fldChar w:fldCharType="end"/>
        </w:r>
      </w:hyperlink>
    </w:p>
    <w:p w14:paraId="0C625F9D" w14:textId="0855C68A" w:rsidR="00494238" w:rsidRPr="00494238" w:rsidRDefault="00494238">
      <w:pPr>
        <w:pStyle w:val="TOC4"/>
        <w:rPr>
          <w:rFonts w:eastAsiaTheme="minorEastAsia"/>
          <w:kern w:val="2"/>
          <w:lang w:val="en-US"/>
          <w14:ligatures w14:val="standardContextual"/>
        </w:rPr>
      </w:pPr>
      <w:hyperlink w:anchor="_Toc204411712" w:history="1">
        <w:r w:rsidRPr="00494238">
          <w:rPr>
            <w:rStyle w:val="Hyperlink"/>
            <w:snapToGrid w:val="0"/>
          </w:rPr>
          <w:t>6.6.6.11</w:t>
        </w:r>
        <w:r w:rsidRPr="00494238">
          <w:rPr>
            <w:rFonts w:eastAsiaTheme="minorEastAsia"/>
            <w:kern w:val="2"/>
            <w:lang w:val="en-US"/>
            <w14:ligatures w14:val="standardContextual"/>
          </w:rPr>
          <w:tab/>
        </w:r>
        <w:r w:rsidRPr="00494238">
          <w:rPr>
            <w:rStyle w:val="Hyperlink"/>
            <w:snapToGrid w:val="0"/>
          </w:rPr>
          <w:t>MRA Charge for Unexcused Misconduct</w:t>
        </w:r>
        <w:r w:rsidRPr="00494238">
          <w:rPr>
            <w:webHidden/>
          </w:rPr>
          <w:tab/>
        </w:r>
        <w:r w:rsidRPr="00494238">
          <w:rPr>
            <w:webHidden/>
          </w:rPr>
          <w:fldChar w:fldCharType="begin"/>
        </w:r>
        <w:r w:rsidRPr="00494238">
          <w:rPr>
            <w:webHidden/>
          </w:rPr>
          <w:instrText xml:space="preserve"> PAGEREF _Toc204411712 \h </w:instrText>
        </w:r>
        <w:r w:rsidRPr="00494238">
          <w:rPr>
            <w:webHidden/>
          </w:rPr>
        </w:r>
        <w:r w:rsidRPr="00494238">
          <w:rPr>
            <w:webHidden/>
          </w:rPr>
          <w:fldChar w:fldCharType="separate"/>
        </w:r>
        <w:r w:rsidRPr="00494238">
          <w:rPr>
            <w:webHidden/>
          </w:rPr>
          <w:t>6-322</w:t>
        </w:r>
        <w:r w:rsidRPr="00494238">
          <w:rPr>
            <w:webHidden/>
          </w:rPr>
          <w:fldChar w:fldCharType="end"/>
        </w:r>
      </w:hyperlink>
    </w:p>
    <w:p w14:paraId="34FAC7A1" w14:textId="04E8B190" w:rsidR="00494238" w:rsidRPr="00494238" w:rsidRDefault="00494238">
      <w:pPr>
        <w:pStyle w:val="TOC4"/>
        <w:rPr>
          <w:rFonts w:eastAsiaTheme="minorEastAsia"/>
          <w:kern w:val="2"/>
          <w:lang w:val="en-US"/>
          <w14:ligatures w14:val="standardContextual"/>
        </w:rPr>
      </w:pPr>
      <w:hyperlink w:anchor="_Toc204411713" w:history="1">
        <w:r w:rsidRPr="00494238">
          <w:rPr>
            <w:rStyle w:val="Hyperlink"/>
            <w:snapToGrid w:val="0"/>
          </w:rPr>
          <w:t>6.6.6.12</w:t>
        </w:r>
        <w:r w:rsidRPr="00494238">
          <w:rPr>
            <w:rFonts w:eastAsiaTheme="minorEastAsia"/>
            <w:kern w:val="2"/>
            <w:lang w:val="en-US"/>
            <w14:ligatures w14:val="standardContextual"/>
          </w:rPr>
          <w:tab/>
        </w:r>
        <w:r w:rsidRPr="00494238">
          <w:rPr>
            <w:rStyle w:val="Hyperlink"/>
            <w:snapToGrid w:val="0"/>
          </w:rPr>
          <w:t>MRA Service Charge</w:t>
        </w:r>
        <w:r w:rsidRPr="00494238">
          <w:rPr>
            <w:webHidden/>
          </w:rPr>
          <w:tab/>
        </w:r>
        <w:r w:rsidRPr="00494238">
          <w:rPr>
            <w:webHidden/>
          </w:rPr>
          <w:fldChar w:fldCharType="begin"/>
        </w:r>
        <w:r w:rsidRPr="00494238">
          <w:rPr>
            <w:webHidden/>
          </w:rPr>
          <w:instrText xml:space="preserve"> PAGEREF _Toc204411713 \h </w:instrText>
        </w:r>
        <w:r w:rsidRPr="00494238">
          <w:rPr>
            <w:webHidden/>
          </w:rPr>
        </w:r>
        <w:r w:rsidRPr="00494238">
          <w:rPr>
            <w:webHidden/>
          </w:rPr>
          <w:fldChar w:fldCharType="separate"/>
        </w:r>
        <w:r w:rsidRPr="00494238">
          <w:rPr>
            <w:webHidden/>
          </w:rPr>
          <w:t>6-324</w:t>
        </w:r>
        <w:r w:rsidRPr="00494238">
          <w:rPr>
            <w:webHidden/>
          </w:rPr>
          <w:fldChar w:fldCharType="end"/>
        </w:r>
      </w:hyperlink>
    </w:p>
    <w:p w14:paraId="13C92ACE" w14:textId="3EF698AC" w:rsidR="00494238" w:rsidRPr="00494238" w:rsidRDefault="00494238">
      <w:pPr>
        <w:pStyle w:val="TOC3"/>
        <w:rPr>
          <w:rFonts w:eastAsiaTheme="minorEastAsia"/>
          <w:i w:val="0"/>
          <w:iCs w:val="0"/>
          <w:kern w:val="2"/>
          <w14:ligatures w14:val="standardContextual"/>
        </w:rPr>
      </w:pPr>
      <w:hyperlink w:anchor="_Toc204411714" w:history="1">
        <w:r w:rsidRPr="00494238">
          <w:rPr>
            <w:rStyle w:val="Hyperlink"/>
            <w:i w:val="0"/>
            <w:iCs w:val="0"/>
          </w:rPr>
          <w:t>6.6.7</w:t>
        </w:r>
        <w:r w:rsidRPr="00494238">
          <w:rPr>
            <w:rFonts w:eastAsiaTheme="minorEastAsia"/>
            <w:i w:val="0"/>
            <w:iCs w:val="0"/>
            <w:kern w:val="2"/>
            <w14:ligatures w14:val="standardContextual"/>
          </w:rPr>
          <w:tab/>
        </w:r>
        <w:r w:rsidRPr="00494238">
          <w:rPr>
            <w:rStyle w:val="Hyperlink"/>
            <w:i w:val="0"/>
            <w:iCs w:val="0"/>
          </w:rPr>
          <w:t>Voltage Support Settlement</w:t>
        </w:r>
        <w:r w:rsidRPr="00494238">
          <w:rPr>
            <w:i w:val="0"/>
            <w:iCs w:val="0"/>
            <w:webHidden/>
          </w:rPr>
          <w:tab/>
        </w:r>
        <w:r w:rsidRPr="00494238">
          <w:rPr>
            <w:i w:val="0"/>
            <w:iCs w:val="0"/>
            <w:webHidden/>
          </w:rPr>
          <w:fldChar w:fldCharType="begin"/>
        </w:r>
        <w:r w:rsidRPr="00494238">
          <w:rPr>
            <w:i w:val="0"/>
            <w:iCs w:val="0"/>
            <w:webHidden/>
          </w:rPr>
          <w:instrText xml:space="preserve"> PAGEREF _Toc204411714 \h </w:instrText>
        </w:r>
        <w:r w:rsidRPr="00494238">
          <w:rPr>
            <w:i w:val="0"/>
            <w:iCs w:val="0"/>
            <w:webHidden/>
          </w:rPr>
        </w:r>
        <w:r w:rsidRPr="00494238">
          <w:rPr>
            <w:i w:val="0"/>
            <w:iCs w:val="0"/>
            <w:webHidden/>
          </w:rPr>
          <w:fldChar w:fldCharType="separate"/>
        </w:r>
        <w:r w:rsidRPr="00494238">
          <w:rPr>
            <w:i w:val="0"/>
            <w:iCs w:val="0"/>
            <w:webHidden/>
          </w:rPr>
          <w:t>6-324</w:t>
        </w:r>
        <w:r w:rsidRPr="00494238">
          <w:rPr>
            <w:i w:val="0"/>
            <w:iCs w:val="0"/>
            <w:webHidden/>
          </w:rPr>
          <w:fldChar w:fldCharType="end"/>
        </w:r>
      </w:hyperlink>
    </w:p>
    <w:p w14:paraId="277BE6F8" w14:textId="175B14FC" w:rsidR="00494238" w:rsidRPr="00494238" w:rsidRDefault="00494238">
      <w:pPr>
        <w:pStyle w:val="TOC4"/>
        <w:rPr>
          <w:rFonts w:eastAsiaTheme="minorEastAsia"/>
          <w:kern w:val="2"/>
          <w:lang w:val="en-US"/>
          <w14:ligatures w14:val="standardContextual"/>
        </w:rPr>
      </w:pPr>
      <w:hyperlink w:anchor="_Toc204411715" w:history="1">
        <w:r w:rsidRPr="00494238">
          <w:rPr>
            <w:rStyle w:val="Hyperlink"/>
          </w:rPr>
          <w:t>6.6.7.1</w:t>
        </w:r>
        <w:r w:rsidRPr="00494238">
          <w:rPr>
            <w:rFonts w:eastAsiaTheme="minorEastAsia"/>
            <w:kern w:val="2"/>
            <w:lang w:val="en-US"/>
            <w14:ligatures w14:val="standardContextual"/>
          </w:rPr>
          <w:tab/>
        </w:r>
        <w:r w:rsidRPr="00494238">
          <w:rPr>
            <w:rStyle w:val="Hyperlink"/>
          </w:rPr>
          <w:t>Voltage Support Service Payments</w:t>
        </w:r>
        <w:r w:rsidRPr="00494238">
          <w:rPr>
            <w:webHidden/>
          </w:rPr>
          <w:tab/>
        </w:r>
        <w:r w:rsidRPr="00494238">
          <w:rPr>
            <w:webHidden/>
          </w:rPr>
          <w:fldChar w:fldCharType="begin"/>
        </w:r>
        <w:r w:rsidRPr="00494238">
          <w:rPr>
            <w:webHidden/>
          </w:rPr>
          <w:instrText xml:space="preserve"> PAGEREF _Toc204411715 \h </w:instrText>
        </w:r>
        <w:r w:rsidRPr="00494238">
          <w:rPr>
            <w:webHidden/>
          </w:rPr>
        </w:r>
        <w:r w:rsidRPr="00494238">
          <w:rPr>
            <w:webHidden/>
          </w:rPr>
          <w:fldChar w:fldCharType="separate"/>
        </w:r>
        <w:r w:rsidRPr="00494238">
          <w:rPr>
            <w:webHidden/>
          </w:rPr>
          <w:t>6-324</w:t>
        </w:r>
        <w:r w:rsidRPr="00494238">
          <w:rPr>
            <w:webHidden/>
          </w:rPr>
          <w:fldChar w:fldCharType="end"/>
        </w:r>
      </w:hyperlink>
    </w:p>
    <w:p w14:paraId="57589288" w14:textId="7D7882A3" w:rsidR="00494238" w:rsidRPr="00494238" w:rsidRDefault="00494238">
      <w:pPr>
        <w:pStyle w:val="TOC4"/>
        <w:rPr>
          <w:rFonts w:eastAsiaTheme="minorEastAsia"/>
          <w:kern w:val="2"/>
          <w:lang w:val="en-US"/>
          <w14:ligatures w14:val="standardContextual"/>
        </w:rPr>
      </w:pPr>
      <w:hyperlink w:anchor="_Toc204411716" w:history="1">
        <w:r w:rsidRPr="00494238">
          <w:rPr>
            <w:rStyle w:val="Hyperlink"/>
            <w:snapToGrid w:val="0"/>
          </w:rPr>
          <w:t>6.6.7.1</w:t>
        </w:r>
        <w:r w:rsidRPr="00494238">
          <w:rPr>
            <w:rFonts w:eastAsiaTheme="minorEastAsia"/>
            <w:kern w:val="2"/>
            <w:lang w:val="en-US"/>
            <w14:ligatures w14:val="standardContextual"/>
          </w:rPr>
          <w:tab/>
        </w:r>
        <w:r w:rsidRPr="00494238">
          <w:rPr>
            <w:rStyle w:val="Hyperlink"/>
            <w:snapToGrid w:val="0"/>
          </w:rPr>
          <w:t>Voltage Support Service Payments</w:t>
        </w:r>
        <w:r w:rsidRPr="00494238">
          <w:rPr>
            <w:webHidden/>
          </w:rPr>
          <w:tab/>
        </w:r>
        <w:r w:rsidRPr="00494238">
          <w:rPr>
            <w:webHidden/>
          </w:rPr>
          <w:fldChar w:fldCharType="begin"/>
        </w:r>
        <w:r w:rsidRPr="00494238">
          <w:rPr>
            <w:webHidden/>
          </w:rPr>
          <w:instrText xml:space="preserve"> PAGEREF _Toc204411716 \h </w:instrText>
        </w:r>
        <w:r w:rsidRPr="00494238">
          <w:rPr>
            <w:webHidden/>
          </w:rPr>
        </w:r>
        <w:r w:rsidRPr="00494238">
          <w:rPr>
            <w:webHidden/>
          </w:rPr>
          <w:fldChar w:fldCharType="separate"/>
        </w:r>
        <w:r w:rsidRPr="00494238">
          <w:rPr>
            <w:webHidden/>
          </w:rPr>
          <w:t>6-328</w:t>
        </w:r>
        <w:r w:rsidRPr="00494238">
          <w:rPr>
            <w:webHidden/>
          </w:rPr>
          <w:fldChar w:fldCharType="end"/>
        </w:r>
      </w:hyperlink>
    </w:p>
    <w:p w14:paraId="7BFA4E75" w14:textId="7EF74B90" w:rsidR="00494238" w:rsidRPr="00494238" w:rsidRDefault="00494238">
      <w:pPr>
        <w:pStyle w:val="TOC4"/>
        <w:rPr>
          <w:rFonts w:eastAsiaTheme="minorEastAsia"/>
          <w:kern w:val="2"/>
          <w:lang w:val="en-US"/>
          <w14:ligatures w14:val="standardContextual"/>
        </w:rPr>
      </w:pPr>
      <w:hyperlink w:anchor="_Toc204411717" w:history="1">
        <w:r w:rsidRPr="00494238">
          <w:rPr>
            <w:rStyle w:val="Hyperlink"/>
          </w:rPr>
          <w:t>6.6.7.2</w:t>
        </w:r>
        <w:r w:rsidRPr="00494238">
          <w:rPr>
            <w:rFonts w:eastAsiaTheme="minorEastAsia"/>
            <w:kern w:val="2"/>
            <w:lang w:val="en-US"/>
            <w14:ligatures w14:val="standardContextual"/>
          </w:rPr>
          <w:tab/>
        </w:r>
        <w:r w:rsidRPr="00494238">
          <w:rPr>
            <w:rStyle w:val="Hyperlink"/>
          </w:rPr>
          <w:t>Voltage Support Charge</w:t>
        </w:r>
        <w:r w:rsidRPr="00494238">
          <w:rPr>
            <w:webHidden/>
          </w:rPr>
          <w:tab/>
        </w:r>
        <w:r w:rsidRPr="00494238">
          <w:rPr>
            <w:webHidden/>
          </w:rPr>
          <w:fldChar w:fldCharType="begin"/>
        </w:r>
        <w:r w:rsidRPr="00494238">
          <w:rPr>
            <w:webHidden/>
          </w:rPr>
          <w:instrText xml:space="preserve"> PAGEREF _Toc204411717 \h </w:instrText>
        </w:r>
        <w:r w:rsidRPr="00494238">
          <w:rPr>
            <w:webHidden/>
          </w:rPr>
        </w:r>
        <w:r w:rsidRPr="00494238">
          <w:rPr>
            <w:webHidden/>
          </w:rPr>
          <w:fldChar w:fldCharType="separate"/>
        </w:r>
        <w:r w:rsidRPr="00494238">
          <w:rPr>
            <w:webHidden/>
          </w:rPr>
          <w:t>6-332</w:t>
        </w:r>
        <w:r w:rsidRPr="00494238">
          <w:rPr>
            <w:webHidden/>
          </w:rPr>
          <w:fldChar w:fldCharType="end"/>
        </w:r>
      </w:hyperlink>
    </w:p>
    <w:p w14:paraId="4CA0E3A7" w14:textId="50D51941" w:rsidR="00494238" w:rsidRPr="00494238" w:rsidRDefault="00494238">
      <w:pPr>
        <w:pStyle w:val="TOC3"/>
        <w:rPr>
          <w:rFonts w:eastAsiaTheme="minorEastAsia"/>
          <w:i w:val="0"/>
          <w:iCs w:val="0"/>
          <w:kern w:val="2"/>
          <w14:ligatures w14:val="standardContextual"/>
        </w:rPr>
      </w:pPr>
      <w:hyperlink w:anchor="_Toc204411718" w:history="1">
        <w:r w:rsidRPr="00494238">
          <w:rPr>
            <w:rStyle w:val="Hyperlink"/>
            <w:i w:val="0"/>
            <w:iCs w:val="0"/>
          </w:rPr>
          <w:t>6.6.8</w:t>
        </w:r>
        <w:r w:rsidRPr="00494238">
          <w:rPr>
            <w:rFonts w:eastAsiaTheme="minorEastAsia"/>
            <w:i w:val="0"/>
            <w:iCs w:val="0"/>
            <w:kern w:val="2"/>
            <w14:ligatures w14:val="standardContextual"/>
          </w:rPr>
          <w:tab/>
        </w:r>
        <w:r w:rsidRPr="00494238">
          <w:rPr>
            <w:rStyle w:val="Hyperlink"/>
            <w:i w:val="0"/>
            <w:iCs w:val="0"/>
          </w:rPr>
          <w:t>Black Start Capacity</w:t>
        </w:r>
        <w:r w:rsidRPr="00494238">
          <w:rPr>
            <w:i w:val="0"/>
            <w:iCs w:val="0"/>
            <w:webHidden/>
          </w:rPr>
          <w:tab/>
        </w:r>
        <w:r w:rsidRPr="00494238">
          <w:rPr>
            <w:i w:val="0"/>
            <w:iCs w:val="0"/>
            <w:webHidden/>
          </w:rPr>
          <w:fldChar w:fldCharType="begin"/>
        </w:r>
        <w:r w:rsidRPr="00494238">
          <w:rPr>
            <w:i w:val="0"/>
            <w:iCs w:val="0"/>
            <w:webHidden/>
          </w:rPr>
          <w:instrText xml:space="preserve"> PAGEREF _Toc204411718 \h </w:instrText>
        </w:r>
        <w:r w:rsidRPr="00494238">
          <w:rPr>
            <w:i w:val="0"/>
            <w:iCs w:val="0"/>
            <w:webHidden/>
          </w:rPr>
        </w:r>
        <w:r w:rsidRPr="00494238">
          <w:rPr>
            <w:i w:val="0"/>
            <w:iCs w:val="0"/>
            <w:webHidden/>
          </w:rPr>
          <w:fldChar w:fldCharType="separate"/>
        </w:r>
        <w:r w:rsidRPr="00494238">
          <w:rPr>
            <w:i w:val="0"/>
            <w:iCs w:val="0"/>
            <w:webHidden/>
          </w:rPr>
          <w:t>6-333</w:t>
        </w:r>
        <w:r w:rsidRPr="00494238">
          <w:rPr>
            <w:i w:val="0"/>
            <w:iCs w:val="0"/>
            <w:webHidden/>
          </w:rPr>
          <w:fldChar w:fldCharType="end"/>
        </w:r>
      </w:hyperlink>
    </w:p>
    <w:p w14:paraId="534A4EF7" w14:textId="3DBF389B" w:rsidR="00494238" w:rsidRPr="00494238" w:rsidRDefault="00494238">
      <w:pPr>
        <w:pStyle w:val="TOC4"/>
        <w:rPr>
          <w:rFonts w:eastAsiaTheme="minorEastAsia"/>
          <w:kern w:val="2"/>
          <w:lang w:val="en-US"/>
          <w14:ligatures w14:val="standardContextual"/>
        </w:rPr>
      </w:pPr>
      <w:hyperlink w:anchor="_Toc204411719" w:history="1">
        <w:r w:rsidRPr="00494238">
          <w:rPr>
            <w:rStyle w:val="Hyperlink"/>
          </w:rPr>
          <w:t>6.6.8.1</w:t>
        </w:r>
        <w:r w:rsidRPr="00494238">
          <w:rPr>
            <w:rFonts w:eastAsiaTheme="minorEastAsia"/>
            <w:kern w:val="2"/>
            <w:lang w:val="en-US"/>
            <w14:ligatures w14:val="standardContextual"/>
          </w:rPr>
          <w:tab/>
        </w:r>
        <w:r w:rsidRPr="00494238">
          <w:rPr>
            <w:rStyle w:val="Hyperlink"/>
          </w:rPr>
          <w:t>Black Start Hourly Standby Fee Payment</w:t>
        </w:r>
        <w:r w:rsidRPr="00494238">
          <w:rPr>
            <w:webHidden/>
          </w:rPr>
          <w:tab/>
        </w:r>
        <w:r w:rsidRPr="00494238">
          <w:rPr>
            <w:webHidden/>
          </w:rPr>
          <w:fldChar w:fldCharType="begin"/>
        </w:r>
        <w:r w:rsidRPr="00494238">
          <w:rPr>
            <w:webHidden/>
          </w:rPr>
          <w:instrText xml:space="preserve"> PAGEREF _Toc204411719 \h </w:instrText>
        </w:r>
        <w:r w:rsidRPr="00494238">
          <w:rPr>
            <w:webHidden/>
          </w:rPr>
        </w:r>
        <w:r w:rsidRPr="00494238">
          <w:rPr>
            <w:webHidden/>
          </w:rPr>
          <w:fldChar w:fldCharType="separate"/>
        </w:r>
        <w:r w:rsidRPr="00494238">
          <w:rPr>
            <w:webHidden/>
          </w:rPr>
          <w:t>6-333</w:t>
        </w:r>
        <w:r w:rsidRPr="00494238">
          <w:rPr>
            <w:webHidden/>
          </w:rPr>
          <w:fldChar w:fldCharType="end"/>
        </w:r>
      </w:hyperlink>
    </w:p>
    <w:p w14:paraId="64C436A4" w14:textId="434FEC14" w:rsidR="00494238" w:rsidRPr="00494238" w:rsidRDefault="00494238">
      <w:pPr>
        <w:pStyle w:val="TOC4"/>
        <w:rPr>
          <w:rFonts w:eastAsiaTheme="minorEastAsia"/>
          <w:kern w:val="2"/>
          <w:lang w:val="en-US"/>
          <w14:ligatures w14:val="standardContextual"/>
        </w:rPr>
      </w:pPr>
      <w:hyperlink w:anchor="_Toc204411720" w:history="1">
        <w:r w:rsidRPr="00494238">
          <w:rPr>
            <w:rStyle w:val="Hyperlink"/>
          </w:rPr>
          <w:t>6.6.8.2</w:t>
        </w:r>
        <w:r w:rsidRPr="00494238">
          <w:rPr>
            <w:rFonts w:eastAsiaTheme="minorEastAsia"/>
            <w:kern w:val="2"/>
            <w:lang w:val="en-US"/>
            <w14:ligatures w14:val="standardContextual"/>
          </w:rPr>
          <w:tab/>
        </w:r>
        <w:r w:rsidRPr="00494238">
          <w:rPr>
            <w:rStyle w:val="Hyperlink"/>
          </w:rPr>
          <w:t>Black Start Capacity Charge</w:t>
        </w:r>
        <w:r w:rsidRPr="00494238">
          <w:rPr>
            <w:webHidden/>
          </w:rPr>
          <w:tab/>
        </w:r>
        <w:r w:rsidRPr="00494238">
          <w:rPr>
            <w:webHidden/>
          </w:rPr>
          <w:fldChar w:fldCharType="begin"/>
        </w:r>
        <w:r w:rsidRPr="00494238">
          <w:rPr>
            <w:webHidden/>
          </w:rPr>
          <w:instrText xml:space="preserve"> PAGEREF _Toc204411720 \h </w:instrText>
        </w:r>
        <w:r w:rsidRPr="00494238">
          <w:rPr>
            <w:webHidden/>
          </w:rPr>
        </w:r>
        <w:r w:rsidRPr="00494238">
          <w:rPr>
            <w:webHidden/>
          </w:rPr>
          <w:fldChar w:fldCharType="separate"/>
        </w:r>
        <w:r w:rsidRPr="00494238">
          <w:rPr>
            <w:webHidden/>
          </w:rPr>
          <w:t>6-335</w:t>
        </w:r>
        <w:r w:rsidRPr="00494238">
          <w:rPr>
            <w:webHidden/>
          </w:rPr>
          <w:fldChar w:fldCharType="end"/>
        </w:r>
      </w:hyperlink>
    </w:p>
    <w:p w14:paraId="56711468" w14:textId="384D06C2" w:rsidR="00494238" w:rsidRPr="00494238" w:rsidRDefault="00494238">
      <w:pPr>
        <w:pStyle w:val="TOC3"/>
        <w:rPr>
          <w:rFonts w:eastAsiaTheme="minorEastAsia"/>
          <w:i w:val="0"/>
          <w:iCs w:val="0"/>
          <w:kern w:val="2"/>
          <w14:ligatures w14:val="standardContextual"/>
        </w:rPr>
      </w:pPr>
      <w:hyperlink w:anchor="_Toc204411721" w:history="1">
        <w:r w:rsidRPr="00494238">
          <w:rPr>
            <w:rStyle w:val="Hyperlink"/>
            <w:i w:val="0"/>
            <w:iCs w:val="0"/>
          </w:rPr>
          <w:t>6.6.9</w:t>
        </w:r>
        <w:r w:rsidRPr="00494238">
          <w:rPr>
            <w:rFonts w:eastAsiaTheme="minorEastAsia"/>
            <w:i w:val="0"/>
            <w:iCs w:val="0"/>
            <w:kern w:val="2"/>
            <w14:ligatures w14:val="standardContextual"/>
          </w:rPr>
          <w:tab/>
        </w:r>
        <w:r w:rsidRPr="00494238">
          <w:rPr>
            <w:rStyle w:val="Hyperlink"/>
            <w:i w:val="0"/>
            <w:iCs w:val="0"/>
          </w:rPr>
          <w:t>Emergency Operations Settlement</w:t>
        </w:r>
        <w:r w:rsidRPr="00494238">
          <w:rPr>
            <w:i w:val="0"/>
            <w:iCs w:val="0"/>
            <w:webHidden/>
          </w:rPr>
          <w:tab/>
        </w:r>
        <w:r w:rsidRPr="00494238">
          <w:rPr>
            <w:i w:val="0"/>
            <w:iCs w:val="0"/>
            <w:webHidden/>
          </w:rPr>
          <w:fldChar w:fldCharType="begin"/>
        </w:r>
        <w:r w:rsidRPr="00494238">
          <w:rPr>
            <w:i w:val="0"/>
            <w:iCs w:val="0"/>
            <w:webHidden/>
          </w:rPr>
          <w:instrText xml:space="preserve"> PAGEREF _Toc204411721 \h </w:instrText>
        </w:r>
        <w:r w:rsidRPr="00494238">
          <w:rPr>
            <w:i w:val="0"/>
            <w:iCs w:val="0"/>
            <w:webHidden/>
          </w:rPr>
        </w:r>
        <w:r w:rsidRPr="00494238">
          <w:rPr>
            <w:i w:val="0"/>
            <w:iCs w:val="0"/>
            <w:webHidden/>
          </w:rPr>
          <w:fldChar w:fldCharType="separate"/>
        </w:r>
        <w:r w:rsidRPr="00494238">
          <w:rPr>
            <w:i w:val="0"/>
            <w:iCs w:val="0"/>
            <w:webHidden/>
          </w:rPr>
          <w:t>6-335</w:t>
        </w:r>
        <w:r w:rsidRPr="00494238">
          <w:rPr>
            <w:i w:val="0"/>
            <w:iCs w:val="0"/>
            <w:webHidden/>
          </w:rPr>
          <w:fldChar w:fldCharType="end"/>
        </w:r>
      </w:hyperlink>
    </w:p>
    <w:p w14:paraId="4B28CA06" w14:textId="3D7FEFE4" w:rsidR="00494238" w:rsidRPr="00494238" w:rsidRDefault="00494238">
      <w:pPr>
        <w:pStyle w:val="TOC3"/>
        <w:rPr>
          <w:rFonts w:eastAsiaTheme="minorEastAsia"/>
          <w:i w:val="0"/>
          <w:iCs w:val="0"/>
          <w:kern w:val="2"/>
          <w14:ligatures w14:val="standardContextual"/>
        </w:rPr>
      </w:pPr>
      <w:hyperlink w:anchor="_Toc204411722" w:history="1">
        <w:r w:rsidRPr="00494238">
          <w:rPr>
            <w:rStyle w:val="Hyperlink"/>
            <w:i w:val="0"/>
            <w:iCs w:val="0"/>
          </w:rPr>
          <w:t>6.6.9</w:t>
        </w:r>
        <w:r w:rsidRPr="00494238">
          <w:rPr>
            <w:rFonts w:eastAsiaTheme="minorEastAsia"/>
            <w:i w:val="0"/>
            <w:iCs w:val="0"/>
            <w:kern w:val="2"/>
            <w14:ligatures w14:val="standardContextual"/>
          </w:rPr>
          <w:tab/>
        </w:r>
        <w:r w:rsidRPr="00494238">
          <w:rPr>
            <w:rStyle w:val="Hyperlink"/>
            <w:i w:val="0"/>
            <w:iCs w:val="0"/>
          </w:rPr>
          <w:t>Emergency Operations Settlement</w:t>
        </w:r>
        <w:r w:rsidRPr="00494238">
          <w:rPr>
            <w:i w:val="0"/>
            <w:iCs w:val="0"/>
            <w:webHidden/>
          </w:rPr>
          <w:tab/>
        </w:r>
        <w:r w:rsidRPr="00494238">
          <w:rPr>
            <w:i w:val="0"/>
            <w:iCs w:val="0"/>
            <w:webHidden/>
          </w:rPr>
          <w:fldChar w:fldCharType="begin"/>
        </w:r>
        <w:r w:rsidRPr="00494238">
          <w:rPr>
            <w:i w:val="0"/>
            <w:iCs w:val="0"/>
            <w:webHidden/>
          </w:rPr>
          <w:instrText xml:space="preserve"> PAGEREF _Toc204411722 \h </w:instrText>
        </w:r>
        <w:r w:rsidRPr="00494238">
          <w:rPr>
            <w:i w:val="0"/>
            <w:iCs w:val="0"/>
            <w:webHidden/>
          </w:rPr>
        </w:r>
        <w:r w:rsidRPr="00494238">
          <w:rPr>
            <w:i w:val="0"/>
            <w:iCs w:val="0"/>
            <w:webHidden/>
          </w:rPr>
          <w:fldChar w:fldCharType="separate"/>
        </w:r>
        <w:r w:rsidRPr="00494238">
          <w:rPr>
            <w:i w:val="0"/>
            <w:iCs w:val="0"/>
            <w:webHidden/>
          </w:rPr>
          <w:t>6-337</w:t>
        </w:r>
        <w:r w:rsidRPr="00494238">
          <w:rPr>
            <w:i w:val="0"/>
            <w:iCs w:val="0"/>
            <w:webHidden/>
          </w:rPr>
          <w:fldChar w:fldCharType="end"/>
        </w:r>
      </w:hyperlink>
    </w:p>
    <w:p w14:paraId="76DB25C3" w14:textId="056D7924" w:rsidR="00494238" w:rsidRPr="00494238" w:rsidRDefault="00494238">
      <w:pPr>
        <w:pStyle w:val="TOC4"/>
        <w:rPr>
          <w:rFonts w:eastAsiaTheme="minorEastAsia"/>
          <w:kern w:val="2"/>
          <w:lang w:val="en-US"/>
          <w14:ligatures w14:val="standardContextual"/>
        </w:rPr>
      </w:pPr>
      <w:hyperlink w:anchor="_Toc204411723" w:history="1">
        <w:r w:rsidRPr="00494238">
          <w:rPr>
            <w:rStyle w:val="Hyperlink"/>
          </w:rPr>
          <w:t>6.6.9.1</w:t>
        </w:r>
        <w:r w:rsidRPr="00494238">
          <w:rPr>
            <w:rFonts w:eastAsiaTheme="minorEastAsia"/>
            <w:kern w:val="2"/>
            <w:lang w:val="en-US"/>
            <w14:ligatures w14:val="standardContextual"/>
          </w:rPr>
          <w:tab/>
        </w:r>
        <w:r w:rsidRPr="00494238">
          <w:rPr>
            <w:rStyle w:val="Hyperlink"/>
          </w:rPr>
          <w:t>Payment for Emergency Power Increase Directed by ERCOT</w:t>
        </w:r>
        <w:r w:rsidRPr="00494238">
          <w:rPr>
            <w:webHidden/>
          </w:rPr>
          <w:tab/>
        </w:r>
        <w:r w:rsidRPr="00494238">
          <w:rPr>
            <w:webHidden/>
          </w:rPr>
          <w:fldChar w:fldCharType="begin"/>
        </w:r>
        <w:r w:rsidRPr="00494238">
          <w:rPr>
            <w:webHidden/>
          </w:rPr>
          <w:instrText xml:space="preserve"> PAGEREF _Toc204411723 \h </w:instrText>
        </w:r>
        <w:r w:rsidRPr="00494238">
          <w:rPr>
            <w:webHidden/>
          </w:rPr>
        </w:r>
        <w:r w:rsidRPr="00494238">
          <w:rPr>
            <w:webHidden/>
          </w:rPr>
          <w:fldChar w:fldCharType="separate"/>
        </w:r>
        <w:r w:rsidRPr="00494238">
          <w:rPr>
            <w:webHidden/>
          </w:rPr>
          <w:t>6-340</w:t>
        </w:r>
        <w:r w:rsidRPr="00494238">
          <w:rPr>
            <w:webHidden/>
          </w:rPr>
          <w:fldChar w:fldCharType="end"/>
        </w:r>
      </w:hyperlink>
    </w:p>
    <w:p w14:paraId="5044A505" w14:textId="7A9F6880" w:rsidR="00494238" w:rsidRPr="00494238" w:rsidRDefault="00494238">
      <w:pPr>
        <w:pStyle w:val="TOC4"/>
        <w:rPr>
          <w:rFonts w:eastAsiaTheme="minorEastAsia"/>
          <w:kern w:val="2"/>
          <w:lang w:val="en-US"/>
          <w14:ligatures w14:val="standardContextual"/>
        </w:rPr>
      </w:pPr>
      <w:hyperlink w:anchor="_Toc204411724" w:history="1">
        <w:r w:rsidRPr="00494238">
          <w:rPr>
            <w:rStyle w:val="Hyperlink"/>
            <w:snapToGrid w:val="0"/>
          </w:rPr>
          <w:t>6.6.9.1</w:t>
        </w:r>
        <w:r w:rsidRPr="00494238">
          <w:rPr>
            <w:rFonts w:eastAsiaTheme="minorEastAsia"/>
            <w:kern w:val="2"/>
            <w:lang w:val="en-US"/>
            <w14:ligatures w14:val="standardContextual"/>
          </w:rPr>
          <w:tab/>
        </w:r>
        <w:r w:rsidRPr="00494238">
          <w:rPr>
            <w:rStyle w:val="Hyperlink"/>
            <w:snapToGrid w:val="0"/>
          </w:rPr>
          <w:t>Payment for Emergency Operations Settlement</w:t>
        </w:r>
        <w:r w:rsidRPr="00494238">
          <w:rPr>
            <w:webHidden/>
          </w:rPr>
          <w:tab/>
        </w:r>
        <w:r w:rsidRPr="00494238">
          <w:rPr>
            <w:webHidden/>
          </w:rPr>
          <w:fldChar w:fldCharType="begin"/>
        </w:r>
        <w:r w:rsidRPr="00494238">
          <w:rPr>
            <w:webHidden/>
          </w:rPr>
          <w:instrText xml:space="preserve"> PAGEREF _Toc204411724 \h </w:instrText>
        </w:r>
        <w:r w:rsidRPr="00494238">
          <w:rPr>
            <w:webHidden/>
          </w:rPr>
        </w:r>
        <w:r w:rsidRPr="00494238">
          <w:rPr>
            <w:webHidden/>
          </w:rPr>
          <w:fldChar w:fldCharType="separate"/>
        </w:r>
        <w:r w:rsidRPr="00494238">
          <w:rPr>
            <w:webHidden/>
          </w:rPr>
          <w:t>6-344</w:t>
        </w:r>
        <w:r w:rsidRPr="00494238">
          <w:rPr>
            <w:webHidden/>
          </w:rPr>
          <w:fldChar w:fldCharType="end"/>
        </w:r>
      </w:hyperlink>
    </w:p>
    <w:p w14:paraId="747BA254" w14:textId="48898C93" w:rsidR="00494238" w:rsidRPr="00494238" w:rsidRDefault="00494238">
      <w:pPr>
        <w:pStyle w:val="TOC4"/>
        <w:rPr>
          <w:rFonts w:eastAsiaTheme="minorEastAsia"/>
          <w:kern w:val="2"/>
          <w:lang w:val="en-US"/>
          <w14:ligatures w14:val="standardContextual"/>
        </w:rPr>
      </w:pPr>
      <w:hyperlink w:anchor="_Toc204411725" w:history="1">
        <w:r w:rsidRPr="00494238">
          <w:rPr>
            <w:rStyle w:val="Hyperlink"/>
          </w:rPr>
          <w:t>6.6.9.2</w:t>
        </w:r>
        <w:r w:rsidRPr="00494238">
          <w:rPr>
            <w:rFonts w:eastAsiaTheme="minorEastAsia"/>
            <w:kern w:val="2"/>
            <w:lang w:val="en-US"/>
            <w14:ligatures w14:val="standardContextual"/>
          </w:rPr>
          <w:tab/>
        </w:r>
        <w:r w:rsidRPr="00494238">
          <w:rPr>
            <w:rStyle w:val="Hyperlink"/>
          </w:rPr>
          <w:t>Charge for Emergency Power Increases</w:t>
        </w:r>
        <w:r w:rsidRPr="00494238">
          <w:rPr>
            <w:webHidden/>
          </w:rPr>
          <w:tab/>
        </w:r>
        <w:r w:rsidRPr="00494238">
          <w:rPr>
            <w:webHidden/>
          </w:rPr>
          <w:fldChar w:fldCharType="begin"/>
        </w:r>
        <w:r w:rsidRPr="00494238">
          <w:rPr>
            <w:webHidden/>
          </w:rPr>
          <w:instrText xml:space="preserve"> PAGEREF _Toc204411725 \h </w:instrText>
        </w:r>
        <w:r w:rsidRPr="00494238">
          <w:rPr>
            <w:webHidden/>
          </w:rPr>
        </w:r>
        <w:r w:rsidRPr="00494238">
          <w:rPr>
            <w:webHidden/>
          </w:rPr>
          <w:fldChar w:fldCharType="separate"/>
        </w:r>
        <w:r w:rsidRPr="00494238">
          <w:rPr>
            <w:webHidden/>
          </w:rPr>
          <w:t>6-355</w:t>
        </w:r>
        <w:r w:rsidRPr="00494238">
          <w:rPr>
            <w:webHidden/>
          </w:rPr>
          <w:fldChar w:fldCharType="end"/>
        </w:r>
      </w:hyperlink>
    </w:p>
    <w:p w14:paraId="460F77D6" w14:textId="163B3F74" w:rsidR="00494238" w:rsidRPr="00494238" w:rsidRDefault="00494238">
      <w:pPr>
        <w:pStyle w:val="TOC4"/>
        <w:rPr>
          <w:rFonts w:eastAsiaTheme="minorEastAsia"/>
          <w:kern w:val="2"/>
          <w:lang w:val="en-US"/>
          <w14:ligatures w14:val="standardContextual"/>
        </w:rPr>
      </w:pPr>
      <w:hyperlink w:anchor="_Toc204411726" w:history="1">
        <w:r w:rsidRPr="00494238">
          <w:rPr>
            <w:rStyle w:val="Hyperlink"/>
            <w:snapToGrid w:val="0"/>
          </w:rPr>
          <w:t>6.6.9.2</w:t>
        </w:r>
        <w:r w:rsidRPr="00494238">
          <w:rPr>
            <w:rFonts w:eastAsiaTheme="minorEastAsia"/>
            <w:kern w:val="2"/>
            <w:lang w:val="en-US"/>
            <w14:ligatures w14:val="standardContextual"/>
          </w:rPr>
          <w:tab/>
        </w:r>
        <w:r w:rsidRPr="00494238">
          <w:rPr>
            <w:rStyle w:val="Hyperlink"/>
            <w:snapToGrid w:val="0"/>
          </w:rPr>
          <w:t>Charge for Emergency Operations Settlement</w:t>
        </w:r>
        <w:r w:rsidRPr="00494238">
          <w:rPr>
            <w:webHidden/>
          </w:rPr>
          <w:tab/>
        </w:r>
        <w:r w:rsidRPr="00494238">
          <w:rPr>
            <w:webHidden/>
          </w:rPr>
          <w:fldChar w:fldCharType="begin"/>
        </w:r>
        <w:r w:rsidRPr="00494238">
          <w:rPr>
            <w:webHidden/>
          </w:rPr>
          <w:instrText xml:space="preserve"> PAGEREF _Toc204411726 \h </w:instrText>
        </w:r>
        <w:r w:rsidRPr="00494238">
          <w:rPr>
            <w:webHidden/>
          </w:rPr>
        </w:r>
        <w:r w:rsidRPr="00494238">
          <w:rPr>
            <w:webHidden/>
          </w:rPr>
          <w:fldChar w:fldCharType="separate"/>
        </w:r>
        <w:r w:rsidRPr="00494238">
          <w:rPr>
            <w:webHidden/>
          </w:rPr>
          <w:t>6-356</w:t>
        </w:r>
        <w:r w:rsidRPr="00494238">
          <w:rPr>
            <w:webHidden/>
          </w:rPr>
          <w:fldChar w:fldCharType="end"/>
        </w:r>
      </w:hyperlink>
    </w:p>
    <w:p w14:paraId="5A752861" w14:textId="1E09C4A7" w:rsidR="00494238" w:rsidRPr="00494238" w:rsidRDefault="00494238">
      <w:pPr>
        <w:pStyle w:val="TOC3"/>
        <w:rPr>
          <w:rFonts w:eastAsiaTheme="minorEastAsia"/>
          <w:i w:val="0"/>
          <w:iCs w:val="0"/>
          <w:kern w:val="2"/>
          <w14:ligatures w14:val="standardContextual"/>
        </w:rPr>
      </w:pPr>
      <w:hyperlink w:anchor="_Toc204411727" w:history="1">
        <w:r w:rsidRPr="00494238">
          <w:rPr>
            <w:rStyle w:val="Hyperlink"/>
            <w:i w:val="0"/>
            <w:iCs w:val="0"/>
          </w:rPr>
          <w:t>6.6.10</w:t>
        </w:r>
        <w:r w:rsidRPr="00494238">
          <w:rPr>
            <w:rFonts w:eastAsiaTheme="minorEastAsia"/>
            <w:i w:val="0"/>
            <w:iCs w:val="0"/>
            <w:kern w:val="2"/>
            <w14:ligatures w14:val="standardContextual"/>
          </w:rPr>
          <w:tab/>
        </w:r>
        <w:r w:rsidRPr="00494238">
          <w:rPr>
            <w:rStyle w:val="Hyperlink"/>
            <w:i w:val="0"/>
            <w:iCs w:val="0"/>
          </w:rPr>
          <w:t>Real-Time Revenue Neutrality Allocation</w:t>
        </w:r>
        <w:r w:rsidRPr="00494238">
          <w:rPr>
            <w:i w:val="0"/>
            <w:iCs w:val="0"/>
            <w:webHidden/>
          </w:rPr>
          <w:tab/>
        </w:r>
        <w:r w:rsidRPr="00494238">
          <w:rPr>
            <w:i w:val="0"/>
            <w:iCs w:val="0"/>
            <w:webHidden/>
          </w:rPr>
          <w:fldChar w:fldCharType="begin"/>
        </w:r>
        <w:r w:rsidRPr="00494238">
          <w:rPr>
            <w:i w:val="0"/>
            <w:iCs w:val="0"/>
            <w:webHidden/>
          </w:rPr>
          <w:instrText xml:space="preserve"> PAGEREF _Toc204411727 \h </w:instrText>
        </w:r>
        <w:r w:rsidRPr="00494238">
          <w:rPr>
            <w:i w:val="0"/>
            <w:iCs w:val="0"/>
            <w:webHidden/>
          </w:rPr>
        </w:r>
        <w:r w:rsidRPr="00494238">
          <w:rPr>
            <w:i w:val="0"/>
            <w:iCs w:val="0"/>
            <w:webHidden/>
          </w:rPr>
          <w:fldChar w:fldCharType="separate"/>
        </w:r>
        <w:r w:rsidRPr="00494238">
          <w:rPr>
            <w:i w:val="0"/>
            <w:iCs w:val="0"/>
            <w:webHidden/>
          </w:rPr>
          <w:t>6-356</w:t>
        </w:r>
        <w:r w:rsidRPr="00494238">
          <w:rPr>
            <w:i w:val="0"/>
            <w:iCs w:val="0"/>
            <w:webHidden/>
          </w:rPr>
          <w:fldChar w:fldCharType="end"/>
        </w:r>
      </w:hyperlink>
    </w:p>
    <w:p w14:paraId="5B9AF0B2" w14:textId="1A4E8145" w:rsidR="00494238" w:rsidRPr="00494238" w:rsidRDefault="00494238">
      <w:pPr>
        <w:pStyle w:val="TOC3"/>
        <w:rPr>
          <w:rFonts w:eastAsiaTheme="minorEastAsia"/>
          <w:i w:val="0"/>
          <w:iCs w:val="0"/>
          <w:kern w:val="2"/>
          <w14:ligatures w14:val="standardContextual"/>
        </w:rPr>
      </w:pPr>
      <w:hyperlink w:anchor="_Toc204411728" w:history="1">
        <w:r w:rsidRPr="00494238">
          <w:rPr>
            <w:rStyle w:val="Hyperlink"/>
            <w:i w:val="0"/>
            <w:iCs w:val="0"/>
          </w:rPr>
          <w:t>6.6.11</w:t>
        </w:r>
        <w:r w:rsidRPr="00494238">
          <w:rPr>
            <w:rFonts w:eastAsiaTheme="minorEastAsia"/>
            <w:i w:val="0"/>
            <w:iCs w:val="0"/>
            <w:kern w:val="2"/>
            <w14:ligatures w14:val="standardContextual"/>
          </w:rPr>
          <w:tab/>
        </w:r>
        <w:r w:rsidRPr="00494238">
          <w:rPr>
            <w:rStyle w:val="Hyperlink"/>
            <w:i w:val="0"/>
            <w:iCs w:val="0"/>
          </w:rPr>
          <w:t>Emergency Response Service Capacity</w:t>
        </w:r>
        <w:r w:rsidRPr="00494238">
          <w:rPr>
            <w:i w:val="0"/>
            <w:iCs w:val="0"/>
            <w:webHidden/>
          </w:rPr>
          <w:tab/>
        </w:r>
        <w:r w:rsidRPr="00494238">
          <w:rPr>
            <w:i w:val="0"/>
            <w:iCs w:val="0"/>
            <w:webHidden/>
          </w:rPr>
          <w:fldChar w:fldCharType="begin"/>
        </w:r>
        <w:r w:rsidRPr="00494238">
          <w:rPr>
            <w:i w:val="0"/>
            <w:iCs w:val="0"/>
            <w:webHidden/>
          </w:rPr>
          <w:instrText xml:space="preserve"> PAGEREF _Toc204411728 \h </w:instrText>
        </w:r>
        <w:r w:rsidRPr="00494238">
          <w:rPr>
            <w:i w:val="0"/>
            <w:iCs w:val="0"/>
            <w:webHidden/>
          </w:rPr>
        </w:r>
        <w:r w:rsidRPr="00494238">
          <w:rPr>
            <w:i w:val="0"/>
            <w:iCs w:val="0"/>
            <w:webHidden/>
          </w:rPr>
          <w:fldChar w:fldCharType="separate"/>
        </w:r>
        <w:r w:rsidRPr="00494238">
          <w:rPr>
            <w:i w:val="0"/>
            <w:iCs w:val="0"/>
            <w:webHidden/>
          </w:rPr>
          <w:t>6-363</w:t>
        </w:r>
        <w:r w:rsidRPr="00494238">
          <w:rPr>
            <w:i w:val="0"/>
            <w:iCs w:val="0"/>
            <w:webHidden/>
          </w:rPr>
          <w:fldChar w:fldCharType="end"/>
        </w:r>
      </w:hyperlink>
    </w:p>
    <w:p w14:paraId="6210C63C" w14:textId="3ACE064E" w:rsidR="00494238" w:rsidRPr="00494238" w:rsidRDefault="00494238">
      <w:pPr>
        <w:pStyle w:val="TOC4"/>
        <w:rPr>
          <w:rFonts w:eastAsiaTheme="minorEastAsia"/>
          <w:kern w:val="2"/>
          <w:lang w:val="en-US"/>
          <w14:ligatures w14:val="standardContextual"/>
        </w:rPr>
      </w:pPr>
      <w:hyperlink w:anchor="_Toc204411729" w:history="1">
        <w:r w:rsidRPr="00494238">
          <w:rPr>
            <w:rStyle w:val="Hyperlink"/>
          </w:rPr>
          <w:t>6.6.11.1</w:t>
        </w:r>
        <w:r w:rsidRPr="00494238">
          <w:rPr>
            <w:rFonts w:eastAsiaTheme="minorEastAsia"/>
            <w:kern w:val="2"/>
            <w:lang w:val="en-US"/>
            <w14:ligatures w14:val="standardContextual"/>
          </w:rPr>
          <w:tab/>
        </w:r>
        <w:r w:rsidRPr="00494238">
          <w:rPr>
            <w:rStyle w:val="Hyperlink"/>
          </w:rPr>
          <w:t>Emergency Response Service Capacity Payments</w:t>
        </w:r>
        <w:r w:rsidRPr="00494238">
          <w:rPr>
            <w:webHidden/>
          </w:rPr>
          <w:tab/>
        </w:r>
        <w:r w:rsidRPr="00494238">
          <w:rPr>
            <w:webHidden/>
          </w:rPr>
          <w:fldChar w:fldCharType="begin"/>
        </w:r>
        <w:r w:rsidRPr="00494238">
          <w:rPr>
            <w:webHidden/>
          </w:rPr>
          <w:instrText xml:space="preserve"> PAGEREF _Toc204411729 \h </w:instrText>
        </w:r>
        <w:r w:rsidRPr="00494238">
          <w:rPr>
            <w:webHidden/>
          </w:rPr>
        </w:r>
        <w:r w:rsidRPr="00494238">
          <w:rPr>
            <w:webHidden/>
          </w:rPr>
          <w:fldChar w:fldCharType="separate"/>
        </w:r>
        <w:r w:rsidRPr="00494238">
          <w:rPr>
            <w:webHidden/>
          </w:rPr>
          <w:t>6-363</w:t>
        </w:r>
        <w:r w:rsidRPr="00494238">
          <w:rPr>
            <w:webHidden/>
          </w:rPr>
          <w:fldChar w:fldCharType="end"/>
        </w:r>
      </w:hyperlink>
    </w:p>
    <w:p w14:paraId="3891E961" w14:textId="5776AA59" w:rsidR="00494238" w:rsidRPr="00494238" w:rsidRDefault="00494238">
      <w:pPr>
        <w:pStyle w:val="TOC4"/>
        <w:rPr>
          <w:rFonts w:eastAsiaTheme="minorEastAsia"/>
          <w:kern w:val="2"/>
          <w:lang w:val="en-US"/>
          <w14:ligatures w14:val="standardContextual"/>
        </w:rPr>
      </w:pPr>
      <w:hyperlink w:anchor="_Toc204411730" w:history="1">
        <w:r w:rsidRPr="00494238">
          <w:rPr>
            <w:rStyle w:val="Hyperlink"/>
          </w:rPr>
          <w:t>6.6.11.2</w:t>
        </w:r>
        <w:r w:rsidRPr="00494238">
          <w:rPr>
            <w:rFonts w:eastAsiaTheme="minorEastAsia"/>
            <w:kern w:val="2"/>
            <w:lang w:val="en-US"/>
            <w14:ligatures w14:val="standardContextual"/>
          </w:rPr>
          <w:tab/>
        </w:r>
        <w:r w:rsidRPr="00494238">
          <w:rPr>
            <w:rStyle w:val="Hyperlink"/>
          </w:rPr>
          <w:t>Emergency Response Service Capacity Charge</w:t>
        </w:r>
        <w:r w:rsidRPr="00494238">
          <w:rPr>
            <w:webHidden/>
          </w:rPr>
          <w:tab/>
        </w:r>
        <w:r w:rsidRPr="00494238">
          <w:rPr>
            <w:webHidden/>
          </w:rPr>
          <w:fldChar w:fldCharType="begin"/>
        </w:r>
        <w:r w:rsidRPr="00494238">
          <w:rPr>
            <w:webHidden/>
          </w:rPr>
          <w:instrText xml:space="preserve"> PAGEREF _Toc204411730 \h </w:instrText>
        </w:r>
        <w:r w:rsidRPr="00494238">
          <w:rPr>
            <w:webHidden/>
          </w:rPr>
        </w:r>
        <w:r w:rsidRPr="00494238">
          <w:rPr>
            <w:webHidden/>
          </w:rPr>
          <w:fldChar w:fldCharType="separate"/>
        </w:r>
        <w:r w:rsidRPr="00494238">
          <w:rPr>
            <w:webHidden/>
          </w:rPr>
          <w:t>6-368</w:t>
        </w:r>
        <w:r w:rsidRPr="00494238">
          <w:rPr>
            <w:webHidden/>
          </w:rPr>
          <w:fldChar w:fldCharType="end"/>
        </w:r>
      </w:hyperlink>
    </w:p>
    <w:p w14:paraId="50B2F233" w14:textId="73F158D4" w:rsidR="00494238" w:rsidRPr="00494238" w:rsidRDefault="00494238">
      <w:pPr>
        <w:pStyle w:val="TOC3"/>
        <w:rPr>
          <w:rFonts w:eastAsiaTheme="minorEastAsia"/>
          <w:i w:val="0"/>
          <w:iCs w:val="0"/>
          <w:kern w:val="2"/>
          <w14:ligatures w14:val="standardContextual"/>
        </w:rPr>
      </w:pPr>
      <w:hyperlink w:anchor="_Toc204411731" w:history="1">
        <w:r w:rsidRPr="00494238">
          <w:rPr>
            <w:rStyle w:val="Hyperlink"/>
            <w:i w:val="0"/>
            <w:iCs w:val="0"/>
          </w:rPr>
          <w:t>6.6.12</w:t>
        </w:r>
        <w:r w:rsidRPr="00494238">
          <w:rPr>
            <w:rFonts w:eastAsiaTheme="minorEastAsia"/>
            <w:i w:val="0"/>
            <w:iCs w:val="0"/>
            <w:kern w:val="2"/>
            <w14:ligatures w14:val="standardContextual"/>
          </w:rPr>
          <w:tab/>
        </w:r>
        <w:r w:rsidRPr="00494238">
          <w:rPr>
            <w:rStyle w:val="Hyperlink"/>
            <w:i w:val="0"/>
            <w:iCs w:val="0"/>
          </w:rPr>
          <w:t>Make-Whole Payment for Switchable Generation Resources Committed for Energy Emergency Alert (EEA)</w:t>
        </w:r>
        <w:r w:rsidRPr="00494238">
          <w:rPr>
            <w:i w:val="0"/>
            <w:iCs w:val="0"/>
            <w:webHidden/>
          </w:rPr>
          <w:tab/>
        </w:r>
        <w:r w:rsidRPr="00494238">
          <w:rPr>
            <w:i w:val="0"/>
            <w:iCs w:val="0"/>
            <w:webHidden/>
          </w:rPr>
          <w:fldChar w:fldCharType="begin"/>
        </w:r>
        <w:r w:rsidRPr="00494238">
          <w:rPr>
            <w:i w:val="0"/>
            <w:iCs w:val="0"/>
            <w:webHidden/>
          </w:rPr>
          <w:instrText xml:space="preserve"> PAGEREF _Toc204411731 \h </w:instrText>
        </w:r>
        <w:r w:rsidRPr="00494238">
          <w:rPr>
            <w:i w:val="0"/>
            <w:iCs w:val="0"/>
            <w:webHidden/>
          </w:rPr>
        </w:r>
        <w:r w:rsidRPr="00494238">
          <w:rPr>
            <w:i w:val="0"/>
            <w:iCs w:val="0"/>
            <w:webHidden/>
          </w:rPr>
          <w:fldChar w:fldCharType="separate"/>
        </w:r>
        <w:r w:rsidRPr="00494238">
          <w:rPr>
            <w:i w:val="0"/>
            <w:iCs w:val="0"/>
            <w:webHidden/>
          </w:rPr>
          <w:t>6-369</w:t>
        </w:r>
        <w:r w:rsidRPr="00494238">
          <w:rPr>
            <w:i w:val="0"/>
            <w:iCs w:val="0"/>
            <w:webHidden/>
          </w:rPr>
          <w:fldChar w:fldCharType="end"/>
        </w:r>
      </w:hyperlink>
    </w:p>
    <w:p w14:paraId="7C025EB3" w14:textId="79F68E29" w:rsidR="00494238" w:rsidRPr="00494238" w:rsidRDefault="00494238">
      <w:pPr>
        <w:pStyle w:val="TOC4"/>
        <w:rPr>
          <w:rFonts w:eastAsiaTheme="minorEastAsia"/>
          <w:kern w:val="2"/>
          <w:lang w:val="en-US"/>
          <w14:ligatures w14:val="standardContextual"/>
        </w:rPr>
      </w:pPr>
      <w:hyperlink w:anchor="_Toc204411732" w:history="1">
        <w:r w:rsidRPr="00494238">
          <w:rPr>
            <w:rStyle w:val="Hyperlink"/>
          </w:rPr>
          <w:t>6.6.12.1</w:t>
        </w:r>
        <w:r w:rsidRPr="00494238">
          <w:rPr>
            <w:rFonts w:eastAsiaTheme="minorEastAsia"/>
            <w:kern w:val="2"/>
            <w:lang w:val="en-US"/>
            <w14:ligatures w14:val="standardContextual"/>
          </w:rPr>
          <w:tab/>
        </w:r>
        <w:r w:rsidRPr="00494238">
          <w:rPr>
            <w:rStyle w:val="Hyperlink"/>
          </w:rPr>
          <w:t>Switchable Generation Make-Whole Payment</w:t>
        </w:r>
        <w:r w:rsidRPr="00494238">
          <w:rPr>
            <w:webHidden/>
          </w:rPr>
          <w:tab/>
        </w:r>
        <w:r w:rsidRPr="00494238">
          <w:rPr>
            <w:webHidden/>
          </w:rPr>
          <w:fldChar w:fldCharType="begin"/>
        </w:r>
        <w:r w:rsidRPr="00494238">
          <w:rPr>
            <w:webHidden/>
          </w:rPr>
          <w:instrText xml:space="preserve"> PAGEREF _Toc204411732 \h </w:instrText>
        </w:r>
        <w:r w:rsidRPr="00494238">
          <w:rPr>
            <w:webHidden/>
          </w:rPr>
        </w:r>
        <w:r w:rsidRPr="00494238">
          <w:rPr>
            <w:webHidden/>
          </w:rPr>
          <w:fldChar w:fldCharType="separate"/>
        </w:r>
        <w:r w:rsidRPr="00494238">
          <w:rPr>
            <w:webHidden/>
          </w:rPr>
          <w:t>6-372</w:t>
        </w:r>
        <w:r w:rsidRPr="00494238">
          <w:rPr>
            <w:webHidden/>
          </w:rPr>
          <w:fldChar w:fldCharType="end"/>
        </w:r>
      </w:hyperlink>
    </w:p>
    <w:p w14:paraId="01F7E082" w14:textId="057E0DEE" w:rsidR="00494238" w:rsidRPr="00494238" w:rsidRDefault="00494238">
      <w:pPr>
        <w:pStyle w:val="TOC4"/>
        <w:rPr>
          <w:rFonts w:eastAsiaTheme="minorEastAsia"/>
          <w:kern w:val="2"/>
          <w:lang w:val="en-US"/>
          <w14:ligatures w14:val="standardContextual"/>
        </w:rPr>
      </w:pPr>
      <w:hyperlink w:anchor="_Toc204411733" w:history="1">
        <w:r w:rsidRPr="00494238">
          <w:rPr>
            <w:rStyle w:val="Hyperlink"/>
          </w:rPr>
          <w:t>6.6.12.2</w:t>
        </w:r>
        <w:r w:rsidRPr="00494238">
          <w:rPr>
            <w:rFonts w:eastAsiaTheme="minorEastAsia"/>
            <w:kern w:val="2"/>
            <w:lang w:val="en-US"/>
            <w14:ligatures w14:val="standardContextual"/>
          </w:rPr>
          <w:tab/>
        </w:r>
        <w:r w:rsidRPr="00494238">
          <w:rPr>
            <w:rStyle w:val="Hyperlink"/>
          </w:rPr>
          <w:t>Switchable Generation Make-Whole Charge</w:t>
        </w:r>
        <w:r w:rsidRPr="00494238">
          <w:rPr>
            <w:webHidden/>
          </w:rPr>
          <w:tab/>
        </w:r>
        <w:r w:rsidRPr="00494238">
          <w:rPr>
            <w:webHidden/>
          </w:rPr>
          <w:fldChar w:fldCharType="begin"/>
        </w:r>
        <w:r w:rsidRPr="00494238">
          <w:rPr>
            <w:webHidden/>
          </w:rPr>
          <w:instrText xml:space="preserve"> PAGEREF _Toc204411733 \h </w:instrText>
        </w:r>
        <w:r w:rsidRPr="00494238">
          <w:rPr>
            <w:webHidden/>
          </w:rPr>
        </w:r>
        <w:r w:rsidRPr="00494238">
          <w:rPr>
            <w:webHidden/>
          </w:rPr>
          <w:fldChar w:fldCharType="separate"/>
        </w:r>
        <w:r w:rsidRPr="00494238">
          <w:rPr>
            <w:webHidden/>
          </w:rPr>
          <w:t>6-387</w:t>
        </w:r>
        <w:r w:rsidRPr="00494238">
          <w:rPr>
            <w:webHidden/>
          </w:rPr>
          <w:fldChar w:fldCharType="end"/>
        </w:r>
      </w:hyperlink>
    </w:p>
    <w:p w14:paraId="1D6C88DC" w14:textId="3E8BE20C" w:rsidR="00494238" w:rsidRPr="00494238" w:rsidRDefault="00494238">
      <w:pPr>
        <w:pStyle w:val="TOC4"/>
        <w:rPr>
          <w:rFonts w:eastAsiaTheme="minorEastAsia"/>
          <w:kern w:val="2"/>
          <w:lang w:val="en-US"/>
          <w14:ligatures w14:val="standardContextual"/>
        </w:rPr>
      </w:pPr>
      <w:hyperlink w:anchor="_Toc204411734" w:history="1">
        <w:r w:rsidRPr="00494238">
          <w:rPr>
            <w:rStyle w:val="Hyperlink"/>
          </w:rPr>
          <w:t>6.6.12.3</w:t>
        </w:r>
        <w:r w:rsidRPr="00494238">
          <w:rPr>
            <w:rFonts w:eastAsiaTheme="minorEastAsia"/>
            <w:kern w:val="2"/>
            <w:lang w:val="en-US"/>
            <w14:ligatures w14:val="standardContextual"/>
          </w:rPr>
          <w:tab/>
        </w:r>
        <w:r w:rsidRPr="00494238">
          <w:rPr>
            <w:rStyle w:val="Hyperlink"/>
          </w:rPr>
          <w:t>Miscellaneous Invoice for Switchable Generation Make-Whole Payments and Charges</w:t>
        </w:r>
        <w:r w:rsidRPr="00494238">
          <w:rPr>
            <w:webHidden/>
          </w:rPr>
          <w:tab/>
        </w:r>
        <w:r w:rsidRPr="00494238">
          <w:rPr>
            <w:webHidden/>
          </w:rPr>
          <w:fldChar w:fldCharType="begin"/>
        </w:r>
        <w:r w:rsidRPr="00494238">
          <w:rPr>
            <w:webHidden/>
          </w:rPr>
          <w:instrText xml:space="preserve"> PAGEREF _Toc204411734 \h </w:instrText>
        </w:r>
        <w:r w:rsidRPr="00494238">
          <w:rPr>
            <w:webHidden/>
          </w:rPr>
        </w:r>
        <w:r w:rsidRPr="00494238">
          <w:rPr>
            <w:webHidden/>
          </w:rPr>
          <w:fldChar w:fldCharType="separate"/>
        </w:r>
        <w:r w:rsidRPr="00494238">
          <w:rPr>
            <w:webHidden/>
          </w:rPr>
          <w:t>6-388</w:t>
        </w:r>
        <w:r w:rsidRPr="00494238">
          <w:rPr>
            <w:webHidden/>
          </w:rPr>
          <w:fldChar w:fldCharType="end"/>
        </w:r>
      </w:hyperlink>
    </w:p>
    <w:p w14:paraId="67CB2B26" w14:textId="1D34A521" w:rsidR="00494238" w:rsidRPr="00494238" w:rsidRDefault="00494238">
      <w:pPr>
        <w:pStyle w:val="TOC3"/>
        <w:rPr>
          <w:rFonts w:eastAsiaTheme="minorEastAsia"/>
          <w:i w:val="0"/>
          <w:iCs w:val="0"/>
          <w:kern w:val="2"/>
          <w14:ligatures w14:val="standardContextual"/>
        </w:rPr>
      </w:pPr>
      <w:hyperlink w:anchor="_Toc204411735" w:history="1">
        <w:r w:rsidRPr="00494238">
          <w:rPr>
            <w:rStyle w:val="Hyperlink"/>
            <w:i w:val="0"/>
            <w:iCs w:val="0"/>
          </w:rPr>
          <w:t>6.6.13</w:t>
        </w:r>
        <w:r w:rsidRPr="00494238">
          <w:rPr>
            <w:rFonts w:eastAsiaTheme="minorEastAsia"/>
            <w:i w:val="0"/>
            <w:iCs w:val="0"/>
            <w:kern w:val="2"/>
            <w14:ligatures w14:val="standardContextual"/>
          </w:rPr>
          <w:tab/>
        </w:r>
        <w:r w:rsidRPr="00494238">
          <w:rPr>
            <w:rStyle w:val="Hyperlink"/>
            <w:i w:val="0"/>
            <w:iCs w:val="0"/>
          </w:rPr>
          <w:t>Wholesale Storage Load Reconciliation for ESRs Operating in a Private Microgrid Island</w:t>
        </w:r>
        <w:r w:rsidRPr="00494238">
          <w:rPr>
            <w:i w:val="0"/>
            <w:iCs w:val="0"/>
            <w:webHidden/>
          </w:rPr>
          <w:tab/>
        </w:r>
        <w:r w:rsidRPr="00494238">
          <w:rPr>
            <w:i w:val="0"/>
            <w:iCs w:val="0"/>
            <w:webHidden/>
          </w:rPr>
          <w:fldChar w:fldCharType="begin"/>
        </w:r>
        <w:r w:rsidRPr="00494238">
          <w:rPr>
            <w:i w:val="0"/>
            <w:iCs w:val="0"/>
            <w:webHidden/>
          </w:rPr>
          <w:instrText xml:space="preserve"> PAGEREF _Toc204411735 \h </w:instrText>
        </w:r>
        <w:r w:rsidRPr="00494238">
          <w:rPr>
            <w:i w:val="0"/>
            <w:iCs w:val="0"/>
            <w:webHidden/>
          </w:rPr>
        </w:r>
        <w:r w:rsidRPr="00494238">
          <w:rPr>
            <w:i w:val="0"/>
            <w:iCs w:val="0"/>
            <w:webHidden/>
          </w:rPr>
          <w:fldChar w:fldCharType="separate"/>
        </w:r>
        <w:r w:rsidRPr="00494238">
          <w:rPr>
            <w:i w:val="0"/>
            <w:iCs w:val="0"/>
            <w:webHidden/>
          </w:rPr>
          <w:t>6-388</w:t>
        </w:r>
        <w:r w:rsidRPr="00494238">
          <w:rPr>
            <w:i w:val="0"/>
            <w:iCs w:val="0"/>
            <w:webHidden/>
          </w:rPr>
          <w:fldChar w:fldCharType="end"/>
        </w:r>
      </w:hyperlink>
    </w:p>
    <w:p w14:paraId="78434FBB" w14:textId="7AD22F5C" w:rsidR="00494238" w:rsidRPr="00494238" w:rsidRDefault="00494238">
      <w:pPr>
        <w:pStyle w:val="TOC3"/>
        <w:rPr>
          <w:rFonts w:eastAsiaTheme="minorEastAsia"/>
          <w:i w:val="0"/>
          <w:iCs w:val="0"/>
          <w:kern w:val="2"/>
          <w14:ligatures w14:val="standardContextual"/>
        </w:rPr>
      </w:pPr>
      <w:hyperlink w:anchor="_Toc204411736" w:history="1">
        <w:r w:rsidRPr="00494238">
          <w:rPr>
            <w:rStyle w:val="Hyperlink"/>
            <w:i w:val="0"/>
            <w:iCs w:val="0"/>
          </w:rPr>
          <w:t>6.6.14</w:t>
        </w:r>
        <w:r w:rsidRPr="00494238">
          <w:rPr>
            <w:rFonts w:eastAsiaTheme="minorEastAsia"/>
            <w:i w:val="0"/>
            <w:iCs w:val="0"/>
            <w:kern w:val="2"/>
            <w14:ligatures w14:val="standardContextual"/>
          </w:rPr>
          <w:tab/>
        </w:r>
        <w:r w:rsidRPr="00494238">
          <w:rPr>
            <w:rStyle w:val="Hyperlink"/>
            <w:i w:val="0"/>
            <w:iCs w:val="0"/>
          </w:rPr>
          <w:t>Firm Fuel Supply Service Capability</w:t>
        </w:r>
        <w:r w:rsidRPr="00494238">
          <w:rPr>
            <w:i w:val="0"/>
            <w:iCs w:val="0"/>
            <w:webHidden/>
          </w:rPr>
          <w:tab/>
        </w:r>
        <w:r w:rsidRPr="00494238">
          <w:rPr>
            <w:i w:val="0"/>
            <w:iCs w:val="0"/>
            <w:webHidden/>
          </w:rPr>
          <w:fldChar w:fldCharType="begin"/>
        </w:r>
        <w:r w:rsidRPr="00494238">
          <w:rPr>
            <w:i w:val="0"/>
            <w:iCs w:val="0"/>
            <w:webHidden/>
          </w:rPr>
          <w:instrText xml:space="preserve"> PAGEREF _Toc204411736 \h </w:instrText>
        </w:r>
        <w:r w:rsidRPr="00494238">
          <w:rPr>
            <w:i w:val="0"/>
            <w:iCs w:val="0"/>
            <w:webHidden/>
          </w:rPr>
        </w:r>
        <w:r w:rsidRPr="00494238">
          <w:rPr>
            <w:i w:val="0"/>
            <w:iCs w:val="0"/>
            <w:webHidden/>
          </w:rPr>
          <w:fldChar w:fldCharType="separate"/>
        </w:r>
        <w:r w:rsidRPr="00494238">
          <w:rPr>
            <w:i w:val="0"/>
            <w:iCs w:val="0"/>
            <w:webHidden/>
          </w:rPr>
          <w:t>6-389</w:t>
        </w:r>
        <w:r w:rsidRPr="00494238">
          <w:rPr>
            <w:i w:val="0"/>
            <w:iCs w:val="0"/>
            <w:webHidden/>
          </w:rPr>
          <w:fldChar w:fldCharType="end"/>
        </w:r>
      </w:hyperlink>
    </w:p>
    <w:p w14:paraId="4956AD99" w14:textId="17A6D7F3" w:rsidR="00494238" w:rsidRPr="00494238" w:rsidRDefault="00494238">
      <w:pPr>
        <w:pStyle w:val="TOC4"/>
        <w:rPr>
          <w:rFonts w:eastAsiaTheme="minorEastAsia"/>
          <w:kern w:val="2"/>
          <w:lang w:val="en-US"/>
          <w14:ligatures w14:val="standardContextual"/>
        </w:rPr>
      </w:pPr>
      <w:hyperlink w:anchor="_Toc204411737" w:history="1">
        <w:r w:rsidRPr="00494238">
          <w:rPr>
            <w:rStyle w:val="Hyperlink"/>
          </w:rPr>
          <w:t>6.6.14.1</w:t>
        </w:r>
        <w:r w:rsidRPr="00494238">
          <w:rPr>
            <w:rFonts w:eastAsiaTheme="minorEastAsia"/>
            <w:kern w:val="2"/>
            <w:lang w:val="en-US"/>
            <w14:ligatures w14:val="standardContextual"/>
          </w:rPr>
          <w:tab/>
        </w:r>
        <w:r w:rsidRPr="00494238">
          <w:rPr>
            <w:rStyle w:val="Hyperlink"/>
          </w:rPr>
          <w:t>Firm Fuel Supply Service Fuel Replacement Costs Recovery</w:t>
        </w:r>
        <w:r w:rsidRPr="00494238">
          <w:rPr>
            <w:webHidden/>
          </w:rPr>
          <w:tab/>
        </w:r>
        <w:r w:rsidRPr="00494238">
          <w:rPr>
            <w:webHidden/>
          </w:rPr>
          <w:fldChar w:fldCharType="begin"/>
        </w:r>
        <w:r w:rsidRPr="00494238">
          <w:rPr>
            <w:webHidden/>
          </w:rPr>
          <w:instrText xml:space="preserve"> PAGEREF _Toc204411737 \h </w:instrText>
        </w:r>
        <w:r w:rsidRPr="00494238">
          <w:rPr>
            <w:webHidden/>
          </w:rPr>
        </w:r>
        <w:r w:rsidRPr="00494238">
          <w:rPr>
            <w:webHidden/>
          </w:rPr>
          <w:fldChar w:fldCharType="separate"/>
        </w:r>
        <w:r w:rsidRPr="00494238">
          <w:rPr>
            <w:webHidden/>
          </w:rPr>
          <w:t>6-389</w:t>
        </w:r>
        <w:r w:rsidRPr="00494238">
          <w:rPr>
            <w:webHidden/>
          </w:rPr>
          <w:fldChar w:fldCharType="end"/>
        </w:r>
      </w:hyperlink>
    </w:p>
    <w:p w14:paraId="1D4E9961" w14:textId="6CF52233" w:rsidR="00494238" w:rsidRPr="00494238" w:rsidRDefault="00494238">
      <w:pPr>
        <w:pStyle w:val="TOC4"/>
        <w:rPr>
          <w:rFonts w:eastAsiaTheme="minorEastAsia"/>
          <w:kern w:val="2"/>
          <w:lang w:val="en-US"/>
          <w14:ligatures w14:val="standardContextual"/>
        </w:rPr>
      </w:pPr>
      <w:hyperlink w:anchor="_Toc204411738" w:history="1">
        <w:r w:rsidRPr="00494238">
          <w:rPr>
            <w:rStyle w:val="Hyperlink"/>
          </w:rPr>
          <w:t>6.6.14.2</w:t>
        </w:r>
        <w:r w:rsidRPr="00494238">
          <w:rPr>
            <w:rFonts w:eastAsiaTheme="minorEastAsia"/>
            <w:kern w:val="2"/>
            <w:lang w:val="en-US"/>
            <w14:ligatures w14:val="standardContextual"/>
          </w:rPr>
          <w:tab/>
        </w:r>
        <w:r w:rsidRPr="00494238">
          <w:rPr>
            <w:rStyle w:val="Hyperlink"/>
          </w:rPr>
          <w:t>Firm Fuel Supply Service Hourly Standby Fee Payment and Fuel Replacement Cost Recovery</w:t>
        </w:r>
        <w:r w:rsidRPr="00494238">
          <w:rPr>
            <w:webHidden/>
          </w:rPr>
          <w:tab/>
        </w:r>
        <w:r w:rsidRPr="00494238">
          <w:rPr>
            <w:webHidden/>
          </w:rPr>
          <w:fldChar w:fldCharType="begin"/>
        </w:r>
        <w:r w:rsidRPr="00494238">
          <w:rPr>
            <w:webHidden/>
          </w:rPr>
          <w:instrText xml:space="preserve"> PAGEREF _Toc204411738 \h </w:instrText>
        </w:r>
        <w:r w:rsidRPr="00494238">
          <w:rPr>
            <w:webHidden/>
          </w:rPr>
        </w:r>
        <w:r w:rsidRPr="00494238">
          <w:rPr>
            <w:webHidden/>
          </w:rPr>
          <w:fldChar w:fldCharType="separate"/>
        </w:r>
        <w:r w:rsidRPr="00494238">
          <w:rPr>
            <w:webHidden/>
          </w:rPr>
          <w:t>6-390</w:t>
        </w:r>
        <w:r w:rsidRPr="00494238">
          <w:rPr>
            <w:webHidden/>
          </w:rPr>
          <w:fldChar w:fldCharType="end"/>
        </w:r>
      </w:hyperlink>
    </w:p>
    <w:p w14:paraId="6B5EED0F" w14:textId="6292CBB8" w:rsidR="00494238" w:rsidRPr="00494238" w:rsidRDefault="00494238">
      <w:pPr>
        <w:pStyle w:val="TOC4"/>
        <w:rPr>
          <w:rFonts w:eastAsiaTheme="minorEastAsia"/>
          <w:kern w:val="2"/>
          <w:lang w:val="en-US"/>
          <w14:ligatures w14:val="standardContextual"/>
        </w:rPr>
      </w:pPr>
      <w:hyperlink w:anchor="_Toc204411739" w:history="1">
        <w:r w:rsidRPr="00494238">
          <w:rPr>
            <w:rStyle w:val="Hyperlink"/>
          </w:rPr>
          <w:t>6.6.14.3</w:t>
        </w:r>
        <w:r w:rsidRPr="00494238">
          <w:rPr>
            <w:rFonts w:eastAsiaTheme="minorEastAsia"/>
            <w:kern w:val="2"/>
            <w:lang w:val="en-US"/>
            <w14:ligatures w14:val="standardContextual"/>
          </w:rPr>
          <w:tab/>
        </w:r>
        <w:r w:rsidRPr="00494238">
          <w:rPr>
            <w:rStyle w:val="Hyperlink"/>
          </w:rPr>
          <w:t>Firm Fuel Supply Service Capacity Charge</w:t>
        </w:r>
        <w:r w:rsidRPr="00494238">
          <w:rPr>
            <w:webHidden/>
          </w:rPr>
          <w:tab/>
        </w:r>
        <w:r w:rsidRPr="00494238">
          <w:rPr>
            <w:webHidden/>
          </w:rPr>
          <w:fldChar w:fldCharType="begin"/>
        </w:r>
        <w:r w:rsidRPr="00494238">
          <w:rPr>
            <w:webHidden/>
          </w:rPr>
          <w:instrText xml:space="preserve"> PAGEREF _Toc204411739 \h </w:instrText>
        </w:r>
        <w:r w:rsidRPr="00494238">
          <w:rPr>
            <w:webHidden/>
          </w:rPr>
        </w:r>
        <w:r w:rsidRPr="00494238">
          <w:rPr>
            <w:webHidden/>
          </w:rPr>
          <w:fldChar w:fldCharType="separate"/>
        </w:r>
        <w:r w:rsidRPr="00494238">
          <w:rPr>
            <w:webHidden/>
          </w:rPr>
          <w:t>6-394</w:t>
        </w:r>
        <w:r w:rsidRPr="00494238">
          <w:rPr>
            <w:webHidden/>
          </w:rPr>
          <w:fldChar w:fldCharType="end"/>
        </w:r>
      </w:hyperlink>
    </w:p>
    <w:p w14:paraId="33B95BF3" w14:textId="355D2EF6" w:rsidR="00494238" w:rsidRPr="00494238" w:rsidRDefault="00494238">
      <w:pPr>
        <w:pStyle w:val="TOC2"/>
        <w:rPr>
          <w:rFonts w:eastAsiaTheme="minorEastAsia"/>
          <w:noProof/>
          <w:kern w:val="2"/>
          <w14:ligatures w14:val="standardContextual"/>
        </w:rPr>
      </w:pPr>
      <w:hyperlink w:anchor="_Toc204411740" w:history="1">
        <w:r w:rsidRPr="00494238">
          <w:rPr>
            <w:rStyle w:val="Hyperlink"/>
            <w:noProof/>
          </w:rPr>
          <w:t>6.7</w:t>
        </w:r>
        <w:r w:rsidRPr="00494238">
          <w:rPr>
            <w:rFonts w:eastAsiaTheme="minorEastAsia"/>
            <w:noProof/>
            <w:kern w:val="2"/>
            <w14:ligatures w14:val="standardContextual"/>
          </w:rPr>
          <w:tab/>
        </w:r>
        <w:r w:rsidRPr="00494238">
          <w:rPr>
            <w:rStyle w:val="Hyperlink"/>
            <w:noProof/>
          </w:rPr>
          <w:t>Real-Time Settlement Calculations for the Ancillary Services</w:t>
        </w:r>
        <w:r w:rsidRPr="00494238">
          <w:rPr>
            <w:noProof/>
            <w:webHidden/>
          </w:rPr>
          <w:tab/>
        </w:r>
        <w:r w:rsidRPr="00494238">
          <w:rPr>
            <w:noProof/>
            <w:webHidden/>
          </w:rPr>
          <w:fldChar w:fldCharType="begin"/>
        </w:r>
        <w:r w:rsidRPr="00494238">
          <w:rPr>
            <w:noProof/>
            <w:webHidden/>
          </w:rPr>
          <w:instrText xml:space="preserve"> PAGEREF _Toc204411740 \h </w:instrText>
        </w:r>
        <w:r w:rsidRPr="00494238">
          <w:rPr>
            <w:noProof/>
            <w:webHidden/>
          </w:rPr>
        </w:r>
        <w:r w:rsidRPr="00494238">
          <w:rPr>
            <w:noProof/>
            <w:webHidden/>
          </w:rPr>
          <w:fldChar w:fldCharType="separate"/>
        </w:r>
        <w:r w:rsidRPr="00494238">
          <w:rPr>
            <w:noProof/>
            <w:webHidden/>
          </w:rPr>
          <w:t>6-395</w:t>
        </w:r>
        <w:r w:rsidRPr="00494238">
          <w:rPr>
            <w:noProof/>
            <w:webHidden/>
          </w:rPr>
          <w:fldChar w:fldCharType="end"/>
        </w:r>
      </w:hyperlink>
    </w:p>
    <w:p w14:paraId="69094AB9" w14:textId="5C87E8CD" w:rsidR="00494238" w:rsidRPr="00494238" w:rsidRDefault="00494238">
      <w:pPr>
        <w:pStyle w:val="TOC3"/>
        <w:rPr>
          <w:rFonts w:eastAsiaTheme="minorEastAsia"/>
          <w:i w:val="0"/>
          <w:iCs w:val="0"/>
          <w:kern w:val="2"/>
          <w14:ligatures w14:val="standardContextual"/>
        </w:rPr>
      </w:pPr>
      <w:hyperlink w:anchor="_Toc204411741" w:history="1">
        <w:r w:rsidRPr="00494238">
          <w:rPr>
            <w:rStyle w:val="Hyperlink"/>
            <w:i w:val="0"/>
            <w:iCs w:val="0"/>
          </w:rPr>
          <w:t>6.7.1</w:t>
        </w:r>
        <w:r w:rsidRPr="00494238">
          <w:rPr>
            <w:rFonts w:eastAsiaTheme="minorEastAsia"/>
            <w:i w:val="0"/>
            <w:iCs w:val="0"/>
            <w:kern w:val="2"/>
            <w14:ligatures w14:val="standardContextual"/>
          </w:rPr>
          <w:tab/>
        </w:r>
        <w:r w:rsidRPr="00494238">
          <w:rPr>
            <w:rStyle w:val="Hyperlink"/>
            <w:i w:val="0"/>
            <w:iCs w:val="0"/>
          </w:rPr>
          <w:t>Payments for Ancillary Service Capacity Sold in a Supplemental Ancillary Services Market (SASM) or Reconfiguration Supplemental Ancillary Services Market (RSASM)</w:t>
        </w:r>
        <w:r w:rsidRPr="00494238">
          <w:rPr>
            <w:i w:val="0"/>
            <w:iCs w:val="0"/>
            <w:webHidden/>
          </w:rPr>
          <w:tab/>
        </w:r>
        <w:r w:rsidRPr="00494238">
          <w:rPr>
            <w:i w:val="0"/>
            <w:iCs w:val="0"/>
            <w:webHidden/>
          </w:rPr>
          <w:fldChar w:fldCharType="begin"/>
        </w:r>
        <w:r w:rsidRPr="00494238">
          <w:rPr>
            <w:i w:val="0"/>
            <w:iCs w:val="0"/>
            <w:webHidden/>
          </w:rPr>
          <w:instrText xml:space="preserve"> PAGEREF _Toc204411741 \h </w:instrText>
        </w:r>
        <w:r w:rsidRPr="00494238">
          <w:rPr>
            <w:i w:val="0"/>
            <w:iCs w:val="0"/>
            <w:webHidden/>
          </w:rPr>
        </w:r>
        <w:r w:rsidRPr="00494238">
          <w:rPr>
            <w:i w:val="0"/>
            <w:iCs w:val="0"/>
            <w:webHidden/>
          </w:rPr>
          <w:fldChar w:fldCharType="separate"/>
        </w:r>
        <w:r w:rsidRPr="00494238">
          <w:rPr>
            <w:i w:val="0"/>
            <w:iCs w:val="0"/>
            <w:webHidden/>
          </w:rPr>
          <w:t>6-395</w:t>
        </w:r>
        <w:r w:rsidRPr="00494238">
          <w:rPr>
            <w:i w:val="0"/>
            <w:iCs w:val="0"/>
            <w:webHidden/>
          </w:rPr>
          <w:fldChar w:fldCharType="end"/>
        </w:r>
      </w:hyperlink>
    </w:p>
    <w:p w14:paraId="2484860F" w14:textId="081A0F47" w:rsidR="00494238" w:rsidRPr="00494238" w:rsidRDefault="00494238">
      <w:pPr>
        <w:pStyle w:val="TOC3"/>
        <w:rPr>
          <w:rFonts w:eastAsiaTheme="minorEastAsia"/>
          <w:i w:val="0"/>
          <w:iCs w:val="0"/>
          <w:kern w:val="2"/>
          <w14:ligatures w14:val="standardContextual"/>
        </w:rPr>
      </w:pPr>
      <w:hyperlink w:anchor="_Toc204411742" w:history="1">
        <w:r w:rsidRPr="00494238">
          <w:rPr>
            <w:rStyle w:val="Hyperlink"/>
            <w:i w:val="0"/>
            <w:iCs w:val="0"/>
          </w:rPr>
          <w:t>6.7.2</w:t>
        </w:r>
        <w:r w:rsidRPr="00494238">
          <w:rPr>
            <w:rFonts w:eastAsiaTheme="minorEastAsia"/>
            <w:i w:val="0"/>
            <w:iCs w:val="0"/>
            <w:kern w:val="2"/>
            <w14:ligatures w14:val="standardContextual"/>
          </w:rPr>
          <w:tab/>
        </w:r>
        <w:r w:rsidRPr="00494238">
          <w:rPr>
            <w:rStyle w:val="Hyperlink"/>
            <w:i w:val="0"/>
            <w:iCs w:val="0"/>
          </w:rPr>
          <w:t>Payments for Ancillary Service Capacity Assigned in Real-Time Operations</w:t>
        </w:r>
        <w:r w:rsidRPr="00494238">
          <w:rPr>
            <w:i w:val="0"/>
            <w:iCs w:val="0"/>
            <w:webHidden/>
          </w:rPr>
          <w:tab/>
        </w:r>
        <w:r w:rsidRPr="00494238">
          <w:rPr>
            <w:i w:val="0"/>
            <w:iCs w:val="0"/>
            <w:webHidden/>
          </w:rPr>
          <w:fldChar w:fldCharType="begin"/>
        </w:r>
        <w:r w:rsidRPr="00494238">
          <w:rPr>
            <w:i w:val="0"/>
            <w:iCs w:val="0"/>
            <w:webHidden/>
          </w:rPr>
          <w:instrText xml:space="preserve"> PAGEREF _Toc204411742 \h </w:instrText>
        </w:r>
        <w:r w:rsidRPr="00494238">
          <w:rPr>
            <w:i w:val="0"/>
            <w:iCs w:val="0"/>
            <w:webHidden/>
          </w:rPr>
        </w:r>
        <w:r w:rsidRPr="00494238">
          <w:rPr>
            <w:i w:val="0"/>
            <w:iCs w:val="0"/>
            <w:webHidden/>
          </w:rPr>
          <w:fldChar w:fldCharType="separate"/>
        </w:r>
        <w:r w:rsidRPr="00494238">
          <w:rPr>
            <w:i w:val="0"/>
            <w:iCs w:val="0"/>
            <w:webHidden/>
          </w:rPr>
          <w:t>6-398</w:t>
        </w:r>
        <w:r w:rsidRPr="00494238">
          <w:rPr>
            <w:i w:val="0"/>
            <w:iCs w:val="0"/>
            <w:webHidden/>
          </w:rPr>
          <w:fldChar w:fldCharType="end"/>
        </w:r>
      </w:hyperlink>
    </w:p>
    <w:p w14:paraId="0B17A1AE" w14:textId="36D04A89" w:rsidR="00494238" w:rsidRPr="00494238" w:rsidRDefault="00494238">
      <w:pPr>
        <w:pStyle w:val="TOC4"/>
        <w:rPr>
          <w:rFonts w:eastAsiaTheme="minorEastAsia"/>
          <w:kern w:val="2"/>
          <w:lang w:val="en-US"/>
          <w14:ligatures w14:val="standardContextual"/>
        </w:rPr>
      </w:pPr>
      <w:hyperlink w:anchor="_Toc204411743" w:history="1">
        <w:r w:rsidRPr="00494238">
          <w:rPr>
            <w:rStyle w:val="Hyperlink"/>
          </w:rPr>
          <w:t>6.7.2.1</w:t>
        </w:r>
        <w:r w:rsidRPr="00494238">
          <w:rPr>
            <w:rFonts w:eastAsiaTheme="minorEastAsia"/>
            <w:kern w:val="2"/>
            <w:lang w:val="en-US"/>
            <w14:ligatures w14:val="standardContextual"/>
          </w:rPr>
          <w:tab/>
        </w:r>
        <w:r w:rsidRPr="00494238">
          <w:rPr>
            <w:rStyle w:val="Hyperlink"/>
          </w:rPr>
          <w:t>Charges for Infeasible Ancillary Service Capacity Due to Transmission Constraints</w:t>
        </w:r>
        <w:r w:rsidRPr="00494238">
          <w:rPr>
            <w:webHidden/>
          </w:rPr>
          <w:tab/>
        </w:r>
        <w:r w:rsidRPr="00494238">
          <w:rPr>
            <w:webHidden/>
          </w:rPr>
          <w:fldChar w:fldCharType="begin"/>
        </w:r>
        <w:r w:rsidRPr="00494238">
          <w:rPr>
            <w:webHidden/>
          </w:rPr>
          <w:instrText xml:space="preserve"> PAGEREF _Toc204411743 \h </w:instrText>
        </w:r>
        <w:r w:rsidRPr="00494238">
          <w:rPr>
            <w:webHidden/>
          </w:rPr>
        </w:r>
        <w:r w:rsidRPr="00494238">
          <w:rPr>
            <w:webHidden/>
          </w:rPr>
          <w:fldChar w:fldCharType="separate"/>
        </w:r>
        <w:r w:rsidRPr="00494238">
          <w:rPr>
            <w:webHidden/>
          </w:rPr>
          <w:t>6-403</w:t>
        </w:r>
        <w:r w:rsidRPr="00494238">
          <w:rPr>
            <w:webHidden/>
          </w:rPr>
          <w:fldChar w:fldCharType="end"/>
        </w:r>
      </w:hyperlink>
    </w:p>
    <w:p w14:paraId="24A2347A" w14:textId="723AF94E" w:rsidR="00494238" w:rsidRPr="00494238" w:rsidRDefault="00494238">
      <w:pPr>
        <w:pStyle w:val="TOC4"/>
        <w:rPr>
          <w:rFonts w:eastAsiaTheme="minorEastAsia"/>
          <w:kern w:val="2"/>
          <w:lang w:val="en-US"/>
          <w14:ligatures w14:val="standardContextual"/>
        </w:rPr>
      </w:pPr>
      <w:hyperlink w:anchor="_Toc204411744" w:history="1">
        <w:r w:rsidRPr="00494238">
          <w:rPr>
            <w:rStyle w:val="Hyperlink"/>
          </w:rPr>
          <w:t>6.7.2.2</w:t>
        </w:r>
        <w:r w:rsidRPr="00494238">
          <w:rPr>
            <w:rFonts w:eastAsiaTheme="minorEastAsia"/>
            <w:kern w:val="2"/>
            <w:lang w:val="en-US"/>
            <w14:ligatures w14:val="standardContextual"/>
          </w:rPr>
          <w:tab/>
        </w:r>
        <w:r w:rsidRPr="00494238">
          <w:rPr>
            <w:rStyle w:val="Hyperlink"/>
          </w:rPr>
          <w:t>Real-Time Adjustments to Day-Ahead Make Whole Payments due to Ancillary Services Infeasibility Charges</w:t>
        </w:r>
        <w:r w:rsidRPr="00494238">
          <w:rPr>
            <w:webHidden/>
          </w:rPr>
          <w:tab/>
        </w:r>
        <w:r w:rsidRPr="00494238">
          <w:rPr>
            <w:webHidden/>
          </w:rPr>
          <w:fldChar w:fldCharType="begin"/>
        </w:r>
        <w:r w:rsidRPr="00494238">
          <w:rPr>
            <w:webHidden/>
          </w:rPr>
          <w:instrText xml:space="preserve"> PAGEREF _Toc204411744 \h </w:instrText>
        </w:r>
        <w:r w:rsidRPr="00494238">
          <w:rPr>
            <w:webHidden/>
          </w:rPr>
        </w:r>
        <w:r w:rsidRPr="00494238">
          <w:rPr>
            <w:webHidden/>
          </w:rPr>
          <w:fldChar w:fldCharType="separate"/>
        </w:r>
        <w:r w:rsidRPr="00494238">
          <w:rPr>
            <w:webHidden/>
          </w:rPr>
          <w:t>6-405</w:t>
        </w:r>
        <w:r w:rsidRPr="00494238">
          <w:rPr>
            <w:webHidden/>
          </w:rPr>
          <w:fldChar w:fldCharType="end"/>
        </w:r>
      </w:hyperlink>
    </w:p>
    <w:p w14:paraId="7DC402DC" w14:textId="1C79069C" w:rsidR="00494238" w:rsidRPr="00494238" w:rsidRDefault="00494238">
      <w:pPr>
        <w:pStyle w:val="TOC3"/>
        <w:rPr>
          <w:rFonts w:eastAsiaTheme="minorEastAsia"/>
          <w:i w:val="0"/>
          <w:iCs w:val="0"/>
          <w:kern w:val="2"/>
          <w14:ligatures w14:val="standardContextual"/>
        </w:rPr>
      </w:pPr>
      <w:hyperlink w:anchor="_Toc204411745" w:history="1">
        <w:r w:rsidRPr="00494238">
          <w:rPr>
            <w:rStyle w:val="Hyperlink"/>
            <w:i w:val="0"/>
            <w:iCs w:val="0"/>
          </w:rPr>
          <w:t>6.7.3</w:t>
        </w:r>
        <w:r w:rsidRPr="00494238">
          <w:rPr>
            <w:rFonts w:eastAsiaTheme="minorEastAsia"/>
            <w:i w:val="0"/>
            <w:iCs w:val="0"/>
            <w:kern w:val="2"/>
            <w14:ligatures w14:val="standardContextual"/>
          </w:rPr>
          <w:tab/>
        </w:r>
        <w:r w:rsidRPr="00494238">
          <w:rPr>
            <w:rStyle w:val="Hyperlink"/>
            <w:i w:val="0"/>
            <w:iCs w:val="0"/>
          </w:rPr>
          <w:t>Charges for a Failure to Provide Ancillary Service</w:t>
        </w:r>
        <w:r w:rsidRPr="00494238">
          <w:rPr>
            <w:i w:val="0"/>
            <w:iCs w:val="0"/>
            <w:webHidden/>
          </w:rPr>
          <w:tab/>
        </w:r>
        <w:r w:rsidRPr="00494238">
          <w:rPr>
            <w:i w:val="0"/>
            <w:iCs w:val="0"/>
            <w:webHidden/>
          </w:rPr>
          <w:fldChar w:fldCharType="begin"/>
        </w:r>
        <w:r w:rsidRPr="00494238">
          <w:rPr>
            <w:i w:val="0"/>
            <w:iCs w:val="0"/>
            <w:webHidden/>
          </w:rPr>
          <w:instrText xml:space="preserve"> PAGEREF _Toc204411745 \h </w:instrText>
        </w:r>
        <w:r w:rsidRPr="00494238">
          <w:rPr>
            <w:i w:val="0"/>
            <w:iCs w:val="0"/>
            <w:webHidden/>
          </w:rPr>
        </w:r>
        <w:r w:rsidRPr="00494238">
          <w:rPr>
            <w:i w:val="0"/>
            <w:iCs w:val="0"/>
            <w:webHidden/>
          </w:rPr>
          <w:fldChar w:fldCharType="separate"/>
        </w:r>
        <w:r w:rsidRPr="00494238">
          <w:rPr>
            <w:i w:val="0"/>
            <w:iCs w:val="0"/>
            <w:webHidden/>
          </w:rPr>
          <w:t>6-411</w:t>
        </w:r>
        <w:r w:rsidRPr="00494238">
          <w:rPr>
            <w:i w:val="0"/>
            <w:iCs w:val="0"/>
            <w:webHidden/>
          </w:rPr>
          <w:fldChar w:fldCharType="end"/>
        </w:r>
      </w:hyperlink>
    </w:p>
    <w:p w14:paraId="63AEAA41" w14:textId="01D88F20" w:rsidR="00494238" w:rsidRPr="00494238" w:rsidRDefault="00494238">
      <w:pPr>
        <w:pStyle w:val="TOC3"/>
        <w:rPr>
          <w:rFonts w:eastAsiaTheme="minorEastAsia"/>
          <w:i w:val="0"/>
          <w:iCs w:val="0"/>
          <w:kern w:val="2"/>
          <w14:ligatures w14:val="standardContextual"/>
        </w:rPr>
      </w:pPr>
      <w:hyperlink w:anchor="_Toc204411746" w:history="1">
        <w:r w:rsidRPr="00494238">
          <w:rPr>
            <w:rStyle w:val="Hyperlink"/>
            <w:i w:val="0"/>
            <w:iCs w:val="0"/>
          </w:rPr>
          <w:t>6.7.4</w:t>
        </w:r>
        <w:r w:rsidRPr="00494238">
          <w:rPr>
            <w:rFonts w:eastAsiaTheme="minorEastAsia"/>
            <w:i w:val="0"/>
            <w:iCs w:val="0"/>
            <w:kern w:val="2"/>
            <w14:ligatures w14:val="standardContextual"/>
          </w:rPr>
          <w:tab/>
        </w:r>
        <w:r w:rsidRPr="00494238">
          <w:rPr>
            <w:rStyle w:val="Hyperlink"/>
            <w:i w:val="0"/>
            <w:iCs w:val="0"/>
          </w:rPr>
          <w:t>Adjustments to Cost Allocations for Ancillary Services Procurement</w:t>
        </w:r>
        <w:r w:rsidRPr="00494238">
          <w:rPr>
            <w:i w:val="0"/>
            <w:iCs w:val="0"/>
            <w:webHidden/>
          </w:rPr>
          <w:tab/>
        </w:r>
        <w:r w:rsidRPr="00494238">
          <w:rPr>
            <w:i w:val="0"/>
            <w:iCs w:val="0"/>
            <w:webHidden/>
          </w:rPr>
          <w:fldChar w:fldCharType="begin"/>
        </w:r>
        <w:r w:rsidRPr="00494238">
          <w:rPr>
            <w:i w:val="0"/>
            <w:iCs w:val="0"/>
            <w:webHidden/>
          </w:rPr>
          <w:instrText xml:space="preserve"> PAGEREF _Toc204411746 \h </w:instrText>
        </w:r>
        <w:r w:rsidRPr="00494238">
          <w:rPr>
            <w:i w:val="0"/>
            <w:iCs w:val="0"/>
            <w:webHidden/>
          </w:rPr>
        </w:r>
        <w:r w:rsidRPr="00494238">
          <w:rPr>
            <w:i w:val="0"/>
            <w:iCs w:val="0"/>
            <w:webHidden/>
          </w:rPr>
          <w:fldChar w:fldCharType="separate"/>
        </w:r>
        <w:r w:rsidRPr="00494238">
          <w:rPr>
            <w:i w:val="0"/>
            <w:iCs w:val="0"/>
            <w:webHidden/>
          </w:rPr>
          <w:t>6-423</w:t>
        </w:r>
        <w:r w:rsidRPr="00494238">
          <w:rPr>
            <w:i w:val="0"/>
            <w:iCs w:val="0"/>
            <w:webHidden/>
          </w:rPr>
          <w:fldChar w:fldCharType="end"/>
        </w:r>
      </w:hyperlink>
    </w:p>
    <w:p w14:paraId="3EC67507" w14:textId="0F3FFCDB" w:rsidR="00494238" w:rsidRPr="00494238" w:rsidRDefault="00494238">
      <w:pPr>
        <w:pStyle w:val="TOC3"/>
        <w:rPr>
          <w:rFonts w:eastAsiaTheme="minorEastAsia"/>
          <w:i w:val="0"/>
          <w:iCs w:val="0"/>
          <w:kern w:val="2"/>
          <w14:ligatures w14:val="standardContextual"/>
        </w:rPr>
      </w:pPr>
      <w:hyperlink w:anchor="_Toc204411747" w:history="1">
        <w:r w:rsidRPr="00494238">
          <w:rPr>
            <w:rStyle w:val="Hyperlink"/>
            <w:i w:val="0"/>
            <w:iCs w:val="0"/>
          </w:rPr>
          <w:t>6.7.4</w:t>
        </w:r>
        <w:r w:rsidRPr="00494238">
          <w:rPr>
            <w:rFonts w:eastAsiaTheme="minorEastAsia"/>
            <w:i w:val="0"/>
            <w:iCs w:val="0"/>
            <w:kern w:val="2"/>
            <w14:ligatures w14:val="standardContextual"/>
          </w:rPr>
          <w:tab/>
        </w:r>
        <w:r w:rsidRPr="00494238">
          <w:rPr>
            <w:rStyle w:val="Hyperlink"/>
            <w:i w:val="0"/>
            <w:iCs w:val="0"/>
          </w:rPr>
          <w:t>Real-Time Settlement for Updated Day-Ahead Market Ancillary Service Obligations</w:t>
        </w:r>
        <w:r w:rsidRPr="00494238">
          <w:rPr>
            <w:i w:val="0"/>
            <w:iCs w:val="0"/>
            <w:webHidden/>
          </w:rPr>
          <w:tab/>
        </w:r>
        <w:r w:rsidRPr="00494238">
          <w:rPr>
            <w:i w:val="0"/>
            <w:iCs w:val="0"/>
            <w:webHidden/>
          </w:rPr>
          <w:fldChar w:fldCharType="begin"/>
        </w:r>
        <w:r w:rsidRPr="00494238">
          <w:rPr>
            <w:i w:val="0"/>
            <w:iCs w:val="0"/>
            <w:webHidden/>
          </w:rPr>
          <w:instrText xml:space="preserve"> PAGEREF _Toc204411747 \h </w:instrText>
        </w:r>
        <w:r w:rsidRPr="00494238">
          <w:rPr>
            <w:i w:val="0"/>
            <w:iCs w:val="0"/>
            <w:webHidden/>
          </w:rPr>
        </w:r>
        <w:r w:rsidRPr="00494238">
          <w:rPr>
            <w:i w:val="0"/>
            <w:iCs w:val="0"/>
            <w:webHidden/>
          </w:rPr>
          <w:fldChar w:fldCharType="separate"/>
        </w:r>
        <w:r w:rsidRPr="00494238">
          <w:rPr>
            <w:i w:val="0"/>
            <w:iCs w:val="0"/>
            <w:webHidden/>
          </w:rPr>
          <w:t>6-446</w:t>
        </w:r>
        <w:r w:rsidRPr="00494238">
          <w:rPr>
            <w:i w:val="0"/>
            <w:iCs w:val="0"/>
            <w:webHidden/>
          </w:rPr>
          <w:fldChar w:fldCharType="end"/>
        </w:r>
      </w:hyperlink>
    </w:p>
    <w:p w14:paraId="5E845938" w14:textId="76DD9518" w:rsidR="00494238" w:rsidRPr="00494238" w:rsidRDefault="00494238">
      <w:pPr>
        <w:pStyle w:val="TOC3"/>
        <w:rPr>
          <w:rFonts w:eastAsiaTheme="minorEastAsia"/>
          <w:i w:val="0"/>
          <w:iCs w:val="0"/>
          <w:kern w:val="2"/>
          <w14:ligatures w14:val="standardContextual"/>
        </w:rPr>
      </w:pPr>
      <w:hyperlink w:anchor="_Toc204411748" w:history="1">
        <w:r w:rsidRPr="00494238">
          <w:rPr>
            <w:rStyle w:val="Hyperlink"/>
            <w:i w:val="0"/>
            <w:iCs w:val="0"/>
          </w:rPr>
          <w:t>6.7.5</w:t>
        </w:r>
        <w:r w:rsidRPr="00494238">
          <w:rPr>
            <w:rFonts w:eastAsiaTheme="minorEastAsia"/>
            <w:i w:val="0"/>
            <w:iCs w:val="0"/>
            <w:kern w:val="2"/>
            <w14:ligatures w14:val="standardContextual"/>
          </w:rPr>
          <w:tab/>
        </w:r>
        <w:r w:rsidRPr="00494238">
          <w:rPr>
            <w:rStyle w:val="Hyperlink"/>
            <w:i w:val="0"/>
            <w:iCs w:val="0"/>
          </w:rPr>
          <w:t>Real-Time Ancillary Service Imbalance Payment or Charge</w:t>
        </w:r>
        <w:r w:rsidRPr="00494238">
          <w:rPr>
            <w:i w:val="0"/>
            <w:iCs w:val="0"/>
            <w:webHidden/>
          </w:rPr>
          <w:tab/>
        </w:r>
        <w:r w:rsidRPr="00494238">
          <w:rPr>
            <w:i w:val="0"/>
            <w:iCs w:val="0"/>
            <w:webHidden/>
          </w:rPr>
          <w:fldChar w:fldCharType="begin"/>
        </w:r>
        <w:r w:rsidRPr="00494238">
          <w:rPr>
            <w:i w:val="0"/>
            <w:iCs w:val="0"/>
            <w:webHidden/>
          </w:rPr>
          <w:instrText xml:space="preserve"> PAGEREF _Toc204411748 \h </w:instrText>
        </w:r>
        <w:r w:rsidRPr="00494238">
          <w:rPr>
            <w:i w:val="0"/>
            <w:iCs w:val="0"/>
            <w:webHidden/>
          </w:rPr>
        </w:r>
        <w:r w:rsidRPr="00494238">
          <w:rPr>
            <w:i w:val="0"/>
            <w:iCs w:val="0"/>
            <w:webHidden/>
          </w:rPr>
          <w:fldChar w:fldCharType="separate"/>
        </w:r>
        <w:r w:rsidRPr="00494238">
          <w:rPr>
            <w:i w:val="0"/>
            <w:iCs w:val="0"/>
            <w:webHidden/>
          </w:rPr>
          <w:t>6-450</w:t>
        </w:r>
        <w:r w:rsidRPr="00494238">
          <w:rPr>
            <w:i w:val="0"/>
            <w:iCs w:val="0"/>
            <w:webHidden/>
          </w:rPr>
          <w:fldChar w:fldCharType="end"/>
        </w:r>
      </w:hyperlink>
    </w:p>
    <w:p w14:paraId="165FA4B8" w14:textId="7A9A7D4F" w:rsidR="00494238" w:rsidRPr="00494238" w:rsidRDefault="00494238">
      <w:pPr>
        <w:pStyle w:val="TOC3"/>
        <w:rPr>
          <w:rFonts w:eastAsiaTheme="minorEastAsia"/>
          <w:i w:val="0"/>
          <w:iCs w:val="0"/>
          <w:kern w:val="2"/>
          <w14:ligatures w14:val="standardContextual"/>
        </w:rPr>
      </w:pPr>
      <w:hyperlink w:anchor="_Toc204411749" w:history="1">
        <w:r w:rsidRPr="00494238">
          <w:rPr>
            <w:rStyle w:val="Hyperlink"/>
            <w:i w:val="0"/>
            <w:iCs w:val="0"/>
          </w:rPr>
          <w:t>6.7.5</w:t>
        </w:r>
        <w:r w:rsidRPr="00494238">
          <w:rPr>
            <w:rFonts w:eastAsiaTheme="minorEastAsia"/>
            <w:i w:val="0"/>
            <w:iCs w:val="0"/>
            <w:kern w:val="2"/>
            <w14:ligatures w14:val="standardContextual"/>
          </w:rPr>
          <w:tab/>
        </w:r>
        <w:r w:rsidRPr="00494238">
          <w:rPr>
            <w:rStyle w:val="Hyperlink"/>
            <w:i w:val="0"/>
            <w:iCs w:val="0"/>
          </w:rPr>
          <w:t>Real-Time Ancillary Service Charges and Payments</w:t>
        </w:r>
        <w:r w:rsidRPr="00494238">
          <w:rPr>
            <w:i w:val="0"/>
            <w:iCs w:val="0"/>
            <w:webHidden/>
          </w:rPr>
          <w:tab/>
        </w:r>
        <w:r w:rsidRPr="00494238">
          <w:rPr>
            <w:i w:val="0"/>
            <w:iCs w:val="0"/>
            <w:webHidden/>
          </w:rPr>
          <w:fldChar w:fldCharType="begin"/>
        </w:r>
        <w:r w:rsidRPr="00494238">
          <w:rPr>
            <w:i w:val="0"/>
            <w:iCs w:val="0"/>
            <w:webHidden/>
          </w:rPr>
          <w:instrText xml:space="preserve"> PAGEREF _Toc204411749 \h </w:instrText>
        </w:r>
        <w:r w:rsidRPr="00494238">
          <w:rPr>
            <w:i w:val="0"/>
            <w:iCs w:val="0"/>
            <w:webHidden/>
          </w:rPr>
        </w:r>
        <w:r w:rsidRPr="00494238">
          <w:rPr>
            <w:i w:val="0"/>
            <w:iCs w:val="0"/>
            <w:webHidden/>
          </w:rPr>
          <w:fldChar w:fldCharType="separate"/>
        </w:r>
        <w:r w:rsidRPr="00494238">
          <w:rPr>
            <w:i w:val="0"/>
            <w:iCs w:val="0"/>
            <w:webHidden/>
          </w:rPr>
          <w:t>6-467</w:t>
        </w:r>
        <w:r w:rsidRPr="00494238">
          <w:rPr>
            <w:i w:val="0"/>
            <w:iCs w:val="0"/>
            <w:webHidden/>
          </w:rPr>
          <w:fldChar w:fldCharType="end"/>
        </w:r>
      </w:hyperlink>
    </w:p>
    <w:p w14:paraId="6E3EE57B" w14:textId="36608052" w:rsidR="00494238" w:rsidRPr="00494238" w:rsidRDefault="00494238">
      <w:pPr>
        <w:pStyle w:val="TOC4"/>
        <w:rPr>
          <w:rFonts w:eastAsiaTheme="minorEastAsia"/>
          <w:kern w:val="2"/>
          <w:lang w:val="en-US"/>
          <w14:ligatures w14:val="standardContextual"/>
        </w:rPr>
      </w:pPr>
      <w:hyperlink w:anchor="_Toc204411750" w:history="1">
        <w:r w:rsidRPr="00494238">
          <w:rPr>
            <w:rStyle w:val="Hyperlink"/>
          </w:rPr>
          <w:t>6.7.5.1</w:t>
        </w:r>
        <w:r w:rsidRPr="00494238">
          <w:rPr>
            <w:rFonts w:eastAsiaTheme="minorEastAsia"/>
            <w:kern w:val="2"/>
            <w:lang w:val="en-US"/>
            <w14:ligatures w14:val="standardContextual"/>
          </w:rPr>
          <w:tab/>
        </w:r>
        <w:r w:rsidRPr="00494238">
          <w:rPr>
            <w:rStyle w:val="Hyperlink"/>
          </w:rPr>
          <w:t>Real-Time Ancillary Service Imbalance Payment or Charge</w:t>
        </w:r>
        <w:r w:rsidRPr="00494238">
          <w:rPr>
            <w:webHidden/>
          </w:rPr>
          <w:tab/>
        </w:r>
        <w:r w:rsidRPr="00494238">
          <w:rPr>
            <w:webHidden/>
          </w:rPr>
          <w:fldChar w:fldCharType="begin"/>
        </w:r>
        <w:r w:rsidRPr="00494238">
          <w:rPr>
            <w:webHidden/>
          </w:rPr>
          <w:instrText xml:space="preserve"> PAGEREF _Toc204411750 \h </w:instrText>
        </w:r>
        <w:r w:rsidRPr="00494238">
          <w:rPr>
            <w:webHidden/>
          </w:rPr>
        </w:r>
        <w:r w:rsidRPr="00494238">
          <w:rPr>
            <w:webHidden/>
          </w:rPr>
          <w:fldChar w:fldCharType="separate"/>
        </w:r>
        <w:r w:rsidRPr="00494238">
          <w:rPr>
            <w:webHidden/>
          </w:rPr>
          <w:t>6-467</w:t>
        </w:r>
        <w:r w:rsidRPr="00494238">
          <w:rPr>
            <w:webHidden/>
          </w:rPr>
          <w:fldChar w:fldCharType="end"/>
        </w:r>
      </w:hyperlink>
    </w:p>
    <w:p w14:paraId="7DF69A30" w14:textId="1C9DE19B" w:rsidR="00494238" w:rsidRPr="00494238" w:rsidRDefault="00494238">
      <w:pPr>
        <w:pStyle w:val="TOC4"/>
        <w:rPr>
          <w:rFonts w:eastAsiaTheme="minorEastAsia"/>
          <w:kern w:val="2"/>
          <w:lang w:val="en-US"/>
          <w14:ligatures w14:val="standardContextual"/>
        </w:rPr>
      </w:pPr>
      <w:hyperlink w:anchor="_Toc204411751" w:history="1">
        <w:r w:rsidRPr="00494238">
          <w:rPr>
            <w:rStyle w:val="Hyperlink"/>
          </w:rPr>
          <w:t>6.7.5.2</w:t>
        </w:r>
        <w:r w:rsidRPr="00494238">
          <w:rPr>
            <w:rFonts w:eastAsiaTheme="minorEastAsia"/>
            <w:kern w:val="2"/>
            <w:lang w:val="en-US"/>
            <w14:ligatures w14:val="standardContextual"/>
          </w:rPr>
          <w:tab/>
        </w:r>
        <w:r w:rsidRPr="00494238">
          <w:rPr>
            <w:rStyle w:val="Hyperlink"/>
          </w:rPr>
          <w:t>Regulation Up Service Payments and Charges</w:t>
        </w:r>
        <w:r w:rsidRPr="00494238">
          <w:rPr>
            <w:webHidden/>
          </w:rPr>
          <w:tab/>
        </w:r>
        <w:r w:rsidRPr="00494238">
          <w:rPr>
            <w:webHidden/>
          </w:rPr>
          <w:fldChar w:fldCharType="begin"/>
        </w:r>
        <w:r w:rsidRPr="00494238">
          <w:rPr>
            <w:webHidden/>
          </w:rPr>
          <w:instrText xml:space="preserve"> PAGEREF _Toc204411751 \h </w:instrText>
        </w:r>
        <w:r w:rsidRPr="00494238">
          <w:rPr>
            <w:webHidden/>
          </w:rPr>
        </w:r>
        <w:r w:rsidRPr="00494238">
          <w:rPr>
            <w:webHidden/>
          </w:rPr>
          <w:fldChar w:fldCharType="separate"/>
        </w:r>
        <w:r w:rsidRPr="00494238">
          <w:rPr>
            <w:webHidden/>
          </w:rPr>
          <w:t>6-468</w:t>
        </w:r>
        <w:r w:rsidRPr="00494238">
          <w:rPr>
            <w:webHidden/>
          </w:rPr>
          <w:fldChar w:fldCharType="end"/>
        </w:r>
      </w:hyperlink>
    </w:p>
    <w:p w14:paraId="7886230A" w14:textId="3424FF6C" w:rsidR="00494238" w:rsidRPr="00494238" w:rsidRDefault="00494238">
      <w:pPr>
        <w:pStyle w:val="TOC4"/>
        <w:rPr>
          <w:rFonts w:eastAsiaTheme="minorEastAsia"/>
          <w:kern w:val="2"/>
          <w:lang w:val="en-US"/>
          <w14:ligatures w14:val="standardContextual"/>
        </w:rPr>
      </w:pPr>
      <w:hyperlink w:anchor="_Toc204411752" w:history="1">
        <w:r w:rsidRPr="00494238">
          <w:rPr>
            <w:rStyle w:val="Hyperlink"/>
          </w:rPr>
          <w:t>6.7.5.3</w:t>
        </w:r>
        <w:r w:rsidRPr="00494238">
          <w:rPr>
            <w:rFonts w:eastAsiaTheme="minorEastAsia"/>
            <w:kern w:val="2"/>
            <w:lang w:val="en-US"/>
            <w14:ligatures w14:val="standardContextual"/>
          </w:rPr>
          <w:tab/>
        </w:r>
        <w:r w:rsidRPr="00494238">
          <w:rPr>
            <w:rStyle w:val="Hyperlink"/>
          </w:rPr>
          <w:t>Regulation Down Service Payments and Charges</w:t>
        </w:r>
        <w:r w:rsidRPr="00494238">
          <w:rPr>
            <w:webHidden/>
          </w:rPr>
          <w:tab/>
        </w:r>
        <w:r w:rsidRPr="00494238">
          <w:rPr>
            <w:webHidden/>
          </w:rPr>
          <w:fldChar w:fldCharType="begin"/>
        </w:r>
        <w:r w:rsidRPr="00494238">
          <w:rPr>
            <w:webHidden/>
          </w:rPr>
          <w:instrText xml:space="preserve"> PAGEREF _Toc204411752 \h </w:instrText>
        </w:r>
        <w:r w:rsidRPr="00494238">
          <w:rPr>
            <w:webHidden/>
          </w:rPr>
        </w:r>
        <w:r w:rsidRPr="00494238">
          <w:rPr>
            <w:webHidden/>
          </w:rPr>
          <w:fldChar w:fldCharType="separate"/>
        </w:r>
        <w:r w:rsidRPr="00494238">
          <w:rPr>
            <w:webHidden/>
          </w:rPr>
          <w:t>6-470</w:t>
        </w:r>
        <w:r w:rsidRPr="00494238">
          <w:rPr>
            <w:webHidden/>
          </w:rPr>
          <w:fldChar w:fldCharType="end"/>
        </w:r>
      </w:hyperlink>
    </w:p>
    <w:p w14:paraId="4CFB1D5C" w14:textId="462A279C" w:rsidR="00494238" w:rsidRPr="00494238" w:rsidRDefault="00494238">
      <w:pPr>
        <w:pStyle w:val="TOC4"/>
        <w:rPr>
          <w:rFonts w:eastAsiaTheme="minorEastAsia"/>
          <w:kern w:val="2"/>
          <w:lang w:val="en-US"/>
          <w14:ligatures w14:val="standardContextual"/>
        </w:rPr>
      </w:pPr>
      <w:hyperlink w:anchor="_Toc204411753" w:history="1">
        <w:r w:rsidRPr="00494238">
          <w:rPr>
            <w:rStyle w:val="Hyperlink"/>
          </w:rPr>
          <w:t>6.7.5.4</w:t>
        </w:r>
        <w:r w:rsidRPr="00494238">
          <w:rPr>
            <w:rFonts w:eastAsiaTheme="minorEastAsia"/>
            <w:kern w:val="2"/>
            <w:lang w:val="en-US"/>
            <w14:ligatures w14:val="standardContextual"/>
          </w:rPr>
          <w:tab/>
        </w:r>
        <w:r w:rsidRPr="00494238">
          <w:rPr>
            <w:rStyle w:val="Hyperlink"/>
          </w:rPr>
          <w:t>Responsive Reserve Payments and Charges</w:t>
        </w:r>
        <w:r w:rsidRPr="00494238">
          <w:rPr>
            <w:webHidden/>
          </w:rPr>
          <w:tab/>
        </w:r>
        <w:r w:rsidRPr="00494238">
          <w:rPr>
            <w:webHidden/>
          </w:rPr>
          <w:fldChar w:fldCharType="begin"/>
        </w:r>
        <w:r w:rsidRPr="00494238">
          <w:rPr>
            <w:webHidden/>
          </w:rPr>
          <w:instrText xml:space="preserve"> PAGEREF _Toc204411753 \h </w:instrText>
        </w:r>
        <w:r w:rsidRPr="00494238">
          <w:rPr>
            <w:webHidden/>
          </w:rPr>
        </w:r>
        <w:r w:rsidRPr="00494238">
          <w:rPr>
            <w:webHidden/>
          </w:rPr>
          <w:fldChar w:fldCharType="separate"/>
        </w:r>
        <w:r w:rsidRPr="00494238">
          <w:rPr>
            <w:webHidden/>
          </w:rPr>
          <w:t>6-473</w:t>
        </w:r>
        <w:r w:rsidRPr="00494238">
          <w:rPr>
            <w:webHidden/>
          </w:rPr>
          <w:fldChar w:fldCharType="end"/>
        </w:r>
      </w:hyperlink>
    </w:p>
    <w:p w14:paraId="58A22D75" w14:textId="25E8EE5A" w:rsidR="00494238" w:rsidRPr="00494238" w:rsidRDefault="00494238">
      <w:pPr>
        <w:pStyle w:val="TOC4"/>
        <w:rPr>
          <w:rFonts w:eastAsiaTheme="minorEastAsia"/>
          <w:kern w:val="2"/>
          <w:lang w:val="en-US"/>
          <w14:ligatures w14:val="standardContextual"/>
        </w:rPr>
      </w:pPr>
      <w:hyperlink w:anchor="_Toc204411754" w:history="1">
        <w:r w:rsidRPr="00494238">
          <w:rPr>
            <w:rStyle w:val="Hyperlink"/>
          </w:rPr>
          <w:t>6.7.5.5</w:t>
        </w:r>
        <w:r w:rsidRPr="00494238">
          <w:rPr>
            <w:rFonts w:eastAsiaTheme="minorEastAsia"/>
            <w:kern w:val="2"/>
            <w:lang w:val="en-US"/>
            <w14:ligatures w14:val="standardContextual"/>
          </w:rPr>
          <w:tab/>
        </w:r>
        <w:r w:rsidRPr="00494238">
          <w:rPr>
            <w:rStyle w:val="Hyperlink"/>
          </w:rPr>
          <w:t>Non-Spinning Reserve Service Payments and Charges</w:t>
        </w:r>
        <w:r w:rsidRPr="00494238">
          <w:rPr>
            <w:webHidden/>
          </w:rPr>
          <w:tab/>
        </w:r>
        <w:r w:rsidRPr="00494238">
          <w:rPr>
            <w:webHidden/>
          </w:rPr>
          <w:fldChar w:fldCharType="begin"/>
        </w:r>
        <w:r w:rsidRPr="00494238">
          <w:rPr>
            <w:webHidden/>
          </w:rPr>
          <w:instrText xml:space="preserve"> PAGEREF _Toc204411754 \h </w:instrText>
        </w:r>
        <w:r w:rsidRPr="00494238">
          <w:rPr>
            <w:webHidden/>
          </w:rPr>
        </w:r>
        <w:r w:rsidRPr="00494238">
          <w:rPr>
            <w:webHidden/>
          </w:rPr>
          <w:fldChar w:fldCharType="separate"/>
        </w:r>
        <w:r w:rsidRPr="00494238">
          <w:rPr>
            <w:webHidden/>
          </w:rPr>
          <w:t>6-476</w:t>
        </w:r>
        <w:r w:rsidRPr="00494238">
          <w:rPr>
            <w:webHidden/>
          </w:rPr>
          <w:fldChar w:fldCharType="end"/>
        </w:r>
      </w:hyperlink>
    </w:p>
    <w:p w14:paraId="60B6D5F1" w14:textId="266C1F58" w:rsidR="00494238" w:rsidRPr="00494238" w:rsidRDefault="00494238">
      <w:pPr>
        <w:pStyle w:val="TOC4"/>
        <w:rPr>
          <w:rFonts w:eastAsiaTheme="minorEastAsia"/>
          <w:kern w:val="2"/>
          <w:lang w:val="en-US"/>
          <w14:ligatures w14:val="standardContextual"/>
        </w:rPr>
      </w:pPr>
      <w:hyperlink w:anchor="_Toc204411755" w:history="1">
        <w:r w:rsidRPr="00494238">
          <w:rPr>
            <w:rStyle w:val="Hyperlink"/>
          </w:rPr>
          <w:t>6.7.5.6</w:t>
        </w:r>
        <w:r w:rsidRPr="00494238">
          <w:rPr>
            <w:rFonts w:eastAsiaTheme="minorEastAsia"/>
            <w:kern w:val="2"/>
            <w:lang w:val="en-US"/>
            <w14:ligatures w14:val="standardContextual"/>
          </w:rPr>
          <w:tab/>
        </w:r>
        <w:r w:rsidRPr="00494238">
          <w:rPr>
            <w:rStyle w:val="Hyperlink"/>
          </w:rPr>
          <w:t>ERCOT Contingency Reserve Service Payments and Charges</w:t>
        </w:r>
        <w:r w:rsidRPr="00494238">
          <w:rPr>
            <w:webHidden/>
          </w:rPr>
          <w:tab/>
        </w:r>
        <w:r w:rsidRPr="00494238">
          <w:rPr>
            <w:webHidden/>
          </w:rPr>
          <w:fldChar w:fldCharType="begin"/>
        </w:r>
        <w:r w:rsidRPr="00494238">
          <w:rPr>
            <w:webHidden/>
          </w:rPr>
          <w:instrText xml:space="preserve"> PAGEREF _Toc204411755 \h </w:instrText>
        </w:r>
        <w:r w:rsidRPr="00494238">
          <w:rPr>
            <w:webHidden/>
          </w:rPr>
        </w:r>
        <w:r w:rsidRPr="00494238">
          <w:rPr>
            <w:webHidden/>
          </w:rPr>
          <w:fldChar w:fldCharType="separate"/>
        </w:r>
        <w:r w:rsidRPr="00494238">
          <w:rPr>
            <w:webHidden/>
          </w:rPr>
          <w:t>6-478</w:t>
        </w:r>
        <w:r w:rsidRPr="00494238">
          <w:rPr>
            <w:webHidden/>
          </w:rPr>
          <w:fldChar w:fldCharType="end"/>
        </w:r>
      </w:hyperlink>
    </w:p>
    <w:p w14:paraId="613A62BA" w14:textId="6E938052" w:rsidR="00494238" w:rsidRPr="00494238" w:rsidRDefault="00494238">
      <w:pPr>
        <w:pStyle w:val="TOC4"/>
        <w:rPr>
          <w:rFonts w:eastAsiaTheme="minorEastAsia"/>
          <w:kern w:val="2"/>
          <w:lang w:val="en-US"/>
          <w14:ligatures w14:val="standardContextual"/>
        </w:rPr>
      </w:pPr>
      <w:hyperlink w:anchor="_Toc204411756" w:history="1">
        <w:r w:rsidRPr="00494238">
          <w:rPr>
            <w:rStyle w:val="Hyperlink"/>
          </w:rPr>
          <w:t>6.7.5.7</w:t>
        </w:r>
        <w:r w:rsidRPr="00494238">
          <w:rPr>
            <w:rFonts w:eastAsiaTheme="minorEastAsia"/>
            <w:kern w:val="2"/>
            <w:lang w:val="en-US"/>
            <w14:ligatures w14:val="standardContextual"/>
          </w:rPr>
          <w:tab/>
        </w:r>
        <w:r w:rsidRPr="00494238">
          <w:rPr>
            <w:rStyle w:val="Hyperlink"/>
          </w:rPr>
          <w:t>Real-Time Derated Ancillary Service Capability Payment</w:t>
        </w:r>
        <w:r w:rsidRPr="00494238">
          <w:rPr>
            <w:webHidden/>
          </w:rPr>
          <w:tab/>
        </w:r>
        <w:r w:rsidRPr="00494238">
          <w:rPr>
            <w:webHidden/>
          </w:rPr>
          <w:fldChar w:fldCharType="begin"/>
        </w:r>
        <w:r w:rsidRPr="00494238">
          <w:rPr>
            <w:webHidden/>
          </w:rPr>
          <w:instrText xml:space="preserve"> PAGEREF _Toc204411756 \h </w:instrText>
        </w:r>
        <w:r w:rsidRPr="00494238">
          <w:rPr>
            <w:webHidden/>
          </w:rPr>
        </w:r>
        <w:r w:rsidRPr="00494238">
          <w:rPr>
            <w:webHidden/>
          </w:rPr>
          <w:fldChar w:fldCharType="separate"/>
        </w:r>
        <w:r w:rsidRPr="00494238">
          <w:rPr>
            <w:webHidden/>
          </w:rPr>
          <w:t>6-481</w:t>
        </w:r>
        <w:r w:rsidRPr="00494238">
          <w:rPr>
            <w:webHidden/>
          </w:rPr>
          <w:fldChar w:fldCharType="end"/>
        </w:r>
      </w:hyperlink>
    </w:p>
    <w:p w14:paraId="17EA7428" w14:textId="66B3DEA1" w:rsidR="00494238" w:rsidRPr="00494238" w:rsidRDefault="00494238">
      <w:pPr>
        <w:pStyle w:val="TOC4"/>
        <w:rPr>
          <w:rFonts w:eastAsiaTheme="minorEastAsia"/>
          <w:kern w:val="2"/>
          <w:lang w:val="en-US"/>
          <w14:ligatures w14:val="standardContextual"/>
        </w:rPr>
      </w:pPr>
      <w:hyperlink w:anchor="_Toc204411757" w:history="1">
        <w:r w:rsidRPr="00494238">
          <w:rPr>
            <w:rStyle w:val="Hyperlink"/>
          </w:rPr>
          <w:t>6.7.5.8</w:t>
        </w:r>
        <w:r w:rsidRPr="00494238">
          <w:rPr>
            <w:rFonts w:eastAsiaTheme="minorEastAsia"/>
            <w:kern w:val="2"/>
            <w:lang w:val="en-US"/>
            <w14:ligatures w14:val="standardContextual"/>
          </w:rPr>
          <w:tab/>
        </w:r>
        <w:r w:rsidRPr="00494238">
          <w:rPr>
            <w:rStyle w:val="Hyperlink"/>
          </w:rPr>
          <w:t>Real-Time Derated Ancillary Service Capability Charge</w:t>
        </w:r>
        <w:r w:rsidRPr="00494238">
          <w:rPr>
            <w:webHidden/>
          </w:rPr>
          <w:tab/>
        </w:r>
        <w:r w:rsidRPr="00494238">
          <w:rPr>
            <w:webHidden/>
          </w:rPr>
          <w:fldChar w:fldCharType="begin"/>
        </w:r>
        <w:r w:rsidRPr="00494238">
          <w:rPr>
            <w:webHidden/>
          </w:rPr>
          <w:instrText xml:space="preserve"> PAGEREF _Toc204411757 \h </w:instrText>
        </w:r>
        <w:r w:rsidRPr="00494238">
          <w:rPr>
            <w:webHidden/>
          </w:rPr>
        </w:r>
        <w:r w:rsidRPr="00494238">
          <w:rPr>
            <w:webHidden/>
          </w:rPr>
          <w:fldChar w:fldCharType="separate"/>
        </w:r>
        <w:r w:rsidRPr="00494238">
          <w:rPr>
            <w:webHidden/>
          </w:rPr>
          <w:t>6-484</w:t>
        </w:r>
        <w:r w:rsidRPr="00494238">
          <w:rPr>
            <w:webHidden/>
          </w:rPr>
          <w:fldChar w:fldCharType="end"/>
        </w:r>
      </w:hyperlink>
    </w:p>
    <w:p w14:paraId="1876DC4E" w14:textId="06D75044" w:rsidR="00494238" w:rsidRPr="00494238" w:rsidRDefault="00494238">
      <w:pPr>
        <w:pStyle w:val="TOC3"/>
        <w:rPr>
          <w:rFonts w:eastAsiaTheme="minorEastAsia"/>
          <w:i w:val="0"/>
          <w:iCs w:val="0"/>
          <w:kern w:val="2"/>
          <w14:ligatures w14:val="standardContextual"/>
        </w:rPr>
      </w:pPr>
      <w:hyperlink w:anchor="_Toc204411758" w:history="1">
        <w:r w:rsidRPr="00494238">
          <w:rPr>
            <w:rStyle w:val="Hyperlink"/>
            <w:i w:val="0"/>
            <w:iCs w:val="0"/>
          </w:rPr>
          <w:t>6.7.6</w:t>
        </w:r>
        <w:r w:rsidRPr="00494238">
          <w:rPr>
            <w:rFonts w:eastAsiaTheme="minorEastAsia"/>
            <w:i w:val="0"/>
            <w:iCs w:val="0"/>
            <w:kern w:val="2"/>
            <w14:ligatures w14:val="standardContextual"/>
          </w:rPr>
          <w:tab/>
        </w:r>
        <w:r w:rsidRPr="00494238">
          <w:rPr>
            <w:rStyle w:val="Hyperlink"/>
            <w:i w:val="0"/>
            <w:iCs w:val="0"/>
          </w:rPr>
          <w:t>Real-Time Ancillary Service Imbalance Revenue Neutrality Allocation</w:t>
        </w:r>
        <w:r w:rsidRPr="00494238">
          <w:rPr>
            <w:i w:val="0"/>
            <w:iCs w:val="0"/>
            <w:webHidden/>
          </w:rPr>
          <w:tab/>
        </w:r>
        <w:r w:rsidRPr="00494238">
          <w:rPr>
            <w:i w:val="0"/>
            <w:iCs w:val="0"/>
            <w:webHidden/>
          </w:rPr>
          <w:fldChar w:fldCharType="begin"/>
        </w:r>
        <w:r w:rsidRPr="00494238">
          <w:rPr>
            <w:i w:val="0"/>
            <w:iCs w:val="0"/>
            <w:webHidden/>
          </w:rPr>
          <w:instrText xml:space="preserve"> PAGEREF _Toc204411758 \h </w:instrText>
        </w:r>
        <w:r w:rsidRPr="00494238">
          <w:rPr>
            <w:i w:val="0"/>
            <w:iCs w:val="0"/>
            <w:webHidden/>
          </w:rPr>
        </w:r>
        <w:r w:rsidRPr="00494238">
          <w:rPr>
            <w:i w:val="0"/>
            <w:iCs w:val="0"/>
            <w:webHidden/>
          </w:rPr>
          <w:fldChar w:fldCharType="separate"/>
        </w:r>
        <w:r w:rsidRPr="00494238">
          <w:rPr>
            <w:i w:val="0"/>
            <w:iCs w:val="0"/>
            <w:webHidden/>
          </w:rPr>
          <w:t>6-485</w:t>
        </w:r>
        <w:r w:rsidRPr="00494238">
          <w:rPr>
            <w:i w:val="0"/>
            <w:iCs w:val="0"/>
            <w:webHidden/>
          </w:rPr>
          <w:fldChar w:fldCharType="end"/>
        </w:r>
      </w:hyperlink>
    </w:p>
    <w:p w14:paraId="22EE518A" w14:textId="5E03F2C0" w:rsidR="00494238" w:rsidRPr="00494238" w:rsidRDefault="00494238">
      <w:pPr>
        <w:pStyle w:val="TOC3"/>
        <w:rPr>
          <w:rFonts w:eastAsiaTheme="minorEastAsia"/>
          <w:i w:val="0"/>
          <w:iCs w:val="0"/>
          <w:kern w:val="2"/>
          <w14:ligatures w14:val="standardContextual"/>
        </w:rPr>
      </w:pPr>
      <w:hyperlink w:anchor="_Toc204411759" w:history="1">
        <w:r w:rsidRPr="00494238">
          <w:rPr>
            <w:rStyle w:val="Hyperlink"/>
            <w:i w:val="0"/>
            <w:iCs w:val="0"/>
          </w:rPr>
          <w:t>6.7.6</w:t>
        </w:r>
        <w:r w:rsidRPr="00494238">
          <w:rPr>
            <w:rFonts w:eastAsiaTheme="minorEastAsia"/>
            <w:i w:val="0"/>
            <w:iCs w:val="0"/>
            <w:kern w:val="2"/>
            <w14:ligatures w14:val="standardContextual"/>
          </w:rPr>
          <w:tab/>
        </w:r>
        <w:r w:rsidRPr="00494238">
          <w:rPr>
            <w:rStyle w:val="Hyperlink"/>
            <w:i w:val="0"/>
            <w:iCs w:val="0"/>
          </w:rPr>
          <w:t>Real-Time Ancillary Service Revenue Neutrality Allocation</w:t>
        </w:r>
        <w:r w:rsidRPr="00494238">
          <w:rPr>
            <w:i w:val="0"/>
            <w:iCs w:val="0"/>
            <w:webHidden/>
          </w:rPr>
          <w:tab/>
        </w:r>
        <w:r w:rsidRPr="00494238">
          <w:rPr>
            <w:i w:val="0"/>
            <w:iCs w:val="0"/>
            <w:webHidden/>
          </w:rPr>
          <w:fldChar w:fldCharType="begin"/>
        </w:r>
        <w:r w:rsidRPr="00494238">
          <w:rPr>
            <w:i w:val="0"/>
            <w:iCs w:val="0"/>
            <w:webHidden/>
          </w:rPr>
          <w:instrText xml:space="preserve"> PAGEREF _Toc204411759 \h </w:instrText>
        </w:r>
        <w:r w:rsidRPr="00494238">
          <w:rPr>
            <w:i w:val="0"/>
            <w:iCs w:val="0"/>
            <w:webHidden/>
          </w:rPr>
        </w:r>
        <w:r w:rsidRPr="00494238">
          <w:rPr>
            <w:i w:val="0"/>
            <w:iCs w:val="0"/>
            <w:webHidden/>
          </w:rPr>
          <w:fldChar w:fldCharType="separate"/>
        </w:r>
        <w:r w:rsidRPr="00494238">
          <w:rPr>
            <w:i w:val="0"/>
            <w:iCs w:val="0"/>
            <w:webHidden/>
          </w:rPr>
          <w:t>6-486</w:t>
        </w:r>
        <w:r w:rsidRPr="00494238">
          <w:rPr>
            <w:i w:val="0"/>
            <w:iCs w:val="0"/>
            <w:webHidden/>
          </w:rPr>
          <w:fldChar w:fldCharType="end"/>
        </w:r>
      </w:hyperlink>
    </w:p>
    <w:p w14:paraId="2BBACD43" w14:textId="735C6C76" w:rsidR="00494238" w:rsidRPr="00494238" w:rsidRDefault="00494238">
      <w:pPr>
        <w:pStyle w:val="TOC3"/>
        <w:rPr>
          <w:rFonts w:eastAsiaTheme="minorEastAsia"/>
          <w:i w:val="0"/>
          <w:iCs w:val="0"/>
          <w:kern w:val="2"/>
          <w14:ligatures w14:val="standardContextual"/>
        </w:rPr>
      </w:pPr>
      <w:hyperlink w:anchor="_Toc204411760" w:history="1">
        <w:r w:rsidRPr="00494238">
          <w:rPr>
            <w:rStyle w:val="Hyperlink"/>
            <w:i w:val="0"/>
            <w:iCs w:val="0"/>
          </w:rPr>
          <w:t>6.7.7</w:t>
        </w:r>
        <w:r w:rsidRPr="00494238">
          <w:rPr>
            <w:rFonts w:eastAsiaTheme="minorEastAsia"/>
            <w:i w:val="0"/>
            <w:iCs w:val="0"/>
            <w:kern w:val="2"/>
            <w14:ligatures w14:val="standardContextual"/>
          </w:rPr>
          <w:tab/>
        </w:r>
        <w:r w:rsidRPr="00494238">
          <w:rPr>
            <w:rStyle w:val="Hyperlink"/>
            <w:i w:val="0"/>
            <w:iCs w:val="0"/>
          </w:rPr>
          <w:t>Adjustments to Net Cost Allocations for Real-Time Ancillary Services</w:t>
        </w:r>
        <w:r w:rsidRPr="00494238">
          <w:rPr>
            <w:i w:val="0"/>
            <w:iCs w:val="0"/>
            <w:webHidden/>
          </w:rPr>
          <w:tab/>
        </w:r>
        <w:r w:rsidRPr="00494238">
          <w:rPr>
            <w:i w:val="0"/>
            <w:iCs w:val="0"/>
            <w:webHidden/>
          </w:rPr>
          <w:fldChar w:fldCharType="begin"/>
        </w:r>
        <w:r w:rsidRPr="00494238">
          <w:rPr>
            <w:i w:val="0"/>
            <w:iCs w:val="0"/>
            <w:webHidden/>
          </w:rPr>
          <w:instrText xml:space="preserve"> PAGEREF _Toc204411760 \h </w:instrText>
        </w:r>
        <w:r w:rsidRPr="00494238">
          <w:rPr>
            <w:i w:val="0"/>
            <w:iCs w:val="0"/>
            <w:webHidden/>
          </w:rPr>
        </w:r>
        <w:r w:rsidRPr="00494238">
          <w:rPr>
            <w:i w:val="0"/>
            <w:iCs w:val="0"/>
            <w:webHidden/>
          </w:rPr>
          <w:fldChar w:fldCharType="separate"/>
        </w:r>
        <w:r w:rsidRPr="00494238">
          <w:rPr>
            <w:i w:val="0"/>
            <w:iCs w:val="0"/>
            <w:webHidden/>
          </w:rPr>
          <w:t>6-491</w:t>
        </w:r>
        <w:r w:rsidRPr="00494238">
          <w:rPr>
            <w:i w:val="0"/>
            <w:iCs w:val="0"/>
            <w:webHidden/>
          </w:rPr>
          <w:fldChar w:fldCharType="end"/>
        </w:r>
      </w:hyperlink>
    </w:p>
    <w:p w14:paraId="38614AAC" w14:textId="61FB3738" w:rsidR="00494238" w:rsidRPr="00494238" w:rsidRDefault="00494238">
      <w:pPr>
        <w:pStyle w:val="TOC2"/>
        <w:rPr>
          <w:rFonts w:eastAsiaTheme="minorEastAsia"/>
          <w:noProof/>
          <w:kern w:val="2"/>
          <w14:ligatures w14:val="standardContextual"/>
        </w:rPr>
      </w:pPr>
      <w:hyperlink w:anchor="_Toc204411761" w:history="1">
        <w:r w:rsidRPr="00494238">
          <w:rPr>
            <w:rStyle w:val="Hyperlink"/>
            <w:noProof/>
            <w:snapToGrid w:val="0"/>
          </w:rPr>
          <w:t>6.8</w:t>
        </w:r>
        <w:r w:rsidRPr="00494238">
          <w:rPr>
            <w:rFonts w:eastAsiaTheme="minorEastAsia"/>
            <w:noProof/>
            <w:kern w:val="2"/>
            <w14:ligatures w14:val="standardContextual"/>
          </w:rPr>
          <w:tab/>
        </w:r>
        <w:r w:rsidRPr="00494238">
          <w:rPr>
            <w:rStyle w:val="Hyperlink"/>
            <w:noProof/>
            <w:snapToGrid w:val="0"/>
          </w:rPr>
          <w:t>Settlement for Operating Losses During an LCAP Effective Period</w:t>
        </w:r>
        <w:r w:rsidRPr="00494238">
          <w:rPr>
            <w:noProof/>
            <w:webHidden/>
          </w:rPr>
          <w:tab/>
        </w:r>
        <w:r w:rsidRPr="00494238">
          <w:rPr>
            <w:noProof/>
            <w:webHidden/>
          </w:rPr>
          <w:fldChar w:fldCharType="begin"/>
        </w:r>
        <w:r w:rsidRPr="00494238">
          <w:rPr>
            <w:noProof/>
            <w:webHidden/>
          </w:rPr>
          <w:instrText xml:space="preserve"> PAGEREF _Toc204411761 \h </w:instrText>
        </w:r>
        <w:r w:rsidRPr="00494238">
          <w:rPr>
            <w:noProof/>
            <w:webHidden/>
          </w:rPr>
        </w:r>
        <w:r w:rsidRPr="00494238">
          <w:rPr>
            <w:noProof/>
            <w:webHidden/>
          </w:rPr>
          <w:fldChar w:fldCharType="separate"/>
        </w:r>
        <w:r w:rsidRPr="00494238">
          <w:rPr>
            <w:noProof/>
            <w:webHidden/>
          </w:rPr>
          <w:t>6-498</w:t>
        </w:r>
        <w:r w:rsidRPr="00494238">
          <w:rPr>
            <w:noProof/>
            <w:webHidden/>
          </w:rPr>
          <w:fldChar w:fldCharType="end"/>
        </w:r>
      </w:hyperlink>
    </w:p>
    <w:p w14:paraId="077A7F54" w14:textId="0A4E156D" w:rsidR="00494238" w:rsidRPr="00494238" w:rsidRDefault="00494238">
      <w:pPr>
        <w:pStyle w:val="TOC2"/>
        <w:rPr>
          <w:rFonts w:eastAsiaTheme="minorEastAsia"/>
          <w:noProof/>
          <w:kern w:val="2"/>
          <w14:ligatures w14:val="standardContextual"/>
        </w:rPr>
      </w:pPr>
      <w:hyperlink w:anchor="_Toc204411762" w:history="1">
        <w:r w:rsidRPr="00494238">
          <w:rPr>
            <w:rStyle w:val="Hyperlink"/>
            <w:noProof/>
            <w:snapToGrid w:val="0"/>
          </w:rPr>
          <w:t>6.8       Settlement for Operating Losses During an LCAP or ECAP Effective Period</w:t>
        </w:r>
        <w:r w:rsidRPr="00494238">
          <w:rPr>
            <w:noProof/>
            <w:webHidden/>
          </w:rPr>
          <w:tab/>
        </w:r>
        <w:r w:rsidRPr="00494238">
          <w:rPr>
            <w:noProof/>
            <w:webHidden/>
          </w:rPr>
          <w:fldChar w:fldCharType="begin"/>
        </w:r>
        <w:r w:rsidRPr="00494238">
          <w:rPr>
            <w:noProof/>
            <w:webHidden/>
          </w:rPr>
          <w:instrText xml:space="preserve"> PAGEREF _Toc204411762 \h </w:instrText>
        </w:r>
        <w:r w:rsidRPr="00494238">
          <w:rPr>
            <w:noProof/>
            <w:webHidden/>
          </w:rPr>
        </w:r>
        <w:r w:rsidRPr="00494238">
          <w:rPr>
            <w:noProof/>
            <w:webHidden/>
          </w:rPr>
          <w:fldChar w:fldCharType="separate"/>
        </w:r>
        <w:r w:rsidRPr="00494238">
          <w:rPr>
            <w:noProof/>
            <w:webHidden/>
          </w:rPr>
          <w:t>6-498</w:t>
        </w:r>
        <w:r w:rsidRPr="00494238">
          <w:rPr>
            <w:noProof/>
            <w:webHidden/>
          </w:rPr>
          <w:fldChar w:fldCharType="end"/>
        </w:r>
      </w:hyperlink>
    </w:p>
    <w:p w14:paraId="01738100" w14:textId="2E6D8DCC" w:rsidR="00494238" w:rsidRPr="00494238" w:rsidRDefault="00494238">
      <w:pPr>
        <w:pStyle w:val="TOC3"/>
        <w:rPr>
          <w:rFonts w:eastAsiaTheme="minorEastAsia"/>
          <w:i w:val="0"/>
          <w:iCs w:val="0"/>
          <w:kern w:val="2"/>
          <w14:ligatures w14:val="standardContextual"/>
        </w:rPr>
      </w:pPr>
      <w:hyperlink w:anchor="_Toc204411763" w:history="1">
        <w:r w:rsidRPr="00494238">
          <w:rPr>
            <w:rStyle w:val="Hyperlink"/>
            <w:i w:val="0"/>
            <w:iCs w:val="0"/>
            <w:snapToGrid w:val="0"/>
          </w:rPr>
          <w:t>6.8.1</w:t>
        </w:r>
        <w:r w:rsidRPr="00494238">
          <w:rPr>
            <w:rFonts w:eastAsiaTheme="minorEastAsia"/>
            <w:i w:val="0"/>
            <w:iCs w:val="0"/>
            <w:kern w:val="2"/>
            <w14:ligatures w14:val="standardContextual"/>
          </w:rPr>
          <w:tab/>
        </w:r>
        <w:r w:rsidRPr="00494238">
          <w:rPr>
            <w:rStyle w:val="Hyperlink"/>
            <w:i w:val="0"/>
            <w:iCs w:val="0"/>
            <w:snapToGrid w:val="0"/>
          </w:rPr>
          <w:t>Determination of Operating Losses During an LCAP Effective Period</w:t>
        </w:r>
        <w:r w:rsidRPr="00494238">
          <w:rPr>
            <w:i w:val="0"/>
            <w:iCs w:val="0"/>
            <w:webHidden/>
          </w:rPr>
          <w:tab/>
        </w:r>
        <w:r w:rsidRPr="00494238">
          <w:rPr>
            <w:i w:val="0"/>
            <w:iCs w:val="0"/>
            <w:webHidden/>
          </w:rPr>
          <w:fldChar w:fldCharType="begin"/>
        </w:r>
        <w:r w:rsidRPr="00494238">
          <w:rPr>
            <w:i w:val="0"/>
            <w:iCs w:val="0"/>
            <w:webHidden/>
          </w:rPr>
          <w:instrText xml:space="preserve"> PAGEREF _Toc204411763 \h </w:instrText>
        </w:r>
        <w:r w:rsidRPr="00494238">
          <w:rPr>
            <w:i w:val="0"/>
            <w:iCs w:val="0"/>
            <w:webHidden/>
          </w:rPr>
        </w:r>
        <w:r w:rsidRPr="00494238">
          <w:rPr>
            <w:i w:val="0"/>
            <w:iCs w:val="0"/>
            <w:webHidden/>
          </w:rPr>
          <w:fldChar w:fldCharType="separate"/>
        </w:r>
        <w:r w:rsidRPr="00494238">
          <w:rPr>
            <w:i w:val="0"/>
            <w:iCs w:val="0"/>
            <w:webHidden/>
          </w:rPr>
          <w:t>6-498</w:t>
        </w:r>
        <w:r w:rsidRPr="00494238">
          <w:rPr>
            <w:i w:val="0"/>
            <w:iCs w:val="0"/>
            <w:webHidden/>
          </w:rPr>
          <w:fldChar w:fldCharType="end"/>
        </w:r>
      </w:hyperlink>
    </w:p>
    <w:p w14:paraId="47289B6A" w14:textId="70A2F63A" w:rsidR="00494238" w:rsidRPr="00494238" w:rsidRDefault="00494238">
      <w:pPr>
        <w:pStyle w:val="TOC3"/>
        <w:rPr>
          <w:rFonts w:eastAsiaTheme="minorEastAsia"/>
          <w:i w:val="0"/>
          <w:iCs w:val="0"/>
          <w:kern w:val="2"/>
          <w14:ligatures w14:val="standardContextual"/>
        </w:rPr>
      </w:pPr>
      <w:hyperlink w:anchor="_Toc204411764" w:history="1">
        <w:r w:rsidRPr="00494238">
          <w:rPr>
            <w:rStyle w:val="Hyperlink"/>
            <w:i w:val="0"/>
            <w:iCs w:val="0"/>
            <w:snapToGrid w:val="0"/>
          </w:rPr>
          <w:t>6.8.1    Determination of Operating Losses During an LCAP or ECAP Effective Period</w:t>
        </w:r>
        <w:r w:rsidRPr="00494238">
          <w:rPr>
            <w:i w:val="0"/>
            <w:iCs w:val="0"/>
            <w:webHidden/>
          </w:rPr>
          <w:tab/>
        </w:r>
        <w:r w:rsidRPr="00494238">
          <w:rPr>
            <w:i w:val="0"/>
            <w:iCs w:val="0"/>
            <w:webHidden/>
          </w:rPr>
          <w:fldChar w:fldCharType="begin"/>
        </w:r>
        <w:r w:rsidRPr="00494238">
          <w:rPr>
            <w:i w:val="0"/>
            <w:iCs w:val="0"/>
            <w:webHidden/>
          </w:rPr>
          <w:instrText xml:space="preserve"> PAGEREF _Toc204411764 \h </w:instrText>
        </w:r>
        <w:r w:rsidRPr="00494238">
          <w:rPr>
            <w:i w:val="0"/>
            <w:iCs w:val="0"/>
            <w:webHidden/>
          </w:rPr>
        </w:r>
        <w:r w:rsidRPr="00494238">
          <w:rPr>
            <w:i w:val="0"/>
            <w:iCs w:val="0"/>
            <w:webHidden/>
          </w:rPr>
          <w:fldChar w:fldCharType="separate"/>
        </w:r>
        <w:r w:rsidRPr="00494238">
          <w:rPr>
            <w:i w:val="0"/>
            <w:iCs w:val="0"/>
            <w:webHidden/>
          </w:rPr>
          <w:t>6-498</w:t>
        </w:r>
        <w:r w:rsidRPr="00494238">
          <w:rPr>
            <w:i w:val="0"/>
            <w:iCs w:val="0"/>
            <w:webHidden/>
          </w:rPr>
          <w:fldChar w:fldCharType="end"/>
        </w:r>
      </w:hyperlink>
    </w:p>
    <w:p w14:paraId="7BDF171C" w14:textId="72939066" w:rsidR="00494238" w:rsidRPr="00494238" w:rsidRDefault="00494238">
      <w:pPr>
        <w:pStyle w:val="TOC4"/>
        <w:rPr>
          <w:rFonts w:eastAsiaTheme="minorEastAsia"/>
          <w:kern w:val="2"/>
          <w:lang w:val="en-US"/>
          <w14:ligatures w14:val="standardContextual"/>
        </w:rPr>
      </w:pPr>
      <w:hyperlink w:anchor="_Toc204411765" w:history="1">
        <w:r w:rsidRPr="00494238">
          <w:rPr>
            <w:rStyle w:val="Hyperlink"/>
            <w:snapToGrid w:val="0"/>
          </w:rPr>
          <w:t>6.8.2   Recovery of Operating Losses During an LCAP or ECAP Effective Period</w:t>
        </w:r>
        <w:r w:rsidRPr="00494238">
          <w:rPr>
            <w:webHidden/>
          </w:rPr>
          <w:tab/>
        </w:r>
        <w:r w:rsidRPr="00494238">
          <w:rPr>
            <w:webHidden/>
          </w:rPr>
          <w:fldChar w:fldCharType="begin"/>
        </w:r>
        <w:r w:rsidRPr="00494238">
          <w:rPr>
            <w:webHidden/>
          </w:rPr>
          <w:instrText xml:space="preserve"> PAGEREF _Toc204411765 \h </w:instrText>
        </w:r>
        <w:r w:rsidRPr="00494238">
          <w:rPr>
            <w:webHidden/>
          </w:rPr>
        </w:r>
        <w:r w:rsidRPr="00494238">
          <w:rPr>
            <w:webHidden/>
          </w:rPr>
          <w:fldChar w:fldCharType="separate"/>
        </w:r>
        <w:r w:rsidRPr="00494238">
          <w:rPr>
            <w:webHidden/>
          </w:rPr>
          <w:t>6-505</w:t>
        </w:r>
        <w:r w:rsidRPr="00494238">
          <w:rPr>
            <w:webHidden/>
          </w:rPr>
          <w:fldChar w:fldCharType="end"/>
        </w:r>
      </w:hyperlink>
    </w:p>
    <w:p w14:paraId="38867E2A" w14:textId="7E4B2B8D" w:rsidR="00494238" w:rsidRPr="00494238" w:rsidRDefault="00494238">
      <w:pPr>
        <w:pStyle w:val="TOC3"/>
        <w:rPr>
          <w:rFonts w:eastAsiaTheme="minorEastAsia"/>
          <w:i w:val="0"/>
          <w:iCs w:val="0"/>
          <w:kern w:val="2"/>
          <w14:ligatures w14:val="standardContextual"/>
        </w:rPr>
      </w:pPr>
      <w:hyperlink w:anchor="_Toc204411766" w:history="1">
        <w:r w:rsidRPr="00494238">
          <w:rPr>
            <w:rStyle w:val="Hyperlink"/>
            <w:i w:val="0"/>
            <w:iCs w:val="0"/>
          </w:rPr>
          <w:t>6.8.3</w:t>
        </w:r>
        <w:r w:rsidRPr="00494238">
          <w:rPr>
            <w:rFonts w:eastAsiaTheme="minorEastAsia"/>
            <w:i w:val="0"/>
            <w:iCs w:val="0"/>
            <w:kern w:val="2"/>
            <w14:ligatures w14:val="standardContextual"/>
          </w:rPr>
          <w:tab/>
        </w:r>
        <w:r w:rsidRPr="00494238">
          <w:rPr>
            <w:rStyle w:val="Hyperlink"/>
            <w:i w:val="0"/>
            <w:iCs w:val="0"/>
          </w:rPr>
          <w:t>Charges for Operating Losses During an LCAP Effective Period</w:t>
        </w:r>
        <w:r w:rsidRPr="00494238">
          <w:rPr>
            <w:i w:val="0"/>
            <w:iCs w:val="0"/>
            <w:webHidden/>
          </w:rPr>
          <w:tab/>
        </w:r>
        <w:r w:rsidRPr="00494238">
          <w:rPr>
            <w:i w:val="0"/>
            <w:iCs w:val="0"/>
            <w:webHidden/>
          </w:rPr>
          <w:fldChar w:fldCharType="begin"/>
        </w:r>
        <w:r w:rsidRPr="00494238">
          <w:rPr>
            <w:i w:val="0"/>
            <w:iCs w:val="0"/>
            <w:webHidden/>
          </w:rPr>
          <w:instrText xml:space="preserve"> PAGEREF _Toc204411766 \h </w:instrText>
        </w:r>
        <w:r w:rsidRPr="00494238">
          <w:rPr>
            <w:i w:val="0"/>
            <w:iCs w:val="0"/>
            <w:webHidden/>
          </w:rPr>
        </w:r>
        <w:r w:rsidRPr="00494238">
          <w:rPr>
            <w:i w:val="0"/>
            <w:iCs w:val="0"/>
            <w:webHidden/>
          </w:rPr>
          <w:fldChar w:fldCharType="separate"/>
        </w:r>
        <w:r w:rsidRPr="00494238">
          <w:rPr>
            <w:i w:val="0"/>
            <w:iCs w:val="0"/>
            <w:webHidden/>
          </w:rPr>
          <w:t>6-508</w:t>
        </w:r>
        <w:r w:rsidRPr="00494238">
          <w:rPr>
            <w:i w:val="0"/>
            <w:iCs w:val="0"/>
            <w:webHidden/>
          </w:rPr>
          <w:fldChar w:fldCharType="end"/>
        </w:r>
      </w:hyperlink>
    </w:p>
    <w:p w14:paraId="1AA2E7CD" w14:textId="42AE989F" w:rsidR="00494238" w:rsidRPr="00494238" w:rsidRDefault="00494238">
      <w:pPr>
        <w:pStyle w:val="TOC4"/>
        <w:rPr>
          <w:rFonts w:eastAsiaTheme="minorEastAsia"/>
          <w:kern w:val="2"/>
          <w:lang w:val="en-US"/>
          <w14:ligatures w14:val="standardContextual"/>
        </w:rPr>
      </w:pPr>
      <w:hyperlink w:anchor="_Toc204411767" w:history="1">
        <w:r w:rsidRPr="00494238">
          <w:rPr>
            <w:rStyle w:val="Hyperlink"/>
          </w:rPr>
          <w:t>6.8.3.1</w:t>
        </w:r>
        <w:r w:rsidRPr="00494238">
          <w:rPr>
            <w:rFonts w:eastAsiaTheme="minorEastAsia"/>
            <w:kern w:val="2"/>
            <w:lang w:val="en-US"/>
            <w14:ligatures w14:val="standardContextual"/>
          </w:rPr>
          <w:tab/>
        </w:r>
        <w:r w:rsidRPr="00494238">
          <w:rPr>
            <w:rStyle w:val="Hyperlink"/>
          </w:rPr>
          <w:t>Charges for Capacity Shortfalls During an LCAP Effective Period</w:t>
        </w:r>
        <w:r w:rsidRPr="00494238">
          <w:rPr>
            <w:webHidden/>
          </w:rPr>
          <w:tab/>
        </w:r>
        <w:r w:rsidRPr="00494238">
          <w:rPr>
            <w:webHidden/>
          </w:rPr>
          <w:fldChar w:fldCharType="begin"/>
        </w:r>
        <w:r w:rsidRPr="00494238">
          <w:rPr>
            <w:webHidden/>
          </w:rPr>
          <w:instrText xml:space="preserve"> PAGEREF _Toc204411767 \h </w:instrText>
        </w:r>
        <w:r w:rsidRPr="00494238">
          <w:rPr>
            <w:webHidden/>
          </w:rPr>
        </w:r>
        <w:r w:rsidRPr="00494238">
          <w:rPr>
            <w:webHidden/>
          </w:rPr>
          <w:fldChar w:fldCharType="separate"/>
        </w:r>
        <w:r w:rsidRPr="00494238">
          <w:rPr>
            <w:webHidden/>
          </w:rPr>
          <w:t>6-508</w:t>
        </w:r>
        <w:r w:rsidRPr="00494238">
          <w:rPr>
            <w:webHidden/>
          </w:rPr>
          <w:fldChar w:fldCharType="end"/>
        </w:r>
      </w:hyperlink>
    </w:p>
    <w:p w14:paraId="76A37571" w14:textId="105E4E8C" w:rsidR="00494238" w:rsidRPr="00494238" w:rsidRDefault="00494238">
      <w:pPr>
        <w:pStyle w:val="TOC5"/>
        <w:rPr>
          <w:rFonts w:eastAsiaTheme="minorEastAsia"/>
          <w:i w:val="0"/>
          <w:kern w:val="2"/>
          <w:sz w:val="20"/>
          <w:szCs w:val="20"/>
          <w14:ligatures w14:val="standardContextual"/>
        </w:rPr>
      </w:pPr>
      <w:hyperlink w:anchor="_Toc204411768" w:history="1">
        <w:r w:rsidRPr="00494238">
          <w:rPr>
            <w:rStyle w:val="Hyperlink"/>
            <w:i w:val="0"/>
            <w:sz w:val="20"/>
            <w:szCs w:val="20"/>
          </w:rPr>
          <w:t>6.8.3.1.1</w:t>
        </w:r>
        <w:r w:rsidRPr="00494238">
          <w:rPr>
            <w:rFonts w:eastAsiaTheme="minorEastAsia"/>
            <w:i w:val="0"/>
            <w:kern w:val="2"/>
            <w:sz w:val="20"/>
            <w:szCs w:val="20"/>
            <w14:ligatures w14:val="standardContextual"/>
          </w:rPr>
          <w:tab/>
        </w:r>
        <w:r w:rsidRPr="00494238">
          <w:rPr>
            <w:rStyle w:val="Hyperlink"/>
            <w:i w:val="0"/>
            <w:sz w:val="20"/>
            <w:szCs w:val="20"/>
          </w:rPr>
          <w:t>Capacity Shortfall Ratio Share for an LCAP Effective Period</w:t>
        </w:r>
        <w:r w:rsidRPr="00494238">
          <w:rPr>
            <w:i w:val="0"/>
            <w:webHidden/>
            <w:sz w:val="20"/>
            <w:szCs w:val="20"/>
          </w:rPr>
          <w:tab/>
        </w:r>
        <w:r w:rsidRPr="00494238">
          <w:rPr>
            <w:i w:val="0"/>
            <w:webHidden/>
            <w:sz w:val="20"/>
            <w:szCs w:val="20"/>
          </w:rPr>
          <w:fldChar w:fldCharType="begin"/>
        </w:r>
        <w:r w:rsidRPr="00494238">
          <w:rPr>
            <w:i w:val="0"/>
            <w:webHidden/>
            <w:sz w:val="20"/>
            <w:szCs w:val="20"/>
          </w:rPr>
          <w:instrText xml:space="preserve"> PAGEREF _Toc204411768 \h </w:instrText>
        </w:r>
        <w:r w:rsidRPr="00494238">
          <w:rPr>
            <w:i w:val="0"/>
            <w:webHidden/>
            <w:sz w:val="20"/>
            <w:szCs w:val="20"/>
          </w:rPr>
        </w:r>
        <w:r w:rsidRPr="00494238">
          <w:rPr>
            <w:i w:val="0"/>
            <w:webHidden/>
            <w:sz w:val="20"/>
            <w:szCs w:val="20"/>
          </w:rPr>
          <w:fldChar w:fldCharType="separate"/>
        </w:r>
        <w:r w:rsidRPr="00494238">
          <w:rPr>
            <w:i w:val="0"/>
            <w:webHidden/>
            <w:sz w:val="20"/>
            <w:szCs w:val="20"/>
          </w:rPr>
          <w:t>6-510</w:t>
        </w:r>
        <w:r w:rsidRPr="00494238">
          <w:rPr>
            <w:i w:val="0"/>
            <w:webHidden/>
            <w:sz w:val="20"/>
            <w:szCs w:val="20"/>
          </w:rPr>
          <w:fldChar w:fldCharType="end"/>
        </w:r>
      </w:hyperlink>
    </w:p>
    <w:p w14:paraId="77DD654F" w14:textId="20FF1219" w:rsidR="00494238" w:rsidRPr="00494238" w:rsidRDefault="00494238">
      <w:pPr>
        <w:pStyle w:val="TOC4"/>
        <w:rPr>
          <w:rFonts w:eastAsiaTheme="minorEastAsia"/>
          <w:kern w:val="2"/>
          <w:lang w:val="en-US"/>
          <w14:ligatures w14:val="standardContextual"/>
        </w:rPr>
      </w:pPr>
      <w:hyperlink w:anchor="_Toc204411769" w:history="1">
        <w:r w:rsidRPr="00494238">
          <w:rPr>
            <w:rStyle w:val="Hyperlink"/>
          </w:rPr>
          <w:t>6.8.3.2</w:t>
        </w:r>
        <w:r w:rsidRPr="00494238">
          <w:rPr>
            <w:rFonts w:eastAsiaTheme="minorEastAsia"/>
            <w:kern w:val="2"/>
            <w:lang w:val="en-US"/>
            <w14:ligatures w14:val="standardContextual"/>
          </w:rPr>
          <w:tab/>
        </w:r>
        <w:r w:rsidRPr="00494238">
          <w:rPr>
            <w:rStyle w:val="Hyperlink"/>
          </w:rPr>
          <w:t>Uplift Charges for an LCAP Effective Period</w:t>
        </w:r>
        <w:r w:rsidRPr="00494238">
          <w:rPr>
            <w:webHidden/>
          </w:rPr>
          <w:tab/>
        </w:r>
        <w:r w:rsidRPr="00494238">
          <w:rPr>
            <w:webHidden/>
          </w:rPr>
          <w:fldChar w:fldCharType="begin"/>
        </w:r>
        <w:r w:rsidRPr="00494238">
          <w:rPr>
            <w:webHidden/>
          </w:rPr>
          <w:instrText xml:space="preserve"> PAGEREF _Toc204411769 \h </w:instrText>
        </w:r>
        <w:r w:rsidRPr="00494238">
          <w:rPr>
            <w:webHidden/>
          </w:rPr>
        </w:r>
        <w:r w:rsidRPr="00494238">
          <w:rPr>
            <w:webHidden/>
          </w:rPr>
          <w:fldChar w:fldCharType="separate"/>
        </w:r>
        <w:r w:rsidRPr="00494238">
          <w:rPr>
            <w:webHidden/>
          </w:rPr>
          <w:t>6-512</w:t>
        </w:r>
        <w:r w:rsidRPr="00494238">
          <w:rPr>
            <w:webHidden/>
          </w:rPr>
          <w:fldChar w:fldCharType="end"/>
        </w:r>
      </w:hyperlink>
    </w:p>
    <w:p w14:paraId="0384923F" w14:textId="0B2042E3" w:rsidR="00494238" w:rsidRPr="00494238" w:rsidRDefault="00494238">
      <w:pPr>
        <w:pStyle w:val="TOC4"/>
        <w:rPr>
          <w:rFonts w:eastAsiaTheme="minorEastAsia"/>
          <w:kern w:val="2"/>
          <w:lang w:val="en-US"/>
          <w14:ligatures w14:val="standardContextual"/>
        </w:rPr>
      </w:pPr>
      <w:hyperlink w:anchor="_Toc204411770" w:history="1">
        <w:r w:rsidRPr="00494238">
          <w:rPr>
            <w:rStyle w:val="Hyperlink"/>
            <w:snapToGrid w:val="0"/>
          </w:rPr>
          <w:t>6.8.3</w:t>
        </w:r>
        <w:r w:rsidRPr="00494238">
          <w:rPr>
            <w:rFonts w:eastAsiaTheme="minorEastAsia"/>
            <w:kern w:val="2"/>
            <w:lang w:val="en-US"/>
            <w14:ligatures w14:val="standardContextual"/>
          </w:rPr>
          <w:tab/>
        </w:r>
        <w:r w:rsidRPr="00494238">
          <w:rPr>
            <w:rStyle w:val="Hyperlink"/>
            <w:snapToGrid w:val="0"/>
          </w:rPr>
          <w:t>Charges for Operating Losses During an LCAP or ECAP Effective Period</w:t>
        </w:r>
        <w:r w:rsidRPr="00494238">
          <w:rPr>
            <w:webHidden/>
          </w:rPr>
          <w:tab/>
        </w:r>
        <w:r w:rsidRPr="00494238">
          <w:rPr>
            <w:webHidden/>
          </w:rPr>
          <w:fldChar w:fldCharType="begin"/>
        </w:r>
        <w:r w:rsidRPr="00494238">
          <w:rPr>
            <w:webHidden/>
          </w:rPr>
          <w:instrText xml:space="preserve"> PAGEREF _Toc204411770 \h </w:instrText>
        </w:r>
        <w:r w:rsidRPr="00494238">
          <w:rPr>
            <w:webHidden/>
          </w:rPr>
        </w:r>
        <w:r w:rsidRPr="00494238">
          <w:rPr>
            <w:webHidden/>
          </w:rPr>
          <w:fldChar w:fldCharType="separate"/>
        </w:r>
        <w:r w:rsidRPr="00494238">
          <w:rPr>
            <w:webHidden/>
          </w:rPr>
          <w:t>6-512</w:t>
        </w:r>
        <w:r w:rsidRPr="00494238">
          <w:rPr>
            <w:webHidden/>
          </w:rPr>
          <w:fldChar w:fldCharType="end"/>
        </w:r>
      </w:hyperlink>
    </w:p>
    <w:p w14:paraId="0FEB28D2" w14:textId="36417223" w:rsidR="00494238" w:rsidRPr="00494238" w:rsidRDefault="00494238">
      <w:pPr>
        <w:pStyle w:val="TOC3"/>
        <w:rPr>
          <w:rFonts w:eastAsiaTheme="minorEastAsia"/>
          <w:i w:val="0"/>
          <w:iCs w:val="0"/>
          <w:kern w:val="2"/>
          <w14:ligatures w14:val="standardContextual"/>
        </w:rPr>
      </w:pPr>
      <w:hyperlink w:anchor="_Toc204411771" w:history="1">
        <w:r w:rsidRPr="00494238">
          <w:rPr>
            <w:rStyle w:val="Hyperlink"/>
            <w:i w:val="0"/>
            <w:iCs w:val="0"/>
          </w:rPr>
          <w:t>6.8.4    Miscellaneous Invoice for Payments and Charges for an LCAP Effective Period</w:t>
        </w:r>
        <w:r w:rsidRPr="00494238">
          <w:rPr>
            <w:i w:val="0"/>
            <w:iCs w:val="0"/>
            <w:webHidden/>
          </w:rPr>
          <w:tab/>
        </w:r>
        <w:r w:rsidRPr="00494238">
          <w:rPr>
            <w:i w:val="0"/>
            <w:iCs w:val="0"/>
            <w:webHidden/>
          </w:rPr>
          <w:fldChar w:fldCharType="begin"/>
        </w:r>
        <w:r w:rsidRPr="00494238">
          <w:rPr>
            <w:i w:val="0"/>
            <w:iCs w:val="0"/>
            <w:webHidden/>
          </w:rPr>
          <w:instrText xml:space="preserve"> PAGEREF _Toc204411771 \h </w:instrText>
        </w:r>
        <w:r w:rsidRPr="00494238">
          <w:rPr>
            <w:i w:val="0"/>
            <w:iCs w:val="0"/>
            <w:webHidden/>
          </w:rPr>
        </w:r>
        <w:r w:rsidRPr="00494238">
          <w:rPr>
            <w:i w:val="0"/>
            <w:iCs w:val="0"/>
            <w:webHidden/>
          </w:rPr>
          <w:fldChar w:fldCharType="separate"/>
        </w:r>
        <w:r w:rsidRPr="00494238">
          <w:rPr>
            <w:i w:val="0"/>
            <w:iCs w:val="0"/>
            <w:webHidden/>
          </w:rPr>
          <w:t>6-513</w:t>
        </w:r>
        <w:r w:rsidRPr="00494238">
          <w:rPr>
            <w:i w:val="0"/>
            <w:iCs w:val="0"/>
            <w:webHidden/>
          </w:rPr>
          <w:fldChar w:fldCharType="end"/>
        </w:r>
      </w:hyperlink>
    </w:p>
    <w:p w14:paraId="4B89C107" w14:textId="16926D20" w:rsidR="00494238" w:rsidRPr="00494238" w:rsidRDefault="00494238">
      <w:pPr>
        <w:pStyle w:val="TOC3"/>
        <w:rPr>
          <w:rFonts w:eastAsiaTheme="minorEastAsia"/>
          <w:i w:val="0"/>
          <w:iCs w:val="0"/>
          <w:kern w:val="2"/>
          <w14:ligatures w14:val="standardContextual"/>
        </w:rPr>
      </w:pPr>
      <w:hyperlink w:anchor="_Toc204411772" w:history="1">
        <w:r w:rsidRPr="00494238">
          <w:rPr>
            <w:rStyle w:val="Hyperlink"/>
            <w:i w:val="0"/>
            <w:iCs w:val="0"/>
          </w:rPr>
          <w:t>6.8.4    Miscellaneous Invoice for Payments and Charges for an LCAP or ECAP Effective Period</w:t>
        </w:r>
        <w:r w:rsidRPr="00494238">
          <w:rPr>
            <w:i w:val="0"/>
            <w:iCs w:val="0"/>
            <w:webHidden/>
          </w:rPr>
          <w:tab/>
        </w:r>
        <w:r w:rsidRPr="00494238">
          <w:rPr>
            <w:i w:val="0"/>
            <w:iCs w:val="0"/>
            <w:webHidden/>
          </w:rPr>
          <w:fldChar w:fldCharType="begin"/>
        </w:r>
        <w:r w:rsidRPr="00494238">
          <w:rPr>
            <w:i w:val="0"/>
            <w:iCs w:val="0"/>
            <w:webHidden/>
          </w:rPr>
          <w:instrText xml:space="preserve"> PAGEREF _Toc204411772 \h </w:instrText>
        </w:r>
        <w:r w:rsidRPr="00494238">
          <w:rPr>
            <w:i w:val="0"/>
            <w:iCs w:val="0"/>
            <w:webHidden/>
          </w:rPr>
        </w:r>
        <w:r w:rsidRPr="00494238">
          <w:rPr>
            <w:i w:val="0"/>
            <w:iCs w:val="0"/>
            <w:webHidden/>
          </w:rPr>
          <w:fldChar w:fldCharType="separate"/>
        </w:r>
        <w:r w:rsidRPr="00494238">
          <w:rPr>
            <w:i w:val="0"/>
            <w:iCs w:val="0"/>
            <w:webHidden/>
          </w:rPr>
          <w:t>6-514</w:t>
        </w:r>
        <w:r w:rsidRPr="00494238">
          <w:rPr>
            <w:i w:val="0"/>
            <w:iCs w:val="0"/>
            <w:webHidden/>
          </w:rPr>
          <w:fldChar w:fldCharType="end"/>
        </w:r>
      </w:hyperlink>
    </w:p>
    <w:p w14:paraId="457F05BD" w14:textId="7EBF00FB" w:rsidR="00A13FF9" w:rsidRPr="001E4447" w:rsidRDefault="00A1378D" w:rsidP="00A13FF9">
      <w:pPr>
        <w:rPr>
          <w:sz w:val="20"/>
        </w:rPr>
        <w:sectPr w:rsidR="00A13FF9" w:rsidRPr="001E4447" w:rsidSect="0011669A">
          <w:headerReference w:type="default" r:id="rId11"/>
          <w:footerReference w:type="default" r:id="rId12"/>
          <w:pgSz w:w="12240" w:h="15840" w:code="1"/>
          <w:pgMar w:top="1440" w:right="1440" w:bottom="1440" w:left="1440" w:header="720" w:footer="720" w:gutter="0"/>
          <w:pgNumType w:chapStyle="1"/>
          <w:cols w:space="720"/>
        </w:sectPr>
      </w:pPr>
      <w:r w:rsidRPr="001E4447">
        <w:rPr>
          <w:bCs/>
          <w:sz w:val="20"/>
        </w:rPr>
        <w:fldChar w:fldCharType="end"/>
      </w:r>
    </w:p>
    <w:p w14:paraId="350BED17" w14:textId="77777777" w:rsidR="00A13FF9" w:rsidRDefault="00A13FF9" w:rsidP="00A13FF9">
      <w:pPr>
        <w:pStyle w:val="Heading1"/>
      </w:pPr>
      <w:bookmarkStart w:id="0" w:name="_Toc397504904"/>
      <w:bookmarkStart w:id="1" w:name="_Toc402357032"/>
      <w:bookmarkStart w:id="2" w:name="_Toc422486412"/>
      <w:bookmarkStart w:id="3" w:name="_Toc433093264"/>
      <w:bookmarkStart w:id="4" w:name="_Toc433093422"/>
      <w:bookmarkStart w:id="5" w:name="_Toc440874653"/>
      <w:bookmarkStart w:id="6" w:name="_Toc468286734"/>
      <w:bookmarkStart w:id="7" w:name="_Toc481502780"/>
      <w:bookmarkStart w:id="8" w:name="_Toc496079950"/>
      <w:bookmarkStart w:id="9" w:name="_Toc204411532"/>
      <w:r>
        <w:lastRenderedPageBreak/>
        <w:t>Adjustment Period and Real-Time Operations</w:t>
      </w:r>
      <w:bookmarkEnd w:id="0"/>
      <w:bookmarkEnd w:id="1"/>
      <w:bookmarkEnd w:id="2"/>
      <w:bookmarkEnd w:id="3"/>
      <w:bookmarkEnd w:id="4"/>
      <w:bookmarkEnd w:id="5"/>
      <w:bookmarkEnd w:id="6"/>
      <w:bookmarkEnd w:id="7"/>
      <w:bookmarkEnd w:id="8"/>
      <w:bookmarkEnd w:id="9"/>
    </w:p>
    <w:p w14:paraId="2593657F" w14:textId="77777777" w:rsidR="001F04FD" w:rsidRDefault="001F04FD" w:rsidP="001F04FD">
      <w:pPr>
        <w:pStyle w:val="H2"/>
      </w:pPr>
      <w:bookmarkStart w:id="10" w:name="_Toc73215970"/>
      <w:bookmarkStart w:id="11" w:name="_Toc397504905"/>
      <w:bookmarkStart w:id="12" w:name="_Toc402357033"/>
      <w:bookmarkStart w:id="13" w:name="_Toc422486413"/>
      <w:bookmarkStart w:id="14" w:name="_Toc433093265"/>
      <w:bookmarkStart w:id="15" w:name="_Toc433093423"/>
      <w:bookmarkStart w:id="16" w:name="_Toc440874654"/>
      <w:bookmarkStart w:id="17" w:name="_Toc448142209"/>
      <w:bookmarkStart w:id="18" w:name="_Toc448142366"/>
      <w:bookmarkStart w:id="19" w:name="_Toc458770202"/>
      <w:bookmarkStart w:id="20" w:name="_Toc459294170"/>
      <w:bookmarkStart w:id="21" w:name="_Toc463262663"/>
      <w:bookmarkStart w:id="22" w:name="_Toc468286735"/>
      <w:bookmarkStart w:id="23" w:name="_Toc481502781"/>
      <w:bookmarkStart w:id="24" w:name="_Toc496079951"/>
      <w:bookmarkStart w:id="25" w:name="_Toc204411533"/>
      <w:r>
        <w:t>6.1</w:t>
      </w:r>
      <w:r>
        <w:tab/>
        <w:t>Introduction</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22A98052" w14:textId="77777777" w:rsidR="001F04FD" w:rsidRDefault="001F04FD" w:rsidP="001F04FD">
      <w:pPr>
        <w:pStyle w:val="BodyTextNumbered"/>
      </w:pPr>
      <w:r>
        <w:t>(1)</w:t>
      </w:r>
      <w:r>
        <w:tab/>
        <w:t>This Section addresses the following components: the Adjustment Period and Real-Time Operations, including Emergency Operations.</w:t>
      </w:r>
    </w:p>
    <w:p w14:paraId="5BAC92B1" w14:textId="77777777" w:rsidR="001F04FD" w:rsidRDefault="001F04FD" w:rsidP="001F04FD">
      <w:pPr>
        <w:pStyle w:val="BodyTextNumbered"/>
      </w:pPr>
      <w:r>
        <w:t>(2)</w:t>
      </w:r>
      <w:r>
        <w:tab/>
        <w:t>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  Under certain conditions during the Adjustment Period, ERCOT may also open one or more Supplemental Ancillary Service Markets (SASMs), as described in Section 6.4.9.2, Supplemental Ancillary Services Market.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57962" w14:paraId="317DE407" w14:textId="77777777" w:rsidTr="00157962">
        <w:trPr>
          <w:trHeight w:val="206"/>
        </w:trPr>
        <w:tc>
          <w:tcPr>
            <w:tcW w:w="9350" w:type="dxa"/>
            <w:shd w:val="pct12" w:color="auto" w:fill="auto"/>
          </w:tcPr>
          <w:p w14:paraId="26F46EEA" w14:textId="72DAF200" w:rsidR="00157962" w:rsidRDefault="00157962" w:rsidP="0058150D">
            <w:pPr>
              <w:pStyle w:val="Instructions"/>
              <w:spacing w:before="120"/>
            </w:pPr>
            <w:bookmarkStart w:id="26" w:name="_Hlk162961847"/>
            <w:r>
              <w:t>[NPRR1010:  Replace paragraph (2) above with the following upon system implementation of the Real-Time Co-Optimization (RTC) project:]</w:t>
            </w:r>
          </w:p>
          <w:p w14:paraId="0A4FC67A" w14:textId="6A95284B" w:rsidR="00157962" w:rsidRPr="00B37C4B" w:rsidRDefault="00157962" w:rsidP="00157962">
            <w:pPr>
              <w:spacing w:after="240"/>
              <w:ind w:left="720" w:hanging="720"/>
            </w:pPr>
            <w:r w:rsidRPr="003161DC">
              <w:t>(2)</w:t>
            </w:r>
            <w:r w:rsidRPr="003161DC">
              <w:tab/>
              <w:t>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w:t>
            </w:r>
          </w:p>
        </w:tc>
      </w:tr>
    </w:tbl>
    <w:bookmarkEnd w:id="26"/>
    <w:p w14:paraId="06848664" w14:textId="46EE6427" w:rsidR="001F04FD" w:rsidRDefault="001F04FD" w:rsidP="000B1D41">
      <w:pPr>
        <w:pStyle w:val="BodyTextNumbered"/>
        <w:spacing w:before="240"/>
      </w:pPr>
      <w:r>
        <w:t>(3)</w:t>
      </w:r>
      <w:r>
        <w:tab/>
        <w:t>During Real-Time operations,</w:t>
      </w:r>
      <w:r>
        <w:rPr>
          <w:b/>
        </w:rPr>
        <w:t xml:space="preserve"> </w:t>
      </w:r>
      <w: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for Resources. </w:t>
      </w:r>
      <w:r w:rsidR="008052F7">
        <w:t xml:space="preserve"> </w:t>
      </w:r>
      <w:r>
        <w:t xml:space="preserve">ERCOT uses the Base Points from the SCED process and uses the deployment of Regulation Up </w:t>
      </w:r>
      <w:r w:rsidR="006A0500">
        <w:t xml:space="preserve">Service </w:t>
      </w:r>
      <w:r>
        <w:t xml:space="preserve">(Reg-Up), Regulation Down </w:t>
      </w:r>
      <w:r w:rsidR="006A0500">
        <w:t xml:space="preserve">Service </w:t>
      </w:r>
      <w:r>
        <w:t xml:space="preserve">(Reg-Down), </w:t>
      </w:r>
      <w:r w:rsidR="00A93ECE">
        <w:t xml:space="preserve">ERCOT Contingency Reserve Service (ECRS), </w:t>
      </w:r>
      <w:r>
        <w:t>Responsive Reserve (RRS), and Non-Spinning Reserve (Non-Spin) to control frequency and solve potential reliability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F7F7F" w14:paraId="70BD8ABE" w14:textId="77777777" w:rsidTr="00485D99">
        <w:trPr>
          <w:trHeight w:val="206"/>
        </w:trPr>
        <w:tc>
          <w:tcPr>
            <w:tcW w:w="9576" w:type="dxa"/>
            <w:shd w:val="pct12" w:color="auto" w:fill="auto"/>
          </w:tcPr>
          <w:p w14:paraId="252467FF" w14:textId="59AD0FC4" w:rsidR="00EF7F7F" w:rsidRDefault="00EF7F7F" w:rsidP="00485D99">
            <w:pPr>
              <w:pStyle w:val="Instructions"/>
              <w:spacing w:before="120"/>
            </w:pPr>
            <w:r>
              <w:t>[</w:t>
            </w:r>
            <w:r w:rsidR="00157962">
              <w:t>NPRR1010</w:t>
            </w:r>
            <w:r>
              <w:t xml:space="preserve">:  Replace paragraph (3) above with the following </w:t>
            </w:r>
            <w:r w:rsidR="00157962">
              <w:t>upon system implementation of the Real-Time Co-Optimization (RTC) project</w:t>
            </w:r>
            <w:r>
              <w:t>:]</w:t>
            </w:r>
          </w:p>
          <w:p w14:paraId="00B667EC" w14:textId="2C60A0FB" w:rsidR="00EF7F7F" w:rsidRPr="00B37C4B" w:rsidRDefault="00EF7F7F" w:rsidP="00A37F32">
            <w:pPr>
              <w:pStyle w:val="BodyTextNumbered"/>
            </w:pPr>
            <w:r>
              <w:t>(3)</w:t>
            </w:r>
            <w:r>
              <w:tab/>
              <w:t>During Real-Time operations,</w:t>
            </w:r>
            <w:r>
              <w:rPr>
                <w:b/>
              </w:rPr>
              <w:t xml:space="preserve"> </w:t>
            </w:r>
            <w: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r w:rsidR="00157962">
              <w:t xml:space="preserve">and Ancillary Service awards </w:t>
            </w:r>
            <w:r>
              <w:t>for Resources.</w:t>
            </w:r>
            <w:r w:rsidR="00A37F32">
              <w:t xml:space="preserve">  </w:t>
            </w:r>
            <w:r>
              <w:t xml:space="preserve">ERCOT uses the Base Points from the SCED process and uses the deployment of Regulation Up </w:t>
            </w:r>
            <w:r w:rsidR="006A0500">
              <w:t xml:space="preserve">Service </w:t>
            </w:r>
            <w:r>
              <w:t xml:space="preserve">(Reg-Up), Regulation </w:t>
            </w:r>
            <w:r>
              <w:lastRenderedPageBreak/>
              <w:t xml:space="preserve">Down </w:t>
            </w:r>
            <w:r w:rsidR="006A0500">
              <w:t xml:space="preserve">Service </w:t>
            </w:r>
            <w:r>
              <w:t>(Reg-Down), ERCOT Contingency Reserve Service (ECRS), Responsive Reserve (RRS), and Non-Spinning Reserve (Non-Spin) to control frequency and solve potential reliability issues.</w:t>
            </w:r>
          </w:p>
        </w:tc>
      </w:tr>
    </w:tbl>
    <w:p w14:paraId="0AF53B9A" w14:textId="3721D748" w:rsidR="001F04FD" w:rsidRDefault="001F04FD" w:rsidP="000B1D41">
      <w:pPr>
        <w:pStyle w:val="BodyTextNumbered"/>
        <w:spacing w:before="240"/>
      </w:pPr>
      <w:r>
        <w:lastRenderedPageBreak/>
        <w:t>(</w:t>
      </w:r>
      <w:r w:rsidR="002D28ED">
        <w:t>4</w:t>
      </w:r>
      <w:r>
        <w:t>)</w:t>
      </w:r>
      <w:r>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In contrast, the Day-Ahead Market (DAM) energy settlements will use DAM Settlement Point Prices that are calculated for Resource Nodes, Load Zones, and Hubs for a one-hour Settlement Interval.  </w:t>
      </w:r>
      <w:bookmarkStart w:id="27" w:name="_Toc78358879"/>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57962" w14:paraId="1BB2C8DA" w14:textId="77777777" w:rsidTr="0058150D">
        <w:trPr>
          <w:trHeight w:val="206"/>
        </w:trPr>
        <w:tc>
          <w:tcPr>
            <w:tcW w:w="9350" w:type="dxa"/>
            <w:shd w:val="pct12" w:color="auto" w:fill="auto"/>
          </w:tcPr>
          <w:p w14:paraId="1AB93EA8" w14:textId="31B67826" w:rsidR="00157962" w:rsidRDefault="00157962" w:rsidP="0058150D">
            <w:pPr>
              <w:pStyle w:val="Instructions"/>
              <w:spacing w:before="120"/>
            </w:pPr>
            <w:r>
              <w:t>[NPRR1010:  Replace paragraph (4) above with the following upon system implementation of the Real-Time Co-Optimization (RTC) project:]</w:t>
            </w:r>
          </w:p>
          <w:p w14:paraId="4FA58381" w14:textId="16D1175F" w:rsidR="00157962" w:rsidRPr="00B37C4B" w:rsidRDefault="00157962" w:rsidP="00157962">
            <w:pPr>
              <w:spacing w:after="240"/>
              <w:ind w:left="720" w:hanging="720"/>
            </w:pPr>
            <w:r>
              <w:t>(4</w:t>
            </w:r>
            <w:r w:rsidRPr="003161DC">
              <w:t>)</w:t>
            </w:r>
            <w:r w:rsidRPr="003161DC">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w:t>
            </w:r>
            <w:r>
              <w:t xml:space="preserve">Similarly, Real-Time Ancillary Service Settlements use Real-Time Market Clearing Prices for Capacity (MCPCs) for a 15-minute Settlement Interval, using the MCPCs from all of the executions of SCED in the Settlement Interval.  </w:t>
            </w:r>
            <w:r w:rsidRPr="003161DC">
              <w:t>In contrast, the Day-Ahead Market (DAM) energy settlements will use DAM Settlement Point Prices that are calculated for Resource Nodes, Load Zones, and Hubs for a one-hour Settlement Interval</w:t>
            </w:r>
            <w:r>
              <w:t>, and DAM Ancillary Service Settlements will use DAM MCPCs for a one-hour Settlement Interval.</w:t>
            </w:r>
          </w:p>
        </w:tc>
      </w:tr>
    </w:tbl>
    <w:p w14:paraId="7CFC4C12" w14:textId="284CA9A4" w:rsidR="00470AB8" w:rsidRDefault="001F04FD" w:rsidP="000B1D41">
      <w:pPr>
        <w:pStyle w:val="BodyText"/>
        <w:spacing w:before="240"/>
        <w:ind w:left="720" w:hanging="720"/>
      </w:pPr>
      <w:r>
        <w:t>(</w:t>
      </w:r>
      <w:r w:rsidR="002D28ED">
        <w:t>5</w:t>
      </w:r>
      <w:r>
        <w:t>)</w:t>
      </w:r>
      <w:r>
        <w:tab/>
      </w:r>
      <w:r w:rsidRPr="00AC08D4">
        <w:t xml:space="preserve">To the extent </w:t>
      </w:r>
      <w:r>
        <w:t>that the ERCOT CEO or designee determines that Market Participant activities have</w:t>
      </w:r>
      <w:r w:rsidRPr="00AC08D4">
        <w:t xml:space="preserve"> produce</w:t>
      </w:r>
      <w:r>
        <w:t>d an outcome inconsistent with the efficient operation of the ERCOT-administered markets as defined in subsection (c)(2) of P.U.C. S</w:t>
      </w:r>
      <w:r w:rsidRPr="006B60E2">
        <w:rPr>
          <w:smallCaps/>
        </w:rPr>
        <w:t>ubst</w:t>
      </w:r>
      <w:r>
        <w:t>. R. 25.503</w:t>
      </w:r>
      <w:r w:rsidRPr="00AC08D4">
        <w:t xml:space="preserve">, </w:t>
      </w:r>
      <w:r>
        <w:t xml:space="preserve">Oversight of Wholesale Market Participants, </w:t>
      </w:r>
      <w:r w:rsidRPr="00AC08D4">
        <w:t>ERCOT</w:t>
      </w:r>
      <w:r>
        <w:t xml:space="preserve"> may prohibit the activity by Notice for a period beginning on the date of the Notice and ending no later than 45 days after the date of the Notice.  ERCOT may issue subsequent Notices on the same activity.  The ERCOT CEO may deem any Nodal Protocol Revision Request (NPRR) designed to correct the activity or issues affecting the activity as Urgent pursuant to Section 21.5, Urgent </w:t>
      </w:r>
      <w:r w:rsidR="00470AB8">
        <w:t xml:space="preserve">and Board Priority </w:t>
      </w:r>
      <w:r>
        <w:t>Nodal Protocol Revision Requests</w:t>
      </w:r>
      <w:r w:rsidR="00470AB8">
        <w:t xml:space="preserve"> and System Change Requests</w:t>
      </w:r>
      <w:r>
        <w:t>.</w:t>
      </w:r>
      <w:bookmarkStart w:id="28" w:name="_Toc397504906"/>
      <w:bookmarkStart w:id="29" w:name="_Toc402357034"/>
      <w:bookmarkStart w:id="30" w:name="_Toc422486414"/>
      <w:bookmarkStart w:id="31" w:name="_Toc433093266"/>
      <w:bookmarkStart w:id="32" w:name="_Toc433093424"/>
      <w:bookmarkStart w:id="33" w:name="_Toc440874655"/>
      <w:bookmarkStart w:id="34" w:name="_Toc448142210"/>
      <w:bookmarkStart w:id="35" w:name="_Toc448142367"/>
      <w:bookmarkStart w:id="36" w:name="_Toc458770203"/>
      <w:bookmarkStart w:id="37" w:name="_Toc459294171"/>
      <w:bookmarkStart w:id="38" w:name="_Toc463262664"/>
      <w:bookmarkStart w:id="39" w:name="_Toc468286736"/>
      <w:bookmarkStart w:id="40" w:name="_Toc481502782"/>
      <w:bookmarkStart w:id="41" w:name="_Toc496079952"/>
    </w:p>
    <w:p w14:paraId="75FF5987" w14:textId="77777777" w:rsidR="001F04FD" w:rsidRDefault="001F04FD" w:rsidP="00221A13">
      <w:pPr>
        <w:pStyle w:val="H2"/>
        <w:spacing w:before="480"/>
        <w:ind w:left="907" w:hanging="907"/>
      </w:pPr>
      <w:bookmarkStart w:id="42" w:name="_Toc204411534"/>
      <w:r>
        <w:t>6.2</w:t>
      </w:r>
      <w:r>
        <w:tab/>
        <w:t>Market Timeline Summary</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601A8E25" w14:textId="77777777" w:rsidR="001F04FD" w:rsidRDefault="000468AC" w:rsidP="008E724B">
      <w:pPr>
        <w:pStyle w:val="BodyText"/>
        <w:ind w:left="720" w:hanging="720"/>
      </w:pPr>
      <w:r>
        <w:t>(1)</w:t>
      </w:r>
      <w:r>
        <w:tab/>
      </w:r>
      <w:r w:rsidR="001F04FD">
        <w:t>The figure below is a high-level summary of the overall market timeline:</w:t>
      </w:r>
    </w:p>
    <w:p w14:paraId="75CC1640" w14:textId="4C5F520E" w:rsidR="001F04FD" w:rsidRDefault="00A94020" w:rsidP="001F04FD">
      <w:pPr>
        <w:rPr>
          <w:rStyle w:val="CharCharChar1"/>
        </w:rPr>
      </w:pPr>
      <w:r>
        <w:rPr>
          <w:noProof/>
        </w:rPr>
        <w:drawing>
          <wp:inline distT="0" distB="0" distL="0" distR="0" wp14:anchorId="0A0AD4E1" wp14:editId="6B8AF17E">
            <wp:extent cx="5705475" cy="3248025"/>
            <wp:effectExtent l="0" t="0" r="9525" b="9525"/>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5475" cy="3248025"/>
                    </a:xfrm>
                    <a:prstGeom prst="rect">
                      <a:avLst/>
                    </a:prstGeom>
                    <a:noFill/>
                    <a:ln>
                      <a:noFill/>
                    </a:ln>
                  </pic:spPr>
                </pic:pic>
              </a:graphicData>
            </a:graphic>
          </wp:inline>
        </w:drawing>
      </w:r>
    </w:p>
    <w:p w14:paraId="5FDC4E9E" w14:textId="77777777" w:rsidR="000778F6" w:rsidRDefault="000778F6" w:rsidP="001F04FD">
      <w:pPr>
        <w:pStyle w:val="H2"/>
        <w:ind w:left="0" w:firstLine="0"/>
      </w:pPr>
      <w:bookmarkStart w:id="43" w:name="_Toc397504907"/>
      <w:bookmarkStart w:id="44" w:name="_Toc402357035"/>
      <w:bookmarkStart w:id="45" w:name="_Toc422486415"/>
      <w:bookmarkStart w:id="46" w:name="_Toc433093267"/>
      <w:bookmarkStart w:id="47" w:name="_Toc433093425"/>
      <w:bookmarkStart w:id="48" w:name="_Toc440874656"/>
      <w:bookmarkStart w:id="49" w:name="_Toc448142211"/>
      <w:bookmarkStart w:id="50" w:name="_Toc448142368"/>
      <w:bookmarkStart w:id="51" w:name="_Toc458770204"/>
      <w:bookmarkStart w:id="52" w:name="_Toc459294172"/>
      <w:bookmarkStart w:id="53" w:name="_Toc463262665"/>
      <w:bookmarkStart w:id="54" w:name="_Toc468286737"/>
      <w:bookmarkStart w:id="55" w:name="_Toc481502783"/>
      <w:bookmarkStart w:id="56" w:name="_Toc496079953"/>
    </w:p>
    <w:p w14:paraId="613DE931" w14:textId="539C7FDA" w:rsidR="001F04FD" w:rsidRDefault="001F04FD" w:rsidP="001F04FD">
      <w:pPr>
        <w:pStyle w:val="H2"/>
        <w:ind w:left="0" w:firstLine="0"/>
      </w:pPr>
      <w:bookmarkStart w:id="57" w:name="_Toc119310177"/>
      <w:bookmarkStart w:id="58" w:name="_Toc204411535"/>
      <w:r>
        <w:t>6.3</w:t>
      </w:r>
      <w:r>
        <w:tab/>
        <w:t>Adjustment Period and Real-Time Operations Timeline</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F27ECBF" w14:textId="67542E15" w:rsidR="001F04FD" w:rsidRDefault="001F04FD" w:rsidP="00C30E33">
      <w:pPr>
        <w:pStyle w:val="BodyTextNumbered"/>
        <w:spacing w:after="0"/>
      </w:pPr>
      <w:r>
        <w:t>(1)</w:t>
      </w:r>
      <w:r>
        <w:tab/>
        <w:t xml:space="preserve">The figure below highlights the major activities that occur in the Adjustment Period and Real-Time operations: </w:t>
      </w:r>
    </w:p>
    <w:p w14:paraId="21132D63" w14:textId="12FC1F47" w:rsidR="001F04FD" w:rsidRDefault="00A94020" w:rsidP="00C30E33">
      <w:pPr>
        <w:pStyle w:val="CommentSubject"/>
      </w:pPr>
      <w:r>
        <w:rPr>
          <w:noProof/>
        </w:rPr>
        <mc:AlternateContent>
          <mc:Choice Requires="wpc">
            <w:drawing>
              <wp:anchor distT="0" distB="0" distL="114300" distR="114300" simplePos="0" relativeHeight="251651072" behindDoc="0" locked="0" layoutInCell="1" allowOverlap="1" wp14:anchorId="5C95629B" wp14:editId="3E811292">
                <wp:simplePos x="0" y="0"/>
                <wp:positionH relativeFrom="column">
                  <wp:posOffset>170180</wp:posOffset>
                </wp:positionH>
                <wp:positionV relativeFrom="paragraph">
                  <wp:posOffset>183515</wp:posOffset>
                </wp:positionV>
                <wp:extent cx="5372100" cy="3479165"/>
                <wp:effectExtent l="0" t="4445" r="1270" b="2540"/>
                <wp:wrapNone/>
                <wp:docPr id="2092"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84" name="Group 117"/>
                        <wpg:cNvGrpSpPr>
                          <a:grpSpLocks/>
                        </wpg:cNvGrpSpPr>
                        <wpg:grpSpPr bwMode="auto">
                          <a:xfrm>
                            <a:off x="80000" y="882616"/>
                            <a:ext cx="5265400" cy="1565329"/>
                            <a:chOff x="2007" y="3420"/>
                            <a:chExt cx="8292" cy="2465"/>
                          </a:xfrm>
                        </wpg:grpSpPr>
                        <wps:wsp>
                          <wps:cNvPr id="3185"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87" name="Group 120"/>
                        <wpg:cNvGrpSpPr>
                          <a:grpSpLocks/>
                        </wpg:cNvGrpSpPr>
                        <wpg:grpSpPr bwMode="auto">
                          <a:xfrm>
                            <a:off x="927700" y="1323925"/>
                            <a:ext cx="1604000" cy="281305"/>
                            <a:chOff x="3342" y="4115"/>
                            <a:chExt cx="2526" cy="443"/>
                          </a:xfrm>
                        </wpg:grpSpPr>
                        <wps:wsp>
                          <wps:cNvPr id="3188"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89"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0" name="Rectangle 123"/>
                        <wps:cNvSpPr>
                          <a:spLocks noChangeArrowheads="1"/>
                        </wps:cNvSpPr>
                        <wps:spPr bwMode="auto">
                          <a:xfrm>
                            <a:off x="1297900" y="1326525"/>
                            <a:ext cx="910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B6AF8" w14:textId="77777777" w:rsidR="00847E53" w:rsidRDefault="00847E53" w:rsidP="001F04FD">
                              <w:r>
                                <w:rPr>
                                  <w:rFonts w:ascii="Arial" w:hAnsi="Arial" w:cs="Arial"/>
                                  <w:b/>
                                  <w:bCs/>
                                  <w:color w:val="FFFFFF"/>
                                  <w:sz w:val="20"/>
                                </w:rPr>
                                <w:t>Preparation for</w:t>
                              </w:r>
                            </w:p>
                          </w:txbxContent>
                        </wps:txbx>
                        <wps:bodyPr rot="0" vert="horz" wrap="none" lIns="0" tIns="0" rIns="0" bIns="0" anchor="t" anchorCtr="0" upright="1">
                          <a:spAutoFit/>
                        </wps:bodyPr>
                      </wps:wsp>
                      <wps:wsp>
                        <wps:cNvPr id="3191" name="Rectangle 124"/>
                        <wps:cNvSpPr>
                          <a:spLocks noChangeArrowheads="1"/>
                        </wps:cNvSpPr>
                        <wps:spPr bwMode="auto">
                          <a:xfrm>
                            <a:off x="1308100" y="1471327"/>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7CA0F" w14:textId="77777777" w:rsidR="00847E53" w:rsidRDefault="00847E53" w:rsidP="001F04FD">
                              <w:r>
                                <w:rPr>
                                  <w:rFonts w:ascii="Arial" w:hAnsi="Arial" w:cs="Arial"/>
                                  <w:b/>
                                  <w:bCs/>
                                  <w:color w:val="FFFFFF"/>
                                  <w:sz w:val="20"/>
                                </w:rPr>
                                <w:t>Real</w:t>
                              </w:r>
                            </w:p>
                          </w:txbxContent>
                        </wps:txbx>
                        <wps:bodyPr rot="0" vert="horz" wrap="none" lIns="0" tIns="0" rIns="0" bIns="0" anchor="t" anchorCtr="0" upright="1">
                          <a:spAutoFit/>
                        </wps:bodyPr>
                      </wps:wsp>
                      <wps:wsp>
                        <wps:cNvPr id="3192" name="Rectangle 125"/>
                        <wps:cNvSpPr>
                          <a:spLocks noChangeArrowheads="1"/>
                        </wps:cNvSpPr>
                        <wps:spPr bwMode="auto">
                          <a:xfrm>
                            <a:off x="1562100" y="1471327"/>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17011" w14:textId="77777777" w:rsidR="00847E53" w:rsidRDefault="00847E53" w:rsidP="001F04FD">
                              <w:r>
                                <w:rPr>
                                  <w:rFonts w:ascii="Arial" w:hAnsi="Arial" w:cs="Arial"/>
                                  <w:b/>
                                  <w:bCs/>
                                  <w:color w:val="FFFFFF"/>
                                  <w:sz w:val="20"/>
                                </w:rPr>
                                <w:t>-</w:t>
                              </w:r>
                            </w:p>
                          </w:txbxContent>
                        </wps:txbx>
                        <wps:bodyPr rot="0" vert="horz" wrap="none" lIns="0" tIns="0" rIns="0" bIns="0" anchor="t" anchorCtr="0" upright="1">
                          <a:spAutoFit/>
                        </wps:bodyPr>
                      </wps:wsp>
                      <wps:wsp>
                        <wps:cNvPr id="3193" name="Rectangle 126"/>
                        <wps:cNvSpPr>
                          <a:spLocks noChangeArrowheads="1"/>
                        </wps:cNvSpPr>
                        <wps:spPr bwMode="auto">
                          <a:xfrm>
                            <a:off x="1602100" y="1471327"/>
                            <a:ext cx="579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58B6F" w14:textId="77777777" w:rsidR="00847E53" w:rsidRDefault="00847E53" w:rsidP="001F04FD">
                              <w:r>
                                <w:rPr>
                                  <w:rFonts w:ascii="Arial" w:hAnsi="Arial" w:cs="Arial"/>
                                  <w:b/>
                                  <w:bCs/>
                                  <w:color w:val="FFFFFF"/>
                                  <w:sz w:val="20"/>
                                </w:rPr>
                                <w:t>Time Ops</w:t>
                              </w:r>
                            </w:p>
                          </w:txbxContent>
                        </wps:txbx>
                        <wps:bodyPr rot="0" vert="horz" wrap="none" lIns="0" tIns="0" rIns="0" bIns="0" anchor="t" anchorCtr="0" upright="1">
                          <a:spAutoFit/>
                        </wps:bodyPr>
                      </wps:wsp>
                      <wpg:wgp>
                        <wpg:cNvPr id="3194" name="Group 127"/>
                        <wpg:cNvGrpSpPr>
                          <a:grpSpLocks/>
                        </wpg:cNvGrpSpPr>
                        <wpg:grpSpPr bwMode="auto">
                          <a:xfrm>
                            <a:off x="160600" y="1323925"/>
                            <a:ext cx="723300" cy="682713"/>
                            <a:chOff x="2134" y="4115"/>
                            <a:chExt cx="1139" cy="1075"/>
                          </a:xfrm>
                        </wpg:grpSpPr>
                        <wps:wsp>
                          <wps:cNvPr id="3195"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96"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7" name="Rectangle 130"/>
                        <wps:cNvSpPr>
                          <a:spLocks noChangeArrowheads="1"/>
                        </wps:cNvSpPr>
                        <wps:spPr bwMode="auto">
                          <a:xfrm>
                            <a:off x="221000" y="1598930"/>
                            <a:ext cx="635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A1A59" w14:textId="77777777" w:rsidR="00847E53" w:rsidRDefault="00847E53" w:rsidP="001F04FD">
                              <w:r>
                                <w:rPr>
                                  <w:rFonts w:ascii="Arial" w:hAnsi="Arial" w:cs="Arial"/>
                                  <w:b/>
                                  <w:bCs/>
                                  <w:color w:val="FFFFFF"/>
                                  <w:sz w:val="20"/>
                                </w:rPr>
                                <w:t>Adj Period</w:t>
                              </w:r>
                            </w:p>
                          </w:txbxContent>
                        </wps:txbx>
                        <wps:bodyPr rot="0" vert="horz" wrap="none" lIns="0" tIns="0" rIns="0" bIns="0" anchor="t" anchorCtr="0" upright="1">
                          <a:spAutoFit/>
                        </wps:bodyPr>
                      </wps:wsp>
                      <wps:wsp>
                        <wps:cNvPr id="3198" name="Rectangle 131"/>
                        <wps:cNvSpPr>
                          <a:spLocks noChangeArrowheads="1"/>
                        </wps:cNvSpPr>
                        <wps:spPr bwMode="auto">
                          <a:xfrm>
                            <a:off x="48300" y="2301243"/>
                            <a:ext cx="325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1AB2D" w14:textId="77777777" w:rsidR="00847E53" w:rsidRDefault="00847E53" w:rsidP="001F04FD">
                              <w:r>
                                <w:rPr>
                                  <w:rFonts w:ascii="Arial" w:hAnsi="Arial" w:cs="Arial"/>
                                  <w:b/>
                                  <w:bCs/>
                                  <w:color w:val="000000"/>
                                  <w:sz w:val="20"/>
                                </w:rPr>
                                <w:t>18:00</w:t>
                              </w:r>
                            </w:p>
                          </w:txbxContent>
                        </wps:txbx>
                        <wps:bodyPr rot="0" vert="horz" wrap="none" lIns="0" tIns="0" rIns="0" bIns="0" anchor="t" anchorCtr="0" upright="1">
                          <a:spAutoFit/>
                        </wps:bodyPr>
                      </wps:wsp>
                      <wps:wsp>
                        <wps:cNvPr id="3199" name="Rectangle 132"/>
                        <wps:cNvSpPr>
                          <a:spLocks noChangeArrowheads="1"/>
                        </wps:cNvSpPr>
                        <wps:spPr bwMode="auto">
                          <a:xfrm>
                            <a:off x="48300" y="2446046"/>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A528B" w14:textId="77777777" w:rsidR="00847E53" w:rsidRDefault="00847E53" w:rsidP="001F04FD">
                              <w:r>
                                <w:rPr>
                                  <w:rFonts w:ascii="Arial" w:hAnsi="Arial" w:cs="Arial"/>
                                  <w:b/>
                                  <w:bCs/>
                                  <w:color w:val="000000"/>
                                  <w:sz w:val="20"/>
                                </w:rPr>
                                <w:t xml:space="preserve">(D </w:t>
                              </w:r>
                            </w:p>
                          </w:txbxContent>
                        </wps:txbx>
                        <wps:bodyPr rot="0" vert="horz" wrap="none" lIns="0" tIns="0" rIns="0" bIns="0" anchor="t" anchorCtr="0" upright="1">
                          <a:spAutoFit/>
                        </wps:bodyPr>
                      </wps:wsp>
                      <wps:wsp>
                        <wps:cNvPr id="3200" name="Rectangle 133"/>
                        <wps:cNvSpPr>
                          <a:spLocks noChangeArrowheads="1"/>
                        </wps:cNvSpPr>
                        <wps:spPr bwMode="auto">
                          <a:xfrm>
                            <a:off x="208900" y="2446046"/>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4CF7F" w14:textId="77777777" w:rsidR="00847E53" w:rsidRDefault="00847E53" w:rsidP="001F04FD">
                              <w:r>
                                <w:rPr>
                                  <w:rFonts w:ascii="Arial" w:hAnsi="Arial" w:cs="Arial"/>
                                  <w:b/>
                                  <w:bCs/>
                                  <w:color w:val="000000"/>
                                  <w:sz w:val="20"/>
                                </w:rPr>
                                <w:t>–</w:t>
                              </w:r>
                            </w:p>
                          </w:txbxContent>
                        </wps:txbx>
                        <wps:bodyPr rot="0" vert="horz" wrap="none" lIns="0" tIns="0" rIns="0" bIns="0" anchor="t" anchorCtr="0" upright="1">
                          <a:spAutoFit/>
                        </wps:bodyPr>
                      </wps:wsp>
                      <wps:wsp>
                        <wps:cNvPr id="3201" name="Rectangle 134"/>
                        <wps:cNvSpPr>
                          <a:spLocks noChangeArrowheads="1"/>
                        </wps:cNvSpPr>
                        <wps:spPr bwMode="auto">
                          <a:xfrm>
                            <a:off x="309200" y="2446046"/>
                            <a:ext cx="113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F814C" w14:textId="77777777" w:rsidR="00847E53" w:rsidRDefault="00847E53" w:rsidP="001F04FD">
                              <w:r>
                                <w:rPr>
                                  <w:rFonts w:ascii="Arial" w:hAnsi="Arial" w:cs="Arial"/>
                                  <w:b/>
                                  <w:bCs/>
                                  <w:color w:val="000000"/>
                                  <w:sz w:val="20"/>
                                </w:rPr>
                                <w:t>1)</w:t>
                              </w:r>
                            </w:p>
                          </w:txbxContent>
                        </wps:txbx>
                        <wps:bodyPr rot="0" vert="horz" wrap="none" lIns="0" tIns="0" rIns="0" bIns="0" anchor="t" anchorCtr="0" upright="1">
                          <a:spAutoFit/>
                        </wps:bodyPr>
                      </wps:wsp>
                      <wps:wsp>
                        <wps:cNvPr id="3202" name="Rectangle 135"/>
                        <wps:cNvSpPr>
                          <a:spLocks noChangeArrowheads="1"/>
                        </wps:cNvSpPr>
                        <wps:spPr bwMode="auto">
                          <a:xfrm>
                            <a:off x="552500" y="2316443"/>
                            <a:ext cx="656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39442" w14:textId="77777777" w:rsidR="00847E53" w:rsidRDefault="00847E53" w:rsidP="001F04FD">
                              <w:r>
                                <w:rPr>
                                  <w:rFonts w:ascii="Arial" w:hAnsi="Arial" w:cs="Arial"/>
                                  <w:b/>
                                  <w:bCs/>
                                  <w:color w:val="000000"/>
                                  <w:sz w:val="20"/>
                                </w:rPr>
                                <w:t>60 Minutes</w:t>
                              </w:r>
                            </w:p>
                          </w:txbxContent>
                        </wps:txbx>
                        <wps:bodyPr rot="0" vert="horz" wrap="none" lIns="0" tIns="0" rIns="0" bIns="0" anchor="t" anchorCtr="0" upright="1">
                          <a:spAutoFit/>
                        </wps:bodyPr>
                      </wps:wsp>
                      <wps:wsp>
                        <wps:cNvPr id="3203" name="Rectangle 136"/>
                        <wps:cNvSpPr>
                          <a:spLocks noChangeArrowheads="1"/>
                        </wps:cNvSpPr>
                        <wps:spPr bwMode="auto">
                          <a:xfrm>
                            <a:off x="649000" y="2461846"/>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13B92" w14:textId="77777777" w:rsidR="00847E53" w:rsidRDefault="00847E53" w:rsidP="001F04FD">
                              <w:r>
                                <w:rPr>
                                  <w:rFonts w:ascii="Arial" w:hAnsi="Arial" w:cs="Arial"/>
                                  <w:b/>
                                  <w:bCs/>
                                  <w:color w:val="000000"/>
                                  <w:sz w:val="20"/>
                                </w:rPr>
                                <w:t>Prior to</w:t>
                              </w:r>
                            </w:p>
                          </w:txbxContent>
                        </wps:txbx>
                        <wps:bodyPr rot="0" vert="horz" wrap="none" lIns="0" tIns="0" rIns="0" bIns="0" anchor="t" anchorCtr="0" upright="1">
                          <a:spAutoFit/>
                        </wps:bodyPr>
                      </wps:wsp>
                      <wps:wsp>
                        <wps:cNvPr id="3204" name="Rectangle 137"/>
                        <wps:cNvSpPr>
                          <a:spLocks noChangeArrowheads="1"/>
                        </wps:cNvSpPr>
                        <wps:spPr bwMode="auto">
                          <a:xfrm>
                            <a:off x="622300" y="2606649"/>
                            <a:ext cx="508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BEFF7" w14:textId="77777777" w:rsidR="00847E53" w:rsidRDefault="00847E53" w:rsidP="001F04FD">
                              <w:r>
                                <w:rPr>
                                  <w:rFonts w:ascii="Arial" w:hAnsi="Arial" w:cs="Arial"/>
                                  <w:b/>
                                  <w:bCs/>
                                  <w:color w:val="000000"/>
                                  <w:sz w:val="20"/>
                                </w:rPr>
                                <w:t>Op Hour</w:t>
                              </w:r>
                            </w:p>
                          </w:txbxContent>
                        </wps:txbx>
                        <wps:bodyPr rot="0" vert="horz" wrap="none" lIns="0" tIns="0" rIns="0" bIns="0" anchor="t" anchorCtr="0" upright="1">
                          <a:spAutoFit/>
                        </wps:bodyPr>
                      </wps:wsp>
                      <wpg:wgp>
                        <wpg:cNvPr id="3205" name="Group 138"/>
                        <wpg:cNvGrpSpPr>
                          <a:grpSpLocks/>
                        </wpg:cNvGrpSpPr>
                        <wpg:grpSpPr bwMode="auto">
                          <a:xfrm>
                            <a:off x="202500" y="360607"/>
                            <a:ext cx="1406500" cy="682713"/>
                            <a:chOff x="2197" y="2598"/>
                            <a:chExt cx="2215" cy="1075"/>
                          </a:xfrm>
                        </wpg:grpSpPr>
                        <wps:wsp>
                          <wps:cNvPr id="3206"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7"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08" name="Rectangle 141"/>
                        <wps:cNvSpPr>
                          <a:spLocks noChangeArrowheads="1"/>
                        </wps:cNvSpPr>
                        <wps:spPr bwMode="auto">
                          <a:xfrm>
                            <a:off x="582300" y="425408"/>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81291" w14:textId="77777777" w:rsidR="00847E53" w:rsidRDefault="00847E53" w:rsidP="001F04FD">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09" name="Rectangle 142"/>
                        <wps:cNvSpPr>
                          <a:spLocks noChangeArrowheads="1"/>
                        </wps:cNvSpPr>
                        <wps:spPr bwMode="auto">
                          <a:xfrm>
                            <a:off x="582200" y="522610"/>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Rectangle 143"/>
                        <wps:cNvSpPr>
                          <a:spLocks noChangeArrowheads="1"/>
                        </wps:cNvSpPr>
                        <wps:spPr bwMode="auto">
                          <a:xfrm>
                            <a:off x="262300" y="546710"/>
                            <a:ext cx="13144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1EA6C" w14:textId="77777777" w:rsidR="00847E53" w:rsidRDefault="00847E53" w:rsidP="001F04FD">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11" name="Rectangle 144"/>
                        <wps:cNvSpPr>
                          <a:spLocks noChangeArrowheads="1"/>
                        </wps:cNvSpPr>
                        <wps:spPr bwMode="auto">
                          <a:xfrm>
                            <a:off x="446400" y="649012"/>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F7C01" w14:textId="77777777" w:rsidR="00847E53" w:rsidRDefault="00847E53" w:rsidP="001F04FD">
                              <w:r>
                                <w:rPr>
                                  <w:rFonts w:ascii="Arial" w:hAnsi="Arial" w:cs="Arial"/>
                                  <w:b/>
                                  <w:bCs/>
                                  <w:color w:val="FFFFFF"/>
                                  <w:sz w:val="14"/>
                                  <w:szCs w:val="14"/>
                                </w:rPr>
                                <w:t>Submit HRUC Offers</w:t>
                              </w:r>
                            </w:p>
                          </w:txbxContent>
                        </wps:txbx>
                        <wps:bodyPr rot="0" vert="horz" wrap="none" lIns="0" tIns="0" rIns="0" bIns="0" anchor="t" anchorCtr="0" upright="1">
                          <a:spAutoFit/>
                        </wps:bodyPr>
                      </wps:wsp>
                      <wps:wsp>
                        <wps:cNvPr id="3212" name="Rectangle 145"/>
                        <wps:cNvSpPr>
                          <a:spLocks noChangeArrowheads="1"/>
                        </wps:cNvSpPr>
                        <wps:spPr bwMode="auto">
                          <a:xfrm>
                            <a:off x="333400" y="760714"/>
                            <a:ext cx="1087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3B42B" w14:textId="77777777" w:rsidR="00847E53" w:rsidRDefault="00847E53" w:rsidP="001F04FD">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213" name="Rectangle 146"/>
                        <wps:cNvSpPr>
                          <a:spLocks noChangeArrowheads="1"/>
                        </wps:cNvSpPr>
                        <wps:spPr bwMode="auto">
                          <a:xfrm>
                            <a:off x="202600" y="873116"/>
                            <a:ext cx="10725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DBF82" w14:textId="45439C2C" w:rsidR="00847E53" w:rsidRDefault="00847E53" w:rsidP="001F04FD">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3214" name="Rectangle 147"/>
                        <wps:cNvSpPr>
                          <a:spLocks noChangeArrowheads="1"/>
                        </wps:cNvSpPr>
                        <wps:spPr bwMode="auto">
                          <a:xfrm>
                            <a:off x="1356400" y="873116"/>
                            <a:ext cx="2374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B540A" w14:textId="4DCB1F3F" w:rsidR="00847E53" w:rsidRDefault="00847E53" w:rsidP="001F04FD">
                              <w:r>
                                <w:rPr>
                                  <w:rFonts w:ascii="Arial" w:hAnsi="Arial" w:cs="Arial"/>
                                  <w:b/>
                                  <w:bCs/>
                                  <w:color w:val="FFFFFF"/>
                                  <w:sz w:val="14"/>
                                  <w:szCs w:val="14"/>
                                </w:rPr>
                                <w:t>DSRs</w:t>
                              </w:r>
                            </w:p>
                          </w:txbxContent>
                        </wps:txbx>
                        <wps:bodyPr rot="0" vert="horz" wrap="none" lIns="0" tIns="0" rIns="0" bIns="0" anchor="t" anchorCtr="0" upright="1">
                          <a:spAutoFit/>
                        </wps:bodyPr>
                      </wps:wsp>
                      <wpg:wgp>
                        <wpg:cNvPr id="3215" name="Group 148"/>
                        <wpg:cNvGrpSpPr>
                          <a:grpSpLocks/>
                        </wpg:cNvGrpSpPr>
                        <wpg:grpSpPr bwMode="auto">
                          <a:xfrm>
                            <a:off x="2411000" y="2729251"/>
                            <a:ext cx="1447200" cy="682013"/>
                            <a:chOff x="5678" y="6328"/>
                            <a:chExt cx="2279" cy="1074"/>
                          </a:xfrm>
                        </wpg:grpSpPr>
                        <wps:wsp>
                          <wps:cNvPr id="3216"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18" name="Rectangle 151"/>
                        <wps:cNvSpPr>
                          <a:spLocks noChangeArrowheads="1"/>
                        </wps:cNvSpPr>
                        <wps:spPr bwMode="auto">
                          <a:xfrm>
                            <a:off x="2773000" y="2777452"/>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99AF2" w14:textId="77777777" w:rsidR="00847E53" w:rsidRDefault="00847E53" w:rsidP="001F04FD">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19"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0" name="Rectangle 153"/>
                        <wps:cNvSpPr>
                          <a:spLocks noChangeArrowheads="1"/>
                        </wps:cNvSpPr>
                        <wps:spPr bwMode="auto">
                          <a:xfrm>
                            <a:off x="2557800" y="2889254"/>
                            <a:ext cx="10972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5098C" w14:textId="77777777" w:rsidR="00847E53" w:rsidRDefault="00847E53" w:rsidP="001F04FD">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221" name="Rectangle 154"/>
                        <wps:cNvSpPr>
                          <a:spLocks noChangeArrowheads="1"/>
                        </wps:cNvSpPr>
                        <wps:spPr bwMode="auto">
                          <a:xfrm>
                            <a:off x="2515200" y="3001656"/>
                            <a:ext cx="9442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6F9E6" w14:textId="77777777" w:rsidR="00847E53" w:rsidRDefault="00847E53" w:rsidP="001F04FD">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222" name="Rectangle 155"/>
                        <wps:cNvSpPr>
                          <a:spLocks noChangeArrowheads="1"/>
                        </wps:cNvSpPr>
                        <wps:spPr bwMode="auto">
                          <a:xfrm>
                            <a:off x="3535000" y="3001656"/>
                            <a:ext cx="207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F717A" w14:textId="77777777" w:rsidR="00847E53" w:rsidRDefault="00847E53" w:rsidP="001F04FD">
                              <w:r>
                                <w:rPr>
                                  <w:rFonts w:ascii="Arial" w:hAnsi="Arial" w:cs="Arial"/>
                                  <w:b/>
                                  <w:bCs/>
                                  <w:color w:val="000000"/>
                                  <w:sz w:val="14"/>
                                  <w:szCs w:val="14"/>
                                </w:rPr>
                                <w:t>mins</w:t>
                              </w:r>
                            </w:p>
                          </w:txbxContent>
                        </wps:txbx>
                        <wps:bodyPr rot="0" vert="horz" wrap="none" lIns="0" tIns="0" rIns="0" bIns="0" anchor="t" anchorCtr="0" upright="1">
                          <a:spAutoFit/>
                        </wps:bodyPr>
                      </wps:wsp>
                      <wps:wsp>
                        <wps:cNvPr id="3223" name="Rectangle 156"/>
                        <wps:cNvSpPr>
                          <a:spLocks noChangeArrowheads="1"/>
                        </wps:cNvSpPr>
                        <wps:spPr bwMode="auto">
                          <a:xfrm>
                            <a:off x="2545700" y="3114058"/>
                            <a:ext cx="11214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E7038" w14:textId="77777777" w:rsidR="00847E53" w:rsidRDefault="00847E53" w:rsidP="001F04FD">
                              <w:r>
                                <w:rPr>
                                  <w:rFonts w:ascii="Arial" w:hAnsi="Arial" w:cs="Arial"/>
                                  <w:b/>
                                  <w:bCs/>
                                  <w:color w:val="000000"/>
                                  <w:sz w:val="14"/>
                                  <w:szCs w:val="14"/>
                                </w:rPr>
                                <w:t>Communicate Instructions</w:t>
                              </w:r>
                            </w:p>
                          </w:txbxContent>
                        </wps:txbx>
                        <wps:bodyPr rot="0" vert="horz" wrap="none" lIns="0" tIns="0" rIns="0" bIns="0" anchor="t" anchorCtr="0" upright="1">
                          <a:spAutoFit/>
                        </wps:bodyPr>
                      </wps:wsp>
                      <wps:wsp>
                        <wps:cNvPr id="3224" name="Rectangle 157"/>
                        <wps:cNvSpPr>
                          <a:spLocks noChangeArrowheads="1"/>
                        </wps:cNvSpPr>
                        <wps:spPr bwMode="auto">
                          <a:xfrm>
                            <a:off x="2947700" y="3225160"/>
                            <a:ext cx="3562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39725" w14:textId="77777777" w:rsidR="00847E53" w:rsidRDefault="00847E53" w:rsidP="001F04FD">
                              <w:r>
                                <w:rPr>
                                  <w:rFonts w:ascii="Arial" w:hAnsi="Arial" w:cs="Arial"/>
                                  <w:b/>
                                  <w:bCs/>
                                  <w:color w:val="000000"/>
                                  <w:sz w:val="14"/>
                                  <w:szCs w:val="14"/>
                                </w:rPr>
                                <w:t>&amp; Prices</w:t>
                              </w:r>
                            </w:p>
                          </w:txbxContent>
                        </wps:txbx>
                        <wps:bodyPr rot="0" vert="horz" wrap="none" lIns="0" tIns="0" rIns="0" bIns="0" anchor="t" anchorCtr="0" upright="1">
                          <a:spAutoFit/>
                        </wps:bodyPr>
                      </wps:wsp>
                      <wpg:wgp>
                        <wpg:cNvPr id="3225" name="Group 158"/>
                        <wpg:cNvGrpSpPr>
                          <a:grpSpLocks/>
                        </wpg:cNvGrpSpPr>
                        <wpg:grpSpPr bwMode="auto">
                          <a:xfrm>
                            <a:off x="321300" y="2929855"/>
                            <a:ext cx="964500" cy="481409"/>
                            <a:chOff x="2387" y="6644"/>
                            <a:chExt cx="1519" cy="758"/>
                          </a:xfrm>
                        </wpg:grpSpPr>
                        <wps:wsp>
                          <wps:cNvPr id="3226"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7"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28" name="Rectangle 161"/>
                        <wps:cNvSpPr>
                          <a:spLocks noChangeArrowheads="1"/>
                        </wps:cNvSpPr>
                        <wps:spPr bwMode="auto">
                          <a:xfrm>
                            <a:off x="4420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FF3A1" w14:textId="77777777" w:rsidR="00847E53" w:rsidRDefault="00847E53" w:rsidP="001F04FD">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29"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0" name="Rectangle 163"/>
                        <wps:cNvSpPr>
                          <a:spLocks noChangeArrowheads="1"/>
                        </wps:cNvSpPr>
                        <wps:spPr bwMode="auto">
                          <a:xfrm>
                            <a:off x="378500" y="3101958"/>
                            <a:ext cx="7854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717B2" w14:textId="77777777" w:rsidR="00847E53" w:rsidRDefault="00847E53" w:rsidP="001F04FD">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231" name="Rectangle 164"/>
                        <wps:cNvSpPr>
                          <a:spLocks noChangeArrowheads="1"/>
                        </wps:cNvSpPr>
                        <wps:spPr bwMode="auto">
                          <a:xfrm>
                            <a:off x="475600" y="3214360"/>
                            <a:ext cx="6229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E40E0" w14:textId="77777777" w:rsidR="00847E53" w:rsidRDefault="00847E53" w:rsidP="001F04FD">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232"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3"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4"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5"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236" name="Group 169"/>
                        <wpg:cNvGrpSpPr>
                          <a:grpSpLocks/>
                        </wpg:cNvGrpSpPr>
                        <wpg:grpSpPr bwMode="auto">
                          <a:xfrm>
                            <a:off x="923900" y="1645231"/>
                            <a:ext cx="2934300" cy="160703"/>
                            <a:chOff x="3336" y="4621"/>
                            <a:chExt cx="4621" cy="253"/>
                          </a:xfrm>
                        </wpg:grpSpPr>
                        <wps:wsp>
                          <wps:cNvPr id="3237"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38"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39" name="Rectangle 172"/>
                        <wps:cNvSpPr>
                          <a:spLocks noChangeArrowheads="1"/>
                        </wps:cNvSpPr>
                        <wps:spPr bwMode="auto">
                          <a:xfrm>
                            <a:off x="1902500" y="1659931"/>
                            <a:ext cx="1030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96189" w14:textId="77777777" w:rsidR="00847E53" w:rsidRDefault="00847E53" w:rsidP="001F04FD">
                              <w:r>
                                <w:rPr>
                                  <w:rFonts w:ascii="Arial" w:hAnsi="Arial" w:cs="Arial"/>
                                  <w:b/>
                                  <w:bCs/>
                                  <w:color w:val="000000"/>
                                  <w:sz w:val="20"/>
                                </w:rPr>
                                <w:t>Operating Period</w:t>
                              </w:r>
                            </w:p>
                          </w:txbxContent>
                        </wps:txbx>
                        <wps:bodyPr rot="0" vert="horz" wrap="none" lIns="0" tIns="0" rIns="0" bIns="0" anchor="t" anchorCtr="0" upright="1">
                          <a:spAutoFit/>
                        </wps:bodyPr>
                      </wps:wsp>
                      <wpg:wgp>
                        <wpg:cNvPr id="3240" name="Group 173"/>
                        <wpg:cNvGrpSpPr>
                          <a:grpSpLocks/>
                        </wpg:cNvGrpSpPr>
                        <wpg:grpSpPr bwMode="auto">
                          <a:xfrm>
                            <a:off x="2531700" y="1845934"/>
                            <a:ext cx="1326500" cy="160703"/>
                            <a:chOff x="5868" y="4937"/>
                            <a:chExt cx="2089" cy="253"/>
                          </a:xfrm>
                        </wpg:grpSpPr>
                        <wps:wsp>
                          <wps:cNvPr id="3241"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42"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43" name="Rectangle 176"/>
                        <wps:cNvSpPr>
                          <a:spLocks noChangeArrowheads="1"/>
                        </wps:cNvSpPr>
                        <wps:spPr bwMode="auto">
                          <a:xfrm>
                            <a:off x="2689900" y="1860535"/>
                            <a:ext cx="931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DEA3F" w14:textId="77777777" w:rsidR="00847E53" w:rsidRDefault="00847E53" w:rsidP="001F04FD">
                              <w:r>
                                <w:rPr>
                                  <w:rFonts w:ascii="Arial" w:hAnsi="Arial" w:cs="Arial"/>
                                  <w:b/>
                                  <w:bCs/>
                                  <w:color w:val="000000"/>
                                  <w:sz w:val="20"/>
                                </w:rPr>
                                <w:t>Operating Hour</w:t>
                              </w:r>
                            </w:p>
                          </w:txbxContent>
                        </wps:txbx>
                        <wps:bodyPr rot="0" vert="horz" wrap="none" lIns="0" tIns="0" rIns="0" bIns="0" anchor="t" anchorCtr="0" upright="1">
                          <a:spAutoFit/>
                        </wps:bodyPr>
                      </wps:wsp>
                      <wps:wsp>
                        <wps:cNvPr id="3244"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5" name="Rectangle 178"/>
                        <wps:cNvSpPr>
                          <a:spLocks noChangeArrowheads="1"/>
                        </wps:cNvSpPr>
                        <wps:spPr bwMode="auto">
                          <a:xfrm>
                            <a:off x="2369800" y="2317143"/>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76638" w14:textId="77777777" w:rsidR="00847E53" w:rsidRDefault="00847E53" w:rsidP="001F04FD">
                              <w:r>
                                <w:rPr>
                                  <w:rFonts w:ascii="Arial" w:hAnsi="Arial" w:cs="Arial"/>
                                  <w:b/>
                                  <w:bCs/>
                                  <w:color w:val="000000"/>
                                  <w:sz w:val="20"/>
                                </w:rPr>
                                <w:t>Clock</w:t>
                              </w:r>
                            </w:p>
                          </w:txbxContent>
                        </wps:txbx>
                        <wps:bodyPr rot="0" vert="horz" wrap="none" lIns="0" tIns="0" rIns="0" bIns="0" anchor="t" anchorCtr="0" upright="1">
                          <a:spAutoFit/>
                        </wps:bodyPr>
                      </wps:wsp>
                      <wps:wsp>
                        <wps:cNvPr id="3246" name="Rectangle 179"/>
                        <wps:cNvSpPr>
                          <a:spLocks noChangeArrowheads="1"/>
                        </wps:cNvSpPr>
                        <wps:spPr bwMode="auto">
                          <a:xfrm>
                            <a:off x="2393300" y="2462546"/>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42181" w14:textId="77777777" w:rsidR="00847E53" w:rsidRDefault="00847E53" w:rsidP="001F04FD">
                              <w:r>
                                <w:rPr>
                                  <w:rFonts w:ascii="Arial" w:hAnsi="Arial" w:cs="Arial"/>
                                  <w:b/>
                                  <w:bCs/>
                                  <w:color w:val="000000"/>
                                  <w:sz w:val="20"/>
                                </w:rPr>
                                <w:t>Hour</w:t>
                              </w:r>
                            </w:p>
                          </w:txbxContent>
                        </wps:txbx>
                        <wps:bodyPr rot="0" vert="horz" wrap="none" lIns="0" tIns="0" rIns="0" bIns="0" anchor="t" anchorCtr="0" upright="1">
                          <a:spAutoFit/>
                        </wps:bodyPr>
                      </wps:wsp>
                      <wps:wsp>
                        <wps:cNvPr id="3247"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9"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50" name="Rectangle 183"/>
                        <wps:cNvSpPr>
                          <a:spLocks noChangeArrowheads="1"/>
                        </wps:cNvSpPr>
                        <wps:spPr bwMode="auto">
                          <a:xfrm>
                            <a:off x="3102600" y="2084739"/>
                            <a:ext cx="78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F9373" w14:textId="77777777" w:rsidR="00847E53" w:rsidRDefault="00847E53" w:rsidP="001F04FD">
                              <w:r>
                                <w:rPr>
                                  <w:rFonts w:ascii="Arial" w:hAnsi="Arial" w:cs="Arial"/>
                                  <w:b/>
                                  <w:bCs/>
                                  <w:color w:val="000000"/>
                                  <w:sz w:val="20"/>
                                </w:rPr>
                                <w:t>T</w:t>
                              </w:r>
                            </w:p>
                          </w:txbxContent>
                        </wps:txbx>
                        <wps:bodyPr rot="0" vert="horz" wrap="none" lIns="0" tIns="0" rIns="0" bIns="0" anchor="t" anchorCtr="0" upright="1">
                          <a:spAutoFit/>
                        </wps:bodyPr>
                      </wps:wsp>
                      <wps:wsp>
                        <wps:cNvPr id="3251"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2"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3"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8753B" w14:textId="77777777" w:rsidR="00847E53" w:rsidRDefault="00847E53" w:rsidP="001F04FD">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254"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F06F8" w14:textId="77777777" w:rsidR="00847E53" w:rsidRDefault="00847E53" w:rsidP="001F04FD">
                              <w:r>
                                <w:rPr>
                                  <w:rFonts w:ascii="Arial" w:hAnsi="Arial" w:cs="Arial"/>
                                  <w:b/>
                                  <w:bCs/>
                                  <w:color w:val="000000"/>
                                  <w:sz w:val="34"/>
                                  <w:szCs w:val="34"/>
                                </w:rPr>
                                <w:t>-</w:t>
                              </w:r>
                            </w:p>
                          </w:txbxContent>
                        </wps:txbx>
                        <wps:bodyPr rot="0" vert="horz" wrap="none" lIns="0" tIns="0" rIns="0" bIns="0" anchor="t" anchorCtr="0" upright="1">
                          <a:spAutoFit/>
                        </wps:bodyPr>
                      </wps:wsp>
                      <wps:wsp>
                        <wps:cNvPr id="3255"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B5288" w14:textId="77777777" w:rsidR="00847E53" w:rsidRDefault="00847E53" w:rsidP="001F04FD">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256" name="Group 189"/>
                        <wpg:cNvGrpSpPr>
                          <a:grpSpLocks/>
                        </wpg:cNvGrpSpPr>
                        <wpg:grpSpPr bwMode="auto">
                          <a:xfrm>
                            <a:off x="2571700" y="1323925"/>
                            <a:ext cx="1286500" cy="281305"/>
                            <a:chOff x="5931" y="4115"/>
                            <a:chExt cx="2026" cy="443"/>
                          </a:xfrm>
                        </wpg:grpSpPr>
                        <wps:wsp>
                          <wps:cNvPr id="3257"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258"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59" name="Rectangle 192"/>
                        <wps:cNvSpPr>
                          <a:spLocks noChangeArrowheads="1"/>
                        </wps:cNvSpPr>
                        <wps:spPr bwMode="auto">
                          <a:xfrm>
                            <a:off x="2910800" y="1326525"/>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B1AB0" w14:textId="77777777" w:rsidR="00847E53" w:rsidRDefault="00847E53" w:rsidP="001F04FD">
                              <w:r>
                                <w:rPr>
                                  <w:rFonts w:ascii="Arial" w:hAnsi="Arial" w:cs="Arial"/>
                                  <w:b/>
                                  <w:bCs/>
                                  <w:color w:val="FFFFFF"/>
                                  <w:sz w:val="20"/>
                                </w:rPr>
                                <w:t>Real</w:t>
                              </w:r>
                            </w:p>
                          </w:txbxContent>
                        </wps:txbx>
                        <wps:bodyPr rot="0" vert="horz" wrap="none" lIns="0" tIns="0" rIns="0" bIns="0" anchor="t" anchorCtr="0" upright="1">
                          <a:spAutoFit/>
                        </wps:bodyPr>
                      </wps:wsp>
                      <wps:wsp>
                        <wps:cNvPr id="3260" name="Rectangle 193"/>
                        <wps:cNvSpPr>
                          <a:spLocks noChangeArrowheads="1"/>
                        </wps:cNvSpPr>
                        <wps:spPr bwMode="auto">
                          <a:xfrm>
                            <a:off x="3164800" y="132652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13E50" w14:textId="77777777" w:rsidR="00847E53" w:rsidRDefault="00847E53" w:rsidP="001F04FD">
                              <w:r>
                                <w:rPr>
                                  <w:rFonts w:ascii="Arial" w:hAnsi="Arial" w:cs="Arial"/>
                                  <w:b/>
                                  <w:bCs/>
                                  <w:color w:val="FFFFFF"/>
                                  <w:sz w:val="20"/>
                                </w:rPr>
                                <w:t>-</w:t>
                              </w:r>
                            </w:p>
                          </w:txbxContent>
                        </wps:txbx>
                        <wps:bodyPr rot="0" vert="horz" wrap="none" lIns="0" tIns="0" rIns="0" bIns="0" anchor="t" anchorCtr="0" upright="1">
                          <a:spAutoFit/>
                        </wps:bodyPr>
                      </wps:wsp>
                      <wps:wsp>
                        <wps:cNvPr id="3261" name="Rectangle 194"/>
                        <wps:cNvSpPr>
                          <a:spLocks noChangeArrowheads="1"/>
                        </wps:cNvSpPr>
                        <wps:spPr bwMode="auto">
                          <a:xfrm>
                            <a:off x="3204800" y="1326525"/>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11588" w14:textId="77777777" w:rsidR="00847E53" w:rsidRDefault="00847E53" w:rsidP="001F04FD">
                              <w:r>
                                <w:rPr>
                                  <w:rFonts w:ascii="Arial" w:hAnsi="Arial" w:cs="Arial"/>
                                  <w:b/>
                                  <w:bCs/>
                                  <w:color w:val="FFFFFF"/>
                                  <w:sz w:val="20"/>
                                </w:rPr>
                                <w:t xml:space="preserve">Time </w:t>
                              </w:r>
                            </w:p>
                          </w:txbxContent>
                        </wps:txbx>
                        <wps:bodyPr rot="0" vert="horz" wrap="none" lIns="0" tIns="0" rIns="0" bIns="0" anchor="t" anchorCtr="0" upright="1">
                          <a:spAutoFit/>
                        </wps:bodyPr>
                      </wps:wsp>
                      <wps:wsp>
                        <wps:cNvPr id="3262" name="Rectangle 195"/>
                        <wps:cNvSpPr>
                          <a:spLocks noChangeArrowheads="1"/>
                        </wps:cNvSpPr>
                        <wps:spPr bwMode="auto">
                          <a:xfrm>
                            <a:off x="2896900" y="1471327"/>
                            <a:ext cx="670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5656B" w14:textId="77777777" w:rsidR="00847E53" w:rsidRDefault="00847E53" w:rsidP="001F04FD">
                              <w:r>
                                <w:rPr>
                                  <w:rFonts w:ascii="Arial" w:hAnsi="Arial" w:cs="Arial"/>
                                  <w:b/>
                                  <w:bCs/>
                                  <w:color w:val="FFFFFF"/>
                                  <w:sz w:val="20"/>
                                </w:rPr>
                                <w:t>Operations</w:t>
                              </w:r>
                            </w:p>
                          </w:txbxContent>
                        </wps:txbx>
                        <wps:bodyPr rot="0" vert="horz" wrap="none" lIns="0" tIns="0" rIns="0" bIns="0" anchor="t" anchorCtr="0" upright="1">
                          <a:spAutoFit/>
                        </wps:bodyPr>
                      </wps:wsp>
                      <wpg:wgp>
                        <wpg:cNvPr id="3263" name="Group 196"/>
                        <wpg:cNvGrpSpPr>
                          <a:grpSpLocks/>
                        </wpg:cNvGrpSpPr>
                        <wpg:grpSpPr bwMode="auto">
                          <a:xfrm>
                            <a:off x="2331000" y="521310"/>
                            <a:ext cx="1607200" cy="522010"/>
                            <a:chOff x="5552" y="2851"/>
                            <a:chExt cx="2531" cy="822"/>
                          </a:xfrm>
                        </wpg:grpSpPr>
                        <wps:wsp>
                          <wps:cNvPr id="3264"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66" name="Rectangle 199"/>
                        <wps:cNvSpPr>
                          <a:spLocks noChangeArrowheads="1"/>
                        </wps:cNvSpPr>
                        <wps:spPr bwMode="auto">
                          <a:xfrm>
                            <a:off x="2812400" y="617212"/>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C0BD5" w14:textId="77777777" w:rsidR="00847E53" w:rsidRDefault="00847E53" w:rsidP="001F04FD">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67"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201"/>
                        <wps:cNvSpPr>
                          <a:spLocks noChangeArrowheads="1"/>
                        </wps:cNvSpPr>
                        <wps:spPr bwMode="auto">
                          <a:xfrm>
                            <a:off x="2351400" y="729614"/>
                            <a:ext cx="12299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BBE0C" w14:textId="00540EAE" w:rsidR="00847E53" w:rsidRDefault="00847E53" w:rsidP="001F04FD">
                              <w:r>
                                <w:rPr>
                                  <w:rFonts w:ascii="Arial" w:hAnsi="Arial" w:cs="Arial"/>
                                  <w:b/>
                                  <w:bCs/>
                                  <w:color w:val="FFFFFF"/>
                                  <w:sz w:val="14"/>
                                  <w:szCs w:val="14"/>
                                </w:rPr>
                                <w:t xml:space="preserve">Update Output Schedules for </w:t>
                              </w:r>
                            </w:p>
                          </w:txbxContent>
                        </wps:txbx>
                        <wps:bodyPr rot="0" vert="horz" wrap="none" lIns="0" tIns="0" rIns="0" bIns="0" anchor="t" anchorCtr="0" upright="1">
                          <a:spAutoFit/>
                        </wps:bodyPr>
                      </wps:wsp>
                      <wps:wsp>
                        <wps:cNvPr id="3269" name="Rectangle 202"/>
                        <wps:cNvSpPr>
                          <a:spLocks noChangeArrowheads="1"/>
                        </wps:cNvSpPr>
                        <wps:spPr bwMode="auto">
                          <a:xfrm>
                            <a:off x="3669700" y="729614"/>
                            <a:ext cx="2374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555A3" w14:textId="7CD373A6" w:rsidR="00847E53" w:rsidRDefault="00847E53" w:rsidP="001F04FD">
                              <w:r>
                                <w:rPr>
                                  <w:rFonts w:ascii="Arial" w:hAnsi="Arial" w:cs="Arial"/>
                                  <w:b/>
                                  <w:bCs/>
                                  <w:color w:val="FFFFFF"/>
                                  <w:sz w:val="14"/>
                                  <w:szCs w:val="14"/>
                                </w:rPr>
                                <w:t>DSRs</w:t>
                              </w:r>
                            </w:p>
                          </w:txbxContent>
                        </wps:txbx>
                        <wps:bodyPr rot="0" vert="horz" wrap="none" lIns="0" tIns="0" rIns="0" bIns="0" anchor="t" anchorCtr="0" upright="1">
                          <a:spAutoFit/>
                        </wps:bodyPr>
                      </wps:wsp>
                      <wps:wsp>
                        <wps:cNvPr id="3270" name="Rectangle 203"/>
                        <wps:cNvSpPr>
                          <a:spLocks noChangeArrowheads="1"/>
                        </wps:cNvSpPr>
                        <wps:spPr bwMode="auto">
                          <a:xfrm>
                            <a:off x="2548900" y="841416"/>
                            <a:ext cx="11118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1990A" w14:textId="047A96DF" w:rsidR="00847E53" w:rsidRDefault="00847E53" w:rsidP="001F04FD">
                              <w:r>
                                <w:rPr>
                                  <w:rFonts w:ascii="Arial" w:hAnsi="Arial" w:cs="Arial"/>
                                  <w:b/>
                                  <w:bCs/>
                                  <w:color w:val="FFFFFF"/>
                                  <w:sz w:val="14"/>
                                  <w:szCs w:val="14"/>
                                </w:rPr>
                                <w:t>Provide SCADA Telemetry</w:t>
                              </w:r>
                            </w:p>
                          </w:txbxContent>
                        </wps:txbx>
                        <wps:bodyPr rot="0" vert="horz" wrap="none" lIns="0" tIns="0" rIns="0" bIns="0" anchor="t" anchorCtr="0" upright="1">
                          <a:spAutoFit/>
                        </wps:bodyPr>
                      </wps:wsp>
                      <wpg:wgp>
                        <wpg:cNvPr id="3271" name="Group 204"/>
                        <wpg:cNvGrpSpPr>
                          <a:grpSpLocks/>
                        </wpg:cNvGrpSpPr>
                        <wpg:grpSpPr bwMode="auto">
                          <a:xfrm>
                            <a:off x="1365800" y="2929855"/>
                            <a:ext cx="965200" cy="481409"/>
                            <a:chOff x="4032" y="6644"/>
                            <a:chExt cx="1520" cy="758"/>
                          </a:xfrm>
                        </wpg:grpSpPr>
                        <wps:wsp>
                          <wps:cNvPr id="327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74" name="Rectangle 207"/>
                        <wps:cNvSpPr>
                          <a:spLocks noChangeArrowheads="1"/>
                        </wps:cNvSpPr>
                        <wps:spPr bwMode="auto">
                          <a:xfrm>
                            <a:off x="14872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537DA" w14:textId="77777777" w:rsidR="00847E53" w:rsidRDefault="00847E53" w:rsidP="001F04FD">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7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209"/>
                        <wps:cNvSpPr>
                          <a:spLocks noChangeArrowheads="1"/>
                        </wps:cNvSpPr>
                        <wps:spPr bwMode="auto">
                          <a:xfrm>
                            <a:off x="1539200" y="3101958"/>
                            <a:ext cx="5880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8F5BC" w14:textId="77777777" w:rsidR="00847E53" w:rsidRDefault="00847E53" w:rsidP="001F04FD">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277" name="Rectangle 210"/>
                        <wps:cNvSpPr>
                          <a:spLocks noChangeArrowheads="1"/>
                        </wps:cNvSpPr>
                        <wps:spPr bwMode="auto">
                          <a:xfrm>
                            <a:off x="1388100" y="3214360"/>
                            <a:ext cx="8743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54134" w14:textId="77777777" w:rsidR="00847E53" w:rsidRDefault="00847E53" w:rsidP="001F04FD">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27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C95629B" id="Canvas 448" o:spid="_x0000_s1026" editas="canvas" style="position:absolute;margin-left:13.4pt;margin-top:14.45pt;width:423pt;height:273.95pt;z-index:251651072"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721;height:34791;visibility:visible;mso-wrap-style:square">
                  <v:fill o:detectmouseclick="t"/>
                  <v:path o:connecttype="none"/>
                </v:shape>
                <v:group id="Group 117" o:spid="_x0000_s1028" style="position:absolute;left:800;top:8826;width:52654;height:15653" coordorigin="2007,3420"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">
                  <v:shape id="Freeform 118" o:spid="_x0000_s1029"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" path="m6219,r,616l,616,,1849r6219,l6219,2465,8292,1233,6219,xe" fillcolor="#bbe0e3" stroked="f">
                    <v:path arrowok="t" o:connecttype="custom" o:connectlocs="6219,0;6219,616;0,616;0,1849;6219,1849;6219,2465;8292,1233;6219,0" o:connectangles="0,0,0,0,0,0,0,0"/>
                  </v:shape>
                  <v:shape id="Freeform 119" o:spid="_x0000_s1030"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031" style="position:absolute;left:9277;top:13239;width:16040;height:2813" coordorigin="3342,4115" coordsize="25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">
                  <v:shape id="Freeform 121" o:spid="_x0000_s1032"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" path="m466,c209,,,209,,467l,2334v,258,209,466,466,466l15500,2800v258,,466,-208,466,-466l15966,467c15966,209,15758,,15500,l466,xe" fillcolor="#339" strokeweight="0">
                    <v:path arrowok="t" o:connecttype="custom" o:connectlocs="2,0;0,2;0,9;2,11;61,11;63,9;63,2;61,0;2,0" o:connectangles="0,0,0,0,0,0,0,0,0"/>
                  </v:shape>
                  <v:shape id="Freeform 122" o:spid="_x0000_s1033"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034" style="position:absolute;left:12979;top:13265;width:91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" filled="f" stroked="f">
                  <v:textbox style="mso-fit-shape-to-text:t" inset="0,0,0,0">
                    <w:txbxContent>
                      <w:p w14:paraId="45BB6AF8" w14:textId="77777777" w:rsidR="00847E53" w:rsidRDefault="00847E53" w:rsidP="001F04FD">
                        <w:r>
                          <w:rPr>
                            <w:rFonts w:ascii="Arial" w:hAnsi="Arial" w:cs="Arial"/>
                            <w:b/>
                            <w:bCs/>
                            <w:color w:val="FFFFFF"/>
                            <w:sz w:val="20"/>
                          </w:rPr>
                          <w:t>Preparation for</w:t>
                        </w:r>
                      </w:p>
                    </w:txbxContent>
                  </v:textbox>
                </v:rect>
                <v:rect id="Rectangle 124" o:spid="_x0000_s1035" style="position:absolute;left:13081;top:14713;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" filled="f" stroked="f">
                  <v:textbox style="mso-fit-shape-to-text:t" inset="0,0,0,0">
                    <w:txbxContent>
                      <w:p w14:paraId="1D07CA0F" w14:textId="77777777" w:rsidR="00847E53" w:rsidRDefault="00847E53" w:rsidP="001F04FD">
                        <w:r>
                          <w:rPr>
                            <w:rFonts w:ascii="Arial" w:hAnsi="Arial" w:cs="Arial"/>
                            <w:b/>
                            <w:bCs/>
                            <w:color w:val="FFFFFF"/>
                            <w:sz w:val="20"/>
                          </w:rPr>
                          <w:t>Real</w:t>
                        </w:r>
                      </w:p>
                    </w:txbxContent>
                  </v:textbox>
                </v:rect>
                <v:rect id="Rectangle 125" o:spid="_x0000_s1036" style="position:absolute;left:15621;top:14713;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" filled="f" stroked="f">
                  <v:textbox style="mso-fit-shape-to-text:t" inset="0,0,0,0">
                    <w:txbxContent>
                      <w:p w14:paraId="69A17011" w14:textId="77777777" w:rsidR="00847E53" w:rsidRDefault="00847E53" w:rsidP="001F04FD">
                        <w:r>
                          <w:rPr>
                            <w:rFonts w:ascii="Arial" w:hAnsi="Arial" w:cs="Arial"/>
                            <w:b/>
                            <w:bCs/>
                            <w:color w:val="FFFFFF"/>
                            <w:sz w:val="20"/>
                          </w:rPr>
                          <w:t>-</w:t>
                        </w:r>
                      </w:p>
                    </w:txbxContent>
                  </v:textbox>
                </v:rect>
                <v:rect id="Rectangle 126" o:spid="_x0000_s1037" style="position:absolute;left:16021;top:14713;width:579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" filled="f" stroked="f">
                  <v:textbox style="mso-fit-shape-to-text:t" inset="0,0,0,0">
                    <w:txbxContent>
                      <w:p w14:paraId="6D958B6F" w14:textId="77777777" w:rsidR="00847E53" w:rsidRDefault="00847E53" w:rsidP="001F04FD">
                        <w:r>
                          <w:rPr>
                            <w:rFonts w:ascii="Arial" w:hAnsi="Arial" w:cs="Arial"/>
                            <w:b/>
                            <w:bCs/>
                            <w:color w:val="FFFFFF"/>
                            <w:sz w:val="20"/>
                          </w:rPr>
                          <w:t>Time Ops</w:t>
                        </w:r>
                      </w:p>
                    </w:txbxContent>
                  </v:textbox>
                </v:rect>
                <v:group id="Group 127" o:spid="_x0000_s1038" style="position:absolute;left:1606;top:13239;width:7233;height:6827" coordorigin="2134,4115" coordsize="113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P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QfU/h7E56AXD0BAAD//wMAUEsBAi0AFAAGAAgAAAAhANvh9svuAAAAhQEAABMAAAAAAAAA&#10;AAAAAAAAAAAAAFtDb250ZW50X1R5cGVzXS54bWxQSwECLQAUAAYACAAAACEAWvQsW78AAAAVAQAA&#10;CwAAAAAAAAAAAAAAAAAfAQAAX3JlbHMvLnJlbHNQSwECLQAUAAYACAAAACEAH/tz0sYAAADdAAAA&#10;DwAAAAAAAAAAAAAAAAAHAgAAZHJzL2Rvd25yZXYueG1sUEsFBgAAAAADAAMAtwAAAPoCAAAAAA==&#10;">
                  <v:shape id="Freeform 128" o:spid="_x0000_s1039"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040"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041" style="position:absolute;left:2210;top:15989;width:63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" filled="f" stroked="f">
                  <v:textbox style="mso-fit-shape-to-text:t" inset="0,0,0,0">
                    <w:txbxContent>
                      <w:p w14:paraId="008A1A59" w14:textId="77777777" w:rsidR="00847E53" w:rsidRDefault="00847E53" w:rsidP="001F04FD">
                        <w:r>
                          <w:rPr>
                            <w:rFonts w:ascii="Arial" w:hAnsi="Arial" w:cs="Arial"/>
                            <w:b/>
                            <w:bCs/>
                            <w:color w:val="FFFFFF"/>
                            <w:sz w:val="20"/>
                          </w:rPr>
                          <w:t>Adj Period</w:t>
                        </w:r>
                      </w:p>
                    </w:txbxContent>
                  </v:textbox>
                </v:rect>
                <v:rect id="Rectangle 131" o:spid="_x0000_s1042" style="position:absolute;left:483;top:23012;width:325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" filled="f" stroked="f">
                  <v:textbox style="mso-fit-shape-to-text:t" inset="0,0,0,0">
                    <w:txbxContent>
                      <w:p w14:paraId="1821AB2D" w14:textId="77777777" w:rsidR="00847E53" w:rsidRDefault="00847E53" w:rsidP="001F04FD">
                        <w:r>
                          <w:rPr>
                            <w:rFonts w:ascii="Arial" w:hAnsi="Arial" w:cs="Arial"/>
                            <w:b/>
                            <w:bCs/>
                            <w:color w:val="000000"/>
                            <w:sz w:val="20"/>
                          </w:rPr>
                          <w:t>18:00</w:t>
                        </w:r>
                      </w:p>
                    </w:txbxContent>
                  </v:textbox>
                </v:rect>
                <v:rect id="Rectangle 132" o:spid="_x0000_s1043" style="position:absolute;left:483;top:24460;width:134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" filled="f" stroked="f">
                  <v:textbox style="mso-fit-shape-to-text:t" inset="0,0,0,0">
                    <w:txbxContent>
                      <w:p w14:paraId="3AAA528B" w14:textId="77777777" w:rsidR="00847E53" w:rsidRDefault="00847E53" w:rsidP="001F04FD">
                        <w:r>
                          <w:rPr>
                            <w:rFonts w:ascii="Arial" w:hAnsi="Arial" w:cs="Arial"/>
                            <w:b/>
                            <w:bCs/>
                            <w:color w:val="000000"/>
                            <w:sz w:val="20"/>
                          </w:rPr>
                          <w:t xml:space="preserve">(D </w:t>
                        </w:r>
                      </w:p>
                    </w:txbxContent>
                  </v:textbox>
                </v:rect>
                <v:rect id="Rectangle 133" o:spid="_x0000_s1044" style="position:absolute;left:2089;top:24460;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" filled="f" stroked="f">
                  <v:textbox style="mso-fit-shape-to-text:t" inset="0,0,0,0">
                    <w:txbxContent>
                      <w:p w14:paraId="7234CF7F" w14:textId="77777777" w:rsidR="00847E53" w:rsidRDefault="00847E53" w:rsidP="001F04FD">
                        <w:r>
                          <w:rPr>
                            <w:rFonts w:ascii="Arial" w:hAnsi="Arial" w:cs="Arial"/>
                            <w:b/>
                            <w:bCs/>
                            <w:color w:val="000000"/>
                            <w:sz w:val="20"/>
                          </w:rPr>
                          <w:t>–</w:t>
                        </w:r>
                      </w:p>
                    </w:txbxContent>
                  </v:textbox>
                </v:rect>
                <v:rect id="Rectangle 134" o:spid="_x0000_s1045" style="position:absolute;left:3092;top:24460;width:113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" filled="f" stroked="f">
                  <v:textbox style="mso-fit-shape-to-text:t" inset="0,0,0,0">
                    <w:txbxContent>
                      <w:p w14:paraId="50FF814C" w14:textId="77777777" w:rsidR="00847E53" w:rsidRDefault="00847E53" w:rsidP="001F04FD">
                        <w:r>
                          <w:rPr>
                            <w:rFonts w:ascii="Arial" w:hAnsi="Arial" w:cs="Arial"/>
                            <w:b/>
                            <w:bCs/>
                            <w:color w:val="000000"/>
                            <w:sz w:val="20"/>
                          </w:rPr>
                          <w:t>1)</w:t>
                        </w:r>
                      </w:p>
                    </w:txbxContent>
                  </v:textbox>
                </v:rect>
                <v:rect id="Rectangle 135" o:spid="_x0000_s1046" style="position:absolute;left:5525;top:23164;width:65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" filled="f" stroked="f">
                  <v:textbox style="mso-fit-shape-to-text:t" inset="0,0,0,0">
                    <w:txbxContent>
                      <w:p w14:paraId="09939442" w14:textId="77777777" w:rsidR="00847E53" w:rsidRDefault="00847E53" w:rsidP="001F04FD">
                        <w:r>
                          <w:rPr>
                            <w:rFonts w:ascii="Arial" w:hAnsi="Arial" w:cs="Arial"/>
                            <w:b/>
                            <w:bCs/>
                            <w:color w:val="000000"/>
                            <w:sz w:val="20"/>
                          </w:rPr>
                          <w:t>60 Minutes</w:t>
                        </w:r>
                      </w:p>
                    </w:txbxContent>
                  </v:textbox>
                </v:rect>
                <v:rect id="Rectangle 136" o:spid="_x0000_s1047" style="position:absolute;left:6490;top:24618;width:452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" filled="f" stroked="f">
                  <v:textbox style="mso-fit-shape-to-text:t" inset="0,0,0,0">
                    <w:txbxContent>
                      <w:p w14:paraId="32813B92" w14:textId="77777777" w:rsidR="00847E53" w:rsidRDefault="00847E53" w:rsidP="001F04FD">
                        <w:r>
                          <w:rPr>
                            <w:rFonts w:ascii="Arial" w:hAnsi="Arial" w:cs="Arial"/>
                            <w:b/>
                            <w:bCs/>
                            <w:color w:val="000000"/>
                            <w:sz w:val="20"/>
                          </w:rPr>
                          <w:t>Prior to</w:t>
                        </w:r>
                      </w:p>
                    </w:txbxContent>
                  </v:textbox>
                </v:rect>
                <v:rect id="Rectangle 137" o:spid="_x0000_s1048" style="position:absolute;left:6223;top:26066;width:508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" filled="f" stroked="f">
                  <v:textbox style="mso-fit-shape-to-text:t" inset="0,0,0,0">
                    <w:txbxContent>
                      <w:p w14:paraId="334BEFF7" w14:textId="77777777" w:rsidR="00847E53" w:rsidRDefault="00847E53" w:rsidP="001F04FD">
                        <w:r>
                          <w:rPr>
                            <w:rFonts w:ascii="Arial" w:hAnsi="Arial" w:cs="Arial"/>
                            <w:b/>
                            <w:bCs/>
                            <w:color w:val="000000"/>
                            <w:sz w:val="20"/>
                          </w:rPr>
                          <w:t>Op Hour</w:t>
                        </w:r>
                      </w:p>
                    </w:txbxContent>
                  </v:textbox>
                </v:rect>
                <v:group id="Group 138" o:spid="_x0000_s1049" style="position:absolute;left:2025;top:3606;width:14065;height:6827" coordorigin="2197,2598" coordsize="2215,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">
                  <v:rect id="Rectangle 139" o:spid="_x0000_s1050"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" fillcolor="#936" stroked="f"/>
                  <v:rect id="Rectangle 140" o:spid="_x0000_s1051"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" filled="f" strokeweight="22e-5mm">
                    <v:stroke endcap="round"/>
                  </v:rect>
                </v:group>
                <v:rect id="Rectangle 141" o:spid="_x0000_s1052" style="position:absolute;left:5823;top:4254;width:612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" filled="f" stroked="f">
                  <v:textbox style="mso-fit-shape-to-text:t" inset="0,0,0,0">
                    <w:txbxContent>
                      <w:p w14:paraId="05F81291" w14:textId="77777777" w:rsidR="00847E53" w:rsidRDefault="00847E53" w:rsidP="001F04FD">
                        <w:r>
                          <w:rPr>
                            <w:rFonts w:ascii="Arial" w:hAnsi="Arial" w:cs="Arial"/>
                            <w:b/>
                            <w:bCs/>
                            <w:color w:val="FFFFFF"/>
                            <w:sz w:val="14"/>
                            <w:szCs w:val="14"/>
                          </w:rPr>
                          <w:t>QSE Deadline:</w:t>
                        </w:r>
                      </w:p>
                    </w:txbxContent>
                  </v:textbox>
                </v:rect>
                <v:rect id="Rectangle 142" o:spid="_x0000_s1053" style="position:absolute;left:5822;top:5226;width:645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" stroked="f"/>
                <v:rect id="Rectangle 143" o:spid="_x0000_s1054" style="position:absolute;left:2623;top:5467;width:1314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" filled="f" stroked="f">
                  <v:textbox style="mso-fit-shape-to-text:t" inset="0,0,0,0">
                    <w:txbxContent>
                      <w:p w14:paraId="5471EA6C" w14:textId="77777777" w:rsidR="00847E53" w:rsidRDefault="00847E53" w:rsidP="001F04FD">
                        <w:r>
                          <w:rPr>
                            <w:rFonts w:ascii="Arial" w:hAnsi="Arial" w:cs="Arial"/>
                            <w:b/>
                            <w:bCs/>
                            <w:color w:val="FFFFFF"/>
                            <w:sz w:val="14"/>
                            <w:szCs w:val="14"/>
                          </w:rPr>
                          <w:t>Update Energy Bids and Offers</w:t>
                        </w:r>
                      </w:p>
                    </w:txbxContent>
                  </v:textbox>
                </v:rect>
                <v:rect id="Rectangle 144" o:spid="_x0000_s1055" style="position:absolute;left:4464;top:6490;width:869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" filled="f" stroked="f">
                  <v:textbox style="mso-fit-shape-to-text:t" inset="0,0,0,0">
                    <w:txbxContent>
                      <w:p w14:paraId="40EF7C01" w14:textId="77777777" w:rsidR="00847E53" w:rsidRDefault="00847E53" w:rsidP="001F04FD">
                        <w:r>
                          <w:rPr>
                            <w:rFonts w:ascii="Arial" w:hAnsi="Arial" w:cs="Arial"/>
                            <w:b/>
                            <w:bCs/>
                            <w:color w:val="FFFFFF"/>
                            <w:sz w:val="14"/>
                            <w:szCs w:val="14"/>
                          </w:rPr>
                          <w:t>Submit HRUC Offers</w:t>
                        </w:r>
                      </w:p>
                    </w:txbxContent>
                  </v:textbox>
                </v:rect>
                <v:rect id="Rectangle 145" o:spid="_x0000_s1056" style="position:absolute;left:3334;top:7607;width:1087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" filled="f" stroked="f">
                  <v:textbox style="mso-fit-shape-to-text:t" inset="0,0,0,0">
                    <w:txbxContent>
                      <w:p w14:paraId="2BC3B42B" w14:textId="77777777" w:rsidR="00847E53" w:rsidRDefault="00847E53" w:rsidP="001F04FD">
                        <w:r>
                          <w:rPr>
                            <w:rFonts w:ascii="Arial" w:hAnsi="Arial" w:cs="Arial"/>
                            <w:b/>
                            <w:bCs/>
                            <w:color w:val="FFFFFF"/>
                            <w:sz w:val="14"/>
                            <w:szCs w:val="14"/>
                          </w:rPr>
                          <w:t>Update Output Schedules</w:t>
                        </w:r>
                      </w:p>
                    </w:txbxContent>
                  </v:textbox>
                </v:rect>
                <v:rect id="Rectangle 146" o:spid="_x0000_s1057" style="position:absolute;left:2026;top:8731;width:1072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" filled="f" stroked="f">
                  <v:textbox style="mso-fit-shape-to-text:t" inset="0,0,0,0">
                    <w:txbxContent>
                      <w:p w14:paraId="6EFDBF82" w14:textId="45439C2C" w:rsidR="00847E53" w:rsidRDefault="00847E53" w:rsidP="001F04FD">
                        <w:r>
                          <w:rPr>
                            <w:rFonts w:ascii="Arial" w:hAnsi="Arial" w:cs="Arial"/>
                            <w:b/>
                            <w:bCs/>
                            <w:color w:val="FFFFFF"/>
                            <w:sz w:val="14"/>
                            <w:szCs w:val="14"/>
                          </w:rPr>
                          <w:t xml:space="preserve">Update Inc/Dec Offers for </w:t>
                        </w:r>
                      </w:p>
                    </w:txbxContent>
                  </v:textbox>
                </v:rect>
                <v:rect id="Rectangle 147" o:spid="_x0000_s1058" style="position:absolute;left:13564;top:8731;width:237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" filled="f" stroked="f">
                  <v:textbox style="mso-fit-shape-to-text:t" inset="0,0,0,0">
                    <w:txbxContent>
                      <w:p w14:paraId="419B540A" w14:textId="4DCB1F3F" w:rsidR="00847E53" w:rsidRDefault="00847E53" w:rsidP="001F04FD">
                        <w:r>
                          <w:rPr>
                            <w:rFonts w:ascii="Arial" w:hAnsi="Arial" w:cs="Arial"/>
                            <w:b/>
                            <w:bCs/>
                            <w:color w:val="FFFFFF"/>
                            <w:sz w:val="14"/>
                            <w:szCs w:val="14"/>
                          </w:rPr>
                          <w:t>DSRs</w:t>
                        </w:r>
                      </w:p>
                    </w:txbxContent>
                  </v:textbox>
                </v:rect>
                <v:group id="Group 148" o:spid="_x0000_s1059" style="position:absolute;left:24110;top:27292;width:14472;height:6820" coordorigin="5678,6328" coordsize="2279,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bRv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LOIX/N+EJyM0fAAAA//8DAFBLAQItABQABgAIAAAAIQDb4fbL7gAAAIUBAAATAAAAAAAA&#10;AAAAAAAAAAAAAABbQ29udGVudF9UeXBlc10ueG1sUEsBAi0AFAAGAAgAAAAhAFr0LFu/AAAAFQEA&#10;AAsAAAAAAAAAAAAAAAAAHwEAAF9yZWxzLy5yZWxzUEsBAi0AFAAGAAgAAAAhAMZBtG/HAAAA3QAA&#10;AA8AAAAAAAAAAAAAAAAABwIAAGRycy9kb3ducmV2LnhtbFBLBQYAAAAAAwADALcAAAD7AgAAAAA=&#10;">
                  <v:rect id="Rectangle 149" o:spid="_x0000_s1060"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" fillcolor="silver" stroked="f"/>
                  <v:rect id="Rectangle 150" o:spid="_x0000_s1061"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" filled="f" strokeweight="22e-5mm">
                    <v:stroke endcap="round"/>
                  </v:rect>
                </v:group>
                <v:rect id="Rectangle 151" o:spid="_x0000_s1062" style="position:absolute;left:27730;top:27774;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" filled="f" stroked="f">
                  <v:textbox style="mso-fit-shape-to-text:t" inset="0,0,0,0">
                    <w:txbxContent>
                      <w:p w14:paraId="6CA99AF2" w14:textId="77777777" w:rsidR="00847E53" w:rsidRDefault="00847E53" w:rsidP="001F04FD">
                        <w:r>
                          <w:rPr>
                            <w:rFonts w:ascii="Arial" w:hAnsi="Arial" w:cs="Arial"/>
                            <w:b/>
                            <w:bCs/>
                            <w:color w:val="000000"/>
                            <w:sz w:val="14"/>
                            <w:szCs w:val="14"/>
                          </w:rPr>
                          <w:t>ERCOT Activity:</w:t>
                        </w:r>
                      </w:p>
                    </w:txbxContent>
                  </v:textbox>
                </v:rect>
                <v:rect id="Rectangle 152" o:spid="_x0000_s1063" style="position:absolute;left:27730;top:28746;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" fillcolor="black" stroked="f"/>
                <v:rect id="Rectangle 153" o:spid="_x0000_s1064" style="position:absolute;left:25578;top:28892;width:1097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" filled="f" stroked="f">
                  <v:textbox style="mso-fit-shape-to-text:t" inset="0,0,0,0">
                    <w:txbxContent>
                      <w:p w14:paraId="3795098C" w14:textId="77777777" w:rsidR="00847E53" w:rsidRDefault="00847E53" w:rsidP="001F04FD">
                        <w:r>
                          <w:rPr>
                            <w:rFonts w:ascii="Arial" w:hAnsi="Arial" w:cs="Arial"/>
                            <w:b/>
                            <w:bCs/>
                            <w:color w:val="000000"/>
                            <w:sz w:val="14"/>
                            <w:szCs w:val="14"/>
                          </w:rPr>
                          <w:t>LFC Process every 4 secs</w:t>
                        </w:r>
                      </w:p>
                    </w:txbxContent>
                  </v:textbox>
                </v:rect>
                <v:rect id="Rectangle 154" o:spid="_x0000_s1065" style="position:absolute;left:25152;top:30016;width:944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" filled="f" stroked="f">
                  <v:textbox style="mso-fit-shape-to-text:t" inset="0,0,0,0">
                    <w:txbxContent>
                      <w:p w14:paraId="5BC6F9E6" w14:textId="77777777" w:rsidR="00847E53" w:rsidRDefault="00847E53" w:rsidP="001F04FD">
                        <w:r>
                          <w:rPr>
                            <w:rFonts w:ascii="Arial" w:hAnsi="Arial" w:cs="Arial"/>
                            <w:b/>
                            <w:bCs/>
                            <w:color w:val="000000"/>
                            <w:sz w:val="14"/>
                            <w:szCs w:val="14"/>
                          </w:rPr>
                          <w:t xml:space="preserve">Execute SCED every 5 </w:t>
                        </w:r>
                      </w:p>
                    </w:txbxContent>
                  </v:textbox>
                </v:rect>
                <v:rect id="Rectangle 155" o:spid="_x0000_s1066" style="position:absolute;left:35350;top:30016;width:207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" filled="f" stroked="f">
                  <v:textbox style="mso-fit-shape-to-text:t" inset="0,0,0,0">
                    <w:txbxContent>
                      <w:p w14:paraId="419F717A" w14:textId="77777777" w:rsidR="00847E53" w:rsidRDefault="00847E53" w:rsidP="001F04FD">
                        <w:r>
                          <w:rPr>
                            <w:rFonts w:ascii="Arial" w:hAnsi="Arial" w:cs="Arial"/>
                            <w:b/>
                            <w:bCs/>
                            <w:color w:val="000000"/>
                            <w:sz w:val="14"/>
                            <w:szCs w:val="14"/>
                          </w:rPr>
                          <w:t>mins</w:t>
                        </w:r>
                      </w:p>
                    </w:txbxContent>
                  </v:textbox>
                </v:rect>
                <v:rect id="Rectangle 156" o:spid="_x0000_s1067" style="position:absolute;left:25457;top:31140;width:1121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" filled="f" stroked="f">
                  <v:textbox style="mso-fit-shape-to-text:t" inset="0,0,0,0">
                    <w:txbxContent>
                      <w:p w14:paraId="223E7038" w14:textId="77777777" w:rsidR="00847E53" w:rsidRDefault="00847E53" w:rsidP="001F04FD">
                        <w:r>
                          <w:rPr>
                            <w:rFonts w:ascii="Arial" w:hAnsi="Arial" w:cs="Arial"/>
                            <w:b/>
                            <w:bCs/>
                            <w:color w:val="000000"/>
                            <w:sz w:val="14"/>
                            <w:szCs w:val="14"/>
                          </w:rPr>
                          <w:t>Communicate Instructions</w:t>
                        </w:r>
                      </w:p>
                    </w:txbxContent>
                  </v:textbox>
                </v:rect>
                <v:rect id="Rectangle 157" o:spid="_x0000_s1068" style="position:absolute;left:29477;top:32251;width:356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" filled="f" stroked="f">
                  <v:textbox style="mso-fit-shape-to-text:t" inset="0,0,0,0">
                    <w:txbxContent>
                      <w:p w14:paraId="24539725" w14:textId="77777777" w:rsidR="00847E53" w:rsidRDefault="00847E53" w:rsidP="001F04FD">
                        <w:r>
                          <w:rPr>
                            <w:rFonts w:ascii="Arial" w:hAnsi="Arial" w:cs="Arial"/>
                            <w:b/>
                            <w:bCs/>
                            <w:color w:val="000000"/>
                            <w:sz w:val="14"/>
                            <w:szCs w:val="14"/>
                          </w:rPr>
                          <w:t>&amp; Prices</w:t>
                        </w:r>
                      </w:p>
                    </w:txbxContent>
                  </v:textbox>
                </v:rect>
                <v:group id="Group 158" o:spid="_x0000_s1069" style="position:absolute;left:3213;top:29298;width:9645;height:4814" coordorigin="2387,6644" coordsize="151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">
                  <v:rect id="Rectangle 159" o:spid="_x0000_s1070"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" fillcolor="silver" stroked="f"/>
                  <v:rect id="Rectangle 160" o:spid="_x0000_s1071"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" filled="f" strokeweight="22e-5mm">
                    <v:stroke endcap="round"/>
                  </v:rect>
                </v:group>
                <v:rect id="Rectangle 161" o:spid="_x0000_s1072" style="position:absolute;left:4420;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" filled="f" stroked="f">
                  <v:textbox style="mso-fit-shape-to-text:t" inset="0,0,0,0">
                    <w:txbxContent>
                      <w:p w14:paraId="0ECFF3A1" w14:textId="77777777" w:rsidR="00847E53" w:rsidRDefault="00847E53" w:rsidP="001F04FD">
                        <w:r>
                          <w:rPr>
                            <w:rFonts w:ascii="Arial" w:hAnsi="Arial" w:cs="Arial"/>
                            <w:b/>
                            <w:bCs/>
                            <w:color w:val="000000"/>
                            <w:sz w:val="14"/>
                            <w:szCs w:val="14"/>
                          </w:rPr>
                          <w:t>ERCOT Activity:</w:t>
                        </w:r>
                      </w:p>
                    </w:txbxContent>
                  </v:textbox>
                </v:rect>
                <v:rect id="Rectangle 162" o:spid="_x0000_s1073" style="position:absolute;left:4419;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" fillcolor="black" stroked="f"/>
                <v:rect id="Rectangle 163" o:spid="_x0000_s1074" style="position:absolute;left:3785;top:31019;width:785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" filled="f" stroked="f">
                  <v:textbox style="mso-fit-shape-to-text:t" inset="0,0,0,0">
                    <w:txbxContent>
                      <w:p w14:paraId="622717B2" w14:textId="77777777" w:rsidR="00847E53" w:rsidRDefault="00847E53" w:rsidP="001F04FD">
                        <w:r>
                          <w:rPr>
                            <w:rFonts w:ascii="Arial" w:hAnsi="Arial" w:cs="Arial"/>
                            <w:b/>
                            <w:bCs/>
                            <w:color w:val="000000"/>
                            <w:sz w:val="14"/>
                            <w:szCs w:val="14"/>
                          </w:rPr>
                          <w:t xml:space="preserve">Snapshot Inputs &amp; </w:t>
                        </w:r>
                      </w:p>
                    </w:txbxContent>
                  </v:textbox>
                </v:rect>
                <v:rect id="Rectangle 164" o:spid="_x0000_s1075" style="position:absolute;left:4756;top:32143;width:622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" filled="f" stroked="f">
                  <v:textbox style="mso-fit-shape-to-text:t" inset="0,0,0,0">
                    <w:txbxContent>
                      <w:p w14:paraId="6F0E40E0" w14:textId="77777777" w:rsidR="00847E53" w:rsidRDefault="00847E53" w:rsidP="001F04FD">
                        <w:r>
                          <w:rPr>
                            <w:rFonts w:ascii="Arial" w:hAnsi="Arial" w:cs="Arial"/>
                            <w:b/>
                            <w:bCs/>
                            <w:color w:val="000000"/>
                            <w:sz w:val="14"/>
                            <w:szCs w:val="14"/>
                          </w:rPr>
                          <w:t>Execute HRUC</w:t>
                        </w:r>
                      </w:p>
                    </w:txbxContent>
                  </v:textbox>
                </v:rect>
                <v:shape id="Freeform 165" o:spid="_x0000_s1076" style="position:absolute;left:9042;top:10433;width:400;height:1606;visibility:visible;mso-wrap-style:square;v-text-anchor:top" coordsize="6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077" style="position:absolute;left:31546;top:9626;width:400;height:2413;visibility:visible;mso-wrap-style:square;v-text-anchor:top" coordsize="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078" style="position:absolute;left:7835;top:28092;width:400;height:1206;visibility:visible;mso-wrap-style:square;v-text-anchor:top" coordsize="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079" style="position:absolute;left:31146;top:25285;width:400;height:2007;visibility:visible;mso-wrap-style:square;v-text-anchor:top" coordsize="6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080" style="position:absolute;left:9239;top:16452;width:29343;height:1607" coordorigin="3336,4621" coordsize="462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">
                  <v:shape id="Freeform 170" o:spid="_x0000_s1081"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" path="m134,c60,,,60,,134l,667v,74,60,133,134,133l14467,800v74,,133,-59,133,-133l14600,134c14600,60,14541,,14467,l134,xe" fillcolor="silver" strokeweight="0">
                    <v:path arrowok="t" o:connecttype="custom" o:connectlocs="4,0;0,4;0,21;4,25;459,25;463,21;463,4;459,0;4,0" o:connectangles="0,0,0,0,0,0,0,0,0"/>
                  </v:shape>
                  <v:shape id="Freeform 171" o:spid="_x0000_s1082"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083" style="position:absolute;left:19025;top:16599;width:1030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" filled="f" stroked="f">
                  <v:textbox style="mso-fit-shape-to-text:t" inset="0,0,0,0">
                    <w:txbxContent>
                      <w:p w14:paraId="57696189" w14:textId="77777777" w:rsidR="00847E53" w:rsidRDefault="00847E53" w:rsidP="001F04FD">
                        <w:r>
                          <w:rPr>
                            <w:rFonts w:ascii="Arial" w:hAnsi="Arial" w:cs="Arial"/>
                            <w:b/>
                            <w:bCs/>
                            <w:color w:val="000000"/>
                            <w:sz w:val="20"/>
                          </w:rPr>
                          <w:t>Operating Period</w:t>
                        </w:r>
                      </w:p>
                    </w:txbxContent>
                  </v:textbox>
                </v:rect>
                <v:group id="Group 173" o:spid="_x0000_s1084" style="position:absolute;left:25317;top:18459;width:13265;height:1607" coordorigin="5868,4937" coordsize="208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">
                  <v:shape id="Freeform 174" o:spid="_x0000_s1085"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" path="m134,c60,,,60,,134l,667v,74,60,133,134,133l6467,800v74,,133,-59,133,-133l6600,134c6600,60,6541,,6467,l134,xe" fillcolor="silver" strokeweight="0">
                    <v:path arrowok="t" o:connecttype="custom" o:connectlocs="4,0;0,4;0,21;4,25;205,25;209,21;209,4;205,0;4,0" o:connectangles="0,0,0,0,0,0,0,0,0"/>
                  </v:shape>
                  <v:shape id="Freeform 175" o:spid="_x0000_s1086"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087" style="position:absolute;left:26899;top:18605;width:931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" filled="f" stroked="f">
                  <v:textbox style="mso-fit-shape-to-text:t" inset="0,0,0,0">
                    <w:txbxContent>
                      <w:p w14:paraId="393DEA3F" w14:textId="77777777" w:rsidR="00847E53" w:rsidRDefault="00847E53" w:rsidP="001F04FD">
                        <w:r>
                          <w:rPr>
                            <w:rFonts w:ascii="Arial" w:hAnsi="Arial" w:cs="Arial"/>
                            <w:b/>
                            <w:bCs/>
                            <w:color w:val="000000"/>
                            <w:sz w:val="20"/>
                          </w:rPr>
                          <w:t>Operating Hour</w:t>
                        </w:r>
                      </w:p>
                    </w:txbxContent>
                  </v:textbox>
                </v:rect>
                <v:line id="Line 177" o:spid="_x0000_s1088" style="position:absolute;visibility:visible;mso-wrap-style:square" from="25317,20466" to="25317,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" strokeweight="58e-5mm"/>
                <v:rect id="Rectangle 178" o:spid="_x0000_s1089" style="position:absolute;left:23698;top:23171;width:346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" filled="f" stroked="f">
                  <v:textbox style="mso-fit-shape-to-text:t" inset="0,0,0,0">
                    <w:txbxContent>
                      <w:p w14:paraId="00376638" w14:textId="77777777" w:rsidR="00847E53" w:rsidRDefault="00847E53" w:rsidP="001F04FD">
                        <w:r>
                          <w:rPr>
                            <w:rFonts w:ascii="Arial" w:hAnsi="Arial" w:cs="Arial"/>
                            <w:b/>
                            <w:bCs/>
                            <w:color w:val="000000"/>
                            <w:sz w:val="20"/>
                          </w:rPr>
                          <w:t>Clock</w:t>
                        </w:r>
                      </w:p>
                    </w:txbxContent>
                  </v:textbox>
                </v:rect>
                <v:rect id="Rectangle 179" o:spid="_x0000_s1090" style="position:absolute;left:23933;top:2462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" filled="f" stroked="f">
                  <v:textbox style="mso-fit-shape-to-text:t" inset="0,0,0,0">
                    <w:txbxContent>
                      <w:p w14:paraId="3BB42181" w14:textId="77777777" w:rsidR="00847E53" w:rsidRDefault="00847E53" w:rsidP="001F04FD">
                        <w:r>
                          <w:rPr>
                            <w:rFonts w:ascii="Arial" w:hAnsi="Arial" w:cs="Arial"/>
                            <w:b/>
                            <w:bCs/>
                            <w:color w:val="000000"/>
                            <w:sz w:val="20"/>
                          </w:rPr>
                          <w:t>Hour</w:t>
                        </w:r>
                      </w:p>
                    </w:txbxContent>
                  </v:textbox>
                </v:rect>
                <v:shape id="Freeform 180" o:spid="_x0000_s1091" style="position:absolute;left:25317;top:21266;width:13265;height:3213;visibility:visible;mso-wrap-style:square;v-text-anchor:top" coordsize="660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8439,20466" to="8439,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" strokeweight="58e-5mm"/>
                <v:line id="Line 182" o:spid="_x0000_s1093" style="position:absolute;visibility:visible;mso-wrap-style:square" from="2406,20466" to="2406,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" strokeweight="58e-5mm"/>
                <v:rect id="Rectangle 183" o:spid="_x0000_s1094" style="position:absolute;left:31026;top:20847;width:78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" filled="f" stroked="f">
                  <v:textbox style="mso-fit-shape-to-text:t" inset="0,0,0,0">
                    <w:txbxContent>
                      <w:p w14:paraId="34DF9373" w14:textId="77777777" w:rsidR="00847E53" w:rsidRDefault="00847E53" w:rsidP="001F04FD">
                        <w:r>
                          <w:rPr>
                            <w:rFonts w:ascii="Arial" w:hAnsi="Arial" w:cs="Arial"/>
                            <w:b/>
                            <w:bCs/>
                            <w:color w:val="000000"/>
                            <w:sz w:val="20"/>
                          </w:rPr>
                          <w:t>T</w:t>
                        </w:r>
                      </w:p>
                    </w:txbxContent>
                  </v:textbox>
                </v:rect>
                <v:shape id="Freeform 184" o:spid="_x0000_s1095" style="position:absolute;left:26123;top:21469;width:4420;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096" style="position:absolute;left:32150;top:21469;width:4419;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097" style="position:absolute;left:2489;top:387;width:2651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" filled="f" stroked="f">
                  <v:textbox style="mso-fit-shape-to-text:t" inset="0,0,0,0">
                    <w:txbxContent>
                      <w:p w14:paraId="2898753B" w14:textId="77777777" w:rsidR="00847E53" w:rsidRDefault="00847E53" w:rsidP="001F04FD">
                        <w:r>
                          <w:rPr>
                            <w:rFonts w:ascii="Arial" w:hAnsi="Arial" w:cs="Arial"/>
                            <w:b/>
                            <w:bCs/>
                            <w:color w:val="000000"/>
                            <w:sz w:val="34"/>
                            <w:szCs w:val="34"/>
                          </w:rPr>
                          <w:t>Adjustment Period &amp; Real</w:t>
                        </w:r>
                      </w:p>
                    </w:txbxContent>
                  </v:textbox>
                </v:rect>
                <v:rect id="Rectangle 187" o:spid="_x0000_s1098" style="position:absolute;left:28791;top:387;width:724;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" filled="f" stroked="f">
                  <v:textbox style="mso-fit-shape-to-text:t" inset="0,0,0,0">
                    <w:txbxContent>
                      <w:p w14:paraId="635F06F8" w14:textId="77777777" w:rsidR="00847E53" w:rsidRDefault="00847E53" w:rsidP="001F04FD">
                        <w:r>
                          <w:rPr>
                            <w:rFonts w:ascii="Arial" w:hAnsi="Arial" w:cs="Arial"/>
                            <w:b/>
                            <w:bCs/>
                            <w:color w:val="000000"/>
                            <w:sz w:val="34"/>
                            <w:szCs w:val="34"/>
                          </w:rPr>
                          <w:t>-</w:t>
                        </w:r>
                      </w:p>
                    </w:txbxContent>
                  </v:textbox>
                </v:rect>
                <v:rect id="Rectangle 188" o:spid="_x0000_s1099" style="position:absolute;left:29508;top:387;width:1703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" filled="f" stroked="f">
                  <v:textbox style="mso-fit-shape-to-text:t" inset="0,0,0,0">
                    <w:txbxContent>
                      <w:p w14:paraId="125B5288" w14:textId="77777777" w:rsidR="00847E53" w:rsidRDefault="00847E53" w:rsidP="001F04FD">
                        <w:r>
                          <w:rPr>
                            <w:rFonts w:ascii="Arial" w:hAnsi="Arial" w:cs="Arial"/>
                            <w:b/>
                            <w:bCs/>
                            <w:color w:val="000000"/>
                            <w:sz w:val="34"/>
                            <w:szCs w:val="34"/>
                          </w:rPr>
                          <w:t>Time Operations</w:t>
                        </w:r>
                      </w:p>
                    </w:txbxContent>
                  </v:textbox>
                </v:rect>
                <v:group id="Group 189" o:spid="_x0000_s1100" style="position:absolute;left:25717;top:13239;width:12865;height:2813" coordorigin="5931,4115" coordsize="20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">
                  <v:shape id="Freeform 190" o:spid="_x0000_s1101"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" path="m234,c105,,,105,,234r,933c,1296,105,1400,234,1400r5933,c6296,1400,6400,1296,6400,1167r,-933c6400,105,6296,,6167,l234,xe" fillcolor="#339" strokeweight="0">
                    <v:path arrowok="t" o:connecttype="custom" o:connectlocs="7,0;0,7;0,37;7,44;196,44;203,37;203,7;196,0;7,0" o:connectangles="0,0,0,0,0,0,0,0,0"/>
                  </v:shape>
                  <v:shape id="Freeform 191" o:spid="_x0000_s1102"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03" style="position:absolute;left:29108;top:13265;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" filled="f" stroked="f">
                  <v:textbox style="mso-fit-shape-to-text:t" inset="0,0,0,0">
                    <w:txbxContent>
                      <w:p w14:paraId="61FB1AB0" w14:textId="77777777" w:rsidR="00847E53" w:rsidRDefault="00847E53" w:rsidP="001F04FD">
                        <w:r>
                          <w:rPr>
                            <w:rFonts w:ascii="Arial" w:hAnsi="Arial" w:cs="Arial"/>
                            <w:b/>
                            <w:bCs/>
                            <w:color w:val="FFFFFF"/>
                            <w:sz w:val="20"/>
                          </w:rPr>
                          <w:t>Real</w:t>
                        </w:r>
                      </w:p>
                    </w:txbxContent>
                  </v:textbox>
                </v:rect>
                <v:rect id="Rectangle 193" o:spid="_x0000_s1104" style="position:absolute;left:31648;top:13265;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" filled="f" stroked="f">
                  <v:textbox style="mso-fit-shape-to-text:t" inset="0,0,0,0">
                    <w:txbxContent>
                      <w:p w14:paraId="01A13E50" w14:textId="77777777" w:rsidR="00847E53" w:rsidRDefault="00847E53" w:rsidP="001F04FD">
                        <w:r>
                          <w:rPr>
                            <w:rFonts w:ascii="Arial" w:hAnsi="Arial" w:cs="Arial"/>
                            <w:b/>
                            <w:bCs/>
                            <w:color w:val="FFFFFF"/>
                            <w:sz w:val="20"/>
                          </w:rPr>
                          <w:t>-</w:t>
                        </w:r>
                      </w:p>
                    </w:txbxContent>
                  </v:textbox>
                </v:rect>
                <v:rect id="Rectangle 194" o:spid="_x0000_s1105" style="position:absolute;left:32048;top:1326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" filled="f" stroked="f">
                  <v:textbox style="mso-fit-shape-to-text:t" inset="0,0,0,0">
                    <w:txbxContent>
                      <w:p w14:paraId="32511588" w14:textId="77777777" w:rsidR="00847E53" w:rsidRDefault="00847E53" w:rsidP="001F04FD">
                        <w:r>
                          <w:rPr>
                            <w:rFonts w:ascii="Arial" w:hAnsi="Arial" w:cs="Arial"/>
                            <w:b/>
                            <w:bCs/>
                            <w:color w:val="FFFFFF"/>
                            <w:sz w:val="20"/>
                          </w:rPr>
                          <w:t xml:space="preserve">Time </w:t>
                        </w:r>
                      </w:p>
                    </w:txbxContent>
                  </v:textbox>
                </v:rect>
                <v:rect id="Rectangle 195" o:spid="_x0000_s1106" style="position:absolute;left:28969;top:14713;width:67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" filled="f" stroked="f">
                  <v:textbox style="mso-fit-shape-to-text:t" inset="0,0,0,0">
                    <w:txbxContent>
                      <w:p w14:paraId="6AB5656B" w14:textId="77777777" w:rsidR="00847E53" w:rsidRDefault="00847E53" w:rsidP="001F04FD">
                        <w:r>
                          <w:rPr>
                            <w:rFonts w:ascii="Arial" w:hAnsi="Arial" w:cs="Arial"/>
                            <w:b/>
                            <w:bCs/>
                            <w:color w:val="FFFFFF"/>
                            <w:sz w:val="20"/>
                          </w:rPr>
                          <w:t>Operations</w:t>
                        </w:r>
                      </w:p>
                    </w:txbxContent>
                  </v:textbox>
                </v:rect>
                <v:group id="Group 196" o:spid="_x0000_s1107" style="position:absolute;left:23310;top:5213;width:16072;height:5220" coordorigin="5552,2851" coordsize="253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">
                  <v:rect id="Rectangle 197" o:spid="_x0000_s1108"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" fillcolor="#936" stroked="f"/>
                  <v:rect id="Rectangle 198" o:spid="_x0000_s1109"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" filled="f" strokeweight="22e-5mm">
                    <v:stroke endcap="round"/>
                  </v:rect>
                </v:group>
                <v:rect id="Rectangle 199" o:spid="_x0000_s1110" style="position:absolute;left:28124;top:6172;width:612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" filled="f" stroked="f">
                  <v:textbox style="mso-fit-shape-to-text:t" inset="0,0,0,0">
                    <w:txbxContent>
                      <w:p w14:paraId="519C0BD5" w14:textId="77777777" w:rsidR="00847E53" w:rsidRDefault="00847E53" w:rsidP="001F04FD">
                        <w:r>
                          <w:rPr>
                            <w:rFonts w:ascii="Arial" w:hAnsi="Arial" w:cs="Arial"/>
                            <w:b/>
                            <w:bCs/>
                            <w:color w:val="FFFFFF"/>
                            <w:sz w:val="14"/>
                            <w:szCs w:val="14"/>
                          </w:rPr>
                          <w:t>QSE Deadline:</w:t>
                        </w:r>
                      </w:p>
                    </w:txbxContent>
                  </v:textbox>
                </v:rect>
                <v:rect id="Rectangle 200" o:spid="_x0000_s1111" style="position:absolute;left:28124;top:7143;width:645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" stroked="f"/>
                <v:rect id="Rectangle 201" o:spid="_x0000_s1112" style="position:absolute;left:23514;top:7296;width:1229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" filled="f" stroked="f">
                  <v:textbox style="mso-fit-shape-to-text:t" inset="0,0,0,0">
                    <w:txbxContent>
                      <w:p w14:paraId="200BBE0C" w14:textId="00540EAE" w:rsidR="00847E53" w:rsidRDefault="00847E53" w:rsidP="001F04FD">
                        <w:r>
                          <w:rPr>
                            <w:rFonts w:ascii="Arial" w:hAnsi="Arial" w:cs="Arial"/>
                            <w:b/>
                            <w:bCs/>
                            <w:color w:val="FFFFFF"/>
                            <w:sz w:val="14"/>
                            <w:szCs w:val="14"/>
                          </w:rPr>
                          <w:t xml:space="preserve">Update Output Schedules for </w:t>
                        </w:r>
                      </w:p>
                    </w:txbxContent>
                  </v:textbox>
                </v:rect>
                <v:rect id="Rectangle 202" o:spid="_x0000_s1113" style="position:absolute;left:36697;top:7296;width:237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" filled="f" stroked="f">
                  <v:textbox style="mso-fit-shape-to-text:t" inset="0,0,0,0">
                    <w:txbxContent>
                      <w:p w14:paraId="2F7555A3" w14:textId="7CD373A6" w:rsidR="00847E53" w:rsidRDefault="00847E53" w:rsidP="001F04FD">
                        <w:r>
                          <w:rPr>
                            <w:rFonts w:ascii="Arial" w:hAnsi="Arial" w:cs="Arial"/>
                            <w:b/>
                            <w:bCs/>
                            <w:color w:val="FFFFFF"/>
                            <w:sz w:val="14"/>
                            <w:szCs w:val="14"/>
                          </w:rPr>
                          <w:t>DSRs</w:t>
                        </w:r>
                      </w:p>
                    </w:txbxContent>
                  </v:textbox>
                </v:rect>
                <v:rect id="Rectangle 203" o:spid="_x0000_s1114" style="position:absolute;left:25489;top:8414;width:1111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" filled="f" stroked="f">
                  <v:textbox style="mso-fit-shape-to-text:t" inset="0,0,0,0">
                    <w:txbxContent>
                      <w:p w14:paraId="4AB1990A" w14:textId="047A96DF" w:rsidR="00847E53" w:rsidRDefault="00847E53" w:rsidP="001F04FD">
                        <w:r>
                          <w:rPr>
                            <w:rFonts w:ascii="Arial" w:hAnsi="Arial" w:cs="Arial"/>
                            <w:b/>
                            <w:bCs/>
                            <w:color w:val="FFFFFF"/>
                            <w:sz w:val="14"/>
                            <w:szCs w:val="14"/>
                          </w:rPr>
                          <w:t>Provide SCADA Telemetry</w:t>
                        </w:r>
                      </w:p>
                    </w:txbxContent>
                  </v:textbox>
                </v:rect>
                <v:group id="Group 204" o:spid="_x0000_s1115" style="position:absolute;left:13658;top:29298;width:9652;height:4814" coordorigin="4032,6644" coordsize="152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">
                  <v:rect id="Rectangle 205" o:spid="_x0000_s1116"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" fillcolor="silver" stroked="f"/>
                  <v:rect id="Rectangle 206" o:spid="_x0000_s1117"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" filled="f" strokeweight="22e-5mm">
                    <v:stroke endcap="round"/>
                  </v:rect>
                </v:group>
                <v:rect id="Rectangle 207" o:spid="_x0000_s1118" style="position:absolute;left:14872;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" filled="f" stroked="f">
                  <v:textbox style="mso-fit-shape-to-text:t" inset="0,0,0,0">
                    <w:txbxContent>
                      <w:p w14:paraId="79B537DA" w14:textId="77777777" w:rsidR="00847E53" w:rsidRDefault="00847E53" w:rsidP="001F04FD">
                        <w:r>
                          <w:rPr>
                            <w:rFonts w:ascii="Arial" w:hAnsi="Arial" w:cs="Arial"/>
                            <w:b/>
                            <w:bCs/>
                            <w:color w:val="000000"/>
                            <w:sz w:val="14"/>
                            <w:szCs w:val="14"/>
                          </w:rPr>
                          <w:t>ERCOT Activity:</w:t>
                        </w:r>
                      </w:p>
                    </w:txbxContent>
                  </v:textbox>
                </v:rect>
                <v:rect id="Rectangle 208" o:spid="_x0000_s1119" style="position:absolute;left:14871;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" fillcolor="black" stroked="f"/>
                <v:rect id="Rectangle 209" o:spid="_x0000_s1120" style="position:absolute;left:15392;top:31019;width:588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" filled="f" stroked="f">
                  <v:textbox style="mso-fit-shape-to-text:t" inset="0,0,0,0">
                    <w:txbxContent>
                      <w:p w14:paraId="22D8F5BC" w14:textId="77777777" w:rsidR="00847E53" w:rsidRDefault="00847E53" w:rsidP="001F04FD">
                        <w:r>
                          <w:rPr>
                            <w:rFonts w:ascii="Arial" w:hAnsi="Arial" w:cs="Arial"/>
                            <w:b/>
                            <w:bCs/>
                            <w:color w:val="000000"/>
                            <w:sz w:val="14"/>
                            <w:szCs w:val="14"/>
                          </w:rPr>
                          <w:t>Communicate</w:t>
                        </w:r>
                      </w:p>
                    </w:txbxContent>
                  </v:textbox>
                </v:rect>
                <v:rect id="Rectangle 210" o:spid="_x0000_s1121" style="position:absolute;left:13881;top:32143;width:874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" filled="f" stroked="f">
                  <v:textbox style="mso-fit-shape-to-text:t" inset="0,0,0,0">
                    <w:txbxContent>
                      <w:p w14:paraId="63954134" w14:textId="77777777" w:rsidR="00847E53" w:rsidRDefault="00847E53" w:rsidP="001F04FD">
                        <w:r>
                          <w:rPr>
                            <w:rFonts w:ascii="Arial" w:hAnsi="Arial" w:cs="Arial"/>
                            <w:b/>
                            <w:bCs/>
                            <w:color w:val="000000"/>
                            <w:sz w:val="14"/>
                            <w:szCs w:val="14"/>
                          </w:rPr>
                          <w:t>HRUC Commitments</w:t>
                        </w:r>
                      </w:p>
                    </w:txbxContent>
                  </v:textbox>
                </v:rect>
                <v:shape id="Freeform 211" o:spid="_x0000_s1122" style="position:absolute;left:18281;top:21672;width:407;height:7626;visibility:visible;mso-wrap-style:square;v-text-anchor:top" coordsize="64,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77C0F89E" w14:textId="77777777" w:rsidR="001F04FD" w:rsidRDefault="001F04FD" w:rsidP="001F04FD">
      <w:pPr>
        <w:pStyle w:val="BodyTextNumbered"/>
        <w:spacing w:before="240"/>
      </w:pPr>
    </w:p>
    <w:p w14:paraId="410EB471" w14:textId="77777777" w:rsidR="001F04FD" w:rsidRDefault="001F04FD" w:rsidP="001F04FD">
      <w:pPr>
        <w:pStyle w:val="BodyTextNumbered"/>
        <w:spacing w:before="240"/>
      </w:pPr>
    </w:p>
    <w:p w14:paraId="6C2D3461" w14:textId="77777777" w:rsidR="001F04FD" w:rsidRDefault="001F04FD" w:rsidP="001F04FD">
      <w:pPr>
        <w:pStyle w:val="BodyTextNumbered"/>
        <w:spacing w:before="240"/>
      </w:pPr>
    </w:p>
    <w:p w14:paraId="1D3F6B92" w14:textId="77777777" w:rsidR="001F04FD" w:rsidRDefault="001F04FD" w:rsidP="001F04FD">
      <w:pPr>
        <w:pStyle w:val="BodyTextNumbered"/>
        <w:spacing w:before="240"/>
      </w:pPr>
    </w:p>
    <w:p w14:paraId="250E7D1C" w14:textId="77777777" w:rsidR="001F04FD" w:rsidRDefault="001F04FD" w:rsidP="001F04FD">
      <w:pPr>
        <w:pStyle w:val="BodyTextNumbered"/>
        <w:spacing w:before="240"/>
      </w:pPr>
    </w:p>
    <w:p w14:paraId="37E25012" w14:textId="77777777" w:rsidR="001F04FD" w:rsidRDefault="001F04FD" w:rsidP="001F04FD">
      <w:pPr>
        <w:pStyle w:val="BodyTextNumbered"/>
        <w:spacing w:before="240"/>
      </w:pPr>
    </w:p>
    <w:p w14:paraId="0026A586" w14:textId="77777777" w:rsidR="001F04FD" w:rsidRDefault="001F04FD" w:rsidP="001F04FD">
      <w:pPr>
        <w:pStyle w:val="BodyTextNumbered"/>
        <w:spacing w:before="240"/>
      </w:pPr>
    </w:p>
    <w:p w14:paraId="65A8B721" w14:textId="77777777" w:rsidR="001F04FD" w:rsidRDefault="001F04FD" w:rsidP="001F04FD">
      <w:pPr>
        <w:pStyle w:val="BodyTextNumbered"/>
        <w:spacing w:before="240"/>
      </w:pPr>
    </w:p>
    <w:p w14:paraId="148668B3" w14:textId="77777777" w:rsidR="001F04FD" w:rsidRDefault="001F04FD" w:rsidP="001F04FD">
      <w:pPr>
        <w:pStyle w:val="BodyTextNumbered"/>
        <w:spacing w:before="240"/>
      </w:pPr>
    </w:p>
    <w:p w14:paraId="036B589F" w14:textId="77777777" w:rsidR="001F04FD" w:rsidRDefault="001F04FD" w:rsidP="00C30E33">
      <w:pPr>
        <w:pStyle w:val="BodyTextNumbered"/>
        <w:spacing w:before="240" w:after="480"/>
      </w:pPr>
    </w:p>
    <w:p w14:paraId="48338B13" w14:textId="0EC14C40" w:rsidR="001F04FD" w:rsidRDefault="001F04FD" w:rsidP="000C6FFF">
      <w:pPr>
        <w:pStyle w:val="BodyTextNumbered"/>
        <w:spacing w:before="240"/>
      </w:pPr>
      <w:r>
        <w:lastRenderedPageBreak/>
        <w:t>(2)</w:t>
      </w:r>
      <w: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7C6B4465" w14:textId="77777777" w:rsidR="001F04FD" w:rsidRDefault="001F04FD" w:rsidP="001F04FD">
      <w:pPr>
        <w:pStyle w:val="Instructions"/>
        <w:ind w:left="720" w:hanging="720"/>
        <w:rPr>
          <w:b w:val="0"/>
          <w:i w:val="0"/>
        </w:rPr>
      </w:pPr>
      <w:r w:rsidRPr="002F0A61">
        <w:rPr>
          <w:b w:val="0"/>
          <w:i w:val="0"/>
        </w:rPr>
        <w:t>(3)</w:t>
      </w:r>
      <w:r w:rsidRPr="002F0A61">
        <w:rPr>
          <w:b w:val="0"/>
          <w:i w:val="0"/>
        </w:rPr>
        <w:tab/>
      </w:r>
      <w:r w:rsidRPr="00BF28AE">
        <w:rPr>
          <w:b w:val="0"/>
          <w:i w:val="0"/>
        </w:rPr>
        <w:t xml:space="preserve">ERCOT shall monitor Real-Time Locational Marginal Prices (LMPs), Supplemental Ancillary Services Market (SASM) Market Clearing Prices for Capacity (MCPCs), and Real-Time Settlement Point Prices, including Real-Time prices for energy metered, </w:t>
      </w:r>
      <w:r w:rsidRPr="00193B05">
        <w:rPr>
          <w:b w:val="0"/>
          <w:i w:val="0"/>
        </w:rPr>
        <w:t xml:space="preserve">Real-Time On-Line Reliability Deployment Price Adders, Real-Time On-Line Reliability Deployment Prices, </w:t>
      </w:r>
      <w:r w:rsidRPr="00BF28AE">
        <w:rPr>
          <w:b w:val="0"/>
          <w:i w:val="0"/>
        </w:rPr>
        <w:t>Real-Time Off-Line Reserve Price Adders, Real-Time On-Line Reserve Price Adders, Real-Time Reserve Prices for On-Line Reserves and Real-Time Reserve Prices for Off-Line Reserves, for errors and if there are conditions that cause the price to be questionable, ERCOT shall notify all Market Participants that the Real-Time LMPs, SASM MCPCs, and Real-Time Settlement Point Prices are under investigation as soon as practicable.</w:t>
      </w:r>
      <w:r w:rsidRPr="002F0A61">
        <w:rPr>
          <w:b w:val="0"/>
          <w:i w:val="0"/>
        </w:rPr>
        <w:t xml:space="preserve">  </w:t>
      </w:r>
    </w:p>
    <w:p w14:paraId="3A2BD77E" w14:textId="2985C685" w:rsidR="001F04FD" w:rsidRPr="008E7488" w:rsidRDefault="001F04FD" w:rsidP="001F04FD">
      <w:pPr>
        <w:pStyle w:val="BodyTextNumbered"/>
      </w:pPr>
      <w:r w:rsidRPr="008E7488">
        <w:t>(4)</w:t>
      </w:r>
      <w:r w:rsidRPr="008E7488">
        <w:tab/>
        <w:t xml:space="preserve">ERCOT shall correct prices </w:t>
      </w:r>
      <w:r w:rsidR="005B6369">
        <w:t xml:space="preserve">for an Operating Day </w:t>
      </w:r>
      <w:r w:rsidRPr="008E7488">
        <w:t>when</w:t>
      </w:r>
      <w:r w:rsidR="005B6369" w:rsidRPr="005B6369">
        <w:t xml:space="preserve"> </w:t>
      </w:r>
      <w:r w:rsidR="005B6369">
        <w:t>accurate prices can be determined, the impact of the price correction is determined to be significant, and one of the following conditions has been met</w:t>
      </w:r>
      <w:r w:rsidRPr="008E7488">
        <w:t xml:space="preserve">: </w:t>
      </w:r>
      <w:r w:rsidR="00172067">
        <w:t xml:space="preserve"> </w:t>
      </w:r>
      <w:r w:rsidRPr="008E7488">
        <w:t xml:space="preserve">a market solution is determined to be invalid, invalid prices are identified in an otherwise valid market solution, the Base Points received by Market Participants are inconsistent with the Base Points of a valid market solution, </w:t>
      </w:r>
      <w:r>
        <w:t xml:space="preserve">or the </w:t>
      </w:r>
      <w:r w:rsidRPr="008E7488">
        <w:t>Security-Constrained Economic Dispatch (</w:t>
      </w:r>
      <w:r>
        <w:t xml:space="preserve">SCED) process experiences a failure as described in Section 6.5.9.2, </w:t>
      </w:r>
      <w:r w:rsidRPr="001D42DE">
        <w:t>Failure of the SCED Process</w:t>
      </w:r>
      <w:r w:rsidRPr="008E7488">
        <w:t>.  The following are some reasons that may cause these conditions</w:t>
      </w:r>
      <w:r w:rsidR="00172067">
        <w:t>:</w:t>
      </w:r>
    </w:p>
    <w:p w14:paraId="3EF6DFE7" w14:textId="77777777" w:rsidR="001F04FD" w:rsidRPr="008E7488" w:rsidRDefault="001F04FD" w:rsidP="001F04FD">
      <w:pPr>
        <w:pStyle w:val="List"/>
      </w:pPr>
      <w:r w:rsidRPr="008E7488">
        <w:t>(a)</w:t>
      </w:r>
      <w:r w:rsidRPr="008E7488">
        <w:tab/>
        <w:t>Data Input error:  Missing, incomplete, stale, or incorrect versions of one or more data elements input to the market applications may result in an invalid market solution and/or prices.</w:t>
      </w:r>
    </w:p>
    <w:p w14:paraId="1FF886AC" w14:textId="5D7E4A10" w:rsidR="001F04FD" w:rsidRPr="008E7488" w:rsidRDefault="001F04FD" w:rsidP="001F04FD">
      <w:pPr>
        <w:pStyle w:val="List"/>
      </w:pPr>
      <w:r w:rsidRPr="008E7488">
        <w:t>(b)</w:t>
      </w:r>
      <w:r w:rsidRPr="008E7488">
        <w:tab/>
        <w:t xml:space="preserve">Data Output error:  These include: </w:t>
      </w:r>
      <w:r w:rsidR="005006D5">
        <w:t xml:space="preserve"> </w:t>
      </w:r>
      <w:r w:rsidRPr="008E7488">
        <w:t>incorrect or incomplete data transfer, price recalculation error in post-processing, and Base Points inconsistent with prices due to the Emergency Base Point flag remaining activated even when the SCED solution is valid.</w:t>
      </w:r>
    </w:p>
    <w:p w14:paraId="1C534197" w14:textId="6D5321B8" w:rsidR="001F04FD" w:rsidRPr="008E7488" w:rsidRDefault="001F04FD" w:rsidP="001F04FD">
      <w:pPr>
        <w:pStyle w:val="List"/>
      </w:pPr>
      <w:r w:rsidRPr="008E7488">
        <w:t>(c)</w:t>
      </w:r>
      <w:r w:rsidRPr="008E7488">
        <w:tab/>
        <w:t xml:space="preserve">Hardware/Software error: </w:t>
      </w:r>
      <w:r w:rsidR="00A366B5">
        <w:t xml:space="preserve"> </w:t>
      </w:r>
      <w:r w:rsidRPr="008E7488">
        <w:t>These include unpredicted hardware or software failures, planned market system or database outages, planned application or database upgrades, software implementation errors, and failure of the market run to complete.</w:t>
      </w:r>
    </w:p>
    <w:p w14:paraId="4107EDCF" w14:textId="77777777" w:rsidR="001F04FD" w:rsidRPr="008E7488" w:rsidRDefault="001F04FD" w:rsidP="001F04FD">
      <w:pPr>
        <w:pStyle w:val="List"/>
      </w:pPr>
      <w:r w:rsidRPr="008E7488">
        <w:t>(d)</w:t>
      </w:r>
      <w:r w:rsidRPr="008E7488">
        <w:tab/>
        <w:t>Inconsistency with the Protocols or Public Utility Commission of Texas (PUCT) Substantive Rules:  Pricing errors may occur when specific circumstances result in prices that are in conflict with such Protocol language or the PUCT Substantive Rules.</w:t>
      </w:r>
    </w:p>
    <w:p w14:paraId="19989EAC" w14:textId="77777777" w:rsidR="005B6369" w:rsidRPr="00371FDF" w:rsidRDefault="005B6369" w:rsidP="005B6369">
      <w:pPr>
        <w:spacing w:after="240"/>
        <w:ind w:left="720" w:hanging="720"/>
        <w:rPr>
          <w:iCs/>
        </w:rPr>
      </w:pPr>
      <w:r w:rsidRPr="00371FDF">
        <w:rPr>
          <w:iCs/>
        </w:rPr>
        <w:t>(5)</w:t>
      </w:r>
      <w:r w:rsidRPr="00371FDF">
        <w:rPr>
          <w:iCs/>
        </w:rPr>
        <w:tab/>
        <w:t>For purposes of a price correction performed prior to 1600 on the second Business Day after the Operating Day, the impact of a price correction shall be considered significant, as that term is used in paragraph (4)</w:t>
      </w:r>
      <w:r>
        <w:rPr>
          <w:iCs/>
        </w:rPr>
        <w:t xml:space="preserve"> above</w:t>
      </w:r>
      <w:r w:rsidRPr="00371FDF">
        <w:rPr>
          <w:iCs/>
        </w:rPr>
        <w:t>, for the Operating Day when:</w:t>
      </w:r>
    </w:p>
    <w:p w14:paraId="0F0BE582" w14:textId="77777777" w:rsidR="005B6369" w:rsidRPr="00371FDF" w:rsidRDefault="005B6369" w:rsidP="005B6369">
      <w:pPr>
        <w:spacing w:after="240"/>
        <w:ind w:left="1440" w:hanging="720"/>
        <w:rPr>
          <w:iCs/>
        </w:rPr>
      </w:pPr>
      <w:r w:rsidRPr="00371FDF">
        <w:lastRenderedPageBreak/>
        <w:t>(a)</w:t>
      </w:r>
      <w:r w:rsidRPr="00371FDF">
        <w:rPr>
          <w:iCs/>
        </w:rPr>
        <w:tab/>
        <w:t xml:space="preserve">The absolute value change to any single Real-Time Settlement Point Price </w:t>
      </w:r>
      <w:r>
        <w:rPr>
          <w:iCs/>
        </w:rPr>
        <w:t>at</w:t>
      </w:r>
      <w:r w:rsidRPr="00371FDF">
        <w:rPr>
          <w:iCs/>
        </w:rPr>
        <w:t xml:space="preserve"> a Resource Node is greater than $0.05/MWh;</w:t>
      </w:r>
    </w:p>
    <w:p w14:paraId="56706878" w14:textId="77777777" w:rsidR="005B6369" w:rsidRPr="00371FDF" w:rsidRDefault="005B6369" w:rsidP="005B6369">
      <w:pPr>
        <w:spacing w:after="240"/>
        <w:ind w:left="1440" w:hanging="720"/>
        <w:rPr>
          <w:iCs/>
        </w:rPr>
      </w:pPr>
      <w:r w:rsidRPr="00371FDF">
        <w:rPr>
          <w:iCs/>
        </w:rPr>
        <w:t>(b)       The price correction would require ERCOT to change more than 50 Real-Time Settlement Point Prices;</w:t>
      </w:r>
    </w:p>
    <w:p w14:paraId="31649EEF" w14:textId="77777777" w:rsidR="005B6369" w:rsidRPr="00371FDF" w:rsidRDefault="005B6369" w:rsidP="005B6369">
      <w:pPr>
        <w:spacing w:after="240"/>
        <w:ind w:left="1440" w:hanging="720"/>
        <w:rPr>
          <w:iCs/>
        </w:rPr>
      </w:pPr>
      <w:r w:rsidRPr="00371FDF">
        <w:rPr>
          <w:iCs/>
        </w:rPr>
        <w:t xml:space="preserve">(c)       The absolute value change to any Real-Time Settlement Point Price </w:t>
      </w:r>
      <w:r>
        <w:rPr>
          <w:iCs/>
        </w:rPr>
        <w:t>at</w:t>
      </w:r>
      <w:r w:rsidRPr="00371FDF">
        <w:rPr>
          <w:iCs/>
        </w:rPr>
        <w:t xml:space="preserve"> a Load Zone or Hub is greater than $0.02/MWh;</w:t>
      </w:r>
    </w:p>
    <w:p w14:paraId="7C31FA68" w14:textId="77777777" w:rsidR="005B6369" w:rsidRPr="00967E05" w:rsidRDefault="005B6369" w:rsidP="005B6369">
      <w:pPr>
        <w:spacing w:after="240"/>
        <w:ind w:left="1440" w:hanging="720"/>
        <w:rPr>
          <w:iCs/>
        </w:rPr>
      </w:pPr>
      <w:r w:rsidRPr="00967E05">
        <w:rPr>
          <w:iCs/>
        </w:rPr>
        <w:t>(d)       The estimated absolute total dollar impact for changes to Real-Time prices for energy metered is greater than $500; or</w:t>
      </w:r>
    </w:p>
    <w:p w14:paraId="246061D7" w14:textId="77777777" w:rsidR="005B6369" w:rsidRPr="000C1085" w:rsidRDefault="005B6369" w:rsidP="005B6369">
      <w:pPr>
        <w:spacing w:after="240"/>
        <w:ind w:left="1440" w:hanging="720"/>
      </w:pPr>
      <w:r w:rsidRPr="00967E05">
        <w:t>(e)       The absolute total dollar impact for changes to SASM MCPCs is greater than $500.</w:t>
      </w:r>
    </w:p>
    <w:p w14:paraId="683B01A0" w14:textId="11BC2856" w:rsidR="001F04FD" w:rsidRDefault="001F04FD" w:rsidP="005B6369">
      <w:pPr>
        <w:pStyle w:val="List"/>
        <w:ind w:left="720"/>
      </w:pPr>
      <w:r w:rsidRPr="008E7488">
        <w:t>(</w:t>
      </w:r>
      <w:r w:rsidR="005B6369">
        <w:t>6</w:t>
      </w:r>
      <w:r w:rsidRPr="008E7488">
        <w:t>)</w:t>
      </w:r>
      <w:r w:rsidRPr="008E7488">
        <w:tab/>
        <w:t xml:space="preserve">If it is determined that any Real-Time Settlement Point Prices, Settlement Point LMPs, Electrical Bus LMPs, Real-Time prices for energy metered, </w:t>
      </w:r>
      <w:r w:rsidRPr="00193B05">
        <w:t xml:space="preserve">Real-Time On-Line Reliability Deployment Price Adders, Real-Time On-Line Reliability Deployment Prices, </w:t>
      </w:r>
      <w:r w:rsidRPr="0080555B">
        <w:t>Real-Time On-Line Reserve Price Adders, Real-Time Off-Line Reserve Price Adders, Real-Time Reserve Price</w:t>
      </w:r>
      <w:r>
        <w:t>s</w:t>
      </w:r>
      <w:r w:rsidRPr="0080555B">
        <w:t xml:space="preserve"> for On-Line Reserves, Real-Time Reserve Price</w:t>
      </w:r>
      <w:r>
        <w:t>s</w:t>
      </w:r>
      <w:r w:rsidRPr="0080555B">
        <w:t xml:space="preserve"> for Off-Line Reserves, </w:t>
      </w:r>
      <w:r w:rsidRPr="008E7488">
        <w:t>and/or constraint Shadow Prices are erroneous, ERCOT shall correct the prices before the prices are considered final in paragraph (</w:t>
      </w:r>
      <w:r w:rsidR="005B6369">
        <w:t>7</w:t>
      </w:r>
      <w:r w:rsidRPr="008E7488">
        <w:t>) below.  Specifically:</w:t>
      </w:r>
    </w:p>
    <w:p w14:paraId="3ABA58C0" w14:textId="7A6435F1" w:rsidR="001F04FD" w:rsidRDefault="001F04FD" w:rsidP="001F04FD">
      <w:pPr>
        <w:pStyle w:val="List"/>
      </w:pPr>
      <w:r>
        <w:t>(a)</w:t>
      </w:r>
      <w:r>
        <w:tab/>
      </w:r>
      <w:r w:rsidRPr="001B4EA3">
        <w:t xml:space="preserve">If </w:t>
      </w:r>
      <w:r>
        <w:t xml:space="preserve">it is determined that </w:t>
      </w:r>
      <w:r w:rsidRPr="001B4EA3">
        <w:t xml:space="preserve">correcting </w:t>
      </w:r>
      <w:r>
        <w:t xml:space="preserve">the Real-Time Settlement Point Prices </w:t>
      </w:r>
      <w:r w:rsidRPr="001B4EA3">
        <w:t xml:space="preserve">will not affect the Base Points that were received by </w:t>
      </w:r>
      <w:r>
        <w:t>Qualified Scheduling Entities (</w:t>
      </w:r>
      <w:r w:rsidRPr="001B4EA3">
        <w:t>QSEs</w:t>
      </w:r>
      <w:r>
        <w:t>)</w:t>
      </w:r>
      <w:r w:rsidRPr="001B4EA3">
        <w:t xml:space="preserve">, then ERCOT shall correct the prices </w:t>
      </w:r>
      <w:r>
        <w:t xml:space="preserve">before the prices are considered final </w:t>
      </w:r>
      <w:r w:rsidRPr="001B4EA3">
        <w:t>in paragraph (</w:t>
      </w:r>
      <w:r w:rsidR="00172067">
        <w:t>7</w:t>
      </w:r>
      <w:r w:rsidRPr="001B4EA3">
        <w:t>)</w:t>
      </w:r>
      <w:r>
        <w:t xml:space="preserve"> below.</w:t>
      </w:r>
    </w:p>
    <w:p w14:paraId="19EBA0BC" w14:textId="77777777" w:rsidR="001F04FD" w:rsidRPr="00A5053F" w:rsidRDefault="001F04FD" w:rsidP="001F04FD">
      <w:pPr>
        <w:pStyle w:val="List"/>
      </w:pPr>
      <w:r>
        <w:t>(b)</w:t>
      </w:r>
      <w:r>
        <w:tab/>
      </w:r>
      <w:r w:rsidRPr="001B4EA3">
        <w:t xml:space="preserve">If </w:t>
      </w:r>
      <w:r>
        <w:t xml:space="preserve">it is determined that correcting the Real-Time Settlement Point Prices </w:t>
      </w:r>
      <w:r w:rsidRPr="001B4EA3">
        <w:t xml:space="preserve">will affect the Base Points that were received by QSEs, </w:t>
      </w:r>
      <w:r>
        <w:rPr>
          <w:iCs/>
        </w:rPr>
        <w:t xml:space="preserve">then ERCOT shall correct the prices </w:t>
      </w:r>
      <w:r>
        <w:t>before the prices are considered final</w:t>
      </w:r>
      <w:r w:rsidRPr="001B4EA3">
        <w:t xml:space="preserve"> and settle the SCED executions as </w:t>
      </w:r>
      <w:r w:rsidRPr="00326D2C">
        <w:t>failed in ac</w:t>
      </w:r>
      <w:r w:rsidRPr="00A5053F">
        <w:t xml:space="preserve">cordance with Section 6.5.9.2.  </w:t>
      </w:r>
    </w:p>
    <w:p w14:paraId="7F81FDBF" w14:textId="77777777" w:rsidR="001F04FD" w:rsidRDefault="001F04FD" w:rsidP="001F04FD">
      <w:pPr>
        <w:pStyle w:val="List"/>
      </w:pPr>
      <w:r w:rsidRPr="00BF28AE">
        <w:t>(c)</w:t>
      </w:r>
      <w:r w:rsidRPr="00BF28AE">
        <w:tab/>
        <w:t xml:space="preserve">If the Base Points received by QSEs are inconsistent with the Real-Time Settlement Point Prices reduced by the </w:t>
      </w:r>
      <w:r w:rsidRPr="005F4D45">
        <w:t xml:space="preserve">sum of the Real-Time On-Line Reliability Deployment Prices and the </w:t>
      </w:r>
      <w:r w:rsidRPr="00BF28AE">
        <w:t>Real-Time Reserve Prices for On-Line Reserves averaged over the 15-minute Settlement Interval, then ERCOT shall consider those Base Points as due to manual override from the ERCOT Operator and settle the relevant Settlement Interval(s) in accordance with Section 6.6.9, Emergency Operations Settlement.</w:t>
      </w:r>
    </w:p>
    <w:p w14:paraId="38F08418" w14:textId="7176626C" w:rsidR="001F04FD" w:rsidRDefault="001F04FD" w:rsidP="001F04FD">
      <w:pPr>
        <w:pStyle w:val="BodyTextNumbered"/>
      </w:pPr>
      <w:r>
        <w:t>(</w:t>
      </w:r>
      <w:r w:rsidR="005B6369">
        <w:t>7</w:t>
      </w:r>
      <w:r>
        <w:t>)</w:t>
      </w:r>
      <w:r>
        <w:tab/>
        <w:t xml:space="preserve">All Real-Time LMPs, Real-Time Settlement Point Prices, Real-Time prices for energy metered, </w:t>
      </w:r>
      <w:r w:rsidRPr="00193B05">
        <w:t>Real-Time On-Line Reliability Deployment Price Adders, Real-Time On-Line Reliability Deployment Prices,</w:t>
      </w:r>
      <w:r>
        <w:t xml:space="preserve"> </w:t>
      </w:r>
      <w:r w:rsidRPr="0080555B">
        <w:t>Real-Time Reserve Prices for On-Line Reserves, Real-Time Reserve Prices for Off-Line Reserves, Real-Time On-Line Reserve Price Adders</w:t>
      </w:r>
      <w:r>
        <w:t>,</w:t>
      </w:r>
      <w:r w:rsidRPr="0080555B">
        <w:t xml:space="preserve"> Real-Time Off-Line Reserve Price Adders </w:t>
      </w:r>
      <w:r>
        <w:t xml:space="preserve">and SASM MCPCs are final at 1600 of the second Business Day after the Operating Day.  </w:t>
      </w:r>
    </w:p>
    <w:p w14:paraId="7E08625C" w14:textId="4FB62B7C" w:rsidR="001F04FD" w:rsidRDefault="001F04FD" w:rsidP="001F04FD">
      <w:pPr>
        <w:pStyle w:val="BodyTextNumbered"/>
        <w:ind w:left="1440"/>
      </w:pPr>
      <w:r w:rsidRPr="008E7488">
        <w:lastRenderedPageBreak/>
        <w:t>(a)</w:t>
      </w:r>
      <w:r w:rsidRPr="008E7488">
        <w:tab/>
        <w:t xml:space="preserve">However, after Real-Time LMPs, Real Time Settlement Point Prices, Real-Time prices for energy metered, </w:t>
      </w:r>
      <w:r w:rsidRPr="00193B05">
        <w:t xml:space="preserve">Real-Time On-Line Reliability Deployment Price Adders, Real-Time On-Line Reliability Deployment Prices, </w:t>
      </w:r>
      <w:r w:rsidRPr="0080555B">
        <w:t xml:space="preserve">Real-Time Reserve Prices for On-Line Reserves, Real-Time Reserve Prices for Off-Line Reserves, Real-Time On-Line Reserve Price Adders, Real-Time Off-Line Reserve Price Adders </w:t>
      </w:r>
      <w:r w:rsidRPr="008E7488">
        <w:t xml:space="preserve">and SASM MCPCs are final, if ERCOT determines that prices </w:t>
      </w:r>
      <w:r w:rsidR="005B6369">
        <w:t>qualify for a price correction pursuant to paragraph (4) above</w:t>
      </w:r>
      <w:r w:rsidR="005B6369" w:rsidRPr="008E7488">
        <w:t xml:space="preserve"> </w:t>
      </w:r>
      <w:r w:rsidRPr="008E7488">
        <w:t xml:space="preserve">and </w:t>
      </w:r>
      <w:r w:rsidR="005B6369">
        <w:t xml:space="preserve">that ERCOT will </w:t>
      </w:r>
      <w:r w:rsidRPr="008E7488">
        <w:t>seek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w:t>
      </w:r>
      <w:r>
        <w:t xml:space="preserve">  However, nothing in this section shall be understood to limit or otherwise inhibit any of the following:</w:t>
      </w:r>
    </w:p>
    <w:p w14:paraId="22B254DE" w14:textId="77777777" w:rsidR="001F04FD" w:rsidRDefault="001F04FD" w:rsidP="001F04FD">
      <w:pPr>
        <w:pStyle w:val="BodyTextNumbered"/>
        <w:ind w:left="2160"/>
      </w:pPr>
      <w:r>
        <w:t>(i)</w:t>
      </w:r>
      <w: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2E6E7C6D" w14:textId="77777777" w:rsidR="001F04FD" w:rsidRDefault="001F04FD" w:rsidP="001F04FD">
      <w:pPr>
        <w:pStyle w:val="BodyTextNumbered"/>
        <w:ind w:left="2160"/>
      </w:pPr>
      <w:r>
        <w:t>(ii)</w:t>
      </w:r>
      <w:r>
        <w:tab/>
        <w:t>The PUCT’s authority to order price corrections when permitted to do so under other law; or</w:t>
      </w:r>
    </w:p>
    <w:p w14:paraId="5FA828C7" w14:textId="1CAFE9CA" w:rsidR="001F04FD" w:rsidRPr="008E7488" w:rsidRDefault="001F04FD" w:rsidP="001F04FD">
      <w:pPr>
        <w:pStyle w:val="BodyTextNumbered"/>
        <w:ind w:left="2160"/>
      </w:pPr>
      <w:r>
        <w:t>(iii)</w:t>
      </w:r>
      <w:r>
        <w:tab/>
        <w:t>ERCOT’s authority to grant relief to a Market Participant pursuant to the timelines specified in Section 20, Alternative Dispute Resolution Procedure</w:t>
      </w:r>
      <w:r w:rsidR="00992E7F">
        <w:t xml:space="preserve"> and Procedure for Return of Settlement Funds</w:t>
      </w:r>
      <w:r>
        <w:t xml:space="preserve">.  </w:t>
      </w:r>
    </w:p>
    <w:p w14:paraId="1E4C52AE" w14:textId="2193943C" w:rsidR="005B6369" w:rsidRDefault="005B6369" w:rsidP="005B6369">
      <w:pPr>
        <w:pStyle w:val="BodyTextNumbered"/>
        <w:ind w:left="1440"/>
      </w:pPr>
      <w:r w:rsidRPr="00371FDF">
        <w:t>(b)</w:t>
      </w:r>
      <w:r w:rsidRPr="00371FDF">
        <w:tab/>
        <w:t>Before seeking ERCOT Board review of prices, ERCOT will determine if the impact of the price correction is significant, as that term is used in paragraph (4)</w:t>
      </w:r>
      <w:r>
        <w:t xml:space="preserve"> above</w:t>
      </w:r>
      <w:r w:rsidRPr="00371FDF">
        <w:t xml:space="preserve">, by calculating the potential changes to the </w:t>
      </w:r>
      <w:r w:rsidR="00172067">
        <w:t>Real-Time Market (</w:t>
      </w:r>
      <w:r w:rsidR="00172067" w:rsidRPr="00805B0A">
        <w:t>RTM</w:t>
      </w:r>
      <w:r w:rsidR="00172067">
        <w:t>)</w:t>
      </w:r>
      <w:r w:rsidR="00172067" w:rsidRPr="00805B0A">
        <w:t xml:space="preserve"> </w:t>
      </w:r>
      <w:r w:rsidRPr="00805B0A">
        <w:t>Settlement Statement(s)</w:t>
      </w:r>
      <w:r w:rsidRPr="00371FDF">
        <w:t xml:space="preserve"> of any Counter-Party on a given Operating Day. </w:t>
      </w:r>
      <w:r>
        <w:t xml:space="preserve"> </w:t>
      </w:r>
      <w:r w:rsidRPr="00371FDF">
        <w:t xml:space="preserve">ERCOT shall seek ERCOT Board review of prices if the change in </w:t>
      </w:r>
      <w:r w:rsidRPr="00805B0A">
        <w:t>RTM Settlement Statement(s)</w:t>
      </w:r>
      <w:r w:rsidRPr="00371FDF">
        <w:t xml:space="preserve"> would result in the absolute value impact to any single Counter-Party</w:t>
      </w:r>
      <w:r>
        <w:t xml:space="preserve">, based on the sum of all original </w:t>
      </w:r>
      <w:r w:rsidRPr="00805B0A">
        <w:t>RTM Settlement Statement</w:t>
      </w:r>
      <w:r>
        <w:t xml:space="preserve"> amounts of Market Participants assigned to the Counter-Party,</w:t>
      </w:r>
      <w:r w:rsidRPr="00371FDF">
        <w:t xml:space="preserve"> to be greater than</w:t>
      </w:r>
      <w:r>
        <w:t>:</w:t>
      </w:r>
    </w:p>
    <w:p w14:paraId="710C987A" w14:textId="77777777" w:rsidR="005B6369" w:rsidRDefault="005B6369" w:rsidP="005B6369">
      <w:pPr>
        <w:pStyle w:val="BodyTextNumbered"/>
        <w:ind w:left="2160"/>
      </w:pPr>
      <w:r>
        <w:t>(i)</w:t>
      </w:r>
      <w:r>
        <w:tab/>
      </w:r>
      <w:r w:rsidRPr="00371FDF">
        <w:t xml:space="preserve">2% and </w:t>
      </w:r>
      <w:r>
        <w:t xml:space="preserve">also </w:t>
      </w:r>
      <w:r w:rsidRPr="00371FDF">
        <w:t xml:space="preserve">greater than </w:t>
      </w:r>
      <w:r>
        <w:t>$20,000; or</w:t>
      </w:r>
    </w:p>
    <w:p w14:paraId="0B42742A" w14:textId="77777777" w:rsidR="005B6369" w:rsidRPr="00371FDF" w:rsidRDefault="005B6369" w:rsidP="005B6369">
      <w:pPr>
        <w:pStyle w:val="BodyTextNumbered"/>
        <w:ind w:left="2160"/>
      </w:pPr>
      <w:r>
        <w:t>(ii)</w:t>
      </w:r>
      <w:r>
        <w:tab/>
        <w:t>20% and also greater than $2,000</w:t>
      </w:r>
      <w:r w:rsidRPr="00371FDF">
        <w:t>.</w:t>
      </w:r>
    </w:p>
    <w:p w14:paraId="51314990" w14:textId="1C94884D" w:rsidR="001F04FD" w:rsidRPr="008E7488" w:rsidRDefault="001F04FD" w:rsidP="005B6369">
      <w:pPr>
        <w:pStyle w:val="BodyTextNumbered"/>
        <w:ind w:left="1440"/>
      </w:pPr>
      <w:r w:rsidRPr="008E7488">
        <w:t>(</w:t>
      </w:r>
      <w:r w:rsidR="005B6369">
        <w:t>c</w:t>
      </w:r>
      <w:r w:rsidRPr="008E7488">
        <w:t>)</w:t>
      </w:r>
      <w:r w:rsidRPr="008E7488">
        <w:tab/>
        <w:t xml:space="preserve">The ERCOT Board may review and change Real-Time LMPs, Real-Time Settlement Point Prices, Real-Time prices for energy metered, </w:t>
      </w:r>
      <w:r w:rsidRPr="00193B05">
        <w:t>Real-Time On-Line Reliability Deployment Price Adders, Real-Time On-Line Reliability Deployment Prices,</w:t>
      </w:r>
      <w:r>
        <w:t xml:space="preserve"> </w:t>
      </w:r>
      <w:r w:rsidRPr="0080555B">
        <w:t xml:space="preserve">Real-Time Reserve Prices for On-Line Reserves, Real-Time Reserve Prices for Off-Line Reserves, Real-Time On-Line Reserve Price Adders, Real-Time Off-Line Reserve Price Adders </w:t>
      </w:r>
      <w:r w:rsidRPr="008E7488">
        <w:t xml:space="preserve">and SASM MCPCs if ERCOT gave timely notice to Market Participants and the ERCOT Board finds that such prices </w:t>
      </w:r>
      <w:r w:rsidR="005B6369">
        <w:t>should be corrected for an Operating Day</w:t>
      </w:r>
      <w:r w:rsidRPr="008E7488">
        <w:t>.</w:t>
      </w:r>
    </w:p>
    <w:p w14:paraId="6ADFE909" w14:textId="1E64F00E" w:rsidR="001F04FD" w:rsidRDefault="001F04FD" w:rsidP="005B6369">
      <w:pPr>
        <w:pStyle w:val="BodyTextNumbered"/>
        <w:tabs>
          <w:tab w:val="left" w:pos="3510"/>
        </w:tabs>
        <w:ind w:left="1440"/>
      </w:pPr>
      <w:r w:rsidRPr="00BF28AE">
        <w:lastRenderedPageBreak/>
        <w:t>(</w:t>
      </w:r>
      <w:r w:rsidR="005B6369">
        <w:t>d</w:t>
      </w:r>
      <w:r w:rsidRPr="00BF28AE">
        <w:t>)</w:t>
      </w:r>
      <w:r w:rsidRPr="00BF28AE">
        <w:tab/>
        <w:t xml:space="preserve">In review of Real-Time LMPs, Real Time Settlement Point Prices, Real-Time prices for energy metered, </w:t>
      </w:r>
      <w:r w:rsidRPr="005F4D45">
        <w:t>Real-Time On-Line Reliability Deployment Price Adders, Real-Time On-Line Reliability Deployment Prices,</w:t>
      </w:r>
      <w:r>
        <w:rPr>
          <w:b/>
          <w:i/>
        </w:rPr>
        <w:t xml:space="preserve"> </w:t>
      </w:r>
      <w:r w:rsidRPr="00BF28AE">
        <w:t>Real-Time Reserve Prices for On-Line Reserves, Real-Time Reserve Prices for Off-Line Reserves, Real-Time On-Line Reserve Price Adders, Real-Time Off-Line Reserve Price Adders</w:t>
      </w:r>
      <w:r w:rsidRPr="0080555B">
        <w:t xml:space="preserve"> </w:t>
      </w:r>
      <w:r w:rsidRPr="00BF28AE">
        <w:t xml:space="preserve">and SASM MCPCs, the ERCOT Board may rely on the same reasons identified in paragraph (4) above to find that the prices </w:t>
      </w:r>
      <w:r w:rsidR="005B6369">
        <w:t>should be corrected for an Operating Day</w:t>
      </w:r>
      <w:r w:rsidRPr="00BF28A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61B40" w14:paraId="7F14E6F5" w14:textId="77777777" w:rsidTr="005B4AEE">
        <w:trPr>
          <w:trHeight w:val="206"/>
        </w:trPr>
        <w:tc>
          <w:tcPr>
            <w:tcW w:w="9350" w:type="dxa"/>
            <w:shd w:val="pct12" w:color="auto" w:fill="auto"/>
          </w:tcPr>
          <w:p w14:paraId="100EC3F0" w14:textId="0DD5E078" w:rsidR="00C61B40" w:rsidRDefault="001138B9" w:rsidP="0058150D">
            <w:pPr>
              <w:pStyle w:val="Instructions"/>
              <w:spacing w:before="120"/>
            </w:pPr>
            <w:bookmarkStart w:id="59" w:name="_Toc397504908"/>
            <w:bookmarkStart w:id="60" w:name="_Toc402357036"/>
            <w:bookmarkStart w:id="61" w:name="_Toc422486416"/>
            <w:bookmarkStart w:id="62" w:name="_Toc433093268"/>
            <w:bookmarkStart w:id="63" w:name="_Toc433093426"/>
            <w:bookmarkStart w:id="64" w:name="_Toc440874657"/>
            <w:bookmarkStart w:id="65" w:name="_Toc448142212"/>
            <w:bookmarkStart w:id="66" w:name="_Toc448142369"/>
            <w:bookmarkStart w:id="67" w:name="_Toc458770205"/>
            <w:bookmarkStart w:id="68" w:name="_Toc459294173"/>
            <w:bookmarkStart w:id="69" w:name="_Toc463262666"/>
            <w:bookmarkStart w:id="70" w:name="_Toc468286738"/>
            <w:bookmarkStart w:id="71" w:name="_Toc481502784"/>
            <w:bookmarkStart w:id="72" w:name="_Toc496079954"/>
            <w:r>
              <w:t>[NPRR1000,</w:t>
            </w:r>
            <w:r w:rsidR="00C61B40">
              <w:t xml:space="preserve"> NPRR1010</w:t>
            </w:r>
            <w:r>
              <w:t>, NPRR1014</w:t>
            </w:r>
            <w:r w:rsidR="00C50E5E">
              <w:t>, and NPRR1245</w:t>
            </w:r>
            <w:r w:rsidR="00C61B40">
              <w:t>:  Replace applicable portions</w:t>
            </w:r>
            <w:r w:rsidR="00525E33">
              <w:t xml:space="preserve"> of </w:t>
            </w:r>
            <w:r w:rsidR="00C61B40">
              <w:t>Section 6.3 above with the following upon system implementation for NPRR1000</w:t>
            </w:r>
            <w:r w:rsidR="005B6369">
              <w:t xml:space="preserve"> or</w:t>
            </w:r>
            <w:r>
              <w:t xml:space="preserve"> NPRR1014</w:t>
            </w:r>
            <w:r w:rsidR="00C61B40">
              <w:t>; or upon system implementation of the Real-Time Co-Optimi</w:t>
            </w:r>
            <w:r w:rsidR="00525E33">
              <w:t>z</w:t>
            </w:r>
            <w:r w:rsidR="00C61B40">
              <w:t>ation (RTC) project for NPRR1010</w:t>
            </w:r>
            <w:r w:rsidR="00C50E5E">
              <w:t xml:space="preserve"> and NPRR1245</w:t>
            </w:r>
            <w:r w:rsidR="00C61B40">
              <w:t>:]</w:t>
            </w:r>
          </w:p>
          <w:p w14:paraId="16ACDC6A" w14:textId="77777777" w:rsidR="00C61B40" w:rsidRPr="003161DC" w:rsidRDefault="00C61B40" w:rsidP="00C61B40">
            <w:pPr>
              <w:keepNext/>
              <w:tabs>
                <w:tab w:val="left" w:pos="900"/>
              </w:tabs>
              <w:spacing w:before="240" w:after="240"/>
              <w:outlineLvl w:val="1"/>
              <w:rPr>
                <w:b/>
              </w:rPr>
            </w:pPr>
            <w:bookmarkStart w:id="73" w:name="_Toc60040546"/>
            <w:bookmarkStart w:id="74" w:name="_Toc65151606"/>
            <w:bookmarkStart w:id="75" w:name="_Toc80174632"/>
            <w:bookmarkStart w:id="76" w:name="_Toc108712390"/>
            <w:bookmarkStart w:id="77" w:name="_Toc112417510"/>
            <w:bookmarkStart w:id="78" w:name="_Toc125966112"/>
            <w:bookmarkStart w:id="79" w:name="_Toc135992209"/>
            <w:bookmarkStart w:id="80" w:name="_Toc170303406"/>
            <w:bookmarkStart w:id="81" w:name="_Toc175157311"/>
            <w:bookmarkStart w:id="82" w:name="_Toc204411536"/>
            <w:r w:rsidRPr="003161DC">
              <w:rPr>
                <w:b/>
              </w:rPr>
              <w:t>6.3</w:t>
            </w:r>
            <w:r w:rsidRPr="003161DC">
              <w:rPr>
                <w:b/>
              </w:rPr>
              <w:tab/>
              <w:t>Adjustment Period and Real-Time Operations Timeline</w:t>
            </w:r>
            <w:bookmarkEnd w:id="73"/>
            <w:bookmarkEnd w:id="74"/>
            <w:bookmarkEnd w:id="75"/>
            <w:bookmarkEnd w:id="76"/>
            <w:bookmarkEnd w:id="77"/>
            <w:bookmarkEnd w:id="78"/>
            <w:bookmarkEnd w:id="79"/>
            <w:bookmarkEnd w:id="80"/>
            <w:bookmarkEnd w:id="81"/>
            <w:bookmarkEnd w:id="82"/>
          </w:p>
          <w:p w14:paraId="39A51756" w14:textId="6AF0E121" w:rsidR="00C61B40" w:rsidRPr="00C61B40" w:rsidRDefault="00C61B40" w:rsidP="00C61B40">
            <w:pPr>
              <w:pStyle w:val="Instructions"/>
              <w:spacing w:before="120"/>
              <w:ind w:left="690" w:hanging="690"/>
              <w:rPr>
                <w:b w:val="0"/>
                <w:i w:val="0"/>
              </w:rPr>
            </w:pPr>
            <w:r w:rsidRPr="00C61B40">
              <w:rPr>
                <w:b w:val="0"/>
                <w:i w:val="0"/>
                <w:szCs w:val="20"/>
              </w:rPr>
              <w:t>(1)</w:t>
            </w:r>
            <w:r w:rsidRPr="00C61B40">
              <w:rPr>
                <w:b w:val="0"/>
                <w:i w:val="0"/>
                <w:szCs w:val="20"/>
              </w:rPr>
              <w:tab/>
              <w:t>The figure below highlights the major activities that occur in the Adjustment Period and Real-Time operations:</w:t>
            </w:r>
          </w:p>
          <w:p w14:paraId="217F8350" w14:textId="54845851" w:rsidR="00C61B40" w:rsidRPr="00955335" w:rsidRDefault="000778F6" w:rsidP="0058150D">
            <w:pPr>
              <w:pStyle w:val="Instructions"/>
              <w:spacing w:before="120"/>
            </w:pPr>
            <w:r w:rsidRPr="00C61B40">
              <w:rPr>
                <w:b w:val="0"/>
                <w:bCs/>
                <w:i w:val="0"/>
                <w:noProof/>
                <w:sz w:val="20"/>
                <w:szCs w:val="20"/>
              </w:rPr>
              <mc:AlternateContent>
                <mc:Choice Requires="wpc">
                  <w:drawing>
                    <wp:anchor distT="0" distB="0" distL="114300" distR="114300" simplePos="0" relativeHeight="251674624" behindDoc="0" locked="0" layoutInCell="1" allowOverlap="1" wp14:anchorId="42F430ED" wp14:editId="1B57C4D3">
                      <wp:simplePos x="0" y="0"/>
                      <wp:positionH relativeFrom="column">
                        <wp:posOffset>130175</wp:posOffset>
                      </wp:positionH>
                      <wp:positionV relativeFrom="paragraph">
                        <wp:posOffset>122251</wp:posOffset>
                      </wp:positionV>
                      <wp:extent cx="5372100" cy="3479165"/>
                      <wp:effectExtent l="0" t="0" r="19050" b="0"/>
                      <wp:wrapNone/>
                      <wp:docPr id="3849"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755" name="Group 117"/>
                              <wpg:cNvGrpSpPr>
                                <a:grpSpLocks/>
                              </wpg:cNvGrpSpPr>
                              <wpg:grpSpPr bwMode="auto">
                                <a:xfrm>
                                  <a:off x="80000" y="882616"/>
                                  <a:ext cx="5265400" cy="1565329"/>
                                  <a:chOff x="2007" y="3420"/>
                                  <a:chExt cx="8292" cy="2465"/>
                                </a:xfrm>
                              </wpg:grpSpPr>
                              <wps:wsp>
                                <wps:cNvPr id="3756"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7"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758" name="Group 120"/>
                              <wpg:cNvGrpSpPr>
                                <a:grpSpLocks/>
                              </wpg:cNvGrpSpPr>
                              <wpg:grpSpPr bwMode="auto">
                                <a:xfrm>
                                  <a:off x="927700" y="1323925"/>
                                  <a:ext cx="1604000" cy="281305"/>
                                  <a:chOff x="3342" y="4115"/>
                                  <a:chExt cx="2526" cy="443"/>
                                </a:xfrm>
                              </wpg:grpSpPr>
                              <wps:wsp>
                                <wps:cNvPr id="3759"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760"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61" name="Rectangle 123"/>
                              <wps:cNvSpPr>
                                <a:spLocks noChangeArrowheads="1"/>
                              </wps:cNvSpPr>
                              <wps:spPr bwMode="auto">
                                <a:xfrm>
                                  <a:off x="1297900" y="1326525"/>
                                  <a:ext cx="910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CF7E5" w14:textId="77777777" w:rsidR="00847E53" w:rsidRDefault="00847E53" w:rsidP="00C61B40">
                                    <w:r>
                                      <w:rPr>
                                        <w:rFonts w:ascii="Arial" w:hAnsi="Arial" w:cs="Arial"/>
                                        <w:b/>
                                        <w:bCs/>
                                        <w:color w:val="FFFFFF"/>
                                        <w:sz w:val="20"/>
                                      </w:rPr>
                                      <w:t>Preparation for</w:t>
                                    </w:r>
                                  </w:p>
                                </w:txbxContent>
                              </wps:txbx>
                              <wps:bodyPr rot="0" vert="horz" wrap="none" lIns="0" tIns="0" rIns="0" bIns="0" anchor="t" anchorCtr="0" upright="1">
                                <a:spAutoFit/>
                              </wps:bodyPr>
                            </wps:wsp>
                            <wps:wsp>
                              <wps:cNvPr id="3762" name="Rectangle 124"/>
                              <wps:cNvSpPr>
                                <a:spLocks noChangeArrowheads="1"/>
                              </wps:cNvSpPr>
                              <wps:spPr bwMode="auto">
                                <a:xfrm>
                                  <a:off x="1308100" y="1471327"/>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DC64F" w14:textId="77777777" w:rsidR="00847E53" w:rsidRDefault="00847E53" w:rsidP="00C61B40">
                                    <w:r>
                                      <w:rPr>
                                        <w:rFonts w:ascii="Arial" w:hAnsi="Arial" w:cs="Arial"/>
                                        <w:b/>
                                        <w:bCs/>
                                        <w:color w:val="FFFFFF"/>
                                        <w:sz w:val="20"/>
                                      </w:rPr>
                                      <w:t>Real</w:t>
                                    </w:r>
                                  </w:p>
                                </w:txbxContent>
                              </wps:txbx>
                              <wps:bodyPr rot="0" vert="horz" wrap="none" lIns="0" tIns="0" rIns="0" bIns="0" anchor="t" anchorCtr="0" upright="1">
                                <a:spAutoFit/>
                              </wps:bodyPr>
                            </wps:wsp>
                            <wps:wsp>
                              <wps:cNvPr id="3763" name="Rectangle 125"/>
                              <wps:cNvSpPr>
                                <a:spLocks noChangeArrowheads="1"/>
                              </wps:cNvSpPr>
                              <wps:spPr bwMode="auto">
                                <a:xfrm>
                                  <a:off x="1562100" y="1471327"/>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8A8A7" w14:textId="77777777" w:rsidR="00847E53" w:rsidRDefault="00847E53" w:rsidP="00C61B40">
                                    <w:r>
                                      <w:rPr>
                                        <w:rFonts w:ascii="Arial" w:hAnsi="Arial" w:cs="Arial"/>
                                        <w:b/>
                                        <w:bCs/>
                                        <w:color w:val="FFFFFF"/>
                                        <w:sz w:val="20"/>
                                      </w:rPr>
                                      <w:t>-</w:t>
                                    </w:r>
                                  </w:p>
                                </w:txbxContent>
                              </wps:txbx>
                              <wps:bodyPr rot="0" vert="horz" wrap="none" lIns="0" tIns="0" rIns="0" bIns="0" anchor="t" anchorCtr="0" upright="1">
                                <a:spAutoFit/>
                              </wps:bodyPr>
                            </wps:wsp>
                            <wps:wsp>
                              <wps:cNvPr id="3764" name="Rectangle 126"/>
                              <wps:cNvSpPr>
                                <a:spLocks noChangeArrowheads="1"/>
                              </wps:cNvSpPr>
                              <wps:spPr bwMode="auto">
                                <a:xfrm>
                                  <a:off x="1602100" y="1471327"/>
                                  <a:ext cx="579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C3FD5" w14:textId="77777777" w:rsidR="00847E53" w:rsidRDefault="00847E53" w:rsidP="00C61B40">
                                    <w:r>
                                      <w:rPr>
                                        <w:rFonts w:ascii="Arial" w:hAnsi="Arial" w:cs="Arial"/>
                                        <w:b/>
                                        <w:bCs/>
                                        <w:color w:val="FFFFFF"/>
                                        <w:sz w:val="20"/>
                                      </w:rPr>
                                      <w:t>Time Ops</w:t>
                                    </w:r>
                                  </w:p>
                                </w:txbxContent>
                              </wps:txbx>
                              <wps:bodyPr rot="0" vert="horz" wrap="none" lIns="0" tIns="0" rIns="0" bIns="0" anchor="t" anchorCtr="0" upright="1">
                                <a:spAutoFit/>
                              </wps:bodyPr>
                            </wps:wsp>
                            <wpg:wgp>
                              <wpg:cNvPr id="3765" name="Group 127"/>
                              <wpg:cNvGrpSpPr>
                                <a:grpSpLocks/>
                              </wpg:cNvGrpSpPr>
                              <wpg:grpSpPr bwMode="auto">
                                <a:xfrm>
                                  <a:off x="160600" y="1323925"/>
                                  <a:ext cx="723300" cy="682713"/>
                                  <a:chOff x="2134" y="4115"/>
                                  <a:chExt cx="1139" cy="1075"/>
                                </a:xfrm>
                              </wpg:grpSpPr>
                              <wps:wsp>
                                <wps:cNvPr id="3766"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767"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68" name="Rectangle 130"/>
                              <wps:cNvSpPr>
                                <a:spLocks noChangeArrowheads="1"/>
                              </wps:cNvSpPr>
                              <wps:spPr bwMode="auto">
                                <a:xfrm>
                                  <a:off x="221000" y="1598930"/>
                                  <a:ext cx="635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752E5" w14:textId="77777777" w:rsidR="00847E53" w:rsidRDefault="00847E53" w:rsidP="00C61B40">
                                    <w:r>
                                      <w:rPr>
                                        <w:rFonts w:ascii="Arial" w:hAnsi="Arial" w:cs="Arial"/>
                                        <w:b/>
                                        <w:bCs/>
                                        <w:color w:val="FFFFFF"/>
                                        <w:sz w:val="20"/>
                                      </w:rPr>
                                      <w:t>Adj Period</w:t>
                                    </w:r>
                                  </w:p>
                                </w:txbxContent>
                              </wps:txbx>
                              <wps:bodyPr rot="0" vert="horz" wrap="none" lIns="0" tIns="0" rIns="0" bIns="0" anchor="t" anchorCtr="0" upright="1">
                                <a:spAutoFit/>
                              </wps:bodyPr>
                            </wps:wsp>
                            <wps:wsp>
                              <wps:cNvPr id="3769" name="Rectangle 131"/>
                              <wps:cNvSpPr>
                                <a:spLocks noChangeArrowheads="1"/>
                              </wps:cNvSpPr>
                              <wps:spPr bwMode="auto">
                                <a:xfrm>
                                  <a:off x="48300" y="2301243"/>
                                  <a:ext cx="325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8524F" w14:textId="77777777" w:rsidR="00847E53" w:rsidRDefault="00847E53" w:rsidP="00C61B40">
                                    <w:r>
                                      <w:rPr>
                                        <w:rFonts w:ascii="Arial" w:hAnsi="Arial" w:cs="Arial"/>
                                        <w:b/>
                                        <w:bCs/>
                                        <w:color w:val="000000"/>
                                        <w:sz w:val="20"/>
                                      </w:rPr>
                                      <w:t>18:00</w:t>
                                    </w:r>
                                  </w:p>
                                </w:txbxContent>
                              </wps:txbx>
                              <wps:bodyPr rot="0" vert="horz" wrap="none" lIns="0" tIns="0" rIns="0" bIns="0" anchor="t" anchorCtr="0" upright="1">
                                <a:spAutoFit/>
                              </wps:bodyPr>
                            </wps:wsp>
                            <wps:wsp>
                              <wps:cNvPr id="3770" name="Rectangle 132"/>
                              <wps:cNvSpPr>
                                <a:spLocks noChangeArrowheads="1"/>
                              </wps:cNvSpPr>
                              <wps:spPr bwMode="auto">
                                <a:xfrm>
                                  <a:off x="48300" y="2446046"/>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1F2F8" w14:textId="77777777" w:rsidR="00847E53" w:rsidRDefault="00847E53" w:rsidP="00C61B40">
                                    <w:r>
                                      <w:rPr>
                                        <w:rFonts w:ascii="Arial" w:hAnsi="Arial" w:cs="Arial"/>
                                        <w:b/>
                                        <w:bCs/>
                                        <w:color w:val="000000"/>
                                        <w:sz w:val="20"/>
                                      </w:rPr>
                                      <w:t xml:space="preserve">(D </w:t>
                                    </w:r>
                                  </w:p>
                                </w:txbxContent>
                              </wps:txbx>
                              <wps:bodyPr rot="0" vert="horz" wrap="none" lIns="0" tIns="0" rIns="0" bIns="0" anchor="t" anchorCtr="0" upright="1">
                                <a:spAutoFit/>
                              </wps:bodyPr>
                            </wps:wsp>
                            <wps:wsp>
                              <wps:cNvPr id="3771" name="Rectangle 133"/>
                              <wps:cNvSpPr>
                                <a:spLocks noChangeArrowheads="1"/>
                              </wps:cNvSpPr>
                              <wps:spPr bwMode="auto">
                                <a:xfrm>
                                  <a:off x="208900" y="2446046"/>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C9E78" w14:textId="77777777" w:rsidR="00847E53" w:rsidRDefault="00847E53" w:rsidP="00C61B40">
                                    <w:r>
                                      <w:rPr>
                                        <w:rFonts w:ascii="Arial" w:hAnsi="Arial" w:cs="Arial"/>
                                        <w:b/>
                                        <w:bCs/>
                                        <w:color w:val="000000"/>
                                        <w:sz w:val="20"/>
                                      </w:rPr>
                                      <w:t>–</w:t>
                                    </w:r>
                                  </w:p>
                                </w:txbxContent>
                              </wps:txbx>
                              <wps:bodyPr rot="0" vert="horz" wrap="none" lIns="0" tIns="0" rIns="0" bIns="0" anchor="t" anchorCtr="0" upright="1">
                                <a:spAutoFit/>
                              </wps:bodyPr>
                            </wps:wsp>
                            <wps:wsp>
                              <wps:cNvPr id="3772" name="Rectangle 134"/>
                              <wps:cNvSpPr>
                                <a:spLocks noChangeArrowheads="1"/>
                              </wps:cNvSpPr>
                              <wps:spPr bwMode="auto">
                                <a:xfrm>
                                  <a:off x="309200" y="2446046"/>
                                  <a:ext cx="113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0649B" w14:textId="77777777" w:rsidR="00847E53" w:rsidRDefault="00847E53" w:rsidP="00C61B40">
                                    <w:r>
                                      <w:rPr>
                                        <w:rFonts w:ascii="Arial" w:hAnsi="Arial" w:cs="Arial"/>
                                        <w:b/>
                                        <w:bCs/>
                                        <w:color w:val="000000"/>
                                        <w:sz w:val="20"/>
                                      </w:rPr>
                                      <w:t>1)</w:t>
                                    </w:r>
                                  </w:p>
                                </w:txbxContent>
                              </wps:txbx>
                              <wps:bodyPr rot="0" vert="horz" wrap="none" lIns="0" tIns="0" rIns="0" bIns="0" anchor="t" anchorCtr="0" upright="1">
                                <a:spAutoFit/>
                              </wps:bodyPr>
                            </wps:wsp>
                            <wps:wsp>
                              <wps:cNvPr id="3773" name="Rectangle 135"/>
                              <wps:cNvSpPr>
                                <a:spLocks noChangeArrowheads="1"/>
                              </wps:cNvSpPr>
                              <wps:spPr bwMode="auto">
                                <a:xfrm>
                                  <a:off x="552500" y="2316443"/>
                                  <a:ext cx="656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FBC6B" w14:textId="77777777" w:rsidR="00847E53" w:rsidRDefault="00847E53" w:rsidP="00C61B40">
                                    <w:r>
                                      <w:rPr>
                                        <w:rFonts w:ascii="Arial" w:hAnsi="Arial" w:cs="Arial"/>
                                        <w:b/>
                                        <w:bCs/>
                                        <w:color w:val="000000"/>
                                        <w:sz w:val="20"/>
                                      </w:rPr>
                                      <w:t>60 Minutes</w:t>
                                    </w:r>
                                  </w:p>
                                </w:txbxContent>
                              </wps:txbx>
                              <wps:bodyPr rot="0" vert="horz" wrap="none" lIns="0" tIns="0" rIns="0" bIns="0" anchor="t" anchorCtr="0" upright="1">
                                <a:spAutoFit/>
                              </wps:bodyPr>
                            </wps:wsp>
                            <wps:wsp>
                              <wps:cNvPr id="3774" name="Rectangle 136"/>
                              <wps:cNvSpPr>
                                <a:spLocks noChangeArrowheads="1"/>
                              </wps:cNvSpPr>
                              <wps:spPr bwMode="auto">
                                <a:xfrm>
                                  <a:off x="649000" y="2461846"/>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4C9A6" w14:textId="77777777" w:rsidR="00847E53" w:rsidRDefault="00847E53" w:rsidP="00C61B40">
                                    <w:r>
                                      <w:rPr>
                                        <w:rFonts w:ascii="Arial" w:hAnsi="Arial" w:cs="Arial"/>
                                        <w:b/>
                                        <w:bCs/>
                                        <w:color w:val="000000"/>
                                        <w:sz w:val="20"/>
                                      </w:rPr>
                                      <w:t>Prior to</w:t>
                                    </w:r>
                                  </w:p>
                                </w:txbxContent>
                              </wps:txbx>
                              <wps:bodyPr rot="0" vert="horz" wrap="none" lIns="0" tIns="0" rIns="0" bIns="0" anchor="t" anchorCtr="0" upright="1">
                                <a:spAutoFit/>
                              </wps:bodyPr>
                            </wps:wsp>
                            <wps:wsp>
                              <wps:cNvPr id="3775" name="Rectangle 137"/>
                              <wps:cNvSpPr>
                                <a:spLocks noChangeArrowheads="1"/>
                              </wps:cNvSpPr>
                              <wps:spPr bwMode="auto">
                                <a:xfrm>
                                  <a:off x="622300" y="2606649"/>
                                  <a:ext cx="508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45BA5" w14:textId="77777777" w:rsidR="00847E53" w:rsidRDefault="00847E53" w:rsidP="00C61B40">
                                    <w:r>
                                      <w:rPr>
                                        <w:rFonts w:ascii="Arial" w:hAnsi="Arial" w:cs="Arial"/>
                                        <w:b/>
                                        <w:bCs/>
                                        <w:color w:val="000000"/>
                                        <w:sz w:val="20"/>
                                      </w:rPr>
                                      <w:t>Op Hour</w:t>
                                    </w:r>
                                  </w:p>
                                </w:txbxContent>
                              </wps:txbx>
                              <wps:bodyPr rot="0" vert="horz" wrap="none" lIns="0" tIns="0" rIns="0" bIns="0" anchor="t" anchorCtr="0" upright="1">
                                <a:spAutoFit/>
                              </wps:bodyPr>
                            </wps:wsp>
                            <wpg:wgp>
                              <wpg:cNvPr id="3776" name="Group 138"/>
                              <wpg:cNvGrpSpPr>
                                <a:grpSpLocks/>
                              </wpg:cNvGrpSpPr>
                              <wpg:grpSpPr bwMode="auto">
                                <a:xfrm>
                                  <a:off x="202500" y="467067"/>
                                  <a:ext cx="1406500" cy="576253"/>
                                  <a:chOff x="2197" y="2598"/>
                                  <a:chExt cx="2215" cy="1075"/>
                                </a:xfrm>
                              </wpg:grpSpPr>
                              <wps:wsp>
                                <wps:cNvPr id="3777"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8"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79" name="Rectangle 141"/>
                              <wps:cNvSpPr>
                                <a:spLocks noChangeArrowheads="1"/>
                              </wps:cNvSpPr>
                              <wps:spPr bwMode="auto">
                                <a:xfrm>
                                  <a:off x="582300" y="556973"/>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D3881" w14:textId="77777777" w:rsidR="00847E53" w:rsidRDefault="00847E53" w:rsidP="00C61B40">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780" name="Rectangle 142"/>
                              <wps:cNvSpPr>
                                <a:spLocks noChangeArrowheads="1"/>
                              </wps:cNvSpPr>
                              <wps:spPr bwMode="auto">
                                <a:xfrm>
                                  <a:off x="578911" y="657459"/>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1" name="Rectangle 143"/>
                              <wps:cNvSpPr>
                                <a:spLocks noChangeArrowheads="1"/>
                              </wps:cNvSpPr>
                              <wps:spPr bwMode="auto">
                                <a:xfrm>
                                  <a:off x="262300" y="703030"/>
                                  <a:ext cx="13144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FC9DF" w14:textId="77777777" w:rsidR="00847E53" w:rsidRDefault="00847E53" w:rsidP="00C61B40">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782" name="Rectangle 144"/>
                              <wps:cNvSpPr>
                                <a:spLocks noChangeArrowheads="1"/>
                              </wps:cNvSpPr>
                              <wps:spPr bwMode="auto">
                                <a:xfrm>
                                  <a:off x="446400" y="649012"/>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8C2D5" w14:textId="77777777" w:rsidR="00847E53" w:rsidRDefault="00847E53" w:rsidP="00C61B40"/>
                                </w:txbxContent>
                              </wps:txbx>
                              <wps:bodyPr rot="0" vert="horz" wrap="none" lIns="0" tIns="0" rIns="0" bIns="0" anchor="t" anchorCtr="0" upright="1">
                                <a:spAutoFit/>
                              </wps:bodyPr>
                            </wps:wsp>
                            <wps:wsp>
                              <wps:cNvPr id="3783" name="Rectangle 145"/>
                              <wps:cNvSpPr>
                                <a:spLocks noChangeArrowheads="1"/>
                              </wps:cNvSpPr>
                              <wps:spPr bwMode="auto">
                                <a:xfrm>
                                  <a:off x="333400" y="819916"/>
                                  <a:ext cx="1087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E60B3" w14:textId="77777777" w:rsidR="00847E53" w:rsidRDefault="00847E53" w:rsidP="00C61B40">
                                    <w:r>
                                      <w:rPr>
                                        <w:rFonts w:ascii="Arial" w:hAnsi="Arial" w:cs="Arial"/>
                                        <w:b/>
                                        <w:bCs/>
                                        <w:color w:val="FFFFFF"/>
                                        <w:sz w:val="14"/>
                                        <w:szCs w:val="14"/>
                                      </w:rPr>
                                      <w:t>Update Output Schedules</w:t>
                                    </w:r>
                                  </w:p>
                                </w:txbxContent>
                              </wps:txbx>
                              <wps:bodyPr rot="0" vert="horz" wrap="none" lIns="0" tIns="0" rIns="0" bIns="0" anchor="t" anchorCtr="0" upright="1">
                                <a:spAutoFit/>
                              </wps:bodyPr>
                            </wps:wsp>
                            <wpg:wgp>
                              <wpg:cNvPr id="3786" name="Group 148"/>
                              <wpg:cNvGrpSpPr>
                                <a:grpSpLocks/>
                              </wpg:cNvGrpSpPr>
                              <wpg:grpSpPr bwMode="auto">
                                <a:xfrm>
                                  <a:off x="2411000" y="2729251"/>
                                  <a:ext cx="1447200" cy="682013"/>
                                  <a:chOff x="5678" y="6328"/>
                                  <a:chExt cx="2279" cy="1074"/>
                                </a:xfrm>
                              </wpg:grpSpPr>
                              <wps:wsp>
                                <wps:cNvPr id="3787"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8"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89" name="Rectangle 151"/>
                              <wps:cNvSpPr>
                                <a:spLocks noChangeArrowheads="1"/>
                              </wps:cNvSpPr>
                              <wps:spPr bwMode="auto">
                                <a:xfrm>
                                  <a:off x="2773000" y="2777452"/>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A82CC" w14:textId="77777777" w:rsidR="00847E53" w:rsidRDefault="00847E53" w:rsidP="00C61B40">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790"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1" name="Rectangle 153"/>
                              <wps:cNvSpPr>
                                <a:spLocks noChangeArrowheads="1"/>
                              </wps:cNvSpPr>
                              <wps:spPr bwMode="auto">
                                <a:xfrm>
                                  <a:off x="2557800" y="2889254"/>
                                  <a:ext cx="10972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AD80F" w14:textId="77777777" w:rsidR="00847E53" w:rsidRDefault="00847E53" w:rsidP="00C61B40">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792" name="Rectangle 154"/>
                              <wps:cNvSpPr>
                                <a:spLocks noChangeArrowheads="1"/>
                              </wps:cNvSpPr>
                              <wps:spPr bwMode="auto">
                                <a:xfrm>
                                  <a:off x="2515200" y="3001656"/>
                                  <a:ext cx="9442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65426" w14:textId="77777777" w:rsidR="00847E53" w:rsidRDefault="00847E53" w:rsidP="00C61B40">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793" name="Rectangle 155"/>
                              <wps:cNvSpPr>
                                <a:spLocks noChangeArrowheads="1"/>
                              </wps:cNvSpPr>
                              <wps:spPr bwMode="auto">
                                <a:xfrm>
                                  <a:off x="3474618" y="3001656"/>
                                  <a:ext cx="207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33FE7" w14:textId="77777777" w:rsidR="00847E53" w:rsidRDefault="00847E53" w:rsidP="00C61B40">
                                    <w:r>
                                      <w:rPr>
                                        <w:rFonts w:ascii="Arial" w:hAnsi="Arial" w:cs="Arial"/>
                                        <w:b/>
                                        <w:bCs/>
                                        <w:color w:val="000000"/>
                                        <w:sz w:val="14"/>
                                        <w:szCs w:val="14"/>
                                      </w:rPr>
                                      <w:t>mins</w:t>
                                    </w:r>
                                  </w:p>
                                </w:txbxContent>
                              </wps:txbx>
                              <wps:bodyPr rot="0" vert="horz" wrap="none" lIns="0" tIns="0" rIns="0" bIns="0" anchor="t" anchorCtr="0" upright="1">
                                <a:spAutoFit/>
                              </wps:bodyPr>
                            </wps:wsp>
                            <wps:wsp>
                              <wps:cNvPr id="3794"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D4FDF" w14:textId="77777777" w:rsidR="00847E53" w:rsidRDefault="00847E53" w:rsidP="00C61B40">
                                    <w:r>
                                      <w:rPr>
                                        <w:rFonts w:ascii="Arial" w:hAnsi="Arial" w:cs="Arial"/>
                                        <w:b/>
                                        <w:bCs/>
                                        <w:color w:val="000000"/>
                                        <w:sz w:val="14"/>
                                        <w:szCs w:val="14"/>
                                      </w:rPr>
                                      <w:t>Communicate Instructions,</w:t>
                                    </w:r>
                                  </w:p>
                                </w:txbxContent>
                              </wps:txbx>
                              <wps:bodyPr rot="0" vert="horz" wrap="none" lIns="0" tIns="0" rIns="0" bIns="0" anchor="t" anchorCtr="0" upright="1">
                                <a:spAutoFit/>
                              </wps:bodyPr>
                            </wps:wsp>
                            <wps:wsp>
                              <wps:cNvPr id="3795" name="Rectangle 157"/>
                              <wps:cNvSpPr>
                                <a:spLocks noChangeArrowheads="1"/>
                              </wps:cNvSpPr>
                              <wps:spPr bwMode="auto">
                                <a:xfrm>
                                  <a:off x="2723525"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06995" w14:textId="77777777" w:rsidR="00847E53" w:rsidRDefault="00847E53" w:rsidP="00C61B40">
                                    <w:r>
                                      <w:rPr>
                                        <w:rFonts w:ascii="Arial" w:hAnsi="Arial" w:cs="Arial"/>
                                        <w:b/>
                                        <w:bCs/>
                                        <w:color w:val="000000"/>
                                        <w:sz w:val="14"/>
                                        <w:szCs w:val="14"/>
                                      </w:rPr>
                                      <w:t>Awards &amp; Prices</w:t>
                                    </w:r>
                                  </w:p>
                                </w:txbxContent>
                              </wps:txbx>
                              <wps:bodyPr rot="0" vert="horz" wrap="none" lIns="0" tIns="0" rIns="0" bIns="0" anchor="t" anchorCtr="0" upright="1">
                                <a:spAutoFit/>
                              </wps:bodyPr>
                            </wps:wsp>
                            <wpg:wgp>
                              <wpg:cNvPr id="3796" name="Group 158"/>
                              <wpg:cNvGrpSpPr>
                                <a:grpSpLocks/>
                              </wpg:cNvGrpSpPr>
                              <wpg:grpSpPr bwMode="auto">
                                <a:xfrm>
                                  <a:off x="321300" y="2929855"/>
                                  <a:ext cx="964500" cy="481409"/>
                                  <a:chOff x="2387" y="6644"/>
                                  <a:chExt cx="1519" cy="758"/>
                                </a:xfrm>
                              </wpg:grpSpPr>
                              <wps:wsp>
                                <wps:cNvPr id="3797"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8"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99" name="Rectangle 161"/>
                              <wps:cNvSpPr>
                                <a:spLocks noChangeArrowheads="1"/>
                              </wps:cNvSpPr>
                              <wps:spPr bwMode="auto">
                                <a:xfrm>
                                  <a:off x="4420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C7714" w14:textId="77777777" w:rsidR="00847E53" w:rsidRDefault="00847E53" w:rsidP="00C61B40">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800"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1" name="Rectangle 163"/>
                              <wps:cNvSpPr>
                                <a:spLocks noChangeArrowheads="1"/>
                              </wps:cNvSpPr>
                              <wps:spPr bwMode="auto">
                                <a:xfrm>
                                  <a:off x="378500" y="3101958"/>
                                  <a:ext cx="7854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0B3A5" w14:textId="77777777" w:rsidR="00847E53" w:rsidRDefault="00847E53" w:rsidP="00C61B40">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802" name="Rectangle 164"/>
                              <wps:cNvSpPr>
                                <a:spLocks noChangeArrowheads="1"/>
                              </wps:cNvSpPr>
                              <wps:spPr bwMode="auto">
                                <a:xfrm>
                                  <a:off x="475600" y="3214360"/>
                                  <a:ext cx="6229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E3DD3" w14:textId="77777777" w:rsidR="00847E53" w:rsidRDefault="00847E53" w:rsidP="00C61B40">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803"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04"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05"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06"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807" name="Group 169"/>
                              <wpg:cNvGrpSpPr>
                                <a:grpSpLocks/>
                              </wpg:cNvGrpSpPr>
                              <wpg:grpSpPr bwMode="auto">
                                <a:xfrm>
                                  <a:off x="923900" y="1645231"/>
                                  <a:ext cx="2934300" cy="160703"/>
                                  <a:chOff x="3336" y="4621"/>
                                  <a:chExt cx="4621" cy="253"/>
                                </a:xfrm>
                              </wpg:grpSpPr>
                              <wps:wsp>
                                <wps:cNvPr id="3808"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809"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10" name="Rectangle 172"/>
                              <wps:cNvSpPr>
                                <a:spLocks noChangeArrowheads="1"/>
                              </wps:cNvSpPr>
                              <wps:spPr bwMode="auto">
                                <a:xfrm>
                                  <a:off x="1902500" y="1659931"/>
                                  <a:ext cx="1030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75CFD" w14:textId="77777777" w:rsidR="00847E53" w:rsidRDefault="00847E53" w:rsidP="00C61B40">
                                    <w:r>
                                      <w:rPr>
                                        <w:rFonts w:ascii="Arial" w:hAnsi="Arial" w:cs="Arial"/>
                                        <w:b/>
                                        <w:bCs/>
                                        <w:color w:val="000000"/>
                                        <w:sz w:val="20"/>
                                      </w:rPr>
                                      <w:t>Operating Period</w:t>
                                    </w:r>
                                  </w:p>
                                </w:txbxContent>
                              </wps:txbx>
                              <wps:bodyPr rot="0" vert="horz" wrap="none" lIns="0" tIns="0" rIns="0" bIns="0" anchor="t" anchorCtr="0" upright="1">
                                <a:spAutoFit/>
                              </wps:bodyPr>
                            </wps:wsp>
                            <wpg:wgp>
                              <wpg:cNvPr id="3811" name="Group 173"/>
                              <wpg:cNvGrpSpPr>
                                <a:grpSpLocks/>
                              </wpg:cNvGrpSpPr>
                              <wpg:grpSpPr bwMode="auto">
                                <a:xfrm>
                                  <a:off x="2531700" y="1845934"/>
                                  <a:ext cx="1326500" cy="160703"/>
                                  <a:chOff x="5868" y="4937"/>
                                  <a:chExt cx="2089" cy="253"/>
                                </a:xfrm>
                              </wpg:grpSpPr>
                              <wps:wsp>
                                <wps:cNvPr id="3812"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813"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14" name="Rectangle 176"/>
                              <wps:cNvSpPr>
                                <a:spLocks noChangeArrowheads="1"/>
                              </wps:cNvSpPr>
                              <wps:spPr bwMode="auto">
                                <a:xfrm>
                                  <a:off x="2689900" y="1860535"/>
                                  <a:ext cx="931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86F65" w14:textId="77777777" w:rsidR="00847E53" w:rsidRDefault="00847E53" w:rsidP="00C61B40">
                                    <w:r>
                                      <w:rPr>
                                        <w:rFonts w:ascii="Arial" w:hAnsi="Arial" w:cs="Arial"/>
                                        <w:b/>
                                        <w:bCs/>
                                        <w:color w:val="000000"/>
                                        <w:sz w:val="20"/>
                                      </w:rPr>
                                      <w:t>Operating Hour</w:t>
                                    </w:r>
                                  </w:p>
                                </w:txbxContent>
                              </wps:txbx>
                              <wps:bodyPr rot="0" vert="horz" wrap="none" lIns="0" tIns="0" rIns="0" bIns="0" anchor="t" anchorCtr="0" upright="1">
                                <a:spAutoFit/>
                              </wps:bodyPr>
                            </wps:wsp>
                            <wps:wsp>
                              <wps:cNvPr id="3815"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816" name="Rectangle 178"/>
                              <wps:cNvSpPr>
                                <a:spLocks noChangeArrowheads="1"/>
                              </wps:cNvSpPr>
                              <wps:spPr bwMode="auto">
                                <a:xfrm>
                                  <a:off x="2369800" y="2317143"/>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A4BC" w14:textId="77777777" w:rsidR="00847E53" w:rsidRDefault="00847E53" w:rsidP="00C61B40">
                                    <w:r>
                                      <w:rPr>
                                        <w:rFonts w:ascii="Arial" w:hAnsi="Arial" w:cs="Arial"/>
                                        <w:b/>
                                        <w:bCs/>
                                        <w:color w:val="000000"/>
                                        <w:sz w:val="20"/>
                                      </w:rPr>
                                      <w:t>Clock</w:t>
                                    </w:r>
                                  </w:p>
                                </w:txbxContent>
                              </wps:txbx>
                              <wps:bodyPr rot="0" vert="horz" wrap="none" lIns="0" tIns="0" rIns="0" bIns="0" anchor="t" anchorCtr="0" upright="1">
                                <a:spAutoFit/>
                              </wps:bodyPr>
                            </wps:wsp>
                            <wps:wsp>
                              <wps:cNvPr id="3817" name="Rectangle 179"/>
                              <wps:cNvSpPr>
                                <a:spLocks noChangeArrowheads="1"/>
                              </wps:cNvSpPr>
                              <wps:spPr bwMode="auto">
                                <a:xfrm>
                                  <a:off x="2393300" y="2462546"/>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0C935" w14:textId="77777777" w:rsidR="00847E53" w:rsidRDefault="00847E53" w:rsidP="00C61B40">
                                    <w:r>
                                      <w:rPr>
                                        <w:rFonts w:ascii="Arial" w:hAnsi="Arial" w:cs="Arial"/>
                                        <w:b/>
                                        <w:bCs/>
                                        <w:color w:val="000000"/>
                                        <w:sz w:val="20"/>
                                      </w:rPr>
                                      <w:t>Hour</w:t>
                                    </w:r>
                                  </w:p>
                                </w:txbxContent>
                              </wps:txbx>
                              <wps:bodyPr rot="0" vert="horz" wrap="none" lIns="0" tIns="0" rIns="0" bIns="0" anchor="t" anchorCtr="0" upright="1">
                                <a:spAutoFit/>
                              </wps:bodyPr>
                            </wps:wsp>
                            <wps:wsp>
                              <wps:cNvPr id="3818"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9"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820"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821" name="Rectangle 183"/>
                              <wps:cNvSpPr>
                                <a:spLocks noChangeArrowheads="1"/>
                              </wps:cNvSpPr>
                              <wps:spPr bwMode="auto">
                                <a:xfrm>
                                  <a:off x="3102600" y="2084739"/>
                                  <a:ext cx="78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8C13C" w14:textId="77777777" w:rsidR="00847E53" w:rsidRDefault="00847E53" w:rsidP="00C61B40">
                                    <w:r>
                                      <w:rPr>
                                        <w:rFonts w:ascii="Arial" w:hAnsi="Arial" w:cs="Arial"/>
                                        <w:b/>
                                        <w:bCs/>
                                        <w:color w:val="000000"/>
                                        <w:sz w:val="20"/>
                                      </w:rPr>
                                      <w:t>T</w:t>
                                    </w:r>
                                  </w:p>
                                </w:txbxContent>
                              </wps:txbx>
                              <wps:bodyPr rot="0" vert="horz" wrap="none" lIns="0" tIns="0" rIns="0" bIns="0" anchor="t" anchorCtr="0" upright="1">
                                <a:spAutoFit/>
                              </wps:bodyPr>
                            </wps:wsp>
                            <wps:wsp>
                              <wps:cNvPr id="3822"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23"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24"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FB446" w14:textId="77777777" w:rsidR="00847E53" w:rsidRDefault="00847E53" w:rsidP="00C61B40">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825"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6C1B1" w14:textId="77777777" w:rsidR="00847E53" w:rsidRDefault="00847E53" w:rsidP="00C61B40">
                                    <w:r>
                                      <w:rPr>
                                        <w:rFonts w:ascii="Arial" w:hAnsi="Arial" w:cs="Arial"/>
                                        <w:b/>
                                        <w:bCs/>
                                        <w:color w:val="000000"/>
                                        <w:sz w:val="34"/>
                                        <w:szCs w:val="34"/>
                                      </w:rPr>
                                      <w:t>-</w:t>
                                    </w:r>
                                  </w:p>
                                </w:txbxContent>
                              </wps:txbx>
                              <wps:bodyPr rot="0" vert="horz" wrap="none" lIns="0" tIns="0" rIns="0" bIns="0" anchor="t" anchorCtr="0" upright="1">
                                <a:spAutoFit/>
                              </wps:bodyPr>
                            </wps:wsp>
                            <wps:wsp>
                              <wps:cNvPr id="3826"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8AC55" w14:textId="77777777" w:rsidR="00847E53" w:rsidRDefault="00847E53" w:rsidP="00C61B40">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827" name="Group 189"/>
                              <wpg:cNvGrpSpPr>
                                <a:grpSpLocks/>
                              </wpg:cNvGrpSpPr>
                              <wpg:grpSpPr bwMode="auto">
                                <a:xfrm>
                                  <a:off x="2571700" y="1323925"/>
                                  <a:ext cx="1286500" cy="281305"/>
                                  <a:chOff x="5931" y="4115"/>
                                  <a:chExt cx="2026" cy="443"/>
                                </a:xfrm>
                              </wpg:grpSpPr>
                              <wps:wsp>
                                <wps:cNvPr id="3828"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829"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30" name="Rectangle 192"/>
                              <wps:cNvSpPr>
                                <a:spLocks noChangeArrowheads="1"/>
                              </wps:cNvSpPr>
                              <wps:spPr bwMode="auto">
                                <a:xfrm>
                                  <a:off x="2910800" y="1326525"/>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DBFF5" w14:textId="77777777" w:rsidR="00847E53" w:rsidRDefault="00847E53" w:rsidP="00C61B40">
                                    <w:r>
                                      <w:rPr>
                                        <w:rFonts w:ascii="Arial" w:hAnsi="Arial" w:cs="Arial"/>
                                        <w:b/>
                                        <w:bCs/>
                                        <w:color w:val="FFFFFF"/>
                                        <w:sz w:val="20"/>
                                      </w:rPr>
                                      <w:t>Real</w:t>
                                    </w:r>
                                  </w:p>
                                </w:txbxContent>
                              </wps:txbx>
                              <wps:bodyPr rot="0" vert="horz" wrap="none" lIns="0" tIns="0" rIns="0" bIns="0" anchor="t" anchorCtr="0" upright="1">
                                <a:spAutoFit/>
                              </wps:bodyPr>
                            </wps:wsp>
                            <wps:wsp>
                              <wps:cNvPr id="3831" name="Rectangle 193"/>
                              <wps:cNvSpPr>
                                <a:spLocks noChangeArrowheads="1"/>
                              </wps:cNvSpPr>
                              <wps:spPr bwMode="auto">
                                <a:xfrm>
                                  <a:off x="3164800" y="132652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E2230" w14:textId="77777777" w:rsidR="00847E53" w:rsidRDefault="00847E53" w:rsidP="00C61B40">
                                    <w:r>
                                      <w:rPr>
                                        <w:rFonts w:ascii="Arial" w:hAnsi="Arial" w:cs="Arial"/>
                                        <w:b/>
                                        <w:bCs/>
                                        <w:color w:val="FFFFFF"/>
                                        <w:sz w:val="20"/>
                                      </w:rPr>
                                      <w:t>-</w:t>
                                    </w:r>
                                  </w:p>
                                </w:txbxContent>
                              </wps:txbx>
                              <wps:bodyPr rot="0" vert="horz" wrap="none" lIns="0" tIns="0" rIns="0" bIns="0" anchor="t" anchorCtr="0" upright="1">
                                <a:spAutoFit/>
                              </wps:bodyPr>
                            </wps:wsp>
                            <wps:wsp>
                              <wps:cNvPr id="3832" name="Rectangle 194"/>
                              <wps:cNvSpPr>
                                <a:spLocks noChangeArrowheads="1"/>
                              </wps:cNvSpPr>
                              <wps:spPr bwMode="auto">
                                <a:xfrm>
                                  <a:off x="3204800" y="1326525"/>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27FAA" w14:textId="77777777" w:rsidR="00847E53" w:rsidRDefault="00847E53" w:rsidP="00C61B40">
                                    <w:r>
                                      <w:rPr>
                                        <w:rFonts w:ascii="Arial" w:hAnsi="Arial" w:cs="Arial"/>
                                        <w:b/>
                                        <w:bCs/>
                                        <w:color w:val="FFFFFF"/>
                                        <w:sz w:val="20"/>
                                      </w:rPr>
                                      <w:t xml:space="preserve">Time </w:t>
                                    </w:r>
                                  </w:p>
                                </w:txbxContent>
                              </wps:txbx>
                              <wps:bodyPr rot="0" vert="horz" wrap="none" lIns="0" tIns="0" rIns="0" bIns="0" anchor="t" anchorCtr="0" upright="1">
                                <a:spAutoFit/>
                              </wps:bodyPr>
                            </wps:wsp>
                            <wps:wsp>
                              <wps:cNvPr id="3833" name="Rectangle 195"/>
                              <wps:cNvSpPr>
                                <a:spLocks noChangeArrowheads="1"/>
                              </wps:cNvSpPr>
                              <wps:spPr bwMode="auto">
                                <a:xfrm>
                                  <a:off x="2896900" y="1471327"/>
                                  <a:ext cx="670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BAAE5" w14:textId="77777777" w:rsidR="00847E53" w:rsidRDefault="00847E53" w:rsidP="00C61B40">
                                    <w:r>
                                      <w:rPr>
                                        <w:rFonts w:ascii="Arial" w:hAnsi="Arial" w:cs="Arial"/>
                                        <w:b/>
                                        <w:bCs/>
                                        <w:color w:val="FFFFFF"/>
                                        <w:sz w:val="20"/>
                                      </w:rPr>
                                      <w:t>Operations</w:t>
                                    </w:r>
                                  </w:p>
                                </w:txbxContent>
                              </wps:txbx>
                              <wps:bodyPr rot="0" vert="horz" wrap="none" lIns="0" tIns="0" rIns="0" bIns="0" anchor="t" anchorCtr="0" upright="1">
                                <a:spAutoFit/>
                              </wps:bodyPr>
                            </wps:wsp>
                            <wpg:wgp>
                              <wpg:cNvPr id="3834" name="Group 196"/>
                              <wpg:cNvGrpSpPr>
                                <a:grpSpLocks/>
                              </wpg:cNvGrpSpPr>
                              <wpg:grpSpPr bwMode="auto">
                                <a:xfrm>
                                  <a:off x="2331000" y="444043"/>
                                  <a:ext cx="1607200" cy="599277"/>
                                  <a:chOff x="5552" y="2851"/>
                                  <a:chExt cx="2531" cy="822"/>
                                </a:xfrm>
                              </wpg:grpSpPr>
                              <wps:wsp>
                                <wps:cNvPr id="3835"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6"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37" name="Rectangle 199"/>
                              <wps:cNvSpPr>
                                <a:spLocks noChangeArrowheads="1"/>
                              </wps:cNvSpPr>
                              <wps:spPr bwMode="auto">
                                <a:xfrm>
                                  <a:off x="2821026" y="459986"/>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2C48F" w14:textId="77777777" w:rsidR="00847E53" w:rsidRDefault="00847E53" w:rsidP="00C61B40">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838" name="Rectangle 200"/>
                              <wps:cNvSpPr>
                                <a:spLocks noChangeArrowheads="1"/>
                              </wps:cNvSpPr>
                              <wps:spPr bwMode="auto">
                                <a:xfrm>
                                  <a:off x="2812400" y="562650"/>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9" name="Rectangle 201"/>
                              <wps:cNvSpPr>
                                <a:spLocks noChangeArrowheads="1"/>
                              </wps:cNvSpPr>
                              <wps:spPr bwMode="auto">
                                <a:xfrm>
                                  <a:off x="2421692" y="634003"/>
                                  <a:ext cx="13589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39566" w14:textId="20BD6961" w:rsidR="00847E53" w:rsidRDefault="00847E53" w:rsidP="00C61B40">
                                    <w:pPr>
                                      <w:rPr>
                                        <w:rFonts w:ascii="Arial" w:hAnsi="Arial" w:cs="Arial"/>
                                        <w:b/>
                                        <w:bCs/>
                                        <w:color w:val="FFFFFF"/>
                                        <w:sz w:val="14"/>
                                        <w:szCs w:val="14"/>
                                      </w:rPr>
                                    </w:pPr>
                                    <w:r>
                                      <w:rPr>
                                        <w:rFonts w:ascii="Arial" w:hAnsi="Arial" w:cs="Arial"/>
                                        <w:b/>
                                        <w:bCs/>
                                        <w:color w:val="FFFFFF"/>
                                        <w:sz w:val="14"/>
                                        <w:szCs w:val="14"/>
                                      </w:rPr>
                                      <w:t xml:space="preserve">                Update AS Offers</w:t>
                                    </w:r>
                                  </w:p>
                                  <w:p w14:paraId="37CBCE7D" w14:textId="77777777" w:rsidR="00847E53" w:rsidRDefault="00847E53" w:rsidP="00DA3C82">
                                    <w:pPr>
                                      <w:jc w:val="center"/>
                                    </w:pPr>
                                    <w:r>
                                      <w:rPr>
                                        <w:rFonts w:ascii="Arial" w:hAnsi="Arial" w:cs="Arial"/>
                                        <w:b/>
                                        <w:bCs/>
                                        <w:color w:val="FFFFFF"/>
                                        <w:sz w:val="14"/>
                                        <w:szCs w:val="14"/>
                                      </w:rPr>
                                      <w:t>Provide SCADA Telemetry</w:t>
                                    </w:r>
                                  </w:p>
                                  <w:p w14:paraId="125CB325" w14:textId="77777777" w:rsidR="00847E53" w:rsidRDefault="00847E53" w:rsidP="001138B9">
                                    <w:pPr>
                                      <w:rPr>
                                        <w:rFonts w:asciiTheme="minorHAnsi" w:hAnsiTheme="minorHAnsi" w:cstheme="minorBidi"/>
                                        <w:sz w:val="22"/>
                                        <w:szCs w:val="22"/>
                                      </w:rPr>
                                    </w:pPr>
                                    <w:r>
                                      <w:rPr>
                                        <w:rFonts w:ascii="Arial" w:hAnsi="Arial" w:cs="Arial"/>
                                        <w:b/>
                                        <w:bCs/>
                                        <w:color w:val="FFFFFF"/>
                                        <w:sz w:val="14"/>
                                        <w:szCs w:val="14"/>
                                      </w:rPr>
                                      <w:t>Update Energy Bid/Offer Curves</w:t>
                                    </w:r>
                                  </w:p>
                                  <w:p w14:paraId="24EF7B5F" w14:textId="77777777" w:rsidR="00847E53" w:rsidRDefault="00847E53" w:rsidP="00C61B40"/>
                                </w:txbxContent>
                              </wps:txbx>
                              <wps:bodyPr rot="0" vert="horz" wrap="none" lIns="0" tIns="0" rIns="0" bIns="0" anchor="t" anchorCtr="0" upright="1">
                                <a:spAutoFit/>
                              </wps:bodyPr>
                            </wps:wsp>
                            <wpg:wgp>
                              <wpg:cNvPr id="3841" name="Group 204"/>
                              <wpg:cNvGrpSpPr>
                                <a:grpSpLocks/>
                              </wpg:cNvGrpSpPr>
                              <wpg:grpSpPr bwMode="auto">
                                <a:xfrm>
                                  <a:off x="1365800" y="2929855"/>
                                  <a:ext cx="965200" cy="481409"/>
                                  <a:chOff x="4032" y="6644"/>
                                  <a:chExt cx="1520" cy="758"/>
                                </a:xfrm>
                              </wpg:grpSpPr>
                              <wps:wsp>
                                <wps:cNvPr id="384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44" name="Rectangle 207"/>
                              <wps:cNvSpPr>
                                <a:spLocks noChangeArrowheads="1"/>
                              </wps:cNvSpPr>
                              <wps:spPr bwMode="auto">
                                <a:xfrm>
                                  <a:off x="14872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95AE6" w14:textId="77777777" w:rsidR="00847E53" w:rsidRDefault="00847E53" w:rsidP="00C61B40">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84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6" name="Rectangle 209"/>
                              <wps:cNvSpPr>
                                <a:spLocks noChangeArrowheads="1"/>
                              </wps:cNvSpPr>
                              <wps:spPr bwMode="auto">
                                <a:xfrm>
                                  <a:off x="1539200" y="3101958"/>
                                  <a:ext cx="5880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E7942" w14:textId="77777777" w:rsidR="00847E53" w:rsidRDefault="00847E53" w:rsidP="00C61B40">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847" name="Rectangle 210"/>
                              <wps:cNvSpPr>
                                <a:spLocks noChangeArrowheads="1"/>
                              </wps:cNvSpPr>
                              <wps:spPr bwMode="auto">
                                <a:xfrm>
                                  <a:off x="1388100" y="3214360"/>
                                  <a:ext cx="8743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410F5" w14:textId="77777777" w:rsidR="00847E53" w:rsidRDefault="00847E53" w:rsidP="00C61B40">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84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2F430ED" id="_x0000_s1123" editas="canvas" style="position:absolute;margin-left:10.25pt;margin-top:9.65pt;width:423pt;height:273.95pt;z-index:251674624"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">
                      <v:shape id="_x0000_s1124" type="#_x0000_t75" style="position:absolute;width:53721;height:34791;visibility:visible;mso-wrap-style:square">
                        <v:fill o:detectmouseclick="t"/>
                        <v:path o:connecttype="none"/>
                      </v:shape>
                      <v:group id="Group 117" o:spid="_x0000_s1125" style="position:absolute;left:800;top:8826;width:52654;height:15653" coordorigin="2007,3420"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">
                        <v:shape id="Freeform 118" o:spid="_x0000_s1126"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" path="m6219,r,616l,616,,1849r6219,l6219,2465,8292,1233,6219,xe" fillcolor="#bbe0e3" stroked="f">
                          <v:path arrowok="t" o:connecttype="custom" o:connectlocs="6219,0;6219,616;0,616;0,1849;6219,1849;6219,2465;8292,1233;6219,0" o:connectangles="0,0,0,0,0,0,0,0"/>
                        </v:shape>
                        <v:shape id="Freeform 119" o:spid="_x0000_s1127"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128" style="position:absolute;left:9277;top:13239;width:16040;height:2813" coordorigin="3342,4115" coordsize="25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">
                        <v:shape id="Freeform 121" o:spid="_x0000_s1129"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" path="m466,c209,,,209,,467l,2334v,258,209,466,466,466l15500,2800v258,,466,-208,466,-466l15966,467c15966,209,15758,,15500,l466,xe" fillcolor="#339" strokeweight="0">
                          <v:path arrowok="t" o:connecttype="custom" o:connectlocs="2,0;0,2;0,9;2,11;61,11;63,9;63,2;61,0;2,0" o:connectangles="0,0,0,0,0,0,0,0,0"/>
                        </v:shape>
                        <v:shape id="Freeform 122" o:spid="_x0000_s1130"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131" style="position:absolute;left:12979;top:13265;width:91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" filled="f" stroked="f">
                        <v:textbox style="mso-fit-shape-to-text:t" inset="0,0,0,0">
                          <w:txbxContent>
                            <w:p w14:paraId="310CF7E5" w14:textId="77777777" w:rsidR="00847E53" w:rsidRDefault="00847E53" w:rsidP="00C61B40">
                              <w:r>
                                <w:rPr>
                                  <w:rFonts w:ascii="Arial" w:hAnsi="Arial" w:cs="Arial"/>
                                  <w:b/>
                                  <w:bCs/>
                                  <w:color w:val="FFFFFF"/>
                                  <w:sz w:val="20"/>
                                </w:rPr>
                                <w:t>Preparation for</w:t>
                              </w:r>
                            </w:p>
                          </w:txbxContent>
                        </v:textbox>
                      </v:rect>
                      <v:rect id="Rectangle 124" o:spid="_x0000_s1132" style="position:absolute;left:13081;top:14713;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" filled="f" stroked="f">
                        <v:textbox style="mso-fit-shape-to-text:t" inset="0,0,0,0">
                          <w:txbxContent>
                            <w:p w14:paraId="559DC64F" w14:textId="77777777" w:rsidR="00847E53" w:rsidRDefault="00847E53" w:rsidP="00C61B40">
                              <w:r>
                                <w:rPr>
                                  <w:rFonts w:ascii="Arial" w:hAnsi="Arial" w:cs="Arial"/>
                                  <w:b/>
                                  <w:bCs/>
                                  <w:color w:val="FFFFFF"/>
                                  <w:sz w:val="20"/>
                                </w:rPr>
                                <w:t>Real</w:t>
                              </w:r>
                            </w:p>
                          </w:txbxContent>
                        </v:textbox>
                      </v:rect>
                      <v:rect id="Rectangle 125" o:spid="_x0000_s1133" style="position:absolute;left:15621;top:14713;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" filled="f" stroked="f">
                        <v:textbox style="mso-fit-shape-to-text:t" inset="0,0,0,0">
                          <w:txbxContent>
                            <w:p w14:paraId="0B08A8A7" w14:textId="77777777" w:rsidR="00847E53" w:rsidRDefault="00847E53" w:rsidP="00C61B40">
                              <w:r>
                                <w:rPr>
                                  <w:rFonts w:ascii="Arial" w:hAnsi="Arial" w:cs="Arial"/>
                                  <w:b/>
                                  <w:bCs/>
                                  <w:color w:val="FFFFFF"/>
                                  <w:sz w:val="20"/>
                                </w:rPr>
                                <w:t>-</w:t>
                              </w:r>
                            </w:p>
                          </w:txbxContent>
                        </v:textbox>
                      </v:rect>
                      <v:rect id="Rectangle 126" o:spid="_x0000_s1134" style="position:absolute;left:16021;top:14713;width:579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" filled="f" stroked="f">
                        <v:textbox style="mso-fit-shape-to-text:t" inset="0,0,0,0">
                          <w:txbxContent>
                            <w:p w14:paraId="793C3FD5" w14:textId="77777777" w:rsidR="00847E53" w:rsidRDefault="00847E53" w:rsidP="00C61B40">
                              <w:r>
                                <w:rPr>
                                  <w:rFonts w:ascii="Arial" w:hAnsi="Arial" w:cs="Arial"/>
                                  <w:b/>
                                  <w:bCs/>
                                  <w:color w:val="FFFFFF"/>
                                  <w:sz w:val="20"/>
                                </w:rPr>
                                <w:t>Time Ops</w:t>
                              </w:r>
                            </w:p>
                          </w:txbxContent>
                        </v:textbox>
                      </v:rect>
                      <v:group id="Group 127" o:spid="_x0000_s1135" style="position:absolute;left:1606;top:13239;width:7233;height:6827" coordorigin="2134,4115" coordsize="113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">
                        <v:shape id="Freeform 128" o:spid="_x0000_s1136"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137"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138" style="position:absolute;left:2210;top:15989;width:63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" filled="f" stroked="f">
                        <v:textbox style="mso-fit-shape-to-text:t" inset="0,0,0,0">
                          <w:txbxContent>
                            <w:p w14:paraId="4F2752E5" w14:textId="77777777" w:rsidR="00847E53" w:rsidRDefault="00847E53" w:rsidP="00C61B40">
                              <w:r>
                                <w:rPr>
                                  <w:rFonts w:ascii="Arial" w:hAnsi="Arial" w:cs="Arial"/>
                                  <w:b/>
                                  <w:bCs/>
                                  <w:color w:val="FFFFFF"/>
                                  <w:sz w:val="20"/>
                                </w:rPr>
                                <w:t>Adj Period</w:t>
                              </w:r>
                            </w:p>
                          </w:txbxContent>
                        </v:textbox>
                      </v:rect>
                      <v:rect id="Rectangle 131" o:spid="_x0000_s1139" style="position:absolute;left:483;top:23012;width:325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" filled="f" stroked="f">
                        <v:textbox style="mso-fit-shape-to-text:t" inset="0,0,0,0">
                          <w:txbxContent>
                            <w:p w14:paraId="58A8524F" w14:textId="77777777" w:rsidR="00847E53" w:rsidRDefault="00847E53" w:rsidP="00C61B40">
                              <w:r>
                                <w:rPr>
                                  <w:rFonts w:ascii="Arial" w:hAnsi="Arial" w:cs="Arial"/>
                                  <w:b/>
                                  <w:bCs/>
                                  <w:color w:val="000000"/>
                                  <w:sz w:val="20"/>
                                </w:rPr>
                                <w:t>18:00</w:t>
                              </w:r>
                            </w:p>
                          </w:txbxContent>
                        </v:textbox>
                      </v:rect>
                      <v:rect id="Rectangle 132" o:spid="_x0000_s1140" style="position:absolute;left:483;top:24460;width:134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" filled="f" stroked="f">
                        <v:textbox style="mso-fit-shape-to-text:t" inset="0,0,0,0">
                          <w:txbxContent>
                            <w:p w14:paraId="2BD1F2F8" w14:textId="77777777" w:rsidR="00847E53" w:rsidRDefault="00847E53" w:rsidP="00C61B40">
                              <w:r>
                                <w:rPr>
                                  <w:rFonts w:ascii="Arial" w:hAnsi="Arial" w:cs="Arial"/>
                                  <w:b/>
                                  <w:bCs/>
                                  <w:color w:val="000000"/>
                                  <w:sz w:val="20"/>
                                </w:rPr>
                                <w:t xml:space="preserve">(D </w:t>
                              </w:r>
                            </w:p>
                          </w:txbxContent>
                        </v:textbox>
                      </v:rect>
                      <v:rect id="Rectangle 133" o:spid="_x0000_s1141" style="position:absolute;left:2089;top:24460;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" filled="f" stroked="f">
                        <v:textbox style="mso-fit-shape-to-text:t" inset="0,0,0,0">
                          <w:txbxContent>
                            <w:p w14:paraId="5E0C9E78" w14:textId="77777777" w:rsidR="00847E53" w:rsidRDefault="00847E53" w:rsidP="00C61B40">
                              <w:r>
                                <w:rPr>
                                  <w:rFonts w:ascii="Arial" w:hAnsi="Arial" w:cs="Arial"/>
                                  <w:b/>
                                  <w:bCs/>
                                  <w:color w:val="000000"/>
                                  <w:sz w:val="20"/>
                                </w:rPr>
                                <w:t>–</w:t>
                              </w:r>
                            </w:p>
                          </w:txbxContent>
                        </v:textbox>
                      </v:rect>
                      <v:rect id="Rectangle 134" o:spid="_x0000_s1142" style="position:absolute;left:3092;top:24460;width:113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" filled="f" stroked="f">
                        <v:textbox style="mso-fit-shape-to-text:t" inset="0,0,0,0">
                          <w:txbxContent>
                            <w:p w14:paraId="1620649B" w14:textId="77777777" w:rsidR="00847E53" w:rsidRDefault="00847E53" w:rsidP="00C61B40">
                              <w:r>
                                <w:rPr>
                                  <w:rFonts w:ascii="Arial" w:hAnsi="Arial" w:cs="Arial"/>
                                  <w:b/>
                                  <w:bCs/>
                                  <w:color w:val="000000"/>
                                  <w:sz w:val="20"/>
                                </w:rPr>
                                <w:t>1)</w:t>
                              </w:r>
                            </w:p>
                          </w:txbxContent>
                        </v:textbox>
                      </v:rect>
                      <v:rect id="Rectangle 135" o:spid="_x0000_s1143" style="position:absolute;left:5525;top:23164;width:65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" filled="f" stroked="f">
                        <v:textbox style="mso-fit-shape-to-text:t" inset="0,0,0,0">
                          <w:txbxContent>
                            <w:p w14:paraId="35EFBC6B" w14:textId="77777777" w:rsidR="00847E53" w:rsidRDefault="00847E53" w:rsidP="00C61B40">
                              <w:r>
                                <w:rPr>
                                  <w:rFonts w:ascii="Arial" w:hAnsi="Arial" w:cs="Arial"/>
                                  <w:b/>
                                  <w:bCs/>
                                  <w:color w:val="000000"/>
                                  <w:sz w:val="20"/>
                                </w:rPr>
                                <w:t>60 Minutes</w:t>
                              </w:r>
                            </w:p>
                          </w:txbxContent>
                        </v:textbox>
                      </v:rect>
                      <v:rect id="Rectangle 136" o:spid="_x0000_s1144" style="position:absolute;left:6490;top:24618;width:452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" filled="f" stroked="f">
                        <v:textbox style="mso-fit-shape-to-text:t" inset="0,0,0,0">
                          <w:txbxContent>
                            <w:p w14:paraId="5994C9A6" w14:textId="77777777" w:rsidR="00847E53" w:rsidRDefault="00847E53" w:rsidP="00C61B40">
                              <w:r>
                                <w:rPr>
                                  <w:rFonts w:ascii="Arial" w:hAnsi="Arial" w:cs="Arial"/>
                                  <w:b/>
                                  <w:bCs/>
                                  <w:color w:val="000000"/>
                                  <w:sz w:val="20"/>
                                </w:rPr>
                                <w:t>Prior to</w:t>
                              </w:r>
                            </w:p>
                          </w:txbxContent>
                        </v:textbox>
                      </v:rect>
                      <v:rect id="Rectangle 137" o:spid="_x0000_s1145" style="position:absolute;left:6223;top:26066;width:508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" filled="f" stroked="f">
                        <v:textbox style="mso-fit-shape-to-text:t" inset="0,0,0,0">
                          <w:txbxContent>
                            <w:p w14:paraId="39C45BA5" w14:textId="77777777" w:rsidR="00847E53" w:rsidRDefault="00847E53" w:rsidP="00C61B40">
                              <w:r>
                                <w:rPr>
                                  <w:rFonts w:ascii="Arial" w:hAnsi="Arial" w:cs="Arial"/>
                                  <w:b/>
                                  <w:bCs/>
                                  <w:color w:val="000000"/>
                                  <w:sz w:val="20"/>
                                </w:rPr>
                                <w:t>Op Hour</w:t>
                              </w:r>
                            </w:p>
                          </w:txbxContent>
                        </v:textbox>
                      </v:rect>
                      <v:group id="Group 138" o:spid="_x0000_s1146" style="position:absolute;left:2025;top:4670;width:14065;height:5763" coordorigin="2197,2598" coordsize="2215,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">
                        <v:rect id="Rectangle 139" o:spid="_x0000_s1147"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" fillcolor="#936" stroked="f"/>
                        <v:rect id="Rectangle 140" o:spid="_x0000_s1148"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" filled="f" strokeweight="22e-5mm">
                          <v:stroke endcap="round"/>
                        </v:rect>
                      </v:group>
                      <v:rect id="Rectangle 141" o:spid="_x0000_s1149" style="position:absolute;left:5823;top:5569;width:6127;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" filled="f" stroked="f">
                        <v:textbox style="mso-fit-shape-to-text:t" inset="0,0,0,0">
                          <w:txbxContent>
                            <w:p w14:paraId="413D3881" w14:textId="77777777" w:rsidR="00847E53" w:rsidRDefault="00847E53" w:rsidP="00C61B40">
                              <w:r>
                                <w:rPr>
                                  <w:rFonts w:ascii="Arial" w:hAnsi="Arial" w:cs="Arial"/>
                                  <w:b/>
                                  <w:bCs/>
                                  <w:color w:val="FFFFFF"/>
                                  <w:sz w:val="14"/>
                                  <w:szCs w:val="14"/>
                                </w:rPr>
                                <w:t>QSE Deadline:</w:t>
                              </w:r>
                            </w:p>
                          </w:txbxContent>
                        </v:textbox>
                      </v:rect>
                      <v:rect id="Rectangle 142" o:spid="_x0000_s1150" style="position:absolute;left:5789;top:6574;width:645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" stroked="f"/>
                      <v:rect id="Rectangle 143" o:spid="_x0000_s1151" style="position:absolute;left:2623;top:7030;width:1314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" filled="f" stroked="f">
                        <v:textbox style="mso-fit-shape-to-text:t" inset="0,0,0,0">
                          <w:txbxContent>
                            <w:p w14:paraId="6E9FC9DF" w14:textId="77777777" w:rsidR="00847E53" w:rsidRDefault="00847E53" w:rsidP="00C61B40">
                              <w:r>
                                <w:rPr>
                                  <w:rFonts w:ascii="Arial" w:hAnsi="Arial" w:cs="Arial"/>
                                  <w:b/>
                                  <w:bCs/>
                                  <w:color w:val="FFFFFF"/>
                                  <w:sz w:val="14"/>
                                  <w:szCs w:val="14"/>
                                </w:rPr>
                                <w:t>Update Energy Bids and Offers</w:t>
                              </w:r>
                            </w:p>
                          </w:txbxContent>
                        </v:textbox>
                      </v:rect>
                      <v:rect id="Rectangle 144" o:spid="_x0000_s1152" style="position:absolute;left:4464;top:6490;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" filled="f" stroked="f">
                        <v:textbox style="mso-fit-shape-to-text:t" inset="0,0,0,0">
                          <w:txbxContent>
                            <w:p w14:paraId="2868C2D5" w14:textId="77777777" w:rsidR="00847E53" w:rsidRDefault="00847E53" w:rsidP="00C61B40"/>
                          </w:txbxContent>
                        </v:textbox>
                      </v:rect>
                      <v:rect id="Rectangle 145" o:spid="_x0000_s1153" style="position:absolute;left:3334;top:8199;width:1087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" filled="f" stroked="f">
                        <v:textbox style="mso-fit-shape-to-text:t" inset="0,0,0,0">
                          <w:txbxContent>
                            <w:p w14:paraId="6D9E60B3" w14:textId="77777777" w:rsidR="00847E53" w:rsidRDefault="00847E53" w:rsidP="00C61B40">
                              <w:r>
                                <w:rPr>
                                  <w:rFonts w:ascii="Arial" w:hAnsi="Arial" w:cs="Arial"/>
                                  <w:b/>
                                  <w:bCs/>
                                  <w:color w:val="FFFFFF"/>
                                  <w:sz w:val="14"/>
                                  <w:szCs w:val="14"/>
                                </w:rPr>
                                <w:t>Update Output Schedules</w:t>
                              </w:r>
                            </w:p>
                          </w:txbxContent>
                        </v:textbox>
                      </v:rect>
                      <v:group id="Group 148" o:spid="_x0000_s1154" style="position:absolute;left:24110;top:27292;width:14472;height:6820" coordorigin="5678,6328" coordsize="2279,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">
                        <v:rect id="Rectangle 149" o:spid="_x0000_s1155"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" fillcolor="silver" stroked="f"/>
                        <v:rect id="Rectangle 150" o:spid="_x0000_s1156"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" filled="f" strokeweight="22e-5mm">
                          <v:stroke endcap="round"/>
                        </v:rect>
                      </v:group>
                      <v:rect id="Rectangle 151" o:spid="_x0000_s1157" style="position:absolute;left:27730;top:27774;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" filled="f" stroked="f">
                        <v:textbox style="mso-fit-shape-to-text:t" inset="0,0,0,0">
                          <w:txbxContent>
                            <w:p w14:paraId="783A82CC" w14:textId="77777777" w:rsidR="00847E53" w:rsidRDefault="00847E53" w:rsidP="00C61B40">
                              <w:r>
                                <w:rPr>
                                  <w:rFonts w:ascii="Arial" w:hAnsi="Arial" w:cs="Arial"/>
                                  <w:b/>
                                  <w:bCs/>
                                  <w:color w:val="000000"/>
                                  <w:sz w:val="14"/>
                                  <w:szCs w:val="14"/>
                                </w:rPr>
                                <w:t>ERCOT Activity:</w:t>
                              </w:r>
                            </w:p>
                          </w:txbxContent>
                        </v:textbox>
                      </v:rect>
                      <v:rect id="Rectangle 152" o:spid="_x0000_s1158" style="position:absolute;left:27730;top:28746;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" fillcolor="black" stroked="f"/>
                      <v:rect id="Rectangle 153" o:spid="_x0000_s1159" style="position:absolute;left:25578;top:28892;width:1097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" filled="f" stroked="f">
                        <v:textbox style="mso-fit-shape-to-text:t" inset="0,0,0,0">
                          <w:txbxContent>
                            <w:p w14:paraId="065AD80F" w14:textId="77777777" w:rsidR="00847E53" w:rsidRDefault="00847E53" w:rsidP="00C61B40">
                              <w:r>
                                <w:rPr>
                                  <w:rFonts w:ascii="Arial" w:hAnsi="Arial" w:cs="Arial"/>
                                  <w:b/>
                                  <w:bCs/>
                                  <w:color w:val="000000"/>
                                  <w:sz w:val="14"/>
                                  <w:szCs w:val="14"/>
                                </w:rPr>
                                <w:t>LFC Process every 4 secs</w:t>
                              </w:r>
                            </w:p>
                          </w:txbxContent>
                        </v:textbox>
                      </v:rect>
                      <v:rect id="Rectangle 154" o:spid="_x0000_s1160" style="position:absolute;left:25152;top:30016;width:944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" filled="f" stroked="f">
                        <v:textbox style="mso-fit-shape-to-text:t" inset="0,0,0,0">
                          <w:txbxContent>
                            <w:p w14:paraId="5EA65426" w14:textId="77777777" w:rsidR="00847E53" w:rsidRDefault="00847E53" w:rsidP="00C61B40">
                              <w:r>
                                <w:rPr>
                                  <w:rFonts w:ascii="Arial" w:hAnsi="Arial" w:cs="Arial"/>
                                  <w:b/>
                                  <w:bCs/>
                                  <w:color w:val="000000"/>
                                  <w:sz w:val="14"/>
                                  <w:szCs w:val="14"/>
                                </w:rPr>
                                <w:t xml:space="preserve">Execute SCED every 5 </w:t>
                              </w:r>
                            </w:p>
                          </w:txbxContent>
                        </v:textbox>
                      </v:rect>
                      <v:rect id="Rectangle 155" o:spid="_x0000_s1161" style="position:absolute;left:34746;top:30016;width:207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" filled="f" stroked="f">
                        <v:textbox style="mso-fit-shape-to-text:t" inset="0,0,0,0">
                          <w:txbxContent>
                            <w:p w14:paraId="7A033FE7" w14:textId="77777777" w:rsidR="00847E53" w:rsidRDefault="00847E53" w:rsidP="00C61B40">
                              <w:r>
                                <w:rPr>
                                  <w:rFonts w:ascii="Arial" w:hAnsi="Arial" w:cs="Arial"/>
                                  <w:b/>
                                  <w:bCs/>
                                  <w:color w:val="000000"/>
                                  <w:sz w:val="14"/>
                                  <w:szCs w:val="14"/>
                                </w:rPr>
                                <w:t>mins</w:t>
                              </w:r>
                            </w:p>
                          </w:txbxContent>
                        </v:textbox>
                      </v:rect>
                      <v:rect id="Rectangle 156" o:spid="_x0000_s1162" style="position:absolute;left:25457;top:31140;width:1146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" filled="f" stroked="f">
                        <v:textbox style="mso-fit-shape-to-text:t" inset="0,0,0,0">
                          <w:txbxContent>
                            <w:p w14:paraId="403D4FDF" w14:textId="77777777" w:rsidR="00847E53" w:rsidRDefault="00847E53" w:rsidP="00C61B40">
                              <w:r>
                                <w:rPr>
                                  <w:rFonts w:ascii="Arial" w:hAnsi="Arial" w:cs="Arial"/>
                                  <w:b/>
                                  <w:bCs/>
                                  <w:color w:val="000000"/>
                                  <w:sz w:val="14"/>
                                  <w:szCs w:val="14"/>
                                </w:rPr>
                                <w:t>Communicate Instructions,</w:t>
                              </w:r>
                            </w:p>
                          </w:txbxContent>
                        </v:textbox>
                      </v:rect>
                      <v:rect id="Rectangle 157" o:spid="_x0000_s1163" style="position:absolute;left:27235;top:32251;width:701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" filled="f" stroked="f">
                        <v:textbox style="mso-fit-shape-to-text:t" inset="0,0,0,0">
                          <w:txbxContent>
                            <w:p w14:paraId="7C006995" w14:textId="77777777" w:rsidR="00847E53" w:rsidRDefault="00847E53" w:rsidP="00C61B40">
                              <w:r>
                                <w:rPr>
                                  <w:rFonts w:ascii="Arial" w:hAnsi="Arial" w:cs="Arial"/>
                                  <w:b/>
                                  <w:bCs/>
                                  <w:color w:val="000000"/>
                                  <w:sz w:val="14"/>
                                  <w:szCs w:val="14"/>
                                </w:rPr>
                                <w:t>Awards &amp; Prices</w:t>
                              </w:r>
                            </w:p>
                          </w:txbxContent>
                        </v:textbox>
                      </v:rect>
                      <v:group id="Group 158" o:spid="_x0000_s1164" style="position:absolute;left:3213;top:29298;width:9645;height:4814" coordorigin="2387,6644" coordsize="151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">
                        <v:rect id="Rectangle 159" o:spid="_x0000_s1165"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" fillcolor="silver" stroked="f"/>
                        <v:rect id="Rectangle 160" o:spid="_x0000_s1166"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" filled="f" strokeweight="22e-5mm">
                          <v:stroke endcap="round"/>
                        </v:rect>
                      </v:group>
                      <v:rect id="Rectangle 161" o:spid="_x0000_s1167" style="position:absolute;left:4420;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" filled="f" stroked="f">
                        <v:textbox style="mso-fit-shape-to-text:t" inset="0,0,0,0">
                          <w:txbxContent>
                            <w:p w14:paraId="348C7714" w14:textId="77777777" w:rsidR="00847E53" w:rsidRDefault="00847E53" w:rsidP="00C61B40">
                              <w:r>
                                <w:rPr>
                                  <w:rFonts w:ascii="Arial" w:hAnsi="Arial" w:cs="Arial"/>
                                  <w:b/>
                                  <w:bCs/>
                                  <w:color w:val="000000"/>
                                  <w:sz w:val="14"/>
                                  <w:szCs w:val="14"/>
                                </w:rPr>
                                <w:t>ERCOT Activity:</w:t>
                              </w:r>
                            </w:p>
                          </w:txbxContent>
                        </v:textbox>
                      </v:rect>
                      <v:rect id="Rectangle 162" o:spid="_x0000_s1168" style="position:absolute;left:4419;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" fillcolor="black" stroked="f"/>
                      <v:rect id="Rectangle 163" o:spid="_x0000_s1169" style="position:absolute;left:3785;top:31019;width:785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" filled="f" stroked="f">
                        <v:textbox style="mso-fit-shape-to-text:t" inset="0,0,0,0">
                          <w:txbxContent>
                            <w:p w14:paraId="0A60B3A5" w14:textId="77777777" w:rsidR="00847E53" w:rsidRDefault="00847E53" w:rsidP="00C61B40">
                              <w:r>
                                <w:rPr>
                                  <w:rFonts w:ascii="Arial" w:hAnsi="Arial" w:cs="Arial"/>
                                  <w:b/>
                                  <w:bCs/>
                                  <w:color w:val="000000"/>
                                  <w:sz w:val="14"/>
                                  <w:szCs w:val="14"/>
                                </w:rPr>
                                <w:t xml:space="preserve">Snapshot Inputs &amp; </w:t>
                              </w:r>
                            </w:p>
                          </w:txbxContent>
                        </v:textbox>
                      </v:rect>
                      <v:rect id="Rectangle 164" o:spid="_x0000_s1170" style="position:absolute;left:4756;top:32143;width:622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" filled="f" stroked="f">
                        <v:textbox style="mso-fit-shape-to-text:t" inset="0,0,0,0">
                          <w:txbxContent>
                            <w:p w14:paraId="1FCE3DD3" w14:textId="77777777" w:rsidR="00847E53" w:rsidRDefault="00847E53" w:rsidP="00C61B40">
                              <w:r>
                                <w:rPr>
                                  <w:rFonts w:ascii="Arial" w:hAnsi="Arial" w:cs="Arial"/>
                                  <w:b/>
                                  <w:bCs/>
                                  <w:color w:val="000000"/>
                                  <w:sz w:val="14"/>
                                  <w:szCs w:val="14"/>
                                </w:rPr>
                                <w:t>Execute HRUC</w:t>
                              </w:r>
                            </w:p>
                          </w:txbxContent>
                        </v:textbox>
                      </v:rect>
                      <v:shape id="Freeform 165" o:spid="_x0000_s1171" style="position:absolute;left:9042;top:10433;width:400;height:1606;visibility:visible;mso-wrap-style:square;v-text-anchor:top" coordsize="6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172" style="position:absolute;left:31546;top:9626;width:400;height:2413;visibility:visible;mso-wrap-style:square;v-text-anchor:top" coordsize="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173" style="position:absolute;left:7835;top:28092;width:400;height:1206;visibility:visible;mso-wrap-style:square;v-text-anchor:top" coordsize="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174" style="position:absolute;left:31146;top:25285;width:400;height:2007;visibility:visible;mso-wrap-style:square;v-text-anchor:top" coordsize="6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175" style="position:absolute;left:9239;top:16452;width:29343;height:1607" coordorigin="3336,4621" coordsize="462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">
                        <v:shape id="Freeform 170" o:spid="_x0000_s1176"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" path="m134,c60,,,60,,134l,667v,74,60,133,134,133l14467,800v74,,133,-59,133,-133l14600,134c14600,60,14541,,14467,l134,xe" fillcolor="silver" strokeweight="0">
                          <v:path arrowok="t" o:connecttype="custom" o:connectlocs="4,0;0,4;0,21;4,25;459,25;463,21;463,4;459,0;4,0" o:connectangles="0,0,0,0,0,0,0,0,0"/>
                        </v:shape>
                        <v:shape id="Freeform 171" o:spid="_x0000_s1177"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178" style="position:absolute;left:19025;top:16599;width:1030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" filled="f" stroked="f">
                        <v:textbox style="mso-fit-shape-to-text:t" inset="0,0,0,0">
                          <w:txbxContent>
                            <w:p w14:paraId="51F75CFD" w14:textId="77777777" w:rsidR="00847E53" w:rsidRDefault="00847E53" w:rsidP="00C61B40">
                              <w:r>
                                <w:rPr>
                                  <w:rFonts w:ascii="Arial" w:hAnsi="Arial" w:cs="Arial"/>
                                  <w:b/>
                                  <w:bCs/>
                                  <w:color w:val="000000"/>
                                  <w:sz w:val="20"/>
                                </w:rPr>
                                <w:t>Operating Period</w:t>
                              </w:r>
                            </w:p>
                          </w:txbxContent>
                        </v:textbox>
                      </v:rect>
                      <v:group id="Group 173" o:spid="_x0000_s1179" style="position:absolute;left:25317;top:18459;width:13265;height:1607" coordorigin="5868,4937" coordsize="208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">
                        <v:shape id="Freeform 174" o:spid="_x0000_s1180"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" path="m134,c60,,,60,,134l,667v,74,60,133,134,133l6467,800v74,,133,-59,133,-133l6600,134c6600,60,6541,,6467,l134,xe" fillcolor="silver" strokeweight="0">
                          <v:path arrowok="t" o:connecttype="custom" o:connectlocs="4,0;0,4;0,21;4,25;205,25;209,21;209,4;205,0;4,0" o:connectangles="0,0,0,0,0,0,0,0,0"/>
                        </v:shape>
                        <v:shape id="Freeform 175" o:spid="_x0000_s1181"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182" style="position:absolute;left:26899;top:18605;width:931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" filled="f" stroked="f">
                        <v:textbox style="mso-fit-shape-to-text:t" inset="0,0,0,0">
                          <w:txbxContent>
                            <w:p w14:paraId="26086F65" w14:textId="77777777" w:rsidR="00847E53" w:rsidRDefault="00847E53" w:rsidP="00C61B40">
                              <w:r>
                                <w:rPr>
                                  <w:rFonts w:ascii="Arial" w:hAnsi="Arial" w:cs="Arial"/>
                                  <w:b/>
                                  <w:bCs/>
                                  <w:color w:val="000000"/>
                                  <w:sz w:val="20"/>
                                </w:rPr>
                                <w:t>Operating Hour</w:t>
                              </w:r>
                            </w:p>
                          </w:txbxContent>
                        </v:textbox>
                      </v:rect>
                      <v:line id="Line 177" o:spid="_x0000_s1183" style="position:absolute;visibility:visible;mso-wrap-style:square" from="25317,20466" to="25317,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" strokeweight="58e-5mm"/>
                      <v:rect id="Rectangle 178" o:spid="_x0000_s1184" style="position:absolute;left:23698;top:23171;width:346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" filled="f" stroked="f">
                        <v:textbox style="mso-fit-shape-to-text:t" inset="0,0,0,0">
                          <w:txbxContent>
                            <w:p w14:paraId="009CA4BC" w14:textId="77777777" w:rsidR="00847E53" w:rsidRDefault="00847E53" w:rsidP="00C61B40">
                              <w:r>
                                <w:rPr>
                                  <w:rFonts w:ascii="Arial" w:hAnsi="Arial" w:cs="Arial"/>
                                  <w:b/>
                                  <w:bCs/>
                                  <w:color w:val="000000"/>
                                  <w:sz w:val="20"/>
                                </w:rPr>
                                <w:t>Clock</w:t>
                              </w:r>
                            </w:p>
                          </w:txbxContent>
                        </v:textbox>
                      </v:rect>
                      <v:rect id="Rectangle 179" o:spid="_x0000_s1185" style="position:absolute;left:23933;top:2462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" filled="f" stroked="f">
                        <v:textbox style="mso-fit-shape-to-text:t" inset="0,0,0,0">
                          <w:txbxContent>
                            <w:p w14:paraId="0300C935" w14:textId="77777777" w:rsidR="00847E53" w:rsidRDefault="00847E53" w:rsidP="00C61B40">
                              <w:r>
                                <w:rPr>
                                  <w:rFonts w:ascii="Arial" w:hAnsi="Arial" w:cs="Arial"/>
                                  <w:b/>
                                  <w:bCs/>
                                  <w:color w:val="000000"/>
                                  <w:sz w:val="20"/>
                                </w:rPr>
                                <w:t>Hour</w:t>
                              </w:r>
                            </w:p>
                          </w:txbxContent>
                        </v:textbox>
                      </v:rect>
                      <v:shape id="Freeform 180" o:spid="_x0000_s1186" style="position:absolute;left:25317;top:21266;width:13265;height:3213;visibility:visible;mso-wrap-style:square;v-text-anchor:top" coordsize="660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187" style="position:absolute;visibility:visible;mso-wrap-style:square" from="8439,20466" to="8439,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" strokeweight="58e-5mm"/>
                      <v:line id="Line 182" o:spid="_x0000_s1188" style="position:absolute;visibility:visible;mso-wrap-style:square" from="2406,20466" to="2406,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" strokeweight="58e-5mm"/>
                      <v:rect id="Rectangle 183" o:spid="_x0000_s1189" style="position:absolute;left:31026;top:20847;width:78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" filled="f" stroked="f">
                        <v:textbox style="mso-fit-shape-to-text:t" inset="0,0,0,0">
                          <w:txbxContent>
                            <w:p w14:paraId="6738C13C" w14:textId="77777777" w:rsidR="00847E53" w:rsidRDefault="00847E53" w:rsidP="00C61B40">
                              <w:r>
                                <w:rPr>
                                  <w:rFonts w:ascii="Arial" w:hAnsi="Arial" w:cs="Arial"/>
                                  <w:b/>
                                  <w:bCs/>
                                  <w:color w:val="000000"/>
                                  <w:sz w:val="20"/>
                                </w:rPr>
                                <w:t>T</w:t>
                              </w:r>
                            </w:p>
                          </w:txbxContent>
                        </v:textbox>
                      </v:rect>
                      <v:shape id="Freeform 184" o:spid="_x0000_s1190" style="position:absolute;left:26123;top:21469;width:4420;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191" style="position:absolute;left:32150;top:21469;width:4419;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192" style="position:absolute;left:2489;top:387;width:2651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" filled="f" stroked="f">
                        <v:textbox style="mso-fit-shape-to-text:t" inset="0,0,0,0">
                          <w:txbxContent>
                            <w:p w14:paraId="224FB446" w14:textId="77777777" w:rsidR="00847E53" w:rsidRDefault="00847E53" w:rsidP="00C61B40">
                              <w:r>
                                <w:rPr>
                                  <w:rFonts w:ascii="Arial" w:hAnsi="Arial" w:cs="Arial"/>
                                  <w:b/>
                                  <w:bCs/>
                                  <w:color w:val="000000"/>
                                  <w:sz w:val="34"/>
                                  <w:szCs w:val="34"/>
                                </w:rPr>
                                <w:t>Adjustment Period &amp; Real</w:t>
                              </w:r>
                            </w:p>
                          </w:txbxContent>
                        </v:textbox>
                      </v:rect>
                      <v:rect id="Rectangle 187" o:spid="_x0000_s1193" style="position:absolute;left:28791;top:387;width:724;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" filled="f" stroked="f">
                        <v:textbox style="mso-fit-shape-to-text:t" inset="0,0,0,0">
                          <w:txbxContent>
                            <w:p w14:paraId="7D16C1B1" w14:textId="77777777" w:rsidR="00847E53" w:rsidRDefault="00847E53" w:rsidP="00C61B40">
                              <w:r>
                                <w:rPr>
                                  <w:rFonts w:ascii="Arial" w:hAnsi="Arial" w:cs="Arial"/>
                                  <w:b/>
                                  <w:bCs/>
                                  <w:color w:val="000000"/>
                                  <w:sz w:val="34"/>
                                  <w:szCs w:val="34"/>
                                </w:rPr>
                                <w:t>-</w:t>
                              </w:r>
                            </w:p>
                          </w:txbxContent>
                        </v:textbox>
                      </v:rect>
                      <v:rect id="Rectangle 188" o:spid="_x0000_s1194" style="position:absolute;left:29508;top:387;width:1703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" filled="f" stroked="f">
                        <v:textbox style="mso-fit-shape-to-text:t" inset="0,0,0,0">
                          <w:txbxContent>
                            <w:p w14:paraId="5A38AC55" w14:textId="77777777" w:rsidR="00847E53" w:rsidRDefault="00847E53" w:rsidP="00C61B40">
                              <w:r>
                                <w:rPr>
                                  <w:rFonts w:ascii="Arial" w:hAnsi="Arial" w:cs="Arial"/>
                                  <w:b/>
                                  <w:bCs/>
                                  <w:color w:val="000000"/>
                                  <w:sz w:val="34"/>
                                  <w:szCs w:val="34"/>
                                </w:rPr>
                                <w:t>Time Operations</w:t>
                              </w:r>
                            </w:p>
                          </w:txbxContent>
                        </v:textbox>
                      </v:rect>
                      <v:group id="Group 189" o:spid="_x0000_s1195" style="position:absolute;left:25717;top:13239;width:12865;height:2813" coordorigin="5931,4115" coordsize="20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">
                        <v:shape id="Freeform 190" o:spid="_x0000_s1196"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" path="m234,c105,,,105,,234r,933c,1296,105,1400,234,1400r5933,c6296,1400,6400,1296,6400,1167r,-933c6400,105,6296,,6167,l234,xe" fillcolor="#339" strokeweight="0">
                          <v:path arrowok="t" o:connecttype="custom" o:connectlocs="7,0;0,7;0,37;7,44;196,44;203,37;203,7;196,0;7,0" o:connectangles="0,0,0,0,0,0,0,0,0"/>
                        </v:shape>
                        <v:shape id="Freeform 191" o:spid="_x0000_s1197"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98" style="position:absolute;left:29108;top:13265;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" filled="f" stroked="f">
                        <v:textbox style="mso-fit-shape-to-text:t" inset="0,0,0,0">
                          <w:txbxContent>
                            <w:p w14:paraId="453DBFF5" w14:textId="77777777" w:rsidR="00847E53" w:rsidRDefault="00847E53" w:rsidP="00C61B40">
                              <w:r>
                                <w:rPr>
                                  <w:rFonts w:ascii="Arial" w:hAnsi="Arial" w:cs="Arial"/>
                                  <w:b/>
                                  <w:bCs/>
                                  <w:color w:val="FFFFFF"/>
                                  <w:sz w:val="20"/>
                                </w:rPr>
                                <w:t>Real</w:t>
                              </w:r>
                            </w:p>
                          </w:txbxContent>
                        </v:textbox>
                      </v:rect>
                      <v:rect id="Rectangle 193" o:spid="_x0000_s1199" style="position:absolute;left:31648;top:13265;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" filled="f" stroked="f">
                        <v:textbox style="mso-fit-shape-to-text:t" inset="0,0,0,0">
                          <w:txbxContent>
                            <w:p w14:paraId="4DDE2230" w14:textId="77777777" w:rsidR="00847E53" w:rsidRDefault="00847E53" w:rsidP="00C61B40">
                              <w:r>
                                <w:rPr>
                                  <w:rFonts w:ascii="Arial" w:hAnsi="Arial" w:cs="Arial"/>
                                  <w:b/>
                                  <w:bCs/>
                                  <w:color w:val="FFFFFF"/>
                                  <w:sz w:val="20"/>
                                </w:rPr>
                                <w:t>-</w:t>
                              </w:r>
                            </w:p>
                          </w:txbxContent>
                        </v:textbox>
                      </v:rect>
                      <v:rect id="Rectangle 194" o:spid="_x0000_s1200" style="position:absolute;left:32048;top:1326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" filled="f" stroked="f">
                        <v:textbox style="mso-fit-shape-to-text:t" inset="0,0,0,0">
                          <w:txbxContent>
                            <w:p w14:paraId="6EE27FAA" w14:textId="77777777" w:rsidR="00847E53" w:rsidRDefault="00847E53" w:rsidP="00C61B40">
                              <w:r>
                                <w:rPr>
                                  <w:rFonts w:ascii="Arial" w:hAnsi="Arial" w:cs="Arial"/>
                                  <w:b/>
                                  <w:bCs/>
                                  <w:color w:val="FFFFFF"/>
                                  <w:sz w:val="20"/>
                                </w:rPr>
                                <w:t xml:space="preserve">Time </w:t>
                              </w:r>
                            </w:p>
                          </w:txbxContent>
                        </v:textbox>
                      </v:rect>
                      <v:rect id="Rectangle 195" o:spid="_x0000_s1201" style="position:absolute;left:28969;top:14713;width:67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" filled="f" stroked="f">
                        <v:textbox style="mso-fit-shape-to-text:t" inset="0,0,0,0">
                          <w:txbxContent>
                            <w:p w14:paraId="355BAAE5" w14:textId="77777777" w:rsidR="00847E53" w:rsidRDefault="00847E53" w:rsidP="00C61B40">
                              <w:r>
                                <w:rPr>
                                  <w:rFonts w:ascii="Arial" w:hAnsi="Arial" w:cs="Arial"/>
                                  <w:b/>
                                  <w:bCs/>
                                  <w:color w:val="FFFFFF"/>
                                  <w:sz w:val="20"/>
                                </w:rPr>
                                <w:t>Operations</w:t>
                              </w:r>
                            </w:p>
                          </w:txbxContent>
                        </v:textbox>
                      </v:rect>
                      <v:group id="Group 196" o:spid="_x0000_s1202" style="position:absolute;left:23310;top:4440;width:16072;height:5993" coordorigin="5552,2851" coordsize="253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">
                        <v:rect id="Rectangle 197" o:spid="_x0000_s1203"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" fillcolor="#936" stroked="f"/>
                        <v:rect id="Rectangle 198" o:spid="_x0000_s1204"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" filled="f" strokeweight="22e-5mm">
                          <v:stroke endcap="round"/>
                        </v:rect>
                      </v:group>
                      <v:rect id="Rectangle 199" o:spid="_x0000_s1205" style="position:absolute;left:28210;top:4599;width:612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" filled="f" stroked="f">
                        <v:textbox style="mso-fit-shape-to-text:t" inset="0,0,0,0">
                          <w:txbxContent>
                            <w:p w14:paraId="5EE2C48F" w14:textId="77777777" w:rsidR="00847E53" w:rsidRDefault="00847E53" w:rsidP="00C61B40">
                              <w:r>
                                <w:rPr>
                                  <w:rFonts w:ascii="Arial" w:hAnsi="Arial" w:cs="Arial"/>
                                  <w:b/>
                                  <w:bCs/>
                                  <w:color w:val="FFFFFF"/>
                                  <w:sz w:val="14"/>
                                  <w:szCs w:val="14"/>
                                </w:rPr>
                                <w:t>QSE Deadline:</w:t>
                              </w:r>
                            </w:p>
                          </w:txbxContent>
                        </v:textbox>
                      </v:rect>
                      <v:rect id="Rectangle 200" o:spid="_x0000_s1206" style="position:absolute;left:28124;top:5626;width:645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" stroked="f"/>
                      <v:rect id="Rectangle 201" o:spid="_x0000_s1207" style="position:absolute;left:24216;top:6340;width:13589;height:48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" filled="f" stroked="f">
                        <v:textbox style="mso-fit-shape-to-text:t" inset="0,0,0,0">
                          <w:txbxContent>
                            <w:p w14:paraId="7BD39566" w14:textId="20BD6961" w:rsidR="00847E53" w:rsidRDefault="00847E53" w:rsidP="00C61B40">
                              <w:pPr>
                                <w:rPr>
                                  <w:rFonts w:ascii="Arial" w:hAnsi="Arial" w:cs="Arial"/>
                                  <w:b/>
                                  <w:bCs/>
                                  <w:color w:val="FFFFFF"/>
                                  <w:sz w:val="14"/>
                                  <w:szCs w:val="14"/>
                                </w:rPr>
                              </w:pPr>
                              <w:r>
                                <w:rPr>
                                  <w:rFonts w:ascii="Arial" w:hAnsi="Arial" w:cs="Arial"/>
                                  <w:b/>
                                  <w:bCs/>
                                  <w:color w:val="FFFFFF"/>
                                  <w:sz w:val="14"/>
                                  <w:szCs w:val="14"/>
                                </w:rPr>
                                <w:t xml:space="preserve">                Update AS Offers</w:t>
                              </w:r>
                            </w:p>
                            <w:p w14:paraId="37CBCE7D" w14:textId="77777777" w:rsidR="00847E53" w:rsidRDefault="00847E53" w:rsidP="00DA3C82">
                              <w:pPr>
                                <w:jc w:val="center"/>
                              </w:pPr>
                              <w:r>
                                <w:rPr>
                                  <w:rFonts w:ascii="Arial" w:hAnsi="Arial" w:cs="Arial"/>
                                  <w:b/>
                                  <w:bCs/>
                                  <w:color w:val="FFFFFF"/>
                                  <w:sz w:val="14"/>
                                  <w:szCs w:val="14"/>
                                </w:rPr>
                                <w:t>Provide SCADA Telemetry</w:t>
                              </w:r>
                            </w:p>
                            <w:p w14:paraId="125CB325" w14:textId="77777777" w:rsidR="00847E53" w:rsidRDefault="00847E53" w:rsidP="001138B9">
                              <w:pPr>
                                <w:rPr>
                                  <w:rFonts w:asciiTheme="minorHAnsi" w:hAnsiTheme="minorHAnsi" w:cstheme="minorBidi"/>
                                  <w:sz w:val="22"/>
                                  <w:szCs w:val="22"/>
                                </w:rPr>
                              </w:pPr>
                              <w:r>
                                <w:rPr>
                                  <w:rFonts w:ascii="Arial" w:hAnsi="Arial" w:cs="Arial"/>
                                  <w:b/>
                                  <w:bCs/>
                                  <w:color w:val="FFFFFF"/>
                                  <w:sz w:val="14"/>
                                  <w:szCs w:val="14"/>
                                </w:rPr>
                                <w:t>Update Energy Bid/Offer Curves</w:t>
                              </w:r>
                            </w:p>
                            <w:p w14:paraId="24EF7B5F" w14:textId="77777777" w:rsidR="00847E53" w:rsidRDefault="00847E53" w:rsidP="00C61B40"/>
                          </w:txbxContent>
                        </v:textbox>
                      </v:rect>
                      <v:group id="Group 204" o:spid="_x0000_s1208" style="position:absolute;left:13658;top:29298;width:9652;height:4814" coordorigin="4032,6644" coordsize="152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">
                        <v:rect id="Rectangle 205" o:spid="_x0000_s1209"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" fillcolor="silver" stroked="f"/>
                        <v:rect id="Rectangle 206" o:spid="_x0000_s1210"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" filled="f" strokeweight="22e-5mm">
                          <v:stroke endcap="round"/>
                        </v:rect>
                      </v:group>
                      <v:rect id="Rectangle 207" o:spid="_x0000_s1211" style="position:absolute;left:14872;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" filled="f" stroked="f">
                        <v:textbox style="mso-fit-shape-to-text:t" inset="0,0,0,0">
                          <w:txbxContent>
                            <w:p w14:paraId="60295AE6" w14:textId="77777777" w:rsidR="00847E53" w:rsidRDefault="00847E53" w:rsidP="00C61B40">
                              <w:r>
                                <w:rPr>
                                  <w:rFonts w:ascii="Arial" w:hAnsi="Arial" w:cs="Arial"/>
                                  <w:b/>
                                  <w:bCs/>
                                  <w:color w:val="000000"/>
                                  <w:sz w:val="14"/>
                                  <w:szCs w:val="14"/>
                                </w:rPr>
                                <w:t>ERCOT Activity:</w:t>
                              </w:r>
                            </w:p>
                          </w:txbxContent>
                        </v:textbox>
                      </v:rect>
                      <v:rect id="Rectangle 208" o:spid="_x0000_s1212" style="position:absolute;left:14871;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" fillcolor="black" stroked="f"/>
                      <v:rect id="Rectangle 209" o:spid="_x0000_s1213" style="position:absolute;left:15392;top:31019;width:588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" filled="f" stroked="f">
                        <v:textbox style="mso-fit-shape-to-text:t" inset="0,0,0,0">
                          <w:txbxContent>
                            <w:p w14:paraId="30CE7942" w14:textId="77777777" w:rsidR="00847E53" w:rsidRDefault="00847E53" w:rsidP="00C61B40">
                              <w:r>
                                <w:rPr>
                                  <w:rFonts w:ascii="Arial" w:hAnsi="Arial" w:cs="Arial"/>
                                  <w:b/>
                                  <w:bCs/>
                                  <w:color w:val="000000"/>
                                  <w:sz w:val="14"/>
                                  <w:szCs w:val="14"/>
                                </w:rPr>
                                <w:t>Communicate</w:t>
                              </w:r>
                            </w:p>
                          </w:txbxContent>
                        </v:textbox>
                      </v:rect>
                      <v:rect id="Rectangle 210" o:spid="_x0000_s1214" style="position:absolute;left:13881;top:32143;width:874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" filled="f" stroked="f">
                        <v:textbox style="mso-fit-shape-to-text:t" inset="0,0,0,0">
                          <w:txbxContent>
                            <w:p w14:paraId="5AA410F5" w14:textId="77777777" w:rsidR="00847E53" w:rsidRDefault="00847E53" w:rsidP="00C61B40">
                              <w:r>
                                <w:rPr>
                                  <w:rFonts w:ascii="Arial" w:hAnsi="Arial" w:cs="Arial"/>
                                  <w:b/>
                                  <w:bCs/>
                                  <w:color w:val="000000"/>
                                  <w:sz w:val="14"/>
                                  <w:szCs w:val="14"/>
                                </w:rPr>
                                <w:t>HRUC Commitments</w:t>
                              </w:r>
                            </w:p>
                          </w:txbxContent>
                        </v:textbox>
                      </v:rect>
                      <v:shape id="Freeform 211" o:spid="_x0000_s1215" style="position:absolute;left:18281;top:21672;width:407;height:7626;visibility:visible;mso-wrap-style:square;v-text-anchor:top" coordsize="64,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33DD6596" w14:textId="77777777" w:rsidR="00C61B40" w:rsidRDefault="00C61B40" w:rsidP="0058150D">
            <w:pPr>
              <w:spacing w:after="240"/>
            </w:pPr>
          </w:p>
          <w:p w14:paraId="4F8EF6F2" w14:textId="77777777" w:rsidR="00C61B40" w:rsidRDefault="00C61B40" w:rsidP="0058150D">
            <w:pPr>
              <w:spacing w:after="240"/>
            </w:pPr>
          </w:p>
          <w:p w14:paraId="3AA47862" w14:textId="77777777" w:rsidR="00C61B40" w:rsidRDefault="00C61B40" w:rsidP="0058150D">
            <w:pPr>
              <w:spacing w:after="240"/>
            </w:pPr>
          </w:p>
          <w:p w14:paraId="52AB129B" w14:textId="77777777" w:rsidR="00C61B40" w:rsidRDefault="00C61B40" w:rsidP="0058150D">
            <w:pPr>
              <w:spacing w:after="240"/>
            </w:pPr>
          </w:p>
          <w:p w14:paraId="07F59755" w14:textId="77777777" w:rsidR="00C61B40" w:rsidRDefault="00C61B40" w:rsidP="0058150D">
            <w:pPr>
              <w:spacing w:after="240"/>
            </w:pPr>
          </w:p>
          <w:p w14:paraId="73BB553E" w14:textId="77777777" w:rsidR="00C61B40" w:rsidRDefault="00C61B40" w:rsidP="0058150D">
            <w:pPr>
              <w:spacing w:after="240"/>
            </w:pPr>
          </w:p>
          <w:p w14:paraId="74C222A8" w14:textId="77777777" w:rsidR="00C61B40" w:rsidRDefault="00C61B40" w:rsidP="0058150D">
            <w:pPr>
              <w:spacing w:after="240"/>
            </w:pPr>
          </w:p>
          <w:p w14:paraId="68338586" w14:textId="77777777" w:rsidR="000778F6" w:rsidRDefault="000778F6" w:rsidP="00C61B40">
            <w:pPr>
              <w:spacing w:before="240" w:after="240"/>
              <w:ind w:left="720" w:hanging="720"/>
            </w:pPr>
          </w:p>
          <w:p w14:paraId="1B96539A" w14:textId="77777777" w:rsidR="000778F6" w:rsidRDefault="000778F6" w:rsidP="00C61B40">
            <w:pPr>
              <w:spacing w:before="240" w:after="240"/>
              <w:ind w:left="720" w:hanging="720"/>
            </w:pPr>
          </w:p>
          <w:p w14:paraId="71120054" w14:textId="77777777" w:rsidR="000778F6" w:rsidRDefault="000778F6" w:rsidP="00C61B40">
            <w:pPr>
              <w:spacing w:before="240" w:after="240"/>
              <w:ind w:left="720" w:hanging="720"/>
            </w:pPr>
          </w:p>
          <w:p w14:paraId="5AA377FF" w14:textId="77777777" w:rsidR="000778F6" w:rsidRDefault="000778F6" w:rsidP="00C61B40">
            <w:pPr>
              <w:spacing w:before="240" w:after="240"/>
              <w:ind w:left="720" w:hanging="720"/>
            </w:pPr>
          </w:p>
          <w:p w14:paraId="34FDB7CC" w14:textId="77777777" w:rsidR="00C61B40" w:rsidRPr="003161DC" w:rsidRDefault="00C61B40" w:rsidP="00C61B40">
            <w:pPr>
              <w:spacing w:before="240" w:after="240"/>
              <w:ind w:left="720" w:hanging="720"/>
            </w:pPr>
            <w:r w:rsidRPr="003161DC">
              <w:t>(2)</w:t>
            </w:r>
            <w:r w:rsidRPr="003161DC">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0480E215" w14:textId="77777777" w:rsidR="00C61B40" w:rsidRPr="003161DC" w:rsidRDefault="00C61B40" w:rsidP="00C61B40">
            <w:pPr>
              <w:spacing w:after="240"/>
              <w:ind w:left="720" w:hanging="720"/>
              <w:rPr>
                <w:iCs/>
              </w:rPr>
            </w:pPr>
            <w:r w:rsidRPr="003161DC">
              <w:rPr>
                <w:iCs/>
              </w:rPr>
              <w:lastRenderedPageBreak/>
              <w:t>(3)</w:t>
            </w:r>
            <w:r w:rsidRPr="003161DC">
              <w:rPr>
                <w:iCs/>
              </w:rPr>
              <w:tab/>
              <w:t>ERCOT shall monitor Real-Time Locational Marginal Prices (LMPs), Real-Time Market Clearing Prices for Capacity (MCPCs), and Real-Time Settlement Point Prices, including Real-Time prices for energy metered, Real-Time Reliability Deployment Price Adders</w:t>
            </w:r>
            <w:r>
              <w:rPr>
                <w:iCs/>
              </w:rPr>
              <w:t xml:space="preserve"> for Energy</w:t>
            </w:r>
            <w:r w:rsidRPr="003161DC">
              <w:rPr>
                <w:iCs/>
              </w:rPr>
              <w:t xml:space="preserve">, </w:t>
            </w:r>
            <w:r>
              <w:rPr>
                <w:iCs/>
              </w:rPr>
              <w:t>and Real-Time Reliability Deployment Price Adders for Ancillary Service,</w:t>
            </w:r>
            <w:r w:rsidRPr="003161DC">
              <w:rPr>
                <w:iCs/>
              </w:rPr>
              <w:t xml:space="preserve"> for errors and if there are conditions that cause the price to be questionable, </w:t>
            </w:r>
            <w:r>
              <w:rPr>
                <w:iCs/>
              </w:rPr>
              <w:t xml:space="preserve">as soon as practicable, </w:t>
            </w:r>
            <w:r w:rsidRPr="003161DC">
              <w:rPr>
                <w:iCs/>
              </w:rPr>
              <w:t xml:space="preserve">ERCOT shall notify all Market Participants that the Real-Time LMPs, Real-Time MCPCs, and Real-Time Settlement Point Prices are under investigation.  </w:t>
            </w:r>
          </w:p>
          <w:p w14:paraId="5F6DF25B" w14:textId="3B4169F9" w:rsidR="00C61B40" w:rsidRPr="003161DC" w:rsidRDefault="00C61B40" w:rsidP="00C61B40">
            <w:pPr>
              <w:spacing w:after="240"/>
              <w:ind w:left="720" w:hanging="720"/>
            </w:pPr>
            <w:r w:rsidRPr="003161DC">
              <w:t>(4)</w:t>
            </w:r>
            <w:r w:rsidRPr="003161DC">
              <w:tab/>
              <w:t xml:space="preserve">ERCOT shall correct prices </w:t>
            </w:r>
            <w:r w:rsidR="00196B62">
              <w:t xml:space="preserve">for an Operating Day </w:t>
            </w:r>
            <w:r w:rsidRPr="003161DC">
              <w:t>when</w:t>
            </w:r>
            <w:r w:rsidR="00196B62">
              <w:t xml:space="preserve"> accurate prices can be determined, the impact of the price correction is determined to be significant, and one of the following conditions has been met</w:t>
            </w:r>
            <w:r w:rsidRPr="003161DC">
              <w:t xml:space="preserve">: </w:t>
            </w:r>
            <w:r w:rsidR="00FC0A29">
              <w:t xml:space="preserve"> </w:t>
            </w:r>
            <w:r w:rsidRPr="003161DC">
              <w:t>a market solution is determined to be invalid, invalid prices are identified in an otherwise valid market solution, the Base Points</w:t>
            </w:r>
            <w:r>
              <w:t xml:space="preserve"> or Ancillary Service awards</w:t>
            </w:r>
            <w:r w:rsidRPr="003161DC">
              <w:t xml:space="preserve"> received by Market Participants are inconsistent with the Base Points</w:t>
            </w:r>
            <w:r>
              <w:t xml:space="preserve"> or Ancillary Service awards</w:t>
            </w:r>
            <w:r w:rsidRPr="003161DC">
              <w:t xml:space="preserve"> of a valid market solution, or the Security-Constrained Economic Dispatch (SCED) process experiences a failure as described in Section 6.5.9.2, Failure of the SCED Process.  The following are some reasons that may cause these conditions.</w:t>
            </w:r>
          </w:p>
          <w:p w14:paraId="17F765C7" w14:textId="77777777" w:rsidR="00C61B40" w:rsidRPr="003161DC" w:rsidRDefault="00C61B40" w:rsidP="00C61B40">
            <w:pPr>
              <w:spacing w:after="240"/>
              <w:ind w:left="1440" w:hanging="720"/>
            </w:pPr>
            <w:r w:rsidRPr="003161DC">
              <w:t>(a)</w:t>
            </w:r>
            <w:r w:rsidRPr="003161DC">
              <w:tab/>
              <w:t>Data Input error:  Missing, incomplete, stale, or incorrect versions of one or more data elements input to the market applications may result in an invalid market solution and/or prices.</w:t>
            </w:r>
          </w:p>
          <w:p w14:paraId="0908392C" w14:textId="607348AA" w:rsidR="00C61B40" w:rsidRPr="003161DC" w:rsidRDefault="00C61B40" w:rsidP="00C61B40">
            <w:pPr>
              <w:spacing w:after="240"/>
              <w:ind w:left="1440" w:hanging="720"/>
            </w:pPr>
            <w:r w:rsidRPr="003161DC">
              <w:t>(b)</w:t>
            </w:r>
            <w:r w:rsidRPr="003161DC">
              <w:tab/>
              <w:t xml:space="preserve">Data Output error:  These include: </w:t>
            </w:r>
            <w:r w:rsidR="00E4645A">
              <w:t xml:space="preserve"> </w:t>
            </w:r>
            <w:r w:rsidRPr="003161DC">
              <w:t>incorrect or incomplete data transfer, price recalculation error in post-processing, and Base Points inconsistent with prices due to the Emergency Base Point flag remaining activated even when the SCED solution is valid.</w:t>
            </w:r>
          </w:p>
          <w:p w14:paraId="1B85F11A" w14:textId="47FD7D77" w:rsidR="00C61B40" w:rsidRPr="003161DC" w:rsidRDefault="00C61B40" w:rsidP="00C61B40">
            <w:pPr>
              <w:spacing w:after="240"/>
              <w:ind w:left="1440" w:hanging="720"/>
            </w:pPr>
            <w:r w:rsidRPr="003161DC">
              <w:t>(c)</w:t>
            </w:r>
            <w:r w:rsidRPr="003161DC">
              <w:tab/>
              <w:t>Hardware/Software error:</w:t>
            </w:r>
            <w:r w:rsidR="00525E33">
              <w:t xml:space="preserve">  </w:t>
            </w:r>
            <w:r w:rsidRPr="003161DC">
              <w:t>These include unpredicted hardware or software failures, planned market system or database outages, planned application or database upgrades, software implementation errors, and failure of the market run to complete.</w:t>
            </w:r>
          </w:p>
          <w:p w14:paraId="7C7F3B0C" w14:textId="77777777" w:rsidR="00C61B40" w:rsidRPr="003161DC" w:rsidRDefault="00C61B40" w:rsidP="00C61B40">
            <w:pPr>
              <w:spacing w:after="240"/>
              <w:ind w:left="1440" w:hanging="720"/>
            </w:pPr>
            <w:r w:rsidRPr="003161DC">
              <w:t>(d)</w:t>
            </w:r>
            <w:r w:rsidRPr="003161DC">
              <w:tab/>
              <w:t>Inconsistency with the Protocols or Public Utility Commission of Texas (PUCT) Substantive Rules:  Pricing errors may occur when specific circumstances result in prices that are in conflict with such Protocol language or the PUCT Substantive Rules.</w:t>
            </w:r>
          </w:p>
          <w:p w14:paraId="7AE102A0" w14:textId="77777777" w:rsidR="00196B62" w:rsidRPr="00371FDF" w:rsidRDefault="00196B62" w:rsidP="00196B62">
            <w:pPr>
              <w:spacing w:after="240"/>
              <w:ind w:left="720" w:hanging="720"/>
              <w:rPr>
                <w:iCs/>
              </w:rPr>
            </w:pPr>
            <w:r w:rsidRPr="00371FDF">
              <w:rPr>
                <w:iCs/>
              </w:rPr>
              <w:t>(5)</w:t>
            </w:r>
            <w:r w:rsidRPr="00371FDF">
              <w:rPr>
                <w:iCs/>
              </w:rPr>
              <w:tab/>
              <w:t>For purposes of a price correction performed prior to 1600 on the second Business Day after the Operating Day, the impact of a price correction shall be considered significant, as that term is used in paragraph (4)</w:t>
            </w:r>
            <w:r>
              <w:rPr>
                <w:iCs/>
              </w:rPr>
              <w:t xml:space="preserve"> above</w:t>
            </w:r>
            <w:r w:rsidRPr="00371FDF">
              <w:rPr>
                <w:iCs/>
              </w:rPr>
              <w:t>, for the Operating Day when:</w:t>
            </w:r>
          </w:p>
          <w:p w14:paraId="252EBAA0" w14:textId="35C333EC" w:rsidR="00196B62" w:rsidRPr="00371FDF" w:rsidRDefault="00196B62" w:rsidP="00196B62">
            <w:pPr>
              <w:spacing w:after="240"/>
              <w:ind w:left="1440" w:hanging="720"/>
              <w:rPr>
                <w:iCs/>
              </w:rPr>
            </w:pPr>
            <w:r w:rsidRPr="00371FDF">
              <w:t>(a)</w:t>
            </w:r>
            <w:r w:rsidRPr="00371FDF">
              <w:rPr>
                <w:iCs/>
              </w:rPr>
              <w:tab/>
              <w:t xml:space="preserve">The absolute value change to any single Real-Time Settlement Point Price </w:t>
            </w:r>
            <w:r>
              <w:rPr>
                <w:iCs/>
              </w:rPr>
              <w:t>at</w:t>
            </w:r>
            <w:r w:rsidRPr="00371FDF">
              <w:rPr>
                <w:iCs/>
              </w:rPr>
              <w:t xml:space="preserve"> a Resource Node</w:t>
            </w:r>
            <w:r w:rsidR="00C50E5E" w:rsidRPr="00D476E3">
              <w:rPr>
                <w:iCs/>
              </w:rPr>
              <w:t xml:space="preserve"> or Real-Time MCPC</w:t>
            </w:r>
            <w:r w:rsidRPr="00371FDF">
              <w:rPr>
                <w:iCs/>
              </w:rPr>
              <w:t xml:space="preserve"> is greater than $0.05/MWh;</w:t>
            </w:r>
          </w:p>
          <w:p w14:paraId="0CBA4167" w14:textId="6C534818" w:rsidR="00196B62" w:rsidRPr="00371FDF" w:rsidRDefault="00196B62" w:rsidP="00196B62">
            <w:pPr>
              <w:spacing w:after="240"/>
              <w:ind w:left="1440" w:hanging="720"/>
              <w:rPr>
                <w:iCs/>
              </w:rPr>
            </w:pPr>
            <w:r w:rsidRPr="00371FDF">
              <w:rPr>
                <w:iCs/>
              </w:rPr>
              <w:lastRenderedPageBreak/>
              <w:t>(b)       The price correction would require ERCOT to change more than 50 Real-Time Settlement Point Prices</w:t>
            </w:r>
            <w:r w:rsidR="00C50E5E" w:rsidRPr="00D476E3">
              <w:rPr>
                <w:iCs/>
              </w:rPr>
              <w:t xml:space="preserve"> and/or Real-Time MCPCs</w:t>
            </w:r>
            <w:r w:rsidRPr="00371FDF">
              <w:rPr>
                <w:iCs/>
              </w:rPr>
              <w:t>;</w:t>
            </w:r>
          </w:p>
          <w:p w14:paraId="606BC583" w14:textId="565F8E2C" w:rsidR="00196B62" w:rsidRPr="00371FDF" w:rsidRDefault="00196B62" w:rsidP="00196B62">
            <w:pPr>
              <w:spacing w:after="240"/>
              <w:ind w:left="1440" w:hanging="720"/>
              <w:rPr>
                <w:iCs/>
              </w:rPr>
            </w:pPr>
            <w:r w:rsidRPr="00371FDF">
              <w:rPr>
                <w:iCs/>
              </w:rPr>
              <w:t xml:space="preserve">(c)       The absolute value change to any Real-Time Settlement Point Price </w:t>
            </w:r>
            <w:r>
              <w:rPr>
                <w:iCs/>
              </w:rPr>
              <w:t>at</w:t>
            </w:r>
            <w:r w:rsidRPr="00371FDF">
              <w:rPr>
                <w:iCs/>
              </w:rPr>
              <w:t xml:space="preserve"> a Load Zone or Hub is greater than $0.02/MWh;</w:t>
            </w:r>
            <w:r w:rsidR="00C50E5E">
              <w:rPr>
                <w:iCs/>
              </w:rPr>
              <w:t xml:space="preserve"> or</w:t>
            </w:r>
          </w:p>
          <w:p w14:paraId="21851C2A" w14:textId="6AAA44B0" w:rsidR="00196B62" w:rsidRPr="00967E05" w:rsidRDefault="00196B62" w:rsidP="00196B62">
            <w:pPr>
              <w:spacing w:after="240"/>
              <w:ind w:left="1440" w:hanging="720"/>
              <w:rPr>
                <w:iCs/>
              </w:rPr>
            </w:pPr>
            <w:r w:rsidRPr="00967E05">
              <w:rPr>
                <w:iCs/>
              </w:rPr>
              <w:t>(d)       The estimated absolute total dollar impact for changes to Real-Time prices for energy metered is greater than $500</w:t>
            </w:r>
            <w:r w:rsidR="00925924">
              <w:rPr>
                <w:iCs/>
              </w:rPr>
              <w:t>.</w:t>
            </w:r>
          </w:p>
          <w:p w14:paraId="38093BF0" w14:textId="3A12AB77" w:rsidR="00C61B40" w:rsidRPr="003161DC" w:rsidRDefault="00C61B40" w:rsidP="00196B62">
            <w:pPr>
              <w:spacing w:after="240"/>
              <w:ind w:left="720" w:hanging="720"/>
            </w:pPr>
            <w:r w:rsidRPr="003161DC">
              <w:t>(</w:t>
            </w:r>
            <w:r w:rsidR="00196B62">
              <w:t>6</w:t>
            </w:r>
            <w:r w:rsidRPr="003161DC">
              <w:t>)</w:t>
            </w:r>
            <w:r w:rsidRPr="003161DC">
              <w:tab/>
              <w:t>If it is determined that any Real-Time Settlement Point Prices, Settlement Point LMPs, Electrical Bus LMPs, Real-Time prices for energy metered, Real-Time Reliability Deployment Price Adders</w:t>
            </w:r>
            <w:r>
              <w:t xml:space="preserve"> for Energy</w:t>
            </w:r>
            <w:r w:rsidRPr="003161DC">
              <w:t xml:space="preserve">, </w:t>
            </w:r>
            <w:r w:rsidRPr="003161DC">
              <w:rPr>
                <w:iCs/>
              </w:rPr>
              <w:t xml:space="preserve">Real-Time </w:t>
            </w:r>
            <w:r>
              <w:t xml:space="preserve">MCPCs, Real-Time Reliability Deployment Price Adders for Ancillary Service, </w:t>
            </w:r>
            <w:r w:rsidRPr="003161DC">
              <w:t>and/or constraint Shadow Prices are erroneous, ERCOT shall correct the prices before the prices are considered final in paragraph (</w:t>
            </w:r>
            <w:r w:rsidR="00196B62">
              <w:t>7</w:t>
            </w:r>
            <w:r w:rsidRPr="003161DC">
              <w:t>) below.  Specifically:</w:t>
            </w:r>
          </w:p>
          <w:p w14:paraId="554D3456" w14:textId="7948D197" w:rsidR="00C61B40" w:rsidRPr="003161DC" w:rsidRDefault="00C61B40" w:rsidP="00C61B40">
            <w:pPr>
              <w:spacing w:after="240"/>
              <w:ind w:left="1440" w:hanging="720"/>
            </w:pPr>
            <w:r w:rsidRPr="003161DC">
              <w:t>(a)</w:t>
            </w:r>
            <w:r w:rsidRPr="003161DC">
              <w:tab/>
              <w:t>If it is determined that correcting the Real-Time Settlement Point Prices will not affect the Base Points</w:t>
            </w:r>
            <w:r>
              <w:t>, and correcting Real-Time MCPCs will not affect Ancillary Service awards</w:t>
            </w:r>
            <w:r w:rsidRPr="003161DC">
              <w:t>, then ERCOT shall correct the prices before the prices are considered final in paragraph (</w:t>
            </w:r>
            <w:r w:rsidR="00196B62">
              <w:t>7</w:t>
            </w:r>
            <w:r w:rsidRPr="003161DC">
              <w:t>) below.</w:t>
            </w:r>
          </w:p>
          <w:p w14:paraId="0DDDB265" w14:textId="77777777" w:rsidR="00C61B40" w:rsidRPr="003161DC" w:rsidRDefault="00C61B40" w:rsidP="00C61B40">
            <w:pPr>
              <w:spacing w:after="240"/>
              <w:ind w:left="1440" w:hanging="720"/>
            </w:pPr>
            <w:r w:rsidRPr="003161DC">
              <w:t>(b)</w:t>
            </w:r>
            <w:r w:rsidRPr="003161DC">
              <w:tab/>
              <w:t>If it is determined that correcting the Real-Time Settlement Point Prices will affect the Base Points</w:t>
            </w:r>
            <w:r>
              <w:t xml:space="preserve">, </w:t>
            </w:r>
            <w:r w:rsidRPr="00DA66B2">
              <w:t>or cor</w:t>
            </w:r>
            <w:r>
              <w:t>recting Real-Time MCPCs will affect Ancillary Service awards</w:t>
            </w:r>
            <w:r w:rsidRPr="003161DC">
              <w:t xml:space="preserve">, </w:t>
            </w:r>
            <w:r w:rsidRPr="003161DC">
              <w:rPr>
                <w:iCs/>
              </w:rPr>
              <w:t xml:space="preserve">then ERCOT shall correct the prices </w:t>
            </w:r>
            <w:r w:rsidRPr="003161DC">
              <w:t xml:space="preserve">before the prices are considered final and settle the SCED executions as failed in accordance with Section 6.5.9.2.  </w:t>
            </w:r>
          </w:p>
          <w:p w14:paraId="0D11766E" w14:textId="77777777" w:rsidR="00C61B40" w:rsidRPr="003161DC" w:rsidRDefault="00C61B40" w:rsidP="00C61B40">
            <w:pPr>
              <w:spacing w:after="240"/>
              <w:ind w:left="1440" w:hanging="720"/>
            </w:pPr>
            <w:r w:rsidRPr="003161DC">
              <w:t>(c)</w:t>
            </w:r>
            <w:r w:rsidRPr="003161DC">
              <w:tab/>
            </w:r>
            <w:r>
              <w:t>For Settlement purposes, i</w:t>
            </w:r>
            <w:r w:rsidRPr="003161DC">
              <w:t>f the Base Points are inconsistent with the Real-Time Settlement Point Prices</w:t>
            </w:r>
            <w:r>
              <w:t>,</w:t>
            </w:r>
            <w:r w:rsidRPr="003161DC">
              <w:t xml:space="preserve"> reduced by the Real-Time Reliability Deployment Price</w:t>
            </w:r>
            <w:r>
              <w:t xml:space="preserve"> Adder for Energy, or Ancillary Service awards are inconsistent with the Real-Time MCPCs, reduced by the Real-Time Reliability Deployment Price Adder for Ancillary Service,</w:t>
            </w:r>
            <w:r w:rsidRPr="003161DC">
              <w:t xml:space="preserve"> averaged over the 15-minute Settlement Interval, then ERCOT </w:t>
            </w:r>
            <w:r>
              <w:t>shall consider</w:t>
            </w:r>
            <w:r w:rsidRPr="003161DC">
              <w:t xml:space="preserve"> the relevant Settlement Interval(s) in accordance with Section 6.6.9, Emergency Operations Settlement.</w:t>
            </w:r>
          </w:p>
          <w:p w14:paraId="71F9141A" w14:textId="799D7421" w:rsidR="00C61B40" w:rsidRPr="003161DC" w:rsidRDefault="00C61B40" w:rsidP="00C61B40">
            <w:pPr>
              <w:spacing w:after="240"/>
              <w:ind w:left="720" w:hanging="720"/>
            </w:pPr>
            <w:r w:rsidRPr="003161DC">
              <w:t>(</w:t>
            </w:r>
            <w:r w:rsidR="00196B62">
              <w:t>7</w:t>
            </w:r>
            <w:r w:rsidRPr="003161DC">
              <w:t>)</w:t>
            </w:r>
            <w:r w:rsidRPr="003161DC">
              <w:tab/>
              <w:t>All Real-Time LMPs, Real-Time Settlement Point Prices, Real-Time prices for energy metered, Real-Time Reliability Deployment Price Adders</w:t>
            </w:r>
            <w:r>
              <w:t xml:space="preserve"> for Energy</w:t>
            </w:r>
            <w:r w:rsidRPr="003161DC">
              <w:t xml:space="preserve">, </w:t>
            </w:r>
            <w:r>
              <w:t>Real-Time</w:t>
            </w:r>
            <w:r w:rsidRPr="003161DC">
              <w:t xml:space="preserve"> MCPCs</w:t>
            </w:r>
            <w:r>
              <w:t xml:space="preserve">, and Real-Time Reliability Deployment Price Adders for Ancillary Service </w:t>
            </w:r>
            <w:r w:rsidRPr="003161DC">
              <w:t xml:space="preserve">are final at 1600 of the second Business Day after the Operating Day.  </w:t>
            </w:r>
          </w:p>
          <w:p w14:paraId="7B8527D9" w14:textId="1AAF17C7" w:rsidR="00C61B40" w:rsidRPr="003161DC" w:rsidRDefault="00C61B40" w:rsidP="00C61B40">
            <w:pPr>
              <w:spacing w:after="240"/>
              <w:ind w:left="1440" w:hanging="720"/>
            </w:pPr>
            <w:r w:rsidRPr="003161DC">
              <w:t>(a)</w:t>
            </w:r>
            <w:r w:rsidRPr="003161DC">
              <w:tab/>
              <w:t>However, after Real-Time LMPs, Real</w:t>
            </w:r>
            <w:r>
              <w:t>-</w:t>
            </w:r>
            <w:r w:rsidRPr="003161DC">
              <w:t>Time Settlement Point Prices, Real-Time prices for energy metered, Real-Time Reliability Deployment Price Adders</w:t>
            </w:r>
            <w:r>
              <w:t xml:space="preserve"> for Energy</w:t>
            </w:r>
            <w:r w:rsidRPr="003161DC">
              <w:t xml:space="preserve">, </w:t>
            </w:r>
            <w:r w:rsidRPr="003161DC">
              <w:rPr>
                <w:iCs/>
              </w:rPr>
              <w:t xml:space="preserve">Real-Time </w:t>
            </w:r>
            <w:r w:rsidRPr="003161DC">
              <w:t>MCPCs</w:t>
            </w:r>
            <w:r>
              <w:t>, and Real-Time Reliability Deployment Price Adders for Ancillary Service</w:t>
            </w:r>
            <w:r w:rsidRPr="003161DC">
              <w:t xml:space="preserve"> are final, if ERCOT determines that prices </w:t>
            </w:r>
            <w:r w:rsidR="00196B62">
              <w:t>qualify for a price correction pursuant to paragraph (4) above</w:t>
            </w:r>
            <w:r w:rsidRPr="003161DC">
              <w:t xml:space="preserve"> and </w:t>
            </w:r>
            <w:r w:rsidR="00196B62">
              <w:t>that ERCOT will</w:t>
            </w:r>
            <w:r w:rsidR="00196B62" w:rsidRPr="003161DC">
              <w:t xml:space="preserve"> </w:t>
            </w:r>
            <w:r w:rsidRPr="003161DC">
              <w:t xml:space="preserve">seek ERCOT Board review of such prices, it shall notify Market Participants and describe the need for such correction as soon as practicable but </w:t>
            </w:r>
            <w:r w:rsidRPr="003161DC">
              <w:lastRenderedPageBreak/>
              <w:t>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3E569A28" w14:textId="77777777" w:rsidR="00C61B40" w:rsidRPr="003161DC" w:rsidRDefault="00C61B40" w:rsidP="00C61B40">
            <w:pPr>
              <w:spacing w:after="240"/>
              <w:ind w:left="2160" w:hanging="720"/>
            </w:pPr>
            <w:r w:rsidRPr="003161DC">
              <w:t>(i)</w:t>
            </w:r>
            <w:r w:rsidRPr="003161DC">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1B64C0C8" w14:textId="77777777" w:rsidR="00C61B40" w:rsidRPr="003161DC" w:rsidRDefault="00C61B40" w:rsidP="00C61B40">
            <w:pPr>
              <w:spacing w:after="240"/>
              <w:ind w:left="2160" w:hanging="720"/>
            </w:pPr>
            <w:r w:rsidRPr="003161DC">
              <w:t>(ii)</w:t>
            </w:r>
            <w:r w:rsidRPr="003161DC">
              <w:tab/>
              <w:t>The PUCT’s authority to order price corrections when permitted to do so under other law; or</w:t>
            </w:r>
          </w:p>
          <w:p w14:paraId="034480BE" w14:textId="23AC2005" w:rsidR="00C61B40" w:rsidRPr="003161DC" w:rsidRDefault="00C61B40" w:rsidP="00C61B40">
            <w:pPr>
              <w:spacing w:after="240"/>
              <w:ind w:left="2160" w:hanging="720"/>
            </w:pPr>
            <w:r w:rsidRPr="003161DC">
              <w:t>(iii)</w:t>
            </w:r>
            <w:r w:rsidRPr="003161DC">
              <w:tab/>
              <w:t>ERCOT’s authority to grant relief to a Market Participant pursuant to the timelines specified in Section 20, Alternative Dispute Resolution Procedure</w:t>
            </w:r>
            <w:r w:rsidR="00992E7F">
              <w:t xml:space="preserve"> and Procedure for Return of Settlement Funds</w:t>
            </w:r>
            <w:r w:rsidRPr="003161DC">
              <w:t xml:space="preserve">.  </w:t>
            </w:r>
          </w:p>
          <w:p w14:paraId="5E057C47" w14:textId="77777777" w:rsidR="00196B62" w:rsidRDefault="00196B62" w:rsidP="00196B62">
            <w:pPr>
              <w:pStyle w:val="BodyTextNumbered"/>
              <w:ind w:left="1440"/>
            </w:pPr>
            <w:r w:rsidRPr="00371FDF">
              <w:t>(b)</w:t>
            </w:r>
            <w:r w:rsidRPr="00371FDF">
              <w:tab/>
              <w:t>Before seeking ERCOT Board review of prices, ERCOT will determine if the impact of the price correction is significant, as that term is used in paragraph (4)</w:t>
            </w:r>
            <w:r>
              <w:t xml:space="preserve"> above</w:t>
            </w:r>
            <w:r w:rsidRPr="00371FDF">
              <w:t xml:space="preserve">, by calculating the potential changes to the </w:t>
            </w:r>
            <w:r w:rsidRPr="00805B0A">
              <w:t>RTM Settlement Statement(s)</w:t>
            </w:r>
            <w:r w:rsidRPr="00371FDF">
              <w:t xml:space="preserve"> of any Counter-Party on a given Operating Day. </w:t>
            </w:r>
            <w:r>
              <w:t xml:space="preserve"> </w:t>
            </w:r>
            <w:r w:rsidRPr="00371FDF">
              <w:t xml:space="preserve">ERCOT shall seek ERCOT Board review of prices if the change in </w:t>
            </w:r>
            <w:r w:rsidRPr="00805B0A">
              <w:t>RTM Settlement Statement(s)</w:t>
            </w:r>
            <w:r w:rsidRPr="00371FDF">
              <w:t xml:space="preserve"> would result in the absolute value impact to any single Counter-Party</w:t>
            </w:r>
            <w:r>
              <w:t xml:space="preserve">, based on the sum of all original </w:t>
            </w:r>
            <w:r w:rsidRPr="00805B0A">
              <w:t>RTM Settlement Statement</w:t>
            </w:r>
            <w:r>
              <w:t xml:space="preserve"> amounts of Market Participants assigned to the Counter-Party,</w:t>
            </w:r>
            <w:r w:rsidRPr="00371FDF">
              <w:t xml:space="preserve"> to be greater than</w:t>
            </w:r>
            <w:r>
              <w:t>:</w:t>
            </w:r>
          </w:p>
          <w:p w14:paraId="137D8F54" w14:textId="77777777" w:rsidR="00196B62" w:rsidRDefault="00196B62" w:rsidP="00196B62">
            <w:pPr>
              <w:pStyle w:val="BodyTextNumbered"/>
              <w:ind w:left="2160"/>
            </w:pPr>
            <w:r>
              <w:t>(i)</w:t>
            </w:r>
            <w:r>
              <w:tab/>
            </w:r>
            <w:r w:rsidRPr="00371FDF">
              <w:t xml:space="preserve">2% and </w:t>
            </w:r>
            <w:r>
              <w:t xml:space="preserve">also </w:t>
            </w:r>
            <w:r w:rsidRPr="00371FDF">
              <w:t xml:space="preserve">greater than </w:t>
            </w:r>
            <w:r>
              <w:t>$20,000; or</w:t>
            </w:r>
          </w:p>
          <w:p w14:paraId="52F053B2" w14:textId="77777777" w:rsidR="00196B62" w:rsidRPr="00371FDF" w:rsidRDefault="00196B62" w:rsidP="00196B62">
            <w:pPr>
              <w:pStyle w:val="BodyTextNumbered"/>
              <w:ind w:left="2160"/>
            </w:pPr>
            <w:r>
              <w:t>(ii)</w:t>
            </w:r>
            <w:r>
              <w:tab/>
              <w:t>20% and also greater than $2,000</w:t>
            </w:r>
            <w:r w:rsidRPr="00371FDF">
              <w:t>.</w:t>
            </w:r>
          </w:p>
          <w:p w14:paraId="760BA275" w14:textId="7BACF65D" w:rsidR="00C61B40" w:rsidRPr="003161DC" w:rsidRDefault="00C61B40" w:rsidP="00196B62">
            <w:pPr>
              <w:spacing w:after="240"/>
              <w:ind w:left="1440" w:hanging="720"/>
            </w:pPr>
            <w:r w:rsidRPr="003161DC">
              <w:t>(</w:t>
            </w:r>
            <w:r w:rsidR="00196B62">
              <w:t>c</w:t>
            </w:r>
            <w:r w:rsidRPr="003161DC">
              <w:t>)</w:t>
            </w:r>
            <w:r w:rsidRPr="003161DC">
              <w:tab/>
              <w:t>The ERCOT Board may review and change Real-Time LMPs, Real-Time Settlement Point Prices, Real-Time prices for energy metered, Real-Time Reliability Deployment Price Adders</w:t>
            </w:r>
            <w:r>
              <w:t xml:space="preserve"> for Energy</w:t>
            </w:r>
            <w:r w:rsidRPr="003161DC">
              <w:t xml:space="preserve">, </w:t>
            </w:r>
            <w:r w:rsidRPr="003161DC">
              <w:rPr>
                <w:iCs/>
              </w:rPr>
              <w:t xml:space="preserve">Real-Time </w:t>
            </w:r>
            <w:r w:rsidRPr="003161DC">
              <w:t>MCPCs</w:t>
            </w:r>
            <w:r>
              <w:t>, and Real-Time Reliability Deployment Price Adders for Ancillary Service</w:t>
            </w:r>
            <w:r w:rsidRPr="003161DC">
              <w:t xml:space="preserve"> if ERCOT gave timely notice to Market Participants and the ERCOT Board finds that such prices </w:t>
            </w:r>
            <w:r w:rsidR="00196B62">
              <w:t>should be corrected for an Operating Day</w:t>
            </w:r>
            <w:r w:rsidRPr="003161DC">
              <w:t>.</w:t>
            </w:r>
          </w:p>
          <w:p w14:paraId="56B8800A" w14:textId="46687CB2" w:rsidR="00C61B40" w:rsidRPr="00A4149C" w:rsidRDefault="00C61B40" w:rsidP="00196B62">
            <w:pPr>
              <w:spacing w:after="240"/>
              <w:ind w:left="1440" w:hanging="720"/>
            </w:pPr>
            <w:r w:rsidRPr="003161DC">
              <w:t>(</w:t>
            </w:r>
            <w:r w:rsidR="00196B62">
              <w:t>d</w:t>
            </w:r>
            <w:r w:rsidRPr="003161DC">
              <w:t>)</w:t>
            </w:r>
            <w:r w:rsidRPr="003161DC">
              <w:tab/>
              <w:t>In review of Real-Time LMPs, Real</w:t>
            </w:r>
            <w:r>
              <w:t>-</w:t>
            </w:r>
            <w:r w:rsidRPr="003161DC">
              <w:t>Time Settlement Point Prices, Real-Time prices for energy metered, Real-Time Reliability Deployment Price Adders</w:t>
            </w:r>
            <w:r>
              <w:t xml:space="preserve"> for Energy</w:t>
            </w:r>
            <w:r w:rsidRPr="003161DC">
              <w:t xml:space="preserve">, </w:t>
            </w:r>
            <w:r w:rsidRPr="003161DC">
              <w:rPr>
                <w:iCs/>
              </w:rPr>
              <w:t xml:space="preserve">Real-Time </w:t>
            </w:r>
            <w:r w:rsidRPr="003161DC">
              <w:t>MCPCs</w:t>
            </w:r>
            <w:r>
              <w:t>, and Real-Time Reliability Deployment Price Adders for Ancillary Service</w:t>
            </w:r>
            <w:r w:rsidRPr="003161DC">
              <w:t xml:space="preserve">, the ERCOT Board may rely on the same reasons identified in paragraph (4) above to find that the prices </w:t>
            </w:r>
            <w:r w:rsidR="00196B62">
              <w:t>should be corrected for an Operating Day</w:t>
            </w:r>
            <w:r w:rsidRPr="003161DC">
              <w:t>.</w:t>
            </w:r>
          </w:p>
        </w:tc>
      </w:tr>
    </w:tbl>
    <w:p w14:paraId="2AFBE24D" w14:textId="77777777" w:rsidR="001F04FD" w:rsidRPr="00F13210" w:rsidRDefault="001F04FD" w:rsidP="001F04FD">
      <w:pPr>
        <w:pStyle w:val="H3"/>
        <w:spacing w:before="480"/>
      </w:pPr>
      <w:bookmarkStart w:id="83" w:name="_Toc204411537"/>
      <w:r w:rsidRPr="00F13210">
        <w:lastRenderedPageBreak/>
        <w:t>6.3.1</w:t>
      </w:r>
      <w:r w:rsidRPr="00F13210">
        <w:tab/>
        <w:t>Activities for the Adjustment Period</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83"/>
    </w:p>
    <w:p w14:paraId="1C256A55" w14:textId="77777777" w:rsidR="001F04FD" w:rsidRDefault="001F04FD" w:rsidP="001F04FD">
      <w:pPr>
        <w:pStyle w:val="BodyTextNumbered"/>
      </w:pPr>
      <w:r>
        <w:t>(1)</w:t>
      </w:r>
      <w: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0"/>
        <w:gridCol w:w="3596"/>
        <w:gridCol w:w="3826"/>
      </w:tblGrid>
      <w:tr w:rsidR="001F04FD" w14:paraId="1733F993" w14:textId="77777777" w:rsidTr="005D68C2">
        <w:trPr>
          <w:cantSplit/>
          <w:trHeight w:val="576"/>
          <w:tblHeader/>
        </w:trPr>
        <w:tc>
          <w:tcPr>
            <w:tcW w:w="1820" w:type="dxa"/>
          </w:tcPr>
          <w:p w14:paraId="626D07DB" w14:textId="77777777" w:rsidR="001F04FD" w:rsidRDefault="001F04FD" w:rsidP="00AC4DEE">
            <w:pPr>
              <w:pStyle w:val="TableHead"/>
            </w:pPr>
            <w:r>
              <w:t xml:space="preserve">Adjustment Period </w:t>
            </w:r>
          </w:p>
        </w:tc>
        <w:tc>
          <w:tcPr>
            <w:tcW w:w="3596" w:type="dxa"/>
          </w:tcPr>
          <w:p w14:paraId="0BD3599E" w14:textId="77777777" w:rsidR="001F04FD" w:rsidRDefault="001F04FD" w:rsidP="00AC4DEE">
            <w:pPr>
              <w:pStyle w:val="TableHead"/>
              <w:rPr>
                <w:bCs/>
              </w:rPr>
            </w:pPr>
            <w:r>
              <w:rPr>
                <w:bCs/>
              </w:rPr>
              <w:t>QSE Activities</w:t>
            </w:r>
          </w:p>
        </w:tc>
        <w:tc>
          <w:tcPr>
            <w:tcW w:w="3826" w:type="dxa"/>
          </w:tcPr>
          <w:p w14:paraId="4621BBF1" w14:textId="77777777" w:rsidR="001F04FD" w:rsidRDefault="001F04FD" w:rsidP="00AC4DEE">
            <w:pPr>
              <w:pStyle w:val="TableHead"/>
              <w:rPr>
                <w:bCs/>
              </w:rPr>
            </w:pPr>
            <w:r>
              <w:rPr>
                <w:bCs/>
              </w:rPr>
              <w:t>ERCOT Activities</w:t>
            </w:r>
          </w:p>
        </w:tc>
      </w:tr>
      <w:tr w:rsidR="001F04FD" w14:paraId="21DA5B99" w14:textId="77777777" w:rsidTr="005D68C2">
        <w:trPr>
          <w:trHeight w:val="576"/>
        </w:trPr>
        <w:tc>
          <w:tcPr>
            <w:tcW w:w="1820" w:type="dxa"/>
          </w:tcPr>
          <w:p w14:paraId="3FFA3AE5" w14:textId="77777777" w:rsidR="001F04FD" w:rsidRDefault="001F04FD" w:rsidP="00AC4DEE">
            <w:pPr>
              <w:pStyle w:val="TableBody"/>
            </w:pPr>
            <w:r>
              <w:t>Time = From 1800 in the Day-Ahead  up to one hour before the start of the Operating Hour</w:t>
            </w:r>
          </w:p>
        </w:tc>
        <w:tc>
          <w:tcPr>
            <w:tcW w:w="3596" w:type="dxa"/>
          </w:tcPr>
          <w:p w14:paraId="7DB22965" w14:textId="77777777" w:rsidR="001F04FD" w:rsidRDefault="001F04FD" w:rsidP="00AC4DEE">
            <w:pPr>
              <w:pStyle w:val="TableBody"/>
              <w:spacing w:after="0"/>
            </w:pPr>
            <w:r>
              <w:t xml:space="preserve">Submit and update Energy Trades, Capacity Trades, Self-Schedules, and Ancillary Service Trades </w:t>
            </w:r>
          </w:p>
          <w:p w14:paraId="36EB0F76" w14:textId="77777777" w:rsidR="001F04FD" w:rsidRDefault="001F04FD" w:rsidP="00AC4DEE">
            <w:pPr>
              <w:pStyle w:val="TableBody"/>
              <w:spacing w:after="0"/>
            </w:pPr>
          </w:p>
          <w:p w14:paraId="72BD00CC" w14:textId="77777777" w:rsidR="001F04FD" w:rsidRDefault="001F04FD" w:rsidP="00AC4DEE">
            <w:pPr>
              <w:pStyle w:val="TableBody"/>
              <w:spacing w:after="0"/>
            </w:pPr>
            <w:r>
              <w:t>Submit and update Output Schedules</w:t>
            </w:r>
          </w:p>
          <w:p w14:paraId="57D497A1" w14:textId="77777777" w:rsidR="001F04FD" w:rsidRDefault="001F04FD" w:rsidP="00AC4DEE">
            <w:pPr>
              <w:pStyle w:val="TableBody"/>
              <w:spacing w:after="0"/>
            </w:pPr>
          </w:p>
          <w:p w14:paraId="11C9EFB5" w14:textId="5FB8D164" w:rsidR="001F04FD" w:rsidRDefault="001F04FD" w:rsidP="00C61B40">
            <w:pPr>
              <w:pStyle w:val="TableBody"/>
              <w:spacing w:after="240"/>
            </w:pPr>
            <w:r>
              <w:t>Submit and update Incremental and Decremental Energy Offer Curves for Dynamically Scheduled Resources (DSRs)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9F62BA" w14:paraId="36406AC3" w14:textId="77777777" w:rsidTr="0058150D">
              <w:trPr>
                <w:trHeight w:val="206"/>
              </w:trPr>
              <w:tc>
                <w:tcPr>
                  <w:tcW w:w="9576" w:type="dxa"/>
                  <w:shd w:val="pct12" w:color="auto" w:fill="auto"/>
                </w:tcPr>
                <w:p w14:paraId="6635BA7E" w14:textId="796E468A" w:rsidR="009F62BA" w:rsidRPr="00B37C4B" w:rsidRDefault="009F62BA" w:rsidP="009F62BA">
                  <w:pPr>
                    <w:pStyle w:val="Instructions"/>
                    <w:spacing w:before="120"/>
                  </w:pPr>
                  <w:r>
                    <w:t>[NPRR1000:  Delete the item above upon system implementation.]</w:t>
                  </w:r>
                </w:p>
              </w:tc>
            </w:tr>
          </w:tbl>
          <w:p w14:paraId="0AFD9BAB" w14:textId="516FFA3D" w:rsidR="001F04FD" w:rsidRDefault="001F04FD" w:rsidP="005D68C2">
            <w:pPr>
              <w:pStyle w:val="TableBody"/>
              <w:spacing w:after="0"/>
            </w:pPr>
          </w:p>
          <w:p w14:paraId="0DFBEDFE" w14:textId="43DCC591" w:rsidR="00EA1351" w:rsidRDefault="001F04FD" w:rsidP="004116AE">
            <w:pPr>
              <w:pStyle w:val="TableBody"/>
              <w:spacing w:after="240"/>
            </w:pPr>
            <w:r>
              <w:t xml:space="preserve">Submit and update Energy Offer Curves and/or </w:t>
            </w:r>
            <w:r w:rsidR="00D5222B">
              <w:t>RTM Energy Bids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D3410D" w:rsidRPr="00812ECB" w14:paraId="4C58870B" w14:textId="77777777" w:rsidTr="00F5593C">
              <w:trPr>
                <w:trHeight w:val="206"/>
              </w:trPr>
              <w:tc>
                <w:tcPr>
                  <w:tcW w:w="9576" w:type="dxa"/>
                  <w:shd w:val="pct12" w:color="auto" w:fill="auto"/>
                </w:tcPr>
                <w:p w14:paraId="004FE607" w14:textId="77777777" w:rsidR="00D3410D" w:rsidRPr="00812ECB" w:rsidRDefault="00D3410D" w:rsidP="00D3410D">
                  <w:pPr>
                    <w:spacing w:before="120" w:after="240"/>
                    <w:rPr>
                      <w:b/>
                      <w:i/>
                      <w:iCs/>
                    </w:rPr>
                  </w:pPr>
                  <w:r w:rsidRPr="00812ECB">
                    <w:rPr>
                      <w:b/>
                      <w:i/>
                      <w:iCs/>
                    </w:rPr>
                    <w:t>[NPRR1</w:t>
                  </w:r>
                  <w:r>
                    <w:rPr>
                      <w:b/>
                      <w:i/>
                      <w:iCs/>
                    </w:rPr>
                    <w:t>188</w:t>
                  </w:r>
                  <w:r w:rsidRPr="00812ECB">
                    <w:rPr>
                      <w:b/>
                      <w:i/>
                      <w:iCs/>
                    </w:rPr>
                    <w:t xml:space="preserve">:  </w:t>
                  </w:r>
                  <w:r>
                    <w:rPr>
                      <w:b/>
                      <w:i/>
                      <w:iCs/>
                    </w:rPr>
                    <w:t>Replace</w:t>
                  </w:r>
                  <w:r w:rsidRPr="00812ECB">
                    <w:rPr>
                      <w:b/>
                      <w:i/>
                      <w:iCs/>
                    </w:rPr>
                    <w:t xml:space="preserve"> the item </w:t>
                  </w:r>
                  <w:r>
                    <w:rPr>
                      <w:b/>
                      <w:i/>
                      <w:iCs/>
                    </w:rPr>
                    <w:t>above with the following</w:t>
                  </w:r>
                  <w:r w:rsidRPr="00812ECB">
                    <w:rPr>
                      <w:b/>
                      <w:i/>
                      <w:iCs/>
                    </w:rPr>
                    <w:t xml:space="preserve"> upon system implementation:]</w:t>
                  </w:r>
                </w:p>
                <w:p w14:paraId="14383BBD" w14:textId="0FF3A526" w:rsidR="00D3410D" w:rsidRPr="00812ECB" w:rsidRDefault="00D3410D" w:rsidP="00D3410D">
                  <w:pPr>
                    <w:rPr>
                      <w:iCs/>
                      <w:sz w:val="20"/>
                    </w:rPr>
                  </w:pPr>
                  <w:r w:rsidRPr="00812ECB">
                    <w:rPr>
                      <w:iCs/>
                      <w:sz w:val="20"/>
                    </w:rPr>
                    <w:t xml:space="preserve">Submit </w:t>
                  </w:r>
                  <w:r w:rsidR="004067E8">
                    <w:rPr>
                      <w:iCs/>
                      <w:sz w:val="20"/>
                    </w:rPr>
                    <w:t>and update Energy Offer Curves and/or Energy Bid Curves</w:t>
                  </w:r>
                </w:p>
              </w:tc>
            </w:tr>
          </w:tbl>
          <w:p w14:paraId="392445D9" w14:textId="77777777" w:rsidR="00D5222B" w:rsidRDefault="00D5222B" w:rsidP="00EA1351">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525E33" w14:paraId="19BA4E2F" w14:textId="77777777" w:rsidTr="00525E33">
              <w:trPr>
                <w:trHeight w:val="206"/>
              </w:trPr>
              <w:tc>
                <w:tcPr>
                  <w:tcW w:w="9576" w:type="dxa"/>
                  <w:shd w:val="pct12" w:color="auto" w:fill="auto"/>
                </w:tcPr>
                <w:p w14:paraId="69EFF027" w14:textId="77777777" w:rsidR="00525E33" w:rsidRDefault="00525E33" w:rsidP="00525E33">
                  <w:pPr>
                    <w:pStyle w:val="Instructions"/>
                    <w:spacing w:before="120"/>
                  </w:pPr>
                  <w:r>
                    <w:t>[NPRR1014:  Insert the item below upon system implementation:]</w:t>
                  </w:r>
                </w:p>
                <w:p w14:paraId="34DCE7ED" w14:textId="77777777" w:rsidR="00525E33" w:rsidRPr="00C61B40" w:rsidRDefault="00525E33" w:rsidP="00525E33">
                  <w:pPr>
                    <w:rPr>
                      <w:iCs/>
                      <w:sz w:val="20"/>
                    </w:rPr>
                  </w:pPr>
                  <w:r w:rsidRPr="00A552C3">
                    <w:rPr>
                      <w:iCs/>
                      <w:sz w:val="20"/>
                    </w:rPr>
                    <w:t>Submit Energy Bid/Offer Curves for Energy Storage Resources (ESRs)</w:t>
                  </w:r>
                </w:p>
              </w:tc>
            </w:tr>
          </w:tbl>
          <w:p w14:paraId="1B5627CF" w14:textId="77777777" w:rsidR="00525E33" w:rsidRDefault="00525E33" w:rsidP="00AC4DEE">
            <w:pPr>
              <w:pStyle w:val="TableBody"/>
              <w:spacing w:after="0"/>
            </w:pPr>
          </w:p>
          <w:p w14:paraId="2C98662A" w14:textId="77777777" w:rsidR="001F04FD" w:rsidRDefault="001F04FD" w:rsidP="00AC4DEE">
            <w:pPr>
              <w:pStyle w:val="TableBody"/>
              <w:spacing w:after="0"/>
            </w:pPr>
            <w:r>
              <w:t>Update Current Operating Plan (COP)</w:t>
            </w:r>
          </w:p>
          <w:p w14:paraId="670953D1" w14:textId="77777777" w:rsidR="001F04FD" w:rsidRDefault="001F04FD" w:rsidP="000B1D41">
            <w:pPr>
              <w:pStyle w:val="TableBody"/>
              <w:spacing w:before="240" w:after="0"/>
            </w:pPr>
            <w:r>
              <w:t xml:space="preserve">Request Resource decommitments </w:t>
            </w:r>
          </w:p>
          <w:p w14:paraId="6BE15E4D" w14:textId="77777777" w:rsidR="001F04FD" w:rsidRDefault="001F04FD" w:rsidP="00AC4DEE">
            <w:pPr>
              <w:pStyle w:val="TableBody"/>
              <w:spacing w:after="0"/>
            </w:pPr>
          </w:p>
          <w:p w14:paraId="3FEBA6F6" w14:textId="77777777" w:rsidR="001F04FD" w:rsidRDefault="001F04FD" w:rsidP="00AC4DEE">
            <w:pPr>
              <w:pStyle w:val="TableBody"/>
              <w:spacing w:after="0"/>
            </w:pPr>
            <w:r>
              <w:t>Submit Three-Part Supply Offers for Off-Line Generation Resources</w:t>
            </w:r>
          </w:p>
          <w:p w14:paraId="4E70EFED" w14:textId="77777777" w:rsidR="001F04FD" w:rsidRDefault="001F04FD" w:rsidP="00AC4DEE">
            <w:pPr>
              <w:pStyle w:val="TableBody"/>
              <w:spacing w:after="0"/>
            </w:pPr>
          </w:p>
          <w:p w14:paraId="5DB138A7" w14:textId="77777777" w:rsidR="001F04FD" w:rsidRDefault="001F04FD" w:rsidP="000B1D41">
            <w:pPr>
              <w:pStyle w:val="TableBody"/>
              <w:spacing w:after="240"/>
            </w:pPr>
            <w:r>
              <w:t>Submit offers for any Supplemental Ancillary Service Markets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C61B40" w14:paraId="50F3E23F" w14:textId="77777777" w:rsidTr="0058150D">
              <w:trPr>
                <w:trHeight w:val="206"/>
              </w:trPr>
              <w:tc>
                <w:tcPr>
                  <w:tcW w:w="9576" w:type="dxa"/>
                  <w:shd w:val="pct12" w:color="auto" w:fill="auto"/>
                </w:tcPr>
                <w:p w14:paraId="7B12D692" w14:textId="5CFF0A93" w:rsidR="00C61B40" w:rsidRDefault="00C61B40" w:rsidP="00C61B40">
                  <w:pPr>
                    <w:pStyle w:val="Instructions"/>
                    <w:spacing w:before="120"/>
                  </w:pPr>
                  <w:r>
                    <w:t>[NPRR1010</w:t>
                  </w:r>
                  <w:r w:rsidR="0040329E">
                    <w:t xml:space="preserve"> and NPRR1014</w:t>
                  </w:r>
                  <w:r>
                    <w:t xml:space="preserve">:  Replace </w:t>
                  </w:r>
                  <w:r w:rsidR="0040329E">
                    <w:t xml:space="preserve">applicable portions of </w:t>
                  </w:r>
                  <w:r>
                    <w:t>the item above with the following upon system implementation of the Real-Time Co-Optimization (RTC) project</w:t>
                  </w:r>
                  <w:r w:rsidR="0040329E">
                    <w:t xml:space="preserve"> for NPRR1010; or upon system implementation for NPRR1014</w:t>
                  </w:r>
                  <w:r>
                    <w:t>:]</w:t>
                  </w:r>
                </w:p>
                <w:p w14:paraId="34AC4C32" w14:textId="54638823" w:rsidR="00C61B40" w:rsidRPr="00C61B40" w:rsidRDefault="00C61B40" w:rsidP="00C61B40">
                  <w:pPr>
                    <w:rPr>
                      <w:iCs/>
                      <w:sz w:val="20"/>
                    </w:rPr>
                  </w:pPr>
                  <w:r>
                    <w:rPr>
                      <w:iCs/>
                      <w:sz w:val="20"/>
                    </w:rPr>
                    <w:t>Submit and update Ancillary Service Offers</w:t>
                  </w:r>
                </w:p>
              </w:tc>
            </w:tr>
          </w:tbl>
          <w:p w14:paraId="72D74B89" w14:textId="77777777" w:rsidR="001F04FD" w:rsidRDefault="001F04FD" w:rsidP="00AC4DEE">
            <w:pPr>
              <w:pStyle w:val="TableBody"/>
              <w:spacing w:after="0"/>
            </w:pPr>
          </w:p>
          <w:p w14:paraId="4879C40D" w14:textId="77777777" w:rsidR="001F04FD" w:rsidRDefault="001F04FD" w:rsidP="00AC4DEE">
            <w:pPr>
              <w:pStyle w:val="TableBody"/>
              <w:spacing w:after="0"/>
            </w:pPr>
            <w:r>
              <w:t>Communicate Resource Forced Outages</w:t>
            </w:r>
          </w:p>
          <w:p w14:paraId="0262F52D" w14:textId="77777777" w:rsidR="001F04FD" w:rsidRDefault="001F04FD" w:rsidP="00AC4DEE">
            <w:pPr>
              <w:pStyle w:val="TableBody"/>
            </w:pPr>
          </w:p>
          <w:p w14:paraId="296479A5" w14:textId="77777777" w:rsidR="001F04FD" w:rsidRDefault="001F04FD" w:rsidP="00AC4DEE">
            <w:pPr>
              <w:pStyle w:val="TableBody"/>
            </w:pPr>
          </w:p>
          <w:p w14:paraId="0E9B6E90" w14:textId="77777777" w:rsidR="001F04FD" w:rsidRDefault="001F04FD" w:rsidP="00AC4DEE">
            <w:pPr>
              <w:pStyle w:val="TableBody"/>
            </w:pPr>
          </w:p>
        </w:tc>
        <w:tc>
          <w:tcPr>
            <w:tcW w:w="3826" w:type="dxa"/>
          </w:tcPr>
          <w:p w14:paraId="7BED3697" w14:textId="77777777" w:rsidR="001F04FD" w:rsidRDefault="001F04FD" w:rsidP="00AC4DEE">
            <w:pPr>
              <w:pStyle w:val="TableBody"/>
              <w:spacing w:after="0"/>
            </w:pPr>
            <w:r>
              <w:lastRenderedPageBreak/>
              <w:t>Post shift schedules on the Market Information System (MIS) Secure Area</w:t>
            </w:r>
          </w:p>
          <w:p w14:paraId="56544C78" w14:textId="77777777" w:rsidR="001F04FD" w:rsidRDefault="001F04FD" w:rsidP="00AC4DEE">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D779AB" w14:paraId="72239242" w14:textId="77777777" w:rsidTr="00AE5CE8">
              <w:trPr>
                <w:trHeight w:val="206"/>
              </w:trPr>
              <w:tc>
                <w:tcPr>
                  <w:tcW w:w="9576" w:type="dxa"/>
                  <w:shd w:val="pct12" w:color="auto" w:fill="auto"/>
                </w:tcPr>
                <w:p w14:paraId="17BE1475" w14:textId="3559607A" w:rsidR="00D779AB" w:rsidRPr="00B37C4B" w:rsidRDefault="00D779AB" w:rsidP="00D779AB">
                  <w:pPr>
                    <w:pStyle w:val="Instructions"/>
                    <w:spacing w:before="120"/>
                  </w:pPr>
                  <w:r>
                    <w:t>[NPRR1240:  Delete the item above upon system implementation.]</w:t>
                  </w:r>
                </w:p>
              </w:tc>
            </w:tr>
          </w:tbl>
          <w:p w14:paraId="7B067D1E" w14:textId="77777777" w:rsidR="001F04FD" w:rsidRDefault="001F04FD" w:rsidP="00D779AB">
            <w:pPr>
              <w:pStyle w:val="TableBody"/>
              <w:spacing w:before="240" w:after="0"/>
            </w:pPr>
            <w:r>
              <w:t>Validate Energy Trades, Capacity Trades, Self-Schedules, and Ancillary Service Trades and identify invalid or mismatched trades</w:t>
            </w:r>
          </w:p>
          <w:p w14:paraId="42FAECD2" w14:textId="77777777" w:rsidR="001F04FD" w:rsidRDefault="001F04FD" w:rsidP="00AC4DEE">
            <w:pPr>
              <w:pStyle w:val="TableBody"/>
              <w:spacing w:after="0"/>
            </w:pPr>
          </w:p>
          <w:p w14:paraId="2F5C171F" w14:textId="77777777" w:rsidR="001F04FD" w:rsidRDefault="001F04FD" w:rsidP="00AC4DEE">
            <w:pPr>
              <w:pStyle w:val="TableBody"/>
              <w:spacing w:after="0"/>
            </w:pPr>
            <w:r>
              <w:t xml:space="preserve">Validate Output Schedules </w:t>
            </w:r>
          </w:p>
          <w:p w14:paraId="7AEFCA23" w14:textId="77777777" w:rsidR="001F04FD" w:rsidRDefault="001F04FD" w:rsidP="00AC4DEE">
            <w:pPr>
              <w:pStyle w:val="TableBody"/>
              <w:spacing w:after="0"/>
            </w:pPr>
          </w:p>
          <w:p w14:paraId="5C2AA4AA" w14:textId="77777777" w:rsidR="001F04FD" w:rsidRDefault="001F04FD" w:rsidP="00AC4DEE">
            <w:pPr>
              <w:pStyle w:val="TableBody"/>
              <w:spacing w:after="0"/>
            </w:pPr>
            <w:r>
              <w:t xml:space="preserve">Validate Incremental and Decremental Energy Offer Curves </w:t>
            </w:r>
          </w:p>
          <w:p w14:paraId="6AFBE2A6" w14:textId="77777777" w:rsidR="001F04FD" w:rsidRDefault="001F04FD" w:rsidP="00AC4DEE">
            <w:pPr>
              <w:pStyle w:val="TableBody"/>
              <w:spacing w:after="0"/>
            </w:pPr>
          </w:p>
          <w:p w14:paraId="356CCD92" w14:textId="77777777" w:rsidR="00D3410D" w:rsidRDefault="001F04FD" w:rsidP="004116AE">
            <w:pPr>
              <w:pStyle w:val="TableBody"/>
              <w:spacing w:after="240"/>
            </w:pPr>
            <w:r>
              <w:t>Validate Energy Offer Curves and/or RTM Energy Bids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D3410D" w:rsidRPr="00812ECB" w14:paraId="13B5F138" w14:textId="77777777" w:rsidTr="00F5593C">
              <w:trPr>
                <w:trHeight w:val="206"/>
              </w:trPr>
              <w:tc>
                <w:tcPr>
                  <w:tcW w:w="9576" w:type="dxa"/>
                  <w:shd w:val="pct12" w:color="auto" w:fill="auto"/>
                </w:tcPr>
                <w:p w14:paraId="2A172665" w14:textId="77777777" w:rsidR="00D3410D" w:rsidRPr="00812ECB" w:rsidRDefault="00D3410D" w:rsidP="00D3410D">
                  <w:pPr>
                    <w:spacing w:before="120" w:after="240"/>
                    <w:rPr>
                      <w:b/>
                      <w:i/>
                      <w:iCs/>
                    </w:rPr>
                  </w:pPr>
                  <w:r w:rsidRPr="00812ECB">
                    <w:rPr>
                      <w:b/>
                      <w:i/>
                      <w:iCs/>
                    </w:rPr>
                    <w:t>[NPRR1</w:t>
                  </w:r>
                  <w:r>
                    <w:rPr>
                      <w:b/>
                      <w:i/>
                      <w:iCs/>
                    </w:rPr>
                    <w:t>188</w:t>
                  </w:r>
                  <w:r w:rsidRPr="00812ECB">
                    <w:rPr>
                      <w:b/>
                      <w:i/>
                      <w:iCs/>
                    </w:rPr>
                    <w:t xml:space="preserve">:  </w:t>
                  </w:r>
                  <w:r>
                    <w:rPr>
                      <w:b/>
                      <w:i/>
                      <w:iCs/>
                    </w:rPr>
                    <w:t>Replace</w:t>
                  </w:r>
                  <w:r w:rsidRPr="00812ECB">
                    <w:rPr>
                      <w:b/>
                      <w:i/>
                      <w:iCs/>
                    </w:rPr>
                    <w:t xml:space="preserve"> the item </w:t>
                  </w:r>
                  <w:r>
                    <w:rPr>
                      <w:b/>
                      <w:i/>
                      <w:iCs/>
                    </w:rPr>
                    <w:t>above with the following</w:t>
                  </w:r>
                  <w:r w:rsidRPr="00812ECB">
                    <w:rPr>
                      <w:b/>
                      <w:i/>
                      <w:iCs/>
                    </w:rPr>
                    <w:t xml:space="preserve"> upon system implementation:]</w:t>
                  </w:r>
                </w:p>
                <w:p w14:paraId="5528A7B0" w14:textId="55EA9B92" w:rsidR="00D3410D" w:rsidRPr="00812ECB" w:rsidRDefault="00D3410D" w:rsidP="00D3410D">
                  <w:pPr>
                    <w:rPr>
                      <w:iCs/>
                      <w:sz w:val="20"/>
                    </w:rPr>
                  </w:pPr>
                  <w:r w:rsidRPr="00812ECB">
                    <w:rPr>
                      <w:iCs/>
                      <w:sz w:val="20"/>
                    </w:rPr>
                    <w:t>Validate Energy Offer Curves and/or Energy Bid Curves</w:t>
                  </w:r>
                </w:p>
              </w:tc>
            </w:tr>
          </w:tbl>
          <w:p w14:paraId="29990C38" w14:textId="77777777" w:rsidR="001F04FD" w:rsidRDefault="001F04FD" w:rsidP="00AC4DEE">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917335" w14:paraId="624A8B71" w14:textId="77777777" w:rsidTr="009E7633">
              <w:trPr>
                <w:trHeight w:val="206"/>
              </w:trPr>
              <w:tc>
                <w:tcPr>
                  <w:tcW w:w="9576" w:type="dxa"/>
                  <w:shd w:val="pct12" w:color="auto" w:fill="auto"/>
                </w:tcPr>
                <w:p w14:paraId="790157A1" w14:textId="07E8DDE1" w:rsidR="00917335" w:rsidRDefault="00917335" w:rsidP="00917335">
                  <w:pPr>
                    <w:pStyle w:val="Instructions"/>
                    <w:spacing w:before="120"/>
                  </w:pPr>
                  <w:r>
                    <w:t>[NPRR1014:  Insert the item below upon system implementation:]</w:t>
                  </w:r>
                </w:p>
                <w:p w14:paraId="438BB925" w14:textId="473DA1CC" w:rsidR="00917335" w:rsidRPr="00C61B40" w:rsidRDefault="00917335" w:rsidP="00917335">
                  <w:pPr>
                    <w:rPr>
                      <w:iCs/>
                      <w:sz w:val="20"/>
                    </w:rPr>
                  </w:pPr>
                  <w:r w:rsidRPr="00A552C3">
                    <w:rPr>
                      <w:iCs/>
                      <w:sz w:val="20"/>
                    </w:rPr>
                    <w:t>Validate Energy Bid/Offer Curves</w:t>
                  </w:r>
                </w:p>
              </w:tc>
            </w:tr>
          </w:tbl>
          <w:p w14:paraId="6F769C34" w14:textId="77777777" w:rsidR="001F04FD" w:rsidRDefault="001F04FD" w:rsidP="00917335">
            <w:pPr>
              <w:pStyle w:val="TableBody"/>
              <w:spacing w:before="240" w:after="0"/>
            </w:pPr>
            <w:r>
              <w:t>Validate COP including validation of the deliverability of Ancillary Services from Resources for the next Operating Period</w:t>
            </w:r>
          </w:p>
          <w:p w14:paraId="34536B41" w14:textId="77777777" w:rsidR="001F04FD" w:rsidRDefault="001F04FD" w:rsidP="00AC4DEE">
            <w:pPr>
              <w:pStyle w:val="TableBody"/>
              <w:spacing w:after="0"/>
            </w:pPr>
          </w:p>
          <w:p w14:paraId="7F4679E5" w14:textId="77777777" w:rsidR="001F04FD" w:rsidRDefault="001F04FD" w:rsidP="00AC4DEE">
            <w:pPr>
              <w:pStyle w:val="TableBody"/>
              <w:spacing w:after="0"/>
            </w:pPr>
            <w:r>
              <w:lastRenderedPageBreak/>
              <w:t xml:space="preserve">Review and approve or reject Resource decommitments </w:t>
            </w:r>
          </w:p>
          <w:p w14:paraId="4DBF4BDD" w14:textId="77777777" w:rsidR="001F04FD" w:rsidRDefault="001F04FD" w:rsidP="00AC4DEE">
            <w:pPr>
              <w:pStyle w:val="TableBody"/>
              <w:spacing w:after="0"/>
            </w:pPr>
          </w:p>
          <w:p w14:paraId="3ECE38EC" w14:textId="77777777" w:rsidR="001F04FD" w:rsidRDefault="001F04FD" w:rsidP="00AC4DEE">
            <w:pPr>
              <w:pStyle w:val="TableBody"/>
              <w:spacing w:after="0"/>
            </w:pPr>
            <w:r>
              <w:t xml:space="preserve">Validate Three-Part Supply Offers  </w:t>
            </w:r>
          </w:p>
          <w:p w14:paraId="086A9532" w14:textId="77777777" w:rsidR="001F04FD" w:rsidRDefault="001F04FD" w:rsidP="00AC4DEE">
            <w:pPr>
              <w:pStyle w:val="TableBody"/>
              <w:spacing w:after="0"/>
            </w:pPr>
          </w:p>
          <w:p w14:paraId="7BEA625F" w14:textId="77777777" w:rsidR="001F04FD" w:rsidRDefault="001F04FD" w:rsidP="00AC4DEE">
            <w:pPr>
              <w:pStyle w:val="TableBody"/>
              <w:spacing w:after="0"/>
            </w:pPr>
            <w:r>
              <w:t>Publish Notice of Need to Procure Additional Ancillary Service capacity if required</w:t>
            </w:r>
          </w:p>
          <w:p w14:paraId="69CCD417" w14:textId="77777777" w:rsidR="001F04FD" w:rsidRDefault="001F04FD" w:rsidP="00AC4DEE">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C61B40" w14:paraId="67B0E124" w14:textId="77777777" w:rsidTr="0058150D">
              <w:trPr>
                <w:trHeight w:val="206"/>
              </w:trPr>
              <w:tc>
                <w:tcPr>
                  <w:tcW w:w="9576" w:type="dxa"/>
                  <w:shd w:val="pct12" w:color="auto" w:fill="auto"/>
                </w:tcPr>
                <w:p w14:paraId="26480811" w14:textId="3CF94290" w:rsidR="00C61B40" w:rsidRDefault="00C61B40" w:rsidP="00C61B40">
                  <w:pPr>
                    <w:pStyle w:val="Instructions"/>
                    <w:spacing w:before="120"/>
                  </w:pPr>
                  <w:r>
                    <w:t>[NPRR1010</w:t>
                  </w:r>
                  <w:r w:rsidR="0040329E">
                    <w:t xml:space="preserve"> and NPRR1014</w:t>
                  </w:r>
                  <w:r>
                    <w:t>:  Replace</w:t>
                  </w:r>
                  <w:r w:rsidR="0040329E">
                    <w:t xml:space="preserve"> applicable portions of</w:t>
                  </w:r>
                  <w:r>
                    <w:t xml:space="preserve"> the item above with the following upon system implementation of the Real-Time Co-Optimization (RTC) project</w:t>
                  </w:r>
                  <w:r w:rsidR="0040329E">
                    <w:t xml:space="preserve"> for NPRR1010; or upon system implementation for NPRR1014</w:t>
                  </w:r>
                  <w:r>
                    <w:t>:]</w:t>
                  </w:r>
                </w:p>
                <w:p w14:paraId="346A28ED" w14:textId="1773F0A3" w:rsidR="00C61B40" w:rsidRPr="00C61B40" w:rsidRDefault="00C61B40" w:rsidP="00C61B40">
                  <w:pPr>
                    <w:rPr>
                      <w:iCs/>
                      <w:sz w:val="20"/>
                    </w:rPr>
                  </w:pPr>
                  <w:r w:rsidRPr="003161DC">
                    <w:rPr>
                      <w:iCs/>
                      <w:sz w:val="20"/>
                    </w:rPr>
                    <w:t xml:space="preserve">Publish Notice of </w:t>
                  </w:r>
                  <w:r>
                    <w:rPr>
                      <w:iCs/>
                      <w:sz w:val="20"/>
                    </w:rPr>
                    <w:t>n</w:t>
                  </w:r>
                  <w:r w:rsidRPr="003161DC">
                    <w:rPr>
                      <w:iCs/>
                      <w:sz w:val="20"/>
                    </w:rPr>
                    <w:t xml:space="preserve">eed to </w:t>
                  </w:r>
                  <w:r>
                    <w:rPr>
                      <w:iCs/>
                      <w:sz w:val="20"/>
                    </w:rPr>
                    <w:t xml:space="preserve">update the </w:t>
                  </w:r>
                  <w:r w:rsidRPr="003161DC">
                    <w:rPr>
                      <w:iCs/>
                      <w:sz w:val="20"/>
                    </w:rPr>
                    <w:t xml:space="preserve"> Ancillary Service </w:t>
                  </w:r>
                  <w:r>
                    <w:rPr>
                      <w:iCs/>
                      <w:sz w:val="20"/>
                    </w:rPr>
                    <w:t>Plan</w:t>
                  </w:r>
                  <w:r w:rsidRPr="003161DC">
                    <w:rPr>
                      <w:iCs/>
                      <w:sz w:val="20"/>
                    </w:rPr>
                    <w:t xml:space="preserve"> if required</w:t>
                  </w:r>
                  <w:r>
                    <w:rPr>
                      <w:iCs/>
                      <w:sz w:val="20"/>
                    </w:rPr>
                    <w:t xml:space="preserve"> and update the Ancillary Service Demand Curves (ASDCs) for the affected hours and Ancillary Services</w:t>
                  </w:r>
                </w:p>
              </w:tc>
            </w:tr>
          </w:tbl>
          <w:p w14:paraId="71F160AD" w14:textId="77777777" w:rsidR="001F04FD" w:rsidRDefault="001F04FD" w:rsidP="000B1D41">
            <w:pPr>
              <w:pStyle w:val="TableBody"/>
              <w:spacing w:before="240" w:after="0"/>
            </w:pPr>
            <w:r>
              <w:t>Validate Ancillary Service Offers</w:t>
            </w:r>
          </w:p>
          <w:p w14:paraId="5416C362" w14:textId="77777777" w:rsidR="001F04FD" w:rsidRDefault="001F04FD" w:rsidP="00AC4DEE">
            <w:pPr>
              <w:pStyle w:val="TableBody"/>
              <w:spacing w:after="0"/>
            </w:pPr>
          </w:p>
          <w:p w14:paraId="08526E3B" w14:textId="77777777" w:rsidR="001F04FD" w:rsidRDefault="001F04FD" w:rsidP="00AC4DEE">
            <w:pPr>
              <w:pStyle w:val="TableBody"/>
              <w:spacing w:after="0"/>
            </w:pPr>
            <w:r>
              <w:t>At the end of the Adjustment Period snap-shot the net capacity credits for Hourly Reliability Unit Commitment (HRUC) Settlement</w:t>
            </w:r>
          </w:p>
          <w:p w14:paraId="5D5B88ED" w14:textId="77777777" w:rsidR="001F04FD" w:rsidRDefault="001F04FD" w:rsidP="00AC4DEE">
            <w:pPr>
              <w:pStyle w:val="TableBody"/>
              <w:spacing w:after="0"/>
            </w:pPr>
          </w:p>
          <w:p w14:paraId="1BA0CE7B" w14:textId="77777777" w:rsidR="001F04FD" w:rsidRDefault="001F04FD" w:rsidP="00AC4DEE">
            <w:pPr>
              <w:pStyle w:val="TableBody"/>
              <w:spacing w:after="0"/>
            </w:pPr>
            <w:r>
              <w:t>Update Short-Term Wind Power Forecast (STWPF)</w:t>
            </w:r>
          </w:p>
          <w:p w14:paraId="031E0B1F" w14:textId="77777777" w:rsidR="001F04FD" w:rsidRDefault="001F04FD" w:rsidP="00AC4DEE">
            <w:pPr>
              <w:pStyle w:val="TableBody"/>
              <w:spacing w:after="0"/>
            </w:pPr>
          </w:p>
          <w:p w14:paraId="329D4DD9" w14:textId="77777777" w:rsidR="001F04FD" w:rsidRDefault="001F04FD" w:rsidP="00AC4DEE">
            <w:pPr>
              <w:pStyle w:val="TableBody"/>
              <w:spacing w:after="0"/>
            </w:pPr>
            <w:r>
              <w:t>Update Short-Term PhotoVoltaic Power Forecast (STPPF)</w:t>
            </w:r>
          </w:p>
          <w:p w14:paraId="57C05067" w14:textId="77777777" w:rsidR="001F04FD" w:rsidRDefault="001F04FD" w:rsidP="00AC4DEE">
            <w:pPr>
              <w:pStyle w:val="TableBody"/>
              <w:spacing w:after="0"/>
            </w:pPr>
          </w:p>
          <w:p w14:paraId="07D976B5" w14:textId="77777777" w:rsidR="001F04FD" w:rsidRDefault="001F04FD" w:rsidP="00AC4DEE">
            <w:pPr>
              <w:pStyle w:val="TableBody"/>
              <w:spacing w:after="0"/>
            </w:pPr>
            <w:r>
              <w:t>Execute the Hour-Ahead Sequence</w:t>
            </w:r>
          </w:p>
          <w:p w14:paraId="3CABB7D3" w14:textId="77777777" w:rsidR="001F04FD" w:rsidRDefault="001F04FD" w:rsidP="00AC4DEE">
            <w:pPr>
              <w:pStyle w:val="TableBody"/>
              <w:spacing w:after="0"/>
            </w:pPr>
          </w:p>
          <w:p w14:paraId="13DFF0F9" w14:textId="77777777" w:rsidR="00D3410D" w:rsidRDefault="001F04FD" w:rsidP="000B1D41">
            <w:pPr>
              <w:pStyle w:val="TableBody"/>
              <w:spacing w:after="240"/>
            </w:pPr>
            <w:r>
              <w:t xml:space="preserve">Notify the QSE via the MIS Certified Area that an Energy Offer Curve, RTM Energy Bid or Output Schedule has not yet been submitted for a Resource as a reminder that one of the three must be submitted by the end of the Adjustment Period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D3410D" w:rsidRPr="00812ECB" w14:paraId="22B4C679" w14:textId="77777777" w:rsidTr="00F5593C">
              <w:trPr>
                <w:trHeight w:val="206"/>
              </w:trPr>
              <w:tc>
                <w:tcPr>
                  <w:tcW w:w="9576" w:type="dxa"/>
                  <w:shd w:val="pct12" w:color="auto" w:fill="auto"/>
                </w:tcPr>
                <w:p w14:paraId="112C446C" w14:textId="77777777" w:rsidR="00D3410D" w:rsidRPr="00812ECB" w:rsidRDefault="00D3410D" w:rsidP="00D3410D">
                  <w:pPr>
                    <w:spacing w:before="120" w:after="240"/>
                    <w:rPr>
                      <w:b/>
                      <w:i/>
                      <w:iCs/>
                    </w:rPr>
                  </w:pPr>
                  <w:r w:rsidRPr="00812ECB">
                    <w:rPr>
                      <w:b/>
                      <w:i/>
                      <w:iCs/>
                    </w:rPr>
                    <w:lastRenderedPageBreak/>
                    <w:t>[NPRR1</w:t>
                  </w:r>
                  <w:r>
                    <w:rPr>
                      <w:b/>
                      <w:i/>
                      <w:iCs/>
                    </w:rPr>
                    <w:t>188</w:t>
                  </w:r>
                  <w:r w:rsidRPr="00812ECB">
                    <w:rPr>
                      <w:b/>
                      <w:i/>
                      <w:iCs/>
                    </w:rPr>
                    <w:t xml:space="preserve">:  </w:t>
                  </w:r>
                  <w:r>
                    <w:rPr>
                      <w:b/>
                      <w:i/>
                      <w:iCs/>
                    </w:rPr>
                    <w:t>Replace</w:t>
                  </w:r>
                  <w:r w:rsidRPr="00812ECB">
                    <w:rPr>
                      <w:b/>
                      <w:i/>
                      <w:iCs/>
                    </w:rPr>
                    <w:t xml:space="preserve"> the item </w:t>
                  </w:r>
                  <w:r>
                    <w:rPr>
                      <w:b/>
                      <w:i/>
                      <w:iCs/>
                    </w:rPr>
                    <w:t>above with the following</w:t>
                  </w:r>
                  <w:r w:rsidRPr="00812ECB">
                    <w:rPr>
                      <w:b/>
                      <w:i/>
                      <w:iCs/>
                    </w:rPr>
                    <w:t xml:space="preserve"> upon system implementation:]</w:t>
                  </w:r>
                </w:p>
                <w:p w14:paraId="6A498D0B" w14:textId="6DFEAC47" w:rsidR="00D3410D" w:rsidRPr="00812ECB" w:rsidRDefault="00D3410D" w:rsidP="00D3410D">
                  <w:pPr>
                    <w:spacing w:after="240"/>
                    <w:rPr>
                      <w:iCs/>
                      <w:sz w:val="20"/>
                    </w:rPr>
                  </w:pPr>
                  <w:r w:rsidRPr="00812ECB">
                    <w:rPr>
                      <w:iCs/>
                      <w:sz w:val="20"/>
                    </w:rPr>
                    <w:t>Notify the QSE via the MIS Certified Area that an Energy Offer Curve, Energy Bid Curve or Output Schedule has not yet been submitted for a Resource as a reminder that one of the three must be submitted by the end of the Adjustment Period</w:t>
                  </w:r>
                </w:p>
              </w:tc>
            </w:tr>
          </w:tbl>
          <w:p w14:paraId="2D2B7E63" w14:textId="71BA51C5" w:rsidR="00C61B40" w:rsidRDefault="00C61B40" w:rsidP="00D3410D">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C61B40" w14:paraId="32135BE3" w14:textId="77777777" w:rsidTr="0058150D">
              <w:trPr>
                <w:trHeight w:val="206"/>
              </w:trPr>
              <w:tc>
                <w:tcPr>
                  <w:tcW w:w="9576" w:type="dxa"/>
                  <w:shd w:val="pct12" w:color="auto" w:fill="auto"/>
                </w:tcPr>
                <w:p w14:paraId="789C5B93" w14:textId="53D15BB4" w:rsidR="00C61B40" w:rsidRDefault="00C61B40" w:rsidP="00C61B40">
                  <w:pPr>
                    <w:pStyle w:val="Instructions"/>
                    <w:spacing w:before="120"/>
                  </w:pPr>
                  <w:r>
                    <w:t>[NPRR1010</w:t>
                  </w:r>
                  <w:r w:rsidR="002732A3">
                    <w:t xml:space="preserve"> and NPRR1014</w:t>
                  </w:r>
                  <w:r>
                    <w:t xml:space="preserve">:  Insert </w:t>
                  </w:r>
                  <w:r w:rsidR="002732A3">
                    <w:t xml:space="preserve">applicable portions of </w:t>
                  </w:r>
                  <w:r>
                    <w:t>the item</w:t>
                  </w:r>
                  <w:r w:rsidR="002732A3">
                    <w:t>s</w:t>
                  </w:r>
                  <w:r>
                    <w:t xml:space="preserve"> below upon system implementation of the Real-Time Co-Optimization (RTC) project</w:t>
                  </w:r>
                  <w:r w:rsidR="002732A3">
                    <w:t xml:space="preserve"> for NPRR1010; or upon sy</w:t>
                  </w:r>
                  <w:r w:rsidR="00525E33">
                    <w:t>s</w:t>
                  </w:r>
                  <w:r w:rsidR="002732A3">
                    <w:t>tem implementation for NPRR1014</w:t>
                  </w:r>
                  <w:r>
                    <w:t>:]</w:t>
                  </w:r>
                </w:p>
                <w:p w14:paraId="0B9D45FB" w14:textId="77777777" w:rsidR="00C61B40" w:rsidRDefault="00C61B40" w:rsidP="00C61B40">
                  <w:pPr>
                    <w:rPr>
                      <w:iCs/>
                      <w:sz w:val="20"/>
                    </w:rPr>
                  </w:pPr>
                  <w:r>
                    <w:rPr>
                      <w:iCs/>
                      <w:sz w:val="20"/>
                    </w:rPr>
                    <w:t>Notify the QSE via the MIS Certified Area that an Ancillary Service Offer has not yet been submitted for a Resource by the end of the Adjustment Period</w:t>
                  </w:r>
                </w:p>
                <w:p w14:paraId="2B92584B" w14:textId="77777777" w:rsidR="002732A3" w:rsidRDefault="002732A3" w:rsidP="00C61B40">
                  <w:pPr>
                    <w:rPr>
                      <w:iCs/>
                      <w:sz w:val="20"/>
                    </w:rPr>
                  </w:pPr>
                </w:p>
                <w:p w14:paraId="21721EC6" w14:textId="6F924B3B" w:rsidR="002732A3" w:rsidRPr="00C61B40" w:rsidRDefault="002732A3" w:rsidP="00C61B40">
                  <w:pPr>
                    <w:rPr>
                      <w:iCs/>
                      <w:sz w:val="20"/>
                    </w:rPr>
                  </w:pPr>
                  <w:r w:rsidRPr="00A552C3">
                    <w:rPr>
                      <w:iCs/>
                      <w:sz w:val="20"/>
                    </w:rPr>
                    <w:t>Notify the QSE via the MIS Certified Area that an Energy Bid/Offer Curve has not yet been submitted for an ESR by the end of the Adjustment Period</w:t>
                  </w:r>
                </w:p>
              </w:tc>
            </w:tr>
          </w:tbl>
          <w:p w14:paraId="04B4A995" w14:textId="77777777" w:rsidR="001F04FD" w:rsidRDefault="001F04FD" w:rsidP="00AC4DEE">
            <w:pPr>
              <w:pStyle w:val="TableBody"/>
              <w:spacing w:after="0"/>
            </w:pPr>
          </w:p>
        </w:tc>
      </w:tr>
    </w:tbl>
    <w:p w14:paraId="50F8C556" w14:textId="3F987956" w:rsidR="001F04FD" w:rsidRDefault="001F04FD" w:rsidP="001F04FD">
      <w:pPr>
        <w:pStyle w:val="H3"/>
        <w:spacing w:before="480"/>
      </w:pPr>
      <w:bookmarkStart w:id="84" w:name="_Toc397504910"/>
      <w:bookmarkStart w:id="85" w:name="_Toc402357038"/>
      <w:bookmarkStart w:id="86" w:name="_Toc422486418"/>
      <w:bookmarkStart w:id="87" w:name="_Toc433093270"/>
      <w:bookmarkStart w:id="88" w:name="_Toc433093428"/>
      <w:bookmarkStart w:id="89" w:name="_Toc440874658"/>
      <w:bookmarkStart w:id="90" w:name="_Toc448142213"/>
      <w:bookmarkStart w:id="91" w:name="_Toc448142370"/>
      <w:bookmarkStart w:id="92" w:name="_Toc458770206"/>
      <w:bookmarkStart w:id="93" w:name="_Toc459294174"/>
      <w:bookmarkStart w:id="94" w:name="_Toc463262667"/>
      <w:bookmarkStart w:id="95" w:name="_Toc468286739"/>
      <w:bookmarkStart w:id="96" w:name="_Toc481502785"/>
      <w:bookmarkStart w:id="97" w:name="_Toc496079955"/>
      <w:bookmarkStart w:id="98" w:name="_Toc204411538"/>
      <w:r>
        <w:lastRenderedPageBreak/>
        <w:t>6.3.2</w:t>
      </w:r>
      <w:r>
        <w:tab/>
        <w:t>Activities for Real-Time Operations</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72B75C64" w14:textId="77777777" w:rsidR="001F04FD" w:rsidRDefault="001F04FD" w:rsidP="001F04FD">
      <w:pPr>
        <w:pStyle w:val="BodyTextNumbered"/>
      </w:pPr>
      <w:r>
        <w:t>(1)</w:t>
      </w:r>
      <w:r>
        <w:tab/>
        <w:t>Activities for Real-Time operations begin at the end of the Adjustment Period and conclude at the close of the Operating Hour.</w:t>
      </w:r>
    </w:p>
    <w:p w14:paraId="7F605499" w14:textId="77777777" w:rsidR="001F04FD" w:rsidRPr="000149E5" w:rsidRDefault="001F04FD" w:rsidP="001F04FD">
      <w:pPr>
        <w:pStyle w:val="BodyTextNumbered"/>
        <w:rPr>
          <w:iCs/>
        </w:rPr>
      </w:pPr>
      <w:r w:rsidRPr="000149E5">
        <w:rPr>
          <w:iCs/>
        </w:rPr>
        <w:t>(2)</w:t>
      </w:r>
      <w:r w:rsidRPr="000149E5">
        <w:rPr>
          <w:iCs/>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1F04FD" w14:paraId="0B8B4FAC" w14:textId="77777777" w:rsidTr="00AC4DEE">
        <w:trPr>
          <w:cantSplit/>
          <w:trHeight w:val="440"/>
          <w:tblHeader/>
        </w:trPr>
        <w:tc>
          <w:tcPr>
            <w:tcW w:w="2276" w:type="dxa"/>
          </w:tcPr>
          <w:p w14:paraId="2D9A5D8E" w14:textId="77777777" w:rsidR="001F04FD" w:rsidRPr="00EB4BCC" w:rsidRDefault="001F04FD" w:rsidP="00AC4DEE">
            <w:pPr>
              <w:pStyle w:val="TableBody"/>
              <w:rPr>
                <w:b/>
              </w:rPr>
            </w:pPr>
            <w:r w:rsidRPr="00EB4BCC">
              <w:rPr>
                <w:b/>
              </w:rPr>
              <w:lastRenderedPageBreak/>
              <w:t>Operating Period</w:t>
            </w:r>
          </w:p>
        </w:tc>
        <w:tc>
          <w:tcPr>
            <w:tcW w:w="3477" w:type="dxa"/>
          </w:tcPr>
          <w:p w14:paraId="1603E0B0" w14:textId="77777777" w:rsidR="001F04FD" w:rsidRPr="00EB4BCC" w:rsidRDefault="001F04FD" w:rsidP="00AC4DEE">
            <w:pPr>
              <w:pStyle w:val="TableBody"/>
              <w:rPr>
                <w:b/>
                <w:bCs/>
              </w:rPr>
            </w:pPr>
            <w:r w:rsidRPr="00EB4BCC">
              <w:rPr>
                <w:b/>
                <w:bCs/>
              </w:rPr>
              <w:t>QSE Activities</w:t>
            </w:r>
          </w:p>
        </w:tc>
        <w:tc>
          <w:tcPr>
            <w:tcW w:w="3823" w:type="dxa"/>
          </w:tcPr>
          <w:p w14:paraId="2DCF7A15" w14:textId="77777777" w:rsidR="001F04FD" w:rsidRPr="00EB4BCC" w:rsidRDefault="001F04FD" w:rsidP="00AC4DEE">
            <w:pPr>
              <w:pStyle w:val="TableBody"/>
              <w:rPr>
                <w:b/>
                <w:bCs/>
              </w:rPr>
            </w:pPr>
            <w:r w:rsidRPr="00EB4BCC">
              <w:rPr>
                <w:b/>
                <w:bCs/>
              </w:rPr>
              <w:t>ERCOT Activities</w:t>
            </w:r>
          </w:p>
        </w:tc>
      </w:tr>
      <w:tr w:rsidR="001F04FD" w14:paraId="0AE25BBA" w14:textId="77777777" w:rsidTr="00AC4DEE">
        <w:trPr>
          <w:cantSplit/>
          <w:trHeight w:val="576"/>
        </w:trPr>
        <w:tc>
          <w:tcPr>
            <w:tcW w:w="2276" w:type="dxa"/>
          </w:tcPr>
          <w:p w14:paraId="7A7C3D5E" w14:textId="77777777" w:rsidR="001F04FD" w:rsidRDefault="001F04FD" w:rsidP="00AC4DEE">
            <w:pPr>
              <w:pStyle w:val="TableBody"/>
            </w:pPr>
            <w:r>
              <w:t xml:space="preserve">During the first hour of the Operating Period </w:t>
            </w:r>
          </w:p>
        </w:tc>
        <w:tc>
          <w:tcPr>
            <w:tcW w:w="3477" w:type="dxa"/>
          </w:tcPr>
          <w:p w14:paraId="0B4B2EB8" w14:textId="77777777" w:rsidR="001F04FD" w:rsidRDefault="001F04FD" w:rsidP="00AC4DEE">
            <w:pPr>
              <w:pStyle w:val="TableBody"/>
            </w:pPr>
          </w:p>
        </w:tc>
        <w:tc>
          <w:tcPr>
            <w:tcW w:w="3823" w:type="dxa"/>
          </w:tcPr>
          <w:p w14:paraId="5E4C0E27" w14:textId="77777777" w:rsidR="001F04FD" w:rsidRDefault="001F04FD" w:rsidP="00AC4DEE">
            <w:pPr>
              <w:pStyle w:val="TableBody"/>
              <w:spacing w:after="0"/>
            </w:pPr>
            <w:r>
              <w:t>Execute the Hour-Ahead Sequence, including HRUC, beginning with the second hour of the Operating Period</w:t>
            </w:r>
          </w:p>
          <w:p w14:paraId="26C7C8AF" w14:textId="77777777" w:rsidR="001F04FD" w:rsidRPr="00B326CC" w:rsidRDefault="001F04FD" w:rsidP="00AC4DEE">
            <w:pPr>
              <w:rPr>
                <w:iCs/>
                <w:sz w:val="20"/>
              </w:rPr>
            </w:pPr>
          </w:p>
          <w:p w14:paraId="596AA53C" w14:textId="77777777" w:rsidR="001F04FD" w:rsidRPr="00B326CC" w:rsidRDefault="001F04FD" w:rsidP="00AC4DEE">
            <w:pPr>
              <w:rPr>
                <w:iCs/>
                <w:sz w:val="20"/>
              </w:rPr>
            </w:pPr>
            <w:r w:rsidRPr="00B326CC">
              <w:rPr>
                <w:iCs/>
                <w:sz w:val="20"/>
              </w:rPr>
              <w:t>Review the list of Off-</w:t>
            </w:r>
            <w:r>
              <w:rPr>
                <w:iCs/>
                <w:sz w:val="20"/>
              </w:rPr>
              <w:t>L</w:t>
            </w:r>
            <w:r w:rsidRPr="00B326CC">
              <w:rPr>
                <w:iCs/>
                <w:sz w:val="20"/>
              </w:rPr>
              <w:t>ine Available Resources with a start-up time of one hour or less</w:t>
            </w:r>
          </w:p>
          <w:p w14:paraId="6B51C975" w14:textId="77777777" w:rsidR="001F04FD" w:rsidRPr="00B326CC" w:rsidRDefault="001F04FD" w:rsidP="00AC4DEE">
            <w:pPr>
              <w:rPr>
                <w:iCs/>
                <w:sz w:val="20"/>
              </w:rPr>
            </w:pPr>
          </w:p>
          <w:p w14:paraId="3BAA8577" w14:textId="77777777" w:rsidR="001F04FD" w:rsidRDefault="001F04FD" w:rsidP="00AC4DEE">
            <w:pPr>
              <w:pStyle w:val="TableBody"/>
              <w:spacing w:after="0"/>
            </w:pPr>
            <w:r>
              <w:t>Review and communicate HRUC commitments and Direct Current Tie (DC Tie) Schedule curtailments</w:t>
            </w:r>
          </w:p>
          <w:p w14:paraId="17CEF8BB" w14:textId="77777777" w:rsidR="001F04FD" w:rsidRDefault="001F04FD" w:rsidP="00AC4DEE">
            <w:pPr>
              <w:pStyle w:val="TableBody"/>
              <w:spacing w:after="0"/>
            </w:pPr>
          </w:p>
          <w:p w14:paraId="7A28D0E2" w14:textId="77777777" w:rsidR="001F04FD" w:rsidRDefault="001F04FD" w:rsidP="00AC4DEE">
            <w:pPr>
              <w:pStyle w:val="TableBody"/>
              <w:spacing w:after="0"/>
            </w:pPr>
            <w:r>
              <w:t>Snapshot the Scheduled Power Consumption for Controllable Load Resources</w:t>
            </w:r>
          </w:p>
        </w:tc>
      </w:tr>
      <w:tr w:rsidR="001F04FD" w14:paraId="077566E7" w14:textId="77777777" w:rsidTr="00AC4DEE">
        <w:trPr>
          <w:cantSplit/>
          <w:trHeight w:val="576"/>
        </w:trPr>
        <w:tc>
          <w:tcPr>
            <w:tcW w:w="2276" w:type="dxa"/>
          </w:tcPr>
          <w:p w14:paraId="28E59828" w14:textId="77777777" w:rsidR="001F04FD" w:rsidRDefault="001F04FD" w:rsidP="00AC4DEE">
            <w:pPr>
              <w:pStyle w:val="TableBody"/>
            </w:pPr>
            <w:r>
              <w:t>Before the start of each SCED run</w:t>
            </w:r>
          </w:p>
        </w:tc>
        <w:tc>
          <w:tcPr>
            <w:tcW w:w="3477" w:type="dxa"/>
          </w:tcPr>
          <w:p w14:paraId="0B0B091B" w14:textId="77777777" w:rsidR="001F04FD" w:rsidRDefault="001F04FD" w:rsidP="00AC4DEE">
            <w:pPr>
              <w:pStyle w:val="TableBody"/>
            </w:pPr>
            <w:r>
              <w:t>Update Output Schedules for DSRs</w:t>
            </w:r>
          </w:p>
          <w:p w14:paraId="41690ABA" w14:textId="77777777" w:rsidR="001F04FD" w:rsidRPr="00EB4BCC" w:rsidRDefault="001F04FD" w:rsidP="00AC4DEE">
            <w:pPr>
              <w:pStyle w:val="TableBody"/>
              <w:rPr>
                <w:bCs/>
              </w:rPr>
            </w:pPr>
          </w:p>
        </w:tc>
        <w:tc>
          <w:tcPr>
            <w:tcW w:w="3823" w:type="dxa"/>
          </w:tcPr>
          <w:p w14:paraId="75CD6B11" w14:textId="77777777" w:rsidR="001F04FD" w:rsidRDefault="001F04FD" w:rsidP="00AC4DEE">
            <w:pPr>
              <w:pStyle w:val="TableBody"/>
              <w:spacing w:after="0"/>
            </w:pPr>
            <w:r>
              <w:t>Validate Output Schedules for DSRs</w:t>
            </w:r>
          </w:p>
          <w:p w14:paraId="649161C9" w14:textId="77777777" w:rsidR="001F04FD" w:rsidRDefault="001F04FD" w:rsidP="00AC4DEE">
            <w:pPr>
              <w:pStyle w:val="TableBody"/>
              <w:spacing w:after="0"/>
            </w:pPr>
          </w:p>
          <w:p w14:paraId="38614A8A" w14:textId="77777777" w:rsidR="001F04FD" w:rsidRPr="008310E3" w:rsidRDefault="001F04FD" w:rsidP="00AC4DEE">
            <w:pPr>
              <w:pStyle w:val="TableBody"/>
              <w:spacing w:after="0"/>
            </w:pPr>
            <w:r>
              <w:t>Execute Real-Time Sequence</w:t>
            </w:r>
          </w:p>
        </w:tc>
      </w:tr>
      <w:tr w:rsidR="001F04FD" w14:paraId="78B083DA" w14:textId="77777777" w:rsidTr="00AC4DEE">
        <w:trPr>
          <w:cantSplit/>
          <w:trHeight w:val="395"/>
        </w:trPr>
        <w:tc>
          <w:tcPr>
            <w:tcW w:w="2276" w:type="dxa"/>
          </w:tcPr>
          <w:p w14:paraId="3DF96C6F" w14:textId="77777777" w:rsidR="001F04FD" w:rsidRDefault="001F04FD" w:rsidP="00AC4DEE">
            <w:pPr>
              <w:pStyle w:val="TableBody"/>
            </w:pPr>
            <w:r>
              <w:t>SCED run</w:t>
            </w:r>
          </w:p>
        </w:tc>
        <w:tc>
          <w:tcPr>
            <w:tcW w:w="3477" w:type="dxa"/>
          </w:tcPr>
          <w:p w14:paraId="24C1A0DD" w14:textId="77777777" w:rsidR="001F04FD" w:rsidRDefault="001F04FD" w:rsidP="00AC4DEE">
            <w:pPr>
              <w:pStyle w:val="TableBody"/>
            </w:pPr>
          </w:p>
        </w:tc>
        <w:tc>
          <w:tcPr>
            <w:tcW w:w="3823" w:type="dxa"/>
          </w:tcPr>
          <w:p w14:paraId="3344FD27" w14:textId="77777777" w:rsidR="001F04FD" w:rsidRDefault="001F04FD" w:rsidP="00AC4DEE">
            <w:pPr>
              <w:pStyle w:val="TableBody"/>
            </w:pPr>
            <w:r>
              <w:t xml:space="preserve">Execute SCED </w:t>
            </w:r>
            <w:r w:rsidRPr="00193B05">
              <w:t>and pricing run to determine impact of reliability deployments on energy prices</w:t>
            </w:r>
          </w:p>
        </w:tc>
      </w:tr>
      <w:tr w:rsidR="001F04FD" w14:paraId="7CB64DF3" w14:textId="77777777" w:rsidTr="00AC4DEE">
        <w:trPr>
          <w:trHeight w:val="576"/>
        </w:trPr>
        <w:tc>
          <w:tcPr>
            <w:tcW w:w="2276" w:type="dxa"/>
          </w:tcPr>
          <w:p w14:paraId="26BF355D" w14:textId="77777777" w:rsidR="001F04FD" w:rsidRDefault="001F04FD" w:rsidP="00AC4DEE">
            <w:pPr>
              <w:pStyle w:val="TableBody"/>
            </w:pPr>
            <w:r>
              <w:t>During the Operating Hour</w:t>
            </w:r>
          </w:p>
        </w:tc>
        <w:tc>
          <w:tcPr>
            <w:tcW w:w="3477" w:type="dxa"/>
          </w:tcPr>
          <w:p w14:paraId="106EEB4F" w14:textId="77777777" w:rsidR="001F04FD" w:rsidRDefault="001F04FD" w:rsidP="00AC4DEE">
            <w:pPr>
              <w:pStyle w:val="TableBody"/>
              <w:spacing w:after="0"/>
            </w:pPr>
            <w:r>
              <w:t>Telemeter the Ancillary Service Resource Responsibility for each Resource</w:t>
            </w:r>
          </w:p>
          <w:p w14:paraId="018123F8" w14:textId="77777777" w:rsidR="00C23DEE" w:rsidRDefault="00C23DEE" w:rsidP="00AC4DEE">
            <w:pPr>
              <w:pStyle w:val="TableBody"/>
              <w:spacing w:after="0"/>
            </w:pPr>
          </w:p>
          <w:p w14:paraId="1F708304" w14:textId="512662D8" w:rsidR="00C23DEE" w:rsidRDefault="00C23DEE" w:rsidP="00AC4DEE">
            <w:pPr>
              <w:pStyle w:val="TableBody"/>
              <w:spacing w:after="0"/>
            </w:pPr>
            <w:r w:rsidRPr="00F06E8E">
              <w:t>Telemeter next Operating Hour Ancillary Service Resource Responsibility for an ESR</w:t>
            </w:r>
          </w:p>
          <w:p w14:paraId="36431E34" w14:textId="19703580" w:rsidR="001F04FD" w:rsidRDefault="001F04FD" w:rsidP="003D77E1">
            <w:pPr>
              <w:pStyle w:val="TableBody"/>
              <w:spacing w:before="240" w:after="0"/>
            </w:pPr>
            <w:r>
              <w:t>Acknowledge receipt of Dispatch Instructions</w:t>
            </w:r>
          </w:p>
          <w:p w14:paraId="47EA7BF8" w14:textId="77777777" w:rsidR="001F04FD" w:rsidRDefault="001F04FD" w:rsidP="00AC4DEE">
            <w:pPr>
              <w:pStyle w:val="TableBody"/>
              <w:spacing w:after="0"/>
            </w:pPr>
          </w:p>
          <w:p w14:paraId="09A2B316" w14:textId="77777777" w:rsidR="001F04FD" w:rsidRDefault="001F04FD" w:rsidP="00AC4DEE">
            <w:pPr>
              <w:pStyle w:val="TableBody"/>
              <w:spacing w:after="0"/>
            </w:pPr>
            <w:r>
              <w:t>Comply with Dispatch Instruction</w:t>
            </w:r>
          </w:p>
          <w:p w14:paraId="41BD0C3D" w14:textId="77777777" w:rsidR="001F04FD" w:rsidRDefault="001F04FD" w:rsidP="00AC4DEE">
            <w:pPr>
              <w:pStyle w:val="TableBody"/>
              <w:spacing w:after="0"/>
            </w:pPr>
            <w:r>
              <w:t xml:space="preserve"> </w:t>
            </w:r>
          </w:p>
          <w:p w14:paraId="0C8B5150" w14:textId="77777777" w:rsidR="001F04FD" w:rsidRDefault="001F04FD" w:rsidP="00AC4DEE">
            <w:pPr>
              <w:pStyle w:val="TableBody"/>
              <w:spacing w:after="0"/>
            </w:pPr>
            <w:r>
              <w:t>Review Resource Status to assure current state of the Resources is properly telemetered</w:t>
            </w:r>
          </w:p>
          <w:p w14:paraId="57BB12AC" w14:textId="77777777" w:rsidR="001F04FD" w:rsidRDefault="001F04FD" w:rsidP="00AC4DEE">
            <w:pPr>
              <w:pStyle w:val="TableBody"/>
              <w:spacing w:after="0"/>
            </w:pPr>
          </w:p>
          <w:p w14:paraId="3EC83B8F" w14:textId="77777777" w:rsidR="001F04FD" w:rsidRDefault="001F04FD" w:rsidP="00AC4DEE">
            <w:pPr>
              <w:pStyle w:val="TableBody"/>
              <w:spacing w:after="0"/>
            </w:pPr>
            <w:r>
              <w:t xml:space="preserve">Update COP with actual Resource Status and limits and Ancillary Service Schedules </w:t>
            </w:r>
          </w:p>
          <w:p w14:paraId="22A1A615" w14:textId="77777777" w:rsidR="001F04FD" w:rsidRDefault="001F04FD" w:rsidP="00AC4DEE">
            <w:pPr>
              <w:pStyle w:val="TableBody"/>
              <w:spacing w:after="0"/>
            </w:pPr>
          </w:p>
          <w:p w14:paraId="2E6D31E5" w14:textId="77777777" w:rsidR="001F04FD" w:rsidRDefault="001F04FD" w:rsidP="00AC4DEE">
            <w:pPr>
              <w:pStyle w:val="TableBody"/>
              <w:spacing w:after="0"/>
            </w:pPr>
            <w:r>
              <w:t xml:space="preserve">Communicate Resource Forced Outages to ERCOT </w:t>
            </w:r>
          </w:p>
          <w:p w14:paraId="2E1FF5DC" w14:textId="77777777" w:rsidR="001F04FD" w:rsidRDefault="001F04FD" w:rsidP="00AC4DEE">
            <w:pPr>
              <w:pStyle w:val="TableBody"/>
              <w:spacing w:after="0"/>
            </w:pPr>
          </w:p>
          <w:p w14:paraId="28FDA6B0" w14:textId="77777777" w:rsidR="001F04FD" w:rsidRDefault="001F04FD" w:rsidP="00AC4DEE">
            <w:pPr>
              <w:pStyle w:val="TableBody"/>
              <w:spacing w:after="0"/>
            </w:pPr>
            <w:r>
              <w:t>Communicate to ERCOT Resource changes to Ancillary Service Resource Responsibility via telemetry in the time window beginning 30 seconds prior to the five-minute clock interval and ending ten seconds prior to that five-minute clock interval</w:t>
            </w:r>
          </w:p>
          <w:p w14:paraId="23E2A6B1" w14:textId="77777777" w:rsidR="0053020C" w:rsidRDefault="0053020C" w:rsidP="00AC4DEE">
            <w:pPr>
              <w:pStyle w:val="TableBody"/>
              <w:spacing w:after="0"/>
            </w:pPr>
          </w:p>
          <w:p w14:paraId="1B27C055" w14:textId="17E92FF5" w:rsidR="0053020C" w:rsidRPr="0053020C" w:rsidRDefault="0053020C" w:rsidP="0053020C">
            <w:pPr>
              <w:rPr>
                <w:iCs/>
                <w:sz w:val="20"/>
              </w:rPr>
            </w:pPr>
            <w:r w:rsidRPr="00221D04">
              <w:rPr>
                <w:iCs/>
                <w:sz w:val="20"/>
              </w:rPr>
              <w:lastRenderedPageBreak/>
              <w:t>Submit and update Energy Offer Curves and/or RTM Energy Bids</w:t>
            </w:r>
          </w:p>
        </w:tc>
        <w:tc>
          <w:tcPr>
            <w:tcW w:w="3823" w:type="dxa"/>
          </w:tcPr>
          <w:p w14:paraId="5F0A3453" w14:textId="77777777" w:rsidR="001F04FD" w:rsidRDefault="00DB6E87" w:rsidP="00826982">
            <w:pPr>
              <w:pStyle w:val="TableBody"/>
              <w:spacing w:after="240"/>
            </w:pPr>
            <w:r>
              <w:lastRenderedPageBreak/>
              <w:t xml:space="preserve">Communicate all binding Base Points, Dispatch Instructions, and the sum of each type of available reserves, including total Real-Time reserve amount for On-Line reserves, total Real-Time reserve amount for Off-Line reserves, Real-Time Reserve Price Adders for On-Line Reserves, and Real-Time Reserve Price Adders for Off-Line Reserves and LMPs for energy and Ancillary Services, and for the pricing run </w:t>
            </w:r>
            <w:r>
              <w:rPr>
                <w:iCs w:val="0"/>
              </w:rPr>
              <w:t xml:space="preserve">as described in Section 6.5.7.3.1, Determination of Real-Time On-Line Reliability Deployment Price Adder, </w:t>
            </w:r>
            <w:r>
              <w:t>the</w:t>
            </w:r>
            <w:r w:rsidRPr="00193B05">
              <w:t xml:space="preserve"> </w:t>
            </w:r>
            <w:r>
              <w:t>total Reliability Unit Commitment (</w:t>
            </w:r>
            <w:r w:rsidRPr="00193B05">
              <w:t>RUC</w:t>
            </w:r>
            <w:r>
              <w:t>)</w:t>
            </w:r>
            <w:r w:rsidRPr="00193B05">
              <w:t xml:space="preserve">/Reliability Must-Run (RMR) </w:t>
            </w:r>
            <w:r>
              <w:t>MW</w:t>
            </w:r>
            <w:r w:rsidRPr="00193B05">
              <w:t xml:space="preserve"> </w:t>
            </w:r>
            <w:r>
              <w:t>relaxed, total Load Resource MW deployed that is added to the Demand, total Emergency Response Service (ERS) MW deployed that is added to the Demand, total emergency DC Tie MW that is added to or subtracted from the Demand, total Block Load Transfer (BLT) MW that is added to or subtracted from the Demand, total Low Ancillary Service Limit (LASL), total High Ancillary Service Limit (HASL), Real-Time On-Line Reliability Deployment Price Adder using Inter-Control Center Communications Protocol (ICCP) or Verbal Dispatch Instructions (VDIs)</w:t>
            </w:r>
          </w:p>
          <w:p w14:paraId="7146FC8B" w14:textId="77777777" w:rsidR="001F04FD" w:rsidRDefault="001F04FD" w:rsidP="00F26F08">
            <w:pPr>
              <w:pStyle w:val="TableBody"/>
              <w:spacing w:before="240" w:after="0"/>
            </w:pPr>
            <w:r>
              <w:t>Monitor Resource Status and identify discrepancies between COP and telemetered Resource Status</w:t>
            </w:r>
          </w:p>
          <w:p w14:paraId="4B53674B" w14:textId="77777777" w:rsidR="001F04FD" w:rsidRDefault="001F04FD" w:rsidP="00AC4DEE">
            <w:pPr>
              <w:pStyle w:val="TableBody"/>
              <w:spacing w:after="0"/>
            </w:pPr>
          </w:p>
          <w:p w14:paraId="59AE7964" w14:textId="77777777" w:rsidR="001F04FD" w:rsidRDefault="001F04FD" w:rsidP="00AC4DEE">
            <w:pPr>
              <w:pStyle w:val="TableBody"/>
              <w:spacing w:after="0"/>
            </w:pPr>
            <w:r>
              <w:t>Restart Real-Time Sequence on major change of Resource or Transmission Element Status</w:t>
            </w:r>
          </w:p>
          <w:p w14:paraId="1573E6AB" w14:textId="77777777" w:rsidR="001F04FD" w:rsidRDefault="001F04FD" w:rsidP="00AC4DEE">
            <w:pPr>
              <w:pStyle w:val="TableBody"/>
              <w:spacing w:after="0"/>
            </w:pPr>
          </w:p>
          <w:p w14:paraId="1A64F2D5" w14:textId="77777777" w:rsidR="001F04FD" w:rsidRDefault="001F04FD" w:rsidP="00AC4DEE">
            <w:pPr>
              <w:pStyle w:val="TableBody"/>
              <w:spacing w:after="0"/>
              <w:rPr>
                <w:b/>
              </w:rPr>
            </w:pPr>
            <w:r>
              <w:t>Monitor ERCOT total system capacity providing Ancillary Services</w:t>
            </w:r>
            <w:r w:rsidRPr="00EB4BCC">
              <w:rPr>
                <w:b/>
              </w:rPr>
              <w:t xml:space="preserve"> </w:t>
            </w:r>
          </w:p>
          <w:p w14:paraId="495ACC0F" w14:textId="53CDF9A5" w:rsidR="00C23DEE" w:rsidRDefault="00C23DEE" w:rsidP="00745851">
            <w:pPr>
              <w:pStyle w:val="TableBody"/>
              <w:spacing w:before="240" w:after="240"/>
              <w:rPr>
                <w:b/>
              </w:rPr>
            </w:pPr>
            <w:r w:rsidRPr="00F06E8E">
              <w:t>Monitor ESR State of Cha</w:t>
            </w:r>
            <w:r>
              <w:t>r</w:t>
            </w:r>
            <w:r w:rsidRPr="00F06E8E">
              <w:t>ge (SOC) information to ensure Ancillary Service Resource Responsibilities can be met</w:t>
            </w:r>
          </w:p>
          <w:p w14:paraId="6B01C5DA" w14:textId="39D22908" w:rsidR="001F04FD" w:rsidRDefault="001F04FD" w:rsidP="00745851">
            <w:pPr>
              <w:pStyle w:val="TableBody"/>
              <w:spacing w:before="240" w:after="240"/>
            </w:pPr>
            <w:r>
              <w:t>Validate COP information</w:t>
            </w:r>
          </w:p>
          <w:p w14:paraId="613DAFBD" w14:textId="762824E9" w:rsidR="00745851" w:rsidRDefault="00745851" w:rsidP="00745851">
            <w:pPr>
              <w:pStyle w:val="TableBody"/>
              <w:spacing w:before="240" w:after="240"/>
            </w:pPr>
            <w:r w:rsidRPr="00745851">
              <w:t>Validate Ancillary Service Trades</w:t>
            </w:r>
          </w:p>
          <w:p w14:paraId="0F968AA1" w14:textId="77777777" w:rsidR="001F04FD" w:rsidRDefault="001F04FD" w:rsidP="00745851">
            <w:pPr>
              <w:pStyle w:val="TableBody"/>
              <w:spacing w:before="240" w:after="240"/>
            </w:pPr>
            <w:r>
              <w:t>Monitor ERCOT control performance</w:t>
            </w:r>
          </w:p>
          <w:p w14:paraId="48A7D77E" w14:textId="1D39063E" w:rsidR="001F04FD" w:rsidRDefault="00DB6E87" w:rsidP="00745851">
            <w:pPr>
              <w:pStyle w:val="TableBody"/>
              <w:spacing w:before="240" w:after="240"/>
            </w:pPr>
            <w:r>
              <w:t xml:space="preserve">Distribute by ICCP, and post on the </w:t>
            </w:r>
            <w:r w:rsidR="00693D2A">
              <w:t>ERCOT website</w:t>
            </w:r>
            <w:r>
              <w:t xml:space="preserve">, System Lambda and the LMPs for each Resource Node, Load Zone and Hub, and the sum of each type of available reserves, including total Real-Time reserve amount for On-Line reserves, total Real-Time reserve amount for Off-Line reserves, Real-Time Reserve Price Adders for On-Line Reserves and Real-Time Reserve Price Adders for Off-Line Reserves, and for the pricing run </w:t>
            </w:r>
            <w:r>
              <w:rPr>
                <w:iCs w:val="0"/>
              </w:rPr>
              <w:t xml:space="preserve">as described in Section 6.5.7.3.1 </w:t>
            </w:r>
            <w:r>
              <w:t>the total RUC/RMR MW relaxed, total Load Resource MW deployed that is added to the Demand, total ERS MW deployed that is added to the Demand, total emergency DC Tie MW that is added to or subtracted from the Demand, total BLT MW that is added to or subtracted from the Demand, total On-Line LASL, total On-Line HASL, Real-Time On-Line Reliability Deployment Price Adder created for each SCED process.  These prices shall be posted immediately subsequent to deployment of Base Points from SCED with the time stamp the prices are effective</w:t>
            </w:r>
          </w:p>
          <w:p w14:paraId="144B52AC" w14:textId="7E129FD6" w:rsidR="000E55F3" w:rsidRDefault="000E55F3" w:rsidP="000E55F3">
            <w:pPr>
              <w:spacing w:before="240"/>
              <w:rPr>
                <w:iCs/>
                <w:sz w:val="20"/>
              </w:rPr>
            </w:pPr>
            <w:r w:rsidRPr="00846C7A">
              <w:rPr>
                <w:iCs/>
                <w:sz w:val="20"/>
              </w:rPr>
              <w:t xml:space="preserve">Post on the </w:t>
            </w:r>
            <w:r>
              <w:rPr>
                <w:iCs/>
                <w:sz w:val="20"/>
              </w:rPr>
              <w:t>ERCOT website</w:t>
            </w:r>
            <w:r w:rsidRPr="00846C7A">
              <w:rPr>
                <w:iCs/>
                <w:sz w:val="20"/>
              </w:rPr>
              <w:t xml:space="preserve"> the nodal prices for </w:t>
            </w:r>
            <w:r>
              <w:rPr>
                <w:iCs/>
                <w:sz w:val="20"/>
              </w:rPr>
              <w:t xml:space="preserve">Settlement Only Distribution Generators (SODGs) and </w:t>
            </w:r>
            <w:r w:rsidRPr="00A6342E">
              <w:rPr>
                <w:iCs/>
                <w:sz w:val="20"/>
              </w:rPr>
              <w:t>Settlement Only Transmission Generator (SOTG</w:t>
            </w:r>
            <w:r>
              <w:rPr>
                <w:iCs/>
                <w:sz w:val="20"/>
              </w:rPr>
              <w:t>s</w:t>
            </w:r>
            <w:r w:rsidRPr="00A6342E">
              <w:rPr>
                <w:iCs/>
                <w:sz w:val="20"/>
              </w:rPr>
              <w:t>)</w:t>
            </w:r>
            <w:r w:rsidRPr="00846C7A">
              <w:rPr>
                <w:iCs/>
                <w:sz w:val="20"/>
              </w:rPr>
              <w:t xml:space="preserve">.  These prices shall include all Real-Time Reserve Price Adders for On-Line Reserves and Real-Time On-Line Reliability Deployment Price Adders created for each SCED process.  These prices shall be posted immediately subsequent to deployment of Base Points </w:t>
            </w:r>
            <w:r w:rsidRPr="00846C7A">
              <w:rPr>
                <w:iCs/>
                <w:sz w:val="20"/>
              </w:rPr>
              <w:lastRenderedPageBreak/>
              <w:t>from SCED with the time stamp the prices are effective</w:t>
            </w:r>
          </w:p>
          <w:p w14:paraId="70E9BA9C" w14:textId="4A25EE65" w:rsidR="001F04FD" w:rsidRDefault="001F04FD" w:rsidP="00E87687">
            <w:pPr>
              <w:pStyle w:val="TableBody"/>
              <w:spacing w:before="240" w:after="0"/>
            </w:pPr>
            <w:r>
              <w:t xml:space="preserve">Post LMPs for each Electrical Bus on the </w:t>
            </w:r>
            <w:r w:rsidR="00693D2A">
              <w:t>ERCOT website</w:t>
            </w:r>
            <w:r>
              <w:t>.  These prices shall be posted immediately subsequent to deployment of Base Points from each binding SCED with the time stamp the prices are effective</w:t>
            </w:r>
          </w:p>
          <w:p w14:paraId="0532DBC2" w14:textId="3C815BB2" w:rsidR="001F04FD" w:rsidRDefault="00DB6E87" w:rsidP="00826982">
            <w:pPr>
              <w:pStyle w:val="TableBody"/>
              <w:spacing w:before="240" w:after="240"/>
            </w:pPr>
            <w:r>
              <w:t xml:space="preserve">Post on the </w:t>
            </w:r>
            <w:r w:rsidR="00693D2A">
              <w:t>ERCOT website</w:t>
            </w:r>
            <w:r>
              <w:t xml:space="preserve"> the projected non-binding LMPs created by each SCED process for each Resource Node, the projected total Real-Time reserve amount for On-Line reserves and Off-Line reserves, the projected</w:t>
            </w:r>
            <w:r>
              <w:rPr>
                <w:iCs w:val="0"/>
              </w:rPr>
              <w:t xml:space="preserve"> Real-Time </w:t>
            </w:r>
            <w:r>
              <w:t>On-Line Reserve Price</w:t>
            </w:r>
            <w:r>
              <w:rPr>
                <w:iCs w:val="0"/>
              </w:rPr>
              <w:t xml:space="preserve"> Adders and Real-Time </w:t>
            </w:r>
            <w:r>
              <w:t>Off-Line Reserve Price</w:t>
            </w:r>
            <w:r>
              <w:rPr>
                <w:iCs w:val="0"/>
              </w:rPr>
              <w:t xml:space="preserve"> Adders, and for the projected non-binding pricing runs as described in Section 6.5.7.3.1 the total RUC/RMR MW relaxed, total Load Resource MW deployed that is added to Demand,</w:t>
            </w:r>
            <w:r>
              <w:t xml:space="preserve"> total emergency DC Tie MW that is added to or subtracted from the Demand, total BLT MW that is added to or subtracted from the Demand,</w:t>
            </w:r>
            <w:r>
              <w:rPr>
                <w:iCs w:val="0"/>
              </w:rPr>
              <w:t xml:space="preserve"> total ERS MW deployed that are deployed that is added to the Demand, total LASL, total HASL, Real-Time On-Line Reliability Deployment Price Adder and</w:t>
            </w:r>
            <w:r>
              <w:t xml:space="preserve"> the projected Hub LMPs and Load Zone LMPs.  These projected prices shall be posted at a frequency of every five minutes from SCED for at least 15 minutes in the future with the time stamp of the SCED process that produced the projections</w:t>
            </w:r>
            <w:r w:rsidR="001F04FD">
              <w:t xml:space="preserve"> </w:t>
            </w:r>
          </w:p>
          <w:p w14:paraId="4060F503" w14:textId="77777777" w:rsidR="001F04FD" w:rsidRDefault="001F04FD" w:rsidP="00F26F08">
            <w:pPr>
              <w:pStyle w:val="TableBody"/>
              <w:spacing w:before="240" w:after="0"/>
            </w:pPr>
            <w:r>
              <w:t>Post on the MIS Certified Area the projected non-binding Base Points for each Resource created by each SCED process.  These projected non-binding Base Points shall be posted at a frequency of every five minutes from SCED for at least 15 minutes in the future with the time stamp of the SCED process that produced the projections</w:t>
            </w:r>
          </w:p>
          <w:p w14:paraId="62A4484F" w14:textId="77777777" w:rsidR="001F04FD" w:rsidRDefault="001F04FD" w:rsidP="00AC4DEE">
            <w:pPr>
              <w:pStyle w:val="TableBody"/>
              <w:spacing w:after="0"/>
            </w:pPr>
          </w:p>
          <w:p w14:paraId="5376DED5" w14:textId="49A797AD" w:rsidR="001F04FD" w:rsidRDefault="001F04FD" w:rsidP="00AC4DEE">
            <w:pPr>
              <w:pStyle w:val="TableBody"/>
              <w:spacing w:after="0"/>
            </w:pPr>
            <w:r>
              <w:t xml:space="preserve">Post each hour on the </w:t>
            </w:r>
            <w:r w:rsidR="00693D2A">
              <w:t>ERCOT website</w:t>
            </w:r>
            <w:r>
              <w:t xml:space="preserve"> binding SCED Shadow Prices and active binding transmission constraints by Transmission Element name (contingency /overloaded element pairs) </w:t>
            </w:r>
          </w:p>
          <w:p w14:paraId="124F6CF2" w14:textId="77777777" w:rsidR="001F04FD" w:rsidRDefault="001F04FD" w:rsidP="00AC4DEE">
            <w:pPr>
              <w:pStyle w:val="TableBody"/>
              <w:spacing w:after="0"/>
            </w:pPr>
          </w:p>
          <w:p w14:paraId="57739754" w14:textId="7B596F58" w:rsidR="001F04FD" w:rsidRDefault="001F04FD" w:rsidP="00AC4DEE">
            <w:pPr>
              <w:pStyle w:val="TableBody"/>
              <w:spacing w:after="0"/>
            </w:pPr>
            <w:r>
              <w:t xml:space="preserve">Post </w:t>
            </w:r>
            <w:r w:rsidR="00CE3A65">
              <w:t xml:space="preserve">on </w:t>
            </w:r>
            <w:r>
              <w:t xml:space="preserve">the </w:t>
            </w:r>
            <w:r w:rsidR="000E55F3">
              <w:t xml:space="preserve">ERCOT website the </w:t>
            </w:r>
            <w:r>
              <w:t xml:space="preserve">Settlement Point Prices for each Settlement Point </w:t>
            </w:r>
            <w:r w:rsidR="000E55F3">
              <w:rPr>
                <w:iCs w:val="0"/>
              </w:rPr>
              <w:t xml:space="preserve">and the Real-Time price for each SODG and </w:t>
            </w:r>
            <w:r w:rsidR="000E55F3">
              <w:rPr>
                <w:iCs w:val="0"/>
              </w:rPr>
              <w:lastRenderedPageBreak/>
              <w:t xml:space="preserve">SOTG </w:t>
            </w:r>
            <w:r>
              <w:t>immediately following the end of each Settlement Interval</w:t>
            </w:r>
          </w:p>
          <w:p w14:paraId="5FA74444" w14:textId="77777777" w:rsidR="001F04FD" w:rsidRPr="00CE4C14" w:rsidRDefault="001F04FD" w:rsidP="00DE74B1">
            <w:pPr>
              <w:pStyle w:val="TableBody"/>
              <w:tabs>
                <w:tab w:val="left" w:pos="1350"/>
              </w:tabs>
              <w:spacing w:before="240" w:after="0"/>
            </w:pPr>
            <w:r w:rsidRPr="00CE4C14">
              <w:t xml:space="preserve">Post the </w:t>
            </w:r>
            <w:r w:rsidRPr="00193B05">
              <w:t>Real-Time On-Line Reliability Deployment Price,</w:t>
            </w:r>
            <w:r>
              <w:t xml:space="preserve"> </w:t>
            </w:r>
            <w:r w:rsidRPr="00CE4C14">
              <w:t xml:space="preserve">Real-Time Reserve Price for On-Line Reserves and  the Real-Time Reserve Price for Off-Line Reserves immediately following the end of each Settlement Interval  </w:t>
            </w:r>
          </w:p>
          <w:p w14:paraId="2EF2CA3B" w14:textId="77777777" w:rsidR="001F04FD" w:rsidRDefault="001F04FD" w:rsidP="00AC4DEE">
            <w:pPr>
              <w:pStyle w:val="TableBody"/>
              <w:tabs>
                <w:tab w:val="left" w:pos="1350"/>
              </w:tabs>
              <w:spacing w:after="0"/>
            </w:pPr>
          </w:p>
          <w:p w14:paraId="334517FF" w14:textId="3D72A3C9" w:rsidR="001F04FD" w:rsidRDefault="001F04FD" w:rsidP="00693D2A">
            <w:pPr>
              <w:pStyle w:val="TableBody"/>
              <w:spacing w:after="0"/>
            </w:pPr>
            <w:r>
              <w:t xml:space="preserve">Post parameters as required by Section 6.4.9, Ancillary Services Capacity During the Adjustment Period and in Real-Time, on the </w:t>
            </w:r>
            <w:r w:rsidR="00693D2A">
              <w:t>ERCOT website</w:t>
            </w:r>
          </w:p>
        </w:tc>
      </w:tr>
    </w:tbl>
    <w:p w14:paraId="3E37B558" w14:textId="77777777" w:rsidR="00C61B40" w:rsidRDefault="00C61B40" w:rsidP="00C61B40">
      <w:pPr>
        <w:pStyle w:val="BodyTextNumbered"/>
        <w:spacing w:after="0"/>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816"/>
      </w:tblGrid>
      <w:tr w:rsidR="00C61B40" w14:paraId="43CDACAF" w14:textId="77777777" w:rsidTr="00C61B40">
        <w:trPr>
          <w:trHeight w:val="206"/>
        </w:trPr>
        <w:tc>
          <w:tcPr>
            <w:tcW w:w="9625" w:type="dxa"/>
            <w:shd w:val="pct12" w:color="auto" w:fill="auto"/>
          </w:tcPr>
          <w:p w14:paraId="7A34CD5A" w14:textId="7EA5E993" w:rsidR="00C61B40" w:rsidRDefault="00C61B40" w:rsidP="0058150D">
            <w:pPr>
              <w:pStyle w:val="Instructions"/>
              <w:spacing w:before="120"/>
            </w:pPr>
            <w:r>
              <w:t>[</w:t>
            </w:r>
            <w:r w:rsidR="008A5A12">
              <w:t xml:space="preserve">NPRR829, NPRR904, </w:t>
            </w:r>
            <w:r w:rsidR="00E21F4F">
              <w:t xml:space="preserve">NPRR995, </w:t>
            </w:r>
            <w:r w:rsidR="008A5A12">
              <w:t xml:space="preserve">NPRR1000, NPRR1006, </w:t>
            </w:r>
            <w:r>
              <w:t>NPRR1010</w:t>
            </w:r>
            <w:r w:rsidR="00853AD7">
              <w:t xml:space="preserve">, </w:t>
            </w:r>
            <w:r w:rsidR="004D1724">
              <w:t>NPRR1077</w:t>
            </w:r>
            <w:r w:rsidR="00AD58D8">
              <w:t xml:space="preserve">, </w:t>
            </w:r>
            <w:r w:rsidR="009C388E">
              <w:t xml:space="preserve">NPRR1226, </w:t>
            </w:r>
            <w:r w:rsidR="00AD58D8">
              <w:t>and NPRR1253</w:t>
            </w:r>
            <w:r>
              <w:t>:  Replace applicable portions of paragraph (2) above with the following upon system implementation</w:t>
            </w:r>
            <w:r w:rsidR="008A5A12">
              <w:t xml:space="preserve"> for NPRR829, NPRR904, </w:t>
            </w:r>
            <w:r w:rsidR="00E21F4F">
              <w:t xml:space="preserve">NPRR995, </w:t>
            </w:r>
            <w:r w:rsidR="008A5A12">
              <w:t>NPRR1000, NPRR1006</w:t>
            </w:r>
            <w:r w:rsidR="00853AD7">
              <w:t xml:space="preserve">, </w:t>
            </w:r>
            <w:r w:rsidR="004D1724">
              <w:t>NPRR1077</w:t>
            </w:r>
            <w:r w:rsidR="00AD58D8">
              <w:t xml:space="preserve">, </w:t>
            </w:r>
            <w:r w:rsidR="009C388E">
              <w:t xml:space="preserve">NPRR1226, </w:t>
            </w:r>
            <w:r w:rsidR="00AD58D8">
              <w:t>or NPRR1253</w:t>
            </w:r>
            <w:r w:rsidR="008A5A12">
              <w:t>; or upon system implementation</w:t>
            </w:r>
            <w:r>
              <w:t xml:space="preserve"> of the Real-Time Co-Optimization (RTC) project</w:t>
            </w:r>
            <w:r w:rsidR="008A5A12">
              <w:t xml:space="preserve"> for NPRR1010</w:t>
            </w:r>
            <w:r>
              <w:t>:]</w:t>
            </w:r>
          </w:p>
          <w:p w14:paraId="63429248" w14:textId="77777777" w:rsidR="008A5A12" w:rsidRPr="003161DC" w:rsidRDefault="008A5A12" w:rsidP="008A5A12">
            <w:pPr>
              <w:spacing w:after="240"/>
              <w:ind w:left="720" w:hanging="720"/>
              <w:rPr>
                <w:iCs/>
              </w:rPr>
            </w:pPr>
            <w:r w:rsidRPr="003161DC">
              <w:rPr>
                <w:iCs/>
              </w:rPr>
              <w:t>(2)</w:t>
            </w:r>
            <w:r w:rsidRPr="003161DC">
              <w:rPr>
                <w:iCs/>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8A5A12" w:rsidRPr="003161DC" w14:paraId="02ACDD09" w14:textId="77777777" w:rsidTr="0058150D">
              <w:trPr>
                <w:cantSplit/>
                <w:trHeight w:val="440"/>
                <w:tblHeader/>
              </w:trPr>
              <w:tc>
                <w:tcPr>
                  <w:tcW w:w="2276" w:type="dxa"/>
                </w:tcPr>
                <w:p w14:paraId="081FEB67" w14:textId="77777777" w:rsidR="008A5A12" w:rsidRPr="003161DC" w:rsidRDefault="008A5A12" w:rsidP="008A5A12">
                  <w:pPr>
                    <w:spacing w:after="60"/>
                    <w:rPr>
                      <w:b/>
                      <w:iCs/>
                      <w:sz w:val="20"/>
                    </w:rPr>
                  </w:pPr>
                  <w:r w:rsidRPr="003161DC">
                    <w:rPr>
                      <w:b/>
                      <w:iCs/>
                      <w:sz w:val="20"/>
                    </w:rPr>
                    <w:t>Operating Period</w:t>
                  </w:r>
                </w:p>
              </w:tc>
              <w:tc>
                <w:tcPr>
                  <w:tcW w:w="3477" w:type="dxa"/>
                </w:tcPr>
                <w:p w14:paraId="4B96796D" w14:textId="77777777" w:rsidR="008A5A12" w:rsidRPr="003161DC" w:rsidRDefault="008A5A12" w:rsidP="008A5A12">
                  <w:pPr>
                    <w:spacing w:after="60"/>
                    <w:rPr>
                      <w:b/>
                      <w:bCs/>
                      <w:iCs/>
                      <w:sz w:val="20"/>
                    </w:rPr>
                  </w:pPr>
                  <w:r w:rsidRPr="003161DC">
                    <w:rPr>
                      <w:b/>
                      <w:bCs/>
                      <w:iCs/>
                      <w:sz w:val="20"/>
                    </w:rPr>
                    <w:t>QSE Activities</w:t>
                  </w:r>
                </w:p>
              </w:tc>
              <w:tc>
                <w:tcPr>
                  <w:tcW w:w="3823" w:type="dxa"/>
                </w:tcPr>
                <w:p w14:paraId="66BD2E7A" w14:textId="77777777" w:rsidR="008A5A12" w:rsidRPr="003161DC" w:rsidRDefault="008A5A12" w:rsidP="008A5A12">
                  <w:pPr>
                    <w:spacing w:after="60"/>
                    <w:rPr>
                      <w:b/>
                      <w:bCs/>
                      <w:iCs/>
                      <w:sz w:val="20"/>
                    </w:rPr>
                  </w:pPr>
                  <w:r w:rsidRPr="003161DC">
                    <w:rPr>
                      <w:b/>
                      <w:bCs/>
                      <w:iCs/>
                      <w:sz w:val="20"/>
                    </w:rPr>
                    <w:t>ERCOT Activities</w:t>
                  </w:r>
                </w:p>
              </w:tc>
            </w:tr>
            <w:tr w:rsidR="008A5A12" w:rsidRPr="003161DC" w14:paraId="3326862F" w14:textId="77777777" w:rsidTr="0058150D">
              <w:trPr>
                <w:cantSplit/>
                <w:trHeight w:val="576"/>
              </w:trPr>
              <w:tc>
                <w:tcPr>
                  <w:tcW w:w="2276" w:type="dxa"/>
                </w:tcPr>
                <w:p w14:paraId="3CA84629" w14:textId="77777777" w:rsidR="008A5A12" w:rsidRPr="003161DC" w:rsidRDefault="008A5A12" w:rsidP="008A5A12">
                  <w:pPr>
                    <w:spacing w:after="60"/>
                    <w:rPr>
                      <w:iCs/>
                      <w:sz w:val="20"/>
                    </w:rPr>
                  </w:pPr>
                  <w:r w:rsidRPr="003161DC">
                    <w:rPr>
                      <w:iCs/>
                      <w:sz w:val="20"/>
                    </w:rPr>
                    <w:t xml:space="preserve">During the first hour of the Operating Period </w:t>
                  </w:r>
                </w:p>
              </w:tc>
              <w:tc>
                <w:tcPr>
                  <w:tcW w:w="3477" w:type="dxa"/>
                </w:tcPr>
                <w:p w14:paraId="1E986CF7" w14:textId="77777777" w:rsidR="008A5A12" w:rsidRPr="003161DC" w:rsidRDefault="008A5A12" w:rsidP="008A5A12">
                  <w:pPr>
                    <w:spacing w:after="60"/>
                    <w:rPr>
                      <w:iCs/>
                      <w:sz w:val="20"/>
                    </w:rPr>
                  </w:pPr>
                </w:p>
              </w:tc>
              <w:tc>
                <w:tcPr>
                  <w:tcW w:w="3823" w:type="dxa"/>
                </w:tcPr>
                <w:p w14:paraId="5898F095" w14:textId="77777777" w:rsidR="008A5A12" w:rsidRPr="003161DC" w:rsidRDefault="008A5A12" w:rsidP="008A5A12">
                  <w:pPr>
                    <w:rPr>
                      <w:iCs/>
                      <w:sz w:val="20"/>
                    </w:rPr>
                  </w:pPr>
                  <w:r w:rsidRPr="003161DC">
                    <w:rPr>
                      <w:iCs/>
                      <w:sz w:val="20"/>
                    </w:rPr>
                    <w:t>Execute the Hour-Ahead Sequence, including HRUC, beginning with the second hour of the Operating Period</w:t>
                  </w:r>
                </w:p>
                <w:p w14:paraId="7E526E73" w14:textId="77777777" w:rsidR="008A5A12" w:rsidRPr="003161DC" w:rsidRDefault="008A5A12" w:rsidP="008A5A12">
                  <w:pPr>
                    <w:rPr>
                      <w:iCs/>
                      <w:sz w:val="20"/>
                    </w:rPr>
                  </w:pPr>
                </w:p>
                <w:p w14:paraId="3B642851" w14:textId="77777777" w:rsidR="008A5A12" w:rsidRPr="003161DC" w:rsidRDefault="008A5A12" w:rsidP="008A5A12">
                  <w:pPr>
                    <w:rPr>
                      <w:iCs/>
                      <w:sz w:val="20"/>
                    </w:rPr>
                  </w:pPr>
                  <w:r w:rsidRPr="003161DC">
                    <w:rPr>
                      <w:iCs/>
                      <w:sz w:val="20"/>
                    </w:rPr>
                    <w:t>Review the list of Off-Line Available Resources with a start-up time of one hour or less</w:t>
                  </w:r>
                </w:p>
                <w:p w14:paraId="0C6B6CB1" w14:textId="77777777" w:rsidR="008A5A12" w:rsidRPr="003161DC" w:rsidRDefault="008A5A12" w:rsidP="008A5A12">
                  <w:pPr>
                    <w:rPr>
                      <w:iCs/>
                      <w:sz w:val="20"/>
                    </w:rPr>
                  </w:pPr>
                </w:p>
                <w:p w14:paraId="10357DCC" w14:textId="77777777" w:rsidR="008A5A12" w:rsidRPr="003161DC" w:rsidRDefault="008A5A12" w:rsidP="008A5A12">
                  <w:pPr>
                    <w:rPr>
                      <w:iCs/>
                      <w:sz w:val="20"/>
                    </w:rPr>
                  </w:pPr>
                  <w:r w:rsidRPr="003161DC">
                    <w:rPr>
                      <w:iCs/>
                      <w:sz w:val="20"/>
                    </w:rPr>
                    <w:t>Review and communicate HRUC commitments and Direct Current Tie (DC Tie) Schedule curtailments</w:t>
                  </w:r>
                </w:p>
                <w:p w14:paraId="6F27B720" w14:textId="77777777" w:rsidR="008A5A12" w:rsidRPr="003161DC" w:rsidRDefault="008A5A12" w:rsidP="008A5A12">
                  <w:pPr>
                    <w:rPr>
                      <w:iCs/>
                      <w:sz w:val="20"/>
                    </w:rPr>
                  </w:pPr>
                </w:p>
                <w:p w14:paraId="61A9336B" w14:textId="77777777" w:rsidR="008A5A12" w:rsidRPr="003161DC" w:rsidRDefault="008A5A12" w:rsidP="008A5A12">
                  <w:pPr>
                    <w:rPr>
                      <w:iCs/>
                      <w:sz w:val="20"/>
                    </w:rPr>
                  </w:pPr>
                  <w:r w:rsidRPr="003161DC">
                    <w:rPr>
                      <w:iCs/>
                      <w:sz w:val="20"/>
                    </w:rPr>
                    <w:t>Snapshot the Scheduled Power Consumption for Controllable Load Resources</w:t>
                  </w:r>
                </w:p>
              </w:tc>
            </w:tr>
            <w:tr w:rsidR="008A5A12" w:rsidRPr="003161DC" w14:paraId="68234648" w14:textId="77777777" w:rsidTr="0058150D">
              <w:trPr>
                <w:cantSplit/>
                <w:trHeight w:val="395"/>
              </w:trPr>
              <w:tc>
                <w:tcPr>
                  <w:tcW w:w="2276" w:type="dxa"/>
                </w:tcPr>
                <w:p w14:paraId="53464A10" w14:textId="77777777" w:rsidR="008A5A12" w:rsidRPr="003161DC" w:rsidRDefault="008A5A12" w:rsidP="008A5A12">
                  <w:pPr>
                    <w:spacing w:after="60"/>
                    <w:rPr>
                      <w:iCs/>
                      <w:sz w:val="20"/>
                    </w:rPr>
                  </w:pPr>
                  <w:r w:rsidRPr="003161DC">
                    <w:rPr>
                      <w:iCs/>
                      <w:sz w:val="20"/>
                    </w:rPr>
                    <w:t>SCED run</w:t>
                  </w:r>
                </w:p>
              </w:tc>
              <w:tc>
                <w:tcPr>
                  <w:tcW w:w="3477" w:type="dxa"/>
                </w:tcPr>
                <w:p w14:paraId="4A942DCA" w14:textId="77777777" w:rsidR="008A5A12" w:rsidRPr="003161DC" w:rsidRDefault="008A5A12" w:rsidP="008A5A12">
                  <w:pPr>
                    <w:spacing w:after="60"/>
                    <w:rPr>
                      <w:iCs/>
                      <w:sz w:val="20"/>
                    </w:rPr>
                  </w:pPr>
                </w:p>
              </w:tc>
              <w:tc>
                <w:tcPr>
                  <w:tcW w:w="3823" w:type="dxa"/>
                </w:tcPr>
                <w:p w14:paraId="31AD8064" w14:textId="77777777" w:rsidR="008A5A12" w:rsidRPr="003161DC" w:rsidRDefault="008A5A12" w:rsidP="008A5A12">
                  <w:pPr>
                    <w:spacing w:after="60"/>
                    <w:rPr>
                      <w:iCs/>
                      <w:sz w:val="20"/>
                    </w:rPr>
                  </w:pPr>
                  <w:r w:rsidRPr="003161DC">
                    <w:rPr>
                      <w:iCs/>
                      <w:sz w:val="20"/>
                    </w:rPr>
                    <w:t>Execute SCED and pricing run to determine impact of reliability deployments on energy</w:t>
                  </w:r>
                  <w:r>
                    <w:rPr>
                      <w:iCs/>
                      <w:sz w:val="20"/>
                    </w:rPr>
                    <w:t xml:space="preserve"> and Ancillary Service</w:t>
                  </w:r>
                  <w:r w:rsidRPr="003161DC">
                    <w:rPr>
                      <w:iCs/>
                      <w:sz w:val="20"/>
                    </w:rPr>
                    <w:t xml:space="preserve"> prices</w:t>
                  </w:r>
                </w:p>
              </w:tc>
            </w:tr>
            <w:tr w:rsidR="008A5A12" w:rsidRPr="003161DC" w14:paraId="48579037" w14:textId="77777777" w:rsidTr="0058150D">
              <w:trPr>
                <w:trHeight w:val="576"/>
              </w:trPr>
              <w:tc>
                <w:tcPr>
                  <w:tcW w:w="2276" w:type="dxa"/>
                </w:tcPr>
                <w:p w14:paraId="2C4C1CB6" w14:textId="77777777" w:rsidR="008A5A12" w:rsidRPr="003161DC" w:rsidRDefault="008A5A12" w:rsidP="008A5A12">
                  <w:pPr>
                    <w:spacing w:after="60"/>
                    <w:rPr>
                      <w:iCs/>
                      <w:sz w:val="20"/>
                    </w:rPr>
                  </w:pPr>
                  <w:r w:rsidRPr="003161DC">
                    <w:rPr>
                      <w:iCs/>
                      <w:sz w:val="20"/>
                    </w:rPr>
                    <w:t>During the Operating Hour</w:t>
                  </w:r>
                </w:p>
              </w:tc>
              <w:tc>
                <w:tcPr>
                  <w:tcW w:w="3477" w:type="dxa"/>
                </w:tcPr>
                <w:p w14:paraId="486E1774" w14:textId="77777777" w:rsidR="008A5A12" w:rsidRPr="003161DC" w:rsidRDefault="008A5A12" w:rsidP="008A5A12">
                  <w:pPr>
                    <w:rPr>
                      <w:iCs/>
                      <w:sz w:val="20"/>
                    </w:rPr>
                  </w:pPr>
                  <w:r w:rsidRPr="003161DC">
                    <w:rPr>
                      <w:iCs/>
                      <w:sz w:val="20"/>
                    </w:rPr>
                    <w:t>Acknowledge receipt of Dispatch Instructions</w:t>
                  </w:r>
                </w:p>
                <w:p w14:paraId="42869A94" w14:textId="77777777" w:rsidR="008A5A12" w:rsidRPr="003161DC" w:rsidRDefault="008A5A12" w:rsidP="008A5A12">
                  <w:pPr>
                    <w:rPr>
                      <w:iCs/>
                      <w:sz w:val="20"/>
                    </w:rPr>
                  </w:pPr>
                </w:p>
                <w:p w14:paraId="40E4E6A6" w14:textId="77777777" w:rsidR="008A5A12" w:rsidRPr="003161DC" w:rsidRDefault="008A5A12" w:rsidP="008A5A12">
                  <w:pPr>
                    <w:rPr>
                      <w:iCs/>
                      <w:sz w:val="20"/>
                    </w:rPr>
                  </w:pPr>
                  <w:r w:rsidRPr="003161DC">
                    <w:rPr>
                      <w:iCs/>
                      <w:sz w:val="20"/>
                    </w:rPr>
                    <w:t>Comply with Dispatch Instruction</w:t>
                  </w:r>
                </w:p>
                <w:p w14:paraId="287141B4" w14:textId="77777777" w:rsidR="008A5A12" w:rsidRPr="003161DC" w:rsidRDefault="008A5A12" w:rsidP="008A5A12">
                  <w:pPr>
                    <w:rPr>
                      <w:iCs/>
                      <w:sz w:val="20"/>
                    </w:rPr>
                  </w:pPr>
                  <w:r w:rsidRPr="003161DC">
                    <w:rPr>
                      <w:iCs/>
                      <w:sz w:val="20"/>
                    </w:rPr>
                    <w:lastRenderedPageBreak/>
                    <w:t xml:space="preserve"> </w:t>
                  </w:r>
                </w:p>
                <w:p w14:paraId="1BF2503D" w14:textId="77777777" w:rsidR="008A5A12" w:rsidRPr="003161DC" w:rsidRDefault="008A5A12" w:rsidP="008A5A12">
                  <w:pPr>
                    <w:rPr>
                      <w:iCs/>
                      <w:sz w:val="20"/>
                    </w:rPr>
                  </w:pPr>
                  <w:r w:rsidRPr="003161DC">
                    <w:rPr>
                      <w:iCs/>
                      <w:sz w:val="20"/>
                    </w:rPr>
                    <w:t>Review Resource Status to assure current state of the Resources is properly telemetered</w:t>
                  </w:r>
                </w:p>
                <w:p w14:paraId="39FCF054" w14:textId="77777777" w:rsidR="008A5A12" w:rsidRPr="003161DC" w:rsidRDefault="008A5A12" w:rsidP="008A5A12">
                  <w:pPr>
                    <w:rPr>
                      <w:iCs/>
                      <w:sz w:val="20"/>
                    </w:rPr>
                  </w:pPr>
                </w:p>
                <w:p w14:paraId="379C9AE3" w14:textId="77777777" w:rsidR="008A5A12" w:rsidRPr="003161DC" w:rsidRDefault="008A5A12" w:rsidP="008A5A12">
                  <w:pPr>
                    <w:rPr>
                      <w:iCs/>
                      <w:sz w:val="20"/>
                    </w:rPr>
                  </w:pPr>
                  <w:r w:rsidRPr="003161DC">
                    <w:rPr>
                      <w:iCs/>
                      <w:sz w:val="20"/>
                    </w:rPr>
                    <w:t>Update COP</w:t>
                  </w:r>
                  <w:r>
                    <w:rPr>
                      <w:iCs/>
                      <w:sz w:val="20"/>
                    </w:rPr>
                    <w:t xml:space="preserve"> and telemetry</w:t>
                  </w:r>
                  <w:r w:rsidRPr="003161DC">
                    <w:rPr>
                      <w:iCs/>
                      <w:sz w:val="20"/>
                    </w:rPr>
                    <w:t xml:space="preserve"> with actual Resource Status and limits and Ancillary Service </w:t>
                  </w:r>
                  <w:r>
                    <w:rPr>
                      <w:iCs/>
                      <w:sz w:val="20"/>
                    </w:rPr>
                    <w:t>capabilities</w:t>
                  </w:r>
                </w:p>
                <w:p w14:paraId="0DEEBE2D" w14:textId="77777777" w:rsidR="008A5A12" w:rsidRPr="003161DC" w:rsidRDefault="008A5A12" w:rsidP="008A5A12">
                  <w:pPr>
                    <w:rPr>
                      <w:iCs/>
                      <w:sz w:val="20"/>
                    </w:rPr>
                  </w:pPr>
                </w:p>
                <w:p w14:paraId="1B02714F" w14:textId="77777777" w:rsidR="008A5A12" w:rsidRDefault="008A5A12" w:rsidP="008A5A12">
                  <w:pPr>
                    <w:rPr>
                      <w:iCs/>
                      <w:sz w:val="20"/>
                    </w:rPr>
                  </w:pPr>
                  <w:r>
                    <w:rPr>
                      <w:iCs/>
                      <w:sz w:val="20"/>
                    </w:rPr>
                    <w:t>Submit and update Ancillary Service Offers</w:t>
                  </w:r>
                </w:p>
                <w:p w14:paraId="47C19693" w14:textId="77777777" w:rsidR="008A5A12" w:rsidRDefault="008A5A12" w:rsidP="008A5A12">
                  <w:pPr>
                    <w:rPr>
                      <w:iCs/>
                      <w:sz w:val="20"/>
                    </w:rPr>
                  </w:pPr>
                </w:p>
                <w:p w14:paraId="68BA6C0D" w14:textId="77777777" w:rsidR="008A5A12" w:rsidRPr="003161DC" w:rsidRDefault="008A5A12" w:rsidP="008A5A12">
                  <w:pPr>
                    <w:rPr>
                      <w:iCs/>
                      <w:sz w:val="20"/>
                    </w:rPr>
                  </w:pPr>
                  <w:r w:rsidRPr="003161DC">
                    <w:rPr>
                      <w:iCs/>
                      <w:sz w:val="20"/>
                    </w:rPr>
                    <w:t xml:space="preserve">Communicate Resource Forced Outages to ERCOT </w:t>
                  </w:r>
                </w:p>
                <w:p w14:paraId="52D02914" w14:textId="77777777" w:rsidR="008A5A12" w:rsidRPr="003161DC" w:rsidRDefault="008A5A12" w:rsidP="008A5A12">
                  <w:pPr>
                    <w:rPr>
                      <w:iCs/>
                      <w:sz w:val="20"/>
                    </w:rPr>
                  </w:pPr>
                </w:p>
                <w:p w14:paraId="357172EC" w14:textId="086453A2" w:rsidR="00853AD7" w:rsidRPr="00221D04" w:rsidRDefault="00853AD7" w:rsidP="00853AD7">
                  <w:pPr>
                    <w:rPr>
                      <w:iCs/>
                      <w:sz w:val="20"/>
                    </w:rPr>
                  </w:pPr>
                  <w:r w:rsidRPr="00221D04">
                    <w:rPr>
                      <w:iCs/>
                      <w:sz w:val="20"/>
                    </w:rPr>
                    <w:t xml:space="preserve">Submit and update Energy Offer Curves and/or RTM Energy Bids </w:t>
                  </w:r>
                </w:p>
                <w:p w14:paraId="16C4D5DC" w14:textId="77777777" w:rsidR="008A5A12" w:rsidRPr="003161DC" w:rsidRDefault="008A5A12" w:rsidP="008A5A12">
                  <w:pPr>
                    <w:rPr>
                      <w:iCs/>
                      <w:sz w:val="20"/>
                    </w:rPr>
                  </w:pPr>
                </w:p>
              </w:tc>
              <w:tc>
                <w:tcPr>
                  <w:tcW w:w="3823" w:type="dxa"/>
                </w:tcPr>
                <w:p w14:paraId="184D1A7D" w14:textId="6F5833E7" w:rsidR="008A5A12" w:rsidRPr="003161DC" w:rsidRDefault="00C92338" w:rsidP="00985A9C">
                  <w:pPr>
                    <w:tabs>
                      <w:tab w:val="left" w:pos="2521"/>
                    </w:tabs>
                    <w:spacing w:after="240"/>
                    <w:rPr>
                      <w:iCs/>
                      <w:sz w:val="20"/>
                    </w:rPr>
                  </w:pPr>
                  <w:r w:rsidRPr="003161DC">
                    <w:rPr>
                      <w:iCs/>
                      <w:sz w:val="20"/>
                    </w:rPr>
                    <w:lastRenderedPageBreak/>
                    <w:t>Communicate all binding Base Points,</w:t>
                  </w:r>
                  <w:r>
                    <w:rPr>
                      <w:iCs/>
                      <w:sz w:val="20"/>
                    </w:rPr>
                    <w:t xml:space="preserve"> Updated Desired Set Points (UDSPs), Ancillary Service awards, </w:t>
                  </w:r>
                  <w:r w:rsidRPr="003161DC">
                    <w:rPr>
                      <w:iCs/>
                      <w:sz w:val="20"/>
                    </w:rPr>
                    <w:t>Dispatch Instructions, LMPs for energy</w:t>
                  </w:r>
                  <w:r>
                    <w:rPr>
                      <w:iCs/>
                      <w:sz w:val="20"/>
                    </w:rPr>
                    <w:t>,</w:t>
                  </w:r>
                  <w:r w:rsidRPr="003161DC">
                    <w:rPr>
                      <w:iCs/>
                      <w:sz w:val="20"/>
                    </w:rPr>
                    <w:t xml:space="preserve"> </w:t>
                  </w:r>
                  <w:r>
                    <w:rPr>
                      <w:iCs/>
                      <w:sz w:val="20"/>
                    </w:rPr>
                    <w:t xml:space="preserve">Real-Time </w:t>
                  </w:r>
                  <w:r>
                    <w:rPr>
                      <w:iCs/>
                      <w:sz w:val="20"/>
                    </w:rPr>
                    <w:lastRenderedPageBreak/>
                    <w:t xml:space="preserve">MCPCs for </w:t>
                  </w:r>
                  <w:r w:rsidRPr="003161DC">
                    <w:rPr>
                      <w:iCs/>
                      <w:sz w:val="20"/>
                    </w:rPr>
                    <w:t xml:space="preserve">Ancillary Services, and for the pricing run </w:t>
                  </w:r>
                  <w:r w:rsidRPr="003161DC">
                    <w:rPr>
                      <w:sz w:val="20"/>
                    </w:rPr>
                    <w:t>as described in Section 6.5.7.3.1, Determination of Real-Time Reliability Deployment Price Adder</w:t>
                  </w:r>
                  <w:r>
                    <w:rPr>
                      <w:sz w:val="20"/>
                    </w:rPr>
                    <w:t>s</w:t>
                  </w:r>
                  <w:r w:rsidRPr="003161DC">
                    <w:rPr>
                      <w:sz w:val="20"/>
                    </w:rPr>
                    <w:t xml:space="preserve">, </w:t>
                  </w:r>
                  <w:r w:rsidRPr="003161DC">
                    <w:rPr>
                      <w:iCs/>
                      <w:sz w:val="20"/>
                    </w:rPr>
                    <w:t>the total Reliability Unit Commitment (</w:t>
                  </w:r>
                  <w:r w:rsidRPr="002A4EAB">
                    <w:rPr>
                      <w:iCs/>
                      <w:sz w:val="20"/>
                    </w:rPr>
                    <w:t>RUC)/Reliability Must-Run (RMR) MW relaxed, total Load Resource MW deployed that is added to the Demand</w:t>
                  </w:r>
                  <w:r w:rsidRPr="002A4EAB">
                    <w:rPr>
                      <w:sz w:val="20"/>
                    </w:rPr>
                    <w:t>, total Transmission and/or Distribution Service Provider (TDSP) standard offer Load management MW deployed that is added to the Demand,</w:t>
                  </w:r>
                  <w:r w:rsidRPr="002A4EAB">
                    <w:rPr>
                      <w:iCs/>
                      <w:sz w:val="20"/>
                    </w:rPr>
                    <w:t xml:space="preserve"> total Emergency Response Service (ERS)</w:t>
                  </w:r>
                  <w:r w:rsidRPr="003161DC">
                    <w:rPr>
                      <w:iCs/>
                      <w:sz w:val="20"/>
                    </w:rPr>
                    <w:t xml:space="preserve"> MW deployed that is added to the Demand, total ERCOT-directed DC Tie MW that is added to or subtracted from the Demand, total Block Load Transfer (BLT) MW that is added to or subtracted from the Demand Real-Time Reliability Deployment Price Adder</w:t>
                  </w:r>
                  <w:r>
                    <w:rPr>
                      <w:iCs/>
                      <w:sz w:val="20"/>
                    </w:rPr>
                    <w:t xml:space="preserve"> for Energy, and Real-Time Reliability Deployment Price Adders for Ancillary Service</w:t>
                  </w:r>
                  <w:r w:rsidRPr="003161DC">
                    <w:rPr>
                      <w:iCs/>
                      <w:sz w:val="20"/>
                    </w:rPr>
                    <w:t xml:space="preserve"> using Inter-Control Center Communications Protocol (ICCP) or Verbal Dispatch Instructions (VDIs)</w:t>
                  </w:r>
                  <w:r>
                    <w:rPr>
                      <w:iCs/>
                      <w:sz w:val="20"/>
                    </w:rPr>
                    <w:t>.  In communicating Ancillary Service awards, the awards shall be broken out by Ancillary Service sub-type, where applicable</w:t>
                  </w:r>
                </w:p>
                <w:p w14:paraId="2516A158" w14:textId="77777777" w:rsidR="008A5A12" w:rsidRPr="003161DC" w:rsidRDefault="008A5A12" w:rsidP="008A5A12">
                  <w:pPr>
                    <w:spacing w:before="240"/>
                    <w:rPr>
                      <w:iCs/>
                      <w:sz w:val="20"/>
                    </w:rPr>
                  </w:pPr>
                  <w:r w:rsidRPr="003161DC">
                    <w:rPr>
                      <w:iCs/>
                      <w:sz w:val="20"/>
                    </w:rPr>
                    <w:t>Monitor Resource Status and identify discrepancies between COP and telemetered Resource Status</w:t>
                  </w:r>
                </w:p>
                <w:p w14:paraId="703879EB" w14:textId="77777777" w:rsidR="008A5A12" w:rsidRPr="003161DC" w:rsidRDefault="008A5A12" w:rsidP="008A5A12">
                  <w:pPr>
                    <w:rPr>
                      <w:iCs/>
                      <w:sz w:val="20"/>
                    </w:rPr>
                  </w:pPr>
                </w:p>
                <w:p w14:paraId="41AA1B1E" w14:textId="77777777" w:rsidR="008A5A12" w:rsidRPr="003161DC" w:rsidRDefault="008A5A12" w:rsidP="008A5A12">
                  <w:pPr>
                    <w:rPr>
                      <w:iCs/>
                      <w:sz w:val="20"/>
                    </w:rPr>
                  </w:pPr>
                  <w:r w:rsidRPr="003161DC">
                    <w:rPr>
                      <w:iCs/>
                      <w:sz w:val="20"/>
                    </w:rPr>
                    <w:t>Restart Real-Time Sequence on major change of Resource or Transmission Element Status</w:t>
                  </w:r>
                </w:p>
                <w:p w14:paraId="35DF135C" w14:textId="77777777" w:rsidR="008A5A12" w:rsidRPr="003161DC" w:rsidRDefault="008A5A12" w:rsidP="008A5A12">
                  <w:pPr>
                    <w:rPr>
                      <w:iCs/>
                      <w:sz w:val="20"/>
                    </w:rPr>
                  </w:pPr>
                </w:p>
                <w:p w14:paraId="49F67282" w14:textId="77777777" w:rsidR="008A5A12" w:rsidRPr="003161DC" w:rsidRDefault="008A5A12" w:rsidP="008A5A12">
                  <w:pPr>
                    <w:rPr>
                      <w:b/>
                      <w:iCs/>
                      <w:sz w:val="20"/>
                    </w:rPr>
                  </w:pPr>
                  <w:r w:rsidRPr="003161DC">
                    <w:rPr>
                      <w:iCs/>
                      <w:sz w:val="20"/>
                    </w:rPr>
                    <w:t>Monitor ERCOT total system capacity providing Ancillary Services</w:t>
                  </w:r>
                  <w:r w:rsidRPr="003161DC">
                    <w:rPr>
                      <w:b/>
                      <w:iCs/>
                      <w:sz w:val="20"/>
                    </w:rPr>
                    <w:t xml:space="preserve"> </w:t>
                  </w:r>
                </w:p>
                <w:p w14:paraId="0E93C703" w14:textId="77777777" w:rsidR="008A5A12" w:rsidRPr="003161DC" w:rsidRDefault="008A5A12" w:rsidP="008A5A12">
                  <w:pPr>
                    <w:rPr>
                      <w:iCs/>
                      <w:sz w:val="20"/>
                    </w:rPr>
                  </w:pPr>
                </w:p>
                <w:p w14:paraId="56467323" w14:textId="21C35FE6" w:rsidR="008A5A12" w:rsidRDefault="008A5A12" w:rsidP="008A5A12">
                  <w:pPr>
                    <w:rPr>
                      <w:iCs/>
                      <w:sz w:val="20"/>
                    </w:rPr>
                  </w:pPr>
                  <w:r w:rsidRPr="003161DC">
                    <w:rPr>
                      <w:iCs/>
                      <w:sz w:val="20"/>
                    </w:rPr>
                    <w:t>Validate COP information</w:t>
                  </w:r>
                </w:p>
                <w:p w14:paraId="5F42B79F" w14:textId="77777777" w:rsidR="00070608" w:rsidRDefault="00070608" w:rsidP="008A5A12">
                  <w:pPr>
                    <w:rPr>
                      <w:iCs/>
                      <w:sz w:val="20"/>
                    </w:rPr>
                  </w:pPr>
                </w:p>
                <w:p w14:paraId="6104163E" w14:textId="74D62296" w:rsidR="00070608" w:rsidRPr="003161DC" w:rsidRDefault="00070608" w:rsidP="008A5A12">
                  <w:pPr>
                    <w:rPr>
                      <w:iCs/>
                      <w:sz w:val="20"/>
                    </w:rPr>
                  </w:pPr>
                  <w:r w:rsidRPr="00DD1A20">
                    <w:rPr>
                      <w:iCs/>
                      <w:sz w:val="20"/>
                    </w:rPr>
                    <w:t>Validate Ancillary Service Trades</w:t>
                  </w:r>
                </w:p>
                <w:p w14:paraId="67BBF6A1" w14:textId="77777777" w:rsidR="008A5A12" w:rsidRPr="003161DC" w:rsidRDefault="008A5A12" w:rsidP="008A5A12">
                  <w:pPr>
                    <w:rPr>
                      <w:iCs/>
                      <w:sz w:val="20"/>
                    </w:rPr>
                  </w:pPr>
                </w:p>
                <w:p w14:paraId="30F1746D" w14:textId="77777777" w:rsidR="008A5A12" w:rsidRPr="003161DC" w:rsidRDefault="008A5A12" w:rsidP="008A5A12">
                  <w:pPr>
                    <w:rPr>
                      <w:iCs/>
                      <w:sz w:val="20"/>
                    </w:rPr>
                  </w:pPr>
                  <w:r w:rsidRPr="003161DC">
                    <w:rPr>
                      <w:iCs/>
                      <w:sz w:val="20"/>
                    </w:rPr>
                    <w:t>Monitor ERCOT control performance</w:t>
                  </w:r>
                </w:p>
                <w:p w14:paraId="3A0C4FB1" w14:textId="77777777" w:rsidR="008A5A12" w:rsidRPr="003161DC" w:rsidRDefault="008A5A12" w:rsidP="008A5A12">
                  <w:pPr>
                    <w:rPr>
                      <w:iCs/>
                      <w:sz w:val="20"/>
                    </w:rPr>
                  </w:pPr>
                </w:p>
                <w:p w14:paraId="055A07D4" w14:textId="709110B8" w:rsidR="008A5A12" w:rsidRDefault="00C92338" w:rsidP="008A5A12">
                  <w:pPr>
                    <w:spacing w:after="240"/>
                    <w:rPr>
                      <w:iCs/>
                      <w:sz w:val="20"/>
                    </w:rPr>
                  </w:pPr>
                  <w:r w:rsidRPr="003161DC">
                    <w:rPr>
                      <w:iCs/>
                      <w:sz w:val="20"/>
                    </w:rPr>
                    <w:t xml:space="preserve">Distribute by ICCP, and post on the </w:t>
                  </w:r>
                  <w:r w:rsidR="0007207E">
                    <w:rPr>
                      <w:iCs/>
                      <w:sz w:val="20"/>
                    </w:rPr>
                    <w:t>ERCOT website</w:t>
                  </w:r>
                  <w:r w:rsidRPr="003161DC">
                    <w:rPr>
                      <w:iCs/>
                      <w:sz w:val="20"/>
                    </w:rPr>
                    <w:t xml:space="preserve">, System Lambda and the LMPs for each Resource Node, Load Zone and Hub, </w:t>
                  </w:r>
                  <w:r>
                    <w:rPr>
                      <w:iCs/>
                      <w:sz w:val="20"/>
                    </w:rPr>
                    <w:t xml:space="preserve">and Real-Time MCPCs for each Ancillary Service, </w:t>
                  </w:r>
                  <w:r w:rsidRPr="003161DC">
                    <w:rPr>
                      <w:iCs/>
                      <w:sz w:val="20"/>
                    </w:rPr>
                    <w:t xml:space="preserve">and for the pricing run </w:t>
                  </w:r>
                  <w:r w:rsidRPr="003161DC">
                    <w:rPr>
                      <w:sz w:val="20"/>
                    </w:rPr>
                    <w:t xml:space="preserve">as described in Section 6.5.7.3.1 </w:t>
                  </w:r>
                  <w:r w:rsidRPr="003161DC">
                    <w:rPr>
                      <w:iCs/>
                      <w:sz w:val="20"/>
                    </w:rPr>
                    <w:t>the total RUC/RMR MW relaxed, total Load Resource MW deploye</w:t>
                  </w:r>
                  <w:r w:rsidRPr="002A4EAB">
                    <w:rPr>
                      <w:iCs/>
                      <w:sz w:val="20"/>
                    </w:rPr>
                    <w:t xml:space="preserve">d that is added to the Demand, total ERS MW deployed that is added to the Demand, </w:t>
                  </w:r>
                  <w:r w:rsidRPr="002A4EAB">
                    <w:rPr>
                      <w:sz w:val="20"/>
                    </w:rPr>
                    <w:t xml:space="preserve">total TDSP standard offer Load </w:t>
                  </w:r>
                  <w:r w:rsidRPr="002A4EAB">
                    <w:rPr>
                      <w:sz w:val="20"/>
                    </w:rPr>
                    <w:lastRenderedPageBreak/>
                    <w:t xml:space="preserve">management MW deployed that is added to the Demand, </w:t>
                  </w:r>
                  <w:r w:rsidRPr="002A4EAB">
                    <w:rPr>
                      <w:iCs/>
                      <w:sz w:val="20"/>
                    </w:rPr>
                    <w:t>total ERCOT</w:t>
                  </w:r>
                  <w:r w:rsidRPr="003161DC">
                    <w:rPr>
                      <w:iCs/>
                      <w:sz w:val="20"/>
                    </w:rPr>
                    <w:t>-directed DC Tie MW that is added to or subtracted from the Demand, total BLT MW that is added to or subtracted from the Demand, Real-Time Reliability Deployment Price Adder</w:t>
                  </w:r>
                  <w:r>
                    <w:rPr>
                      <w:iCs/>
                      <w:sz w:val="20"/>
                    </w:rPr>
                    <w:t xml:space="preserve"> for Energy, and Real-Time Reliability Deployment Price Adders for Ancillary Service</w:t>
                  </w:r>
                  <w:r w:rsidR="00AD58D8">
                    <w:rPr>
                      <w:iCs/>
                      <w:sz w:val="20"/>
                    </w:rPr>
                    <w:t>, and ESR charging</w:t>
                  </w:r>
                  <w:r w:rsidRPr="003161DC">
                    <w:rPr>
                      <w:iCs/>
                      <w:sz w:val="20"/>
                    </w:rPr>
                    <w:t xml:space="preserve"> created for each SCED process</w:t>
                  </w:r>
                  <w:r w:rsidR="009C388E" w:rsidRPr="006F3D0F">
                    <w:rPr>
                      <w:iCs/>
                      <w:sz w:val="20"/>
                    </w:rPr>
                    <w:t>, and aggregated data from the estimated Demand response data process as described in Section 6.5.7.1.13</w:t>
                  </w:r>
                  <w:r w:rsidR="00973752">
                    <w:rPr>
                      <w:iCs/>
                      <w:sz w:val="20"/>
                    </w:rPr>
                    <w:t xml:space="preserve">, </w:t>
                  </w:r>
                  <w:r w:rsidR="00973752" w:rsidRPr="00973752">
                    <w:rPr>
                      <w:iCs/>
                      <w:sz w:val="20"/>
                    </w:rPr>
                    <w:t>Data Inputs and Outputs for the Real-Time Sequence and SCED</w:t>
                  </w:r>
                  <w:r w:rsidRPr="003161DC">
                    <w:rPr>
                      <w:iCs/>
                      <w:sz w:val="20"/>
                    </w:rPr>
                    <w:t xml:space="preserve">.  </w:t>
                  </w:r>
                  <w:r w:rsidR="00AD58D8">
                    <w:rPr>
                      <w:iCs/>
                      <w:sz w:val="20"/>
                    </w:rPr>
                    <w:t>This data</w:t>
                  </w:r>
                  <w:r w:rsidRPr="003161DC">
                    <w:rPr>
                      <w:iCs/>
                      <w:sz w:val="20"/>
                    </w:rPr>
                    <w:t xml:space="preserve"> shall be posted immediately subsequent to deployment of Base Points </w:t>
                  </w:r>
                  <w:r>
                    <w:rPr>
                      <w:iCs/>
                      <w:sz w:val="20"/>
                    </w:rPr>
                    <w:t xml:space="preserve">and Ancillary Service awards </w:t>
                  </w:r>
                  <w:r w:rsidRPr="003161DC">
                    <w:rPr>
                      <w:iCs/>
                      <w:sz w:val="20"/>
                    </w:rPr>
                    <w:t xml:space="preserve">from SCED with the time stamp the </w:t>
                  </w:r>
                  <w:r w:rsidR="00AD58D8">
                    <w:rPr>
                      <w:iCs/>
                      <w:sz w:val="20"/>
                    </w:rPr>
                    <w:t>data</w:t>
                  </w:r>
                  <w:r w:rsidRPr="003161DC">
                    <w:rPr>
                      <w:iCs/>
                      <w:sz w:val="20"/>
                    </w:rPr>
                    <w:t xml:space="preserve"> are effective</w:t>
                  </w:r>
                  <w:r w:rsidR="008A5A12" w:rsidRPr="003161DC">
                    <w:rPr>
                      <w:iCs/>
                      <w:sz w:val="20"/>
                    </w:rPr>
                    <w:t xml:space="preserve"> </w:t>
                  </w:r>
                </w:p>
                <w:p w14:paraId="7B8F7553" w14:textId="25CC2978" w:rsidR="00C92338" w:rsidRPr="003161DC" w:rsidRDefault="00C92338" w:rsidP="008A5A12">
                  <w:pPr>
                    <w:spacing w:after="240"/>
                    <w:rPr>
                      <w:iCs/>
                      <w:sz w:val="20"/>
                    </w:rPr>
                  </w:pPr>
                  <w:r w:rsidRPr="003161DC">
                    <w:rPr>
                      <w:iCs/>
                      <w:sz w:val="20"/>
                    </w:rPr>
                    <w:t xml:space="preserve">Post on the </w:t>
                  </w:r>
                  <w:r w:rsidR="0007207E">
                    <w:rPr>
                      <w:iCs/>
                      <w:sz w:val="20"/>
                    </w:rPr>
                    <w:t>ERCOT website</w:t>
                  </w:r>
                  <w:r w:rsidRPr="003161DC">
                    <w:rPr>
                      <w:iCs/>
                      <w:sz w:val="20"/>
                    </w:rPr>
                    <w:t xml:space="preserve"> the nodal prices for Settlement Only Distribution Generators (SODGs)</w:t>
                  </w:r>
                  <w:r w:rsidR="00E21F4F">
                    <w:rPr>
                      <w:iCs/>
                      <w:sz w:val="20"/>
                    </w:rPr>
                    <w:t>, Settlement Only Distribution Energy Storage Systems (SODESSs),</w:t>
                  </w:r>
                  <w:r w:rsidRPr="003161DC">
                    <w:rPr>
                      <w:iCs/>
                      <w:sz w:val="20"/>
                    </w:rPr>
                    <w:t xml:space="preserve"> Settlement Only Transmission Generator</w:t>
                  </w:r>
                  <w:r w:rsidR="00525E33">
                    <w:rPr>
                      <w:iCs/>
                      <w:sz w:val="20"/>
                    </w:rPr>
                    <w:t>s</w:t>
                  </w:r>
                  <w:r w:rsidRPr="003161DC">
                    <w:rPr>
                      <w:iCs/>
                      <w:sz w:val="20"/>
                    </w:rPr>
                    <w:t xml:space="preserve"> (SOTGs)</w:t>
                  </w:r>
                  <w:r w:rsidR="00125072">
                    <w:rPr>
                      <w:iCs/>
                      <w:sz w:val="20"/>
                    </w:rPr>
                    <w:t>, and Settlement Only Transmission Energy Storage Systems (SOTESSs)</w:t>
                  </w:r>
                  <w:r w:rsidRPr="003161DC">
                    <w:rPr>
                      <w:iCs/>
                      <w:sz w:val="20"/>
                    </w:rPr>
                    <w:t xml:space="preserve">.  These prices shall include Real-Time Reliability Deployment Price Adders </w:t>
                  </w:r>
                  <w:r>
                    <w:rPr>
                      <w:iCs/>
                      <w:sz w:val="20"/>
                    </w:rPr>
                    <w:t xml:space="preserve">for Energy </w:t>
                  </w:r>
                  <w:r w:rsidRPr="003161DC">
                    <w:rPr>
                      <w:iCs/>
                      <w:sz w:val="20"/>
                    </w:rPr>
                    <w:t>created for each SCED process.  These prices shall be posted immediately subsequent to deployment of Base Points from SCED with the time stamp the prices are effective</w:t>
                  </w:r>
                </w:p>
                <w:p w14:paraId="773079F5" w14:textId="007F3393" w:rsidR="008A5A12" w:rsidRDefault="008A5A12" w:rsidP="008A5A12">
                  <w:pPr>
                    <w:spacing w:before="240"/>
                    <w:rPr>
                      <w:iCs/>
                      <w:sz w:val="20"/>
                    </w:rPr>
                  </w:pPr>
                  <w:r w:rsidRPr="003161DC">
                    <w:rPr>
                      <w:iCs/>
                      <w:sz w:val="20"/>
                    </w:rPr>
                    <w:t xml:space="preserve">Post LMPs for each Electrical Bus on the </w:t>
                  </w:r>
                  <w:r w:rsidR="0007207E">
                    <w:rPr>
                      <w:iCs/>
                      <w:sz w:val="20"/>
                    </w:rPr>
                    <w:t>ERCOT website</w:t>
                  </w:r>
                  <w:r w:rsidRPr="003161DC">
                    <w:rPr>
                      <w:iCs/>
                      <w:sz w:val="20"/>
                    </w:rPr>
                    <w:t>.  These prices shall be posted immediately subsequent to deployment of Base Points from each binding SCED with the time stamp the prices are effective</w:t>
                  </w:r>
                </w:p>
                <w:p w14:paraId="07ACD4ED" w14:textId="7B2C45C9" w:rsidR="00C92338" w:rsidRPr="003161DC" w:rsidRDefault="00C92338" w:rsidP="008A5A12">
                  <w:pPr>
                    <w:spacing w:before="240"/>
                    <w:rPr>
                      <w:iCs/>
                      <w:sz w:val="20"/>
                    </w:rPr>
                  </w:pPr>
                  <w:r w:rsidRPr="003161DC">
                    <w:rPr>
                      <w:iCs/>
                      <w:sz w:val="20"/>
                    </w:rPr>
                    <w:t xml:space="preserve">Post every 15 minutes on the </w:t>
                  </w:r>
                  <w:r w:rsidR="0007207E">
                    <w:rPr>
                      <w:iCs/>
                      <w:sz w:val="20"/>
                    </w:rPr>
                    <w:t>ERCOT website</w:t>
                  </w:r>
                  <w:r w:rsidRPr="003161DC">
                    <w:rPr>
                      <w:iCs/>
                      <w:sz w:val="20"/>
                    </w:rPr>
                    <w:t xml:space="preserve"> the aggregate net injection from </w:t>
                  </w:r>
                  <w:r w:rsidRPr="003161DC">
                    <w:rPr>
                      <w:sz w:val="20"/>
                    </w:rPr>
                    <w:t>Settlement Only</w:t>
                  </w:r>
                  <w:r w:rsidRPr="003161DC">
                    <w:rPr>
                      <w:iCs/>
                      <w:sz w:val="20"/>
                    </w:rPr>
                    <w:t xml:space="preserve"> Generators (SOGs) </w:t>
                  </w:r>
                  <w:r w:rsidR="00125072">
                    <w:rPr>
                      <w:iCs/>
                      <w:sz w:val="20"/>
                    </w:rPr>
                    <w:t>and Settlement Only Energy Storage Systems (SOESSs)</w:t>
                  </w:r>
                </w:p>
                <w:p w14:paraId="4EF8EC43" w14:textId="5C3499B7" w:rsidR="008A5A12" w:rsidRPr="003161DC" w:rsidRDefault="00C92338" w:rsidP="008A5A12">
                  <w:pPr>
                    <w:spacing w:before="240" w:after="240"/>
                    <w:rPr>
                      <w:iCs/>
                      <w:sz w:val="20"/>
                    </w:rPr>
                  </w:pPr>
                  <w:r w:rsidRPr="003161DC">
                    <w:rPr>
                      <w:iCs/>
                      <w:sz w:val="20"/>
                    </w:rPr>
                    <w:t xml:space="preserve">Post on the </w:t>
                  </w:r>
                  <w:r w:rsidR="0007207E">
                    <w:rPr>
                      <w:iCs/>
                      <w:sz w:val="20"/>
                    </w:rPr>
                    <w:t>ERCOT website</w:t>
                  </w:r>
                  <w:r w:rsidRPr="003161DC">
                    <w:rPr>
                      <w:iCs/>
                      <w:sz w:val="20"/>
                    </w:rPr>
                    <w:t xml:space="preserve"> the projected non-binding LMPs</w:t>
                  </w:r>
                  <w:r>
                    <w:rPr>
                      <w:iCs/>
                      <w:sz w:val="20"/>
                    </w:rPr>
                    <w:t xml:space="preserve"> for each Resource Node and Real-Time MCPCs for each Ancillary Service </w:t>
                  </w:r>
                  <w:r w:rsidRPr="003161DC">
                    <w:rPr>
                      <w:iCs/>
                      <w:sz w:val="20"/>
                    </w:rPr>
                    <w:t xml:space="preserve">created by each SCED process </w:t>
                  </w:r>
                  <w:r w:rsidRPr="003161DC">
                    <w:rPr>
                      <w:sz w:val="20"/>
                    </w:rPr>
                    <w:t xml:space="preserve">and for the </w:t>
                  </w:r>
                  <w:r w:rsidRPr="00705B86">
                    <w:rPr>
                      <w:sz w:val="20"/>
                    </w:rPr>
                    <w:t xml:space="preserve">projected non-binding pricing runs as described in Section 6.5.7.3.1 the total RUC/RMR MW relaxed, total Load Resource MW deployed that is added to </w:t>
                  </w:r>
                  <w:r w:rsidRPr="00705B86">
                    <w:rPr>
                      <w:sz w:val="20"/>
                    </w:rPr>
                    <w:lastRenderedPageBreak/>
                    <w:t>Demand,</w:t>
                  </w:r>
                  <w:r w:rsidRPr="00705B86">
                    <w:rPr>
                      <w:iCs/>
                      <w:sz w:val="20"/>
                    </w:rPr>
                    <w:t xml:space="preserve"> </w:t>
                  </w:r>
                  <w:r w:rsidRPr="00705B86">
                    <w:rPr>
                      <w:sz w:val="20"/>
                    </w:rPr>
                    <w:t>total TDSP standard offer Load management MW deployed that is added to the Demand,</w:t>
                  </w:r>
                  <w:r w:rsidRPr="00705B86">
                    <w:rPr>
                      <w:rFonts w:ascii="Calibri" w:hAnsi="Calibri" w:cs="Calibri"/>
                      <w:color w:val="1F497D"/>
                      <w:sz w:val="20"/>
                    </w:rPr>
                    <w:t xml:space="preserve"> </w:t>
                  </w:r>
                  <w:r w:rsidRPr="00705B86">
                    <w:rPr>
                      <w:iCs/>
                      <w:sz w:val="20"/>
                    </w:rPr>
                    <w:t>total</w:t>
                  </w:r>
                  <w:r w:rsidRPr="003161DC">
                    <w:rPr>
                      <w:iCs/>
                      <w:sz w:val="20"/>
                    </w:rPr>
                    <w:t xml:space="preserve"> ERCOT-directed DC Tie MW that is added to or subtracted from the Demand, total BLT MW that is added to or subtracted from the Demand,</w:t>
                  </w:r>
                  <w:r w:rsidRPr="003161DC">
                    <w:rPr>
                      <w:sz w:val="20"/>
                    </w:rPr>
                    <w:t xml:space="preserve"> total ERS MW deployed that are deployed that is added to the Demand, </w:t>
                  </w:r>
                  <w:r>
                    <w:rPr>
                      <w:sz w:val="20"/>
                    </w:rPr>
                    <w:t>Real-Time Reliability Deployment Price Adder for Energy</w:t>
                  </w:r>
                  <w:r>
                    <w:rPr>
                      <w:iCs/>
                      <w:sz w:val="20"/>
                    </w:rPr>
                    <w:t>, Real-Time On-Line Reliability Deployment Price Adders for Ancillary Service,</w:t>
                  </w:r>
                  <w:r w:rsidRPr="003161DC">
                    <w:rPr>
                      <w:sz w:val="20"/>
                    </w:rPr>
                    <w:t xml:space="preserve"> and</w:t>
                  </w:r>
                  <w:r w:rsidRPr="003161DC">
                    <w:rPr>
                      <w:iCs/>
                      <w:sz w:val="20"/>
                    </w:rPr>
                    <w:t xml:space="preserve"> the projected Hub LMPs and Load Zone LMPs.  These projected prices shall be posted at a frequency of every five minutes from SCED for at least 15 minutes in the future with the time stamp of the SCED process that produced the projections</w:t>
                  </w:r>
                </w:p>
                <w:p w14:paraId="6B027916" w14:textId="039D72BF" w:rsidR="008A5A12" w:rsidRPr="003161DC" w:rsidRDefault="008A5A12" w:rsidP="008A5A12">
                  <w:pPr>
                    <w:spacing w:before="240"/>
                    <w:rPr>
                      <w:iCs/>
                      <w:sz w:val="20"/>
                    </w:rPr>
                  </w:pPr>
                  <w:r w:rsidRPr="003161DC">
                    <w:rPr>
                      <w:iCs/>
                      <w:sz w:val="20"/>
                    </w:rPr>
                    <w:t xml:space="preserve">Post on the MIS Certified Area the projected non-binding Base Points </w:t>
                  </w:r>
                  <w:r>
                    <w:rPr>
                      <w:iCs/>
                      <w:sz w:val="20"/>
                    </w:rPr>
                    <w:t xml:space="preserve">and Ancillary Service awards </w:t>
                  </w:r>
                  <w:r w:rsidRPr="003161DC">
                    <w:rPr>
                      <w:iCs/>
                      <w:sz w:val="20"/>
                    </w:rPr>
                    <w:t>for each Resource created by each SCED process.  These projected non-binding Base Points shall be posted at a frequency of every five minutes from SCED for at least 15 minutes in the future with the time stamp of the SCED process that produced the projections</w:t>
                  </w:r>
                  <w:r>
                    <w:rPr>
                      <w:iCs/>
                      <w:sz w:val="20"/>
                    </w:rPr>
                    <w:t>.  In posting Ancillary Service awards, the awards shall be broken out by Ancillary Service sub-type, where applicable</w:t>
                  </w:r>
                </w:p>
                <w:p w14:paraId="58EC3548" w14:textId="77777777" w:rsidR="008A5A12" w:rsidRPr="003161DC" w:rsidRDefault="008A5A12" w:rsidP="008A5A12">
                  <w:pPr>
                    <w:rPr>
                      <w:iCs/>
                      <w:sz w:val="20"/>
                    </w:rPr>
                  </w:pPr>
                </w:p>
                <w:p w14:paraId="78C4E165" w14:textId="1E654D31" w:rsidR="008A5A12" w:rsidRPr="003161DC" w:rsidRDefault="008A5A12" w:rsidP="008A5A12">
                  <w:pPr>
                    <w:rPr>
                      <w:iCs/>
                      <w:sz w:val="20"/>
                    </w:rPr>
                  </w:pPr>
                  <w:r w:rsidRPr="003161DC">
                    <w:rPr>
                      <w:iCs/>
                      <w:sz w:val="20"/>
                    </w:rPr>
                    <w:t xml:space="preserve">Post each hour on the </w:t>
                  </w:r>
                  <w:r w:rsidR="0007207E">
                    <w:rPr>
                      <w:iCs/>
                      <w:sz w:val="20"/>
                    </w:rPr>
                    <w:t>ERCOT website</w:t>
                  </w:r>
                  <w:r w:rsidRPr="003161DC">
                    <w:rPr>
                      <w:iCs/>
                      <w:sz w:val="20"/>
                    </w:rPr>
                    <w:t xml:space="preserve"> binding SCED Shadow Prices and active binding transmission constraints by Transmission Element name (contingency /overloaded element pairs) </w:t>
                  </w:r>
                </w:p>
                <w:p w14:paraId="3407E284" w14:textId="77777777" w:rsidR="008A5A12" w:rsidRPr="003161DC" w:rsidRDefault="008A5A12" w:rsidP="008A5A12">
                  <w:pPr>
                    <w:rPr>
                      <w:iCs/>
                      <w:sz w:val="20"/>
                    </w:rPr>
                  </w:pPr>
                </w:p>
                <w:p w14:paraId="18D0A298" w14:textId="4A47C2DB" w:rsidR="008A5A12" w:rsidRPr="003161DC" w:rsidRDefault="00C92338" w:rsidP="008A5A12">
                  <w:pPr>
                    <w:rPr>
                      <w:iCs/>
                      <w:sz w:val="20"/>
                    </w:rPr>
                  </w:pPr>
                  <w:r w:rsidRPr="003161DC">
                    <w:rPr>
                      <w:iCs/>
                      <w:sz w:val="20"/>
                    </w:rPr>
                    <w:t xml:space="preserve">Post on the </w:t>
                  </w:r>
                  <w:r w:rsidR="0007207E">
                    <w:rPr>
                      <w:iCs/>
                      <w:sz w:val="20"/>
                    </w:rPr>
                    <w:t>ERCOT website</w:t>
                  </w:r>
                  <w:r>
                    <w:rPr>
                      <w:iCs/>
                      <w:sz w:val="20"/>
                    </w:rPr>
                    <w:t>,</w:t>
                  </w:r>
                  <w:r w:rsidRPr="003161DC">
                    <w:rPr>
                      <w:iCs/>
                      <w:sz w:val="20"/>
                    </w:rPr>
                    <w:t xml:space="preserve"> the Settlement Point Prices for each Settlement Point and the Real-Time price for each SODG</w:t>
                  </w:r>
                  <w:r w:rsidR="00125072">
                    <w:rPr>
                      <w:iCs/>
                      <w:sz w:val="20"/>
                    </w:rPr>
                    <w:t>, SODESS,</w:t>
                  </w:r>
                  <w:r w:rsidRPr="003161DC">
                    <w:rPr>
                      <w:iCs/>
                      <w:sz w:val="20"/>
                    </w:rPr>
                    <w:t xml:space="preserve"> SOTG</w:t>
                  </w:r>
                  <w:r w:rsidR="00125072">
                    <w:rPr>
                      <w:iCs/>
                      <w:sz w:val="20"/>
                    </w:rPr>
                    <w:t>, and SOTESS</w:t>
                  </w:r>
                  <w:r w:rsidRPr="003161DC">
                    <w:rPr>
                      <w:iCs/>
                      <w:sz w:val="20"/>
                    </w:rPr>
                    <w:t xml:space="preserve"> immediately following the end of each Settlement Interval  </w:t>
                  </w:r>
                </w:p>
                <w:p w14:paraId="591DC0D4" w14:textId="3E0B319D" w:rsidR="008A5A12" w:rsidRPr="003161DC" w:rsidRDefault="008A5A12" w:rsidP="008A5A12">
                  <w:pPr>
                    <w:tabs>
                      <w:tab w:val="left" w:pos="1350"/>
                    </w:tabs>
                    <w:spacing w:before="240"/>
                    <w:rPr>
                      <w:iCs/>
                      <w:sz w:val="20"/>
                    </w:rPr>
                  </w:pPr>
                  <w:r>
                    <w:rPr>
                      <w:iCs/>
                      <w:sz w:val="20"/>
                    </w:rPr>
                    <w:t>By Settlement Interval, post the 15-minute Real-Time Reliability Deployment Price for Energy, and the 15-minute Real-Time Reliability Deployment Price for Ancillary Service for each of the Ancillary Services</w:t>
                  </w:r>
                </w:p>
                <w:p w14:paraId="657B5ACE" w14:textId="77777777" w:rsidR="008A5A12" w:rsidRPr="003161DC" w:rsidRDefault="008A5A12" w:rsidP="008A5A12">
                  <w:pPr>
                    <w:rPr>
                      <w:iCs/>
                      <w:sz w:val="20"/>
                    </w:rPr>
                  </w:pPr>
                </w:p>
              </w:tc>
            </w:tr>
          </w:tbl>
          <w:p w14:paraId="56B6F479" w14:textId="0EC7C26B" w:rsidR="00C61B40" w:rsidRPr="00C61B40" w:rsidRDefault="00C61B40" w:rsidP="0058150D">
            <w:pPr>
              <w:rPr>
                <w:iCs/>
              </w:rPr>
            </w:pPr>
          </w:p>
        </w:tc>
      </w:tr>
    </w:tbl>
    <w:p w14:paraId="78D96BF2" w14:textId="72022AFC" w:rsidR="001F04FD" w:rsidRDefault="001F04FD" w:rsidP="001F04FD">
      <w:pPr>
        <w:pStyle w:val="BodyTextNumbered"/>
        <w:spacing w:before="240"/>
      </w:pPr>
      <w:r>
        <w:lastRenderedPageBreak/>
        <w:t>(3)</w:t>
      </w:r>
      <w:r>
        <w:tab/>
        <w:t xml:space="preserve">At the beginning of each hour, ERCOT shall post on the </w:t>
      </w:r>
      <w:r w:rsidR="0007207E">
        <w:t>ERCOT website</w:t>
      </w:r>
      <w:r>
        <w:t xml:space="preserve"> the following information:</w:t>
      </w:r>
    </w:p>
    <w:p w14:paraId="480F08BE" w14:textId="77777777" w:rsidR="001F04FD" w:rsidRDefault="001F04FD" w:rsidP="001F04FD">
      <w:pPr>
        <w:pStyle w:val="List"/>
      </w:pPr>
      <w:r>
        <w:lastRenderedPageBreak/>
        <w:t>(a)</w:t>
      </w:r>
      <w:r>
        <w:tab/>
        <w:t>Changes in ERCOT System conditions that could affect the security and dynamic transmission limits of the ERCOT System, including:</w:t>
      </w:r>
    </w:p>
    <w:p w14:paraId="03CF352C" w14:textId="77777777" w:rsidR="001F04FD" w:rsidRDefault="001F04FD" w:rsidP="001F04FD">
      <w:pPr>
        <w:pStyle w:val="List2"/>
      </w:pPr>
      <w:r>
        <w:t>(i)</w:t>
      </w:r>
      <w:r>
        <w:tab/>
        <w:t>Changes or expected changes, in the status of Transmission Facilities as recorded in the Outage Scheduler for the remaining hours of the current Operating Day and all hours of the next Operating Day; and</w:t>
      </w:r>
    </w:p>
    <w:p w14:paraId="3F378BC9" w14:textId="77777777" w:rsidR="001F04FD" w:rsidRDefault="001F04FD" w:rsidP="001F04FD">
      <w:pPr>
        <w:pStyle w:val="List2"/>
      </w:pPr>
      <w:r>
        <w:t>(ii)</w:t>
      </w:r>
      <w:r>
        <w:tab/>
        <w:t>Any conditions such as adverse weather conditions as determined from the ERCOT-designated weather service;</w:t>
      </w:r>
    </w:p>
    <w:p w14:paraId="50FA7DB4" w14:textId="77777777" w:rsidR="001F04FD" w:rsidRDefault="001F04FD" w:rsidP="001F04FD">
      <w:pPr>
        <w:pStyle w:val="List"/>
      </w:pPr>
      <w:r>
        <w:t>(b)</w:t>
      </w:r>
      <w:r>
        <w:tab/>
      </w:r>
      <w:r w:rsidR="00DA5067" w:rsidRPr="00491C73">
        <w:t>Updated system-wide Mid-Term Load Forecasts (MTLFs) for all forecast models available to ERCOT Operations, as well as an indicator for which forecast was in use by ERCOT at the time of publication</w:t>
      </w:r>
      <w:r w:rsidR="00DA5067">
        <w:t>;</w:t>
      </w:r>
    </w:p>
    <w:p w14:paraId="34B53A82" w14:textId="77777777" w:rsidR="001F04FD" w:rsidRDefault="001F04FD" w:rsidP="00052E36">
      <w:pPr>
        <w:pStyle w:val="List"/>
      </w:pPr>
      <w:r>
        <w:t>(c)</w:t>
      </w:r>
      <w:r>
        <w:tab/>
        <w:t>The quantities of RMR Services deployed by ERCOT for each previous hour of the current Operating Day;</w:t>
      </w:r>
      <w:r w:rsidR="001F147F">
        <w:t xml:space="preserve"> and</w:t>
      </w:r>
    </w:p>
    <w:p w14:paraId="27925815" w14:textId="77777777" w:rsidR="001F04FD" w:rsidRDefault="001F04FD" w:rsidP="001F04FD">
      <w:pPr>
        <w:pStyle w:val="List"/>
        <w:rPr>
          <w:iCs/>
        </w:rPr>
      </w:pPr>
      <w:r>
        <w:t>(d)</w:t>
      </w:r>
      <w:r>
        <w:tab/>
        <w:t>Total ERCOT System Demand, from Real-Time operations, integrated over each Settlement Interval</w:t>
      </w:r>
      <w:r w:rsidR="001F147F">
        <w:t>.</w:t>
      </w:r>
      <w:bookmarkStart w:id="99" w:name="_Toc74137648"/>
    </w:p>
    <w:p w14:paraId="3449E2B7" w14:textId="58380500" w:rsidR="001F04FD" w:rsidRDefault="001F04FD" w:rsidP="00B67C64">
      <w:pPr>
        <w:pStyle w:val="List"/>
        <w:ind w:left="720"/>
      </w:pPr>
      <w:r>
        <w:t>(4)</w:t>
      </w:r>
      <w:r>
        <w:tab/>
      </w:r>
      <w:r w:rsidR="0018254B" w:rsidRPr="0076067E">
        <w:t xml:space="preserve">No later than 0600, ERCOT shall post on the </w:t>
      </w:r>
      <w:r w:rsidR="0007207E">
        <w:t>ERCOT website</w:t>
      </w:r>
      <w:r w:rsidR="0018254B" w:rsidRPr="0076067E">
        <w:t xml:space="preserve"> the actual system Load by Weather Zone</w:t>
      </w:r>
      <w:r w:rsidR="0018254B">
        <w:t>,</w:t>
      </w:r>
      <w:r w:rsidR="0018254B" w:rsidRPr="0076067E">
        <w:t xml:space="preserve"> </w:t>
      </w:r>
      <w:r w:rsidR="0018254B">
        <w:t>the</w:t>
      </w:r>
      <w:r w:rsidR="0018254B" w:rsidRPr="0076067E">
        <w:t xml:space="preserve"> actual system Load by Forecast Zone</w:t>
      </w:r>
      <w:r w:rsidR="0018254B">
        <w:t>, and the actual system Load by Study Area</w:t>
      </w:r>
      <w:r w:rsidR="0018254B" w:rsidRPr="0076067E">
        <w:t xml:space="preserve"> for each hour of the previous Operating Day.</w:t>
      </w:r>
    </w:p>
    <w:p w14:paraId="118B4C18" w14:textId="7824A9C9" w:rsidR="004E0395" w:rsidRDefault="001F147F" w:rsidP="002F3F37">
      <w:pPr>
        <w:pStyle w:val="List"/>
        <w:ind w:left="720"/>
        <w:rPr>
          <w:iCs/>
        </w:rPr>
      </w:pPr>
      <w:r w:rsidRPr="00DD5850">
        <w:t>(5)</w:t>
      </w:r>
      <w:r w:rsidRPr="00DD5850">
        <w:tab/>
      </w:r>
      <w:r w:rsidR="00E62A42" w:rsidRPr="004E0395">
        <w:t xml:space="preserve">ERCOT shall provide notification to the market and post on the </w:t>
      </w:r>
      <w:r w:rsidR="0007207E">
        <w:t>ERCOT website</w:t>
      </w:r>
      <w:r w:rsidR="00E62A42" w:rsidRPr="004E0395">
        <w:t xml:space="preserve"> </w:t>
      </w:r>
      <w:r w:rsidR="00E62A42" w:rsidRPr="004E0395">
        <w:rPr>
          <w:iCs/>
        </w:rPr>
        <w:t>Electrical Bus Load distribution factors and other information necessary to forecast Electrical Bus Loads.  This report will be published when updates to the Load distribution factors are made.  Private Use Network net Load will be redacted from this posting.</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60A86" w14:paraId="1F629D20" w14:textId="77777777" w:rsidTr="00460A86">
        <w:trPr>
          <w:trHeight w:val="206"/>
        </w:trPr>
        <w:tc>
          <w:tcPr>
            <w:tcW w:w="9350" w:type="dxa"/>
            <w:shd w:val="pct12" w:color="auto" w:fill="auto"/>
          </w:tcPr>
          <w:p w14:paraId="1FA16DDD" w14:textId="43A5A4F4" w:rsidR="00460A86" w:rsidRDefault="00460A86" w:rsidP="0058150D">
            <w:pPr>
              <w:pStyle w:val="Instructions"/>
              <w:spacing w:before="120"/>
            </w:pPr>
            <w:bookmarkStart w:id="100" w:name="_Toc397504911"/>
            <w:bookmarkStart w:id="101" w:name="_Toc402357039"/>
            <w:bookmarkStart w:id="102" w:name="_Toc422486419"/>
            <w:bookmarkStart w:id="103" w:name="_Toc433093271"/>
            <w:bookmarkStart w:id="104" w:name="_Toc433093429"/>
            <w:bookmarkStart w:id="105" w:name="_Toc440874659"/>
            <w:bookmarkStart w:id="106" w:name="_Toc448142214"/>
            <w:bookmarkStart w:id="107" w:name="_Toc448142371"/>
            <w:bookmarkStart w:id="108" w:name="_Toc458770207"/>
            <w:bookmarkStart w:id="109" w:name="_Toc459294175"/>
            <w:bookmarkStart w:id="110" w:name="_Toc463262668"/>
            <w:bookmarkStart w:id="111" w:name="_Toc468286740"/>
            <w:bookmarkStart w:id="112" w:name="_Toc481502786"/>
            <w:bookmarkStart w:id="113" w:name="_Toc496079956"/>
            <w:r>
              <w:t>[NPRR1010</w:t>
            </w:r>
            <w:r w:rsidR="00F726A9">
              <w:t xml:space="preserve"> and NPRR1204</w:t>
            </w:r>
            <w:r>
              <w:t>:  Insert paragraphs (6) and (7) below upon system implementation of the Real-Time Co-Optimization (RTC) project:]</w:t>
            </w:r>
          </w:p>
          <w:p w14:paraId="5607CEFD" w14:textId="4B4B7B0C" w:rsidR="00460A86" w:rsidRDefault="00460A86" w:rsidP="00460A86">
            <w:pPr>
              <w:spacing w:after="240"/>
              <w:ind w:left="720" w:hanging="720"/>
              <w:rPr>
                <w:iCs/>
              </w:rPr>
            </w:pPr>
            <w:r>
              <w:rPr>
                <w:iCs/>
              </w:rPr>
              <w:t>(6)</w:t>
            </w:r>
            <w:r>
              <w:rPr>
                <w:iCs/>
              </w:rPr>
              <w:tab/>
            </w:r>
            <w:r w:rsidRPr="00270231">
              <w:rPr>
                <w:iCs/>
              </w:rPr>
              <w:t xml:space="preserve">After every SCED run, ERCOT shall post to the </w:t>
            </w:r>
            <w:r>
              <w:rPr>
                <w:iCs/>
              </w:rPr>
              <w:t>ERCOT website</w:t>
            </w:r>
            <w:r w:rsidRPr="00270231">
              <w:rPr>
                <w:iCs/>
              </w:rPr>
              <w:t xml:space="preserve"> the total capability of Resources </w:t>
            </w:r>
            <w:r>
              <w:rPr>
                <w:iCs/>
              </w:rPr>
              <w:t xml:space="preserve">available </w:t>
            </w:r>
            <w:r w:rsidRPr="00270231">
              <w:rPr>
                <w:iCs/>
              </w:rPr>
              <w:t>to provide the following Ancillary Service combinations, based on the Resource telemetry from th</w:t>
            </w:r>
            <w:r>
              <w:rPr>
                <w:iCs/>
              </w:rPr>
              <w:t>e QSE and capped by the limits</w:t>
            </w:r>
            <w:r w:rsidRPr="00270231">
              <w:rPr>
                <w:iCs/>
              </w:rPr>
              <w:t xml:space="preserve"> of the Resource</w:t>
            </w:r>
            <w:r w:rsidR="00F726A9">
              <w:t xml:space="preserve"> and, for ESRs, further capped by Ancillary Service SCED duration requirements and current available State of Charge (SOC)</w:t>
            </w:r>
            <w:r>
              <w:rPr>
                <w:iCs/>
              </w:rPr>
              <w:t>, for the most recent SCED execution</w:t>
            </w:r>
            <w:r w:rsidRPr="00270231">
              <w:rPr>
                <w:iCs/>
              </w:rPr>
              <w:t>:</w:t>
            </w:r>
          </w:p>
          <w:p w14:paraId="049CA465" w14:textId="77777777" w:rsidR="00460A86" w:rsidRDefault="00460A86" w:rsidP="00460A86">
            <w:pPr>
              <w:spacing w:after="240"/>
              <w:ind w:left="1440" w:hanging="720"/>
              <w:rPr>
                <w:color w:val="000000"/>
                <w:sz w:val="22"/>
                <w:szCs w:val="22"/>
              </w:rPr>
            </w:pPr>
            <w:r>
              <w:rPr>
                <w:color w:val="000000"/>
              </w:rPr>
              <w:t>(a)</w:t>
            </w:r>
            <w:r>
              <w:rPr>
                <w:color w:val="000000"/>
              </w:rPr>
              <w:tab/>
              <w:t>Capacity to provide Reg-Up, irrespective of whether it is capable of providing any other Ancillary Service;</w:t>
            </w:r>
          </w:p>
          <w:p w14:paraId="085B5A10" w14:textId="77777777" w:rsidR="00460A86" w:rsidRDefault="00460A86" w:rsidP="00460A86">
            <w:pPr>
              <w:spacing w:after="240"/>
              <w:ind w:left="1440" w:hanging="720"/>
              <w:rPr>
                <w:color w:val="000000"/>
              </w:rPr>
            </w:pPr>
            <w:r>
              <w:rPr>
                <w:color w:val="000000"/>
              </w:rPr>
              <w:t>(b)</w:t>
            </w:r>
            <w:r>
              <w:rPr>
                <w:color w:val="000000"/>
              </w:rPr>
              <w:tab/>
              <w:t>Capacity to provide RRS, irrespective of whether it is capable of providing any other Ancillary Service;</w:t>
            </w:r>
          </w:p>
          <w:p w14:paraId="339AC119" w14:textId="77777777" w:rsidR="00460A86" w:rsidRDefault="00460A86" w:rsidP="00460A86">
            <w:pPr>
              <w:spacing w:after="240"/>
              <w:ind w:left="1440" w:hanging="720"/>
              <w:rPr>
                <w:color w:val="000000"/>
              </w:rPr>
            </w:pPr>
            <w:r>
              <w:rPr>
                <w:color w:val="000000"/>
              </w:rPr>
              <w:lastRenderedPageBreak/>
              <w:t>(c)</w:t>
            </w:r>
            <w:r>
              <w:rPr>
                <w:color w:val="000000"/>
              </w:rPr>
              <w:tab/>
              <w:t>Capacity to provide ECRS, irrespective of whether it is capable of providing any other Ancillary Service;</w:t>
            </w:r>
          </w:p>
          <w:p w14:paraId="52EEB924" w14:textId="77777777" w:rsidR="00460A86" w:rsidRDefault="00460A86" w:rsidP="00460A86">
            <w:pPr>
              <w:spacing w:after="240"/>
              <w:ind w:left="1440" w:hanging="720"/>
              <w:rPr>
                <w:color w:val="000000"/>
              </w:rPr>
            </w:pPr>
            <w:r>
              <w:rPr>
                <w:color w:val="000000"/>
              </w:rPr>
              <w:t>(d)</w:t>
            </w:r>
            <w:r>
              <w:rPr>
                <w:color w:val="000000"/>
              </w:rPr>
              <w:tab/>
              <w:t>Capacity to provide Non-Spin, irrespective of whether it is capable of providing any other Ancillary Service;</w:t>
            </w:r>
          </w:p>
          <w:p w14:paraId="2B418AD9" w14:textId="77777777" w:rsidR="00460A86" w:rsidRDefault="00460A86" w:rsidP="00460A86">
            <w:pPr>
              <w:spacing w:after="240"/>
              <w:ind w:left="1440" w:hanging="720"/>
              <w:rPr>
                <w:color w:val="000000"/>
              </w:rPr>
            </w:pPr>
            <w:r>
              <w:rPr>
                <w:color w:val="000000"/>
              </w:rPr>
              <w:t>(e)</w:t>
            </w:r>
            <w:r>
              <w:rPr>
                <w:color w:val="000000"/>
              </w:rPr>
              <w:tab/>
              <w:t>Capacity to provide Reg-Up, RRS, or both, irrespective of whether it is capable of providing ECRS or Non-Spin;</w:t>
            </w:r>
          </w:p>
          <w:p w14:paraId="0C786879" w14:textId="77777777" w:rsidR="00460A86" w:rsidRDefault="00460A86" w:rsidP="00460A86">
            <w:pPr>
              <w:spacing w:after="240"/>
              <w:ind w:left="1440" w:hanging="720"/>
              <w:rPr>
                <w:color w:val="000000"/>
              </w:rPr>
            </w:pPr>
            <w:r>
              <w:rPr>
                <w:color w:val="000000"/>
              </w:rPr>
              <w:t>(f)</w:t>
            </w:r>
            <w:r>
              <w:rPr>
                <w:color w:val="000000"/>
              </w:rPr>
              <w:tab/>
              <w:t>Capacity to provide Reg-Up, RRS, ECRS, or any combination, irrespective of whether it is capable of providing Non-Spin;</w:t>
            </w:r>
          </w:p>
          <w:p w14:paraId="024CA1EF" w14:textId="77777777" w:rsidR="00460A86" w:rsidRDefault="00460A86" w:rsidP="00460A86">
            <w:pPr>
              <w:spacing w:after="240"/>
              <w:ind w:left="1440" w:hanging="720"/>
              <w:rPr>
                <w:color w:val="000000"/>
              </w:rPr>
            </w:pPr>
            <w:r>
              <w:rPr>
                <w:color w:val="000000"/>
              </w:rPr>
              <w:t>(g)</w:t>
            </w:r>
            <w:r>
              <w:rPr>
                <w:color w:val="000000"/>
              </w:rPr>
              <w:tab/>
              <w:t>Capacity to provide Reg-Up, RRS, ECRS, Non-Spin, or any combination; and</w:t>
            </w:r>
          </w:p>
          <w:p w14:paraId="50ECF53C" w14:textId="77777777" w:rsidR="00460A86" w:rsidRDefault="00460A86" w:rsidP="00460A86">
            <w:pPr>
              <w:spacing w:after="240"/>
              <w:ind w:left="1440" w:hanging="720"/>
              <w:rPr>
                <w:iCs/>
              </w:rPr>
            </w:pPr>
            <w:r>
              <w:rPr>
                <w:color w:val="000000"/>
              </w:rPr>
              <w:t>(h)</w:t>
            </w:r>
            <w:r>
              <w:rPr>
                <w:color w:val="000000"/>
              </w:rPr>
              <w:tab/>
              <w:t>Capacity to provide Reg-Down</w:t>
            </w:r>
            <w:r>
              <w:rPr>
                <w:iCs/>
              </w:rPr>
              <w:t>.</w:t>
            </w:r>
          </w:p>
          <w:p w14:paraId="0F0073AE" w14:textId="28C1E3BD" w:rsidR="00460A86" w:rsidRPr="00460A86" w:rsidRDefault="00460A86" w:rsidP="00460A86">
            <w:pPr>
              <w:spacing w:after="240"/>
              <w:ind w:left="720" w:hanging="720"/>
              <w:rPr>
                <w:iCs/>
              </w:rPr>
            </w:pPr>
            <w:r>
              <w:rPr>
                <w:iCs/>
              </w:rPr>
              <w:t>(7)</w:t>
            </w:r>
            <w:r>
              <w:rPr>
                <w:iCs/>
              </w:rPr>
              <w:tab/>
              <w:t>Each week, ERCOT shall post on the ERCOT website the historical SCED-interval data described in paragraph (6) above.</w:t>
            </w:r>
          </w:p>
        </w:tc>
      </w:tr>
    </w:tbl>
    <w:p w14:paraId="27F2DE61" w14:textId="23B3E80E" w:rsidR="001F04FD" w:rsidRDefault="001F04FD" w:rsidP="001E2376">
      <w:pPr>
        <w:pStyle w:val="H3"/>
        <w:spacing w:before="480"/>
        <w:ind w:left="0" w:firstLine="0"/>
      </w:pPr>
      <w:bookmarkStart w:id="114" w:name="_Toc204411539"/>
      <w:r>
        <w:lastRenderedPageBreak/>
        <w:t>6.3.3</w:t>
      </w:r>
      <w:r>
        <w:tab/>
        <w:t>Real-Time Timeline Deviations</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2B4A08C7" w14:textId="77777777" w:rsidR="001F04FD" w:rsidRDefault="001F04FD" w:rsidP="001F04FD">
      <w:pPr>
        <w:pStyle w:val="List"/>
        <w:spacing w:before="240"/>
        <w:ind w:left="720"/>
        <w:rPr>
          <w:iCs/>
        </w:rPr>
      </w:pPr>
      <w:r>
        <w:t>(1)</w:t>
      </w:r>
      <w:r>
        <w:tab/>
        <w:t xml:space="preserve">ERCOT may temporarily deviate from the Real-Time deadlines but only to the extent necessary to ensure the secure operation of the ERCOT System.  Temporary measures may include varying the timing requirements as specified below or omitting one or more procedures in the Real-Time Sequence.  </w:t>
      </w:r>
      <w:r>
        <w:rPr>
          <w:iCs/>
        </w:rPr>
        <w:t>In such an event, ERCOT shall immediately issue a Watch and notify all QSEs of the following:</w:t>
      </w:r>
    </w:p>
    <w:p w14:paraId="523F9674" w14:textId="77777777" w:rsidR="001F04FD" w:rsidRDefault="001F04FD" w:rsidP="001F04FD">
      <w:pPr>
        <w:pStyle w:val="List"/>
      </w:pPr>
      <w:r>
        <w:t>(a)</w:t>
      </w:r>
      <w:r>
        <w:tab/>
        <w:t>Details of the affected timing requirements and procedures;</w:t>
      </w:r>
    </w:p>
    <w:p w14:paraId="6C7BCA03" w14:textId="77777777" w:rsidR="001F04FD" w:rsidRDefault="001F04FD" w:rsidP="001F04FD">
      <w:pPr>
        <w:pStyle w:val="List"/>
      </w:pPr>
      <w:r>
        <w:t>(b)</w:t>
      </w:r>
      <w:r>
        <w:tab/>
        <w:t>Details of any interim requirements;</w:t>
      </w:r>
    </w:p>
    <w:p w14:paraId="6401C82E" w14:textId="77777777" w:rsidR="001F04FD" w:rsidRDefault="001F04FD" w:rsidP="001F04FD">
      <w:pPr>
        <w:pStyle w:val="List"/>
      </w:pPr>
      <w:r>
        <w:t>(c)</w:t>
      </w:r>
      <w:r>
        <w:tab/>
        <w:t>An estimate of the period for which the interim requirements apply; and</w:t>
      </w:r>
    </w:p>
    <w:p w14:paraId="3369668D" w14:textId="77777777" w:rsidR="001F04FD" w:rsidRDefault="001F04FD" w:rsidP="001F04FD">
      <w:pPr>
        <w:pStyle w:val="List"/>
      </w:pPr>
      <w:r>
        <w:t>(d)</w:t>
      </w:r>
      <w:r>
        <w:tab/>
        <w:t>Reasons for the temporary variation.</w:t>
      </w:r>
    </w:p>
    <w:p w14:paraId="6D9000E4" w14:textId="77777777" w:rsidR="001F04FD" w:rsidRDefault="001F04FD" w:rsidP="001F04FD">
      <w:pPr>
        <w:pStyle w:val="H3"/>
        <w:spacing w:before="480"/>
      </w:pPr>
      <w:bookmarkStart w:id="115" w:name="_Toc397504912"/>
      <w:bookmarkStart w:id="116" w:name="_Toc402357040"/>
      <w:bookmarkStart w:id="117" w:name="_Toc422486420"/>
      <w:bookmarkStart w:id="118" w:name="_Toc433093272"/>
      <w:bookmarkStart w:id="119" w:name="_Toc433093430"/>
      <w:bookmarkStart w:id="120" w:name="_Toc440874660"/>
      <w:bookmarkStart w:id="121" w:name="_Toc448142215"/>
      <w:bookmarkStart w:id="122" w:name="_Toc448142372"/>
      <w:bookmarkStart w:id="123" w:name="_Toc458770208"/>
      <w:bookmarkStart w:id="124" w:name="_Toc459294176"/>
      <w:bookmarkStart w:id="125" w:name="_Toc463262669"/>
      <w:bookmarkStart w:id="126" w:name="_Toc468286741"/>
      <w:bookmarkStart w:id="127" w:name="_Toc481502787"/>
      <w:bookmarkStart w:id="128" w:name="_Toc496079957"/>
      <w:bookmarkStart w:id="129" w:name="_Toc204411540"/>
      <w:r>
        <w:t>6.3.4</w:t>
      </w:r>
      <w:r>
        <w:tab/>
        <w:t>ERCOT Notification of Validation Rules for Real-Time</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487F2A95" w14:textId="77777777" w:rsidR="001F04FD" w:rsidRDefault="001F04FD" w:rsidP="001F04FD">
      <w:pPr>
        <w:pStyle w:val="List"/>
        <w:spacing w:before="240"/>
        <w:ind w:left="720"/>
      </w:pPr>
      <w:r>
        <w:t>(1)</w:t>
      </w:r>
      <w:r>
        <w:tab/>
        <w:t>ERCOT shall provide each QSE with the information necessary to pre-validate its data for Real-Time operations, including publishing validation rules for offers, bids, and trades.</w:t>
      </w:r>
    </w:p>
    <w:p w14:paraId="5191646E" w14:textId="77777777" w:rsidR="001F04FD" w:rsidRDefault="001F04FD" w:rsidP="001F04FD">
      <w:pPr>
        <w:pStyle w:val="H2"/>
        <w:spacing w:before="480"/>
        <w:ind w:left="907" w:hanging="907"/>
      </w:pPr>
      <w:bookmarkStart w:id="130" w:name="_Toc73215972"/>
      <w:bookmarkStart w:id="131" w:name="_Toc397504913"/>
      <w:bookmarkStart w:id="132" w:name="_Toc402357041"/>
      <w:bookmarkStart w:id="133" w:name="_Toc422486421"/>
      <w:bookmarkStart w:id="134" w:name="_Toc433093273"/>
      <w:bookmarkStart w:id="135" w:name="_Toc433093431"/>
      <w:bookmarkStart w:id="136" w:name="_Toc440874661"/>
      <w:bookmarkStart w:id="137" w:name="_Toc448142216"/>
      <w:bookmarkStart w:id="138" w:name="_Toc448142373"/>
      <w:bookmarkStart w:id="139" w:name="_Toc458770209"/>
      <w:bookmarkStart w:id="140" w:name="_Toc459294177"/>
      <w:bookmarkStart w:id="141" w:name="_Toc463262670"/>
      <w:bookmarkStart w:id="142" w:name="_Toc468286742"/>
      <w:bookmarkStart w:id="143" w:name="_Toc481502788"/>
      <w:bookmarkStart w:id="144" w:name="_Toc496079958"/>
      <w:bookmarkStart w:id="145" w:name="_Toc204411541"/>
      <w:r>
        <w:lastRenderedPageBreak/>
        <w:t>6.4</w:t>
      </w:r>
      <w:r>
        <w:tab/>
        <w:t>Adjustment Period</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51C6A2AE" w14:textId="77777777" w:rsidR="001F04FD" w:rsidRDefault="001F04FD" w:rsidP="001F04FD">
      <w:pPr>
        <w:pStyle w:val="H3"/>
        <w:spacing w:before="480"/>
      </w:pPr>
      <w:bookmarkStart w:id="146" w:name="_Toc397504914"/>
      <w:bookmarkStart w:id="147" w:name="_Toc402357042"/>
      <w:bookmarkStart w:id="148" w:name="_Toc422486422"/>
      <w:bookmarkStart w:id="149" w:name="_Toc433093274"/>
      <w:bookmarkStart w:id="150" w:name="_Toc433093432"/>
      <w:bookmarkStart w:id="151" w:name="_Toc440874662"/>
      <w:bookmarkStart w:id="152" w:name="_Toc448142217"/>
      <w:bookmarkStart w:id="153" w:name="_Toc448142374"/>
      <w:bookmarkStart w:id="154" w:name="_Toc458770210"/>
      <w:bookmarkStart w:id="155" w:name="_Toc459294178"/>
      <w:bookmarkStart w:id="156" w:name="_Toc463262671"/>
      <w:bookmarkStart w:id="157" w:name="_Toc468286743"/>
      <w:bookmarkStart w:id="158" w:name="_Toc481502789"/>
      <w:bookmarkStart w:id="159" w:name="_Toc496079959"/>
      <w:bookmarkStart w:id="160" w:name="_Toc73215975"/>
      <w:bookmarkStart w:id="161" w:name="_Toc204411542"/>
      <w:r>
        <w:t>6.4.1</w:t>
      </w:r>
      <w:r>
        <w:tab/>
        <w:t>Capacity Trade, Energy Trade, Self-Schedule, and Ancillary Service Trades</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1"/>
      <w:r>
        <w:t xml:space="preserve"> </w:t>
      </w:r>
      <w:bookmarkEnd w:id="160"/>
    </w:p>
    <w:p w14:paraId="4C5BDB6E" w14:textId="7B31A74A" w:rsidR="001F04FD" w:rsidRDefault="001F04FD" w:rsidP="001F04FD">
      <w:pPr>
        <w:pStyle w:val="BodyTextNumbered"/>
      </w:pPr>
      <w:r>
        <w:t>(1)</w:t>
      </w:r>
      <w:r>
        <w:tab/>
        <w:t xml:space="preserve">A detailed explanation of Capacity Trade criteria and validations performed by ERCOT is provided in Section 4.4.1, Capacity Trades. </w:t>
      </w:r>
      <w:r w:rsidR="000E6D97">
        <w:t xml:space="preserve"> </w:t>
      </w:r>
      <w:r>
        <w:t xml:space="preserve">A </w:t>
      </w:r>
      <w:r w:rsidR="00C0502C">
        <w:t>Qualified Scheduling Entity (</w:t>
      </w:r>
      <w:r>
        <w:t>QSE</w:t>
      </w:r>
      <w:r w:rsidR="00C0502C">
        <w:t>)</w:t>
      </w:r>
      <w:r>
        <w:t xml:space="preserve"> may submit and update Capacity Trades during the Adjustment Period.</w:t>
      </w:r>
    </w:p>
    <w:p w14:paraId="7AFDEC37" w14:textId="77777777" w:rsidR="001F04FD" w:rsidRDefault="001F04FD" w:rsidP="001F04FD">
      <w:pPr>
        <w:pStyle w:val="BodyTextNumbered"/>
      </w:pPr>
      <w:r>
        <w:t>(2)</w:t>
      </w:r>
      <w:r>
        <w:tab/>
        <w:t>A detailed explanation of Energy Trade criteria and validations performed by ERCOT is provided in Section 4.4.2, Energy Trades.  A QSE may submit and update Energy Trades during the Adjustment Period and through 1430 on the day following the Operating Day for Settlement.</w:t>
      </w:r>
    </w:p>
    <w:p w14:paraId="7A5BF157" w14:textId="77777777" w:rsidR="001F04FD" w:rsidRDefault="001F04FD" w:rsidP="001F04FD">
      <w:pPr>
        <w:pStyle w:val="BodyTextNumbered"/>
      </w:pPr>
      <w:r>
        <w:t>(3)</w:t>
      </w:r>
      <w:r>
        <w:tab/>
        <w:t xml:space="preserve">A detailed explanation of Self-Schedule criteria and validations performed by ERCOT is provided in Section 4.4.3, Self-Schedules.  A QSE may submit and update Self-Schedules during the Adjustment Period. </w:t>
      </w:r>
    </w:p>
    <w:p w14:paraId="5E7EBF46" w14:textId="696A7F80" w:rsidR="00070608" w:rsidRDefault="001F04FD" w:rsidP="001F04FD">
      <w:pPr>
        <w:pStyle w:val="BodyTextNumbered"/>
      </w:pPr>
      <w:r>
        <w:t>(4)</w:t>
      </w:r>
      <w:r>
        <w:tab/>
        <w:t xml:space="preserve">A detailed explanation of Ancillary Service Trade criteria and validations performed by ERCOT is provided in Section 4.4.7.3, Ancillary Service Trades. </w:t>
      </w:r>
      <w:r w:rsidR="00DE5692">
        <w:t xml:space="preserve"> </w:t>
      </w:r>
      <w:r>
        <w:t>A QSE may submit and update Ancillary Service Trades during the Adjustment Period</w:t>
      </w:r>
      <w:r w:rsidR="00745851" w:rsidRPr="00745851">
        <w:t xml:space="preserve"> </w:t>
      </w:r>
      <w:r w:rsidR="00745851" w:rsidRPr="00DD1A20">
        <w:t>and through the Operating Period for Settlement</w:t>
      </w:r>
      <w: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25924" w14:paraId="53544470" w14:textId="77777777" w:rsidTr="00AE5CE8">
        <w:trPr>
          <w:trHeight w:val="206"/>
        </w:trPr>
        <w:tc>
          <w:tcPr>
            <w:tcW w:w="9350" w:type="dxa"/>
            <w:shd w:val="pct12" w:color="auto" w:fill="auto"/>
          </w:tcPr>
          <w:p w14:paraId="06EE9400" w14:textId="4E2AAADF" w:rsidR="00925924" w:rsidRDefault="00925924" w:rsidP="00AE5CE8">
            <w:pPr>
              <w:pStyle w:val="Instructions"/>
              <w:spacing w:before="120"/>
            </w:pPr>
            <w:bookmarkStart w:id="162" w:name="_Toc73215976"/>
            <w:bookmarkStart w:id="163" w:name="_Toc397504915"/>
            <w:bookmarkStart w:id="164" w:name="_Toc402357043"/>
            <w:bookmarkStart w:id="165" w:name="_Toc422486423"/>
            <w:bookmarkStart w:id="166" w:name="_Toc433093275"/>
            <w:bookmarkStart w:id="167" w:name="_Toc433093433"/>
            <w:bookmarkStart w:id="168" w:name="_Toc440874663"/>
            <w:bookmarkStart w:id="169" w:name="_Toc448142218"/>
            <w:bookmarkStart w:id="170" w:name="_Toc448142375"/>
            <w:bookmarkStart w:id="171" w:name="_Toc458770211"/>
            <w:bookmarkStart w:id="172" w:name="_Toc459294179"/>
            <w:bookmarkStart w:id="173" w:name="_Toc463262672"/>
            <w:bookmarkStart w:id="174" w:name="_Toc468286744"/>
            <w:bookmarkStart w:id="175" w:name="_Toc481502790"/>
            <w:bookmarkStart w:id="176" w:name="_Toc496079960"/>
            <w:bookmarkStart w:id="177" w:name="_Toc119310185"/>
            <w:r>
              <w:t>[NPRR1245:  Replace paragraph (4) above with the following upon system implementation of the Real-Time Co-Optimization (RTC) project:]</w:t>
            </w:r>
          </w:p>
          <w:p w14:paraId="09B08112" w14:textId="2770B4E0" w:rsidR="00925924" w:rsidRPr="00925924" w:rsidRDefault="00925924" w:rsidP="00925924">
            <w:pPr>
              <w:spacing w:after="240"/>
              <w:ind w:left="720" w:hanging="720"/>
              <w:rPr>
                <w:iCs/>
              </w:rPr>
            </w:pPr>
            <w:r w:rsidRPr="00D476E3">
              <w:rPr>
                <w:iCs/>
              </w:rPr>
              <w:t>(4)</w:t>
            </w:r>
            <w:r w:rsidRPr="00D476E3">
              <w:rPr>
                <w:iCs/>
              </w:rPr>
              <w:tab/>
              <w:t>A detailed explanation of Ancillary Service Trade criteria and validations performed by ERCOT is provided in Section 4.4.7.3, Ancillary Service Trades.  A QSE may submit and update Ancillary Service Trades during the Adjustment Period.</w:t>
            </w:r>
          </w:p>
        </w:tc>
      </w:tr>
    </w:tbl>
    <w:p w14:paraId="0F5FBFA0" w14:textId="77777777" w:rsidR="001F04FD" w:rsidRDefault="001F04FD" w:rsidP="00952F33">
      <w:pPr>
        <w:pStyle w:val="H3"/>
        <w:spacing w:before="480"/>
      </w:pPr>
      <w:bookmarkStart w:id="178" w:name="_Toc204411543"/>
      <w:r>
        <w:t>6.4.2</w:t>
      </w:r>
      <w:r>
        <w:tab/>
        <w:t>Output Schedules</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6747285A" w14:textId="77777777" w:rsidR="001F04FD" w:rsidRDefault="001F04FD" w:rsidP="001F04FD">
      <w:pPr>
        <w:pStyle w:val="BodyTextNumbered"/>
      </w:pPr>
      <w:r>
        <w:t>(1)</w:t>
      </w:r>
      <w:r>
        <w:tab/>
        <w:t>A QSE that represents a Resource, other than an RMR Unit, must submit and maintain either an Energy Offer Curve or an Output Schedule for the Resource for all times when the Resource is On-Line.</w:t>
      </w:r>
    </w:p>
    <w:p w14:paraId="2FE3EC9F" w14:textId="77777777" w:rsidR="001F04FD" w:rsidRDefault="001F04FD" w:rsidP="001F04FD">
      <w:pPr>
        <w:pStyle w:val="BodyTextNumbered"/>
      </w:pPr>
      <w:r>
        <w:t>(2)</w:t>
      </w:r>
      <w:r>
        <w:tab/>
        <w:t>The entry of an Energy Offer Curve for a Resource automatically nullifies the Output Schedule for that Resource and prohibits entry of future Output Schedules for that Resource for the time during which the Energy Offer Curve is in effect.</w:t>
      </w:r>
    </w:p>
    <w:p w14:paraId="55F96721" w14:textId="5BA36317" w:rsidR="001F04FD" w:rsidRDefault="001F04FD" w:rsidP="001F04FD">
      <w:pPr>
        <w:pStyle w:val="BodyTextNumbered"/>
      </w:pPr>
      <w:r>
        <w:t>(3)</w:t>
      </w:r>
      <w:r>
        <w:tab/>
        <w:t xml:space="preserve">For a Resource for which an Energy Offer Curve has not been submitted, the </w:t>
      </w:r>
      <w:r w:rsidR="009F62BA">
        <w:t>Security-Constrained Economic Dispatch (</w:t>
      </w:r>
      <w:r>
        <w:t>SCED</w:t>
      </w:r>
      <w:r w:rsidR="009F62BA">
        <w:t>)</w:t>
      </w:r>
      <w:r>
        <w:t xml:space="preserve"> process uses the Output Schedule submitted for that Resource as desired Dispatch levels for the 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32776" w14:paraId="56E47059" w14:textId="77777777" w:rsidTr="009E7633">
        <w:trPr>
          <w:trHeight w:val="206"/>
        </w:trPr>
        <w:tc>
          <w:tcPr>
            <w:tcW w:w="9576" w:type="dxa"/>
            <w:shd w:val="pct12" w:color="auto" w:fill="auto"/>
          </w:tcPr>
          <w:p w14:paraId="0318691B" w14:textId="4EB61C4B" w:rsidR="00632776" w:rsidRDefault="00632776" w:rsidP="009E7633">
            <w:pPr>
              <w:pStyle w:val="Instructions"/>
              <w:spacing w:before="120"/>
            </w:pPr>
            <w:bookmarkStart w:id="179" w:name="_Toc93908289"/>
            <w:bookmarkStart w:id="180" w:name="_Toc397504916"/>
            <w:bookmarkStart w:id="181" w:name="_Toc402357044"/>
            <w:bookmarkStart w:id="182" w:name="_Toc422486424"/>
            <w:bookmarkStart w:id="183" w:name="_Toc433093276"/>
            <w:bookmarkStart w:id="184" w:name="_Toc433093434"/>
            <w:bookmarkStart w:id="185" w:name="_Toc440874664"/>
            <w:bookmarkStart w:id="186" w:name="_Toc448142219"/>
            <w:bookmarkStart w:id="187" w:name="_Toc448142376"/>
            <w:bookmarkStart w:id="188" w:name="_Toc458770212"/>
            <w:bookmarkStart w:id="189" w:name="_Toc459294180"/>
            <w:bookmarkStart w:id="190" w:name="_Toc463262673"/>
            <w:bookmarkStart w:id="191" w:name="_Toc468286745"/>
            <w:bookmarkStart w:id="192" w:name="_Toc481502791"/>
            <w:bookmarkStart w:id="193" w:name="_Toc496079961"/>
            <w:r>
              <w:lastRenderedPageBreak/>
              <w:t>[NPRR1014:  Replace Section 6.4.2 above with the following upon system implementation:]</w:t>
            </w:r>
          </w:p>
          <w:p w14:paraId="0809A2B7" w14:textId="77777777" w:rsidR="00632776" w:rsidRPr="00A552C3" w:rsidRDefault="00632776" w:rsidP="00632776">
            <w:pPr>
              <w:keepNext/>
              <w:tabs>
                <w:tab w:val="left" w:pos="1080"/>
              </w:tabs>
              <w:spacing w:before="240" w:after="240"/>
              <w:ind w:left="1080" w:hanging="1080"/>
              <w:outlineLvl w:val="2"/>
              <w:rPr>
                <w:b/>
                <w:bCs/>
                <w:i/>
              </w:rPr>
            </w:pPr>
            <w:bookmarkStart w:id="194" w:name="_Toc60040554"/>
            <w:bookmarkStart w:id="195" w:name="_Toc65151614"/>
            <w:bookmarkStart w:id="196" w:name="_Toc80174640"/>
            <w:bookmarkStart w:id="197" w:name="_Toc108712398"/>
            <w:bookmarkStart w:id="198" w:name="_Toc112417518"/>
            <w:bookmarkStart w:id="199" w:name="_Toc125966120"/>
            <w:bookmarkStart w:id="200" w:name="_Toc135992217"/>
            <w:bookmarkStart w:id="201" w:name="_Toc170303414"/>
            <w:bookmarkStart w:id="202" w:name="_Toc175157319"/>
            <w:bookmarkStart w:id="203" w:name="_Toc204411544"/>
            <w:r w:rsidRPr="00A552C3">
              <w:rPr>
                <w:b/>
                <w:bCs/>
                <w:i/>
              </w:rPr>
              <w:t>6.4.2</w:t>
            </w:r>
            <w:r w:rsidRPr="00A552C3">
              <w:rPr>
                <w:b/>
                <w:bCs/>
                <w:i/>
              </w:rPr>
              <w:tab/>
              <w:t>Output Schedules</w:t>
            </w:r>
            <w:bookmarkEnd w:id="194"/>
            <w:bookmarkEnd w:id="195"/>
            <w:bookmarkEnd w:id="196"/>
            <w:bookmarkEnd w:id="197"/>
            <w:bookmarkEnd w:id="198"/>
            <w:bookmarkEnd w:id="199"/>
            <w:bookmarkEnd w:id="200"/>
            <w:bookmarkEnd w:id="201"/>
            <w:bookmarkEnd w:id="202"/>
            <w:bookmarkEnd w:id="203"/>
          </w:p>
          <w:p w14:paraId="74B3F190" w14:textId="77777777" w:rsidR="00632776" w:rsidRPr="00A552C3" w:rsidRDefault="00632776" w:rsidP="00632776">
            <w:pPr>
              <w:spacing w:after="240"/>
              <w:ind w:left="720" w:hanging="720"/>
            </w:pPr>
            <w:r w:rsidRPr="00A552C3">
              <w:t>(1)</w:t>
            </w:r>
            <w:r w:rsidRPr="00A552C3">
              <w:tab/>
              <w:t>A QSE that represents a Resource, other than an RMR Unit, must submit and maintain an Energy Offer Curve, an Energy Bid/Offer Curve, or an Output Schedule for the Resource for all times when the Resource is On-Line.</w:t>
            </w:r>
          </w:p>
          <w:p w14:paraId="36470C29" w14:textId="77777777" w:rsidR="00632776" w:rsidRPr="00A552C3" w:rsidRDefault="00632776" w:rsidP="00632776">
            <w:pPr>
              <w:spacing w:after="240"/>
              <w:ind w:left="720" w:hanging="720"/>
            </w:pPr>
            <w:r w:rsidRPr="00A552C3">
              <w:t>(2)</w:t>
            </w:r>
            <w:r w:rsidRPr="00A552C3">
              <w:tab/>
              <w:t>The entry of an Energy Offer Curve or Energy Bid/Offer Curve for a Resource automatically nullifies the Output Schedule for that Resource and prohibits entry of future Output Schedules for that Resource for the time during which the Energy Offer Curve or Energy Bid/Offer Curve is in effect.</w:t>
            </w:r>
          </w:p>
          <w:p w14:paraId="500E7D29" w14:textId="488A2E6B" w:rsidR="00632776" w:rsidRPr="00A4149C" w:rsidRDefault="00632776" w:rsidP="00632776">
            <w:pPr>
              <w:spacing w:after="240"/>
              <w:ind w:left="720" w:hanging="720"/>
            </w:pPr>
            <w:r w:rsidRPr="00A552C3">
              <w:t>(3)</w:t>
            </w:r>
            <w:r w:rsidRPr="00A552C3">
              <w:tab/>
              <w:t>For a Resource for which an Energy Offer Curve or Energy Bid/Offer Curve has not been submitted, the Security-Constrained Economic Dispatch (SCED) process uses the Output Schedule submitted for that Resource as desired Dispatch levels for the Resource.</w:t>
            </w:r>
          </w:p>
        </w:tc>
      </w:tr>
    </w:tbl>
    <w:p w14:paraId="5BF62EE2" w14:textId="77777777" w:rsidR="001F04FD" w:rsidRDefault="001F04FD" w:rsidP="001F04FD">
      <w:pPr>
        <w:pStyle w:val="H4"/>
        <w:spacing w:before="480"/>
        <w:ind w:left="1267" w:hanging="1267"/>
      </w:pPr>
      <w:bookmarkStart w:id="204" w:name="_Toc204411545"/>
      <w:r>
        <w:t>6.4.2.1</w:t>
      </w:r>
      <w:r>
        <w:tab/>
        <w:t>Output Schedules for Resources Other than Dynamically Scheduled Resources</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204"/>
    </w:p>
    <w:p w14:paraId="0E718266" w14:textId="77777777" w:rsidR="001F04FD" w:rsidRDefault="001F04FD" w:rsidP="001F04FD">
      <w:pPr>
        <w:pStyle w:val="BodyTextNumbered"/>
      </w:pPr>
      <w:r>
        <w:t>(1)</w:t>
      </w:r>
      <w:r>
        <w:tab/>
        <w:t xml:space="preserve">An Output Schedule for a non-DSR Resource may be submitted and updated only during the Adjustment Period.  An Output Schedule for a non-DSR Resource may be submitted and updated for each five-minute interval for each Operating Hour.  </w:t>
      </w:r>
    </w:p>
    <w:p w14:paraId="33A444EB" w14:textId="4FF1B9DA" w:rsidR="001F04FD" w:rsidRDefault="001F04FD" w:rsidP="00E8646B">
      <w:pPr>
        <w:pStyle w:val="BodyTextNumbered"/>
      </w:pPr>
      <w:r>
        <w:t>(2)</w:t>
      </w:r>
      <w:r>
        <w:tab/>
        <w:t>For a Resource that is not a DSR and that is On-Line, the following provisions apply:</w:t>
      </w:r>
    </w:p>
    <w:p w14:paraId="3FF4B83F" w14:textId="77777777" w:rsidR="001F04FD" w:rsidRDefault="001F04FD" w:rsidP="001F04FD">
      <w:pPr>
        <w:pStyle w:val="List"/>
      </w:pPr>
      <w:r>
        <w:t>(a)</w:t>
      </w:r>
      <w:r>
        <w:tab/>
        <w:t>The Output Schedule for a Qualifying Facility (QF) not submitting an Energy Offer Curve is considered to be equal to the telemetered output of the QF at the time that the SCED runs;</w:t>
      </w:r>
    </w:p>
    <w:p w14:paraId="2A4D30AA" w14:textId="77777777" w:rsidR="001F04FD" w:rsidRDefault="001F04FD" w:rsidP="001F04FD">
      <w:pPr>
        <w:pStyle w:val="List"/>
      </w:pPr>
      <w:r>
        <w:t>(b)</w:t>
      </w:r>
      <w:r>
        <w:tab/>
        <w:t>The Output Schedule for Intermittent Renewable Resources (IRR) not submitting Energy Offer Curves is considered to be equal to the telemetered output of the Resource at the time that the SCED runs; and</w:t>
      </w:r>
    </w:p>
    <w:p w14:paraId="6E50B32F" w14:textId="77777777" w:rsidR="001F04FD" w:rsidRDefault="001F04FD" w:rsidP="001F04FD">
      <w:pPr>
        <w:pStyle w:val="List"/>
      </w:pPr>
      <w:r>
        <w:t>(c)</w:t>
      </w:r>
      <w:r>
        <w:tab/>
        <w:t>ERCOT shall create proxy Energy Offer Curves for the Resource under paragraph (4)(a) of Section 6.5.7.3, Security Constrained Economic Dispatch.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1FC1D20E" w14:textId="77777777" w:rsidTr="005C5A9B">
        <w:trPr>
          <w:trHeight w:val="206"/>
        </w:trPr>
        <w:tc>
          <w:tcPr>
            <w:tcW w:w="9576" w:type="dxa"/>
            <w:shd w:val="pct12" w:color="auto" w:fill="auto"/>
          </w:tcPr>
          <w:p w14:paraId="57FB5615" w14:textId="142F5E69" w:rsidR="00E8646B" w:rsidRDefault="00E8646B" w:rsidP="005C5A9B">
            <w:pPr>
              <w:pStyle w:val="Instructions"/>
              <w:spacing w:before="120"/>
            </w:pPr>
            <w:bookmarkStart w:id="205" w:name="_Toc93908290"/>
            <w:bookmarkStart w:id="206" w:name="_Toc397504917"/>
            <w:bookmarkStart w:id="207" w:name="_Toc402357045"/>
            <w:bookmarkStart w:id="208" w:name="_Toc422486425"/>
            <w:bookmarkStart w:id="209" w:name="_Toc433093277"/>
            <w:bookmarkStart w:id="210" w:name="_Toc433093435"/>
            <w:bookmarkStart w:id="211" w:name="_Toc440874665"/>
            <w:bookmarkStart w:id="212" w:name="_Toc448142220"/>
            <w:bookmarkStart w:id="213" w:name="_Toc448142377"/>
            <w:bookmarkStart w:id="214" w:name="_Toc458770213"/>
            <w:bookmarkStart w:id="215" w:name="_Toc459294181"/>
            <w:bookmarkStart w:id="216" w:name="_Toc463262674"/>
            <w:bookmarkStart w:id="217" w:name="_Toc468286746"/>
            <w:bookmarkStart w:id="218" w:name="_Toc481502792"/>
            <w:bookmarkStart w:id="219" w:name="_Toc496079962"/>
            <w:r>
              <w:t>[NPRR1000</w:t>
            </w:r>
            <w:r w:rsidR="00FE6E3D">
              <w:t xml:space="preserve"> and NPRR1014</w:t>
            </w:r>
            <w:r>
              <w:t xml:space="preserve">:  Replace </w:t>
            </w:r>
            <w:r w:rsidR="00FE6E3D">
              <w:t xml:space="preserve">applicable portions of </w:t>
            </w:r>
            <w:r>
              <w:t>Section 6.4.2.1 above with the following upon system implementation:]</w:t>
            </w:r>
          </w:p>
          <w:p w14:paraId="6EA2F937" w14:textId="77777777" w:rsidR="00E8646B" w:rsidRPr="0003653E" w:rsidRDefault="00E8646B" w:rsidP="00E8646B">
            <w:pPr>
              <w:keepNext/>
              <w:widowControl w:val="0"/>
              <w:tabs>
                <w:tab w:val="left" w:pos="1260"/>
              </w:tabs>
              <w:spacing w:after="240"/>
              <w:ind w:left="1267" w:hanging="1267"/>
              <w:outlineLvl w:val="3"/>
              <w:rPr>
                <w:b/>
                <w:bCs/>
                <w:snapToGrid w:val="0"/>
              </w:rPr>
            </w:pPr>
            <w:bookmarkStart w:id="220" w:name="_Toc60040556"/>
            <w:bookmarkStart w:id="221" w:name="_Toc65151616"/>
            <w:bookmarkStart w:id="222" w:name="_Toc80174642"/>
            <w:bookmarkStart w:id="223" w:name="_Toc108712400"/>
            <w:bookmarkStart w:id="224" w:name="_Toc112417520"/>
            <w:bookmarkStart w:id="225" w:name="_Toc119310188"/>
            <w:bookmarkStart w:id="226" w:name="_Toc125966122"/>
            <w:bookmarkStart w:id="227" w:name="_Toc135992219"/>
            <w:bookmarkStart w:id="228" w:name="_Toc170303416"/>
            <w:bookmarkStart w:id="229" w:name="_Toc175157321"/>
            <w:bookmarkStart w:id="230" w:name="_Toc204411546"/>
            <w:r w:rsidRPr="0003653E">
              <w:rPr>
                <w:b/>
                <w:bCs/>
                <w:snapToGrid w:val="0"/>
              </w:rPr>
              <w:lastRenderedPageBreak/>
              <w:t>6.4.2.1</w:t>
            </w:r>
            <w:r w:rsidRPr="0003653E">
              <w:rPr>
                <w:b/>
                <w:bCs/>
                <w:snapToGrid w:val="0"/>
              </w:rPr>
              <w:tab/>
              <w:t>Output Schedules for Resources</w:t>
            </w:r>
            <w:bookmarkEnd w:id="220"/>
            <w:bookmarkEnd w:id="221"/>
            <w:bookmarkEnd w:id="222"/>
            <w:bookmarkEnd w:id="223"/>
            <w:bookmarkEnd w:id="224"/>
            <w:bookmarkEnd w:id="225"/>
            <w:bookmarkEnd w:id="226"/>
            <w:bookmarkEnd w:id="227"/>
            <w:bookmarkEnd w:id="228"/>
            <w:bookmarkEnd w:id="229"/>
            <w:bookmarkEnd w:id="230"/>
          </w:p>
          <w:p w14:paraId="7D3FAACA" w14:textId="77777777" w:rsidR="00E8646B" w:rsidRPr="0003653E" w:rsidRDefault="00E8646B" w:rsidP="00E8646B">
            <w:pPr>
              <w:spacing w:after="240"/>
              <w:ind w:left="720" w:hanging="720"/>
            </w:pPr>
            <w:r w:rsidRPr="0003653E">
              <w:t>(1)</w:t>
            </w:r>
            <w:r w:rsidRPr="0003653E">
              <w:tab/>
              <w:t xml:space="preserve">An Output Schedule for a Resource may be submitted and updated only during the Adjustment Period.  An Output Schedule for a Resource may be submitted and updated for each five-minute interval for each Operating Hour.  </w:t>
            </w:r>
          </w:p>
          <w:p w14:paraId="0E87F24F" w14:textId="77777777" w:rsidR="00E8646B" w:rsidRPr="0003653E" w:rsidRDefault="00E8646B" w:rsidP="00E8646B">
            <w:pPr>
              <w:spacing w:after="240"/>
              <w:ind w:left="720" w:hanging="720"/>
            </w:pPr>
            <w:r w:rsidRPr="0003653E">
              <w:t>(2)</w:t>
            </w:r>
            <w:r w:rsidRPr="0003653E">
              <w:tab/>
              <w:t>For a Resource that is On-Line, the following provisions apply:</w:t>
            </w:r>
          </w:p>
          <w:p w14:paraId="10677BF9" w14:textId="77777777" w:rsidR="00E8646B" w:rsidRPr="0003653E" w:rsidRDefault="00E8646B" w:rsidP="00E8646B">
            <w:pPr>
              <w:spacing w:after="240"/>
              <w:ind w:left="1440" w:hanging="720"/>
            </w:pPr>
            <w:r w:rsidRPr="0003653E">
              <w:t>(a)</w:t>
            </w:r>
            <w:r w:rsidRPr="0003653E">
              <w:tab/>
              <w:t>The Output Schedule for a Qualifying Facility (QF) not submitting an Energy Offer Curve is considered to be equal to the telemetered output of the QF at the time that the SCED runs;</w:t>
            </w:r>
          </w:p>
          <w:p w14:paraId="6D0BA691" w14:textId="77777777" w:rsidR="00E8646B" w:rsidRPr="0003653E" w:rsidRDefault="00E8646B" w:rsidP="00E8646B">
            <w:pPr>
              <w:spacing w:after="240"/>
              <w:ind w:left="1440" w:hanging="720"/>
            </w:pPr>
            <w:r w:rsidRPr="0003653E">
              <w:t>(b)</w:t>
            </w:r>
            <w:r w:rsidRPr="0003653E">
              <w:tab/>
              <w:t>The Output Schedule for Intermittent Renewable Resources (IRR) not submitting Energy Offer Curves is considered to be equal to the telemetered output of the Resource at the time that the SCED runs; and</w:t>
            </w:r>
          </w:p>
          <w:p w14:paraId="60225272" w14:textId="4B5B2701" w:rsidR="00E8646B" w:rsidRPr="00A4149C" w:rsidRDefault="00E8646B" w:rsidP="00E8646B">
            <w:pPr>
              <w:spacing w:after="240"/>
              <w:ind w:left="1440" w:hanging="720"/>
            </w:pPr>
            <w:r w:rsidRPr="0003653E">
              <w:t>(c)</w:t>
            </w:r>
            <w:r w:rsidRPr="0003653E">
              <w:tab/>
              <w:t xml:space="preserve">ERCOT shall create proxy Energy Offer Curves </w:t>
            </w:r>
            <w:r w:rsidR="00FE6E3D" w:rsidRPr="00A552C3">
              <w:t>or proxy Energy Bid/Offer Curves</w:t>
            </w:r>
            <w:r w:rsidR="00FE6E3D" w:rsidRPr="0003653E">
              <w:t xml:space="preserve"> </w:t>
            </w:r>
            <w:r w:rsidRPr="0003653E">
              <w:t>for the Resource under paragraph (4)(a) of Section 6.5.7.3, Security Constrained Economic Dispatch.</w:t>
            </w:r>
          </w:p>
        </w:tc>
      </w:tr>
    </w:tbl>
    <w:p w14:paraId="28F71294" w14:textId="77777777" w:rsidR="001F04FD" w:rsidRDefault="001F04FD" w:rsidP="001F04FD">
      <w:pPr>
        <w:pStyle w:val="H4"/>
        <w:spacing w:before="480"/>
        <w:ind w:left="1267" w:hanging="1267"/>
      </w:pPr>
      <w:bookmarkStart w:id="231" w:name="_Toc204411547"/>
      <w:r>
        <w:lastRenderedPageBreak/>
        <w:t>6.4.2.2</w:t>
      </w:r>
      <w:r>
        <w:tab/>
        <w:t>Output Schedules for Dynamically Scheduled Resources</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31"/>
    </w:p>
    <w:p w14:paraId="29907F06" w14:textId="77777777" w:rsidR="001F04FD" w:rsidRDefault="001F04FD" w:rsidP="001F04FD">
      <w:pPr>
        <w:pStyle w:val="BodyTextNumbered"/>
      </w:pPr>
      <w:r>
        <w:t>(1)</w:t>
      </w:r>
      <w:r>
        <w:tab/>
        <w:t>A QSE representing a DSR may update the Output Schedule for a dispatch interval at any time before the SCED process for that interval.</w:t>
      </w:r>
    </w:p>
    <w:p w14:paraId="2765D90E" w14:textId="77777777" w:rsidR="001F04FD" w:rsidRDefault="001F04FD" w:rsidP="001F04FD">
      <w:pPr>
        <w:pStyle w:val="BodyTextNumbered"/>
      </w:pPr>
      <w:r>
        <w:t>(2)</w:t>
      </w:r>
      <w:r>
        <w:tab/>
        <w:t>For a DSR that is On-Line, the following provisions apply:</w:t>
      </w:r>
    </w:p>
    <w:p w14:paraId="0944B9B1" w14:textId="77777777" w:rsidR="001F04FD" w:rsidRDefault="001F04FD" w:rsidP="001F04FD">
      <w:pPr>
        <w:pStyle w:val="List"/>
      </w:pPr>
      <w:r>
        <w:t>(a)</w:t>
      </w:r>
      <w:r>
        <w:tab/>
        <w:t>For an On-Line DSR for which its QSE has not submitted an Incremental and Decremental Energy Offer Curve, ERCOT shall use the Output Schedule available at the SCED snapshot for the execution of the SCED and shall assume that the scheduled MW amount in the Output Schedule is the Base Point for the DSR for that SCED interval. ERCOT shall create proxy Energy Offer Curves for the DSR under paragraph (4)(a) of Section 6.5.7.3, Security Constrained Economic Dispatch.</w:t>
      </w:r>
    </w:p>
    <w:p w14:paraId="2C947958" w14:textId="77777777" w:rsidR="001F04FD" w:rsidRDefault="001F04FD" w:rsidP="001F04FD">
      <w:pPr>
        <w:pStyle w:val="List"/>
      </w:pPr>
      <w:r>
        <w:t>(b)</w:t>
      </w:r>
      <w:r>
        <w:tab/>
        <w:t>If the QSE representing a DSR submits an Incremental and Decremental Energy Offer Curve under Section 6.4.5, Incremental and Decremental Energy Offer Curves, then ERCOT shall use the Incremental and Decremental Energy Offer Curve to create proxy Energy Offer Curves for the DSR under paragraph (4)(b) of Section 6.5.7.3.</w:t>
      </w:r>
    </w:p>
    <w:p w14:paraId="56FFE7BB" w14:textId="77777777" w:rsidR="001F04FD" w:rsidRDefault="001F04FD" w:rsidP="001F04FD">
      <w:pPr>
        <w:pStyle w:val="List"/>
      </w:pPr>
      <w:r>
        <w:t>(c)</w:t>
      </w:r>
      <w:r>
        <w:tab/>
        <w:t>For a DSR that is dispatched to a Base Point other than its Output Schedule for that SCED interval, the Base-Point Deviation Charge under Section 6.6.5.1, Resource Base Point Deviation Charge, applies:</w:t>
      </w:r>
    </w:p>
    <w:p w14:paraId="3269C4B4" w14:textId="77777777" w:rsidR="001F04FD" w:rsidRDefault="001F04FD" w:rsidP="001F04FD">
      <w:pPr>
        <w:pStyle w:val="List2"/>
      </w:pPr>
      <w:r>
        <w:lastRenderedPageBreak/>
        <w:t>(i)</w:t>
      </w:r>
      <w:r>
        <w:tab/>
        <w:t xml:space="preserve">Beginning after four consecutive, complete 15-minute Settlement Intervals have occurred after the DSR is dispatched to a Base Point other than its Output Schedule; and </w:t>
      </w:r>
    </w:p>
    <w:p w14:paraId="1EAC0A14" w14:textId="77777777" w:rsidR="001F04FD" w:rsidRDefault="001F04FD" w:rsidP="001F04FD">
      <w:pPr>
        <w:pStyle w:val="List2"/>
      </w:pPr>
      <w:r>
        <w:t>(ii)</w:t>
      </w:r>
      <w:r>
        <w:tab/>
        <w:t>Ending when the DSR is no longer dispatched to a Base Point other than its Output Schedule.</w:t>
      </w:r>
    </w:p>
    <w:p w14:paraId="490B6F31" w14:textId="77777777" w:rsidR="001F04FD" w:rsidRDefault="001F04FD" w:rsidP="001F04FD">
      <w:pPr>
        <w:pStyle w:val="List"/>
      </w:pPr>
      <w:r>
        <w:t>(d)</w:t>
      </w:r>
      <w:r>
        <w:tab/>
        <w:t>After the DSR is no longer dispatched to a Base Point other than its Output Schedule, the 15 MW or 15% limit, whichever is greater, under paragraph (3) of Section 6.4.2.3, Output Schedule Criteria, does not apply to the DSR until four consecutive, complete 15-minute Settlement Intervals have occurred after the DSR is no longer dispatched to a Base Point other than its Output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408DE17A" w14:textId="77777777" w:rsidTr="005C5A9B">
        <w:trPr>
          <w:trHeight w:val="206"/>
        </w:trPr>
        <w:tc>
          <w:tcPr>
            <w:tcW w:w="9576" w:type="dxa"/>
            <w:shd w:val="pct12" w:color="auto" w:fill="auto"/>
          </w:tcPr>
          <w:p w14:paraId="7A699BE0" w14:textId="498F0832" w:rsidR="00E8646B" w:rsidRPr="00A4149C" w:rsidRDefault="00E8646B" w:rsidP="009F62BA">
            <w:pPr>
              <w:pStyle w:val="Instructions"/>
              <w:spacing w:before="120"/>
            </w:pPr>
            <w:bookmarkStart w:id="232" w:name="_Toc73215977"/>
            <w:bookmarkStart w:id="233" w:name="_Toc397504918"/>
            <w:bookmarkStart w:id="234" w:name="_Toc402357046"/>
            <w:bookmarkStart w:id="235" w:name="_Toc422486426"/>
            <w:bookmarkStart w:id="236" w:name="_Toc433093278"/>
            <w:bookmarkStart w:id="237" w:name="_Toc433093436"/>
            <w:bookmarkStart w:id="238" w:name="_Toc440874666"/>
            <w:bookmarkStart w:id="239" w:name="_Toc448142221"/>
            <w:bookmarkStart w:id="240" w:name="_Toc448142378"/>
            <w:bookmarkStart w:id="241" w:name="_Toc458770214"/>
            <w:bookmarkStart w:id="242" w:name="_Toc459294182"/>
            <w:bookmarkStart w:id="243" w:name="_Toc463262675"/>
            <w:bookmarkStart w:id="244" w:name="_Toc468286747"/>
            <w:bookmarkStart w:id="245" w:name="_Toc481502793"/>
            <w:bookmarkStart w:id="246" w:name="_Toc496079963"/>
            <w:r>
              <w:t>[NPRR1000:  Delete Section 6.4.2.2 above upon system implementation and renumber accordingly</w:t>
            </w:r>
            <w:r w:rsidR="009F62BA">
              <w:t>.</w:t>
            </w:r>
            <w:r>
              <w:t>]</w:t>
            </w:r>
          </w:p>
        </w:tc>
      </w:tr>
    </w:tbl>
    <w:p w14:paraId="56B5810B" w14:textId="77777777" w:rsidR="001F04FD" w:rsidRDefault="001F04FD" w:rsidP="001F04FD">
      <w:pPr>
        <w:pStyle w:val="H4"/>
        <w:tabs>
          <w:tab w:val="center" w:pos="4680"/>
        </w:tabs>
        <w:spacing w:before="480"/>
        <w:ind w:left="1267" w:hanging="1267"/>
      </w:pPr>
      <w:bookmarkStart w:id="247" w:name="_Toc204411548"/>
      <w:r>
        <w:t>6.4.2.3</w:t>
      </w:r>
      <w:r>
        <w:tab/>
        <w:t>Output Schedule Criteria</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0C245F76" w14:textId="77777777" w:rsidR="001F04FD" w:rsidRDefault="001F04FD" w:rsidP="001F04FD">
      <w:pPr>
        <w:pStyle w:val="BodyTextNumbered"/>
      </w:pPr>
      <w:r>
        <w:t>(1)</w:t>
      </w:r>
      <w:r>
        <w:tab/>
        <w:t>An Output Schedule submitted by a QSE for a Resource must include the following:</w:t>
      </w:r>
    </w:p>
    <w:p w14:paraId="6A6EEAE3" w14:textId="77777777" w:rsidR="001F04FD" w:rsidRDefault="001F04FD" w:rsidP="001F04FD">
      <w:pPr>
        <w:pStyle w:val="List"/>
      </w:pPr>
      <w:r>
        <w:t>(a)</w:t>
      </w:r>
      <w:r>
        <w:tab/>
        <w:t>The name of the Entity submitting the Output Schedule for the Resource;</w:t>
      </w:r>
    </w:p>
    <w:p w14:paraId="3C35E912" w14:textId="77777777" w:rsidR="001F04FD" w:rsidRDefault="001F04FD" w:rsidP="001F04FD">
      <w:pPr>
        <w:pStyle w:val="List"/>
      </w:pPr>
      <w:r>
        <w:t>(b)</w:t>
      </w:r>
      <w:r>
        <w:tab/>
        <w:t>The name of the Resource;</w:t>
      </w:r>
    </w:p>
    <w:p w14:paraId="7B3B32E0" w14:textId="77777777" w:rsidR="001F04FD" w:rsidRDefault="001F04FD" w:rsidP="001F04FD">
      <w:pPr>
        <w:pStyle w:val="List"/>
      </w:pPr>
      <w:r>
        <w:t>(c)</w:t>
      </w:r>
      <w:r>
        <w:tab/>
        <w:t>The desired MW output level for each five-minute interval for the Resource for all of the remaining five-minute intervals in the Operating Day for which an Energy Offer Curve has not been submitted.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6E3D" w14:paraId="3792E478" w14:textId="77777777" w:rsidTr="009E7633">
        <w:trPr>
          <w:trHeight w:val="206"/>
        </w:trPr>
        <w:tc>
          <w:tcPr>
            <w:tcW w:w="9350" w:type="dxa"/>
            <w:shd w:val="pct12" w:color="auto" w:fill="auto"/>
          </w:tcPr>
          <w:p w14:paraId="780CDC2B" w14:textId="17F2E4F2" w:rsidR="00FE6E3D" w:rsidRDefault="00FE6E3D" w:rsidP="009E7633">
            <w:pPr>
              <w:pStyle w:val="Instructions"/>
              <w:spacing w:before="120"/>
            </w:pPr>
            <w:r>
              <w:t xml:space="preserve">[NPRR1014:  Replace paragraph (c) above </w:t>
            </w:r>
            <w:r w:rsidR="00525E33">
              <w:t xml:space="preserve">with the following </w:t>
            </w:r>
            <w:r>
              <w:t>upon system implementation:]</w:t>
            </w:r>
          </w:p>
          <w:p w14:paraId="20675775" w14:textId="2A877848" w:rsidR="00FE6E3D" w:rsidRPr="00A4149C" w:rsidRDefault="00FE6E3D" w:rsidP="00FE6E3D">
            <w:pPr>
              <w:spacing w:after="240"/>
              <w:ind w:left="1440" w:hanging="720"/>
            </w:pPr>
            <w:r w:rsidRPr="00A552C3">
              <w:t>(c)</w:t>
            </w:r>
            <w:r w:rsidRPr="00A552C3">
              <w:tab/>
              <w:t>The desired MW output level for each five-minute interval for the Resource for all of the remaining five-minute intervals in the Operating Day for which an Energy Offer Curve or Energy Bid/Offer Curve has not been submitted.</w:t>
            </w:r>
          </w:p>
        </w:tc>
      </w:tr>
    </w:tbl>
    <w:p w14:paraId="291BA553" w14:textId="369E1B45" w:rsidR="001F04FD" w:rsidRDefault="001F04FD" w:rsidP="000B1D41">
      <w:pPr>
        <w:pStyle w:val="BodyTextNumbered"/>
        <w:spacing w:before="240"/>
      </w:pPr>
      <w:r>
        <w:t>(2)</w:t>
      </w:r>
      <w:r>
        <w:tab/>
        <w:t>ERCOT must reject an Output Schedule for a Resource if an Energy Offer Curve corresponding to any period in the Output Schedule exists;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6E3D" w14:paraId="5FF82549" w14:textId="77777777" w:rsidTr="009E7633">
        <w:trPr>
          <w:trHeight w:val="206"/>
        </w:trPr>
        <w:tc>
          <w:tcPr>
            <w:tcW w:w="9350" w:type="dxa"/>
            <w:shd w:val="pct12" w:color="auto" w:fill="auto"/>
          </w:tcPr>
          <w:p w14:paraId="2AB601F0" w14:textId="467EA2B3" w:rsidR="00FE6E3D" w:rsidRDefault="00FE6E3D" w:rsidP="009E7633">
            <w:pPr>
              <w:pStyle w:val="Instructions"/>
              <w:spacing w:before="120"/>
            </w:pPr>
            <w:r>
              <w:t xml:space="preserve">[NPRR1014:  Replace paragraph (2) above </w:t>
            </w:r>
            <w:r w:rsidR="00525E33">
              <w:t xml:space="preserve">with the following </w:t>
            </w:r>
            <w:r>
              <w:t>upon system implementation:]</w:t>
            </w:r>
          </w:p>
          <w:p w14:paraId="23752423" w14:textId="32B40305" w:rsidR="00FE6E3D" w:rsidRPr="00A4149C" w:rsidRDefault="00FE6E3D" w:rsidP="00FE6E3D">
            <w:pPr>
              <w:spacing w:after="240"/>
              <w:ind w:left="720" w:hanging="720"/>
            </w:pPr>
            <w:r w:rsidRPr="00A552C3">
              <w:lastRenderedPageBreak/>
              <w:t>(2)</w:t>
            </w:r>
            <w:r w:rsidRPr="00A552C3">
              <w:tab/>
              <w:t>ERCOT must reject an Output Schedule for a Resource if an Energy Offer Curve or Energy Bid/Offer Curve corresponding to any period in the Output Schedule exists</w:t>
            </w:r>
            <w:r>
              <w:t>;</w:t>
            </w:r>
          </w:p>
        </w:tc>
      </w:tr>
    </w:tbl>
    <w:p w14:paraId="24A23500" w14:textId="23D83EF9" w:rsidR="001F04FD" w:rsidRDefault="001F04FD" w:rsidP="000B1D41">
      <w:pPr>
        <w:pStyle w:val="BodyTextNumbered"/>
        <w:spacing w:before="240"/>
      </w:pPr>
      <w:r>
        <w:lastRenderedPageBreak/>
        <w:t>(3)</w:t>
      </w:r>
      <w:r>
        <w:tab/>
      </w:r>
      <w:bookmarkStart w:id="248" w:name="OLE_LINK1"/>
      <w:bookmarkStart w:id="249" w:name="OLE_LINK2"/>
      <w: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248"/>
      <w:bookmarkEnd w:id="2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1D1DF869" w14:textId="77777777" w:rsidTr="005C5A9B">
        <w:trPr>
          <w:trHeight w:val="206"/>
        </w:trPr>
        <w:tc>
          <w:tcPr>
            <w:tcW w:w="9576" w:type="dxa"/>
            <w:shd w:val="pct12" w:color="auto" w:fill="auto"/>
          </w:tcPr>
          <w:p w14:paraId="39E4E47A" w14:textId="5D55E342" w:rsidR="00E8646B" w:rsidRPr="00A4149C" w:rsidRDefault="00E8646B" w:rsidP="00E8646B">
            <w:pPr>
              <w:pStyle w:val="Instructions"/>
              <w:spacing w:before="120"/>
            </w:pPr>
            <w:r>
              <w:t>[NPRR1000:  Delete paragraph (3) above upon system implementation and renumber accordingly</w:t>
            </w:r>
            <w:r w:rsidR="009F62BA">
              <w:t>.</w:t>
            </w:r>
            <w:r>
              <w:t>]</w:t>
            </w:r>
          </w:p>
        </w:tc>
      </w:tr>
    </w:tbl>
    <w:p w14:paraId="7DD7FE4A" w14:textId="32EE80C9" w:rsidR="001F04FD" w:rsidRDefault="001F04FD" w:rsidP="003A5AC3">
      <w:pPr>
        <w:pStyle w:val="BodyTextNumbered"/>
        <w:spacing w:before="240"/>
      </w:pPr>
      <w:r>
        <w:t>(4)</w:t>
      </w:r>
      <w:r>
        <w:tab/>
        <w:t>The MW difference between Output Schedules for any two consecutive five-minute intervals must be less than ten times the SCED Up Ramp Rate (SURAMP) for schedules showing an increase from the prior period and the SCED Down Ramp Rate (SDRAMP) for schedules showing a decrease from the prior period.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C6CEC" w14:paraId="57DE1794" w14:textId="77777777" w:rsidTr="00FC6CEC">
        <w:trPr>
          <w:trHeight w:val="206"/>
        </w:trPr>
        <w:tc>
          <w:tcPr>
            <w:tcW w:w="9350" w:type="dxa"/>
            <w:shd w:val="pct12" w:color="auto" w:fill="auto"/>
          </w:tcPr>
          <w:p w14:paraId="2FA94CDA" w14:textId="039A3EDB" w:rsidR="00FC6CEC" w:rsidRDefault="00FC6CEC" w:rsidP="00FC6CEC">
            <w:pPr>
              <w:pStyle w:val="Instructions"/>
              <w:spacing w:before="120"/>
            </w:pPr>
            <w:r>
              <w:t>[NPRR1010</w:t>
            </w:r>
            <w:r w:rsidR="00525E33">
              <w:t xml:space="preserve"> and NPRR1014:  Replace applicable portions of paragraph (4) above with the following upon system implementation of the Real-Time Co-Optimization (RTC) project for NPRR1010; or upon system implementation for NPRR1014</w:t>
            </w:r>
            <w:r w:rsidR="00B06583">
              <w:t>:]</w:t>
            </w:r>
          </w:p>
          <w:p w14:paraId="68E29795" w14:textId="2263DAF9" w:rsidR="00FC6CEC" w:rsidRPr="00A4149C" w:rsidRDefault="00FC6CEC" w:rsidP="00FC6CEC">
            <w:pPr>
              <w:spacing w:before="240" w:after="240"/>
              <w:ind w:left="720" w:hanging="720"/>
            </w:pPr>
            <w:r w:rsidRPr="003161DC">
              <w:t>(4)</w:t>
            </w:r>
            <w:r w:rsidRPr="003161DC">
              <w:tab/>
              <w:t xml:space="preserve">The MW difference between Output Schedules for any two consecutive five-minute intervals must be less than ten times the </w:t>
            </w:r>
            <w:r>
              <w:t>Normal Ramp Rate up</w:t>
            </w:r>
            <w:r w:rsidRPr="003161DC">
              <w:t xml:space="preserve"> for schedules showing an increase from the prior period and the </w:t>
            </w:r>
            <w:r>
              <w:t>Normal Ramp Rate down</w:t>
            </w:r>
            <w:r w:rsidRPr="003161DC">
              <w:t xml:space="preserve"> for schedules showing a decrease from the prior period</w:t>
            </w:r>
            <w:r>
              <w:t>.</w:t>
            </w:r>
          </w:p>
        </w:tc>
      </w:tr>
    </w:tbl>
    <w:p w14:paraId="62434D0C" w14:textId="48735846" w:rsidR="001F04FD" w:rsidRDefault="001F04FD" w:rsidP="000B1D41">
      <w:pPr>
        <w:pStyle w:val="BodyTextNumbered"/>
        <w:spacing w:before="240"/>
      </w:pPr>
      <w:r>
        <w:t>(5)</w:t>
      </w:r>
      <w:r>
        <w:tab/>
        <w:t>The Output Schedule for each interval in the Operating Period must be less than or equal to the Resource’s High Sustained Limit (HSL) and must be greater than or equal to the Resource’s Low Sustained Limit (LSL) for the corresponding hour.</w:t>
      </w:r>
    </w:p>
    <w:p w14:paraId="4AEFC26A" w14:textId="77777777" w:rsidR="001F04FD" w:rsidRDefault="001F04FD" w:rsidP="001F04FD">
      <w:pPr>
        <w:pStyle w:val="H4"/>
        <w:spacing w:before="480"/>
        <w:ind w:left="1267" w:hanging="1267"/>
      </w:pPr>
      <w:bookmarkStart w:id="250" w:name="_Toc397504919"/>
      <w:bookmarkStart w:id="251" w:name="_Toc402357047"/>
      <w:bookmarkStart w:id="252" w:name="_Toc422486427"/>
      <w:bookmarkStart w:id="253" w:name="_Toc433093279"/>
      <w:bookmarkStart w:id="254" w:name="_Toc433093437"/>
      <w:bookmarkStart w:id="255" w:name="_Toc440874667"/>
      <w:bookmarkStart w:id="256" w:name="_Toc448142222"/>
      <w:bookmarkStart w:id="257" w:name="_Toc448142379"/>
      <w:bookmarkStart w:id="258" w:name="_Toc458770215"/>
      <w:bookmarkStart w:id="259" w:name="_Toc459294183"/>
      <w:bookmarkStart w:id="260" w:name="_Toc463262676"/>
      <w:bookmarkStart w:id="261" w:name="_Toc468286748"/>
      <w:bookmarkStart w:id="262" w:name="_Toc481502794"/>
      <w:bookmarkStart w:id="263" w:name="_Toc496079964"/>
      <w:bookmarkStart w:id="264" w:name="_Toc204411549"/>
      <w:r>
        <w:t>6.4.2.4</w:t>
      </w:r>
      <w:r>
        <w:tab/>
        <w:t>Output Schedule Validation</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6B023C6A" w14:textId="77777777" w:rsidR="001F04FD" w:rsidRDefault="001F04FD" w:rsidP="001F04FD">
      <w:pPr>
        <w:pStyle w:val="BodyTextNumbered"/>
      </w:pPr>
      <w:r>
        <w:t>(1)</w:t>
      </w:r>
      <w:r>
        <w:tab/>
        <w:t>A validated Output Schedule is a schedule that ERCOT has determined meets the criteria listed in Section 6.4.2.3, Output Schedule Criteria.</w:t>
      </w:r>
    </w:p>
    <w:p w14:paraId="4FD49B87" w14:textId="77777777" w:rsidR="001F04FD" w:rsidRDefault="001F04FD" w:rsidP="001F04FD">
      <w:pPr>
        <w:pStyle w:val="BodyTextNumbered"/>
      </w:pPr>
      <w:r>
        <w:t>(2)</w:t>
      </w:r>
      <w:r>
        <w:tab/>
        <w:t>ERCOT shall notify the QSE submitting an Output Schedule by the Messaging System if the schedule was rejected or was considered invalid for any reason.  The QSE may then resubmit the schedule within the appropriate market timeline.</w:t>
      </w:r>
    </w:p>
    <w:p w14:paraId="2A5F6EF9" w14:textId="77777777" w:rsidR="001F04FD" w:rsidRDefault="001F04FD" w:rsidP="001F04FD">
      <w:pPr>
        <w:pStyle w:val="BodyTextNumbered"/>
      </w:pPr>
      <w:r>
        <w:t>(3)</w:t>
      </w:r>
      <w:r>
        <w:tab/>
        <w:t>ERCOT shall continuously validate Output Schedules and continuously display on the Market Information System (MIS) Certified Area information that allows any QSE to view its valid Output Schedule.</w:t>
      </w:r>
    </w:p>
    <w:p w14:paraId="2A3113A3" w14:textId="77777777" w:rsidR="001F04FD" w:rsidRDefault="001F04FD" w:rsidP="001F04FD">
      <w:pPr>
        <w:spacing w:after="120"/>
        <w:ind w:left="720" w:hanging="720"/>
      </w:pPr>
      <w:r>
        <w:lastRenderedPageBreak/>
        <w:t>(4)</w:t>
      </w:r>
      <w:r>
        <w:tab/>
        <w:t>If a valid Output Schedule does not exist for a Resource that has a status of On-Line DSR at the time of SCED execution, then ERCOT shall notify the QSE and set the Output Schedule equal to the telemetered output of the Resource until a revised Output Schedule is validated.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4EB68504" w14:textId="77777777" w:rsidTr="005C5A9B">
        <w:trPr>
          <w:trHeight w:val="206"/>
        </w:trPr>
        <w:tc>
          <w:tcPr>
            <w:tcW w:w="9576" w:type="dxa"/>
            <w:shd w:val="pct12" w:color="auto" w:fill="auto"/>
          </w:tcPr>
          <w:p w14:paraId="0B90D7E1" w14:textId="782F0779" w:rsidR="00E8646B" w:rsidRPr="00A4149C" w:rsidRDefault="00E8646B" w:rsidP="009F62BA">
            <w:pPr>
              <w:pStyle w:val="Instructions"/>
              <w:spacing w:before="120"/>
            </w:pPr>
            <w:r>
              <w:t>[NPRR1000:  Delete paragraph (4) above upon system implementation and renumber accordingly</w:t>
            </w:r>
            <w:r w:rsidR="009F62BA">
              <w:t>.</w:t>
            </w:r>
            <w:r>
              <w:t>]</w:t>
            </w:r>
          </w:p>
        </w:tc>
      </w:tr>
    </w:tbl>
    <w:p w14:paraId="37CB0B23" w14:textId="35DCEACF" w:rsidR="001F04FD" w:rsidRDefault="001F04FD" w:rsidP="003A5AC3">
      <w:pPr>
        <w:spacing w:before="240" w:after="240"/>
        <w:ind w:left="720" w:hanging="720"/>
      </w:pPr>
      <w:r>
        <w:t>(5)</w:t>
      </w:r>
      <w:r>
        <w:tab/>
        <w:t>For Generation Resources with a Resource Status other than ONTEST, STARTUP, or SHUTDOWN, if a valid Energy Offer Curve or an Output Schedule does not exist for a non-DSR that has a status of On-Line at the end of the Adjustment Period, then ERCOT shall notify the QSE and set the Output Schedule equal to the then current telemetered output of the Resource until an Output Schedule or Energy Offer Curve is submitted in a subsequent Adjustment Period.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C7293" w14:paraId="623F23F1" w14:textId="77777777" w:rsidTr="001C7293">
        <w:trPr>
          <w:trHeight w:val="206"/>
        </w:trPr>
        <w:tc>
          <w:tcPr>
            <w:tcW w:w="9350" w:type="dxa"/>
            <w:shd w:val="pct12" w:color="auto" w:fill="auto"/>
          </w:tcPr>
          <w:p w14:paraId="25B2A1E0" w14:textId="77777777" w:rsidR="001C7293" w:rsidRDefault="001C7293" w:rsidP="001C7293">
            <w:pPr>
              <w:pStyle w:val="Instructions"/>
              <w:spacing w:before="120"/>
            </w:pPr>
            <w:bookmarkStart w:id="265" w:name="_Toc397504920"/>
            <w:bookmarkStart w:id="266" w:name="_Toc402357048"/>
            <w:bookmarkStart w:id="267" w:name="_Toc422486428"/>
            <w:bookmarkStart w:id="268" w:name="_Toc433093280"/>
            <w:bookmarkStart w:id="269" w:name="_Toc433093438"/>
            <w:bookmarkStart w:id="270" w:name="_Toc440874668"/>
            <w:bookmarkStart w:id="271" w:name="_Toc448142223"/>
            <w:bookmarkStart w:id="272" w:name="_Toc448142380"/>
            <w:bookmarkStart w:id="273" w:name="_Toc458770216"/>
            <w:bookmarkStart w:id="274" w:name="_Toc459294184"/>
            <w:bookmarkStart w:id="275" w:name="_Toc463262677"/>
            <w:bookmarkStart w:id="276" w:name="_Toc468286749"/>
            <w:bookmarkStart w:id="277" w:name="_Toc481502795"/>
            <w:bookmarkStart w:id="278" w:name="_Toc496079965"/>
            <w:r>
              <w:t>[NPRR1046:  Replace paragraph (5) above with the following upon system implementation of NPRR1000:]</w:t>
            </w:r>
          </w:p>
          <w:p w14:paraId="2176B65F" w14:textId="57098E4E" w:rsidR="001C7293" w:rsidRPr="00A4149C" w:rsidRDefault="001C7293" w:rsidP="001C7293">
            <w:pPr>
              <w:spacing w:before="240" w:after="240"/>
              <w:ind w:left="720" w:hanging="720"/>
            </w:pPr>
            <w:r w:rsidRPr="00C328E7">
              <w:t>(5)</w:t>
            </w:r>
            <w:r w:rsidRPr="00C328E7">
              <w:tab/>
              <w:t xml:space="preserve">For Generation Resources with a Resource Status other than ONTEST, STARTUP, or SHUTDOWN, if a valid Energy Offer Curve or an Output Schedule does not exist for a </w:t>
            </w:r>
            <w:r>
              <w:t>Resource</w:t>
            </w:r>
            <w:r w:rsidRPr="00C328E7">
              <w:t xml:space="preserve"> that has a status of On-Line at the end of the Adjustment Period, then ERCOT shall notify the QSE and set the Output Schedule equal to the then current telemetered output of the Resource until an Output Schedule or Energy Offer Curve is submitted in </w:t>
            </w:r>
            <w:r>
              <w:t>a subsequent Adjustment Period.</w:t>
            </w:r>
          </w:p>
        </w:tc>
      </w:tr>
    </w:tbl>
    <w:p w14:paraId="03771D07" w14:textId="77777777" w:rsidR="001F04FD" w:rsidRDefault="001F04FD" w:rsidP="001F04FD">
      <w:pPr>
        <w:pStyle w:val="H4"/>
        <w:spacing w:before="480"/>
        <w:ind w:left="1267" w:hanging="1267"/>
      </w:pPr>
      <w:bookmarkStart w:id="279" w:name="_Toc204411550"/>
      <w:r>
        <w:t>6.4.2.5</w:t>
      </w:r>
      <w:r>
        <w:tab/>
        <w:t>DSR Load</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0BA14AD2" w14:textId="77777777" w:rsidR="001F04FD" w:rsidRDefault="001F04FD" w:rsidP="001F04FD">
      <w:pPr>
        <w:pStyle w:val="BodyTextNumbered"/>
      </w:pPr>
      <w:r>
        <w:t>(1)</w:t>
      </w:r>
      <w:r>
        <w:tab/>
        <w:t>A QSE may designate a Resource in the Current Operating Plan (COP) and through the telemetered Resource Status as a participant in the QSE’s control of DSR Load under the requirements in Section 16.2.3.1, Process to Gain Approval to Follow DSR Load.</w:t>
      </w:r>
    </w:p>
    <w:p w14:paraId="45C01362" w14:textId="77777777" w:rsidR="001F04FD" w:rsidRDefault="001F04FD" w:rsidP="001F04FD">
      <w:pPr>
        <w:pStyle w:val="BodyTextNumbered"/>
      </w:pPr>
      <w:r>
        <w:t>(2)</w:t>
      </w:r>
      <w:r>
        <w:tab/>
        <w:t>Each QSE may not have more than one DSR Load.</w:t>
      </w:r>
    </w:p>
    <w:p w14:paraId="74B4802C" w14:textId="77777777" w:rsidR="001F04FD" w:rsidRDefault="001F04FD" w:rsidP="001F04FD">
      <w:pPr>
        <w:pStyle w:val="BodyTextNumbered"/>
      </w:pPr>
      <w:r>
        <w:t>(3)</w:t>
      </w:r>
      <w:r>
        <w:tab/>
        <w:t>The following principles for DSR Load apply:</w:t>
      </w:r>
    </w:p>
    <w:p w14:paraId="4BA61590" w14:textId="77777777" w:rsidR="001F04FD" w:rsidRDefault="001F04FD" w:rsidP="001F04FD">
      <w:pPr>
        <w:pStyle w:val="List"/>
        <w:tabs>
          <w:tab w:val="left" w:pos="1440"/>
        </w:tabs>
      </w:pPr>
      <w:r>
        <w:t>(a)</w:t>
      </w:r>
      <w:r>
        <w:tab/>
        <w:t>All power signals for DSR Load must be sent to ERCOT in Real-Time by telemetry; and</w:t>
      </w:r>
    </w:p>
    <w:p w14:paraId="3D961FA3" w14:textId="77777777" w:rsidR="001F04FD" w:rsidRDefault="001F04FD" w:rsidP="001F04FD">
      <w:pPr>
        <w:pStyle w:val="List"/>
        <w:tabs>
          <w:tab w:val="left" w:pos="1440"/>
        </w:tabs>
      </w:pPr>
      <w:r>
        <w:t>(b)</w:t>
      </w:r>
      <w:r>
        <w:tab/>
        <w:t xml:space="preserve">If a DSR Load signal is lost for any reason for a period greater than one 15-minute Settlement Interval, then ERCOT shall notify the QSE and suspend validation of DSR Output Schedules.  If the DSR Load signal fails for more than ten consecutive hours, ERCOT shall suspend the QSE’s ability to use DSRs until the signal is reliably restored (as determined by ERCOT).  If the signal failure is </w:t>
      </w:r>
      <w:r>
        <w:lastRenderedPageBreak/>
        <w:t xml:space="preserve">identified to be an ERCOT communication problem, ERCOT may not suspend the QSE’s ability to use DSRs.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649CA28A" w14:textId="77777777" w:rsidTr="005C5A9B">
        <w:trPr>
          <w:trHeight w:val="206"/>
        </w:trPr>
        <w:tc>
          <w:tcPr>
            <w:tcW w:w="9576" w:type="dxa"/>
            <w:shd w:val="pct12" w:color="auto" w:fill="auto"/>
          </w:tcPr>
          <w:p w14:paraId="311DF068" w14:textId="240BD50D" w:rsidR="00E8646B" w:rsidRPr="00A4149C" w:rsidRDefault="00E8646B" w:rsidP="00E8646B">
            <w:pPr>
              <w:pStyle w:val="Instructions"/>
              <w:spacing w:before="120"/>
            </w:pPr>
            <w:bookmarkStart w:id="280" w:name="_Toc397504921"/>
            <w:bookmarkStart w:id="281" w:name="_Toc402357049"/>
            <w:bookmarkStart w:id="282" w:name="_Toc422486429"/>
            <w:bookmarkStart w:id="283" w:name="_Toc433093281"/>
            <w:bookmarkStart w:id="284" w:name="_Toc433093439"/>
            <w:bookmarkStart w:id="285" w:name="_Toc440874669"/>
            <w:bookmarkStart w:id="286" w:name="_Toc448142224"/>
            <w:bookmarkStart w:id="287" w:name="_Toc448142381"/>
            <w:bookmarkStart w:id="288" w:name="_Toc458770217"/>
            <w:bookmarkStart w:id="289" w:name="_Toc459294185"/>
            <w:bookmarkStart w:id="290" w:name="_Toc463262678"/>
            <w:bookmarkStart w:id="291" w:name="_Toc468286750"/>
            <w:bookmarkStart w:id="292" w:name="_Toc481502796"/>
            <w:bookmarkStart w:id="293" w:name="_Toc496079966"/>
            <w:r>
              <w:t>[NPRR1000:  Delete Section 6.4.2.5 above upon system implementation.]</w:t>
            </w:r>
          </w:p>
        </w:tc>
      </w:tr>
    </w:tbl>
    <w:p w14:paraId="43488063" w14:textId="77777777" w:rsidR="001F04FD" w:rsidRPr="006A6281" w:rsidRDefault="001F04FD" w:rsidP="001F04FD">
      <w:pPr>
        <w:pStyle w:val="H3"/>
        <w:spacing w:before="480"/>
      </w:pPr>
      <w:bookmarkStart w:id="294" w:name="_Toc204411551"/>
      <w:r w:rsidRPr="006A6281">
        <w:t>6.4.3</w:t>
      </w:r>
      <w:r w:rsidRPr="006A6281">
        <w:tab/>
        <w:t>Real-Time Market (RTM) Energy Bids and Offers</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3410D" w14:paraId="4D478754" w14:textId="77777777" w:rsidTr="00F5593C">
        <w:trPr>
          <w:trHeight w:val="206"/>
        </w:trPr>
        <w:tc>
          <w:tcPr>
            <w:tcW w:w="9350" w:type="dxa"/>
            <w:shd w:val="pct12" w:color="auto" w:fill="auto"/>
          </w:tcPr>
          <w:p w14:paraId="3DE5AA58" w14:textId="52EDFEFD" w:rsidR="00D3410D" w:rsidRDefault="00D3410D" w:rsidP="00F5593C">
            <w:pPr>
              <w:pStyle w:val="Instructions"/>
              <w:spacing w:before="120"/>
            </w:pPr>
            <w:bookmarkStart w:id="295" w:name="_Toc397504922"/>
            <w:bookmarkStart w:id="296" w:name="_Toc402357050"/>
            <w:bookmarkStart w:id="297" w:name="_Toc422486430"/>
            <w:bookmarkStart w:id="298" w:name="_Toc433093282"/>
            <w:bookmarkStart w:id="299" w:name="_Toc433093440"/>
            <w:bookmarkStart w:id="300" w:name="_Toc440874670"/>
            <w:bookmarkStart w:id="301" w:name="_Toc448142225"/>
            <w:bookmarkStart w:id="302" w:name="_Toc448142382"/>
            <w:bookmarkStart w:id="303" w:name="_Toc458770218"/>
            <w:bookmarkStart w:id="304" w:name="_Toc459294186"/>
            <w:bookmarkStart w:id="305" w:name="_Toc463262679"/>
            <w:bookmarkStart w:id="306" w:name="_Toc468286751"/>
            <w:bookmarkStart w:id="307" w:name="_Toc481502797"/>
            <w:bookmarkStart w:id="308" w:name="_Toc496079967"/>
            <w:bookmarkStart w:id="309" w:name="_Hlk120515232"/>
            <w:bookmarkStart w:id="310" w:name="_Hlk174601017"/>
            <w:r>
              <w:t>[NPRR1188:  Replace the title for Section 6.4.3 above with the following upon system implementation:]</w:t>
            </w:r>
          </w:p>
          <w:p w14:paraId="2EC4C1B2" w14:textId="2909E83F" w:rsidR="00D3410D" w:rsidRPr="00A4149C" w:rsidRDefault="00D3410D" w:rsidP="00D3410D">
            <w:pPr>
              <w:pStyle w:val="H3"/>
              <w:spacing w:before="480"/>
            </w:pPr>
            <w:bookmarkStart w:id="311" w:name="_Toc204411552"/>
            <w:r w:rsidRPr="006A6281">
              <w:t>6.4.3</w:t>
            </w:r>
            <w:r w:rsidRPr="006A6281">
              <w:tab/>
            </w:r>
            <w:r>
              <w:t>[RESERVED]</w:t>
            </w:r>
            <w:bookmarkEnd w:id="311"/>
          </w:p>
        </w:tc>
      </w:tr>
    </w:tbl>
    <w:p w14:paraId="4F723D71" w14:textId="77777777" w:rsidR="001F04FD" w:rsidRPr="006A6281" w:rsidRDefault="001F04FD" w:rsidP="001F04FD">
      <w:pPr>
        <w:pStyle w:val="H4"/>
        <w:spacing w:before="480"/>
      </w:pPr>
      <w:bookmarkStart w:id="312" w:name="_Toc204411553"/>
      <w:r w:rsidRPr="006A6281">
        <w:t>6.4.3.1</w:t>
      </w:r>
      <w:r w:rsidRPr="006A6281">
        <w:tab/>
        <w:t>RTM Energy Bids</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12"/>
    </w:p>
    <w:p w14:paraId="1A8873B8" w14:textId="19767F6F" w:rsidR="001F04FD" w:rsidRPr="006A6281" w:rsidRDefault="001F04FD" w:rsidP="00F468C2">
      <w:pPr>
        <w:pStyle w:val="BodyTextNumbered"/>
      </w:pPr>
      <w:r w:rsidRPr="006A6281">
        <w:t>(</w:t>
      </w:r>
      <w:r w:rsidR="0053020C">
        <w:t>1</w:t>
      </w:r>
      <w:r w:rsidRPr="006A6281">
        <w:t>)</w:t>
      </w:r>
      <w:r w:rsidRPr="006A6281">
        <w:tab/>
        <w:t xml:space="preserve">An RTM Energy Bid represents the willingness to buy energy at or below a certain price, not to exceed the System-Wide Offer Cap (SWCAP), for the Demand response capability of a Controllable Load Resource in the RTM.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A245D" w14:paraId="78A55BA4" w14:textId="77777777" w:rsidTr="0058150D">
        <w:trPr>
          <w:trHeight w:val="206"/>
        </w:trPr>
        <w:tc>
          <w:tcPr>
            <w:tcW w:w="9350" w:type="dxa"/>
            <w:shd w:val="pct12" w:color="auto" w:fill="auto"/>
          </w:tcPr>
          <w:p w14:paraId="3B26935B" w14:textId="3160604E" w:rsidR="002A245D" w:rsidRDefault="002A245D" w:rsidP="0058150D">
            <w:pPr>
              <w:pStyle w:val="Instructions"/>
              <w:spacing w:before="120"/>
            </w:pPr>
            <w:r>
              <w:t>[NPRR1010:  Replace paragraph (</w:t>
            </w:r>
            <w:r w:rsidR="0053020C">
              <w:t>1</w:t>
            </w:r>
            <w:r>
              <w:t xml:space="preserve">) above </w:t>
            </w:r>
            <w:r w:rsidR="00525E33">
              <w:t xml:space="preserve">with the following </w:t>
            </w:r>
            <w:r>
              <w:t>upon system implementation of the Real-Time Co-Optimization (RTC) project:]</w:t>
            </w:r>
          </w:p>
          <w:p w14:paraId="51EFD403" w14:textId="7A96FFE6" w:rsidR="002A245D" w:rsidRPr="00A4149C" w:rsidRDefault="002A245D" w:rsidP="002A245D">
            <w:pPr>
              <w:spacing w:after="240"/>
              <w:ind w:left="720" w:hanging="720"/>
            </w:pPr>
            <w:r w:rsidRPr="003161DC">
              <w:t>(</w:t>
            </w:r>
            <w:r w:rsidR="0053020C">
              <w:t>1</w:t>
            </w:r>
            <w:r w:rsidRPr="003161DC">
              <w:t>)</w:t>
            </w:r>
            <w:r w:rsidRPr="003161DC">
              <w:tab/>
              <w:t xml:space="preserve">An RTM Energy Bid represents the willingness to buy energy at or below a certain price, not to exceed the </w:t>
            </w:r>
            <w:r>
              <w:t>effective Value of Lost Load (VOLL)</w:t>
            </w:r>
            <w:r w:rsidRPr="003161DC">
              <w:t>, for the Demand response capability of a Controllable Load Resource in the RTM.</w:t>
            </w:r>
          </w:p>
        </w:tc>
      </w:tr>
    </w:tbl>
    <w:p w14:paraId="782B79BA" w14:textId="09C4946E" w:rsidR="001F04FD" w:rsidRPr="006A6281" w:rsidRDefault="001F04FD" w:rsidP="00F468C2">
      <w:pPr>
        <w:pStyle w:val="List"/>
        <w:spacing w:before="240"/>
        <w:ind w:left="720"/>
      </w:pPr>
      <w:r w:rsidRPr="006A6281">
        <w:t>(</w:t>
      </w:r>
      <w:r w:rsidR="0053020C">
        <w:t>2</w:t>
      </w:r>
      <w:r w:rsidRPr="006A6281">
        <w:t>)</w:t>
      </w:r>
      <w:r w:rsidRPr="006A6281">
        <w:tab/>
      </w:r>
      <w:r w:rsidR="0053020C" w:rsidRPr="00221D04">
        <w:t>RTM Energy Bids remain active for the offered period until automatically inactivated at the offer expiration time specified in the RTM Energy Bid.</w:t>
      </w:r>
    </w:p>
    <w:p w14:paraId="03B0282F" w14:textId="04B3D379" w:rsidR="00B4018E" w:rsidRDefault="0053020C" w:rsidP="00F468C2">
      <w:pPr>
        <w:spacing w:after="240"/>
        <w:ind w:left="720" w:hanging="720"/>
      </w:pPr>
      <w:r w:rsidRPr="00221D04">
        <w:t>(</w:t>
      </w:r>
      <w:r>
        <w:t>3</w:t>
      </w:r>
      <w:r w:rsidRPr="00221D04">
        <w:t>)</w:t>
      </w:r>
      <w:r w:rsidRPr="00221D04">
        <w:tab/>
        <w:t>For any Operating Hour, the QSE may submit or change an RTM Energy Bid at any time prior to SCED execution, and SCED will use the latest updated RTM Energy Bid available in the system.  If a new RTM Energy Bid is not deemed to be valid, then the most recent valid RTM Energy Bid available in the system at the time of SCED execution will be used and ERCOT will notify the QSE that the invalid RTM Energy Bid was rejected.  Once an Operating Hour ends, an RTM Energy Bid for that hour cannot be submitted, updated, or canceled.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A245D" w14:paraId="1EB45191" w14:textId="77777777" w:rsidTr="0058150D">
        <w:trPr>
          <w:trHeight w:val="206"/>
        </w:trPr>
        <w:tc>
          <w:tcPr>
            <w:tcW w:w="9350" w:type="dxa"/>
            <w:shd w:val="pct12" w:color="auto" w:fill="auto"/>
          </w:tcPr>
          <w:p w14:paraId="256741BB" w14:textId="5D4C5A62" w:rsidR="002A245D" w:rsidRDefault="002A245D" w:rsidP="0058150D">
            <w:pPr>
              <w:pStyle w:val="Instructions"/>
              <w:spacing w:before="120"/>
            </w:pPr>
            <w:r>
              <w:t>[NPRR1010:  Replace paragraph (</w:t>
            </w:r>
            <w:r w:rsidR="0053020C">
              <w:t>3</w:t>
            </w:r>
            <w:r>
              <w:t xml:space="preserve">) above </w:t>
            </w:r>
            <w:r w:rsidR="00525E33">
              <w:t xml:space="preserve">with the following </w:t>
            </w:r>
            <w:r>
              <w:t>upon system implementation of the Real-Time Co-Optimization (RTC) project:]</w:t>
            </w:r>
          </w:p>
          <w:p w14:paraId="055165A0" w14:textId="61187CFB" w:rsidR="002A245D" w:rsidRPr="00A4149C" w:rsidRDefault="002A245D" w:rsidP="002A245D">
            <w:pPr>
              <w:spacing w:after="240"/>
              <w:ind w:left="720" w:hanging="720"/>
            </w:pPr>
            <w:r w:rsidRPr="003161DC">
              <w:lastRenderedPageBreak/>
              <w:t>(</w:t>
            </w:r>
            <w:r w:rsidR="0053020C">
              <w:t>3</w:t>
            </w:r>
            <w:r w:rsidRPr="003161DC">
              <w:t>)</w:t>
            </w:r>
            <w:r w:rsidRPr="003161DC">
              <w:tab/>
              <w:t xml:space="preserve">For any Operating Hour, the QSE may submit or change an RTM Energy Bid in the Adjustment Period.  If, by the end of the Adjustment Period, the QSE has not submitted a valid RTM Energy Bid, ERCOT shall create a proxy RTM Energy Bid for the entire Demand response capability of that Load Resource with a not-to-exceed price at the </w:t>
            </w:r>
            <w:r>
              <w:t>effective VOLL</w:t>
            </w:r>
            <w:r w:rsidRPr="003161DC">
              <w:t>.</w:t>
            </w:r>
          </w:p>
        </w:tc>
      </w:tr>
    </w:tbl>
    <w:p w14:paraId="64ABECA7" w14:textId="0AF152E1" w:rsidR="0053020C" w:rsidRDefault="0053020C" w:rsidP="000B1D41">
      <w:pPr>
        <w:pStyle w:val="BodyTextNumbered"/>
        <w:spacing w:before="240"/>
      </w:pPr>
      <w:r w:rsidRPr="00221D04">
        <w:lastRenderedPageBreak/>
        <w:t>(</w:t>
      </w:r>
      <w:r>
        <w:t>4</w:t>
      </w:r>
      <w:r w:rsidRPr="00221D04">
        <w:t>)</w:t>
      </w:r>
      <w:r w:rsidRPr="00221D04">
        <w:tab/>
        <w:t>If the QSE has not submitted a valid RTM Energy Bid for an Operating Hour, ERCOT shall create a proxy RTM Energy Bid for the entire Demand response capability of that Load Resource with a not-to-exceed price at the SWCAP</w:t>
      </w:r>
      <w: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3020C" w14:paraId="6A67A2CD" w14:textId="77777777" w:rsidTr="00BE46E4">
        <w:trPr>
          <w:trHeight w:val="206"/>
        </w:trPr>
        <w:tc>
          <w:tcPr>
            <w:tcW w:w="9350" w:type="dxa"/>
            <w:shd w:val="pct12" w:color="auto" w:fill="auto"/>
          </w:tcPr>
          <w:p w14:paraId="1B5A186C" w14:textId="5F32EAE0" w:rsidR="0053020C" w:rsidRPr="00A4149C" w:rsidRDefault="0053020C" w:rsidP="00F468C2">
            <w:pPr>
              <w:pStyle w:val="Instructions"/>
              <w:spacing w:before="120"/>
            </w:pPr>
            <w:r>
              <w:t>[NPRR1010:  Delete paragraph (4) above upon system implementation of the Real-Time Co-Optimization (RTC) project and renumber accordingly</w:t>
            </w:r>
            <w:r w:rsidR="00810D23">
              <w:t>.</w:t>
            </w:r>
            <w:r>
              <w:t>]</w:t>
            </w:r>
          </w:p>
        </w:tc>
      </w:tr>
    </w:tbl>
    <w:p w14:paraId="4061469C" w14:textId="39F2A66F" w:rsidR="001F04FD" w:rsidRDefault="001F04FD" w:rsidP="000B1D41">
      <w:pPr>
        <w:pStyle w:val="BodyTextNumbered"/>
        <w:spacing w:before="240"/>
      </w:pPr>
      <w:r w:rsidRPr="006A6281">
        <w:t>(5)</w:t>
      </w:r>
      <w:r w:rsidRPr="006A6281">
        <w:tab/>
        <w:t xml:space="preserve">The QSE may remove the Controllable Load Resource from SCED Dispatch by changing the Load Resource’s telemetered Resource Status or ramp rates appropriately.  The QSE will update the </w:t>
      </w:r>
      <w:r>
        <w:t>COP</w:t>
      </w:r>
      <w:r w:rsidRPr="006A6281">
        <w:t xml:space="preserve"> Resource Status accordingly as soon as practicable.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3410D" w14:paraId="415DCD0C" w14:textId="77777777" w:rsidTr="00F5593C">
        <w:trPr>
          <w:trHeight w:val="206"/>
        </w:trPr>
        <w:tc>
          <w:tcPr>
            <w:tcW w:w="9350" w:type="dxa"/>
            <w:shd w:val="pct12" w:color="auto" w:fill="auto"/>
          </w:tcPr>
          <w:p w14:paraId="74281941" w14:textId="344933E6" w:rsidR="00D3410D" w:rsidRPr="00A4149C" w:rsidRDefault="00D3410D" w:rsidP="00F5593C">
            <w:pPr>
              <w:pStyle w:val="Instructions"/>
              <w:spacing w:before="120"/>
            </w:pPr>
            <w:bookmarkStart w:id="313" w:name="_Toc397504923"/>
            <w:bookmarkStart w:id="314" w:name="_Toc402357051"/>
            <w:bookmarkStart w:id="315" w:name="_Toc422486431"/>
            <w:bookmarkStart w:id="316" w:name="_Toc433093283"/>
            <w:bookmarkStart w:id="317" w:name="_Toc433093441"/>
            <w:bookmarkStart w:id="318" w:name="_Toc440874671"/>
            <w:bookmarkStart w:id="319" w:name="_Toc448142226"/>
            <w:bookmarkStart w:id="320" w:name="_Toc448142383"/>
            <w:bookmarkStart w:id="321" w:name="_Toc458770219"/>
            <w:bookmarkStart w:id="322" w:name="_Toc459294187"/>
            <w:bookmarkStart w:id="323" w:name="_Toc463262680"/>
            <w:bookmarkStart w:id="324" w:name="_Toc468286752"/>
            <w:bookmarkStart w:id="325" w:name="_Toc481502798"/>
            <w:bookmarkStart w:id="326" w:name="_Toc496079968"/>
            <w:bookmarkEnd w:id="309"/>
            <w:r>
              <w:t>[NPRR1188:  Delete Section 6.4.3.1 above upon system implementation.]</w:t>
            </w:r>
          </w:p>
        </w:tc>
      </w:tr>
    </w:tbl>
    <w:p w14:paraId="6EDEA73C" w14:textId="77777777" w:rsidR="001F04FD" w:rsidRPr="006A6281" w:rsidRDefault="001F04FD" w:rsidP="004116AE">
      <w:pPr>
        <w:pStyle w:val="H5"/>
        <w:spacing w:before="480"/>
        <w:ind w:left="720" w:hanging="720"/>
      </w:pPr>
      <w:bookmarkStart w:id="327" w:name="_Toc204411554"/>
      <w:r w:rsidRPr="006A6281">
        <w:t>6.4.3.1.1</w:t>
      </w:r>
      <w:r w:rsidRPr="006A6281">
        <w:tab/>
        <w:t>RTM Energy Bid Criteria</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6EC29D75" w14:textId="77777777" w:rsidR="001F04FD" w:rsidRPr="006A6281" w:rsidRDefault="001F04FD" w:rsidP="001F04FD">
      <w:pPr>
        <w:pStyle w:val="BodyTextNumbered"/>
      </w:pPr>
      <w:r w:rsidRPr="006A6281">
        <w:t>(1)</w:t>
      </w:r>
      <w:r w:rsidRPr="006A6281">
        <w:tab/>
        <w:t>Each RTM Energy Bid submitted by a QSE must include the following information:</w:t>
      </w:r>
    </w:p>
    <w:p w14:paraId="3B1F8AAA" w14:textId="77777777" w:rsidR="001F04FD" w:rsidRPr="006A6281" w:rsidRDefault="001F04FD" w:rsidP="001F04FD">
      <w:pPr>
        <w:pStyle w:val="List"/>
      </w:pPr>
      <w:r w:rsidRPr="006A6281">
        <w:t>(a)</w:t>
      </w:r>
      <w:r w:rsidRPr="006A6281">
        <w:tab/>
        <w:t>The QSE;</w:t>
      </w:r>
    </w:p>
    <w:p w14:paraId="44176AA8" w14:textId="77777777" w:rsidR="001F04FD" w:rsidRPr="006A6281" w:rsidRDefault="001F04FD" w:rsidP="001F04FD">
      <w:pPr>
        <w:pStyle w:val="List"/>
      </w:pPr>
      <w:r w:rsidRPr="006A6281">
        <w:t>(b)</w:t>
      </w:r>
      <w:r w:rsidRPr="006A6281">
        <w:tab/>
        <w:t>The relevant Load Resource;</w:t>
      </w:r>
    </w:p>
    <w:p w14:paraId="51639322" w14:textId="77777777" w:rsidR="001F04FD" w:rsidRPr="006A6281" w:rsidRDefault="001F04FD" w:rsidP="001F04FD">
      <w:pPr>
        <w:pStyle w:val="List"/>
      </w:pPr>
      <w:r w:rsidRPr="006A6281">
        <w:t>(c)</w:t>
      </w:r>
      <w:r w:rsidRPr="006A6281">
        <w:tab/>
        <w:t xml:space="preserve">A bid curve with no more than ten price/quantity pairs with monotonically non-increasing not-to-exceed prices (in $/MWh) and with increasing quantities ranging from zero to the Load Resource’s maximum demand response capability (in MW) represented by the difference between the Load Resource’s telemetered </w:t>
      </w:r>
      <w:r>
        <w:t>Maximum Power Consumption (</w:t>
      </w:r>
      <w:r w:rsidRPr="006A6281">
        <w:t>MPC</w:t>
      </w:r>
      <w:r>
        <w:t>)</w:t>
      </w:r>
      <w:r w:rsidRPr="006A6281">
        <w:t xml:space="preserve"> and </w:t>
      </w:r>
      <w:r>
        <w:t>Low Power Consumption (</w:t>
      </w:r>
      <w:r w:rsidRPr="006A6281">
        <w:t>LPC</w:t>
      </w:r>
      <w:r>
        <w:t>)</w:t>
      </w:r>
      <w:r w:rsidRPr="006A6281">
        <w:t>;</w:t>
      </w:r>
    </w:p>
    <w:p w14:paraId="741072F7" w14:textId="77777777" w:rsidR="001F04FD" w:rsidRPr="006A6281" w:rsidRDefault="001F04FD" w:rsidP="001F04FD">
      <w:pPr>
        <w:pStyle w:val="List"/>
      </w:pPr>
      <w:r w:rsidRPr="006A6281">
        <w:t>(d)</w:t>
      </w:r>
      <w:r w:rsidRPr="006A6281">
        <w:tab/>
        <w:t>The first and last hour of the bid; and</w:t>
      </w:r>
    </w:p>
    <w:p w14:paraId="361751FC" w14:textId="77777777" w:rsidR="001F04FD" w:rsidRPr="006A6281" w:rsidRDefault="001F04FD" w:rsidP="001F04FD">
      <w:pPr>
        <w:pStyle w:val="List"/>
      </w:pPr>
      <w:r w:rsidRPr="006A6281">
        <w:t>(e)</w:t>
      </w:r>
      <w:r w:rsidRPr="006A6281">
        <w:tab/>
        <w:t>The expiration time and date of the bid.</w:t>
      </w:r>
    </w:p>
    <w:p w14:paraId="37B10BE3" w14:textId="77777777" w:rsidR="001F04FD" w:rsidRPr="006A6281" w:rsidRDefault="001F04FD" w:rsidP="001F04FD">
      <w:pPr>
        <w:pStyle w:val="BodyTextNumbered"/>
      </w:pPr>
      <w:r w:rsidRPr="006A6281">
        <w:t>(2)</w:t>
      </w:r>
      <w:r w:rsidRPr="006A6281">
        <w:tab/>
        <w:t>The software systems must be able to provide ERCOT with the ability to enter Resource-specific RTM Energy Bid floors and caps.</w:t>
      </w:r>
    </w:p>
    <w:p w14:paraId="1E21C70D" w14:textId="77777777" w:rsidR="001F04FD" w:rsidRPr="006A6281" w:rsidRDefault="001F04FD" w:rsidP="001F04FD">
      <w:pPr>
        <w:pStyle w:val="BodyTextNumbered"/>
      </w:pPr>
      <w:r w:rsidRPr="006A6281">
        <w:t>(3)</w:t>
      </w:r>
      <w:r w:rsidRPr="006A6281">
        <w:tab/>
        <w:t>The minimum amount per Load Resource for each RTM Energy Bid that may be submitted is one-tenth (0.1) MW.</w:t>
      </w:r>
    </w:p>
    <w:p w14:paraId="10DE116C" w14:textId="77777777" w:rsidR="001F04FD" w:rsidRPr="006A6281" w:rsidRDefault="001F04FD" w:rsidP="001F04FD">
      <w:pPr>
        <w:pStyle w:val="BodyTextNumbered"/>
      </w:pPr>
      <w:r w:rsidRPr="006A6281">
        <w:lastRenderedPageBreak/>
        <w:t>(4)</w:t>
      </w:r>
      <w:r w:rsidRPr="006A6281">
        <w:tab/>
        <w:t>If a Controllable Load Resource is carrying Ancillary Service Resource Responsibility, its RTM Energy Bid must be priced no higher than the SWCAP.</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A245D" w14:paraId="15044529" w14:textId="77777777" w:rsidTr="0058150D">
        <w:trPr>
          <w:trHeight w:val="206"/>
        </w:trPr>
        <w:tc>
          <w:tcPr>
            <w:tcW w:w="9350" w:type="dxa"/>
            <w:shd w:val="pct12" w:color="auto" w:fill="auto"/>
          </w:tcPr>
          <w:p w14:paraId="6994892B" w14:textId="147CAB93" w:rsidR="002A245D" w:rsidRDefault="002A245D" w:rsidP="0058150D">
            <w:pPr>
              <w:pStyle w:val="Instructions"/>
              <w:spacing w:before="120"/>
            </w:pPr>
            <w:bookmarkStart w:id="328" w:name="_Toc397504924"/>
            <w:bookmarkStart w:id="329" w:name="_Toc402357052"/>
            <w:bookmarkStart w:id="330" w:name="_Toc422486432"/>
            <w:bookmarkStart w:id="331" w:name="_Toc433093284"/>
            <w:bookmarkStart w:id="332" w:name="_Toc433093442"/>
            <w:bookmarkStart w:id="333" w:name="_Toc440874672"/>
            <w:bookmarkStart w:id="334" w:name="_Toc448142227"/>
            <w:bookmarkStart w:id="335" w:name="_Toc448142384"/>
            <w:bookmarkStart w:id="336" w:name="_Toc458770220"/>
            <w:bookmarkStart w:id="337" w:name="_Toc459294188"/>
            <w:bookmarkStart w:id="338" w:name="_Toc463262681"/>
            <w:bookmarkStart w:id="339" w:name="_Toc468286753"/>
            <w:bookmarkStart w:id="340" w:name="_Toc481502799"/>
            <w:bookmarkStart w:id="341" w:name="_Toc496079969"/>
            <w:r>
              <w:t xml:space="preserve">[NPRR1010:  Replace paragraph (4) above </w:t>
            </w:r>
            <w:r w:rsidR="00525E33">
              <w:t xml:space="preserve">with the following </w:t>
            </w:r>
            <w:r>
              <w:t>upon system implementation of the Real-Time Co-Optimization (RTC) project:]</w:t>
            </w:r>
          </w:p>
          <w:p w14:paraId="025F170F" w14:textId="4331CD25" w:rsidR="002A245D" w:rsidRPr="00A4149C" w:rsidRDefault="002A245D" w:rsidP="002A245D">
            <w:pPr>
              <w:spacing w:after="240"/>
              <w:ind w:left="720" w:hanging="720"/>
            </w:pPr>
            <w:r w:rsidRPr="003161DC">
              <w:t>(4)</w:t>
            </w:r>
            <w:r w:rsidRPr="003161DC">
              <w:tab/>
              <w:t xml:space="preserve">If a Controllable Load Resource is </w:t>
            </w:r>
            <w:r>
              <w:t>offering to provide an</w:t>
            </w:r>
            <w:r w:rsidRPr="003161DC">
              <w:t xml:space="preserve"> Ancillary Service, its RTM Energy Bid must be priced no higher than the </w:t>
            </w:r>
            <w:r>
              <w:t>effective VOLL</w:t>
            </w:r>
            <w:r w:rsidRPr="003161DC">
              <w:t>.</w:t>
            </w:r>
          </w:p>
        </w:tc>
      </w:tr>
    </w:tbl>
    <w:p w14:paraId="53577717" w14:textId="77777777" w:rsidR="00D3410D" w:rsidRDefault="00D3410D"/>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3410D" w14:paraId="50B4235A" w14:textId="77777777" w:rsidTr="00D3410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5E1E6FCE" w14:textId="5A4E3950" w:rsidR="00D3410D" w:rsidRPr="00A4149C" w:rsidRDefault="00D3410D" w:rsidP="00F5593C">
            <w:pPr>
              <w:pStyle w:val="Instructions"/>
              <w:spacing w:before="120"/>
            </w:pPr>
            <w:r>
              <w:t>[NPRR1188:  Delete Section 6.4.3.1.1 above upon system implementation.]</w:t>
            </w:r>
          </w:p>
        </w:tc>
      </w:tr>
    </w:tbl>
    <w:p w14:paraId="324F0B97" w14:textId="7EDC5929" w:rsidR="001F04FD" w:rsidRPr="006A6281" w:rsidRDefault="001F04FD" w:rsidP="00F468C2">
      <w:pPr>
        <w:pStyle w:val="H5"/>
        <w:tabs>
          <w:tab w:val="left" w:pos="5366"/>
        </w:tabs>
        <w:spacing w:before="480"/>
        <w:ind w:left="1627" w:hanging="1627"/>
      </w:pPr>
      <w:bookmarkStart w:id="342" w:name="_Toc204411555"/>
      <w:r w:rsidRPr="006A6281">
        <w:t>6.4.3.1.2</w:t>
      </w:r>
      <w:r w:rsidRPr="006A6281">
        <w:tab/>
        <w:t>RTM Energy Bid Validation</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00C476E8">
        <w:tab/>
      </w:r>
    </w:p>
    <w:p w14:paraId="1D7C71E8" w14:textId="77777777" w:rsidR="001F04FD" w:rsidRPr="006A6281" w:rsidRDefault="001F04FD" w:rsidP="001F04FD">
      <w:pPr>
        <w:pStyle w:val="BodyTextNumbered"/>
      </w:pPr>
      <w:r w:rsidRPr="006A6281">
        <w:t>(1)</w:t>
      </w:r>
      <w:r w:rsidRPr="006A6281">
        <w:tab/>
        <w:t>A valid RTM Energy Bid is a bid that ERCOT has determined meets the criteria listed in Section 6.4.3.1.1, RTM Energy Bid Criteria.</w:t>
      </w:r>
    </w:p>
    <w:p w14:paraId="4A2A80C9" w14:textId="77777777" w:rsidR="001F04FD" w:rsidRPr="006A6281" w:rsidRDefault="001F04FD" w:rsidP="001F04FD">
      <w:pPr>
        <w:pStyle w:val="BodyTextNumbered"/>
      </w:pPr>
      <w:r w:rsidRPr="006A6281">
        <w:t>(2)</w:t>
      </w:r>
      <w:r w:rsidRPr="006A6281">
        <w:tab/>
        <w:t>ERCOT shall notify the QSE submitting an RTM Energy Bid by the Messaging System if the bid was rejected or was considered invalid for any reason.  The QSE may then resubmit the bid within the appropriate market timeline.</w:t>
      </w:r>
    </w:p>
    <w:p w14:paraId="5B9B7F00" w14:textId="77777777" w:rsidR="001F04FD" w:rsidRDefault="001F04FD" w:rsidP="001F04FD">
      <w:pPr>
        <w:pStyle w:val="BodyTextNumbered"/>
      </w:pPr>
      <w:r w:rsidRPr="004E6640">
        <w:t>(3)</w:t>
      </w:r>
      <w:r w:rsidRPr="004E6640">
        <w:tab/>
        <w:t>ERCOT shall continuously validate RTM Energy Bids and continuously display on the MIS Certified Area information that allows any QSE to view its valid RTM Energy Bids.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3410D" w14:paraId="6362E997" w14:textId="77777777" w:rsidTr="00F5593C">
        <w:trPr>
          <w:trHeight w:val="206"/>
        </w:trPr>
        <w:tc>
          <w:tcPr>
            <w:tcW w:w="9350" w:type="dxa"/>
            <w:shd w:val="pct12" w:color="auto" w:fill="auto"/>
          </w:tcPr>
          <w:p w14:paraId="59BA83E6" w14:textId="48452E83" w:rsidR="00D3410D" w:rsidRPr="00A4149C" w:rsidRDefault="00D3410D" w:rsidP="00F5593C">
            <w:pPr>
              <w:pStyle w:val="Instructions"/>
              <w:spacing w:before="120"/>
            </w:pPr>
            <w:bookmarkStart w:id="343" w:name="_Toc397504925"/>
            <w:bookmarkStart w:id="344" w:name="_Toc402357053"/>
            <w:bookmarkStart w:id="345" w:name="_Toc422486433"/>
            <w:bookmarkStart w:id="346" w:name="_Toc433093285"/>
            <w:bookmarkStart w:id="347" w:name="_Toc433093443"/>
            <w:bookmarkStart w:id="348" w:name="_Toc440874673"/>
            <w:bookmarkStart w:id="349" w:name="_Toc448142228"/>
            <w:bookmarkStart w:id="350" w:name="_Toc448142385"/>
            <w:bookmarkStart w:id="351" w:name="_Toc458770221"/>
            <w:bookmarkStart w:id="352" w:name="_Toc459294189"/>
            <w:bookmarkStart w:id="353" w:name="_Toc463262682"/>
            <w:bookmarkStart w:id="354" w:name="_Toc468286754"/>
            <w:bookmarkStart w:id="355" w:name="_Toc481502800"/>
            <w:bookmarkStart w:id="356" w:name="_Toc496079970"/>
            <w:r>
              <w:t>[NPRR1188:  Delete Section 6.4.3.1.2 above upon system implementation.]</w:t>
            </w:r>
          </w:p>
        </w:tc>
      </w:tr>
    </w:tbl>
    <w:p w14:paraId="776416FC" w14:textId="77777777" w:rsidR="001F04FD" w:rsidRDefault="001F04FD" w:rsidP="001F04FD">
      <w:pPr>
        <w:pStyle w:val="H3"/>
        <w:spacing w:before="480"/>
      </w:pPr>
      <w:bookmarkStart w:id="357" w:name="_Toc204411556"/>
      <w:r>
        <w:t>6.4.4</w:t>
      </w:r>
      <w:r>
        <w:tab/>
        <w:t>Energy Offer Curve</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55D2C8A4" w14:textId="77777777" w:rsidR="001F04FD" w:rsidRDefault="001F04FD" w:rsidP="001F04FD">
      <w:pPr>
        <w:pStyle w:val="BodyTextNumbered"/>
      </w:pPr>
      <w:r>
        <w:t>(1)</w:t>
      </w:r>
      <w:r>
        <w:tab/>
        <w:t>A detailed description of Energy Offer Curve and validations performed by ERCOT is in Section 4.4.9, Energy Offers and Bids.</w:t>
      </w:r>
    </w:p>
    <w:p w14:paraId="1268289A" w14:textId="77777777" w:rsidR="001F04FD" w:rsidRDefault="001F04FD" w:rsidP="001F04FD">
      <w:pPr>
        <w:pStyle w:val="BodyTextNumbered"/>
      </w:pPr>
      <w:r>
        <w:t>(2)</w:t>
      </w:r>
      <w:r>
        <w:tab/>
        <w:t>For an On-Line RMR Unit, ERCOT shall submit an Energy Offer Curve considering contractual constraints on the Resource and any other adverse effects on, or implications arising from, the RMR Agreement, that may occur as the result of the Dispatch of the RMR Unit.  The RMR Unit’s Energy Offer Curve must price all energy at the SWCAP in $/MWh.</w:t>
      </w:r>
    </w:p>
    <w:p w14:paraId="40EA5A70" w14:textId="670A1C4E" w:rsidR="001F04FD" w:rsidRDefault="001F04FD" w:rsidP="005A7D2B">
      <w:pPr>
        <w:pStyle w:val="BodyTextNumbered"/>
      </w:pPr>
      <w:r>
        <w:t>(3)</w:t>
      </w:r>
      <w:r>
        <w:tab/>
        <w:t xml:space="preserve">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w:t>
      </w:r>
      <w:r>
        <w:lastRenderedPageBreak/>
        <w:t>Output Schedule equal to the then-current telemetered output of the Resource until an Output Schedule or Energy Offer Curve is submitted.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A7D2B" w14:paraId="4A41F9C0" w14:textId="77777777" w:rsidTr="00FB599C">
        <w:trPr>
          <w:trHeight w:val="206"/>
        </w:trPr>
        <w:tc>
          <w:tcPr>
            <w:tcW w:w="9350" w:type="dxa"/>
            <w:shd w:val="pct12" w:color="auto" w:fill="auto"/>
          </w:tcPr>
          <w:p w14:paraId="1980A110" w14:textId="6DC2121F" w:rsidR="005A7D2B" w:rsidRDefault="005A7D2B" w:rsidP="009E7633">
            <w:pPr>
              <w:pStyle w:val="Instructions"/>
              <w:spacing w:before="120"/>
            </w:pPr>
            <w:bookmarkStart w:id="358" w:name="_Toc397504927"/>
            <w:bookmarkStart w:id="359" w:name="_Toc402357055"/>
            <w:bookmarkStart w:id="360" w:name="_Toc422486435"/>
            <w:bookmarkStart w:id="361" w:name="_Toc433093287"/>
            <w:bookmarkStart w:id="362" w:name="_Toc433093445"/>
            <w:bookmarkStart w:id="363" w:name="_Toc440874674"/>
            <w:bookmarkStart w:id="364" w:name="_Toc448142229"/>
            <w:bookmarkStart w:id="365" w:name="_Toc448142386"/>
            <w:bookmarkStart w:id="366" w:name="_Toc458770222"/>
            <w:bookmarkStart w:id="367" w:name="_Toc459294190"/>
            <w:bookmarkStart w:id="368" w:name="_Toc463262683"/>
            <w:bookmarkStart w:id="369" w:name="_Toc468286755"/>
            <w:bookmarkStart w:id="370" w:name="_Toc481502801"/>
            <w:bookmarkStart w:id="371" w:name="_Toc496079971"/>
            <w:r>
              <w:t xml:space="preserve">[NPRR1000, NPRR1010, </w:t>
            </w:r>
            <w:r w:rsidR="00F17687">
              <w:t xml:space="preserve">and </w:t>
            </w:r>
            <w:r>
              <w:t>NPRR1014:  Replace applicable portions of Section 6.4.4 above with the following upon system implementation for NPRR1000</w:t>
            </w:r>
            <w:r w:rsidR="00F17687">
              <w:t xml:space="preserve"> or</w:t>
            </w:r>
            <w:r>
              <w:t xml:space="preserve"> NPRR1014; or upon system implementation of the Real-Time Co-Optimization (RTC) project for NPRR1010:]</w:t>
            </w:r>
          </w:p>
          <w:p w14:paraId="3125F3BC" w14:textId="77777777" w:rsidR="005A7D2B" w:rsidRPr="00A552C3" w:rsidRDefault="005A7D2B" w:rsidP="005A7D2B">
            <w:pPr>
              <w:keepNext/>
              <w:tabs>
                <w:tab w:val="left" w:pos="1080"/>
              </w:tabs>
              <w:spacing w:before="240" w:after="240"/>
              <w:ind w:left="1080" w:hanging="1080"/>
              <w:outlineLvl w:val="2"/>
              <w:rPr>
                <w:b/>
                <w:bCs/>
                <w:i/>
              </w:rPr>
            </w:pPr>
            <w:bookmarkStart w:id="372" w:name="_Toc60040566"/>
            <w:bookmarkStart w:id="373" w:name="_Toc65151626"/>
            <w:bookmarkStart w:id="374" w:name="_Toc80174652"/>
            <w:bookmarkStart w:id="375" w:name="_Toc108712410"/>
            <w:bookmarkStart w:id="376" w:name="_Toc112417530"/>
            <w:bookmarkStart w:id="377" w:name="_Toc119310198"/>
            <w:bookmarkStart w:id="378" w:name="_Toc125966132"/>
            <w:bookmarkStart w:id="379" w:name="_Toc135992229"/>
            <w:bookmarkStart w:id="380" w:name="_Toc170303426"/>
            <w:bookmarkStart w:id="381" w:name="_Toc175157331"/>
            <w:bookmarkStart w:id="382" w:name="_Toc204411557"/>
            <w:r w:rsidRPr="00A552C3">
              <w:rPr>
                <w:b/>
                <w:bCs/>
                <w:i/>
              </w:rPr>
              <w:t>6.4.4</w:t>
            </w:r>
            <w:r w:rsidRPr="00A552C3">
              <w:rPr>
                <w:b/>
                <w:bCs/>
                <w:i/>
              </w:rPr>
              <w:tab/>
              <w:t>Energy Offer Curve and Energy Bid/Offer Curve</w:t>
            </w:r>
            <w:bookmarkEnd w:id="372"/>
            <w:bookmarkEnd w:id="373"/>
            <w:bookmarkEnd w:id="374"/>
            <w:bookmarkEnd w:id="375"/>
            <w:bookmarkEnd w:id="376"/>
            <w:bookmarkEnd w:id="377"/>
            <w:bookmarkEnd w:id="378"/>
            <w:bookmarkEnd w:id="379"/>
            <w:bookmarkEnd w:id="380"/>
            <w:bookmarkEnd w:id="381"/>
            <w:bookmarkEnd w:id="382"/>
          </w:p>
          <w:p w14:paraId="180452D5" w14:textId="77777777" w:rsidR="005A7D2B" w:rsidRPr="00A552C3" w:rsidRDefault="005A7D2B" w:rsidP="005A7D2B">
            <w:pPr>
              <w:spacing w:after="240"/>
              <w:ind w:left="720" w:hanging="720"/>
            </w:pPr>
            <w:r w:rsidRPr="00A552C3">
              <w:t>(1)</w:t>
            </w:r>
            <w:r w:rsidRPr="00A552C3">
              <w:tab/>
              <w:t>A detailed description of Energy Offer Curve, Energy Bid/Offer Curve, and validations performed by ERCOT is in Section 4.4.9, Energy Offers and Bids.</w:t>
            </w:r>
          </w:p>
          <w:p w14:paraId="78EA7F8E" w14:textId="77777777" w:rsidR="005A7D2B" w:rsidRPr="00A552C3" w:rsidRDefault="005A7D2B" w:rsidP="005A7D2B">
            <w:pPr>
              <w:spacing w:after="240"/>
              <w:ind w:left="720" w:hanging="720"/>
            </w:pPr>
            <w:r w:rsidRPr="00A552C3">
              <w:t>(2)</w:t>
            </w:r>
            <w:r w:rsidRPr="00A552C3">
              <w:tab/>
              <w:t>For an On-Line RMR Unit, ERCOT shall submit an Energy Offer Curve considering contractual constraints on the Resource and any other adverse effects on, or implications arising from, the RMR Agreement, that may occur as the result of the Dispatch of the RMR Unit.  The RMR Unit’s administratively-set Energy Offer Curve must price all energy at the effective VOLL in $/MWh.</w:t>
            </w:r>
          </w:p>
          <w:p w14:paraId="572C640B" w14:textId="51958103" w:rsidR="005A7D2B" w:rsidRPr="00A552C3" w:rsidRDefault="005A7D2B" w:rsidP="005A7D2B">
            <w:pPr>
              <w:spacing w:after="240"/>
              <w:ind w:left="720" w:hanging="720"/>
            </w:pPr>
            <w:r w:rsidRPr="00A552C3">
              <w:t>(3)</w:t>
            </w:r>
            <w:r w:rsidRPr="00A552C3">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and QF Resources, ERCOT shall create an Output Schedule equal to the then-current telemetered output of the Resource until an Output Schedule or Energy Offer Curve is submitted.</w:t>
            </w:r>
          </w:p>
          <w:p w14:paraId="76AF9DB4" w14:textId="6C832D2F" w:rsidR="005A7D2B" w:rsidRPr="00A4149C" w:rsidRDefault="005A7D2B" w:rsidP="005A7D2B">
            <w:pPr>
              <w:spacing w:after="240"/>
              <w:ind w:left="720" w:hanging="720"/>
            </w:pPr>
            <w:r w:rsidRPr="00A552C3">
              <w:t>(4)</w:t>
            </w:r>
            <w:r w:rsidRPr="00A552C3">
              <w:tab/>
              <w:t>For ESRs with a Resource Status other than ONTEST or ONHOLD, if a valid Energy Bid/Offer Curve or an Output Schedule does not exist, then ERCOT shall notify the QSE and create a proxy Energy Bid/Offer Curve priced at -$250/MWh for the MW portion of the curve less than zero MW, and priced at the RTSWCAP for the MW portion of the curve greater than zero MW.</w:t>
            </w:r>
          </w:p>
        </w:tc>
      </w:tr>
    </w:tbl>
    <w:p w14:paraId="799C40E4" w14:textId="4A42DBBB" w:rsidR="001F04FD" w:rsidRPr="00BF28AE" w:rsidRDefault="001F04FD" w:rsidP="001F04FD">
      <w:pPr>
        <w:spacing w:before="480" w:after="240"/>
        <w:ind w:left="1080" w:hanging="1080"/>
        <w:outlineLvl w:val="3"/>
        <w:rPr>
          <w:b/>
        </w:rPr>
      </w:pPr>
      <w:bookmarkStart w:id="383" w:name="_Toc204411558"/>
      <w:r w:rsidRPr="004C1045">
        <w:rPr>
          <w:b/>
        </w:rPr>
        <w:t>6.4.</w:t>
      </w:r>
      <w:r>
        <w:rPr>
          <w:b/>
        </w:rPr>
        <w:t>4</w:t>
      </w:r>
      <w:r w:rsidRPr="004C1045">
        <w:rPr>
          <w:b/>
        </w:rPr>
        <w:t>.</w:t>
      </w:r>
      <w:r>
        <w:rPr>
          <w:b/>
        </w:rPr>
        <w:t>1</w:t>
      </w:r>
      <w:r w:rsidRPr="004C1045">
        <w:rPr>
          <w:b/>
        </w:rPr>
        <w:tab/>
        <w:t xml:space="preserve">Energy Offer Curve </w:t>
      </w:r>
      <w:r w:rsidR="00A46896" w:rsidRPr="007F5C35">
        <w:rPr>
          <w:b/>
        </w:rPr>
        <w:t xml:space="preserve">or Energy Bid Curve </w:t>
      </w:r>
      <w:r w:rsidRPr="004C1045">
        <w:rPr>
          <w:b/>
        </w:rPr>
        <w:t>for</w:t>
      </w:r>
      <w:r>
        <w:rPr>
          <w:b/>
        </w:rPr>
        <w:t xml:space="preserve"> On-Line</w:t>
      </w:r>
      <w:r w:rsidRPr="004C1045">
        <w:rPr>
          <w:b/>
        </w:rPr>
        <w:t xml:space="preserve"> Non-Spinning Reserve Capacity</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83"/>
    </w:p>
    <w:p w14:paraId="29D1467F" w14:textId="77777777" w:rsidR="00A46896" w:rsidRPr="007F5C35" w:rsidRDefault="00A46896" w:rsidP="00A46896">
      <w:pPr>
        <w:spacing w:after="240"/>
        <w:ind w:left="720" w:hanging="720"/>
        <w:rPr>
          <w:iCs/>
        </w:rPr>
      </w:pPr>
      <w:r w:rsidRPr="007F5C35">
        <w:rPr>
          <w:iCs/>
        </w:rPr>
        <w:t>(1)</w:t>
      </w:r>
      <w:r w:rsidRPr="007F5C35">
        <w:rPr>
          <w:iCs/>
        </w:rPr>
        <w:tab/>
        <w:t xml:space="preserve">The following </w:t>
      </w:r>
      <w:r w:rsidRPr="00256DD1">
        <w:rPr>
          <w:iCs/>
        </w:rPr>
        <w:t>applies to Generation Resources</w:t>
      </w:r>
      <w:r w:rsidRPr="00256DD1">
        <w:rPr>
          <w:iCs/>
          <w:szCs w:val="24"/>
        </w:rPr>
        <w:t xml:space="preserve"> and Controllable Load Resources</w:t>
      </w:r>
      <w:r w:rsidRPr="00256DD1">
        <w:rPr>
          <w:iCs/>
        </w:rPr>
        <w:t xml:space="preserve"> that a QSE assigns Non-Spinning Reserve (Non-Spin) Ancillary Service Resource Responsibility in its COP to meet the QSE’s Ancillary Service Supply Responsibility for Non-Spin and applies to On-Line Non-Spin assignments arising as the result of Day-</w:t>
      </w:r>
      <w:r w:rsidRPr="00256DD1">
        <w:t>Ahead</w:t>
      </w:r>
      <w:r w:rsidRPr="00256DD1">
        <w:rPr>
          <w:iCs/>
        </w:rPr>
        <w:t xml:space="preserve"> Market (DAM) or Supplemental Ancillary Services Market (SASM) Ancillary Service awards, or Self-Arranged Ancillary Service Quantity</w:t>
      </w:r>
      <w:r w:rsidRPr="007F5C35">
        <w:rPr>
          <w:iCs/>
        </w:rPr>
        <w:t>.</w:t>
      </w:r>
    </w:p>
    <w:p w14:paraId="5C8A38BF" w14:textId="77777777" w:rsidR="00A46896" w:rsidRPr="007F5C35" w:rsidRDefault="00A46896" w:rsidP="00A46896">
      <w:pPr>
        <w:spacing w:after="240"/>
        <w:ind w:left="1440" w:hanging="720"/>
      </w:pPr>
      <w:r w:rsidRPr="007F5C35">
        <w:t>(a)</w:t>
      </w:r>
      <w:r w:rsidRPr="007F5C35">
        <w:tab/>
        <w:t xml:space="preserve">Prior to the end of the Adjustment Period for an Operating Hour during which a Generation Resource is assigned On-Line Non-Spin Ancillary Service Resource Responsibility, the QSE shall ensure that a valid Output Schedule or Energy Offer </w:t>
      </w:r>
      <w:r w:rsidRPr="007F5C35">
        <w:lastRenderedPageBreak/>
        <w:t>Curve for the Operating Hour has been submitted and accepted by ERCOT.  The Energy Offer Curves submitted by the QSE for the capacity assigned to Non-Spin may not be offered at less than $75 per MWh.</w:t>
      </w:r>
    </w:p>
    <w:p w14:paraId="3DAFE395" w14:textId="77777777" w:rsidR="00A46896" w:rsidRPr="00256DD1" w:rsidRDefault="00A46896" w:rsidP="00A46896">
      <w:pPr>
        <w:spacing w:after="240"/>
        <w:ind w:left="1440" w:hanging="720"/>
        <w:rPr>
          <w:szCs w:val="24"/>
        </w:rPr>
      </w:pPr>
      <w:r w:rsidRPr="007F5C35">
        <w:rPr>
          <w:szCs w:val="24"/>
        </w:rPr>
        <w:t>(b)</w:t>
      </w:r>
      <w:r w:rsidRPr="007F5C35">
        <w:rPr>
          <w:szCs w:val="24"/>
        </w:rPr>
        <w:tab/>
        <w:t xml:space="preserve">Prior to the end of the Adjustment Period for an Operating Hour during which a Controllable Load Resource is assigned On-Line Non-Spin Ancillary Service Resource Responsibility, the QSE shall ensure that an Energy Bid Curve for the Operating Hour has been submitted and accepted by ERCOT.  The Energy Bid Curve submitted by the QSE for the capacity assigned to Non-Spin may not be less than $75 </w:t>
      </w:r>
      <w:r w:rsidRPr="00256DD1">
        <w:rPr>
          <w:szCs w:val="24"/>
        </w:rPr>
        <w:t>per MWh.</w:t>
      </w:r>
    </w:p>
    <w:p w14:paraId="1FBAB00F" w14:textId="77777777" w:rsidR="00A46896" w:rsidRPr="007F5C35" w:rsidRDefault="00A46896" w:rsidP="00A46896">
      <w:pPr>
        <w:spacing w:after="240"/>
        <w:ind w:left="1440" w:hanging="720"/>
      </w:pPr>
      <w:r w:rsidRPr="00256DD1">
        <w:t>(c)</w:t>
      </w:r>
      <w:r w:rsidRPr="00256DD1">
        <w:tab/>
        <w:t>If the QSE also assigns Responsive Reserve (RRS), ERCOT Contingency Reserve Service (ECRS), and/or Regulation Up Service (Reg-Up) to a Generation Resource that has been assigned Non-Spin, the QSE shall ensure that a valid Output Schedule or Energy Offer Curve for the Operating Hour has been submitted and accepted by ERCOT.  The Energy Offer Curves submitted by the QSE for the capacity assigned to the sum of the RRS, ECRS, Reg-Up, and Non-Spin Ancillary Service Resource Responsibilities, as well as any Non-Frequency Responsive Capacity (NFRC) that is above the Resource’s High Ancillary Service Limit (HASL) and</w:t>
      </w:r>
      <w:r w:rsidRPr="007F5C35">
        <w:t xml:space="preserve"> will not be utilized prior to deployment of a Resource’s On-Line Non-Spin, may not be offered at less than $75 per MWh.</w:t>
      </w:r>
    </w:p>
    <w:p w14:paraId="049487CE" w14:textId="1D4FBA5F" w:rsidR="007F5C35" w:rsidRDefault="00A46896" w:rsidP="00F468C2">
      <w:pPr>
        <w:spacing w:after="240"/>
        <w:ind w:left="1440" w:hanging="720"/>
      </w:pPr>
      <w:r w:rsidRPr="007F5C35">
        <w:t>(d)</w:t>
      </w:r>
      <w:r w:rsidRPr="007F5C35">
        <w:tab/>
        <w:t>If the QSE also assigns RRS</w:t>
      </w:r>
      <w:r>
        <w:t>, ECRS,</w:t>
      </w:r>
      <w:r w:rsidRPr="007F5C35">
        <w:t xml:space="preserve"> and/or Reg-Up to a Controllable Load Resource that has been assigned Non-Spin, the QSE shall ensure that a valid Energy Bid Curve for the Operating Hour has been submitted and accepted by ERCOT.  The Energy Bid Curves submitted by the QSE for the capacity assigned to the sum of the RRS, </w:t>
      </w:r>
      <w:r>
        <w:t xml:space="preserve">ECRS, </w:t>
      </w:r>
      <w:r w:rsidRPr="007F5C35">
        <w:t>Reg-Up, and Non-Spin Ancillary Service Resource Responsibilities may not be less than $75 per MWh.</w:t>
      </w:r>
      <w:bookmarkStart w:id="384" w:name="_Toc397504928"/>
      <w:bookmarkStart w:id="385" w:name="_Toc402357056"/>
      <w:bookmarkStart w:id="386" w:name="_Toc422486436"/>
      <w:bookmarkStart w:id="387" w:name="_Toc433093288"/>
      <w:bookmarkStart w:id="388" w:name="_Toc433093446"/>
      <w:bookmarkStart w:id="389" w:name="_Toc440874675"/>
      <w:bookmarkStart w:id="390" w:name="_Toc448142230"/>
      <w:bookmarkStart w:id="391" w:name="_Toc448142387"/>
      <w:bookmarkStart w:id="392" w:name="_Toc458770223"/>
      <w:bookmarkStart w:id="393" w:name="_Toc459294191"/>
      <w:bookmarkStart w:id="394" w:name="_Toc463262684"/>
      <w:bookmarkStart w:id="395" w:name="_Toc468286756"/>
      <w:bookmarkStart w:id="396" w:name="_Toc481502802"/>
      <w:bookmarkStart w:id="397" w:name="_Toc496079972"/>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07618CC5" w14:textId="77777777" w:rsidTr="0058150D">
        <w:trPr>
          <w:trHeight w:val="206"/>
        </w:trPr>
        <w:tc>
          <w:tcPr>
            <w:tcW w:w="9350" w:type="dxa"/>
            <w:shd w:val="pct12" w:color="auto" w:fill="auto"/>
          </w:tcPr>
          <w:p w14:paraId="65FF1F52" w14:textId="00C23CA1" w:rsidR="00330FCC" w:rsidRPr="00A4149C" w:rsidRDefault="00330FCC" w:rsidP="00525E33">
            <w:pPr>
              <w:pStyle w:val="Instructions"/>
              <w:spacing w:before="120"/>
            </w:pPr>
            <w:r>
              <w:t>[NPRR1010:  Delete Section 6.4.4.1 above upon system implementation of the Real-Time Co-Optimization (RTC) project</w:t>
            </w:r>
            <w:r w:rsidR="00525E33">
              <w:t>.</w:t>
            </w:r>
            <w:r>
              <w:t>]</w:t>
            </w:r>
          </w:p>
        </w:tc>
      </w:tr>
    </w:tbl>
    <w:p w14:paraId="02BE171C" w14:textId="77777777" w:rsidR="00236104" w:rsidRPr="00393D4A" w:rsidRDefault="00236104" w:rsidP="00236104">
      <w:pPr>
        <w:spacing w:before="480" w:after="240"/>
        <w:ind w:left="1080" w:hanging="1080"/>
        <w:outlineLvl w:val="3"/>
        <w:rPr>
          <w:b/>
        </w:rPr>
      </w:pPr>
      <w:bookmarkStart w:id="398" w:name="_Toc204411559"/>
      <w:r w:rsidRPr="00393D4A">
        <w:rPr>
          <w:b/>
        </w:rPr>
        <w:t>6.4.4.2</w:t>
      </w:r>
      <w:r w:rsidRPr="00393D4A">
        <w:rPr>
          <w:b/>
        </w:rPr>
        <w:tab/>
        <w:t>Energy Offer Curve for RUC-Committed Switchable Generation Resources</w:t>
      </w:r>
      <w:bookmarkEnd w:id="398"/>
    </w:p>
    <w:p w14:paraId="62C34E73" w14:textId="71CB5225" w:rsidR="00BD7CC8" w:rsidRDefault="00236104" w:rsidP="00236104">
      <w:pPr>
        <w:pStyle w:val="BodyTextNumbered"/>
        <w:rPr>
          <w:color w:val="000000"/>
        </w:rPr>
      </w:pPr>
      <w:r w:rsidRPr="00393D4A">
        <w:rPr>
          <w:color w:val="000000"/>
        </w:rPr>
        <w:t>(1)</w:t>
      </w:r>
      <w:r w:rsidRPr="00393D4A">
        <w:rPr>
          <w:color w:val="000000"/>
        </w:rPr>
        <w:tab/>
      </w:r>
      <w:r w:rsidR="00F17687" w:rsidRPr="00221D04">
        <w:rPr>
          <w:color w:val="000000"/>
        </w:rPr>
        <w:t xml:space="preserve">For an Operating Hour during which a </w:t>
      </w:r>
      <w:r w:rsidR="00F17687" w:rsidRPr="00221D04">
        <w:t>Switchable</w:t>
      </w:r>
      <w:r w:rsidR="00F17687" w:rsidRPr="00221D04">
        <w:rPr>
          <w:color w:val="000000"/>
        </w:rPr>
        <w:t xml:space="preserve"> Generation Resource (SWGR) has been committed by ERCOT as part of the Reliability Unit Commitment (RUC) process to address an actual or anticipated Energy Emergency Alert (EEA) event, the QSE shall ensure that an Energy Offer Curve that prices all energy from LSL to HSL at or above $4,500 per MWh or at the SWCAP, whichever is lower, for the Operating Hours in the RUC commitment period, has been submitted and accepted by ERCOT.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623B9F46" w14:textId="77777777" w:rsidTr="0058150D">
        <w:trPr>
          <w:trHeight w:val="206"/>
        </w:trPr>
        <w:tc>
          <w:tcPr>
            <w:tcW w:w="9350" w:type="dxa"/>
            <w:shd w:val="pct12" w:color="auto" w:fill="auto"/>
          </w:tcPr>
          <w:bookmarkEnd w:id="310"/>
          <w:p w14:paraId="4B963A17" w14:textId="4D0FD9EC" w:rsidR="00330FCC" w:rsidRDefault="00330FCC" w:rsidP="0058150D">
            <w:pPr>
              <w:pStyle w:val="Instructions"/>
              <w:spacing w:before="120"/>
            </w:pPr>
            <w:r>
              <w:t xml:space="preserve">[NPRR1010:  Replace paragraph (1) above </w:t>
            </w:r>
            <w:r w:rsidR="00525E33">
              <w:t xml:space="preserve">with the following </w:t>
            </w:r>
            <w:r>
              <w:t>upon system implementation of the Real-Time Co-Optimization (RTC) project:]</w:t>
            </w:r>
          </w:p>
          <w:p w14:paraId="5D3F58B9" w14:textId="4D400C31" w:rsidR="00330FCC" w:rsidRPr="00A4149C" w:rsidRDefault="00330FCC" w:rsidP="00330FCC">
            <w:pPr>
              <w:spacing w:after="240"/>
              <w:ind w:left="720" w:hanging="720"/>
            </w:pPr>
            <w:r w:rsidRPr="003161DC">
              <w:rPr>
                <w:color w:val="000000"/>
              </w:rPr>
              <w:lastRenderedPageBreak/>
              <w:t>(1)</w:t>
            </w:r>
            <w:r w:rsidRPr="003161DC">
              <w:rPr>
                <w:color w:val="000000"/>
              </w:rPr>
              <w:tab/>
              <w:t xml:space="preserve">Prior to the end of the Adjustment Period for an Operating Hour during which a </w:t>
            </w:r>
            <w:r w:rsidRPr="003161DC">
              <w:t>Switchable</w:t>
            </w:r>
            <w:r w:rsidRPr="003161DC">
              <w:rPr>
                <w:color w:val="000000"/>
              </w:rPr>
              <w:t xml:space="preserve"> Generation Resource (SWGR) has been committed by ERCOT as part of the Reliability Unit Commitment (RUC) process to address an actual or anticipated Energy Emergency Alert (EEA) event, </w:t>
            </w:r>
            <w:r>
              <w:rPr>
                <w:color w:val="000000"/>
              </w:rPr>
              <w:t>ERCOT</w:t>
            </w:r>
            <w:r w:rsidRPr="003161DC">
              <w:rPr>
                <w:color w:val="000000"/>
              </w:rPr>
              <w:t xml:space="preserve"> shall </w:t>
            </w:r>
            <w:r>
              <w:rPr>
                <w:color w:val="000000"/>
              </w:rPr>
              <w:t xml:space="preserve">administratively set </w:t>
            </w:r>
            <w:r w:rsidRPr="003161DC">
              <w:rPr>
                <w:color w:val="000000"/>
              </w:rPr>
              <w:t>an Energy Offer Curve that prices all energy from LSL to HSL at or above $4,500 per MWh</w:t>
            </w:r>
            <w:r>
              <w:rPr>
                <w:color w:val="000000"/>
              </w:rPr>
              <w:t>,</w:t>
            </w:r>
            <w:r w:rsidRPr="003161DC">
              <w:rPr>
                <w:color w:val="000000"/>
              </w:rPr>
              <w:t xml:space="preserve"> </w:t>
            </w:r>
            <w:r>
              <w:rPr>
                <w:color w:val="000000"/>
              </w:rPr>
              <w:t xml:space="preserve">or at the effective VOLL, </w:t>
            </w:r>
            <w:r w:rsidRPr="003161DC">
              <w:rPr>
                <w:color w:val="000000"/>
              </w:rPr>
              <w:t>whichever is lower, for the Operating Hours in the RUC commitment period</w:t>
            </w:r>
            <w:r>
              <w:rPr>
                <w:color w:val="000000"/>
              </w:rPr>
              <w:t>.</w:t>
            </w:r>
          </w:p>
        </w:tc>
      </w:tr>
    </w:tbl>
    <w:p w14:paraId="5E321BC4" w14:textId="77777777" w:rsidR="00330FCC" w:rsidRPr="00BA2009" w:rsidRDefault="00330FCC" w:rsidP="000B1D41">
      <w:pPr>
        <w:pStyle w:val="BodyTextNumbered"/>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B10B3" w14:paraId="3C39CAA4" w14:textId="77777777" w:rsidTr="00AC4758">
        <w:trPr>
          <w:trHeight w:val="206"/>
        </w:trPr>
        <w:tc>
          <w:tcPr>
            <w:tcW w:w="9350" w:type="dxa"/>
            <w:shd w:val="pct12" w:color="auto" w:fill="auto"/>
          </w:tcPr>
          <w:p w14:paraId="39242F5D" w14:textId="528ABFF4" w:rsidR="00BB10B3" w:rsidRPr="00B37C4B" w:rsidRDefault="00BB10B3" w:rsidP="00BB10B3">
            <w:pPr>
              <w:pStyle w:val="Instructions"/>
              <w:spacing w:before="120"/>
            </w:pPr>
            <w:r>
              <w:t>[NPRR1019:  Delete Section 6.4.4.2 above upon system implementation.]</w:t>
            </w:r>
          </w:p>
        </w:tc>
      </w:tr>
    </w:tbl>
    <w:p w14:paraId="1AFD60E9" w14:textId="6F85C8CE" w:rsidR="001F04FD" w:rsidRDefault="001F04FD" w:rsidP="00043D95">
      <w:pPr>
        <w:pStyle w:val="H3"/>
        <w:spacing w:before="480"/>
      </w:pPr>
      <w:bookmarkStart w:id="399" w:name="_Toc204411560"/>
      <w:r>
        <w:t>6.4.</w:t>
      </w:r>
      <w:r w:rsidRPr="00BF28AE">
        <w:t>5</w:t>
      </w:r>
      <w:r>
        <w:tab/>
        <w:t>Incremental and Decremental Energy Offer Curves</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9"/>
    </w:p>
    <w:p w14:paraId="56A3D812" w14:textId="7F013A93" w:rsidR="00330FCC" w:rsidRDefault="001F04FD" w:rsidP="001F04FD">
      <w:pPr>
        <w:pStyle w:val="BodyTextNumbered"/>
      </w:pPr>
      <w:r>
        <w:t>(1)</w:t>
      </w:r>
      <w:r>
        <w:tab/>
        <w:t xml:space="preserve">A QSE for a DSR may submit an Incremental Energy Offer Curve and a Decremental Energy Offer Curve in addition to the Output Schedule for the DSR.  The Incremental and Decremental Energy Offer Curves prices must be within the range of -$250.00 per MWh and the SWCAP in dollars per </w:t>
      </w:r>
      <w:r w:rsidRPr="0092365A">
        <w:rPr>
          <w:iCs/>
        </w:rPr>
        <w:t>MWh</w:t>
      </w:r>
      <w:r>
        <w:t xml:space="preserve"> with the quantity within the range of the High Reasonability Limit (HRL) and Low Reasonability Limit (LRL), which are described in the Resource Registration Glossary and provided in Resource Registration data.  The first </w:t>
      </w:r>
      <w:r w:rsidRPr="00BF28AE">
        <w:t xml:space="preserve">price/quantity pair </w:t>
      </w:r>
      <w:r>
        <w:t xml:space="preserve">for both the Incremental and Decremental Energy Offer Curves must provide an energy price at LRL and the last </w:t>
      </w:r>
      <w:r w:rsidRPr="00BF28AE">
        <w:t xml:space="preserve">price/quantity pair </w:t>
      </w:r>
      <w:r>
        <w:t xml:space="preserve">must provide a price at HRL.  At every MW value of the curves, the price of the Incremental Energy Offer Curve must be greater than the Decremental Energy Offer Curve. </w:t>
      </w:r>
      <w:r w:rsidR="000F6ECD">
        <w:t xml:space="preserve"> </w:t>
      </w:r>
      <w:r>
        <w:t>Incremental and Decremental Energy Offer Curves are subject to the same requirements for the same criteria and validations performed by ERCOT as provided in Section 4.4.9, Energy Offers and Bids.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185291E5" w14:textId="77777777" w:rsidTr="0058150D">
        <w:trPr>
          <w:trHeight w:val="206"/>
        </w:trPr>
        <w:tc>
          <w:tcPr>
            <w:tcW w:w="9350" w:type="dxa"/>
            <w:shd w:val="pct12" w:color="auto" w:fill="auto"/>
          </w:tcPr>
          <w:p w14:paraId="66A5031A" w14:textId="7063BE86" w:rsidR="00330FCC" w:rsidRDefault="00330FCC" w:rsidP="0058150D">
            <w:pPr>
              <w:pStyle w:val="Instructions"/>
              <w:spacing w:before="120"/>
            </w:pPr>
            <w:r>
              <w:t xml:space="preserve">[NPRR1010:  Replace paragraph (1) above </w:t>
            </w:r>
            <w:r w:rsidR="00525E33">
              <w:t xml:space="preserve">with the following </w:t>
            </w:r>
            <w:r>
              <w:t>upon system implementation of the Real-Time Co-Optimization (RTC) project:]</w:t>
            </w:r>
          </w:p>
          <w:p w14:paraId="6374F11B" w14:textId="6A84AD82" w:rsidR="00330FCC" w:rsidRPr="00A4149C" w:rsidRDefault="00330FCC" w:rsidP="000F6ECD">
            <w:pPr>
              <w:spacing w:after="240"/>
              <w:ind w:left="720" w:hanging="720"/>
            </w:pPr>
            <w:r w:rsidRPr="003161DC">
              <w:t>(1)</w:t>
            </w:r>
            <w:r w:rsidRPr="003161DC">
              <w:tab/>
              <w:t xml:space="preserve">A QSE for a DSR may submit an Incremental Energy Offer Curve and a Decremental Energy Offer Curve in addition to the Output Schedule for the DSR.  The Incremental and Decremental Energy Offer Curves prices must be within the range of -$250.00 per MWh and the </w:t>
            </w:r>
            <w:r>
              <w:t>RT</w:t>
            </w:r>
            <w:r w:rsidRPr="003161DC">
              <w:t xml:space="preserve">SWCAP in dollars per </w:t>
            </w:r>
            <w:r w:rsidRPr="003161DC">
              <w:rPr>
                <w:iCs/>
              </w:rPr>
              <w:t>MWh</w:t>
            </w:r>
            <w:r w:rsidRPr="003161DC">
              <w:t xml:space="preserve"> with the quantity within the range of the High Reasonability Limit (HRL) and Low Reasonability Limit (LRL), which are described in the Resource Registration Glossary and provided in Resource Registration data.  The first price/quantity pair for both the Incremental and Decremental Energy Offer Curves must provide an energy price at LRL and the last price/quantity pair must provide a price at HRL.  At every MW value of the curves, the price of the Incremental Energy Offer Curve must be greater than the Decremental Energy Offer Curve.</w:t>
            </w:r>
            <w:r w:rsidR="000F6ECD">
              <w:t xml:space="preserve">  </w:t>
            </w:r>
            <w:r w:rsidRPr="003161DC">
              <w:t>Incremental and Decremental Energy Offer Curves are subject to the same requirements for the same criteria and validations performed by ERCOT as provided in Section 4.4.9, Energy Offers and Bids.</w:t>
            </w:r>
          </w:p>
        </w:tc>
      </w:tr>
    </w:tbl>
    <w:p w14:paraId="057B8DC9" w14:textId="25C5DB10" w:rsidR="001F04FD" w:rsidRDefault="001F04FD" w:rsidP="000B1D41">
      <w:pPr>
        <w:pStyle w:val="BodyTextNumbered"/>
        <w:spacing w:after="0"/>
      </w:pPr>
      <w: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62BEAB19" w14:textId="77777777" w:rsidTr="005C5A9B">
        <w:trPr>
          <w:trHeight w:val="206"/>
        </w:trPr>
        <w:tc>
          <w:tcPr>
            <w:tcW w:w="9576" w:type="dxa"/>
            <w:shd w:val="pct12" w:color="auto" w:fill="auto"/>
          </w:tcPr>
          <w:p w14:paraId="328715C8" w14:textId="4B120D24" w:rsidR="00E8646B" w:rsidRDefault="00E8646B" w:rsidP="005C5A9B">
            <w:pPr>
              <w:pStyle w:val="Instructions"/>
              <w:spacing w:before="120"/>
            </w:pPr>
            <w:bookmarkStart w:id="400" w:name="_Toc397504929"/>
            <w:bookmarkStart w:id="401" w:name="_Toc402357057"/>
            <w:bookmarkStart w:id="402" w:name="_Toc422486437"/>
            <w:bookmarkStart w:id="403" w:name="_Toc433093289"/>
            <w:bookmarkStart w:id="404" w:name="_Toc433093447"/>
            <w:bookmarkStart w:id="405" w:name="_Toc440874676"/>
            <w:bookmarkStart w:id="406" w:name="_Toc448142231"/>
            <w:bookmarkStart w:id="407" w:name="_Toc448142388"/>
            <w:bookmarkStart w:id="408" w:name="_Toc458770224"/>
            <w:bookmarkStart w:id="409" w:name="_Toc459294192"/>
            <w:bookmarkStart w:id="410" w:name="_Toc463262685"/>
            <w:bookmarkStart w:id="411" w:name="_Toc468286757"/>
            <w:bookmarkStart w:id="412" w:name="_Toc481502803"/>
            <w:bookmarkStart w:id="413" w:name="_Toc496079973"/>
            <w:r>
              <w:t>[NPRR1000:  Replace Section 6.4.5 above with the following upon system implementation:]</w:t>
            </w:r>
          </w:p>
          <w:p w14:paraId="035B5AFF" w14:textId="132C2158" w:rsidR="00E8646B" w:rsidRPr="00A4149C" w:rsidRDefault="00E8646B" w:rsidP="005C5A9B">
            <w:pPr>
              <w:spacing w:after="240"/>
              <w:ind w:left="720" w:hanging="720"/>
            </w:pPr>
            <w:r w:rsidRPr="0003653E">
              <w:rPr>
                <w:b/>
                <w:bCs/>
                <w:i/>
              </w:rPr>
              <w:t>6.4.5</w:t>
            </w:r>
            <w:r w:rsidRPr="0003653E">
              <w:rPr>
                <w:b/>
                <w:bCs/>
                <w:i/>
              </w:rPr>
              <w:tab/>
            </w:r>
            <w:r>
              <w:rPr>
                <w:b/>
                <w:bCs/>
                <w:i/>
                <w:iCs/>
                <w:sz w:val="23"/>
                <w:szCs w:val="23"/>
              </w:rPr>
              <w:t>[RESERVED]</w:t>
            </w:r>
          </w:p>
        </w:tc>
      </w:tr>
    </w:tbl>
    <w:p w14:paraId="6FFB01E7" w14:textId="77777777" w:rsidR="001F04FD" w:rsidRDefault="001F04FD" w:rsidP="001F04FD">
      <w:pPr>
        <w:pStyle w:val="H3"/>
        <w:spacing w:before="480"/>
      </w:pPr>
      <w:bookmarkStart w:id="414" w:name="_Toc204411561"/>
      <w:r>
        <w:t>6.4.</w:t>
      </w:r>
      <w:r w:rsidRPr="00BF28AE">
        <w:t>6</w:t>
      </w:r>
      <w:r>
        <w:tab/>
        <w:t>Resource Status</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r>
        <w:t xml:space="preserve"> </w:t>
      </w:r>
    </w:p>
    <w:p w14:paraId="0B84E95E" w14:textId="77777777" w:rsidR="001F04FD" w:rsidRDefault="001F04FD" w:rsidP="001F04FD">
      <w:pPr>
        <w:pStyle w:val="BodyTextNumbered"/>
      </w:pPr>
      <w:r>
        <w:t>(1)</w:t>
      </w:r>
      <w:r>
        <w:tab/>
        <w:t>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Ramp Rates, HSL, and LSL.</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70E8BF6A" w14:textId="77777777" w:rsidTr="0058150D">
        <w:trPr>
          <w:trHeight w:val="206"/>
        </w:trPr>
        <w:tc>
          <w:tcPr>
            <w:tcW w:w="9350" w:type="dxa"/>
            <w:shd w:val="pct12" w:color="auto" w:fill="auto"/>
          </w:tcPr>
          <w:p w14:paraId="7C2572F1" w14:textId="4292F273" w:rsidR="00330FCC" w:rsidRDefault="00330FCC" w:rsidP="0058150D">
            <w:pPr>
              <w:pStyle w:val="Instructions"/>
              <w:spacing w:before="120"/>
            </w:pPr>
            <w:r>
              <w:t xml:space="preserve">[NPRR1010:  Replace paragraph (1) above </w:t>
            </w:r>
            <w:r w:rsidR="00525E33">
              <w:t xml:space="preserve">with the following </w:t>
            </w:r>
            <w:r>
              <w:t>upon system implementation of the Real-Time Co-Optimization (RTC) project:]</w:t>
            </w:r>
          </w:p>
          <w:p w14:paraId="43B77AA4" w14:textId="6A179C1A" w:rsidR="00330FCC" w:rsidRPr="00A4149C" w:rsidRDefault="00330FCC" w:rsidP="00330FCC">
            <w:pPr>
              <w:spacing w:after="240"/>
              <w:ind w:left="720" w:hanging="720"/>
            </w:pPr>
            <w:r w:rsidRPr="003161DC">
              <w:t>(1)</w:t>
            </w:r>
            <w:r w:rsidRPr="003161DC">
              <w:tab/>
              <w:t xml:space="preserve">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w:t>
            </w:r>
            <w:r>
              <w:t xml:space="preserve">Ancillary Service capability for each Ancillary Service, </w:t>
            </w:r>
            <w:r w:rsidRPr="003161DC">
              <w:t>Ramp Rates, HSL, and LSL.</w:t>
            </w:r>
          </w:p>
        </w:tc>
      </w:tr>
    </w:tbl>
    <w:p w14:paraId="04F964BD" w14:textId="39B9D709" w:rsidR="001F04FD" w:rsidRDefault="001F04FD" w:rsidP="000B1D41">
      <w:pPr>
        <w:pStyle w:val="BodyTextNumbered"/>
        <w:spacing w:before="240"/>
      </w:pPr>
      <w:r>
        <w:t>(2)</w:t>
      </w:r>
      <w:r>
        <w:tab/>
        <w:t>ERCOT shall perform the following validations during the Operating Period:</w:t>
      </w:r>
    </w:p>
    <w:p w14:paraId="6E9A52DE" w14:textId="77777777" w:rsidR="001F04FD" w:rsidRDefault="001F04FD" w:rsidP="001F04FD">
      <w:pPr>
        <w:pStyle w:val="List"/>
      </w:pPr>
      <w:r>
        <w:t>(a)</w:t>
      </w:r>
      <w:r>
        <w:tab/>
        <w:t>Each QSE shall provide the Real-Time operating status of each Resource to ERCOT by telemetry using the status codes in the COP for Real-Time as described in Section 3.9, Current Operating Plan (COP); and</w:t>
      </w:r>
    </w:p>
    <w:p w14:paraId="3169EEEF" w14:textId="77777777" w:rsidR="001F04FD" w:rsidRDefault="001F04FD" w:rsidP="001F04FD">
      <w:pPr>
        <w:pStyle w:val="List"/>
      </w:pPr>
      <w:r>
        <w:t>(b)</w:t>
      </w:r>
      <w:r>
        <w:tab/>
        <w:t>Five minutes before the end of each hour, ERCOT shall identify inconsistencies between the telemetered Resource Status and the Resource Status stated in the COP for that Resource in the next hour.  On detecting an inconsistency, ERCOT shall provide a notice of inconsistent Resource Status to the QSE using the Messaging System.</w:t>
      </w:r>
    </w:p>
    <w:p w14:paraId="48000A09" w14:textId="77777777" w:rsidR="001F04FD" w:rsidRDefault="001F04FD" w:rsidP="001F04FD">
      <w:pPr>
        <w:pStyle w:val="H3"/>
        <w:spacing w:before="480"/>
      </w:pPr>
      <w:bookmarkStart w:id="415" w:name="_Toc397504930"/>
      <w:bookmarkStart w:id="416" w:name="_Toc402357058"/>
      <w:bookmarkStart w:id="417" w:name="_Toc422486438"/>
      <w:bookmarkStart w:id="418" w:name="_Toc433093290"/>
      <w:bookmarkStart w:id="419" w:name="_Toc433093448"/>
      <w:bookmarkStart w:id="420" w:name="_Toc440874677"/>
      <w:bookmarkStart w:id="421" w:name="_Toc448142232"/>
      <w:bookmarkStart w:id="422" w:name="_Toc448142389"/>
      <w:bookmarkStart w:id="423" w:name="_Toc458770225"/>
      <w:bookmarkStart w:id="424" w:name="_Toc459294193"/>
      <w:bookmarkStart w:id="425" w:name="_Toc463262686"/>
      <w:bookmarkStart w:id="426" w:name="_Toc468286758"/>
      <w:bookmarkStart w:id="427" w:name="_Toc481502804"/>
      <w:bookmarkStart w:id="428" w:name="_Toc496079974"/>
      <w:bookmarkStart w:id="429" w:name="_Toc204411562"/>
      <w:r>
        <w:t>6.4.</w:t>
      </w:r>
      <w:r w:rsidRPr="00BF28AE">
        <w:t>7</w:t>
      </w:r>
      <w:r>
        <w:tab/>
        <w:t>QSE-Requested Decommitment of Resources and Changes to Ancillary Service Resource Responsibility of Resources</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448DD27C" w14:textId="16F725F2" w:rsidR="001F04FD" w:rsidRDefault="001F04FD" w:rsidP="001F04FD">
      <w:pPr>
        <w:pStyle w:val="BodyTextNumbered"/>
      </w:pPr>
      <w:r>
        <w:t>(1)</w:t>
      </w:r>
      <w:r>
        <w:tab/>
        <w:t>A Resource must remain committed during any RUC-Committed Interval or RUC Buy-Back Hour unless the Resource has a Forced Outage.</w:t>
      </w:r>
    </w:p>
    <w:p w14:paraId="0FD0C960" w14:textId="77777777" w:rsidR="001F04FD" w:rsidRDefault="001F04FD" w:rsidP="001F04FD">
      <w:pPr>
        <w:pStyle w:val="BodyTextNumbered"/>
      </w:pPr>
      <w:r>
        <w:t>(2)</w:t>
      </w:r>
      <w:r>
        <w:tab/>
        <w:t>In the Operating Period, a QSE may request to decommit a Resource other than a Quick Start Generation Resource (QSGR) for any interval that is not a RUC-Committed Interval or RUC Buy-Back Hour by verbally requesting ERCOT to consider its request.</w:t>
      </w:r>
    </w:p>
    <w:p w14:paraId="57CA11AF" w14:textId="77777777" w:rsidR="001F04FD" w:rsidRDefault="001F04FD" w:rsidP="001F04FD">
      <w:pPr>
        <w:pStyle w:val="BodyTextNumbered"/>
      </w:pPr>
      <w:r>
        <w:lastRenderedPageBreak/>
        <w:t>(3)</w:t>
      </w:r>
      <w:r>
        <w:tab/>
        <w:t xml:space="preserve">In the Operating Period, a QSE may decommit a QSGR without any request for any interval that is neither a RUC-Committed Interval, a RUC Buy-Back Hour, nor an interval in which a manual override by the ERCOT Operator has been given. </w:t>
      </w:r>
    </w:p>
    <w:p w14:paraId="7E154E0C" w14:textId="77777777" w:rsidR="001F04FD" w:rsidRDefault="001F04FD" w:rsidP="001F04FD">
      <w:pPr>
        <w:pStyle w:val="BodyTextNumbered"/>
      </w:pPr>
      <w:r>
        <w:t>(4)</w:t>
      </w:r>
      <w:r>
        <w:tab/>
        <w:t>In the Adjustment Period, a QSE may request to decommit a Resource for any interval that is not a RUC-Committed Interval or RUC Buy-Back Hour by indicating a change in unit status in the QSE’s COP</w:t>
      </w:r>
      <w:r w:rsidRPr="00C70B98">
        <w:rPr>
          <w:iCs/>
        </w:rPr>
        <w:t xml:space="preserve">, unless the Resource received a </w:t>
      </w:r>
      <w:r>
        <w:rPr>
          <w:iCs/>
        </w:rPr>
        <w:t>Weekly Reliability Unit Commitment (WRUC)</w:t>
      </w:r>
      <w:r w:rsidRPr="00C70B98">
        <w:rPr>
          <w:iCs/>
        </w:rPr>
        <w:t xml:space="preserve"> instruction for the hour.  A QSE may request to decommit a Resource for any interval that is a WRUC-instructed Interval and that is not a RUC-Committed Interval </w:t>
      </w:r>
      <w:r>
        <w:rPr>
          <w:iCs/>
        </w:rPr>
        <w:t xml:space="preserve">or RUC Buy-Back Hour </w:t>
      </w:r>
      <w:r w:rsidRPr="00C70B98">
        <w:rPr>
          <w:iCs/>
        </w:rPr>
        <w:t>by verbally requesting ERCOT to consider its request</w:t>
      </w:r>
      <w:r>
        <w:t>.</w:t>
      </w:r>
    </w:p>
    <w:p w14:paraId="12601CA5" w14:textId="25363E4B" w:rsidR="001F04FD" w:rsidRDefault="001F04FD" w:rsidP="001F04FD">
      <w:pPr>
        <w:pStyle w:val="BodyTextNumbered"/>
      </w:pPr>
      <w:r>
        <w:t>(5)</w:t>
      </w:r>
      <w:r>
        <w:tab/>
      </w:r>
      <w:r w:rsidR="00C552D9" w:rsidRPr="00EA71DD">
        <w:rPr>
          <w:iCs/>
        </w:rPr>
        <w:t>In the Adjustment Period, a QSE may request ERCOT approval for moving an Ancillary Service Resource Responsibility from one Resource to another Resource by changing its COP</w:t>
      </w:r>
      <w:r w:rsidR="00C552D9">
        <w:t>, provided that the QSE complies with its total Ancillary Service Supply Responsibility</w:t>
      </w:r>
      <w:r w:rsidR="00C552D9" w:rsidRPr="007779E2">
        <w:t>.</w:t>
      </w:r>
      <w:r w:rsidR="00C552D9" w:rsidRPr="00B706A4">
        <w:t xml:space="preserve"> </w:t>
      </w:r>
      <w:r w:rsidR="00C552D9">
        <w:t xml:space="preserve"> Any Ancillary Services transfer must be in alignment with the allowable Ancillary Service Trades, as described in Section 4.4.7.3, Ancillary Service Trades</w:t>
      </w:r>
      <w:r w:rsidR="00C552D9" w:rsidRPr="00EA71DD">
        <w:rPr>
          <w:iCs/>
        </w:rPr>
        <w:t xml:space="preserve">.  A QSE may transfer Ancillary Service Resource Responsibility for any Ancillary Service to </w:t>
      </w:r>
      <w:r w:rsidR="00C552D9">
        <w:rPr>
          <w:iCs/>
        </w:rPr>
        <w:t>an eligible</w:t>
      </w:r>
      <w:r w:rsidR="00C552D9" w:rsidRPr="00EA71DD">
        <w:rPr>
          <w:iCs/>
        </w:rPr>
        <w:t xml:space="preserve"> Resource that has </w:t>
      </w:r>
      <w:r w:rsidR="00C552D9">
        <w:rPr>
          <w:iCs/>
        </w:rPr>
        <w:t>been</w:t>
      </w:r>
      <w:r w:rsidR="00C552D9" w:rsidRPr="00EA71DD">
        <w:rPr>
          <w:iCs/>
        </w:rPr>
        <w:t xml:space="preserve"> opted out of RUC Settlement. ERCOT shall use the Hourly Reliability Unit Commitment (HRUC) and other processes to study the move and if Ancillary Services become infeasible as a result of the proposed move, ERCOT shall follow the provisions of Section 6.4.9.1.2, Replacement of Infeasible Ancillary Service Due to Transmission Constraints.</w:t>
      </w:r>
    </w:p>
    <w:p w14:paraId="0C37AA34" w14:textId="7A2D0DFC" w:rsidR="001F04FD" w:rsidRDefault="001F04FD" w:rsidP="00EF74C5">
      <w:pPr>
        <w:pStyle w:val="BodyTextNumbered"/>
      </w:pPr>
      <w:r>
        <w:t>(6)</w:t>
      </w:r>
      <w:r>
        <w:tab/>
        <w:t>In the Operating Period, a QSE shall only provide an Ancillary Service from a Resource which was reported to ERCOT in the COP to be providing that Ancillary Service for the effective Operating Hour unless modified pursuant to paragraph (7) below.</w:t>
      </w:r>
    </w:p>
    <w:p w14:paraId="4E895293" w14:textId="50F42DE5" w:rsidR="001F04FD" w:rsidRDefault="001F04FD" w:rsidP="001F04FD">
      <w:pPr>
        <w:pStyle w:val="BodyTextNumbered"/>
      </w:pPr>
      <w:r>
        <w:t>(7)</w:t>
      </w:r>
      <w:r>
        <w:tab/>
        <w:t>A QSE may vary the quantity of the Ancillary Service Resource Responsibility on Resources</w:t>
      </w:r>
      <w:r w:rsidR="00E7426E">
        <w:t>, through telemetry,</w:t>
      </w:r>
      <w:r>
        <w:t xml:space="preserve"> during the time window beginning 30 seconds prior to a five-minute clock interval and ending ten seconds prior to that five-minute clock interval, provided that the QSE complies with its total Ancillary Service Supply Responsibility.</w:t>
      </w:r>
      <w:r w:rsidR="00E7426E">
        <w:t xml:space="preserve">  Any Ancillary Services transfer must be in alignment with the allowable Ancillary Service Trades, as described in Section 4.4.7.3.</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0B9DB735" w14:textId="77777777" w:rsidTr="0058150D">
        <w:trPr>
          <w:trHeight w:val="206"/>
        </w:trPr>
        <w:tc>
          <w:tcPr>
            <w:tcW w:w="9350" w:type="dxa"/>
            <w:shd w:val="pct12" w:color="auto" w:fill="auto"/>
          </w:tcPr>
          <w:p w14:paraId="235AF022" w14:textId="3066C053" w:rsidR="00B06583" w:rsidRDefault="00B06583" w:rsidP="0058150D">
            <w:pPr>
              <w:pStyle w:val="Instructions"/>
              <w:spacing w:before="120"/>
            </w:pPr>
            <w:bookmarkStart w:id="430" w:name="_Toc397504931"/>
            <w:bookmarkStart w:id="431" w:name="_Toc402357059"/>
            <w:bookmarkStart w:id="432" w:name="_Toc422486439"/>
            <w:bookmarkStart w:id="433" w:name="_Toc433093291"/>
            <w:bookmarkStart w:id="434" w:name="_Toc433093449"/>
            <w:bookmarkStart w:id="435" w:name="_Toc440874678"/>
            <w:bookmarkStart w:id="436" w:name="_Toc448142233"/>
            <w:bookmarkStart w:id="437" w:name="_Toc448142390"/>
            <w:bookmarkStart w:id="438" w:name="_Toc458770226"/>
            <w:bookmarkStart w:id="439" w:name="_Toc459294194"/>
            <w:bookmarkStart w:id="440" w:name="_Toc463262687"/>
            <w:bookmarkStart w:id="441" w:name="_Toc468286759"/>
            <w:bookmarkStart w:id="442" w:name="_Toc481502805"/>
            <w:bookmarkStart w:id="443" w:name="_Toc496079975"/>
            <w:r>
              <w:t xml:space="preserve">[NPRR1010:  Replace Section 6.4.7 above </w:t>
            </w:r>
            <w:r w:rsidR="00525E33">
              <w:t xml:space="preserve">with the following </w:t>
            </w:r>
            <w:r>
              <w:t>upon system implementation of the Real-Time Co-Optimization (RTC) project:]</w:t>
            </w:r>
          </w:p>
          <w:p w14:paraId="2C1BE0BA" w14:textId="77777777" w:rsidR="00B06583" w:rsidRPr="003161DC" w:rsidRDefault="00B06583" w:rsidP="00B06583">
            <w:pPr>
              <w:keepNext/>
              <w:tabs>
                <w:tab w:val="left" w:pos="1080"/>
              </w:tabs>
              <w:spacing w:before="240" w:after="240"/>
              <w:ind w:left="1080" w:hanging="1080"/>
              <w:outlineLvl w:val="2"/>
              <w:rPr>
                <w:b/>
                <w:bCs/>
                <w:i/>
              </w:rPr>
            </w:pPr>
            <w:bookmarkStart w:id="444" w:name="_Toc60040572"/>
            <w:bookmarkStart w:id="445" w:name="_Toc65151632"/>
            <w:bookmarkStart w:id="446" w:name="_Toc80174658"/>
            <w:bookmarkStart w:id="447" w:name="_Toc108712416"/>
            <w:bookmarkStart w:id="448" w:name="_Toc112417536"/>
            <w:bookmarkStart w:id="449" w:name="_Toc119310205"/>
            <w:bookmarkStart w:id="450" w:name="_Toc125966139"/>
            <w:bookmarkStart w:id="451" w:name="_Toc135992236"/>
            <w:bookmarkStart w:id="452" w:name="_Toc170303433"/>
            <w:bookmarkStart w:id="453" w:name="_Toc175157337"/>
            <w:bookmarkStart w:id="454" w:name="_Toc204411563"/>
            <w:r w:rsidRPr="003161DC">
              <w:rPr>
                <w:b/>
                <w:bCs/>
                <w:i/>
              </w:rPr>
              <w:t>6.4.7</w:t>
            </w:r>
            <w:r w:rsidRPr="003161DC">
              <w:rPr>
                <w:b/>
                <w:bCs/>
                <w:i/>
              </w:rPr>
              <w:tab/>
              <w:t>QSE-Requested Decommitment of Resources</w:t>
            </w:r>
            <w:bookmarkEnd w:id="444"/>
            <w:bookmarkEnd w:id="445"/>
            <w:bookmarkEnd w:id="446"/>
            <w:bookmarkEnd w:id="447"/>
            <w:bookmarkEnd w:id="448"/>
            <w:bookmarkEnd w:id="449"/>
            <w:bookmarkEnd w:id="450"/>
            <w:bookmarkEnd w:id="451"/>
            <w:bookmarkEnd w:id="452"/>
            <w:bookmarkEnd w:id="453"/>
            <w:bookmarkEnd w:id="454"/>
            <w:r w:rsidRPr="003161DC">
              <w:rPr>
                <w:b/>
                <w:bCs/>
                <w:i/>
              </w:rPr>
              <w:t xml:space="preserve"> </w:t>
            </w:r>
          </w:p>
          <w:p w14:paraId="4489154A" w14:textId="22777AE6" w:rsidR="00B06583" w:rsidRPr="003161DC" w:rsidRDefault="00B06583" w:rsidP="00B06583">
            <w:pPr>
              <w:spacing w:after="240"/>
              <w:ind w:left="720" w:hanging="720"/>
            </w:pPr>
            <w:r w:rsidRPr="003161DC">
              <w:t>(1)</w:t>
            </w:r>
            <w:r w:rsidRPr="003161DC">
              <w:tab/>
              <w:t>A Resource must remain committed during any RUC-Committed Interval or RUC Buy-Back Hour unless the Resource has a Forced Outage.</w:t>
            </w:r>
          </w:p>
          <w:p w14:paraId="5A0289EE" w14:textId="77777777" w:rsidR="00B06583" w:rsidRPr="003161DC" w:rsidRDefault="00B06583" w:rsidP="00B06583">
            <w:pPr>
              <w:spacing w:after="240"/>
              <w:ind w:left="720" w:hanging="720"/>
            </w:pPr>
            <w:r w:rsidRPr="003161DC">
              <w:t>(2)</w:t>
            </w:r>
            <w:r w:rsidRPr="003161DC">
              <w:tab/>
              <w:t>In the Operating Period, a QSE may request to decommit a Resource other than a Quick Start Generation Resource (QSGR) for any interval that is not a RUC-</w:t>
            </w:r>
            <w:r w:rsidRPr="003161DC">
              <w:lastRenderedPageBreak/>
              <w:t>Committed Interval or RUC Buy-Back Hour by verbally requesting ERCOT to consider its request.</w:t>
            </w:r>
          </w:p>
          <w:p w14:paraId="2E724555" w14:textId="77777777" w:rsidR="00B06583" w:rsidRPr="003161DC" w:rsidRDefault="00B06583" w:rsidP="00B06583">
            <w:pPr>
              <w:spacing w:after="240"/>
              <w:ind w:left="720" w:hanging="720"/>
            </w:pPr>
            <w:r w:rsidRPr="003161DC">
              <w:t>(3)</w:t>
            </w:r>
            <w:r w:rsidRPr="003161DC">
              <w:tab/>
              <w:t xml:space="preserve">In the Operating Period, a QSE may decommit a QSGR without any request for any interval that is neither a RUC-Committed Interval, a RUC Buy-Back Hour, nor an interval in which a manual override by the ERCOT Operator has been given. </w:t>
            </w:r>
          </w:p>
          <w:p w14:paraId="72BB0437" w14:textId="70DA877F" w:rsidR="00B06583" w:rsidRPr="00A4149C" w:rsidRDefault="00B06583" w:rsidP="00B06583">
            <w:pPr>
              <w:spacing w:after="240"/>
              <w:ind w:left="720" w:hanging="720"/>
            </w:pPr>
            <w:r w:rsidRPr="003161DC">
              <w:t>(4)</w:t>
            </w:r>
            <w:r w:rsidRPr="003161DC">
              <w:tab/>
              <w:t>In the Adjustment Period, a QSE may request to decommit a Resource for any interval that is not a RUC-Committed Interval or RUC Buy-Back Hour by indicating a change in unit status in the QSE’s COP</w:t>
            </w:r>
            <w:r w:rsidRPr="003161DC">
              <w:rPr>
                <w:iCs/>
              </w:rPr>
              <w:t>, unless the Resource received a Weekly Reliability Unit Commitment (WRUC) instruction for the hour.  A QSE may request to decommit a Resource for any interval that is a WRUC-instructed Interval and that is not a RUC-Committed Interval or RUC Buy-Back Hour by verbally requesting ERCOT to consider its request</w:t>
            </w:r>
            <w:r w:rsidRPr="003161DC">
              <w:t>.</w:t>
            </w:r>
          </w:p>
        </w:tc>
      </w:tr>
    </w:tbl>
    <w:p w14:paraId="0531A866" w14:textId="77777777" w:rsidR="001F04FD" w:rsidRDefault="001F04FD" w:rsidP="001F04FD">
      <w:pPr>
        <w:pStyle w:val="H4"/>
        <w:spacing w:before="480"/>
        <w:ind w:left="1267" w:hanging="1267"/>
      </w:pPr>
      <w:bookmarkStart w:id="455" w:name="_Toc204411564"/>
      <w:r>
        <w:lastRenderedPageBreak/>
        <w:t>6.4.7.1</w:t>
      </w:r>
      <w:r>
        <w:tab/>
        <w:t>QSE Request to Decommit Resources in the Operating Period</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55"/>
    </w:p>
    <w:p w14:paraId="5D16001C" w14:textId="77777777" w:rsidR="001F04FD" w:rsidRDefault="001F04FD" w:rsidP="001F04FD">
      <w:pPr>
        <w:pStyle w:val="BodyTextNumbered"/>
      </w:pPr>
      <w:r>
        <w:t>(1)</w:t>
      </w:r>
      <w:r>
        <w:tab/>
        <w:t>For a request made during the Operating Period to decommit a Resource, ERCOT may perform a study using Real-Time conditions to determine if ERCOT will remain n-1 secure with that Resource Off-Line.  ERCOT may grant the request provided the Resource is not providing any Ancillary Service Resource Responsibility and if analysis indicates the Resource Outage contingency results in no additional active constraints for SCED.  ERCOT may only approve requests that do not have a reliability impact.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5D087460" w14:textId="77777777" w:rsidTr="0058150D">
        <w:trPr>
          <w:trHeight w:val="206"/>
        </w:trPr>
        <w:tc>
          <w:tcPr>
            <w:tcW w:w="9350" w:type="dxa"/>
            <w:shd w:val="pct12" w:color="auto" w:fill="auto"/>
          </w:tcPr>
          <w:p w14:paraId="58B09D99" w14:textId="2535DACC" w:rsidR="00B06583" w:rsidRDefault="00B06583" w:rsidP="0058150D">
            <w:pPr>
              <w:pStyle w:val="Instructions"/>
              <w:spacing w:before="120"/>
            </w:pPr>
            <w:r>
              <w:t xml:space="preserve">[NPRR1010:  Replace paragraph (1) above </w:t>
            </w:r>
            <w:r w:rsidR="00525E33">
              <w:t xml:space="preserve">with the following </w:t>
            </w:r>
            <w:r>
              <w:t>upon system implementation of the Real-Time Co-Optimization (RTC) project:]</w:t>
            </w:r>
          </w:p>
          <w:p w14:paraId="0C0954D7" w14:textId="67EB5D88" w:rsidR="00B06583" w:rsidRPr="00A4149C" w:rsidRDefault="00B06583" w:rsidP="00B06583">
            <w:pPr>
              <w:spacing w:after="240"/>
              <w:ind w:left="720" w:hanging="720"/>
            </w:pPr>
            <w:r w:rsidRPr="003161DC">
              <w:t>(1)</w:t>
            </w:r>
            <w:r w:rsidRPr="003161DC">
              <w:tab/>
              <w:t>For a request made during the Operating Period to decommit a Resource, ERCOT may perform a study using Real-Time conditions to determine if ERCOT will remain n-1 secure with that Resource Off-Line.  ERCOT may grant the req</w:t>
            </w:r>
            <w:r>
              <w:t>uest provided the</w:t>
            </w:r>
            <w:r w:rsidRPr="003161DC">
              <w:t xml:space="preserve"> analysis indicates the Resource Outage contingency results in no additional active constraints for SCED.  ERCOT may only approve requests that do not have a reliability impact.</w:t>
            </w:r>
          </w:p>
        </w:tc>
      </w:tr>
    </w:tbl>
    <w:p w14:paraId="300F0EB6" w14:textId="569AA2DD" w:rsidR="001F04FD" w:rsidRDefault="001F04FD" w:rsidP="000B1D41">
      <w:pPr>
        <w:pStyle w:val="BodyTextNumbered"/>
        <w:spacing w:before="240"/>
      </w:pPr>
      <w:r>
        <w:t>(2)</w:t>
      </w:r>
      <w:r>
        <w:tab/>
        <w:t>If more units are requesting decommitment than can be accommodated, ERCOT shall review the requests in order of receipt.</w:t>
      </w:r>
    </w:p>
    <w:p w14:paraId="4CB41C1B" w14:textId="77777777" w:rsidR="001F04FD" w:rsidRDefault="001F04FD" w:rsidP="001F04FD">
      <w:pPr>
        <w:pStyle w:val="H4"/>
        <w:spacing w:before="480"/>
        <w:ind w:left="1267" w:hanging="1267"/>
      </w:pPr>
      <w:bookmarkStart w:id="456" w:name="_Toc397504932"/>
      <w:bookmarkStart w:id="457" w:name="_Toc402357060"/>
      <w:bookmarkStart w:id="458" w:name="_Toc422486440"/>
      <w:bookmarkStart w:id="459" w:name="_Toc433093292"/>
      <w:bookmarkStart w:id="460" w:name="_Toc433093450"/>
      <w:bookmarkStart w:id="461" w:name="_Toc440874679"/>
      <w:bookmarkStart w:id="462" w:name="_Toc448142234"/>
      <w:bookmarkStart w:id="463" w:name="_Toc448142391"/>
      <w:bookmarkStart w:id="464" w:name="_Toc458770227"/>
      <w:bookmarkStart w:id="465" w:name="_Toc459294195"/>
      <w:bookmarkStart w:id="466" w:name="_Toc463262688"/>
      <w:bookmarkStart w:id="467" w:name="_Toc468286760"/>
      <w:bookmarkStart w:id="468" w:name="_Toc481502806"/>
      <w:bookmarkStart w:id="469" w:name="_Toc496079976"/>
      <w:bookmarkStart w:id="470" w:name="_Toc204411565"/>
      <w:r>
        <w:t>6.4.7.2</w:t>
      </w:r>
      <w:r>
        <w:tab/>
        <w:t>QSE Request to Decommit Resources in the Adjustment Period</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34A7164B" w14:textId="77777777" w:rsidR="001F04FD" w:rsidRDefault="001F04FD" w:rsidP="001F04FD">
      <w:pPr>
        <w:pStyle w:val="BodyTextNumbered"/>
      </w:pPr>
      <w:r>
        <w:t>(1)</w:t>
      </w:r>
      <w:r>
        <w:tab/>
        <w:t xml:space="preserve">To decommit an otherwise available Resource for hours other than the Operating Period, the QSE must update the COP indicating the change in Resource Status for each hour in the COP for the remaining hours in the Adjustment Period. On detection of a change from On-Line to Off-Line Available state in future hours for a Resource, ERCOT shall </w:t>
      </w:r>
      <w:r>
        <w:lastRenderedPageBreak/>
        <w:t xml:space="preserve">review all requests for decommitment using the next scheduled HRUC.  The Resource must be shown as available for HRUC commitment.  </w:t>
      </w:r>
      <w:r w:rsidRPr="00530066">
        <w:rPr>
          <w:szCs w:val="24"/>
        </w:rPr>
        <w:t>ERCOT shall also review the list of Off-</w:t>
      </w:r>
      <w:r>
        <w:rPr>
          <w:szCs w:val="24"/>
        </w:rPr>
        <w:t>L</w:t>
      </w:r>
      <w:r w:rsidRPr="00530066">
        <w:rPr>
          <w:szCs w:val="24"/>
        </w:rPr>
        <w:t>ine Available Resources with a start-up time of one hour or less</w:t>
      </w:r>
      <w:r w:rsidRPr="00530066">
        <w:t>.</w:t>
      </w:r>
      <w:r>
        <w:t xml:space="preserve">  The next HRUC commitment must consider the Resource’s Minimum-Energy Offer excluding the Resource’s Startup Offer from the Three-Part Supply Offer.</w:t>
      </w:r>
    </w:p>
    <w:p w14:paraId="090F16F6" w14:textId="77777777" w:rsidR="001F04FD" w:rsidRDefault="001F04FD" w:rsidP="001F04FD">
      <w:pPr>
        <w:pStyle w:val="BodyTextNumbered"/>
      </w:pPr>
      <w:r>
        <w:t>(2)</w:t>
      </w:r>
      <w:r>
        <w:tab/>
        <w:t>If HRUC continues to require the Resource to be committed, ERCOT shall notify the QSE, using the process described in Section 5.5.3, Communication of RUC Commitments and Decommitments, that the decommitment has been denied, and the affected intervals become RUC-Committed Intervals instead of QSE-Committed Intervals for RUC Settlement purposes. The QSE must update its COP to denote the RUC-Committed Intervals.</w:t>
      </w:r>
    </w:p>
    <w:p w14:paraId="22F09B6F" w14:textId="77777777" w:rsidR="001F04FD" w:rsidRDefault="001F04FD" w:rsidP="001F04FD">
      <w:pPr>
        <w:pStyle w:val="H3"/>
        <w:spacing w:before="480"/>
      </w:pPr>
      <w:bookmarkStart w:id="471" w:name="_Toc72750554"/>
      <w:bookmarkStart w:id="472" w:name="_Toc73215986"/>
      <w:bookmarkStart w:id="473" w:name="_Toc397504933"/>
      <w:bookmarkStart w:id="474" w:name="_Toc402357061"/>
      <w:bookmarkStart w:id="475" w:name="_Toc422486441"/>
      <w:bookmarkStart w:id="476" w:name="_Toc433093293"/>
      <w:bookmarkStart w:id="477" w:name="_Toc433093451"/>
      <w:bookmarkStart w:id="478" w:name="_Toc440874680"/>
      <w:bookmarkStart w:id="479" w:name="_Toc448142235"/>
      <w:bookmarkStart w:id="480" w:name="_Toc448142392"/>
      <w:bookmarkStart w:id="481" w:name="_Toc458770228"/>
      <w:bookmarkStart w:id="482" w:name="_Toc459294196"/>
      <w:bookmarkStart w:id="483" w:name="_Toc463262689"/>
      <w:bookmarkStart w:id="484" w:name="_Toc468286761"/>
      <w:bookmarkStart w:id="485" w:name="_Toc481502807"/>
      <w:bookmarkStart w:id="486" w:name="_Toc496079977"/>
      <w:bookmarkStart w:id="487" w:name="_Toc204411566"/>
      <w:r>
        <w:t>6.4.</w:t>
      </w:r>
      <w:r w:rsidRPr="00BF28AE">
        <w:t>8</w:t>
      </w:r>
      <w:r>
        <w:tab/>
        <w:t>Notification of Forced Outage of a Resource</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2BBC4819" w14:textId="77777777" w:rsidR="00DE555F" w:rsidRDefault="00DE555F" w:rsidP="00DE555F">
      <w:pPr>
        <w:pStyle w:val="BodyTextNumbered"/>
      </w:pPr>
      <w:r>
        <w:t>(1)</w:t>
      </w:r>
      <w:r>
        <w:tab/>
        <w:t xml:space="preserve">In the event of a Forced Outage of a Resource, </w:t>
      </w:r>
      <w:r w:rsidRPr="00503629">
        <w:t>the telemetered status of the Resource automatically notifies ERCOT of the event.</w:t>
      </w:r>
      <w:r>
        <w:t xml:space="preserve">  In the event of a Forced Outage, the telemetered Resource Status shall be changed to the appropriate Off-Line status as soon as practicable but no longer than 15 minutes after the Forced Outage occurs.</w:t>
      </w:r>
    </w:p>
    <w:p w14:paraId="7126BA53" w14:textId="77777777" w:rsidR="00DE555F" w:rsidRDefault="00DE555F" w:rsidP="00DE555F">
      <w:pPr>
        <w:pStyle w:val="BodyTextNumbered"/>
      </w:pPr>
      <w:r>
        <w:t>(2)</w:t>
      </w:r>
      <w:r>
        <w:tab/>
        <w:t>In the event of a Forced Outage or an impending Forced Outage, the Resource Entity or its designee shall inform ERCOT of the following in the Outage Scheduler:</w:t>
      </w:r>
    </w:p>
    <w:p w14:paraId="75C6FAC9" w14:textId="77777777" w:rsidR="00DE555F" w:rsidRDefault="00DE555F" w:rsidP="00DE555F">
      <w:pPr>
        <w:pStyle w:val="List"/>
      </w:pPr>
      <w:r>
        <w:t>(a)</w:t>
      </w:r>
      <w:r>
        <w:tab/>
        <w:t>Time of expected change in Resource Status or rating;</w:t>
      </w:r>
    </w:p>
    <w:p w14:paraId="6D8FDBF1" w14:textId="77777777" w:rsidR="00DE555F" w:rsidRDefault="00DE555F" w:rsidP="00DE555F">
      <w:pPr>
        <w:pStyle w:val="List"/>
      </w:pPr>
      <w:r>
        <w:t>(b)</w:t>
      </w:r>
      <w:r>
        <w:tab/>
        <w:t>Text message describing the nature of the Forced Outage or de-rating updated as new information becomes available; and</w:t>
      </w:r>
    </w:p>
    <w:p w14:paraId="42F58E2F" w14:textId="77777777" w:rsidR="00DE555F" w:rsidRDefault="00DE555F" w:rsidP="00DE555F">
      <w:pPr>
        <w:pStyle w:val="List"/>
      </w:pPr>
      <w:r>
        <w:t>(c)</w:t>
      </w:r>
      <w:r>
        <w:tab/>
        <w:t>The expected minimum and maximum duration of the Forced Outage or de-rating.</w:t>
      </w:r>
    </w:p>
    <w:p w14:paraId="615C6EA0" w14:textId="0535FB95" w:rsidR="00DE555F" w:rsidRDefault="00DE555F" w:rsidP="00DE555F">
      <w:pPr>
        <w:pStyle w:val="BodyTextNumbered"/>
      </w:pPr>
      <w:r>
        <w:t>(3)</w:t>
      </w:r>
      <w:r>
        <w:tab/>
        <w:t xml:space="preserve">In the event of a Forced Outage, the QSE must update the Resource’s </w:t>
      </w:r>
      <w:r w:rsidRPr="00AF54E6">
        <w:t>COP</w:t>
      </w:r>
      <w:r w:rsidRPr="00753E49">
        <w:t xml:space="preserve"> </w:t>
      </w:r>
      <w:r>
        <w:t>as soon as practicable but no longer than 60 minutes</w:t>
      </w:r>
      <w:r w:rsidRPr="00503629">
        <w:t xml:space="preserve"> after the</w:t>
      </w:r>
      <w:r>
        <w:t xml:space="preserve"> Forced Outage occurs</w:t>
      </w:r>
      <w:r w:rsidRPr="00503629">
        <w:t>.</w:t>
      </w:r>
    </w:p>
    <w:p w14:paraId="518F7DE8" w14:textId="77777777" w:rsidR="00DE555F" w:rsidRDefault="00DE555F" w:rsidP="00DE555F">
      <w:pPr>
        <w:pStyle w:val="BodyTextNumbered"/>
      </w:pPr>
      <w:r w:rsidRPr="008A398D">
        <w:t>(4)</w:t>
      </w:r>
      <w:r w:rsidRPr="008A398D">
        <w:tab/>
        <w:t>Each QSE shall timely update the telemetered Resource Status and COP unless in the reasonable judgment of the QSE, such compliance would create an undue threat to safety</w:t>
      </w:r>
      <w:r w:rsidRPr="0028006B">
        <w:t>, undue risk of bodily harm, or undue damage to equipment.  The QSE is excused from updating the telemetered Resource Status</w:t>
      </w:r>
      <w:r w:rsidRPr="008C7A95">
        <w:t xml:space="preserve"> and/or COP only for so long as the undue threat to safety, undue risk of bodily harm, or undue damage to equipment exists.  </w:t>
      </w:r>
      <w:r w:rsidRPr="00055D51">
        <w:rPr>
          <w:color w:val="000000" w:themeColor="text1"/>
          <w:szCs w:val="24"/>
        </w:rPr>
        <w:t xml:space="preserve">The time for updating the telemetered Resource Status </w:t>
      </w:r>
      <w:r w:rsidRPr="0028006B">
        <w:rPr>
          <w:color w:val="000000" w:themeColor="text1"/>
          <w:szCs w:val="24"/>
        </w:rPr>
        <w:t>and/or COP begins once the undue threat to safety, undue risk of bodily harm, or undue damage to equipment no longer exists.</w:t>
      </w:r>
    </w:p>
    <w:p w14:paraId="50E2BB54" w14:textId="77777777" w:rsidR="001F04FD" w:rsidRDefault="001F04FD" w:rsidP="00F969DB">
      <w:pPr>
        <w:pStyle w:val="H3"/>
      </w:pPr>
      <w:bookmarkStart w:id="488" w:name="_Toc397504934"/>
      <w:bookmarkStart w:id="489" w:name="_Toc402357062"/>
      <w:bookmarkStart w:id="490" w:name="_Toc422486442"/>
      <w:bookmarkStart w:id="491" w:name="_Toc433093294"/>
      <w:bookmarkStart w:id="492" w:name="_Toc433093452"/>
      <w:bookmarkStart w:id="493" w:name="_Toc440874681"/>
      <w:bookmarkStart w:id="494" w:name="_Toc448142236"/>
      <w:bookmarkStart w:id="495" w:name="_Toc448142393"/>
      <w:bookmarkStart w:id="496" w:name="_Toc458770229"/>
      <w:bookmarkStart w:id="497" w:name="_Toc459294197"/>
      <w:bookmarkStart w:id="498" w:name="_Toc463262690"/>
      <w:bookmarkStart w:id="499" w:name="_Toc468286762"/>
      <w:bookmarkStart w:id="500" w:name="_Toc481502808"/>
      <w:bookmarkStart w:id="501" w:name="_Toc496079978"/>
      <w:bookmarkStart w:id="502" w:name="_Toc204411567"/>
      <w:r>
        <w:t>6.4.</w:t>
      </w:r>
      <w:r w:rsidRPr="00BF28AE">
        <w:t>9</w:t>
      </w:r>
      <w:r>
        <w:tab/>
        <w:t>Ancillary Services Capacity During the Adjustment Period and in Real-Time</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71285AF4" w14:textId="77777777" w:rsidTr="0058150D">
        <w:trPr>
          <w:trHeight w:val="206"/>
        </w:trPr>
        <w:tc>
          <w:tcPr>
            <w:tcW w:w="9350" w:type="dxa"/>
            <w:shd w:val="pct12" w:color="auto" w:fill="auto"/>
          </w:tcPr>
          <w:p w14:paraId="1E8D9338" w14:textId="552E5847" w:rsidR="00B06583" w:rsidRDefault="00B06583" w:rsidP="0058150D">
            <w:pPr>
              <w:pStyle w:val="Instructions"/>
              <w:spacing w:before="120"/>
            </w:pPr>
            <w:bookmarkStart w:id="503" w:name="_Toc397504935"/>
            <w:bookmarkStart w:id="504" w:name="_Toc402357063"/>
            <w:bookmarkStart w:id="505" w:name="_Toc422486443"/>
            <w:bookmarkStart w:id="506" w:name="_Toc433093295"/>
            <w:bookmarkStart w:id="507" w:name="_Toc433093453"/>
            <w:bookmarkStart w:id="508" w:name="_Toc440874682"/>
            <w:bookmarkStart w:id="509" w:name="_Toc448142237"/>
            <w:bookmarkStart w:id="510" w:name="_Toc448142394"/>
            <w:bookmarkStart w:id="511" w:name="_Toc458770230"/>
            <w:bookmarkStart w:id="512" w:name="_Toc459294198"/>
            <w:bookmarkStart w:id="513" w:name="_Toc463262691"/>
            <w:bookmarkStart w:id="514" w:name="_Toc468286763"/>
            <w:bookmarkStart w:id="515" w:name="_Toc481502809"/>
            <w:bookmarkStart w:id="516" w:name="_Toc496079979"/>
            <w:r>
              <w:t xml:space="preserve">[NPRR1010:  Replace Section 6.4.9 above </w:t>
            </w:r>
            <w:r w:rsidR="00525E33">
              <w:t xml:space="preserve">with the following </w:t>
            </w:r>
            <w:r>
              <w:t>upon system implementation of the Real-Time Co-Optimization (RTC) project:]</w:t>
            </w:r>
          </w:p>
          <w:p w14:paraId="71374A40" w14:textId="3F75EDE0" w:rsidR="00B06583" w:rsidRPr="00B06583" w:rsidRDefault="00B06583" w:rsidP="00B06583">
            <w:pPr>
              <w:keepNext/>
              <w:tabs>
                <w:tab w:val="left" w:pos="1080"/>
              </w:tabs>
              <w:spacing w:before="240" w:after="240"/>
              <w:ind w:left="1080" w:hanging="1080"/>
              <w:outlineLvl w:val="2"/>
              <w:rPr>
                <w:b/>
                <w:bCs/>
                <w:i/>
              </w:rPr>
            </w:pPr>
            <w:bookmarkStart w:id="517" w:name="_Toc60040577"/>
            <w:bookmarkStart w:id="518" w:name="_Toc65151637"/>
            <w:bookmarkStart w:id="519" w:name="_Toc80174663"/>
            <w:bookmarkStart w:id="520" w:name="_Toc108712421"/>
            <w:bookmarkStart w:id="521" w:name="_Toc112417541"/>
            <w:bookmarkStart w:id="522" w:name="_Toc119310210"/>
            <w:bookmarkStart w:id="523" w:name="_Toc125966144"/>
            <w:bookmarkStart w:id="524" w:name="_Toc135992241"/>
            <w:bookmarkStart w:id="525" w:name="_Toc170303438"/>
            <w:bookmarkStart w:id="526" w:name="_Toc175157342"/>
            <w:bookmarkStart w:id="527" w:name="_Toc204411568"/>
            <w:r w:rsidRPr="003161DC">
              <w:rPr>
                <w:b/>
                <w:bCs/>
                <w:i/>
              </w:rPr>
              <w:lastRenderedPageBreak/>
              <w:t>6.4.9</w:t>
            </w:r>
            <w:r w:rsidRPr="003161DC">
              <w:rPr>
                <w:b/>
                <w:bCs/>
                <w:i/>
              </w:rPr>
              <w:tab/>
            </w:r>
            <w:r>
              <w:rPr>
                <w:b/>
                <w:bCs/>
                <w:i/>
              </w:rPr>
              <w:t>Real-Time Ancillary Service Offers and Awards</w:t>
            </w:r>
            <w:bookmarkEnd w:id="517"/>
            <w:bookmarkEnd w:id="518"/>
            <w:bookmarkEnd w:id="519"/>
            <w:bookmarkEnd w:id="520"/>
            <w:bookmarkEnd w:id="521"/>
            <w:bookmarkEnd w:id="522"/>
            <w:bookmarkEnd w:id="523"/>
            <w:bookmarkEnd w:id="524"/>
            <w:bookmarkEnd w:id="525"/>
            <w:bookmarkEnd w:id="526"/>
            <w:bookmarkEnd w:id="527"/>
          </w:p>
        </w:tc>
      </w:tr>
    </w:tbl>
    <w:p w14:paraId="25397529" w14:textId="77777777" w:rsidR="001F04FD" w:rsidRDefault="001F04FD" w:rsidP="001F04FD">
      <w:pPr>
        <w:pStyle w:val="H4"/>
        <w:spacing w:before="480"/>
      </w:pPr>
      <w:bookmarkStart w:id="528" w:name="_Toc204411569"/>
      <w:r>
        <w:lastRenderedPageBreak/>
        <w:t>6.4.9.1</w:t>
      </w:r>
      <w:r>
        <w:tab/>
        <w:t>Evaluation and Maintenance of Ancillary Service Capacity Sufficiency</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28"/>
      <w:r>
        <w:t xml:space="preserve"> </w:t>
      </w:r>
    </w:p>
    <w:p w14:paraId="28507219" w14:textId="77777777" w:rsidR="001F04FD" w:rsidRDefault="001F04FD" w:rsidP="001F04FD">
      <w:pPr>
        <w:pStyle w:val="BodyTextNumbered"/>
      </w:pPr>
      <w:r>
        <w:t>(1)</w:t>
      </w:r>
      <w:r>
        <w:tab/>
        <w:t>ERCOT shall evaluate Ancillary Service requirements and capacity sufficiency using evaluation tools including the Ancillary Services Capacity Monitor, described in Section 6.5.7.5, Ancillary Services Capacity Monitor, throughout the Adjustment Period and Operating Period.</w:t>
      </w:r>
    </w:p>
    <w:p w14:paraId="3135F882" w14:textId="77777777" w:rsidR="001F04FD" w:rsidRDefault="001F04FD" w:rsidP="001F04FD">
      <w:pPr>
        <w:pStyle w:val="BodyTextNumbered"/>
      </w:pPr>
      <w:r>
        <w:t>(2)</w:t>
      </w:r>
      <w:r>
        <w:tab/>
        <w:t>ERCOT may procure Ancillary Services in the Adjustment Period for the following reasons:</w:t>
      </w:r>
    </w:p>
    <w:p w14:paraId="7E8B5B61" w14:textId="77777777" w:rsidR="001F04FD" w:rsidRDefault="001F04FD" w:rsidP="001F04FD">
      <w:pPr>
        <w:pStyle w:val="List"/>
      </w:pPr>
      <w:r>
        <w:t xml:space="preserve">(a) </w:t>
      </w:r>
      <w:r>
        <w:tab/>
        <w:t>Increased need of Ancillary Services capacity above that specified in the Day-Ahead;</w:t>
      </w:r>
    </w:p>
    <w:p w14:paraId="433D955E" w14:textId="77777777" w:rsidR="001F04FD" w:rsidRDefault="001F04FD" w:rsidP="001F04FD">
      <w:pPr>
        <w:pStyle w:val="List"/>
      </w:pPr>
      <w:r>
        <w:t xml:space="preserve">(b) </w:t>
      </w:r>
      <w:r>
        <w:tab/>
      </w:r>
      <w:r w:rsidR="00CD0E1A" w:rsidRPr="007779E2">
        <w:t xml:space="preserve">Replacement of Ancillary Services capacity that is </w:t>
      </w:r>
      <w:r w:rsidR="00CD0E1A">
        <w:t>infeasible</w:t>
      </w:r>
      <w:r w:rsidR="00CD0E1A" w:rsidRPr="007779E2">
        <w:t xml:space="preserve"> due </w:t>
      </w:r>
      <w:r w:rsidR="00CD0E1A">
        <w:t>to transmission constraints; or</w:t>
      </w:r>
    </w:p>
    <w:p w14:paraId="2C981E2D" w14:textId="77777777" w:rsidR="001F04FD" w:rsidRDefault="001F04FD" w:rsidP="00F26F08">
      <w:pPr>
        <w:pStyle w:val="List"/>
      </w:pPr>
      <w:r>
        <w:t xml:space="preserve">(c) </w:t>
      </w:r>
      <w:r>
        <w:tab/>
        <w:t>Replacement of Ancillary Services capacity due to failure to provide.</w:t>
      </w:r>
    </w:p>
    <w:p w14:paraId="62CA74D2" w14:textId="77777777" w:rsidR="001F04FD" w:rsidRDefault="001F04FD" w:rsidP="001F04FD">
      <w:pPr>
        <w:pStyle w:val="BodyTextNumbered"/>
      </w:pPr>
      <w:r>
        <w:t>(3)</w:t>
      </w:r>
      <w:r>
        <w:tab/>
      </w:r>
      <w:r w:rsidR="00CD0E1A" w:rsidRPr="007779E2">
        <w:t xml:space="preserve">A QSE may change the specific Resources supplying Ancillary Services under Section 3.9, Current Operating Plan (COP), using the QSE’s Ancillary Service Resource Responsibility in the COP only if, in ERCOT’s determination, that change does not adversely affect the </w:t>
      </w:r>
      <w:r w:rsidR="00CD0E1A">
        <w:t>feasibility</w:t>
      </w:r>
      <w:r w:rsidR="00CD0E1A" w:rsidRPr="007779E2">
        <w:t xml:space="preserve"> of the service(s) being allocated to an alternate Resource and if that change does not adversely affect the </w:t>
      </w:r>
      <w:r w:rsidR="00CD0E1A">
        <w:t>feasibility</w:t>
      </w:r>
      <w:r w:rsidR="00CD0E1A" w:rsidRPr="007779E2">
        <w:t xml:space="preserve"> of other services previously procured by ERCOT.  A QSE may not change the quantity provided of each type of Ancillary Services awarded through the ERCOT procurement process or the aggregate Self-Arranged Ancillary Service Quantity (by Ancillary Service type) from the DAM.  On detection of a change in COP for Resources providing Ancillary Services, ERCOT shall review the impact on </w:t>
      </w:r>
      <w:r w:rsidR="00CD0E1A">
        <w:t>feasibility</w:t>
      </w:r>
      <w:r w:rsidR="00CD0E1A" w:rsidRPr="007779E2">
        <w:t xml:space="preserve"> and communicate to the QSE if the change is not approved.  The QSE must update its COP to reflect the ERCOT decision.  If ERCOT does not act on the request by the beginning of the Operating Hour in which the change will take effect, </w:t>
      </w:r>
      <w:r w:rsidR="00CD0E1A">
        <w:t>the request is deemed approved.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342F01E4" w14:textId="77777777" w:rsidTr="0058150D">
        <w:trPr>
          <w:trHeight w:val="206"/>
        </w:trPr>
        <w:tc>
          <w:tcPr>
            <w:tcW w:w="9350" w:type="dxa"/>
            <w:shd w:val="pct12" w:color="auto" w:fill="auto"/>
          </w:tcPr>
          <w:p w14:paraId="6C339F1D" w14:textId="0B4CA7F4" w:rsidR="00B06583" w:rsidRDefault="00B06583" w:rsidP="0058150D">
            <w:pPr>
              <w:pStyle w:val="Instructions"/>
              <w:spacing w:before="120"/>
            </w:pPr>
            <w:bookmarkStart w:id="529" w:name="_Toc397504936"/>
            <w:bookmarkStart w:id="530" w:name="_Toc402357064"/>
            <w:bookmarkStart w:id="531" w:name="_Toc422486444"/>
            <w:bookmarkStart w:id="532" w:name="_Toc433093296"/>
            <w:bookmarkStart w:id="533" w:name="_Toc433093454"/>
            <w:bookmarkStart w:id="534" w:name="_Toc440874683"/>
            <w:bookmarkStart w:id="535" w:name="_Toc448142238"/>
            <w:bookmarkStart w:id="536" w:name="_Toc448142395"/>
            <w:bookmarkStart w:id="537" w:name="_Toc458770231"/>
            <w:bookmarkStart w:id="538" w:name="_Toc459294199"/>
            <w:bookmarkStart w:id="539" w:name="_Toc463262692"/>
            <w:bookmarkStart w:id="540" w:name="_Toc468286764"/>
            <w:bookmarkStart w:id="541" w:name="_Toc481502810"/>
            <w:bookmarkStart w:id="542" w:name="_Toc496079980"/>
            <w:r>
              <w:t xml:space="preserve">[NPRR1010:  Replace Section 6.4.9.1 above </w:t>
            </w:r>
            <w:r w:rsidR="00525E33">
              <w:t xml:space="preserve">with the following </w:t>
            </w:r>
            <w:r>
              <w:t>upon system implementation of the Real-Time Co-Optimization (RTC) project:]</w:t>
            </w:r>
          </w:p>
          <w:p w14:paraId="02BAD547" w14:textId="77777777" w:rsidR="00B06583" w:rsidRDefault="00B06583" w:rsidP="00B06583">
            <w:pPr>
              <w:keepNext/>
              <w:widowControl w:val="0"/>
              <w:tabs>
                <w:tab w:val="left" w:pos="1260"/>
              </w:tabs>
              <w:spacing w:before="480" w:after="240"/>
              <w:ind w:left="1267" w:hanging="1267"/>
              <w:outlineLvl w:val="3"/>
              <w:rPr>
                <w:b/>
                <w:bCs/>
                <w:snapToGrid w:val="0"/>
              </w:rPr>
            </w:pPr>
            <w:bookmarkStart w:id="543" w:name="_Toc60040579"/>
            <w:bookmarkStart w:id="544" w:name="_Toc65151639"/>
            <w:bookmarkStart w:id="545" w:name="_Toc80174665"/>
            <w:bookmarkStart w:id="546" w:name="_Toc108712423"/>
            <w:bookmarkStart w:id="547" w:name="_Toc112417543"/>
            <w:bookmarkStart w:id="548" w:name="_Toc119310212"/>
            <w:bookmarkStart w:id="549" w:name="_Toc125966146"/>
            <w:bookmarkStart w:id="550" w:name="_Toc135992243"/>
            <w:bookmarkStart w:id="551" w:name="_Toc170303440"/>
            <w:bookmarkStart w:id="552" w:name="_Toc175157344"/>
            <w:bookmarkStart w:id="553" w:name="_Toc204411570"/>
            <w:r w:rsidRPr="003161DC">
              <w:rPr>
                <w:b/>
                <w:bCs/>
                <w:snapToGrid w:val="0"/>
              </w:rPr>
              <w:t>6.4.9.1</w:t>
            </w:r>
            <w:r w:rsidRPr="003161DC">
              <w:rPr>
                <w:b/>
                <w:bCs/>
                <w:snapToGrid w:val="0"/>
              </w:rPr>
              <w:tab/>
            </w:r>
            <w:r>
              <w:rPr>
                <w:b/>
                <w:bCs/>
                <w:snapToGrid w:val="0"/>
              </w:rPr>
              <w:t>Ancillary Service Offers</w:t>
            </w:r>
            <w:bookmarkEnd w:id="543"/>
            <w:bookmarkEnd w:id="544"/>
            <w:bookmarkEnd w:id="545"/>
            <w:bookmarkEnd w:id="546"/>
            <w:bookmarkEnd w:id="547"/>
            <w:bookmarkEnd w:id="548"/>
            <w:bookmarkEnd w:id="549"/>
            <w:bookmarkEnd w:id="550"/>
            <w:bookmarkEnd w:id="551"/>
            <w:bookmarkEnd w:id="552"/>
            <w:bookmarkEnd w:id="553"/>
          </w:p>
          <w:p w14:paraId="5494C767" w14:textId="77777777" w:rsidR="00B06583" w:rsidRDefault="00B06583" w:rsidP="00B06583">
            <w:pPr>
              <w:spacing w:after="240"/>
              <w:ind w:left="720" w:hanging="720"/>
            </w:pPr>
            <w:r w:rsidRPr="00A81A3B">
              <w:t>(1)</w:t>
            </w:r>
            <w:r w:rsidRPr="00A81A3B">
              <w:tab/>
            </w:r>
            <w:r w:rsidRPr="003161DC">
              <w:t xml:space="preserve">A detailed description of </w:t>
            </w:r>
            <w:r>
              <w:t>the Ancillary Service</w:t>
            </w:r>
            <w:r w:rsidRPr="003161DC">
              <w:t xml:space="preserve"> Offer</w:t>
            </w:r>
            <w:r>
              <w:t>s</w:t>
            </w:r>
            <w:r w:rsidRPr="003161DC">
              <w:t xml:space="preserve"> and validations performed by ERCOT is in Section 4.4.</w:t>
            </w:r>
            <w:r>
              <w:t>7.2,</w:t>
            </w:r>
            <w:r w:rsidRPr="00175161">
              <w:t xml:space="preserve"> Ancillary Service Offers</w:t>
            </w:r>
            <w:r w:rsidRPr="003161DC">
              <w:t>.</w:t>
            </w:r>
          </w:p>
          <w:p w14:paraId="136C1359" w14:textId="67937E34" w:rsidR="00B06583" w:rsidRPr="00B06583" w:rsidRDefault="00B06583" w:rsidP="00B06583">
            <w:pPr>
              <w:spacing w:after="240"/>
              <w:ind w:left="720" w:hanging="720"/>
            </w:pPr>
            <w:r>
              <w:lastRenderedPageBreak/>
              <w:t>(2)</w:t>
            </w:r>
            <w:r>
              <w:tab/>
              <w:t>QSEs may update their Ancillary Service Offers in Real-Time.  SCED shall use the latest updated Ancillary Service Offers available to it at the time of the SCED execution.</w:t>
            </w:r>
          </w:p>
        </w:tc>
      </w:tr>
    </w:tbl>
    <w:p w14:paraId="0BF07947" w14:textId="77777777" w:rsidR="001F04FD" w:rsidRDefault="001F04FD" w:rsidP="000B1D41">
      <w:pPr>
        <w:pStyle w:val="H5"/>
        <w:spacing w:before="480"/>
        <w:ind w:left="1627" w:hanging="1627"/>
      </w:pPr>
      <w:bookmarkStart w:id="554" w:name="_Toc204411571"/>
      <w:r>
        <w:lastRenderedPageBreak/>
        <w:t>6.4.9.1.1</w:t>
      </w:r>
      <w:r>
        <w:tab/>
        <w:t>ERCOT Increases to the Ancillary Services Plan</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54"/>
    </w:p>
    <w:p w14:paraId="23695C3B" w14:textId="77777777" w:rsidR="001F04FD" w:rsidRDefault="001F04FD" w:rsidP="001F04FD">
      <w:pPr>
        <w:pStyle w:val="BodyTextNumbered"/>
      </w:pPr>
      <w:r>
        <w:t>(1)</w:t>
      </w:r>
      <w:r>
        <w:tab/>
        <w:t>If ERCOT determines in the Adjustment Period, in its sole discretion, that more Ancillary Services are needed for one or more Operating Hours than were provided in the Day-Ahead Ancillary Services Plan, it shall notify each QSE of its increased Ancillary Service Supply Obligation.</w:t>
      </w:r>
    </w:p>
    <w:p w14:paraId="1C040932" w14:textId="67CE6A51" w:rsidR="001F04FD" w:rsidRDefault="001F04FD" w:rsidP="001F04FD">
      <w:pPr>
        <w:pStyle w:val="BodyTextNumbered"/>
      </w:pPr>
      <w:r>
        <w:t>(2)</w:t>
      </w:r>
      <w:r>
        <w:tab/>
        <w:t xml:space="preserve">ERCOT may procure more Ancillary Services through a SASM, as described below in Section 6.4.9.2, Supplemental Ancillary Services Market, if the Self-Arranged Ancillary Service </w:t>
      </w:r>
      <w:r w:rsidR="006A0500">
        <w:t>Q</w:t>
      </w:r>
      <w:r>
        <w:t>uantities are insufficient to meet the total Ancillary Service Supply Obligation.</w:t>
      </w:r>
    </w:p>
    <w:p w14:paraId="61E17AC2" w14:textId="77777777" w:rsidR="001F04FD" w:rsidRDefault="001F04FD" w:rsidP="001F04FD">
      <w:pPr>
        <w:pStyle w:val="BodyTextNumbered"/>
      </w:pPr>
      <w:r>
        <w:t>(3)</w:t>
      </w:r>
      <w:r>
        <w:tab/>
        <w:t>When a SASM has been executed in response to ERCOT increasing the Ancillary Services Plan, each QSE that purchases Ancillary Service capacity shall be charged its share of the net cost incurred for that service, in accordance with Section 6.7.4, Adjustments to Cost Allocations for Ancillary Services Procurement.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541579B5" w14:textId="77777777" w:rsidTr="0058150D">
        <w:trPr>
          <w:trHeight w:val="206"/>
        </w:trPr>
        <w:tc>
          <w:tcPr>
            <w:tcW w:w="9350" w:type="dxa"/>
            <w:shd w:val="pct12" w:color="auto" w:fill="auto"/>
          </w:tcPr>
          <w:p w14:paraId="0EF62B8D" w14:textId="58586853" w:rsidR="00B06583" w:rsidRDefault="00B06583" w:rsidP="0058150D">
            <w:pPr>
              <w:pStyle w:val="Instructions"/>
              <w:spacing w:before="120"/>
            </w:pPr>
            <w:bookmarkStart w:id="555" w:name="_Toc397504937"/>
            <w:bookmarkStart w:id="556" w:name="_Toc402357065"/>
            <w:bookmarkStart w:id="557" w:name="_Toc422486445"/>
            <w:bookmarkStart w:id="558" w:name="_Toc433093297"/>
            <w:bookmarkStart w:id="559" w:name="_Toc433093455"/>
            <w:bookmarkStart w:id="560" w:name="_Toc440874684"/>
            <w:bookmarkStart w:id="561" w:name="_Toc448142239"/>
            <w:bookmarkStart w:id="562" w:name="_Toc448142396"/>
            <w:bookmarkStart w:id="563" w:name="_Toc458770232"/>
            <w:bookmarkStart w:id="564" w:name="_Toc459294200"/>
            <w:bookmarkStart w:id="565" w:name="_Toc463262693"/>
            <w:bookmarkStart w:id="566" w:name="_Toc468286765"/>
            <w:bookmarkStart w:id="567" w:name="_Toc481502811"/>
            <w:bookmarkStart w:id="568" w:name="_Toc496079981"/>
            <w:r>
              <w:t>[NPRR1010</w:t>
            </w:r>
            <w:r w:rsidR="00F726A9">
              <w:t xml:space="preserve"> and NPRR1204</w:t>
            </w:r>
            <w:r>
              <w:t>:  Replace Section 6.4.9.1.1 above</w:t>
            </w:r>
            <w:r w:rsidR="00525E33">
              <w:t xml:space="preserve"> with the following </w:t>
            </w:r>
            <w:r>
              <w:t>upon system implementation of the Real-Time Co-Optimization (RTC) project:]</w:t>
            </w:r>
          </w:p>
          <w:p w14:paraId="65EE887B" w14:textId="77777777" w:rsidR="00B06583" w:rsidRDefault="00B06583" w:rsidP="00B06583">
            <w:pPr>
              <w:spacing w:after="240"/>
              <w:ind w:left="720" w:hanging="720"/>
              <w:rPr>
                <w:b/>
                <w:bCs/>
                <w:i/>
                <w:iCs/>
                <w:szCs w:val="26"/>
              </w:rPr>
            </w:pPr>
            <w:r w:rsidRPr="003161DC">
              <w:rPr>
                <w:b/>
                <w:bCs/>
                <w:i/>
                <w:iCs/>
                <w:szCs w:val="26"/>
              </w:rPr>
              <w:t>6.4.9.1.1</w:t>
            </w:r>
            <w:r w:rsidRPr="003161DC">
              <w:rPr>
                <w:b/>
                <w:bCs/>
                <w:i/>
                <w:iCs/>
                <w:szCs w:val="26"/>
              </w:rPr>
              <w:tab/>
            </w:r>
            <w:r>
              <w:rPr>
                <w:b/>
                <w:bCs/>
                <w:i/>
                <w:iCs/>
                <w:szCs w:val="26"/>
              </w:rPr>
              <w:t>Ancillary Service Awards</w:t>
            </w:r>
          </w:p>
          <w:p w14:paraId="0AF6C44F" w14:textId="689B27D1" w:rsidR="00B06583" w:rsidRDefault="00B06583" w:rsidP="00B06583">
            <w:pPr>
              <w:spacing w:after="240"/>
              <w:ind w:left="720" w:hanging="720"/>
            </w:pPr>
            <w:r>
              <w:t>(1)</w:t>
            </w:r>
            <w:r>
              <w:tab/>
            </w:r>
            <w:r w:rsidRPr="00F84FA3">
              <w:t>A</w:t>
            </w:r>
            <w:r>
              <w:t xml:space="preserve">ncillary </w:t>
            </w:r>
            <w:r w:rsidRPr="00F84FA3">
              <w:t>S</w:t>
            </w:r>
            <w:r>
              <w:t>ervice</w:t>
            </w:r>
            <w:r w:rsidRPr="00F84FA3">
              <w:t xml:space="preserve"> awards will</w:t>
            </w:r>
            <w:r w:rsidR="00F726A9">
              <w:t xml:space="preserve"> be</w:t>
            </w:r>
            <w:r w:rsidRPr="00F84FA3">
              <w:t xml:space="preserve"> </w:t>
            </w:r>
            <w:r>
              <w:t>based on</w:t>
            </w:r>
            <w:r w:rsidRPr="00F84FA3">
              <w:t xml:space="preserve"> Resource capability (</w:t>
            </w:r>
            <w:r>
              <w:t xml:space="preserve">qualification, operating </w:t>
            </w:r>
            <w:r w:rsidRPr="00F84FA3">
              <w:t xml:space="preserve">limits, </w:t>
            </w:r>
            <w:r>
              <w:t xml:space="preserve">Ancillary Service limits, </w:t>
            </w:r>
            <w:r w:rsidRPr="00F84FA3">
              <w:t xml:space="preserve">ramp rates, </w:t>
            </w:r>
            <w:r w:rsidR="00F726A9">
              <w:t xml:space="preserve">State of Charge (SOC), SOC limits, </w:t>
            </w:r>
            <w:r w:rsidRPr="00F84FA3">
              <w:t>etc.) and A</w:t>
            </w:r>
            <w:r>
              <w:t xml:space="preserve">ncillary </w:t>
            </w:r>
            <w:r w:rsidRPr="00F84FA3">
              <w:t>S</w:t>
            </w:r>
            <w:r>
              <w:t xml:space="preserve">ervice </w:t>
            </w:r>
            <w:r w:rsidRPr="00F84FA3">
              <w:t>D</w:t>
            </w:r>
            <w:r>
              <w:t xml:space="preserve">emand </w:t>
            </w:r>
            <w:r w:rsidRPr="00F84FA3">
              <w:t>C</w:t>
            </w:r>
            <w:r>
              <w:t>urve</w:t>
            </w:r>
            <w:r w:rsidRPr="00F84FA3">
              <w:t>s</w:t>
            </w:r>
            <w:r>
              <w:t xml:space="preserve"> (ASDCs)</w:t>
            </w:r>
            <w:r w:rsidRPr="00F84FA3">
              <w:t xml:space="preserve"> </w:t>
            </w:r>
            <w:r>
              <w:t>regardless</w:t>
            </w:r>
            <w:r w:rsidRPr="00F84FA3">
              <w:t xml:space="preserve"> of the quantity of A</w:t>
            </w:r>
            <w:r>
              <w:t xml:space="preserve">ncillary </w:t>
            </w:r>
            <w:r w:rsidRPr="00F84FA3">
              <w:t>S</w:t>
            </w:r>
            <w:r>
              <w:t>ervice</w:t>
            </w:r>
            <w:r w:rsidRPr="00F84FA3">
              <w:t xml:space="preserve"> </w:t>
            </w:r>
            <w:r>
              <w:t>under</w:t>
            </w:r>
            <w:r w:rsidRPr="00F84FA3">
              <w:t xml:space="preserve"> deploy</w:t>
            </w:r>
            <w:r>
              <w:t>ment</w:t>
            </w:r>
            <w:r w:rsidRPr="00F84FA3">
              <w:t xml:space="preserve">.  </w:t>
            </w:r>
          </w:p>
          <w:p w14:paraId="37D5B436" w14:textId="77777777" w:rsidR="00B06583" w:rsidRDefault="00B06583" w:rsidP="00B06583">
            <w:pPr>
              <w:spacing w:after="240"/>
              <w:ind w:left="720" w:hanging="720"/>
            </w:pPr>
            <w:r>
              <w:t>(2)</w:t>
            </w:r>
            <w:r>
              <w:tab/>
              <w:t xml:space="preserve">QSEs representing Resources that are qualified to provide an Ancillary Service must submit valid Ancillary Service Offers for use in Real-Time clearing.  </w:t>
            </w:r>
            <w:r w:rsidRPr="00F84FA3">
              <w:t>QSEs</w:t>
            </w:r>
            <w:r>
              <w:t xml:space="preserve"> shall submit Resource-specific telemetry indicating the Resource’s ability to provide Ancillary Service in Real-Time</w:t>
            </w:r>
            <w:r w:rsidRPr="00F84FA3">
              <w:t>.</w:t>
            </w:r>
          </w:p>
          <w:p w14:paraId="1C6F4739" w14:textId="77777777" w:rsidR="00B06583" w:rsidRDefault="00B06583" w:rsidP="00B06583">
            <w:pPr>
              <w:spacing w:after="240"/>
              <w:ind w:left="720" w:hanging="720"/>
            </w:pPr>
            <w:r>
              <w:t>(3)</w:t>
            </w:r>
            <w:r>
              <w:tab/>
              <w:t xml:space="preserve">QSEs representing </w:t>
            </w:r>
            <w:r w:rsidRPr="00F84FA3">
              <w:t>Load Resources</w:t>
            </w:r>
            <w:r>
              <w:t xml:space="preserve"> providing Ancillary Service via high-set under-frequency relays</w:t>
            </w:r>
            <w:r w:rsidRPr="00F84FA3">
              <w:t xml:space="preserve"> </w:t>
            </w:r>
            <w:r>
              <w:t>may</w:t>
            </w:r>
            <w:r w:rsidRPr="00F84FA3">
              <w:t xml:space="preserve"> self-provide </w:t>
            </w:r>
            <w:r>
              <w:t xml:space="preserve">high-set under-frequency relay-controlled </w:t>
            </w:r>
            <w:r w:rsidRPr="00F84FA3">
              <w:t xml:space="preserve">RRS and ECRS; the amount of </w:t>
            </w:r>
            <w:r>
              <w:t>self-provision</w:t>
            </w:r>
            <w:r w:rsidRPr="00F84FA3">
              <w:t xml:space="preserve"> </w:t>
            </w:r>
            <w:r>
              <w:t>shall</w:t>
            </w:r>
            <w:r w:rsidRPr="00F84FA3">
              <w:t xml:space="preserve"> </w:t>
            </w:r>
            <w:r>
              <w:t xml:space="preserve">be limited </w:t>
            </w:r>
            <w:r w:rsidRPr="00F84FA3">
              <w:t xml:space="preserve">based on </w:t>
            </w:r>
            <w:r>
              <w:t xml:space="preserve">the QSE’s </w:t>
            </w:r>
            <w:r w:rsidRPr="00F84FA3">
              <w:t xml:space="preserve">Day-Ahead Market (DAM) </w:t>
            </w:r>
            <w:r>
              <w:t xml:space="preserve">Ancillary Service awards </w:t>
            </w:r>
            <w:r w:rsidRPr="00F84FA3">
              <w:t>and trades.</w:t>
            </w:r>
            <w:r w:rsidRPr="00C90393">
              <w:t xml:space="preserve"> </w:t>
            </w:r>
          </w:p>
          <w:p w14:paraId="740C13BF" w14:textId="77777777" w:rsidR="00B06583" w:rsidRDefault="00B06583" w:rsidP="00B06583">
            <w:pPr>
              <w:spacing w:after="240"/>
              <w:ind w:left="720" w:hanging="720"/>
            </w:pPr>
            <w:r>
              <w:t>(4)</w:t>
            </w:r>
            <w:r>
              <w:tab/>
              <w:t>A previously Off-Line Generation Resource in startup mode due to a manual deployment of Non-Spin by ERCOT will continue to be eligible for Non-Spin.  The eligible capacity shall be based on the telemetered HSL of the Resource minus its Base Point Dispatch Instruction by SCED interval.</w:t>
            </w:r>
          </w:p>
          <w:p w14:paraId="0E5E6F84" w14:textId="06DD25DC" w:rsidR="00B06583" w:rsidRDefault="00B06583" w:rsidP="00B06583">
            <w:pPr>
              <w:spacing w:after="240"/>
              <w:ind w:left="720" w:hanging="720"/>
            </w:pPr>
            <w:r>
              <w:lastRenderedPageBreak/>
              <w:t>(5)</w:t>
            </w:r>
            <w:r>
              <w:tab/>
              <w:t xml:space="preserve">A Quick Start Generation </w:t>
            </w:r>
            <w:r w:rsidRPr="00F84FA3">
              <w:t xml:space="preserve">Resource </w:t>
            </w:r>
            <w:r w:rsidR="00F510E2">
              <w:t xml:space="preserve">(QSGR) </w:t>
            </w:r>
            <w:r w:rsidRPr="00F84FA3">
              <w:t xml:space="preserve">in startup </w:t>
            </w:r>
            <w:r>
              <w:t xml:space="preserve">mode </w:t>
            </w:r>
            <w:r w:rsidRPr="00F84FA3">
              <w:t>due to a</w:t>
            </w:r>
            <w:r>
              <w:t>n</w:t>
            </w:r>
            <w:r w:rsidRPr="00F84FA3">
              <w:t xml:space="preserve"> ERCOT </w:t>
            </w:r>
            <w:r>
              <w:t xml:space="preserve">Dispatch Instruction </w:t>
            </w:r>
            <w:r w:rsidRPr="00F84FA3">
              <w:t xml:space="preserve">will continue to be eligible for ECRS and Non-Spin.  The eligible capacity </w:t>
            </w:r>
            <w:r>
              <w:t>shall</w:t>
            </w:r>
            <w:r w:rsidRPr="00F84FA3">
              <w:t xml:space="preserve"> be based on the</w:t>
            </w:r>
            <w:r>
              <w:t xml:space="preserve"> telemetered</w:t>
            </w:r>
            <w:r w:rsidRPr="00F84FA3">
              <w:t xml:space="preserve"> HSL of the Resource </w:t>
            </w:r>
            <w:r>
              <w:t>minus</w:t>
            </w:r>
            <w:r w:rsidRPr="00F84FA3">
              <w:t xml:space="preserve"> its </w:t>
            </w:r>
            <w:r>
              <w:t>B</w:t>
            </w:r>
            <w:r w:rsidRPr="00F84FA3">
              <w:t xml:space="preserve">ase </w:t>
            </w:r>
            <w:r>
              <w:t>P</w:t>
            </w:r>
            <w:r w:rsidRPr="00F84FA3">
              <w:t xml:space="preserve">oint </w:t>
            </w:r>
            <w:r>
              <w:t>Dispatch I</w:t>
            </w:r>
            <w:r w:rsidRPr="00F84FA3">
              <w:t>nstruction</w:t>
            </w:r>
            <w:r>
              <w:t xml:space="preserve"> by Security-Constrained Economic Dispatch (SCED) interval</w:t>
            </w:r>
            <w:r w:rsidRPr="00F84FA3">
              <w:t>.</w:t>
            </w:r>
          </w:p>
          <w:p w14:paraId="57E8C86F" w14:textId="77777777" w:rsidR="00B06583" w:rsidRDefault="00B06583" w:rsidP="00B06583">
            <w:pPr>
              <w:spacing w:after="240"/>
              <w:ind w:left="720" w:hanging="720"/>
            </w:pPr>
            <w:r>
              <w:t>(6)</w:t>
            </w:r>
            <w:r>
              <w:tab/>
            </w:r>
            <w:r w:rsidRPr="00F84FA3">
              <w:t xml:space="preserve">ERCOT </w:t>
            </w:r>
            <w:r>
              <w:t>may</w:t>
            </w:r>
            <w:r w:rsidRPr="00F84FA3">
              <w:t xml:space="preserve"> manually reduce the amount of A</w:t>
            </w:r>
            <w:r>
              <w:t xml:space="preserve">ncillary </w:t>
            </w:r>
            <w:r w:rsidRPr="00F84FA3">
              <w:t>S</w:t>
            </w:r>
            <w:r>
              <w:t>ervice</w:t>
            </w:r>
            <w:r w:rsidRPr="00F84FA3">
              <w:t xml:space="preserve"> </w:t>
            </w:r>
            <w:r>
              <w:t xml:space="preserve">eligible to be </w:t>
            </w:r>
            <w:r w:rsidRPr="00F84FA3">
              <w:t xml:space="preserve">awarded to </w:t>
            </w:r>
            <w:r>
              <w:t xml:space="preserve">a </w:t>
            </w:r>
            <w:r w:rsidRPr="00F84FA3">
              <w:t xml:space="preserve">Resource that, </w:t>
            </w:r>
            <w:r>
              <w:t>if</w:t>
            </w:r>
            <w:r w:rsidRPr="00F84FA3">
              <w:t xml:space="preserve"> deployed, </w:t>
            </w:r>
            <w:r>
              <w:t>could</w:t>
            </w:r>
            <w:r w:rsidRPr="00F84FA3">
              <w:t xml:space="preserve"> violate </w:t>
            </w:r>
            <w:r>
              <w:t xml:space="preserve">a </w:t>
            </w:r>
            <w:r w:rsidRPr="00F84FA3">
              <w:t xml:space="preserve">transmission constraint.  ERCOT </w:t>
            </w:r>
            <w:r>
              <w:t>shall</w:t>
            </w:r>
            <w:r w:rsidRPr="00F84FA3">
              <w:t xml:space="preserve"> notify </w:t>
            </w:r>
            <w:r>
              <w:t xml:space="preserve">the Resource’s </w:t>
            </w:r>
            <w:r w:rsidRPr="00F84FA3">
              <w:t>QSE in Real-Time of any A</w:t>
            </w:r>
            <w:r>
              <w:t>ncillary Service</w:t>
            </w:r>
            <w:r w:rsidRPr="00F84FA3">
              <w:t xml:space="preserve"> capability that has been derated by ERCOT</w:t>
            </w:r>
            <w:r>
              <w:t>,</w:t>
            </w:r>
            <w:r w:rsidRPr="00F84FA3">
              <w:t xml:space="preserve"> including </w:t>
            </w:r>
            <w:r>
              <w:t>the Resource’s</w:t>
            </w:r>
            <w:r w:rsidRPr="00F84FA3">
              <w:t xml:space="preserve"> new A</w:t>
            </w:r>
            <w:r>
              <w:t xml:space="preserve">ncillary </w:t>
            </w:r>
            <w:r w:rsidRPr="00F84FA3">
              <w:t>S</w:t>
            </w:r>
            <w:r>
              <w:t>ervice</w:t>
            </w:r>
            <w:r w:rsidRPr="00F84FA3">
              <w:t xml:space="preserve"> limit in MW</w:t>
            </w:r>
            <w:r>
              <w:t>s</w:t>
            </w:r>
            <w:r w:rsidRPr="00F84FA3">
              <w:t xml:space="preserve">.  </w:t>
            </w:r>
            <w:r>
              <w:t>Should the deration impact payments the QSE would have received under Section 6.7.5.1, Real-Time Ancillary Service Imbalance, the QSE will be eligible for consideration of a payment under Section 6.7.5.7, Real-Time Derated Ancillary Service Capability Payment.</w:t>
            </w:r>
            <w:r w:rsidRPr="00BE323C">
              <w:t xml:space="preserve"> </w:t>
            </w:r>
          </w:p>
          <w:p w14:paraId="185E2DFB" w14:textId="77777777" w:rsidR="00B06583" w:rsidRDefault="00B06583" w:rsidP="00B06583">
            <w:pPr>
              <w:spacing w:after="240"/>
              <w:ind w:left="720" w:hanging="720"/>
            </w:pPr>
            <w:r>
              <w:t>(7)       Sixty days after the applicable Operating Day, ERCOT shall post to the ERCOT website the instances of ERCOT Operator reduction of Ancillary Services capability, including the name of the Resource, the type and reduced MW by Ancillary Service, and the reason for the reduction.</w:t>
            </w:r>
          </w:p>
          <w:p w14:paraId="0CDEA2BA" w14:textId="33D02387" w:rsidR="00B06583" w:rsidRPr="00B06583" w:rsidRDefault="00B06583" w:rsidP="00B06583">
            <w:pPr>
              <w:spacing w:after="240"/>
              <w:ind w:left="720" w:hanging="720"/>
            </w:pPr>
            <w:r>
              <w:t>(8)</w:t>
            </w:r>
            <w:r>
              <w:tab/>
              <w:t xml:space="preserve">Ancillary Service awards and Real-Time Market Clearing Prices for Capacity (MCPCs) are </w:t>
            </w:r>
            <w:r w:rsidRPr="0036320E">
              <w:t>immediately</w:t>
            </w:r>
            <w:r>
              <w:t xml:space="preserve"> binding upon the completion of a SCED run.</w:t>
            </w:r>
          </w:p>
        </w:tc>
      </w:tr>
    </w:tbl>
    <w:p w14:paraId="222F5C24" w14:textId="77777777" w:rsidR="001F04FD" w:rsidRDefault="001F04FD" w:rsidP="001F04FD">
      <w:pPr>
        <w:pStyle w:val="H5"/>
        <w:spacing w:before="480"/>
        <w:ind w:left="1627" w:hanging="1627"/>
      </w:pPr>
      <w:bookmarkStart w:id="569" w:name="_Toc204411572"/>
      <w:r>
        <w:lastRenderedPageBreak/>
        <w:t>6.4.9.1.2</w:t>
      </w:r>
      <w:r>
        <w:tab/>
        <w:t xml:space="preserve">Replacement of </w:t>
      </w:r>
      <w:r w:rsidR="00CD0E1A" w:rsidRPr="00CD0E1A">
        <w:t>Infeasible</w:t>
      </w:r>
      <w:r>
        <w:t xml:space="preserve"> Ancillary Service Due to Transmission Constraints</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r>
        <w:t xml:space="preserve"> </w:t>
      </w:r>
    </w:p>
    <w:p w14:paraId="0DEE87A1" w14:textId="11AE1355" w:rsidR="00CD0E1A" w:rsidRPr="007779E2" w:rsidRDefault="00CD0E1A" w:rsidP="00CD0E1A">
      <w:pPr>
        <w:spacing w:after="240"/>
        <w:ind w:left="720" w:hanging="720"/>
      </w:pPr>
      <w:r w:rsidRPr="007779E2">
        <w:t>(1)</w:t>
      </w:r>
      <w:r w:rsidRPr="007779E2">
        <w:tab/>
        <w:t xml:space="preserve">The HRUC process must honor the HASL and Low Ancillary Service Limit (LASL) for each Resource for each hour of the RUC Study Period unless by doing so a transmission constraint exists where </w:t>
      </w:r>
      <w:r>
        <w:t>the capacity reserved to provide Ancillary Services</w:t>
      </w:r>
      <w:r w:rsidRPr="007779E2">
        <w:t xml:space="preserve"> from the Resource is needed to resolve the constraint that cannot be resolved by any other means.  </w:t>
      </w:r>
      <w:r>
        <w:t xml:space="preserve">In such cases, the Ancillary Services may be determined to be infeasible.  The Ancillary Services from a Resource may also be determined to be infeasible if the deployment of those Ancillary Services would have a consistent, negative impact on a transmission constraint.  Infeasibility may be identified in either the Adjustment Period or the Operating Period.  </w:t>
      </w:r>
      <w:r w:rsidRPr="007779E2">
        <w:t xml:space="preserve">If </w:t>
      </w:r>
      <w:r>
        <w:t xml:space="preserve">the </w:t>
      </w:r>
      <w:r w:rsidRPr="007779E2">
        <w:t xml:space="preserve">ERCOT Operator decides that the Ancillary Service capacity allocated to that Resource is </w:t>
      </w:r>
      <w:r>
        <w:t>infeasible</w:t>
      </w:r>
      <w:r w:rsidRPr="007779E2">
        <w:t xml:space="preserve"> based on ERCOT System conditions, then ERCOT shall provide the following information to each affected QSE:</w:t>
      </w:r>
    </w:p>
    <w:p w14:paraId="12D5E7F5" w14:textId="77777777" w:rsidR="00CD0E1A" w:rsidRPr="007779E2" w:rsidRDefault="00CD0E1A" w:rsidP="00CD0E1A">
      <w:pPr>
        <w:spacing w:after="240"/>
        <w:ind w:left="1440" w:hanging="720"/>
      </w:pPr>
      <w:r w:rsidRPr="007779E2">
        <w:t>(a)</w:t>
      </w:r>
      <w:r w:rsidRPr="007779E2">
        <w:tab/>
        <w:t>The amount by which the QSE must reduce the Ancillary Services currently allocated to each affected Resource; and</w:t>
      </w:r>
    </w:p>
    <w:p w14:paraId="33306BE2" w14:textId="77777777" w:rsidR="00CD0E1A" w:rsidRPr="007779E2" w:rsidRDefault="00CD0E1A" w:rsidP="00CD0E1A">
      <w:pPr>
        <w:spacing w:after="240"/>
        <w:ind w:left="1440" w:hanging="720"/>
      </w:pPr>
      <w:r w:rsidRPr="007779E2">
        <w:t>(b)</w:t>
      </w:r>
      <w:r w:rsidRPr="007779E2">
        <w:tab/>
        <w:t>The start and stop times of the reduction.</w:t>
      </w:r>
    </w:p>
    <w:p w14:paraId="63A79AAF" w14:textId="77777777" w:rsidR="00CD0E1A" w:rsidRPr="007779E2" w:rsidRDefault="00CD0E1A" w:rsidP="00CD0E1A">
      <w:pPr>
        <w:spacing w:after="240"/>
        <w:ind w:left="720" w:hanging="720"/>
      </w:pPr>
      <w:r w:rsidRPr="007779E2">
        <w:t>(2)</w:t>
      </w:r>
      <w:r w:rsidRPr="007779E2">
        <w:tab/>
      </w:r>
      <w:r>
        <w:t>Upon notification</w:t>
      </w:r>
      <w:r w:rsidRPr="007779E2">
        <w:t>, each affected QSE may do one or more of the following:</w:t>
      </w:r>
    </w:p>
    <w:p w14:paraId="2FE626C2" w14:textId="77777777" w:rsidR="00CD0E1A" w:rsidRPr="007779E2" w:rsidRDefault="00CD0E1A" w:rsidP="00CD0E1A">
      <w:pPr>
        <w:spacing w:after="240"/>
        <w:ind w:left="1260" w:hanging="540"/>
      </w:pPr>
      <w:r w:rsidRPr="007779E2">
        <w:t>(a)</w:t>
      </w:r>
      <w:r w:rsidRPr="007779E2">
        <w:tab/>
        <w:t>Substitute capacity from other Resources represented by that QSE to meet its Ancillary Services Supply Responsibility;</w:t>
      </w:r>
    </w:p>
    <w:p w14:paraId="2B69ABA2" w14:textId="77777777" w:rsidR="00CD0E1A" w:rsidRPr="007779E2" w:rsidRDefault="00CD0E1A" w:rsidP="00CD0E1A">
      <w:pPr>
        <w:spacing w:after="240"/>
        <w:ind w:left="1260" w:hanging="540"/>
      </w:pPr>
      <w:r w:rsidRPr="007779E2">
        <w:lastRenderedPageBreak/>
        <w:t>(b)</w:t>
      </w:r>
      <w:r w:rsidRPr="007779E2">
        <w:tab/>
        <w:t>Substitute capacity from other QSEs using Ancillary Service Trades; or</w:t>
      </w:r>
    </w:p>
    <w:p w14:paraId="0FEA2073" w14:textId="77777777" w:rsidR="00CD0E1A" w:rsidRPr="007779E2" w:rsidRDefault="00CD0E1A" w:rsidP="00CD0E1A">
      <w:pPr>
        <w:spacing w:after="240"/>
        <w:ind w:left="1260" w:hanging="540"/>
      </w:pPr>
      <w:r w:rsidRPr="007779E2">
        <w:t>(c)</w:t>
      </w:r>
      <w:r w:rsidRPr="007779E2">
        <w:tab/>
        <w:t>Inform ERCOT that all or part of the Ancillary Services capacity needs to be replaced.</w:t>
      </w:r>
    </w:p>
    <w:p w14:paraId="23EB90E7" w14:textId="77777777" w:rsidR="00CD0E1A" w:rsidRPr="007779E2" w:rsidRDefault="00CD0E1A" w:rsidP="00CD0E1A">
      <w:pPr>
        <w:spacing w:after="240"/>
        <w:ind w:left="720" w:hanging="720"/>
      </w:pPr>
      <w:r w:rsidRPr="007779E2">
        <w:t>(3)</w:t>
      </w:r>
      <w:r w:rsidRPr="007779E2">
        <w:tab/>
        <w:t>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 Supplemental Ancillary Services Market.</w:t>
      </w:r>
    </w:p>
    <w:p w14:paraId="1F22BF71" w14:textId="77777777" w:rsidR="001F04FD" w:rsidRDefault="00CD0E1A" w:rsidP="001F04FD">
      <w:pPr>
        <w:pStyle w:val="BodyTextNumbered"/>
      </w:pPr>
      <w:r w:rsidRPr="007779E2">
        <w:t xml:space="preserve">(4) </w:t>
      </w:r>
      <w:r w:rsidRPr="007779E2">
        <w:tab/>
      </w:r>
      <w:r>
        <w:t xml:space="preserve">Settlement of infeasible Ancillary Services shall be performed in accordance with Section 6.7.2.1, Charges for Infeasible Ancillary Service Capacity Due to Transmission Constraints, and </w:t>
      </w:r>
      <w:r w:rsidRPr="007779E2">
        <w:t>Section 6.7.4, Adjustments to Cost Allocations for Ancillary Services Procurement.</w:t>
      </w:r>
      <w:r>
        <w:t xml:space="preserve">  These calculations occur for all hours for which the Ancillary Service has been determined to be infeasible, regardless of whether or not a SASM is executed for that specific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474B6EEC" w14:textId="77777777" w:rsidTr="0058150D">
        <w:trPr>
          <w:trHeight w:val="206"/>
        </w:trPr>
        <w:tc>
          <w:tcPr>
            <w:tcW w:w="9350" w:type="dxa"/>
            <w:shd w:val="pct12" w:color="auto" w:fill="auto"/>
          </w:tcPr>
          <w:p w14:paraId="597A6397" w14:textId="5E7D4065" w:rsidR="00B06583" w:rsidRPr="00B06583" w:rsidRDefault="00B06583" w:rsidP="00CE56E5">
            <w:pPr>
              <w:pStyle w:val="Instructions"/>
              <w:spacing w:before="120"/>
            </w:pPr>
            <w:bookmarkStart w:id="570" w:name="_Toc397504938"/>
            <w:bookmarkStart w:id="571" w:name="_Toc402357066"/>
            <w:bookmarkStart w:id="572" w:name="_Toc422486446"/>
            <w:bookmarkStart w:id="573" w:name="_Toc433093298"/>
            <w:bookmarkStart w:id="574" w:name="_Toc433093456"/>
            <w:bookmarkStart w:id="575" w:name="_Toc440874685"/>
            <w:bookmarkStart w:id="576" w:name="_Toc448142240"/>
            <w:bookmarkStart w:id="577" w:name="_Toc448142397"/>
            <w:bookmarkStart w:id="578" w:name="_Toc458770233"/>
            <w:bookmarkStart w:id="579" w:name="_Toc459294201"/>
            <w:bookmarkStart w:id="580" w:name="_Toc463262694"/>
            <w:bookmarkStart w:id="581" w:name="_Toc468286767"/>
            <w:bookmarkStart w:id="582" w:name="_Toc481502813"/>
            <w:bookmarkStart w:id="583" w:name="_Toc496079982"/>
            <w:r>
              <w:t>[NPRR1010:  Delete Section 6.4.9.1.2 above upon system implementation of the Real-Time Co-Optimization (RTC) project</w:t>
            </w:r>
            <w:r w:rsidR="00CE56E5">
              <w:t>.</w:t>
            </w:r>
            <w:r>
              <w:t>]</w:t>
            </w:r>
          </w:p>
        </w:tc>
      </w:tr>
    </w:tbl>
    <w:p w14:paraId="13171D82" w14:textId="4F50689A" w:rsidR="001F04FD" w:rsidRDefault="001F04FD" w:rsidP="00F26F08">
      <w:pPr>
        <w:pStyle w:val="H5"/>
        <w:ind w:left="1627" w:hanging="1627"/>
      </w:pPr>
      <w:bookmarkStart w:id="584" w:name="_Toc135992246"/>
      <w:bookmarkStart w:id="585" w:name="_Toc204411573"/>
      <w:r>
        <w:t>6.4.9.1.3</w:t>
      </w:r>
      <w:r>
        <w:tab/>
        <w:t>Failure to Provide</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r w:rsidR="00745851">
        <w:t xml:space="preserve"> Ancillary Service</w:t>
      </w:r>
      <w:bookmarkEnd w:id="585"/>
    </w:p>
    <w:p w14:paraId="038F6175" w14:textId="77777777" w:rsidR="00745851" w:rsidRPr="00070608" w:rsidRDefault="00745851" w:rsidP="00745851">
      <w:pPr>
        <w:spacing w:after="240"/>
        <w:ind w:left="720" w:hanging="720"/>
        <w:rPr>
          <w:szCs w:val="24"/>
        </w:rPr>
      </w:pPr>
      <w:r w:rsidRPr="00070608">
        <w:rPr>
          <w:szCs w:val="24"/>
        </w:rPr>
        <w:t>(1)</w:t>
      </w:r>
      <w:r w:rsidRPr="00070608">
        <w:rPr>
          <w:szCs w:val="24"/>
        </w:rPr>
        <w:tab/>
        <w:t xml:space="preserve">ERCOT may procure Ancillary Services to replace those of a QSE that has failed to provide its Ancillary Services Supply Responsibility through a SASM, as described below in Section 6.4.9.2, Supplemental Ancillary Services Market.  </w:t>
      </w:r>
    </w:p>
    <w:p w14:paraId="2E9A83C5" w14:textId="77777777" w:rsidR="00745851" w:rsidRPr="00070608" w:rsidRDefault="00745851" w:rsidP="00745851">
      <w:pPr>
        <w:spacing w:after="240"/>
        <w:ind w:left="720" w:hanging="720"/>
        <w:rPr>
          <w:szCs w:val="24"/>
        </w:rPr>
      </w:pPr>
      <w:r w:rsidRPr="00070608">
        <w:rPr>
          <w:szCs w:val="24"/>
        </w:rPr>
        <w:t>(2)</w:t>
      </w:r>
      <w:r w:rsidRPr="00070608">
        <w:rPr>
          <w:szCs w:val="24"/>
        </w:rPr>
        <w:tab/>
        <w:t xml:space="preserve">A QSE is considered to have failed to provide its Ancillary Services Supply Responsibility when ERCOT determines, in its sole discretion, that some or all of the QSE’s Ancillary Service capacity will not be available in Real-Time, was not available during any interval for which the QSE had an Ancillary Service Supply Responsibility, or that the QSE assigned all or part of an Ancillary Service Supply Responsibility to a Resource that was not qualified to provide that Ancillary Service. </w:t>
      </w:r>
      <w:r>
        <w:rPr>
          <w:szCs w:val="24"/>
        </w:rPr>
        <w:t xml:space="preserve"> </w:t>
      </w:r>
      <w:r w:rsidRPr="00070608">
        <w:rPr>
          <w:szCs w:val="24"/>
        </w:rPr>
        <w:t>This Section does not apply to a failure to provide caused by events described in Section 6.4.9.1.2, Replacement of Infeasible Ancillary Service Due to Transmission Constraints.</w:t>
      </w:r>
    </w:p>
    <w:p w14:paraId="78BDF43B" w14:textId="77777777" w:rsidR="00745851" w:rsidRPr="00070608" w:rsidRDefault="00745851" w:rsidP="00745851">
      <w:pPr>
        <w:spacing w:after="240"/>
        <w:ind w:left="720" w:hanging="720"/>
        <w:rPr>
          <w:szCs w:val="24"/>
        </w:rPr>
      </w:pPr>
      <w:r w:rsidRPr="00070608">
        <w:rPr>
          <w:szCs w:val="24"/>
        </w:rPr>
        <w:t>(3)</w:t>
      </w:r>
      <w:r w:rsidRPr="00070608">
        <w:rPr>
          <w:szCs w:val="24"/>
        </w:rPr>
        <w:tab/>
        <w:t>Within a time frame acceptable to ERCOT, each affected QSE may either substitute capacity to meet its Ancillary Services Supply Responsibility or inform ERCOT that the Ancillary Services capacity needs to be replaced.  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w:t>
      </w:r>
    </w:p>
    <w:p w14:paraId="318E9077" w14:textId="5A84D58E" w:rsidR="00070608" w:rsidRDefault="00745851" w:rsidP="001F04FD">
      <w:pPr>
        <w:pStyle w:val="BodyTextNumbered"/>
      </w:pPr>
      <w:r w:rsidRPr="00070608">
        <w:lastRenderedPageBreak/>
        <w:t>(4)</w:t>
      </w:r>
      <w:r w:rsidRPr="00070608">
        <w:tab/>
        <w:t>ERCOT shall charge each QSE that has failed to provide its Ancillary Service Supply Responsibility, according to paragraph (2) above for a particular Ancillary Service for a specific hour, in the manner described in Section 6.7.3, Charges for a Failure to Provide Ancillary Service.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7CA7E283" w14:textId="77777777" w:rsidTr="0058150D">
        <w:trPr>
          <w:trHeight w:val="206"/>
        </w:trPr>
        <w:tc>
          <w:tcPr>
            <w:tcW w:w="9350" w:type="dxa"/>
            <w:shd w:val="pct12" w:color="auto" w:fill="auto"/>
          </w:tcPr>
          <w:p w14:paraId="06761FA0" w14:textId="3012A57B" w:rsidR="00B06583" w:rsidRPr="00B06583" w:rsidRDefault="00B06583" w:rsidP="00C700F5">
            <w:pPr>
              <w:pStyle w:val="Instructions"/>
              <w:spacing w:before="120"/>
            </w:pPr>
            <w:bookmarkStart w:id="586" w:name="_Toc397504939"/>
            <w:bookmarkStart w:id="587" w:name="_Toc402357067"/>
            <w:bookmarkStart w:id="588" w:name="_Toc422486447"/>
            <w:bookmarkStart w:id="589" w:name="_Toc433093299"/>
            <w:bookmarkStart w:id="590" w:name="_Toc433093457"/>
            <w:bookmarkStart w:id="591" w:name="_Toc440874686"/>
            <w:bookmarkStart w:id="592" w:name="_Toc448142241"/>
            <w:bookmarkStart w:id="593" w:name="_Toc448142398"/>
            <w:bookmarkStart w:id="594" w:name="_Toc458770234"/>
            <w:bookmarkStart w:id="595" w:name="_Toc459294202"/>
            <w:bookmarkStart w:id="596" w:name="_Toc463262695"/>
            <w:bookmarkStart w:id="597" w:name="_Toc468286769"/>
            <w:bookmarkStart w:id="598" w:name="_Toc481502815"/>
            <w:bookmarkStart w:id="599" w:name="_Toc496079983"/>
            <w:r>
              <w:t>[NPRR1010:  Delete Section 6.4.9.1.3 above upon system implementation of the Real-Time Co-Optimization (RTC) project</w:t>
            </w:r>
            <w:r w:rsidR="00CE56E5">
              <w:t>.</w:t>
            </w:r>
            <w:r>
              <w:t>]</w:t>
            </w:r>
          </w:p>
        </w:tc>
      </w:tr>
    </w:tbl>
    <w:p w14:paraId="6E343240" w14:textId="77777777" w:rsidR="004940BD" w:rsidRPr="004940BD" w:rsidRDefault="004940BD" w:rsidP="004940BD">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351489C9" w14:textId="77777777" w:rsidTr="0058150D">
        <w:trPr>
          <w:trHeight w:val="206"/>
        </w:trPr>
        <w:tc>
          <w:tcPr>
            <w:tcW w:w="9350" w:type="dxa"/>
            <w:shd w:val="pct12" w:color="auto" w:fill="auto"/>
          </w:tcPr>
          <w:p w14:paraId="0BC17695" w14:textId="661F33D7" w:rsidR="004940BD" w:rsidRDefault="004940BD" w:rsidP="004940BD">
            <w:pPr>
              <w:pStyle w:val="Instructions"/>
              <w:spacing w:before="120"/>
            </w:pPr>
            <w:r>
              <w:t xml:space="preserve">[NPRR1010:  Insert Section 6.4.9.1.2 </w:t>
            </w:r>
            <w:r w:rsidR="00745851">
              <w:t>below</w:t>
            </w:r>
            <w:r>
              <w:t xml:space="preserve"> upon system implementation of the Real-Time Co-Optimization (RTC) project:]</w:t>
            </w:r>
          </w:p>
          <w:p w14:paraId="0BF415E4" w14:textId="77777777" w:rsidR="004940BD" w:rsidRPr="00036D11" w:rsidRDefault="004940BD" w:rsidP="009A7BE1">
            <w:pPr>
              <w:pStyle w:val="H5"/>
              <w:ind w:left="1627" w:hanging="1627"/>
              <w:rPr>
                <w:b w:val="0"/>
                <w:bCs w:val="0"/>
                <w:iCs w:val="0"/>
              </w:rPr>
            </w:pPr>
            <w:bookmarkStart w:id="600" w:name="_Toc60040583"/>
            <w:bookmarkStart w:id="601" w:name="_Toc65151643"/>
            <w:bookmarkStart w:id="602" w:name="_Toc80174669"/>
            <w:bookmarkStart w:id="603" w:name="_Toc108712427"/>
            <w:bookmarkStart w:id="604" w:name="_Toc112417547"/>
            <w:bookmarkStart w:id="605" w:name="_Toc119310216"/>
            <w:bookmarkStart w:id="606" w:name="_Toc125966150"/>
            <w:bookmarkStart w:id="607" w:name="_Toc135992248"/>
            <w:bookmarkStart w:id="608" w:name="_Toc170303444"/>
            <w:bookmarkStart w:id="609" w:name="_Toc175157348"/>
            <w:bookmarkStart w:id="610" w:name="_Toc204411574"/>
            <w:r w:rsidRPr="00036D11">
              <w:t>6.4.9.1.2</w:t>
            </w:r>
            <w:r w:rsidRPr="00036D11">
              <w:tab/>
              <w:t>Changes to Operating Day Ancillary Service Plan</w:t>
            </w:r>
            <w:bookmarkEnd w:id="600"/>
            <w:bookmarkEnd w:id="601"/>
            <w:bookmarkEnd w:id="602"/>
            <w:bookmarkEnd w:id="603"/>
            <w:bookmarkEnd w:id="604"/>
            <w:bookmarkEnd w:id="605"/>
            <w:bookmarkEnd w:id="606"/>
            <w:bookmarkEnd w:id="607"/>
            <w:bookmarkEnd w:id="608"/>
            <w:bookmarkEnd w:id="609"/>
            <w:bookmarkEnd w:id="610"/>
          </w:p>
          <w:p w14:paraId="57641207" w14:textId="64A7A31E" w:rsidR="004940BD" w:rsidRPr="004940BD" w:rsidRDefault="004940BD" w:rsidP="004940BD">
            <w:pPr>
              <w:spacing w:after="240"/>
              <w:ind w:left="720" w:hanging="720"/>
            </w:pPr>
            <w:r>
              <w:t>(1)</w:t>
            </w:r>
            <w:r>
              <w:tab/>
              <w:t>Any time during the Adjustment Period or Operating Period, if ERCOT determines that the Ancillary Service Plan needs to be modified, ERCOT will notify Market Participants of ERCOT’s need to modify the Ancillary Service Plan and post the reliability reason for the modification in service requirements.  ERCOT will also update the Ancillary Service Plan, as described in Section 4.2.1, Ancillary Service Plan and Ancillary Service Obligation, and update and post ASDCs for each impacted Ancillary Service product, as described in Section 4.2.1.1, Ancillary Service Plan.</w:t>
            </w:r>
          </w:p>
        </w:tc>
      </w:tr>
    </w:tbl>
    <w:p w14:paraId="5EC938EF" w14:textId="77777777" w:rsidR="001F04FD" w:rsidRDefault="001F04FD" w:rsidP="001F04FD">
      <w:pPr>
        <w:pStyle w:val="H4"/>
        <w:spacing w:before="480"/>
        <w:ind w:left="1267" w:hanging="1267"/>
      </w:pPr>
      <w:bookmarkStart w:id="611" w:name="_Toc204411575"/>
      <w:r>
        <w:t>6.4.9.2</w:t>
      </w:r>
      <w:r>
        <w:tab/>
        <w:t>Supplemental Ancillary Services Market</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11"/>
    </w:p>
    <w:p w14:paraId="689A22CE" w14:textId="7D7E51C3" w:rsidR="001F04FD" w:rsidRDefault="001F04FD" w:rsidP="001F04FD">
      <w:pPr>
        <w:pStyle w:val="BodyTextNumbered"/>
      </w:pPr>
      <w:r>
        <w:t>(1)</w:t>
      </w:r>
      <w:r>
        <w:tab/>
        <w:t xml:space="preserve">During the Adjustment Period, ERCOT may procure additional Reg-Up, Reg-Down, </w:t>
      </w:r>
      <w:r w:rsidR="00A93ECE">
        <w:t xml:space="preserve">ECRS, </w:t>
      </w:r>
      <w:r>
        <w:t>Responsive Reserve (RRS), and Non-Spin services for the reasons, and in the amounts, specified in Section 6.4.9.1, Evaluation and Maintenance of Ancillary Service Capacity Sufficiency, using a SASM.</w:t>
      </w:r>
    </w:p>
    <w:p w14:paraId="32F18A87" w14:textId="77777777" w:rsidR="001F04FD" w:rsidRDefault="001F04FD" w:rsidP="00F969DB">
      <w:pPr>
        <w:pStyle w:val="BodyTextNumbered"/>
      </w:pPr>
      <w:r>
        <w:t>(2)</w:t>
      </w:r>
      <w:r>
        <w:tab/>
      </w:r>
      <w:r w:rsidRPr="008C60A6">
        <w:t xml:space="preserve">ERCOT shall allow QSEs to </w:t>
      </w:r>
      <w:r>
        <w:t xml:space="preserve">request to </w:t>
      </w:r>
      <w:r w:rsidRPr="008C60A6">
        <w:t xml:space="preserve">modify their Ancillary Service positions through a </w:t>
      </w:r>
      <w:r>
        <w:t>R</w:t>
      </w:r>
      <w:r w:rsidRPr="008C60A6">
        <w:t xml:space="preserve">econfiguration </w:t>
      </w:r>
      <w:r w:rsidR="00D430E9">
        <w:t xml:space="preserve">Supplemental Ancillary Services Market </w:t>
      </w:r>
      <w:r>
        <w:t>(RSASM).  The RSASM is executed</w:t>
      </w:r>
      <w:r w:rsidRPr="008C60A6">
        <w:t xml:space="preserve"> at </w:t>
      </w:r>
      <w:r>
        <w:t>0900 daily</w:t>
      </w:r>
      <w:r w:rsidRPr="008C60A6">
        <w:t xml:space="preserve">.  This </w:t>
      </w:r>
      <w:r>
        <w:t>R</w:t>
      </w:r>
      <w:r w:rsidRPr="008C60A6">
        <w:t xml:space="preserve">SASM allows QSEs to </w:t>
      </w:r>
      <w:r>
        <w:t xml:space="preserve">potentially </w:t>
      </w:r>
      <w:r w:rsidRPr="008C60A6">
        <w:t xml:space="preserve">change their </w:t>
      </w:r>
      <w:r>
        <w:t xml:space="preserve">Ancillary Service Supply Responsibility </w:t>
      </w:r>
      <w:r w:rsidRPr="008C60A6">
        <w:t xml:space="preserve">from </w:t>
      </w:r>
      <w:r>
        <w:t xml:space="preserve">hour ending 1300 through hour ending 2400 </w:t>
      </w:r>
      <w:r w:rsidRPr="008C60A6">
        <w:t xml:space="preserve">of the </w:t>
      </w:r>
      <w:r>
        <w:t>current Operating Day</w:t>
      </w:r>
      <w:r w:rsidRPr="008C60A6">
        <w:t>.</w:t>
      </w:r>
      <w:r>
        <w:t xml:space="preserve">  QSEs attempt to reduce their Ancillary Service Supply Responsibility through the RSASM by submitting less Ancillary Service capacity in their Resource’s COPs than their Ancillary Service Supply Responsibility.  The difference between the Ancillary Service Supply Responsibility and the COP Ancillary Service capacity is the reconfiguration amount that is procured by the RSASM.  The QSE must also have valid Ancillary Service Offers of an amount equal to or greater than their requested reconfiguration amount.  The RSASM shall not be executed</w:t>
      </w:r>
      <w:r w:rsidRPr="008C60A6">
        <w:t xml:space="preserve"> </w:t>
      </w:r>
      <w:r>
        <w:t>if there are not enough offers to procure the Ancillary Service reconfiguration amount.</w:t>
      </w:r>
    </w:p>
    <w:p w14:paraId="775C3707" w14:textId="77777777" w:rsidR="001F04FD" w:rsidRPr="000149E5" w:rsidRDefault="001F04FD" w:rsidP="001F04FD">
      <w:pPr>
        <w:pStyle w:val="BodyTextNumbered"/>
        <w:rPr>
          <w:iCs/>
        </w:rPr>
      </w:pPr>
      <w:r>
        <w:rPr>
          <w:iCs/>
        </w:rPr>
        <w:t>(3</w:t>
      </w:r>
      <w:r w:rsidRPr="000149E5">
        <w:rPr>
          <w:iCs/>
        </w:rPr>
        <w:t>)</w:t>
      </w:r>
      <w:r w:rsidRPr="000149E5">
        <w:rPr>
          <w:iCs/>
        </w:rPr>
        <w:tab/>
        <w:t>The SASM process for acquiring more Ancillary Service capacity or an Ancillary Service reconfiguration must use the following timelines:</w:t>
      </w:r>
    </w:p>
    <w:p w14:paraId="27B80D84" w14:textId="77777777" w:rsidR="008E6198" w:rsidRDefault="001F04FD" w:rsidP="001F04FD">
      <w:pPr>
        <w:pStyle w:val="BodyTextNumbered"/>
        <w:ind w:left="1440"/>
        <w:rPr>
          <w:iCs/>
        </w:rPr>
      </w:pPr>
      <w:r w:rsidRPr="000149E5">
        <w:rPr>
          <w:iCs/>
        </w:rPr>
        <w:lastRenderedPageBreak/>
        <w:t>(a)</w:t>
      </w:r>
      <w:r w:rsidRPr="000149E5">
        <w:rPr>
          <w:iCs/>
        </w:rPr>
        <w:tab/>
      </w:r>
      <w:r w:rsidR="008C5104" w:rsidRPr="00E705D5">
        <w:rPr>
          <w:iCs/>
        </w:rPr>
        <w:t xml:space="preserve">For Ancillary Service capacity related to ERCOT desired increases, for replacement of Ancillary Service capacity related to </w:t>
      </w:r>
      <w:r w:rsidR="008C5104">
        <w:rPr>
          <w:iCs/>
        </w:rPr>
        <w:t>infeasibility</w:t>
      </w:r>
      <w:r w:rsidR="008C5104" w:rsidRPr="00E705D5">
        <w:rPr>
          <w:iCs/>
        </w:rPr>
        <w:t xml:space="preserve"> or for failure of a QSE to provide one or more Ancillary Services, ERCOT shall send a notice, by ERCOT Hotline and electronic communication, at time X to all QSEs of the SASM.  Time X may be any time not less than two hours before the start of the Operating Hour for which the additional Ancillary</w:t>
      </w:r>
      <w:r w:rsidR="008C5104">
        <w:rPr>
          <w:iCs/>
        </w:rPr>
        <w:t xml:space="preserve"> Services capacity are being procured.  For cases of Ancillary Service capacity being infeasible or for failure of a QSE to provide one or more Ancillary Services, the Operating Hours covered by the SASM may be a subset of the Operating Hours for which the Ancillary Service capacity is declared infeasible or failed.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1F04FD" w14:paraId="5671420B" w14:textId="77777777" w:rsidTr="00AC4DEE">
        <w:trPr>
          <w:trHeight w:val="576"/>
        </w:trPr>
        <w:tc>
          <w:tcPr>
            <w:tcW w:w="1836" w:type="dxa"/>
          </w:tcPr>
          <w:p w14:paraId="5AEB5219" w14:textId="77777777" w:rsidR="001F04FD" w:rsidRDefault="001F04FD" w:rsidP="00AC4DEE">
            <w:pPr>
              <w:pStyle w:val="TableHead"/>
            </w:pPr>
            <w:r>
              <w:t xml:space="preserve">SASM Process </w:t>
            </w:r>
          </w:p>
        </w:tc>
        <w:tc>
          <w:tcPr>
            <w:tcW w:w="3672" w:type="dxa"/>
          </w:tcPr>
          <w:p w14:paraId="10B97E6C" w14:textId="77777777" w:rsidR="001F04FD" w:rsidRPr="00EB4BCC" w:rsidRDefault="001F04FD" w:rsidP="00AC4DEE">
            <w:pPr>
              <w:pStyle w:val="TableHead"/>
              <w:rPr>
                <w:bCs/>
              </w:rPr>
            </w:pPr>
            <w:r w:rsidRPr="00EB4BCC">
              <w:rPr>
                <w:bCs/>
              </w:rPr>
              <w:t>QSE Activities:</w:t>
            </w:r>
          </w:p>
        </w:tc>
        <w:tc>
          <w:tcPr>
            <w:tcW w:w="3852" w:type="dxa"/>
          </w:tcPr>
          <w:p w14:paraId="3733B9F2" w14:textId="77777777" w:rsidR="001F04FD" w:rsidRPr="00EB4BCC" w:rsidRDefault="001F04FD" w:rsidP="00AC4DEE">
            <w:pPr>
              <w:pStyle w:val="TableHead"/>
              <w:rPr>
                <w:bCs/>
              </w:rPr>
            </w:pPr>
            <w:r w:rsidRPr="00EB4BCC">
              <w:rPr>
                <w:bCs/>
              </w:rPr>
              <w:t>ERCOT Activities:</w:t>
            </w:r>
          </w:p>
        </w:tc>
      </w:tr>
      <w:tr w:rsidR="001F04FD" w14:paraId="4C25058B" w14:textId="77777777" w:rsidTr="00AC4DEE">
        <w:trPr>
          <w:trHeight w:val="576"/>
        </w:trPr>
        <w:tc>
          <w:tcPr>
            <w:tcW w:w="1836" w:type="dxa"/>
          </w:tcPr>
          <w:p w14:paraId="51FF84A0" w14:textId="77777777" w:rsidR="001F04FD" w:rsidRDefault="001F04FD" w:rsidP="00AC4DEE">
            <w:pPr>
              <w:pStyle w:val="TableBody"/>
            </w:pPr>
            <w:r>
              <w:t>Time = X</w:t>
            </w:r>
          </w:p>
        </w:tc>
        <w:tc>
          <w:tcPr>
            <w:tcW w:w="3672" w:type="dxa"/>
          </w:tcPr>
          <w:p w14:paraId="528FC5CA" w14:textId="77777777" w:rsidR="001F04FD" w:rsidRDefault="001F04FD" w:rsidP="00AC4DEE">
            <w:pPr>
              <w:pStyle w:val="TableBody"/>
            </w:pPr>
          </w:p>
        </w:tc>
        <w:tc>
          <w:tcPr>
            <w:tcW w:w="3852" w:type="dxa"/>
          </w:tcPr>
          <w:p w14:paraId="70A3C426" w14:textId="77777777" w:rsidR="001F04FD" w:rsidRDefault="001F04FD" w:rsidP="00AC4DEE">
            <w:pPr>
              <w:pStyle w:val="TableBody"/>
            </w:pPr>
            <w:r>
              <w:t>Notify all QSEs of intent to procure Ancillary Services</w:t>
            </w:r>
            <w:r>
              <w:rPr>
                <w:iCs w:val="0"/>
              </w:rPr>
              <w:t xml:space="preserve"> </w:t>
            </w:r>
            <w:r w:rsidRPr="008468D6">
              <w:rPr>
                <w:iCs w:val="0"/>
              </w:rPr>
              <w:t>by ERCOT Hotline and electronic communication</w:t>
            </w:r>
            <w:r>
              <w:t>.</w:t>
            </w:r>
          </w:p>
          <w:p w14:paraId="55A8E9FA" w14:textId="77777777" w:rsidR="001F04FD" w:rsidRDefault="001F04FD" w:rsidP="00AC4DEE">
            <w:pPr>
              <w:pStyle w:val="TableBody"/>
            </w:pPr>
            <w:r>
              <w:t xml:space="preserve">Notify QSEs of any additional Ancillary Service Obligation, allocated to each LSE and aggregated to the QSE level. </w:t>
            </w:r>
          </w:p>
        </w:tc>
      </w:tr>
      <w:tr w:rsidR="001F04FD" w14:paraId="082A36E7" w14:textId="77777777" w:rsidTr="00AC4DEE">
        <w:trPr>
          <w:trHeight w:val="1070"/>
        </w:trPr>
        <w:tc>
          <w:tcPr>
            <w:tcW w:w="1836" w:type="dxa"/>
            <w:tcBorders>
              <w:bottom w:val="single" w:sz="4" w:space="0" w:color="auto"/>
            </w:tcBorders>
          </w:tcPr>
          <w:p w14:paraId="43528AA6" w14:textId="77777777" w:rsidR="001F04FD" w:rsidRDefault="001F04FD" w:rsidP="00AC4DEE">
            <w:pPr>
              <w:pStyle w:val="TableBody"/>
            </w:pPr>
            <w:r>
              <w:t>Time = X plus 30 minutes</w:t>
            </w:r>
          </w:p>
        </w:tc>
        <w:tc>
          <w:tcPr>
            <w:tcW w:w="3672" w:type="dxa"/>
            <w:tcBorders>
              <w:bottom w:val="single" w:sz="4" w:space="0" w:color="auto"/>
            </w:tcBorders>
          </w:tcPr>
          <w:p w14:paraId="509DE463" w14:textId="77777777" w:rsidR="001F04FD" w:rsidRDefault="001F04FD" w:rsidP="00AC4DEE">
            <w:pPr>
              <w:pStyle w:val="TableBody"/>
            </w:pPr>
            <w:r>
              <w:t xml:space="preserve">May submit additional Self-Arranged Ancillary Service Quantities pursuant to Section </w:t>
            </w:r>
            <w:r w:rsidRPr="004C35D3">
              <w:t>4.4.7.1</w:t>
            </w:r>
            <w:r>
              <w:t xml:space="preserve">, </w:t>
            </w:r>
            <w:r w:rsidRPr="004C35D3">
              <w:t>Self-Arranged Ancillary Service Quantities</w:t>
            </w:r>
          </w:p>
        </w:tc>
        <w:tc>
          <w:tcPr>
            <w:tcW w:w="3852" w:type="dxa"/>
            <w:tcBorders>
              <w:bottom w:val="single" w:sz="4" w:space="0" w:color="auto"/>
            </w:tcBorders>
          </w:tcPr>
          <w:p w14:paraId="544F7AE3" w14:textId="77777777" w:rsidR="001F04FD" w:rsidRDefault="001F04FD" w:rsidP="00AC4DEE">
            <w:pPr>
              <w:pStyle w:val="TableBody"/>
            </w:pPr>
            <w:r>
              <w:t>Determine the amount of Ancillary Services to be procured.</w:t>
            </w:r>
          </w:p>
        </w:tc>
      </w:tr>
      <w:tr w:rsidR="001F04FD" w14:paraId="0C3F28DA" w14:textId="77777777" w:rsidTr="00AC4DEE">
        <w:trPr>
          <w:trHeight w:val="576"/>
        </w:trPr>
        <w:tc>
          <w:tcPr>
            <w:tcW w:w="1836" w:type="dxa"/>
          </w:tcPr>
          <w:p w14:paraId="5688E6A0" w14:textId="77777777" w:rsidR="001F04FD" w:rsidRDefault="001F04FD" w:rsidP="00AC4DEE">
            <w:pPr>
              <w:pStyle w:val="TableBody"/>
            </w:pPr>
            <w:r>
              <w:t>Time = X plus 35 minutes</w:t>
            </w:r>
          </w:p>
        </w:tc>
        <w:tc>
          <w:tcPr>
            <w:tcW w:w="3672" w:type="dxa"/>
          </w:tcPr>
          <w:p w14:paraId="5D04767E" w14:textId="77777777" w:rsidR="001F04FD" w:rsidRDefault="001F04FD" w:rsidP="00AC4DEE">
            <w:pPr>
              <w:pStyle w:val="TableBody"/>
            </w:pPr>
          </w:p>
        </w:tc>
        <w:tc>
          <w:tcPr>
            <w:tcW w:w="3852" w:type="dxa"/>
          </w:tcPr>
          <w:p w14:paraId="0F42AEF8" w14:textId="77777777" w:rsidR="001F04FD" w:rsidRDefault="001F04FD" w:rsidP="00AC4DEE">
            <w:pPr>
              <w:pStyle w:val="TableBody"/>
            </w:pPr>
            <w:r>
              <w:t xml:space="preserve">Execute SASM. </w:t>
            </w:r>
          </w:p>
        </w:tc>
      </w:tr>
      <w:tr w:rsidR="001F04FD" w14:paraId="2514EE7E" w14:textId="77777777" w:rsidTr="00AC4DEE">
        <w:trPr>
          <w:trHeight w:val="576"/>
        </w:trPr>
        <w:tc>
          <w:tcPr>
            <w:tcW w:w="1836" w:type="dxa"/>
          </w:tcPr>
          <w:p w14:paraId="6E0EF4FB" w14:textId="77777777" w:rsidR="001F04FD" w:rsidRDefault="001F04FD" w:rsidP="00AC4DEE">
            <w:pPr>
              <w:pStyle w:val="TableBody"/>
            </w:pPr>
            <w:r>
              <w:t>Time = X plus 45 minutes</w:t>
            </w:r>
          </w:p>
        </w:tc>
        <w:tc>
          <w:tcPr>
            <w:tcW w:w="3672" w:type="dxa"/>
          </w:tcPr>
          <w:p w14:paraId="4ED92D74" w14:textId="77777777" w:rsidR="001F04FD" w:rsidRDefault="001F04FD" w:rsidP="00AC4DEE">
            <w:pPr>
              <w:pStyle w:val="TableBody"/>
            </w:pPr>
          </w:p>
        </w:tc>
        <w:tc>
          <w:tcPr>
            <w:tcW w:w="3852" w:type="dxa"/>
          </w:tcPr>
          <w:p w14:paraId="7CB1A71C" w14:textId="77777777" w:rsidR="001F04FD" w:rsidRDefault="001F04FD" w:rsidP="00AC4DEE">
            <w:pPr>
              <w:pStyle w:val="TableBody"/>
            </w:pPr>
            <w:r>
              <w:t>Notify QSEs with awards of results.</w:t>
            </w:r>
          </w:p>
          <w:p w14:paraId="4664D38F" w14:textId="77777777" w:rsidR="001F04FD" w:rsidRDefault="001F04FD" w:rsidP="00AC4DEE">
            <w:pPr>
              <w:pStyle w:val="TableBody"/>
            </w:pPr>
            <w:r>
              <w:t xml:space="preserve">Post the quantities and </w:t>
            </w:r>
            <w:r w:rsidR="00D430E9">
              <w:t>Market Clearing Prices for Capacity (</w:t>
            </w:r>
            <w:r w:rsidRPr="004734FD">
              <w:t>MCPCs</w:t>
            </w:r>
            <w:r w:rsidR="00D430E9">
              <w:t>)</w:t>
            </w:r>
            <w:r>
              <w:t xml:space="preserve"> of Ancillary Services bought in the SASM.</w:t>
            </w:r>
          </w:p>
        </w:tc>
      </w:tr>
      <w:tr w:rsidR="001F04FD" w14:paraId="663B2A22" w14:textId="77777777" w:rsidTr="00AC4DEE">
        <w:trPr>
          <w:trHeight w:val="576"/>
        </w:trPr>
        <w:tc>
          <w:tcPr>
            <w:tcW w:w="1836" w:type="dxa"/>
          </w:tcPr>
          <w:p w14:paraId="2F0E0D93" w14:textId="77777777" w:rsidR="001F04FD" w:rsidRDefault="001F04FD" w:rsidP="00AC4DEE">
            <w:pPr>
              <w:pStyle w:val="TableBody"/>
            </w:pPr>
            <w:r>
              <w:t>Time = X plus 60 minutes</w:t>
            </w:r>
          </w:p>
        </w:tc>
        <w:tc>
          <w:tcPr>
            <w:tcW w:w="3672" w:type="dxa"/>
          </w:tcPr>
          <w:p w14:paraId="492B83EA" w14:textId="77777777" w:rsidR="001F04FD" w:rsidRDefault="001F04FD" w:rsidP="00AC4DEE">
            <w:pPr>
              <w:pStyle w:val="TableBody"/>
            </w:pPr>
            <w:r>
              <w:t xml:space="preserve">Submit updated </w:t>
            </w:r>
            <w:r w:rsidRPr="00D45E3A">
              <w:t>COP</w:t>
            </w:r>
            <w:r>
              <w:t xml:space="preserve"> with updated Ancillary Service Resource Responsibility.</w:t>
            </w:r>
          </w:p>
        </w:tc>
        <w:tc>
          <w:tcPr>
            <w:tcW w:w="3852" w:type="dxa"/>
          </w:tcPr>
          <w:p w14:paraId="257074BD" w14:textId="77777777" w:rsidR="001F04FD" w:rsidRDefault="001F04FD" w:rsidP="00AC4DEE">
            <w:pPr>
              <w:pStyle w:val="TableBody"/>
            </w:pPr>
            <w:r>
              <w:t>Validate COPs for Ancillary Service Resource Responsibility.</w:t>
            </w:r>
          </w:p>
        </w:tc>
      </w:tr>
    </w:tbl>
    <w:p w14:paraId="06CC5264" w14:textId="77777777" w:rsidR="001F04FD" w:rsidRDefault="001F04FD" w:rsidP="001F04FD">
      <w:pPr>
        <w:spacing w:before="240"/>
        <w:ind w:left="1440" w:hanging="720"/>
      </w:pPr>
      <w:r>
        <w:t>(b)</w:t>
      </w:r>
      <w:r>
        <w:tab/>
      </w:r>
      <w:r w:rsidRPr="008C60A6">
        <w:t xml:space="preserve">For </w:t>
      </w:r>
      <w:r>
        <w:t xml:space="preserve">an </w:t>
      </w:r>
      <w:r w:rsidRPr="008C60A6">
        <w:t>Ancillary Services reconfiguration, ERCOT shall execute a</w:t>
      </w:r>
      <w:r>
        <w:t>n</w:t>
      </w:r>
      <w:r w:rsidRPr="008C60A6">
        <w:t xml:space="preserve"> </w:t>
      </w:r>
      <w:r>
        <w:t>R</w:t>
      </w:r>
      <w:r w:rsidRPr="008C60A6">
        <w:t xml:space="preserve">SASM at </w:t>
      </w:r>
      <w:r>
        <w:t>0900 (time E</w:t>
      </w:r>
      <w:r w:rsidRPr="008C60A6">
        <w:t xml:space="preserve">), for </w:t>
      </w:r>
      <w:r>
        <w:t xml:space="preserve">hour ending 1300 through hour ending 2400 </w:t>
      </w:r>
      <w:r w:rsidRPr="008C60A6">
        <w:t xml:space="preserve">of the </w:t>
      </w:r>
      <w:r>
        <w:t>current Operating Day</w:t>
      </w:r>
      <w:r w:rsidRPr="008C60A6">
        <w:t>.</w:t>
      </w:r>
      <w:r>
        <w:tab/>
      </w:r>
    </w:p>
    <w:p w14:paraId="6781795A" w14:textId="77777777" w:rsidR="001F04FD" w:rsidRDefault="001F04FD" w:rsidP="001F04FD">
      <w:pPr>
        <w:ind w:left="720"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1F04FD" w:rsidRPr="008C60A6" w14:paraId="0208758A" w14:textId="77777777" w:rsidTr="00AC4DEE">
        <w:trPr>
          <w:trHeight w:val="576"/>
        </w:trPr>
        <w:tc>
          <w:tcPr>
            <w:tcW w:w="1836" w:type="dxa"/>
          </w:tcPr>
          <w:p w14:paraId="6D196648" w14:textId="77777777" w:rsidR="001F04FD" w:rsidRPr="00FC3E87" w:rsidRDefault="001F04FD" w:rsidP="00AC4DEE">
            <w:pPr>
              <w:pStyle w:val="TableHead"/>
            </w:pPr>
            <w:r w:rsidRPr="001B1672">
              <w:t xml:space="preserve">SASM Process </w:t>
            </w:r>
          </w:p>
        </w:tc>
        <w:tc>
          <w:tcPr>
            <w:tcW w:w="3672" w:type="dxa"/>
          </w:tcPr>
          <w:p w14:paraId="0275CA47" w14:textId="77777777" w:rsidR="001F04FD" w:rsidRPr="00FC3E87" w:rsidRDefault="001F04FD" w:rsidP="00AC4DEE">
            <w:pPr>
              <w:pStyle w:val="TableHead"/>
            </w:pPr>
            <w:r w:rsidRPr="001B1672">
              <w:t>QSE Activities:</w:t>
            </w:r>
          </w:p>
        </w:tc>
        <w:tc>
          <w:tcPr>
            <w:tcW w:w="3852" w:type="dxa"/>
          </w:tcPr>
          <w:p w14:paraId="7BDDAB7B" w14:textId="77777777" w:rsidR="001F04FD" w:rsidRPr="00FC3E87" w:rsidRDefault="001F04FD" w:rsidP="00AC4DEE">
            <w:pPr>
              <w:pStyle w:val="TableHead"/>
            </w:pPr>
            <w:r w:rsidRPr="001B1672">
              <w:t>ERCOT Activities:</w:t>
            </w:r>
          </w:p>
        </w:tc>
      </w:tr>
      <w:tr w:rsidR="001F04FD" w:rsidRPr="008C60A6" w14:paraId="415805D9" w14:textId="77777777" w:rsidTr="00AC4DEE">
        <w:trPr>
          <w:trHeight w:val="576"/>
        </w:trPr>
        <w:tc>
          <w:tcPr>
            <w:tcW w:w="1836" w:type="dxa"/>
          </w:tcPr>
          <w:p w14:paraId="1991F040" w14:textId="77777777" w:rsidR="001F04FD" w:rsidRPr="00FC3E87" w:rsidRDefault="001F04FD" w:rsidP="00AC4DEE">
            <w:pPr>
              <w:pStyle w:val="TableBody"/>
            </w:pPr>
            <w:r w:rsidRPr="001B1672">
              <w:t>Time = E – 15 minutes</w:t>
            </w:r>
          </w:p>
        </w:tc>
        <w:tc>
          <w:tcPr>
            <w:tcW w:w="3672" w:type="dxa"/>
          </w:tcPr>
          <w:p w14:paraId="0EBA74D0" w14:textId="77777777" w:rsidR="001F04FD" w:rsidRPr="00FC3E87" w:rsidRDefault="001F04FD" w:rsidP="00AC4DEE">
            <w:pPr>
              <w:pStyle w:val="TableBody"/>
            </w:pPr>
            <w:r w:rsidRPr="001B1672">
              <w:t xml:space="preserve">QSEs </w:t>
            </w:r>
            <w:r>
              <w:t>n</w:t>
            </w:r>
            <w:r w:rsidRPr="001B1672">
              <w:t xml:space="preserve">ominate quantities of Ancillary Services that shall be included in the </w:t>
            </w:r>
            <w:r>
              <w:t>R</w:t>
            </w:r>
            <w:r w:rsidRPr="001B1672">
              <w:t>SASM by submitting COPs with less A</w:t>
            </w:r>
            <w:r>
              <w:t xml:space="preserve">ncillary </w:t>
            </w:r>
            <w:r w:rsidRPr="001B1672">
              <w:t>S</w:t>
            </w:r>
            <w:r>
              <w:t>ervice</w:t>
            </w:r>
            <w:r w:rsidRPr="001B1672">
              <w:t xml:space="preserve"> capacity than their Ancillary Service Supply Responsibility and submitting Ancillary Service Offers to cover the difference between the Ancillary Service Supply Responsibility and COP A</w:t>
            </w:r>
            <w:r>
              <w:t xml:space="preserve">ncillary </w:t>
            </w:r>
            <w:r w:rsidRPr="001B1672">
              <w:t>S</w:t>
            </w:r>
            <w:r>
              <w:t>ervice capacity</w:t>
            </w:r>
            <w:r w:rsidRPr="001B1672">
              <w:t>.</w:t>
            </w:r>
          </w:p>
        </w:tc>
        <w:tc>
          <w:tcPr>
            <w:tcW w:w="3852" w:type="dxa"/>
          </w:tcPr>
          <w:p w14:paraId="22200477" w14:textId="77777777" w:rsidR="001F04FD" w:rsidRPr="00FC3E87" w:rsidRDefault="001F04FD" w:rsidP="00AC4DEE">
            <w:pPr>
              <w:pStyle w:val="TableBody"/>
            </w:pPr>
            <w:r w:rsidRPr="001B1672">
              <w:t xml:space="preserve">ERCOT sets the quantities of Ancillary Services to be procured in the </w:t>
            </w:r>
            <w:r>
              <w:t>R</w:t>
            </w:r>
            <w:r w:rsidRPr="001B1672">
              <w:t>SASM equal to the difference between total Ancillary Service Supply Responsibility and total COP A</w:t>
            </w:r>
            <w:r>
              <w:t xml:space="preserve">ncillary </w:t>
            </w:r>
            <w:r w:rsidRPr="001B1672">
              <w:t>S</w:t>
            </w:r>
            <w:r>
              <w:t>ervice capacity</w:t>
            </w:r>
            <w:r w:rsidRPr="001B1672">
              <w:t>.</w:t>
            </w:r>
          </w:p>
        </w:tc>
      </w:tr>
      <w:tr w:rsidR="001F04FD" w:rsidRPr="008C60A6" w14:paraId="719D147B" w14:textId="77777777" w:rsidTr="00AC4DEE">
        <w:trPr>
          <w:trHeight w:val="576"/>
        </w:trPr>
        <w:tc>
          <w:tcPr>
            <w:tcW w:w="1836" w:type="dxa"/>
          </w:tcPr>
          <w:p w14:paraId="68E52DA5" w14:textId="77777777" w:rsidR="001F04FD" w:rsidRPr="00FC3E87" w:rsidRDefault="001F04FD" w:rsidP="00AC4DEE">
            <w:pPr>
              <w:pStyle w:val="TableBody"/>
            </w:pPr>
            <w:r w:rsidRPr="001B1672">
              <w:lastRenderedPageBreak/>
              <w:t>Time = E</w:t>
            </w:r>
          </w:p>
        </w:tc>
        <w:tc>
          <w:tcPr>
            <w:tcW w:w="3672" w:type="dxa"/>
          </w:tcPr>
          <w:p w14:paraId="3B150EA6" w14:textId="77777777" w:rsidR="001F04FD" w:rsidRPr="00FC3E87" w:rsidRDefault="001F04FD" w:rsidP="00AC4DEE">
            <w:pPr>
              <w:pStyle w:val="TableBody"/>
            </w:pPr>
          </w:p>
        </w:tc>
        <w:tc>
          <w:tcPr>
            <w:tcW w:w="3852" w:type="dxa"/>
          </w:tcPr>
          <w:p w14:paraId="31DFCBE0" w14:textId="77777777" w:rsidR="001F04FD" w:rsidRPr="00FC3E87" w:rsidRDefault="001F04FD" w:rsidP="00AC4DEE">
            <w:pPr>
              <w:pStyle w:val="TableBody"/>
            </w:pPr>
            <w:r w:rsidRPr="001B1672">
              <w:t xml:space="preserve">Execute </w:t>
            </w:r>
            <w:r>
              <w:t>R</w:t>
            </w:r>
            <w:r w:rsidRPr="001B1672">
              <w:t xml:space="preserve">SASM for </w:t>
            </w:r>
            <w:r>
              <w:t>hour ending 1300 through hour ending 2400 of the current Operating Day</w:t>
            </w:r>
            <w:r w:rsidRPr="001B1672">
              <w:t xml:space="preserve">. </w:t>
            </w:r>
          </w:p>
        </w:tc>
      </w:tr>
      <w:tr w:rsidR="001F04FD" w:rsidRPr="008C60A6" w14:paraId="1B66A322" w14:textId="77777777" w:rsidTr="00AC4DEE">
        <w:trPr>
          <w:trHeight w:val="845"/>
        </w:trPr>
        <w:tc>
          <w:tcPr>
            <w:tcW w:w="1836" w:type="dxa"/>
          </w:tcPr>
          <w:p w14:paraId="3227B728" w14:textId="77777777" w:rsidR="001F04FD" w:rsidRPr="00FC3E87" w:rsidRDefault="001F04FD" w:rsidP="00AC4DEE">
            <w:pPr>
              <w:pStyle w:val="TableBody"/>
            </w:pPr>
            <w:r w:rsidRPr="001B1672">
              <w:t>Time = E plus 15 minutes</w:t>
            </w:r>
          </w:p>
        </w:tc>
        <w:tc>
          <w:tcPr>
            <w:tcW w:w="3672" w:type="dxa"/>
          </w:tcPr>
          <w:p w14:paraId="38AA58C4" w14:textId="77777777" w:rsidR="001F04FD" w:rsidRPr="00FC3E87" w:rsidRDefault="001F04FD" w:rsidP="00AC4DEE">
            <w:pPr>
              <w:pStyle w:val="TableBody"/>
            </w:pPr>
          </w:p>
        </w:tc>
        <w:tc>
          <w:tcPr>
            <w:tcW w:w="3852" w:type="dxa"/>
          </w:tcPr>
          <w:p w14:paraId="7A1C2BDE" w14:textId="77777777" w:rsidR="001F04FD" w:rsidRPr="00FC3E87" w:rsidRDefault="001F04FD" w:rsidP="00AC4DEE">
            <w:pPr>
              <w:pStyle w:val="TableBody"/>
            </w:pPr>
            <w:r w:rsidRPr="001B1672">
              <w:t>Notify QSEs with awards of results.</w:t>
            </w:r>
          </w:p>
          <w:p w14:paraId="25CBED98" w14:textId="77777777" w:rsidR="001F04FD" w:rsidRPr="00FC3E87" w:rsidRDefault="001F04FD" w:rsidP="00AC4DEE">
            <w:pPr>
              <w:pStyle w:val="TableBody"/>
            </w:pPr>
            <w:r w:rsidRPr="001B1672">
              <w:t xml:space="preserve">Post the quantities and MCPCs of Ancillary Services bought in the </w:t>
            </w:r>
            <w:r>
              <w:t>R</w:t>
            </w:r>
            <w:r w:rsidRPr="001B1672">
              <w:t>SASM.</w:t>
            </w:r>
          </w:p>
        </w:tc>
      </w:tr>
      <w:tr w:rsidR="001F04FD" w14:paraId="192CCF2F" w14:textId="77777777" w:rsidTr="00AC4DEE">
        <w:trPr>
          <w:trHeight w:val="576"/>
        </w:trPr>
        <w:tc>
          <w:tcPr>
            <w:tcW w:w="1836" w:type="dxa"/>
          </w:tcPr>
          <w:p w14:paraId="4B8D0AB2" w14:textId="77777777" w:rsidR="001F04FD" w:rsidRPr="00FC3E87" w:rsidRDefault="001F04FD" w:rsidP="00AC4DEE">
            <w:pPr>
              <w:pStyle w:val="TableBody"/>
            </w:pPr>
            <w:r w:rsidRPr="001B1672">
              <w:t>Time = E plus 30 minutes</w:t>
            </w:r>
          </w:p>
        </w:tc>
        <w:tc>
          <w:tcPr>
            <w:tcW w:w="3672" w:type="dxa"/>
          </w:tcPr>
          <w:p w14:paraId="7CE0231B" w14:textId="77777777" w:rsidR="001F04FD" w:rsidRPr="00FC3E87" w:rsidRDefault="001F04FD" w:rsidP="00AC4DEE">
            <w:pPr>
              <w:pStyle w:val="TableBody"/>
            </w:pPr>
            <w:r w:rsidRPr="001B1672">
              <w:t>Submit updated COP with updated Ancillary Service Resource Responsibility.</w:t>
            </w:r>
          </w:p>
        </w:tc>
        <w:tc>
          <w:tcPr>
            <w:tcW w:w="3852" w:type="dxa"/>
          </w:tcPr>
          <w:p w14:paraId="3DAFB7D9" w14:textId="77777777" w:rsidR="001F04FD" w:rsidRPr="00FC3E87" w:rsidRDefault="001F04FD" w:rsidP="00AC4DEE">
            <w:pPr>
              <w:pStyle w:val="TableBody"/>
            </w:pPr>
            <w:r w:rsidRPr="001B1672">
              <w:t>Validate COPs for Ancillary Service Resource Responsibility.</w:t>
            </w:r>
          </w:p>
        </w:tc>
      </w:tr>
    </w:tbl>
    <w:p w14:paraId="6714FF43" w14:textId="77777777" w:rsidR="001F04FD" w:rsidRDefault="001F04FD" w:rsidP="001F04FD">
      <w:pPr>
        <w:pStyle w:val="BodyTextNumbered"/>
        <w:spacing w:before="240"/>
      </w:pPr>
      <w:r>
        <w:t>(4)</w:t>
      </w:r>
      <w:r>
        <w:tab/>
        <w:t>Each QSE that is awarded capacity in a SASM is paid the SASM MCPC for the quantity it is awarded.</w:t>
      </w:r>
    </w:p>
    <w:p w14:paraId="2B91883B" w14:textId="1DCD1EED" w:rsidR="001F04FD" w:rsidRDefault="001F04FD" w:rsidP="001F04FD">
      <w:pPr>
        <w:pStyle w:val="BodyTextNumbered"/>
      </w:pPr>
      <w:r>
        <w:t>(5)</w:t>
      </w:r>
      <w:r>
        <w:tab/>
        <w:t xml:space="preserve">For purpose of Settlement, the reduction to the Ancillary Service Supply Responsibility is considered a failure quantity and each QSE that has their Ancillary Service Supply Responsibility reduced by an RSASM is charged in accordance with Sections 6.7.3, Charges for </w:t>
      </w:r>
      <w:r w:rsidR="00A66566">
        <w:t>a</w:t>
      </w:r>
      <w:r>
        <w:t xml:space="preserve"> to Failure to Provide</w:t>
      </w:r>
      <w:r w:rsidR="00A66566">
        <w:t xml:space="preserve"> Ancillary Service</w:t>
      </w:r>
      <w:r>
        <w:t>, and 6.7.4, Adjustments to Cost Allocations for Ancillary Services Procurement.  QSEs participating in RSASMs are not subject to performance metrics for “failure to provide” amounts until the end of the Adjustment Period for each hour cleared in the RSASM.</w:t>
      </w:r>
    </w:p>
    <w:p w14:paraId="0923FF93" w14:textId="77777777" w:rsidR="001F04FD" w:rsidRDefault="001F04FD" w:rsidP="001F04FD">
      <w:pPr>
        <w:pStyle w:val="BodyTextNumbered"/>
      </w:pPr>
      <w:r>
        <w:t>(6)</w:t>
      </w:r>
      <w:r>
        <w:tab/>
        <w:t>ERCOT shall allocate additional Ancillary Service Obligations to QSEs using the same percentages as the original Day-Ahead allocation of Ancillary Service Obligations.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550F7F32" w14:textId="77777777" w:rsidTr="0058150D">
        <w:trPr>
          <w:trHeight w:val="206"/>
        </w:trPr>
        <w:tc>
          <w:tcPr>
            <w:tcW w:w="9350" w:type="dxa"/>
            <w:shd w:val="pct12" w:color="auto" w:fill="auto"/>
          </w:tcPr>
          <w:p w14:paraId="66548F6F" w14:textId="7CA40116" w:rsidR="004940BD" w:rsidRPr="00B06583" w:rsidRDefault="004940BD" w:rsidP="00CE56E5">
            <w:pPr>
              <w:pStyle w:val="Instructions"/>
              <w:spacing w:before="120"/>
            </w:pPr>
            <w:bookmarkStart w:id="612" w:name="_Toc397504940"/>
            <w:bookmarkStart w:id="613" w:name="_Toc402357068"/>
            <w:bookmarkStart w:id="614" w:name="_Toc422486448"/>
            <w:bookmarkStart w:id="615" w:name="_Toc433093300"/>
            <w:bookmarkStart w:id="616" w:name="_Toc433093458"/>
            <w:bookmarkStart w:id="617" w:name="_Toc440874687"/>
            <w:bookmarkStart w:id="618" w:name="_Toc448142242"/>
            <w:bookmarkStart w:id="619" w:name="_Toc448142399"/>
            <w:bookmarkStart w:id="620" w:name="_Toc458770235"/>
            <w:bookmarkStart w:id="621" w:name="_Toc459294203"/>
            <w:bookmarkStart w:id="622" w:name="_Toc463262696"/>
            <w:bookmarkStart w:id="623" w:name="_Toc468286770"/>
            <w:bookmarkStart w:id="624" w:name="_Toc481502816"/>
            <w:bookmarkStart w:id="625" w:name="_Toc496079984"/>
            <w:r>
              <w:t>[NPRR1010:  Delete Section 6.4.9.2 above upon system implementation of the Real-Time Co-Optimization (RTC) project</w:t>
            </w:r>
            <w:r w:rsidR="00CE56E5">
              <w:t>.</w:t>
            </w:r>
            <w:r>
              <w:t>]</w:t>
            </w:r>
          </w:p>
        </w:tc>
      </w:tr>
    </w:tbl>
    <w:p w14:paraId="45107076" w14:textId="77777777" w:rsidR="001F04FD" w:rsidRDefault="001F04FD" w:rsidP="001F04FD">
      <w:pPr>
        <w:pStyle w:val="H5"/>
        <w:spacing w:before="480"/>
        <w:ind w:left="1627" w:hanging="1627"/>
      </w:pPr>
      <w:bookmarkStart w:id="626" w:name="_Toc204411576"/>
      <w:r>
        <w:t>6.4.9.2.1</w:t>
      </w:r>
      <w:r>
        <w:tab/>
        <w:t>Resubmitting Offers for Ancillary Services in the Adjustment Period</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22B73257" w14:textId="77777777" w:rsidR="001F04FD" w:rsidRPr="00C02E1B" w:rsidRDefault="001F04FD" w:rsidP="001F04FD">
      <w:pPr>
        <w:pStyle w:val="BodyTextNumbered"/>
      </w:pPr>
      <w:r>
        <w:t>(1)</w:t>
      </w:r>
      <w:r>
        <w:tab/>
      </w:r>
      <w:r w:rsidRPr="00C02E1B">
        <w:t>During the Adjustment Period, a QSE may resubmit an offer for an Ancillary Service that it submitted for a Resource but was not struck in a previous market.  The resubmitted offer for that Resource may be submitted at any price subject to applicable offer caps and offer floors to be considered a valid offer in any subsequent market.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0BCD2C8D" w14:textId="77777777" w:rsidTr="0058150D">
        <w:trPr>
          <w:trHeight w:val="206"/>
        </w:trPr>
        <w:tc>
          <w:tcPr>
            <w:tcW w:w="9350" w:type="dxa"/>
            <w:shd w:val="pct12" w:color="auto" w:fill="auto"/>
          </w:tcPr>
          <w:p w14:paraId="1F72A268" w14:textId="60523606" w:rsidR="004940BD" w:rsidRPr="00B06583" w:rsidRDefault="004940BD" w:rsidP="00CE56E5">
            <w:pPr>
              <w:pStyle w:val="Instructions"/>
              <w:spacing w:before="120"/>
            </w:pPr>
            <w:bookmarkStart w:id="627" w:name="_Toc397504941"/>
            <w:bookmarkStart w:id="628" w:name="_Toc402357069"/>
            <w:bookmarkStart w:id="629" w:name="_Toc422486449"/>
            <w:bookmarkStart w:id="630" w:name="_Toc433093301"/>
            <w:bookmarkStart w:id="631" w:name="_Toc433093459"/>
            <w:bookmarkStart w:id="632" w:name="_Toc440874688"/>
            <w:bookmarkStart w:id="633" w:name="_Toc448142243"/>
            <w:bookmarkStart w:id="634" w:name="_Toc448142400"/>
            <w:bookmarkStart w:id="635" w:name="_Toc458770236"/>
            <w:bookmarkStart w:id="636" w:name="_Toc459294204"/>
            <w:bookmarkStart w:id="637" w:name="_Toc463262697"/>
            <w:bookmarkStart w:id="638" w:name="_Toc468286771"/>
            <w:bookmarkStart w:id="639" w:name="_Toc481502817"/>
            <w:bookmarkStart w:id="640" w:name="_Toc496079985"/>
            <w:bookmarkStart w:id="641" w:name="_Toc90197129"/>
            <w:bookmarkStart w:id="642" w:name="_Toc93911029"/>
            <w:r>
              <w:t>[NPRR1010:  Delete Section 6.4.9.2.1 above upon system implementation of the Real-Time Co-Optimization (RTC) project</w:t>
            </w:r>
            <w:r w:rsidR="00CE56E5">
              <w:t>.</w:t>
            </w:r>
            <w:r>
              <w:t>]</w:t>
            </w:r>
          </w:p>
        </w:tc>
      </w:tr>
    </w:tbl>
    <w:p w14:paraId="6912F46B" w14:textId="77777777" w:rsidR="001F04FD" w:rsidRDefault="001F04FD" w:rsidP="001F04FD">
      <w:pPr>
        <w:pStyle w:val="H5"/>
        <w:spacing w:before="480"/>
        <w:ind w:left="1627" w:hanging="1627"/>
      </w:pPr>
      <w:bookmarkStart w:id="643" w:name="_Toc204411577"/>
      <w:r>
        <w:t>6.4.9.2.2</w:t>
      </w:r>
      <w:r>
        <w:tab/>
        <w:t>SASM Clearing Process</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3"/>
    </w:p>
    <w:p w14:paraId="17378B49" w14:textId="77777777" w:rsidR="001F04FD" w:rsidRDefault="001F04FD" w:rsidP="001F04FD">
      <w:pPr>
        <w:pStyle w:val="BodyTextNumbered"/>
      </w:pPr>
      <w:r>
        <w:t>(1)</w:t>
      </w:r>
      <w:r>
        <w:tab/>
        <w:t>SASM procurement requirements are:</w:t>
      </w:r>
    </w:p>
    <w:p w14:paraId="48E71DE6" w14:textId="2DE77A73" w:rsidR="001F04FD" w:rsidRDefault="001F04FD" w:rsidP="001F04FD">
      <w:pPr>
        <w:pStyle w:val="List"/>
      </w:pPr>
      <w:r>
        <w:lastRenderedPageBreak/>
        <w:t>(a)</w:t>
      </w:r>
      <w:r>
        <w:tab/>
        <w:t xml:space="preserve">ERCOT shall procure the additional quantity required of each Ancillary Service, less the quantity self-arranged, if applicable. </w:t>
      </w:r>
      <w:r w:rsidR="00810EBA">
        <w:t xml:space="preserve"> </w:t>
      </w:r>
      <w:r>
        <w:t>ERCOT may not buy more of one Ancillary Service in place of the quantity of a different service.</w:t>
      </w:r>
    </w:p>
    <w:p w14:paraId="6572EB1A" w14:textId="77777777" w:rsidR="001F04FD" w:rsidRDefault="001F04FD" w:rsidP="001F04FD">
      <w:pPr>
        <w:pStyle w:val="List"/>
      </w:pPr>
      <w:r>
        <w:t>(b)</w:t>
      </w:r>
      <w:r>
        <w:tab/>
        <w:t>ERCOT shall select Ancillary Service Offers submitted by QSEs, such that:</w:t>
      </w:r>
    </w:p>
    <w:p w14:paraId="04B22987" w14:textId="0ECC71DF" w:rsidR="001F04FD" w:rsidRDefault="001F04FD" w:rsidP="001F04FD">
      <w:pPr>
        <w:pStyle w:val="List2"/>
      </w:pPr>
      <w:r>
        <w:t>(i)</w:t>
      </w:r>
      <w:r>
        <w:tab/>
        <w:t xml:space="preserve">For each Ancillary Service being procured, other than Reg-Down, ERCOT shall select offers that minimize the overall offer-based cost of these Ancillary Services.  For each of these Ancillary Services, if selection of the Resource offer exceeds ERCOT’s required Ancillary Service quantity, then ERCOT shall select a portion of the Resource offer to meet the Ancillary Service quantity required. </w:t>
      </w:r>
      <w:r w:rsidR="00810EBA">
        <w:t xml:space="preserve"> </w:t>
      </w:r>
      <w:r>
        <w:t>For Load Resources offering a block of capacity, ERCOT shall ignore the offer unless the entire block can be accepted.</w:t>
      </w:r>
    </w:p>
    <w:p w14:paraId="41EFD4CB" w14:textId="77777777" w:rsidR="001F04FD" w:rsidRDefault="001F04FD" w:rsidP="001F04FD">
      <w:pPr>
        <w:pStyle w:val="List2"/>
      </w:pPr>
      <w:r>
        <w:t>(ii)</w:t>
      </w:r>
      <w:r>
        <w:tab/>
        <w:t>For Reg-Down, ERCOT shall procure required quantities by selecting capacity in ascending order starting from the lowest-priced offer.  ERCOT shall continue this selection process until the required quantity of Reg-Down is obtained.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t>
      </w:r>
    </w:p>
    <w:p w14:paraId="28C344CB" w14:textId="200B1A85" w:rsidR="001F04FD" w:rsidRPr="002B446C" w:rsidRDefault="001F04FD" w:rsidP="001F04FD">
      <w:pPr>
        <w:pStyle w:val="List2"/>
      </w:pPr>
      <w:r w:rsidRPr="002B446C">
        <w:t>(iii)</w:t>
      </w:r>
      <w:r w:rsidRPr="002B446C">
        <w:tab/>
        <w:t>For each Ancillary Service Offer from an Off-Line Resource considered in a SASM, the offer will be awarded only if it can meet the start-up time of the Resource based on the current and the historical operational state of the Resource.  If the start-up time cannot be met for the first hour of a block offer, then the whole block offer shall not be considered.</w:t>
      </w:r>
    </w:p>
    <w:p w14:paraId="6632D970" w14:textId="345C9C5F" w:rsidR="001F04FD" w:rsidRDefault="001F04FD" w:rsidP="001F04FD">
      <w:pPr>
        <w:pStyle w:val="List"/>
      </w:pPr>
      <w:r>
        <w:t>(c)</w:t>
      </w:r>
      <w:r>
        <w:tab/>
        <w:t xml:space="preserve">If a QSE has submitted offers of the same Resource capacity for more than one Ancillary Service (sometimes called linked offers), ERCOT may not select any one part of that Resource capacity to provide more than one Ancillary Service in the same Operating Hour. </w:t>
      </w:r>
      <w:r w:rsidR="00810EBA">
        <w:t xml:space="preserve"> </w:t>
      </w:r>
      <w:r>
        <w:t>ERCOT may, however, select part of that Resource capacity to provide one Ancillary Service and another part of that capacity to provide a different Ancillary Service in the same Operating Hour.</w:t>
      </w:r>
    </w:p>
    <w:p w14:paraId="47CC98A5" w14:textId="330F7F98" w:rsidR="001F04FD" w:rsidRDefault="001F04FD" w:rsidP="001F04FD">
      <w:pPr>
        <w:pStyle w:val="List"/>
      </w:pPr>
      <w:r>
        <w:t>(d)</w:t>
      </w:r>
      <w:r>
        <w:tab/>
        <w:t>The SASM MCPC for each hour for each service is the Shadow Price for the corresponding Ancillary Service constraint for the hour as determined by the SASM algorithm.</w:t>
      </w:r>
    </w:p>
    <w:p w14:paraId="749EACD4" w14:textId="01431DEE" w:rsidR="00F03FB2" w:rsidRPr="00F03FB2" w:rsidRDefault="00F03FB2" w:rsidP="00F03FB2">
      <w:pPr>
        <w:spacing w:after="240"/>
        <w:ind w:left="1440" w:hanging="720"/>
        <w:rPr>
          <w:iCs/>
        </w:rPr>
      </w:pPr>
      <w:r>
        <w:t>(e)</w:t>
      </w:r>
      <w:r>
        <w:tab/>
      </w:r>
      <w:r>
        <w:rPr>
          <w:iCs/>
        </w:rPr>
        <w:t>SASM MCPCs for any Ancillary Service shall not exceed the SWCAP.  Ancillary Service Offers higher than corresponding Ancillary Service penalty factors, as defined in Appendix 2</w:t>
      </w:r>
      <w:r w:rsidR="002F6E69">
        <w:rPr>
          <w:iCs/>
        </w:rPr>
        <w:t xml:space="preserve">, Day-Ahead Market Optimization Control Parameters, </w:t>
      </w:r>
      <w:r>
        <w:rPr>
          <w:iCs/>
        </w:rPr>
        <w:t xml:space="preserve">of </w:t>
      </w:r>
      <w:r w:rsidR="005A1251">
        <w:rPr>
          <w:iCs/>
        </w:rPr>
        <w:t>Section 22, Attachment P,</w:t>
      </w:r>
      <w:r>
        <w:rPr>
          <w:iCs/>
        </w:rPr>
        <w:t xml:space="preserve"> </w:t>
      </w:r>
      <w:r w:rsidRPr="00930C58">
        <w:t>Methodology for Setting Maximum Shadow Prices for Network and Power Balance Constraints</w:t>
      </w:r>
      <w:r>
        <w:t>,</w:t>
      </w:r>
      <w:r>
        <w:rPr>
          <w:iCs/>
        </w:rPr>
        <w:t xml:space="preserve"> will not be awarded.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32267BD1" w14:textId="77777777" w:rsidTr="0058150D">
        <w:trPr>
          <w:trHeight w:val="206"/>
        </w:trPr>
        <w:tc>
          <w:tcPr>
            <w:tcW w:w="9350" w:type="dxa"/>
            <w:shd w:val="pct12" w:color="auto" w:fill="auto"/>
          </w:tcPr>
          <w:p w14:paraId="4EAF3238" w14:textId="2256ADF2" w:rsidR="004940BD" w:rsidRPr="00B06583" w:rsidRDefault="004940BD" w:rsidP="00CE56E5">
            <w:pPr>
              <w:pStyle w:val="Instructions"/>
              <w:spacing w:before="120"/>
            </w:pPr>
            <w:bookmarkStart w:id="644" w:name="_Toc397504942"/>
            <w:bookmarkStart w:id="645" w:name="_Toc402357070"/>
            <w:bookmarkStart w:id="646" w:name="_Toc422486450"/>
            <w:bookmarkStart w:id="647" w:name="_Toc433093302"/>
            <w:bookmarkStart w:id="648" w:name="_Toc433093460"/>
            <w:bookmarkStart w:id="649" w:name="_Toc440874689"/>
            <w:bookmarkStart w:id="650" w:name="_Toc448142244"/>
            <w:bookmarkStart w:id="651" w:name="_Toc448142401"/>
            <w:bookmarkStart w:id="652" w:name="_Toc458770237"/>
            <w:bookmarkStart w:id="653" w:name="_Toc459294205"/>
            <w:bookmarkStart w:id="654" w:name="_Toc463262698"/>
            <w:bookmarkStart w:id="655" w:name="_Toc468286772"/>
            <w:bookmarkStart w:id="656" w:name="_Toc481502818"/>
            <w:bookmarkStart w:id="657" w:name="_Toc496079986"/>
            <w:r>
              <w:lastRenderedPageBreak/>
              <w:t>[NPRR1010:  Delete Section 6.4.9.2.2 above upon system implementation of the Real-Time Co-Optimization (RTC) project</w:t>
            </w:r>
            <w:r w:rsidR="00CE56E5">
              <w:t>.</w:t>
            </w:r>
            <w:r>
              <w:t>]</w:t>
            </w:r>
          </w:p>
        </w:tc>
      </w:tr>
    </w:tbl>
    <w:p w14:paraId="0F08CE8E" w14:textId="77777777" w:rsidR="001F04FD" w:rsidRDefault="001F04FD" w:rsidP="001F04FD">
      <w:pPr>
        <w:pStyle w:val="H5"/>
        <w:spacing w:before="480"/>
        <w:ind w:left="0" w:firstLine="0"/>
      </w:pPr>
      <w:bookmarkStart w:id="658" w:name="_Toc204411578"/>
      <w:r>
        <w:t>6.4.9.2.3</w:t>
      </w:r>
      <w:r>
        <w:tab/>
        <w:t>Communication of SASM Results</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14:paraId="5FE8E48B" w14:textId="77777777" w:rsidR="001F04FD" w:rsidRDefault="001F04FD" w:rsidP="001F04FD">
      <w:pPr>
        <w:pStyle w:val="BodyTextNumbered"/>
      </w:pPr>
      <w:r>
        <w:t>(1)</w:t>
      </w:r>
      <w:r>
        <w:tab/>
        <w:t>As soon as practicable, but no later than the time specified in Section 6.4.9.2, Supplemental Ancillary Services Market, ERCOT shall notify each QSE of its awarded Ancillary Service Offer quantities in each SASM, specifying Resource, Ancillary Service type, SASM MCPC, and first and last hours of the awarded offer.</w:t>
      </w:r>
    </w:p>
    <w:p w14:paraId="049482DD" w14:textId="1B2A21B1" w:rsidR="001F04FD" w:rsidRDefault="001F04FD" w:rsidP="001F04FD">
      <w:pPr>
        <w:pStyle w:val="BodyTextNumbered"/>
      </w:pPr>
      <w:r>
        <w:t>(2)</w:t>
      </w:r>
      <w:r>
        <w:tab/>
      </w:r>
      <w:r w:rsidR="008C5104" w:rsidRPr="004F1113">
        <w:t xml:space="preserve">For each QSE for which ERCOT has procured replacement Ancillary Services capacity in a SASM pursuant to Section 6.4.9.1.2, Replacement of </w:t>
      </w:r>
      <w:r w:rsidR="008C5104">
        <w:t>Infeasible</w:t>
      </w:r>
      <w:r w:rsidR="008C5104" w:rsidRPr="004F1113">
        <w:t xml:space="preserve"> Ancillary Service Due to Transmission Constraints, or Section 6.4.9.1.3, Failure to Provide</w:t>
      </w:r>
      <w:r w:rsidR="00F221F2">
        <w:t xml:space="preserve"> Ancillary Service</w:t>
      </w:r>
      <w:r w:rsidR="008C5104" w:rsidRPr="004F1113">
        <w:t>, ERCOT shall, as soon as practicable but no later than the time specified in Section 6.4.9.2, notify each affected QSE of the procured Ancillary Service quantities, the Ancillary Service typ</w:t>
      </w:r>
      <w:r w:rsidR="008C5104">
        <w:t>es, and the SASM MCPCs by hour.</w:t>
      </w:r>
    </w:p>
    <w:p w14:paraId="506D0E02" w14:textId="31928D97" w:rsidR="001F04FD" w:rsidRDefault="001F04FD" w:rsidP="00F26F08">
      <w:pPr>
        <w:pStyle w:val="BodyTextNumbered"/>
      </w:pPr>
      <w:r>
        <w:t>(3)</w:t>
      </w:r>
      <w:r>
        <w:tab/>
        <w:t xml:space="preserve">As soon as practicable, but no later than the time specified in Section 6.4.9.2, ERCOT shall post on the </w:t>
      </w:r>
      <w:r w:rsidR="0007207E">
        <w:t>ERCOT website</w:t>
      </w:r>
      <w:r>
        <w:t xml:space="preserve"> the hourly:</w:t>
      </w:r>
    </w:p>
    <w:p w14:paraId="02BF45A3" w14:textId="77777777" w:rsidR="001F04FD" w:rsidRDefault="001F04FD" w:rsidP="001F04FD">
      <w:pPr>
        <w:pStyle w:val="List"/>
      </w:pPr>
      <w:r>
        <w:t>(a)</w:t>
      </w:r>
      <w:r>
        <w:tab/>
        <w:t>SASM MCPC for each type of Ancillary Service for each hour;</w:t>
      </w:r>
    </w:p>
    <w:p w14:paraId="7EDF28B2" w14:textId="77777777" w:rsidR="001F04FD" w:rsidRDefault="001F04FD" w:rsidP="001F04FD">
      <w:pPr>
        <w:pStyle w:val="List"/>
      </w:pPr>
      <w:r>
        <w:t>(b)</w:t>
      </w:r>
      <w:r>
        <w:tab/>
        <w:t>Total Ancillary Service procured in MW by Ancillary Service type for each hour; and</w:t>
      </w:r>
    </w:p>
    <w:p w14:paraId="5229347E" w14:textId="77777777" w:rsidR="001F04FD" w:rsidRDefault="001F04FD" w:rsidP="001F04FD">
      <w:pPr>
        <w:pStyle w:val="List"/>
      </w:pPr>
      <w:r>
        <w:t>(c)</w:t>
      </w:r>
      <w:r>
        <w:tab/>
        <w:t>Aggregated Ancillary Service Offer Curve for each Ancillary Service for each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75BD9ED8" w14:textId="77777777" w:rsidTr="0058150D">
        <w:trPr>
          <w:trHeight w:val="206"/>
        </w:trPr>
        <w:tc>
          <w:tcPr>
            <w:tcW w:w="9350" w:type="dxa"/>
            <w:shd w:val="pct12" w:color="auto" w:fill="auto"/>
          </w:tcPr>
          <w:p w14:paraId="36299ECB" w14:textId="028ED90D" w:rsidR="004940BD" w:rsidRPr="00B06583" w:rsidRDefault="004940BD" w:rsidP="00CE56E5">
            <w:pPr>
              <w:pStyle w:val="Instructions"/>
              <w:spacing w:before="120"/>
            </w:pPr>
            <w:bookmarkStart w:id="659" w:name="_Toc397504943"/>
            <w:bookmarkStart w:id="660" w:name="_Toc402357071"/>
            <w:bookmarkStart w:id="661" w:name="_Toc422486451"/>
            <w:bookmarkStart w:id="662" w:name="_Toc433093303"/>
            <w:bookmarkStart w:id="663" w:name="_Toc433093461"/>
            <w:bookmarkStart w:id="664" w:name="_Toc440874690"/>
            <w:bookmarkStart w:id="665" w:name="_Toc448142245"/>
            <w:bookmarkStart w:id="666" w:name="_Toc448142402"/>
            <w:bookmarkStart w:id="667" w:name="_Toc458770238"/>
            <w:bookmarkStart w:id="668" w:name="_Toc459294206"/>
            <w:bookmarkStart w:id="669" w:name="_Toc463262699"/>
            <w:bookmarkStart w:id="670" w:name="_Toc468286773"/>
            <w:bookmarkStart w:id="671" w:name="_Toc481502819"/>
            <w:bookmarkStart w:id="672" w:name="_Toc496079987"/>
            <w:bookmarkStart w:id="673" w:name="_Toc73216034"/>
            <w:bookmarkEnd w:id="641"/>
            <w:bookmarkEnd w:id="642"/>
            <w:r>
              <w:t>[NPRR1010:  Delete Section 6.4.9.2.3 above upon system implementation of the Real-Time Co-Optimization (RTC) project</w:t>
            </w:r>
            <w:r w:rsidR="00CE56E5">
              <w:t>.</w:t>
            </w:r>
            <w:r>
              <w:t>]</w:t>
            </w:r>
          </w:p>
        </w:tc>
      </w:tr>
    </w:tbl>
    <w:p w14:paraId="11CFB20C" w14:textId="77777777" w:rsidR="001F04FD" w:rsidRDefault="001F04FD" w:rsidP="001F04FD">
      <w:pPr>
        <w:pStyle w:val="H2"/>
        <w:spacing w:before="480"/>
      </w:pPr>
      <w:bookmarkStart w:id="674" w:name="_Toc204411579"/>
      <w:r>
        <w:t>6.5</w:t>
      </w:r>
      <w:r>
        <w:tab/>
        <w:t>Real-Time Energy Operations</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4"/>
      <w:r>
        <w:t xml:space="preserve"> </w:t>
      </w:r>
    </w:p>
    <w:p w14:paraId="67EE3BE4" w14:textId="77777777" w:rsidR="001F04FD" w:rsidRDefault="001F04FD" w:rsidP="001F04FD">
      <w:pPr>
        <w:pStyle w:val="H3"/>
        <w:spacing w:before="480"/>
      </w:pPr>
      <w:bookmarkStart w:id="675" w:name="_Toc397504944"/>
      <w:bookmarkStart w:id="676" w:name="_Toc402357072"/>
      <w:bookmarkStart w:id="677" w:name="_Toc422486452"/>
      <w:bookmarkStart w:id="678" w:name="_Toc433093304"/>
      <w:bookmarkStart w:id="679" w:name="_Toc433093462"/>
      <w:bookmarkStart w:id="680" w:name="_Toc440874691"/>
      <w:bookmarkStart w:id="681" w:name="_Toc448142246"/>
      <w:bookmarkStart w:id="682" w:name="_Toc448142403"/>
      <w:bookmarkStart w:id="683" w:name="_Toc458770239"/>
      <w:bookmarkStart w:id="684" w:name="_Toc459294207"/>
      <w:bookmarkStart w:id="685" w:name="_Toc463262700"/>
      <w:bookmarkStart w:id="686" w:name="_Toc468286774"/>
      <w:bookmarkStart w:id="687" w:name="_Toc481502820"/>
      <w:bookmarkStart w:id="688" w:name="_Toc496079988"/>
      <w:bookmarkStart w:id="689" w:name="_Toc204411580"/>
      <w:r>
        <w:t>6.5.1</w:t>
      </w:r>
      <w:r>
        <w:tab/>
        <w:t>ERCOT Activities</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14:paraId="397C893F" w14:textId="77777777" w:rsidR="001F04FD" w:rsidRDefault="001F04FD" w:rsidP="001F04FD">
      <w:pPr>
        <w:pStyle w:val="BodyText"/>
        <w:ind w:left="720" w:hanging="720"/>
      </w:pPr>
      <w:r>
        <w:t>(1)</w:t>
      </w:r>
      <w:r>
        <w:tab/>
        <w:t>ERCOT activities during Real-Time operations are summarized in the table located in Section 6.3.2, Activities for Real-Time Operations.  That table is intended to be only a general guide and not controlling language, and any conflict between the table and another section of the Protocols is controlled by the other section.</w:t>
      </w:r>
    </w:p>
    <w:p w14:paraId="79AA138B" w14:textId="77777777" w:rsidR="001F04FD" w:rsidRDefault="001F04FD" w:rsidP="001F04FD">
      <w:pPr>
        <w:pStyle w:val="H4"/>
        <w:spacing w:before="480"/>
        <w:ind w:left="1267" w:hanging="1267"/>
      </w:pPr>
      <w:bookmarkStart w:id="690" w:name="_Toc397504945"/>
      <w:bookmarkStart w:id="691" w:name="_Toc402357073"/>
      <w:bookmarkStart w:id="692" w:name="_Toc422486453"/>
      <w:bookmarkStart w:id="693" w:name="_Toc433093305"/>
      <w:bookmarkStart w:id="694" w:name="_Toc433093463"/>
      <w:bookmarkStart w:id="695" w:name="_Toc440874692"/>
      <w:bookmarkStart w:id="696" w:name="_Toc448142247"/>
      <w:bookmarkStart w:id="697" w:name="_Toc448142404"/>
      <w:bookmarkStart w:id="698" w:name="_Toc458770240"/>
      <w:bookmarkStart w:id="699" w:name="_Toc459294208"/>
      <w:bookmarkStart w:id="700" w:name="_Toc463262701"/>
      <w:bookmarkStart w:id="701" w:name="_Toc468286775"/>
      <w:bookmarkStart w:id="702" w:name="_Toc481502821"/>
      <w:bookmarkStart w:id="703" w:name="_Toc496079989"/>
      <w:bookmarkStart w:id="704" w:name="_Toc204411581"/>
      <w:r>
        <w:lastRenderedPageBreak/>
        <w:t>6.5.1.1</w:t>
      </w:r>
      <w:r>
        <w:tab/>
        <w:t>ERCOT Control Area Authority</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14:paraId="0CBCBDA6" w14:textId="715ED106" w:rsidR="001F04FD" w:rsidRDefault="001F04FD" w:rsidP="001F04FD">
      <w:pPr>
        <w:pStyle w:val="BodyText"/>
        <w:ind w:left="720" w:hanging="720"/>
      </w:pPr>
      <w:r>
        <w:t>(1)</w:t>
      </w:r>
      <w:r>
        <w:tab/>
        <w:t xml:space="preserve">ERCOT, as Control Area Operator (CAO), is authorized to perform the following actions for the limited purpose of securely operating the ERCOT Transmission Grid under the standards specified in North American Electric Reliability Corporation (NERC) Standards, the </w:t>
      </w:r>
      <w:r w:rsidR="0098177F">
        <w:t xml:space="preserve">Nodal </w:t>
      </w:r>
      <w:r>
        <w:t>Operating Guides and these Protocols,</w:t>
      </w:r>
      <w:r>
        <w:rPr>
          <w:b/>
        </w:rPr>
        <w:t xml:space="preserve"> </w:t>
      </w:r>
      <w:r>
        <w:t>including:</w:t>
      </w:r>
    </w:p>
    <w:p w14:paraId="3FC45069" w14:textId="77777777" w:rsidR="001F04FD" w:rsidRDefault="001F04FD" w:rsidP="001F04FD">
      <w:pPr>
        <w:pStyle w:val="List"/>
      </w:pPr>
      <w:r>
        <w:t>(a)</w:t>
      </w:r>
      <w:r>
        <w:tab/>
        <w:t>Direct the physical operation of the ERCOT Transmission Grid, including circuit breakers, switches, voltage control equipment, and Load-shedding equipment;</w:t>
      </w:r>
    </w:p>
    <w:p w14:paraId="694DB471" w14:textId="77777777" w:rsidR="001F04FD" w:rsidRDefault="001F04FD" w:rsidP="001F04FD">
      <w:pPr>
        <w:pStyle w:val="List"/>
      </w:pPr>
      <w:r>
        <w:t>(b)</w:t>
      </w:r>
      <w:r>
        <w:tab/>
        <w:t>Dispatch Resources that have committed to provide Ancillary Services;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75BD9A10" w14:textId="77777777" w:rsidTr="0058150D">
        <w:trPr>
          <w:trHeight w:val="206"/>
        </w:trPr>
        <w:tc>
          <w:tcPr>
            <w:tcW w:w="9350" w:type="dxa"/>
            <w:shd w:val="pct12" w:color="auto" w:fill="auto"/>
          </w:tcPr>
          <w:p w14:paraId="3CA2CBE3" w14:textId="77777777" w:rsidR="004940BD" w:rsidRDefault="004940BD" w:rsidP="004940BD">
            <w:pPr>
              <w:pStyle w:val="Instructions"/>
              <w:spacing w:before="120"/>
            </w:pPr>
            <w:r>
              <w:t>[NPRR1010:  Replace paragraph (b) above with the following upon system implementation of the Real-Time Co-Optimization (RTC) project:]</w:t>
            </w:r>
          </w:p>
          <w:p w14:paraId="6B1DEA97" w14:textId="05AE45A8" w:rsidR="004940BD" w:rsidRPr="004940BD" w:rsidRDefault="004940BD" w:rsidP="004940BD">
            <w:pPr>
              <w:spacing w:after="240"/>
              <w:ind w:left="1440" w:hanging="720"/>
            </w:pPr>
            <w:r w:rsidRPr="003161DC">
              <w:t>(b)</w:t>
            </w:r>
            <w:r w:rsidRPr="003161DC">
              <w:tab/>
              <w:t xml:space="preserve">Dispatch Resources that have </w:t>
            </w:r>
            <w:r>
              <w:t>been awarded Ancillary Services;</w:t>
            </w:r>
          </w:p>
        </w:tc>
      </w:tr>
    </w:tbl>
    <w:p w14:paraId="65104D42" w14:textId="0B4DE3B9" w:rsidR="001F04FD" w:rsidRDefault="001F04FD" w:rsidP="000B1D41">
      <w:pPr>
        <w:pStyle w:val="List"/>
        <w:spacing w:before="240"/>
      </w:pPr>
      <w:r>
        <w:t>(c)</w:t>
      </w:r>
      <w:r>
        <w:tab/>
        <w:t>Direct changes in the operation of voltage control equipment;</w:t>
      </w:r>
    </w:p>
    <w:p w14:paraId="3D70C0A2" w14:textId="77777777" w:rsidR="001F04FD" w:rsidRDefault="001F04FD" w:rsidP="001F04FD">
      <w:pPr>
        <w:pStyle w:val="List"/>
      </w:pPr>
      <w:r>
        <w:t>(d)</w:t>
      </w:r>
      <w:r>
        <w:tab/>
      </w:r>
      <w:r w:rsidR="004B6E53">
        <w:t>Direct the implementation of Reliability Must-Run (RMR) Service, Remedial Action Plans (RAPs), Automatic Mitigation Plans (AMPs), Remedial Action Schemes (RASs), and transmission switching to prevent the violation of ERCOT Transmission Grid security limits;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177F" w14:paraId="32589B9E" w14:textId="77777777" w:rsidTr="007E7B7E">
        <w:trPr>
          <w:trHeight w:val="206"/>
        </w:trPr>
        <w:tc>
          <w:tcPr>
            <w:tcW w:w="9350" w:type="dxa"/>
            <w:shd w:val="pct12" w:color="auto" w:fill="auto"/>
          </w:tcPr>
          <w:p w14:paraId="4CCE8674" w14:textId="047A4199" w:rsidR="0098177F" w:rsidRDefault="0098177F" w:rsidP="007E7B7E">
            <w:pPr>
              <w:pStyle w:val="Instructions"/>
              <w:spacing w:before="120"/>
            </w:pPr>
            <w:r>
              <w:t>[NPRR1198:  Replace paragraph (d) above with the following upon system implementation and renumber accordingly:]</w:t>
            </w:r>
          </w:p>
          <w:p w14:paraId="794F2A6D" w14:textId="77777777" w:rsidR="0098177F" w:rsidRDefault="0098177F" w:rsidP="0098177F">
            <w:pPr>
              <w:spacing w:after="240"/>
              <w:ind w:left="1440" w:hanging="720"/>
            </w:pPr>
            <w:r w:rsidRPr="002715C9">
              <w:t>(d)</w:t>
            </w:r>
            <w:r w:rsidRPr="002715C9">
              <w:tab/>
              <w:t>Direct the implementation of Reliability Must-Run (RMR) Service</w:t>
            </w:r>
            <w:r>
              <w:t>;</w:t>
            </w:r>
          </w:p>
          <w:p w14:paraId="2A08E57C" w14:textId="77356D32" w:rsidR="0098177F" w:rsidRPr="00A4149C" w:rsidRDefault="0098177F" w:rsidP="0098177F">
            <w:pPr>
              <w:spacing w:after="240"/>
              <w:ind w:left="1440" w:hanging="720"/>
            </w:pPr>
            <w:r>
              <w:t>(e)</w:t>
            </w:r>
            <w:r>
              <w:tab/>
              <w:t>Direct the implementation, disabling, or reversal of implementation of Remedial Action Plans (RAPs), Automatic Mitigation Plans (AMPs), Remedial Action Schemes (RASs), Pre-Contingency Action Plans (PCAPs), Extended Action Plans (EAPs), and transmission switching to prevent the violation of ERCOT Transmission Grid security limits; and</w:t>
            </w:r>
          </w:p>
        </w:tc>
      </w:tr>
    </w:tbl>
    <w:p w14:paraId="299AD0A8" w14:textId="7A0053E3" w:rsidR="001F04FD" w:rsidRDefault="001F04FD" w:rsidP="00B07D39">
      <w:pPr>
        <w:pStyle w:val="List"/>
        <w:spacing w:before="240"/>
      </w:pPr>
      <w:r>
        <w:t>(e)</w:t>
      </w:r>
      <w:r>
        <w:tab/>
        <w:t>Perform additional actions required to prevent an imminent Emergency Condition or to restore the ERCOT Transmission Grid to a secure state in the event of an ERCOT Transmission Grid Emergency Condition.</w:t>
      </w:r>
    </w:p>
    <w:p w14:paraId="361CD841" w14:textId="77777777" w:rsidR="00DC3C3E" w:rsidRPr="005C5A9B" w:rsidRDefault="00DC3C3E" w:rsidP="00DC3C3E">
      <w:pPr>
        <w:spacing w:after="240"/>
        <w:ind w:left="720" w:hanging="720"/>
      </w:pPr>
      <w:r w:rsidRPr="005C5A9B">
        <w:t>(2)</w:t>
      </w:r>
      <w:r w:rsidRPr="005C5A9B">
        <w:tab/>
        <w:t>Unless the ERCOT Protocols or Other Binding Documents explicitly provide otherwise, ERCOT shall not model, monitor, direct operation of, or otherwise exercise any operational authority over any facility that operates on the low voltage side of the distribution transformer except as may be necessary for the following purposes:</w:t>
      </w:r>
    </w:p>
    <w:p w14:paraId="0BA115F9" w14:textId="1A3B29ED" w:rsidR="00DC3C3E" w:rsidRPr="005C5A9B" w:rsidRDefault="00DC3C3E" w:rsidP="00DC3C3E">
      <w:pPr>
        <w:spacing w:after="240"/>
        <w:ind w:left="1440" w:hanging="720"/>
        <w:rPr>
          <w:szCs w:val="24"/>
        </w:rPr>
      </w:pPr>
      <w:r w:rsidRPr="005C5A9B">
        <w:rPr>
          <w:szCs w:val="24"/>
        </w:rPr>
        <w:lastRenderedPageBreak/>
        <w:t>(a)</w:t>
      </w:r>
      <w:r w:rsidRPr="005C5A9B">
        <w:rPr>
          <w:szCs w:val="24"/>
        </w:rPr>
        <w:tab/>
      </w:r>
      <w:r>
        <w:rPr>
          <w:szCs w:val="24"/>
        </w:rPr>
        <w:t>T</w:t>
      </w:r>
      <w:r w:rsidRPr="005C5A9B">
        <w:rPr>
          <w:szCs w:val="24"/>
        </w:rPr>
        <w:t>o ensure the reliable interconnection, dispatch, operation, and Settlement of any Generation Resource, Energy Storage Resource</w:t>
      </w:r>
      <w:r>
        <w:rPr>
          <w:szCs w:val="24"/>
        </w:rPr>
        <w:t xml:space="preserve"> (ESR)</w:t>
      </w:r>
      <w:r w:rsidRPr="005C5A9B">
        <w:rPr>
          <w:szCs w:val="24"/>
        </w:rPr>
        <w:t xml:space="preserve">, Load Resource, or </w:t>
      </w:r>
      <w:r>
        <w:rPr>
          <w:szCs w:val="24"/>
        </w:rPr>
        <w:t>Emergency Response Service (</w:t>
      </w:r>
      <w:r w:rsidRPr="005C5A9B">
        <w:rPr>
          <w:szCs w:val="24"/>
        </w:rPr>
        <w:t>ERS</w:t>
      </w:r>
      <w:r>
        <w:rPr>
          <w:szCs w:val="24"/>
        </w:rPr>
        <w:t>)</w:t>
      </w:r>
      <w:r w:rsidRPr="005C5A9B">
        <w:rPr>
          <w:szCs w:val="24"/>
        </w:rPr>
        <w:t xml:space="preserve"> Resource that is, or is proposed to be, interconnected at distribution voltage, and to ensure the reliable operation and Settlement of any other ERCOT-registered generator or Energy Storage System</w:t>
      </w:r>
      <w:r>
        <w:rPr>
          <w:szCs w:val="24"/>
        </w:rPr>
        <w:t xml:space="preserve"> (ESS)</w:t>
      </w:r>
      <w:r w:rsidRPr="005C5A9B">
        <w:rPr>
          <w:szCs w:val="24"/>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3B75CC2F" w14:textId="77777777" w:rsidTr="004E6E12">
        <w:trPr>
          <w:trHeight w:val="206"/>
        </w:trPr>
        <w:tc>
          <w:tcPr>
            <w:tcW w:w="9350" w:type="dxa"/>
            <w:shd w:val="pct12" w:color="auto" w:fill="auto"/>
          </w:tcPr>
          <w:p w14:paraId="6BFD1C94" w14:textId="0CE67E26" w:rsidR="00490BFE" w:rsidRDefault="00490BFE" w:rsidP="004E6E12">
            <w:pPr>
              <w:pStyle w:val="Instructions"/>
              <w:spacing w:before="120"/>
            </w:pPr>
            <w:r>
              <w:t>[NPRR1246:  Replace paragraph (a) above with the following upon system implementation of the Real-Time Co-Optimization (RTC) project:]</w:t>
            </w:r>
          </w:p>
          <w:p w14:paraId="683E5CAA" w14:textId="62422608" w:rsidR="00490BFE" w:rsidRPr="004940BD" w:rsidRDefault="00490BFE" w:rsidP="004E6E12">
            <w:pPr>
              <w:spacing w:after="240"/>
              <w:ind w:left="1440" w:hanging="720"/>
            </w:pPr>
            <w:r w:rsidRPr="005C5A9B">
              <w:rPr>
                <w:szCs w:val="24"/>
              </w:rPr>
              <w:t>(a)</w:t>
            </w:r>
            <w:r w:rsidRPr="005C5A9B">
              <w:rPr>
                <w:szCs w:val="24"/>
              </w:rPr>
              <w:tab/>
            </w:r>
            <w:r>
              <w:rPr>
                <w:szCs w:val="24"/>
              </w:rPr>
              <w:t>T</w:t>
            </w:r>
            <w:r w:rsidRPr="005C5A9B">
              <w:rPr>
                <w:szCs w:val="24"/>
              </w:rPr>
              <w:t>o ensure the reliable interconnection, dispatch, operation, and Settlement of any Generation Resource, Energy Storage Resource</w:t>
            </w:r>
            <w:r>
              <w:rPr>
                <w:szCs w:val="24"/>
              </w:rPr>
              <w:t xml:space="preserve"> (ESR)</w:t>
            </w:r>
            <w:r w:rsidRPr="005C5A9B">
              <w:rPr>
                <w:szCs w:val="24"/>
              </w:rPr>
              <w:t xml:space="preserve">, Load Resource, or </w:t>
            </w:r>
            <w:r>
              <w:rPr>
                <w:szCs w:val="24"/>
              </w:rPr>
              <w:t>Emergency Response Service (</w:t>
            </w:r>
            <w:r w:rsidRPr="005C5A9B">
              <w:rPr>
                <w:szCs w:val="24"/>
              </w:rPr>
              <w:t>ERS</w:t>
            </w:r>
            <w:r>
              <w:rPr>
                <w:szCs w:val="24"/>
              </w:rPr>
              <w:t>)</w:t>
            </w:r>
            <w:r w:rsidRPr="005C5A9B">
              <w:rPr>
                <w:szCs w:val="24"/>
              </w:rPr>
              <w:t xml:space="preserve"> Resource that is, or is proposed to be, interconnected at distribution voltage, and to ensure the reliable operation and Settlement of any other ERCOT-registered generat</w:t>
            </w:r>
            <w:r>
              <w:rPr>
                <w:szCs w:val="24"/>
              </w:rPr>
              <w:t>or</w:t>
            </w:r>
            <w:r w:rsidR="004E4A46">
              <w:rPr>
                <w:szCs w:val="24"/>
              </w:rPr>
              <w:t>;</w:t>
            </w:r>
          </w:p>
        </w:tc>
      </w:tr>
    </w:tbl>
    <w:p w14:paraId="3DD4BB90" w14:textId="2FF509F3" w:rsidR="00DC3C3E" w:rsidRPr="005C5A9B" w:rsidRDefault="00DC3C3E" w:rsidP="00DD0A69">
      <w:pPr>
        <w:spacing w:before="240" w:after="240"/>
        <w:ind w:left="1440" w:hanging="720"/>
        <w:rPr>
          <w:szCs w:val="24"/>
        </w:rPr>
      </w:pPr>
      <w:r w:rsidRPr="005C5A9B">
        <w:rPr>
          <w:szCs w:val="24"/>
        </w:rPr>
        <w:t>(b)</w:t>
      </w:r>
      <w:r w:rsidRPr="005C5A9B">
        <w:rPr>
          <w:szCs w:val="24"/>
        </w:rPr>
        <w:tab/>
      </w:r>
      <w:r>
        <w:rPr>
          <w:szCs w:val="24"/>
        </w:rPr>
        <w:t>T</w:t>
      </w:r>
      <w:r w:rsidRPr="005C5A9B">
        <w:rPr>
          <w:szCs w:val="24"/>
        </w:rPr>
        <w:t xml:space="preserve">o provide ERCOT information about all generators and </w:t>
      </w:r>
      <w:r>
        <w:rPr>
          <w:szCs w:val="24"/>
        </w:rPr>
        <w:t>ESS</w:t>
      </w:r>
      <w:r w:rsidRPr="005C5A9B">
        <w:rPr>
          <w:szCs w:val="24"/>
        </w:rPr>
        <w:t xml:space="preserve"> interconnected at distribution voltage as requested by ERCOT pursuant to these Protocols or Other Binding Documents for the purposes of ensuring accurate Settlement and operating and planning the </w:t>
      </w:r>
      <w:r w:rsidR="0098177F">
        <w:rPr>
          <w:szCs w:val="24"/>
        </w:rPr>
        <w:t xml:space="preserve">ERCOT </w:t>
      </w:r>
      <w:r w:rsidRPr="005C5A9B">
        <w:rPr>
          <w:szCs w:val="24"/>
        </w:rPr>
        <w:t xml:space="preserve">Transmission Grid; and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376DECFA" w14:textId="77777777" w:rsidTr="004E6E12">
        <w:trPr>
          <w:trHeight w:val="206"/>
        </w:trPr>
        <w:tc>
          <w:tcPr>
            <w:tcW w:w="9350" w:type="dxa"/>
            <w:shd w:val="pct12" w:color="auto" w:fill="auto"/>
          </w:tcPr>
          <w:p w14:paraId="744A7687" w14:textId="77777777" w:rsidR="00490BFE" w:rsidRDefault="00490BFE" w:rsidP="004E6E12">
            <w:pPr>
              <w:pStyle w:val="Instructions"/>
              <w:spacing w:before="120"/>
            </w:pPr>
            <w:r>
              <w:t>[NPRR1246:  Replace paragraph (b) above with the following upon system implementation of the Real-Time Co-Optimization (RTC) project:]</w:t>
            </w:r>
          </w:p>
          <w:p w14:paraId="67B21F76" w14:textId="53C6C223" w:rsidR="00490BFE" w:rsidRPr="00490BFE" w:rsidRDefault="00490BFE" w:rsidP="00490BFE">
            <w:pPr>
              <w:spacing w:before="240" w:after="240"/>
              <w:ind w:left="1440" w:hanging="720"/>
              <w:rPr>
                <w:szCs w:val="24"/>
              </w:rPr>
            </w:pPr>
            <w:r w:rsidRPr="005C5A9B">
              <w:rPr>
                <w:szCs w:val="24"/>
              </w:rPr>
              <w:t>(b)</w:t>
            </w:r>
            <w:r w:rsidRPr="005C5A9B">
              <w:rPr>
                <w:szCs w:val="24"/>
              </w:rPr>
              <w:tab/>
            </w:r>
            <w:r>
              <w:rPr>
                <w:szCs w:val="24"/>
              </w:rPr>
              <w:t>T</w:t>
            </w:r>
            <w:r w:rsidRPr="005C5A9B">
              <w:rPr>
                <w:szCs w:val="24"/>
              </w:rPr>
              <w:t xml:space="preserve">o provide ERCOT information about all generators interconnected at distribution voltage as requested by ERCOT pursuant to these Protocols or Other Binding Documents for the purposes of ensuring accurate Settlement and operating and planning the </w:t>
            </w:r>
            <w:r>
              <w:rPr>
                <w:szCs w:val="24"/>
              </w:rPr>
              <w:t xml:space="preserve">ERCOT </w:t>
            </w:r>
            <w:r w:rsidRPr="005C5A9B">
              <w:rPr>
                <w:szCs w:val="24"/>
              </w:rPr>
              <w:t>Transmission Grid; and</w:t>
            </w:r>
          </w:p>
        </w:tc>
      </w:tr>
    </w:tbl>
    <w:p w14:paraId="252C4F71" w14:textId="757FD605" w:rsidR="00DC3C3E" w:rsidRPr="005C5A9B" w:rsidRDefault="00DC3C3E" w:rsidP="00DD0A69">
      <w:pPr>
        <w:spacing w:before="240" w:after="240"/>
        <w:ind w:left="1440" w:hanging="720"/>
        <w:rPr>
          <w:szCs w:val="24"/>
        </w:rPr>
      </w:pPr>
      <w:r w:rsidRPr="005C5A9B">
        <w:rPr>
          <w:szCs w:val="24"/>
        </w:rPr>
        <w:t>(c)</w:t>
      </w:r>
      <w:r w:rsidRPr="005C5A9B">
        <w:rPr>
          <w:szCs w:val="24"/>
        </w:rPr>
        <w:tab/>
      </w:r>
      <w:r>
        <w:rPr>
          <w:szCs w:val="24"/>
        </w:rPr>
        <w:t>T</w:t>
      </w:r>
      <w:r w:rsidRPr="005C5A9B">
        <w:rPr>
          <w:szCs w:val="24"/>
        </w:rPr>
        <w:t>o effectuate automatic or manual Load-shedding as prescribed by these Protocols or Other Binding Documents.</w:t>
      </w:r>
    </w:p>
    <w:p w14:paraId="1A36746A" w14:textId="5581D7AE" w:rsidR="00DC3C3E" w:rsidRDefault="00DC3C3E" w:rsidP="00DC3C3E">
      <w:pPr>
        <w:pStyle w:val="List"/>
        <w:ind w:left="720"/>
      </w:pPr>
      <w:r w:rsidRPr="005C5A9B">
        <w:rPr>
          <w:szCs w:val="24"/>
        </w:rPr>
        <w:t>(3)</w:t>
      </w:r>
      <w:r w:rsidRPr="005C5A9B">
        <w:rPr>
          <w:szCs w:val="24"/>
        </w:rPr>
        <w:tab/>
        <w:t xml:space="preserve">Nothing in paragraph (2) above limits ERCOT’s authority to require that a Transmission Service Provider </w:t>
      </w:r>
      <w:r>
        <w:rPr>
          <w:szCs w:val="24"/>
        </w:rPr>
        <w:t xml:space="preserve">(TSP) </w:t>
      </w:r>
      <w:r w:rsidRPr="005C5A9B">
        <w:rPr>
          <w:szCs w:val="24"/>
        </w:rPr>
        <w:t>or Transmission Operator</w:t>
      </w:r>
      <w:r>
        <w:rPr>
          <w:szCs w:val="24"/>
        </w:rPr>
        <w:t xml:space="preserve"> (TO)</w:t>
      </w:r>
      <w:r w:rsidRPr="005C5A9B">
        <w:rPr>
          <w:szCs w:val="24"/>
        </w:rPr>
        <w:t xml:space="preserve"> disconnect any Facility operated at distribution voltage from the ERCOT System if </w:t>
      </w:r>
      <w:r w:rsidRPr="005C5A9B">
        <w:t>ERCOT</w:t>
      </w:r>
      <w:r w:rsidRPr="005C5A9B">
        <w:rPr>
          <w:szCs w:val="24"/>
        </w:rPr>
        <w:t xml:space="preserve"> determines such action is necessary to address a reliability concern on the ERCOT Transmission Grid.  Additionally, nothing in paragraph (2) above limits ERCOT’s authority to require appropriate modeling and telemetry of </w:t>
      </w:r>
      <w:r w:rsidR="00847E53">
        <w:rPr>
          <w:szCs w:val="24"/>
        </w:rPr>
        <w:t>t</w:t>
      </w:r>
      <w:r w:rsidRPr="005C5A9B">
        <w:rPr>
          <w:szCs w:val="24"/>
        </w:rPr>
        <w:t>ransmission Loads that may represent multiple distribution-level Loads, as provided in Section 3.10.7.2</w:t>
      </w:r>
      <w:r>
        <w:rPr>
          <w:szCs w:val="24"/>
        </w:rPr>
        <w:t>, Modeling of Resources and Transmission Loads</w:t>
      </w:r>
      <w:r w:rsidRPr="005C5A9B">
        <w:rPr>
          <w:szCs w:val="24"/>
        </w:rPr>
        <w:t>.</w:t>
      </w:r>
    </w:p>
    <w:p w14:paraId="334393A6" w14:textId="7CFE0623" w:rsidR="001F04FD" w:rsidRDefault="001F04FD" w:rsidP="00F42848">
      <w:pPr>
        <w:pStyle w:val="List"/>
        <w:ind w:left="720"/>
      </w:pPr>
      <w:r>
        <w:t>(</w:t>
      </w:r>
      <w:r w:rsidR="00DC3C3E">
        <w:t>4</w:t>
      </w:r>
      <w:r>
        <w:t>)</w:t>
      </w:r>
      <w:r>
        <w:tab/>
        <w:t xml:space="preserve">Consistent with paragraph (1)(e) above, if ERCOT seeks to exercise its authority to prevent an anticipated Emergency Condition relating to serving Load in the current or next Season by procuring existing capacity that may be used to maintain ERCOT System </w:t>
      </w:r>
      <w:r>
        <w:lastRenderedPageBreak/>
        <w:t xml:space="preserve">reliability in a manner not otherwise delineated in these Protocols and the </w:t>
      </w:r>
      <w:r w:rsidR="0098177F">
        <w:t xml:space="preserve">Nodal </w:t>
      </w:r>
      <w:r>
        <w:t xml:space="preserve">Operating Guides, ERCOT shall take the following actions: </w:t>
      </w:r>
    </w:p>
    <w:p w14:paraId="4284203F" w14:textId="77777777" w:rsidR="001F04FD" w:rsidRDefault="001F04FD" w:rsidP="001F04FD">
      <w:pPr>
        <w:pStyle w:val="List"/>
      </w:pPr>
      <w:r>
        <w:t>(a)</w:t>
      </w:r>
      <w:r>
        <w:tab/>
        <w:t xml:space="preserve">Upon determination by ERCOT that additional capacity is needed to prevent an Emergency Condition and prior to any procurement activity associated with such additional capacity, ERCOT shall issue a Notice as soon as practicable with the following information: </w:t>
      </w:r>
    </w:p>
    <w:p w14:paraId="61D5DBAA" w14:textId="77777777" w:rsidR="001F04FD" w:rsidRDefault="001F04FD" w:rsidP="001F04FD">
      <w:pPr>
        <w:pStyle w:val="List"/>
        <w:ind w:left="2160"/>
      </w:pPr>
      <w:r>
        <w:t>(i)</w:t>
      </w:r>
      <w:r>
        <w:tab/>
        <w:t xml:space="preserve">A detailed </w:t>
      </w:r>
      <w:r w:rsidRPr="000A0F0A">
        <w:rPr>
          <w:szCs w:val="24"/>
        </w:rPr>
        <w:t>description</w:t>
      </w:r>
      <w:r>
        <w:t xml:space="preserve"> of the reliability condition and need for additional capacity as determined by ERCOT and the timing of the proposed procurement;</w:t>
      </w:r>
    </w:p>
    <w:p w14:paraId="6458ED3C" w14:textId="77777777" w:rsidR="001F04FD" w:rsidRDefault="001F04FD" w:rsidP="001F04FD">
      <w:pPr>
        <w:pStyle w:val="List"/>
        <w:ind w:left="2160"/>
      </w:pPr>
      <w:r>
        <w:t>(ii)</w:t>
      </w:r>
      <w:r>
        <w:tab/>
        <w:t>Justification for the quantity of additional capacity to be requested;</w:t>
      </w:r>
    </w:p>
    <w:p w14:paraId="429206E4" w14:textId="77777777" w:rsidR="001F04FD" w:rsidRDefault="001F04FD" w:rsidP="001F04FD">
      <w:pPr>
        <w:pStyle w:val="List"/>
        <w:ind w:left="2160"/>
      </w:pPr>
      <w:r>
        <w:t>(iii)</w:t>
      </w:r>
      <w:r>
        <w:tab/>
        <w:t>Identification of potential Generation Resources or Load providing capacity considered by ERCOT to be acceptable for providing the additional capacity.  Load capacity may be provided by Entities who, at ERCOT’s direction, would interrupt consumption of electric power and remain interrupted until released by ERCOT;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20014EAB" w14:textId="77777777" w:rsidTr="004E6E12">
        <w:trPr>
          <w:trHeight w:val="206"/>
        </w:trPr>
        <w:tc>
          <w:tcPr>
            <w:tcW w:w="9350" w:type="dxa"/>
            <w:shd w:val="pct12" w:color="auto" w:fill="auto"/>
          </w:tcPr>
          <w:p w14:paraId="19D15C25" w14:textId="4349E573" w:rsidR="00490BFE" w:rsidRDefault="00490BFE" w:rsidP="004E6E12">
            <w:pPr>
              <w:pStyle w:val="Instructions"/>
              <w:spacing w:before="120"/>
            </w:pPr>
            <w:r>
              <w:t>[NPRR1246:  Replace paragraph (iii) above with the following upon system implementation of the Real-Time Co-Optimization (RTC) project:]</w:t>
            </w:r>
          </w:p>
          <w:p w14:paraId="0FC8A8D3" w14:textId="51A08E01" w:rsidR="00490BFE" w:rsidRPr="00490BFE" w:rsidRDefault="00490BFE" w:rsidP="00490BFE">
            <w:pPr>
              <w:spacing w:after="240"/>
              <w:ind w:left="2160" w:hanging="720"/>
            </w:pPr>
            <w:r w:rsidRPr="0000204A">
              <w:t>(iii)</w:t>
            </w:r>
            <w:r w:rsidRPr="0000204A">
              <w:tab/>
              <w:t>Identification of potential Generation Resources</w:t>
            </w:r>
            <w:r>
              <w:t>, ESRs,</w:t>
            </w:r>
            <w:r w:rsidRPr="0000204A">
              <w:t xml:space="preserve"> or Load providing capacity considered by ERCOT to be acceptable for providing the additional capacity.  Load capacity may be provided by Entities who, at ERCOT’s direction, would interrupt consumption of electric power and remain interrupted until released by ERCOT; and</w:t>
            </w:r>
          </w:p>
        </w:tc>
      </w:tr>
    </w:tbl>
    <w:p w14:paraId="771F2879" w14:textId="5AED003C" w:rsidR="001F04FD" w:rsidRDefault="001F04FD" w:rsidP="00DD0A69">
      <w:pPr>
        <w:pStyle w:val="List"/>
        <w:spacing w:before="240"/>
        <w:ind w:left="2160"/>
      </w:pPr>
      <w:r>
        <w:t>(iv)</w:t>
      </w:r>
      <w:r>
        <w:tab/>
        <w:t>A schedule of activities associated with the proposed procurement.</w:t>
      </w:r>
    </w:p>
    <w:p w14:paraId="0160AD63" w14:textId="77777777" w:rsidR="001F04FD" w:rsidRDefault="001F04FD" w:rsidP="001F04FD">
      <w:pPr>
        <w:pStyle w:val="List"/>
      </w:pPr>
      <w:r>
        <w:t>(b)</w:t>
      </w:r>
      <w:r>
        <w:tab/>
        <w:t>If ERCOT identifies a specific Entity with which it will negotiate the terms for procurement of additional capacity, then ERCOT shall issue a Notice as soon as practicable that includes the Entity name and, as applicable, the Resource mnemonic, the Resource MW rating by Season, the name of the Resource Entity, and the potential duration of any contract, including anticipated start and end dates.</w:t>
      </w:r>
    </w:p>
    <w:p w14:paraId="74E85327" w14:textId="77777777" w:rsidR="001F04FD" w:rsidRDefault="001F04FD" w:rsidP="001F04FD">
      <w:pPr>
        <w:pStyle w:val="List"/>
      </w:pPr>
      <w:r>
        <w:t>(c)</w:t>
      </w:r>
      <w:r>
        <w:tab/>
        <w:t>ERCOT shall, to the fullest extent practicable, ensure that any actions taken to procure additional capacity meet the following criteria:</w:t>
      </w:r>
    </w:p>
    <w:p w14:paraId="0FCAF51C" w14:textId="77777777" w:rsidR="001F04FD" w:rsidRDefault="001F04FD" w:rsidP="001F04FD">
      <w:pPr>
        <w:pStyle w:val="List"/>
        <w:ind w:left="2160"/>
        <w:rPr>
          <w:color w:val="000000"/>
          <w:szCs w:val="24"/>
        </w:rPr>
      </w:pPr>
      <w:r>
        <w:rPr>
          <w:color w:val="000000"/>
          <w:szCs w:val="24"/>
        </w:rPr>
        <w:t>(i)</w:t>
      </w:r>
      <w:r>
        <w:rPr>
          <w:color w:val="000000"/>
          <w:szCs w:val="24"/>
        </w:rPr>
        <w:tab/>
        <w:t xml:space="preserve">Any capacity procured pursuant to this paragraph will be procured using an open process, and the terms of the </w:t>
      </w:r>
      <w:r w:rsidRPr="009573F1">
        <w:t>procurement</w:t>
      </w:r>
      <w:r>
        <w:rPr>
          <w:color w:val="000000"/>
          <w:szCs w:val="24"/>
        </w:rPr>
        <w:t xml:space="preserve"> between ERCOT and the Entity will be memorialized in contracts that will be publicly available for inspection on the ERCOT website.  </w:t>
      </w:r>
    </w:p>
    <w:p w14:paraId="7829EE70" w14:textId="77777777" w:rsidR="001F04FD" w:rsidRDefault="001F04FD" w:rsidP="001F04FD">
      <w:pPr>
        <w:pStyle w:val="List"/>
        <w:ind w:left="2160"/>
        <w:rPr>
          <w:color w:val="000000"/>
          <w:szCs w:val="24"/>
        </w:rPr>
      </w:pPr>
      <w:r>
        <w:rPr>
          <w:color w:val="000000"/>
          <w:szCs w:val="24"/>
        </w:rPr>
        <w:lastRenderedPageBreak/>
        <w:t>(ii)</w:t>
      </w:r>
      <w:r>
        <w:rPr>
          <w:color w:val="000000"/>
          <w:szCs w:val="24"/>
        </w:rPr>
        <w:tab/>
        <w:t xml:space="preserve">Each contract will include specified financial terms and termination dates.  For purposes of Settlement, any contract associated with a Generation Resource will include substantially the same terms and conditions as an RMR Unit under a RMR Agreement, including the Eligible Cost budgeting process.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40279E82" w14:textId="77777777" w:rsidTr="004E6E12">
        <w:trPr>
          <w:trHeight w:val="206"/>
        </w:trPr>
        <w:tc>
          <w:tcPr>
            <w:tcW w:w="9350" w:type="dxa"/>
            <w:shd w:val="pct12" w:color="auto" w:fill="auto"/>
          </w:tcPr>
          <w:p w14:paraId="71079406" w14:textId="508270CB" w:rsidR="00490BFE" w:rsidRDefault="00490BFE" w:rsidP="004E6E12">
            <w:pPr>
              <w:pStyle w:val="Instructions"/>
              <w:spacing w:before="120"/>
            </w:pPr>
            <w:r>
              <w:t>[NPRR1246:  Replace paragraph (ii) above with the following upon system implementation of the Real-Time Co-Optimization (RTC) project:]</w:t>
            </w:r>
          </w:p>
          <w:p w14:paraId="4AC69AA6" w14:textId="471B9DB0" w:rsidR="00490BFE" w:rsidRPr="00490BFE" w:rsidRDefault="00490BFE" w:rsidP="00490BFE">
            <w:pPr>
              <w:spacing w:after="240"/>
              <w:ind w:left="2160" w:hanging="720"/>
              <w:rPr>
                <w:color w:val="000000"/>
              </w:rPr>
            </w:pPr>
            <w:r w:rsidRPr="0000204A">
              <w:rPr>
                <w:color w:val="000000"/>
              </w:rPr>
              <w:t>(ii)</w:t>
            </w:r>
            <w:r w:rsidRPr="0000204A">
              <w:rPr>
                <w:color w:val="000000"/>
              </w:rPr>
              <w:tab/>
              <w:t xml:space="preserve">Each contract will include specified financial terms and termination dates.  For purposes of Settlement, any contract associated with a Generation Resource </w:t>
            </w:r>
            <w:r>
              <w:rPr>
                <w:color w:val="000000"/>
              </w:rPr>
              <w:t xml:space="preserve">or ESR </w:t>
            </w:r>
            <w:r w:rsidRPr="0000204A">
              <w:rPr>
                <w:color w:val="000000"/>
              </w:rPr>
              <w:t>will include substantially the same terms and conditions as an RMR Unit under a RMR Agreement, including the Eligible Cost budgeting process.</w:t>
            </w:r>
          </w:p>
        </w:tc>
      </w:tr>
    </w:tbl>
    <w:p w14:paraId="7BAD3286" w14:textId="6E7562AB" w:rsidR="001F04FD" w:rsidRDefault="001F04FD" w:rsidP="00DD0A69">
      <w:pPr>
        <w:pStyle w:val="List"/>
        <w:spacing w:before="240"/>
        <w:ind w:left="2160"/>
        <w:rPr>
          <w:color w:val="000000"/>
          <w:szCs w:val="24"/>
        </w:rPr>
      </w:pPr>
      <w:r>
        <w:rPr>
          <w:color w:val="000000"/>
          <w:szCs w:val="24"/>
        </w:rPr>
        <w:t>(iii)</w:t>
      </w:r>
      <w:r>
        <w:rPr>
          <w:color w:val="000000"/>
          <w:szCs w:val="24"/>
        </w:rPr>
        <w:tab/>
      </w:r>
      <w:r w:rsidRPr="004B5F16">
        <w:rPr>
          <w:color w:val="000000"/>
          <w:szCs w:val="24"/>
        </w:rPr>
        <w:t>ERCOT shall provide notice to the ERCOT Board, at the next ERCOT Board meeting after ERCOT has signed the contract, that the actions required prior to execution of the contract, pursuant to paragraphs (</w:t>
      </w:r>
      <w:r w:rsidR="00DC3C3E">
        <w:rPr>
          <w:color w:val="000000"/>
          <w:szCs w:val="24"/>
        </w:rPr>
        <w:t>4</w:t>
      </w:r>
      <w:r w:rsidRPr="004B5F16">
        <w:rPr>
          <w:color w:val="000000"/>
          <w:szCs w:val="24"/>
        </w:rPr>
        <w:t>)(a) through (c) above, were completed by ERCOT before the contract was executed.</w:t>
      </w:r>
      <w:r>
        <w:rPr>
          <w:color w:val="000000"/>
          <w:szCs w:val="24"/>
        </w:rPr>
        <w:t xml:space="preserve">  </w:t>
      </w:r>
    </w:p>
    <w:p w14:paraId="3E7837FD" w14:textId="77777777" w:rsidR="001F04FD" w:rsidRDefault="001F04FD" w:rsidP="001F04FD">
      <w:pPr>
        <w:pStyle w:val="List"/>
        <w:ind w:left="2160"/>
        <w:rPr>
          <w:color w:val="000000"/>
          <w:szCs w:val="24"/>
        </w:rPr>
      </w:pPr>
      <w:r>
        <w:rPr>
          <w:color w:val="000000"/>
          <w:szCs w:val="24"/>
        </w:rPr>
        <w:t>(iv)</w:t>
      </w:r>
      <w:r>
        <w:rPr>
          <w:color w:val="000000"/>
          <w:szCs w:val="24"/>
        </w:rPr>
        <w:tab/>
        <w:t>Any information submitted by the Entity to ERCOT through the procurement process may be designated as Protected Information and treated in accordance with the provisions of Section 1.3, Confidentiality, provided that final contract terms must be made available for public inspection.</w:t>
      </w:r>
    </w:p>
    <w:p w14:paraId="2508C1C0" w14:textId="7F807D95" w:rsidR="001F04FD" w:rsidRDefault="001F04FD" w:rsidP="001F04FD">
      <w:pPr>
        <w:pStyle w:val="List"/>
      </w:pPr>
      <w:r>
        <w:rPr>
          <w:color w:val="000000"/>
          <w:szCs w:val="24"/>
        </w:rPr>
        <w:t>(d)</w:t>
      </w:r>
      <w:r>
        <w:rPr>
          <w:color w:val="000000"/>
          <w:szCs w:val="24"/>
        </w:rPr>
        <w:tab/>
        <w:t>A Generation Resource that has received capital contributions from ERCOT pursuant to a contract executed under this paragraph (</w:t>
      </w:r>
      <w:r w:rsidR="00DC3C3E">
        <w:rPr>
          <w:color w:val="000000"/>
          <w:szCs w:val="24"/>
        </w:rPr>
        <w:t>4</w:t>
      </w:r>
      <w:r>
        <w:rPr>
          <w:color w:val="000000"/>
          <w:szCs w:val="24"/>
        </w:rPr>
        <w:t>) may not participate in the energy or Ancillary Services markets until such capital contributions have been refunded to ERCOT.  For the purposes of this Section, capital contributions are defined as improvements with an asset life greater than one year under the applicable federal tax rules.  The Resource Entity’s refund of capital contributions shall be a lump sum payment calculated as follows: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19339C12" w14:textId="77777777" w:rsidTr="004E6E12">
        <w:trPr>
          <w:trHeight w:val="206"/>
        </w:trPr>
        <w:tc>
          <w:tcPr>
            <w:tcW w:w="9350" w:type="dxa"/>
            <w:shd w:val="pct12" w:color="auto" w:fill="auto"/>
          </w:tcPr>
          <w:p w14:paraId="25211222" w14:textId="46E24B07" w:rsidR="00490BFE" w:rsidRDefault="00490BFE" w:rsidP="004E6E12">
            <w:pPr>
              <w:pStyle w:val="Instructions"/>
              <w:spacing w:before="120"/>
            </w:pPr>
            <w:r>
              <w:t>[NPRR1246:  Replace paragraph (d) above with the following upon system implementation of the Real-Time Co-Optimization (RTC) project:]</w:t>
            </w:r>
          </w:p>
          <w:p w14:paraId="00C17860" w14:textId="6E165329" w:rsidR="00490BFE" w:rsidRPr="00490BFE" w:rsidRDefault="00490BFE" w:rsidP="00490BFE">
            <w:pPr>
              <w:pStyle w:val="List"/>
            </w:pPr>
            <w:r>
              <w:rPr>
                <w:color w:val="000000"/>
                <w:szCs w:val="24"/>
              </w:rPr>
              <w:t>(d)</w:t>
            </w:r>
            <w:r>
              <w:rPr>
                <w:color w:val="000000"/>
                <w:szCs w:val="24"/>
              </w:rPr>
              <w:tab/>
              <w:t xml:space="preserve">A Generation Resource or ESR that has received capital contributions from ERCOT pursuant to a contract executed under this paragraph (4) may not participate in the energy or Ancillary Services markets until such capital contributions have been refunded to ERCOT.  For the purposes of this Section, capital contributions are defined as improvements with an asset life greater than </w:t>
            </w:r>
            <w:r>
              <w:rPr>
                <w:color w:val="000000"/>
                <w:szCs w:val="24"/>
              </w:rPr>
              <w:lastRenderedPageBreak/>
              <w:t>one year under the applicable federal tax rules.  The Resource Entity’s refund of capital contributions shall be a lump sum payment calculated as follows:</w:t>
            </w:r>
          </w:p>
        </w:tc>
      </w:tr>
    </w:tbl>
    <w:p w14:paraId="5BFD983F" w14:textId="1E76F420" w:rsidR="001F04FD" w:rsidRDefault="001F04FD" w:rsidP="00DD0A69">
      <w:pPr>
        <w:pStyle w:val="List"/>
        <w:spacing w:before="240"/>
        <w:ind w:left="2160"/>
        <w:rPr>
          <w:szCs w:val="24"/>
        </w:rPr>
      </w:pPr>
      <w:r>
        <w:rPr>
          <w:color w:val="000000"/>
          <w:szCs w:val="24"/>
        </w:rPr>
        <w:lastRenderedPageBreak/>
        <w:t>(i)</w:t>
      </w:r>
      <w:r>
        <w:rPr>
          <w:color w:val="000000"/>
          <w:szCs w:val="24"/>
        </w:rPr>
        <w:tab/>
        <w:t>If the Generation Resource chooses to participate in the energy or Ancillary Service markets after the termination date of the contract executed under this paragraph (</w:t>
      </w:r>
      <w:r w:rsidR="00DC3C3E">
        <w:rPr>
          <w:color w:val="000000"/>
          <w:szCs w:val="24"/>
        </w:rPr>
        <w:t>4</w:t>
      </w:r>
      <w:r>
        <w:rPr>
          <w:color w:val="000000"/>
          <w:szCs w:val="24"/>
        </w:rPr>
        <w:t xml:space="preserve">), the Qualified Scheduling Entity (QSE) representing the Resource Entity shall repay, in a lump sum payment, 100% </w:t>
      </w:r>
      <w:r w:rsidRPr="00D4467E">
        <w:rPr>
          <w:color w:val="000000"/>
          <w:szCs w:val="24"/>
        </w:rPr>
        <w:t xml:space="preserve">of the </w:t>
      </w:r>
      <w:r>
        <w:rPr>
          <w:color w:val="000000"/>
          <w:szCs w:val="24"/>
        </w:rPr>
        <w:t xml:space="preserve">book </w:t>
      </w:r>
      <w:r w:rsidRPr="00D4467E">
        <w:rPr>
          <w:color w:val="000000"/>
          <w:szCs w:val="24"/>
        </w:rPr>
        <w:t>value of the capitalized equipment</w:t>
      </w:r>
      <w:r>
        <w:rPr>
          <w:color w:val="000000"/>
          <w:szCs w:val="24"/>
        </w:rPr>
        <w:t xml:space="preserve"> and all installation charges leading to turn key, one-time startup based on a linear depreciation over the estimated life of the capitalized component(s) in accordance with </w:t>
      </w:r>
      <w:r w:rsidRPr="009723E7">
        <w:rPr>
          <w:color w:val="000000"/>
          <w:szCs w:val="24"/>
        </w:rPr>
        <w:t xml:space="preserve">Generally Accepted Accounting Principles </w:t>
      </w:r>
      <w:r>
        <w:rPr>
          <w:color w:val="000000"/>
          <w:szCs w:val="24"/>
        </w:rPr>
        <w:t>(GAAP) standards for electric utility equipment.  The estimated life shall be based on documentation provided by the manufacturer; if installing used equipment, the estimated life may be based on an approximation agreed to by the Resource Entity and ERCOT.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30BB4E09" w14:textId="77777777" w:rsidTr="004E6E12">
        <w:trPr>
          <w:trHeight w:val="206"/>
        </w:trPr>
        <w:tc>
          <w:tcPr>
            <w:tcW w:w="9350" w:type="dxa"/>
            <w:shd w:val="pct12" w:color="auto" w:fill="auto"/>
          </w:tcPr>
          <w:p w14:paraId="00EA8EF7" w14:textId="15FC8E83" w:rsidR="00490BFE" w:rsidRDefault="00490BFE" w:rsidP="004E6E12">
            <w:pPr>
              <w:pStyle w:val="Instructions"/>
              <w:spacing w:before="120"/>
            </w:pPr>
            <w:r>
              <w:t>[NPRR1246:  Replace paragraph (i) above with the following upon system implementation of the Real-Time Co-Optimization (RTC) project:]</w:t>
            </w:r>
          </w:p>
          <w:p w14:paraId="417B42B7" w14:textId="5AC10139" w:rsidR="00490BFE" w:rsidRPr="00490BFE" w:rsidRDefault="00490BFE" w:rsidP="00490BFE">
            <w:pPr>
              <w:spacing w:after="240"/>
              <w:ind w:left="2160" w:hanging="720"/>
            </w:pPr>
            <w:r w:rsidRPr="0000204A">
              <w:rPr>
                <w:color w:val="000000"/>
              </w:rPr>
              <w:t>(i)</w:t>
            </w:r>
            <w:r w:rsidRPr="0000204A">
              <w:rPr>
                <w:color w:val="000000"/>
              </w:rPr>
              <w:tab/>
              <w:t xml:space="preserve">If the Generation Resource </w:t>
            </w:r>
            <w:r>
              <w:rPr>
                <w:color w:val="000000"/>
              </w:rPr>
              <w:t xml:space="preserve">or ESR </w:t>
            </w:r>
            <w:r w:rsidRPr="0000204A">
              <w:rPr>
                <w:color w:val="000000"/>
              </w:rPr>
              <w:t>chooses to participate in the energy or Ancillary Service markets after the termination date of the contract executed under this paragraph (4), the Qualified Scheduling Entity (QSE) representing the Resource Entity shall repay, in a lump sum payment,  100% of the book value of the capitalized equipment and all installation charges leading to turn key, one-time startup based on a linear depreciation over the estimated life of the capitalized component(s) in accordance with Generally Accepted Accounting Principles (GAAP) standards for electric utility equipment.  The estimated life shall be based on documentation provided by the manufacturer; if installing used equipment, the estimated life may be based on an approximation agreed to by the Resource Entity and ERCOT.</w:t>
            </w:r>
          </w:p>
        </w:tc>
      </w:tr>
    </w:tbl>
    <w:p w14:paraId="2AC69D41" w14:textId="1D1D8FE1" w:rsidR="001F04FD" w:rsidRDefault="001F04FD" w:rsidP="00DD0A69">
      <w:pPr>
        <w:pStyle w:val="List"/>
        <w:spacing w:before="240"/>
        <w:ind w:left="2160"/>
        <w:rPr>
          <w:color w:val="000000"/>
          <w:szCs w:val="24"/>
        </w:rPr>
      </w:pPr>
      <w:r>
        <w:rPr>
          <w:color w:val="000000"/>
          <w:szCs w:val="24"/>
        </w:rPr>
        <w:t>(ii)</w:t>
      </w:r>
      <w:r>
        <w:rPr>
          <w:color w:val="000000"/>
          <w:szCs w:val="24"/>
        </w:rPr>
        <w:tab/>
        <w:t>If the Generation Resource chooses to participate in the energy or Ancillary Services markets as contemplated in item (</w:t>
      </w:r>
      <w:r w:rsidR="00DC3C3E">
        <w:rPr>
          <w:color w:val="000000"/>
          <w:szCs w:val="24"/>
        </w:rPr>
        <w:t>4</w:t>
      </w:r>
      <w:r>
        <w:rPr>
          <w:color w:val="000000"/>
          <w:szCs w:val="24"/>
        </w:rPr>
        <w:t>)(d)(i) above, and its participation requires a lump sum payment of capital contributions, ERCOT will issue a notice to all registered Market Participants announcing the Generation Resource’s decision to participate in the market(s) and identifying the amount of the lump sum payment due pursuant to item (</w:t>
      </w:r>
      <w:r w:rsidR="00DC3C3E">
        <w:rPr>
          <w:color w:val="000000"/>
          <w:szCs w:val="24"/>
        </w:rPr>
        <w:t>4</w:t>
      </w:r>
      <w:r>
        <w:rPr>
          <w:color w:val="000000"/>
          <w:szCs w:val="24"/>
        </w:rPr>
        <w:t xml:space="preserve">)(d)(i) above.  ERCOT will also issue a notice to all registered Market Participants after completion of </w:t>
      </w:r>
      <w:r w:rsidRPr="00FA68DA">
        <w:rPr>
          <w:color w:val="000000"/>
          <w:szCs w:val="24"/>
        </w:rPr>
        <w:t xml:space="preserve">the collection and disbursement of the capital contributions, as described in item </w:t>
      </w:r>
      <w:r>
        <w:rPr>
          <w:color w:val="000000"/>
          <w:szCs w:val="24"/>
        </w:rPr>
        <w:t>(</w:t>
      </w:r>
      <w:r w:rsidR="00847E53">
        <w:rPr>
          <w:color w:val="000000"/>
          <w:szCs w:val="24"/>
        </w:rPr>
        <w:t>4</w:t>
      </w:r>
      <w:r>
        <w:rPr>
          <w:color w:val="000000"/>
          <w:szCs w:val="24"/>
        </w:rPr>
        <w:t>)(d)</w:t>
      </w:r>
      <w:r w:rsidRPr="00FA68DA">
        <w:rPr>
          <w:color w:val="000000"/>
          <w:szCs w:val="24"/>
        </w:rPr>
        <w:t>(iii) below, and after resolution of any disputes related to</w:t>
      </w:r>
      <w:r w:rsidRPr="0089425D">
        <w:rPr>
          <w:color w:val="000000"/>
          <w:szCs w:val="24"/>
        </w:rPr>
        <w:t xml:space="preserve"> these capital contributions.</w:t>
      </w:r>
      <w:r>
        <w:rPr>
          <w:color w:val="000000"/>
          <w:szCs w:val="24"/>
        </w:rPr>
        <w:t xml:space="preserv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02528D43" w14:textId="77777777" w:rsidTr="004E6E12">
        <w:trPr>
          <w:trHeight w:val="206"/>
        </w:trPr>
        <w:tc>
          <w:tcPr>
            <w:tcW w:w="9350" w:type="dxa"/>
            <w:shd w:val="pct12" w:color="auto" w:fill="auto"/>
          </w:tcPr>
          <w:p w14:paraId="5C3FDD09" w14:textId="131BBDD8" w:rsidR="00490BFE" w:rsidRDefault="00490BFE" w:rsidP="004E6E12">
            <w:pPr>
              <w:pStyle w:val="Instructions"/>
              <w:spacing w:before="120"/>
            </w:pPr>
            <w:r>
              <w:lastRenderedPageBreak/>
              <w:t>[NPRR1246:  Replace paragraph (ii) above with the following upon system implementation of the Real-Time Co-Optimization (RTC) project:]</w:t>
            </w:r>
          </w:p>
          <w:p w14:paraId="190F7D9C" w14:textId="4A32486F" w:rsidR="00490BFE" w:rsidRPr="00490BFE" w:rsidRDefault="00490BFE" w:rsidP="004E6E12">
            <w:pPr>
              <w:spacing w:after="240"/>
              <w:ind w:left="2160" w:hanging="720"/>
            </w:pPr>
            <w:r w:rsidRPr="0000204A">
              <w:rPr>
                <w:color w:val="000000"/>
              </w:rPr>
              <w:t>(ii)</w:t>
            </w:r>
            <w:r w:rsidRPr="0000204A">
              <w:rPr>
                <w:color w:val="000000"/>
              </w:rPr>
              <w:tab/>
              <w:t xml:space="preserve">If the Generation Resource </w:t>
            </w:r>
            <w:r>
              <w:rPr>
                <w:color w:val="000000"/>
              </w:rPr>
              <w:t xml:space="preserve">or ESR </w:t>
            </w:r>
            <w:r w:rsidRPr="0000204A">
              <w:rPr>
                <w:color w:val="000000"/>
              </w:rPr>
              <w:t xml:space="preserve">chooses to participate in the energy or Ancillary Services markets as contemplated in item (4)(d)(i) above, and its participation requires a lump sum payment of capital contributions, ERCOT will issue a notice to all registered Market Participants announcing the Generation Resource’s </w:t>
            </w:r>
            <w:r>
              <w:rPr>
                <w:color w:val="000000"/>
              </w:rPr>
              <w:t xml:space="preserve">or ESR’s </w:t>
            </w:r>
            <w:r w:rsidRPr="0000204A">
              <w:rPr>
                <w:color w:val="000000"/>
              </w:rPr>
              <w:t>decision to participate in the market(s) and identifying the amount of the lump sum payment due pursuant to item (4)(d)(i) above.  ERCOT will also issue a notice to all registered Market Participants after completion of the collection and disbursement of the capital contributions, as described in item (4)(d)(iii) below, and after resolution of any disputes related to these capital contributions.</w:t>
            </w:r>
          </w:p>
        </w:tc>
      </w:tr>
    </w:tbl>
    <w:p w14:paraId="208B7D77" w14:textId="554DB392" w:rsidR="001F04FD" w:rsidRDefault="001F04FD" w:rsidP="00DD0A69">
      <w:pPr>
        <w:pStyle w:val="List"/>
        <w:spacing w:before="240"/>
        <w:ind w:left="2160"/>
      </w:pPr>
      <w:r>
        <w:rPr>
          <w:color w:val="000000"/>
          <w:szCs w:val="24"/>
        </w:rPr>
        <w:t>(iii)</w:t>
      </w:r>
      <w:r>
        <w:rPr>
          <w:color w:val="000000"/>
          <w:szCs w:val="24"/>
        </w:rPr>
        <w:tab/>
      </w:r>
      <w:r w:rsidRPr="00734707">
        <w:t xml:space="preserve">After ERCOT receives a Notification of Change of Generation Resource Designation </w:t>
      </w:r>
      <w:r w:rsidRPr="00FA68DA">
        <w:t>(Section 22, Attachment H, Notification of Change of Generation Resource Designation) changing the Resource designation to “operational” at a future date, ERCOT shall charge the QSE representing the Resource Entity</w:t>
      </w:r>
      <w:r w:rsidRPr="0089425D">
        <w:t xml:space="preserve"> for capital expenditures incurred and previously paid to the </w:t>
      </w:r>
      <w:r w:rsidRPr="00F75146">
        <w:t xml:space="preserve">Resource Entity </w:t>
      </w:r>
      <w:r w:rsidRPr="00734707">
        <w:t xml:space="preserve">as a result of the Resource’s </w:t>
      </w:r>
      <w:r w:rsidRPr="00697C00">
        <w:t xml:space="preserve">return to service pursuant to </w:t>
      </w:r>
      <w:r>
        <w:t>this Section</w:t>
      </w:r>
      <w:r w:rsidRPr="00697C00">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62501897" w14:textId="77777777" w:rsidTr="004E6E12">
        <w:trPr>
          <w:trHeight w:val="206"/>
        </w:trPr>
        <w:tc>
          <w:tcPr>
            <w:tcW w:w="9350" w:type="dxa"/>
            <w:shd w:val="pct12" w:color="auto" w:fill="auto"/>
          </w:tcPr>
          <w:p w14:paraId="4AE37744" w14:textId="6F380D3B" w:rsidR="00490BFE" w:rsidRDefault="00490BFE" w:rsidP="004E6E12">
            <w:pPr>
              <w:pStyle w:val="Instructions"/>
              <w:spacing w:before="120"/>
            </w:pPr>
            <w:r>
              <w:t>[NPRR1246:  Replace paragraph (iii) above with the following upon system implementation of the Real-Time Co-Optimization (RTC) project:]</w:t>
            </w:r>
          </w:p>
          <w:p w14:paraId="136344B9" w14:textId="5706E568" w:rsidR="00490BFE" w:rsidRPr="00490BFE" w:rsidRDefault="00490BFE" w:rsidP="00490BFE">
            <w:pPr>
              <w:spacing w:after="240"/>
              <w:ind w:left="2160" w:hanging="720"/>
            </w:pPr>
            <w:r w:rsidRPr="0000204A">
              <w:rPr>
                <w:color w:val="000000"/>
              </w:rPr>
              <w:t>(iii)</w:t>
            </w:r>
            <w:r w:rsidRPr="0000204A">
              <w:rPr>
                <w:color w:val="000000"/>
              </w:rPr>
              <w:tab/>
            </w:r>
            <w:r w:rsidRPr="0000204A">
              <w:t>After ERCOT receives a Notification of Change of Resource Designation (Section 22, Attachment H, Notification of Change of Resource Designation) changing the Resource designation to “operational” at a future date, ERCOT shall charge the QSE representing the Resource Entity for capital expenditures incurred and previously paid to the Resource Entity as a result of the Resource’s return to service pursuant to this Section.</w:t>
            </w:r>
          </w:p>
        </w:tc>
      </w:tr>
    </w:tbl>
    <w:p w14:paraId="2258F036" w14:textId="42F2574F" w:rsidR="001F04FD" w:rsidRDefault="001F04FD" w:rsidP="00DD0A69">
      <w:pPr>
        <w:pStyle w:val="List"/>
        <w:spacing w:before="240"/>
        <w:ind w:left="2880"/>
      </w:pPr>
      <w:r>
        <w:t>(A)</w:t>
      </w:r>
      <w:r>
        <w:tab/>
        <w:t xml:space="preserve">For months in the contract term where notice is received more than five Business Days prior to True-Up Settlement of the first Operating Day of that month, ERCOT shall claw back any payments made for the capital expenditure associated with that month and </w:t>
      </w:r>
      <w:r w:rsidRPr="00AE51B9">
        <w:t>subsequent</w:t>
      </w:r>
      <w:r>
        <w:t xml:space="preserve"> months of the term, on the next practical Settlement but no later than the True-Up Settlement.</w:t>
      </w:r>
    </w:p>
    <w:p w14:paraId="49040103" w14:textId="77777777" w:rsidR="001F04FD" w:rsidRDefault="001F04FD" w:rsidP="001F04FD">
      <w:pPr>
        <w:pStyle w:val="List"/>
        <w:ind w:left="2880"/>
      </w:pPr>
      <w:r>
        <w:rPr>
          <w:color w:val="000000"/>
          <w:szCs w:val="24"/>
        </w:rPr>
        <w:t>(B)</w:t>
      </w:r>
      <w:r>
        <w:rPr>
          <w:color w:val="000000"/>
          <w:szCs w:val="24"/>
        </w:rPr>
        <w:tab/>
      </w:r>
      <w:r>
        <w:t xml:space="preserve">For months in the contract term where notice is received five Business Days or less prior to True-Up Settlement of the first </w:t>
      </w:r>
      <w:r>
        <w:lastRenderedPageBreak/>
        <w:t>Operating Day of that month, ERCOT shall claw back any payments made for the capital expenditures</w:t>
      </w:r>
      <w:r w:rsidDel="000434B6">
        <w:t xml:space="preserve"> </w:t>
      </w:r>
      <w:r>
        <w:t>within 45 days of receipt of the notice.</w:t>
      </w:r>
    </w:p>
    <w:p w14:paraId="39A7AF2D" w14:textId="77777777" w:rsidR="001F04FD" w:rsidRPr="005E3DF9" w:rsidRDefault="001F04FD" w:rsidP="001F04FD">
      <w:pPr>
        <w:pStyle w:val="List"/>
        <w:ind w:left="2880"/>
        <w:rPr>
          <w:color w:val="000000"/>
          <w:szCs w:val="24"/>
        </w:rPr>
      </w:pPr>
      <w:r>
        <w:t>(C)</w:t>
      </w:r>
      <w:r>
        <w:tab/>
      </w:r>
      <w:r w:rsidRPr="00697C00">
        <w:t xml:space="preserve">ERCOT shall distribute the </w:t>
      </w:r>
      <w:r>
        <w:t xml:space="preserve">repayment </w:t>
      </w:r>
      <w:r w:rsidRPr="00697C00">
        <w:t xml:space="preserve">to QSEs </w:t>
      </w:r>
      <w:r>
        <w:t xml:space="preserve">representing Load </w:t>
      </w:r>
      <w:r w:rsidRPr="00697C00">
        <w:t xml:space="preserve">on the same </w:t>
      </w:r>
      <w:r>
        <w:t>basis used to collect the monthly capital expenditures, using a monthly Load Ratio Share (LRS)</w:t>
      </w:r>
      <w:r w:rsidRPr="00697C00">
        <w:t xml:space="preserve">.  A QSE’s monthly LRS shall be the QSE’s total </w:t>
      </w:r>
      <w:r>
        <w:t>Real-Time Adjusted Metered Load</w:t>
      </w:r>
      <w:r w:rsidRPr="00697C00">
        <w:t xml:space="preserve"> </w:t>
      </w:r>
      <w:r>
        <w:t xml:space="preserve">(AML) </w:t>
      </w:r>
      <w:r w:rsidRPr="00697C00">
        <w:t xml:space="preserve">for the </w:t>
      </w:r>
      <w:r>
        <w:t>month</w:t>
      </w:r>
      <w:r w:rsidRPr="00697C00">
        <w:t xml:space="preserve"> divided by the total ERCOT </w:t>
      </w:r>
      <w:r>
        <w:t>Real-</w:t>
      </w:r>
      <w:r w:rsidRPr="007707CB">
        <w:t xml:space="preserve">Time AML </w:t>
      </w:r>
      <w:r w:rsidRPr="005E3DF9">
        <w:t>for the same month</w:t>
      </w:r>
      <w:r w:rsidRPr="007707CB">
        <w:t>.</w:t>
      </w:r>
    </w:p>
    <w:p w14:paraId="70F81814" w14:textId="77777777" w:rsidR="001F04FD" w:rsidRDefault="001F04FD" w:rsidP="001F04FD">
      <w:pPr>
        <w:pStyle w:val="List"/>
        <w:rPr>
          <w:color w:val="000000"/>
          <w:szCs w:val="24"/>
        </w:rPr>
      </w:pPr>
      <w:r>
        <w:rPr>
          <w:szCs w:val="24"/>
        </w:rPr>
        <w:t>(e</w:t>
      </w:r>
      <w:r w:rsidRPr="00A776CE">
        <w:rPr>
          <w:szCs w:val="24"/>
        </w:rPr>
        <w:t>)</w:t>
      </w:r>
      <w:r w:rsidRPr="00A776CE">
        <w:rPr>
          <w:szCs w:val="24"/>
        </w:rPr>
        <w:tab/>
      </w:r>
      <w:r>
        <w:rPr>
          <w:szCs w:val="24"/>
        </w:rPr>
        <w:t xml:space="preserve">ERCOT shall endeavor to minimize the deployment of capacity procured pursuant to this paragraph with the goal of reducing the potential distortion of markets.  Resources and Loads deployed to alleviate imminent Emergency Conditions </w:t>
      </w:r>
      <w:r w:rsidRPr="00A776CE">
        <w:rPr>
          <w:color w:val="000000"/>
          <w:szCs w:val="24"/>
        </w:rPr>
        <w:t>will not be offered into the Day</w:t>
      </w:r>
      <w:r>
        <w:rPr>
          <w:color w:val="000000"/>
          <w:szCs w:val="24"/>
        </w:rPr>
        <w:t>-</w:t>
      </w:r>
      <w:r w:rsidRPr="00A776CE">
        <w:rPr>
          <w:color w:val="000000"/>
          <w:szCs w:val="24"/>
        </w:rPr>
        <w:t>Ahead Market</w:t>
      </w:r>
      <w:r>
        <w:rPr>
          <w:color w:val="000000"/>
          <w:szCs w:val="24"/>
        </w:rPr>
        <w:t xml:space="preserve"> (DAM)</w:t>
      </w:r>
      <w:r w:rsidRPr="00A776CE">
        <w:rPr>
          <w:color w:val="000000"/>
          <w:szCs w:val="24"/>
        </w:rPr>
        <w:t xml:space="preserve">. </w:t>
      </w:r>
      <w:r>
        <w:rPr>
          <w:color w:val="000000"/>
          <w:szCs w:val="24"/>
        </w:rPr>
        <w:t xml:space="preserve"> </w:t>
      </w:r>
      <w:r w:rsidRPr="00A776CE">
        <w:rPr>
          <w:color w:val="000000"/>
          <w:szCs w:val="24"/>
        </w:rPr>
        <w:t>Rather, ERCOT wil</w:t>
      </w:r>
      <w:r>
        <w:rPr>
          <w:color w:val="000000"/>
          <w:szCs w:val="24"/>
        </w:rPr>
        <w:t>l determine whether to use the</w:t>
      </w:r>
      <w:r w:rsidRPr="00A776CE">
        <w:rPr>
          <w:color w:val="000000"/>
          <w:szCs w:val="24"/>
        </w:rPr>
        <w:t xml:space="preserve"> </w:t>
      </w:r>
      <w:r>
        <w:rPr>
          <w:color w:val="000000"/>
          <w:szCs w:val="24"/>
        </w:rPr>
        <w:t>capacity</w:t>
      </w:r>
      <w:r w:rsidRPr="00A776CE">
        <w:rPr>
          <w:color w:val="000000"/>
          <w:szCs w:val="24"/>
        </w:rPr>
        <w:t xml:space="preserve"> as part of the Hourly Reliability Unit Commitment (HRUC) process based on system conditions and the ability to meet </w:t>
      </w:r>
      <w:r>
        <w:rPr>
          <w:color w:val="000000"/>
          <w:szCs w:val="24"/>
        </w:rPr>
        <w:t>D</w:t>
      </w:r>
      <w:r w:rsidRPr="00A776CE">
        <w:rPr>
          <w:color w:val="000000"/>
          <w:szCs w:val="24"/>
        </w:rPr>
        <w:t xml:space="preserve">emand. </w:t>
      </w:r>
      <w:r>
        <w:rPr>
          <w:color w:val="000000"/>
          <w:szCs w:val="24"/>
        </w:rPr>
        <w:t xml:space="preserve"> </w:t>
      </w:r>
      <w:r w:rsidRPr="00A776CE">
        <w:rPr>
          <w:color w:val="000000"/>
          <w:szCs w:val="24"/>
        </w:rPr>
        <w:t xml:space="preserve">In the event </w:t>
      </w:r>
      <w:r>
        <w:rPr>
          <w:color w:val="000000"/>
          <w:szCs w:val="24"/>
        </w:rPr>
        <w:t xml:space="preserve">Generation </w:t>
      </w:r>
      <w:r w:rsidRPr="00A776CE">
        <w:rPr>
          <w:color w:val="000000"/>
          <w:szCs w:val="24"/>
        </w:rPr>
        <w:t>Resources are c</w:t>
      </w:r>
      <w:r>
        <w:rPr>
          <w:color w:val="000000"/>
          <w:szCs w:val="24"/>
        </w:rPr>
        <w:t>ommitted and On-Line, ERCOT systems</w:t>
      </w:r>
      <w:r w:rsidRPr="00A776CE">
        <w:rPr>
          <w:color w:val="000000"/>
          <w:szCs w:val="24"/>
        </w:rPr>
        <w:t xml:space="preserve"> will generate a proxy offer for the </w:t>
      </w:r>
      <w:r>
        <w:rPr>
          <w:color w:val="000000"/>
          <w:szCs w:val="24"/>
        </w:rPr>
        <w:t>Generation Resource</w:t>
      </w:r>
      <w:r w:rsidRPr="00A776CE">
        <w:rPr>
          <w:color w:val="000000"/>
          <w:szCs w:val="24"/>
        </w:rPr>
        <w:t xml:space="preserve"> at the</w:t>
      </w:r>
      <w:r>
        <w:rPr>
          <w:color w:val="000000"/>
          <w:szCs w:val="24"/>
        </w:rPr>
        <w:t xml:space="preserve"> System-Wide Offer Cap (SWCAP)</w:t>
      </w:r>
      <w:r w:rsidRPr="00A776CE">
        <w:rPr>
          <w:color w:val="000000"/>
          <w:szCs w:val="24"/>
        </w:rPr>
        <w:t xml:space="preserve">. </w:t>
      </w:r>
      <w:r>
        <w:rPr>
          <w:color w:val="000000"/>
          <w:szCs w:val="24"/>
        </w:rPr>
        <w:t xml:space="preserve"> </w:t>
      </w:r>
      <w:r w:rsidRPr="00A776CE">
        <w:rPr>
          <w:color w:val="000000"/>
          <w:szCs w:val="24"/>
        </w:rPr>
        <w:t xml:space="preserve">The default offer will place the </w:t>
      </w:r>
      <w:r>
        <w:rPr>
          <w:color w:val="000000"/>
          <w:szCs w:val="24"/>
        </w:rPr>
        <w:t>Generation Resources</w:t>
      </w:r>
      <w:r w:rsidRPr="00A776CE">
        <w:rPr>
          <w:color w:val="000000"/>
          <w:szCs w:val="24"/>
        </w:rPr>
        <w:t xml:space="preserve"> among the last for economic </w:t>
      </w:r>
      <w:r>
        <w:rPr>
          <w:color w:val="000000"/>
          <w:szCs w:val="24"/>
        </w:rPr>
        <w:t>D</w:t>
      </w:r>
      <w:r w:rsidRPr="00A776CE">
        <w:rPr>
          <w:color w:val="000000"/>
          <w:szCs w:val="24"/>
        </w:rPr>
        <w:t xml:space="preserve">ispatch, so as not to displace </w:t>
      </w:r>
      <w:r>
        <w:rPr>
          <w:color w:val="000000"/>
          <w:szCs w:val="24"/>
        </w:rPr>
        <w:t>Generation Resources</w:t>
      </w:r>
      <w:r w:rsidRPr="00A776CE">
        <w:rPr>
          <w:color w:val="000000"/>
          <w:szCs w:val="24"/>
        </w:rPr>
        <w:t xml:space="preserve"> that are On-Line and offering into the market.</w:t>
      </w:r>
      <w:r>
        <w:rPr>
          <w:color w:val="000000"/>
          <w:szCs w:val="24"/>
        </w:rPr>
        <w:t xml:space="preserve">  To the extent practicable, the capacity deployed to alleviate imminent Emergency Conditions will not be used solely for the purpose of reducing local congestion.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7AD14A7D" w14:textId="77777777" w:rsidTr="0058150D">
        <w:trPr>
          <w:trHeight w:val="206"/>
        </w:trPr>
        <w:tc>
          <w:tcPr>
            <w:tcW w:w="9350" w:type="dxa"/>
            <w:shd w:val="pct12" w:color="auto" w:fill="auto"/>
          </w:tcPr>
          <w:p w14:paraId="58F9605B" w14:textId="4C034943" w:rsidR="004940BD" w:rsidRDefault="004940BD" w:rsidP="0058150D">
            <w:pPr>
              <w:pStyle w:val="Instructions"/>
              <w:spacing w:before="120"/>
            </w:pPr>
            <w:r>
              <w:t>[NPRR1010:  Replace paragraph (e) above with the following upon system implementation of the Real-Time Co-Optimization (RTC) project:]</w:t>
            </w:r>
          </w:p>
          <w:p w14:paraId="71F2631D" w14:textId="2D2B44CA" w:rsidR="004940BD" w:rsidRPr="004940BD" w:rsidRDefault="004940BD" w:rsidP="004940BD">
            <w:pPr>
              <w:spacing w:after="240"/>
              <w:ind w:left="1440" w:hanging="720"/>
              <w:rPr>
                <w:color w:val="000000"/>
              </w:rPr>
            </w:pPr>
            <w:r w:rsidRPr="003161DC">
              <w:t>(e)</w:t>
            </w:r>
            <w:r w:rsidRPr="003161DC">
              <w:tab/>
              <w:t xml:space="preserve">ERCOT shall endeavor to minimize the deployment of capacity procured pursuant to this paragraph with the goal of reducing the potential distortion of markets.  Resources and Loads deployed to alleviate imminent Emergency Conditions </w:t>
            </w:r>
            <w:r w:rsidRPr="003161DC">
              <w:rPr>
                <w:color w:val="000000"/>
              </w:rPr>
              <w:t xml:space="preserve">will not be offered into the Day-Ahead Market (DAM).  Rather, ERCOT will determine whether to use the capacity as part of the Hourly Reliability Unit Commitment (HRUC) process based on system conditions and the ability to meet Demand.  In the event Generation Resources are committed and On-Line, ERCOT systems will generate a proxy offer for the Generation Resource at the </w:t>
            </w:r>
            <w:r>
              <w:rPr>
                <w:color w:val="000000"/>
              </w:rPr>
              <w:t xml:space="preserve">Real-Time </w:t>
            </w:r>
            <w:r w:rsidRPr="003161DC">
              <w:rPr>
                <w:color w:val="000000"/>
              </w:rPr>
              <w:t>System-Wide Offer Cap (</w:t>
            </w:r>
            <w:r>
              <w:rPr>
                <w:color w:val="000000"/>
              </w:rPr>
              <w:t>RT</w:t>
            </w:r>
            <w:r w:rsidRPr="003161DC">
              <w:rPr>
                <w:color w:val="000000"/>
              </w:rPr>
              <w:t>SWCAP).  The default offer will place the Generation Resources among the last for economic Dispatch, so as not to displace Generation Resources that are On-Line and offering into the market.  To the extent practicable, the capacity deployed to alleviate imminent Emergency Conditions will not be used solely for the purpos</w:t>
            </w:r>
            <w:r>
              <w:rPr>
                <w:color w:val="000000"/>
              </w:rPr>
              <w:t>e of reducing local congestion.</w:t>
            </w:r>
          </w:p>
        </w:tc>
      </w:tr>
    </w:tbl>
    <w:p w14:paraId="78C0A316" w14:textId="53CF9CDE" w:rsidR="001F04FD" w:rsidRDefault="001F04FD" w:rsidP="000B1D41">
      <w:pPr>
        <w:pStyle w:val="List"/>
        <w:spacing w:before="240"/>
      </w:pPr>
      <w:r>
        <w:rPr>
          <w:color w:val="000000"/>
          <w:szCs w:val="24"/>
        </w:rPr>
        <w:t>(f)</w:t>
      </w:r>
      <w:r>
        <w:rPr>
          <w:color w:val="000000"/>
          <w:szCs w:val="24"/>
        </w:rPr>
        <w:tab/>
        <w:t>An Entity cannot be compelled to enter into a contract under this paragraph.</w:t>
      </w:r>
    </w:p>
    <w:p w14:paraId="113D6B85" w14:textId="77777777" w:rsidR="001F04FD" w:rsidRDefault="001F04FD" w:rsidP="001F04FD">
      <w:pPr>
        <w:pStyle w:val="H4"/>
        <w:spacing w:before="480"/>
        <w:ind w:left="1267" w:hanging="1267"/>
      </w:pPr>
      <w:bookmarkStart w:id="705" w:name="_Toc73216004"/>
      <w:bookmarkStart w:id="706" w:name="_Toc397504946"/>
      <w:bookmarkStart w:id="707" w:name="_Toc402357074"/>
      <w:bookmarkStart w:id="708" w:name="_Toc422486454"/>
      <w:bookmarkStart w:id="709" w:name="_Toc433093306"/>
      <w:bookmarkStart w:id="710" w:name="_Toc433093464"/>
      <w:bookmarkStart w:id="711" w:name="_Toc440874693"/>
      <w:bookmarkStart w:id="712" w:name="_Toc448142248"/>
      <w:bookmarkStart w:id="713" w:name="_Toc448142405"/>
      <w:bookmarkStart w:id="714" w:name="_Toc458770241"/>
      <w:bookmarkStart w:id="715" w:name="_Toc459294209"/>
      <w:bookmarkStart w:id="716" w:name="_Toc463262702"/>
      <w:bookmarkStart w:id="717" w:name="_Toc468286776"/>
      <w:bookmarkStart w:id="718" w:name="_Toc481502822"/>
      <w:bookmarkStart w:id="719" w:name="_Toc496079990"/>
      <w:bookmarkStart w:id="720" w:name="_Toc204411582"/>
      <w:r>
        <w:lastRenderedPageBreak/>
        <w:t>6.5.1.2</w:t>
      </w:r>
      <w:r>
        <w:tab/>
        <w:t>Centralized Dispatch</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14:paraId="7C528FC6" w14:textId="28A7A2A5" w:rsidR="001F04FD" w:rsidRDefault="001F04FD" w:rsidP="001F04FD">
      <w:pPr>
        <w:pStyle w:val="BodyTextNumbered"/>
      </w:pPr>
      <w:r>
        <w:t>(1)</w:t>
      </w:r>
      <w:r>
        <w:tab/>
        <w:t xml:space="preserve">ERCOT shall centrally Dispatch Resources and Transmission Facilities under these Protocols, including deploying energy by establishing Base Points, and Emergency Base Points, and by deploying Regulation Service, </w:t>
      </w:r>
      <w:r w:rsidR="00A93ECE">
        <w:t>ERCOT Contingency Reserve Service (ECRS)</w:t>
      </w:r>
      <w:r>
        <w:t>, and Non-Spinning Reserve (Non-Spin)</w:t>
      </w:r>
      <w:r w:rsidR="00DC6D12">
        <w:t xml:space="preserve"> </w:t>
      </w:r>
      <w:r>
        <w:t>to ensure operational security.</w:t>
      </w:r>
      <w:r w:rsidR="00A93ECE" w:rsidRPr="00A93ECE">
        <w:t xml:space="preserve"> </w:t>
      </w:r>
      <w:r w:rsidR="00A93ECE">
        <w:t xml:space="preserve"> Responsive Reserve</w:t>
      </w:r>
      <w:r w:rsidR="00A93ECE" w:rsidRPr="0003648D">
        <w:t xml:space="preserve"> (</w:t>
      </w:r>
      <w:r w:rsidR="00A93ECE">
        <w:t>RRS</w:t>
      </w:r>
      <w:r w:rsidR="00A93ECE" w:rsidRPr="0003648D">
        <w:t>) shall be self-deployed in response to frequency deviations</w:t>
      </w:r>
      <w:r w:rsidR="00A93ECE">
        <w:t xml:space="preserve"> or as specified in Nodal Operating Guide Section 4.8,</w:t>
      </w:r>
      <w:r w:rsidR="00A93ECE" w:rsidRPr="004072AA">
        <w:t xml:space="preserve"> Responsive Reserve Service During Scarcity Conditions</w:t>
      </w:r>
      <w:r w:rsidR="00A93ECE" w:rsidRPr="0003648D">
        <w:t>.</w:t>
      </w:r>
    </w:p>
    <w:p w14:paraId="7F77D775" w14:textId="77777777" w:rsidR="003235C1" w:rsidRDefault="001F04FD" w:rsidP="00F969DB">
      <w:pPr>
        <w:pStyle w:val="BodyTextNumbered"/>
      </w:pPr>
      <w:r>
        <w:t>(2)</w:t>
      </w:r>
      <w:r>
        <w:tab/>
        <w:t>ERCOT shall verify that either an Energy 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through the Market Information System (MIS) Certified Area.</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235C1" w14:paraId="3BBEEDBE" w14:textId="77777777" w:rsidTr="003235C1">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33919000" w14:textId="4E0E7E37" w:rsidR="003235C1" w:rsidRDefault="003235C1" w:rsidP="009E7633">
            <w:pPr>
              <w:pStyle w:val="Instructions"/>
              <w:spacing w:before="120"/>
            </w:pPr>
            <w:r>
              <w:t>[NPRR1014:  Replace paragraph (2) above with the following upon system implementation:]</w:t>
            </w:r>
          </w:p>
          <w:p w14:paraId="724E2A70" w14:textId="69E77345" w:rsidR="003235C1" w:rsidRPr="00B37C4B" w:rsidRDefault="003235C1" w:rsidP="003235C1">
            <w:pPr>
              <w:spacing w:before="240" w:after="240"/>
              <w:ind w:left="720" w:hanging="720"/>
            </w:pPr>
            <w:r w:rsidRPr="00A552C3">
              <w:t>(2)</w:t>
            </w:r>
            <w:r w:rsidRPr="00A552C3">
              <w:tab/>
              <w:t>ERCOT shall verify that either an Energy Offer Curve or Energy Bid/Offer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or Energy Bid/Offer Curve through the Market Information System (MIS) Certified Area.</w:t>
            </w:r>
          </w:p>
        </w:tc>
      </w:tr>
    </w:tbl>
    <w:p w14:paraId="26B370F6" w14:textId="77777777" w:rsidR="003235C1" w:rsidRDefault="003235C1"/>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8150D" w14:paraId="6FBB31C4" w14:textId="77777777" w:rsidTr="0058150D">
        <w:trPr>
          <w:trHeight w:val="206"/>
        </w:trPr>
        <w:tc>
          <w:tcPr>
            <w:tcW w:w="9350" w:type="dxa"/>
            <w:shd w:val="pct12" w:color="auto" w:fill="auto"/>
          </w:tcPr>
          <w:p w14:paraId="699E4F52" w14:textId="123489FE" w:rsidR="0058150D" w:rsidRDefault="0058150D" w:rsidP="0058150D">
            <w:pPr>
              <w:pStyle w:val="Instructions"/>
              <w:spacing w:before="120"/>
            </w:pPr>
            <w:r>
              <w:t>[NPRR1010</w:t>
            </w:r>
            <w:r w:rsidR="003235C1">
              <w:t xml:space="preserve"> and NPRR1014</w:t>
            </w:r>
            <w:r>
              <w:t xml:space="preserve">:  Insert </w:t>
            </w:r>
            <w:r w:rsidR="003235C1">
              <w:t xml:space="preserve">applicable portions of </w:t>
            </w:r>
            <w:r>
              <w:t>paragraph (3) below upon system implementation of the Real-Time Co-Optimization (RTC) project</w:t>
            </w:r>
            <w:r w:rsidR="003235C1">
              <w:t xml:space="preserve"> for NPRR1010; or upon system implementation for NPRR1014</w:t>
            </w:r>
            <w:r w:rsidR="00CE56E5">
              <w:t>; and renumber accordingly</w:t>
            </w:r>
            <w:r>
              <w:t>:]</w:t>
            </w:r>
          </w:p>
          <w:p w14:paraId="7955E83C" w14:textId="6CE71A2F" w:rsidR="0058150D" w:rsidRPr="0058150D" w:rsidRDefault="0058150D" w:rsidP="0058150D">
            <w:pPr>
              <w:spacing w:before="240" w:after="240"/>
              <w:ind w:left="720" w:hanging="720"/>
            </w:pPr>
            <w:r>
              <w:t>(3)</w:t>
            </w:r>
            <w:r>
              <w:tab/>
              <w:t>If a Resource is scheduled to be On-Line and available to provide an Ancillary Service, but does not have any Ancillary Service Offers for which the Resource is qualified to provide, then at the end of the Adjustment Period, ERCOT shall notify the Resource’s QSE through the MIS Certified Area.</w:t>
            </w:r>
          </w:p>
        </w:tc>
      </w:tr>
    </w:tbl>
    <w:p w14:paraId="37C92AB5" w14:textId="1981E5E0" w:rsidR="001F04FD" w:rsidRDefault="001F04FD" w:rsidP="000B1D41">
      <w:pPr>
        <w:pStyle w:val="BodyTextNumbered"/>
        <w:spacing w:before="240"/>
      </w:pPr>
      <w:r>
        <w:t>(3)</w:t>
      </w:r>
      <w:r>
        <w:tab/>
        <w:t>ERCOT may only issue Dispatch Instructions for the Real-Time operation of Transmission Facilities to a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37C4B" w14:paraId="1835642C" w14:textId="77777777" w:rsidTr="0052684A">
        <w:trPr>
          <w:trHeight w:val="566"/>
        </w:trPr>
        <w:tc>
          <w:tcPr>
            <w:tcW w:w="9576" w:type="dxa"/>
            <w:shd w:val="pct12" w:color="auto" w:fill="auto"/>
          </w:tcPr>
          <w:p w14:paraId="3B783992" w14:textId="63C70E04" w:rsidR="00B37C4B" w:rsidRDefault="00B37C4B" w:rsidP="004510FA">
            <w:pPr>
              <w:pStyle w:val="Instructions"/>
              <w:spacing w:before="120"/>
            </w:pPr>
            <w:r>
              <w:t>[NPRR857:  Replace paragraph (3) above with the following upon system implementation</w:t>
            </w:r>
            <w:r w:rsidR="004A5B0B">
              <w:t xml:space="preserve"> </w:t>
            </w:r>
            <w:r w:rsidR="004A5B0B" w:rsidRPr="006628B7">
              <w:rPr>
                <w:bCs/>
                <w:iCs w:val="0"/>
              </w:rPr>
              <w:t xml:space="preserve">and </w:t>
            </w:r>
            <w:r w:rsidR="004A5B0B" w:rsidRPr="00ED2B32">
              <w:t xml:space="preserve">satisfying the following conditions: (1) Southern Cross provides ERCOT with funds to </w:t>
            </w:r>
            <w:r w:rsidR="004A5B0B" w:rsidRPr="00ED2B32">
              <w:lastRenderedPageBreak/>
              <w:t>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0E456B63" w14:textId="77777777" w:rsidR="00B37C4B" w:rsidRPr="00B37C4B" w:rsidRDefault="00B37C4B" w:rsidP="00B17C2D">
            <w:pPr>
              <w:spacing w:after="240"/>
              <w:ind w:left="720" w:hanging="720"/>
            </w:pPr>
            <w:r w:rsidRPr="00E55E72">
              <w:t>(3)</w:t>
            </w:r>
            <w:r w:rsidRPr="00E55E72">
              <w:tab/>
              <w:t>In Real-Time operations, ERCOT may only issue Dispatch Instructions for</w:t>
            </w:r>
            <w:r w:rsidR="00B17C2D" w:rsidRPr="00E55E72">
              <w:t xml:space="preserve"> </w:t>
            </w:r>
            <w:r w:rsidR="00B17C2D">
              <w:t>Direct Current Ties (</w:t>
            </w:r>
            <w:r w:rsidR="00B17C2D" w:rsidRPr="00E55E72">
              <w:t>DC Ties</w:t>
            </w:r>
            <w:r w:rsidR="00B17C2D">
              <w:t>)</w:t>
            </w:r>
            <w:r w:rsidRPr="00E55E72">
              <w:t xml:space="preserve"> to the appropriate Direct Current Tie Operator (DCTO), for Transmission Facilities to a Transmission Service Provider (TSP), for distribution facilities to a Distribution Service Provider (DSP), or for a Resource</w:t>
            </w:r>
            <w:r>
              <w:t xml:space="preserve"> to the QSE that represents it.</w:t>
            </w:r>
          </w:p>
        </w:tc>
      </w:tr>
    </w:tbl>
    <w:p w14:paraId="5350B018" w14:textId="77777777" w:rsidR="001F04FD" w:rsidRDefault="001F04FD" w:rsidP="0099247E">
      <w:pPr>
        <w:pStyle w:val="BodyTextNumbered"/>
        <w:spacing w:before="240"/>
      </w:pPr>
      <w:r>
        <w:lastRenderedPageBreak/>
        <w:t>(4)</w:t>
      </w:r>
      <w:r>
        <w:tab/>
        <w:t>ERCOT shall post shift schedules on the MIS Secure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779AB" w14:paraId="66DB325F" w14:textId="77777777" w:rsidTr="00AE5CE8">
        <w:trPr>
          <w:trHeight w:val="206"/>
        </w:trPr>
        <w:tc>
          <w:tcPr>
            <w:tcW w:w="9576" w:type="dxa"/>
            <w:shd w:val="pct12" w:color="auto" w:fill="auto"/>
          </w:tcPr>
          <w:p w14:paraId="3A97A67F" w14:textId="4D5F1C76" w:rsidR="00D779AB" w:rsidRPr="00A4149C" w:rsidRDefault="00D779AB" w:rsidP="00D779AB">
            <w:pPr>
              <w:pStyle w:val="Instructions"/>
              <w:spacing w:before="120"/>
            </w:pPr>
            <w:bookmarkStart w:id="721" w:name="_Toc73216005"/>
            <w:bookmarkStart w:id="722" w:name="_Toc397504947"/>
            <w:bookmarkStart w:id="723" w:name="_Toc402357075"/>
            <w:bookmarkStart w:id="724" w:name="_Toc422486455"/>
            <w:bookmarkStart w:id="725" w:name="_Toc433093307"/>
            <w:bookmarkStart w:id="726" w:name="_Toc433093465"/>
            <w:bookmarkStart w:id="727" w:name="_Toc440874694"/>
            <w:bookmarkStart w:id="728" w:name="_Toc448142249"/>
            <w:bookmarkStart w:id="729" w:name="_Toc448142406"/>
            <w:bookmarkStart w:id="730" w:name="_Toc458770242"/>
            <w:bookmarkStart w:id="731" w:name="_Toc459294210"/>
            <w:bookmarkStart w:id="732" w:name="_Toc463262703"/>
            <w:bookmarkStart w:id="733" w:name="_Toc468286777"/>
            <w:bookmarkStart w:id="734" w:name="_Toc481502823"/>
            <w:bookmarkStart w:id="735" w:name="_Toc496079991"/>
            <w:r>
              <w:t>[NPRR1240:  Delete paragraph (4) above upon system implementation.]</w:t>
            </w:r>
          </w:p>
        </w:tc>
      </w:tr>
    </w:tbl>
    <w:p w14:paraId="598066D4" w14:textId="77777777" w:rsidR="001F04FD" w:rsidRDefault="001F04FD" w:rsidP="001F04FD">
      <w:pPr>
        <w:pStyle w:val="H3"/>
        <w:spacing w:before="480"/>
      </w:pPr>
      <w:bookmarkStart w:id="736" w:name="_Toc204411583"/>
      <w:r>
        <w:t>6.5.2</w:t>
      </w:r>
      <w:r>
        <w:tab/>
        <w:t>Operating Standards</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14:paraId="2DF5B240" w14:textId="77777777" w:rsidR="001F04FD" w:rsidRDefault="001F04FD" w:rsidP="001F04FD">
      <w:pPr>
        <w:pStyle w:val="BodyTextNumbered"/>
      </w:pPr>
      <w:r>
        <w:t>(1)</w:t>
      </w:r>
      <w:r>
        <w:tab/>
        <w:t>ERCOT and each TSP shall operate the ERCOT Transmission Grid pursuant to NERC Reliability Standards, these Protocols, and Good Utility Practice.  The requirements of the NERC Reliability Standards shall prevail to the extent there are any inconsistencies with these Protocols or Good Utility Practice.  These Protocols control to the extent of any inconsistency between the Protocols and any of the following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01DDE" w14:paraId="54FC427A" w14:textId="77777777" w:rsidTr="004510FA">
        <w:trPr>
          <w:trHeight w:val="1547"/>
        </w:trPr>
        <w:tc>
          <w:tcPr>
            <w:tcW w:w="9576" w:type="dxa"/>
            <w:shd w:val="pct12" w:color="auto" w:fill="auto"/>
          </w:tcPr>
          <w:p w14:paraId="45C415EB" w14:textId="2745D3A8" w:rsidR="00901DDE" w:rsidRDefault="00901DDE" w:rsidP="004510FA">
            <w:pPr>
              <w:pStyle w:val="Instructions"/>
              <w:spacing w:before="120"/>
            </w:pPr>
            <w:r>
              <w:t>[NPRR857:  Replace paragraph (1)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0E89BBF4" w14:textId="77777777" w:rsidR="00901DDE" w:rsidRPr="00B37C4B" w:rsidRDefault="00901DDE" w:rsidP="00901DDE">
            <w:pPr>
              <w:spacing w:after="240"/>
              <w:ind w:left="720" w:hanging="720"/>
            </w:pPr>
            <w:r w:rsidRPr="00E55E72">
              <w:t>(1)</w:t>
            </w:r>
            <w:r w:rsidRPr="00E55E72">
              <w:tab/>
              <w:t xml:space="preserve">ERCOT and each TSP and DCTO shall operate the ERCOT Transmission Grid pursuant to NERC Reliability Standards, these Protocols, and Good Utility Practice.  The requirements of the NERC Reliability Standards shall prevail to the extent there are any inconsistencies with these Protocols or Good Utility Practice.  These Protocols control to the extent of any inconsistency between the Protocols and </w:t>
            </w:r>
            <w:r>
              <w:t>any of the following documents:</w:t>
            </w:r>
          </w:p>
        </w:tc>
      </w:tr>
    </w:tbl>
    <w:p w14:paraId="6C8F1D0E" w14:textId="77777777" w:rsidR="001F04FD" w:rsidRDefault="001F04FD" w:rsidP="0099247E">
      <w:pPr>
        <w:pStyle w:val="List"/>
        <w:spacing w:before="240"/>
      </w:pPr>
      <w:r>
        <w:t>(a)</w:t>
      </w:r>
      <w:r>
        <w:tab/>
        <w:t>The Operating Guides;</w:t>
      </w:r>
    </w:p>
    <w:p w14:paraId="495AA104" w14:textId="77777777" w:rsidR="001F04FD" w:rsidRDefault="001F04FD" w:rsidP="001F04FD">
      <w:pPr>
        <w:pStyle w:val="List"/>
      </w:pPr>
      <w:r>
        <w:lastRenderedPageBreak/>
        <w:t>(b)</w:t>
      </w:r>
      <w:r>
        <w:tab/>
        <w:t>ERCOT procedures manual for ERCOT Operators to use during normal and emergency operations of the ERCOT Transmission Grid;</w:t>
      </w:r>
    </w:p>
    <w:p w14:paraId="34DFE4E7" w14:textId="77777777" w:rsidR="001F04FD" w:rsidRDefault="001F04FD" w:rsidP="001F04FD">
      <w:pPr>
        <w:pStyle w:val="List"/>
      </w:pPr>
      <w:r>
        <w:t>(c)</w:t>
      </w:r>
      <w:r>
        <w:tab/>
        <w:t>Specific operating procedures and RAPs submitted to ERCOT by individual Transmission Facilities owners or operators to address operating problems on their respective grids that could affect operation of the ERCOT Transmission Grid; and</w:t>
      </w:r>
    </w:p>
    <w:p w14:paraId="0C5D5294" w14:textId="77777777" w:rsidR="001F04FD" w:rsidRDefault="001F04FD" w:rsidP="001F04FD">
      <w:pPr>
        <w:pStyle w:val="List"/>
      </w:pPr>
      <w:r>
        <w:t>(d)</w:t>
      </w:r>
      <w:r>
        <w:tab/>
        <w:t>Guidelines established by the ERCOT Board, which may be more stringent than those established by NERC for the secure operation of the ERCOT Transmission Grid.</w:t>
      </w:r>
    </w:p>
    <w:p w14:paraId="7335B760" w14:textId="77777777" w:rsidR="001F04FD" w:rsidRDefault="001F04FD" w:rsidP="001F04FD">
      <w:pPr>
        <w:pStyle w:val="H3"/>
        <w:spacing w:before="480"/>
      </w:pPr>
      <w:bookmarkStart w:id="737" w:name="_Toc73216006"/>
      <w:bookmarkStart w:id="738" w:name="_Toc397504948"/>
      <w:bookmarkStart w:id="739" w:name="_Toc402357076"/>
      <w:bookmarkStart w:id="740" w:name="_Toc422486456"/>
      <w:bookmarkStart w:id="741" w:name="_Toc433093308"/>
      <w:bookmarkStart w:id="742" w:name="_Toc433093466"/>
      <w:bookmarkStart w:id="743" w:name="_Toc440874695"/>
      <w:bookmarkStart w:id="744" w:name="_Toc448142250"/>
      <w:bookmarkStart w:id="745" w:name="_Toc448142407"/>
      <w:bookmarkStart w:id="746" w:name="_Toc458770243"/>
      <w:bookmarkStart w:id="747" w:name="_Toc459294211"/>
      <w:bookmarkStart w:id="748" w:name="_Toc463262704"/>
      <w:bookmarkStart w:id="749" w:name="_Toc468286778"/>
      <w:bookmarkStart w:id="750" w:name="_Toc481502824"/>
      <w:bookmarkStart w:id="751" w:name="_Toc496079992"/>
      <w:bookmarkStart w:id="752" w:name="_Toc204411584"/>
      <w:r>
        <w:t>6.5.3</w:t>
      </w:r>
      <w:r>
        <w:tab/>
        <w:t>Equipment Operating Ratings and Limits</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14:paraId="6EC8E63E" w14:textId="77777777" w:rsidR="001F04FD" w:rsidRDefault="001F04FD" w:rsidP="001F04FD">
      <w:pPr>
        <w:pStyle w:val="BodyTextNumbered"/>
      </w:pPr>
      <w:r>
        <w:t>(1)</w:t>
      </w:r>
      <w:r>
        <w:tab/>
        <w:t>ERCOT shall consider all equipment operating limits when issuing Dispatch Instructions.  Except as stated in Section 6.5.9, Emergency Operations, if a Dispatch Instruction conflicts with a restriction that may be placed on equipment from time to time by a TSP, a DSP, or a Generation Resource’s QSE to protect the integrity of equipment, ERCOT shall honor the restriction.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01DDE" w14:paraId="4F9637F6" w14:textId="77777777" w:rsidTr="004510FA">
        <w:trPr>
          <w:trHeight w:val="1547"/>
        </w:trPr>
        <w:tc>
          <w:tcPr>
            <w:tcW w:w="9576" w:type="dxa"/>
            <w:shd w:val="pct12" w:color="auto" w:fill="auto"/>
          </w:tcPr>
          <w:p w14:paraId="2C35C8D8" w14:textId="24315886" w:rsidR="00901DDE" w:rsidRDefault="00901DDE" w:rsidP="004510FA">
            <w:pPr>
              <w:pStyle w:val="Instructions"/>
              <w:spacing w:before="120"/>
            </w:pPr>
            <w:r>
              <w:t>[NPRR857</w:t>
            </w:r>
            <w:r w:rsidR="00490BFE">
              <w:t xml:space="preserve"> and NPRR1246</w:t>
            </w:r>
            <w:r>
              <w:t>:  Replace paragraph (1)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rsidR="00490BFE">
              <w:t xml:space="preserve"> for NPRR857; or upon system implementation of the Real-Time Co-Optimization (RTC) project for NPRR1246</w:t>
            </w:r>
            <w:r>
              <w:t>:]</w:t>
            </w:r>
          </w:p>
          <w:p w14:paraId="2666C4BC" w14:textId="5849F131" w:rsidR="00901DDE" w:rsidRPr="00B37C4B" w:rsidRDefault="00901DDE" w:rsidP="00901DDE">
            <w:pPr>
              <w:spacing w:after="240"/>
              <w:ind w:left="720" w:hanging="720"/>
            </w:pPr>
            <w:r w:rsidRPr="00E55E72">
              <w:t>(1)</w:t>
            </w:r>
            <w:r w:rsidRPr="00E55E72">
              <w:tab/>
              <w:t xml:space="preserve">ERCOT shall consider all equipment operating limits when issuing Dispatch Instructions.  Except as stated in Section 6.5.9, Emergency Operations, if a Dispatch Instruction conflicts with a restriction that may be placed on equipment from time to time by a TSP, a DSP, a DCTO, or a </w:t>
            </w:r>
            <w:r w:rsidR="00490BFE">
              <w:t xml:space="preserve">QSE representing a </w:t>
            </w:r>
            <w:r w:rsidRPr="00E55E72">
              <w:t>Generation Resource</w:t>
            </w:r>
            <w:r w:rsidR="00490BFE">
              <w:t xml:space="preserve"> or ESR</w:t>
            </w:r>
            <w:r w:rsidRPr="00E55E72">
              <w:t xml:space="preserve"> to protect the integrity of equipment, ERC</w:t>
            </w:r>
            <w:r>
              <w:t>OT shall honor the restriction.</w:t>
            </w:r>
          </w:p>
        </w:tc>
      </w:tr>
    </w:tbl>
    <w:p w14:paraId="50EDC623" w14:textId="77777777" w:rsidR="001F04FD" w:rsidRDefault="001F04FD" w:rsidP="0099247E">
      <w:pPr>
        <w:pStyle w:val="BodyTextNumbered"/>
        <w:spacing w:before="240"/>
      </w:pPr>
      <w:r>
        <w:t>(2)</w:t>
      </w:r>
      <w:r>
        <w:tab/>
        <w:t>Each TSP shall notify ERCOT of any limitations on the TSP’s system that may affect ERCOT Dispatch Instructions.  ERCOT shall continuously maintain a posting on the MIS Secure Area of any TSP limitations that may affect Dispatch Instructions.  Examples of such limitations may include: temporary changes to transmission or transformer ratings, temporary changes to range of automatic tap position capabilities on auto-transformers, fixing or blocking tap changer, changes to no-load tap positions or other limitations affecting the delivery of energy across the ERCOT Transmission Grid.  Any conflicts that cannot be satisfactorily resolved may be brought to ERCOT by any of the affected Entities for investigation and resolution.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01DDE" w14:paraId="69057492" w14:textId="77777777" w:rsidTr="004510FA">
        <w:trPr>
          <w:trHeight w:val="1547"/>
        </w:trPr>
        <w:tc>
          <w:tcPr>
            <w:tcW w:w="9576" w:type="dxa"/>
            <w:shd w:val="pct12" w:color="auto" w:fill="auto"/>
          </w:tcPr>
          <w:p w14:paraId="4CD70A86" w14:textId="0FB3A777" w:rsidR="00901DDE" w:rsidRDefault="00901DDE" w:rsidP="004510FA">
            <w:pPr>
              <w:pStyle w:val="Instructions"/>
              <w:spacing w:before="120"/>
            </w:pPr>
            <w:bookmarkStart w:id="753" w:name="_Toc73164254"/>
            <w:bookmarkStart w:id="754" w:name="_Toc73216007"/>
            <w:bookmarkStart w:id="755" w:name="_Toc397504949"/>
            <w:bookmarkStart w:id="756" w:name="_Toc402357077"/>
            <w:bookmarkStart w:id="757" w:name="_Toc422486457"/>
            <w:bookmarkStart w:id="758" w:name="_Toc433093309"/>
            <w:bookmarkStart w:id="759" w:name="_Toc433093467"/>
            <w:bookmarkStart w:id="760" w:name="_Toc440874696"/>
            <w:bookmarkStart w:id="761" w:name="_Toc448142251"/>
            <w:bookmarkStart w:id="762" w:name="_Toc448142408"/>
            <w:bookmarkStart w:id="763" w:name="_Toc458770244"/>
            <w:bookmarkStart w:id="764" w:name="_Toc459294212"/>
            <w:bookmarkStart w:id="765" w:name="_Toc463262705"/>
            <w:bookmarkStart w:id="766" w:name="_Toc468286779"/>
            <w:bookmarkStart w:id="767" w:name="_Toc481502825"/>
            <w:bookmarkStart w:id="768" w:name="_Toc496079993"/>
            <w:r>
              <w:lastRenderedPageBreak/>
              <w:t>[NPRR857:  Replace paragraph (2)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70BBA067" w14:textId="77777777" w:rsidR="00901DDE" w:rsidRPr="00B37C4B" w:rsidRDefault="00901DDE" w:rsidP="00901DDE">
            <w:pPr>
              <w:spacing w:after="240"/>
              <w:ind w:left="720" w:hanging="720"/>
            </w:pPr>
            <w:r w:rsidRPr="00E55E72">
              <w:t>(2)</w:t>
            </w:r>
            <w:r w:rsidRPr="00E55E72">
              <w:tab/>
              <w:t>Each TSP or DCTO shall notify ERCOT of any limitations on the TSP’s or DCTO’s system that may affect ERCOT Dispatch Instructions.  ERCOT shall continuously maintain a posting on the MIS Secure Area of any TSP or DCTO limitations that may affect Dispatch Instructions.  Examples of such limitations may include: temporary changes to transmission or transformer ratings, temporary changes to range of automatic tap position capabilities on auto-transformers, fixing or blocking tap changer, changes to no-load tap positions or other limitations affecting the delivery of energy across the ERCOT Transmission Grid.  Any conflicts that cannot be satisfactorily resolved may be brought to ERCOT by any of the affected Entities fo</w:t>
            </w:r>
            <w:r>
              <w:t>r investigation and resolution.</w:t>
            </w:r>
          </w:p>
        </w:tc>
      </w:tr>
    </w:tbl>
    <w:p w14:paraId="1155E746" w14:textId="77777777" w:rsidR="001F04FD" w:rsidRDefault="001F04FD" w:rsidP="0099247E">
      <w:pPr>
        <w:pStyle w:val="H3"/>
        <w:spacing w:before="480"/>
      </w:pPr>
      <w:bookmarkStart w:id="769" w:name="_Toc204411585"/>
      <w:r>
        <w:t>6.5.4</w:t>
      </w:r>
      <w:r>
        <w:tab/>
        <w:t>Inadvertent Energy Account</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14:paraId="279620ED" w14:textId="77777777" w:rsidR="001F04FD" w:rsidRDefault="001F04FD" w:rsidP="001F04FD">
      <w:pPr>
        <w:pStyle w:val="BodyTextNumbered"/>
      </w:pPr>
      <w:r>
        <w:t>(1)</w:t>
      </w:r>
      <w:r>
        <w:tab/>
        <w:t>ERCOT shall track any differences between the scheduled energy and the actual metered value at each Direct Current Tie (DC Tie) in an “Inadvertent Energy Account” between ERCOT and each interconnected non-ERCOT Control Area.  ERCOT shall coordinate operation of each DC Tie with the DC Tie operator such that the Inadvertent Energy Account is maintained as close to zero as possible.  Corrections of inadvertent energy between ERCOT and the other NERC-interconnected non-ERCOT Control Areas must comply with the NERC scheduling protocols and the ERCOT Operating Guides.  ERCOT shall establish procedures to correct Inadvertent Energy Accounts with non-ERCOT Control Areas that are not subject to NERC scheduling protocols.</w:t>
      </w:r>
    </w:p>
    <w:p w14:paraId="4579FC4A" w14:textId="77777777" w:rsidR="001F04FD" w:rsidRDefault="001F04FD" w:rsidP="001F04FD">
      <w:pPr>
        <w:pStyle w:val="H3"/>
        <w:spacing w:before="480"/>
      </w:pPr>
      <w:bookmarkStart w:id="770" w:name="_Toc397504950"/>
      <w:bookmarkStart w:id="771" w:name="_Toc402357078"/>
      <w:bookmarkStart w:id="772" w:name="_Toc422486458"/>
      <w:bookmarkStart w:id="773" w:name="_Toc433093310"/>
      <w:bookmarkStart w:id="774" w:name="_Toc433093468"/>
      <w:bookmarkStart w:id="775" w:name="_Toc440874697"/>
      <w:bookmarkStart w:id="776" w:name="_Toc448142252"/>
      <w:bookmarkStart w:id="777" w:name="_Toc448142409"/>
      <w:bookmarkStart w:id="778" w:name="_Toc458770245"/>
      <w:bookmarkStart w:id="779" w:name="_Toc459294213"/>
      <w:bookmarkStart w:id="780" w:name="_Toc463262706"/>
      <w:bookmarkStart w:id="781" w:name="_Toc468286780"/>
      <w:bookmarkStart w:id="782" w:name="_Toc481502826"/>
      <w:bookmarkStart w:id="783" w:name="_Toc496079994"/>
      <w:bookmarkStart w:id="784" w:name="_Toc204411586"/>
      <w:r>
        <w:t>6.5.5</w:t>
      </w:r>
      <w:r>
        <w:tab/>
        <w:t>QSE Activities</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14:paraId="73D074B4" w14:textId="77777777" w:rsidR="001F04FD" w:rsidRDefault="001F04FD" w:rsidP="001F04FD">
      <w:pPr>
        <w:pStyle w:val="BodyTextNumbered"/>
      </w:pPr>
      <w:r>
        <w:t>(1)</w:t>
      </w:r>
      <w:r>
        <w:tab/>
        <w:t>QSE activities during Real-Time operations are summarized in the table located in Section 6.3.2, Activities for Real-Time Operations.  That table is intended to be only a general guide and not controlling language, and any conflict between the table and another section of the Protocols is controlled by the other section.</w:t>
      </w:r>
    </w:p>
    <w:p w14:paraId="1F1A04B8" w14:textId="77777777" w:rsidR="001F04FD" w:rsidRDefault="001F04FD" w:rsidP="001F04FD">
      <w:pPr>
        <w:pStyle w:val="H4"/>
        <w:spacing w:before="480"/>
        <w:ind w:left="1267" w:hanging="1267"/>
      </w:pPr>
      <w:bookmarkStart w:id="785" w:name="_Toc73216009"/>
      <w:bookmarkStart w:id="786" w:name="_Toc397504951"/>
      <w:bookmarkStart w:id="787" w:name="_Toc402357079"/>
      <w:bookmarkStart w:id="788" w:name="_Toc422486459"/>
      <w:bookmarkStart w:id="789" w:name="_Toc433093311"/>
      <w:bookmarkStart w:id="790" w:name="_Toc433093469"/>
      <w:bookmarkStart w:id="791" w:name="_Toc440874698"/>
      <w:bookmarkStart w:id="792" w:name="_Toc448142253"/>
      <w:bookmarkStart w:id="793" w:name="_Toc448142410"/>
      <w:bookmarkStart w:id="794" w:name="_Toc458770246"/>
      <w:bookmarkStart w:id="795" w:name="_Toc459294214"/>
      <w:bookmarkStart w:id="796" w:name="_Toc463262707"/>
      <w:bookmarkStart w:id="797" w:name="_Toc468286781"/>
      <w:bookmarkStart w:id="798" w:name="_Toc481502827"/>
      <w:bookmarkStart w:id="799" w:name="_Toc496079995"/>
      <w:bookmarkStart w:id="800" w:name="_Hlk135901057"/>
      <w:bookmarkStart w:id="801" w:name="_Toc204411587"/>
      <w:r>
        <w:t>6.5.5.1</w:t>
      </w:r>
      <w:r>
        <w:tab/>
        <w:t>Changes in Resource Status</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1"/>
    </w:p>
    <w:p w14:paraId="4433CCE7" w14:textId="77F004F2" w:rsidR="001F04FD" w:rsidRDefault="001F04FD" w:rsidP="001F04FD">
      <w:pPr>
        <w:pStyle w:val="BodyTextNumbered"/>
      </w:pPr>
      <w:bookmarkStart w:id="802" w:name="_Toc73216010"/>
      <w:r>
        <w:t>(1)</w:t>
      </w:r>
      <w:r>
        <w:tab/>
      </w:r>
      <w:r w:rsidR="00DE555F" w:rsidRPr="00E61BC2">
        <w:t>Each QSE shall notify ERCOT</w:t>
      </w:r>
      <w:r w:rsidR="00DE555F">
        <w:t xml:space="preserve"> via telemetry</w:t>
      </w:r>
      <w:r w:rsidR="00DE555F" w:rsidRPr="00E61BC2">
        <w:t xml:space="preserve"> of a change in Resource Status </w:t>
      </w:r>
      <w:r w:rsidR="00DE555F">
        <w:t>that is not related to a Forced Outage as soon as practicable but no longer than 15 minutes</w:t>
      </w:r>
      <w:r w:rsidR="00DE555F" w:rsidRPr="00753E49">
        <w:rPr>
          <w:iCs/>
        </w:rPr>
        <w:t xml:space="preserve"> </w:t>
      </w:r>
      <w:r w:rsidR="00DE555F" w:rsidRPr="00AF54E6">
        <w:rPr>
          <w:iCs/>
        </w:rPr>
        <w:t xml:space="preserve">after the </w:t>
      </w:r>
      <w:r w:rsidR="00DE555F">
        <w:rPr>
          <w:iCs/>
        </w:rPr>
        <w:t>change in status occurs</w:t>
      </w:r>
      <w:r w:rsidR="00DE555F" w:rsidRPr="00E61BC2">
        <w:t xml:space="preserve"> and through changes in the Current Operating Plan (COP) </w:t>
      </w:r>
      <w:r w:rsidR="00DE555F" w:rsidRPr="00503629">
        <w:t xml:space="preserve">as soon </w:t>
      </w:r>
      <w:r w:rsidR="00DE555F" w:rsidRPr="00503629">
        <w:lastRenderedPageBreak/>
        <w:t>as practicable</w:t>
      </w:r>
      <w:r w:rsidR="00DE555F" w:rsidRPr="00E61BC2">
        <w:t xml:space="preserve"> </w:t>
      </w:r>
      <w:r w:rsidR="00DE555F">
        <w:t>but no longer than 60 minutes</w:t>
      </w:r>
      <w:r w:rsidR="00DE555F" w:rsidRPr="00753E49">
        <w:rPr>
          <w:iCs/>
        </w:rPr>
        <w:t xml:space="preserve"> </w:t>
      </w:r>
      <w:r w:rsidR="00DE555F" w:rsidRPr="00AF54E6">
        <w:rPr>
          <w:iCs/>
        </w:rPr>
        <w:t xml:space="preserve">after the </w:t>
      </w:r>
      <w:r w:rsidR="00DE555F">
        <w:rPr>
          <w:iCs/>
        </w:rPr>
        <w:t>change in status of the Resource occurs</w:t>
      </w:r>
      <w:r>
        <w:t>.</w:t>
      </w:r>
    </w:p>
    <w:p w14:paraId="5FC9B193" w14:textId="5D28EA2E" w:rsidR="00A5535F" w:rsidRDefault="00DE555F" w:rsidP="00DE555F">
      <w:pPr>
        <w:pStyle w:val="BodyTextNumbered"/>
      </w:pPr>
      <w:r w:rsidRPr="00C33924">
        <w:t>(</w:t>
      </w:r>
      <w:r>
        <w:t>2</w:t>
      </w:r>
      <w:r w:rsidRPr="00C33924">
        <w:t xml:space="preserve">) </w:t>
      </w:r>
      <w:r w:rsidRPr="00C33924">
        <w:tab/>
        <w:t xml:space="preserve">When an </w:t>
      </w:r>
      <w:r>
        <w:t>O</w:t>
      </w:r>
      <w:r w:rsidRPr="00C33924">
        <w:t>n</w:t>
      </w:r>
      <w:r>
        <w:t>-L</w:t>
      </w:r>
      <w:r w:rsidRPr="00C33924">
        <w:t xml:space="preserve">ine Resource is experiencing an event that may affect its availability and/or capability </w:t>
      </w:r>
      <w:r>
        <w:t xml:space="preserve">and </w:t>
      </w:r>
      <w:r w:rsidRPr="00C33924">
        <w:t>that require</w:t>
      </w:r>
      <w:r>
        <w:t>s</w:t>
      </w:r>
      <w:r w:rsidRPr="00C33924">
        <w:t xml:space="preserve"> further actions to stabilize the Resource and/or determine the impact of the event, the QSE may change the Resource Status to ON</w:t>
      </w:r>
      <w:r>
        <w:t>HOLD</w:t>
      </w:r>
      <w:r w:rsidRPr="00C33924">
        <w:t xml:space="preserve"> </w:t>
      </w:r>
      <w:r w:rsidRPr="00837317">
        <w:t xml:space="preserve">within </w:t>
      </w:r>
      <w:r>
        <w:t>15</w:t>
      </w:r>
      <w:r w:rsidRPr="00837317">
        <w:t xml:space="preserve"> minutes</w:t>
      </w:r>
      <w:r>
        <w:t xml:space="preserve"> of experiencing an event</w:t>
      </w:r>
      <w:r w:rsidRPr="00C33924">
        <w:t xml:space="preserve">. </w:t>
      </w:r>
      <w:r>
        <w:t xml:space="preserve"> </w:t>
      </w:r>
      <w:r w:rsidRPr="00C33924">
        <w:t xml:space="preserve">Following this Resource Status change, the telemetered HSL and any other applicable telemetry of the Resource as specified in paragraph (2) of Section 6.5.5.2, </w:t>
      </w:r>
      <w:r w:rsidRPr="00F94510">
        <w:t>Operational Data Requirements</w:t>
      </w:r>
      <w:r w:rsidRPr="00C33924">
        <w:t xml:space="preserve">, shall be updated as soon as practicable but no longer than </w:t>
      </w:r>
      <w:r w:rsidRPr="00837317">
        <w:t>15 minutes after</w:t>
      </w:r>
      <w:r w:rsidRPr="00C33924">
        <w:t xml:space="preserve"> the change in Resource Status to ON</w:t>
      </w:r>
      <w:r>
        <w:t>HOLD.</w:t>
      </w:r>
      <w:r w:rsidRPr="00C33924">
        <w:t xml:space="preserve"> </w:t>
      </w:r>
      <w:r>
        <w:t xml:space="preserve"> </w:t>
      </w:r>
      <w:r w:rsidRPr="00C33924">
        <w:t xml:space="preserve">After the QSE has determined the impact of the event, the QSE shall change the Resource Status to its </w:t>
      </w:r>
      <w:r>
        <w:t>updated</w:t>
      </w:r>
      <w:r w:rsidRPr="00C33924">
        <w:t xml:space="preserve"> status as soon as practicable but no longer </w:t>
      </w:r>
      <w:r w:rsidRPr="00837317">
        <w:t>than 60 consecutive minutes</w:t>
      </w:r>
      <w:r w:rsidRPr="00C33924">
        <w:t xml:space="preserve"> of being in the ON</w:t>
      </w:r>
      <w:r>
        <w:t>HOLD</w:t>
      </w:r>
      <w:r w:rsidRPr="00C33924">
        <w:t xml:space="preserve"> status.</w:t>
      </w:r>
    </w:p>
    <w:p w14:paraId="12488D64" w14:textId="647885AA" w:rsidR="001F04FD" w:rsidRDefault="001F04FD" w:rsidP="00F969DB">
      <w:pPr>
        <w:pStyle w:val="BodyTextNumbered"/>
      </w:pPr>
      <w:r>
        <w:t>(</w:t>
      </w:r>
      <w:r w:rsidR="00DE555F">
        <w:t>3</w:t>
      </w:r>
      <w:r>
        <w:t>)</w:t>
      </w:r>
      <w:r>
        <w:tab/>
        <w:t>Each QSE shall promptly inform ERCOT when the operating mode of its Generation Resource’s Automatic Voltage Regulator (AVR) or Power System Stabilizer (PSS) is changed while the Resource is On-Line.  The QSE shall also provide the Resource’s AVR or PSS status logs to ERCOT upon request.</w:t>
      </w:r>
      <w:r w:rsidR="00012F03" w:rsidRPr="00012F03">
        <w:t xml:space="preserve"> </w:t>
      </w:r>
      <w:r w:rsidR="00012F03">
        <w:t xml:space="preserve"> For each Generation Resource that is </w:t>
      </w:r>
      <w:r w:rsidR="00012F03">
        <w:rPr>
          <w:lang w:eastAsia="x-none"/>
        </w:rPr>
        <w:t>On-Line but not producing real power and is not capable of providing Reactive Power, each QSE must still telemeter its AVR status to ERCOT but is not required to provide verbal notifications of its AVR status changes to ERCOT during these operating conditions.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4F6273F0" w14:textId="77777777" w:rsidTr="004E6E12">
        <w:trPr>
          <w:trHeight w:val="206"/>
        </w:trPr>
        <w:tc>
          <w:tcPr>
            <w:tcW w:w="9350" w:type="dxa"/>
            <w:shd w:val="pct12" w:color="auto" w:fill="auto"/>
          </w:tcPr>
          <w:p w14:paraId="2E899C41" w14:textId="281611BF" w:rsidR="00490BFE" w:rsidRDefault="00490BFE" w:rsidP="004E6E12">
            <w:pPr>
              <w:pStyle w:val="Instructions"/>
              <w:spacing w:before="120"/>
            </w:pPr>
            <w:r>
              <w:t>[NPRR1246:  Replace paragraph (3) above with the following upon system implementation of the Real-Time Co-Optimization (RTC) project:]</w:t>
            </w:r>
          </w:p>
          <w:p w14:paraId="703C2B9F" w14:textId="6E8EAF6B" w:rsidR="00490BFE" w:rsidRPr="00490BFE" w:rsidRDefault="00490BFE" w:rsidP="00490BFE">
            <w:pPr>
              <w:spacing w:after="240"/>
              <w:ind w:left="720" w:hanging="720"/>
            </w:pPr>
            <w:r w:rsidRPr="0000204A">
              <w:t>(3)</w:t>
            </w:r>
            <w:r w:rsidRPr="0000204A">
              <w:tab/>
              <w:t xml:space="preserve">Each QSE shall promptly inform ERCOT when the operating mode of </w:t>
            </w:r>
            <w:r>
              <w:t>the</w:t>
            </w:r>
            <w:r w:rsidRPr="0000204A">
              <w:t xml:space="preserve"> Automatic Voltage Regulator (AVR) or Power System Stabilizer (PSS) </w:t>
            </w:r>
            <w:r>
              <w:t xml:space="preserve">for the QSE’s Generation Resource or ESR </w:t>
            </w:r>
            <w:r w:rsidRPr="0000204A">
              <w:t xml:space="preserve">is changed while the Resource is On-Line.  The QSE shall also provide the Resource’s AVR or PSS status logs to ERCOT upon request.  For each Generation Resource that is </w:t>
            </w:r>
            <w:r w:rsidRPr="0000204A">
              <w:rPr>
                <w:lang w:eastAsia="x-none"/>
              </w:rPr>
              <w:t>On-Line but not producing real power and is not capable of providing Reactive Power, each QSE must still telemeter its AVR status to ERCOT but is not required to provide verbal notifications of its AVR status changes to ERCOT during these operating conditions.</w:t>
            </w:r>
          </w:p>
        </w:tc>
      </w:tr>
    </w:tbl>
    <w:p w14:paraId="0464F625" w14:textId="7357B214" w:rsidR="001F04FD" w:rsidRDefault="001F04FD" w:rsidP="00DD0A69">
      <w:pPr>
        <w:pStyle w:val="BodyTextNumbered"/>
        <w:spacing w:before="240"/>
      </w:pPr>
      <w:r>
        <w:t>(</w:t>
      </w:r>
      <w:r w:rsidR="00DE555F">
        <w:t>4</w:t>
      </w:r>
      <w:r>
        <w:t>)</w:t>
      </w:r>
      <w:r>
        <w:tab/>
        <w:t>Each QSE shall immediately report to ERCOT and the TSP any inability of the QSE’s Generation Resource required to meet its reactive capability requirements in these Protocols.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29E57A12" w14:textId="77777777" w:rsidTr="004E6E12">
        <w:trPr>
          <w:trHeight w:val="206"/>
        </w:trPr>
        <w:tc>
          <w:tcPr>
            <w:tcW w:w="9350" w:type="dxa"/>
            <w:shd w:val="pct12" w:color="auto" w:fill="auto"/>
          </w:tcPr>
          <w:p w14:paraId="634CBC99" w14:textId="6B6DBF51" w:rsidR="00490BFE" w:rsidRDefault="00490BFE" w:rsidP="004E6E12">
            <w:pPr>
              <w:pStyle w:val="Instructions"/>
              <w:spacing w:before="120"/>
            </w:pPr>
            <w:r>
              <w:t>[NPRR1246:  Replace paragraph (4) above with the following upon system implementation of the Real-Time Co-Optimization (RTC) project:]</w:t>
            </w:r>
          </w:p>
          <w:p w14:paraId="11EC1B71" w14:textId="37E44C65" w:rsidR="00490BFE" w:rsidRPr="00490BFE" w:rsidRDefault="00490BFE" w:rsidP="00490BFE">
            <w:pPr>
              <w:spacing w:after="240"/>
              <w:ind w:left="720" w:hanging="720"/>
            </w:pPr>
            <w:r w:rsidRPr="0000204A">
              <w:lastRenderedPageBreak/>
              <w:t>(4)</w:t>
            </w:r>
            <w:r w:rsidRPr="0000204A">
              <w:tab/>
              <w:t xml:space="preserve">Each QSE shall immediately report to ERCOT and the TSP any inability of the QSE’s Generation Resource </w:t>
            </w:r>
            <w:r>
              <w:t xml:space="preserve">or ESR </w:t>
            </w:r>
            <w:r w:rsidRPr="0000204A">
              <w:t>required to meet its reactive capability requirements in these Protocols.</w:t>
            </w:r>
          </w:p>
        </w:tc>
      </w:tr>
    </w:tbl>
    <w:p w14:paraId="256E42E6" w14:textId="557C66A8" w:rsidR="00DE555F" w:rsidRDefault="00DE555F" w:rsidP="00DD0A69">
      <w:pPr>
        <w:pStyle w:val="BodyTextNumbered"/>
        <w:spacing w:before="240"/>
      </w:pPr>
      <w:r w:rsidRPr="008A398D">
        <w:lastRenderedPageBreak/>
        <w:t>(5)</w:t>
      </w:r>
      <w:r w:rsidRPr="008A398D">
        <w:tab/>
        <w:t xml:space="preserve">Each QSE shall timely update the telemetered Resource Status unless in the reasonable judgment of the QSE, such </w:t>
      </w:r>
      <w:r w:rsidRPr="0028006B">
        <w:t>compliance would create an undue threat to safety, undue risk of bodily harm</w:t>
      </w:r>
      <w:r w:rsidRPr="00493C46">
        <w:t xml:space="preserve">, or undue damage to equipment.  The QSE is excused from updating the telemetered Resource Status </w:t>
      </w:r>
      <w:r w:rsidRPr="008C7A95">
        <w:t>only for so long as the undue threat to safety, undue risk of bodily harm, or undue damage to equipment exists</w:t>
      </w:r>
      <w:r w:rsidRPr="00055D51">
        <w:t>.</w:t>
      </w:r>
      <w:r w:rsidRPr="0028006B">
        <w:t xml:space="preserve">  </w:t>
      </w:r>
      <w:r w:rsidRPr="0028006B">
        <w:rPr>
          <w:color w:val="000000" w:themeColor="text1"/>
        </w:rPr>
        <w:t>The time for updating the telemetered Resource Status begins once the undue threat to safety, undue risk of bodily harm, or undue damage to equipment no longer exists.</w:t>
      </w:r>
    </w:p>
    <w:p w14:paraId="55982816" w14:textId="76F7BB23" w:rsidR="00ED74F0" w:rsidRPr="002935C8" w:rsidRDefault="00ED74F0" w:rsidP="00F969DB">
      <w:pPr>
        <w:spacing w:after="240"/>
        <w:ind w:left="720" w:hanging="720"/>
      </w:pPr>
      <w:bookmarkStart w:id="803" w:name="_Toc397504952"/>
      <w:bookmarkStart w:id="804" w:name="_Toc402357080"/>
      <w:bookmarkStart w:id="805" w:name="_Toc422486460"/>
      <w:bookmarkStart w:id="806" w:name="_Toc433093312"/>
      <w:bookmarkStart w:id="807" w:name="_Toc433093470"/>
      <w:bookmarkStart w:id="808" w:name="_Toc440874699"/>
      <w:bookmarkStart w:id="809" w:name="_Toc448142254"/>
      <w:bookmarkStart w:id="810" w:name="_Toc448142411"/>
      <w:bookmarkStart w:id="811" w:name="_Toc458770247"/>
      <w:bookmarkStart w:id="812" w:name="_Toc459294215"/>
      <w:bookmarkStart w:id="813" w:name="_Toc463262708"/>
      <w:bookmarkStart w:id="814" w:name="_Toc468286782"/>
      <w:bookmarkStart w:id="815" w:name="_Toc481502828"/>
      <w:bookmarkStart w:id="816" w:name="_Toc496079996"/>
      <w:r w:rsidRPr="002935C8">
        <w:t>(</w:t>
      </w:r>
      <w:r w:rsidR="00DE555F">
        <w:t>6</w:t>
      </w:r>
      <w:r w:rsidRPr="002935C8">
        <w:t>)</w:t>
      </w:r>
      <w:r w:rsidRPr="002935C8">
        <w:tab/>
        <w:t xml:space="preserve">A QSE or Resource Entity may use a Generation Resource or </w:t>
      </w:r>
      <w:r>
        <w:t>ESR</w:t>
      </w:r>
      <w:r w:rsidRPr="002935C8">
        <w:t xml:space="preserve"> to serve Customer Load as part of a Private Microgrid Island (PMI) in any circumstance in which the Customer Load and the Resource are both disconnected from the ERCOT System due to an Outage of the transmission and/or distribution system, provided that the configuration complies with the requirements of paragraph (7) of Section 10.3.2.3, Generation Netting for ERCOT-Polled Settlement Meters, and provided that the QSE or Resource Entity has notified the </w:t>
      </w:r>
      <w:r>
        <w:t>Transmission and/or Distribution Service Provider (</w:t>
      </w:r>
      <w:r w:rsidRPr="002935C8">
        <w:t>TDSP</w:t>
      </w:r>
      <w:r>
        <w:t>)</w:t>
      </w:r>
      <w:r w:rsidRPr="002935C8">
        <w:t xml:space="preserve"> of the establishment of a PMI configuration.  The QSE shall ensure that the Load served by the Resource in the PMI configuration is de-energized at the time it is reconnected to the ERCOT System following the PMI configuration.  All operations in a PMI configuration and any reconnection of Load following a PMI configuration shall be coordinated with the TDSP.</w:t>
      </w:r>
    </w:p>
    <w:p w14:paraId="4946B014" w14:textId="5865FD79" w:rsidR="00ED74F0" w:rsidRPr="002935C8" w:rsidRDefault="00ED74F0" w:rsidP="00ED74F0">
      <w:pPr>
        <w:spacing w:after="240"/>
        <w:ind w:left="720" w:hanging="720"/>
      </w:pPr>
      <w:r w:rsidRPr="002935C8">
        <w:t>(</w:t>
      </w:r>
      <w:r w:rsidR="00DE555F">
        <w:t>7</w:t>
      </w:r>
      <w:r w:rsidRPr="002935C8">
        <w:t>)</w:t>
      </w:r>
      <w:r w:rsidRPr="002935C8">
        <w:tab/>
        <w:t>A TDSP shall not intentionally disconnect, or direct another TDSP to disconnect, a Generation Resource or E</w:t>
      </w:r>
      <w:r>
        <w:t>SR</w:t>
      </w:r>
      <w:r w:rsidRPr="002935C8">
        <w:t xml:space="preserve"> included in a PMI configuration from the ERCOT System except in the following circumstances:</w:t>
      </w:r>
    </w:p>
    <w:p w14:paraId="37DDD22C" w14:textId="77777777" w:rsidR="00ED74F0" w:rsidRPr="002935C8" w:rsidRDefault="00ED74F0" w:rsidP="00ED74F0">
      <w:pPr>
        <w:spacing w:after="240"/>
        <w:ind w:left="1440" w:hanging="720"/>
      </w:pPr>
      <w:r w:rsidRPr="002935C8">
        <w:t xml:space="preserve">(a) </w:t>
      </w:r>
      <w:r w:rsidRPr="002935C8">
        <w:tab/>
        <w:t>An approved or accepted Planned or Maintenance Outage of a Transmission Facility reasonably requires, or would otherwise result in, the disconnection of the Resource from the ERCOT System;</w:t>
      </w:r>
    </w:p>
    <w:p w14:paraId="53D4B2D5" w14:textId="1475F996" w:rsidR="00ED74F0" w:rsidRPr="002935C8" w:rsidRDefault="00ED74F0" w:rsidP="00ED74F0">
      <w:pPr>
        <w:spacing w:after="240"/>
        <w:ind w:left="1440" w:hanging="720"/>
      </w:pPr>
      <w:r w:rsidRPr="002935C8">
        <w:t>(b)</w:t>
      </w:r>
      <w:r w:rsidRPr="002935C8">
        <w:tab/>
        <w:t>The Resource is a Distribution Generation Resource or Distribution Energy Storage Resource</w:t>
      </w:r>
      <w:r>
        <w:t xml:space="preserve"> (DESR)</w:t>
      </w:r>
      <w:r w:rsidRPr="002935C8">
        <w:t xml:space="preserve">, and disconnection of the Resource is required for </w:t>
      </w:r>
      <w:r>
        <w:t>D</w:t>
      </w:r>
      <w:r w:rsidRPr="002935C8">
        <w:t xml:space="preserve">istribution </w:t>
      </w:r>
      <w:r>
        <w:t>S</w:t>
      </w:r>
      <w:r w:rsidRPr="002935C8">
        <w:t>ystem maintenance;</w:t>
      </w:r>
    </w:p>
    <w:p w14:paraId="21DD6ED8" w14:textId="77777777" w:rsidR="00ED74F0" w:rsidRPr="002935C8" w:rsidRDefault="00ED74F0" w:rsidP="00ED74F0">
      <w:pPr>
        <w:spacing w:after="240"/>
        <w:ind w:left="1440" w:hanging="720"/>
      </w:pPr>
      <w:r w:rsidRPr="002935C8">
        <w:t>(c)</w:t>
      </w:r>
      <w:r w:rsidRPr="002935C8">
        <w:tab/>
        <w:t xml:space="preserve">The TDSP’s disconnection of the Resource is necessary to maintain the security of the TDSP’s system or the ERCOT System; </w:t>
      </w:r>
    </w:p>
    <w:p w14:paraId="46F229AA" w14:textId="77777777" w:rsidR="00ED74F0" w:rsidRPr="002935C8" w:rsidRDefault="00ED74F0" w:rsidP="00ED74F0">
      <w:pPr>
        <w:spacing w:after="240"/>
        <w:ind w:left="1440" w:hanging="720"/>
      </w:pPr>
      <w:r w:rsidRPr="002935C8">
        <w:t>(d)</w:t>
      </w:r>
      <w:r w:rsidRPr="002935C8">
        <w:tab/>
        <w:t xml:space="preserve">The TDSP’s disconnection of the Resource is necessary to protect the public from a safety risk attributable to the operation of the Resource; or </w:t>
      </w:r>
    </w:p>
    <w:p w14:paraId="53352663" w14:textId="1CB9BD09" w:rsidR="00ED74F0" w:rsidRDefault="00ED74F0" w:rsidP="00ED74F0">
      <w:pPr>
        <w:spacing w:after="240"/>
        <w:ind w:left="1440" w:hanging="720"/>
      </w:pPr>
      <w:r w:rsidRPr="002935C8">
        <w:t>(e)</w:t>
      </w:r>
      <w:r w:rsidRPr="002935C8">
        <w:tab/>
        <w:t>ERCOT directs the disconnection of the Resource.</w:t>
      </w:r>
    </w:p>
    <w:p w14:paraId="1C95CD20" w14:textId="3881D33B" w:rsidR="000266C6" w:rsidRPr="002935C8" w:rsidRDefault="000266C6" w:rsidP="000266C6">
      <w:pPr>
        <w:pStyle w:val="BodyText"/>
        <w:ind w:left="720" w:hanging="720"/>
      </w:pPr>
      <w:r>
        <w:lastRenderedPageBreak/>
        <w:t>(</w:t>
      </w:r>
      <w:r w:rsidR="00DE555F">
        <w:t>8</w:t>
      </w:r>
      <w:r>
        <w:t>)</w:t>
      </w:r>
      <w:r>
        <w:tab/>
        <w:t xml:space="preserve">For each Intermittent Renewable Resource (IRR) </w:t>
      </w:r>
      <w:r>
        <w:rPr>
          <w:iCs w:val="0"/>
        </w:rPr>
        <w:t>synchronized to the ERCOT System</w:t>
      </w:r>
      <w:r w:rsidDel="009E3B3E">
        <w:t xml:space="preserve"> </w:t>
      </w:r>
      <w:r>
        <w:t xml:space="preserve">and </w:t>
      </w:r>
      <w:r>
        <w:rPr>
          <w:iCs w:val="0"/>
        </w:rPr>
        <w:t xml:space="preserve">not capable of providing real power due to a lack of fuel, the </w:t>
      </w:r>
      <w:r>
        <w:t xml:space="preserve">Resource Entity and QSE shall </w:t>
      </w:r>
      <w:r>
        <w:rPr>
          <w:iCs w:val="0"/>
        </w:rPr>
        <w:t>send ERCOT, via telemetry, a Real-Time On-Line status and HSL and LSL of 0.</w:t>
      </w:r>
    </w:p>
    <w:p w14:paraId="3043A17D" w14:textId="77777777" w:rsidR="001F04FD" w:rsidRDefault="001F04FD" w:rsidP="001F04FD">
      <w:pPr>
        <w:pStyle w:val="H4"/>
        <w:spacing w:before="480"/>
        <w:ind w:left="1267" w:hanging="1267"/>
      </w:pPr>
      <w:bookmarkStart w:id="817" w:name="_Toc204411588"/>
      <w:bookmarkEnd w:id="800"/>
      <w:r>
        <w:t>6.5.5.2</w:t>
      </w:r>
      <w:r>
        <w:tab/>
        <w:t>Operational Data Requirements</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14:paraId="2D970D28" w14:textId="77777777" w:rsidR="001F04FD" w:rsidRDefault="001F04FD" w:rsidP="001F04FD">
      <w:pPr>
        <w:pStyle w:val="BodyTextNumbered"/>
      </w:pPr>
      <w:r>
        <w:t>(1)</w:t>
      </w:r>
      <w: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16E07BB8" w14:textId="77777777" w:rsidR="001F04FD" w:rsidRDefault="001F04FD" w:rsidP="001F04FD">
      <w:pPr>
        <w:pStyle w:val="BodyTextNumbered"/>
      </w:pPr>
      <w:r>
        <w:t>(2)</w:t>
      </w:r>
      <w:r>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3CF7008F" w14:textId="77777777" w:rsidR="001F04FD" w:rsidRDefault="001F04FD" w:rsidP="001F04FD">
      <w:pPr>
        <w:pStyle w:val="List"/>
      </w:pPr>
      <w:r>
        <w:t>(a)</w:t>
      </w:r>
      <w:r>
        <w:tab/>
        <w:t>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determination of the High Ancillary Service Limit (HASL), High Dispatch Limit (HDL), Low Dispatch Limit (LDL) and Low Ancillary Service Limit (LASL), and is consistent with telemetered HSL, LSL and Non-Frequency Responsive Capacity (NFRC);</w:t>
      </w:r>
    </w:p>
    <w:p w14:paraId="6ADD490F" w14:textId="77777777" w:rsidR="001F04FD" w:rsidRDefault="001F04FD" w:rsidP="001F04FD">
      <w:pPr>
        <w:pStyle w:val="List"/>
      </w:pPr>
      <w:r>
        <w:t>(b)</w:t>
      </w:r>
      <w: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4648BFDB" w14:textId="77777777" w:rsidR="001F04FD" w:rsidRDefault="001F04FD" w:rsidP="001F04FD">
      <w:pPr>
        <w:pStyle w:val="List"/>
      </w:pPr>
      <w:r>
        <w:t>(c)</w:t>
      </w:r>
      <w:r>
        <w:tab/>
        <w:t>Gross Reactive Power (in Megavolt-Amperes reactive (MVAr));</w:t>
      </w:r>
    </w:p>
    <w:p w14:paraId="6FF514B0" w14:textId="77777777" w:rsidR="001F04FD" w:rsidRDefault="001F04FD" w:rsidP="001F04FD">
      <w:pPr>
        <w:pStyle w:val="List"/>
      </w:pPr>
      <w:r>
        <w:t>(d)</w:t>
      </w:r>
      <w:r>
        <w:tab/>
        <w:t>Net Reactive Power (in MVAr);</w:t>
      </w:r>
    </w:p>
    <w:p w14:paraId="2827A5DD" w14:textId="77777777" w:rsidR="001F04FD" w:rsidRDefault="001F04FD" w:rsidP="001F04FD">
      <w:pPr>
        <w:pStyle w:val="List"/>
      </w:pPr>
      <w:r>
        <w:t>(e)</w:t>
      </w:r>
      <w:r>
        <w:tab/>
        <w:t>Power to standby transformers serving plant auxiliary Load;</w:t>
      </w:r>
    </w:p>
    <w:p w14:paraId="1412E7EE" w14:textId="77777777" w:rsidR="001F04FD" w:rsidRDefault="001F04FD" w:rsidP="001F04FD">
      <w:pPr>
        <w:pStyle w:val="List"/>
      </w:pPr>
      <w:r>
        <w:t>(f)</w:t>
      </w:r>
      <w:r>
        <w:tab/>
        <w:t>Status of switching devices in the plant switchyard not monitored by the TSP or DSP affecting flows on the ERCOT Transmission Grid;</w:t>
      </w:r>
    </w:p>
    <w:p w14:paraId="3458445E" w14:textId="77777777" w:rsidR="001F04FD" w:rsidRDefault="001F04FD" w:rsidP="001F04FD">
      <w:pPr>
        <w:pStyle w:val="List"/>
      </w:pPr>
      <w:r>
        <w:t>(g)</w:t>
      </w:r>
      <w:r>
        <w:tab/>
        <w:t>Any data mutually agreed to by ERCOT and the QSE to adequately manage system reliability;</w:t>
      </w:r>
    </w:p>
    <w:p w14:paraId="394398C0" w14:textId="77777777" w:rsidR="001F04FD" w:rsidRDefault="001F04FD" w:rsidP="001F04FD">
      <w:pPr>
        <w:pStyle w:val="List"/>
      </w:pPr>
      <w:r>
        <w:lastRenderedPageBreak/>
        <w:t>(h)</w:t>
      </w:r>
      <w:r>
        <w:tab/>
        <w:t>Generation Resource breaker and switch status;</w:t>
      </w:r>
    </w:p>
    <w:p w14:paraId="7147C5FA" w14:textId="77777777" w:rsidR="001F04FD" w:rsidRDefault="001F04FD" w:rsidP="001F04FD">
      <w:pPr>
        <w:pStyle w:val="List"/>
      </w:pPr>
      <w:r>
        <w:t>(i)</w:t>
      </w:r>
      <w:r>
        <w:tab/>
        <w:t xml:space="preserve">HSL (Combined Cycle Generation Resources) shall:  </w:t>
      </w:r>
    </w:p>
    <w:p w14:paraId="69830BEB" w14:textId="77777777" w:rsidR="001F04FD" w:rsidRDefault="001F04FD" w:rsidP="001F04FD">
      <w:pPr>
        <w:pStyle w:val="List"/>
        <w:ind w:left="2160"/>
      </w:pPr>
      <w:r>
        <w:t>(i)</w:t>
      </w:r>
      <w:r>
        <w:tab/>
        <w:t xml:space="preserve">Submit the HSL of the current operating configuration; and </w:t>
      </w:r>
    </w:p>
    <w:p w14:paraId="636D1933" w14:textId="478A9CDA" w:rsidR="001F04FD" w:rsidRDefault="001F04FD" w:rsidP="001F04FD">
      <w:pPr>
        <w:pStyle w:val="List"/>
        <w:ind w:left="2160"/>
      </w:pPr>
      <w:r>
        <w:t>(ii)</w:t>
      </w:r>
      <w:r>
        <w:tab/>
        <w:t xml:space="preserve">When providing </w:t>
      </w:r>
      <w:r w:rsidR="00A93ECE">
        <w:t>ECRS</w:t>
      </w:r>
      <w:r>
        <w:t xml:space="preserve">, update the HSL as needed, to be consistent with Resource performance limitations of </w:t>
      </w:r>
      <w:r w:rsidR="00A93ECE">
        <w:t>ECRS</w:t>
      </w:r>
      <w:r>
        <w:t xml:space="preserve"> provision;</w:t>
      </w:r>
    </w:p>
    <w:p w14:paraId="7B0C18EE" w14:textId="77777777" w:rsidR="001F04FD" w:rsidRDefault="001F04FD" w:rsidP="000B1D41">
      <w:pPr>
        <w:spacing w:after="240"/>
        <w:ind w:left="1440" w:hanging="720"/>
      </w:pPr>
      <w:r w:rsidRPr="00D3700F">
        <w:t>(j)</w:t>
      </w:r>
      <w:r>
        <w:tab/>
      </w:r>
      <w:r w:rsidRPr="00D3700F">
        <w:t>NFRC currently available (unloaded) and included in the HSL of the Combined Cycle Generation Resource’s current configuration;</w:t>
      </w:r>
      <w:r>
        <w:t xml:space="preserve"> </w:t>
      </w:r>
    </w:p>
    <w:p w14:paraId="1A2565AA" w14:textId="77777777" w:rsidR="001F04FD" w:rsidRDefault="001F04FD" w:rsidP="006164A6">
      <w:pPr>
        <w:pStyle w:val="List"/>
      </w:pPr>
      <w:r>
        <w:t>(k)</w:t>
      </w:r>
      <w:r>
        <w:tab/>
        <w:t>High Emergency Limit (HEL), under Section 6.5.9.2, Failure of the SCED Process;</w:t>
      </w:r>
    </w:p>
    <w:p w14:paraId="27B9E055" w14:textId="77777777" w:rsidR="001F04FD" w:rsidRDefault="001F04FD" w:rsidP="001F04FD">
      <w:pPr>
        <w:pStyle w:val="List"/>
      </w:pPr>
      <w:r>
        <w:t>(l)</w:t>
      </w:r>
      <w:r>
        <w:tab/>
        <w:t xml:space="preserve">Low Emergency Limit (LEL), under Section 6.5.9.2; </w:t>
      </w:r>
    </w:p>
    <w:p w14:paraId="20DFF1DA" w14:textId="77777777" w:rsidR="001F04FD" w:rsidRDefault="001F04FD" w:rsidP="001F04FD">
      <w:pPr>
        <w:pStyle w:val="List"/>
      </w:pPr>
      <w:r>
        <w:t>(m)</w:t>
      </w:r>
      <w:r>
        <w:tab/>
        <w:t>LSL;</w:t>
      </w:r>
    </w:p>
    <w:p w14:paraId="4A4DEAEC" w14:textId="77777777" w:rsidR="001F04FD" w:rsidRDefault="001F04FD" w:rsidP="001F04FD">
      <w:pPr>
        <w:pStyle w:val="List"/>
      </w:pPr>
      <w:r>
        <w:t>(n)</w:t>
      </w:r>
      <w:r>
        <w:tab/>
        <w:t>Configuration identification for Combined Cycle Generation Resources;</w:t>
      </w:r>
    </w:p>
    <w:p w14:paraId="2A3A3873" w14:textId="4F6A0B7F" w:rsidR="001F04FD" w:rsidRDefault="001F04FD" w:rsidP="001F04FD">
      <w:pPr>
        <w:pStyle w:val="List"/>
      </w:pPr>
      <w:r>
        <w:t>(o)</w:t>
      </w:r>
      <w:r>
        <w:tab/>
        <w:t xml:space="preserve">Ancillary Service Schedule for each quantity of </w:t>
      </w:r>
      <w:r w:rsidR="00A93ECE">
        <w:t>ECRS</w:t>
      </w:r>
      <w:r>
        <w:t xml:space="preserve"> and Non-Spin which is equal to the Ancillary Service Resource Responsibility minus the amount of Ancillary Service deployment;</w:t>
      </w:r>
    </w:p>
    <w:p w14:paraId="677AD62C" w14:textId="77777777" w:rsidR="001F04FD" w:rsidRDefault="001F04FD" w:rsidP="000B1D41">
      <w:pPr>
        <w:pStyle w:val="List"/>
        <w:ind w:left="2160"/>
      </w:pPr>
      <w:r>
        <w:t>(i)</w:t>
      </w:r>
      <w:r>
        <w:tab/>
        <w:t xml:space="preserve">For </w:t>
      </w:r>
      <w:r w:rsidRPr="00B6199F">
        <w:t>On-line Non-Spin</w:t>
      </w:r>
      <w:r>
        <w:t xml:space="preserve">, Ancillary Service Schedule shall be set to zero;  </w:t>
      </w:r>
    </w:p>
    <w:p w14:paraId="6E774A7F" w14:textId="77777777" w:rsidR="001F04FD" w:rsidRDefault="001F04FD" w:rsidP="001F04FD">
      <w:pPr>
        <w:pStyle w:val="List"/>
        <w:ind w:left="2160"/>
      </w:pPr>
      <w:r>
        <w:t>(ii)</w:t>
      </w:r>
      <w:r>
        <w:tab/>
        <w:t xml:space="preserve">For </w:t>
      </w:r>
      <w:r w:rsidRPr="00B6199F">
        <w:t xml:space="preserve">Off-Line </w:t>
      </w:r>
      <w:r>
        <w:t xml:space="preserve">Non-Spin and for </w:t>
      </w:r>
      <w:r w:rsidRPr="00B6199F">
        <w:t>On-Line Non-Spin using Off-Line power augmentation</w:t>
      </w:r>
      <w:r>
        <w:t xml:space="preserve"> technology the Ancillary Service Schedule shall equal the Non-Spin obligation and then </w:t>
      </w:r>
      <w:r w:rsidRPr="00900B8A">
        <w:rPr>
          <w:color w:val="000000"/>
        </w:rPr>
        <w:t>shall</w:t>
      </w:r>
      <w:r w:rsidRPr="00900B8A">
        <w:rPr>
          <w:color w:val="595959"/>
        </w:rPr>
        <w:t xml:space="preserve"> </w:t>
      </w:r>
      <w:r>
        <w:t>be set to zero within 20 minutes following Non-Spin deployment;</w:t>
      </w:r>
    </w:p>
    <w:p w14:paraId="7171D548" w14:textId="3275112E" w:rsidR="001F04FD" w:rsidRDefault="001F04FD" w:rsidP="001F04FD">
      <w:pPr>
        <w:pStyle w:val="List"/>
      </w:pPr>
      <w:r>
        <w:t>(p)</w:t>
      </w:r>
      <w:r>
        <w:tab/>
        <w:t>Ancillary Service Resource Responsibility for each quantity of Regulation Up</w:t>
      </w:r>
      <w:r w:rsidR="00637160">
        <w:t xml:space="preserve"> Service</w:t>
      </w:r>
      <w:r>
        <w:t xml:space="preserve"> (Reg-Up), Regulation Down</w:t>
      </w:r>
      <w:r w:rsidR="00637160">
        <w:t xml:space="preserve"> Service</w:t>
      </w:r>
      <w:r>
        <w:t xml:space="preserve"> (Reg-Down), RRS</w:t>
      </w:r>
      <w:r w:rsidR="00A93ECE">
        <w:t>, ECRS,</w:t>
      </w:r>
      <w:r>
        <w:t xml:space="preserve"> and Non-Spin.  The sum of Ancillary Service Resource Responsibility for all Resources in a QSE is equal to the Ancillary Service Supply Responsibility for that QSE;</w:t>
      </w:r>
    </w:p>
    <w:p w14:paraId="60504455" w14:textId="5B9607C4" w:rsidR="001F04FD" w:rsidRDefault="001F04FD" w:rsidP="000B1D41">
      <w:pPr>
        <w:spacing w:after="240"/>
        <w:ind w:left="1440" w:hanging="720"/>
      </w:pPr>
      <w:r>
        <w:t>(q)</w:t>
      </w:r>
      <w:r>
        <w:tab/>
        <w: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w:t>
      </w:r>
    </w:p>
    <w:p w14:paraId="1D5DB6FC" w14:textId="1D63303A" w:rsidR="006F5A43" w:rsidRDefault="001F04FD" w:rsidP="009942F9">
      <w:pPr>
        <w:spacing w:after="240"/>
        <w:ind w:left="1440" w:hanging="720"/>
      </w:pPr>
      <w:r w:rsidRPr="00957698">
        <w:t>(</w:t>
      </w:r>
      <w:r>
        <w:t>r</w:t>
      </w:r>
      <w:r w:rsidRPr="00957698">
        <w:t>)</w:t>
      </w:r>
      <w:r w:rsidRPr="00957698">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r w:rsidR="00C23DEE">
        <w:t>; and</w:t>
      </w:r>
    </w:p>
    <w:p w14:paraId="43CFF817" w14:textId="5A9AC69A" w:rsidR="00C23DEE" w:rsidRDefault="00C23DEE" w:rsidP="009942F9">
      <w:pPr>
        <w:spacing w:after="240"/>
        <w:ind w:left="1440" w:hanging="720"/>
      </w:pPr>
      <w:r w:rsidRPr="00F06E8E">
        <w:lastRenderedPageBreak/>
        <w:t>(s)</w:t>
      </w:r>
      <w:r w:rsidRPr="00F06E8E">
        <w:tab/>
        <w:t>For an ESR, the next Operating Hour’s Ancillary Service Resource Responsibility for each quantity of Reg-Up, Reg-Down, ECRS, RRS and Non-Spin.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2684A" w14:paraId="27FC1BEF" w14:textId="77777777" w:rsidTr="0052684A">
        <w:trPr>
          <w:trHeight w:val="566"/>
        </w:trPr>
        <w:tc>
          <w:tcPr>
            <w:tcW w:w="9576" w:type="dxa"/>
            <w:shd w:val="pct12" w:color="auto" w:fill="auto"/>
          </w:tcPr>
          <w:p w14:paraId="3F0CA2E4" w14:textId="7BC4B5A9" w:rsidR="0052684A" w:rsidRDefault="0053481C" w:rsidP="00D94BFC">
            <w:pPr>
              <w:pStyle w:val="Instructions"/>
              <w:spacing w:before="120"/>
            </w:pPr>
            <w:r>
              <w:t>[</w:t>
            </w:r>
            <w:r w:rsidR="0052684A">
              <w:t>NPRR1010</w:t>
            </w:r>
            <w:r>
              <w:t>, NPRR1014</w:t>
            </w:r>
            <w:r w:rsidR="000C75ED">
              <w:t>, and NPRR1029</w:t>
            </w:r>
            <w:r w:rsidR="0052684A">
              <w:t xml:space="preserve">:  Replace applicable portions of paragraph (2) above with the following upon system implementation for </w:t>
            </w:r>
            <w:r>
              <w:t>NPRR1014</w:t>
            </w:r>
            <w:r w:rsidR="000C75ED">
              <w:t xml:space="preserve"> or NPRR1029</w:t>
            </w:r>
            <w:r w:rsidR="0052684A">
              <w:t>; or upon system implementation of the Real-Time Co-Optimization (RTC) project for NPRR1010:]</w:t>
            </w:r>
          </w:p>
          <w:p w14:paraId="4397C9DF" w14:textId="77777777" w:rsidR="0052684A" w:rsidRPr="003161DC" w:rsidRDefault="0052684A" w:rsidP="0052684A">
            <w:pPr>
              <w:spacing w:after="240"/>
              <w:ind w:left="720" w:hanging="720"/>
            </w:pPr>
            <w:r w:rsidRPr="003161DC">
              <w:t>(2)</w:t>
            </w:r>
            <w:r w:rsidRPr="003161DC">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31285AC9" w14:textId="1462E218" w:rsidR="0052684A" w:rsidRPr="003161DC" w:rsidRDefault="0052684A" w:rsidP="0052684A">
            <w:pPr>
              <w:spacing w:after="240"/>
              <w:ind w:left="1440" w:hanging="720"/>
            </w:pPr>
            <w:r w:rsidRPr="003161DC">
              <w:t>(a)</w:t>
            </w:r>
            <w:r w:rsidRPr="003161DC">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High Dispatch Limit (HDL), </w:t>
            </w:r>
            <w:r>
              <w:t xml:space="preserve">and </w:t>
            </w:r>
            <w:r w:rsidRPr="003161DC">
              <w:t>Low Dispatch Limit (LDL)</w:t>
            </w:r>
            <w:r>
              <w:t>,</w:t>
            </w:r>
            <w:r w:rsidRPr="003161DC">
              <w:t xml:space="preserve"> and is consistent with telemetered HSL, LSL</w:t>
            </w:r>
            <w:r w:rsidR="000C75ED">
              <w:t>,</w:t>
            </w:r>
            <w:r w:rsidRPr="003161DC">
              <w:t xml:space="preserve"> and Frequency Responsive Capacity (FRC);</w:t>
            </w:r>
          </w:p>
          <w:p w14:paraId="742FA4A3" w14:textId="77777777" w:rsidR="0052684A" w:rsidRPr="003161DC" w:rsidRDefault="0052684A" w:rsidP="0052684A">
            <w:pPr>
              <w:spacing w:after="240"/>
              <w:ind w:left="1440" w:hanging="720"/>
            </w:pPr>
            <w:r w:rsidRPr="003161DC">
              <w:t>(b)</w:t>
            </w:r>
            <w:r w:rsidRPr="003161DC">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62CBF653" w14:textId="77777777" w:rsidR="0052684A" w:rsidRPr="003161DC" w:rsidRDefault="0052684A" w:rsidP="0052684A">
            <w:pPr>
              <w:spacing w:after="240"/>
              <w:ind w:left="1440" w:hanging="720"/>
            </w:pPr>
            <w:r w:rsidRPr="003161DC">
              <w:t>(c)</w:t>
            </w:r>
            <w:r w:rsidRPr="003161DC">
              <w:tab/>
              <w:t>Gross Reactive Power (in Megavolt-Amperes reactive (MVAr));</w:t>
            </w:r>
          </w:p>
          <w:p w14:paraId="45B5CAC2" w14:textId="77777777" w:rsidR="0052684A" w:rsidRPr="003161DC" w:rsidRDefault="0052684A" w:rsidP="0052684A">
            <w:pPr>
              <w:spacing w:after="240"/>
              <w:ind w:left="1440" w:hanging="720"/>
            </w:pPr>
            <w:r w:rsidRPr="003161DC">
              <w:t>(d)</w:t>
            </w:r>
            <w:r w:rsidRPr="003161DC">
              <w:tab/>
              <w:t>Net Reactive Power (in MVAr);</w:t>
            </w:r>
          </w:p>
          <w:p w14:paraId="6A3050F0" w14:textId="77777777" w:rsidR="0052684A" w:rsidRPr="003161DC" w:rsidRDefault="0052684A" w:rsidP="0052684A">
            <w:pPr>
              <w:spacing w:after="240"/>
              <w:ind w:left="1440" w:hanging="720"/>
            </w:pPr>
            <w:r w:rsidRPr="003161DC">
              <w:t>(e)</w:t>
            </w:r>
            <w:r w:rsidRPr="003161DC">
              <w:tab/>
              <w:t>Power to standby transformers serving plant auxiliary Load;</w:t>
            </w:r>
          </w:p>
          <w:p w14:paraId="5A9DE692" w14:textId="77777777" w:rsidR="0052684A" w:rsidRPr="003161DC" w:rsidRDefault="0052684A" w:rsidP="0052684A">
            <w:pPr>
              <w:spacing w:after="240"/>
              <w:ind w:left="1440" w:hanging="720"/>
            </w:pPr>
            <w:r w:rsidRPr="003161DC">
              <w:t>(f)</w:t>
            </w:r>
            <w:r w:rsidRPr="003161DC">
              <w:tab/>
              <w:t>Status of switching devices in the plant switchyard not monitored by the TSP or DSP affecting flows on the ERCOT Transmission Grid;</w:t>
            </w:r>
          </w:p>
          <w:p w14:paraId="76A351A4" w14:textId="77777777" w:rsidR="0052684A" w:rsidRPr="003161DC" w:rsidRDefault="0052684A" w:rsidP="0052684A">
            <w:pPr>
              <w:spacing w:after="240"/>
              <w:ind w:left="1440" w:hanging="720"/>
            </w:pPr>
            <w:r w:rsidRPr="003161DC">
              <w:t>(g)</w:t>
            </w:r>
            <w:r w:rsidRPr="003161DC">
              <w:tab/>
              <w:t>Any data mutually agreed to by ERCOT and the QSE to adequately manage system reliability;</w:t>
            </w:r>
          </w:p>
          <w:p w14:paraId="72800247" w14:textId="77777777" w:rsidR="0052684A" w:rsidRPr="003161DC" w:rsidRDefault="0052684A" w:rsidP="0052684A">
            <w:pPr>
              <w:spacing w:after="240"/>
              <w:ind w:left="1440" w:hanging="720"/>
            </w:pPr>
            <w:r w:rsidRPr="003161DC">
              <w:t>(h)</w:t>
            </w:r>
            <w:r w:rsidRPr="003161DC">
              <w:tab/>
              <w:t>Generation Resource breaker and switch status;</w:t>
            </w:r>
          </w:p>
          <w:p w14:paraId="33E447D1" w14:textId="77777777" w:rsidR="0052684A" w:rsidRPr="003161DC" w:rsidRDefault="0052684A" w:rsidP="0052684A">
            <w:pPr>
              <w:spacing w:after="240"/>
              <w:ind w:left="1440" w:hanging="720"/>
            </w:pPr>
            <w:r w:rsidRPr="003161DC">
              <w:t>(i)</w:t>
            </w:r>
            <w:r w:rsidRPr="003161DC">
              <w:tab/>
              <w:t xml:space="preserve">HSL (Combined Cycle Generation Resources) shall:  </w:t>
            </w:r>
          </w:p>
          <w:p w14:paraId="57A3F7AA" w14:textId="77777777" w:rsidR="0052684A" w:rsidRPr="003161DC" w:rsidRDefault="0052684A" w:rsidP="0052684A">
            <w:pPr>
              <w:spacing w:after="240"/>
              <w:ind w:left="2160" w:hanging="720"/>
            </w:pPr>
            <w:r w:rsidRPr="003161DC">
              <w:lastRenderedPageBreak/>
              <w:t>(i)</w:t>
            </w:r>
            <w:r w:rsidRPr="003161DC">
              <w:tab/>
              <w:t xml:space="preserve">Submit the HSL of the current operating configuration; and </w:t>
            </w:r>
          </w:p>
          <w:p w14:paraId="48610D53" w14:textId="7F5C149B" w:rsidR="0052684A" w:rsidRPr="003161DC" w:rsidRDefault="0052684A" w:rsidP="0052684A">
            <w:pPr>
              <w:spacing w:after="240"/>
              <w:ind w:left="2160" w:hanging="720"/>
            </w:pPr>
            <w:r w:rsidRPr="003161DC">
              <w:t>(ii)</w:t>
            </w:r>
            <w:r w:rsidRPr="003161DC">
              <w:tab/>
              <w:t>When providing ECRS, update the HSL as needed, to be consistent with Resource performance limitations of ECRS provision;</w:t>
            </w:r>
          </w:p>
          <w:p w14:paraId="4B627B56" w14:textId="1B430AAC" w:rsidR="0052684A" w:rsidRPr="003161DC" w:rsidRDefault="0052684A" w:rsidP="0052684A">
            <w:pPr>
              <w:spacing w:after="240"/>
              <w:ind w:left="1440" w:hanging="720"/>
            </w:pPr>
            <w:r w:rsidRPr="003161DC">
              <w:t>(j)</w:t>
            </w:r>
            <w:r w:rsidRPr="003161DC">
              <w:tab/>
            </w:r>
            <w:r>
              <w:t>For Resources with capacity that is not capable of providing Primary Frequency Response (PFR), the current FRC of the Resource</w:t>
            </w:r>
            <w:r w:rsidRPr="003161DC">
              <w:t xml:space="preserve">; </w:t>
            </w:r>
          </w:p>
          <w:p w14:paraId="1C22633E" w14:textId="77777777" w:rsidR="0052684A" w:rsidRPr="003161DC" w:rsidRDefault="0052684A" w:rsidP="0052684A">
            <w:pPr>
              <w:spacing w:after="240"/>
              <w:ind w:left="1440" w:hanging="720"/>
            </w:pPr>
            <w:r w:rsidRPr="003161DC">
              <w:t>(k)</w:t>
            </w:r>
            <w:r w:rsidRPr="003161DC">
              <w:tab/>
              <w:t>High Emergency Limit (HEL), under Section 6.5.9.2, Failure of the SCED Process;</w:t>
            </w:r>
          </w:p>
          <w:p w14:paraId="6E46028F" w14:textId="77777777" w:rsidR="0052684A" w:rsidRPr="003161DC" w:rsidRDefault="0052684A" w:rsidP="0052684A">
            <w:pPr>
              <w:spacing w:after="240"/>
              <w:ind w:left="1440" w:hanging="720"/>
            </w:pPr>
            <w:r w:rsidRPr="003161DC">
              <w:t>(l)</w:t>
            </w:r>
            <w:r w:rsidRPr="003161DC">
              <w:tab/>
              <w:t xml:space="preserve">Low Emergency Limit (LEL), under Section 6.5.9.2; </w:t>
            </w:r>
          </w:p>
          <w:p w14:paraId="0EDD1B44" w14:textId="77777777" w:rsidR="0052684A" w:rsidRPr="003161DC" w:rsidRDefault="0052684A" w:rsidP="0052684A">
            <w:pPr>
              <w:spacing w:after="240"/>
              <w:ind w:left="1440" w:hanging="720"/>
            </w:pPr>
            <w:r w:rsidRPr="003161DC">
              <w:t>(m)</w:t>
            </w:r>
            <w:r w:rsidRPr="003161DC">
              <w:tab/>
              <w:t>LSL;</w:t>
            </w:r>
          </w:p>
          <w:p w14:paraId="536BC828" w14:textId="77777777" w:rsidR="0052684A" w:rsidRDefault="0052684A" w:rsidP="0052684A">
            <w:pPr>
              <w:spacing w:after="240"/>
              <w:ind w:left="1440" w:hanging="720"/>
            </w:pPr>
            <w:r w:rsidRPr="003161DC">
              <w:t>(n)</w:t>
            </w:r>
            <w:r w:rsidRPr="003161DC">
              <w:tab/>
              <w:t>Configuration identification for Combined Cycle Generation Resources;</w:t>
            </w:r>
          </w:p>
          <w:p w14:paraId="68EA992B" w14:textId="77777777" w:rsidR="0052684A" w:rsidRDefault="0052684A" w:rsidP="0052684A">
            <w:pPr>
              <w:spacing w:after="240"/>
              <w:ind w:left="1440" w:hanging="720"/>
            </w:pPr>
            <w:r>
              <w:t>(o)</w:t>
            </w:r>
            <w:r>
              <w:tab/>
              <w:t>For Resources with capacity that is not capable of providing PFR, the high and low limits in MW of the Resource’s capacity that is frequency responsive;</w:t>
            </w:r>
          </w:p>
          <w:p w14:paraId="0B030361" w14:textId="77777777" w:rsidR="0052684A" w:rsidRDefault="0052684A" w:rsidP="0052684A">
            <w:pPr>
              <w:spacing w:after="240"/>
              <w:ind w:left="1440" w:hanging="720"/>
            </w:pPr>
            <w:r>
              <w:t>(p)</w:t>
            </w:r>
            <w:r>
              <w:tab/>
              <w:t>For RRS, including any sub-categories of RRS, the physical capability (in MW) of the Resource to provide RRS;</w:t>
            </w:r>
          </w:p>
          <w:p w14:paraId="0DA56447" w14:textId="77777777" w:rsidR="0052684A" w:rsidRDefault="0052684A" w:rsidP="0052684A">
            <w:pPr>
              <w:spacing w:after="240"/>
              <w:ind w:left="1440" w:hanging="720"/>
            </w:pPr>
            <w:r>
              <w:t>(q)</w:t>
            </w:r>
            <w:r>
              <w:tab/>
              <w:t>For Ancillary Services other than RRS, a blended Normal Ramp Rate (in MW/min) that reflects the physical capability of the Resource to provide that specific type of Ancillary Service;</w:t>
            </w:r>
          </w:p>
          <w:p w14:paraId="1D04A893" w14:textId="77777777" w:rsidR="0052684A" w:rsidRDefault="0052684A" w:rsidP="0052684A">
            <w:pPr>
              <w:spacing w:after="240"/>
              <w:ind w:left="1440" w:hanging="720"/>
            </w:pPr>
            <w:r>
              <w:t>(r)</w:t>
            </w:r>
            <w:r>
              <w:tab/>
              <w:t>Five-minute blended Normal Ramp Rates (up and down);</w:t>
            </w:r>
          </w:p>
          <w:p w14:paraId="308512FD" w14:textId="77777777" w:rsidR="0052684A" w:rsidRPr="003161DC" w:rsidRDefault="0052684A" w:rsidP="0052684A">
            <w:pPr>
              <w:spacing w:after="240"/>
              <w:ind w:left="1440" w:hanging="720"/>
            </w:pPr>
            <w:r w:rsidRPr="003161DC">
              <w:t>(</w:t>
            </w:r>
            <w:r>
              <w:t>s</w:t>
            </w:r>
            <w:r w:rsidRPr="003161DC">
              <w:t>)</w:t>
            </w:r>
            <w:r w:rsidRPr="003161DC">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r>
              <w:t>; and</w:t>
            </w:r>
          </w:p>
          <w:p w14:paraId="62D1DC45" w14:textId="468E9BBF" w:rsidR="0052684A" w:rsidRPr="00B37C4B" w:rsidRDefault="0052684A" w:rsidP="0052684A">
            <w:pPr>
              <w:spacing w:after="240"/>
              <w:ind w:left="1440" w:hanging="720"/>
            </w:pPr>
            <w:r>
              <w:t>(t)</w:t>
            </w:r>
            <w:r>
              <w:tab/>
              <w:t>T</w:t>
            </w:r>
            <w:r w:rsidRPr="00006D35">
              <w:t xml:space="preserve">he telemetered MW of power augmentation capacity that is not </w:t>
            </w:r>
            <w:r>
              <w:t>On-Line</w:t>
            </w:r>
            <w:r w:rsidRPr="00006D35">
              <w:t xml:space="preserve"> </w:t>
            </w:r>
            <w:r>
              <w:t>f</w:t>
            </w:r>
            <w:r w:rsidRPr="00006D35">
              <w:t>or Resources that have power augmentation capacity included in HSL.</w:t>
            </w:r>
          </w:p>
        </w:tc>
      </w:tr>
    </w:tbl>
    <w:p w14:paraId="60EC1AB3" w14:textId="5BA32673" w:rsidR="001F04FD" w:rsidRDefault="001F04FD" w:rsidP="000B1D41">
      <w:pPr>
        <w:pStyle w:val="List"/>
        <w:spacing w:before="240"/>
        <w:ind w:left="720"/>
      </w:pPr>
      <w:r>
        <w:lastRenderedPageBreak/>
        <w:t>(3)</w:t>
      </w:r>
      <w:r>
        <w:tab/>
      </w:r>
      <w:r w:rsidRPr="006B5F38">
        <w:t xml:space="preserve">For each </w:t>
      </w:r>
      <w:r w:rsidRPr="003D5836">
        <w:rPr>
          <w:iCs/>
        </w:rPr>
        <w:t>Intermittent Renewable Resource (IRR</w:t>
      </w:r>
      <w:r>
        <w:rPr>
          <w:iCs/>
        </w:rPr>
        <w:t>)</w:t>
      </w:r>
      <w:r w:rsidRPr="006B5F38">
        <w:t xml:space="preserve">, the QSE shall set the HSL equal to the current net output capability of the facility.  </w:t>
      </w:r>
      <w:r>
        <w:t>The net output capability should consider</w:t>
      </w:r>
      <w:r w:rsidRPr="00E56259">
        <w:t xml:space="preserve"> </w:t>
      </w:r>
      <w:r>
        <w:t>the net real power of the IRR generation equipment, IRR generation equipment availability, weather conditions, and whether the IRR net output is being affected by compliance with a SCED Dispatch Instruction.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60"/>
      </w:tblGrid>
      <w:tr w:rsidR="00947B54" w14:paraId="5AFF59EE" w14:textId="77777777" w:rsidTr="003B384F">
        <w:trPr>
          <w:trHeight w:val="206"/>
        </w:trPr>
        <w:tc>
          <w:tcPr>
            <w:tcW w:w="9360" w:type="dxa"/>
            <w:shd w:val="pct12" w:color="auto" w:fill="auto"/>
          </w:tcPr>
          <w:p w14:paraId="7FBE5A43" w14:textId="4361751F" w:rsidR="00947B54" w:rsidRDefault="00947B54" w:rsidP="003B384F">
            <w:pPr>
              <w:pStyle w:val="Instructions"/>
              <w:spacing w:before="120"/>
            </w:pPr>
            <w:r>
              <w:lastRenderedPageBreak/>
              <w:t>[NPRR1270:  Insert paragraph (4) below upon system implementation of the Real-Time Co-Optimization (RTC) project and renumber accordingly:]</w:t>
            </w:r>
          </w:p>
          <w:p w14:paraId="4499CAA1" w14:textId="6668D985" w:rsidR="00947B54" w:rsidRPr="00B37C4B" w:rsidRDefault="00947B54" w:rsidP="00947B54">
            <w:pPr>
              <w:pStyle w:val="List"/>
              <w:spacing w:before="240"/>
              <w:ind w:left="720"/>
            </w:pPr>
            <w:r>
              <w:t>(4)</w:t>
            </w:r>
            <w:r>
              <w:tab/>
              <w:t xml:space="preserve">For each Resource, the QSE for the Resource shall consider the physical </w:t>
            </w:r>
            <w:r w:rsidRPr="00947B54">
              <w:rPr>
                <w:iCs/>
              </w:rPr>
              <w:t>capability</w:t>
            </w:r>
            <w:r>
              <w:t xml:space="preserve"> to provide a specific type of Ancillary Service based on the operating conditions for that specific Ancillary Service, including equipment availability, weather conditions and ability to meet the Ancillary Service criteria specified in Section 8.1.1.3, </w:t>
            </w:r>
            <w:r w:rsidRPr="00011FC4">
              <w:t>Ancillary Service Capacity Compliance Criteri</w:t>
            </w:r>
            <w:r>
              <w:t>a.  ERCOT may perform validation of the QSE’s submission to ensure these criteria are considered and adhered to.</w:t>
            </w:r>
          </w:p>
        </w:tc>
      </w:tr>
    </w:tbl>
    <w:p w14:paraId="5CC930ED" w14:textId="1C768CB5" w:rsidR="001F04FD" w:rsidRDefault="001F04FD" w:rsidP="005E62C6">
      <w:pPr>
        <w:pStyle w:val="List"/>
        <w:spacing w:before="240"/>
        <w:ind w:left="720"/>
      </w:pPr>
      <w:r w:rsidRPr="009E5389">
        <w:rPr>
          <w:iCs/>
        </w:rPr>
        <w:t>(4)</w:t>
      </w:r>
      <w:r w:rsidRPr="009E5389">
        <w:rPr>
          <w:iCs/>
        </w:rPr>
        <w:tab/>
        <w:t>For each Aggregate Generation Resource (AGR), the QSE shall telemeter the number of its generators online.</w:t>
      </w:r>
    </w:p>
    <w:p w14:paraId="2D66D428" w14:textId="77777777" w:rsidR="001F04FD" w:rsidRDefault="001F04FD" w:rsidP="001F04FD">
      <w:pPr>
        <w:pStyle w:val="BodyTextNumbered"/>
      </w:pPr>
      <w:r>
        <w:t>(5)</w:t>
      </w:r>
      <w: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Pr>
          <w:b/>
        </w:rPr>
        <w:t xml:space="preserve"> </w:t>
      </w:r>
    </w:p>
    <w:p w14:paraId="5CE5D720" w14:textId="77777777" w:rsidR="001F04FD" w:rsidRDefault="001F04FD" w:rsidP="001F04FD">
      <w:pPr>
        <w:pStyle w:val="List"/>
      </w:pPr>
      <w:r>
        <w:t>(a)</w:t>
      </w:r>
      <w:r>
        <w:tab/>
        <w:t>Load Resource net real power consumption (in MW);</w:t>
      </w:r>
    </w:p>
    <w:p w14:paraId="787AC33C" w14:textId="77777777" w:rsidR="001F04FD" w:rsidRDefault="001F04FD" w:rsidP="001F04FD">
      <w:pPr>
        <w:pStyle w:val="List"/>
      </w:pPr>
      <w:r>
        <w:t>(b)</w:t>
      </w:r>
      <w:r>
        <w:tab/>
        <w:t>Any data mutually agreed to by ERCOT and the QSE to adequately manage system reliability;</w:t>
      </w:r>
    </w:p>
    <w:p w14:paraId="18A0C21F" w14:textId="703B2A7B" w:rsidR="001F04FD" w:rsidRDefault="001F04FD" w:rsidP="001F04FD">
      <w:pPr>
        <w:pStyle w:val="List"/>
      </w:pPr>
      <w:r>
        <w:t>(c)</w:t>
      </w:r>
      <w:r>
        <w:tab/>
        <w:t>Load Resource breaker status</w:t>
      </w:r>
      <w:r w:rsidR="00A22AE4">
        <w:t>, if applicable</w:t>
      </w:r>
      <w:r>
        <w:t>;</w:t>
      </w:r>
    </w:p>
    <w:p w14:paraId="6A43D356" w14:textId="77777777" w:rsidR="001F04FD" w:rsidRPr="003E076A" w:rsidRDefault="001F04FD" w:rsidP="001F04FD">
      <w:pPr>
        <w:pStyle w:val="List"/>
        <w:rPr>
          <w:lang w:val="it-IT"/>
        </w:rPr>
      </w:pPr>
      <w:r w:rsidRPr="00EA2736">
        <w:rPr>
          <w:lang w:val="it-IT"/>
        </w:rPr>
        <w:t>(d)</w:t>
      </w:r>
      <w:r w:rsidRPr="00EA2736">
        <w:rPr>
          <w:lang w:val="it-IT"/>
        </w:rPr>
        <w:tab/>
        <w:t>LPC (in MW);</w:t>
      </w:r>
    </w:p>
    <w:p w14:paraId="470F6D4C" w14:textId="77777777" w:rsidR="001F04FD" w:rsidRPr="003E076A" w:rsidRDefault="001F04FD" w:rsidP="001F04FD">
      <w:pPr>
        <w:pStyle w:val="List"/>
        <w:rPr>
          <w:lang w:val="it-IT"/>
        </w:rPr>
      </w:pPr>
      <w:r w:rsidRPr="00EA2736">
        <w:rPr>
          <w:lang w:val="it-IT"/>
        </w:rPr>
        <w:t>(e)</w:t>
      </w:r>
      <w:r w:rsidRPr="00EA2736">
        <w:rPr>
          <w:lang w:val="it-IT"/>
        </w:rPr>
        <w:tab/>
        <w:t>MPC (in MW);</w:t>
      </w:r>
    </w:p>
    <w:p w14:paraId="35E0DB65" w14:textId="0B8075EA" w:rsidR="001F04FD" w:rsidRDefault="001F04FD" w:rsidP="001F04FD">
      <w:pPr>
        <w:pStyle w:val="List"/>
      </w:pPr>
      <w:r>
        <w:t>(f)</w:t>
      </w:r>
      <w:r>
        <w:tab/>
        <w:t>Ancillary Service Schedule (in MW) for each quantity of RRS</w:t>
      </w:r>
      <w:r w:rsidR="00A93ECE">
        <w:t>, ECRS,</w:t>
      </w:r>
      <w:r>
        <w:t xml:space="preserve"> and Non-Spin, </w:t>
      </w:r>
      <w:r w:rsidRPr="006A6281">
        <w:t>which is equal to the Ancillary Service Resource Responsibility minus the amount of Ancillary Service deployment</w:t>
      </w:r>
      <w:r>
        <w:t xml:space="preserve">; </w:t>
      </w:r>
    </w:p>
    <w:p w14:paraId="18832DF1" w14:textId="3B36E9DB" w:rsidR="001F04FD" w:rsidRDefault="001F04FD" w:rsidP="000B1D41">
      <w:pPr>
        <w:pStyle w:val="List"/>
      </w:pPr>
      <w:r>
        <w:t>(g)</w:t>
      </w:r>
      <w:r>
        <w:tab/>
        <w:t>Ancillary Service Resource Responsibility (in MW) for each quantity of Reg-Up and Reg-Down for Controllable Load Resources</w:t>
      </w:r>
      <w:r w:rsidR="0011303E">
        <w:t xml:space="preserve"> (CLRs)</w:t>
      </w:r>
      <w:r>
        <w:t>, and RRS</w:t>
      </w:r>
      <w:r w:rsidR="00A93ECE">
        <w:t>, ECRS,</w:t>
      </w:r>
      <w:r>
        <w:t xml:space="preserve"> and Non-Spin for all Load Resources;</w:t>
      </w:r>
    </w:p>
    <w:p w14:paraId="4853C947" w14:textId="2610E5D8" w:rsidR="001F04FD" w:rsidRDefault="001F04FD" w:rsidP="000B1D41">
      <w:pPr>
        <w:pStyle w:val="List"/>
      </w:pPr>
      <w:r>
        <w:t>(h)</w:t>
      </w:r>
      <w:r>
        <w:tab/>
        <w:t>The status of the high-set under-frequency relay, if required for qualification</w:t>
      </w:r>
      <w:r w:rsidR="00A22AE4">
        <w:t>.</w:t>
      </w:r>
      <w:r w:rsidR="00A22AE4" w:rsidRPr="0065726C">
        <w:t xml:space="preserve"> </w:t>
      </w:r>
      <w:r w:rsidR="00A22AE4">
        <w:t xml:space="preserve"> The </w:t>
      </w:r>
      <w:r w:rsidR="00A22AE4" w:rsidRPr="0065726C">
        <w:t>under-frequency relay</w:t>
      </w:r>
      <w:r w:rsidR="00A22AE4">
        <w:t xml:space="preserve"> for a Load Resource providing Non-Spin shall be disabled and the status of that relay shall indicate it as disabled or unarmed</w:t>
      </w:r>
      <w:r>
        <w:t xml:space="preserve">; </w:t>
      </w:r>
    </w:p>
    <w:p w14:paraId="515D7418" w14:textId="0861518A" w:rsidR="001F04FD" w:rsidRDefault="001F04FD" w:rsidP="001F04FD">
      <w:pPr>
        <w:pStyle w:val="List"/>
      </w:pPr>
      <w:r>
        <w:lastRenderedPageBreak/>
        <w:t>(i)</w:t>
      </w:r>
      <w:r>
        <w:tab/>
        <w:t xml:space="preserve">For a </w:t>
      </w:r>
      <w:r w:rsidR="0011303E">
        <w:t>CLR</w:t>
      </w:r>
      <w:r>
        <w:t xml:space="preserve"> providing Non-Spin, the Scheduled Power Consumption that represents zero Ancillary Service deployments; </w:t>
      </w:r>
    </w:p>
    <w:p w14:paraId="093BAB9E" w14:textId="79F1194C" w:rsidR="001F04FD" w:rsidRDefault="001F04FD" w:rsidP="001F04FD">
      <w:pPr>
        <w:pStyle w:val="List"/>
      </w:pPr>
      <w:r>
        <w:t>(j)</w:t>
      </w:r>
      <w:r>
        <w:tab/>
        <w:t xml:space="preserve">For a single-site </w:t>
      </w:r>
      <w:r w:rsidR="0011303E">
        <w:t>CLR</w:t>
      </w:r>
      <w:r>
        <w:t xml:space="preserve"> with registered maximum Demand response capacity of ten MW or greater, net Reactive Power (in MVAr);</w:t>
      </w:r>
    </w:p>
    <w:p w14:paraId="51337948" w14:textId="77777777" w:rsidR="001F04FD" w:rsidRDefault="001F04FD" w:rsidP="001F04FD">
      <w:pPr>
        <w:pStyle w:val="List"/>
      </w:pPr>
      <w:r>
        <w:t>(k)</w:t>
      </w:r>
      <w:r>
        <w:tab/>
        <w:t xml:space="preserve">Resource Status (Resource Status shall be ONRL if high-set under-frequency relay is active); </w:t>
      </w:r>
    </w:p>
    <w:p w14:paraId="3EC0916E" w14:textId="69304EF6" w:rsidR="001F04FD" w:rsidRDefault="001F04FD" w:rsidP="001F04FD">
      <w:pPr>
        <w:spacing w:after="240"/>
        <w:ind w:left="1440" w:hanging="720"/>
      </w:pPr>
      <w:r>
        <w:t>(l)</w:t>
      </w:r>
      <w:r>
        <w:tab/>
        <w:t>Reg-Up and Reg-Down participation factor, which represents how a QSE is planning to deploy the Ancillary Service energy on a percentage basis to specific qualified Resource(s).  The Reg-Up and Reg-Down participation factors for a Resource providing FRRS-Up or FRRS-Down shall be zero;</w:t>
      </w:r>
    </w:p>
    <w:p w14:paraId="733237E4" w14:textId="1D0CC5A2" w:rsidR="006F5A43" w:rsidRDefault="001F04FD" w:rsidP="001F04FD">
      <w:pPr>
        <w:pStyle w:val="List"/>
      </w:pPr>
      <w:r w:rsidRPr="006A6281">
        <w:t>(m)</w:t>
      </w:r>
      <w:r w:rsidRPr="006A6281">
        <w:tab/>
        <w:t>For a</w:t>
      </w:r>
      <w:r w:rsidR="00A46896">
        <w:t>n</w:t>
      </w:r>
      <w:r w:rsidRPr="006A6281">
        <w:t xml:space="preserve"> </w:t>
      </w:r>
      <w:r w:rsidR="00A46896">
        <w:t>Aggregate</w:t>
      </w:r>
      <w:r w:rsidRPr="006A6281">
        <w:t xml:space="preserve"> Load Resource</w:t>
      </w:r>
      <w:r w:rsidR="00D17A9A">
        <w:t xml:space="preserve"> (ALR)</w:t>
      </w:r>
      <w:r w:rsidRPr="006A6281">
        <w:t xml:space="preserve"> providing Non-Spin,</w:t>
      </w:r>
      <w:r>
        <w:t xml:space="preserve"> the</w:t>
      </w:r>
      <w:r w:rsidRPr="006A6281">
        <w:t xml:space="preserve"> “Scheduled Power Consumption Plus Two Hours,” representing the QSE’s forecast of the </w:t>
      </w:r>
      <w:r w:rsidR="0011303E">
        <w:t>CLR</w:t>
      </w:r>
      <w:r w:rsidRPr="006A6281">
        <w:t>’s instantaneous power consumption for a point two hours in the future</w:t>
      </w:r>
      <w:r w:rsidR="00C23DEE">
        <w:t>; and</w:t>
      </w:r>
      <w:r>
        <w:t xml:space="preserve"> </w:t>
      </w:r>
    </w:p>
    <w:p w14:paraId="6EECBD9D" w14:textId="0B72923B" w:rsidR="00C23DEE" w:rsidRDefault="00C23DEE" w:rsidP="001F04FD">
      <w:pPr>
        <w:pStyle w:val="List"/>
      </w:pPr>
      <w:r w:rsidRPr="00F06E8E">
        <w:t>(n)</w:t>
      </w:r>
      <w:r w:rsidRPr="00F06E8E">
        <w:tab/>
        <w:t>For an ESR, the next Operating Hour’s Ancillary Service Resource Responsibility for each quantity of Reg-Up, Reg-Down, ECRS, RRS and Non-Spin.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40FC6" w14:paraId="24633124" w14:textId="77777777" w:rsidTr="009942F9">
        <w:trPr>
          <w:trHeight w:val="566"/>
        </w:trPr>
        <w:tc>
          <w:tcPr>
            <w:tcW w:w="9350" w:type="dxa"/>
            <w:shd w:val="pct12" w:color="auto" w:fill="auto"/>
          </w:tcPr>
          <w:p w14:paraId="3A0939B8" w14:textId="59E13A79" w:rsidR="00440FC6" w:rsidRDefault="000C75ED" w:rsidP="00D94BFC">
            <w:pPr>
              <w:pStyle w:val="Instructions"/>
              <w:spacing w:before="120"/>
            </w:pPr>
            <w:r>
              <w:t>[</w:t>
            </w:r>
            <w:r w:rsidR="00440FC6">
              <w:t>NPRR1010</w:t>
            </w:r>
            <w:r w:rsidR="00A46896">
              <w:t xml:space="preserve"> and</w:t>
            </w:r>
            <w:r>
              <w:t xml:space="preserve"> NPRR1029</w:t>
            </w:r>
            <w:r w:rsidR="00440FC6">
              <w:t xml:space="preserve">:  Replace applicable portions of paragraph (5) above with the following upon system implementation for </w:t>
            </w:r>
            <w:r>
              <w:t>NPRR1029</w:t>
            </w:r>
            <w:r w:rsidR="00440FC6">
              <w:t>; or upon system implementation of the Real-Time Co-Optimization (RTC) project for NPRR1010:]</w:t>
            </w:r>
          </w:p>
          <w:p w14:paraId="4EBB7AB9" w14:textId="77777777" w:rsidR="00440FC6" w:rsidRPr="003161DC" w:rsidRDefault="00440FC6" w:rsidP="00440FC6">
            <w:pPr>
              <w:spacing w:after="240"/>
              <w:ind w:left="720" w:hanging="720"/>
            </w:pPr>
            <w:r w:rsidRPr="003161DC">
              <w:t>(5)</w:t>
            </w:r>
            <w:r w:rsidRPr="003161DC">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sidRPr="003161DC">
              <w:rPr>
                <w:b/>
              </w:rPr>
              <w:t xml:space="preserve"> </w:t>
            </w:r>
          </w:p>
          <w:p w14:paraId="095FEE91" w14:textId="77777777" w:rsidR="00440FC6" w:rsidRPr="003161DC" w:rsidRDefault="00440FC6" w:rsidP="00440FC6">
            <w:pPr>
              <w:spacing w:after="240"/>
              <w:ind w:left="1440" w:hanging="720"/>
            </w:pPr>
            <w:r w:rsidRPr="003161DC">
              <w:t>(a)</w:t>
            </w:r>
            <w:r w:rsidRPr="003161DC">
              <w:tab/>
              <w:t>Load Resource net real power consumption (in MW);</w:t>
            </w:r>
          </w:p>
          <w:p w14:paraId="404FDE9B" w14:textId="77777777" w:rsidR="00440FC6" w:rsidRPr="003161DC" w:rsidRDefault="00440FC6" w:rsidP="00440FC6">
            <w:pPr>
              <w:spacing w:after="240"/>
              <w:ind w:left="1440" w:hanging="720"/>
            </w:pPr>
            <w:r w:rsidRPr="003161DC">
              <w:t>(b)</w:t>
            </w:r>
            <w:r w:rsidRPr="003161DC">
              <w:tab/>
              <w:t>Any data mutually agreed to by ERCOT and the QSE to adequately manage system reliability;</w:t>
            </w:r>
          </w:p>
          <w:p w14:paraId="531BC769" w14:textId="18B6BDC6" w:rsidR="00440FC6" w:rsidRPr="003161DC" w:rsidRDefault="00440FC6" w:rsidP="00440FC6">
            <w:pPr>
              <w:spacing w:after="240"/>
              <w:ind w:left="1440" w:hanging="720"/>
            </w:pPr>
            <w:r w:rsidRPr="003161DC">
              <w:t>(c)</w:t>
            </w:r>
            <w:r w:rsidRPr="003161DC">
              <w:tab/>
              <w:t>Load Resource breaker status</w:t>
            </w:r>
            <w:r w:rsidR="001C2BC4">
              <w:t>, if applicable</w:t>
            </w:r>
            <w:r w:rsidRPr="003161DC">
              <w:t>;</w:t>
            </w:r>
          </w:p>
          <w:p w14:paraId="6BBDDE95" w14:textId="77777777" w:rsidR="00440FC6" w:rsidRPr="003161DC" w:rsidRDefault="00440FC6" w:rsidP="00440FC6">
            <w:pPr>
              <w:spacing w:after="240"/>
              <w:ind w:left="1440" w:hanging="720"/>
              <w:rPr>
                <w:lang w:val="it-IT"/>
              </w:rPr>
            </w:pPr>
            <w:r w:rsidRPr="003161DC">
              <w:rPr>
                <w:lang w:val="it-IT"/>
              </w:rPr>
              <w:t>(d)</w:t>
            </w:r>
            <w:r w:rsidRPr="003161DC">
              <w:rPr>
                <w:lang w:val="it-IT"/>
              </w:rPr>
              <w:tab/>
              <w:t>LPC (in MW);</w:t>
            </w:r>
          </w:p>
          <w:p w14:paraId="6E10F95B" w14:textId="77777777" w:rsidR="00440FC6" w:rsidRDefault="00440FC6" w:rsidP="00440FC6">
            <w:pPr>
              <w:spacing w:after="240"/>
              <w:ind w:left="1440" w:hanging="720"/>
              <w:rPr>
                <w:lang w:val="it-IT"/>
              </w:rPr>
            </w:pPr>
            <w:r w:rsidRPr="003161DC">
              <w:rPr>
                <w:lang w:val="it-IT"/>
              </w:rPr>
              <w:t>(e)</w:t>
            </w:r>
            <w:r w:rsidRPr="003161DC">
              <w:rPr>
                <w:lang w:val="it-IT"/>
              </w:rPr>
              <w:tab/>
              <w:t>MPC (in MW);</w:t>
            </w:r>
          </w:p>
          <w:p w14:paraId="1C3B0262" w14:textId="77777777" w:rsidR="00440FC6" w:rsidRPr="00591CB8" w:rsidRDefault="00440FC6" w:rsidP="00440FC6">
            <w:pPr>
              <w:spacing w:after="240"/>
              <w:ind w:left="1440" w:hanging="720"/>
            </w:pPr>
            <w:r w:rsidRPr="00591CB8">
              <w:lastRenderedPageBreak/>
              <w:t>(f)</w:t>
            </w:r>
            <w:r w:rsidRPr="00591CB8">
              <w:tab/>
              <w:t xml:space="preserve">The Load Resource’s Ancillary Service </w:t>
            </w:r>
            <w:r>
              <w:t>s</w:t>
            </w:r>
            <w:r w:rsidRPr="00591CB8">
              <w:t>elf</w:t>
            </w:r>
            <w:r>
              <w:t>-p</w:t>
            </w:r>
            <w:r w:rsidRPr="00591CB8">
              <w:t>rovision (in MW) for RRS and</w:t>
            </w:r>
            <w:r>
              <w:t>/or</w:t>
            </w:r>
            <w:r w:rsidRPr="00591CB8">
              <w:t xml:space="preserve"> ECRS provide</w:t>
            </w:r>
            <w:r>
              <w:t>d</w:t>
            </w:r>
            <w:r w:rsidRPr="00591CB8">
              <w:t xml:space="preserve"> via under-frequency relay;</w:t>
            </w:r>
          </w:p>
          <w:p w14:paraId="1ED739DA" w14:textId="6541D6A7" w:rsidR="00440FC6" w:rsidRPr="003161DC" w:rsidRDefault="00440FC6" w:rsidP="00440FC6">
            <w:pPr>
              <w:spacing w:before="240" w:after="240"/>
              <w:ind w:left="1440" w:hanging="720"/>
            </w:pPr>
            <w:r w:rsidRPr="003161DC">
              <w:t>(</w:t>
            </w:r>
            <w:r>
              <w:t>g</w:t>
            </w:r>
            <w:r w:rsidRPr="003161DC">
              <w:t>)</w:t>
            </w:r>
            <w:r w:rsidRPr="003161DC">
              <w:tab/>
              <w:t>The status of the high-set under-frequency relay, if required for qualification</w:t>
            </w:r>
            <w:r w:rsidR="001C2BC4">
              <w:t>.</w:t>
            </w:r>
            <w:r w:rsidR="001C2BC4" w:rsidRPr="0065726C">
              <w:t xml:space="preserve"> </w:t>
            </w:r>
            <w:r w:rsidR="001C2BC4">
              <w:t xml:space="preserve"> The </w:t>
            </w:r>
            <w:r w:rsidR="001C2BC4" w:rsidRPr="0065726C">
              <w:t>under-frequency relay</w:t>
            </w:r>
            <w:r w:rsidR="001C2BC4">
              <w:t xml:space="preserve"> for a Load Resource providing Non-Spin shall be disabled and the status of that relay shall indicate it as disabled or unarmed</w:t>
            </w:r>
            <w:r w:rsidRPr="003161DC">
              <w:t xml:space="preserve">; </w:t>
            </w:r>
          </w:p>
          <w:p w14:paraId="41D32847" w14:textId="75641BEA" w:rsidR="00440FC6" w:rsidRPr="003161DC" w:rsidRDefault="00440FC6" w:rsidP="00440FC6">
            <w:pPr>
              <w:spacing w:after="240"/>
              <w:ind w:left="1440" w:hanging="720"/>
            </w:pPr>
            <w:r w:rsidRPr="003161DC">
              <w:t>(</w:t>
            </w:r>
            <w:r>
              <w:t>h</w:t>
            </w:r>
            <w:r w:rsidRPr="003161DC">
              <w:t>)</w:t>
            </w:r>
            <w:r w:rsidRPr="003161DC">
              <w:tab/>
              <w:t>For a Controllable Load Resource</w:t>
            </w:r>
            <w:r w:rsidR="0011303E">
              <w:t xml:space="preserve"> (CLR)</w:t>
            </w:r>
            <w:r w:rsidRPr="003161DC">
              <w:t xml:space="preserve"> providing Non-Spin, the Scheduled Power Consumption that represents zero Ancillary Service deployments; </w:t>
            </w:r>
          </w:p>
          <w:p w14:paraId="5CBCFB97" w14:textId="4ED15F05" w:rsidR="00440FC6" w:rsidRPr="003161DC" w:rsidRDefault="00440FC6" w:rsidP="00440FC6">
            <w:pPr>
              <w:spacing w:after="240"/>
              <w:ind w:left="1440" w:hanging="720"/>
            </w:pPr>
            <w:r w:rsidRPr="003161DC">
              <w:t>(</w:t>
            </w:r>
            <w:r>
              <w:t>i</w:t>
            </w:r>
            <w:r w:rsidRPr="003161DC">
              <w:t>)</w:t>
            </w:r>
            <w:r w:rsidRPr="003161DC">
              <w:tab/>
              <w:t xml:space="preserve">For a single-site </w:t>
            </w:r>
            <w:r w:rsidR="0011303E">
              <w:t>CLR</w:t>
            </w:r>
            <w:r w:rsidRPr="003161DC">
              <w:t xml:space="preserve"> with registered maximum Demand response capacity of ten MW or greater, net Reactive Power (in MVAr);</w:t>
            </w:r>
          </w:p>
          <w:p w14:paraId="590CBADA" w14:textId="77777777" w:rsidR="00440FC6" w:rsidRPr="003161DC" w:rsidRDefault="00440FC6" w:rsidP="00440FC6">
            <w:pPr>
              <w:spacing w:after="240"/>
              <w:ind w:left="1440" w:hanging="720"/>
            </w:pPr>
            <w:r w:rsidRPr="003161DC">
              <w:t>(</w:t>
            </w:r>
            <w:r>
              <w:t>j</w:t>
            </w:r>
            <w:r w:rsidRPr="003161DC">
              <w:t>)</w:t>
            </w:r>
            <w:r w:rsidRPr="003161DC">
              <w:tab/>
              <w:t xml:space="preserve">Resource Status; </w:t>
            </w:r>
          </w:p>
          <w:p w14:paraId="586925B8" w14:textId="4E1EF85B" w:rsidR="00440FC6" w:rsidRDefault="00440FC6" w:rsidP="00440FC6">
            <w:pPr>
              <w:spacing w:after="240"/>
              <w:ind w:left="1440" w:hanging="720"/>
            </w:pPr>
            <w:r w:rsidRPr="003161DC">
              <w:t>(</w:t>
            </w:r>
            <w:r>
              <w:t>k</w:t>
            </w:r>
            <w:r w:rsidRPr="003161DC">
              <w:t>)</w:t>
            </w:r>
            <w:r w:rsidRPr="003161DC">
              <w:tab/>
              <w:t>For a</w:t>
            </w:r>
            <w:r w:rsidR="007F5C35">
              <w:t>n</w:t>
            </w:r>
            <w:r w:rsidRPr="003161DC">
              <w:t xml:space="preserve"> </w:t>
            </w:r>
            <w:r w:rsidR="007F5C35">
              <w:t>Aggregate</w:t>
            </w:r>
            <w:r w:rsidRPr="003161DC">
              <w:t xml:space="preserve"> Load Resource </w:t>
            </w:r>
            <w:r w:rsidR="007F5C35">
              <w:t xml:space="preserve">(ALR) </w:t>
            </w:r>
            <w:r w:rsidRPr="003161DC">
              <w:t xml:space="preserve">providing Non-Spin, the “Scheduled Power Consumption Plus Two Hours,” representing the QSE’s forecast of the </w:t>
            </w:r>
            <w:r w:rsidR="0011303E">
              <w:t>CLR</w:t>
            </w:r>
            <w:r w:rsidRPr="003161DC">
              <w:t>’s instantaneous power consumption for a point two hours in the future</w:t>
            </w:r>
            <w:r>
              <w:t>;</w:t>
            </w:r>
            <w:r w:rsidRPr="003161DC">
              <w:t xml:space="preserve"> </w:t>
            </w:r>
          </w:p>
          <w:p w14:paraId="54D8EC98" w14:textId="77777777" w:rsidR="00440FC6" w:rsidRDefault="00440FC6" w:rsidP="00440FC6">
            <w:pPr>
              <w:spacing w:after="240"/>
              <w:ind w:left="1440" w:hanging="720"/>
            </w:pPr>
            <w:r>
              <w:t>(l)</w:t>
            </w:r>
            <w:r>
              <w:tab/>
              <w:t>For RRS, including any sub-categories of RRS, the current physical capability (in MW) of the Resource to provide RRS;</w:t>
            </w:r>
          </w:p>
          <w:p w14:paraId="20F95A83" w14:textId="77777777" w:rsidR="00440FC6" w:rsidRDefault="00440FC6" w:rsidP="00440FC6">
            <w:pPr>
              <w:spacing w:after="240"/>
              <w:ind w:left="1440" w:hanging="720"/>
            </w:pPr>
            <w:r>
              <w:t>(m)</w:t>
            </w:r>
            <w:r>
              <w:tab/>
              <w:t>For Ancillary Service products other than RRS, a blended Normal Ramp Rate (in MW/min) that reflects the current physical capability of the Resource’s ability to provide a particular Ancillary Service product; and</w:t>
            </w:r>
          </w:p>
          <w:p w14:paraId="5EBD6F49" w14:textId="0EFE0BF8" w:rsidR="00440FC6" w:rsidRPr="00B37C4B" w:rsidRDefault="00440FC6" w:rsidP="00440FC6">
            <w:pPr>
              <w:spacing w:after="240"/>
              <w:ind w:left="1440" w:hanging="720"/>
            </w:pPr>
            <w:r>
              <w:t>(n)</w:t>
            </w:r>
            <w:r>
              <w:tab/>
              <w:t xml:space="preserve">For a </w:t>
            </w:r>
            <w:r w:rsidR="0011303E">
              <w:t>CLR</w:t>
            </w:r>
            <w:r>
              <w:t>, 5-minute blended Normal Ramp Rates (up and down).</w:t>
            </w:r>
          </w:p>
        </w:tc>
      </w:tr>
    </w:tbl>
    <w:p w14:paraId="22F921D9" w14:textId="77777777" w:rsidR="0053481C" w:rsidRDefault="0053481C" w:rsidP="0053481C">
      <w:pPr>
        <w:pStyle w:val="BodyTextNumbered"/>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3481C" w14:paraId="70C86A8C" w14:textId="77777777" w:rsidTr="009E7633">
        <w:trPr>
          <w:trHeight w:val="206"/>
        </w:trPr>
        <w:tc>
          <w:tcPr>
            <w:tcW w:w="9350" w:type="dxa"/>
            <w:shd w:val="pct12" w:color="auto" w:fill="auto"/>
          </w:tcPr>
          <w:p w14:paraId="4A94475D" w14:textId="04E96193" w:rsidR="0053481C" w:rsidRDefault="0053481C" w:rsidP="009E7633">
            <w:pPr>
              <w:pStyle w:val="Instructions"/>
              <w:spacing w:before="120"/>
            </w:pPr>
            <w:r>
              <w:t>[NPRR1014</w:t>
            </w:r>
            <w:r w:rsidR="000C75ED">
              <w:t xml:space="preserve"> and NPRR1029</w:t>
            </w:r>
            <w:r>
              <w:t xml:space="preserve">:  Insert </w:t>
            </w:r>
            <w:r w:rsidR="000C75ED">
              <w:t xml:space="preserve">applicable portions of </w:t>
            </w:r>
            <w:r>
              <w:t>paragraph (6) below upon system implementation and renumber accordingly:]</w:t>
            </w:r>
          </w:p>
          <w:p w14:paraId="23F4CE4D" w14:textId="77777777" w:rsidR="0053481C" w:rsidRPr="00A552C3" w:rsidRDefault="0053481C" w:rsidP="0053481C">
            <w:pPr>
              <w:spacing w:after="240"/>
              <w:ind w:left="720" w:hanging="720"/>
            </w:pPr>
            <w:r w:rsidRPr="00A552C3">
              <w:t>(6)</w:t>
            </w:r>
            <w:r w:rsidRPr="00A552C3">
              <w:tab/>
              <w:t>A QSE representing an ESR connected to Transmission Facilities or distribution facilities shall provide the following Real-Time telemetry data to ERCOT for each ESR.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019B2403" w14:textId="77777777" w:rsidR="0053481C" w:rsidRPr="00A552C3" w:rsidRDefault="0053481C" w:rsidP="0053481C">
            <w:pPr>
              <w:spacing w:after="240"/>
              <w:ind w:left="1440" w:hanging="720"/>
            </w:pPr>
            <w:r w:rsidRPr="00A552C3">
              <w:t>(a)</w:t>
            </w:r>
            <w:r w:rsidRPr="00A552C3">
              <w:tab/>
              <w:t xml:space="preserve">Net real power consumption or output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or consumption of an ESR for all real power dispatch purposes, including use in Security-Constrained Economic Dispatch (SCED), in determination of High Dispatch Limit (HDL), and Low </w:t>
            </w:r>
            <w:r w:rsidRPr="00A552C3">
              <w:lastRenderedPageBreak/>
              <w:t>Dispatch Limit (LDL) and is consistent with telemetered HSL, LSL and Frequency Responsive Capacity (FRC);</w:t>
            </w:r>
          </w:p>
          <w:p w14:paraId="37C137DE" w14:textId="77777777" w:rsidR="0053481C" w:rsidRPr="00A552C3" w:rsidRDefault="0053481C" w:rsidP="0053481C">
            <w:pPr>
              <w:spacing w:after="240"/>
              <w:ind w:left="1440" w:hanging="720"/>
            </w:pPr>
            <w:r w:rsidRPr="00A552C3">
              <w:t>(b)</w:t>
            </w:r>
            <w:r w:rsidRPr="00A552C3">
              <w:tab/>
              <w:t>Gross real power consumption or output (in MW) as measured by installed power metering or as calculated in accordance with the Operating Guides based on metered real power, which may include Supervisory Control and Data Acquisition (SCADA) metering, and conversion constants determined by the Resource Entity and provided to ERCOT through the Resource Registration process;</w:t>
            </w:r>
          </w:p>
          <w:p w14:paraId="0A892302" w14:textId="77777777" w:rsidR="0053481C" w:rsidRPr="00A552C3" w:rsidRDefault="0053481C" w:rsidP="0053481C">
            <w:pPr>
              <w:spacing w:after="240"/>
              <w:ind w:left="1440" w:hanging="720"/>
            </w:pPr>
            <w:r w:rsidRPr="00A552C3">
              <w:t>(c)</w:t>
            </w:r>
            <w:r w:rsidRPr="00A552C3">
              <w:tab/>
              <w:t>Gross Reactive Power (in Megavolt-Amperes reactive (MVAr));</w:t>
            </w:r>
          </w:p>
          <w:p w14:paraId="4A10BD1F" w14:textId="77777777" w:rsidR="0053481C" w:rsidRPr="00A552C3" w:rsidRDefault="0053481C" w:rsidP="0053481C">
            <w:pPr>
              <w:spacing w:after="240"/>
              <w:ind w:left="1440" w:hanging="720"/>
            </w:pPr>
            <w:r w:rsidRPr="00A552C3">
              <w:t>(d)</w:t>
            </w:r>
            <w:r w:rsidRPr="00A552C3">
              <w:tab/>
              <w:t>Net Reactive Power (in MVAr);</w:t>
            </w:r>
          </w:p>
          <w:p w14:paraId="7F342D58" w14:textId="77777777" w:rsidR="0053481C" w:rsidRPr="00A552C3" w:rsidRDefault="0053481C" w:rsidP="0053481C">
            <w:pPr>
              <w:spacing w:after="240"/>
              <w:ind w:left="1440" w:hanging="720"/>
            </w:pPr>
            <w:r w:rsidRPr="00A552C3">
              <w:t>(e)</w:t>
            </w:r>
            <w:r w:rsidRPr="00A552C3">
              <w:tab/>
              <w:t>Power to standby transformers serving plant auxiliary Load;</w:t>
            </w:r>
          </w:p>
          <w:p w14:paraId="0FBC7611" w14:textId="77777777" w:rsidR="0053481C" w:rsidRPr="00A552C3" w:rsidRDefault="0053481C" w:rsidP="0053481C">
            <w:pPr>
              <w:spacing w:after="240"/>
              <w:ind w:left="1440" w:hanging="720"/>
            </w:pPr>
            <w:r w:rsidRPr="00A552C3">
              <w:t>(f)</w:t>
            </w:r>
            <w:r w:rsidRPr="00A552C3">
              <w:tab/>
              <w:t>Status of switching devices in the plant switchyard not monitored by the TSP or DSP affecting flows on the ERCOT Transmission Grid;</w:t>
            </w:r>
          </w:p>
          <w:p w14:paraId="4C0A2FA2" w14:textId="77777777" w:rsidR="0053481C" w:rsidRPr="00A552C3" w:rsidRDefault="0053481C" w:rsidP="0053481C">
            <w:pPr>
              <w:spacing w:after="240"/>
              <w:ind w:left="1440" w:hanging="720"/>
            </w:pPr>
            <w:r w:rsidRPr="00A552C3">
              <w:t>(g)</w:t>
            </w:r>
            <w:r w:rsidRPr="00A552C3">
              <w:tab/>
              <w:t>Any data mutually agreed to by ERCOT and the QSE to adequately manage system reliability;</w:t>
            </w:r>
          </w:p>
          <w:p w14:paraId="3DD2424D" w14:textId="77777777" w:rsidR="0053481C" w:rsidRPr="00A552C3" w:rsidRDefault="0053481C" w:rsidP="0053481C">
            <w:pPr>
              <w:spacing w:after="240"/>
              <w:ind w:left="1440" w:hanging="720"/>
            </w:pPr>
            <w:r w:rsidRPr="00A552C3">
              <w:t>(h)</w:t>
            </w:r>
            <w:r w:rsidRPr="00A552C3">
              <w:tab/>
              <w:t>ESR breaker and switch status;</w:t>
            </w:r>
          </w:p>
          <w:p w14:paraId="464665C1" w14:textId="77777777" w:rsidR="0053481C" w:rsidRPr="00A552C3" w:rsidRDefault="0053481C" w:rsidP="0053481C">
            <w:pPr>
              <w:spacing w:after="240"/>
              <w:ind w:left="1440" w:hanging="720"/>
            </w:pPr>
            <w:r w:rsidRPr="00A552C3">
              <w:t>(i)</w:t>
            </w:r>
            <w:r w:rsidRPr="00A552C3">
              <w:tab/>
              <w:t xml:space="preserve">HSL;  </w:t>
            </w:r>
          </w:p>
          <w:p w14:paraId="15BA7887" w14:textId="77777777" w:rsidR="0053481C" w:rsidRPr="00A552C3" w:rsidRDefault="0053481C" w:rsidP="0053481C">
            <w:pPr>
              <w:spacing w:after="240"/>
              <w:ind w:left="1440" w:hanging="720"/>
            </w:pPr>
            <w:r w:rsidRPr="00A552C3">
              <w:t>(j)</w:t>
            </w:r>
            <w:r w:rsidRPr="00A552C3">
              <w:tab/>
              <w:t>High Emergency Limit (HEL), under Section 6.5.9.2, Failure of the SCED Process;</w:t>
            </w:r>
          </w:p>
          <w:p w14:paraId="2DAE9D99" w14:textId="77777777" w:rsidR="0053481C" w:rsidRPr="00A552C3" w:rsidRDefault="0053481C" w:rsidP="0053481C">
            <w:pPr>
              <w:spacing w:after="240"/>
              <w:ind w:left="1440" w:hanging="720"/>
            </w:pPr>
            <w:r w:rsidRPr="00A552C3">
              <w:t>(k)</w:t>
            </w:r>
            <w:r w:rsidRPr="00A552C3">
              <w:tab/>
              <w:t xml:space="preserve">Low Emergency Limit (LEL), under Section 6.5.9.2; </w:t>
            </w:r>
          </w:p>
          <w:p w14:paraId="1EE0C629" w14:textId="77777777" w:rsidR="0053481C" w:rsidRPr="00A552C3" w:rsidRDefault="0053481C" w:rsidP="0053481C">
            <w:pPr>
              <w:spacing w:after="240"/>
              <w:ind w:left="1440" w:hanging="720"/>
            </w:pPr>
            <w:r w:rsidRPr="00A552C3">
              <w:t>(l)</w:t>
            </w:r>
            <w:r w:rsidRPr="00A552C3">
              <w:tab/>
              <w:t>LSL;</w:t>
            </w:r>
          </w:p>
          <w:p w14:paraId="301EC2A0" w14:textId="77777777" w:rsidR="0053481C" w:rsidRPr="00A552C3" w:rsidRDefault="0053481C" w:rsidP="0053481C">
            <w:pPr>
              <w:spacing w:after="240"/>
              <w:ind w:left="1440" w:hanging="720"/>
            </w:pPr>
            <w:r w:rsidRPr="00A552C3">
              <w:t>(m)</w:t>
            </w:r>
            <w:r w:rsidRPr="00A552C3">
              <w:tab/>
              <w:t>For RRS, including any sub-category of RRS, the current physical capability (in MW) of the Resource to provide RRS;</w:t>
            </w:r>
          </w:p>
          <w:p w14:paraId="271D42A7" w14:textId="77777777" w:rsidR="0053481C" w:rsidRPr="00A552C3" w:rsidRDefault="0053481C" w:rsidP="0053481C">
            <w:pPr>
              <w:spacing w:after="240"/>
              <w:ind w:left="1440" w:hanging="720"/>
            </w:pPr>
            <w:r w:rsidRPr="00A552C3">
              <w:t>(n)</w:t>
            </w:r>
            <w:r w:rsidRPr="00A552C3">
              <w:tab/>
              <w:t>For Ancillary Services other than RRS, a blended ramp rate (in MW/min) that reflects the current physical capability of the Resource to provide that specific type of Ancillary Service; and</w:t>
            </w:r>
          </w:p>
          <w:p w14:paraId="3582AA34" w14:textId="194F0FCE" w:rsidR="0053481C" w:rsidRPr="00B37C4B" w:rsidRDefault="0053481C" w:rsidP="0053481C">
            <w:pPr>
              <w:spacing w:after="240"/>
              <w:ind w:left="1440" w:hanging="720"/>
            </w:pPr>
            <w:r w:rsidRPr="00A552C3">
              <w:t>(o)</w:t>
            </w:r>
            <w:r w:rsidRPr="00A552C3">
              <w:tab/>
              <w:t xml:space="preserve">Five-minute blended </w:t>
            </w:r>
            <w:r>
              <w:t>normal up and down ramp rates;</w:t>
            </w:r>
          </w:p>
        </w:tc>
      </w:tr>
    </w:tbl>
    <w:p w14:paraId="6B7A2921" w14:textId="1B915D33" w:rsidR="001F04FD" w:rsidRDefault="001F04FD" w:rsidP="000B1D41">
      <w:pPr>
        <w:pStyle w:val="BodyTextNumbered"/>
        <w:spacing w:before="240"/>
      </w:pPr>
      <w:r>
        <w:lastRenderedPageBreak/>
        <w:t>(6)</w:t>
      </w:r>
      <w:r>
        <w:tab/>
        <w:t>A QSE with Resources used in SCED shall provide communications equipment to receive ERCOT-telemetered control deployments.</w:t>
      </w:r>
    </w:p>
    <w:p w14:paraId="4888CC1A" w14:textId="77777777" w:rsidR="001F04FD" w:rsidRDefault="001F04FD" w:rsidP="001F04FD">
      <w:pPr>
        <w:pStyle w:val="BodyTextNumbered"/>
      </w:pPr>
      <w:r>
        <w:t>(7)</w:t>
      </w:r>
      <w:r>
        <w:tab/>
        <w:t xml:space="preserve">A QSE providing any Regulation Service shall provide telemetry indicating the appropriate status of Resources providing Reg-Up or Reg-Down, including status </w:t>
      </w:r>
      <w:r>
        <w:lastRenderedPageBreak/>
        <w:t>indicating whether the Resource is temporarily blocked from receiving Reg-Up and/or Reg-Down deployments from the QSE.  This temporary blocking will be indicated by the enabling of the Raise Block Status and/or Lower Block Status telemetry points.</w:t>
      </w:r>
    </w:p>
    <w:p w14:paraId="430AD7B0" w14:textId="77777777" w:rsidR="001F04FD" w:rsidRDefault="001F04FD" w:rsidP="001F04FD">
      <w:pPr>
        <w:pStyle w:val="BodyTextNumbered"/>
        <w:ind w:left="1440"/>
      </w:pPr>
      <w:r>
        <w:t>(a)</w:t>
      </w:r>
      <w:r>
        <w:tab/>
      </w:r>
      <w:r w:rsidRPr="00A143F4">
        <w:rPr>
          <w:iCs/>
        </w:rPr>
        <w:t xml:space="preserve">Raise Block Status and Lower Block Status are telemetry points used in </w:t>
      </w:r>
      <w:r>
        <w:t>transient unit conditions to communicate to ERCOT that a Resource’s ability to adjust its output has been unexpectedly impaired.</w:t>
      </w:r>
    </w:p>
    <w:p w14:paraId="12015767" w14:textId="77777777" w:rsidR="001F04FD" w:rsidRDefault="001F04FD" w:rsidP="001F04FD">
      <w:pPr>
        <w:pStyle w:val="BodyTextNumbered"/>
        <w:ind w:left="1440"/>
      </w:pPr>
      <w:r>
        <w:t>(b)</w:t>
      </w:r>
      <w:r>
        <w:tab/>
        <w:t>When one or both of the telemetry points are enabled for a Resource, ERCOT will cease using the regulation capacity assigned to that Resource for Ancillary Service deployment.</w:t>
      </w:r>
    </w:p>
    <w:p w14:paraId="5882C370" w14:textId="77777777" w:rsidR="001F04FD" w:rsidRDefault="001F04FD" w:rsidP="001F04FD">
      <w:pPr>
        <w:pStyle w:val="BodyTextNumbered"/>
        <w:ind w:left="1440"/>
      </w:pPr>
      <w:r>
        <w:t>(c)</w:t>
      </w:r>
      <w:r>
        <w:tab/>
        <w:t>This hiatus of deployment will not excuse the Resource’s obligation to provide the Ancillary Services for which it has been committed.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40FC6" w14:paraId="00464DAE" w14:textId="77777777" w:rsidTr="00440FC6">
        <w:trPr>
          <w:trHeight w:val="206"/>
        </w:trPr>
        <w:tc>
          <w:tcPr>
            <w:tcW w:w="9350" w:type="dxa"/>
            <w:shd w:val="pct12" w:color="auto" w:fill="auto"/>
          </w:tcPr>
          <w:p w14:paraId="73D2C975" w14:textId="6BA497C4" w:rsidR="00440FC6" w:rsidRDefault="00440FC6" w:rsidP="00D94BFC">
            <w:pPr>
              <w:pStyle w:val="Instructions"/>
              <w:spacing w:before="120"/>
            </w:pPr>
            <w:r>
              <w:t>[NPRR1010</w:t>
            </w:r>
            <w:r w:rsidR="000C75ED">
              <w:t xml:space="preserve">, </w:t>
            </w:r>
            <w:r w:rsidR="0053481C">
              <w:t>NPRR1014</w:t>
            </w:r>
            <w:r w:rsidR="000C75ED">
              <w:t>, and NPRR1029</w:t>
            </w:r>
            <w:r>
              <w:t>:  Replace</w:t>
            </w:r>
            <w:r w:rsidR="0053481C">
              <w:t xml:space="preserve"> applicable portions of</w:t>
            </w:r>
            <w:r>
              <w:t xml:space="preserve"> paragraph (c) above with the following upon system implementation of the Real-Time Co-Optimization (RTC) project</w:t>
            </w:r>
            <w:r w:rsidR="0053481C">
              <w:t xml:space="preserve"> for NPRR1010; or upon system implementation for NPRR1014</w:t>
            </w:r>
            <w:r w:rsidR="000C75ED">
              <w:t xml:space="preserve"> or NPRR1029</w:t>
            </w:r>
            <w:r>
              <w:t>:]</w:t>
            </w:r>
          </w:p>
          <w:p w14:paraId="78877953" w14:textId="43156B5A" w:rsidR="00440FC6" w:rsidRPr="00B37C4B" w:rsidRDefault="00440FC6" w:rsidP="00440FC6">
            <w:pPr>
              <w:spacing w:after="240"/>
              <w:ind w:left="1440" w:hanging="720"/>
            </w:pPr>
            <w:r w:rsidRPr="003161DC">
              <w:t>(c)</w:t>
            </w:r>
            <w:r w:rsidRPr="003161DC">
              <w:tab/>
              <w:t xml:space="preserve">This hiatus of deployment will not excuse the Resource’s obligation to provide the Ancillary Services for which it has been </w:t>
            </w:r>
            <w:r>
              <w:t>awarded.</w:t>
            </w:r>
          </w:p>
        </w:tc>
      </w:tr>
    </w:tbl>
    <w:p w14:paraId="2B90824B" w14:textId="4CEB7ABF" w:rsidR="001F04FD" w:rsidRDefault="001F04FD" w:rsidP="000B1D41">
      <w:pPr>
        <w:pStyle w:val="BodyTextNumbered"/>
        <w:spacing w:before="240"/>
        <w:ind w:left="1440"/>
      </w:pPr>
      <w:r>
        <w:t>(d)</w:t>
      </w:r>
      <w: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61E35295" w14:textId="77777777" w:rsidR="001F04FD" w:rsidRDefault="001F04FD" w:rsidP="001F04FD">
      <w:pPr>
        <w:pStyle w:val="BodyTextNumbered"/>
        <w:ind w:left="1440"/>
      </w:pPr>
      <w:r>
        <w:t>(e)</w:t>
      </w:r>
      <w:r>
        <w:tab/>
        <w:t xml:space="preserve">The Resource limits and Ancillary Service telemetry shall be updated as soon as practicable.  </w:t>
      </w:r>
      <w:r w:rsidRPr="00A143F4">
        <w:rPr>
          <w:iCs/>
        </w:rPr>
        <w:t>Raise Block Status and Lower Block Status</w:t>
      </w:r>
      <w:r>
        <w:rPr>
          <w:iCs/>
        </w:rPr>
        <w:t xml:space="preserve"> will then be disabled.</w:t>
      </w:r>
      <w:r>
        <w:t xml:space="preserve"> </w:t>
      </w:r>
    </w:p>
    <w:p w14:paraId="68E40813" w14:textId="77777777" w:rsidR="001F04FD" w:rsidRDefault="001F04FD" w:rsidP="001F04FD">
      <w:pPr>
        <w:pStyle w:val="BodyTextNumbered"/>
      </w:pPr>
      <w:r>
        <w:t>(8)</w:t>
      </w:r>
      <w:r>
        <w:tab/>
        <w:t>Real-Time data for reliability purposes must be accurate to within three percent.  This telemetry may be provided from relaying accuracy instrumentation transformers.</w:t>
      </w:r>
    </w:p>
    <w:p w14:paraId="0F16BAF7" w14:textId="77777777" w:rsidR="001F04FD" w:rsidRDefault="001F04FD" w:rsidP="001F04FD">
      <w:pPr>
        <w:pStyle w:val="BodyTextNumbered"/>
      </w:pPr>
      <w:r>
        <w:t>(9)</w:t>
      </w:r>
      <w:r>
        <w:tab/>
        <w:t xml:space="preserve">Each QSE shall report the current configuration of combined-cycle Resources that it represents to ERCOT.  </w:t>
      </w:r>
      <w:r w:rsidRPr="00B840E3">
        <w:rPr>
          <w:iCs/>
        </w:rPr>
        <w:t xml:space="preserve">The telemetered Resource Status for a Combined Cycle Generation Resource may only be assigned a Resource Status of OFFNS if no generation units within that Combined Cycle Generation Resource </w:t>
      </w:r>
      <w:r>
        <w:rPr>
          <w:iCs/>
        </w:rPr>
        <w:t>are</w:t>
      </w:r>
      <w:r w:rsidRPr="00B840E3">
        <w:rPr>
          <w:iCs/>
        </w:rPr>
        <w:t xml:space="preserve"> On-Line</w:t>
      </w:r>
      <w:r>
        <w:rPr>
          <w:iCs/>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40FC6" w14:paraId="6FA00E9B" w14:textId="77777777" w:rsidTr="00D94BFC">
        <w:trPr>
          <w:trHeight w:val="206"/>
        </w:trPr>
        <w:tc>
          <w:tcPr>
            <w:tcW w:w="9350" w:type="dxa"/>
            <w:shd w:val="pct12" w:color="auto" w:fill="auto"/>
          </w:tcPr>
          <w:p w14:paraId="48454AB1" w14:textId="53FB53F3" w:rsidR="00440FC6" w:rsidRDefault="00440FC6" w:rsidP="00D94BFC">
            <w:pPr>
              <w:pStyle w:val="Instructions"/>
              <w:spacing w:before="120"/>
            </w:pPr>
            <w:r>
              <w:t>[NPRR1010</w:t>
            </w:r>
            <w:r w:rsidR="000C75ED">
              <w:t>,</w:t>
            </w:r>
            <w:r w:rsidR="0053481C">
              <w:t xml:space="preserve"> NPRR1014</w:t>
            </w:r>
            <w:r w:rsidR="000C75ED">
              <w:t>, and NPRR1029</w:t>
            </w:r>
            <w:r>
              <w:t>:  Replace</w:t>
            </w:r>
            <w:r w:rsidR="0053481C">
              <w:t xml:space="preserve"> applicable portions of</w:t>
            </w:r>
            <w:r>
              <w:t xml:space="preserve"> paragraph (9) above with the following upon system implementation of the Real-Time Co-Optimization (RTC) project</w:t>
            </w:r>
            <w:r w:rsidR="0053481C">
              <w:t xml:space="preserve"> for NPRR1010; or upon system implementation for NPRR1014</w:t>
            </w:r>
            <w:r w:rsidR="000C75ED">
              <w:t xml:space="preserve"> or NPRR1029</w:t>
            </w:r>
            <w:r>
              <w:t>:]</w:t>
            </w:r>
          </w:p>
          <w:p w14:paraId="254F55EC" w14:textId="6914CD0F" w:rsidR="00440FC6" w:rsidRPr="00B37C4B" w:rsidRDefault="00440FC6" w:rsidP="00440FC6">
            <w:pPr>
              <w:spacing w:after="240"/>
              <w:ind w:left="720" w:hanging="720"/>
            </w:pPr>
            <w:r w:rsidRPr="007342BB">
              <w:lastRenderedPageBreak/>
              <w:t>(9)</w:t>
            </w:r>
            <w:r w:rsidRPr="007342BB">
              <w:tab/>
              <w:t xml:space="preserve">Each QSE shall report the current configuration of combined-cycle Resources that it represents to ERCOT.  </w:t>
            </w:r>
            <w:r w:rsidRPr="007342BB">
              <w:rPr>
                <w:iCs/>
              </w:rPr>
              <w:t>The telemetered Resource Status for a Combined Cycle Generation Resource may only be assigned a Resource Status of OFF if no generation units within that Combined Cycle Generation Resource are On-Line.</w:t>
            </w:r>
          </w:p>
        </w:tc>
      </w:tr>
    </w:tbl>
    <w:p w14:paraId="760F4515" w14:textId="16C45BE9" w:rsidR="001F04FD" w:rsidRDefault="001F04FD" w:rsidP="000B1D41">
      <w:pPr>
        <w:pStyle w:val="BodyTextNumbered"/>
        <w:spacing w:before="240"/>
      </w:pPr>
      <w:r>
        <w:lastRenderedPageBreak/>
        <w:t>(10)</w:t>
      </w:r>
      <w: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42DA2F0A" w14:textId="77777777" w:rsidR="001F04FD" w:rsidRDefault="001F04FD" w:rsidP="001F04FD">
      <w:pPr>
        <w:pStyle w:val="List"/>
      </w:pPr>
      <w:r>
        <w:t>(a)</w:t>
      </w:r>
      <w:r>
        <w:tab/>
        <w:t>Combustion turbine inlet air cooling methods;</w:t>
      </w:r>
    </w:p>
    <w:p w14:paraId="474B6893" w14:textId="77777777" w:rsidR="001F04FD" w:rsidRDefault="001F04FD" w:rsidP="001F04FD">
      <w:pPr>
        <w:pStyle w:val="List"/>
      </w:pPr>
      <w:r>
        <w:t>(b)</w:t>
      </w:r>
      <w:r>
        <w:tab/>
        <w:t xml:space="preserve">Duct firing; </w:t>
      </w:r>
    </w:p>
    <w:p w14:paraId="32F7B65B" w14:textId="77777777" w:rsidR="001F04FD" w:rsidRDefault="001F04FD" w:rsidP="001F04FD">
      <w:pPr>
        <w:pStyle w:val="List"/>
      </w:pPr>
      <w:r>
        <w:t>(c)</w:t>
      </w:r>
      <w:r>
        <w:tab/>
        <w:t>Other ways of temporarily increasing the output of Combined Cycle Generation Resources; and</w:t>
      </w:r>
    </w:p>
    <w:p w14:paraId="641B8A90" w14:textId="77777777" w:rsidR="001F04FD" w:rsidRDefault="001F04FD" w:rsidP="001F04FD">
      <w:pPr>
        <w:spacing w:after="240"/>
        <w:ind w:left="1440" w:hanging="720"/>
      </w:pPr>
      <w:r>
        <w:t>(d)</w:t>
      </w:r>
      <w: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818" w:name="_Toc73216011"/>
    </w:p>
    <w:p w14:paraId="0F9F976C" w14:textId="77777777" w:rsidR="001F04FD" w:rsidRDefault="001F04FD" w:rsidP="001F04FD">
      <w:pPr>
        <w:spacing w:after="240"/>
        <w:ind w:left="720" w:hanging="720"/>
      </w:pPr>
      <w:r>
        <w:t>(11)</w:t>
      </w:r>
      <w:r>
        <w:tab/>
      </w:r>
      <w:r w:rsidRPr="002F52BF">
        <w:t xml:space="preserve">A QSE representing </w:t>
      </w:r>
      <w:r>
        <w:t xml:space="preserve">Generation Resources other than </w:t>
      </w:r>
      <w:r w:rsidRPr="002F52BF">
        <w:t xml:space="preserve">Combined Cycle Generation Resources </w:t>
      </w:r>
      <w:r>
        <w:t>may telemeter an NFRC value for their Generation Resource only if the QSE or Resource Entity associated with that Generation Resource has first requested and obtained ERCOT’s approval of the Generation Resource’s NFRC quantity.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C4B72" w14:paraId="5950E382" w14:textId="77777777" w:rsidTr="00D94BFC">
        <w:trPr>
          <w:trHeight w:val="206"/>
        </w:trPr>
        <w:tc>
          <w:tcPr>
            <w:tcW w:w="9350" w:type="dxa"/>
            <w:shd w:val="pct12" w:color="auto" w:fill="auto"/>
          </w:tcPr>
          <w:p w14:paraId="266AF71B" w14:textId="4BE8FC2F" w:rsidR="009C4B72" w:rsidRDefault="009C4B72" w:rsidP="00D94BFC">
            <w:pPr>
              <w:pStyle w:val="Instructions"/>
              <w:spacing w:before="120"/>
            </w:pPr>
            <w:r>
              <w:t>[NPRR1010</w:t>
            </w:r>
            <w:r w:rsidR="000C75ED">
              <w:t>,</w:t>
            </w:r>
            <w:r w:rsidR="0053481C">
              <w:t xml:space="preserve"> NPRR1014</w:t>
            </w:r>
            <w:r w:rsidR="000C75ED">
              <w:t>, and NPRR1029</w:t>
            </w:r>
            <w:r>
              <w:t xml:space="preserve">:  Replace </w:t>
            </w:r>
            <w:r w:rsidR="0053481C">
              <w:t xml:space="preserve">applicable portions of </w:t>
            </w:r>
            <w:r>
              <w:t>paragraph (11) above with the following upon system implementation of the Real-Time Co-Optimization (RTC) project</w:t>
            </w:r>
            <w:r w:rsidR="0053481C">
              <w:t xml:space="preserve"> for NPRR1010; or upon system implementation for NPRR1014</w:t>
            </w:r>
            <w:r w:rsidR="000C75ED">
              <w:t xml:space="preserve"> or NPRR1029</w:t>
            </w:r>
            <w:r>
              <w:t>:]</w:t>
            </w:r>
          </w:p>
          <w:p w14:paraId="709683F3" w14:textId="7B295AEF" w:rsidR="009C4B72" w:rsidRPr="00B37C4B" w:rsidRDefault="009C4B72" w:rsidP="009C4B72">
            <w:pPr>
              <w:spacing w:after="240"/>
              <w:ind w:left="720" w:hanging="720"/>
            </w:pPr>
            <w:r w:rsidRPr="003161DC">
              <w:t>(11)</w:t>
            </w:r>
            <w:r w:rsidRPr="003161DC">
              <w:tab/>
              <w:t xml:space="preserve">A QSE representing </w:t>
            </w:r>
            <w:r>
              <w:t xml:space="preserve">a </w:t>
            </w:r>
            <w:r w:rsidRPr="003161DC">
              <w:t xml:space="preserve">Generation Resource other than </w:t>
            </w:r>
            <w:r>
              <w:t xml:space="preserve">a </w:t>
            </w:r>
            <w:r w:rsidRPr="003161DC">
              <w:t xml:space="preserve">Combined Cycle Generation Resource may </w:t>
            </w:r>
            <w:r>
              <w:t xml:space="preserve">provide FRC </w:t>
            </w:r>
            <w:r w:rsidRPr="003161DC">
              <w:t>telemetr</w:t>
            </w:r>
            <w:r>
              <w:t>y</w:t>
            </w:r>
            <w:r w:rsidRPr="003161DC">
              <w:t xml:space="preserve"> for the Generation Resource only if the QSE or Resource Entity associated with that Generation Resource has first requested and obtained ERCOT’s approval.</w:t>
            </w:r>
          </w:p>
        </w:tc>
      </w:tr>
    </w:tbl>
    <w:p w14:paraId="4BEF11CC" w14:textId="0193BDDC" w:rsidR="006D3418" w:rsidRPr="000F6D2E" w:rsidRDefault="006D3418" w:rsidP="006D3418">
      <w:pPr>
        <w:spacing w:before="240" w:after="240"/>
        <w:ind w:left="720" w:hanging="720"/>
      </w:pPr>
      <w:r w:rsidRPr="000F6D2E">
        <w:t>(12)</w:t>
      </w:r>
      <w:r w:rsidRPr="000F6D2E">
        <w:tab/>
        <w:t>A QSE representing an ESR shall provide the following Real-Time telemetry data to ERCOT for each ESR:</w:t>
      </w:r>
    </w:p>
    <w:p w14:paraId="2D8A9102" w14:textId="66B26B8A" w:rsidR="006D3418" w:rsidRPr="000F6D2E" w:rsidRDefault="006D3418" w:rsidP="006D3418">
      <w:pPr>
        <w:spacing w:after="240"/>
        <w:ind w:left="1440" w:hanging="720"/>
      </w:pPr>
      <w:r w:rsidRPr="000F6D2E">
        <w:t>(</w:t>
      </w:r>
      <w:r>
        <w:t>a</w:t>
      </w:r>
      <w:r w:rsidRPr="000F6D2E">
        <w:t>)</w:t>
      </w:r>
      <w:r w:rsidRPr="000F6D2E">
        <w:tab/>
        <w:t>Maximum State of Charge</w:t>
      </w:r>
      <w:r w:rsidR="00C23DEE">
        <w:t xml:space="preserve"> (MaxSOC)</w:t>
      </w:r>
      <w:r w:rsidRPr="000F6D2E">
        <w:t>, in MWh;</w:t>
      </w:r>
    </w:p>
    <w:p w14:paraId="37E9C1A9" w14:textId="6FE4A4B5" w:rsidR="006D3418" w:rsidRPr="000F6D2E" w:rsidRDefault="006D3418" w:rsidP="006D3418">
      <w:pPr>
        <w:spacing w:after="240"/>
        <w:ind w:left="1440" w:hanging="720"/>
      </w:pPr>
      <w:r w:rsidRPr="000F6D2E">
        <w:t>(</w:t>
      </w:r>
      <w:r>
        <w:t>b</w:t>
      </w:r>
      <w:r w:rsidRPr="000F6D2E">
        <w:t>)</w:t>
      </w:r>
      <w:r w:rsidRPr="000F6D2E">
        <w:tab/>
        <w:t>Minimum State of Charge</w:t>
      </w:r>
      <w:r w:rsidR="00C23DEE">
        <w:t xml:space="preserve"> (MinSOC)</w:t>
      </w:r>
      <w:r w:rsidRPr="000F6D2E">
        <w:t>, in MWh;</w:t>
      </w:r>
    </w:p>
    <w:p w14:paraId="1DB73242" w14:textId="3EC4C5C4" w:rsidR="006D3418" w:rsidRPr="000F6D2E" w:rsidRDefault="006D3418" w:rsidP="006D3418">
      <w:pPr>
        <w:spacing w:after="240"/>
        <w:ind w:left="1440" w:hanging="720"/>
      </w:pPr>
      <w:r>
        <w:lastRenderedPageBreak/>
        <w:t>(c</w:t>
      </w:r>
      <w:r w:rsidRPr="000F6D2E">
        <w:t>)</w:t>
      </w:r>
      <w:r w:rsidRPr="000F6D2E">
        <w:tab/>
        <w:t>State of Charge</w:t>
      </w:r>
      <w:r w:rsidR="00C23DEE">
        <w:t xml:space="preserve"> (SOC)</w:t>
      </w:r>
      <w:r w:rsidRPr="000F6D2E">
        <w:t>, in MWh;</w:t>
      </w:r>
    </w:p>
    <w:p w14:paraId="180FDADB" w14:textId="187F3826" w:rsidR="006D3418" w:rsidRPr="000F6D2E" w:rsidRDefault="006D3418" w:rsidP="006D3418">
      <w:pPr>
        <w:spacing w:after="240"/>
        <w:ind w:left="1440" w:hanging="720"/>
      </w:pPr>
      <w:r>
        <w:t>(d</w:t>
      </w:r>
      <w:r w:rsidRPr="000F6D2E">
        <w:t>)</w:t>
      </w:r>
      <w:r w:rsidRPr="000F6D2E">
        <w:tab/>
        <w:t>Maximum Operating Discharge Power Limit, in MW;</w:t>
      </w:r>
      <w:r>
        <w:t xml:space="preserve"> and</w:t>
      </w:r>
    </w:p>
    <w:p w14:paraId="15EC4923" w14:textId="77777777" w:rsidR="00C23DEE" w:rsidRDefault="006D3418" w:rsidP="00C23DEE">
      <w:pPr>
        <w:spacing w:after="240"/>
        <w:ind w:left="1440" w:hanging="720"/>
      </w:pPr>
      <w:r w:rsidRPr="000F6D2E">
        <w:t>(</w:t>
      </w:r>
      <w:r>
        <w:t>e</w:t>
      </w:r>
      <w:r w:rsidRPr="000F6D2E">
        <w:t>)</w:t>
      </w:r>
      <w:r w:rsidRPr="000F6D2E">
        <w:tab/>
        <w:t>Maximum Operating Charge Power Limit, in MW.</w:t>
      </w:r>
    </w:p>
    <w:p w14:paraId="184A15EC" w14:textId="77777777" w:rsidR="00C23DEE" w:rsidRPr="006F5A43" w:rsidRDefault="00C23DEE" w:rsidP="00C23DEE">
      <w:pPr>
        <w:spacing w:after="240"/>
        <w:ind w:left="720" w:hanging="720"/>
      </w:pPr>
      <w:r w:rsidRPr="006F5A43">
        <w:t>(13)</w:t>
      </w:r>
      <w:r w:rsidRPr="006F5A43">
        <w:tab/>
        <w:t>The QSE shall ensure that the SOC is greater than or equal to the MinSOC and less than or equal to the MaxSOC.</w:t>
      </w:r>
    </w:p>
    <w:p w14:paraId="6D37CFCE" w14:textId="15C2A7D3" w:rsidR="00C23DEE" w:rsidRPr="006F5A43" w:rsidRDefault="00C23DEE" w:rsidP="00C23DEE">
      <w:pPr>
        <w:spacing w:after="240"/>
        <w:ind w:left="720" w:hanging="720"/>
        <w:rPr>
          <w:iCs/>
        </w:rPr>
      </w:pPr>
      <w:r w:rsidRPr="006F5A43">
        <w:rPr>
          <w:iCs/>
        </w:rPr>
        <w:t>(14)</w:t>
      </w:r>
      <w:r w:rsidRPr="006F5A43">
        <w:rPr>
          <w:iCs/>
        </w:rPr>
        <w:tab/>
        <w:t>For each ESR, ERCOT shall include in the HASL calculation the SOC that is available for an injection Base Point or the additional energy that the ESR can charge in the next SCED interval.  For the purposes of paragraph (14), X equals 0.</w:t>
      </w:r>
    </w:p>
    <w:p w14:paraId="112C0035" w14:textId="77777777" w:rsidR="00C23DEE" w:rsidRPr="006F5A43" w:rsidRDefault="00C23DEE" w:rsidP="00C23DEE">
      <w:pPr>
        <w:spacing w:after="240"/>
        <w:ind w:left="1440" w:hanging="720"/>
        <w:rPr>
          <w:szCs w:val="24"/>
        </w:rPr>
      </w:pPr>
      <w:r w:rsidRPr="006F5A43">
        <w:t>(a)</w:t>
      </w:r>
      <w:r w:rsidRPr="006F5A43">
        <w:tab/>
        <w:t>SOC</w:t>
      </w:r>
      <w:r w:rsidRPr="006F5A43">
        <w:rPr>
          <w:szCs w:val="24"/>
        </w:rPr>
        <w:t xml:space="preserve"> available for an injection Base Point in the next SCED interval is the: </w:t>
      </w:r>
    </w:p>
    <w:p w14:paraId="6010BA28" w14:textId="77777777" w:rsidR="00C23DEE" w:rsidRPr="006F5A43" w:rsidRDefault="00C23DEE" w:rsidP="00C23DEE">
      <w:pPr>
        <w:spacing w:after="240"/>
        <w:ind w:left="2160" w:hanging="720"/>
        <w:rPr>
          <w:iCs/>
        </w:rPr>
      </w:pPr>
      <w:r w:rsidRPr="006F5A43">
        <w:rPr>
          <w:iCs/>
        </w:rPr>
        <w:t>(i)</w:t>
      </w:r>
      <w:r w:rsidRPr="006F5A43">
        <w:rPr>
          <w:iCs/>
        </w:rPr>
        <w:tab/>
        <w:t xml:space="preserve">Telemetered SOC; </w:t>
      </w:r>
    </w:p>
    <w:p w14:paraId="7CC2869D" w14:textId="77777777" w:rsidR="00C23DEE" w:rsidRPr="006F5A43" w:rsidRDefault="00C23DEE" w:rsidP="00C23DEE">
      <w:pPr>
        <w:spacing w:after="240"/>
        <w:ind w:left="2160" w:hanging="720"/>
        <w:rPr>
          <w:iCs/>
        </w:rPr>
      </w:pPr>
      <w:r w:rsidRPr="006F5A43">
        <w:rPr>
          <w:iCs/>
        </w:rPr>
        <w:t>(ii)</w:t>
      </w:r>
      <w:r w:rsidRPr="006F5A43">
        <w:rPr>
          <w:iCs/>
        </w:rPr>
        <w:tab/>
        <w:t xml:space="preserve">Minus the sum of the individual SOC requirements for each up Ancillary Service (ECRS, Non-Spin, RRS, or Reg-Up) the ESR is carrying at that time; </w:t>
      </w:r>
    </w:p>
    <w:p w14:paraId="4DB33F6D" w14:textId="77777777" w:rsidR="00C23DEE" w:rsidRPr="006F5A43" w:rsidRDefault="00C23DEE" w:rsidP="00C23DEE">
      <w:pPr>
        <w:spacing w:after="240"/>
        <w:ind w:left="2880" w:hanging="720"/>
        <w:rPr>
          <w:iCs/>
        </w:rPr>
      </w:pPr>
      <w:r w:rsidRPr="006F5A43">
        <w:rPr>
          <w:iCs/>
        </w:rPr>
        <w:t>(A)</w:t>
      </w:r>
      <w:r w:rsidRPr="006F5A43">
        <w:rPr>
          <w:iCs/>
        </w:rPr>
        <w:tab/>
        <w:t xml:space="preserve">The SOC requirement for each up Ancillary Service, excluding RRS from Fast Frequency Response (FFR) and Fast Responding Regulation Service (FRRS), is equal to the ESR’s Ancillary Service Resource Responsibility multiplied by the remaining time in the Operating Hour, in hours. </w:t>
      </w:r>
      <w:r>
        <w:rPr>
          <w:iCs/>
        </w:rPr>
        <w:t xml:space="preserve"> </w:t>
      </w:r>
      <w:r w:rsidRPr="006F5A43">
        <w:rPr>
          <w:iCs/>
        </w:rPr>
        <w:t xml:space="preserve">Prior to X minutes before the end of current Operating Hour, this requirement may increase to account for the up Ancillary Services that the ESR is required to provide in the next Operating Hour.  The SOC requirement for an ESR providing RRS from FFR is equal to the ESR’s Ancillary Service Resource Responsibility for FFR multiplied by 0.25 hours.  If FFR is deployed, an SOC credit will be given such that: </w:t>
      </w:r>
    </w:p>
    <w:p w14:paraId="70952551" w14:textId="77777777" w:rsidR="00C23DEE" w:rsidRPr="006F5A43" w:rsidRDefault="00C23DEE" w:rsidP="00C23DEE">
      <w:pPr>
        <w:spacing w:after="240"/>
        <w:ind w:left="3600" w:hanging="720"/>
        <w:rPr>
          <w:iCs/>
        </w:rPr>
      </w:pPr>
      <w:r w:rsidRPr="006F5A43">
        <w:rPr>
          <w:iCs/>
        </w:rPr>
        <w:t>(1)</w:t>
      </w:r>
      <w:r w:rsidRPr="006F5A43">
        <w:rPr>
          <w:iCs/>
        </w:rPr>
        <w:tab/>
        <w:t>Until FFR is recalled, the SOC credit is equal to the ESR’s Ancillary Service Resource Responsibility for FFR at the time of deployment multiplied by the lower of the elapsed time since the beginning of the deployment and 0.25 hours;</w:t>
      </w:r>
    </w:p>
    <w:p w14:paraId="24C583C5" w14:textId="77777777" w:rsidR="00C23DEE" w:rsidRPr="006F5A43" w:rsidRDefault="00C23DEE" w:rsidP="00C23DEE">
      <w:pPr>
        <w:spacing w:after="240"/>
        <w:ind w:left="3600" w:hanging="720"/>
        <w:rPr>
          <w:iCs/>
        </w:rPr>
      </w:pPr>
      <w:r w:rsidRPr="006F5A43">
        <w:rPr>
          <w:iCs/>
        </w:rPr>
        <w:t>(2)</w:t>
      </w:r>
      <w:r w:rsidRPr="006F5A43">
        <w:rPr>
          <w:iCs/>
        </w:rPr>
        <w:tab/>
        <w:t>For the 15 minutes following the recall of FFR, the SOC credit is equal to the lower of the SOC credit just prior to FFR recall and the ESR’s Ancillary Service Resource Responsibility for FFR for the current hour multiplied by 0.25 hours;</w:t>
      </w:r>
    </w:p>
    <w:p w14:paraId="485CF368" w14:textId="77777777" w:rsidR="00C23DEE" w:rsidRPr="006F5A43" w:rsidRDefault="00C23DEE" w:rsidP="00C23DEE">
      <w:pPr>
        <w:spacing w:after="240"/>
        <w:ind w:left="3600" w:hanging="720"/>
        <w:rPr>
          <w:iCs/>
        </w:rPr>
      </w:pPr>
      <w:r w:rsidRPr="006F5A43">
        <w:rPr>
          <w:iCs/>
        </w:rPr>
        <w:t>(3)</w:t>
      </w:r>
      <w:r w:rsidRPr="006F5A43">
        <w:rPr>
          <w:iCs/>
        </w:rPr>
        <w:tab/>
        <w:t>Beginning 15 minutes after FFR recall, the SOC credit is zero; and</w:t>
      </w:r>
    </w:p>
    <w:p w14:paraId="30F2CAA1" w14:textId="77777777" w:rsidR="00C23DEE" w:rsidRPr="006F5A43" w:rsidRDefault="00C23DEE" w:rsidP="00C23DEE">
      <w:pPr>
        <w:spacing w:after="240"/>
        <w:ind w:left="3600" w:hanging="720"/>
        <w:rPr>
          <w:iCs/>
        </w:rPr>
      </w:pPr>
      <w:r w:rsidRPr="006F5A43">
        <w:rPr>
          <w:iCs/>
        </w:rPr>
        <w:lastRenderedPageBreak/>
        <w:t>(4)</w:t>
      </w:r>
      <w:r w:rsidRPr="006F5A43">
        <w:rPr>
          <w:iCs/>
        </w:rPr>
        <w:tab/>
        <w:t>If another FFR event occurs within 15 minutes after a previous FFR event has been recalled, the SOC credit for the first event calculated in paragraph (2) above will be applied to the SOC credit for each additional FFR event.</w:t>
      </w:r>
    </w:p>
    <w:p w14:paraId="6D5440E7" w14:textId="77777777" w:rsidR="00C23DEE" w:rsidRPr="006F5A43" w:rsidRDefault="00C23DEE" w:rsidP="00C23DEE">
      <w:pPr>
        <w:spacing w:after="240"/>
        <w:ind w:left="2160" w:hanging="720"/>
        <w:rPr>
          <w:iCs/>
        </w:rPr>
      </w:pPr>
      <w:r w:rsidRPr="006F5A43">
        <w:rPr>
          <w:iCs/>
        </w:rPr>
        <w:t>(iii)</w:t>
      </w:r>
      <w:r w:rsidRPr="006F5A43">
        <w:rPr>
          <w:iCs/>
        </w:rPr>
        <w:tab/>
        <w:t>Minus the telemetered MinSOC.</w:t>
      </w:r>
    </w:p>
    <w:p w14:paraId="544AC385" w14:textId="77777777" w:rsidR="00C23DEE" w:rsidRPr="006F5A43" w:rsidRDefault="00C23DEE" w:rsidP="00C23DEE">
      <w:pPr>
        <w:spacing w:after="240"/>
        <w:ind w:left="1440" w:hanging="720"/>
        <w:rPr>
          <w:szCs w:val="24"/>
        </w:rPr>
      </w:pPr>
      <w:r w:rsidRPr="006F5A43">
        <w:rPr>
          <w:szCs w:val="24"/>
        </w:rPr>
        <w:t>(b)</w:t>
      </w:r>
      <w:r w:rsidRPr="006F5A43">
        <w:rPr>
          <w:szCs w:val="24"/>
        </w:rPr>
        <w:tab/>
        <w:t>The additional energy that the ESR can charge in the next SCED interval is the:</w:t>
      </w:r>
    </w:p>
    <w:p w14:paraId="533BAAD8" w14:textId="77777777" w:rsidR="00C23DEE" w:rsidRPr="006F5A43" w:rsidRDefault="00C23DEE" w:rsidP="00C23DEE">
      <w:pPr>
        <w:spacing w:after="240"/>
        <w:ind w:left="2160" w:hanging="720"/>
        <w:rPr>
          <w:iCs/>
        </w:rPr>
      </w:pPr>
      <w:r w:rsidRPr="006F5A43">
        <w:rPr>
          <w:iCs/>
        </w:rPr>
        <w:t>(i)</w:t>
      </w:r>
      <w:r w:rsidRPr="006F5A43">
        <w:rPr>
          <w:iCs/>
        </w:rPr>
        <w:tab/>
        <w:t>Telemetered MaxSOC;</w:t>
      </w:r>
    </w:p>
    <w:p w14:paraId="3315FF08" w14:textId="77777777" w:rsidR="00C23DEE" w:rsidRPr="006F5A43" w:rsidRDefault="00C23DEE" w:rsidP="00C23DEE">
      <w:pPr>
        <w:spacing w:after="240"/>
        <w:ind w:left="2160" w:hanging="720"/>
        <w:rPr>
          <w:iCs/>
        </w:rPr>
      </w:pPr>
      <w:r w:rsidRPr="006F5A43">
        <w:rPr>
          <w:iCs/>
        </w:rPr>
        <w:t>(ii)</w:t>
      </w:r>
      <w:r w:rsidRPr="006F5A43">
        <w:rPr>
          <w:iCs/>
        </w:rPr>
        <w:tab/>
        <w:t>Minus the SOC margin required for the Reg-Down Ancillary Service Resource Responsibility the ESR is carrying at that time, which is calculated as the ESR’s Reg-Down Ancillary Service Resource Responsibility multiplied by the remaining time in the Operating Hour, in hours.  Prior to X minutes before the end of current Operating Hour, this SOC margin requirement may increase to account for the Regulation Down the ESR is planning to provide in the next Operating Hour;</w:t>
      </w:r>
    </w:p>
    <w:p w14:paraId="32AF87EA" w14:textId="6DE59239" w:rsidR="00C23DEE" w:rsidRDefault="00C23DEE" w:rsidP="00C23DEE">
      <w:pPr>
        <w:spacing w:after="240"/>
        <w:ind w:left="2160" w:hanging="720"/>
      </w:pPr>
      <w:r w:rsidRPr="006F5A43">
        <w:rPr>
          <w:iCs/>
        </w:rPr>
        <w:t>(iii)</w:t>
      </w:r>
      <w:r w:rsidRPr="006F5A43">
        <w:rPr>
          <w:iCs/>
        </w:rPr>
        <w:tab/>
        <w:t>Minus telemetered SOC.</w:t>
      </w:r>
    </w:p>
    <w:p w14:paraId="2E4D43D0" w14:textId="5089C0F2" w:rsidR="006D3418" w:rsidRDefault="006D3418" w:rsidP="00947351">
      <w:pPr>
        <w:spacing w:after="240"/>
        <w:ind w:left="720" w:hanging="720"/>
      </w:pPr>
      <w:r>
        <w:t>(1</w:t>
      </w:r>
      <w:r w:rsidR="00C23DEE">
        <w:t>5</w:t>
      </w:r>
      <w:r>
        <w:t>)</w:t>
      </w:r>
      <w:r>
        <w:tab/>
        <w:t>I</w:t>
      </w:r>
      <w:r w:rsidRPr="000F6D2E">
        <w:t xml:space="preserve">n accordance with ERCOT Protocols, NERC Reliability Standards, and Governmental Authority requirements, </w:t>
      </w:r>
      <w:r>
        <w:t>ERCOT shall make the</w:t>
      </w:r>
      <w:r w:rsidRPr="000F6D2E">
        <w:t xml:space="preserve"> data </w:t>
      </w:r>
      <w:r>
        <w:t xml:space="preserve">specified in paragraph (12) available </w:t>
      </w:r>
      <w:r w:rsidRPr="000F6D2E">
        <w:t xml:space="preserve">to </w:t>
      </w:r>
      <w:r>
        <w:t xml:space="preserve">any </w:t>
      </w:r>
      <w:r w:rsidRPr="000F6D2E">
        <w:t xml:space="preserve">requesting TSP </w:t>
      </w:r>
      <w:r>
        <w:t>or</w:t>
      </w:r>
      <w:r w:rsidRPr="000F6D2E">
        <w:t xml:space="preserve"> DSP</w:t>
      </w:r>
      <w:r>
        <w:t xml:space="preserve"> </w:t>
      </w:r>
      <w:r w:rsidRPr="000F6D2E">
        <w:t>at the requesting TSP’s or DSP’s expense</w:t>
      </w:r>
      <w: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E2BE2" w14:paraId="30F8E82E" w14:textId="77777777" w:rsidTr="004D1724">
        <w:trPr>
          <w:trHeight w:val="566"/>
        </w:trPr>
        <w:tc>
          <w:tcPr>
            <w:tcW w:w="9350" w:type="dxa"/>
            <w:shd w:val="pct12" w:color="auto" w:fill="auto"/>
          </w:tcPr>
          <w:p w14:paraId="7880CD4B" w14:textId="6602173E" w:rsidR="008E2BE2" w:rsidRDefault="008E2BE2" w:rsidP="00044161">
            <w:pPr>
              <w:pStyle w:val="Instructions"/>
              <w:spacing w:before="60"/>
            </w:pPr>
            <w:bookmarkStart w:id="819" w:name="_Toc397504953"/>
            <w:bookmarkStart w:id="820" w:name="_Toc402357081"/>
            <w:bookmarkStart w:id="821" w:name="_Toc422486461"/>
            <w:bookmarkStart w:id="822" w:name="_Toc433093313"/>
            <w:bookmarkStart w:id="823" w:name="_Toc433093471"/>
            <w:bookmarkStart w:id="824" w:name="_Toc440874700"/>
            <w:bookmarkStart w:id="825" w:name="_Toc448142255"/>
            <w:bookmarkStart w:id="826" w:name="_Toc448142412"/>
            <w:bookmarkStart w:id="827" w:name="_Toc458770248"/>
            <w:bookmarkStart w:id="828" w:name="_Toc459294216"/>
            <w:bookmarkStart w:id="829" w:name="_Toc463262709"/>
            <w:bookmarkStart w:id="830" w:name="_Toc468286783"/>
            <w:bookmarkStart w:id="831" w:name="_Toc481502829"/>
            <w:r>
              <w:t>[NPRR</w:t>
            </w:r>
            <w:r w:rsidR="004D1724">
              <w:t>1077</w:t>
            </w:r>
            <w:r>
              <w:t>:  Insert paragraph</w:t>
            </w:r>
            <w:r w:rsidR="004D1724">
              <w:t>s</w:t>
            </w:r>
            <w:r>
              <w:t xml:space="preserve"> (1</w:t>
            </w:r>
            <w:r w:rsidR="00C23DEE">
              <w:t>6</w:t>
            </w:r>
            <w:r>
              <w:t>)</w:t>
            </w:r>
            <w:r w:rsidR="004D1724">
              <w:t>-(1</w:t>
            </w:r>
            <w:r w:rsidR="00C23DEE">
              <w:t>8</w:t>
            </w:r>
            <w:r w:rsidR="004D1724">
              <w:t>)</w:t>
            </w:r>
            <w:r>
              <w:t xml:space="preserve"> below upon system implementation:]</w:t>
            </w:r>
          </w:p>
          <w:p w14:paraId="28CA20C2" w14:textId="56C576FC" w:rsidR="004D1724" w:rsidRDefault="004D1724" w:rsidP="004D1724">
            <w:pPr>
              <w:spacing w:before="240" w:after="240"/>
              <w:ind w:left="720" w:hanging="720"/>
            </w:pPr>
            <w:r>
              <w:t>(1</w:t>
            </w:r>
            <w:r w:rsidR="00C23DEE">
              <w:t>6</w:t>
            </w:r>
            <w:r>
              <w:t>)</w:t>
            </w:r>
            <w:r>
              <w:tab/>
              <w:t xml:space="preserve">Except as provided in paragraph (15) </w:t>
            </w:r>
            <w:r w:rsidRPr="0044661A">
              <w:t>below</w:t>
            </w:r>
            <w:r>
              <w:t>, a</w:t>
            </w:r>
            <w:r w:rsidRPr="00F44E9E">
              <w:t xml:space="preserve"> QSE representing a S</w:t>
            </w:r>
            <w:r>
              <w:t>ettlement Only Generator (S</w:t>
            </w:r>
            <w:r w:rsidRPr="00F44E9E">
              <w:t>OG</w:t>
            </w:r>
            <w:r>
              <w:t>)</w:t>
            </w:r>
            <w:r w:rsidRPr="00F44E9E">
              <w:t xml:space="preserve"> shall provide ERCOT </w:t>
            </w:r>
            <w:r>
              <w:t xml:space="preserve">the following </w:t>
            </w:r>
            <w:r w:rsidRPr="00F44E9E">
              <w:t>Real-Time telemetry</w:t>
            </w:r>
            <w:r>
              <w:t>:</w:t>
            </w:r>
          </w:p>
          <w:p w14:paraId="6D5768F2" w14:textId="4E452B6E" w:rsidR="004D1724" w:rsidRDefault="004D1724" w:rsidP="004D1724">
            <w:pPr>
              <w:spacing w:after="240"/>
              <w:ind w:left="1440" w:hanging="720"/>
            </w:pPr>
            <w:r>
              <w:t>(a)</w:t>
            </w:r>
            <w:r>
              <w:tab/>
              <w:t>Net real power injection</w:t>
            </w:r>
            <w:r w:rsidRPr="00586653">
              <w:t xml:space="preserve"> at the Point of Interconnection</w:t>
            </w:r>
            <w:r>
              <w:t xml:space="preserve"> (POI)</w:t>
            </w:r>
            <w:r w:rsidRPr="00586653">
              <w:t xml:space="preserve"> or Point of Common Coupling</w:t>
            </w:r>
            <w:r>
              <w:t xml:space="preserve"> (POCC) for each site with one or more SOGs;</w:t>
            </w:r>
          </w:p>
          <w:p w14:paraId="4D620E24" w14:textId="4E9FEB6F" w:rsidR="004D1724" w:rsidRDefault="004D1724" w:rsidP="004D1724">
            <w:pPr>
              <w:spacing w:after="240"/>
              <w:ind w:left="1440" w:hanging="720"/>
            </w:pPr>
            <w:r>
              <w:t>(b)</w:t>
            </w:r>
            <w:r>
              <w:tab/>
              <w:t xml:space="preserve">For any site with one or more ESSs that are registered as an SOG, net real power withdrawal </w:t>
            </w:r>
            <w:r w:rsidRPr="00F44E9E">
              <w:t xml:space="preserve">at the </w:t>
            </w:r>
            <w:r>
              <w:t>POI</w:t>
            </w:r>
            <w:r w:rsidRPr="00F44E9E">
              <w:t xml:space="preserve"> or </w:t>
            </w:r>
            <w:r>
              <w:t>POCC;</w:t>
            </w:r>
          </w:p>
          <w:p w14:paraId="45C5493A" w14:textId="77777777" w:rsidR="004D1724" w:rsidRDefault="004D1724" w:rsidP="004D1724">
            <w:pPr>
              <w:spacing w:after="240"/>
              <w:ind w:left="1440" w:hanging="720"/>
            </w:pPr>
            <w:r>
              <w:t>(c)</w:t>
            </w:r>
            <w:r>
              <w:tab/>
              <w:t>For each inverter at the site, gross</w:t>
            </w:r>
            <w:r w:rsidRPr="003D61C8">
              <w:t xml:space="preserve"> </w:t>
            </w:r>
            <w:r>
              <w:t>real power output measured at the generator terminals for all SOGs that are located behind that inverter, separately aggregated by fuel type;</w:t>
            </w:r>
          </w:p>
          <w:p w14:paraId="3C972138" w14:textId="15350042" w:rsidR="004D1724" w:rsidRDefault="004D1724" w:rsidP="004D1724">
            <w:pPr>
              <w:spacing w:after="240"/>
              <w:ind w:left="1440" w:hanging="720"/>
            </w:pPr>
            <w:r>
              <w:t>(d)</w:t>
            </w:r>
            <w:r>
              <w:tab/>
              <w:t>For SOGs at the same site that are not located behind an inverter, gross real power output measured at the generator terminals for all SOGs, separately aggregated by fuel type;</w:t>
            </w:r>
          </w:p>
          <w:p w14:paraId="0CE23172" w14:textId="2D57944F" w:rsidR="004D1724" w:rsidRDefault="004D1724" w:rsidP="004D1724">
            <w:pPr>
              <w:spacing w:after="240"/>
              <w:ind w:left="1440" w:hanging="720"/>
            </w:pPr>
            <w:r>
              <w:lastRenderedPageBreak/>
              <w:t>(e)</w:t>
            </w:r>
            <w:r>
              <w:tab/>
              <w:t>For any site with one or more ESSs registered as an SOG, for each inverter, gross real power withdrawal by all such ESSs that are located behind that inverter, as measured at the generator terminals; and</w:t>
            </w:r>
          </w:p>
          <w:p w14:paraId="5C8F9C8F" w14:textId="13E1543F" w:rsidR="004D1724" w:rsidRDefault="004D1724" w:rsidP="004D1724">
            <w:pPr>
              <w:spacing w:after="240"/>
              <w:ind w:left="1440" w:hanging="720"/>
            </w:pPr>
            <w:r>
              <w:t>(f)</w:t>
            </w:r>
            <w:r>
              <w:tab/>
              <w:t>Generator breaker status</w:t>
            </w:r>
            <w:r w:rsidRPr="003D61C8">
              <w:t>.</w:t>
            </w:r>
          </w:p>
          <w:p w14:paraId="0C75F1FE" w14:textId="0ACDC60C" w:rsidR="004D1724" w:rsidRDefault="004D1724" w:rsidP="00847E53">
            <w:pPr>
              <w:spacing w:after="240"/>
              <w:ind w:left="720" w:hanging="720"/>
            </w:pPr>
            <w:r>
              <w:t>(1</w:t>
            </w:r>
            <w:r w:rsidR="00C23DEE">
              <w:t>7</w:t>
            </w:r>
            <w:r>
              <w:t>)</w:t>
            </w:r>
            <w:r>
              <w:tab/>
              <w:t>A QSE is not required to</w:t>
            </w:r>
            <w:r w:rsidR="00847E53">
              <w:t xml:space="preserve"> provide telemetry for a Settlement Only Distribution Generator (SODG) </w:t>
            </w:r>
            <w:r>
              <w:t>if</w:t>
            </w:r>
            <w:r w:rsidRPr="0044661A">
              <w:t>:</w:t>
            </w:r>
          </w:p>
          <w:p w14:paraId="23D16129" w14:textId="51346795" w:rsidR="004D1724" w:rsidRDefault="004D1724" w:rsidP="004D1724">
            <w:pPr>
              <w:spacing w:after="240"/>
              <w:ind w:left="1440" w:hanging="720"/>
            </w:pPr>
            <w:r>
              <w:t>(a)</w:t>
            </w:r>
            <w:r>
              <w:tab/>
            </w:r>
            <w:r w:rsidR="00847E53">
              <w:t>T</w:t>
            </w:r>
            <w:r>
              <w:t xml:space="preserve">he site that includes the SODG has not exported more than 10 MWh in any calendar year, exclusive of any energy exported during any Settlement Interval in which an ERCOT-declared </w:t>
            </w:r>
            <w:r w:rsidRPr="009D1772">
              <w:t>Energy Emergency Alert (EEA)</w:t>
            </w:r>
            <w:r>
              <w:t xml:space="preserve"> is in effect; </w:t>
            </w:r>
          </w:p>
          <w:p w14:paraId="32892B1A" w14:textId="34F25F07" w:rsidR="004D1724" w:rsidRDefault="004D1724" w:rsidP="004D1724">
            <w:pPr>
              <w:spacing w:after="240"/>
              <w:ind w:left="1440" w:hanging="720"/>
            </w:pPr>
            <w:r>
              <w:t>(b)</w:t>
            </w:r>
            <w:r>
              <w:tab/>
            </w:r>
            <w:r w:rsidR="00847E53">
              <w:t>T</w:t>
            </w:r>
            <w:r>
              <w:t>he QSE or Resource Entity for the SODG has submitted a written request to ERCOT seeking an exemption from the telemetry requirements under this paragraph; and</w:t>
            </w:r>
          </w:p>
          <w:p w14:paraId="534749AE" w14:textId="04C6EB29" w:rsidR="004D1724" w:rsidRDefault="004D1724" w:rsidP="004D1724">
            <w:pPr>
              <w:spacing w:after="240"/>
              <w:ind w:left="1440" w:hanging="720"/>
            </w:pPr>
            <w:r>
              <w:t>(c)</w:t>
            </w:r>
            <w:r>
              <w:tab/>
              <w:t xml:space="preserve">ERCOT has provided the QSE or Resource Entity written confirmation that the SODG is exempt from providing telemetry under this paragraph. </w:t>
            </w:r>
          </w:p>
          <w:p w14:paraId="0050A5E5" w14:textId="45EAA361" w:rsidR="008E2BE2" w:rsidRPr="008E2BE2" w:rsidRDefault="004D1724" w:rsidP="00C23DEE">
            <w:pPr>
              <w:spacing w:after="240"/>
              <w:ind w:left="720" w:hanging="720"/>
            </w:pPr>
            <w:r>
              <w:t>(1</w:t>
            </w:r>
            <w:r w:rsidR="00C23DEE">
              <w:t>8</w:t>
            </w:r>
            <w:r>
              <w:t>)</w:t>
            </w:r>
            <w:r>
              <w:tab/>
              <w:t xml:space="preserve">If ERCOT determines that a site that includes an SODG has exported more than 10 MWh in a given calendar year, it shall notify the SODG’s QSE that the SODG is no longer eligible for the telemetry exemption.  Within 90 days of receiving this notification, the QSE for the SODG shall comply with the telemetry requirements of paragraph (14) </w:t>
            </w:r>
            <w:r w:rsidRPr="0044661A">
              <w:t>above</w:t>
            </w:r>
            <w:r>
              <w:t>.</w:t>
            </w:r>
          </w:p>
        </w:tc>
      </w:tr>
    </w:tbl>
    <w:p w14:paraId="57F00A12" w14:textId="77777777" w:rsidR="005C6D56" w:rsidRDefault="005C6D56" w:rsidP="005C6D56">
      <w:pPr>
        <w:pStyle w:val="H3"/>
        <w:spacing w:before="0" w:after="0"/>
      </w:pPr>
      <w:bookmarkStart w:id="832" w:name="_Toc496079997"/>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60"/>
      </w:tblGrid>
      <w:tr w:rsidR="005C6D56" w14:paraId="6504A8E4" w14:textId="77777777" w:rsidTr="00847E53">
        <w:trPr>
          <w:trHeight w:val="206"/>
        </w:trPr>
        <w:tc>
          <w:tcPr>
            <w:tcW w:w="9360" w:type="dxa"/>
            <w:shd w:val="pct12" w:color="auto" w:fill="auto"/>
          </w:tcPr>
          <w:p w14:paraId="2EBF4934" w14:textId="31166CF2" w:rsidR="005C6D56" w:rsidRDefault="005C6D56" w:rsidP="00CE1011">
            <w:pPr>
              <w:pStyle w:val="Instructions"/>
              <w:spacing w:before="120"/>
            </w:pPr>
            <w:r>
              <w:t>[NPRR885:  Insert paragraph (1</w:t>
            </w:r>
            <w:r w:rsidR="00C23DEE">
              <w:t>9</w:t>
            </w:r>
            <w:r>
              <w:t>) below upon system implementation:]</w:t>
            </w:r>
          </w:p>
          <w:p w14:paraId="7B68229C" w14:textId="6714B05D" w:rsidR="005C6D56" w:rsidRPr="00B37C4B" w:rsidRDefault="005C6D56" w:rsidP="006D3418">
            <w:pPr>
              <w:spacing w:before="240" w:after="240"/>
              <w:ind w:left="720" w:hanging="720"/>
            </w:pPr>
            <w:r>
              <w:t>(1</w:t>
            </w:r>
            <w:r w:rsidR="00C23DEE">
              <w:t>9</w:t>
            </w:r>
            <w:r>
              <w:t>)</w:t>
            </w:r>
            <w:r>
              <w:tab/>
              <w:t xml:space="preserve">A QSE representing </w:t>
            </w:r>
            <w:r w:rsidR="00DF66E2">
              <w:t xml:space="preserve">a Must-Run Alternative (MRA) </w:t>
            </w:r>
            <w:r>
              <w:t>shall telemeter</w:t>
            </w:r>
            <w:r w:rsidRPr="002E75F3">
              <w:t xml:space="preserve"> </w:t>
            </w:r>
            <w:r>
              <w:t>the MRA MW</w:t>
            </w:r>
            <w:r w:rsidRPr="00D3700F">
              <w:t xml:space="preserve"> currently available (unloaded) and </w:t>
            </w:r>
            <w:r>
              <w:t xml:space="preserve">not </w:t>
            </w:r>
            <w:r w:rsidRPr="00D3700F">
              <w:t>included in the HSL</w:t>
            </w:r>
            <w:r>
              <w:t>.</w:t>
            </w:r>
          </w:p>
        </w:tc>
      </w:tr>
    </w:tbl>
    <w:p w14:paraId="30A9E465" w14:textId="77777777" w:rsidR="000C75ED" w:rsidRDefault="000C75E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C75ED" w14:paraId="3F78EED4" w14:textId="77777777" w:rsidTr="000C75E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5C631850" w14:textId="33507B38" w:rsidR="000C75ED" w:rsidRDefault="000C75ED" w:rsidP="00C952ED">
            <w:pPr>
              <w:pStyle w:val="Instructions"/>
              <w:spacing w:before="120"/>
            </w:pPr>
            <w:r>
              <w:t>[NPRR1029:  Insert paragraph (</w:t>
            </w:r>
            <w:r w:rsidR="00C23DEE">
              <w:t>20</w:t>
            </w:r>
            <w:r>
              <w:t>) below upon system implementation:]</w:t>
            </w:r>
          </w:p>
          <w:p w14:paraId="29B2A3C8" w14:textId="4B662EF4" w:rsidR="000C75ED" w:rsidRDefault="000C75ED" w:rsidP="000C75ED">
            <w:pPr>
              <w:spacing w:before="240" w:after="240"/>
              <w:ind w:left="720" w:hanging="720"/>
            </w:pPr>
            <w:r>
              <w:t>(</w:t>
            </w:r>
            <w:r w:rsidR="00C23DEE">
              <w:t>20</w:t>
            </w:r>
            <w:r>
              <w:t>)</w:t>
            </w:r>
            <w:r>
              <w:tab/>
            </w:r>
            <w:r w:rsidRPr="002F52BF">
              <w:t xml:space="preserve">A QSE representing </w:t>
            </w:r>
            <w:r>
              <w:t>a DC-Coupled Resource shall provide the following Real-Time telemetry data in addition to that required for other ESRs:</w:t>
            </w:r>
          </w:p>
          <w:p w14:paraId="45420899" w14:textId="5CE7A6B7" w:rsidR="000C75ED" w:rsidRDefault="000C75ED" w:rsidP="000C75ED">
            <w:pPr>
              <w:spacing w:after="240"/>
              <w:ind w:left="1440" w:hanging="720"/>
            </w:pPr>
            <w:r>
              <w:t>(a)</w:t>
            </w:r>
            <w:r>
              <w:tab/>
              <w:t>Gross AC MW production of the intermittent renewable generation component of the DC-Coupled Resource, which includes the portion of the intermittent renewable generation used to charge the ESS and/or serve auxiliary Load on the DC side of the inverter; and</w:t>
            </w:r>
          </w:p>
          <w:p w14:paraId="60A89C16" w14:textId="5D24CDE6" w:rsidR="000C75ED" w:rsidRPr="00B37C4B" w:rsidRDefault="000C75ED" w:rsidP="000C75ED">
            <w:pPr>
              <w:spacing w:after="240"/>
              <w:ind w:left="1440" w:hanging="720"/>
            </w:pPr>
            <w:r>
              <w:t>(b)</w:t>
            </w:r>
            <w:r>
              <w:tab/>
              <w:t>Gross AC MW capability of the intermittent renewable generation component of the DC-Coupled Resource, based on Real-Time conditions.</w:t>
            </w:r>
          </w:p>
        </w:tc>
      </w:tr>
    </w:tbl>
    <w:p w14:paraId="0C46DAA4" w14:textId="77777777" w:rsidR="00125072" w:rsidRDefault="00125072" w:rsidP="001250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25072" w14:paraId="2D8F80D2" w14:textId="77777777" w:rsidTr="00425355">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153E87D1" w14:textId="2A24304B" w:rsidR="00125072" w:rsidRDefault="00125072" w:rsidP="00425355">
            <w:pPr>
              <w:pStyle w:val="Instructions"/>
              <w:spacing w:before="120"/>
            </w:pPr>
            <w:r>
              <w:t>[NPRR995:  Insert paragraph (</w:t>
            </w:r>
            <w:r w:rsidR="00C23DEE">
              <w:t>2</w:t>
            </w:r>
            <w:r>
              <w:t>1) below upon system implementation:]</w:t>
            </w:r>
          </w:p>
          <w:p w14:paraId="073C40D3" w14:textId="495D6511" w:rsidR="00125072" w:rsidRPr="00125072" w:rsidRDefault="00125072" w:rsidP="00125072">
            <w:pPr>
              <w:spacing w:before="240" w:after="240"/>
              <w:ind w:left="720" w:hanging="720"/>
              <w:rPr>
                <w:iCs/>
              </w:rPr>
            </w:pPr>
            <w:r>
              <w:t>(</w:t>
            </w:r>
            <w:r w:rsidR="00C23DEE">
              <w:t>2</w:t>
            </w:r>
            <w:r>
              <w:t>1)</w:t>
            </w:r>
            <w:r>
              <w:tab/>
              <w:t>A QSE representing a Settlement Only Energy Storage System (SOESS) that elects to include the net generation and/or net withdrawals of the SOESS in the estimate of Real-Time Liability (RTL) shall provide ERCOT Real-Time telemetry of the net generation and/or net withdrawals of the SOESS.</w:t>
            </w:r>
          </w:p>
        </w:tc>
      </w:tr>
    </w:tbl>
    <w:p w14:paraId="7ED01428" w14:textId="77777777" w:rsidR="001F04FD" w:rsidRDefault="001F04FD" w:rsidP="001F04FD">
      <w:pPr>
        <w:pStyle w:val="H3"/>
        <w:spacing w:before="480"/>
      </w:pPr>
      <w:bookmarkStart w:id="833" w:name="_Toc204411589"/>
      <w:r>
        <w:t>6.5.6</w:t>
      </w:r>
      <w:r>
        <w:tab/>
        <w:t>TSP and DSP Responsibilities</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14:paraId="0FA240DD" w14:textId="77777777" w:rsidR="001F04FD" w:rsidRDefault="001F04FD" w:rsidP="001F04FD">
      <w:pPr>
        <w:pStyle w:val="BodyText"/>
        <w:ind w:left="720" w:hanging="720"/>
      </w:pPr>
      <w:bookmarkStart w:id="834" w:name="_Toc73216012"/>
      <w:r>
        <w:t>(1)</w:t>
      </w:r>
      <w:r>
        <w:tab/>
        <w:t>Each TSP shall notify ERCOT of any changes in status of Transmission Elements as provided in these Protocols and clarified in the ERCOT procedures.</w:t>
      </w:r>
    </w:p>
    <w:p w14:paraId="5E9F1B5A" w14:textId="77777777" w:rsidR="001F04FD" w:rsidRDefault="001F04FD" w:rsidP="001F04FD">
      <w:pPr>
        <w:pStyle w:val="BodyText"/>
        <w:ind w:left="720" w:hanging="720"/>
      </w:pPr>
      <w:r>
        <w:t>(2)</w:t>
      </w:r>
      <w:r>
        <w:tab/>
        <w:t>Each TSP shall as soon as practicable report to ERCOT any short-term inability to meet minimum TSP reactive requirements.</w:t>
      </w:r>
    </w:p>
    <w:p w14:paraId="18E926F6" w14:textId="77777777" w:rsidR="001F04FD" w:rsidRDefault="001F04FD" w:rsidP="001F04FD">
      <w:pPr>
        <w:pStyle w:val="BodyText"/>
        <w:ind w:left="720" w:hanging="720"/>
      </w:pPr>
      <w:r>
        <w:t>(3)</w:t>
      </w:r>
      <w:r>
        <w:tab/>
        <w:t>Each DSP shall as soon as practicable report to ERCOT any short-term inability to meet minimum DSP reactive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24281" w14:paraId="0EDDF042" w14:textId="77777777" w:rsidTr="00B37819">
        <w:trPr>
          <w:trHeight w:val="206"/>
        </w:trPr>
        <w:tc>
          <w:tcPr>
            <w:tcW w:w="9576" w:type="dxa"/>
            <w:shd w:val="pct12" w:color="auto" w:fill="auto"/>
          </w:tcPr>
          <w:p w14:paraId="3A390A5E" w14:textId="3E858A7F" w:rsidR="00524281" w:rsidRDefault="00524281" w:rsidP="00B37819">
            <w:pPr>
              <w:pStyle w:val="Instructions"/>
              <w:spacing w:before="120"/>
            </w:pPr>
            <w:bookmarkStart w:id="835" w:name="_Toc397504954"/>
            <w:bookmarkStart w:id="836" w:name="_Toc402357082"/>
            <w:bookmarkStart w:id="837" w:name="_Toc422486462"/>
            <w:bookmarkStart w:id="838" w:name="_Toc433093314"/>
            <w:bookmarkStart w:id="839" w:name="_Toc433093472"/>
            <w:bookmarkStart w:id="840" w:name="_Toc440874701"/>
            <w:bookmarkStart w:id="841" w:name="_Toc448142256"/>
            <w:bookmarkStart w:id="842" w:name="_Toc448142413"/>
            <w:bookmarkStart w:id="843" w:name="_Toc458770249"/>
            <w:bookmarkStart w:id="844" w:name="_Toc459294217"/>
            <w:bookmarkStart w:id="845" w:name="_Toc463262710"/>
            <w:bookmarkStart w:id="846" w:name="_Toc468286784"/>
            <w:bookmarkStart w:id="847" w:name="_Toc481502830"/>
            <w:bookmarkStart w:id="848" w:name="_Toc496079998"/>
            <w:bookmarkEnd w:id="834"/>
            <w:r>
              <w:t xml:space="preserve">[NPRR1098:  </w:t>
            </w:r>
            <w:r w:rsidR="00135A7D">
              <w:t xml:space="preserve">Replace Section 6.5.6 above with the following upon system implementation </w:t>
            </w:r>
            <w:r w:rsidR="00135A7D" w:rsidRPr="00524281">
              <w:t xml:space="preserve">and satisfying the following conditions: </w:t>
            </w:r>
            <w:r w:rsidR="00135A7D">
              <w:t xml:space="preserve"> </w:t>
            </w:r>
            <w:r w:rsidR="00135A7D" w:rsidRPr="00524281">
              <w:t xml:space="preserve">(1) Southern Cross Transmission LLC (Southern Cross) provides ERCOT with funds to cover the entire estimated cost of the project; and (2) Southern Cross has signed an interconnection agreement with a Transmission Service Provider (TSP) and the TSP gives ERCOT written notice that Southern Cross has provided it with: </w:t>
            </w:r>
            <w:r w:rsidR="00135A7D">
              <w:t xml:space="preserve"> </w:t>
            </w:r>
            <w:r w:rsidR="00135A7D" w:rsidRPr="00524281">
              <w:t>(a) Notice to proceed with the construction of the interconnection; and (b) The financial security required to fund the interconnection facilities</w:t>
            </w:r>
            <w:r>
              <w:t>:]</w:t>
            </w:r>
          </w:p>
          <w:p w14:paraId="55ED5B47" w14:textId="77777777" w:rsidR="00524281" w:rsidRDefault="00524281" w:rsidP="00524281">
            <w:pPr>
              <w:pStyle w:val="H3"/>
              <w:spacing w:before="0"/>
            </w:pPr>
            <w:bookmarkStart w:id="849" w:name="_Toc108712443"/>
            <w:bookmarkStart w:id="850" w:name="_Toc112417563"/>
            <w:bookmarkStart w:id="851" w:name="_Toc119310232"/>
            <w:bookmarkStart w:id="852" w:name="_Toc125966166"/>
            <w:bookmarkStart w:id="853" w:name="_Toc135992264"/>
            <w:bookmarkStart w:id="854" w:name="_Toc170303460"/>
            <w:bookmarkStart w:id="855" w:name="_Toc175157364"/>
            <w:bookmarkStart w:id="856" w:name="_Toc65151690"/>
            <w:bookmarkStart w:id="857" w:name="_Toc65151658"/>
            <w:bookmarkStart w:id="858" w:name="_Toc204411590"/>
            <w:r>
              <w:t>6.5.6</w:t>
            </w:r>
            <w:r>
              <w:tab/>
              <w:t>TSP, TO, DCTO, and DSP Responsibilities</w:t>
            </w:r>
            <w:bookmarkEnd w:id="849"/>
            <w:bookmarkEnd w:id="850"/>
            <w:bookmarkEnd w:id="851"/>
            <w:bookmarkEnd w:id="852"/>
            <w:bookmarkEnd w:id="853"/>
            <w:bookmarkEnd w:id="854"/>
            <w:bookmarkEnd w:id="855"/>
            <w:bookmarkEnd w:id="858"/>
          </w:p>
          <w:p w14:paraId="0DD3915B" w14:textId="77777777" w:rsidR="00524281" w:rsidRDefault="00524281" w:rsidP="00524281">
            <w:pPr>
              <w:pStyle w:val="BodyText"/>
              <w:ind w:left="720" w:hanging="720"/>
            </w:pPr>
            <w:r>
              <w:t>(1)</w:t>
            </w:r>
            <w:r>
              <w:tab/>
              <w:t>Each TSP shall notify ERCOT of any changes in status of Transmission Elements as provided in these Protocols and clarified in the ERCOT procedures.</w:t>
            </w:r>
          </w:p>
          <w:p w14:paraId="087C0C61" w14:textId="77777777" w:rsidR="00524281" w:rsidRDefault="00524281" w:rsidP="00524281">
            <w:pPr>
              <w:pStyle w:val="BodyText"/>
              <w:ind w:left="720" w:hanging="720"/>
            </w:pPr>
            <w:r>
              <w:t>(2)</w:t>
            </w:r>
            <w:r>
              <w:tab/>
              <w:t>Each TSP shall as soon as practicable report to ERCOT any short-term inability to meet minimum TSP reactive requirements.</w:t>
            </w:r>
          </w:p>
          <w:p w14:paraId="19F3A12F" w14:textId="77777777" w:rsidR="00524281" w:rsidRDefault="00524281" w:rsidP="00524281">
            <w:pPr>
              <w:pStyle w:val="BodyText"/>
              <w:ind w:left="720" w:hanging="720"/>
            </w:pPr>
            <w:r>
              <w:t>(3)</w:t>
            </w:r>
            <w:r>
              <w:tab/>
              <w:t>Each DSP shall as soon as practicable report to ERCOT any short-term inability to meet minimum DSP reactive requirements.</w:t>
            </w:r>
          </w:p>
          <w:p w14:paraId="327B478A" w14:textId="77777777" w:rsidR="00524281" w:rsidRDefault="00524281" w:rsidP="00524281">
            <w:pPr>
              <w:pStyle w:val="BodyText"/>
              <w:ind w:left="720" w:hanging="720"/>
            </w:pPr>
            <w:r>
              <w:t>(4)</w:t>
            </w:r>
            <w:r>
              <w:tab/>
              <w:t xml:space="preserve">Each DCTO shall immediately notify its designated TO of any change that affects the reactive capability of any DC Tie Facility it operates, including any change to the operation mode of the DC Tie Facility’s voltage control system or any temporary transmission voltage limit changes.  Each TO designated by a DCTO shall immediately notify ERCOT when a DC Tie Facility experiences a change that affects </w:t>
            </w:r>
            <w:r>
              <w:lastRenderedPageBreak/>
              <w:t>its reactive capability, including any change to the operation mode of the DC Tie Facility’s voltage control system or any temporary transmission voltage limit changes.</w:t>
            </w:r>
            <w:bookmarkEnd w:id="856"/>
            <w:bookmarkEnd w:id="857"/>
          </w:p>
          <w:p w14:paraId="3E744D34" w14:textId="77777777" w:rsidR="00524281" w:rsidRDefault="00524281" w:rsidP="00524281">
            <w:pPr>
              <w:pStyle w:val="BodyText"/>
              <w:ind w:left="720" w:hanging="720"/>
              <w:rPr>
                <w:iCs w:val="0"/>
              </w:rPr>
            </w:pPr>
            <w:r>
              <w:t>(5)</w:t>
            </w:r>
            <w:r>
              <w:tab/>
              <w:t xml:space="preserve">Each TO designated by a DCTO operating a DC Tie meeting the applicability requirements of paragraph (1) of Section 3.15.4, </w:t>
            </w:r>
            <w:r w:rsidRPr="00405905">
              <w:t>Direct Current Tie Owner and Direct Current Tie Operator (DCTO) Responsibilities Related to Voltage Support</w:t>
            </w:r>
            <w:r>
              <w:t xml:space="preserve">, shall for each such DC Tie provide to ERCOT, via ICCP, the status of the DC Tie Facility’s voltage control system.  </w:t>
            </w:r>
            <w:r>
              <w:rPr>
                <w:iCs w:val="0"/>
              </w:rPr>
              <w:t>An “On” status will indicate that the control system is on and set to regulate the voltage at the DC Tie’s POIB in automatic voltage control mode, and an “Off” status will indicate that the control system is off or in manual mode.</w:t>
            </w:r>
          </w:p>
          <w:p w14:paraId="2204026E" w14:textId="0EC29617" w:rsidR="00524281" w:rsidRPr="00A4149C" w:rsidRDefault="00524281" w:rsidP="00524281">
            <w:pPr>
              <w:spacing w:after="240"/>
              <w:ind w:left="720" w:hanging="720"/>
            </w:pPr>
            <w:r>
              <w:rPr>
                <w:iCs/>
              </w:rPr>
              <w:t>(6)</w:t>
            </w:r>
            <w:r>
              <w:rPr>
                <w:iCs/>
              </w:rPr>
              <w:tab/>
            </w:r>
            <w:r>
              <w:t>Each TO designated by a DCTO operating a DC Tie meeting the applicability requirements of paragraph (1) of Section 3.15.4 shall telemeter to ERCOT, via ICCP, the Real-Time target voltage at each DC Tie’s POIB.  Each TO shall modify the telemetered target voltage to match any verbal target voltage instruction issued as soon as practicable.</w:t>
            </w:r>
          </w:p>
        </w:tc>
      </w:tr>
    </w:tbl>
    <w:p w14:paraId="438867FC" w14:textId="77777777" w:rsidR="001F04FD" w:rsidRDefault="001F04FD" w:rsidP="001F04FD">
      <w:pPr>
        <w:pStyle w:val="H3"/>
        <w:spacing w:before="480"/>
      </w:pPr>
      <w:bookmarkStart w:id="859" w:name="_Toc204411591"/>
      <w:r>
        <w:lastRenderedPageBreak/>
        <w:t>6.5.7</w:t>
      </w:r>
      <w:r>
        <w:tab/>
        <w:t>Energy Dispatch Methodology</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59"/>
    </w:p>
    <w:p w14:paraId="630A065C" w14:textId="77777777" w:rsidR="001F04FD" w:rsidRDefault="001F04FD" w:rsidP="001F04FD">
      <w:pPr>
        <w:pStyle w:val="BodyText"/>
        <w:ind w:left="720" w:hanging="720"/>
      </w:pPr>
      <w:r>
        <w:t>(1)</w:t>
      </w:r>
      <w:r>
        <w:tab/>
        <w:t>This Section outlines the programmatic and manual processes employed by ERCOT to simultaneously achieve power balance (minimizing the use of Regulation Service) and manage congestion while operating within the constraints of the system at economically optimized cost.  The Real-Time Sequence describes the key system components and inputs that are required to support the SCED process, which produces the Locational Marginal Prices (LMPs) and Base Points while meeting transmission system constraints.  Section 6.5.7.3, Security Constrained Economic Dispatch, provides further details regarding additional components and inputs and ex-ante mitigation.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4225D91B" w14:textId="77777777" w:rsidTr="00D94BFC">
        <w:trPr>
          <w:trHeight w:val="206"/>
        </w:trPr>
        <w:tc>
          <w:tcPr>
            <w:tcW w:w="9350" w:type="dxa"/>
            <w:shd w:val="pct12" w:color="auto" w:fill="auto"/>
          </w:tcPr>
          <w:p w14:paraId="02F87249" w14:textId="538C856B" w:rsidR="00F65784" w:rsidRDefault="00F65784" w:rsidP="00D94BFC">
            <w:pPr>
              <w:pStyle w:val="Instructions"/>
              <w:spacing w:before="120"/>
            </w:pPr>
            <w:bookmarkStart w:id="860" w:name="_Toc73216016"/>
            <w:bookmarkStart w:id="861" w:name="_Toc74137334"/>
            <w:bookmarkStart w:id="862" w:name="_Toc397504955"/>
            <w:bookmarkStart w:id="863" w:name="_Toc402357083"/>
            <w:bookmarkStart w:id="864" w:name="_Toc422486463"/>
            <w:bookmarkStart w:id="865" w:name="_Toc433093315"/>
            <w:bookmarkStart w:id="866" w:name="_Toc433093473"/>
            <w:bookmarkStart w:id="867" w:name="_Toc440874702"/>
            <w:bookmarkStart w:id="868" w:name="_Toc448142257"/>
            <w:bookmarkStart w:id="869" w:name="_Toc448142414"/>
            <w:bookmarkStart w:id="870" w:name="_Toc458770250"/>
            <w:bookmarkStart w:id="871" w:name="_Toc459294218"/>
            <w:bookmarkStart w:id="872" w:name="_Toc463262711"/>
            <w:bookmarkStart w:id="873" w:name="_Toc468286785"/>
            <w:bookmarkStart w:id="874" w:name="_Toc481502831"/>
            <w:bookmarkStart w:id="875" w:name="_Toc496079999"/>
            <w:r>
              <w:t>[NPRR1010:  Replace Section 6.5.7 above with the following upon system implementation of the Real-Time Co-Optimization (RTC) project:]</w:t>
            </w:r>
          </w:p>
          <w:p w14:paraId="4718F454" w14:textId="77777777" w:rsidR="00F65784" w:rsidRPr="003161DC" w:rsidRDefault="00F65784" w:rsidP="00F65784">
            <w:pPr>
              <w:keepNext/>
              <w:tabs>
                <w:tab w:val="left" w:pos="1080"/>
              </w:tabs>
              <w:spacing w:before="240" w:after="240"/>
              <w:ind w:left="1080" w:hanging="1080"/>
              <w:outlineLvl w:val="2"/>
              <w:rPr>
                <w:b/>
                <w:bCs/>
                <w:i/>
              </w:rPr>
            </w:pPr>
            <w:bookmarkStart w:id="876" w:name="_Toc60040600"/>
            <w:bookmarkStart w:id="877" w:name="_Toc65151660"/>
            <w:bookmarkStart w:id="878" w:name="_Toc80174686"/>
            <w:bookmarkStart w:id="879" w:name="_Toc108712445"/>
            <w:bookmarkStart w:id="880" w:name="_Toc112417565"/>
            <w:bookmarkStart w:id="881" w:name="_Toc119310234"/>
            <w:bookmarkStart w:id="882" w:name="_Toc125966168"/>
            <w:bookmarkStart w:id="883" w:name="_Toc135992266"/>
            <w:bookmarkStart w:id="884" w:name="_Toc170303462"/>
            <w:bookmarkStart w:id="885" w:name="_Toc175157366"/>
            <w:bookmarkStart w:id="886" w:name="_Toc204411592"/>
            <w:r w:rsidRPr="003161DC">
              <w:rPr>
                <w:b/>
                <w:bCs/>
                <w:i/>
              </w:rPr>
              <w:t>6.5.7</w:t>
            </w:r>
            <w:r w:rsidRPr="003161DC">
              <w:rPr>
                <w:b/>
                <w:bCs/>
                <w:i/>
              </w:rPr>
              <w:tab/>
            </w:r>
            <w:r>
              <w:rPr>
                <w:b/>
                <w:bCs/>
                <w:i/>
              </w:rPr>
              <w:t>Real-Time Sequence</w:t>
            </w:r>
            <w:r w:rsidRPr="003161DC">
              <w:rPr>
                <w:b/>
                <w:bCs/>
                <w:i/>
              </w:rPr>
              <w:t xml:space="preserve"> Methodology</w:t>
            </w:r>
            <w:bookmarkEnd w:id="876"/>
            <w:bookmarkEnd w:id="877"/>
            <w:bookmarkEnd w:id="878"/>
            <w:bookmarkEnd w:id="879"/>
            <w:bookmarkEnd w:id="880"/>
            <w:bookmarkEnd w:id="881"/>
            <w:bookmarkEnd w:id="882"/>
            <w:bookmarkEnd w:id="883"/>
            <w:bookmarkEnd w:id="884"/>
            <w:bookmarkEnd w:id="885"/>
            <w:bookmarkEnd w:id="886"/>
          </w:p>
          <w:p w14:paraId="10450036" w14:textId="7BBCB626" w:rsidR="00F65784" w:rsidRPr="00F65784" w:rsidRDefault="00F65784" w:rsidP="00F65784">
            <w:pPr>
              <w:spacing w:after="240"/>
              <w:ind w:left="720" w:hanging="720"/>
              <w:rPr>
                <w:iCs/>
              </w:rPr>
            </w:pPr>
            <w:r w:rsidRPr="003161DC">
              <w:rPr>
                <w:iCs/>
              </w:rPr>
              <w:t>(1)</w:t>
            </w:r>
            <w:r w:rsidRPr="003161DC">
              <w:rPr>
                <w:iCs/>
              </w:rPr>
              <w:tab/>
              <w:t>This Section outlines the programmatic and manual processes employed by ERCOT to simultaneously achieve power balance (minimizing the use of Regulation Service)</w:t>
            </w:r>
            <w:r>
              <w:rPr>
                <w:iCs/>
              </w:rPr>
              <w:t>, determine Ancillary Service awards,</w:t>
            </w:r>
            <w:r w:rsidRPr="003161DC">
              <w:rPr>
                <w:iCs/>
              </w:rPr>
              <w:t xml:space="preserve"> and manage congestion while operating within the constraints of the system at economically optimized cost.  The </w:t>
            </w:r>
            <w:r>
              <w:rPr>
                <w:iCs/>
              </w:rPr>
              <w:t xml:space="preserve">Real-Time Sequence </w:t>
            </w:r>
            <w:r w:rsidRPr="003161DC">
              <w:rPr>
                <w:iCs/>
              </w:rPr>
              <w:t>describes the key system components and inputs that are required to support the SCED process, which produces the Locational Marginal Prices (LMPs)</w:t>
            </w:r>
            <w:r>
              <w:rPr>
                <w:iCs/>
              </w:rPr>
              <w:t>,</w:t>
            </w:r>
            <w:r w:rsidRPr="003161DC">
              <w:rPr>
                <w:iCs/>
              </w:rPr>
              <w:t xml:space="preserve"> Base Points</w:t>
            </w:r>
            <w:r>
              <w:rPr>
                <w:iCs/>
              </w:rPr>
              <w:t>, Real-Time MCPCs, and Ancillary Service awards</w:t>
            </w:r>
            <w:r w:rsidRPr="003161DC">
              <w:rPr>
                <w:iCs/>
              </w:rPr>
              <w:t xml:space="preserve"> while meeting transmission system constraints.  Section 6.5.7.3, Security Constrained Economic Dispatch, provides further details regarding additional components and</w:t>
            </w:r>
            <w:r>
              <w:rPr>
                <w:iCs/>
              </w:rPr>
              <w:t xml:space="preserve"> inputs and ex-ante mitigation.</w:t>
            </w:r>
          </w:p>
        </w:tc>
      </w:tr>
    </w:tbl>
    <w:p w14:paraId="12A2F322" w14:textId="77777777" w:rsidR="001F04FD" w:rsidRDefault="001F04FD" w:rsidP="001F04FD">
      <w:pPr>
        <w:pStyle w:val="H4"/>
        <w:spacing w:before="480"/>
        <w:ind w:left="1267" w:hanging="1267"/>
      </w:pPr>
      <w:bookmarkStart w:id="887" w:name="_Toc204411593"/>
      <w:r>
        <w:lastRenderedPageBreak/>
        <w:t>6.5.7.1</w:t>
      </w:r>
      <w:r>
        <w:tab/>
        <w:t>Real-Time Sequence</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87"/>
    </w:p>
    <w:p w14:paraId="10560E8F" w14:textId="77777777" w:rsidR="001F04FD" w:rsidRDefault="001F04FD" w:rsidP="001F04FD">
      <w:pPr>
        <w:pStyle w:val="BodyTextNumbered"/>
      </w:pPr>
      <w:r>
        <w:t>(1)</w:t>
      </w:r>
      <w:r>
        <w:tab/>
        <w:t>The Real-Time Sequence consists of multiple interdependent processes that are driven by telemetry data and the network topology.  This Section describes the core aspects of the Real-Time Sequence.</w:t>
      </w:r>
    </w:p>
    <w:p w14:paraId="5079480F" w14:textId="77777777" w:rsidR="001F04FD" w:rsidRDefault="001F04FD" w:rsidP="001F04FD">
      <w:pPr>
        <w:pStyle w:val="BodyTextNumbered"/>
      </w:pPr>
      <w:r>
        <w:t>(2)</w:t>
      </w:r>
      <w:r>
        <w:tab/>
        <w:t>The figure below highlights the key computational modules and processes that are used during the Real-Time Sequence:</w:t>
      </w:r>
    </w:p>
    <w:p w14:paraId="57CE458F" w14:textId="3275E7AC" w:rsidR="001F04FD" w:rsidRDefault="00A94020" w:rsidP="001F04FD">
      <w:pPr>
        <w:jc w:val="center"/>
      </w:pPr>
      <w:r>
        <w:rPr>
          <w:noProof/>
        </w:rPr>
        <w:drawing>
          <wp:inline distT="0" distB="0" distL="0" distR="0" wp14:anchorId="69F4C069" wp14:editId="5ACE2BDF">
            <wp:extent cx="5219700" cy="3914775"/>
            <wp:effectExtent l="0" t="0" r="0" b="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9700" cy="3914775"/>
                    </a:xfrm>
                    <a:prstGeom prst="rect">
                      <a:avLst/>
                    </a:prstGeom>
                    <a:noFill/>
                    <a:ln>
                      <a:noFill/>
                    </a:ln>
                  </pic:spPr>
                </pic:pic>
              </a:graphicData>
            </a:graphic>
          </wp:inline>
        </w:drawing>
      </w:r>
    </w:p>
    <w:p w14:paraId="1F4F5E2F" w14:textId="77777777" w:rsidR="001F04FD" w:rsidRDefault="001F04FD" w:rsidP="001F04FD">
      <w:pPr>
        <w:pStyle w:val="H5"/>
        <w:spacing w:before="480"/>
        <w:ind w:left="1627" w:hanging="1627"/>
      </w:pPr>
      <w:bookmarkStart w:id="888" w:name="_Toc397504956"/>
      <w:bookmarkStart w:id="889" w:name="_Toc402357084"/>
      <w:bookmarkStart w:id="890" w:name="_Toc422486464"/>
      <w:bookmarkStart w:id="891" w:name="_Toc433093316"/>
      <w:bookmarkStart w:id="892" w:name="_Toc433093474"/>
      <w:bookmarkStart w:id="893" w:name="_Toc440874703"/>
      <w:bookmarkStart w:id="894" w:name="_Toc448142258"/>
      <w:bookmarkStart w:id="895" w:name="_Toc448142415"/>
      <w:bookmarkStart w:id="896" w:name="_Toc458770251"/>
      <w:bookmarkStart w:id="897" w:name="_Toc459294219"/>
      <w:bookmarkStart w:id="898" w:name="_Toc463262712"/>
      <w:bookmarkStart w:id="899" w:name="_Toc468286786"/>
      <w:bookmarkStart w:id="900" w:name="_Toc481502832"/>
      <w:bookmarkStart w:id="901" w:name="_Toc496080000"/>
      <w:bookmarkStart w:id="902" w:name="_Toc204411594"/>
      <w:r>
        <w:t>6.5.7.1.1</w:t>
      </w:r>
      <w:r>
        <w:tab/>
        <w:t>SCADA Telemetry</w:t>
      </w:r>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14:paraId="42DD05BE" w14:textId="77777777" w:rsidR="001F04FD" w:rsidRDefault="001F04FD" w:rsidP="001F04FD">
      <w:pPr>
        <w:pStyle w:val="BodyTextNumbered"/>
      </w:pPr>
      <w:r>
        <w:t>(1)</w:t>
      </w:r>
      <w:r>
        <w:tab/>
        <w:t>SCADA telemetry provides the actual Real-Time status and output of Resources and the status of observable Transmission Elements of the Network Operations Model.</w:t>
      </w:r>
    </w:p>
    <w:p w14:paraId="34322D9B" w14:textId="77777777" w:rsidR="001F04FD" w:rsidRDefault="001F04FD" w:rsidP="001F04FD">
      <w:pPr>
        <w:pStyle w:val="H5"/>
        <w:spacing w:before="480"/>
        <w:ind w:left="1627" w:hanging="1627"/>
      </w:pPr>
      <w:bookmarkStart w:id="903" w:name="_Toc74137336"/>
      <w:bookmarkStart w:id="904" w:name="_Toc397504957"/>
      <w:bookmarkStart w:id="905" w:name="_Toc402357085"/>
      <w:bookmarkStart w:id="906" w:name="_Toc422486465"/>
      <w:bookmarkStart w:id="907" w:name="_Toc433093317"/>
      <w:bookmarkStart w:id="908" w:name="_Toc433093475"/>
      <w:bookmarkStart w:id="909" w:name="_Toc440874704"/>
      <w:bookmarkStart w:id="910" w:name="_Toc448142259"/>
      <w:bookmarkStart w:id="911" w:name="_Toc448142416"/>
      <w:bookmarkStart w:id="912" w:name="_Toc458770252"/>
      <w:bookmarkStart w:id="913" w:name="_Toc459294220"/>
      <w:bookmarkStart w:id="914" w:name="_Toc463262713"/>
      <w:bookmarkStart w:id="915" w:name="_Toc468286787"/>
      <w:bookmarkStart w:id="916" w:name="_Toc481502833"/>
      <w:bookmarkStart w:id="917" w:name="_Toc496080001"/>
      <w:bookmarkStart w:id="918" w:name="_Toc204411595"/>
      <w:r>
        <w:t>6.5.7.1.2</w:t>
      </w:r>
      <w:r>
        <w:tab/>
        <w:t>Network Topology Builder</w:t>
      </w:r>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p w14:paraId="040C5626" w14:textId="77777777" w:rsidR="001F04FD" w:rsidRDefault="001F04FD" w:rsidP="001F04FD">
      <w:pPr>
        <w:pStyle w:val="BodyTextNumbered"/>
      </w:pPr>
      <w:r>
        <w:t>(1)</w:t>
      </w:r>
      <w:r>
        <w:tab/>
        <w:t>The Network Topology Builder creates the Updated Network Model based on the observed topology of the ERCOT Transmission Grid.  The Updated Network Model is then used as the basis for the State Estimator solution.</w:t>
      </w:r>
    </w:p>
    <w:p w14:paraId="6851A42D" w14:textId="77777777" w:rsidR="001F04FD" w:rsidRDefault="001F04FD" w:rsidP="001F04FD">
      <w:pPr>
        <w:pStyle w:val="H5"/>
        <w:spacing w:before="480"/>
        <w:ind w:left="1627" w:hanging="1627"/>
      </w:pPr>
      <w:bookmarkStart w:id="919" w:name="_Toc397504958"/>
      <w:bookmarkStart w:id="920" w:name="_Toc402357086"/>
      <w:bookmarkStart w:id="921" w:name="_Toc422486466"/>
      <w:bookmarkStart w:id="922" w:name="_Toc433093318"/>
      <w:bookmarkStart w:id="923" w:name="_Toc433093476"/>
      <w:bookmarkStart w:id="924" w:name="_Toc440874705"/>
      <w:bookmarkStart w:id="925" w:name="_Toc448142260"/>
      <w:bookmarkStart w:id="926" w:name="_Toc448142417"/>
      <w:bookmarkStart w:id="927" w:name="_Toc458770253"/>
      <w:bookmarkStart w:id="928" w:name="_Toc459294221"/>
      <w:bookmarkStart w:id="929" w:name="_Toc463262714"/>
      <w:bookmarkStart w:id="930" w:name="_Toc468286788"/>
      <w:bookmarkStart w:id="931" w:name="_Toc481502834"/>
      <w:bookmarkStart w:id="932" w:name="_Toc496080002"/>
      <w:bookmarkStart w:id="933" w:name="_Toc204411596"/>
      <w:r>
        <w:lastRenderedPageBreak/>
        <w:t>6.5.7.1.3</w:t>
      </w:r>
      <w:r>
        <w:tab/>
        <w:t>Bus Load Forecast</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14:paraId="1F145147" w14:textId="77777777" w:rsidR="001F04FD" w:rsidRDefault="001F04FD" w:rsidP="001F04FD">
      <w:pPr>
        <w:pStyle w:val="BodyTextNumbered"/>
      </w:pPr>
      <w:r>
        <w:t>(1)</w:t>
      </w:r>
      <w:r>
        <w:tab/>
        <w:t>Once the Updated Network Model is created, the transmission Electrical Buses in the model will have a Bus Load Forecast applied.  The forecasted Load must be denoted with a low State Estimator measurement confidence factor.  The State Estimator must use the forecasted Load coupled with the remaining telemetry of line flows and voltages to estimate the actual Load on each Electrical Bus.</w:t>
      </w:r>
    </w:p>
    <w:p w14:paraId="697EDF17" w14:textId="77777777" w:rsidR="001F04FD" w:rsidRDefault="001F04FD" w:rsidP="001F04FD">
      <w:pPr>
        <w:pStyle w:val="H5"/>
        <w:spacing w:before="480"/>
        <w:ind w:left="1627" w:hanging="1627"/>
      </w:pPr>
      <w:bookmarkStart w:id="934" w:name="_Toc74137337"/>
      <w:bookmarkStart w:id="935" w:name="_Toc397504959"/>
      <w:bookmarkStart w:id="936" w:name="_Toc402357087"/>
      <w:bookmarkStart w:id="937" w:name="_Toc422486467"/>
      <w:bookmarkStart w:id="938" w:name="_Toc433093319"/>
      <w:bookmarkStart w:id="939" w:name="_Toc433093477"/>
      <w:bookmarkStart w:id="940" w:name="_Toc440874706"/>
      <w:bookmarkStart w:id="941" w:name="_Toc448142261"/>
      <w:bookmarkStart w:id="942" w:name="_Toc448142418"/>
      <w:bookmarkStart w:id="943" w:name="_Toc458770254"/>
      <w:bookmarkStart w:id="944" w:name="_Toc459294222"/>
      <w:bookmarkStart w:id="945" w:name="_Toc463262715"/>
      <w:bookmarkStart w:id="946" w:name="_Toc468286789"/>
      <w:bookmarkStart w:id="947" w:name="_Toc481502835"/>
      <w:bookmarkStart w:id="948" w:name="_Toc496080003"/>
      <w:bookmarkStart w:id="949" w:name="_Toc204411597"/>
      <w:r>
        <w:t>6.5.7.1.4</w:t>
      </w:r>
      <w:r>
        <w:tab/>
        <w:t>State Estimator</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p w14:paraId="43416E71" w14:textId="77777777" w:rsidR="001F04FD" w:rsidRDefault="001F04FD" w:rsidP="001F04FD">
      <w:pPr>
        <w:pStyle w:val="BodyTextNumbered"/>
      </w:pPr>
      <w:r>
        <w:t>(1)</w:t>
      </w:r>
      <w:r>
        <w:tab/>
        <w:t>The State Estimator must use the Bus Load Forecast and the remaining telemetry information of line flows and voltages to estimate all the transmission parameters needed to provide, on convergence, a mathematically consistent data set of constrained inputs to the Network Security Analysis (NSA) and the Topology Consistency Analyzer.</w:t>
      </w:r>
    </w:p>
    <w:p w14:paraId="4036ACE8" w14:textId="77777777" w:rsidR="001F04FD" w:rsidRDefault="001F04FD" w:rsidP="001F04FD">
      <w:pPr>
        <w:pStyle w:val="H5"/>
        <w:spacing w:before="480"/>
        <w:ind w:left="1627" w:hanging="1627"/>
      </w:pPr>
      <w:bookmarkStart w:id="950" w:name="_Toc397504960"/>
      <w:bookmarkStart w:id="951" w:name="_Toc402357088"/>
      <w:bookmarkStart w:id="952" w:name="_Toc422486468"/>
      <w:bookmarkStart w:id="953" w:name="_Toc433093320"/>
      <w:bookmarkStart w:id="954" w:name="_Toc433093478"/>
      <w:bookmarkStart w:id="955" w:name="_Toc440874707"/>
      <w:bookmarkStart w:id="956" w:name="_Toc448142262"/>
      <w:bookmarkStart w:id="957" w:name="_Toc448142419"/>
      <w:bookmarkStart w:id="958" w:name="_Toc458770255"/>
      <w:bookmarkStart w:id="959" w:name="_Toc459294223"/>
      <w:bookmarkStart w:id="960" w:name="_Toc463262716"/>
      <w:bookmarkStart w:id="961" w:name="_Toc468286790"/>
      <w:bookmarkStart w:id="962" w:name="_Toc481502836"/>
      <w:bookmarkStart w:id="963" w:name="_Toc496080004"/>
      <w:bookmarkStart w:id="964" w:name="_Toc204411598"/>
      <w:r>
        <w:t>6.5.7.1.5</w:t>
      </w:r>
      <w:r>
        <w:tab/>
        <w:t>Topology Consistency Analyzer</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14:paraId="0C94218B" w14:textId="77777777" w:rsidR="001F04FD" w:rsidRDefault="001F04FD" w:rsidP="001F04FD">
      <w:pPr>
        <w:pStyle w:val="BodyTextNumbered"/>
      </w:pPr>
      <w:r>
        <w:t>(1)</w:t>
      </w:r>
      <w:r>
        <w:tab/>
        <w:t>The Topology Consistency Analyzer identifies possibly erroneous breaker and switch status.  The Topology Consistency Analyzer must notify ERCOT of inconsistencies detected and must indicate the correct breaker and switch status(es) when the preponderance of redundant information from the telemetered database indicates true errors in status.  For example, such processing would detect flow on lines, flow on devices or network load, shown as disconnected from the transmission system and would indicate to ERCOT that there was a continuity error associated with the flow measurement or status indication.  ERCOT may override SCADA telemetry as required to correct erroneous breaker and switch status before that information is processed by the NSA for the next SCED interval.  ERCOT shall notify the TSP or QSE, who shall correct the status indications as soon as practicable.  The Topology Consistency Analyzer maintains a summary of all incorrect status indicators and provides that information to all TSPs and other Market Participants through the MIS Secure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5634A" w14:paraId="0B89FA48" w14:textId="77777777" w:rsidTr="004510FA">
        <w:trPr>
          <w:trHeight w:val="1547"/>
        </w:trPr>
        <w:tc>
          <w:tcPr>
            <w:tcW w:w="9576" w:type="dxa"/>
            <w:shd w:val="pct12" w:color="auto" w:fill="auto"/>
          </w:tcPr>
          <w:p w14:paraId="29D77C22" w14:textId="0E6945AD" w:rsidR="00D5634A" w:rsidRDefault="00D5634A" w:rsidP="004510FA">
            <w:pPr>
              <w:pStyle w:val="Instructions"/>
              <w:spacing w:before="120"/>
            </w:pPr>
            <w:bookmarkStart w:id="965" w:name="_Toc397504961"/>
            <w:bookmarkStart w:id="966" w:name="_Toc402357089"/>
            <w:bookmarkStart w:id="967" w:name="_Toc422486469"/>
            <w:bookmarkStart w:id="968" w:name="_Toc433093321"/>
            <w:bookmarkStart w:id="969" w:name="_Toc433093479"/>
            <w:bookmarkStart w:id="970" w:name="_Toc440874708"/>
            <w:bookmarkStart w:id="971" w:name="_Toc448142263"/>
            <w:bookmarkStart w:id="972" w:name="_Toc448142420"/>
            <w:bookmarkStart w:id="973" w:name="_Toc458770256"/>
            <w:bookmarkStart w:id="974" w:name="_Toc459294224"/>
            <w:bookmarkStart w:id="975" w:name="_Toc463262717"/>
            <w:bookmarkStart w:id="976" w:name="_Toc468286791"/>
            <w:bookmarkStart w:id="977" w:name="_Toc481502837"/>
            <w:bookmarkStart w:id="978" w:name="_Toc496080005"/>
            <w:r>
              <w:t>[NPRR857:  Replace paragraph (1)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4AC1E564" w14:textId="77777777" w:rsidR="00D5634A" w:rsidRPr="00B37C4B" w:rsidRDefault="00D5634A" w:rsidP="00D5634A">
            <w:pPr>
              <w:spacing w:after="240"/>
              <w:ind w:left="720" w:hanging="720"/>
            </w:pPr>
            <w:r w:rsidRPr="00E55E72">
              <w:t>(1)</w:t>
            </w:r>
            <w:r w:rsidRPr="00E55E72">
              <w:tab/>
              <w:t xml:space="preserve">The Topology Consistency Analyzer identifies possibly erroneous breaker and switch status.  The Topology Consistency Analyzer must notify ERCOT of inconsistencies detected and must indicate the correct breaker and switch status(es) when the preponderance of redundant information from the telemetered database indicates true errors in status.  For example, such processing would detect flow on lines, flow on devices or network load, shown as disconnected from the transmission system and </w:t>
            </w:r>
            <w:r w:rsidRPr="00E55E72">
              <w:lastRenderedPageBreak/>
              <w:t>would indicate to ERCOT that there was a continuity error associated with the flow measurement or status indication.  ERCOT may override SCADA telemetry as required to correct erroneous breaker and switch status before that information is processed by the NSA for the next SCED interval.  ERCOT shall notify the TSP, DCTO, or QSE, who shall correct the status indications as soon as practicable.  The Topology Consistency Analyzer maintains a summary of all incorrect status indicators and provides that information to all TSPs, DCTOs, and other Market Participants through the MIS Secure Area.</w:t>
            </w:r>
          </w:p>
        </w:tc>
      </w:tr>
    </w:tbl>
    <w:p w14:paraId="47536489" w14:textId="77777777" w:rsidR="001F04FD" w:rsidRDefault="001F04FD" w:rsidP="001F04FD">
      <w:pPr>
        <w:pStyle w:val="H5"/>
        <w:tabs>
          <w:tab w:val="clear" w:pos="1620"/>
          <w:tab w:val="left" w:pos="1440"/>
        </w:tabs>
        <w:spacing w:before="480"/>
        <w:ind w:left="1440" w:hanging="1440"/>
      </w:pPr>
      <w:bookmarkStart w:id="979" w:name="_Toc204411599"/>
      <w:r>
        <w:lastRenderedPageBreak/>
        <w:t>6.5.7.1.6</w:t>
      </w:r>
      <w:r>
        <w:tab/>
        <w:t>Breakers/Switch Status Alarm Processor and Forced Outage Detection Processor</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p>
    <w:p w14:paraId="6544C771" w14:textId="77777777" w:rsidR="001F04FD" w:rsidRDefault="001F04FD" w:rsidP="001F04FD">
      <w:pPr>
        <w:pStyle w:val="BodyTextNumbered"/>
      </w:pPr>
      <w:r>
        <w:t>(1)</w:t>
      </w:r>
      <w:r>
        <w:tab/>
        <w:t>The Real-Time Sequence includes processes that detect and provide alarms to the ERCOT Operator when the status of breakers and switches, Resources, transmission lines and transformers, and Load disconnected from the Updated Network Model changes.  Also, the ERCOT Operator must be able to determine if an Outage of Transmission Facilities had been scheduled in the Outage Scheduler or is a Forced Outage.</w:t>
      </w:r>
    </w:p>
    <w:p w14:paraId="1AA41491" w14:textId="77777777" w:rsidR="001F04FD" w:rsidRDefault="001F04FD" w:rsidP="001F04FD">
      <w:pPr>
        <w:pStyle w:val="H5"/>
        <w:spacing w:before="480"/>
        <w:ind w:left="1627" w:hanging="1627"/>
      </w:pPr>
      <w:bookmarkStart w:id="980" w:name="_Toc397504962"/>
      <w:bookmarkStart w:id="981" w:name="_Toc402357090"/>
      <w:bookmarkStart w:id="982" w:name="_Toc422486470"/>
      <w:bookmarkStart w:id="983" w:name="_Toc433093322"/>
      <w:bookmarkStart w:id="984" w:name="_Toc433093480"/>
      <w:bookmarkStart w:id="985" w:name="_Toc440874709"/>
      <w:bookmarkStart w:id="986" w:name="_Toc448142264"/>
      <w:bookmarkStart w:id="987" w:name="_Toc448142421"/>
      <w:bookmarkStart w:id="988" w:name="_Toc458770257"/>
      <w:bookmarkStart w:id="989" w:name="_Toc459294225"/>
      <w:bookmarkStart w:id="990" w:name="_Toc463262718"/>
      <w:bookmarkStart w:id="991" w:name="_Toc468286792"/>
      <w:bookmarkStart w:id="992" w:name="_Toc481502838"/>
      <w:bookmarkStart w:id="993" w:name="_Toc496080006"/>
      <w:bookmarkStart w:id="994" w:name="_Toc204411600"/>
      <w:r>
        <w:t>6.5.7.1.7</w:t>
      </w:r>
      <w:r>
        <w:tab/>
        <w:t>Real-Time Weather and Dynamic Rating Processor</w:t>
      </w:r>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p>
    <w:p w14:paraId="23B5C257" w14:textId="77777777" w:rsidR="001F04FD" w:rsidRDefault="001F04FD" w:rsidP="001F04FD">
      <w:pPr>
        <w:pStyle w:val="BodyTextNumbered"/>
      </w:pPr>
      <w:r>
        <w:t>(1)</w:t>
      </w:r>
      <w:r>
        <w:tab/>
        <w:t>The Dynamic Rating Processor provides Dynamic Ratings using the processes described in Section 3.10.8, Dynamic Ratings, for all transmission lines and transformer elements with Dynamic Ratings designated by the TSPs.  ERCOT shall obtain Real-Time weather data, where available, from multiple locations and provide it to the Dynamic Rating Processor.  Weather conditions must include ambient temperature and may include wind speed when available.  ERCOT shall post summaries of dynamically adjusted Transmission Element limits on the MIS Secure Area in a form that allows Market Participants to directly upload Real-Time data into the Common Information Model (CIM).</w:t>
      </w:r>
    </w:p>
    <w:p w14:paraId="0EED37E9" w14:textId="77777777" w:rsidR="001F04FD" w:rsidRDefault="001F04FD" w:rsidP="001F04FD">
      <w:pPr>
        <w:pStyle w:val="BodyTextNumbered"/>
      </w:pPr>
      <w:r>
        <w:t>(2)</w:t>
      </w:r>
      <w:r>
        <w:tab/>
        <w:t>On a monthly basis, ERCOT shall provide a summary report for each dynamically rated Transmission Element specifying the average change in Normal Rating in MVA that is gained on the element through use of a Dynamic Rating rather than the Normal Rating.  ERCOT shall post this report to the MIS Secure Area.</w:t>
      </w:r>
    </w:p>
    <w:p w14:paraId="3D8690E1" w14:textId="77777777" w:rsidR="001F04FD" w:rsidRDefault="001F04FD" w:rsidP="001F04FD">
      <w:pPr>
        <w:pStyle w:val="H5"/>
        <w:spacing w:before="480"/>
        <w:ind w:left="1627" w:hanging="1627"/>
      </w:pPr>
      <w:bookmarkStart w:id="995" w:name="_Toc397504963"/>
      <w:bookmarkStart w:id="996" w:name="_Toc402357091"/>
      <w:bookmarkStart w:id="997" w:name="_Toc422486471"/>
      <w:bookmarkStart w:id="998" w:name="_Toc433093323"/>
      <w:bookmarkStart w:id="999" w:name="_Toc433093481"/>
      <w:bookmarkStart w:id="1000" w:name="_Toc440874710"/>
      <w:bookmarkStart w:id="1001" w:name="_Toc448142265"/>
      <w:bookmarkStart w:id="1002" w:name="_Toc448142422"/>
      <w:bookmarkStart w:id="1003" w:name="_Toc458770258"/>
      <w:bookmarkStart w:id="1004" w:name="_Toc459294226"/>
      <w:bookmarkStart w:id="1005" w:name="_Toc463262719"/>
      <w:bookmarkStart w:id="1006" w:name="_Toc468286793"/>
      <w:bookmarkStart w:id="1007" w:name="_Toc481502839"/>
      <w:bookmarkStart w:id="1008" w:name="_Toc496080007"/>
      <w:bookmarkStart w:id="1009" w:name="_Toc204411601"/>
      <w:r>
        <w:t>6.5.7.1.8</w:t>
      </w:r>
      <w:r>
        <w:tab/>
        <w:t>Overload Alarm Processor</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p>
    <w:p w14:paraId="6E70DA28" w14:textId="77777777" w:rsidR="001F04FD" w:rsidRDefault="001F04FD" w:rsidP="001F04FD">
      <w:pPr>
        <w:pStyle w:val="BodyTextNumbered"/>
      </w:pPr>
      <w:r>
        <w:t>(1)</w:t>
      </w:r>
      <w:r>
        <w:tab/>
        <w:t>Once transmission line and transformer Dynamic Ratings are retrieved, ERCOT shall compare the actual flow and state estimated flow calculation of MVA to the effective Transmission Element limit and, if an out-of-limit condition exists, ERCOT shall produce an overload notification.</w:t>
      </w:r>
    </w:p>
    <w:p w14:paraId="7A6E293D" w14:textId="77777777" w:rsidR="001F04FD" w:rsidRDefault="001F04FD" w:rsidP="001F04FD">
      <w:pPr>
        <w:pStyle w:val="H5"/>
        <w:spacing w:before="480"/>
        <w:ind w:left="1627" w:hanging="1627"/>
      </w:pPr>
      <w:bookmarkStart w:id="1010" w:name="_Toc397504964"/>
      <w:bookmarkStart w:id="1011" w:name="_Toc402357092"/>
      <w:bookmarkStart w:id="1012" w:name="_Toc422486472"/>
      <w:bookmarkStart w:id="1013" w:name="_Toc433093324"/>
      <w:bookmarkStart w:id="1014" w:name="_Toc433093482"/>
      <w:bookmarkStart w:id="1015" w:name="_Toc440874711"/>
      <w:bookmarkStart w:id="1016" w:name="_Toc448142266"/>
      <w:bookmarkStart w:id="1017" w:name="_Toc448142423"/>
      <w:bookmarkStart w:id="1018" w:name="_Toc458770259"/>
      <w:bookmarkStart w:id="1019" w:name="_Toc459294227"/>
      <w:bookmarkStart w:id="1020" w:name="_Toc463262720"/>
      <w:bookmarkStart w:id="1021" w:name="_Toc468286794"/>
      <w:bookmarkStart w:id="1022" w:name="_Toc481502840"/>
      <w:bookmarkStart w:id="1023" w:name="_Toc496080008"/>
      <w:bookmarkStart w:id="1024" w:name="_Toc204411602"/>
      <w:r>
        <w:lastRenderedPageBreak/>
        <w:t>6.5.7.1.9</w:t>
      </w:r>
      <w:r>
        <w:tab/>
        <w:t>Contingency List and Contingency Screening</w:t>
      </w:r>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r>
        <w:t xml:space="preserve"> </w:t>
      </w:r>
    </w:p>
    <w:p w14:paraId="6F30FAF9" w14:textId="77777777" w:rsidR="001F04FD" w:rsidRDefault="001F04FD" w:rsidP="001F04FD">
      <w:pPr>
        <w:pStyle w:val="BodyTextNumbered"/>
      </w:pPr>
      <w:r>
        <w:t>(1)</w:t>
      </w:r>
      <w:r>
        <w:tab/>
        <w:t>For the Real-Time Sequence, ERCOT may select relevant contingencies from a standard contingency list previously developed by ERCOT under Section 5.5.1, Security Sequence, that are likely to be active in Real-Time.  ERCOT may use the information provided by the hour-ahead or Day-Ahead NSA to assist in determining which contingencies are candidates for activation.</w:t>
      </w:r>
    </w:p>
    <w:p w14:paraId="45191F5D" w14:textId="77777777" w:rsidR="001F04FD" w:rsidRDefault="001F04FD" w:rsidP="001F04FD">
      <w:pPr>
        <w:pStyle w:val="H5"/>
        <w:spacing w:before="480"/>
        <w:ind w:left="1627" w:hanging="1627"/>
      </w:pPr>
      <w:bookmarkStart w:id="1025" w:name="_Toc74137343"/>
      <w:bookmarkStart w:id="1026" w:name="_Toc397504965"/>
      <w:bookmarkStart w:id="1027" w:name="_Toc402357093"/>
      <w:bookmarkStart w:id="1028" w:name="_Toc422486473"/>
      <w:bookmarkStart w:id="1029" w:name="_Toc433093325"/>
      <w:bookmarkStart w:id="1030" w:name="_Toc433093483"/>
      <w:bookmarkStart w:id="1031" w:name="_Toc440874712"/>
      <w:bookmarkStart w:id="1032" w:name="_Toc448142267"/>
      <w:bookmarkStart w:id="1033" w:name="_Toc448142424"/>
      <w:bookmarkStart w:id="1034" w:name="_Toc458770260"/>
      <w:bookmarkStart w:id="1035" w:name="_Toc459294228"/>
      <w:bookmarkStart w:id="1036" w:name="_Toc463262721"/>
      <w:bookmarkStart w:id="1037" w:name="_Toc468286795"/>
      <w:bookmarkStart w:id="1038" w:name="_Toc481502841"/>
      <w:bookmarkStart w:id="1039" w:name="_Toc496080009"/>
      <w:bookmarkStart w:id="1040" w:name="_Toc204411603"/>
      <w:r>
        <w:t>6.5.7.1.10</w:t>
      </w:r>
      <w:r>
        <w:tab/>
        <w:t>Network Security Analysis Processor</w:t>
      </w:r>
      <w:bookmarkEnd w:id="1025"/>
      <w:r>
        <w:t xml:space="preserve"> and Security Violation Alarm</w:t>
      </w:r>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p>
    <w:p w14:paraId="6FD504D4" w14:textId="77777777" w:rsidR="001F04FD" w:rsidRDefault="001F04FD" w:rsidP="001F04FD">
      <w:pPr>
        <w:pStyle w:val="BodyTextNumbered"/>
      </w:pPr>
      <w:r>
        <w:t>(1)</w:t>
      </w:r>
      <w:r>
        <w:tab/>
        <w:t xml:space="preserve">Using the input provided by the State Estimator, ERCOT shall use the NSA processor to perform analysis of all contingencies in the active list.  For each contingency, ERCOT shall use the NSA processor to monitor the elements for limit violations.  ERCOT shall use the NSA processor to verify Electrical Bus voltage limits to be within a percentage tolerance as outlined in the Operating Guides.  Contingency security violations for transmission lines and transformers occur if: </w:t>
      </w:r>
    </w:p>
    <w:p w14:paraId="5A27353F" w14:textId="77777777" w:rsidR="001F04FD" w:rsidRDefault="001F04FD" w:rsidP="001F04FD">
      <w:pPr>
        <w:pStyle w:val="BodyTextNumbered"/>
        <w:ind w:left="1440"/>
      </w:pPr>
      <w:r>
        <w:t>(a)</w:t>
      </w:r>
      <w:r>
        <w:tab/>
        <w:t xml:space="preserve">The predicted post-contingency MVA exceeds 100% of the Emergency Rating after consideration of Dynamic Ratings; and </w:t>
      </w:r>
    </w:p>
    <w:p w14:paraId="2D329205" w14:textId="77777777" w:rsidR="001F04FD" w:rsidRDefault="001F04FD" w:rsidP="006635FE">
      <w:pPr>
        <w:pStyle w:val="BodyTextNumbered"/>
        <w:ind w:left="1440"/>
      </w:pPr>
      <w:r>
        <w:t>(b)</w:t>
      </w:r>
      <w:r>
        <w:tab/>
      </w:r>
      <w:r w:rsidR="004B6E53">
        <w:t>A RAP, AMP or RAS is not defined allowing relief within the time allowed by the security criteria as defined in Operating Guide Section 2.2.2, Security Criteria.</w:t>
      </w:r>
      <w:r>
        <w:t xml:space="preserve"> </w:t>
      </w:r>
    </w:p>
    <w:p w14:paraId="0818A562" w14:textId="77777777" w:rsidR="001F04FD" w:rsidRDefault="001F04FD" w:rsidP="006635FE">
      <w:pPr>
        <w:spacing w:after="240"/>
        <w:ind w:left="720" w:hanging="720"/>
        <w:rPr>
          <w:iCs/>
        </w:rPr>
      </w:pPr>
      <w:r w:rsidRPr="006A535A">
        <w:rPr>
          <w:iCs/>
        </w:rPr>
        <w:t>(2)</w:t>
      </w:r>
      <w:r w:rsidRPr="006A535A">
        <w:rPr>
          <w:iCs/>
        </w:rPr>
        <w:tab/>
        <w:t>When the NSA processor notifies ERCOT of a security violation, ERCOT shall immediately</w:t>
      </w:r>
      <w:r>
        <w:rPr>
          <w:iCs/>
        </w:rPr>
        <w:t>:</w:t>
      </w:r>
    </w:p>
    <w:p w14:paraId="348D52BB" w14:textId="77777777" w:rsidR="001F04FD" w:rsidRDefault="001F04FD" w:rsidP="001F04FD">
      <w:pPr>
        <w:spacing w:after="240"/>
        <w:ind w:left="1440" w:hanging="720"/>
        <w:rPr>
          <w:iCs/>
        </w:rPr>
      </w:pPr>
      <w:r>
        <w:rPr>
          <w:iCs/>
        </w:rPr>
        <w:t>(a)</w:t>
      </w:r>
      <w:r>
        <w:rPr>
          <w:iCs/>
        </w:rPr>
        <w:tab/>
        <w:t>I</w:t>
      </w:r>
      <w:r w:rsidRPr="006A535A">
        <w:rPr>
          <w:iCs/>
        </w:rPr>
        <w:t>nitiate the process described in Section 6.5.7.1.11, Transmission Network and Power Balance Constraint Management</w:t>
      </w:r>
      <w:r>
        <w:rPr>
          <w:iCs/>
        </w:rPr>
        <w:t>;</w:t>
      </w:r>
    </w:p>
    <w:p w14:paraId="2CAB9744" w14:textId="77777777" w:rsidR="001F04FD" w:rsidRPr="007723E4" w:rsidRDefault="001F04FD" w:rsidP="001F04FD">
      <w:pPr>
        <w:spacing w:after="240"/>
        <w:ind w:left="1440" w:hanging="720"/>
        <w:rPr>
          <w:iCs/>
        </w:rPr>
      </w:pPr>
      <w:r w:rsidRPr="007723E4">
        <w:rPr>
          <w:iCs/>
        </w:rPr>
        <w:t>(b)</w:t>
      </w:r>
      <w:r w:rsidRPr="007723E4">
        <w:rPr>
          <w:iCs/>
        </w:rPr>
        <w:tab/>
      </w:r>
      <w:r>
        <w:rPr>
          <w:iCs/>
        </w:rPr>
        <w:t>S</w:t>
      </w:r>
      <w:r w:rsidRPr="007723E4">
        <w:rPr>
          <w:iCs/>
        </w:rPr>
        <w:t>eek to determine what unforeseen change in system condition has arisen that has resulted in the security violation</w:t>
      </w:r>
      <w:r>
        <w:rPr>
          <w:iCs/>
        </w:rPr>
        <w:t xml:space="preserve">, </w:t>
      </w:r>
      <w:r w:rsidRPr="00EE382E">
        <w:rPr>
          <w:iCs/>
        </w:rPr>
        <w:t>especially those that were 125% or greater of the Emergency Rating for a single SCED interval or greater than 100% of the Emergency Rating for a duration of 30 minutes or more</w:t>
      </w:r>
      <w:r w:rsidRPr="007723E4">
        <w:rPr>
          <w:iCs/>
        </w:rPr>
        <w:t>; and</w:t>
      </w:r>
    </w:p>
    <w:p w14:paraId="4DD6E28B" w14:textId="77777777" w:rsidR="001F04FD" w:rsidRDefault="001F04FD" w:rsidP="001F04FD">
      <w:pPr>
        <w:pStyle w:val="BodyTextNumbered"/>
        <w:ind w:left="1440"/>
      </w:pPr>
      <w:r w:rsidRPr="007723E4">
        <w:rPr>
          <w:iCs/>
        </w:rPr>
        <w:t>(c</w:t>
      </w:r>
      <w:r w:rsidRPr="00E41B9C">
        <w:rPr>
          <w:iCs/>
        </w:rPr>
        <w:t>)</w:t>
      </w:r>
      <w:r w:rsidRPr="00E41B9C">
        <w:rPr>
          <w:iCs/>
        </w:rPr>
        <w:tab/>
        <w:t>Where possible, seek to reverse the action (e.g. initiating a transmission clearance that the system was not properly pre-dispatched for) that has led to a security violation until further preventative action(s) can be taken.</w:t>
      </w:r>
    </w:p>
    <w:p w14:paraId="47BDDC57" w14:textId="77777777" w:rsidR="001F04FD" w:rsidRDefault="001F04FD" w:rsidP="001F04FD">
      <w:pPr>
        <w:pStyle w:val="BodyTextNumbered"/>
      </w:pPr>
      <w:r>
        <w:t>(3)</w:t>
      </w:r>
      <w:r>
        <w:tab/>
        <w:t>If SCED does not resolve a transmission security violation, ERCOT shall attempt to relieve the security violation by:</w:t>
      </w:r>
    </w:p>
    <w:p w14:paraId="59BADA62" w14:textId="77777777" w:rsidR="001F04FD" w:rsidRDefault="001F04FD" w:rsidP="001F04FD">
      <w:pPr>
        <w:pStyle w:val="List"/>
      </w:pPr>
      <w:r>
        <w:t>(a)</w:t>
      </w:r>
      <w:r>
        <w:tab/>
        <w:t>Confirming that pre-determined RAPs are properly modeled in the system;</w:t>
      </w:r>
    </w:p>
    <w:p w14:paraId="7058C734" w14:textId="77777777" w:rsidR="001F04FD" w:rsidRDefault="001F04FD" w:rsidP="001F04FD">
      <w:pPr>
        <w:pStyle w:val="List"/>
        <w:rPr>
          <w:szCs w:val="24"/>
        </w:rPr>
      </w:pPr>
      <w:r>
        <w:t>(b)</w:t>
      </w:r>
      <w:r>
        <w:rPr>
          <w:sz w:val="15"/>
          <w:szCs w:val="15"/>
        </w:rPr>
        <w:tab/>
      </w:r>
      <w:r>
        <w:rPr>
          <w:szCs w:val="24"/>
        </w:rPr>
        <w:t xml:space="preserve">Instructing Resources to follow Base Points from SCED if those Resources are not already doing so; </w:t>
      </w:r>
    </w:p>
    <w:p w14:paraId="18DEFB6C" w14:textId="77777777" w:rsidR="001F04FD" w:rsidRDefault="001F04FD" w:rsidP="001F04FD">
      <w:pPr>
        <w:pStyle w:val="List"/>
      </w:pPr>
      <w:r>
        <w:rPr>
          <w:szCs w:val="24"/>
        </w:rPr>
        <w:lastRenderedPageBreak/>
        <w:t>(c)</w:t>
      </w:r>
      <w:r>
        <w:rPr>
          <w:szCs w:val="24"/>
        </w:rPr>
        <w:tab/>
      </w:r>
      <w:r w:rsidRPr="003D5B16">
        <w:t xml:space="preserve">Instructing Resources to update the Resources Status in the COP from ONTEST to ON in order to provide more capacity to SCED; </w:t>
      </w:r>
    </w:p>
    <w:p w14:paraId="3D601682" w14:textId="77777777" w:rsidR="001F04FD" w:rsidRDefault="001F04FD" w:rsidP="001F04FD">
      <w:pPr>
        <w:pStyle w:val="List"/>
      </w:pPr>
      <w:r>
        <w:t>(d)</w:t>
      </w:r>
      <w:r>
        <w:tab/>
      </w:r>
      <w:r w:rsidRPr="003D5B16">
        <w:t>Deploying Resource-Specific Non-Spin;</w:t>
      </w:r>
    </w:p>
    <w:p w14:paraId="2A4C3C84" w14:textId="77777777" w:rsidR="001F04FD" w:rsidRDefault="001F04FD" w:rsidP="001F04FD">
      <w:pPr>
        <w:pStyle w:val="List"/>
      </w:pPr>
      <w:r>
        <w:t>(e)</w:t>
      </w:r>
      <w:r>
        <w:tab/>
      </w:r>
      <w:r w:rsidRPr="003D5B16">
        <w:t xml:space="preserve">Committing additional Generation Resources through the Reliability Unit Commitment </w:t>
      </w:r>
      <w:r>
        <w:t xml:space="preserve">(RUC) </w:t>
      </w:r>
      <w:r w:rsidRPr="003D5B16">
        <w:t>process;</w:t>
      </w:r>
    </w:p>
    <w:p w14:paraId="49BA4BC6" w14:textId="77777777" w:rsidR="001F04FD" w:rsidRDefault="001F04FD" w:rsidP="001F04FD">
      <w:pPr>
        <w:pStyle w:val="List"/>
      </w:pPr>
      <w:r>
        <w:t>(f)</w:t>
      </w:r>
      <w:r>
        <w:tab/>
      </w:r>
      <w:r w:rsidRPr="003D5B16">
        <w:t>Removing conflicting non-cascading constraints from the SCED process;</w:t>
      </w:r>
    </w:p>
    <w:p w14:paraId="0AF9D123" w14:textId="77777777" w:rsidR="001F04FD" w:rsidRDefault="001F04FD" w:rsidP="001F04FD">
      <w:pPr>
        <w:pStyle w:val="List"/>
      </w:pPr>
      <w:r>
        <w:t>(g)</w:t>
      </w:r>
      <w:r>
        <w:tab/>
        <w:t>Re-Dispatching generation by over-riding HDLs and LDLs;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76F97" w14:paraId="21DAC5EE" w14:textId="77777777" w:rsidTr="009E7633">
        <w:trPr>
          <w:trHeight w:val="206"/>
        </w:trPr>
        <w:tc>
          <w:tcPr>
            <w:tcW w:w="9350" w:type="dxa"/>
            <w:shd w:val="pct12" w:color="auto" w:fill="auto"/>
          </w:tcPr>
          <w:p w14:paraId="7B4C0B5E" w14:textId="0D99088D" w:rsidR="00376F97" w:rsidRDefault="00376F97" w:rsidP="009E7633">
            <w:pPr>
              <w:pStyle w:val="Instructions"/>
              <w:spacing w:before="120"/>
            </w:pPr>
            <w:r>
              <w:t xml:space="preserve">[NPRR1014:  Replace paragraph (g) above </w:t>
            </w:r>
            <w:r w:rsidR="00CE56E5">
              <w:t xml:space="preserve">with the following </w:t>
            </w:r>
            <w:r>
              <w:t>upon system implementation:]</w:t>
            </w:r>
          </w:p>
          <w:p w14:paraId="2F5D1AD2" w14:textId="25064DAB" w:rsidR="00376F97" w:rsidRPr="00A4149C" w:rsidRDefault="00376F97" w:rsidP="00376F97">
            <w:pPr>
              <w:spacing w:after="240"/>
              <w:ind w:left="1440" w:hanging="720"/>
            </w:pPr>
            <w:r w:rsidRPr="00A552C3">
              <w:t>(g)</w:t>
            </w:r>
            <w:r w:rsidRPr="00A552C3">
              <w:tab/>
              <w:t xml:space="preserve">Re-Dispatching generation or, in the case of an ESR, its output or consumption, </w:t>
            </w:r>
            <w:r>
              <w:t>by over-riding HDLs and LDLs;</w:t>
            </w:r>
          </w:p>
        </w:tc>
      </w:tr>
    </w:tbl>
    <w:p w14:paraId="2CD8D5E7" w14:textId="3D9DD529" w:rsidR="001F04FD" w:rsidRDefault="001F04FD" w:rsidP="000B1D41">
      <w:pPr>
        <w:pStyle w:val="List"/>
        <w:spacing w:before="240"/>
      </w:pPr>
      <w:r>
        <w:t>(h)</w:t>
      </w:r>
      <w:r>
        <w:tab/>
      </w:r>
      <w:r w:rsidRPr="003D5B16">
        <w:t>Instructing TSPs to utilize Reactive Power devices to manage voltage; and</w:t>
      </w:r>
    </w:p>
    <w:p w14:paraId="1592BC83" w14:textId="77777777" w:rsidR="001F04FD" w:rsidRDefault="001F04FD" w:rsidP="001F04FD">
      <w:pPr>
        <w:pStyle w:val="List"/>
      </w:pPr>
      <w:r>
        <w:t>(i)</w:t>
      </w:r>
      <w:r>
        <w:tab/>
      </w:r>
      <w:r w:rsidRPr="003D5B16">
        <w:t>If all other mechanisms have failed, ERCOT may authorize the expedited use of a Temporary Outage Action Plan (TOAP) or Mitigation Plan.</w:t>
      </w:r>
    </w:p>
    <w:p w14:paraId="3956ACE8" w14:textId="77777777" w:rsidR="001F04FD" w:rsidRDefault="001F04FD" w:rsidP="001F04FD">
      <w:pPr>
        <w:pStyle w:val="BodyTextNumbered"/>
      </w:pPr>
      <w:r>
        <w:t>(4)</w:t>
      </w:r>
      <w:r>
        <w:tab/>
      </w:r>
      <w:r w:rsidR="004B6E53">
        <w:t>NSA must be capable of analyzing contingencies, including the effects of RASs, AMPs and RAPs modeled in the Network Operations Model.  The NSA must fully integrate the evaluation and deployment of RASs, AMPs and RAPs and notify the ERCOT Operator of the application of these RASs, AMPs and RAPs to the solution.</w:t>
      </w:r>
    </w:p>
    <w:p w14:paraId="4D34066A" w14:textId="77777777" w:rsidR="001F04FD" w:rsidRDefault="001F04FD" w:rsidP="006635FE">
      <w:pPr>
        <w:pStyle w:val="BodyTextNumbered"/>
      </w:pPr>
      <w:r>
        <w:t>(5)</w:t>
      </w:r>
      <w:r>
        <w:tab/>
        <w:t>The Real-Time NSA may employ the use of appropriate ranking and other screening techniques to further reduce computation time by executing one or two iterations of the contingency study to gauge its impact and discard further study if the estimated result is inconsequential.</w:t>
      </w:r>
    </w:p>
    <w:p w14:paraId="5FE6EAF2" w14:textId="77777777" w:rsidR="00C57701" w:rsidRDefault="00C57701" w:rsidP="007E0C1D">
      <w:pPr>
        <w:pStyle w:val="BodyTextNumbered"/>
        <w:spacing w:before="240"/>
      </w:pPr>
      <w:r>
        <w:t>(6)</w:t>
      </w:r>
      <w:r w:rsidRPr="00005671">
        <w:t xml:space="preserve"> </w:t>
      </w:r>
      <w:r>
        <w:tab/>
        <w:t>HDL or LDL overrides required to pre-posture for an expected Outage shall only be utilized until SCED is capable of managing the related constraint by economic dispatch.</w:t>
      </w:r>
    </w:p>
    <w:p w14:paraId="38D028F8" w14:textId="77777777" w:rsidR="001F04FD" w:rsidRPr="00943379" w:rsidRDefault="001F04FD" w:rsidP="009E68BD">
      <w:pPr>
        <w:spacing w:after="240"/>
        <w:ind w:left="720" w:hanging="720"/>
        <w:rPr>
          <w:iCs/>
        </w:rPr>
      </w:pPr>
      <w:r w:rsidRPr="00943379">
        <w:rPr>
          <w:iCs/>
        </w:rPr>
        <w:t>(</w:t>
      </w:r>
      <w:r w:rsidR="00C57701">
        <w:rPr>
          <w:iCs/>
        </w:rPr>
        <w:t>7</w:t>
      </w:r>
      <w:r w:rsidRPr="00943379">
        <w:rPr>
          <w:iCs/>
        </w:rPr>
        <w:t>)</w:t>
      </w:r>
      <w:r w:rsidRPr="00943379">
        <w:rPr>
          <w:iCs/>
        </w:rPr>
        <w:tab/>
        <w:t xml:space="preserve">ERCOT shall report </w:t>
      </w:r>
      <w:r w:rsidRPr="007D4FA7">
        <w:rPr>
          <w:iCs/>
        </w:rPr>
        <w:t>monthly</w:t>
      </w:r>
      <w:r w:rsidRPr="00943379">
        <w:rPr>
          <w:iCs/>
        </w:rPr>
        <w:t>:</w:t>
      </w:r>
    </w:p>
    <w:p w14:paraId="24C090E1" w14:textId="77777777" w:rsidR="001F04FD" w:rsidRPr="00E41B9C" w:rsidRDefault="001F04FD" w:rsidP="001F04FD">
      <w:pPr>
        <w:spacing w:after="240"/>
        <w:ind w:left="1440" w:hanging="720"/>
      </w:pPr>
      <w:r w:rsidRPr="00943379">
        <w:t>(a)</w:t>
      </w:r>
      <w:r w:rsidRPr="00943379">
        <w:tab/>
      </w:r>
      <w:r w:rsidRPr="00E41B9C">
        <w:t>All security violations that were 125% or greater of the Emergency Rating for a single SCED interval or greater than 100% of the Emergency Rating for a duration of 30 minutes or more during the prior reporting month and the number of occurrences and congestion cost associated with each of the constraints causing the security violations on a rolling 12 month basis.</w:t>
      </w:r>
    </w:p>
    <w:p w14:paraId="0A82D8F7" w14:textId="77777777" w:rsidR="001F04FD" w:rsidRDefault="001F04FD" w:rsidP="001F04FD">
      <w:pPr>
        <w:pStyle w:val="BodyTextNumbered"/>
        <w:ind w:left="1440"/>
      </w:pPr>
      <w:r w:rsidRPr="00E41B9C">
        <w:t>(b)</w:t>
      </w:r>
      <w:r w:rsidRPr="00E41B9C">
        <w:tab/>
        <w:t xml:space="preserve">Operating conditions on the ERCOT System that contributed to each </w:t>
      </w:r>
      <w:r>
        <w:t xml:space="preserve">transmission </w:t>
      </w:r>
      <w:r w:rsidRPr="00E41B9C">
        <w:t>security violation reported in paragraph (</w:t>
      </w:r>
      <w:r w:rsidR="00B55F80">
        <w:t>7</w:t>
      </w:r>
      <w:r w:rsidRPr="00E41B9C">
        <w:t xml:space="preserve">)(a) above.  Analysis should be made to </w:t>
      </w:r>
      <w:r w:rsidRPr="00E41B9C">
        <w:lastRenderedPageBreak/>
        <w:t>understand the root cause and what steps could be taken to avoid a recurrence in the future.</w:t>
      </w:r>
      <w:r w:rsidRPr="00FE3A43">
        <w:rPr>
          <w:iCs/>
        </w:rPr>
        <w:t xml:space="preserve"> </w:t>
      </w:r>
      <w:r>
        <w:rPr>
          <w:iCs/>
        </w:rPr>
        <w:t xml:space="preserve"> </w:t>
      </w:r>
    </w:p>
    <w:p w14:paraId="58CA2B4F" w14:textId="77777777" w:rsidR="001F04FD" w:rsidRDefault="001F04FD" w:rsidP="001F04FD">
      <w:pPr>
        <w:pStyle w:val="H5"/>
        <w:spacing w:before="480"/>
        <w:ind w:left="1627" w:hanging="1627"/>
      </w:pPr>
      <w:bookmarkStart w:id="1041" w:name="_Toc397504966"/>
      <w:bookmarkStart w:id="1042" w:name="_Toc402357094"/>
      <w:bookmarkStart w:id="1043" w:name="_Toc422486474"/>
      <w:bookmarkStart w:id="1044" w:name="_Toc433093326"/>
      <w:bookmarkStart w:id="1045" w:name="_Toc433093484"/>
      <w:bookmarkStart w:id="1046" w:name="_Toc440874713"/>
      <w:bookmarkStart w:id="1047" w:name="_Toc448142268"/>
      <w:bookmarkStart w:id="1048" w:name="_Toc448142425"/>
      <w:bookmarkStart w:id="1049" w:name="_Toc458770261"/>
      <w:bookmarkStart w:id="1050" w:name="_Toc459294229"/>
      <w:bookmarkStart w:id="1051" w:name="_Toc463262722"/>
      <w:bookmarkStart w:id="1052" w:name="_Toc468286796"/>
      <w:bookmarkStart w:id="1053" w:name="_Toc481502842"/>
      <w:bookmarkStart w:id="1054" w:name="_Toc496080010"/>
      <w:bookmarkStart w:id="1055" w:name="_Toc204411604"/>
      <w:r>
        <w:t>6.5.7.1.11</w:t>
      </w:r>
      <w:r>
        <w:tab/>
        <w:t>Transmission Network and Power Balance Constraint Management</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5EEC5CA6" w14:textId="57AFC7F0" w:rsidR="001F04FD" w:rsidRDefault="001F04FD" w:rsidP="001F04FD">
      <w:pPr>
        <w:pStyle w:val="BodyTextNumbered"/>
      </w:pPr>
      <w:r w:rsidRPr="00055AA6">
        <w:rPr>
          <w:iCs/>
        </w:rPr>
        <w:t>(1)</w:t>
      </w:r>
      <w:r w:rsidRPr="00055AA6">
        <w:rPr>
          <w:iCs/>
        </w:rPr>
        <w:tab/>
      </w:r>
      <w:r w:rsidR="00196B38" w:rsidRPr="00757A45">
        <w:rPr>
          <w:iCs/>
        </w:rPr>
        <w:t xml:space="preserve">ERCOT may not allow any constraint (contingency and limiting Transmission Element pair) identified by NSA to be activated in SCED until it has verified that the contingency definition in NSA associated with the constraint is accurate and appropriate given the current operating state of the ERCOT Transmission Grid.  ERCOT shall continuously post to the MIS Secure Area all constraint contingencies in the NSA.  ERCOT shall provide relevant constraint information, including, but not limited to, the contingency name as provided in the standard contingency list, whether or not the constraint is active in SCED, the overloaded Transmission Element name, the </w:t>
      </w:r>
      <w:r w:rsidR="00196B38">
        <w:rPr>
          <w:iCs/>
        </w:rPr>
        <w:t>R</w:t>
      </w:r>
      <w:r w:rsidR="00196B38" w:rsidRPr="00757A45">
        <w:rPr>
          <w:iCs/>
        </w:rPr>
        <w:t>ating of the overloaded Transmission Element including Ge</w:t>
      </w:r>
      <w:r w:rsidR="00196B38">
        <w:rPr>
          <w:iCs/>
        </w:rPr>
        <w:t>neric Transmission Limits (GTLs</w:t>
      </w:r>
      <w:r w:rsidR="00196B38" w:rsidRPr="00757A45">
        <w:rPr>
          <w:iCs/>
        </w:rPr>
        <w:t>)</w:t>
      </w:r>
      <w:r w:rsidR="00196B38">
        <w:rPr>
          <w:iCs/>
        </w:rPr>
        <w:t xml:space="preserve"> expressed in MW and MVA</w:t>
      </w:r>
      <w:r w:rsidR="00196B38" w:rsidRPr="00757A45">
        <w:rPr>
          <w:iCs/>
        </w:rPr>
        <w:t>, and pre-contingency or post-contingency flows</w:t>
      </w:r>
      <w:r w:rsidR="00196B38">
        <w:rPr>
          <w:iCs/>
        </w:rPr>
        <w:t xml:space="preserve"> expressed in MW and MVA.</w:t>
      </w:r>
      <w:r w:rsidR="00196B38" w:rsidRPr="00AC31F1">
        <w:rPr>
          <w:iCs/>
        </w:rPr>
        <w:t xml:space="preserve">  For each Operating Day, ERCOT shall post to the MIS Secure Area within five days, a report listing all constraints with pre-contingency or post-contingency flows which exceeded the </w:t>
      </w:r>
      <w:r w:rsidR="00196B38">
        <w:rPr>
          <w:iCs/>
        </w:rPr>
        <w:t>R</w:t>
      </w:r>
      <w:r w:rsidR="00196B38" w:rsidRPr="00AC31F1">
        <w:rPr>
          <w:iCs/>
        </w:rPr>
        <w:t>ating of the overloaded Transmission Element for at least 15 minutes consecutively that were not activated in SCED and an explanation of why each constraint was not activated</w:t>
      </w:r>
      <w:r w:rsidR="00196B38" w:rsidRPr="00836253">
        <w:rPr>
          <w:iCs/>
        </w:rPr>
        <w:t>.</w:t>
      </w:r>
    </w:p>
    <w:p w14:paraId="6174FDEF" w14:textId="01E7EADD" w:rsidR="001F04FD" w:rsidRDefault="001F04FD" w:rsidP="00303EF0">
      <w:pPr>
        <w:pStyle w:val="BodyTextNumbered"/>
      </w:pPr>
      <w:r>
        <w:t>(2)</w:t>
      </w:r>
      <w:r>
        <w:tab/>
      </w:r>
      <w:r w:rsidR="005A1251">
        <w:t xml:space="preserve">Pursuant to </w:t>
      </w:r>
      <w:r w:rsidR="005A1251">
        <w:rPr>
          <w:szCs w:val="24"/>
        </w:rPr>
        <w:t xml:space="preserve">Section 22, Attachment P, Methodology for Setting Maximum Shadow Prices for Network and Power Balance Constraints, </w:t>
      </w:r>
      <w:r>
        <w:t xml:space="preserve">ERCOT shall establish a maximum Shadow Price for each network constraint as part of the definition of contingencies.  The cost calculated by SCED to resolve an additional MW of congestion on the network constraint is limited to the maximum Shadow Price for the network constraint.  </w:t>
      </w:r>
    </w:p>
    <w:p w14:paraId="603EAC63" w14:textId="4FBC3670" w:rsidR="001F04FD" w:rsidRDefault="001F04FD" w:rsidP="001F04FD">
      <w:pPr>
        <w:pStyle w:val="BodyTextNumbered"/>
      </w:pPr>
      <w:r>
        <w:t>(3)</w:t>
      </w:r>
      <w:r>
        <w:tab/>
      </w:r>
      <w:r w:rsidR="005A1251">
        <w:t xml:space="preserve">Pursuant to </w:t>
      </w:r>
      <w:r w:rsidR="005A1251">
        <w:rPr>
          <w:szCs w:val="24"/>
        </w:rPr>
        <w:t xml:space="preserve">Section 22, Attachment P, </w:t>
      </w:r>
      <w:r w:rsidRPr="00926EAF">
        <w:t xml:space="preserve">ERCOT shall establish a </w:t>
      </w:r>
      <w:r>
        <w:t xml:space="preserve">maximum Shadow Price for the power balance </w:t>
      </w:r>
      <w:r w:rsidRPr="00926EAF">
        <w:t>constraint</w:t>
      </w:r>
      <w:r>
        <w:t>.</w:t>
      </w:r>
      <w:r w:rsidRPr="00926EAF">
        <w:t xml:space="preserve">  The cost calculated by SCED to resolve </w:t>
      </w:r>
      <w:r>
        <w:t xml:space="preserve">either the </w:t>
      </w:r>
      <w:r w:rsidRPr="00926EAF">
        <w:t>addition</w:t>
      </w:r>
      <w:r>
        <w:t xml:space="preserve"> or reduction of one</w:t>
      </w:r>
      <w:r w:rsidRPr="00926EAF">
        <w:t xml:space="preserve"> MW of </w:t>
      </w:r>
      <w:r w:rsidRPr="004734FD">
        <w:t>di</w:t>
      </w:r>
      <w:r>
        <w:t xml:space="preserve">spatched generation </w:t>
      </w:r>
      <w:r w:rsidRPr="00926EAF">
        <w:t xml:space="preserve">on the </w:t>
      </w:r>
      <w:r>
        <w:t xml:space="preserve">power balance </w:t>
      </w:r>
      <w:r w:rsidRPr="00926EAF">
        <w:t xml:space="preserve">constraint is limited to the maximum Shadow Price for the </w:t>
      </w:r>
      <w:r>
        <w:t xml:space="preserve">power balance </w:t>
      </w:r>
      <w:r w:rsidRPr="00926EAF">
        <w:t xml:space="preserve">constraint.  </w:t>
      </w:r>
    </w:p>
    <w:p w14:paraId="084050D6" w14:textId="5D11EA65" w:rsidR="001F04FD" w:rsidRDefault="001F04FD" w:rsidP="001F04FD">
      <w:pPr>
        <w:spacing w:after="240"/>
        <w:ind w:left="720" w:hanging="720"/>
      </w:pPr>
      <w:r>
        <w:t>(</w:t>
      </w:r>
      <w:r w:rsidR="005A1251">
        <w:t>4</w:t>
      </w:r>
      <w:r>
        <w:t>)</w:t>
      </w:r>
      <w:r>
        <w:tab/>
        <w:t xml:space="preserve">If ERCOT determines that </w:t>
      </w:r>
      <w:r w:rsidRPr="004734FD">
        <w:t>r</w:t>
      </w:r>
      <w:r>
        <w:t>ating(s) in the Network Operations Model or configuration of the Transmission Facilities are not correct, then the TSP will provide the appropriate data submittals to ERCOT to correct the problem upon notification by ERCOT.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42463" w14:paraId="41FB46D1" w14:textId="77777777" w:rsidTr="004510FA">
        <w:trPr>
          <w:trHeight w:val="1547"/>
        </w:trPr>
        <w:tc>
          <w:tcPr>
            <w:tcW w:w="9576" w:type="dxa"/>
            <w:shd w:val="pct12" w:color="auto" w:fill="auto"/>
          </w:tcPr>
          <w:p w14:paraId="2669E242" w14:textId="63C7C925" w:rsidR="00142463" w:rsidRDefault="00142463" w:rsidP="004510FA">
            <w:pPr>
              <w:pStyle w:val="Instructions"/>
              <w:spacing w:before="120"/>
            </w:pPr>
            <w:bookmarkStart w:id="1056" w:name="_Toc397504967"/>
            <w:bookmarkStart w:id="1057" w:name="_Toc402357095"/>
            <w:bookmarkStart w:id="1058" w:name="_Toc422486475"/>
            <w:bookmarkStart w:id="1059" w:name="_Toc433093327"/>
            <w:bookmarkStart w:id="1060" w:name="_Toc433093485"/>
            <w:bookmarkStart w:id="1061" w:name="_Toc440874714"/>
            <w:bookmarkStart w:id="1062" w:name="_Toc448142269"/>
            <w:bookmarkStart w:id="1063" w:name="_Toc448142426"/>
            <w:bookmarkStart w:id="1064" w:name="_Toc458770262"/>
            <w:bookmarkStart w:id="1065" w:name="_Toc459294230"/>
            <w:bookmarkStart w:id="1066" w:name="_Toc463262723"/>
            <w:bookmarkStart w:id="1067" w:name="_Toc468286797"/>
            <w:bookmarkStart w:id="1068" w:name="_Toc481502843"/>
            <w:bookmarkStart w:id="1069" w:name="_Toc496080011"/>
            <w:r>
              <w:t>[NPRR857:  Replace paragraph (</w:t>
            </w:r>
            <w:r w:rsidR="005A1251">
              <w:t>4</w:t>
            </w:r>
            <w:r>
              <w:t>)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4719C083" w14:textId="49E93262" w:rsidR="00142463" w:rsidRPr="00B37C4B" w:rsidRDefault="00142463" w:rsidP="00142463">
            <w:pPr>
              <w:spacing w:after="240"/>
              <w:ind w:left="720" w:hanging="720"/>
            </w:pPr>
            <w:r w:rsidRPr="00E55E72">
              <w:lastRenderedPageBreak/>
              <w:t>(</w:t>
            </w:r>
            <w:r w:rsidR="005A1251">
              <w:t>4</w:t>
            </w:r>
            <w:r w:rsidRPr="00E55E72">
              <w:t>)</w:t>
            </w:r>
            <w:r w:rsidRPr="00E55E72">
              <w:tab/>
              <w:t>If ERCOT determines that rating(s) in the Network Operations Model or configuration of the Transmission Facilities are not correct, then the TSP or DCTO will provide the appropriate data submittals to ERCOT to correct the prob</w:t>
            </w:r>
            <w:r>
              <w:t>lem upon notification by ERCOT.</w:t>
            </w:r>
          </w:p>
        </w:tc>
      </w:tr>
    </w:tbl>
    <w:p w14:paraId="5FD8A8F9" w14:textId="77777777" w:rsidR="001F04FD" w:rsidRDefault="001F04FD" w:rsidP="001F04FD">
      <w:pPr>
        <w:pStyle w:val="H5"/>
        <w:spacing w:before="480"/>
        <w:ind w:left="1627" w:hanging="1627"/>
      </w:pPr>
      <w:bookmarkStart w:id="1070" w:name="_Toc204411605"/>
      <w:r>
        <w:lastRenderedPageBreak/>
        <w:t>6.5.7.1.12</w:t>
      </w:r>
      <w:r>
        <w:tab/>
        <w:t>Resource Limits</w:t>
      </w:r>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p>
    <w:p w14:paraId="15D74BA0" w14:textId="77777777" w:rsidR="001F04FD" w:rsidRDefault="001F04FD" w:rsidP="001F04FD">
      <w:pPr>
        <w:pStyle w:val="BodyTextNumbered"/>
      </w:pPr>
      <w:r>
        <w:t>(1)</w:t>
      </w:r>
      <w:r>
        <w:tab/>
        <w:t>The following Generation Resource limits are calculated by ERCOT and used as inputs by the SCED process:</w:t>
      </w:r>
    </w:p>
    <w:p w14:paraId="7F7CF391" w14:textId="77777777" w:rsidR="001F04FD" w:rsidRDefault="001F04FD" w:rsidP="001F04FD">
      <w:pPr>
        <w:pStyle w:val="List"/>
      </w:pPr>
      <w:r>
        <w:t>(a)</w:t>
      </w:r>
      <w:r>
        <w:tab/>
        <w:t>HASL;</w:t>
      </w:r>
    </w:p>
    <w:p w14:paraId="7798F596" w14:textId="77777777" w:rsidR="001F04FD" w:rsidRDefault="001F04FD" w:rsidP="001F04FD">
      <w:pPr>
        <w:pStyle w:val="List"/>
      </w:pPr>
      <w:r>
        <w:t>(b)</w:t>
      </w:r>
      <w:r>
        <w:tab/>
        <w:t>LASL;</w:t>
      </w:r>
    </w:p>
    <w:p w14:paraId="42127BB2" w14:textId="77777777" w:rsidR="001F04FD" w:rsidRDefault="001F04FD" w:rsidP="001F04FD">
      <w:pPr>
        <w:pStyle w:val="List"/>
      </w:pPr>
      <w:r>
        <w:t>(c)</w:t>
      </w:r>
      <w:r>
        <w:tab/>
        <w:t>Normal Ramp Rate based on the values telemetered by the QSE to ERCOT;</w:t>
      </w:r>
    </w:p>
    <w:p w14:paraId="5A202D69" w14:textId="77777777" w:rsidR="001F04FD" w:rsidRDefault="001F04FD" w:rsidP="001F04FD">
      <w:pPr>
        <w:pStyle w:val="List"/>
      </w:pPr>
      <w:r>
        <w:t>(d)</w:t>
      </w:r>
      <w:r>
        <w:tab/>
        <w:t>Emergency Ramp Rate based on the values telemetered by the QSE to ERCOT;</w:t>
      </w:r>
    </w:p>
    <w:p w14:paraId="1F7AF581" w14:textId="77777777" w:rsidR="001F04FD" w:rsidRDefault="001F04FD" w:rsidP="001F04FD">
      <w:pPr>
        <w:pStyle w:val="List"/>
      </w:pPr>
      <w:r>
        <w:t>(e)</w:t>
      </w:r>
      <w:r>
        <w:tab/>
        <w:t>SCED Up Ramp Rate (SURAMP), which represents the ability of a Generation Resource to increase generation output in SCED;</w:t>
      </w:r>
    </w:p>
    <w:p w14:paraId="4B291FF8" w14:textId="77777777" w:rsidR="001F04FD" w:rsidRDefault="001F04FD" w:rsidP="001F04FD">
      <w:pPr>
        <w:pStyle w:val="List"/>
      </w:pPr>
      <w:r>
        <w:t>(f)</w:t>
      </w:r>
      <w:r>
        <w:tab/>
        <w:t>SCED Down Ramp Rate (SDRAMP), which represents the ability of a Generation Resource to decrease generation output in SCED;</w:t>
      </w:r>
    </w:p>
    <w:p w14:paraId="03BC393A" w14:textId="77777777" w:rsidR="001F04FD" w:rsidRDefault="001F04FD" w:rsidP="001F04FD">
      <w:pPr>
        <w:pStyle w:val="List"/>
      </w:pPr>
      <w:r>
        <w:t>(g)</w:t>
      </w:r>
      <w:r>
        <w:tab/>
        <w:t>HDL, which represents a dynamically calculated MW upper limit on a Resource that describes the maximum capability of the Resource SCED dispatch for the next five minutes (the Resource’s Real-Time generation plus the product of the Normal Ramp Rate, as telemetered by the QSE, multiplied by five), restricted by HASL; and</w:t>
      </w:r>
    </w:p>
    <w:p w14:paraId="66EC0829" w14:textId="77777777" w:rsidR="001F04FD" w:rsidRDefault="001F04FD" w:rsidP="001F04FD">
      <w:pPr>
        <w:pStyle w:val="List"/>
      </w:pPr>
      <w:r>
        <w:t>(h)</w:t>
      </w:r>
      <w:r>
        <w:tab/>
        <w:t>LDL, which represents a dynamically calculated MW lower limit on a Resource that describes the minimum capability of the Resource SCED dispatch for the next five minutes (the Resource’s Real-Time generation minus the product of the Normal Ramp Rate, as telemetered by the QSE, multiplied by five), restricted by LASL.</w:t>
      </w:r>
    </w:p>
    <w:p w14:paraId="0801FF8A" w14:textId="77777777" w:rsidR="001F04FD" w:rsidRDefault="001F04FD" w:rsidP="001F04FD">
      <w:pPr>
        <w:pStyle w:val="BodyTextNumbered"/>
      </w:pPr>
      <w:r>
        <w:t>(2)</w:t>
      </w:r>
      <w:r>
        <w:tab/>
        <w:t>The following Load Resource limits are calculated by ERCOT and used in other calculations and as information for ERCOT Operators:</w:t>
      </w:r>
    </w:p>
    <w:p w14:paraId="4FB50129" w14:textId="77777777" w:rsidR="001F04FD" w:rsidRDefault="001F04FD" w:rsidP="001F04FD">
      <w:pPr>
        <w:pStyle w:val="List"/>
      </w:pPr>
      <w:r>
        <w:t>(a)</w:t>
      </w:r>
      <w:r>
        <w:tab/>
        <w:t>For all Load Resources:</w:t>
      </w:r>
    </w:p>
    <w:p w14:paraId="6DFA6C4A" w14:textId="77777777" w:rsidR="001F04FD" w:rsidRDefault="001F04FD" w:rsidP="001F04FD">
      <w:pPr>
        <w:pStyle w:val="List"/>
        <w:ind w:left="2160"/>
      </w:pPr>
      <w:r>
        <w:t>(i)</w:t>
      </w:r>
      <w:r>
        <w:tab/>
        <w:t>HASL; and</w:t>
      </w:r>
    </w:p>
    <w:p w14:paraId="3B195063" w14:textId="77777777" w:rsidR="001F04FD" w:rsidRDefault="001F04FD" w:rsidP="001F04FD">
      <w:pPr>
        <w:spacing w:after="240"/>
        <w:ind w:left="2160" w:hanging="720"/>
      </w:pPr>
      <w:r>
        <w:t>(ii)</w:t>
      </w:r>
      <w:r>
        <w:tab/>
        <w:t>LASL; and</w:t>
      </w:r>
    </w:p>
    <w:p w14:paraId="552DC965" w14:textId="6FC31A68" w:rsidR="001F04FD" w:rsidRPr="006A6281" w:rsidRDefault="001F04FD" w:rsidP="001F04FD">
      <w:pPr>
        <w:pStyle w:val="List"/>
      </w:pPr>
      <w:r w:rsidRPr="006A6281">
        <w:lastRenderedPageBreak/>
        <w:t>(b)</w:t>
      </w:r>
      <w:r w:rsidRPr="006A6281">
        <w:tab/>
        <w:t xml:space="preserve">For </w:t>
      </w:r>
      <w:r w:rsidR="0011303E">
        <w:t>CLR</w:t>
      </w:r>
      <w:r w:rsidRPr="006A6281">
        <w:t>s qualified to be Dispatched by SCED:</w:t>
      </w:r>
    </w:p>
    <w:p w14:paraId="589402F4" w14:textId="77777777" w:rsidR="001F04FD" w:rsidRPr="006A6281" w:rsidRDefault="001F04FD" w:rsidP="001F04FD">
      <w:pPr>
        <w:pStyle w:val="List"/>
        <w:ind w:left="2160"/>
      </w:pPr>
      <w:r w:rsidRPr="006A6281">
        <w:t>(i)</w:t>
      </w:r>
      <w:r w:rsidRPr="006A6281">
        <w:tab/>
        <w:t>Normal Ramp Rate based on the values telemetered by the QSE to ERCOT;</w:t>
      </w:r>
    </w:p>
    <w:p w14:paraId="41422D9F" w14:textId="77777777" w:rsidR="001F04FD" w:rsidRPr="006A6281" w:rsidRDefault="001F04FD" w:rsidP="001F04FD">
      <w:pPr>
        <w:pStyle w:val="List"/>
        <w:ind w:left="2160"/>
      </w:pPr>
      <w:r w:rsidRPr="006A6281">
        <w:t>(ii)</w:t>
      </w:r>
      <w:r w:rsidRPr="006A6281">
        <w:tab/>
        <w:t>Emergency Ramp Rate based on the values telemetered by the QSE to ERCOT;</w:t>
      </w:r>
    </w:p>
    <w:p w14:paraId="22DD0494" w14:textId="77777777" w:rsidR="001F04FD" w:rsidRPr="006A6281" w:rsidRDefault="001F04FD" w:rsidP="001F04FD">
      <w:pPr>
        <w:pStyle w:val="List"/>
        <w:ind w:left="2160"/>
      </w:pPr>
      <w:r w:rsidRPr="006A6281">
        <w:t>(iii)</w:t>
      </w:r>
      <w:r w:rsidRPr="006A6281">
        <w:tab/>
        <w:t>SURAMP, which represents the ability of a Load Resource to decrease consumption in SCED;</w:t>
      </w:r>
    </w:p>
    <w:p w14:paraId="1405771D" w14:textId="77777777" w:rsidR="001F04FD" w:rsidRPr="006A6281" w:rsidRDefault="001F04FD" w:rsidP="001F04FD">
      <w:pPr>
        <w:pStyle w:val="List"/>
        <w:ind w:left="2160"/>
      </w:pPr>
      <w:r w:rsidRPr="006A6281">
        <w:t>(iv)</w:t>
      </w:r>
      <w:r w:rsidRPr="006A6281">
        <w:tab/>
        <w:t>SDRAMP, which represents the ability of a Load Resource to increase consumption in SCED;</w:t>
      </w:r>
    </w:p>
    <w:p w14:paraId="30B742BE" w14:textId="77777777" w:rsidR="001F04FD" w:rsidRPr="006A6281" w:rsidRDefault="001F04FD" w:rsidP="001F04FD">
      <w:pPr>
        <w:pStyle w:val="List"/>
        <w:ind w:left="2160"/>
      </w:pPr>
      <w:r w:rsidRPr="006A6281">
        <w:t>(v)</w:t>
      </w:r>
      <w:r w:rsidRPr="006A6281">
        <w:tab/>
        <w:t>HDL, which represents a dynamically calculated MW upper limit on a Resource that describes the maximum capability of the Resource SCED dispatch for the next five minutes (the Resource’s Real-Time consumption plus the product of the Normal Ramp Rate, as telemetered by the QSE, multiplied by five), restricted by HASL; and</w:t>
      </w:r>
    </w:p>
    <w:p w14:paraId="01883723" w14:textId="77777777" w:rsidR="001F04FD" w:rsidRDefault="001F04FD" w:rsidP="001F04FD">
      <w:pPr>
        <w:pStyle w:val="List"/>
        <w:ind w:left="2160"/>
      </w:pPr>
      <w:r w:rsidRPr="006A6281">
        <w:t>(vi)</w:t>
      </w:r>
      <w:r w:rsidRPr="006A6281">
        <w:tab/>
        <w:t>LDL, which represents a dynamically calculated MW lower limit on a Resource that describes the minimum capability of the Resource SCED dispatch for the next five minutes (the Resource’s Real-Time consumption minus the product of the Normal Ramp Rate, as telemetered by the QSE, multiplied by five), restricted by LASL.</w:t>
      </w:r>
    </w:p>
    <w:p w14:paraId="61B7F176" w14:textId="77777777" w:rsidR="001F04FD" w:rsidRDefault="001F04FD" w:rsidP="001F04FD">
      <w:pPr>
        <w:pStyle w:val="BodyTextNumbered"/>
      </w:pPr>
      <w:r>
        <w:t>(3)</w:t>
      </w:r>
      <w:r>
        <w:tab/>
        <w:t>For a more detailed explanation of all the Resource limits calculated by ERCOT, please reference Section 6.5.7.2, Resource Limit Calculator.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0BCE4034" w14:textId="77777777" w:rsidTr="00D94BFC">
        <w:trPr>
          <w:trHeight w:val="206"/>
        </w:trPr>
        <w:tc>
          <w:tcPr>
            <w:tcW w:w="9350" w:type="dxa"/>
            <w:shd w:val="pct12" w:color="auto" w:fill="auto"/>
          </w:tcPr>
          <w:p w14:paraId="724D7840" w14:textId="28C126DE" w:rsidR="00F65784" w:rsidRDefault="00F65784" w:rsidP="00D94BFC">
            <w:pPr>
              <w:pStyle w:val="Instructions"/>
              <w:spacing w:before="120"/>
            </w:pPr>
            <w:bookmarkStart w:id="1071" w:name="_Toc397504968"/>
            <w:bookmarkStart w:id="1072" w:name="_Toc402357096"/>
            <w:bookmarkStart w:id="1073" w:name="_Toc422486476"/>
            <w:bookmarkStart w:id="1074" w:name="_Toc433093328"/>
            <w:bookmarkStart w:id="1075" w:name="_Toc433093486"/>
            <w:bookmarkStart w:id="1076" w:name="_Toc440874715"/>
            <w:bookmarkStart w:id="1077" w:name="_Toc448142270"/>
            <w:bookmarkStart w:id="1078" w:name="_Toc448142427"/>
            <w:bookmarkStart w:id="1079" w:name="_Toc458770263"/>
            <w:bookmarkStart w:id="1080" w:name="_Toc459294231"/>
            <w:bookmarkStart w:id="1081" w:name="_Toc463262724"/>
            <w:bookmarkStart w:id="1082" w:name="_Toc468286798"/>
            <w:bookmarkStart w:id="1083" w:name="_Toc481502844"/>
            <w:bookmarkStart w:id="1084" w:name="_Toc496080012"/>
            <w:r>
              <w:t>[NPRR1010</w:t>
            </w:r>
            <w:r w:rsidR="00151051">
              <w:t xml:space="preserve"> and NPRR1014</w:t>
            </w:r>
            <w:r>
              <w:t>:  Replace</w:t>
            </w:r>
            <w:r w:rsidR="00151051">
              <w:t xml:space="preserve"> applicable portions of</w:t>
            </w:r>
            <w:r>
              <w:t xml:space="preserve"> Section 6.5.7.1.12 above with the following upon system implementation of the Real-Time Co-Optimization (RTC) project</w:t>
            </w:r>
            <w:r w:rsidR="00151051">
              <w:t xml:space="preserve"> for NPRR1010; or upon system implementation for NPRR1014</w:t>
            </w:r>
            <w:r>
              <w:t>:]</w:t>
            </w:r>
          </w:p>
          <w:p w14:paraId="5A6DFD53" w14:textId="77777777" w:rsidR="00F65784" w:rsidRPr="003161DC" w:rsidRDefault="00F65784" w:rsidP="00F65784">
            <w:pPr>
              <w:keepNext/>
              <w:tabs>
                <w:tab w:val="left" w:pos="1620"/>
              </w:tabs>
              <w:spacing w:before="240" w:after="240"/>
              <w:ind w:left="1627" w:hanging="1627"/>
              <w:outlineLvl w:val="4"/>
              <w:rPr>
                <w:b/>
                <w:bCs/>
                <w:i/>
                <w:iCs/>
                <w:szCs w:val="26"/>
              </w:rPr>
            </w:pPr>
            <w:bookmarkStart w:id="1085" w:name="_Toc60040614"/>
            <w:bookmarkStart w:id="1086" w:name="_Toc65151674"/>
            <w:bookmarkStart w:id="1087" w:name="_Toc80174700"/>
            <w:bookmarkStart w:id="1088" w:name="_Toc108712459"/>
            <w:bookmarkStart w:id="1089" w:name="_Toc112417579"/>
            <w:bookmarkStart w:id="1090" w:name="_Toc119310248"/>
            <w:bookmarkStart w:id="1091" w:name="_Toc125966182"/>
            <w:bookmarkStart w:id="1092" w:name="_Toc135992280"/>
            <w:bookmarkStart w:id="1093" w:name="_Toc170303476"/>
            <w:bookmarkStart w:id="1094" w:name="_Toc175157380"/>
            <w:bookmarkStart w:id="1095" w:name="_Toc204411606"/>
            <w:r w:rsidRPr="003161DC">
              <w:rPr>
                <w:b/>
                <w:bCs/>
                <w:i/>
                <w:iCs/>
                <w:szCs w:val="26"/>
              </w:rPr>
              <w:t>6.5.7.1.12</w:t>
            </w:r>
            <w:r w:rsidRPr="003161DC">
              <w:rPr>
                <w:b/>
                <w:bCs/>
                <w:i/>
                <w:iCs/>
                <w:szCs w:val="26"/>
              </w:rPr>
              <w:tab/>
              <w:t>Resource Limits</w:t>
            </w:r>
            <w:bookmarkEnd w:id="1085"/>
            <w:bookmarkEnd w:id="1086"/>
            <w:bookmarkEnd w:id="1087"/>
            <w:bookmarkEnd w:id="1088"/>
            <w:bookmarkEnd w:id="1089"/>
            <w:bookmarkEnd w:id="1090"/>
            <w:bookmarkEnd w:id="1091"/>
            <w:bookmarkEnd w:id="1092"/>
            <w:bookmarkEnd w:id="1093"/>
            <w:bookmarkEnd w:id="1094"/>
            <w:bookmarkEnd w:id="1095"/>
          </w:p>
          <w:p w14:paraId="489C3E88" w14:textId="14FCE73F" w:rsidR="00F65784" w:rsidRPr="003161DC" w:rsidRDefault="00F65784" w:rsidP="00F65784">
            <w:pPr>
              <w:spacing w:after="240"/>
              <w:ind w:left="720" w:hanging="720"/>
            </w:pPr>
            <w:r w:rsidRPr="003161DC">
              <w:t>(1)</w:t>
            </w:r>
            <w:r w:rsidRPr="003161DC">
              <w:tab/>
              <w:t>The following Generation Resource</w:t>
            </w:r>
            <w:r w:rsidR="00151051">
              <w:t xml:space="preserve"> or ESR</w:t>
            </w:r>
            <w:r w:rsidRPr="003161DC">
              <w:t xml:space="preserve"> limits are calculated by ERCOT and used as inputs by the SCED process:</w:t>
            </w:r>
          </w:p>
          <w:p w14:paraId="2D17B808" w14:textId="77777777" w:rsidR="00F65784" w:rsidRPr="003161DC" w:rsidRDefault="00F65784" w:rsidP="00F65784">
            <w:pPr>
              <w:spacing w:after="240"/>
              <w:ind w:left="1440" w:hanging="720"/>
            </w:pPr>
            <w:r w:rsidRPr="003161DC">
              <w:t>(</w:t>
            </w:r>
            <w:r>
              <w:t>a</w:t>
            </w:r>
            <w:r w:rsidRPr="003161DC">
              <w:t>)</w:t>
            </w:r>
            <w:r w:rsidRPr="003161DC">
              <w:tab/>
              <w:t>Normal Ramp Rate based on the values telemetered by the QSE to ERCOT</w:t>
            </w:r>
            <w:r>
              <w:t>, which represents the current ability of the Resource to follow a Base Point instruction</w:t>
            </w:r>
            <w:r w:rsidRPr="003161DC">
              <w:t>;</w:t>
            </w:r>
          </w:p>
          <w:p w14:paraId="01FBCF78" w14:textId="77777777" w:rsidR="00F65784" w:rsidRPr="003161DC" w:rsidRDefault="00F65784" w:rsidP="00F65784">
            <w:pPr>
              <w:spacing w:after="240"/>
              <w:ind w:left="1440" w:hanging="720"/>
            </w:pPr>
            <w:r w:rsidRPr="003161DC">
              <w:t>(</w:t>
            </w:r>
            <w:r>
              <w:t>b</w:t>
            </w:r>
            <w:r w:rsidRPr="003161DC">
              <w:t>)</w:t>
            </w:r>
            <w:r w:rsidRPr="003161DC">
              <w:tab/>
              <w:t>Emergency Ramp Rate based on the</w:t>
            </w:r>
            <w:r>
              <w:fldChar w:fldCharType="begin"/>
            </w:r>
            <w:r>
              <w:fldChar w:fldCharType="end"/>
            </w:r>
            <w:r w:rsidRPr="003161DC">
              <w:t xml:space="preserve"> values telemetered by the QSE to ERCOT;</w:t>
            </w:r>
          </w:p>
          <w:p w14:paraId="3452E9CA" w14:textId="5FAC55C5" w:rsidR="00F65784" w:rsidRPr="003161DC" w:rsidRDefault="00F65784" w:rsidP="00F65784">
            <w:pPr>
              <w:spacing w:after="240"/>
              <w:ind w:left="1440" w:hanging="720"/>
            </w:pPr>
            <w:r w:rsidRPr="003161DC">
              <w:t>(</w:t>
            </w:r>
            <w:r>
              <w:t>c</w:t>
            </w:r>
            <w:r w:rsidRPr="003161DC">
              <w:t>)</w:t>
            </w:r>
            <w:r w:rsidRPr="003161DC">
              <w:tab/>
              <w:t>HDL, which represents a dynamically calculated MW upper limit on a Resource that describes the maximum capability of the Resource</w:t>
            </w:r>
            <w:r>
              <w:t>’s</w:t>
            </w:r>
            <w:r w:rsidRPr="003161DC">
              <w:t xml:space="preserve"> SCED dispatch </w:t>
            </w:r>
            <w:r>
              <w:t xml:space="preserve">and limits the amount of Reg-Up that can be awarded to the Resource </w:t>
            </w:r>
            <w:r w:rsidRPr="003161DC">
              <w:lastRenderedPageBreak/>
              <w:t xml:space="preserve">for the next five minutes (the Resource’s Real-Time </w:t>
            </w:r>
            <w:r w:rsidR="00CE56E5" w:rsidRPr="003161DC">
              <w:t>generation</w:t>
            </w:r>
            <w:r w:rsidR="00CE56E5">
              <w:t xml:space="preserve"> or, in the case of an ESR, its Real-Time output or consumption,</w:t>
            </w:r>
            <w:r w:rsidR="00CE56E5" w:rsidRPr="003161DC">
              <w:t xml:space="preserve"> </w:t>
            </w:r>
            <w:r w:rsidRPr="003161DC">
              <w:t>plus the product of the Normal Ramp Rate, as telemetered by the QSE, multiplied by five), restricted by HSL; and</w:t>
            </w:r>
          </w:p>
          <w:p w14:paraId="6BDFB0E4" w14:textId="205346D0" w:rsidR="00F65784" w:rsidRPr="003161DC" w:rsidRDefault="00F65784" w:rsidP="00F65784">
            <w:pPr>
              <w:spacing w:after="240"/>
              <w:ind w:left="1440" w:hanging="720"/>
            </w:pPr>
            <w:r w:rsidRPr="003161DC">
              <w:t>(</w:t>
            </w:r>
            <w:r>
              <w:t>d</w:t>
            </w:r>
            <w:r w:rsidRPr="003161DC">
              <w:t>)</w:t>
            </w:r>
            <w:r w:rsidRPr="003161DC">
              <w:tab/>
              <w:t>LDL, which represents a dynamically calculated MW lower limit on a Resource that describes the minimum capability of the Resource</w:t>
            </w:r>
            <w:r>
              <w:t>’s</w:t>
            </w:r>
            <w:r w:rsidRPr="003161DC">
              <w:t xml:space="preserve"> SCED dispatch </w:t>
            </w:r>
            <w:r>
              <w:t xml:space="preserve">and limits the amount of Reg-Down that can be awarded to the Resource </w:t>
            </w:r>
            <w:r w:rsidRPr="003161DC">
              <w:t xml:space="preserve">for the next five minutes (the Resource’s Real-Time </w:t>
            </w:r>
            <w:r w:rsidR="00CE56E5" w:rsidRPr="003161DC">
              <w:t xml:space="preserve">generation </w:t>
            </w:r>
            <w:r w:rsidR="00CE56E5">
              <w:t xml:space="preserve">or, in the case of an ESR, its Real-Time output or consumption, </w:t>
            </w:r>
            <w:r w:rsidR="00CE56E5" w:rsidRPr="003161DC">
              <w:t xml:space="preserve">minus </w:t>
            </w:r>
            <w:r w:rsidRPr="003161DC">
              <w:t>the product of the Normal Ramp Rate, as telemetered by the QSE, multiplied by five), restricted by LSL.</w:t>
            </w:r>
          </w:p>
          <w:p w14:paraId="7F9208BF" w14:textId="3F863C17" w:rsidR="00F65784" w:rsidRPr="003161DC" w:rsidRDefault="00F65784" w:rsidP="00F65784">
            <w:pPr>
              <w:spacing w:after="240"/>
              <w:ind w:left="720" w:hanging="720"/>
            </w:pPr>
            <w:r w:rsidRPr="003161DC">
              <w:t>(2)</w:t>
            </w:r>
            <w:r w:rsidRPr="003161DC">
              <w:tab/>
              <w:t xml:space="preserve">The following Load Resource limits are calculated by ERCOT </w:t>
            </w:r>
            <w:r>
              <w:t xml:space="preserve">for </w:t>
            </w:r>
            <w:r w:rsidR="0011303E">
              <w:t>CLR</w:t>
            </w:r>
            <w:r>
              <w:t xml:space="preserve">s qualified to be dispatched by SCED </w:t>
            </w:r>
            <w:r w:rsidRPr="003161DC">
              <w:t>and used in other calculations and as information for ERCOT Operators:</w:t>
            </w:r>
          </w:p>
          <w:p w14:paraId="20667336" w14:textId="77777777" w:rsidR="00F65784" w:rsidRPr="003161DC" w:rsidRDefault="00F65784" w:rsidP="00F65784">
            <w:pPr>
              <w:spacing w:after="240"/>
              <w:ind w:left="1440" w:hanging="720"/>
            </w:pPr>
            <w:r w:rsidRPr="006A4B03">
              <w:t>(a)</w:t>
            </w:r>
            <w:r w:rsidRPr="006A4B03">
              <w:tab/>
              <w:t>Normal Ramp Rate based on the values telemetered by the QSE to ERCOT, which represents the current ability of the Resource to follow a SCED Base Point instruction;</w:t>
            </w:r>
          </w:p>
          <w:p w14:paraId="155EA0C8" w14:textId="77777777" w:rsidR="00F65784" w:rsidRPr="003161DC" w:rsidRDefault="00F65784" w:rsidP="00F65784">
            <w:pPr>
              <w:spacing w:after="240"/>
              <w:ind w:left="1440" w:hanging="720"/>
            </w:pPr>
            <w:r w:rsidRPr="003161DC">
              <w:t>(</w:t>
            </w:r>
            <w:r>
              <w:t>b</w:t>
            </w:r>
            <w:r w:rsidRPr="003161DC">
              <w:t>)</w:t>
            </w:r>
            <w:r w:rsidRPr="003161DC">
              <w:tab/>
              <w:t>Emergency Ramp Rate based on the values telemetered by the QSE to ERCOT;</w:t>
            </w:r>
          </w:p>
          <w:p w14:paraId="6A4ADB0A" w14:textId="77777777" w:rsidR="00F65784" w:rsidRPr="003161DC" w:rsidRDefault="00F65784" w:rsidP="00F65784">
            <w:pPr>
              <w:spacing w:after="240"/>
              <w:ind w:left="1440" w:hanging="720"/>
            </w:pPr>
            <w:r w:rsidRPr="003161DC">
              <w:t>(</w:t>
            </w:r>
            <w:r>
              <w:t>c</w:t>
            </w:r>
            <w:r w:rsidRPr="003161DC">
              <w:t>)</w:t>
            </w:r>
            <w:r w:rsidRPr="003161DC">
              <w:tab/>
              <w:t xml:space="preserve">HDL, which represents a dynamically calculated MW upper limit on a Resource that describes the maximum capability of the Resource SCED dispatch </w:t>
            </w:r>
            <w:r>
              <w:t xml:space="preserve">and limits the amount of Reg-Down that can be awarded to the Resource </w:t>
            </w:r>
            <w:r w:rsidRPr="003161DC">
              <w:t>for the next five minutes (the Resource’s Real-Time consumption plus the product of the Normal Ramp Rate, as telemetered by the QSE, multiplied by five), restricted by HSL; and</w:t>
            </w:r>
          </w:p>
          <w:p w14:paraId="54C20C49" w14:textId="77777777" w:rsidR="00F65784" w:rsidRPr="003161DC" w:rsidRDefault="00F65784" w:rsidP="00F65784">
            <w:pPr>
              <w:spacing w:after="240"/>
              <w:ind w:left="1440" w:hanging="720"/>
            </w:pPr>
            <w:r w:rsidRPr="003161DC">
              <w:t>(</w:t>
            </w:r>
            <w:r>
              <w:t>d</w:t>
            </w:r>
            <w:r w:rsidRPr="003161DC">
              <w:t>)</w:t>
            </w:r>
            <w:r w:rsidRPr="003161DC">
              <w:tab/>
              <w:t xml:space="preserve">LDL, which represents a dynamically calculated MW lower limit on a Resource that describes the minimum capability of the Resource SCED dispatch </w:t>
            </w:r>
            <w:r>
              <w:t xml:space="preserve">and limits the amount of Reg-Up that can be awarded to the Resource </w:t>
            </w:r>
            <w:r w:rsidRPr="003161DC">
              <w:t>for the next five minutes (the Resource’s Real-Time consumption minus the product of the Normal Ramp Rate, as telemetered by the QSE, multiplied by five), restricted by LSL.</w:t>
            </w:r>
          </w:p>
          <w:p w14:paraId="456D43C9" w14:textId="6BCE0EE2" w:rsidR="00F65784" w:rsidRPr="00F65784" w:rsidRDefault="00F65784" w:rsidP="00F65784">
            <w:pPr>
              <w:spacing w:after="240"/>
              <w:ind w:left="720" w:hanging="720"/>
            </w:pPr>
            <w:r w:rsidRPr="003161DC">
              <w:t>(3)</w:t>
            </w:r>
            <w:r w:rsidRPr="003161DC">
              <w:tab/>
              <w:t>For a more detailed explanation of all the Resource limits calculated by ERCOT, please reference Section 6.5.</w:t>
            </w:r>
            <w:r>
              <w:t>7.2, Resource Limit Calculator.</w:t>
            </w:r>
          </w:p>
        </w:tc>
      </w:tr>
    </w:tbl>
    <w:p w14:paraId="68B71B1A" w14:textId="77777777" w:rsidR="001F04FD" w:rsidRDefault="001F04FD" w:rsidP="001F04FD">
      <w:pPr>
        <w:pStyle w:val="H5"/>
        <w:spacing w:before="480"/>
        <w:ind w:left="1627" w:hanging="1627"/>
      </w:pPr>
      <w:bookmarkStart w:id="1096" w:name="_Toc204411607"/>
      <w:r>
        <w:lastRenderedPageBreak/>
        <w:t>6.5.7.1.13</w:t>
      </w:r>
      <w:r>
        <w:tab/>
        <w:t>Data Inputs and Outputs for the Real-Time Sequence and SCED</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96"/>
    </w:p>
    <w:p w14:paraId="53979494" w14:textId="77777777" w:rsidR="001F04FD" w:rsidRDefault="001F04FD" w:rsidP="001F04FD">
      <w:pPr>
        <w:pStyle w:val="BodyTextNumbered"/>
      </w:pPr>
      <w:r>
        <w:t>(1)</w:t>
      </w:r>
      <w:r>
        <w:tab/>
        <w:t>Inputs:  The following information must be provided as inputs to the Real-Time Sequence and SCED.  ERCOT may require additional information as required, including:</w:t>
      </w:r>
    </w:p>
    <w:p w14:paraId="792BCD53" w14:textId="77777777" w:rsidR="001F04FD" w:rsidRDefault="001F04FD" w:rsidP="001F04FD">
      <w:pPr>
        <w:pStyle w:val="List"/>
      </w:pPr>
      <w:r>
        <w:lastRenderedPageBreak/>
        <w:t>(a)</w:t>
      </w:r>
      <w:r>
        <w:tab/>
        <w:t>Real-Time data from TSPs including status indication for each point if that data element is stale for more than 20 seconds;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42463" w14:paraId="4BB86229" w14:textId="77777777" w:rsidTr="004510FA">
        <w:trPr>
          <w:trHeight w:val="1547"/>
        </w:trPr>
        <w:tc>
          <w:tcPr>
            <w:tcW w:w="9576" w:type="dxa"/>
            <w:shd w:val="pct12" w:color="auto" w:fill="auto"/>
          </w:tcPr>
          <w:p w14:paraId="2070E802" w14:textId="0D84B4F4" w:rsidR="00142463" w:rsidRDefault="00142463" w:rsidP="004510FA">
            <w:pPr>
              <w:pStyle w:val="Instructions"/>
              <w:spacing w:before="120"/>
            </w:pPr>
            <w:r>
              <w:t>[NPRR857:  Replace paragraph (a)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6815C23" w14:textId="77777777" w:rsidR="00142463" w:rsidRPr="00B37C4B" w:rsidRDefault="00862975" w:rsidP="00862975">
            <w:pPr>
              <w:spacing w:after="240"/>
              <w:ind w:left="1440" w:hanging="720"/>
            </w:pPr>
            <w:r w:rsidRPr="00E55E72">
              <w:t>(a)</w:t>
            </w:r>
            <w:r w:rsidRPr="00E55E72">
              <w:tab/>
              <w:t xml:space="preserve">Real-Time data from TSPs and DCTOs including status indication for each point if that data element is </w:t>
            </w:r>
            <w:r>
              <w:t>stale for more than 20 seconds;</w:t>
            </w:r>
          </w:p>
        </w:tc>
      </w:tr>
    </w:tbl>
    <w:p w14:paraId="7B9AA89D" w14:textId="77777777" w:rsidR="001F04FD" w:rsidRDefault="001F04FD" w:rsidP="0099247E">
      <w:pPr>
        <w:pStyle w:val="List2"/>
        <w:spacing w:before="240"/>
      </w:pPr>
      <w:r>
        <w:t>(i)</w:t>
      </w:r>
      <w:r>
        <w:tab/>
        <w:t>Transmission Electrical Bus voltages;</w:t>
      </w:r>
    </w:p>
    <w:p w14:paraId="77439A8C" w14:textId="77777777" w:rsidR="001F04FD" w:rsidRDefault="001F04FD" w:rsidP="001F04FD">
      <w:pPr>
        <w:pStyle w:val="List2"/>
      </w:pPr>
      <w:r>
        <w:t>(ii)</w:t>
      </w:r>
      <w:r>
        <w:tab/>
        <w:t>MW and MVAr pairs for all transmission lines, transformers, and reactors;</w:t>
      </w:r>
    </w:p>
    <w:p w14:paraId="778CF573" w14:textId="77777777" w:rsidR="001F04FD" w:rsidRDefault="001F04FD" w:rsidP="001F04FD">
      <w:pPr>
        <w:pStyle w:val="List2"/>
      </w:pPr>
      <w:r>
        <w:t>(iii)</w:t>
      </w:r>
      <w:r>
        <w:tab/>
        <w:t>Actual breaker and switch status for all modeled devices; and</w:t>
      </w:r>
    </w:p>
    <w:p w14:paraId="75B14212" w14:textId="77777777" w:rsidR="001F04FD" w:rsidRDefault="001F04FD" w:rsidP="001F04FD">
      <w:pPr>
        <w:pStyle w:val="List2"/>
      </w:pPr>
      <w:r>
        <w:t>(iv)</w:t>
      </w:r>
      <w:r>
        <w:tab/>
        <w:t>Tap position for auto-transformers;</w:t>
      </w:r>
    </w:p>
    <w:p w14:paraId="2C40B223" w14:textId="77777777" w:rsidR="001F04FD" w:rsidRDefault="001F04FD" w:rsidP="001F04FD">
      <w:pPr>
        <w:pStyle w:val="List"/>
      </w:pPr>
      <w:r>
        <w:t>(b)</w:t>
      </w:r>
      <w:r>
        <w:tab/>
        <w:t>State Estimator results (MW and MVAr pairs and calculated MVA) for all modeled Transmission Elements;</w:t>
      </w:r>
    </w:p>
    <w:p w14:paraId="48FEBD75" w14:textId="77777777" w:rsidR="001F04FD" w:rsidRDefault="001F04FD" w:rsidP="001F04FD">
      <w:pPr>
        <w:pStyle w:val="List"/>
      </w:pPr>
      <w:r>
        <w:t>(c)</w:t>
      </w:r>
      <w:r>
        <w:tab/>
        <w:t>Transmission Element ratings from TSPs;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2975" w14:paraId="6DEAAAA8" w14:textId="77777777" w:rsidTr="00862975">
        <w:trPr>
          <w:trHeight w:val="926"/>
        </w:trPr>
        <w:tc>
          <w:tcPr>
            <w:tcW w:w="9576" w:type="dxa"/>
            <w:shd w:val="pct12" w:color="auto" w:fill="auto"/>
          </w:tcPr>
          <w:p w14:paraId="6FB71C0D" w14:textId="2DE51B6B" w:rsidR="00862975" w:rsidRDefault="00862975" w:rsidP="004510FA">
            <w:pPr>
              <w:pStyle w:val="Instructions"/>
              <w:spacing w:before="120"/>
            </w:pPr>
            <w:r>
              <w:t>[NPRR857:  Replace paragraph (c)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5EBC03CD" w14:textId="77777777" w:rsidR="00862975" w:rsidRPr="00B37C4B" w:rsidRDefault="00862975" w:rsidP="00862975">
            <w:pPr>
              <w:spacing w:after="240"/>
              <w:ind w:left="1440" w:hanging="720"/>
            </w:pPr>
            <w:r w:rsidRPr="00E55E72">
              <w:t>(c)</w:t>
            </w:r>
            <w:r w:rsidRPr="00E55E72">
              <w:tab/>
              <w:t>Transmission Element ratings from TSPs and DCTOs</w:t>
            </w:r>
            <w:r>
              <w:t>;</w:t>
            </w:r>
          </w:p>
        </w:tc>
      </w:tr>
    </w:tbl>
    <w:p w14:paraId="5EA1F168" w14:textId="77777777" w:rsidR="001F04FD" w:rsidRDefault="001F04FD" w:rsidP="0099247E">
      <w:pPr>
        <w:pStyle w:val="List2"/>
        <w:spacing w:before="240"/>
      </w:pPr>
      <w:r>
        <w:t>(i)</w:t>
      </w:r>
      <w:r>
        <w:tab/>
        <w:t>Data from the Network Operations Model:</w:t>
      </w:r>
    </w:p>
    <w:p w14:paraId="05B6FEB9" w14:textId="77777777" w:rsidR="001F04FD" w:rsidRDefault="001F04FD" w:rsidP="001F04FD">
      <w:pPr>
        <w:pStyle w:val="List3"/>
      </w:pPr>
      <w:r>
        <w:t>(A)</w:t>
      </w:r>
      <w:r>
        <w:tab/>
        <w:t>Transmission lines – Normal, Emergency, and 15-Minute Ratings (MVA); and</w:t>
      </w:r>
    </w:p>
    <w:p w14:paraId="5856ADD0" w14:textId="77777777" w:rsidR="001F04FD" w:rsidRDefault="001F04FD" w:rsidP="001F04FD">
      <w:pPr>
        <w:pStyle w:val="List3"/>
      </w:pPr>
      <w:r>
        <w:t>(B)</w:t>
      </w:r>
      <w:r>
        <w:tab/>
        <w:t>Transformers and Auto-transformers – Normal, Emergency, and 15-Minute Ratings (MVA) and tap position limits;</w:t>
      </w:r>
    </w:p>
    <w:p w14:paraId="1056DDA8" w14:textId="77777777" w:rsidR="001F04FD" w:rsidRDefault="001F04FD" w:rsidP="001F04FD">
      <w:pPr>
        <w:pStyle w:val="List2"/>
      </w:pPr>
      <w:r>
        <w:lastRenderedPageBreak/>
        <w:t>(ii)</w:t>
      </w:r>
      <w:r>
        <w:tab/>
        <w:t>Data from QSEs:</w:t>
      </w:r>
    </w:p>
    <w:p w14:paraId="6F822861" w14:textId="77777777" w:rsidR="001F04FD" w:rsidRDefault="001F04FD" w:rsidP="001F04FD">
      <w:pPr>
        <w:pStyle w:val="List3"/>
      </w:pPr>
      <w:r>
        <w:t>(A)</w:t>
      </w:r>
      <w:r>
        <w:tab/>
        <w:t>Generator Step-Up (GSU) transformers tap position;</w:t>
      </w:r>
    </w:p>
    <w:p w14:paraId="6F5413D6" w14:textId="77777777" w:rsidR="001F04FD" w:rsidRDefault="001F04FD" w:rsidP="001F04FD">
      <w:pPr>
        <w:pStyle w:val="List3"/>
      </w:pPr>
      <w:r>
        <w:t>(B)</w:t>
      </w:r>
      <w:r>
        <w:tab/>
        <w:t>Resource HSL (from telemetry); and</w:t>
      </w:r>
    </w:p>
    <w:p w14:paraId="0789E9AA" w14:textId="77777777" w:rsidR="001F04FD" w:rsidRDefault="001F04FD" w:rsidP="001F04FD">
      <w:pPr>
        <w:pStyle w:val="List3"/>
      </w:pPr>
      <w:r>
        <w:t>(C)</w:t>
      </w:r>
      <w:r>
        <w:tab/>
        <w:t>Resource LSL (from telemetry); and</w:t>
      </w:r>
    </w:p>
    <w:p w14:paraId="50D5C80B" w14:textId="77777777" w:rsidR="001F04FD" w:rsidRDefault="001F04FD" w:rsidP="001F04FD">
      <w:pPr>
        <w:pStyle w:val="List"/>
      </w:pPr>
      <w:r>
        <w:t>(d)</w:t>
      </w:r>
      <w:r>
        <w:tab/>
        <w:t xml:space="preserve">Real-Time weather, from </w:t>
      </w:r>
      <w:r w:rsidR="00B17C2D">
        <w:t>Wind-powered Generation Resources (</w:t>
      </w:r>
      <w:r>
        <w:t>WGRs</w:t>
      </w:r>
      <w:r w:rsidR="00B17C2D">
        <w:t>)</w:t>
      </w:r>
      <w:r>
        <w:t>, and where available from TSPs or other sources.  ERCOT may elect to obtain other sources of weather data and may utilize such information to calculate the dynamic limit of any Transmission Element.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004CF" w14:paraId="4D829B32" w14:textId="77777777" w:rsidTr="00F65784">
        <w:trPr>
          <w:trHeight w:val="926"/>
        </w:trPr>
        <w:tc>
          <w:tcPr>
            <w:tcW w:w="9350" w:type="dxa"/>
            <w:shd w:val="pct12" w:color="auto" w:fill="auto"/>
          </w:tcPr>
          <w:p w14:paraId="34682B0F" w14:textId="0D490FBB" w:rsidR="00A004CF" w:rsidRDefault="00A004CF" w:rsidP="004510FA">
            <w:pPr>
              <w:pStyle w:val="Instructions"/>
              <w:spacing w:before="120"/>
            </w:pPr>
            <w:r>
              <w:t>[NPRR857:  Replace paragraph (d)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1B48A8DB" w14:textId="77777777" w:rsidR="00A004CF" w:rsidRPr="00B37C4B" w:rsidRDefault="00A004CF" w:rsidP="00B17C2D">
            <w:pPr>
              <w:spacing w:after="240"/>
              <w:ind w:left="1440" w:hanging="720"/>
            </w:pPr>
            <w:r w:rsidRPr="00E55E72">
              <w:t>(d)</w:t>
            </w:r>
            <w:r w:rsidRPr="00E55E72">
              <w:tab/>
              <w:t>Real-Time weather, from</w:t>
            </w:r>
            <w:r w:rsidR="00B17C2D" w:rsidRPr="00E55E72">
              <w:t xml:space="preserve"> </w:t>
            </w:r>
            <w:r w:rsidR="00B17C2D">
              <w:t>Wind-powered Generation Resources (</w:t>
            </w:r>
            <w:r w:rsidR="00B17C2D" w:rsidRPr="00E55E72">
              <w:t>WGRs</w:t>
            </w:r>
            <w:r w:rsidR="00B17C2D">
              <w:t>)</w:t>
            </w:r>
            <w:r w:rsidR="00B17C2D" w:rsidRPr="00E55E72">
              <w:t xml:space="preserve">, </w:t>
            </w:r>
            <w:r w:rsidRPr="00E55E72">
              <w:t>and where available from TSPs, DCTOs, or other sources.  ERCOT may elect to obtain other sources of weather data and may utilize such information to calculate the dynamic lim</w:t>
            </w:r>
            <w:r>
              <w:t>it of any Transmission Element.</w:t>
            </w:r>
          </w:p>
        </w:tc>
      </w:tr>
    </w:tbl>
    <w:p w14:paraId="2688AB80" w14:textId="77777777" w:rsidR="001F04FD" w:rsidRDefault="001F04FD" w:rsidP="0099247E">
      <w:pPr>
        <w:pStyle w:val="BodyTextNumbered"/>
        <w:spacing w:before="240"/>
      </w:pPr>
      <w:r>
        <w:t>(2)</w:t>
      </w:r>
      <w:r>
        <w:tab/>
        <w:t>ERCOT shall validate the inputs of the Resource Limit Calculator as follows:</w:t>
      </w:r>
    </w:p>
    <w:p w14:paraId="64281B46" w14:textId="77777777" w:rsidR="001F04FD" w:rsidRDefault="001F04FD" w:rsidP="001F04FD">
      <w:pPr>
        <w:pStyle w:val="List"/>
      </w:pPr>
      <w:r>
        <w:t>(a)</w:t>
      </w:r>
      <w:r>
        <w:tab/>
        <w:t>The calculated SURAMP and SDRAMP are each greater than or equal to zero; and</w:t>
      </w:r>
    </w:p>
    <w:p w14:paraId="71AB3B19" w14:textId="77777777" w:rsidR="001F04FD" w:rsidRDefault="001F04FD" w:rsidP="001F04FD">
      <w:pPr>
        <w:pStyle w:val="List"/>
      </w:pPr>
      <w:r>
        <w:t>(b)</w:t>
      </w:r>
      <w:r>
        <w:tab/>
        <w:t>Other provision specified under Section 3.18, Resource Limits in Providing Ancillary Service.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479D499C" w14:textId="77777777" w:rsidTr="00D94BFC">
        <w:trPr>
          <w:trHeight w:val="926"/>
        </w:trPr>
        <w:tc>
          <w:tcPr>
            <w:tcW w:w="9350" w:type="dxa"/>
            <w:shd w:val="pct12" w:color="auto" w:fill="auto"/>
          </w:tcPr>
          <w:p w14:paraId="09742432" w14:textId="52E71F1F" w:rsidR="00F65784" w:rsidRPr="00B37C4B" w:rsidRDefault="00F65784" w:rsidP="00CE56E5">
            <w:pPr>
              <w:pStyle w:val="Instructions"/>
              <w:spacing w:before="120"/>
            </w:pPr>
            <w:r>
              <w:t>[NPRR1010:  Delete paragraph (2) above upon system</w:t>
            </w:r>
            <w:r w:rsidR="00CE56E5">
              <w:t xml:space="preserve"> implementation of the Real-Time Co-Optimization (RTC) project and renumber accordingly.</w:t>
            </w:r>
            <w:r>
              <w:t>]</w:t>
            </w:r>
          </w:p>
        </w:tc>
      </w:tr>
    </w:tbl>
    <w:p w14:paraId="510712C9" w14:textId="2AAA3AD9" w:rsidR="001F04FD" w:rsidRDefault="001F04FD" w:rsidP="000B1D41">
      <w:pPr>
        <w:pStyle w:val="BodyTextNumbered"/>
        <w:spacing w:before="240"/>
      </w:pPr>
      <w:r>
        <w:t>(3)</w:t>
      </w:r>
      <w:r>
        <w:tab/>
        <w:t>Outputs for ERCOT Operator information and possible action include:</w:t>
      </w:r>
    </w:p>
    <w:p w14:paraId="176887A8" w14:textId="77777777" w:rsidR="001F04FD" w:rsidRDefault="001F04FD" w:rsidP="001F04FD">
      <w:pPr>
        <w:pStyle w:val="List"/>
      </w:pPr>
      <w:r>
        <w:t>(a)</w:t>
      </w:r>
      <w:r>
        <w:tab/>
        <w:t>Operator notification of any change in status of any breaker or switch;</w:t>
      </w:r>
    </w:p>
    <w:p w14:paraId="2028FB52" w14:textId="77777777" w:rsidR="001F04FD" w:rsidRDefault="001F04FD" w:rsidP="001F04FD">
      <w:pPr>
        <w:pStyle w:val="List"/>
      </w:pPr>
      <w:r>
        <w:t>(b)</w:t>
      </w:r>
      <w:r>
        <w:tab/>
        <w:t>Lists of all breakers and switches not in their normal position;</w:t>
      </w:r>
    </w:p>
    <w:p w14:paraId="5F3E309C" w14:textId="77777777" w:rsidR="001F04FD" w:rsidRDefault="001F04FD" w:rsidP="001F04FD">
      <w:pPr>
        <w:pStyle w:val="List"/>
      </w:pPr>
      <w:r>
        <w:lastRenderedPageBreak/>
        <w:t>(c)</w:t>
      </w:r>
      <w:r>
        <w:tab/>
        <w:t>Operator notification of all Transmission Element overloads detected from telemetered or State-Estimated data;</w:t>
      </w:r>
    </w:p>
    <w:p w14:paraId="6FDBB6DF" w14:textId="77777777" w:rsidR="001F04FD" w:rsidRDefault="001F04FD" w:rsidP="001F04FD">
      <w:pPr>
        <w:pStyle w:val="List"/>
      </w:pPr>
      <w:r>
        <w:t>(d)</w:t>
      </w:r>
      <w:r>
        <w:tab/>
        <w:t>Operator notification of all Transmission Element security violations; and</w:t>
      </w:r>
    </w:p>
    <w:p w14:paraId="5B037FEC" w14:textId="77777777" w:rsidR="001F04FD" w:rsidRDefault="001F04FD" w:rsidP="001F04FD">
      <w:pPr>
        <w:pStyle w:val="List"/>
      </w:pPr>
      <w:r>
        <w:t>(e)</w:t>
      </w:r>
      <w:r>
        <w:tab/>
        <w:t>Operator summary displays:</w:t>
      </w:r>
    </w:p>
    <w:p w14:paraId="304F64C4" w14:textId="77777777" w:rsidR="001F04FD" w:rsidRDefault="001F04FD" w:rsidP="001F04FD">
      <w:pPr>
        <w:pStyle w:val="List2"/>
      </w:pPr>
      <w:r>
        <w:t>(i)</w:t>
      </w:r>
      <w:r>
        <w:tab/>
        <w:t>Transmission system status changes;</w:t>
      </w:r>
    </w:p>
    <w:p w14:paraId="70D9797C" w14:textId="77777777" w:rsidR="001F04FD" w:rsidRDefault="001F04FD" w:rsidP="001F04FD">
      <w:pPr>
        <w:pStyle w:val="List2"/>
      </w:pPr>
      <w:r>
        <w:t>(ii)</w:t>
      </w:r>
      <w:r>
        <w:tab/>
        <w:t>Overloads;</w:t>
      </w:r>
    </w:p>
    <w:p w14:paraId="6216726C" w14:textId="77777777" w:rsidR="001F04FD" w:rsidRDefault="001F04FD" w:rsidP="001F04FD">
      <w:pPr>
        <w:pStyle w:val="List2"/>
      </w:pPr>
      <w:r>
        <w:t>(iii)</w:t>
      </w:r>
      <w:r>
        <w:tab/>
        <w:t>System security violations; and</w:t>
      </w:r>
    </w:p>
    <w:p w14:paraId="12307420" w14:textId="77777777" w:rsidR="001F04FD" w:rsidRDefault="001F04FD" w:rsidP="001F04FD">
      <w:pPr>
        <w:pStyle w:val="List2"/>
      </w:pPr>
      <w:r>
        <w:t>(iv)</w:t>
      </w:r>
      <w:r>
        <w:tab/>
        <w:t>Base Points.</w:t>
      </w:r>
    </w:p>
    <w:p w14:paraId="67E3AFC3" w14:textId="77777777" w:rsidR="001F04FD" w:rsidRDefault="001F04FD" w:rsidP="001F04FD">
      <w:pPr>
        <w:pStyle w:val="BodyTextNumbered"/>
      </w:pPr>
      <w:r>
        <w:t>(4)</w:t>
      </w:r>
      <w:r>
        <w:tab/>
        <w:t>Every hour, ERCOT shall post on the MIS Secure Area the following information:</w:t>
      </w:r>
    </w:p>
    <w:p w14:paraId="24DAB843" w14:textId="77777777" w:rsidR="001F04FD" w:rsidRDefault="001F04FD" w:rsidP="001F04FD">
      <w:pPr>
        <w:pStyle w:val="List"/>
      </w:pPr>
      <w:r>
        <w:t>(a)</w:t>
      </w:r>
      <w:r>
        <w:tab/>
        <w:t>Status of all breakers and switches used in the NSA except breakers and switches connecting Resources to the ERCOT Transmission Grid;</w:t>
      </w:r>
    </w:p>
    <w:p w14:paraId="75DBB5CF" w14:textId="77777777" w:rsidR="001F04FD" w:rsidRDefault="001F04FD" w:rsidP="001F04FD">
      <w:pPr>
        <w:pStyle w:val="List"/>
      </w:pPr>
      <w:r>
        <w:t>(b)</w:t>
      </w:r>
      <w:r>
        <w:tab/>
        <w:t>All binding transmission constraints and the contingency or overloaded element pairs that caused such constraint; and</w:t>
      </w:r>
    </w:p>
    <w:p w14:paraId="08DAAD61" w14:textId="77777777" w:rsidR="001F04FD" w:rsidRDefault="001F04FD" w:rsidP="001F04FD">
      <w:pPr>
        <w:pStyle w:val="List"/>
      </w:pPr>
      <w:r>
        <w:t>(c)</w:t>
      </w:r>
      <w:r>
        <w:tab/>
      </w:r>
      <w:r w:rsidR="00326E23" w:rsidRPr="00E07D74">
        <w:t>Shift Factors</w:t>
      </w:r>
      <w:r w:rsidR="00326E23">
        <w:t xml:space="preserve">, </w:t>
      </w:r>
      <w:r w:rsidR="00326E23" w:rsidRPr="002467A5">
        <w:t>including Private Use Network Settlement Points</w:t>
      </w:r>
      <w:r w:rsidR="00326E23">
        <w:t>,</w:t>
      </w:r>
      <w:r w:rsidR="00326E23" w:rsidRPr="00E07D74">
        <w:t xml:space="preserve"> by Resource Node</w:t>
      </w:r>
      <w:r w:rsidR="00326E23">
        <w:t>, Hub, Load Zone, and DC Tie.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0447C" w14:paraId="257F0985" w14:textId="77777777" w:rsidTr="00AE5CE8">
        <w:trPr>
          <w:trHeight w:val="206"/>
        </w:trPr>
        <w:tc>
          <w:tcPr>
            <w:tcW w:w="9576" w:type="dxa"/>
            <w:shd w:val="pct12" w:color="auto" w:fill="auto"/>
          </w:tcPr>
          <w:p w14:paraId="3516E39F" w14:textId="363EA46D" w:rsidR="0070447C" w:rsidRDefault="0070447C" w:rsidP="00AE5CE8">
            <w:pPr>
              <w:pStyle w:val="Instructions"/>
              <w:spacing w:before="120"/>
            </w:pPr>
            <w:r>
              <w:t>[NPRR1239</w:t>
            </w:r>
            <w:r w:rsidR="008015A9">
              <w:t xml:space="preserve"> and NPRR1249</w:t>
            </w:r>
            <w:r>
              <w:t xml:space="preserve">:  Replace </w:t>
            </w:r>
            <w:r w:rsidR="008015A9">
              <w:t xml:space="preserve">applicable portions of </w:t>
            </w:r>
            <w:r>
              <w:t>paragraph (4) above with the following upon system implementation:]</w:t>
            </w:r>
          </w:p>
          <w:p w14:paraId="58532DD2" w14:textId="4528BB3A" w:rsidR="0070447C" w:rsidRPr="00E62DE9" w:rsidRDefault="0070447C" w:rsidP="0070447C">
            <w:pPr>
              <w:spacing w:after="240"/>
              <w:ind w:left="720" w:hanging="720"/>
            </w:pPr>
            <w:r>
              <w:t>(4)</w:t>
            </w:r>
            <w:r>
              <w:tab/>
              <w:t>Every hour, ERCOT shall post on the MIS Secure Area, except where otherwise stated in this paragraph (4), the following information:</w:t>
            </w:r>
          </w:p>
          <w:p w14:paraId="0A11AB6E" w14:textId="77777777" w:rsidR="0070447C" w:rsidRPr="00E62DE9" w:rsidRDefault="0070447C" w:rsidP="0070447C">
            <w:pPr>
              <w:spacing w:after="240"/>
              <w:ind w:left="1440" w:hanging="720"/>
            </w:pPr>
            <w:r w:rsidRPr="00E62DE9">
              <w:t>(a)</w:t>
            </w:r>
            <w:r w:rsidRPr="00E62DE9">
              <w:tab/>
              <w:t>Status of all breakers and switches used in the NSA except breakers and switches connecting Resources to the ERCOT Transmission Grid;</w:t>
            </w:r>
          </w:p>
          <w:p w14:paraId="62EA6224" w14:textId="77777777" w:rsidR="0070447C" w:rsidRPr="00E62DE9" w:rsidRDefault="0070447C" w:rsidP="0070447C">
            <w:pPr>
              <w:spacing w:after="240"/>
              <w:ind w:left="1440" w:hanging="720"/>
            </w:pPr>
            <w:r w:rsidRPr="00E62DE9">
              <w:t>(b)</w:t>
            </w:r>
            <w:r w:rsidRPr="00E62DE9">
              <w:tab/>
              <w:t>All binding transmission constraints and the contingency or overloaded element pairs that caused such constraint; and</w:t>
            </w:r>
          </w:p>
          <w:p w14:paraId="37FDFA7B" w14:textId="66405A1A" w:rsidR="0070447C" w:rsidRPr="00A4149C" w:rsidRDefault="0070447C" w:rsidP="0070447C">
            <w:pPr>
              <w:spacing w:after="240"/>
              <w:ind w:left="1440" w:hanging="720"/>
            </w:pPr>
            <w:r>
              <w:t>(c)</w:t>
            </w:r>
            <w:r>
              <w:tab/>
              <w:t>On the ERCOT website, Shift Factors</w:t>
            </w:r>
            <w:r w:rsidR="008015A9">
              <w:t xml:space="preserve"> for all active transmission constraints</w:t>
            </w:r>
            <w:r>
              <w:t>, including Private Use Network Settlement Points, by Resource Node, Hub, Load Zone, and DC Tie.</w:t>
            </w:r>
          </w:p>
        </w:tc>
      </w:tr>
    </w:tbl>
    <w:p w14:paraId="483A1A5C" w14:textId="7B1D649F" w:rsidR="001F04FD" w:rsidRDefault="001F04FD" w:rsidP="00952F33">
      <w:pPr>
        <w:pStyle w:val="List"/>
        <w:spacing w:before="240"/>
        <w:ind w:left="720"/>
      </w:pPr>
      <w:r>
        <w:t>(5)</w:t>
      </w:r>
      <w:r>
        <w:tab/>
        <w:t>Sixty days after the applicable Operating Day, ERCOT shall post on the MIS Secure Area, the following information:</w:t>
      </w:r>
    </w:p>
    <w:p w14:paraId="78121722" w14:textId="77777777" w:rsidR="001F04FD" w:rsidRDefault="001F04FD" w:rsidP="001F04FD">
      <w:pPr>
        <w:pStyle w:val="List"/>
      </w:pPr>
      <w:r>
        <w:t>(a)</w:t>
      </w:r>
      <w:r>
        <w:tab/>
      </w:r>
      <w:r w:rsidRPr="00AC0F26">
        <w:t xml:space="preserve">Hourly transmission line flows </w:t>
      </w:r>
      <w:r>
        <w:t xml:space="preserve">and voltages </w:t>
      </w:r>
      <w:r w:rsidRPr="00AC0F26">
        <w:t xml:space="preserve">from the State Estimator, excluding transmission line flows </w:t>
      </w:r>
      <w:r>
        <w:t xml:space="preserve">and voltages </w:t>
      </w:r>
      <w:r w:rsidRPr="00AC0F26">
        <w:t>for Private Use Networks</w:t>
      </w:r>
      <w:r>
        <w:t>; and</w:t>
      </w:r>
    </w:p>
    <w:p w14:paraId="690E59C7" w14:textId="77777777" w:rsidR="001F04FD" w:rsidRDefault="001F04FD" w:rsidP="001F04FD">
      <w:pPr>
        <w:pStyle w:val="List"/>
      </w:pPr>
      <w:r w:rsidRPr="00AC0F26">
        <w:lastRenderedPageBreak/>
        <w:t>(b)</w:t>
      </w:r>
      <w:r w:rsidRPr="00AC0F26">
        <w:tab/>
        <w:t>Hourly transformer flows, voltages and tap positions from the State Estimator, excluding transformer flows, voltages, and tap positions for Private Use Networks.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C4DE5" w14:paraId="74A27BA5" w14:textId="77777777" w:rsidTr="00AE5CE8">
        <w:trPr>
          <w:trHeight w:val="206"/>
        </w:trPr>
        <w:tc>
          <w:tcPr>
            <w:tcW w:w="9576" w:type="dxa"/>
            <w:shd w:val="pct12" w:color="auto" w:fill="auto"/>
          </w:tcPr>
          <w:p w14:paraId="757EAE9D" w14:textId="1986908E" w:rsidR="00AC4DE5" w:rsidRDefault="00AC4DE5" w:rsidP="00AE5CE8">
            <w:pPr>
              <w:pStyle w:val="Instructions"/>
              <w:spacing w:before="120"/>
            </w:pPr>
            <w:r>
              <w:t>[NPRR1239:  Replace paragraph (5) above with the following upon system implementation:]</w:t>
            </w:r>
          </w:p>
          <w:p w14:paraId="35962E18" w14:textId="77777777" w:rsidR="00AC4DE5" w:rsidRPr="00E62DE9" w:rsidRDefault="00AC4DE5" w:rsidP="00AC4DE5">
            <w:pPr>
              <w:spacing w:after="240"/>
              <w:ind w:left="720" w:hanging="720"/>
            </w:pPr>
            <w:r w:rsidRPr="00E62DE9">
              <w:t>(5)</w:t>
            </w:r>
            <w:r w:rsidRPr="00E62DE9">
              <w:tab/>
              <w:t xml:space="preserve">Sixty days after the applicable Operating Day, ERCOT shall post on the </w:t>
            </w:r>
            <w:r>
              <w:t>ERCOT website</w:t>
            </w:r>
            <w:r w:rsidRPr="00E62DE9">
              <w:t>, the following information:</w:t>
            </w:r>
          </w:p>
          <w:p w14:paraId="5D731693" w14:textId="77777777" w:rsidR="00AC4DE5" w:rsidRPr="00E62DE9" w:rsidRDefault="00AC4DE5" w:rsidP="00AC4DE5">
            <w:pPr>
              <w:spacing w:after="240"/>
              <w:ind w:left="1440" w:hanging="720"/>
            </w:pPr>
            <w:r w:rsidRPr="00E62DE9">
              <w:t>(a)</w:t>
            </w:r>
            <w:r w:rsidRPr="00E62DE9">
              <w:tab/>
              <w:t>Hourly transmission line flows and voltages from the State Estimator, excluding transmission line flows and voltages for Private Use Networks; and</w:t>
            </w:r>
          </w:p>
          <w:p w14:paraId="24DE0640" w14:textId="7FB51DE9" w:rsidR="00AC4DE5" w:rsidRPr="00A4149C" w:rsidRDefault="00AC4DE5" w:rsidP="00AC4DE5">
            <w:pPr>
              <w:spacing w:after="240"/>
              <w:ind w:left="1440" w:hanging="720"/>
            </w:pPr>
            <w:r w:rsidRPr="00E62DE9">
              <w:t>(b)</w:t>
            </w:r>
            <w:r w:rsidRPr="00E62DE9">
              <w:tab/>
              <w:t>Hourly transformer flows, voltages and tap positions from the State Estimator, excluding transformer flows, voltages, and tap positions for Private Use Networks.</w:t>
            </w:r>
          </w:p>
        </w:tc>
      </w:tr>
    </w:tbl>
    <w:p w14:paraId="66970CD2" w14:textId="718DE631" w:rsidR="001F04FD" w:rsidRDefault="001F04FD" w:rsidP="00952F33">
      <w:pPr>
        <w:spacing w:before="240" w:after="240"/>
        <w:ind w:left="720" w:hanging="720"/>
        <w:rPr>
          <w:iCs/>
        </w:rPr>
      </w:pPr>
      <w:r w:rsidRPr="00730AC4">
        <w:rPr>
          <w:iCs/>
        </w:rPr>
        <w:t>(6)</w:t>
      </w:r>
      <w:r w:rsidRPr="00730AC4">
        <w:rPr>
          <w:iCs/>
        </w:rPr>
        <w:tab/>
        <w:t xml:space="preserve">Notwithstanding paragraph (5) above, ERCOT, in its sole discretion, shall release relevant State Estimator data less than 60 days after the </w:t>
      </w:r>
      <w:r>
        <w:rPr>
          <w:iCs/>
        </w:rPr>
        <w:t>Operating D</w:t>
      </w:r>
      <w:r w:rsidRPr="00730AC4">
        <w:rPr>
          <w:iCs/>
        </w:rPr>
        <w:t>ay if it determines the release is necessary to provide complete and timely explanation and analysis of unexpected market operations and results or system events including</w:t>
      </w:r>
      <w:r>
        <w:rPr>
          <w:iCs/>
        </w:rPr>
        <w:t>,</w:t>
      </w:r>
      <w:r w:rsidRPr="00730AC4">
        <w:rPr>
          <w:iCs/>
        </w:rPr>
        <w:t xml:space="preserve"> but not limited to</w:t>
      </w:r>
      <w:r>
        <w:rPr>
          <w:iCs/>
        </w:rPr>
        <w:t>,</w:t>
      </w:r>
      <w:r w:rsidRPr="00730AC4">
        <w:rPr>
          <w:iCs/>
        </w:rPr>
        <w:t xml:space="preserve"> pricing anomalies, recurring transmission congestion, and system disturbances.  ERCOT’s release of data under this paragraph shall be limited to intervals associated with the unexpected market or system event as determined by ERCOT.  The data release shall be made available simultaneously to all </w:t>
      </w:r>
      <w:r>
        <w:rPr>
          <w:iCs/>
        </w:rPr>
        <w:t>M</w:t>
      </w:r>
      <w:r w:rsidRPr="00730AC4">
        <w:rPr>
          <w:iCs/>
        </w:rPr>
        <w:t xml:space="preserve">arket </w:t>
      </w:r>
      <w:r>
        <w:rPr>
          <w:iCs/>
        </w:rPr>
        <w:t>P</w:t>
      </w:r>
      <w:r w:rsidRPr="00730AC4">
        <w:rPr>
          <w:iCs/>
        </w:rPr>
        <w:t>articipants.</w:t>
      </w:r>
    </w:p>
    <w:p w14:paraId="4BD3B2D9" w14:textId="08948210" w:rsidR="001F04FD" w:rsidRDefault="001F04FD" w:rsidP="001F04FD">
      <w:pPr>
        <w:pStyle w:val="List"/>
        <w:ind w:left="720"/>
        <w:rPr>
          <w:iCs/>
        </w:rPr>
      </w:pPr>
      <w:r>
        <w:rPr>
          <w:iCs/>
        </w:rPr>
        <w:t>(7)</w:t>
      </w:r>
      <w:r>
        <w:rPr>
          <w:iCs/>
        </w:rPr>
        <w:tab/>
        <w:t xml:space="preserve">Every hour, ERCOT shall post on the </w:t>
      </w:r>
      <w:r w:rsidR="0007207E">
        <w:t>ERCOT website</w:t>
      </w:r>
      <w:r>
        <w:rPr>
          <w:iCs/>
        </w:rPr>
        <w:t>, the sum of ERCOT generation, and flow on the DC Ties, all from the State Estimator.</w:t>
      </w:r>
    </w:p>
    <w:p w14:paraId="13811184" w14:textId="454F151E" w:rsidR="001F04FD" w:rsidRDefault="001F04FD" w:rsidP="001F04FD">
      <w:pPr>
        <w:spacing w:after="240"/>
        <w:ind w:left="720" w:hanging="720"/>
        <w:rPr>
          <w:iCs/>
        </w:rPr>
      </w:pPr>
      <w:r w:rsidRPr="00234129">
        <w:rPr>
          <w:iCs/>
        </w:rPr>
        <w:t>(</w:t>
      </w:r>
      <w:r>
        <w:rPr>
          <w:iCs/>
        </w:rPr>
        <w:t>8</w:t>
      </w:r>
      <w:r w:rsidRPr="00234129">
        <w:rPr>
          <w:iCs/>
        </w:rPr>
        <w:t>)</w:t>
      </w:r>
      <w:r w:rsidRPr="00234129">
        <w:rPr>
          <w:iCs/>
        </w:rPr>
        <w:tab/>
        <w:t xml:space="preserve">After every SCED run, ERCOT shall post to the </w:t>
      </w:r>
      <w:r w:rsidR="0007207E">
        <w:t>ERCOT website</w:t>
      </w:r>
      <w:r w:rsidRPr="00234129">
        <w:rPr>
          <w:iCs/>
        </w:rPr>
        <w:t xml:space="preserve"> the sum of the HDL and the sum of the LDL for all Generation Resources </w:t>
      </w:r>
      <w:r>
        <w:rPr>
          <w:iCs/>
        </w:rPr>
        <w:t>O</w:t>
      </w:r>
      <w:r w:rsidRPr="00234129">
        <w:rPr>
          <w:iCs/>
        </w:rPr>
        <w:t>n</w:t>
      </w:r>
      <w:r>
        <w:rPr>
          <w:iCs/>
        </w:rPr>
        <w:t>-L</w:t>
      </w:r>
      <w:r w:rsidRPr="00234129">
        <w:rPr>
          <w:iCs/>
        </w:rPr>
        <w:t xml:space="preserve">ine and </w:t>
      </w:r>
      <w:r>
        <w:rPr>
          <w:iCs/>
        </w:rPr>
        <w:t>D</w:t>
      </w:r>
      <w:r w:rsidRPr="00234129">
        <w:rPr>
          <w:iCs/>
        </w:rPr>
        <w:t xml:space="preserve">ispatched by SCED.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3DBD5806" w14:textId="77777777" w:rsidTr="004E6E12">
        <w:trPr>
          <w:trHeight w:val="206"/>
        </w:trPr>
        <w:tc>
          <w:tcPr>
            <w:tcW w:w="9350" w:type="dxa"/>
            <w:shd w:val="pct12" w:color="auto" w:fill="auto"/>
          </w:tcPr>
          <w:p w14:paraId="02F20C84" w14:textId="48DC3833" w:rsidR="00490BFE" w:rsidRDefault="00490BFE" w:rsidP="004E6E12">
            <w:pPr>
              <w:pStyle w:val="Instructions"/>
              <w:spacing w:before="120"/>
            </w:pPr>
            <w:r>
              <w:t>[NPRR1246:  Replace paragraph (8) above with the following upon system implementation of the Real-Time Co-Optimization (RTC) project:]</w:t>
            </w:r>
          </w:p>
          <w:p w14:paraId="1AD6CE84" w14:textId="6634576D" w:rsidR="00490BFE" w:rsidRPr="00490BFE" w:rsidRDefault="00490BFE" w:rsidP="00490BFE">
            <w:pPr>
              <w:spacing w:after="240"/>
              <w:ind w:left="720" w:hanging="720"/>
              <w:rPr>
                <w:iCs/>
              </w:rPr>
            </w:pPr>
            <w:r w:rsidRPr="0000204A">
              <w:rPr>
                <w:iCs/>
              </w:rPr>
              <w:t>(8)</w:t>
            </w:r>
            <w:r w:rsidRPr="0000204A">
              <w:rPr>
                <w:iCs/>
              </w:rPr>
              <w:tab/>
              <w:t xml:space="preserve">After every SCED run, ERCOT shall post to the </w:t>
            </w:r>
            <w:r w:rsidRPr="0000204A">
              <w:t>ERCOT website</w:t>
            </w:r>
            <w:r w:rsidRPr="0000204A">
              <w:rPr>
                <w:iCs/>
              </w:rPr>
              <w:t xml:space="preserve"> the sum of the HDL and the sum of the LDL for all Generation Resources</w:t>
            </w:r>
            <w:r>
              <w:rPr>
                <w:iCs/>
              </w:rPr>
              <w:t xml:space="preserve"> and ESRs</w:t>
            </w:r>
            <w:r w:rsidRPr="0000204A">
              <w:rPr>
                <w:iCs/>
              </w:rPr>
              <w:t xml:space="preserve"> On-Line and Dispatched by SCED.</w:t>
            </w:r>
          </w:p>
        </w:tc>
      </w:tr>
    </w:tbl>
    <w:p w14:paraId="5989B0E5" w14:textId="2805115C" w:rsidR="00C57701" w:rsidRDefault="00C57701" w:rsidP="00DD0A69">
      <w:pPr>
        <w:spacing w:before="240" w:after="240"/>
        <w:ind w:left="720" w:hanging="720"/>
        <w:rPr>
          <w:iCs/>
        </w:rPr>
      </w:pPr>
      <w:r>
        <w:rPr>
          <w:iCs/>
        </w:rPr>
        <w:t>(9)</w:t>
      </w:r>
      <w:r>
        <w:rPr>
          <w:iCs/>
        </w:rPr>
        <w:tab/>
        <w:t xml:space="preserve">Sixty days after the applicable Operating Day, </w:t>
      </w:r>
      <w:r w:rsidRPr="00234129">
        <w:rPr>
          <w:iCs/>
        </w:rPr>
        <w:t xml:space="preserve">ERCOT shall </w:t>
      </w:r>
      <w:r w:rsidRPr="00782178">
        <w:rPr>
          <w:iCs/>
        </w:rPr>
        <w:t xml:space="preserve">post to the </w:t>
      </w:r>
      <w:r w:rsidR="0007207E">
        <w:t>ERCOT website</w:t>
      </w:r>
      <w:r>
        <w:rPr>
          <w:iCs/>
        </w:rPr>
        <w:t xml:space="preserve"> the summary LDL and HDL report from paragraph (8) above and </w:t>
      </w:r>
      <w:r w:rsidRPr="00234129">
        <w:rPr>
          <w:iCs/>
        </w:rPr>
        <w:t>include instances of manual overrides of HDL or LDL, including the name of the Generation Resource and the type of override.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41338AC8" w14:textId="77777777" w:rsidTr="004E6E12">
        <w:trPr>
          <w:trHeight w:val="206"/>
        </w:trPr>
        <w:tc>
          <w:tcPr>
            <w:tcW w:w="9350" w:type="dxa"/>
            <w:shd w:val="pct12" w:color="auto" w:fill="auto"/>
          </w:tcPr>
          <w:p w14:paraId="6E4EAB75" w14:textId="68A285DA" w:rsidR="00490BFE" w:rsidRDefault="00490BFE" w:rsidP="004E6E12">
            <w:pPr>
              <w:pStyle w:val="Instructions"/>
              <w:spacing w:before="120"/>
            </w:pPr>
            <w:r>
              <w:lastRenderedPageBreak/>
              <w:t>[NPRR1246:  Replace paragraph (9) above with the following upon system implementation of the Real-Time Co-Optimization (RTC) project:]</w:t>
            </w:r>
          </w:p>
          <w:p w14:paraId="5B149F63" w14:textId="26C63A9E" w:rsidR="00490BFE" w:rsidRPr="00490BFE" w:rsidRDefault="00490BFE" w:rsidP="00490BFE">
            <w:pPr>
              <w:spacing w:after="240"/>
              <w:ind w:left="720" w:hanging="720"/>
              <w:rPr>
                <w:iCs/>
              </w:rPr>
            </w:pPr>
            <w:r w:rsidRPr="0000204A">
              <w:rPr>
                <w:iCs/>
              </w:rPr>
              <w:t>(9)</w:t>
            </w:r>
            <w:r w:rsidRPr="0000204A">
              <w:rPr>
                <w:iCs/>
              </w:rPr>
              <w:tab/>
              <w:t xml:space="preserve">Sixty days after the applicable Operating Day, ERCOT shall post to the </w:t>
            </w:r>
            <w:r w:rsidRPr="0000204A">
              <w:t>ERCOT website</w:t>
            </w:r>
            <w:r w:rsidRPr="0000204A">
              <w:rPr>
                <w:iCs/>
              </w:rPr>
              <w:t xml:space="preserve"> the summary LDL and HDL report from paragraph (8) above and include instances of manual overrides of HDL or LDL, including the name of the Generation Resource</w:t>
            </w:r>
            <w:r>
              <w:rPr>
                <w:iCs/>
              </w:rPr>
              <w:t xml:space="preserve"> or ESR</w:t>
            </w:r>
            <w:r w:rsidRPr="0000204A">
              <w:rPr>
                <w:iCs/>
              </w:rPr>
              <w:t xml:space="preserve"> and the type of override</w:t>
            </w:r>
            <w:r>
              <w:rPr>
                <w:iCs/>
              </w:rPr>
              <w:t>.</w:t>
            </w:r>
          </w:p>
        </w:tc>
      </w:tr>
    </w:tbl>
    <w:p w14:paraId="12542706" w14:textId="18E15B87" w:rsidR="001F04FD" w:rsidRPr="00234129" w:rsidRDefault="00C57701" w:rsidP="00DD0A69">
      <w:pPr>
        <w:spacing w:before="240" w:after="240"/>
        <w:ind w:left="720" w:hanging="720"/>
        <w:rPr>
          <w:iCs/>
        </w:rPr>
      </w:pPr>
      <w:r>
        <w:rPr>
          <w:iCs/>
        </w:rPr>
        <w:t>(10)</w:t>
      </w:r>
      <w:r>
        <w:rPr>
          <w:iCs/>
        </w:rPr>
        <w:tab/>
        <w:t xml:space="preserve">No sooner than sixty days after the applicable Operating Day, ERCOT shall provide to the appropriate </w:t>
      </w:r>
      <w:r w:rsidR="002D0A0B">
        <w:rPr>
          <w:iCs/>
        </w:rPr>
        <w:t>Technical Advisory Committee (</w:t>
      </w:r>
      <w:r>
        <w:rPr>
          <w:iCs/>
        </w:rPr>
        <w:t>TAC</w:t>
      </w:r>
      <w:r w:rsidR="002D0A0B">
        <w:rPr>
          <w:iCs/>
        </w:rPr>
        <w:t>)</w:t>
      </w:r>
      <w:r>
        <w:rPr>
          <w:iCs/>
        </w:rPr>
        <w:t xml:space="preserve"> subcommittee instances of manual overrides of HDL or LDL, including the name of the Generation Resource, the reason for the override, and, as applicable, the cost as calculated in Section 6.6.3.</w:t>
      </w:r>
      <w:r w:rsidR="00720B34">
        <w:rPr>
          <w:iCs/>
        </w:rPr>
        <w:t>6</w:t>
      </w:r>
      <w:r>
        <w:rPr>
          <w:iCs/>
        </w:rPr>
        <w:t>, Real-Time High Dispatch Limit Override Energy Payment.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6914F7B2" w14:textId="77777777" w:rsidTr="004E6E12">
        <w:trPr>
          <w:trHeight w:val="206"/>
        </w:trPr>
        <w:tc>
          <w:tcPr>
            <w:tcW w:w="9350" w:type="dxa"/>
            <w:shd w:val="pct12" w:color="auto" w:fill="auto"/>
          </w:tcPr>
          <w:p w14:paraId="42F71476" w14:textId="524A82DB" w:rsidR="00490BFE" w:rsidRDefault="00490BFE" w:rsidP="004E6E12">
            <w:pPr>
              <w:pStyle w:val="Instructions"/>
              <w:spacing w:before="120"/>
            </w:pPr>
            <w:r>
              <w:t>[NPRR1246:  Replace paragraph (10) above with the following upon system implementation of the Real-Time Co-Optimization (RTC) project:]</w:t>
            </w:r>
          </w:p>
          <w:p w14:paraId="1BD8D94C" w14:textId="13B2EC56" w:rsidR="00490BFE" w:rsidRPr="00490BFE" w:rsidRDefault="00490BFE" w:rsidP="00490BFE">
            <w:pPr>
              <w:spacing w:after="240"/>
              <w:ind w:left="720" w:hanging="720"/>
              <w:rPr>
                <w:iCs/>
              </w:rPr>
            </w:pPr>
            <w:r w:rsidRPr="0000204A">
              <w:rPr>
                <w:iCs/>
              </w:rPr>
              <w:t>(10)</w:t>
            </w:r>
            <w:r w:rsidRPr="0000204A">
              <w:rPr>
                <w:iCs/>
              </w:rPr>
              <w:tab/>
              <w:t>No sooner than sixty days after the applicable Operating Day, ERCOT shall provide to the appropriate Technical Advisory Committee (TAC) subcommittee instances of manual overrides of HDL or LDL, including the name of the Generation Resource</w:t>
            </w:r>
            <w:r w:rsidRPr="00850C56">
              <w:rPr>
                <w:iCs/>
              </w:rPr>
              <w:t xml:space="preserve"> </w:t>
            </w:r>
            <w:r>
              <w:rPr>
                <w:iCs/>
              </w:rPr>
              <w:t>or ESR</w:t>
            </w:r>
            <w:r w:rsidRPr="0000204A">
              <w:rPr>
                <w:iCs/>
              </w:rPr>
              <w:t>, the reason for the override, and, as applicable, the cost as calculated in Section 6.6.3.6, Real-Time High Dispatch Limit Override Energy Payment.</w:t>
            </w:r>
          </w:p>
        </w:tc>
      </w:tr>
    </w:tbl>
    <w:p w14:paraId="4169BEE3" w14:textId="376D979B" w:rsidR="001F04FD" w:rsidRDefault="001F04FD" w:rsidP="00DD0A69">
      <w:pPr>
        <w:pStyle w:val="List"/>
        <w:spacing w:before="240"/>
        <w:ind w:left="720"/>
        <w:rPr>
          <w:iCs/>
        </w:rPr>
      </w:pPr>
      <w:r w:rsidRPr="00234129">
        <w:t>(</w:t>
      </w:r>
      <w:r>
        <w:t>1</w:t>
      </w:r>
      <w:r w:rsidR="00C57701">
        <w:t>1</w:t>
      </w:r>
      <w:r w:rsidRPr="00234129">
        <w:t>)</w:t>
      </w:r>
      <w:r w:rsidRPr="00234129">
        <w:tab/>
        <w:t xml:space="preserve">After every SCED run, ERCOT shall post to the MIS Certified </w:t>
      </w:r>
      <w:r>
        <w:t>A</w:t>
      </w:r>
      <w:r w:rsidRPr="00234129">
        <w:t>rea, for any QSE, instances of a manual override of the HDL or LDL for a Generation Resource, including the original and overridden HDL or LDL.</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0BFE" w14:paraId="7BA908AA" w14:textId="77777777" w:rsidTr="004E6E12">
        <w:trPr>
          <w:trHeight w:val="206"/>
        </w:trPr>
        <w:tc>
          <w:tcPr>
            <w:tcW w:w="9350" w:type="dxa"/>
            <w:shd w:val="pct12" w:color="auto" w:fill="auto"/>
          </w:tcPr>
          <w:p w14:paraId="3D8E74CD" w14:textId="7A5A0291" w:rsidR="00490BFE" w:rsidRDefault="00490BFE" w:rsidP="004E6E12">
            <w:pPr>
              <w:pStyle w:val="Instructions"/>
              <w:spacing w:before="120"/>
            </w:pPr>
            <w:bookmarkStart w:id="1097" w:name="_Toc397504969"/>
            <w:bookmarkStart w:id="1098" w:name="_Toc402357097"/>
            <w:bookmarkStart w:id="1099" w:name="_Toc422486477"/>
            <w:bookmarkStart w:id="1100" w:name="_Toc433093329"/>
            <w:bookmarkStart w:id="1101" w:name="_Toc433093487"/>
            <w:bookmarkStart w:id="1102" w:name="_Toc440874716"/>
            <w:bookmarkStart w:id="1103" w:name="_Toc448142271"/>
            <w:bookmarkStart w:id="1104" w:name="_Toc448142428"/>
            <w:bookmarkStart w:id="1105" w:name="_Toc458770264"/>
            <w:bookmarkStart w:id="1106" w:name="_Toc459294232"/>
            <w:bookmarkStart w:id="1107" w:name="_Toc463262725"/>
            <w:bookmarkStart w:id="1108" w:name="_Toc468286799"/>
            <w:bookmarkStart w:id="1109" w:name="_Toc481502845"/>
            <w:bookmarkStart w:id="1110" w:name="_Toc496080013"/>
            <w:bookmarkStart w:id="1111" w:name="_Toc74137345"/>
            <w:bookmarkStart w:id="1112" w:name="_Toc73216017"/>
            <w:r>
              <w:t>[NPRR1246:  Replace paragraph (11) above with the following upon system implementation of the Real-Time Co-Optimization (RTC) project:]</w:t>
            </w:r>
          </w:p>
          <w:p w14:paraId="1D23A621" w14:textId="5525E63F" w:rsidR="00490BFE" w:rsidRPr="00490BFE" w:rsidRDefault="00490BFE" w:rsidP="00490BFE">
            <w:pPr>
              <w:spacing w:after="240"/>
              <w:ind w:left="720" w:hanging="720"/>
              <w:rPr>
                <w:iCs/>
              </w:rPr>
            </w:pPr>
            <w:r w:rsidRPr="0000204A">
              <w:t>(11)</w:t>
            </w:r>
            <w:r w:rsidRPr="0000204A">
              <w:tab/>
              <w:t>After every SCED run, ERCOT shall post to the MIS Certified Area, for any QSE, instances of a manual override of the HDL or LDL for a Generation Resource</w:t>
            </w:r>
            <w:r w:rsidRPr="00850C56">
              <w:rPr>
                <w:iCs/>
              </w:rPr>
              <w:t xml:space="preserve"> </w:t>
            </w:r>
            <w:r>
              <w:rPr>
                <w:iCs/>
              </w:rPr>
              <w:t>or ESR</w:t>
            </w:r>
            <w:r w:rsidRPr="0000204A">
              <w:t>, including the original and overridden HDL or LDL.</w:t>
            </w:r>
          </w:p>
        </w:tc>
      </w:tr>
    </w:tbl>
    <w:p w14:paraId="0386314D" w14:textId="77777777" w:rsidR="009C388E" w:rsidRDefault="009C388E"/>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C388E" w14:paraId="08A8314A" w14:textId="77777777" w:rsidTr="009C388E">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23E001DB" w14:textId="4E1A1493" w:rsidR="009C388E" w:rsidRDefault="009C388E" w:rsidP="00E844EE">
            <w:pPr>
              <w:pStyle w:val="Instructions"/>
              <w:spacing w:before="120"/>
            </w:pPr>
            <w:r>
              <w:t>[NPRR1226:  Insert paragraph (12) below upon system implementation:]</w:t>
            </w:r>
          </w:p>
          <w:p w14:paraId="63B3ED6C" w14:textId="6EE7B945" w:rsidR="009C388E" w:rsidRPr="009C388E" w:rsidRDefault="009C388E" w:rsidP="009C388E">
            <w:pPr>
              <w:spacing w:after="240"/>
              <w:ind w:left="720" w:hanging="720"/>
            </w:pPr>
            <w:r w:rsidRPr="009C388E">
              <w:t>(12)</w:t>
            </w:r>
            <w:r w:rsidRPr="009C388E">
              <w:tab/>
              <w:t xml:space="preserve">After every SCED run, ERCOT shall prepare and publish estimated Demand response  data showing aggregated State Estimated Load (SEL) load points selected by ERCOT. </w:t>
            </w:r>
            <w:r w:rsidR="00A07A61">
              <w:t xml:space="preserve"> </w:t>
            </w:r>
            <w:r w:rsidRPr="009C388E">
              <w:t xml:space="preserve">The selection of Loads to be aggregated for the report will be based on periodically updated off-line analysis of the frequency and magnitude of reductions observed in historical State Estimator load data that is associated with market signals such as </w:t>
            </w:r>
            <w:r w:rsidRPr="009C388E">
              <w:lastRenderedPageBreak/>
              <w:t xml:space="preserve">Locational Marginal Prices (LMPs), high levels of summer month ERCOT load, </w:t>
            </w:r>
            <w:r w:rsidRPr="009C388E">
              <w:rPr>
                <w:szCs w:val="24"/>
              </w:rPr>
              <w:t>ERCOT-wide appeal(s) through public voluntary energy appeal</w:t>
            </w:r>
            <w:r w:rsidRPr="009C388E">
              <w:t>, or other ERCOT actions</w:t>
            </w:r>
            <w:r>
              <w:t>.</w:t>
            </w:r>
          </w:p>
        </w:tc>
      </w:tr>
    </w:tbl>
    <w:p w14:paraId="10CCDCAA" w14:textId="77777777" w:rsidR="001F04FD" w:rsidRDefault="001F04FD" w:rsidP="005867E8">
      <w:pPr>
        <w:pStyle w:val="H4"/>
        <w:spacing w:before="480"/>
        <w:ind w:left="1267" w:hanging="1267"/>
      </w:pPr>
      <w:bookmarkStart w:id="1113" w:name="_Toc204411608"/>
      <w:r>
        <w:lastRenderedPageBreak/>
        <w:t>6.5.7.2</w:t>
      </w:r>
      <w:r>
        <w:tab/>
        <w:t>Resource Limit Calculator</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3"/>
    </w:p>
    <w:p w14:paraId="1E3A2334" w14:textId="77777777" w:rsidR="001F04FD" w:rsidRDefault="001F04FD" w:rsidP="001F04FD">
      <w:pPr>
        <w:pStyle w:val="BodyTextNumbered"/>
      </w:pPr>
      <w:r>
        <w:t>(1)</w:t>
      </w:r>
      <w:r>
        <w:tab/>
        <w:t>ERCOT shall calculate the HASL, LASL, SURAMP, SDRAMP, 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the commitment of a Resource to provide Ancillary Services as well as individual Resource physical limitations.</w:t>
      </w:r>
    </w:p>
    <w:p w14:paraId="37653345" w14:textId="54213959" w:rsidR="001F04FD" w:rsidRDefault="001F04FD" w:rsidP="001F04FD">
      <w:pPr>
        <w:pStyle w:val="BodyTextNumbered"/>
      </w:pPr>
      <w:r>
        <w:t>(2)</w:t>
      </w:r>
      <w:r>
        <w:tab/>
        <w:t>The figures below illustrate how the Resource Limit Calculator determines the Resource limits for Generation and Load Resources:</w:t>
      </w:r>
    </w:p>
    <w:p w14:paraId="19A1F5E2" w14:textId="75629DD0" w:rsidR="001C7670" w:rsidRDefault="001C7670" w:rsidP="001F04FD">
      <w:pPr>
        <w:pStyle w:val="BodyTextNumbered"/>
      </w:pPr>
    </w:p>
    <w:p w14:paraId="62A76CB3" w14:textId="77777777" w:rsidR="003D77E1" w:rsidRDefault="003D77E1" w:rsidP="001F04FD">
      <w:pPr>
        <w:pStyle w:val="BodyTextNumbered"/>
        <w:ind w:left="0" w:firstLine="0"/>
      </w:pPr>
    </w:p>
    <w:p w14:paraId="6F3D8233" w14:textId="7D9F4859" w:rsidR="001F04FD" w:rsidRDefault="00A94020" w:rsidP="001F04FD">
      <w:pPr>
        <w:pStyle w:val="BodyTextNumbered"/>
        <w:ind w:left="0" w:firstLine="0"/>
      </w:pPr>
      <w:r>
        <w:rPr>
          <w:noProof/>
        </w:rPr>
        <mc:AlternateContent>
          <mc:Choice Requires="wpg">
            <w:drawing>
              <wp:anchor distT="0" distB="0" distL="114300" distR="114300" simplePos="0" relativeHeight="251652096" behindDoc="0" locked="0" layoutInCell="1" allowOverlap="1" wp14:anchorId="6D8661F8" wp14:editId="3685BAD9">
                <wp:simplePos x="0" y="0"/>
                <wp:positionH relativeFrom="column">
                  <wp:posOffset>214630</wp:posOffset>
                </wp:positionH>
                <wp:positionV relativeFrom="paragraph">
                  <wp:posOffset>146050</wp:posOffset>
                </wp:positionV>
                <wp:extent cx="5340350" cy="3087370"/>
                <wp:effectExtent l="0" t="0" r="12700" b="17780"/>
                <wp:wrapNone/>
                <wp:docPr id="246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465"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7"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216"/>
                        <wps:cNvSpPr>
                          <a:spLocks noChangeArrowheads="1"/>
                        </wps:cNvSpPr>
                        <wps:spPr bwMode="auto">
                          <a:xfrm>
                            <a:off x="6562" y="5968"/>
                            <a:ext cx="213"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A7E07" w14:textId="77777777" w:rsidR="00847E53" w:rsidRDefault="00847E53" w:rsidP="001F04FD">
                              <w:r>
                                <w:rPr>
                                  <w:color w:val="000000"/>
                                  <w:sz w:val="12"/>
                                  <w:szCs w:val="12"/>
                                </w:rPr>
                                <w:t>LSL</w:t>
                              </w:r>
                            </w:p>
                          </w:txbxContent>
                        </wps:txbx>
                        <wps:bodyPr rot="0" vert="horz" wrap="none" lIns="0" tIns="0" rIns="0" bIns="0" anchor="t" anchorCtr="0" upright="1">
                          <a:spAutoFit/>
                        </wps:bodyPr>
                      </wps:wsp>
                      <wps:wsp>
                        <wps:cNvPr id="2469"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218"/>
                        <wps:cNvSpPr>
                          <a:spLocks noChangeArrowheads="1"/>
                        </wps:cNvSpPr>
                        <wps:spPr bwMode="auto">
                          <a:xfrm>
                            <a:off x="8510" y="5970"/>
                            <a:ext cx="22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4D1D1" w14:textId="77777777" w:rsidR="00847E53" w:rsidRDefault="00847E53" w:rsidP="001F04FD">
                              <w:r>
                                <w:rPr>
                                  <w:color w:val="000000"/>
                                  <w:sz w:val="12"/>
                                  <w:szCs w:val="12"/>
                                </w:rPr>
                                <w:t>HSL</w:t>
                              </w:r>
                            </w:p>
                          </w:txbxContent>
                        </wps:txbx>
                        <wps:bodyPr rot="0" vert="horz" wrap="none" lIns="0" tIns="0" rIns="0" bIns="0" anchor="t" anchorCtr="0" upright="1">
                          <a:spAutoFit/>
                        </wps:bodyPr>
                      </wps:wsp>
                      <wpg:grpSp>
                        <wpg:cNvPr id="2471" name="Group 219"/>
                        <wpg:cNvGrpSpPr>
                          <a:grpSpLocks/>
                        </wpg:cNvGrpSpPr>
                        <wpg:grpSpPr bwMode="auto">
                          <a:xfrm>
                            <a:off x="2419" y="3529"/>
                            <a:ext cx="1343" cy="3634"/>
                            <a:chOff x="2419" y="2729"/>
                            <a:chExt cx="1343" cy="3634"/>
                          </a:xfrm>
                        </wpg:grpSpPr>
                        <wps:wsp>
                          <wps:cNvPr id="2472"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75"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76"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16DB8" w14:textId="77777777" w:rsidR="00847E53" w:rsidRDefault="00847E53" w:rsidP="001F04FD">
                              <w:r>
                                <w:rPr>
                                  <w:color w:val="000000"/>
                                </w:rPr>
                                <w:t>Time</w:t>
                              </w:r>
                            </w:p>
                          </w:txbxContent>
                        </wps:txbx>
                        <wps:bodyPr rot="0" vert="horz" wrap="none" lIns="0" tIns="0" rIns="0" bIns="0" anchor="t" anchorCtr="0" upright="1">
                          <a:spAutoFit/>
                        </wps:bodyPr>
                      </wps:wsp>
                      <wpg:grpSp>
                        <wpg:cNvPr id="2477" name="Group 224"/>
                        <wpg:cNvGrpSpPr>
                          <a:grpSpLocks/>
                        </wpg:cNvGrpSpPr>
                        <wpg:grpSpPr bwMode="auto">
                          <a:xfrm>
                            <a:off x="2419" y="6647"/>
                            <a:ext cx="1343" cy="569"/>
                            <a:chOff x="2419" y="6363"/>
                            <a:chExt cx="1343" cy="569"/>
                          </a:xfrm>
                        </wpg:grpSpPr>
                        <wps:wsp>
                          <wps:cNvPr id="2478"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0" name="Rectangle 227"/>
                        <wps:cNvSpPr>
                          <a:spLocks noChangeArrowheads="1"/>
                        </wps:cNvSpPr>
                        <wps:spPr bwMode="auto">
                          <a:xfrm>
                            <a:off x="1840" y="6519"/>
                            <a:ext cx="32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D9E0F" w14:textId="77777777" w:rsidR="00847E53" w:rsidRDefault="00847E53" w:rsidP="001F04FD">
                              <w:r>
                                <w:rPr>
                                  <w:color w:val="000000"/>
                                  <w:sz w:val="18"/>
                                  <w:szCs w:val="18"/>
                                </w:rPr>
                                <w:t>LSL</w:t>
                              </w:r>
                            </w:p>
                          </w:txbxContent>
                        </wps:txbx>
                        <wps:bodyPr rot="0" vert="horz" wrap="none" lIns="0" tIns="0" rIns="0" bIns="0" anchor="t" anchorCtr="0" upright="1">
                          <a:spAutoFit/>
                        </wps:bodyPr>
                      </wps:wsp>
                      <wps:wsp>
                        <wps:cNvPr id="2481" name="Rectangle 228"/>
                        <wps:cNvSpPr>
                          <a:spLocks noChangeArrowheads="1"/>
                        </wps:cNvSpPr>
                        <wps:spPr bwMode="auto">
                          <a:xfrm>
                            <a:off x="2188" y="651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5AD2E"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2482"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71354" w14:textId="77777777" w:rsidR="00847E53" w:rsidRDefault="00847E53" w:rsidP="001F04FD"/>
                          </w:txbxContent>
                        </wps:txbx>
                        <wps:bodyPr rot="0" vert="horz" wrap="square" lIns="0" tIns="0" rIns="0" bIns="0" anchor="t" anchorCtr="0" upright="1">
                          <a:noAutofit/>
                        </wps:bodyPr>
                      </wps:wsp>
                      <wpg:grpSp>
                        <wpg:cNvPr id="2483" name="Group 230"/>
                        <wpg:cNvGrpSpPr>
                          <a:grpSpLocks/>
                        </wpg:cNvGrpSpPr>
                        <wpg:grpSpPr bwMode="auto">
                          <a:xfrm>
                            <a:off x="2419" y="4330"/>
                            <a:ext cx="1343" cy="1855"/>
                            <a:chOff x="2419" y="3530"/>
                            <a:chExt cx="1343" cy="1855"/>
                          </a:xfrm>
                        </wpg:grpSpPr>
                        <wps:wsp>
                          <wps:cNvPr id="248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7" name="Rectangle 233"/>
                        <wps:cNvSpPr>
                          <a:spLocks noChangeArrowheads="1"/>
                        </wps:cNvSpPr>
                        <wps:spPr bwMode="auto">
                          <a:xfrm>
                            <a:off x="1731" y="6053"/>
                            <a:ext cx="45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D30D7" w14:textId="77777777" w:rsidR="00847E53" w:rsidRDefault="00847E53" w:rsidP="001F04FD">
                              <w:r>
                                <w:rPr>
                                  <w:color w:val="000000"/>
                                  <w:sz w:val="18"/>
                                  <w:szCs w:val="18"/>
                                </w:rPr>
                                <w:t>LASL</w:t>
                              </w:r>
                            </w:p>
                          </w:txbxContent>
                        </wps:txbx>
                        <wps:bodyPr rot="0" vert="horz" wrap="none" lIns="0" tIns="0" rIns="0" bIns="0" anchor="t" anchorCtr="0" upright="1">
                          <a:spAutoFit/>
                        </wps:bodyPr>
                      </wps:wsp>
                      <wps:wsp>
                        <wps:cNvPr id="2488" name="Rectangle 234"/>
                        <wps:cNvSpPr>
                          <a:spLocks noChangeArrowheads="1"/>
                        </wps:cNvSpPr>
                        <wps:spPr bwMode="auto">
                          <a:xfrm>
                            <a:off x="2221" y="605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59435"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2489" name="Rectangle 235"/>
                        <wps:cNvSpPr>
                          <a:spLocks noChangeArrowheads="1"/>
                        </wps:cNvSpPr>
                        <wps:spPr bwMode="auto">
                          <a:xfrm>
                            <a:off x="1698" y="4199"/>
                            <a:ext cx="47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C60B0" w14:textId="77777777" w:rsidR="00847E53" w:rsidRDefault="00847E53" w:rsidP="001F04FD">
                              <w:r>
                                <w:rPr>
                                  <w:color w:val="000000"/>
                                  <w:sz w:val="18"/>
                                  <w:szCs w:val="18"/>
                                </w:rPr>
                                <w:t>HASL</w:t>
                              </w:r>
                            </w:p>
                          </w:txbxContent>
                        </wps:txbx>
                        <wps:bodyPr rot="0" vert="horz" wrap="none" lIns="0" tIns="0" rIns="0" bIns="0" anchor="t" anchorCtr="0" upright="1">
                          <a:spAutoFit/>
                        </wps:bodyPr>
                      </wps:wsp>
                      <wps:wsp>
                        <wps:cNvPr id="2490" name="Rectangle 236"/>
                        <wps:cNvSpPr>
                          <a:spLocks noChangeArrowheads="1"/>
                        </wps:cNvSpPr>
                        <wps:spPr bwMode="auto">
                          <a:xfrm>
                            <a:off x="2209" y="419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37043" w14:textId="77777777" w:rsidR="00847E53" w:rsidRDefault="00847E53" w:rsidP="001F04FD">
                              <w:r>
                                <w:rPr>
                                  <w:color w:val="000000"/>
                                  <w:sz w:val="18"/>
                                  <w:szCs w:val="18"/>
                                </w:rPr>
                                <w:t>-</w:t>
                              </w:r>
                            </w:p>
                          </w:txbxContent>
                        </wps:txbx>
                        <wps:bodyPr rot="0" vert="horz" wrap="none" lIns="0" tIns="0" rIns="0" bIns="0" anchor="t" anchorCtr="0" upright="1">
                          <a:spAutoFit/>
                        </wps:bodyPr>
                      </wps:wsp>
                      <wpg:grpSp>
                        <wpg:cNvPr id="2491" name="Group 237"/>
                        <wpg:cNvGrpSpPr>
                          <a:grpSpLocks/>
                        </wpg:cNvGrpSpPr>
                        <wpg:grpSpPr bwMode="auto">
                          <a:xfrm>
                            <a:off x="2472" y="3584"/>
                            <a:ext cx="1169" cy="652"/>
                            <a:chOff x="2472" y="2784"/>
                            <a:chExt cx="1169" cy="652"/>
                          </a:xfrm>
                        </wpg:grpSpPr>
                        <wps:wsp>
                          <wps:cNvPr id="2492"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94"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CBB9F" w14:textId="77777777" w:rsidR="00847E53" w:rsidRDefault="00847E53" w:rsidP="001F04FD">
                              <w:r>
                                <w:rPr>
                                  <w:color w:val="000000"/>
                                  <w:sz w:val="16"/>
                                  <w:szCs w:val="16"/>
                                </w:rPr>
                                <w:t xml:space="preserve">Generation </w:t>
                              </w:r>
                            </w:p>
                          </w:txbxContent>
                        </wps:txbx>
                        <wps:bodyPr rot="0" vert="horz" wrap="none" lIns="0" tIns="0" rIns="0" bIns="0" anchor="t" anchorCtr="0" upright="1">
                          <a:spAutoFit/>
                        </wps:bodyPr>
                      </wps:wsp>
                      <wps:wsp>
                        <wps:cNvPr id="2495"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F8C64" w14:textId="77777777" w:rsidR="00847E53" w:rsidRDefault="00847E53" w:rsidP="001F04FD">
                              <w:r>
                                <w:rPr>
                                  <w:color w:val="000000"/>
                                  <w:sz w:val="16"/>
                                  <w:szCs w:val="16"/>
                                </w:rPr>
                                <w:t>Increase</w:t>
                              </w:r>
                            </w:p>
                          </w:txbxContent>
                        </wps:txbx>
                        <wps:bodyPr rot="0" vert="horz" wrap="none" lIns="0" tIns="0" rIns="0" bIns="0" anchor="t" anchorCtr="0" upright="1">
                          <a:spAutoFit/>
                        </wps:bodyPr>
                      </wps:wsp>
                      <wpg:grpSp>
                        <wpg:cNvPr id="2496" name="Group 242"/>
                        <wpg:cNvGrpSpPr>
                          <a:grpSpLocks/>
                        </wpg:cNvGrpSpPr>
                        <wpg:grpSpPr bwMode="auto">
                          <a:xfrm>
                            <a:off x="2499" y="5744"/>
                            <a:ext cx="1169" cy="712"/>
                            <a:chOff x="2499" y="5460"/>
                            <a:chExt cx="1169" cy="712"/>
                          </a:xfrm>
                        </wpg:grpSpPr>
                        <wps:wsp>
                          <wps:cNvPr id="2498"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00" name="Rectangle 245"/>
                        <wps:cNvSpPr>
                          <a:spLocks noChangeArrowheads="1"/>
                        </wps:cNvSpPr>
                        <wps:spPr bwMode="auto">
                          <a:xfrm>
                            <a:off x="2718" y="5839"/>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FC0A3" w14:textId="77777777" w:rsidR="00847E53" w:rsidRDefault="00847E53" w:rsidP="001F04FD">
                              <w:r>
                                <w:rPr>
                                  <w:color w:val="000000"/>
                                  <w:sz w:val="16"/>
                                  <w:szCs w:val="16"/>
                                </w:rPr>
                                <w:t xml:space="preserve"> </w:t>
                              </w:r>
                            </w:p>
                          </w:txbxContent>
                        </wps:txbx>
                        <wps:bodyPr rot="0" vert="horz" wrap="none" lIns="0" tIns="0" rIns="0" bIns="0" anchor="t" anchorCtr="0" upright="1">
                          <a:spAutoFit/>
                        </wps:bodyPr>
                      </wps:wsp>
                      <wps:wsp>
                        <wps:cNvPr id="2501"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7EDF2" w14:textId="77777777" w:rsidR="00847E53" w:rsidRDefault="00847E53" w:rsidP="001F04FD"/>
                          </w:txbxContent>
                        </wps:txbx>
                        <wps:bodyPr rot="0" vert="horz" wrap="none" lIns="0" tIns="0" rIns="0" bIns="0" anchor="t" anchorCtr="0" upright="1">
                          <a:spAutoFit/>
                        </wps:bodyPr>
                      </wps:wsp>
                      <wps:wsp>
                        <wps:cNvPr id="2502"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1B8F4" w14:textId="77777777" w:rsidR="00847E53" w:rsidRDefault="00847E53" w:rsidP="001F04FD">
                              <w:r>
                                <w:rPr>
                                  <w:color w:val="000000"/>
                                  <w:sz w:val="16"/>
                                  <w:szCs w:val="16"/>
                                </w:rPr>
                                <w:t xml:space="preserve">Services </w:t>
                              </w:r>
                            </w:p>
                          </w:txbxContent>
                        </wps:txbx>
                        <wps:bodyPr rot="0" vert="horz" wrap="none" lIns="0" tIns="0" rIns="0" bIns="0" anchor="t" anchorCtr="0" upright="1">
                          <a:spAutoFit/>
                        </wps:bodyPr>
                      </wps:wsp>
                      <wps:wsp>
                        <wps:cNvPr id="2503"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7E576" w14:textId="77777777" w:rsidR="00847E53" w:rsidRDefault="00847E53" w:rsidP="001F04FD">
                              <w:r>
                                <w:rPr>
                                  <w:color w:val="000000"/>
                                  <w:sz w:val="16"/>
                                  <w:szCs w:val="16"/>
                                </w:rPr>
                                <w:t xml:space="preserve">Provided: Reg </w:t>
                              </w:r>
                            </w:p>
                          </w:txbxContent>
                        </wps:txbx>
                        <wps:bodyPr rot="0" vert="horz" wrap="none" lIns="0" tIns="0" rIns="0" bIns="0" anchor="t" anchorCtr="0" upright="1">
                          <a:spAutoFit/>
                        </wps:bodyPr>
                      </wps:wsp>
                      <wps:wsp>
                        <wps:cNvPr id="2504"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0C2EE" w14:textId="77777777" w:rsidR="00847E53" w:rsidRDefault="00847E53" w:rsidP="001F04FD">
                              <w:r>
                                <w:rPr>
                                  <w:color w:val="000000"/>
                                  <w:sz w:val="16"/>
                                  <w:szCs w:val="16"/>
                                </w:rPr>
                                <w:t>Down</w:t>
                              </w:r>
                            </w:p>
                          </w:txbxContent>
                        </wps:txbx>
                        <wps:bodyPr rot="0" vert="horz" wrap="none" lIns="0" tIns="0" rIns="0" bIns="0" anchor="t" anchorCtr="0" upright="1">
                          <a:spAutoFit/>
                        </wps:bodyPr>
                      </wps:wsp>
                      <wps:wsp>
                        <wps:cNvPr id="2505"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3B99B" w14:textId="77777777" w:rsidR="00847E53" w:rsidRDefault="00847E53" w:rsidP="001F04FD">
                              <w:r>
                                <w:rPr>
                                  <w:color w:val="000000"/>
                                  <w:sz w:val="16"/>
                                  <w:szCs w:val="16"/>
                                </w:rPr>
                                <w:t xml:space="preserve">Provided: Reg Up, </w:t>
                              </w:r>
                            </w:p>
                          </w:txbxContent>
                        </wps:txbx>
                        <wps:bodyPr rot="0" vert="horz" wrap="none" lIns="0" tIns="0" rIns="0" bIns="0" anchor="t" anchorCtr="0" upright="1">
                          <a:spAutoFit/>
                        </wps:bodyPr>
                      </wps:wsp>
                      <wps:wsp>
                        <wps:cNvPr id="2506" name="Rectangle 251"/>
                        <wps:cNvSpPr>
                          <a:spLocks noChangeArrowheads="1"/>
                        </wps:cNvSpPr>
                        <wps:spPr bwMode="auto">
                          <a:xfrm>
                            <a:off x="3839" y="3757"/>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9DC32" w14:textId="1664EB7A" w:rsidR="00847E53" w:rsidRDefault="00847E53" w:rsidP="001F04FD">
                              <w:r>
                                <w:rPr>
                                  <w:color w:val="000000"/>
                                  <w:sz w:val="16"/>
                                  <w:szCs w:val="16"/>
                                </w:rPr>
                                <w:t>R</w:t>
                              </w:r>
                              <w:r w:rsidR="00DC32AE">
                                <w:rPr>
                                  <w:color w:val="000000"/>
                                  <w:sz w:val="16"/>
                                  <w:szCs w:val="16"/>
                                </w:rPr>
                                <w:t>RS</w:t>
                              </w:r>
                              <w:r>
                                <w:rPr>
                                  <w:color w:val="000000"/>
                                  <w:sz w:val="16"/>
                                  <w:szCs w:val="16"/>
                                </w:rPr>
                                <w:t xml:space="preserve">, </w:t>
                              </w:r>
                              <w:r w:rsidR="00DC32AE">
                                <w:rPr>
                                  <w:color w:val="000000"/>
                                  <w:sz w:val="16"/>
                                  <w:szCs w:val="16"/>
                                </w:rPr>
                                <w:t xml:space="preserve">ECRS, </w:t>
                              </w:r>
                              <w:r>
                                <w:rPr>
                                  <w:color w:val="000000"/>
                                  <w:sz w:val="16"/>
                                  <w:szCs w:val="16"/>
                                </w:rPr>
                                <w:t xml:space="preserve">Non-Spin </w:t>
                              </w:r>
                            </w:p>
                          </w:txbxContent>
                        </wps:txbx>
                        <wps:bodyPr rot="0" vert="horz" wrap="none" lIns="0" tIns="0" rIns="0" bIns="0" anchor="t" anchorCtr="0" upright="1">
                          <a:spAutoFit/>
                        </wps:bodyPr>
                      </wps:wsp>
                      <wps:wsp>
                        <wps:cNvPr id="2507" name="Rectangle 252"/>
                        <wps:cNvSpPr>
                          <a:spLocks noChangeArrowheads="1"/>
                        </wps:cNvSpPr>
                        <wps:spPr bwMode="auto">
                          <a:xfrm>
                            <a:off x="5013" y="3757"/>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454F6" w14:textId="77777777" w:rsidR="00847E53" w:rsidRDefault="00847E53" w:rsidP="001F04FD">
                              <w:r>
                                <w:rPr>
                                  <w:color w:val="000000"/>
                                  <w:sz w:val="16"/>
                                  <w:szCs w:val="16"/>
                                </w:rPr>
                                <w:t xml:space="preserve"> </w:t>
                              </w:r>
                            </w:p>
                          </w:txbxContent>
                        </wps:txbx>
                        <wps:bodyPr rot="0" vert="horz" wrap="none" lIns="0" tIns="0" rIns="0" bIns="0" anchor="t" anchorCtr="0" upright="1">
                          <a:spAutoFit/>
                        </wps:bodyPr>
                      </wps:wsp>
                      <wps:wsp>
                        <wps:cNvPr id="2508"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5B9A2" w14:textId="77777777" w:rsidR="00847E53" w:rsidRDefault="00847E53" w:rsidP="001F04FD"/>
                          </w:txbxContent>
                        </wps:txbx>
                        <wps:bodyPr rot="0" vert="horz" wrap="none" lIns="0" tIns="0" rIns="0" bIns="0" anchor="t" anchorCtr="0" upright="1">
                          <a:spAutoFit/>
                        </wps:bodyPr>
                      </wps:wsp>
                      <wps:wsp>
                        <wps:cNvPr id="2509"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510" name="Rectangle 255"/>
                        <wps:cNvSpPr>
                          <a:spLocks noChangeArrowheads="1"/>
                        </wps:cNvSpPr>
                        <wps:spPr bwMode="auto">
                          <a:xfrm>
                            <a:off x="1728" y="4970"/>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69D63" w14:textId="77777777" w:rsidR="00847E53" w:rsidRDefault="00847E53" w:rsidP="001F04FD">
                              <w:r>
                                <w:rPr>
                                  <w:color w:val="000000"/>
                                  <w:sz w:val="16"/>
                                  <w:szCs w:val="16"/>
                                </w:rPr>
                                <w:t>Current</w:t>
                              </w:r>
                            </w:p>
                          </w:txbxContent>
                        </wps:txbx>
                        <wps:bodyPr rot="0" vert="horz" wrap="none" lIns="0" tIns="0" rIns="0" bIns="0" anchor="t" anchorCtr="0" upright="1">
                          <a:spAutoFit/>
                        </wps:bodyPr>
                      </wps:wsp>
                      <wps:wsp>
                        <wps:cNvPr id="2511"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D74CB" w14:textId="77777777" w:rsidR="00847E53" w:rsidRDefault="00847E53" w:rsidP="001F04FD">
                              <w:r>
                                <w:rPr>
                                  <w:color w:val="000000"/>
                                  <w:sz w:val="16"/>
                                  <w:szCs w:val="16"/>
                                </w:rPr>
                                <w:t>Telemetry</w:t>
                              </w:r>
                            </w:p>
                          </w:txbxContent>
                        </wps:txbx>
                        <wps:bodyPr rot="0" vert="horz" wrap="none" lIns="0" tIns="0" rIns="0" bIns="0" anchor="t" anchorCtr="0" upright="1">
                          <a:spAutoFit/>
                        </wps:bodyPr>
                      </wps:wsp>
                      <wps:wsp>
                        <wps:cNvPr id="2512"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3"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A0483" w14:textId="77777777" w:rsidR="00847E53" w:rsidRDefault="00847E53" w:rsidP="001F04FD">
                              <w:r>
                                <w:rPr>
                                  <w:color w:val="000000"/>
                                  <w:sz w:val="18"/>
                                  <w:szCs w:val="18"/>
                                </w:rPr>
                                <w:t>HDL</w:t>
                              </w:r>
                            </w:p>
                          </w:txbxContent>
                        </wps:txbx>
                        <wps:bodyPr rot="0" vert="horz" wrap="none" lIns="0" tIns="0" rIns="0" bIns="0" anchor="t" anchorCtr="0" upright="1">
                          <a:spAutoFit/>
                        </wps:bodyPr>
                      </wps:wsp>
                      <wps:wsp>
                        <wps:cNvPr id="2514"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5"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C5363" w14:textId="77777777" w:rsidR="00847E53" w:rsidRDefault="00847E53" w:rsidP="001F04FD">
                              <w:r>
                                <w:rPr>
                                  <w:color w:val="000000"/>
                                  <w:sz w:val="18"/>
                                  <w:szCs w:val="18"/>
                                </w:rPr>
                                <w:t>LDL</w:t>
                              </w:r>
                            </w:p>
                          </w:txbxContent>
                        </wps:txbx>
                        <wps:bodyPr rot="0" vert="horz" wrap="square" lIns="0" tIns="0" rIns="0" bIns="0" anchor="t" anchorCtr="0" upright="1">
                          <a:noAutofit/>
                        </wps:bodyPr>
                      </wps:wsp>
                      <wps:wsp>
                        <wps:cNvPr id="2516"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7"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76B5A" w14:textId="77777777" w:rsidR="00847E53" w:rsidRDefault="00847E53" w:rsidP="001F04FD">
                              <w:r>
                                <w:rPr>
                                  <w:color w:val="000000"/>
                                  <w:sz w:val="18"/>
                                  <w:szCs w:val="18"/>
                                </w:rPr>
                                <w:t>Ramp</w:t>
                              </w:r>
                            </w:p>
                          </w:txbxContent>
                        </wps:txbx>
                        <wps:bodyPr rot="0" vert="horz" wrap="none" lIns="0" tIns="0" rIns="0" bIns="0" anchor="t" anchorCtr="0" upright="1">
                          <a:spAutoFit/>
                        </wps:bodyPr>
                      </wps:wsp>
                      <wps:wsp>
                        <wps:cNvPr id="2518" name="Rectangle 263"/>
                        <wps:cNvSpPr>
                          <a:spLocks noChangeArrowheads="1"/>
                        </wps:cNvSpPr>
                        <wps:spPr bwMode="auto">
                          <a:xfrm>
                            <a:off x="3334" y="4900"/>
                            <a:ext cx="3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58068" w14:textId="77777777" w:rsidR="00847E53" w:rsidRDefault="00847E53" w:rsidP="001F04FD">
                              <w:r>
                                <w:rPr>
                                  <w:color w:val="000000"/>
                                  <w:sz w:val="18"/>
                                  <w:szCs w:val="18"/>
                                </w:rPr>
                                <w:t>Rate</w:t>
                              </w:r>
                            </w:p>
                          </w:txbxContent>
                        </wps:txbx>
                        <wps:bodyPr rot="0" vert="horz" wrap="none" lIns="0" tIns="0" rIns="0" bIns="0" anchor="t" anchorCtr="0" upright="1">
                          <a:spAutoFit/>
                        </wps:bodyPr>
                      </wps:wsp>
                      <wps:wsp>
                        <wps:cNvPr id="2519"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CD194" w14:textId="77777777" w:rsidR="00847E53" w:rsidRDefault="00847E53" w:rsidP="001F04FD">
                              <w:r>
                                <w:rPr>
                                  <w:color w:val="000000"/>
                                  <w:sz w:val="18"/>
                                  <w:szCs w:val="18"/>
                                </w:rPr>
                                <w:t>5 Minutes</w:t>
                              </w:r>
                            </w:p>
                          </w:txbxContent>
                        </wps:txbx>
                        <wps:bodyPr rot="0" vert="horz" wrap="none" lIns="0" tIns="0" rIns="0" bIns="0" anchor="t" anchorCtr="0" upright="1">
                          <a:spAutoFit/>
                        </wps:bodyPr>
                      </wps:wsp>
                      <wps:wsp>
                        <wps:cNvPr id="2520" name="Rectangle 265"/>
                        <wps:cNvSpPr>
                          <a:spLocks noChangeArrowheads="1"/>
                        </wps:cNvSpPr>
                        <wps:spPr bwMode="auto">
                          <a:xfrm>
                            <a:off x="5162" y="7467"/>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BC9B" w14:textId="77777777" w:rsidR="00847E53" w:rsidRDefault="00847E53" w:rsidP="001F04FD"/>
                          </w:txbxContent>
                        </wps:txbx>
                        <wps:bodyPr rot="0" vert="horz" wrap="none" lIns="0" tIns="0" rIns="0" bIns="0" anchor="t" anchorCtr="0" upright="1">
                          <a:spAutoFit/>
                        </wps:bodyPr>
                      </wps:wsp>
                      <wps:wsp>
                        <wps:cNvPr id="2521" name="Rectangle 266"/>
                        <wps:cNvSpPr>
                          <a:spLocks noChangeArrowheads="1"/>
                        </wps:cNvSpPr>
                        <wps:spPr bwMode="auto">
                          <a:xfrm>
                            <a:off x="5642" y="7467"/>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C3D08" w14:textId="77777777" w:rsidR="00847E53" w:rsidRDefault="00847E53" w:rsidP="001F04FD"/>
                          </w:txbxContent>
                        </wps:txbx>
                        <wps:bodyPr rot="0" vert="horz" wrap="none" lIns="0" tIns="0" rIns="0" bIns="0" anchor="t" anchorCtr="0" upright="1">
                          <a:spAutoFit/>
                        </wps:bodyPr>
                      </wps:wsp>
                      <wps:wsp>
                        <wps:cNvPr id="2522" name="Rectangle 267"/>
                        <wps:cNvSpPr>
                          <a:spLocks noChangeArrowheads="1"/>
                        </wps:cNvSpPr>
                        <wps:spPr bwMode="auto">
                          <a:xfrm>
                            <a:off x="5711" y="7467"/>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D621D" w14:textId="77777777" w:rsidR="00847E53" w:rsidRDefault="00847E53" w:rsidP="001F04FD"/>
                          </w:txbxContent>
                        </wps:txbx>
                        <wps:bodyPr rot="0" vert="horz" wrap="none" lIns="0" tIns="0" rIns="0" bIns="0" anchor="t" anchorCtr="0" upright="1">
                          <a:spAutoFit/>
                        </wps:bodyPr>
                      </wps:wsp>
                      <wps:wsp>
                        <wps:cNvPr id="2523"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892D2" w14:textId="77777777" w:rsidR="00847E53" w:rsidRDefault="00847E53" w:rsidP="001F04FD">
                              <w:pPr>
                                <w:rPr>
                                  <w:u w:val="single"/>
                                </w:rPr>
                              </w:pPr>
                              <w:r>
                                <w:rPr>
                                  <w:b/>
                                  <w:bCs/>
                                  <w:color w:val="000000"/>
                                  <w:u w:val="single"/>
                                </w:rPr>
                                <w:t>Generation</w:t>
                              </w:r>
                            </w:p>
                          </w:txbxContent>
                        </wps:txbx>
                        <wps:bodyPr rot="0" vert="horz" wrap="none" lIns="0" tIns="0" rIns="0" bIns="0" anchor="t" anchorCtr="0" upright="1">
                          <a:spAutoFit/>
                        </wps:bodyPr>
                      </wps:wsp>
                      <wps:wsp>
                        <wps:cNvPr id="2524"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5" name="Rectangle 270"/>
                        <wps:cNvSpPr>
                          <a:spLocks noChangeArrowheads="1"/>
                        </wps:cNvSpPr>
                        <wps:spPr bwMode="auto">
                          <a:xfrm>
                            <a:off x="5866" y="6825"/>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A33BE" w14:textId="77777777" w:rsidR="00847E53" w:rsidRDefault="00847E53" w:rsidP="001F04FD"/>
                          </w:txbxContent>
                        </wps:txbx>
                        <wps:bodyPr rot="0" vert="horz" wrap="none" lIns="0" tIns="0" rIns="0" bIns="0" anchor="t" anchorCtr="0" upright="1">
                          <a:spAutoFit/>
                        </wps:bodyPr>
                      </wps:wsp>
                      <wps:wsp>
                        <wps:cNvPr id="2526"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7"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04"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967AB" w14:textId="77777777" w:rsidR="00847E53" w:rsidRDefault="00847E53" w:rsidP="001F04FD">
                              <w:r>
                                <w:rPr>
                                  <w:color w:val="000000"/>
                                  <w:sz w:val="16"/>
                                  <w:szCs w:val="16"/>
                                </w:rPr>
                                <w:t>Quantity</w:t>
                              </w:r>
                            </w:p>
                          </w:txbxContent>
                        </wps:txbx>
                        <wps:bodyPr rot="0" vert="horz" wrap="none" lIns="0" tIns="0" rIns="0" bIns="0" anchor="t" anchorCtr="0" upright="1">
                          <a:spAutoFit/>
                        </wps:bodyPr>
                      </wps:wsp>
                      <wps:wsp>
                        <wps:cNvPr id="3105"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590A9" w14:textId="77777777" w:rsidR="00847E53" w:rsidRDefault="00847E53" w:rsidP="001F04FD">
                              <w:r>
                                <w:rPr>
                                  <w:color w:val="000000"/>
                                  <w:sz w:val="16"/>
                                  <w:szCs w:val="16"/>
                                </w:rPr>
                                <w:t>Offer Curve Generation</w:t>
                              </w:r>
                            </w:p>
                          </w:txbxContent>
                        </wps:txbx>
                        <wps:bodyPr rot="0" vert="horz" wrap="none" lIns="0" tIns="0" rIns="0" bIns="0" anchor="t" anchorCtr="0" upright="1">
                          <a:spAutoFit/>
                        </wps:bodyPr>
                      </wps:wsp>
                      <wps:wsp>
                        <wps:cNvPr id="3107"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8"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9"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0" name="Rectangle 279"/>
                        <wps:cNvSpPr>
                          <a:spLocks noChangeArrowheads="1"/>
                        </wps:cNvSpPr>
                        <wps:spPr bwMode="auto">
                          <a:xfrm>
                            <a:off x="6562" y="5968"/>
                            <a:ext cx="213"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97591" w14:textId="77777777" w:rsidR="00847E53" w:rsidRDefault="00847E53" w:rsidP="001F04FD">
                              <w:r>
                                <w:rPr>
                                  <w:color w:val="000000"/>
                                  <w:sz w:val="12"/>
                                  <w:szCs w:val="12"/>
                                </w:rPr>
                                <w:t>LSL</w:t>
                              </w:r>
                            </w:p>
                          </w:txbxContent>
                        </wps:txbx>
                        <wps:bodyPr rot="0" vert="horz" wrap="none" lIns="0" tIns="0" rIns="0" bIns="0" anchor="t" anchorCtr="0" upright="1">
                          <a:spAutoFit/>
                        </wps:bodyPr>
                      </wps:wsp>
                      <wps:wsp>
                        <wps:cNvPr id="3111"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 name="Rectangle 281"/>
                        <wps:cNvSpPr>
                          <a:spLocks noChangeArrowheads="1"/>
                        </wps:cNvSpPr>
                        <wps:spPr bwMode="auto">
                          <a:xfrm>
                            <a:off x="8510" y="5970"/>
                            <a:ext cx="22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1F005" w14:textId="77777777" w:rsidR="00847E53" w:rsidRDefault="00847E53" w:rsidP="001F04FD">
                              <w:r>
                                <w:rPr>
                                  <w:color w:val="000000"/>
                                  <w:sz w:val="12"/>
                                  <w:szCs w:val="12"/>
                                </w:rPr>
                                <w:t>HSL</w:t>
                              </w:r>
                            </w:p>
                          </w:txbxContent>
                        </wps:txbx>
                        <wps:bodyPr rot="0" vert="horz" wrap="none" lIns="0" tIns="0" rIns="0" bIns="0" anchor="t" anchorCtr="0" upright="1">
                          <a:spAutoFit/>
                        </wps:bodyPr>
                      </wps:wsp>
                      <wpg:grpSp>
                        <wpg:cNvPr id="3113" name="Group 282"/>
                        <wpg:cNvGrpSpPr>
                          <a:grpSpLocks/>
                        </wpg:cNvGrpSpPr>
                        <wpg:grpSpPr bwMode="auto">
                          <a:xfrm>
                            <a:off x="2419" y="3529"/>
                            <a:ext cx="1343" cy="3634"/>
                            <a:chOff x="2419" y="2729"/>
                            <a:chExt cx="1343" cy="3634"/>
                          </a:xfrm>
                        </wpg:grpSpPr>
                        <wps:wsp>
                          <wps:cNvPr id="3114"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16"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17" name="Group 286"/>
                        <wpg:cNvGrpSpPr>
                          <a:grpSpLocks/>
                        </wpg:cNvGrpSpPr>
                        <wpg:grpSpPr bwMode="auto">
                          <a:xfrm>
                            <a:off x="2419" y="6647"/>
                            <a:ext cx="1343" cy="569"/>
                            <a:chOff x="2419" y="6363"/>
                            <a:chExt cx="1343" cy="569"/>
                          </a:xfrm>
                        </wpg:grpSpPr>
                        <wps:wsp>
                          <wps:cNvPr id="3118"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9"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0" name="Rectangle 289"/>
                        <wps:cNvSpPr>
                          <a:spLocks noChangeArrowheads="1"/>
                        </wps:cNvSpPr>
                        <wps:spPr bwMode="auto">
                          <a:xfrm>
                            <a:off x="2188" y="651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A77CD" w14:textId="77777777" w:rsidR="00847E53" w:rsidRDefault="00847E53" w:rsidP="001F04FD">
                              <w:r>
                                <w:rPr>
                                  <w:color w:val="000000"/>
                                  <w:sz w:val="18"/>
                                  <w:szCs w:val="18"/>
                                </w:rPr>
                                <w:t>-</w:t>
                              </w:r>
                            </w:p>
                          </w:txbxContent>
                        </wps:txbx>
                        <wps:bodyPr rot="0" vert="horz" wrap="none" lIns="0" tIns="0" rIns="0" bIns="0" anchor="t" anchorCtr="0" upright="1">
                          <a:spAutoFit/>
                        </wps:bodyPr>
                      </wps:wsp>
                      <wpg:grpSp>
                        <wpg:cNvPr id="3121" name="Group 290"/>
                        <wpg:cNvGrpSpPr>
                          <a:grpSpLocks/>
                        </wpg:cNvGrpSpPr>
                        <wpg:grpSpPr bwMode="auto">
                          <a:xfrm>
                            <a:off x="2419" y="4330"/>
                            <a:ext cx="1343" cy="1855"/>
                            <a:chOff x="2419" y="3530"/>
                            <a:chExt cx="1343" cy="1855"/>
                          </a:xfrm>
                        </wpg:grpSpPr>
                        <wps:wsp>
                          <wps:cNvPr id="3122"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3"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4" name="Rectangle 293"/>
                        <wps:cNvSpPr>
                          <a:spLocks noChangeArrowheads="1"/>
                        </wps:cNvSpPr>
                        <wps:spPr bwMode="auto">
                          <a:xfrm>
                            <a:off x="2221" y="605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63E9C"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3125" name="Rectangle 294"/>
                        <wps:cNvSpPr>
                          <a:spLocks noChangeArrowheads="1"/>
                        </wps:cNvSpPr>
                        <wps:spPr bwMode="auto">
                          <a:xfrm>
                            <a:off x="2209" y="419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45AC3" w14:textId="77777777" w:rsidR="00847E53" w:rsidRDefault="00847E53" w:rsidP="001F04FD">
                              <w:r>
                                <w:rPr>
                                  <w:color w:val="000000"/>
                                  <w:sz w:val="18"/>
                                  <w:szCs w:val="18"/>
                                </w:rPr>
                                <w:t>-</w:t>
                              </w:r>
                            </w:p>
                          </w:txbxContent>
                        </wps:txbx>
                        <wps:bodyPr rot="0" vert="horz" wrap="none" lIns="0" tIns="0" rIns="0" bIns="0" anchor="t" anchorCtr="0" upright="1">
                          <a:spAutoFit/>
                        </wps:bodyPr>
                      </wps:wsp>
                      <wpg:grpSp>
                        <wpg:cNvPr id="3126" name="Group 295"/>
                        <wpg:cNvGrpSpPr>
                          <a:grpSpLocks/>
                        </wpg:cNvGrpSpPr>
                        <wpg:grpSpPr bwMode="auto">
                          <a:xfrm>
                            <a:off x="2472" y="3584"/>
                            <a:ext cx="1169" cy="652"/>
                            <a:chOff x="2472" y="2784"/>
                            <a:chExt cx="1169" cy="652"/>
                          </a:xfrm>
                        </wpg:grpSpPr>
                        <wps:wsp>
                          <wps:cNvPr id="3127"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9"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64693" w14:textId="77777777" w:rsidR="00847E53" w:rsidRDefault="00847E53" w:rsidP="001F04FD">
                              <w:r>
                                <w:rPr>
                                  <w:color w:val="000000"/>
                                  <w:sz w:val="16"/>
                                  <w:szCs w:val="16"/>
                                </w:rPr>
                                <w:t xml:space="preserve">Generation </w:t>
                              </w:r>
                            </w:p>
                          </w:txbxContent>
                        </wps:txbx>
                        <wps:bodyPr rot="0" vert="horz" wrap="none" lIns="0" tIns="0" rIns="0" bIns="0" anchor="t" anchorCtr="0" upright="1">
                          <a:spAutoFit/>
                        </wps:bodyPr>
                      </wps:wsp>
                      <wps:wsp>
                        <wps:cNvPr id="3130"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AE1E0" w14:textId="77777777" w:rsidR="00847E53" w:rsidRDefault="00847E53" w:rsidP="001F04FD">
                              <w:r>
                                <w:rPr>
                                  <w:color w:val="000000"/>
                                  <w:sz w:val="16"/>
                                  <w:szCs w:val="16"/>
                                </w:rPr>
                                <w:t>Increase</w:t>
                              </w:r>
                            </w:p>
                          </w:txbxContent>
                        </wps:txbx>
                        <wps:bodyPr rot="0" vert="horz" wrap="none" lIns="0" tIns="0" rIns="0" bIns="0" anchor="t" anchorCtr="0" upright="1">
                          <a:spAutoFit/>
                        </wps:bodyPr>
                      </wps:wsp>
                      <wpg:grpSp>
                        <wpg:cNvPr id="3131" name="Group 300"/>
                        <wpg:cNvGrpSpPr>
                          <a:grpSpLocks/>
                        </wpg:cNvGrpSpPr>
                        <wpg:grpSpPr bwMode="auto">
                          <a:xfrm>
                            <a:off x="2499" y="5744"/>
                            <a:ext cx="1169" cy="712"/>
                            <a:chOff x="2499" y="5460"/>
                            <a:chExt cx="1169" cy="712"/>
                          </a:xfrm>
                        </wpg:grpSpPr>
                        <wps:wsp>
                          <wps:cNvPr id="3132"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3"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4"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B7CB2" w14:textId="77777777" w:rsidR="00847E53" w:rsidRDefault="00847E53" w:rsidP="001F04FD"/>
                          </w:txbxContent>
                        </wps:txbx>
                        <wps:bodyPr rot="0" vert="horz" wrap="none" lIns="0" tIns="0" rIns="0" bIns="0" anchor="t" anchorCtr="0" upright="1">
                          <a:spAutoFit/>
                        </wps:bodyPr>
                      </wps:wsp>
                      <wps:wsp>
                        <wps:cNvPr id="3135"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5C4C5" w14:textId="77777777" w:rsidR="00847E53" w:rsidRDefault="00847E53" w:rsidP="001F04FD"/>
                          </w:txbxContent>
                        </wps:txbx>
                        <wps:bodyPr rot="0" vert="horz" wrap="none" lIns="0" tIns="0" rIns="0" bIns="0" anchor="t" anchorCtr="0" upright="1">
                          <a:spAutoFit/>
                        </wps:bodyPr>
                      </wps:wsp>
                      <wps:wsp>
                        <wps:cNvPr id="3136" name="Rectangle 305"/>
                        <wps:cNvSpPr>
                          <a:spLocks noChangeArrowheads="1"/>
                        </wps:cNvSpPr>
                        <wps:spPr bwMode="auto">
                          <a:xfrm>
                            <a:off x="5013" y="3757"/>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F6292" w14:textId="77777777" w:rsidR="00847E53" w:rsidRDefault="00847E53" w:rsidP="001F04FD">
                              <w:r>
                                <w:rPr>
                                  <w:color w:val="000000"/>
                                  <w:sz w:val="16"/>
                                  <w:szCs w:val="16"/>
                                </w:rPr>
                                <w:t xml:space="preserve"> </w:t>
                              </w:r>
                            </w:p>
                          </w:txbxContent>
                        </wps:txbx>
                        <wps:bodyPr rot="0" vert="horz" wrap="none" lIns="0" tIns="0" rIns="0" bIns="0" anchor="t" anchorCtr="0" upright="1">
                          <a:spAutoFit/>
                        </wps:bodyPr>
                      </wps:wsp>
                      <wps:wsp>
                        <wps:cNvPr id="3137"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38"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39"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0"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1"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11B11" w14:textId="77777777" w:rsidR="00847E53" w:rsidRDefault="00847E53" w:rsidP="001F04FD">
                              <w:r>
                                <w:rPr>
                                  <w:color w:val="000000"/>
                                  <w:sz w:val="18"/>
                                  <w:szCs w:val="18"/>
                                </w:rPr>
                                <w:t>Ramp</w:t>
                              </w:r>
                            </w:p>
                          </w:txbxContent>
                        </wps:txbx>
                        <wps:bodyPr rot="0" vert="horz" wrap="none" lIns="0" tIns="0" rIns="0" bIns="0" anchor="t" anchorCtr="0" upright="1">
                          <a:spAutoFit/>
                        </wps:bodyPr>
                      </wps:wsp>
                      <wps:wsp>
                        <wps:cNvPr id="3142" name="Rectangle 311"/>
                        <wps:cNvSpPr>
                          <a:spLocks noChangeArrowheads="1"/>
                        </wps:cNvSpPr>
                        <wps:spPr bwMode="auto">
                          <a:xfrm>
                            <a:off x="3334" y="4900"/>
                            <a:ext cx="3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84CC6" w14:textId="77777777" w:rsidR="00847E53" w:rsidRDefault="00847E53" w:rsidP="001F04FD">
                              <w:r>
                                <w:rPr>
                                  <w:color w:val="000000"/>
                                  <w:sz w:val="18"/>
                                  <w:szCs w:val="18"/>
                                </w:rPr>
                                <w:t>Rate</w:t>
                              </w:r>
                            </w:p>
                          </w:txbxContent>
                        </wps:txbx>
                        <wps:bodyPr rot="0" vert="horz" wrap="none" lIns="0" tIns="0" rIns="0" bIns="0" anchor="t" anchorCtr="0" upright="1">
                          <a:spAutoFit/>
                        </wps:bodyPr>
                      </wps:wsp>
                      <wps:wsp>
                        <wps:cNvPr id="3143" name="Rectangle 312"/>
                        <wps:cNvSpPr>
                          <a:spLocks noChangeArrowheads="1"/>
                        </wps:cNvSpPr>
                        <wps:spPr bwMode="auto">
                          <a:xfrm>
                            <a:off x="2683" y="7413"/>
                            <a:ext cx="72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FD3AA" w14:textId="77777777" w:rsidR="00847E53" w:rsidRDefault="00847E53" w:rsidP="001F04FD">
                              <w:r>
                                <w:rPr>
                                  <w:color w:val="000000"/>
                                  <w:sz w:val="18"/>
                                  <w:szCs w:val="18"/>
                                </w:rPr>
                                <w:t>5 Minutes</w:t>
                              </w:r>
                            </w:p>
                          </w:txbxContent>
                        </wps:txbx>
                        <wps:bodyPr rot="0" vert="horz" wrap="none" lIns="0" tIns="0" rIns="0" bIns="0" anchor="t" anchorCtr="0" upright="1">
                          <a:spAutoFit/>
                        </wps:bodyPr>
                      </wps:wsp>
                      <wps:wsp>
                        <wps:cNvPr id="3144"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CAB2C" w14:textId="77777777" w:rsidR="00847E53" w:rsidRDefault="00847E53" w:rsidP="001F04FD"/>
                          </w:txbxContent>
                        </wps:txbx>
                        <wps:bodyPr rot="0" vert="horz" wrap="none" lIns="0" tIns="0" rIns="0" bIns="0" anchor="t" anchorCtr="0" upright="1">
                          <a:spAutoFit/>
                        </wps:bodyPr>
                      </wps:wsp>
                      <wps:wsp>
                        <wps:cNvPr id="3145" name="Rectangle 314"/>
                        <wps:cNvSpPr>
                          <a:spLocks noChangeArrowheads="1"/>
                        </wps:cNvSpPr>
                        <wps:spPr bwMode="auto">
                          <a:xfrm>
                            <a:off x="6314" y="7151"/>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A621E" w14:textId="77777777" w:rsidR="00847E53" w:rsidRDefault="00847E53" w:rsidP="001F04FD"/>
                          </w:txbxContent>
                        </wps:txbx>
                        <wps:bodyPr rot="0" vert="horz" wrap="none" lIns="0" tIns="0" rIns="0" bIns="0" anchor="t" anchorCtr="0" upright="1">
                          <a:spAutoFit/>
                        </wps:bodyPr>
                      </wps:wsp>
                      <wps:wsp>
                        <wps:cNvPr id="3146" name="Rectangle 315"/>
                        <wps:cNvSpPr>
                          <a:spLocks noChangeArrowheads="1"/>
                        </wps:cNvSpPr>
                        <wps:spPr bwMode="auto">
                          <a:xfrm>
                            <a:off x="6452" y="7333"/>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BB055" w14:textId="77777777" w:rsidR="00847E53" w:rsidRDefault="00847E53" w:rsidP="001F04FD"/>
                          </w:txbxContent>
                        </wps:txbx>
                        <wps:bodyPr rot="0" vert="horz" wrap="none" lIns="0" tIns="0" rIns="0" bIns="0" anchor="t" anchorCtr="0" upright="1">
                          <a:spAutoFit/>
                        </wps:bodyPr>
                      </wps:wsp>
                      <wps:wsp>
                        <wps:cNvPr id="3147"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48" name="Group 317"/>
                        <wpg:cNvGrpSpPr>
                          <a:grpSpLocks/>
                        </wpg:cNvGrpSpPr>
                        <wpg:grpSpPr bwMode="auto">
                          <a:xfrm>
                            <a:off x="2419" y="3529"/>
                            <a:ext cx="1343" cy="3634"/>
                            <a:chOff x="2419" y="2729"/>
                            <a:chExt cx="1343" cy="3634"/>
                          </a:xfrm>
                        </wpg:grpSpPr>
                        <wps:wsp>
                          <wps:cNvPr id="314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20"/>
                        <wpg:cNvGrpSpPr>
                          <a:grpSpLocks/>
                        </wpg:cNvGrpSpPr>
                        <wpg:grpSpPr bwMode="auto">
                          <a:xfrm>
                            <a:off x="2419" y="6705"/>
                            <a:ext cx="1343" cy="511"/>
                            <a:chOff x="2419" y="6363"/>
                            <a:chExt cx="1343" cy="569"/>
                          </a:xfrm>
                        </wpg:grpSpPr>
                        <wps:wsp>
                          <wps:cNvPr id="315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4" name="Rectangle 323"/>
                        <wps:cNvSpPr>
                          <a:spLocks noChangeArrowheads="1"/>
                        </wps:cNvSpPr>
                        <wps:spPr bwMode="auto">
                          <a:xfrm>
                            <a:off x="2188" y="651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518AC"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315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1A9AC" w14:textId="77777777" w:rsidR="00847E53" w:rsidRDefault="00847E53" w:rsidP="001F04FD">
                              <w:r>
                                <w:rPr>
                                  <w:color w:val="000000"/>
                                  <w:sz w:val="18"/>
                                  <w:szCs w:val="18"/>
                                </w:rPr>
                                <w:t>0</w:t>
                              </w:r>
                            </w:p>
                          </w:txbxContent>
                        </wps:txbx>
                        <wps:bodyPr rot="0" vert="horz" wrap="square" lIns="0" tIns="0" rIns="0" bIns="0" anchor="t" anchorCtr="0" upright="1">
                          <a:noAutofit/>
                        </wps:bodyPr>
                      </wps:wsp>
                      <wpg:grpSp>
                        <wpg:cNvPr id="3156" name="Group 325"/>
                        <wpg:cNvGrpSpPr>
                          <a:grpSpLocks/>
                        </wpg:cNvGrpSpPr>
                        <wpg:grpSpPr bwMode="auto">
                          <a:xfrm>
                            <a:off x="2419" y="4330"/>
                            <a:ext cx="1343" cy="1655"/>
                            <a:chOff x="2419" y="3530"/>
                            <a:chExt cx="1343" cy="1855"/>
                          </a:xfrm>
                        </wpg:grpSpPr>
                        <wps:wsp>
                          <wps:cNvPr id="3157"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9" name="Rectangle 328"/>
                        <wps:cNvSpPr>
                          <a:spLocks noChangeArrowheads="1"/>
                        </wps:cNvSpPr>
                        <wps:spPr bwMode="auto">
                          <a:xfrm>
                            <a:off x="2221" y="605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CE234"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3160" name="Rectangle 329"/>
                        <wps:cNvSpPr>
                          <a:spLocks noChangeArrowheads="1"/>
                        </wps:cNvSpPr>
                        <wps:spPr bwMode="auto">
                          <a:xfrm>
                            <a:off x="2209" y="419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7FA76" w14:textId="77777777" w:rsidR="00847E53" w:rsidRDefault="00847E53" w:rsidP="001F04FD">
                              <w:r>
                                <w:rPr>
                                  <w:color w:val="000000"/>
                                  <w:sz w:val="18"/>
                                  <w:szCs w:val="18"/>
                                </w:rPr>
                                <w:t>-</w:t>
                              </w:r>
                            </w:p>
                          </w:txbxContent>
                        </wps:txbx>
                        <wps:bodyPr rot="0" vert="horz" wrap="none" lIns="0" tIns="0" rIns="0" bIns="0" anchor="t" anchorCtr="0" upright="1">
                          <a:spAutoFit/>
                        </wps:bodyPr>
                      </wps:wsp>
                      <wpg:grpSp>
                        <wpg:cNvPr id="3161" name="Group 330"/>
                        <wpg:cNvGrpSpPr>
                          <a:grpSpLocks/>
                        </wpg:cNvGrpSpPr>
                        <wpg:grpSpPr bwMode="auto">
                          <a:xfrm>
                            <a:off x="2472" y="3584"/>
                            <a:ext cx="1169" cy="652"/>
                            <a:chOff x="2472" y="2784"/>
                            <a:chExt cx="1169" cy="652"/>
                          </a:xfrm>
                        </wpg:grpSpPr>
                        <wps:wsp>
                          <wps:cNvPr id="3162"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4"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11BAA" w14:textId="77777777" w:rsidR="00847E53" w:rsidRDefault="00847E53" w:rsidP="001F04FD">
                              <w:r>
                                <w:rPr>
                                  <w:color w:val="000000"/>
                                  <w:sz w:val="16"/>
                                  <w:szCs w:val="16"/>
                                </w:rPr>
                                <w:t xml:space="preserve"> </w:t>
                              </w:r>
                            </w:p>
                          </w:txbxContent>
                        </wps:txbx>
                        <wps:bodyPr rot="0" vert="horz" wrap="none" lIns="0" tIns="0" rIns="0" bIns="0" anchor="t" anchorCtr="0" upright="1">
                          <a:spAutoFit/>
                        </wps:bodyPr>
                      </wps:wsp>
                      <wps:wsp>
                        <wps:cNvPr id="3165"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E3561" w14:textId="77777777" w:rsidR="00847E53" w:rsidRDefault="00847E53" w:rsidP="001F04FD">
                              <w:r>
                                <w:rPr>
                                  <w:color w:val="000000"/>
                                  <w:sz w:val="16"/>
                                  <w:szCs w:val="16"/>
                                </w:rPr>
                                <w:t>Increase</w:t>
                              </w:r>
                            </w:p>
                          </w:txbxContent>
                        </wps:txbx>
                        <wps:bodyPr rot="0" vert="horz" wrap="none" lIns="0" tIns="0" rIns="0" bIns="0" anchor="t" anchorCtr="0" upright="1">
                          <a:spAutoFit/>
                        </wps:bodyPr>
                      </wps:wsp>
                      <wpg:grpSp>
                        <wpg:cNvPr id="3166" name="Group 335"/>
                        <wpg:cNvGrpSpPr>
                          <a:grpSpLocks/>
                        </wpg:cNvGrpSpPr>
                        <wpg:grpSpPr bwMode="auto">
                          <a:xfrm>
                            <a:off x="2499" y="6165"/>
                            <a:ext cx="1169" cy="540"/>
                            <a:chOff x="2499" y="5460"/>
                            <a:chExt cx="1169" cy="712"/>
                          </a:xfrm>
                        </wpg:grpSpPr>
                        <wps:wsp>
                          <wps:cNvPr id="3167"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9"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3D2B8" w14:textId="77777777" w:rsidR="00847E53" w:rsidRDefault="00847E53" w:rsidP="001F04FD">
                              <w:r>
                                <w:rPr>
                                  <w:color w:val="000000"/>
                                  <w:sz w:val="16"/>
                                  <w:szCs w:val="16"/>
                                </w:rPr>
                                <w:t xml:space="preserve">Generation </w:t>
                              </w:r>
                            </w:p>
                          </w:txbxContent>
                        </wps:txbx>
                        <wps:bodyPr rot="0" vert="horz" wrap="none" lIns="0" tIns="0" rIns="0" bIns="0" anchor="t" anchorCtr="0" upright="1">
                          <a:spAutoFit/>
                        </wps:bodyPr>
                      </wps:wsp>
                      <wps:wsp>
                        <wps:cNvPr id="3170"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F2836" w14:textId="77777777" w:rsidR="00847E53" w:rsidRDefault="00847E53" w:rsidP="001F04FD">
                              <w:r>
                                <w:rPr>
                                  <w:color w:val="000000"/>
                                  <w:sz w:val="16"/>
                                  <w:szCs w:val="16"/>
                                </w:rPr>
                                <w:t>Decrease</w:t>
                              </w:r>
                            </w:p>
                          </w:txbxContent>
                        </wps:txbx>
                        <wps:bodyPr rot="0" vert="horz" wrap="none" lIns="0" tIns="0" rIns="0" bIns="0" anchor="t" anchorCtr="0" upright="1">
                          <a:spAutoFit/>
                        </wps:bodyPr>
                      </wps:wsp>
                      <wps:wsp>
                        <wps:cNvPr id="3171"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72"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3"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4"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5"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C06A4" w14:textId="77777777" w:rsidR="00847E53" w:rsidRDefault="00847E53" w:rsidP="001F04FD">
                              <w:r>
                                <w:rPr>
                                  <w:color w:val="000000"/>
                                  <w:sz w:val="18"/>
                                  <w:szCs w:val="18"/>
                                </w:rPr>
                                <w:t>Ramp</w:t>
                              </w:r>
                            </w:p>
                          </w:txbxContent>
                        </wps:txbx>
                        <wps:bodyPr rot="0" vert="horz" wrap="none" lIns="0" tIns="0" rIns="0" bIns="0" anchor="t" anchorCtr="0" upright="1">
                          <a:spAutoFit/>
                        </wps:bodyPr>
                      </wps:wsp>
                      <wps:wsp>
                        <wps:cNvPr id="3176" name="Rectangle 345"/>
                        <wps:cNvSpPr>
                          <a:spLocks noChangeArrowheads="1"/>
                        </wps:cNvSpPr>
                        <wps:spPr bwMode="auto">
                          <a:xfrm>
                            <a:off x="3334" y="4900"/>
                            <a:ext cx="3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CB044" w14:textId="77777777" w:rsidR="00847E53" w:rsidRDefault="00847E53" w:rsidP="001F04FD">
                              <w:r>
                                <w:rPr>
                                  <w:color w:val="000000"/>
                                  <w:sz w:val="18"/>
                                  <w:szCs w:val="18"/>
                                </w:rPr>
                                <w:t>Rate</w:t>
                              </w:r>
                            </w:p>
                          </w:txbxContent>
                        </wps:txbx>
                        <wps:bodyPr rot="0" vert="horz" wrap="none" lIns="0" tIns="0" rIns="0" bIns="0" anchor="t" anchorCtr="0" upright="1">
                          <a:spAutoFit/>
                        </wps:bodyPr>
                      </wps:wsp>
                      <wps:wsp>
                        <wps:cNvPr id="3177" name="Rectangle 346"/>
                        <wps:cNvSpPr>
                          <a:spLocks noChangeArrowheads="1"/>
                        </wps:cNvSpPr>
                        <wps:spPr bwMode="auto">
                          <a:xfrm>
                            <a:off x="2683" y="7413"/>
                            <a:ext cx="72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551E3" w14:textId="77777777" w:rsidR="00847E53" w:rsidRDefault="00847E53" w:rsidP="001F04FD">
                              <w:r>
                                <w:rPr>
                                  <w:color w:val="000000"/>
                                  <w:sz w:val="18"/>
                                  <w:szCs w:val="18"/>
                                </w:rPr>
                                <w:t>5 Minutes</w:t>
                              </w:r>
                            </w:p>
                          </w:txbxContent>
                        </wps:txbx>
                        <wps:bodyPr rot="0" vert="horz" wrap="none" lIns="0" tIns="0" rIns="0" bIns="0" anchor="t" anchorCtr="0" upright="1">
                          <a:spAutoFit/>
                        </wps:bodyPr>
                      </wps:wsp>
                      <wps:wsp>
                        <wps:cNvPr id="3178" name="Rectangle 347"/>
                        <wps:cNvSpPr>
                          <a:spLocks noChangeArrowheads="1"/>
                        </wps:cNvSpPr>
                        <wps:spPr bwMode="auto">
                          <a:xfrm>
                            <a:off x="6314" y="7151"/>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67455" w14:textId="77777777" w:rsidR="00847E53" w:rsidRDefault="00847E53" w:rsidP="001F04FD"/>
                          </w:txbxContent>
                        </wps:txbx>
                        <wps:bodyPr rot="0" vert="horz" wrap="none" lIns="0" tIns="0" rIns="0" bIns="0" anchor="t" anchorCtr="0" upright="1">
                          <a:spAutoFit/>
                        </wps:bodyPr>
                      </wps:wsp>
                      <wps:wsp>
                        <wps:cNvPr id="3179" name="Rectangle 348"/>
                        <wps:cNvSpPr>
                          <a:spLocks noChangeArrowheads="1"/>
                        </wps:cNvSpPr>
                        <wps:spPr bwMode="auto">
                          <a:xfrm>
                            <a:off x="6452" y="7333"/>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357FF" w14:textId="77777777" w:rsidR="00847E53" w:rsidRDefault="00847E53" w:rsidP="001F04FD"/>
                          </w:txbxContent>
                        </wps:txbx>
                        <wps:bodyPr rot="0" vert="horz" wrap="none" lIns="0" tIns="0" rIns="0" bIns="0" anchor="t" anchorCtr="0" upright="1">
                          <a:spAutoFit/>
                        </wps:bodyPr>
                      </wps:wsp>
                      <wps:wsp>
                        <wps:cNvPr id="3180"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1"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2"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F910D" w14:textId="77777777" w:rsidR="00847E53" w:rsidRDefault="00847E53" w:rsidP="001F04FD"/>
                          </w:txbxContent>
                        </wps:txbx>
                        <wps:bodyPr rot="0" vert="horz" wrap="none" lIns="0" tIns="0" rIns="0" bIns="0" anchor="t" anchorCtr="0" upright="1">
                          <a:spAutoFit/>
                        </wps:bodyPr>
                      </wps:wsp>
                      <wps:wsp>
                        <wps:cNvPr id="3183"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29F46" w14:textId="77777777" w:rsidR="00847E53" w:rsidRDefault="00847E53" w:rsidP="001F04FD">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D8661F8" id="Group 212" o:spid="_x0000_s1216" style="position:absolute;margin-left:16.9pt;margin-top:11.5pt;width:420.5pt;height:243.1pt;z-index:251652096"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">
                <v:line id="Line 213" o:spid="_x0000_s1217" style="position:absolute;visibility:visible;mso-wrap-style:square" from="6681,5741" to="668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" strokeweight=".65pt">
                  <v:stroke endcap="round"/>
                </v:line>
                <v:line id="Line 214" o:spid="_x0000_s1218" style="position:absolute;visibility:visible;mso-wrap-style:square" from="8642,5741" to="8643,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" strokeweight=".65pt">
                  <v:stroke endcap="round"/>
                </v:line>
                <v:rect id="Rectangle 215" o:spid="_x0000_s1219" style="position:absolute;left:6443;top:5904;width:47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" stroked="f"/>
                <v:rect id="Rectangle 216" o:spid="_x0000_s1220" style="position:absolute;left:6562;top:5968;width:213;height:1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" filled="f" stroked="f">
                  <v:textbox style="mso-fit-shape-to-text:t" inset="0,0,0,0">
                    <w:txbxContent>
                      <w:p w14:paraId="66EA7E07" w14:textId="77777777" w:rsidR="00847E53" w:rsidRDefault="00847E53" w:rsidP="001F04FD">
                        <w:r>
                          <w:rPr>
                            <w:color w:val="000000"/>
                            <w:sz w:val="12"/>
                            <w:szCs w:val="12"/>
                          </w:rPr>
                          <w:t>LSL</w:t>
                        </w:r>
                      </w:p>
                    </w:txbxContent>
                  </v:textbox>
                </v:rect>
                <v:rect id="Rectangle 217" o:spid="_x0000_s1221" style="position:absolute;left:8391;top:5906;width:485;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" stroked="f"/>
                <v:rect id="Rectangle 218" o:spid="_x0000_s1222" style="position:absolute;left:8510;top:5970;width:227;height:1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" filled="f" stroked="f">
                  <v:textbox style="mso-fit-shape-to-text:t" inset="0,0,0,0">
                    <w:txbxContent>
                      <w:p w14:paraId="7234D1D1" w14:textId="77777777" w:rsidR="00847E53" w:rsidRDefault="00847E53" w:rsidP="001F04FD">
                        <w:r>
                          <w:rPr>
                            <w:color w:val="000000"/>
                            <w:sz w:val="12"/>
                            <w:szCs w:val="12"/>
                          </w:rPr>
                          <w:t>HSL</w:t>
                        </w:r>
                      </w:p>
                    </w:txbxContent>
                  </v:textbox>
                </v:rect>
                <v:group id="Group 219" o:spid="_x0000_s1223"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">
                  <v:rect id="Rectangle 220" o:spid="_x0000_s1224"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" fillcolor="#bbe0e3" stroked="f"/>
                  <v:rect id="Rectangle 221" o:spid="_x0000_s1225"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" filled="f" strokeweight=".65pt">
                    <v:stroke endcap="round"/>
                  </v:rect>
                </v:group>
                <v:shape id="Freeform 222" o:spid="_x0000_s1226" style="position:absolute;left:2409;top:7165;width:6604;height:102;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227" style="position:absolute;left:9446;top:7096;width:507;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" filled="f" stroked="f">
                  <v:textbox style="mso-fit-shape-to-text:t" inset="0,0,0,0">
                    <w:txbxContent>
                      <w:p w14:paraId="26816DB8" w14:textId="77777777" w:rsidR="00847E53" w:rsidRDefault="00847E53" w:rsidP="001F04FD">
                        <w:r>
                          <w:rPr>
                            <w:color w:val="000000"/>
                          </w:rPr>
                          <w:t>Time</w:t>
                        </w:r>
                      </w:p>
                    </w:txbxContent>
                  </v:textbox>
                </v:rect>
                <v:group id="Group 224" o:spid="_x0000_s1228" style="position:absolute;left:2419;top:6647;width:1343;height:569"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">
                  <v:rect id="Rectangle 225" o:spid="_x0000_s1229"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" fillcolor="#099" stroked="f"/>
                  <v:rect id="Rectangle 226" o:spid="_x0000_s1230"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" filled="f" strokeweight=".65pt">
                    <v:stroke endcap="round"/>
                  </v:rect>
                </v:group>
                <v:rect id="Rectangle 227" o:spid="_x0000_s1231" style="position:absolute;left:1840;top:6519;width:32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" filled="f" stroked="f">
                  <v:textbox style="mso-fit-shape-to-text:t" inset="0,0,0,0">
                    <w:txbxContent>
                      <w:p w14:paraId="14CD9E0F" w14:textId="77777777" w:rsidR="00847E53" w:rsidRDefault="00847E53" w:rsidP="001F04FD">
                        <w:r>
                          <w:rPr>
                            <w:color w:val="000000"/>
                            <w:sz w:val="18"/>
                            <w:szCs w:val="18"/>
                          </w:rPr>
                          <w:t>LSL</w:t>
                        </w:r>
                      </w:p>
                    </w:txbxContent>
                  </v:textbox>
                </v:rect>
                <v:rect id="Rectangle 228" o:spid="_x0000_s1232" style="position:absolute;left:2188;top:651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" filled="f" stroked="f">
                  <v:textbox style="mso-fit-shape-to-text:t" inset="0,0,0,0">
                    <w:txbxContent>
                      <w:p w14:paraId="2F75AD2E" w14:textId="77777777" w:rsidR="00847E53" w:rsidRDefault="00847E53" w:rsidP="001F04FD">
                        <w:r>
                          <w:rPr>
                            <w:color w:val="000000"/>
                            <w:sz w:val="18"/>
                            <w:szCs w:val="18"/>
                          </w:rPr>
                          <w:t>-</w:t>
                        </w:r>
                      </w:p>
                    </w:txbxContent>
                  </v:textbox>
                </v:rect>
                <v:rect id="Rectangle 229" o:spid="_x0000_s1233" style="position:absolute;left:2160;top:7343;width:189;height:17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" filled="f" stroked="f">
                  <v:textbox inset="0,0,0,0">
                    <w:txbxContent>
                      <w:p w14:paraId="16271354" w14:textId="77777777" w:rsidR="00847E53" w:rsidRDefault="00847E53" w:rsidP="001F04FD"/>
                    </w:txbxContent>
                  </v:textbox>
                </v:rect>
                <v:group id="Group 230" o:spid="_x0000_s1234" style="position:absolute;left:2419;top:4330;width:1343;height:18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">
                  <v:rect id="Rectangle 231" o:spid="_x0000_s1235"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" fillcolor="#ff9" stroked="f"/>
                  <v:rect id="Rectangle 232" o:spid="_x0000_s1236"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" filled="f" strokeweight=".65pt">
                    <v:stroke endcap="round"/>
                  </v:rect>
                </v:group>
                <v:rect id="Rectangle 233" o:spid="_x0000_s1237" style="position:absolute;left:1731;top:6053;width:451;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" filled="f" stroked="f">
                  <v:textbox style="mso-fit-shape-to-text:t" inset="0,0,0,0">
                    <w:txbxContent>
                      <w:p w14:paraId="21CD30D7" w14:textId="77777777" w:rsidR="00847E53" w:rsidRDefault="00847E53" w:rsidP="001F04FD">
                        <w:r>
                          <w:rPr>
                            <w:color w:val="000000"/>
                            <w:sz w:val="18"/>
                            <w:szCs w:val="18"/>
                          </w:rPr>
                          <w:t>LASL</w:t>
                        </w:r>
                      </w:p>
                    </w:txbxContent>
                  </v:textbox>
                </v:rect>
                <v:rect id="Rectangle 234" o:spid="_x0000_s1238" style="position:absolute;left:2221;top:6053;width:6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" filled="f" stroked="f">
                  <v:textbox style="mso-fit-shape-to-text:t" inset="0,0,0,0">
                    <w:txbxContent>
                      <w:p w14:paraId="7EB59435" w14:textId="77777777" w:rsidR="00847E53" w:rsidRDefault="00847E53" w:rsidP="001F04FD">
                        <w:r>
                          <w:rPr>
                            <w:color w:val="000000"/>
                            <w:sz w:val="18"/>
                            <w:szCs w:val="18"/>
                          </w:rPr>
                          <w:t>-</w:t>
                        </w:r>
                      </w:p>
                    </w:txbxContent>
                  </v:textbox>
                </v:rect>
                <v:rect id="Rectangle 235" o:spid="_x0000_s1239" style="position:absolute;left:1698;top:4199;width:47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" filled="f" stroked="f">
                  <v:textbox style="mso-fit-shape-to-text:t" inset="0,0,0,0">
                    <w:txbxContent>
                      <w:p w14:paraId="03DC60B0" w14:textId="77777777" w:rsidR="00847E53" w:rsidRDefault="00847E53" w:rsidP="001F04FD">
                        <w:r>
                          <w:rPr>
                            <w:color w:val="000000"/>
                            <w:sz w:val="18"/>
                            <w:szCs w:val="18"/>
                          </w:rPr>
                          <w:t>HASL</w:t>
                        </w:r>
                      </w:p>
                    </w:txbxContent>
                  </v:textbox>
                </v:rect>
                <v:rect id="Rectangle 236" o:spid="_x0000_s1240" style="position:absolute;left:2209;top:419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" filled="f" stroked="f">
                  <v:textbox style="mso-fit-shape-to-text:t" inset="0,0,0,0">
                    <w:txbxContent>
                      <w:p w14:paraId="1E337043" w14:textId="77777777" w:rsidR="00847E53" w:rsidRDefault="00847E53" w:rsidP="001F04FD">
                        <w:r>
                          <w:rPr>
                            <w:color w:val="000000"/>
                            <w:sz w:val="18"/>
                            <w:szCs w:val="18"/>
                          </w:rPr>
                          <w:t>-</w:t>
                        </w:r>
                      </w:p>
                    </w:txbxContent>
                  </v:textbox>
                </v:rect>
                <v:group id="Group 237" o:spid="_x0000_s1241"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h3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x9j+H5JjwBuf4DAAD//wMAUEsBAi0AFAAGAAgAAAAhANvh9svuAAAAhQEAABMAAAAAAAAA&#10;AAAAAAAAAAAAAFtDb250ZW50X1R5cGVzXS54bWxQSwECLQAUAAYACAAAACEAWvQsW78AAAAVAQAA&#10;CwAAAAAAAAAAAAAAAAAfAQAAX3JlbHMvLnJlbHNQSwECLQAUAAYACAAAACEAijmId8YAAADdAAAA&#10;DwAAAAAAAAAAAAAAAAAHAgAAZHJzL2Rvd25yZXYueG1sUEsFBgAAAAADAAMAtwAAAPoCAAAAAA==&#10;">
                  <v:shape id="Freeform 238" o:spid="_x0000_s1242"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" path="m,202r95,l95,652r979,l1074,202r95,l585,,,202xe" fillcolor="#bbe0e3" stroked="f">
                    <v:path arrowok="t" o:connecttype="custom" o:connectlocs="0,202;95,202;95,652;1074,652;1074,202;1169,202;585,0;0,202" o:connectangles="0,0,0,0,0,0,0,0"/>
                  </v:shape>
                  <v:shape id="Freeform 239" o:spid="_x0000_s1243"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" path="m,202r95,l95,652r979,l1074,202r95,l585,,,202xe" filled="f" strokeweight=".65pt">
                    <v:stroke endcap="round"/>
                    <v:path arrowok="t" o:connecttype="custom" o:connectlocs="0,202;95,202;95,652;1074,652;1074,202;1169,202;585,0;0,202" o:connectangles="0,0,0,0,0,0,0,0"/>
                  </v:shape>
                </v:group>
                <v:rect id="Rectangle 240" o:spid="_x0000_s1244" style="position:absolute;left:2693;top:3808;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" filled="f" stroked="f">
                  <v:textbox style="mso-fit-shape-to-text:t" inset="0,0,0,0">
                    <w:txbxContent>
                      <w:p w14:paraId="156CBB9F" w14:textId="77777777" w:rsidR="00847E53" w:rsidRDefault="00847E53" w:rsidP="001F04FD">
                        <w:r>
                          <w:rPr>
                            <w:color w:val="000000"/>
                            <w:sz w:val="16"/>
                            <w:szCs w:val="16"/>
                          </w:rPr>
                          <w:t xml:space="preserve">Generation </w:t>
                        </w:r>
                      </w:p>
                    </w:txbxContent>
                  </v:textbox>
                </v:rect>
                <v:rect id="Rectangle 241" o:spid="_x0000_s1245"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" filled="f" stroked="f">
                  <v:textbox style="mso-fit-shape-to-text:t" inset="0,0,0,0">
                    <w:txbxContent>
                      <w:p w14:paraId="043F8C64" w14:textId="77777777" w:rsidR="00847E53" w:rsidRDefault="00847E53" w:rsidP="001F04FD">
                        <w:r>
                          <w:rPr>
                            <w:color w:val="000000"/>
                            <w:sz w:val="16"/>
                            <w:szCs w:val="16"/>
                          </w:rPr>
                          <w:t>Increase</w:t>
                        </w:r>
                      </w:p>
                    </w:txbxContent>
                  </v:textbox>
                </v:rect>
                <v:group id="Group 242" o:spid="_x0000_s1246" style="position:absolute;left:2499;top:5744;width:1169;height:712"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">
                  <v:shape id="Freeform 243" o:spid="_x0000_s1247"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" path="m,444r110,l110,r949,l1059,444r110,l584,712,,444xe" fillcolor="#bbe0e3" stroked="f">
                    <v:path arrowok="t" o:connecttype="custom" o:connectlocs="0,444;110,444;110,0;1059,0;1059,444;1169,444;584,712;0,444" o:connectangles="0,0,0,0,0,0,0,0"/>
                  </v:shape>
                  <v:shape id="Freeform 244" o:spid="_x0000_s1248"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" path="m,444r110,l110,r949,l1059,444r110,l584,712,,444xe" filled="f" strokeweight=".65pt">
                    <v:stroke endcap="round"/>
                    <v:path arrowok="t" o:connecttype="custom" o:connectlocs="0,444;110,444;110,0;1059,0;1059,444;1169,444;584,712;0,444" o:connectangles="0,0,0,0,0,0,0,0"/>
                  </v:shape>
                </v:group>
                <v:rect id="Rectangle 245" o:spid="_x0000_s1249" style="position:absolute;left:2718;top:5839;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" filled="f" stroked="f">
                  <v:textbox style="mso-fit-shape-to-text:t" inset="0,0,0,0">
                    <w:txbxContent>
                      <w:p w14:paraId="45BFC0A3" w14:textId="77777777" w:rsidR="00847E53" w:rsidRDefault="00847E53" w:rsidP="001F04FD">
                        <w:r>
                          <w:rPr>
                            <w:color w:val="000000"/>
                            <w:sz w:val="16"/>
                            <w:szCs w:val="16"/>
                          </w:rPr>
                          <w:t xml:space="preserve"> </w:t>
                        </w:r>
                      </w:p>
                    </w:txbxContent>
                  </v:textbox>
                </v:rect>
                <v:rect id="Rectangle 246" o:spid="_x0000_s1250" style="position:absolute;left:2781;top:6021;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" filled="f" stroked="f">
                  <v:textbox style="mso-fit-shape-to-text:t" inset="0,0,0,0">
                    <w:txbxContent>
                      <w:p w14:paraId="1257EDF2" w14:textId="77777777" w:rsidR="00847E53" w:rsidRDefault="00847E53" w:rsidP="001F04FD"/>
                    </w:txbxContent>
                  </v:textbox>
                </v:rect>
                <v:rect id="Rectangle 247" o:spid="_x0000_s1251" style="position:absolute;left:3960;top:6166;width:54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" filled="f" stroked="f">
                  <v:textbox style="mso-fit-shape-to-text:t" inset="0,0,0,0">
                    <w:txbxContent>
                      <w:p w14:paraId="6501B8F4" w14:textId="77777777" w:rsidR="00847E53" w:rsidRDefault="00847E53" w:rsidP="001F04FD">
                        <w:r>
                          <w:rPr>
                            <w:color w:val="000000"/>
                            <w:sz w:val="16"/>
                            <w:szCs w:val="16"/>
                          </w:rPr>
                          <w:t xml:space="preserve">Services </w:t>
                        </w:r>
                      </w:p>
                    </w:txbxContent>
                  </v:textbox>
                </v:rect>
                <v:rect id="Rectangle 248" o:spid="_x0000_s1252" style="position:absolute;left:3960;top:6345;width:920;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" filled="f" stroked="f">
                  <v:textbox style="mso-fit-shape-to-text:t" inset="0,0,0,0">
                    <w:txbxContent>
                      <w:p w14:paraId="3197E576" w14:textId="77777777" w:rsidR="00847E53" w:rsidRDefault="00847E53" w:rsidP="001F04FD">
                        <w:r>
                          <w:rPr>
                            <w:color w:val="000000"/>
                            <w:sz w:val="16"/>
                            <w:szCs w:val="16"/>
                          </w:rPr>
                          <w:t xml:space="preserve">Provided: Reg </w:t>
                        </w:r>
                      </w:p>
                    </w:txbxContent>
                  </v:textbox>
                </v:rect>
                <v:rect id="Rectangle 249" o:spid="_x0000_s1253" style="position:absolute;left:3960;top:6525;width:392;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" filled="f" stroked="f">
                  <v:textbox style="mso-fit-shape-to-text:t" inset="0,0,0,0">
                    <w:txbxContent>
                      <w:p w14:paraId="6D10C2EE" w14:textId="77777777" w:rsidR="00847E53" w:rsidRDefault="00847E53" w:rsidP="001F04FD">
                        <w:r>
                          <w:rPr>
                            <w:color w:val="000000"/>
                            <w:sz w:val="16"/>
                            <w:szCs w:val="16"/>
                          </w:rPr>
                          <w:t>Down</w:t>
                        </w:r>
                      </w:p>
                    </w:txbxContent>
                  </v:textbox>
                </v:rect>
                <v:rect id="Rectangle 250" o:spid="_x0000_s1254" style="position:absolute;left:3839;top:3575;width:1196;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" filled="f" stroked="f">
                  <v:textbox style="mso-fit-shape-to-text:t" inset="0,0,0,0">
                    <w:txbxContent>
                      <w:p w14:paraId="74F3B99B" w14:textId="77777777" w:rsidR="00847E53" w:rsidRDefault="00847E53" w:rsidP="001F04FD">
                        <w:r>
                          <w:rPr>
                            <w:color w:val="000000"/>
                            <w:sz w:val="16"/>
                            <w:szCs w:val="16"/>
                          </w:rPr>
                          <w:t xml:space="preserve">Provided: Reg Up, </w:t>
                        </w:r>
                      </w:p>
                    </w:txbxContent>
                  </v:textbox>
                </v:rect>
                <v:rect id="Rectangle 251" o:spid="_x0000_s1255" style="position:absolute;left:3839;top:3757;width:1485;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" filled="f" stroked="f">
                  <v:textbox style="mso-fit-shape-to-text:t" inset="0,0,0,0">
                    <w:txbxContent>
                      <w:p w14:paraId="22B9DC32" w14:textId="1664EB7A" w:rsidR="00847E53" w:rsidRDefault="00847E53" w:rsidP="001F04FD">
                        <w:r>
                          <w:rPr>
                            <w:color w:val="000000"/>
                            <w:sz w:val="16"/>
                            <w:szCs w:val="16"/>
                          </w:rPr>
                          <w:t>R</w:t>
                        </w:r>
                        <w:r w:rsidR="00DC32AE">
                          <w:rPr>
                            <w:color w:val="000000"/>
                            <w:sz w:val="16"/>
                            <w:szCs w:val="16"/>
                          </w:rPr>
                          <w:t>RS</w:t>
                        </w:r>
                        <w:r>
                          <w:rPr>
                            <w:color w:val="000000"/>
                            <w:sz w:val="16"/>
                            <w:szCs w:val="16"/>
                          </w:rPr>
                          <w:t xml:space="preserve">, </w:t>
                        </w:r>
                        <w:r w:rsidR="00DC32AE">
                          <w:rPr>
                            <w:color w:val="000000"/>
                            <w:sz w:val="16"/>
                            <w:szCs w:val="16"/>
                          </w:rPr>
                          <w:t xml:space="preserve">ECRS, </w:t>
                        </w:r>
                        <w:r>
                          <w:rPr>
                            <w:color w:val="000000"/>
                            <w:sz w:val="16"/>
                            <w:szCs w:val="16"/>
                          </w:rPr>
                          <w:t xml:space="preserve">Non-Spin </w:t>
                        </w:r>
                      </w:p>
                    </w:txbxContent>
                  </v:textbox>
                </v:rect>
                <v:rect id="Rectangle 252" o:spid="_x0000_s1256" style="position:absolute;left:5013;top:3757;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" filled="f" stroked="f">
                  <v:textbox style="mso-fit-shape-to-text:t" inset="0,0,0,0">
                    <w:txbxContent>
                      <w:p w14:paraId="151454F6" w14:textId="77777777" w:rsidR="00847E53" w:rsidRDefault="00847E53" w:rsidP="001F04FD">
                        <w:r>
                          <w:rPr>
                            <w:color w:val="000000"/>
                            <w:sz w:val="16"/>
                            <w:szCs w:val="16"/>
                          </w:rPr>
                          <w:t xml:space="preserve"> </w:t>
                        </w:r>
                      </w:p>
                    </w:txbxContent>
                  </v:textbox>
                </v:rect>
                <v:rect id="Rectangle 253" o:spid="_x0000_s1257" style="position:absolute;left:3839;top:3939;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" filled="f" stroked="f">
                  <v:textbox style="mso-fit-shape-to-text:t" inset="0,0,0,0">
                    <w:txbxContent>
                      <w:p w14:paraId="14D5B9A2" w14:textId="77777777" w:rsidR="00847E53" w:rsidRDefault="00847E53" w:rsidP="001F04FD"/>
                    </w:txbxContent>
                  </v:textbox>
                </v:rect>
                <v:line id="Line 254" o:spid="_x0000_s1258"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" strokeweight="1.85pt"/>
                <v:rect id="Rectangle 255" o:spid="_x0000_s1259" style="position:absolute;left:1728;top:4970;width:489;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" filled="f" stroked="f">
                  <v:textbox style="mso-fit-shape-to-text:t" inset="0,0,0,0">
                    <w:txbxContent>
                      <w:p w14:paraId="20D69D63" w14:textId="77777777" w:rsidR="00847E53" w:rsidRDefault="00847E53" w:rsidP="001F04FD">
                        <w:r>
                          <w:rPr>
                            <w:color w:val="000000"/>
                            <w:sz w:val="16"/>
                            <w:szCs w:val="16"/>
                          </w:rPr>
                          <w:t>Current</w:t>
                        </w:r>
                      </w:p>
                    </w:txbxContent>
                  </v:textbox>
                </v:rect>
                <v:rect id="Rectangle 256" o:spid="_x0000_s1260" style="position:absolute;left:1639;top:5150;width:658;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" filled="f" stroked="f">
                  <v:textbox style="mso-fit-shape-to-text:t" inset="0,0,0,0">
                    <w:txbxContent>
                      <w:p w14:paraId="6C8D74CB" w14:textId="77777777" w:rsidR="00847E53" w:rsidRDefault="00847E53" w:rsidP="001F04FD">
                        <w:r>
                          <w:rPr>
                            <w:color w:val="000000"/>
                            <w:sz w:val="16"/>
                            <w:szCs w:val="16"/>
                          </w:rPr>
                          <w:t>Telemetry</w:t>
                        </w:r>
                      </w:p>
                    </w:txbxContent>
                  </v:textbox>
                </v:rect>
                <v:shape id="Freeform 257" o:spid="_x0000_s1261"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262" style="position:absolute;left:3960;top:4366;width:37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" filled="f" stroked="f">
                  <v:textbox style="mso-fit-shape-to-text:t" inset="0,0,0,0">
                    <w:txbxContent>
                      <w:p w14:paraId="1CEA0483" w14:textId="77777777" w:rsidR="00847E53" w:rsidRDefault="00847E53" w:rsidP="001F04FD">
                        <w:r>
                          <w:rPr>
                            <w:color w:val="000000"/>
                            <w:sz w:val="18"/>
                            <w:szCs w:val="18"/>
                          </w:rPr>
                          <w:t>HDL</w:t>
                        </w:r>
                      </w:p>
                    </w:txbxContent>
                  </v:textbox>
                </v:rect>
                <v:shape id="Freeform 259" o:spid="_x0000_s1263" style="position:absolute;left:2409;top:5188;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264" style="position:absolute;left:3960;top:5805;width:5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FZ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CgBQVnHAAAA3QAA&#10;AA8AAAAAAAAAAAAAAAAABwIAAGRycy9kb3ducmV2LnhtbFBLBQYAAAAAAwADALcAAAD7AgAAAAA=&#10;" filled="f" stroked="f">
                  <v:textbox inset="0,0,0,0">
                    <w:txbxContent>
                      <w:p w14:paraId="3B3C5363" w14:textId="77777777" w:rsidR="00847E53" w:rsidRDefault="00847E53" w:rsidP="001F04FD">
                        <w:r>
                          <w:rPr>
                            <w:color w:val="000000"/>
                            <w:sz w:val="18"/>
                            <w:szCs w:val="18"/>
                          </w:rPr>
                          <w:t>LDL</w:t>
                        </w:r>
                      </w:p>
                    </w:txbxContent>
                  </v:textbox>
                </v:rect>
                <v:shape id="Freeform 261" o:spid="_x0000_s1265"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266"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" filled="f" stroked="f">
                  <v:textbox style="mso-fit-shape-to-text:t" inset="0,0,0,0">
                    <w:txbxContent>
                      <w:p w14:paraId="06576B5A" w14:textId="77777777" w:rsidR="00847E53" w:rsidRDefault="00847E53" w:rsidP="001F04FD">
                        <w:r>
                          <w:rPr>
                            <w:color w:val="000000"/>
                            <w:sz w:val="18"/>
                            <w:szCs w:val="18"/>
                          </w:rPr>
                          <w:t>Ramp</w:t>
                        </w:r>
                      </w:p>
                    </w:txbxContent>
                  </v:textbox>
                </v:rect>
                <v:rect id="Rectangle 263" o:spid="_x0000_s1267" style="position:absolute;left:3334;top:4900;width:33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" filled="f" stroked="f">
                  <v:textbox style="mso-fit-shape-to-text:t" inset="0,0,0,0">
                    <w:txbxContent>
                      <w:p w14:paraId="30058068" w14:textId="77777777" w:rsidR="00847E53" w:rsidRDefault="00847E53" w:rsidP="001F04FD">
                        <w:r>
                          <w:rPr>
                            <w:color w:val="000000"/>
                            <w:sz w:val="18"/>
                            <w:szCs w:val="18"/>
                          </w:rPr>
                          <w:t>Rate</w:t>
                        </w:r>
                      </w:p>
                    </w:txbxContent>
                  </v:textbox>
                </v:rect>
                <v:rect id="Rectangle 264" o:spid="_x0000_s1268" style="position:absolute;left:2683;top:7414;width:726;height:2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" filled="f" stroked="f">
                  <v:textbox style="mso-fit-shape-to-text:t" inset="0,0,0,0">
                    <w:txbxContent>
                      <w:p w14:paraId="715CD194" w14:textId="77777777" w:rsidR="00847E53" w:rsidRDefault="00847E53" w:rsidP="001F04FD">
                        <w:r>
                          <w:rPr>
                            <w:color w:val="000000"/>
                            <w:sz w:val="18"/>
                            <w:szCs w:val="18"/>
                          </w:rPr>
                          <w:t>5 Minutes</w:t>
                        </w:r>
                      </w:p>
                    </w:txbxContent>
                  </v:textbox>
                </v:rect>
                <v:rect id="Rectangle 265" o:spid="_x0000_s1269" style="position:absolute;left:5162;top:7467;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" filled="f" stroked="f">
                  <v:textbox style="mso-fit-shape-to-text:t" inset="0,0,0,0">
                    <w:txbxContent>
                      <w:p w14:paraId="22C6BC9B" w14:textId="77777777" w:rsidR="00847E53" w:rsidRDefault="00847E53" w:rsidP="001F04FD"/>
                    </w:txbxContent>
                  </v:textbox>
                </v:rect>
                <v:rect id="Rectangle 266" o:spid="_x0000_s1270" style="position:absolute;left:5642;top:7467;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" filled="f" stroked="f">
                  <v:textbox style="mso-fit-shape-to-text:t" inset="0,0,0,0">
                    <w:txbxContent>
                      <w:p w14:paraId="17FC3D08" w14:textId="77777777" w:rsidR="00847E53" w:rsidRDefault="00847E53" w:rsidP="001F04FD"/>
                    </w:txbxContent>
                  </v:textbox>
                </v:rect>
                <v:rect id="Rectangle 267" o:spid="_x0000_s1271" style="position:absolute;left:5711;top:7467;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" filled="f" stroked="f">
                  <v:textbox style="mso-fit-shape-to-text:t" inset="0,0,0,0">
                    <w:txbxContent>
                      <w:p w14:paraId="0F2D621D" w14:textId="77777777" w:rsidR="00847E53" w:rsidRDefault="00847E53" w:rsidP="001F04FD"/>
                    </w:txbxContent>
                  </v:textbox>
                </v:rect>
                <v:rect id="Rectangle 268" o:spid="_x0000_s1272" style="position:absolute;left:1940;top:2879;width:1160;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" filled="f" stroked="f">
                  <v:textbox style="mso-fit-shape-to-text:t" inset="0,0,0,0">
                    <w:txbxContent>
                      <w:p w14:paraId="04C892D2" w14:textId="77777777" w:rsidR="00847E53" w:rsidRDefault="00847E53" w:rsidP="001F04FD">
                        <w:pPr>
                          <w:rPr>
                            <w:u w:val="single"/>
                          </w:rPr>
                        </w:pPr>
                        <w:r>
                          <w:rPr>
                            <w:b/>
                            <w:bCs/>
                            <w:color w:val="000000"/>
                            <w:u w:val="single"/>
                          </w:rPr>
                          <w:t>Generation</w:t>
                        </w:r>
                      </w:p>
                    </w:txbxContent>
                  </v:textbox>
                </v:rect>
                <v:shape id="Freeform 269" o:spid="_x0000_s1273"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274" style="position:absolute;left:5866;top:6825;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" filled="f" stroked="f">
                  <v:textbox style="mso-fit-shape-to-text:t" inset="0,0,0,0">
                    <w:txbxContent>
                      <w:p w14:paraId="4E7A33BE" w14:textId="77777777" w:rsidR="00847E53" w:rsidRDefault="00847E53" w:rsidP="001F04FD"/>
                    </w:txbxContent>
                  </v:textbox>
                </v:rect>
                <v:shape id="Freeform 271" o:spid="_x0000_s1275" style="position:absolute;left:6660;top:3944;width:98;height:1749;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276" style="position:absolute;left:6660;top:5744;width:2595;height:91;visibility:visible;mso-wrap-style:square;v-text-anchor:top" coordsize="52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277" style="position:absolute;left:9253;top:5769;width:560;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" filled="f" stroked="f">
                  <v:textbox style="mso-fit-shape-to-text:t" inset="0,0,0,0">
                    <w:txbxContent>
                      <w:p w14:paraId="7DB967AB" w14:textId="77777777" w:rsidR="00847E53" w:rsidRDefault="00847E53" w:rsidP="001F04FD">
                        <w:r>
                          <w:rPr>
                            <w:color w:val="000000"/>
                            <w:sz w:val="16"/>
                            <w:szCs w:val="16"/>
                          </w:rPr>
                          <w:t>Quantity</w:t>
                        </w:r>
                      </w:p>
                    </w:txbxContent>
                  </v:textbox>
                </v:rect>
                <v:shape id="Freeform 274" o:spid="_x0000_s1278" style="position:absolute;left:6660;top:4640;width:1941;height:1133;visibility:visible;mso-wrap-style:square;v-text-anchor:top" coordsize="194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" path="m,1133c229,1079,1045,988,1368,798,1692,609,1823,167,1941,e" filled="f" strokecolor="#339" strokeweight="1.85pt">
                  <v:path arrowok="t" o:connecttype="custom" o:connectlocs="0,1133;1368,798;1941,0" o:connectangles="0,0,0"/>
                </v:shape>
                <v:rect id="Rectangle 275" o:spid="_x0000_s1279" style="position:absolute;left:6908;top:4403;width:1529;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" filled="f" stroked="f">
                  <v:textbox style="mso-fit-shape-to-text:t" inset="0,0,0,0">
                    <w:txbxContent>
                      <w:p w14:paraId="25E590A9" w14:textId="77777777" w:rsidR="00847E53" w:rsidRDefault="00847E53" w:rsidP="001F04FD">
                        <w:r>
                          <w:rPr>
                            <w:color w:val="000000"/>
                            <w:sz w:val="16"/>
                            <w:szCs w:val="16"/>
                          </w:rPr>
                          <w:t>Offer Curve Generation</w:t>
                        </w:r>
                      </w:p>
                    </w:txbxContent>
                  </v:textbox>
                </v:rect>
                <v:line id="Line 276" o:spid="_x0000_s1280" style="position:absolute;visibility:visible;mso-wrap-style:square" from="6681,5741" to="668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" strokeweight=".65pt">
                  <v:stroke endcap="round"/>
                </v:line>
                <v:line id="Line 277" o:spid="_x0000_s1281" style="position:absolute;visibility:visible;mso-wrap-style:square" from="8642,5741" to="8643,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" strokeweight=".65pt">
                  <v:stroke endcap="round"/>
                </v:line>
                <v:rect id="Rectangle 278" o:spid="_x0000_s1282" style="position:absolute;left:6443;top:5904;width:47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" stroked="f"/>
                <v:rect id="Rectangle 279" o:spid="_x0000_s1283" style="position:absolute;left:6562;top:5968;width:213;height:1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" filled="f" stroked="f">
                  <v:textbox style="mso-fit-shape-to-text:t" inset="0,0,0,0">
                    <w:txbxContent>
                      <w:p w14:paraId="4CA97591" w14:textId="77777777" w:rsidR="00847E53" w:rsidRDefault="00847E53" w:rsidP="001F04FD">
                        <w:r>
                          <w:rPr>
                            <w:color w:val="000000"/>
                            <w:sz w:val="12"/>
                            <w:szCs w:val="12"/>
                          </w:rPr>
                          <w:t>LSL</w:t>
                        </w:r>
                      </w:p>
                    </w:txbxContent>
                  </v:textbox>
                </v:rect>
                <v:rect id="Rectangle 280" o:spid="_x0000_s1284" style="position:absolute;left:8391;top:5906;width:485;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" stroked="f"/>
                <v:rect id="Rectangle 281" o:spid="_x0000_s1285" style="position:absolute;left:8510;top:5970;width:227;height:1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" filled="f" stroked="f">
                  <v:textbox style="mso-fit-shape-to-text:t" inset="0,0,0,0">
                    <w:txbxContent>
                      <w:p w14:paraId="3101F005" w14:textId="77777777" w:rsidR="00847E53" w:rsidRDefault="00847E53" w:rsidP="001F04FD">
                        <w:r>
                          <w:rPr>
                            <w:color w:val="000000"/>
                            <w:sz w:val="12"/>
                            <w:szCs w:val="12"/>
                          </w:rPr>
                          <w:t>HSL</w:t>
                        </w:r>
                      </w:p>
                    </w:txbxContent>
                  </v:textbox>
                </v:rect>
                <v:group id="Group 282" o:spid="_x0000_s1286"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">
                  <v:rect id="Rectangle 283" o:spid="_x0000_s1287"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" fillcolor="#bbe0e3" stroked="f"/>
                  <v:rect id="Rectangle 284" o:spid="_x0000_s1288"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" filled="f" strokeweight=".65pt">
                    <v:stroke endcap="round"/>
                  </v:rect>
                </v:group>
                <v:shape id="Freeform 285" o:spid="_x0000_s1289" style="position:absolute;left:2409;top:7165;width:6604;height:102;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290" style="position:absolute;left:2419;top:6647;width:1343;height:569"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">
                  <v:rect id="Rectangle 287" o:spid="_x0000_s1291"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" fillcolor="#099" stroked="f"/>
                  <v:rect id="Rectangle 288" o:spid="_x0000_s1292"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" filled="f" strokeweight=".65pt">
                    <v:stroke endcap="round"/>
                  </v:rect>
                </v:group>
                <v:rect id="Rectangle 289" o:spid="_x0000_s1293" style="position:absolute;left:2188;top:651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" filled="f" stroked="f">
                  <v:textbox style="mso-fit-shape-to-text:t" inset="0,0,0,0">
                    <w:txbxContent>
                      <w:p w14:paraId="6D8A77CD" w14:textId="77777777" w:rsidR="00847E53" w:rsidRDefault="00847E53" w:rsidP="001F04FD">
                        <w:r>
                          <w:rPr>
                            <w:color w:val="000000"/>
                            <w:sz w:val="18"/>
                            <w:szCs w:val="18"/>
                          </w:rPr>
                          <w:t>-</w:t>
                        </w:r>
                      </w:p>
                    </w:txbxContent>
                  </v:textbox>
                </v:rect>
                <v:group id="Group 290" o:spid="_x0000_s1294" style="position:absolute;left:2419;top:4330;width:1343;height:18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mt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SSwX3N/EJyOwXAAD//wMAUEsBAi0AFAAGAAgAAAAhANvh9svuAAAAhQEAABMAAAAAAAAA&#10;AAAAAAAAAAAAAFtDb250ZW50X1R5cGVzXS54bWxQSwECLQAUAAYACAAAACEAWvQsW78AAAAVAQAA&#10;CwAAAAAAAAAAAAAAAAAfAQAAX3JlbHMvLnJlbHNQSwECLQAUAAYACAAAACEArDMZrcYAAADdAAAA&#10;DwAAAAAAAAAAAAAAAAAHAgAAZHJzL2Rvd25yZXYueG1sUEsFBgAAAAADAAMAtwAAAPoCAAAAAA==&#10;">
                  <v:rect id="Rectangle 291" o:spid="_x0000_s1295"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" fillcolor="#ff9" stroked="f"/>
                  <v:rect id="Rectangle 292" o:spid="_x0000_s1296"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" filled="f" strokeweight=".65pt">
                    <v:stroke endcap="round"/>
                  </v:rect>
                </v:group>
                <v:rect id="Rectangle 293" o:spid="_x0000_s1297" style="position:absolute;left:2221;top:6053;width:6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" filled="f" stroked="f">
                  <v:textbox style="mso-fit-shape-to-text:t" inset="0,0,0,0">
                    <w:txbxContent>
                      <w:p w14:paraId="7C863E9C" w14:textId="77777777" w:rsidR="00847E53" w:rsidRDefault="00847E53" w:rsidP="001F04FD">
                        <w:r>
                          <w:rPr>
                            <w:color w:val="000000"/>
                            <w:sz w:val="18"/>
                            <w:szCs w:val="18"/>
                          </w:rPr>
                          <w:t>-</w:t>
                        </w:r>
                      </w:p>
                    </w:txbxContent>
                  </v:textbox>
                </v:rect>
                <v:rect id="Rectangle 294" o:spid="_x0000_s1298" style="position:absolute;left:2209;top:419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" filled="f" stroked="f">
                  <v:textbox style="mso-fit-shape-to-text:t" inset="0,0,0,0">
                    <w:txbxContent>
                      <w:p w14:paraId="7D345AC3" w14:textId="77777777" w:rsidR="00847E53" w:rsidRDefault="00847E53" w:rsidP="001F04FD">
                        <w:r>
                          <w:rPr>
                            <w:color w:val="000000"/>
                            <w:sz w:val="18"/>
                            <w:szCs w:val="18"/>
                          </w:rPr>
                          <w:t>-</w:t>
                        </w:r>
                      </w:p>
                    </w:txbxContent>
                  </v:textbox>
                </v:rect>
                <v:group id="Group 295" o:spid="_x0000_s1299"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">
                  <v:shape id="Freeform 296" o:spid="_x0000_s1300"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" path="m,202r95,l95,652r979,l1074,202r95,l585,,,202xe" fillcolor="#bbe0e3" stroked="f">
                    <v:path arrowok="t" o:connecttype="custom" o:connectlocs="0,202;95,202;95,652;1074,652;1074,202;1169,202;585,0;0,202" o:connectangles="0,0,0,0,0,0,0,0"/>
                  </v:shape>
                  <v:shape id="Freeform 297" o:spid="_x0000_s1301"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" path="m,202r95,l95,652r979,l1074,202r95,l585,,,202xe" filled="f" strokeweight=".65pt">
                    <v:stroke endcap="round"/>
                    <v:path arrowok="t" o:connecttype="custom" o:connectlocs="0,202;95,202;95,652;1074,652;1074,202;1169,202;585,0;0,202" o:connectangles="0,0,0,0,0,0,0,0"/>
                  </v:shape>
                </v:group>
                <v:rect id="Rectangle 298" o:spid="_x0000_s1302" style="position:absolute;left:2693;top:3808;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" filled="f" stroked="f">
                  <v:textbox style="mso-fit-shape-to-text:t" inset="0,0,0,0">
                    <w:txbxContent>
                      <w:p w14:paraId="57064693" w14:textId="77777777" w:rsidR="00847E53" w:rsidRDefault="00847E53" w:rsidP="001F04FD">
                        <w:r>
                          <w:rPr>
                            <w:color w:val="000000"/>
                            <w:sz w:val="16"/>
                            <w:szCs w:val="16"/>
                          </w:rPr>
                          <w:t xml:space="preserve">Generation </w:t>
                        </w:r>
                      </w:p>
                    </w:txbxContent>
                  </v:textbox>
                </v:rect>
                <v:rect id="Rectangle 299" o:spid="_x0000_s1303"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" filled="f" stroked="f">
                  <v:textbox style="mso-fit-shape-to-text:t" inset="0,0,0,0">
                    <w:txbxContent>
                      <w:p w14:paraId="54EAE1E0" w14:textId="77777777" w:rsidR="00847E53" w:rsidRDefault="00847E53" w:rsidP="001F04FD">
                        <w:r>
                          <w:rPr>
                            <w:color w:val="000000"/>
                            <w:sz w:val="16"/>
                            <w:szCs w:val="16"/>
                          </w:rPr>
                          <w:t>Increase</w:t>
                        </w:r>
                      </w:p>
                    </w:txbxContent>
                  </v:textbox>
                </v:rect>
                <v:group id="Group 300" o:spid="_x0000_s1304" style="position:absolute;left:2499;top:5744;width:1169;height:712"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">
                  <v:shape id="Freeform 301" o:spid="_x0000_s1305"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" path="m,444r110,l110,r949,l1059,444r110,l584,712,,444xe" fillcolor="#bbe0e3" stroked="f">
                    <v:path arrowok="t" o:connecttype="custom" o:connectlocs="0,444;110,444;110,0;1059,0;1059,444;1169,444;584,712;0,444" o:connectangles="0,0,0,0,0,0,0,0"/>
                  </v:shape>
                  <v:shape id="Freeform 302" o:spid="_x0000_s1306"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" path="m,444r110,l110,r949,l1059,444r110,l584,712,,444xe" filled="f" strokeweight=".65pt">
                    <v:stroke endcap="round"/>
                    <v:path arrowok="t" o:connecttype="custom" o:connectlocs="0,444;110,444;110,0;1059,0;1059,444;1169,444;584,712;0,444" o:connectangles="0,0,0,0,0,0,0,0"/>
                  </v:shape>
                </v:group>
                <v:rect id="Rectangle 303" o:spid="_x0000_s1307" style="position:absolute;left:2718;top:5839;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" filled="f" stroked="f">
                  <v:textbox style="mso-fit-shape-to-text:t" inset="0,0,0,0">
                    <w:txbxContent>
                      <w:p w14:paraId="51EB7CB2" w14:textId="77777777" w:rsidR="00847E53" w:rsidRDefault="00847E53" w:rsidP="001F04FD"/>
                    </w:txbxContent>
                  </v:textbox>
                </v:rect>
                <v:rect id="Rectangle 304" o:spid="_x0000_s1308" style="position:absolute;left:2781;top:6021;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" filled="f" stroked="f">
                  <v:textbox style="mso-fit-shape-to-text:t" inset="0,0,0,0">
                    <w:txbxContent>
                      <w:p w14:paraId="07D5C4C5" w14:textId="77777777" w:rsidR="00847E53" w:rsidRDefault="00847E53" w:rsidP="001F04FD"/>
                    </w:txbxContent>
                  </v:textbox>
                </v:rect>
                <v:rect id="Rectangle 305" o:spid="_x0000_s1309" style="position:absolute;left:5013;top:3757;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" filled="f" stroked="f">
                  <v:textbox style="mso-fit-shape-to-text:t" inset="0,0,0,0">
                    <w:txbxContent>
                      <w:p w14:paraId="739F6292" w14:textId="77777777" w:rsidR="00847E53" w:rsidRDefault="00847E53" w:rsidP="001F04FD">
                        <w:r>
                          <w:rPr>
                            <w:color w:val="000000"/>
                            <w:sz w:val="16"/>
                            <w:szCs w:val="16"/>
                          </w:rPr>
                          <w:t xml:space="preserve"> </w:t>
                        </w:r>
                      </w:p>
                    </w:txbxContent>
                  </v:textbox>
                </v:rect>
                <v:line id="Line 306" o:spid="_x0000_s1310"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" strokeweight="1.85pt"/>
                <v:shape id="Freeform 307" o:spid="_x0000_s1311"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312" style="position:absolute;left:2409;top:5188;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313"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314"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" filled="f" stroked="f">
                  <v:textbox style="mso-fit-shape-to-text:t" inset="0,0,0,0">
                    <w:txbxContent>
                      <w:p w14:paraId="31811B11" w14:textId="77777777" w:rsidR="00847E53" w:rsidRDefault="00847E53" w:rsidP="001F04FD">
                        <w:r>
                          <w:rPr>
                            <w:color w:val="000000"/>
                            <w:sz w:val="18"/>
                            <w:szCs w:val="18"/>
                          </w:rPr>
                          <w:t>Ramp</w:t>
                        </w:r>
                      </w:p>
                    </w:txbxContent>
                  </v:textbox>
                </v:rect>
                <v:rect id="Rectangle 311" o:spid="_x0000_s1315" style="position:absolute;left:3334;top:4900;width:33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" filled="f" stroked="f">
                  <v:textbox style="mso-fit-shape-to-text:t" inset="0,0,0,0">
                    <w:txbxContent>
                      <w:p w14:paraId="0D084CC6" w14:textId="77777777" w:rsidR="00847E53" w:rsidRDefault="00847E53" w:rsidP="001F04FD">
                        <w:r>
                          <w:rPr>
                            <w:color w:val="000000"/>
                            <w:sz w:val="18"/>
                            <w:szCs w:val="18"/>
                          </w:rPr>
                          <w:t>Rate</w:t>
                        </w:r>
                      </w:p>
                    </w:txbxContent>
                  </v:textbox>
                </v:rect>
                <v:rect id="Rectangle 312" o:spid="_x0000_s1316" style="position:absolute;left:2683;top:7413;width:725;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" filled="f" stroked="f">
                  <v:textbox style="mso-fit-shape-to-text:t" inset="0,0,0,0">
                    <w:txbxContent>
                      <w:p w14:paraId="563FD3AA" w14:textId="77777777" w:rsidR="00847E53" w:rsidRDefault="00847E53" w:rsidP="001F04FD">
                        <w:r>
                          <w:rPr>
                            <w:color w:val="000000"/>
                            <w:sz w:val="18"/>
                            <w:szCs w:val="18"/>
                          </w:rPr>
                          <w:t>5 Minutes</w:t>
                        </w:r>
                      </w:p>
                    </w:txbxContent>
                  </v:textbox>
                </v:rect>
                <v:rect id="Rectangle 313" o:spid="_x0000_s1317" style="position:absolute;left:5940;top:7544;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" filled="f" stroked="f">
                  <v:textbox style="mso-fit-shape-to-text:t" inset="0,0,0,0">
                    <w:txbxContent>
                      <w:p w14:paraId="6CCCAB2C" w14:textId="77777777" w:rsidR="00847E53" w:rsidRDefault="00847E53" w:rsidP="001F04FD"/>
                    </w:txbxContent>
                  </v:textbox>
                </v:rect>
                <v:rect id="Rectangle 314" o:spid="_x0000_s1318" style="position:absolute;left:6314;top:7151;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" filled="f" stroked="f">
                  <v:textbox style="mso-fit-shape-to-text:t" inset="0,0,0,0">
                    <w:txbxContent>
                      <w:p w14:paraId="755A621E" w14:textId="77777777" w:rsidR="00847E53" w:rsidRDefault="00847E53" w:rsidP="001F04FD"/>
                    </w:txbxContent>
                  </v:textbox>
                </v:rect>
                <v:rect id="Rectangle 315" o:spid="_x0000_s1319" style="position:absolute;left:6452;top:7333;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" filled="f" stroked="f">
                  <v:textbox style="mso-fit-shape-to-text:t" inset="0,0,0,0">
                    <w:txbxContent>
                      <w:p w14:paraId="01ABB055" w14:textId="77777777" w:rsidR="00847E53" w:rsidRDefault="00847E53" w:rsidP="001F04FD"/>
                    </w:txbxContent>
                  </v:textbox>
                </v:rect>
                <v:shape id="Freeform 316" o:spid="_x0000_s1320"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321"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">
                  <v:rect id="Rectangle 318" o:spid="_x0000_s1322"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" fillcolor="#bbe0e3" stroked="f"/>
                  <v:rect id="Rectangle 319" o:spid="_x0000_s1323"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" filled="f" strokeweight=".65pt">
                    <v:stroke endcap="round"/>
                  </v:rect>
                </v:group>
                <v:group id="Group 320" o:spid="_x0000_s1324" style="position:absolute;left:2419;top:6705;width:1343;height:511"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">
                  <v:rect id="Rectangle 321" o:spid="_x0000_s1325"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" fillcolor="#099" stroked="f"/>
                  <v:rect id="Rectangle 322" o:spid="_x0000_s1326"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" filled="f" strokeweight=".65pt">
                    <v:stroke endcap="round"/>
                  </v:rect>
                </v:group>
                <v:rect id="Rectangle 323" o:spid="_x0000_s1327" style="position:absolute;left:2188;top:651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" filled="f" stroked="f">
                  <v:textbox style="mso-fit-shape-to-text:t" inset="0,0,0,0">
                    <w:txbxContent>
                      <w:p w14:paraId="1D2518AC" w14:textId="77777777" w:rsidR="00847E53" w:rsidRDefault="00847E53" w:rsidP="001F04FD">
                        <w:r>
                          <w:rPr>
                            <w:color w:val="000000"/>
                            <w:sz w:val="18"/>
                            <w:szCs w:val="18"/>
                          </w:rPr>
                          <w:t>-</w:t>
                        </w:r>
                      </w:p>
                    </w:txbxContent>
                  </v:textbox>
                </v:rect>
                <v:rect id="Rectangle 324" o:spid="_x0000_s1328" style="position:absolute;left:2079;top:7160;width:179;height:18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" filled="f" stroked="f">
                  <v:textbox inset="0,0,0,0">
                    <w:txbxContent>
                      <w:p w14:paraId="5C91A9AC" w14:textId="77777777" w:rsidR="00847E53" w:rsidRDefault="00847E53" w:rsidP="001F04FD">
                        <w:r>
                          <w:rPr>
                            <w:color w:val="000000"/>
                            <w:sz w:val="18"/>
                            <w:szCs w:val="18"/>
                          </w:rPr>
                          <w:t>0</w:t>
                        </w:r>
                      </w:p>
                    </w:txbxContent>
                  </v:textbox>
                </v:rect>
                <v:group id="Group 325" o:spid="_x0000_s1329" style="position:absolute;left:2419;top:4330;width:1343;height:16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">
                  <v:rect id="Rectangle 326" o:spid="_x0000_s1330"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" fillcolor="#ff9" stroked="f"/>
                  <v:rect id="Rectangle 327" o:spid="_x0000_s1331"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" filled="f" strokeweight=".65pt">
                    <v:stroke endcap="round"/>
                  </v:rect>
                </v:group>
                <v:rect id="Rectangle 328" o:spid="_x0000_s1332" style="position:absolute;left:2221;top:6053;width:6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" filled="f" stroked="f">
                  <v:textbox style="mso-fit-shape-to-text:t" inset="0,0,0,0">
                    <w:txbxContent>
                      <w:p w14:paraId="073CE234" w14:textId="77777777" w:rsidR="00847E53" w:rsidRDefault="00847E53" w:rsidP="001F04FD">
                        <w:r>
                          <w:rPr>
                            <w:color w:val="000000"/>
                            <w:sz w:val="18"/>
                            <w:szCs w:val="18"/>
                          </w:rPr>
                          <w:t>-</w:t>
                        </w:r>
                      </w:p>
                    </w:txbxContent>
                  </v:textbox>
                </v:rect>
                <v:rect id="Rectangle 329" o:spid="_x0000_s1333" style="position:absolute;left:2209;top:419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" filled="f" stroked="f">
                  <v:textbox style="mso-fit-shape-to-text:t" inset="0,0,0,0">
                    <w:txbxContent>
                      <w:p w14:paraId="3997FA76" w14:textId="77777777" w:rsidR="00847E53" w:rsidRDefault="00847E53" w:rsidP="001F04FD">
                        <w:r>
                          <w:rPr>
                            <w:color w:val="000000"/>
                            <w:sz w:val="18"/>
                            <w:szCs w:val="18"/>
                          </w:rPr>
                          <w:t>-</w:t>
                        </w:r>
                      </w:p>
                    </w:txbxContent>
                  </v:textbox>
                </v:rect>
                <v:group id="Group 330" o:spid="_x0000_s1334"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">
                  <v:shape id="Freeform 331" o:spid="_x0000_s1335"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" path="m,202r95,l95,652r979,l1074,202r95,l585,,,202xe" fillcolor="#bbe0e3" stroked="f">
                    <v:path arrowok="t" o:connecttype="custom" o:connectlocs="0,202;95,202;95,652;1074,652;1074,202;1169,202;585,0;0,202" o:connectangles="0,0,0,0,0,0,0,0"/>
                  </v:shape>
                  <v:shape id="Freeform 332" o:spid="_x0000_s1336"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" path="m,202r95,l95,652r979,l1074,202r95,l585,,,202xe" filled="f" strokeweight=".65pt">
                    <v:stroke endcap="round"/>
                    <v:path arrowok="t" o:connecttype="custom" o:connectlocs="0,202;95,202;95,652;1074,652;1074,202;1169,202;585,0;0,202" o:connectangles="0,0,0,0,0,0,0,0"/>
                  </v:shape>
                </v:group>
                <v:rect id="Rectangle 333" o:spid="_x0000_s1337" style="position:absolute;left:2700;top:3740;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" filled="f" stroked="f">
                  <v:textbox style="mso-fit-shape-to-text:t" inset="0,0,0,0">
                    <w:txbxContent>
                      <w:p w14:paraId="70011BAA" w14:textId="77777777" w:rsidR="00847E53" w:rsidRDefault="00847E53" w:rsidP="001F04FD">
                        <w:r>
                          <w:rPr>
                            <w:color w:val="000000"/>
                            <w:sz w:val="16"/>
                            <w:szCs w:val="16"/>
                          </w:rPr>
                          <w:t xml:space="preserve"> </w:t>
                        </w:r>
                      </w:p>
                    </w:txbxContent>
                  </v:textbox>
                </v:rect>
                <v:rect id="Rectangle 334" o:spid="_x0000_s1338"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" filled="f" stroked="f">
                  <v:textbox style="mso-fit-shape-to-text:t" inset="0,0,0,0">
                    <w:txbxContent>
                      <w:p w14:paraId="124E3561" w14:textId="77777777" w:rsidR="00847E53" w:rsidRDefault="00847E53" w:rsidP="001F04FD">
                        <w:r>
                          <w:rPr>
                            <w:color w:val="000000"/>
                            <w:sz w:val="16"/>
                            <w:szCs w:val="16"/>
                          </w:rPr>
                          <w:t>Increase</w:t>
                        </w:r>
                      </w:p>
                    </w:txbxContent>
                  </v:textbox>
                </v:rect>
                <v:group id="Group 335" o:spid="_x0000_s1339" style="position:absolute;left:2499;top:6165;width:1169;height:540"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gZ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">
                  <v:shape id="Freeform 336" o:spid="_x0000_s1340"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" path="m,444r110,l110,r949,l1059,444r110,l584,712,,444xe" fillcolor="#bbe0e3" stroked="f">
                    <v:path arrowok="t" o:connecttype="custom" o:connectlocs="0,444;110,444;110,0;1059,0;1059,444;1169,444;584,712;0,444" o:connectangles="0,0,0,0,0,0,0,0"/>
                  </v:shape>
                  <v:shape id="Freeform 337" o:spid="_x0000_s1341"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" path="m,444r110,l110,r949,l1059,444r110,l584,712,,444xe" filled="f" strokeweight=".65pt">
                    <v:stroke endcap="round"/>
                    <v:path arrowok="t" o:connecttype="custom" o:connectlocs="0,444;110,444;110,0;1059,0;1059,444;1169,444;584,712;0,444" o:connectangles="0,0,0,0,0,0,0,0"/>
                  </v:shape>
                </v:group>
                <v:rect id="Rectangle 338" o:spid="_x0000_s1342" style="position:absolute;left:2700;top:6166;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" filled="f" stroked="f">
                  <v:textbox style="mso-fit-shape-to-text:t" inset="0,0,0,0">
                    <w:txbxContent>
                      <w:p w14:paraId="2843D2B8" w14:textId="77777777" w:rsidR="00847E53" w:rsidRDefault="00847E53" w:rsidP="001F04FD">
                        <w:r>
                          <w:rPr>
                            <w:color w:val="000000"/>
                            <w:sz w:val="16"/>
                            <w:szCs w:val="16"/>
                          </w:rPr>
                          <w:t xml:space="preserve">Generation </w:t>
                        </w:r>
                      </w:p>
                    </w:txbxContent>
                  </v:textbox>
                </v:rect>
                <v:rect id="Rectangle 339" o:spid="_x0000_s1343" style="position:absolute;left:2700;top:6345;width:587;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" filled="f" stroked="f">
                  <v:textbox style="mso-fit-shape-to-text:t" inset="0,0,0,0">
                    <w:txbxContent>
                      <w:p w14:paraId="563F2836" w14:textId="77777777" w:rsidR="00847E53" w:rsidRDefault="00847E53" w:rsidP="001F04FD">
                        <w:r>
                          <w:rPr>
                            <w:color w:val="000000"/>
                            <w:sz w:val="16"/>
                            <w:szCs w:val="16"/>
                          </w:rPr>
                          <w:t>Decrease</w:t>
                        </w:r>
                      </w:p>
                    </w:txbxContent>
                  </v:textbox>
                </v:rect>
                <v:line id="Line 340" o:spid="_x0000_s1344"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" strokeweight="1.85pt"/>
                <v:shape id="Freeform 341" o:spid="_x0000_s1345"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346" style="position:absolute;left:2340;top:5180;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347"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348"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" filled="f" stroked="f">
                  <v:textbox style="mso-fit-shape-to-text:t" inset="0,0,0,0">
                    <w:txbxContent>
                      <w:p w14:paraId="3E5C06A4" w14:textId="77777777" w:rsidR="00847E53" w:rsidRDefault="00847E53" w:rsidP="001F04FD">
                        <w:r>
                          <w:rPr>
                            <w:color w:val="000000"/>
                            <w:sz w:val="18"/>
                            <w:szCs w:val="18"/>
                          </w:rPr>
                          <w:t>Ramp</w:t>
                        </w:r>
                      </w:p>
                    </w:txbxContent>
                  </v:textbox>
                </v:rect>
                <v:rect id="Rectangle 345" o:spid="_x0000_s1349" style="position:absolute;left:3334;top:4900;width:33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" filled="f" stroked="f">
                  <v:textbox style="mso-fit-shape-to-text:t" inset="0,0,0,0">
                    <w:txbxContent>
                      <w:p w14:paraId="65FCB044" w14:textId="77777777" w:rsidR="00847E53" w:rsidRDefault="00847E53" w:rsidP="001F04FD">
                        <w:r>
                          <w:rPr>
                            <w:color w:val="000000"/>
                            <w:sz w:val="18"/>
                            <w:szCs w:val="18"/>
                          </w:rPr>
                          <w:t>Rate</w:t>
                        </w:r>
                      </w:p>
                    </w:txbxContent>
                  </v:textbox>
                </v:rect>
                <v:rect id="Rectangle 346" o:spid="_x0000_s1350" style="position:absolute;left:2683;top:7413;width:725;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" filled="f" stroked="f">
                  <v:textbox style="mso-fit-shape-to-text:t" inset="0,0,0,0">
                    <w:txbxContent>
                      <w:p w14:paraId="52A551E3" w14:textId="77777777" w:rsidR="00847E53" w:rsidRDefault="00847E53" w:rsidP="001F04FD">
                        <w:r>
                          <w:rPr>
                            <w:color w:val="000000"/>
                            <w:sz w:val="18"/>
                            <w:szCs w:val="18"/>
                          </w:rPr>
                          <w:t>5 Minutes</w:t>
                        </w:r>
                      </w:p>
                    </w:txbxContent>
                  </v:textbox>
                </v:rect>
                <v:rect id="Rectangle 347" o:spid="_x0000_s1351" style="position:absolute;left:6314;top:7151;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" filled="f" stroked="f">
                  <v:textbox style="mso-fit-shape-to-text:t" inset="0,0,0,0">
                    <w:txbxContent>
                      <w:p w14:paraId="50C67455" w14:textId="77777777" w:rsidR="00847E53" w:rsidRDefault="00847E53" w:rsidP="001F04FD"/>
                    </w:txbxContent>
                  </v:textbox>
                </v:rect>
                <v:rect id="Rectangle 348" o:spid="_x0000_s1352" style="position:absolute;left:6452;top:7333;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" filled="f" stroked="f">
                  <v:textbox style="mso-fit-shape-to-text:t" inset="0,0,0,0">
                    <w:txbxContent>
                      <w:p w14:paraId="3DD357FF" w14:textId="77777777" w:rsidR="00847E53" w:rsidRDefault="00847E53" w:rsidP="001F04FD"/>
                    </w:txbxContent>
                  </v:textbox>
                </v:rect>
                <v:shape id="Freeform 349" o:spid="_x0000_s1353"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354" style="position:absolute;left:5400;top:3764;width:4649;height:2943;visibility:visible;mso-wrap-style:square;v-text-anchor:top" coordsize="4649,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355" style="position:absolute;left:6012;top:5025;width:276;height:10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" filled="f" stroked="f">
                  <v:textbox style="mso-fit-shape-to-text:t" inset="0,0,0,0">
                    <w:txbxContent>
                      <w:p w14:paraId="0A1F910D" w14:textId="77777777" w:rsidR="00847E53" w:rsidRDefault="00847E53" w:rsidP="001F04FD"/>
                    </w:txbxContent>
                  </v:textbox>
                </v:rect>
                <v:rect id="Rectangle 352" o:spid="_x0000_s1356" style="position:absolute;left:3960;top:5985;width:605;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" filled="f" stroked="f">
                  <v:textbox style="mso-fit-shape-to-text:t" inset="0,0,0,0">
                    <w:txbxContent>
                      <w:p w14:paraId="0BB29F46" w14:textId="77777777" w:rsidR="00847E53" w:rsidRDefault="00847E53" w:rsidP="001F04FD">
                        <w:r>
                          <w:rPr>
                            <w:color w:val="000000"/>
                            <w:sz w:val="16"/>
                            <w:szCs w:val="16"/>
                          </w:rPr>
                          <w:t xml:space="preserve">Ancillary </w:t>
                        </w:r>
                      </w:p>
                    </w:txbxContent>
                  </v:textbox>
                </v:rect>
              </v:group>
            </w:pict>
          </mc:Fallback>
        </mc:AlternateContent>
      </w:r>
      <w:r w:rsidR="001F04FD">
        <w:t>Generation Resources:</w:t>
      </w:r>
    </w:p>
    <w:p w14:paraId="25B8D644" w14:textId="77777777" w:rsidR="001F04FD" w:rsidRDefault="001F04FD" w:rsidP="001F04FD">
      <w:pPr>
        <w:pStyle w:val="BodyTextNumbered"/>
      </w:pPr>
    </w:p>
    <w:p w14:paraId="3F00AC5F" w14:textId="77777777" w:rsidR="001F04FD" w:rsidRDefault="001F04FD" w:rsidP="001F04FD">
      <w:pPr>
        <w:pStyle w:val="BodyTextNumbered"/>
      </w:pPr>
    </w:p>
    <w:p w14:paraId="17E17ECC" w14:textId="77777777" w:rsidR="001F04FD" w:rsidRDefault="001F04FD" w:rsidP="001F04FD">
      <w:pPr>
        <w:pStyle w:val="BodyTextNumbered"/>
      </w:pPr>
    </w:p>
    <w:p w14:paraId="40CA1A1F" w14:textId="77777777" w:rsidR="001F04FD" w:rsidRDefault="001F04FD" w:rsidP="001F04FD">
      <w:pPr>
        <w:pStyle w:val="BodyTextNumbered"/>
      </w:pPr>
    </w:p>
    <w:p w14:paraId="2458F214" w14:textId="77777777" w:rsidR="001F04FD" w:rsidRDefault="001F04FD" w:rsidP="001F04FD">
      <w:pPr>
        <w:pStyle w:val="BodyTextNumbered"/>
      </w:pPr>
    </w:p>
    <w:p w14:paraId="034BA271" w14:textId="77777777" w:rsidR="001F04FD" w:rsidRDefault="001F04FD" w:rsidP="001F04FD">
      <w:pPr>
        <w:pStyle w:val="BodyTextNumbered"/>
      </w:pPr>
    </w:p>
    <w:p w14:paraId="07A36CDF" w14:textId="77777777" w:rsidR="001F04FD" w:rsidRDefault="001F04FD" w:rsidP="001F04FD">
      <w:pPr>
        <w:pStyle w:val="BodyTextNumbered"/>
      </w:pPr>
    </w:p>
    <w:p w14:paraId="239453C0" w14:textId="77777777" w:rsidR="001F04FD" w:rsidRDefault="001F04FD" w:rsidP="001F04FD">
      <w:pPr>
        <w:pStyle w:val="BodyTextNumbered"/>
      </w:pPr>
    </w:p>
    <w:p w14:paraId="0C5DA1B8" w14:textId="77777777" w:rsidR="008A543E" w:rsidRDefault="008A543E" w:rsidP="001F04FD">
      <w:pPr>
        <w:pStyle w:val="BodyTextNumbered"/>
        <w:ind w:left="0" w:firstLine="0"/>
      </w:pPr>
    </w:p>
    <w:p w14:paraId="30C08886" w14:textId="77777777" w:rsidR="00E7745B" w:rsidRDefault="00E7745B" w:rsidP="001F04FD">
      <w:pPr>
        <w:pStyle w:val="BodyTextNumbered"/>
        <w:ind w:left="0" w:firstLine="0"/>
      </w:pPr>
    </w:p>
    <w:p w14:paraId="7F11C42D" w14:textId="0E5A1411" w:rsidR="001F04FD" w:rsidRDefault="00A94020" w:rsidP="001F04FD">
      <w:pPr>
        <w:pStyle w:val="BodyTextNumbered"/>
        <w:ind w:left="0" w:firstLine="0"/>
      </w:pPr>
      <w:r>
        <w:rPr>
          <w:noProof/>
        </w:rPr>
        <w:lastRenderedPageBreak/>
        <mc:AlternateContent>
          <mc:Choice Requires="wpg">
            <w:drawing>
              <wp:anchor distT="0" distB="0" distL="114300" distR="114300" simplePos="0" relativeHeight="251653120" behindDoc="0" locked="0" layoutInCell="1" allowOverlap="1" wp14:anchorId="57696187" wp14:editId="2113AE2B">
                <wp:simplePos x="0" y="0"/>
                <wp:positionH relativeFrom="column">
                  <wp:posOffset>-70485</wp:posOffset>
                </wp:positionH>
                <wp:positionV relativeFrom="paragraph">
                  <wp:posOffset>197485</wp:posOffset>
                </wp:positionV>
                <wp:extent cx="5594985" cy="3010535"/>
                <wp:effectExtent l="0" t="0" r="24765" b="18415"/>
                <wp:wrapNone/>
                <wp:docPr id="197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98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981"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47019" w14:textId="77777777" w:rsidR="00847E53" w:rsidRDefault="00847E53" w:rsidP="001F04FD">
                              <w:r>
                                <w:rPr>
                                  <w:color w:val="000000"/>
                                </w:rPr>
                                <w:t>Time</w:t>
                              </w:r>
                            </w:p>
                          </w:txbxContent>
                        </wps:txbx>
                        <wps:bodyPr rot="0" vert="horz" wrap="none" lIns="0" tIns="0" rIns="0" bIns="0" anchor="t" anchorCtr="0" upright="1">
                          <a:spAutoFit/>
                        </wps:bodyPr>
                      </wps:wsp>
                      <wps:wsp>
                        <wps:cNvPr id="1982"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83"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CE120" w14:textId="77777777" w:rsidR="00847E53" w:rsidRDefault="00847E53" w:rsidP="001F04FD">
                              <w:r>
                                <w:rPr>
                                  <w:color w:val="000000"/>
                                  <w:sz w:val="18"/>
                                  <w:szCs w:val="18"/>
                                </w:rPr>
                                <w:t>LSL = LPC -</w:t>
                              </w:r>
                            </w:p>
                          </w:txbxContent>
                        </wps:txbx>
                        <wps:bodyPr rot="0" vert="horz" wrap="square" lIns="0" tIns="0" rIns="0" bIns="0" anchor="t" anchorCtr="0" upright="1">
                          <a:noAutofit/>
                        </wps:bodyPr>
                      </wps:wsp>
                      <wps:wsp>
                        <wps:cNvPr id="1984" name="Rectangle 23"/>
                        <wps:cNvSpPr>
                          <a:spLocks noChangeArrowheads="1"/>
                        </wps:cNvSpPr>
                        <wps:spPr bwMode="auto">
                          <a:xfrm>
                            <a:off x="1647" y="18750"/>
                            <a:ext cx="3893"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174A2" w14:textId="77777777" w:rsidR="00847E53" w:rsidRDefault="00847E53" w:rsidP="001F04FD">
                              <w:r>
                                <w:rPr>
                                  <w:color w:val="000000"/>
                                  <w:sz w:val="18"/>
                                  <w:szCs w:val="18"/>
                                </w:rPr>
                                <w:t>LASL  -</w:t>
                              </w:r>
                            </w:p>
                          </w:txbxContent>
                        </wps:txbx>
                        <wps:bodyPr rot="0" vert="horz" wrap="square" lIns="0" tIns="0" rIns="0" bIns="0" anchor="t" anchorCtr="0" upright="1">
                          <a:spAutoFit/>
                        </wps:bodyPr>
                      </wps:wsp>
                      <wps:wsp>
                        <wps:cNvPr id="1985"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CCED1" w14:textId="77777777" w:rsidR="00847E53" w:rsidRDefault="00847E53" w:rsidP="001F04FD">
                              <w:r>
                                <w:rPr>
                                  <w:color w:val="000000"/>
                                  <w:sz w:val="18"/>
                                  <w:szCs w:val="18"/>
                                </w:rPr>
                                <w:t>HASL  -</w:t>
                              </w:r>
                            </w:p>
                          </w:txbxContent>
                        </wps:txbx>
                        <wps:bodyPr rot="0" vert="horz" wrap="square" lIns="0" tIns="0" rIns="0" bIns="0" anchor="t" anchorCtr="0" upright="1">
                          <a:spAutoFit/>
                        </wps:bodyPr>
                      </wps:wsp>
                      <wps:wsp>
                        <wps:cNvPr id="1986"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0F699" w14:textId="77777777" w:rsidR="00847E53" w:rsidRDefault="00847E53" w:rsidP="001F04FD">
                              <w:r>
                                <w:rPr>
                                  <w:color w:val="000000"/>
                                  <w:sz w:val="16"/>
                                  <w:szCs w:val="16"/>
                                </w:rPr>
                                <w:t>Ancillary Services Provided: Reg-Down</w:t>
                              </w:r>
                            </w:p>
                          </w:txbxContent>
                        </wps:txbx>
                        <wps:bodyPr rot="0" vert="horz" wrap="square" lIns="0" tIns="0" rIns="0" bIns="0" anchor="t" anchorCtr="0" upright="1">
                          <a:noAutofit/>
                        </wps:bodyPr>
                      </wps:wsp>
                      <wps:wsp>
                        <wps:cNvPr id="1987"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88" name="Rectangle 45"/>
                        <wps:cNvSpPr>
                          <a:spLocks noChangeArrowheads="1"/>
                        </wps:cNvSpPr>
                        <wps:spPr bwMode="auto">
                          <a:xfrm>
                            <a:off x="688" y="13112"/>
                            <a:ext cx="6712"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5C8ED" w14:textId="77777777" w:rsidR="00847E53" w:rsidRDefault="00847E53" w:rsidP="001F04FD">
                              <w:r>
                                <w:rPr>
                                  <w:color w:val="000000"/>
                                  <w:sz w:val="16"/>
                                  <w:szCs w:val="16"/>
                                </w:rPr>
                                <w:t>Current Load</w:t>
                              </w:r>
                            </w:p>
                          </w:txbxContent>
                        </wps:txbx>
                        <wps:bodyPr rot="0" vert="horz" wrap="square" lIns="0" tIns="0" rIns="0" bIns="0" anchor="t" anchorCtr="0" upright="1">
                          <a:spAutoFit/>
                        </wps:bodyPr>
                      </wps:wsp>
                      <wps:wsp>
                        <wps:cNvPr id="1989"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3929F" w14:textId="77777777" w:rsidR="00847E53" w:rsidRDefault="00847E53" w:rsidP="001F04FD">
                              <w:r>
                                <w:rPr>
                                  <w:color w:val="000000"/>
                                  <w:sz w:val="16"/>
                                  <w:szCs w:val="16"/>
                                </w:rPr>
                                <w:t>Telemetry</w:t>
                              </w:r>
                            </w:p>
                          </w:txbxContent>
                        </wps:txbx>
                        <wps:bodyPr rot="0" vert="horz" wrap="square" lIns="0" tIns="0" rIns="0" bIns="0" anchor="t" anchorCtr="0" upright="1">
                          <a:spAutoFit/>
                        </wps:bodyPr>
                      </wps:wsp>
                      <wps:wsp>
                        <wps:cNvPr id="1990" name="Rectangle 48"/>
                        <wps:cNvSpPr>
                          <a:spLocks noChangeArrowheads="1"/>
                        </wps:cNvSpPr>
                        <wps:spPr bwMode="auto">
                          <a:xfrm>
                            <a:off x="16215" y="9315"/>
                            <a:ext cx="336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A2462" w14:textId="77777777" w:rsidR="00847E53" w:rsidRDefault="00847E53" w:rsidP="001F04FD">
                              <w:r>
                                <w:rPr>
                                  <w:color w:val="000000"/>
                                  <w:sz w:val="18"/>
                                  <w:szCs w:val="18"/>
                                </w:rPr>
                                <w:t>HDL</w:t>
                              </w:r>
                            </w:p>
                          </w:txbxContent>
                        </wps:txbx>
                        <wps:bodyPr rot="0" vert="horz" wrap="square" lIns="0" tIns="0" rIns="0" bIns="0" anchor="t" anchorCtr="0" upright="1">
                          <a:spAutoFit/>
                        </wps:bodyPr>
                      </wps:wsp>
                      <wps:wsp>
                        <wps:cNvPr id="1991"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CB72D" w14:textId="77777777" w:rsidR="00847E53" w:rsidRDefault="00847E53" w:rsidP="001F04FD">
                              <w:r>
                                <w:rPr>
                                  <w:color w:val="000000"/>
                                  <w:sz w:val="18"/>
                                  <w:szCs w:val="18"/>
                                </w:rPr>
                                <w:t>LDL</w:t>
                              </w:r>
                            </w:p>
                          </w:txbxContent>
                        </wps:txbx>
                        <wps:bodyPr rot="0" vert="horz" wrap="square" lIns="0" tIns="0" rIns="0" bIns="0" anchor="t" anchorCtr="0" upright="1">
                          <a:noAutofit/>
                        </wps:bodyPr>
                      </wps:wsp>
                      <wps:wsp>
                        <wps:cNvPr id="1992"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3FDC5" w14:textId="77777777" w:rsidR="00847E53" w:rsidRDefault="00847E53" w:rsidP="001F04FD">
                              <w:r>
                                <w:rPr>
                                  <w:color w:val="000000"/>
                                  <w:sz w:val="18"/>
                                  <w:szCs w:val="18"/>
                                </w:rPr>
                                <w:t>5-30 Minutes</w:t>
                              </w:r>
                            </w:p>
                          </w:txbxContent>
                        </wps:txbx>
                        <wps:bodyPr rot="0" vert="horz" wrap="square" lIns="0" tIns="0" rIns="0" bIns="0" anchor="t" anchorCtr="0" upright="1">
                          <a:noAutofit/>
                        </wps:bodyPr>
                      </wps:wsp>
                      <wps:wsp>
                        <wps:cNvPr id="1993"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77CB8" w14:textId="77777777" w:rsidR="00847E53" w:rsidRDefault="00847E53" w:rsidP="001F04FD">
                              <w:pPr>
                                <w:rPr>
                                  <w:u w:val="single"/>
                                </w:rPr>
                              </w:pPr>
                              <w:r>
                                <w:rPr>
                                  <w:b/>
                                  <w:bCs/>
                                  <w:color w:val="000000"/>
                                  <w:u w:val="single"/>
                                </w:rPr>
                                <w:t>Load</w:t>
                              </w:r>
                            </w:p>
                          </w:txbxContent>
                        </wps:txbx>
                        <wps:bodyPr rot="0" vert="horz" wrap="none" lIns="0" tIns="0" rIns="0" bIns="0" anchor="t" anchorCtr="0" upright="1">
                          <a:spAutoFit/>
                        </wps:bodyPr>
                      </wps:wsp>
                      <wps:wsp>
                        <wps:cNvPr id="1994"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5"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6" name="Rectangle 63"/>
                        <wps:cNvSpPr>
                          <a:spLocks noChangeArrowheads="1"/>
                        </wps:cNvSpPr>
                        <wps:spPr bwMode="auto">
                          <a:xfrm>
                            <a:off x="49858" y="18115"/>
                            <a:ext cx="395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93EA9" w14:textId="77777777" w:rsidR="00847E53" w:rsidRDefault="00847E53" w:rsidP="001F04FD">
                              <w:r>
                                <w:rPr>
                                  <w:color w:val="000000"/>
                                  <w:sz w:val="16"/>
                                  <w:szCs w:val="16"/>
                                </w:rPr>
                                <w:t>Quantity</w:t>
                              </w:r>
                            </w:p>
                          </w:txbxContent>
                        </wps:txbx>
                        <wps:bodyPr rot="0" vert="horz" wrap="square" lIns="0" tIns="0" rIns="0" bIns="0" anchor="t" anchorCtr="0" upright="1">
                          <a:spAutoFit/>
                        </wps:bodyPr>
                      </wps:wsp>
                      <wps:wsp>
                        <wps:cNvPr id="1997"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AE41C" w14:textId="77777777" w:rsidR="00847E53" w:rsidRDefault="00847E53" w:rsidP="001F04FD">
                              <w:r>
                                <w:rPr>
                                  <w:color w:val="000000"/>
                                  <w:sz w:val="16"/>
                                  <w:szCs w:val="16"/>
                                </w:rPr>
                                <w:t>Bid Curve Load</w:t>
                              </w:r>
                            </w:p>
                          </w:txbxContent>
                        </wps:txbx>
                        <wps:bodyPr rot="0" vert="horz" wrap="square" lIns="0" tIns="0" rIns="0" bIns="0" anchor="t" anchorCtr="0" upright="1">
                          <a:noAutofit/>
                        </wps:bodyPr>
                      </wps:wsp>
                      <wps:wsp>
                        <wps:cNvPr id="1999"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00"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D34BE" w14:textId="77777777" w:rsidR="00847E53" w:rsidRDefault="00847E53" w:rsidP="001F04FD">
                              <w:r>
                                <w:rPr>
                                  <w:color w:val="000000"/>
                                  <w:sz w:val="12"/>
                                  <w:szCs w:val="12"/>
                                </w:rPr>
                                <w:t>LSL/LPC</w:t>
                              </w:r>
                            </w:p>
                          </w:txbxContent>
                        </wps:txbx>
                        <wps:bodyPr rot="0" vert="horz" wrap="square" lIns="0" tIns="0" rIns="0" bIns="0" anchor="t" anchorCtr="0" upright="1">
                          <a:spAutoFit/>
                        </wps:bodyPr>
                      </wps:wsp>
                      <wps:wsp>
                        <wps:cNvPr id="2001"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830BA" w14:textId="77777777" w:rsidR="00847E53" w:rsidRDefault="00847E53" w:rsidP="001F04FD">
                              <w:r>
                                <w:rPr>
                                  <w:color w:val="000000"/>
                                  <w:sz w:val="12"/>
                                  <w:szCs w:val="12"/>
                                </w:rPr>
                                <w:t>HSL/MPC</w:t>
                              </w:r>
                            </w:p>
                          </w:txbxContent>
                        </wps:txbx>
                        <wps:bodyPr rot="0" vert="horz" wrap="square" lIns="0" tIns="0" rIns="0" bIns="0" anchor="t" anchorCtr="0" upright="1">
                          <a:spAutoFit/>
                        </wps:bodyPr>
                      </wps:wsp>
                      <wpg:grpSp>
                        <wpg:cNvPr id="2002" name="Group 72"/>
                        <wpg:cNvGrpSpPr>
                          <a:grpSpLocks/>
                        </wpg:cNvGrpSpPr>
                        <wpg:grpSpPr bwMode="auto">
                          <a:xfrm>
                            <a:off x="6383" y="4054"/>
                            <a:ext cx="8529" cy="22707"/>
                            <a:chOff x="2419" y="2729"/>
                            <a:chExt cx="1343" cy="3634"/>
                          </a:xfrm>
                        </wpg:grpSpPr>
                        <wps:wsp>
                          <wps:cNvPr id="2003"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6"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2007" name="Group 76"/>
                        <wpg:cNvGrpSpPr>
                          <a:grpSpLocks/>
                        </wpg:cNvGrpSpPr>
                        <wpg:grpSpPr bwMode="auto">
                          <a:xfrm>
                            <a:off x="6383" y="23550"/>
                            <a:ext cx="8529" cy="3555"/>
                            <a:chOff x="2419" y="6363"/>
                            <a:chExt cx="1343" cy="569"/>
                          </a:xfrm>
                        </wpg:grpSpPr>
                        <wps:wsp>
                          <wps:cNvPr id="2008"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80"/>
                        <wpg:cNvGrpSpPr>
                          <a:grpSpLocks/>
                        </wpg:cNvGrpSpPr>
                        <wpg:grpSpPr bwMode="auto">
                          <a:xfrm>
                            <a:off x="6383" y="9057"/>
                            <a:ext cx="8529" cy="11591"/>
                            <a:chOff x="2419" y="3530"/>
                            <a:chExt cx="1343" cy="1855"/>
                          </a:xfrm>
                        </wpg:grpSpPr>
                        <wps:wsp>
                          <wps:cNvPr id="2011"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3"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2014" name="Group 107"/>
                        <wpg:cNvGrpSpPr>
                          <a:grpSpLocks/>
                        </wpg:cNvGrpSpPr>
                        <wpg:grpSpPr bwMode="auto">
                          <a:xfrm>
                            <a:off x="6383" y="4054"/>
                            <a:ext cx="8529" cy="22707"/>
                            <a:chOff x="2419" y="2729"/>
                            <a:chExt cx="1343" cy="3634"/>
                          </a:xfrm>
                        </wpg:grpSpPr>
                        <wps:wsp>
                          <wps:cNvPr id="2015"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110"/>
                        <wpg:cNvGrpSpPr>
                          <a:grpSpLocks/>
                        </wpg:cNvGrpSpPr>
                        <wpg:grpSpPr bwMode="auto">
                          <a:xfrm>
                            <a:off x="6383" y="23895"/>
                            <a:ext cx="8529" cy="3193"/>
                            <a:chOff x="2419" y="6363"/>
                            <a:chExt cx="1343" cy="569"/>
                          </a:xfrm>
                        </wpg:grpSpPr>
                        <wps:wsp>
                          <wps:cNvPr id="2434"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36"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1C3D0" w14:textId="77777777" w:rsidR="00847E53" w:rsidRDefault="00847E53" w:rsidP="001F04FD">
                              <w:r>
                                <w:rPr>
                                  <w:color w:val="000000"/>
                                  <w:sz w:val="18"/>
                                  <w:szCs w:val="18"/>
                                </w:rPr>
                                <w:t>0</w:t>
                              </w:r>
                            </w:p>
                          </w:txbxContent>
                        </wps:txbx>
                        <wps:bodyPr rot="0" vert="horz" wrap="square" lIns="0" tIns="0" rIns="0" bIns="0" anchor="t" anchorCtr="0" upright="1">
                          <a:noAutofit/>
                        </wps:bodyPr>
                      </wps:wsp>
                      <wpg:grpSp>
                        <wpg:cNvPr id="2437" name="Group 115"/>
                        <wpg:cNvGrpSpPr>
                          <a:grpSpLocks/>
                        </wpg:cNvGrpSpPr>
                        <wpg:grpSpPr bwMode="auto">
                          <a:xfrm>
                            <a:off x="6383" y="9057"/>
                            <a:ext cx="8529" cy="10341"/>
                            <a:chOff x="2419" y="3530"/>
                            <a:chExt cx="1343" cy="1855"/>
                          </a:xfrm>
                        </wpg:grpSpPr>
                        <wps:wsp>
                          <wps:cNvPr id="2438"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120"/>
                        <wpg:cNvGrpSpPr>
                          <a:grpSpLocks/>
                        </wpg:cNvGrpSpPr>
                        <wpg:grpSpPr bwMode="auto">
                          <a:xfrm>
                            <a:off x="6728" y="4399"/>
                            <a:ext cx="7423" cy="4074"/>
                            <a:chOff x="2472" y="2784"/>
                            <a:chExt cx="1169" cy="652"/>
                          </a:xfrm>
                        </wpg:grpSpPr>
                        <wps:wsp>
                          <wps:cNvPr id="244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58680" w14:textId="77777777" w:rsidR="00847E53" w:rsidRPr="00364165" w:rsidRDefault="00847E53" w:rsidP="001F04FD">
                              <w:pPr>
                                <w:rPr>
                                  <w:sz w:val="16"/>
                                </w:rPr>
                              </w:pPr>
                              <w:r w:rsidRPr="00364165">
                                <w:rPr>
                                  <w:sz w:val="16"/>
                                </w:rPr>
                                <w:t>Increasing</w:t>
                              </w:r>
                            </w:p>
                          </w:txbxContent>
                        </wps:txbx>
                        <wps:bodyPr rot="0" vert="horz" wrap="none" lIns="0" tIns="0" rIns="0" bIns="0" anchor="t" anchorCtr="0" upright="1">
                          <a:spAutoFit/>
                        </wps:bodyPr>
                      </wps:wsp>
                      <wps:wsp>
                        <wps:cNvPr id="244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8344E" w14:textId="77777777" w:rsidR="00847E53" w:rsidRDefault="00847E53" w:rsidP="001F04FD">
                              <w:r>
                                <w:rPr>
                                  <w:color w:val="000000"/>
                                  <w:sz w:val="16"/>
                                  <w:szCs w:val="16"/>
                                </w:rPr>
                                <w:t>Consumption</w:t>
                              </w:r>
                            </w:p>
                          </w:txbxContent>
                        </wps:txbx>
                        <wps:bodyPr rot="0" vert="horz" wrap="square" lIns="0" tIns="0" rIns="0" bIns="0" anchor="t" anchorCtr="0" upright="1">
                          <a:noAutofit/>
                        </wps:bodyPr>
                      </wps:wsp>
                      <wpg:grpSp>
                        <wpg:cNvPr id="2445" name="Group 125"/>
                        <wpg:cNvGrpSpPr>
                          <a:grpSpLocks/>
                        </wpg:cNvGrpSpPr>
                        <wpg:grpSpPr bwMode="auto">
                          <a:xfrm>
                            <a:off x="6901" y="20530"/>
                            <a:ext cx="7423" cy="3375"/>
                            <a:chOff x="2499" y="5460"/>
                            <a:chExt cx="1169" cy="712"/>
                          </a:xfrm>
                        </wpg:grpSpPr>
                        <wps:wsp>
                          <wps:cNvPr id="244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8" name="Rectangle 128"/>
                        <wps:cNvSpPr>
                          <a:spLocks noChangeArrowheads="1"/>
                        </wps:cNvSpPr>
                        <wps:spPr bwMode="auto">
                          <a:xfrm>
                            <a:off x="8194" y="20528"/>
                            <a:ext cx="4572"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548ED" w14:textId="77777777" w:rsidR="00847E53" w:rsidRDefault="00847E53" w:rsidP="001F04FD">
                              <w:r>
                                <w:rPr>
                                  <w:color w:val="000000"/>
                                  <w:sz w:val="16"/>
                                  <w:szCs w:val="16"/>
                                </w:rPr>
                                <w:t>Decreasing</w:t>
                              </w:r>
                            </w:p>
                            <w:p w14:paraId="437B589B" w14:textId="77777777" w:rsidR="00847E53" w:rsidRDefault="00847E53" w:rsidP="001F04FD"/>
                          </w:txbxContent>
                        </wps:txbx>
                        <wps:bodyPr rot="0" vert="horz" wrap="none" lIns="0" tIns="0" rIns="0" bIns="0" anchor="t" anchorCtr="0" upright="1">
                          <a:spAutoFit/>
                        </wps:bodyPr>
                      </wps:wsp>
                      <wps:wsp>
                        <wps:cNvPr id="2449" name="Rectangle 129"/>
                        <wps:cNvSpPr>
                          <a:spLocks noChangeArrowheads="1"/>
                        </wps:cNvSpPr>
                        <wps:spPr bwMode="auto">
                          <a:xfrm>
                            <a:off x="7852" y="21652"/>
                            <a:ext cx="620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AA677" w14:textId="77777777" w:rsidR="00847E53" w:rsidRPr="00364165" w:rsidRDefault="00847E53" w:rsidP="001F04FD">
                              <w:pPr>
                                <w:rPr>
                                  <w:sz w:val="16"/>
                                </w:rPr>
                              </w:pPr>
                              <w:r w:rsidRPr="00364165">
                                <w:rPr>
                                  <w:sz w:val="16"/>
                                </w:rPr>
                                <w:t>Consumption</w:t>
                              </w:r>
                            </w:p>
                          </w:txbxContent>
                        </wps:txbx>
                        <wps:bodyPr rot="0" vert="horz" wrap="square" lIns="0" tIns="0" rIns="0" bIns="0" anchor="t" anchorCtr="0" upright="1">
                          <a:spAutoFit/>
                        </wps:bodyPr>
                      </wps:wsp>
                      <wps:wsp>
                        <wps:cNvPr id="245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45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4" name="Rectangle 134"/>
                        <wps:cNvSpPr>
                          <a:spLocks noChangeArrowheads="1"/>
                        </wps:cNvSpPr>
                        <wps:spPr bwMode="auto">
                          <a:xfrm>
                            <a:off x="11992" y="14922"/>
                            <a:ext cx="273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33D64" w14:textId="77777777" w:rsidR="00847E53" w:rsidRDefault="00847E53" w:rsidP="001F04FD">
                              <w:r>
                                <w:rPr>
                                  <w:color w:val="000000"/>
                                  <w:sz w:val="18"/>
                                  <w:szCs w:val="18"/>
                                </w:rPr>
                                <w:t>Ramp</w:t>
                              </w:r>
                            </w:p>
                          </w:txbxContent>
                        </wps:txbx>
                        <wps:bodyPr rot="0" vert="horz" wrap="none" lIns="0" tIns="0" rIns="0" bIns="0" anchor="t" anchorCtr="0" upright="1">
                          <a:spAutoFit/>
                        </wps:bodyPr>
                      </wps:wsp>
                      <wps:wsp>
                        <wps:cNvPr id="2455" name="Rectangle 135"/>
                        <wps:cNvSpPr>
                          <a:spLocks noChangeArrowheads="1"/>
                        </wps:cNvSpPr>
                        <wps:spPr bwMode="auto">
                          <a:xfrm>
                            <a:off x="12335" y="16128"/>
                            <a:ext cx="2642"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C163E" w14:textId="77777777" w:rsidR="00847E53" w:rsidRDefault="00847E53" w:rsidP="001F04FD">
                              <w:r>
                                <w:rPr>
                                  <w:color w:val="000000"/>
                                  <w:sz w:val="18"/>
                                  <w:szCs w:val="18"/>
                                </w:rPr>
                                <w:t>Rate</w:t>
                              </w:r>
                            </w:p>
                          </w:txbxContent>
                        </wps:txbx>
                        <wps:bodyPr rot="0" vert="horz" wrap="square" lIns="0" tIns="0" rIns="0" bIns="0" anchor="t" anchorCtr="0" upright="1">
                          <a:spAutoFit/>
                        </wps:bodyPr>
                      </wps:wsp>
                      <wps:wsp>
                        <wps:cNvPr id="2456"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7"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8"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548FA" w14:textId="38AA73E6" w:rsidR="00847E53" w:rsidRDefault="00847E53" w:rsidP="001F04FD">
                              <w:r>
                                <w:rPr>
                                  <w:color w:val="000000"/>
                                  <w:sz w:val="16"/>
                                  <w:szCs w:val="16"/>
                                </w:rPr>
                                <w:t xml:space="preserve">Ancillary Services Provided: Reg-Up, </w:t>
                              </w:r>
                              <w:r w:rsidR="00DC32AE">
                                <w:rPr>
                                  <w:color w:val="000000"/>
                                  <w:sz w:val="16"/>
                                  <w:szCs w:val="16"/>
                                </w:rPr>
                                <w:t>ECRS</w:t>
                              </w:r>
                              <w:r>
                                <w:rPr>
                                  <w:color w:val="000000"/>
                                  <w:sz w:val="16"/>
                                  <w:szCs w:val="16"/>
                                </w:rPr>
                                <w:t>, Non-Spin</w:t>
                              </w:r>
                            </w:p>
                          </w:txbxContent>
                        </wps:txbx>
                        <wps:bodyPr rot="0" vert="horz" wrap="square" lIns="0" tIns="0" rIns="0" bIns="0" anchor="t" anchorCtr="0" upright="1">
                          <a:noAutofit/>
                        </wps:bodyPr>
                      </wps:wsp>
                      <wps:wsp>
                        <wps:cNvPr id="2459"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5480B" w14:textId="77777777" w:rsidR="00847E53" w:rsidRDefault="00847E53" w:rsidP="001F04FD">
                              <w:r>
                                <w:rPr>
                                  <w:color w:val="000000"/>
                                  <w:sz w:val="18"/>
                                  <w:szCs w:val="18"/>
                                </w:rPr>
                                <w:t>HSL = MPC -</w:t>
                              </w:r>
                            </w:p>
                          </w:txbxContent>
                        </wps:txbx>
                        <wps:bodyPr rot="0" vert="horz" wrap="square" lIns="0" tIns="0" rIns="0" bIns="0" anchor="t" anchorCtr="0" upright="1">
                          <a:spAutoFit/>
                        </wps:bodyPr>
                      </wps:wsp>
                      <wps:wsp>
                        <wps:cNvPr id="2460"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62"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81209" w14:textId="77777777" w:rsidR="00847E53" w:rsidRDefault="00847E53" w:rsidP="001F04FD">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463"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7696187" id="Group 145" o:spid="_x0000_s1357" style="position:absolute;margin-left:-5.55pt;margin-top:15.55pt;width:440.55pt;height:237.05pt;z-index:251653120;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">
                <v:line id="Line 4" o:spid="_x0000_s1358" style="position:absolute;visibility:visible;mso-wrap-style:square" from="46237,18115" to="46237,19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" strokeweight=".65pt">
                  <v:stroke endcap="round"/>
                </v:line>
                <v:rect id="Rectangle 13" o:spid="_x0000_s1359" style="position:absolute;left:50982;top:26396;width:322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" filled="f" stroked="f">
                  <v:textbox style="mso-fit-shape-to-text:t" inset="0,0,0,0">
                    <w:txbxContent>
                      <w:p w14:paraId="11B47019" w14:textId="77777777" w:rsidR="00847E53" w:rsidRDefault="00847E53" w:rsidP="001F04FD">
                        <w:r>
                          <w:rPr>
                            <w:color w:val="000000"/>
                          </w:rPr>
                          <w:t>Time</w:t>
                        </w:r>
                      </w:p>
                    </w:txbxContent>
                  </v:textbox>
                </v:rect>
                <v:shape id="Freeform 12" o:spid="_x0000_s1360" style="position:absolute;left:6297;top:26828;width:41933;height:637;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361" style="position:absolute;left:-291;top:23270;width:662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EKwwAAAN0AAAAPAAAAZHJzL2Rvd25yZXYueG1sRE9La8JA&#10;EL4L/odlBG+6UaE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dFVhCsMAAADdAAAADwAA&#10;AAAAAAAAAAAAAAAHAgAAZHJzL2Rvd25yZXYueG1sUEsFBgAAAAADAAMAtwAAAPcCAAAAAA==&#10;" filled="f" stroked="f">
                  <v:textbox inset="0,0,0,0">
                    <w:txbxContent>
                      <w:p w14:paraId="0DBCE120" w14:textId="77777777" w:rsidR="00847E53" w:rsidRDefault="00847E53" w:rsidP="001F04FD">
                        <w:r>
                          <w:rPr>
                            <w:color w:val="000000"/>
                            <w:sz w:val="18"/>
                            <w:szCs w:val="18"/>
                          </w:rPr>
                          <w:t>LSL = LPC -</w:t>
                        </w:r>
                      </w:p>
                    </w:txbxContent>
                  </v:textbox>
                </v:rect>
                <v:rect id="Rectangle 23" o:spid="_x0000_s1362" style="position:absolute;left:1647;top:18750;width:3893;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" filled="f" stroked="f">
                  <v:textbox style="mso-fit-shape-to-text:t" inset="0,0,0,0">
                    <w:txbxContent>
                      <w:p w14:paraId="24F174A2" w14:textId="77777777" w:rsidR="00847E53" w:rsidRDefault="00847E53" w:rsidP="001F04FD">
                        <w:r>
                          <w:rPr>
                            <w:color w:val="000000"/>
                            <w:sz w:val="18"/>
                            <w:szCs w:val="18"/>
                          </w:rPr>
                          <w:t>LASL  -</w:t>
                        </w:r>
                      </w:p>
                    </w:txbxContent>
                  </v:textbox>
                </v:rect>
                <v:rect id="Rectangle 25" o:spid="_x0000_s1363" style="position:absolute;left:1812;top:8280;width:410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" filled="f" stroked="f">
                  <v:textbox style="mso-fit-shape-to-text:t" inset="0,0,0,0">
                    <w:txbxContent>
                      <w:p w14:paraId="4A5CCED1" w14:textId="77777777" w:rsidR="00847E53" w:rsidRDefault="00847E53" w:rsidP="001F04FD">
                        <w:r>
                          <w:rPr>
                            <w:color w:val="000000"/>
                            <w:sz w:val="18"/>
                            <w:szCs w:val="18"/>
                          </w:rPr>
                          <w:t>HASL  -</w:t>
                        </w:r>
                      </w:p>
                    </w:txbxContent>
                  </v:textbox>
                </v:rect>
                <v:rect id="Rectangle 40" o:spid="_x0000_s1364" style="position:absolute;left:17425;top:3881;width:7664;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" filled="f" stroked="f">
                  <v:textbox inset="0,0,0,0">
                    <w:txbxContent>
                      <w:p w14:paraId="2390F699" w14:textId="77777777" w:rsidR="00847E53" w:rsidRDefault="00847E53" w:rsidP="001F04FD">
                        <w:r>
                          <w:rPr>
                            <w:color w:val="000000"/>
                            <w:sz w:val="16"/>
                            <w:szCs w:val="16"/>
                          </w:rPr>
                          <w:t>Ancillary Services Provided: Reg-Down</w:t>
                        </w:r>
                      </w:p>
                    </w:txbxContent>
                  </v:textbox>
                </v:rect>
                <v:line id="Line 44" o:spid="_x0000_s1365"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" strokeweight="1.85pt"/>
                <v:rect id="Rectangle 45" o:spid="_x0000_s1366" style="position:absolute;left:688;top:13112;width:6712;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" filled="f" stroked="f">
                  <v:textbox style="mso-fit-shape-to-text:t" inset="0,0,0,0">
                    <w:txbxContent>
                      <w:p w14:paraId="4115C8ED" w14:textId="77777777" w:rsidR="00847E53" w:rsidRDefault="00847E53" w:rsidP="001F04FD">
                        <w:r>
                          <w:rPr>
                            <w:color w:val="000000"/>
                            <w:sz w:val="16"/>
                            <w:szCs w:val="16"/>
                          </w:rPr>
                          <w:t>Current Load</w:t>
                        </w:r>
                      </w:p>
                    </w:txbxContent>
                  </v:textbox>
                </v:rect>
                <v:rect id="Rectangle 46" o:spid="_x0000_s1367" style="position:absolute;left:1146;top:14490;width:439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" filled="f" stroked="f">
                  <v:textbox style="mso-fit-shape-to-text:t" inset="0,0,0,0">
                    <w:txbxContent>
                      <w:p w14:paraId="10F3929F" w14:textId="77777777" w:rsidR="00847E53" w:rsidRDefault="00847E53" w:rsidP="001F04FD">
                        <w:r>
                          <w:rPr>
                            <w:color w:val="000000"/>
                            <w:sz w:val="16"/>
                            <w:szCs w:val="16"/>
                          </w:rPr>
                          <w:t>Telemetry</w:t>
                        </w:r>
                      </w:p>
                    </w:txbxContent>
                  </v:textbox>
                </v:rect>
                <v:rect id="Rectangle 48" o:spid="_x0000_s1368" style="position:absolute;left:16215;top:9315;width:3366;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" filled="f" stroked="f">
                  <v:textbox style="mso-fit-shape-to-text:t" inset="0,0,0,0">
                    <w:txbxContent>
                      <w:p w14:paraId="734A2462" w14:textId="77777777" w:rsidR="00847E53" w:rsidRDefault="00847E53" w:rsidP="001F04FD">
                        <w:r>
                          <w:rPr>
                            <w:color w:val="000000"/>
                            <w:sz w:val="18"/>
                            <w:szCs w:val="18"/>
                          </w:rPr>
                          <w:t>HDL</w:t>
                        </w:r>
                      </w:p>
                    </w:txbxContent>
                  </v:textbox>
                </v:rect>
                <v:rect id="Rectangle 50" o:spid="_x0000_s1369" style="position:absolute;left:16217;top:18288;width:3366;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" filled="f" stroked="f">
                  <v:textbox inset="0,0,0,0">
                    <w:txbxContent>
                      <w:p w14:paraId="29DCB72D" w14:textId="77777777" w:rsidR="00847E53" w:rsidRDefault="00847E53" w:rsidP="001F04FD">
                        <w:r>
                          <w:rPr>
                            <w:color w:val="000000"/>
                            <w:sz w:val="18"/>
                            <w:szCs w:val="18"/>
                          </w:rPr>
                          <w:t>LDL</w:t>
                        </w:r>
                      </w:p>
                    </w:txbxContent>
                  </v:textbox>
                </v:rect>
                <v:rect id="Rectangle 54" o:spid="_x0000_s1370" style="position:absolute;left:7504;top:28294;width:790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" filled="f" stroked="f">
                  <v:textbox inset="0,0,0,0">
                    <w:txbxContent>
                      <w:p w14:paraId="3273FDC5" w14:textId="77777777" w:rsidR="00847E53" w:rsidRDefault="00847E53" w:rsidP="001F04FD">
                        <w:r>
                          <w:rPr>
                            <w:color w:val="000000"/>
                            <w:sz w:val="18"/>
                            <w:szCs w:val="18"/>
                          </w:rPr>
                          <w:t>5-30 Minutes</w:t>
                        </w:r>
                      </w:p>
                    </w:txbxContent>
                  </v:textbox>
                </v:rect>
                <v:rect id="Rectangle 58" o:spid="_x0000_s1371" style="position:absolute;left:2759;width:339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" filled="f" stroked="f">
                  <v:textbox style="mso-fit-shape-to-text:t" inset="0,0,0,0">
                    <w:txbxContent>
                      <w:p w14:paraId="41877CB8" w14:textId="77777777" w:rsidR="00847E53" w:rsidRDefault="00847E53" w:rsidP="001F04FD">
                        <w:pPr>
                          <w:rPr>
                            <w:u w:val="single"/>
                          </w:rPr>
                        </w:pPr>
                        <w:r>
                          <w:rPr>
                            <w:b/>
                            <w:bCs/>
                            <w:color w:val="000000"/>
                            <w:u w:val="single"/>
                          </w:rPr>
                          <w:t>Load</w:t>
                        </w:r>
                      </w:p>
                    </w:txbxContent>
                  </v:textbox>
                </v:rect>
                <v:shape id="Freeform 61" o:spid="_x0000_s1372" style="position:absolute;left:33039;top:7418;width:622;height:10929;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373" style="position:absolute;left:33297;top:17942;width:16480;height:569;visibility:visible;mso-wrap-style:square;v-text-anchor:top" coordsize="52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374" style="position:absolute;left:49858;top:18115;width:395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" filled="f" stroked="f">
                  <v:textbox style="mso-fit-shape-to-text:t" inset="0,0,0,0">
                    <w:txbxContent>
                      <w:p w14:paraId="74693EA9" w14:textId="77777777" w:rsidR="00847E53" w:rsidRDefault="00847E53" w:rsidP="001F04FD">
                        <w:r>
                          <w:rPr>
                            <w:color w:val="000000"/>
                            <w:sz w:val="16"/>
                            <w:szCs w:val="16"/>
                          </w:rPr>
                          <w:t>Quantity</w:t>
                        </w:r>
                      </w:p>
                    </w:txbxContent>
                  </v:textbox>
                </v:rect>
                <v:shape id="Freeform 64" o:spid="_x0000_s1375" style="position:absolute;left:33384;top:9316;width:12573;height:5144;flip:y;visibility:visible;mso-wrap-style:square;v-text-anchor:top" coordsize="194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" path="m,1133c229,1079,1045,988,1368,798,1692,609,1823,167,1941,e" filled="f" strokecolor="#339" strokeweight="1.85pt">
                  <v:path arrowok="t" o:connecttype="custom" o:connectlocs="0,48136217;240846069,33903487;341726794,0" o:connectangles="0,0,0"/>
                </v:shape>
                <v:rect id="Rectangle 65" o:spid="_x0000_s1376" style="position:absolute;left:38732;top:7677;width:7246;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" filled="f" stroked="f">
                  <v:textbox inset="0,0,0,0">
                    <w:txbxContent>
                      <w:p w14:paraId="026AE41C" w14:textId="77777777" w:rsidR="00847E53" w:rsidRDefault="00847E53" w:rsidP="001F04FD">
                        <w:r>
                          <w:rPr>
                            <w:color w:val="000000"/>
                            <w:sz w:val="16"/>
                            <w:szCs w:val="16"/>
                          </w:rPr>
                          <w:t>Bid Curve Load</w:t>
                        </w:r>
                      </w:p>
                    </w:txbxContent>
                  </v:textbox>
                </v:rect>
                <v:line id="Line 66" o:spid="_x0000_s1377" style="position:absolute;visibility:visible;mso-wrap-style:square" from="33384,18201" to="33384,18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" strokeweight=".65pt">
                  <v:stroke endcap="round"/>
                </v:line>
                <v:rect id="Rectangle 69" o:spid="_x0000_s1378" style="position:absolute;left:32693;top:19411;width:4096;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" filled="f" stroked="f">
                  <v:textbox style="mso-fit-shape-to-text:t" inset="0,0,0,0">
                    <w:txbxContent>
                      <w:p w14:paraId="601D34BE" w14:textId="77777777" w:rsidR="00847E53" w:rsidRDefault="00847E53" w:rsidP="001F04FD">
                        <w:r>
                          <w:rPr>
                            <w:color w:val="000000"/>
                            <w:sz w:val="12"/>
                            <w:szCs w:val="12"/>
                          </w:rPr>
                          <w:t>LSL/LPC</w:t>
                        </w:r>
                      </w:p>
                    </w:txbxContent>
                  </v:textbox>
                </v:rect>
                <v:rect id="Rectangle 71" o:spid="_x0000_s1379" style="position:absolute;left:45032;top:19411;width:4191;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" filled="f" stroked="f">
                  <v:textbox style="mso-fit-shape-to-text:t" inset="0,0,0,0">
                    <w:txbxContent>
                      <w:p w14:paraId="703830BA" w14:textId="77777777" w:rsidR="00847E53" w:rsidRDefault="00847E53" w:rsidP="001F04FD">
                        <w:r>
                          <w:rPr>
                            <w:color w:val="000000"/>
                            <w:sz w:val="12"/>
                            <w:szCs w:val="12"/>
                          </w:rPr>
                          <w:t>HSL/MPC</w:t>
                        </w:r>
                      </w:p>
                    </w:txbxContent>
                  </v:textbox>
                </v:rect>
                <v:group id="Group 72" o:spid="_x0000_s1380" style="position:absolute;left:6383;top:4054;width:8529;height:22707"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">
                  <v:rect id="Rectangle 73" o:spid="_x0000_s1381"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" fillcolor="#bbe0e3" stroked="f"/>
                  <v:rect id="Rectangle 74" o:spid="_x0000_s1382"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" filled="f" strokeweight=".65pt">
                    <v:stroke endcap="round"/>
                  </v:rect>
                </v:group>
                <v:shape id="Freeform 75" o:spid="_x0000_s1383" style="position:absolute;left:6297;top:26828;width:41933;height:637;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384" style="position:absolute;left:6383;top:23550;width:8529;height:3555"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">
                  <v:rect id="Rectangle 77" o:spid="_x0000_s1385"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" fillcolor="#099" stroked="f"/>
                  <v:rect id="Rectangle 78" o:spid="_x0000_s1386"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" filled="f" strokeweight=".65pt">
                    <v:stroke endcap="round"/>
                  </v:rect>
                </v:group>
                <v:group id="Group 80" o:spid="_x0000_s1387" style="position:absolute;left:6383;top:9057;width:8529;height:11591"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">
                  <v:rect id="Rectangle 81" o:spid="_x0000_s1388"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" fillcolor="#ff9" stroked="f"/>
                  <v:rect id="Rectangle 82" o:spid="_x0000_s1389"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" filled="f" strokeweight=".65pt">
                    <v:stroke endcap="round"/>
                  </v:rect>
                </v:group>
                <v:line id="Line 96" o:spid="_x0000_s1390"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" strokeweight="1.85pt"/>
                <v:group id="Group 107" o:spid="_x0000_s1391" style="position:absolute;left:6383;top:4054;width:8529;height:22707"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rect id="Rectangle 108" o:spid="_x0000_s1392"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" fillcolor="#bbe0e3" stroked="f"/>
                  <v:rect id="Rectangle 109" o:spid="_x0000_s1393"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" filled="f" strokeweight=".65pt">
                    <v:stroke endcap="round"/>
                  </v:rect>
                </v:group>
                <v:group id="Group 110" o:spid="_x0000_s1394" style="position:absolute;left:6383;top:23895;width:8529;height:3193"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">
                  <v:rect id="Rectangle 111" o:spid="_x0000_s1395"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" fillcolor="#099" stroked="f"/>
                  <v:rect id="Rectangle 112" o:spid="_x0000_s1396"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" filled="f" strokeweight=".65pt">
                    <v:stroke endcap="round"/>
                  </v:rect>
                </v:group>
                <v:rect id="Rectangle 114" o:spid="_x0000_s1397" style="position:absolute;left:4226;top:26741;width:1138;height:114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" filled="f" stroked="f">
                  <v:textbox inset="0,0,0,0">
                    <w:txbxContent>
                      <w:p w14:paraId="7001C3D0" w14:textId="77777777" w:rsidR="00847E53" w:rsidRDefault="00847E53" w:rsidP="001F04FD">
                        <w:r>
                          <w:rPr>
                            <w:color w:val="000000"/>
                            <w:sz w:val="18"/>
                            <w:szCs w:val="18"/>
                          </w:rPr>
                          <w:t>0</w:t>
                        </w:r>
                      </w:p>
                    </w:txbxContent>
                  </v:textbox>
                </v:rect>
                <v:group id="Group 115" o:spid="_x0000_s1398" style="position:absolute;left:6383;top:9057;width:8529;height:10341"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">
                  <v:rect id="Rectangle 116" o:spid="_x0000_s1399"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" fillcolor="#ff9" stroked="f"/>
                  <v:rect id="Rectangle 117" o:spid="_x0000_s1400"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" filled="f" strokeweight=".65pt">
                    <v:stroke endcap="round"/>
                  </v:rect>
                </v:group>
                <v:group id="Group 120" o:spid="_x0000_s1401" style="position:absolute;left:6728;top:4399;width:7423;height:4074"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">
                  <v:shape id="Freeform 121" o:spid="_x0000_s1402"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" path="m,202r95,l95,652r979,l1074,202r95,l585,,,202xe" fillcolor="#bbe0e3" stroked="f">
                    <v:path arrowok="t" o:connecttype="custom" o:connectlocs="0,202;95,202;95,652;1074,652;1074,202;1169,202;585,0;0,202" o:connectangles="0,0,0,0,0,0,0,0"/>
                  </v:shape>
                  <v:shape id="Freeform 122" o:spid="_x0000_s1403"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" path="m,202r95,l95,652r979,l1074,202r95,l585,,,202xe" filled="f" strokeweight=".65pt">
                    <v:stroke endcap="round"/>
                    <v:path arrowok="t" o:connecttype="custom" o:connectlocs="0,202;95,202;95,652;1074,652;1074,202;1169,202;585,0;0,202" o:connectangles="0,0,0,0,0,0,0,0"/>
                  </v:shape>
                </v:group>
                <v:rect id="Rectangle 123" o:spid="_x0000_s1404" style="position:absolute;left:8194;top:5435;width:423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" filled="f" stroked="f">
                  <v:textbox style="mso-fit-shape-to-text:t" inset="0,0,0,0">
                    <w:txbxContent>
                      <w:p w14:paraId="44558680" w14:textId="77777777" w:rsidR="00847E53" w:rsidRPr="00364165" w:rsidRDefault="00847E53" w:rsidP="001F04FD">
                        <w:pPr>
                          <w:rPr>
                            <w:sz w:val="16"/>
                          </w:rPr>
                        </w:pPr>
                        <w:r w:rsidRPr="00364165">
                          <w:rPr>
                            <w:sz w:val="16"/>
                          </w:rPr>
                          <w:t>Increasing</w:t>
                        </w:r>
                      </w:p>
                    </w:txbxContent>
                  </v:textbox>
                </v:rect>
                <v:rect id="Rectangle 124" o:spid="_x0000_s1405" style="position:absolute;left:7677;top:6556;width:668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RCxwAAAN0AAAAPAAAAZHJzL2Rvd25yZXYueG1sRI9Ba8JA&#10;FITvgv9heUJvulFC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CIfxELHAAAA3QAA&#10;AA8AAAAAAAAAAAAAAAAABwIAAGRycy9kb3ducmV2LnhtbFBLBQYAAAAAAwADALcAAAD7AgAAAAA=&#10;" filled="f" stroked="f">
                  <v:textbox inset="0,0,0,0">
                    <w:txbxContent>
                      <w:p w14:paraId="79A8344E" w14:textId="77777777" w:rsidR="00847E53" w:rsidRDefault="00847E53" w:rsidP="001F04FD">
                        <w:r>
                          <w:rPr>
                            <w:color w:val="000000"/>
                            <w:sz w:val="16"/>
                            <w:szCs w:val="16"/>
                          </w:rPr>
                          <w:t>Consumption</w:t>
                        </w:r>
                      </w:p>
                    </w:txbxContent>
                  </v:textbox>
                </v:rect>
                <v:group id="Group 125" o:spid="_x0000_s1406" style="position:absolute;left:6901;top:20530;width:7423;height:3375"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Iz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xvB8E56AnD8AAAD//wMAUEsBAi0AFAAGAAgAAAAhANvh9svuAAAAhQEAABMAAAAAAAAA&#10;AAAAAAAAAAAAAFtDb250ZW50X1R5cGVzXS54bWxQSwECLQAUAAYACAAAACEAWvQsW78AAAAVAQAA&#10;CwAAAAAAAAAAAAAAAAAfAQAAX3JlbHMvLnJlbHNQSwECLQAUAAYACAAAACEAi2KiM8YAAADdAAAA&#10;DwAAAAAAAAAAAAAAAAAHAgAAZHJzL2Rvd25yZXYueG1sUEsFBgAAAAADAAMAtwAAAPoCAAAAAA==&#10;">
                  <v:shape id="Freeform 126" o:spid="_x0000_s1407"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" path="m,444r110,l110,r949,l1059,444r110,l584,712,,444xe" fillcolor="#bbe0e3" stroked="f">
                    <v:path arrowok="t" o:connecttype="custom" o:connectlocs="0,444;110,444;110,0;1059,0;1059,444;1169,444;584,712;0,444" o:connectangles="0,0,0,0,0,0,0,0"/>
                  </v:shape>
                  <v:shape id="Freeform 127" o:spid="_x0000_s1408"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" path="m,444r110,l110,r949,l1059,444r110,l584,712,,444xe" filled="f" strokeweight=".65pt">
                    <v:stroke endcap="round"/>
                    <v:path arrowok="t" o:connecttype="custom" o:connectlocs="0,444;110,444;110,0;1059,0;1059,444;1169,444;584,712;0,444" o:connectangles="0,0,0,0,0,0,0,0"/>
                  </v:shape>
                </v:group>
                <v:rect id="Rectangle 128" o:spid="_x0000_s1409" style="position:absolute;left:8194;top:20528;width:4572;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" filled="f" stroked="f">
                  <v:textbox style="mso-fit-shape-to-text:t" inset="0,0,0,0">
                    <w:txbxContent>
                      <w:p w14:paraId="197548ED" w14:textId="77777777" w:rsidR="00847E53" w:rsidRDefault="00847E53" w:rsidP="001F04FD">
                        <w:r>
                          <w:rPr>
                            <w:color w:val="000000"/>
                            <w:sz w:val="16"/>
                            <w:szCs w:val="16"/>
                          </w:rPr>
                          <w:t>Decreasing</w:t>
                        </w:r>
                      </w:p>
                      <w:p w14:paraId="437B589B" w14:textId="77777777" w:rsidR="00847E53" w:rsidRDefault="00847E53" w:rsidP="001F04FD"/>
                    </w:txbxContent>
                  </v:textbox>
                </v:rect>
                <v:rect id="Rectangle 129" o:spid="_x0000_s1410" style="position:absolute;left:7852;top:21652;width:620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" filled="f" stroked="f">
                  <v:textbox style="mso-fit-shape-to-text:t" inset="0,0,0,0">
                    <w:txbxContent>
                      <w:p w14:paraId="055AA677" w14:textId="77777777" w:rsidR="00847E53" w:rsidRPr="00364165" w:rsidRDefault="00847E53" w:rsidP="001F04FD">
                        <w:pPr>
                          <w:rPr>
                            <w:sz w:val="16"/>
                          </w:rPr>
                        </w:pPr>
                        <w:r w:rsidRPr="00364165">
                          <w:rPr>
                            <w:sz w:val="16"/>
                          </w:rPr>
                          <w:t>Consumption</w:t>
                        </w:r>
                      </w:p>
                    </w:txbxContent>
                  </v:textbox>
                </v:rect>
                <v:line id="Line 130" o:spid="_x0000_s1411"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" strokeweight="1.85pt"/>
                <v:shape id="Freeform 131" o:spid="_x0000_s1412" style="position:absolute;left:6297;top:9316;width:8579;height:5290;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413" style="position:absolute;left:6383;top:14578;width:8592;height:4794;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414" style="position:absolute;left:10955;top:14578;width:654;height:2305;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415" style="position:absolute;left:11992;top:14922;width:273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" filled="f" stroked="f">
                  <v:textbox style="mso-fit-shape-to-text:t" inset="0,0,0,0">
                    <w:txbxContent>
                      <w:p w14:paraId="76F33D64" w14:textId="77777777" w:rsidR="00847E53" w:rsidRDefault="00847E53" w:rsidP="001F04FD">
                        <w:r>
                          <w:rPr>
                            <w:color w:val="000000"/>
                            <w:sz w:val="18"/>
                            <w:szCs w:val="18"/>
                          </w:rPr>
                          <w:t>Ramp</w:t>
                        </w:r>
                      </w:p>
                    </w:txbxContent>
                  </v:textbox>
                </v:rect>
                <v:rect id="Rectangle 135" o:spid="_x0000_s1416" style="position:absolute;left:12335;top:16128;width:264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" filled="f" stroked="f">
                  <v:textbox style="mso-fit-shape-to-text:t" inset="0,0,0,0">
                    <w:txbxContent>
                      <w:p w14:paraId="155C163E" w14:textId="77777777" w:rsidR="00847E53" w:rsidRDefault="00847E53" w:rsidP="001F04FD">
                        <w:r>
                          <w:rPr>
                            <w:color w:val="000000"/>
                            <w:sz w:val="18"/>
                            <w:szCs w:val="18"/>
                          </w:rPr>
                          <w:t>Rate</w:t>
                        </w:r>
                      </w:p>
                    </w:txbxContent>
                  </v:textbox>
                </v:rect>
                <v:shape id="Freeform 139" o:spid="_x0000_s1417" style="position:absolute;left:6814;top:27777;width:7341;height:565;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418" style="position:absolute;left:25361;top:5520;width:29520;height:18390;visibility:visible;mso-wrap-style:square;v-text-anchor:top" coordsize="4649,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419" style="position:absolute;left:16821;top:20875;width:8350;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1iawwAAAN0AAAAPAAAAZHJzL2Rvd25yZXYueG1sRE9Ni8Iw&#10;EL0L+x/CLHjTdGUV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JotYmsMAAADdAAAADwAA&#10;AAAAAAAAAAAAAAAHAgAAZHJzL2Rvd25yZXYueG1sUEsFBgAAAAADAAMAtwAAAPcCAAAAAA==&#10;" filled="f" stroked="f">
                  <v:textbox inset="0,0,0,0">
                    <w:txbxContent>
                      <w:p w14:paraId="631548FA" w14:textId="38AA73E6" w:rsidR="00847E53" w:rsidRDefault="00847E53" w:rsidP="001F04FD">
                        <w:r>
                          <w:rPr>
                            <w:color w:val="000000"/>
                            <w:sz w:val="16"/>
                            <w:szCs w:val="16"/>
                          </w:rPr>
                          <w:t xml:space="preserve">Ancillary Services Provided: Reg-Up, </w:t>
                        </w:r>
                        <w:r w:rsidR="00DC32AE">
                          <w:rPr>
                            <w:color w:val="000000"/>
                            <w:sz w:val="16"/>
                            <w:szCs w:val="16"/>
                          </w:rPr>
                          <w:t>ECRS</w:t>
                        </w:r>
                        <w:r>
                          <w:rPr>
                            <w:color w:val="000000"/>
                            <w:sz w:val="16"/>
                            <w:szCs w:val="16"/>
                          </w:rPr>
                          <w:t>, Non-Spin</w:t>
                        </w:r>
                      </w:p>
                    </w:txbxContent>
                  </v:textbox>
                </v:rect>
                <v:rect id="Rectangle 17" o:spid="_x0000_s1420" style="position:absolute;left:-1070;top:3276;width:700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" filled="f" stroked="f">
                  <v:textbox style="mso-fit-shape-to-text:t" inset="0,0,0,0">
                    <w:txbxContent>
                      <w:p w14:paraId="32C5480B" w14:textId="77777777" w:rsidR="00847E53" w:rsidRDefault="00847E53" w:rsidP="001F04FD">
                        <w:r>
                          <w:rPr>
                            <w:color w:val="000000"/>
                            <w:sz w:val="18"/>
                            <w:szCs w:val="18"/>
                          </w:rPr>
                          <w:t>HSL = MPC -</w:t>
                        </w:r>
                      </w:p>
                    </w:txbxContent>
                  </v:textbox>
                </v:rect>
                <v:shape id="Freeform 36" o:spid="_x0000_s1421" style="position:absolute;left:16217;top:10437;width:622;height:8097;visibility:visible;mso-wrap-style:square;v-text-anchor:top" coordsize="400,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422" style="position:absolute;left:17080;top:13025;width:676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XNxwAAAN0AAAAPAAAAZHJzL2Rvd25yZXYueG1sRI9Ba8JA&#10;FITvgv9heUJvujEU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IkPpc3HAAAA3QAA&#10;AA8AAAAAAAAAAAAAAAAABwIAAGRycy9kb3ducmV2LnhtbFBLBQYAAAAAAwADALcAAAD7AgAAAAA=&#10;" filled="f" stroked="f">
                  <v:textbox inset="0,0,0,0">
                    <w:txbxContent>
                      <w:p w14:paraId="51081209" w14:textId="77777777" w:rsidR="00847E53" w:rsidRDefault="00847E53" w:rsidP="001F04FD">
                        <w:r>
                          <w:rPr>
                            <w:color w:val="000000"/>
                            <w:sz w:val="16"/>
                            <w:szCs w:val="16"/>
                          </w:rPr>
                          <w:t xml:space="preserve">Normal Load </w:t>
                        </w:r>
                        <w:r>
                          <w:rPr>
                            <w:color w:val="000000"/>
                            <w:sz w:val="16"/>
                            <w:szCs w:val="16"/>
                          </w:rPr>
                          <w:br/>
                          <w:t>Fluctuation</w:t>
                        </w:r>
                      </w:p>
                    </w:txbxContent>
                  </v:textbox>
                </v:rect>
                <v:shape id="Freeform 57" o:spid="_x0000_s1423" style="position:absolute;left:5881;top:1948;width:977;height:25334;flip:x;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R="001F04FD">
        <w:t>Load Resources:</w:t>
      </w:r>
    </w:p>
    <w:p w14:paraId="67A000F9" w14:textId="77777777" w:rsidR="001F04FD" w:rsidRDefault="001F04FD" w:rsidP="001F04FD">
      <w:pPr>
        <w:pStyle w:val="BodyTextNumbered"/>
        <w:ind w:left="0" w:firstLine="0"/>
      </w:pPr>
    </w:p>
    <w:p w14:paraId="0052340A" w14:textId="77777777" w:rsidR="001F04FD" w:rsidRDefault="001F04FD" w:rsidP="001F04FD">
      <w:pPr>
        <w:pStyle w:val="Instructions"/>
        <w:spacing w:after="120"/>
      </w:pPr>
    </w:p>
    <w:p w14:paraId="6CA32677" w14:textId="77777777" w:rsidR="001F04FD" w:rsidRDefault="001F04FD" w:rsidP="001F04FD"/>
    <w:p w14:paraId="4A07A455" w14:textId="77777777" w:rsidR="001F04FD" w:rsidRDefault="001F04FD" w:rsidP="001F04FD"/>
    <w:p w14:paraId="223837E8" w14:textId="77777777" w:rsidR="001F04FD" w:rsidRDefault="001F04FD" w:rsidP="001F04FD"/>
    <w:p w14:paraId="61C58FC1" w14:textId="77777777" w:rsidR="001F04FD" w:rsidRDefault="001F04FD" w:rsidP="001F04FD"/>
    <w:p w14:paraId="7328BC19" w14:textId="77777777" w:rsidR="001F04FD" w:rsidRDefault="001F04FD" w:rsidP="001F04FD"/>
    <w:p w14:paraId="7CC4F4E1" w14:textId="77777777" w:rsidR="001F04FD" w:rsidRDefault="001F04FD" w:rsidP="001F04FD"/>
    <w:p w14:paraId="2AF347DD" w14:textId="77777777" w:rsidR="001F04FD" w:rsidRDefault="001F04FD" w:rsidP="001F04FD"/>
    <w:p w14:paraId="5218A0F5" w14:textId="77777777" w:rsidR="001F04FD" w:rsidRDefault="001F04FD" w:rsidP="001F04FD"/>
    <w:p w14:paraId="15E3AF46" w14:textId="77777777" w:rsidR="001F04FD" w:rsidRDefault="001F04FD" w:rsidP="001F04FD"/>
    <w:p w14:paraId="5AC7C2DB" w14:textId="77777777" w:rsidR="001F04FD" w:rsidRDefault="001F04FD" w:rsidP="001F04FD"/>
    <w:p w14:paraId="3C8B2EC4" w14:textId="77777777" w:rsidR="001F04FD" w:rsidRDefault="001F04FD" w:rsidP="001F04FD"/>
    <w:p w14:paraId="428DDB90" w14:textId="77777777" w:rsidR="001F04FD" w:rsidRDefault="001F04FD" w:rsidP="001F04FD">
      <w:pPr>
        <w:pStyle w:val="BodyTextNumbered"/>
        <w:ind w:left="0" w:firstLine="0"/>
      </w:pPr>
    </w:p>
    <w:p w14:paraId="2E7CF15D" w14:textId="77777777" w:rsidR="00F07F30" w:rsidRDefault="00F07F30" w:rsidP="00043D95">
      <w:pPr>
        <w:pStyle w:val="BodyTextNumbered"/>
        <w:spacing w:before="240"/>
      </w:pPr>
    </w:p>
    <w:p w14:paraId="46F30FA7" w14:textId="05DA9B1A" w:rsidR="001F04FD" w:rsidRDefault="001F04FD" w:rsidP="00043D95">
      <w:pPr>
        <w:pStyle w:val="BodyTextNumbered"/>
        <w:spacing w:before="240"/>
      </w:pPr>
      <w:r>
        <w:t>(3)</w:t>
      </w:r>
      <w:r>
        <w:tab/>
        <w:t>For Generation Resources, HASL is calculated as follows:</w:t>
      </w:r>
    </w:p>
    <w:p w14:paraId="2F287E5F" w14:textId="0F2C767E" w:rsidR="00B267EA" w:rsidRDefault="001F04FD" w:rsidP="001F04FD">
      <w:pPr>
        <w:pStyle w:val="FormulaBold"/>
        <w:tabs>
          <w:tab w:val="clear" w:pos="3960"/>
        </w:tabs>
        <w:ind w:left="3150" w:hanging="2430"/>
        <w:rPr>
          <w:lang w:val="de-DE"/>
        </w:rPr>
      </w:pPr>
      <w:r>
        <w:rPr>
          <w:lang w:val="de-DE"/>
        </w:rPr>
        <w:t>HASL</w:t>
      </w:r>
      <w:r>
        <w:rPr>
          <w:lang w:val="de-DE"/>
        </w:rPr>
        <w:tab/>
        <w:t>=</w:t>
      </w:r>
      <w:r>
        <w:rPr>
          <w:lang w:val="de-DE"/>
        </w:rPr>
        <w:tab/>
        <w:t>Max (LASL, (HSLTELEM – (</w:t>
      </w:r>
      <w:r w:rsidR="00DC32AE" w:rsidRPr="00DC32AE">
        <w:rPr>
          <w:lang w:val="de-DE"/>
        </w:rPr>
        <w:t>ECRSTELEM</w:t>
      </w:r>
      <w:r w:rsidR="00DC32AE">
        <w:rPr>
          <w:lang w:val="de-DE"/>
        </w:rPr>
        <w:t xml:space="preserve"> + </w:t>
      </w:r>
      <w:r>
        <w:rPr>
          <w:lang w:val="de-DE"/>
        </w:rPr>
        <w:t>RRSTELEM + RUSTELEM + NSRSTELEM</w:t>
      </w:r>
      <w:r w:rsidRPr="00AC321B">
        <w:rPr>
          <w:lang w:val="de-DE"/>
        </w:rPr>
        <w:t xml:space="preserve"> +</w:t>
      </w:r>
      <w:r w:rsidR="00DC6D12">
        <w:rPr>
          <w:lang w:val="de-DE"/>
        </w:rPr>
        <w:t xml:space="preserve"> </w:t>
      </w:r>
      <w:r w:rsidRPr="00AC321B">
        <w:rPr>
          <w:lang w:val="de-DE"/>
        </w:rPr>
        <w:t>NFRCTELEM</w:t>
      </w:r>
      <w:r>
        <w:rPr>
          <w:lang w:val="de-DE"/>
        </w:rPr>
        <w:t>)))</w:t>
      </w:r>
    </w:p>
    <w:p w14:paraId="58F7B5D1" w14:textId="77777777" w:rsidR="00C23DEE" w:rsidRPr="00F06E8E" w:rsidRDefault="00C23DEE" w:rsidP="00C23DEE">
      <w:pPr>
        <w:spacing w:before="240" w:after="240"/>
        <w:ind w:left="720"/>
        <w:rPr>
          <w:iCs/>
        </w:rPr>
      </w:pPr>
      <w:r w:rsidRPr="00F06E8E">
        <w:rPr>
          <w:iCs/>
        </w:rPr>
        <w:t>For a modeled Generation Resource that represents the injection component of an ESR, HASL is calculated as follows:</w:t>
      </w:r>
    </w:p>
    <w:p w14:paraId="320706EA" w14:textId="77777777" w:rsidR="00C23DEE" w:rsidRPr="00F06E8E" w:rsidRDefault="00C23DEE" w:rsidP="00C23DEE">
      <w:pPr>
        <w:tabs>
          <w:tab w:val="left" w:pos="2340"/>
          <w:tab w:val="left" w:pos="3420"/>
        </w:tabs>
        <w:spacing w:after="240"/>
        <w:ind w:left="3420" w:hanging="2700"/>
        <w:rPr>
          <w:b/>
          <w:bCs/>
          <w:lang w:val="de-DE"/>
        </w:rPr>
      </w:pPr>
      <w:r w:rsidRPr="00F06E8E">
        <w:rPr>
          <w:b/>
          <w:bCs/>
          <w:lang w:val="de-DE"/>
        </w:rPr>
        <w:t>HASL</w:t>
      </w:r>
      <w:r w:rsidRPr="00F06E8E">
        <w:rPr>
          <w:b/>
          <w:bCs/>
          <w:lang w:val="de-DE"/>
        </w:rPr>
        <w:tab/>
        <w:t>=</w:t>
      </w:r>
      <w:r w:rsidRPr="00F06E8E">
        <w:rPr>
          <w:b/>
          <w:bCs/>
          <w:lang w:val="de-DE"/>
        </w:rPr>
        <w:tab/>
        <w:t>Max (LASL, Min ((HSLTELEM – (RRSTELEM + RUSTELEM + ECRSTELEM + NSRSTELEM +</w:t>
      </w:r>
      <w:r>
        <w:rPr>
          <w:b/>
          <w:bCs/>
          <w:lang w:val="de-DE"/>
        </w:rPr>
        <w:t xml:space="preserve"> </w:t>
      </w:r>
      <w:r w:rsidRPr="00F06E8E">
        <w:rPr>
          <w:b/>
          <w:bCs/>
          <w:lang w:val="de-DE"/>
        </w:rPr>
        <w:t>NFRCTELEM)), MaxBP))</w:t>
      </w:r>
    </w:p>
    <w:p w14:paraId="52A11FBD" w14:textId="77777777" w:rsidR="00C23DEE" w:rsidRPr="00F06E8E" w:rsidRDefault="00C23DEE" w:rsidP="00C23DEE">
      <w:pPr>
        <w:tabs>
          <w:tab w:val="left" w:pos="2340"/>
          <w:tab w:val="left" w:pos="3420"/>
        </w:tabs>
        <w:spacing w:after="240"/>
        <w:ind w:left="3420" w:hanging="2700"/>
        <w:rPr>
          <w:b/>
          <w:bCs/>
          <w:lang w:val="de-DE"/>
        </w:rPr>
      </w:pPr>
      <w:r w:rsidRPr="00F06E8E">
        <w:rPr>
          <w:b/>
          <w:bCs/>
          <w:lang w:val="de-DE"/>
        </w:rPr>
        <w:t>MaxBP</w:t>
      </w:r>
      <w:r w:rsidRPr="00F06E8E">
        <w:rPr>
          <w:b/>
          <w:bCs/>
          <w:lang w:val="de-DE"/>
        </w:rPr>
        <w:tab/>
        <w:t>=</w:t>
      </w:r>
      <w:r w:rsidRPr="00F06E8E">
        <w:rPr>
          <w:b/>
          <w:bCs/>
          <w:lang w:val="de-DE"/>
        </w:rPr>
        <w:tab/>
        <w:t>(SOCTELEM – MINSOCTELEM – REQASSOC) / TSCED</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433ABADD" w14:textId="77777777" w:rsidTr="00AC4DEE">
        <w:tc>
          <w:tcPr>
            <w:tcW w:w="1500" w:type="pct"/>
          </w:tcPr>
          <w:p w14:paraId="32F0E9FF" w14:textId="77777777" w:rsidR="001F04FD" w:rsidRDefault="001F04FD" w:rsidP="00AC4DEE">
            <w:pPr>
              <w:pStyle w:val="TableHead"/>
            </w:pPr>
            <w:r>
              <w:t>Variable</w:t>
            </w:r>
          </w:p>
        </w:tc>
        <w:tc>
          <w:tcPr>
            <w:tcW w:w="3500" w:type="pct"/>
          </w:tcPr>
          <w:p w14:paraId="5F4DB58D" w14:textId="77777777" w:rsidR="001F04FD" w:rsidRDefault="001F04FD" w:rsidP="00AC4DEE">
            <w:pPr>
              <w:pStyle w:val="TableHead"/>
            </w:pPr>
            <w:r>
              <w:t>Description</w:t>
            </w:r>
          </w:p>
        </w:tc>
      </w:tr>
      <w:tr w:rsidR="001F04FD" w14:paraId="15AA64AC" w14:textId="77777777" w:rsidTr="00AC4DEE">
        <w:trPr>
          <w:cantSplit/>
        </w:trPr>
        <w:tc>
          <w:tcPr>
            <w:tcW w:w="1500" w:type="pct"/>
          </w:tcPr>
          <w:p w14:paraId="3F1F858E" w14:textId="77777777" w:rsidR="001F04FD" w:rsidRDefault="001F04FD" w:rsidP="00AC4DEE">
            <w:pPr>
              <w:pStyle w:val="TableBody"/>
            </w:pPr>
            <w:r>
              <w:t>HASL</w:t>
            </w:r>
          </w:p>
        </w:tc>
        <w:tc>
          <w:tcPr>
            <w:tcW w:w="3500" w:type="pct"/>
          </w:tcPr>
          <w:p w14:paraId="37536730" w14:textId="77777777" w:rsidR="001F04FD" w:rsidRDefault="001F04FD" w:rsidP="00AC4DEE">
            <w:pPr>
              <w:pStyle w:val="TableBody"/>
            </w:pPr>
            <w:r>
              <w:t>High Ancillary Service Limit.</w:t>
            </w:r>
          </w:p>
        </w:tc>
      </w:tr>
      <w:tr w:rsidR="001F04FD" w14:paraId="56880D4D" w14:textId="77777777" w:rsidTr="00AC4DEE">
        <w:trPr>
          <w:cantSplit/>
        </w:trPr>
        <w:tc>
          <w:tcPr>
            <w:tcW w:w="1500" w:type="pct"/>
          </w:tcPr>
          <w:p w14:paraId="44E4D1DB" w14:textId="77777777" w:rsidR="001F04FD" w:rsidRDefault="001F04FD" w:rsidP="00AC4DEE">
            <w:pPr>
              <w:pStyle w:val="TableBody"/>
            </w:pPr>
            <w:r>
              <w:t>HSLTELEM</w:t>
            </w:r>
          </w:p>
        </w:tc>
        <w:tc>
          <w:tcPr>
            <w:tcW w:w="3500" w:type="pct"/>
          </w:tcPr>
          <w:p w14:paraId="1953A151" w14:textId="77777777" w:rsidR="00A21E7F" w:rsidRDefault="001F04FD" w:rsidP="00AC4DEE">
            <w:pPr>
              <w:pStyle w:val="TableBody"/>
            </w:pPr>
            <w:r>
              <w:t xml:space="preserve">High Sustained Limit provided via telemetry – per Section 6.5.5.2. </w:t>
            </w:r>
          </w:p>
          <w:p w14:paraId="5468E0E1" w14:textId="77777777" w:rsidR="001F04FD" w:rsidRDefault="001F04FD" w:rsidP="00AC4DEE">
            <w:pPr>
              <w:pStyle w:val="TableBody"/>
            </w:pPr>
          </w:p>
        </w:tc>
      </w:tr>
      <w:tr w:rsidR="001F04FD" w14:paraId="0CD87E85" w14:textId="77777777" w:rsidTr="00AC4DEE">
        <w:trPr>
          <w:cantSplit/>
        </w:trPr>
        <w:tc>
          <w:tcPr>
            <w:tcW w:w="1500" w:type="pct"/>
          </w:tcPr>
          <w:p w14:paraId="3C731C96" w14:textId="77777777" w:rsidR="001F04FD" w:rsidRDefault="001F04FD" w:rsidP="00AC4DEE">
            <w:pPr>
              <w:pStyle w:val="TableBody"/>
            </w:pPr>
            <w:r>
              <w:t>LASL</w:t>
            </w:r>
          </w:p>
        </w:tc>
        <w:tc>
          <w:tcPr>
            <w:tcW w:w="3500" w:type="pct"/>
          </w:tcPr>
          <w:p w14:paraId="271C89A0" w14:textId="77777777" w:rsidR="001F04FD" w:rsidRDefault="001F04FD" w:rsidP="00AC4DEE">
            <w:pPr>
              <w:pStyle w:val="TableBody"/>
            </w:pPr>
            <w:r>
              <w:t>Low Ancillary Service Limit.</w:t>
            </w:r>
          </w:p>
        </w:tc>
      </w:tr>
      <w:tr w:rsidR="001F04FD" w14:paraId="694398D8" w14:textId="77777777" w:rsidTr="00AC4DEE">
        <w:trPr>
          <w:cantSplit/>
        </w:trPr>
        <w:tc>
          <w:tcPr>
            <w:tcW w:w="1500" w:type="pct"/>
          </w:tcPr>
          <w:p w14:paraId="687A5B0D" w14:textId="77777777" w:rsidR="001F04FD" w:rsidRDefault="001F04FD" w:rsidP="00AC4DEE">
            <w:pPr>
              <w:pStyle w:val="TableBody"/>
            </w:pPr>
            <w:r>
              <w:t>RRSTELEM</w:t>
            </w:r>
          </w:p>
        </w:tc>
        <w:tc>
          <w:tcPr>
            <w:tcW w:w="3500" w:type="pct"/>
          </w:tcPr>
          <w:p w14:paraId="3903FE67" w14:textId="77413E4D" w:rsidR="001F04FD" w:rsidRDefault="00470AB8" w:rsidP="00470AB8">
            <w:pPr>
              <w:pStyle w:val="TableBody"/>
            </w:pPr>
            <w:r>
              <w:t>RRS</w:t>
            </w:r>
            <w:r w:rsidR="001F04FD">
              <w:t xml:space="preserve"> Ancillary Service Schedule provided </w:t>
            </w:r>
            <w:r w:rsidR="00714823">
              <w:t xml:space="preserve">via </w:t>
            </w:r>
            <w:r w:rsidR="001F04FD">
              <w:t xml:space="preserve">telemetry. </w:t>
            </w:r>
          </w:p>
        </w:tc>
      </w:tr>
      <w:tr w:rsidR="001F04FD" w14:paraId="7DF8B1D7" w14:textId="77777777" w:rsidTr="00AC4DEE">
        <w:trPr>
          <w:cantSplit/>
          <w:trHeight w:val="314"/>
        </w:trPr>
        <w:tc>
          <w:tcPr>
            <w:tcW w:w="1500" w:type="pct"/>
          </w:tcPr>
          <w:p w14:paraId="614B9818" w14:textId="77777777" w:rsidR="001F04FD" w:rsidRDefault="001F04FD" w:rsidP="00AC4DEE">
            <w:pPr>
              <w:pStyle w:val="TableBody"/>
            </w:pPr>
            <w:r>
              <w:t>RUSTELEM</w:t>
            </w:r>
          </w:p>
        </w:tc>
        <w:tc>
          <w:tcPr>
            <w:tcW w:w="3500" w:type="pct"/>
          </w:tcPr>
          <w:p w14:paraId="2C16B3B3" w14:textId="52D47B2A" w:rsidR="001F04FD" w:rsidRDefault="001F04FD" w:rsidP="00AC4DEE">
            <w:pPr>
              <w:pStyle w:val="TableBody"/>
            </w:pPr>
            <w:r>
              <w:t>Reg-Up Ancillary Service Resource Responsibility designation provided by telemetry.</w:t>
            </w:r>
          </w:p>
        </w:tc>
      </w:tr>
      <w:tr w:rsidR="001F04FD" w14:paraId="677E9954" w14:textId="77777777" w:rsidTr="00AC4DEE">
        <w:trPr>
          <w:cantSplit/>
        </w:trPr>
        <w:tc>
          <w:tcPr>
            <w:tcW w:w="1500" w:type="pct"/>
          </w:tcPr>
          <w:p w14:paraId="48CB80D0" w14:textId="77777777" w:rsidR="001F04FD" w:rsidRDefault="001F04FD" w:rsidP="00AC4DEE">
            <w:pPr>
              <w:pStyle w:val="TableBody"/>
            </w:pPr>
            <w:r>
              <w:t>NSRSTELEM</w:t>
            </w:r>
          </w:p>
        </w:tc>
        <w:tc>
          <w:tcPr>
            <w:tcW w:w="3500" w:type="pct"/>
          </w:tcPr>
          <w:p w14:paraId="42198135" w14:textId="77777777" w:rsidR="001F04FD" w:rsidRDefault="001F04FD" w:rsidP="00AC4DEE">
            <w:pPr>
              <w:pStyle w:val="TableBody"/>
            </w:pPr>
            <w:r>
              <w:t>Non-Spin Ancillary Service Schedule provided via telemetry.</w:t>
            </w:r>
          </w:p>
        </w:tc>
      </w:tr>
      <w:tr w:rsidR="00DC32AE" w14:paraId="01FA85D5" w14:textId="77777777" w:rsidTr="00DC32AE">
        <w:trPr>
          <w:cantSplit/>
        </w:trPr>
        <w:tc>
          <w:tcPr>
            <w:tcW w:w="1500" w:type="pct"/>
          </w:tcPr>
          <w:p w14:paraId="6F6B1506" w14:textId="603F41C4" w:rsidR="00DC32AE" w:rsidRPr="00114F4D" w:rsidRDefault="00DC32AE" w:rsidP="00DC32AE">
            <w:pPr>
              <w:pStyle w:val="TableBody"/>
              <w:rPr>
                <w:iCs w:val="0"/>
              </w:rPr>
            </w:pPr>
            <w:r>
              <w:rPr>
                <w:iCs w:val="0"/>
              </w:rPr>
              <w:t>EC</w:t>
            </w:r>
            <w:r w:rsidRPr="0003648D">
              <w:rPr>
                <w:iCs w:val="0"/>
              </w:rPr>
              <w:t>RSTELEM</w:t>
            </w:r>
          </w:p>
        </w:tc>
        <w:tc>
          <w:tcPr>
            <w:tcW w:w="3500" w:type="pct"/>
          </w:tcPr>
          <w:p w14:paraId="6AB0214D" w14:textId="75CAD2E4" w:rsidR="00DC32AE" w:rsidRPr="00114F4D" w:rsidRDefault="00DC32AE" w:rsidP="00DC32AE">
            <w:pPr>
              <w:pStyle w:val="TableBody"/>
              <w:rPr>
                <w:iCs w:val="0"/>
              </w:rPr>
            </w:pPr>
            <w:r>
              <w:rPr>
                <w:iCs w:val="0"/>
              </w:rPr>
              <w:t>EC</w:t>
            </w:r>
            <w:r w:rsidRPr="0003648D">
              <w:rPr>
                <w:iCs w:val="0"/>
              </w:rPr>
              <w:t xml:space="preserve">RS Ancillary Service Schedule provided by telemetry. </w:t>
            </w:r>
          </w:p>
        </w:tc>
      </w:tr>
      <w:tr w:rsidR="001F04FD" w14:paraId="6173E843" w14:textId="77777777" w:rsidTr="00AC4DEE">
        <w:trPr>
          <w:cantSplit/>
        </w:trPr>
        <w:tc>
          <w:tcPr>
            <w:tcW w:w="1500" w:type="pct"/>
          </w:tcPr>
          <w:p w14:paraId="02ECDD5A" w14:textId="77777777" w:rsidR="001F04FD" w:rsidRDefault="001F04FD" w:rsidP="00AC4DEE">
            <w:pPr>
              <w:pStyle w:val="TableBody"/>
            </w:pPr>
            <w:r w:rsidRPr="00114F4D">
              <w:rPr>
                <w:iCs w:val="0"/>
              </w:rPr>
              <w:lastRenderedPageBreak/>
              <w:t>NFRCTELEM</w:t>
            </w:r>
          </w:p>
        </w:tc>
        <w:tc>
          <w:tcPr>
            <w:tcW w:w="3500" w:type="pct"/>
          </w:tcPr>
          <w:p w14:paraId="51AC7E3E" w14:textId="26FE795D" w:rsidR="001F04FD" w:rsidRDefault="001F04FD" w:rsidP="00AC4DEE">
            <w:pPr>
              <w:pStyle w:val="TableBody"/>
            </w:pPr>
            <w:r w:rsidRPr="00114F4D">
              <w:rPr>
                <w:iCs w:val="0"/>
              </w:rPr>
              <w:t xml:space="preserve">NFRC currently available (unloaded) and included in the HSL of the Generation Resource with non-zero </w:t>
            </w:r>
            <w:r w:rsidR="00C23DEE">
              <w:t>RRS</w:t>
            </w:r>
            <w:r w:rsidRPr="00114F4D">
              <w:rPr>
                <w:iCs w:val="0"/>
              </w:rPr>
              <w:t xml:space="preserve"> Ancillary Service Schedule telemetry.</w:t>
            </w:r>
          </w:p>
        </w:tc>
      </w:tr>
      <w:tr w:rsidR="00C23DEE" w14:paraId="609D189E" w14:textId="77777777" w:rsidTr="00AC4DEE">
        <w:trPr>
          <w:cantSplit/>
        </w:trPr>
        <w:tc>
          <w:tcPr>
            <w:tcW w:w="1500" w:type="pct"/>
          </w:tcPr>
          <w:p w14:paraId="1D4B79CB" w14:textId="5DE149D4" w:rsidR="00C23DEE" w:rsidRPr="00114F4D" w:rsidRDefault="00C23DEE" w:rsidP="00C23DEE">
            <w:pPr>
              <w:pStyle w:val="TableBody"/>
              <w:rPr>
                <w:iCs w:val="0"/>
              </w:rPr>
            </w:pPr>
            <w:r w:rsidRPr="00F06E8E">
              <w:t>MaxBP</w:t>
            </w:r>
          </w:p>
        </w:tc>
        <w:tc>
          <w:tcPr>
            <w:tcW w:w="3500" w:type="pct"/>
          </w:tcPr>
          <w:p w14:paraId="738C18B7" w14:textId="26DA2714" w:rsidR="00C23DEE" w:rsidRPr="00114F4D" w:rsidRDefault="00C23DEE" w:rsidP="00C23DEE">
            <w:pPr>
              <w:pStyle w:val="TableBody"/>
              <w:rPr>
                <w:iCs w:val="0"/>
              </w:rPr>
            </w:pPr>
            <w:r w:rsidRPr="00F06E8E">
              <w:t>Calculated maximum SCED Base Point possible from available SOC after discounting for SOC required to support telemetered Ancillary Service Resource Responsibilities</w:t>
            </w:r>
            <w:r>
              <w:t>.</w:t>
            </w:r>
          </w:p>
        </w:tc>
      </w:tr>
      <w:tr w:rsidR="00C23DEE" w14:paraId="4B2685BC" w14:textId="77777777" w:rsidTr="00AC4DEE">
        <w:trPr>
          <w:cantSplit/>
        </w:trPr>
        <w:tc>
          <w:tcPr>
            <w:tcW w:w="1500" w:type="pct"/>
          </w:tcPr>
          <w:p w14:paraId="1C002E5A" w14:textId="1A19F4AC" w:rsidR="00C23DEE" w:rsidRPr="00114F4D" w:rsidRDefault="00C23DEE" w:rsidP="00C23DEE">
            <w:pPr>
              <w:pStyle w:val="TableBody"/>
              <w:rPr>
                <w:iCs w:val="0"/>
              </w:rPr>
            </w:pPr>
            <w:r w:rsidRPr="00F06E8E">
              <w:t>REQASSOC</w:t>
            </w:r>
          </w:p>
        </w:tc>
        <w:tc>
          <w:tcPr>
            <w:tcW w:w="3500" w:type="pct"/>
          </w:tcPr>
          <w:p w14:paraId="4DFF0318" w14:textId="70CC2C1E" w:rsidR="00C23DEE" w:rsidRPr="00114F4D" w:rsidRDefault="00C23DEE" w:rsidP="00C23DEE">
            <w:pPr>
              <w:pStyle w:val="TableBody"/>
              <w:rPr>
                <w:iCs w:val="0"/>
              </w:rPr>
            </w:pPr>
            <w:r w:rsidRPr="00F06E8E">
              <w:t xml:space="preserve">Calculated required SOC needed to support Ancillary Service </w:t>
            </w:r>
            <w:r w:rsidRPr="00F06E8E" w:rsidDel="00073398">
              <w:t>Supply</w:t>
            </w:r>
            <w:r w:rsidRPr="00F06E8E">
              <w:t xml:space="preserve"> Resource Responsibilities</w:t>
            </w:r>
            <w:r>
              <w:t xml:space="preserve">, as calculated in paragraph </w:t>
            </w:r>
            <w:r w:rsidRPr="00700F81">
              <w:t>(14)(a)(ii)(A)</w:t>
            </w:r>
            <w:r>
              <w:t xml:space="preserve"> of Section 6.5.5.2</w:t>
            </w:r>
            <w:r w:rsidRPr="00F06E8E">
              <w:t>.</w:t>
            </w:r>
          </w:p>
        </w:tc>
      </w:tr>
      <w:tr w:rsidR="00C23DEE" w14:paraId="1E58BF61" w14:textId="77777777" w:rsidTr="00AC4DEE">
        <w:trPr>
          <w:cantSplit/>
        </w:trPr>
        <w:tc>
          <w:tcPr>
            <w:tcW w:w="1500" w:type="pct"/>
          </w:tcPr>
          <w:p w14:paraId="43A4ED30" w14:textId="63C57F98" w:rsidR="00C23DEE" w:rsidRPr="00114F4D" w:rsidRDefault="00C23DEE" w:rsidP="00C23DEE">
            <w:pPr>
              <w:pStyle w:val="TableBody"/>
              <w:rPr>
                <w:iCs w:val="0"/>
              </w:rPr>
            </w:pPr>
            <w:r w:rsidRPr="00F06E8E">
              <w:t>SOCTELEM</w:t>
            </w:r>
          </w:p>
        </w:tc>
        <w:tc>
          <w:tcPr>
            <w:tcW w:w="3500" w:type="pct"/>
          </w:tcPr>
          <w:p w14:paraId="292C2A1F" w14:textId="2ABCDE6F" w:rsidR="00C23DEE" w:rsidRPr="00114F4D" w:rsidRDefault="00C23DEE" w:rsidP="00C23DEE">
            <w:pPr>
              <w:pStyle w:val="TableBody"/>
              <w:rPr>
                <w:iCs w:val="0"/>
              </w:rPr>
            </w:pPr>
            <w:r w:rsidRPr="00F06E8E">
              <w:t>Current SOC via telemetry</w:t>
            </w:r>
            <w:r>
              <w:t>.</w:t>
            </w:r>
          </w:p>
        </w:tc>
      </w:tr>
      <w:tr w:rsidR="00C23DEE" w14:paraId="182EC365" w14:textId="77777777" w:rsidTr="00AC4DEE">
        <w:trPr>
          <w:cantSplit/>
        </w:trPr>
        <w:tc>
          <w:tcPr>
            <w:tcW w:w="1500" w:type="pct"/>
          </w:tcPr>
          <w:p w14:paraId="34DAC191" w14:textId="2AAE179A" w:rsidR="00C23DEE" w:rsidRPr="00114F4D" w:rsidRDefault="00C23DEE" w:rsidP="00C23DEE">
            <w:pPr>
              <w:pStyle w:val="TableBody"/>
              <w:rPr>
                <w:iCs w:val="0"/>
              </w:rPr>
            </w:pPr>
            <w:r w:rsidRPr="00F06E8E">
              <w:t>MINSOCTELEM</w:t>
            </w:r>
          </w:p>
        </w:tc>
        <w:tc>
          <w:tcPr>
            <w:tcW w:w="3500" w:type="pct"/>
          </w:tcPr>
          <w:p w14:paraId="4740B363" w14:textId="73CC2929" w:rsidR="00C23DEE" w:rsidRPr="00114F4D" w:rsidRDefault="00C23DEE" w:rsidP="00C23DEE">
            <w:pPr>
              <w:pStyle w:val="TableBody"/>
              <w:rPr>
                <w:iCs w:val="0"/>
              </w:rPr>
            </w:pPr>
            <w:r w:rsidRPr="00F06E8E">
              <w:t>MinSOC via telemetry</w:t>
            </w:r>
            <w:r>
              <w:t>.</w:t>
            </w:r>
          </w:p>
        </w:tc>
      </w:tr>
      <w:tr w:rsidR="00C23DEE" w14:paraId="3A4F39A1" w14:textId="77777777" w:rsidTr="00AC4DEE">
        <w:trPr>
          <w:cantSplit/>
        </w:trPr>
        <w:tc>
          <w:tcPr>
            <w:tcW w:w="1500" w:type="pct"/>
          </w:tcPr>
          <w:p w14:paraId="22C8F6BA" w14:textId="7A540F43" w:rsidR="00C23DEE" w:rsidRPr="00114F4D" w:rsidRDefault="00C23DEE" w:rsidP="00C23DEE">
            <w:pPr>
              <w:pStyle w:val="TableBody"/>
              <w:rPr>
                <w:iCs w:val="0"/>
              </w:rPr>
            </w:pPr>
            <w:r w:rsidRPr="00F06E8E">
              <w:t>TSCED</w:t>
            </w:r>
          </w:p>
        </w:tc>
        <w:tc>
          <w:tcPr>
            <w:tcW w:w="3500" w:type="pct"/>
          </w:tcPr>
          <w:p w14:paraId="12AE0DAC" w14:textId="05DA89D6" w:rsidR="00C23DEE" w:rsidRPr="00114F4D" w:rsidRDefault="00C23DEE" w:rsidP="00C23DEE">
            <w:pPr>
              <w:pStyle w:val="TableBody"/>
              <w:rPr>
                <w:iCs w:val="0"/>
              </w:rPr>
            </w:pPr>
            <w:r w:rsidRPr="00F06E8E">
              <w:t>Nominal SCED interval duration = 1/12 hour</w:t>
            </w:r>
            <w:r>
              <w:t>.</w:t>
            </w:r>
          </w:p>
        </w:tc>
      </w:tr>
    </w:tbl>
    <w:p w14:paraId="0A8DA3F5" w14:textId="58ABC647" w:rsidR="001F04FD" w:rsidRDefault="001F04FD" w:rsidP="003D77E1">
      <w:pPr>
        <w:pStyle w:val="BodyTextNumbered"/>
        <w:spacing w:before="240"/>
      </w:pPr>
      <w:r>
        <w:t>(4)</w:t>
      </w:r>
      <w:r>
        <w:tab/>
        <w:t>For Generation Resources, LASL is calculated as follows:</w:t>
      </w:r>
    </w:p>
    <w:p w14:paraId="76D7B1BC" w14:textId="77777777" w:rsidR="001F04FD" w:rsidRDefault="001F04FD" w:rsidP="001F04FD">
      <w:pPr>
        <w:pStyle w:val="FormulaBold"/>
      </w:pPr>
      <w:r>
        <w:t>LASL</w:t>
      </w:r>
      <w:r>
        <w:tab/>
        <w:t>=</w:t>
      </w:r>
      <w:r>
        <w:tab/>
        <w:t>LSLTELEM + RDSTELEM</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469F56E0" w14:textId="77777777" w:rsidTr="00AC4DEE">
        <w:tc>
          <w:tcPr>
            <w:tcW w:w="1500" w:type="pct"/>
          </w:tcPr>
          <w:p w14:paraId="4BCA814B" w14:textId="77777777" w:rsidR="001F04FD" w:rsidRDefault="001F04FD" w:rsidP="00AC4DEE">
            <w:pPr>
              <w:pStyle w:val="TableHead"/>
            </w:pPr>
            <w:r>
              <w:t>Variable</w:t>
            </w:r>
          </w:p>
        </w:tc>
        <w:tc>
          <w:tcPr>
            <w:tcW w:w="3500" w:type="pct"/>
          </w:tcPr>
          <w:p w14:paraId="32CEE7CC" w14:textId="77777777" w:rsidR="001F04FD" w:rsidRDefault="001F04FD" w:rsidP="00AC4DEE">
            <w:pPr>
              <w:pStyle w:val="TableHead"/>
            </w:pPr>
            <w:r>
              <w:t>Description</w:t>
            </w:r>
          </w:p>
        </w:tc>
      </w:tr>
      <w:tr w:rsidR="001F04FD" w14:paraId="3E347625" w14:textId="77777777" w:rsidTr="00AC4DEE">
        <w:trPr>
          <w:cantSplit/>
        </w:trPr>
        <w:tc>
          <w:tcPr>
            <w:tcW w:w="1500" w:type="pct"/>
          </w:tcPr>
          <w:p w14:paraId="69D49A14" w14:textId="77777777" w:rsidR="001F04FD" w:rsidRDefault="001F04FD" w:rsidP="00AC4DEE">
            <w:pPr>
              <w:pStyle w:val="TableBody"/>
            </w:pPr>
            <w:r>
              <w:t>LASL</w:t>
            </w:r>
          </w:p>
        </w:tc>
        <w:tc>
          <w:tcPr>
            <w:tcW w:w="3500" w:type="pct"/>
          </w:tcPr>
          <w:p w14:paraId="1C27CEC7" w14:textId="77777777" w:rsidR="001F04FD" w:rsidRDefault="001F04FD" w:rsidP="00AC4DEE">
            <w:pPr>
              <w:pStyle w:val="TableBody"/>
            </w:pPr>
            <w:r>
              <w:t>Low Ancillary Service Limit.</w:t>
            </w:r>
          </w:p>
        </w:tc>
      </w:tr>
      <w:tr w:rsidR="001F04FD" w14:paraId="5D3235E5" w14:textId="77777777" w:rsidTr="00AC4DEE">
        <w:trPr>
          <w:cantSplit/>
        </w:trPr>
        <w:tc>
          <w:tcPr>
            <w:tcW w:w="1500" w:type="pct"/>
          </w:tcPr>
          <w:p w14:paraId="7DA538B6" w14:textId="77777777" w:rsidR="001F04FD" w:rsidRDefault="001F04FD" w:rsidP="00AC4DEE">
            <w:pPr>
              <w:pStyle w:val="TableBody"/>
            </w:pPr>
            <w:r>
              <w:t>LSLTELEM</w:t>
            </w:r>
          </w:p>
        </w:tc>
        <w:tc>
          <w:tcPr>
            <w:tcW w:w="3500" w:type="pct"/>
          </w:tcPr>
          <w:p w14:paraId="467DA510" w14:textId="77777777" w:rsidR="001F04FD" w:rsidRDefault="001F04FD" w:rsidP="00AC4DEE">
            <w:pPr>
              <w:pStyle w:val="TableBody"/>
            </w:pPr>
            <w:r>
              <w:t>Low Sustained Limit provided via telemetry.</w:t>
            </w:r>
          </w:p>
        </w:tc>
      </w:tr>
      <w:tr w:rsidR="001F04FD" w14:paraId="32AD950F" w14:textId="77777777" w:rsidTr="00AC4DEE">
        <w:trPr>
          <w:cantSplit/>
        </w:trPr>
        <w:tc>
          <w:tcPr>
            <w:tcW w:w="1500" w:type="pct"/>
          </w:tcPr>
          <w:p w14:paraId="6A4A7F49" w14:textId="77777777" w:rsidR="001F04FD" w:rsidRDefault="001F04FD" w:rsidP="00AC4DEE">
            <w:pPr>
              <w:pStyle w:val="TableBody"/>
            </w:pPr>
            <w:r>
              <w:t>RDSTELEM</w:t>
            </w:r>
          </w:p>
        </w:tc>
        <w:tc>
          <w:tcPr>
            <w:tcW w:w="3500" w:type="pct"/>
          </w:tcPr>
          <w:p w14:paraId="4701FF57" w14:textId="77777777" w:rsidR="001F04FD" w:rsidRDefault="001F04FD" w:rsidP="00AC4DEE">
            <w:pPr>
              <w:pStyle w:val="TableBody"/>
            </w:pPr>
            <w:r>
              <w:t>Reg-Down Ancillary Service Resource Responsibility designation provided by telemetry.</w:t>
            </w:r>
          </w:p>
        </w:tc>
      </w:tr>
    </w:tbl>
    <w:p w14:paraId="483C1BDE" w14:textId="77777777" w:rsidR="001F04FD" w:rsidRDefault="001F04FD" w:rsidP="001F04FD"/>
    <w:p w14:paraId="11DC340C" w14:textId="77777777" w:rsidR="00286EDB" w:rsidRDefault="00286EDB" w:rsidP="00286EDB">
      <w:pPr>
        <w:pStyle w:val="BodyTextNumbered"/>
      </w:pPr>
      <w:r>
        <w:t>(5)</w:t>
      </w:r>
      <w:r>
        <w:tab/>
        <w:t>For each Generation Resource, the SURAMP is calculated as follows:</w:t>
      </w:r>
    </w:p>
    <w:p w14:paraId="47C56050" w14:textId="77777777" w:rsidR="00286EDB" w:rsidRDefault="00286EDB" w:rsidP="00286EDB">
      <w:pPr>
        <w:pStyle w:val="FormulaBold"/>
        <w:ind w:left="3150" w:hanging="2430"/>
        <w:rPr>
          <w:lang w:val="de-DE"/>
        </w:rPr>
      </w:pPr>
      <w:r>
        <w:rPr>
          <w:lang w:val="de-DE"/>
        </w:rPr>
        <w:t>SURAMP</w:t>
      </w:r>
      <w:r>
        <w:rPr>
          <w:lang w:val="de-DE"/>
        </w:rPr>
        <w:tab/>
        <w:t>=</w:t>
      </w:r>
      <w:r>
        <w:rPr>
          <w:lang w:val="de-DE"/>
        </w:rPr>
        <w:tab/>
        <w:t>RAMPRATE – (1 – RDSDEPLP) * (RUSTELEM / 7)</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14:paraId="2966A567" w14:textId="77777777" w:rsidTr="00F12CF4">
        <w:tc>
          <w:tcPr>
            <w:tcW w:w="1500" w:type="pct"/>
          </w:tcPr>
          <w:p w14:paraId="7A0CC07D" w14:textId="77777777" w:rsidR="00286EDB" w:rsidRDefault="00286EDB" w:rsidP="00F12CF4">
            <w:pPr>
              <w:pStyle w:val="TableHead"/>
            </w:pPr>
            <w:r>
              <w:t>Variable</w:t>
            </w:r>
          </w:p>
        </w:tc>
        <w:tc>
          <w:tcPr>
            <w:tcW w:w="3500" w:type="pct"/>
          </w:tcPr>
          <w:p w14:paraId="56417D09" w14:textId="77777777" w:rsidR="00286EDB" w:rsidRDefault="00286EDB" w:rsidP="00F12CF4">
            <w:pPr>
              <w:pStyle w:val="TableHead"/>
            </w:pPr>
            <w:r>
              <w:t>Description</w:t>
            </w:r>
          </w:p>
        </w:tc>
      </w:tr>
      <w:tr w:rsidR="00286EDB" w14:paraId="632F014A" w14:textId="77777777" w:rsidTr="00F12CF4">
        <w:trPr>
          <w:cantSplit/>
        </w:trPr>
        <w:tc>
          <w:tcPr>
            <w:tcW w:w="1500" w:type="pct"/>
          </w:tcPr>
          <w:p w14:paraId="61E41FCE" w14:textId="77777777" w:rsidR="00286EDB" w:rsidRDefault="00286EDB" w:rsidP="00F12CF4">
            <w:pPr>
              <w:pStyle w:val="TableBody"/>
            </w:pPr>
            <w:r>
              <w:t>SURAMP</w:t>
            </w:r>
          </w:p>
        </w:tc>
        <w:tc>
          <w:tcPr>
            <w:tcW w:w="3500" w:type="pct"/>
          </w:tcPr>
          <w:p w14:paraId="07A5154E" w14:textId="77777777" w:rsidR="00286EDB" w:rsidRDefault="00286EDB" w:rsidP="00F12CF4">
            <w:pPr>
              <w:pStyle w:val="TableBody"/>
            </w:pPr>
            <w:r>
              <w:t>SCED Up Ramp Rate.</w:t>
            </w:r>
          </w:p>
        </w:tc>
      </w:tr>
      <w:tr w:rsidR="00286EDB" w14:paraId="15F71C45" w14:textId="77777777" w:rsidTr="00F12CF4">
        <w:trPr>
          <w:cantSplit/>
        </w:trPr>
        <w:tc>
          <w:tcPr>
            <w:tcW w:w="1500" w:type="pct"/>
          </w:tcPr>
          <w:p w14:paraId="1D515751" w14:textId="77777777" w:rsidR="00286EDB" w:rsidRDefault="00286EDB" w:rsidP="00F12CF4">
            <w:pPr>
              <w:pStyle w:val="TableBody"/>
              <w:rPr>
                <w:highlight w:val="yellow"/>
              </w:rPr>
            </w:pPr>
            <w:r>
              <w:t>RAMPRATE</w:t>
            </w:r>
          </w:p>
        </w:tc>
        <w:tc>
          <w:tcPr>
            <w:tcW w:w="3500" w:type="pct"/>
          </w:tcPr>
          <w:p w14:paraId="548F7353" w14:textId="6C6FEF73" w:rsidR="00286EDB" w:rsidRDefault="00286EDB" w:rsidP="00F12CF4">
            <w:pPr>
              <w:pStyle w:val="TableBody"/>
            </w:pPr>
            <w:r>
              <w:t xml:space="preserve">Normal Ramp Rate up, as telemetered by the QSE, when </w:t>
            </w:r>
            <w:r w:rsidR="00DC32AE">
              <w:t>ECRS</w:t>
            </w:r>
            <w:r>
              <w:t xml:space="preserve"> is not deployed or when the subject Resource is not providing </w:t>
            </w:r>
            <w:r w:rsidR="00DC32AE">
              <w:t>ECRS</w:t>
            </w:r>
            <w:r>
              <w:t>.</w:t>
            </w:r>
          </w:p>
          <w:p w14:paraId="1E481A23" w14:textId="0C838035" w:rsidR="00286EDB" w:rsidRDefault="00286EDB" w:rsidP="00F12CF4">
            <w:pPr>
              <w:pStyle w:val="TableBody"/>
            </w:pPr>
            <w:r>
              <w:t xml:space="preserve">Emergency Ramp Rate up, as telemetered by the QSE, for Resources deploying </w:t>
            </w:r>
            <w:r w:rsidR="00DC32AE">
              <w:t>ECRS</w:t>
            </w:r>
            <w:r>
              <w:t>.</w:t>
            </w:r>
          </w:p>
          <w:p w14:paraId="5DEE31BE" w14:textId="77777777" w:rsidR="00286EDB" w:rsidRDefault="00286EDB" w:rsidP="00F12CF4">
            <w:pPr>
              <w:pStyle w:val="TableBody"/>
            </w:pPr>
          </w:p>
        </w:tc>
      </w:tr>
      <w:tr w:rsidR="00286EDB" w14:paraId="55BD792F" w14:textId="77777777" w:rsidTr="00F12CF4">
        <w:trPr>
          <w:cantSplit/>
        </w:trPr>
        <w:tc>
          <w:tcPr>
            <w:tcW w:w="1500" w:type="pct"/>
          </w:tcPr>
          <w:p w14:paraId="4404392A" w14:textId="77777777" w:rsidR="00286EDB" w:rsidRDefault="00286EDB" w:rsidP="00F12CF4">
            <w:pPr>
              <w:pStyle w:val="TableBody"/>
            </w:pPr>
            <w:r>
              <w:t>RUSTELEM</w:t>
            </w:r>
          </w:p>
        </w:tc>
        <w:tc>
          <w:tcPr>
            <w:tcW w:w="3500" w:type="pct"/>
          </w:tcPr>
          <w:p w14:paraId="7111DFA4" w14:textId="77777777" w:rsidR="00286EDB" w:rsidRDefault="00286EDB" w:rsidP="00F12CF4">
            <w:pPr>
              <w:pStyle w:val="TableBody"/>
            </w:pPr>
            <w:r>
              <w:t>Reg-Up Ancillary Service Resource Responsibility designation provided by telemetry.</w:t>
            </w:r>
          </w:p>
        </w:tc>
      </w:tr>
      <w:tr w:rsidR="00286EDB" w:rsidDel="004409E7" w14:paraId="30C5AD6A"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60DEDB69" w14:textId="77777777" w:rsidR="00286EDB" w:rsidRPr="003B2085" w:rsidDel="004409E7" w:rsidRDefault="00286EDB" w:rsidP="00F12CF4">
            <w:pPr>
              <w:pStyle w:val="TableBody"/>
            </w:pPr>
            <w:r>
              <w:t>RDSDEPLP</w:t>
            </w:r>
          </w:p>
        </w:tc>
        <w:tc>
          <w:tcPr>
            <w:tcW w:w="3500" w:type="pct"/>
            <w:tcBorders>
              <w:top w:val="single" w:sz="4" w:space="0" w:color="auto"/>
              <w:left w:val="single" w:sz="4" w:space="0" w:color="auto"/>
              <w:bottom w:val="single" w:sz="4" w:space="0" w:color="auto"/>
              <w:right w:val="single" w:sz="4" w:space="0" w:color="auto"/>
            </w:tcBorders>
          </w:tcPr>
          <w:p w14:paraId="60943517" w14:textId="77777777" w:rsidR="00286EDB" w:rsidRPr="003B2085" w:rsidDel="004409E7" w:rsidRDefault="00286EDB" w:rsidP="00F12CF4">
            <w:pPr>
              <w:pStyle w:val="TableBody"/>
            </w:pPr>
            <w:r>
              <w:t>Percentage of system-wide Reg-Down Ancillary Resource Responsibility deployed by LFC.  This value shall not exceed 100% and controls the amount of ramp rate reserved for Regulation Service in Real-Time.</w:t>
            </w:r>
          </w:p>
        </w:tc>
      </w:tr>
    </w:tbl>
    <w:p w14:paraId="69CD5F1C" w14:textId="77777777" w:rsidR="001F04FD" w:rsidRDefault="001F04FD" w:rsidP="000073DF">
      <w:pPr>
        <w:pStyle w:val="BodyTextNumbered"/>
        <w:spacing w:before="240" w:after="0"/>
      </w:pPr>
      <w:r>
        <w:t>(6)</w:t>
      </w:r>
      <w:r>
        <w:tab/>
        <w:t>For each Generation Resource, the SDRAMP is calculated as follows:</w:t>
      </w:r>
    </w:p>
    <w:p w14:paraId="06C6A44B" w14:textId="77777777" w:rsidR="001F04FD" w:rsidRDefault="001F04FD" w:rsidP="001F04FD">
      <w:pPr>
        <w:pStyle w:val="BodyTextNumbered"/>
        <w:spacing w:after="0"/>
      </w:pPr>
    </w:p>
    <w:p w14:paraId="7A2366F7" w14:textId="77777777" w:rsidR="00286EDB" w:rsidRDefault="00286EDB" w:rsidP="00286EDB">
      <w:pPr>
        <w:pStyle w:val="FormulaBold"/>
        <w:rPr>
          <w:lang w:val="de-DE"/>
        </w:rPr>
      </w:pPr>
      <w:r>
        <w:rPr>
          <w:lang w:val="de-DE"/>
        </w:rPr>
        <w:t>SDRAMP</w:t>
      </w:r>
      <w:r>
        <w:rPr>
          <w:lang w:val="de-DE"/>
        </w:rPr>
        <w:tab/>
        <w:t>=</w:t>
      </w:r>
      <w:r>
        <w:rPr>
          <w:lang w:val="de-DE"/>
        </w:rPr>
        <w:tab/>
        <w:t>NORMRAMP – (1 – RUSDEPLP) * (RDSTELEM / 7)</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14:paraId="3A7FEB24" w14:textId="77777777" w:rsidTr="00F12CF4">
        <w:trPr>
          <w:tblHeader/>
        </w:trPr>
        <w:tc>
          <w:tcPr>
            <w:tcW w:w="1500" w:type="pct"/>
          </w:tcPr>
          <w:p w14:paraId="3B320259" w14:textId="77777777" w:rsidR="00286EDB" w:rsidRDefault="00286EDB" w:rsidP="00F12CF4">
            <w:pPr>
              <w:pStyle w:val="TableHead"/>
            </w:pPr>
            <w:r>
              <w:t>Variable</w:t>
            </w:r>
          </w:p>
        </w:tc>
        <w:tc>
          <w:tcPr>
            <w:tcW w:w="3500" w:type="pct"/>
          </w:tcPr>
          <w:p w14:paraId="0890EA79" w14:textId="77777777" w:rsidR="00286EDB" w:rsidRDefault="00286EDB" w:rsidP="00F12CF4">
            <w:pPr>
              <w:pStyle w:val="TableHead"/>
            </w:pPr>
            <w:r>
              <w:t>Description</w:t>
            </w:r>
          </w:p>
        </w:tc>
      </w:tr>
      <w:tr w:rsidR="00286EDB" w14:paraId="02DE8E1A" w14:textId="77777777" w:rsidTr="00F12CF4">
        <w:trPr>
          <w:cantSplit/>
        </w:trPr>
        <w:tc>
          <w:tcPr>
            <w:tcW w:w="1500" w:type="pct"/>
          </w:tcPr>
          <w:p w14:paraId="586C8CFB" w14:textId="77777777" w:rsidR="00286EDB" w:rsidRDefault="00286EDB" w:rsidP="00F12CF4">
            <w:pPr>
              <w:pStyle w:val="TableBody"/>
            </w:pPr>
            <w:r>
              <w:t>SDRAMP</w:t>
            </w:r>
          </w:p>
        </w:tc>
        <w:tc>
          <w:tcPr>
            <w:tcW w:w="3500" w:type="pct"/>
          </w:tcPr>
          <w:p w14:paraId="57696F45" w14:textId="77777777" w:rsidR="00286EDB" w:rsidRDefault="00286EDB" w:rsidP="00F12CF4">
            <w:pPr>
              <w:pStyle w:val="TableBody"/>
            </w:pPr>
            <w:r>
              <w:t>SCED Down Ramp Rate.</w:t>
            </w:r>
          </w:p>
        </w:tc>
      </w:tr>
      <w:tr w:rsidR="00286EDB" w14:paraId="1455C1B7" w14:textId="77777777" w:rsidTr="00F12CF4">
        <w:trPr>
          <w:cantSplit/>
        </w:trPr>
        <w:tc>
          <w:tcPr>
            <w:tcW w:w="1500" w:type="pct"/>
          </w:tcPr>
          <w:p w14:paraId="2EFE1B5E" w14:textId="77777777" w:rsidR="00286EDB" w:rsidRDefault="00286EDB" w:rsidP="00F12CF4">
            <w:pPr>
              <w:pStyle w:val="TableBody"/>
            </w:pPr>
            <w:r>
              <w:t>NORMRAMP</w:t>
            </w:r>
          </w:p>
        </w:tc>
        <w:tc>
          <w:tcPr>
            <w:tcW w:w="3500" w:type="pct"/>
          </w:tcPr>
          <w:p w14:paraId="656CA729" w14:textId="77777777" w:rsidR="00286EDB" w:rsidRDefault="00286EDB" w:rsidP="00F12CF4">
            <w:pPr>
              <w:pStyle w:val="TableBody"/>
            </w:pPr>
            <w:r>
              <w:t>Normal Ramp Rate down, as telemetered by the QSE.</w:t>
            </w:r>
          </w:p>
        </w:tc>
      </w:tr>
      <w:tr w:rsidR="00286EDB" w14:paraId="7DCCAD27" w14:textId="77777777" w:rsidTr="00F12CF4">
        <w:trPr>
          <w:cantSplit/>
        </w:trPr>
        <w:tc>
          <w:tcPr>
            <w:tcW w:w="1500" w:type="pct"/>
          </w:tcPr>
          <w:p w14:paraId="38F53996" w14:textId="77777777" w:rsidR="00286EDB" w:rsidRDefault="00286EDB" w:rsidP="00F12CF4">
            <w:pPr>
              <w:pStyle w:val="TableBody"/>
            </w:pPr>
            <w:r>
              <w:lastRenderedPageBreak/>
              <w:t>RDSTELEM</w:t>
            </w:r>
          </w:p>
        </w:tc>
        <w:tc>
          <w:tcPr>
            <w:tcW w:w="3500" w:type="pct"/>
          </w:tcPr>
          <w:p w14:paraId="32AEFA7F" w14:textId="77777777" w:rsidR="00286EDB" w:rsidRDefault="00286EDB" w:rsidP="00F12CF4">
            <w:pPr>
              <w:pStyle w:val="TableBody"/>
            </w:pPr>
            <w:r>
              <w:t>Reg-Down Ancillary Service Resource Responsibility designation by Resource provided via telemetry.</w:t>
            </w:r>
          </w:p>
        </w:tc>
      </w:tr>
      <w:tr w:rsidR="00286EDB" w:rsidDel="004409E7" w14:paraId="1AB86CE8"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301BBB43" w14:textId="77777777" w:rsidR="00286EDB" w:rsidDel="004409E7" w:rsidRDefault="00286EDB" w:rsidP="00F12CF4">
            <w:pPr>
              <w:pStyle w:val="TableBody"/>
            </w:pPr>
            <w:r>
              <w:t>RUSDEPLP</w:t>
            </w:r>
          </w:p>
        </w:tc>
        <w:tc>
          <w:tcPr>
            <w:tcW w:w="3500" w:type="pct"/>
            <w:tcBorders>
              <w:top w:val="single" w:sz="4" w:space="0" w:color="auto"/>
              <w:left w:val="single" w:sz="4" w:space="0" w:color="auto"/>
              <w:bottom w:val="single" w:sz="4" w:space="0" w:color="auto"/>
              <w:right w:val="single" w:sz="4" w:space="0" w:color="auto"/>
            </w:tcBorders>
          </w:tcPr>
          <w:p w14:paraId="32EBCA30" w14:textId="77777777" w:rsidR="00286EDB" w:rsidDel="004409E7" w:rsidRDefault="00286EDB" w:rsidP="00F12CF4">
            <w:pPr>
              <w:pStyle w:val="TableBody"/>
            </w:pPr>
            <w:r>
              <w:t>Percentage of system-wide Reg-Up Ancillary Resource Responsibility deployed by LFC.  This value shall not exceed 100% and controls the amount of ramp rate reserved for Regulation Service in Real-Time.</w:t>
            </w:r>
          </w:p>
        </w:tc>
      </w:tr>
    </w:tbl>
    <w:p w14:paraId="510D1861" w14:textId="77777777" w:rsidR="001F04FD" w:rsidRPr="000149E5" w:rsidRDefault="001F04FD" w:rsidP="000073DF">
      <w:pPr>
        <w:pStyle w:val="BodyTextNumbered"/>
        <w:spacing w:before="240"/>
        <w:rPr>
          <w:iCs/>
        </w:rPr>
      </w:pPr>
      <w:r w:rsidRPr="000149E5">
        <w:rPr>
          <w:iCs/>
        </w:rPr>
        <w:t>(7)</w:t>
      </w:r>
      <w:r w:rsidRPr="000149E5">
        <w:rPr>
          <w:iCs/>
        </w:rPr>
        <w:tab/>
        <w:t>For Generation Resources, HDL is calculated as follows:</w:t>
      </w:r>
    </w:p>
    <w:p w14:paraId="7E6D2B55" w14:textId="77777777" w:rsidR="001F04FD" w:rsidRPr="000149E5" w:rsidRDefault="001F04FD" w:rsidP="001F04FD">
      <w:pPr>
        <w:pStyle w:val="BodyTextNumbered"/>
        <w:ind w:left="1440"/>
        <w:rPr>
          <w:iCs/>
        </w:rPr>
      </w:pPr>
      <w:r w:rsidRPr="000149E5">
        <w:rPr>
          <w:iCs/>
        </w:rPr>
        <w:t>(a)</w:t>
      </w:r>
      <w:r w:rsidRPr="000149E5">
        <w:rPr>
          <w:iCs/>
        </w:rPr>
        <w:tab/>
        <w:t>If the telemetered Resource Status is SHUTDOWN, then</w:t>
      </w:r>
    </w:p>
    <w:p w14:paraId="3D2463E0" w14:textId="77777777" w:rsidR="001F04FD" w:rsidRPr="000149E5" w:rsidRDefault="001F04FD" w:rsidP="001F04FD">
      <w:pPr>
        <w:pStyle w:val="BodyTextNumbered"/>
        <w:ind w:left="1440"/>
        <w:rPr>
          <w:b/>
          <w:iCs/>
        </w:rPr>
      </w:pPr>
      <w:r w:rsidRPr="000149E5">
        <w:rPr>
          <w:b/>
          <w:iCs/>
        </w:rPr>
        <w:t>HDL</w:t>
      </w:r>
      <w:r w:rsidRPr="000149E5">
        <w:rPr>
          <w:b/>
          <w:iCs/>
        </w:rPr>
        <w:tab/>
        <w:t>=</w:t>
      </w:r>
      <w:r w:rsidRPr="000149E5">
        <w:rPr>
          <w:b/>
          <w:iCs/>
        </w:rPr>
        <w:tab/>
        <w:t>POWERTELEM – (SDRAMP * 5)</w:t>
      </w:r>
    </w:p>
    <w:p w14:paraId="381855ED" w14:textId="77777777" w:rsidR="001F04FD" w:rsidRPr="000149E5" w:rsidRDefault="001F04FD" w:rsidP="001F04FD">
      <w:pPr>
        <w:pStyle w:val="BodyTextNumbered"/>
        <w:ind w:left="1440"/>
        <w:rPr>
          <w:iCs/>
        </w:rPr>
      </w:pPr>
      <w:r w:rsidRPr="000149E5">
        <w:rPr>
          <w:iCs/>
        </w:rPr>
        <w:t>(b)</w:t>
      </w:r>
      <w:r w:rsidRPr="000149E5">
        <w:rPr>
          <w:iCs/>
        </w:rPr>
        <w:tab/>
        <w:t xml:space="preserve">If the telemetered Resource Status is any </w:t>
      </w:r>
      <w:r>
        <w:rPr>
          <w:iCs/>
        </w:rPr>
        <w:t>status code specified in item (5</w:t>
      </w:r>
      <w:r w:rsidRPr="000149E5">
        <w:rPr>
          <w:iCs/>
        </w:rPr>
        <w:t>)(b)(i) of Section 3.9.1, Current Operating Plan (COP) Criteria, other than SHUTDOWN, then</w:t>
      </w:r>
    </w:p>
    <w:p w14:paraId="18A53EDD" w14:textId="77777777" w:rsidR="001F04FD" w:rsidRPr="002A11A6" w:rsidRDefault="001F04FD" w:rsidP="001F04FD">
      <w:pPr>
        <w:spacing w:after="240"/>
        <w:ind w:left="1440" w:hanging="720"/>
        <w:rPr>
          <w:b/>
        </w:rPr>
      </w:pPr>
      <w:r w:rsidRPr="002A11A6">
        <w:rPr>
          <w:b/>
        </w:rPr>
        <w:t>HDL</w:t>
      </w:r>
      <w:r w:rsidRPr="002A11A6">
        <w:rPr>
          <w:b/>
        </w:rPr>
        <w:tab/>
        <w:t>=</w:t>
      </w:r>
      <w:r w:rsidRPr="002A11A6">
        <w:rPr>
          <w:b/>
        </w:rPr>
        <w:tab/>
        <w:t>Min (POWERTELEM + (SURAMP * 5), HASL)</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0716A617" w14:textId="77777777" w:rsidTr="00AC4DEE">
        <w:tc>
          <w:tcPr>
            <w:tcW w:w="1500" w:type="pct"/>
          </w:tcPr>
          <w:p w14:paraId="16696EFE" w14:textId="77777777" w:rsidR="001F04FD" w:rsidRDefault="001F04FD" w:rsidP="00AC4DEE">
            <w:pPr>
              <w:pStyle w:val="TableHead"/>
            </w:pPr>
            <w:r>
              <w:t>Variable</w:t>
            </w:r>
          </w:p>
        </w:tc>
        <w:tc>
          <w:tcPr>
            <w:tcW w:w="3500" w:type="pct"/>
          </w:tcPr>
          <w:p w14:paraId="65D3BD6B" w14:textId="77777777" w:rsidR="001F04FD" w:rsidRDefault="001F04FD" w:rsidP="00AC4DEE">
            <w:pPr>
              <w:pStyle w:val="TableHead"/>
            </w:pPr>
            <w:r>
              <w:t>Description</w:t>
            </w:r>
          </w:p>
        </w:tc>
      </w:tr>
      <w:tr w:rsidR="001F04FD" w14:paraId="4EB46D87" w14:textId="77777777" w:rsidTr="00AC4DEE">
        <w:trPr>
          <w:cantSplit/>
        </w:trPr>
        <w:tc>
          <w:tcPr>
            <w:tcW w:w="1500" w:type="pct"/>
          </w:tcPr>
          <w:p w14:paraId="0AEE6945" w14:textId="77777777" w:rsidR="001F04FD" w:rsidRDefault="001F04FD" w:rsidP="00AC4DEE">
            <w:pPr>
              <w:pStyle w:val="TableBody"/>
              <w:rPr>
                <w:highlight w:val="green"/>
              </w:rPr>
            </w:pPr>
            <w:r>
              <w:t>HDL</w:t>
            </w:r>
          </w:p>
        </w:tc>
        <w:tc>
          <w:tcPr>
            <w:tcW w:w="3500" w:type="pct"/>
          </w:tcPr>
          <w:p w14:paraId="77493648" w14:textId="77777777" w:rsidR="001F04FD" w:rsidRDefault="001F04FD" w:rsidP="00AC4DEE">
            <w:pPr>
              <w:pStyle w:val="TableBody"/>
              <w:rPr>
                <w:highlight w:val="yellow"/>
              </w:rPr>
            </w:pPr>
            <w:r>
              <w:t>High Dispatch Limit.</w:t>
            </w:r>
          </w:p>
        </w:tc>
      </w:tr>
      <w:tr w:rsidR="001F04FD" w14:paraId="08A0C38B" w14:textId="77777777" w:rsidTr="00AC4DEE">
        <w:trPr>
          <w:cantSplit/>
        </w:trPr>
        <w:tc>
          <w:tcPr>
            <w:tcW w:w="1500" w:type="pct"/>
          </w:tcPr>
          <w:p w14:paraId="7ADABA2B" w14:textId="77777777" w:rsidR="001F04FD" w:rsidRDefault="001F04FD" w:rsidP="00AC4DEE">
            <w:pPr>
              <w:pStyle w:val="TableBody"/>
            </w:pPr>
            <w:r>
              <w:t>POWERTELEM</w:t>
            </w:r>
          </w:p>
        </w:tc>
        <w:tc>
          <w:tcPr>
            <w:tcW w:w="3500" w:type="pct"/>
          </w:tcPr>
          <w:p w14:paraId="3424F391" w14:textId="77777777" w:rsidR="001F04FD" w:rsidRDefault="001F04FD" w:rsidP="00AC4DEE">
            <w:pPr>
              <w:pStyle w:val="TableBody"/>
            </w:pPr>
            <w:r>
              <w:t xml:space="preserve">Gross or net real power provided via telemetry. </w:t>
            </w:r>
          </w:p>
        </w:tc>
      </w:tr>
      <w:tr w:rsidR="001F04FD" w14:paraId="2B38644B" w14:textId="77777777" w:rsidTr="00AC4DEE">
        <w:trPr>
          <w:cantSplit/>
        </w:trPr>
        <w:tc>
          <w:tcPr>
            <w:tcW w:w="1500" w:type="pct"/>
          </w:tcPr>
          <w:p w14:paraId="1A7A5203" w14:textId="77777777" w:rsidR="001F04FD" w:rsidRDefault="001F04FD" w:rsidP="00AC4DEE">
            <w:pPr>
              <w:pStyle w:val="TableBody"/>
            </w:pPr>
            <w:r>
              <w:t>SURAMP</w:t>
            </w:r>
          </w:p>
        </w:tc>
        <w:tc>
          <w:tcPr>
            <w:tcW w:w="3500" w:type="pct"/>
          </w:tcPr>
          <w:p w14:paraId="61A8FE80" w14:textId="77777777" w:rsidR="001F04FD" w:rsidRDefault="001F04FD" w:rsidP="00AC4DEE">
            <w:pPr>
              <w:pStyle w:val="TableBody"/>
            </w:pPr>
            <w:r>
              <w:t>SCED Up Ramp Rate.</w:t>
            </w:r>
          </w:p>
        </w:tc>
      </w:tr>
      <w:tr w:rsidR="001F04FD" w14:paraId="178786B6" w14:textId="77777777" w:rsidTr="00AC4DEE">
        <w:trPr>
          <w:cantSplit/>
        </w:trPr>
        <w:tc>
          <w:tcPr>
            <w:tcW w:w="1500" w:type="pct"/>
          </w:tcPr>
          <w:p w14:paraId="2D6C6B63" w14:textId="77777777" w:rsidR="001F04FD" w:rsidRDefault="001F04FD" w:rsidP="00AC4DEE">
            <w:pPr>
              <w:pStyle w:val="TableBody"/>
            </w:pPr>
            <w:r>
              <w:t>SDRAMP</w:t>
            </w:r>
          </w:p>
        </w:tc>
        <w:tc>
          <w:tcPr>
            <w:tcW w:w="3500" w:type="pct"/>
          </w:tcPr>
          <w:p w14:paraId="33607C26" w14:textId="77777777" w:rsidR="001F04FD" w:rsidRDefault="001F04FD" w:rsidP="00AC4DEE">
            <w:pPr>
              <w:pStyle w:val="TableBody"/>
            </w:pPr>
            <w:r>
              <w:t>SCED Down Ramp Rate.</w:t>
            </w:r>
          </w:p>
        </w:tc>
      </w:tr>
      <w:tr w:rsidR="001F04FD" w14:paraId="09EC4C00" w14:textId="77777777" w:rsidTr="00AC4DEE">
        <w:trPr>
          <w:cantSplit/>
        </w:trPr>
        <w:tc>
          <w:tcPr>
            <w:tcW w:w="1500" w:type="pct"/>
          </w:tcPr>
          <w:p w14:paraId="4547C3D7" w14:textId="77777777" w:rsidR="001F04FD" w:rsidRDefault="001F04FD" w:rsidP="00AC4DEE">
            <w:pPr>
              <w:pStyle w:val="TableBody"/>
            </w:pPr>
            <w:r>
              <w:t>HASL</w:t>
            </w:r>
          </w:p>
        </w:tc>
        <w:tc>
          <w:tcPr>
            <w:tcW w:w="3500" w:type="pct"/>
          </w:tcPr>
          <w:p w14:paraId="6D30F322" w14:textId="77777777" w:rsidR="001F04FD" w:rsidRDefault="001F04FD" w:rsidP="00AC4DEE">
            <w:pPr>
              <w:pStyle w:val="TableBody"/>
            </w:pPr>
            <w:r>
              <w:t>High Ancillary Service Limit – definition provided in Section 2, Definitions and Acronyms.</w:t>
            </w:r>
          </w:p>
        </w:tc>
      </w:tr>
    </w:tbl>
    <w:p w14:paraId="492C5E29" w14:textId="77777777" w:rsidR="001F04FD" w:rsidRPr="000149E5" w:rsidRDefault="001F04FD" w:rsidP="001F04FD">
      <w:pPr>
        <w:pStyle w:val="BodyTextNumbered"/>
        <w:ind w:left="0" w:firstLine="0"/>
        <w:rPr>
          <w:iCs/>
        </w:rPr>
      </w:pPr>
      <w:r w:rsidRPr="000149E5">
        <w:rPr>
          <w:iCs/>
        </w:rPr>
        <w:br/>
        <w:t>(8)</w:t>
      </w:r>
      <w:r w:rsidRPr="000149E5">
        <w:rPr>
          <w:iCs/>
        </w:rPr>
        <w:tab/>
        <w:t>For Generation Resources, LDL is calculated as follows:</w:t>
      </w:r>
    </w:p>
    <w:p w14:paraId="462533A5" w14:textId="77777777" w:rsidR="001F04FD" w:rsidRPr="000149E5" w:rsidRDefault="001F04FD" w:rsidP="001F04FD">
      <w:pPr>
        <w:pStyle w:val="BodyTextNumbered"/>
        <w:ind w:left="1440"/>
        <w:rPr>
          <w:iCs/>
        </w:rPr>
      </w:pPr>
      <w:r w:rsidRPr="000149E5">
        <w:rPr>
          <w:iCs/>
        </w:rPr>
        <w:t>(a)</w:t>
      </w:r>
      <w:r w:rsidRPr="000149E5">
        <w:rPr>
          <w:iCs/>
        </w:rPr>
        <w:tab/>
        <w:t>If the telemetered Resource Status is STARTUP, then</w:t>
      </w:r>
    </w:p>
    <w:p w14:paraId="1C3B183C" w14:textId="77777777" w:rsidR="001F04FD" w:rsidRPr="000149E5" w:rsidRDefault="001F04FD" w:rsidP="001F04FD">
      <w:pPr>
        <w:pStyle w:val="BodyTextNumbered"/>
        <w:ind w:left="1440"/>
        <w:rPr>
          <w:b/>
          <w:iCs/>
        </w:rPr>
      </w:pPr>
      <w:r w:rsidRPr="000149E5">
        <w:rPr>
          <w:b/>
          <w:iCs/>
        </w:rPr>
        <w:t>LDL</w:t>
      </w:r>
      <w:r w:rsidRPr="000149E5">
        <w:rPr>
          <w:b/>
          <w:iCs/>
        </w:rPr>
        <w:tab/>
        <w:t>=</w:t>
      </w:r>
      <w:r w:rsidRPr="000149E5">
        <w:rPr>
          <w:b/>
          <w:iCs/>
        </w:rPr>
        <w:tab/>
        <w:t>POWERTELEM + (SURAMP * 5)</w:t>
      </w:r>
    </w:p>
    <w:p w14:paraId="221D80BA" w14:textId="77777777" w:rsidR="001F04FD" w:rsidRPr="000149E5" w:rsidRDefault="001F04FD" w:rsidP="001F04FD">
      <w:pPr>
        <w:pStyle w:val="BodyTextNumbered"/>
        <w:ind w:left="1440"/>
        <w:rPr>
          <w:iCs/>
        </w:rPr>
      </w:pPr>
      <w:r w:rsidRPr="000149E5">
        <w:rPr>
          <w:iCs/>
        </w:rPr>
        <w:t>(b)</w:t>
      </w:r>
      <w:r w:rsidRPr="000149E5">
        <w:rPr>
          <w:iCs/>
        </w:rPr>
        <w:tab/>
        <w:t xml:space="preserve">If the telemetered Resource Status is any </w:t>
      </w:r>
      <w:r>
        <w:rPr>
          <w:iCs/>
        </w:rPr>
        <w:t>status code specified in item (5</w:t>
      </w:r>
      <w:r w:rsidRPr="000149E5">
        <w:rPr>
          <w:iCs/>
        </w:rPr>
        <w:t>)(b)(i) of Section 3.9.1 other than STARTUP, then</w:t>
      </w:r>
    </w:p>
    <w:p w14:paraId="60E02B9F" w14:textId="77777777" w:rsidR="001F04FD" w:rsidRDefault="001F04FD" w:rsidP="001F04FD">
      <w:pPr>
        <w:ind w:left="1440" w:hanging="720"/>
        <w:rPr>
          <w:b/>
        </w:rPr>
      </w:pPr>
      <w:r w:rsidRPr="00614384">
        <w:rPr>
          <w:b/>
        </w:rPr>
        <w:t>LDL</w:t>
      </w:r>
      <w:r w:rsidRPr="00614384">
        <w:rPr>
          <w:b/>
        </w:rPr>
        <w:tab/>
        <w:t>=</w:t>
      </w:r>
      <w:r w:rsidRPr="00614384">
        <w:rPr>
          <w:b/>
        </w:rPr>
        <w:tab/>
        <w:t>Max (POWERTELEM - (SDRAMP * 5), LASL)</w:t>
      </w:r>
      <w:r w:rsidRPr="00614384">
        <w:rPr>
          <w:b/>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4619BD58" w14:textId="77777777" w:rsidTr="00AC4DEE">
        <w:tc>
          <w:tcPr>
            <w:tcW w:w="1500" w:type="pct"/>
          </w:tcPr>
          <w:p w14:paraId="12F65A9E" w14:textId="77777777" w:rsidR="001F04FD" w:rsidRDefault="001F04FD" w:rsidP="00AC4DEE">
            <w:pPr>
              <w:pStyle w:val="TableHead"/>
            </w:pPr>
            <w:r>
              <w:t>Variable</w:t>
            </w:r>
          </w:p>
        </w:tc>
        <w:tc>
          <w:tcPr>
            <w:tcW w:w="3500" w:type="pct"/>
          </w:tcPr>
          <w:p w14:paraId="0FFF0970" w14:textId="77777777" w:rsidR="001F04FD" w:rsidRDefault="001F04FD" w:rsidP="00AC4DEE">
            <w:pPr>
              <w:pStyle w:val="TableHead"/>
            </w:pPr>
            <w:r>
              <w:t>Description</w:t>
            </w:r>
          </w:p>
        </w:tc>
      </w:tr>
      <w:tr w:rsidR="001F04FD" w14:paraId="5900D714" w14:textId="77777777" w:rsidTr="00AC4DEE">
        <w:trPr>
          <w:cantSplit/>
        </w:trPr>
        <w:tc>
          <w:tcPr>
            <w:tcW w:w="1500" w:type="pct"/>
          </w:tcPr>
          <w:p w14:paraId="6481A086" w14:textId="77777777" w:rsidR="001F04FD" w:rsidRDefault="001F04FD" w:rsidP="00AC4DEE">
            <w:pPr>
              <w:pStyle w:val="TableBody"/>
            </w:pPr>
            <w:r>
              <w:t>LDL</w:t>
            </w:r>
          </w:p>
        </w:tc>
        <w:tc>
          <w:tcPr>
            <w:tcW w:w="3500" w:type="pct"/>
          </w:tcPr>
          <w:p w14:paraId="5BF8206D" w14:textId="77777777" w:rsidR="001F04FD" w:rsidRDefault="001F04FD" w:rsidP="00AC4DEE">
            <w:pPr>
              <w:pStyle w:val="TableBody"/>
              <w:rPr>
                <w:highlight w:val="yellow"/>
              </w:rPr>
            </w:pPr>
            <w:r>
              <w:t>Low Dispatch Limit.</w:t>
            </w:r>
          </w:p>
        </w:tc>
      </w:tr>
      <w:tr w:rsidR="001F04FD" w14:paraId="3EF8BD78" w14:textId="77777777" w:rsidTr="00AC4DEE">
        <w:trPr>
          <w:cantSplit/>
        </w:trPr>
        <w:tc>
          <w:tcPr>
            <w:tcW w:w="1500" w:type="pct"/>
          </w:tcPr>
          <w:p w14:paraId="1048002C" w14:textId="77777777" w:rsidR="001F04FD" w:rsidRDefault="001F04FD" w:rsidP="00AC4DEE">
            <w:pPr>
              <w:pStyle w:val="TableBody"/>
            </w:pPr>
            <w:r>
              <w:t>POWERTELEM</w:t>
            </w:r>
          </w:p>
        </w:tc>
        <w:tc>
          <w:tcPr>
            <w:tcW w:w="3500" w:type="pct"/>
          </w:tcPr>
          <w:p w14:paraId="353B4CA9" w14:textId="77777777" w:rsidR="001F04FD" w:rsidRDefault="001F04FD" w:rsidP="00AC4DEE">
            <w:pPr>
              <w:pStyle w:val="TableBody"/>
            </w:pPr>
            <w:r>
              <w:t>Gross or net real power provided via telemetry.</w:t>
            </w:r>
          </w:p>
        </w:tc>
      </w:tr>
      <w:tr w:rsidR="001F04FD" w14:paraId="14E6D9F1" w14:textId="77777777" w:rsidTr="00AC4DEE">
        <w:trPr>
          <w:cantSplit/>
        </w:trPr>
        <w:tc>
          <w:tcPr>
            <w:tcW w:w="1500" w:type="pct"/>
          </w:tcPr>
          <w:p w14:paraId="678988C5" w14:textId="77777777" w:rsidR="001F04FD" w:rsidRDefault="001F04FD" w:rsidP="00AC4DEE">
            <w:pPr>
              <w:pStyle w:val="TableBody"/>
            </w:pPr>
            <w:r>
              <w:t>SDRAMP</w:t>
            </w:r>
          </w:p>
        </w:tc>
        <w:tc>
          <w:tcPr>
            <w:tcW w:w="3500" w:type="pct"/>
          </w:tcPr>
          <w:p w14:paraId="2250E827" w14:textId="77777777" w:rsidR="001F04FD" w:rsidRDefault="001F04FD" w:rsidP="00AC4DEE">
            <w:pPr>
              <w:pStyle w:val="TableBody"/>
            </w:pPr>
            <w:r>
              <w:t>SCED Down Ramp Rate.</w:t>
            </w:r>
          </w:p>
        </w:tc>
      </w:tr>
      <w:tr w:rsidR="001F04FD" w14:paraId="561196EE" w14:textId="77777777" w:rsidTr="00AC4DEE">
        <w:trPr>
          <w:cantSplit/>
        </w:trPr>
        <w:tc>
          <w:tcPr>
            <w:tcW w:w="1500" w:type="pct"/>
          </w:tcPr>
          <w:p w14:paraId="7743A7BF" w14:textId="77777777" w:rsidR="001F04FD" w:rsidRDefault="001F04FD" w:rsidP="00AC4DEE">
            <w:pPr>
              <w:pStyle w:val="TableBody"/>
            </w:pPr>
            <w:r>
              <w:t>LASL</w:t>
            </w:r>
          </w:p>
        </w:tc>
        <w:tc>
          <w:tcPr>
            <w:tcW w:w="3500" w:type="pct"/>
          </w:tcPr>
          <w:p w14:paraId="7987493D" w14:textId="77777777" w:rsidR="001F04FD" w:rsidRDefault="001F04FD" w:rsidP="00AC4DEE">
            <w:pPr>
              <w:pStyle w:val="TableBody"/>
            </w:pPr>
            <w:r>
              <w:t>Low Ancillary Service Limit – definition provided in Section 2.</w:t>
            </w:r>
          </w:p>
        </w:tc>
      </w:tr>
    </w:tbl>
    <w:bookmarkEnd w:id="1111"/>
    <w:p w14:paraId="7BD80658" w14:textId="67218B31" w:rsidR="001F04FD" w:rsidRDefault="001F04FD" w:rsidP="008D7D6C">
      <w:pPr>
        <w:pStyle w:val="BodyTextNumbered"/>
        <w:spacing w:before="240"/>
      </w:pPr>
      <w:r>
        <w:t>(9)</w:t>
      </w:r>
      <w:r>
        <w:tab/>
        <w:t>For Load Resources, HASL is calculated as follows:</w:t>
      </w:r>
    </w:p>
    <w:p w14:paraId="36CBF86D" w14:textId="2153BEF8" w:rsidR="00DB12B4" w:rsidRDefault="001F04FD" w:rsidP="001F04FD">
      <w:pPr>
        <w:pStyle w:val="FormulaBold"/>
        <w:rPr>
          <w:lang w:val="da-DK"/>
        </w:rPr>
      </w:pPr>
      <w:r>
        <w:rPr>
          <w:lang w:val="da-DK"/>
        </w:rPr>
        <w:t>HASL</w:t>
      </w:r>
      <w:r>
        <w:rPr>
          <w:lang w:val="da-DK"/>
        </w:rPr>
        <w:tab/>
        <w:t>=</w:t>
      </w:r>
      <w:r>
        <w:rPr>
          <w:lang w:val="da-DK"/>
        </w:rPr>
        <w:tab/>
        <w:t>Max (LPCTELEM, (MPCTELEM – RDSTELEM))</w:t>
      </w:r>
    </w:p>
    <w:p w14:paraId="04F5CF6F" w14:textId="6EE9EA0B" w:rsidR="00C23DEE" w:rsidRPr="00F06E8E" w:rsidRDefault="00C23DEE" w:rsidP="00C23DEE">
      <w:pPr>
        <w:spacing w:before="240" w:after="240"/>
        <w:ind w:left="720"/>
        <w:rPr>
          <w:iCs/>
        </w:rPr>
      </w:pPr>
      <w:r w:rsidRPr="00F06E8E">
        <w:rPr>
          <w:iCs/>
        </w:rPr>
        <w:lastRenderedPageBreak/>
        <w:t xml:space="preserve">For a modeled </w:t>
      </w:r>
      <w:r w:rsidR="0011303E">
        <w:rPr>
          <w:iCs/>
        </w:rPr>
        <w:t>CLR</w:t>
      </w:r>
      <w:r w:rsidRPr="00F06E8E">
        <w:rPr>
          <w:iCs/>
        </w:rPr>
        <w:t xml:space="preserve"> that represents the charging component of an ESR, HASL is calculated as follows:</w:t>
      </w:r>
    </w:p>
    <w:p w14:paraId="65238115" w14:textId="77777777" w:rsidR="00C23DEE" w:rsidRPr="00F06E8E" w:rsidRDefault="00C23DEE" w:rsidP="00C23DEE">
      <w:pPr>
        <w:tabs>
          <w:tab w:val="left" w:pos="2340"/>
          <w:tab w:val="left" w:pos="3420"/>
        </w:tabs>
        <w:spacing w:after="240"/>
        <w:ind w:left="3420" w:hanging="2700"/>
        <w:rPr>
          <w:b/>
          <w:bCs/>
          <w:lang w:val="de-DE"/>
        </w:rPr>
      </w:pPr>
      <w:r w:rsidRPr="00F06E8E">
        <w:rPr>
          <w:b/>
          <w:bCs/>
          <w:lang w:val="de-DE"/>
        </w:rPr>
        <w:t>HASL</w:t>
      </w:r>
      <w:r w:rsidRPr="00F06E8E">
        <w:rPr>
          <w:b/>
          <w:bCs/>
          <w:lang w:val="de-DE"/>
        </w:rPr>
        <w:tab/>
        <w:t>=</w:t>
      </w:r>
      <w:r w:rsidRPr="00F06E8E">
        <w:rPr>
          <w:b/>
          <w:bCs/>
          <w:lang w:val="de-DE"/>
        </w:rPr>
        <w:tab/>
        <w:t>Max (LPCTELEM, Min ((MPCTELEM – RDSTELEM), MaxBP))</w:t>
      </w:r>
    </w:p>
    <w:p w14:paraId="1E1BDF78" w14:textId="77777777" w:rsidR="00C23DEE" w:rsidRPr="00F06E8E" w:rsidRDefault="00C23DEE" w:rsidP="00C23DEE">
      <w:pPr>
        <w:tabs>
          <w:tab w:val="left" w:pos="2340"/>
          <w:tab w:val="left" w:pos="3420"/>
        </w:tabs>
        <w:spacing w:after="240"/>
        <w:ind w:left="3420" w:hanging="2700"/>
        <w:rPr>
          <w:b/>
          <w:bCs/>
          <w:lang w:val="de-DE"/>
        </w:rPr>
      </w:pPr>
      <w:r w:rsidRPr="00F06E8E">
        <w:rPr>
          <w:b/>
          <w:bCs/>
          <w:lang w:val="de-DE"/>
        </w:rPr>
        <w:t>MaxBP</w:t>
      </w:r>
      <w:r w:rsidRPr="00F06E8E">
        <w:rPr>
          <w:b/>
          <w:bCs/>
          <w:lang w:val="de-DE"/>
        </w:rPr>
        <w:tab/>
        <w:t>=</w:t>
      </w:r>
      <w:r w:rsidRPr="00F06E8E">
        <w:rPr>
          <w:b/>
          <w:bCs/>
          <w:lang w:val="de-DE"/>
        </w:rPr>
        <w:tab/>
        <w:t>(MAXSOCTELEM – SOCTELEM –REQHDRMASSOC) / TSCED</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32A8987D" w14:textId="77777777" w:rsidTr="00AC4DEE">
        <w:tc>
          <w:tcPr>
            <w:tcW w:w="1500" w:type="pct"/>
          </w:tcPr>
          <w:p w14:paraId="076E8A6E" w14:textId="77777777" w:rsidR="001F04FD" w:rsidRDefault="001F04FD" w:rsidP="00AC4DEE">
            <w:pPr>
              <w:pStyle w:val="TableHead"/>
            </w:pPr>
            <w:r>
              <w:t>Variable</w:t>
            </w:r>
          </w:p>
        </w:tc>
        <w:tc>
          <w:tcPr>
            <w:tcW w:w="3500" w:type="pct"/>
          </w:tcPr>
          <w:p w14:paraId="36C15A0E" w14:textId="77777777" w:rsidR="001F04FD" w:rsidRDefault="001F04FD" w:rsidP="00AC4DEE">
            <w:pPr>
              <w:pStyle w:val="TableHead"/>
            </w:pPr>
            <w:r>
              <w:t>Description</w:t>
            </w:r>
          </w:p>
        </w:tc>
      </w:tr>
      <w:tr w:rsidR="001F04FD" w14:paraId="7C2C9A91" w14:textId="77777777" w:rsidTr="00AC4DEE">
        <w:trPr>
          <w:cantSplit/>
        </w:trPr>
        <w:tc>
          <w:tcPr>
            <w:tcW w:w="1500" w:type="pct"/>
          </w:tcPr>
          <w:p w14:paraId="08EEBF3E" w14:textId="77777777" w:rsidR="001F04FD" w:rsidRDefault="001F04FD" w:rsidP="00AC4DEE">
            <w:pPr>
              <w:pStyle w:val="TableBody"/>
            </w:pPr>
            <w:r>
              <w:t>HASL</w:t>
            </w:r>
          </w:p>
        </w:tc>
        <w:tc>
          <w:tcPr>
            <w:tcW w:w="3500" w:type="pct"/>
          </w:tcPr>
          <w:p w14:paraId="4A2B5A1B" w14:textId="77777777" w:rsidR="001F04FD" w:rsidRDefault="001F04FD" w:rsidP="00AC4DEE">
            <w:pPr>
              <w:pStyle w:val="TableBody"/>
            </w:pPr>
            <w:r>
              <w:t>High Ancillary Service Limit.</w:t>
            </w:r>
          </w:p>
        </w:tc>
      </w:tr>
      <w:tr w:rsidR="001F04FD" w14:paraId="5FFAF99F" w14:textId="77777777" w:rsidTr="00AC4DEE">
        <w:trPr>
          <w:cantSplit/>
          <w:trHeight w:val="377"/>
        </w:trPr>
        <w:tc>
          <w:tcPr>
            <w:tcW w:w="1500" w:type="pct"/>
          </w:tcPr>
          <w:p w14:paraId="5632A7EF" w14:textId="77777777" w:rsidR="001F04FD" w:rsidRDefault="001F04FD" w:rsidP="00AC4DEE">
            <w:pPr>
              <w:pStyle w:val="TableBody"/>
            </w:pPr>
            <w:r>
              <w:t>LPCTELEM</w:t>
            </w:r>
          </w:p>
        </w:tc>
        <w:tc>
          <w:tcPr>
            <w:tcW w:w="3500" w:type="pct"/>
          </w:tcPr>
          <w:p w14:paraId="70614E05" w14:textId="77777777" w:rsidR="001F04FD" w:rsidRDefault="001F04FD" w:rsidP="00AC4DEE">
            <w:pPr>
              <w:pStyle w:val="TableBody"/>
            </w:pPr>
            <w:r>
              <w:t xml:space="preserve">Low Power Consumption provided via telemetry. </w:t>
            </w:r>
          </w:p>
        </w:tc>
      </w:tr>
      <w:tr w:rsidR="001F04FD" w14:paraId="5F6CD4D9" w14:textId="77777777" w:rsidTr="00AC4DEE">
        <w:trPr>
          <w:cantSplit/>
        </w:trPr>
        <w:tc>
          <w:tcPr>
            <w:tcW w:w="1500" w:type="pct"/>
          </w:tcPr>
          <w:p w14:paraId="3A472081" w14:textId="77777777" w:rsidR="001F04FD" w:rsidRDefault="001F04FD" w:rsidP="00AC4DEE">
            <w:pPr>
              <w:pStyle w:val="TableBody"/>
            </w:pPr>
            <w:r>
              <w:t>MPCTELEM</w:t>
            </w:r>
          </w:p>
        </w:tc>
        <w:tc>
          <w:tcPr>
            <w:tcW w:w="3500" w:type="pct"/>
          </w:tcPr>
          <w:p w14:paraId="55B6C33D" w14:textId="77777777" w:rsidR="001F04FD" w:rsidRDefault="001F04FD" w:rsidP="00AC4DEE">
            <w:pPr>
              <w:pStyle w:val="TableBody"/>
            </w:pPr>
            <w:r>
              <w:t xml:space="preserve">Maximum Power Consumption provided via telemetry. </w:t>
            </w:r>
          </w:p>
        </w:tc>
      </w:tr>
      <w:tr w:rsidR="001F04FD" w14:paraId="421CC445" w14:textId="77777777" w:rsidTr="00AC4DEE">
        <w:trPr>
          <w:cantSplit/>
        </w:trPr>
        <w:tc>
          <w:tcPr>
            <w:tcW w:w="1500" w:type="pct"/>
          </w:tcPr>
          <w:p w14:paraId="6D2E72EE" w14:textId="77777777" w:rsidR="001F04FD" w:rsidRDefault="001F04FD" w:rsidP="00AC4DEE">
            <w:pPr>
              <w:pStyle w:val="TableBody"/>
            </w:pPr>
            <w:r>
              <w:t>RDSTELEM</w:t>
            </w:r>
          </w:p>
        </w:tc>
        <w:tc>
          <w:tcPr>
            <w:tcW w:w="3500" w:type="pct"/>
          </w:tcPr>
          <w:p w14:paraId="29FBF618" w14:textId="77777777" w:rsidR="001F04FD" w:rsidRDefault="001F04FD" w:rsidP="00AC4DEE">
            <w:pPr>
              <w:pStyle w:val="TableBody"/>
            </w:pPr>
            <w:r>
              <w:t>Reg-Down Ancillary Service Resource Responsibility designation provided by telemetry.</w:t>
            </w:r>
          </w:p>
        </w:tc>
      </w:tr>
      <w:tr w:rsidR="00606BE1" w14:paraId="0DC92BDA" w14:textId="77777777" w:rsidTr="00AC4DEE">
        <w:trPr>
          <w:cantSplit/>
        </w:trPr>
        <w:tc>
          <w:tcPr>
            <w:tcW w:w="1500" w:type="pct"/>
          </w:tcPr>
          <w:p w14:paraId="5B3D6ACF" w14:textId="28C618FA" w:rsidR="00606BE1" w:rsidRDefault="00606BE1" w:rsidP="00606BE1">
            <w:pPr>
              <w:pStyle w:val="TableBody"/>
            </w:pPr>
            <w:r w:rsidRPr="00F06E8E">
              <w:t>MaxBP</w:t>
            </w:r>
          </w:p>
        </w:tc>
        <w:tc>
          <w:tcPr>
            <w:tcW w:w="3500" w:type="pct"/>
          </w:tcPr>
          <w:p w14:paraId="5E376276" w14:textId="52B8E451" w:rsidR="00606BE1" w:rsidRDefault="00606BE1" w:rsidP="00606BE1">
            <w:pPr>
              <w:pStyle w:val="TableBody"/>
            </w:pPr>
            <w:r w:rsidRPr="00F06E8E">
              <w:t>Calculated maximum SCED Base Point possible from available SOC headroom after discounting for SOC required to support telemetered Ancillary Service Resource Responsibilities</w:t>
            </w:r>
            <w:r>
              <w:t>.</w:t>
            </w:r>
          </w:p>
        </w:tc>
      </w:tr>
      <w:tr w:rsidR="00606BE1" w14:paraId="4FD5D7E5" w14:textId="77777777" w:rsidTr="00AC4DEE">
        <w:trPr>
          <w:cantSplit/>
        </w:trPr>
        <w:tc>
          <w:tcPr>
            <w:tcW w:w="1500" w:type="pct"/>
          </w:tcPr>
          <w:p w14:paraId="28F0CA3C" w14:textId="1A1BEBCB" w:rsidR="00606BE1" w:rsidRDefault="00606BE1" w:rsidP="00606BE1">
            <w:pPr>
              <w:pStyle w:val="TableBody"/>
            </w:pPr>
            <w:r w:rsidRPr="00F06E8E">
              <w:t>REQHDRMASSOC</w:t>
            </w:r>
          </w:p>
        </w:tc>
        <w:tc>
          <w:tcPr>
            <w:tcW w:w="3500" w:type="pct"/>
          </w:tcPr>
          <w:p w14:paraId="388B3750" w14:textId="3C318198" w:rsidR="00606BE1" w:rsidRDefault="00606BE1" w:rsidP="00606BE1">
            <w:pPr>
              <w:pStyle w:val="TableBody"/>
            </w:pPr>
            <w:r w:rsidRPr="00F06E8E">
              <w:t>Calculated required SOC headroom needed to support Ancillary Service Resource Responsibilities</w:t>
            </w:r>
            <w:r>
              <w:t xml:space="preserve">, as calculated in paragraph </w:t>
            </w:r>
            <w:r w:rsidRPr="00700F81">
              <w:t>(14)(</w:t>
            </w:r>
            <w:r>
              <w:t>b</w:t>
            </w:r>
            <w:r w:rsidRPr="00700F81">
              <w:t>)(ii)</w:t>
            </w:r>
            <w:r>
              <w:t xml:space="preserve"> of Section 6.5.5.2.</w:t>
            </w:r>
          </w:p>
        </w:tc>
      </w:tr>
      <w:tr w:rsidR="00606BE1" w14:paraId="4638E903" w14:textId="77777777" w:rsidTr="00AC4DEE">
        <w:trPr>
          <w:cantSplit/>
        </w:trPr>
        <w:tc>
          <w:tcPr>
            <w:tcW w:w="1500" w:type="pct"/>
          </w:tcPr>
          <w:p w14:paraId="46C35137" w14:textId="52457C8F" w:rsidR="00606BE1" w:rsidRDefault="00606BE1" w:rsidP="00606BE1">
            <w:pPr>
              <w:pStyle w:val="TableBody"/>
            </w:pPr>
            <w:r w:rsidRPr="00F06E8E">
              <w:t>SOCTELEM</w:t>
            </w:r>
          </w:p>
        </w:tc>
        <w:tc>
          <w:tcPr>
            <w:tcW w:w="3500" w:type="pct"/>
          </w:tcPr>
          <w:p w14:paraId="4E0F90F5" w14:textId="4EC859B5" w:rsidR="00606BE1" w:rsidRDefault="00606BE1" w:rsidP="00606BE1">
            <w:pPr>
              <w:pStyle w:val="TableBody"/>
            </w:pPr>
            <w:r w:rsidRPr="00F06E8E">
              <w:t>Current SOC via telemetry</w:t>
            </w:r>
            <w:r>
              <w:t>.</w:t>
            </w:r>
          </w:p>
        </w:tc>
      </w:tr>
      <w:tr w:rsidR="00606BE1" w14:paraId="7281941F" w14:textId="77777777" w:rsidTr="00AC4DEE">
        <w:trPr>
          <w:cantSplit/>
        </w:trPr>
        <w:tc>
          <w:tcPr>
            <w:tcW w:w="1500" w:type="pct"/>
          </w:tcPr>
          <w:p w14:paraId="1ECCEDED" w14:textId="772653D6" w:rsidR="00606BE1" w:rsidRDefault="00606BE1" w:rsidP="00606BE1">
            <w:pPr>
              <w:pStyle w:val="TableBody"/>
            </w:pPr>
            <w:r w:rsidRPr="00F06E8E">
              <w:t>MAXSOCTELEM</w:t>
            </w:r>
          </w:p>
        </w:tc>
        <w:tc>
          <w:tcPr>
            <w:tcW w:w="3500" w:type="pct"/>
          </w:tcPr>
          <w:p w14:paraId="36D05CB6" w14:textId="146B25D7" w:rsidR="00606BE1" w:rsidRDefault="00606BE1" w:rsidP="00606BE1">
            <w:pPr>
              <w:pStyle w:val="TableBody"/>
            </w:pPr>
            <w:r w:rsidRPr="00F06E8E">
              <w:t>MaxSOC via telemetry</w:t>
            </w:r>
            <w:r>
              <w:t>.</w:t>
            </w:r>
          </w:p>
        </w:tc>
      </w:tr>
      <w:tr w:rsidR="00606BE1" w14:paraId="78B26642" w14:textId="77777777" w:rsidTr="00AC4DEE">
        <w:trPr>
          <w:cantSplit/>
        </w:trPr>
        <w:tc>
          <w:tcPr>
            <w:tcW w:w="1500" w:type="pct"/>
          </w:tcPr>
          <w:p w14:paraId="0098BC1D" w14:textId="6D976E90" w:rsidR="00606BE1" w:rsidRDefault="00606BE1" w:rsidP="00606BE1">
            <w:pPr>
              <w:pStyle w:val="TableBody"/>
            </w:pPr>
            <w:r w:rsidRPr="00F06E8E">
              <w:t>TSCED</w:t>
            </w:r>
          </w:p>
        </w:tc>
        <w:tc>
          <w:tcPr>
            <w:tcW w:w="3500" w:type="pct"/>
          </w:tcPr>
          <w:p w14:paraId="7E75650C" w14:textId="657972C3" w:rsidR="00606BE1" w:rsidRDefault="00606BE1" w:rsidP="00606BE1">
            <w:pPr>
              <w:pStyle w:val="TableBody"/>
            </w:pPr>
            <w:r w:rsidRPr="00F06E8E">
              <w:t>Nominal SCED interval duration = 1/12 hour</w:t>
            </w:r>
            <w:r>
              <w:t>.</w:t>
            </w:r>
          </w:p>
        </w:tc>
      </w:tr>
    </w:tbl>
    <w:p w14:paraId="45030A15" w14:textId="315016B9" w:rsidR="001F04FD" w:rsidRDefault="001F04FD" w:rsidP="003D77E1">
      <w:pPr>
        <w:pStyle w:val="BodyTextNumbered"/>
        <w:spacing w:before="240"/>
      </w:pPr>
      <w:r>
        <w:t>(10)</w:t>
      </w:r>
      <w:r>
        <w:tab/>
        <w:t>For Load Resources, LASL is calculated as follows:</w:t>
      </w:r>
    </w:p>
    <w:p w14:paraId="20A6A524" w14:textId="37591187" w:rsidR="00D55979" w:rsidRDefault="001F04FD" w:rsidP="001F04FD">
      <w:pPr>
        <w:pStyle w:val="FormulaBold"/>
        <w:ind w:left="3150" w:hanging="2430"/>
        <w:rPr>
          <w:lang w:val="de-DE"/>
        </w:rPr>
      </w:pPr>
      <w:r>
        <w:rPr>
          <w:lang w:val="de-DE"/>
        </w:rPr>
        <w:t>LASL</w:t>
      </w:r>
      <w:r>
        <w:rPr>
          <w:lang w:val="de-DE"/>
        </w:rPr>
        <w:tab/>
        <w:t>=</w:t>
      </w:r>
      <w:r>
        <w:rPr>
          <w:lang w:val="de-DE"/>
        </w:rPr>
        <w:tab/>
        <w:t>Min (HASL, (LPCTELEM + (</w:t>
      </w:r>
      <w:r w:rsidR="00DC32AE" w:rsidRPr="00DC32AE">
        <w:rPr>
          <w:lang w:val="de-DE"/>
        </w:rPr>
        <w:t xml:space="preserve">ECRSTELEM + </w:t>
      </w:r>
      <w:r>
        <w:rPr>
          <w:lang w:val="de-DE"/>
        </w:rPr>
        <w:t>RRSTELEM + RUSTELEM + NSRSTELEM)))</w:t>
      </w: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801"/>
        <w:gridCol w:w="6014"/>
      </w:tblGrid>
      <w:tr w:rsidR="001F04FD" w14:paraId="456F8D7B" w14:textId="77777777" w:rsidTr="00C43DB8">
        <w:tc>
          <w:tcPr>
            <w:tcW w:w="1589" w:type="pct"/>
          </w:tcPr>
          <w:p w14:paraId="09565F85" w14:textId="77777777" w:rsidR="001F04FD" w:rsidRDefault="001F04FD" w:rsidP="00AC4DEE">
            <w:pPr>
              <w:pStyle w:val="TableHead"/>
            </w:pPr>
            <w:r>
              <w:t>Variable</w:t>
            </w:r>
          </w:p>
        </w:tc>
        <w:tc>
          <w:tcPr>
            <w:tcW w:w="3411" w:type="pct"/>
          </w:tcPr>
          <w:p w14:paraId="519B1488" w14:textId="77777777" w:rsidR="001F04FD" w:rsidRDefault="001F04FD" w:rsidP="00AC4DEE">
            <w:pPr>
              <w:pStyle w:val="TableHead"/>
            </w:pPr>
            <w:r>
              <w:t>Description</w:t>
            </w:r>
          </w:p>
        </w:tc>
      </w:tr>
      <w:tr w:rsidR="001F04FD" w14:paraId="1454765C" w14:textId="77777777" w:rsidTr="00C43DB8">
        <w:tc>
          <w:tcPr>
            <w:tcW w:w="1589" w:type="pct"/>
          </w:tcPr>
          <w:p w14:paraId="63938CFC" w14:textId="77777777" w:rsidR="001F04FD" w:rsidRDefault="001F04FD" w:rsidP="00AC4DEE">
            <w:pPr>
              <w:pStyle w:val="TableBody"/>
            </w:pPr>
            <w:r>
              <w:t>LASL</w:t>
            </w:r>
          </w:p>
        </w:tc>
        <w:tc>
          <w:tcPr>
            <w:tcW w:w="3411" w:type="pct"/>
          </w:tcPr>
          <w:p w14:paraId="2E948F91" w14:textId="77777777" w:rsidR="001F04FD" w:rsidRDefault="001F04FD" w:rsidP="00AC4DEE">
            <w:pPr>
              <w:pStyle w:val="TableBody"/>
            </w:pPr>
            <w:r>
              <w:t>Low Ancillary Service Limit.</w:t>
            </w:r>
          </w:p>
        </w:tc>
      </w:tr>
      <w:tr w:rsidR="001F04FD" w14:paraId="343B42BF" w14:textId="77777777" w:rsidTr="00C43DB8">
        <w:tc>
          <w:tcPr>
            <w:tcW w:w="1589" w:type="pct"/>
          </w:tcPr>
          <w:p w14:paraId="074D623F" w14:textId="77777777" w:rsidR="001F04FD" w:rsidRDefault="001F04FD" w:rsidP="00AC4DEE">
            <w:pPr>
              <w:pStyle w:val="TableBody"/>
            </w:pPr>
            <w:r>
              <w:t>HASL</w:t>
            </w:r>
          </w:p>
        </w:tc>
        <w:tc>
          <w:tcPr>
            <w:tcW w:w="3411" w:type="pct"/>
          </w:tcPr>
          <w:p w14:paraId="3EBEAE8E" w14:textId="77777777" w:rsidR="001F04FD" w:rsidRDefault="001F04FD" w:rsidP="00AC4DEE">
            <w:pPr>
              <w:pStyle w:val="TableBody"/>
            </w:pPr>
            <w:r>
              <w:t>High Ancillary Service Limit.</w:t>
            </w:r>
          </w:p>
        </w:tc>
      </w:tr>
      <w:tr w:rsidR="001F04FD" w14:paraId="5433A0C4" w14:textId="77777777" w:rsidTr="00C43DB8">
        <w:tc>
          <w:tcPr>
            <w:tcW w:w="1589" w:type="pct"/>
          </w:tcPr>
          <w:p w14:paraId="607C65F6" w14:textId="77777777" w:rsidR="001F04FD" w:rsidRDefault="001F04FD" w:rsidP="00AC4DEE">
            <w:pPr>
              <w:pStyle w:val="TableBody"/>
            </w:pPr>
            <w:r>
              <w:t>LPCTELEM</w:t>
            </w:r>
          </w:p>
        </w:tc>
        <w:tc>
          <w:tcPr>
            <w:tcW w:w="3411" w:type="pct"/>
          </w:tcPr>
          <w:p w14:paraId="1F6080A3" w14:textId="77777777" w:rsidR="001F04FD" w:rsidRDefault="001F04FD" w:rsidP="00AC4DEE">
            <w:pPr>
              <w:pStyle w:val="TableBody"/>
            </w:pPr>
            <w:r>
              <w:t>Low Power Consumption provided via telemetry.</w:t>
            </w:r>
          </w:p>
        </w:tc>
      </w:tr>
      <w:tr w:rsidR="00DC32AE" w14:paraId="01AECC4F" w14:textId="77777777" w:rsidTr="00C43DB8">
        <w:tc>
          <w:tcPr>
            <w:tcW w:w="1589" w:type="pct"/>
          </w:tcPr>
          <w:p w14:paraId="4FF722B5" w14:textId="78B1B4BF" w:rsidR="00DC32AE" w:rsidRDefault="00DC32AE" w:rsidP="00DC32AE">
            <w:pPr>
              <w:pStyle w:val="TableBody"/>
            </w:pPr>
            <w:r>
              <w:rPr>
                <w:iCs w:val="0"/>
              </w:rPr>
              <w:t>EC</w:t>
            </w:r>
            <w:r w:rsidRPr="0003648D">
              <w:rPr>
                <w:iCs w:val="0"/>
              </w:rPr>
              <w:t>RSTELEM</w:t>
            </w:r>
          </w:p>
        </w:tc>
        <w:tc>
          <w:tcPr>
            <w:tcW w:w="3411" w:type="pct"/>
          </w:tcPr>
          <w:p w14:paraId="56FB4C66" w14:textId="546FF354" w:rsidR="00DC32AE" w:rsidRDefault="00DC32AE" w:rsidP="00DC32AE">
            <w:pPr>
              <w:pStyle w:val="TableBody"/>
            </w:pPr>
            <w:r w:rsidRPr="007279C0">
              <w:rPr>
                <w:iCs w:val="0"/>
              </w:rPr>
              <w:t>ECRS</w:t>
            </w:r>
            <w:r w:rsidRPr="0003648D">
              <w:rPr>
                <w:iCs w:val="0"/>
              </w:rPr>
              <w:t xml:space="preserve"> Ancillary Service Schedule provided by telemetry.</w:t>
            </w:r>
          </w:p>
        </w:tc>
      </w:tr>
      <w:tr w:rsidR="001F04FD" w14:paraId="63C2B166" w14:textId="77777777" w:rsidTr="00C43DB8">
        <w:tc>
          <w:tcPr>
            <w:tcW w:w="1589" w:type="pct"/>
          </w:tcPr>
          <w:p w14:paraId="6BF3AF93" w14:textId="77777777" w:rsidR="001F04FD" w:rsidRDefault="001F04FD" w:rsidP="00AC4DEE">
            <w:pPr>
              <w:pStyle w:val="TableBody"/>
            </w:pPr>
            <w:r>
              <w:t>RRSTELEM</w:t>
            </w:r>
          </w:p>
        </w:tc>
        <w:tc>
          <w:tcPr>
            <w:tcW w:w="3411" w:type="pct"/>
          </w:tcPr>
          <w:p w14:paraId="7EA38F70" w14:textId="77777777" w:rsidR="001F04FD" w:rsidRDefault="00470AB8" w:rsidP="00AC4DEE">
            <w:pPr>
              <w:pStyle w:val="TableBody"/>
            </w:pPr>
            <w:r>
              <w:t>RRS</w:t>
            </w:r>
            <w:r w:rsidR="001F04FD">
              <w:t xml:space="preserve"> Ancillary Service Schedule provided by telemetry.</w:t>
            </w:r>
          </w:p>
        </w:tc>
      </w:tr>
      <w:tr w:rsidR="001F04FD" w14:paraId="193B948F" w14:textId="77777777" w:rsidTr="00C43DB8">
        <w:trPr>
          <w:trHeight w:val="314"/>
        </w:trPr>
        <w:tc>
          <w:tcPr>
            <w:tcW w:w="1589" w:type="pct"/>
          </w:tcPr>
          <w:p w14:paraId="3F1C7DAE" w14:textId="77777777" w:rsidR="001F04FD" w:rsidRDefault="001F04FD" w:rsidP="00AC4DEE">
            <w:pPr>
              <w:pStyle w:val="TableBody"/>
            </w:pPr>
            <w:r>
              <w:t>RUSTELEM</w:t>
            </w:r>
          </w:p>
        </w:tc>
        <w:tc>
          <w:tcPr>
            <w:tcW w:w="3411" w:type="pct"/>
          </w:tcPr>
          <w:p w14:paraId="430E5E11" w14:textId="77777777" w:rsidR="001F04FD" w:rsidRDefault="001F04FD" w:rsidP="00AC4DEE">
            <w:pPr>
              <w:pStyle w:val="TableBody"/>
            </w:pPr>
            <w:r>
              <w:t>Reg-Up Ancillary Service Resource Responsibility designation provided by telemetry.</w:t>
            </w:r>
          </w:p>
        </w:tc>
      </w:tr>
      <w:tr w:rsidR="001F04FD" w14:paraId="6901CECB" w14:textId="77777777" w:rsidTr="00C43DB8">
        <w:tc>
          <w:tcPr>
            <w:tcW w:w="1589" w:type="pct"/>
          </w:tcPr>
          <w:p w14:paraId="1DBEF862" w14:textId="77777777" w:rsidR="001F04FD" w:rsidRDefault="001F04FD" w:rsidP="00AC4DEE">
            <w:pPr>
              <w:pStyle w:val="TableBody"/>
            </w:pPr>
            <w:r>
              <w:t>NSRSTELEM</w:t>
            </w:r>
          </w:p>
        </w:tc>
        <w:tc>
          <w:tcPr>
            <w:tcW w:w="3411" w:type="pct"/>
          </w:tcPr>
          <w:p w14:paraId="424B978D" w14:textId="77777777" w:rsidR="001F04FD" w:rsidRDefault="001F04FD" w:rsidP="00AC4DEE">
            <w:pPr>
              <w:pStyle w:val="TableBody"/>
            </w:pPr>
            <w:r>
              <w:t>Non-Spin Ancillary Service Schedule provided via telemetry.</w:t>
            </w:r>
          </w:p>
        </w:tc>
      </w:tr>
    </w:tbl>
    <w:p w14:paraId="05672208" w14:textId="77777777" w:rsidR="001F04FD" w:rsidRDefault="001F04FD" w:rsidP="001F04FD">
      <w:pPr>
        <w:pStyle w:val="List"/>
        <w:spacing w:after="0"/>
      </w:pPr>
    </w:p>
    <w:p w14:paraId="6091500A" w14:textId="2EC2BC95" w:rsidR="001F04FD" w:rsidRPr="006A6281" w:rsidRDefault="001F04FD" w:rsidP="001F04FD">
      <w:pPr>
        <w:pStyle w:val="BodyTextNumbered"/>
      </w:pPr>
      <w:r w:rsidRPr="006A6281">
        <w:t>(11)</w:t>
      </w:r>
      <w:r w:rsidRPr="006A6281">
        <w:tab/>
        <w:t xml:space="preserve">For each </w:t>
      </w:r>
      <w:r w:rsidR="0011303E">
        <w:t>CLR</w:t>
      </w:r>
      <w:r w:rsidRPr="006A6281">
        <w:t>, the SURAMP is calculated as follows:</w:t>
      </w:r>
    </w:p>
    <w:p w14:paraId="32202BF9" w14:textId="77777777" w:rsidR="00286EDB" w:rsidRPr="0003648D" w:rsidRDefault="00286EDB" w:rsidP="00286EDB">
      <w:pPr>
        <w:spacing w:after="240"/>
        <w:ind w:left="1440" w:hanging="720"/>
        <w:rPr>
          <w:b/>
          <w:lang w:val="de-DE"/>
        </w:rPr>
      </w:pPr>
      <w:r w:rsidRPr="0003648D">
        <w:rPr>
          <w:b/>
          <w:lang w:val="de-DE"/>
        </w:rPr>
        <w:t>SURAMP</w:t>
      </w:r>
      <w:r w:rsidRPr="0003648D">
        <w:rPr>
          <w:b/>
          <w:lang w:val="de-DE"/>
        </w:rPr>
        <w:tab/>
        <w:t>=</w:t>
      </w:r>
      <w:r w:rsidRPr="0003648D">
        <w:rPr>
          <w:b/>
          <w:lang w:val="de-DE"/>
        </w:rPr>
        <w:tab/>
        <w:t xml:space="preserve">RAMPRATE – </w:t>
      </w:r>
      <w:r w:rsidRPr="000065C2">
        <w:rPr>
          <w:b/>
          <w:lang w:val="de-DE"/>
        </w:rPr>
        <w:t>(1 – RDSDEPLP) *</w:t>
      </w:r>
      <w:r w:rsidRPr="0009414B">
        <w:rPr>
          <w:b/>
          <w:lang w:val="de-DE"/>
        </w:rPr>
        <w:t xml:space="preserve"> </w:t>
      </w:r>
      <w:r w:rsidRPr="0003648D">
        <w:rPr>
          <w:b/>
          <w:lang w:val="de-DE"/>
        </w:rPr>
        <w:t xml:space="preserve">(RUSTELEM </w:t>
      </w:r>
      <w:r>
        <w:rPr>
          <w:b/>
          <w:lang w:val="de-DE"/>
        </w:rPr>
        <w:t>/ 7</w:t>
      </w:r>
      <w:r w:rsidRPr="0003648D">
        <w:rPr>
          <w:b/>
          <w:lang w:val="de-DE"/>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rsidRPr="0003648D" w14:paraId="3622AB1E" w14:textId="77777777" w:rsidTr="00F12CF4">
        <w:tc>
          <w:tcPr>
            <w:tcW w:w="1500" w:type="pct"/>
          </w:tcPr>
          <w:p w14:paraId="1743BBE3" w14:textId="77777777" w:rsidR="00286EDB" w:rsidRPr="0003648D" w:rsidRDefault="00286EDB" w:rsidP="00F12CF4">
            <w:pPr>
              <w:spacing w:after="120"/>
              <w:rPr>
                <w:b/>
                <w:iCs/>
                <w:sz w:val="20"/>
              </w:rPr>
            </w:pPr>
            <w:r w:rsidRPr="0003648D">
              <w:rPr>
                <w:b/>
                <w:iCs/>
                <w:sz w:val="20"/>
              </w:rPr>
              <w:t>Variable</w:t>
            </w:r>
          </w:p>
        </w:tc>
        <w:tc>
          <w:tcPr>
            <w:tcW w:w="3500" w:type="pct"/>
          </w:tcPr>
          <w:p w14:paraId="1C8BB16F" w14:textId="77777777" w:rsidR="00286EDB" w:rsidRPr="0003648D" w:rsidRDefault="00286EDB" w:rsidP="00F12CF4">
            <w:pPr>
              <w:spacing w:after="120"/>
              <w:rPr>
                <w:b/>
                <w:iCs/>
                <w:sz w:val="20"/>
              </w:rPr>
            </w:pPr>
            <w:r w:rsidRPr="0003648D">
              <w:rPr>
                <w:b/>
                <w:iCs/>
                <w:sz w:val="20"/>
              </w:rPr>
              <w:t>Description</w:t>
            </w:r>
          </w:p>
        </w:tc>
      </w:tr>
      <w:tr w:rsidR="00286EDB" w:rsidRPr="0003648D" w14:paraId="2D18581D" w14:textId="77777777" w:rsidTr="00F12CF4">
        <w:trPr>
          <w:cantSplit/>
        </w:trPr>
        <w:tc>
          <w:tcPr>
            <w:tcW w:w="1500" w:type="pct"/>
          </w:tcPr>
          <w:p w14:paraId="6B0B75C9" w14:textId="77777777" w:rsidR="00286EDB" w:rsidRPr="0003648D" w:rsidRDefault="00286EDB" w:rsidP="00F12CF4">
            <w:pPr>
              <w:spacing w:after="60"/>
              <w:rPr>
                <w:iCs/>
                <w:sz w:val="20"/>
              </w:rPr>
            </w:pPr>
            <w:r w:rsidRPr="0003648D">
              <w:rPr>
                <w:iCs/>
                <w:sz w:val="20"/>
              </w:rPr>
              <w:t>SURAMP</w:t>
            </w:r>
          </w:p>
        </w:tc>
        <w:tc>
          <w:tcPr>
            <w:tcW w:w="3500" w:type="pct"/>
          </w:tcPr>
          <w:p w14:paraId="31B2A2B2" w14:textId="77777777" w:rsidR="00286EDB" w:rsidRPr="0003648D" w:rsidRDefault="00286EDB" w:rsidP="00F12CF4">
            <w:pPr>
              <w:spacing w:after="60"/>
              <w:rPr>
                <w:iCs/>
                <w:sz w:val="20"/>
              </w:rPr>
            </w:pPr>
            <w:r w:rsidRPr="0003648D">
              <w:rPr>
                <w:iCs/>
                <w:sz w:val="20"/>
              </w:rPr>
              <w:t xml:space="preserve">SCED Up Ramp Rate. </w:t>
            </w:r>
          </w:p>
        </w:tc>
      </w:tr>
      <w:tr w:rsidR="00286EDB" w:rsidRPr="0003648D" w14:paraId="4250C5B0" w14:textId="77777777" w:rsidTr="00F12CF4">
        <w:trPr>
          <w:cantSplit/>
        </w:trPr>
        <w:tc>
          <w:tcPr>
            <w:tcW w:w="1500" w:type="pct"/>
          </w:tcPr>
          <w:p w14:paraId="19F91506" w14:textId="77777777" w:rsidR="00286EDB" w:rsidRPr="0003648D" w:rsidRDefault="00286EDB" w:rsidP="00F12CF4">
            <w:pPr>
              <w:spacing w:after="60"/>
              <w:rPr>
                <w:iCs/>
                <w:sz w:val="20"/>
              </w:rPr>
            </w:pPr>
            <w:r w:rsidRPr="0003648D">
              <w:rPr>
                <w:iCs/>
                <w:sz w:val="20"/>
              </w:rPr>
              <w:lastRenderedPageBreak/>
              <w:t>RAMPRATE</w:t>
            </w:r>
          </w:p>
        </w:tc>
        <w:tc>
          <w:tcPr>
            <w:tcW w:w="3500" w:type="pct"/>
          </w:tcPr>
          <w:p w14:paraId="7CB36FF8" w14:textId="7D00FE2A" w:rsidR="00286EDB" w:rsidRPr="00286EDB" w:rsidRDefault="00286EDB" w:rsidP="00286EDB">
            <w:pPr>
              <w:spacing w:after="60"/>
              <w:rPr>
                <w:iCs/>
                <w:sz w:val="20"/>
              </w:rPr>
            </w:pPr>
            <w:r w:rsidRPr="00286EDB">
              <w:rPr>
                <w:iCs/>
                <w:sz w:val="20"/>
              </w:rPr>
              <w:t xml:space="preserve">Normal Ramp Rate up, as telemetered by the QSE, when </w:t>
            </w:r>
            <w:r w:rsidR="00DC32AE">
              <w:rPr>
                <w:iCs/>
                <w:sz w:val="20"/>
              </w:rPr>
              <w:t>ECRS</w:t>
            </w:r>
            <w:r w:rsidRPr="00286EDB">
              <w:rPr>
                <w:iCs/>
                <w:sz w:val="20"/>
              </w:rPr>
              <w:t xml:space="preserve"> is not deployed or when the subject Load Resource is not providing </w:t>
            </w:r>
            <w:r w:rsidR="00DC32AE">
              <w:rPr>
                <w:iCs/>
                <w:sz w:val="20"/>
              </w:rPr>
              <w:t>ECRS</w:t>
            </w:r>
            <w:r w:rsidRPr="00286EDB">
              <w:rPr>
                <w:iCs/>
                <w:sz w:val="20"/>
              </w:rPr>
              <w:t>.</w:t>
            </w:r>
          </w:p>
          <w:p w14:paraId="67FBCF68" w14:textId="0008F121" w:rsidR="00286EDB" w:rsidRPr="0003648D" w:rsidRDefault="00286EDB" w:rsidP="00F12CF4">
            <w:pPr>
              <w:spacing w:after="60"/>
              <w:rPr>
                <w:iCs/>
                <w:sz w:val="20"/>
              </w:rPr>
            </w:pPr>
            <w:r w:rsidRPr="00286EDB">
              <w:rPr>
                <w:iCs/>
                <w:sz w:val="20"/>
              </w:rPr>
              <w:t xml:space="preserve">Emergency Ramp Rate up, as telemetered by the QSE, for Load Resources deploying </w:t>
            </w:r>
            <w:r w:rsidR="00DC32AE">
              <w:rPr>
                <w:iCs/>
                <w:sz w:val="20"/>
              </w:rPr>
              <w:t>ECRS</w:t>
            </w:r>
            <w:r w:rsidRPr="00286EDB">
              <w:rPr>
                <w:iCs/>
                <w:sz w:val="20"/>
              </w:rPr>
              <w:t>.</w:t>
            </w:r>
          </w:p>
        </w:tc>
      </w:tr>
      <w:tr w:rsidR="00286EDB" w:rsidRPr="0003648D" w14:paraId="255C3F9A" w14:textId="77777777" w:rsidTr="00F12CF4">
        <w:trPr>
          <w:cantSplit/>
        </w:trPr>
        <w:tc>
          <w:tcPr>
            <w:tcW w:w="1500" w:type="pct"/>
          </w:tcPr>
          <w:p w14:paraId="2FBCC2E9" w14:textId="77777777" w:rsidR="00286EDB" w:rsidRPr="0003648D" w:rsidRDefault="00286EDB" w:rsidP="00F12CF4">
            <w:pPr>
              <w:spacing w:after="60"/>
              <w:rPr>
                <w:iCs/>
                <w:sz w:val="20"/>
              </w:rPr>
            </w:pPr>
            <w:r w:rsidRPr="0003648D">
              <w:rPr>
                <w:iCs/>
                <w:sz w:val="20"/>
              </w:rPr>
              <w:t>RUSTELEM</w:t>
            </w:r>
          </w:p>
        </w:tc>
        <w:tc>
          <w:tcPr>
            <w:tcW w:w="3500" w:type="pct"/>
          </w:tcPr>
          <w:p w14:paraId="778E338A" w14:textId="77777777" w:rsidR="00286EDB" w:rsidRPr="0003648D" w:rsidRDefault="00286EDB" w:rsidP="00F12CF4">
            <w:pPr>
              <w:spacing w:after="60"/>
              <w:rPr>
                <w:iCs/>
                <w:sz w:val="20"/>
              </w:rPr>
            </w:pPr>
            <w:r w:rsidRPr="0003648D">
              <w:rPr>
                <w:iCs/>
                <w:sz w:val="20"/>
              </w:rPr>
              <w:t>Reg-Up Ancillary Service Resource Responsibility designation provided by telemetry.</w:t>
            </w:r>
          </w:p>
        </w:tc>
      </w:tr>
      <w:tr w:rsidR="00286EDB" w:rsidRPr="0003648D" w14:paraId="5C5E620F"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5F00C432" w14:textId="77777777" w:rsidR="00286EDB" w:rsidRPr="0003648D" w:rsidRDefault="00286EDB" w:rsidP="00F12CF4">
            <w:pPr>
              <w:spacing w:after="60"/>
              <w:rPr>
                <w:iCs/>
                <w:sz w:val="20"/>
              </w:rPr>
            </w:pPr>
            <w:r w:rsidRPr="00E63547">
              <w:rPr>
                <w:iCs/>
                <w:sz w:val="20"/>
              </w:rPr>
              <w:t>RDSDEPLP</w:t>
            </w:r>
          </w:p>
        </w:tc>
        <w:tc>
          <w:tcPr>
            <w:tcW w:w="3500" w:type="pct"/>
            <w:tcBorders>
              <w:top w:val="single" w:sz="4" w:space="0" w:color="auto"/>
              <w:left w:val="single" w:sz="4" w:space="0" w:color="auto"/>
              <w:bottom w:val="single" w:sz="4" w:space="0" w:color="auto"/>
              <w:right w:val="single" w:sz="4" w:space="0" w:color="auto"/>
            </w:tcBorders>
          </w:tcPr>
          <w:p w14:paraId="3B73966B" w14:textId="77777777" w:rsidR="00286EDB" w:rsidRPr="0003648D" w:rsidRDefault="00286EDB" w:rsidP="00F12CF4">
            <w:pPr>
              <w:spacing w:after="60"/>
              <w:rPr>
                <w:iCs/>
                <w:sz w:val="20"/>
              </w:rPr>
            </w:pPr>
            <w:r w:rsidRPr="00E63547">
              <w:rPr>
                <w:iCs/>
                <w:sz w:val="20"/>
              </w:rPr>
              <w:t>Percentage of system-wide Reg-Down Ancillary Resource Responsibility deployed by LFC. This value shall not exceed 100% and controls the amount of ramp rate reserved for Regulation Service in Real-Time.</w:t>
            </w:r>
          </w:p>
        </w:tc>
      </w:tr>
    </w:tbl>
    <w:p w14:paraId="4473C84A" w14:textId="1A4C6766" w:rsidR="001F04FD" w:rsidRPr="006A6281" w:rsidRDefault="001F04FD" w:rsidP="001F04FD">
      <w:pPr>
        <w:pStyle w:val="BodyTextNumbered"/>
        <w:spacing w:before="240"/>
        <w:rPr>
          <w:b/>
          <w:i/>
          <w:iCs/>
          <w:szCs w:val="24"/>
        </w:rPr>
      </w:pPr>
      <w:r w:rsidRPr="006A6281">
        <w:t>(12)</w:t>
      </w:r>
      <w:r w:rsidRPr="006A6281">
        <w:tab/>
        <w:t xml:space="preserve">For each </w:t>
      </w:r>
      <w:r w:rsidR="0011303E">
        <w:t>CLR</w:t>
      </w:r>
      <w:r w:rsidRPr="006A6281">
        <w:t>, the SDRAMP is calculated as follows:</w:t>
      </w:r>
    </w:p>
    <w:p w14:paraId="2F45043C" w14:textId="77777777" w:rsidR="00286EDB" w:rsidRPr="0009414B" w:rsidRDefault="00286EDB" w:rsidP="00286EDB">
      <w:pPr>
        <w:spacing w:after="240"/>
        <w:ind w:left="1440" w:hanging="720"/>
        <w:rPr>
          <w:b/>
          <w:lang w:val="de-DE"/>
        </w:rPr>
      </w:pPr>
      <w:r w:rsidRPr="0009414B">
        <w:rPr>
          <w:b/>
          <w:lang w:val="de-DE"/>
        </w:rPr>
        <w:t>SDRAMP</w:t>
      </w:r>
      <w:r w:rsidRPr="0009414B">
        <w:rPr>
          <w:b/>
          <w:lang w:val="de-DE"/>
        </w:rPr>
        <w:tab/>
        <w:t>=</w:t>
      </w:r>
      <w:r w:rsidRPr="0009414B">
        <w:rPr>
          <w:b/>
          <w:lang w:val="de-DE"/>
        </w:rPr>
        <w:tab/>
        <w:t xml:space="preserve">NORMRAMP </w:t>
      </w:r>
      <w:r w:rsidRPr="00201DAD">
        <w:rPr>
          <w:b/>
          <w:lang w:val="de-DE"/>
        </w:rPr>
        <w:t>–</w:t>
      </w:r>
      <w:r w:rsidRPr="00057F61">
        <w:rPr>
          <w:b/>
          <w:lang w:val="de-DE"/>
        </w:rPr>
        <w:t xml:space="preserve"> (1 – RUSDEPLP) *</w:t>
      </w:r>
      <w:r w:rsidRPr="0009414B">
        <w:rPr>
          <w:b/>
          <w:lang w:val="de-DE"/>
        </w:rPr>
        <w:t xml:space="preserve"> (RDSTELEM</w:t>
      </w:r>
      <w:r>
        <w:rPr>
          <w:b/>
          <w:lang w:val="de-DE"/>
        </w:rPr>
        <w:t xml:space="preserve"> / 7</w:t>
      </w:r>
      <w:r w:rsidRPr="0009414B">
        <w:rPr>
          <w:b/>
          <w:lang w:val="de-DE"/>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rsidRPr="006A6281" w14:paraId="51C4010A" w14:textId="77777777" w:rsidTr="00F12CF4">
        <w:trPr>
          <w:tblHeader/>
        </w:trPr>
        <w:tc>
          <w:tcPr>
            <w:tcW w:w="1500" w:type="pct"/>
          </w:tcPr>
          <w:p w14:paraId="05C04A24" w14:textId="77777777" w:rsidR="00286EDB" w:rsidRPr="006A6281" w:rsidRDefault="00286EDB" w:rsidP="00F12CF4">
            <w:pPr>
              <w:pStyle w:val="TableHead"/>
            </w:pPr>
            <w:r w:rsidRPr="006A6281">
              <w:t>Variable</w:t>
            </w:r>
          </w:p>
        </w:tc>
        <w:tc>
          <w:tcPr>
            <w:tcW w:w="3500" w:type="pct"/>
          </w:tcPr>
          <w:p w14:paraId="3CE90079" w14:textId="77777777" w:rsidR="00286EDB" w:rsidRPr="006A6281" w:rsidRDefault="00286EDB" w:rsidP="00F12CF4">
            <w:pPr>
              <w:pStyle w:val="TableHead"/>
            </w:pPr>
            <w:r w:rsidRPr="006A6281">
              <w:t>Description</w:t>
            </w:r>
          </w:p>
        </w:tc>
      </w:tr>
      <w:tr w:rsidR="00286EDB" w:rsidRPr="006A6281" w14:paraId="0BBA74C8" w14:textId="77777777" w:rsidTr="00F12CF4">
        <w:trPr>
          <w:cantSplit/>
        </w:trPr>
        <w:tc>
          <w:tcPr>
            <w:tcW w:w="1500" w:type="pct"/>
          </w:tcPr>
          <w:p w14:paraId="6768C9BA" w14:textId="77777777" w:rsidR="00286EDB" w:rsidRPr="006A6281" w:rsidRDefault="00286EDB" w:rsidP="00F12CF4">
            <w:pPr>
              <w:pStyle w:val="TableBody"/>
            </w:pPr>
            <w:r w:rsidRPr="006A6281">
              <w:t>SDRAMP</w:t>
            </w:r>
          </w:p>
        </w:tc>
        <w:tc>
          <w:tcPr>
            <w:tcW w:w="3500" w:type="pct"/>
          </w:tcPr>
          <w:p w14:paraId="3A0FD065" w14:textId="77777777" w:rsidR="00286EDB" w:rsidRPr="006A6281" w:rsidRDefault="00286EDB" w:rsidP="00F12CF4">
            <w:pPr>
              <w:pStyle w:val="TableBody"/>
            </w:pPr>
            <w:r w:rsidRPr="006A6281">
              <w:t>SCED Down Ramp Rate.</w:t>
            </w:r>
          </w:p>
        </w:tc>
      </w:tr>
      <w:tr w:rsidR="00286EDB" w:rsidRPr="006A6281" w14:paraId="6D34E9FA" w14:textId="77777777" w:rsidTr="00F12CF4">
        <w:trPr>
          <w:cantSplit/>
        </w:trPr>
        <w:tc>
          <w:tcPr>
            <w:tcW w:w="1500" w:type="pct"/>
          </w:tcPr>
          <w:p w14:paraId="0B1ED814" w14:textId="77777777" w:rsidR="00286EDB" w:rsidRPr="006A6281" w:rsidRDefault="00286EDB" w:rsidP="00F12CF4">
            <w:pPr>
              <w:pStyle w:val="TableBody"/>
            </w:pPr>
            <w:r w:rsidRPr="006A6281">
              <w:t>NORMRAMP</w:t>
            </w:r>
          </w:p>
        </w:tc>
        <w:tc>
          <w:tcPr>
            <w:tcW w:w="3500" w:type="pct"/>
          </w:tcPr>
          <w:p w14:paraId="39542C51" w14:textId="77777777" w:rsidR="00286EDB" w:rsidRPr="006A6281" w:rsidRDefault="00286EDB" w:rsidP="00F12CF4">
            <w:pPr>
              <w:pStyle w:val="TableBody"/>
            </w:pPr>
            <w:r w:rsidRPr="006A6281">
              <w:t xml:space="preserve">Normal Ramp Rate down, as telemetered by the QSE. </w:t>
            </w:r>
          </w:p>
        </w:tc>
      </w:tr>
      <w:tr w:rsidR="00286EDB" w:rsidRPr="006A6281" w14:paraId="5D35104E" w14:textId="77777777" w:rsidTr="00F12CF4">
        <w:trPr>
          <w:cantSplit/>
        </w:trPr>
        <w:tc>
          <w:tcPr>
            <w:tcW w:w="1500" w:type="pct"/>
          </w:tcPr>
          <w:p w14:paraId="220111C2" w14:textId="77777777" w:rsidR="00286EDB" w:rsidRPr="006A6281" w:rsidRDefault="00286EDB" w:rsidP="00F12CF4">
            <w:pPr>
              <w:pStyle w:val="TableBody"/>
            </w:pPr>
            <w:r w:rsidRPr="006A6281">
              <w:t>RDSTELEM</w:t>
            </w:r>
          </w:p>
        </w:tc>
        <w:tc>
          <w:tcPr>
            <w:tcW w:w="3500" w:type="pct"/>
          </w:tcPr>
          <w:p w14:paraId="1E1315B9" w14:textId="77777777" w:rsidR="00286EDB" w:rsidRPr="006A6281" w:rsidRDefault="00286EDB" w:rsidP="00F12CF4">
            <w:pPr>
              <w:pStyle w:val="TableBody"/>
            </w:pPr>
            <w:r w:rsidRPr="006A6281">
              <w:t xml:space="preserve">Reg-Down Ancillary Service Resource Responsibility designation by Resource provided via telemetry. </w:t>
            </w:r>
          </w:p>
        </w:tc>
      </w:tr>
      <w:tr w:rsidR="00286EDB" w:rsidRPr="006A6281" w:rsidDel="004409E7" w14:paraId="09932F1E"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57BF5FB8" w14:textId="77777777" w:rsidR="00286EDB" w:rsidRPr="006A6281" w:rsidDel="004409E7" w:rsidRDefault="00286EDB" w:rsidP="00F12CF4">
            <w:pPr>
              <w:pStyle w:val="TableBody"/>
            </w:pPr>
            <w:r>
              <w:t>RUSDEPLP</w:t>
            </w:r>
          </w:p>
        </w:tc>
        <w:tc>
          <w:tcPr>
            <w:tcW w:w="3500" w:type="pct"/>
            <w:tcBorders>
              <w:top w:val="single" w:sz="4" w:space="0" w:color="auto"/>
              <w:left w:val="single" w:sz="4" w:space="0" w:color="auto"/>
              <w:bottom w:val="single" w:sz="4" w:space="0" w:color="auto"/>
              <w:right w:val="single" w:sz="4" w:space="0" w:color="auto"/>
            </w:tcBorders>
          </w:tcPr>
          <w:p w14:paraId="63C7F873" w14:textId="77777777" w:rsidR="00286EDB" w:rsidRPr="006A6281" w:rsidDel="004409E7" w:rsidRDefault="00286EDB" w:rsidP="00F12CF4">
            <w:pPr>
              <w:pStyle w:val="TableBody"/>
            </w:pPr>
            <w:r>
              <w:t>Percentage of system-wide Reg-Up Ancillary Resource Responsibility deployed by LFC. This value shall not exceed 100% and controls the amount of ramp rate reserved for Regulation Service in Real-Time.</w:t>
            </w:r>
          </w:p>
        </w:tc>
      </w:tr>
    </w:tbl>
    <w:p w14:paraId="0C0358E8" w14:textId="77777777" w:rsidR="001F04FD" w:rsidRPr="006A6281" w:rsidRDefault="001F04FD" w:rsidP="001F04FD">
      <w:pPr>
        <w:pStyle w:val="BodyTextNumbered"/>
        <w:spacing w:before="240"/>
        <w:rPr>
          <w:b/>
          <w:i/>
          <w:iCs/>
          <w:szCs w:val="24"/>
        </w:rPr>
      </w:pPr>
      <w:r w:rsidRPr="006A6281">
        <w:rPr>
          <w:iCs/>
        </w:rPr>
        <w:t>(13)</w:t>
      </w:r>
      <w:r w:rsidRPr="006A6281">
        <w:rPr>
          <w:iCs/>
        </w:rPr>
        <w:tab/>
        <w:t>For Load Resources, HDL is calculated as follows:</w:t>
      </w:r>
    </w:p>
    <w:p w14:paraId="777674D9" w14:textId="77777777" w:rsidR="001F04FD" w:rsidRPr="006A6281" w:rsidRDefault="001F04FD" w:rsidP="001F04FD">
      <w:pPr>
        <w:spacing w:after="240"/>
        <w:ind w:left="1440" w:hanging="720"/>
        <w:rPr>
          <w:b/>
        </w:rPr>
      </w:pPr>
      <w:r w:rsidRPr="006A6281">
        <w:rPr>
          <w:b/>
        </w:rPr>
        <w:t>HDL</w:t>
      </w:r>
      <w:r w:rsidRPr="006A6281">
        <w:rPr>
          <w:b/>
        </w:rPr>
        <w:tab/>
        <w:t>=</w:t>
      </w:r>
      <w:r w:rsidRPr="006A6281">
        <w:rPr>
          <w:b/>
        </w:rPr>
        <w:tab/>
        <w:t>Min (POWERTELEM + (SDRAMP * 5), HASL)</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rsidRPr="006A6281" w14:paraId="47FE07EB" w14:textId="77777777" w:rsidTr="00AC4DEE">
        <w:tc>
          <w:tcPr>
            <w:tcW w:w="1500" w:type="pct"/>
          </w:tcPr>
          <w:p w14:paraId="166DAE5B" w14:textId="77777777" w:rsidR="001F04FD" w:rsidRPr="006A6281" w:rsidRDefault="001F04FD" w:rsidP="00AC4DEE">
            <w:pPr>
              <w:pStyle w:val="TableHead"/>
            </w:pPr>
            <w:r w:rsidRPr="006A6281">
              <w:t>Variable</w:t>
            </w:r>
          </w:p>
        </w:tc>
        <w:tc>
          <w:tcPr>
            <w:tcW w:w="3500" w:type="pct"/>
          </w:tcPr>
          <w:p w14:paraId="08C6A6EA" w14:textId="77777777" w:rsidR="001F04FD" w:rsidRPr="006A6281" w:rsidRDefault="001F04FD" w:rsidP="00AC4DEE">
            <w:pPr>
              <w:pStyle w:val="TableHead"/>
            </w:pPr>
            <w:r w:rsidRPr="006A6281">
              <w:t>Description</w:t>
            </w:r>
          </w:p>
        </w:tc>
      </w:tr>
      <w:tr w:rsidR="001F04FD" w:rsidRPr="006A6281" w14:paraId="77C04B6E" w14:textId="77777777" w:rsidTr="00AC4DEE">
        <w:trPr>
          <w:cantSplit/>
        </w:trPr>
        <w:tc>
          <w:tcPr>
            <w:tcW w:w="1500" w:type="pct"/>
          </w:tcPr>
          <w:p w14:paraId="7782A2F3" w14:textId="77777777" w:rsidR="001F04FD" w:rsidRPr="006A6281" w:rsidRDefault="001F04FD" w:rsidP="00AC4DEE">
            <w:pPr>
              <w:pStyle w:val="TableBody"/>
            </w:pPr>
            <w:r w:rsidRPr="006A6281">
              <w:t>HDL</w:t>
            </w:r>
          </w:p>
        </w:tc>
        <w:tc>
          <w:tcPr>
            <w:tcW w:w="3500" w:type="pct"/>
          </w:tcPr>
          <w:p w14:paraId="69B249A6" w14:textId="77777777" w:rsidR="001F04FD" w:rsidRPr="006A6281" w:rsidRDefault="001F04FD" w:rsidP="00AC4DEE">
            <w:pPr>
              <w:pStyle w:val="TableBody"/>
            </w:pPr>
            <w:r w:rsidRPr="006A6281">
              <w:t>High Dispatch Limit.</w:t>
            </w:r>
          </w:p>
        </w:tc>
      </w:tr>
      <w:tr w:rsidR="001F04FD" w:rsidRPr="006A6281" w14:paraId="42AB8051" w14:textId="77777777" w:rsidTr="00AC4DEE">
        <w:trPr>
          <w:cantSplit/>
        </w:trPr>
        <w:tc>
          <w:tcPr>
            <w:tcW w:w="1500" w:type="pct"/>
          </w:tcPr>
          <w:p w14:paraId="271AAAE8" w14:textId="77777777" w:rsidR="001F04FD" w:rsidRPr="006A6281" w:rsidRDefault="001F04FD" w:rsidP="00AC4DEE">
            <w:pPr>
              <w:pStyle w:val="TableBody"/>
            </w:pPr>
            <w:r w:rsidRPr="006A6281">
              <w:t>POWERTELEM</w:t>
            </w:r>
          </w:p>
        </w:tc>
        <w:tc>
          <w:tcPr>
            <w:tcW w:w="3500" w:type="pct"/>
          </w:tcPr>
          <w:p w14:paraId="451B4825" w14:textId="77777777" w:rsidR="001F04FD" w:rsidRPr="006A6281" w:rsidRDefault="001F04FD" w:rsidP="00AC4DEE">
            <w:pPr>
              <w:pStyle w:val="TableBody"/>
            </w:pPr>
            <w:r w:rsidRPr="006A6281">
              <w:t xml:space="preserve">Net real power flow provided via telemetry. </w:t>
            </w:r>
          </w:p>
        </w:tc>
      </w:tr>
      <w:tr w:rsidR="001F04FD" w:rsidRPr="006A6281" w14:paraId="41AD0AEE" w14:textId="77777777" w:rsidTr="00AC4DEE">
        <w:trPr>
          <w:cantSplit/>
        </w:trPr>
        <w:tc>
          <w:tcPr>
            <w:tcW w:w="1500" w:type="pct"/>
          </w:tcPr>
          <w:p w14:paraId="48668B34" w14:textId="77777777" w:rsidR="001F04FD" w:rsidRPr="006A6281" w:rsidRDefault="001F04FD" w:rsidP="00AC4DEE">
            <w:pPr>
              <w:pStyle w:val="TableBody"/>
            </w:pPr>
            <w:r w:rsidRPr="006A6281">
              <w:t>SDRAMP</w:t>
            </w:r>
          </w:p>
        </w:tc>
        <w:tc>
          <w:tcPr>
            <w:tcW w:w="3500" w:type="pct"/>
          </w:tcPr>
          <w:p w14:paraId="20F71353" w14:textId="77777777" w:rsidR="001F04FD" w:rsidRPr="006A6281" w:rsidRDefault="001F04FD" w:rsidP="00AC4DEE">
            <w:pPr>
              <w:pStyle w:val="TableBody"/>
            </w:pPr>
            <w:r w:rsidRPr="006A6281">
              <w:t>SCED Down Ramp Rate.</w:t>
            </w:r>
          </w:p>
        </w:tc>
      </w:tr>
      <w:tr w:rsidR="001F04FD" w:rsidRPr="006A6281" w14:paraId="2AC0798F" w14:textId="77777777" w:rsidTr="00AC4DEE">
        <w:trPr>
          <w:cantSplit/>
        </w:trPr>
        <w:tc>
          <w:tcPr>
            <w:tcW w:w="1500" w:type="pct"/>
          </w:tcPr>
          <w:p w14:paraId="268913A5" w14:textId="77777777" w:rsidR="001F04FD" w:rsidRPr="006A6281" w:rsidRDefault="001F04FD" w:rsidP="00AC4DEE">
            <w:pPr>
              <w:pStyle w:val="TableBody"/>
            </w:pPr>
            <w:r w:rsidRPr="006A6281">
              <w:t>HASL</w:t>
            </w:r>
          </w:p>
        </w:tc>
        <w:tc>
          <w:tcPr>
            <w:tcW w:w="3500" w:type="pct"/>
          </w:tcPr>
          <w:p w14:paraId="73C369D8" w14:textId="77777777" w:rsidR="001F04FD" w:rsidRPr="006A6281" w:rsidRDefault="001F04FD" w:rsidP="00AC4DEE">
            <w:pPr>
              <w:pStyle w:val="TableBody"/>
            </w:pPr>
            <w:r w:rsidRPr="006A6281">
              <w:t>High Ancillary Service Limit – definition provided in Section 2.</w:t>
            </w:r>
          </w:p>
        </w:tc>
      </w:tr>
    </w:tbl>
    <w:p w14:paraId="3504209E" w14:textId="77777777" w:rsidR="001F04FD" w:rsidRPr="006A6281" w:rsidRDefault="001F04FD" w:rsidP="001F04FD">
      <w:pPr>
        <w:pStyle w:val="BodyTextNumbered"/>
        <w:spacing w:before="240"/>
        <w:ind w:left="0" w:firstLine="0"/>
        <w:rPr>
          <w:b/>
          <w:i/>
          <w:iCs/>
          <w:szCs w:val="24"/>
        </w:rPr>
      </w:pPr>
      <w:r w:rsidRPr="006A6281">
        <w:rPr>
          <w:iCs/>
        </w:rPr>
        <w:t>(14)</w:t>
      </w:r>
      <w:r w:rsidRPr="006A6281">
        <w:rPr>
          <w:iCs/>
        </w:rPr>
        <w:tab/>
        <w:t>For Load Resources, LDL is calculated as follows:</w:t>
      </w:r>
    </w:p>
    <w:p w14:paraId="7A6413AE" w14:textId="77777777" w:rsidR="001F04FD" w:rsidRPr="006A6281" w:rsidRDefault="001F04FD" w:rsidP="001F04FD">
      <w:pPr>
        <w:spacing w:after="240"/>
        <w:ind w:left="1440" w:hanging="720"/>
        <w:rPr>
          <w:b/>
        </w:rPr>
      </w:pPr>
      <w:r w:rsidRPr="006A6281">
        <w:rPr>
          <w:b/>
        </w:rPr>
        <w:t>LDL</w:t>
      </w:r>
      <w:r w:rsidRPr="006A6281">
        <w:rPr>
          <w:b/>
        </w:rPr>
        <w:tab/>
        <w:t>=</w:t>
      </w:r>
      <w:r w:rsidRPr="006A6281">
        <w:rPr>
          <w:b/>
        </w:rPr>
        <w:tab/>
        <w:t>Max (POWERTELEM - (SURAMP * 5), LASL)</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rsidRPr="006A6281" w14:paraId="4F45C2D1" w14:textId="77777777" w:rsidTr="00AC4DEE">
        <w:tc>
          <w:tcPr>
            <w:tcW w:w="1500" w:type="pct"/>
          </w:tcPr>
          <w:p w14:paraId="6C53E295" w14:textId="77777777" w:rsidR="001F04FD" w:rsidRPr="006A6281" w:rsidRDefault="001F04FD" w:rsidP="00AC4DEE">
            <w:pPr>
              <w:pStyle w:val="TableHead"/>
            </w:pPr>
            <w:r w:rsidRPr="006A6281">
              <w:t>Variable</w:t>
            </w:r>
          </w:p>
        </w:tc>
        <w:tc>
          <w:tcPr>
            <w:tcW w:w="3500" w:type="pct"/>
          </w:tcPr>
          <w:p w14:paraId="69286F61" w14:textId="77777777" w:rsidR="001F04FD" w:rsidRPr="006A6281" w:rsidRDefault="001F04FD" w:rsidP="00AC4DEE">
            <w:pPr>
              <w:pStyle w:val="TableHead"/>
            </w:pPr>
            <w:r w:rsidRPr="006A6281">
              <w:t>Description</w:t>
            </w:r>
          </w:p>
        </w:tc>
      </w:tr>
      <w:tr w:rsidR="001F04FD" w:rsidRPr="006A6281" w14:paraId="0BF2AC77" w14:textId="77777777" w:rsidTr="00AC4DEE">
        <w:trPr>
          <w:cantSplit/>
        </w:trPr>
        <w:tc>
          <w:tcPr>
            <w:tcW w:w="1500" w:type="pct"/>
          </w:tcPr>
          <w:p w14:paraId="424F98F4" w14:textId="77777777" w:rsidR="001F04FD" w:rsidRPr="006A6281" w:rsidRDefault="001F04FD" w:rsidP="00AC4DEE">
            <w:pPr>
              <w:pStyle w:val="TableBody"/>
            </w:pPr>
            <w:r w:rsidRPr="006A6281">
              <w:t>LDL</w:t>
            </w:r>
          </w:p>
        </w:tc>
        <w:tc>
          <w:tcPr>
            <w:tcW w:w="3500" w:type="pct"/>
          </w:tcPr>
          <w:p w14:paraId="02AB97FE" w14:textId="77777777" w:rsidR="001F04FD" w:rsidRPr="006A6281" w:rsidRDefault="001F04FD" w:rsidP="00AC4DEE">
            <w:pPr>
              <w:pStyle w:val="TableBody"/>
            </w:pPr>
            <w:r w:rsidRPr="006A6281">
              <w:t>Low Dispatch Limit.</w:t>
            </w:r>
          </w:p>
        </w:tc>
      </w:tr>
      <w:tr w:rsidR="001F04FD" w:rsidRPr="006A6281" w14:paraId="552FC6D1" w14:textId="77777777" w:rsidTr="00AC4DEE">
        <w:trPr>
          <w:cantSplit/>
        </w:trPr>
        <w:tc>
          <w:tcPr>
            <w:tcW w:w="1500" w:type="pct"/>
          </w:tcPr>
          <w:p w14:paraId="77CF05C1" w14:textId="77777777" w:rsidR="001F04FD" w:rsidRPr="006A6281" w:rsidRDefault="001F04FD" w:rsidP="00AC4DEE">
            <w:pPr>
              <w:pStyle w:val="TableBody"/>
            </w:pPr>
            <w:r w:rsidRPr="006A6281">
              <w:t>POWERTELEM</w:t>
            </w:r>
          </w:p>
        </w:tc>
        <w:tc>
          <w:tcPr>
            <w:tcW w:w="3500" w:type="pct"/>
          </w:tcPr>
          <w:p w14:paraId="5C1CBA9B" w14:textId="77777777" w:rsidR="001F04FD" w:rsidRPr="006A6281" w:rsidRDefault="001F04FD" w:rsidP="00AC4DEE">
            <w:pPr>
              <w:pStyle w:val="TableBody"/>
            </w:pPr>
            <w:r w:rsidRPr="006A6281">
              <w:t xml:space="preserve">Net real power flow provided via telemetry. </w:t>
            </w:r>
          </w:p>
        </w:tc>
      </w:tr>
      <w:tr w:rsidR="001F04FD" w:rsidRPr="006A6281" w14:paraId="1133C2C0" w14:textId="77777777" w:rsidTr="00AC4DEE">
        <w:trPr>
          <w:cantSplit/>
        </w:trPr>
        <w:tc>
          <w:tcPr>
            <w:tcW w:w="1500" w:type="pct"/>
          </w:tcPr>
          <w:p w14:paraId="24EB1918" w14:textId="77777777" w:rsidR="001F04FD" w:rsidRPr="006A6281" w:rsidRDefault="001F04FD" w:rsidP="00AC4DEE">
            <w:pPr>
              <w:pStyle w:val="TableBody"/>
            </w:pPr>
            <w:r w:rsidRPr="006A6281">
              <w:t>SURAMP</w:t>
            </w:r>
          </w:p>
        </w:tc>
        <w:tc>
          <w:tcPr>
            <w:tcW w:w="3500" w:type="pct"/>
          </w:tcPr>
          <w:p w14:paraId="6A2E6709" w14:textId="77777777" w:rsidR="001F04FD" w:rsidRPr="006A6281" w:rsidRDefault="001F04FD" w:rsidP="00AC4DEE">
            <w:pPr>
              <w:pStyle w:val="TableBody"/>
            </w:pPr>
            <w:r w:rsidRPr="006A6281">
              <w:t xml:space="preserve">SCED Up Ramp Rate. </w:t>
            </w:r>
          </w:p>
        </w:tc>
      </w:tr>
      <w:tr w:rsidR="001F04FD" w:rsidRPr="006A6281" w14:paraId="6D8E654C" w14:textId="77777777" w:rsidTr="00AC4DEE">
        <w:trPr>
          <w:cantSplit/>
        </w:trPr>
        <w:tc>
          <w:tcPr>
            <w:tcW w:w="1500" w:type="pct"/>
          </w:tcPr>
          <w:p w14:paraId="09C30A9B" w14:textId="77777777" w:rsidR="001F04FD" w:rsidRPr="006A6281" w:rsidRDefault="001F04FD" w:rsidP="00AC4DEE">
            <w:pPr>
              <w:pStyle w:val="TableBody"/>
            </w:pPr>
            <w:r w:rsidRPr="006A6281">
              <w:t>LASL</w:t>
            </w:r>
          </w:p>
        </w:tc>
        <w:tc>
          <w:tcPr>
            <w:tcW w:w="3500" w:type="pct"/>
          </w:tcPr>
          <w:p w14:paraId="1A7AA165" w14:textId="77777777" w:rsidR="001F04FD" w:rsidRPr="006A6281" w:rsidRDefault="001F04FD" w:rsidP="00AC4DEE">
            <w:pPr>
              <w:pStyle w:val="TableBody"/>
            </w:pPr>
            <w:r w:rsidRPr="006A6281">
              <w:t>Low Ancillary Service Limit – definition provided in Section 2.</w:t>
            </w:r>
          </w:p>
        </w:tc>
      </w:tr>
    </w:tbl>
    <w:p w14:paraId="5B9A4C4B" w14:textId="77777777" w:rsidR="00F65784" w:rsidRPr="00F65784" w:rsidRDefault="00F65784" w:rsidP="00F65784">
      <w:pPr>
        <w:pStyle w:val="BodyText"/>
        <w:spacing w:after="0"/>
      </w:pPr>
      <w:bookmarkStart w:id="1114" w:name="_Toc397504970"/>
      <w:bookmarkStart w:id="1115" w:name="_Toc402357098"/>
      <w:bookmarkStart w:id="1116" w:name="_Toc422486478"/>
      <w:bookmarkStart w:id="1117" w:name="_Toc433093330"/>
      <w:bookmarkStart w:id="1118" w:name="_Toc433093488"/>
      <w:bookmarkStart w:id="1119" w:name="_Toc440874717"/>
      <w:bookmarkStart w:id="1120" w:name="_Toc448142272"/>
      <w:bookmarkStart w:id="1121" w:name="_Toc448142429"/>
      <w:bookmarkStart w:id="1122" w:name="_Toc458770265"/>
      <w:bookmarkStart w:id="1123" w:name="_Toc459294233"/>
      <w:bookmarkStart w:id="1124" w:name="_Toc463262726"/>
      <w:bookmarkStart w:id="1125" w:name="_Toc468286800"/>
      <w:bookmarkStart w:id="1126" w:name="_Toc481502846"/>
      <w:bookmarkStart w:id="1127" w:name="_Toc496080014"/>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6F599AF3" w14:textId="77777777" w:rsidTr="00D94BFC">
        <w:trPr>
          <w:trHeight w:val="206"/>
        </w:trPr>
        <w:tc>
          <w:tcPr>
            <w:tcW w:w="9350" w:type="dxa"/>
            <w:shd w:val="pct12" w:color="auto" w:fill="auto"/>
          </w:tcPr>
          <w:p w14:paraId="5B508DF0" w14:textId="02BEAF91" w:rsidR="00F65784" w:rsidRDefault="00BC03DD" w:rsidP="00D94BFC">
            <w:pPr>
              <w:pStyle w:val="Instructions"/>
              <w:spacing w:before="120"/>
            </w:pPr>
            <w:r>
              <w:lastRenderedPageBreak/>
              <w:t>[</w:t>
            </w:r>
            <w:r w:rsidR="00D94BFC">
              <w:t>NPRR879,</w:t>
            </w:r>
            <w:r w:rsidR="001E163F">
              <w:t xml:space="preserve"> </w:t>
            </w:r>
            <w:r w:rsidR="00F65784">
              <w:t>NPRR1010</w:t>
            </w:r>
            <w:r w:rsidR="001E163F">
              <w:t>, and NPRR1014</w:t>
            </w:r>
            <w:r w:rsidR="00F65784">
              <w:t xml:space="preserve">:  Replace applicable portions of Section 6.5.7.2 above with the following upon system implementation for </w:t>
            </w:r>
            <w:r w:rsidR="00D94BFC">
              <w:t>NPRR879</w:t>
            </w:r>
            <w:r w:rsidR="001E163F">
              <w:t xml:space="preserve"> or NPRR1014</w:t>
            </w:r>
            <w:r w:rsidR="00F65784">
              <w:t>; or upon system implementation of the Real-Time Co-Optimization (RTC) project for NPRR1010:]</w:t>
            </w:r>
          </w:p>
          <w:p w14:paraId="46230384" w14:textId="77777777" w:rsidR="00D94BFC" w:rsidRPr="003161DC" w:rsidRDefault="00D94BFC" w:rsidP="001E163F">
            <w:pPr>
              <w:keepNext/>
              <w:widowControl w:val="0"/>
              <w:tabs>
                <w:tab w:val="left" w:pos="1260"/>
              </w:tabs>
              <w:spacing w:before="240" w:after="240"/>
              <w:ind w:left="1267" w:hanging="1267"/>
              <w:outlineLvl w:val="3"/>
              <w:rPr>
                <w:b/>
                <w:bCs/>
                <w:snapToGrid w:val="0"/>
              </w:rPr>
            </w:pPr>
            <w:bookmarkStart w:id="1128" w:name="_Toc60040617"/>
            <w:bookmarkStart w:id="1129" w:name="_Toc65151677"/>
            <w:bookmarkStart w:id="1130" w:name="_Toc80174703"/>
            <w:bookmarkStart w:id="1131" w:name="_Toc108712462"/>
            <w:bookmarkStart w:id="1132" w:name="_Toc112417582"/>
            <w:bookmarkStart w:id="1133" w:name="_Toc119310251"/>
            <w:bookmarkStart w:id="1134" w:name="_Toc125966185"/>
            <w:bookmarkStart w:id="1135" w:name="_Toc135992283"/>
            <w:bookmarkStart w:id="1136" w:name="_Toc170303479"/>
            <w:bookmarkStart w:id="1137" w:name="_Toc175157383"/>
            <w:bookmarkStart w:id="1138" w:name="_Toc204411609"/>
            <w:r w:rsidRPr="003161DC">
              <w:rPr>
                <w:b/>
                <w:bCs/>
                <w:snapToGrid w:val="0"/>
              </w:rPr>
              <w:t>6.5.7.2</w:t>
            </w:r>
            <w:r w:rsidRPr="003161DC">
              <w:rPr>
                <w:b/>
                <w:bCs/>
                <w:snapToGrid w:val="0"/>
              </w:rPr>
              <w:tab/>
              <w:t>Resource Limit Calculator</w:t>
            </w:r>
            <w:bookmarkEnd w:id="1128"/>
            <w:bookmarkEnd w:id="1129"/>
            <w:bookmarkEnd w:id="1130"/>
            <w:bookmarkEnd w:id="1131"/>
            <w:bookmarkEnd w:id="1132"/>
            <w:bookmarkEnd w:id="1133"/>
            <w:bookmarkEnd w:id="1134"/>
            <w:bookmarkEnd w:id="1135"/>
            <w:bookmarkEnd w:id="1136"/>
            <w:bookmarkEnd w:id="1137"/>
            <w:bookmarkEnd w:id="1138"/>
          </w:p>
          <w:p w14:paraId="484AA95B" w14:textId="77777777" w:rsidR="00D94BFC" w:rsidRPr="003161DC" w:rsidRDefault="00D94BFC" w:rsidP="00D94BFC">
            <w:pPr>
              <w:spacing w:after="240"/>
              <w:ind w:left="720" w:hanging="720"/>
            </w:pPr>
            <w:r w:rsidRPr="003161DC">
              <w:t>(1)</w:t>
            </w:r>
            <w:r w:rsidRPr="003161DC">
              <w:tab/>
              <w:t>ERCOT shall calculate the 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individual Resource physical limitations.</w:t>
            </w:r>
          </w:p>
          <w:p w14:paraId="734FF00E" w14:textId="77777777" w:rsidR="00D94BFC" w:rsidRPr="003161DC" w:rsidRDefault="00D94BFC" w:rsidP="00D94BFC">
            <w:pPr>
              <w:spacing w:before="240" w:after="240"/>
              <w:ind w:left="720" w:hanging="720"/>
              <w:rPr>
                <w:iCs/>
              </w:rPr>
            </w:pPr>
            <w:r w:rsidRPr="003161DC">
              <w:rPr>
                <w:iCs/>
              </w:rPr>
              <w:t>(</w:t>
            </w:r>
            <w:r>
              <w:rPr>
                <w:iCs/>
              </w:rPr>
              <w:t>2</w:t>
            </w:r>
            <w:r w:rsidRPr="003161DC">
              <w:rPr>
                <w:iCs/>
              </w:rPr>
              <w:t>)</w:t>
            </w:r>
            <w:r w:rsidRPr="003161DC">
              <w:rPr>
                <w:iCs/>
              </w:rPr>
              <w:tab/>
              <w:t xml:space="preserve">For </w:t>
            </w:r>
            <w:r w:rsidRPr="00EA1F9D">
              <w:t>SCED</w:t>
            </w:r>
            <w:r>
              <w:t>-</w:t>
            </w:r>
            <w:r w:rsidRPr="00EA1F9D">
              <w:t xml:space="preserve">dispatchable </w:t>
            </w:r>
            <w:r w:rsidRPr="003161DC">
              <w:rPr>
                <w:iCs/>
              </w:rPr>
              <w:t>Generation Resources, HDL is calculated as follows:</w:t>
            </w:r>
          </w:p>
          <w:p w14:paraId="5CB94DC8" w14:textId="77777777" w:rsidR="00D94BFC" w:rsidRPr="003161DC" w:rsidRDefault="00D94BFC" w:rsidP="00D94BFC">
            <w:pPr>
              <w:spacing w:after="240"/>
              <w:ind w:left="1440" w:hanging="720"/>
              <w:rPr>
                <w:iCs/>
              </w:rPr>
            </w:pPr>
            <w:r w:rsidRPr="003161DC">
              <w:rPr>
                <w:iCs/>
              </w:rPr>
              <w:t>(a)</w:t>
            </w:r>
            <w:r w:rsidRPr="003161DC">
              <w:rPr>
                <w:iCs/>
              </w:rPr>
              <w:tab/>
              <w:t>If the telemetered Resource Status is SHUTDOWN, then</w:t>
            </w:r>
          </w:p>
          <w:p w14:paraId="4BE9E5DF" w14:textId="1E06D158" w:rsidR="00D94BFC" w:rsidRPr="003161DC" w:rsidRDefault="00D94BFC" w:rsidP="00D94BFC">
            <w:pPr>
              <w:spacing w:after="240"/>
              <w:ind w:left="1440" w:hanging="720"/>
              <w:rPr>
                <w:b/>
                <w:iCs/>
              </w:rPr>
            </w:pPr>
            <w:r w:rsidRPr="003161DC">
              <w:rPr>
                <w:b/>
                <w:iCs/>
              </w:rPr>
              <w:t>HDL</w:t>
            </w:r>
            <w:r w:rsidRPr="003161DC">
              <w:rPr>
                <w:b/>
                <w:iCs/>
              </w:rPr>
              <w:tab/>
              <w:t>=</w:t>
            </w:r>
            <w:r w:rsidRPr="003161DC">
              <w:rPr>
                <w:b/>
                <w:iCs/>
              </w:rPr>
              <w:tab/>
              <w:t>POWERTELEM – (</w:t>
            </w:r>
            <w:r w:rsidRPr="003161DC">
              <w:rPr>
                <w:b/>
                <w:bCs/>
                <w:lang w:val="de-DE"/>
              </w:rPr>
              <w:t>NORMRAMP</w:t>
            </w:r>
            <w:r>
              <w:rPr>
                <w:b/>
                <w:bCs/>
                <w:lang w:val="de-DE"/>
              </w:rPr>
              <w:t>DN</w:t>
            </w:r>
            <w:r w:rsidRPr="003161DC">
              <w:rPr>
                <w:b/>
                <w:iCs/>
              </w:rPr>
              <w:t xml:space="preserve"> * 5)</w:t>
            </w:r>
          </w:p>
          <w:p w14:paraId="67246B49" w14:textId="77777777" w:rsidR="00D94BFC" w:rsidRPr="003161DC" w:rsidRDefault="00D94BFC" w:rsidP="00D94BFC">
            <w:pPr>
              <w:spacing w:after="240"/>
              <w:ind w:left="1440" w:hanging="720"/>
              <w:rPr>
                <w:iCs/>
              </w:rPr>
            </w:pPr>
            <w:r w:rsidRPr="003161DC">
              <w:rPr>
                <w:iCs/>
              </w:rPr>
              <w:t>(b)</w:t>
            </w:r>
            <w:r w:rsidRPr="003161DC">
              <w:rPr>
                <w:iCs/>
              </w:rPr>
              <w:tab/>
              <w:t>If the telemetered Resource Status is any status code specified in item (5)(b)(i) of Section 3.9.1, Current Operating Plan (COP) Criteria, other than SHUTDOWN, then</w:t>
            </w:r>
          </w:p>
          <w:p w14:paraId="7B34B019" w14:textId="5828DCB4" w:rsidR="00D94BFC" w:rsidRPr="003161DC" w:rsidRDefault="00D94BFC" w:rsidP="00D94BFC">
            <w:pPr>
              <w:spacing w:after="240"/>
              <w:ind w:left="1440" w:hanging="720"/>
              <w:rPr>
                <w:b/>
              </w:rPr>
            </w:pPr>
            <w:r w:rsidRPr="003161DC">
              <w:rPr>
                <w:b/>
              </w:rPr>
              <w:t>HDL</w:t>
            </w:r>
            <w:r w:rsidRPr="003161DC">
              <w:rPr>
                <w:b/>
              </w:rPr>
              <w:tab/>
              <w:t>=</w:t>
            </w:r>
            <w:r w:rsidRPr="003161DC">
              <w:rPr>
                <w:b/>
              </w:rPr>
              <w:tab/>
              <w:t>Min (POWERTELEM + (</w:t>
            </w:r>
            <w:r>
              <w:rPr>
                <w:b/>
                <w:bCs/>
                <w:lang w:val="de-DE"/>
              </w:rPr>
              <w:t>NORMRAMPUP</w:t>
            </w:r>
            <w:r w:rsidR="001E163F">
              <w:rPr>
                <w:b/>
                <w:bCs/>
                <w:lang w:val="de-DE"/>
              </w:rPr>
              <w:t xml:space="preserve"> </w:t>
            </w:r>
            <w:r w:rsidRPr="003161DC">
              <w:rPr>
                <w:b/>
              </w:rPr>
              <w:t>* 5),</w:t>
            </w:r>
            <w:r w:rsidR="001E163F">
              <w:rPr>
                <w:b/>
              </w:rPr>
              <w:t xml:space="preserve"> </w:t>
            </w:r>
            <w:r>
              <w:rPr>
                <w:b/>
              </w:rPr>
              <w:t>HSLTELEM</w:t>
            </w:r>
            <w:r w:rsidRPr="003161DC">
              <w:rPr>
                <w:b/>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722C9CA5" w14:textId="77777777" w:rsidTr="00D94BFC">
              <w:tc>
                <w:tcPr>
                  <w:tcW w:w="1500" w:type="pct"/>
                </w:tcPr>
                <w:p w14:paraId="2F54B475" w14:textId="77777777" w:rsidR="00D94BFC" w:rsidRPr="003161DC" w:rsidRDefault="00D94BFC" w:rsidP="00D94BFC">
                  <w:pPr>
                    <w:spacing w:after="120"/>
                    <w:rPr>
                      <w:b/>
                      <w:iCs/>
                      <w:sz w:val="20"/>
                    </w:rPr>
                  </w:pPr>
                  <w:r w:rsidRPr="003161DC">
                    <w:rPr>
                      <w:b/>
                      <w:iCs/>
                      <w:sz w:val="20"/>
                    </w:rPr>
                    <w:t>Variable</w:t>
                  </w:r>
                </w:p>
              </w:tc>
              <w:tc>
                <w:tcPr>
                  <w:tcW w:w="3500" w:type="pct"/>
                </w:tcPr>
                <w:p w14:paraId="5F9BAC44" w14:textId="77777777" w:rsidR="00D94BFC" w:rsidRPr="003161DC" w:rsidRDefault="00D94BFC" w:rsidP="00D94BFC">
                  <w:pPr>
                    <w:spacing w:after="120"/>
                    <w:rPr>
                      <w:b/>
                      <w:iCs/>
                      <w:sz w:val="20"/>
                    </w:rPr>
                  </w:pPr>
                  <w:r w:rsidRPr="003161DC">
                    <w:rPr>
                      <w:b/>
                      <w:iCs/>
                      <w:sz w:val="20"/>
                    </w:rPr>
                    <w:t>Description</w:t>
                  </w:r>
                </w:p>
              </w:tc>
            </w:tr>
            <w:tr w:rsidR="00D94BFC" w:rsidRPr="003161DC" w14:paraId="0FACC001" w14:textId="77777777" w:rsidTr="00D94BFC">
              <w:trPr>
                <w:cantSplit/>
              </w:trPr>
              <w:tc>
                <w:tcPr>
                  <w:tcW w:w="1500" w:type="pct"/>
                </w:tcPr>
                <w:p w14:paraId="34824E05" w14:textId="77777777" w:rsidR="00D94BFC" w:rsidRPr="003161DC" w:rsidRDefault="00D94BFC" w:rsidP="00D94BFC">
                  <w:pPr>
                    <w:spacing w:after="60"/>
                    <w:rPr>
                      <w:iCs/>
                      <w:sz w:val="20"/>
                      <w:highlight w:val="green"/>
                    </w:rPr>
                  </w:pPr>
                  <w:r w:rsidRPr="003161DC">
                    <w:rPr>
                      <w:iCs/>
                      <w:sz w:val="20"/>
                    </w:rPr>
                    <w:t>HDL</w:t>
                  </w:r>
                </w:p>
              </w:tc>
              <w:tc>
                <w:tcPr>
                  <w:tcW w:w="3500" w:type="pct"/>
                </w:tcPr>
                <w:p w14:paraId="05F7D4D6" w14:textId="77777777" w:rsidR="00D94BFC" w:rsidRPr="003161DC" w:rsidRDefault="00D94BFC" w:rsidP="00D94BFC">
                  <w:pPr>
                    <w:spacing w:after="60"/>
                    <w:rPr>
                      <w:iCs/>
                      <w:sz w:val="20"/>
                      <w:highlight w:val="yellow"/>
                    </w:rPr>
                  </w:pPr>
                  <w:r w:rsidRPr="003161DC">
                    <w:rPr>
                      <w:iCs/>
                      <w:sz w:val="20"/>
                    </w:rPr>
                    <w:t>High Dispatch Limit.</w:t>
                  </w:r>
                </w:p>
              </w:tc>
            </w:tr>
            <w:tr w:rsidR="00D94BFC" w:rsidRPr="003161DC" w14:paraId="053E60E8" w14:textId="77777777" w:rsidTr="00D94BFC">
              <w:trPr>
                <w:cantSplit/>
              </w:trPr>
              <w:tc>
                <w:tcPr>
                  <w:tcW w:w="1500" w:type="pct"/>
                </w:tcPr>
                <w:p w14:paraId="714EAAEC" w14:textId="77777777" w:rsidR="00D94BFC" w:rsidRPr="003161DC" w:rsidRDefault="00D94BFC" w:rsidP="00D94BFC">
                  <w:pPr>
                    <w:spacing w:after="60"/>
                    <w:rPr>
                      <w:iCs/>
                      <w:sz w:val="20"/>
                    </w:rPr>
                  </w:pPr>
                  <w:r w:rsidRPr="003161DC">
                    <w:rPr>
                      <w:iCs/>
                      <w:sz w:val="20"/>
                    </w:rPr>
                    <w:t>POWERTELEM</w:t>
                  </w:r>
                </w:p>
              </w:tc>
              <w:tc>
                <w:tcPr>
                  <w:tcW w:w="3500" w:type="pct"/>
                </w:tcPr>
                <w:p w14:paraId="7200014A" w14:textId="77777777" w:rsidR="00D94BFC" w:rsidRPr="003161DC" w:rsidRDefault="00D94BFC" w:rsidP="00D94BFC">
                  <w:pPr>
                    <w:spacing w:after="60"/>
                    <w:rPr>
                      <w:iCs/>
                      <w:sz w:val="20"/>
                    </w:rPr>
                  </w:pPr>
                  <w:r w:rsidRPr="003161DC">
                    <w:rPr>
                      <w:iCs/>
                      <w:sz w:val="20"/>
                    </w:rPr>
                    <w:t xml:space="preserve">Gross or net real power provided via telemetry. </w:t>
                  </w:r>
                </w:p>
              </w:tc>
            </w:tr>
            <w:tr w:rsidR="00D94BFC" w:rsidRPr="003161DC" w14:paraId="132EE604" w14:textId="77777777" w:rsidTr="00D94BFC">
              <w:trPr>
                <w:cantSplit/>
              </w:trPr>
              <w:tc>
                <w:tcPr>
                  <w:tcW w:w="1500" w:type="pct"/>
                </w:tcPr>
                <w:p w14:paraId="451862D9" w14:textId="77777777" w:rsidR="00D94BFC" w:rsidRPr="003161DC" w:rsidRDefault="00D94BFC" w:rsidP="00D94BFC">
                  <w:pPr>
                    <w:spacing w:after="60"/>
                    <w:rPr>
                      <w:iCs/>
                      <w:sz w:val="20"/>
                    </w:rPr>
                  </w:pPr>
                  <w:r w:rsidRPr="003161DC">
                    <w:rPr>
                      <w:iCs/>
                      <w:sz w:val="20"/>
                    </w:rPr>
                    <w:t>NORMRAMP</w:t>
                  </w:r>
                  <w:r>
                    <w:rPr>
                      <w:iCs/>
                      <w:sz w:val="20"/>
                    </w:rPr>
                    <w:t>DN</w:t>
                  </w:r>
                </w:p>
              </w:tc>
              <w:tc>
                <w:tcPr>
                  <w:tcW w:w="3500" w:type="pct"/>
                </w:tcPr>
                <w:p w14:paraId="5394EC02" w14:textId="77777777" w:rsidR="00D94BFC" w:rsidRPr="003161DC" w:rsidRDefault="00D94BFC" w:rsidP="00D94BFC">
                  <w:pPr>
                    <w:spacing w:after="60"/>
                    <w:rPr>
                      <w:iCs/>
                      <w:sz w:val="20"/>
                    </w:rPr>
                  </w:pPr>
                  <w:r>
                    <w:rPr>
                      <w:iCs/>
                      <w:sz w:val="20"/>
                    </w:rPr>
                    <w:t xml:space="preserve">5-minute blended </w:t>
                  </w:r>
                  <w:r w:rsidRPr="003161DC">
                    <w:rPr>
                      <w:iCs/>
                      <w:sz w:val="20"/>
                    </w:rPr>
                    <w:t>Normal Ramp Rate down, as telemetered by the QSE.</w:t>
                  </w:r>
                </w:p>
              </w:tc>
            </w:tr>
            <w:tr w:rsidR="00D94BFC" w:rsidRPr="003161DC" w14:paraId="785259C2" w14:textId="77777777" w:rsidTr="00D94BFC">
              <w:trPr>
                <w:cantSplit/>
              </w:trPr>
              <w:tc>
                <w:tcPr>
                  <w:tcW w:w="1500" w:type="pct"/>
                </w:tcPr>
                <w:p w14:paraId="093AE067" w14:textId="77777777" w:rsidR="00D94BFC" w:rsidRPr="003161DC" w:rsidRDefault="00D94BFC" w:rsidP="00D94BFC">
                  <w:pPr>
                    <w:spacing w:after="60"/>
                    <w:rPr>
                      <w:iCs/>
                      <w:sz w:val="20"/>
                    </w:rPr>
                  </w:pPr>
                  <w:r>
                    <w:rPr>
                      <w:iCs/>
                      <w:sz w:val="20"/>
                    </w:rPr>
                    <w:t>NORMRAMPUP</w:t>
                  </w:r>
                </w:p>
              </w:tc>
              <w:tc>
                <w:tcPr>
                  <w:tcW w:w="3500" w:type="pct"/>
                </w:tcPr>
                <w:p w14:paraId="32BF84B1" w14:textId="77777777" w:rsidR="00D94BFC" w:rsidRPr="003161DC" w:rsidRDefault="00D94BFC" w:rsidP="00D94BFC">
                  <w:pPr>
                    <w:spacing w:after="60"/>
                    <w:ind w:left="720" w:hanging="720"/>
                    <w:rPr>
                      <w:iCs/>
                      <w:sz w:val="20"/>
                    </w:rPr>
                  </w:pPr>
                  <w:r>
                    <w:rPr>
                      <w:iCs/>
                      <w:sz w:val="20"/>
                    </w:rPr>
                    <w:t>5-minute blended Normal Ramp Rate up, as telemetered by the QSE.</w:t>
                  </w:r>
                </w:p>
              </w:tc>
            </w:tr>
            <w:tr w:rsidR="00D94BFC" w:rsidRPr="003161DC" w14:paraId="401894CC" w14:textId="77777777" w:rsidTr="00D94BFC">
              <w:trPr>
                <w:cantSplit/>
              </w:trPr>
              <w:tc>
                <w:tcPr>
                  <w:tcW w:w="1500" w:type="pct"/>
                </w:tcPr>
                <w:p w14:paraId="0A4A510E" w14:textId="77777777" w:rsidR="00D94BFC" w:rsidRPr="003161DC" w:rsidRDefault="00D94BFC" w:rsidP="00D94BFC">
                  <w:pPr>
                    <w:spacing w:after="60"/>
                    <w:rPr>
                      <w:iCs/>
                      <w:sz w:val="20"/>
                    </w:rPr>
                  </w:pPr>
                  <w:r w:rsidRPr="003161DC">
                    <w:rPr>
                      <w:iCs/>
                      <w:sz w:val="20"/>
                    </w:rPr>
                    <w:t>HSLTELEM</w:t>
                  </w:r>
                </w:p>
              </w:tc>
              <w:tc>
                <w:tcPr>
                  <w:tcW w:w="3500" w:type="pct"/>
                </w:tcPr>
                <w:p w14:paraId="4CA3B9B8" w14:textId="45174B33" w:rsidR="00D94BFC" w:rsidRPr="003161DC" w:rsidRDefault="00D94BFC" w:rsidP="00D94BFC">
                  <w:pPr>
                    <w:spacing w:after="60"/>
                    <w:rPr>
                      <w:iCs/>
                      <w:sz w:val="20"/>
                    </w:rPr>
                  </w:pPr>
                  <w:r w:rsidRPr="003161DC">
                    <w:rPr>
                      <w:iCs/>
                      <w:sz w:val="20"/>
                    </w:rPr>
                    <w:t xml:space="preserve">For IRRs </w:t>
                  </w:r>
                  <w:r>
                    <w:rPr>
                      <w:iCs/>
                      <w:sz w:val="20"/>
                    </w:rPr>
                    <w:t xml:space="preserve">qualified to provide an </w:t>
                  </w:r>
                  <w:r w:rsidRPr="003161DC">
                    <w:rPr>
                      <w:iCs/>
                      <w:sz w:val="20"/>
                    </w:rPr>
                    <w:t>Ancillary Service</w:t>
                  </w:r>
                  <w:r>
                    <w:rPr>
                      <w:iCs/>
                      <w:sz w:val="20"/>
                    </w:rPr>
                    <w:t xml:space="preserve"> and telemetering a non-zero capability to provide that Ancillary Service,</w:t>
                  </w:r>
                  <w:r w:rsidRPr="003161DC">
                    <w:rPr>
                      <w:iCs/>
                      <w:sz w:val="20"/>
                    </w:rPr>
                    <w:t xml:space="preserve"> and all IRRs within an IRR Group where any IRR within the IRR Group is </w:t>
                  </w:r>
                  <w:r>
                    <w:rPr>
                      <w:iCs/>
                      <w:sz w:val="20"/>
                    </w:rPr>
                    <w:t>qualified to provide</w:t>
                  </w:r>
                  <w:r w:rsidRPr="003161DC">
                    <w:rPr>
                      <w:iCs/>
                      <w:sz w:val="20"/>
                    </w:rPr>
                    <w:t xml:space="preserve"> an Ancillary Service </w:t>
                  </w:r>
                  <w:r>
                    <w:rPr>
                      <w:iCs/>
                      <w:sz w:val="20"/>
                    </w:rPr>
                    <w:t>and telemetering a non-zero capability to provide that Ancillary Service</w:t>
                  </w:r>
                  <w:r w:rsidRPr="003161DC">
                    <w:rPr>
                      <w:iCs/>
                      <w:sz w:val="20"/>
                    </w:rPr>
                    <w:t>, HSLTELEM shall be the five-minute intra-hour forecast for the Resource.  For all other Resources, HSLTELEM shall be the Resource’s HSL provided to ERCOT via telemetry, in accordance with Section 6.5.5.2.</w:t>
                  </w:r>
                </w:p>
              </w:tc>
            </w:tr>
          </w:tbl>
          <w:p w14:paraId="0A111E7E" w14:textId="77777777" w:rsidR="00D94BFC" w:rsidRPr="003161DC" w:rsidRDefault="00D94BFC" w:rsidP="00D94BFC">
            <w:pPr>
              <w:spacing w:after="240"/>
              <w:rPr>
                <w:iCs/>
              </w:rPr>
            </w:pPr>
            <w:r w:rsidRPr="003161DC">
              <w:rPr>
                <w:iCs/>
              </w:rPr>
              <w:br/>
              <w:t>(</w:t>
            </w:r>
            <w:r>
              <w:rPr>
                <w:iCs/>
              </w:rPr>
              <w:t>3</w:t>
            </w:r>
            <w:r w:rsidRPr="003161DC">
              <w:rPr>
                <w:iCs/>
              </w:rPr>
              <w:t>)</w:t>
            </w:r>
            <w:r w:rsidRPr="003161DC">
              <w:rPr>
                <w:iCs/>
              </w:rPr>
              <w:tab/>
              <w:t xml:space="preserve">For </w:t>
            </w:r>
            <w:r w:rsidRPr="00EA1F9D">
              <w:t>SCED</w:t>
            </w:r>
            <w:r>
              <w:t>-</w:t>
            </w:r>
            <w:r w:rsidRPr="00EA1F9D">
              <w:t xml:space="preserve">dispatchable </w:t>
            </w:r>
            <w:r w:rsidRPr="003161DC">
              <w:rPr>
                <w:iCs/>
              </w:rPr>
              <w:t>Generation Resources, LDL is calculated as follows:</w:t>
            </w:r>
          </w:p>
          <w:p w14:paraId="4DCB8D15" w14:textId="77777777" w:rsidR="00D94BFC" w:rsidRPr="003161DC" w:rsidRDefault="00D94BFC" w:rsidP="00D94BFC">
            <w:pPr>
              <w:spacing w:after="240"/>
              <w:ind w:left="1440" w:hanging="720"/>
              <w:rPr>
                <w:iCs/>
              </w:rPr>
            </w:pPr>
            <w:r w:rsidRPr="003161DC">
              <w:rPr>
                <w:iCs/>
              </w:rPr>
              <w:t>(a)</w:t>
            </w:r>
            <w:r w:rsidRPr="003161DC">
              <w:rPr>
                <w:iCs/>
              </w:rPr>
              <w:tab/>
              <w:t>If the telemetered Resource Status is STARTUP, then</w:t>
            </w:r>
          </w:p>
          <w:p w14:paraId="14F03925" w14:textId="68CD4730" w:rsidR="00D94BFC" w:rsidRPr="003161DC" w:rsidRDefault="00D94BFC" w:rsidP="00D94BFC">
            <w:pPr>
              <w:spacing w:after="240"/>
              <w:ind w:left="1440" w:hanging="720"/>
              <w:rPr>
                <w:b/>
                <w:iCs/>
              </w:rPr>
            </w:pPr>
            <w:r w:rsidRPr="003161DC">
              <w:rPr>
                <w:b/>
                <w:iCs/>
              </w:rPr>
              <w:lastRenderedPageBreak/>
              <w:t>LDL</w:t>
            </w:r>
            <w:r w:rsidRPr="003161DC">
              <w:rPr>
                <w:b/>
                <w:iCs/>
              </w:rPr>
              <w:tab/>
              <w:t>=</w:t>
            </w:r>
            <w:r w:rsidRPr="003161DC">
              <w:rPr>
                <w:b/>
                <w:iCs/>
              </w:rPr>
              <w:tab/>
              <w:t>POWERTELEM + (</w:t>
            </w:r>
            <w:r>
              <w:rPr>
                <w:b/>
                <w:bCs/>
                <w:lang w:val="de-DE"/>
              </w:rPr>
              <w:t>NORMRAMPUP</w:t>
            </w:r>
            <w:r w:rsidR="001E163F">
              <w:rPr>
                <w:b/>
                <w:bCs/>
                <w:lang w:val="de-DE"/>
              </w:rPr>
              <w:t xml:space="preserve"> </w:t>
            </w:r>
            <w:r w:rsidRPr="003161DC">
              <w:rPr>
                <w:b/>
                <w:iCs/>
              </w:rPr>
              <w:t>* 5)</w:t>
            </w:r>
          </w:p>
          <w:p w14:paraId="5ECD041A" w14:textId="77777777" w:rsidR="00D94BFC" w:rsidRPr="003161DC" w:rsidRDefault="00D94BFC" w:rsidP="00D94BFC">
            <w:pPr>
              <w:spacing w:after="240"/>
              <w:ind w:left="1440" w:hanging="720"/>
              <w:rPr>
                <w:iCs/>
              </w:rPr>
            </w:pPr>
            <w:r w:rsidRPr="003161DC">
              <w:rPr>
                <w:iCs/>
              </w:rPr>
              <w:t>(b)</w:t>
            </w:r>
            <w:r w:rsidRPr="003161DC">
              <w:rPr>
                <w:iCs/>
              </w:rPr>
              <w:tab/>
              <w:t>If the telemetered Resource Status is any status code specified in item (5)(b)(i) of Section 3.9.1 other than STARTUP, then</w:t>
            </w:r>
          </w:p>
          <w:p w14:paraId="7A23341B" w14:textId="32A7C214" w:rsidR="00D94BFC" w:rsidRPr="003161DC" w:rsidRDefault="00D94BFC" w:rsidP="00D94BFC">
            <w:pPr>
              <w:ind w:left="1440" w:hanging="720"/>
              <w:rPr>
                <w:b/>
              </w:rPr>
            </w:pPr>
            <w:r w:rsidRPr="003161DC">
              <w:rPr>
                <w:b/>
              </w:rPr>
              <w:t>LDL</w:t>
            </w:r>
            <w:r w:rsidRPr="003161DC">
              <w:rPr>
                <w:b/>
              </w:rPr>
              <w:tab/>
              <w:t>=</w:t>
            </w:r>
            <w:r w:rsidRPr="003161DC">
              <w:rPr>
                <w:b/>
              </w:rPr>
              <w:tab/>
              <w:t>Max (POWERTELEM - (</w:t>
            </w:r>
            <w:r w:rsidRPr="003161DC">
              <w:rPr>
                <w:b/>
                <w:bCs/>
                <w:lang w:val="de-DE"/>
              </w:rPr>
              <w:t>NORMRAMP</w:t>
            </w:r>
            <w:r>
              <w:rPr>
                <w:b/>
                <w:bCs/>
                <w:lang w:val="de-DE"/>
              </w:rPr>
              <w:t>DN</w:t>
            </w:r>
            <w:r w:rsidRPr="003161DC" w:rsidDel="008E3707">
              <w:rPr>
                <w:b/>
              </w:rPr>
              <w:t xml:space="preserve"> </w:t>
            </w:r>
            <w:r w:rsidRPr="003161DC">
              <w:rPr>
                <w:b/>
              </w:rPr>
              <w:t>* 5),</w:t>
            </w:r>
            <w:r w:rsidR="001E163F">
              <w:rPr>
                <w:b/>
              </w:rPr>
              <w:t xml:space="preserve"> </w:t>
            </w:r>
            <w:r>
              <w:rPr>
                <w:b/>
              </w:rPr>
              <w:t>LSLTELEM</w:t>
            </w:r>
            <w:r w:rsidRPr="003161DC">
              <w:rPr>
                <w:b/>
              </w:rPr>
              <w:t>)</w:t>
            </w:r>
            <w:r w:rsidRPr="003161DC">
              <w:rPr>
                <w:b/>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0E639621" w14:textId="77777777" w:rsidTr="00D94BFC">
              <w:tc>
                <w:tcPr>
                  <w:tcW w:w="1500" w:type="pct"/>
                </w:tcPr>
                <w:p w14:paraId="3392E7C5" w14:textId="77777777" w:rsidR="00D94BFC" w:rsidRPr="003161DC" w:rsidRDefault="00D94BFC" w:rsidP="00D94BFC">
                  <w:pPr>
                    <w:spacing w:after="120"/>
                    <w:rPr>
                      <w:b/>
                      <w:iCs/>
                      <w:sz w:val="20"/>
                    </w:rPr>
                  </w:pPr>
                  <w:r w:rsidRPr="003161DC">
                    <w:rPr>
                      <w:b/>
                      <w:iCs/>
                      <w:sz w:val="20"/>
                    </w:rPr>
                    <w:t>Variable</w:t>
                  </w:r>
                </w:p>
              </w:tc>
              <w:tc>
                <w:tcPr>
                  <w:tcW w:w="3500" w:type="pct"/>
                </w:tcPr>
                <w:p w14:paraId="25D24310" w14:textId="77777777" w:rsidR="00D94BFC" w:rsidRPr="003161DC" w:rsidRDefault="00D94BFC" w:rsidP="00D94BFC">
                  <w:pPr>
                    <w:spacing w:after="120"/>
                    <w:rPr>
                      <w:b/>
                      <w:iCs/>
                      <w:sz w:val="20"/>
                    </w:rPr>
                  </w:pPr>
                  <w:r w:rsidRPr="003161DC">
                    <w:rPr>
                      <w:b/>
                      <w:iCs/>
                      <w:sz w:val="20"/>
                    </w:rPr>
                    <w:t>Description</w:t>
                  </w:r>
                </w:p>
              </w:tc>
            </w:tr>
            <w:tr w:rsidR="00D94BFC" w:rsidRPr="003161DC" w14:paraId="54607371" w14:textId="77777777" w:rsidTr="00D94BFC">
              <w:trPr>
                <w:cantSplit/>
              </w:trPr>
              <w:tc>
                <w:tcPr>
                  <w:tcW w:w="1500" w:type="pct"/>
                </w:tcPr>
                <w:p w14:paraId="1D83373F" w14:textId="77777777" w:rsidR="00D94BFC" w:rsidRPr="003161DC" w:rsidRDefault="00D94BFC" w:rsidP="00D94BFC">
                  <w:pPr>
                    <w:spacing w:after="60"/>
                    <w:rPr>
                      <w:iCs/>
                      <w:sz w:val="20"/>
                    </w:rPr>
                  </w:pPr>
                  <w:r w:rsidRPr="003161DC">
                    <w:rPr>
                      <w:iCs/>
                      <w:sz w:val="20"/>
                    </w:rPr>
                    <w:t>LDL</w:t>
                  </w:r>
                </w:p>
              </w:tc>
              <w:tc>
                <w:tcPr>
                  <w:tcW w:w="3500" w:type="pct"/>
                </w:tcPr>
                <w:p w14:paraId="4DEB3BC2" w14:textId="77777777" w:rsidR="00D94BFC" w:rsidRPr="003161DC" w:rsidRDefault="00D94BFC" w:rsidP="00D94BFC">
                  <w:pPr>
                    <w:spacing w:after="60"/>
                    <w:rPr>
                      <w:iCs/>
                      <w:sz w:val="20"/>
                      <w:highlight w:val="yellow"/>
                    </w:rPr>
                  </w:pPr>
                  <w:r w:rsidRPr="003161DC">
                    <w:rPr>
                      <w:iCs/>
                      <w:sz w:val="20"/>
                    </w:rPr>
                    <w:t>Low Dispatch Limit.</w:t>
                  </w:r>
                </w:p>
              </w:tc>
            </w:tr>
            <w:tr w:rsidR="00D94BFC" w:rsidRPr="003161DC" w14:paraId="79262D78" w14:textId="77777777" w:rsidTr="00D94BFC">
              <w:trPr>
                <w:cantSplit/>
              </w:trPr>
              <w:tc>
                <w:tcPr>
                  <w:tcW w:w="1500" w:type="pct"/>
                </w:tcPr>
                <w:p w14:paraId="13399A75" w14:textId="77777777" w:rsidR="00D94BFC" w:rsidRPr="003161DC" w:rsidRDefault="00D94BFC" w:rsidP="00D94BFC">
                  <w:pPr>
                    <w:spacing w:after="60"/>
                    <w:rPr>
                      <w:iCs/>
                      <w:sz w:val="20"/>
                    </w:rPr>
                  </w:pPr>
                  <w:r w:rsidRPr="003161DC">
                    <w:rPr>
                      <w:iCs/>
                      <w:sz w:val="20"/>
                    </w:rPr>
                    <w:t>POWERTELEM</w:t>
                  </w:r>
                </w:p>
              </w:tc>
              <w:tc>
                <w:tcPr>
                  <w:tcW w:w="3500" w:type="pct"/>
                </w:tcPr>
                <w:p w14:paraId="23E73D44" w14:textId="77777777" w:rsidR="00D94BFC" w:rsidRPr="003161DC" w:rsidRDefault="00D94BFC" w:rsidP="00D94BFC">
                  <w:pPr>
                    <w:spacing w:after="60"/>
                    <w:rPr>
                      <w:iCs/>
                      <w:sz w:val="20"/>
                    </w:rPr>
                  </w:pPr>
                  <w:r w:rsidRPr="003161DC">
                    <w:rPr>
                      <w:iCs/>
                      <w:sz w:val="20"/>
                    </w:rPr>
                    <w:t>Gross or net real power provided via telemetry.</w:t>
                  </w:r>
                </w:p>
              </w:tc>
            </w:tr>
            <w:tr w:rsidR="00D94BFC" w:rsidRPr="003161DC" w14:paraId="009F54C4" w14:textId="77777777" w:rsidTr="00D94BFC">
              <w:trPr>
                <w:cantSplit/>
              </w:trPr>
              <w:tc>
                <w:tcPr>
                  <w:tcW w:w="1500" w:type="pct"/>
                </w:tcPr>
                <w:p w14:paraId="48AB57A5" w14:textId="77777777" w:rsidR="00D94BFC" w:rsidRPr="003161DC" w:rsidRDefault="00D94BFC" w:rsidP="00D94BFC">
                  <w:pPr>
                    <w:spacing w:after="60"/>
                    <w:rPr>
                      <w:iCs/>
                      <w:sz w:val="20"/>
                    </w:rPr>
                  </w:pPr>
                  <w:r w:rsidRPr="003161DC">
                    <w:rPr>
                      <w:iCs/>
                      <w:sz w:val="20"/>
                    </w:rPr>
                    <w:t>LSLTELEM</w:t>
                  </w:r>
                </w:p>
              </w:tc>
              <w:tc>
                <w:tcPr>
                  <w:tcW w:w="3500" w:type="pct"/>
                </w:tcPr>
                <w:p w14:paraId="704E22F0" w14:textId="77777777" w:rsidR="00D94BFC" w:rsidRPr="003161DC" w:rsidRDefault="00D94BFC" w:rsidP="00D94BFC">
                  <w:pPr>
                    <w:spacing w:after="60"/>
                    <w:rPr>
                      <w:iCs/>
                      <w:sz w:val="20"/>
                    </w:rPr>
                  </w:pPr>
                  <w:r w:rsidRPr="003161DC">
                    <w:rPr>
                      <w:iCs/>
                      <w:sz w:val="20"/>
                    </w:rPr>
                    <w:t xml:space="preserve">Low Sustained Limit </w:t>
                  </w:r>
                  <w:r>
                    <w:rPr>
                      <w:iCs/>
                      <w:sz w:val="20"/>
                    </w:rPr>
                    <w:t xml:space="preserve">(LSL) </w:t>
                  </w:r>
                  <w:r w:rsidRPr="003161DC">
                    <w:rPr>
                      <w:iCs/>
                      <w:sz w:val="20"/>
                    </w:rPr>
                    <w:t>provided via telemetry.</w:t>
                  </w:r>
                </w:p>
              </w:tc>
            </w:tr>
            <w:tr w:rsidR="00D94BFC" w:rsidRPr="003161DC" w14:paraId="2AB61738" w14:textId="77777777" w:rsidTr="00D94BFC">
              <w:trPr>
                <w:cantSplit/>
              </w:trPr>
              <w:tc>
                <w:tcPr>
                  <w:tcW w:w="1500" w:type="pct"/>
                </w:tcPr>
                <w:p w14:paraId="7B83952D" w14:textId="77777777" w:rsidR="00D94BFC" w:rsidRPr="003161DC" w:rsidRDefault="00D94BFC" w:rsidP="00D94BFC">
                  <w:pPr>
                    <w:spacing w:after="60"/>
                    <w:rPr>
                      <w:iCs/>
                      <w:sz w:val="20"/>
                    </w:rPr>
                  </w:pPr>
                  <w:r w:rsidRPr="003161DC">
                    <w:rPr>
                      <w:iCs/>
                      <w:sz w:val="20"/>
                    </w:rPr>
                    <w:t>NORMRAMP</w:t>
                  </w:r>
                  <w:r>
                    <w:rPr>
                      <w:iCs/>
                      <w:sz w:val="20"/>
                    </w:rPr>
                    <w:t>DN</w:t>
                  </w:r>
                </w:p>
              </w:tc>
              <w:tc>
                <w:tcPr>
                  <w:tcW w:w="3500" w:type="pct"/>
                </w:tcPr>
                <w:p w14:paraId="01FEE579" w14:textId="77777777" w:rsidR="00D94BFC" w:rsidRPr="003161DC" w:rsidRDefault="00D94BFC" w:rsidP="00D94BFC">
                  <w:pPr>
                    <w:spacing w:after="60"/>
                    <w:rPr>
                      <w:iCs/>
                      <w:sz w:val="20"/>
                    </w:rPr>
                  </w:pPr>
                  <w:r>
                    <w:rPr>
                      <w:iCs/>
                      <w:sz w:val="20"/>
                    </w:rPr>
                    <w:t xml:space="preserve">5-minute blended </w:t>
                  </w:r>
                  <w:r w:rsidRPr="003161DC">
                    <w:rPr>
                      <w:iCs/>
                      <w:sz w:val="20"/>
                    </w:rPr>
                    <w:t>Normal Ramp Rate down, as telemetered by the QSE.</w:t>
                  </w:r>
                </w:p>
              </w:tc>
            </w:tr>
            <w:tr w:rsidR="00D94BFC" w:rsidRPr="003161DC" w14:paraId="4877B97C" w14:textId="77777777" w:rsidTr="00D94BFC">
              <w:trPr>
                <w:cantSplit/>
              </w:trPr>
              <w:tc>
                <w:tcPr>
                  <w:tcW w:w="1500" w:type="pct"/>
                </w:tcPr>
                <w:p w14:paraId="26A58508" w14:textId="77777777" w:rsidR="00D94BFC" w:rsidRPr="003161DC" w:rsidRDefault="00D94BFC" w:rsidP="00D94BFC">
                  <w:pPr>
                    <w:spacing w:after="60"/>
                    <w:rPr>
                      <w:iCs/>
                      <w:sz w:val="20"/>
                    </w:rPr>
                  </w:pPr>
                  <w:r>
                    <w:rPr>
                      <w:iCs/>
                      <w:sz w:val="20"/>
                    </w:rPr>
                    <w:t>NORMRAMPUP</w:t>
                  </w:r>
                </w:p>
              </w:tc>
              <w:tc>
                <w:tcPr>
                  <w:tcW w:w="3500" w:type="pct"/>
                </w:tcPr>
                <w:p w14:paraId="36ED4B8A" w14:textId="77777777" w:rsidR="00D94BFC" w:rsidRPr="003161DC" w:rsidRDefault="00D94BFC" w:rsidP="00D94BFC">
                  <w:pPr>
                    <w:spacing w:after="60"/>
                    <w:rPr>
                      <w:iCs/>
                      <w:sz w:val="20"/>
                    </w:rPr>
                  </w:pPr>
                  <w:r>
                    <w:rPr>
                      <w:iCs/>
                      <w:sz w:val="20"/>
                    </w:rPr>
                    <w:t>5-minute blended Normal Ramp Rate up, as telemetered by the QSE.</w:t>
                  </w:r>
                </w:p>
              </w:tc>
            </w:tr>
          </w:tbl>
          <w:p w14:paraId="4A3E4AE0" w14:textId="77777777" w:rsidR="001E163F" w:rsidRPr="00A552C3" w:rsidRDefault="001E163F" w:rsidP="001E163F">
            <w:pPr>
              <w:spacing w:before="240" w:after="240"/>
              <w:ind w:left="720" w:hanging="720"/>
              <w:rPr>
                <w:iCs/>
              </w:rPr>
            </w:pPr>
            <w:r w:rsidRPr="00A552C3">
              <w:rPr>
                <w:iCs/>
              </w:rPr>
              <w:t>(4)</w:t>
            </w:r>
            <w:r w:rsidRPr="00A552C3">
              <w:rPr>
                <w:iCs/>
              </w:rPr>
              <w:tab/>
              <w:t>For ESRs, HDL is calculated as follows:</w:t>
            </w:r>
          </w:p>
          <w:p w14:paraId="52CB45DF" w14:textId="77777777" w:rsidR="001E163F" w:rsidRPr="00A552C3" w:rsidRDefault="001E163F" w:rsidP="001E163F">
            <w:pPr>
              <w:spacing w:after="240"/>
              <w:ind w:left="1440" w:hanging="720"/>
              <w:rPr>
                <w:iCs/>
              </w:rPr>
            </w:pPr>
            <w:r w:rsidRPr="00A552C3">
              <w:rPr>
                <w:iCs/>
              </w:rPr>
              <w:t>(a)</w:t>
            </w:r>
            <w:r w:rsidRPr="00A552C3">
              <w:rPr>
                <w:iCs/>
              </w:rPr>
              <w:tab/>
              <w:t>If the telemetered Resource Status is ONHOLD, then</w:t>
            </w:r>
          </w:p>
          <w:p w14:paraId="5B445553" w14:textId="77777777" w:rsidR="001E163F" w:rsidRPr="00A552C3" w:rsidRDefault="001E163F" w:rsidP="001E163F">
            <w:pPr>
              <w:spacing w:after="240"/>
              <w:ind w:left="1440" w:hanging="720"/>
              <w:rPr>
                <w:b/>
                <w:iCs/>
              </w:rPr>
            </w:pPr>
            <w:r w:rsidRPr="00A552C3">
              <w:rPr>
                <w:b/>
                <w:iCs/>
              </w:rPr>
              <w:t>HDL</w:t>
            </w:r>
            <w:r w:rsidRPr="00A552C3">
              <w:rPr>
                <w:b/>
                <w:iCs/>
              </w:rPr>
              <w:tab/>
              <w:t>=</w:t>
            </w:r>
            <w:r w:rsidRPr="00A552C3">
              <w:rPr>
                <w:b/>
                <w:iCs/>
              </w:rPr>
              <w:tab/>
              <w:t>0</w:t>
            </w:r>
          </w:p>
          <w:p w14:paraId="678A3EC5" w14:textId="77777777" w:rsidR="001E163F" w:rsidRPr="00A552C3" w:rsidRDefault="001E163F" w:rsidP="001E163F">
            <w:pPr>
              <w:spacing w:after="240"/>
              <w:ind w:left="1440" w:hanging="720"/>
              <w:rPr>
                <w:iCs/>
              </w:rPr>
            </w:pPr>
            <w:r w:rsidRPr="00A552C3">
              <w:rPr>
                <w:iCs/>
              </w:rPr>
              <w:t>(b)</w:t>
            </w:r>
            <w:r w:rsidRPr="00A552C3">
              <w:rPr>
                <w:iCs/>
              </w:rPr>
              <w:tab/>
              <w:t>If the telemetered Resource Status is ONTEST, then</w:t>
            </w:r>
          </w:p>
          <w:p w14:paraId="3D9701CE" w14:textId="669FAE96" w:rsidR="001E163F" w:rsidRPr="00A552C3" w:rsidRDefault="001E163F" w:rsidP="001E163F">
            <w:pPr>
              <w:spacing w:after="240"/>
              <w:ind w:left="1440" w:hanging="720"/>
              <w:rPr>
                <w:iCs/>
              </w:rPr>
            </w:pPr>
            <w:r w:rsidRPr="00A552C3">
              <w:rPr>
                <w:b/>
                <w:iCs/>
              </w:rPr>
              <w:t>HDL</w:t>
            </w:r>
            <w:r w:rsidRPr="00A552C3">
              <w:rPr>
                <w:iCs/>
              </w:rPr>
              <w:tab/>
              <w:t>=</w:t>
            </w:r>
            <w:r w:rsidRPr="00A552C3">
              <w:rPr>
                <w:iCs/>
              </w:rPr>
              <w:tab/>
            </w:r>
            <w:r w:rsidRPr="00CE56E5">
              <w:rPr>
                <w:b/>
                <w:iCs/>
              </w:rPr>
              <w:t>Max</w:t>
            </w:r>
            <w:r w:rsidR="00CE56E5" w:rsidRPr="00CE56E5">
              <w:rPr>
                <w:b/>
                <w:iCs/>
              </w:rPr>
              <w:t xml:space="preserve"> </w:t>
            </w:r>
            <w:r w:rsidRPr="00CE56E5">
              <w:rPr>
                <w:b/>
                <w:iCs/>
              </w:rPr>
              <w:t>(</w:t>
            </w:r>
            <w:r w:rsidRPr="00A552C3">
              <w:rPr>
                <w:b/>
              </w:rPr>
              <w:t>Min (POWERTELEM, HSLTELEM), LSLTELEM)</w:t>
            </w:r>
          </w:p>
          <w:p w14:paraId="652D0770" w14:textId="77777777" w:rsidR="001E163F" w:rsidRPr="00A552C3" w:rsidRDefault="001E163F" w:rsidP="001E163F">
            <w:pPr>
              <w:spacing w:after="240"/>
              <w:ind w:left="1440" w:hanging="720"/>
              <w:rPr>
                <w:iCs/>
              </w:rPr>
            </w:pPr>
            <w:r w:rsidRPr="00A552C3">
              <w:rPr>
                <w:iCs/>
              </w:rPr>
              <w:t>(c)</w:t>
            </w:r>
            <w:r w:rsidRPr="00A552C3">
              <w:rPr>
                <w:iCs/>
              </w:rPr>
              <w:tab/>
              <w:t>If the telemetered Resource Status is any status code specified in item (5)(b)(iv) of Section 3.9.1, Current Operating Plan (COP) Criteria, other than OUT, EMR, EMRSWGR, ONHOLD, or ONTEST, then</w:t>
            </w:r>
          </w:p>
          <w:p w14:paraId="0B833818" w14:textId="77777777" w:rsidR="001E163F" w:rsidRPr="00A552C3" w:rsidRDefault="001E163F" w:rsidP="001E163F">
            <w:pPr>
              <w:spacing w:after="240"/>
              <w:ind w:left="1440" w:hanging="720"/>
              <w:rPr>
                <w:b/>
              </w:rPr>
            </w:pPr>
            <w:r w:rsidRPr="00A552C3">
              <w:rPr>
                <w:b/>
              </w:rPr>
              <w:t>HDL</w:t>
            </w:r>
            <w:r w:rsidRPr="00A552C3">
              <w:rPr>
                <w:b/>
              </w:rPr>
              <w:tab/>
              <w:t>=</w:t>
            </w:r>
            <w:r w:rsidRPr="00A552C3">
              <w:rPr>
                <w:b/>
              </w:rPr>
              <w:tab/>
              <w:t>Min (POWERTELEM + (</w:t>
            </w:r>
            <w:r w:rsidRPr="00A552C3">
              <w:rPr>
                <w:b/>
                <w:bCs/>
                <w:lang w:val="de-DE"/>
              </w:rPr>
              <w:t>NORMRAMPUP</w:t>
            </w:r>
            <w:r w:rsidRPr="00A552C3">
              <w:rPr>
                <w:b/>
              </w:rPr>
              <w:t>* 5), HSLTELEM)</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E163F" w:rsidRPr="00A552C3" w14:paraId="369BC3D4" w14:textId="77777777" w:rsidTr="009E7633">
              <w:tc>
                <w:tcPr>
                  <w:tcW w:w="1500" w:type="pct"/>
                  <w:tcBorders>
                    <w:top w:val="single" w:sz="4" w:space="0" w:color="auto"/>
                    <w:left w:val="single" w:sz="4" w:space="0" w:color="auto"/>
                    <w:bottom w:val="single" w:sz="4" w:space="0" w:color="auto"/>
                    <w:right w:val="single" w:sz="4" w:space="0" w:color="auto"/>
                  </w:tcBorders>
                  <w:hideMark/>
                </w:tcPr>
                <w:p w14:paraId="440BB37B" w14:textId="77777777" w:rsidR="001E163F" w:rsidRPr="00A552C3" w:rsidRDefault="001E163F" w:rsidP="001E163F">
                  <w:pPr>
                    <w:spacing w:after="120"/>
                    <w:rPr>
                      <w:b/>
                      <w:iCs/>
                      <w:sz w:val="20"/>
                    </w:rPr>
                  </w:pPr>
                  <w:r w:rsidRPr="00A552C3">
                    <w:rPr>
                      <w:b/>
                      <w:iCs/>
                      <w:sz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0FF14975" w14:textId="77777777" w:rsidR="001E163F" w:rsidRPr="00A552C3" w:rsidRDefault="001E163F" w:rsidP="001E163F">
                  <w:pPr>
                    <w:spacing w:after="120"/>
                    <w:rPr>
                      <w:b/>
                      <w:iCs/>
                      <w:sz w:val="20"/>
                    </w:rPr>
                  </w:pPr>
                  <w:r w:rsidRPr="00A552C3">
                    <w:rPr>
                      <w:b/>
                      <w:iCs/>
                      <w:sz w:val="20"/>
                    </w:rPr>
                    <w:t>Description</w:t>
                  </w:r>
                </w:p>
              </w:tc>
            </w:tr>
            <w:tr w:rsidR="001E163F" w:rsidRPr="00A552C3" w14:paraId="66310035"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10B469F2" w14:textId="77777777" w:rsidR="001E163F" w:rsidRPr="00A552C3" w:rsidRDefault="001E163F" w:rsidP="001E163F">
                  <w:pPr>
                    <w:spacing w:after="60"/>
                    <w:rPr>
                      <w:iCs/>
                      <w:sz w:val="20"/>
                      <w:highlight w:val="green"/>
                    </w:rPr>
                  </w:pPr>
                  <w:r w:rsidRPr="00A552C3">
                    <w:rPr>
                      <w:iCs/>
                      <w:sz w:val="20"/>
                    </w:rPr>
                    <w:t>HDL</w:t>
                  </w:r>
                </w:p>
              </w:tc>
              <w:tc>
                <w:tcPr>
                  <w:tcW w:w="3500" w:type="pct"/>
                  <w:tcBorders>
                    <w:top w:val="single" w:sz="4" w:space="0" w:color="auto"/>
                    <w:left w:val="single" w:sz="4" w:space="0" w:color="auto"/>
                    <w:bottom w:val="single" w:sz="4" w:space="0" w:color="auto"/>
                    <w:right w:val="single" w:sz="4" w:space="0" w:color="auto"/>
                  </w:tcBorders>
                  <w:hideMark/>
                </w:tcPr>
                <w:p w14:paraId="745118CA" w14:textId="77777777" w:rsidR="001E163F" w:rsidRPr="00A552C3" w:rsidRDefault="001E163F" w:rsidP="001E163F">
                  <w:pPr>
                    <w:spacing w:after="60"/>
                    <w:rPr>
                      <w:iCs/>
                      <w:sz w:val="20"/>
                      <w:highlight w:val="yellow"/>
                    </w:rPr>
                  </w:pPr>
                  <w:r w:rsidRPr="00A552C3">
                    <w:rPr>
                      <w:iCs/>
                      <w:sz w:val="20"/>
                    </w:rPr>
                    <w:t>High Dispatch Limit.</w:t>
                  </w:r>
                </w:p>
              </w:tc>
            </w:tr>
            <w:tr w:rsidR="001E163F" w:rsidRPr="00A552C3" w14:paraId="75DD2A68"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00E1D0CB" w14:textId="77777777" w:rsidR="001E163F" w:rsidRPr="00A552C3" w:rsidRDefault="001E163F" w:rsidP="001E163F">
                  <w:pPr>
                    <w:spacing w:after="60"/>
                    <w:rPr>
                      <w:iCs/>
                      <w:sz w:val="20"/>
                    </w:rPr>
                  </w:pPr>
                  <w:r w:rsidRPr="00A552C3">
                    <w:rPr>
                      <w:iCs/>
                      <w:sz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72139F8F" w14:textId="77777777" w:rsidR="001E163F" w:rsidRPr="00A552C3" w:rsidRDefault="001E163F" w:rsidP="001E163F">
                  <w:pPr>
                    <w:spacing w:after="60"/>
                    <w:rPr>
                      <w:iCs/>
                      <w:sz w:val="20"/>
                    </w:rPr>
                  </w:pPr>
                  <w:r w:rsidRPr="00A552C3">
                    <w:rPr>
                      <w:iCs/>
                      <w:sz w:val="20"/>
                    </w:rPr>
                    <w:t xml:space="preserve">Net real power provided via telemetry. </w:t>
                  </w:r>
                </w:p>
              </w:tc>
            </w:tr>
            <w:tr w:rsidR="001E163F" w:rsidRPr="00A552C3" w14:paraId="64DB7409"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40B0CE18" w14:textId="77777777" w:rsidR="001E163F" w:rsidRPr="00A552C3" w:rsidRDefault="001E163F" w:rsidP="001E163F">
                  <w:pPr>
                    <w:spacing w:after="60"/>
                    <w:rPr>
                      <w:iCs/>
                      <w:sz w:val="20"/>
                    </w:rPr>
                  </w:pPr>
                  <w:r w:rsidRPr="00A552C3">
                    <w:rPr>
                      <w:iCs/>
                      <w:sz w:val="20"/>
                    </w:rPr>
                    <w:t>NORMRAMPUP</w:t>
                  </w:r>
                </w:p>
              </w:tc>
              <w:tc>
                <w:tcPr>
                  <w:tcW w:w="3500" w:type="pct"/>
                  <w:tcBorders>
                    <w:top w:val="single" w:sz="4" w:space="0" w:color="auto"/>
                    <w:left w:val="single" w:sz="4" w:space="0" w:color="auto"/>
                    <w:bottom w:val="single" w:sz="4" w:space="0" w:color="auto"/>
                    <w:right w:val="single" w:sz="4" w:space="0" w:color="auto"/>
                  </w:tcBorders>
                  <w:hideMark/>
                </w:tcPr>
                <w:p w14:paraId="59DF415D" w14:textId="77777777" w:rsidR="001E163F" w:rsidRPr="00A552C3" w:rsidRDefault="001E163F" w:rsidP="001E163F">
                  <w:pPr>
                    <w:spacing w:after="60"/>
                    <w:ind w:left="720" w:hanging="720"/>
                    <w:rPr>
                      <w:iCs/>
                      <w:sz w:val="20"/>
                    </w:rPr>
                  </w:pPr>
                  <w:r w:rsidRPr="00A552C3">
                    <w:rPr>
                      <w:iCs/>
                      <w:sz w:val="20"/>
                    </w:rPr>
                    <w:t>5-minute blended Normal Ramp Rate up, as telemetered by the QSE.</w:t>
                  </w:r>
                </w:p>
              </w:tc>
            </w:tr>
            <w:tr w:rsidR="001E163F" w:rsidRPr="00A552C3" w14:paraId="1ADF5106"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51FF62A6" w14:textId="77777777" w:rsidR="001E163F" w:rsidRPr="00A552C3" w:rsidRDefault="001E163F" w:rsidP="001E163F">
                  <w:pPr>
                    <w:spacing w:after="60"/>
                    <w:rPr>
                      <w:iCs/>
                      <w:sz w:val="20"/>
                    </w:rPr>
                  </w:pPr>
                  <w:r w:rsidRPr="00A552C3">
                    <w:rPr>
                      <w:iCs/>
                      <w:sz w:val="20"/>
                    </w:rPr>
                    <w:t>HSLTELEM</w:t>
                  </w:r>
                </w:p>
              </w:tc>
              <w:tc>
                <w:tcPr>
                  <w:tcW w:w="3500" w:type="pct"/>
                  <w:tcBorders>
                    <w:top w:val="single" w:sz="4" w:space="0" w:color="auto"/>
                    <w:left w:val="single" w:sz="4" w:space="0" w:color="auto"/>
                    <w:bottom w:val="single" w:sz="4" w:space="0" w:color="auto"/>
                    <w:right w:val="single" w:sz="4" w:space="0" w:color="auto"/>
                  </w:tcBorders>
                  <w:hideMark/>
                </w:tcPr>
                <w:p w14:paraId="4D784AED" w14:textId="77777777" w:rsidR="001E163F" w:rsidRPr="00A552C3" w:rsidRDefault="001E163F" w:rsidP="001E163F">
                  <w:pPr>
                    <w:spacing w:after="60"/>
                    <w:ind w:left="720" w:hanging="720"/>
                    <w:rPr>
                      <w:iCs/>
                      <w:sz w:val="20"/>
                    </w:rPr>
                  </w:pPr>
                  <w:r w:rsidRPr="00A552C3">
                    <w:rPr>
                      <w:iCs/>
                      <w:sz w:val="20"/>
                    </w:rPr>
                    <w:t xml:space="preserve">High Sustained Limit (HSL) provided via telemetry – per Section 6.5.5.2. </w:t>
                  </w:r>
                </w:p>
              </w:tc>
            </w:tr>
          </w:tbl>
          <w:p w14:paraId="04340E61" w14:textId="77777777" w:rsidR="001E163F" w:rsidRPr="00A552C3" w:rsidRDefault="001E163F" w:rsidP="001E163F">
            <w:pPr>
              <w:spacing w:after="240"/>
              <w:rPr>
                <w:iCs/>
              </w:rPr>
            </w:pPr>
            <w:r w:rsidRPr="00A552C3">
              <w:rPr>
                <w:iCs/>
              </w:rPr>
              <w:br/>
              <w:t>(5)</w:t>
            </w:r>
            <w:r w:rsidRPr="00A552C3">
              <w:rPr>
                <w:iCs/>
              </w:rPr>
              <w:tab/>
              <w:t>For ESRs, LDL is calculated as follows:</w:t>
            </w:r>
          </w:p>
          <w:p w14:paraId="5C183F62" w14:textId="77777777" w:rsidR="001E163F" w:rsidRPr="00A552C3" w:rsidRDefault="001E163F" w:rsidP="001E163F">
            <w:pPr>
              <w:spacing w:after="240"/>
              <w:ind w:left="1440" w:hanging="720"/>
              <w:rPr>
                <w:iCs/>
              </w:rPr>
            </w:pPr>
            <w:r w:rsidRPr="00A552C3">
              <w:rPr>
                <w:iCs/>
              </w:rPr>
              <w:t>(a)</w:t>
            </w:r>
            <w:r w:rsidRPr="00A552C3">
              <w:rPr>
                <w:iCs/>
              </w:rPr>
              <w:tab/>
              <w:t>If the telemetered Resource Status is ONHOLD, then</w:t>
            </w:r>
          </w:p>
          <w:p w14:paraId="29446985" w14:textId="77777777" w:rsidR="001E163F" w:rsidRPr="00A552C3" w:rsidRDefault="001E163F" w:rsidP="001E163F">
            <w:pPr>
              <w:spacing w:after="240"/>
              <w:ind w:left="1440" w:hanging="720"/>
              <w:rPr>
                <w:b/>
                <w:iCs/>
              </w:rPr>
            </w:pPr>
            <w:r w:rsidRPr="00A552C3">
              <w:rPr>
                <w:b/>
                <w:iCs/>
              </w:rPr>
              <w:t>LDL</w:t>
            </w:r>
            <w:r w:rsidRPr="00A552C3">
              <w:rPr>
                <w:b/>
                <w:iCs/>
              </w:rPr>
              <w:tab/>
              <w:t>=</w:t>
            </w:r>
            <w:r w:rsidRPr="00A552C3">
              <w:rPr>
                <w:b/>
                <w:iCs/>
              </w:rPr>
              <w:tab/>
              <w:t>0</w:t>
            </w:r>
          </w:p>
          <w:p w14:paraId="4090E1C4" w14:textId="77777777" w:rsidR="001E163F" w:rsidRPr="00A552C3" w:rsidRDefault="001E163F" w:rsidP="001E163F">
            <w:pPr>
              <w:spacing w:after="240"/>
              <w:ind w:left="1440" w:hanging="720"/>
              <w:rPr>
                <w:iCs/>
              </w:rPr>
            </w:pPr>
            <w:r w:rsidRPr="00A552C3">
              <w:rPr>
                <w:iCs/>
              </w:rPr>
              <w:t>(b)</w:t>
            </w:r>
            <w:r w:rsidRPr="00A552C3">
              <w:rPr>
                <w:iCs/>
              </w:rPr>
              <w:tab/>
              <w:t>If the telemetered Resource Status is ONTEST, then</w:t>
            </w:r>
          </w:p>
          <w:p w14:paraId="1131FCDD" w14:textId="7FFFFC3E" w:rsidR="001E163F" w:rsidRPr="00A552C3" w:rsidRDefault="001E163F" w:rsidP="001E163F">
            <w:pPr>
              <w:spacing w:after="240"/>
              <w:ind w:left="1440" w:hanging="720"/>
              <w:rPr>
                <w:iCs/>
              </w:rPr>
            </w:pPr>
            <w:r w:rsidRPr="00A552C3">
              <w:rPr>
                <w:b/>
                <w:iCs/>
              </w:rPr>
              <w:t>LDL</w:t>
            </w:r>
            <w:r w:rsidRPr="00A552C3">
              <w:rPr>
                <w:iCs/>
              </w:rPr>
              <w:tab/>
              <w:t>=</w:t>
            </w:r>
            <w:r w:rsidRPr="00A552C3">
              <w:rPr>
                <w:iCs/>
              </w:rPr>
              <w:tab/>
            </w:r>
            <w:r w:rsidRPr="00A552C3">
              <w:rPr>
                <w:b/>
              </w:rPr>
              <w:t>Max (Min</w:t>
            </w:r>
            <w:r w:rsidR="00CE56E5">
              <w:rPr>
                <w:b/>
              </w:rPr>
              <w:t xml:space="preserve"> </w:t>
            </w:r>
            <w:r w:rsidRPr="00A552C3">
              <w:rPr>
                <w:b/>
              </w:rPr>
              <w:t>(POWERTELEM, HSLTELEM), LSLTELEM)</w:t>
            </w:r>
          </w:p>
          <w:p w14:paraId="45BE69E6" w14:textId="77777777" w:rsidR="001E163F" w:rsidRPr="00A552C3" w:rsidRDefault="001E163F" w:rsidP="001E163F">
            <w:pPr>
              <w:spacing w:after="240"/>
              <w:ind w:left="1440" w:hanging="720"/>
              <w:rPr>
                <w:iCs/>
              </w:rPr>
            </w:pPr>
            <w:r w:rsidRPr="00A552C3">
              <w:rPr>
                <w:iCs/>
              </w:rPr>
              <w:lastRenderedPageBreak/>
              <w:t>(c)</w:t>
            </w:r>
            <w:r w:rsidRPr="00A552C3">
              <w:rPr>
                <w:iCs/>
              </w:rPr>
              <w:tab/>
              <w:t>If the telemetered Resource Status is any status code specified in item (5)(b)(iv) of Section 3.9.1, Current Operating Plan (COP) Criteria, other than OUT, or EMR, or EMRSWGR, or ONHOLD, or ONTEST, then</w:t>
            </w:r>
          </w:p>
          <w:p w14:paraId="34F17E90" w14:textId="77777777" w:rsidR="001E163F" w:rsidRPr="00A552C3" w:rsidRDefault="001E163F" w:rsidP="001E163F">
            <w:pPr>
              <w:ind w:left="1440" w:hanging="720"/>
              <w:rPr>
                <w:b/>
              </w:rPr>
            </w:pPr>
            <w:r w:rsidRPr="00A552C3">
              <w:rPr>
                <w:b/>
              </w:rPr>
              <w:t>LDL</w:t>
            </w:r>
            <w:r w:rsidRPr="00A552C3">
              <w:rPr>
                <w:b/>
              </w:rPr>
              <w:tab/>
              <w:t>=</w:t>
            </w:r>
            <w:r w:rsidRPr="00A552C3">
              <w:rPr>
                <w:b/>
              </w:rPr>
              <w:tab/>
              <w:t>Max (POWERTELEM - (</w:t>
            </w:r>
            <w:r w:rsidRPr="00A552C3">
              <w:rPr>
                <w:b/>
                <w:bCs/>
                <w:lang w:val="de-DE"/>
              </w:rPr>
              <w:t>NORMRAMPDN</w:t>
            </w:r>
            <w:r w:rsidRPr="00A552C3">
              <w:rPr>
                <w:b/>
                <w:lang w:val="de-DE"/>
              </w:rPr>
              <w:t xml:space="preserve"> </w:t>
            </w:r>
            <w:r w:rsidRPr="00A552C3">
              <w:rPr>
                <w:b/>
              </w:rPr>
              <w:t>* 5), LSLTELEM)</w:t>
            </w:r>
            <w:r w:rsidRPr="00A552C3">
              <w:rPr>
                <w:b/>
              </w:rPr>
              <w:br/>
            </w:r>
          </w:p>
          <w:tbl>
            <w:tblPr>
              <w:tblpPr w:leftFromText="180" w:rightFromText="180" w:bottomFromText="160" w:vertAnchor="text" w:tblpY="1"/>
              <w:tblOverlap w:val="neve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E163F" w:rsidRPr="00A552C3" w14:paraId="3C2099AD" w14:textId="77777777" w:rsidTr="009E7633">
              <w:tc>
                <w:tcPr>
                  <w:tcW w:w="1500" w:type="pct"/>
                  <w:tcBorders>
                    <w:top w:val="single" w:sz="4" w:space="0" w:color="auto"/>
                    <w:left w:val="single" w:sz="4" w:space="0" w:color="auto"/>
                    <w:bottom w:val="single" w:sz="4" w:space="0" w:color="auto"/>
                    <w:right w:val="single" w:sz="4" w:space="0" w:color="auto"/>
                  </w:tcBorders>
                  <w:hideMark/>
                </w:tcPr>
                <w:p w14:paraId="2F912445" w14:textId="77777777" w:rsidR="001E163F" w:rsidRPr="00A552C3" w:rsidRDefault="001E163F" w:rsidP="001E163F">
                  <w:pPr>
                    <w:spacing w:after="120"/>
                    <w:rPr>
                      <w:b/>
                      <w:iCs/>
                      <w:sz w:val="20"/>
                    </w:rPr>
                  </w:pPr>
                  <w:r w:rsidRPr="00A552C3">
                    <w:rPr>
                      <w:b/>
                      <w:iCs/>
                      <w:sz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6E292941" w14:textId="77777777" w:rsidR="001E163F" w:rsidRPr="00A552C3" w:rsidRDefault="001E163F" w:rsidP="001E163F">
                  <w:pPr>
                    <w:spacing w:after="120"/>
                    <w:rPr>
                      <w:b/>
                      <w:iCs/>
                      <w:sz w:val="20"/>
                    </w:rPr>
                  </w:pPr>
                  <w:r w:rsidRPr="00A552C3">
                    <w:rPr>
                      <w:b/>
                      <w:iCs/>
                      <w:sz w:val="20"/>
                    </w:rPr>
                    <w:t>Description</w:t>
                  </w:r>
                </w:p>
              </w:tc>
            </w:tr>
            <w:tr w:rsidR="001E163F" w:rsidRPr="00A552C3" w14:paraId="5C2EE2D5"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49B44D73" w14:textId="77777777" w:rsidR="001E163F" w:rsidRPr="00A552C3" w:rsidRDefault="001E163F" w:rsidP="001E163F">
                  <w:pPr>
                    <w:spacing w:after="60"/>
                    <w:rPr>
                      <w:iCs/>
                      <w:sz w:val="20"/>
                    </w:rPr>
                  </w:pPr>
                  <w:r w:rsidRPr="00A552C3">
                    <w:rPr>
                      <w:iCs/>
                      <w:sz w:val="20"/>
                    </w:rPr>
                    <w:t>LDL</w:t>
                  </w:r>
                </w:p>
              </w:tc>
              <w:tc>
                <w:tcPr>
                  <w:tcW w:w="3500" w:type="pct"/>
                  <w:tcBorders>
                    <w:top w:val="single" w:sz="4" w:space="0" w:color="auto"/>
                    <w:left w:val="single" w:sz="4" w:space="0" w:color="auto"/>
                    <w:bottom w:val="single" w:sz="4" w:space="0" w:color="auto"/>
                    <w:right w:val="single" w:sz="4" w:space="0" w:color="auto"/>
                  </w:tcBorders>
                  <w:hideMark/>
                </w:tcPr>
                <w:p w14:paraId="250C192F" w14:textId="77777777" w:rsidR="001E163F" w:rsidRPr="00A552C3" w:rsidRDefault="001E163F" w:rsidP="001E163F">
                  <w:pPr>
                    <w:spacing w:after="60"/>
                    <w:rPr>
                      <w:iCs/>
                      <w:sz w:val="20"/>
                      <w:highlight w:val="yellow"/>
                    </w:rPr>
                  </w:pPr>
                  <w:r w:rsidRPr="00A552C3">
                    <w:rPr>
                      <w:iCs/>
                      <w:sz w:val="20"/>
                    </w:rPr>
                    <w:t>Low Dispatch Limit.</w:t>
                  </w:r>
                </w:p>
              </w:tc>
            </w:tr>
            <w:tr w:rsidR="001E163F" w:rsidRPr="00A552C3" w14:paraId="52646EB8"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0DC0FF84" w14:textId="77777777" w:rsidR="001E163F" w:rsidRPr="00A552C3" w:rsidRDefault="001E163F" w:rsidP="001E163F">
                  <w:pPr>
                    <w:spacing w:after="60"/>
                    <w:rPr>
                      <w:iCs/>
                      <w:sz w:val="20"/>
                    </w:rPr>
                  </w:pPr>
                  <w:r w:rsidRPr="00A552C3">
                    <w:rPr>
                      <w:iCs/>
                      <w:sz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40172147" w14:textId="77777777" w:rsidR="001E163F" w:rsidRPr="00A552C3" w:rsidRDefault="001E163F" w:rsidP="001E163F">
                  <w:pPr>
                    <w:spacing w:after="60"/>
                    <w:rPr>
                      <w:iCs/>
                      <w:sz w:val="20"/>
                    </w:rPr>
                  </w:pPr>
                  <w:r w:rsidRPr="00A552C3">
                    <w:rPr>
                      <w:iCs/>
                      <w:sz w:val="20"/>
                    </w:rPr>
                    <w:t>Net real power provided via telemetry.</w:t>
                  </w:r>
                </w:p>
              </w:tc>
            </w:tr>
            <w:tr w:rsidR="001E163F" w:rsidRPr="00A552C3" w14:paraId="111260AD"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71F85F15" w14:textId="77777777" w:rsidR="001E163F" w:rsidRPr="00A552C3" w:rsidRDefault="001E163F" w:rsidP="001E163F">
                  <w:pPr>
                    <w:spacing w:after="60"/>
                    <w:rPr>
                      <w:iCs/>
                      <w:sz w:val="20"/>
                    </w:rPr>
                  </w:pPr>
                  <w:r w:rsidRPr="00A552C3">
                    <w:rPr>
                      <w:iCs/>
                      <w:sz w:val="20"/>
                    </w:rPr>
                    <w:t>LSLTELEM</w:t>
                  </w:r>
                </w:p>
              </w:tc>
              <w:tc>
                <w:tcPr>
                  <w:tcW w:w="3500" w:type="pct"/>
                  <w:tcBorders>
                    <w:top w:val="single" w:sz="4" w:space="0" w:color="auto"/>
                    <w:left w:val="single" w:sz="4" w:space="0" w:color="auto"/>
                    <w:bottom w:val="single" w:sz="4" w:space="0" w:color="auto"/>
                    <w:right w:val="single" w:sz="4" w:space="0" w:color="auto"/>
                  </w:tcBorders>
                  <w:hideMark/>
                </w:tcPr>
                <w:p w14:paraId="6064AB74" w14:textId="77777777" w:rsidR="001E163F" w:rsidRPr="00A552C3" w:rsidRDefault="001E163F" w:rsidP="001E163F">
                  <w:pPr>
                    <w:spacing w:after="60"/>
                    <w:rPr>
                      <w:iCs/>
                      <w:sz w:val="20"/>
                    </w:rPr>
                  </w:pPr>
                  <w:r w:rsidRPr="00A552C3">
                    <w:rPr>
                      <w:iCs/>
                      <w:sz w:val="20"/>
                    </w:rPr>
                    <w:t>Low Sustained Limit provided via telemetry.</w:t>
                  </w:r>
                </w:p>
              </w:tc>
            </w:tr>
            <w:tr w:rsidR="001E163F" w:rsidRPr="00A552C3" w14:paraId="3E25E9EA"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09139708" w14:textId="77777777" w:rsidR="001E163F" w:rsidRPr="00A552C3" w:rsidRDefault="001E163F" w:rsidP="001E163F">
                  <w:pPr>
                    <w:spacing w:after="60"/>
                    <w:rPr>
                      <w:iCs/>
                      <w:sz w:val="20"/>
                    </w:rPr>
                  </w:pPr>
                  <w:r w:rsidRPr="00A552C3">
                    <w:rPr>
                      <w:iCs/>
                      <w:sz w:val="20"/>
                    </w:rPr>
                    <w:t>NORMRAMPDN</w:t>
                  </w:r>
                </w:p>
              </w:tc>
              <w:tc>
                <w:tcPr>
                  <w:tcW w:w="3500" w:type="pct"/>
                  <w:tcBorders>
                    <w:top w:val="single" w:sz="4" w:space="0" w:color="auto"/>
                    <w:left w:val="single" w:sz="4" w:space="0" w:color="auto"/>
                    <w:bottom w:val="single" w:sz="4" w:space="0" w:color="auto"/>
                    <w:right w:val="single" w:sz="4" w:space="0" w:color="auto"/>
                  </w:tcBorders>
                  <w:hideMark/>
                </w:tcPr>
                <w:p w14:paraId="4F95BAA3" w14:textId="77777777" w:rsidR="001E163F" w:rsidRPr="00A552C3" w:rsidRDefault="001E163F" w:rsidP="001E163F">
                  <w:pPr>
                    <w:spacing w:after="60"/>
                    <w:rPr>
                      <w:iCs/>
                      <w:sz w:val="20"/>
                    </w:rPr>
                  </w:pPr>
                  <w:r w:rsidRPr="00A552C3">
                    <w:rPr>
                      <w:iCs/>
                      <w:sz w:val="20"/>
                    </w:rPr>
                    <w:t>5-minute blended Normal Ramp Rate down, as telemetered by the QSE.</w:t>
                  </w:r>
                </w:p>
              </w:tc>
            </w:tr>
          </w:tbl>
          <w:p w14:paraId="3413A769" w14:textId="63AC6F26" w:rsidR="00D94BFC" w:rsidRPr="003161DC" w:rsidRDefault="00D94BFC" w:rsidP="00D94BFC">
            <w:pPr>
              <w:spacing w:before="240" w:after="240"/>
              <w:ind w:left="720" w:hanging="720"/>
              <w:rPr>
                <w:b/>
                <w:i/>
                <w:iCs/>
              </w:rPr>
            </w:pPr>
            <w:r w:rsidRPr="003161DC">
              <w:rPr>
                <w:iCs/>
              </w:rPr>
              <w:t>(</w:t>
            </w:r>
            <w:r w:rsidR="001E163F">
              <w:rPr>
                <w:iCs/>
              </w:rPr>
              <w:t>6</w:t>
            </w:r>
            <w:r w:rsidRPr="003161DC">
              <w:rPr>
                <w:iCs/>
              </w:rPr>
              <w:t>)</w:t>
            </w:r>
            <w:r w:rsidRPr="003161DC">
              <w:rPr>
                <w:iCs/>
              </w:rPr>
              <w:tab/>
              <w:t xml:space="preserve">For </w:t>
            </w:r>
            <w:r>
              <w:rPr>
                <w:iCs/>
              </w:rPr>
              <w:t xml:space="preserve">SCED-dispatchable </w:t>
            </w:r>
            <w:r w:rsidRPr="003161DC">
              <w:rPr>
                <w:iCs/>
              </w:rPr>
              <w:t>Load Resources, HDL is calculated as follows:</w:t>
            </w:r>
          </w:p>
          <w:p w14:paraId="710A270E" w14:textId="5ECD4940" w:rsidR="00D94BFC" w:rsidRPr="003161DC" w:rsidRDefault="00D94BFC" w:rsidP="00D94BFC">
            <w:pPr>
              <w:spacing w:after="240"/>
              <w:ind w:left="1440" w:hanging="720"/>
              <w:rPr>
                <w:b/>
              </w:rPr>
            </w:pPr>
            <w:r w:rsidRPr="003161DC">
              <w:rPr>
                <w:b/>
              </w:rPr>
              <w:t>HDL</w:t>
            </w:r>
            <w:r w:rsidRPr="003161DC">
              <w:rPr>
                <w:b/>
              </w:rPr>
              <w:tab/>
              <w:t>=</w:t>
            </w:r>
            <w:r w:rsidRPr="003161DC">
              <w:rPr>
                <w:b/>
              </w:rPr>
              <w:tab/>
              <w:t>Min (POWERTELEM + (</w:t>
            </w:r>
            <w:r w:rsidRPr="003161DC">
              <w:rPr>
                <w:b/>
                <w:lang w:val="de-DE"/>
              </w:rPr>
              <w:t>NORMRAMP</w:t>
            </w:r>
            <w:r>
              <w:rPr>
                <w:b/>
                <w:lang w:val="de-DE"/>
              </w:rPr>
              <w:t>DN</w:t>
            </w:r>
            <w:r w:rsidRPr="003161DC">
              <w:rPr>
                <w:b/>
              </w:rPr>
              <w:t xml:space="preserve"> * 5),</w:t>
            </w:r>
            <w:r w:rsidR="001E163F">
              <w:rPr>
                <w:b/>
              </w:rPr>
              <w:t xml:space="preserve"> </w:t>
            </w:r>
            <w:r>
              <w:rPr>
                <w:b/>
              </w:rPr>
              <w:t>HSLTELEM</w:t>
            </w:r>
            <w:r w:rsidRPr="003161DC">
              <w:rPr>
                <w:b/>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78B4FA5D" w14:textId="77777777" w:rsidTr="00D94BFC">
              <w:tc>
                <w:tcPr>
                  <w:tcW w:w="1500" w:type="pct"/>
                </w:tcPr>
                <w:p w14:paraId="2D8941F8" w14:textId="77777777" w:rsidR="00D94BFC" w:rsidRPr="003161DC" w:rsidRDefault="00D94BFC" w:rsidP="00D94BFC">
                  <w:pPr>
                    <w:spacing w:after="120"/>
                    <w:rPr>
                      <w:b/>
                      <w:iCs/>
                      <w:sz w:val="20"/>
                    </w:rPr>
                  </w:pPr>
                  <w:r w:rsidRPr="003161DC">
                    <w:rPr>
                      <w:b/>
                      <w:iCs/>
                      <w:sz w:val="20"/>
                    </w:rPr>
                    <w:t>Variable</w:t>
                  </w:r>
                </w:p>
              </w:tc>
              <w:tc>
                <w:tcPr>
                  <w:tcW w:w="3500" w:type="pct"/>
                </w:tcPr>
                <w:p w14:paraId="05B48091" w14:textId="77777777" w:rsidR="00D94BFC" w:rsidRPr="003161DC" w:rsidRDefault="00D94BFC" w:rsidP="00D94BFC">
                  <w:pPr>
                    <w:spacing w:after="120"/>
                    <w:rPr>
                      <w:b/>
                      <w:iCs/>
                      <w:sz w:val="20"/>
                    </w:rPr>
                  </w:pPr>
                  <w:r w:rsidRPr="003161DC">
                    <w:rPr>
                      <w:b/>
                      <w:iCs/>
                      <w:sz w:val="20"/>
                    </w:rPr>
                    <w:t>Description</w:t>
                  </w:r>
                </w:p>
              </w:tc>
            </w:tr>
            <w:tr w:rsidR="00D94BFC" w:rsidRPr="003161DC" w14:paraId="43834B49" w14:textId="77777777" w:rsidTr="00D94BFC">
              <w:trPr>
                <w:cantSplit/>
              </w:trPr>
              <w:tc>
                <w:tcPr>
                  <w:tcW w:w="1500" w:type="pct"/>
                </w:tcPr>
                <w:p w14:paraId="51F5AAC2" w14:textId="77777777" w:rsidR="00D94BFC" w:rsidRPr="003161DC" w:rsidRDefault="00D94BFC" w:rsidP="00D94BFC">
                  <w:pPr>
                    <w:spacing w:after="60"/>
                    <w:rPr>
                      <w:iCs/>
                      <w:sz w:val="20"/>
                    </w:rPr>
                  </w:pPr>
                  <w:r w:rsidRPr="003161DC">
                    <w:rPr>
                      <w:iCs/>
                      <w:sz w:val="20"/>
                    </w:rPr>
                    <w:t>HDL</w:t>
                  </w:r>
                </w:p>
              </w:tc>
              <w:tc>
                <w:tcPr>
                  <w:tcW w:w="3500" w:type="pct"/>
                </w:tcPr>
                <w:p w14:paraId="58A4C0BF" w14:textId="77777777" w:rsidR="00D94BFC" w:rsidRPr="003161DC" w:rsidRDefault="00D94BFC" w:rsidP="00D94BFC">
                  <w:pPr>
                    <w:spacing w:after="60"/>
                    <w:rPr>
                      <w:iCs/>
                      <w:sz w:val="20"/>
                    </w:rPr>
                  </w:pPr>
                  <w:r w:rsidRPr="003161DC">
                    <w:rPr>
                      <w:iCs/>
                      <w:sz w:val="20"/>
                    </w:rPr>
                    <w:t>High Dispatch Limit.</w:t>
                  </w:r>
                </w:p>
              </w:tc>
            </w:tr>
            <w:tr w:rsidR="00D94BFC" w:rsidRPr="003161DC" w14:paraId="2A182A9A" w14:textId="77777777" w:rsidTr="00D94BFC">
              <w:trPr>
                <w:cantSplit/>
              </w:trPr>
              <w:tc>
                <w:tcPr>
                  <w:tcW w:w="1500" w:type="pct"/>
                </w:tcPr>
                <w:p w14:paraId="1EEBF894" w14:textId="77777777" w:rsidR="00D94BFC" w:rsidRPr="003161DC" w:rsidRDefault="00D94BFC" w:rsidP="00D94BFC">
                  <w:pPr>
                    <w:spacing w:after="60"/>
                    <w:rPr>
                      <w:iCs/>
                      <w:sz w:val="20"/>
                    </w:rPr>
                  </w:pPr>
                  <w:r w:rsidRPr="003161DC">
                    <w:rPr>
                      <w:iCs/>
                      <w:sz w:val="20"/>
                    </w:rPr>
                    <w:t>POWERTELEM</w:t>
                  </w:r>
                </w:p>
              </w:tc>
              <w:tc>
                <w:tcPr>
                  <w:tcW w:w="3500" w:type="pct"/>
                </w:tcPr>
                <w:p w14:paraId="5DABFD10" w14:textId="77777777" w:rsidR="00D94BFC" w:rsidRPr="003161DC" w:rsidRDefault="00D94BFC" w:rsidP="00D94BFC">
                  <w:pPr>
                    <w:spacing w:after="60"/>
                    <w:rPr>
                      <w:iCs/>
                      <w:sz w:val="20"/>
                    </w:rPr>
                  </w:pPr>
                  <w:r w:rsidRPr="003161DC">
                    <w:rPr>
                      <w:iCs/>
                      <w:sz w:val="20"/>
                    </w:rPr>
                    <w:t xml:space="preserve">Net real power flow provided via telemetry. </w:t>
                  </w:r>
                </w:p>
              </w:tc>
            </w:tr>
            <w:tr w:rsidR="00D94BFC" w:rsidRPr="003161DC" w14:paraId="33CDA436" w14:textId="77777777" w:rsidTr="00D94BFC">
              <w:trPr>
                <w:cantSplit/>
              </w:trPr>
              <w:tc>
                <w:tcPr>
                  <w:tcW w:w="1500" w:type="pct"/>
                </w:tcPr>
                <w:p w14:paraId="7C271CF9" w14:textId="77777777" w:rsidR="00D94BFC" w:rsidRPr="003161DC" w:rsidRDefault="00D94BFC" w:rsidP="00D94BFC">
                  <w:pPr>
                    <w:spacing w:after="60"/>
                    <w:rPr>
                      <w:iCs/>
                      <w:sz w:val="20"/>
                    </w:rPr>
                  </w:pPr>
                  <w:r w:rsidRPr="003161DC">
                    <w:rPr>
                      <w:iCs/>
                      <w:sz w:val="20"/>
                    </w:rPr>
                    <w:t>NORMRAMP</w:t>
                  </w:r>
                  <w:r>
                    <w:rPr>
                      <w:iCs/>
                      <w:sz w:val="20"/>
                    </w:rPr>
                    <w:t>DN</w:t>
                  </w:r>
                </w:p>
              </w:tc>
              <w:tc>
                <w:tcPr>
                  <w:tcW w:w="3500" w:type="pct"/>
                </w:tcPr>
                <w:p w14:paraId="038F8428" w14:textId="77777777" w:rsidR="00D94BFC" w:rsidRPr="003161DC" w:rsidRDefault="00D94BFC" w:rsidP="00D94BFC">
                  <w:pPr>
                    <w:spacing w:after="60"/>
                    <w:rPr>
                      <w:iCs/>
                      <w:sz w:val="20"/>
                    </w:rPr>
                  </w:pPr>
                  <w:r w:rsidRPr="003161DC">
                    <w:rPr>
                      <w:iCs/>
                      <w:sz w:val="20"/>
                    </w:rPr>
                    <w:t xml:space="preserve">Normal Ramp Rate down, as telemetered by the QSE. </w:t>
                  </w:r>
                </w:p>
              </w:tc>
            </w:tr>
            <w:tr w:rsidR="00D94BFC" w:rsidRPr="003161DC" w14:paraId="1F6184DA" w14:textId="77777777" w:rsidTr="00D94BFC">
              <w:trPr>
                <w:cantSplit/>
              </w:trPr>
              <w:tc>
                <w:tcPr>
                  <w:tcW w:w="1500" w:type="pct"/>
                </w:tcPr>
                <w:p w14:paraId="73216F80" w14:textId="77777777" w:rsidR="00D94BFC" w:rsidRPr="003161DC" w:rsidRDefault="00D94BFC" w:rsidP="00D94BFC">
                  <w:pPr>
                    <w:spacing w:after="60"/>
                    <w:rPr>
                      <w:iCs/>
                      <w:sz w:val="20"/>
                    </w:rPr>
                  </w:pPr>
                  <w:r>
                    <w:rPr>
                      <w:iCs/>
                      <w:sz w:val="20"/>
                    </w:rPr>
                    <w:t>HSLTELEM</w:t>
                  </w:r>
                </w:p>
              </w:tc>
              <w:tc>
                <w:tcPr>
                  <w:tcW w:w="3500" w:type="pct"/>
                </w:tcPr>
                <w:p w14:paraId="64BF7111" w14:textId="77777777" w:rsidR="00D94BFC" w:rsidRPr="003161DC" w:rsidRDefault="00D94BFC" w:rsidP="00D94BFC">
                  <w:pPr>
                    <w:spacing w:after="60"/>
                    <w:rPr>
                      <w:iCs/>
                      <w:sz w:val="20"/>
                    </w:rPr>
                  </w:pPr>
                  <w:r>
                    <w:rPr>
                      <w:iCs/>
                      <w:sz w:val="20"/>
                    </w:rPr>
                    <w:t>HSL provided via telemetry.</w:t>
                  </w:r>
                </w:p>
              </w:tc>
            </w:tr>
          </w:tbl>
          <w:p w14:paraId="7B325358" w14:textId="17637D5E" w:rsidR="00D94BFC" w:rsidRPr="003161DC" w:rsidRDefault="00D94BFC" w:rsidP="00D94BFC">
            <w:pPr>
              <w:spacing w:before="240" w:after="240"/>
              <w:rPr>
                <w:b/>
                <w:i/>
                <w:iCs/>
              </w:rPr>
            </w:pPr>
            <w:r w:rsidRPr="003161DC">
              <w:rPr>
                <w:iCs/>
              </w:rPr>
              <w:t>(</w:t>
            </w:r>
            <w:r w:rsidR="001E163F">
              <w:rPr>
                <w:iCs/>
              </w:rPr>
              <w:t>7</w:t>
            </w:r>
            <w:r w:rsidRPr="003161DC">
              <w:rPr>
                <w:iCs/>
              </w:rPr>
              <w:t>)</w:t>
            </w:r>
            <w:r w:rsidRPr="003161DC">
              <w:rPr>
                <w:iCs/>
              </w:rPr>
              <w:tab/>
              <w:t xml:space="preserve">For </w:t>
            </w:r>
            <w:r>
              <w:rPr>
                <w:iCs/>
              </w:rPr>
              <w:t xml:space="preserve">SCED-dispatchable </w:t>
            </w:r>
            <w:r w:rsidRPr="003161DC">
              <w:rPr>
                <w:iCs/>
              </w:rPr>
              <w:t>Load Resources, LDL is calculated as follows:</w:t>
            </w:r>
          </w:p>
          <w:p w14:paraId="54B440FE" w14:textId="04800EBF" w:rsidR="00D94BFC" w:rsidRPr="003161DC" w:rsidRDefault="00D94BFC" w:rsidP="00D94BFC">
            <w:pPr>
              <w:spacing w:after="240"/>
              <w:ind w:left="1440" w:hanging="720"/>
              <w:rPr>
                <w:b/>
              </w:rPr>
            </w:pPr>
            <w:r w:rsidRPr="003161DC">
              <w:rPr>
                <w:b/>
              </w:rPr>
              <w:t>LDL</w:t>
            </w:r>
            <w:r w:rsidRPr="003161DC">
              <w:rPr>
                <w:b/>
              </w:rPr>
              <w:tab/>
              <w:t>=</w:t>
            </w:r>
            <w:r w:rsidRPr="003161DC">
              <w:rPr>
                <w:b/>
              </w:rPr>
              <w:tab/>
              <w:t>Max (POWERTELEM - (</w:t>
            </w:r>
            <w:r>
              <w:rPr>
                <w:b/>
                <w:lang w:val="de-DE"/>
              </w:rPr>
              <w:t>NORMRAMPUP</w:t>
            </w:r>
            <w:r w:rsidRPr="003161DC">
              <w:rPr>
                <w:b/>
              </w:rPr>
              <w:t xml:space="preserve"> * 5),</w:t>
            </w:r>
            <w:r w:rsidR="001E163F">
              <w:rPr>
                <w:b/>
              </w:rPr>
              <w:t xml:space="preserve"> </w:t>
            </w:r>
            <w:r>
              <w:rPr>
                <w:b/>
              </w:rPr>
              <w:t>LSLTELEM</w:t>
            </w:r>
            <w:r w:rsidRPr="003161DC">
              <w:rPr>
                <w:b/>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691AFD54" w14:textId="77777777" w:rsidTr="00D94BFC">
              <w:tc>
                <w:tcPr>
                  <w:tcW w:w="1500" w:type="pct"/>
                </w:tcPr>
                <w:p w14:paraId="222E2B04" w14:textId="77777777" w:rsidR="00D94BFC" w:rsidRPr="003161DC" w:rsidRDefault="00D94BFC" w:rsidP="00D94BFC">
                  <w:pPr>
                    <w:spacing w:after="120"/>
                    <w:rPr>
                      <w:b/>
                      <w:iCs/>
                      <w:sz w:val="20"/>
                    </w:rPr>
                  </w:pPr>
                  <w:r w:rsidRPr="003161DC">
                    <w:rPr>
                      <w:b/>
                      <w:iCs/>
                      <w:sz w:val="20"/>
                    </w:rPr>
                    <w:t>Variable</w:t>
                  </w:r>
                </w:p>
              </w:tc>
              <w:tc>
                <w:tcPr>
                  <w:tcW w:w="3500" w:type="pct"/>
                </w:tcPr>
                <w:p w14:paraId="6034EAA7" w14:textId="77777777" w:rsidR="00D94BFC" w:rsidRPr="003161DC" w:rsidRDefault="00D94BFC" w:rsidP="00D94BFC">
                  <w:pPr>
                    <w:spacing w:after="120"/>
                    <w:rPr>
                      <w:b/>
                      <w:iCs/>
                      <w:sz w:val="20"/>
                    </w:rPr>
                  </w:pPr>
                  <w:r w:rsidRPr="003161DC">
                    <w:rPr>
                      <w:b/>
                      <w:iCs/>
                      <w:sz w:val="20"/>
                    </w:rPr>
                    <w:t>Description</w:t>
                  </w:r>
                </w:p>
              </w:tc>
            </w:tr>
            <w:tr w:rsidR="00D94BFC" w:rsidRPr="003161DC" w14:paraId="4A8760BB" w14:textId="77777777" w:rsidTr="00D94BFC">
              <w:trPr>
                <w:cantSplit/>
              </w:trPr>
              <w:tc>
                <w:tcPr>
                  <w:tcW w:w="1500" w:type="pct"/>
                </w:tcPr>
                <w:p w14:paraId="4B757899" w14:textId="77777777" w:rsidR="00D94BFC" w:rsidRPr="003161DC" w:rsidRDefault="00D94BFC" w:rsidP="00D94BFC">
                  <w:pPr>
                    <w:spacing w:after="60"/>
                    <w:rPr>
                      <w:iCs/>
                      <w:sz w:val="20"/>
                    </w:rPr>
                  </w:pPr>
                  <w:r w:rsidRPr="003161DC">
                    <w:rPr>
                      <w:iCs/>
                      <w:sz w:val="20"/>
                    </w:rPr>
                    <w:t>LDL</w:t>
                  </w:r>
                </w:p>
              </w:tc>
              <w:tc>
                <w:tcPr>
                  <w:tcW w:w="3500" w:type="pct"/>
                </w:tcPr>
                <w:p w14:paraId="74A073CC" w14:textId="77777777" w:rsidR="00D94BFC" w:rsidRPr="003161DC" w:rsidRDefault="00D94BFC" w:rsidP="00D94BFC">
                  <w:pPr>
                    <w:spacing w:after="60"/>
                    <w:rPr>
                      <w:iCs/>
                      <w:sz w:val="20"/>
                    </w:rPr>
                  </w:pPr>
                  <w:r w:rsidRPr="003161DC">
                    <w:rPr>
                      <w:iCs/>
                      <w:sz w:val="20"/>
                    </w:rPr>
                    <w:t>Low Dispatch Limit.</w:t>
                  </w:r>
                </w:p>
              </w:tc>
            </w:tr>
            <w:tr w:rsidR="00D94BFC" w:rsidRPr="003161DC" w14:paraId="08985206" w14:textId="77777777" w:rsidTr="00D94BFC">
              <w:trPr>
                <w:cantSplit/>
              </w:trPr>
              <w:tc>
                <w:tcPr>
                  <w:tcW w:w="1500" w:type="pct"/>
                </w:tcPr>
                <w:p w14:paraId="4696B715" w14:textId="77777777" w:rsidR="00D94BFC" w:rsidRPr="003161DC" w:rsidRDefault="00D94BFC" w:rsidP="00D94BFC">
                  <w:pPr>
                    <w:spacing w:after="60"/>
                    <w:rPr>
                      <w:iCs/>
                      <w:sz w:val="20"/>
                    </w:rPr>
                  </w:pPr>
                  <w:r w:rsidRPr="003161DC">
                    <w:rPr>
                      <w:iCs/>
                      <w:sz w:val="20"/>
                    </w:rPr>
                    <w:t>POWERTELEM</w:t>
                  </w:r>
                </w:p>
              </w:tc>
              <w:tc>
                <w:tcPr>
                  <w:tcW w:w="3500" w:type="pct"/>
                </w:tcPr>
                <w:p w14:paraId="1EFA6F9B" w14:textId="77777777" w:rsidR="00D94BFC" w:rsidRPr="003161DC" w:rsidRDefault="00D94BFC" w:rsidP="00D94BFC">
                  <w:pPr>
                    <w:spacing w:after="60"/>
                    <w:rPr>
                      <w:iCs/>
                      <w:sz w:val="20"/>
                    </w:rPr>
                  </w:pPr>
                  <w:r w:rsidRPr="003161DC">
                    <w:rPr>
                      <w:iCs/>
                      <w:sz w:val="20"/>
                    </w:rPr>
                    <w:t xml:space="preserve">Net real power flow provided via telemetry. </w:t>
                  </w:r>
                </w:p>
              </w:tc>
            </w:tr>
            <w:tr w:rsidR="00D94BFC" w:rsidRPr="003161DC" w14:paraId="3BFE962A" w14:textId="77777777" w:rsidTr="00D94BFC">
              <w:trPr>
                <w:cantSplit/>
              </w:trPr>
              <w:tc>
                <w:tcPr>
                  <w:tcW w:w="1500" w:type="pct"/>
                </w:tcPr>
                <w:p w14:paraId="568F52F2" w14:textId="77777777" w:rsidR="00D94BFC" w:rsidRPr="003161DC" w:rsidRDefault="00D94BFC" w:rsidP="00D94BFC">
                  <w:pPr>
                    <w:spacing w:after="60"/>
                    <w:rPr>
                      <w:iCs/>
                      <w:sz w:val="20"/>
                    </w:rPr>
                  </w:pPr>
                  <w:r>
                    <w:rPr>
                      <w:iCs/>
                      <w:sz w:val="20"/>
                    </w:rPr>
                    <w:t>NORMRAMPUP</w:t>
                  </w:r>
                </w:p>
              </w:tc>
              <w:tc>
                <w:tcPr>
                  <w:tcW w:w="3500" w:type="pct"/>
                </w:tcPr>
                <w:p w14:paraId="536DF28B" w14:textId="77777777" w:rsidR="00D94BFC" w:rsidRPr="003161DC" w:rsidRDefault="00D94BFC" w:rsidP="00D94BFC">
                  <w:pPr>
                    <w:spacing w:after="60"/>
                    <w:rPr>
                      <w:iCs/>
                      <w:sz w:val="20"/>
                    </w:rPr>
                  </w:pPr>
                  <w:r w:rsidRPr="003161DC">
                    <w:rPr>
                      <w:iCs/>
                      <w:sz w:val="20"/>
                    </w:rPr>
                    <w:t>Normal Ramp Rate up, as telemetered by the QSE</w:t>
                  </w:r>
                  <w:r>
                    <w:rPr>
                      <w:iCs/>
                      <w:sz w:val="20"/>
                    </w:rPr>
                    <w:t>.</w:t>
                  </w:r>
                </w:p>
              </w:tc>
            </w:tr>
            <w:tr w:rsidR="00D94BFC" w:rsidRPr="003161DC" w14:paraId="20664F67" w14:textId="77777777" w:rsidTr="00D94BFC">
              <w:trPr>
                <w:cantSplit/>
              </w:trPr>
              <w:tc>
                <w:tcPr>
                  <w:tcW w:w="1500" w:type="pct"/>
                </w:tcPr>
                <w:p w14:paraId="30D390AA" w14:textId="77777777" w:rsidR="00D94BFC" w:rsidRDefault="00D94BFC" w:rsidP="00D94BFC">
                  <w:pPr>
                    <w:spacing w:after="60"/>
                    <w:rPr>
                      <w:iCs/>
                      <w:sz w:val="20"/>
                    </w:rPr>
                  </w:pPr>
                  <w:r>
                    <w:rPr>
                      <w:iCs/>
                      <w:sz w:val="20"/>
                    </w:rPr>
                    <w:t>LSLTELEM</w:t>
                  </w:r>
                </w:p>
              </w:tc>
              <w:tc>
                <w:tcPr>
                  <w:tcW w:w="3500" w:type="pct"/>
                </w:tcPr>
                <w:p w14:paraId="3F61A792" w14:textId="77777777" w:rsidR="00D94BFC" w:rsidRPr="003161DC" w:rsidRDefault="00D94BFC" w:rsidP="00D94BFC">
                  <w:pPr>
                    <w:spacing w:after="60"/>
                    <w:rPr>
                      <w:iCs/>
                      <w:sz w:val="20"/>
                    </w:rPr>
                  </w:pPr>
                  <w:r>
                    <w:rPr>
                      <w:iCs/>
                      <w:sz w:val="20"/>
                    </w:rPr>
                    <w:t>LSL provided via telemetry.</w:t>
                  </w:r>
                </w:p>
              </w:tc>
            </w:tr>
          </w:tbl>
          <w:p w14:paraId="5F2025DE" w14:textId="0F19FD15" w:rsidR="00F65784" w:rsidRPr="00F65784" w:rsidRDefault="00F65784" w:rsidP="00D94BFC">
            <w:pPr>
              <w:spacing w:after="240"/>
              <w:ind w:left="720" w:hanging="720"/>
            </w:pPr>
          </w:p>
        </w:tc>
      </w:tr>
    </w:tbl>
    <w:p w14:paraId="0AD10B00" w14:textId="76FD60FA" w:rsidR="001F04FD" w:rsidRDefault="001F04FD" w:rsidP="001F04FD">
      <w:pPr>
        <w:pStyle w:val="H4"/>
        <w:spacing w:before="480"/>
        <w:ind w:left="1267" w:hanging="1267"/>
      </w:pPr>
      <w:bookmarkStart w:id="1139" w:name="_Hlk102562855"/>
      <w:bookmarkStart w:id="1140" w:name="_Toc204411610"/>
      <w:r>
        <w:lastRenderedPageBreak/>
        <w:t>6.5.7.3</w:t>
      </w:r>
      <w:r>
        <w:tab/>
        <w:t>Security Constrained Economic Dispatch</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40"/>
    </w:p>
    <w:p w14:paraId="109FB22E" w14:textId="0DF61FE1" w:rsidR="001F04FD" w:rsidRDefault="001F04FD" w:rsidP="001F04FD">
      <w:pPr>
        <w:pStyle w:val="BodyTextNumbered"/>
      </w:pPr>
      <w:r w:rsidRPr="000B52AD">
        <w:rPr>
          <w:iCs/>
        </w:rPr>
        <w:t>(1)</w:t>
      </w:r>
      <w:r w:rsidRPr="000B52AD">
        <w:rPr>
          <w:iCs/>
        </w:rPr>
        <w:tab/>
      </w:r>
      <w:r w:rsidRPr="00C238D3">
        <w:rPr>
          <w:iCs/>
        </w:rPr>
        <w:t>The SCED process is designed to simultaneously manage energy</w:t>
      </w:r>
      <w:r>
        <w:rPr>
          <w:iCs/>
        </w:rPr>
        <w:t>, the system power</w:t>
      </w:r>
      <w:r w:rsidRPr="00C238D3">
        <w:rPr>
          <w:iCs/>
        </w:rPr>
        <w:t xml:space="preserve"> balance and </w:t>
      </w:r>
      <w:r>
        <w:rPr>
          <w:iCs/>
        </w:rPr>
        <w:t xml:space="preserve">network </w:t>
      </w:r>
      <w:r w:rsidRPr="00C238D3">
        <w:rPr>
          <w:iCs/>
        </w:rPr>
        <w:t>congestion through Resource Base Points and calculation of LMPs every five minutes.  The SCED process uses a two-step methodology that applies mitigation prospectively to resolve Non-Competitive Constraints for the current Operating Hour.  The SCED process evaluates Energy Offer Curves</w:t>
      </w:r>
      <w:r>
        <w:rPr>
          <w:iCs/>
        </w:rPr>
        <w:t xml:space="preserve">, </w:t>
      </w:r>
      <w:r w:rsidRPr="00C238D3">
        <w:rPr>
          <w:iCs/>
        </w:rPr>
        <w:t>Output Schedules</w:t>
      </w:r>
      <w:r>
        <w:rPr>
          <w:iCs/>
        </w:rPr>
        <w:t xml:space="preserve"> and Real-Time Market (RTM) Energy Bids</w:t>
      </w:r>
      <w:r w:rsidRPr="00C238D3">
        <w:rPr>
          <w:iCs/>
        </w:rPr>
        <w:t xml:space="preserve"> to </w:t>
      </w:r>
      <w:r>
        <w:rPr>
          <w:iCs/>
        </w:rPr>
        <w:t xml:space="preserve">determine Resource Dispatch Instructions by maximizing bid-based revenues minus offer-based costs, </w:t>
      </w:r>
      <w:r w:rsidRPr="00C238D3">
        <w:rPr>
          <w:iCs/>
        </w:rPr>
        <w:t xml:space="preserve">subject to </w:t>
      </w:r>
      <w:r>
        <w:rPr>
          <w:iCs/>
        </w:rPr>
        <w:t>power balance and network</w:t>
      </w:r>
      <w:r w:rsidRPr="00C238D3">
        <w:rPr>
          <w:iCs/>
        </w:rPr>
        <w:t xml:space="preserve"> constraints.  The SCED process uses the Resource Status provided by SCADA telemetry under Section 6.5.5.2, Operational Data Requirements, and validated by the Real-Time Sequence, instead of the Resource Status provided by the COP.</w:t>
      </w:r>
    </w:p>
    <w:p w14:paraId="59834482" w14:textId="72624D9D" w:rsidR="001F04FD" w:rsidRDefault="001F04FD" w:rsidP="000B1D41">
      <w:pPr>
        <w:pStyle w:val="BodyTextNumbered"/>
      </w:pPr>
      <w:r>
        <w:lastRenderedPageBreak/>
        <w:t>(2)</w:t>
      </w:r>
      <w:r>
        <w:tab/>
        <w:t>The SCED solution must monitor cumulative deployment of Regulation Services and ensure that Regulation Services deployment is minimized over time.</w:t>
      </w:r>
    </w:p>
    <w:p w14:paraId="1BE8191A" w14:textId="22C4E6D8" w:rsidR="001F04FD" w:rsidRDefault="001F04FD" w:rsidP="001F04FD">
      <w:pPr>
        <w:spacing w:before="240" w:after="240"/>
        <w:ind w:left="720" w:hanging="720"/>
      </w:pPr>
      <w:r w:rsidRPr="006A6281">
        <w:t>(3)</w:t>
      </w:r>
      <w:r w:rsidRPr="006A6281">
        <w:tab/>
        <w:t xml:space="preserve">In the </w:t>
      </w:r>
      <w:r>
        <w:t>G</w:t>
      </w:r>
      <w:r w:rsidRPr="006A6281">
        <w:t>eneration</w:t>
      </w:r>
      <w:r>
        <w:t xml:space="preserve"> T</w:t>
      </w:r>
      <w:r w:rsidRPr="006A6281">
        <w:t>o</w:t>
      </w:r>
      <w:r>
        <w:t xml:space="preserve"> B</w:t>
      </w:r>
      <w:r w:rsidRPr="006A6281">
        <w:t>e</w:t>
      </w:r>
      <w:r>
        <w:t xml:space="preserve"> D</w:t>
      </w:r>
      <w:r w:rsidRPr="006A6281">
        <w:t xml:space="preserve">ispatched </w:t>
      </w:r>
      <w:r>
        <w:t xml:space="preserve">(GTBD) </w:t>
      </w:r>
      <w:r w:rsidRPr="006A6281">
        <w:t xml:space="preserve">determined by LFC, ERCOT shall subtract the sum of the telemetered net real power consumption from all </w:t>
      </w:r>
      <w:r w:rsidR="00D3410D">
        <w:t xml:space="preserve">CLRs </w:t>
      </w:r>
      <w:r w:rsidRPr="006A6281">
        <w:t>available to SCED.</w:t>
      </w:r>
    </w:p>
    <w:p w14:paraId="3217C72C" w14:textId="77777777" w:rsidR="001F04FD" w:rsidRDefault="001F04FD" w:rsidP="001F04FD">
      <w:pPr>
        <w:pStyle w:val="BodyTextNumbered"/>
      </w:pPr>
      <w:r>
        <w:t>(4)</w:t>
      </w:r>
      <w:r>
        <w:tab/>
        <w:t xml:space="preserve">For use as SCED inputs, ERCOT shall use the available capacity of all committed Generation Resources by creating proxy Energy Offer Curves for certain Resources as follows: </w:t>
      </w:r>
    </w:p>
    <w:p w14:paraId="5540BCD3" w14:textId="77777777" w:rsidR="001F04FD" w:rsidRDefault="001F04FD" w:rsidP="001F04FD">
      <w:pPr>
        <w:pStyle w:val="List"/>
      </w:pPr>
      <w:r>
        <w:t>(a)</w:t>
      </w:r>
      <w:r>
        <w:tab/>
        <w:t>Non-IRRs and Dynamically Scheduled Resources (DSRs) without Energy Offer Curves</w:t>
      </w:r>
    </w:p>
    <w:p w14:paraId="2F98BC53" w14:textId="00D3D048" w:rsidR="001F04FD" w:rsidRDefault="00873BD5" w:rsidP="000B1D41">
      <w:pPr>
        <w:pStyle w:val="List2"/>
      </w:pPr>
      <w:r>
        <w:t>(i)</w:t>
      </w:r>
      <w:r>
        <w:tab/>
      </w:r>
      <w:r w:rsidR="001F04FD">
        <w:t>ERCOT shall create a monotonically increasing proxy Energy Offer Curve as described below for:</w:t>
      </w:r>
    </w:p>
    <w:p w14:paraId="117D958C" w14:textId="77777777" w:rsidR="001F04FD" w:rsidRDefault="001F04FD" w:rsidP="00873BD5">
      <w:pPr>
        <w:pStyle w:val="List2"/>
        <w:ind w:left="2880"/>
      </w:pPr>
      <w:r>
        <w:t>(</w:t>
      </w:r>
      <w:r w:rsidR="00873BD5">
        <w:t>A</w:t>
      </w:r>
      <w:r>
        <w:t>)</w:t>
      </w:r>
      <w:r>
        <w:tab/>
        <w:t>Each non-IRR for which its QSE has submitted an Output Schedule instead of an Energy Offer Curve; and</w:t>
      </w:r>
    </w:p>
    <w:p w14:paraId="19DEC3B9" w14:textId="77777777" w:rsidR="001F04FD" w:rsidRDefault="001F04FD" w:rsidP="008D7D6C">
      <w:pPr>
        <w:pStyle w:val="List2"/>
        <w:ind w:left="2880"/>
      </w:pPr>
      <w:r>
        <w:t>(</w:t>
      </w:r>
      <w:r w:rsidR="00873BD5">
        <w:t>B</w:t>
      </w:r>
      <w:r>
        <w:t>)</w:t>
      </w:r>
      <w:r>
        <w:tab/>
        <w:t xml:space="preserve">Each DSR that has not submitted </w:t>
      </w:r>
      <w:r w:rsidR="00873BD5">
        <w:t>i</w:t>
      </w:r>
      <w:r>
        <w:t xml:space="preserve">ncremental and </w:t>
      </w:r>
      <w:r w:rsidR="00873BD5">
        <w:t>d</w:t>
      </w:r>
      <w:r>
        <w:t>ecremental Energy Offer Curves.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1F04FD" w14:paraId="562FE8DA" w14:textId="77777777" w:rsidTr="00AC4DEE">
        <w:trPr>
          <w:jc w:val="center"/>
        </w:trPr>
        <w:tc>
          <w:tcPr>
            <w:tcW w:w="3780" w:type="dxa"/>
          </w:tcPr>
          <w:p w14:paraId="12075BF6" w14:textId="77777777" w:rsidR="001F04FD" w:rsidRDefault="001F04FD" w:rsidP="00AC4DEE">
            <w:pPr>
              <w:pStyle w:val="TableHead"/>
            </w:pPr>
            <w:r>
              <w:t>MW</w:t>
            </w:r>
          </w:p>
        </w:tc>
        <w:tc>
          <w:tcPr>
            <w:tcW w:w="2520" w:type="dxa"/>
          </w:tcPr>
          <w:p w14:paraId="3F5FB858" w14:textId="77777777" w:rsidR="001F04FD" w:rsidRDefault="001F04FD" w:rsidP="00AC4DEE">
            <w:pPr>
              <w:pStyle w:val="TableHead"/>
            </w:pPr>
            <w:r>
              <w:t>Price (per MWh)</w:t>
            </w:r>
          </w:p>
        </w:tc>
      </w:tr>
      <w:tr w:rsidR="001F04FD" w14:paraId="7528CFB3" w14:textId="77777777" w:rsidTr="00AC4DEE">
        <w:trPr>
          <w:jc w:val="center"/>
        </w:trPr>
        <w:tc>
          <w:tcPr>
            <w:tcW w:w="3780" w:type="dxa"/>
          </w:tcPr>
          <w:p w14:paraId="0704C7B8" w14:textId="77777777" w:rsidR="001F04FD" w:rsidRDefault="001F04FD" w:rsidP="00AC4DEE">
            <w:pPr>
              <w:pStyle w:val="TableBody"/>
            </w:pPr>
            <w:r>
              <w:t>HSL</w:t>
            </w:r>
          </w:p>
        </w:tc>
        <w:tc>
          <w:tcPr>
            <w:tcW w:w="2520" w:type="dxa"/>
          </w:tcPr>
          <w:p w14:paraId="5D6E8D1F" w14:textId="77777777" w:rsidR="001F04FD" w:rsidRDefault="001F04FD" w:rsidP="00AC4DEE">
            <w:pPr>
              <w:pStyle w:val="TableBody"/>
            </w:pPr>
            <w:r>
              <w:t>SWCAP</w:t>
            </w:r>
          </w:p>
        </w:tc>
      </w:tr>
      <w:tr w:rsidR="001F04FD" w14:paraId="7424B3D9" w14:textId="77777777" w:rsidTr="00AC4DEE">
        <w:trPr>
          <w:jc w:val="center"/>
        </w:trPr>
        <w:tc>
          <w:tcPr>
            <w:tcW w:w="3780" w:type="dxa"/>
          </w:tcPr>
          <w:p w14:paraId="39B50661" w14:textId="77777777" w:rsidR="001F04FD" w:rsidRDefault="001F04FD" w:rsidP="00AC4DEE">
            <w:pPr>
              <w:pStyle w:val="TableBody"/>
            </w:pPr>
            <w:r>
              <w:t>Output Schedule MW plus 1 MW</w:t>
            </w:r>
          </w:p>
        </w:tc>
        <w:tc>
          <w:tcPr>
            <w:tcW w:w="2520" w:type="dxa"/>
          </w:tcPr>
          <w:p w14:paraId="70C296EB" w14:textId="77777777" w:rsidR="001F04FD" w:rsidRDefault="001F04FD" w:rsidP="00AC4DEE">
            <w:pPr>
              <w:pStyle w:val="TableBody"/>
            </w:pPr>
            <w:r>
              <w:t>SWCAP minus $0.01</w:t>
            </w:r>
          </w:p>
        </w:tc>
      </w:tr>
      <w:tr w:rsidR="001F04FD" w14:paraId="09104AAF" w14:textId="77777777" w:rsidTr="00AC4DEE">
        <w:trPr>
          <w:jc w:val="center"/>
        </w:trPr>
        <w:tc>
          <w:tcPr>
            <w:tcW w:w="3780" w:type="dxa"/>
          </w:tcPr>
          <w:p w14:paraId="3F147D0D" w14:textId="77777777" w:rsidR="001F04FD" w:rsidRDefault="001F04FD" w:rsidP="00AC4DEE">
            <w:pPr>
              <w:pStyle w:val="TableBody"/>
            </w:pPr>
            <w:r>
              <w:t>Output Schedule MW</w:t>
            </w:r>
          </w:p>
        </w:tc>
        <w:tc>
          <w:tcPr>
            <w:tcW w:w="2520" w:type="dxa"/>
          </w:tcPr>
          <w:p w14:paraId="100E20E2" w14:textId="77777777" w:rsidR="001F04FD" w:rsidRDefault="001F04FD" w:rsidP="00AC4DEE">
            <w:pPr>
              <w:pStyle w:val="TableBody"/>
            </w:pPr>
            <w:r>
              <w:t>-$249.99</w:t>
            </w:r>
          </w:p>
        </w:tc>
      </w:tr>
      <w:tr w:rsidR="001F04FD" w14:paraId="4812C76B" w14:textId="77777777" w:rsidTr="00AC4DEE">
        <w:trPr>
          <w:jc w:val="center"/>
        </w:trPr>
        <w:tc>
          <w:tcPr>
            <w:tcW w:w="3780" w:type="dxa"/>
          </w:tcPr>
          <w:p w14:paraId="510DC11D" w14:textId="77777777" w:rsidR="001F04FD" w:rsidRDefault="001F04FD" w:rsidP="00AC4DEE">
            <w:pPr>
              <w:pStyle w:val="TableBody"/>
            </w:pPr>
            <w:r>
              <w:t>LSL</w:t>
            </w:r>
          </w:p>
        </w:tc>
        <w:tc>
          <w:tcPr>
            <w:tcW w:w="2520" w:type="dxa"/>
          </w:tcPr>
          <w:p w14:paraId="17B64F74" w14:textId="77777777" w:rsidR="001F04FD" w:rsidRDefault="001F04FD" w:rsidP="00AC4DEE">
            <w:pPr>
              <w:pStyle w:val="TableBody"/>
            </w:pPr>
            <w:r>
              <w:t>-$250.00</w:t>
            </w:r>
          </w:p>
        </w:tc>
      </w:tr>
    </w:tbl>
    <w:p w14:paraId="13792924" w14:textId="77777777" w:rsidR="001F04FD" w:rsidRDefault="001F04FD" w:rsidP="001F04FD">
      <w:pPr>
        <w:pStyle w:val="List"/>
        <w:spacing w:before="240"/>
      </w:pPr>
      <w:r>
        <w:t>(b)</w:t>
      </w:r>
      <w:r>
        <w:tab/>
        <w:t>DSRs with Energy Offer Curves</w:t>
      </w:r>
    </w:p>
    <w:p w14:paraId="2A2C18AE" w14:textId="77777777" w:rsidR="001F04FD" w:rsidRDefault="00873BD5" w:rsidP="008D7D6C">
      <w:pPr>
        <w:pStyle w:val="List2"/>
      </w:pPr>
      <w:r>
        <w:t>(i)</w:t>
      </w:r>
      <w:r>
        <w:tab/>
      </w:r>
      <w:r w:rsidR="001F04FD">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1F04FD" w14:paraId="551388D9" w14:textId="77777777" w:rsidTr="00AC4DEE">
        <w:trPr>
          <w:jc w:val="center"/>
        </w:trPr>
        <w:tc>
          <w:tcPr>
            <w:tcW w:w="3825" w:type="dxa"/>
          </w:tcPr>
          <w:p w14:paraId="78BB9370" w14:textId="77777777" w:rsidR="001F04FD" w:rsidRDefault="001F04FD" w:rsidP="00AC4DEE">
            <w:pPr>
              <w:pStyle w:val="TableHead"/>
            </w:pPr>
            <w:r>
              <w:t>MW</w:t>
            </w:r>
          </w:p>
        </w:tc>
        <w:tc>
          <w:tcPr>
            <w:tcW w:w="2565" w:type="dxa"/>
          </w:tcPr>
          <w:p w14:paraId="4F1433C9" w14:textId="77777777" w:rsidR="001F04FD" w:rsidRDefault="001F04FD" w:rsidP="00AC4DEE">
            <w:pPr>
              <w:pStyle w:val="TableHead"/>
            </w:pPr>
            <w:r>
              <w:t>Price (per MWh)</w:t>
            </w:r>
          </w:p>
        </w:tc>
      </w:tr>
      <w:tr w:rsidR="001F04FD" w14:paraId="798C333A" w14:textId="77777777" w:rsidTr="00AC4DEE">
        <w:trPr>
          <w:jc w:val="center"/>
        </w:trPr>
        <w:tc>
          <w:tcPr>
            <w:tcW w:w="3825" w:type="dxa"/>
          </w:tcPr>
          <w:p w14:paraId="6975DD13" w14:textId="77777777" w:rsidR="001F04FD" w:rsidRDefault="001F04FD" w:rsidP="00AC4DEE">
            <w:pPr>
              <w:pStyle w:val="TableBody"/>
            </w:pPr>
            <w:r>
              <w:t>Output Schedule MW plus 1 MW to HSL</w:t>
            </w:r>
          </w:p>
        </w:tc>
        <w:tc>
          <w:tcPr>
            <w:tcW w:w="2565" w:type="dxa"/>
          </w:tcPr>
          <w:p w14:paraId="69AEFF7C" w14:textId="77777777" w:rsidR="001F04FD" w:rsidRDefault="001F04FD" w:rsidP="00AC4DEE">
            <w:pPr>
              <w:pStyle w:val="TableBody"/>
            </w:pPr>
            <w:r>
              <w:t>Incremental Energy Offer Curve</w:t>
            </w:r>
          </w:p>
        </w:tc>
      </w:tr>
      <w:tr w:rsidR="001F04FD" w14:paraId="41A63723" w14:textId="77777777" w:rsidTr="00AC4DEE">
        <w:trPr>
          <w:jc w:val="center"/>
        </w:trPr>
        <w:tc>
          <w:tcPr>
            <w:tcW w:w="3825" w:type="dxa"/>
          </w:tcPr>
          <w:p w14:paraId="12962997" w14:textId="77777777" w:rsidR="001F04FD" w:rsidRDefault="001F04FD" w:rsidP="00AC4DEE">
            <w:pPr>
              <w:pStyle w:val="TableBody"/>
            </w:pPr>
            <w:r>
              <w:t xml:space="preserve">LSL to Output Schedule MW </w:t>
            </w:r>
          </w:p>
        </w:tc>
        <w:tc>
          <w:tcPr>
            <w:tcW w:w="2565" w:type="dxa"/>
          </w:tcPr>
          <w:p w14:paraId="25C64087" w14:textId="77777777" w:rsidR="001F04FD" w:rsidRDefault="001F04FD" w:rsidP="00AC4DEE">
            <w:pPr>
              <w:pStyle w:val="TableBody"/>
            </w:pPr>
            <w:r>
              <w:t>Decremental Energy Offer Curve</w:t>
            </w:r>
          </w:p>
        </w:tc>
      </w:tr>
    </w:tbl>
    <w:p w14:paraId="209E071E" w14:textId="2D91424B" w:rsidR="001F04FD" w:rsidRDefault="001F04FD" w:rsidP="001F04FD">
      <w:pPr>
        <w:pStyle w:val="List"/>
        <w:spacing w:before="240"/>
      </w:pPr>
      <w:r>
        <w:t>(c)</w:t>
      </w:r>
      <w:r>
        <w:tab/>
        <w:t xml:space="preserve">Non-IRRs without full-range Energy Offer Curves </w:t>
      </w:r>
    </w:p>
    <w:p w14:paraId="6983D5B9" w14:textId="77777777" w:rsidR="001F04FD" w:rsidRDefault="00873BD5" w:rsidP="008D7D6C">
      <w:pPr>
        <w:pStyle w:val="List2"/>
      </w:pPr>
      <w:r>
        <w:lastRenderedPageBreak/>
        <w:t>(i)</w:t>
      </w:r>
      <w:r>
        <w:tab/>
      </w:r>
      <w:r w:rsidR="001F04FD">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1F04FD" w14:paraId="17B4C061" w14:textId="77777777" w:rsidTr="00AC4DEE">
        <w:trPr>
          <w:jc w:val="center"/>
        </w:trPr>
        <w:tc>
          <w:tcPr>
            <w:tcW w:w="3891" w:type="dxa"/>
          </w:tcPr>
          <w:p w14:paraId="01AB1385" w14:textId="77777777" w:rsidR="001F04FD" w:rsidRDefault="001F04FD" w:rsidP="00AC4DEE">
            <w:pPr>
              <w:pStyle w:val="TableHead"/>
            </w:pPr>
            <w:r>
              <w:t>MW</w:t>
            </w:r>
          </w:p>
        </w:tc>
        <w:tc>
          <w:tcPr>
            <w:tcW w:w="2630" w:type="dxa"/>
          </w:tcPr>
          <w:p w14:paraId="1B188BB8" w14:textId="77777777" w:rsidR="001F04FD" w:rsidRDefault="001F04FD" w:rsidP="00AC4DEE">
            <w:pPr>
              <w:pStyle w:val="TableHead"/>
            </w:pPr>
            <w:r>
              <w:t>Price (per MWh)</w:t>
            </w:r>
          </w:p>
        </w:tc>
      </w:tr>
      <w:tr w:rsidR="001F04FD" w14:paraId="66377540" w14:textId="77777777" w:rsidTr="00AC4DEE">
        <w:trPr>
          <w:jc w:val="center"/>
        </w:trPr>
        <w:tc>
          <w:tcPr>
            <w:tcW w:w="3891" w:type="dxa"/>
          </w:tcPr>
          <w:p w14:paraId="0C450C01" w14:textId="77777777" w:rsidR="001F04FD" w:rsidRDefault="001F04FD" w:rsidP="00AC4DEE">
            <w:pPr>
              <w:pStyle w:val="TableBody"/>
            </w:pPr>
            <w:r>
              <w:t>HSL (if more than highest MW in submitted Energy Offer Curve)</w:t>
            </w:r>
          </w:p>
        </w:tc>
        <w:tc>
          <w:tcPr>
            <w:tcW w:w="2630" w:type="dxa"/>
          </w:tcPr>
          <w:p w14:paraId="4FEA2FC5" w14:textId="77777777" w:rsidR="001F04FD" w:rsidRDefault="001F04FD" w:rsidP="00AC4DEE">
            <w:pPr>
              <w:pStyle w:val="TableBody"/>
            </w:pPr>
            <w:r>
              <w:t>Price associated with highest MW in submitted Energy Offer Curve</w:t>
            </w:r>
          </w:p>
        </w:tc>
      </w:tr>
      <w:tr w:rsidR="001F04FD" w14:paraId="4FAF9F69" w14:textId="77777777" w:rsidTr="00AC4DEE">
        <w:trPr>
          <w:jc w:val="center"/>
        </w:trPr>
        <w:tc>
          <w:tcPr>
            <w:tcW w:w="3891" w:type="dxa"/>
          </w:tcPr>
          <w:p w14:paraId="789A0C89" w14:textId="77777777" w:rsidR="001F04FD" w:rsidRDefault="001F04FD" w:rsidP="00AC4DEE">
            <w:pPr>
              <w:pStyle w:val="TableBody"/>
            </w:pPr>
            <w:r>
              <w:t>Energy Offer Curve</w:t>
            </w:r>
          </w:p>
        </w:tc>
        <w:tc>
          <w:tcPr>
            <w:tcW w:w="2630" w:type="dxa"/>
          </w:tcPr>
          <w:p w14:paraId="48DFE060" w14:textId="77777777" w:rsidR="001F04FD" w:rsidRDefault="001F04FD" w:rsidP="00AC4DEE">
            <w:pPr>
              <w:pStyle w:val="TableBody"/>
            </w:pPr>
            <w:r>
              <w:t>Energy Offer Curve</w:t>
            </w:r>
          </w:p>
        </w:tc>
      </w:tr>
      <w:tr w:rsidR="001F04FD" w14:paraId="4C9A8A79" w14:textId="77777777" w:rsidTr="00AC4DEE">
        <w:trPr>
          <w:jc w:val="center"/>
        </w:trPr>
        <w:tc>
          <w:tcPr>
            <w:tcW w:w="3891" w:type="dxa"/>
          </w:tcPr>
          <w:p w14:paraId="1F836580" w14:textId="77777777" w:rsidR="001F04FD" w:rsidRDefault="001F04FD" w:rsidP="00AC4DEE">
            <w:pPr>
              <w:pStyle w:val="TableBody"/>
            </w:pPr>
            <w:r>
              <w:t>1 MW below lowest MW in Energy Offer Curve (if more than LSL)</w:t>
            </w:r>
          </w:p>
        </w:tc>
        <w:tc>
          <w:tcPr>
            <w:tcW w:w="2630" w:type="dxa"/>
          </w:tcPr>
          <w:p w14:paraId="0ED997A0" w14:textId="77777777" w:rsidR="001F04FD" w:rsidRDefault="001F04FD" w:rsidP="00AC4DEE">
            <w:pPr>
              <w:pStyle w:val="TableBody"/>
            </w:pPr>
            <w:r>
              <w:t>-$249.99</w:t>
            </w:r>
          </w:p>
        </w:tc>
      </w:tr>
      <w:tr w:rsidR="001F04FD" w14:paraId="314C0BAE" w14:textId="77777777" w:rsidTr="00AC4DEE">
        <w:trPr>
          <w:jc w:val="center"/>
        </w:trPr>
        <w:tc>
          <w:tcPr>
            <w:tcW w:w="3891" w:type="dxa"/>
          </w:tcPr>
          <w:p w14:paraId="5FBF2A62" w14:textId="77777777" w:rsidR="001F04FD" w:rsidRDefault="001F04FD" w:rsidP="00AC4DEE">
            <w:pPr>
              <w:pStyle w:val="TableBody"/>
            </w:pPr>
            <w:r>
              <w:t>LSL (if less than lowest MW in Energy Offer Curve)</w:t>
            </w:r>
          </w:p>
        </w:tc>
        <w:tc>
          <w:tcPr>
            <w:tcW w:w="2630" w:type="dxa"/>
          </w:tcPr>
          <w:p w14:paraId="43C9D70E" w14:textId="77777777" w:rsidR="001F04FD" w:rsidRDefault="001F04FD" w:rsidP="00AC4DEE">
            <w:pPr>
              <w:pStyle w:val="TableBody"/>
            </w:pPr>
            <w:r>
              <w:t>-$250.00</w:t>
            </w:r>
          </w:p>
        </w:tc>
      </w:tr>
    </w:tbl>
    <w:p w14:paraId="4D68D2A6" w14:textId="77777777" w:rsidR="001F04FD" w:rsidRDefault="001F04FD" w:rsidP="001F04FD">
      <w:pPr>
        <w:pStyle w:val="List"/>
        <w:spacing w:before="240"/>
      </w:pPr>
      <w:r>
        <w:t>(d)</w:t>
      </w:r>
      <w:r>
        <w:tab/>
        <w:t>IRRs</w:t>
      </w:r>
    </w:p>
    <w:p w14:paraId="49660C3C" w14:textId="77777777" w:rsidR="001F04FD" w:rsidRDefault="001F04FD" w:rsidP="001F04FD">
      <w:pPr>
        <w:pStyle w:val="List2"/>
      </w:pPr>
      <w:r>
        <w:t>(i)</w:t>
      </w:r>
      <w: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1F04FD" w14:paraId="03190E4D" w14:textId="77777777" w:rsidTr="00AC4DEE">
        <w:trPr>
          <w:jc w:val="center"/>
        </w:trPr>
        <w:tc>
          <w:tcPr>
            <w:tcW w:w="3870" w:type="dxa"/>
          </w:tcPr>
          <w:p w14:paraId="6AF04325" w14:textId="77777777" w:rsidR="001F04FD" w:rsidRDefault="001F04FD" w:rsidP="00AC4DEE">
            <w:pPr>
              <w:pStyle w:val="TableHead"/>
            </w:pPr>
            <w:r>
              <w:t>MW</w:t>
            </w:r>
          </w:p>
        </w:tc>
        <w:tc>
          <w:tcPr>
            <w:tcW w:w="2610" w:type="dxa"/>
          </w:tcPr>
          <w:p w14:paraId="1E4CCB1E" w14:textId="77777777" w:rsidR="001F04FD" w:rsidRDefault="001F04FD" w:rsidP="00AC4DEE">
            <w:pPr>
              <w:pStyle w:val="TableHead"/>
            </w:pPr>
            <w:r>
              <w:t>Price (per MWh)</w:t>
            </w:r>
          </w:p>
        </w:tc>
      </w:tr>
      <w:tr w:rsidR="001F04FD" w14:paraId="4D6DF7BF" w14:textId="77777777" w:rsidTr="00AC4DEE">
        <w:trPr>
          <w:jc w:val="center"/>
        </w:trPr>
        <w:tc>
          <w:tcPr>
            <w:tcW w:w="3870" w:type="dxa"/>
          </w:tcPr>
          <w:p w14:paraId="73464FA0" w14:textId="77777777" w:rsidR="001F04FD" w:rsidRDefault="001F04FD" w:rsidP="00AC4DEE">
            <w:pPr>
              <w:pStyle w:val="TableBody"/>
            </w:pPr>
            <w:r>
              <w:t>HSL</w:t>
            </w:r>
          </w:p>
        </w:tc>
        <w:tc>
          <w:tcPr>
            <w:tcW w:w="2610" w:type="dxa"/>
          </w:tcPr>
          <w:p w14:paraId="6B699B0B" w14:textId="77777777" w:rsidR="001F04FD" w:rsidRDefault="001F04FD" w:rsidP="00AC4DEE">
            <w:pPr>
              <w:pStyle w:val="TableBody"/>
            </w:pPr>
            <w:r>
              <w:t>$1,500</w:t>
            </w:r>
          </w:p>
        </w:tc>
      </w:tr>
      <w:tr w:rsidR="001F04FD" w14:paraId="1C54EE62" w14:textId="77777777" w:rsidTr="00AC4DEE">
        <w:trPr>
          <w:jc w:val="center"/>
        </w:trPr>
        <w:tc>
          <w:tcPr>
            <w:tcW w:w="3870" w:type="dxa"/>
          </w:tcPr>
          <w:p w14:paraId="0EC632E1" w14:textId="77777777" w:rsidR="001F04FD" w:rsidRDefault="001F04FD" w:rsidP="00AC4DEE">
            <w:pPr>
              <w:pStyle w:val="TableBody"/>
            </w:pPr>
            <w:r>
              <w:t>HSL minus 1 MW</w:t>
            </w:r>
          </w:p>
        </w:tc>
        <w:tc>
          <w:tcPr>
            <w:tcW w:w="2610" w:type="dxa"/>
          </w:tcPr>
          <w:p w14:paraId="649AA911" w14:textId="77777777" w:rsidR="001F04FD" w:rsidRDefault="001F04FD" w:rsidP="00AC4DEE">
            <w:pPr>
              <w:pStyle w:val="TableBody"/>
            </w:pPr>
            <w:r>
              <w:t>-$249.99</w:t>
            </w:r>
          </w:p>
        </w:tc>
      </w:tr>
      <w:tr w:rsidR="001F04FD" w14:paraId="3B703263" w14:textId="77777777" w:rsidTr="00AC4DEE">
        <w:trPr>
          <w:jc w:val="center"/>
        </w:trPr>
        <w:tc>
          <w:tcPr>
            <w:tcW w:w="3870" w:type="dxa"/>
          </w:tcPr>
          <w:p w14:paraId="0149ED16" w14:textId="77777777" w:rsidR="001F04FD" w:rsidRDefault="001F04FD" w:rsidP="00AC4DEE">
            <w:pPr>
              <w:pStyle w:val="TableBody"/>
            </w:pPr>
            <w:r>
              <w:t>LSL</w:t>
            </w:r>
          </w:p>
        </w:tc>
        <w:tc>
          <w:tcPr>
            <w:tcW w:w="2610" w:type="dxa"/>
          </w:tcPr>
          <w:p w14:paraId="0C192369" w14:textId="77777777" w:rsidR="001F04FD" w:rsidRDefault="001F04FD" w:rsidP="00AC4DEE">
            <w:pPr>
              <w:pStyle w:val="TableBody"/>
            </w:pPr>
            <w:r>
              <w:t>-$250.00</w:t>
            </w:r>
          </w:p>
        </w:tc>
      </w:tr>
    </w:tbl>
    <w:p w14:paraId="5A49CAA1" w14:textId="77777777" w:rsidR="001F04FD" w:rsidRDefault="001F04FD" w:rsidP="001F04FD">
      <w:pPr>
        <w:pStyle w:val="List2"/>
        <w:spacing w:before="240"/>
      </w:pPr>
      <w:r>
        <w:t>(ii)</w:t>
      </w:r>
      <w: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1F04FD" w14:paraId="53D73082" w14:textId="77777777" w:rsidTr="00AC4DEE">
        <w:trPr>
          <w:jc w:val="center"/>
        </w:trPr>
        <w:tc>
          <w:tcPr>
            <w:tcW w:w="3780" w:type="dxa"/>
          </w:tcPr>
          <w:p w14:paraId="5BEF6FBB" w14:textId="77777777" w:rsidR="001F04FD" w:rsidRDefault="001F04FD" w:rsidP="00AC4DEE">
            <w:pPr>
              <w:pStyle w:val="TableHead"/>
            </w:pPr>
            <w:r>
              <w:t>MW</w:t>
            </w:r>
          </w:p>
        </w:tc>
        <w:tc>
          <w:tcPr>
            <w:tcW w:w="2745" w:type="dxa"/>
          </w:tcPr>
          <w:p w14:paraId="0B9E52B2" w14:textId="77777777" w:rsidR="001F04FD" w:rsidRDefault="001F04FD" w:rsidP="00AC4DEE">
            <w:pPr>
              <w:pStyle w:val="TableHead"/>
            </w:pPr>
            <w:r>
              <w:t>Price (per MWh)</w:t>
            </w:r>
          </w:p>
        </w:tc>
      </w:tr>
      <w:tr w:rsidR="001F04FD" w14:paraId="164FCF8B" w14:textId="77777777" w:rsidTr="00AC4DEE">
        <w:trPr>
          <w:jc w:val="center"/>
        </w:trPr>
        <w:tc>
          <w:tcPr>
            <w:tcW w:w="3780" w:type="dxa"/>
          </w:tcPr>
          <w:p w14:paraId="016CCDC3" w14:textId="77777777" w:rsidR="001F04FD" w:rsidRDefault="001F04FD" w:rsidP="00AC4DEE">
            <w:pPr>
              <w:pStyle w:val="TableBody"/>
            </w:pPr>
            <w:r>
              <w:t>HSL (if more than highest MW in submitted Energy Offer Curve)</w:t>
            </w:r>
          </w:p>
        </w:tc>
        <w:tc>
          <w:tcPr>
            <w:tcW w:w="2745" w:type="dxa"/>
          </w:tcPr>
          <w:p w14:paraId="461E5FD9" w14:textId="77777777" w:rsidR="001F04FD" w:rsidRDefault="001F04FD" w:rsidP="00AC4DEE">
            <w:pPr>
              <w:pStyle w:val="TableBody"/>
            </w:pPr>
            <w:r>
              <w:t>Price associated with the highest MW in submitted Energy Offer Curve</w:t>
            </w:r>
          </w:p>
        </w:tc>
      </w:tr>
      <w:tr w:rsidR="001F04FD" w14:paraId="08C07C2A" w14:textId="77777777" w:rsidTr="00AC4DEE">
        <w:trPr>
          <w:jc w:val="center"/>
        </w:trPr>
        <w:tc>
          <w:tcPr>
            <w:tcW w:w="3780" w:type="dxa"/>
          </w:tcPr>
          <w:p w14:paraId="0ED9BFEC" w14:textId="77777777" w:rsidR="001F04FD" w:rsidRDefault="001F04FD" w:rsidP="00AC4DEE">
            <w:pPr>
              <w:pStyle w:val="TableBody"/>
            </w:pPr>
            <w:r>
              <w:t>Energy Offer Curve</w:t>
            </w:r>
          </w:p>
        </w:tc>
        <w:tc>
          <w:tcPr>
            <w:tcW w:w="2745" w:type="dxa"/>
          </w:tcPr>
          <w:p w14:paraId="52A46B98" w14:textId="77777777" w:rsidR="001F04FD" w:rsidRDefault="001F04FD" w:rsidP="00AC4DEE">
            <w:pPr>
              <w:pStyle w:val="TableBody"/>
            </w:pPr>
            <w:r>
              <w:t>Energy Offer Curve</w:t>
            </w:r>
          </w:p>
        </w:tc>
      </w:tr>
      <w:tr w:rsidR="001F04FD" w14:paraId="7AD82959" w14:textId="77777777" w:rsidTr="00AC4DEE">
        <w:trPr>
          <w:jc w:val="center"/>
        </w:trPr>
        <w:tc>
          <w:tcPr>
            <w:tcW w:w="3780" w:type="dxa"/>
          </w:tcPr>
          <w:p w14:paraId="5B6817D8" w14:textId="77777777" w:rsidR="001F04FD" w:rsidRDefault="001F04FD" w:rsidP="00AC4DEE">
            <w:pPr>
              <w:pStyle w:val="TableBody"/>
            </w:pPr>
            <w:r>
              <w:t>1 MW below lowest MW in Energy Offer Curve (if more than LSL)</w:t>
            </w:r>
          </w:p>
        </w:tc>
        <w:tc>
          <w:tcPr>
            <w:tcW w:w="2745" w:type="dxa"/>
          </w:tcPr>
          <w:p w14:paraId="4367A956" w14:textId="77777777" w:rsidR="001F04FD" w:rsidRDefault="001F04FD" w:rsidP="00AC4DEE">
            <w:pPr>
              <w:pStyle w:val="TableBody"/>
            </w:pPr>
            <w:r>
              <w:t>-$249.99</w:t>
            </w:r>
          </w:p>
        </w:tc>
      </w:tr>
      <w:tr w:rsidR="001F04FD" w14:paraId="6A42918C" w14:textId="77777777" w:rsidTr="00AC4DEE">
        <w:trPr>
          <w:jc w:val="center"/>
        </w:trPr>
        <w:tc>
          <w:tcPr>
            <w:tcW w:w="3780" w:type="dxa"/>
          </w:tcPr>
          <w:p w14:paraId="51B724C1" w14:textId="77777777" w:rsidR="001F04FD" w:rsidRDefault="001F04FD" w:rsidP="00AC4DEE">
            <w:pPr>
              <w:pStyle w:val="TableBody"/>
            </w:pPr>
            <w:r>
              <w:t>LSL (if less than lowest MW in Energy Offer Curve)</w:t>
            </w:r>
          </w:p>
        </w:tc>
        <w:tc>
          <w:tcPr>
            <w:tcW w:w="2745" w:type="dxa"/>
          </w:tcPr>
          <w:p w14:paraId="7A09EFD4" w14:textId="77777777" w:rsidR="001F04FD" w:rsidRDefault="001F04FD" w:rsidP="00AC4DEE">
            <w:pPr>
              <w:pStyle w:val="TableBody"/>
            </w:pPr>
            <w:r>
              <w:t>-$250.00</w:t>
            </w:r>
          </w:p>
        </w:tc>
      </w:tr>
    </w:tbl>
    <w:p w14:paraId="16D699AE" w14:textId="77777777" w:rsidR="001F04FD" w:rsidRPr="00844D14" w:rsidRDefault="001F04FD" w:rsidP="001F04FD">
      <w:pPr>
        <w:spacing w:before="240" w:after="240"/>
        <w:ind w:left="1440" w:hanging="720"/>
      </w:pPr>
      <w:r>
        <w:t>(e)</w:t>
      </w:r>
      <w:r>
        <w:tab/>
      </w:r>
      <w:r w:rsidRPr="00844D14">
        <w:t xml:space="preserve">RUC-committed Resources </w:t>
      </w:r>
    </w:p>
    <w:p w14:paraId="41D25851" w14:textId="77777777" w:rsidR="001F04FD" w:rsidRPr="00844D14" w:rsidRDefault="001F04FD" w:rsidP="001F04FD">
      <w:pPr>
        <w:spacing w:before="240" w:after="240"/>
        <w:ind w:left="2160" w:hanging="720"/>
      </w:pPr>
      <w:r w:rsidRPr="00844D14">
        <w:lastRenderedPageBreak/>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1F04FD" w:rsidRPr="00844D14" w14:paraId="34906CEA" w14:textId="77777777" w:rsidTr="00AC4DEE">
        <w:trPr>
          <w:trHeight w:val="359"/>
        </w:trPr>
        <w:tc>
          <w:tcPr>
            <w:tcW w:w="3540" w:type="dxa"/>
          </w:tcPr>
          <w:p w14:paraId="3D92E66E" w14:textId="77777777" w:rsidR="001F04FD" w:rsidRPr="00844D14" w:rsidRDefault="001F04FD" w:rsidP="00AC4DEE">
            <w:pPr>
              <w:spacing w:after="120"/>
              <w:rPr>
                <w:b/>
                <w:iCs/>
                <w:sz w:val="20"/>
              </w:rPr>
            </w:pPr>
            <w:r w:rsidRPr="00844D14">
              <w:rPr>
                <w:b/>
                <w:iCs/>
                <w:sz w:val="20"/>
              </w:rPr>
              <w:t>MW</w:t>
            </w:r>
          </w:p>
        </w:tc>
        <w:tc>
          <w:tcPr>
            <w:tcW w:w="2810" w:type="dxa"/>
          </w:tcPr>
          <w:p w14:paraId="479EDCFB" w14:textId="77777777" w:rsidR="001F04FD" w:rsidRPr="00844D14" w:rsidRDefault="001F04FD" w:rsidP="00AC4DEE">
            <w:pPr>
              <w:spacing w:after="120"/>
              <w:rPr>
                <w:b/>
                <w:iCs/>
                <w:sz w:val="20"/>
              </w:rPr>
            </w:pPr>
            <w:r w:rsidRPr="00844D14">
              <w:rPr>
                <w:b/>
                <w:iCs/>
                <w:sz w:val="20"/>
              </w:rPr>
              <w:t>Price (per MWh)</w:t>
            </w:r>
          </w:p>
        </w:tc>
      </w:tr>
      <w:tr w:rsidR="001F04FD" w:rsidRPr="00844D14" w14:paraId="43A7357C" w14:textId="77777777" w:rsidTr="00AC4DEE">
        <w:trPr>
          <w:trHeight w:val="364"/>
        </w:trPr>
        <w:tc>
          <w:tcPr>
            <w:tcW w:w="3540" w:type="dxa"/>
          </w:tcPr>
          <w:p w14:paraId="23AF1DC8" w14:textId="77777777" w:rsidR="001F04FD" w:rsidRPr="00844D14" w:rsidRDefault="001F04FD" w:rsidP="00AC4DEE">
            <w:pPr>
              <w:spacing w:after="60"/>
              <w:rPr>
                <w:iCs/>
                <w:sz w:val="20"/>
              </w:rPr>
            </w:pPr>
            <w:r w:rsidRPr="00844D14">
              <w:rPr>
                <w:iCs/>
                <w:sz w:val="20"/>
              </w:rPr>
              <w:t xml:space="preserve">HSL </w:t>
            </w:r>
          </w:p>
        </w:tc>
        <w:tc>
          <w:tcPr>
            <w:tcW w:w="2810" w:type="dxa"/>
          </w:tcPr>
          <w:p w14:paraId="10165428" w14:textId="1B4E3000" w:rsidR="001F04FD" w:rsidRPr="00844D14" w:rsidRDefault="001F04FD" w:rsidP="00AC4DEE">
            <w:pPr>
              <w:spacing w:after="60"/>
              <w:rPr>
                <w:iCs/>
                <w:sz w:val="20"/>
              </w:rPr>
            </w:pPr>
            <w:r>
              <w:rPr>
                <w:iCs/>
                <w:sz w:val="20"/>
              </w:rPr>
              <w:t>$</w:t>
            </w:r>
            <w:r w:rsidR="00090A9F">
              <w:rPr>
                <w:iCs/>
                <w:sz w:val="20"/>
              </w:rPr>
              <w:t>250</w:t>
            </w:r>
          </w:p>
        </w:tc>
      </w:tr>
      <w:tr w:rsidR="001F04FD" w:rsidRPr="00844D14" w14:paraId="4F32A838" w14:textId="77777777" w:rsidTr="00AC4DEE">
        <w:trPr>
          <w:trHeight w:val="377"/>
        </w:trPr>
        <w:tc>
          <w:tcPr>
            <w:tcW w:w="3540" w:type="dxa"/>
          </w:tcPr>
          <w:p w14:paraId="00BB9D4F" w14:textId="77777777" w:rsidR="001F04FD" w:rsidRPr="00844D14" w:rsidRDefault="001F04FD" w:rsidP="00AC4DEE">
            <w:pPr>
              <w:spacing w:after="60"/>
              <w:rPr>
                <w:iCs/>
                <w:sz w:val="20"/>
              </w:rPr>
            </w:pPr>
            <w:r w:rsidRPr="00844D14">
              <w:rPr>
                <w:iCs/>
                <w:sz w:val="20"/>
              </w:rPr>
              <w:t>Zero</w:t>
            </w:r>
          </w:p>
        </w:tc>
        <w:tc>
          <w:tcPr>
            <w:tcW w:w="2810" w:type="dxa"/>
          </w:tcPr>
          <w:p w14:paraId="388E8936" w14:textId="21943144" w:rsidR="001F04FD" w:rsidRPr="00844D14" w:rsidRDefault="001F04FD" w:rsidP="00AC4DEE">
            <w:pPr>
              <w:spacing w:after="60"/>
              <w:rPr>
                <w:iCs/>
                <w:sz w:val="20"/>
              </w:rPr>
            </w:pPr>
            <w:r>
              <w:rPr>
                <w:iCs/>
                <w:sz w:val="20"/>
              </w:rPr>
              <w:t>$</w:t>
            </w:r>
            <w:r w:rsidR="00090A9F">
              <w:rPr>
                <w:iCs/>
                <w:sz w:val="20"/>
              </w:rPr>
              <w:t>250</w:t>
            </w:r>
          </w:p>
        </w:tc>
      </w:tr>
    </w:tbl>
    <w:p w14:paraId="656C5C36" w14:textId="77777777" w:rsidR="001F04FD" w:rsidRDefault="001F04FD" w:rsidP="001F04FD">
      <w:pPr>
        <w:spacing w:before="240" w:after="240"/>
        <w:ind w:left="2160" w:hanging="720"/>
      </w:pPr>
      <w:r w:rsidRPr="00844D14">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1F04FD" w:rsidRPr="00844D14" w14:paraId="3E806E22" w14:textId="77777777" w:rsidTr="008D7D6C">
        <w:trPr>
          <w:trHeight w:val="350"/>
        </w:trPr>
        <w:tc>
          <w:tcPr>
            <w:tcW w:w="3531" w:type="dxa"/>
          </w:tcPr>
          <w:p w14:paraId="091A64BA" w14:textId="77777777" w:rsidR="001F04FD" w:rsidRPr="00844D14" w:rsidRDefault="001F04FD" w:rsidP="00AC4DEE">
            <w:pPr>
              <w:spacing w:after="120"/>
              <w:rPr>
                <w:b/>
                <w:iCs/>
                <w:sz w:val="20"/>
              </w:rPr>
            </w:pPr>
            <w:r w:rsidRPr="00844D14">
              <w:rPr>
                <w:b/>
                <w:iCs/>
                <w:sz w:val="20"/>
              </w:rPr>
              <w:t>MW</w:t>
            </w:r>
          </w:p>
        </w:tc>
        <w:tc>
          <w:tcPr>
            <w:tcW w:w="2804" w:type="dxa"/>
          </w:tcPr>
          <w:p w14:paraId="5496F6A1" w14:textId="77777777" w:rsidR="001F04FD" w:rsidRPr="00844D14" w:rsidRDefault="001F04FD" w:rsidP="00AC4DEE">
            <w:pPr>
              <w:spacing w:after="120"/>
              <w:rPr>
                <w:b/>
                <w:iCs/>
                <w:sz w:val="20"/>
              </w:rPr>
            </w:pPr>
            <w:r w:rsidRPr="00844D14">
              <w:rPr>
                <w:b/>
                <w:iCs/>
                <w:sz w:val="20"/>
              </w:rPr>
              <w:t>Price (per MWh)</w:t>
            </w:r>
          </w:p>
        </w:tc>
      </w:tr>
      <w:tr w:rsidR="001F04FD" w:rsidRPr="00844D14" w14:paraId="50ABC03F" w14:textId="77777777" w:rsidTr="008D7D6C">
        <w:trPr>
          <w:trHeight w:val="345"/>
        </w:trPr>
        <w:tc>
          <w:tcPr>
            <w:tcW w:w="3531" w:type="dxa"/>
          </w:tcPr>
          <w:p w14:paraId="600DDA8D" w14:textId="77777777" w:rsidR="001F04FD" w:rsidRPr="00844D14" w:rsidRDefault="001F04FD" w:rsidP="00AC4DEE">
            <w:pPr>
              <w:spacing w:after="60"/>
              <w:rPr>
                <w:iCs/>
                <w:sz w:val="20"/>
              </w:rPr>
            </w:pPr>
            <w:r w:rsidRPr="00844D14">
              <w:rPr>
                <w:iCs/>
                <w:sz w:val="20"/>
              </w:rPr>
              <w:t>HSL (if more than highest MW in Energy Offer Curve)</w:t>
            </w:r>
          </w:p>
        </w:tc>
        <w:tc>
          <w:tcPr>
            <w:tcW w:w="2804" w:type="dxa"/>
          </w:tcPr>
          <w:p w14:paraId="0E864903" w14:textId="4D32B932" w:rsidR="001F04FD" w:rsidRPr="00844D14" w:rsidRDefault="00E355BB" w:rsidP="00E355BB">
            <w:pPr>
              <w:spacing w:after="60"/>
              <w:rPr>
                <w:iCs/>
                <w:sz w:val="20"/>
              </w:rPr>
            </w:pPr>
            <w:r>
              <w:rPr>
                <w:iCs/>
                <w:sz w:val="20"/>
              </w:rPr>
              <w:t>Greater</w:t>
            </w:r>
            <w:r w:rsidR="001F04FD">
              <w:rPr>
                <w:iCs/>
                <w:sz w:val="20"/>
              </w:rPr>
              <w:t xml:space="preserve"> of $</w:t>
            </w:r>
            <w:r w:rsidR="00090A9F">
              <w:rPr>
                <w:iCs/>
                <w:sz w:val="20"/>
              </w:rPr>
              <w:t>250</w:t>
            </w:r>
            <w:r w:rsidR="001F04FD">
              <w:rPr>
                <w:iCs/>
                <w:sz w:val="20"/>
              </w:rPr>
              <w:t xml:space="preserve"> or price associated with the highest MW in QSE submitted Energy Offer Curve</w:t>
            </w:r>
          </w:p>
        </w:tc>
      </w:tr>
      <w:tr w:rsidR="001F04FD" w:rsidRPr="00844D14" w14:paraId="4A5A5565" w14:textId="77777777" w:rsidTr="008D7D6C">
        <w:trPr>
          <w:trHeight w:val="615"/>
        </w:trPr>
        <w:tc>
          <w:tcPr>
            <w:tcW w:w="3531" w:type="dxa"/>
          </w:tcPr>
          <w:p w14:paraId="67FB07A7" w14:textId="77777777" w:rsidR="001F04FD" w:rsidRPr="00844D14" w:rsidRDefault="001F04FD" w:rsidP="00AC4DEE">
            <w:pPr>
              <w:spacing w:after="60"/>
              <w:rPr>
                <w:iCs/>
                <w:sz w:val="20"/>
              </w:rPr>
            </w:pPr>
            <w:r w:rsidRPr="00844D14">
              <w:rPr>
                <w:iCs/>
                <w:sz w:val="20"/>
              </w:rPr>
              <w:t>Energy Offer Curve</w:t>
            </w:r>
          </w:p>
        </w:tc>
        <w:tc>
          <w:tcPr>
            <w:tcW w:w="2804" w:type="dxa"/>
          </w:tcPr>
          <w:p w14:paraId="2461788C" w14:textId="2DF7958C" w:rsidR="001F04FD" w:rsidRPr="00844D14" w:rsidRDefault="001F04FD" w:rsidP="00AC4DEE">
            <w:pPr>
              <w:spacing w:after="60"/>
              <w:rPr>
                <w:iCs/>
                <w:sz w:val="20"/>
              </w:rPr>
            </w:pPr>
            <w:r w:rsidRPr="00844D14">
              <w:rPr>
                <w:iCs/>
                <w:sz w:val="20"/>
              </w:rPr>
              <w:t xml:space="preserve">Greater of </w:t>
            </w:r>
            <w:r>
              <w:rPr>
                <w:iCs/>
                <w:sz w:val="20"/>
              </w:rPr>
              <w:t>$</w:t>
            </w:r>
            <w:r w:rsidR="00090A9F">
              <w:rPr>
                <w:iCs/>
                <w:sz w:val="20"/>
              </w:rPr>
              <w:t>250</w:t>
            </w:r>
            <w:r w:rsidRPr="00844D14">
              <w:rPr>
                <w:iCs/>
                <w:sz w:val="20"/>
              </w:rPr>
              <w:t xml:space="preserve"> or the QSE submitted Energy Offer Curve</w:t>
            </w:r>
          </w:p>
        </w:tc>
      </w:tr>
      <w:tr w:rsidR="001F04FD" w:rsidRPr="00844D14" w14:paraId="68B0C409" w14:textId="77777777" w:rsidTr="008D7D6C">
        <w:trPr>
          <w:trHeight w:val="916"/>
        </w:trPr>
        <w:tc>
          <w:tcPr>
            <w:tcW w:w="3531" w:type="dxa"/>
          </w:tcPr>
          <w:p w14:paraId="068AE8EC" w14:textId="77777777" w:rsidR="001F04FD" w:rsidRPr="00844D14" w:rsidRDefault="001F04FD" w:rsidP="00AC4DEE">
            <w:pPr>
              <w:spacing w:after="60"/>
              <w:rPr>
                <w:iCs/>
                <w:sz w:val="20"/>
              </w:rPr>
            </w:pPr>
            <w:r w:rsidRPr="00844D14">
              <w:rPr>
                <w:iCs/>
                <w:sz w:val="20"/>
              </w:rPr>
              <w:t>Zero</w:t>
            </w:r>
          </w:p>
        </w:tc>
        <w:tc>
          <w:tcPr>
            <w:tcW w:w="2804" w:type="dxa"/>
          </w:tcPr>
          <w:p w14:paraId="1A16686C" w14:textId="0E30E24C" w:rsidR="001F04FD" w:rsidRPr="00844D14" w:rsidRDefault="001F04FD" w:rsidP="00AC4DEE">
            <w:pPr>
              <w:spacing w:after="60"/>
              <w:rPr>
                <w:iCs/>
                <w:sz w:val="20"/>
              </w:rPr>
            </w:pPr>
            <w:r w:rsidRPr="00844D14">
              <w:rPr>
                <w:iCs/>
                <w:sz w:val="20"/>
              </w:rPr>
              <w:t xml:space="preserve">Greater of </w:t>
            </w:r>
            <w:r>
              <w:rPr>
                <w:iCs/>
                <w:sz w:val="20"/>
              </w:rPr>
              <w:t>$</w:t>
            </w:r>
            <w:r w:rsidR="00090A9F">
              <w:rPr>
                <w:iCs/>
                <w:sz w:val="20"/>
              </w:rPr>
              <w:t>250</w:t>
            </w:r>
            <w:r w:rsidRPr="00844D14">
              <w:rPr>
                <w:iCs/>
                <w:sz w:val="20"/>
              </w:rPr>
              <w:t xml:space="preserve"> or the first price point of the QSE submitted Energy Offer Curve</w:t>
            </w:r>
          </w:p>
        </w:tc>
      </w:tr>
    </w:tbl>
    <w:p w14:paraId="5B982E94" w14:textId="6809150A" w:rsidR="00D42541" w:rsidRPr="00844D14" w:rsidRDefault="00D42541" w:rsidP="00D42541">
      <w:pPr>
        <w:spacing w:before="240" w:after="240"/>
        <w:ind w:left="2160" w:hanging="720"/>
      </w:pPr>
      <w:r w:rsidRPr="00844D14">
        <w:t>(i</w:t>
      </w:r>
      <w:r>
        <w:t>ii</w:t>
      </w:r>
      <w:r w:rsidRPr="00844D14">
        <w:t>)</w:t>
      </w:r>
      <w:r w:rsidRPr="00C01232">
        <w:t xml:space="preserve"> </w:t>
      </w:r>
      <w:r>
        <w:tab/>
        <w:t>For each Combined Cycle Generation Resource that was RUC-committed from one On-Line configuration in order to transition to a different configuration with additional capacity, as instructed by ERCOT, that</w:t>
      </w:r>
      <w:r w:rsidRPr="00844D14">
        <w:t xml:space="preserve"> has not submitted an Energy Offer Curve</w:t>
      </w:r>
      <w:r>
        <w:t xml:space="preserve"> for the RUC-committed configuration</w:t>
      </w:r>
      <w:r w:rsidRPr="00844D14">
        <w:t>,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D42541" w:rsidRPr="00844D14" w14:paraId="09684A6B" w14:textId="77777777" w:rsidTr="00D42541">
        <w:trPr>
          <w:trHeight w:val="377"/>
        </w:trPr>
        <w:tc>
          <w:tcPr>
            <w:tcW w:w="2739" w:type="dxa"/>
            <w:tcBorders>
              <w:top w:val="single" w:sz="4" w:space="0" w:color="auto"/>
              <w:left w:val="single" w:sz="4" w:space="0" w:color="auto"/>
              <w:bottom w:val="single" w:sz="4" w:space="0" w:color="auto"/>
              <w:right w:val="single" w:sz="4" w:space="0" w:color="auto"/>
            </w:tcBorders>
          </w:tcPr>
          <w:p w14:paraId="783FC34C" w14:textId="77777777" w:rsidR="00D42541" w:rsidRPr="00B1003C" w:rsidRDefault="00D42541" w:rsidP="00D42541">
            <w:pPr>
              <w:spacing w:after="120"/>
              <w:rPr>
                <w:b/>
                <w:iCs/>
                <w:sz w:val="20"/>
              </w:rPr>
            </w:pPr>
            <w:r w:rsidRPr="00B1003C">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41342B27" w14:textId="77777777" w:rsidR="00D42541" w:rsidRPr="00B1003C" w:rsidRDefault="00D42541" w:rsidP="00D42541">
            <w:pPr>
              <w:spacing w:after="120"/>
              <w:rPr>
                <w:b/>
                <w:iCs/>
                <w:sz w:val="20"/>
              </w:rPr>
            </w:pPr>
            <w:r w:rsidRPr="00B1003C">
              <w:rPr>
                <w:b/>
                <w:iCs/>
                <w:sz w:val="20"/>
              </w:rPr>
              <w:t>Price (per MWh)</w:t>
            </w:r>
          </w:p>
        </w:tc>
      </w:tr>
      <w:tr w:rsidR="00D42541" w:rsidRPr="00844D14" w14:paraId="3EEACECC" w14:textId="77777777" w:rsidTr="00D42541">
        <w:trPr>
          <w:trHeight w:val="377"/>
        </w:trPr>
        <w:tc>
          <w:tcPr>
            <w:tcW w:w="2739" w:type="dxa"/>
            <w:tcBorders>
              <w:top w:val="single" w:sz="4" w:space="0" w:color="auto"/>
              <w:left w:val="single" w:sz="4" w:space="0" w:color="auto"/>
              <w:bottom w:val="single" w:sz="4" w:space="0" w:color="auto"/>
              <w:right w:val="single" w:sz="4" w:space="0" w:color="auto"/>
            </w:tcBorders>
          </w:tcPr>
          <w:p w14:paraId="00FB96C9" w14:textId="77777777" w:rsidR="00D42541" w:rsidRPr="00844D14" w:rsidRDefault="00D42541" w:rsidP="00D42541">
            <w:pPr>
              <w:spacing w:after="120"/>
              <w:rPr>
                <w:iCs/>
                <w:sz w:val="20"/>
              </w:rPr>
            </w:pPr>
            <w:r>
              <w:rPr>
                <w:iCs/>
                <w:sz w:val="20"/>
              </w:rPr>
              <w:t>HSL of RUC-committed configuration</w:t>
            </w:r>
            <w:r w:rsidRPr="00844D14">
              <w:rPr>
                <w:iCs/>
                <w:sz w:val="20"/>
              </w:rPr>
              <w:t xml:space="preserve"> </w:t>
            </w:r>
          </w:p>
        </w:tc>
        <w:tc>
          <w:tcPr>
            <w:tcW w:w="3600" w:type="dxa"/>
            <w:tcBorders>
              <w:top w:val="single" w:sz="4" w:space="0" w:color="auto"/>
              <w:left w:val="single" w:sz="4" w:space="0" w:color="auto"/>
              <w:bottom w:val="single" w:sz="4" w:space="0" w:color="auto"/>
              <w:right w:val="single" w:sz="4" w:space="0" w:color="auto"/>
            </w:tcBorders>
          </w:tcPr>
          <w:p w14:paraId="4ED43B11" w14:textId="04662733" w:rsidR="00D42541" w:rsidRPr="00844D14" w:rsidRDefault="00D42541" w:rsidP="00D42541">
            <w:pPr>
              <w:spacing w:after="120"/>
              <w:rPr>
                <w:iCs/>
                <w:sz w:val="20"/>
              </w:rPr>
            </w:pPr>
            <w:r w:rsidRPr="00B1003C">
              <w:rPr>
                <w:iCs/>
                <w:sz w:val="20"/>
              </w:rPr>
              <w:t>$</w:t>
            </w:r>
            <w:r w:rsidR="00090A9F">
              <w:rPr>
                <w:iCs/>
                <w:sz w:val="20"/>
              </w:rPr>
              <w:t>250</w:t>
            </w:r>
          </w:p>
        </w:tc>
      </w:tr>
      <w:tr w:rsidR="00D42541" w:rsidRPr="00844D14" w14:paraId="1FD1CD1F" w14:textId="77777777" w:rsidTr="00D42541">
        <w:trPr>
          <w:trHeight w:val="377"/>
        </w:trPr>
        <w:tc>
          <w:tcPr>
            <w:tcW w:w="2739" w:type="dxa"/>
            <w:tcBorders>
              <w:top w:val="single" w:sz="4" w:space="0" w:color="auto"/>
              <w:left w:val="single" w:sz="4" w:space="0" w:color="auto"/>
              <w:bottom w:val="single" w:sz="4" w:space="0" w:color="auto"/>
              <w:right w:val="single" w:sz="4" w:space="0" w:color="auto"/>
            </w:tcBorders>
          </w:tcPr>
          <w:p w14:paraId="510C4253" w14:textId="77777777" w:rsidR="00D42541" w:rsidRPr="00844D14" w:rsidRDefault="00D42541" w:rsidP="00D42541">
            <w:pPr>
              <w:spacing w:after="120"/>
              <w:rPr>
                <w:iCs/>
                <w:sz w:val="20"/>
              </w:rPr>
            </w:pPr>
            <w:r>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5E59384D" w14:textId="5DFA7BBC" w:rsidR="00D42541" w:rsidRPr="00844D14" w:rsidRDefault="00D42541" w:rsidP="00D42541">
            <w:pPr>
              <w:spacing w:after="120"/>
              <w:rPr>
                <w:iCs/>
                <w:sz w:val="20"/>
              </w:rPr>
            </w:pPr>
            <w:r w:rsidRPr="00B1003C">
              <w:rPr>
                <w:iCs/>
                <w:sz w:val="20"/>
              </w:rPr>
              <w:t>$</w:t>
            </w:r>
            <w:r w:rsidR="00090A9F">
              <w:rPr>
                <w:iCs/>
                <w:sz w:val="20"/>
              </w:rPr>
              <w:t>250</w:t>
            </w:r>
          </w:p>
        </w:tc>
      </w:tr>
    </w:tbl>
    <w:p w14:paraId="4EB6EE5C" w14:textId="3F79015E" w:rsidR="00D42541" w:rsidRDefault="00D42541" w:rsidP="00D42541">
      <w:pPr>
        <w:spacing w:before="240" w:after="240"/>
        <w:ind w:left="2160" w:hanging="720"/>
      </w:pPr>
      <w:r w:rsidRPr="00844D14">
        <w:t>(</w:t>
      </w:r>
      <w:r>
        <w:t>iv</w:t>
      </w:r>
      <w:r w:rsidRPr="00844D14">
        <w:t>)</w:t>
      </w:r>
      <w:r w:rsidRPr="00C01232">
        <w:t xml:space="preserve"> </w:t>
      </w:r>
      <w:r>
        <w:tab/>
      </w:r>
      <w:r w:rsidRPr="00844D14">
        <w:t xml:space="preserve">For each </w:t>
      </w:r>
      <w:r>
        <w:t>Combined Cycle Generation Resource that was RUC-committed from one On-Line configuration in order to transition to a different configuration with additional capacity, as instructed by ERCOT, t</w:t>
      </w:r>
      <w:r w:rsidRPr="00844D14">
        <w:t>hat has submitted an Energy Offer Curve</w:t>
      </w:r>
      <w:r>
        <w:t xml:space="preserve"> for the RUC-committed configuration</w:t>
      </w:r>
      <w:r w:rsidRPr="00844D14">
        <w:t>,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D42541" w:rsidRPr="00844D14" w14:paraId="5A41A9BF" w14:textId="77777777" w:rsidTr="00D42541">
        <w:trPr>
          <w:trHeight w:val="350"/>
        </w:trPr>
        <w:tc>
          <w:tcPr>
            <w:tcW w:w="3279" w:type="dxa"/>
          </w:tcPr>
          <w:p w14:paraId="5AE31FEE" w14:textId="77777777" w:rsidR="00D42541" w:rsidRPr="00844D14" w:rsidRDefault="00D42541" w:rsidP="00D42541">
            <w:pPr>
              <w:spacing w:after="120"/>
              <w:rPr>
                <w:b/>
                <w:iCs/>
                <w:sz w:val="20"/>
              </w:rPr>
            </w:pPr>
            <w:r w:rsidRPr="00844D14">
              <w:rPr>
                <w:b/>
                <w:iCs/>
                <w:sz w:val="20"/>
              </w:rPr>
              <w:t>MW</w:t>
            </w:r>
          </w:p>
        </w:tc>
        <w:tc>
          <w:tcPr>
            <w:tcW w:w="3060" w:type="dxa"/>
          </w:tcPr>
          <w:p w14:paraId="564CC580" w14:textId="77777777" w:rsidR="00D42541" w:rsidRPr="00844D14" w:rsidRDefault="00D42541" w:rsidP="00D42541">
            <w:pPr>
              <w:spacing w:after="120"/>
              <w:rPr>
                <w:b/>
                <w:iCs/>
                <w:sz w:val="20"/>
              </w:rPr>
            </w:pPr>
            <w:r w:rsidRPr="00844D14">
              <w:rPr>
                <w:b/>
                <w:iCs/>
                <w:sz w:val="20"/>
              </w:rPr>
              <w:t>Price (per MWh)</w:t>
            </w:r>
          </w:p>
        </w:tc>
      </w:tr>
      <w:tr w:rsidR="00D42541" w:rsidRPr="00844D14" w14:paraId="223ECEB5" w14:textId="77777777" w:rsidTr="00D42541">
        <w:trPr>
          <w:trHeight w:val="345"/>
        </w:trPr>
        <w:tc>
          <w:tcPr>
            <w:tcW w:w="3279" w:type="dxa"/>
          </w:tcPr>
          <w:p w14:paraId="2419F3F5" w14:textId="77777777" w:rsidR="00D42541" w:rsidRPr="00844D14" w:rsidRDefault="00D42541" w:rsidP="00D42541">
            <w:pPr>
              <w:spacing w:after="60"/>
              <w:rPr>
                <w:iCs/>
                <w:sz w:val="20"/>
              </w:rPr>
            </w:pPr>
            <w:r w:rsidRPr="00844D14">
              <w:rPr>
                <w:iCs/>
                <w:sz w:val="20"/>
              </w:rPr>
              <w:lastRenderedPageBreak/>
              <w:t>HSL</w:t>
            </w:r>
            <w:r>
              <w:rPr>
                <w:iCs/>
                <w:sz w:val="20"/>
              </w:rPr>
              <w:t xml:space="preserve"> of RUC-committed configuration</w:t>
            </w:r>
            <w:r w:rsidRPr="00844D14">
              <w:rPr>
                <w:iCs/>
                <w:sz w:val="20"/>
              </w:rPr>
              <w:t xml:space="preserve"> (if more than highest MW in Energy Offer Curve)</w:t>
            </w:r>
          </w:p>
        </w:tc>
        <w:tc>
          <w:tcPr>
            <w:tcW w:w="3060" w:type="dxa"/>
          </w:tcPr>
          <w:p w14:paraId="12B0C33E" w14:textId="6D69BB94" w:rsidR="00D42541" w:rsidRPr="00844D14" w:rsidRDefault="00D42541" w:rsidP="00D42541">
            <w:pPr>
              <w:spacing w:after="60"/>
              <w:rPr>
                <w:iCs/>
                <w:sz w:val="20"/>
              </w:rPr>
            </w:pPr>
            <w:r>
              <w:rPr>
                <w:iCs/>
                <w:sz w:val="20"/>
              </w:rPr>
              <w:t>Greater of $</w:t>
            </w:r>
            <w:r w:rsidR="00090A9F">
              <w:rPr>
                <w:iCs/>
                <w:sz w:val="20"/>
              </w:rPr>
              <w:t>250</w:t>
            </w:r>
            <w:r>
              <w:rPr>
                <w:iCs/>
                <w:sz w:val="20"/>
              </w:rPr>
              <w:t xml:space="preserve"> or price associated with the highest MW in QSE submitted Energy Offer Curve</w:t>
            </w:r>
          </w:p>
        </w:tc>
      </w:tr>
      <w:tr w:rsidR="00D42541" w:rsidRPr="00844D14" w14:paraId="11C51392" w14:textId="77777777" w:rsidTr="00D42541">
        <w:trPr>
          <w:trHeight w:val="615"/>
        </w:trPr>
        <w:tc>
          <w:tcPr>
            <w:tcW w:w="3279" w:type="dxa"/>
          </w:tcPr>
          <w:p w14:paraId="5E8CBD89" w14:textId="77777777" w:rsidR="00D42541" w:rsidRPr="00844D14" w:rsidRDefault="00D42541" w:rsidP="00D42541">
            <w:pPr>
              <w:spacing w:after="60"/>
              <w:rPr>
                <w:iCs/>
                <w:sz w:val="20"/>
              </w:rPr>
            </w:pPr>
            <w:r w:rsidRPr="00844D14">
              <w:rPr>
                <w:iCs/>
                <w:sz w:val="20"/>
              </w:rPr>
              <w:t>Energy Offer Curve</w:t>
            </w:r>
            <w:r>
              <w:rPr>
                <w:iCs/>
                <w:sz w:val="20"/>
              </w:rPr>
              <w:t xml:space="preserve"> for MW at and above HSL of QSE-committed configuration</w:t>
            </w:r>
          </w:p>
        </w:tc>
        <w:tc>
          <w:tcPr>
            <w:tcW w:w="3060" w:type="dxa"/>
          </w:tcPr>
          <w:p w14:paraId="58500B0F" w14:textId="0C4E0645" w:rsidR="00D42541" w:rsidRPr="00844D14" w:rsidRDefault="00D42541" w:rsidP="00D42541">
            <w:pPr>
              <w:spacing w:after="60"/>
              <w:rPr>
                <w:iCs/>
                <w:sz w:val="20"/>
              </w:rPr>
            </w:pPr>
            <w:r w:rsidRPr="00844D14">
              <w:rPr>
                <w:iCs/>
                <w:sz w:val="20"/>
              </w:rPr>
              <w:t xml:space="preserve">Greater of </w:t>
            </w:r>
            <w:r>
              <w:rPr>
                <w:iCs/>
                <w:sz w:val="20"/>
              </w:rPr>
              <w:t>$</w:t>
            </w:r>
            <w:r w:rsidR="00090A9F">
              <w:rPr>
                <w:iCs/>
                <w:sz w:val="20"/>
              </w:rPr>
              <w:t>250</w:t>
            </w:r>
            <w:r w:rsidRPr="00844D14">
              <w:rPr>
                <w:iCs/>
                <w:sz w:val="20"/>
              </w:rPr>
              <w:t xml:space="preserve"> or the QSE submitted Energy Offer Curve</w:t>
            </w:r>
          </w:p>
        </w:tc>
      </w:tr>
      <w:tr w:rsidR="002C7EEC" w:rsidRPr="00844D14" w14:paraId="7B048E48" w14:textId="77777777" w:rsidTr="00D42541">
        <w:trPr>
          <w:trHeight w:val="615"/>
        </w:trPr>
        <w:tc>
          <w:tcPr>
            <w:tcW w:w="3279" w:type="dxa"/>
          </w:tcPr>
          <w:p w14:paraId="3BD2A7E1" w14:textId="28532EF4" w:rsidR="002C7EEC" w:rsidRPr="00844D14" w:rsidRDefault="002C7EEC" w:rsidP="002C7EEC">
            <w:pPr>
              <w:spacing w:after="60"/>
              <w:rPr>
                <w:iCs/>
                <w:sz w:val="20"/>
              </w:rPr>
            </w:pPr>
            <w:r w:rsidRPr="006D1E6E">
              <w:rPr>
                <w:iCs/>
                <w:sz w:val="20"/>
              </w:rPr>
              <w:t>HSL of QSE-committed configuration (if more than highest MW in Energy Offer Curve and price associated with highest MW in Energy Offer Curve is less than $</w:t>
            </w:r>
            <w:r w:rsidR="00090A9F">
              <w:rPr>
                <w:iCs/>
                <w:sz w:val="20"/>
              </w:rPr>
              <w:t>250</w:t>
            </w:r>
            <w:r w:rsidRPr="006D1E6E">
              <w:rPr>
                <w:iCs/>
                <w:sz w:val="20"/>
              </w:rPr>
              <w:t>)</w:t>
            </w:r>
          </w:p>
        </w:tc>
        <w:tc>
          <w:tcPr>
            <w:tcW w:w="3060" w:type="dxa"/>
          </w:tcPr>
          <w:p w14:paraId="1B7F3AEE" w14:textId="1A3D0EB9" w:rsidR="002C7EEC" w:rsidRPr="00844D14" w:rsidRDefault="002C7EEC" w:rsidP="002C7EEC">
            <w:pPr>
              <w:spacing w:after="60"/>
              <w:rPr>
                <w:iCs/>
                <w:sz w:val="20"/>
              </w:rPr>
            </w:pPr>
            <w:r w:rsidRPr="0035422B">
              <w:rPr>
                <w:iCs/>
                <w:sz w:val="20"/>
              </w:rPr>
              <w:t>$</w:t>
            </w:r>
            <w:r w:rsidR="00090A9F">
              <w:rPr>
                <w:iCs/>
                <w:sz w:val="20"/>
              </w:rPr>
              <w:t>250</w:t>
            </w:r>
          </w:p>
        </w:tc>
      </w:tr>
      <w:tr w:rsidR="00D42541" w:rsidRPr="00844D14" w14:paraId="5736C845" w14:textId="77777777" w:rsidTr="00D42541">
        <w:trPr>
          <w:trHeight w:val="368"/>
        </w:trPr>
        <w:tc>
          <w:tcPr>
            <w:tcW w:w="3279" w:type="dxa"/>
          </w:tcPr>
          <w:p w14:paraId="508C88B4" w14:textId="77777777" w:rsidR="00D42541" w:rsidRPr="00844D14" w:rsidRDefault="00D42541" w:rsidP="00D42541">
            <w:pPr>
              <w:spacing w:after="60"/>
              <w:rPr>
                <w:iCs/>
                <w:sz w:val="20"/>
              </w:rPr>
            </w:pPr>
            <w:r>
              <w:rPr>
                <w:iCs/>
                <w:sz w:val="20"/>
              </w:rPr>
              <w:t xml:space="preserve">HSL of QSE-committed configuration </w:t>
            </w:r>
            <w:r w:rsidRPr="00844D14">
              <w:rPr>
                <w:iCs/>
                <w:sz w:val="20"/>
              </w:rPr>
              <w:t>(if more than highest MW in Energy Offer Curve)</w:t>
            </w:r>
          </w:p>
        </w:tc>
        <w:tc>
          <w:tcPr>
            <w:tcW w:w="3060" w:type="dxa"/>
          </w:tcPr>
          <w:p w14:paraId="3A6531DD" w14:textId="6937737B" w:rsidR="00D42541" w:rsidRDefault="002C7EEC" w:rsidP="00D42541">
            <w:pPr>
              <w:spacing w:after="60"/>
              <w:rPr>
                <w:iCs/>
                <w:sz w:val="20"/>
              </w:rPr>
            </w:pPr>
            <w:r>
              <w:rPr>
                <w:iCs/>
                <w:sz w:val="20"/>
              </w:rPr>
              <w:t>P</w:t>
            </w:r>
            <w:r w:rsidR="00D42541" w:rsidRPr="007E2DC2">
              <w:rPr>
                <w:iCs/>
                <w:sz w:val="20"/>
              </w:rPr>
              <w:t>rice associated with the highest MW in QSE submitted Energy Offer Curve</w:t>
            </w:r>
          </w:p>
        </w:tc>
      </w:tr>
      <w:tr w:rsidR="00D42541" w:rsidRPr="00844D14" w14:paraId="58253DD1" w14:textId="77777777" w:rsidTr="00D42541">
        <w:trPr>
          <w:trHeight w:val="773"/>
        </w:trPr>
        <w:tc>
          <w:tcPr>
            <w:tcW w:w="3279" w:type="dxa"/>
          </w:tcPr>
          <w:p w14:paraId="6BADE8DD" w14:textId="77777777" w:rsidR="00D42541" w:rsidRPr="00844D14" w:rsidRDefault="00D42541" w:rsidP="00D42541">
            <w:pPr>
              <w:spacing w:after="60"/>
              <w:rPr>
                <w:iCs/>
                <w:sz w:val="20"/>
              </w:rPr>
            </w:pPr>
            <w:r w:rsidRPr="00844D14">
              <w:rPr>
                <w:iCs/>
                <w:sz w:val="20"/>
              </w:rPr>
              <w:t>Energy Offer Curve</w:t>
            </w:r>
            <w:r>
              <w:rPr>
                <w:iCs/>
                <w:sz w:val="20"/>
              </w:rPr>
              <w:t xml:space="preserve"> for MW at and below HSL of QSE-committed configuration</w:t>
            </w:r>
          </w:p>
        </w:tc>
        <w:tc>
          <w:tcPr>
            <w:tcW w:w="3060" w:type="dxa"/>
          </w:tcPr>
          <w:p w14:paraId="09CB5269" w14:textId="77777777" w:rsidR="00D42541" w:rsidRPr="00844D14" w:rsidRDefault="00D42541" w:rsidP="00D42541">
            <w:pPr>
              <w:spacing w:after="60"/>
              <w:rPr>
                <w:iCs/>
                <w:sz w:val="20"/>
              </w:rPr>
            </w:pPr>
            <w:r>
              <w:rPr>
                <w:iCs/>
                <w:sz w:val="20"/>
              </w:rPr>
              <w:t>The QSE submitted Energy Offer Curve</w:t>
            </w:r>
          </w:p>
        </w:tc>
      </w:tr>
      <w:tr w:rsidR="00D42541" w:rsidRPr="00844D14" w14:paraId="4EAA1F0F" w14:textId="77777777" w:rsidTr="00D42541">
        <w:trPr>
          <w:trHeight w:val="503"/>
        </w:trPr>
        <w:tc>
          <w:tcPr>
            <w:tcW w:w="3279" w:type="dxa"/>
          </w:tcPr>
          <w:p w14:paraId="27C15331" w14:textId="77777777" w:rsidR="00D42541" w:rsidRPr="00844D14" w:rsidRDefault="00D42541" w:rsidP="00D42541">
            <w:pPr>
              <w:spacing w:after="60"/>
              <w:rPr>
                <w:iCs/>
                <w:sz w:val="20"/>
              </w:rPr>
            </w:pPr>
            <w:r w:rsidRPr="00B1003C">
              <w:rPr>
                <w:iCs/>
                <w:sz w:val="20"/>
              </w:rPr>
              <w:t>1 MW below lowest MW in Energy Offer Curve (if more than LSL)</w:t>
            </w:r>
          </w:p>
        </w:tc>
        <w:tc>
          <w:tcPr>
            <w:tcW w:w="3060" w:type="dxa"/>
          </w:tcPr>
          <w:p w14:paraId="3EA15797" w14:textId="77777777" w:rsidR="00D42541" w:rsidRDefault="00D42541" w:rsidP="00D42541">
            <w:pPr>
              <w:spacing w:after="60"/>
              <w:rPr>
                <w:iCs/>
                <w:sz w:val="20"/>
              </w:rPr>
            </w:pPr>
            <w:r w:rsidRPr="00B1003C">
              <w:rPr>
                <w:iCs/>
                <w:sz w:val="20"/>
              </w:rPr>
              <w:t>-$249.99</w:t>
            </w:r>
          </w:p>
        </w:tc>
      </w:tr>
      <w:tr w:rsidR="00D42541" w:rsidRPr="00844D14" w14:paraId="166BE193" w14:textId="77777777" w:rsidTr="00D42541">
        <w:trPr>
          <w:trHeight w:val="467"/>
        </w:trPr>
        <w:tc>
          <w:tcPr>
            <w:tcW w:w="3279" w:type="dxa"/>
          </w:tcPr>
          <w:p w14:paraId="6F766F2B" w14:textId="77777777" w:rsidR="00D42541" w:rsidRPr="00844D14" w:rsidRDefault="00D42541" w:rsidP="00D42541">
            <w:pPr>
              <w:spacing w:after="60"/>
              <w:rPr>
                <w:iCs/>
                <w:sz w:val="20"/>
              </w:rPr>
            </w:pPr>
            <w:r w:rsidRPr="00B1003C">
              <w:rPr>
                <w:iCs/>
                <w:sz w:val="20"/>
              </w:rPr>
              <w:t>LSL (if less than lowest MW in Energy Offer Curve)</w:t>
            </w:r>
          </w:p>
        </w:tc>
        <w:tc>
          <w:tcPr>
            <w:tcW w:w="3060" w:type="dxa"/>
          </w:tcPr>
          <w:p w14:paraId="2D93B3F7" w14:textId="77777777" w:rsidR="00D42541" w:rsidRDefault="00D42541" w:rsidP="00D42541">
            <w:pPr>
              <w:spacing w:after="60"/>
              <w:rPr>
                <w:iCs/>
                <w:sz w:val="20"/>
              </w:rPr>
            </w:pPr>
            <w:r w:rsidRPr="00B1003C">
              <w:rPr>
                <w:iCs/>
                <w:sz w:val="20"/>
              </w:rPr>
              <w:t>-$250.00</w:t>
            </w:r>
          </w:p>
        </w:tc>
      </w:tr>
    </w:tbl>
    <w:p w14:paraId="2319D839" w14:textId="7FE7F2CC" w:rsidR="001F04FD" w:rsidRDefault="001F04FD" w:rsidP="001F04FD">
      <w:pPr>
        <w:pStyle w:val="BodyTextNumbered"/>
        <w:spacing w:before="240"/>
      </w:pPr>
      <w:r>
        <w:t>(5)</w:t>
      </w:r>
      <w:r>
        <w:tab/>
        <w:t>The Entity with decision 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r w:rsidDel="00995694">
        <w:t xml:space="preserve"> </w:t>
      </w:r>
    </w:p>
    <w:p w14:paraId="3188B895" w14:textId="587B0B23" w:rsidR="001F04FD" w:rsidRDefault="001F04FD" w:rsidP="001F04FD">
      <w:pPr>
        <w:spacing w:after="240"/>
        <w:ind w:left="720" w:hanging="720"/>
      </w:pPr>
      <w:r w:rsidRPr="006A6281">
        <w:t>(</w:t>
      </w:r>
      <w:r>
        <w:t>6</w:t>
      </w:r>
      <w:r w:rsidRPr="006A6281">
        <w:t>)</w:t>
      </w:r>
      <w:r w:rsidRPr="006A6281">
        <w:tab/>
        <w:t xml:space="preserve">For a </w:t>
      </w:r>
      <w:r w:rsidR="00D3410D">
        <w:t>CLR</w:t>
      </w:r>
      <w:r w:rsidRPr="006A6281">
        <w:t xml:space="preserve"> whose QSE has submitted an RTM Energy Bid that does not cover the full range of the Resource’s available Demand response capability, consistent with the </w:t>
      </w:r>
      <w:r w:rsidR="00D3410D">
        <w:t>CLR</w:t>
      </w:r>
      <w:r w:rsidRPr="006A6281">
        <w:t>’s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1F04FD" w:rsidRPr="006A6281" w14:paraId="62748901" w14:textId="77777777" w:rsidTr="00AC4DEE">
        <w:trPr>
          <w:jc w:val="center"/>
        </w:trPr>
        <w:tc>
          <w:tcPr>
            <w:tcW w:w="3596" w:type="dxa"/>
          </w:tcPr>
          <w:p w14:paraId="651DF69B" w14:textId="77777777" w:rsidR="001F04FD" w:rsidRPr="006A6281" w:rsidRDefault="001F04FD" w:rsidP="00AC4DEE">
            <w:pPr>
              <w:pStyle w:val="TableHead"/>
            </w:pPr>
            <w:r w:rsidRPr="006A6281">
              <w:t>MW</w:t>
            </w:r>
          </w:p>
        </w:tc>
        <w:tc>
          <w:tcPr>
            <w:tcW w:w="2875" w:type="dxa"/>
          </w:tcPr>
          <w:p w14:paraId="498A8747" w14:textId="77777777" w:rsidR="001F04FD" w:rsidRPr="006A6281" w:rsidRDefault="001F04FD" w:rsidP="00AC4DEE">
            <w:pPr>
              <w:pStyle w:val="TableHead"/>
            </w:pPr>
            <w:r w:rsidRPr="006A6281">
              <w:t>Price (per MWh)</w:t>
            </w:r>
          </w:p>
        </w:tc>
      </w:tr>
      <w:tr w:rsidR="001F04FD" w:rsidRPr="006A6281" w14:paraId="133607C8" w14:textId="77777777" w:rsidTr="00AC4DEE">
        <w:trPr>
          <w:jc w:val="center"/>
        </w:trPr>
        <w:tc>
          <w:tcPr>
            <w:tcW w:w="3596" w:type="dxa"/>
          </w:tcPr>
          <w:p w14:paraId="2BB8DFE1" w14:textId="77777777" w:rsidR="001F04FD" w:rsidRPr="006A6281" w:rsidRDefault="001F04FD" w:rsidP="00AC4DEE">
            <w:pPr>
              <w:pStyle w:val="TableBody"/>
            </w:pPr>
            <w:r w:rsidRPr="006A6281">
              <w:t>LPC to MPC minus maximum MW of RTM Energy Bid</w:t>
            </w:r>
          </w:p>
        </w:tc>
        <w:tc>
          <w:tcPr>
            <w:tcW w:w="2875" w:type="dxa"/>
          </w:tcPr>
          <w:p w14:paraId="6E717F85" w14:textId="77777777" w:rsidR="001F04FD" w:rsidRPr="006A6281" w:rsidRDefault="001F04FD" w:rsidP="00AC4DEE">
            <w:pPr>
              <w:pStyle w:val="TableBody"/>
            </w:pPr>
            <w:r>
              <w:t>Price associated with the lowest MW in submitted RTM Energy Bid curve</w:t>
            </w:r>
          </w:p>
        </w:tc>
      </w:tr>
      <w:tr w:rsidR="001F04FD" w:rsidRPr="006A6281" w14:paraId="62102ABA" w14:textId="77777777" w:rsidTr="00AC4DEE">
        <w:trPr>
          <w:jc w:val="center"/>
        </w:trPr>
        <w:tc>
          <w:tcPr>
            <w:tcW w:w="3596" w:type="dxa"/>
          </w:tcPr>
          <w:p w14:paraId="1AD53DE1" w14:textId="77777777" w:rsidR="001F04FD" w:rsidRPr="006A6281" w:rsidRDefault="001F04FD" w:rsidP="00AC4DEE">
            <w:pPr>
              <w:pStyle w:val="TableBody"/>
            </w:pPr>
            <w:r w:rsidRPr="006A6281">
              <w:t>MPC minus maximum MW of RTM Energy Bid to MPC</w:t>
            </w:r>
          </w:p>
        </w:tc>
        <w:tc>
          <w:tcPr>
            <w:tcW w:w="2875" w:type="dxa"/>
          </w:tcPr>
          <w:p w14:paraId="01B39963" w14:textId="77777777" w:rsidR="001F04FD" w:rsidRPr="006A6281" w:rsidRDefault="001F04FD" w:rsidP="00AC4DEE">
            <w:pPr>
              <w:pStyle w:val="TableBody"/>
            </w:pPr>
            <w:r w:rsidRPr="006A6281">
              <w:t>RTM Energy Bid curve</w:t>
            </w:r>
          </w:p>
        </w:tc>
      </w:tr>
      <w:tr w:rsidR="001F04FD" w:rsidRPr="006A6281" w14:paraId="5BBEF55B" w14:textId="77777777" w:rsidTr="00AC4DEE">
        <w:trPr>
          <w:jc w:val="center"/>
        </w:trPr>
        <w:tc>
          <w:tcPr>
            <w:tcW w:w="3596" w:type="dxa"/>
          </w:tcPr>
          <w:p w14:paraId="21441185" w14:textId="77777777" w:rsidR="001F04FD" w:rsidRPr="006A6281" w:rsidRDefault="001F04FD" w:rsidP="00AC4DEE">
            <w:pPr>
              <w:pStyle w:val="TableBody"/>
            </w:pPr>
            <w:r w:rsidRPr="006A6281">
              <w:t>MPC</w:t>
            </w:r>
          </w:p>
        </w:tc>
        <w:tc>
          <w:tcPr>
            <w:tcW w:w="2875" w:type="dxa"/>
          </w:tcPr>
          <w:p w14:paraId="4B60CDAB" w14:textId="77777777" w:rsidR="001F04FD" w:rsidRPr="006A6281" w:rsidRDefault="001F04FD" w:rsidP="00AC4DEE">
            <w:pPr>
              <w:pStyle w:val="TableBody"/>
            </w:pPr>
            <w:r w:rsidRPr="006A6281">
              <w:t>Right-most point (lowest price) on RTM Energy Bid curve</w:t>
            </w:r>
          </w:p>
        </w:tc>
      </w:tr>
    </w:tbl>
    <w:p w14:paraId="47D794E7" w14:textId="230B9D60" w:rsidR="001F04FD" w:rsidRPr="00BF28AE" w:rsidRDefault="001F04FD" w:rsidP="001F04FD">
      <w:pPr>
        <w:pStyle w:val="BodyTextNumbered"/>
        <w:spacing w:before="240" w:after="0"/>
      </w:pPr>
      <w:r w:rsidRPr="006A6281">
        <w:t>(</w:t>
      </w:r>
      <w:r>
        <w:t>7</w:t>
      </w:r>
      <w:r w:rsidRPr="006A6281">
        <w:t>)</w:t>
      </w:r>
      <w:r w:rsidRPr="006A6281">
        <w:tab/>
        <w:t xml:space="preserve">ERCOT shall ensure that any RTM Energy Bid is monotonically non-increasing.  The QSE representing the </w:t>
      </w:r>
      <w:r w:rsidR="00D3410D">
        <w:t>CLR</w:t>
      </w:r>
      <w:r w:rsidRPr="006A6281">
        <w:t xml:space="preserve"> shall be responsible for all RTM Energy Bids, including bids updated by ERCOT as described above.</w:t>
      </w:r>
    </w:p>
    <w:p w14:paraId="34782A86" w14:textId="375A238A" w:rsidR="001F04FD" w:rsidRDefault="001F04FD" w:rsidP="00BA3F0D">
      <w:pPr>
        <w:pStyle w:val="BodyTextNumbered"/>
        <w:spacing w:before="240"/>
      </w:pPr>
      <w:r w:rsidRPr="006A6281">
        <w:t>(</w:t>
      </w:r>
      <w:r>
        <w:t>8</w:t>
      </w:r>
      <w:r w:rsidRPr="006A6281">
        <w:t>)</w:t>
      </w:r>
      <w:r w:rsidRPr="006A6281">
        <w:tab/>
      </w:r>
      <w:r w:rsidR="00276BD3">
        <w:t>If a</w:t>
      </w:r>
      <w:r w:rsidRPr="006A6281">
        <w:t xml:space="preserve"> </w:t>
      </w:r>
      <w:r w:rsidR="00D3410D">
        <w:t>CLR</w:t>
      </w:r>
      <w:r w:rsidRPr="006A6281">
        <w:t xml:space="preserve"> telemeter</w:t>
      </w:r>
      <w:r w:rsidR="00276BD3">
        <w:t>s</w:t>
      </w:r>
      <w:r w:rsidRPr="006A6281">
        <w:t xml:space="preserve"> </w:t>
      </w:r>
      <w:r w:rsidR="00276BD3">
        <w:t xml:space="preserve">a </w:t>
      </w:r>
      <w:r w:rsidRPr="006A6281">
        <w:t>status of OUTL</w:t>
      </w:r>
      <w:r w:rsidR="00276BD3">
        <w:t>, it</w:t>
      </w:r>
      <w:r w:rsidRPr="006A6281">
        <w:t xml:space="preserve"> is not considered as dispatchable capacity by SCED.  A QSE may use this function to inform ERCOT of instances when the </w:t>
      </w:r>
      <w:r w:rsidR="00D3410D">
        <w:t>CLR</w:t>
      </w:r>
      <w:r w:rsidRPr="006A6281">
        <w:t xml:space="preserve"> is unable to follow SCED Dispatch Instructions.  Under all telemetered statuses including OUTL, the remaining telemetry quantities submitted by the QSE shall represent the operating conditions of the </w:t>
      </w:r>
      <w:r w:rsidR="00D3410D">
        <w:t>CLR</w:t>
      </w:r>
      <w:r w:rsidRPr="006A6281">
        <w:t xml:space="preserve"> that can be verified by ERCOT.  A QSE representing a </w:t>
      </w:r>
      <w:r w:rsidR="00D3410D">
        <w:lastRenderedPageBreak/>
        <w:t>CLR</w:t>
      </w:r>
      <w:r w:rsidRPr="006A6281">
        <w:t xml:space="preserve"> with a telemetered status of OUTL is still obligated to provide any applicable Ancillary Service Resource Responsibilities previously awarded to that </w:t>
      </w:r>
      <w:r w:rsidR="00D3410D">
        <w:t>CLR</w:t>
      </w:r>
      <w:r w:rsidRPr="006A6281">
        <w:t>.</w:t>
      </w:r>
      <w:r w:rsidR="00276BD3">
        <w:t xml:space="preserve">  This paragraph does not apply to ESRs.</w:t>
      </w:r>
    </w:p>
    <w:p w14:paraId="010430E6" w14:textId="04F1D090" w:rsidR="001F04FD" w:rsidRDefault="001F04FD" w:rsidP="000B1D41">
      <w:pPr>
        <w:pStyle w:val="BodyTextNumbered"/>
      </w:pPr>
      <w:r w:rsidRPr="000B52AD">
        <w:t>(9)</w:t>
      </w:r>
      <w:r w:rsidRPr="000B52AD">
        <w:tab/>
        <w:t>Energy Offer Curves that were constructed in whole or in part with proxy Energy Offer Curves shall be so marked in all ERCOT postings or references to the energy offer.</w:t>
      </w:r>
    </w:p>
    <w:p w14:paraId="18D48F58" w14:textId="77777777" w:rsidR="001F04FD" w:rsidRDefault="001F04FD" w:rsidP="001F04FD">
      <w:pPr>
        <w:pStyle w:val="BodyTextNumbered"/>
        <w:spacing w:before="240"/>
      </w:pPr>
      <w:r>
        <w:t>(10)</w:t>
      </w:r>
      <w:r>
        <w:tab/>
        <w:t>The two-step SCED methodology referenced in paragraph (1) above is:</w:t>
      </w:r>
    </w:p>
    <w:p w14:paraId="2D8BE7C1" w14:textId="5D209330" w:rsidR="001F04FD" w:rsidRDefault="001F04FD" w:rsidP="001F04FD">
      <w:pPr>
        <w:pStyle w:val="List"/>
      </w:pPr>
      <w:r>
        <w:t>(a)</w:t>
      </w:r>
      <w:r>
        <w:tab/>
        <w:t xml:space="preserve">The first step is to execute the SCED process to determine Reference LMPs.  In this step, ERCOT executes SCED using the full Network Operations Model while only observing limits of Competitive Constraints.  Energy Offer Curves for all On-Line Generation Resources and RTM Energy Bids from available </w:t>
      </w:r>
      <w:r w:rsidR="00D3410D">
        <w:t>CLR</w:t>
      </w:r>
      <w:r>
        <w:t>s, whether submitted by QSEs or created by ERCOT under this Section, are used in the SCED to determine “Reference LMPs.”</w:t>
      </w:r>
    </w:p>
    <w:p w14:paraId="6B46B2B6" w14:textId="77777777" w:rsidR="001F04FD" w:rsidRDefault="001F04FD" w:rsidP="001F04FD">
      <w:pPr>
        <w:pStyle w:val="List"/>
      </w:pPr>
      <w:r>
        <w:t>(b)</w:t>
      </w:r>
      <w:r>
        <w:tab/>
        <w:t>The second step is to execute the SCED process to produce Base Points, Shadow Prices, and LMPs, subject to security constraints (including Competitive and Non-Competitive Constraints) and other Resource constraints.  The second step must:</w:t>
      </w:r>
    </w:p>
    <w:p w14:paraId="1242DF47" w14:textId="77777777" w:rsidR="001F04FD" w:rsidRDefault="001F04FD" w:rsidP="001F04FD">
      <w:pPr>
        <w:pStyle w:val="List2"/>
      </w:pPr>
      <w:r>
        <w:t>(i)</w:t>
      </w:r>
      <w:r>
        <w:tab/>
        <w:t>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w:t>
      </w:r>
      <w:r w:rsidR="00785038">
        <w:t xml:space="preserve"> (MOC)</w:t>
      </w:r>
      <w:r>
        <w:t xml:space="preserve"> curve at the LSL or the appropriate </w:t>
      </w:r>
      <w:r w:rsidR="00785038">
        <w:t>MOC</w:t>
      </w:r>
      <w:r>
        <w:t xml:space="preserve">; </w:t>
      </w:r>
    </w:p>
    <w:p w14:paraId="2A7C58EC" w14:textId="53C4689F" w:rsidR="001F04FD" w:rsidRDefault="001F04FD" w:rsidP="001F04FD">
      <w:pPr>
        <w:pStyle w:val="List2"/>
      </w:pPr>
      <w:r w:rsidRPr="006A6281">
        <w:t>(ii)</w:t>
      </w:r>
      <w:r w:rsidRPr="006A6281">
        <w:tab/>
        <w:t xml:space="preserve">Use RTM Energy Bid curves for all available </w:t>
      </w:r>
      <w:r w:rsidR="00D3410D">
        <w:t>CLR</w:t>
      </w:r>
      <w:r w:rsidRPr="006A6281">
        <w:t>s, whether submitted by QSEs or created by ERCOT.  There is no mitigation of RTM Energy Bids</w:t>
      </w:r>
      <w:r w:rsidR="002A0AD7">
        <w:t xml:space="preserve">.  </w:t>
      </w:r>
      <w:r w:rsidR="002A0AD7" w:rsidRPr="006979A1">
        <w:rPr>
          <w:iCs/>
        </w:rPr>
        <w:t xml:space="preserve">An RTM Energy Bid </w:t>
      </w:r>
      <w:r w:rsidR="002A0AD7">
        <w:rPr>
          <w:iCs/>
        </w:rPr>
        <w:t xml:space="preserve">from a </w:t>
      </w:r>
      <w:r w:rsidR="00D3410D">
        <w:rPr>
          <w:iCs/>
        </w:rPr>
        <w:t>CLR</w:t>
      </w:r>
      <w:r w:rsidR="002A0AD7" w:rsidRPr="006979A1">
        <w:rPr>
          <w:iCs/>
        </w:rPr>
        <w:t xml:space="preserve"> </w:t>
      </w:r>
      <w:r w:rsidR="002A0AD7">
        <w:rPr>
          <w:iCs/>
        </w:rPr>
        <w:t xml:space="preserve">represents </w:t>
      </w:r>
      <w:r w:rsidR="002A0AD7" w:rsidRPr="006979A1">
        <w:rPr>
          <w:iCs/>
        </w:rPr>
        <w:t xml:space="preserve">the bid for energy distributed across all nodes in the Load Zone in which the </w:t>
      </w:r>
      <w:r w:rsidR="00D3410D">
        <w:rPr>
          <w:iCs/>
        </w:rPr>
        <w:t>CLR</w:t>
      </w:r>
      <w:r w:rsidR="002A0AD7" w:rsidRPr="006979A1">
        <w:rPr>
          <w:iCs/>
        </w:rPr>
        <w:t xml:space="preserve"> is located.</w:t>
      </w:r>
      <w:r w:rsidR="002A0AD7">
        <w:rPr>
          <w:iCs/>
        </w:rPr>
        <w:t xml:space="preserve">  </w:t>
      </w:r>
      <w:r w:rsidR="002A0AD7" w:rsidRPr="00487AAE">
        <w:rPr>
          <w:iCs/>
        </w:rPr>
        <w:t xml:space="preserve">For </w:t>
      </w:r>
      <w:r w:rsidR="002A0AD7">
        <w:rPr>
          <w:iCs/>
        </w:rPr>
        <w:t>an ESR</w:t>
      </w:r>
      <w:r w:rsidR="002A0AD7" w:rsidRPr="00487AAE">
        <w:rPr>
          <w:iCs/>
        </w:rPr>
        <w:t xml:space="preserve">, </w:t>
      </w:r>
      <w:r w:rsidR="002A0AD7">
        <w:rPr>
          <w:iCs/>
        </w:rPr>
        <w:t>an RTM Energy Bid represents a bid for energy at the ESR’s Resource Node</w:t>
      </w:r>
      <w:r w:rsidRPr="006A6281">
        <w:t>;</w:t>
      </w:r>
      <w:r>
        <w:t xml:space="preserve"> and</w:t>
      </w:r>
    </w:p>
    <w:p w14:paraId="7F6C1D10" w14:textId="69B3BF38" w:rsidR="001F04FD" w:rsidRDefault="001F04FD" w:rsidP="000B1D41">
      <w:pPr>
        <w:pStyle w:val="List2"/>
      </w:pPr>
      <w:r>
        <w:t>(iii)</w:t>
      </w:r>
      <w:r>
        <w:tab/>
        <w:t>Observe all Competitive and Non-Competitive Constraints.</w:t>
      </w:r>
    </w:p>
    <w:p w14:paraId="71A3EC04" w14:textId="77777777" w:rsidR="001F04FD" w:rsidRDefault="001F04FD" w:rsidP="001F04FD">
      <w:pPr>
        <w:pStyle w:val="List"/>
      </w:pPr>
      <w:r w:rsidRPr="00C238D3">
        <w:t>(c)</w:t>
      </w:r>
      <w:r w:rsidRPr="00C238D3">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r>
        <w:t>.</w:t>
      </w:r>
    </w:p>
    <w:p w14:paraId="38A24360" w14:textId="6DB093EF" w:rsidR="001F04FD" w:rsidRDefault="001F04FD" w:rsidP="001F04FD">
      <w:pPr>
        <w:pStyle w:val="List"/>
        <w:ind w:left="720"/>
        <w:rPr>
          <w:iCs/>
        </w:rPr>
      </w:pPr>
      <w:r w:rsidRPr="000149E5">
        <w:rPr>
          <w:iCs/>
        </w:rPr>
        <w:lastRenderedPageBreak/>
        <w:t>(</w:t>
      </w:r>
      <w:r>
        <w:rPr>
          <w:iCs/>
        </w:rPr>
        <w:t>11</w:t>
      </w:r>
      <w:r w:rsidRPr="000149E5">
        <w:rPr>
          <w:iCs/>
        </w:rPr>
        <w:t>)</w:t>
      </w:r>
      <w:r w:rsidRPr="000149E5">
        <w:rPr>
          <w:iCs/>
        </w:rPr>
        <w:tab/>
        <w:t xml:space="preserve">For each SCED process, in addition to the binding Base Points and LMPs, ERCOT shall calculate a non-binding projection of the Base Points and Resource Node LMPs, </w:t>
      </w:r>
      <w:r w:rsidRPr="00193B05">
        <w:rPr>
          <w:iCs/>
        </w:rPr>
        <w:t>Real-Time Reliability Deployment Price Adders,</w:t>
      </w:r>
      <w:r>
        <w:rPr>
          <w:iCs/>
        </w:rPr>
        <w:t xml:space="preserve"> </w:t>
      </w:r>
      <w:r w:rsidRPr="0080555B">
        <w:rPr>
          <w:iCs/>
        </w:rPr>
        <w:t xml:space="preserve">Real-Time </w:t>
      </w:r>
      <w:r w:rsidRPr="0080555B">
        <w:t>On-Line Reserve Price</w:t>
      </w:r>
      <w:r w:rsidRPr="0080555B">
        <w:rPr>
          <w:iCs/>
        </w:rPr>
        <w:t xml:space="preserve"> Adders, Real-Time </w:t>
      </w:r>
      <w:r w:rsidRPr="0080555B">
        <w:t>Off-Line Reserve Price</w:t>
      </w:r>
      <w:r w:rsidRPr="0080555B">
        <w:rPr>
          <w:iCs/>
        </w:rPr>
        <w:t xml:space="preserve"> Adders,</w:t>
      </w:r>
      <w:r>
        <w:rPr>
          <w:iCs/>
        </w:rPr>
        <w:t xml:space="preserve"> </w:t>
      </w:r>
      <w:r w:rsidRPr="000149E5">
        <w:rPr>
          <w:iCs/>
        </w:rPr>
        <w:t xml:space="preserve">Hub LMPs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w:t>
      </w:r>
      <w:r>
        <w:rPr>
          <w:iCs/>
        </w:rPr>
        <w:t>In lieu of the steps described in Section 6.5.7.3.1,</w:t>
      </w:r>
      <w:r w:rsidRPr="00AD7208">
        <w:t xml:space="preserve"> </w:t>
      </w:r>
      <w:r w:rsidRPr="00CA6C23">
        <w:t>Determination of Real-Time On-Line Reliability Deployment Price Adder</w:t>
      </w:r>
      <w:r w:rsidDel="008F055F">
        <w:rPr>
          <w:iCs/>
        </w:rPr>
        <w:t>,</w:t>
      </w:r>
      <w:r>
        <w:rPr>
          <w:iCs/>
        </w:rPr>
        <w:t xml:space="preserve"> the </w:t>
      </w:r>
      <w:r w:rsidRPr="000149E5">
        <w:rPr>
          <w:iCs/>
        </w:rPr>
        <w:t>non-binding projection</w:t>
      </w:r>
      <w:r>
        <w:rPr>
          <w:iCs/>
        </w:rPr>
        <w:t xml:space="preserve"> of</w:t>
      </w:r>
      <w:r w:rsidRPr="000149E5">
        <w:rPr>
          <w:iCs/>
        </w:rPr>
        <w:t xml:space="preserve"> </w:t>
      </w:r>
      <w:r w:rsidRPr="00193B05">
        <w:rPr>
          <w:iCs/>
        </w:rPr>
        <w:t>Real-Time Reliability Deployment Price Adders</w:t>
      </w:r>
      <w:r w:rsidRPr="000149E5">
        <w:rPr>
          <w:iCs/>
        </w:rPr>
        <w:t xml:space="preserve"> </w:t>
      </w:r>
      <w:r>
        <w:rPr>
          <w:iCs/>
        </w:rPr>
        <w:t xml:space="preserve">shall be estimated based on GTBD, </w:t>
      </w:r>
      <w:r>
        <w:t>reliability deployments MWs, and</w:t>
      </w:r>
      <w:r>
        <w:rPr>
          <w:iCs/>
        </w:rPr>
        <w:t xml:space="preserve"> aggregated offers.  The Energy Offer Curve from SCED Step 2, the virtual offers for Load Resources deployed and the power balance penalty curve will be compared against the updated GTBD to get an estimate of the System Lambda from paragraph (2)(</w:t>
      </w:r>
      <w:r w:rsidR="00172351">
        <w:rPr>
          <w:iCs/>
        </w:rPr>
        <w:t>m</w:t>
      </w:r>
      <w:r>
        <w:rPr>
          <w:iCs/>
        </w:rPr>
        <w:t>) of Section 6.5.7.3.1.</w:t>
      </w:r>
      <w:r>
        <w:t xml:space="preserve">  </w:t>
      </w:r>
      <w:r w:rsidRPr="000149E5">
        <w:rPr>
          <w:iCs/>
        </w:rPr>
        <w:t>ERCOT shall post the projected non-binding Base Points for each Resource for each interval study period on the MIS Certified Area and the projected non-binding LMPs for Resource Nodes</w:t>
      </w:r>
      <w:r w:rsidRPr="0080555B">
        <w:rPr>
          <w:iCs/>
        </w:rPr>
        <w:t xml:space="preserve">, </w:t>
      </w:r>
      <w:r w:rsidRPr="00193B05">
        <w:rPr>
          <w:iCs/>
        </w:rPr>
        <w:t xml:space="preserve">Real-Time Reliability Deployment Price Adders, </w:t>
      </w:r>
      <w:r w:rsidRPr="0080555B">
        <w:rPr>
          <w:iCs/>
        </w:rPr>
        <w:t xml:space="preserve">Real-Time </w:t>
      </w:r>
      <w:r w:rsidRPr="0080555B">
        <w:t>On-Line Reserve Price</w:t>
      </w:r>
      <w:r w:rsidRPr="0080555B">
        <w:rPr>
          <w:iCs/>
        </w:rPr>
        <w:t xml:space="preserve"> Adder</w:t>
      </w:r>
      <w:r>
        <w:rPr>
          <w:iCs/>
        </w:rPr>
        <w:t>s</w:t>
      </w:r>
      <w:r w:rsidRPr="0080555B">
        <w:rPr>
          <w:iCs/>
        </w:rPr>
        <w:t xml:space="preserve">, Real-Time </w:t>
      </w:r>
      <w:r w:rsidRPr="0080555B">
        <w:t>Off-Line Reserve Price</w:t>
      </w:r>
      <w:r w:rsidRPr="0080555B">
        <w:rPr>
          <w:iCs/>
        </w:rPr>
        <w:t xml:space="preserve"> Adder</w:t>
      </w:r>
      <w:r>
        <w:rPr>
          <w:iCs/>
        </w:rPr>
        <w:t>s</w:t>
      </w:r>
      <w:r w:rsidRPr="000149E5">
        <w:rPr>
          <w:iCs/>
        </w:rPr>
        <w:t xml:space="preserve">, Hub LMPs and Load Zone LMPs on the </w:t>
      </w:r>
      <w:r w:rsidR="0007207E">
        <w:t>ERCOT website</w:t>
      </w:r>
      <w:r w:rsidRPr="000149E5">
        <w:rPr>
          <w:iCs/>
        </w:rPr>
        <w:t xml:space="preserve"> pursuant to Section 6.3.2, Activities for Real-Time Operations.</w:t>
      </w:r>
    </w:p>
    <w:p w14:paraId="43FF7F55" w14:textId="77777777" w:rsidR="001F04FD" w:rsidRDefault="001F04FD" w:rsidP="001F04FD">
      <w:pPr>
        <w:pStyle w:val="List"/>
        <w:ind w:left="720"/>
        <w:rPr>
          <w:color w:val="000000"/>
        </w:rPr>
      </w:pPr>
      <w:r w:rsidRPr="0080555B">
        <w:rPr>
          <w:color w:val="000000"/>
        </w:rPr>
        <w:t>(</w:t>
      </w:r>
      <w:r>
        <w:rPr>
          <w:color w:val="000000"/>
        </w:rPr>
        <w:t>12</w:t>
      </w:r>
      <w:r w:rsidRPr="0080555B">
        <w:rPr>
          <w:color w:val="000000"/>
        </w:rPr>
        <w:t>)</w:t>
      </w:r>
      <w:r w:rsidRPr="0080555B">
        <w:rPr>
          <w:color w:val="000000"/>
        </w:rPr>
        <w:tab/>
      </w:r>
      <w:r w:rsidRPr="002E4059">
        <w:rPr>
          <w:iCs/>
        </w:rPr>
        <w: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w:t>
      </w:r>
      <w:r>
        <w:rPr>
          <w:iCs/>
        </w:rPr>
        <w:t>5</w:t>
      </w:r>
      <w:r w:rsidRPr="002E4059">
        <w:rPr>
          <w:iCs/>
        </w:rPr>
        <w:t>, Real-Time Ancillary Service Imbalance Payment or Charge, to make Resources indifferent to the utilization of their capacity for energy or Ancillary Service reserves.</w:t>
      </w:r>
    </w:p>
    <w:p w14:paraId="3BC4C854" w14:textId="2A28170F" w:rsidR="001F04FD" w:rsidRDefault="001F04FD" w:rsidP="001F04FD">
      <w:pPr>
        <w:pStyle w:val="List"/>
        <w:ind w:left="720"/>
        <w:rPr>
          <w:szCs w:val="24"/>
        </w:rPr>
      </w:pPr>
      <w:r w:rsidRPr="00125794">
        <w:rPr>
          <w:color w:val="000000"/>
          <w:szCs w:val="24"/>
        </w:rPr>
        <w:t>(</w:t>
      </w:r>
      <w:r>
        <w:rPr>
          <w:color w:val="000000"/>
          <w:szCs w:val="24"/>
        </w:rPr>
        <w:t>13</w:t>
      </w:r>
      <w:r w:rsidRPr="00125794">
        <w:rPr>
          <w:color w:val="000000"/>
          <w:szCs w:val="24"/>
        </w:rPr>
        <w:t>)</w:t>
      </w:r>
      <w:r w:rsidRPr="00125794">
        <w:rPr>
          <w:color w:val="000000"/>
          <w:szCs w:val="24"/>
        </w:rPr>
        <w:tab/>
      </w:r>
      <w:r w:rsidRPr="008376EF">
        <w:rPr>
          <w:szCs w:val="24"/>
        </w:rPr>
        <w:t>ERCOT shall determine the methodology for i</w:t>
      </w:r>
      <w:r w:rsidRPr="00125794">
        <w:rPr>
          <w:color w:val="000000"/>
          <w:szCs w:val="24"/>
        </w:rPr>
        <w:t xml:space="preserve">mplementing the ORDC to calculate the Real-Time On-Line Reserve Price Adder and Real-Time Off-Line Reserve Price Adder.  </w:t>
      </w:r>
      <w:r w:rsidRPr="008376EF">
        <w:rPr>
          <w:szCs w:val="24"/>
        </w:rPr>
        <w:t xml:space="preserve">Following review by TAC, the ERCOT Board shall review the recommendation and </w:t>
      </w:r>
      <w:r w:rsidRPr="008376EF">
        <w:rPr>
          <w:szCs w:val="24"/>
        </w:rPr>
        <w:lastRenderedPageBreak/>
        <w:t>approve a final methodology.</w:t>
      </w:r>
      <w:r w:rsidRPr="00125794">
        <w:rPr>
          <w:color w:val="000000"/>
          <w:szCs w:val="24"/>
        </w:rPr>
        <w:t xml:space="preserve">  </w:t>
      </w:r>
      <w:r w:rsidRPr="008376EF">
        <w:rPr>
          <w:szCs w:val="24"/>
        </w:rPr>
        <w:t xml:space="preserve">Within two Business Days following approval by the ERCOT Board, ERCOT shall post the methodology on the </w:t>
      </w:r>
      <w:r w:rsidR="0007207E">
        <w:t>ERCOT website</w:t>
      </w:r>
      <w:r w:rsidRPr="008376EF">
        <w:rPr>
          <w:szCs w:val="24"/>
        </w:rPr>
        <w:t>.</w:t>
      </w:r>
    </w:p>
    <w:p w14:paraId="0746204D" w14:textId="5F096F31" w:rsidR="001F04FD" w:rsidRDefault="001F04FD" w:rsidP="001F04FD">
      <w:pPr>
        <w:pStyle w:val="List"/>
        <w:ind w:left="720"/>
        <w:rPr>
          <w:color w:val="000000"/>
        </w:rPr>
      </w:pPr>
      <w:r w:rsidRPr="0080555B">
        <w:rPr>
          <w:color w:val="000000"/>
        </w:rPr>
        <w:t>(</w:t>
      </w:r>
      <w:r>
        <w:rPr>
          <w:color w:val="000000"/>
        </w:rPr>
        <w:t>14</w:t>
      </w:r>
      <w:r w:rsidRPr="0080555B">
        <w:rPr>
          <w:color w:val="000000"/>
        </w:rPr>
        <w:t>)</w:t>
      </w:r>
      <w:r w:rsidRPr="0080555B">
        <w:rPr>
          <w:color w:val="000000"/>
        </w:rPr>
        <w:tab/>
      </w:r>
      <w:r>
        <w:rPr>
          <w:color w:val="000000"/>
        </w:rPr>
        <w:t>At the end of e</w:t>
      </w:r>
      <w:r w:rsidRPr="0080555B">
        <w:rPr>
          <w:color w:val="000000"/>
        </w:rPr>
        <w:t xml:space="preserve">ach </w:t>
      </w:r>
      <w:r>
        <w:rPr>
          <w:color w:val="000000"/>
        </w:rPr>
        <w:t>season</w:t>
      </w:r>
      <w:r w:rsidRPr="0080555B">
        <w:rPr>
          <w:color w:val="000000"/>
        </w:rPr>
        <w:t xml:space="preserve">, ERCOT shall determine the ORDC for the </w:t>
      </w:r>
      <w:r>
        <w:rPr>
          <w:color w:val="000000"/>
        </w:rPr>
        <w:t>same season in the upcoming year,</w:t>
      </w:r>
      <w:r w:rsidRPr="0080555B">
        <w:rPr>
          <w:color w:val="000000"/>
        </w:rPr>
        <w:t xml:space="preserve"> based on historic data using the ERCOT Board-approved methodology for implementing the ORDC.  </w:t>
      </w:r>
      <w:r>
        <w:rPr>
          <w:color w:val="000000"/>
        </w:rPr>
        <w:t>Annually, ERCOT shall verify that the ORDC is adequately representative of the loss of Load probability for varying levels of reserves.  Twenty days after the end of the Season</w:t>
      </w:r>
      <w:r w:rsidRPr="0080555B">
        <w:rPr>
          <w:color w:val="000000"/>
        </w:rPr>
        <w:t xml:space="preserve">, ERCOT shall post the ORDC for the </w:t>
      </w:r>
      <w:r>
        <w:rPr>
          <w:color w:val="000000"/>
        </w:rPr>
        <w:t>same season of the upcoming year</w:t>
      </w:r>
      <w:r w:rsidRPr="0080555B">
        <w:rPr>
          <w:color w:val="000000"/>
        </w:rPr>
        <w:t xml:space="preserve"> on the </w:t>
      </w:r>
      <w:r w:rsidR="0007207E">
        <w:t>ERCOT website</w:t>
      </w:r>
      <w:r w:rsidRPr="0080555B">
        <w:rPr>
          <w:color w:val="000000"/>
        </w:rPr>
        <w:t>.</w:t>
      </w:r>
    </w:p>
    <w:p w14:paraId="2851DF06" w14:textId="7E3CE68C" w:rsidR="001F04FD" w:rsidRDefault="001F04FD" w:rsidP="00BA3F0D">
      <w:pPr>
        <w:pStyle w:val="List"/>
        <w:ind w:left="720"/>
        <w:rPr>
          <w:iCs/>
        </w:rPr>
      </w:pPr>
      <w:r w:rsidRPr="006A6281">
        <w:rPr>
          <w:iCs/>
        </w:rPr>
        <w:t>(</w:t>
      </w:r>
      <w:r>
        <w:rPr>
          <w:iCs/>
        </w:rPr>
        <w:t>15</w:t>
      </w:r>
      <w:r w:rsidRPr="006A6281">
        <w:rPr>
          <w:iCs/>
        </w:rPr>
        <w:t>)</w:t>
      </w:r>
      <w:r w:rsidRPr="006A6281">
        <w:rPr>
          <w:iCs/>
        </w:rPr>
        <w:tab/>
        <w:t xml:space="preserve">ERCOT may override one or more of a </w:t>
      </w:r>
      <w:r w:rsidR="00D3410D">
        <w:rPr>
          <w:iCs/>
        </w:rPr>
        <w:t>CLR</w:t>
      </w:r>
      <w:r w:rsidRPr="006A6281">
        <w:rPr>
          <w:iCs/>
        </w:rPr>
        <w:t xml:space="preserve">’s parameters in SCED if ERCOT determines that the </w:t>
      </w:r>
      <w:r w:rsidR="00D3410D">
        <w:rPr>
          <w:iCs/>
        </w:rPr>
        <w:t>CLR</w:t>
      </w:r>
      <w:r w:rsidRPr="006A6281">
        <w:rPr>
          <w:iCs/>
        </w:rPr>
        <w:t>’s participation is having an adverse impact on the reliability of the ERCOT System.</w:t>
      </w:r>
    </w:p>
    <w:p w14:paraId="631199A6" w14:textId="77777777" w:rsidR="002A0AD7" w:rsidRDefault="002A0AD7" w:rsidP="002A0AD7">
      <w:pPr>
        <w:pStyle w:val="List"/>
        <w:ind w:left="720"/>
      </w:pPr>
      <w:r>
        <w:rPr>
          <w:iCs/>
        </w:rPr>
        <w:t>(16)</w:t>
      </w:r>
      <w:r>
        <w:rPr>
          <w:iCs/>
        </w:rPr>
        <w:tab/>
        <w:t xml:space="preserve">The QSE representing an ESR, in order to charge the ESR, must submit RTM Energy Bids, and the ESR may withdraw energy from the ERCOT System only when dispatched by SCED to do so.  </w:t>
      </w:r>
      <w:r>
        <w:t>A</w:t>
      </w:r>
      <w:r w:rsidRPr="001111A1">
        <w:t>n ESR may telemeter a status of OUTL only if the ESR is in Outage status.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C03DD" w14:paraId="554AF5D2" w14:textId="77777777" w:rsidTr="00AE702A">
        <w:trPr>
          <w:trHeight w:val="206"/>
        </w:trPr>
        <w:tc>
          <w:tcPr>
            <w:tcW w:w="9350" w:type="dxa"/>
            <w:shd w:val="pct12" w:color="auto" w:fill="auto"/>
          </w:tcPr>
          <w:p w14:paraId="0EAF2CC3" w14:textId="0AE1267A" w:rsidR="00BC03DD" w:rsidRDefault="00BC03DD" w:rsidP="00AE702A">
            <w:pPr>
              <w:pStyle w:val="Instructions"/>
              <w:spacing w:before="120"/>
            </w:pPr>
            <w:bookmarkStart w:id="1141" w:name="_Toc422486479"/>
            <w:bookmarkStart w:id="1142" w:name="_Toc433093331"/>
            <w:bookmarkStart w:id="1143" w:name="_Toc433093489"/>
            <w:bookmarkStart w:id="1144" w:name="_Toc440874718"/>
            <w:bookmarkStart w:id="1145" w:name="_Toc448142273"/>
            <w:bookmarkStart w:id="1146" w:name="_Toc448142430"/>
            <w:bookmarkStart w:id="1147" w:name="_Toc458770266"/>
            <w:bookmarkStart w:id="1148" w:name="_Toc459294234"/>
            <w:bookmarkStart w:id="1149" w:name="_Toc463262727"/>
            <w:bookmarkStart w:id="1150" w:name="_Toc468286801"/>
            <w:bookmarkStart w:id="1151" w:name="_Toc481502847"/>
            <w:bookmarkStart w:id="1152" w:name="_Toc496080015"/>
            <w:r>
              <w:t xml:space="preserve">[NPRR930, NPRR1000, NPRR1010, </w:t>
            </w:r>
            <w:r w:rsidR="00122777">
              <w:t xml:space="preserve">NPRR1014, </w:t>
            </w:r>
            <w:r>
              <w:t>NPRR1019</w:t>
            </w:r>
            <w:r w:rsidR="00F726A9">
              <w:t xml:space="preserve">, </w:t>
            </w:r>
            <w:r w:rsidR="00D3410D">
              <w:t xml:space="preserve">NPRR1188, </w:t>
            </w:r>
            <w:r w:rsidR="00F726A9">
              <w:t>NPRR1204</w:t>
            </w:r>
            <w:r w:rsidR="004C248D">
              <w:t>, NPRR1268</w:t>
            </w:r>
            <w:r w:rsidR="00A76B33">
              <w:t>, and NPRR1269</w:t>
            </w:r>
            <w:r>
              <w:t>:  Replace applicable portions of Section 6.5.7.3 above with the following upon system implementation for NPRR930, NPRR1000,</w:t>
            </w:r>
            <w:r w:rsidR="00122777">
              <w:t xml:space="preserve"> NPRR1014,</w:t>
            </w:r>
            <w:r>
              <w:t xml:space="preserve"> NPRR1019</w:t>
            </w:r>
            <w:r w:rsidR="00D3410D">
              <w:t>, or NPRR1188</w:t>
            </w:r>
            <w:r>
              <w:t>; or upon system implementation of the Real-Time Co-Optimization (RTC) project for NPRR1010</w:t>
            </w:r>
            <w:r w:rsidR="004C248D">
              <w:t>,</w:t>
            </w:r>
            <w:r w:rsidR="00F726A9">
              <w:t xml:space="preserve"> NPRR1204</w:t>
            </w:r>
            <w:r w:rsidR="004C248D">
              <w:t>, NPRR1268</w:t>
            </w:r>
            <w:r w:rsidR="00A76B33">
              <w:t>, and NPRR1269</w:t>
            </w:r>
            <w:r>
              <w:t>:]</w:t>
            </w:r>
          </w:p>
          <w:p w14:paraId="0FA80618" w14:textId="77777777" w:rsidR="00BC03DD" w:rsidRPr="003161DC" w:rsidRDefault="00BC03DD" w:rsidP="00AE702A">
            <w:pPr>
              <w:keepNext/>
              <w:widowControl w:val="0"/>
              <w:tabs>
                <w:tab w:val="left" w:pos="1260"/>
              </w:tabs>
              <w:spacing w:before="240" w:after="240"/>
              <w:ind w:left="1267" w:hanging="1267"/>
              <w:outlineLvl w:val="3"/>
              <w:rPr>
                <w:b/>
                <w:bCs/>
                <w:snapToGrid w:val="0"/>
              </w:rPr>
            </w:pPr>
            <w:bookmarkStart w:id="1153" w:name="_Toc60040619"/>
            <w:bookmarkStart w:id="1154" w:name="_Toc65151679"/>
            <w:bookmarkStart w:id="1155" w:name="_Toc80174705"/>
            <w:bookmarkStart w:id="1156" w:name="_Toc108712464"/>
            <w:bookmarkStart w:id="1157" w:name="_Toc112417584"/>
            <w:bookmarkStart w:id="1158" w:name="_Toc119310253"/>
            <w:bookmarkStart w:id="1159" w:name="_Toc125966187"/>
            <w:bookmarkStart w:id="1160" w:name="_Toc135992285"/>
            <w:bookmarkStart w:id="1161" w:name="_Toc170303481"/>
            <w:bookmarkStart w:id="1162" w:name="_Toc175157385"/>
            <w:bookmarkStart w:id="1163" w:name="_Hlk183419284"/>
            <w:bookmarkStart w:id="1164" w:name="_Toc204411611"/>
            <w:r w:rsidRPr="003161DC">
              <w:rPr>
                <w:b/>
                <w:bCs/>
                <w:snapToGrid w:val="0"/>
              </w:rPr>
              <w:t>6.5.7.3</w:t>
            </w:r>
            <w:r w:rsidRPr="003161DC">
              <w:rPr>
                <w:b/>
                <w:bCs/>
                <w:snapToGrid w:val="0"/>
              </w:rPr>
              <w:tab/>
              <w:t>Security Constrained Economic Dispatch</w:t>
            </w:r>
            <w:bookmarkEnd w:id="1153"/>
            <w:bookmarkEnd w:id="1154"/>
            <w:bookmarkEnd w:id="1155"/>
            <w:bookmarkEnd w:id="1156"/>
            <w:bookmarkEnd w:id="1157"/>
            <w:bookmarkEnd w:id="1158"/>
            <w:bookmarkEnd w:id="1159"/>
            <w:bookmarkEnd w:id="1160"/>
            <w:bookmarkEnd w:id="1161"/>
            <w:bookmarkEnd w:id="1162"/>
            <w:bookmarkEnd w:id="1164"/>
          </w:p>
          <w:p w14:paraId="3BFE8955" w14:textId="25CB1C42" w:rsidR="00BC03DD" w:rsidRPr="003161DC" w:rsidRDefault="00BC03DD" w:rsidP="00BC03DD">
            <w:pPr>
              <w:spacing w:after="240"/>
              <w:ind w:left="720" w:hanging="720"/>
            </w:pPr>
            <w:r w:rsidRPr="003161DC">
              <w:rPr>
                <w:iCs/>
              </w:rPr>
              <w:t>(1)</w:t>
            </w:r>
            <w:r w:rsidRPr="003161DC">
              <w:rPr>
                <w:iCs/>
              </w:rPr>
              <w:tab/>
            </w:r>
            <w:r>
              <w:rPr>
                <w:iCs/>
              </w:rPr>
              <w:t xml:space="preserve">The SCED process is designed to simultaneously manage energy, Ancillary Services, the system power balance and network congestion through Resource Base Points, Ancillary Service awards, and the calculation of LMPs and Real-Time MCPCs approximately every five minutes, or more frequently if necessary.  The SCED process uses a two-step methodology that applies mitigation to offers for energy prospectively to resolve Non-Competitive Constraints for the current Operating Hour.  The SCED process evaluates Energy Offer Curves, </w:t>
            </w:r>
            <w:r w:rsidR="004C32A5" w:rsidRPr="00A552C3">
              <w:rPr>
                <w:iCs/>
              </w:rPr>
              <w:t>Energy Bid/Offer Curves,</w:t>
            </w:r>
            <w:r w:rsidR="004C32A5">
              <w:rPr>
                <w:iCs/>
              </w:rPr>
              <w:t xml:space="preserve"> </w:t>
            </w:r>
            <w:r>
              <w:rPr>
                <w:iCs/>
              </w:rPr>
              <w:t>Ancillary Service Offers, Output Schedules</w:t>
            </w:r>
            <w:r w:rsidR="00D3410D">
              <w:rPr>
                <w:iCs/>
              </w:rPr>
              <w:t>,</w:t>
            </w:r>
            <w:r>
              <w:rPr>
                <w:iCs/>
              </w:rPr>
              <w:t xml:space="preserve"> and Energy Bid</w:t>
            </w:r>
            <w:r w:rsidR="00D3410D">
              <w:rPr>
                <w:iCs/>
              </w:rPr>
              <w:t xml:space="preserve"> Curve</w:t>
            </w:r>
            <w:r>
              <w:rPr>
                <w:iCs/>
              </w:rPr>
              <w:t>s to determine Resource Dispatch Instructions and Ancillary Service awards by maximizing bid-based revenues minus offer-based costs, subject to power balance, Ancillary Service Demand Curves (ASDCs), and network constraints.  The SCED process uses the Resource Status provided by SCADA telemetry under Section 6.5.5.2, Operational Data Requirements, and validated by the Real-Time Sequence, instead of the Resource Status provided by the COP.</w:t>
            </w:r>
            <w:r w:rsidR="00F726A9">
              <w:rPr>
                <w:iCs/>
              </w:rPr>
              <w:t xml:space="preserve">  </w:t>
            </w:r>
            <w:r w:rsidR="00F726A9">
              <w:t xml:space="preserve">In addition, the SCED process accounts for each ESR’s State of Charge (SOC) and SOC operating limits.  This is to ensure that the SCED process will issue ESR Base Points and Ancillary Services that are feasible taking into account SCED duration requirements for energy and Ancillary Services and also that do not violate </w:t>
            </w:r>
            <w:r w:rsidR="00F726A9">
              <w:lastRenderedPageBreak/>
              <w:t xml:space="preserve">the ESR’s </w:t>
            </w:r>
            <w:r w:rsidR="001C0FF9">
              <w:t>Minimum State of Charge (</w:t>
            </w:r>
            <w:r w:rsidR="00F726A9">
              <w:t>MinSOC</w:t>
            </w:r>
            <w:r w:rsidR="001C0FF9">
              <w:t>)</w:t>
            </w:r>
            <w:r w:rsidR="00F726A9">
              <w:t xml:space="preserve"> and </w:t>
            </w:r>
            <w:r w:rsidR="001C0FF9">
              <w:t>Maximum State of Charge (</w:t>
            </w:r>
            <w:r w:rsidR="00F726A9">
              <w:t>MaxSOC</w:t>
            </w:r>
            <w:r w:rsidR="001C0FF9">
              <w:t>)</w:t>
            </w:r>
            <w:r w:rsidR="00F726A9">
              <w:t xml:space="preserve"> limits.</w:t>
            </w:r>
          </w:p>
          <w:p w14:paraId="486A2034" w14:textId="77777777" w:rsidR="00BC03DD" w:rsidRPr="003161DC" w:rsidRDefault="00BC03DD" w:rsidP="00BC03DD">
            <w:pPr>
              <w:spacing w:after="240"/>
              <w:ind w:left="720" w:hanging="720"/>
            </w:pPr>
            <w:r w:rsidRPr="003161DC">
              <w:t>(2)</w:t>
            </w:r>
            <w:r w:rsidRPr="003161DC">
              <w:tab/>
              <w:t>The SCED solution must monitor cumulative deployment of Regulation Services and ensure that Regulation Services deployment is minimized over time.</w:t>
            </w:r>
          </w:p>
          <w:p w14:paraId="2A625836" w14:textId="671D71FD" w:rsidR="00BC03DD" w:rsidRDefault="00BC03DD" w:rsidP="00BC03DD">
            <w:pPr>
              <w:spacing w:before="240" w:after="240"/>
              <w:ind w:left="720" w:hanging="720"/>
            </w:pPr>
            <w:r w:rsidRPr="003161DC">
              <w:t>(3)</w:t>
            </w:r>
            <w:r w:rsidRPr="003161DC">
              <w:tab/>
              <w:t xml:space="preserve">In the Generation To Be Dispatched (GTBD) determined by LFC, ERCOT shall subtract the sum of the telemetered net real power consumption from all </w:t>
            </w:r>
            <w:r w:rsidR="00D3410D">
              <w:t xml:space="preserve">CLRs </w:t>
            </w:r>
            <w:r w:rsidRPr="003161DC">
              <w:t>available to SCED.</w:t>
            </w:r>
          </w:p>
          <w:p w14:paraId="19DEE9FC" w14:textId="77777777" w:rsidR="00BC03DD" w:rsidRPr="003161DC" w:rsidRDefault="00BC03DD" w:rsidP="00BC03DD">
            <w:pPr>
              <w:spacing w:before="240" w:after="240"/>
              <w:ind w:left="720" w:hanging="720"/>
            </w:pPr>
            <w:r w:rsidRPr="003161DC">
              <w:t>(4)</w:t>
            </w:r>
            <w:r w:rsidRPr="003161DC">
              <w:tab/>
              <w:t>For use as SCED inputs</w:t>
            </w:r>
            <w:r>
              <w:t xml:space="preserve"> for determining energy dispatch and Ancillary Service awards</w:t>
            </w:r>
            <w:r w:rsidRPr="003161DC">
              <w:t xml:space="preserve">, ERCOT shall use the available capacity of all committed Generation Resources by creating proxy Energy Offer Curves for certain Resources as follows: </w:t>
            </w:r>
          </w:p>
          <w:p w14:paraId="17C31E46" w14:textId="2FB65800" w:rsidR="00BC03DD" w:rsidRPr="003161DC" w:rsidRDefault="00BC03DD" w:rsidP="00BC03DD">
            <w:pPr>
              <w:spacing w:after="240"/>
              <w:ind w:left="1440" w:hanging="720"/>
            </w:pPr>
            <w:r w:rsidRPr="003161DC">
              <w:t>(a)</w:t>
            </w:r>
            <w:r w:rsidRPr="003161DC">
              <w:tab/>
            </w:r>
            <w:r w:rsidRPr="0003653E">
              <w:t>Non-IRRs without Energy Offer Curves</w:t>
            </w:r>
          </w:p>
          <w:p w14:paraId="617DD6D0" w14:textId="77777777" w:rsidR="00BC03DD" w:rsidRPr="003161DC" w:rsidRDefault="00BC03DD" w:rsidP="00BC03DD">
            <w:pPr>
              <w:spacing w:before="240" w:after="240"/>
              <w:ind w:left="2160" w:hanging="720"/>
            </w:pPr>
            <w:r w:rsidRPr="003161DC">
              <w:t>(i)</w:t>
            </w:r>
            <w:r w:rsidRPr="003161DC">
              <w:tab/>
              <w:t>ERCOT shall create a monotonically increasing proxy Energy Offer Curve as described below for:</w:t>
            </w:r>
          </w:p>
          <w:p w14:paraId="24C1DD1F" w14:textId="49A150F0" w:rsidR="00BC03DD" w:rsidRDefault="00BC03DD" w:rsidP="00BC03DD">
            <w:pPr>
              <w:spacing w:after="240"/>
              <w:ind w:left="2880" w:hanging="720"/>
            </w:pPr>
            <w:r w:rsidRPr="003161DC">
              <w:t>(A)</w:t>
            </w:r>
            <w:r w:rsidRPr="003161DC">
              <w:tab/>
              <w:t>Each non-IRR for which its QSE has submitted an Output Schedule inste</w:t>
            </w:r>
            <w:r>
              <w:t>ad of an Energy Offer Curve.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BC03DD" w:rsidRPr="003161DC" w14:paraId="735CC287" w14:textId="77777777" w:rsidTr="00AE702A">
              <w:trPr>
                <w:jc w:val="center"/>
              </w:trPr>
              <w:tc>
                <w:tcPr>
                  <w:tcW w:w="3780" w:type="dxa"/>
                </w:tcPr>
                <w:p w14:paraId="1367ACB3" w14:textId="77777777" w:rsidR="00BC03DD" w:rsidRPr="003161DC" w:rsidRDefault="00BC03DD" w:rsidP="00BC03DD">
                  <w:pPr>
                    <w:spacing w:after="120"/>
                    <w:rPr>
                      <w:b/>
                      <w:iCs/>
                      <w:sz w:val="20"/>
                    </w:rPr>
                  </w:pPr>
                  <w:r w:rsidRPr="003161DC">
                    <w:rPr>
                      <w:b/>
                      <w:iCs/>
                      <w:sz w:val="20"/>
                    </w:rPr>
                    <w:t>MW</w:t>
                  </w:r>
                </w:p>
              </w:tc>
              <w:tc>
                <w:tcPr>
                  <w:tcW w:w="2520" w:type="dxa"/>
                </w:tcPr>
                <w:p w14:paraId="0B5913E4" w14:textId="77777777" w:rsidR="00BC03DD" w:rsidRPr="003161DC" w:rsidRDefault="00BC03DD" w:rsidP="00BC03DD">
                  <w:pPr>
                    <w:spacing w:after="120"/>
                    <w:rPr>
                      <w:b/>
                      <w:iCs/>
                      <w:sz w:val="20"/>
                    </w:rPr>
                  </w:pPr>
                  <w:r w:rsidRPr="003161DC">
                    <w:rPr>
                      <w:b/>
                      <w:iCs/>
                      <w:sz w:val="20"/>
                    </w:rPr>
                    <w:t>Price (per MWh)</w:t>
                  </w:r>
                </w:p>
              </w:tc>
            </w:tr>
            <w:tr w:rsidR="00BC03DD" w:rsidRPr="003161DC" w14:paraId="5E674E7E" w14:textId="77777777" w:rsidTr="00AE702A">
              <w:trPr>
                <w:jc w:val="center"/>
              </w:trPr>
              <w:tc>
                <w:tcPr>
                  <w:tcW w:w="3780" w:type="dxa"/>
                </w:tcPr>
                <w:p w14:paraId="489FB7CB" w14:textId="77777777" w:rsidR="00BC03DD" w:rsidRPr="003161DC" w:rsidRDefault="00BC03DD" w:rsidP="00BC03DD">
                  <w:pPr>
                    <w:spacing w:after="60"/>
                    <w:rPr>
                      <w:iCs/>
                      <w:sz w:val="20"/>
                    </w:rPr>
                  </w:pPr>
                  <w:r w:rsidRPr="003161DC">
                    <w:rPr>
                      <w:iCs/>
                      <w:sz w:val="20"/>
                    </w:rPr>
                    <w:t>HSL</w:t>
                  </w:r>
                </w:p>
              </w:tc>
              <w:tc>
                <w:tcPr>
                  <w:tcW w:w="2520" w:type="dxa"/>
                </w:tcPr>
                <w:p w14:paraId="325ABF3D" w14:textId="77777777" w:rsidR="00BC03DD" w:rsidRPr="003161DC" w:rsidRDefault="00BC03DD" w:rsidP="00BC03DD">
                  <w:pPr>
                    <w:spacing w:after="60"/>
                    <w:rPr>
                      <w:iCs/>
                      <w:sz w:val="20"/>
                    </w:rPr>
                  </w:pPr>
                  <w:r>
                    <w:rPr>
                      <w:iCs/>
                      <w:sz w:val="20"/>
                    </w:rPr>
                    <w:t>RT</w:t>
                  </w:r>
                  <w:r w:rsidRPr="003161DC">
                    <w:rPr>
                      <w:iCs/>
                      <w:sz w:val="20"/>
                    </w:rPr>
                    <w:t>SWCAP</w:t>
                  </w:r>
                </w:p>
              </w:tc>
            </w:tr>
            <w:tr w:rsidR="00BC03DD" w:rsidRPr="003161DC" w14:paraId="3658BE85" w14:textId="77777777" w:rsidTr="00AE702A">
              <w:trPr>
                <w:jc w:val="center"/>
              </w:trPr>
              <w:tc>
                <w:tcPr>
                  <w:tcW w:w="3780" w:type="dxa"/>
                </w:tcPr>
                <w:p w14:paraId="3C3B0E9E" w14:textId="77777777" w:rsidR="00BC03DD" w:rsidRPr="003161DC" w:rsidRDefault="00BC03DD" w:rsidP="00BC03DD">
                  <w:pPr>
                    <w:spacing w:after="60"/>
                    <w:rPr>
                      <w:iCs/>
                      <w:sz w:val="20"/>
                    </w:rPr>
                  </w:pPr>
                  <w:r w:rsidRPr="003161DC">
                    <w:rPr>
                      <w:iCs/>
                      <w:sz w:val="20"/>
                    </w:rPr>
                    <w:t>Output Schedule MW plus 1 MW</w:t>
                  </w:r>
                </w:p>
              </w:tc>
              <w:tc>
                <w:tcPr>
                  <w:tcW w:w="2520" w:type="dxa"/>
                </w:tcPr>
                <w:p w14:paraId="40AC8AE1" w14:textId="77777777" w:rsidR="00BC03DD" w:rsidRPr="003161DC" w:rsidRDefault="00BC03DD" w:rsidP="00BC03DD">
                  <w:pPr>
                    <w:spacing w:after="60"/>
                    <w:rPr>
                      <w:iCs/>
                      <w:sz w:val="20"/>
                    </w:rPr>
                  </w:pPr>
                  <w:r>
                    <w:rPr>
                      <w:iCs/>
                      <w:sz w:val="20"/>
                    </w:rPr>
                    <w:t>RT</w:t>
                  </w:r>
                  <w:r w:rsidRPr="003161DC">
                    <w:rPr>
                      <w:iCs/>
                      <w:sz w:val="20"/>
                    </w:rPr>
                    <w:t>SWCAP minus $0.01</w:t>
                  </w:r>
                </w:p>
              </w:tc>
            </w:tr>
            <w:tr w:rsidR="00BC03DD" w:rsidRPr="003161DC" w14:paraId="06B61B19" w14:textId="77777777" w:rsidTr="00AE702A">
              <w:trPr>
                <w:jc w:val="center"/>
              </w:trPr>
              <w:tc>
                <w:tcPr>
                  <w:tcW w:w="3780" w:type="dxa"/>
                </w:tcPr>
                <w:p w14:paraId="0591B38F" w14:textId="77777777" w:rsidR="00BC03DD" w:rsidRPr="003161DC" w:rsidRDefault="00BC03DD" w:rsidP="00BC03DD">
                  <w:pPr>
                    <w:spacing w:after="60"/>
                    <w:rPr>
                      <w:iCs/>
                      <w:sz w:val="20"/>
                    </w:rPr>
                  </w:pPr>
                  <w:r w:rsidRPr="003161DC">
                    <w:rPr>
                      <w:iCs/>
                      <w:sz w:val="20"/>
                    </w:rPr>
                    <w:t>Output Schedule MW</w:t>
                  </w:r>
                </w:p>
              </w:tc>
              <w:tc>
                <w:tcPr>
                  <w:tcW w:w="2520" w:type="dxa"/>
                </w:tcPr>
                <w:p w14:paraId="41A2341D" w14:textId="77777777" w:rsidR="00BC03DD" w:rsidRPr="003161DC" w:rsidRDefault="00BC03DD" w:rsidP="00BC03DD">
                  <w:pPr>
                    <w:spacing w:after="60"/>
                    <w:rPr>
                      <w:iCs/>
                      <w:sz w:val="20"/>
                    </w:rPr>
                  </w:pPr>
                  <w:r w:rsidRPr="003161DC">
                    <w:rPr>
                      <w:iCs/>
                      <w:sz w:val="20"/>
                    </w:rPr>
                    <w:t>-$249.99</w:t>
                  </w:r>
                </w:p>
              </w:tc>
            </w:tr>
            <w:tr w:rsidR="00BC03DD" w:rsidRPr="003161DC" w14:paraId="7A1E683F" w14:textId="77777777" w:rsidTr="00AE702A">
              <w:trPr>
                <w:jc w:val="center"/>
              </w:trPr>
              <w:tc>
                <w:tcPr>
                  <w:tcW w:w="3780" w:type="dxa"/>
                </w:tcPr>
                <w:p w14:paraId="133A4A67" w14:textId="77777777" w:rsidR="00BC03DD" w:rsidRPr="003161DC" w:rsidRDefault="00BC03DD" w:rsidP="00BC03DD">
                  <w:pPr>
                    <w:spacing w:after="60"/>
                    <w:rPr>
                      <w:iCs/>
                      <w:sz w:val="20"/>
                    </w:rPr>
                  </w:pPr>
                  <w:r w:rsidRPr="003161DC">
                    <w:rPr>
                      <w:iCs/>
                      <w:sz w:val="20"/>
                    </w:rPr>
                    <w:t>LSL</w:t>
                  </w:r>
                </w:p>
              </w:tc>
              <w:tc>
                <w:tcPr>
                  <w:tcW w:w="2520" w:type="dxa"/>
                </w:tcPr>
                <w:p w14:paraId="3E450D5C" w14:textId="77777777" w:rsidR="00BC03DD" w:rsidRPr="003161DC" w:rsidRDefault="00BC03DD" w:rsidP="00BC03DD">
                  <w:pPr>
                    <w:spacing w:after="60"/>
                    <w:rPr>
                      <w:iCs/>
                      <w:sz w:val="20"/>
                    </w:rPr>
                  </w:pPr>
                  <w:r w:rsidRPr="003161DC">
                    <w:rPr>
                      <w:iCs/>
                      <w:sz w:val="20"/>
                    </w:rPr>
                    <w:t>-$250.00</w:t>
                  </w:r>
                </w:p>
              </w:tc>
            </w:tr>
          </w:tbl>
          <w:p w14:paraId="3EEA35D3" w14:textId="78079364" w:rsidR="00BC03DD" w:rsidRPr="003161DC" w:rsidRDefault="00BC03DD" w:rsidP="00BC03DD">
            <w:pPr>
              <w:spacing w:before="240" w:after="240"/>
              <w:ind w:left="1440" w:hanging="720"/>
            </w:pPr>
            <w:r w:rsidRPr="003161DC">
              <w:t>(</w:t>
            </w:r>
            <w:r>
              <w:t>b</w:t>
            </w:r>
            <w:r w:rsidRPr="003161DC">
              <w:t>)</w:t>
            </w:r>
            <w:r w:rsidRPr="003161DC">
              <w:tab/>
              <w:t xml:space="preserve">Non-IRRs without full-range Energy Offer Curves </w:t>
            </w:r>
          </w:p>
          <w:p w14:paraId="3A1FA4D0" w14:textId="77777777" w:rsidR="00BC03DD" w:rsidRPr="003161DC" w:rsidRDefault="00BC03DD" w:rsidP="00BC03DD">
            <w:pPr>
              <w:spacing w:after="240"/>
              <w:ind w:left="2160" w:hanging="720"/>
            </w:pPr>
            <w:r w:rsidRPr="003161DC">
              <w:t>(i)</w:t>
            </w:r>
            <w:r w:rsidRPr="003161DC">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BC03DD" w:rsidRPr="003161DC" w14:paraId="7E49D32B" w14:textId="77777777" w:rsidTr="00AE702A">
              <w:trPr>
                <w:jc w:val="center"/>
              </w:trPr>
              <w:tc>
                <w:tcPr>
                  <w:tcW w:w="3891" w:type="dxa"/>
                </w:tcPr>
                <w:p w14:paraId="6B028C23" w14:textId="77777777" w:rsidR="00BC03DD" w:rsidRPr="003161DC" w:rsidRDefault="00BC03DD" w:rsidP="00BC03DD">
                  <w:pPr>
                    <w:spacing w:after="120"/>
                    <w:rPr>
                      <w:b/>
                      <w:iCs/>
                      <w:sz w:val="20"/>
                    </w:rPr>
                  </w:pPr>
                  <w:r w:rsidRPr="003161DC">
                    <w:rPr>
                      <w:b/>
                      <w:iCs/>
                      <w:sz w:val="20"/>
                    </w:rPr>
                    <w:t>MW</w:t>
                  </w:r>
                </w:p>
              </w:tc>
              <w:tc>
                <w:tcPr>
                  <w:tcW w:w="2630" w:type="dxa"/>
                </w:tcPr>
                <w:p w14:paraId="5BC70CFB" w14:textId="77777777" w:rsidR="00BC03DD" w:rsidRPr="003161DC" w:rsidRDefault="00BC03DD" w:rsidP="00BC03DD">
                  <w:pPr>
                    <w:spacing w:after="120"/>
                    <w:rPr>
                      <w:b/>
                      <w:iCs/>
                      <w:sz w:val="20"/>
                    </w:rPr>
                  </w:pPr>
                  <w:r w:rsidRPr="003161DC">
                    <w:rPr>
                      <w:b/>
                      <w:iCs/>
                      <w:sz w:val="20"/>
                    </w:rPr>
                    <w:t>Price (per MWh)</w:t>
                  </w:r>
                </w:p>
              </w:tc>
            </w:tr>
            <w:tr w:rsidR="00BC03DD" w:rsidRPr="003161DC" w14:paraId="3705AB33" w14:textId="77777777" w:rsidTr="00AE702A">
              <w:trPr>
                <w:jc w:val="center"/>
              </w:trPr>
              <w:tc>
                <w:tcPr>
                  <w:tcW w:w="3891" w:type="dxa"/>
                </w:tcPr>
                <w:p w14:paraId="71371E97" w14:textId="77777777" w:rsidR="00BC03DD" w:rsidRPr="003161DC" w:rsidRDefault="00BC03DD" w:rsidP="00BC03DD">
                  <w:pPr>
                    <w:spacing w:after="60"/>
                    <w:rPr>
                      <w:iCs/>
                      <w:sz w:val="20"/>
                    </w:rPr>
                  </w:pPr>
                  <w:r w:rsidRPr="003161DC">
                    <w:rPr>
                      <w:iCs/>
                      <w:sz w:val="20"/>
                    </w:rPr>
                    <w:t>HSL (if more than highest MW in submitted Energy Offer Curve)</w:t>
                  </w:r>
                </w:p>
              </w:tc>
              <w:tc>
                <w:tcPr>
                  <w:tcW w:w="2630" w:type="dxa"/>
                </w:tcPr>
                <w:p w14:paraId="6A9D7E5D" w14:textId="77777777" w:rsidR="00BC03DD" w:rsidRPr="003161DC" w:rsidRDefault="00BC03DD" w:rsidP="00BC03DD">
                  <w:pPr>
                    <w:spacing w:after="60"/>
                    <w:rPr>
                      <w:iCs/>
                      <w:sz w:val="20"/>
                    </w:rPr>
                  </w:pPr>
                  <w:r w:rsidRPr="003161DC">
                    <w:rPr>
                      <w:iCs/>
                      <w:sz w:val="20"/>
                    </w:rPr>
                    <w:t>Price associated with highest MW in submitted Energy Offer Curve</w:t>
                  </w:r>
                </w:p>
              </w:tc>
            </w:tr>
            <w:tr w:rsidR="00BC03DD" w:rsidRPr="003161DC" w14:paraId="6011546B" w14:textId="77777777" w:rsidTr="00AE702A">
              <w:trPr>
                <w:jc w:val="center"/>
              </w:trPr>
              <w:tc>
                <w:tcPr>
                  <w:tcW w:w="3891" w:type="dxa"/>
                </w:tcPr>
                <w:p w14:paraId="6F858F34" w14:textId="77777777" w:rsidR="00BC03DD" w:rsidRPr="003161DC" w:rsidRDefault="00BC03DD" w:rsidP="00BC03DD">
                  <w:pPr>
                    <w:spacing w:after="60"/>
                    <w:rPr>
                      <w:iCs/>
                      <w:sz w:val="20"/>
                    </w:rPr>
                  </w:pPr>
                  <w:r w:rsidRPr="003161DC">
                    <w:rPr>
                      <w:iCs/>
                      <w:sz w:val="20"/>
                    </w:rPr>
                    <w:t>Energy Offer Curve</w:t>
                  </w:r>
                </w:p>
              </w:tc>
              <w:tc>
                <w:tcPr>
                  <w:tcW w:w="2630" w:type="dxa"/>
                </w:tcPr>
                <w:p w14:paraId="71D3A943" w14:textId="77777777" w:rsidR="00BC03DD" w:rsidRPr="003161DC" w:rsidRDefault="00BC03DD" w:rsidP="00BC03DD">
                  <w:pPr>
                    <w:spacing w:after="60"/>
                    <w:rPr>
                      <w:iCs/>
                      <w:sz w:val="20"/>
                    </w:rPr>
                  </w:pPr>
                  <w:r w:rsidRPr="003161DC">
                    <w:rPr>
                      <w:iCs/>
                      <w:sz w:val="20"/>
                    </w:rPr>
                    <w:t>Energy Offer Curve</w:t>
                  </w:r>
                </w:p>
              </w:tc>
            </w:tr>
            <w:tr w:rsidR="00BC03DD" w:rsidRPr="003161DC" w14:paraId="0D9701CF" w14:textId="77777777" w:rsidTr="00AE702A">
              <w:trPr>
                <w:jc w:val="center"/>
              </w:trPr>
              <w:tc>
                <w:tcPr>
                  <w:tcW w:w="3891" w:type="dxa"/>
                </w:tcPr>
                <w:p w14:paraId="13E06810" w14:textId="77777777" w:rsidR="00BC03DD" w:rsidRPr="003161DC" w:rsidRDefault="00BC03DD" w:rsidP="00BC03DD">
                  <w:pPr>
                    <w:spacing w:after="60"/>
                    <w:rPr>
                      <w:iCs/>
                      <w:sz w:val="20"/>
                    </w:rPr>
                  </w:pPr>
                  <w:r w:rsidRPr="003161DC">
                    <w:rPr>
                      <w:iCs/>
                      <w:sz w:val="20"/>
                    </w:rPr>
                    <w:t>1 MW below lowest MW in Energy Offer Curve (if more than LSL)</w:t>
                  </w:r>
                </w:p>
              </w:tc>
              <w:tc>
                <w:tcPr>
                  <w:tcW w:w="2630" w:type="dxa"/>
                </w:tcPr>
                <w:p w14:paraId="2304E377" w14:textId="77777777" w:rsidR="00BC03DD" w:rsidRPr="003161DC" w:rsidRDefault="00BC03DD" w:rsidP="00BC03DD">
                  <w:pPr>
                    <w:spacing w:after="60"/>
                    <w:rPr>
                      <w:iCs/>
                      <w:sz w:val="20"/>
                    </w:rPr>
                  </w:pPr>
                  <w:r w:rsidRPr="003161DC">
                    <w:rPr>
                      <w:iCs/>
                      <w:sz w:val="20"/>
                    </w:rPr>
                    <w:t>-$249.99</w:t>
                  </w:r>
                </w:p>
              </w:tc>
            </w:tr>
            <w:tr w:rsidR="00BC03DD" w:rsidRPr="003161DC" w14:paraId="2C6D67E4" w14:textId="77777777" w:rsidTr="00AE702A">
              <w:trPr>
                <w:jc w:val="center"/>
              </w:trPr>
              <w:tc>
                <w:tcPr>
                  <w:tcW w:w="3891" w:type="dxa"/>
                </w:tcPr>
                <w:p w14:paraId="752D10CD" w14:textId="77777777" w:rsidR="00BC03DD" w:rsidRPr="003161DC" w:rsidRDefault="00BC03DD" w:rsidP="00BC03DD">
                  <w:pPr>
                    <w:spacing w:after="60"/>
                    <w:rPr>
                      <w:iCs/>
                      <w:sz w:val="20"/>
                    </w:rPr>
                  </w:pPr>
                  <w:r w:rsidRPr="003161DC">
                    <w:rPr>
                      <w:iCs/>
                      <w:sz w:val="20"/>
                    </w:rPr>
                    <w:lastRenderedPageBreak/>
                    <w:t>LSL (if less than lowest MW in Energy Offer Curve)</w:t>
                  </w:r>
                </w:p>
              </w:tc>
              <w:tc>
                <w:tcPr>
                  <w:tcW w:w="2630" w:type="dxa"/>
                </w:tcPr>
                <w:p w14:paraId="5CEA87ED" w14:textId="77777777" w:rsidR="00BC03DD" w:rsidRPr="003161DC" w:rsidRDefault="00BC03DD" w:rsidP="00BC03DD">
                  <w:pPr>
                    <w:spacing w:after="60"/>
                    <w:rPr>
                      <w:iCs/>
                      <w:sz w:val="20"/>
                    </w:rPr>
                  </w:pPr>
                  <w:r w:rsidRPr="003161DC">
                    <w:rPr>
                      <w:iCs/>
                      <w:sz w:val="20"/>
                    </w:rPr>
                    <w:t>-$250.00</w:t>
                  </w:r>
                </w:p>
              </w:tc>
            </w:tr>
          </w:tbl>
          <w:p w14:paraId="7C3752AB" w14:textId="0781C055" w:rsidR="00BC03DD" w:rsidRPr="003161DC" w:rsidRDefault="00BC03DD" w:rsidP="00BC03DD">
            <w:pPr>
              <w:spacing w:before="240" w:after="240"/>
              <w:ind w:left="1440" w:hanging="720"/>
            </w:pPr>
            <w:r>
              <w:t>(c)</w:t>
            </w:r>
            <w:r w:rsidRPr="003161DC">
              <w:tab/>
              <w:t>IRRs</w:t>
            </w:r>
          </w:p>
          <w:p w14:paraId="716B56D7" w14:textId="77777777" w:rsidR="00BC03DD" w:rsidRPr="003161DC" w:rsidRDefault="00BC03DD" w:rsidP="00BC03DD">
            <w:pPr>
              <w:spacing w:after="240"/>
              <w:ind w:left="2160" w:hanging="720"/>
            </w:pPr>
            <w:r w:rsidRPr="003161DC">
              <w:t>(i)</w:t>
            </w:r>
            <w:r w:rsidRPr="003161DC">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BC03DD" w:rsidRPr="003161DC" w14:paraId="1387FC44" w14:textId="77777777" w:rsidTr="00AE702A">
              <w:trPr>
                <w:jc w:val="center"/>
              </w:trPr>
              <w:tc>
                <w:tcPr>
                  <w:tcW w:w="3870" w:type="dxa"/>
                </w:tcPr>
                <w:p w14:paraId="3DEF6586" w14:textId="77777777" w:rsidR="00BC03DD" w:rsidRPr="003161DC" w:rsidRDefault="00BC03DD" w:rsidP="00BC03DD">
                  <w:pPr>
                    <w:spacing w:after="120"/>
                    <w:rPr>
                      <w:b/>
                      <w:iCs/>
                      <w:sz w:val="20"/>
                    </w:rPr>
                  </w:pPr>
                  <w:r w:rsidRPr="003161DC">
                    <w:rPr>
                      <w:b/>
                      <w:iCs/>
                      <w:sz w:val="20"/>
                    </w:rPr>
                    <w:t>MW</w:t>
                  </w:r>
                </w:p>
              </w:tc>
              <w:tc>
                <w:tcPr>
                  <w:tcW w:w="2610" w:type="dxa"/>
                </w:tcPr>
                <w:p w14:paraId="2416A36B" w14:textId="77777777" w:rsidR="00BC03DD" w:rsidRPr="003161DC" w:rsidRDefault="00BC03DD" w:rsidP="00BC03DD">
                  <w:pPr>
                    <w:spacing w:after="120"/>
                    <w:rPr>
                      <w:b/>
                      <w:iCs/>
                      <w:sz w:val="20"/>
                    </w:rPr>
                  </w:pPr>
                  <w:r w:rsidRPr="003161DC">
                    <w:rPr>
                      <w:b/>
                      <w:iCs/>
                      <w:sz w:val="20"/>
                    </w:rPr>
                    <w:t>Price (per MWh)</w:t>
                  </w:r>
                </w:p>
              </w:tc>
            </w:tr>
            <w:tr w:rsidR="00BC03DD" w:rsidRPr="003161DC" w14:paraId="34C6CC78" w14:textId="77777777" w:rsidTr="00AE702A">
              <w:trPr>
                <w:jc w:val="center"/>
              </w:trPr>
              <w:tc>
                <w:tcPr>
                  <w:tcW w:w="3870" w:type="dxa"/>
                </w:tcPr>
                <w:p w14:paraId="62E57F9D" w14:textId="77777777" w:rsidR="00BC03DD" w:rsidRPr="003161DC" w:rsidRDefault="00BC03DD" w:rsidP="00BC03DD">
                  <w:pPr>
                    <w:spacing w:after="60"/>
                    <w:rPr>
                      <w:iCs/>
                      <w:sz w:val="20"/>
                    </w:rPr>
                  </w:pPr>
                  <w:r w:rsidRPr="003161DC">
                    <w:rPr>
                      <w:iCs/>
                      <w:sz w:val="20"/>
                    </w:rPr>
                    <w:t>HSL</w:t>
                  </w:r>
                </w:p>
              </w:tc>
              <w:tc>
                <w:tcPr>
                  <w:tcW w:w="2610" w:type="dxa"/>
                </w:tcPr>
                <w:p w14:paraId="195D8BBF" w14:textId="77777777" w:rsidR="00BC03DD" w:rsidRPr="003161DC" w:rsidRDefault="00BC03DD" w:rsidP="00BC03DD">
                  <w:pPr>
                    <w:spacing w:after="60"/>
                    <w:rPr>
                      <w:iCs/>
                      <w:sz w:val="20"/>
                    </w:rPr>
                  </w:pPr>
                  <w:r w:rsidRPr="003161DC">
                    <w:rPr>
                      <w:iCs/>
                      <w:sz w:val="20"/>
                    </w:rPr>
                    <w:t>$1,500</w:t>
                  </w:r>
                </w:p>
              </w:tc>
            </w:tr>
            <w:tr w:rsidR="00BC03DD" w:rsidRPr="003161DC" w14:paraId="19B46E52" w14:textId="77777777" w:rsidTr="00AE702A">
              <w:trPr>
                <w:jc w:val="center"/>
              </w:trPr>
              <w:tc>
                <w:tcPr>
                  <w:tcW w:w="3870" w:type="dxa"/>
                </w:tcPr>
                <w:p w14:paraId="499EE645" w14:textId="77777777" w:rsidR="00BC03DD" w:rsidRPr="003161DC" w:rsidRDefault="00BC03DD" w:rsidP="00BC03DD">
                  <w:pPr>
                    <w:spacing w:after="60"/>
                    <w:rPr>
                      <w:iCs/>
                      <w:sz w:val="20"/>
                    </w:rPr>
                  </w:pPr>
                  <w:r w:rsidRPr="003161DC">
                    <w:rPr>
                      <w:iCs/>
                      <w:sz w:val="20"/>
                    </w:rPr>
                    <w:t>HSL minus 1 MW</w:t>
                  </w:r>
                </w:p>
              </w:tc>
              <w:tc>
                <w:tcPr>
                  <w:tcW w:w="2610" w:type="dxa"/>
                </w:tcPr>
                <w:p w14:paraId="6FF4B443" w14:textId="77777777" w:rsidR="00BC03DD" w:rsidRPr="003161DC" w:rsidRDefault="00BC03DD" w:rsidP="00BC03DD">
                  <w:pPr>
                    <w:spacing w:after="60"/>
                    <w:rPr>
                      <w:iCs/>
                      <w:sz w:val="20"/>
                    </w:rPr>
                  </w:pPr>
                  <w:r w:rsidRPr="003161DC">
                    <w:rPr>
                      <w:iCs/>
                      <w:sz w:val="20"/>
                    </w:rPr>
                    <w:t>-$249.99</w:t>
                  </w:r>
                </w:p>
              </w:tc>
            </w:tr>
            <w:tr w:rsidR="00BC03DD" w:rsidRPr="003161DC" w14:paraId="63BC0BB4" w14:textId="77777777" w:rsidTr="00AE702A">
              <w:trPr>
                <w:jc w:val="center"/>
              </w:trPr>
              <w:tc>
                <w:tcPr>
                  <w:tcW w:w="3870" w:type="dxa"/>
                </w:tcPr>
                <w:p w14:paraId="39F8FC8E" w14:textId="77777777" w:rsidR="00BC03DD" w:rsidRPr="003161DC" w:rsidRDefault="00BC03DD" w:rsidP="00BC03DD">
                  <w:pPr>
                    <w:spacing w:after="60"/>
                    <w:rPr>
                      <w:iCs/>
                      <w:sz w:val="20"/>
                    </w:rPr>
                  </w:pPr>
                  <w:r w:rsidRPr="003161DC">
                    <w:rPr>
                      <w:iCs/>
                      <w:sz w:val="20"/>
                    </w:rPr>
                    <w:t>LSL</w:t>
                  </w:r>
                </w:p>
              </w:tc>
              <w:tc>
                <w:tcPr>
                  <w:tcW w:w="2610" w:type="dxa"/>
                </w:tcPr>
                <w:p w14:paraId="1FFDB957" w14:textId="77777777" w:rsidR="00BC03DD" w:rsidRPr="003161DC" w:rsidRDefault="00BC03DD" w:rsidP="00BC03DD">
                  <w:pPr>
                    <w:spacing w:after="60"/>
                    <w:rPr>
                      <w:iCs/>
                      <w:sz w:val="20"/>
                    </w:rPr>
                  </w:pPr>
                  <w:r w:rsidRPr="003161DC">
                    <w:rPr>
                      <w:iCs/>
                      <w:sz w:val="20"/>
                    </w:rPr>
                    <w:t>-$250.00</w:t>
                  </w:r>
                </w:p>
              </w:tc>
            </w:tr>
          </w:tbl>
          <w:p w14:paraId="4019F512" w14:textId="77777777" w:rsidR="00BC03DD" w:rsidRPr="003161DC" w:rsidRDefault="00BC03DD" w:rsidP="00BC03DD">
            <w:pPr>
              <w:spacing w:before="240" w:after="240"/>
              <w:ind w:left="2160" w:hanging="720"/>
            </w:pPr>
            <w:r w:rsidRPr="003161DC">
              <w:t>(ii)</w:t>
            </w:r>
            <w:r w:rsidRPr="003161DC">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BC03DD" w:rsidRPr="003161DC" w14:paraId="4B2B1D0A" w14:textId="77777777" w:rsidTr="00AE702A">
              <w:trPr>
                <w:jc w:val="center"/>
              </w:trPr>
              <w:tc>
                <w:tcPr>
                  <w:tcW w:w="3780" w:type="dxa"/>
                </w:tcPr>
                <w:p w14:paraId="3EDB96F8" w14:textId="77777777" w:rsidR="00BC03DD" w:rsidRPr="003161DC" w:rsidRDefault="00BC03DD" w:rsidP="00BC03DD">
                  <w:pPr>
                    <w:spacing w:after="120"/>
                    <w:rPr>
                      <w:b/>
                      <w:iCs/>
                      <w:sz w:val="20"/>
                    </w:rPr>
                  </w:pPr>
                  <w:r w:rsidRPr="003161DC">
                    <w:rPr>
                      <w:b/>
                      <w:iCs/>
                      <w:sz w:val="20"/>
                    </w:rPr>
                    <w:t>MW</w:t>
                  </w:r>
                </w:p>
              </w:tc>
              <w:tc>
                <w:tcPr>
                  <w:tcW w:w="2745" w:type="dxa"/>
                </w:tcPr>
                <w:p w14:paraId="093B835C" w14:textId="77777777" w:rsidR="00BC03DD" w:rsidRPr="003161DC" w:rsidRDefault="00BC03DD" w:rsidP="00BC03DD">
                  <w:pPr>
                    <w:spacing w:after="120"/>
                    <w:rPr>
                      <w:b/>
                      <w:iCs/>
                      <w:sz w:val="20"/>
                    </w:rPr>
                  </w:pPr>
                  <w:r w:rsidRPr="003161DC">
                    <w:rPr>
                      <w:b/>
                      <w:iCs/>
                      <w:sz w:val="20"/>
                    </w:rPr>
                    <w:t>Price (per MWh)</w:t>
                  </w:r>
                </w:p>
              </w:tc>
            </w:tr>
            <w:tr w:rsidR="00BC03DD" w:rsidRPr="003161DC" w14:paraId="368087D5" w14:textId="77777777" w:rsidTr="00AE702A">
              <w:trPr>
                <w:jc w:val="center"/>
              </w:trPr>
              <w:tc>
                <w:tcPr>
                  <w:tcW w:w="3780" w:type="dxa"/>
                </w:tcPr>
                <w:p w14:paraId="5005E073" w14:textId="77777777" w:rsidR="00BC03DD" w:rsidRPr="003161DC" w:rsidRDefault="00BC03DD" w:rsidP="00BC03DD">
                  <w:pPr>
                    <w:spacing w:after="60"/>
                    <w:rPr>
                      <w:iCs/>
                      <w:sz w:val="20"/>
                    </w:rPr>
                  </w:pPr>
                  <w:r w:rsidRPr="003161DC">
                    <w:rPr>
                      <w:iCs/>
                      <w:sz w:val="20"/>
                    </w:rPr>
                    <w:t>HSL (if more than highest MW in submitted Energy Offer Curve)</w:t>
                  </w:r>
                </w:p>
              </w:tc>
              <w:tc>
                <w:tcPr>
                  <w:tcW w:w="2745" w:type="dxa"/>
                </w:tcPr>
                <w:p w14:paraId="0C807120" w14:textId="77777777" w:rsidR="00BC03DD" w:rsidRPr="003161DC" w:rsidRDefault="00BC03DD" w:rsidP="00BC03DD">
                  <w:pPr>
                    <w:spacing w:after="60"/>
                    <w:rPr>
                      <w:iCs/>
                      <w:sz w:val="20"/>
                    </w:rPr>
                  </w:pPr>
                  <w:r w:rsidRPr="003161DC">
                    <w:rPr>
                      <w:iCs/>
                      <w:sz w:val="20"/>
                    </w:rPr>
                    <w:t>Price associated with the highest MW in submitted Energy Offer Curve</w:t>
                  </w:r>
                </w:p>
              </w:tc>
            </w:tr>
            <w:tr w:rsidR="00BC03DD" w:rsidRPr="003161DC" w14:paraId="49946C8D" w14:textId="77777777" w:rsidTr="00AE702A">
              <w:trPr>
                <w:jc w:val="center"/>
              </w:trPr>
              <w:tc>
                <w:tcPr>
                  <w:tcW w:w="3780" w:type="dxa"/>
                </w:tcPr>
                <w:p w14:paraId="7BE7BA7C" w14:textId="77777777" w:rsidR="00BC03DD" w:rsidRPr="003161DC" w:rsidRDefault="00BC03DD" w:rsidP="00BC03DD">
                  <w:pPr>
                    <w:spacing w:after="60"/>
                    <w:rPr>
                      <w:iCs/>
                      <w:sz w:val="20"/>
                    </w:rPr>
                  </w:pPr>
                  <w:r w:rsidRPr="003161DC">
                    <w:rPr>
                      <w:iCs/>
                      <w:sz w:val="20"/>
                    </w:rPr>
                    <w:t>Energy Offer Curve</w:t>
                  </w:r>
                </w:p>
              </w:tc>
              <w:tc>
                <w:tcPr>
                  <w:tcW w:w="2745" w:type="dxa"/>
                </w:tcPr>
                <w:p w14:paraId="03EA2B86" w14:textId="77777777" w:rsidR="00BC03DD" w:rsidRPr="003161DC" w:rsidRDefault="00BC03DD" w:rsidP="00BC03DD">
                  <w:pPr>
                    <w:spacing w:after="60"/>
                    <w:rPr>
                      <w:iCs/>
                      <w:sz w:val="20"/>
                    </w:rPr>
                  </w:pPr>
                  <w:r w:rsidRPr="003161DC">
                    <w:rPr>
                      <w:iCs/>
                      <w:sz w:val="20"/>
                    </w:rPr>
                    <w:t>Energy Offer Curve</w:t>
                  </w:r>
                </w:p>
              </w:tc>
            </w:tr>
            <w:tr w:rsidR="00BC03DD" w:rsidRPr="003161DC" w14:paraId="0A190DFC" w14:textId="77777777" w:rsidTr="00AE702A">
              <w:trPr>
                <w:jc w:val="center"/>
              </w:trPr>
              <w:tc>
                <w:tcPr>
                  <w:tcW w:w="3780" w:type="dxa"/>
                </w:tcPr>
                <w:p w14:paraId="5E1531E4" w14:textId="77777777" w:rsidR="00BC03DD" w:rsidRPr="003161DC" w:rsidRDefault="00BC03DD" w:rsidP="00BC03DD">
                  <w:pPr>
                    <w:spacing w:after="60"/>
                    <w:rPr>
                      <w:iCs/>
                      <w:sz w:val="20"/>
                    </w:rPr>
                  </w:pPr>
                  <w:r w:rsidRPr="003161DC">
                    <w:rPr>
                      <w:iCs/>
                      <w:sz w:val="20"/>
                    </w:rPr>
                    <w:t>1 MW below lowest MW in Energy Offer Curve (if more than LSL)</w:t>
                  </w:r>
                </w:p>
              </w:tc>
              <w:tc>
                <w:tcPr>
                  <w:tcW w:w="2745" w:type="dxa"/>
                </w:tcPr>
                <w:p w14:paraId="6E27DB68" w14:textId="77777777" w:rsidR="00BC03DD" w:rsidRPr="003161DC" w:rsidRDefault="00BC03DD" w:rsidP="00BC03DD">
                  <w:pPr>
                    <w:spacing w:after="60"/>
                    <w:rPr>
                      <w:iCs/>
                      <w:sz w:val="20"/>
                    </w:rPr>
                  </w:pPr>
                  <w:r w:rsidRPr="003161DC">
                    <w:rPr>
                      <w:iCs/>
                      <w:sz w:val="20"/>
                    </w:rPr>
                    <w:t>-$249.99</w:t>
                  </w:r>
                </w:p>
              </w:tc>
            </w:tr>
            <w:tr w:rsidR="00BC03DD" w:rsidRPr="003161DC" w14:paraId="04BFA66D" w14:textId="77777777" w:rsidTr="00AE702A">
              <w:trPr>
                <w:jc w:val="center"/>
              </w:trPr>
              <w:tc>
                <w:tcPr>
                  <w:tcW w:w="3780" w:type="dxa"/>
                </w:tcPr>
                <w:p w14:paraId="7E3A30EB" w14:textId="77777777" w:rsidR="00BC03DD" w:rsidRPr="003161DC" w:rsidRDefault="00BC03DD" w:rsidP="00BC03DD">
                  <w:pPr>
                    <w:spacing w:after="60"/>
                    <w:rPr>
                      <w:iCs/>
                      <w:sz w:val="20"/>
                    </w:rPr>
                  </w:pPr>
                  <w:r w:rsidRPr="003161DC">
                    <w:rPr>
                      <w:iCs/>
                      <w:sz w:val="20"/>
                    </w:rPr>
                    <w:t>LSL (if less than lowest MW in Energy Offer Curve)</w:t>
                  </w:r>
                </w:p>
              </w:tc>
              <w:tc>
                <w:tcPr>
                  <w:tcW w:w="2745" w:type="dxa"/>
                </w:tcPr>
                <w:p w14:paraId="1973A64D" w14:textId="77777777" w:rsidR="00BC03DD" w:rsidRPr="003161DC" w:rsidRDefault="00BC03DD" w:rsidP="00BC03DD">
                  <w:pPr>
                    <w:spacing w:after="60"/>
                    <w:rPr>
                      <w:iCs/>
                      <w:sz w:val="20"/>
                    </w:rPr>
                  </w:pPr>
                  <w:r w:rsidRPr="003161DC">
                    <w:rPr>
                      <w:iCs/>
                      <w:sz w:val="20"/>
                    </w:rPr>
                    <w:t>-$250.00</w:t>
                  </w:r>
                </w:p>
              </w:tc>
            </w:tr>
          </w:tbl>
          <w:p w14:paraId="47605DE4" w14:textId="6DD62E05" w:rsidR="00BC03DD" w:rsidRPr="003161DC" w:rsidRDefault="00BC03DD" w:rsidP="00BC03DD">
            <w:pPr>
              <w:spacing w:before="240" w:after="240"/>
              <w:ind w:left="1440" w:hanging="720"/>
            </w:pPr>
            <w:r>
              <w:t>(d</w:t>
            </w:r>
            <w:r w:rsidRPr="003161DC">
              <w:t>)</w:t>
            </w:r>
            <w:r w:rsidRPr="003161DC">
              <w:tab/>
              <w:t xml:space="preserve">RUC-committed Resources </w:t>
            </w:r>
          </w:p>
          <w:p w14:paraId="56FED9CE" w14:textId="77777777" w:rsidR="00BC03DD" w:rsidRPr="003161DC" w:rsidRDefault="00BC03DD" w:rsidP="00BC03DD">
            <w:pPr>
              <w:spacing w:before="240" w:after="240"/>
              <w:ind w:left="2160" w:hanging="720"/>
            </w:pPr>
            <w:r w:rsidRPr="003161DC">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BC03DD" w:rsidRPr="003161DC" w14:paraId="381098CA" w14:textId="77777777" w:rsidTr="00AE702A">
              <w:trPr>
                <w:trHeight w:val="359"/>
              </w:trPr>
              <w:tc>
                <w:tcPr>
                  <w:tcW w:w="3540" w:type="dxa"/>
                </w:tcPr>
                <w:p w14:paraId="09F695D9" w14:textId="77777777" w:rsidR="00BC03DD" w:rsidRPr="003161DC" w:rsidRDefault="00BC03DD" w:rsidP="00BC03DD">
                  <w:pPr>
                    <w:spacing w:after="120"/>
                    <w:rPr>
                      <w:b/>
                      <w:iCs/>
                      <w:sz w:val="20"/>
                    </w:rPr>
                  </w:pPr>
                  <w:r w:rsidRPr="003161DC">
                    <w:rPr>
                      <w:b/>
                      <w:iCs/>
                      <w:sz w:val="20"/>
                    </w:rPr>
                    <w:t>MW</w:t>
                  </w:r>
                </w:p>
              </w:tc>
              <w:tc>
                <w:tcPr>
                  <w:tcW w:w="2810" w:type="dxa"/>
                </w:tcPr>
                <w:p w14:paraId="53DF496C" w14:textId="77777777" w:rsidR="00BC03DD" w:rsidRPr="003161DC" w:rsidRDefault="00BC03DD" w:rsidP="00BC03DD">
                  <w:pPr>
                    <w:spacing w:after="120"/>
                    <w:rPr>
                      <w:b/>
                      <w:iCs/>
                      <w:sz w:val="20"/>
                    </w:rPr>
                  </w:pPr>
                  <w:r w:rsidRPr="003161DC">
                    <w:rPr>
                      <w:b/>
                      <w:iCs/>
                      <w:sz w:val="20"/>
                    </w:rPr>
                    <w:t>Price (per MWh)</w:t>
                  </w:r>
                </w:p>
              </w:tc>
            </w:tr>
            <w:tr w:rsidR="00BC03DD" w:rsidRPr="003161DC" w14:paraId="32C8A6F8" w14:textId="77777777" w:rsidTr="00AE702A">
              <w:trPr>
                <w:trHeight w:val="364"/>
              </w:trPr>
              <w:tc>
                <w:tcPr>
                  <w:tcW w:w="3540" w:type="dxa"/>
                </w:tcPr>
                <w:p w14:paraId="6FC24E14" w14:textId="77777777" w:rsidR="00BC03DD" w:rsidRPr="003161DC" w:rsidRDefault="00BC03DD" w:rsidP="00BC03DD">
                  <w:pPr>
                    <w:spacing w:after="60"/>
                    <w:rPr>
                      <w:iCs/>
                      <w:sz w:val="20"/>
                    </w:rPr>
                  </w:pPr>
                  <w:r w:rsidRPr="003161DC">
                    <w:rPr>
                      <w:iCs/>
                      <w:sz w:val="20"/>
                    </w:rPr>
                    <w:t xml:space="preserve">HSL </w:t>
                  </w:r>
                </w:p>
              </w:tc>
              <w:tc>
                <w:tcPr>
                  <w:tcW w:w="2810" w:type="dxa"/>
                </w:tcPr>
                <w:p w14:paraId="0C3A4729" w14:textId="336A9F02" w:rsidR="00BC03DD" w:rsidRPr="003161DC" w:rsidRDefault="00BC03DD" w:rsidP="00BC03DD">
                  <w:pPr>
                    <w:spacing w:after="60"/>
                    <w:rPr>
                      <w:iCs/>
                      <w:sz w:val="20"/>
                    </w:rPr>
                  </w:pPr>
                  <w:r w:rsidRPr="003161DC">
                    <w:rPr>
                      <w:iCs/>
                      <w:sz w:val="20"/>
                    </w:rPr>
                    <w:t>$</w:t>
                  </w:r>
                  <w:r w:rsidR="00090A9F">
                    <w:rPr>
                      <w:iCs/>
                      <w:sz w:val="20"/>
                    </w:rPr>
                    <w:t>250</w:t>
                  </w:r>
                </w:p>
              </w:tc>
            </w:tr>
            <w:tr w:rsidR="00BC03DD" w:rsidRPr="003161DC" w14:paraId="4D56AE30" w14:textId="77777777" w:rsidTr="00AE702A">
              <w:trPr>
                <w:trHeight w:val="377"/>
              </w:trPr>
              <w:tc>
                <w:tcPr>
                  <w:tcW w:w="3540" w:type="dxa"/>
                </w:tcPr>
                <w:p w14:paraId="56BA3EFA" w14:textId="77777777" w:rsidR="00BC03DD" w:rsidRPr="003161DC" w:rsidRDefault="00BC03DD" w:rsidP="00BC03DD">
                  <w:pPr>
                    <w:spacing w:after="60"/>
                    <w:rPr>
                      <w:iCs/>
                      <w:sz w:val="20"/>
                    </w:rPr>
                  </w:pPr>
                  <w:r w:rsidRPr="003161DC">
                    <w:rPr>
                      <w:iCs/>
                      <w:sz w:val="20"/>
                    </w:rPr>
                    <w:t>Zero</w:t>
                  </w:r>
                </w:p>
              </w:tc>
              <w:tc>
                <w:tcPr>
                  <w:tcW w:w="2810" w:type="dxa"/>
                </w:tcPr>
                <w:p w14:paraId="420ED037" w14:textId="1C62D45D" w:rsidR="00BC03DD" w:rsidRPr="003161DC" w:rsidRDefault="00BC03DD" w:rsidP="00BC03DD">
                  <w:pPr>
                    <w:spacing w:after="60"/>
                    <w:rPr>
                      <w:iCs/>
                      <w:sz w:val="20"/>
                    </w:rPr>
                  </w:pPr>
                  <w:r w:rsidRPr="003161DC">
                    <w:rPr>
                      <w:iCs/>
                      <w:sz w:val="20"/>
                    </w:rPr>
                    <w:t>$</w:t>
                  </w:r>
                  <w:r w:rsidR="00090A9F">
                    <w:rPr>
                      <w:iCs/>
                      <w:sz w:val="20"/>
                    </w:rPr>
                    <w:t>250</w:t>
                  </w:r>
                </w:p>
              </w:tc>
            </w:tr>
          </w:tbl>
          <w:p w14:paraId="116549F9" w14:textId="77777777" w:rsidR="00BC03DD" w:rsidRPr="003161DC" w:rsidRDefault="00BC03DD" w:rsidP="00BC03DD">
            <w:pPr>
              <w:spacing w:before="240" w:after="240"/>
              <w:ind w:left="2160" w:hanging="720"/>
            </w:pPr>
            <w:r w:rsidRPr="003161DC">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BC03DD" w:rsidRPr="003161DC" w14:paraId="68405195" w14:textId="77777777" w:rsidTr="00AE702A">
              <w:trPr>
                <w:trHeight w:val="350"/>
              </w:trPr>
              <w:tc>
                <w:tcPr>
                  <w:tcW w:w="3531" w:type="dxa"/>
                </w:tcPr>
                <w:p w14:paraId="75D38376" w14:textId="77777777" w:rsidR="00BC03DD" w:rsidRPr="003161DC" w:rsidRDefault="00BC03DD" w:rsidP="00BC03DD">
                  <w:pPr>
                    <w:spacing w:after="120"/>
                    <w:rPr>
                      <w:b/>
                      <w:iCs/>
                      <w:sz w:val="20"/>
                    </w:rPr>
                  </w:pPr>
                  <w:r w:rsidRPr="003161DC">
                    <w:rPr>
                      <w:b/>
                      <w:iCs/>
                      <w:sz w:val="20"/>
                    </w:rPr>
                    <w:t>MW</w:t>
                  </w:r>
                </w:p>
              </w:tc>
              <w:tc>
                <w:tcPr>
                  <w:tcW w:w="2804" w:type="dxa"/>
                </w:tcPr>
                <w:p w14:paraId="4E6733F0" w14:textId="77777777" w:rsidR="00BC03DD" w:rsidRPr="003161DC" w:rsidRDefault="00BC03DD" w:rsidP="00BC03DD">
                  <w:pPr>
                    <w:spacing w:after="120"/>
                    <w:rPr>
                      <w:b/>
                      <w:iCs/>
                      <w:sz w:val="20"/>
                    </w:rPr>
                  </w:pPr>
                  <w:r w:rsidRPr="003161DC">
                    <w:rPr>
                      <w:b/>
                      <w:iCs/>
                      <w:sz w:val="20"/>
                    </w:rPr>
                    <w:t>Price (per MWh)</w:t>
                  </w:r>
                </w:p>
              </w:tc>
            </w:tr>
            <w:tr w:rsidR="00BC03DD" w:rsidRPr="003161DC" w14:paraId="6A567A4C" w14:textId="77777777" w:rsidTr="00AE702A">
              <w:trPr>
                <w:trHeight w:val="345"/>
              </w:trPr>
              <w:tc>
                <w:tcPr>
                  <w:tcW w:w="3531" w:type="dxa"/>
                </w:tcPr>
                <w:p w14:paraId="0686A157" w14:textId="77777777" w:rsidR="00BC03DD" w:rsidRPr="003161DC" w:rsidRDefault="00BC03DD" w:rsidP="00BC03DD">
                  <w:pPr>
                    <w:spacing w:after="60"/>
                    <w:rPr>
                      <w:iCs/>
                      <w:sz w:val="20"/>
                    </w:rPr>
                  </w:pPr>
                  <w:r w:rsidRPr="003161DC">
                    <w:rPr>
                      <w:iCs/>
                      <w:sz w:val="20"/>
                    </w:rPr>
                    <w:lastRenderedPageBreak/>
                    <w:t>HSL (if more than highest MW in Energy Offer Curve)</w:t>
                  </w:r>
                </w:p>
              </w:tc>
              <w:tc>
                <w:tcPr>
                  <w:tcW w:w="2804" w:type="dxa"/>
                </w:tcPr>
                <w:p w14:paraId="75E842C5" w14:textId="1679B5F3" w:rsidR="00BC03DD" w:rsidRPr="003161DC" w:rsidRDefault="00BC03DD" w:rsidP="00BC03DD">
                  <w:pPr>
                    <w:spacing w:after="60"/>
                    <w:rPr>
                      <w:iCs/>
                      <w:sz w:val="20"/>
                    </w:rPr>
                  </w:pPr>
                  <w:r w:rsidRPr="003161DC">
                    <w:rPr>
                      <w:iCs/>
                      <w:sz w:val="20"/>
                    </w:rPr>
                    <w:t>Greater of $</w:t>
                  </w:r>
                  <w:r w:rsidR="00090A9F">
                    <w:rPr>
                      <w:iCs/>
                      <w:sz w:val="20"/>
                    </w:rPr>
                    <w:t>250</w:t>
                  </w:r>
                  <w:r w:rsidRPr="003161DC">
                    <w:rPr>
                      <w:iCs/>
                      <w:sz w:val="20"/>
                    </w:rPr>
                    <w:t xml:space="preserve"> or price associated with the highest MW in QSE submitted Energy Offer Curve</w:t>
                  </w:r>
                </w:p>
              </w:tc>
            </w:tr>
            <w:tr w:rsidR="00BC03DD" w:rsidRPr="003161DC" w14:paraId="74D8976D" w14:textId="77777777" w:rsidTr="00AE702A">
              <w:trPr>
                <w:trHeight w:val="615"/>
              </w:trPr>
              <w:tc>
                <w:tcPr>
                  <w:tcW w:w="3531" w:type="dxa"/>
                </w:tcPr>
                <w:p w14:paraId="129EA3D5" w14:textId="77777777" w:rsidR="00BC03DD" w:rsidRPr="003161DC" w:rsidRDefault="00BC03DD" w:rsidP="00BC03DD">
                  <w:pPr>
                    <w:spacing w:after="60"/>
                    <w:rPr>
                      <w:iCs/>
                      <w:sz w:val="20"/>
                    </w:rPr>
                  </w:pPr>
                  <w:r w:rsidRPr="003161DC">
                    <w:rPr>
                      <w:iCs/>
                      <w:sz w:val="20"/>
                    </w:rPr>
                    <w:t>Energy Offer Curve</w:t>
                  </w:r>
                </w:p>
              </w:tc>
              <w:tc>
                <w:tcPr>
                  <w:tcW w:w="2804" w:type="dxa"/>
                </w:tcPr>
                <w:p w14:paraId="6AFFDD45" w14:textId="5645EDAA" w:rsidR="00BC03DD" w:rsidRPr="003161DC" w:rsidRDefault="00BC03DD" w:rsidP="00BC03DD">
                  <w:pPr>
                    <w:spacing w:after="60"/>
                    <w:rPr>
                      <w:iCs/>
                      <w:sz w:val="20"/>
                    </w:rPr>
                  </w:pPr>
                  <w:r w:rsidRPr="003161DC">
                    <w:rPr>
                      <w:iCs/>
                      <w:sz w:val="20"/>
                    </w:rPr>
                    <w:t>Greater of $</w:t>
                  </w:r>
                  <w:r w:rsidR="00090A9F">
                    <w:rPr>
                      <w:iCs/>
                      <w:sz w:val="20"/>
                    </w:rPr>
                    <w:t>250</w:t>
                  </w:r>
                  <w:r w:rsidRPr="003161DC">
                    <w:rPr>
                      <w:iCs/>
                      <w:sz w:val="20"/>
                    </w:rPr>
                    <w:t xml:space="preserve"> or the QSE submitted Energy Offer Curve</w:t>
                  </w:r>
                </w:p>
              </w:tc>
            </w:tr>
            <w:tr w:rsidR="00BC03DD" w:rsidRPr="003161DC" w14:paraId="199996C9" w14:textId="77777777" w:rsidTr="00AE702A">
              <w:trPr>
                <w:trHeight w:val="916"/>
              </w:trPr>
              <w:tc>
                <w:tcPr>
                  <w:tcW w:w="3531" w:type="dxa"/>
                </w:tcPr>
                <w:p w14:paraId="34361813" w14:textId="77777777" w:rsidR="00BC03DD" w:rsidRPr="003161DC" w:rsidRDefault="00BC03DD" w:rsidP="00BC03DD">
                  <w:pPr>
                    <w:spacing w:after="60"/>
                    <w:rPr>
                      <w:iCs/>
                      <w:sz w:val="20"/>
                    </w:rPr>
                  </w:pPr>
                  <w:r w:rsidRPr="003161DC">
                    <w:rPr>
                      <w:iCs/>
                      <w:sz w:val="20"/>
                    </w:rPr>
                    <w:t>Zero</w:t>
                  </w:r>
                </w:p>
              </w:tc>
              <w:tc>
                <w:tcPr>
                  <w:tcW w:w="2804" w:type="dxa"/>
                </w:tcPr>
                <w:p w14:paraId="1A4664E6" w14:textId="53BB6A0C" w:rsidR="00BC03DD" w:rsidRPr="003161DC" w:rsidRDefault="00BC03DD" w:rsidP="00BC03DD">
                  <w:pPr>
                    <w:spacing w:after="60"/>
                    <w:rPr>
                      <w:iCs/>
                      <w:sz w:val="20"/>
                    </w:rPr>
                  </w:pPr>
                  <w:r w:rsidRPr="003161DC">
                    <w:rPr>
                      <w:iCs/>
                      <w:sz w:val="20"/>
                    </w:rPr>
                    <w:t>Greater of $</w:t>
                  </w:r>
                  <w:r w:rsidR="00090A9F">
                    <w:rPr>
                      <w:iCs/>
                      <w:sz w:val="20"/>
                    </w:rPr>
                    <w:t>250</w:t>
                  </w:r>
                  <w:r w:rsidRPr="003161DC">
                    <w:rPr>
                      <w:iCs/>
                      <w:sz w:val="20"/>
                    </w:rPr>
                    <w:t xml:space="preserve"> or the first price point of the QSE submitted Energy Offer Curve</w:t>
                  </w:r>
                </w:p>
              </w:tc>
            </w:tr>
          </w:tbl>
          <w:p w14:paraId="20C514A3" w14:textId="77777777" w:rsidR="00BC03DD" w:rsidRPr="003161DC" w:rsidRDefault="00BC03DD" w:rsidP="00BC03DD">
            <w:pPr>
              <w:spacing w:before="240" w:after="240"/>
              <w:ind w:left="2160" w:hanging="720"/>
            </w:pPr>
            <w:r w:rsidRPr="003161DC">
              <w:t>(iii)</w:t>
            </w:r>
            <w:r w:rsidRPr="003161DC">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BC03DD" w:rsidRPr="003161DC" w14:paraId="61E7C8D1" w14:textId="77777777" w:rsidTr="00AE702A">
              <w:trPr>
                <w:trHeight w:val="350"/>
              </w:trPr>
              <w:tc>
                <w:tcPr>
                  <w:tcW w:w="3531" w:type="dxa"/>
                </w:tcPr>
                <w:p w14:paraId="43B56CEF" w14:textId="77777777" w:rsidR="00BC03DD" w:rsidRPr="003161DC" w:rsidRDefault="00BC03DD" w:rsidP="00BC03DD">
                  <w:pPr>
                    <w:spacing w:after="120"/>
                    <w:rPr>
                      <w:b/>
                      <w:iCs/>
                      <w:sz w:val="20"/>
                    </w:rPr>
                  </w:pPr>
                  <w:r w:rsidRPr="003161DC">
                    <w:rPr>
                      <w:b/>
                      <w:iCs/>
                      <w:sz w:val="20"/>
                    </w:rPr>
                    <w:t>MW</w:t>
                  </w:r>
                </w:p>
              </w:tc>
              <w:tc>
                <w:tcPr>
                  <w:tcW w:w="2804" w:type="dxa"/>
                </w:tcPr>
                <w:p w14:paraId="2220DDC0" w14:textId="77777777" w:rsidR="00BC03DD" w:rsidRPr="003161DC" w:rsidRDefault="00BC03DD" w:rsidP="00BC03DD">
                  <w:pPr>
                    <w:spacing w:after="120"/>
                    <w:rPr>
                      <w:b/>
                      <w:iCs/>
                      <w:sz w:val="20"/>
                    </w:rPr>
                  </w:pPr>
                  <w:r w:rsidRPr="003161DC">
                    <w:rPr>
                      <w:b/>
                      <w:iCs/>
                      <w:sz w:val="20"/>
                    </w:rPr>
                    <w:t>Price (per MWh)</w:t>
                  </w:r>
                </w:p>
              </w:tc>
            </w:tr>
            <w:tr w:rsidR="00BC03DD" w:rsidRPr="003161DC" w14:paraId="3F7AE894" w14:textId="77777777" w:rsidTr="00AE702A">
              <w:trPr>
                <w:trHeight w:val="345"/>
              </w:trPr>
              <w:tc>
                <w:tcPr>
                  <w:tcW w:w="3531" w:type="dxa"/>
                </w:tcPr>
                <w:p w14:paraId="140FF15D" w14:textId="77777777" w:rsidR="00BC03DD" w:rsidRPr="003161DC" w:rsidRDefault="00BC03DD" w:rsidP="00BC03DD">
                  <w:pPr>
                    <w:spacing w:after="60"/>
                    <w:rPr>
                      <w:iCs/>
                      <w:sz w:val="20"/>
                    </w:rPr>
                  </w:pPr>
                  <w:r w:rsidRPr="003161DC">
                    <w:rPr>
                      <w:sz w:val="20"/>
                    </w:rPr>
                    <w:t>HSL</w:t>
                  </w:r>
                </w:p>
              </w:tc>
              <w:tc>
                <w:tcPr>
                  <w:tcW w:w="2804" w:type="dxa"/>
                </w:tcPr>
                <w:p w14:paraId="42AB44CB" w14:textId="77777777" w:rsidR="00BC03DD" w:rsidRPr="003161DC" w:rsidRDefault="00BC03DD" w:rsidP="00BC03DD">
                  <w:pPr>
                    <w:spacing w:after="60"/>
                    <w:rPr>
                      <w:iCs/>
                      <w:sz w:val="20"/>
                    </w:rPr>
                  </w:pPr>
                  <w:r w:rsidRPr="003161DC">
                    <w:rPr>
                      <w:sz w:val="20"/>
                    </w:rPr>
                    <w:t>$4,500</w:t>
                  </w:r>
                  <w:r>
                    <w:rPr>
                      <w:sz w:val="20"/>
                    </w:rPr>
                    <w:t xml:space="preserve"> or the effective Value of Lost Load (VOLL), whichever is less.</w:t>
                  </w:r>
                </w:p>
              </w:tc>
            </w:tr>
            <w:tr w:rsidR="00BC03DD" w:rsidRPr="003161DC" w14:paraId="78882D80" w14:textId="77777777" w:rsidTr="00AE702A">
              <w:trPr>
                <w:trHeight w:val="332"/>
              </w:trPr>
              <w:tc>
                <w:tcPr>
                  <w:tcW w:w="3531" w:type="dxa"/>
                </w:tcPr>
                <w:p w14:paraId="69393E85" w14:textId="77777777" w:rsidR="00BC03DD" w:rsidRPr="003161DC" w:rsidRDefault="00BC03DD" w:rsidP="00BC03DD">
                  <w:pPr>
                    <w:spacing w:after="60"/>
                    <w:rPr>
                      <w:iCs/>
                      <w:sz w:val="20"/>
                    </w:rPr>
                  </w:pPr>
                  <w:r w:rsidRPr="003161DC">
                    <w:rPr>
                      <w:sz w:val="20"/>
                    </w:rPr>
                    <w:t>Zero</w:t>
                  </w:r>
                </w:p>
              </w:tc>
              <w:tc>
                <w:tcPr>
                  <w:tcW w:w="2804" w:type="dxa"/>
                </w:tcPr>
                <w:p w14:paraId="54205C77" w14:textId="77777777" w:rsidR="00BC03DD" w:rsidRPr="003161DC" w:rsidRDefault="00BC03DD" w:rsidP="00BC03DD">
                  <w:pPr>
                    <w:spacing w:after="60"/>
                    <w:rPr>
                      <w:iCs/>
                      <w:sz w:val="20"/>
                    </w:rPr>
                  </w:pPr>
                  <w:r w:rsidRPr="003161DC">
                    <w:rPr>
                      <w:sz w:val="20"/>
                    </w:rPr>
                    <w:t>$4,500</w:t>
                  </w:r>
                  <w:r>
                    <w:rPr>
                      <w:sz w:val="20"/>
                    </w:rPr>
                    <w:t xml:space="preserve"> or the effective VOLL, whichever is less.</w:t>
                  </w:r>
                </w:p>
              </w:tc>
            </w:tr>
          </w:tbl>
          <w:p w14:paraId="75EBC286" w14:textId="4EA6770E" w:rsidR="00BC03DD" w:rsidRPr="004F0296" w:rsidRDefault="00BC03DD" w:rsidP="00BC03DD">
            <w:pPr>
              <w:spacing w:before="240" w:after="240"/>
              <w:ind w:left="2160" w:hanging="720"/>
            </w:pPr>
            <w:r>
              <w:t>(iv</w:t>
            </w:r>
            <w:r w:rsidRPr="004F0296">
              <w:t xml:space="preserve">) </w:t>
            </w:r>
            <w:r w:rsidRPr="004F0296">
              <w:tab/>
              <w:t>For each Combined Cycle Generation Resource that was RUC-committed from one On-Line configuration in order to transition to a different configuration with additional capacity, as instructed by ERCOT, that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BC03DD" w:rsidRPr="004F0296" w14:paraId="19001941"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709276E7" w14:textId="77777777" w:rsidR="00BC03DD" w:rsidRPr="004F0296" w:rsidRDefault="00BC03DD" w:rsidP="00BC03DD">
                  <w:pPr>
                    <w:spacing w:after="120"/>
                    <w:rPr>
                      <w:b/>
                      <w:iCs/>
                      <w:sz w:val="20"/>
                    </w:rPr>
                  </w:pPr>
                  <w:r w:rsidRPr="004F0296">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3DE86F3C" w14:textId="77777777" w:rsidR="00BC03DD" w:rsidRPr="004F0296" w:rsidRDefault="00BC03DD" w:rsidP="00BC03DD">
                  <w:pPr>
                    <w:spacing w:after="120"/>
                    <w:rPr>
                      <w:b/>
                      <w:iCs/>
                      <w:sz w:val="20"/>
                    </w:rPr>
                  </w:pPr>
                  <w:r w:rsidRPr="004F0296">
                    <w:rPr>
                      <w:b/>
                      <w:iCs/>
                      <w:sz w:val="20"/>
                    </w:rPr>
                    <w:t>Price (per MWh)</w:t>
                  </w:r>
                </w:p>
              </w:tc>
            </w:tr>
            <w:tr w:rsidR="00BC03DD" w:rsidRPr="004F0296" w14:paraId="3FADB9BE"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33D59EE4" w14:textId="77777777" w:rsidR="00BC03DD" w:rsidRPr="004F0296" w:rsidRDefault="00BC03DD" w:rsidP="00BC03DD">
                  <w:pPr>
                    <w:spacing w:after="120"/>
                    <w:rPr>
                      <w:iCs/>
                      <w:sz w:val="20"/>
                    </w:rPr>
                  </w:pPr>
                  <w:r w:rsidRPr="004F0296">
                    <w:rPr>
                      <w:iCs/>
                      <w:sz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253D6739" w14:textId="57E03FA6" w:rsidR="00BC03DD" w:rsidRPr="004F0296" w:rsidRDefault="00BC03DD" w:rsidP="00BC03DD">
                  <w:pPr>
                    <w:spacing w:after="120"/>
                    <w:rPr>
                      <w:iCs/>
                      <w:sz w:val="20"/>
                    </w:rPr>
                  </w:pPr>
                  <w:r w:rsidRPr="004F0296">
                    <w:rPr>
                      <w:iCs/>
                      <w:sz w:val="20"/>
                    </w:rPr>
                    <w:t>$</w:t>
                  </w:r>
                  <w:r w:rsidR="00090A9F">
                    <w:rPr>
                      <w:iCs/>
                      <w:sz w:val="20"/>
                    </w:rPr>
                    <w:t>250</w:t>
                  </w:r>
                </w:p>
              </w:tc>
            </w:tr>
            <w:tr w:rsidR="00BC03DD" w:rsidRPr="004F0296" w14:paraId="3F5C7E54"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06BB852B" w14:textId="77777777" w:rsidR="00BC03DD" w:rsidRPr="004F0296" w:rsidRDefault="00BC03DD" w:rsidP="00BC03DD">
                  <w:pPr>
                    <w:spacing w:after="120"/>
                    <w:rPr>
                      <w:iCs/>
                      <w:sz w:val="20"/>
                    </w:rPr>
                  </w:pPr>
                  <w:r w:rsidRPr="004F0296">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62F07F9C" w14:textId="50F6B5B8" w:rsidR="00BC03DD" w:rsidRPr="004F0296" w:rsidRDefault="00BC03DD" w:rsidP="00BC03DD">
                  <w:pPr>
                    <w:spacing w:after="120"/>
                    <w:rPr>
                      <w:iCs/>
                      <w:sz w:val="20"/>
                    </w:rPr>
                  </w:pPr>
                  <w:r w:rsidRPr="004F0296">
                    <w:rPr>
                      <w:iCs/>
                      <w:sz w:val="20"/>
                    </w:rPr>
                    <w:t>$</w:t>
                  </w:r>
                  <w:r w:rsidR="00090A9F">
                    <w:rPr>
                      <w:iCs/>
                      <w:sz w:val="20"/>
                    </w:rPr>
                    <w:t>250</w:t>
                  </w:r>
                </w:p>
              </w:tc>
            </w:tr>
          </w:tbl>
          <w:p w14:paraId="5A67439E" w14:textId="165AF74F" w:rsidR="00BC03DD" w:rsidRPr="004F0296" w:rsidRDefault="00BC03DD" w:rsidP="00BC03DD">
            <w:pPr>
              <w:spacing w:before="240" w:after="240"/>
              <w:ind w:left="2160" w:hanging="720"/>
            </w:pPr>
            <w:r>
              <w:t>(</w:t>
            </w:r>
            <w:r w:rsidRPr="004F0296">
              <w:t xml:space="preserve">v) </w:t>
            </w:r>
            <w:r w:rsidRPr="004F0296">
              <w:tab/>
              <w:t>For each Combined Cycle Generation Resource that was RUC-committed from one On-Line configuration in order to transition to a different configuration with additional capacity, as instructed by ERCOT, that has submitted an Energy Offer Curve for the RUC-committed configuration,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BC03DD" w:rsidRPr="004F0296" w14:paraId="156CD745" w14:textId="77777777" w:rsidTr="00AE702A">
              <w:trPr>
                <w:trHeight w:val="350"/>
              </w:trPr>
              <w:tc>
                <w:tcPr>
                  <w:tcW w:w="3279" w:type="dxa"/>
                </w:tcPr>
                <w:p w14:paraId="4699DBD7" w14:textId="77777777" w:rsidR="00BC03DD" w:rsidRPr="004F0296" w:rsidRDefault="00BC03DD" w:rsidP="00BC03DD">
                  <w:pPr>
                    <w:spacing w:after="120"/>
                    <w:rPr>
                      <w:b/>
                      <w:iCs/>
                      <w:sz w:val="20"/>
                    </w:rPr>
                  </w:pPr>
                  <w:r w:rsidRPr="004F0296">
                    <w:rPr>
                      <w:b/>
                      <w:iCs/>
                      <w:sz w:val="20"/>
                    </w:rPr>
                    <w:t>MW</w:t>
                  </w:r>
                </w:p>
              </w:tc>
              <w:tc>
                <w:tcPr>
                  <w:tcW w:w="3060" w:type="dxa"/>
                </w:tcPr>
                <w:p w14:paraId="17939FF9" w14:textId="77777777" w:rsidR="00BC03DD" w:rsidRPr="004F0296" w:rsidRDefault="00BC03DD" w:rsidP="00BC03DD">
                  <w:pPr>
                    <w:spacing w:after="120"/>
                    <w:rPr>
                      <w:b/>
                      <w:iCs/>
                      <w:sz w:val="20"/>
                    </w:rPr>
                  </w:pPr>
                  <w:r w:rsidRPr="004F0296">
                    <w:rPr>
                      <w:b/>
                      <w:iCs/>
                      <w:sz w:val="20"/>
                    </w:rPr>
                    <w:t>Price (per MWh)</w:t>
                  </w:r>
                </w:p>
              </w:tc>
            </w:tr>
            <w:tr w:rsidR="00BC03DD" w:rsidRPr="004F0296" w14:paraId="36B12279" w14:textId="77777777" w:rsidTr="00AE702A">
              <w:trPr>
                <w:trHeight w:val="345"/>
              </w:trPr>
              <w:tc>
                <w:tcPr>
                  <w:tcW w:w="3279" w:type="dxa"/>
                </w:tcPr>
                <w:p w14:paraId="0B8B344E" w14:textId="77777777" w:rsidR="00BC03DD" w:rsidRPr="004F0296" w:rsidRDefault="00BC03DD" w:rsidP="00BC03DD">
                  <w:pPr>
                    <w:spacing w:after="60"/>
                    <w:rPr>
                      <w:iCs/>
                      <w:sz w:val="20"/>
                    </w:rPr>
                  </w:pPr>
                  <w:r w:rsidRPr="004F0296">
                    <w:rPr>
                      <w:iCs/>
                      <w:sz w:val="20"/>
                    </w:rPr>
                    <w:t>HSL of RUC-committed configuration (if more than highest MW in Energy Offer Curve)</w:t>
                  </w:r>
                </w:p>
              </w:tc>
              <w:tc>
                <w:tcPr>
                  <w:tcW w:w="3060" w:type="dxa"/>
                </w:tcPr>
                <w:p w14:paraId="76625DB0" w14:textId="23A63BB2" w:rsidR="00BC03DD" w:rsidRPr="004F0296" w:rsidRDefault="00BC03DD" w:rsidP="00BC03DD">
                  <w:pPr>
                    <w:spacing w:after="60"/>
                    <w:rPr>
                      <w:iCs/>
                      <w:sz w:val="20"/>
                    </w:rPr>
                  </w:pPr>
                  <w:r w:rsidRPr="004F0296">
                    <w:rPr>
                      <w:iCs/>
                      <w:sz w:val="20"/>
                    </w:rPr>
                    <w:t>Greater of $</w:t>
                  </w:r>
                  <w:r w:rsidR="00090A9F">
                    <w:rPr>
                      <w:iCs/>
                      <w:sz w:val="20"/>
                    </w:rPr>
                    <w:t>250</w:t>
                  </w:r>
                  <w:r w:rsidRPr="004F0296">
                    <w:rPr>
                      <w:iCs/>
                      <w:sz w:val="20"/>
                    </w:rPr>
                    <w:t xml:space="preserve"> or price associated with the highest MW in QSE submitted Energy Offer Curve</w:t>
                  </w:r>
                </w:p>
              </w:tc>
            </w:tr>
            <w:tr w:rsidR="00BC03DD" w:rsidRPr="004F0296" w14:paraId="1F781B0A" w14:textId="77777777" w:rsidTr="00AE702A">
              <w:trPr>
                <w:trHeight w:val="615"/>
              </w:trPr>
              <w:tc>
                <w:tcPr>
                  <w:tcW w:w="3279" w:type="dxa"/>
                </w:tcPr>
                <w:p w14:paraId="44844769" w14:textId="77777777" w:rsidR="00BC03DD" w:rsidRPr="004F0296" w:rsidRDefault="00BC03DD" w:rsidP="00BC03DD">
                  <w:pPr>
                    <w:spacing w:after="60"/>
                    <w:rPr>
                      <w:iCs/>
                      <w:sz w:val="20"/>
                    </w:rPr>
                  </w:pPr>
                  <w:r w:rsidRPr="004F0296">
                    <w:rPr>
                      <w:iCs/>
                      <w:sz w:val="20"/>
                    </w:rPr>
                    <w:lastRenderedPageBreak/>
                    <w:t>Energy Offer Curve for MW at and above HSL of QSE-committed configuration</w:t>
                  </w:r>
                </w:p>
              </w:tc>
              <w:tc>
                <w:tcPr>
                  <w:tcW w:w="3060" w:type="dxa"/>
                </w:tcPr>
                <w:p w14:paraId="21B45D9D" w14:textId="3B4CEC10" w:rsidR="00BC03DD" w:rsidRPr="004F0296" w:rsidRDefault="00BC03DD" w:rsidP="00BC03DD">
                  <w:pPr>
                    <w:spacing w:after="60"/>
                    <w:rPr>
                      <w:iCs/>
                      <w:sz w:val="20"/>
                    </w:rPr>
                  </w:pPr>
                  <w:r w:rsidRPr="004F0296">
                    <w:rPr>
                      <w:iCs/>
                      <w:sz w:val="20"/>
                    </w:rPr>
                    <w:t>Greater of $</w:t>
                  </w:r>
                  <w:r w:rsidR="00090A9F">
                    <w:rPr>
                      <w:iCs/>
                      <w:sz w:val="20"/>
                    </w:rPr>
                    <w:t>250</w:t>
                  </w:r>
                  <w:r w:rsidRPr="004F0296">
                    <w:rPr>
                      <w:iCs/>
                      <w:sz w:val="20"/>
                    </w:rPr>
                    <w:t xml:space="preserve"> or the QSE submitted Energy Offer Curve</w:t>
                  </w:r>
                </w:p>
              </w:tc>
            </w:tr>
            <w:tr w:rsidR="00BC03DD" w:rsidRPr="004F0296" w14:paraId="4AD704D4" w14:textId="77777777" w:rsidTr="00AE702A">
              <w:trPr>
                <w:trHeight w:val="615"/>
              </w:trPr>
              <w:tc>
                <w:tcPr>
                  <w:tcW w:w="3279" w:type="dxa"/>
                </w:tcPr>
                <w:p w14:paraId="5DB221A7" w14:textId="1108F7D5" w:rsidR="00BC03DD" w:rsidRPr="004F0296" w:rsidRDefault="00BC03DD" w:rsidP="00BC03DD">
                  <w:pPr>
                    <w:spacing w:after="60"/>
                    <w:rPr>
                      <w:iCs/>
                      <w:sz w:val="20"/>
                    </w:rPr>
                  </w:pPr>
                  <w:r w:rsidRPr="004F0296">
                    <w:rPr>
                      <w:iCs/>
                      <w:sz w:val="20"/>
                    </w:rPr>
                    <w:t>HSL of QSE-committed configuration (if more than highest MW in Energy Offer Curve and price associated with highest MW in Energy Offer Curve is less than $</w:t>
                  </w:r>
                  <w:r w:rsidR="00090A9F">
                    <w:rPr>
                      <w:iCs/>
                      <w:sz w:val="20"/>
                    </w:rPr>
                    <w:t>250</w:t>
                  </w:r>
                  <w:r w:rsidRPr="004F0296">
                    <w:rPr>
                      <w:iCs/>
                      <w:sz w:val="20"/>
                    </w:rPr>
                    <w:t>)</w:t>
                  </w:r>
                </w:p>
              </w:tc>
              <w:tc>
                <w:tcPr>
                  <w:tcW w:w="3060" w:type="dxa"/>
                </w:tcPr>
                <w:p w14:paraId="15C1E767" w14:textId="20186DF0" w:rsidR="00BC03DD" w:rsidRPr="004F0296" w:rsidRDefault="00BC03DD" w:rsidP="00BC03DD">
                  <w:pPr>
                    <w:spacing w:after="60"/>
                    <w:rPr>
                      <w:iCs/>
                      <w:sz w:val="20"/>
                    </w:rPr>
                  </w:pPr>
                  <w:r w:rsidRPr="004F0296">
                    <w:rPr>
                      <w:iCs/>
                      <w:sz w:val="20"/>
                    </w:rPr>
                    <w:t>$</w:t>
                  </w:r>
                  <w:r w:rsidR="00090A9F">
                    <w:rPr>
                      <w:iCs/>
                      <w:sz w:val="20"/>
                    </w:rPr>
                    <w:t>250</w:t>
                  </w:r>
                </w:p>
              </w:tc>
            </w:tr>
            <w:tr w:rsidR="00BC03DD" w:rsidRPr="004F0296" w14:paraId="6FE88089" w14:textId="77777777" w:rsidTr="00AE702A">
              <w:trPr>
                <w:trHeight w:val="368"/>
              </w:trPr>
              <w:tc>
                <w:tcPr>
                  <w:tcW w:w="3279" w:type="dxa"/>
                </w:tcPr>
                <w:p w14:paraId="35E10B83" w14:textId="77777777" w:rsidR="00BC03DD" w:rsidRPr="004F0296" w:rsidRDefault="00BC03DD" w:rsidP="00BC03DD">
                  <w:pPr>
                    <w:spacing w:after="60"/>
                    <w:rPr>
                      <w:iCs/>
                      <w:sz w:val="20"/>
                    </w:rPr>
                  </w:pPr>
                  <w:r w:rsidRPr="004F0296">
                    <w:rPr>
                      <w:iCs/>
                      <w:sz w:val="20"/>
                    </w:rPr>
                    <w:t>HSL of QSE-committed configuration (if more than highest MW in Energy Offer Curve)</w:t>
                  </w:r>
                </w:p>
              </w:tc>
              <w:tc>
                <w:tcPr>
                  <w:tcW w:w="3060" w:type="dxa"/>
                </w:tcPr>
                <w:p w14:paraId="158379E8" w14:textId="77777777" w:rsidR="00BC03DD" w:rsidRPr="004F0296" w:rsidRDefault="00BC03DD" w:rsidP="00BC03DD">
                  <w:pPr>
                    <w:spacing w:after="60"/>
                    <w:rPr>
                      <w:iCs/>
                      <w:sz w:val="20"/>
                    </w:rPr>
                  </w:pPr>
                  <w:r w:rsidRPr="004F0296">
                    <w:rPr>
                      <w:iCs/>
                      <w:sz w:val="20"/>
                    </w:rPr>
                    <w:t>Price associated with the highest MW in QSE submitted Energy Offer Curve</w:t>
                  </w:r>
                </w:p>
              </w:tc>
            </w:tr>
            <w:tr w:rsidR="00BC03DD" w:rsidRPr="004F0296" w14:paraId="3D4D60A9" w14:textId="77777777" w:rsidTr="00AE702A">
              <w:trPr>
                <w:trHeight w:val="773"/>
              </w:trPr>
              <w:tc>
                <w:tcPr>
                  <w:tcW w:w="3279" w:type="dxa"/>
                </w:tcPr>
                <w:p w14:paraId="4597FE02" w14:textId="77777777" w:rsidR="00BC03DD" w:rsidRPr="004F0296" w:rsidRDefault="00BC03DD" w:rsidP="00BC03DD">
                  <w:pPr>
                    <w:spacing w:after="60"/>
                    <w:rPr>
                      <w:iCs/>
                      <w:sz w:val="20"/>
                    </w:rPr>
                  </w:pPr>
                  <w:r w:rsidRPr="004F0296">
                    <w:rPr>
                      <w:iCs/>
                      <w:sz w:val="20"/>
                    </w:rPr>
                    <w:t>Energy Offer Curve for MW at and below HSL of QSE-committed configuration</w:t>
                  </w:r>
                </w:p>
              </w:tc>
              <w:tc>
                <w:tcPr>
                  <w:tcW w:w="3060" w:type="dxa"/>
                </w:tcPr>
                <w:p w14:paraId="72F85E7A" w14:textId="77777777" w:rsidR="00BC03DD" w:rsidRPr="004F0296" w:rsidRDefault="00BC03DD" w:rsidP="00BC03DD">
                  <w:pPr>
                    <w:spacing w:after="60"/>
                    <w:rPr>
                      <w:iCs/>
                      <w:sz w:val="20"/>
                    </w:rPr>
                  </w:pPr>
                  <w:r w:rsidRPr="004F0296">
                    <w:rPr>
                      <w:iCs/>
                      <w:sz w:val="20"/>
                    </w:rPr>
                    <w:t>The QSE submitted Energy Offer Curve</w:t>
                  </w:r>
                </w:p>
              </w:tc>
            </w:tr>
            <w:tr w:rsidR="00BC03DD" w:rsidRPr="004F0296" w14:paraId="61E1F27C" w14:textId="77777777" w:rsidTr="00AE702A">
              <w:trPr>
                <w:trHeight w:val="503"/>
              </w:trPr>
              <w:tc>
                <w:tcPr>
                  <w:tcW w:w="3279" w:type="dxa"/>
                </w:tcPr>
                <w:p w14:paraId="5C82146D" w14:textId="77777777" w:rsidR="00BC03DD" w:rsidRPr="004F0296" w:rsidRDefault="00BC03DD" w:rsidP="00BC03DD">
                  <w:pPr>
                    <w:spacing w:after="60"/>
                    <w:rPr>
                      <w:iCs/>
                      <w:sz w:val="20"/>
                    </w:rPr>
                  </w:pPr>
                  <w:r w:rsidRPr="004F0296">
                    <w:rPr>
                      <w:iCs/>
                      <w:sz w:val="20"/>
                    </w:rPr>
                    <w:t>1 MW below lowest MW in Energy Offer Curve (if more than LSL)</w:t>
                  </w:r>
                </w:p>
              </w:tc>
              <w:tc>
                <w:tcPr>
                  <w:tcW w:w="3060" w:type="dxa"/>
                </w:tcPr>
                <w:p w14:paraId="05567C0F" w14:textId="77777777" w:rsidR="00BC03DD" w:rsidRPr="004F0296" w:rsidRDefault="00BC03DD" w:rsidP="00BC03DD">
                  <w:pPr>
                    <w:spacing w:after="60"/>
                    <w:rPr>
                      <w:iCs/>
                      <w:sz w:val="20"/>
                    </w:rPr>
                  </w:pPr>
                  <w:r w:rsidRPr="004F0296">
                    <w:rPr>
                      <w:iCs/>
                      <w:sz w:val="20"/>
                    </w:rPr>
                    <w:t>-$249.99</w:t>
                  </w:r>
                </w:p>
              </w:tc>
            </w:tr>
            <w:tr w:rsidR="00BC03DD" w:rsidRPr="004F0296" w14:paraId="649B5C91" w14:textId="77777777" w:rsidTr="00AE702A">
              <w:trPr>
                <w:trHeight w:val="467"/>
              </w:trPr>
              <w:tc>
                <w:tcPr>
                  <w:tcW w:w="3279" w:type="dxa"/>
                </w:tcPr>
                <w:p w14:paraId="3420713D" w14:textId="77777777" w:rsidR="00BC03DD" w:rsidRPr="004F0296" w:rsidRDefault="00BC03DD" w:rsidP="00BC03DD">
                  <w:pPr>
                    <w:spacing w:after="60"/>
                    <w:rPr>
                      <w:iCs/>
                      <w:sz w:val="20"/>
                    </w:rPr>
                  </w:pPr>
                  <w:r w:rsidRPr="004F0296">
                    <w:rPr>
                      <w:iCs/>
                      <w:sz w:val="20"/>
                    </w:rPr>
                    <w:t>LSL (if less than lowest MW in Energy Offer Curve)</w:t>
                  </w:r>
                </w:p>
              </w:tc>
              <w:tc>
                <w:tcPr>
                  <w:tcW w:w="3060" w:type="dxa"/>
                </w:tcPr>
                <w:p w14:paraId="5BA5041B" w14:textId="77777777" w:rsidR="00BC03DD" w:rsidRPr="004F0296" w:rsidRDefault="00BC03DD" w:rsidP="00BC03DD">
                  <w:pPr>
                    <w:spacing w:after="60"/>
                    <w:rPr>
                      <w:iCs/>
                      <w:sz w:val="20"/>
                    </w:rPr>
                  </w:pPr>
                  <w:r w:rsidRPr="004F0296">
                    <w:rPr>
                      <w:iCs/>
                      <w:sz w:val="20"/>
                    </w:rPr>
                    <w:t>-$250.00</w:t>
                  </w:r>
                </w:p>
              </w:tc>
            </w:tr>
          </w:tbl>
          <w:p w14:paraId="7D692F74" w14:textId="3ACE482C" w:rsidR="00BC03DD" w:rsidRPr="004F0296" w:rsidRDefault="00BC03DD" w:rsidP="00BC03DD">
            <w:pPr>
              <w:spacing w:before="240" w:after="240"/>
              <w:ind w:left="2160" w:hanging="720"/>
            </w:pPr>
            <w:r w:rsidRPr="004F0296">
              <w:t>(v</w:t>
            </w:r>
            <w:r>
              <w:t>i</w:t>
            </w:r>
            <w:r w:rsidRPr="004F0296">
              <w:t>)</w:t>
            </w:r>
            <w:r w:rsidRPr="004F0296">
              <w:tab/>
              <w:t>For each RUC-committed Switchable Generation Resource (SWGR) that is not part of a Combined Cycle Train already operating in ERCOT, that has not submitted an Energy Offer Curve, and that has a COP Resource Status of EMRSWGR for the instructed Operating Hour at the time of the RUC instruction,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BC03DD" w:rsidRPr="004F0296" w14:paraId="1204AC25"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474E6143" w14:textId="77777777" w:rsidR="00BC03DD" w:rsidRPr="004F0296" w:rsidRDefault="00BC03DD" w:rsidP="00BC03DD">
                  <w:pPr>
                    <w:spacing w:after="120"/>
                    <w:rPr>
                      <w:b/>
                      <w:iCs/>
                      <w:sz w:val="20"/>
                    </w:rPr>
                  </w:pPr>
                  <w:r w:rsidRPr="004F0296">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24F62560" w14:textId="77777777" w:rsidR="00BC03DD" w:rsidRPr="004F0296" w:rsidRDefault="00BC03DD" w:rsidP="00BC03DD">
                  <w:pPr>
                    <w:spacing w:after="120"/>
                    <w:rPr>
                      <w:b/>
                      <w:iCs/>
                      <w:sz w:val="20"/>
                    </w:rPr>
                  </w:pPr>
                  <w:r w:rsidRPr="004F0296">
                    <w:rPr>
                      <w:b/>
                      <w:iCs/>
                      <w:sz w:val="20"/>
                    </w:rPr>
                    <w:t>Price (per MWh)</w:t>
                  </w:r>
                </w:p>
              </w:tc>
            </w:tr>
            <w:tr w:rsidR="00BC03DD" w:rsidRPr="004F0296" w14:paraId="548E03EA"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584CB9DE" w14:textId="77777777" w:rsidR="00BC03DD" w:rsidRPr="004F0296" w:rsidRDefault="00BC03DD" w:rsidP="00BC03DD">
                  <w:pPr>
                    <w:spacing w:after="120"/>
                    <w:rPr>
                      <w:iCs/>
                      <w:sz w:val="20"/>
                    </w:rPr>
                  </w:pPr>
                  <w:r w:rsidRPr="004F0296">
                    <w:rPr>
                      <w:iCs/>
                      <w:sz w:val="20"/>
                    </w:rPr>
                    <w:t>HSL</w:t>
                  </w:r>
                </w:p>
              </w:tc>
              <w:tc>
                <w:tcPr>
                  <w:tcW w:w="3600" w:type="dxa"/>
                  <w:tcBorders>
                    <w:top w:val="single" w:sz="4" w:space="0" w:color="auto"/>
                    <w:left w:val="single" w:sz="4" w:space="0" w:color="auto"/>
                    <w:bottom w:val="single" w:sz="4" w:space="0" w:color="auto"/>
                    <w:right w:val="single" w:sz="4" w:space="0" w:color="auto"/>
                  </w:tcBorders>
                </w:tcPr>
                <w:p w14:paraId="12835CDB" w14:textId="77777777" w:rsidR="00BC03DD" w:rsidRPr="004F0296" w:rsidRDefault="00BC03DD" w:rsidP="00BC03DD">
                  <w:pPr>
                    <w:spacing w:after="120"/>
                    <w:rPr>
                      <w:iCs/>
                      <w:sz w:val="20"/>
                    </w:rPr>
                  </w:pPr>
                  <w:r w:rsidRPr="004F0296">
                    <w:rPr>
                      <w:iCs/>
                      <w:sz w:val="20"/>
                    </w:rPr>
                    <w:t>$4,500</w:t>
                  </w:r>
                  <w:r>
                    <w:rPr>
                      <w:sz w:val="20"/>
                    </w:rPr>
                    <w:t xml:space="preserve"> or the effective Value of Lost Load (VOLL), whichever is less</w:t>
                  </w:r>
                </w:p>
              </w:tc>
            </w:tr>
            <w:tr w:rsidR="00BC03DD" w:rsidRPr="004F0296" w14:paraId="36CBEBE0"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67391759" w14:textId="77777777" w:rsidR="00BC03DD" w:rsidRPr="004F0296" w:rsidRDefault="00BC03DD" w:rsidP="00BC03DD">
                  <w:pPr>
                    <w:spacing w:after="120"/>
                    <w:rPr>
                      <w:iCs/>
                      <w:sz w:val="20"/>
                    </w:rPr>
                  </w:pPr>
                  <w:r w:rsidRPr="004F0296">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1441AE64" w14:textId="77777777" w:rsidR="00BC03DD" w:rsidRPr="004F0296" w:rsidRDefault="00BC03DD" w:rsidP="00BC03DD">
                  <w:pPr>
                    <w:spacing w:after="120"/>
                    <w:rPr>
                      <w:iCs/>
                      <w:sz w:val="20"/>
                    </w:rPr>
                  </w:pPr>
                  <w:r w:rsidRPr="004F0296">
                    <w:rPr>
                      <w:iCs/>
                      <w:sz w:val="20"/>
                    </w:rPr>
                    <w:t>$4,500</w:t>
                  </w:r>
                  <w:r>
                    <w:rPr>
                      <w:sz w:val="20"/>
                    </w:rPr>
                    <w:t xml:space="preserve"> or the effective VOLL, whichever is less</w:t>
                  </w:r>
                </w:p>
              </w:tc>
            </w:tr>
          </w:tbl>
          <w:p w14:paraId="4824B708" w14:textId="16B39BD9" w:rsidR="00BC03DD" w:rsidRPr="004F0296" w:rsidRDefault="00BC03DD" w:rsidP="00BC03DD">
            <w:pPr>
              <w:spacing w:before="240" w:after="240"/>
              <w:ind w:left="2160" w:hanging="720"/>
            </w:pPr>
            <w:r w:rsidRPr="004F0296">
              <w:t>(vi</w:t>
            </w:r>
            <w:r>
              <w:t>i</w:t>
            </w:r>
            <w:r w:rsidRPr="004F0296">
              <w:t>)</w:t>
            </w:r>
            <w:r w:rsidRPr="004F0296">
              <w:tab/>
              <w:t>For each RUC-committed SWGR that is not part of a Combined Cycle Train already operating in ERCOT, that has submitted an Energy Offer Curve, and that has a COP Resource Status of EMRSWGR for the instructed Operating Hour at the time of the RUC instruction,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BC03DD" w:rsidRPr="004F0296" w14:paraId="6FE4F2C3" w14:textId="77777777" w:rsidTr="00AE702A">
              <w:trPr>
                <w:trHeight w:val="350"/>
              </w:trPr>
              <w:tc>
                <w:tcPr>
                  <w:tcW w:w="3531" w:type="dxa"/>
                </w:tcPr>
                <w:p w14:paraId="438E92C3" w14:textId="77777777" w:rsidR="00BC03DD" w:rsidRPr="004F0296" w:rsidRDefault="00BC03DD" w:rsidP="00BC03DD">
                  <w:pPr>
                    <w:spacing w:after="120"/>
                    <w:rPr>
                      <w:b/>
                      <w:iCs/>
                      <w:sz w:val="20"/>
                    </w:rPr>
                  </w:pPr>
                  <w:r w:rsidRPr="004F0296">
                    <w:rPr>
                      <w:b/>
                      <w:iCs/>
                      <w:sz w:val="20"/>
                    </w:rPr>
                    <w:t>MW</w:t>
                  </w:r>
                </w:p>
              </w:tc>
              <w:tc>
                <w:tcPr>
                  <w:tcW w:w="2804" w:type="dxa"/>
                </w:tcPr>
                <w:p w14:paraId="4FA1090C" w14:textId="77777777" w:rsidR="00BC03DD" w:rsidRPr="004F0296" w:rsidRDefault="00BC03DD" w:rsidP="00BC03DD">
                  <w:pPr>
                    <w:spacing w:after="120"/>
                    <w:rPr>
                      <w:b/>
                      <w:iCs/>
                      <w:sz w:val="20"/>
                    </w:rPr>
                  </w:pPr>
                  <w:r w:rsidRPr="004F0296">
                    <w:rPr>
                      <w:b/>
                      <w:iCs/>
                      <w:sz w:val="20"/>
                    </w:rPr>
                    <w:t>Price (per MWh)</w:t>
                  </w:r>
                </w:p>
              </w:tc>
            </w:tr>
            <w:tr w:rsidR="00BC03DD" w:rsidRPr="004F0296" w14:paraId="698D2FF2" w14:textId="77777777" w:rsidTr="00AE702A">
              <w:trPr>
                <w:trHeight w:val="345"/>
              </w:trPr>
              <w:tc>
                <w:tcPr>
                  <w:tcW w:w="3531" w:type="dxa"/>
                </w:tcPr>
                <w:p w14:paraId="3D422823" w14:textId="77777777" w:rsidR="00BC03DD" w:rsidRPr="004F0296" w:rsidRDefault="00BC03DD" w:rsidP="00BC03DD">
                  <w:pPr>
                    <w:spacing w:after="60"/>
                    <w:rPr>
                      <w:iCs/>
                      <w:sz w:val="20"/>
                    </w:rPr>
                  </w:pPr>
                  <w:r w:rsidRPr="004F0296">
                    <w:rPr>
                      <w:iCs/>
                      <w:sz w:val="20"/>
                    </w:rPr>
                    <w:t>HSL (if more than highest MW in Energy Offer Curve)</w:t>
                  </w:r>
                </w:p>
              </w:tc>
              <w:tc>
                <w:tcPr>
                  <w:tcW w:w="2804" w:type="dxa"/>
                </w:tcPr>
                <w:p w14:paraId="2E0AA5F3"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 and</w:t>
                  </w:r>
                  <w:r w:rsidRPr="004F0296">
                    <w:rPr>
                      <w:iCs/>
                      <w:sz w:val="20"/>
                    </w:rPr>
                    <w:t xml:space="preserve"> </w:t>
                  </w:r>
                  <w:r>
                    <w:rPr>
                      <w:iCs/>
                      <w:sz w:val="20"/>
                    </w:rPr>
                    <w:t>the</w:t>
                  </w:r>
                  <w:r w:rsidRPr="004F0296">
                    <w:rPr>
                      <w:iCs/>
                      <w:sz w:val="20"/>
                    </w:rPr>
                    <w:t xml:space="preserve"> price associated with the highest MW in QSE-submitted Energy Offer Curve</w:t>
                  </w:r>
                </w:p>
              </w:tc>
            </w:tr>
            <w:tr w:rsidR="00BC03DD" w:rsidRPr="004F0296" w14:paraId="03971733" w14:textId="77777777" w:rsidTr="00AE702A">
              <w:trPr>
                <w:trHeight w:val="615"/>
              </w:trPr>
              <w:tc>
                <w:tcPr>
                  <w:tcW w:w="3531" w:type="dxa"/>
                </w:tcPr>
                <w:p w14:paraId="68753A7E" w14:textId="77777777" w:rsidR="00BC03DD" w:rsidRPr="004F0296" w:rsidRDefault="00BC03DD" w:rsidP="00BC03DD">
                  <w:pPr>
                    <w:spacing w:after="60"/>
                    <w:rPr>
                      <w:iCs/>
                      <w:sz w:val="20"/>
                    </w:rPr>
                  </w:pPr>
                  <w:r w:rsidRPr="004F0296">
                    <w:rPr>
                      <w:iCs/>
                      <w:sz w:val="20"/>
                    </w:rPr>
                    <w:t>Energy Offer Curve</w:t>
                  </w:r>
                </w:p>
              </w:tc>
              <w:tc>
                <w:tcPr>
                  <w:tcW w:w="2804" w:type="dxa"/>
                </w:tcPr>
                <w:p w14:paraId="7451DCF8"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 and</w:t>
                  </w:r>
                  <w:r w:rsidRPr="004F0296">
                    <w:rPr>
                      <w:iCs/>
                      <w:sz w:val="20"/>
                    </w:rPr>
                    <w:t xml:space="preserve"> the QSE-submitted Energy Offer Curve</w:t>
                  </w:r>
                </w:p>
              </w:tc>
            </w:tr>
            <w:tr w:rsidR="00BC03DD" w:rsidRPr="004F0296" w14:paraId="780A3768" w14:textId="77777777" w:rsidTr="00AE702A">
              <w:trPr>
                <w:trHeight w:val="916"/>
              </w:trPr>
              <w:tc>
                <w:tcPr>
                  <w:tcW w:w="3531" w:type="dxa"/>
                </w:tcPr>
                <w:p w14:paraId="5661B1CE" w14:textId="77777777" w:rsidR="00BC03DD" w:rsidRPr="004F0296" w:rsidRDefault="00BC03DD" w:rsidP="00BC03DD">
                  <w:pPr>
                    <w:spacing w:after="60"/>
                    <w:rPr>
                      <w:iCs/>
                      <w:sz w:val="20"/>
                    </w:rPr>
                  </w:pPr>
                  <w:r w:rsidRPr="004F0296">
                    <w:rPr>
                      <w:iCs/>
                      <w:sz w:val="20"/>
                    </w:rPr>
                    <w:lastRenderedPageBreak/>
                    <w:t>Zero</w:t>
                  </w:r>
                </w:p>
              </w:tc>
              <w:tc>
                <w:tcPr>
                  <w:tcW w:w="2804" w:type="dxa"/>
                </w:tcPr>
                <w:p w14:paraId="7CEF011A"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w:t>
                  </w:r>
                  <w:r w:rsidRPr="004F0296">
                    <w:rPr>
                      <w:iCs/>
                      <w:sz w:val="20"/>
                    </w:rPr>
                    <w:t xml:space="preserve"> </w:t>
                  </w:r>
                  <w:r>
                    <w:rPr>
                      <w:iCs/>
                      <w:sz w:val="20"/>
                    </w:rPr>
                    <w:t>and</w:t>
                  </w:r>
                  <w:r w:rsidRPr="004F0296">
                    <w:rPr>
                      <w:iCs/>
                      <w:sz w:val="20"/>
                    </w:rPr>
                    <w:t xml:space="preserve"> the first price point of the QSE-submitted Energy Offer Curve</w:t>
                  </w:r>
                </w:p>
              </w:tc>
            </w:tr>
          </w:tbl>
          <w:p w14:paraId="3AFC7F73" w14:textId="036EA1D6" w:rsidR="00BC03DD" w:rsidRPr="004F0296" w:rsidRDefault="00BC03DD" w:rsidP="00BC03DD">
            <w:pPr>
              <w:spacing w:before="240" w:after="240"/>
              <w:ind w:left="2160" w:hanging="720"/>
            </w:pPr>
            <w:r w:rsidRPr="004F0296">
              <w:t>(vi</w:t>
            </w:r>
            <w:r>
              <w:t>i</w:t>
            </w:r>
            <w:r w:rsidRPr="004F0296">
              <w:t>i)</w:t>
            </w:r>
            <w:r w:rsidRPr="004F0296">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BC03DD" w:rsidRPr="004F0296" w14:paraId="089A0AF8"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03B2438F" w14:textId="77777777" w:rsidR="00BC03DD" w:rsidRPr="004F0296" w:rsidRDefault="00BC03DD" w:rsidP="00BC03DD">
                  <w:pPr>
                    <w:spacing w:after="120"/>
                    <w:rPr>
                      <w:b/>
                      <w:iCs/>
                      <w:sz w:val="20"/>
                    </w:rPr>
                  </w:pPr>
                  <w:r w:rsidRPr="004F0296">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68D68430" w14:textId="77777777" w:rsidR="00BC03DD" w:rsidRPr="004F0296" w:rsidRDefault="00BC03DD" w:rsidP="00BC03DD">
                  <w:pPr>
                    <w:spacing w:after="120"/>
                    <w:rPr>
                      <w:b/>
                      <w:iCs/>
                      <w:sz w:val="20"/>
                    </w:rPr>
                  </w:pPr>
                  <w:r w:rsidRPr="004F0296">
                    <w:rPr>
                      <w:b/>
                      <w:iCs/>
                      <w:sz w:val="20"/>
                    </w:rPr>
                    <w:t>Price (per MWh)</w:t>
                  </w:r>
                </w:p>
              </w:tc>
            </w:tr>
            <w:tr w:rsidR="00BC03DD" w:rsidRPr="004F0296" w14:paraId="0EA48F9F"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18A3844B" w14:textId="77777777" w:rsidR="00BC03DD" w:rsidRPr="004F0296" w:rsidRDefault="00BC03DD" w:rsidP="00BC03DD">
                  <w:pPr>
                    <w:spacing w:after="120"/>
                    <w:rPr>
                      <w:iCs/>
                      <w:sz w:val="20"/>
                    </w:rPr>
                  </w:pPr>
                  <w:r w:rsidRPr="004F0296">
                    <w:rPr>
                      <w:iCs/>
                      <w:sz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5416ED90" w14:textId="77777777" w:rsidR="00BC03DD" w:rsidRPr="004F0296" w:rsidRDefault="00BC03DD" w:rsidP="00BC03DD">
                  <w:pPr>
                    <w:spacing w:after="120"/>
                    <w:rPr>
                      <w:iCs/>
                      <w:sz w:val="20"/>
                    </w:rPr>
                  </w:pPr>
                  <w:r w:rsidRPr="004F0296">
                    <w:rPr>
                      <w:iCs/>
                      <w:sz w:val="20"/>
                    </w:rPr>
                    <w:t>$4,500</w:t>
                  </w:r>
                  <w:r>
                    <w:rPr>
                      <w:sz w:val="20"/>
                    </w:rPr>
                    <w:t xml:space="preserve"> or the effective VOLL, whichever is less</w:t>
                  </w:r>
                </w:p>
              </w:tc>
            </w:tr>
            <w:tr w:rsidR="00BC03DD" w:rsidRPr="004F0296" w14:paraId="56CEBE46"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5A26863A" w14:textId="77777777" w:rsidR="00BC03DD" w:rsidRPr="004F0296" w:rsidRDefault="00BC03DD" w:rsidP="00BC03DD">
                  <w:pPr>
                    <w:spacing w:after="120"/>
                    <w:rPr>
                      <w:iCs/>
                      <w:sz w:val="20"/>
                    </w:rPr>
                  </w:pPr>
                  <w:r w:rsidRPr="004F0296">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12F83325" w14:textId="77777777" w:rsidR="00BC03DD" w:rsidRPr="004F0296" w:rsidRDefault="00BC03DD" w:rsidP="00BC03DD">
                  <w:pPr>
                    <w:spacing w:after="120"/>
                    <w:rPr>
                      <w:iCs/>
                      <w:sz w:val="20"/>
                    </w:rPr>
                  </w:pPr>
                  <w:r w:rsidRPr="004F0296">
                    <w:rPr>
                      <w:iCs/>
                      <w:sz w:val="20"/>
                    </w:rPr>
                    <w:t>$4,500</w:t>
                  </w:r>
                  <w:r>
                    <w:rPr>
                      <w:sz w:val="20"/>
                    </w:rPr>
                    <w:t xml:space="preserve"> or the effective VOLL, whichever is less</w:t>
                  </w:r>
                </w:p>
              </w:tc>
            </w:tr>
          </w:tbl>
          <w:p w14:paraId="5466673C" w14:textId="5A27C205" w:rsidR="00BC03DD" w:rsidRPr="004F0296" w:rsidRDefault="00BC03DD" w:rsidP="00BC03DD">
            <w:pPr>
              <w:spacing w:before="240" w:after="240"/>
              <w:ind w:left="2160" w:hanging="720"/>
            </w:pPr>
            <w:r>
              <w:t>(</w:t>
            </w:r>
            <w:r w:rsidRPr="004F0296">
              <w:t>i</w:t>
            </w:r>
            <w:r>
              <w:t>x)</w:t>
            </w:r>
            <w:r w:rsidRPr="004F0296">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BC03DD" w:rsidRPr="004F0296" w14:paraId="478FA111" w14:textId="77777777" w:rsidTr="00AE702A">
              <w:trPr>
                <w:trHeight w:val="350"/>
              </w:trPr>
              <w:tc>
                <w:tcPr>
                  <w:tcW w:w="3279" w:type="dxa"/>
                </w:tcPr>
                <w:p w14:paraId="77934089" w14:textId="77777777" w:rsidR="00BC03DD" w:rsidRPr="004F0296" w:rsidRDefault="00BC03DD" w:rsidP="00BC03DD">
                  <w:pPr>
                    <w:spacing w:after="120"/>
                    <w:rPr>
                      <w:b/>
                      <w:iCs/>
                      <w:sz w:val="20"/>
                    </w:rPr>
                  </w:pPr>
                  <w:r w:rsidRPr="004F0296">
                    <w:rPr>
                      <w:b/>
                      <w:iCs/>
                      <w:sz w:val="20"/>
                    </w:rPr>
                    <w:t>MW</w:t>
                  </w:r>
                </w:p>
              </w:tc>
              <w:tc>
                <w:tcPr>
                  <w:tcW w:w="3060" w:type="dxa"/>
                </w:tcPr>
                <w:p w14:paraId="671FBC81" w14:textId="77777777" w:rsidR="00BC03DD" w:rsidRPr="004F0296" w:rsidRDefault="00BC03DD" w:rsidP="00BC03DD">
                  <w:pPr>
                    <w:spacing w:after="120"/>
                    <w:rPr>
                      <w:b/>
                      <w:iCs/>
                      <w:sz w:val="20"/>
                    </w:rPr>
                  </w:pPr>
                  <w:r w:rsidRPr="004F0296">
                    <w:rPr>
                      <w:b/>
                      <w:iCs/>
                      <w:sz w:val="20"/>
                    </w:rPr>
                    <w:t>Price (per MWh)</w:t>
                  </w:r>
                </w:p>
              </w:tc>
            </w:tr>
            <w:tr w:rsidR="00BC03DD" w:rsidRPr="004F0296" w14:paraId="7ED3A901" w14:textId="77777777" w:rsidTr="00AE702A">
              <w:trPr>
                <w:trHeight w:val="345"/>
              </w:trPr>
              <w:tc>
                <w:tcPr>
                  <w:tcW w:w="3279" w:type="dxa"/>
                </w:tcPr>
                <w:p w14:paraId="6C22DAD8" w14:textId="77777777" w:rsidR="00BC03DD" w:rsidRPr="004F0296" w:rsidRDefault="00BC03DD" w:rsidP="00BC03DD">
                  <w:pPr>
                    <w:spacing w:after="60"/>
                    <w:rPr>
                      <w:iCs/>
                      <w:sz w:val="20"/>
                    </w:rPr>
                  </w:pPr>
                  <w:r w:rsidRPr="004F0296">
                    <w:rPr>
                      <w:iCs/>
                      <w:sz w:val="20"/>
                    </w:rPr>
                    <w:t>HSL of RUC-committed configuration (if more than highest MW in Energy Offer Curve)</w:t>
                  </w:r>
                </w:p>
              </w:tc>
              <w:tc>
                <w:tcPr>
                  <w:tcW w:w="3060" w:type="dxa"/>
                </w:tcPr>
                <w:p w14:paraId="1032903A"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 and</w:t>
                  </w:r>
                  <w:r w:rsidRPr="004F0296">
                    <w:rPr>
                      <w:iCs/>
                      <w:sz w:val="20"/>
                    </w:rPr>
                    <w:t xml:space="preserve"> </w:t>
                  </w:r>
                  <w:r>
                    <w:rPr>
                      <w:iCs/>
                      <w:sz w:val="20"/>
                    </w:rPr>
                    <w:t>the</w:t>
                  </w:r>
                  <w:r w:rsidRPr="004F0296">
                    <w:rPr>
                      <w:iCs/>
                      <w:sz w:val="20"/>
                    </w:rPr>
                    <w:t xml:space="preserve"> price associated with the highest MW in QSE-submitted Energy Offer Curve</w:t>
                  </w:r>
                </w:p>
              </w:tc>
            </w:tr>
            <w:tr w:rsidR="00BC03DD" w:rsidRPr="004F0296" w14:paraId="18D8E31C" w14:textId="77777777" w:rsidTr="00AE702A">
              <w:trPr>
                <w:trHeight w:val="615"/>
              </w:trPr>
              <w:tc>
                <w:tcPr>
                  <w:tcW w:w="3279" w:type="dxa"/>
                </w:tcPr>
                <w:p w14:paraId="19078473" w14:textId="77777777" w:rsidR="00BC03DD" w:rsidRPr="004F0296" w:rsidRDefault="00BC03DD" w:rsidP="00BC03DD">
                  <w:pPr>
                    <w:spacing w:after="60"/>
                    <w:rPr>
                      <w:iCs/>
                      <w:sz w:val="20"/>
                    </w:rPr>
                  </w:pPr>
                  <w:r w:rsidRPr="004F0296">
                    <w:rPr>
                      <w:iCs/>
                      <w:sz w:val="20"/>
                    </w:rPr>
                    <w:t>Energy Offer Curve for MW at and above HSL of QSE-committed configuration</w:t>
                  </w:r>
                </w:p>
              </w:tc>
              <w:tc>
                <w:tcPr>
                  <w:tcW w:w="3060" w:type="dxa"/>
                </w:tcPr>
                <w:p w14:paraId="5070F7A2"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w:t>
                  </w:r>
                  <w:r>
                    <w:rPr>
                      <w:iCs/>
                      <w:sz w:val="20"/>
                    </w:rPr>
                    <w:t xml:space="preserve"> and</w:t>
                  </w:r>
                  <w:r w:rsidRPr="004F0296">
                    <w:rPr>
                      <w:iCs/>
                      <w:sz w:val="20"/>
                    </w:rPr>
                    <w:t xml:space="preserve"> the QSE-submitted Energy Offer Curve</w:t>
                  </w:r>
                </w:p>
              </w:tc>
            </w:tr>
            <w:tr w:rsidR="00BC03DD" w:rsidRPr="004F0296" w14:paraId="6371D221" w14:textId="77777777" w:rsidTr="00AE702A">
              <w:trPr>
                <w:trHeight w:val="615"/>
              </w:trPr>
              <w:tc>
                <w:tcPr>
                  <w:tcW w:w="3279" w:type="dxa"/>
                </w:tcPr>
                <w:p w14:paraId="538D7A2B" w14:textId="77777777" w:rsidR="00BC03DD" w:rsidRPr="004F0296" w:rsidRDefault="00BC03DD" w:rsidP="00BC03DD">
                  <w:pPr>
                    <w:spacing w:after="60"/>
                    <w:rPr>
                      <w:iCs/>
                      <w:sz w:val="20"/>
                    </w:rPr>
                  </w:pPr>
                  <w:r w:rsidRPr="004F0296">
                    <w:rPr>
                      <w:iCs/>
                      <w:sz w:val="20"/>
                    </w:rPr>
                    <w:t>HSL of QSE-committed configuration (if more than highest MW in Energy Offer Curve and price associated with highest MW in Energy Offer Curve is less than $4,500)</w:t>
                  </w:r>
                </w:p>
              </w:tc>
              <w:tc>
                <w:tcPr>
                  <w:tcW w:w="3060" w:type="dxa"/>
                </w:tcPr>
                <w:p w14:paraId="7594AB05" w14:textId="77777777" w:rsidR="00BC03DD" w:rsidRPr="004F0296" w:rsidRDefault="00BC03DD" w:rsidP="00BC03DD">
                  <w:pPr>
                    <w:spacing w:after="60"/>
                    <w:rPr>
                      <w:iCs/>
                      <w:sz w:val="20"/>
                    </w:rPr>
                  </w:pPr>
                  <w:r w:rsidRPr="004F0296">
                    <w:rPr>
                      <w:iCs/>
                      <w:sz w:val="20"/>
                    </w:rPr>
                    <w:t>$4,500</w:t>
                  </w:r>
                  <w:r>
                    <w:rPr>
                      <w:sz w:val="20"/>
                    </w:rPr>
                    <w:t xml:space="preserve"> or the effective VOLL, whichever is less</w:t>
                  </w:r>
                </w:p>
              </w:tc>
            </w:tr>
            <w:tr w:rsidR="00BC03DD" w:rsidRPr="004F0296" w14:paraId="01C205B7" w14:textId="77777777" w:rsidTr="00AE702A">
              <w:trPr>
                <w:trHeight w:val="368"/>
              </w:trPr>
              <w:tc>
                <w:tcPr>
                  <w:tcW w:w="3279" w:type="dxa"/>
                </w:tcPr>
                <w:p w14:paraId="20972ACF" w14:textId="77777777" w:rsidR="00BC03DD" w:rsidRPr="004F0296" w:rsidRDefault="00BC03DD" w:rsidP="00BC03DD">
                  <w:pPr>
                    <w:spacing w:after="60"/>
                    <w:rPr>
                      <w:iCs/>
                      <w:sz w:val="20"/>
                    </w:rPr>
                  </w:pPr>
                  <w:r w:rsidRPr="004F0296">
                    <w:rPr>
                      <w:iCs/>
                      <w:sz w:val="20"/>
                    </w:rPr>
                    <w:lastRenderedPageBreak/>
                    <w:t>HSL of QSE-committed configuration (if more than highest MW in Energy Offer Curve)</w:t>
                  </w:r>
                </w:p>
              </w:tc>
              <w:tc>
                <w:tcPr>
                  <w:tcW w:w="3060" w:type="dxa"/>
                </w:tcPr>
                <w:p w14:paraId="62521379" w14:textId="77777777" w:rsidR="00BC03DD" w:rsidRPr="004F0296" w:rsidRDefault="00BC03DD" w:rsidP="00BC03DD">
                  <w:pPr>
                    <w:spacing w:after="60"/>
                    <w:rPr>
                      <w:iCs/>
                      <w:sz w:val="20"/>
                    </w:rPr>
                  </w:pPr>
                  <w:r w:rsidRPr="004F0296">
                    <w:rPr>
                      <w:iCs/>
                      <w:sz w:val="20"/>
                    </w:rPr>
                    <w:t>Price associated with the highest MW in QSE-submitted Energy Offer Curve</w:t>
                  </w:r>
                </w:p>
              </w:tc>
            </w:tr>
            <w:tr w:rsidR="00BC03DD" w:rsidRPr="004F0296" w14:paraId="57341F11" w14:textId="77777777" w:rsidTr="00AE702A">
              <w:trPr>
                <w:trHeight w:val="773"/>
              </w:trPr>
              <w:tc>
                <w:tcPr>
                  <w:tcW w:w="3279" w:type="dxa"/>
                </w:tcPr>
                <w:p w14:paraId="0B620185" w14:textId="77777777" w:rsidR="00BC03DD" w:rsidRPr="004F0296" w:rsidRDefault="00BC03DD" w:rsidP="00BC03DD">
                  <w:pPr>
                    <w:spacing w:after="60"/>
                    <w:rPr>
                      <w:iCs/>
                      <w:sz w:val="20"/>
                    </w:rPr>
                  </w:pPr>
                  <w:r w:rsidRPr="004F0296">
                    <w:rPr>
                      <w:iCs/>
                      <w:sz w:val="20"/>
                    </w:rPr>
                    <w:t>Energy Offer Curve for MW at and below HSL of QSE-committed configuration</w:t>
                  </w:r>
                </w:p>
              </w:tc>
              <w:tc>
                <w:tcPr>
                  <w:tcW w:w="3060" w:type="dxa"/>
                </w:tcPr>
                <w:p w14:paraId="49E0FC19" w14:textId="77777777" w:rsidR="00BC03DD" w:rsidRPr="004F0296" w:rsidRDefault="00BC03DD" w:rsidP="00BC03DD">
                  <w:pPr>
                    <w:spacing w:after="60"/>
                    <w:rPr>
                      <w:iCs/>
                      <w:sz w:val="20"/>
                    </w:rPr>
                  </w:pPr>
                  <w:r w:rsidRPr="004F0296">
                    <w:rPr>
                      <w:iCs/>
                      <w:sz w:val="20"/>
                    </w:rPr>
                    <w:t>The QSE-submitted Energy Offer Curve</w:t>
                  </w:r>
                </w:p>
              </w:tc>
            </w:tr>
            <w:tr w:rsidR="00BC03DD" w:rsidRPr="004F0296" w14:paraId="4A89F2A9" w14:textId="77777777" w:rsidTr="00AE702A">
              <w:trPr>
                <w:trHeight w:val="503"/>
              </w:trPr>
              <w:tc>
                <w:tcPr>
                  <w:tcW w:w="3279" w:type="dxa"/>
                </w:tcPr>
                <w:p w14:paraId="0598B17C" w14:textId="77777777" w:rsidR="00BC03DD" w:rsidRPr="004F0296" w:rsidRDefault="00BC03DD" w:rsidP="00BC03DD">
                  <w:pPr>
                    <w:spacing w:after="60"/>
                    <w:rPr>
                      <w:iCs/>
                      <w:sz w:val="20"/>
                    </w:rPr>
                  </w:pPr>
                  <w:r w:rsidRPr="004F0296">
                    <w:rPr>
                      <w:iCs/>
                      <w:sz w:val="20"/>
                    </w:rPr>
                    <w:t>1 MW below lowest MW in Energy Offer Curve (if more than LSL)</w:t>
                  </w:r>
                </w:p>
              </w:tc>
              <w:tc>
                <w:tcPr>
                  <w:tcW w:w="3060" w:type="dxa"/>
                </w:tcPr>
                <w:p w14:paraId="4DDDA183" w14:textId="77777777" w:rsidR="00BC03DD" w:rsidRPr="004F0296" w:rsidRDefault="00BC03DD" w:rsidP="00BC03DD">
                  <w:pPr>
                    <w:spacing w:after="60"/>
                    <w:rPr>
                      <w:iCs/>
                      <w:sz w:val="20"/>
                    </w:rPr>
                  </w:pPr>
                  <w:r w:rsidRPr="004F0296">
                    <w:rPr>
                      <w:iCs/>
                      <w:sz w:val="20"/>
                    </w:rPr>
                    <w:t>-$249.99</w:t>
                  </w:r>
                </w:p>
              </w:tc>
            </w:tr>
            <w:tr w:rsidR="00BC03DD" w:rsidRPr="004F0296" w14:paraId="01AAE624" w14:textId="77777777" w:rsidTr="00AE702A">
              <w:trPr>
                <w:trHeight w:val="467"/>
              </w:trPr>
              <w:tc>
                <w:tcPr>
                  <w:tcW w:w="3279" w:type="dxa"/>
                </w:tcPr>
                <w:p w14:paraId="292F0F98" w14:textId="77777777" w:rsidR="00BC03DD" w:rsidRPr="004F0296" w:rsidRDefault="00BC03DD" w:rsidP="00BC03DD">
                  <w:pPr>
                    <w:spacing w:after="60"/>
                    <w:rPr>
                      <w:iCs/>
                      <w:sz w:val="20"/>
                    </w:rPr>
                  </w:pPr>
                  <w:r w:rsidRPr="004F0296">
                    <w:rPr>
                      <w:iCs/>
                      <w:sz w:val="20"/>
                    </w:rPr>
                    <w:t>LSL (if less than lowest MW in Energy Offer Curve)</w:t>
                  </w:r>
                </w:p>
              </w:tc>
              <w:tc>
                <w:tcPr>
                  <w:tcW w:w="3060" w:type="dxa"/>
                </w:tcPr>
                <w:p w14:paraId="0D75F7AA" w14:textId="77777777" w:rsidR="00BC03DD" w:rsidRPr="004F0296" w:rsidRDefault="00BC03DD" w:rsidP="00BC03DD">
                  <w:pPr>
                    <w:spacing w:after="60"/>
                    <w:rPr>
                      <w:iCs/>
                      <w:sz w:val="20"/>
                    </w:rPr>
                  </w:pPr>
                  <w:r w:rsidRPr="004F0296">
                    <w:rPr>
                      <w:iCs/>
                      <w:sz w:val="20"/>
                    </w:rPr>
                    <w:t>-$250.00</w:t>
                  </w:r>
                </w:p>
              </w:tc>
            </w:tr>
          </w:tbl>
          <w:p w14:paraId="6CFDF7F7" w14:textId="77777777" w:rsidR="00BC03DD" w:rsidRDefault="00BC03DD" w:rsidP="00BC03DD">
            <w:pPr>
              <w:spacing w:before="240" w:after="240"/>
              <w:ind w:left="720" w:hanging="720"/>
            </w:pPr>
            <w:r>
              <w:t>(5)</w:t>
            </w:r>
            <w:r>
              <w:tab/>
            </w:r>
            <w:r w:rsidRPr="003161DC">
              <w:t>For use as SCED inputs</w:t>
            </w:r>
            <w:r w:rsidRPr="00F46E89">
              <w:t xml:space="preserve"> </w:t>
            </w:r>
            <w:r>
              <w:t>for determining energy dispatch and Ancillary Service awards</w:t>
            </w:r>
            <w:r w:rsidRPr="003161DC">
              <w:t xml:space="preserve">, ERCOT shall use the available </w:t>
            </w:r>
            <w:r>
              <w:t xml:space="preserve">Ancillary Service MW </w:t>
            </w:r>
            <w:r w:rsidRPr="003161DC">
              <w:t xml:space="preserve">capacity of all Resources by creating </w:t>
            </w:r>
            <w:r>
              <w:t xml:space="preserve">a </w:t>
            </w:r>
            <w:r w:rsidRPr="003161DC">
              <w:t xml:space="preserve">proxy </w:t>
            </w:r>
            <w:r>
              <w:t>Ancillary Service</w:t>
            </w:r>
            <w:r w:rsidRPr="003161DC">
              <w:t xml:space="preserve"> Offer for </w:t>
            </w:r>
            <w:r>
              <w:t>qualified</w:t>
            </w:r>
            <w:r w:rsidRPr="003161DC">
              <w:t xml:space="preserve"> Resources as follows:</w:t>
            </w:r>
          </w:p>
          <w:p w14:paraId="661E9DAA" w14:textId="179E131A" w:rsidR="00BC03DD" w:rsidRPr="008E37B2" w:rsidRDefault="00BC03DD" w:rsidP="00BC03DD">
            <w:pPr>
              <w:spacing w:after="240"/>
              <w:ind w:left="1440" w:hanging="720"/>
            </w:pPr>
            <w:r>
              <w:t>(a)</w:t>
            </w:r>
            <w:r>
              <w:tab/>
            </w:r>
            <w:r w:rsidRPr="008E37B2">
              <w:t xml:space="preserve">The proxy </w:t>
            </w:r>
            <w:r>
              <w:t>Ancillary Service</w:t>
            </w:r>
            <w:r w:rsidRPr="003161DC">
              <w:t xml:space="preserve"> </w:t>
            </w:r>
            <w:r>
              <w:t>O</w:t>
            </w:r>
            <w:r w:rsidRPr="008E37B2">
              <w:t xml:space="preserve">ffer </w:t>
            </w:r>
            <w:r>
              <w:t>shall</w:t>
            </w:r>
            <w:r w:rsidRPr="008E37B2">
              <w:t xml:space="preserve"> be a linked A</w:t>
            </w:r>
            <w:r>
              <w:t xml:space="preserve">ncillary </w:t>
            </w:r>
            <w:r w:rsidRPr="008E37B2">
              <w:t>S</w:t>
            </w:r>
            <w:r>
              <w:t>ervice</w:t>
            </w:r>
            <w:r w:rsidRPr="008E37B2">
              <w:t xml:space="preserve"> Offer across all A</w:t>
            </w:r>
            <w:r>
              <w:t xml:space="preserve">ncillary </w:t>
            </w:r>
            <w:r w:rsidRPr="008E37B2">
              <w:t>S</w:t>
            </w:r>
            <w:r>
              <w:t>ervice</w:t>
            </w:r>
            <w:r w:rsidRPr="008E37B2">
              <w:t xml:space="preserve"> products for which a Resource is qualified to provide.  For </w:t>
            </w:r>
            <w:r>
              <w:t>Generation</w:t>
            </w:r>
            <w:r w:rsidRPr="008E37B2">
              <w:t xml:space="preserve"> Resources, the proxy </w:t>
            </w:r>
            <w:r>
              <w:t>Ancillary Service O</w:t>
            </w:r>
            <w:r w:rsidRPr="008E37B2">
              <w:t xml:space="preserve">ffer MW </w:t>
            </w:r>
            <w:r>
              <w:t>shall</w:t>
            </w:r>
            <w:r w:rsidRPr="008E37B2">
              <w:t xml:space="preserve"> be equal to the Resource’s telemetered HSL.  </w:t>
            </w:r>
            <w:r>
              <w:t xml:space="preserve">For </w:t>
            </w:r>
            <w:r w:rsidR="00AD486D">
              <w:t>ESRs</w:t>
            </w:r>
            <w:r>
              <w:t xml:space="preserve">, the proxy Ancillary Service Offer MW shall be equal to the difference between the Resource’s telemetered HSL and LSL.  </w:t>
            </w:r>
            <w:r w:rsidRPr="008E37B2">
              <w:t xml:space="preserve">For Load Resources, the proxy </w:t>
            </w:r>
            <w:r>
              <w:t>Ancillary Service O</w:t>
            </w:r>
            <w:r w:rsidRPr="008E37B2">
              <w:t xml:space="preserve">ffer MW </w:t>
            </w:r>
            <w:r>
              <w:t>shall</w:t>
            </w:r>
            <w:r w:rsidRPr="008E37B2">
              <w:t xml:space="preserve"> be equal to the Resource’s telemetered Maximum Power Consumption (MPC).</w:t>
            </w:r>
          </w:p>
          <w:p w14:paraId="3F9361FE" w14:textId="77777777" w:rsidR="00BC03DD" w:rsidRPr="00EE7C66" w:rsidRDefault="00BC03DD" w:rsidP="00BC03DD">
            <w:pPr>
              <w:spacing w:after="240"/>
              <w:ind w:left="1440" w:hanging="720"/>
            </w:pPr>
            <w:r w:rsidRPr="00EE7C66">
              <w:t>(b)</w:t>
            </w:r>
            <w:r w:rsidRPr="00EE7C66">
              <w:tab/>
              <w:t xml:space="preserve">For </w:t>
            </w:r>
            <w:r>
              <w:t xml:space="preserve">Resources that are not RUC-committed, </w:t>
            </w:r>
            <w:r w:rsidRPr="00EE7C66">
              <w:t>the price in the proxy Ancillary Service Offer shall be set to:</w:t>
            </w:r>
          </w:p>
          <w:p w14:paraId="142321F2" w14:textId="77777777" w:rsidR="00BC03DD" w:rsidRDefault="00BC03DD" w:rsidP="00BC03DD">
            <w:pPr>
              <w:spacing w:after="240"/>
              <w:ind w:left="2160" w:hanging="720"/>
            </w:pPr>
            <w:r w:rsidRPr="00EE7C66">
              <w:t>(i)</w:t>
            </w:r>
            <w:r w:rsidRPr="00EE7C66">
              <w:tab/>
              <w:t xml:space="preserve">For Reg-Up and RRS, the </w:t>
            </w:r>
            <w:r>
              <w:t>maximum of:</w:t>
            </w:r>
          </w:p>
          <w:p w14:paraId="22D9FE22" w14:textId="77777777" w:rsidR="00BC03DD" w:rsidRDefault="00BC03DD" w:rsidP="00BC03DD">
            <w:pPr>
              <w:spacing w:after="240"/>
              <w:ind w:left="2880" w:hanging="720"/>
            </w:pPr>
            <w:r>
              <w:t>(A)</w:t>
            </w:r>
            <w:r>
              <w:tab/>
              <w:t>The</w:t>
            </w:r>
            <w:r w:rsidRPr="00EE7C66">
              <w:t xml:space="preserve"> proxy Ancillary Service Offer price floor for </w:t>
            </w:r>
            <w:r>
              <w:t>Reg-Up or RRS, respectively;</w:t>
            </w:r>
          </w:p>
          <w:p w14:paraId="1FF72131" w14:textId="77777777" w:rsidR="00BC03DD" w:rsidRDefault="00BC03DD" w:rsidP="00BC03DD">
            <w:pPr>
              <w:spacing w:after="240"/>
              <w:ind w:left="2880" w:hanging="720"/>
            </w:pPr>
            <w:r>
              <w:t>(B)</w:t>
            </w:r>
            <w:r>
              <w:tab/>
              <w:t xml:space="preserve">The </w:t>
            </w:r>
            <w:r w:rsidRPr="00EE7C66">
              <w:t xml:space="preserve">Resource’s highest submitted Ancillary Service </w:t>
            </w:r>
            <w:r>
              <w:t>O</w:t>
            </w:r>
            <w:r w:rsidRPr="00EE7C66">
              <w:t xml:space="preserve">ffer price for </w:t>
            </w:r>
            <w:r>
              <w:t>Reg-Up or RRS, respectively;</w:t>
            </w:r>
          </w:p>
          <w:p w14:paraId="66C1092C" w14:textId="77777777" w:rsidR="00BC03DD" w:rsidRDefault="00BC03DD" w:rsidP="00BC03DD">
            <w:pPr>
              <w:spacing w:after="240"/>
              <w:ind w:left="2880" w:hanging="720"/>
            </w:pPr>
            <w:r>
              <w:t>(C)</w:t>
            </w:r>
            <w:r>
              <w:tab/>
              <w:t>T</w:t>
            </w:r>
            <w:r w:rsidRPr="00EE7C66">
              <w:t xml:space="preserve">he Resource’s highest Ancillary Service </w:t>
            </w:r>
            <w:r>
              <w:t>O</w:t>
            </w:r>
            <w:r w:rsidRPr="00EE7C66">
              <w:t xml:space="preserve">ffer </w:t>
            </w:r>
            <w:r>
              <w:t xml:space="preserve">price </w:t>
            </w:r>
            <w:r w:rsidRPr="00EE7C66">
              <w:t>for ECRS (submitted or proxy)</w:t>
            </w:r>
            <w:r>
              <w:t>; or</w:t>
            </w:r>
          </w:p>
          <w:p w14:paraId="1689DBEA" w14:textId="77777777" w:rsidR="00BC03DD" w:rsidRPr="00EE7C66" w:rsidRDefault="00BC03DD" w:rsidP="00BC03DD">
            <w:pPr>
              <w:spacing w:after="240"/>
              <w:ind w:left="2880" w:hanging="720"/>
            </w:pPr>
            <w:r>
              <w:t>(D)</w:t>
            </w:r>
            <w:r>
              <w:tab/>
              <w:t>T</w:t>
            </w:r>
            <w:r w:rsidRPr="00EE7C66">
              <w:t xml:space="preserve">he Resource’s highest Ancillary Service </w:t>
            </w:r>
            <w:r>
              <w:t>O</w:t>
            </w:r>
            <w:r w:rsidRPr="00EE7C66">
              <w:t>ffer price for Non-Spin (submitted or proxy).</w:t>
            </w:r>
          </w:p>
          <w:p w14:paraId="41C66E4F" w14:textId="77777777" w:rsidR="00BC03DD" w:rsidRDefault="00BC03DD" w:rsidP="00BC03DD">
            <w:pPr>
              <w:spacing w:after="240"/>
              <w:ind w:left="2160" w:hanging="720"/>
            </w:pPr>
            <w:r w:rsidRPr="00EE7C66">
              <w:t>(ii)</w:t>
            </w:r>
            <w:r w:rsidRPr="00EE7C66">
              <w:tab/>
              <w:t>For ECRS, the maximum of</w:t>
            </w:r>
            <w:r>
              <w:t>:</w:t>
            </w:r>
            <w:r w:rsidRPr="00EE7C66">
              <w:t xml:space="preserve"> </w:t>
            </w:r>
          </w:p>
          <w:p w14:paraId="74829F6B" w14:textId="77777777" w:rsidR="00BC03DD" w:rsidRPr="00072315" w:rsidRDefault="00BC03DD" w:rsidP="00BC03DD">
            <w:pPr>
              <w:spacing w:after="240"/>
              <w:ind w:left="2880" w:hanging="720"/>
            </w:pPr>
            <w:r w:rsidRPr="00072315">
              <w:t>(A)</w:t>
            </w:r>
            <w:r w:rsidRPr="00072315">
              <w:tab/>
              <w:t xml:space="preserve">The proxy Ancillary Service Offer price floor for ECRS; </w:t>
            </w:r>
          </w:p>
          <w:p w14:paraId="522ABA17" w14:textId="77777777" w:rsidR="00BC03DD" w:rsidRPr="00F05875" w:rsidRDefault="00BC03DD" w:rsidP="00BC03DD">
            <w:pPr>
              <w:spacing w:after="240"/>
              <w:ind w:left="2880" w:hanging="720"/>
            </w:pPr>
            <w:r w:rsidRPr="003114FC">
              <w:t>(B)</w:t>
            </w:r>
            <w:r w:rsidRPr="003114FC">
              <w:tab/>
            </w:r>
            <w:r w:rsidRPr="007F5236">
              <w:t>T</w:t>
            </w:r>
            <w:r w:rsidRPr="005560C6">
              <w:t>he Resource’s highest submitted Ancillary Service O</w:t>
            </w:r>
            <w:r w:rsidRPr="00F05875">
              <w:t>ffer price for ECRS; or</w:t>
            </w:r>
          </w:p>
          <w:p w14:paraId="4C31E5B0" w14:textId="77777777" w:rsidR="00BC03DD" w:rsidRPr="00F05875" w:rsidRDefault="00BC03DD" w:rsidP="00BC03DD">
            <w:pPr>
              <w:spacing w:after="240"/>
              <w:ind w:left="2880" w:hanging="720"/>
            </w:pPr>
            <w:r w:rsidRPr="00F05875">
              <w:lastRenderedPageBreak/>
              <w:t>(C)</w:t>
            </w:r>
            <w:r w:rsidRPr="00F05875">
              <w:tab/>
              <w:t>The Resource’s highest Ancillary Service Offer price for Non-Spin (submitted or proxy).</w:t>
            </w:r>
          </w:p>
          <w:p w14:paraId="314568E8" w14:textId="77777777" w:rsidR="00BC03DD" w:rsidRDefault="00BC03DD" w:rsidP="00BC03DD">
            <w:pPr>
              <w:spacing w:after="240"/>
              <w:ind w:left="2160" w:hanging="720"/>
            </w:pPr>
            <w:r w:rsidRPr="00EE7C66">
              <w:t>(iii)</w:t>
            </w:r>
            <w:r w:rsidRPr="00EE7C66">
              <w:tab/>
              <w:t>For Non-Spin, the maximum of</w:t>
            </w:r>
            <w:r>
              <w:t>:</w:t>
            </w:r>
            <w:r w:rsidRPr="00EE7C66">
              <w:t xml:space="preserve"> </w:t>
            </w:r>
          </w:p>
          <w:p w14:paraId="4ED64933" w14:textId="77777777" w:rsidR="00BC03DD" w:rsidRPr="00072315" w:rsidRDefault="00BC03DD" w:rsidP="00BC03DD">
            <w:pPr>
              <w:spacing w:after="240"/>
              <w:ind w:left="2880" w:hanging="720"/>
            </w:pPr>
            <w:r>
              <w:t>(A)</w:t>
            </w:r>
            <w:r>
              <w:tab/>
            </w:r>
            <w:r w:rsidRPr="00072315">
              <w:t>The proxy Ancillary Service Offer price floor for Non-Spin; or</w:t>
            </w:r>
          </w:p>
          <w:p w14:paraId="0DC2F6DB" w14:textId="77777777" w:rsidR="00BC03DD" w:rsidRPr="00072315" w:rsidRDefault="00BC03DD" w:rsidP="00BC03DD">
            <w:pPr>
              <w:spacing w:after="240"/>
              <w:ind w:left="2880" w:hanging="720"/>
            </w:pPr>
            <w:r>
              <w:t>(B)</w:t>
            </w:r>
            <w:r>
              <w:tab/>
            </w:r>
            <w:r w:rsidRPr="00072315">
              <w:t>The Resource’s highest submitted Ancillary Service Offer price for Non-Spin.</w:t>
            </w:r>
          </w:p>
          <w:p w14:paraId="0B84F46C" w14:textId="77777777" w:rsidR="00BC03DD" w:rsidRDefault="00BC03DD" w:rsidP="00BC03DD">
            <w:pPr>
              <w:spacing w:after="240"/>
              <w:ind w:left="2160" w:hanging="720"/>
            </w:pPr>
            <w:r w:rsidRPr="00EE7C66">
              <w:t>(iv)</w:t>
            </w:r>
            <w:r w:rsidRPr="00EE7C66">
              <w:tab/>
              <w:t>For Reg-Down, the maximum of</w:t>
            </w:r>
            <w:r>
              <w:t>:</w:t>
            </w:r>
          </w:p>
          <w:p w14:paraId="06A183F1" w14:textId="77777777" w:rsidR="00BC03DD" w:rsidRPr="00072315" w:rsidRDefault="00BC03DD" w:rsidP="00BC03DD">
            <w:pPr>
              <w:spacing w:after="240"/>
              <w:ind w:left="2880" w:hanging="720"/>
            </w:pPr>
            <w:r>
              <w:t>(A)</w:t>
            </w:r>
            <w:r>
              <w:tab/>
            </w:r>
            <w:r w:rsidRPr="00072315">
              <w:t>The proxy Ancillary Service Offer price floor for Reg-Down; or</w:t>
            </w:r>
          </w:p>
          <w:p w14:paraId="7D4F6A92" w14:textId="77777777" w:rsidR="00BC03DD" w:rsidRPr="00072315" w:rsidRDefault="00BC03DD" w:rsidP="00BC03DD">
            <w:pPr>
              <w:spacing w:after="240"/>
              <w:ind w:left="2880" w:hanging="720"/>
            </w:pPr>
            <w:r>
              <w:t>(B)</w:t>
            </w:r>
            <w:r>
              <w:tab/>
            </w:r>
            <w:r w:rsidRPr="00072315">
              <w:t>The Resource’s highest submitted Ancillary Service Offer price for Reg-Down.</w:t>
            </w:r>
          </w:p>
          <w:p w14:paraId="3469FD4F" w14:textId="77777777" w:rsidR="00A76B33" w:rsidRPr="005F2978" w:rsidRDefault="00A76B33" w:rsidP="00A76B33">
            <w:pPr>
              <w:spacing w:after="240"/>
              <w:ind w:left="1440" w:hanging="720"/>
            </w:pPr>
            <w:r w:rsidRPr="005F2978">
              <w:t>(c)</w:t>
            </w:r>
            <w:r w:rsidRPr="005F2978">
              <w:tab/>
              <w:t>The proxy Ancillary Service Offer price floors for each SCED-interval shall be derived from the effective ASDCs and Ancillary Service Plan using the following logic:</w:t>
            </w:r>
          </w:p>
          <w:p w14:paraId="612791BE" w14:textId="77777777" w:rsidR="00A76B33" w:rsidRPr="005F2978" w:rsidRDefault="00A76B33" w:rsidP="00A76B33">
            <w:pPr>
              <w:spacing w:after="240"/>
              <w:ind w:left="2144" w:hanging="720"/>
            </w:pPr>
            <w:r w:rsidRPr="005F2978">
              <w:t>(i)        The proxy Ancillary Service Offer price floor for Reg-Up is equal to the lesser of the values below minus $0.01 per MW per hour:</w:t>
            </w:r>
          </w:p>
          <w:p w14:paraId="460F2241" w14:textId="77777777" w:rsidR="00A76B33" w:rsidRPr="005F2978" w:rsidRDefault="00A76B33" w:rsidP="00A76B33">
            <w:pPr>
              <w:spacing w:after="240"/>
              <w:ind w:left="2864" w:hanging="720"/>
            </w:pPr>
            <w:r w:rsidRPr="005F2978">
              <w:t xml:space="preserve">(A)      $2,000 per MW per hour; or  </w:t>
            </w:r>
          </w:p>
          <w:p w14:paraId="4DA1F799" w14:textId="77777777" w:rsidR="00A76B33" w:rsidRPr="005F2978" w:rsidRDefault="00A76B33" w:rsidP="00A76B33">
            <w:pPr>
              <w:spacing w:after="240"/>
              <w:ind w:left="2864" w:hanging="720"/>
            </w:pPr>
            <w:r w:rsidRPr="005F2978">
              <w:t>(B)      The point on the ASDC for Reg-Up that intersects with a quantity that is 95% of the Ancillary Service Plan for Reg-Up.</w:t>
            </w:r>
          </w:p>
          <w:p w14:paraId="59A47635" w14:textId="77777777" w:rsidR="00A76B33" w:rsidRPr="005F2978" w:rsidRDefault="00A76B33" w:rsidP="00A76B33">
            <w:pPr>
              <w:spacing w:after="240"/>
              <w:ind w:left="2144" w:hanging="720"/>
            </w:pPr>
            <w:r w:rsidRPr="005F2978">
              <w:t>(ii)       The proxy Ancillary Service Offer price floor for RRS is equal to the lesser of the values below minus $0.01 per MW per hour:</w:t>
            </w:r>
          </w:p>
          <w:p w14:paraId="1557AFFD" w14:textId="77777777" w:rsidR="00A76B33" w:rsidRPr="005F2978" w:rsidRDefault="00A76B33" w:rsidP="00A76B33">
            <w:pPr>
              <w:spacing w:after="240"/>
              <w:ind w:left="2864" w:hanging="720"/>
            </w:pPr>
            <w:r w:rsidRPr="005F2978">
              <w:t xml:space="preserve">(A)      $2,000 per MW per hour; or  </w:t>
            </w:r>
          </w:p>
          <w:p w14:paraId="6007437E" w14:textId="77777777" w:rsidR="00A76B33" w:rsidRPr="005F2978" w:rsidRDefault="00A76B33" w:rsidP="00A76B33">
            <w:pPr>
              <w:spacing w:after="240"/>
              <w:ind w:left="2864" w:hanging="720"/>
            </w:pPr>
            <w:r w:rsidRPr="005F2978">
              <w:t>(B)      The point on the ASDC for RRS that intersects with a quantity that is 95% of the Ancillary Service Plan for RRS.</w:t>
            </w:r>
          </w:p>
          <w:p w14:paraId="11B516A9" w14:textId="77777777" w:rsidR="00A76B33" w:rsidRPr="005F2978" w:rsidRDefault="00A76B33" w:rsidP="00A76B33">
            <w:pPr>
              <w:spacing w:after="240"/>
              <w:ind w:left="2144" w:hanging="720"/>
            </w:pPr>
            <w:r w:rsidRPr="005F2978">
              <w:t>(iii)      The proxy Ancillary Service Offer price floor for ECRS is equal to the lesser of the values below minus $0.01 per MW per hour:</w:t>
            </w:r>
          </w:p>
          <w:p w14:paraId="6B331BB9" w14:textId="77777777" w:rsidR="00A76B33" w:rsidRPr="005F2978" w:rsidRDefault="00A76B33" w:rsidP="00A76B33">
            <w:pPr>
              <w:spacing w:after="240"/>
              <w:ind w:left="2864" w:hanging="720"/>
            </w:pPr>
            <w:r w:rsidRPr="005F2978">
              <w:t xml:space="preserve">(A)      $2,000 per MW per hour; or  </w:t>
            </w:r>
          </w:p>
          <w:p w14:paraId="22BB693E" w14:textId="77777777" w:rsidR="00A76B33" w:rsidRPr="005F2978" w:rsidRDefault="00A76B33" w:rsidP="00A76B33">
            <w:pPr>
              <w:spacing w:after="240"/>
              <w:ind w:left="2864" w:hanging="720"/>
            </w:pPr>
            <w:r w:rsidRPr="005F2978">
              <w:t>(B)      The point on the ASDC for ECRS that intersects with a quantity that is 95% of the Ancillary Service Plan for ECRS.</w:t>
            </w:r>
          </w:p>
          <w:p w14:paraId="0AC12BB2" w14:textId="77777777" w:rsidR="00A76B33" w:rsidRPr="005F2978" w:rsidRDefault="00A76B33" w:rsidP="00A76B33">
            <w:pPr>
              <w:spacing w:after="240"/>
              <w:ind w:left="2144" w:hanging="720"/>
            </w:pPr>
            <w:r w:rsidRPr="005F2978">
              <w:t>(iv)      The proxy Ancillary Service Offer price floor for Non-Spin is equal to the lesser of the values below minus $0.01 per MW per hour:</w:t>
            </w:r>
          </w:p>
          <w:p w14:paraId="2FB5F9AC" w14:textId="77777777" w:rsidR="00A76B33" w:rsidRPr="005F2978" w:rsidRDefault="00A76B33" w:rsidP="00A76B33">
            <w:pPr>
              <w:spacing w:after="240"/>
              <w:ind w:left="2864" w:hanging="720"/>
            </w:pPr>
            <w:r w:rsidRPr="005F2978">
              <w:lastRenderedPageBreak/>
              <w:t xml:space="preserve">(A)      $2,000 per MW per hour; or  </w:t>
            </w:r>
          </w:p>
          <w:p w14:paraId="73380330" w14:textId="77777777" w:rsidR="00A76B33" w:rsidRPr="005F2978" w:rsidRDefault="00A76B33" w:rsidP="00A76B33">
            <w:pPr>
              <w:spacing w:after="240"/>
              <w:ind w:left="2864" w:hanging="720"/>
            </w:pPr>
            <w:r w:rsidRPr="005F2978">
              <w:t>(B)      The point on the ASDC for Non-Spin that intersects with a quantity that is 95% of the Ancillary Service Plan for Non-Spin.</w:t>
            </w:r>
          </w:p>
          <w:p w14:paraId="46DF421F" w14:textId="77777777" w:rsidR="00A76B33" w:rsidRPr="005F2978" w:rsidRDefault="00A76B33" w:rsidP="00A76B33">
            <w:pPr>
              <w:spacing w:after="240"/>
              <w:ind w:left="2144" w:hanging="720"/>
            </w:pPr>
            <w:r w:rsidRPr="005F2978">
              <w:t>(v)       The proxy Ancillary Service Offer price floor for Reg-Down is equal to the lesser of the values below minus $0.01 per MW per hour:</w:t>
            </w:r>
          </w:p>
          <w:p w14:paraId="7DF8787F" w14:textId="77777777" w:rsidR="00A76B33" w:rsidRPr="005F2978" w:rsidRDefault="00A76B33" w:rsidP="00A76B33">
            <w:pPr>
              <w:spacing w:after="240"/>
              <w:ind w:left="2864" w:hanging="720"/>
            </w:pPr>
            <w:r w:rsidRPr="005F2978">
              <w:t xml:space="preserve">(A)      $2,000 per MW per hour; or  </w:t>
            </w:r>
          </w:p>
          <w:p w14:paraId="4033AD27" w14:textId="77777777" w:rsidR="00A76B33" w:rsidRPr="005F2978" w:rsidRDefault="00A76B33" w:rsidP="00A76B33">
            <w:pPr>
              <w:spacing w:after="240"/>
              <w:ind w:left="2864" w:hanging="720"/>
            </w:pPr>
            <w:r w:rsidRPr="005F2978">
              <w:t>(B)      The point on the ASDC for Reg-Down that intersects with a quantity that is 95% of the Ancillary Service Plan for Reg-Down.</w:t>
            </w:r>
          </w:p>
          <w:p w14:paraId="6AB861D1" w14:textId="4F4CD139" w:rsidR="00BC03DD" w:rsidRDefault="00BC03DD" w:rsidP="00BC03DD">
            <w:pPr>
              <w:spacing w:after="240"/>
              <w:ind w:left="1440" w:hanging="720"/>
            </w:pPr>
            <w:r>
              <w:t>(</w:t>
            </w:r>
            <w:r w:rsidR="00A76B33">
              <w:t>d</w:t>
            </w:r>
            <w:r>
              <w:t>)</w:t>
            </w:r>
            <w:r>
              <w:tab/>
              <w:t xml:space="preserve">ERCOT systems shall be designed to allow for proxy Ancillary Service Offer price floors to differ when the same Ancillary Service product can be provided by either On-Line or Off-Line Resources, and/or an Ancillary Service product has sub-types.  </w:t>
            </w:r>
          </w:p>
          <w:p w14:paraId="53E762A1" w14:textId="77777777" w:rsidR="00BC03DD" w:rsidRDefault="00BC03DD" w:rsidP="00BC03DD">
            <w:pPr>
              <w:spacing w:after="240"/>
              <w:ind w:left="1440" w:hanging="720"/>
            </w:pPr>
            <w:r>
              <w:t>(e)</w:t>
            </w:r>
            <w:r>
              <w:tab/>
              <w:t>For RUC-committed Resources:</w:t>
            </w:r>
          </w:p>
          <w:p w14:paraId="6EBFA7F5" w14:textId="62133A6A" w:rsidR="00BC03DD" w:rsidRDefault="00BC03DD" w:rsidP="00BC03DD">
            <w:pPr>
              <w:spacing w:after="240"/>
              <w:ind w:left="2160" w:hanging="720"/>
            </w:pPr>
            <w:r>
              <w:t>(i)</w:t>
            </w:r>
            <w:r>
              <w:tab/>
              <w:t>If a RUC-committed Resource does not have an Ancillary Service Offer for an Ancillary Service product that the Resource is qualified to provide, ERCOT shall create an Ancillary Service Offer for that Ancillary Service product at a value of $</w:t>
            </w:r>
            <w:r w:rsidR="00090A9F">
              <w:t>250</w:t>
            </w:r>
            <w:r w:rsidR="00532E7C">
              <w:t xml:space="preserve"> per </w:t>
            </w:r>
            <w:r>
              <w:t xml:space="preserve">MWh for the </w:t>
            </w:r>
            <w:r w:rsidRPr="009C1575">
              <w:t>full operating range</w:t>
            </w:r>
            <w:r>
              <w:t xml:space="preserve"> of the Resource up to its telemetered HSL.</w:t>
            </w:r>
          </w:p>
          <w:p w14:paraId="499B4A4E" w14:textId="77777777" w:rsidR="00BC03DD" w:rsidRDefault="00BC03DD" w:rsidP="00BC03DD">
            <w:pPr>
              <w:spacing w:after="240"/>
              <w:ind w:left="2160" w:hanging="720"/>
            </w:pPr>
            <w:r>
              <w:t>(ii)</w:t>
            </w:r>
            <w:r>
              <w:tab/>
              <w:t xml:space="preserve">For each Ancillary Service product for which a RUC-committed Resource has an Ancillary Service Offer, the Ancillary Service Offer used by SCED for that Ancillary Service product </w:t>
            </w:r>
            <w:r w:rsidRPr="009C1575">
              <w:t>across the full operating range</w:t>
            </w:r>
            <w:r>
              <w:t xml:space="preserve"> of the Resource</w:t>
            </w:r>
            <w:r w:rsidDel="00CE2E44">
              <w:t xml:space="preserve"> </w:t>
            </w:r>
            <w:r>
              <w:t xml:space="preserve">up to its telemetered HSL shall be the maximum of: </w:t>
            </w:r>
          </w:p>
          <w:p w14:paraId="657E662E" w14:textId="77777777" w:rsidR="00BC03DD" w:rsidRPr="00072315" w:rsidRDefault="00BC03DD" w:rsidP="00BC03DD">
            <w:pPr>
              <w:spacing w:after="240"/>
              <w:ind w:left="2880" w:hanging="720"/>
            </w:pPr>
            <w:r>
              <w:t>(A)</w:t>
            </w:r>
            <w:r>
              <w:tab/>
            </w:r>
            <w:r w:rsidRPr="00072315">
              <w:t xml:space="preserve">The Resource’s highest submitted Ancillary Service Offer price; or </w:t>
            </w:r>
          </w:p>
          <w:p w14:paraId="3D22D65E" w14:textId="12992662" w:rsidR="00BC03DD" w:rsidRPr="00072315" w:rsidRDefault="00BC03DD" w:rsidP="00BC03DD">
            <w:pPr>
              <w:spacing w:after="240"/>
              <w:ind w:left="2880" w:hanging="720"/>
            </w:pPr>
            <w:r>
              <w:t>(B)</w:t>
            </w:r>
            <w:r>
              <w:tab/>
            </w:r>
            <w:r w:rsidRPr="00072315">
              <w:t>$</w:t>
            </w:r>
            <w:r w:rsidR="00090A9F">
              <w:t>250</w:t>
            </w:r>
            <w:r w:rsidR="00532E7C">
              <w:t xml:space="preserve"> per </w:t>
            </w:r>
            <w:r w:rsidRPr="00072315">
              <w:t>MWh.</w:t>
            </w:r>
          </w:p>
          <w:p w14:paraId="0F511337" w14:textId="77777777" w:rsidR="004C32A5" w:rsidRPr="00A552C3" w:rsidRDefault="004C32A5" w:rsidP="004C32A5">
            <w:pPr>
              <w:spacing w:before="240" w:after="240"/>
              <w:ind w:left="720" w:hanging="720"/>
            </w:pPr>
            <w:r w:rsidRPr="00A552C3">
              <w:t>(6)</w:t>
            </w:r>
            <w:r w:rsidRPr="00A552C3">
              <w:tab/>
              <w:t xml:space="preserve">For use as SCED inputs for determining energy Dispatch and Ancillary Service awards, ERCOT shall use the available capacity of all On-Line ESRs by creating proxy Energy Bid/Offer Curves for certain Resources as follows: </w:t>
            </w:r>
          </w:p>
          <w:p w14:paraId="345AE558" w14:textId="77777777" w:rsidR="004C32A5" w:rsidRPr="00A552C3" w:rsidRDefault="004C32A5" w:rsidP="004C32A5">
            <w:pPr>
              <w:spacing w:before="240" w:after="240"/>
              <w:ind w:left="1440" w:hanging="720"/>
            </w:pPr>
            <w:r w:rsidRPr="00A552C3">
              <w:t>(a)</w:t>
            </w:r>
            <w:r w:rsidRPr="00A552C3">
              <w:tab/>
              <w:t xml:space="preserve">For each ESR for which its QSE has submitted an Energy Bid/Offer Curve that does not cover the full offer range (LSL to HSL) of the Resource’s available capacity, ERCOT shall create a proxy Energy Bid/Offer Curve that extends the submitted Energy Bid/Offer Curve to use the entire available capacity of the Resource above the highest MW point on the Energy Bid/Offer Curve to the </w:t>
            </w:r>
            <w:r w:rsidRPr="00A552C3">
              <w:lastRenderedPageBreak/>
              <w:t>Resource’s HSL and from the lowest MW point on the Energy Bid/Offer Curve to LSL, using these prices for the corresponding MW segments: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1"/>
              <w:gridCol w:w="2619"/>
              <w:gridCol w:w="2620"/>
            </w:tblGrid>
            <w:tr w:rsidR="004C32A5" w:rsidRPr="00A552C3" w14:paraId="20C6CCB0"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hideMark/>
                </w:tcPr>
                <w:p w14:paraId="1E1D3BEF" w14:textId="77777777" w:rsidR="004C32A5" w:rsidRPr="00A552C3" w:rsidRDefault="004C32A5" w:rsidP="004C32A5">
                  <w:pPr>
                    <w:spacing w:after="120"/>
                    <w:rPr>
                      <w:b/>
                      <w:iCs/>
                      <w:sz w:val="20"/>
                    </w:rPr>
                  </w:pPr>
                  <w:r w:rsidRPr="00A552C3">
                    <w:rPr>
                      <w:b/>
                      <w:iCs/>
                      <w:sz w:val="20"/>
                    </w:rPr>
                    <w:t>Scenario</w:t>
                  </w:r>
                </w:p>
              </w:tc>
              <w:tc>
                <w:tcPr>
                  <w:tcW w:w="2619" w:type="dxa"/>
                  <w:tcBorders>
                    <w:top w:val="single" w:sz="4" w:space="0" w:color="auto"/>
                    <w:left w:val="single" w:sz="4" w:space="0" w:color="auto"/>
                    <w:bottom w:val="single" w:sz="4" w:space="0" w:color="auto"/>
                    <w:right w:val="single" w:sz="4" w:space="0" w:color="auto"/>
                  </w:tcBorders>
                  <w:hideMark/>
                </w:tcPr>
                <w:p w14:paraId="629106EE" w14:textId="77777777" w:rsidR="004C32A5" w:rsidRPr="00A552C3" w:rsidRDefault="004C32A5" w:rsidP="004C32A5">
                  <w:pPr>
                    <w:spacing w:after="120"/>
                    <w:rPr>
                      <w:b/>
                      <w:iCs/>
                      <w:sz w:val="20"/>
                    </w:rPr>
                  </w:pPr>
                  <w:r w:rsidRPr="00A552C3">
                    <w:rPr>
                      <w:b/>
                      <w:iCs/>
                      <w:sz w:val="20"/>
                    </w:rPr>
                    <w:t>MW Segment</w:t>
                  </w:r>
                </w:p>
              </w:tc>
              <w:tc>
                <w:tcPr>
                  <w:tcW w:w="2620" w:type="dxa"/>
                  <w:tcBorders>
                    <w:top w:val="single" w:sz="4" w:space="0" w:color="auto"/>
                    <w:left w:val="single" w:sz="4" w:space="0" w:color="auto"/>
                    <w:bottom w:val="single" w:sz="4" w:space="0" w:color="auto"/>
                    <w:right w:val="single" w:sz="4" w:space="0" w:color="auto"/>
                  </w:tcBorders>
                  <w:hideMark/>
                </w:tcPr>
                <w:p w14:paraId="70C3C0C2" w14:textId="77777777" w:rsidR="004C32A5" w:rsidRPr="00A552C3" w:rsidRDefault="004C32A5" w:rsidP="004C32A5">
                  <w:pPr>
                    <w:spacing w:after="120"/>
                    <w:rPr>
                      <w:b/>
                      <w:iCs/>
                      <w:sz w:val="20"/>
                    </w:rPr>
                  </w:pPr>
                  <w:r w:rsidRPr="00A552C3">
                    <w:rPr>
                      <w:b/>
                      <w:iCs/>
                      <w:sz w:val="20"/>
                    </w:rPr>
                    <w:t>Price (per MWh)</w:t>
                  </w:r>
                </w:p>
              </w:tc>
            </w:tr>
            <w:tr w:rsidR="004C32A5" w:rsidRPr="00A552C3" w14:paraId="2730A6A3"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tcPr>
                <w:p w14:paraId="05A7394F" w14:textId="77777777" w:rsidR="004C32A5" w:rsidRPr="00A552C3" w:rsidRDefault="004C32A5" w:rsidP="004C32A5">
                  <w:pPr>
                    <w:spacing w:after="60"/>
                    <w:rPr>
                      <w:iCs/>
                      <w:sz w:val="20"/>
                    </w:rPr>
                  </w:pPr>
                  <w:r w:rsidRPr="00A552C3">
                    <w:rPr>
                      <w:iCs/>
                      <w:sz w:val="20"/>
                    </w:rPr>
                    <w:t xml:space="preserve">HSL MW and the highest MW point on the Energy Bid/Offer are both greater than or equal to zero, </w:t>
                  </w:r>
                </w:p>
                <w:p w14:paraId="7B4E361B" w14:textId="77777777" w:rsidR="004C32A5" w:rsidRPr="00A552C3" w:rsidRDefault="004C32A5" w:rsidP="004C32A5">
                  <w:pPr>
                    <w:spacing w:after="60"/>
                    <w:rPr>
                      <w:iCs/>
                      <w:sz w:val="20"/>
                    </w:rPr>
                  </w:pPr>
                  <w:r w:rsidRPr="00A552C3">
                    <w:rPr>
                      <w:iCs/>
                      <w:sz w:val="20"/>
                    </w:rPr>
                    <w:t>and,</w:t>
                  </w:r>
                </w:p>
                <w:p w14:paraId="027EA2AC" w14:textId="77777777" w:rsidR="004C32A5" w:rsidRPr="00A552C3" w:rsidRDefault="004C32A5" w:rsidP="004C32A5">
                  <w:pPr>
                    <w:spacing w:after="60"/>
                    <w:rPr>
                      <w:iCs/>
                      <w:sz w:val="20"/>
                    </w:rPr>
                  </w:pPr>
                  <w:r w:rsidRPr="00A552C3">
                    <w:rPr>
                      <w:iCs/>
                      <w:sz w:val="20"/>
                    </w:rPr>
                    <w:t>HSL is greater than the highest MW in submitted Energy Bid/Offer Curve</w:t>
                  </w:r>
                </w:p>
                <w:p w14:paraId="4F335383"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7F1796D0" w14:textId="77777777" w:rsidR="004C32A5" w:rsidRPr="00A552C3" w:rsidRDefault="004C32A5" w:rsidP="004C32A5">
                  <w:pPr>
                    <w:spacing w:after="60"/>
                    <w:rPr>
                      <w:iCs/>
                      <w:sz w:val="20"/>
                    </w:rPr>
                  </w:pPr>
                  <w:r w:rsidRPr="00A552C3">
                    <w:rPr>
                      <w:iCs/>
                      <w:sz w:val="20"/>
                    </w:rPr>
                    <w:t>From highest MW point on submitted Energy Bid/Offer Curve to HSL MW</w:t>
                  </w:r>
                </w:p>
              </w:tc>
              <w:tc>
                <w:tcPr>
                  <w:tcW w:w="2620" w:type="dxa"/>
                  <w:tcBorders>
                    <w:top w:val="single" w:sz="4" w:space="0" w:color="auto"/>
                    <w:left w:val="single" w:sz="4" w:space="0" w:color="auto"/>
                    <w:bottom w:val="single" w:sz="4" w:space="0" w:color="auto"/>
                    <w:right w:val="single" w:sz="4" w:space="0" w:color="auto"/>
                  </w:tcBorders>
                  <w:hideMark/>
                </w:tcPr>
                <w:p w14:paraId="4701B2AE" w14:textId="77777777" w:rsidR="004C32A5" w:rsidRPr="00A552C3" w:rsidRDefault="004C32A5" w:rsidP="004C32A5">
                  <w:pPr>
                    <w:spacing w:after="60"/>
                    <w:rPr>
                      <w:iCs/>
                      <w:sz w:val="20"/>
                    </w:rPr>
                  </w:pPr>
                  <w:r w:rsidRPr="00A552C3">
                    <w:rPr>
                      <w:iCs/>
                      <w:sz w:val="20"/>
                    </w:rPr>
                    <w:t xml:space="preserve">RTSWCAP </w:t>
                  </w:r>
                </w:p>
              </w:tc>
            </w:tr>
            <w:tr w:rsidR="004C32A5" w:rsidRPr="00A552C3" w14:paraId="27C6147B" w14:textId="77777777" w:rsidTr="00477F93">
              <w:trPr>
                <w:trHeight w:val="387"/>
                <w:jc w:val="center"/>
              </w:trPr>
              <w:tc>
                <w:tcPr>
                  <w:tcW w:w="3871" w:type="dxa"/>
                  <w:tcBorders>
                    <w:top w:val="single" w:sz="4" w:space="0" w:color="auto"/>
                    <w:left w:val="single" w:sz="4" w:space="0" w:color="auto"/>
                    <w:bottom w:val="single" w:sz="4" w:space="0" w:color="auto"/>
                    <w:right w:val="single" w:sz="4" w:space="0" w:color="auto"/>
                  </w:tcBorders>
                </w:tcPr>
                <w:p w14:paraId="1075847F" w14:textId="77777777" w:rsidR="004C32A5" w:rsidRPr="00A552C3" w:rsidRDefault="004C32A5" w:rsidP="004C32A5">
                  <w:pPr>
                    <w:spacing w:after="60"/>
                    <w:rPr>
                      <w:iCs/>
                      <w:sz w:val="20"/>
                    </w:rPr>
                  </w:pPr>
                  <w:r w:rsidRPr="00A552C3">
                    <w:rPr>
                      <w:iCs/>
                      <w:sz w:val="20"/>
                    </w:rPr>
                    <w:t xml:space="preserve">HSL MW is greater than or equal to zero, </w:t>
                  </w:r>
                </w:p>
                <w:p w14:paraId="0768C858" w14:textId="77777777" w:rsidR="004C32A5" w:rsidRPr="00A552C3" w:rsidRDefault="004C32A5" w:rsidP="004C32A5">
                  <w:pPr>
                    <w:spacing w:after="60"/>
                    <w:rPr>
                      <w:iCs/>
                      <w:sz w:val="20"/>
                    </w:rPr>
                  </w:pPr>
                  <w:r w:rsidRPr="00A552C3">
                    <w:rPr>
                      <w:iCs/>
                      <w:sz w:val="20"/>
                    </w:rPr>
                    <w:t>and,</w:t>
                  </w:r>
                </w:p>
                <w:p w14:paraId="59DA8107" w14:textId="77777777" w:rsidR="004C32A5" w:rsidRPr="00A552C3" w:rsidRDefault="004C32A5" w:rsidP="004C32A5">
                  <w:pPr>
                    <w:spacing w:after="60"/>
                    <w:rPr>
                      <w:iCs/>
                      <w:sz w:val="20"/>
                    </w:rPr>
                  </w:pPr>
                  <w:r w:rsidRPr="00A552C3">
                    <w:rPr>
                      <w:iCs/>
                      <w:sz w:val="20"/>
                    </w:rPr>
                    <w:t>the highest MW point on the Energy Bid/Offer is less than zero</w:t>
                  </w:r>
                </w:p>
                <w:p w14:paraId="2E94D810"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27AF3FA0" w14:textId="77777777" w:rsidR="004C32A5" w:rsidRDefault="004C32A5" w:rsidP="004C32A5">
                  <w:pPr>
                    <w:spacing w:after="60"/>
                    <w:rPr>
                      <w:iCs/>
                      <w:sz w:val="20"/>
                    </w:rPr>
                  </w:pPr>
                  <w:r w:rsidRPr="00A552C3">
                    <w:rPr>
                      <w:iCs/>
                      <w:sz w:val="20"/>
                    </w:rPr>
                    <w:t>From highest MW point on submitted Energy Bid/Offer Curve to 0 MW</w:t>
                  </w:r>
                </w:p>
                <w:p w14:paraId="0928B133" w14:textId="77777777" w:rsidR="00477F93" w:rsidRDefault="00477F93" w:rsidP="004C32A5">
                  <w:pPr>
                    <w:spacing w:after="60"/>
                    <w:rPr>
                      <w:iCs/>
                      <w:sz w:val="20"/>
                    </w:rPr>
                  </w:pPr>
                </w:p>
                <w:p w14:paraId="1F31B495" w14:textId="79229D5B" w:rsidR="00477F93" w:rsidRPr="00A552C3" w:rsidRDefault="00477F93" w:rsidP="004C32A5">
                  <w:pPr>
                    <w:spacing w:after="60"/>
                    <w:rPr>
                      <w:iCs/>
                      <w:sz w:val="20"/>
                    </w:rPr>
                  </w:pPr>
                  <w:r w:rsidRPr="00A552C3">
                    <w:rPr>
                      <w:iCs/>
                      <w:sz w:val="20"/>
                    </w:rPr>
                    <w:t>From 0 MW to HSL</w:t>
                  </w:r>
                </w:p>
              </w:tc>
              <w:tc>
                <w:tcPr>
                  <w:tcW w:w="2620" w:type="dxa"/>
                  <w:tcBorders>
                    <w:top w:val="single" w:sz="4" w:space="0" w:color="auto"/>
                    <w:left w:val="single" w:sz="4" w:space="0" w:color="auto"/>
                    <w:bottom w:val="single" w:sz="4" w:space="0" w:color="auto"/>
                    <w:right w:val="single" w:sz="4" w:space="0" w:color="auto"/>
                  </w:tcBorders>
                  <w:hideMark/>
                </w:tcPr>
                <w:p w14:paraId="002E47F1" w14:textId="77777777" w:rsidR="004C32A5" w:rsidRDefault="004C32A5" w:rsidP="004C32A5">
                  <w:pPr>
                    <w:spacing w:after="60"/>
                    <w:rPr>
                      <w:iCs/>
                      <w:sz w:val="20"/>
                    </w:rPr>
                  </w:pPr>
                  <w:r w:rsidRPr="00A552C3">
                    <w:rPr>
                      <w:iCs/>
                      <w:sz w:val="20"/>
                    </w:rPr>
                    <w:t>Price associated with the highest MW in submitted Energy Bid/Offer Curve</w:t>
                  </w:r>
                </w:p>
                <w:p w14:paraId="0A8A9BE1" w14:textId="77777777" w:rsidR="00477F93" w:rsidRDefault="00477F93" w:rsidP="004C32A5">
                  <w:pPr>
                    <w:spacing w:after="60"/>
                    <w:rPr>
                      <w:iCs/>
                      <w:sz w:val="20"/>
                    </w:rPr>
                  </w:pPr>
                </w:p>
                <w:p w14:paraId="50E978A4" w14:textId="028ACA7B" w:rsidR="00477F93" w:rsidRPr="00A552C3" w:rsidRDefault="00477F93" w:rsidP="004C32A5">
                  <w:pPr>
                    <w:spacing w:after="60"/>
                    <w:rPr>
                      <w:iCs/>
                      <w:sz w:val="20"/>
                    </w:rPr>
                  </w:pPr>
                  <w:r w:rsidRPr="00A552C3">
                    <w:rPr>
                      <w:iCs/>
                      <w:sz w:val="20"/>
                    </w:rPr>
                    <w:t>RTSWCAP</w:t>
                  </w:r>
                </w:p>
              </w:tc>
            </w:tr>
            <w:tr w:rsidR="004C32A5" w:rsidRPr="00A552C3" w14:paraId="15B73F44"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hideMark/>
                </w:tcPr>
                <w:p w14:paraId="2A3DC8E9" w14:textId="77777777" w:rsidR="004C32A5" w:rsidRPr="00A552C3" w:rsidRDefault="004C32A5" w:rsidP="004C32A5">
                  <w:pPr>
                    <w:spacing w:after="60"/>
                    <w:rPr>
                      <w:iCs/>
                      <w:sz w:val="20"/>
                    </w:rPr>
                  </w:pPr>
                  <w:r w:rsidRPr="00A552C3">
                    <w:rPr>
                      <w:iCs/>
                      <w:sz w:val="20"/>
                    </w:rPr>
                    <w:t>HSL is less than zero and is also greater than the highest MW in submitted Energy Bid/Offer Curve</w:t>
                  </w:r>
                </w:p>
              </w:tc>
              <w:tc>
                <w:tcPr>
                  <w:tcW w:w="2619" w:type="dxa"/>
                  <w:tcBorders>
                    <w:top w:val="single" w:sz="4" w:space="0" w:color="auto"/>
                    <w:left w:val="single" w:sz="4" w:space="0" w:color="auto"/>
                    <w:bottom w:val="single" w:sz="4" w:space="0" w:color="auto"/>
                    <w:right w:val="single" w:sz="4" w:space="0" w:color="auto"/>
                  </w:tcBorders>
                  <w:hideMark/>
                </w:tcPr>
                <w:p w14:paraId="1F51690A" w14:textId="77777777" w:rsidR="004C32A5" w:rsidRPr="00A552C3" w:rsidRDefault="004C32A5" w:rsidP="004C32A5">
                  <w:pPr>
                    <w:spacing w:after="60"/>
                    <w:rPr>
                      <w:iCs/>
                      <w:sz w:val="20"/>
                    </w:rPr>
                  </w:pPr>
                  <w:r w:rsidRPr="00A552C3">
                    <w:rPr>
                      <w:iCs/>
                      <w:sz w:val="20"/>
                    </w:rPr>
                    <w:t>From highest MW point on submitted Energy Bid/Offer Curve to HSL MW</w:t>
                  </w:r>
                </w:p>
              </w:tc>
              <w:tc>
                <w:tcPr>
                  <w:tcW w:w="2620" w:type="dxa"/>
                  <w:tcBorders>
                    <w:top w:val="single" w:sz="4" w:space="0" w:color="auto"/>
                    <w:left w:val="single" w:sz="4" w:space="0" w:color="auto"/>
                    <w:bottom w:val="single" w:sz="4" w:space="0" w:color="auto"/>
                    <w:right w:val="single" w:sz="4" w:space="0" w:color="auto"/>
                  </w:tcBorders>
                  <w:hideMark/>
                </w:tcPr>
                <w:p w14:paraId="113768AC" w14:textId="77777777" w:rsidR="004C32A5" w:rsidRPr="00A552C3" w:rsidRDefault="004C32A5" w:rsidP="004C32A5">
                  <w:pPr>
                    <w:spacing w:after="60"/>
                    <w:rPr>
                      <w:iCs/>
                      <w:sz w:val="20"/>
                    </w:rPr>
                  </w:pPr>
                  <w:r w:rsidRPr="00A552C3">
                    <w:rPr>
                      <w:iCs/>
                      <w:sz w:val="20"/>
                    </w:rPr>
                    <w:t>Price associated with the highest MW in submitted Energy Bid/Offer Curve</w:t>
                  </w:r>
                </w:p>
              </w:tc>
            </w:tr>
            <w:tr w:rsidR="004C32A5" w:rsidRPr="00A552C3" w14:paraId="719CD93F"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hideMark/>
                </w:tcPr>
                <w:p w14:paraId="3202D0B2" w14:textId="77777777" w:rsidR="004C32A5" w:rsidRPr="00A552C3" w:rsidRDefault="004C32A5" w:rsidP="004C32A5">
                  <w:pPr>
                    <w:spacing w:after="60"/>
                    <w:rPr>
                      <w:iCs/>
                      <w:sz w:val="20"/>
                    </w:rPr>
                  </w:pPr>
                  <w:r w:rsidRPr="00A552C3">
                    <w:rPr>
                      <w:iCs/>
                      <w:sz w:val="20"/>
                    </w:rPr>
                    <w:t>Energy Bid/Offer Curve</w:t>
                  </w:r>
                </w:p>
              </w:tc>
              <w:tc>
                <w:tcPr>
                  <w:tcW w:w="2619" w:type="dxa"/>
                  <w:tcBorders>
                    <w:top w:val="single" w:sz="4" w:space="0" w:color="auto"/>
                    <w:left w:val="single" w:sz="4" w:space="0" w:color="auto"/>
                    <w:bottom w:val="single" w:sz="4" w:space="0" w:color="auto"/>
                    <w:right w:val="single" w:sz="4" w:space="0" w:color="auto"/>
                  </w:tcBorders>
                </w:tcPr>
                <w:p w14:paraId="310D10F6" w14:textId="77777777" w:rsidR="004C32A5" w:rsidRPr="00A552C3" w:rsidRDefault="004C32A5" w:rsidP="004C32A5">
                  <w:pPr>
                    <w:spacing w:after="60"/>
                    <w:rPr>
                      <w:iCs/>
                      <w:sz w:val="20"/>
                    </w:rPr>
                  </w:pPr>
                </w:p>
              </w:tc>
              <w:tc>
                <w:tcPr>
                  <w:tcW w:w="2620" w:type="dxa"/>
                  <w:tcBorders>
                    <w:top w:val="single" w:sz="4" w:space="0" w:color="auto"/>
                    <w:left w:val="single" w:sz="4" w:space="0" w:color="auto"/>
                    <w:bottom w:val="single" w:sz="4" w:space="0" w:color="auto"/>
                    <w:right w:val="single" w:sz="4" w:space="0" w:color="auto"/>
                  </w:tcBorders>
                  <w:hideMark/>
                </w:tcPr>
                <w:p w14:paraId="5D506E1B" w14:textId="77777777" w:rsidR="004C32A5" w:rsidRPr="00A552C3" w:rsidRDefault="004C32A5" w:rsidP="004C32A5">
                  <w:pPr>
                    <w:spacing w:after="60"/>
                    <w:rPr>
                      <w:iCs/>
                      <w:sz w:val="20"/>
                    </w:rPr>
                  </w:pPr>
                  <w:r w:rsidRPr="00A552C3">
                    <w:rPr>
                      <w:iCs/>
                      <w:sz w:val="20"/>
                    </w:rPr>
                    <w:t>Energy Bid/Offer Curve</w:t>
                  </w:r>
                </w:p>
              </w:tc>
            </w:tr>
            <w:tr w:rsidR="004C32A5" w:rsidRPr="00A552C3" w14:paraId="2EDFCC98"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tcPr>
                <w:p w14:paraId="2947451E" w14:textId="77777777" w:rsidR="004C32A5" w:rsidRPr="00A552C3" w:rsidRDefault="004C32A5" w:rsidP="004C32A5">
                  <w:pPr>
                    <w:spacing w:after="60"/>
                    <w:rPr>
                      <w:iCs/>
                      <w:sz w:val="20"/>
                    </w:rPr>
                  </w:pPr>
                  <w:r w:rsidRPr="00A552C3">
                    <w:rPr>
                      <w:iCs/>
                      <w:sz w:val="20"/>
                    </w:rPr>
                    <w:t xml:space="preserve">LSL MW and the lowest MW point on the Energy Bid/Offer Curve are both greater than or equal to zero, </w:t>
                  </w:r>
                </w:p>
                <w:p w14:paraId="2E3353DC" w14:textId="77777777" w:rsidR="004C32A5" w:rsidRPr="00A552C3" w:rsidRDefault="004C32A5" w:rsidP="004C32A5">
                  <w:pPr>
                    <w:spacing w:after="60"/>
                    <w:rPr>
                      <w:iCs/>
                      <w:sz w:val="20"/>
                    </w:rPr>
                  </w:pPr>
                  <w:r w:rsidRPr="00A552C3">
                    <w:rPr>
                      <w:iCs/>
                      <w:sz w:val="20"/>
                    </w:rPr>
                    <w:t>and,</w:t>
                  </w:r>
                </w:p>
                <w:p w14:paraId="0224EF19" w14:textId="77777777" w:rsidR="004C32A5" w:rsidRPr="00A552C3" w:rsidRDefault="004C32A5" w:rsidP="004C32A5">
                  <w:pPr>
                    <w:spacing w:after="60"/>
                    <w:rPr>
                      <w:iCs/>
                      <w:sz w:val="20"/>
                    </w:rPr>
                  </w:pPr>
                  <w:r w:rsidRPr="00A552C3">
                    <w:rPr>
                      <w:iCs/>
                      <w:sz w:val="20"/>
                    </w:rPr>
                    <w:t>LSL is less than the lowest MW in submitted Energy Bid/Offer Curve</w:t>
                  </w:r>
                </w:p>
                <w:p w14:paraId="5DF55331"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27857917" w14:textId="77777777" w:rsidR="004C32A5" w:rsidRPr="00A552C3" w:rsidRDefault="004C32A5" w:rsidP="004C32A5">
                  <w:pPr>
                    <w:spacing w:after="60"/>
                    <w:rPr>
                      <w:iCs/>
                      <w:sz w:val="20"/>
                    </w:rPr>
                  </w:pPr>
                  <w:r w:rsidRPr="00A552C3">
                    <w:rPr>
                      <w:iCs/>
                      <w:sz w:val="20"/>
                    </w:rPr>
                    <w:t>From LSL to lowest MW point on submitted Energy Bid/Offer Curve</w:t>
                  </w:r>
                </w:p>
              </w:tc>
              <w:tc>
                <w:tcPr>
                  <w:tcW w:w="2620" w:type="dxa"/>
                  <w:tcBorders>
                    <w:top w:val="single" w:sz="4" w:space="0" w:color="auto"/>
                    <w:left w:val="single" w:sz="4" w:space="0" w:color="auto"/>
                    <w:bottom w:val="single" w:sz="4" w:space="0" w:color="auto"/>
                    <w:right w:val="single" w:sz="4" w:space="0" w:color="auto"/>
                  </w:tcBorders>
                  <w:hideMark/>
                </w:tcPr>
                <w:p w14:paraId="46831C41" w14:textId="77777777" w:rsidR="004C32A5" w:rsidRPr="00A552C3" w:rsidRDefault="004C32A5" w:rsidP="004C32A5">
                  <w:pPr>
                    <w:spacing w:after="60"/>
                    <w:rPr>
                      <w:iCs/>
                      <w:sz w:val="20"/>
                    </w:rPr>
                  </w:pPr>
                  <w:r w:rsidRPr="00A552C3">
                    <w:rPr>
                      <w:iCs/>
                      <w:sz w:val="20"/>
                    </w:rPr>
                    <w:t>Price associated with the lowest MW in submitted Energy Bid/Offer Curve</w:t>
                  </w:r>
                </w:p>
              </w:tc>
            </w:tr>
            <w:tr w:rsidR="004C32A5" w:rsidRPr="00A552C3" w14:paraId="0E2FC534" w14:textId="77777777" w:rsidTr="00477F93">
              <w:trPr>
                <w:trHeight w:val="304"/>
                <w:jc w:val="center"/>
              </w:trPr>
              <w:tc>
                <w:tcPr>
                  <w:tcW w:w="3871" w:type="dxa"/>
                  <w:tcBorders>
                    <w:top w:val="single" w:sz="4" w:space="0" w:color="auto"/>
                    <w:left w:val="single" w:sz="4" w:space="0" w:color="auto"/>
                    <w:bottom w:val="single" w:sz="4" w:space="0" w:color="auto"/>
                    <w:right w:val="single" w:sz="4" w:space="0" w:color="auto"/>
                  </w:tcBorders>
                  <w:hideMark/>
                </w:tcPr>
                <w:p w14:paraId="5AB8BB09" w14:textId="77777777" w:rsidR="004C32A5" w:rsidRPr="00A552C3" w:rsidRDefault="004C32A5" w:rsidP="004C32A5">
                  <w:pPr>
                    <w:spacing w:after="60"/>
                    <w:rPr>
                      <w:iCs/>
                      <w:sz w:val="20"/>
                    </w:rPr>
                  </w:pPr>
                  <w:r w:rsidRPr="00A552C3">
                    <w:rPr>
                      <w:iCs/>
                      <w:sz w:val="20"/>
                    </w:rPr>
                    <w:t>LSL MW is less than zero,</w:t>
                  </w:r>
                </w:p>
                <w:p w14:paraId="7BEC1D9C" w14:textId="77777777" w:rsidR="004C32A5" w:rsidRPr="00A552C3" w:rsidRDefault="004C32A5" w:rsidP="004C32A5">
                  <w:pPr>
                    <w:spacing w:after="60"/>
                    <w:rPr>
                      <w:iCs/>
                      <w:sz w:val="20"/>
                    </w:rPr>
                  </w:pPr>
                  <w:r w:rsidRPr="00A552C3">
                    <w:rPr>
                      <w:iCs/>
                      <w:sz w:val="20"/>
                    </w:rPr>
                    <w:t>and,</w:t>
                  </w:r>
                </w:p>
                <w:p w14:paraId="2C38E59B" w14:textId="77777777" w:rsidR="004C32A5" w:rsidRPr="00A552C3" w:rsidRDefault="004C32A5" w:rsidP="004C32A5">
                  <w:pPr>
                    <w:spacing w:after="60"/>
                    <w:rPr>
                      <w:iCs/>
                      <w:sz w:val="20"/>
                    </w:rPr>
                  </w:pPr>
                  <w:r w:rsidRPr="00A552C3">
                    <w:rPr>
                      <w:iCs/>
                      <w:sz w:val="20"/>
                    </w:rPr>
                    <w:t>the lowest MW point on the Energy Bid/Offer Curve is greater than zero</w:t>
                  </w:r>
                </w:p>
              </w:tc>
              <w:tc>
                <w:tcPr>
                  <w:tcW w:w="2619" w:type="dxa"/>
                  <w:tcBorders>
                    <w:top w:val="single" w:sz="4" w:space="0" w:color="auto"/>
                    <w:left w:val="single" w:sz="4" w:space="0" w:color="auto"/>
                    <w:bottom w:val="single" w:sz="4" w:space="0" w:color="auto"/>
                    <w:right w:val="single" w:sz="4" w:space="0" w:color="auto"/>
                  </w:tcBorders>
                  <w:hideMark/>
                </w:tcPr>
                <w:p w14:paraId="46698775" w14:textId="77777777" w:rsidR="004C32A5" w:rsidRDefault="004C32A5" w:rsidP="004C32A5">
                  <w:pPr>
                    <w:spacing w:after="60"/>
                    <w:rPr>
                      <w:iCs/>
                      <w:sz w:val="20"/>
                    </w:rPr>
                  </w:pPr>
                  <w:r w:rsidRPr="00A552C3">
                    <w:rPr>
                      <w:iCs/>
                      <w:sz w:val="20"/>
                    </w:rPr>
                    <w:t>From LSL to 0 MW</w:t>
                  </w:r>
                </w:p>
                <w:p w14:paraId="597E76DC" w14:textId="77777777" w:rsidR="00477F93" w:rsidRDefault="00477F93" w:rsidP="004C32A5">
                  <w:pPr>
                    <w:spacing w:after="60"/>
                    <w:rPr>
                      <w:iCs/>
                      <w:sz w:val="20"/>
                    </w:rPr>
                  </w:pPr>
                </w:p>
                <w:p w14:paraId="1DCD2F92" w14:textId="63A2AA37" w:rsidR="00477F93" w:rsidRPr="00A552C3" w:rsidRDefault="00477F93" w:rsidP="004C32A5">
                  <w:pPr>
                    <w:spacing w:after="60"/>
                    <w:rPr>
                      <w:iCs/>
                      <w:sz w:val="20"/>
                    </w:rPr>
                  </w:pPr>
                  <w:r w:rsidRPr="00A552C3">
                    <w:rPr>
                      <w:iCs/>
                      <w:sz w:val="20"/>
                    </w:rPr>
                    <w:t>From 0 MW to lowest MW point on submitted Energy Bid/Offer Curve</w:t>
                  </w:r>
                </w:p>
              </w:tc>
              <w:tc>
                <w:tcPr>
                  <w:tcW w:w="2620" w:type="dxa"/>
                  <w:tcBorders>
                    <w:top w:val="single" w:sz="4" w:space="0" w:color="auto"/>
                    <w:left w:val="single" w:sz="4" w:space="0" w:color="auto"/>
                    <w:bottom w:val="single" w:sz="4" w:space="0" w:color="auto"/>
                    <w:right w:val="single" w:sz="4" w:space="0" w:color="auto"/>
                  </w:tcBorders>
                  <w:hideMark/>
                </w:tcPr>
                <w:p w14:paraId="6F54D37A" w14:textId="77777777" w:rsidR="004C32A5" w:rsidRDefault="004C32A5" w:rsidP="004C32A5">
                  <w:pPr>
                    <w:spacing w:after="60"/>
                    <w:rPr>
                      <w:iCs/>
                      <w:sz w:val="20"/>
                    </w:rPr>
                  </w:pPr>
                  <w:r w:rsidRPr="00A552C3">
                    <w:rPr>
                      <w:iCs/>
                      <w:sz w:val="20"/>
                    </w:rPr>
                    <w:t>-$250.00</w:t>
                  </w:r>
                </w:p>
                <w:p w14:paraId="2441E077" w14:textId="77777777" w:rsidR="00477F93" w:rsidRDefault="00477F93" w:rsidP="004C32A5">
                  <w:pPr>
                    <w:spacing w:after="60"/>
                    <w:rPr>
                      <w:iCs/>
                      <w:sz w:val="20"/>
                    </w:rPr>
                  </w:pPr>
                </w:p>
                <w:p w14:paraId="63A6B9B8" w14:textId="0E4CF380" w:rsidR="00477F93" w:rsidRPr="00A552C3" w:rsidRDefault="00477F93" w:rsidP="004C32A5">
                  <w:pPr>
                    <w:spacing w:after="60"/>
                    <w:rPr>
                      <w:iCs/>
                      <w:sz w:val="20"/>
                    </w:rPr>
                  </w:pPr>
                  <w:r w:rsidRPr="00A552C3">
                    <w:rPr>
                      <w:iCs/>
                      <w:sz w:val="20"/>
                    </w:rPr>
                    <w:t>Price associated with the lowest MW in submitted Energy Bid/Offer Curve</w:t>
                  </w:r>
                </w:p>
              </w:tc>
            </w:tr>
            <w:tr w:rsidR="004C32A5" w:rsidRPr="00A552C3" w14:paraId="332F4F1B"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tcPr>
                <w:p w14:paraId="5B7B09AB" w14:textId="77777777" w:rsidR="004C32A5" w:rsidRPr="00A552C3" w:rsidRDefault="004C32A5" w:rsidP="004C32A5">
                  <w:pPr>
                    <w:spacing w:after="60"/>
                    <w:rPr>
                      <w:iCs/>
                      <w:sz w:val="20"/>
                    </w:rPr>
                  </w:pPr>
                  <w:r w:rsidRPr="00A552C3">
                    <w:rPr>
                      <w:iCs/>
                      <w:sz w:val="20"/>
                    </w:rPr>
                    <w:t>LSL and the lowest MW point on the Energy Bid/Offer Curve are both less than or equal to zero,</w:t>
                  </w:r>
                </w:p>
                <w:p w14:paraId="1A2ECB8D" w14:textId="77777777" w:rsidR="004C32A5" w:rsidRPr="00A552C3" w:rsidRDefault="004C32A5" w:rsidP="004C32A5">
                  <w:pPr>
                    <w:spacing w:after="60"/>
                    <w:rPr>
                      <w:iCs/>
                      <w:sz w:val="20"/>
                    </w:rPr>
                  </w:pPr>
                  <w:r w:rsidRPr="00A552C3">
                    <w:rPr>
                      <w:iCs/>
                      <w:sz w:val="20"/>
                    </w:rPr>
                    <w:t>and,</w:t>
                  </w:r>
                </w:p>
                <w:p w14:paraId="10439F51" w14:textId="77777777" w:rsidR="004C32A5" w:rsidRPr="00A552C3" w:rsidRDefault="004C32A5" w:rsidP="004C32A5">
                  <w:pPr>
                    <w:spacing w:after="60"/>
                    <w:rPr>
                      <w:iCs/>
                      <w:sz w:val="20"/>
                    </w:rPr>
                  </w:pPr>
                  <w:r w:rsidRPr="00A552C3">
                    <w:rPr>
                      <w:iCs/>
                      <w:sz w:val="20"/>
                    </w:rPr>
                    <w:t>LSL is less than the lowest MW point on the Energy Bid/Offer Curve</w:t>
                  </w:r>
                </w:p>
                <w:p w14:paraId="0D4397A8"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751DC877" w14:textId="77777777" w:rsidR="004C32A5" w:rsidRPr="00A552C3" w:rsidRDefault="004C32A5" w:rsidP="004C32A5">
                  <w:pPr>
                    <w:spacing w:after="60"/>
                    <w:rPr>
                      <w:iCs/>
                      <w:sz w:val="20"/>
                    </w:rPr>
                  </w:pPr>
                  <w:r w:rsidRPr="00A552C3">
                    <w:rPr>
                      <w:iCs/>
                      <w:sz w:val="20"/>
                    </w:rPr>
                    <w:t>From LSL to lowest MW point on submitted Energy Bid/Offer Curve</w:t>
                  </w:r>
                </w:p>
              </w:tc>
              <w:tc>
                <w:tcPr>
                  <w:tcW w:w="2620" w:type="dxa"/>
                  <w:tcBorders>
                    <w:top w:val="single" w:sz="4" w:space="0" w:color="auto"/>
                    <w:left w:val="single" w:sz="4" w:space="0" w:color="auto"/>
                    <w:bottom w:val="single" w:sz="4" w:space="0" w:color="auto"/>
                    <w:right w:val="single" w:sz="4" w:space="0" w:color="auto"/>
                  </w:tcBorders>
                  <w:hideMark/>
                </w:tcPr>
                <w:p w14:paraId="12A08587" w14:textId="77777777" w:rsidR="004C32A5" w:rsidRPr="00A552C3" w:rsidRDefault="004C32A5" w:rsidP="004C32A5">
                  <w:pPr>
                    <w:spacing w:after="60"/>
                    <w:rPr>
                      <w:iCs/>
                      <w:sz w:val="20"/>
                    </w:rPr>
                  </w:pPr>
                  <w:r w:rsidRPr="00A552C3">
                    <w:rPr>
                      <w:iCs/>
                      <w:sz w:val="20"/>
                    </w:rPr>
                    <w:t>-$250.00</w:t>
                  </w:r>
                </w:p>
              </w:tc>
            </w:tr>
          </w:tbl>
          <w:p w14:paraId="38FA8817" w14:textId="77777777" w:rsidR="004C32A5" w:rsidRPr="00A552C3" w:rsidRDefault="004C32A5" w:rsidP="004C32A5">
            <w:pPr>
              <w:spacing w:before="240" w:after="240"/>
              <w:ind w:left="1440" w:hanging="720"/>
            </w:pPr>
            <w:r w:rsidRPr="00A552C3">
              <w:t>(b)</w:t>
            </w:r>
            <w:r w:rsidRPr="00A552C3">
              <w:tab/>
              <w:t>At the time of SCED execution, if a valid Energy Bid/Offer Curve or Output Schedule does not exist for an ESR that has a status of On-Line, then ERCOT shall notify the QSE and create a proxy Energy Bid/Offer Curve priced at -$250/MWh for the MW portion of the curve less than zero MW, and priced at the RTSWCAP for the MW portion of the curve greater than zero MW.</w:t>
            </w:r>
          </w:p>
          <w:p w14:paraId="7E43A68E" w14:textId="4C7D932F" w:rsidR="004C32A5" w:rsidRPr="00A552C3" w:rsidRDefault="004C32A5" w:rsidP="004C32A5">
            <w:pPr>
              <w:spacing w:before="240" w:after="240"/>
              <w:ind w:left="1440" w:hanging="720"/>
            </w:pPr>
            <w:r w:rsidRPr="00A552C3">
              <w:lastRenderedPageBreak/>
              <w:t>(c)</w:t>
            </w:r>
            <w:r w:rsidRPr="00A552C3">
              <w:tab/>
              <w:t>At the time of SCED execution, if a QSE representing an ESR has submitted an Output Schedule instead of an Energy Bid/Offer Curve, ERCOT shall create a proxy Energy Bid/Offer Curve priced at -$250</w:t>
            </w:r>
            <w:r w:rsidR="00532E7C">
              <w:t xml:space="preserve"> per </w:t>
            </w:r>
            <w:r w:rsidRPr="00A552C3">
              <w:t>MWh for the MW portion of the curve from its LSL to the MW amount on the Output Schedule, and priced at the RTSWCAP for the MW portion of the curve from the MW amount on the Output Schedule to its HSL.</w:t>
            </w:r>
          </w:p>
          <w:p w14:paraId="7C869DF3" w14:textId="69932A71" w:rsidR="00BC03DD" w:rsidRPr="003161DC" w:rsidRDefault="00BC03DD" w:rsidP="004C32A5">
            <w:pPr>
              <w:spacing w:before="240" w:after="240"/>
              <w:ind w:left="720" w:hanging="720"/>
            </w:pPr>
            <w:r w:rsidRPr="003161DC">
              <w:t>(</w:t>
            </w:r>
            <w:r w:rsidR="004C32A5">
              <w:t>7</w:t>
            </w:r>
            <w:r w:rsidRPr="003161DC">
              <w:t>)</w:t>
            </w:r>
            <w:r w:rsidRPr="003161DC">
              <w:tab/>
              <w:t>The Entity with decision</w:t>
            </w:r>
            <w:r>
              <w:t>-</w:t>
            </w:r>
            <w:r w:rsidRPr="003161DC">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r w:rsidR="004C32A5" w:rsidRPr="00A552C3">
              <w:t>, proxy Energy Bid/Offer Curve, or proxy Ancillary Service Offer</w:t>
            </w:r>
            <w:r w:rsidRPr="003161DC">
              <w:t>.</w:t>
            </w:r>
            <w:r w:rsidRPr="003161DC" w:rsidDel="00995694">
              <w:t xml:space="preserve"> </w:t>
            </w:r>
          </w:p>
          <w:p w14:paraId="53667042" w14:textId="4A2D280E" w:rsidR="00BC03DD" w:rsidRPr="003161DC" w:rsidRDefault="00BC03DD" w:rsidP="00BC03DD">
            <w:pPr>
              <w:spacing w:after="240"/>
              <w:ind w:left="720" w:hanging="720"/>
            </w:pPr>
            <w:r w:rsidRPr="003161DC">
              <w:t>(</w:t>
            </w:r>
            <w:r w:rsidR="004C32A5">
              <w:t>8</w:t>
            </w:r>
            <w:r w:rsidRPr="003161DC">
              <w:t>)</w:t>
            </w:r>
            <w:r w:rsidRPr="003161DC">
              <w:tab/>
              <w:t xml:space="preserve">For a </w:t>
            </w:r>
            <w:r w:rsidR="00D3410D">
              <w:t>CLR</w:t>
            </w:r>
            <w:r w:rsidRPr="003161DC">
              <w:t xml:space="preserve"> whose QSE has submitted an Energy Bid</w:t>
            </w:r>
            <w:r w:rsidR="00D3410D">
              <w:t xml:space="preserve"> Curve</w:t>
            </w:r>
            <w:r w:rsidRPr="003161DC">
              <w:t xml:space="preserve"> that does not cover the full range of the Resource’s available Demand response capability, consistent with the </w:t>
            </w:r>
            <w:r w:rsidR="00D3410D">
              <w:t>CLR</w:t>
            </w:r>
            <w:r w:rsidRPr="003161DC">
              <w:t>’s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BC03DD" w:rsidRPr="003161DC" w14:paraId="65F51C48" w14:textId="77777777" w:rsidTr="00AE702A">
              <w:trPr>
                <w:jc w:val="center"/>
              </w:trPr>
              <w:tc>
                <w:tcPr>
                  <w:tcW w:w="3596" w:type="dxa"/>
                </w:tcPr>
                <w:p w14:paraId="1BED6CEB" w14:textId="77777777" w:rsidR="00BC03DD" w:rsidRPr="003161DC" w:rsidRDefault="00BC03DD" w:rsidP="00BC03DD">
                  <w:pPr>
                    <w:spacing w:after="120"/>
                    <w:rPr>
                      <w:b/>
                      <w:iCs/>
                      <w:sz w:val="20"/>
                    </w:rPr>
                  </w:pPr>
                  <w:r w:rsidRPr="003161DC">
                    <w:rPr>
                      <w:b/>
                      <w:iCs/>
                      <w:sz w:val="20"/>
                    </w:rPr>
                    <w:t>MW</w:t>
                  </w:r>
                </w:p>
              </w:tc>
              <w:tc>
                <w:tcPr>
                  <w:tcW w:w="2875" w:type="dxa"/>
                </w:tcPr>
                <w:p w14:paraId="7E783E25" w14:textId="77777777" w:rsidR="00BC03DD" w:rsidRPr="003161DC" w:rsidRDefault="00BC03DD" w:rsidP="00BC03DD">
                  <w:pPr>
                    <w:spacing w:after="120"/>
                    <w:rPr>
                      <w:b/>
                      <w:iCs/>
                      <w:sz w:val="20"/>
                    </w:rPr>
                  </w:pPr>
                  <w:r w:rsidRPr="003161DC">
                    <w:rPr>
                      <w:b/>
                      <w:iCs/>
                      <w:sz w:val="20"/>
                    </w:rPr>
                    <w:t>Price (per MWh)</w:t>
                  </w:r>
                </w:p>
              </w:tc>
            </w:tr>
            <w:tr w:rsidR="00BC03DD" w:rsidRPr="003161DC" w14:paraId="53596281" w14:textId="77777777" w:rsidTr="00AE702A">
              <w:trPr>
                <w:jc w:val="center"/>
              </w:trPr>
              <w:tc>
                <w:tcPr>
                  <w:tcW w:w="3596" w:type="dxa"/>
                </w:tcPr>
                <w:p w14:paraId="074AE654" w14:textId="3CA88AE8" w:rsidR="00BC03DD" w:rsidRPr="003161DC" w:rsidRDefault="00BC03DD" w:rsidP="00BC03DD">
                  <w:pPr>
                    <w:spacing w:after="60"/>
                    <w:rPr>
                      <w:iCs/>
                      <w:sz w:val="20"/>
                    </w:rPr>
                  </w:pPr>
                  <w:r w:rsidRPr="003161DC">
                    <w:rPr>
                      <w:iCs/>
                      <w:sz w:val="20"/>
                    </w:rPr>
                    <w:t>LPC to MPC minus maximum MW of Energy Bid</w:t>
                  </w:r>
                  <w:r w:rsidR="00D3410D">
                    <w:rPr>
                      <w:iCs/>
                      <w:sz w:val="20"/>
                    </w:rPr>
                    <w:t xml:space="preserve"> Curve</w:t>
                  </w:r>
                </w:p>
              </w:tc>
              <w:tc>
                <w:tcPr>
                  <w:tcW w:w="2875" w:type="dxa"/>
                </w:tcPr>
                <w:p w14:paraId="5F72D4C5" w14:textId="090AB668" w:rsidR="00BC03DD" w:rsidRPr="003161DC" w:rsidRDefault="00BC03DD" w:rsidP="00BC03DD">
                  <w:pPr>
                    <w:spacing w:after="60"/>
                    <w:rPr>
                      <w:iCs/>
                      <w:sz w:val="20"/>
                    </w:rPr>
                  </w:pPr>
                  <w:r w:rsidRPr="003161DC">
                    <w:rPr>
                      <w:iCs/>
                      <w:sz w:val="20"/>
                    </w:rPr>
                    <w:t xml:space="preserve">Price associated with the lowest MW in submitted Energy Bid </w:t>
                  </w:r>
                  <w:r w:rsidR="00D3410D">
                    <w:rPr>
                      <w:iCs/>
                      <w:sz w:val="20"/>
                    </w:rPr>
                    <w:t>C</w:t>
                  </w:r>
                  <w:r w:rsidRPr="003161DC">
                    <w:rPr>
                      <w:iCs/>
                      <w:sz w:val="20"/>
                    </w:rPr>
                    <w:t>urve</w:t>
                  </w:r>
                </w:p>
              </w:tc>
            </w:tr>
            <w:tr w:rsidR="00BC03DD" w:rsidRPr="003161DC" w14:paraId="73B9AA32" w14:textId="77777777" w:rsidTr="00AE702A">
              <w:trPr>
                <w:jc w:val="center"/>
              </w:trPr>
              <w:tc>
                <w:tcPr>
                  <w:tcW w:w="3596" w:type="dxa"/>
                </w:tcPr>
                <w:p w14:paraId="2724E002" w14:textId="3C7096B3" w:rsidR="00BC03DD" w:rsidRPr="003161DC" w:rsidRDefault="00BC03DD" w:rsidP="00BC03DD">
                  <w:pPr>
                    <w:spacing w:after="60"/>
                    <w:rPr>
                      <w:iCs/>
                      <w:sz w:val="20"/>
                    </w:rPr>
                  </w:pPr>
                  <w:r w:rsidRPr="003161DC">
                    <w:rPr>
                      <w:iCs/>
                      <w:sz w:val="20"/>
                    </w:rPr>
                    <w:t xml:space="preserve">MPC minus maximum MW of Energy Bid </w:t>
                  </w:r>
                  <w:r w:rsidR="00D3410D">
                    <w:rPr>
                      <w:iCs/>
                      <w:sz w:val="20"/>
                    </w:rPr>
                    <w:t xml:space="preserve">Curve </w:t>
                  </w:r>
                  <w:r w:rsidRPr="003161DC">
                    <w:rPr>
                      <w:iCs/>
                      <w:sz w:val="20"/>
                    </w:rPr>
                    <w:t>to MPC</w:t>
                  </w:r>
                </w:p>
              </w:tc>
              <w:tc>
                <w:tcPr>
                  <w:tcW w:w="2875" w:type="dxa"/>
                </w:tcPr>
                <w:p w14:paraId="4CB26AD7" w14:textId="28F5386F" w:rsidR="00BC03DD" w:rsidRPr="003161DC" w:rsidRDefault="00BC03DD" w:rsidP="00BC03DD">
                  <w:pPr>
                    <w:spacing w:after="60"/>
                    <w:rPr>
                      <w:iCs/>
                      <w:sz w:val="20"/>
                    </w:rPr>
                  </w:pPr>
                  <w:r w:rsidRPr="003161DC">
                    <w:rPr>
                      <w:iCs/>
                      <w:sz w:val="20"/>
                    </w:rPr>
                    <w:t xml:space="preserve">Energy Bid </w:t>
                  </w:r>
                  <w:r w:rsidR="00D3410D">
                    <w:rPr>
                      <w:iCs/>
                      <w:sz w:val="20"/>
                    </w:rPr>
                    <w:t>C</w:t>
                  </w:r>
                  <w:r w:rsidRPr="003161DC">
                    <w:rPr>
                      <w:iCs/>
                      <w:sz w:val="20"/>
                    </w:rPr>
                    <w:t>urve</w:t>
                  </w:r>
                </w:p>
              </w:tc>
            </w:tr>
            <w:tr w:rsidR="00BC03DD" w:rsidRPr="003161DC" w14:paraId="30641B6C" w14:textId="77777777" w:rsidTr="00AE702A">
              <w:trPr>
                <w:jc w:val="center"/>
              </w:trPr>
              <w:tc>
                <w:tcPr>
                  <w:tcW w:w="3596" w:type="dxa"/>
                </w:tcPr>
                <w:p w14:paraId="34C3362D" w14:textId="77777777" w:rsidR="00BC03DD" w:rsidRPr="003161DC" w:rsidRDefault="00BC03DD" w:rsidP="00BC03DD">
                  <w:pPr>
                    <w:spacing w:after="60"/>
                    <w:rPr>
                      <w:iCs/>
                      <w:sz w:val="20"/>
                    </w:rPr>
                  </w:pPr>
                  <w:r w:rsidRPr="003161DC">
                    <w:rPr>
                      <w:iCs/>
                      <w:sz w:val="20"/>
                    </w:rPr>
                    <w:t>MPC</w:t>
                  </w:r>
                </w:p>
              </w:tc>
              <w:tc>
                <w:tcPr>
                  <w:tcW w:w="2875" w:type="dxa"/>
                </w:tcPr>
                <w:p w14:paraId="4002397C" w14:textId="0E2B75E7" w:rsidR="00BC03DD" w:rsidRPr="003161DC" w:rsidRDefault="00BC03DD" w:rsidP="00BC03DD">
                  <w:pPr>
                    <w:spacing w:after="60"/>
                    <w:rPr>
                      <w:iCs/>
                      <w:sz w:val="20"/>
                    </w:rPr>
                  </w:pPr>
                  <w:r w:rsidRPr="003161DC">
                    <w:rPr>
                      <w:iCs/>
                      <w:sz w:val="20"/>
                    </w:rPr>
                    <w:t xml:space="preserve">Right-most point (lowest price) on Energy Bid </w:t>
                  </w:r>
                  <w:r w:rsidR="00D3410D">
                    <w:rPr>
                      <w:iCs/>
                      <w:sz w:val="20"/>
                    </w:rPr>
                    <w:t>C</w:t>
                  </w:r>
                  <w:r w:rsidRPr="003161DC">
                    <w:rPr>
                      <w:iCs/>
                      <w:sz w:val="20"/>
                    </w:rPr>
                    <w:t>urve</w:t>
                  </w:r>
                </w:p>
              </w:tc>
            </w:tr>
          </w:tbl>
          <w:p w14:paraId="4E34C101" w14:textId="77777777" w:rsidR="00D3410D" w:rsidRPr="00812ECB" w:rsidRDefault="00D3410D" w:rsidP="00D3410D">
            <w:pPr>
              <w:spacing w:before="240" w:after="240"/>
              <w:ind w:left="720" w:hanging="720"/>
            </w:pPr>
            <w:r w:rsidRPr="00812ECB">
              <w:t>(9)</w:t>
            </w:r>
            <w:r w:rsidRPr="00812ECB">
              <w:tab/>
              <w:t>For a CLR whose QSE has not submitted an Energy Bid Curve, consistent with the CLR’s telemetered quantities, ERCOT shall create a proxy Energy Bid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D3410D" w:rsidRPr="00812ECB" w14:paraId="5AB465A5" w14:textId="77777777" w:rsidTr="00F5593C">
              <w:trPr>
                <w:jc w:val="center"/>
              </w:trPr>
              <w:tc>
                <w:tcPr>
                  <w:tcW w:w="3596" w:type="dxa"/>
                </w:tcPr>
                <w:p w14:paraId="58DD28E4" w14:textId="77777777" w:rsidR="00D3410D" w:rsidRPr="00812ECB" w:rsidRDefault="00D3410D" w:rsidP="00D3410D">
                  <w:pPr>
                    <w:spacing w:after="240"/>
                    <w:rPr>
                      <w:b/>
                      <w:iCs/>
                      <w:sz w:val="20"/>
                    </w:rPr>
                  </w:pPr>
                  <w:r w:rsidRPr="00812ECB">
                    <w:rPr>
                      <w:b/>
                      <w:iCs/>
                      <w:sz w:val="20"/>
                    </w:rPr>
                    <w:t>MW</w:t>
                  </w:r>
                </w:p>
              </w:tc>
              <w:tc>
                <w:tcPr>
                  <w:tcW w:w="2875" w:type="dxa"/>
                </w:tcPr>
                <w:p w14:paraId="37769163" w14:textId="77777777" w:rsidR="00D3410D" w:rsidRPr="00812ECB" w:rsidRDefault="00D3410D" w:rsidP="00D3410D">
                  <w:pPr>
                    <w:spacing w:after="240"/>
                    <w:rPr>
                      <w:b/>
                      <w:iCs/>
                      <w:sz w:val="20"/>
                    </w:rPr>
                  </w:pPr>
                  <w:r w:rsidRPr="00812ECB">
                    <w:rPr>
                      <w:b/>
                      <w:iCs/>
                      <w:sz w:val="20"/>
                    </w:rPr>
                    <w:t>Price (per MWh)</w:t>
                  </w:r>
                </w:p>
              </w:tc>
            </w:tr>
            <w:tr w:rsidR="00D3410D" w:rsidRPr="00812ECB" w14:paraId="2F2AF38D" w14:textId="77777777" w:rsidTr="00F5593C">
              <w:trPr>
                <w:jc w:val="center"/>
              </w:trPr>
              <w:tc>
                <w:tcPr>
                  <w:tcW w:w="3596" w:type="dxa"/>
                </w:tcPr>
                <w:p w14:paraId="55AC4D3F" w14:textId="77777777" w:rsidR="00D3410D" w:rsidRPr="00812ECB" w:rsidRDefault="00D3410D" w:rsidP="00D3410D">
                  <w:pPr>
                    <w:spacing w:after="60"/>
                    <w:rPr>
                      <w:iCs/>
                      <w:sz w:val="20"/>
                    </w:rPr>
                  </w:pPr>
                  <w:r w:rsidRPr="00812ECB">
                    <w:rPr>
                      <w:iCs/>
                      <w:sz w:val="20"/>
                    </w:rPr>
                    <w:t xml:space="preserve">LPC to MPC </w:t>
                  </w:r>
                </w:p>
              </w:tc>
              <w:tc>
                <w:tcPr>
                  <w:tcW w:w="2875" w:type="dxa"/>
                </w:tcPr>
                <w:p w14:paraId="4E1C4FB7" w14:textId="77777777" w:rsidR="00D3410D" w:rsidRPr="00812ECB" w:rsidRDefault="00D3410D" w:rsidP="00D3410D">
                  <w:pPr>
                    <w:spacing w:after="60"/>
                    <w:rPr>
                      <w:iCs/>
                      <w:sz w:val="20"/>
                    </w:rPr>
                  </w:pPr>
                  <w:r w:rsidRPr="00812ECB">
                    <w:rPr>
                      <w:iCs/>
                      <w:sz w:val="20"/>
                    </w:rPr>
                    <w:t>SWCAP</w:t>
                  </w:r>
                </w:p>
              </w:tc>
            </w:tr>
          </w:tbl>
          <w:p w14:paraId="0B7CBBC1" w14:textId="4791B37A" w:rsidR="00BC03DD" w:rsidRPr="003161DC" w:rsidRDefault="00BC03DD" w:rsidP="00BC03DD">
            <w:pPr>
              <w:spacing w:before="240" w:after="240"/>
              <w:ind w:left="720" w:hanging="720"/>
            </w:pPr>
            <w:r w:rsidRPr="003161DC">
              <w:t>(</w:t>
            </w:r>
            <w:r w:rsidR="00D3410D">
              <w:t>10</w:t>
            </w:r>
            <w:r w:rsidRPr="003161DC">
              <w:t>)</w:t>
            </w:r>
            <w:r w:rsidRPr="003161DC">
              <w:tab/>
              <w:t xml:space="preserve">ERCOT shall ensure that any Energy Bid </w:t>
            </w:r>
            <w:r w:rsidR="00D3410D">
              <w:t xml:space="preserve">Curve </w:t>
            </w:r>
            <w:r w:rsidRPr="003161DC">
              <w:t xml:space="preserve">is monotonically non-increasing.  The QSE representing the </w:t>
            </w:r>
            <w:r w:rsidR="00D3410D">
              <w:t>CLR</w:t>
            </w:r>
            <w:r w:rsidRPr="003161DC">
              <w:t xml:space="preserve"> shall be responsible for all Energy Bid</w:t>
            </w:r>
            <w:r w:rsidR="00D3410D">
              <w:t xml:space="preserve"> Curve</w:t>
            </w:r>
            <w:r w:rsidRPr="003161DC">
              <w:t xml:space="preserve">s, including </w:t>
            </w:r>
            <w:r w:rsidR="00D3410D">
              <w:t>Energy Bid Curves</w:t>
            </w:r>
            <w:r w:rsidRPr="003161DC">
              <w:t xml:space="preserve"> updated by ERCOT as described above.</w:t>
            </w:r>
          </w:p>
          <w:p w14:paraId="4B3B9376" w14:textId="542F0FA4" w:rsidR="00BC03DD" w:rsidRPr="003161DC" w:rsidRDefault="00C12262" w:rsidP="00BC03DD">
            <w:pPr>
              <w:spacing w:after="240"/>
              <w:ind w:left="720" w:hanging="720"/>
            </w:pPr>
            <w:r>
              <w:t>(1</w:t>
            </w:r>
            <w:r w:rsidR="00D3410D">
              <w:t>1</w:t>
            </w:r>
            <w:r w:rsidR="00BC03DD">
              <w:t>)</w:t>
            </w:r>
            <w:r w:rsidR="00BC03DD">
              <w:tab/>
            </w:r>
            <w:r w:rsidR="00D3410D" w:rsidRPr="00812ECB">
              <w:rPr>
                <w:iCs/>
              </w:rPr>
              <w:t xml:space="preserve">A CLR may consume energy only when dispatched by SCED to do so.  </w:t>
            </w:r>
            <w:r w:rsidR="00D3410D" w:rsidRPr="00812ECB">
              <w:t>A CLR may telemeter a status of OUTL only if the Resource is Off-Line and unavailable with its energy consumption at zero.</w:t>
            </w:r>
            <w:r w:rsidR="00BC03DD">
              <w:t xml:space="preserve"> </w:t>
            </w:r>
            <w:r w:rsidR="00D3410D">
              <w:t xml:space="preserve"> In </w:t>
            </w:r>
            <w:r w:rsidR="00BC03DD">
              <w:t xml:space="preserve">instances when the </w:t>
            </w:r>
            <w:r w:rsidR="00D3410D">
              <w:t>CLR</w:t>
            </w:r>
            <w:r w:rsidR="00BC03DD">
              <w:t xml:space="preserve"> is unable to follow SCED Dispatch Instructions</w:t>
            </w:r>
            <w:r w:rsidR="00D3410D" w:rsidRPr="00812ECB">
              <w:t xml:space="preserve"> but still consumes energy, the CLR must submit a Resource Status of ONHOLD</w:t>
            </w:r>
            <w:r w:rsidR="00BC03DD">
              <w:t>.  Under all telemetered statuses</w:t>
            </w:r>
            <w:r w:rsidR="008637F7">
              <w:t>,</w:t>
            </w:r>
            <w:r w:rsidR="00BC03DD">
              <w:t xml:space="preserve"> including OUTL, the remaining telemetry quantities submitted by the QSE shall represent the operating conditions of the </w:t>
            </w:r>
            <w:r w:rsidR="00D3410D">
              <w:t>CLR</w:t>
            </w:r>
            <w:r w:rsidR="00BC03DD">
              <w:t xml:space="preserve"> that can be verified by ERCOT.  A QSE representing a </w:t>
            </w:r>
            <w:r w:rsidR="00D3410D">
              <w:t>CLR</w:t>
            </w:r>
            <w:r w:rsidR="00BC03DD">
              <w:t xml:space="preserve"> with a </w:t>
            </w:r>
            <w:r w:rsidR="00BC03DD">
              <w:lastRenderedPageBreak/>
              <w:t>telemetered status of OUTL</w:t>
            </w:r>
            <w:r w:rsidR="00D3410D">
              <w:t xml:space="preserve"> or ONHOLD</w:t>
            </w:r>
            <w:r w:rsidR="00BC03DD">
              <w:t xml:space="preserve"> is still obligated to provide any applicable Ancillary Services awarded to the Resource.  This paragraph does not apply to ESRs.  </w:t>
            </w:r>
          </w:p>
          <w:p w14:paraId="778927F5" w14:textId="35C1BA89" w:rsidR="00BC03DD" w:rsidRDefault="00BC03DD" w:rsidP="00BC03DD">
            <w:pPr>
              <w:spacing w:after="240"/>
              <w:ind w:left="720" w:hanging="720"/>
            </w:pPr>
            <w:r w:rsidRPr="003161DC">
              <w:t>(</w:t>
            </w:r>
            <w:r w:rsidR="00C12262">
              <w:t>1</w:t>
            </w:r>
            <w:r w:rsidR="00D3410D">
              <w:t>2</w:t>
            </w:r>
            <w:r w:rsidRPr="003161DC">
              <w:t>)</w:t>
            </w:r>
            <w:r w:rsidRPr="003161DC">
              <w:tab/>
              <w:t>Energy Offer Curves that were constructed in whole or in part with proxy Energy Offer Curves shall be so marked in all ERCOT postings or references to the energy offer.</w:t>
            </w:r>
          </w:p>
          <w:p w14:paraId="63CED7B7" w14:textId="1922B01A" w:rsidR="00BC03DD" w:rsidRPr="003161DC" w:rsidRDefault="00C12262" w:rsidP="00BC03DD">
            <w:pPr>
              <w:spacing w:before="240" w:after="240"/>
              <w:ind w:left="720" w:hanging="720"/>
            </w:pPr>
            <w:r>
              <w:t>(1</w:t>
            </w:r>
            <w:r w:rsidR="00D3410D">
              <w:t>3</w:t>
            </w:r>
            <w:r w:rsidR="00BC03DD" w:rsidRPr="009C1575">
              <w:t>)</w:t>
            </w:r>
            <w:r w:rsidR="00BC03DD" w:rsidRPr="009C1575">
              <w:tab/>
              <w:t xml:space="preserve">SCED will enforce Resource-specific Ancillary Service constraints to ensure that Ancillary Service awards are </w:t>
            </w:r>
            <w:r w:rsidR="00BC03DD">
              <w:t>aligned with a Resource’s qualifications and telemetered Ancillary Service capabilities</w:t>
            </w:r>
            <w:r w:rsidR="00BC03DD" w:rsidRPr="009C1575">
              <w:t>.</w:t>
            </w:r>
          </w:p>
          <w:p w14:paraId="44C9529B" w14:textId="77777777" w:rsidR="00532E7C" w:rsidRPr="005F2978" w:rsidRDefault="00532E7C" w:rsidP="00532E7C">
            <w:pPr>
              <w:spacing w:after="240"/>
              <w:ind w:left="1419" w:hanging="720"/>
            </w:pPr>
            <w:r w:rsidRPr="005F2978">
              <w:t>(a)</w:t>
            </w:r>
            <w:r w:rsidRPr="005F2978">
              <w:tab/>
              <w:t>A scaling factor of 5/7 shall be used for Reg-Up award when ensuring that the SCED Base Point plus the product of this scaling factor and the Reg-Up award does not exceed HDL.</w:t>
            </w:r>
          </w:p>
          <w:p w14:paraId="7A72E796" w14:textId="77777777" w:rsidR="00532E7C" w:rsidRPr="005F2978" w:rsidRDefault="00532E7C" w:rsidP="00532E7C">
            <w:pPr>
              <w:spacing w:after="240"/>
              <w:ind w:left="1419" w:hanging="720"/>
            </w:pPr>
            <w:r w:rsidRPr="005F2978">
              <w:t>(b)</w:t>
            </w:r>
            <w:r w:rsidRPr="005F2978">
              <w:tab/>
              <w:t>A scaling factor of 5/7 shall be used for Reg-Down award when ensuring that the SCED Base Point minus the product of this scaling factor and the Reg-Down award does not go below LDL.</w:t>
            </w:r>
          </w:p>
          <w:p w14:paraId="122AF8C3" w14:textId="091985EA" w:rsidR="004C32A5" w:rsidRPr="00A552C3" w:rsidRDefault="004C32A5" w:rsidP="004C32A5">
            <w:pPr>
              <w:spacing w:before="240" w:after="240"/>
              <w:ind w:left="720" w:hanging="720"/>
            </w:pPr>
            <w:r w:rsidRPr="00A552C3">
              <w:t>(1</w:t>
            </w:r>
            <w:r w:rsidR="00D3410D">
              <w:t>4</w:t>
            </w:r>
            <w:r w:rsidRPr="00A552C3">
              <w:t>)</w:t>
            </w:r>
            <w:r w:rsidRPr="00A552C3">
              <w:tab/>
              <w:t>Energy Bid/Offer Curves that were constructed in whole or in part with proxy Energy Bid/Offer Curves shall be so marked in all ERCOT postings or references to the energy bid/offer.</w:t>
            </w:r>
          </w:p>
          <w:p w14:paraId="11366F1C" w14:textId="24B32442" w:rsidR="00BC03DD" w:rsidRPr="003161DC" w:rsidRDefault="00BC03DD" w:rsidP="004C32A5">
            <w:pPr>
              <w:spacing w:before="240" w:after="240"/>
              <w:ind w:left="720" w:hanging="720"/>
            </w:pPr>
            <w:r w:rsidRPr="003161DC">
              <w:t>(1</w:t>
            </w:r>
            <w:r w:rsidR="00D3410D">
              <w:t>5</w:t>
            </w:r>
            <w:r w:rsidRPr="003161DC">
              <w:t>)</w:t>
            </w:r>
            <w:r w:rsidRPr="003161DC">
              <w:tab/>
              <w:t>The two-step SCED methodology referenced in paragraph (1) above is:</w:t>
            </w:r>
          </w:p>
          <w:p w14:paraId="705140AA" w14:textId="0F159563" w:rsidR="00BC03DD" w:rsidRDefault="00BC03DD" w:rsidP="00BC03DD">
            <w:pPr>
              <w:spacing w:after="240"/>
              <w:ind w:left="1440" w:hanging="720"/>
            </w:pPr>
            <w:r w:rsidRPr="003161DC">
              <w:t>(a)</w:t>
            </w:r>
            <w:r w:rsidRPr="003161DC">
              <w:tab/>
              <w:t>The first step is to execute the SCED process to determine Reference LMPs.  In this step, ERCOT executes SCED using the full Network Operations Model while only observing limits of Competitive Constraints</w:t>
            </w:r>
            <w:r>
              <w:t xml:space="preserve"> in addition to power balance and Ancillary Service constraints</w:t>
            </w:r>
            <w:r w:rsidRPr="003161DC">
              <w:t>.  Energy Offer Curves for all On-Line Generation Resources</w:t>
            </w:r>
            <w:r w:rsidR="004C32A5" w:rsidRPr="00A552C3">
              <w:t>, Energy Bid/Offer Curves for all On-Line ESRs,</w:t>
            </w:r>
            <w:r w:rsidRPr="003161DC">
              <w:t xml:space="preserve"> and Energy Bid</w:t>
            </w:r>
            <w:r w:rsidR="00D3410D">
              <w:t xml:space="preserve"> Curve</w:t>
            </w:r>
            <w:r w:rsidRPr="003161DC">
              <w:t xml:space="preserve">s from available </w:t>
            </w:r>
            <w:r w:rsidR="00D3410D">
              <w:t>CLR</w:t>
            </w:r>
            <w:r w:rsidRPr="003161DC">
              <w:t>s, whether submitted by QSEs or created by ERCOT under this Section, are used in the SCED to determine “Reference LMPs.”</w:t>
            </w:r>
            <w:r>
              <w:t xml:space="preserve"> </w:t>
            </w:r>
          </w:p>
          <w:p w14:paraId="782A9C23" w14:textId="77777777" w:rsidR="00BC03DD" w:rsidRPr="003161DC" w:rsidRDefault="00BC03DD" w:rsidP="00BC03DD">
            <w:pPr>
              <w:spacing w:after="240"/>
              <w:ind w:left="1440" w:hanging="720"/>
            </w:pPr>
            <w:r w:rsidRPr="003161DC">
              <w:t>(b)</w:t>
            </w:r>
            <w:r w:rsidRPr="003161DC">
              <w:tab/>
              <w:t xml:space="preserve">The second step is to execute the SCED process to produce Base Points, </w:t>
            </w:r>
            <w:r>
              <w:t xml:space="preserve">Ancillary Service awards, </w:t>
            </w:r>
            <w:r w:rsidRPr="003161DC">
              <w:t xml:space="preserve">Shadow Prices, </w:t>
            </w:r>
            <w:r>
              <w:t xml:space="preserve">Real-Time MCPCs, </w:t>
            </w:r>
            <w:r w:rsidRPr="003161DC">
              <w:t>and LMPs, subject to security constraints (including Competitive and Non-Competitive Constraints) and other Resource constraints.  The second step must:</w:t>
            </w:r>
          </w:p>
          <w:p w14:paraId="15B4D797" w14:textId="77777777" w:rsidR="00BC03DD" w:rsidRPr="003161DC" w:rsidRDefault="00BC03DD" w:rsidP="00BC03DD">
            <w:pPr>
              <w:spacing w:after="240"/>
              <w:ind w:left="2160" w:hanging="720"/>
            </w:pPr>
            <w:r w:rsidRPr="003161DC">
              <w:t>(i)</w:t>
            </w:r>
            <w:r w:rsidRPr="003161DC">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w:t>
            </w:r>
            <w:r w:rsidRPr="003161DC">
              <w:lastRenderedPageBreak/>
              <w:t xml:space="preserve">0.01 multiplied by the value of the Resource’s Mitigated Offer Cap (MOC) curve at the LSL or the appropriate MOC; </w:t>
            </w:r>
          </w:p>
          <w:p w14:paraId="7573A33A" w14:textId="3D94EB73" w:rsidR="004C32A5" w:rsidRPr="00A552C3" w:rsidRDefault="004C32A5" w:rsidP="004C32A5">
            <w:pPr>
              <w:spacing w:after="240"/>
              <w:ind w:left="2160" w:hanging="720"/>
            </w:pPr>
            <w:r w:rsidRPr="00A552C3">
              <w:t>(ii)</w:t>
            </w:r>
            <w:r w:rsidRPr="00A552C3">
              <w:tab/>
              <w:t xml:space="preserve">Use Energy Bid/Offer Curves for all On-Line ESRs, whether submitted by QSEs or created by ERCOT.  Each Energy Bid/Offer Curve must be bounded at the lesser of the Reference LMP (from Step 1) or the appropriate Mitigated Offer Floor.  The offer portion of each Energy Bid/Offer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MOC curve at the LSL or the appropriate MOC; </w:t>
            </w:r>
          </w:p>
          <w:p w14:paraId="55BF6C7C" w14:textId="06359D54" w:rsidR="00BC03DD" w:rsidRPr="003161DC" w:rsidRDefault="00BC03DD" w:rsidP="004C32A5">
            <w:pPr>
              <w:spacing w:after="240"/>
              <w:ind w:left="2160" w:hanging="720"/>
            </w:pPr>
            <w:r>
              <w:t>(</w:t>
            </w:r>
            <w:r w:rsidR="004C32A5">
              <w:t>i</w:t>
            </w:r>
            <w:r>
              <w:t>ii)</w:t>
            </w:r>
            <w:r>
              <w:tab/>
              <w:t xml:space="preserve">Use Energy Bid </w:t>
            </w:r>
            <w:r w:rsidR="00D3410D">
              <w:t>C</w:t>
            </w:r>
            <w:r>
              <w:t xml:space="preserve">urves for all available </w:t>
            </w:r>
            <w:r w:rsidR="00D3410D">
              <w:t>CLR</w:t>
            </w:r>
            <w:r>
              <w:t>s, whether submitted by QSEs or created by ERCOT.  There is no mitigation of Energy Bid</w:t>
            </w:r>
            <w:r w:rsidR="00D3410D">
              <w:t xml:space="preserve"> Curve</w:t>
            </w:r>
            <w:r>
              <w:t xml:space="preserve">s.  </w:t>
            </w:r>
            <w:r>
              <w:rPr>
                <w:iCs/>
              </w:rPr>
              <w:t>An Energy Bid</w:t>
            </w:r>
            <w:r w:rsidR="00D3410D">
              <w:rPr>
                <w:iCs/>
              </w:rPr>
              <w:t xml:space="preserve"> Curve</w:t>
            </w:r>
            <w:r>
              <w:rPr>
                <w:iCs/>
              </w:rPr>
              <w:t xml:space="preserve"> from a</w:t>
            </w:r>
            <w:r w:rsidR="00D3410D">
              <w:rPr>
                <w:iCs/>
              </w:rPr>
              <w:t>n</w:t>
            </w:r>
            <w:r>
              <w:rPr>
                <w:iCs/>
              </w:rPr>
              <w:t xml:space="preserve"> </w:t>
            </w:r>
            <w:r w:rsidR="00D3410D">
              <w:rPr>
                <w:iCs/>
              </w:rPr>
              <w:t>Aggregate</w:t>
            </w:r>
            <w:r>
              <w:rPr>
                <w:iCs/>
              </w:rPr>
              <w:t xml:space="preserve"> Load Resource </w:t>
            </w:r>
            <w:r w:rsidR="00D3410D">
              <w:rPr>
                <w:iCs/>
              </w:rPr>
              <w:t xml:space="preserve">(ALR) </w:t>
            </w:r>
            <w:r>
              <w:rPr>
                <w:iCs/>
              </w:rPr>
              <w:t xml:space="preserve">represents the bid for energy distributed across all nodes in the Load Zone in which the </w:t>
            </w:r>
            <w:r w:rsidR="00D3410D">
              <w:rPr>
                <w:iCs/>
              </w:rPr>
              <w:t>ALR</w:t>
            </w:r>
            <w:r>
              <w:rPr>
                <w:iCs/>
              </w:rPr>
              <w:t xml:space="preserve"> is located.  For an ESR</w:t>
            </w:r>
            <w:r w:rsidR="00D3410D" w:rsidRPr="00812ECB">
              <w:rPr>
                <w:iCs/>
              </w:rPr>
              <w:t xml:space="preserve"> or a CLR that is not an ALR</w:t>
            </w:r>
            <w:r>
              <w:rPr>
                <w:iCs/>
              </w:rPr>
              <w:t xml:space="preserve">, an Energy Bid </w:t>
            </w:r>
            <w:r w:rsidR="00D3410D">
              <w:rPr>
                <w:iCs/>
              </w:rPr>
              <w:t xml:space="preserve">Curve </w:t>
            </w:r>
            <w:r>
              <w:rPr>
                <w:iCs/>
              </w:rPr>
              <w:t xml:space="preserve">represents a bid for energy at the </w:t>
            </w:r>
            <w:r w:rsidR="00D3410D">
              <w:rPr>
                <w:iCs/>
              </w:rPr>
              <w:t>applicable</w:t>
            </w:r>
            <w:r>
              <w:rPr>
                <w:iCs/>
              </w:rPr>
              <w:t xml:space="preserve"> Resource Node</w:t>
            </w:r>
            <w:r>
              <w:t>;</w:t>
            </w:r>
            <w:r w:rsidRPr="003161DC">
              <w:t xml:space="preserve"> </w:t>
            </w:r>
          </w:p>
          <w:p w14:paraId="38A96E12" w14:textId="61142077" w:rsidR="00BC03DD" w:rsidRDefault="00C12262" w:rsidP="00BC03DD">
            <w:pPr>
              <w:spacing w:before="240" w:after="240"/>
              <w:ind w:left="2160" w:hanging="720"/>
            </w:pPr>
            <w:r>
              <w:t>(iv</w:t>
            </w:r>
            <w:r w:rsidR="00BC03DD" w:rsidRPr="003161DC">
              <w:t>)</w:t>
            </w:r>
            <w:r w:rsidR="00BC03DD" w:rsidRPr="003161DC">
              <w:tab/>
              <w:t>Observe all Competitive and Non-Competitive Constraints</w:t>
            </w:r>
            <w:r w:rsidR="00BC03DD">
              <w:t>; and</w:t>
            </w:r>
          </w:p>
          <w:p w14:paraId="56F08440" w14:textId="78263100" w:rsidR="00BC03DD" w:rsidRDefault="00C12262" w:rsidP="00BC03DD">
            <w:pPr>
              <w:spacing w:after="240"/>
              <w:ind w:left="2160" w:hanging="720"/>
            </w:pPr>
            <w:r>
              <w:t>(</w:t>
            </w:r>
            <w:r w:rsidR="00BC03DD">
              <w:t>v)</w:t>
            </w:r>
            <w:r w:rsidR="00BC03DD">
              <w:tab/>
              <w:t>Use Ancillary Service Offers to determine Ancillary Service awards</w:t>
            </w:r>
            <w:r w:rsidR="00BC03DD" w:rsidRPr="003161DC">
              <w:t>.</w:t>
            </w:r>
          </w:p>
          <w:p w14:paraId="640E71AD" w14:textId="77777777" w:rsidR="00BC03DD" w:rsidRDefault="00BC03DD" w:rsidP="00BC03DD">
            <w:pPr>
              <w:spacing w:after="240"/>
              <w:ind w:left="1440" w:hanging="720"/>
            </w:pPr>
            <w:r w:rsidRPr="003161DC">
              <w:t>(c)</w:t>
            </w:r>
            <w:r w:rsidRPr="003161DC">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192BDF4E" w14:textId="3972730F" w:rsidR="00BC03DD" w:rsidRPr="003161DC" w:rsidRDefault="00BC03DD" w:rsidP="00BC03DD">
            <w:pPr>
              <w:spacing w:after="240"/>
              <w:ind w:left="1440" w:hanging="720"/>
            </w:pPr>
            <w:r>
              <w:t>(d)</w:t>
            </w:r>
            <w:r>
              <w:tab/>
              <w:t>The System Lambda used to determine LMPs</w:t>
            </w:r>
            <w:r w:rsidR="004C248D" w:rsidRPr="001530D5">
              <w:t xml:space="preserve"> and the Real-Time MCPCs</w:t>
            </w:r>
            <w:r>
              <w:t xml:space="preserve"> from SCED Step 2 shall be capped at the effective VOLL.  </w:t>
            </w:r>
          </w:p>
          <w:p w14:paraId="0B1CCAE5" w14:textId="0469CF75" w:rsidR="00C12262" w:rsidRPr="00A552C3" w:rsidRDefault="00C12262" w:rsidP="00C12262">
            <w:pPr>
              <w:spacing w:after="240"/>
              <w:ind w:left="720" w:hanging="720"/>
              <w:rPr>
                <w:iCs/>
              </w:rPr>
            </w:pPr>
            <w:r w:rsidRPr="00A552C3">
              <w:rPr>
                <w:iCs/>
              </w:rPr>
              <w:t>(1</w:t>
            </w:r>
            <w:r w:rsidR="00D3410D">
              <w:rPr>
                <w:iCs/>
              </w:rPr>
              <w:t>6</w:t>
            </w:r>
            <w:r w:rsidRPr="00A552C3">
              <w:rPr>
                <w:iCs/>
              </w:rPr>
              <w:t>)</w:t>
            </w:r>
            <w:r w:rsidRPr="00A552C3">
              <w:rPr>
                <w:iCs/>
              </w:rPr>
              <w:tab/>
              <w:t xml:space="preserve">For each SCED process, in addition to the binding Base Points, Ancillary Service awards, Real-Time MCPCs, and LMPs, ERCOT shall calculate a non-binding projection of the Base Points, Ancillary Service awards, MCPCs, Resource Node LMPs, Real-Time Reliability Deployment Price Adders, Hub LMPs,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w:t>
            </w:r>
            <w:r w:rsidRPr="00A552C3">
              <w:rPr>
                <w:iCs/>
              </w:rPr>
              <w:lastRenderedPageBreak/>
              <w:t>the study period.  In lieu of the steps described in Section 6.5.7.3.1,</w:t>
            </w:r>
            <w:r w:rsidRPr="00A552C3">
              <w:t xml:space="preserve"> Determination of Real-Time Reliability Deployment Price Adders</w:t>
            </w:r>
            <w:r w:rsidRPr="00A552C3">
              <w:rPr>
                <w:iCs/>
              </w:rPr>
              <w:t xml:space="preserve">, the non-binding projection of Real-Time Reliability Deployment Price Adders shall be estimated based on GTBD, </w:t>
            </w:r>
            <w:r w:rsidRPr="00A552C3">
              <w:t>reliability deployments MWs, and</w:t>
            </w:r>
            <w:r w:rsidRPr="00A552C3">
              <w:rPr>
                <w:iCs/>
              </w:rPr>
              <w:t xml:space="preserve"> aggregated offers.  The Energy Offer Curve and Energy Bid/Offer Curves from SCED Step 2, the virtual offers for Load Resources deployed and the power balance penalty </w:t>
            </w:r>
            <w:r w:rsidR="004C248D">
              <w:rPr>
                <w:iCs/>
              </w:rPr>
              <w:t>price</w:t>
            </w:r>
            <w:r w:rsidRPr="00A552C3">
              <w:rPr>
                <w:iCs/>
              </w:rPr>
              <w:t xml:space="preserve"> will be compared against the updated GTBD to get an estimate of the System Lambda from paragraph (2)(m) of Section 6.5.7.3.1.</w:t>
            </w:r>
            <w:r w:rsidRPr="00A552C3">
              <w:t xml:space="preserve">  </w:t>
            </w:r>
            <w:r w:rsidRPr="00A552C3">
              <w:rPr>
                <w:iCs/>
              </w:rPr>
              <w:t xml:space="preserve">ERCOT shall post the projected non-binding Base Points and Ancillary Service awards for each Resource for each interval study period on the MIS Certified Area and the projected non-binding LMPs for Resource Nodes, Real-Time MCPCs, Real-Time Reliability Deployment Price Adders, Hub LMPs and Load Zone LMPs on the </w:t>
            </w:r>
            <w:r w:rsidR="0007207E">
              <w:t>ERCOT website</w:t>
            </w:r>
            <w:r w:rsidRPr="00A552C3">
              <w:rPr>
                <w:iCs/>
              </w:rPr>
              <w:t xml:space="preserve"> pursuant to Section 6.3.2, Activities for Real-Time Operations.</w:t>
            </w:r>
          </w:p>
          <w:p w14:paraId="1978CF1E" w14:textId="0600AA57" w:rsidR="00BC03DD" w:rsidRDefault="00BC03DD" w:rsidP="00C12262">
            <w:pPr>
              <w:spacing w:after="240"/>
              <w:ind w:left="720" w:hanging="720"/>
              <w:rPr>
                <w:iCs/>
              </w:rPr>
            </w:pPr>
            <w:r w:rsidRPr="003161DC">
              <w:rPr>
                <w:iCs/>
              </w:rPr>
              <w:t>(1</w:t>
            </w:r>
            <w:r w:rsidR="00D3410D">
              <w:rPr>
                <w:iCs/>
              </w:rPr>
              <w:t>7</w:t>
            </w:r>
            <w:r w:rsidRPr="003161DC">
              <w:rPr>
                <w:iCs/>
              </w:rPr>
              <w:t>)</w:t>
            </w:r>
            <w:r w:rsidRPr="003161DC">
              <w:rPr>
                <w:iCs/>
              </w:rPr>
              <w:tab/>
              <w:t xml:space="preserve">ERCOT may override one or more of a </w:t>
            </w:r>
            <w:r w:rsidR="00D3410D">
              <w:rPr>
                <w:iCs/>
              </w:rPr>
              <w:t>CLR</w:t>
            </w:r>
            <w:r w:rsidRPr="003161DC">
              <w:rPr>
                <w:iCs/>
              </w:rPr>
              <w:t xml:space="preserve">’s parameters in SCED if ERCOT determines that the </w:t>
            </w:r>
            <w:r w:rsidR="00D3410D">
              <w:rPr>
                <w:iCs/>
              </w:rPr>
              <w:t>CLR</w:t>
            </w:r>
            <w:r w:rsidRPr="003161DC">
              <w:rPr>
                <w:iCs/>
              </w:rPr>
              <w:t>’s participation is having an adverse impact on the reliability of the ERCOT System.</w:t>
            </w:r>
          </w:p>
          <w:p w14:paraId="7A2AC16A" w14:textId="50A38FFB" w:rsidR="00BC03DD" w:rsidRPr="00BC03DD" w:rsidRDefault="00C12262" w:rsidP="00BE1B01">
            <w:pPr>
              <w:spacing w:after="240"/>
              <w:ind w:left="720" w:hanging="720"/>
              <w:rPr>
                <w:iCs/>
              </w:rPr>
            </w:pPr>
            <w:r>
              <w:rPr>
                <w:iCs/>
              </w:rPr>
              <w:t>(1</w:t>
            </w:r>
            <w:r w:rsidR="00D3410D">
              <w:rPr>
                <w:iCs/>
              </w:rPr>
              <w:t>8</w:t>
            </w:r>
            <w:r w:rsidR="00BC03DD">
              <w:rPr>
                <w:iCs/>
              </w:rPr>
              <w:t>)</w:t>
            </w:r>
            <w:r w:rsidR="00BC03DD">
              <w:rPr>
                <w:iCs/>
              </w:rPr>
              <w:tab/>
              <w:t xml:space="preserve">The QSE representing an ESR may withdraw energy from the ERCOT System only when dispatched by SCED to do so.  </w:t>
            </w:r>
            <w:r w:rsidR="00BC03DD">
              <w:t>An ESR may telemeter a status of OUT only if the ESR is in Outage status.</w:t>
            </w:r>
            <w:bookmarkEnd w:id="1163"/>
          </w:p>
        </w:tc>
      </w:tr>
    </w:tbl>
    <w:p w14:paraId="67E5B3BB" w14:textId="77777777" w:rsidR="001F04FD" w:rsidRDefault="001F04FD" w:rsidP="00BA3F0D">
      <w:pPr>
        <w:pStyle w:val="H5"/>
        <w:spacing w:before="480"/>
      </w:pPr>
      <w:bookmarkStart w:id="1165" w:name="_Toc204411612"/>
      <w:bookmarkEnd w:id="1139"/>
      <w:r w:rsidRPr="00A31FDB">
        <w:rPr>
          <w:i w:val="0"/>
          <w:iCs w:val="0"/>
          <w:snapToGrid w:val="0"/>
          <w:szCs w:val="20"/>
        </w:rPr>
        <w:lastRenderedPageBreak/>
        <w:t>6.5.7.3.1</w:t>
      </w:r>
      <w:r>
        <w:tab/>
      </w:r>
      <w:r w:rsidRPr="00A31FDB">
        <w:rPr>
          <w:i w:val="0"/>
          <w:iCs w:val="0"/>
          <w:snapToGrid w:val="0"/>
          <w:szCs w:val="20"/>
        </w:rPr>
        <w:t>Determination of Real-Time On-Line Reliability Deployment Price Adder</w:t>
      </w:r>
      <w:bookmarkEnd w:id="1141"/>
      <w:bookmarkEnd w:id="1142"/>
      <w:bookmarkEnd w:id="1143"/>
      <w:bookmarkEnd w:id="1144"/>
      <w:bookmarkEnd w:id="1145"/>
      <w:bookmarkEnd w:id="1146"/>
      <w:bookmarkEnd w:id="1147"/>
      <w:bookmarkEnd w:id="1148"/>
      <w:bookmarkEnd w:id="1149"/>
      <w:bookmarkEnd w:id="1150"/>
      <w:bookmarkEnd w:id="1151"/>
      <w:bookmarkEnd w:id="1152"/>
      <w:bookmarkEnd w:id="1165"/>
    </w:p>
    <w:p w14:paraId="722D02DE" w14:textId="77777777" w:rsidR="001F04FD" w:rsidRDefault="001F04FD" w:rsidP="001F04FD">
      <w:pPr>
        <w:pStyle w:val="BodyTextNumbered"/>
      </w:pPr>
      <w:r>
        <w:t>(1)</w:t>
      </w:r>
      <w:r>
        <w:tab/>
        <w:t>The following categories of reliability deployments are considered in the determination of the Real-Time On-Line Reliability Deployment Price Adder:</w:t>
      </w:r>
    </w:p>
    <w:p w14:paraId="43D3FB1B" w14:textId="443F0B38" w:rsidR="001F04FD" w:rsidRDefault="001F04FD" w:rsidP="001F04FD">
      <w:pPr>
        <w:pStyle w:val="BodyTextNumbered"/>
        <w:ind w:left="1440"/>
      </w:pPr>
      <w:r>
        <w:t>(a)</w:t>
      </w:r>
      <w:r>
        <w:tab/>
      </w:r>
      <w:r w:rsidR="00B5219D">
        <w:t xml:space="preserve">RUC-committed Resources, except for those whose QSEs have opted out of RUC Settlement </w:t>
      </w:r>
      <w:r w:rsidR="00B84541">
        <w:t>in accordance with paragraph (1</w:t>
      </w:r>
      <w:r w:rsidR="00910305">
        <w:t>4</w:t>
      </w:r>
      <w:r w:rsidR="00B5219D">
        <w:t xml:space="preserve">) of Section 5.5.2, </w:t>
      </w:r>
      <w:r w:rsidR="00B5219D" w:rsidRPr="00335075">
        <w:t>Reliability Unit Commitment (RUC) Process</w:t>
      </w:r>
      <w:r>
        <w:t>;</w:t>
      </w:r>
    </w:p>
    <w:p w14:paraId="36550969" w14:textId="6A6279CD" w:rsidR="001F04FD" w:rsidRDefault="001F04FD" w:rsidP="0031180B">
      <w:pPr>
        <w:pStyle w:val="BodyTextNumbered"/>
        <w:ind w:left="1440"/>
      </w:pPr>
      <w:r>
        <w:t>(b)</w:t>
      </w:r>
      <w:r>
        <w:tab/>
        <w:t>RMR Resources that are On-Line, including capacity secured to prevent an Emergency Condition pursuant to paragraph (</w:t>
      </w:r>
      <w:r w:rsidR="00847E53">
        <w:t>4</w:t>
      </w:r>
      <w:r>
        <w:t xml:space="preserve">) of Section 6.5.1.1, ERCOT Control Area Authority; </w:t>
      </w:r>
    </w:p>
    <w:p w14:paraId="7756C95F" w14:textId="2ED46EC4" w:rsidR="001F04FD" w:rsidRDefault="001F04FD" w:rsidP="001F04FD">
      <w:pPr>
        <w:pStyle w:val="BodyTextNumbered"/>
        <w:ind w:left="1440"/>
      </w:pPr>
      <w:r>
        <w:t>(c)</w:t>
      </w:r>
      <w:r>
        <w:tab/>
        <w:t xml:space="preserve">Deployed Load Resources other than </w:t>
      </w:r>
      <w:r w:rsidR="00192EFF">
        <w:t>CLRs</w:t>
      </w:r>
      <w:r>
        <w:t>;</w:t>
      </w:r>
    </w:p>
    <w:p w14:paraId="5778459C" w14:textId="76F92ECC" w:rsidR="001F04FD" w:rsidRDefault="001F04FD" w:rsidP="001F04FD">
      <w:pPr>
        <w:pStyle w:val="BodyTextNumbered"/>
        <w:ind w:left="1440"/>
      </w:pPr>
      <w:r>
        <w:t>(d)</w:t>
      </w:r>
      <w:r>
        <w:tab/>
        <w:t>Deployed ERS</w:t>
      </w:r>
      <w:r w:rsidR="00DB6E87">
        <w:t>;</w:t>
      </w:r>
    </w:p>
    <w:p w14:paraId="3C135481" w14:textId="77777777" w:rsidR="00DB6E87" w:rsidRDefault="00DB6E87" w:rsidP="00DB6E87">
      <w:pPr>
        <w:pStyle w:val="BodyTextNumbered"/>
        <w:ind w:left="1440"/>
      </w:pPr>
      <w:r>
        <w:t>(e)</w:t>
      </w:r>
      <w:r>
        <w:tab/>
        <w:t xml:space="preserve">Real-Time </w:t>
      </w:r>
      <w:r w:rsidRPr="00276111">
        <w:t>DC Tie imports during an EEA</w:t>
      </w:r>
      <w:r>
        <w:t xml:space="preserve"> where the total adjustment shall not exceed 1,250 MW in a single interval</w:t>
      </w:r>
      <w:r w:rsidRPr="00276111">
        <w:t xml:space="preserve">; </w:t>
      </w:r>
    </w:p>
    <w:p w14:paraId="4C9DA2BE" w14:textId="77777777" w:rsidR="00DB6E87" w:rsidRPr="00276111" w:rsidRDefault="00DB6E87" w:rsidP="00DB6E87">
      <w:pPr>
        <w:pStyle w:val="BodyTextNumbered"/>
        <w:ind w:left="1440"/>
      </w:pPr>
      <w:r>
        <w:t>(f</w:t>
      </w:r>
      <w:r w:rsidRPr="00276111">
        <w:t>)</w:t>
      </w:r>
      <w:r w:rsidRPr="00276111">
        <w:tab/>
        <w:t xml:space="preserve">Real-Time DC Tie exports to address emergency conditions in the receiving electric grid; </w:t>
      </w:r>
    </w:p>
    <w:p w14:paraId="052C4627" w14:textId="46ACE60F" w:rsidR="00DB6E87" w:rsidRDefault="00DB6E87" w:rsidP="00FB599C">
      <w:pPr>
        <w:pStyle w:val="BodyTextNumbered"/>
        <w:ind w:left="1440"/>
      </w:pPr>
      <w:r w:rsidRPr="00276111">
        <w:t>(</w:t>
      </w:r>
      <w:r>
        <w:t>g</w:t>
      </w:r>
      <w:r w:rsidRPr="00276111">
        <w:t>)</w:t>
      </w:r>
      <w:r w:rsidRPr="00276111">
        <w:tab/>
        <w:t>Energy delivered to ERCOT through registered Block Load Transfers (BLTs)</w:t>
      </w:r>
      <w:r w:rsidR="004C538F">
        <w:t xml:space="preserve"> </w:t>
      </w:r>
      <w:r w:rsidRPr="00276111">
        <w:t>during an EEA;</w:t>
      </w:r>
    </w:p>
    <w:p w14:paraId="0E8C0AA8" w14:textId="7202BA8B" w:rsidR="00DB6E87" w:rsidRDefault="00DB6E87" w:rsidP="00DB6E87">
      <w:pPr>
        <w:pStyle w:val="BodyTextNumbered"/>
        <w:ind w:left="1440"/>
      </w:pPr>
      <w:r>
        <w:lastRenderedPageBreak/>
        <w:t>(h)</w:t>
      </w:r>
      <w:r>
        <w:tab/>
        <w:t xml:space="preserve">Energy delivered from ERCOT to another power pool through </w:t>
      </w:r>
      <w:r w:rsidRPr="00CB681A">
        <w:t>registered</w:t>
      </w:r>
      <w:r>
        <w:t xml:space="preserve"> BLTs during emergency conditions in the receiving electric grid</w:t>
      </w:r>
      <w:r w:rsidR="00186D32">
        <w:t>; and</w:t>
      </w:r>
    </w:p>
    <w:p w14:paraId="2C207BD7" w14:textId="77777777" w:rsidR="00186D32" w:rsidRDefault="00186D32" w:rsidP="00186D32">
      <w:pPr>
        <w:pStyle w:val="BodyTextNumbered"/>
        <w:ind w:left="1440"/>
      </w:pPr>
      <w:r>
        <w:t>(i)</w:t>
      </w:r>
      <w:r>
        <w:tab/>
        <w:t>ERCOT-directed firm Load shed during EEA Level 3,</w:t>
      </w:r>
      <w:r w:rsidRPr="003054A4">
        <w:t xml:space="preserve"> </w:t>
      </w:r>
      <w:r w:rsidRPr="008D36F2">
        <w:t>as described in paragraph (3) of Section 6.5.9.4.2, EEA Levels</w:t>
      </w:r>
      <w:r>
        <w:t>.</w:t>
      </w:r>
    </w:p>
    <w:p w14:paraId="2D818342" w14:textId="2DE5A7F7" w:rsidR="001F04FD" w:rsidRDefault="001F04FD" w:rsidP="006B01C3">
      <w:pPr>
        <w:pStyle w:val="BodyTextNumbered"/>
      </w:pPr>
      <w:r>
        <w:t>(2)</w:t>
      </w:r>
      <w:r>
        <w:tab/>
        <w:t>The Real-Time On-Line Reliability Deployment Price Adder is an estimation of the impact to energy prices due to the above categories of reliability deployments.  For intervals where there are reliability deployments as described in paragraph (1) above, after the two-</w:t>
      </w:r>
      <w:r w:rsidRPr="0033475A">
        <w:t>step SCED process and also after the Real-Time On-Line Reserve Price Adder and Real-Time Off-Line Reserve Price Adder have been determined, the Real-Time On-Line Reliability</w:t>
      </w:r>
      <w:r>
        <w:t xml:space="preserve"> Deployment Price </w:t>
      </w:r>
      <w:r w:rsidR="00CC0885">
        <w:t>A</w:t>
      </w:r>
      <w:r>
        <w:t>dder is determined as follows:</w:t>
      </w:r>
    </w:p>
    <w:p w14:paraId="5C95459B" w14:textId="77777777" w:rsidR="001F04FD" w:rsidRDefault="001F04FD" w:rsidP="001F04FD">
      <w:pPr>
        <w:pStyle w:val="BodyTextNumbered"/>
        <w:ind w:left="1440"/>
      </w:pPr>
      <w:r>
        <w:t>(a)</w:t>
      </w:r>
      <w:r>
        <w:tab/>
      </w:r>
      <w:r w:rsidRPr="00844D14">
        <w:t>For RUC-committed Resources with a telemetered Resource Status of ONRUC and for RMR Resources that are On-Line,</w:t>
      </w:r>
      <w:r>
        <w:t xml:space="preserve"> set the LSL, LASL, and LDL to zero.</w:t>
      </w:r>
    </w:p>
    <w:p w14:paraId="4CDC3C7D" w14:textId="21DAE38D" w:rsidR="00D42541" w:rsidRDefault="00D42541" w:rsidP="006B01C3">
      <w:pPr>
        <w:pStyle w:val="BodyTextNumbered"/>
        <w:ind w:left="1440"/>
      </w:pPr>
      <w:r>
        <w:t>(b)</w:t>
      </w:r>
      <w:r>
        <w:tab/>
        <w:t xml:space="preserve">Notwithstanding item (a) above, for </w:t>
      </w:r>
      <w:r w:rsidRPr="00844D14">
        <w:t xml:space="preserve">RUC-committed </w:t>
      </w:r>
      <w:r>
        <w:t xml:space="preserve">Combined Cycle Generation Resources </w:t>
      </w:r>
      <w:r w:rsidRPr="00844D14">
        <w:t xml:space="preserve">with a telemetered Resource Status of ONRUC </w:t>
      </w:r>
      <w:r>
        <w:t>that were instructed by ERCOT to transition to a different configuration to provide additional capacity, set the LSL, LASL, and LDL equal to the minimum of their current value and the COP HSL of the QSE-committed configuration for the RUC hour at the snapshot time of the RUC instruction.</w:t>
      </w:r>
    </w:p>
    <w:p w14:paraId="2473DC6C" w14:textId="6AFCDE21" w:rsidR="001F04FD" w:rsidRDefault="001F04FD" w:rsidP="005E11C0">
      <w:pPr>
        <w:pStyle w:val="BodyTextNumbered"/>
        <w:ind w:left="1440"/>
      </w:pPr>
      <w:r>
        <w:t>(</w:t>
      </w:r>
      <w:r w:rsidR="00D42541">
        <w:t>c</w:t>
      </w:r>
      <w:r>
        <w:t xml:space="preserve">) </w:t>
      </w:r>
      <w:r>
        <w:tab/>
        <w:t>For all other Generation Resources excluding ones with a telemetered status of ONRUC, ONTEST, STARTUP, SHUTDOWN, and also excluding RMR Resources that are On-Line and excluding Generation Resources with a telemetered output less than 95% of LSL:</w:t>
      </w:r>
    </w:p>
    <w:p w14:paraId="0BDBE87D" w14:textId="77777777" w:rsidR="001F04FD" w:rsidRDefault="001F04FD" w:rsidP="001F04FD">
      <w:pPr>
        <w:pStyle w:val="BodyTextNumbered"/>
        <w:ind w:left="2160"/>
      </w:pPr>
      <w:r>
        <w:t xml:space="preserve">(i)  </w:t>
      </w:r>
      <w:r>
        <w:tab/>
        <w:t>Set LDL to the greater of Aggregated Resource Output - (60 minutes * SCED Down Ramp Rate), or LASL; and</w:t>
      </w:r>
    </w:p>
    <w:p w14:paraId="0E72C14E" w14:textId="77777777" w:rsidR="001F04FD" w:rsidRDefault="001F04FD" w:rsidP="001F04FD">
      <w:pPr>
        <w:pStyle w:val="BodyTextNumbered"/>
        <w:ind w:left="2160"/>
      </w:pPr>
      <w:r>
        <w:t>(ii)       Set HDL to the lesser of Aggregated Resource Output + (60 minutes*SCED Up Ramp Rate), or HASL.</w:t>
      </w:r>
    </w:p>
    <w:p w14:paraId="05D2A9E3" w14:textId="16B26BF3" w:rsidR="001F04FD" w:rsidRDefault="001F04FD" w:rsidP="00FB599C">
      <w:pPr>
        <w:pStyle w:val="BodyTextNumbered"/>
        <w:ind w:left="1440"/>
      </w:pPr>
      <w:r>
        <w:t>(</w:t>
      </w:r>
      <w:r w:rsidR="00D42541">
        <w:t>d</w:t>
      </w:r>
      <w:r>
        <w:t xml:space="preserve">) </w:t>
      </w:r>
      <w:r>
        <w:tab/>
        <w:t xml:space="preserve">For all </w:t>
      </w:r>
      <w:r w:rsidR="00192EFF">
        <w:t>CLRs</w:t>
      </w:r>
      <w:r>
        <w:t xml:space="preserve"> excluding ones with a telemetered status of OUTL:</w:t>
      </w:r>
    </w:p>
    <w:p w14:paraId="7DCC1F56" w14:textId="77777777" w:rsidR="001F04FD" w:rsidRDefault="001F04FD" w:rsidP="001F04FD">
      <w:pPr>
        <w:pStyle w:val="BodyTextNumbered"/>
        <w:ind w:left="2160"/>
      </w:pPr>
      <w:r>
        <w:t xml:space="preserve">(i)  </w:t>
      </w:r>
      <w:r>
        <w:tab/>
        <w:t>Set LDL to the greater of Aggregated Resource Output - (60 minutes * SCED Up Ramp Rate), or LASL; and</w:t>
      </w:r>
    </w:p>
    <w:p w14:paraId="1ADB1716" w14:textId="77777777" w:rsidR="001F04FD" w:rsidRDefault="001F04FD" w:rsidP="001F04FD">
      <w:pPr>
        <w:pStyle w:val="BodyTextNumbered"/>
        <w:ind w:left="2160"/>
      </w:pPr>
      <w:r>
        <w:t>(ii)       Set HDL to the lesser of Aggregated Resource Output + (60 minutes*SCED Down Ramp Rate), or HASL.</w:t>
      </w:r>
    </w:p>
    <w:p w14:paraId="2CDF0F87" w14:textId="43D8E718" w:rsidR="001F04FD" w:rsidRDefault="001F04FD" w:rsidP="00FB599C">
      <w:pPr>
        <w:pStyle w:val="BodyTextNumbered"/>
        <w:ind w:left="1440"/>
      </w:pPr>
      <w:r>
        <w:t>(</w:t>
      </w:r>
      <w:r w:rsidR="00D42541">
        <w:t>e</w:t>
      </w:r>
      <w:r>
        <w:t>)</w:t>
      </w:r>
      <w:r>
        <w:tab/>
        <w:t xml:space="preserve">Add the deployed MW from Load Resources </w:t>
      </w:r>
      <w:r w:rsidR="00A22AE4">
        <w:t>that are not</w:t>
      </w:r>
      <w:r>
        <w:t xml:space="preserve"> </w:t>
      </w:r>
      <w:r w:rsidR="00192EFF">
        <w:t>CLRs</w:t>
      </w:r>
      <w:r w:rsidR="00A22AE4" w:rsidRPr="00A22AE4">
        <w:t xml:space="preserve"> </w:t>
      </w:r>
      <w:r w:rsidR="00A22AE4">
        <w:t>and that are providing RRS</w:t>
      </w:r>
      <w:r>
        <w:t xml:space="preserve"> </w:t>
      </w:r>
      <w:r w:rsidR="00DC32AE">
        <w:t xml:space="preserve">or ECRS </w:t>
      </w:r>
      <w:r>
        <w:t xml:space="preserve">to GTBD linearly ramped over the </w:t>
      </w:r>
      <w:r w:rsidR="002F6E69">
        <w:t>ten</w:t>
      </w:r>
      <w:r>
        <w:t>-minute ramp period</w:t>
      </w:r>
      <w:r w:rsidR="00A22AE4" w:rsidRPr="00A22AE4">
        <w:t xml:space="preserve"> </w:t>
      </w:r>
      <w:r w:rsidR="00A22AE4">
        <w:t xml:space="preserve">and add the deployed MW from Load Resources that are not </w:t>
      </w:r>
      <w:r w:rsidR="00192EFF">
        <w:t>CLRs</w:t>
      </w:r>
      <w:r w:rsidR="00A22AE4">
        <w:t xml:space="preserve"> providing Non-Spin to GTBD linearly ramped over the 30-minute ramp period</w:t>
      </w:r>
      <w:r>
        <w:t xml:space="preserve">.  The amount of deployed MW is calculated from the Resource telemetry and from applicable deployment instructions in Extensible Markup Language (XML) </w:t>
      </w:r>
      <w:r>
        <w:lastRenderedPageBreak/>
        <w:t xml:space="preserve">messages. ERCOT shall generate a linear bid curve defined by a price/quantity pair of $300/MWh for the first MW of Load Resources deployed and a price/quantity pair of $700/MWh for the last MW of Load Resources deployed in each SCED execution.  After recall instruction, the </w:t>
      </w:r>
      <w:r w:rsidR="00A22AE4">
        <w:t xml:space="preserve">restoration period length and </w:t>
      </w:r>
      <w:r>
        <w:t>amount of MW added to GTBD during the restoration period will be determined by validated telemetry</w:t>
      </w:r>
      <w:r w:rsidR="00A22AE4" w:rsidRPr="00A22AE4">
        <w:t xml:space="preserve"> </w:t>
      </w:r>
      <w:r w:rsidR="00A22AE4">
        <w:t>and the type of Ancillary Service deployed from the Resource</w:t>
      </w:r>
      <w:r>
        <w:t xml:space="preserve">.  The TAC shall review the validity of the prices for the bid curve at least annually.  </w:t>
      </w:r>
    </w:p>
    <w:p w14:paraId="046389D6" w14:textId="7D5B1113" w:rsidR="001F04FD" w:rsidRDefault="001F04FD" w:rsidP="001F04FD">
      <w:pPr>
        <w:pStyle w:val="BodyTextNumbered"/>
        <w:ind w:left="1440"/>
      </w:pPr>
      <w:r>
        <w:t>(</w:t>
      </w:r>
      <w:r w:rsidR="00D42541">
        <w:t>f</w:t>
      </w:r>
      <w:r>
        <w:t xml:space="preserve">) </w:t>
      </w:r>
      <w:r>
        <w:tab/>
        <w:t xml:space="preserve">Add the deployed MW from ERS to GTBD. </w:t>
      </w:r>
      <w:r w:rsidR="00CC0885">
        <w:t xml:space="preserve"> </w:t>
      </w:r>
      <w:r>
        <w:t>The amount of deployed MW is determined from the XML messages and ERS contract</w:t>
      </w:r>
      <w:r w:rsidR="00E226B8">
        <w:t>ed capacities for the ERS Time Periods when ERS is deployed</w:t>
      </w:r>
      <w:r>
        <w:t xml:space="preserve">. </w:t>
      </w:r>
      <w:r w:rsidR="00E226B8">
        <w:t xml:space="preserve"> </w:t>
      </w:r>
      <w:r>
        <w:t xml:space="preserve">After recall, an approximation of the amount of un-restored ERS shall be used. </w:t>
      </w:r>
      <w:r w:rsidR="00CC0885">
        <w:t xml:space="preserve"> </w:t>
      </w:r>
      <w:r>
        <w:t xml:space="preserve">After ERCOT recalls each group, GTBD shall be adjusted to reflect restoration </w:t>
      </w:r>
      <w:r w:rsidR="00E226B8">
        <w:t>on</w:t>
      </w:r>
      <w:r>
        <w:t xml:space="preserve"> a linear curve over the </w:t>
      </w:r>
      <w:r w:rsidR="00E226B8">
        <w:t>assumed</w:t>
      </w:r>
      <w:r>
        <w:t xml:space="preserve"> restoration period</w:t>
      </w:r>
      <w:r w:rsidR="00E226B8">
        <w:t xml:space="preserve"> (“RHours”)</w:t>
      </w:r>
      <w:r>
        <w:t>.</w:t>
      </w:r>
    </w:p>
    <w:p w14:paraId="02CF09F4" w14:textId="77777777" w:rsidR="00E226B8" w:rsidRDefault="00E226B8" w:rsidP="00E226B8">
      <w:pPr>
        <w:rPr>
          <w:iCs/>
        </w:rPr>
      </w:pPr>
      <w:r>
        <w:rPr>
          <w:iCs/>
        </w:rPr>
        <w:t>The above parameter is defined as follows: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E226B8" w:rsidRPr="00BE4766" w14:paraId="606B1CDB" w14:textId="77777777" w:rsidTr="00E226B8">
        <w:trPr>
          <w:trHeight w:val="351"/>
          <w:tblHeader/>
        </w:trPr>
        <w:tc>
          <w:tcPr>
            <w:tcW w:w="1448" w:type="dxa"/>
          </w:tcPr>
          <w:p w14:paraId="5BBD933B" w14:textId="77777777" w:rsidR="00E226B8" w:rsidRPr="00BE4766" w:rsidRDefault="00E226B8" w:rsidP="00375887">
            <w:pPr>
              <w:pStyle w:val="TableHead"/>
            </w:pPr>
            <w:r>
              <w:t>Parameter</w:t>
            </w:r>
          </w:p>
        </w:tc>
        <w:tc>
          <w:tcPr>
            <w:tcW w:w="1702" w:type="dxa"/>
          </w:tcPr>
          <w:p w14:paraId="12C6241E" w14:textId="77777777" w:rsidR="00E226B8" w:rsidRPr="00BE4766" w:rsidRDefault="00E226B8" w:rsidP="00375887">
            <w:pPr>
              <w:pStyle w:val="TableHead"/>
            </w:pPr>
            <w:r w:rsidRPr="00BE4766">
              <w:t>Unit</w:t>
            </w:r>
          </w:p>
        </w:tc>
        <w:tc>
          <w:tcPr>
            <w:tcW w:w="6120" w:type="dxa"/>
          </w:tcPr>
          <w:p w14:paraId="566449AC" w14:textId="77777777" w:rsidR="00E226B8" w:rsidRPr="00BE4766" w:rsidRDefault="00E226B8" w:rsidP="00375887">
            <w:pPr>
              <w:pStyle w:val="TableHead"/>
            </w:pPr>
            <w:r>
              <w:t>Current Value*</w:t>
            </w:r>
          </w:p>
        </w:tc>
      </w:tr>
      <w:tr w:rsidR="00E226B8" w:rsidRPr="00BE4766" w14:paraId="22B31BD7" w14:textId="77777777" w:rsidTr="00E226B8">
        <w:trPr>
          <w:trHeight w:val="519"/>
        </w:trPr>
        <w:tc>
          <w:tcPr>
            <w:tcW w:w="1448" w:type="dxa"/>
          </w:tcPr>
          <w:p w14:paraId="083EE171" w14:textId="77777777" w:rsidR="00E226B8" w:rsidRPr="008571DE" w:rsidRDefault="00E226B8" w:rsidP="00375887">
            <w:pPr>
              <w:pStyle w:val="TableBody"/>
            </w:pPr>
            <w:r>
              <w:t>RH</w:t>
            </w:r>
            <w:r w:rsidRPr="008571DE">
              <w:t>ours</w:t>
            </w:r>
          </w:p>
        </w:tc>
        <w:tc>
          <w:tcPr>
            <w:tcW w:w="1702" w:type="dxa"/>
          </w:tcPr>
          <w:p w14:paraId="6F5B6465" w14:textId="77777777" w:rsidR="00E226B8" w:rsidRPr="004F59D3" w:rsidRDefault="00E226B8" w:rsidP="00375887">
            <w:pPr>
              <w:pStyle w:val="TableBody"/>
            </w:pPr>
            <w:r>
              <w:t>Hours</w:t>
            </w:r>
          </w:p>
        </w:tc>
        <w:tc>
          <w:tcPr>
            <w:tcW w:w="6120" w:type="dxa"/>
          </w:tcPr>
          <w:p w14:paraId="20276750" w14:textId="1FEE7686" w:rsidR="00E226B8" w:rsidRPr="00484E48" w:rsidRDefault="00E226B8" w:rsidP="00375887">
            <w:pPr>
              <w:pStyle w:val="TableBody"/>
            </w:pPr>
            <w:r>
              <w:t>4.5</w:t>
            </w:r>
          </w:p>
        </w:tc>
      </w:tr>
      <w:tr w:rsidR="00E226B8" w:rsidRPr="00BE4766" w14:paraId="46D9B5CA" w14:textId="77777777" w:rsidTr="00E226B8">
        <w:trPr>
          <w:trHeight w:val="519"/>
        </w:trPr>
        <w:tc>
          <w:tcPr>
            <w:tcW w:w="9270" w:type="dxa"/>
            <w:gridSpan w:val="3"/>
          </w:tcPr>
          <w:p w14:paraId="4C3FCE49" w14:textId="17C9E8F7" w:rsidR="00E226B8" w:rsidRDefault="00E226B8" w:rsidP="00E226B8">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79AB7768" w14:textId="4565ADD6" w:rsidR="00DB6E87" w:rsidRDefault="00DB6E87" w:rsidP="00043D95">
      <w:pPr>
        <w:pStyle w:val="BodyTextNumbered"/>
        <w:spacing w:before="240"/>
        <w:ind w:left="1440"/>
      </w:pPr>
      <w:r>
        <w:t>(</w:t>
      </w:r>
      <w:r w:rsidR="00D42541">
        <w:t>g</w:t>
      </w:r>
      <w:r>
        <w:t>)</w:t>
      </w:r>
      <w:r>
        <w:tab/>
        <w:t>Add the MW from Real-Time DC Tie imports during an EEA to GTBD.  The amount of MW is determined from the Dispatch Instruction and should continue over the duration of time specified by the ERCOT Operator.</w:t>
      </w:r>
    </w:p>
    <w:p w14:paraId="4210D87A" w14:textId="7267A9BA" w:rsidR="00DB6E87" w:rsidRDefault="00DB6E87" w:rsidP="00DB6E87">
      <w:pPr>
        <w:pStyle w:val="BodyTextNumbered"/>
        <w:ind w:left="1440"/>
      </w:pPr>
      <w:r>
        <w:t>(</w:t>
      </w:r>
      <w:r w:rsidR="00D42541">
        <w:t>h</w:t>
      </w:r>
      <w:r>
        <w:t>)</w:t>
      </w:r>
      <w:r>
        <w:tab/>
        <w:t xml:space="preserve">Subtract the MW from Real-Time DC Tie exports </w:t>
      </w:r>
      <w:r w:rsidRPr="0087673E">
        <w:t>to address emergency conditions</w:t>
      </w:r>
      <w:r>
        <w:t xml:space="preserve"> in the receiving electric grid from GTBD.  The amount of MW is determined from the Dispatch Instruction and should continue over the duration of time specified by the receiving grid operator.   </w:t>
      </w:r>
    </w:p>
    <w:p w14:paraId="1D03628C" w14:textId="16B1C92D" w:rsidR="00DB6E87" w:rsidRDefault="00DB6E87" w:rsidP="00FB599C">
      <w:pPr>
        <w:pStyle w:val="BodyTextNumbered"/>
        <w:ind w:left="1440"/>
      </w:pPr>
      <w:r>
        <w:t>(</w:t>
      </w:r>
      <w:r w:rsidR="00D42541">
        <w:t>i</w:t>
      </w:r>
      <w:r>
        <w:t>)</w:t>
      </w:r>
      <w:r>
        <w:tab/>
        <w:t>Add the MW from energy delivered to ERCOT through registered BLTs during an EEA to GTBD.  The amount of MW is determined from the Dispatch Instruction and should continue over the duration of time specified by the ERCOT Operator.</w:t>
      </w:r>
    </w:p>
    <w:p w14:paraId="25E8439E" w14:textId="3D7F83C9" w:rsidR="00DB6E87" w:rsidRDefault="00DB6E87" w:rsidP="00DB6E87">
      <w:pPr>
        <w:pStyle w:val="BodyTextNumbered"/>
        <w:ind w:left="1440"/>
      </w:pPr>
      <w:r>
        <w:t>(</w:t>
      </w:r>
      <w:r w:rsidR="00D42541">
        <w:t>j</w:t>
      </w:r>
      <w:r>
        <w:t>)</w:t>
      </w:r>
      <w:r>
        <w:tab/>
        <w:t xml:space="preserve">Subtract the MW from energy delivered from ERCOT to another power pool through registered BLTs </w:t>
      </w:r>
      <w:r w:rsidRPr="00525340">
        <w:t>during emergency conditions in the receiving electric grid</w:t>
      </w:r>
      <w:r>
        <w:t xml:space="preserve"> from GTBD.  The amount of MW is determined from the Dispatch Instruction and should continue over the duration of time specified by the receiving grid operator.</w:t>
      </w:r>
    </w:p>
    <w:p w14:paraId="5A76C50F" w14:textId="47C606E4" w:rsidR="001F04FD" w:rsidRDefault="001F04FD" w:rsidP="00FB599C">
      <w:pPr>
        <w:pStyle w:val="BodyTextNumbered"/>
        <w:ind w:left="1440"/>
      </w:pPr>
      <w:r>
        <w:t>(</w:t>
      </w:r>
      <w:r w:rsidR="00D42541">
        <w:t>k</w:t>
      </w:r>
      <w:r>
        <w:t>)</w:t>
      </w:r>
      <w:r>
        <w:tab/>
        <w:t>Perform a SCED with changes to the inputs in items (a)</w:t>
      </w:r>
      <w:r w:rsidR="00DB6E87" w:rsidRPr="00DB6E87">
        <w:t xml:space="preserve"> </w:t>
      </w:r>
      <w:r w:rsidR="00DB6E87" w:rsidRPr="007B0DCE">
        <w:t>through (</w:t>
      </w:r>
      <w:r w:rsidR="00D42541">
        <w:t>j</w:t>
      </w:r>
      <w:r w:rsidR="00DB6E87" w:rsidRPr="007B0DCE">
        <w:t>)</w:t>
      </w:r>
      <w:r>
        <w:t xml:space="preserve"> above, considering only Competitive Constraints and the non-mitigated Energy Offer Curves.</w:t>
      </w:r>
    </w:p>
    <w:p w14:paraId="1972C74A" w14:textId="2CFA98CD" w:rsidR="001F04FD" w:rsidRDefault="001F04FD" w:rsidP="00617070">
      <w:pPr>
        <w:pStyle w:val="BodyTextNumbered"/>
        <w:ind w:left="1440"/>
      </w:pPr>
      <w:r>
        <w:lastRenderedPageBreak/>
        <w:t>(</w:t>
      </w:r>
      <w:r w:rsidR="00D42541">
        <w:t>l</w:t>
      </w:r>
      <w:r>
        <w:t>)</w:t>
      </w:r>
      <w:r>
        <w:tab/>
        <w:t>Perform mitigation on the submitted Energy Offer Curves using the LMPs from the previous step as the reference LMP.</w:t>
      </w:r>
    </w:p>
    <w:p w14:paraId="63541881" w14:textId="2FADD728" w:rsidR="001F04FD" w:rsidRDefault="001F04FD" w:rsidP="001F04FD">
      <w:pPr>
        <w:pStyle w:val="BodyTextNumbered"/>
        <w:ind w:left="1440"/>
      </w:pPr>
      <w:r>
        <w:t>(</w:t>
      </w:r>
      <w:r w:rsidR="00D42541">
        <w:t>m</w:t>
      </w:r>
      <w:r>
        <w:t>)</w:t>
      </w:r>
      <w:r>
        <w:tab/>
        <w:t>Perform a SCED with the changes to the inputs in items (a)</w:t>
      </w:r>
      <w:r w:rsidR="00DB6E87" w:rsidRPr="00DB6E87">
        <w:t xml:space="preserve"> </w:t>
      </w:r>
      <w:r w:rsidR="00DB6E87">
        <w:t>through (</w:t>
      </w:r>
      <w:r w:rsidR="00D42541">
        <w:t>j</w:t>
      </w:r>
      <w:r w:rsidR="00DB6E87">
        <w:t>)</w:t>
      </w:r>
      <w:r>
        <w:t xml:space="preserve"> above, considering both Competitive and Non-Competitive Constraints and the mitigated Energy </w:t>
      </w:r>
      <w:r w:rsidR="00BD759A">
        <w:t xml:space="preserve">Offer </w:t>
      </w:r>
      <w:r>
        <w:t>Curves.</w:t>
      </w:r>
    </w:p>
    <w:p w14:paraId="2C3CF6AA" w14:textId="2927E56A" w:rsidR="001F04FD" w:rsidRDefault="001F04FD" w:rsidP="00F26F08">
      <w:pPr>
        <w:pStyle w:val="BodyTextNumbered"/>
        <w:spacing w:before="240"/>
        <w:ind w:left="1440"/>
      </w:pPr>
      <w:r>
        <w:t>(</w:t>
      </w:r>
      <w:r w:rsidR="00D42541">
        <w:t>n</w:t>
      </w:r>
      <w:r>
        <w:t>)</w:t>
      </w:r>
      <w:r>
        <w:tab/>
        <w:t>Determine the positive difference between the System Lambda from item (</w:t>
      </w:r>
      <w:r w:rsidR="00D42541">
        <w:t>m</w:t>
      </w:r>
      <w:r>
        <w:t>) above and the System Lambda of the second step in the two-step SCED process described in paragraph (</w:t>
      </w:r>
      <w:r w:rsidR="000C52C9">
        <w:t>10</w:t>
      </w:r>
      <w:r>
        <w:t>)(b) of Section 6.5.7.3, Security Constrained Economic Dispatch.</w:t>
      </w:r>
    </w:p>
    <w:p w14:paraId="39CF9D84" w14:textId="7A98D225" w:rsidR="001F04FD" w:rsidRDefault="001F04FD" w:rsidP="001F04FD">
      <w:pPr>
        <w:pStyle w:val="BodyTextNumbered"/>
        <w:ind w:left="1440"/>
      </w:pPr>
      <w:r>
        <w:t>(</w:t>
      </w:r>
      <w:r w:rsidR="00D42541">
        <w:t>o</w:t>
      </w:r>
      <w:r>
        <w:t>)</w:t>
      </w:r>
      <w:r>
        <w:tab/>
        <w:t>Determine the amount given by the Value of Lost Load (VOLL) minus the sum of the System Lambda of the second step in the two step SCED process described in paragraph (</w:t>
      </w:r>
      <w:r w:rsidR="000C52C9">
        <w:t>10</w:t>
      </w:r>
      <w:r>
        <w:t>)(b) of Section 6.5.7.3 and the Real-Time On-Line Reserve Price Adder.</w:t>
      </w:r>
    </w:p>
    <w:p w14:paraId="6CDAAEE9" w14:textId="478A85BE" w:rsidR="001F04FD" w:rsidRDefault="001F04FD" w:rsidP="001F04FD">
      <w:pPr>
        <w:pStyle w:val="BodyTextNumbered"/>
        <w:ind w:left="1440"/>
        <w:rPr>
          <w:iCs/>
        </w:rPr>
      </w:pPr>
      <w:r>
        <w:t>(</w:t>
      </w:r>
      <w:r w:rsidR="00D42541">
        <w:t>p</w:t>
      </w:r>
      <w:r>
        <w:t>)</w:t>
      </w:r>
      <w:r>
        <w:tab/>
        <w:t>The Real-Time On-Line Reliability Deployment Price Adder is the minimum of items (</w:t>
      </w:r>
      <w:r w:rsidR="00D42541">
        <w:t>n</w:t>
      </w:r>
      <w:r>
        <w:t>) and (</w:t>
      </w:r>
      <w:r w:rsidR="00D42541">
        <w:t>o</w:t>
      </w:r>
      <w:r>
        <w:t>) above</w:t>
      </w:r>
      <w:r w:rsidR="00186D32">
        <w:t xml:space="preserve"> except when ERCOT is directing firm Load shed during EEA Level 3.  When ERCOT is directing firm Load shed during EEA Level 3 to</w:t>
      </w:r>
      <w:r w:rsidR="00186D32" w:rsidRPr="00A97A65">
        <w:rPr>
          <w:highlight w:val="yellow"/>
        </w:rPr>
        <w:t xml:space="preserve"> </w:t>
      </w:r>
      <w:r w:rsidR="00186D32" w:rsidRPr="008D36F2">
        <w:t>either maintain sufficient PRC or stabilize grid frequency, as described in paragraph (3) of Section 6.5.9.4.2</w:t>
      </w:r>
      <w:r w:rsidR="00186D32" w:rsidRPr="00A97A65">
        <w:t xml:space="preserve">, </w:t>
      </w:r>
      <w:r w:rsidR="00186D32" w:rsidRPr="00A97A65">
        <w:rPr>
          <w:iCs/>
        </w:rPr>
        <w:t>the</w:t>
      </w:r>
      <w:r w:rsidR="00186D32">
        <w:rPr>
          <w:iCs/>
        </w:rPr>
        <w:t xml:space="preserve"> Real-Time On-Line Reliability Deployment Price Adder is the VOLL minus the sum of the System Lambda of the second step in the two-step SCED process described in paragraph (10)(b) of Section 6.5.7.3 and the Real-Time On-Line Reserve Price Adder</w:t>
      </w:r>
      <w:r w:rsidR="00186D32">
        <w:t xml:space="preserve">.  Once ERCOT is no longer directing firm Load shed, as described above, the </w:t>
      </w:r>
      <w:r w:rsidR="00186D32" w:rsidRPr="00741C76">
        <w:t xml:space="preserve">Real-Time On-Line Reliability Deployment Price Adder </w:t>
      </w:r>
      <w:r w:rsidR="00186D32">
        <w:t>will again be set as</w:t>
      </w:r>
      <w:r w:rsidR="00186D32" w:rsidRPr="00741C76">
        <w:t xml:space="preserve"> the minimum of items (n) and (o) above</w:t>
      </w:r>
      <w: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AE702A" w14:paraId="14BE308C" w14:textId="77777777" w:rsidTr="00AE702A">
        <w:trPr>
          <w:trHeight w:val="206"/>
        </w:trPr>
        <w:tc>
          <w:tcPr>
            <w:tcW w:w="9350" w:type="dxa"/>
            <w:shd w:val="pct12" w:color="auto" w:fill="auto"/>
          </w:tcPr>
          <w:p w14:paraId="179B08F3" w14:textId="7361ECBA" w:rsidR="00AE702A" w:rsidRDefault="00AE702A" w:rsidP="00AE702A">
            <w:pPr>
              <w:pStyle w:val="Instructions"/>
              <w:spacing w:before="120"/>
            </w:pPr>
            <w:bookmarkStart w:id="1166" w:name="_Toc397504972"/>
            <w:bookmarkStart w:id="1167" w:name="_Toc402357100"/>
            <w:bookmarkStart w:id="1168" w:name="_Toc422486480"/>
            <w:bookmarkStart w:id="1169" w:name="_Toc433093332"/>
            <w:bookmarkStart w:id="1170" w:name="_Toc433093490"/>
            <w:bookmarkStart w:id="1171" w:name="_Toc440874719"/>
            <w:bookmarkStart w:id="1172" w:name="_Toc448142274"/>
            <w:bookmarkStart w:id="1173" w:name="_Toc448142431"/>
            <w:bookmarkStart w:id="1174" w:name="_Toc458770267"/>
            <w:bookmarkStart w:id="1175" w:name="_Toc459294235"/>
            <w:bookmarkStart w:id="1176" w:name="_Toc463262728"/>
            <w:bookmarkStart w:id="1177" w:name="_Toc468286802"/>
            <w:bookmarkStart w:id="1178" w:name="_Toc481502848"/>
            <w:bookmarkStart w:id="1179" w:name="_Toc496080016"/>
            <w:r>
              <w:t>[NPRR904, NPRR1006</w:t>
            </w:r>
            <w:r w:rsidR="00AB158D">
              <w:t>,</w:t>
            </w:r>
            <w:r>
              <w:t xml:space="preserve"> NPRR1010</w:t>
            </w:r>
            <w:r w:rsidR="00AB158D">
              <w:t>, NPRR1014</w:t>
            </w:r>
            <w:r w:rsidR="001C2BC4">
              <w:t xml:space="preserve">, </w:t>
            </w:r>
            <w:r w:rsidR="006B01C3">
              <w:t>NPRR1091</w:t>
            </w:r>
            <w:r w:rsidR="0064112F">
              <w:t>, NPRR1105</w:t>
            </w:r>
            <w:r w:rsidR="00192EFF">
              <w:t>, NPRR1188</w:t>
            </w:r>
            <w:r w:rsidR="00BD19E2">
              <w:t xml:space="preserve">, </w:t>
            </w:r>
            <w:r w:rsidR="005F63FE">
              <w:t xml:space="preserve">NPRR1238, </w:t>
            </w:r>
            <w:r w:rsidR="00BD19E2">
              <w:t>and NPRR1245</w:t>
            </w:r>
            <w:r>
              <w:t>:  Replace applicable portions of Section 6.5.7.3.1 above with the following upon system implementation for NPRR</w:t>
            </w:r>
            <w:r w:rsidR="00AB158D">
              <w:t>904,</w:t>
            </w:r>
            <w:r>
              <w:t xml:space="preserve"> NPRR1006</w:t>
            </w:r>
            <w:r w:rsidR="00AB158D">
              <w:t>, NPRR1014</w:t>
            </w:r>
            <w:r w:rsidR="001C2BC4">
              <w:t xml:space="preserve">, </w:t>
            </w:r>
            <w:r w:rsidR="006B01C3">
              <w:t>NPRR1091</w:t>
            </w:r>
            <w:r w:rsidR="0064112F">
              <w:t>, NPRR1105</w:t>
            </w:r>
            <w:r w:rsidR="00192EFF">
              <w:t>, NPRR1188</w:t>
            </w:r>
            <w:r w:rsidR="005F63FE">
              <w:t>, or NPRR1238</w:t>
            </w:r>
            <w:r w:rsidR="00F36EFF">
              <w:t>;</w:t>
            </w:r>
            <w:r>
              <w:t xml:space="preserve"> or upon system implementation of the Real-Time Co-Optimization (RTC) project for NPRR1010</w:t>
            </w:r>
            <w:r w:rsidR="00BD19E2">
              <w:t xml:space="preserve"> and NPRR1245</w:t>
            </w:r>
            <w:r>
              <w:t>:]</w:t>
            </w:r>
          </w:p>
          <w:p w14:paraId="16FFD099" w14:textId="57974C55" w:rsidR="00AE702A" w:rsidRPr="003161DC" w:rsidRDefault="00AE702A" w:rsidP="00AB158D">
            <w:pPr>
              <w:keepNext/>
              <w:tabs>
                <w:tab w:val="left" w:pos="1620"/>
              </w:tabs>
              <w:spacing w:before="240" w:after="240"/>
              <w:ind w:left="1620" w:hanging="1620"/>
              <w:outlineLvl w:val="4"/>
              <w:rPr>
                <w:b/>
                <w:bCs/>
                <w:i/>
                <w:iCs/>
                <w:szCs w:val="26"/>
              </w:rPr>
            </w:pPr>
            <w:bookmarkStart w:id="1180" w:name="_Toc60040621"/>
            <w:bookmarkStart w:id="1181" w:name="_Toc65151681"/>
            <w:bookmarkStart w:id="1182" w:name="_Toc80174707"/>
            <w:bookmarkStart w:id="1183" w:name="_Toc108712466"/>
            <w:bookmarkStart w:id="1184" w:name="_Toc112417586"/>
            <w:bookmarkStart w:id="1185" w:name="_Toc119310255"/>
            <w:bookmarkStart w:id="1186" w:name="_Toc125966189"/>
            <w:bookmarkStart w:id="1187" w:name="_Toc135992287"/>
            <w:bookmarkStart w:id="1188" w:name="_Toc170303483"/>
            <w:bookmarkStart w:id="1189" w:name="_Toc175157387"/>
            <w:bookmarkStart w:id="1190" w:name="_Toc204411613"/>
            <w:r w:rsidRPr="003161DC">
              <w:rPr>
                <w:b/>
                <w:bCs/>
                <w:snapToGrid w:val="0"/>
              </w:rPr>
              <w:t>6.5.7.3.1</w:t>
            </w:r>
            <w:r w:rsidRPr="003161DC">
              <w:rPr>
                <w:b/>
                <w:bCs/>
                <w:i/>
                <w:iCs/>
                <w:szCs w:val="26"/>
              </w:rPr>
              <w:tab/>
            </w:r>
            <w:r w:rsidRPr="003161DC">
              <w:rPr>
                <w:b/>
                <w:bCs/>
                <w:snapToGrid w:val="0"/>
              </w:rPr>
              <w:t>Determination of Real-Time Reliability Deployment Price Adder</w:t>
            </w:r>
            <w:bookmarkEnd w:id="1180"/>
            <w:bookmarkEnd w:id="1181"/>
            <w:bookmarkEnd w:id="1182"/>
            <w:bookmarkEnd w:id="1183"/>
            <w:bookmarkEnd w:id="1184"/>
            <w:bookmarkEnd w:id="1185"/>
            <w:bookmarkEnd w:id="1186"/>
            <w:bookmarkEnd w:id="1187"/>
            <w:bookmarkEnd w:id="1188"/>
            <w:bookmarkEnd w:id="1189"/>
            <w:bookmarkEnd w:id="1190"/>
          </w:p>
          <w:p w14:paraId="6EF245A9" w14:textId="77777777" w:rsidR="00AE702A" w:rsidRPr="003161DC" w:rsidRDefault="00AE702A" w:rsidP="00AE702A">
            <w:pPr>
              <w:spacing w:after="240"/>
              <w:ind w:left="720" w:hanging="720"/>
            </w:pPr>
            <w:r w:rsidRPr="003161DC">
              <w:t>(1)</w:t>
            </w:r>
            <w:r w:rsidRPr="003161DC">
              <w:tab/>
              <w:t>The following categories of reliability deployments are considered in the determination of the Real-Time Reliability Deployment Price Adder</w:t>
            </w:r>
            <w:r>
              <w:t xml:space="preserve"> for Energy, and the Real-Time Reliability Deployment Price Adders for Ancillary Services</w:t>
            </w:r>
            <w:r w:rsidRPr="003161DC">
              <w:t>:</w:t>
            </w:r>
          </w:p>
          <w:p w14:paraId="5F675A8E" w14:textId="14B450EF" w:rsidR="00AE702A" w:rsidRPr="003161DC" w:rsidRDefault="00AE702A" w:rsidP="00AE702A">
            <w:pPr>
              <w:spacing w:after="240"/>
              <w:ind w:left="1440" w:hanging="720"/>
            </w:pPr>
            <w:r w:rsidRPr="003161DC">
              <w:t>(a)</w:t>
            </w:r>
            <w:r w:rsidRPr="003161DC">
              <w:tab/>
              <w:t>RUC-committed Resources, except for those whose QSEs have opted out of RUC Settlement in accordance with paragraph (1</w:t>
            </w:r>
            <w:r w:rsidR="00910305">
              <w:t>4</w:t>
            </w:r>
            <w:r w:rsidRPr="003161DC">
              <w:t>) of Section 5.5.2, Reliability Unit Commitment (RUC) Process;</w:t>
            </w:r>
          </w:p>
          <w:p w14:paraId="1B09E4A9" w14:textId="50852E63" w:rsidR="00AE702A" w:rsidRPr="003161DC" w:rsidRDefault="00AE702A" w:rsidP="00AE702A">
            <w:pPr>
              <w:spacing w:after="240"/>
              <w:ind w:left="1440" w:hanging="720"/>
            </w:pPr>
            <w:r w:rsidRPr="003161DC">
              <w:lastRenderedPageBreak/>
              <w:t>(b)</w:t>
            </w:r>
            <w:r w:rsidRPr="003161DC">
              <w:tab/>
              <w:t>RMR Resources that are On-Line, including capacity secured to prevent an Emergency Condition pursuant to paragraph (</w:t>
            </w:r>
            <w:r w:rsidR="00847E53">
              <w:t>4</w:t>
            </w:r>
            <w:r w:rsidRPr="003161DC">
              <w:t xml:space="preserve">) of Section 6.5.1.1, ERCOT Control Area Authority; </w:t>
            </w:r>
          </w:p>
          <w:p w14:paraId="6595F086" w14:textId="1138F07E" w:rsidR="00AE702A" w:rsidRPr="003161DC" w:rsidRDefault="00AE702A" w:rsidP="00AE702A">
            <w:pPr>
              <w:spacing w:after="240"/>
              <w:ind w:left="1440" w:hanging="720"/>
            </w:pPr>
            <w:r w:rsidRPr="003161DC">
              <w:t>(c)</w:t>
            </w:r>
            <w:r w:rsidRPr="003161DC">
              <w:tab/>
              <w:t xml:space="preserve">Deployed Load Resources other than </w:t>
            </w:r>
            <w:r w:rsidR="00192EFF">
              <w:t>CLRs</w:t>
            </w:r>
            <w:r w:rsidRPr="003161DC">
              <w:t>;</w:t>
            </w:r>
          </w:p>
          <w:p w14:paraId="4439294F" w14:textId="5C5828E5" w:rsidR="00AE702A" w:rsidRDefault="00AE702A" w:rsidP="00AE702A">
            <w:pPr>
              <w:spacing w:after="240"/>
              <w:ind w:left="1440" w:hanging="720"/>
            </w:pPr>
            <w:r w:rsidRPr="003161DC">
              <w:t>(d)</w:t>
            </w:r>
            <w:r w:rsidRPr="003161DC">
              <w:tab/>
              <w:t>Deployed ERS;</w:t>
            </w:r>
          </w:p>
          <w:p w14:paraId="6C96CD70" w14:textId="77777777" w:rsidR="00625EF6" w:rsidRPr="003161DC" w:rsidRDefault="00625EF6" w:rsidP="00625EF6">
            <w:pPr>
              <w:spacing w:after="240"/>
              <w:ind w:left="1440" w:hanging="720"/>
            </w:pPr>
            <w:r w:rsidRPr="003161DC">
              <w:t>(e)</w:t>
            </w:r>
            <w:r w:rsidRPr="003161DC">
              <w:tab/>
              <w:t xml:space="preserve">ERCOT-directed DC Tie imports during an EEA or transmission emergency where the total adjustment shall not exceed 1,250 MW in a single interval; </w:t>
            </w:r>
          </w:p>
          <w:p w14:paraId="70542D48" w14:textId="77777777" w:rsidR="00625EF6" w:rsidRPr="003161DC" w:rsidRDefault="00625EF6" w:rsidP="00625EF6">
            <w:pPr>
              <w:spacing w:after="240"/>
              <w:ind w:left="1440" w:hanging="720"/>
            </w:pPr>
            <w:r w:rsidRPr="003161DC">
              <w:t>(f)</w:t>
            </w:r>
            <w:r w:rsidRPr="003161DC">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685A1D10" w14:textId="77777777" w:rsidR="00625EF6" w:rsidRPr="003161DC" w:rsidRDefault="00625EF6" w:rsidP="00625EF6">
            <w:pPr>
              <w:spacing w:after="240"/>
              <w:ind w:left="1440" w:hanging="720"/>
            </w:pPr>
            <w:r w:rsidRPr="003161DC">
              <w:t>(g)</w:t>
            </w:r>
            <w:r w:rsidRPr="003161DC">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6419DD08" w14:textId="77777777" w:rsidR="00625EF6" w:rsidRPr="003161DC" w:rsidRDefault="00625EF6" w:rsidP="00625EF6">
            <w:pPr>
              <w:spacing w:after="240"/>
              <w:ind w:left="1440" w:hanging="720"/>
            </w:pPr>
            <w:r w:rsidRPr="003161DC">
              <w:t>(h)</w:t>
            </w:r>
            <w:r w:rsidRPr="003161DC">
              <w:tab/>
              <w:t xml:space="preserve">ERCOT-directed DC Tie exports to address emergency conditions in the receiving electric grid where the total adjustment shall not exceed 1,250 MW in a single interval; </w:t>
            </w:r>
          </w:p>
          <w:p w14:paraId="2C65E11D" w14:textId="4F415D2A" w:rsidR="00625EF6" w:rsidRDefault="00625EF6" w:rsidP="00625EF6">
            <w:pPr>
              <w:spacing w:after="240"/>
              <w:ind w:left="1440" w:hanging="720"/>
            </w:pPr>
            <w:r w:rsidRPr="003161DC">
              <w:rPr>
                <w:lang w:val="x-none" w:eastAsia="x-none"/>
              </w:rPr>
              <w:t>(i)</w:t>
            </w:r>
            <w:r w:rsidRPr="003161DC">
              <w:rPr>
                <w:lang w:val="x-none" w:eastAsia="x-none"/>
              </w:rPr>
              <w:tab/>
              <w:t xml:space="preserve">ERCOT-directed curtailment of DC Tie exports below the DC Tie advisory </w:t>
            </w:r>
            <w:r w:rsidRPr="003161DC">
              <w:rPr>
                <w:lang w:eastAsia="x-none"/>
              </w:rPr>
              <w:t>export</w:t>
            </w:r>
            <w:r w:rsidRPr="003161DC">
              <w:rPr>
                <w:lang w:val="x-none" w:eastAsia="x-none"/>
              </w:rPr>
              <w:t xml:space="preserve"> limit as of </w:t>
            </w:r>
            <w:r w:rsidRPr="003161DC">
              <w:rPr>
                <w:lang w:eastAsia="x-none"/>
              </w:rPr>
              <w:t>06</w:t>
            </w:r>
            <w:r w:rsidRPr="003161DC">
              <w:rPr>
                <w:lang w:val="x-none" w:eastAsia="x-none"/>
              </w:rPr>
              <w:t xml:space="preserve">00 in the Day-Ahead </w:t>
            </w:r>
            <w:r w:rsidRPr="003161DC">
              <w:rPr>
                <w:lang w:eastAsia="x-none"/>
              </w:rPr>
              <w:t xml:space="preserve">or subsequent advisory export limit </w:t>
            </w:r>
            <w:r w:rsidRPr="003161DC">
              <w:rPr>
                <w:lang w:val="x-none" w:eastAsia="x-none"/>
              </w:rPr>
              <w:t>during EEA, a transmission emergency, or to address local transmission system limitations where the total adjustment shall not exceed 1,250 MW in a single interval;</w:t>
            </w:r>
          </w:p>
          <w:p w14:paraId="4EE31F6C" w14:textId="393CCCE8" w:rsidR="00AE702A" w:rsidRPr="003161DC" w:rsidRDefault="00625EF6" w:rsidP="00AE702A">
            <w:pPr>
              <w:spacing w:before="240" w:after="240"/>
              <w:ind w:left="1440" w:hanging="720"/>
            </w:pPr>
            <w:r>
              <w:t>(j</w:t>
            </w:r>
            <w:r w:rsidR="00AE702A" w:rsidRPr="003161DC">
              <w:t>)</w:t>
            </w:r>
            <w:r w:rsidR="00AE702A" w:rsidRPr="003161DC">
              <w:tab/>
              <w:t>Energy delivered to ERCOT through registered Block Load Transf</w:t>
            </w:r>
            <w:r>
              <w:t>ers (BLTs) during an EEA;</w:t>
            </w:r>
          </w:p>
          <w:p w14:paraId="7A394900" w14:textId="3B5E49D2" w:rsidR="00AE702A" w:rsidRDefault="00625EF6" w:rsidP="00AE702A">
            <w:pPr>
              <w:spacing w:after="240"/>
              <w:ind w:left="1440" w:hanging="720"/>
            </w:pPr>
            <w:r>
              <w:t>(k</w:t>
            </w:r>
            <w:r w:rsidR="00AE702A" w:rsidRPr="003161DC">
              <w:t>)</w:t>
            </w:r>
            <w:r w:rsidR="00AE702A" w:rsidRPr="003161DC">
              <w:tab/>
              <w:t>Energy delivered from ERCOT to another power pool through registered BLTs during emergency conditions</w:t>
            </w:r>
            <w:r>
              <w:t xml:space="preserve"> in the receiving electric grid;</w:t>
            </w:r>
          </w:p>
          <w:p w14:paraId="69E30797" w14:textId="1190C36A" w:rsidR="0064112F" w:rsidRDefault="00625EF6" w:rsidP="0064112F">
            <w:pPr>
              <w:spacing w:after="240"/>
              <w:ind w:left="1440" w:hanging="720"/>
            </w:pPr>
            <w:r>
              <w:t>(l)</w:t>
            </w:r>
            <w:r>
              <w:tab/>
              <w:t>ERCOT-directed deployment of TDSP standard offer Load management programs</w:t>
            </w:r>
            <w:r w:rsidR="0064112F">
              <w:t>;</w:t>
            </w:r>
          </w:p>
          <w:p w14:paraId="1E19F5C0" w14:textId="2FD3EA2F" w:rsidR="006B01C3" w:rsidRPr="00A96E57" w:rsidRDefault="0064112F" w:rsidP="006B01C3">
            <w:pPr>
              <w:spacing w:after="240" w:line="256" w:lineRule="auto"/>
              <w:ind w:left="1440" w:hanging="720"/>
            </w:pPr>
            <w:r>
              <w:t>(m)      ERCOT-directed deployment of distribution voltage reduction measures</w:t>
            </w:r>
            <w:r w:rsidR="006B01C3" w:rsidRPr="00A96E57">
              <w:t>;</w:t>
            </w:r>
          </w:p>
          <w:p w14:paraId="644DEB57" w14:textId="2E716482" w:rsidR="00625EF6" w:rsidRDefault="006B01C3" w:rsidP="006B01C3">
            <w:pPr>
              <w:spacing w:after="240"/>
              <w:ind w:left="1440" w:hanging="720"/>
            </w:pPr>
            <w:r w:rsidRPr="00A96E57">
              <w:t>(</w:t>
            </w:r>
            <w:r>
              <w:t>n</w:t>
            </w:r>
            <w:r w:rsidRPr="00A96E57">
              <w:t>)</w:t>
            </w:r>
            <w:r w:rsidRPr="00A96E57">
              <w:tab/>
              <w:t>ERCOT-directed deployment of Off-Line Non-Spin</w:t>
            </w:r>
            <w:r w:rsidR="00BD19E2">
              <w:t>;</w:t>
            </w:r>
          </w:p>
          <w:p w14:paraId="301E45D6" w14:textId="74C79429" w:rsidR="00BD19E2" w:rsidRDefault="00BD19E2" w:rsidP="006B01C3">
            <w:pPr>
              <w:spacing w:after="240"/>
              <w:ind w:left="1440" w:hanging="720"/>
              <w:rPr>
                <w:iCs/>
              </w:rPr>
            </w:pPr>
            <w:r w:rsidRPr="00D476E3">
              <w:rPr>
                <w:iCs/>
              </w:rPr>
              <w:t>(o)</w:t>
            </w:r>
            <w:r w:rsidRPr="00D476E3">
              <w:rPr>
                <w:iCs/>
              </w:rPr>
              <w:tab/>
              <w:t>ERCOT-directed firm Load shed during EEA Level 3, as described in paragraph (3) of Section 6.5.9.4.2, EEA Levels</w:t>
            </w:r>
            <w:r w:rsidR="005F63FE">
              <w:rPr>
                <w:iCs/>
              </w:rPr>
              <w:t>; and</w:t>
            </w:r>
          </w:p>
          <w:p w14:paraId="150BDE58" w14:textId="55FE14E1" w:rsidR="005F63FE" w:rsidRPr="005F63FE" w:rsidRDefault="005F63FE" w:rsidP="005F63FE">
            <w:pPr>
              <w:spacing w:after="240"/>
              <w:ind w:left="1440" w:hanging="720"/>
            </w:pPr>
            <w:r w:rsidRPr="005F63FE">
              <w:lastRenderedPageBreak/>
              <w:t>(p)</w:t>
            </w:r>
            <w:r w:rsidRPr="005F63FE">
              <w:tab/>
            </w:r>
            <w:r w:rsidRPr="005F63FE">
              <w:rPr>
                <w:szCs w:val="24"/>
              </w:rPr>
              <w:t xml:space="preserve">Deployed </w:t>
            </w:r>
            <w:r w:rsidRPr="005F63FE">
              <w:rPr>
                <w:bCs/>
              </w:rPr>
              <w:t>Voluntary Early Curtailment Load</w:t>
            </w:r>
            <w:r w:rsidRPr="005F63FE">
              <w:rPr>
                <w:szCs w:val="24"/>
              </w:rPr>
              <w:t xml:space="preserve"> (VECL) as described in Section 6.5.9.4.1, General Procedures Prior to EEA Operations.</w:t>
            </w:r>
          </w:p>
          <w:p w14:paraId="291B11FA" w14:textId="77777777" w:rsidR="00AE702A" w:rsidRPr="003161DC" w:rsidRDefault="00AE702A" w:rsidP="00625EF6">
            <w:pPr>
              <w:spacing w:after="240"/>
              <w:ind w:left="720" w:hanging="720"/>
            </w:pPr>
            <w:r w:rsidRPr="003161DC">
              <w:t>(2)</w:t>
            </w:r>
            <w:r w:rsidRPr="003161DC">
              <w:tab/>
              <w:t xml:space="preserve">The Real-Time Reliability Deployment Price Adder </w:t>
            </w:r>
            <w:r>
              <w:t>for Energy, and Real-Time Reliability Deployment Price Adders</w:t>
            </w:r>
            <w:r w:rsidRPr="003161DC">
              <w:t xml:space="preserve"> </w:t>
            </w:r>
            <w:r>
              <w:t>for Ancillary Services are</w:t>
            </w:r>
            <w:r w:rsidRPr="003161DC">
              <w:t xml:space="preserve"> estimation</w:t>
            </w:r>
            <w:r>
              <w:t>s</w:t>
            </w:r>
            <w:r w:rsidRPr="003161DC">
              <w:t xml:space="preserve"> of the impact to energy prices</w:t>
            </w:r>
            <w:r>
              <w:t xml:space="preserve"> and Real-Time MCPCs</w:t>
            </w:r>
            <w:r w:rsidRPr="003161DC">
              <w:t xml:space="preserve"> due to the above categories of reliability deployments.  For intervals where there are reliability deployments as described in paragraph (1) above, the Real-Time Reliability Deployment Price </w:t>
            </w:r>
            <w:r>
              <w:t>A</w:t>
            </w:r>
            <w:r w:rsidRPr="003161DC">
              <w:t>dder</w:t>
            </w:r>
            <w:r>
              <w:t xml:space="preserve"> for Energy and Real-Time Reliability Deployment Price Adders for Ancillary Services</w:t>
            </w:r>
            <w:r w:rsidRPr="003161DC">
              <w:t xml:space="preserve"> </w:t>
            </w:r>
            <w:r>
              <w:t>are</w:t>
            </w:r>
            <w:r w:rsidRPr="003161DC">
              <w:t xml:space="preserve"> determined as follows:</w:t>
            </w:r>
          </w:p>
          <w:p w14:paraId="0E8D67EF" w14:textId="2BDE34F0" w:rsidR="00AE702A" w:rsidRDefault="00AE702A" w:rsidP="00AE702A">
            <w:pPr>
              <w:spacing w:after="240"/>
              <w:ind w:left="1440" w:hanging="720"/>
            </w:pPr>
            <w:r w:rsidRPr="003161DC">
              <w:t>(a)</w:t>
            </w:r>
            <w:r w:rsidRPr="003161DC">
              <w:tab/>
              <w:t xml:space="preserve">For </w:t>
            </w:r>
            <w:r w:rsidR="00A11229" w:rsidRPr="00A96E57">
              <w:t xml:space="preserve">Off-Line Non-Spin Resources that are brought On-Line by ERCOT deployment instruction, </w:t>
            </w:r>
            <w:r w:rsidRPr="003161DC">
              <w:t>RUC-committed Resources with a telemetered Resource Status of ONRUC and for RMR Resources that are On-Line</w:t>
            </w:r>
            <w:r>
              <w:t>:</w:t>
            </w:r>
          </w:p>
          <w:p w14:paraId="61D8F392" w14:textId="77777777" w:rsidR="00AE702A" w:rsidRDefault="00AE702A" w:rsidP="00AE702A">
            <w:pPr>
              <w:spacing w:after="240"/>
              <w:ind w:left="2160" w:hanging="720"/>
            </w:pPr>
            <w:r>
              <w:t>(i)</w:t>
            </w:r>
            <w:r>
              <w:tab/>
              <w:t>S</w:t>
            </w:r>
            <w:r w:rsidRPr="003161DC">
              <w:t>et the LSL</w:t>
            </w:r>
            <w:r>
              <w:t xml:space="preserve"> </w:t>
            </w:r>
            <w:r w:rsidRPr="003161DC">
              <w:t>and LDL to zero</w:t>
            </w:r>
            <w:r>
              <w:t>;</w:t>
            </w:r>
          </w:p>
          <w:p w14:paraId="5B050746" w14:textId="77777777" w:rsidR="00AE702A" w:rsidRDefault="00AE702A" w:rsidP="00AE702A">
            <w:pPr>
              <w:spacing w:after="240"/>
              <w:ind w:left="2160" w:hanging="720"/>
            </w:pPr>
            <w:r>
              <w:t>(ii)</w:t>
            </w:r>
            <w:r>
              <w:tab/>
              <w:t>Remove all Ancillary Service Offers; and</w:t>
            </w:r>
          </w:p>
          <w:p w14:paraId="6AF4DD19" w14:textId="71358DBD" w:rsidR="00AE702A" w:rsidRDefault="00AE702A" w:rsidP="00AE702A">
            <w:pPr>
              <w:spacing w:after="240"/>
              <w:ind w:left="2160" w:hanging="720"/>
            </w:pPr>
            <w:r>
              <w:t>(iii)</w:t>
            </w:r>
            <w:r>
              <w:tab/>
              <w:t xml:space="preserve">For the first step of SCED, administratively set the Energy Offer Curve for the Resource at a value equal to the </w:t>
            </w:r>
            <w:r w:rsidR="002F6E69">
              <w:t>p</w:t>
            </w:r>
            <w:r>
              <w:t xml:space="preserve">ower </w:t>
            </w:r>
            <w:r w:rsidR="002F6E69">
              <w:t>b</w:t>
            </w:r>
            <w:r>
              <w:t xml:space="preserve">alance </w:t>
            </w:r>
            <w:r w:rsidR="002F6E69">
              <w:t>p</w:t>
            </w:r>
            <w:r>
              <w:t xml:space="preserve">enalty </w:t>
            </w:r>
            <w:r w:rsidR="002F6E69">
              <w:t>p</w:t>
            </w:r>
            <w:r>
              <w:t>rice for all capacity between 0 MW and the HSL of the Resource.</w:t>
            </w:r>
          </w:p>
          <w:p w14:paraId="4ED2EBA9" w14:textId="77777777" w:rsidR="00AE702A" w:rsidRDefault="00AE702A" w:rsidP="00AE702A">
            <w:pPr>
              <w:spacing w:after="240"/>
              <w:ind w:left="1440" w:hanging="720"/>
            </w:pPr>
            <w:r w:rsidRPr="003161DC">
              <w:t>(b)</w:t>
            </w:r>
            <w:r w:rsidRPr="003161DC">
              <w:tab/>
              <w:t>Notwithstanding item (a) above, for RUC-committed Combined Cycle Generation Resources with a telemetered Resource Status of ONRUC that were instructed by ERCOT to transition to a different configuration to provide additional capacity</w:t>
            </w:r>
            <w:r>
              <w:t>:</w:t>
            </w:r>
          </w:p>
          <w:p w14:paraId="0CA79BAC" w14:textId="77777777" w:rsidR="00AE702A" w:rsidRDefault="00AE702A" w:rsidP="00AE702A">
            <w:pPr>
              <w:spacing w:after="240"/>
              <w:ind w:left="2160" w:hanging="720"/>
            </w:pPr>
            <w:r>
              <w:t>(i)</w:t>
            </w:r>
            <w:r>
              <w:tab/>
              <w:t>S</w:t>
            </w:r>
            <w:r w:rsidRPr="003161DC">
              <w:t>et the LSL and LDL equal to the minimum of their current value and the COP HSL of the QSE-committed configuration for the RUC hour at the snapshot time of the RUC instruction</w:t>
            </w:r>
            <w:r>
              <w:t>;</w:t>
            </w:r>
          </w:p>
          <w:p w14:paraId="150BD0D5" w14:textId="77777777" w:rsidR="00AE702A" w:rsidRDefault="00AE702A" w:rsidP="00AE702A">
            <w:pPr>
              <w:spacing w:after="240"/>
              <w:ind w:left="2160" w:hanging="720"/>
            </w:pPr>
            <w:r>
              <w:t>(ii)</w:t>
            </w:r>
            <w:r>
              <w:tab/>
              <w:t xml:space="preserve">Set the maximum Ancillary Service capabilities of the Resource equal to the minimum of their current value and COP Ancillary Service capabilities </w:t>
            </w:r>
            <w:r w:rsidRPr="003161DC">
              <w:t>of the QSE-committed configuration for the RUC hour at the snapshot time of the RUC instruction</w:t>
            </w:r>
            <w:r>
              <w:t>; and</w:t>
            </w:r>
          </w:p>
          <w:p w14:paraId="01572977" w14:textId="493AC40F" w:rsidR="00AE702A" w:rsidRPr="003161DC" w:rsidRDefault="00AE702A" w:rsidP="00AE702A">
            <w:pPr>
              <w:spacing w:after="240"/>
              <w:ind w:left="2160" w:hanging="720"/>
            </w:pPr>
            <w:r>
              <w:t>(iii)</w:t>
            </w:r>
            <w:r>
              <w:tab/>
              <w:t xml:space="preserve">For the first step of SCED, administratively set the Energy Offer Curve for the Resource at a value equal to the </w:t>
            </w:r>
            <w:r w:rsidR="002F6E69">
              <w:t>p</w:t>
            </w:r>
            <w:r>
              <w:t xml:space="preserve">ower </w:t>
            </w:r>
            <w:r w:rsidR="002F6E69">
              <w:t>b</w:t>
            </w:r>
            <w:r>
              <w:t xml:space="preserve">alance </w:t>
            </w:r>
            <w:r w:rsidR="002F6E69">
              <w:t>p</w:t>
            </w:r>
            <w:r>
              <w:t xml:space="preserve">enalty </w:t>
            </w:r>
            <w:r w:rsidR="002F6E69">
              <w:t>p</w:t>
            </w:r>
            <w:r>
              <w:t xml:space="preserve">rice for the additional capacity of the Resource, defined as the positive difference between the Resource’s current telemetered HSL and the COP </w:t>
            </w:r>
            <w:r w:rsidRPr="003161DC">
              <w:t>HSL of the QSE-committed configuration for the RUC hour at the snapshot time of the RUC instruction</w:t>
            </w:r>
            <w:r>
              <w:t xml:space="preserve">.  </w:t>
            </w:r>
          </w:p>
          <w:p w14:paraId="64EE056A" w14:textId="07AC7853" w:rsidR="00625EF6" w:rsidRPr="003161DC" w:rsidRDefault="00625EF6" w:rsidP="00625EF6">
            <w:pPr>
              <w:spacing w:before="240" w:after="240"/>
              <w:ind w:left="1440" w:hanging="720"/>
              <w:rPr>
                <w:lang w:val="x-none" w:eastAsia="x-none"/>
              </w:rPr>
            </w:pPr>
            <w:r w:rsidRPr="003161DC">
              <w:rPr>
                <w:lang w:val="x-none" w:eastAsia="x-none"/>
              </w:rPr>
              <w:t>(</w:t>
            </w:r>
            <w:r>
              <w:rPr>
                <w:lang w:eastAsia="x-none"/>
              </w:rPr>
              <w:t>c</w:t>
            </w:r>
            <w:r w:rsidRPr="003161DC">
              <w:rPr>
                <w:lang w:val="x-none" w:eastAsia="x-none"/>
              </w:rPr>
              <w:t>)</w:t>
            </w:r>
            <w:r w:rsidRPr="003161DC">
              <w:rPr>
                <w:lang w:val="x-none" w:eastAsia="x-none"/>
              </w:rPr>
              <w:tab/>
              <w:t xml:space="preserve">For all other Generation Resources excluding ones with a telemetered status of ONRUC, ONTEST, STARTUP, SHUTDOWN, and also excluding RMR </w:t>
            </w:r>
            <w:r w:rsidRPr="003161DC">
              <w:rPr>
                <w:lang w:val="x-none" w:eastAsia="x-none"/>
              </w:rPr>
              <w:lastRenderedPageBreak/>
              <w:t>Resources that are On-Line and excluding Generation Resources with a telemetered output less than 95% of LSL:</w:t>
            </w:r>
          </w:p>
          <w:p w14:paraId="1A52A613" w14:textId="77777777" w:rsidR="00625EF6" w:rsidRPr="003161DC" w:rsidRDefault="00625EF6" w:rsidP="00625EF6">
            <w:pPr>
              <w:spacing w:after="240"/>
              <w:ind w:left="2160" w:hanging="720"/>
            </w:pPr>
            <w:r w:rsidRPr="003161DC">
              <w:t>(i)</w:t>
            </w:r>
            <w:r w:rsidRPr="003161DC">
              <w:tab/>
              <w:t xml:space="preserve">If the Generation Resource SCED Base Point is not at LDL, set LDL to the greater of Aggregated Resource Output - (60 minutes * </w:t>
            </w:r>
            <w:r>
              <w:t xml:space="preserve">Normal </w:t>
            </w:r>
            <w:r w:rsidRPr="003161DC">
              <w:t>Ramp Rate</w:t>
            </w:r>
            <w:r>
              <w:t xml:space="preserve"> down</w:t>
            </w:r>
            <w:r w:rsidRPr="003161DC">
              <w:t>), or LSL; and</w:t>
            </w:r>
          </w:p>
          <w:p w14:paraId="44F1E954" w14:textId="7E90C6CA" w:rsidR="00625EF6" w:rsidRDefault="00625EF6" w:rsidP="00625EF6">
            <w:pPr>
              <w:spacing w:after="240"/>
              <w:ind w:left="2160" w:hanging="720"/>
            </w:pPr>
            <w:r w:rsidRPr="003161DC">
              <w:t>(ii)</w:t>
            </w:r>
            <w:r w:rsidRPr="003161DC">
              <w:tab/>
              <w:t xml:space="preserve">If the Generation Resource SCED Base Point is not at HDL, set HDL to the lesser of Aggregated Resource Output + (60 minutes * </w:t>
            </w:r>
            <w:r>
              <w:t>Normal</w:t>
            </w:r>
            <w:r w:rsidRPr="003161DC">
              <w:t xml:space="preserve"> Ramp Rate</w:t>
            </w:r>
            <w:r>
              <w:t xml:space="preserve"> up</w:t>
            </w:r>
            <w:r w:rsidRPr="003161DC">
              <w:t xml:space="preserve">), or HSL. </w:t>
            </w:r>
          </w:p>
          <w:p w14:paraId="165C6BA7" w14:textId="13272DE5" w:rsidR="00C34705" w:rsidRPr="00A552C3" w:rsidRDefault="00C34705" w:rsidP="00C34705">
            <w:pPr>
              <w:spacing w:before="240" w:after="240"/>
              <w:ind w:left="1440" w:hanging="720"/>
            </w:pPr>
            <w:r w:rsidRPr="00A552C3">
              <w:t>(d)</w:t>
            </w:r>
            <w:r w:rsidRPr="00A552C3">
              <w:tab/>
              <w:t>For all On-Line ESRs:</w:t>
            </w:r>
          </w:p>
          <w:p w14:paraId="729A9C4A" w14:textId="77777777" w:rsidR="00C34705" w:rsidRPr="00A552C3" w:rsidRDefault="00C34705" w:rsidP="00C34705">
            <w:pPr>
              <w:spacing w:after="240"/>
              <w:ind w:left="2160" w:hanging="720"/>
            </w:pPr>
            <w:r w:rsidRPr="00A552C3">
              <w:t>(i)</w:t>
            </w:r>
            <w:r w:rsidRPr="00A552C3">
              <w:tab/>
              <w:t>If the ESR SCED Base Point is not at LDL, set LDL to the greater of Aggregated Resource Output - (60 minutes * Normal Ramp Rate down), or LSL; and</w:t>
            </w:r>
          </w:p>
          <w:p w14:paraId="306AACAF" w14:textId="77777777" w:rsidR="00C34705" w:rsidRPr="00A552C3" w:rsidRDefault="00C34705" w:rsidP="00C34705">
            <w:pPr>
              <w:spacing w:after="240"/>
              <w:ind w:left="2160" w:hanging="720"/>
            </w:pPr>
            <w:r w:rsidRPr="00A552C3">
              <w:t>(ii)</w:t>
            </w:r>
            <w:r w:rsidRPr="00A552C3">
              <w:tab/>
              <w:t>If the ESR SCED Base Point is not at HDL, set HDL to the lesser of Aggregated Resource Output + (60 minutes * Normal Ramp Rate up), or HSL.</w:t>
            </w:r>
          </w:p>
          <w:p w14:paraId="7374AD49" w14:textId="51677878" w:rsidR="00625EF6" w:rsidRPr="003161DC" w:rsidRDefault="00625EF6" w:rsidP="00C34705">
            <w:pPr>
              <w:spacing w:after="240"/>
              <w:ind w:left="1440" w:hanging="720"/>
            </w:pPr>
            <w:r w:rsidRPr="003161DC">
              <w:t>(</w:t>
            </w:r>
            <w:r w:rsidR="00C34705">
              <w:t>e</w:t>
            </w:r>
            <w:r w:rsidRPr="003161DC">
              <w:t>)</w:t>
            </w:r>
            <w:r w:rsidRPr="003161DC">
              <w:tab/>
              <w:t xml:space="preserve">For all </w:t>
            </w:r>
            <w:r w:rsidR="00192EFF">
              <w:t>CLRs</w:t>
            </w:r>
            <w:r w:rsidRPr="003161DC">
              <w:t xml:space="preserve"> excluding ones with a telemetered status of OUTL</w:t>
            </w:r>
            <w:r w:rsidR="00192EFF" w:rsidRPr="00812ECB">
              <w:t>, ONTEST, or ONHOLD</w:t>
            </w:r>
            <w:r w:rsidRPr="003161DC">
              <w:t>:</w:t>
            </w:r>
          </w:p>
          <w:p w14:paraId="47FF570D" w14:textId="40DED5CA" w:rsidR="00477F93" w:rsidRPr="003161DC" w:rsidRDefault="00477F93" w:rsidP="00477F93">
            <w:pPr>
              <w:spacing w:after="240"/>
              <w:ind w:left="2160" w:hanging="720"/>
            </w:pPr>
            <w:r w:rsidRPr="003161DC">
              <w:t>(i)</w:t>
            </w:r>
            <w:r w:rsidRPr="003161DC">
              <w:tab/>
              <w:t xml:space="preserve">If the </w:t>
            </w:r>
            <w:r w:rsidR="00192EFF">
              <w:t>CLR</w:t>
            </w:r>
            <w:r w:rsidRPr="003161DC">
              <w:t xml:space="preserve"> SCED Base Point is not at LDL, set LDL to the greater of Aggregated Resource Output - (60 minutes * </w:t>
            </w:r>
            <w:r>
              <w:t>Normal</w:t>
            </w:r>
            <w:r w:rsidRPr="003161DC">
              <w:t xml:space="preserve"> Ramp Rate</w:t>
            </w:r>
            <w:r>
              <w:t xml:space="preserve"> down</w:t>
            </w:r>
            <w:r w:rsidRPr="003161DC">
              <w:t>), or LSL; and</w:t>
            </w:r>
          </w:p>
          <w:p w14:paraId="29BB79C5" w14:textId="0309626F" w:rsidR="00477F93" w:rsidRDefault="00477F93" w:rsidP="00477F93">
            <w:pPr>
              <w:spacing w:after="240"/>
              <w:ind w:left="2160" w:hanging="720"/>
            </w:pPr>
            <w:r w:rsidRPr="003161DC">
              <w:t>(ii)</w:t>
            </w:r>
            <w:r w:rsidRPr="003161DC">
              <w:tab/>
              <w:t xml:space="preserve">If the </w:t>
            </w:r>
            <w:r w:rsidR="00192EFF">
              <w:t>CLR</w:t>
            </w:r>
            <w:r w:rsidRPr="003161DC">
              <w:t xml:space="preserve"> SCED Base Point is not at HDL, set HDL to the lesser of Aggregated Resource Output + (60 minutes * </w:t>
            </w:r>
            <w:r>
              <w:t>Normal</w:t>
            </w:r>
            <w:r w:rsidRPr="003161DC">
              <w:t xml:space="preserve"> Ramp Rate</w:t>
            </w:r>
            <w:r>
              <w:t xml:space="preserve"> up</w:t>
            </w:r>
            <w:r w:rsidRPr="003161DC">
              <w:t>), or HSL.</w:t>
            </w:r>
          </w:p>
          <w:p w14:paraId="0D4712AC" w14:textId="4A2EC4E3" w:rsidR="00AE702A" w:rsidRPr="003161DC" w:rsidRDefault="00AE702A" w:rsidP="00AE702A">
            <w:pPr>
              <w:spacing w:before="240" w:after="240"/>
              <w:ind w:left="1440" w:hanging="720"/>
            </w:pPr>
            <w:r w:rsidRPr="003161DC">
              <w:t>(</w:t>
            </w:r>
            <w:r w:rsidR="00C34705">
              <w:t>f</w:t>
            </w:r>
            <w:r w:rsidRPr="003161DC">
              <w:t>)</w:t>
            </w:r>
            <w:r w:rsidRPr="003161DC">
              <w:tab/>
              <w:t xml:space="preserve">Add the deployed MW from Load Resources </w:t>
            </w:r>
            <w:r w:rsidR="001C2BC4">
              <w:t>that are not</w:t>
            </w:r>
            <w:r w:rsidRPr="003161DC">
              <w:t xml:space="preserve"> </w:t>
            </w:r>
            <w:r w:rsidR="00192EFF">
              <w:t>CLRs</w:t>
            </w:r>
            <w:r w:rsidRPr="003161DC">
              <w:t xml:space="preserve"> </w:t>
            </w:r>
            <w:r w:rsidR="001C2BC4">
              <w:t>and that are providing RRS</w:t>
            </w:r>
            <w:r w:rsidR="001C2BC4" w:rsidRPr="003161DC">
              <w:t xml:space="preserve"> </w:t>
            </w:r>
            <w:r w:rsidR="00F36EFF">
              <w:t xml:space="preserve">or ECRS </w:t>
            </w:r>
            <w:r w:rsidRPr="003161DC">
              <w:t xml:space="preserve">to GTBD linearly ramped over the </w:t>
            </w:r>
            <w:r w:rsidR="002F6E69">
              <w:t>ten</w:t>
            </w:r>
            <w:r w:rsidRPr="003161DC">
              <w:t>-minute ramp period</w:t>
            </w:r>
            <w:r w:rsidR="001C2BC4">
              <w:t xml:space="preserve"> and add the deployed MW from Load Resources that are not </w:t>
            </w:r>
            <w:r w:rsidR="00192EFF">
              <w:t>CLRs</w:t>
            </w:r>
            <w:r w:rsidR="001C2BC4">
              <w:t xml:space="preserve"> providing Non-Spin to GTBD linearly ramped over the 30-minute ramp period</w:t>
            </w:r>
            <w:r w:rsidRPr="003161DC">
              <w:t>.  The amount of deployed MW is calculated from the Resource telemetry and from applicable deployment instructions in Extensible Markup Language (XML) messages.</w:t>
            </w:r>
            <w:r w:rsidR="00847E53">
              <w:t xml:space="preserve">  </w:t>
            </w:r>
            <w:r w:rsidRPr="003161DC">
              <w:t xml:space="preserve">ERCOT shall generate a linear bid curve defined by a price/quantity pair of $300/MWh for the first MW of Load Resources deployed and a price/quantity pair of $700/MWh for the last MW of Load Resources deployed in each SCED execution.  After recall instruction, the </w:t>
            </w:r>
            <w:r w:rsidR="00F82958">
              <w:t xml:space="preserve">restoration period length and </w:t>
            </w:r>
            <w:r w:rsidRPr="003161DC">
              <w:t>amount of MW added to GTBD during the restoration period will be determined by validated telemetry</w:t>
            </w:r>
            <w:r w:rsidR="00F82958">
              <w:t xml:space="preserve"> and the type of Ancillary Service deployed from the Resource</w:t>
            </w:r>
            <w:r w:rsidRPr="003161DC">
              <w:t xml:space="preserve">.  The TAC shall review the validity of the prices for the bid curve at least annually.  </w:t>
            </w:r>
          </w:p>
          <w:p w14:paraId="16892BA0" w14:textId="5F597625" w:rsidR="005F63FE" w:rsidRPr="005F63FE" w:rsidRDefault="005F63FE" w:rsidP="005F63FE">
            <w:pPr>
              <w:spacing w:before="240" w:after="240"/>
              <w:ind w:left="1440" w:hanging="720"/>
              <w:rPr>
                <w:szCs w:val="24"/>
              </w:rPr>
            </w:pPr>
            <w:r w:rsidRPr="005F63FE">
              <w:rPr>
                <w:szCs w:val="24"/>
              </w:rPr>
              <w:lastRenderedPageBreak/>
              <w:t>(g)</w:t>
            </w:r>
            <w:r w:rsidRPr="003161DC">
              <w:tab/>
            </w:r>
            <w:r w:rsidRPr="005F63FE">
              <w:rPr>
                <w:szCs w:val="24"/>
              </w:rPr>
              <w:t>Add the deployed MW from VECL</w:t>
            </w:r>
            <w:r w:rsidRPr="005F63FE">
              <w:rPr>
                <w:bCs/>
              </w:rPr>
              <w:t xml:space="preserve"> </w:t>
            </w:r>
            <w:r w:rsidRPr="005F63FE">
              <w:rPr>
                <w:szCs w:val="24"/>
              </w:rPr>
              <w:t xml:space="preserve">to GTBD linearly ramped over a 30-minute ramp period.  The amount of deployed MW is calculated from the applicable deployment instructions in XML messages.  ERCOT shall generate a linear bid curve defined by a price/quantity pair of $300/MWh for the first MW of </w:t>
            </w:r>
            <w:r w:rsidRPr="005F63FE">
              <w:rPr>
                <w:bCs/>
              </w:rPr>
              <w:t>VECL</w:t>
            </w:r>
            <w:r w:rsidRPr="005F63FE">
              <w:rPr>
                <w:szCs w:val="24"/>
              </w:rPr>
              <w:t xml:space="preserve"> deployed and a price/quantity pair of $700/MWh for the last MW of </w:t>
            </w:r>
            <w:r w:rsidRPr="005F63FE">
              <w:rPr>
                <w:bCs/>
              </w:rPr>
              <w:t xml:space="preserve">VECL </w:t>
            </w:r>
            <w:r w:rsidRPr="005F63FE">
              <w:rPr>
                <w:szCs w:val="24"/>
              </w:rPr>
              <w:t>deployed in each SCED execution.  After recall instruction, GTBD shall be adjusted to reflect restoration on a linear curve over a one-hour restoration period.</w:t>
            </w:r>
          </w:p>
          <w:p w14:paraId="7AA41BB6" w14:textId="085DAFBD" w:rsidR="00AE702A" w:rsidRDefault="00C34705" w:rsidP="00AE702A">
            <w:pPr>
              <w:pStyle w:val="BodyTextNumbered"/>
              <w:ind w:left="1440"/>
            </w:pPr>
            <w:r>
              <w:t>(</w:t>
            </w:r>
            <w:r w:rsidR="005F63FE">
              <w:t>h</w:t>
            </w:r>
            <w:r w:rsidR="00AE702A" w:rsidRPr="003161DC">
              <w:t>)</w:t>
            </w:r>
            <w:r w:rsidR="00AE702A" w:rsidRPr="003161DC">
              <w:tab/>
            </w:r>
            <w:r w:rsidR="00AE702A">
              <w:t>Add the deployed MW from ERS to GTBD.  The amount of deployed MW is determined from the XML messages and ERS contracted capacities for the ERS Time Periods when ERS is deployed.  After recall, an approximation of the amount of un-restored ERS shall be used.  After ERCOT recalls each group, GTBD shall be adjusted to reflect restoration on a linear curve over the assumed restoration period (“RHours”).</w:t>
            </w:r>
          </w:p>
          <w:p w14:paraId="04C7FD0C" w14:textId="77777777" w:rsidR="00AE702A" w:rsidRDefault="00AE702A" w:rsidP="00AE702A">
            <w:pPr>
              <w:rPr>
                <w:iCs/>
              </w:rPr>
            </w:pPr>
            <w:r>
              <w:rPr>
                <w:iCs/>
              </w:rPr>
              <w:t>The above parameter is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AE702A" w:rsidRPr="00BE4766" w14:paraId="2B3D714B" w14:textId="77777777" w:rsidTr="00AE702A">
              <w:trPr>
                <w:trHeight w:val="351"/>
                <w:tblHeader/>
              </w:trPr>
              <w:tc>
                <w:tcPr>
                  <w:tcW w:w="1448" w:type="dxa"/>
                </w:tcPr>
                <w:p w14:paraId="07436671" w14:textId="77777777" w:rsidR="00AE702A" w:rsidRPr="00BE4766" w:rsidRDefault="00AE702A" w:rsidP="00AE702A">
                  <w:pPr>
                    <w:pStyle w:val="TableHead"/>
                  </w:pPr>
                  <w:r>
                    <w:t>Parameter</w:t>
                  </w:r>
                </w:p>
              </w:tc>
              <w:tc>
                <w:tcPr>
                  <w:tcW w:w="1702" w:type="dxa"/>
                </w:tcPr>
                <w:p w14:paraId="3FBDAF8E" w14:textId="77777777" w:rsidR="00AE702A" w:rsidRPr="00BE4766" w:rsidRDefault="00AE702A" w:rsidP="00AE702A">
                  <w:pPr>
                    <w:pStyle w:val="TableHead"/>
                  </w:pPr>
                  <w:r w:rsidRPr="00BE4766">
                    <w:t>Unit</w:t>
                  </w:r>
                </w:p>
              </w:tc>
              <w:tc>
                <w:tcPr>
                  <w:tcW w:w="6120" w:type="dxa"/>
                </w:tcPr>
                <w:p w14:paraId="6B049E65" w14:textId="77777777" w:rsidR="00AE702A" w:rsidRPr="00BE4766" w:rsidRDefault="00AE702A" w:rsidP="00AE702A">
                  <w:pPr>
                    <w:pStyle w:val="TableHead"/>
                  </w:pPr>
                  <w:r>
                    <w:t>Current Value*</w:t>
                  </w:r>
                </w:p>
              </w:tc>
            </w:tr>
            <w:tr w:rsidR="00AE702A" w:rsidRPr="00BE4766" w14:paraId="0EE1F32A" w14:textId="77777777" w:rsidTr="00AE702A">
              <w:trPr>
                <w:trHeight w:val="519"/>
              </w:trPr>
              <w:tc>
                <w:tcPr>
                  <w:tcW w:w="1448" w:type="dxa"/>
                </w:tcPr>
                <w:p w14:paraId="6F301399" w14:textId="77777777" w:rsidR="00AE702A" w:rsidRPr="008571DE" w:rsidRDefault="00AE702A" w:rsidP="00AE702A">
                  <w:pPr>
                    <w:pStyle w:val="TableBody"/>
                  </w:pPr>
                  <w:r>
                    <w:t>RH</w:t>
                  </w:r>
                  <w:r w:rsidRPr="008571DE">
                    <w:t>ours</w:t>
                  </w:r>
                </w:p>
              </w:tc>
              <w:tc>
                <w:tcPr>
                  <w:tcW w:w="1702" w:type="dxa"/>
                </w:tcPr>
                <w:p w14:paraId="226CCE1E" w14:textId="77777777" w:rsidR="00AE702A" w:rsidRPr="004F59D3" w:rsidRDefault="00AE702A" w:rsidP="00AE702A">
                  <w:pPr>
                    <w:pStyle w:val="TableBody"/>
                  </w:pPr>
                  <w:r>
                    <w:t>Hours</w:t>
                  </w:r>
                </w:p>
              </w:tc>
              <w:tc>
                <w:tcPr>
                  <w:tcW w:w="6120" w:type="dxa"/>
                </w:tcPr>
                <w:p w14:paraId="432C205A" w14:textId="77777777" w:rsidR="00AE702A" w:rsidRPr="00484E48" w:rsidRDefault="00AE702A" w:rsidP="00AE702A">
                  <w:pPr>
                    <w:pStyle w:val="TableBody"/>
                  </w:pPr>
                  <w:r>
                    <w:t>4.5</w:t>
                  </w:r>
                </w:p>
              </w:tc>
            </w:tr>
            <w:tr w:rsidR="00AE702A" w:rsidRPr="00BE4766" w14:paraId="1318A65D" w14:textId="77777777" w:rsidTr="00AE702A">
              <w:trPr>
                <w:trHeight w:val="519"/>
              </w:trPr>
              <w:tc>
                <w:tcPr>
                  <w:tcW w:w="9270" w:type="dxa"/>
                  <w:gridSpan w:val="3"/>
                </w:tcPr>
                <w:p w14:paraId="0D3A5D44" w14:textId="77777777" w:rsidR="00AE702A" w:rsidRDefault="00AE702A" w:rsidP="00AE702A">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1C4E7A6E" w14:textId="27EAF2FF" w:rsidR="00AE702A" w:rsidRPr="003161DC" w:rsidRDefault="00C34705" w:rsidP="00625EF6">
            <w:pPr>
              <w:spacing w:before="240" w:after="240"/>
              <w:ind w:left="1440" w:hanging="720"/>
            </w:pPr>
            <w:r>
              <w:t>(</w:t>
            </w:r>
            <w:r w:rsidR="005F63FE">
              <w:t>i</w:t>
            </w:r>
            <w:r w:rsidR="00AE702A" w:rsidRPr="003161DC">
              <w:t>)</w:t>
            </w:r>
            <w:r w:rsidR="00AE702A" w:rsidRPr="003161DC">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09BB7D9E" w14:textId="47762E74" w:rsidR="00AE702A" w:rsidRPr="003161DC" w:rsidRDefault="00C34705" w:rsidP="00AE702A">
            <w:pPr>
              <w:spacing w:after="240"/>
              <w:ind w:left="1440" w:hanging="720"/>
              <w:rPr>
                <w:lang w:eastAsia="x-none"/>
              </w:rPr>
            </w:pPr>
            <w:r>
              <w:rPr>
                <w:lang w:val="x-none" w:eastAsia="x-none"/>
              </w:rPr>
              <w:t>(</w:t>
            </w:r>
            <w:r w:rsidR="005F63FE">
              <w:rPr>
                <w:lang w:val="x-none" w:eastAsia="x-none"/>
              </w:rPr>
              <w:t>j</w:t>
            </w:r>
            <w:r w:rsidR="00AE702A" w:rsidRPr="003161DC">
              <w:rPr>
                <w:lang w:val="x-none" w:eastAsia="x-none"/>
              </w:rPr>
              <w:t>)</w:t>
            </w:r>
            <w:r w:rsidR="00AE702A" w:rsidRPr="003161DC">
              <w:rPr>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sidR="00AE702A" w:rsidRPr="003161DC">
              <w:rPr>
                <w:lang w:eastAsia="x-none"/>
              </w:rPr>
              <w:t xml:space="preserve">  The MW added to GTBD associated with any individual DC Tie shall not exceed the higher of DC Tie advisory limit for exports on that tie as of 06</w:t>
            </w:r>
            <w:r w:rsidR="00AE702A" w:rsidRPr="003161DC">
              <w:rPr>
                <w:lang w:val="x-none" w:eastAsia="x-none"/>
              </w:rPr>
              <w:t>00 in the Day-Ahead</w:t>
            </w:r>
            <w:r w:rsidR="00AE702A" w:rsidRPr="003161DC">
              <w:rPr>
                <w:lang w:eastAsia="x-none"/>
              </w:rPr>
              <w:t xml:space="preserve"> or subsequent advisory export limit minus the aggregate export on the DC Tie that remained scheduled following the Dispatch Instruction from the ERCOT Operator.</w:t>
            </w:r>
          </w:p>
          <w:p w14:paraId="78CEDDF4" w14:textId="726FC680" w:rsidR="00AE702A" w:rsidRPr="003161DC" w:rsidRDefault="00C34705" w:rsidP="00AE702A">
            <w:pPr>
              <w:spacing w:after="240"/>
              <w:ind w:left="1440" w:hanging="720"/>
            </w:pPr>
            <w:r>
              <w:t>(</w:t>
            </w:r>
            <w:r w:rsidR="005F63FE">
              <w:t>k</w:t>
            </w:r>
            <w:r w:rsidR="00AE702A" w:rsidRPr="003161DC">
              <w:t>)</w:t>
            </w:r>
            <w:r w:rsidR="00AE702A" w:rsidRPr="003161DC">
              <w:tab/>
              <w:t xml:space="preserve">Subtract the MW from DC Tie exports to address emergency conditions in the receiving electric grid from GTBD.  The amount of MW is determined from the </w:t>
            </w:r>
            <w:r w:rsidR="00AE702A" w:rsidRPr="003161DC">
              <w:lastRenderedPageBreak/>
              <w:t xml:space="preserve">Dispatch Instruction and should continue over the duration of time specified by the receiving grid operator.   </w:t>
            </w:r>
          </w:p>
          <w:p w14:paraId="7459D7F0" w14:textId="0A61D179" w:rsidR="00AE702A" w:rsidRPr="003161DC" w:rsidRDefault="00C34705" w:rsidP="00AE702A">
            <w:pPr>
              <w:spacing w:before="240" w:after="240"/>
              <w:ind w:left="1440" w:hanging="720"/>
            </w:pPr>
            <w:r>
              <w:t>(</w:t>
            </w:r>
            <w:r w:rsidR="005F63FE">
              <w:t>l</w:t>
            </w:r>
            <w:r w:rsidR="00AE702A" w:rsidRPr="003161DC">
              <w:t>)</w:t>
            </w:r>
            <w:r w:rsidR="00AE702A" w:rsidRPr="003161DC">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p w14:paraId="42BCC7C8" w14:textId="51DC723D" w:rsidR="00AE702A" w:rsidRPr="003161DC" w:rsidRDefault="00C34705" w:rsidP="00AE702A">
            <w:pPr>
              <w:spacing w:before="240" w:after="240"/>
              <w:ind w:left="1440" w:hanging="720"/>
            </w:pPr>
            <w:r>
              <w:t>(</w:t>
            </w:r>
            <w:r w:rsidR="005F63FE">
              <w:t>m</w:t>
            </w:r>
            <w:r w:rsidR="00AE702A" w:rsidRPr="003161DC">
              <w:t>)</w:t>
            </w:r>
            <w:r w:rsidR="00AE702A" w:rsidRPr="003161DC">
              <w:tab/>
              <w:t>Add the MW from energy delivered to ERCOT through registered BLTs during an EEA to GTBD.  The amount of MW is determined from the Dispatch Instruction and should continue over the duration of time specified by the ERCOT Operator.</w:t>
            </w:r>
          </w:p>
          <w:p w14:paraId="5F49194C" w14:textId="7FFD0F8C" w:rsidR="00AE702A" w:rsidRPr="003161DC" w:rsidRDefault="00C34705" w:rsidP="00AE702A">
            <w:pPr>
              <w:spacing w:after="240"/>
              <w:ind w:left="1440" w:hanging="720"/>
            </w:pPr>
            <w:r>
              <w:t>(</w:t>
            </w:r>
            <w:r w:rsidR="005F63FE">
              <w:t>n</w:t>
            </w:r>
            <w:r w:rsidR="00AE702A" w:rsidRPr="003161DC">
              <w:t>)</w:t>
            </w:r>
            <w:r w:rsidR="00AE702A" w:rsidRPr="003161DC">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p w14:paraId="7214DE1A" w14:textId="788B06D7" w:rsidR="00AE702A" w:rsidRDefault="00C34705" w:rsidP="00AE702A">
            <w:pPr>
              <w:spacing w:after="240"/>
              <w:ind w:left="1440" w:hanging="720"/>
            </w:pPr>
            <w:r>
              <w:t>(</w:t>
            </w:r>
            <w:r w:rsidR="005F63FE">
              <w:t>o</w:t>
            </w:r>
            <w:r w:rsidR="00AE702A">
              <w:t>)</w:t>
            </w:r>
            <w:r w:rsidR="00AE702A">
              <w:tab/>
              <w:t>Add the deployed MWs from TDSP standard offer Load management programs to GTBD, if ERCOT instructs TDSPs to deploy their standard offer Load management programs.  The amount of deployed MW is the value ERCOT provided for all TDSP standard offer Load management programs in the most current May Report on Capacity, Demand and Reserves in the ERCOT Region</w:t>
            </w:r>
            <w:r w:rsidR="00F35A4E">
              <w:t xml:space="preserve"> (CDR)</w:t>
            </w:r>
            <w:r w:rsidR="00AE702A">
              <w:t xml:space="preserve">, unless modified as specified in this paragraph.  If ERCOT is informed that all or a portion of a TDSP’s standard offer Load management program has been fully exhausted, or has been expanded as the result of a Public Utility Commission of Texas (PUCT) proceeding, ERCOT will remove the associated MW value of any exhausted capacity from the amount of deployed MW or, in the case of an expansion, ERCOT will request an updated MW value from the relevant TDSPs to use in place of the May </w:t>
            </w:r>
            <w:r w:rsidR="00F35A4E">
              <w:t>CDR</w:t>
            </w:r>
            <w:r w:rsidR="00AE702A">
              <w:t xml:space="preserve"> in the ERCOT Region value for that year.  The initial value ERCOT will use for deployed MW under this paragraph for each calendar year, as well as any subsequent changes to this value, will be communicated to Market Participants in a Market Notice.  After recall, an approximation of the amount of un-restored TDSP standard offer Load management programs shall be used.  GTBD shall be adjusted to reflect restoration on a linear curve over the assumed restoration peri</w:t>
            </w:r>
            <w:r>
              <w:t>od (“RHours”) defined by item (</w:t>
            </w:r>
            <w:r w:rsidR="005F63FE">
              <w:t>h</w:t>
            </w:r>
            <w:r w:rsidR="00AE702A">
              <w:t xml:space="preserve">) above. </w:t>
            </w:r>
          </w:p>
          <w:p w14:paraId="3A145FB8" w14:textId="2B76EE6E" w:rsidR="00AE702A" w:rsidRPr="003161DC" w:rsidRDefault="00C34705" w:rsidP="00AE702A">
            <w:pPr>
              <w:spacing w:before="240" w:after="240"/>
              <w:ind w:left="1440" w:hanging="720"/>
            </w:pPr>
            <w:r>
              <w:lastRenderedPageBreak/>
              <w:t>(</w:t>
            </w:r>
            <w:r w:rsidR="005F63FE">
              <w:t>p</w:t>
            </w:r>
            <w:r w:rsidR="00AE702A" w:rsidRPr="003161DC">
              <w:t>)</w:t>
            </w:r>
            <w:r w:rsidR="00AE702A" w:rsidRPr="003161DC">
              <w:tab/>
              <w:t>Perform a SCED with changes to th</w:t>
            </w:r>
            <w:r>
              <w:t>e inputs in items (a) through</w:t>
            </w:r>
            <w:r w:rsidR="00201765">
              <w:t xml:space="preserve"> (</w:t>
            </w:r>
            <w:r w:rsidR="005F63FE">
              <w:t>n</w:t>
            </w:r>
            <w:r w:rsidR="00201765">
              <w:t xml:space="preserve">) </w:t>
            </w:r>
            <w:r w:rsidR="00AE702A" w:rsidRPr="003161DC">
              <w:t>above, considering only Competitive Constraints and the non-mitigated Energy Offer Curves.</w:t>
            </w:r>
          </w:p>
          <w:p w14:paraId="3AA8E4D2" w14:textId="625B8382" w:rsidR="00AE702A" w:rsidRPr="003161DC" w:rsidRDefault="00C34705" w:rsidP="00AE702A">
            <w:pPr>
              <w:spacing w:after="240"/>
              <w:ind w:left="1440" w:hanging="720"/>
            </w:pPr>
            <w:r>
              <w:t>(</w:t>
            </w:r>
            <w:r w:rsidR="005F63FE">
              <w:t>q</w:t>
            </w:r>
            <w:r w:rsidR="00AE702A" w:rsidRPr="003161DC">
              <w:t>)</w:t>
            </w:r>
            <w:r w:rsidR="00AE702A" w:rsidRPr="003161DC">
              <w:tab/>
              <w:t>Perform mitigation on the submitted Energy Offer Curves using the LMPs from the previous step as the reference LMP.</w:t>
            </w:r>
          </w:p>
          <w:p w14:paraId="7C5F10FF" w14:textId="6BE2F5A0" w:rsidR="00AE702A" w:rsidRPr="003161DC" w:rsidRDefault="00C34705" w:rsidP="00AE702A">
            <w:pPr>
              <w:spacing w:after="240"/>
              <w:ind w:left="1440" w:hanging="720"/>
            </w:pPr>
            <w:r>
              <w:t>(</w:t>
            </w:r>
            <w:r w:rsidR="005F63FE">
              <w:t>r</w:t>
            </w:r>
            <w:r w:rsidR="00AE702A" w:rsidRPr="003161DC">
              <w:t>)</w:t>
            </w:r>
            <w:r w:rsidR="00AE702A" w:rsidRPr="003161DC">
              <w:tab/>
              <w:t>Perform a SCED with the changes to th</w:t>
            </w:r>
            <w:r w:rsidR="00625EF6">
              <w:t xml:space="preserve">e inputs in items (a) through </w:t>
            </w:r>
            <w:r w:rsidR="00201765">
              <w:t>(</w:t>
            </w:r>
            <w:r w:rsidR="005F63FE">
              <w:t>n</w:t>
            </w:r>
            <w:r w:rsidR="00201765" w:rsidRPr="003161DC">
              <w:t>)</w:t>
            </w:r>
            <w:r w:rsidR="00AE702A" w:rsidRPr="003161DC">
              <w:t xml:space="preserve"> above, considering both Competitive and Non-Competitive Constraints and the mitigated Energy </w:t>
            </w:r>
            <w:r w:rsidR="00847E53">
              <w:t>O</w:t>
            </w:r>
            <w:r w:rsidR="00AE702A" w:rsidRPr="003161DC">
              <w:t>ffer Curves.</w:t>
            </w:r>
          </w:p>
          <w:p w14:paraId="661BF621" w14:textId="51C99989" w:rsidR="00AE702A" w:rsidRPr="003161DC" w:rsidRDefault="00C34705" w:rsidP="00AE702A">
            <w:pPr>
              <w:spacing w:before="240" w:after="240"/>
              <w:ind w:left="1440" w:hanging="720"/>
            </w:pPr>
            <w:r>
              <w:t>(</w:t>
            </w:r>
            <w:r w:rsidR="005F63FE">
              <w:t>s</w:t>
            </w:r>
            <w:r w:rsidR="00AE702A" w:rsidRPr="003161DC">
              <w:t>)</w:t>
            </w:r>
            <w:r w:rsidR="00AE702A" w:rsidRPr="003161DC">
              <w:tab/>
            </w:r>
            <w:r w:rsidR="00AE702A">
              <w:t>The Real-Time Reliability Deployment Price Adder for Energy is equal to</w:t>
            </w:r>
            <w:r w:rsidR="00AE702A" w:rsidRPr="003161DC">
              <w:t xml:space="preserve"> the positive difference between the System Lambda from</w:t>
            </w:r>
            <w:r w:rsidR="00201765" w:rsidRPr="003161DC">
              <w:t xml:space="preserve"> </w:t>
            </w:r>
            <w:r w:rsidR="00201765">
              <w:t>item (</w:t>
            </w:r>
            <w:r w:rsidR="005F63FE">
              <w:t>r</w:t>
            </w:r>
            <w:r w:rsidR="00201765" w:rsidRPr="003161DC">
              <w:t xml:space="preserve">) </w:t>
            </w:r>
            <w:r w:rsidR="00AE702A" w:rsidRPr="003161DC">
              <w:t>above and the System Lambda of the second step in the two-step SCED process described in paragraph (10)(b) of Section 6.5.7.3, Security Constrained Economic Dispatch</w:t>
            </w:r>
            <w:r w:rsidR="00BD19E2" w:rsidRPr="00D476E3">
              <w:t>, except when ERCOT is directing firm Load shed during EEA Level 3</w:t>
            </w:r>
            <w:r w:rsidR="00AE702A" w:rsidRPr="003161DC">
              <w:t>.</w:t>
            </w:r>
            <w:r w:rsidR="00BD19E2">
              <w:t xml:space="preserve">  </w:t>
            </w:r>
            <w:r w:rsidR="00BD19E2" w:rsidRPr="00D476E3">
              <w:t>When ERCOT is directing firm Load shed during EEA Level 3 to either maintain sufficient PRC or stabilize grid frequency, as described in paragraph (3) of Section 6.5.9.4.2, the Real-Time Reliability Deployment Price Adder for Energy is the VOLL used to determine the Ancillary Service Demand Curves (ASDCs) for the Real-Time Market (RTM) minus the System Lambda of the second step in the two-step SCED process described in paragraph (10)(b) of Section 6.5.7.3.</w:t>
            </w:r>
          </w:p>
          <w:p w14:paraId="4D0D5D39" w14:textId="6F551C1C" w:rsidR="00AE702A" w:rsidRPr="00AE702A" w:rsidRDefault="00C34705" w:rsidP="00201765">
            <w:pPr>
              <w:spacing w:after="240"/>
              <w:ind w:left="1440" w:hanging="720"/>
            </w:pPr>
            <w:r>
              <w:t>(</w:t>
            </w:r>
            <w:r w:rsidR="005F63FE">
              <w:t>t</w:t>
            </w:r>
            <w:r w:rsidR="00AE702A" w:rsidRPr="003161DC">
              <w:t>)</w:t>
            </w:r>
            <w:r w:rsidR="00AE702A" w:rsidRPr="003161DC">
              <w:tab/>
            </w:r>
            <w:r w:rsidR="00AE702A">
              <w:t>For each individual Ancillary Service, the Real-Time Reliability Deployment Price Adder for Ancillary Service is equal to the positive difference between the MCPC for t</w:t>
            </w:r>
            <w:r w:rsidR="00625EF6">
              <w:t>hat Ancillary Service from</w:t>
            </w:r>
            <w:r w:rsidR="00201765">
              <w:t xml:space="preserve"> item (</w:t>
            </w:r>
            <w:r w:rsidR="005F63FE">
              <w:t>r</w:t>
            </w:r>
            <w:r w:rsidR="00201765">
              <w:t xml:space="preserve">) </w:t>
            </w:r>
            <w:r w:rsidR="00AE702A">
              <w:t>above and the MCPC for that Ancillary Service</w:t>
            </w:r>
            <w:r w:rsidR="00BD19E2" w:rsidRPr="00D476E3">
              <w:t>, except when ERCOT is directing firm Load shed during EEA Level 3.  When ERCOT is directing firm Load shed during EEA Level 3 to</w:t>
            </w:r>
            <w:r w:rsidR="00BD19E2" w:rsidRPr="00D476E3">
              <w:rPr>
                <w:highlight w:val="yellow"/>
              </w:rPr>
              <w:t xml:space="preserve"> </w:t>
            </w:r>
            <w:r w:rsidR="00BD19E2" w:rsidRPr="00D476E3">
              <w:t>either maintain sufficient PRC or stabilize grid frequency, as described in paragraph (3) of Section 6.5.9.4.2, the Real-Time Reliability Deployment Price Adder for Ancillary Service is the maximum value on the ASDC for the Ancillary Service minus the MCPC for that Ancillary Service</w:t>
            </w:r>
            <w:r w:rsidR="00AE702A">
              <w:t xml:space="preserve">. </w:t>
            </w:r>
          </w:p>
        </w:tc>
      </w:tr>
    </w:tbl>
    <w:p w14:paraId="1C75184F" w14:textId="77777777" w:rsidR="001F04FD" w:rsidRDefault="001F04FD" w:rsidP="001F04FD">
      <w:pPr>
        <w:pStyle w:val="H4"/>
        <w:spacing w:before="480"/>
        <w:ind w:left="1267" w:hanging="1267"/>
      </w:pPr>
      <w:bookmarkStart w:id="1191" w:name="_Toc204411614"/>
      <w:r>
        <w:lastRenderedPageBreak/>
        <w:t>6.5.7.4</w:t>
      </w:r>
      <w:r>
        <w:tab/>
        <w:t>Base Points</w:t>
      </w:r>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91"/>
    </w:p>
    <w:p w14:paraId="53324552" w14:textId="0C9E89CA" w:rsidR="001F04FD" w:rsidRDefault="001F04FD" w:rsidP="001F04FD">
      <w:pPr>
        <w:pStyle w:val="BodyTextNumbered"/>
      </w:pPr>
      <w:r>
        <w:t>(1)</w:t>
      </w:r>
      <w:r>
        <w:tab/>
        <w:t xml:space="preserve">ERCOT shall issue a Base Point for each On-Line Generation Resource and each On-Line </w:t>
      </w:r>
      <w:r w:rsidR="00192EFF">
        <w:t>CLR</w:t>
      </w:r>
      <w:r>
        <w:t xml:space="preserve"> on completion of each SCED execution.  The Base Point set by SCED must observe a Generation Resource’s and </w:t>
      </w:r>
      <w:r w:rsidR="00192EFF">
        <w:t>CLR</w:t>
      </w:r>
      <w:r>
        <w:t>’s HDL and LDL.  Base Points are automatically superseded on receipt of a new Base Point from ERCOT regardless of the status of any current ramping activity of a Resource.  ERCOT shall provide each Base Point using Dispatch Instructions issued over Inter-Control Center Communications Protocol (ICCP) data link to the QSE representing each Resource that include the following information: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80E54" w14:paraId="605E0377" w14:textId="77777777" w:rsidTr="004E6E12">
        <w:trPr>
          <w:trHeight w:val="206"/>
        </w:trPr>
        <w:tc>
          <w:tcPr>
            <w:tcW w:w="9350" w:type="dxa"/>
            <w:shd w:val="pct12" w:color="auto" w:fill="auto"/>
          </w:tcPr>
          <w:p w14:paraId="7D109CFC" w14:textId="2FA57F83" w:rsidR="00B80E54" w:rsidRDefault="00B80E54" w:rsidP="004E6E12">
            <w:pPr>
              <w:pStyle w:val="Instructions"/>
              <w:spacing w:before="120"/>
            </w:pPr>
            <w:r>
              <w:lastRenderedPageBreak/>
              <w:t>[NPRR1246:  Replace paragraph (1) above with the following upon system implementation of the Real-Time Co-Optimization (RTC) project:]</w:t>
            </w:r>
          </w:p>
          <w:p w14:paraId="01637A78" w14:textId="6D4556F7" w:rsidR="00B80E54" w:rsidRPr="00B80E54" w:rsidRDefault="00B80E54" w:rsidP="00B80E54">
            <w:pPr>
              <w:spacing w:after="240"/>
              <w:ind w:left="720" w:hanging="720"/>
            </w:pPr>
            <w:r w:rsidRPr="0000204A">
              <w:t>(1)</w:t>
            </w:r>
            <w:r w:rsidRPr="0000204A">
              <w:tab/>
              <w:t>ERCOT shall issue a Base Point for each On-Line Generation Resource</w:t>
            </w:r>
            <w:r>
              <w:t>, each On-Line ESR,</w:t>
            </w:r>
            <w:r w:rsidRPr="0000204A">
              <w:t xml:space="preserve"> and each On-Line </w:t>
            </w:r>
            <w:r w:rsidR="00C67FF2">
              <w:t>CLR</w:t>
            </w:r>
            <w:r w:rsidRPr="0000204A">
              <w:t xml:space="preserve"> on completion of each SCED execution.  The Base Point set by SCED must observe a Resource’s HDL and LDL.  Base Points are automatically superseded on receipt of a new Base Point from ERCOT regardless of the status of any current ramping activity of a Resource.  ERCOT shall provide each Base Point using Dispatch Instructions issued over Inter-Control Center Communications Protocol (ICCP) data link to the QSE representing each Resource that include the following information:</w:t>
            </w:r>
          </w:p>
        </w:tc>
      </w:tr>
    </w:tbl>
    <w:p w14:paraId="4A9A4496" w14:textId="08A73DC9" w:rsidR="001F04FD" w:rsidRDefault="001F04FD" w:rsidP="00DD0A69">
      <w:pPr>
        <w:pStyle w:val="List"/>
        <w:spacing w:before="240"/>
      </w:pPr>
      <w:r>
        <w:t>(a)</w:t>
      </w:r>
      <w:r>
        <w:tab/>
        <w:t>Resource identifier that is the subject of the Dispatch Instruction;</w:t>
      </w:r>
    </w:p>
    <w:p w14:paraId="1B461A9E" w14:textId="2C9F4C8B" w:rsidR="001F04FD" w:rsidRDefault="001F04FD" w:rsidP="001F04FD">
      <w:pPr>
        <w:pStyle w:val="List"/>
      </w:pPr>
      <w:r>
        <w:t>(b)</w:t>
      </w:r>
      <w:r>
        <w:tab/>
        <w:t xml:space="preserve">MW output for Generation Resource and MW consumption for </w:t>
      </w:r>
      <w:r w:rsidR="00192EFF">
        <w:t>CLR</w:t>
      </w:r>
      <w: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80E54" w14:paraId="740D9CF9" w14:textId="77777777" w:rsidTr="004E6E12">
        <w:trPr>
          <w:trHeight w:val="206"/>
        </w:trPr>
        <w:tc>
          <w:tcPr>
            <w:tcW w:w="9350" w:type="dxa"/>
            <w:shd w:val="pct12" w:color="auto" w:fill="auto"/>
          </w:tcPr>
          <w:p w14:paraId="5EBFE55B" w14:textId="34EF55AA" w:rsidR="00B80E54" w:rsidRDefault="00B80E54" w:rsidP="004E6E12">
            <w:pPr>
              <w:pStyle w:val="Instructions"/>
              <w:spacing w:before="120"/>
            </w:pPr>
            <w:r>
              <w:t>[NPRR1246:  Replace paragraph (b) above with the following upon system implementation of the Real-Time Co-Optimization (RTC) project:]</w:t>
            </w:r>
          </w:p>
          <w:p w14:paraId="02CEAE0D" w14:textId="58094BF5" w:rsidR="00B80E54" w:rsidRPr="00B80E54" w:rsidRDefault="00B80E54" w:rsidP="00B80E54">
            <w:pPr>
              <w:spacing w:after="240"/>
              <w:ind w:left="1440" w:hanging="720"/>
            </w:pPr>
            <w:r w:rsidRPr="0000204A">
              <w:t>(b)</w:t>
            </w:r>
            <w:r w:rsidRPr="0000204A">
              <w:tab/>
              <w:t>MW output for Generation Resource</w:t>
            </w:r>
            <w:r>
              <w:t>, MW output or MW consumption for ESR,</w:t>
            </w:r>
            <w:r w:rsidRPr="0000204A">
              <w:t xml:space="preserve"> and MW consumption for </w:t>
            </w:r>
            <w:r w:rsidR="000E795F">
              <w:t>CLR</w:t>
            </w:r>
            <w:r w:rsidRPr="0000204A">
              <w:t>;</w:t>
            </w:r>
          </w:p>
        </w:tc>
      </w:tr>
    </w:tbl>
    <w:p w14:paraId="6B77D6FE" w14:textId="2B0D766E" w:rsidR="001F04FD" w:rsidRDefault="001F04FD" w:rsidP="00DD0A69">
      <w:pPr>
        <w:pStyle w:val="List"/>
        <w:spacing w:before="240"/>
      </w:pPr>
      <w:r>
        <w:t>(c)</w:t>
      </w:r>
      <w:r>
        <w:tab/>
        <w:t xml:space="preserve">Time of the Dispatch Instruction; </w:t>
      </w:r>
    </w:p>
    <w:p w14:paraId="23BCF93A" w14:textId="4DF7B4AE" w:rsidR="00C4333E" w:rsidRDefault="001F04FD" w:rsidP="001F04FD">
      <w:pPr>
        <w:pStyle w:val="List"/>
      </w:pPr>
      <w:r w:rsidRPr="006E1106">
        <w:t>(d)</w:t>
      </w:r>
      <w:r w:rsidRPr="006E1106">
        <w:tab/>
        <w:t>Flag indicating SCED has dispatched a Generation Resource</w:t>
      </w:r>
      <w:r>
        <w:t xml:space="preserve"> or </w:t>
      </w:r>
      <w:r w:rsidR="00192EFF">
        <w:t>CLR</w:t>
      </w:r>
      <w:r w:rsidRPr="006E1106">
        <w:t xml:space="preserve"> below HDL used by SCED</w:t>
      </w:r>
      <w:r w:rsidR="0030702F">
        <w:t xml:space="preserve"> or an IRR has been instructed not to exceed its Base Point</w:t>
      </w:r>
      <w:r w:rsidRPr="006E1106">
        <w:t xml:space="preserv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80E54" w14:paraId="47ED08A1" w14:textId="77777777" w:rsidTr="00B80E54">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25DE53E6" w14:textId="12CBC394" w:rsidR="00B80E54" w:rsidRDefault="00B80E54" w:rsidP="004E6E12">
            <w:pPr>
              <w:pStyle w:val="Instructions"/>
              <w:spacing w:before="120"/>
            </w:pPr>
            <w:r>
              <w:t>[NPRR1246:  Replace paragraph (d) above with the following upon system implementation of the Real-Time Co-Optimization (RTC) project:]</w:t>
            </w:r>
          </w:p>
          <w:p w14:paraId="5D45557A" w14:textId="2C8EAEF0" w:rsidR="00B80E54" w:rsidRPr="00B80E54" w:rsidRDefault="00B80E54" w:rsidP="00B80E54">
            <w:pPr>
              <w:spacing w:after="240"/>
              <w:ind w:left="1440" w:hanging="720"/>
            </w:pPr>
            <w:r w:rsidRPr="0000204A">
              <w:t>(d)</w:t>
            </w:r>
            <w:r w:rsidRPr="0000204A">
              <w:tab/>
              <w:t>Flag indicating SCED has dispatched a Generation Resource</w:t>
            </w:r>
            <w:r>
              <w:t>, ESR,</w:t>
            </w:r>
            <w:r w:rsidRPr="0000204A">
              <w:t xml:space="preserve"> or </w:t>
            </w:r>
            <w:r w:rsidR="00C67FF2">
              <w:t>CLR</w:t>
            </w:r>
            <w:r w:rsidRPr="0000204A">
              <w:t xml:space="preserve"> below HDL used by SCED or an IRR has been instructed not to exceed its Base Point;</w:t>
            </w:r>
          </w:p>
        </w:tc>
      </w:tr>
    </w:tbl>
    <w:p w14:paraId="49392ED6" w14:textId="77777777" w:rsidR="00B80E54" w:rsidRDefault="00B80E54"/>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F04FD" w14:paraId="39D726A1" w14:textId="77777777" w:rsidTr="00075DEB">
        <w:trPr>
          <w:trHeight w:val="206"/>
        </w:trPr>
        <w:tc>
          <w:tcPr>
            <w:tcW w:w="9350" w:type="dxa"/>
            <w:shd w:val="pct12" w:color="auto" w:fill="auto"/>
          </w:tcPr>
          <w:p w14:paraId="13D93ED0" w14:textId="491AD980" w:rsidR="001F04FD" w:rsidRDefault="001F04FD" w:rsidP="00AC4DEE">
            <w:pPr>
              <w:pStyle w:val="Instructions"/>
              <w:spacing w:before="120"/>
            </w:pPr>
            <w:r>
              <w:t>[NPRR285</w:t>
            </w:r>
            <w:r w:rsidR="00B80E54">
              <w:t xml:space="preserve"> and NPRR1246</w:t>
            </w:r>
            <w:r>
              <w:t xml:space="preserve">: </w:t>
            </w:r>
            <w:r w:rsidR="00C4333E">
              <w:t xml:space="preserve"> </w:t>
            </w:r>
            <w:r>
              <w:t xml:space="preserve">Insert </w:t>
            </w:r>
            <w:r w:rsidR="00B80E54">
              <w:t xml:space="preserve">applicable portions of </w:t>
            </w:r>
            <w:r>
              <w:t>paragraph (e) below upon system implementation</w:t>
            </w:r>
            <w:r w:rsidR="00B80E54">
              <w:t xml:space="preserve"> for NPRR285; or upon system implementation of the Real-Time Co-Optimization (RTC) project for NPRR1246,</w:t>
            </w:r>
            <w:r>
              <w:t xml:space="preserve"> and renumber accordingly:]</w:t>
            </w:r>
          </w:p>
          <w:p w14:paraId="104B7513" w14:textId="64EB721F" w:rsidR="001F04FD" w:rsidRPr="009D5C8B" w:rsidRDefault="001F04FD" w:rsidP="00AC4DEE">
            <w:pPr>
              <w:pStyle w:val="List"/>
              <w:rPr>
                <w:b/>
                <w:i/>
              </w:rPr>
            </w:pPr>
            <w:r w:rsidRPr="00503D00">
              <w:t>(e)</w:t>
            </w:r>
            <w:r w:rsidRPr="00503D00">
              <w:tab/>
              <w:t xml:space="preserve">Flag indicating SCED has dispatched a Generation Resource </w:t>
            </w:r>
            <w:r w:rsidR="00B80E54">
              <w:t xml:space="preserve">or ESR </w:t>
            </w:r>
            <w:r w:rsidRPr="00503D00">
              <w:t>away from the Output Schedule submitted for that Resource;</w:t>
            </w:r>
          </w:p>
        </w:tc>
      </w:tr>
    </w:tbl>
    <w:p w14:paraId="0DF1C855" w14:textId="77777777" w:rsidR="001F04FD" w:rsidRPr="00C14F39" w:rsidRDefault="001F04FD" w:rsidP="001F04FD">
      <w:pPr>
        <w:pStyle w:val="List"/>
        <w:spacing w:before="240"/>
      </w:pPr>
      <w:r>
        <w:lastRenderedPageBreak/>
        <w:t>(e)</w:t>
      </w:r>
      <w:r>
        <w:tab/>
      </w:r>
      <w:r w:rsidRPr="003464AF">
        <w:t xml:space="preserve">Flag indicating </w:t>
      </w:r>
      <w:r>
        <w:t>that the Resource is identified for mitigation pursuant to paragraph (7) of Section 3.19.4, Security-Constrained Economic Dispatch Constraint Competitiveness Test, and paragraph (10) of Section 6.5.7.3, Security Constrained Economic Dispatch; and</w:t>
      </w:r>
    </w:p>
    <w:p w14:paraId="0C3EB4A6" w14:textId="77777777" w:rsidR="00192EFF" w:rsidRDefault="001F04FD" w:rsidP="001F04FD">
      <w:pPr>
        <w:pStyle w:val="List"/>
      </w:pPr>
      <w:r w:rsidRPr="00503D00">
        <w:t>(</w:t>
      </w:r>
      <w:r>
        <w:t>f</w:t>
      </w:r>
      <w:r w:rsidRPr="00503D00">
        <w:t>)</w:t>
      </w:r>
      <w:r w:rsidRPr="00503D00">
        <w:tab/>
        <w:t>Other information relevant to that Dispatch Instruction.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92EFF" w14:paraId="3E15217C" w14:textId="77777777" w:rsidTr="00F5593C">
        <w:trPr>
          <w:trHeight w:val="206"/>
        </w:trPr>
        <w:tc>
          <w:tcPr>
            <w:tcW w:w="9350" w:type="dxa"/>
            <w:shd w:val="pct12" w:color="auto" w:fill="auto"/>
          </w:tcPr>
          <w:p w14:paraId="5CA4F8C1" w14:textId="1C514366" w:rsidR="00192EFF" w:rsidRDefault="00192EFF" w:rsidP="00F5593C">
            <w:pPr>
              <w:pStyle w:val="Instructions"/>
              <w:spacing w:before="120"/>
            </w:pPr>
            <w:r>
              <w:t>[NPRR1188</w:t>
            </w:r>
            <w:r w:rsidR="00B80E54">
              <w:t xml:space="preserve"> and NPRR</w:t>
            </w:r>
            <w:r w:rsidR="00C67FF2">
              <w:t>12</w:t>
            </w:r>
            <w:r w:rsidR="00B80E54">
              <w:t>46</w:t>
            </w:r>
            <w:r>
              <w:t xml:space="preserve">:  Insert </w:t>
            </w:r>
            <w:r w:rsidR="00B80E54">
              <w:t xml:space="preserve">applicable portions of </w:t>
            </w:r>
            <w:r>
              <w:t>paragraph (2) below upon system implementation</w:t>
            </w:r>
            <w:r w:rsidR="00B80E54">
              <w:t xml:space="preserve"> for NPRR1188; or upon system implementation of the Real-Time Co-Optimization (RTC) project for NPRR1246</w:t>
            </w:r>
            <w:r>
              <w:t>:]</w:t>
            </w:r>
          </w:p>
          <w:p w14:paraId="3FE7E3A6" w14:textId="7B651261" w:rsidR="00192EFF" w:rsidRPr="00192EFF" w:rsidRDefault="00192EFF" w:rsidP="00192EFF">
            <w:pPr>
              <w:spacing w:after="240"/>
              <w:ind w:left="720" w:hanging="720"/>
            </w:pPr>
            <w:r w:rsidRPr="00812ECB">
              <w:t>(2)</w:t>
            </w:r>
            <w:r w:rsidRPr="00812ECB">
              <w:tab/>
              <w:t>Each Generation Resource</w:t>
            </w:r>
            <w:r w:rsidR="00B80E54">
              <w:t>, ESR,</w:t>
            </w:r>
            <w:r w:rsidRPr="00812ECB">
              <w:t xml:space="preserve"> and CLR shall follow ERCOT-issued Updated Desired Base Points plus any Regulation Service deployments, unless otherwise instructed by ERCOT.  ERCOT-issued Updated Desired Base Points shall not include deployed Regulation Service or expected Primary Frequency Response.</w:t>
            </w:r>
          </w:p>
        </w:tc>
      </w:tr>
    </w:tbl>
    <w:p w14:paraId="75F62917" w14:textId="77777777" w:rsidR="00192EFF" w:rsidRDefault="00192EFF" w:rsidP="00192EFF">
      <w:pPr>
        <w:pStyle w:val="Lis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D47B5" w14:paraId="14A9B466" w14:textId="77777777" w:rsidTr="007C4B00">
        <w:trPr>
          <w:trHeight w:val="206"/>
        </w:trPr>
        <w:tc>
          <w:tcPr>
            <w:tcW w:w="9350" w:type="dxa"/>
            <w:shd w:val="pct12" w:color="auto" w:fill="auto"/>
          </w:tcPr>
          <w:p w14:paraId="142E120E" w14:textId="196FA180" w:rsidR="007D47B5" w:rsidRDefault="007D47B5" w:rsidP="007C4B00">
            <w:pPr>
              <w:pStyle w:val="Instructions"/>
              <w:spacing w:before="120"/>
            </w:pPr>
            <w:bookmarkStart w:id="1192" w:name="_Toc397504973"/>
            <w:bookmarkStart w:id="1193" w:name="_Toc402357101"/>
            <w:bookmarkStart w:id="1194" w:name="_Toc422486481"/>
            <w:bookmarkStart w:id="1195" w:name="_Toc433093333"/>
            <w:bookmarkStart w:id="1196" w:name="_Toc433093491"/>
            <w:bookmarkStart w:id="1197" w:name="_Toc440874720"/>
            <w:bookmarkStart w:id="1198" w:name="_Toc448142275"/>
            <w:bookmarkStart w:id="1199" w:name="_Toc448142432"/>
            <w:bookmarkStart w:id="1200" w:name="_Toc458770268"/>
            <w:bookmarkStart w:id="1201" w:name="_Toc459294236"/>
            <w:bookmarkStart w:id="1202" w:name="_Toc463262729"/>
            <w:bookmarkStart w:id="1203" w:name="_Toc468286803"/>
            <w:bookmarkStart w:id="1204" w:name="_Toc481502849"/>
            <w:bookmarkStart w:id="1205" w:name="_Toc496080017"/>
            <w:bookmarkStart w:id="1206" w:name="_Toc74137328"/>
            <w:bookmarkEnd w:id="1112"/>
            <w:r>
              <w:t>[NPRR1010</w:t>
            </w:r>
            <w:r w:rsidR="006963EB">
              <w:t xml:space="preserve"> and NPRR1246</w:t>
            </w:r>
            <w:r>
              <w:t>:  Insert Section 6.5.7.4.1 below upon system implementation of the Real-Time Co-Optimization (RTC) project:]</w:t>
            </w:r>
          </w:p>
          <w:p w14:paraId="07F0BF17" w14:textId="77777777" w:rsidR="007D47B5" w:rsidRPr="009A7BE1" w:rsidRDefault="007D47B5" w:rsidP="009A7BE1">
            <w:pPr>
              <w:pStyle w:val="H5"/>
              <w:rPr>
                <w:snapToGrid w:val="0"/>
              </w:rPr>
            </w:pPr>
            <w:bookmarkStart w:id="1207" w:name="_Toc60040623"/>
            <w:bookmarkStart w:id="1208" w:name="_Toc65151683"/>
            <w:bookmarkStart w:id="1209" w:name="_Toc80174709"/>
            <w:bookmarkStart w:id="1210" w:name="_Toc108712468"/>
            <w:bookmarkStart w:id="1211" w:name="_Toc204411615"/>
            <w:r w:rsidRPr="0014616F">
              <w:rPr>
                <w:snapToGrid w:val="0"/>
              </w:rPr>
              <w:t>6.5.7.4.1</w:t>
            </w:r>
            <w:r w:rsidRPr="0014616F">
              <w:rPr>
                <w:snapToGrid w:val="0"/>
              </w:rPr>
              <w:tab/>
            </w:r>
            <w:r w:rsidRPr="009A7BE1">
              <w:rPr>
                <w:snapToGrid w:val="0"/>
              </w:rPr>
              <w:t>Updated</w:t>
            </w:r>
            <w:r w:rsidRPr="0014616F">
              <w:rPr>
                <w:snapToGrid w:val="0"/>
              </w:rPr>
              <w:t xml:space="preserve"> Desired Set Points</w:t>
            </w:r>
            <w:bookmarkEnd w:id="1207"/>
            <w:bookmarkEnd w:id="1208"/>
            <w:bookmarkEnd w:id="1209"/>
            <w:bookmarkEnd w:id="1210"/>
            <w:bookmarkEnd w:id="1211"/>
          </w:p>
          <w:p w14:paraId="39DF8430" w14:textId="77777777" w:rsidR="007D47B5" w:rsidRDefault="007D47B5" w:rsidP="007D47B5">
            <w:pPr>
              <w:spacing w:after="240"/>
              <w:ind w:left="720" w:hanging="720"/>
            </w:pPr>
            <w:r>
              <w:t>(1)</w:t>
            </w:r>
            <w:r>
              <w:tab/>
              <w:t>Each Resource shall follow ERCOT-issued Updated Desired Set Points (UDSPs), unless otherwise instructed by ERCOT.  ERCOT-issued UDSPs shall not include expected Primary Frequency Response.</w:t>
            </w:r>
          </w:p>
          <w:p w14:paraId="4EDEED12" w14:textId="0ED70E43" w:rsidR="007D47B5" w:rsidRPr="000C355C" w:rsidRDefault="007D47B5" w:rsidP="007D47B5">
            <w:pPr>
              <w:spacing w:after="240"/>
              <w:ind w:left="720" w:hanging="720"/>
            </w:pPr>
            <w:r w:rsidRPr="00CB012C">
              <w:t>(2)</w:t>
            </w:r>
            <w:r w:rsidRPr="00CB012C">
              <w:tab/>
            </w:r>
            <w:r w:rsidRPr="004E5553">
              <w:t xml:space="preserve">A UDSP </w:t>
            </w:r>
            <w:r>
              <w:t>is</w:t>
            </w:r>
            <w:r w:rsidRPr="004E5553">
              <w:t xml:space="preserve"> the sum of </w:t>
            </w:r>
            <w:r>
              <w:t>a</w:t>
            </w:r>
            <w:r w:rsidRPr="004E5553">
              <w:t xml:space="preserve"> calculated MW value representing the expected MW output </w:t>
            </w:r>
            <w:r w:rsidR="006963EB">
              <w:t xml:space="preserve">(positive or negative) </w:t>
            </w:r>
            <w:r w:rsidRPr="004E5553">
              <w:t xml:space="preserve">of a Resource ramping to a </w:t>
            </w:r>
            <w:r>
              <w:t xml:space="preserve">SCED </w:t>
            </w:r>
            <w:r w:rsidRPr="004E5553">
              <w:t xml:space="preserve">Base Point and the </w:t>
            </w:r>
            <w:r w:rsidRPr="000C355C">
              <w:t xml:space="preserve">Resource-specific </w:t>
            </w:r>
            <w:r>
              <w:t>R</w:t>
            </w:r>
            <w:r w:rsidRPr="000C355C">
              <w:t xml:space="preserve">egulation </w:t>
            </w:r>
            <w:r>
              <w:t xml:space="preserve">Service instruction </w:t>
            </w:r>
            <w:r w:rsidRPr="000C355C">
              <w:t xml:space="preserve">from ERCOT. </w:t>
            </w:r>
          </w:p>
          <w:p w14:paraId="593997E4" w14:textId="77777777" w:rsidR="007D47B5" w:rsidRDefault="007D47B5" w:rsidP="007D47B5">
            <w:pPr>
              <w:spacing w:after="240"/>
              <w:ind w:left="720" w:hanging="720"/>
            </w:pPr>
            <w:r w:rsidRPr="00034E86">
              <w:t>(3)</w:t>
            </w:r>
            <w:r w:rsidRPr="00034E86">
              <w:tab/>
            </w:r>
            <w:r w:rsidRPr="004E5553">
              <w:t>LFC shall send Resource</w:t>
            </w:r>
            <w:r w:rsidRPr="000C355C">
              <w:t>-specific UDSP to QSEs every four seconds.</w:t>
            </w:r>
          </w:p>
          <w:p w14:paraId="1184E331" w14:textId="08188A5B" w:rsidR="007D47B5" w:rsidRDefault="007D47B5" w:rsidP="007D47B5">
            <w:pPr>
              <w:spacing w:after="240"/>
              <w:ind w:left="720" w:hanging="720"/>
            </w:pPr>
            <w:r>
              <w:t>(4)</w:t>
            </w:r>
            <w:r>
              <w:tab/>
              <w:t>Resources, excluding non-</w:t>
            </w:r>
            <w:r w:rsidR="00C67FF2">
              <w:t>CLRs</w:t>
            </w:r>
            <w:r>
              <w:t>, that have been awarded RRS as FFR-capable Resources or are telemetering a Resource Status of ONSC, will all have manual deployment instructions and expected deployments triggered automatically by frequency deviations included in the UDSP value provided to the QSE for the Resource.  These deployment components of UDSP will reflect the latest Ancillary Service awards and are separate from the ramping component of UDSP.</w:t>
            </w:r>
          </w:p>
          <w:p w14:paraId="491062C3" w14:textId="7576EB78" w:rsidR="007D47B5" w:rsidRPr="007D47B5" w:rsidRDefault="007D47B5" w:rsidP="007D47B5">
            <w:pPr>
              <w:spacing w:after="240"/>
              <w:ind w:left="720" w:hanging="720"/>
            </w:pPr>
            <w:r>
              <w:t>(5)</w:t>
            </w:r>
            <w:r>
              <w:tab/>
              <w:t>When ERCOT System frequency experiences a 0.05 Hz or greater deviation from scheduled frequency, and a Resource is ramping to a SCED Base Point in a manner directionally opposite to system frequency, the ramping component of the Resource’s UDSP will be temporarily held constant and flagged accordingly.</w:t>
            </w:r>
          </w:p>
        </w:tc>
      </w:tr>
    </w:tbl>
    <w:p w14:paraId="643CDAD3" w14:textId="77777777" w:rsidR="001F04FD" w:rsidRDefault="001F04FD" w:rsidP="001F04FD">
      <w:pPr>
        <w:pStyle w:val="H4"/>
        <w:spacing w:before="480"/>
        <w:ind w:left="1267" w:hanging="1267"/>
      </w:pPr>
      <w:bookmarkStart w:id="1212" w:name="_Hlk135901819"/>
      <w:bookmarkStart w:id="1213" w:name="_Toc204411616"/>
      <w:r w:rsidRPr="00E20DCD">
        <w:lastRenderedPageBreak/>
        <w:t>6.5.7.5</w:t>
      </w:r>
      <w:r>
        <w:tab/>
        <w:t>Ancillary Services Capacity Monitor</w:t>
      </w:r>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13"/>
    </w:p>
    <w:p w14:paraId="0DA3C53F" w14:textId="605CD005" w:rsidR="000800A9" w:rsidRDefault="000800A9" w:rsidP="000800A9">
      <w:pPr>
        <w:pStyle w:val="BodyTextNumbered"/>
      </w:pPr>
      <w:r>
        <w:t>(1)</w:t>
      </w:r>
      <w:r>
        <w:tab/>
        <w:t xml:space="preserve">ERCOT shall calculate the following every ten seconds and provide Real-Time summaries to ERCOT Operators and all Market Participants using ICCP, giving updates of calculations every ten seconds, and posting on the </w:t>
      </w:r>
      <w:r w:rsidR="0007207E">
        <w:t>ERCOT website</w:t>
      </w:r>
      <w:r>
        <w:t>, giving updates of calculations every five minutes, which show the Real-Time total system amount of:</w:t>
      </w:r>
    </w:p>
    <w:p w14:paraId="5ED2A746" w14:textId="77777777" w:rsidR="000800A9" w:rsidRDefault="000800A9" w:rsidP="000800A9">
      <w:pPr>
        <w:pStyle w:val="List"/>
      </w:pPr>
      <w:r>
        <w:t>(a)</w:t>
      </w:r>
      <w:r>
        <w:tab/>
        <w:t xml:space="preserve">RRS capacity from: </w:t>
      </w:r>
    </w:p>
    <w:p w14:paraId="52681AC5" w14:textId="77777777" w:rsidR="000800A9" w:rsidRDefault="000800A9" w:rsidP="000800A9">
      <w:pPr>
        <w:pStyle w:val="List"/>
        <w:ind w:left="2160"/>
      </w:pPr>
      <w:r>
        <w:t>(i)</w:t>
      </w:r>
      <w:r>
        <w:tab/>
        <w:t>Generation Resources;</w:t>
      </w:r>
    </w:p>
    <w:p w14:paraId="7ED7D872" w14:textId="01C6DEF0" w:rsidR="000800A9" w:rsidRDefault="000800A9" w:rsidP="000800A9">
      <w:pPr>
        <w:pStyle w:val="List"/>
        <w:ind w:left="2160"/>
      </w:pPr>
      <w:r>
        <w:t>(ii)</w:t>
      </w:r>
      <w:r>
        <w:tab/>
        <w:t xml:space="preserve">Load Resources excluding </w:t>
      </w:r>
      <w:r w:rsidR="00192EFF">
        <w:t>CLRs</w:t>
      </w:r>
      <w:r>
        <w:t>;</w:t>
      </w:r>
    </w:p>
    <w:p w14:paraId="3997884C" w14:textId="5F116EDC" w:rsidR="000800A9" w:rsidRDefault="000800A9" w:rsidP="000800A9">
      <w:pPr>
        <w:pStyle w:val="List"/>
        <w:ind w:left="2160"/>
      </w:pPr>
      <w:r>
        <w:t>(iii)</w:t>
      </w:r>
      <w:r>
        <w:tab/>
      </w:r>
      <w:r w:rsidR="00192EFF">
        <w:t>CLRs</w:t>
      </w:r>
      <w:r>
        <w:t>;</w:t>
      </w:r>
      <w:r w:rsidR="00974FBE">
        <w:t xml:space="preserve"> and</w:t>
      </w:r>
    </w:p>
    <w:p w14:paraId="365F08D1" w14:textId="76E2108B" w:rsidR="00974FBE" w:rsidRDefault="00974FBE" w:rsidP="000800A9">
      <w:pPr>
        <w:pStyle w:val="List"/>
        <w:ind w:left="2160"/>
      </w:pPr>
      <w:r w:rsidRPr="0003648D">
        <w:t>(iv)</w:t>
      </w:r>
      <w:r w:rsidRPr="0003648D">
        <w:tab/>
      </w:r>
      <w:r w:rsidRPr="004E4AC5">
        <w:t>Resources capable of Fast Frequency Response (FFR)</w:t>
      </w:r>
      <w:r w:rsidRPr="0003648D">
        <w:t>;</w:t>
      </w:r>
    </w:p>
    <w:p w14:paraId="1B2DC37E" w14:textId="77777777" w:rsidR="000800A9" w:rsidRDefault="000800A9" w:rsidP="00A00430">
      <w:pPr>
        <w:spacing w:after="240"/>
        <w:ind w:left="1440" w:hanging="720"/>
      </w:pPr>
      <w:r w:rsidRPr="00E275CE">
        <w:t>(</w:t>
      </w:r>
      <w:r>
        <w:t>b</w:t>
      </w:r>
      <w:r w:rsidRPr="00E275CE">
        <w:t>)</w:t>
      </w:r>
      <w:r w:rsidRPr="00E275CE">
        <w:tab/>
        <w:t>Ancillary Service Resource Responsibility for RRS from</w:t>
      </w:r>
      <w:r>
        <w:t>:</w:t>
      </w:r>
      <w:r w:rsidRPr="00E275CE">
        <w:t xml:space="preserve"> </w:t>
      </w:r>
    </w:p>
    <w:p w14:paraId="45B189EC" w14:textId="77777777" w:rsidR="000800A9" w:rsidRPr="00E275CE" w:rsidRDefault="000800A9" w:rsidP="000800A9">
      <w:pPr>
        <w:pStyle w:val="List2"/>
      </w:pPr>
      <w:r>
        <w:t>(i)</w:t>
      </w:r>
      <w:r>
        <w:tab/>
      </w:r>
      <w:r w:rsidRPr="00E275CE">
        <w:t>Generation Resources;</w:t>
      </w:r>
    </w:p>
    <w:p w14:paraId="4704F1B5" w14:textId="4B24DA9A" w:rsidR="000800A9" w:rsidRPr="00E275CE" w:rsidRDefault="000800A9" w:rsidP="000800A9">
      <w:pPr>
        <w:pStyle w:val="List2"/>
      </w:pPr>
      <w:r w:rsidRPr="00E275CE">
        <w:t>(</w:t>
      </w:r>
      <w:r>
        <w:t>ii</w:t>
      </w:r>
      <w:r w:rsidRPr="00E275CE">
        <w:t>)</w:t>
      </w:r>
      <w:r w:rsidRPr="00E275CE">
        <w:tab/>
        <w:t xml:space="preserve">Load Resources excluding </w:t>
      </w:r>
      <w:r w:rsidR="00192EFF">
        <w:t>CLRs</w:t>
      </w:r>
      <w:r w:rsidRPr="00E275CE">
        <w:t>;</w:t>
      </w:r>
    </w:p>
    <w:p w14:paraId="23B997D4" w14:textId="61CC4F47" w:rsidR="000800A9" w:rsidRDefault="000800A9" w:rsidP="000800A9">
      <w:pPr>
        <w:pStyle w:val="List2"/>
      </w:pPr>
      <w:r w:rsidRPr="00E275CE">
        <w:t>(</w:t>
      </w:r>
      <w:r>
        <w:t>iii</w:t>
      </w:r>
      <w:r w:rsidRPr="00E275CE">
        <w:t>)</w:t>
      </w:r>
      <w:r w:rsidRPr="00E275CE">
        <w:tab/>
      </w:r>
      <w:r w:rsidR="00192EFF">
        <w:t>CLRs</w:t>
      </w:r>
      <w:r w:rsidRPr="00E275CE">
        <w:t>;</w:t>
      </w:r>
      <w:r w:rsidR="00974FBE">
        <w:t xml:space="preserve"> and</w:t>
      </w:r>
    </w:p>
    <w:p w14:paraId="4A0E71B2" w14:textId="272CA3C4" w:rsidR="00974FBE" w:rsidRDefault="00974FBE" w:rsidP="000800A9">
      <w:pPr>
        <w:pStyle w:val="List2"/>
      </w:pPr>
      <w:r w:rsidRPr="0003648D">
        <w:t>(iv)</w:t>
      </w:r>
      <w:r w:rsidRPr="0003648D">
        <w:tab/>
      </w:r>
      <w:r w:rsidRPr="004E4AC5">
        <w:t>Resources capable of FFR</w:t>
      </w:r>
      <w:r w:rsidRPr="0003648D">
        <w:t>;</w:t>
      </w:r>
    </w:p>
    <w:p w14:paraId="1E72AD58" w14:textId="77777777" w:rsidR="00DC32AE" w:rsidRPr="0003648D" w:rsidRDefault="00DC32AE" w:rsidP="00DC32AE">
      <w:pPr>
        <w:spacing w:after="240"/>
        <w:ind w:left="1440" w:hanging="720"/>
      </w:pPr>
      <w:r w:rsidRPr="0003648D">
        <w:t>(</w:t>
      </w:r>
      <w:r>
        <w:t>c</w:t>
      </w:r>
      <w:r w:rsidRPr="0003648D">
        <w:t>)</w:t>
      </w:r>
      <w:r w:rsidRPr="0003648D">
        <w:tab/>
      </w:r>
      <w:r>
        <w:t>ECRS</w:t>
      </w:r>
      <w:r w:rsidRPr="0003648D">
        <w:t xml:space="preserve"> capacity from: </w:t>
      </w:r>
    </w:p>
    <w:p w14:paraId="3070D792" w14:textId="77777777" w:rsidR="00DC32AE" w:rsidRPr="0003648D" w:rsidRDefault="00DC32AE" w:rsidP="00DC32AE">
      <w:pPr>
        <w:spacing w:after="240"/>
        <w:ind w:left="2160" w:hanging="720"/>
      </w:pPr>
      <w:r w:rsidRPr="0003648D">
        <w:t>(i)</w:t>
      </w:r>
      <w:r w:rsidRPr="0003648D">
        <w:tab/>
        <w:t>Generation Resources;</w:t>
      </w:r>
    </w:p>
    <w:p w14:paraId="740AC444" w14:textId="73B4FAA0" w:rsidR="00DC32AE" w:rsidRPr="0003648D" w:rsidRDefault="00DC32AE" w:rsidP="00DC32AE">
      <w:pPr>
        <w:spacing w:after="240"/>
        <w:ind w:left="2160" w:hanging="720"/>
      </w:pPr>
      <w:r w:rsidRPr="0003648D">
        <w:t>(ii)</w:t>
      </w:r>
      <w:r w:rsidRPr="0003648D">
        <w:tab/>
        <w:t xml:space="preserve">Load Resources excluding </w:t>
      </w:r>
      <w:r w:rsidR="00192EFF">
        <w:t>CLRs</w:t>
      </w:r>
      <w:r w:rsidRPr="0003648D">
        <w:t xml:space="preserve">; </w:t>
      </w:r>
    </w:p>
    <w:p w14:paraId="5C1868CD" w14:textId="3B90D155" w:rsidR="00DC32AE" w:rsidRPr="0003648D" w:rsidRDefault="00DC32AE" w:rsidP="00DC32AE">
      <w:pPr>
        <w:spacing w:after="240"/>
        <w:ind w:left="2160" w:hanging="720"/>
      </w:pPr>
      <w:r w:rsidRPr="0003648D">
        <w:t>(iii)</w:t>
      </w:r>
      <w:r w:rsidRPr="0003648D">
        <w:tab/>
      </w:r>
      <w:r w:rsidR="00192EFF">
        <w:t>CLRs</w:t>
      </w:r>
      <w:r w:rsidRPr="0003648D">
        <w:t>; and</w:t>
      </w:r>
    </w:p>
    <w:p w14:paraId="2F79634E" w14:textId="77777777" w:rsidR="00DC32AE" w:rsidRPr="0003648D" w:rsidRDefault="00DC32AE" w:rsidP="00DC32AE">
      <w:pPr>
        <w:spacing w:after="240"/>
        <w:ind w:left="2160" w:hanging="720"/>
      </w:pPr>
      <w:r w:rsidRPr="0003648D">
        <w:t>(iv)</w:t>
      </w:r>
      <w:r w:rsidRPr="0003648D">
        <w:tab/>
        <w:t>Quick Start Generation Resources (QSGRs);</w:t>
      </w:r>
    </w:p>
    <w:p w14:paraId="5EE37137" w14:textId="77777777" w:rsidR="00DC32AE" w:rsidRPr="0003648D" w:rsidRDefault="00DC32AE" w:rsidP="00DC32AE">
      <w:pPr>
        <w:spacing w:after="240"/>
        <w:ind w:left="1440" w:hanging="720"/>
      </w:pPr>
      <w:r w:rsidRPr="0003648D">
        <w:t>(</w:t>
      </w:r>
      <w:r>
        <w:t>d</w:t>
      </w:r>
      <w:r w:rsidRPr="0003648D">
        <w:t>)</w:t>
      </w:r>
      <w:r w:rsidRPr="0003648D">
        <w:tab/>
        <w:t xml:space="preserve">Ancillary Service Resource Responsibility for </w:t>
      </w:r>
      <w:r>
        <w:t>ECRS</w:t>
      </w:r>
      <w:r w:rsidRPr="0003648D">
        <w:t xml:space="preserve"> from: </w:t>
      </w:r>
    </w:p>
    <w:p w14:paraId="567B2891" w14:textId="77777777" w:rsidR="00DC32AE" w:rsidRPr="0003648D" w:rsidRDefault="00DC32AE" w:rsidP="00DC32AE">
      <w:pPr>
        <w:spacing w:after="240"/>
        <w:ind w:left="2160" w:hanging="720"/>
      </w:pPr>
      <w:r w:rsidRPr="0003648D">
        <w:t>(i)</w:t>
      </w:r>
      <w:r w:rsidRPr="0003648D">
        <w:tab/>
        <w:t>Generation Resources;</w:t>
      </w:r>
    </w:p>
    <w:p w14:paraId="4DD0177E" w14:textId="06F1987D" w:rsidR="00DC32AE" w:rsidRPr="0003648D" w:rsidRDefault="00DC32AE" w:rsidP="00DC32AE">
      <w:pPr>
        <w:spacing w:after="240"/>
        <w:ind w:left="2160" w:hanging="720"/>
      </w:pPr>
      <w:r w:rsidRPr="0003648D">
        <w:t>(ii)</w:t>
      </w:r>
      <w:r w:rsidRPr="0003648D">
        <w:tab/>
        <w:t xml:space="preserve">Load Resources excluding </w:t>
      </w:r>
      <w:r w:rsidR="00192EFF">
        <w:t>CLRs</w:t>
      </w:r>
      <w:r w:rsidRPr="0003648D">
        <w:t>; and</w:t>
      </w:r>
    </w:p>
    <w:p w14:paraId="43222E4A" w14:textId="5EBD3696" w:rsidR="00DC32AE" w:rsidRPr="0003648D" w:rsidRDefault="00DC32AE" w:rsidP="00DC32AE">
      <w:pPr>
        <w:spacing w:after="240"/>
        <w:ind w:left="2160" w:hanging="720"/>
      </w:pPr>
      <w:r w:rsidRPr="0003648D">
        <w:t>(iii)</w:t>
      </w:r>
      <w:r w:rsidRPr="0003648D">
        <w:tab/>
      </w:r>
      <w:r w:rsidR="00192EFF">
        <w:t>CLRs</w:t>
      </w:r>
      <w:r w:rsidRPr="0003648D">
        <w:t>; and</w:t>
      </w:r>
    </w:p>
    <w:p w14:paraId="1156ADD8" w14:textId="77777777" w:rsidR="00DC32AE" w:rsidRPr="0003648D" w:rsidRDefault="00DC32AE" w:rsidP="00DC32AE">
      <w:pPr>
        <w:spacing w:after="240"/>
        <w:ind w:left="2160" w:hanging="720"/>
      </w:pPr>
      <w:r w:rsidRPr="0003648D">
        <w:t>(iv)</w:t>
      </w:r>
      <w:r w:rsidRPr="0003648D">
        <w:tab/>
        <w:t>QSGRs;</w:t>
      </w:r>
    </w:p>
    <w:p w14:paraId="4373D7A9" w14:textId="5B38B2FE" w:rsidR="000800A9" w:rsidRDefault="000800A9" w:rsidP="00A00430">
      <w:pPr>
        <w:pStyle w:val="List"/>
      </w:pPr>
      <w:r w:rsidRPr="00E275CE">
        <w:t>(</w:t>
      </w:r>
      <w:r w:rsidR="00397A7F">
        <w:t>e</w:t>
      </w:r>
      <w:r w:rsidRPr="00E275CE">
        <w:t>)</w:t>
      </w:r>
      <w:r w:rsidRPr="00E275CE">
        <w:tab/>
      </w:r>
      <w:r w:rsidR="00397A7F">
        <w:t>ECRS</w:t>
      </w:r>
      <w:r w:rsidRPr="00E275CE">
        <w:t xml:space="preserve"> deployed to Generation and Load Resources;</w:t>
      </w:r>
      <w:r>
        <w:t xml:space="preserve"> </w:t>
      </w:r>
    </w:p>
    <w:p w14:paraId="7DE031B0" w14:textId="1163C0C2" w:rsidR="000800A9" w:rsidRDefault="000800A9" w:rsidP="00FB599C">
      <w:pPr>
        <w:pStyle w:val="List"/>
      </w:pPr>
      <w:r>
        <w:lastRenderedPageBreak/>
        <w:t>(</w:t>
      </w:r>
      <w:r w:rsidR="00397A7F">
        <w:t>f</w:t>
      </w:r>
      <w:r>
        <w:t>)</w:t>
      </w:r>
      <w:r>
        <w:tab/>
        <w:t xml:space="preserve">Non-Spin available from: </w:t>
      </w:r>
    </w:p>
    <w:p w14:paraId="1CDF32B0" w14:textId="77777777" w:rsidR="000800A9" w:rsidRDefault="000800A9" w:rsidP="000800A9">
      <w:pPr>
        <w:pStyle w:val="List"/>
        <w:ind w:left="2160"/>
      </w:pPr>
      <w:r>
        <w:t>(i)</w:t>
      </w:r>
      <w:r>
        <w:tab/>
        <w:t>On-Line Generation Resources with Energy Offer Curves;</w:t>
      </w:r>
    </w:p>
    <w:p w14:paraId="39A84641" w14:textId="77777777" w:rsidR="000800A9" w:rsidRDefault="000800A9" w:rsidP="000800A9">
      <w:pPr>
        <w:pStyle w:val="List"/>
        <w:ind w:left="2160"/>
      </w:pPr>
      <w:r>
        <w:t>(ii)</w:t>
      </w:r>
      <w:r>
        <w:tab/>
        <w:t xml:space="preserve">Undeployed Load Resources; </w:t>
      </w:r>
    </w:p>
    <w:p w14:paraId="079C0DEC" w14:textId="77777777" w:rsidR="000800A9" w:rsidRDefault="000800A9" w:rsidP="000800A9">
      <w:pPr>
        <w:pStyle w:val="List"/>
        <w:ind w:left="2160"/>
      </w:pPr>
      <w:r>
        <w:t>(iii)</w:t>
      </w:r>
      <w:r>
        <w:tab/>
        <w:t>Off-Line Generation Resources; and</w:t>
      </w:r>
    </w:p>
    <w:p w14:paraId="08CED634" w14:textId="77777777" w:rsidR="000800A9" w:rsidRDefault="000800A9" w:rsidP="000800A9">
      <w:pPr>
        <w:pStyle w:val="List"/>
        <w:ind w:left="2160"/>
      </w:pPr>
      <w:r>
        <w:t>(iv)</w:t>
      </w:r>
      <w:r>
        <w:tab/>
        <w:t>Resources with Output Schedules;</w:t>
      </w:r>
    </w:p>
    <w:p w14:paraId="01FC369A" w14:textId="18EA4BF4" w:rsidR="000800A9" w:rsidRDefault="000800A9" w:rsidP="000800A9">
      <w:pPr>
        <w:spacing w:after="240"/>
        <w:ind w:left="1440" w:hanging="720"/>
      </w:pPr>
      <w:r w:rsidRPr="00E275CE">
        <w:t>(</w:t>
      </w:r>
      <w:r w:rsidR="00397A7F">
        <w:t>g</w:t>
      </w:r>
      <w:r w:rsidRPr="00E275CE">
        <w:t>)</w:t>
      </w:r>
      <w:r w:rsidRPr="00E275CE">
        <w:tab/>
        <w:t>Ancillary Service Resource Responsibility for Non-Spin from</w:t>
      </w:r>
      <w:r>
        <w:t>:</w:t>
      </w:r>
    </w:p>
    <w:p w14:paraId="43C75DC7" w14:textId="77777777" w:rsidR="000800A9" w:rsidRPr="00E275CE" w:rsidRDefault="000800A9" w:rsidP="000800A9">
      <w:pPr>
        <w:pStyle w:val="List2"/>
      </w:pPr>
      <w:r>
        <w:t>(i)</w:t>
      </w:r>
      <w:r>
        <w:tab/>
      </w:r>
      <w:r w:rsidRPr="00E275CE">
        <w:t>On-Line Generation Resources with Energy Offer Curves;</w:t>
      </w:r>
    </w:p>
    <w:p w14:paraId="52657F19" w14:textId="77777777" w:rsidR="000800A9" w:rsidRPr="00E275CE" w:rsidRDefault="000800A9" w:rsidP="000800A9">
      <w:pPr>
        <w:pStyle w:val="List2"/>
      </w:pPr>
      <w:r w:rsidRPr="00E275CE">
        <w:t>(</w:t>
      </w:r>
      <w:r>
        <w:t>ii</w:t>
      </w:r>
      <w:r w:rsidRPr="00E275CE">
        <w:t>)</w:t>
      </w:r>
      <w:r w:rsidRPr="00E275CE">
        <w:tab/>
        <w:t>On-Line Generation Resources with Output Schedules;</w:t>
      </w:r>
    </w:p>
    <w:p w14:paraId="1AC9D0D4" w14:textId="77777777" w:rsidR="000800A9" w:rsidRPr="00E275CE" w:rsidRDefault="000800A9" w:rsidP="000800A9">
      <w:pPr>
        <w:pStyle w:val="List2"/>
      </w:pPr>
      <w:r w:rsidRPr="00E275CE">
        <w:t>(</w:t>
      </w:r>
      <w:r>
        <w:t>iii</w:t>
      </w:r>
      <w:r w:rsidRPr="00E275CE">
        <w:t>)</w:t>
      </w:r>
      <w:r w:rsidRPr="00E275CE">
        <w:tab/>
        <w:t xml:space="preserve">Load Resources; </w:t>
      </w:r>
    </w:p>
    <w:p w14:paraId="4B5D1A53" w14:textId="7881418A" w:rsidR="000800A9" w:rsidRPr="00E275CE" w:rsidRDefault="000800A9" w:rsidP="000800A9">
      <w:pPr>
        <w:pStyle w:val="List2"/>
      </w:pPr>
      <w:r w:rsidRPr="00E275CE">
        <w:t>(</w:t>
      </w:r>
      <w:r>
        <w:t>iv</w:t>
      </w:r>
      <w:r w:rsidRPr="00E275CE">
        <w:t>)</w:t>
      </w:r>
      <w:r w:rsidRPr="00E275CE">
        <w:tab/>
        <w:t xml:space="preserve">Off-Line Generation Resources excluding QSGRs; </w:t>
      </w:r>
      <w:r>
        <w:t>and</w:t>
      </w:r>
    </w:p>
    <w:p w14:paraId="4DC7BCAA" w14:textId="77777777" w:rsidR="000800A9" w:rsidRDefault="000800A9" w:rsidP="000800A9">
      <w:pPr>
        <w:pStyle w:val="List"/>
        <w:ind w:left="2160"/>
      </w:pPr>
      <w:r w:rsidRPr="00E275CE">
        <w:t>(</w:t>
      </w:r>
      <w:r>
        <w:t>v</w:t>
      </w:r>
      <w:r w:rsidRPr="00E275CE">
        <w:t>)</w:t>
      </w:r>
      <w:r w:rsidRPr="00E275CE">
        <w:tab/>
        <w:t>QSGRs;</w:t>
      </w:r>
    </w:p>
    <w:p w14:paraId="029DAFC9" w14:textId="0F8B77A2" w:rsidR="000800A9" w:rsidRDefault="000800A9" w:rsidP="000800A9">
      <w:pPr>
        <w:pStyle w:val="List"/>
      </w:pPr>
      <w:r>
        <w:t>(</w:t>
      </w:r>
      <w:r w:rsidR="00397A7F">
        <w:t>h</w:t>
      </w:r>
      <w:r>
        <w:t>)</w:t>
      </w:r>
      <w:r>
        <w:tab/>
        <w:t>Undeployed Reg-Up and Reg-Down;</w:t>
      </w:r>
    </w:p>
    <w:p w14:paraId="766D6651" w14:textId="638B4266" w:rsidR="000800A9" w:rsidRDefault="000800A9" w:rsidP="000800A9">
      <w:pPr>
        <w:pStyle w:val="List2"/>
        <w:ind w:left="1440"/>
      </w:pPr>
      <w:r w:rsidRPr="00E275CE">
        <w:t>(</w:t>
      </w:r>
      <w:r w:rsidR="00397A7F">
        <w:t>i</w:t>
      </w:r>
      <w:r w:rsidRPr="00E275CE">
        <w:t>)</w:t>
      </w:r>
      <w:r w:rsidRPr="00E275CE">
        <w:tab/>
        <w:t>Ancillary Service Resource Responsibility for Reg-Up</w:t>
      </w:r>
      <w:r>
        <w:t xml:space="preserve"> and Reg-Down</w:t>
      </w:r>
      <w:r w:rsidRPr="00E275CE">
        <w:t>;</w:t>
      </w:r>
    </w:p>
    <w:p w14:paraId="5DFB2963" w14:textId="7F31E643" w:rsidR="000800A9" w:rsidRDefault="000800A9" w:rsidP="000800A9">
      <w:pPr>
        <w:pStyle w:val="List"/>
      </w:pPr>
      <w:r w:rsidRPr="00E275CE">
        <w:t>(</w:t>
      </w:r>
      <w:r w:rsidR="00397A7F">
        <w:t>j</w:t>
      </w:r>
      <w:r w:rsidRPr="00E275CE">
        <w:t>)</w:t>
      </w:r>
      <w:r w:rsidRPr="00E275CE">
        <w:tab/>
        <w:t>Deployed Reg-Up and Reg-Down;</w:t>
      </w:r>
    </w:p>
    <w:p w14:paraId="076FA465" w14:textId="385BA44F" w:rsidR="000800A9" w:rsidRDefault="000800A9" w:rsidP="000800A9">
      <w:pPr>
        <w:pStyle w:val="List"/>
      </w:pPr>
      <w:r>
        <w:t>(</w:t>
      </w:r>
      <w:r w:rsidR="00397A7F">
        <w:t>k</w:t>
      </w:r>
      <w:r>
        <w:t>)</w:t>
      </w:r>
      <w:r>
        <w:tab/>
        <w:t>Available capacity:</w:t>
      </w:r>
    </w:p>
    <w:p w14:paraId="6102599B" w14:textId="77777777" w:rsidR="000800A9" w:rsidRDefault="000800A9" w:rsidP="000800A9">
      <w:pPr>
        <w:pStyle w:val="List"/>
        <w:ind w:left="2160"/>
      </w:pPr>
      <w:r>
        <w:t>(i)</w:t>
      </w:r>
      <w:r>
        <w:tab/>
        <w:t>With Energy Offer Curves in the ERCOT System that can be used to increase Generation Resource Base Points in SCED;</w:t>
      </w:r>
    </w:p>
    <w:p w14:paraId="323481E0" w14:textId="77777777" w:rsidR="000800A9" w:rsidRDefault="000800A9" w:rsidP="000800A9">
      <w:pPr>
        <w:pStyle w:val="List"/>
        <w:ind w:left="2160"/>
      </w:pPr>
      <w:r>
        <w:t>(ii)</w:t>
      </w:r>
      <w:r>
        <w:tab/>
        <w:t xml:space="preserve">With Energy Offer Curves in the ERCOT System that can be used to decrease Generation Resource Base Points in SCED; </w:t>
      </w:r>
    </w:p>
    <w:p w14:paraId="23673DCD" w14:textId="77777777" w:rsidR="000800A9" w:rsidRDefault="000800A9" w:rsidP="000800A9">
      <w:pPr>
        <w:pStyle w:val="List"/>
        <w:ind w:left="2160"/>
      </w:pPr>
      <w:r>
        <w:t>(iii)</w:t>
      </w:r>
      <w:r>
        <w:tab/>
        <w:t xml:space="preserve">Without Energy Offer Curves in the ERCOT System that can be used to increase Generation Resource Base Points in SCED; </w:t>
      </w:r>
    </w:p>
    <w:p w14:paraId="4ABAA9A1" w14:textId="77777777" w:rsidR="000800A9" w:rsidRDefault="000800A9" w:rsidP="000800A9">
      <w:pPr>
        <w:pStyle w:val="List"/>
        <w:ind w:left="2160"/>
      </w:pPr>
      <w:r>
        <w:t>(iv)</w:t>
      </w:r>
      <w:r>
        <w:tab/>
        <w:t xml:space="preserve">Without Energy Offer Curves in the ERCOT System that can be used to decrease Generation Resource Base Points in SCED; </w:t>
      </w:r>
    </w:p>
    <w:p w14:paraId="760A5C41" w14:textId="1B2F9909" w:rsidR="000800A9" w:rsidRPr="006A6281" w:rsidRDefault="000800A9" w:rsidP="000800A9">
      <w:pPr>
        <w:pStyle w:val="List"/>
        <w:ind w:left="2160"/>
      </w:pPr>
      <w:r w:rsidRPr="006A6281">
        <w:t>(v)</w:t>
      </w:r>
      <w:r w:rsidRPr="006A6281">
        <w:tab/>
        <w:t xml:space="preserve">With RTM Energy Bid curves from available </w:t>
      </w:r>
      <w:r w:rsidR="00192EFF">
        <w:t>CLRs</w:t>
      </w:r>
      <w:r w:rsidRPr="006A6281">
        <w:t xml:space="preserve"> in the ERCOT System that can be used to decrease Base Points (energy consumption) in SCED;</w:t>
      </w:r>
    </w:p>
    <w:p w14:paraId="0682107E" w14:textId="30C08571" w:rsidR="000800A9" w:rsidRDefault="000800A9" w:rsidP="000800A9">
      <w:pPr>
        <w:pStyle w:val="List"/>
        <w:ind w:left="2160"/>
      </w:pPr>
      <w:r w:rsidRPr="006A6281">
        <w:t>(vi)</w:t>
      </w:r>
      <w:r w:rsidRPr="006A6281">
        <w:tab/>
        <w:t xml:space="preserve">With RTM Energy Bid curves from available </w:t>
      </w:r>
      <w:r w:rsidR="00192EFF">
        <w:t>CLRs</w:t>
      </w:r>
      <w:r w:rsidRPr="006A6281">
        <w:t xml:space="preserve"> in the ERCOT System that can be used to increase Base Points (energy consumption) in SCED;</w:t>
      </w:r>
      <w:r>
        <w:t xml:space="preserve"> </w:t>
      </w:r>
    </w:p>
    <w:p w14:paraId="46BF7462" w14:textId="079EA0CB" w:rsidR="000800A9" w:rsidRDefault="000800A9" w:rsidP="000800A9">
      <w:pPr>
        <w:pStyle w:val="List"/>
        <w:ind w:left="2160"/>
      </w:pPr>
      <w:r>
        <w:lastRenderedPageBreak/>
        <w:t>(vii)</w:t>
      </w:r>
      <w:r>
        <w:tab/>
        <w:t>From Resources participating in SCED plus the Reg-Up</w:t>
      </w:r>
      <w:r w:rsidR="00397A7F">
        <w:t>, ECRS,</w:t>
      </w:r>
      <w:r>
        <w:t xml:space="preserve"> and RRS from Load Resources </w:t>
      </w:r>
      <w:r>
        <w:rPr>
          <w:bCs/>
        </w:rPr>
        <w:t>and the Net Power Consumption minus the Low Power Consumption from Load Resources with a validated Real-Time RRS</w:t>
      </w:r>
      <w:r w:rsidR="00397A7F">
        <w:rPr>
          <w:bCs/>
        </w:rPr>
        <w:t xml:space="preserve"> and ECRS</w:t>
      </w:r>
      <w:r>
        <w:rPr>
          <w:bCs/>
        </w:rPr>
        <w:t xml:space="preserve"> Schedule</w:t>
      </w:r>
      <w:r>
        <w:t>;</w:t>
      </w:r>
    </w:p>
    <w:p w14:paraId="673CA8A2" w14:textId="77777777" w:rsidR="000800A9" w:rsidRDefault="000800A9" w:rsidP="00FB599C">
      <w:pPr>
        <w:pStyle w:val="List"/>
        <w:ind w:left="2160"/>
      </w:pPr>
      <w:r>
        <w:t>(viii)</w:t>
      </w:r>
      <w:r>
        <w:tab/>
        <w:t>From Resources included in item (vii) above plus reserves from Resources that could be made available to SCED in 30 minutes;</w:t>
      </w:r>
    </w:p>
    <w:p w14:paraId="1D1E3C19" w14:textId="5D214FDF" w:rsidR="000800A9" w:rsidRDefault="000800A9" w:rsidP="000800A9">
      <w:pPr>
        <w:pStyle w:val="List"/>
        <w:ind w:left="2160"/>
      </w:pPr>
      <w:r>
        <w:t>(ix)</w:t>
      </w:r>
      <w:r>
        <w:tab/>
        <w:t>In the ERCOT System that can be used to increase Generation Resource Base Points in the next five minutes in SCED; and</w:t>
      </w:r>
    </w:p>
    <w:p w14:paraId="2BF45E7B" w14:textId="77777777" w:rsidR="000800A9" w:rsidRPr="000D24A5" w:rsidRDefault="000800A9" w:rsidP="000800A9">
      <w:pPr>
        <w:pStyle w:val="List"/>
        <w:ind w:left="2160"/>
      </w:pPr>
      <w:r>
        <w:t>(x)</w:t>
      </w:r>
      <w:r>
        <w:tab/>
        <w:t>In the ERCOT System that can be used to decrease Generation Resource Base Points in the next five minutes in SCED;</w:t>
      </w:r>
    </w:p>
    <w:p w14:paraId="58D94E87" w14:textId="31F4DC8F" w:rsidR="000800A9" w:rsidRDefault="000800A9" w:rsidP="000800A9">
      <w:pPr>
        <w:pStyle w:val="List"/>
      </w:pPr>
      <w:r>
        <w:t>(</w:t>
      </w:r>
      <w:r w:rsidR="00397A7F">
        <w:t>l</w:t>
      </w:r>
      <w:r>
        <w:t>)</w:t>
      </w:r>
      <w:r>
        <w:tab/>
        <w:t>Aggregate telemetered HSL capacity for Resources with a telemetered Resource Status of EMR;</w:t>
      </w:r>
    </w:p>
    <w:p w14:paraId="23A67393" w14:textId="690C2049" w:rsidR="000800A9" w:rsidRDefault="000800A9" w:rsidP="000800A9">
      <w:pPr>
        <w:pStyle w:val="List"/>
      </w:pPr>
      <w:r>
        <w:t>(</w:t>
      </w:r>
      <w:r w:rsidR="00397A7F">
        <w:t>m</w:t>
      </w:r>
      <w:r>
        <w:t>)</w:t>
      </w:r>
      <w:r>
        <w:tab/>
        <w:t>Aggregate telemetered HSL capacity for Resources with a telemetered Resource Status of OUT;</w:t>
      </w:r>
    </w:p>
    <w:p w14:paraId="43ACA2C6" w14:textId="604DA074" w:rsidR="000800A9" w:rsidRDefault="000800A9" w:rsidP="000800A9">
      <w:pPr>
        <w:pStyle w:val="List"/>
      </w:pPr>
      <w:r>
        <w:t>(</w:t>
      </w:r>
      <w:r w:rsidR="00397A7F">
        <w:t>n</w:t>
      </w:r>
      <w:r>
        <w:t>)</w:t>
      </w:r>
      <w:r>
        <w:tab/>
        <w:t>Aggregate net telemetered consumption for Resources with a telemetered Resource Status of OUTL; and</w:t>
      </w:r>
    </w:p>
    <w:p w14:paraId="50ED4DA3" w14:textId="0B014B4A" w:rsidR="000800A9" w:rsidRDefault="000800A9" w:rsidP="000800A9">
      <w:pPr>
        <w:pStyle w:val="List"/>
      </w:pPr>
      <w:r>
        <w:t>(</w:t>
      </w:r>
      <w:r w:rsidR="00397A7F">
        <w:t>o</w:t>
      </w:r>
      <w:r>
        <w:t>)</w:t>
      </w:r>
      <w:r>
        <w:tab/>
        <w:t>The ERCOT-wide PRC calculated as follows:</w:t>
      </w:r>
    </w:p>
    <w:p w14:paraId="24C79E4A" w14:textId="0CAC3CBD" w:rsidR="005755D9" w:rsidRDefault="005755D9" w:rsidP="00043D95">
      <w:pPr>
        <w:rPr>
          <w:b/>
          <w:position w:val="30"/>
          <w:sz w:val="20"/>
        </w:rPr>
      </w:pPr>
    </w:p>
    <w:p w14:paraId="6ADD3160" w14:textId="33DCFFAA" w:rsidR="000800A9" w:rsidRDefault="00494238" w:rsidP="00F26F08">
      <w:pPr>
        <w:spacing w:after="240"/>
        <w:rPr>
          <w:b/>
          <w:position w:val="30"/>
          <w:sz w:val="20"/>
        </w:rPr>
      </w:pPr>
      <w:r>
        <w:rPr>
          <w:b/>
          <w:noProof/>
          <w:position w:val="30"/>
          <w:sz w:val="20"/>
        </w:rPr>
        <w:object w:dxaOrig="1440" w:dyaOrig="1440" w14:anchorId="762C5440">
          <v:shape id="_x0000_s4507" type="#_x0000_t75" style="position:absolute;margin-left:39.15pt;margin-top:-27.7pt;width:67.75pt;height:109.9pt;z-index:251654144" fillcolor="red" strokecolor="red">
            <v:fill opacity="13107f" color2="fill darken(118)" o:opacity2="13107f" rotate="t" method="linear sigma" focus="100%" type="gradient"/>
            <v:imagedata r:id="rId15" o:title=""/>
          </v:shape>
          <o:OLEObject Type="Embed" ProgID="Equation.3" ShapeID="_x0000_s4507" DrawAspect="Content" ObjectID="_1815025649" r:id="rId16"/>
        </w:object>
      </w:r>
      <w:r w:rsidR="000800A9">
        <w:rPr>
          <w:b/>
          <w:position w:val="30"/>
          <w:sz w:val="20"/>
        </w:rPr>
        <w:t>PRC</w:t>
      </w:r>
      <w:r w:rsidR="000800A9">
        <w:rPr>
          <w:b/>
          <w:position w:val="30"/>
          <w:sz w:val="20"/>
          <w:vertAlign w:val="subscript"/>
        </w:rPr>
        <w:t>1</w:t>
      </w:r>
      <w:r w:rsidR="000800A9">
        <w:rPr>
          <w:b/>
          <w:position w:val="30"/>
          <w:sz w:val="20"/>
        </w:rPr>
        <w:t xml:space="preserve"> =</w:t>
      </w:r>
      <w:r w:rsidR="000800A9">
        <w:rPr>
          <w:b/>
          <w:position w:val="30"/>
          <w:sz w:val="20"/>
        </w:rPr>
        <w:tab/>
      </w:r>
      <w:r w:rsidR="000800A9">
        <w:rPr>
          <w:b/>
          <w:position w:val="30"/>
          <w:sz w:val="20"/>
        </w:rPr>
        <w:tab/>
      </w:r>
      <w:r w:rsidR="000800A9">
        <w:rPr>
          <w:b/>
          <w:position w:val="30"/>
          <w:sz w:val="20"/>
        </w:rPr>
        <w:tab/>
        <w:t>Min(Max((RDF*(HSL-NFRC) – Actual Net Telemetered Output)</w:t>
      </w:r>
      <w:r w:rsidR="000800A9">
        <w:rPr>
          <w:b/>
          <w:position w:val="30"/>
          <w:sz w:val="20"/>
          <w:vertAlign w:val="subscript"/>
        </w:rPr>
        <w:t>i</w:t>
      </w:r>
      <w:r w:rsidR="000800A9">
        <w:rPr>
          <w:b/>
          <w:position w:val="30"/>
          <w:sz w:val="20"/>
        </w:rPr>
        <w:t xml:space="preserve"> , 0.0) , </w:t>
      </w:r>
      <w:r w:rsidR="000800A9">
        <w:rPr>
          <w:b/>
          <w:position w:val="30"/>
          <w:sz w:val="20"/>
        </w:rPr>
        <w:tab/>
      </w:r>
      <w:r w:rsidR="000800A9">
        <w:rPr>
          <w:b/>
          <w:position w:val="30"/>
          <w:sz w:val="20"/>
        </w:rPr>
        <w:tab/>
      </w:r>
      <w:r w:rsidR="000800A9">
        <w:rPr>
          <w:b/>
          <w:position w:val="30"/>
          <w:sz w:val="20"/>
        </w:rPr>
        <w:tab/>
      </w:r>
      <w:r w:rsidR="000800A9">
        <w:rPr>
          <w:b/>
          <w:position w:val="30"/>
          <w:sz w:val="20"/>
        </w:rPr>
        <w:tab/>
      </w:r>
      <w:r w:rsidR="000800A9">
        <w:rPr>
          <w:b/>
          <w:position w:val="30"/>
          <w:sz w:val="20"/>
        </w:rPr>
        <w:tab/>
        <w:t>0.2*RDF*(HSL-NFRC)</w:t>
      </w:r>
      <w:r w:rsidR="000800A9">
        <w:rPr>
          <w:b/>
          <w:position w:val="30"/>
          <w:sz w:val="20"/>
          <w:vertAlign w:val="subscript"/>
        </w:rPr>
        <w:t>i</w:t>
      </w:r>
      <w:r w:rsidR="000800A9">
        <w:rPr>
          <w:b/>
          <w:position w:val="30"/>
          <w:sz w:val="20"/>
        </w:rPr>
        <w:t>),</w:t>
      </w:r>
    </w:p>
    <w:p w14:paraId="04520672" w14:textId="77777777" w:rsidR="008B5755" w:rsidRDefault="008B5755" w:rsidP="000800A9">
      <w:pPr>
        <w:ind w:right="-1080"/>
      </w:pPr>
    </w:p>
    <w:p w14:paraId="4E79AF82" w14:textId="77777777" w:rsidR="008B5755" w:rsidRDefault="008B5755" w:rsidP="000800A9">
      <w:pPr>
        <w:ind w:right="-1080"/>
      </w:pPr>
    </w:p>
    <w:p w14:paraId="42BC2A3C" w14:textId="59CDFD42" w:rsidR="000800A9" w:rsidRDefault="000800A9" w:rsidP="000800A9">
      <w:pPr>
        <w:ind w:right="-1080"/>
      </w:pPr>
      <w:r>
        <w:t>where the included On-Line Generation Resources do not include WGRs, nuclear Generation</w:t>
      </w:r>
    </w:p>
    <w:p w14:paraId="47AD0B1A" w14:textId="77777777" w:rsidR="000800A9" w:rsidRDefault="000800A9" w:rsidP="000800A9">
      <w:pPr>
        <w:ind w:right="-1080"/>
      </w:pPr>
      <w:r>
        <w:t xml:space="preserve">Resources, or Generation Resources with an output less than or equal to 95% of telemetered LSL or </w:t>
      </w:r>
    </w:p>
    <w:p w14:paraId="548FACFA" w14:textId="5F6614CE" w:rsidR="000800A9" w:rsidRDefault="000800A9" w:rsidP="000800A9">
      <w:pPr>
        <w:ind w:right="-1080"/>
      </w:pPr>
      <w:r>
        <w:t xml:space="preserve">with a telemetered status of ONTEST, </w:t>
      </w:r>
      <w:r w:rsidR="004B52B4">
        <w:t xml:space="preserve">ONHOLD, </w:t>
      </w:r>
      <w:r>
        <w:t>STARTUP, or SHUTDOWN.</w:t>
      </w:r>
    </w:p>
    <w:p w14:paraId="39FE812C" w14:textId="716E0D58" w:rsidR="00B25AA4" w:rsidRDefault="00B25AA4" w:rsidP="000800A9">
      <w:pPr>
        <w:ind w:right="-1080"/>
      </w:pPr>
    </w:p>
    <w:p w14:paraId="3E1A4C73" w14:textId="79387B98" w:rsidR="000800A9" w:rsidRDefault="000800A9" w:rsidP="000800A9">
      <w:pPr>
        <w:rPr>
          <w:b/>
          <w:position w:val="30"/>
          <w:sz w:val="20"/>
        </w:rPr>
      </w:pPr>
    </w:p>
    <w:p w14:paraId="242849C4" w14:textId="2602D026" w:rsidR="00397A7F" w:rsidRDefault="00397A7F" w:rsidP="000800A9">
      <w:pPr>
        <w:rPr>
          <w:b/>
          <w:position w:val="30"/>
          <w:sz w:val="20"/>
        </w:rPr>
      </w:pPr>
      <w:r>
        <w:rPr>
          <w:noProof/>
        </w:rPr>
        <mc:AlternateContent>
          <mc:Choice Requires="wpc">
            <w:drawing>
              <wp:anchor distT="0" distB="0" distL="114300" distR="114300" simplePos="0" relativeHeight="251659264" behindDoc="0" locked="0" layoutInCell="1" allowOverlap="1" wp14:anchorId="1DA91C3E" wp14:editId="3DF312E8">
                <wp:simplePos x="0" y="0"/>
                <wp:positionH relativeFrom="column">
                  <wp:posOffset>507357</wp:posOffset>
                </wp:positionH>
                <wp:positionV relativeFrom="paragraph">
                  <wp:posOffset>-309245</wp:posOffset>
                </wp:positionV>
                <wp:extent cx="761365" cy="1394460"/>
                <wp:effectExtent l="0" t="0" r="0" b="0"/>
                <wp:wrapNone/>
                <wp:docPr id="2497"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1"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AA99A" w14:textId="77777777" w:rsidR="00847E53" w:rsidRDefault="00847E53" w:rsidP="000800A9">
                              <w:r>
                                <w:rPr>
                                  <w:rFonts w:ascii="Symbol" w:hAnsi="Symbol" w:cs="Symbol"/>
                                  <w:color w:val="000000"/>
                                  <w:sz w:val="32"/>
                                  <w:szCs w:val="32"/>
                                </w:rPr>
                                <w:t></w:t>
                              </w:r>
                            </w:p>
                          </w:txbxContent>
                        </wps:txbx>
                        <wps:bodyPr rot="0" vert="horz" wrap="square" lIns="0" tIns="0" rIns="0" bIns="0" anchor="t" anchorCtr="0" upright="1">
                          <a:noAutofit/>
                        </wps:bodyPr>
                      </wps:wsp>
                      <wps:wsp>
                        <wps:cNvPr id="112" name="Rectangle 108"/>
                        <wps:cNvSpPr>
                          <a:spLocks noChangeArrowheads="1"/>
                        </wps:cNvSpPr>
                        <wps:spPr bwMode="auto">
                          <a:xfrm>
                            <a:off x="90108" y="842036"/>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9248" w14:textId="77777777" w:rsidR="00847E53" w:rsidRDefault="00847E53" w:rsidP="000800A9">
                              <w:r>
                                <w:rPr>
                                  <w:rFonts w:ascii="Symbol" w:hAnsi="Symbol" w:cs="Symbol"/>
                                  <w:color w:val="000000"/>
                                  <w:szCs w:val="24"/>
                                </w:rPr>
                                <w:t></w:t>
                              </w:r>
                            </w:p>
                          </w:txbxContent>
                        </wps:txbx>
                        <wps:bodyPr rot="0" vert="horz" wrap="none" lIns="0" tIns="0" rIns="0" bIns="0" anchor="t" anchorCtr="0" upright="1">
                          <a:spAutoFit/>
                        </wps:bodyPr>
                      </wps:wsp>
                      <wps:wsp>
                        <wps:cNvPr id="113" name="Rectangle 109"/>
                        <wps:cNvSpPr>
                          <a:spLocks noChangeArrowheads="1"/>
                        </wps:cNvSpPr>
                        <wps:spPr bwMode="auto">
                          <a:xfrm>
                            <a:off x="40603" y="326414"/>
                            <a:ext cx="407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43EDA" w14:textId="77777777" w:rsidR="00847E53" w:rsidRDefault="00847E53" w:rsidP="000800A9">
                              <w:r>
                                <w:rPr>
                                  <w:b/>
                                  <w:bCs/>
                                  <w:i/>
                                  <w:iCs/>
                                  <w:color w:val="000000"/>
                                  <w:szCs w:val="24"/>
                                </w:rPr>
                                <w:t>WGRs</w:t>
                              </w:r>
                            </w:p>
                          </w:txbxContent>
                        </wps:txbx>
                        <wps:bodyPr rot="0" vert="horz" wrap="none" lIns="0" tIns="0" rIns="0" bIns="0" anchor="t" anchorCtr="0" upright="1">
                          <a:spAutoFit/>
                        </wps:bodyPr>
                      </wps:wsp>
                      <wps:wsp>
                        <wps:cNvPr id="114" name="Rectangle 110"/>
                        <wps:cNvSpPr>
                          <a:spLocks noChangeArrowheads="1"/>
                        </wps:cNvSpPr>
                        <wps:spPr bwMode="auto">
                          <a:xfrm>
                            <a:off x="29202" y="17140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B05F0" w14:textId="77777777" w:rsidR="00847E53" w:rsidRDefault="00847E53" w:rsidP="000800A9">
                              <w:r>
                                <w:rPr>
                                  <w:b/>
                                  <w:bCs/>
                                  <w:i/>
                                  <w:iCs/>
                                  <w:color w:val="000000"/>
                                  <w:szCs w:val="24"/>
                                </w:rPr>
                                <w:t>online</w:t>
                              </w:r>
                            </w:p>
                          </w:txbxContent>
                        </wps:txbx>
                        <wps:bodyPr rot="0" vert="horz" wrap="none" lIns="0" tIns="0" rIns="0" bIns="0" anchor="t" anchorCtr="0" upright="1">
                          <a:spAutoFit/>
                        </wps:bodyPr>
                      </wps:wsp>
                      <wps:wsp>
                        <wps:cNvPr id="115" name="Rectangle 111"/>
                        <wps:cNvSpPr>
                          <a:spLocks noChangeArrowheads="1"/>
                        </wps:cNvSpPr>
                        <wps:spPr bwMode="auto">
                          <a:xfrm>
                            <a:off x="74306" y="16501"/>
                            <a:ext cx="186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9696B" w14:textId="77777777" w:rsidR="00847E53" w:rsidRDefault="00847E53" w:rsidP="000800A9">
                              <w:r>
                                <w:rPr>
                                  <w:b/>
                                  <w:bCs/>
                                  <w:i/>
                                  <w:iCs/>
                                  <w:color w:val="000000"/>
                                  <w:szCs w:val="24"/>
                                </w:rPr>
                                <w:t>All</w:t>
                              </w:r>
                            </w:p>
                          </w:txbxContent>
                        </wps:txbx>
                        <wps:bodyPr rot="0" vert="horz" wrap="none" lIns="0" tIns="0" rIns="0" bIns="0" anchor="t" anchorCtr="0" upright="1">
                          <a:spAutoFit/>
                        </wps:bodyPr>
                      </wps:wsp>
                      <wps:wsp>
                        <wps:cNvPr id="116" name="Rectangle 112"/>
                        <wps:cNvSpPr>
                          <a:spLocks noChangeArrowheads="1"/>
                        </wps:cNvSpPr>
                        <wps:spPr bwMode="auto">
                          <a:xfrm>
                            <a:off x="40603" y="1014744"/>
                            <a:ext cx="3486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032C6" w14:textId="77777777" w:rsidR="00847E53" w:rsidRDefault="00847E53" w:rsidP="000800A9">
                              <w:r>
                                <w:rPr>
                                  <w:b/>
                                  <w:bCs/>
                                  <w:i/>
                                  <w:iCs/>
                                  <w:color w:val="000000"/>
                                  <w:szCs w:val="24"/>
                                </w:rPr>
                                <w:t>WGR</w:t>
                              </w:r>
                            </w:p>
                          </w:txbxContent>
                        </wps:txbx>
                        <wps:bodyPr rot="0" vert="horz" wrap="none" lIns="0" tIns="0" rIns="0" bIns="0" anchor="t" anchorCtr="0" upright="1">
                          <a:spAutoFit/>
                        </wps:bodyPr>
                      </wps:wsp>
                      <wps:wsp>
                        <wps:cNvPr id="117" name="Rectangle 113"/>
                        <wps:cNvSpPr>
                          <a:spLocks noChangeArrowheads="1"/>
                        </wps:cNvSpPr>
                        <wps:spPr bwMode="auto">
                          <a:xfrm>
                            <a:off x="179115" y="85983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356EE" w14:textId="77777777" w:rsidR="00847E53" w:rsidRDefault="00847E53" w:rsidP="000800A9">
                              <w:r>
                                <w:rPr>
                                  <w:b/>
                                  <w:bCs/>
                                  <w:i/>
                                  <w:iCs/>
                                  <w:color w:val="000000"/>
                                  <w:szCs w:val="24"/>
                                </w:rPr>
                                <w:t>online</w:t>
                              </w:r>
                            </w:p>
                          </w:txbxContent>
                        </wps:txbx>
                        <wps:bodyPr rot="0" vert="horz" wrap="none" lIns="0" tIns="0" rIns="0" bIns="0" anchor="t" anchorCtr="0" upright="1">
                          <a:spAutoFit/>
                        </wps:bodyPr>
                      </wps:wsp>
                      <wps:wsp>
                        <wps:cNvPr id="118" name="Rectangle 114"/>
                        <wps:cNvSpPr>
                          <a:spLocks noChangeArrowheads="1"/>
                        </wps:cNvSpPr>
                        <wps:spPr bwMode="auto">
                          <a:xfrm>
                            <a:off x="31703" y="85983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3CA35" w14:textId="77777777" w:rsidR="00847E53" w:rsidRDefault="00847E53" w:rsidP="000800A9">
                              <w:r>
                                <w:rPr>
                                  <w:b/>
                                  <w:bCs/>
                                  <w:i/>
                                  <w:iCs/>
                                  <w:color w:val="000000"/>
                                  <w:szCs w:val="24"/>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1DA91C3E" id="Canvas 111" o:spid="_x0000_s1424" editas="canvas" style="position:absolute;margin-left:39.95pt;margin-top:-24.35pt;width:59.95pt;height:109.8pt;z-index:251659264"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">
                <v:shape id="_x0000_s1425" type="#_x0000_t75" style="position:absolute;width:7613;height:13944;visibility:visible;mso-wrap-style:square">
                  <v:fill o:detectmouseclick="t"/>
                  <v:path o:connecttype="none"/>
                </v:shape>
                <v:rect id="Rectangle 107" o:spid="_x0000_s1426" style="position:absolute;left:1422;top:5016;width:1359;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4D6AA99A" w14:textId="77777777" w:rsidR="00847E53" w:rsidRDefault="00847E53" w:rsidP="000800A9">
                        <w:r>
                          <w:rPr>
                            <w:rFonts w:ascii="Symbol" w:hAnsi="Symbol" w:cs="Symbol"/>
                            <w:color w:val="000000"/>
                            <w:sz w:val="32"/>
                            <w:szCs w:val="32"/>
                          </w:rPr>
                          <w:t></w:t>
                        </w:r>
                      </w:p>
                    </w:txbxContent>
                  </v:textbox>
                </v:rect>
                <v:rect id="Rectangle 108" o:spid="_x0000_s1427" style="position:absolute;left:901;top:8420;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6BA49248" w14:textId="77777777" w:rsidR="00847E53" w:rsidRDefault="00847E53" w:rsidP="000800A9">
                        <w:r>
                          <w:rPr>
                            <w:rFonts w:ascii="Symbol" w:hAnsi="Symbol" w:cs="Symbol"/>
                            <w:color w:val="000000"/>
                            <w:szCs w:val="24"/>
                          </w:rPr>
                          <w:t></w:t>
                        </w:r>
                      </w:p>
                    </w:txbxContent>
                  </v:textbox>
                </v:rect>
                <v:rect id="Rectangle 109" o:spid="_x0000_s1428" style="position:absolute;left:406;top:3264;width:407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6CC43EDA" w14:textId="77777777" w:rsidR="00847E53" w:rsidRDefault="00847E53" w:rsidP="000800A9">
                        <w:r>
                          <w:rPr>
                            <w:b/>
                            <w:bCs/>
                            <w:i/>
                            <w:iCs/>
                            <w:color w:val="000000"/>
                            <w:szCs w:val="24"/>
                          </w:rPr>
                          <w:t>WGRs</w:t>
                        </w:r>
                      </w:p>
                    </w:txbxContent>
                  </v:textbox>
                </v:rect>
                <v:rect id="Rectangle 110" o:spid="_x0000_s1429" style="position:absolute;left:292;top:1714;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4C1B05F0" w14:textId="77777777" w:rsidR="00847E53" w:rsidRDefault="00847E53" w:rsidP="000800A9">
                        <w:r>
                          <w:rPr>
                            <w:b/>
                            <w:bCs/>
                            <w:i/>
                            <w:iCs/>
                            <w:color w:val="000000"/>
                            <w:szCs w:val="24"/>
                          </w:rPr>
                          <w:t>online</w:t>
                        </w:r>
                      </w:p>
                    </w:txbxContent>
                  </v:textbox>
                </v:rect>
                <v:rect id="Rectangle 111" o:spid="_x0000_s1430" style="position:absolute;left:743;top:165;width:186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2839696B" w14:textId="77777777" w:rsidR="00847E53" w:rsidRDefault="00847E53" w:rsidP="000800A9">
                        <w:r>
                          <w:rPr>
                            <w:b/>
                            <w:bCs/>
                            <w:i/>
                            <w:iCs/>
                            <w:color w:val="000000"/>
                            <w:szCs w:val="24"/>
                          </w:rPr>
                          <w:t>All</w:t>
                        </w:r>
                      </w:p>
                    </w:txbxContent>
                  </v:textbox>
                </v:rect>
                <v:rect id="Rectangle 112" o:spid="_x0000_s1431" style="position:absolute;left:406;top:10147;width:34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08A032C6" w14:textId="77777777" w:rsidR="00847E53" w:rsidRDefault="00847E53" w:rsidP="000800A9">
                        <w:r>
                          <w:rPr>
                            <w:b/>
                            <w:bCs/>
                            <w:i/>
                            <w:iCs/>
                            <w:color w:val="000000"/>
                            <w:szCs w:val="24"/>
                          </w:rPr>
                          <w:t>WGR</w:t>
                        </w:r>
                      </w:p>
                    </w:txbxContent>
                  </v:textbox>
                </v:rect>
                <v:rect id="Rectangle 113" o:spid="_x0000_s1432" style="position:absolute;left:1791;top:859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1B6356EE" w14:textId="77777777" w:rsidR="00847E53" w:rsidRDefault="00847E53" w:rsidP="000800A9">
                        <w:r>
                          <w:rPr>
                            <w:b/>
                            <w:bCs/>
                            <w:i/>
                            <w:iCs/>
                            <w:color w:val="000000"/>
                            <w:szCs w:val="24"/>
                          </w:rPr>
                          <w:t>online</w:t>
                        </w:r>
                      </w:p>
                    </w:txbxContent>
                  </v:textbox>
                </v:rect>
                <v:rect id="Rectangle 114" o:spid="_x0000_s1433" style="position:absolute;left:317;top:859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2F03CA35" w14:textId="77777777" w:rsidR="00847E53" w:rsidRDefault="00847E53" w:rsidP="000800A9">
                        <w:r>
                          <w:rPr>
                            <w:b/>
                            <w:bCs/>
                            <w:i/>
                            <w:iCs/>
                            <w:color w:val="000000"/>
                            <w:szCs w:val="24"/>
                          </w:rPr>
                          <w:t>i</w:t>
                        </w:r>
                      </w:p>
                    </w:txbxContent>
                  </v:textbox>
                </v:rect>
              </v:group>
            </w:pict>
          </mc:Fallback>
        </mc:AlternateContent>
      </w:r>
    </w:p>
    <w:p w14:paraId="11F39C31" w14:textId="381F4F0C" w:rsidR="000800A9" w:rsidRDefault="000800A9" w:rsidP="000800A9">
      <w:pPr>
        <w:rPr>
          <w:b/>
          <w:position w:val="30"/>
          <w:sz w:val="20"/>
        </w:rPr>
      </w:pPr>
      <w:r>
        <w:rPr>
          <w:b/>
          <w:position w:val="30"/>
          <w:sz w:val="20"/>
        </w:rPr>
        <w:t>PRC</w:t>
      </w:r>
      <w:r>
        <w:rPr>
          <w:b/>
          <w:position w:val="30"/>
          <w:sz w:val="20"/>
          <w:vertAlign w:val="subscript"/>
        </w:rPr>
        <w:t>2</w:t>
      </w:r>
      <w:r>
        <w:rPr>
          <w:b/>
          <w:position w:val="30"/>
          <w:sz w:val="20"/>
        </w:rPr>
        <w:t xml:space="preserve"> =</w:t>
      </w:r>
      <w:r>
        <w:rPr>
          <w:b/>
          <w:position w:val="30"/>
          <w:sz w:val="20"/>
        </w:rPr>
        <w:tab/>
      </w:r>
      <w:r>
        <w:rPr>
          <w:b/>
          <w:position w:val="30"/>
          <w:sz w:val="20"/>
        </w:rPr>
        <w:tab/>
      </w:r>
      <w:r>
        <w:rPr>
          <w:b/>
          <w:position w:val="30"/>
          <w:sz w:val="20"/>
        </w:rPr>
        <w:tab/>
        <w:t>Min(Max((RDF</w:t>
      </w:r>
      <w:r>
        <w:rPr>
          <w:b/>
          <w:position w:val="30"/>
          <w:sz w:val="20"/>
          <w:vertAlign w:val="subscript"/>
        </w:rPr>
        <w:t>W</w:t>
      </w:r>
      <w:r>
        <w:rPr>
          <w:b/>
          <w:position w:val="30"/>
          <w:sz w:val="20"/>
        </w:rPr>
        <w:t>*HSL – Actual Net Telemetered Output)</w:t>
      </w:r>
      <w:r>
        <w:rPr>
          <w:b/>
          <w:position w:val="30"/>
          <w:sz w:val="20"/>
          <w:vertAlign w:val="subscript"/>
        </w:rPr>
        <w:t>i</w:t>
      </w:r>
      <w:r>
        <w:rPr>
          <w:b/>
          <w:position w:val="30"/>
          <w:sz w:val="20"/>
        </w:rPr>
        <w:t xml:space="preserve"> , 0.0) , 0.2*RDF</w:t>
      </w:r>
      <w:r>
        <w:rPr>
          <w:b/>
          <w:position w:val="30"/>
          <w:sz w:val="20"/>
          <w:vertAlign w:val="subscript"/>
        </w:rPr>
        <w:t>W</w:t>
      </w:r>
      <w:r>
        <w:rPr>
          <w:b/>
          <w:position w:val="30"/>
          <w:sz w:val="20"/>
        </w:rPr>
        <w:t>*HSL</w:t>
      </w:r>
      <w:r>
        <w:rPr>
          <w:b/>
          <w:position w:val="30"/>
          <w:sz w:val="20"/>
          <w:vertAlign w:val="subscript"/>
        </w:rPr>
        <w:t>i</w:t>
      </w:r>
      <w:r>
        <w:rPr>
          <w:b/>
          <w:position w:val="30"/>
          <w:sz w:val="20"/>
        </w:rPr>
        <w:t>),</w:t>
      </w:r>
    </w:p>
    <w:p w14:paraId="49BBB10F" w14:textId="77777777" w:rsidR="000800A9" w:rsidRDefault="000800A9" w:rsidP="000800A9">
      <w:pPr>
        <w:ind w:right="-1080" w:hanging="1080"/>
        <w:rPr>
          <w:b/>
          <w:position w:val="30"/>
        </w:rPr>
      </w:pPr>
    </w:p>
    <w:p w14:paraId="40845B33" w14:textId="77777777" w:rsidR="000800A9" w:rsidRDefault="000800A9" w:rsidP="00D14D4E">
      <w:pPr>
        <w:spacing w:before="120"/>
        <w:ind w:right="-1080"/>
      </w:pPr>
      <w:r>
        <w:t>where the included On-Line WGRs only include WGRs that are Primary Frequency Response-capable.</w:t>
      </w:r>
    </w:p>
    <w:p w14:paraId="30AB89B2" w14:textId="2B727A77" w:rsidR="000800A9" w:rsidRDefault="000800A9" w:rsidP="000800A9">
      <w:pPr>
        <w:ind w:left="2160" w:hanging="2160"/>
        <w:rPr>
          <w:b/>
          <w:position w:val="30"/>
          <w:sz w:val="20"/>
        </w:rPr>
      </w:pPr>
    </w:p>
    <w:p w14:paraId="3FCE4728" w14:textId="61D0F0F5" w:rsidR="000800A9" w:rsidRDefault="00494238" w:rsidP="000800A9">
      <w:pPr>
        <w:ind w:left="2160" w:hanging="2160"/>
        <w:rPr>
          <w:b/>
          <w:position w:val="30"/>
          <w:sz w:val="20"/>
        </w:rPr>
      </w:pPr>
      <w:r>
        <w:rPr>
          <w:b/>
          <w:noProof/>
          <w:position w:val="30"/>
          <w:sz w:val="20"/>
        </w:rPr>
        <w:lastRenderedPageBreak/>
        <w:object w:dxaOrig="1440" w:dyaOrig="1440" w14:anchorId="7BAD317D">
          <v:shape id="_x0000_s4508" type="#_x0000_t75" style="position:absolute;left:0;text-align:left;margin-left:35pt;margin-top:-17.6pt;width:67.85pt;height:110.1pt;z-index:251655168" fillcolor="red" strokecolor="red">
            <v:fill opacity="13107f" color2="fill darken(118)" o:opacity2="13107f" rotate="t" method="linear sigma" focus="100%" type="gradient"/>
            <v:imagedata r:id="rId15" o:title=""/>
          </v:shape>
          <o:OLEObject Type="Embed" ProgID="Equation.3" ShapeID="_x0000_s4508" DrawAspect="Content" ObjectID="_1815025650" r:id="rId17"/>
        </w:object>
      </w:r>
    </w:p>
    <w:p w14:paraId="678CAD09" w14:textId="0A173E1C" w:rsidR="000800A9" w:rsidRDefault="000800A9" w:rsidP="000800A9">
      <w:pPr>
        <w:ind w:left="2160" w:hanging="2160"/>
        <w:rPr>
          <w:b/>
          <w:position w:val="30"/>
          <w:sz w:val="20"/>
        </w:rPr>
      </w:pPr>
      <w:r>
        <w:rPr>
          <w:b/>
          <w:position w:val="30"/>
          <w:sz w:val="20"/>
        </w:rPr>
        <w:t>PRC</w:t>
      </w:r>
      <w:r>
        <w:rPr>
          <w:b/>
          <w:position w:val="30"/>
          <w:sz w:val="20"/>
          <w:vertAlign w:val="subscript"/>
        </w:rPr>
        <w:t>3</w:t>
      </w:r>
      <w:r>
        <w:rPr>
          <w:b/>
          <w:position w:val="30"/>
          <w:sz w:val="20"/>
        </w:rPr>
        <w:t xml:space="preserve"> =</w:t>
      </w:r>
      <w:r>
        <w:rPr>
          <w:b/>
          <w:position w:val="30"/>
          <w:sz w:val="20"/>
        </w:rPr>
        <w:tab/>
        <w:t>((</w:t>
      </w:r>
      <w:r w:rsidR="00397A7F">
        <w:rPr>
          <w:b/>
          <w:position w:val="30"/>
          <w:sz w:val="20"/>
        </w:rPr>
        <w:t>S</w:t>
      </w:r>
      <w:r>
        <w:rPr>
          <w:b/>
          <w:position w:val="30"/>
          <w:sz w:val="20"/>
        </w:rPr>
        <w:t>ynchronous condenser output)</w:t>
      </w:r>
      <w:r>
        <w:rPr>
          <w:b/>
          <w:position w:val="30"/>
          <w:sz w:val="20"/>
          <w:vertAlign w:val="subscript"/>
        </w:rPr>
        <w:t>i</w:t>
      </w:r>
      <w:r>
        <w:rPr>
          <w:b/>
          <w:position w:val="30"/>
          <w:sz w:val="20"/>
        </w:rPr>
        <w:t xml:space="preserve"> as qualified by item (8) of Operating Guide Section 2.3.1.2, Additional Operational Details for Responsive Reserve </w:t>
      </w:r>
      <w:r w:rsidR="00397A7F">
        <w:rPr>
          <w:b/>
          <w:position w:val="30"/>
          <w:sz w:val="20"/>
        </w:rPr>
        <w:t xml:space="preserve">and ERCOT Contingency Reserve Service </w:t>
      </w:r>
      <w:r>
        <w:rPr>
          <w:b/>
          <w:position w:val="30"/>
          <w:sz w:val="20"/>
        </w:rPr>
        <w:t>Providers))</w:t>
      </w:r>
    </w:p>
    <w:p w14:paraId="3B3552B8" w14:textId="77777777" w:rsidR="00B25AA4" w:rsidRDefault="00B25AA4" w:rsidP="002E4A29">
      <w:pPr>
        <w:tabs>
          <w:tab w:val="left" w:pos="2160"/>
        </w:tabs>
        <w:ind w:left="2160" w:hanging="2160"/>
        <w:rPr>
          <w:b/>
          <w:position w:val="30"/>
          <w:sz w:val="20"/>
        </w:rPr>
      </w:pPr>
    </w:p>
    <w:p w14:paraId="271C0ED1" w14:textId="4D170561" w:rsidR="000800A9" w:rsidRDefault="00512F93" w:rsidP="00D56BB3">
      <w:pPr>
        <w:tabs>
          <w:tab w:val="left" w:pos="2160"/>
        </w:tabs>
        <w:spacing w:before="480"/>
        <w:ind w:left="2160" w:hanging="2160"/>
        <w:rPr>
          <w:b/>
          <w:position w:val="30"/>
          <w:sz w:val="20"/>
          <w:vertAlign w:val="subscript"/>
        </w:rPr>
      </w:pPr>
      <w:r>
        <w:rPr>
          <w:noProof/>
        </w:rPr>
        <mc:AlternateContent>
          <mc:Choice Requires="wpc">
            <w:drawing>
              <wp:anchor distT="0" distB="0" distL="114300" distR="114300" simplePos="0" relativeHeight="251657216" behindDoc="0" locked="0" layoutInCell="1" allowOverlap="1" wp14:anchorId="77FA8D60" wp14:editId="0649A788">
                <wp:simplePos x="0" y="0"/>
                <wp:positionH relativeFrom="column">
                  <wp:posOffset>480060</wp:posOffset>
                </wp:positionH>
                <wp:positionV relativeFrom="paragraph">
                  <wp:posOffset>1311910</wp:posOffset>
                </wp:positionV>
                <wp:extent cx="737235" cy="1543685"/>
                <wp:effectExtent l="0" t="0" r="0" b="0"/>
                <wp:wrapNone/>
                <wp:docPr id="2473"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83"/>
                        <wps:cNvSpPr>
                          <a:spLocks noChangeArrowheads="1"/>
                        </wps:cNvSpPr>
                        <wps:spPr bwMode="auto">
                          <a:xfrm>
                            <a:off x="171408" y="81978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54188" w14:textId="77777777" w:rsidR="00847E53" w:rsidRPr="00B074A0" w:rsidRDefault="00847E53" w:rsidP="000800A9">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70" name="Rectangle 84"/>
                        <wps:cNvSpPr>
                          <a:spLocks noChangeArrowheads="1"/>
                        </wps:cNvSpPr>
                        <wps:spPr bwMode="auto">
                          <a:xfrm>
                            <a:off x="101605" y="1054083"/>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116DE" w14:textId="77777777" w:rsidR="00847E53" w:rsidRDefault="00847E53" w:rsidP="000800A9">
                              <w:r>
                                <w:rPr>
                                  <w:rFonts w:ascii="Symbol" w:hAnsi="Symbol" w:cs="Symbol"/>
                                  <w:color w:val="000000"/>
                                </w:rPr>
                                <w:t></w:t>
                              </w:r>
                            </w:p>
                          </w:txbxContent>
                        </wps:txbx>
                        <wps:bodyPr rot="0" vert="horz" wrap="none" lIns="0" tIns="0" rIns="0" bIns="0" anchor="t" anchorCtr="0" upright="1">
                          <a:spAutoFit/>
                        </wps:bodyPr>
                      </wps:wsp>
                      <wps:wsp>
                        <wps:cNvPr id="72" name="Rectangle 85"/>
                        <wps:cNvSpPr>
                          <a:spLocks noChangeArrowheads="1"/>
                        </wps:cNvSpPr>
                        <wps:spPr bwMode="auto">
                          <a:xfrm>
                            <a:off x="35602" y="553742"/>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124CB" w14:textId="77777777" w:rsidR="00847E53" w:rsidRPr="00B34B0A" w:rsidRDefault="00847E53" w:rsidP="000800A9">
                              <w:pPr>
                                <w:rPr>
                                  <w:b/>
                                </w:rPr>
                              </w:pPr>
                              <w:r w:rsidRPr="00B34B0A">
                                <w:rPr>
                                  <w:b/>
                                  <w:i/>
                                  <w:iCs/>
                                  <w:color w:val="000000"/>
                                </w:rPr>
                                <w:t>resources</w:t>
                              </w:r>
                            </w:p>
                          </w:txbxContent>
                        </wps:txbx>
                        <wps:bodyPr rot="0" vert="horz" wrap="none" lIns="0" tIns="0" rIns="0" bIns="0" anchor="t" anchorCtr="0" upright="1">
                          <a:spAutoFit/>
                        </wps:bodyPr>
                      </wps:wsp>
                      <wps:wsp>
                        <wps:cNvPr id="73" name="Rectangle 86"/>
                        <wps:cNvSpPr>
                          <a:spLocks noChangeArrowheads="1"/>
                        </wps:cNvSpPr>
                        <wps:spPr bwMode="auto">
                          <a:xfrm>
                            <a:off x="69850" y="38730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78D95"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76" name="Rectangle 87"/>
                        <wps:cNvSpPr>
                          <a:spLocks noChangeArrowheads="1"/>
                        </wps:cNvSpPr>
                        <wps:spPr bwMode="auto">
                          <a:xfrm>
                            <a:off x="33702" y="255261"/>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5343E"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77" name="Rectangle 88"/>
                        <wps:cNvSpPr>
                          <a:spLocks noChangeArrowheads="1"/>
                        </wps:cNvSpPr>
                        <wps:spPr bwMode="auto">
                          <a:xfrm>
                            <a:off x="45702" y="9144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E9E05" w14:textId="77777777" w:rsidR="00847E53" w:rsidRPr="00B34B0A" w:rsidRDefault="00847E53" w:rsidP="000800A9">
                              <w:pPr>
                                <w:rPr>
                                  <w:b/>
                                </w:rPr>
                              </w:pPr>
                              <w:r w:rsidRPr="00B34B0A">
                                <w:rPr>
                                  <w:b/>
                                  <w:i/>
                                  <w:iCs/>
                                  <w:color w:val="000000"/>
                                </w:rPr>
                                <w:t>All</w:t>
                              </w:r>
                            </w:p>
                          </w:txbxContent>
                        </wps:txbx>
                        <wps:bodyPr rot="0" vert="horz" wrap="square" lIns="0" tIns="0" rIns="0" bIns="0" anchor="t" anchorCtr="0" upright="1">
                          <a:spAutoFit/>
                        </wps:bodyPr>
                      </wps:wsp>
                      <wps:wsp>
                        <wps:cNvPr id="78" name="Rectangle 89"/>
                        <wps:cNvSpPr>
                          <a:spLocks noChangeArrowheads="1"/>
                        </wps:cNvSpPr>
                        <wps:spPr bwMode="auto">
                          <a:xfrm>
                            <a:off x="62903" y="1336684"/>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41D0C" w14:textId="77777777" w:rsidR="00847E53" w:rsidRPr="00B34B0A" w:rsidRDefault="00847E53" w:rsidP="000800A9">
                              <w:pPr>
                                <w:rPr>
                                  <w:b/>
                                </w:rPr>
                              </w:pPr>
                              <w:r w:rsidRPr="00B34B0A">
                                <w:rPr>
                                  <w:b/>
                                  <w:i/>
                                  <w:iCs/>
                                  <w:color w:val="000000"/>
                                </w:rPr>
                                <w:t>resource</w:t>
                              </w:r>
                            </w:p>
                          </w:txbxContent>
                        </wps:txbx>
                        <wps:bodyPr rot="0" vert="horz" wrap="none" lIns="0" tIns="0" rIns="0" bIns="0" anchor="t" anchorCtr="0" upright="1">
                          <a:spAutoFit/>
                        </wps:bodyPr>
                      </wps:wsp>
                      <wps:wsp>
                        <wps:cNvPr id="79" name="Rectangle 90"/>
                        <wps:cNvSpPr>
                          <a:spLocks noChangeArrowheads="1"/>
                        </wps:cNvSpPr>
                        <wps:spPr bwMode="auto">
                          <a:xfrm>
                            <a:off x="58403" y="1202684"/>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0C12E"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80" name="Rectangle 91"/>
                        <wps:cNvSpPr>
                          <a:spLocks noChangeArrowheads="1"/>
                        </wps:cNvSpPr>
                        <wps:spPr bwMode="auto">
                          <a:xfrm>
                            <a:off x="174608" y="1068683"/>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96C2B"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81" name="Rectangle 92"/>
                        <wps:cNvSpPr>
                          <a:spLocks noChangeArrowheads="1"/>
                        </wps:cNvSpPr>
                        <wps:spPr bwMode="auto">
                          <a:xfrm>
                            <a:off x="58403" y="1068683"/>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E4F6B" w14:textId="77777777" w:rsidR="00847E53" w:rsidRPr="00B34B0A" w:rsidRDefault="00847E53" w:rsidP="000800A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77FA8D60" id="Canvas 91" o:spid="_x0000_s1434" editas="canvas" style="position:absolute;left:0;text-align:left;margin-left:37.8pt;margin-top:103.3pt;width:58.05pt;height:121.55pt;z-index:251657216" coordsize="7372,15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">
                <v:shape id="_x0000_s1435" type="#_x0000_t75" style="position:absolute;width:7372;height:15436;visibility:visible;mso-wrap-style:square">
                  <v:fill o:detectmouseclick="t"/>
                  <v:path o:connecttype="none"/>
                </v:shape>
                <v:rect id="Rectangle 83" o:spid="_x0000_s1436" style="position:absolute;left:1714;top:8197;width:1454;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5CA54188" w14:textId="77777777" w:rsidR="00847E53" w:rsidRPr="00B074A0" w:rsidRDefault="00847E53" w:rsidP="000800A9">
                        <w:pPr>
                          <w:rPr>
                            <w:sz w:val="32"/>
                            <w:szCs w:val="32"/>
                          </w:rPr>
                        </w:pPr>
                        <w:r w:rsidRPr="00B074A0">
                          <w:rPr>
                            <w:rFonts w:ascii="Symbol" w:hAnsi="Symbol" w:cs="Symbol"/>
                            <w:color w:val="000000"/>
                            <w:sz w:val="32"/>
                            <w:szCs w:val="32"/>
                          </w:rPr>
                          <w:t></w:t>
                        </w:r>
                      </w:p>
                    </w:txbxContent>
                  </v:textbox>
                </v:rect>
                <v:rect id="Rectangle 84" o:spid="_x0000_s1437" style="position:absolute;left:1016;top:10540;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25C116DE" w14:textId="77777777" w:rsidR="00847E53" w:rsidRDefault="00847E53" w:rsidP="000800A9">
                        <w:r>
                          <w:rPr>
                            <w:rFonts w:ascii="Symbol" w:hAnsi="Symbol" w:cs="Symbol"/>
                            <w:color w:val="000000"/>
                          </w:rPr>
                          <w:t></w:t>
                        </w:r>
                      </w:p>
                    </w:txbxContent>
                  </v:textbox>
                </v:rect>
                <v:rect id="Rectangle 85" o:spid="_x0000_s1438" style="position:absolute;left:356;top:5537;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6B6124CB" w14:textId="77777777" w:rsidR="00847E53" w:rsidRPr="00B34B0A" w:rsidRDefault="00847E53" w:rsidP="000800A9">
                        <w:pPr>
                          <w:rPr>
                            <w:b/>
                          </w:rPr>
                        </w:pPr>
                        <w:r w:rsidRPr="00B34B0A">
                          <w:rPr>
                            <w:b/>
                            <w:i/>
                            <w:iCs/>
                            <w:color w:val="000000"/>
                          </w:rPr>
                          <w:t>resources</w:t>
                        </w:r>
                      </w:p>
                    </w:txbxContent>
                  </v:textbox>
                </v:rect>
                <v:rect id="Rectangle 86" o:spid="_x0000_s1439" style="position:absolute;left:698;top:3873;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4AA78D95" w14:textId="77777777" w:rsidR="00847E53" w:rsidRPr="00B34B0A" w:rsidRDefault="00847E53" w:rsidP="000800A9">
                        <w:pPr>
                          <w:rPr>
                            <w:b/>
                          </w:rPr>
                        </w:pPr>
                        <w:r w:rsidRPr="00B34B0A">
                          <w:rPr>
                            <w:b/>
                            <w:i/>
                            <w:iCs/>
                            <w:color w:val="000000"/>
                          </w:rPr>
                          <w:t>load</w:t>
                        </w:r>
                      </w:p>
                    </w:txbxContent>
                  </v:textbox>
                </v:rect>
                <v:rect id="Rectangle 87" o:spid="_x0000_s1440" style="position:absolute;left:337;top:2552;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3265343E" w14:textId="77777777" w:rsidR="00847E53" w:rsidRPr="00B34B0A" w:rsidRDefault="00847E53" w:rsidP="000800A9">
                        <w:pPr>
                          <w:rPr>
                            <w:b/>
                          </w:rPr>
                        </w:pPr>
                        <w:r w:rsidRPr="00B34B0A">
                          <w:rPr>
                            <w:b/>
                            <w:i/>
                            <w:iCs/>
                            <w:color w:val="000000"/>
                          </w:rPr>
                          <w:t>online</w:t>
                        </w:r>
                      </w:p>
                    </w:txbxContent>
                  </v:textbox>
                </v:rect>
                <v:rect id="Rectangle 88" o:spid="_x0000_s1441" style="position:absolute;left:457;top:914;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" filled="f" stroked="f">
                  <v:textbox style="mso-fit-shape-to-text:t" inset="0,0,0,0">
                    <w:txbxContent>
                      <w:p w14:paraId="4E8E9E05" w14:textId="77777777" w:rsidR="00847E53" w:rsidRPr="00B34B0A" w:rsidRDefault="00847E53" w:rsidP="000800A9">
                        <w:pPr>
                          <w:rPr>
                            <w:b/>
                          </w:rPr>
                        </w:pPr>
                        <w:r w:rsidRPr="00B34B0A">
                          <w:rPr>
                            <w:b/>
                            <w:i/>
                            <w:iCs/>
                            <w:color w:val="000000"/>
                          </w:rPr>
                          <w:t>All</w:t>
                        </w:r>
                      </w:p>
                    </w:txbxContent>
                  </v:textbox>
                </v:rect>
                <v:rect id="Rectangle 89" o:spid="_x0000_s1442" style="position:absolute;left:629;top:13366;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4ED41D0C" w14:textId="77777777" w:rsidR="00847E53" w:rsidRPr="00B34B0A" w:rsidRDefault="00847E53" w:rsidP="000800A9">
                        <w:pPr>
                          <w:rPr>
                            <w:b/>
                          </w:rPr>
                        </w:pPr>
                        <w:r w:rsidRPr="00B34B0A">
                          <w:rPr>
                            <w:b/>
                            <w:i/>
                            <w:iCs/>
                            <w:color w:val="000000"/>
                          </w:rPr>
                          <w:t>resource</w:t>
                        </w:r>
                      </w:p>
                    </w:txbxContent>
                  </v:textbox>
                </v:rect>
                <v:rect id="Rectangle 90" o:spid="_x0000_s1443" style="position:absolute;left:584;top:12026;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3DB0C12E" w14:textId="77777777" w:rsidR="00847E53" w:rsidRPr="00B34B0A" w:rsidRDefault="00847E53" w:rsidP="000800A9">
                        <w:pPr>
                          <w:rPr>
                            <w:b/>
                          </w:rPr>
                        </w:pPr>
                        <w:r w:rsidRPr="00B34B0A">
                          <w:rPr>
                            <w:b/>
                            <w:i/>
                            <w:iCs/>
                            <w:color w:val="000000"/>
                          </w:rPr>
                          <w:t>load</w:t>
                        </w:r>
                      </w:p>
                    </w:txbxContent>
                  </v:textbox>
                </v:rect>
                <v:rect id="Rectangle 91" o:spid="_x0000_s1444" style="position:absolute;left:1746;top:10686;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4EA96C2B" w14:textId="77777777" w:rsidR="00847E53" w:rsidRPr="00B34B0A" w:rsidRDefault="00847E53" w:rsidP="000800A9">
                        <w:pPr>
                          <w:rPr>
                            <w:b/>
                          </w:rPr>
                        </w:pPr>
                        <w:r w:rsidRPr="00B34B0A">
                          <w:rPr>
                            <w:b/>
                            <w:i/>
                            <w:iCs/>
                            <w:color w:val="000000"/>
                          </w:rPr>
                          <w:t>online</w:t>
                        </w:r>
                      </w:p>
                    </w:txbxContent>
                  </v:textbox>
                </v:rect>
                <v:rect id="Rectangle 92" o:spid="_x0000_s1445" style="position:absolute;left:584;top:10686;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39AE4F6B" w14:textId="77777777" w:rsidR="00847E53" w:rsidRPr="00B34B0A" w:rsidRDefault="00847E53" w:rsidP="000800A9">
                        <w:pPr>
                          <w:rPr>
                            <w:b/>
                          </w:rPr>
                        </w:pPr>
                        <w:r w:rsidRPr="00B34B0A">
                          <w:rPr>
                            <w:b/>
                            <w:i/>
                            <w:iCs/>
                            <w:color w:val="000000"/>
                          </w:rPr>
                          <w:t>i</w:t>
                        </w:r>
                      </w:p>
                    </w:txbxContent>
                  </v:textbox>
                </v:rect>
              </v:group>
            </w:pict>
          </mc:Fallback>
        </mc:AlternateContent>
      </w:r>
      <w:r w:rsidR="00A94020">
        <w:rPr>
          <w:noProof/>
        </w:rPr>
        <mc:AlternateContent>
          <mc:Choice Requires="wpc">
            <w:drawing>
              <wp:anchor distT="0" distB="0" distL="114300" distR="114300" simplePos="0" relativeHeight="251656192" behindDoc="0" locked="0" layoutInCell="1" allowOverlap="1" wp14:anchorId="324DE417" wp14:editId="0D8A160E">
                <wp:simplePos x="0" y="0"/>
                <wp:positionH relativeFrom="column">
                  <wp:posOffset>503963</wp:posOffset>
                </wp:positionH>
                <wp:positionV relativeFrom="paragraph">
                  <wp:posOffset>-242680</wp:posOffset>
                </wp:positionV>
                <wp:extent cx="721360" cy="1369060"/>
                <wp:effectExtent l="0" t="0" r="4445" b="0"/>
                <wp:wrapNone/>
                <wp:docPr id="2461"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 name="Rectangle 71"/>
                        <wps:cNvSpPr>
                          <a:spLocks noChangeArrowheads="1"/>
                        </wps:cNvSpPr>
                        <wps:spPr bwMode="auto">
                          <a:xfrm>
                            <a:off x="174615" y="60958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B79F3" w14:textId="77777777" w:rsidR="00847E53" w:rsidRPr="00B074A0" w:rsidRDefault="00847E53" w:rsidP="000800A9">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100" name="Rectangle 72"/>
                        <wps:cNvSpPr>
                          <a:spLocks noChangeArrowheads="1"/>
                        </wps:cNvSpPr>
                        <wps:spPr bwMode="auto">
                          <a:xfrm>
                            <a:off x="101608"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7ECAF" w14:textId="77777777" w:rsidR="00847E53" w:rsidRDefault="00847E53" w:rsidP="000800A9">
                              <w:r>
                                <w:rPr>
                                  <w:rFonts w:ascii="Symbol" w:hAnsi="Symbol" w:cs="Symbol"/>
                                  <w:color w:val="000000"/>
                                </w:rPr>
                                <w:t></w:t>
                              </w:r>
                            </w:p>
                          </w:txbxContent>
                        </wps:txbx>
                        <wps:bodyPr rot="0" vert="horz" wrap="none" lIns="0" tIns="0" rIns="0" bIns="0" anchor="t" anchorCtr="0" upright="1">
                          <a:spAutoFit/>
                        </wps:bodyPr>
                      </wps:wsp>
                      <wps:wsp>
                        <wps:cNvPr id="101" name="Rectangle 73"/>
                        <wps:cNvSpPr>
                          <a:spLocks noChangeArrowheads="1"/>
                        </wps:cNvSpPr>
                        <wps:spPr bwMode="auto">
                          <a:xfrm>
                            <a:off x="35603" y="424188"/>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C8E08" w14:textId="77777777" w:rsidR="00847E53" w:rsidRPr="00B34B0A" w:rsidRDefault="00847E53" w:rsidP="000800A9">
                              <w:pPr>
                                <w:rPr>
                                  <w:b/>
                                </w:rPr>
                              </w:pPr>
                              <w:r w:rsidRPr="00B34B0A">
                                <w:rPr>
                                  <w:b/>
                                  <w:i/>
                                  <w:iCs/>
                                  <w:color w:val="000000"/>
                                </w:rPr>
                                <w:t>resources</w:t>
                              </w:r>
                            </w:p>
                          </w:txbxContent>
                        </wps:txbx>
                        <wps:bodyPr rot="0" vert="horz" wrap="none" lIns="0" tIns="0" rIns="0" bIns="0" anchor="t" anchorCtr="0" upright="1">
                          <a:spAutoFit/>
                        </wps:bodyPr>
                      </wps:wsp>
                      <wps:wsp>
                        <wps:cNvPr id="104" name="Rectangle 74"/>
                        <wps:cNvSpPr>
                          <a:spLocks noChangeArrowheads="1"/>
                        </wps:cNvSpPr>
                        <wps:spPr bwMode="auto">
                          <a:xfrm>
                            <a:off x="31703" y="290192"/>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87DED"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105" name="Rectangle 75"/>
                        <wps:cNvSpPr>
                          <a:spLocks noChangeArrowheads="1"/>
                        </wps:cNvSpPr>
                        <wps:spPr bwMode="auto">
                          <a:xfrm>
                            <a:off x="33703" y="15619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0F819"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106"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F1A2E" w14:textId="77777777" w:rsidR="00847E53" w:rsidRPr="00B34B0A" w:rsidRDefault="00847E53" w:rsidP="000800A9">
                              <w:pPr>
                                <w:rPr>
                                  <w:b/>
                                </w:rPr>
                              </w:pPr>
                              <w:r w:rsidRPr="00B34B0A">
                                <w:rPr>
                                  <w:b/>
                                  <w:i/>
                                  <w:iCs/>
                                  <w:color w:val="000000"/>
                                </w:rPr>
                                <w:t>All</w:t>
                              </w:r>
                            </w:p>
                          </w:txbxContent>
                        </wps:txbx>
                        <wps:bodyPr rot="0" vert="horz" wrap="square" lIns="0" tIns="0" rIns="0" bIns="0" anchor="t" anchorCtr="0" upright="1">
                          <a:spAutoFit/>
                        </wps:bodyPr>
                      </wps:wsp>
                      <wps:wsp>
                        <wps:cNvPr id="107" name="Rectangle 77"/>
                        <wps:cNvSpPr>
                          <a:spLocks noChangeArrowheads="1"/>
                        </wps:cNvSpPr>
                        <wps:spPr bwMode="auto">
                          <a:xfrm>
                            <a:off x="62905" y="1153766"/>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A363D" w14:textId="77777777" w:rsidR="00847E53" w:rsidRPr="00B34B0A" w:rsidRDefault="00847E53" w:rsidP="000800A9">
                              <w:pPr>
                                <w:rPr>
                                  <w:b/>
                                </w:rPr>
                              </w:pPr>
                              <w:r w:rsidRPr="00B34B0A">
                                <w:rPr>
                                  <w:b/>
                                  <w:i/>
                                  <w:iCs/>
                                  <w:color w:val="000000"/>
                                </w:rPr>
                                <w:t>resource</w:t>
                              </w:r>
                            </w:p>
                          </w:txbxContent>
                        </wps:txbx>
                        <wps:bodyPr rot="0" vert="horz" wrap="none" lIns="0" tIns="0" rIns="0" bIns="0" anchor="t" anchorCtr="0" upright="1">
                          <a:spAutoFit/>
                        </wps:bodyPr>
                      </wps:wsp>
                      <wps:wsp>
                        <wps:cNvPr id="108" name="Rectangle 78"/>
                        <wps:cNvSpPr>
                          <a:spLocks noChangeArrowheads="1"/>
                        </wps:cNvSpPr>
                        <wps:spPr bwMode="auto">
                          <a:xfrm>
                            <a:off x="58405" y="10197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6F5DB"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109" name="Rectangle 79"/>
                        <wps:cNvSpPr>
                          <a:spLocks noChangeArrowheads="1"/>
                        </wps:cNvSpPr>
                        <wps:spPr bwMode="auto">
                          <a:xfrm>
                            <a:off x="174615"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CB1B0"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110" name="Rectangle 80"/>
                        <wps:cNvSpPr>
                          <a:spLocks noChangeArrowheads="1"/>
                        </wps:cNvSpPr>
                        <wps:spPr bwMode="auto">
                          <a:xfrm>
                            <a:off x="58405"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C8180" w14:textId="77777777" w:rsidR="00847E53" w:rsidRPr="00B34B0A" w:rsidRDefault="00847E53" w:rsidP="000800A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324DE417" id="Canvas 102" o:spid="_x0000_s1446" editas="canvas" style="position:absolute;left:0;text-align:left;margin-left:39.7pt;margin-top:-19.1pt;width:56.8pt;height:107.8pt;z-index:251656192"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">
                <v:shape id="_x0000_s1447" type="#_x0000_t75" style="position:absolute;width:7213;height:13690;visibility:visible;mso-wrap-style:square">
                  <v:fill o:detectmouseclick="t"/>
                  <v:path o:connecttype="none"/>
                </v:shape>
                <v:rect id="Rectangle 71" o:spid="_x0000_s1448" style="position:absolute;left:1746;top:6095;width:1454;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5A8B79F3" w14:textId="77777777" w:rsidR="00847E53" w:rsidRPr="00B074A0" w:rsidRDefault="00847E53" w:rsidP="000800A9">
                        <w:pPr>
                          <w:rPr>
                            <w:sz w:val="32"/>
                            <w:szCs w:val="32"/>
                          </w:rPr>
                        </w:pPr>
                        <w:r w:rsidRPr="00B074A0">
                          <w:rPr>
                            <w:rFonts w:ascii="Symbol" w:hAnsi="Symbol" w:cs="Symbol"/>
                            <w:color w:val="000000"/>
                            <w:sz w:val="32"/>
                            <w:szCs w:val="32"/>
                          </w:rPr>
                          <w:t></w:t>
                        </w:r>
                      </w:p>
                    </w:txbxContent>
                  </v:textbox>
                </v:rect>
                <v:rect id="Rectangle 72" o:spid="_x0000_s1449"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2247ECAF" w14:textId="77777777" w:rsidR="00847E53" w:rsidRDefault="00847E53" w:rsidP="000800A9">
                        <w:r>
                          <w:rPr>
                            <w:rFonts w:ascii="Symbol" w:hAnsi="Symbol" w:cs="Symbol"/>
                            <w:color w:val="000000"/>
                          </w:rPr>
                          <w:t></w:t>
                        </w:r>
                      </w:p>
                    </w:txbxContent>
                  </v:textbox>
                </v:rect>
                <v:rect id="Rectangle 73" o:spid="_x0000_s1450" style="position:absolute;left:356;top:4241;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5C3C8E08" w14:textId="77777777" w:rsidR="00847E53" w:rsidRPr="00B34B0A" w:rsidRDefault="00847E53" w:rsidP="000800A9">
                        <w:pPr>
                          <w:rPr>
                            <w:b/>
                          </w:rPr>
                        </w:pPr>
                        <w:r w:rsidRPr="00B34B0A">
                          <w:rPr>
                            <w:b/>
                            <w:i/>
                            <w:iCs/>
                            <w:color w:val="000000"/>
                          </w:rPr>
                          <w:t>resources</w:t>
                        </w:r>
                      </w:p>
                    </w:txbxContent>
                  </v:textbox>
                </v:rect>
                <v:rect id="Rectangle 74" o:spid="_x0000_s1451" style="position:absolute;left:317;top:2901;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1B587DED" w14:textId="77777777" w:rsidR="00847E53" w:rsidRPr="00B34B0A" w:rsidRDefault="00847E53" w:rsidP="000800A9">
                        <w:pPr>
                          <w:rPr>
                            <w:b/>
                          </w:rPr>
                        </w:pPr>
                        <w:r w:rsidRPr="00B34B0A">
                          <w:rPr>
                            <w:b/>
                            <w:i/>
                            <w:iCs/>
                            <w:color w:val="000000"/>
                          </w:rPr>
                          <w:t>load</w:t>
                        </w:r>
                      </w:p>
                    </w:txbxContent>
                  </v:textbox>
                </v:rect>
                <v:rect id="Rectangle 75" o:spid="_x0000_s1452" style="position:absolute;left:337;top:1561;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3670F819" w14:textId="77777777" w:rsidR="00847E53" w:rsidRPr="00B34B0A" w:rsidRDefault="00847E53" w:rsidP="000800A9">
                        <w:pPr>
                          <w:rPr>
                            <w:b/>
                          </w:rPr>
                        </w:pPr>
                        <w:r w:rsidRPr="00B34B0A">
                          <w:rPr>
                            <w:b/>
                            <w:i/>
                            <w:iCs/>
                            <w:color w:val="000000"/>
                          </w:rPr>
                          <w:t>online</w:t>
                        </w:r>
                      </w:p>
                    </w:txbxContent>
                  </v:textbox>
                </v:rect>
                <v:rect id="Rectangle 76" o:spid="_x0000_s1453" style="position:absolute;left:457;top:221;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" filled="f" stroked="f">
                  <v:textbox style="mso-fit-shape-to-text:t" inset="0,0,0,0">
                    <w:txbxContent>
                      <w:p w14:paraId="123F1A2E" w14:textId="77777777" w:rsidR="00847E53" w:rsidRPr="00B34B0A" w:rsidRDefault="00847E53" w:rsidP="000800A9">
                        <w:pPr>
                          <w:rPr>
                            <w:b/>
                          </w:rPr>
                        </w:pPr>
                        <w:r w:rsidRPr="00B34B0A">
                          <w:rPr>
                            <w:b/>
                            <w:i/>
                            <w:iCs/>
                            <w:color w:val="000000"/>
                          </w:rPr>
                          <w:t>All</w:t>
                        </w:r>
                      </w:p>
                    </w:txbxContent>
                  </v:textbox>
                </v:rect>
                <v:rect id="Rectangle 77" o:spid="_x0000_s1454" style="position:absolute;left:629;top:11537;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2ACA363D" w14:textId="77777777" w:rsidR="00847E53" w:rsidRPr="00B34B0A" w:rsidRDefault="00847E53" w:rsidP="000800A9">
                        <w:pPr>
                          <w:rPr>
                            <w:b/>
                          </w:rPr>
                        </w:pPr>
                        <w:r w:rsidRPr="00B34B0A">
                          <w:rPr>
                            <w:b/>
                            <w:i/>
                            <w:iCs/>
                            <w:color w:val="000000"/>
                          </w:rPr>
                          <w:t>resource</w:t>
                        </w:r>
                      </w:p>
                    </w:txbxContent>
                  </v:textbox>
                </v:rect>
                <v:rect id="Rectangle 78" o:spid="_x0000_s1455" style="position:absolute;left:584;top:10197;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6046F5DB" w14:textId="77777777" w:rsidR="00847E53" w:rsidRPr="00B34B0A" w:rsidRDefault="00847E53" w:rsidP="000800A9">
                        <w:pPr>
                          <w:rPr>
                            <w:b/>
                          </w:rPr>
                        </w:pPr>
                        <w:r w:rsidRPr="00B34B0A">
                          <w:rPr>
                            <w:b/>
                            <w:i/>
                            <w:iCs/>
                            <w:color w:val="000000"/>
                          </w:rPr>
                          <w:t>load</w:t>
                        </w:r>
                      </w:p>
                    </w:txbxContent>
                  </v:textbox>
                </v:rect>
                <v:rect id="Rectangle 79" o:spid="_x0000_s1456"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081CB1B0" w14:textId="77777777" w:rsidR="00847E53" w:rsidRPr="00B34B0A" w:rsidRDefault="00847E53" w:rsidP="000800A9">
                        <w:pPr>
                          <w:rPr>
                            <w:b/>
                          </w:rPr>
                        </w:pPr>
                        <w:r w:rsidRPr="00B34B0A">
                          <w:rPr>
                            <w:b/>
                            <w:i/>
                            <w:iCs/>
                            <w:color w:val="000000"/>
                          </w:rPr>
                          <w:t>online</w:t>
                        </w:r>
                      </w:p>
                    </w:txbxContent>
                  </v:textbox>
                </v:rect>
                <v:rect id="Rectangle 80" o:spid="_x0000_s1457"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602C8180" w14:textId="77777777" w:rsidR="00847E53" w:rsidRPr="00B34B0A" w:rsidRDefault="00847E53" w:rsidP="000800A9">
                        <w:pPr>
                          <w:rPr>
                            <w:b/>
                          </w:rPr>
                        </w:pPr>
                        <w:r w:rsidRPr="00B34B0A">
                          <w:rPr>
                            <w:b/>
                            <w:i/>
                            <w:iCs/>
                            <w:color w:val="000000"/>
                          </w:rPr>
                          <w:t>i</w:t>
                        </w:r>
                      </w:p>
                    </w:txbxContent>
                  </v:textbox>
                </v:rect>
              </v:group>
            </w:pict>
          </mc:Fallback>
        </mc:AlternateContent>
      </w:r>
      <w:r w:rsidR="000800A9" w:rsidRPr="006A3321">
        <w:rPr>
          <w:b/>
          <w:position w:val="30"/>
          <w:sz w:val="20"/>
        </w:rPr>
        <w:t>PRC</w:t>
      </w:r>
      <w:r w:rsidR="000800A9">
        <w:rPr>
          <w:b/>
          <w:position w:val="30"/>
          <w:sz w:val="20"/>
          <w:vertAlign w:val="subscript"/>
        </w:rPr>
        <w:t>4</w:t>
      </w:r>
      <w:r w:rsidR="000800A9" w:rsidRPr="006A3321">
        <w:rPr>
          <w:b/>
          <w:position w:val="30"/>
          <w:sz w:val="20"/>
        </w:rPr>
        <w:t xml:space="preserve"> =</w:t>
      </w:r>
      <w:r w:rsidR="000800A9" w:rsidRPr="006A3321">
        <w:rPr>
          <w:b/>
          <w:position w:val="30"/>
          <w:sz w:val="20"/>
        </w:rPr>
        <w:tab/>
      </w:r>
      <w:r w:rsidR="000800A9">
        <w:rPr>
          <w:b/>
          <w:position w:val="30"/>
          <w:sz w:val="20"/>
        </w:rPr>
        <w:t>(Min(Max</w:t>
      </w:r>
      <w:r w:rsidR="000800A9" w:rsidRPr="00293F88">
        <w:rPr>
          <w:b/>
          <w:position w:val="30"/>
          <w:sz w:val="20"/>
        </w:rPr>
        <w:t>(</w:t>
      </w:r>
      <w:r w:rsidR="00AE33E4">
        <w:rPr>
          <w:b/>
          <w:position w:val="30"/>
          <w:sz w:val="20"/>
        </w:rPr>
        <w:t>(</w:t>
      </w:r>
      <w:r w:rsidR="000800A9" w:rsidRPr="00F76C40">
        <w:rPr>
          <w:b/>
          <w:position w:val="30"/>
          <w:sz w:val="20"/>
        </w:rPr>
        <w:t>Actual</w:t>
      </w:r>
      <w:r w:rsidR="000800A9">
        <w:rPr>
          <w:b/>
          <w:position w:val="30"/>
          <w:sz w:val="20"/>
        </w:rPr>
        <w:t xml:space="preserve"> Net Telemetered Consumption – LPC), 0.0), </w:t>
      </w:r>
      <w:r w:rsidR="00397A7F">
        <w:rPr>
          <w:b/>
          <w:position w:val="30"/>
          <w:sz w:val="20"/>
        </w:rPr>
        <w:t xml:space="preserve">ECRS and </w:t>
      </w:r>
      <w:r w:rsidR="000800A9">
        <w:rPr>
          <w:b/>
          <w:position w:val="30"/>
          <w:sz w:val="20"/>
        </w:rPr>
        <w:t xml:space="preserve">RRS Ancillary Service Resource </w:t>
      </w:r>
      <w:r w:rsidR="000800A9" w:rsidRPr="00F76C40">
        <w:rPr>
          <w:b/>
          <w:position w:val="30"/>
          <w:sz w:val="20"/>
        </w:rPr>
        <w:t xml:space="preserve">Responsibility * 1.5) from all Load Resources controlled by high-set under frequency relays carrying </w:t>
      </w:r>
      <w:r w:rsidR="00397A7F">
        <w:rPr>
          <w:b/>
          <w:position w:val="30"/>
          <w:sz w:val="20"/>
        </w:rPr>
        <w:t xml:space="preserve">an ECRS and/or </w:t>
      </w:r>
      <w:r w:rsidR="000800A9" w:rsidRPr="00F76C40">
        <w:rPr>
          <w:b/>
          <w:position w:val="30"/>
          <w:sz w:val="20"/>
        </w:rPr>
        <w:t>RRS Ancillary Service Resource Responsibility</w:t>
      </w:r>
      <w:r w:rsidR="000800A9" w:rsidRPr="00293F88">
        <w:rPr>
          <w:b/>
          <w:position w:val="30"/>
          <w:sz w:val="20"/>
        </w:rPr>
        <w:t>)</w:t>
      </w:r>
      <w:r w:rsidR="000800A9" w:rsidRPr="00293F88">
        <w:rPr>
          <w:b/>
          <w:position w:val="30"/>
          <w:sz w:val="20"/>
          <w:vertAlign w:val="subscript"/>
        </w:rPr>
        <w:t>i</w:t>
      </w:r>
    </w:p>
    <w:p w14:paraId="4A079EBA" w14:textId="77777777" w:rsidR="00512F93" w:rsidRDefault="00512F93" w:rsidP="00512F93">
      <w:pPr>
        <w:tabs>
          <w:tab w:val="left" w:pos="2160"/>
        </w:tabs>
        <w:ind w:left="2160" w:hanging="2160"/>
        <w:rPr>
          <w:b/>
          <w:position w:val="30"/>
          <w:sz w:val="20"/>
        </w:rPr>
      </w:pPr>
    </w:p>
    <w:p w14:paraId="567C9885" w14:textId="5A999594" w:rsidR="000800A9" w:rsidRDefault="000800A9" w:rsidP="00512F93">
      <w:pPr>
        <w:tabs>
          <w:tab w:val="left" w:pos="2160"/>
        </w:tabs>
        <w:ind w:left="2160" w:hanging="2160"/>
        <w:rPr>
          <w:b/>
          <w:position w:val="30"/>
          <w:sz w:val="20"/>
        </w:rPr>
      </w:pPr>
      <w:r w:rsidRPr="006A6281">
        <w:rPr>
          <w:b/>
          <w:position w:val="30"/>
          <w:sz w:val="20"/>
        </w:rPr>
        <w:t>PRC</w:t>
      </w:r>
      <w:r>
        <w:rPr>
          <w:b/>
          <w:position w:val="30"/>
          <w:sz w:val="20"/>
          <w:vertAlign w:val="subscript"/>
        </w:rPr>
        <w:t>5</w:t>
      </w:r>
      <w:r w:rsidRPr="006A6281">
        <w:rPr>
          <w:b/>
          <w:position w:val="30"/>
          <w:sz w:val="20"/>
        </w:rPr>
        <w:t xml:space="preserve"> =</w:t>
      </w:r>
      <w:r w:rsidRPr="006A6281">
        <w:rPr>
          <w:b/>
          <w:position w:val="30"/>
          <w:sz w:val="20"/>
        </w:rPr>
        <w:tab/>
        <w:t>Min(Max((LRDF_1*Actual Net Telemetered Consumption – LPC)</w:t>
      </w:r>
      <w:r w:rsidRPr="006A6281">
        <w:rPr>
          <w:b/>
          <w:position w:val="30"/>
          <w:sz w:val="20"/>
          <w:vertAlign w:val="subscript"/>
        </w:rPr>
        <w:t>i</w:t>
      </w:r>
      <w:r w:rsidRPr="006A6281">
        <w:rPr>
          <w:b/>
          <w:position w:val="30"/>
          <w:sz w:val="20"/>
        </w:rPr>
        <w:t xml:space="preserve">, 0.0), (0.2 * LRDF_1 * Actual Net Telemetered Consumption)) from all </w:t>
      </w:r>
      <w:r w:rsidR="00192EFF">
        <w:rPr>
          <w:b/>
          <w:position w:val="30"/>
          <w:sz w:val="20"/>
        </w:rPr>
        <w:t>CLRs</w:t>
      </w:r>
      <w:r w:rsidRPr="006A6281">
        <w:rPr>
          <w:b/>
          <w:position w:val="30"/>
          <w:sz w:val="20"/>
        </w:rPr>
        <w:t xml:space="preserve"> active in SCED and carrying Ancillary Service Resource Responsibility</w:t>
      </w:r>
    </w:p>
    <w:p w14:paraId="04F4040E" w14:textId="0A10D4CF" w:rsidR="000800A9" w:rsidRDefault="000800A9" w:rsidP="000800A9">
      <w:pPr>
        <w:tabs>
          <w:tab w:val="left" w:pos="2160"/>
        </w:tabs>
        <w:ind w:left="2160" w:hanging="2160"/>
        <w:rPr>
          <w:b/>
          <w:position w:val="30"/>
          <w:sz w:val="20"/>
        </w:rPr>
      </w:pPr>
    </w:p>
    <w:p w14:paraId="204C497B" w14:textId="4D32D780" w:rsidR="000800A9" w:rsidRDefault="00512F93" w:rsidP="000800A9">
      <w:pPr>
        <w:tabs>
          <w:tab w:val="left" w:pos="2160"/>
        </w:tabs>
        <w:ind w:left="2160" w:hanging="2160"/>
        <w:rPr>
          <w:b/>
          <w:position w:val="30"/>
          <w:sz w:val="20"/>
        </w:rPr>
      </w:pPr>
      <w:r>
        <w:rPr>
          <w:noProof/>
        </w:rPr>
        <mc:AlternateContent>
          <mc:Choice Requires="wpc">
            <w:drawing>
              <wp:anchor distT="0" distB="0" distL="114300" distR="114300" simplePos="0" relativeHeight="251658240" behindDoc="0" locked="0" layoutInCell="1" allowOverlap="1" wp14:anchorId="620E9A21" wp14:editId="3630223D">
                <wp:simplePos x="0" y="0"/>
                <wp:positionH relativeFrom="column">
                  <wp:posOffset>490220</wp:posOffset>
                </wp:positionH>
                <wp:positionV relativeFrom="paragraph">
                  <wp:posOffset>-203200</wp:posOffset>
                </wp:positionV>
                <wp:extent cx="737870" cy="1338580"/>
                <wp:effectExtent l="0" t="2540" r="0" b="1905"/>
                <wp:wrapNone/>
                <wp:docPr id="2485"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7AAD3" w14:textId="77777777" w:rsidR="00847E53" w:rsidRPr="00B074A0" w:rsidRDefault="00847E53" w:rsidP="000800A9">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58"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CEDCB" w14:textId="77777777" w:rsidR="00847E53" w:rsidRDefault="00847E53" w:rsidP="000800A9">
                              <w:r>
                                <w:rPr>
                                  <w:rFonts w:ascii="Symbol" w:hAnsi="Symbol" w:cs="Symbol"/>
                                  <w:color w:val="000000"/>
                                </w:rPr>
                                <w:t></w:t>
                              </w:r>
                            </w:p>
                          </w:txbxContent>
                        </wps:txbx>
                        <wps:bodyPr rot="0" vert="horz" wrap="none" lIns="0" tIns="0" rIns="0" bIns="0" anchor="t" anchorCtr="0" upright="1">
                          <a:spAutoFit/>
                        </wps:bodyPr>
                      </wps:wsp>
                      <wps:wsp>
                        <wps:cNvPr id="60" name="Rectangle 97"/>
                        <wps:cNvSpPr>
                          <a:spLocks noChangeArrowheads="1"/>
                        </wps:cNvSpPr>
                        <wps:spPr bwMode="auto">
                          <a:xfrm>
                            <a:off x="36195" y="401955"/>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E10CC" w14:textId="77777777" w:rsidR="00847E53" w:rsidRPr="00B34B0A" w:rsidRDefault="00847E53" w:rsidP="000800A9">
                              <w:pPr>
                                <w:rPr>
                                  <w:b/>
                                </w:rPr>
                              </w:pPr>
                              <w:r w:rsidRPr="00B34B0A">
                                <w:rPr>
                                  <w:b/>
                                  <w:i/>
                                  <w:iCs/>
                                  <w:color w:val="000000"/>
                                </w:rPr>
                                <w:t>resources</w:t>
                              </w:r>
                            </w:p>
                          </w:txbxContent>
                        </wps:txbx>
                        <wps:bodyPr rot="0" vert="horz" wrap="none" lIns="0" tIns="0" rIns="0" bIns="0" anchor="t" anchorCtr="0" upright="1">
                          <a:spAutoFit/>
                        </wps:bodyPr>
                      </wps:wsp>
                      <wps:wsp>
                        <wps:cNvPr id="62" name="Rectangle 98"/>
                        <wps:cNvSpPr>
                          <a:spLocks noChangeArrowheads="1"/>
                        </wps:cNvSpPr>
                        <wps:spPr bwMode="auto">
                          <a:xfrm>
                            <a:off x="32385" y="2679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618D9"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63" name="Rectangle 99"/>
                        <wps:cNvSpPr>
                          <a:spLocks noChangeArrowheads="1"/>
                        </wps:cNvSpPr>
                        <wps:spPr bwMode="auto">
                          <a:xfrm>
                            <a:off x="34290" y="13398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C1BBC"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64"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B7FE0" w14:textId="77777777" w:rsidR="00847E53" w:rsidRPr="00B34B0A" w:rsidRDefault="00847E53" w:rsidP="000800A9">
                              <w:pPr>
                                <w:rPr>
                                  <w:b/>
                                </w:rPr>
                              </w:pPr>
                              <w:r w:rsidRPr="00B34B0A">
                                <w:rPr>
                                  <w:b/>
                                  <w:i/>
                                  <w:iCs/>
                                  <w:color w:val="000000"/>
                                </w:rPr>
                                <w:t>All</w:t>
                              </w:r>
                            </w:p>
                          </w:txbxContent>
                        </wps:txbx>
                        <wps:bodyPr rot="0" vert="horz" wrap="square" lIns="0" tIns="0" rIns="0" bIns="0" anchor="t" anchorCtr="0" upright="1">
                          <a:spAutoFit/>
                        </wps:bodyPr>
                      </wps:wsp>
                      <wps:wsp>
                        <wps:cNvPr id="65" name="Rectangle 101"/>
                        <wps:cNvSpPr>
                          <a:spLocks noChangeArrowheads="1"/>
                        </wps:cNvSpPr>
                        <wps:spPr bwMode="auto">
                          <a:xfrm>
                            <a:off x="63500" y="1131570"/>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AA694" w14:textId="77777777" w:rsidR="00847E53" w:rsidRPr="00B34B0A" w:rsidRDefault="00847E53" w:rsidP="000800A9">
                              <w:pPr>
                                <w:rPr>
                                  <w:b/>
                                </w:rPr>
                              </w:pPr>
                              <w:r w:rsidRPr="00B34B0A">
                                <w:rPr>
                                  <w:b/>
                                  <w:i/>
                                  <w:iCs/>
                                  <w:color w:val="000000"/>
                                </w:rPr>
                                <w:t>resource</w:t>
                              </w:r>
                            </w:p>
                          </w:txbxContent>
                        </wps:txbx>
                        <wps:bodyPr rot="0" vert="horz" wrap="none" lIns="0" tIns="0" rIns="0" bIns="0" anchor="t" anchorCtr="0" upright="1">
                          <a:spAutoFit/>
                        </wps:bodyPr>
                      </wps:wsp>
                      <wps:wsp>
                        <wps:cNvPr id="66" name="Rectangle 102"/>
                        <wps:cNvSpPr>
                          <a:spLocks noChangeArrowheads="1"/>
                        </wps:cNvSpPr>
                        <wps:spPr bwMode="auto">
                          <a:xfrm>
                            <a:off x="59055" y="997585"/>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3B4E2"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67" name="Rectangle 103"/>
                        <wps:cNvSpPr>
                          <a:spLocks noChangeArrowheads="1"/>
                        </wps:cNvSpPr>
                        <wps:spPr bwMode="auto">
                          <a:xfrm>
                            <a:off x="175260" y="863600"/>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BCEF7"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68" name="Rectangle 104"/>
                        <wps:cNvSpPr>
                          <a:spLocks noChangeArrowheads="1"/>
                        </wps:cNvSpPr>
                        <wps:spPr bwMode="auto">
                          <a:xfrm>
                            <a:off x="59055" y="86360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12369" w14:textId="77777777" w:rsidR="00847E53" w:rsidRPr="00B34B0A" w:rsidRDefault="00847E53" w:rsidP="000800A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620E9A21" id="Canvas 80" o:spid="_x0000_s1458" editas="canvas" style="position:absolute;left:0;text-align:left;margin-left:38.6pt;margin-top:-16pt;width:58.1pt;height:105.4pt;z-index:251658240"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">
                <v:shape id="_x0000_s1459" type="#_x0000_t75" style="position:absolute;width:7378;height:13385;visibility:visible;mso-wrap-style:square">
                  <v:fill o:detectmouseclick="t"/>
                  <v:path o:connecttype="none"/>
                </v:shape>
                <v:rect id="Rectangle 95" o:spid="_x0000_s1460" style="position:absolute;left:1803;top:6000;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2A97AAD3" w14:textId="77777777" w:rsidR="00847E53" w:rsidRPr="00B074A0" w:rsidRDefault="00847E53" w:rsidP="000800A9">
                        <w:pPr>
                          <w:rPr>
                            <w:sz w:val="32"/>
                            <w:szCs w:val="32"/>
                          </w:rPr>
                        </w:pPr>
                        <w:r w:rsidRPr="00B074A0">
                          <w:rPr>
                            <w:rFonts w:ascii="Symbol" w:hAnsi="Symbol" w:cs="Symbol"/>
                            <w:color w:val="000000"/>
                            <w:sz w:val="32"/>
                            <w:szCs w:val="32"/>
                          </w:rPr>
                          <w:t></w:t>
                        </w:r>
                      </w:p>
                    </w:txbxContent>
                  </v:textbox>
                </v:rect>
                <v:rect id="Rectangle 96" o:spid="_x0000_s1461" style="position:absolute;left:1022;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502CEDCB" w14:textId="77777777" w:rsidR="00847E53" w:rsidRDefault="00847E53" w:rsidP="000800A9">
                        <w:r>
                          <w:rPr>
                            <w:rFonts w:ascii="Symbol" w:hAnsi="Symbol" w:cs="Symbol"/>
                            <w:color w:val="000000"/>
                          </w:rPr>
                          <w:t></w:t>
                        </w:r>
                      </w:p>
                    </w:txbxContent>
                  </v:textbox>
                </v:rect>
                <v:rect id="Rectangle 97" o:spid="_x0000_s1462" style="position:absolute;left:361;top:4019;width:601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5A3E10CC" w14:textId="77777777" w:rsidR="00847E53" w:rsidRPr="00B34B0A" w:rsidRDefault="00847E53" w:rsidP="000800A9">
                        <w:pPr>
                          <w:rPr>
                            <w:b/>
                          </w:rPr>
                        </w:pPr>
                        <w:r w:rsidRPr="00B34B0A">
                          <w:rPr>
                            <w:b/>
                            <w:i/>
                            <w:iCs/>
                            <w:color w:val="000000"/>
                          </w:rPr>
                          <w:t>resources</w:t>
                        </w:r>
                      </w:p>
                    </w:txbxContent>
                  </v:textbox>
                </v:rect>
                <v:rect id="Rectangle 98" o:spid="_x0000_s1463" style="position:absolute;left:323;top:2679;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09F618D9" w14:textId="77777777" w:rsidR="00847E53" w:rsidRPr="00B34B0A" w:rsidRDefault="00847E53" w:rsidP="000800A9">
                        <w:pPr>
                          <w:rPr>
                            <w:b/>
                          </w:rPr>
                        </w:pPr>
                        <w:r w:rsidRPr="00B34B0A">
                          <w:rPr>
                            <w:b/>
                            <w:i/>
                            <w:iCs/>
                            <w:color w:val="000000"/>
                          </w:rPr>
                          <w:t>load</w:t>
                        </w:r>
                      </w:p>
                    </w:txbxContent>
                  </v:textbox>
                </v:rect>
                <v:rect id="Rectangle 99" o:spid="_x0000_s1464" style="position:absolute;left:342;top:1339;width:398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1A7C1BBC" w14:textId="77777777" w:rsidR="00847E53" w:rsidRPr="00B34B0A" w:rsidRDefault="00847E53" w:rsidP="000800A9">
                        <w:pPr>
                          <w:rPr>
                            <w:b/>
                          </w:rPr>
                        </w:pPr>
                        <w:r w:rsidRPr="00B34B0A">
                          <w:rPr>
                            <w:b/>
                            <w:i/>
                            <w:iCs/>
                            <w:color w:val="000000"/>
                          </w:rPr>
                          <w:t>online</w:t>
                        </w:r>
                      </w:p>
                    </w:txbxContent>
                  </v:textbox>
                </v:rect>
                <v:rect id="Rectangle 100" o:spid="_x0000_s1465" style="position:absolute;left:463;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" filled="f" stroked="f">
                  <v:textbox style="mso-fit-shape-to-text:t" inset="0,0,0,0">
                    <w:txbxContent>
                      <w:p w14:paraId="1EFB7FE0" w14:textId="77777777" w:rsidR="00847E53" w:rsidRPr="00B34B0A" w:rsidRDefault="00847E53" w:rsidP="000800A9">
                        <w:pPr>
                          <w:rPr>
                            <w:b/>
                          </w:rPr>
                        </w:pPr>
                        <w:r w:rsidRPr="00B34B0A">
                          <w:rPr>
                            <w:b/>
                            <w:i/>
                            <w:iCs/>
                            <w:color w:val="000000"/>
                          </w:rPr>
                          <w:t>All</w:t>
                        </w:r>
                      </w:p>
                    </w:txbxContent>
                  </v:textbox>
                </v:rect>
                <v:rect id="Rectangle 101" o:spid="_x0000_s1466" style="position:absolute;left:635;top:11315;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1A6AA694" w14:textId="77777777" w:rsidR="00847E53" w:rsidRPr="00B34B0A" w:rsidRDefault="00847E53" w:rsidP="000800A9">
                        <w:pPr>
                          <w:rPr>
                            <w:b/>
                          </w:rPr>
                        </w:pPr>
                        <w:r w:rsidRPr="00B34B0A">
                          <w:rPr>
                            <w:b/>
                            <w:i/>
                            <w:iCs/>
                            <w:color w:val="000000"/>
                          </w:rPr>
                          <w:t>resource</w:t>
                        </w:r>
                      </w:p>
                    </w:txbxContent>
                  </v:textbox>
                </v:rect>
                <v:rect id="Rectangle 102" o:spid="_x0000_s1467" style="position:absolute;left:590;top:9975;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77F3B4E2" w14:textId="77777777" w:rsidR="00847E53" w:rsidRPr="00B34B0A" w:rsidRDefault="00847E53" w:rsidP="000800A9">
                        <w:pPr>
                          <w:rPr>
                            <w:b/>
                          </w:rPr>
                        </w:pPr>
                        <w:r w:rsidRPr="00B34B0A">
                          <w:rPr>
                            <w:b/>
                            <w:i/>
                            <w:iCs/>
                            <w:color w:val="000000"/>
                          </w:rPr>
                          <w:t>load</w:t>
                        </w:r>
                      </w:p>
                    </w:txbxContent>
                  </v:textbox>
                </v:rect>
                <v:rect id="Rectangle 103" o:spid="_x0000_s1468" style="position:absolute;left:1752;top:8636;width:398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54ABCEF7" w14:textId="77777777" w:rsidR="00847E53" w:rsidRPr="00B34B0A" w:rsidRDefault="00847E53" w:rsidP="000800A9">
                        <w:pPr>
                          <w:rPr>
                            <w:b/>
                          </w:rPr>
                        </w:pPr>
                        <w:r w:rsidRPr="00B34B0A">
                          <w:rPr>
                            <w:b/>
                            <w:i/>
                            <w:iCs/>
                            <w:color w:val="000000"/>
                          </w:rPr>
                          <w:t>online</w:t>
                        </w:r>
                      </w:p>
                    </w:txbxContent>
                  </v:textbox>
                </v:rect>
                <v:rect id="Rectangle 104" o:spid="_x0000_s1469" style="position:absolute;left:590;top:8636;width:42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66312369" w14:textId="77777777" w:rsidR="00847E53" w:rsidRPr="00B34B0A" w:rsidRDefault="00847E53" w:rsidP="000800A9">
                        <w:pPr>
                          <w:rPr>
                            <w:b/>
                          </w:rPr>
                        </w:pPr>
                        <w:r w:rsidRPr="00B34B0A">
                          <w:rPr>
                            <w:b/>
                            <w:i/>
                            <w:iCs/>
                            <w:color w:val="000000"/>
                          </w:rPr>
                          <w:t>i</w:t>
                        </w:r>
                      </w:p>
                    </w:txbxContent>
                  </v:textbox>
                </v:rect>
              </v:group>
            </w:pict>
          </mc:Fallback>
        </mc:AlternateContent>
      </w:r>
      <w:r w:rsidR="000800A9" w:rsidRPr="006A6281">
        <w:rPr>
          <w:b/>
          <w:position w:val="30"/>
          <w:sz w:val="20"/>
        </w:rPr>
        <w:t>PRC</w:t>
      </w:r>
      <w:r w:rsidR="000800A9">
        <w:rPr>
          <w:b/>
          <w:position w:val="30"/>
          <w:sz w:val="20"/>
          <w:vertAlign w:val="subscript"/>
        </w:rPr>
        <w:t>6</w:t>
      </w:r>
      <w:r w:rsidR="000800A9">
        <w:rPr>
          <w:b/>
          <w:position w:val="30"/>
          <w:sz w:val="20"/>
        </w:rPr>
        <w:t xml:space="preserve"> =</w:t>
      </w:r>
      <w:r w:rsidR="000800A9">
        <w:rPr>
          <w:b/>
          <w:position w:val="30"/>
          <w:sz w:val="20"/>
        </w:rPr>
        <w:tab/>
        <w:t xml:space="preserve">Min(Max((LRDF_2 * </w:t>
      </w:r>
      <w:r w:rsidR="000800A9" w:rsidRPr="006A6281">
        <w:rPr>
          <w:b/>
          <w:position w:val="30"/>
          <w:sz w:val="20"/>
        </w:rPr>
        <w:t>Actual Net Telemetered Consumption – LPC)</w:t>
      </w:r>
      <w:r w:rsidR="000800A9" w:rsidRPr="006A6281">
        <w:rPr>
          <w:b/>
          <w:position w:val="30"/>
          <w:sz w:val="20"/>
          <w:vertAlign w:val="subscript"/>
        </w:rPr>
        <w:t>i</w:t>
      </w:r>
      <w:r w:rsidR="000800A9" w:rsidRPr="006A6281">
        <w:rPr>
          <w:b/>
          <w:position w:val="30"/>
          <w:sz w:val="20"/>
        </w:rPr>
        <w:t xml:space="preserve">, 0.0), (0.2 * LRDF_2 * Actual Net Telemetered Consumption)) from all </w:t>
      </w:r>
      <w:r w:rsidR="00192EFF">
        <w:rPr>
          <w:b/>
          <w:position w:val="30"/>
          <w:sz w:val="20"/>
        </w:rPr>
        <w:t>CLRs</w:t>
      </w:r>
      <w:r w:rsidR="000800A9" w:rsidRPr="006A6281">
        <w:rPr>
          <w:b/>
          <w:position w:val="30"/>
          <w:sz w:val="20"/>
        </w:rPr>
        <w:t xml:space="preserve"> active in SCED and not carrying Ancillary Service Resource Responsibility</w:t>
      </w:r>
    </w:p>
    <w:p w14:paraId="1BFC2FA5" w14:textId="176779EA" w:rsidR="00832D19" w:rsidRDefault="00832D19" w:rsidP="000800A9">
      <w:pPr>
        <w:tabs>
          <w:tab w:val="left" w:pos="2160"/>
        </w:tabs>
        <w:ind w:left="2160" w:hanging="2160"/>
        <w:rPr>
          <w:b/>
          <w:position w:val="30"/>
          <w:sz w:val="20"/>
        </w:rPr>
      </w:pPr>
    </w:p>
    <w:p w14:paraId="407764F2" w14:textId="77BCC9D1" w:rsidR="00832D19" w:rsidRDefault="00397A7F" w:rsidP="00832D19">
      <w:pPr>
        <w:tabs>
          <w:tab w:val="left" w:pos="2160"/>
        </w:tabs>
        <w:ind w:left="2160" w:hanging="2160"/>
        <w:rPr>
          <w:b/>
          <w:position w:val="30"/>
          <w:sz w:val="20"/>
          <w:vertAlign w:val="subscript"/>
        </w:rPr>
      </w:pPr>
      <w:r>
        <w:rPr>
          <w:noProof/>
        </w:rPr>
        <mc:AlternateContent>
          <mc:Choice Requires="wpc">
            <w:drawing>
              <wp:anchor distT="0" distB="0" distL="114300" distR="114300" simplePos="0" relativeHeight="251666432" behindDoc="0" locked="0" layoutInCell="1" allowOverlap="1" wp14:anchorId="0217E9BE" wp14:editId="359ACA38">
                <wp:simplePos x="0" y="0"/>
                <wp:positionH relativeFrom="column">
                  <wp:posOffset>576580</wp:posOffset>
                </wp:positionH>
                <wp:positionV relativeFrom="paragraph">
                  <wp:posOffset>-360680</wp:posOffset>
                </wp:positionV>
                <wp:extent cx="737235" cy="1338580"/>
                <wp:effectExtent l="0" t="635" r="0" b="3810"/>
                <wp:wrapNone/>
                <wp:docPr id="3289" name="Canvas 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79" name="Rectangle 71"/>
                        <wps:cNvSpPr>
                          <a:spLocks noChangeArrowheads="1"/>
                        </wps:cNvSpPr>
                        <wps:spPr bwMode="auto">
                          <a:xfrm>
                            <a:off x="171408" y="469893"/>
                            <a:ext cx="24447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94FEB" w14:textId="77777777" w:rsidR="00847E53" w:rsidRDefault="00847E53" w:rsidP="00832D19">
                              <w:r>
                                <w:rPr>
                                  <w:rFonts w:ascii="Symbol" w:hAnsi="Symbol" w:cs="Symbol"/>
                                  <w:color w:val="000000"/>
                                  <w:sz w:val="54"/>
                                  <w:szCs w:val="54"/>
                                </w:rPr>
                                <w:t></w:t>
                              </w:r>
                            </w:p>
                          </w:txbxContent>
                        </wps:txbx>
                        <wps:bodyPr rot="0" vert="horz" wrap="none" lIns="0" tIns="0" rIns="0" bIns="0" anchor="t" anchorCtr="0" upright="1">
                          <a:spAutoFit/>
                        </wps:bodyPr>
                      </wps:wsp>
                      <wps:wsp>
                        <wps:cNvPr id="3280" name="Rectangle 72"/>
                        <wps:cNvSpPr>
                          <a:spLocks noChangeArrowheads="1"/>
                        </wps:cNvSpPr>
                        <wps:spPr bwMode="auto">
                          <a:xfrm>
                            <a:off x="101605" y="848987"/>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F80BA" w14:textId="77777777" w:rsidR="00847E53" w:rsidRDefault="00847E53" w:rsidP="00832D19">
                              <w:r>
                                <w:rPr>
                                  <w:rFonts w:ascii="Symbol" w:hAnsi="Symbol" w:cs="Symbol"/>
                                  <w:color w:val="000000"/>
                                </w:rPr>
                                <w:t></w:t>
                              </w:r>
                            </w:p>
                          </w:txbxContent>
                        </wps:txbx>
                        <wps:bodyPr rot="0" vert="horz" wrap="none" lIns="0" tIns="0" rIns="0" bIns="0" anchor="t" anchorCtr="0" upright="1">
                          <a:spAutoFit/>
                        </wps:bodyPr>
                      </wps:wsp>
                      <wps:wsp>
                        <wps:cNvPr id="3281" name="Rectangle 73"/>
                        <wps:cNvSpPr>
                          <a:spLocks noChangeArrowheads="1"/>
                        </wps:cNvSpPr>
                        <wps:spPr bwMode="auto">
                          <a:xfrm>
                            <a:off x="35602" y="401994"/>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66918" w14:textId="77777777" w:rsidR="00847E53" w:rsidRPr="00B34B0A" w:rsidRDefault="00847E53" w:rsidP="00832D19">
                              <w:pPr>
                                <w:rPr>
                                  <w:b/>
                                </w:rPr>
                              </w:pPr>
                              <w:r w:rsidRPr="00B34B0A">
                                <w:rPr>
                                  <w:b/>
                                  <w:i/>
                                  <w:iCs/>
                                  <w:color w:val="000000"/>
                                </w:rPr>
                                <w:t>resources</w:t>
                              </w:r>
                            </w:p>
                          </w:txbxContent>
                        </wps:txbx>
                        <wps:bodyPr rot="0" vert="horz" wrap="none" lIns="0" tIns="0" rIns="0" bIns="0" anchor="t" anchorCtr="0" upright="1">
                          <a:spAutoFit/>
                        </wps:bodyPr>
                      </wps:wsp>
                      <wps:wsp>
                        <wps:cNvPr id="3282" name="Rectangle 74"/>
                        <wps:cNvSpPr>
                          <a:spLocks noChangeArrowheads="1"/>
                        </wps:cNvSpPr>
                        <wps:spPr bwMode="auto">
                          <a:xfrm>
                            <a:off x="31702" y="267996"/>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8A6A2" w14:textId="77777777" w:rsidR="00847E53" w:rsidRPr="00B34B0A" w:rsidRDefault="00847E53" w:rsidP="00832D19">
                              <w:pPr>
                                <w:rPr>
                                  <w:b/>
                                </w:rPr>
                              </w:pPr>
                              <w:r>
                                <w:rPr>
                                  <w:b/>
                                  <w:i/>
                                  <w:iCs/>
                                  <w:color w:val="000000"/>
                                </w:rPr>
                                <w:t>FFR</w:t>
                              </w:r>
                            </w:p>
                          </w:txbxContent>
                        </wps:txbx>
                        <wps:bodyPr rot="0" vert="horz" wrap="none" lIns="0" tIns="0" rIns="0" bIns="0" anchor="t" anchorCtr="0" upright="1">
                          <a:spAutoFit/>
                        </wps:bodyPr>
                      </wps:wsp>
                      <wps:wsp>
                        <wps:cNvPr id="3283" name="Rectangle 75"/>
                        <wps:cNvSpPr>
                          <a:spLocks noChangeArrowheads="1"/>
                        </wps:cNvSpPr>
                        <wps:spPr bwMode="auto">
                          <a:xfrm>
                            <a:off x="33702" y="133998"/>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CDAE8" w14:textId="77777777" w:rsidR="00847E53" w:rsidRPr="00B34B0A" w:rsidRDefault="00847E53" w:rsidP="00832D19">
                              <w:pPr>
                                <w:rPr>
                                  <w:b/>
                                </w:rPr>
                              </w:pPr>
                              <w:r w:rsidRPr="00B34B0A">
                                <w:rPr>
                                  <w:b/>
                                  <w:i/>
                                  <w:iCs/>
                                  <w:color w:val="000000"/>
                                </w:rPr>
                                <w:t>online</w:t>
                              </w:r>
                            </w:p>
                          </w:txbxContent>
                        </wps:txbx>
                        <wps:bodyPr rot="0" vert="horz" wrap="none" lIns="0" tIns="0" rIns="0" bIns="0" anchor="t" anchorCtr="0" upright="1">
                          <a:spAutoFit/>
                        </wps:bodyPr>
                      </wps:wsp>
                      <wps:wsp>
                        <wps:cNvPr id="3284" name="Rectangle 76"/>
                        <wps:cNvSpPr>
                          <a:spLocks noChangeArrowheads="1"/>
                        </wps:cNvSpPr>
                        <wps:spPr bwMode="auto">
                          <a:xfrm>
                            <a:off x="45702"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E58C7" w14:textId="77777777" w:rsidR="00847E53" w:rsidRPr="00B34B0A" w:rsidRDefault="00847E53" w:rsidP="00832D19">
                              <w:pPr>
                                <w:rPr>
                                  <w:b/>
                                </w:rPr>
                              </w:pPr>
                              <w:r w:rsidRPr="00B34B0A">
                                <w:rPr>
                                  <w:b/>
                                  <w:i/>
                                  <w:iCs/>
                                  <w:color w:val="000000"/>
                                </w:rPr>
                                <w:t>All</w:t>
                              </w:r>
                            </w:p>
                          </w:txbxContent>
                        </wps:txbx>
                        <wps:bodyPr rot="0" vert="horz" wrap="square" lIns="0" tIns="0" rIns="0" bIns="0" anchor="t" anchorCtr="0" upright="1">
                          <a:spAutoFit/>
                        </wps:bodyPr>
                      </wps:wsp>
                      <wps:wsp>
                        <wps:cNvPr id="3285" name="Rectangle 77"/>
                        <wps:cNvSpPr>
                          <a:spLocks noChangeArrowheads="1"/>
                        </wps:cNvSpPr>
                        <wps:spPr bwMode="auto">
                          <a:xfrm>
                            <a:off x="62903" y="1131583"/>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1484D" w14:textId="77777777" w:rsidR="00847E53" w:rsidRPr="00B34B0A" w:rsidRDefault="00847E53" w:rsidP="00832D19">
                              <w:pPr>
                                <w:rPr>
                                  <w:b/>
                                </w:rPr>
                              </w:pPr>
                              <w:r w:rsidRPr="00B34B0A">
                                <w:rPr>
                                  <w:b/>
                                  <w:i/>
                                  <w:iCs/>
                                  <w:color w:val="000000"/>
                                </w:rPr>
                                <w:t>resource</w:t>
                              </w:r>
                            </w:p>
                          </w:txbxContent>
                        </wps:txbx>
                        <wps:bodyPr rot="0" vert="horz" wrap="none" lIns="0" tIns="0" rIns="0" bIns="0" anchor="t" anchorCtr="0" upright="1">
                          <a:spAutoFit/>
                        </wps:bodyPr>
                      </wps:wsp>
                      <wps:wsp>
                        <wps:cNvPr id="3286" name="Rectangle 78"/>
                        <wps:cNvSpPr>
                          <a:spLocks noChangeArrowheads="1"/>
                        </wps:cNvSpPr>
                        <wps:spPr bwMode="auto">
                          <a:xfrm>
                            <a:off x="58403"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9BE82" w14:textId="77777777" w:rsidR="00847E53" w:rsidRPr="00B34B0A" w:rsidRDefault="00847E53" w:rsidP="00832D19">
                              <w:pPr>
                                <w:rPr>
                                  <w:b/>
                                </w:rPr>
                              </w:pPr>
                              <w:r>
                                <w:rPr>
                                  <w:b/>
                                  <w:i/>
                                  <w:iCs/>
                                  <w:color w:val="000000"/>
                                </w:rPr>
                                <w:t>FFR</w:t>
                              </w:r>
                            </w:p>
                          </w:txbxContent>
                        </wps:txbx>
                        <wps:bodyPr rot="0" vert="horz" wrap="none" lIns="0" tIns="0" rIns="0" bIns="0" anchor="t" anchorCtr="0" upright="1">
                          <a:spAutoFit/>
                        </wps:bodyPr>
                      </wps:wsp>
                      <wps:wsp>
                        <wps:cNvPr id="3287" name="Rectangle 79"/>
                        <wps:cNvSpPr>
                          <a:spLocks noChangeArrowheads="1"/>
                        </wps:cNvSpPr>
                        <wps:spPr bwMode="auto">
                          <a:xfrm>
                            <a:off x="174608" y="86358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67F52" w14:textId="77777777" w:rsidR="00847E53" w:rsidRPr="00B34B0A" w:rsidRDefault="00847E53" w:rsidP="00832D19">
                              <w:pPr>
                                <w:rPr>
                                  <w:b/>
                                </w:rPr>
                              </w:pPr>
                              <w:r w:rsidRPr="00B34B0A">
                                <w:rPr>
                                  <w:b/>
                                  <w:i/>
                                  <w:iCs/>
                                  <w:color w:val="000000"/>
                                </w:rPr>
                                <w:t>online</w:t>
                              </w:r>
                            </w:p>
                          </w:txbxContent>
                        </wps:txbx>
                        <wps:bodyPr rot="0" vert="horz" wrap="none" lIns="0" tIns="0" rIns="0" bIns="0" anchor="t" anchorCtr="0" upright="1">
                          <a:spAutoFit/>
                        </wps:bodyPr>
                      </wps:wsp>
                      <wps:wsp>
                        <wps:cNvPr id="3288" name="Rectangle 80"/>
                        <wps:cNvSpPr>
                          <a:spLocks noChangeArrowheads="1"/>
                        </wps:cNvSpPr>
                        <wps:spPr bwMode="auto">
                          <a:xfrm>
                            <a:off x="58403" y="86358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14D5E" w14:textId="77777777" w:rsidR="00847E53" w:rsidRPr="00B34B0A" w:rsidRDefault="00847E53" w:rsidP="00832D1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217E9BE" id="Canvas 52" o:spid="_x0000_s1470" editas="canvas" style="position:absolute;left:0;text-align:left;margin-left:45.4pt;margin-top:-28.4pt;width:58.05pt;height:105.4pt;z-index:251666432" coordsize="7372,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">
                <v:shape id="_x0000_s1471" type="#_x0000_t75" style="position:absolute;width:7372;height:13385;visibility:visible;mso-wrap-style:square">
                  <v:fill o:detectmouseclick="t"/>
                  <v:path o:connecttype="none"/>
                </v:shape>
                <v:rect id="Rectangle 71" o:spid="_x0000_s1472" style="position:absolute;left:1714;top:4698;width:2444;height:4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" filled="f" stroked="f">
                  <v:textbox style="mso-fit-shape-to-text:t" inset="0,0,0,0">
                    <w:txbxContent>
                      <w:p w14:paraId="17E94FEB" w14:textId="77777777" w:rsidR="00847E53" w:rsidRDefault="00847E53" w:rsidP="00832D19">
                        <w:r>
                          <w:rPr>
                            <w:rFonts w:ascii="Symbol" w:hAnsi="Symbol" w:cs="Symbol"/>
                            <w:color w:val="000000"/>
                            <w:sz w:val="54"/>
                            <w:szCs w:val="54"/>
                          </w:rPr>
                          <w:t></w:t>
                        </w:r>
                      </w:p>
                    </w:txbxContent>
                  </v:textbox>
                </v:rect>
                <v:rect id="Rectangle 72" o:spid="_x0000_s1473" style="position:absolute;left:1016;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" filled="f" stroked="f">
                  <v:textbox style="mso-fit-shape-to-text:t" inset="0,0,0,0">
                    <w:txbxContent>
                      <w:p w14:paraId="117F80BA" w14:textId="77777777" w:rsidR="00847E53" w:rsidRDefault="00847E53" w:rsidP="00832D19">
                        <w:r>
                          <w:rPr>
                            <w:rFonts w:ascii="Symbol" w:hAnsi="Symbol" w:cs="Symbol"/>
                            <w:color w:val="000000"/>
                          </w:rPr>
                          <w:t></w:t>
                        </w:r>
                      </w:p>
                    </w:txbxContent>
                  </v:textbox>
                </v:rect>
                <v:rect id="Rectangle 73" o:spid="_x0000_s1474" style="position:absolute;left:356;top:4019;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" filled="f" stroked="f">
                  <v:textbox style="mso-fit-shape-to-text:t" inset="0,0,0,0">
                    <w:txbxContent>
                      <w:p w14:paraId="5FA66918" w14:textId="77777777" w:rsidR="00847E53" w:rsidRPr="00B34B0A" w:rsidRDefault="00847E53" w:rsidP="00832D19">
                        <w:pPr>
                          <w:rPr>
                            <w:b/>
                          </w:rPr>
                        </w:pPr>
                        <w:r w:rsidRPr="00B34B0A">
                          <w:rPr>
                            <w:b/>
                            <w:i/>
                            <w:iCs/>
                            <w:color w:val="000000"/>
                          </w:rPr>
                          <w:t>resources</w:t>
                        </w:r>
                      </w:p>
                    </w:txbxContent>
                  </v:textbox>
                </v:rect>
                <v:rect id="Rectangle 74" o:spid="_x0000_s1475" style="position:absolute;left:317;top:2679;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" filled="f" stroked="f">
                  <v:textbox style="mso-fit-shape-to-text:t" inset="0,0,0,0">
                    <w:txbxContent>
                      <w:p w14:paraId="31B8A6A2" w14:textId="77777777" w:rsidR="00847E53" w:rsidRPr="00B34B0A" w:rsidRDefault="00847E53" w:rsidP="00832D19">
                        <w:pPr>
                          <w:rPr>
                            <w:b/>
                          </w:rPr>
                        </w:pPr>
                        <w:r>
                          <w:rPr>
                            <w:b/>
                            <w:i/>
                            <w:iCs/>
                            <w:color w:val="000000"/>
                          </w:rPr>
                          <w:t>FFR</w:t>
                        </w:r>
                      </w:p>
                    </w:txbxContent>
                  </v:textbox>
                </v:rect>
                <v:rect id="Rectangle 75" o:spid="_x0000_s1476" style="position:absolute;left:337;top:1339;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" filled="f" stroked="f">
                  <v:textbox style="mso-fit-shape-to-text:t" inset="0,0,0,0">
                    <w:txbxContent>
                      <w:p w14:paraId="2FCCDAE8" w14:textId="77777777" w:rsidR="00847E53" w:rsidRPr="00B34B0A" w:rsidRDefault="00847E53" w:rsidP="00832D19">
                        <w:pPr>
                          <w:rPr>
                            <w:b/>
                          </w:rPr>
                        </w:pPr>
                        <w:r w:rsidRPr="00B34B0A">
                          <w:rPr>
                            <w:b/>
                            <w:i/>
                            <w:iCs/>
                            <w:color w:val="000000"/>
                          </w:rPr>
                          <w:t>online</w:t>
                        </w:r>
                      </w:p>
                    </w:txbxContent>
                  </v:textbox>
                </v:rect>
                <v:rect id="Rectangle 76" o:spid="_x0000_s1477" style="position:absolute;left:457;width:2178;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" filled="f" stroked="f">
                  <v:textbox style="mso-fit-shape-to-text:t" inset="0,0,0,0">
                    <w:txbxContent>
                      <w:p w14:paraId="760E58C7" w14:textId="77777777" w:rsidR="00847E53" w:rsidRPr="00B34B0A" w:rsidRDefault="00847E53" w:rsidP="00832D19">
                        <w:pPr>
                          <w:rPr>
                            <w:b/>
                          </w:rPr>
                        </w:pPr>
                        <w:r w:rsidRPr="00B34B0A">
                          <w:rPr>
                            <w:b/>
                            <w:i/>
                            <w:iCs/>
                            <w:color w:val="000000"/>
                          </w:rPr>
                          <w:t>All</w:t>
                        </w:r>
                      </w:p>
                    </w:txbxContent>
                  </v:textbox>
                </v:rect>
                <v:rect id="Rectangle 77" o:spid="_x0000_s1478" style="position:absolute;left:629;top:11315;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" filled="f" stroked="f">
                  <v:textbox style="mso-fit-shape-to-text:t" inset="0,0,0,0">
                    <w:txbxContent>
                      <w:p w14:paraId="4401484D" w14:textId="77777777" w:rsidR="00847E53" w:rsidRPr="00B34B0A" w:rsidRDefault="00847E53" w:rsidP="00832D19">
                        <w:pPr>
                          <w:rPr>
                            <w:b/>
                          </w:rPr>
                        </w:pPr>
                        <w:r w:rsidRPr="00B34B0A">
                          <w:rPr>
                            <w:b/>
                            <w:i/>
                            <w:iCs/>
                            <w:color w:val="000000"/>
                          </w:rPr>
                          <w:t>resource</w:t>
                        </w:r>
                      </w:p>
                    </w:txbxContent>
                  </v:textbox>
                </v:rect>
                <v:rect id="Rectangle 78" o:spid="_x0000_s1479" style="position:absolute;left:584;top:9975;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" filled="f" stroked="f">
                  <v:textbox style="mso-fit-shape-to-text:t" inset="0,0,0,0">
                    <w:txbxContent>
                      <w:p w14:paraId="1DE9BE82" w14:textId="77777777" w:rsidR="00847E53" w:rsidRPr="00B34B0A" w:rsidRDefault="00847E53" w:rsidP="00832D19">
                        <w:pPr>
                          <w:rPr>
                            <w:b/>
                          </w:rPr>
                        </w:pPr>
                        <w:r>
                          <w:rPr>
                            <w:b/>
                            <w:i/>
                            <w:iCs/>
                            <w:color w:val="000000"/>
                          </w:rPr>
                          <w:t>FFR</w:t>
                        </w:r>
                      </w:p>
                    </w:txbxContent>
                  </v:textbox>
                </v:rect>
                <v:rect id="Rectangle 79" o:spid="_x0000_s1480" style="position:absolute;left:1746;top:8635;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" filled="f" stroked="f">
                  <v:textbox style="mso-fit-shape-to-text:t" inset="0,0,0,0">
                    <w:txbxContent>
                      <w:p w14:paraId="0F167F52" w14:textId="77777777" w:rsidR="00847E53" w:rsidRPr="00B34B0A" w:rsidRDefault="00847E53" w:rsidP="00832D19">
                        <w:pPr>
                          <w:rPr>
                            <w:b/>
                          </w:rPr>
                        </w:pPr>
                        <w:r w:rsidRPr="00B34B0A">
                          <w:rPr>
                            <w:b/>
                            <w:i/>
                            <w:iCs/>
                            <w:color w:val="000000"/>
                          </w:rPr>
                          <w:t>online</w:t>
                        </w:r>
                      </w:p>
                    </w:txbxContent>
                  </v:textbox>
                </v:rect>
                <v:rect id="Rectangle 80" o:spid="_x0000_s1481" style="position:absolute;left:584;top:8635;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" filled="f" stroked="f">
                  <v:textbox style="mso-fit-shape-to-text:t" inset="0,0,0,0">
                    <w:txbxContent>
                      <w:p w14:paraId="5D314D5E" w14:textId="77777777" w:rsidR="00847E53" w:rsidRPr="00B34B0A" w:rsidRDefault="00847E53" w:rsidP="00832D19">
                        <w:pPr>
                          <w:rPr>
                            <w:b/>
                          </w:rPr>
                        </w:pPr>
                        <w:r w:rsidRPr="00B34B0A">
                          <w:rPr>
                            <w:b/>
                            <w:i/>
                            <w:iCs/>
                            <w:color w:val="000000"/>
                          </w:rPr>
                          <w:t>i</w:t>
                        </w:r>
                      </w:p>
                    </w:txbxContent>
                  </v:textbox>
                </v:rect>
              </v:group>
            </w:pict>
          </mc:Fallback>
        </mc:AlternateContent>
      </w:r>
      <w:r w:rsidR="00832D19" w:rsidRPr="0003648D">
        <w:rPr>
          <w:b/>
          <w:position w:val="30"/>
          <w:sz w:val="20"/>
        </w:rPr>
        <w:t>PRC</w:t>
      </w:r>
      <w:r w:rsidR="00832D19" w:rsidRPr="0003648D">
        <w:rPr>
          <w:b/>
          <w:position w:val="30"/>
          <w:sz w:val="20"/>
          <w:vertAlign w:val="subscript"/>
        </w:rPr>
        <w:t>7</w:t>
      </w:r>
      <w:r w:rsidR="00832D19" w:rsidRPr="0003648D">
        <w:rPr>
          <w:b/>
          <w:position w:val="30"/>
          <w:sz w:val="20"/>
        </w:rPr>
        <w:t xml:space="preserve"> =</w:t>
      </w:r>
      <w:r w:rsidR="00832D19" w:rsidRPr="0003648D">
        <w:rPr>
          <w:b/>
          <w:position w:val="30"/>
          <w:sz w:val="20"/>
        </w:rPr>
        <w:tab/>
        <w:t>(Capacity from Resources capable of providing FFR)</w:t>
      </w:r>
      <w:r w:rsidR="00832D19" w:rsidRPr="0003648D">
        <w:rPr>
          <w:b/>
          <w:position w:val="30"/>
          <w:sz w:val="20"/>
          <w:vertAlign w:val="subscript"/>
        </w:rPr>
        <w:t>i</w:t>
      </w:r>
    </w:p>
    <w:p w14:paraId="28BC67F5" w14:textId="77777777" w:rsidR="00BA3F0D" w:rsidRDefault="00BA3F0D" w:rsidP="00D56BB3">
      <w:pPr>
        <w:pStyle w:val="List"/>
        <w:spacing w:before="480" w:after="0"/>
        <w:ind w:left="720"/>
        <w:rPr>
          <w:b/>
          <w:position w:val="30"/>
          <w:sz w:val="20"/>
        </w:rPr>
      </w:pPr>
    </w:p>
    <w:p w14:paraId="71E3DFE5" w14:textId="484833BB" w:rsidR="00DE2B6B" w:rsidRDefault="00DE2B6B" w:rsidP="00DE2B6B">
      <w:pPr>
        <w:tabs>
          <w:tab w:val="left" w:pos="2160"/>
        </w:tabs>
        <w:spacing w:before="480"/>
        <w:ind w:left="2160" w:hanging="2160"/>
        <w:rPr>
          <w:b/>
          <w:position w:val="30"/>
          <w:sz w:val="20"/>
        </w:rPr>
      </w:pPr>
      <w:r>
        <w:rPr>
          <w:noProof/>
        </w:rPr>
        <mc:AlternateContent>
          <mc:Choice Requires="wpc">
            <w:drawing>
              <wp:anchor distT="0" distB="0" distL="114300" distR="114300" simplePos="0" relativeHeight="251695104" behindDoc="0" locked="0" layoutInCell="1" allowOverlap="1" wp14:anchorId="0783D39A" wp14:editId="67596401">
                <wp:simplePos x="0" y="0"/>
                <wp:positionH relativeFrom="column">
                  <wp:posOffset>483870</wp:posOffset>
                </wp:positionH>
                <wp:positionV relativeFrom="paragraph">
                  <wp:posOffset>43815</wp:posOffset>
                </wp:positionV>
                <wp:extent cx="960755" cy="1369060"/>
                <wp:effectExtent l="0" t="0" r="10795" b="2540"/>
                <wp:wrapNone/>
                <wp:docPr id="87"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1" name="Rectangle 71"/>
                        <wps:cNvSpPr>
                          <a:spLocks noChangeArrowheads="1"/>
                        </wps:cNvSpPr>
                        <wps:spPr bwMode="auto">
                          <a:xfrm>
                            <a:off x="141991" y="564542"/>
                            <a:ext cx="177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939E7" w14:textId="77777777" w:rsidR="00DE2B6B" w:rsidRPr="00B074A0" w:rsidRDefault="00DE2B6B" w:rsidP="00DE2B6B">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52" name="Rectangle 72"/>
                        <wps:cNvSpPr>
                          <a:spLocks noChangeArrowheads="1"/>
                        </wps:cNvSpPr>
                        <wps:spPr bwMode="auto">
                          <a:xfrm>
                            <a:off x="101606"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EF4E7" w14:textId="77777777" w:rsidR="00DE2B6B" w:rsidRDefault="00DE2B6B" w:rsidP="00DE2B6B">
                              <w:r>
                                <w:rPr>
                                  <w:rFonts w:ascii="Symbol" w:hAnsi="Symbol" w:cs="Symbol"/>
                                  <w:color w:val="000000"/>
                                </w:rPr>
                                <w:t></w:t>
                              </w:r>
                            </w:p>
                          </w:txbxContent>
                        </wps:txbx>
                        <wps:bodyPr rot="0" vert="horz" wrap="none" lIns="0" tIns="0" rIns="0" bIns="0" anchor="t" anchorCtr="0" upright="1">
                          <a:spAutoFit/>
                        </wps:bodyPr>
                      </wps:wsp>
                      <wps:wsp>
                        <wps:cNvPr id="53" name="Rectangle 73"/>
                        <wps:cNvSpPr>
                          <a:spLocks noChangeArrowheads="1"/>
                        </wps:cNvSpPr>
                        <wps:spPr bwMode="auto">
                          <a:xfrm>
                            <a:off x="35602" y="372754"/>
                            <a:ext cx="925153"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5ED07" w14:textId="77777777" w:rsidR="00DE2B6B" w:rsidRPr="00B34B0A" w:rsidRDefault="00DE2B6B" w:rsidP="00DE2B6B">
                              <w:pPr>
                                <w:rPr>
                                  <w:b/>
                                </w:rPr>
                              </w:pPr>
                              <w:r>
                                <w:rPr>
                                  <w:b/>
                                  <w:i/>
                                  <w:iCs/>
                                  <w:color w:val="000000"/>
                                </w:rPr>
                                <w:t>ESR</w:t>
                              </w:r>
                            </w:p>
                          </w:txbxContent>
                        </wps:txbx>
                        <wps:bodyPr rot="0" vert="horz" wrap="square" lIns="0" tIns="0" rIns="0" bIns="0" anchor="t" anchorCtr="0" upright="1">
                          <a:spAutoFit/>
                        </wps:bodyPr>
                      </wps:wsp>
                      <wps:wsp>
                        <wps:cNvPr id="54"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67969" w14:textId="77777777" w:rsidR="00DE2B6B" w:rsidRPr="00B34B0A" w:rsidRDefault="00DE2B6B" w:rsidP="00DE2B6B">
                              <w:pPr>
                                <w:rPr>
                                  <w:b/>
                                </w:rPr>
                              </w:pPr>
                            </w:p>
                          </w:txbxContent>
                        </wps:txbx>
                        <wps:bodyPr rot="0" vert="horz" wrap="none" lIns="0" tIns="0" rIns="0" bIns="0" anchor="t" anchorCtr="0" upright="1">
                          <a:spAutoFit/>
                        </wps:bodyPr>
                      </wps:wsp>
                      <wps:wsp>
                        <wps:cNvPr id="55" name="Rectangle 75"/>
                        <wps:cNvSpPr>
                          <a:spLocks noChangeArrowheads="1"/>
                        </wps:cNvSpPr>
                        <wps:spPr bwMode="auto">
                          <a:xfrm>
                            <a:off x="25518" y="197459"/>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535DF" w14:textId="77777777" w:rsidR="00DE2B6B" w:rsidRPr="00B34B0A" w:rsidRDefault="00DE2B6B" w:rsidP="00DE2B6B">
                              <w:pPr>
                                <w:rPr>
                                  <w:b/>
                                </w:rPr>
                              </w:pPr>
                              <w:r w:rsidRPr="00B34B0A">
                                <w:rPr>
                                  <w:b/>
                                  <w:i/>
                                  <w:iCs/>
                                  <w:color w:val="000000"/>
                                </w:rPr>
                                <w:t>online</w:t>
                              </w:r>
                            </w:p>
                          </w:txbxContent>
                        </wps:txbx>
                        <wps:bodyPr rot="0" vert="horz" wrap="none" lIns="0" tIns="0" rIns="0" bIns="0" anchor="t" anchorCtr="0" upright="1">
                          <a:spAutoFit/>
                        </wps:bodyPr>
                      </wps:wsp>
                      <wps:wsp>
                        <wps:cNvPr id="82"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9AAB2" w14:textId="77777777" w:rsidR="00DE2B6B" w:rsidRPr="00B34B0A" w:rsidRDefault="00DE2B6B" w:rsidP="00DE2B6B">
                              <w:pPr>
                                <w:rPr>
                                  <w:b/>
                                </w:rPr>
                              </w:pPr>
                              <w:r w:rsidRPr="00B34B0A">
                                <w:rPr>
                                  <w:b/>
                                  <w:i/>
                                  <w:iCs/>
                                  <w:color w:val="000000"/>
                                </w:rPr>
                                <w:t>All</w:t>
                              </w:r>
                            </w:p>
                          </w:txbxContent>
                        </wps:txbx>
                        <wps:bodyPr rot="0" vert="horz" wrap="square" lIns="0" tIns="0" rIns="0" bIns="0" anchor="t" anchorCtr="0" upright="1">
                          <a:spAutoFit/>
                        </wps:bodyPr>
                      </wps:wsp>
                      <wps:wsp>
                        <wps:cNvPr id="83"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56003" w14:textId="77777777" w:rsidR="00DE2B6B" w:rsidRPr="00B34B0A" w:rsidRDefault="00DE2B6B" w:rsidP="00DE2B6B">
                              <w:pPr>
                                <w:rPr>
                                  <w:b/>
                                </w:rPr>
                              </w:pPr>
                            </w:p>
                          </w:txbxContent>
                        </wps:txbx>
                        <wps:bodyPr rot="0" vert="horz" wrap="none" lIns="0" tIns="0" rIns="0" bIns="0" anchor="t" anchorCtr="0" upright="1">
                          <a:spAutoFit/>
                        </wps:bodyPr>
                      </wps:wsp>
                      <wps:wsp>
                        <wps:cNvPr id="84" name="Rectangle 78"/>
                        <wps:cNvSpPr>
                          <a:spLocks noChangeArrowheads="1"/>
                        </wps:cNvSpPr>
                        <wps:spPr bwMode="auto">
                          <a:xfrm>
                            <a:off x="58403" y="1019770"/>
                            <a:ext cx="289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70E61" w14:textId="77777777" w:rsidR="00DE2B6B" w:rsidRPr="00B34B0A" w:rsidRDefault="00DE2B6B" w:rsidP="00DE2B6B">
                              <w:pPr>
                                <w:rPr>
                                  <w:b/>
                                </w:rPr>
                              </w:pPr>
                              <w:r>
                                <w:rPr>
                                  <w:b/>
                                  <w:i/>
                                  <w:iCs/>
                                  <w:color w:val="000000"/>
                                </w:rPr>
                                <w:t>ESR</w:t>
                              </w:r>
                            </w:p>
                          </w:txbxContent>
                        </wps:txbx>
                        <wps:bodyPr rot="0" vert="horz" wrap="none" lIns="0" tIns="0" rIns="0" bIns="0" anchor="t" anchorCtr="0" upright="1">
                          <a:spAutoFit/>
                        </wps:bodyPr>
                      </wps:wsp>
                      <wps:wsp>
                        <wps:cNvPr id="85" name="Rectangle 79"/>
                        <wps:cNvSpPr>
                          <a:spLocks noChangeArrowheads="1"/>
                        </wps:cNvSpPr>
                        <wps:spPr bwMode="auto">
                          <a:xfrm>
                            <a:off x="174610"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12960" w14:textId="77777777" w:rsidR="00DE2B6B" w:rsidRPr="00B34B0A" w:rsidRDefault="00DE2B6B" w:rsidP="00DE2B6B">
                              <w:pPr>
                                <w:rPr>
                                  <w:b/>
                                </w:rPr>
                              </w:pPr>
                              <w:r w:rsidRPr="00B34B0A">
                                <w:rPr>
                                  <w:b/>
                                  <w:i/>
                                  <w:iCs/>
                                  <w:color w:val="000000"/>
                                </w:rPr>
                                <w:t>online</w:t>
                              </w:r>
                            </w:p>
                          </w:txbxContent>
                        </wps:txbx>
                        <wps:bodyPr rot="0" vert="horz" wrap="none" lIns="0" tIns="0" rIns="0" bIns="0" anchor="t" anchorCtr="0" upright="1">
                          <a:spAutoFit/>
                        </wps:bodyPr>
                      </wps:wsp>
                      <wps:wsp>
                        <wps:cNvPr id="86" name="Rectangle 80"/>
                        <wps:cNvSpPr>
                          <a:spLocks noChangeArrowheads="1"/>
                        </wps:cNvSpPr>
                        <wps:spPr bwMode="auto">
                          <a:xfrm>
                            <a:off x="58403"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0616F" w14:textId="77777777" w:rsidR="00DE2B6B" w:rsidRPr="00B34B0A" w:rsidRDefault="00DE2B6B" w:rsidP="00DE2B6B">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783D39A" id="_x0000_s1482" editas="canvas" style="position:absolute;left:0;text-align:left;margin-left:38.1pt;margin-top:3.45pt;width:75.65pt;height:107.8pt;z-index:251695104"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">
                <v:shape id="_x0000_s1483" type="#_x0000_t75" style="position:absolute;width:9607;height:13690;visibility:visible;mso-wrap-style:square">
                  <v:fill o:detectmouseclick="t"/>
                  <v:path o:connecttype="none"/>
                </v:shape>
                <v:rect id="Rectangle 71" o:spid="_x0000_s1484" style="position:absolute;left:1419;top:5645;width:1778;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" filled="f" stroked="f">
                  <v:textbox style="mso-fit-shape-to-text:t" inset="0,0,0,0">
                    <w:txbxContent>
                      <w:p w14:paraId="638939E7" w14:textId="77777777" w:rsidR="00DE2B6B" w:rsidRPr="00B074A0" w:rsidRDefault="00DE2B6B" w:rsidP="00DE2B6B">
                        <w:pPr>
                          <w:rPr>
                            <w:sz w:val="32"/>
                            <w:szCs w:val="32"/>
                          </w:rPr>
                        </w:pPr>
                        <w:r w:rsidRPr="00B074A0">
                          <w:rPr>
                            <w:rFonts w:ascii="Symbol" w:hAnsi="Symbol" w:cs="Symbol"/>
                            <w:color w:val="000000"/>
                            <w:sz w:val="32"/>
                            <w:szCs w:val="32"/>
                          </w:rPr>
                          <w:t></w:t>
                        </w:r>
                      </w:p>
                    </w:txbxContent>
                  </v:textbox>
                </v:rect>
                <v:rect id="Rectangle 72" o:spid="_x0000_s1485"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04DEF4E7" w14:textId="77777777" w:rsidR="00DE2B6B" w:rsidRDefault="00DE2B6B" w:rsidP="00DE2B6B">
                        <w:r>
                          <w:rPr>
                            <w:rFonts w:ascii="Symbol" w:hAnsi="Symbol" w:cs="Symbol"/>
                            <w:color w:val="000000"/>
                          </w:rPr>
                          <w:t></w:t>
                        </w:r>
                      </w:p>
                    </w:txbxContent>
                  </v:textbox>
                </v:rect>
                <v:rect id="Rectangle 73" o:spid="_x0000_s1486" style="position:absolute;left:356;top:3727;width:925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" filled="f" stroked="f">
                  <v:textbox style="mso-fit-shape-to-text:t" inset="0,0,0,0">
                    <w:txbxContent>
                      <w:p w14:paraId="7875ED07" w14:textId="77777777" w:rsidR="00DE2B6B" w:rsidRPr="00B34B0A" w:rsidRDefault="00DE2B6B" w:rsidP="00DE2B6B">
                        <w:pPr>
                          <w:rPr>
                            <w:b/>
                          </w:rPr>
                        </w:pPr>
                        <w:r>
                          <w:rPr>
                            <w:b/>
                            <w:i/>
                            <w:iCs/>
                            <w:color w:val="000000"/>
                          </w:rPr>
                          <w:t>ESR</w:t>
                        </w:r>
                      </w:p>
                    </w:txbxContent>
                  </v:textbox>
                </v:rect>
                <v:rect id="Rectangle 74" o:spid="_x0000_s1487" style="position:absolute;left:317;top:2901;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7A967969" w14:textId="77777777" w:rsidR="00DE2B6B" w:rsidRPr="00B34B0A" w:rsidRDefault="00DE2B6B" w:rsidP="00DE2B6B">
                        <w:pPr>
                          <w:rPr>
                            <w:b/>
                          </w:rPr>
                        </w:pPr>
                      </w:p>
                    </w:txbxContent>
                  </v:textbox>
                </v:rect>
                <v:rect id="Rectangle 75" o:spid="_x0000_s1488" style="position:absolute;left:255;top:1974;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541535DF" w14:textId="77777777" w:rsidR="00DE2B6B" w:rsidRPr="00B34B0A" w:rsidRDefault="00DE2B6B" w:rsidP="00DE2B6B">
                        <w:pPr>
                          <w:rPr>
                            <w:b/>
                          </w:rPr>
                        </w:pPr>
                        <w:r w:rsidRPr="00B34B0A">
                          <w:rPr>
                            <w:b/>
                            <w:i/>
                            <w:iCs/>
                            <w:color w:val="000000"/>
                          </w:rPr>
                          <w:t>online</w:t>
                        </w:r>
                      </w:p>
                    </w:txbxContent>
                  </v:textbox>
                </v:rect>
                <v:rect id="Rectangle 76" o:spid="_x0000_s1489" style="position:absolute;left:457;top:221;width:217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" filled="f" stroked="f">
                  <v:textbox style="mso-fit-shape-to-text:t" inset="0,0,0,0">
                    <w:txbxContent>
                      <w:p w14:paraId="13E9AAB2" w14:textId="77777777" w:rsidR="00DE2B6B" w:rsidRPr="00B34B0A" w:rsidRDefault="00DE2B6B" w:rsidP="00DE2B6B">
                        <w:pPr>
                          <w:rPr>
                            <w:b/>
                          </w:rPr>
                        </w:pPr>
                        <w:r w:rsidRPr="00B34B0A">
                          <w:rPr>
                            <w:b/>
                            <w:i/>
                            <w:iCs/>
                            <w:color w:val="000000"/>
                          </w:rPr>
                          <w:t>All</w:t>
                        </w:r>
                      </w:p>
                    </w:txbxContent>
                  </v:textbox>
                </v:rect>
                <v:rect id="Rectangle 77" o:spid="_x0000_s1490" style="position:absolute;left:629;top:11537;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4A456003" w14:textId="77777777" w:rsidR="00DE2B6B" w:rsidRPr="00B34B0A" w:rsidRDefault="00DE2B6B" w:rsidP="00DE2B6B">
                        <w:pPr>
                          <w:rPr>
                            <w:b/>
                          </w:rPr>
                        </w:pPr>
                      </w:p>
                    </w:txbxContent>
                  </v:textbox>
                </v:rect>
                <v:rect id="Rectangle 78" o:spid="_x0000_s1491" style="position:absolute;left:584;top:10197;width:289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0EB70E61" w14:textId="77777777" w:rsidR="00DE2B6B" w:rsidRPr="00B34B0A" w:rsidRDefault="00DE2B6B" w:rsidP="00DE2B6B">
                        <w:pPr>
                          <w:rPr>
                            <w:b/>
                          </w:rPr>
                        </w:pPr>
                        <w:r>
                          <w:rPr>
                            <w:b/>
                            <w:i/>
                            <w:iCs/>
                            <w:color w:val="000000"/>
                          </w:rPr>
                          <w:t>ESR</w:t>
                        </w:r>
                      </w:p>
                    </w:txbxContent>
                  </v:textbox>
                </v:rect>
                <v:rect id="Rectangle 79" o:spid="_x0000_s1492"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26B12960" w14:textId="77777777" w:rsidR="00DE2B6B" w:rsidRPr="00B34B0A" w:rsidRDefault="00DE2B6B" w:rsidP="00DE2B6B">
                        <w:pPr>
                          <w:rPr>
                            <w:b/>
                          </w:rPr>
                        </w:pPr>
                        <w:r w:rsidRPr="00B34B0A">
                          <w:rPr>
                            <w:b/>
                            <w:i/>
                            <w:iCs/>
                            <w:color w:val="000000"/>
                          </w:rPr>
                          <w:t>online</w:t>
                        </w:r>
                      </w:p>
                    </w:txbxContent>
                  </v:textbox>
                </v:rect>
                <v:rect id="Rectangle 80" o:spid="_x0000_s1493"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3F00616F" w14:textId="77777777" w:rsidR="00DE2B6B" w:rsidRPr="00B34B0A" w:rsidRDefault="00DE2B6B" w:rsidP="00DE2B6B">
                        <w:pPr>
                          <w:rPr>
                            <w:b/>
                          </w:rPr>
                        </w:pPr>
                        <w:r w:rsidRPr="00B34B0A">
                          <w:rPr>
                            <w:b/>
                            <w:i/>
                            <w:iCs/>
                            <w:color w:val="000000"/>
                          </w:rPr>
                          <w:t>i</w:t>
                        </w:r>
                      </w:p>
                    </w:txbxContent>
                  </v:textbox>
                </v:rect>
              </v:group>
            </w:pict>
          </mc:Fallback>
        </mc:AlternateContent>
      </w:r>
      <w:r w:rsidRPr="006A3321">
        <w:rPr>
          <w:b/>
          <w:position w:val="30"/>
          <w:sz w:val="20"/>
        </w:rPr>
        <w:t>PRC</w:t>
      </w:r>
      <w:r>
        <w:rPr>
          <w:b/>
          <w:position w:val="30"/>
          <w:sz w:val="20"/>
          <w:vertAlign w:val="subscript"/>
        </w:rPr>
        <w:t>8</w:t>
      </w:r>
      <w:r w:rsidRPr="006A3321">
        <w:rPr>
          <w:b/>
          <w:position w:val="30"/>
          <w:sz w:val="20"/>
        </w:rPr>
        <w:t xml:space="preserve"> =</w:t>
      </w:r>
      <w:r w:rsidRPr="006A3321">
        <w:rPr>
          <w:b/>
          <w:position w:val="30"/>
          <w:sz w:val="20"/>
        </w:rPr>
        <w:tab/>
      </w:r>
      <w:r>
        <w:rPr>
          <w:b/>
          <w:position w:val="30"/>
          <w:sz w:val="20"/>
        </w:rPr>
        <w:t xml:space="preserve">(If discharging or idle, Min(X% of HSL based on droop, HSL-ESR-Gen “injection”, the capacity that can be sustained for </w:t>
      </w:r>
      <w:r w:rsidR="00901D94">
        <w:rPr>
          <w:b/>
          <w:position w:val="30"/>
          <w:sz w:val="20"/>
        </w:rPr>
        <w:t>4</w:t>
      </w:r>
      <w:r>
        <w:rPr>
          <w:b/>
          <w:position w:val="30"/>
          <w:sz w:val="20"/>
        </w:rPr>
        <w:t xml:space="preserve">5 minutes per the State of Charge), else </w:t>
      </w:r>
      <w:r>
        <w:rPr>
          <w:b/>
          <w:position w:val="30"/>
          <w:sz w:val="20"/>
        </w:rPr>
        <w:lastRenderedPageBreak/>
        <w:t xml:space="preserve">Min(X% of (HSL – LSL(ESR “charging”) based on droop, the capacity that can be sustained for </w:t>
      </w:r>
      <w:r w:rsidR="00901D94">
        <w:rPr>
          <w:b/>
          <w:position w:val="30"/>
          <w:sz w:val="20"/>
        </w:rPr>
        <w:t>4</w:t>
      </w:r>
      <w:r>
        <w:rPr>
          <w:b/>
          <w:position w:val="30"/>
          <w:sz w:val="20"/>
        </w:rPr>
        <w:t xml:space="preserve">5 minutes per the State of Charge – LSL(ESR “charging”))) </w:t>
      </w:r>
    </w:p>
    <w:p w14:paraId="4E1144A9" w14:textId="06A1CC85" w:rsidR="00DE2B6B" w:rsidRDefault="00DE2B6B" w:rsidP="00DE2B6B">
      <w:pPr>
        <w:ind w:left="720" w:hanging="720"/>
        <w:rPr>
          <w:b/>
          <w:position w:val="30"/>
          <w:sz w:val="20"/>
        </w:rPr>
      </w:pPr>
      <w:r>
        <w:rPr>
          <w:b/>
          <w:position w:val="30"/>
          <w:sz w:val="20"/>
        </w:rPr>
        <w:t>Excludes ESR capacity used to provide FFR</w:t>
      </w:r>
      <w:r w:rsidR="00BD759A">
        <w:rPr>
          <w:b/>
          <w:position w:val="30"/>
          <w:sz w:val="20"/>
        </w:rPr>
        <w:t>.</w:t>
      </w:r>
      <w:r w:rsidRPr="003161DC">
        <w:rPr>
          <w:b/>
          <w:position w:val="30"/>
          <w:sz w:val="20"/>
        </w:rPr>
        <w:t xml:space="preserve"> </w:t>
      </w:r>
    </w:p>
    <w:p w14:paraId="44674B11" w14:textId="3D79F789" w:rsidR="000800A9" w:rsidRPr="00FF5BB6" w:rsidRDefault="000800A9" w:rsidP="002E4A29">
      <w:pPr>
        <w:pStyle w:val="List"/>
        <w:spacing w:after="0"/>
        <w:ind w:left="720"/>
        <w:rPr>
          <w:b/>
          <w:position w:val="30"/>
          <w:sz w:val="20"/>
        </w:rPr>
      </w:pPr>
      <w:r>
        <w:rPr>
          <w:b/>
          <w:position w:val="30"/>
          <w:sz w:val="20"/>
        </w:rPr>
        <w:t>PRC =</w:t>
      </w:r>
      <w:r>
        <w:rPr>
          <w:b/>
          <w:position w:val="30"/>
          <w:sz w:val="20"/>
        </w:rPr>
        <w:tab/>
        <w:t>PRC</w:t>
      </w:r>
      <w:r>
        <w:rPr>
          <w:b/>
          <w:position w:val="30"/>
          <w:sz w:val="20"/>
          <w:vertAlign w:val="subscript"/>
        </w:rPr>
        <w:t>1</w:t>
      </w:r>
      <w:r>
        <w:rPr>
          <w:b/>
          <w:position w:val="30"/>
          <w:sz w:val="20"/>
        </w:rPr>
        <w:t xml:space="preserve"> + PRC</w:t>
      </w:r>
      <w:r>
        <w:rPr>
          <w:b/>
          <w:position w:val="30"/>
          <w:sz w:val="20"/>
          <w:vertAlign w:val="subscript"/>
        </w:rPr>
        <w:t>2</w:t>
      </w:r>
      <w:r w:rsidRPr="006178C9">
        <w:rPr>
          <w:b/>
          <w:position w:val="30"/>
          <w:sz w:val="20"/>
        </w:rPr>
        <w:t xml:space="preserve"> </w:t>
      </w:r>
      <w:r>
        <w:rPr>
          <w:b/>
          <w:position w:val="30"/>
          <w:sz w:val="20"/>
        </w:rPr>
        <w:t xml:space="preserve">+ </w:t>
      </w:r>
      <w:r w:rsidRPr="006A3321">
        <w:rPr>
          <w:b/>
          <w:position w:val="30"/>
          <w:sz w:val="20"/>
        </w:rPr>
        <w:t>PRC</w:t>
      </w:r>
      <w:r>
        <w:rPr>
          <w:b/>
          <w:position w:val="30"/>
          <w:sz w:val="20"/>
          <w:vertAlign w:val="subscript"/>
        </w:rPr>
        <w:t>3</w:t>
      </w:r>
      <w:r w:rsidR="00283DFC" w:rsidRPr="006A6281">
        <w:rPr>
          <w:b/>
          <w:position w:val="30"/>
          <w:sz w:val="20"/>
        </w:rPr>
        <w:t xml:space="preserve"> </w:t>
      </w:r>
      <w:r w:rsidRPr="006A6281">
        <w:rPr>
          <w:b/>
          <w:position w:val="30"/>
          <w:sz w:val="20"/>
        </w:rPr>
        <w:t>+ PRC</w:t>
      </w:r>
      <w:r w:rsidRPr="006A6281">
        <w:rPr>
          <w:b/>
          <w:position w:val="30"/>
          <w:sz w:val="20"/>
          <w:vertAlign w:val="subscript"/>
        </w:rPr>
        <w:t>4</w:t>
      </w:r>
      <w:r w:rsidRPr="006A6281">
        <w:rPr>
          <w:b/>
          <w:position w:val="30"/>
          <w:sz w:val="20"/>
        </w:rPr>
        <w:t xml:space="preserve"> + PRC</w:t>
      </w:r>
      <w:r w:rsidRPr="006A6281">
        <w:rPr>
          <w:b/>
          <w:position w:val="30"/>
          <w:sz w:val="20"/>
          <w:vertAlign w:val="subscript"/>
        </w:rPr>
        <w:t>5</w:t>
      </w:r>
      <w:r>
        <w:rPr>
          <w:b/>
          <w:position w:val="30"/>
          <w:sz w:val="20"/>
        </w:rPr>
        <w:t xml:space="preserve"> + PRC</w:t>
      </w:r>
      <w:r>
        <w:rPr>
          <w:b/>
          <w:position w:val="30"/>
          <w:sz w:val="20"/>
          <w:vertAlign w:val="subscript"/>
        </w:rPr>
        <w:t>6</w:t>
      </w:r>
      <w:r w:rsidR="00832D19">
        <w:rPr>
          <w:b/>
          <w:position w:val="30"/>
          <w:sz w:val="20"/>
        </w:rPr>
        <w:t xml:space="preserve"> + PRC</w:t>
      </w:r>
      <w:r w:rsidR="00832D19">
        <w:rPr>
          <w:b/>
          <w:position w:val="30"/>
          <w:sz w:val="20"/>
          <w:vertAlign w:val="subscript"/>
        </w:rPr>
        <w:t>7</w:t>
      </w:r>
      <w:r w:rsidR="00DE2B6B">
        <w:rPr>
          <w:b/>
          <w:position w:val="30"/>
          <w:sz w:val="20"/>
        </w:rPr>
        <w:t xml:space="preserve"> + PRC</w:t>
      </w:r>
      <w:r w:rsidR="00DE2B6B">
        <w:rPr>
          <w:b/>
          <w:position w:val="30"/>
          <w:sz w:val="20"/>
          <w:vertAlign w:val="subscript"/>
        </w:rPr>
        <w:t>8</w:t>
      </w:r>
    </w:p>
    <w:p w14:paraId="7E6064EA" w14:textId="77777777" w:rsidR="000800A9" w:rsidRDefault="000800A9" w:rsidP="002E4A29">
      <w:r>
        <w:t>The above variables are defined as follows:</w:t>
      </w:r>
    </w:p>
    <w:tbl>
      <w:tblPr>
        <w:tblW w:w="10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52"/>
        <w:gridCol w:w="1281"/>
        <w:gridCol w:w="7188"/>
      </w:tblGrid>
      <w:tr w:rsidR="000800A9" w:rsidRPr="001846F1" w14:paraId="483C139A" w14:textId="77777777" w:rsidTr="00832D19">
        <w:tc>
          <w:tcPr>
            <w:tcW w:w="1852" w:type="dxa"/>
          </w:tcPr>
          <w:p w14:paraId="530C66B5" w14:textId="77777777" w:rsidR="000800A9" w:rsidRPr="001846F1" w:rsidRDefault="000800A9" w:rsidP="007169E1">
            <w:pPr>
              <w:pStyle w:val="TableHead"/>
            </w:pPr>
            <w:r w:rsidRPr="001846F1">
              <w:t>Variable</w:t>
            </w:r>
          </w:p>
        </w:tc>
        <w:tc>
          <w:tcPr>
            <w:tcW w:w="1281" w:type="dxa"/>
          </w:tcPr>
          <w:p w14:paraId="1DCD17C8" w14:textId="77777777" w:rsidR="000800A9" w:rsidRPr="001846F1" w:rsidRDefault="000800A9" w:rsidP="007169E1">
            <w:pPr>
              <w:pStyle w:val="TableHead"/>
            </w:pPr>
            <w:r w:rsidRPr="00D661BC">
              <w:t>Unit</w:t>
            </w:r>
          </w:p>
        </w:tc>
        <w:tc>
          <w:tcPr>
            <w:tcW w:w="7188" w:type="dxa"/>
          </w:tcPr>
          <w:p w14:paraId="601607F4" w14:textId="77777777" w:rsidR="000800A9" w:rsidRPr="001846F1" w:rsidRDefault="000800A9" w:rsidP="007169E1">
            <w:pPr>
              <w:pStyle w:val="TableHead"/>
            </w:pPr>
            <w:r w:rsidRPr="00D661BC">
              <w:t>Description</w:t>
            </w:r>
          </w:p>
        </w:tc>
      </w:tr>
      <w:tr w:rsidR="000800A9" w:rsidRPr="001846F1" w14:paraId="167E6774" w14:textId="77777777" w:rsidTr="00832D19">
        <w:tc>
          <w:tcPr>
            <w:tcW w:w="1852" w:type="dxa"/>
          </w:tcPr>
          <w:p w14:paraId="43C8CD5E" w14:textId="77777777" w:rsidR="000800A9" w:rsidRPr="001846F1" w:rsidRDefault="000800A9" w:rsidP="007169E1">
            <w:pPr>
              <w:pStyle w:val="TableBody"/>
            </w:pPr>
            <w:r w:rsidRPr="00D661BC">
              <w:t>PRC</w:t>
            </w:r>
            <w:r w:rsidRPr="00D661BC">
              <w:rPr>
                <w:vertAlign w:val="subscript"/>
              </w:rPr>
              <w:t>1</w:t>
            </w:r>
          </w:p>
        </w:tc>
        <w:tc>
          <w:tcPr>
            <w:tcW w:w="1281" w:type="dxa"/>
          </w:tcPr>
          <w:p w14:paraId="097B6180" w14:textId="77777777" w:rsidR="000800A9" w:rsidRPr="001846F1" w:rsidRDefault="000800A9" w:rsidP="007169E1">
            <w:pPr>
              <w:pStyle w:val="TableBody"/>
            </w:pPr>
            <w:r w:rsidRPr="00D661BC">
              <w:t>MW</w:t>
            </w:r>
          </w:p>
        </w:tc>
        <w:tc>
          <w:tcPr>
            <w:tcW w:w="7188" w:type="dxa"/>
          </w:tcPr>
          <w:p w14:paraId="5D581083" w14:textId="77777777" w:rsidR="000800A9" w:rsidRPr="001846F1" w:rsidRDefault="000800A9" w:rsidP="007169E1">
            <w:pPr>
              <w:pStyle w:val="TableBody"/>
            </w:pPr>
            <w:r w:rsidRPr="00D661BC">
              <w:t>Generation On-Line greater than 0 MW</w:t>
            </w:r>
          </w:p>
        </w:tc>
      </w:tr>
      <w:tr w:rsidR="000800A9" w:rsidRPr="001846F1" w14:paraId="7183C981" w14:textId="77777777" w:rsidTr="00832D19">
        <w:tc>
          <w:tcPr>
            <w:tcW w:w="1852" w:type="dxa"/>
          </w:tcPr>
          <w:p w14:paraId="0A539C45" w14:textId="77777777" w:rsidR="000800A9" w:rsidRPr="006D4BBD" w:rsidRDefault="000800A9" w:rsidP="007169E1">
            <w:pPr>
              <w:pStyle w:val="TableBody"/>
            </w:pPr>
            <w:r>
              <w:t>PRC</w:t>
            </w:r>
            <w:r>
              <w:rPr>
                <w:vertAlign w:val="subscript"/>
              </w:rPr>
              <w:t>2</w:t>
            </w:r>
          </w:p>
        </w:tc>
        <w:tc>
          <w:tcPr>
            <w:tcW w:w="1281" w:type="dxa"/>
          </w:tcPr>
          <w:p w14:paraId="449EAF59" w14:textId="77777777" w:rsidR="000800A9" w:rsidRPr="00D661BC" w:rsidRDefault="000800A9" w:rsidP="007169E1">
            <w:pPr>
              <w:pStyle w:val="TableBody"/>
            </w:pPr>
            <w:r>
              <w:t>MW</w:t>
            </w:r>
          </w:p>
        </w:tc>
        <w:tc>
          <w:tcPr>
            <w:tcW w:w="7188" w:type="dxa"/>
          </w:tcPr>
          <w:p w14:paraId="16B9D096" w14:textId="77777777" w:rsidR="000800A9" w:rsidRPr="00D661BC" w:rsidRDefault="000800A9" w:rsidP="007169E1">
            <w:pPr>
              <w:pStyle w:val="TableBody"/>
            </w:pPr>
            <w:r>
              <w:t>WGRs On-Line greater than 0 MW</w:t>
            </w:r>
          </w:p>
        </w:tc>
      </w:tr>
      <w:tr w:rsidR="000800A9" w:rsidRPr="001846F1" w14:paraId="3548BA42" w14:textId="77777777" w:rsidTr="00832D19">
        <w:tc>
          <w:tcPr>
            <w:tcW w:w="1852" w:type="dxa"/>
          </w:tcPr>
          <w:p w14:paraId="67D650D9" w14:textId="77777777" w:rsidR="000800A9" w:rsidRPr="001846F1" w:rsidRDefault="000800A9" w:rsidP="007169E1">
            <w:pPr>
              <w:pStyle w:val="TableBody"/>
            </w:pPr>
            <w:r w:rsidRPr="00D661BC">
              <w:t>PRC</w:t>
            </w:r>
            <w:r>
              <w:rPr>
                <w:vertAlign w:val="subscript"/>
              </w:rPr>
              <w:t>3</w:t>
            </w:r>
          </w:p>
        </w:tc>
        <w:tc>
          <w:tcPr>
            <w:tcW w:w="1281" w:type="dxa"/>
          </w:tcPr>
          <w:p w14:paraId="23E87FC2" w14:textId="77777777" w:rsidR="000800A9" w:rsidRPr="001846F1" w:rsidRDefault="000800A9" w:rsidP="007169E1">
            <w:pPr>
              <w:pStyle w:val="TableBody"/>
            </w:pPr>
            <w:r w:rsidRPr="00D661BC">
              <w:t>MW</w:t>
            </w:r>
          </w:p>
        </w:tc>
        <w:tc>
          <w:tcPr>
            <w:tcW w:w="7188" w:type="dxa"/>
          </w:tcPr>
          <w:p w14:paraId="2979F0AC" w14:textId="1FC95B94" w:rsidR="00C874A1" w:rsidRPr="001846F1" w:rsidRDefault="00614A3C" w:rsidP="007169E1">
            <w:pPr>
              <w:pStyle w:val="TableBody"/>
            </w:pPr>
            <w:r>
              <w:t>S</w:t>
            </w:r>
            <w:r w:rsidR="000800A9" w:rsidRPr="00D661BC">
              <w:t>ynchronous condenser output</w:t>
            </w:r>
          </w:p>
          <w:p w14:paraId="2CCC50E9" w14:textId="77777777" w:rsidR="000800A9" w:rsidRPr="001846F1" w:rsidRDefault="000800A9" w:rsidP="007169E1">
            <w:pPr>
              <w:pStyle w:val="TableBody"/>
            </w:pPr>
          </w:p>
        </w:tc>
      </w:tr>
      <w:tr w:rsidR="000800A9" w:rsidRPr="001846F1" w14:paraId="783AD951" w14:textId="77777777" w:rsidTr="00832D19">
        <w:tc>
          <w:tcPr>
            <w:tcW w:w="1852" w:type="dxa"/>
          </w:tcPr>
          <w:p w14:paraId="421E57FC" w14:textId="77777777" w:rsidR="000800A9" w:rsidRDefault="000800A9" w:rsidP="007169E1">
            <w:pPr>
              <w:pStyle w:val="TableBody"/>
            </w:pPr>
            <w:r>
              <w:t>PRC</w:t>
            </w:r>
            <w:r>
              <w:rPr>
                <w:vertAlign w:val="subscript"/>
              </w:rPr>
              <w:t>4</w:t>
            </w:r>
          </w:p>
        </w:tc>
        <w:tc>
          <w:tcPr>
            <w:tcW w:w="1281" w:type="dxa"/>
          </w:tcPr>
          <w:p w14:paraId="21222881" w14:textId="77777777" w:rsidR="000800A9" w:rsidRDefault="000800A9" w:rsidP="007169E1">
            <w:pPr>
              <w:pStyle w:val="TableBody"/>
            </w:pPr>
            <w:r>
              <w:t>MW</w:t>
            </w:r>
          </w:p>
        </w:tc>
        <w:tc>
          <w:tcPr>
            <w:tcW w:w="7188" w:type="dxa"/>
          </w:tcPr>
          <w:p w14:paraId="36789B0E" w14:textId="165BD8BA" w:rsidR="00BB6E06" w:rsidRDefault="000800A9" w:rsidP="007169E1">
            <w:pPr>
              <w:pStyle w:val="TableBody"/>
              <w:tabs>
                <w:tab w:val="left" w:pos="1080"/>
              </w:tabs>
            </w:pPr>
            <w:r>
              <w:t xml:space="preserve">Capacity from Load Resources carrying </w:t>
            </w:r>
            <w:r w:rsidR="00585019">
              <w:t xml:space="preserve">ECRS </w:t>
            </w:r>
            <w:r>
              <w:t>Ancillary Service Resource Responsibility</w:t>
            </w:r>
          </w:p>
          <w:p w14:paraId="2D0D747E" w14:textId="77777777" w:rsidR="000800A9" w:rsidRDefault="000800A9" w:rsidP="007169E1">
            <w:pPr>
              <w:pStyle w:val="TableBody"/>
              <w:tabs>
                <w:tab w:val="left" w:pos="1080"/>
              </w:tabs>
            </w:pPr>
          </w:p>
        </w:tc>
      </w:tr>
      <w:tr w:rsidR="000800A9" w:rsidRPr="001846F1" w14:paraId="224331D0" w14:textId="77777777" w:rsidTr="00832D19">
        <w:tc>
          <w:tcPr>
            <w:tcW w:w="1852" w:type="dxa"/>
          </w:tcPr>
          <w:p w14:paraId="04AFE693" w14:textId="77777777" w:rsidR="000800A9" w:rsidRPr="00D661BC" w:rsidRDefault="000800A9" w:rsidP="007169E1">
            <w:pPr>
              <w:pStyle w:val="TableBody"/>
            </w:pPr>
            <w:r w:rsidRPr="006A6281">
              <w:t>PRC</w:t>
            </w:r>
            <w:r>
              <w:rPr>
                <w:vertAlign w:val="subscript"/>
              </w:rPr>
              <w:t>5</w:t>
            </w:r>
          </w:p>
        </w:tc>
        <w:tc>
          <w:tcPr>
            <w:tcW w:w="1281" w:type="dxa"/>
          </w:tcPr>
          <w:p w14:paraId="6B2D497A" w14:textId="77777777" w:rsidR="000800A9" w:rsidRPr="001846F1" w:rsidRDefault="000800A9" w:rsidP="007169E1">
            <w:pPr>
              <w:pStyle w:val="TableBody"/>
            </w:pPr>
            <w:r w:rsidRPr="006A6281">
              <w:t>MW</w:t>
            </w:r>
          </w:p>
        </w:tc>
        <w:tc>
          <w:tcPr>
            <w:tcW w:w="7188" w:type="dxa"/>
          </w:tcPr>
          <w:p w14:paraId="4368B060" w14:textId="40C66D8A" w:rsidR="000800A9" w:rsidRPr="00D661BC" w:rsidRDefault="000800A9" w:rsidP="007169E1">
            <w:pPr>
              <w:pStyle w:val="TableBody"/>
              <w:tabs>
                <w:tab w:val="left" w:pos="1080"/>
              </w:tabs>
            </w:pPr>
            <w:r w:rsidRPr="006A6281">
              <w:t xml:space="preserve">Capacity from </w:t>
            </w:r>
            <w:r w:rsidR="00192EFF">
              <w:t>CLRs</w:t>
            </w:r>
            <w:r w:rsidRPr="006A6281">
              <w:t xml:space="preserve"> active in SCED and carrying Ancillary Service Resource Responsibility</w:t>
            </w:r>
          </w:p>
        </w:tc>
      </w:tr>
      <w:tr w:rsidR="000800A9" w:rsidRPr="001846F1" w14:paraId="7D42A630" w14:textId="77777777" w:rsidTr="005755D9">
        <w:tc>
          <w:tcPr>
            <w:tcW w:w="1852" w:type="dxa"/>
            <w:tcBorders>
              <w:bottom w:val="single" w:sz="4" w:space="0" w:color="auto"/>
            </w:tcBorders>
          </w:tcPr>
          <w:p w14:paraId="06DAB15D" w14:textId="77777777" w:rsidR="000800A9" w:rsidRPr="00D661BC" w:rsidRDefault="000800A9" w:rsidP="007169E1">
            <w:pPr>
              <w:pStyle w:val="TableBody"/>
            </w:pPr>
            <w:r w:rsidRPr="006A6281">
              <w:t>PRC</w:t>
            </w:r>
            <w:r>
              <w:rPr>
                <w:vertAlign w:val="subscript"/>
              </w:rPr>
              <w:t>6</w:t>
            </w:r>
          </w:p>
        </w:tc>
        <w:tc>
          <w:tcPr>
            <w:tcW w:w="1281" w:type="dxa"/>
            <w:tcBorders>
              <w:bottom w:val="single" w:sz="4" w:space="0" w:color="auto"/>
            </w:tcBorders>
          </w:tcPr>
          <w:p w14:paraId="0ED2E420" w14:textId="77777777" w:rsidR="000800A9" w:rsidRPr="001846F1" w:rsidRDefault="000800A9" w:rsidP="007169E1">
            <w:pPr>
              <w:pStyle w:val="TableBody"/>
            </w:pPr>
            <w:r w:rsidRPr="006A6281">
              <w:t>MW</w:t>
            </w:r>
          </w:p>
        </w:tc>
        <w:tc>
          <w:tcPr>
            <w:tcW w:w="7188" w:type="dxa"/>
            <w:tcBorders>
              <w:bottom w:val="single" w:sz="4" w:space="0" w:color="auto"/>
            </w:tcBorders>
          </w:tcPr>
          <w:p w14:paraId="4B8660F6" w14:textId="36F2E318" w:rsidR="000800A9" w:rsidRPr="00D661BC" w:rsidRDefault="000800A9" w:rsidP="007169E1">
            <w:pPr>
              <w:pStyle w:val="TableBody"/>
              <w:tabs>
                <w:tab w:val="left" w:pos="1080"/>
              </w:tabs>
            </w:pPr>
            <w:r w:rsidRPr="006A6281">
              <w:t xml:space="preserve">Capacity from </w:t>
            </w:r>
            <w:r w:rsidR="00192EFF">
              <w:t>CLRs</w:t>
            </w:r>
            <w:r w:rsidRPr="006A6281">
              <w:t xml:space="preserve"> active in SCED and not carrying Ancillary Service Resource Responsibility</w:t>
            </w:r>
          </w:p>
        </w:tc>
      </w:tr>
      <w:tr w:rsidR="00832D19" w:rsidRPr="001846F1" w14:paraId="5DBC027F" w14:textId="77777777" w:rsidTr="005755D9">
        <w:tc>
          <w:tcPr>
            <w:tcW w:w="1852" w:type="dxa"/>
            <w:tcBorders>
              <w:top w:val="single" w:sz="4" w:space="0" w:color="auto"/>
              <w:left w:val="single" w:sz="4" w:space="0" w:color="auto"/>
              <w:bottom w:val="single" w:sz="4" w:space="0" w:color="auto"/>
              <w:right w:val="single" w:sz="4" w:space="0" w:color="auto"/>
            </w:tcBorders>
          </w:tcPr>
          <w:p w14:paraId="7D00074E" w14:textId="4DC0FF5B" w:rsidR="00832D19" w:rsidRPr="006A6281" w:rsidRDefault="00832D19" w:rsidP="00832D19">
            <w:pPr>
              <w:pStyle w:val="TableBody"/>
            </w:pPr>
            <w:r w:rsidRPr="002F73A4">
              <w:t>PRC</w:t>
            </w:r>
            <w:r w:rsidRPr="002F73A4">
              <w:rPr>
                <w:vertAlign w:val="subscript"/>
              </w:rPr>
              <w:t>7</w:t>
            </w:r>
          </w:p>
        </w:tc>
        <w:tc>
          <w:tcPr>
            <w:tcW w:w="1281" w:type="dxa"/>
            <w:tcBorders>
              <w:top w:val="single" w:sz="4" w:space="0" w:color="auto"/>
              <w:left w:val="single" w:sz="4" w:space="0" w:color="auto"/>
              <w:bottom w:val="single" w:sz="4" w:space="0" w:color="auto"/>
              <w:right w:val="single" w:sz="4" w:space="0" w:color="auto"/>
            </w:tcBorders>
          </w:tcPr>
          <w:p w14:paraId="0525304E" w14:textId="00112D50" w:rsidR="00832D19" w:rsidRPr="006A6281" w:rsidRDefault="00832D19" w:rsidP="00832D19">
            <w:pPr>
              <w:pStyle w:val="TableBody"/>
            </w:pPr>
            <w:r w:rsidRPr="0003648D">
              <w:t>MW</w:t>
            </w:r>
          </w:p>
        </w:tc>
        <w:tc>
          <w:tcPr>
            <w:tcW w:w="7188" w:type="dxa"/>
            <w:tcBorders>
              <w:top w:val="single" w:sz="4" w:space="0" w:color="auto"/>
              <w:left w:val="single" w:sz="4" w:space="0" w:color="auto"/>
              <w:bottom w:val="single" w:sz="4" w:space="0" w:color="auto"/>
              <w:right w:val="single" w:sz="4" w:space="0" w:color="auto"/>
            </w:tcBorders>
          </w:tcPr>
          <w:p w14:paraId="7EBAC246" w14:textId="2E041514" w:rsidR="00832D19" w:rsidRPr="006A6281" w:rsidRDefault="00832D19" w:rsidP="00832D19">
            <w:pPr>
              <w:pStyle w:val="TableBody"/>
              <w:tabs>
                <w:tab w:val="left" w:pos="1080"/>
              </w:tabs>
            </w:pPr>
            <w:r w:rsidRPr="002F73A4">
              <w:t>Capacity from Resources capable of providing FFR</w:t>
            </w:r>
          </w:p>
        </w:tc>
      </w:tr>
      <w:tr w:rsidR="00DE2B6B" w:rsidRPr="001846F1" w14:paraId="69ED6C9E" w14:textId="77777777" w:rsidTr="005755D9">
        <w:tc>
          <w:tcPr>
            <w:tcW w:w="1852" w:type="dxa"/>
            <w:tcBorders>
              <w:top w:val="single" w:sz="4" w:space="0" w:color="auto"/>
              <w:left w:val="single" w:sz="4" w:space="0" w:color="auto"/>
              <w:bottom w:val="single" w:sz="4" w:space="0" w:color="auto"/>
              <w:right w:val="single" w:sz="4" w:space="0" w:color="auto"/>
            </w:tcBorders>
          </w:tcPr>
          <w:p w14:paraId="1650149C" w14:textId="1EE21ED6" w:rsidR="00DE2B6B" w:rsidRPr="002F73A4" w:rsidRDefault="00DE2B6B" w:rsidP="00832D19">
            <w:pPr>
              <w:pStyle w:val="TableBody"/>
            </w:pPr>
            <w:r w:rsidRPr="002F73A4">
              <w:t>PRC</w:t>
            </w:r>
            <w:r>
              <w:rPr>
                <w:vertAlign w:val="subscript"/>
              </w:rPr>
              <w:t>8</w:t>
            </w:r>
          </w:p>
        </w:tc>
        <w:tc>
          <w:tcPr>
            <w:tcW w:w="1281" w:type="dxa"/>
            <w:tcBorders>
              <w:top w:val="single" w:sz="4" w:space="0" w:color="auto"/>
              <w:left w:val="single" w:sz="4" w:space="0" w:color="auto"/>
              <w:bottom w:val="single" w:sz="4" w:space="0" w:color="auto"/>
              <w:right w:val="single" w:sz="4" w:space="0" w:color="auto"/>
            </w:tcBorders>
          </w:tcPr>
          <w:p w14:paraId="19335DB2" w14:textId="467F7AFD" w:rsidR="00DE2B6B" w:rsidRPr="0003648D" w:rsidRDefault="00DE2B6B" w:rsidP="00832D19">
            <w:pPr>
              <w:pStyle w:val="TableBody"/>
            </w:pPr>
            <w:r w:rsidRPr="0003648D">
              <w:t>MW</w:t>
            </w:r>
          </w:p>
        </w:tc>
        <w:tc>
          <w:tcPr>
            <w:tcW w:w="7188" w:type="dxa"/>
            <w:tcBorders>
              <w:top w:val="single" w:sz="4" w:space="0" w:color="auto"/>
              <w:left w:val="single" w:sz="4" w:space="0" w:color="auto"/>
              <w:bottom w:val="single" w:sz="4" w:space="0" w:color="auto"/>
              <w:right w:val="single" w:sz="4" w:space="0" w:color="auto"/>
            </w:tcBorders>
          </w:tcPr>
          <w:p w14:paraId="629E31E8" w14:textId="65B50137" w:rsidR="00DE2B6B" w:rsidRPr="002F73A4" w:rsidRDefault="00DE2B6B" w:rsidP="00832D19">
            <w:pPr>
              <w:pStyle w:val="TableBody"/>
              <w:tabs>
                <w:tab w:val="left" w:pos="1080"/>
              </w:tabs>
            </w:pPr>
            <w:r>
              <w:t>ESR c</w:t>
            </w:r>
            <w:r w:rsidRPr="00D220AB">
              <w:t>apacity capable of providing P</w:t>
            </w:r>
            <w:r>
              <w:t xml:space="preserve">rimary </w:t>
            </w:r>
            <w:r w:rsidRPr="00D220AB">
              <w:t>F</w:t>
            </w:r>
            <w:r>
              <w:t xml:space="preserve">requency </w:t>
            </w:r>
            <w:r w:rsidRPr="00D220AB">
              <w:t>R</w:t>
            </w:r>
            <w:r>
              <w:t>esponse</w:t>
            </w:r>
          </w:p>
        </w:tc>
      </w:tr>
      <w:tr w:rsidR="000800A9" w:rsidRPr="001846F1" w14:paraId="7A116FFA" w14:textId="77777777" w:rsidTr="009A53FA">
        <w:trPr>
          <w:trHeight w:val="108"/>
        </w:trPr>
        <w:tc>
          <w:tcPr>
            <w:tcW w:w="1852" w:type="dxa"/>
            <w:tcBorders>
              <w:top w:val="nil"/>
            </w:tcBorders>
          </w:tcPr>
          <w:p w14:paraId="0DFD50D9" w14:textId="77777777" w:rsidR="000800A9" w:rsidRPr="001846F1" w:rsidRDefault="000800A9" w:rsidP="007169E1">
            <w:pPr>
              <w:pStyle w:val="TableBody"/>
            </w:pPr>
            <w:r w:rsidRPr="00D661BC">
              <w:t>PRC</w:t>
            </w:r>
          </w:p>
        </w:tc>
        <w:tc>
          <w:tcPr>
            <w:tcW w:w="1281" w:type="dxa"/>
            <w:tcBorders>
              <w:top w:val="nil"/>
            </w:tcBorders>
          </w:tcPr>
          <w:p w14:paraId="4A1346F6" w14:textId="77777777" w:rsidR="000800A9" w:rsidRPr="001846F1" w:rsidRDefault="000800A9" w:rsidP="007169E1">
            <w:pPr>
              <w:pStyle w:val="TableBody"/>
            </w:pPr>
            <w:r w:rsidRPr="001846F1">
              <w:t>MW</w:t>
            </w:r>
          </w:p>
        </w:tc>
        <w:tc>
          <w:tcPr>
            <w:tcW w:w="7188" w:type="dxa"/>
            <w:tcBorders>
              <w:top w:val="nil"/>
            </w:tcBorders>
          </w:tcPr>
          <w:p w14:paraId="60961E33" w14:textId="77777777" w:rsidR="000800A9" w:rsidRPr="001846F1" w:rsidRDefault="000800A9" w:rsidP="007169E1">
            <w:pPr>
              <w:pStyle w:val="TableBody"/>
              <w:tabs>
                <w:tab w:val="left" w:pos="1080"/>
              </w:tabs>
            </w:pPr>
            <w:r w:rsidRPr="00D661BC">
              <w:t>Physical Responsive Capability</w:t>
            </w:r>
          </w:p>
        </w:tc>
      </w:tr>
      <w:tr w:rsidR="00DE2B6B" w:rsidRPr="001846F1" w14:paraId="69D4105E" w14:textId="77777777" w:rsidTr="009A53FA">
        <w:trPr>
          <w:trHeight w:val="108"/>
        </w:trPr>
        <w:tc>
          <w:tcPr>
            <w:tcW w:w="1852" w:type="dxa"/>
            <w:tcBorders>
              <w:top w:val="nil"/>
            </w:tcBorders>
          </w:tcPr>
          <w:p w14:paraId="7A350505" w14:textId="0784E468" w:rsidR="00DE2B6B" w:rsidRPr="00D661BC" w:rsidRDefault="00DE2B6B" w:rsidP="007169E1">
            <w:pPr>
              <w:pStyle w:val="TableBody"/>
            </w:pPr>
            <w:r>
              <w:t>X</w:t>
            </w:r>
          </w:p>
        </w:tc>
        <w:tc>
          <w:tcPr>
            <w:tcW w:w="1281" w:type="dxa"/>
            <w:tcBorders>
              <w:top w:val="nil"/>
            </w:tcBorders>
          </w:tcPr>
          <w:p w14:paraId="5F0E839B" w14:textId="3C583989" w:rsidR="00DE2B6B" w:rsidRPr="001846F1" w:rsidRDefault="00DE2B6B" w:rsidP="007169E1">
            <w:pPr>
              <w:pStyle w:val="TableBody"/>
            </w:pPr>
            <w:r>
              <w:t>Percentage</w:t>
            </w:r>
          </w:p>
        </w:tc>
        <w:tc>
          <w:tcPr>
            <w:tcW w:w="7188" w:type="dxa"/>
            <w:tcBorders>
              <w:top w:val="nil"/>
            </w:tcBorders>
          </w:tcPr>
          <w:p w14:paraId="4ADBB5A3" w14:textId="7BCC0753" w:rsidR="00DE2B6B" w:rsidRPr="00D661BC" w:rsidRDefault="00DE2B6B" w:rsidP="007169E1">
            <w:pPr>
              <w:pStyle w:val="TableBody"/>
              <w:tabs>
                <w:tab w:val="left" w:pos="1080"/>
              </w:tabs>
            </w:pPr>
            <w:r w:rsidRPr="00D220AB">
              <w:t>Percent threshold based on the Governor droop setting of ESR</w:t>
            </w:r>
            <w:r>
              <w:t>s</w:t>
            </w:r>
          </w:p>
        </w:tc>
      </w:tr>
      <w:tr w:rsidR="000800A9" w:rsidRPr="001846F1" w14:paraId="4451E187" w14:textId="77777777" w:rsidTr="00832D19">
        <w:tc>
          <w:tcPr>
            <w:tcW w:w="1852" w:type="dxa"/>
          </w:tcPr>
          <w:p w14:paraId="0A01C7C7" w14:textId="77777777" w:rsidR="000800A9" w:rsidRPr="001846F1" w:rsidRDefault="000800A9" w:rsidP="007169E1">
            <w:pPr>
              <w:pStyle w:val="TableBody"/>
            </w:pPr>
            <w:r w:rsidRPr="00D661BC">
              <w:t>RDF</w:t>
            </w:r>
          </w:p>
        </w:tc>
        <w:tc>
          <w:tcPr>
            <w:tcW w:w="1281" w:type="dxa"/>
          </w:tcPr>
          <w:p w14:paraId="0159DDCF" w14:textId="77777777" w:rsidR="000800A9" w:rsidRPr="001846F1" w:rsidRDefault="000800A9" w:rsidP="007169E1">
            <w:pPr>
              <w:pStyle w:val="TableBody"/>
            </w:pPr>
          </w:p>
        </w:tc>
        <w:tc>
          <w:tcPr>
            <w:tcW w:w="7188" w:type="dxa"/>
          </w:tcPr>
          <w:p w14:paraId="6F9F10BC" w14:textId="77777777" w:rsidR="000800A9" w:rsidRPr="001846F1" w:rsidRDefault="000800A9" w:rsidP="007169E1">
            <w:pPr>
              <w:pStyle w:val="TableBody"/>
            </w:pPr>
            <w:r w:rsidRPr="00D661BC">
              <w:t>The currently approved</w:t>
            </w:r>
            <w:r w:rsidRPr="001846F1">
              <w:rPr>
                <w:rFonts w:ascii="Times New Roman Bold" w:hAnsi="Times New Roman Bold"/>
              </w:rPr>
              <w:t xml:space="preserve"> </w:t>
            </w:r>
            <w:r w:rsidRPr="00D661BC">
              <w:t>Reserve Discount Factor</w:t>
            </w:r>
            <w:r>
              <w:tab/>
            </w:r>
          </w:p>
        </w:tc>
      </w:tr>
      <w:tr w:rsidR="000800A9" w:rsidRPr="001846F1" w14:paraId="60E0A5C9" w14:textId="77777777" w:rsidTr="00832D19">
        <w:tc>
          <w:tcPr>
            <w:tcW w:w="1852" w:type="dxa"/>
          </w:tcPr>
          <w:p w14:paraId="1445C659" w14:textId="77777777" w:rsidR="000800A9" w:rsidRPr="006D4BBD" w:rsidRDefault="000800A9" w:rsidP="007169E1">
            <w:pPr>
              <w:pStyle w:val="TableBody"/>
            </w:pPr>
            <w:r>
              <w:t>RDF</w:t>
            </w:r>
            <w:r>
              <w:rPr>
                <w:vertAlign w:val="subscript"/>
              </w:rPr>
              <w:t>W</w:t>
            </w:r>
          </w:p>
        </w:tc>
        <w:tc>
          <w:tcPr>
            <w:tcW w:w="1281" w:type="dxa"/>
          </w:tcPr>
          <w:p w14:paraId="53D6F0B0" w14:textId="77777777" w:rsidR="000800A9" w:rsidRPr="001846F1" w:rsidRDefault="000800A9" w:rsidP="007169E1">
            <w:pPr>
              <w:pStyle w:val="TableBody"/>
            </w:pPr>
          </w:p>
        </w:tc>
        <w:tc>
          <w:tcPr>
            <w:tcW w:w="7188" w:type="dxa"/>
          </w:tcPr>
          <w:p w14:paraId="77DC7E27" w14:textId="77777777" w:rsidR="000800A9" w:rsidRPr="006A6281" w:rsidRDefault="000800A9" w:rsidP="007169E1">
            <w:pPr>
              <w:pStyle w:val="TableBody"/>
            </w:pPr>
            <w:r>
              <w:t>The currently approved Reserve Discount Factor for WGRs</w:t>
            </w:r>
          </w:p>
        </w:tc>
      </w:tr>
      <w:tr w:rsidR="000800A9" w:rsidRPr="001846F1" w14:paraId="1199BD32" w14:textId="77777777" w:rsidTr="00832D19">
        <w:tc>
          <w:tcPr>
            <w:tcW w:w="1852" w:type="dxa"/>
          </w:tcPr>
          <w:p w14:paraId="25450788" w14:textId="77777777" w:rsidR="000800A9" w:rsidRPr="00D661BC" w:rsidRDefault="000800A9" w:rsidP="007169E1">
            <w:pPr>
              <w:pStyle w:val="TableBody"/>
            </w:pPr>
            <w:r w:rsidRPr="006A6281">
              <w:t>LRDF_1</w:t>
            </w:r>
          </w:p>
        </w:tc>
        <w:tc>
          <w:tcPr>
            <w:tcW w:w="1281" w:type="dxa"/>
          </w:tcPr>
          <w:p w14:paraId="643EBB61" w14:textId="77777777" w:rsidR="000800A9" w:rsidRPr="001846F1" w:rsidRDefault="000800A9" w:rsidP="007169E1">
            <w:pPr>
              <w:pStyle w:val="TableBody"/>
            </w:pPr>
          </w:p>
        </w:tc>
        <w:tc>
          <w:tcPr>
            <w:tcW w:w="7188" w:type="dxa"/>
          </w:tcPr>
          <w:p w14:paraId="55A7634F" w14:textId="537F4DE1" w:rsidR="000800A9" w:rsidRPr="00D661BC" w:rsidRDefault="000800A9" w:rsidP="007169E1">
            <w:pPr>
              <w:pStyle w:val="TableBody"/>
            </w:pPr>
            <w:r w:rsidRPr="006A6281">
              <w:t>The currently approved Load Resource</w:t>
            </w:r>
            <w:r w:rsidRPr="006A6281">
              <w:rPr>
                <w:rFonts w:ascii="Times New Roman Bold" w:hAnsi="Times New Roman Bold"/>
              </w:rPr>
              <w:t xml:space="preserve"> </w:t>
            </w:r>
            <w:r w:rsidRPr="006A6281">
              <w:t xml:space="preserve">Reserve Discount Factor for </w:t>
            </w:r>
            <w:r w:rsidR="00192EFF">
              <w:t>CLRs</w:t>
            </w:r>
            <w:r w:rsidRPr="006A6281">
              <w:t xml:space="preserve"> carrying Ancillary Service Resource Responsibility</w:t>
            </w:r>
          </w:p>
        </w:tc>
      </w:tr>
      <w:tr w:rsidR="000800A9" w:rsidRPr="001846F1" w14:paraId="7301BE00" w14:textId="77777777" w:rsidTr="00832D19">
        <w:tc>
          <w:tcPr>
            <w:tcW w:w="1852" w:type="dxa"/>
          </w:tcPr>
          <w:p w14:paraId="51FBE56E" w14:textId="77777777" w:rsidR="000800A9" w:rsidRPr="00D661BC" w:rsidRDefault="000800A9" w:rsidP="007169E1">
            <w:pPr>
              <w:pStyle w:val="TableBody"/>
            </w:pPr>
            <w:r w:rsidRPr="006A6281">
              <w:t>LRDF_2</w:t>
            </w:r>
          </w:p>
        </w:tc>
        <w:tc>
          <w:tcPr>
            <w:tcW w:w="1281" w:type="dxa"/>
          </w:tcPr>
          <w:p w14:paraId="479D84A0" w14:textId="77777777" w:rsidR="000800A9" w:rsidRPr="001846F1" w:rsidRDefault="000800A9" w:rsidP="007169E1">
            <w:pPr>
              <w:pStyle w:val="TableBody"/>
            </w:pPr>
          </w:p>
        </w:tc>
        <w:tc>
          <w:tcPr>
            <w:tcW w:w="7188" w:type="dxa"/>
          </w:tcPr>
          <w:p w14:paraId="00F5DBE6" w14:textId="6742AF29" w:rsidR="000800A9" w:rsidRPr="00D661BC" w:rsidRDefault="000800A9" w:rsidP="007169E1">
            <w:pPr>
              <w:pStyle w:val="TableBody"/>
            </w:pPr>
            <w:r w:rsidRPr="006A6281">
              <w:t>The currently approved Load Resource</w:t>
            </w:r>
            <w:r w:rsidRPr="006A6281">
              <w:rPr>
                <w:rFonts w:ascii="Times New Roman Bold" w:hAnsi="Times New Roman Bold"/>
              </w:rPr>
              <w:t xml:space="preserve"> </w:t>
            </w:r>
            <w:r w:rsidRPr="006A6281">
              <w:t xml:space="preserve">Reserve Discount Factor for </w:t>
            </w:r>
            <w:r w:rsidR="00192EFF">
              <w:t>CLRs</w:t>
            </w:r>
            <w:r w:rsidRPr="006A6281">
              <w:t xml:space="preserve"> not carrying Ancillary Service Resource Responsibility</w:t>
            </w:r>
          </w:p>
        </w:tc>
      </w:tr>
      <w:tr w:rsidR="000800A9" w:rsidRPr="001846F1" w14:paraId="5F851AD6" w14:textId="77777777" w:rsidTr="00832D19">
        <w:tc>
          <w:tcPr>
            <w:tcW w:w="1852" w:type="dxa"/>
          </w:tcPr>
          <w:p w14:paraId="24E2EFBA" w14:textId="77777777" w:rsidR="000800A9" w:rsidRPr="006A6281" w:rsidRDefault="000800A9" w:rsidP="007169E1">
            <w:pPr>
              <w:pStyle w:val="TableBody"/>
            </w:pPr>
            <w:r>
              <w:t>NFRC</w:t>
            </w:r>
          </w:p>
        </w:tc>
        <w:tc>
          <w:tcPr>
            <w:tcW w:w="1281" w:type="dxa"/>
          </w:tcPr>
          <w:p w14:paraId="31137CFA" w14:textId="77777777" w:rsidR="000800A9" w:rsidRPr="001846F1" w:rsidRDefault="000800A9" w:rsidP="007169E1">
            <w:pPr>
              <w:pStyle w:val="TableBody"/>
            </w:pPr>
            <w:r>
              <w:t>MW</w:t>
            </w:r>
          </w:p>
        </w:tc>
        <w:tc>
          <w:tcPr>
            <w:tcW w:w="7188" w:type="dxa"/>
          </w:tcPr>
          <w:p w14:paraId="53AE4475" w14:textId="77777777" w:rsidR="000800A9" w:rsidRPr="006A6281" w:rsidRDefault="000800A9" w:rsidP="007169E1">
            <w:pPr>
              <w:pStyle w:val="TableBody"/>
            </w:pPr>
            <w:r w:rsidRPr="009A2EE3">
              <w:t>Non-Frequency Responsive Capacity</w:t>
            </w:r>
          </w:p>
        </w:tc>
      </w:tr>
    </w:tbl>
    <w:p w14:paraId="106377E2" w14:textId="77777777" w:rsidR="001F04FD" w:rsidRDefault="001F04FD" w:rsidP="001F04FD">
      <w:pPr>
        <w:pStyle w:val="BodyTextNumbered"/>
        <w:spacing w:before="240"/>
      </w:pPr>
      <w:r>
        <w:t>(2)</w:t>
      </w:r>
      <w:r>
        <w:tab/>
        <w: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t>
      </w:r>
    </w:p>
    <w:p w14:paraId="52FAE168" w14:textId="61628083" w:rsidR="001F04FD" w:rsidRDefault="001F04FD" w:rsidP="001F04FD">
      <w:pPr>
        <w:pStyle w:val="BodyTextNumbered"/>
      </w:pPr>
      <w:r w:rsidRPr="006A6281">
        <w:lastRenderedPageBreak/>
        <w:t>(3)</w:t>
      </w:r>
      <w:r w:rsidRPr="006A6281">
        <w:tab/>
        <w:t>The Load Resource</w:t>
      </w:r>
      <w:r w:rsidRPr="006A6281">
        <w:rPr>
          <w:rFonts w:ascii="Times New Roman Bold" w:hAnsi="Times New Roman Bold"/>
        </w:rPr>
        <w:t xml:space="preserve"> </w:t>
      </w:r>
      <w:r w:rsidRPr="006A6281">
        <w:t>Reserve Discount Factors</w:t>
      </w:r>
      <w:r>
        <w:t xml:space="preserve"> (RDFs)</w:t>
      </w:r>
      <w:r w:rsidRPr="006A6281">
        <w:t xml:space="preserve"> for </w:t>
      </w:r>
      <w:r w:rsidR="00192EFF">
        <w:t>CLRs</w:t>
      </w:r>
      <w:r w:rsidRPr="006A6281">
        <w:t xml:space="preserve"> (LRDF_1 and LRDF_2) shall be subject to review and approval by TAC.</w:t>
      </w:r>
    </w:p>
    <w:p w14:paraId="7DA6377B" w14:textId="0B1A1F63" w:rsidR="001F04FD" w:rsidRDefault="001F04FD" w:rsidP="00FB599C">
      <w:pPr>
        <w:pStyle w:val="BodyTextNumbered"/>
      </w:pPr>
      <w:r>
        <w:t>(4)</w:t>
      </w:r>
      <w:r>
        <w:tab/>
        <w:t xml:space="preserve">The RDFs used in the PRC calculation </w:t>
      </w:r>
      <w:r w:rsidRPr="00F50732">
        <w:t xml:space="preserve">shall be posted to the </w:t>
      </w:r>
      <w:r w:rsidR="0007207E">
        <w:t>ERCOT website</w:t>
      </w:r>
      <w:r>
        <w:t xml:space="preserve"> no later than three Business Days after approval.</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3779F5" w14:paraId="318F8F6E" w14:textId="77777777" w:rsidTr="007C4B00">
        <w:trPr>
          <w:trHeight w:val="206"/>
        </w:trPr>
        <w:tc>
          <w:tcPr>
            <w:tcW w:w="9350" w:type="dxa"/>
            <w:shd w:val="pct12" w:color="auto" w:fill="auto"/>
          </w:tcPr>
          <w:p w14:paraId="6E63A26C" w14:textId="34024CCC" w:rsidR="003779F5" w:rsidRDefault="003779F5" w:rsidP="007C4B00">
            <w:pPr>
              <w:pStyle w:val="Instructions"/>
              <w:spacing w:before="120"/>
            </w:pPr>
            <w:bookmarkStart w:id="1214" w:name="_Toc397504974"/>
            <w:bookmarkStart w:id="1215" w:name="_Toc402357102"/>
            <w:bookmarkStart w:id="1216" w:name="_Toc422486482"/>
            <w:bookmarkStart w:id="1217" w:name="_Toc433093334"/>
            <w:bookmarkStart w:id="1218" w:name="_Toc433093492"/>
            <w:bookmarkStart w:id="1219" w:name="_Toc440874721"/>
            <w:bookmarkStart w:id="1220" w:name="_Toc448142276"/>
            <w:bookmarkStart w:id="1221" w:name="_Toc448142433"/>
            <w:bookmarkStart w:id="1222" w:name="_Toc458770269"/>
            <w:bookmarkStart w:id="1223" w:name="_Toc459294237"/>
            <w:bookmarkStart w:id="1224" w:name="_Toc463262730"/>
            <w:bookmarkStart w:id="1225" w:name="_Toc468286804"/>
            <w:bookmarkStart w:id="1226" w:name="_Toc481502850"/>
            <w:bookmarkStart w:id="1227" w:name="_Toc496080018"/>
            <w:bookmarkEnd w:id="1212"/>
            <w:r>
              <w:t>[</w:t>
            </w:r>
            <w:r w:rsidR="00075DEB">
              <w:t>N</w:t>
            </w:r>
            <w:r>
              <w:t>PRR1010</w:t>
            </w:r>
            <w:r w:rsidR="00402051">
              <w:t>,</w:t>
            </w:r>
            <w:r w:rsidR="00075DEB">
              <w:t xml:space="preserve"> NPRR1014</w:t>
            </w:r>
            <w:r w:rsidR="00402051">
              <w:t>,</w:t>
            </w:r>
            <w:r w:rsidR="00DC32AE">
              <w:t xml:space="preserve"> </w:t>
            </w:r>
            <w:r w:rsidR="00402051">
              <w:t>NPRR1029</w:t>
            </w:r>
            <w:r w:rsidR="00F726A9">
              <w:t xml:space="preserve">, </w:t>
            </w:r>
            <w:r w:rsidR="00192EFF">
              <w:t>NPRR1188,</w:t>
            </w:r>
            <w:r w:rsidR="00F726A9">
              <w:t xml:space="preserve"> NPRR1204</w:t>
            </w:r>
            <w:r w:rsidR="004D2827">
              <w:t>, and NPRR1244</w:t>
            </w:r>
            <w:r>
              <w:t xml:space="preserve">:  Replace applicable portions of Section 6.5.7.5 above with the following upon system implementation for </w:t>
            </w:r>
            <w:r w:rsidR="00075DEB">
              <w:t>NPRR1014</w:t>
            </w:r>
            <w:r w:rsidR="00192EFF">
              <w:t>,</w:t>
            </w:r>
            <w:r w:rsidR="00DC32AE">
              <w:t xml:space="preserve"> </w:t>
            </w:r>
            <w:r w:rsidR="00402051">
              <w:t>NPRR1029</w:t>
            </w:r>
            <w:r w:rsidR="00192EFF">
              <w:t>, NPRR1188</w:t>
            </w:r>
            <w:r w:rsidR="004D2827">
              <w:t>, or NPRR1224</w:t>
            </w:r>
            <w:r>
              <w:t>; or upon system implementation of the Real-Time Co-Optimization (RTC) project for NPRR1010</w:t>
            </w:r>
            <w:r w:rsidR="00F726A9">
              <w:t xml:space="preserve"> and NPRR1204</w:t>
            </w:r>
            <w:r>
              <w:t>:]</w:t>
            </w:r>
          </w:p>
          <w:p w14:paraId="13427795" w14:textId="1ECCE2FD" w:rsidR="00194E91" w:rsidRPr="003161DC" w:rsidRDefault="00194E91" w:rsidP="00402051">
            <w:pPr>
              <w:keepNext/>
              <w:widowControl w:val="0"/>
              <w:tabs>
                <w:tab w:val="left" w:pos="1260"/>
              </w:tabs>
              <w:spacing w:before="240" w:after="240"/>
              <w:outlineLvl w:val="3"/>
              <w:rPr>
                <w:b/>
                <w:bCs/>
                <w:snapToGrid w:val="0"/>
              </w:rPr>
            </w:pPr>
            <w:bookmarkStart w:id="1228" w:name="_Toc60040625"/>
            <w:bookmarkStart w:id="1229" w:name="_Toc65151685"/>
            <w:bookmarkStart w:id="1230" w:name="_Toc80174711"/>
            <w:bookmarkStart w:id="1231" w:name="_Toc108712470"/>
            <w:bookmarkStart w:id="1232" w:name="_Toc112417590"/>
            <w:bookmarkStart w:id="1233" w:name="_Toc119310259"/>
            <w:bookmarkStart w:id="1234" w:name="_Toc125966193"/>
            <w:bookmarkStart w:id="1235" w:name="_Toc135992291"/>
            <w:bookmarkStart w:id="1236" w:name="_Toc170303487"/>
            <w:bookmarkStart w:id="1237" w:name="_Toc175157391"/>
            <w:bookmarkStart w:id="1238" w:name="_Toc204411617"/>
            <w:r w:rsidRPr="003161DC">
              <w:rPr>
                <w:b/>
                <w:bCs/>
                <w:snapToGrid w:val="0"/>
              </w:rPr>
              <w:t>6.5.7.5</w:t>
            </w:r>
            <w:r w:rsidRPr="003161DC">
              <w:rPr>
                <w:b/>
                <w:bCs/>
                <w:snapToGrid w:val="0"/>
              </w:rPr>
              <w:tab/>
              <w:t>Ancillary Services Capacity Monitor</w:t>
            </w:r>
            <w:bookmarkEnd w:id="1228"/>
            <w:bookmarkEnd w:id="1229"/>
            <w:bookmarkEnd w:id="1230"/>
            <w:bookmarkEnd w:id="1231"/>
            <w:bookmarkEnd w:id="1232"/>
            <w:bookmarkEnd w:id="1233"/>
            <w:bookmarkEnd w:id="1234"/>
            <w:bookmarkEnd w:id="1235"/>
            <w:bookmarkEnd w:id="1236"/>
            <w:bookmarkEnd w:id="1237"/>
            <w:bookmarkEnd w:id="1238"/>
          </w:p>
          <w:p w14:paraId="77F243F3" w14:textId="35B47237" w:rsidR="00194E91" w:rsidRPr="003161DC" w:rsidRDefault="00194E91" w:rsidP="00194E91">
            <w:pPr>
              <w:spacing w:after="240"/>
              <w:ind w:left="720" w:hanging="720"/>
            </w:pPr>
            <w:r w:rsidRPr="003161DC">
              <w:t>(1)</w:t>
            </w:r>
            <w:r w:rsidRPr="003161DC">
              <w:tab/>
            </w:r>
            <w:r>
              <w:t xml:space="preserve">Every ten seconds, </w:t>
            </w:r>
            <w:r w:rsidRPr="003161DC">
              <w:t>ERCOT shall calculate the following and provide Real-Time summaries to ERCOT Operators and all Market Participants using ICCP</w:t>
            </w:r>
            <w:r>
              <w:t xml:space="preserve"> and postings on the ERCOT website </w:t>
            </w:r>
            <w:r w:rsidRPr="003161DC">
              <w:t>sho</w:t>
            </w:r>
            <w:r w:rsidR="00201765" w:rsidRPr="003161DC">
              <w:t>w</w:t>
            </w:r>
            <w:r w:rsidR="00201765">
              <w:t>ing</w:t>
            </w:r>
            <w:r w:rsidR="00201765" w:rsidRPr="003161DC">
              <w:t xml:space="preserve"> </w:t>
            </w:r>
            <w:r w:rsidRPr="003161DC">
              <w:t>the Real-Time total system amount of:</w:t>
            </w:r>
          </w:p>
          <w:p w14:paraId="2425C3A8" w14:textId="77777777" w:rsidR="00194E91" w:rsidRPr="003161DC" w:rsidRDefault="00194E91" w:rsidP="00194E91">
            <w:pPr>
              <w:spacing w:after="240"/>
              <w:ind w:left="1440" w:hanging="720"/>
            </w:pPr>
            <w:r w:rsidRPr="003161DC">
              <w:t>(a)</w:t>
            </w:r>
            <w:r w:rsidRPr="003161DC">
              <w:tab/>
              <w:t xml:space="preserve">RRS </w:t>
            </w:r>
            <w:r>
              <w:t>capability</w:t>
            </w:r>
            <w:r w:rsidRPr="003161DC">
              <w:t xml:space="preserve"> from: </w:t>
            </w:r>
          </w:p>
          <w:p w14:paraId="57CFB99B" w14:textId="04AA6D69" w:rsidR="00194E91" w:rsidRPr="003161DC" w:rsidRDefault="00194E91" w:rsidP="00194E91">
            <w:pPr>
              <w:spacing w:after="240"/>
              <w:ind w:left="2160" w:hanging="720"/>
            </w:pPr>
            <w:r w:rsidRPr="003161DC">
              <w:t>(i)</w:t>
            </w:r>
            <w:r w:rsidRPr="003161DC">
              <w:tab/>
              <w:t>Generation Resources</w:t>
            </w:r>
            <w:r w:rsidR="00344B1B" w:rsidRPr="00A552C3">
              <w:t xml:space="preserve"> and ESRs</w:t>
            </w:r>
            <w:r>
              <w:t xml:space="preserve"> in the form of PFR</w:t>
            </w:r>
            <w:r w:rsidR="00F726A9">
              <w:t xml:space="preserve"> that can be sustained for the SCED duration requirements of PFR</w:t>
            </w:r>
            <w:r w:rsidRPr="003161DC">
              <w:t>;</w:t>
            </w:r>
          </w:p>
          <w:p w14:paraId="57104447" w14:textId="60C13EC2" w:rsidR="00194E91" w:rsidRPr="003161DC" w:rsidRDefault="00194E91" w:rsidP="00194E91">
            <w:pPr>
              <w:spacing w:after="240"/>
              <w:ind w:left="2160" w:hanging="720"/>
            </w:pPr>
            <w:r w:rsidRPr="003161DC">
              <w:t>(ii)</w:t>
            </w:r>
            <w:r w:rsidRPr="003161DC">
              <w:tab/>
              <w:t>Load Resources</w:t>
            </w:r>
            <w:r>
              <w:t>,</w:t>
            </w:r>
            <w:r w:rsidRPr="003161DC">
              <w:t xml:space="preserve"> excluding </w:t>
            </w:r>
            <w:r w:rsidR="0069524B">
              <w:t>CLRs</w:t>
            </w:r>
            <w:r>
              <w:t>, capable of responding via under-frequency relay;</w:t>
            </w:r>
          </w:p>
          <w:p w14:paraId="261830E2" w14:textId="5EF0F286" w:rsidR="00194E91" w:rsidRDefault="00194E91" w:rsidP="00194E91">
            <w:pPr>
              <w:spacing w:after="240"/>
              <w:ind w:left="2160" w:hanging="720"/>
            </w:pPr>
            <w:r w:rsidRPr="003161DC">
              <w:t>(iii)</w:t>
            </w:r>
            <w:r w:rsidRPr="003161DC">
              <w:tab/>
            </w:r>
            <w:r w:rsidR="0069524B">
              <w:t>CLRs</w:t>
            </w:r>
            <w:r>
              <w:t xml:space="preserve"> in the form of PFR</w:t>
            </w:r>
            <w:r w:rsidRPr="003161DC">
              <w:t>;</w:t>
            </w:r>
          </w:p>
          <w:p w14:paraId="7A1A2330" w14:textId="40B18DA8" w:rsidR="00F726A9" w:rsidRDefault="00194E91" w:rsidP="00F726A9">
            <w:pPr>
              <w:spacing w:after="240"/>
              <w:ind w:left="2160" w:hanging="720"/>
            </w:pPr>
            <w:r w:rsidRPr="003161DC">
              <w:t>(iv)</w:t>
            </w:r>
            <w:r w:rsidRPr="003161DC">
              <w:tab/>
              <w:t>Resources</w:t>
            </w:r>
            <w:r w:rsidR="00F726A9">
              <w:t>, other than ESRs,</w:t>
            </w:r>
            <w:r w:rsidRPr="003161DC">
              <w:t xml:space="preserve"> capable of Fast Frequency Response (FFR);</w:t>
            </w:r>
            <w:r w:rsidR="00F726A9">
              <w:t xml:space="preserve"> and</w:t>
            </w:r>
          </w:p>
          <w:p w14:paraId="24F870BE" w14:textId="77777777" w:rsidR="0069524B" w:rsidRDefault="00F726A9" w:rsidP="0069524B">
            <w:pPr>
              <w:spacing w:after="240"/>
              <w:ind w:left="2160" w:hanging="720"/>
            </w:pPr>
            <w:r>
              <w:t>(v)</w:t>
            </w:r>
            <w:r>
              <w:tab/>
              <w:t>ESRs, in the form of FFR, that can be sustained for the SCED duration requirements of FFR;</w:t>
            </w:r>
          </w:p>
          <w:p w14:paraId="7E95FC29" w14:textId="5EB6C6E0" w:rsidR="00194E91" w:rsidRPr="003161DC" w:rsidRDefault="00194E91" w:rsidP="00194E91">
            <w:pPr>
              <w:spacing w:before="240" w:after="240"/>
              <w:ind w:left="1440" w:hanging="720"/>
            </w:pPr>
            <w:r w:rsidRPr="003161DC">
              <w:t>(b)</w:t>
            </w:r>
            <w:r w:rsidRPr="003161DC">
              <w:tab/>
              <w:t xml:space="preserve">Ancillary Service Resource </w:t>
            </w:r>
            <w:r>
              <w:t>awards</w:t>
            </w:r>
            <w:r w:rsidRPr="003161DC">
              <w:t xml:space="preserve"> for RRS </w:t>
            </w:r>
            <w:r>
              <w:t>to</w:t>
            </w:r>
            <w:r w:rsidRPr="003161DC">
              <w:t xml:space="preserve">: </w:t>
            </w:r>
          </w:p>
          <w:p w14:paraId="5AF7A1BC" w14:textId="45A844A3" w:rsidR="00194E91" w:rsidRPr="003161DC" w:rsidRDefault="00194E91" w:rsidP="00194E91">
            <w:pPr>
              <w:spacing w:after="240"/>
              <w:ind w:left="2160" w:hanging="720"/>
            </w:pPr>
            <w:r w:rsidRPr="003161DC">
              <w:t>(i)</w:t>
            </w:r>
            <w:r w:rsidRPr="003161DC">
              <w:tab/>
              <w:t>Generation Resources</w:t>
            </w:r>
            <w:r w:rsidR="00344B1B">
              <w:t xml:space="preserve"> and ESRs</w:t>
            </w:r>
            <w:r>
              <w:t xml:space="preserve"> in the form of PFR</w:t>
            </w:r>
            <w:r w:rsidRPr="003161DC">
              <w:t>;</w:t>
            </w:r>
          </w:p>
          <w:p w14:paraId="6904986A" w14:textId="5362C0C2" w:rsidR="00194E91" w:rsidRPr="003161DC" w:rsidRDefault="00194E91" w:rsidP="00194E91">
            <w:pPr>
              <w:spacing w:after="240"/>
              <w:ind w:left="2160" w:hanging="720"/>
            </w:pPr>
            <w:r w:rsidRPr="003161DC">
              <w:t>(ii)</w:t>
            </w:r>
            <w:r w:rsidRPr="003161DC">
              <w:tab/>
              <w:t>Load Resources</w:t>
            </w:r>
            <w:r>
              <w:t>,</w:t>
            </w:r>
            <w:r w:rsidRPr="003161DC">
              <w:t xml:space="preserve"> excluding </w:t>
            </w:r>
            <w:r w:rsidR="0069524B">
              <w:t>CLRs</w:t>
            </w:r>
            <w:r>
              <w:t>, capable of responding by under-frequency relay;</w:t>
            </w:r>
          </w:p>
          <w:p w14:paraId="705802A8" w14:textId="1B22487B" w:rsidR="00194E91" w:rsidRDefault="00194E91" w:rsidP="00194E91">
            <w:pPr>
              <w:spacing w:after="240"/>
              <w:ind w:left="2160" w:hanging="720"/>
            </w:pPr>
            <w:r w:rsidRPr="003161DC">
              <w:t>(iii)</w:t>
            </w:r>
            <w:r w:rsidRPr="003161DC">
              <w:tab/>
            </w:r>
            <w:r w:rsidR="0069524B">
              <w:t>CLRs</w:t>
            </w:r>
            <w:r>
              <w:t xml:space="preserve"> in the form of PFR</w:t>
            </w:r>
            <w:r w:rsidRPr="003161DC">
              <w:t>;</w:t>
            </w:r>
            <w:r>
              <w:t xml:space="preserve"> and</w:t>
            </w:r>
          </w:p>
          <w:p w14:paraId="7B6AD34D" w14:textId="77777777" w:rsidR="00194E91" w:rsidRPr="003161DC" w:rsidRDefault="00194E91" w:rsidP="00194E91">
            <w:pPr>
              <w:spacing w:after="240"/>
              <w:ind w:left="2160" w:hanging="720"/>
            </w:pPr>
            <w:r w:rsidRPr="003161DC">
              <w:t>(iv)</w:t>
            </w:r>
            <w:r w:rsidRPr="003161DC">
              <w:tab/>
              <w:t xml:space="preserve">Resources </w:t>
            </w:r>
            <w:r>
              <w:t>providing</w:t>
            </w:r>
            <w:r w:rsidRPr="003161DC">
              <w:t xml:space="preserve"> FFR;</w:t>
            </w:r>
          </w:p>
          <w:p w14:paraId="1F130D77" w14:textId="77777777" w:rsidR="00147C3B" w:rsidRPr="003161DC" w:rsidRDefault="00147C3B" w:rsidP="00147C3B">
            <w:pPr>
              <w:spacing w:after="240"/>
              <w:ind w:left="1440" w:hanging="720"/>
            </w:pPr>
            <w:r w:rsidRPr="003161DC">
              <w:t>(c)</w:t>
            </w:r>
            <w:r w:rsidRPr="003161DC">
              <w:tab/>
              <w:t xml:space="preserve">ECRS </w:t>
            </w:r>
            <w:r>
              <w:t>capability</w:t>
            </w:r>
            <w:r w:rsidRPr="003161DC">
              <w:t xml:space="preserve"> from: </w:t>
            </w:r>
          </w:p>
          <w:p w14:paraId="38F85484" w14:textId="77777777" w:rsidR="00147C3B" w:rsidRPr="003161DC" w:rsidRDefault="00147C3B" w:rsidP="00147C3B">
            <w:pPr>
              <w:spacing w:after="240"/>
              <w:ind w:left="2160" w:hanging="720"/>
            </w:pPr>
            <w:r w:rsidRPr="003161DC">
              <w:t>(i)</w:t>
            </w:r>
            <w:r w:rsidRPr="003161DC">
              <w:tab/>
              <w:t>Generation Resources;</w:t>
            </w:r>
          </w:p>
          <w:p w14:paraId="29CF0DF7" w14:textId="0558DBB5" w:rsidR="00147C3B" w:rsidRPr="003161DC" w:rsidRDefault="00147C3B" w:rsidP="00147C3B">
            <w:pPr>
              <w:spacing w:after="240"/>
              <w:ind w:left="2160" w:hanging="720"/>
            </w:pPr>
            <w:r w:rsidRPr="003161DC">
              <w:lastRenderedPageBreak/>
              <w:t>(ii)</w:t>
            </w:r>
            <w:r w:rsidRPr="003161DC">
              <w:tab/>
              <w:t xml:space="preserve">Load Resources excluding </w:t>
            </w:r>
            <w:r w:rsidR="0069524B">
              <w:t>CLRs</w:t>
            </w:r>
            <w:r w:rsidRPr="003161DC">
              <w:t xml:space="preserve">; </w:t>
            </w:r>
          </w:p>
          <w:p w14:paraId="0757978C" w14:textId="06CAC212" w:rsidR="00147C3B" w:rsidRPr="003161DC" w:rsidRDefault="00147C3B" w:rsidP="00147C3B">
            <w:pPr>
              <w:spacing w:after="240"/>
              <w:ind w:left="2160" w:hanging="720"/>
            </w:pPr>
            <w:r w:rsidRPr="003161DC">
              <w:t>(iii)</w:t>
            </w:r>
            <w:r w:rsidRPr="003161DC">
              <w:tab/>
            </w:r>
            <w:r w:rsidR="0069524B">
              <w:t>CLRs</w:t>
            </w:r>
            <w:r w:rsidR="00344B1B">
              <w:t>;</w:t>
            </w:r>
          </w:p>
          <w:p w14:paraId="465D8F08" w14:textId="77777777" w:rsidR="00147C3B" w:rsidRDefault="00147C3B" w:rsidP="00147C3B">
            <w:pPr>
              <w:spacing w:after="240"/>
              <w:ind w:left="2160" w:hanging="720"/>
            </w:pPr>
            <w:r w:rsidRPr="003161DC">
              <w:t>(iv)</w:t>
            </w:r>
            <w:r w:rsidRPr="003161DC">
              <w:tab/>
              <w:t>Quick Start Generation Resources (QSGRs);</w:t>
            </w:r>
            <w:r w:rsidR="00344B1B">
              <w:t xml:space="preserve"> and</w:t>
            </w:r>
          </w:p>
          <w:p w14:paraId="635DEE64" w14:textId="5272F241" w:rsidR="00344B1B" w:rsidRPr="003161DC" w:rsidRDefault="00344B1B" w:rsidP="00147C3B">
            <w:pPr>
              <w:spacing w:after="240"/>
              <w:ind w:left="2160" w:hanging="720"/>
            </w:pPr>
            <w:r>
              <w:t>(v)</w:t>
            </w:r>
            <w:r w:rsidRPr="003161DC">
              <w:t xml:space="preserve"> </w:t>
            </w:r>
            <w:r w:rsidRPr="003161DC">
              <w:tab/>
            </w:r>
            <w:r>
              <w:t>ESRs</w:t>
            </w:r>
            <w:r w:rsidR="00F726A9">
              <w:t xml:space="preserve"> that can be sustained for the SCED duration requirements of ECRS</w:t>
            </w:r>
            <w:r>
              <w:t>.</w:t>
            </w:r>
          </w:p>
          <w:p w14:paraId="0E44F017" w14:textId="77777777" w:rsidR="00147C3B" w:rsidRPr="003161DC" w:rsidRDefault="00147C3B" w:rsidP="00147C3B">
            <w:pPr>
              <w:spacing w:after="240"/>
              <w:ind w:left="1440" w:hanging="720"/>
            </w:pPr>
            <w:r w:rsidRPr="003161DC">
              <w:t>(d)</w:t>
            </w:r>
            <w:r w:rsidRPr="003161DC">
              <w:tab/>
              <w:t xml:space="preserve">Ancillary Service Resource </w:t>
            </w:r>
            <w:r>
              <w:t>awards</w:t>
            </w:r>
            <w:r w:rsidRPr="003161DC">
              <w:t xml:space="preserve"> for ECRS </w:t>
            </w:r>
            <w:r>
              <w:t>to</w:t>
            </w:r>
            <w:r w:rsidRPr="003161DC">
              <w:t xml:space="preserve">: </w:t>
            </w:r>
          </w:p>
          <w:p w14:paraId="05BB4F17" w14:textId="77777777" w:rsidR="00147C3B" w:rsidRPr="003161DC" w:rsidRDefault="00147C3B" w:rsidP="00147C3B">
            <w:pPr>
              <w:spacing w:after="240"/>
              <w:ind w:left="2160" w:hanging="720"/>
            </w:pPr>
            <w:r w:rsidRPr="003161DC">
              <w:t>(i)</w:t>
            </w:r>
            <w:r w:rsidRPr="003161DC">
              <w:tab/>
              <w:t>Generation Resources;</w:t>
            </w:r>
          </w:p>
          <w:p w14:paraId="7DD5E9B0" w14:textId="0AD64565" w:rsidR="00147C3B" w:rsidRPr="003161DC" w:rsidRDefault="00147C3B" w:rsidP="00147C3B">
            <w:pPr>
              <w:spacing w:after="240"/>
              <w:ind w:left="2160" w:hanging="720"/>
            </w:pPr>
            <w:r w:rsidRPr="003161DC">
              <w:t>(ii)</w:t>
            </w:r>
            <w:r w:rsidRPr="003161DC">
              <w:tab/>
              <w:t xml:space="preserve">Load Resources excluding </w:t>
            </w:r>
            <w:r w:rsidR="0069524B">
              <w:t>CLRs</w:t>
            </w:r>
            <w:r w:rsidRPr="003161DC">
              <w:t>; and</w:t>
            </w:r>
          </w:p>
          <w:p w14:paraId="1272F7F5" w14:textId="37431F47" w:rsidR="00147C3B" w:rsidRPr="003161DC" w:rsidRDefault="00147C3B" w:rsidP="00147C3B">
            <w:pPr>
              <w:spacing w:after="240"/>
              <w:ind w:left="2160" w:hanging="720"/>
            </w:pPr>
            <w:r w:rsidRPr="003161DC">
              <w:t>(iii)</w:t>
            </w:r>
            <w:r w:rsidRPr="003161DC">
              <w:tab/>
            </w:r>
            <w:r w:rsidR="0069524B">
              <w:t>CLRs</w:t>
            </w:r>
            <w:r w:rsidR="00344B1B">
              <w:t>;</w:t>
            </w:r>
          </w:p>
          <w:p w14:paraId="65280E58" w14:textId="465D84B8" w:rsidR="00344B1B" w:rsidRDefault="00147C3B" w:rsidP="00344B1B">
            <w:pPr>
              <w:spacing w:after="240"/>
              <w:ind w:left="2160" w:hanging="720"/>
            </w:pPr>
            <w:r w:rsidRPr="003161DC">
              <w:t>(iv)</w:t>
            </w:r>
            <w:r w:rsidRPr="003161DC">
              <w:tab/>
              <w:t>QSGRs;</w:t>
            </w:r>
            <w:r w:rsidR="00344B1B">
              <w:t xml:space="preserve"> and</w:t>
            </w:r>
          </w:p>
          <w:p w14:paraId="5F9F1E96" w14:textId="0CB95A78" w:rsidR="00147C3B" w:rsidRPr="003161DC" w:rsidRDefault="00344B1B" w:rsidP="00344B1B">
            <w:pPr>
              <w:spacing w:after="240"/>
              <w:ind w:left="2160" w:hanging="720"/>
            </w:pPr>
            <w:r>
              <w:t>(v)</w:t>
            </w:r>
            <w:r w:rsidRPr="003161DC">
              <w:t xml:space="preserve"> </w:t>
            </w:r>
            <w:r w:rsidRPr="003161DC">
              <w:tab/>
            </w:r>
            <w:r>
              <w:t>ESRs.</w:t>
            </w:r>
          </w:p>
          <w:p w14:paraId="24EBBB82" w14:textId="4ADD1CA8" w:rsidR="00147C3B" w:rsidRDefault="00147C3B" w:rsidP="00147C3B">
            <w:pPr>
              <w:spacing w:before="240" w:after="240"/>
              <w:ind w:left="1440" w:hanging="720"/>
            </w:pPr>
            <w:r w:rsidRPr="003161DC">
              <w:t>(e)</w:t>
            </w:r>
            <w:r w:rsidRPr="003161DC">
              <w:tab/>
              <w:t xml:space="preserve">ECRS </w:t>
            </w:r>
            <w:r>
              <w:t xml:space="preserve">manually </w:t>
            </w:r>
            <w:r w:rsidRPr="003161DC">
              <w:t xml:space="preserve">deployed </w:t>
            </w:r>
            <w:r>
              <w:t>by</w:t>
            </w:r>
            <w:r w:rsidRPr="003161DC">
              <w:t xml:space="preserve"> </w:t>
            </w:r>
            <w:r>
              <w:t>Resources with a Resource Status of ONSC</w:t>
            </w:r>
            <w:r w:rsidRPr="003161DC">
              <w:t xml:space="preserve">; </w:t>
            </w:r>
          </w:p>
          <w:p w14:paraId="0F0029B0" w14:textId="4437BA62" w:rsidR="00194E91" w:rsidRPr="003161DC" w:rsidRDefault="00147C3B" w:rsidP="00194E91">
            <w:pPr>
              <w:spacing w:before="240" w:after="240"/>
              <w:ind w:left="1440" w:hanging="720"/>
            </w:pPr>
            <w:r>
              <w:t>(f</w:t>
            </w:r>
            <w:r w:rsidR="00194E91" w:rsidRPr="003161DC">
              <w:t>)</w:t>
            </w:r>
            <w:r w:rsidR="00194E91" w:rsidRPr="003161DC">
              <w:tab/>
              <w:t xml:space="preserve">Non-Spin available from: </w:t>
            </w:r>
          </w:p>
          <w:p w14:paraId="144C102B" w14:textId="77777777" w:rsidR="00194E91" w:rsidRPr="003161DC" w:rsidRDefault="00194E91" w:rsidP="00194E91">
            <w:pPr>
              <w:spacing w:after="240"/>
              <w:ind w:left="2160" w:hanging="720"/>
            </w:pPr>
            <w:r w:rsidRPr="003161DC">
              <w:t>(i)</w:t>
            </w:r>
            <w:r w:rsidRPr="003161DC">
              <w:tab/>
              <w:t>On-Line Generation Resources with Energy Offer Curves;</w:t>
            </w:r>
          </w:p>
          <w:p w14:paraId="4515032F" w14:textId="77777777" w:rsidR="00194E91" w:rsidRPr="003161DC" w:rsidRDefault="00194E91" w:rsidP="00194E91">
            <w:pPr>
              <w:spacing w:after="240"/>
              <w:ind w:left="2160" w:hanging="720"/>
            </w:pPr>
            <w:r w:rsidRPr="003161DC">
              <w:t>(ii)</w:t>
            </w:r>
            <w:r w:rsidRPr="003161DC">
              <w:tab/>
              <w:t xml:space="preserve">Undeployed Load Resources; </w:t>
            </w:r>
          </w:p>
          <w:p w14:paraId="5227F971" w14:textId="3DF2C668" w:rsidR="00194E91" w:rsidRPr="003161DC" w:rsidRDefault="00194E91" w:rsidP="00194E91">
            <w:pPr>
              <w:spacing w:after="240"/>
              <w:ind w:left="2160" w:hanging="720"/>
            </w:pPr>
            <w:r w:rsidRPr="003161DC">
              <w:t>(iii)</w:t>
            </w:r>
            <w:r w:rsidRPr="003161DC">
              <w:tab/>
              <w:t>Off-Line Generation Resources</w:t>
            </w:r>
            <w:r>
              <w:t xml:space="preserve"> and On-Line Generation Resources with power augmentation</w:t>
            </w:r>
            <w:r w:rsidR="00344B1B">
              <w:t>;</w:t>
            </w:r>
          </w:p>
          <w:p w14:paraId="3DD055FB" w14:textId="3BD3D630" w:rsidR="00344B1B" w:rsidRDefault="00194E91" w:rsidP="00344B1B">
            <w:pPr>
              <w:spacing w:after="240"/>
              <w:ind w:left="2160" w:hanging="720"/>
            </w:pPr>
            <w:r w:rsidRPr="003161DC">
              <w:t>(iv)</w:t>
            </w:r>
            <w:r w:rsidRPr="003161DC">
              <w:tab/>
              <w:t>Resources with Output Schedules;</w:t>
            </w:r>
            <w:r w:rsidR="00344B1B">
              <w:t xml:space="preserve"> and</w:t>
            </w:r>
          </w:p>
          <w:p w14:paraId="629935F2" w14:textId="0F358839" w:rsidR="00194E91" w:rsidRPr="003161DC" w:rsidRDefault="00344B1B" w:rsidP="00344B1B">
            <w:pPr>
              <w:spacing w:after="240"/>
              <w:ind w:left="2160" w:hanging="720"/>
            </w:pPr>
            <w:r>
              <w:t>(v)</w:t>
            </w:r>
            <w:r w:rsidRPr="003161DC">
              <w:t xml:space="preserve"> </w:t>
            </w:r>
            <w:r w:rsidRPr="003161DC">
              <w:tab/>
            </w:r>
            <w:r>
              <w:t>ESRs</w:t>
            </w:r>
            <w:r w:rsidR="00F726A9">
              <w:t xml:space="preserve"> that can be sustained for the SCED duration requirements of Non-Spin</w:t>
            </w:r>
            <w:r>
              <w:t>.</w:t>
            </w:r>
          </w:p>
          <w:p w14:paraId="2AB77336" w14:textId="0481CFFC" w:rsidR="00194E91" w:rsidRPr="003161DC" w:rsidRDefault="00147C3B" w:rsidP="00194E91">
            <w:pPr>
              <w:spacing w:after="240"/>
              <w:ind w:left="1440" w:hanging="720"/>
            </w:pPr>
            <w:r>
              <w:t>(g</w:t>
            </w:r>
            <w:r w:rsidR="00194E91" w:rsidRPr="003161DC">
              <w:t>)</w:t>
            </w:r>
            <w:r w:rsidR="00194E91" w:rsidRPr="003161DC">
              <w:tab/>
              <w:t xml:space="preserve">Ancillary Service Resource </w:t>
            </w:r>
            <w:r w:rsidR="00194E91">
              <w:t>awards</w:t>
            </w:r>
            <w:r w:rsidR="00194E91" w:rsidRPr="003161DC">
              <w:t xml:space="preserve"> for Non-Spin </w:t>
            </w:r>
            <w:r w:rsidR="00194E91">
              <w:t>to</w:t>
            </w:r>
            <w:r w:rsidR="00194E91" w:rsidRPr="003161DC">
              <w:t>:</w:t>
            </w:r>
          </w:p>
          <w:p w14:paraId="5ACBA07A" w14:textId="77777777" w:rsidR="00194E91" w:rsidRPr="003161DC" w:rsidRDefault="00194E91" w:rsidP="00194E91">
            <w:pPr>
              <w:spacing w:after="240"/>
              <w:ind w:left="2160" w:hanging="720"/>
            </w:pPr>
            <w:r w:rsidRPr="003161DC">
              <w:t>(i)</w:t>
            </w:r>
            <w:r w:rsidRPr="003161DC">
              <w:tab/>
              <w:t>On-Line Generation Resources with Energy Offer Curves;</w:t>
            </w:r>
          </w:p>
          <w:p w14:paraId="50D85B8F" w14:textId="77777777" w:rsidR="00194E91" w:rsidRPr="003161DC" w:rsidRDefault="00194E91" w:rsidP="00194E91">
            <w:pPr>
              <w:spacing w:after="240"/>
              <w:ind w:left="2160" w:hanging="720"/>
            </w:pPr>
            <w:r w:rsidRPr="003161DC">
              <w:t>(ii)</w:t>
            </w:r>
            <w:r w:rsidRPr="003161DC">
              <w:tab/>
              <w:t>On-Line Generation Resources with Output Schedules;</w:t>
            </w:r>
          </w:p>
          <w:p w14:paraId="173D64BA" w14:textId="77777777" w:rsidR="00194E91" w:rsidRPr="003161DC" w:rsidRDefault="00194E91" w:rsidP="00194E91">
            <w:pPr>
              <w:spacing w:after="240"/>
              <w:ind w:left="2160" w:hanging="720"/>
            </w:pPr>
            <w:r w:rsidRPr="003161DC">
              <w:t>(iii)</w:t>
            </w:r>
            <w:r w:rsidRPr="003161DC">
              <w:tab/>
              <w:t xml:space="preserve">Load Resources; </w:t>
            </w:r>
          </w:p>
          <w:p w14:paraId="294DFD00" w14:textId="46907081" w:rsidR="00194E91" w:rsidRPr="003161DC" w:rsidRDefault="00194E91" w:rsidP="00194E91">
            <w:pPr>
              <w:spacing w:after="240"/>
              <w:ind w:left="2160" w:hanging="720"/>
            </w:pPr>
            <w:r w:rsidRPr="003161DC">
              <w:t>(iv)</w:t>
            </w:r>
            <w:r w:rsidRPr="003161DC">
              <w:tab/>
              <w:t>Off-Line Generation Resources excluding Quick Start Generation Resources (QSGRs)</w:t>
            </w:r>
            <w:r>
              <w:t>, including Non-Spin awards on power augmentation capacity that is not active on On-Line Generation Resources</w:t>
            </w:r>
            <w:r w:rsidR="00344B1B">
              <w:t>;</w:t>
            </w:r>
          </w:p>
          <w:p w14:paraId="2E38D377" w14:textId="2BF0409B" w:rsidR="00344B1B" w:rsidRDefault="00194E91" w:rsidP="00344B1B">
            <w:pPr>
              <w:spacing w:after="240"/>
              <w:ind w:left="2160" w:hanging="720"/>
            </w:pPr>
            <w:r w:rsidRPr="003161DC">
              <w:lastRenderedPageBreak/>
              <w:t>(v)</w:t>
            </w:r>
            <w:r w:rsidRPr="003161DC">
              <w:tab/>
              <w:t>QSGRs;</w:t>
            </w:r>
            <w:r w:rsidR="00344B1B">
              <w:t xml:space="preserve"> and</w:t>
            </w:r>
          </w:p>
          <w:p w14:paraId="2FEFC324" w14:textId="11FB1DAF" w:rsidR="00194E91" w:rsidRPr="003161DC" w:rsidRDefault="00344B1B" w:rsidP="00344B1B">
            <w:pPr>
              <w:spacing w:after="240"/>
              <w:ind w:left="2160" w:hanging="720"/>
            </w:pPr>
            <w:r>
              <w:t>(vi)</w:t>
            </w:r>
            <w:r w:rsidRPr="003161DC">
              <w:tab/>
            </w:r>
            <w:r>
              <w:t>ESRs.</w:t>
            </w:r>
          </w:p>
          <w:p w14:paraId="1C1E0343" w14:textId="67D0BEB7" w:rsidR="00194E91" w:rsidRDefault="00194E91" w:rsidP="00194E91">
            <w:pPr>
              <w:spacing w:after="240"/>
              <w:ind w:left="1440" w:hanging="720"/>
            </w:pPr>
            <w:r w:rsidRPr="003161DC">
              <w:t>(</w:t>
            </w:r>
            <w:r w:rsidR="00147C3B">
              <w:t>h</w:t>
            </w:r>
            <w:r w:rsidRPr="003161DC">
              <w:t>)</w:t>
            </w:r>
            <w:r w:rsidRPr="003161DC">
              <w:tab/>
            </w:r>
            <w:r>
              <w:t>Reg-Up and Reg-Down</w:t>
            </w:r>
            <w:r w:rsidRPr="003161DC">
              <w:t xml:space="preserve"> </w:t>
            </w:r>
            <w:r>
              <w:t>capability</w:t>
            </w:r>
            <w:r w:rsidR="00F726A9">
              <w:t xml:space="preserve"> (for ESRs, the SCED duration requirements of Reg-Up and Reg-Down are considered)</w:t>
            </w:r>
            <w:r>
              <w:t>;</w:t>
            </w:r>
          </w:p>
          <w:p w14:paraId="466FEA3F" w14:textId="4C5BE9CF" w:rsidR="00194E91" w:rsidRPr="003161DC" w:rsidRDefault="00194E91" w:rsidP="00194E91">
            <w:pPr>
              <w:spacing w:after="240"/>
              <w:ind w:left="1440" w:hanging="720"/>
            </w:pPr>
            <w:r w:rsidRPr="003161DC">
              <w:t>(</w:t>
            </w:r>
            <w:r w:rsidR="00147C3B">
              <w:t>i</w:t>
            </w:r>
            <w:r w:rsidRPr="003161DC">
              <w:t>)</w:t>
            </w:r>
            <w:r w:rsidRPr="003161DC">
              <w:tab/>
              <w:t>Undeployed Reg-Up and Reg-Down;</w:t>
            </w:r>
          </w:p>
          <w:p w14:paraId="4E7A429C" w14:textId="2269EF44" w:rsidR="00194E91" w:rsidRPr="003161DC" w:rsidRDefault="00194E91" w:rsidP="00194E91">
            <w:pPr>
              <w:spacing w:after="240"/>
              <w:ind w:left="1440" w:hanging="720"/>
            </w:pPr>
            <w:r w:rsidRPr="003161DC">
              <w:t>(</w:t>
            </w:r>
            <w:r w:rsidR="00147C3B">
              <w:t>j</w:t>
            </w:r>
            <w:r w:rsidRPr="003161DC">
              <w:t>)</w:t>
            </w:r>
            <w:r w:rsidRPr="003161DC">
              <w:tab/>
              <w:t xml:space="preserve">Ancillary Service Resource </w:t>
            </w:r>
            <w:r>
              <w:t>awards</w:t>
            </w:r>
            <w:r w:rsidRPr="003161DC">
              <w:t xml:space="preserve"> for Reg-Up and Reg-Down;</w:t>
            </w:r>
          </w:p>
          <w:p w14:paraId="435A3EB4" w14:textId="655D600D" w:rsidR="00194E91" w:rsidRPr="003161DC" w:rsidRDefault="00194E91" w:rsidP="00194E91">
            <w:pPr>
              <w:spacing w:after="240"/>
              <w:ind w:left="1440" w:hanging="720"/>
            </w:pPr>
            <w:r w:rsidRPr="003161DC">
              <w:t>(</w:t>
            </w:r>
            <w:r w:rsidR="00147C3B">
              <w:t>k</w:t>
            </w:r>
            <w:r w:rsidRPr="003161DC">
              <w:t>)</w:t>
            </w:r>
            <w:r w:rsidRPr="003161DC">
              <w:tab/>
              <w:t>Deployed Reg-Up and Reg-Down;</w:t>
            </w:r>
          </w:p>
          <w:p w14:paraId="782445AC" w14:textId="4B64BAAB" w:rsidR="00194E91" w:rsidRPr="003161DC" w:rsidRDefault="00194E91" w:rsidP="00194E91">
            <w:pPr>
              <w:spacing w:after="240"/>
              <w:ind w:left="1440" w:hanging="720"/>
            </w:pPr>
            <w:r w:rsidRPr="003161DC">
              <w:t>(</w:t>
            </w:r>
            <w:r w:rsidR="00147C3B">
              <w:t>l</w:t>
            </w:r>
            <w:r w:rsidRPr="003161DC">
              <w:t>)</w:t>
            </w:r>
            <w:r w:rsidRPr="003161DC">
              <w:tab/>
              <w:t>Available capacity:</w:t>
            </w:r>
          </w:p>
          <w:p w14:paraId="2291BFDD" w14:textId="77777777" w:rsidR="00194E91" w:rsidRPr="003161DC" w:rsidRDefault="00194E91" w:rsidP="00194E91">
            <w:pPr>
              <w:spacing w:after="240"/>
              <w:ind w:left="2160" w:hanging="720"/>
            </w:pPr>
            <w:r w:rsidRPr="003161DC">
              <w:t>(i)</w:t>
            </w:r>
            <w:r w:rsidRPr="003161DC">
              <w:tab/>
              <w:t>With Energy Offer Curves in the ERCOT System that can be used to increase Generation Resource Base Points in SCED;</w:t>
            </w:r>
          </w:p>
          <w:p w14:paraId="4C7A35CF" w14:textId="77777777" w:rsidR="00194E91" w:rsidRPr="003161DC" w:rsidRDefault="00194E91" w:rsidP="00194E91">
            <w:pPr>
              <w:spacing w:after="240"/>
              <w:ind w:left="2160" w:hanging="720"/>
            </w:pPr>
            <w:r w:rsidRPr="003161DC">
              <w:t>(ii)</w:t>
            </w:r>
            <w:r w:rsidRPr="003161DC">
              <w:tab/>
              <w:t xml:space="preserve">With Energy Offer Curves in the ERCOT System that can be used to decrease Generation Resource Base Points in SCED; </w:t>
            </w:r>
          </w:p>
          <w:p w14:paraId="076F2CB4" w14:textId="77777777" w:rsidR="00194E91" w:rsidRPr="003161DC" w:rsidRDefault="00194E91" w:rsidP="00194E91">
            <w:pPr>
              <w:spacing w:after="240"/>
              <w:ind w:left="2160" w:hanging="720"/>
            </w:pPr>
            <w:r w:rsidRPr="003161DC">
              <w:t>(iii)</w:t>
            </w:r>
            <w:r w:rsidRPr="003161DC">
              <w:tab/>
              <w:t xml:space="preserve">Without Energy Offer Curves in the ERCOT System that can be used to increase Generation Resource Base Points in SCED; </w:t>
            </w:r>
          </w:p>
          <w:p w14:paraId="4F12BB73" w14:textId="77777777" w:rsidR="00194E91" w:rsidRPr="003161DC" w:rsidRDefault="00194E91" w:rsidP="00194E91">
            <w:pPr>
              <w:spacing w:after="240"/>
              <w:ind w:left="2160" w:hanging="720"/>
            </w:pPr>
            <w:r w:rsidRPr="003161DC">
              <w:t>(iv)</w:t>
            </w:r>
            <w:r w:rsidRPr="003161DC">
              <w:tab/>
              <w:t xml:space="preserve">Without Energy Offer Curves in the ERCOT System that can be used to decrease Generation Resource Base Points in SCED; </w:t>
            </w:r>
          </w:p>
          <w:p w14:paraId="1CADFE40" w14:textId="0D60CC36" w:rsidR="00194E91" w:rsidRPr="003161DC" w:rsidRDefault="00194E91" w:rsidP="00194E91">
            <w:pPr>
              <w:spacing w:after="240"/>
              <w:ind w:left="2160" w:hanging="720"/>
            </w:pPr>
            <w:r w:rsidRPr="003161DC">
              <w:t>(v)</w:t>
            </w:r>
            <w:r w:rsidRPr="003161DC">
              <w:tab/>
              <w:t xml:space="preserve">With Energy Bid </w:t>
            </w:r>
            <w:r w:rsidR="0069524B">
              <w:t>C</w:t>
            </w:r>
            <w:r w:rsidRPr="003161DC">
              <w:t xml:space="preserve">urves from available </w:t>
            </w:r>
            <w:r w:rsidR="0069524B">
              <w:t>CLRs</w:t>
            </w:r>
            <w:r w:rsidRPr="003161DC">
              <w:t xml:space="preserve"> in the ERCOT System that can be used to decrease Base Points (energy consumption) in SCED;</w:t>
            </w:r>
          </w:p>
          <w:p w14:paraId="59FF9E10" w14:textId="2AFF6681" w:rsidR="00194E91" w:rsidRPr="003161DC" w:rsidRDefault="00194E91" w:rsidP="00194E91">
            <w:pPr>
              <w:spacing w:after="240"/>
              <w:ind w:left="2160" w:hanging="720"/>
            </w:pPr>
            <w:r w:rsidRPr="003161DC">
              <w:t>(vi)</w:t>
            </w:r>
            <w:r w:rsidRPr="003161DC">
              <w:tab/>
              <w:t xml:space="preserve">With Energy Bid </w:t>
            </w:r>
            <w:r w:rsidR="0069524B">
              <w:t>C</w:t>
            </w:r>
            <w:r w:rsidRPr="003161DC">
              <w:t xml:space="preserve">urves from available </w:t>
            </w:r>
            <w:r w:rsidR="0069524B">
              <w:t>CLRs</w:t>
            </w:r>
            <w:r w:rsidRPr="003161DC">
              <w:t xml:space="preserve"> in the ERCOT System that can be used to increase Base Points (energy consumption) in SCED; </w:t>
            </w:r>
          </w:p>
          <w:p w14:paraId="3E5FAA39" w14:textId="0432D091" w:rsidR="00194E91" w:rsidRPr="003161DC" w:rsidRDefault="00194E91" w:rsidP="00194E91">
            <w:pPr>
              <w:spacing w:after="240"/>
              <w:ind w:left="2160" w:hanging="720"/>
            </w:pPr>
            <w:r w:rsidRPr="003161DC">
              <w:t>(vii)</w:t>
            </w:r>
            <w:r w:rsidRPr="003161DC">
              <w:tab/>
            </w:r>
            <w:r w:rsidR="00147C3B" w:rsidRPr="003161DC">
              <w:t xml:space="preserve">From Resources participating in SCED plus the Reg-Up, RRS, and ECRS from Load Resources </w:t>
            </w:r>
            <w:r w:rsidR="00147C3B" w:rsidRPr="003161DC">
              <w:rPr>
                <w:bCs/>
              </w:rPr>
              <w:t xml:space="preserve">and the Net Power Consumption minus the Low Power Consumption from Load Resources with a validated Real-Time RRS and ECRS </w:t>
            </w:r>
            <w:r w:rsidR="00147C3B">
              <w:rPr>
                <w:bCs/>
              </w:rPr>
              <w:t>awards</w:t>
            </w:r>
            <w:r w:rsidR="00147C3B" w:rsidRPr="003161DC">
              <w:t>;</w:t>
            </w:r>
          </w:p>
          <w:p w14:paraId="2118D937" w14:textId="59378596" w:rsidR="00344B1B" w:rsidRPr="00A552C3" w:rsidRDefault="00344B1B" w:rsidP="00344B1B">
            <w:pPr>
              <w:spacing w:after="240"/>
              <w:ind w:left="2160" w:hanging="720"/>
            </w:pPr>
            <w:r w:rsidRPr="00A552C3">
              <w:t>(vi</w:t>
            </w:r>
            <w:r>
              <w:t>i</w:t>
            </w:r>
            <w:r w:rsidRPr="00A552C3">
              <w:t>i)</w:t>
            </w:r>
            <w:r w:rsidRPr="00A552C3">
              <w:tab/>
              <w:t>With Energy Bid/Offer Curves for ESRs in the ERCOT System that can be used to increase ESR Base Points in SCED</w:t>
            </w:r>
            <w:r w:rsidR="00F726A9">
              <w:t xml:space="preserve"> while respecting SCED duration requirements for ESR Base Points in SCED</w:t>
            </w:r>
            <w:r w:rsidRPr="00A552C3">
              <w:t>;</w:t>
            </w:r>
          </w:p>
          <w:p w14:paraId="5151DC56" w14:textId="0729992D" w:rsidR="00344B1B" w:rsidRPr="00A552C3" w:rsidRDefault="00344B1B" w:rsidP="00344B1B">
            <w:pPr>
              <w:spacing w:after="240"/>
              <w:ind w:left="2160" w:hanging="720"/>
            </w:pPr>
            <w:r>
              <w:t>(</w:t>
            </w:r>
            <w:r w:rsidRPr="00A552C3">
              <w:t>i</w:t>
            </w:r>
            <w:r>
              <w:t>x</w:t>
            </w:r>
            <w:r w:rsidRPr="00A552C3">
              <w:t>)</w:t>
            </w:r>
            <w:r w:rsidRPr="00A552C3">
              <w:tab/>
              <w:t>With Energy Bid/Offer Curves for ESRs in the ERCOT System that can be used to decrease ESR Base Points in SCED</w:t>
            </w:r>
            <w:r w:rsidR="00F726A9">
              <w:t xml:space="preserve"> while respecting SCED duration requirements for ESR Base Points in SCED</w:t>
            </w:r>
            <w:r w:rsidRPr="00A552C3">
              <w:t xml:space="preserve">; </w:t>
            </w:r>
          </w:p>
          <w:p w14:paraId="4C7EA26A" w14:textId="1A089ADC" w:rsidR="00344B1B" w:rsidRPr="00A552C3" w:rsidRDefault="00344B1B" w:rsidP="00344B1B">
            <w:pPr>
              <w:spacing w:after="240"/>
              <w:ind w:left="2160" w:hanging="720"/>
            </w:pPr>
            <w:r>
              <w:lastRenderedPageBreak/>
              <w:t>(</w:t>
            </w:r>
            <w:r w:rsidRPr="00A552C3">
              <w:t>x)</w:t>
            </w:r>
            <w:r w:rsidRPr="00A552C3">
              <w:tab/>
              <w:t>Without Energy Bid/Offer Curves for ESRs in the ERCOT System that can be used to increase ESR Base Points in SCED</w:t>
            </w:r>
            <w:r w:rsidR="00F726A9">
              <w:t xml:space="preserve"> while respecting SCED duration requirements for ESR Base Points in SCED</w:t>
            </w:r>
            <w:r w:rsidRPr="00A552C3">
              <w:t xml:space="preserve">; </w:t>
            </w:r>
          </w:p>
          <w:p w14:paraId="312987D0" w14:textId="2197C152" w:rsidR="00344B1B" w:rsidRPr="00A552C3" w:rsidRDefault="00344B1B" w:rsidP="00344B1B">
            <w:pPr>
              <w:spacing w:after="240"/>
              <w:ind w:left="2160" w:hanging="720"/>
            </w:pPr>
            <w:r w:rsidRPr="00A552C3">
              <w:t>(x</w:t>
            </w:r>
            <w:r>
              <w:t>i</w:t>
            </w:r>
            <w:r w:rsidRPr="00A552C3">
              <w:t>)</w:t>
            </w:r>
            <w:r w:rsidRPr="00A552C3">
              <w:tab/>
              <w:t>Without Energy Bid/Offer Curves for ESRs in the ERCOT System that can be used to decrease ESR Base Points in SCED</w:t>
            </w:r>
            <w:r w:rsidR="00F726A9">
              <w:t xml:space="preserve"> while respecting SCED duration requirements for ESR Base Points in SCED</w:t>
            </w:r>
            <w:r w:rsidRPr="00A552C3">
              <w:t xml:space="preserve">; </w:t>
            </w:r>
          </w:p>
          <w:p w14:paraId="4CC9CE4A" w14:textId="4D59D382" w:rsidR="00194E91" w:rsidRPr="003161DC" w:rsidRDefault="00344B1B" w:rsidP="00344B1B">
            <w:pPr>
              <w:spacing w:after="240"/>
              <w:ind w:left="2160" w:hanging="720"/>
            </w:pPr>
            <w:r>
              <w:t>(x</w:t>
            </w:r>
            <w:r w:rsidR="00194E91" w:rsidRPr="003161DC">
              <w:t>ii)</w:t>
            </w:r>
            <w:r w:rsidR="00194E91" w:rsidRPr="003161DC">
              <w:tab/>
              <w:t>From Resources included in item (vii) above plus reserves from Resources that could be made available to SCED in 30 minutes;</w:t>
            </w:r>
          </w:p>
          <w:p w14:paraId="74FBB9D5" w14:textId="1F83AFA2" w:rsidR="00194E91" w:rsidRPr="003161DC" w:rsidRDefault="006F7954" w:rsidP="00194E91">
            <w:pPr>
              <w:spacing w:after="240"/>
              <w:ind w:left="2160" w:hanging="720"/>
            </w:pPr>
            <w:r>
              <w:t>(</w:t>
            </w:r>
            <w:r w:rsidR="00194E91" w:rsidRPr="003161DC">
              <w:t>x</w:t>
            </w:r>
            <w:r>
              <w:t>iii</w:t>
            </w:r>
            <w:r w:rsidR="00194E91" w:rsidRPr="003161DC">
              <w:t xml:space="preserve">) </w:t>
            </w:r>
            <w:r w:rsidR="00194E91" w:rsidRPr="003161DC">
              <w:tab/>
              <w:t>In the ERCOT System that can be used to increase Generation Resource Base Points in the next five minutes in SCED; and</w:t>
            </w:r>
          </w:p>
          <w:p w14:paraId="78150F1F" w14:textId="19F59DAA" w:rsidR="00194E91" w:rsidRPr="003161DC" w:rsidRDefault="00194E91" w:rsidP="00194E91">
            <w:pPr>
              <w:spacing w:after="240"/>
              <w:ind w:left="2160" w:hanging="720"/>
            </w:pPr>
            <w:r w:rsidRPr="003161DC">
              <w:t>(x</w:t>
            </w:r>
            <w:r w:rsidR="006F7954">
              <w:t>iv</w:t>
            </w:r>
            <w:r w:rsidRPr="003161DC">
              <w:t>)</w:t>
            </w:r>
            <w:r w:rsidRPr="003161DC">
              <w:tab/>
              <w:t>In the ERCOT System that can be used to decrease Generation Resource Base Points in the next five minutes in SCED;</w:t>
            </w:r>
          </w:p>
          <w:p w14:paraId="5AF20415" w14:textId="7E99B3FD" w:rsidR="00194E91" w:rsidRDefault="00194E91" w:rsidP="00194E91">
            <w:pPr>
              <w:spacing w:after="240"/>
              <w:ind w:left="2160" w:hanging="720"/>
            </w:pPr>
            <w:r>
              <w:t>(x</w:t>
            </w:r>
            <w:r w:rsidR="006F7954">
              <w:t>v</w:t>
            </w:r>
            <w:r>
              <w:t>)</w:t>
            </w:r>
            <w:r>
              <w:tab/>
              <w:t>The total capability of Resources available to provide the following combinations of Ancillary Services, based on the Resource telemetry from the QSE and capped by the limits of the Resource:</w:t>
            </w:r>
          </w:p>
          <w:p w14:paraId="11938228" w14:textId="77777777" w:rsidR="00194E91" w:rsidRDefault="00194E91" w:rsidP="00194E91">
            <w:pPr>
              <w:spacing w:after="240"/>
              <w:ind w:left="2880" w:hanging="720"/>
            </w:pPr>
            <w:r>
              <w:t>(A)</w:t>
            </w:r>
            <w:r>
              <w:tab/>
            </w:r>
            <w:r w:rsidRPr="009A1E1F">
              <w:t>Capacit</w:t>
            </w:r>
            <w:r>
              <w:t>y to provide Reg-Up,</w:t>
            </w:r>
            <w:r w:rsidRPr="009A1E1F">
              <w:t xml:space="preserve"> RRS</w:t>
            </w:r>
            <w:r>
              <w:t>,</w:t>
            </w:r>
            <w:r w:rsidRPr="009A1E1F">
              <w:t xml:space="preserve"> or both, irrespective of whether it is capabl</w:t>
            </w:r>
            <w:r>
              <w:t>e of providing ECRS or Non-Spin;</w:t>
            </w:r>
          </w:p>
          <w:p w14:paraId="62F4FAEA" w14:textId="77777777" w:rsidR="00194E91" w:rsidRDefault="00194E91" w:rsidP="00194E91">
            <w:pPr>
              <w:spacing w:after="240"/>
              <w:ind w:left="2880" w:hanging="720"/>
            </w:pPr>
            <w:r>
              <w:t>(B)</w:t>
            </w:r>
            <w:r>
              <w:tab/>
            </w:r>
            <w:r w:rsidRPr="009A1E1F">
              <w:t xml:space="preserve">Capacity </w:t>
            </w:r>
            <w:r>
              <w:t>to provide</w:t>
            </w:r>
            <w:r w:rsidRPr="009A1E1F">
              <w:t xml:space="preserve"> Reg-Up</w:t>
            </w:r>
            <w:r>
              <w:t>,</w:t>
            </w:r>
            <w:r w:rsidRPr="009A1E1F">
              <w:t xml:space="preserve"> RRS</w:t>
            </w:r>
            <w:r>
              <w:t>,</w:t>
            </w:r>
            <w:r w:rsidRPr="009A1E1F">
              <w:t xml:space="preserve"> ECRS</w:t>
            </w:r>
            <w:r>
              <w:t>,</w:t>
            </w:r>
            <w:r w:rsidRPr="009A1E1F">
              <w:t xml:space="preserve"> or any combination, irrespective of whether it is capable of providing Non-Spin</w:t>
            </w:r>
            <w:r>
              <w:t>; and</w:t>
            </w:r>
          </w:p>
          <w:p w14:paraId="6B4AE0A9" w14:textId="77777777" w:rsidR="00194E91" w:rsidRDefault="00194E91" w:rsidP="00194E91">
            <w:pPr>
              <w:spacing w:after="240"/>
              <w:ind w:left="2880" w:hanging="720"/>
            </w:pPr>
            <w:r>
              <w:t>(C)</w:t>
            </w:r>
            <w:r>
              <w:tab/>
            </w:r>
            <w:r>
              <w:rPr>
                <w:color w:val="000000"/>
              </w:rPr>
              <w:t>Capacity to provide Reg-Up, RRS, ECRS, or Non-Spin, in any combination</w:t>
            </w:r>
            <w:r>
              <w:t>;</w:t>
            </w:r>
          </w:p>
          <w:p w14:paraId="3299A4B0" w14:textId="0572580F" w:rsidR="00194E91" w:rsidRPr="003161DC" w:rsidRDefault="00194E91" w:rsidP="00194E91">
            <w:pPr>
              <w:spacing w:after="240"/>
              <w:ind w:left="1440" w:hanging="720"/>
            </w:pPr>
            <w:r w:rsidRPr="003161DC">
              <w:t>(</w:t>
            </w:r>
            <w:r w:rsidR="00147C3B">
              <w:t>m</w:t>
            </w:r>
            <w:r w:rsidRPr="003161DC">
              <w:t>)</w:t>
            </w:r>
            <w:r w:rsidRPr="003161DC">
              <w:tab/>
              <w:t>Aggregate telemetered HSL capacity for Resources with a telemetered Resource Status of EMR;</w:t>
            </w:r>
          </w:p>
          <w:p w14:paraId="4B4FBFFD" w14:textId="7FB6E9DF" w:rsidR="00194E91" w:rsidRPr="003161DC" w:rsidRDefault="00194E91" w:rsidP="00194E91">
            <w:pPr>
              <w:spacing w:after="240"/>
              <w:ind w:left="1440" w:hanging="720"/>
            </w:pPr>
            <w:r w:rsidRPr="003161DC">
              <w:t>(</w:t>
            </w:r>
            <w:r w:rsidR="00147C3B">
              <w:t>n</w:t>
            </w:r>
            <w:r w:rsidRPr="003161DC">
              <w:t>)</w:t>
            </w:r>
            <w:r w:rsidRPr="003161DC">
              <w:tab/>
              <w:t>Aggregate telemetered HSL capacity for Resources with a telemetered Resource Status of OUT;</w:t>
            </w:r>
          </w:p>
          <w:p w14:paraId="4D8534C3" w14:textId="069E1DEC" w:rsidR="00194E91" w:rsidRPr="003161DC" w:rsidRDefault="00194E91" w:rsidP="00194E91">
            <w:pPr>
              <w:spacing w:after="240"/>
              <w:ind w:left="1440" w:hanging="720"/>
            </w:pPr>
            <w:r w:rsidRPr="003161DC">
              <w:t>(</w:t>
            </w:r>
            <w:r w:rsidR="00147C3B">
              <w:t>o</w:t>
            </w:r>
            <w:r w:rsidRPr="003161DC">
              <w:t>)</w:t>
            </w:r>
            <w:r w:rsidRPr="003161DC">
              <w:tab/>
              <w:t>Aggregate net telemetered consumption for Resources with a telemetered Resource Status of OUTL; and</w:t>
            </w:r>
          </w:p>
          <w:p w14:paraId="0A45ED3E" w14:textId="2CB35168" w:rsidR="00194E91" w:rsidRPr="003161DC" w:rsidRDefault="00194E91" w:rsidP="00194E91">
            <w:pPr>
              <w:spacing w:after="240"/>
              <w:ind w:left="1440" w:hanging="720"/>
            </w:pPr>
            <w:r w:rsidRPr="003161DC">
              <w:t>(</w:t>
            </w:r>
            <w:r w:rsidR="00147C3B">
              <w:t>p</w:t>
            </w:r>
            <w:r w:rsidRPr="003161DC">
              <w:t>)</w:t>
            </w:r>
            <w:r w:rsidRPr="003161DC">
              <w:tab/>
              <w:t>The ERCOT-wide PRC calculated as follows:</w:t>
            </w:r>
          </w:p>
          <w:p w14:paraId="37AB132E" w14:textId="77777777" w:rsidR="00194E91" w:rsidRPr="003161DC" w:rsidRDefault="00194E91" w:rsidP="00194E91">
            <w:pPr>
              <w:rPr>
                <w:b/>
                <w:position w:val="30"/>
                <w:sz w:val="20"/>
              </w:rPr>
            </w:pPr>
          </w:p>
          <w:p w14:paraId="390B9345" w14:textId="77777777" w:rsidR="00194E91" w:rsidRPr="003161DC" w:rsidRDefault="00194E91" w:rsidP="00194E91">
            <w:pPr>
              <w:rPr>
                <w:b/>
                <w:position w:val="30"/>
                <w:sz w:val="20"/>
              </w:rPr>
            </w:pPr>
          </w:p>
          <w:p w14:paraId="0C1D8374" w14:textId="2C608D66" w:rsidR="00194E91" w:rsidRPr="003161DC" w:rsidRDefault="00494238" w:rsidP="00194E91">
            <w:pPr>
              <w:spacing w:after="240"/>
              <w:rPr>
                <w:b/>
                <w:position w:val="30"/>
                <w:sz w:val="20"/>
              </w:rPr>
            </w:pPr>
            <w:r>
              <w:rPr>
                <w:b/>
                <w:noProof/>
                <w:position w:val="30"/>
                <w:sz w:val="20"/>
              </w:rPr>
              <w:object w:dxaOrig="1440" w:dyaOrig="1440" w14:anchorId="622818FC">
                <v:shape id="_x0000_s5120" type="#_x0000_t75" style="position:absolute;margin-left:33.75pt;margin-top:-42.55pt;width:67.75pt;height:109.9pt;z-index:251676672" fillcolor="red" strokecolor="red">
                  <v:fill opacity="13107f" color2="fill darken(118)" o:opacity2="13107f" rotate="t" method="linear sigma" focus="100%" type="gradient"/>
                  <v:imagedata r:id="rId15" o:title=""/>
                </v:shape>
                <o:OLEObject Type="Embed" ProgID="Equation.3" ShapeID="_x0000_s5120" DrawAspect="Content" ObjectID="_1815025651" r:id="rId18"/>
              </w:object>
            </w:r>
            <w:r w:rsidR="00194E91" w:rsidRPr="003161DC">
              <w:rPr>
                <w:b/>
                <w:position w:val="30"/>
                <w:sz w:val="20"/>
              </w:rPr>
              <w:t>PRC</w:t>
            </w:r>
            <w:r w:rsidR="00194E91" w:rsidRPr="003161DC">
              <w:rPr>
                <w:b/>
                <w:position w:val="30"/>
                <w:sz w:val="20"/>
                <w:vertAlign w:val="subscript"/>
              </w:rPr>
              <w:t>1</w:t>
            </w:r>
            <w:r w:rsidR="00194E91" w:rsidRPr="003161DC">
              <w:rPr>
                <w:b/>
                <w:position w:val="30"/>
                <w:sz w:val="20"/>
              </w:rPr>
              <w:t xml:space="preserve"> =</w:t>
            </w:r>
            <w:r w:rsidR="00194E91" w:rsidRPr="003161DC">
              <w:rPr>
                <w:b/>
                <w:position w:val="30"/>
                <w:sz w:val="20"/>
              </w:rPr>
              <w:tab/>
            </w:r>
            <w:r w:rsidR="00194E91" w:rsidRPr="003161DC">
              <w:rPr>
                <w:b/>
                <w:position w:val="30"/>
                <w:sz w:val="20"/>
              </w:rPr>
              <w:tab/>
            </w:r>
            <w:r w:rsidR="00194E91" w:rsidRPr="003161DC">
              <w:rPr>
                <w:b/>
                <w:position w:val="30"/>
                <w:sz w:val="20"/>
              </w:rPr>
              <w:tab/>
              <w:t>Min(Max((RDF*FRC</w:t>
            </w:r>
            <w:r w:rsidR="00194E91">
              <w:rPr>
                <w:b/>
                <w:position w:val="30"/>
                <w:sz w:val="20"/>
              </w:rPr>
              <w:t>HL</w:t>
            </w:r>
            <w:r w:rsidR="00194E91" w:rsidRPr="003161DC">
              <w:rPr>
                <w:b/>
                <w:position w:val="30"/>
                <w:sz w:val="20"/>
              </w:rPr>
              <w:t xml:space="preserve"> – </w:t>
            </w:r>
            <w:r w:rsidR="00194E91">
              <w:rPr>
                <w:b/>
                <w:position w:val="30"/>
                <w:sz w:val="20"/>
              </w:rPr>
              <w:t>FRCO</w:t>
            </w:r>
            <w:r w:rsidR="00194E91" w:rsidRPr="003161DC">
              <w:rPr>
                <w:b/>
                <w:position w:val="30"/>
                <w:sz w:val="20"/>
              </w:rPr>
              <w:t>)</w:t>
            </w:r>
            <w:r w:rsidR="00194E91" w:rsidRPr="003161DC">
              <w:rPr>
                <w:b/>
                <w:position w:val="30"/>
                <w:sz w:val="20"/>
                <w:vertAlign w:val="subscript"/>
              </w:rPr>
              <w:t>i</w:t>
            </w:r>
            <w:r w:rsidR="00194E91" w:rsidRPr="003161DC">
              <w:rPr>
                <w:b/>
                <w:position w:val="30"/>
                <w:sz w:val="20"/>
              </w:rPr>
              <w:t xml:space="preserve"> , 0.0) , 0.2*RDF*</w:t>
            </w:r>
            <w:r w:rsidR="00194E91">
              <w:rPr>
                <w:b/>
                <w:position w:val="30"/>
                <w:sz w:val="20"/>
              </w:rPr>
              <w:t>FRCHL</w:t>
            </w:r>
            <w:r w:rsidR="00194E91" w:rsidRPr="003161DC">
              <w:rPr>
                <w:b/>
                <w:position w:val="30"/>
                <w:sz w:val="20"/>
                <w:vertAlign w:val="subscript"/>
              </w:rPr>
              <w:t>i</w:t>
            </w:r>
            <w:r w:rsidR="00194E91" w:rsidRPr="003161DC">
              <w:rPr>
                <w:b/>
                <w:position w:val="30"/>
                <w:sz w:val="20"/>
              </w:rPr>
              <w:t>),</w:t>
            </w:r>
          </w:p>
          <w:p w14:paraId="0F1D54EE" w14:textId="77777777" w:rsidR="00147C3B" w:rsidRDefault="00147C3B" w:rsidP="00194E91">
            <w:pPr>
              <w:ind w:right="-1080"/>
            </w:pPr>
          </w:p>
          <w:p w14:paraId="734FDDE3" w14:textId="77777777" w:rsidR="00147C3B" w:rsidRDefault="00147C3B" w:rsidP="00194E91">
            <w:pPr>
              <w:ind w:right="-1080"/>
            </w:pPr>
          </w:p>
          <w:p w14:paraId="6348B442" w14:textId="77777777" w:rsidR="00194E91" w:rsidRPr="003161DC" w:rsidRDefault="00194E91" w:rsidP="00194E91">
            <w:pPr>
              <w:ind w:right="-1080"/>
            </w:pPr>
            <w:r w:rsidRPr="003161DC">
              <w:t>where the included On-Line Generation Resources do not include WGRs, nuclear Generation</w:t>
            </w:r>
          </w:p>
          <w:p w14:paraId="77382DE0" w14:textId="77777777" w:rsidR="00194E91" w:rsidRPr="003161DC" w:rsidRDefault="00194E91" w:rsidP="00194E91">
            <w:pPr>
              <w:ind w:right="-1080"/>
            </w:pPr>
            <w:r w:rsidRPr="003161DC">
              <w:t xml:space="preserve">Resources, or Generation Resources with an output less than or equal to 95% of telemetered LSL or </w:t>
            </w:r>
          </w:p>
          <w:p w14:paraId="4144EBC7" w14:textId="68F0921E" w:rsidR="00194E91" w:rsidRPr="003161DC" w:rsidRDefault="00194E91" w:rsidP="00194E91">
            <w:pPr>
              <w:ind w:right="-1080"/>
            </w:pPr>
            <w:r w:rsidRPr="003161DC">
              <w:t xml:space="preserve">with a telemetered status of ONTEST, </w:t>
            </w:r>
            <w:r>
              <w:t xml:space="preserve">ONHOLD, </w:t>
            </w:r>
            <w:r w:rsidRPr="003161DC">
              <w:t>STARTUP, or SHUTDOWN.</w:t>
            </w:r>
          </w:p>
          <w:p w14:paraId="42F57D33" w14:textId="4799CF7B" w:rsidR="00194E91" w:rsidRPr="003161DC" w:rsidRDefault="00147C3B" w:rsidP="002E4A29">
            <w:pPr>
              <w:ind w:right="-1080"/>
              <w:rPr>
                <w:b/>
                <w:position w:val="30"/>
                <w:sz w:val="20"/>
              </w:rPr>
            </w:pPr>
            <w:r w:rsidRPr="003161DC">
              <w:rPr>
                <w:noProof/>
              </w:rPr>
              <mc:AlternateContent>
                <mc:Choice Requires="wpc">
                  <w:drawing>
                    <wp:anchor distT="0" distB="0" distL="114300" distR="114300" simplePos="0" relativeHeight="251681792" behindDoc="0" locked="0" layoutInCell="1" allowOverlap="1" wp14:anchorId="56AFDDBB" wp14:editId="05D4AED1">
                      <wp:simplePos x="0" y="0"/>
                      <wp:positionH relativeFrom="column">
                        <wp:posOffset>478047</wp:posOffset>
                      </wp:positionH>
                      <wp:positionV relativeFrom="paragraph">
                        <wp:posOffset>-71240</wp:posOffset>
                      </wp:positionV>
                      <wp:extent cx="761365" cy="1394460"/>
                      <wp:effectExtent l="1270" t="0" r="0" b="0"/>
                      <wp:wrapNone/>
                      <wp:docPr id="3856"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68"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A72CE" w14:textId="77777777" w:rsidR="00847E53" w:rsidRDefault="00847E53" w:rsidP="00194E91">
                                    <w:r>
                                      <w:rPr>
                                        <w:rFonts w:ascii="Symbol" w:hAnsi="Symbol" w:cs="Symbol"/>
                                        <w:color w:val="000000"/>
                                        <w:sz w:val="32"/>
                                        <w:szCs w:val="32"/>
                                      </w:rPr>
                                      <w:t></w:t>
                                    </w:r>
                                  </w:p>
                                </w:txbxContent>
                              </wps:txbx>
                              <wps:bodyPr rot="0" vert="horz" wrap="square" lIns="0" tIns="0" rIns="0" bIns="0" anchor="t" anchorCtr="0" upright="1">
                                <a:noAutofit/>
                              </wps:bodyPr>
                            </wps:wsp>
                            <wps:wsp>
                              <wps:cNvPr id="3469" name="Rectangle 108"/>
                              <wps:cNvSpPr>
                                <a:spLocks noChangeArrowheads="1"/>
                              </wps:cNvSpPr>
                              <wps:spPr bwMode="auto">
                                <a:xfrm>
                                  <a:off x="90108" y="842036"/>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14D4A"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470" name="Rectangle 109"/>
                              <wps:cNvSpPr>
                                <a:spLocks noChangeArrowheads="1"/>
                              </wps:cNvSpPr>
                              <wps:spPr bwMode="auto">
                                <a:xfrm>
                                  <a:off x="40603" y="326414"/>
                                  <a:ext cx="407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0FDFD" w14:textId="77777777" w:rsidR="00847E53" w:rsidRDefault="00847E53" w:rsidP="00194E91">
                                    <w:r>
                                      <w:rPr>
                                        <w:b/>
                                        <w:bCs/>
                                        <w:i/>
                                        <w:iCs/>
                                        <w:color w:val="000000"/>
                                      </w:rPr>
                                      <w:t>WGRs</w:t>
                                    </w:r>
                                  </w:p>
                                </w:txbxContent>
                              </wps:txbx>
                              <wps:bodyPr rot="0" vert="horz" wrap="none" lIns="0" tIns="0" rIns="0" bIns="0" anchor="t" anchorCtr="0" upright="1">
                                <a:spAutoFit/>
                              </wps:bodyPr>
                            </wps:wsp>
                            <wps:wsp>
                              <wps:cNvPr id="3471" name="Rectangle 110"/>
                              <wps:cNvSpPr>
                                <a:spLocks noChangeArrowheads="1"/>
                              </wps:cNvSpPr>
                              <wps:spPr bwMode="auto">
                                <a:xfrm>
                                  <a:off x="29202" y="17140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E19BF" w14:textId="77777777" w:rsidR="00847E53" w:rsidRDefault="00847E53" w:rsidP="00194E91">
                                    <w:r>
                                      <w:rPr>
                                        <w:b/>
                                        <w:bCs/>
                                        <w:i/>
                                        <w:iCs/>
                                        <w:color w:val="000000"/>
                                      </w:rPr>
                                      <w:t>online</w:t>
                                    </w:r>
                                  </w:p>
                                </w:txbxContent>
                              </wps:txbx>
                              <wps:bodyPr rot="0" vert="horz" wrap="none" lIns="0" tIns="0" rIns="0" bIns="0" anchor="t" anchorCtr="0" upright="1">
                                <a:spAutoFit/>
                              </wps:bodyPr>
                            </wps:wsp>
                            <wps:wsp>
                              <wps:cNvPr id="3472" name="Rectangle 111"/>
                              <wps:cNvSpPr>
                                <a:spLocks noChangeArrowheads="1"/>
                              </wps:cNvSpPr>
                              <wps:spPr bwMode="auto">
                                <a:xfrm>
                                  <a:off x="74306" y="16501"/>
                                  <a:ext cx="186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6642B" w14:textId="77777777" w:rsidR="00847E53" w:rsidRDefault="00847E53" w:rsidP="00194E91">
                                    <w:r>
                                      <w:rPr>
                                        <w:b/>
                                        <w:bCs/>
                                        <w:i/>
                                        <w:iCs/>
                                        <w:color w:val="000000"/>
                                      </w:rPr>
                                      <w:t>All</w:t>
                                    </w:r>
                                  </w:p>
                                </w:txbxContent>
                              </wps:txbx>
                              <wps:bodyPr rot="0" vert="horz" wrap="none" lIns="0" tIns="0" rIns="0" bIns="0" anchor="t" anchorCtr="0" upright="1">
                                <a:spAutoFit/>
                              </wps:bodyPr>
                            </wps:wsp>
                            <wps:wsp>
                              <wps:cNvPr id="3473" name="Rectangle 112"/>
                              <wps:cNvSpPr>
                                <a:spLocks noChangeArrowheads="1"/>
                              </wps:cNvSpPr>
                              <wps:spPr bwMode="auto">
                                <a:xfrm>
                                  <a:off x="40603" y="1014744"/>
                                  <a:ext cx="3486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29DC6" w14:textId="77777777" w:rsidR="00847E53" w:rsidRDefault="00847E53" w:rsidP="00194E91">
                                    <w:r>
                                      <w:rPr>
                                        <w:b/>
                                        <w:bCs/>
                                        <w:i/>
                                        <w:iCs/>
                                        <w:color w:val="000000"/>
                                      </w:rPr>
                                      <w:t>WGR</w:t>
                                    </w:r>
                                  </w:p>
                                </w:txbxContent>
                              </wps:txbx>
                              <wps:bodyPr rot="0" vert="horz" wrap="none" lIns="0" tIns="0" rIns="0" bIns="0" anchor="t" anchorCtr="0" upright="1">
                                <a:spAutoFit/>
                              </wps:bodyPr>
                            </wps:wsp>
                            <wps:wsp>
                              <wps:cNvPr id="3474" name="Rectangle 113"/>
                              <wps:cNvSpPr>
                                <a:spLocks noChangeArrowheads="1"/>
                              </wps:cNvSpPr>
                              <wps:spPr bwMode="auto">
                                <a:xfrm>
                                  <a:off x="179115" y="85983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3042F" w14:textId="77777777" w:rsidR="00847E53" w:rsidRDefault="00847E53" w:rsidP="00194E91">
                                    <w:r>
                                      <w:rPr>
                                        <w:b/>
                                        <w:bCs/>
                                        <w:i/>
                                        <w:iCs/>
                                        <w:color w:val="000000"/>
                                      </w:rPr>
                                      <w:t>online</w:t>
                                    </w:r>
                                  </w:p>
                                </w:txbxContent>
                              </wps:txbx>
                              <wps:bodyPr rot="0" vert="horz" wrap="none" lIns="0" tIns="0" rIns="0" bIns="0" anchor="t" anchorCtr="0" upright="1">
                                <a:spAutoFit/>
                              </wps:bodyPr>
                            </wps:wsp>
                            <wps:wsp>
                              <wps:cNvPr id="3475" name="Rectangle 114"/>
                              <wps:cNvSpPr>
                                <a:spLocks noChangeArrowheads="1"/>
                              </wps:cNvSpPr>
                              <wps:spPr bwMode="auto">
                                <a:xfrm>
                                  <a:off x="31703" y="85983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1F7D1" w14:textId="77777777" w:rsidR="00847E53" w:rsidRDefault="00847E53" w:rsidP="00194E91">
                                    <w:r>
                                      <w:rPr>
                                        <w:b/>
                                        <w:bCs/>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AFDDBB" id="_x0000_s1494" editas="canvas" style="position:absolute;margin-left:37.65pt;margin-top:-5.6pt;width:59.95pt;height:109.8pt;z-index:251681792"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">
                      <v:shape id="_x0000_s1495" type="#_x0000_t75" style="position:absolute;width:7613;height:13944;visibility:visible;mso-wrap-style:square">
                        <v:fill o:detectmouseclick="t"/>
                        <v:path o:connecttype="none"/>
                      </v:shape>
                      <v:rect id="Rectangle 107" o:spid="_x0000_s1496" style="position:absolute;left:1422;top:5016;width:1359;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mewwAAAN0AAAAPAAAAZHJzL2Rvd25yZXYueG1sRE9Ni8Iw&#10;EL0L/ocwgjdNXUW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ADxpnsMAAADdAAAADwAA&#10;AAAAAAAAAAAAAAAHAgAAZHJzL2Rvd25yZXYueG1sUEsFBgAAAAADAAMAtwAAAPcCAAAAAA==&#10;" filled="f" stroked="f">
                        <v:textbox inset="0,0,0,0">
                          <w:txbxContent>
                            <w:p w14:paraId="114A72CE" w14:textId="77777777" w:rsidR="00847E53" w:rsidRDefault="00847E53" w:rsidP="00194E91">
                              <w:r>
                                <w:rPr>
                                  <w:rFonts w:ascii="Symbol" w:hAnsi="Symbol" w:cs="Symbol"/>
                                  <w:color w:val="000000"/>
                                  <w:sz w:val="32"/>
                                  <w:szCs w:val="32"/>
                                </w:rPr>
                                <w:t></w:t>
                              </w:r>
                            </w:p>
                          </w:txbxContent>
                        </v:textbox>
                      </v:rect>
                      <v:rect id="Rectangle 108" o:spid="_x0000_s1497" style="position:absolute;left:901;top:8420;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" filled="f" stroked="f">
                        <v:textbox style="mso-fit-shape-to-text:t" inset="0,0,0,0">
                          <w:txbxContent>
                            <w:p w14:paraId="0A614D4A" w14:textId="77777777" w:rsidR="00847E53" w:rsidRDefault="00847E53" w:rsidP="00194E91">
                              <w:r>
                                <w:rPr>
                                  <w:rFonts w:ascii="Symbol" w:hAnsi="Symbol" w:cs="Symbol"/>
                                  <w:color w:val="000000"/>
                                </w:rPr>
                                <w:t></w:t>
                              </w:r>
                            </w:p>
                          </w:txbxContent>
                        </v:textbox>
                      </v:rect>
                      <v:rect id="Rectangle 109" o:spid="_x0000_s1498" style="position:absolute;left:406;top:3264;width:407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" filled="f" stroked="f">
                        <v:textbox style="mso-fit-shape-to-text:t" inset="0,0,0,0">
                          <w:txbxContent>
                            <w:p w14:paraId="68F0FDFD" w14:textId="77777777" w:rsidR="00847E53" w:rsidRDefault="00847E53" w:rsidP="00194E91">
                              <w:r>
                                <w:rPr>
                                  <w:b/>
                                  <w:bCs/>
                                  <w:i/>
                                  <w:iCs/>
                                  <w:color w:val="000000"/>
                                </w:rPr>
                                <w:t>WGRs</w:t>
                              </w:r>
                            </w:p>
                          </w:txbxContent>
                        </v:textbox>
                      </v:rect>
                      <v:rect id="Rectangle 110" o:spid="_x0000_s1499" style="position:absolute;left:292;top:1714;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" filled="f" stroked="f">
                        <v:textbox style="mso-fit-shape-to-text:t" inset="0,0,0,0">
                          <w:txbxContent>
                            <w:p w14:paraId="1D8E19BF" w14:textId="77777777" w:rsidR="00847E53" w:rsidRDefault="00847E53" w:rsidP="00194E91">
                              <w:r>
                                <w:rPr>
                                  <w:b/>
                                  <w:bCs/>
                                  <w:i/>
                                  <w:iCs/>
                                  <w:color w:val="000000"/>
                                </w:rPr>
                                <w:t>online</w:t>
                              </w:r>
                            </w:p>
                          </w:txbxContent>
                        </v:textbox>
                      </v:rect>
                      <v:rect id="Rectangle 111" o:spid="_x0000_s1500" style="position:absolute;left:743;top:165;width:186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" filled="f" stroked="f">
                        <v:textbox style="mso-fit-shape-to-text:t" inset="0,0,0,0">
                          <w:txbxContent>
                            <w:p w14:paraId="5FD6642B" w14:textId="77777777" w:rsidR="00847E53" w:rsidRDefault="00847E53" w:rsidP="00194E91">
                              <w:r>
                                <w:rPr>
                                  <w:b/>
                                  <w:bCs/>
                                  <w:i/>
                                  <w:iCs/>
                                  <w:color w:val="000000"/>
                                </w:rPr>
                                <w:t>All</w:t>
                              </w:r>
                            </w:p>
                          </w:txbxContent>
                        </v:textbox>
                      </v:rect>
                      <v:rect id="Rectangle 112" o:spid="_x0000_s1501" style="position:absolute;left:406;top:10147;width:34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" filled="f" stroked="f">
                        <v:textbox style="mso-fit-shape-to-text:t" inset="0,0,0,0">
                          <w:txbxContent>
                            <w:p w14:paraId="74B29DC6" w14:textId="77777777" w:rsidR="00847E53" w:rsidRDefault="00847E53" w:rsidP="00194E91">
                              <w:r>
                                <w:rPr>
                                  <w:b/>
                                  <w:bCs/>
                                  <w:i/>
                                  <w:iCs/>
                                  <w:color w:val="000000"/>
                                </w:rPr>
                                <w:t>WGR</w:t>
                              </w:r>
                            </w:p>
                          </w:txbxContent>
                        </v:textbox>
                      </v:rect>
                      <v:rect id="Rectangle 113" o:spid="_x0000_s1502" style="position:absolute;left:1791;top:859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" filled="f" stroked="f">
                        <v:textbox style="mso-fit-shape-to-text:t" inset="0,0,0,0">
                          <w:txbxContent>
                            <w:p w14:paraId="6E13042F" w14:textId="77777777" w:rsidR="00847E53" w:rsidRDefault="00847E53" w:rsidP="00194E91">
                              <w:r>
                                <w:rPr>
                                  <w:b/>
                                  <w:bCs/>
                                  <w:i/>
                                  <w:iCs/>
                                  <w:color w:val="000000"/>
                                </w:rPr>
                                <w:t>online</w:t>
                              </w:r>
                            </w:p>
                          </w:txbxContent>
                        </v:textbox>
                      </v:rect>
                      <v:rect id="Rectangle 114" o:spid="_x0000_s1503" style="position:absolute;left:317;top:859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" filled="f" stroked="f">
                        <v:textbox style="mso-fit-shape-to-text:t" inset="0,0,0,0">
                          <w:txbxContent>
                            <w:p w14:paraId="5DF1F7D1" w14:textId="77777777" w:rsidR="00847E53" w:rsidRDefault="00847E53" w:rsidP="00194E91">
                              <w:r>
                                <w:rPr>
                                  <w:b/>
                                  <w:bCs/>
                                  <w:i/>
                                  <w:iCs/>
                                  <w:color w:val="000000"/>
                                </w:rPr>
                                <w:t>i</w:t>
                              </w:r>
                            </w:p>
                          </w:txbxContent>
                        </v:textbox>
                      </v:rect>
                    </v:group>
                  </w:pict>
                </mc:Fallback>
              </mc:AlternateContent>
            </w:r>
          </w:p>
          <w:p w14:paraId="5ED0DDA0" w14:textId="08E84C40" w:rsidR="00194E91" w:rsidRPr="003161DC" w:rsidRDefault="00194E91" w:rsidP="00194E91">
            <w:pPr>
              <w:rPr>
                <w:b/>
                <w:position w:val="30"/>
                <w:sz w:val="20"/>
              </w:rPr>
            </w:pPr>
            <w:r w:rsidRPr="003161DC">
              <w:rPr>
                <w:b/>
                <w:position w:val="30"/>
                <w:sz w:val="20"/>
              </w:rPr>
              <w:t>PRC</w:t>
            </w:r>
            <w:r w:rsidRPr="003161DC">
              <w:rPr>
                <w:b/>
                <w:position w:val="30"/>
                <w:sz w:val="20"/>
                <w:vertAlign w:val="subscript"/>
              </w:rPr>
              <w:t>2</w:t>
            </w:r>
            <w:r w:rsidRPr="003161DC">
              <w:rPr>
                <w:b/>
                <w:position w:val="30"/>
                <w:sz w:val="20"/>
              </w:rPr>
              <w:t xml:space="preserve"> =</w:t>
            </w:r>
            <w:r w:rsidRPr="003161DC">
              <w:rPr>
                <w:b/>
                <w:position w:val="30"/>
                <w:sz w:val="20"/>
              </w:rPr>
              <w:tab/>
            </w:r>
            <w:r w:rsidRPr="003161DC">
              <w:rPr>
                <w:b/>
                <w:position w:val="30"/>
                <w:sz w:val="20"/>
              </w:rPr>
              <w:tab/>
            </w:r>
            <w:r w:rsidRPr="003161DC">
              <w:rPr>
                <w:b/>
                <w:position w:val="30"/>
                <w:sz w:val="20"/>
              </w:rPr>
              <w:tab/>
              <w:t>Min(Max((RDF</w:t>
            </w:r>
            <w:r w:rsidRPr="003161DC">
              <w:rPr>
                <w:b/>
                <w:position w:val="30"/>
                <w:sz w:val="20"/>
                <w:vertAlign w:val="subscript"/>
              </w:rPr>
              <w:t>W</w:t>
            </w:r>
            <w:r w:rsidRPr="003161DC">
              <w:rPr>
                <w:b/>
                <w:position w:val="30"/>
                <w:sz w:val="20"/>
              </w:rPr>
              <w:t>*HSL – Actual Net Telemetered Output)</w:t>
            </w:r>
            <w:r w:rsidRPr="003161DC">
              <w:rPr>
                <w:b/>
                <w:position w:val="30"/>
                <w:sz w:val="20"/>
                <w:vertAlign w:val="subscript"/>
              </w:rPr>
              <w:t>i</w:t>
            </w:r>
            <w:r w:rsidRPr="003161DC">
              <w:rPr>
                <w:b/>
                <w:position w:val="30"/>
                <w:sz w:val="20"/>
              </w:rPr>
              <w:t xml:space="preserve"> , 0.0) , </w:t>
            </w:r>
            <w:r w:rsidR="00147C3B" w:rsidRPr="003161DC">
              <w:rPr>
                <w:b/>
                <w:position w:val="30"/>
                <w:sz w:val="20"/>
              </w:rPr>
              <w:tab/>
            </w:r>
            <w:r w:rsidR="00147C3B" w:rsidRPr="003161DC">
              <w:rPr>
                <w:b/>
                <w:position w:val="30"/>
                <w:sz w:val="20"/>
              </w:rPr>
              <w:tab/>
            </w:r>
            <w:r w:rsidR="00147C3B" w:rsidRPr="003161DC">
              <w:rPr>
                <w:b/>
                <w:position w:val="30"/>
                <w:sz w:val="20"/>
              </w:rPr>
              <w:tab/>
            </w:r>
            <w:r w:rsidR="00147C3B" w:rsidRPr="003161DC">
              <w:rPr>
                <w:b/>
                <w:position w:val="30"/>
                <w:sz w:val="20"/>
              </w:rPr>
              <w:tab/>
            </w:r>
            <w:r w:rsidR="00147C3B" w:rsidRPr="003161DC">
              <w:rPr>
                <w:b/>
                <w:position w:val="30"/>
                <w:sz w:val="20"/>
              </w:rPr>
              <w:tab/>
            </w:r>
            <w:r w:rsidRPr="003161DC">
              <w:rPr>
                <w:b/>
                <w:position w:val="30"/>
                <w:sz w:val="20"/>
              </w:rPr>
              <w:t>0.2*RDF</w:t>
            </w:r>
            <w:r w:rsidRPr="003161DC">
              <w:rPr>
                <w:b/>
                <w:position w:val="30"/>
                <w:sz w:val="20"/>
                <w:vertAlign w:val="subscript"/>
              </w:rPr>
              <w:t>W</w:t>
            </w:r>
            <w:r w:rsidRPr="003161DC">
              <w:rPr>
                <w:b/>
                <w:position w:val="30"/>
                <w:sz w:val="20"/>
              </w:rPr>
              <w:t>*HSL</w:t>
            </w:r>
            <w:r w:rsidRPr="003161DC">
              <w:rPr>
                <w:b/>
                <w:position w:val="30"/>
                <w:sz w:val="20"/>
                <w:vertAlign w:val="subscript"/>
              </w:rPr>
              <w:t>i</w:t>
            </w:r>
            <w:r w:rsidRPr="003161DC">
              <w:rPr>
                <w:b/>
                <w:position w:val="30"/>
                <w:sz w:val="20"/>
              </w:rPr>
              <w:t>),</w:t>
            </w:r>
          </w:p>
          <w:p w14:paraId="0DD323A3" w14:textId="77777777" w:rsidR="00194E91" w:rsidRPr="003161DC" w:rsidRDefault="00194E91" w:rsidP="00194E91">
            <w:pPr>
              <w:ind w:right="-1080" w:hanging="1080"/>
              <w:rPr>
                <w:b/>
                <w:position w:val="30"/>
              </w:rPr>
            </w:pPr>
          </w:p>
          <w:p w14:paraId="780AD5E4" w14:textId="77777777" w:rsidR="00194E91" w:rsidRPr="003161DC" w:rsidRDefault="00194E91" w:rsidP="002E4A29">
            <w:pPr>
              <w:spacing w:before="120"/>
            </w:pPr>
            <w:r w:rsidRPr="003161DC">
              <w:t>where the included On-Line WGRs only include WGRs that are Primary Frequency Response-capable.</w:t>
            </w:r>
          </w:p>
          <w:p w14:paraId="6AA6F4EE" w14:textId="3B42B7F4" w:rsidR="00194E91" w:rsidRPr="003161DC" w:rsidRDefault="00494238" w:rsidP="00194E91">
            <w:pPr>
              <w:ind w:left="2160" w:hanging="2160"/>
              <w:rPr>
                <w:b/>
                <w:position w:val="30"/>
                <w:sz w:val="20"/>
              </w:rPr>
            </w:pPr>
            <w:r>
              <w:rPr>
                <w:b/>
                <w:noProof/>
                <w:position w:val="30"/>
                <w:sz w:val="20"/>
              </w:rPr>
              <w:object w:dxaOrig="1440" w:dyaOrig="1440" w14:anchorId="37536CFD">
                <v:shape id="_x0000_s5121" type="#_x0000_t75" style="position:absolute;left:0;text-align:left;margin-left:34.1pt;margin-top:-1.7pt;width:67.85pt;height:110.1pt;z-index:251677696" fillcolor="red" strokecolor="red">
                  <v:fill opacity="13107f" color2="fill darken(118)" o:opacity2="13107f" rotate="t" method="linear sigma" focus="100%" type="gradient"/>
                  <v:imagedata r:id="rId15" o:title=""/>
                </v:shape>
                <o:OLEObject Type="Embed" ProgID="Equation.3" ShapeID="_x0000_s5121" DrawAspect="Content" ObjectID="_1815025652" r:id="rId19"/>
              </w:object>
            </w:r>
            <w:r w:rsidR="00194E91" w:rsidRPr="003161DC">
              <w:rPr>
                <w:b/>
                <w:position w:val="30"/>
                <w:sz w:val="20"/>
              </w:rPr>
              <w:t>PRC</w:t>
            </w:r>
            <w:r w:rsidR="00194E91" w:rsidRPr="003161DC">
              <w:rPr>
                <w:b/>
                <w:position w:val="30"/>
                <w:sz w:val="20"/>
                <w:vertAlign w:val="subscript"/>
              </w:rPr>
              <w:t>3</w:t>
            </w:r>
            <w:r w:rsidR="00194E91" w:rsidRPr="003161DC">
              <w:rPr>
                <w:b/>
                <w:position w:val="30"/>
                <w:sz w:val="20"/>
              </w:rPr>
              <w:t xml:space="preserve"> =</w:t>
            </w:r>
            <w:r w:rsidR="00194E91" w:rsidRPr="003161DC">
              <w:rPr>
                <w:b/>
                <w:position w:val="30"/>
                <w:sz w:val="20"/>
              </w:rPr>
              <w:tab/>
            </w:r>
            <w:r w:rsidR="00147C3B" w:rsidRPr="003161DC">
              <w:rPr>
                <w:b/>
                <w:position w:val="30"/>
                <w:sz w:val="20"/>
              </w:rPr>
              <w:t>((Synchronous condenser output)</w:t>
            </w:r>
            <w:r w:rsidR="00147C3B" w:rsidRPr="003161DC">
              <w:rPr>
                <w:b/>
                <w:position w:val="30"/>
                <w:sz w:val="20"/>
                <w:vertAlign w:val="subscript"/>
              </w:rPr>
              <w:t>i</w:t>
            </w:r>
            <w:r w:rsidR="00147C3B" w:rsidRPr="003161DC">
              <w:rPr>
                <w:b/>
                <w:position w:val="30"/>
                <w:sz w:val="20"/>
              </w:rPr>
              <w:t xml:space="preserve"> as qualified by item (8) of Operating Guide Section 2.3.1.2, Additional Operational Details for Responsive Reserve and ERCOT Contingency Reserve Service Providers))</w:t>
            </w:r>
          </w:p>
          <w:p w14:paraId="251D1C68" w14:textId="77777777" w:rsidR="00CB3F90" w:rsidRDefault="00CB3F90" w:rsidP="00194E91">
            <w:pPr>
              <w:tabs>
                <w:tab w:val="left" w:pos="2160"/>
              </w:tabs>
              <w:spacing w:before="480"/>
              <w:ind w:left="2160" w:hanging="2160"/>
              <w:rPr>
                <w:b/>
                <w:position w:val="30"/>
                <w:sz w:val="20"/>
              </w:rPr>
            </w:pPr>
          </w:p>
          <w:p w14:paraId="6759EC89" w14:textId="0997F19F" w:rsidR="00194E91" w:rsidRPr="003161DC" w:rsidRDefault="00194E91" w:rsidP="00194E91">
            <w:pPr>
              <w:tabs>
                <w:tab w:val="left" w:pos="2160"/>
              </w:tabs>
              <w:spacing w:before="480"/>
              <w:ind w:left="2160" w:hanging="2160"/>
              <w:rPr>
                <w:b/>
                <w:position w:val="30"/>
                <w:sz w:val="20"/>
                <w:vertAlign w:val="subscript"/>
              </w:rPr>
            </w:pPr>
            <w:r w:rsidRPr="003161DC">
              <w:rPr>
                <w:noProof/>
              </w:rPr>
              <mc:AlternateContent>
                <mc:Choice Requires="wpc">
                  <w:drawing>
                    <wp:anchor distT="0" distB="0" distL="114300" distR="114300" simplePos="0" relativeHeight="251678720" behindDoc="0" locked="0" layoutInCell="1" allowOverlap="1" wp14:anchorId="562C8524" wp14:editId="04FC90E5">
                      <wp:simplePos x="0" y="0"/>
                      <wp:positionH relativeFrom="column">
                        <wp:posOffset>483870</wp:posOffset>
                      </wp:positionH>
                      <wp:positionV relativeFrom="paragraph">
                        <wp:posOffset>43815</wp:posOffset>
                      </wp:positionV>
                      <wp:extent cx="721360" cy="1369060"/>
                      <wp:effectExtent l="0" t="0" r="4445" b="0"/>
                      <wp:wrapNone/>
                      <wp:docPr id="3857"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76" name="Rectangle 71"/>
                              <wps:cNvSpPr>
                                <a:spLocks noChangeArrowheads="1"/>
                              </wps:cNvSpPr>
                              <wps:spPr bwMode="auto">
                                <a:xfrm>
                                  <a:off x="174615" y="60958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5C100" w14:textId="77777777" w:rsidR="00847E53" w:rsidRPr="00B074A0" w:rsidRDefault="00847E53" w:rsidP="00194E91">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3477" name="Rectangle 72"/>
                              <wps:cNvSpPr>
                                <a:spLocks noChangeArrowheads="1"/>
                              </wps:cNvSpPr>
                              <wps:spPr bwMode="auto">
                                <a:xfrm>
                                  <a:off x="101608"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F3C45"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478" name="Rectangle 73"/>
                              <wps:cNvSpPr>
                                <a:spLocks noChangeArrowheads="1"/>
                              </wps:cNvSpPr>
                              <wps:spPr bwMode="auto">
                                <a:xfrm>
                                  <a:off x="35603" y="424188"/>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3E7D8" w14:textId="77777777" w:rsidR="00847E53" w:rsidRPr="00B34B0A" w:rsidRDefault="00847E53" w:rsidP="00194E91">
                                    <w:pPr>
                                      <w:rPr>
                                        <w:b/>
                                      </w:rPr>
                                    </w:pPr>
                                    <w:r w:rsidRPr="00B34B0A">
                                      <w:rPr>
                                        <w:b/>
                                        <w:i/>
                                        <w:iCs/>
                                        <w:color w:val="000000"/>
                                      </w:rPr>
                                      <w:t>resources</w:t>
                                    </w:r>
                                  </w:p>
                                </w:txbxContent>
                              </wps:txbx>
                              <wps:bodyPr rot="0" vert="horz" wrap="none" lIns="0" tIns="0" rIns="0" bIns="0" anchor="t" anchorCtr="0" upright="1">
                                <a:spAutoFit/>
                              </wps:bodyPr>
                            </wps:wsp>
                            <wps:wsp>
                              <wps:cNvPr id="3479" name="Rectangle 74"/>
                              <wps:cNvSpPr>
                                <a:spLocks noChangeArrowheads="1"/>
                              </wps:cNvSpPr>
                              <wps:spPr bwMode="auto">
                                <a:xfrm>
                                  <a:off x="31703" y="290192"/>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AA0B8"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480" name="Rectangle 75"/>
                              <wps:cNvSpPr>
                                <a:spLocks noChangeArrowheads="1"/>
                              </wps:cNvSpPr>
                              <wps:spPr bwMode="auto">
                                <a:xfrm>
                                  <a:off x="33703" y="15619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0E433"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481"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299F8" w14:textId="77777777" w:rsidR="00847E53" w:rsidRPr="00B34B0A" w:rsidRDefault="00847E53" w:rsidP="00194E91">
                                    <w:pPr>
                                      <w:rPr>
                                        <w:b/>
                                      </w:rPr>
                                    </w:pPr>
                                    <w:r w:rsidRPr="00B34B0A">
                                      <w:rPr>
                                        <w:b/>
                                        <w:i/>
                                        <w:iCs/>
                                        <w:color w:val="000000"/>
                                      </w:rPr>
                                      <w:t>All</w:t>
                                    </w:r>
                                  </w:p>
                                </w:txbxContent>
                              </wps:txbx>
                              <wps:bodyPr rot="0" vert="horz" wrap="square" lIns="0" tIns="0" rIns="0" bIns="0" anchor="t" anchorCtr="0" upright="1">
                                <a:spAutoFit/>
                              </wps:bodyPr>
                            </wps:wsp>
                            <wps:wsp>
                              <wps:cNvPr id="3482" name="Rectangle 77"/>
                              <wps:cNvSpPr>
                                <a:spLocks noChangeArrowheads="1"/>
                              </wps:cNvSpPr>
                              <wps:spPr bwMode="auto">
                                <a:xfrm>
                                  <a:off x="62905" y="1153766"/>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58AAA" w14:textId="77777777" w:rsidR="00847E53" w:rsidRPr="00B34B0A" w:rsidRDefault="00847E53" w:rsidP="00194E91">
                                    <w:pPr>
                                      <w:rPr>
                                        <w:b/>
                                      </w:rPr>
                                    </w:pPr>
                                    <w:r w:rsidRPr="00B34B0A">
                                      <w:rPr>
                                        <w:b/>
                                        <w:i/>
                                        <w:iCs/>
                                        <w:color w:val="000000"/>
                                      </w:rPr>
                                      <w:t>resource</w:t>
                                    </w:r>
                                  </w:p>
                                </w:txbxContent>
                              </wps:txbx>
                              <wps:bodyPr rot="0" vert="horz" wrap="none" lIns="0" tIns="0" rIns="0" bIns="0" anchor="t" anchorCtr="0" upright="1">
                                <a:spAutoFit/>
                              </wps:bodyPr>
                            </wps:wsp>
                            <wps:wsp>
                              <wps:cNvPr id="3483" name="Rectangle 78"/>
                              <wps:cNvSpPr>
                                <a:spLocks noChangeArrowheads="1"/>
                              </wps:cNvSpPr>
                              <wps:spPr bwMode="auto">
                                <a:xfrm>
                                  <a:off x="58405" y="10197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1C6ED"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484" name="Rectangle 79"/>
                              <wps:cNvSpPr>
                                <a:spLocks noChangeArrowheads="1"/>
                              </wps:cNvSpPr>
                              <wps:spPr bwMode="auto">
                                <a:xfrm>
                                  <a:off x="174615"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162F6"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485" name="Rectangle 80"/>
                              <wps:cNvSpPr>
                                <a:spLocks noChangeArrowheads="1"/>
                              </wps:cNvSpPr>
                              <wps:spPr bwMode="auto">
                                <a:xfrm>
                                  <a:off x="58405"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6EA7E" w14:textId="77777777" w:rsidR="00847E53" w:rsidRPr="00B34B0A" w:rsidRDefault="00847E53"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2C8524" id="_x0000_s1504" editas="canvas" style="position:absolute;left:0;text-align:left;margin-left:38.1pt;margin-top:3.45pt;width:56.8pt;height:107.8pt;z-index:251678720"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">
                      <v:shape id="_x0000_s1505" type="#_x0000_t75" style="position:absolute;width:7213;height:13690;visibility:visible;mso-wrap-style:square">
                        <v:fill o:detectmouseclick="t"/>
                        <v:path o:connecttype="none"/>
                      </v:shape>
                      <v:rect id="Rectangle 71" o:spid="_x0000_s1506" style="position:absolute;left:1746;top:6095;width:1454;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" filled="f" stroked="f">
                        <v:textbox style="mso-fit-shape-to-text:t" inset="0,0,0,0">
                          <w:txbxContent>
                            <w:p w14:paraId="3A85C100" w14:textId="77777777" w:rsidR="00847E53" w:rsidRPr="00B074A0" w:rsidRDefault="00847E53" w:rsidP="00194E91">
                              <w:pPr>
                                <w:rPr>
                                  <w:sz w:val="32"/>
                                  <w:szCs w:val="32"/>
                                </w:rPr>
                              </w:pPr>
                              <w:r w:rsidRPr="00B074A0">
                                <w:rPr>
                                  <w:rFonts w:ascii="Symbol" w:hAnsi="Symbol" w:cs="Symbol"/>
                                  <w:color w:val="000000"/>
                                  <w:sz w:val="32"/>
                                  <w:szCs w:val="32"/>
                                </w:rPr>
                                <w:t></w:t>
                              </w:r>
                            </w:p>
                          </w:txbxContent>
                        </v:textbox>
                      </v:rect>
                      <v:rect id="Rectangle 72" o:spid="_x0000_s1507"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" filled="f" stroked="f">
                        <v:textbox style="mso-fit-shape-to-text:t" inset="0,0,0,0">
                          <w:txbxContent>
                            <w:p w14:paraId="098F3C45" w14:textId="77777777" w:rsidR="00847E53" w:rsidRDefault="00847E53" w:rsidP="00194E91">
                              <w:r>
                                <w:rPr>
                                  <w:rFonts w:ascii="Symbol" w:hAnsi="Symbol" w:cs="Symbol"/>
                                  <w:color w:val="000000"/>
                                </w:rPr>
                                <w:t></w:t>
                              </w:r>
                            </w:p>
                          </w:txbxContent>
                        </v:textbox>
                      </v:rect>
                      <v:rect id="Rectangle 73" o:spid="_x0000_s1508" style="position:absolute;left:356;top:4241;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" filled="f" stroked="f">
                        <v:textbox style="mso-fit-shape-to-text:t" inset="0,0,0,0">
                          <w:txbxContent>
                            <w:p w14:paraId="6533E7D8" w14:textId="77777777" w:rsidR="00847E53" w:rsidRPr="00B34B0A" w:rsidRDefault="00847E53" w:rsidP="00194E91">
                              <w:pPr>
                                <w:rPr>
                                  <w:b/>
                                </w:rPr>
                              </w:pPr>
                              <w:r w:rsidRPr="00B34B0A">
                                <w:rPr>
                                  <w:b/>
                                  <w:i/>
                                  <w:iCs/>
                                  <w:color w:val="000000"/>
                                </w:rPr>
                                <w:t>resources</w:t>
                              </w:r>
                            </w:p>
                          </w:txbxContent>
                        </v:textbox>
                      </v:rect>
                      <v:rect id="Rectangle 74" o:spid="_x0000_s1509" style="position:absolute;left:317;top:2901;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" filled="f" stroked="f">
                        <v:textbox style="mso-fit-shape-to-text:t" inset="0,0,0,0">
                          <w:txbxContent>
                            <w:p w14:paraId="53CAA0B8" w14:textId="77777777" w:rsidR="00847E53" w:rsidRPr="00B34B0A" w:rsidRDefault="00847E53" w:rsidP="00194E91">
                              <w:pPr>
                                <w:rPr>
                                  <w:b/>
                                </w:rPr>
                              </w:pPr>
                              <w:r w:rsidRPr="00B34B0A">
                                <w:rPr>
                                  <w:b/>
                                  <w:i/>
                                  <w:iCs/>
                                  <w:color w:val="000000"/>
                                </w:rPr>
                                <w:t>load</w:t>
                              </w:r>
                            </w:p>
                          </w:txbxContent>
                        </v:textbox>
                      </v:rect>
                      <v:rect id="Rectangle 75" o:spid="_x0000_s1510" style="position:absolute;left:337;top:1561;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" filled="f" stroked="f">
                        <v:textbox style="mso-fit-shape-to-text:t" inset="0,0,0,0">
                          <w:txbxContent>
                            <w:p w14:paraId="3E20E433" w14:textId="77777777" w:rsidR="00847E53" w:rsidRPr="00B34B0A" w:rsidRDefault="00847E53" w:rsidP="00194E91">
                              <w:pPr>
                                <w:rPr>
                                  <w:b/>
                                </w:rPr>
                              </w:pPr>
                              <w:r w:rsidRPr="00B34B0A">
                                <w:rPr>
                                  <w:b/>
                                  <w:i/>
                                  <w:iCs/>
                                  <w:color w:val="000000"/>
                                </w:rPr>
                                <w:t>online</w:t>
                              </w:r>
                            </w:p>
                          </w:txbxContent>
                        </v:textbox>
                      </v:rect>
                      <v:rect id="Rectangle 76" o:spid="_x0000_s1511" style="position:absolute;left:457;top:221;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" filled="f" stroked="f">
                        <v:textbox style="mso-fit-shape-to-text:t" inset="0,0,0,0">
                          <w:txbxContent>
                            <w:p w14:paraId="27B299F8" w14:textId="77777777" w:rsidR="00847E53" w:rsidRPr="00B34B0A" w:rsidRDefault="00847E53" w:rsidP="00194E91">
                              <w:pPr>
                                <w:rPr>
                                  <w:b/>
                                </w:rPr>
                              </w:pPr>
                              <w:r w:rsidRPr="00B34B0A">
                                <w:rPr>
                                  <w:b/>
                                  <w:i/>
                                  <w:iCs/>
                                  <w:color w:val="000000"/>
                                </w:rPr>
                                <w:t>All</w:t>
                              </w:r>
                            </w:p>
                          </w:txbxContent>
                        </v:textbox>
                      </v:rect>
                      <v:rect id="Rectangle 77" o:spid="_x0000_s1512" style="position:absolute;left:629;top:11537;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" filled="f" stroked="f">
                        <v:textbox style="mso-fit-shape-to-text:t" inset="0,0,0,0">
                          <w:txbxContent>
                            <w:p w14:paraId="14958AAA" w14:textId="77777777" w:rsidR="00847E53" w:rsidRPr="00B34B0A" w:rsidRDefault="00847E53" w:rsidP="00194E91">
                              <w:pPr>
                                <w:rPr>
                                  <w:b/>
                                </w:rPr>
                              </w:pPr>
                              <w:r w:rsidRPr="00B34B0A">
                                <w:rPr>
                                  <w:b/>
                                  <w:i/>
                                  <w:iCs/>
                                  <w:color w:val="000000"/>
                                </w:rPr>
                                <w:t>resource</w:t>
                              </w:r>
                            </w:p>
                          </w:txbxContent>
                        </v:textbox>
                      </v:rect>
                      <v:rect id="Rectangle 78" o:spid="_x0000_s1513" style="position:absolute;left:584;top:10197;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" filled="f" stroked="f">
                        <v:textbox style="mso-fit-shape-to-text:t" inset="0,0,0,0">
                          <w:txbxContent>
                            <w:p w14:paraId="2B51C6ED" w14:textId="77777777" w:rsidR="00847E53" w:rsidRPr="00B34B0A" w:rsidRDefault="00847E53" w:rsidP="00194E91">
                              <w:pPr>
                                <w:rPr>
                                  <w:b/>
                                </w:rPr>
                              </w:pPr>
                              <w:r w:rsidRPr="00B34B0A">
                                <w:rPr>
                                  <w:b/>
                                  <w:i/>
                                  <w:iCs/>
                                  <w:color w:val="000000"/>
                                </w:rPr>
                                <w:t>load</w:t>
                              </w:r>
                            </w:p>
                          </w:txbxContent>
                        </v:textbox>
                      </v:rect>
                      <v:rect id="Rectangle 79" o:spid="_x0000_s1514"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" filled="f" stroked="f">
                        <v:textbox style="mso-fit-shape-to-text:t" inset="0,0,0,0">
                          <w:txbxContent>
                            <w:p w14:paraId="40D162F6" w14:textId="77777777" w:rsidR="00847E53" w:rsidRPr="00B34B0A" w:rsidRDefault="00847E53" w:rsidP="00194E91">
                              <w:pPr>
                                <w:rPr>
                                  <w:b/>
                                </w:rPr>
                              </w:pPr>
                              <w:r w:rsidRPr="00B34B0A">
                                <w:rPr>
                                  <w:b/>
                                  <w:i/>
                                  <w:iCs/>
                                  <w:color w:val="000000"/>
                                </w:rPr>
                                <w:t>online</w:t>
                              </w:r>
                            </w:p>
                          </w:txbxContent>
                        </v:textbox>
                      </v:rect>
                      <v:rect id="Rectangle 80" o:spid="_x0000_s1515"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" filled="f" stroked="f">
                        <v:textbox style="mso-fit-shape-to-text:t" inset="0,0,0,0">
                          <w:txbxContent>
                            <w:p w14:paraId="7586EA7E" w14:textId="77777777" w:rsidR="00847E53" w:rsidRPr="00B34B0A" w:rsidRDefault="00847E53" w:rsidP="00194E91">
                              <w:pPr>
                                <w:rPr>
                                  <w:b/>
                                </w:rPr>
                              </w:pPr>
                              <w:r w:rsidRPr="00B34B0A">
                                <w:rPr>
                                  <w:b/>
                                  <w:i/>
                                  <w:iCs/>
                                  <w:color w:val="000000"/>
                                </w:rPr>
                                <w:t>i</w:t>
                              </w:r>
                            </w:p>
                          </w:txbxContent>
                        </v:textbox>
                      </v:rect>
                    </v:group>
                  </w:pict>
                </mc:Fallback>
              </mc:AlternateContent>
            </w:r>
            <w:r w:rsidRPr="003161DC">
              <w:rPr>
                <w:b/>
                <w:position w:val="30"/>
                <w:sz w:val="20"/>
              </w:rPr>
              <w:t>PRC</w:t>
            </w:r>
            <w:r w:rsidRPr="003161DC">
              <w:rPr>
                <w:b/>
                <w:position w:val="30"/>
                <w:sz w:val="20"/>
                <w:vertAlign w:val="subscript"/>
              </w:rPr>
              <w:t>4</w:t>
            </w:r>
            <w:r w:rsidRPr="003161DC">
              <w:rPr>
                <w:b/>
                <w:position w:val="30"/>
                <w:sz w:val="20"/>
              </w:rPr>
              <w:t xml:space="preserve"> =</w:t>
            </w:r>
            <w:r w:rsidRPr="003161DC">
              <w:rPr>
                <w:b/>
                <w:position w:val="30"/>
                <w:sz w:val="20"/>
              </w:rPr>
              <w:tab/>
            </w:r>
            <w:r w:rsidR="00147C3B" w:rsidRPr="003161DC">
              <w:rPr>
                <w:b/>
                <w:position w:val="30"/>
                <w:sz w:val="20"/>
              </w:rPr>
              <w:t xml:space="preserve">(Min(Max((Actual Net Telemetered Consumption – LPC), 0.0), ECRS and RRS Ancillary Service Resource </w:t>
            </w:r>
            <w:r w:rsidR="00147C3B">
              <w:rPr>
                <w:b/>
                <w:position w:val="30"/>
                <w:sz w:val="20"/>
              </w:rPr>
              <w:t>award</w:t>
            </w:r>
            <w:r w:rsidR="00147C3B" w:rsidRPr="003161DC">
              <w:rPr>
                <w:b/>
                <w:position w:val="30"/>
                <w:sz w:val="20"/>
              </w:rPr>
              <w:t xml:space="preserve"> * 1.5) from all Load Resources controlled by high-set under</w:t>
            </w:r>
            <w:r w:rsidR="00147C3B">
              <w:rPr>
                <w:b/>
                <w:position w:val="30"/>
                <w:sz w:val="20"/>
              </w:rPr>
              <w:t>-</w:t>
            </w:r>
            <w:r w:rsidR="00147C3B" w:rsidRPr="003161DC">
              <w:rPr>
                <w:b/>
                <w:position w:val="30"/>
                <w:sz w:val="20"/>
              </w:rPr>
              <w:t xml:space="preserve">frequency relays </w:t>
            </w:r>
            <w:r w:rsidR="00147C3B">
              <w:rPr>
                <w:b/>
                <w:position w:val="30"/>
                <w:sz w:val="20"/>
              </w:rPr>
              <w:t>with</w:t>
            </w:r>
            <w:r w:rsidR="00147C3B" w:rsidRPr="003161DC">
              <w:rPr>
                <w:b/>
                <w:position w:val="30"/>
                <w:sz w:val="20"/>
              </w:rPr>
              <w:t xml:space="preserve"> an ECRS and/or RRS Ancillary Service Resource </w:t>
            </w:r>
            <w:r w:rsidR="00147C3B">
              <w:rPr>
                <w:b/>
                <w:position w:val="30"/>
                <w:sz w:val="20"/>
              </w:rPr>
              <w:t>award</w:t>
            </w:r>
            <w:r w:rsidR="00147C3B" w:rsidRPr="003161DC">
              <w:rPr>
                <w:b/>
                <w:position w:val="30"/>
                <w:sz w:val="20"/>
              </w:rPr>
              <w:t>)</w:t>
            </w:r>
            <w:r w:rsidR="00147C3B" w:rsidRPr="003161DC">
              <w:rPr>
                <w:b/>
                <w:position w:val="30"/>
                <w:sz w:val="20"/>
                <w:vertAlign w:val="subscript"/>
              </w:rPr>
              <w:t>i</w:t>
            </w:r>
          </w:p>
          <w:p w14:paraId="748F7931" w14:textId="289B5A94" w:rsidR="00194E91" w:rsidRPr="003161DC" w:rsidRDefault="00194E91" w:rsidP="00194E91">
            <w:pPr>
              <w:tabs>
                <w:tab w:val="left" w:pos="2160"/>
              </w:tabs>
              <w:spacing w:before="480"/>
              <w:ind w:left="2160" w:hanging="2160"/>
              <w:rPr>
                <w:b/>
                <w:position w:val="30"/>
                <w:sz w:val="20"/>
              </w:rPr>
            </w:pPr>
            <w:r w:rsidRPr="003161DC">
              <w:rPr>
                <w:noProof/>
              </w:rPr>
              <mc:AlternateContent>
                <mc:Choice Requires="wpc">
                  <w:drawing>
                    <wp:anchor distT="0" distB="0" distL="114300" distR="114300" simplePos="0" relativeHeight="251679744" behindDoc="0" locked="0" layoutInCell="1" allowOverlap="1" wp14:anchorId="0D1CB5D4" wp14:editId="21784A5A">
                      <wp:simplePos x="0" y="0"/>
                      <wp:positionH relativeFrom="column">
                        <wp:posOffset>494072</wp:posOffset>
                      </wp:positionH>
                      <wp:positionV relativeFrom="paragraph">
                        <wp:posOffset>31363</wp:posOffset>
                      </wp:positionV>
                      <wp:extent cx="737235" cy="1360805"/>
                      <wp:effectExtent l="0" t="0" r="0" b="1270"/>
                      <wp:wrapNone/>
                      <wp:docPr id="3859"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60" name="Rectangle 83"/>
                              <wps:cNvSpPr>
                                <a:spLocks noChangeArrowheads="1"/>
                              </wps:cNvSpPr>
                              <wps:spPr bwMode="auto">
                                <a:xfrm>
                                  <a:off x="171408" y="63690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0D0D4" w14:textId="77777777" w:rsidR="00847E53" w:rsidRPr="00B074A0" w:rsidRDefault="00847E53" w:rsidP="00194E91">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3561" name="Rectangle 84"/>
                              <wps:cNvSpPr>
                                <a:spLocks noChangeArrowheads="1"/>
                              </wps:cNvSpPr>
                              <wps:spPr bwMode="auto">
                                <a:xfrm>
                                  <a:off x="101605" y="871203"/>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5FE13"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562" name="Rectangle 85"/>
                              <wps:cNvSpPr>
                                <a:spLocks noChangeArrowheads="1"/>
                              </wps:cNvSpPr>
                              <wps:spPr bwMode="auto">
                                <a:xfrm>
                                  <a:off x="35602" y="424202"/>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C0876" w14:textId="77777777" w:rsidR="00847E53" w:rsidRPr="00B34B0A" w:rsidRDefault="00847E53" w:rsidP="00194E91">
                                    <w:pPr>
                                      <w:rPr>
                                        <w:b/>
                                      </w:rPr>
                                    </w:pPr>
                                    <w:r w:rsidRPr="00B34B0A">
                                      <w:rPr>
                                        <w:b/>
                                        <w:i/>
                                        <w:iCs/>
                                        <w:color w:val="000000"/>
                                      </w:rPr>
                                      <w:t>resources</w:t>
                                    </w:r>
                                  </w:p>
                                </w:txbxContent>
                              </wps:txbx>
                              <wps:bodyPr rot="0" vert="horz" wrap="none" lIns="0" tIns="0" rIns="0" bIns="0" anchor="t" anchorCtr="0" upright="1">
                                <a:spAutoFit/>
                              </wps:bodyPr>
                            </wps:wsp>
                            <wps:wsp>
                              <wps:cNvPr id="3563" name="Rectangle 86"/>
                              <wps:cNvSpPr>
                                <a:spLocks noChangeArrowheads="1"/>
                              </wps:cNvSpPr>
                              <wps:spPr bwMode="auto">
                                <a:xfrm>
                                  <a:off x="31702" y="290201"/>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50C1A"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595" name="Rectangle 87"/>
                              <wps:cNvSpPr>
                                <a:spLocks noChangeArrowheads="1"/>
                              </wps:cNvSpPr>
                              <wps:spPr bwMode="auto">
                                <a:xfrm>
                                  <a:off x="33702" y="156201"/>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D7439"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596" name="Rectangle 88"/>
                              <wps:cNvSpPr>
                                <a:spLocks noChangeArrowheads="1"/>
                              </wps:cNvSpPr>
                              <wps:spPr bwMode="auto">
                                <a:xfrm>
                                  <a:off x="45702" y="2220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5F972" w14:textId="77777777" w:rsidR="00847E53" w:rsidRPr="00B34B0A" w:rsidRDefault="00847E53" w:rsidP="00194E91">
                                    <w:pPr>
                                      <w:rPr>
                                        <w:b/>
                                      </w:rPr>
                                    </w:pPr>
                                    <w:r w:rsidRPr="00B34B0A">
                                      <w:rPr>
                                        <w:b/>
                                        <w:i/>
                                        <w:iCs/>
                                        <w:color w:val="000000"/>
                                      </w:rPr>
                                      <w:t>All</w:t>
                                    </w:r>
                                  </w:p>
                                </w:txbxContent>
                              </wps:txbx>
                              <wps:bodyPr rot="0" vert="horz" wrap="square" lIns="0" tIns="0" rIns="0" bIns="0" anchor="t" anchorCtr="0" upright="1">
                                <a:spAutoFit/>
                              </wps:bodyPr>
                            </wps:wsp>
                            <wps:wsp>
                              <wps:cNvPr id="3597" name="Rectangle 89"/>
                              <wps:cNvSpPr>
                                <a:spLocks noChangeArrowheads="1"/>
                              </wps:cNvSpPr>
                              <wps:spPr bwMode="auto">
                                <a:xfrm>
                                  <a:off x="62903" y="1153804"/>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D5EA1" w14:textId="77777777" w:rsidR="00847E53" w:rsidRPr="00B34B0A" w:rsidRDefault="00847E53" w:rsidP="00194E91">
                                    <w:pPr>
                                      <w:rPr>
                                        <w:b/>
                                      </w:rPr>
                                    </w:pPr>
                                    <w:r w:rsidRPr="00B34B0A">
                                      <w:rPr>
                                        <w:b/>
                                        <w:i/>
                                        <w:iCs/>
                                        <w:color w:val="000000"/>
                                      </w:rPr>
                                      <w:t>resource</w:t>
                                    </w:r>
                                  </w:p>
                                </w:txbxContent>
                              </wps:txbx>
                              <wps:bodyPr rot="0" vert="horz" wrap="none" lIns="0" tIns="0" rIns="0" bIns="0" anchor="t" anchorCtr="0" upright="1">
                                <a:spAutoFit/>
                              </wps:bodyPr>
                            </wps:wsp>
                            <wps:wsp>
                              <wps:cNvPr id="3598" name="Rectangle 90"/>
                              <wps:cNvSpPr>
                                <a:spLocks noChangeArrowheads="1"/>
                              </wps:cNvSpPr>
                              <wps:spPr bwMode="auto">
                                <a:xfrm>
                                  <a:off x="58403" y="1019804"/>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B402C"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599" name="Rectangle 91"/>
                              <wps:cNvSpPr>
                                <a:spLocks noChangeArrowheads="1"/>
                              </wps:cNvSpPr>
                              <wps:spPr bwMode="auto">
                                <a:xfrm>
                                  <a:off x="174608" y="885803"/>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AE9D0"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600" name="Rectangle 92"/>
                              <wps:cNvSpPr>
                                <a:spLocks noChangeArrowheads="1"/>
                              </wps:cNvSpPr>
                              <wps:spPr bwMode="auto">
                                <a:xfrm>
                                  <a:off x="58403" y="885803"/>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7C6F8" w14:textId="77777777" w:rsidR="00847E53" w:rsidRPr="00B34B0A" w:rsidRDefault="00847E53"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D1CB5D4" id="_x0000_s1516" editas="canvas" style="position:absolute;left:0;text-align:left;margin-left:38.9pt;margin-top:2.45pt;width:58.05pt;height:107.15pt;z-index:251679744"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">
                      <v:shape id="_x0000_s1517" type="#_x0000_t75" style="position:absolute;width:7372;height:13608;visibility:visible;mso-wrap-style:square">
                        <v:fill o:detectmouseclick="t"/>
                        <v:path o:connecttype="none"/>
                      </v:shape>
                      <v:rect id="Rectangle 83" o:spid="_x0000_s1518" style="position:absolute;left:1714;top:6369;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" filled="f" stroked="f">
                        <v:textbox style="mso-fit-shape-to-text:t" inset="0,0,0,0">
                          <w:txbxContent>
                            <w:p w14:paraId="5660D0D4" w14:textId="77777777" w:rsidR="00847E53" w:rsidRPr="00B074A0" w:rsidRDefault="00847E53" w:rsidP="00194E91">
                              <w:pPr>
                                <w:rPr>
                                  <w:sz w:val="32"/>
                                  <w:szCs w:val="32"/>
                                </w:rPr>
                              </w:pPr>
                              <w:r w:rsidRPr="00B074A0">
                                <w:rPr>
                                  <w:rFonts w:ascii="Symbol" w:hAnsi="Symbol" w:cs="Symbol"/>
                                  <w:color w:val="000000"/>
                                  <w:sz w:val="32"/>
                                  <w:szCs w:val="32"/>
                                </w:rPr>
                                <w:t></w:t>
                              </w:r>
                            </w:p>
                          </w:txbxContent>
                        </v:textbox>
                      </v:rect>
                      <v:rect id="Rectangle 84" o:spid="_x0000_s1519" style="position:absolute;left:1016;top:8712;width:838;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" filled="f" stroked="f">
                        <v:textbox style="mso-fit-shape-to-text:t" inset="0,0,0,0">
                          <w:txbxContent>
                            <w:p w14:paraId="17C5FE13" w14:textId="77777777" w:rsidR="00847E53" w:rsidRDefault="00847E53" w:rsidP="00194E91">
                              <w:r>
                                <w:rPr>
                                  <w:rFonts w:ascii="Symbol" w:hAnsi="Symbol" w:cs="Symbol"/>
                                  <w:color w:val="000000"/>
                                </w:rPr>
                                <w:t></w:t>
                              </w:r>
                            </w:p>
                          </w:txbxContent>
                        </v:textbox>
                      </v:rect>
                      <v:rect id="Rectangle 85" o:spid="_x0000_s1520" style="position:absolute;left:356;top:4242;width:601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" filled="f" stroked="f">
                        <v:textbox style="mso-fit-shape-to-text:t" inset="0,0,0,0">
                          <w:txbxContent>
                            <w:p w14:paraId="19FC0876" w14:textId="77777777" w:rsidR="00847E53" w:rsidRPr="00B34B0A" w:rsidRDefault="00847E53" w:rsidP="00194E91">
                              <w:pPr>
                                <w:rPr>
                                  <w:b/>
                                </w:rPr>
                              </w:pPr>
                              <w:r w:rsidRPr="00B34B0A">
                                <w:rPr>
                                  <w:b/>
                                  <w:i/>
                                  <w:iCs/>
                                  <w:color w:val="000000"/>
                                </w:rPr>
                                <w:t>resources</w:t>
                              </w:r>
                            </w:p>
                          </w:txbxContent>
                        </v:textbox>
                      </v:rect>
                      <v:rect id="Rectangle 86" o:spid="_x0000_s1521" style="position:absolute;left:317;top:2902;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" filled="f" stroked="f">
                        <v:textbox style="mso-fit-shape-to-text:t" inset="0,0,0,0">
                          <w:txbxContent>
                            <w:p w14:paraId="6A850C1A" w14:textId="77777777" w:rsidR="00847E53" w:rsidRPr="00B34B0A" w:rsidRDefault="00847E53" w:rsidP="00194E91">
                              <w:pPr>
                                <w:rPr>
                                  <w:b/>
                                </w:rPr>
                              </w:pPr>
                              <w:r w:rsidRPr="00B34B0A">
                                <w:rPr>
                                  <w:b/>
                                  <w:i/>
                                  <w:iCs/>
                                  <w:color w:val="000000"/>
                                </w:rPr>
                                <w:t>load</w:t>
                              </w:r>
                            </w:p>
                          </w:txbxContent>
                        </v:textbox>
                      </v:rect>
                      <v:rect id="Rectangle 87" o:spid="_x0000_s1522" style="position:absolute;left:337;top:1562;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" filled="f" stroked="f">
                        <v:textbox style="mso-fit-shape-to-text:t" inset="0,0,0,0">
                          <w:txbxContent>
                            <w:p w14:paraId="3F5D7439" w14:textId="77777777" w:rsidR="00847E53" w:rsidRPr="00B34B0A" w:rsidRDefault="00847E53" w:rsidP="00194E91">
                              <w:pPr>
                                <w:rPr>
                                  <w:b/>
                                </w:rPr>
                              </w:pPr>
                              <w:r w:rsidRPr="00B34B0A">
                                <w:rPr>
                                  <w:b/>
                                  <w:i/>
                                  <w:iCs/>
                                  <w:color w:val="000000"/>
                                </w:rPr>
                                <w:t>online</w:t>
                              </w:r>
                            </w:p>
                          </w:txbxContent>
                        </v:textbox>
                      </v:rect>
                      <v:rect id="Rectangle 88" o:spid="_x0000_s1523" style="position:absolute;left:457;top:222;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" filled="f" stroked="f">
                        <v:textbox style="mso-fit-shape-to-text:t" inset="0,0,0,0">
                          <w:txbxContent>
                            <w:p w14:paraId="6955F972" w14:textId="77777777" w:rsidR="00847E53" w:rsidRPr="00B34B0A" w:rsidRDefault="00847E53" w:rsidP="00194E91">
                              <w:pPr>
                                <w:rPr>
                                  <w:b/>
                                </w:rPr>
                              </w:pPr>
                              <w:r w:rsidRPr="00B34B0A">
                                <w:rPr>
                                  <w:b/>
                                  <w:i/>
                                  <w:iCs/>
                                  <w:color w:val="000000"/>
                                </w:rPr>
                                <w:t>All</w:t>
                              </w:r>
                            </w:p>
                          </w:txbxContent>
                        </v:textbox>
                      </v:rect>
                      <v:rect id="Rectangle 89" o:spid="_x0000_s1524" style="position:absolute;left:629;top:11538;width:542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" filled="f" stroked="f">
                        <v:textbox style="mso-fit-shape-to-text:t" inset="0,0,0,0">
                          <w:txbxContent>
                            <w:p w14:paraId="5B2D5EA1" w14:textId="77777777" w:rsidR="00847E53" w:rsidRPr="00B34B0A" w:rsidRDefault="00847E53" w:rsidP="00194E91">
                              <w:pPr>
                                <w:rPr>
                                  <w:b/>
                                </w:rPr>
                              </w:pPr>
                              <w:r w:rsidRPr="00B34B0A">
                                <w:rPr>
                                  <w:b/>
                                  <w:i/>
                                  <w:iCs/>
                                  <w:color w:val="000000"/>
                                </w:rPr>
                                <w:t>resource</w:t>
                              </w:r>
                            </w:p>
                          </w:txbxContent>
                        </v:textbox>
                      </v:rect>
                      <v:rect id="Rectangle 90" o:spid="_x0000_s1525" style="position:absolute;left:584;top:10198;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" filled="f" stroked="f">
                        <v:textbox style="mso-fit-shape-to-text:t" inset="0,0,0,0">
                          <w:txbxContent>
                            <w:p w14:paraId="2C5B402C" w14:textId="77777777" w:rsidR="00847E53" w:rsidRPr="00B34B0A" w:rsidRDefault="00847E53" w:rsidP="00194E91">
                              <w:pPr>
                                <w:rPr>
                                  <w:b/>
                                </w:rPr>
                              </w:pPr>
                              <w:r w:rsidRPr="00B34B0A">
                                <w:rPr>
                                  <w:b/>
                                  <w:i/>
                                  <w:iCs/>
                                  <w:color w:val="000000"/>
                                </w:rPr>
                                <w:t>load</w:t>
                              </w:r>
                            </w:p>
                          </w:txbxContent>
                        </v:textbox>
                      </v:rect>
                      <v:rect id="Rectangle 91" o:spid="_x0000_s1526" style="position:absolute;left:1746;top:885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" filled="f" stroked="f">
                        <v:textbox style="mso-fit-shape-to-text:t" inset="0,0,0,0">
                          <w:txbxContent>
                            <w:p w14:paraId="420AE9D0" w14:textId="77777777" w:rsidR="00847E53" w:rsidRPr="00B34B0A" w:rsidRDefault="00847E53" w:rsidP="00194E91">
                              <w:pPr>
                                <w:rPr>
                                  <w:b/>
                                </w:rPr>
                              </w:pPr>
                              <w:r w:rsidRPr="00B34B0A">
                                <w:rPr>
                                  <w:b/>
                                  <w:i/>
                                  <w:iCs/>
                                  <w:color w:val="000000"/>
                                </w:rPr>
                                <w:t>online</w:t>
                              </w:r>
                            </w:p>
                          </w:txbxContent>
                        </v:textbox>
                      </v:rect>
                      <v:rect id="Rectangle 92" o:spid="_x0000_s1527" style="position:absolute;left:584;top:885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" filled="f" stroked="f">
                        <v:textbox style="mso-fit-shape-to-text:t" inset="0,0,0,0">
                          <w:txbxContent>
                            <w:p w14:paraId="4217C6F8" w14:textId="77777777" w:rsidR="00847E53" w:rsidRPr="00B34B0A" w:rsidRDefault="00847E53" w:rsidP="00194E91">
                              <w:pPr>
                                <w:rPr>
                                  <w:b/>
                                </w:rPr>
                              </w:pPr>
                              <w:r w:rsidRPr="00B34B0A">
                                <w:rPr>
                                  <w:b/>
                                  <w:i/>
                                  <w:iCs/>
                                  <w:color w:val="000000"/>
                                </w:rPr>
                                <w:t>i</w:t>
                              </w:r>
                            </w:p>
                          </w:txbxContent>
                        </v:textbox>
                      </v:rect>
                    </v:group>
                  </w:pict>
                </mc:Fallback>
              </mc:AlternateContent>
            </w:r>
            <w:r w:rsidRPr="003161DC">
              <w:rPr>
                <w:b/>
                <w:position w:val="30"/>
                <w:sz w:val="20"/>
              </w:rPr>
              <w:t>PRC</w:t>
            </w:r>
            <w:r w:rsidRPr="003161DC">
              <w:rPr>
                <w:b/>
                <w:position w:val="30"/>
                <w:sz w:val="20"/>
                <w:vertAlign w:val="subscript"/>
              </w:rPr>
              <w:t>5</w:t>
            </w:r>
            <w:r w:rsidRPr="003161DC">
              <w:rPr>
                <w:b/>
                <w:position w:val="30"/>
                <w:sz w:val="20"/>
              </w:rPr>
              <w:t xml:space="preserve"> =</w:t>
            </w:r>
            <w:r w:rsidRPr="003161DC">
              <w:rPr>
                <w:b/>
                <w:position w:val="30"/>
                <w:sz w:val="20"/>
              </w:rPr>
              <w:tab/>
              <w:t>Min(Max((LRDF_1*Actual Net Telemetered Consumption – LPC)</w:t>
            </w:r>
            <w:r w:rsidRPr="003161DC">
              <w:rPr>
                <w:b/>
                <w:position w:val="30"/>
                <w:sz w:val="20"/>
                <w:vertAlign w:val="subscript"/>
              </w:rPr>
              <w:t>i</w:t>
            </w:r>
            <w:r w:rsidRPr="003161DC">
              <w:rPr>
                <w:b/>
                <w:position w:val="30"/>
                <w:sz w:val="20"/>
              </w:rPr>
              <w:t xml:space="preserve">, 0.0), (0.2 * LRDF_1 * Actual Net Telemetered Consumption)) from all </w:t>
            </w:r>
            <w:r w:rsidR="0069524B">
              <w:rPr>
                <w:b/>
                <w:position w:val="30"/>
                <w:sz w:val="20"/>
              </w:rPr>
              <w:t>CLRs</w:t>
            </w:r>
            <w:r w:rsidRPr="003161DC">
              <w:rPr>
                <w:b/>
                <w:position w:val="30"/>
                <w:sz w:val="20"/>
              </w:rPr>
              <w:t xml:space="preserve"> active in SCED</w:t>
            </w:r>
            <w:r w:rsidR="00016A30">
              <w:rPr>
                <w:b/>
                <w:position w:val="30"/>
                <w:sz w:val="20"/>
              </w:rPr>
              <w:t xml:space="preserve"> </w:t>
            </w:r>
            <w:r w:rsidR="004D2827">
              <w:rPr>
                <w:b/>
                <w:position w:val="30"/>
                <w:sz w:val="20"/>
              </w:rPr>
              <w:t xml:space="preserve">and qualified for Regulation Service and/or RRS </w:t>
            </w:r>
            <w:r>
              <w:rPr>
                <w:b/>
                <w:position w:val="30"/>
                <w:sz w:val="20"/>
              </w:rPr>
              <w:t xml:space="preserve">with an </w:t>
            </w:r>
            <w:r w:rsidRPr="003161DC">
              <w:rPr>
                <w:b/>
                <w:position w:val="30"/>
                <w:sz w:val="20"/>
              </w:rPr>
              <w:t xml:space="preserve">Ancillary Service Resource </w:t>
            </w:r>
            <w:r>
              <w:rPr>
                <w:b/>
                <w:position w:val="30"/>
                <w:sz w:val="20"/>
              </w:rPr>
              <w:t>award</w:t>
            </w:r>
          </w:p>
          <w:p w14:paraId="3F294D27" w14:textId="0609DF07" w:rsidR="00194E91" w:rsidRPr="003161DC" w:rsidRDefault="00194E91" w:rsidP="00194E91">
            <w:pPr>
              <w:tabs>
                <w:tab w:val="left" w:pos="2160"/>
              </w:tabs>
              <w:ind w:left="2160" w:hanging="2160"/>
              <w:rPr>
                <w:b/>
                <w:position w:val="30"/>
                <w:sz w:val="20"/>
              </w:rPr>
            </w:pPr>
          </w:p>
          <w:p w14:paraId="2E81B0DA" w14:textId="405F082B" w:rsidR="00194E91" w:rsidRPr="003161DC" w:rsidRDefault="00147C3B" w:rsidP="00194E91">
            <w:pPr>
              <w:tabs>
                <w:tab w:val="left" w:pos="2160"/>
              </w:tabs>
              <w:ind w:left="2160" w:hanging="2160"/>
              <w:rPr>
                <w:b/>
                <w:position w:val="30"/>
                <w:sz w:val="20"/>
              </w:rPr>
            </w:pPr>
            <w:r w:rsidRPr="003161DC">
              <w:rPr>
                <w:noProof/>
              </w:rPr>
              <mc:AlternateContent>
                <mc:Choice Requires="wpc">
                  <w:drawing>
                    <wp:anchor distT="0" distB="0" distL="114300" distR="114300" simplePos="0" relativeHeight="251680768" behindDoc="0" locked="0" layoutInCell="1" allowOverlap="1" wp14:anchorId="1EC92B59" wp14:editId="3FFF5EEB">
                      <wp:simplePos x="0" y="0"/>
                      <wp:positionH relativeFrom="column">
                        <wp:posOffset>520526</wp:posOffset>
                      </wp:positionH>
                      <wp:positionV relativeFrom="paragraph">
                        <wp:posOffset>-95885</wp:posOffset>
                      </wp:positionV>
                      <wp:extent cx="737870" cy="1338580"/>
                      <wp:effectExtent l="0" t="2540" r="0" b="1905"/>
                      <wp:wrapNone/>
                      <wp:docPr id="3860"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601"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CA188" w14:textId="77777777" w:rsidR="00847E53" w:rsidRPr="00B074A0" w:rsidRDefault="00847E53" w:rsidP="00194E91">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3602"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B832C"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603" name="Rectangle 97"/>
                              <wps:cNvSpPr>
                                <a:spLocks noChangeArrowheads="1"/>
                              </wps:cNvSpPr>
                              <wps:spPr bwMode="auto">
                                <a:xfrm>
                                  <a:off x="36195" y="401955"/>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5AD29" w14:textId="77777777" w:rsidR="00847E53" w:rsidRPr="00B34B0A" w:rsidRDefault="00847E53" w:rsidP="00194E91">
                                    <w:pPr>
                                      <w:rPr>
                                        <w:b/>
                                      </w:rPr>
                                    </w:pPr>
                                    <w:r w:rsidRPr="00B34B0A">
                                      <w:rPr>
                                        <w:b/>
                                        <w:i/>
                                        <w:iCs/>
                                        <w:color w:val="000000"/>
                                      </w:rPr>
                                      <w:t>resources</w:t>
                                    </w:r>
                                  </w:p>
                                </w:txbxContent>
                              </wps:txbx>
                              <wps:bodyPr rot="0" vert="horz" wrap="none" lIns="0" tIns="0" rIns="0" bIns="0" anchor="t" anchorCtr="0" upright="1">
                                <a:spAutoFit/>
                              </wps:bodyPr>
                            </wps:wsp>
                            <wps:wsp>
                              <wps:cNvPr id="3604" name="Rectangle 98"/>
                              <wps:cNvSpPr>
                                <a:spLocks noChangeArrowheads="1"/>
                              </wps:cNvSpPr>
                              <wps:spPr bwMode="auto">
                                <a:xfrm>
                                  <a:off x="32385" y="2679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1BAB4"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605" name="Rectangle 99"/>
                              <wps:cNvSpPr>
                                <a:spLocks noChangeArrowheads="1"/>
                              </wps:cNvSpPr>
                              <wps:spPr bwMode="auto">
                                <a:xfrm>
                                  <a:off x="34290" y="13398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1A1B8"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606"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2E629" w14:textId="77777777" w:rsidR="00847E53" w:rsidRPr="00B34B0A" w:rsidRDefault="00847E53" w:rsidP="00194E91">
                                    <w:pPr>
                                      <w:rPr>
                                        <w:b/>
                                      </w:rPr>
                                    </w:pPr>
                                    <w:r w:rsidRPr="00B34B0A">
                                      <w:rPr>
                                        <w:b/>
                                        <w:i/>
                                        <w:iCs/>
                                        <w:color w:val="000000"/>
                                      </w:rPr>
                                      <w:t>All</w:t>
                                    </w:r>
                                  </w:p>
                                </w:txbxContent>
                              </wps:txbx>
                              <wps:bodyPr rot="0" vert="horz" wrap="square" lIns="0" tIns="0" rIns="0" bIns="0" anchor="t" anchorCtr="0" upright="1">
                                <a:spAutoFit/>
                              </wps:bodyPr>
                            </wps:wsp>
                            <wps:wsp>
                              <wps:cNvPr id="3607" name="Rectangle 101"/>
                              <wps:cNvSpPr>
                                <a:spLocks noChangeArrowheads="1"/>
                              </wps:cNvSpPr>
                              <wps:spPr bwMode="auto">
                                <a:xfrm>
                                  <a:off x="63500" y="1131570"/>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8F3D5" w14:textId="77777777" w:rsidR="00847E53" w:rsidRPr="00B34B0A" w:rsidRDefault="00847E53" w:rsidP="00194E91">
                                    <w:pPr>
                                      <w:rPr>
                                        <w:b/>
                                      </w:rPr>
                                    </w:pPr>
                                    <w:r w:rsidRPr="00B34B0A">
                                      <w:rPr>
                                        <w:b/>
                                        <w:i/>
                                        <w:iCs/>
                                        <w:color w:val="000000"/>
                                      </w:rPr>
                                      <w:t>resource</w:t>
                                    </w:r>
                                  </w:p>
                                </w:txbxContent>
                              </wps:txbx>
                              <wps:bodyPr rot="0" vert="horz" wrap="none" lIns="0" tIns="0" rIns="0" bIns="0" anchor="t" anchorCtr="0" upright="1">
                                <a:spAutoFit/>
                              </wps:bodyPr>
                            </wps:wsp>
                            <wps:wsp>
                              <wps:cNvPr id="3608" name="Rectangle 102"/>
                              <wps:cNvSpPr>
                                <a:spLocks noChangeArrowheads="1"/>
                              </wps:cNvSpPr>
                              <wps:spPr bwMode="auto">
                                <a:xfrm>
                                  <a:off x="59055" y="997585"/>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C32B8"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609" name="Rectangle 103"/>
                              <wps:cNvSpPr>
                                <a:spLocks noChangeArrowheads="1"/>
                              </wps:cNvSpPr>
                              <wps:spPr bwMode="auto">
                                <a:xfrm>
                                  <a:off x="175260" y="863600"/>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009C3"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610" name="Rectangle 104"/>
                              <wps:cNvSpPr>
                                <a:spLocks noChangeArrowheads="1"/>
                              </wps:cNvSpPr>
                              <wps:spPr bwMode="auto">
                                <a:xfrm>
                                  <a:off x="59055" y="86360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EA435" w14:textId="77777777" w:rsidR="00847E53" w:rsidRPr="00B34B0A" w:rsidRDefault="00847E53"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1EC92B59" id="_x0000_s1528" editas="canvas" style="position:absolute;left:0;text-align:left;margin-left:41pt;margin-top:-7.55pt;width:58.1pt;height:105.4pt;z-index:251680768"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">
                      <v:shape id="_x0000_s1529" type="#_x0000_t75" style="position:absolute;width:7378;height:13385;visibility:visible;mso-wrap-style:square">
                        <v:fill o:detectmouseclick="t"/>
                        <v:path o:connecttype="none"/>
                      </v:shape>
                      <v:rect id="Rectangle 95" o:spid="_x0000_s1530" style="position:absolute;left:1803;top:6000;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" filled="f" stroked="f">
                        <v:textbox style="mso-fit-shape-to-text:t" inset="0,0,0,0">
                          <w:txbxContent>
                            <w:p w14:paraId="15DCA188" w14:textId="77777777" w:rsidR="00847E53" w:rsidRPr="00B074A0" w:rsidRDefault="00847E53" w:rsidP="00194E91">
                              <w:pPr>
                                <w:rPr>
                                  <w:sz w:val="32"/>
                                  <w:szCs w:val="32"/>
                                </w:rPr>
                              </w:pPr>
                              <w:r w:rsidRPr="00B074A0">
                                <w:rPr>
                                  <w:rFonts w:ascii="Symbol" w:hAnsi="Symbol" w:cs="Symbol"/>
                                  <w:color w:val="000000"/>
                                  <w:sz w:val="32"/>
                                  <w:szCs w:val="32"/>
                                </w:rPr>
                                <w:t></w:t>
                              </w:r>
                            </w:p>
                          </w:txbxContent>
                        </v:textbox>
                      </v:rect>
                      <v:rect id="Rectangle 96" o:spid="_x0000_s1531" style="position:absolute;left:1022;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" filled="f" stroked="f">
                        <v:textbox style="mso-fit-shape-to-text:t" inset="0,0,0,0">
                          <w:txbxContent>
                            <w:p w14:paraId="0D7B832C" w14:textId="77777777" w:rsidR="00847E53" w:rsidRDefault="00847E53" w:rsidP="00194E91">
                              <w:r>
                                <w:rPr>
                                  <w:rFonts w:ascii="Symbol" w:hAnsi="Symbol" w:cs="Symbol"/>
                                  <w:color w:val="000000"/>
                                </w:rPr>
                                <w:t></w:t>
                              </w:r>
                            </w:p>
                          </w:txbxContent>
                        </v:textbox>
                      </v:rect>
                      <v:rect id="Rectangle 97" o:spid="_x0000_s1532" style="position:absolute;left:361;top:4019;width:601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" filled="f" stroked="f">
                        <v:textbox style="mso-fit-shape-to-text:t" inset="0,0,0,0">
                          <w:txbxContent>
                            <w:p w14:paraId="4F55AD29" w14:textId="77777777" w:rsidR="00847E53" w:rsidRPr="00B34B0A" w:rsidRDefault="00847E53" w:rsidP="00194E91">
                              <w:pPr>
                                <w:rPr>
                                  <w:b/>
                                </w:rPr>
                              </w:pPr>
                              <w:r w:rsidRPr="00B34B0A">
                                <w:rPr>
                                  <w:b/>
                                  <w:i/>
                                  <w:iCs/>
                                  <w:color w:val="000000"/>
                                </w:rPr>
                                <w:t>resources</w:t>
                              </w:r>
                            </w:p>
                          </w:txbxContent>
                        </v:textbox>
                      </v:rect>
                      <v:rect id="Rectangle 98" o:spid="_x0000_s1533" style="position:absolute;left:323;top:2679;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" filled="f" stroked="f">
                        <v:textbox style="mso-fit-shape-to-text:t" inset="0,0,0,0">
                          <w:txbxContent>
                            <w:p w14:paraId="6361BAB4" w14:textId="77777777" w:rsidR="00847E53" w:rsidRPr="00B34B0A" w:rsidRDefault="00847E53" w:rsidP="00194E91">
                              <w:pPr>
                                <w:rPr>
                                  <w:b/>
                                </w:rPr>
                              </w:pPr>
                              <w:r w:rsidRPr="00B34B0A">
                                <w:rPr>
                                  <w:b/>
                                  <w:i/>
                                  <w:iCs/>
                                  <w:color w:val="000000"/>
                                </w:rPr>
                                <w:t>load</w:t>
                              </w:r>
                            </w:p>
                          </w:txbxContent>
                        </v:textbox>
                      </v:rect>
                      <v:rect id="Rectangle 99" o:spid="_x0000_s1534" style="position:absolute;left:342;top:1339;width:398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" filled="f" stroked="f">
                        <v:textbox style="mso-fit-shape-to-text:t" inset="0,0,0,0">
                          <w:txbxContent>
                            <w:p w14:paraId="5AD1A1B8" w14:textId="77777777" w:rsidR="00847E53" w:rsidRPr="00B34B0A" w:rsidRDefault="00847E53" w:rsidP="00194E91">
                              <w:pPr>
                                <w:rPr>
                                  <w:b/>
                                </w:rPr>
                              </w:pPr>
                              <w:r w:rsidRPr="00B34B0A">
                                <w:rPr>
                                  <w:b/>
                                  <w:i/>
                                  <w:iCs/>
                                  <w:color w:val="000000"/>
                                </w:rPr>
                                <w:t>online</w:t>
                              </w:r>
                            </w:p>
                          </w:txbxContent>
                        </v:textbox>
                      </v:rect>
                      <v:rect id="Rectangle 100" o:spid="_x0000_s1535" style="position:absolute;left:463;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" filled="f" stroked="f">
                        <v:textbox style="mso-fit-shape-to-text:t" inset="0,0,0,0">
                          <w:txbxContent>
                            <w:p w14:paraId="2B32E629" w14:textId="77777777" w:rsidR="00847E53" w:rsidRPr="00B34B0A" w:rsidRDefault="00847E53" w:rsidP="00194E91">
                              <w:pPr>
                                <w:rPr>
                                  <w:b/>
                                </w:rPr>
                              </w:pPr>
                              <w:r w:rsidRPr="00B34B0A">
                                <w:rPr>
                                  <w:b/>
                                  <w:i/>
                                  <w:iCs/>
                                  <w:color w:val="000000"/>
                                </w:rPr>
                                <w:t>All</w:t>
                              </w:r>
                            </w:p>
                          </w:txbxContent>
                        </v:textbox>
                      </v:rect>
                      <v:rect id="Rectangle 101" o:spid="_x0000_s1536" style="position:absolute;left:635;top:11315;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" filled="f" stroked="f">
                        <v:textbox style="mso-fit-shape-to-text:t" inset="0,0,0,0">
                          <w:txbxContent>
                            <w:p w14:paraId="5948F3D5" w14:textId="77777777" w:rsidR="00847E53" w:rsidRPr="00B34B0A" w:rsidRDefault="00847E53" w:rsidP="00194E91">
                              <w:pPr>
                                <w:rPr>
                                  <w:b/>
                                </w:rPr>
                              </w:pPr>
                              <w:r w:rsidRPr="00B34B0A">
                                <w:rPr>
                                  <w:b/>
                                  <w:i/>
                                  <w:iCs/>
                                  <w:color w:val="000000"/>
                                </w:rPr>
                                <w:t>resource</w:t>
                              </w:r>
                            </w:p>
                          </w:txbxContent>
                        </v:textbox>
                      </v:rect>
                      <v:rect id="Rectangle 102" o:spid="_x0000_s1537" style="position:absolute;left:590;top:9975;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" filled="f" stroked="f">
                        <v:textbox style="mso-fit-shape-to-text:t" inset="0,0,0,0">
                          <w:txbxContent>
                            <w:p w14:paraId="64FC32B8" w14:textId="77777777" w:rsidR="00847E53" w:rsidRPr="00B34B0A" w:rsidRDefault="00847E53" w:rsidP="00194E91">
                              <w:pPr>
                                <w:rPr>
                                  <w:b/>
                                </w:rPr>
                              </w:pPr>
                              <w:r w:rsidRPr="00B34B0A">
                                <w:rPr>
                                  <w:b/>
                                  <w:i/>
                                  <w:iCs/>
                                  <w:color w:val="000000"/>
                                </w:rPr>
                                <w:t>load</w:t>
                              </w:r>
                            </w:p>
                          </w:txbxContent>
                        </v:textbox>
                      </v:rect>
                      <v:rect id="Rectangle 103" o:spid="_x0000_s1538" style="position:absolute;left:1752;top:8636;width:398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" filled="f" stroked="f">
                        <v:textbox style="mso-fit-shape-to-text:t" inset="0,0,0,0">
                          <w:txbxContent>
                            <w:p w14:paraId="41C009C3" w14:textId="77777777" w:rsidR="00847E53" w:rsidRPr="00B34B0A" w:rsidRDefault="00847E53" w:rsidP="00194E91">
                              <w:pPr>
                                <w:rPr>
                                  <w:b/>
                                </w:rPr>
                              </w:pPr>
                              <w:r w:rsidRPr="00B34B0A">
                                <w:rPr>
                                  <w:b/>
                                  <w:i/>
                                  <w:iCs/>
                                  <w:color w:val="000000"/>
                                </w:rPr>
                                <w:t>online</w:t>
                              </w:r>
                            </w:p>
                          </w:txbxContent>
                        </v:textbox>
                      </v:rect>
                      <v:rect id="Rectangle 104" o:spid="_x0000_s1539" style="position:absolute;left:590;top:8636;width:42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" filled="f" stroked="f">
                        <v:textbox style="mso-fit-shape-to-text:t" inset="0,0,0,0">
                          <w:txbxContent>
                            <w:p w14:paraId="57EEA435" w14:textId="77777777" w:rsidR="00847E53" w:rsidRPr="00B34B0A" w:rsidRDefault="00847E53" w:rsidP="00194E91">
                              <w:pPr>
                                <w:rPr>
                                  <w:b/>
                                </w:rPr>
                              </w:pPr>
                              <w:r w:rsidRPr="00B34B0A">
                                <w:rPr>
                                  <w:b/>
                                  <w:i/>
                                  <w:iCs/>
                                  <w:color w:val="000000"/>
                                </w:rPr>
                                <w:t>i</w:t>
                              </w:r>
                            </w:p>
                          </w:txbxContent>
                        </v:textbox>
                      </v:rect>
                    </v:group>
                  </w:pict>
                </mc:Fallback>
              </mc:AlternateContent>
            </w:r>
            <w:r w:rsidR="00194E91" w:rsidRPr="003161DC">
              <w:rPr>
                <w:b/>
                <w:position w:val="30"/>
                <w:sz w:val="20"/>
              </w:rPr>
              <w:t>PRC</w:t>
            </w:r>
            <w:r w:rsidR="00194E91" w:rsidRPr="003161DC">
              <w:rPr>
                <w:b/>
                <w:position w:val="30"/>
                <w:sz w:val="20"/>
                <w:vertAlign w:val="subscript"/>
              </w:rPr>
              <w:t>6</w:t>
            </w:r>
            <w:r w:rsidR="00194E91" w:rsidRPr="003161DC">
              <w:rPr>
                <w:b/>
                <w:position w:val="30"/>
                <w:sz w:val="20"/>
              </w:rPr>
              <w:t xml:space="preserve"> =</w:t>
            </w:r>
            <w:r w:rsidR="00194E91" w:rsidRPr="003161DC">
              <w:rPr>
                <w:b/>
                <w:position w:val="30"/>
                <w:sz w:val="20"/>
              </w:rPr>
              <w:tab/>
              <w:t>Min(Max((LRDF_2 * Actual Net Telemetered Consumption – LPC)</w:t>
            </w:r>
            <w:r w:rsidR="00194E91" w:rsidRPr="003161DC">
              <w:rPr>
                <w:b/>
                <w:position w:val="30"/>
                <w:sz w:val="20"/>
                <w:vertAlign w:val="subscript"/>
              </w:rPr>
              <w:t>i</w:t>
            </w:r>
            <w:r w:rsidR="00194E91" w:rsidRPr="003161DC">
              <w:rPr>
                <w:b/>
                <w:position w:val="30"/>
                <w:sz w:val="20"/>
              </w:rPr>
              <w:t xml:space="preserve">, 0.0), (0.2 * LRDF_2 * Actual Net Telemetered Consumption)) from all </w:t>
            </w:r>
            <w:r w:rsidR="0069524B">
              <w:rPr>
                <w:b/>
                <w:position w:val="30"/>
                <w:sz w:val="20"/>
              </w:rPr>
              <w:t>CLRs</w:t>
            </w:r>
            <w:r w:rsidR="00194E91" w:rsidRPr="003161DC">
              <w:rPr>
                <w:b/>
                <w:position w:val="30"/>
                <w:sz w:val="20"/>
              </w:rPr>
              <w:t xml:space="preserve"> active in SCED</w:t>
            </w:r>
            <w:r w:rsidR="00194E91">
              <w:rPr>
                <w:b/>
                <w:position w:val="30"/>
                <w:sz w:val="20"/>
              </w:rPr>
              <w:t xml:space="preserve"> </w:t>
            </w:r>
            <w:r w:rsidR="004D2827" w:rsidRPr="00272BE5">
              <w:rPr>
                <w:b/>
                <w:position w:val="30"/>
                <w:sz w:val="20"/>
              </w:rPr>
              <w:lastRenderedPageBreak/>
              <w:t xml:space="preserve">and </w:t>
            </w:r>
            <w:r w:rsidR="004D2827">
              <w:rPr>
                <w:b/>
                <w:position w:val="30"/>
                <w:sz w:val="20"/>
              </w:rPr>
              <w:t xml:space="preserve">qualified for Regulation Service and/or RRS </w:t>
            </w:r>
            <w:r w:rsidR="00194E91">
              <w:rPr>
                <w:b/>
                <w:position w:val="30"/>
                <w:sz w:val="20"/>
              </w:rPr>
              <w:t>without an</w:t>
            </w:r>
            <w:r w:rsidR="00194E91" w:rsidRPr="003161DC">
              <w:rPr>
                <w:b/>
                <w:position w:val="30"/>
                <w:sz w:val="20"/>
              </w:rPr>
              <w:t xml:space="preserve"> Ancillary Service Resource </w:t>
            </w:r>
            <w:r w:rsidR="00194E91">
              <w:rPr>
                <w:b/>
                <w:position w:val="30"/>
                <w:sz w:val="20"/>
              </w:rPr>
              <w:t>award</w:t>
            </w:r>
          </w:p>
          <w:p w14:paraId="406A7350" w14:textId="77777777" w:rsidR="00194E91" w:rsidRDefault="00194E91" w:rsidP="00194E91">
            <w:pPr>
              <w:tabs>
                <w:tab w:val="left" w:pos="2160"/>
              </w:tabs>
              <w:ind w:left="2160" w:hanging="2160"/>
              <w:rPr>
                <w:b/>
                <w:position w:val="30"/>
                <w:sz w:val="20"/>
              </w:rPr>
            </w:pPr>
          </w:p>
          <w:p w14:paraId="63191EBD" w14:textId="77777777" w:rsidR="002E4A29" w:rsidRDefault="002E4A29" w:rsidP="00194E91">
            <w:pPr>
              <w:tabs>
                <w:tab w:val="left" w:pos="2160"/>
              </w:tabs>
              <w:ind w:left="2160" w:hanging="2160"/>
              <w:rPr>
                <w:b/>
                <w:position w:val="30"/>
                <w:sz w:val="20"/>
              </w:rPr>
            </w:pPr>
          </w:p>
          <w:p w14:paraId="4ED68EEA" w14:textId="77777777" w:rsidR="00194E91" w:rsidRDefault="00194E91" w:rsidP="00194E91">
            <w:pPr>
              <w:tabs>
                <w:tab w:val="left" w:pos="2160"/>
              </w:tabs>
              <w:ind w:left="2160" w:hanging="2160"/>
              <w:rPr>
                <w:b/>
                <w:position w:val="30"/>
                <w:sz w:val="20"/>
                <w:vertAlign w:val="subscript"/>
              </w:rPr>
            </w:pPr>
            <w:r>
              <w:rPr>
                <w:noProof/>
              </w:rPr>
              <mc:AlternateContent>
                <mc:Choice Requires="wpg">
                  <w:drawing>
                    <wp:anchor distT="0" distB="0" distL="114300" distR="114300" simplePos="0" relativeHeight="251684864" behindDoc="0" locked="0" layoutInCell="1" allowOverlap="1" wp14:anchorId="1B5D48B0" wp14:editId="64BA3A96">
                      <wp:simplePos x="0" y="0"/>
                      <wp:positionH relativeFrom="column">
                        <wp:posOffset>556895</wp:posOffset>
                      </wp:positionH>
                      <wp:positionV relativeFrom="paragraph">
                        <wp:posOffset>-265430</wp:posOffset>
                      </wp:positionV>
                      <wp:extent cx="2176193" cy="9305290"/>
                      <wp:effectExtent l="0" t="0" r="0" b="0"/>
                      <wp:wrapNone/>
                      <wp:docPr id="3611" name="Group 3611"/>
                      <wp:cNvGraphicFramePr/>
                      <a:graphic xmlns:a="http://schemas.openxmlformats.org/drawingml/2006/main">
                        <a:graphicData uri="http://schemas.microsoft.com/office/word/2010/wordprocessingGroup">
                          <wpg:wgp>
                            <wpg:cNvGrpSpPr/>
                            <wpg:grpSpPr>
                              <a:xfrm>
                                <a:off x="0" y="0"/>
                                <a:ext cx="2176193" cy="9305290"/>
                                <a:chOff x="0" y="0"/>
                                <a:chExt cx="2176193" cy="9305290"/>
                              </a:xfrm>
                            </wpg:grpSpPr>
                            <wps:wsp>
                              <wps:cNvPr id="3612" name="Rectangle 3612"/>
                              <wps:cNvSpPr/>
                              <wps:spPr>
                                <a:xfrm>
                                  <a:off x="1438958" y="7966710"/>
                                  <a:ext cx="737235" cy="1338580"/>
                                </a:xfrm>
                                <a:prstGeom prst="rect">
                                  <a:avLst/>
                                </a:prstGeom>
                                <a:noFill/>
                              </wps:spPr>
                              <wps:bodyPr/>
                            </wps:wsp>
                            <wps:wsp>
                              <wps:cNvPr id="3613" name="Rectangle 3613"/>
                              <wps:cNvSpPr>
                                <a:spLocks noChangeArrowheads="1"/>
                              </wps:cNvSpPr>
                              <wps:spPr bwMode="auto">
                                <a:xfrm>
                                  <a:off x="139688" y="469893"/>
                                  <a:ext cx="24447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2ED65" w14:textId="77777777" w:rsidR="00847E53" w:rsidRDefault="00847E53" w:rsidP="00194E91">
                                    <w:r>
                                      <w:rPr>
                                        <w:rFonts w:ascii="Symbol" w:hAnsi="Symbol" w:cs="Symbol"/>
                                        <w:color w:val="000000"/>
                                        <w:sz w:val="54"/>
                                        <w:szCs w:val="54"/>
                                      </w:rPr>
                                      <w:t></w:t>
                                    </w:r>
                                  </w:p>
                                </w:txbxContent>
                              </wps:txbx>
                              <wps:bodyPr rot="0" vert="horz" wrap="none" lIns="0" tIns="0" rIns="0" bIns="0" anchor="t" anchorCtr="0" upright="1">
                                <a:spAutoFit/>
                              </wps:bodyPr>
                            </wps:wsp>
                            <wps:wsp>
                              <wps:cNvPr id="3614" name="Rectangle 3614"/>
                              <wps:cNvSpPr>
                                <a:spLocks noChangeArrowheads="1"/>
                              </wps:cNvSpPr>
                              <wps:spPr bwMode="auto">
                                <a:xfrm>
                                  <a:off x="69891" y="848987"/>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D96CF"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615" name="Rectangle 3615"/>
                              <wps:cNvSpPr>
                                <a:spLocks noChangeArrowheads="1"/>
                              </wps:cNvSpPr>
                              <wps:spPr bwMode="auto">
                                <a:xfrm>
                                  <a:off x="3900" y="401994"/>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83EB5" w14:textId="77777777" w:rsidR="00847E53" w:rsidRDefault="00847E53" w:rsidP="00194E91">
                                    <w:pPr>
                                      <w:rPr>
                                        <w:b/>
                                      </w:rPr>
                                    </w:pPr>
                                    <w:r>
                                      <w:rPr>
                                        <w:b/>
                                        <w:i/>
                                        <w:iCs/>
                                        <w:color w:val="000000"/>
                                      </w:rPr>
                                      <w:t>resources</w:t>
                                    </w:r>
                                  </w:p>
                                </w:txbxContent>
                              </wps:txbx>
                              <wps:bodyPr rot="0" vert="horz" wrap="none" lIns="0" tIns="0" rIns="0" bIns="0" anchor="t" anchorCtr="0" upright="1">
                                <a:spAutoFit/>
                              </wps:bodyPr>
                            </wps:wsp>
                            <wps:wsp>
                              <wps:cNvPr id="3744" name="Rectangle 3744"/>
                              <wps:cNvSpPr>
                                <a:spLocks noChangeArrowheads="1"/>
                              </wps:cNvSpPr>
                              <wps:spPr bwMode="auto">
                                <a:xfrm>
                                  <a:off x="0" y="267996"/>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95215" w14:textId="77777777" w:rsidR="00847E53" w:rsidRDefault="00847E53" w:rsidP="00194E91">
                                    <w:pPr>
                                      <w:rPr>
                                        <w:b/>
                                      </w:rPr>
                                    </w:pPr>
                                    <w:r>
                                      <w:rPr>
                                        <w:b/>
                                        <w:i/>
                                        <w:iCs/>
                                        <w:color w:val="000000"/>
                                      </w:rPr>
                                      <w:t>FFR</w:t>
                                    </w:r>
                                  </w:p>
                                </w:txbxContent>
                              </wps:txbx>
                              <wps:bodyPr rot="0" vert="horz" wrap="none" lIns="0" tIns="0" rIns="0" bIns="0" anchor="t" anchorCtr="0" upright="1">
                                <a:spAutoFit/>
                              </wps:bodyPr>
                            </wps:wsp>
                            <wps:wsp>
                              <wps:cNvPr id="3745" name="Rectangle 3745"/>
                              <wps:cNvSpPr>
                                <a:spLocks noChangeArrowheads="1"/>
                              </wps:cNvSpPr>
                              <wps:spPr bwMode="auto">
                                <a:xfrm>
                                  <a:off x="2000" y="133998"/>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1349C" w14:textId="77777777" w:rsidR="00847E53" w:rsidRDefault="00847E53" w:rsidP="00194E91">
                                    <w:pPr>
                                      <w:rPr>
                                        <w:b/>
                                      </w:rPr>
                                    </w:pPr>
                                    <w:r>
                                      <w:rPr>
                                        <w:b/>
                                        <w:i/>
                                        <w:iCs/>
                                        <w:color w:val="000000"/>
                                      </w:rPr>
                                      <w:t>online</w:t>
                                    </w:r>
                                  </w:p>
                                </w:txbxContent>
                              </wps:txbx>
                              <wps:bodyPr rot="0" vert="horz" wrap="none" lIns="0" tIns="0" rIns="0" bIns="0" anchor="t" anchorCtr="0" upright="1">
                                <a:spAutoFit/>
                              </wps:bodyPr>
                            </wps:wsp>
                            <wps:wsp>
                              <wps:cNvPr id="3746" name="Rectangle 3746"/>
                              <wps:cNvSpPr>
                                <a:spLocks noChangeArrowheads="1"/>
                              </wps:cNvSpPr>
                              <wps:spPr bwMode="auto">
                                <a:xfrm>
                                  <a:off x="14000"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832ED" w14:textId="77777777" w:rsidR="00847E53" w:rsidRDefault="00847E53" w:rsidP="00194E91">
                                    <w:pPr>
                                      <w:rPr>
                                        <w:b/>
                                      </w:rPr>
                                    </w:pPr>
                                    <w:r>
                                      <w:rPr>
                                        <w:b/>
                                        <w:i/>
                                        <w:iCs/>
                                        <w:color w:val="000000"/>
                                      </w:rPr>
                                      <w:t>All</w:t>
                                    </w:r>
                                  </w:p>
                                </w:txbxContent>
                              </wps:txbx>
                              <wps:bodyPr rot="0" vert="horz" wrap="square" lIns="0" tIns="0" rIns="0" bIns="0" anchor="t" anchorCtr="0" upright="1">
                                <a:spAutoFit/>
                              </wps:bodyPr>
                            </wps:wsp>
                            <wps:wsp>
                              <wps:cNvPr id="3747" name="Rectangle 3747"/>
                              <wps:cNvSpPr>
                                <a:spLocks noChangeArrowheads="1"/>
                              </wps:cNvSpPr>
                              <wps:spPr bwMode="auto">
                                <a:xfrm>
                                  <a:off x="31182" y="1131583"/>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765F8" w14:textId="77777777" w:rsidR="00847E53" w:rsidRDefault="00847E53" w:rsidP="00194E91">
                                    <w:pPr>
                                      <w:rPr>
                                        <w:b/>
                                      </w:rPr>
                                    </w:pPr>
                                    <w:r>
                                      <w:rPr>
                                        <w:b/>
                                        <w:i/>
                                        <w:iCs/>
                                        <w:color w:val="000000"/>
                                      </w:rPr>
                                      <w:t>resource</w:t>
                                    </w:r>
                                  </w:p>
                                </w:txbxContent>
                              </wps:txbx>
                              <wps:bodyPr rot="0" vert="horz" wrap="none" lIns="0" tIns="0" rIns="0" bIns="0" anchor="t" anchorCtr="0" upright="1">
                                <a:spAutoFit/>
                              </wps:bodyPr>
                            </wps:wsp>
                            <wps:wsp>
                              <wps:cNvPr id="3748" name="Rectangle 3748"/>
                              <wps:cNvSpPr>
                                <a:spLocks noChangeArrowheads="1"/>
                              </wps:cNvSpPr>
                              <wps:spPr bwMode="auto">
                                <a:xfrm>
                                  <a:off x="26682"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586E6" w14:textId="77777777" w:rsidR="00847E53" w:rsidRDefault="00847E53" w:rsidP="00194E91">
                                    <w:pPr>
                                      <w:rPr>
                                        <w:b/>
                                      </w:rPr>
                                    </w:pPr>
                                    <w:r>
                                      <w:rPr>
                                        <w:b/>
                                        <w:i/>
                                        <w:iCs/>
                                        <w:color w:val="000000"/>
                                      </w:rPr>
                                      <w:t>FFR</w:t>
                                    </w:r>
                                  </w:p>
                                </w:txbxContent>
                              </wps:txbx>
                              <wps:bodyPr rot="0" vert="horz" wrap="none" lIns="0" tIns="0" rIns="0" bIns="0" anchor="t" anchorCtr="0" upright="1">
                                <a:spAutoFit/>
                              </wps:bodyPr>
                            </wps:wsp>
                            <wps:wsp>
                              <wps:cNvPr id="3749" name="Rectangle 3749"/>
                              <wps:cNvSpPr>
                                <a:spLocks noChangeArrowheads="1"/>
                              </wps:cNvSpPr>
                              <wps:spPr bwMode="auto">
                                <a:xfrm>
                                  <a:off x="142849" y="86358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F774A" w14:textId="77777777" w:rsidR="00847E53" w:rsidRDefault="00847E53" w:rsidP="00194E91">
                                    <w:pPr>
                                      <w:rPr>
                                        <w:b/>
                                      </w:rPr>
                                    </w:pPr>
                                    <w:r>
                                      <w:rPr>
                                        <w:b/>
                                        <w:i/>
                                        <w:iCs/>
                                        <w:color w:val="000000"/>
                                      </w:rPr>
                                      <w:t>online</w:t>
                                    </w:r>
                                  </w:p>
                                </w:txbxContent>
                              </wps:txbx>
                              <wps:bodyPr rot="0" vert="horz" wrap="none" lIns="0" tIns="0" rIns="0" bIns="0" anchor="t" anchorCtr="0" upright="1">
                                <a:spAutoFit/>
                              </wps:bodyPr>
                            </wps:wsp>
                            <wps:wsp>
                              <wps:cNvPr id="3750" name="Rectangle 3750"/>
                              <wps:cNvSpPr>
                                <a:spLocks noChangeArrowheads="1"/>
                              </wps:cNvSpPr>
                              <wps:spPr bwMode="auto">
                                <a:xfrm>
                                  <a:off x="26682" y="86358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9D2EF" w14:textId="77777777" w:rsidR="00847E53" w:rsidRDefault="00847E53" w:rsidP="00194E91">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B5D48B0" id="Group 3611" o:spid="_x0000_s1540" style="position:absolute;left:0;text-align:left;margin-left:43.85pt;margin-top:-20.9pt;width:171.35pt;height:732.7pt;z-index:251684864"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">
                      <v:rect id="Rectangle 3612" o:spid="_x0000_s1541" style="position:absolute;left:14389;top:79667;width:7372;height:1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" filled="f" stroked="f"/>
                      <v:rect id="Rectangle 3613" o:spid="_x0000_s1542" style="position:absolute;left:1396;top:4698;width:2445;height:4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" filled="f" stroked="f">
                        <v:textbox style="mso-fit-shape-to-text:t" inset="0,0,0,0">
                          <w:txbxContent>
                            <w:p w14:paraId="1D32ED65" w14:textId="77777777" w:rsidR="00847E53" w:rsidRDefault="00847E53" w:rsidP="00194E91">
                              <w:r>
                                <w:rPr>
                                  <w:rFonts w:ascii="Symbol" w:hAnsi="Symbol" w:cs="Symbol"/>
                                  <w:color w:val="000000"/>
                                  <w:sz w:val="54"/>
                                  <w:szCs w:val="54"/>
                                </w:rPr>
                                <w:t></w:t>
                              </w:r>
                            </w:p>
                          </w:txbxContent>
                        </v:textbox>
                      </v:rect>
                      <v:rect id="Rectangle 3614" o:spid="_x0000_s1543" style="position:absolute;left:698;top:8489;width:839;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" filled="f" stroked="f">
                        <v:textbox style="mso-fit-shape-to-text:t" inset="0,0,0,0">
                          <w:txbxContent>
                            <w:p w14:paraId="6EDD96CF" w14:textId="77777777" w:rsidR="00847E53" w:rsidRDefault="00847E53" w:rsidP="00194E91">
                              <w:r>
                                <w:rPr>
                                  <w:rFonts w:ascii="Symbol" w:hAnsi="Symbol" w:cs="Symbol"/>
                                  <w:color w:val="000000"/>
                                </w:rPr>
                                <w:t></w:t>
                              </w:r>
                            </w:p>
                          </w:txbxContent>
                        </v:textbox>
                      </v:rect>
                      <v:rect id="Rectangle 3615" o:spid="_x0000_s1544" style="position:absolute;left:39;top:4019;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" filled="f" stroked="f">
                        <v:textbox style="mso-fit-shape-to-text:t" inset="0,0,0,0">
                          <w:txbxContent>
                            <w:p w14:paraId="0D383EB5" w14:textId="77777777" w:rsidR="00847E53" w:rsidRDefault="00847E53" w:rsidP="00194E91">
                              <w:pPr>
                                <w:rPr>
                                  <w:b/>
                                </w:rPr>
                              </w:pPr>
                              <w:r>
                                <w:rPr>
                                  <w:b/>
                                  <w:i/>
                                  <w:iCs/>
                                  <w:color w:val="000000"/>
                                </w:rPr>
                                <w:t>resources</w:t>
                              </w:r>
                            </w:p>
                          </w:txbxContent>
                        </v:textbox>
                      </v:rect>
                      <v:rect id="Rectangle 3744" o:spid="_x0000_s1545" style="position:absolute;top:2679;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" filled="f" stroked="f">
                        <v:textbox style="mso-fit-shape-to-text:t" inset="0,0,0,0">
                          <w:txbxContent>
                            <w:p w14:paraId="0BD95215" w14:textId="77777777" w:rsidR="00847E53" w:rsidRDefault="00847E53" w:rsidP="00194E91">
                              <w:pPr>
                                <w:rPr>
                                  <w:b/>
                                </w:rPr>
                              </w:pPr>
                              <w:r>
                                <w:rPr>
                                  <w:b/>
                                  <w:i/>
                                  <w:iCs/>
                                  <w:color w:val="000000"/>
                                </w:rPr>
                                <w:t>FFR</w:t>
                              </w:r>
                            </w:p>
                          </w:txbxContent>
                        </v:textbox>
                      </v:rect>
                      <v:rect id="Rectangle 3745" o:spid="_x0000_s1546" style="position:absolute;left:20;top:1339;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" filled="f" stroked="f">
                        <v:textbox style="mso-fit-shape-to-text:t" inset="0,0,0,0">
                          <w:txbxContent>
                            <w:p w14:paraId="3731349C" w14:textId="77777777" w:rsidR="00847E53" w:rsidRDefault="00847E53" w:rsidP="00194E91">
                              <w:pPr>
                                <w:rPr>
                                  <w:b/>
                                </w:rPr>
                              </w:pPr>
                              <w:r>
                                <w:rPr>
                                  <w:b/>
                                  <w:i/>
                                  <w:iCs/>
                                  <w:color w:val="000000"/>
                                </w:rPr>
                                <w:t>online</w:t>
                              </w:r>
                            </w:p>
                          </w:txbxContent>
                        </v:textbox>
                      </v:rect>
                      <v:rect id="Rectangle 3746" o:spid="_x0000_s1547" style="position:absolute;left:140;width:2178;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" filled="f" stroked="f">
                        <v:textbox style="mso-fit-shape-to-text:t" inset="0,0,0,0">
                          <w:txbxContent>
                            <w:p w14:paraId="4D7832ED" w14:textId="77777777" w:rsidR="00847E53" w:rsidRDefault="00847E53" w:rsidP="00194E91">
                              <w:pPr>
                                <w:rPr>
                                  <w:b/>
                                </w:rPr>
                              </w:pPr>
                              <w:r>
                                <w:rPr>
                                  <w:b/>
                                  <w:i/>
                                  <w:iCs/>
                                  <w:color w:val="000000"/>
                                </w:rPr>
                                <w:t>All</w:t>
                              </w:r>
                            </w:p>
                          </w:txbxContent>
                        </v:textbox>
                      </v:rect>
                      <v:rect id="Rectangle 3747" o:spid="_x0000_s1548" style="position:absolute;left:311;top:11315;width:542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" filled="f" stroked="f">
                        <v:textbox style="mso-fit-shape-to-text:t" inset="0,0,0,0">
                          <w:txbxContent>
                            <w:p w14:paraId="064765F8" w14:textId="77777777" w:rsidR="00847E53" w:rsidRDefault="00847E53" w:rsidP="00194E91">
                              <w:pPr>
                                <w:rPr>
                                  <w:b/>
                                </w:rPr>
                              </w:pPr>
                              <w:r>
                                <w:rPr>
                                  <w:b/>
                                  <w:i/>
                                  <w:iCs/>
                                  <w:color w:val="000000"/>
                                </w:rPr>
                                <w:t>resource</w:t>
                              </w:r>
                            </w:p>
                          </w:txbxContent>
                        </v:textbox>
                      </v:rect>
                      <v:rect id="Rectangle 3748" o:spid="_x0000_s1549" style="position:absolute;left:266;top:9975;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" filled="f" stroked="f">
                        <v:textbox style="mso-fit-shape-to-text:t" inset="0,0,0,0">
                          <w:txbxContent>
                            <w:p w14:paraId="61D586E6" w14:textId="77777777" w:rsidR="00847E53" w:rsidRDefault="00847E53" w:rsidP="00194E91">
                              <w:pPr>
                                <w:rPr>
                                  <w:b/>
                                </w:rPr>
                              </w:pPr>
                              <w:r>
                                <w:rPr>
                                  <w:b/>
                                  <w:i/>
                                  <w:iCs/>
                                  <w:color w:val="000000"/>
                                </w:rPr>
                                <w:t>FFR</w:t>
                              </w:r>
                            </w:p>
                          </w:txbxContent>
                        </v:textbox>
                      </v:rect>
                      <v:rect id="Rectangle 3749" o:spid="_x0000_s1550" style="position:absolute;left:1428;top:8635;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" filled="f" stroked="f">
                        <v:textbox style="mso-fit-shape-to-text:t" inset="0,0,0,0">
                          <w:txbxContent>
                            <w:p w14:paraId="72AF774A" w14:textId="77777777" w:rsidR="00847E53" w:rsidRDefault="00847E53" w:rsidP="00194E91">
                              <w:pPr>
                                <w:rPr>
                                  <w:b/>
                                </w:rPr>
                              </w:pPr>
                              <w:r>
                                <w:rPr>
                                  <w:b/>
                                  <w:i/>
                                  <w:iCs/>
                                  <w:color w:val="000000"/>
                                </w:rPr>
                                <w:t>online</w:t>
                              </w:r>
                            </w:p>
                          </w:txbxContent>
                        </v:textbox>
                      </v:rect>
                      <v:rect id="Rectangle 3750" o:spid="_x0000_s1551" style="position:absolute;left:266;top:8635;width:42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" filled="f" stroked="f">
                        <v:textbox style="mso-fit-shape-to-text:t" inset="0,0,0,0">
                          <w:txbxContent>
                            <w:p w14:paraId="6219D2EF" w14:textId="77777777" w:rsidR="00847E53" w:rsidRDefault="00847E53" w:rsidP="00194E91">
                              <w:pPr>
                                <w:rPr>
                                  <w:b/>
                                </w:rPr>
                              </w:pPr>
                              <w:r>
                                <w:rPr>
                                  <w:b/>
                                  <w:i/>
                                  <w:iCs/>
                                  <w:color w:val="000000"/>
                                </w:rPr>
                                <w:t>i</w:t>
                              </w:r>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18359275" w14:textId="77777777" w:rsidR="00194E91" w:rsidRDefault="00194E91" w:rsidP="00194E91">
            <w:pPr>
              <w:spacing w:before="480"/>
              <w:ind w:left="720" w:hanging="720"/>
              <w:rPr>
                <w:b/>
                <w:position w:val="30"/>
                <w:sz w:val="20"/>
              </w:rPr>
            </w:pPr>
          </w:p>
          <w:p w14:paraId="5A40581C" w14:textId="77777777" w:rsidR="00194E91" w:rsidRDefault="00194E91" w:rsidP="00194E91">
            <w:pPr>
              <w:ind w:left="720" w:hanging="720"/>
              <w:rPr>
                <w:b/>
                <w:position w:val="30"/>
                <w:sz w:val="20"/>
              </w:rPr>
            </w:pPr>
          </w:p>
          <w:p w14:paraId="3C570DD9" w14:textId="47812E51" w:rsidR="00194E91" w:rsidRDefault="00194E91" w:rsidP="00194E91">
            <w:pPr>
              <w:tabs>
                <w:tab w:val="left" w:pos="2160"/>
              </w:tabs>
              <w:spacing w:before="480"/>
              <w:ind w:left="2160" w:hanging="2160"/>
              <w:rPr>
                <w:b/>
                <w:position w:val="30"/>
                <w:sz w:val="20"/>
              </w:rPr>
            </w:pPr>
            <w:r>
              <w:rPr>
                <w:noProof/>
              </w:rPr>
              <mc:AlternateContent>
                <mc:Choice Requires="wpc">
                  <w:drawing>
                    <wp:anchor distT="0" distB="0" distL="114300" distR="114300" simplePos="0" relativeHeight="251687936" behindDoc="0" locked="0" layoutInCell="1" allowOverlap="1" wp14:anchorId="0DF279E2" wp14:editId="2A3A9CC2">
                      <wp:simplePos x="0" y="0"/>
                      <wp:positionH relativeFrom="column">
                        <wp:posOffset>483870</wp:posOffset>
                      </wp:positionH>
                      <wp:positionV relativeFrom="paragraph">
                        <wp:posOffset>43815</wp:posOffset>
                      </wp:positionV>
                      <wp:extent cx="960755" cy="1369060"/>
                      <wp:effectExtent l="0" t="0" r="10795" b="2540"/>
                      <wp:wrapNone/>
                      <wp:docPr id="3872"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62" name="Rectangle 71"/>
                              <wps:cNvSpPr>
                                <a:spLocks noChangeArrowheads="1"/>
                              </wps:cNvSpPr>
                              <wps:spPr bwMode="auto">
                                <a:xfrm>
                                  <a:off x="141991" y="564542"/>
                                  <a:ext cx="177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857D2" w14:textId="77777777" w:rsidR="00847E53" w:rsidRPr="00B074A0" w:rsidRDefault="00847E53" w:rsidP="00194E91">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3863" name="Rectangle 72"/>
                              <wps:cNvSpPr>
                                <a:spLocks noChangeArrowheads="1"/>
                              </wps:cNvSpPr>
                              <wps:spPr bwMode="auto">
                                <a:xfrm>
                                  <a:off x="101606"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1F298"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864" name="Rectangle 73"/>
                              <wps:cNvSpPr>
                                <a:spLocks noChangeArrowheads="1"/>
                              </wps:cNvSpPr>
                              <wps:spPr bwMode="auto">
                                <a:xfrm>
                                  <a:off x="35602" y="372754"/>
                                  <a:ext cx="925153"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1390B" w14:textId="77777777" w:rsidR="00847E53" w:rsidRPr="00B34B0A" w:rsidRDefault="00847E53" w:rsidP="00194E91">
                                    <w:pPr>
                                      <w:rPr>
                                        <w:b/>
                                      </w:rPr>
                                    </w:pPr>
                                    <w:r>
                                      <w:rPr>
                                        <w:b/>
                                        <w:i/>
                                        <w:iCs/>
                                        <w:color w:val="000000"/>
                                      </w:rPr>
                                      <w:t>ESR</w:t>
                                    </w:r>
                                  </w:p>
                                </w:txbxContent>
                              </wps:txbx>
                              <wps:bodyPr rot="0" vert="horz" wrap="square" lIns="0" tIns="0" rIns="0" bIns="0" anchor="t" anchorCtr="0" upright="1">
                                <a:spAutoFit/>
                              </wps:bodyPr>
                            </wps:wsp>
                            <wps:wsp>
                              <wps:cNvPr id="3865"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30CE7" w14:textId="77777777" w:rsidR="00847E53" w:rsidRPr="00B34B0A" w:rsidRDefault="00847E53" w:rsidP="00194E91">
                                    <w:pPr>
                                      <w:rPr>
                                        <w:b/>
                                      </w:rPr>
                                    </w:pPr>
                                  </w:p>
                                </w:txbxContent>
                              </wps:txbx>
                              <wps:bodyPr rot="0" vert="horz" wrap="none" lIns="0" tIns="0" rIns="0" bIns="0" anchor="t" anchorCtr="0" upright="1">
                                <a:spAutoFit/>
                              </wps:bodyPr>
                            </wps:wsp>
                            <wps:wsp>
                              <wps:cNvPr id="3866" name="Rectangle 75"/>
                              <wps:cNvSpPr>
                                <a:spLocks noChangeArrowheads="1"/>
                              </wps:cNvSpPr>
                              <wps:spPr bwMode="auto">
                                <a:xfrm>
                                  <a:off x="25518" y="197459"/>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1AD59"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867"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F9AF1" w14:textId="77777777" w:rsidR="00847E53" w:rsidRPr="00B34B0A" w:rsidRDefault="00847E53" w:rsidP="00194E91">
                                    <w:pPr>
                                      <w:rPr>
                                        <w:b/>
                                      </w:rPr>
                                    </w:pPr>
                                    <w:r w:rsidRPr="00B34B0A">
                                      <w:rPr>
                                        <w:b/>
                                        <w:i/>
                                        <w:iCs/>
                                        <w:color w:val="000000"/>
                                      </w:rPr>
                                      <w:t>All</w:t>
                                    </w:r>
                                  </w:p>
                                </w:txbxContent>
                              </wps:txbx>
                              <wps:bodyPr rot="0" vert="horz" wrap="square" lIns="0" tIns="0" rIns="0" bIns="0" anchor="t" anchorCtr="0" upright="1">
                                <a:spAutoFit/>
                              </wps:bodyPr>
                            </wps:wsp>
                            <wps:wsp>
                              <wps:cNvPr id="3868"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E0633" w14:textId="77777777" w:rsidR="00847E53" w:rsidRPr="00B34B0A" w:rsidRDefault="00847E53" w:rsidP="00194E91">
                                    <w:pPr>
                                      <w:rPr>
                                        <w:b/>
                                      </w:rPr>
                                    </w:pPr>
                                  </w:p>
                                </w:txbxContent>
                              </wps:txbx>
                              <wps:bodyPr rot="0" vert="horz" wrap="none" lIns="0" tIns="0" rIns="0" bIns="0" anchor="t" anchorCtr="0" upright="1">
                                <a:spAutoFit/>
                              </wps:bodyPr>
                            </wps:wsp>
                            <wps:wsp>
                              <wps:cNvPr id="3869" name="Rectangle 78"/>
                              <wps:cNvSpPr>
                                <a:spLocks noChangeArrowheads="1"/>
                              </wps:cNvSpPr>
                              <wps:spPr bwMode="auto">
                                <a:xfrm>
                                  <a:off x="58403" y="1019770"/>
                                  <a:ext cx="289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9EEA1" w14:textId="77777777" w:rsidR="00847E53" w:rsidRPr="00B34B0A" w:rsidRDefault="00847E53" w:rsidP="00194E91">
                                    <w:pPr>
                                      <w:rPr>
                                        <w:b/>
                                      </w:rPr>
                                    </w:pPr>
                                    <w:r>
                                      <w:rPr>
                                        <w:b/>
                                        <w:i/>
                                        <w:iCs/>
                                        <w:color w:val="000000"/>
                                      </w:rPr>
                                      <w:t>ESR</w:t>
                                    </w:r>
                                  </w:p>
                                </w:txbxContent>
                              </wps:txbx>
                              <wps:bodyPr rot="0" vert="horz" wrap="none" lIns="0" tIns="0" rIns="0" bIns="0" anchor="t" anchorCtr="0" upright="1">
                                <a:spAutoFit/>
                              </wps:bodyPr>
                            </wps:wsp>
                            <wps:wsp>
                              <wps:cNvPr id="3870" name="Rectangle 79"/>
                              <wps:cNvSpPr>
                                <a:spLocks noChangeArrowheads="1"/>
                              </wps:cNvSpPr>
                              <wps:spPr bwMode="auto">
                                <a:xfrm>
                                  <a:off x="174610"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85653"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871" name="Rectangle 80"/>
                              <wps:cNvSpPr>
                                <a:spLocks noChangeArrowheads="1"/>
                              </wps:cNvSpPr>
                              <wps:spPr bwMode="auto">
                                <a:xfrm>
                                  <a:off x="58403"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EEDDD" w14:textId="77777777" w:rsidR="00847E53" w:rsidRPr="00B34B0A" w:rsidRDefault="00847E53"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DF279E2" id="_x0000_s1552" editas="canvas" style="position:absolute;left:0;text-align:left;margin-left:38.1pt;margin-top:3.45pt;width:75.65pt;height:107.8pt;z-index:251687936"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">
                      <v:shape id="_x0000_s1553" type="#_x0000_t75" style="position:absolute;width:9607;height:13690;visibility:visible;mso-wrap-style:square">
                        <v:fill o:detectmouseclick="t"/>
                        <v:path o:connecttype="none"/>
                      </v:shape>
                      <v:rect id="Rectangle 71" o:spid="_x0000_s1554" style="position:absolute;left:1419;top:5645;width:1778;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" filled="f" stroked="f">
                        <v:textbox style="mso-fit-shape-to-text:t" inset="0,0,0,0">
                          <w:txbxContent>
                            <w:p w14:paraId="6C9857D2" w14:textId="77777777" w:rsidR="00847E53" w:rsidRPr="00B074A0" w:rsidRDefault="00847E53" w:rsidP="00194E91">
                              <w:pPr>
                                <w:rPr>
                                  <w:sz w:val="32"/>
                                  <w:szCs w:val="32"/>
                                </w:rPr>
                              </w:pPr>
                              <w:r w:rsidRPr="00B074A0">
                                <w:rPr>
                                  <w:rFonts w:ascii="Symbol" w:hAnsi="Symbol" w:cs="Symbol"/>
                                  <w:color w:val="000000"/>
                                  <w:sz w:val="32"/>
                                  <w:szCs w:val="32"/>
                                </w:rPr>
                                <w:t></w:t>
                              </w:r>
                            </w:p>
                          </w:txbxContent>
                        </v:textbox>
                      </v:rect>
                      <v:rect id="Rectangle 72" o:spid="_x0000_s1555"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" filled="f" stroked="f">
                        <v:textbox style="mso-fit-shape-to-text:t" inset="0,0,0,0">
                          <w:txbxContent>
                            <w:p w14:paraId="3411F298" w14:textId="77777777" w:rsidR="00847E53" w:rsidRDefault="00847E53" w:rsidP="00194E91">
                              <w:r>
                                <w:rPr>
                                  <w:rFonts w:ascii="Symbol" w:hAnsi="Symbol" w:cs="Symbol"/>
                                  <w:color w:val="000000"/>
                                </w:rPr>
                                <w:t></w:t>
                              </w:r>
                            </w:p>
                          </w:txbxContent>
                        </v:textbox>
                      </v:rect>
                      <v:rect id="Rectangle 73" o:spid="_x0000_s1556" style="position:absolute;left:356;top:3727;width:925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" filled="f" stroked="f">
                        <v:textbox style="mso-fit-shape-to-text:t" inset="0,0,0,0">
                          <w:txbxContent>
                            <w:p w14:paraId="6FE1390B" w14:textId="77777777" w:rsidR="00847E53" w:rsidRPr="00B34B0A" w:rsidRDefault="00847E53" w:rsidP="00194E91">
                              <w:pPr>
                                <w:rPr>
                                  <w:b/>
                                </w:rPr>
                              </w:pPr>
                              <w:r>
                                <w:rPr>
                                  <w:b/>
                                  <w:i/>
                                  <w:iCs/>
                                  <w:color w:val="000000"/>
                                </w:rPr>
                                <w:t>ESR</w:t>
                              </w:r>
                            </w:p>
                          </w:txbxContent>
                        </v:textbox>
                      </v:rect>
                      <v:rect id="Rectangle 74" o:spid="_x0000_s1557" style="position:absolute;left:317;top:2901;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" filled="f" stroked="f">
                        <v:textbox style="mso-fit-shape-to-text:t" inset="0,0,0,0">
                          <w:txbxContent>
                            <w:p w14:paraId="3E830CE7" w14:textId="77777777" w:rsidR="00847E53" w:rsidRPr="00B34B0A" w:rsidRDefault="00847E53" w:rsidP="00194E91">
                              <w:pPr>
                                <w:rPr>
                                  <w:b/>
                                </w:rPr>
                              </w:pPr>
                            </w:p>
                          </w:txbxContent>
                        </v:textbox>
                      </v:rect>
                      <v:rect id="Rectangle 75" o:spid="_x0000_s1558" style="position:absolute;left:255;top:1974;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" filled="f" stroked="f">
                        <v:textbox style="mso-fit-shape-to-text:t" inset="0,0,0,0">
                          <w:txbxContent>
                            <w:p w14:paraId="4FA1AD59" w14:textId="77777777" w:rsidR="00847E53" w:rsidRPr="00B34B0A" w:rsidRDefault="00847E53" w:rsidP="00194E91">
                              <w:pPr>
                                <w:rPr>
                                  <w:b/>
                                </w:rPr>
                              </w:pPr>
                              <w:r w:rsidRPr="00B34B0A">
                                <w:rPr>
                                  <w:b/>
                                  <w:i/>
                                  <w:iCs/>
                                  <w:color w:val="000000"/>
                                </w:rPr>
                                <w:t>online</w:t>
                              </w:r>
                            </w:p>
                          </w:txbxContent>
                        </v:textbox>
                      </v:rect>
                      <v:rect id="Rectangle 76" o:spid="_x0000_s1559" style="position:absolute;left:457;top:221;width:217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" filled="f" stroked="f">
                        <v:textbox style="mso-fit-shape-to-text:t" inset="0,0,0,0">
                          <w:txbxContent>
                            <w:p w14:paraId="4B4F9AF1" w14:textId="77777777" w:rsidR="00847E53" w:rsidRPr="00B34B0A" w:rsidRDefault="00847E53" w:rsidP="00194E91">
                              <w:pPr>
                                <w:rPr>
                                  <w:b/>
                                </w:rPr>
                              </w:pPr>
                              <w:r w:rsidRPr="00B34B0A">
                                <w:rPr>
                                  <w:b/>
                                  <w:i/>
                                  <w:iCs/>
                                  <w:color w:val="000000"/>
                                </w:rPr>
                                <w:t>All</w:t>
                              </w:r>
                            </w:p>
                          </w:txbxContent>
                        </v:textbox>
                      </v:rect>
                      <v:rect id="Rectangle 77" o:spid="_x0000_s1560" style="position:absolute;left:629;top:11537;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" filled="f" stroked="f">
                        <v:textbox style="mso-fit-shape-to-text:t" inset="0,0,0,0">
                          <w:txbxContent>
                            <w:p w14:paraId="0DDE0633" w14:textId="77777777" w:rsidR="00847E53" w:rsidRPr="00B34B0A" w:rsidRDefault="00847E53" w:rsidP="00194E91">
                              <w:pPr>
                                <w:rPr>
                                  <w:b/>
                                </w:rPr>
                              </w:pPr>
                            </w:p>
                          </w:txbxContent>
                        </v:textbox>
                      </v:rect>
                      <v:rect id="Rectangle 78" o:spid="_x0000_s1561" style="position:absolute;left:584;top:10197;width:289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" filled="f" stroked="f">
                        <v:textbox style="mso-fit-shape-to-text:t" inset="0,0,0,0">
                          <w:txbxContent>
                            <w:p w14:paraId="4049EEA1" w14:textId="77777777" w:rsidR="00847E53" w:rsidRPr="00B34B0A" w:rsidRDefault="00847E53" w:rsidP="00194E91">
                              <w:pPr>
                                <w:rPr>
                                  <w:b/>
                                </w:rPr>
                              </w:pPr>
                              <w:r>
                                <w:rPr>
                                  <w:b/>
                                  <w:i/>
                                  <w:iCs/>
                                  <w:color w:val="000000"/>
                                </w:rPr>
                                <w:t>ESR</w:t>
                              </w:r>
                            </w:p>
                          </w:txbxContent>
                        </v:textbox>
                      </v:rect>
                      <v:rect id="Rectangle 79" o:spid="_x0000_s1562"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" filled="f" stroked="f">
                        <v:textbox style="mso-fit-shape-to-text:t" inset="0,0,0,0">
                          <w:txbxContent>
                            <w:p w14:paraId="12C85653" w14:textId="77777777" w:rsidR="00847E53" w:rsidRPr="00B34B0A" w:rsidRDefault="00847E53" w:rsidP="00194E91">
                              <w:pPr>
                                <w:rPr>
                                  <w:b/>
                                </w:rPr>
                              </w:pPr>
                              <w:r w:rsidRPr="00B34B0A">
                                <w:rPr>
                                  <w:b/>
                                  <w:i/>
                                  <w:iCs/>
                                  <w:color w:val="000000"/>
                                </w:rPr>
                                <w:t>online</w:t>
                              </w:r>
                            </w:p>
                          </w:txbxContent>
                        </v:textbox>
                      </v:rect>
                      <v:rect id="Rectangle 80" o:spid="_x0000_s1563"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" filled="f" stroked="f">
                        <v:textbox style="mso-fit-shape-to-text:t" inset="0,0,0,0">
                          <w:txbxContent>
                            <w:p w14:paraId="7F5EEDDD" w14:textId="77777777" w:rsidR="00847E53" w:rsidRPr="00B34B0A" w:rsidRDefault="00847E53" w:rsidP="00194E91">
                              <w:pPr>
                                <w:rPr>
                                  <w:b/>
                                </w:rPr>
                              </w:pPr>
                              <w:r w:rsidRPr="00B34B0A">
                                <w:rPr>
                                  <w:b/>
                                  <w:i/>
                                  <w:iCs/>
                                  <w:color w:val="000000"/>
                                </w:rPr>
                                <w:t>i</w:t>
                              </w:r>
                            </w:p>
                          </w:txbxContent>
                        </v:textbox>
                      </v:rect>
                    </v:group>
                  </w:pict>
                </mc:Fallback>
              </mc:AlternateContent>
            </w:r>
            <w:r w:rsidRPr="006A3321">
              <w:rPr>
                <w:b/>
                <w:position w:val="30"/>
                <w:sz w:val="20"/>
              </w:rPr>
              <w:t>PRC</w:t>
            </w:r>
            <w:r>
              <w:rPr>
                <w:b/>
                <w:position w:val="30"/>
                <w:sz w:val="20"/>
                <w:vertAlign w:val="subscript"/>
              </w:rPr>
              <w:t>8</w:t>
            </w:r>
            <w:r w:rsidRPr="006A3321">
              <w:rPr>
                <w:b/>
                <w:position w:val="30"/>
                <w:sz w:val="20"/>
              </w:rPr>
              <w:t xml:space="preserve"> =</w:t>
            </w:r>
            <w:r w:rsidRPr="006A3321">
              <w:rPr>
                <w:b/>
                <w:position w:val="30"/>
                <w:sz w:val="20"/>
              </w:rPr>
              <w:tab/>
            </w:r>
            <w:r>
              <w:rPr>
                <w:b/>
                <w:position w:val="30"/>
                <w:sz w:val="20"/>
              </w:rPr>
              <w:t xml:space="preserve">(If discharging or idle, Min(X% of HSL based on droop, HSL-ESR-Gen “injection”, the capacity that can be sustained for </w:t>
            </w:r>
            <w:r w:rsidR="00901D94">
              <w:rPr>
                <w:b/>
                <w:position w:val="30"/>
                <w:sz w:val="20"/>
              </w:rPr>
              <w:t>4</w:t>
            </w:r>
            <w:r>
              <w:rPr>
                <w:b/>
                <w:position w:val="30"/>
                <w:sz w:val="20"/>
              </w:rPr>
              <w:t xml:space="preserve">5 minutes per the State of Charge), else Min(X% of (HSL – LSL(ESR “charging”) based on droop, the capacity that can be sustained for </w:t>
            </w:r>
            <w:r w:rsidR="00901D94">
              <w:rPr>
                <w:b/>
                <w:position w:val="30"/>
                <w:sz w:val="20"/>
              </w:rPr>
              <w:t>4</w:t>
            </w:r>
            <w:r>
              <w:rPr>
                <w:b/>
                <w:position w:val="30"/>
                <w:sz w:val="20"/>
              </w:rPr>
              <w:t xml:space="preserve">5 minutes per the State of Charge – LSL(ESR “charging”))) </w:t>
            </w:r>
          </w:p>
          <w:p w14:paraId="348F909F" w14:textId="097A6EC2" w:rsidR="00147C3B" w:rsidRDefault="00194E91" w:rsidP="00147C3B">
            <w:pPr>
              <w:ind w:left="720" w:hanging="720"/>
              <w:rPr>
                <w:b/>
                <w:position w:val="30"/>
                <w:sz w:val="20"/>
              </w:rPr>
            </w:pPr>
            <w:r>
              <w:rPr>
                <w:b/>
                <w:position w:val="30"/>
                <w:sz w:val="20"/>
              </w:rPr>
              <w:t>Excludes ESR capacity used to provide FFR</w:t>
            </w:r>
            <w:r w:rsidR="0069524B">
              <w:rPr>
                <w:b/>
                <w:position w:val="30"/>
                <w:sz w:val="20"/>
              </w:rPr>
              <w:t>.</w:t>
            </w:r>
            <w:r w:rsidRPr="003161DC">
              <w:rPr>
                <w:b/>
                <w:position w:val="30"/>
                <w:sz w:val="20"/>
              </w:rPr>
              <w:t xml:space="preserve"> </w:t>
            </w:r>
          </w:p>
          <w:p w14:paraId="79AB4C98" w14:textId="69BE3E12" w:rsidR="00C952ED" w:rsidRDefault="00C952ED" w:rsidP="00C952ED">
            <w:pPr>
              <w:tabs>
                <w:tab w:val="left" w:pos="2160"/>
              </w:tabs>
              <w:spacing w:before="480"/>
              <w:ind w:left="2160" w:hanging="2160"/>
              <w:rPr>
                <w:b/>
                <w:position w:val="30"/>
                <w:sz w:val="20"/>
              </w:rPr>
            </w:pPr>
            <w:r>
              <w:rPr>
                <w:noProof/>
              </w:rPr>
              <mc:AlternateContent>
                <mc:Choice Requires="wpc">
                  <w:drawing>
                    <wp:anchor distT="0" distB="0" distL="114300" distR="114300" simplePos="0" relativeHeight="251693056" behindDoc="0" locked="0" layoutInCell="1" allowOverlap="1" wp14:anchorId="781BC52B" wp14:editId="5C6807B1">
                      <wp:simplePos x="0" y="0"/>
                      <wp:positionH relativeFrom="column">
                        <wp:posOffset>437183</wp:posOffset>
                      </wp:positionH>
                      <wp:positionV relativeFrom="paragraph">
                        <wp:posOffset>63389</wp:posOffset>
                      </wp:positionV>
                      <wp:extent cx="960755" cy="1369060"/>
                      <wp:effectExtent l="0" t="0" r="10795" b="2540"/>
                      <wp:wrapNone/>
                      <wp:docPr id="3897"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87" name="Rectangle 71"/>
                              <wps:cNvSpPr>
                                <a:spLocks noChangeArrowheads="1"/>
                              </wps:cNvSpPr>
                              <wps:spPr bwMode="auto">
                                <a:xfrm>
                                  <a:off x="136182" y="675861"/>
                                  <a:ext cx="17843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3C2F4" w14:textId="77777777" w:rsidR="00847E53" w:rsidRPr="00B074A0" w:rsidRDefault="00847E53" w:rsidP="00C952ED">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3888" name="Rectangle 72"/>
                              <wps:cNvSpPr>
                                <a:spLocks noChangeArrowheads="1"/>
                              </wps:cNvSpPr>
                              <wps:spPr bwMode="auto">
                                <a:xfrm>
                                  <a:off x="101606"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ACEE7" w14:textId="77777777" w:rsidR="00847E53" w:rsidRDefault="00847E53" w:rsidP="00C952ED">
                                    <w:r>
                                      <w:rPr>
                                        <w:rFonts w:ascii="Symbol" w:hAnsi="Symbol" w:cs="Symbol"/>
                                        <w:color w:val="000000"/>
                                      </w:rPr>
                                      <w:t></w:t>
                                    </w:r>
                                  </w:p>
                                </w:txbxContent>
                              </wps:txbx>
                              <wps:bodyPr rot="0" vert="horz" wrap="none" lIns="0" tIns="0" rIns="0" bIns="0" anchor="t" anchorCtr="0" upright="1">
                                <a:spAutoFit/>
                              </wps:bodyPr>
                            </wps:wsp>
                            <wps:wsp>
                              <wps:cNvPr id="3889" name="Rectangle 73"/>
                              <wps:cNvSpPr>
                                <a:spLocks noChangeArrowheads="1"/>
                              </wps:cNvSpPr>
                              <wps:spPr bwMode="auto">
                                <a:xfrm>
                                  <a:off x="35596" y="372754"/>
                                  <a:ext cx="92519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03999" w14:textId="77777777" w:rsidR="00847E53" w:rsidRPr="00B34B0A" w:rsidRDefault="00847E53" w:rsidP="00C952ED">
                                    <w:pPr>
                                      <w:rPr>
                                        <w:b/>
                                      </w:rPr>
                                    </w:pPr>
                                    <w:r>
                                      <w:rPr>
                                        <w:b/>
                                        <w:i/>
                                        <w:iCs/>
                                        <w:color w:val="000000"/>
                                      </w:rPr>
                                      <w:t>DC-Coupled Resources</w:t>
                                    </w:r>
                                  </w:p>
                                </w:txbxContent>
                              </wps:txbx>
                              <wps:bodyPr rot="0" vert="horz" wrap="square" lIns="0" tIns="0" rIns="0" bIns="0" anchor="t" anchorCtr="0" upright="1">
                                <a:spAutoFit/>
                              </wps:bodyPr>
                            </wps:wsp>
                            <wps:wsp>
                              <wps:cNvPr id="3890"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E9FF1" w14:textId="77777777" w:rsidR="00847E53" w:rsidRPr="00B34B0A" w:rsidRDefault="00847E53" w:rsidP="00C952ED">
                                    <w:pPr>
                                      <w:rPr>
                                        <w:b/>
                                      </w:rPr>
                                    </w:pPr>
                                  </w:p>
                                </w:txbxContent>
                              </wps:txbx>
                              <wps:bodyPr rot="0" vert="horz" wrap="none" lIns="0" tIns="0" rIns="0" bIns="0" anchor="t" anchorCtr="0" upright="1">
                                <a:spAutoFit/>
                              </wps:bodyPr>
                            </wps:wsp>
                            <wps:wsp>
                              <wps:cNvPr id="3891" name="Rectangle 75"/>
                              <wps:cNvSpPr>
                                <a:spLocks noChangeArrowheads="1"/>
                              </wps:cNvSpPr>
                              <wps:spPr bwMode="auto">
                                <a:xfrm>
                                  <a:off x="25518" y="197459"/>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409D8" w14:textId="77777777" w:rsidR="00847E53" w:rsidRPr="00B34B0A" w:rsidRDefault="00847E53" w:rsidP="00C952ED">
                                    <w:pPr>
                                      <w:rPr>
                                        <w:b/>
                                      </w:rPr>
                                    </w:pPr>
                                    <w:r w:rsidRPr="00B34B0A">
                                      <w:rPr>
                                        <w:b/>
                                        <w:i/>
                                        <w:iCs/>
                                        <w:color w:val="000000"/>
                                      </w:rPr>
                                      <w:t>online</w:t>
                                    </w:r>
                                  </w:p>
                                </w:txbxContent>
                              </wps:txbx>
                              <wps:bodyPr rot="0" vert="horz" wrap="none" lIns="0" tIns="0" rIns="0" bIns="0" anchor="t" anchorCtr="0" upright="1">
                                <a:spAutoFit/>
                              </wps:bodyPr>
                            </wps:wsp>
                            <wps:wsp>
                              <wps:cNvPr id="3892"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61BC7" w14:textId="77777777" w:rsidR="00847E53" w:rsidRPr="00B34B0A" w:rsidRDefault="00847E53" w:rsidP="00C952ED">
                                    <w:pPr>
                                      <w:rPr>
                                        <w:b/>
                                      </w:rPr>
                                    </w:pPr>
                                    <w:r w:rsidRPr="00B34B0A">
                                      <w:rPr>
                                        <w:b/>
                                        <w:i/>
                                        <w:iCs/>
                                        <w:color w:val="000000"/>
                                      </w:rPr>
                                      <w:t>All</w:t>
                                    </w:r>
                                  </w:p>
                                </w:txbxContent>
                              </wps:txbx>
                              <wps:bodyPr rot="0" vert="horz" wrap="square" lIns="0" tIns="0" rIns="0" bIns="0" anchor="t" anchorCtr="0" upright="1">
                                <a:spAutoFit/>
                              </wps:bodyPr>
                            </wps:wsp>
                            <wps:wsp>
                              <wps:cNvPr id="3893"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F97E1" w14:textId="77777777" w:rsidR="00847E53" w:rsidRPr="00B34B0A" w:rsidRDefault="00847E53" w:rsidP="00C952ED">
                                    <w:pPr>
                                      <w:rPr>
                                        <w:b/>
                                      </w:rPr>
                                    </w:pPr>
                                  </w:p>
                                </w:txbxContent>
                              </wps:txbx>
                              <wps:bodyPr rot="0" vert="horz" wrap="none" lIns="0" tIns="0" rIns="0" bIns="0" anchor="t" anchorCtr="0" upright="1">
                                <a:spAutoFit/>
                              </wps:bodyPr>
                            </wps:wsp>
                            <wps:wsp>
                              <wps:cNvPr id="3894" name="Rectangle 78"/>
                              <wps:cNvSpPr>
                                <a:spLocks noChangeArrowheads="1"/>
                              </wps:cNvSpPr>
                              <wps:spPr bwMode="auto">
                                <a:xfrm>
                                  <a:off x="58403" y="1019770"/>
                                  <a:ext cx="289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BF0B8" w14:textId="77777777" w:rsidR="00847E53" w:rsidRPr="00B34B0A" w:rsidRDefault="00847E53" w:rsidP="00C952ED">
                                    <w:pPr>
                                      <w:rPr>
                                        <w:b/>
                                      </w:rPr>
                                    </w:pPr>
                                    <w:r>
                                      <w:rPr>
                                        <w:b/>
                                        <w:i/>
                                        <w:iCs/>
                                        <w:color w:val="000000"/>
                                      </w:rPr>
                                      <w:t>ESR</w:t>
                                    </w:r>
                                  </w:p>
                                </w:txbxContent>
                              </wps:txbx>
                              <wps:bodyPr rot="0" vert="horz" wrap="none" lIns="0" tIns="0" rIns="0" bIns="0" anchor="t" anchorCtr="0" upright="1">
                                <a:spAutoFit/>
                              </wps:bodyPr>
                            </wps:wsp>
                            <wps:wsp>
                              <wps:cNvPr id="3895" name="Rectangle 79"/>
                              <wps:cNvSpPr>
                                <a:spLocks noChangeArrowheads="1"/>
                              </wps:cNvSpPr>
                              <wps:spPr bwMode="auto">
                                <a:xfrm>
                                  <a:off x="174610"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7E707" w14:textId="77777777" w:rsidR="00847E53" w:rsidRPr="00B34B0A" w:rsidRDefault="00847E53" w:rsidP="00C952ED">
                                    <w:pPr>
                                      <w:rPr>
                                        <w:b/>
                                      </w:rPr>
                                    </w:pPr>
                                    <w:r w:rsidRPr="00B34B0A">
                                      <w:rPr>
                                        <w:b/>
                                        <w:i/>
                                        <w:iCs/>
                                        <w:color w:val="000000"/>
                                      </w:rPr>
                                      <w:t>online</w:t>
                                    </w:r>
                                  </w:p>
                                </w:txbxContent>
                              </wps:txbx>
                              <wps:bodyPr rot="0" vert="horz" wrap="none" lIns="0" tIns="0" rIns="0" bIns="0" anchor="t" anchorCtr="0" upright="1">
                                <a:spAutoFit/>
                              </wps:bodyPr>
                            </wps:wsp>
                            <wps:wsp>
                              <wps:cNvPr id="3896" name="Rectangle 80"/>
                              <wps:cNvSpPr>
                                <a:spLocks noChangeArrowheads="1"/>
                              </wps:cNvSpPr>
                              <wps:spPr bwMode="auto">
                                <a:xfrm>
                                  <a:off x="58403"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1E676" w14:textId="77777777" w:rsidR="00847E53" w:rsidRPr="00B34B0A" w:rsidRDefault="00847E53" w:rsidP="00C952ED">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781BC52B" id="_x0000_s1564" editas="canvas" style="position:absolute;left:0;text-align:left;margin-left:34.4pt;margin-top:5pt;width:75.65pt;height:107.8pt;z-index:251693056"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">
                      <v:shape id="_x0000_s1565" type="#_x0000_t75" style="position:absolute;width:9607;height:13690;visibility:visible;mso-wrap-style:square">
                        <v:fill o:detectmouseclick="t"/>
                        <v:path o:connecttype="none"/>
                      </v:shape>
                      <v:rect id="Rectangle 71" o:spid="_x0000_s1566" style="position:absolute;left:1361;top:6758;width:1785;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" filled="f" stroked="f">
                        <v:textbox style="mso-fit-shape-to-text:t" inset="0,0,0,0">
                          <w:txbxContent>
                            <w:p w14:paraId="0BF3C2F4" w14:textId="77777777" w:rsidR="00847E53" w:rsidRPr="00B074A0" w:rsidRDefault="00847E53" w:rsidP="00C952ED">
                              <w:pPr>
                                <w:rPr>
                                  <w:sz w:val="32"/>
                                  <w:szCs w:val="32"/>
                                </w:rPr>
                              </w:pPr>
                              <w:r w:rsidRPr="00B074A0">
                                <w:rPr>
                                  <w:rFonts w:ascii="Symbol" w:hAnsi="Symbol" w:cs="Symbol"/>
                                  <w:color w:val="000000"/>
                                  <w:sz w:val="32"/>
                                  <w:szCs w:val="32"/>
                                </w:rPr>
                                <w:t></w:t>
                              </w:r>
                            </w:p>
                          </w:txbxContent>
                        </v:textbox>
                      </v:rect>
                      <v:rect id="Rectangle 72" o:spid="_x0000_s1567"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" filled="f" stroked="f">
                        <v:textbox style="mso-fit-shape-to-text:t" inset="0,0,0,0">
                          <w:txbxContent>
                            <w:p w14:paraId="218ACEE7" w14:textId="77777777" w:rsidR="00847E53" w:rsidRDefault="00847E53" w:rsidP="00C952ED">
                              <w:r>
                                <w:rPr>
                                  <w:rFonts w:ascii="Symbol" w:hAnsi="Symbol" w:cs="Symbol"/>
                                  <w:color w:val="000000"/>
                                </w:rPr>
                                <w:t></w:t>
                              </w:r>
                            </w:p>
                          </w:txbxContent>
                        </v:textbox>
                      </v:rect>
                      <v:rect id="Rectangle 73" o:spid="_x0000_s1568" style="position:absolute;left:355;top:3727;width:9252;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" filled="f" stroked="f">
                        <v:textbox style="mso-fit-shape-to-text:t" inset="0,0,0,0">
                          <w:txbxContent>
                            <w:p w14:paraId="65303999" w14:textId="77777777" w:rsidR="00847E53" w:rsidRPr="00B34B0A" w:rsidRDefault="00847E53" w:rsidP="00C952ED">
                              <w:pPr>
                                <w:rPr>
                                  <w:b/>
                                </w:rPr>
                              </w:pPr>
                              <w:r>
                                <w:rPr>
                                  <w:b/>
                                  <w:i/>
                                  <w:iCs/>
                                  <w:color w:val="000000"/>
                                </w:rPr>
                                <w:t>DC-Coupled Resources</w:t>
                              </w:r>
                            </w:p>
                          </w:txbxContent>
                        </v:textbox>
                      </v:rect>
                      <v:rect id="Rectangle 74" o:spid="_x0000_s1569" style="position:absolute;left:317;top:2901;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" filled="f" stroked="f">
                        <v:textbox style="mso-fit-shape-to-text:t" inset="0,0,0,0">
                          <w:txbxContent>
                            <w:p w14:paraId="061E9FF1" w14:textId="77777777" w:rsidR="00847E53" w:rsidRPr="00B34B0A" w:rsidRDefault="00847E53" w:rsidP="00C952ED">
                              <w:pPr>
                                <w:rPr>
                                  <w:b/>
                                </w:rPr>
                              </w:pPr>
                            </w:p>
                          </w:txbxContent>
                        </v:textbox>
                      </v:rect>
                      <v:rect id="Rectangle 75" o:spid="_x0000_s1570" style="position:absolute;left:255;top:1974;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" filled="f" stroked="f">
                        <v:textbox style="mso-fit-shape-to-text:t" inset="0,0,0,0">
                          <w:txbxContent>
                            <w:p w14:paraId="449409D8" w14:textId="77777777" w:rsidR="00847E53" w:rsidRPr="00B34B0A" w:rsidRDefault="00847E53" w:rsidP="00C952ED">
                              <w:pPr>
                                <w:rPr>
                                  <w:b/>
                                </w:rPr>
                              </w:pPr>
                              <w:r w:rsidRPr="00B34B0A">
                                <w:rPr>
                                  <w:b/>
                                  <w:i/>
                                  <w:iCs/>
                                  <w:color w:val="000000"/>
                                </w:rPr>
                                <w:t>online</w:t>
                              </w:r>
                            </w:p>
                          </w:txbxContent>
                        </v:textbox>
                      </v:rect>
                      <v:rect id="Rectangle 76" o:spid="_x0000_s1571" style="position:absolute;left:457;top:221;width:217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" filled="f" stroked="f">
                        <v:textbox style="mso-fit-shape-to-text:t" inset="0,0,0,0">
                          <w:txbxContent>
                            <w:p w14:paraId="0C961BC7" w14:textId="77777777" w:rsidR="00847E53" w:rsidRPr="00B34B0A" w:rsidRDefault="00847E53" w:rsidP="00C952ED">
                              <w:pPr>
                                <w:rPr>
                                  <w:b/>
                                </w:rPr>
                              </w:pPr>
                              <w:r w:rsidRPr="00B34B0A">
                                <w:rPr>
                                  <w:b/>
                                  <w:i/>
                                  <w:iCs/>
                                  <w:color w:val="000000"/>
                                </w:rPr>
                                <w:t>All</w:t>
                              </w:r>
                            </w:p>
                          </w:txbxContent>
                        </v:textbox>
                      </v:rect>
                      <v:rect id="Rectangle 77" o:spid="_x0000_s1572" style="position:absolute;left:629;top:11537;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" filled="f" stroked="f">
                        <v:textbox style="mso-fit-shape-to-text:t" inset="0,0,0,0">
                          <w:txbxContent>
                            <w:p w14:paraId="226F97E1" w14:textId="77777777" w:rsidR="00847E53" w:rsidRPr="00B34B0A" w:rsidRDefault="00847E53" w:rsidP="00C952ED">
                              <w:pPr>
                                <w:rPr>
                                  <w:b/>
                                </w:rPr>
                              </w:pPr>
                            </w:p>
                          </w:txbxContent>
                        </v:textbox>
                      </v:rect>
                      <v:rect id="Rectangle 78" o:spid="_x0000_s1573" style="position:absolute;left:584;top:10197;width:289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" filled="f" stroked="f">
                        <v:textbox style="mso-fit-shape-to-text:t" inset="0,0,0,0">
                          <w:txbxContent>
                            <w:p w14:paraId="750BF0B8" w14:textId="77777777" w:rsidR="00847E53" w:rsidRPr="00B34B0A" w:rsidRDefault="00847E53" w:rsidP="00C952ED">
                              <w:pPr>
                                <w:rPr>
                                  <w:b/>
                                </w:rPr>
                              </w:pPr>
                              <w:r>
                                <w:rPr>
                                  <w:b/>
                                  <w:i/>
                                  <w:iCs/>
                                  <w:color w:val="000000"/>
                                </w:rPr>
                                <w:t>ESR</w:t>
                              </w:r>
                            </w:p>
                          </w:txbxContent>
                        </v:textbox>
                      </v:rect>
                      <v:rect id="Rectangle 79" o:spid="_x0000_s1574"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" filled="f" stroked="f">
                        <v:textbox style="mso-fit-shape-to-text:t" inset="0,0,0,0">
                          <w:txbxContent>
                            <w:p w14:paraId="40D7E707" w14:textId="77777777" w:rsidR="00847E53" w:rsidRPr="00B34B0A" w:rsidRDefault="00847E53" w:rsidP="00C952ED">
                              <w:pPr>
                                <w:rPr>
                                  <w:b/>
                                </w:rPr>
                              </w:pPr>
                              <w:r w:rsidRPr="00B34B0A">
                                <w:rPr>
                                  <w:b/>
                                  <w:i/>
                                  <w:iCs/>
                                  <w:color w:val="000000"/>
                                </w:rPr>
                                <w:t>online</w:t>
                              </w:r>
                            </w:p>
                          </w:txbxContent>
                        </v:textbox>
                      </v:rect>
                      <v:rect id="Rectangle 80" o:spid="_x0000_s1575"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" filled="f" stroked="f">
                        <v:textbox style="mso-fit-shape-to-text:t" inset="0,0,0,0">
                          <w:txbxContent>
                            <w:p w14:paraId="2541E676" w14:textId="77777777" w:rsidR="00847E53" w:rsidRPr="00B34B0A" w:rsidRDefault="00847E53" w:rsidP="00C952ED">
                              <w:pPr>
                                <w:rPr>
                                  <w:b/>
                                </w:rPr>
                              </w:pPr>
                              <w:r w:rsidRPr="00B34B0A">
                                <w:rPr>
                                  <w:b/>
                                  <w:i/>
                                  <w:iCs/>
                                  <w:color w:val="000000"/>
                                </w:rPr>
                                <w:t>i</w:t>
                              </w:r>
                            </w:p>
                          </w:txbxContent>
                        </v:textbox>
                      </v:rect>
                    </v:group>
                  </w:pict>
                </mc:Fallback>
              </mc:AlternateContent>
            </w:r>
            <w:r w:rsidRPr="006A3321">
              <w:rPr>
                <w:b/>
                <w:position w:val="30"/>
                <w:sz w:val="20"/>
              </w:rPr>
              <w:t>PRC</w:t>
            </w:r>
            <w:r>
              <w:rPr>
                <w:rFonts w:ascii="Times New Roman Bold" w:hAnsi="Times New Roman Bold"/>
                <w:b/>
                <w:position w:val="30"/>
                <w:sz w:val="20"/>
                <w:vertAlign w:val="subscript"/>
              </w:rPr>
              <w:t>9</w:t>
            </w:r>
            <w:r w:rsidRPr="006A3321">
              <w:rPr>
                <w:b/>
                <w:position w:val="30"/>
                <w:sz w:val="20"/>
              </w:rPr>
              <w:t xml:space="preserve"> =</w:t>
            </w:r>
            <w:r w:rsidRPr="006A3321">
              <w:rPr>
                <w:b/>
                <w:position w:val="30"/>
                <w:sz w:val="20"/>
              </w:rPr>
              <w:tab/>
            </w:r>
            <w:r>
              <w:rPr>
                <w:b/>
                <w:position w:val="30"/>
                <w:sz w:val="20"/>
              </w:rPr>
              <w:t>(If discharging or idle, Min(X% of HSL based on droop, HSL-Gen</w:t>
            </w:r>
            <w:r w:rsidRPr="00E96BFC">
              <w:rPr>
                <w:b/>
                <w:position w:val="30"/>
                <w:sz w:val="20"/>
              </w:rPr>
              <w:t xml:space="preserve"> “injection”, the sum of the MW headroom available from the intermittent renewable generation component and the MW capacity that can be sustained for </w:t>
            </w:r>
            <w:r w:rsidR="00901D94">
              <w:rPr>
                <w:b/>
                <w:position w:val="30"/>
                <w:sz w:val="20"/>
              </w:rPr>
              <w:t>4</w:t>
            </w:r>
            <w:r w:rsidRPr="00E96BFC">
              <w:rPr>
                <w:b/>
                <w:position w:val="30"/>
                <w:sz w:val="20"/>
              </w:rPr>
              <w:t xml:space="preserve">5 minutes per the ESS State of Charge), else Min(X% of Real-Time Total Capacity based on droop, the sum of the MW headroom available from the intermittent renewable generation component and the MW capacity that can be sustained for </w:t>
            </w:r>
            <w:r w:rsidR="00901D94">
              <w:rPr>
                <w:b/>
                <w:position w:val="30"/>
                <w:sz w:val="20"/>
              </w:rPr>
              <w:t>4</w:t>
            </w:r>
            <w:r w:rsidRPr="00E96BFC">
              <w:rPr>
                <w:b/>
                <w:position w:val="30"/>
                <w:sz w:val="20"/>
              </w:rPr>
              <w:t>5 minutes per the ESS State of Charge))</w:t>
            </w:r>
          </w:p>
          <w:p w14:paraId="3BA65BC7" w14:textId="13BBE49E" w:rsidR="00C952ED" w:rsidRPr="00890B88" w:rsidRDefault="00C952ED" w:rsidP="00C952ED">
            <w:pPr>
              <w:tabs>
                <w:tab w:val="left" w:pos="2160"/>
              </w:tabs>
              <w:spacing w:after="240"/>
              <w:ind w:left="2160" w:hanging="2160"/>
              <w:rPr>
                <w:b/>
                <w:position w:val="30"/>
                <w:sz w:val="20"/>
              </w:rPr>
            </w:pPr>
            <w:r>
              <w:rPr>
                <w:b/>
                <w:position w:val="30"/>
                <w:sz w:val="20"/>
              </w:rPr>
              <w:t>Excludes DC-Coupled Resource capacity used to provide FFR</w:t>
            </w:r>
            <w:r w:rsidR="0069524B">
              <w:rPr>
                <w:b/>
                <w:position w:val="30"/>
                <w:sz w:val="20"/>
              </w:rPr>
              <w:t>.</w:t>
            </w:r>
          </w:p>
          <w:p w14:paraId="48CCD2A1" w14:textId="26958D3E" w:rsidR="00194E91" w:rsidRPr="003161DC" w:rsidRDefault="00194E91" w:rsidP="002E4A29">
            <w:pPr>
              <w:ind w:left="720" w:hanging="720"/>
              <w:rPr>
                <w:b/>
                <w:position w:val="30"/>
                <w:sz w:val="20"/>
              </w:rPr>
            </w:pPr>
            <w:r w:rsidRPr="003161DC">
              <w:rPr>
                <w:b/>
                <w:position w:val="30"/>
                <w:sz w:val="20"/>
              </w:rPr>
              <w:t>PRC =</w:t>
            </w:r>
            <w:r w:rsidRPr="003161DC">
              <w:rPr>
                <w:b/>
                <w:position w:val="30"/>
                <w:sz w:val="20"/>
              </w:rPr>
              <w:tab/>
              <w:t>PRC</w:t>
            </w:r>
            <w:r w:rsidRPr="003161DC">
              <w:rPr>
                <w:b/>
                <w:position w:val="30"/>
                <w:sz w:val="20"/>
                <w:vertAlign w:val="subscript"/>
              </w:rPr>
              <w:t>1</w:t>
            </w:r>
            <w:r w:rsidRPr="003161DC">
              <w:rPr>
                <w:b/>
                <w:position w:val="30"/>
                <w:sz w:val="20"/>
              </w:rPr>
              <w:t xml:space="preserve"> + PRC</w:t>
            </w:r>
            <w:r w:rsidRPr="003161DC">
              <w:rPr>
                <w:b/>
                <w:position w:val="30"/>
                <w:sz w:val="20"/>
                <w:vertAlign w:val="subscript"/>
              </w:rPr>
              <w:t>2</w:t>
            </w:r>
            <w:r w:rsidRPr="003161DC">
              <w:rPr>
                <w:b/>
                <w:position w:val="30"/>
                <w:sz w:val="20"/>
              </w:rPr>
              <w:t xml:space="preserve"> + PRC</w:t>
            </w:r>
            <w:r w:rsidRPr="003161DC">
              <w:rPr>
                <w:b/>
                <w:position w:val="30"/>
                <w:sz w:val="20"/>
                <w:vertAlign w:val="subscript"/>
              </w:rPr>
              <w:t>3</w:t>
            </w:r>
            <w:r w:rsidRPr="003161DC">
              <w:rPr>
                <w:b/>
                <w:position w:val="30"/>
                <w:sz w:val="20"/>
              </w:rPr>
              <w:t>+ PRC</w:t>
            </w:r>
            <w:r w:rsidRPr="003161DC">
              <w:rPr>
                <w:b/>
                <w:position w:val="30"/>
                <w:sz w:val="20"/>
                <w:vertAlign w:val="subscript"/>
              </w:rPr>
              <w:t>4</w:t>
            </w:r>
            <w:r w:rsidRPr="003161DC">
              <w:rPr>
                <w:b/>
                <w:position w:val="30"/>
                <w:sz w:val="20"/>
              </w:rPr>
              <w:t xml:space="preserve"> + PRC</w:t>
            </w:r>
            <w:r w:rsidRPr="003161DC">
              <w:rPr>
                <w:b/>
                <w:position w:val="30"/>
                <w:sz w:val="20"/>
                <w:vertAlign w:val="subscript"/>
              </w:rPr>
              <w:t>5</w:t>
            </w:r>
            <w:r w:rsidRPr="003161DC">
              <w:rPr>
                <w:b/>
                <w:position w:val="30"/>
                <w:sz w:val="20"/>
              </w:rPr>
              <w:t xml:space="preserve"> + PRC</w:t>
            </w:r>
            <w:r w:rsidRPr="003161DC">
              <w:rPr>
                <w:b/>
                <w:position w:val="30"/>
                <w:sz w:val="20"/>
                <w:vertAlign w:val="subscript"/>
              </w:rPr>
              <w:t>6</w:t>
            </w:r>
            <w:r w:rsidRPr="003161DC">
              <w:rPr>
                <w:b/>
                <w:position w:val="30"/>
                <w:sz w:val="20"/>
              </w:rPr>
              <w:t xml:space="preserve"> + PRC</w:t>
            </w:r>
            <w:r>
              <w:rPr>
                <w:b/>
                <w:position w:val="30"/>
                <w:sz w:val="20"/>
                <w:vertAlign w:val="subscript"/>
              </w:rPr>
              <w:t>7</w:t>
            </w:r>
            <w:r w:rsidRPr="006955CA">
              <w:rPr>
                <w:b/>
                <w:position w:val="30"/>
                <w:sz w:val="20"/>
              </w:rPr>
              <w:t xml:space="preserve"> + PRC</w:t>
            </w:r>
            <w:r>
              <w:rPr>
                <w:b/>
                <w:position w:val="30"/>
                <w:sz w:val="20"/>
                <w:vertAlign w:val="subscript"/>
              </w:rPr>
              <w:t>8</w:t>
            </w:r>
            <w:r w:rsidR="00C952ED" w:rsidRPr="006955CA">
              <w:rPr>
                <w:b/>
                <w:position w:val="30"/>
                <w:sz w:val="20"/>
              </w:rPr>
              <w:t xml:space="preserve"> + PRC</w:t>
            </w:r>
            <w:r w:rsidR="00C952ED">
              <w:rPr>
                <w:b/>
                <w:position w:val="30"/>
                <w:sz w:val="20"/>
                <w:vertAlign w:val="subscript"/>
              </w:rPr>
              <w:t>9</w:t>
            </w:r>
          </w:p>
          <w:p w14:paraId="1DDA9977" w14:textId="77777777" w:rsidR="00194E91" w:rsidRPr="00460591" w:rsidRDefault="00194E91" w:rsidP="00194E91">
            <w:r w:rsidRPr="003161DC">
              <w:t xml:space="preserve">The above variables are defined </w:t>
            </w:r>
            <w:r>
              <w:t xml:space="preserve">as follows: </w:t>
            </w:r>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50"/>
              <w:gridCol w:w="1151"/>
              <w:gridCol w:w="6004"/>
            </w:tblGrid>
            <w:tr w:rsidR="00194E91" w:rsidRPr="003161DC" w14:paraId="3D86CE0E" w14:textId="77777777" w:rsidTr="00194E91">
              <w:tc>
                <w:tcPr>
                  <w:tcW w:w="2050" w:type="dxa"/>
                </w:tcPr>
                <w:p w14:paraId="663E2BB7" w14:textId="77777777" w:rsidR="00194E91" w:rsidRPr="003161DC" w:rsidRDefault="00194E91" w:rsidP="00194E91">
                  <w:pPr>
                    <w:spacing w:after="120"/>
                    <w:rPr>
                      <w:b/>
                      <w:iCs/>
                      <w:sz w:val="20"/>
                    </w:rPr>
                  </w:pPr>
                  <w:r w:rsidRPr="003161DC">
                    <w:rPr>
                      <w:b/>
                      <w:iCs/>
                      <w:sz w:val="20"/>
                    </w:rPr>
                    <w:lastRenderedPageBreak/>
                    <w:t>Variable</w:t>
                  </w:r>
                </w:p>
              </w:tc>
              <w:tc>
                <w:tcPr>
                  <w:tcW w:w="1151" w:type="dxa"/>
                </w:tcPr>
                <w:p w14:paraId="7A20023D" w14:textId="77777777" w:rsidR="00194E91" w:rsidRPr="003161DC" w:rsidRDefault="00194E91" w:rsidP="00194E91">
                  <w:pPr>
                    <w:spacing w:after="120"/>
                    <w:rPr>
                      <w:b/>
                      <w:iCs/>
                      <w:sz w:val="20"/>
                    </w:rPr>
                  </w:pPr>
                  <w:r w:rsidRPr="003161DC">
                    <w:rPr>
                      <w:b/>
                      <w:iCs/>
                      <w:sz w:val="20"/>
                    </w:rPr>
                    <w:t>Unit</w:t>
                  </w:r>
                </w:p>
              </w:tc>
              <w:tc>
                <w:tcPr>
                  <w:tcW w:w="6004" w:type="dxa"/>
                </w:tcPr>
                <w:p w14:paraId="3902DA8B" w14:textId="77777777" w:rsidR="00194E91" w:rsidRPr="003161DC" w:rsidRDefault="00194E91" w:rsidP="00194E91">
                  <w:pPr>
                    <w:spacing w:after="120"/>
                    <w:rPr>
                      <w:b/>
                      <w:iCs/>
                      <w:sz w:val="20"/>
                    </w:rPr>
                  </w:pPr>
                  <w:r w:rsidRPr="003161DC">
                    <w:rPr>
                      <w:b/>
                      <w:iCs/>
                      <w:sz w:val="20"/>
                    </w:rPr>
                    <w:t>Description</w:t>
                  </w:r>
                </w:p>
              </w:tc>
            </w:tr>
            <w:tr w:rsidR="00194E91" w:rsidRPr="003161DC" w14:paraId="1429A8BF" w14:textId="77777777" w:rsidTr="00194E91">
              <w:tc>
                <w:tcPr>
                  <w:tcW w:w="2050" w:type="dxa"/>
                </w:tcPr>
                <w:p w14:paraId="779BB477" w14:textId="77777777" w:rsidR="00194E91" w:rsidRPr="003161DC" w:rsidRDefault="00194E91" w:rsidP="00194E91">
                  <w:pPr>
                    <w:spacing w:after="60"/>
                    <w:rPr>
                      <w:iCs/>
                      <w:sz w:val="20"/>
                    </w:rPr>
                  </w:pPr>
                  <w:r w:rsidRPr="003161DC">
                    <w:rPr>
                      <w:iCs/>
                      <w:sz w:val="20"/>
                    </w:rPr>
                    <w:t>PRC</w:t>
                  </w:r>
                  <w:r w:rsidRPr="003161DC">
                    <w:rPr>
                      <w:iCs/>
                      <w:sz w:val="20"/>
                      <w:vertAlign w:val="subscript"/>
                    </w:rPr>
                    <w:t>1</w:t>
                  </w:r>
                </w:p>
              </w:tc>
              <w:tc>
                <w:tcPr>
                  <w:tcW w:w="1151" w:type="dxa"/>
                </w:tcPr>
                <w:p w14:paraId="2B674114" w14:textId="77777777" w:rsidR="00194E91" w:rsidRPr="003161DC" w:rsidRDefault="00194E91" w:rsidP="00194E91">
                  <w:pPr>
                    <w:spacing w:after="60"/>
                    <w:rPr>
                      <w:iCs/>
                      <w:sz w:val="20"/>
                    </w:rPr>
                  </w:pPr>
                  <w:r w:rsidRPr="003161DC">
                    <w:rPr>
                      <w:iCs/>
                      <w:sz w:val="20"/>
                    </w:rPr>
                    <w:t>MW</w:t>
                  </w:r>
                </w:p>
              </w:tc>
              <w:tc>
                <w:tcPr>
                  <w:tcW w:w="6004" w:type="dxa"/>
                </w:tcPr>
                <w:p w14:paraId="33385BE1" w14:textId="77777777" w:rsidR="00194E91" w:rsidRPr="003161DC" w:rsidRDefault="00194E91" w:rsidP="00194E91">
                  <w:pPr>
                    <w:spacing w:after="60"/>
                    <w:rPr>
                      <w:iCs/>
                      <w:sz w:val="20"/>
                    </w:rPr>
                  </w:pPr>
                  <w:r w:rsidRPr="003161DC">
                    <w:rPr>
                      <w:iCs/>
                      <w:sz w:val="20"/>
                    </w:rPr>
                    <w:t>Generation On-Line greater than 0 MW</w:t>
                  </w:r>
                </w:p>
              </w:tc>
            </w:tr>
            <w:tr w:rsidR="00194E91" w:rsidRPr="003161DC" w14:paraId="64E7A6BF" w14:textId="77777777" w:rsidTr="00194E91">
              <w:tc>
                <w:tcPr>
                  <w:tcW w:w="2050" w:type="dxa"/>
                </w:tcPr>
                <w:p w14:paraId="1D3B7158" w14:textId="77777777" w:rsidR="00194E91" w:rsidRPr="003161DC" w:rsidRDefault="00194E91" w:rsidP="00194E91">
                  <w:pPr>
                    <w:spacing w:after="60"/>
                    <w:rPr>
                      <w:iCs/>
                      <w:sz w:val="20"/>
                    </w:rPr>
                  </w:pPr>
                  <w:r w:rsidRPr="003161DC">
                    <w:rPr>
                      <w:iCs/>
                      <w:sz w:val="20"/>
                    </w:rPr>
                    <w:t>PRC</w:t>
                  </w:r>
                  <w:r w:rsidRPr="003161DC">
                    <w:rPr>
                      <w:iCs/>
                      <w:sz w:val="20"/>
                      <w:vertAlign w:val="subscript"/>
                    </w:rPr>
                    <w:t>2</w:t>
                  </w:r>
                </w:p>
              </w:tc>
              <w:tc>
                <w:tcPr>
                  <w:tcW w:w="1151" w:type="dxa"/>
                </w:tcPr>
                <w:p w14:paraId="0C77FB2A" w14:textId="77777777" w:rsidR="00194E91" w:rsidRPr="003161DC" w:rsidRDefault="00194E91" w:rsidP="00194E91">
                  <w:pPr>
                    <w:spacing w:after="60"/>
                    <w:rPr>
                      <w:iCs/>
                      <w:sz w:val="20"/>
                    </w:rPr>
                  </w:pPr>
                  <w:r w:rsidRPr="003161DC">
                    <w:rPr>
                      <w:iCs/>
                      <w:sz w:val="20"/>
                    </w:rPr>
                    <w:t>MW</w:t>
                  </w:r>
                </w:p>
              </w:tc>
              <w:tc>
                <w:tcPr>
                  <w:tcW w:w="6004" w:type="dxa"/>
                </w:tcPr>
                <w:p w14:paraId="71EB2497" w14:textId="77777777" w:rsidR="00194E91" w:rsidRPr="003161DC" w:rsidRDefault="00194E91" w:rsidP="00194E91">
                  <w:pPr>
                    <w:spacing w:after="60"/>
                    <w:rPr>
                      <w:iCs/>
                      <w:sz w:val="20"/>
                    </w:rPr>
                  </w:pPr>
                  <w:r w:rsidRPr="003161DC">
                    <w:rPr>
                      <w:iCs/>
                      <w:sz w:val="20"/>
                    </w:rPr>
                    <w:t>WGRs On-Line greater than 0 MW</w:t>
                  </w:r>
                </w:p>
              </w:tc>
            </w:tr>
            <w:tr w:rsidR="00194E91" w:rsidRPr="003161DC" w14:paraId="7A6FD78B" w14:textId="77777777" w:rsidTr="00194E91">
              <w:tc>
                <w:tcPr>
                  <w:tcW w:w="2050" w:type="dxa"/>
                </w:tcPr>
                <w:p w14:paraId="25F4CAD3" w14:textId="77777777" w:rsidR="00194E91" w:rsidRPr="003161DC" w:rsidRDefault="00194E91" w:rsidP="00194E91">
                  <w:pPr>
                    <w:spacing w:after="60"/>
                    <w:rPr>
                      <w:iCs/>
                      <w:sz w:val="20"/>
                    </w:rPr>
                  </w:pPr>
                  <w:r w:rsidRPr="003161DC">
                    <w:rPr>
                      <w:iCs/>
                      <w:sz w:val="20"/>
                    </w:rPr>
                    <w:t>PRC</w:t>
                  </w:r>
                  <w:r w:rsidRPr="003161DC">
                    <w:rPr>
                      <w:iCs/>
                      <w:sz w:val="20"/>
                      <w:vertAlign w:val="subscript"/>
                    </w:rPr>
                    <w:t>3</w:t>
                  </w:r>
                </w:p>
              </w:tc>
              <w:tc>
                <w:tcPr>
                  <w:tcW w:w="1151" w:type="dxa"/>
                </w:tcPr>
                <w:p w14:paraId="3B15C789" w14:textId="77777777" w:rsidR="00194E91" w:rsidRPr="003161DC" w:rsidRDefault="00194E91" w:rsidP="00194E91">
                  <w:pPr>
                    <w:spacing w:after="60"/>
                    <w:rPr>
                      <w:iCs/>
                      <w:sz w:val="20"/>
                    </w:rPr>
                  </w:pPr>
                  <w:r w:rsidRPr="003161DC">
                    <w:rPr>
                      <w:iCs/>
                      <w:sz w:val="20"/>
                    </w:rPr>
                    <w:t>MW</w:t>
                  </w:r>
                </w:p>
              </w:tc>
              <w:tc>
                <w:tcPr>
                  <w:tcW w:w="6004" w:type="dxa"/>
                </w:tcPr>
                <w:p w14:paraId="0F9FA454" w14:textId="2F0319E1" w:rsidR="00194E91" w:rsidRPr="003161DC" w:rsidRDefault="00194E91" w:rsidP="00194E91">
                  <w:pPr>
                    <w:spacing w:after="60"/>
                    <w:rPr>
                      <w:iCs/>
                      <w:sz w:val="20"/>
                    </w:rPr>
                  </w:pPr>
                  <w:r>
                    <w:rPr>
                      <w:iCs/>
                      <w:sz w:val="20"/>
                    </w:rPr>
                    <w:t>Synchronous condenser output</w:t>
                  </w:r>
                </w:p>
              </w:tc>
            </w:tr>
            <w:tr w:rsidR="00194E91" w:rsidRPr="003161DC" w14:paraId="11CF5E6D" w14:textId="77777777" w:rsidTr="00194E91">
              <w:tc>
                <w:tcPr>
                  <w:tcW w:w="2050" w:type="dxa"/>
                </w:tcPr>
                <w:p w14:paraId="2FACF612" w14:textId="77777777" w:rsidR="00194E91" w:rsidRPr="003161DC" w:rsidRDefault="00194E91" w:rsidP="00194E91">
                  <w:pPr>
                    <w:spacing w:after="60"/>
                    <w:rPr>
                      <w:iCs/>
                      <w:sz w:val="20"/>
                    </w:rPr>
                  </w:pPr>
                  <w:r w:rsidRPr="003161DC">
                    <w:rPr>
                      <w:iCs/>
                      <w:sz w:val="20"/>
                    </w:rPr>
                    <w:t>PRC</w:t>
                  </w:r>
                  <w:r w:rsidRPr="003161DC">
                    <w:rPr>
                      <w:iCs/>
                      <w:sz w:val="20"/>
                      <w:vertAlign w:val="subscript"/>
                    </w:rPr>
                    <w:t>4</w:t>
                  </w:r>
                </w:p>
              </w:tc>
              <w:tc>
                <w:tcPr>
                  <w:tcW w:w="1151" w:type="dxa"/>
                </w:tcPr>
                <w:p w14:paraId="1968CCB6" w14:textId="77777777" w:rsidR="00194E91" w:rsidRPr="003161DC" w:rsidRDefault="00194E91" w:rsidP="00194E91">
                  <w:pPr>
                    <w:spacing w:after="60"/>
                    <w:rPr>
                      <w:iCs/>
                      <w:sz w:val="20"/>
                    </w:rPr>
                  </w:pPr>
                  <w:r w:rsidRPr="003161DC">
                    <w:rPr>
                      <w:iCs/>
                      <w:sz w:val="20"/>
                    </w:rPr>
                    <w:t>MW</w:t>
                  </w:r>
                </w:p>
              </w:tc>
              <w:tc>
                <w:tcPr>
                  <w:tcW w:w="6004" w:type="dxa"/>
                </w:tcPr>
                <w:p w14:paraId="605AADEE" w14:textId="2E733873" w:rsidR="00194E91" w:rsidRPr="003161DC" w:rsidRDefault="00194E91" w:rsidP="00194E91">
                  <w:pPr>
                    <w:tabs>
                      <w:tab w:val="left" w:pos="1080"/>
                    </w:tabs>
                    <w:spacing w:after="60"/>
                    <w:rPr>
                      <w:iCs/>
                      <w:sz w:val="20"/>
                    </w:rPr>
                  </w:pPr>
                  <w:r w:rsidRPr="003161DC">
                    <w:rPr>
                      <w:sz w:val="20"/>
                    </w:rPr>
                    <w:t xml:space="preserve">Capacity from Load Resources </w:t>
                  </w:r>
                  <w:r>
                    <w:rPr>
                      <w:sz w:val="20"/>
                    </w:rPr>
                    <w:t>with an</w:t>
                  </w:r>
                  <w:r w:rsidRPr="003161DC">
                    <w:rPr>
                      <w:sz w:val="20"/>
                    </w:rPr>
                    <w:t xml:space="preserve"> ECRS Ancillary Service Resource </w:t>
                  </w:r>
                  <w:r>
                    <w:rPr>
                      <w:sz w:val="20"/>
                    </w:rPr>
                    <w:t>award</w:t>
                  </w:r>
                </w:p>
              </w:tc>
            </w:tr>
            <w:tr w:rsidR="00194E91" w:rsidRPr="003161DC" w14:paraId="04B6142D" w14:textId="77777777" w:rsidTr="00194E91">
              <w:tc>
                <w:tcPr>
                  <w:tcW w:w="2050" w:type="dxa"/>
                </w:tcPr>
                <w:p w14:paraId="5B6642B4" w14:textId="77777777" w:rsidR="00194E91" w:rsidRPr="003161DC" w:rsidRDefault="00194E91" w:rsidP="00194E91">
                  <w:pPr>
                    <w:spacing w:after="60"/>
                    <w:rPr>
                      <w:iCs/>
                      <w:sz w:val="20"/>
                    </w:rPr>
                  </w:pPr>
                  <w:r w:rsidRPr="003161DC">
                    <w:rPr>
                      <w:iCs/>
                      <w:sz w:val="20"/>
                    </w:rPr>
                    <w:t>PRC</w:t>
                  </w:r>
                  <w:r w:rsidRPr="003161DC">
                    <w:rPr>
                      <w:iCs/>
                      <w:sz w:val="20"/>
                      <w:vertAlign w:val="subscript"/>
                    </w:rPr>
                    <w:t>5</w:t>
                  </w:r>
                </w:p>
              </w:tc>
              <w:tc>
                <w:tcPr>
                  <w:tcW w:w="1151" w:type="dxa"/>
                </w:tcPr>
                <w:p w14:paraId="7D19DBB0" w14:textId="77777777" w:rsidR="00194E91" w:rsidRPr="003161DC" w:rsidRDefault="00194E91" w:rsidP="00194E91">
                  <w:pPr>
                    <w:spacing w:after="60"/>
                    <w:rPr>
                      <w:iCs/>
                      <w:sz w:val="20"/>
                    </w:rPr>
                  </w:pPr>
                  <w:r w:rsidRPr="003161DC">
                    <w:rPr>
                      <w:iCs/>
                      <w:sz w:val="20"/>
                    </w:rPr>
                    <w:t>MW</w:t>
                  </w:r>
                </w:p>
              </w:tc>
              <w:tc>
                <w:tcPr>
                  <w:tcW w:w="6004" w:type="dxa"/>
                </w:tcPr>
                <w:p w14:paraId="640DE925" w14:textId="5C8D2F1B" w:rsidR="00194E91" w:rsidRPr="003161DC" w:rsidRDefault="00194E91" w:rsidP="00194E91">
                  <w:pPr>
                    <w:tabs>
                      <w:tab w:val="left" w:pos="1080"/>
                    </w:tabs>
                    <w:spacing w:after="60"/>
                    <w:rPr>
                      <w:iCs/>
                      <w:sz w:val="20"/>
                    </w:rPr>
                  </w:pPr>
                  <w:r w:rsidRPr="003161DC">
                    <w:rPr>
                      <w:iCs/>
                      <w:sz w:val="20"/>
                    </w:rPr>
                    <w:t xml:space="preserve">Capacity from </w:t>
                  </w:r>
                  <w:r w:rsidR="0069524B">
                    <w:rPr>
                      <w:iCs/>
                      <w:sz w:val="20"/>
                    </w:rPr>
                    <w:t>CLRs</w:t>
                  </w:r>
                  <w:r w:rsidRPr="003161DC">
                    <w:rPr>
                      <w:iCs/>
                      <w:sz w:val="20"/>
                    </w:rPr>
                    <w:t xml:space="preserve"> active in SCED</w:t>
                  </w:r>
                  <w:r w:rsidR="004D2827" w:rsidRPr="006E6395">
                    <w:rPr>
                      <w:iCs/>
                      <w:sz w:val="20"/>
                    </w:rPr>
                    <w:t xml:space="preserve"> and </w:t>
                  </w:r>
                  <w:r w:rsidR="004D2827">
                    <w:rPr>
                      <w:iCs/>
                      <w:sz w:val="20"/>
                    </w:rPr>
                    <w:t>qualified for Regulation Service and/or RRS</w:t>
                  </w:r>
                  <w:r>
                    <w:rPr>
                      <w:iCs/>
                      <w:sz w:val="20"/>
                    </w:rPr>
                    <w:t xml:space="preserve"> with an </w:t>
                  </w:r>
                  <w:r w:rsidRPr="003161DC">
                    <w:rPr>
                      <w:iCs/>
                      <w:sz w:val="20"/>
                    </w:rPr>
                    <w:t xml:space="preserve">Ancillary Service Resource </w:t>
                  </w:r>
                  <w:r>
                    <w:rPr>
                      <w:iCs/>
                      <w:sz w:val="20"/>
                    </w:rPr>
                    <w:t>award</w:t>
                  </w:r>
                </w:p>
              </w:tc>
            </w:tr>
            <w:tr w:rsidR="00194E91" w:rsidRPr="003161DC" w14:paraId="4F04B830" w14:textId="77777777" w:rsidTr="00194E91">
              <w:tc>
                <w:tcPr>
                  <w:tcW w:w="2050" w:type="dxa"/>
                </w:tcPr>
                <w:p w14:paraId="5830ACC2" w14:textId="77777777" w:rsidR="00194E91" w:rsidRPr="003161DC" w:rsidRDefault="00194E91" w:rsidP="00194E91">
                  <w:pPr>
                    <w:spacing w:after="60"/>
                    <w:rPr>
                      <w:iCs/>
                      <w:sz w:val="20"/>
                    </w:rPr>
                  </w:pPr>
                  <w:r w:rsidRPr="003161DC">
                    <w:rPr>
                      <w:iCs/>
                      <w:sz w:val="20"/>
                    </w:rPr>
                    <w:t>PRC</w:t>
                  </w:r>
                  <w:r w:rsidRPr="003161DC">
                    <w:rPr>
                      <w:iCs/>
                      <w:sz w:val="20"/>
                      <w:vertAlign w:val="subscript"/>
                    </w:rPr>
                    <w:t>6</w:t>
                  </w:r>
                </w:p>
              </w:tc>
              <w:tc>
                <w:tcPr>
                  <w:tcW w:w="1151" w:type="dxa"/>
                </w:tcPr>
                <w:p w14:paraId="5E6060F9" w14:textId="77777777" w:rsidR="00194E91" w:rsidRPr="003161DC" w:rsidRDefault="00194E91" w:rsidP="00194E91">
                  <w:pPr>
                    <w:spacing w:after="60"/>
                    <w:rPr>
                      <w:iCs/>
                      <w:sz w:val="20"/>
                    </w:rPr>
                  </w:pPr>
                  <w:r w:rsidRPr="003161DC">
                    <w:rPr>
                      <w:iCs/>
                      <w:sz w:val="20"/>
                    </w:rPr>
                    <w:t>MW</w:t>
                  </w:r>
                </w:p>
              </w:tc>
              <w:tc>
                <w:tcPr>
                  <w:tcW w:w="6004" w:type="dxa"/>
                </w:tcPr>
                <w:p w14:paraId="327509C6" w14:textId="7DD96088" w:rsidR="00194E91" w:rsidRPr="003161DC" w:rsidRDefault="00194E91" w:rsidP="00194E91">
                  <w:pPr>
                    <w:tabs>
                      <w:tab w:val="left" w:pos="1080"/>
                    </w:tabs>
                    <w:spacing w:after="60"/>
                    <w:rPr>
                      <w:iCs/>
                      <w:sz w:val="20"/>
                    </w:rPr>
                  </w:pPr>
                  <w:r w:rsidRPr="003161DC">
                    <w:rPr>
                      <w:iCs/>
                      <w:sz w:val="20"/>
                    </w:rPr>
                    <w:t xml:space="preserve">Capacity from </w:t>
                  </w:r>
                  <w:r w:rsidR="0069524B">
                    <w:rPr>
                      <w:iCs/>
                      <w:sz w:val="20"/>
                    </w:rPr>
                    <w:t>CLRs</w:t>
                  </w:r>
                  <w:r w:rsidRPr="003161DC">
                    <w:rPr>
                      <w:iCs/>
                      <w:sz w:val="20"/>
                    </w:rPr>
                    <w:t xml:space="preserve"> active in SCED</w:t>
                  </w:r>
                  <w:r>
                    <w:rPr>
                      <w:iCs/>
                      <w:sz w:val="20"/>
                    </w:rPr>
                    <w:t xml:space="preserve"> </w:t>
                  </w:r>
                  <w:r w:rsidR="004D2827" w:rsidRPr="006E6395">
                    <w:rPr>
                      <w:iCs/>
                      <w:sz w:val="20"/>
                    </w:rPr>
                    <w:t xml:space="preserve">and </w:t>
                  </w:r>
                  <w:r w:rsidR="004D2827">
                    <w:rPr>
                      <w:iCs/>
                      <w:sz w:val="20"/>
                    </w:rPr>
                    <w:t xml:space="preserve">qualified for Regulation Service and/or RRS </w:t>
                  </w:r>
                  <w:r>
                    <w:rPr>
                      <w:iCs/>
                      <w:sz w:val="20"/>
                    </w:rPr>
                    <w:t>without an</w:t>
                  </w:r>
                  <w:r w:rsidRPr="003161DC">
                    <w:rPr>
                      <w:iCs/>
                      <w:sz w:val="20"/>
                    </w:rPr>
                    <w:t xml:space="preserve"> Ancillary Service Resource </w:t>
                  </w:r>
                  <w:r>
                    <w:rPr>
                      <w:iCs/>
                      <w:sz w:val="20"/>
                    </w:rPr>
                    <w:t>award</w:t>
                  </w:r>
                </w:p>
              </w:tc>
            </w:tr>
            <w:tr w:rsidR="00194E91" w:rsidRPr="003161DC" w14:paraId="58229005" w14:textId="77777777" w:rsidTr="00194E91">
              <w:tc>
                <w:tcPr>
                  <w:tcW w:w="2050" w:type="dxa"/>
                </w:tcPr>
                <w:p w14:paraId="031AD951" w14:textId="77777777" w:rsidR="00194E91" w:rsidRPr="003161DC" w:rsidRDefault="00194E91" w:rsidP="00194E91">
                  <w:pPr>
                    <w:spacing w:after="60"/>
                    <w:rPr>
                      <w:iCs/>
                      <w:sz w:val="20"/>
                    </w:rPr>
                  </w:pPr>
                  <w:r w:rsidRPr="003161DC">
                    <w:rPr>
                      <w:iCs/>
                      <w:sz w:val="20"/>
                    </w:rPr>
                    <w:t>PRC</w:t>
                  </w:r>
                  <w:r w:rsidRPr="003161DC">
                    <w:rPr>
                      <w:iCs/>
                      <w:sz w:val="20"/>
                      <w:vertAlign w:val="subscript"/>
                    </w:rPr>
                    <w:t>7</w:t>
                  </w:r>
                </w:p>
              </w:tc>
              <w:tc>
                <w:tcPr>
                  <w:tcW w:w="1151" w:type="dxa"/>
                </w:tcPr>
                <w:p w14:paraId="380F9DAA" w14:textId="77777777" w:rsidR="00194E91" w:rsidRPr="003161DC" w:rsidRDefault="00194E91" w:rsidP="00194E91">
                  <w:pPr>
                    <w:spacing w:after="60"/>
                    <w:rPr>
                      <w:iCs/>
                      <w:sz w:val="20"/>
                    </w:rPr>
                  </w:pPr>
                  <w:r w:rsidRPr="003161DC">
                    <w:rPr>
                      <w:iCs/>
                      <w:sz w:val="20"/>
                    </w:rPr>
                    <w:t>MW</w:t>
                  </w:r>
                </w:p>
              </w:tc>
              <w:tc>
                <w:tcPr>
                  <w:tcW w:w="6004" w:type="dxa"/>
                </w:tcPr>
                <w:p w14:paraId="4A20672A" w14:textId="77777777" w:rsidR="00194E91" w:rsidRPr="003161DC" w:rsidRDefault="00194E91" w:rsidP="00194E91">
                  <w:pPr>
                    <w:tabs>
                      <w:tab w:val="left" w:pos="1080"/>
                    </w:tabs>
                    <w:spacing w:after="60"/>
                    <w:rPr>
                      <w:iCs/>
                      <w:sz w:val="20"/>
                    </w:rPr>
                  </w:pPr>
                  <w:r w:rsidRPr="003161DC">
                    <w:rPr>
                      <w:iCs/>
                      <w:sz w:val="20"/>
                    </w:rPr>
                    <w:t>Capacity from Resources capable of providing FFR</w:t>
                  </w:r>
                </w:p>
              </w:tc>
            </w:tr>
            <w:tr w:rsidR="00194E91" w:rsidRPr="003161DC" w14:paraId="65DEEC09" w14:textId="77777777" w:rsidTr="00194E91">
              <w:tc>
                <w:tcPr>
                  <w:tcW w:w="2050" w:type="dxa"/>
                </w:tcPr>
                <w:p w14:paraId="4999F25E" w14:textId="75F2251F" w:rsidR="00194E91" w:rsidRPr="00194E91" w:rsidRDefault="00194E91" w:rsidP="00194E91">
                  <w:pPr>
                    <w:spacing w:after="60"/>
                    <w:rPr>
                      <w:iCs/>
                      <w:sz w:val="20"/>
                    </w:rPr>
                  </w:pPr>
                  <w:r w:rsidRPr="00194E91">
                    <w:rPr>
                      <w:sz w:val="20"/>
                    </w:rPr>
                    <w:t>PRC</w:t>
                  </w:r>
                  <w:r w:rsidRPr="00194E91">
                    <w:rPr>
                      <w:sz w:val="20"/>
                      <w:vertAlign w:val="subscript"/>
                    </w:rPr>
                    <w:t>8</w:t>
                  </w:r>
                </w:p>
              </w:tc>
              <w:tc>
                <w:tcPr>
                  <w:tcW w:w="1151" w:type="dxa"/>
                </w:tcPr>
                <w:p w14:paraId="31F3E1DB" w14:textId="65871B1C" w:rsidR="00194E91" w:rsidRPr="00194E91" w:rsidRDefault="00194E91" w:rsidP="00194E91">
                  <w:pPr>
                    <w:spacing w:after="60"/>
                    <w:rPr>
                      <w:iCs/>
                      <w:sz w:val="20"/>
                    </w:rPr>
                  </w:pPr>
                  <w:r w:rsidRPr="00194E91">
                    <w:rPr>
                      <w:sz w:val="20"/>
                    </w:rPr>
                    <w:t>MW</w:t>
                  </w:r>
                </w:p>
              </w:tc>
              <w:tc>
                <w:tcPr>
                  <w:tcW w:w="6004" w:type="dxa"/>
                </w:tcPr>
                <w:p w14:paraId="742C6300" w14:textId="0B27DCF6" w:rsidR="00194E91" w:rsidRPr="00194E91" w:rsidRDefault="00194E91" w:rsidP="00194E91">
                  <w:pPr>
                    <w:tabs>
                      <w:tab w:val="left" w:pos="1080"/>
                    </w:tabs>
                    <w:spacing w:after="60"/>
                    <w:rPr>
                      <w:iCs/>
                      <w:sz w:val="20"/>
                    </w:rPr>
                  </w:pPr>
                  <w:r w:rsidRPr="00194E91">
                    <w:rPr>
                      <w:sz w:val="20"/>
                    </w:rPr>
                    <w:t>ESR capacity capable of providing Primary Frequency Response</w:t>
                  </w:r>
                </w:p>
              </w:tc>
            </w:tr>
            <w:tr w:rsidR="00C952ED" w:rsidRPr="003161DC" w14:paraId="180E8EE6" w14:textId="77777777" w:rsidTr="00194E91">
              <w:tc>
                <w:tcPr>
                  <w:tcW w:w="2050" w:type="dxa"/>
                </w:tcPr>
                <w:p w14:paraId="34DE953E" w14:textId="52FDDAA2" w:rsidR="00C952ED" w:rsidRPr="00C952ED" w:rsidRDefault="00C952ED" w:rsidP="00C952ED">
                  <w:pPr>
                    <w:spacing w:after="60"/>
                    <w:rPr>
                      <w:iCs/>
                      <w:sz w:val="20"/>
                    </w:rPr>
                  </w:pPr>
                  <w:r w:rsidRPr="00C952ED">
                    <w:rPr>
                      <w:sz w:val="20"/>
                    </w:rPr>
                    <w:t>PRC</w:t>
                  </w:r>
                  <w:r>
                    <w:rPr>
                      <w:sz w:val="20"/>
                      <w:vertAlign w:val="subscript"/>
                    </w:rPr>
                    <w:t>9</w:t>
                  </w:r>
                </w:p>
              </w:tc>
              <w:tc>
                <w:tcPr>
                  <w:tcW w:w="1151" w:type="dxa"/>
                </w:tcPr>
                <w:p w14:paraId="5A102943" w14:textId="23C3CA84" w:rsidR="00C952ED" w:rsidRPr="00C952ED" w:rsidRDefault="00C952ED" w:rsidP="00C952ED">
                  <w:pPr>
                    <w:spacing w:after="60"/>
                    <w:rPr>
                      <w:iCs/>
                      <w:sz w:val="20"/>
                    </w:rPr>
                  </w:pPr>
                  <w:r w:rsidRPr="00C952ED">
                    <w:rPr>
                      <w:sz w:val="20"/>
                    </w:rPr>
                    <w:t>MW</w:t>
                  </w:r>
                </w:p>
              </w:tc>
              <w:tc>
                <w:tcPr>
                  <w:tcW w:w="6004" w:type="dxa"/>
                </w:tcPr>
                <w:p w14:paraId="390BE2F4" w14:textId="293D00CC" w:rsidR="00C952ED" w:rsidRPr="00C952ED" w:rsidRDefault="00C952ED" w:rsidP="00C952ED">
                  <w:pPr>
                    <w:tabs>
                      <w:tab w:val="left" w:pos="1080"/>
                    </w:tabs>
                    <w:spacing w:after="60"/>
                    <w:rPr>
                      <w:iCs/>
                      <w:sz w:val="20"/>
                    </w:rPr>
                  </w:pPr>
                  <w:r w:rsidRPr="00C952ED">
                    <w:rPr>
                      <w:sz w:val="20"/>
                    </w:rPr>
                    <w:t>Capacity from DC-Coupled Resources capable of providing Primary Frequency Response</w:t>
                  </w:r>
                </w:p>
              </w:tc>
            </w:tr>
            <w:tr w:rsidR="00194E91" w:rsidRPr="003161DC" w14:paraId="5FE0AC1B" w14:textId="77777777" w:rsidTr="00194E91">
              <w:tc>
                <w:tcPr>
                  <w:tcW w:w="2050" w:type="dxa"/>
                </w:tcPr>
                <w:p w14:paraId="29094CE6" w14:textId="77777777" w:rsidR="00194E91" w:rsidRPr="003161DC" w:rsidRDefault="00194E91" w:rsidP="00194E91">
                  <w:pPr>
                    <w:spacing w:after="60"/>
                    <w:rPr>
                      <w:iCs/>
                      <w:sz w:val="20"/>
                    </w:rPr>
                  </w:pPr>
                  <w:r w:rsidRPr="003161DC">
                    <w:rPr>
                      <w:iCs/>
                      <w:sz w:val="20"/>
                    </w:rPr>
                    <w:t>PRC</w:t>
                  </w:r>
                </w:p>
              </w:tc>
              <w:tc>
                <w:tcPr>
                  <w:tcW w:w="1151" w:type="dxa"/>
                </w:tcPr>
                <w:p w14:paraId="64D7E11B" w14:textId="77777777" w:rsidR="00194E91" w:rsidRPr="003161DC" w:rsidRDefault="00194E91" w:rsidP="00194E91">
                  <w:pPr>
                    <w:spacing w:after="60"/>
                    <w:rPr>
                      <w:iCs/>
                      <w:sz w:val="20"/>
                    </w:rPr>
                  </w:pPr>
                  <w:r w:rsidRPr="003161DC">
                    <w:rPr>
                      <w:iCs/>
                      <w:sz w:val="20"/>
                    </w:rPr>
                    <w:t>MW</w:t>
                  </w:r>
                </w:p>
              </w:tc>
              <w:tc>
                <w:tcPr>
                  <w:tcW w:w="6004" w:type="dxa"/>
                </w:tcPr>
                <w:p w14:paraId="48E3A293" w14:textId="77777777" w:rsidR="00194E91" w:rsidRPr="003161DC" w:rsidRDefault="00194E91" w:rsidP="00194E91">
                  <w:pPr>
                    <w:tabs>
                      <w:tab w:val="left" w:pos="1080"/>
                    </w:tabs>
                    <w:spacing w:after="60"/>
                    <w:rPr>
                      <w:iCs/>
                      <w:sz w:val="20"/>
                    </w:rPr>
                  </w:pPr>
                  <w:r w:rsidRPr="003161DC">
                    <w:rPr>
                      <w:iCs/>
                      <w:sz w:val="20"/>
                    </w:rPr>
                    <w:t>Physical Responsive Capability</w:t>
                  </w:r>
                </w:p>
              </w:tc>
            </w:tr>
            <w:tr w:rsidR="00194E91" w:rsidRPr="003161DC" w14:paraId="445A6ADE" w14:textId="77777777" w:rsidTr="00194E91">
              <w:tc>
                <w:tcPr>
                  <w:tcW w:w="2050" w:type="dxa"/>
                </w:tcPr>
                <w:p w14:paraId="0305E39A" w14:textId="2D254936" w:rsidR="00194E91" w:rsidRPr="00194E91" w:rsidRDefault="00194E91" w:rsidP="00194E91">
                  <w:pPr>
                    <w:spacing w:after="60"/>
                    <w:rPr>
                      <w:iCs/>
                      <w:sz w:val="20"/>
                    </w:rPr>
                  </w:pPr>
                  <w:r w:rsidRPr="00194E91">
                    <w:rPr>
                      <w:sz w:val="20"/>
                    </w:rPr>
                    <w:t>X</w:t>
                  </w:r>
                </w:p>
              </w:tc>
              <w:tc>
                <w:tcPr>
                  <w:tcW w:w="1151" w:type="dxa"/>
                </w:tcPr>
                <w:p w14:paraId="13F92F37" w14:textId="0A766FF1" w:rsidR="00194E91" w:rsidRPr="00194E91" w:rsidRDefault="00194E91" w:rsidP="00194E91">
                  <w:pPr>
                    <w:spacing w:after="60"/>
                    <w:rPr>
                      <w:iCs/>
                      <w:sz w:val="20"/>
                    </w:rPr>
                  </w:pPr>
                  <w:r w:rsidRPr="00194E91">
                    <w:rPr>
                      <w:sz w:val="20"/>
                    </w:rPr>
                    <w:t>Percentage</w:t>
                  </w:r>
                </w:p>
              </w:tc>
              <w:tc>
                <w:tcPr>
                  <w:tcW w:w="6004" w:type="dxa"/>
                </w:tcPr>
                <w:p w14:paraId="59950129" w14:textId="7CB1236C" w:rsidR="00194E91" w:rsidRPr="00194E91" w:rsidRDefault="00194E91" w:rsidP="00194E91">
                  <w:pPr>
                    <w:spacing w:after="60"/>
                    <w:rPr>
                      <w:iCs/>
                      <w:sz w:val="20"/>
                    </w:rPr>
                  </w:pPr>
                  <w:r w:rsidRPr="00194E91">
                    <w:rPr>
                      <w:sz w:val="20"/>
                    </w:rPr>
                    <w:t>Percent threshold based on the Governor droop setting of ESRs</w:t>
                  </w:r>
                </w:p>
              </w:tc>
            </w:tr>
            <w:tr w:rsidR="00194E91" w:rsidRPr="003161DC" w14:paraId="41A609F4" w14:textId="77777777" w:rsidTr="00194E91">
              <w:tc>
                <w:tcPr>
                  <w:tcW w:w="2050" w:type="dxa"/>
                </w:tcPr>
                <w:p w14:paraId="1542E513" w14:textId="77777777" w:rsidR="00194E91" w:rsidRPr="003161DC" w:rsidRDefault="00194E91" w:rsidP="00194E91">
                  <w:pPr>
                    <w:spacing w:after="60"/>
                    <w:rPr>
                      <w:iCs/>
                      <w:sz w:val="20"/>
                    </w:rPr>
                  </w:pPr>
                  <w:r w:rsidRPr="003161DC">
                    <w:rPr>
                      <w:iCs/>
                      <w:sz w:val="20"/>
                    </w:rPr>
                    <w:t>RDF</w:t>
                  </w:r>
                </w:p>
              </w:tc>
              <w:tc>
                <w:tcPr>
                  <w:tcW w:w="1151" w:type="dxa"/>
                </w:tcPr>
                <w:p w14:paraId="425AD2E3" w14:textId="77777777" w:rsidR="00194E91" w:rsidRPr="003161DC" w:rsidRDefault="00194E91" w:rsidP="00194E91">
                  <w:pPr>
                    <w:spacing w:after="60"/>
                    <w:rPr>
                      <w:iCs/>
                      <w:sz w:val="20"/>
                    </w:rPr>
                  </w:pPr>
                </w:p>
              </w:tc>
              <w:tc>
                <w:tcPr>
                  <w:tcW w:w="6004" w:type="dxa"/>
                </w:tcPr>
                <w:p w14:paraId="315915CC" w14:textId="77777777" w:rsidR="00194E91" w:rsidRPr="003161DC" w:rsidRDefault="00194E91" w:rsidP="00194E91">
                  <w:pPr>
                    <w:spacing w:after="60"/>
                    <w:rPr>
                      <w:iCs/>
                      <w:sz w:val="20"/>
                    </w:rPr>
                  </w:pPr>
                  <w:r w:rsidRPr="003161DC">
                    <w:rPr>
                      <w:iCs/>
                      <w:sz w:val="20"/>
                    </w:rPr>
                    <w:t>The currently approved</w:t>
                  </w:r>
                  <w:r w:rsidRPr="003161DC">
                    <w:rPr>
                      <w:rFonts w:ascii="Times New Roman Bold" w:hAnsi="Times New Roman Bold"/>
                      <w:iCs/>
                      <w:sz w:val="20"/>
                    </w:rPr>
                    <w:t xml:space="preserve"> </w:t>
                  </w:r>
                  <w:r w:rsidRPr="003161DC">
                    <w:rPr>
                      <w:iCs/>
                      <w:sz w:val="20"/>
                    </w:rPr>
                    <w:t>Reserve Discount Factor</w:t>
                  </w:r>
                  <w:r w:rsidRPr="003161DC">
                    <w:rPr>
                      <w:iCs/>
                      <w:sz w:val="20"/>
                    </w:rPr>
                    <w:tab/>
                  </w:r>
                </w:p>
              </w:tc>
            </w:tr>
            <w:tr w:rsidR="00194E91" w:rsidRPr="003161DC" w14:paraId="5ED8FF53" w14:textId="77777777" w:rsidTr="00194E91">
              <w:tc>
                <w:tcPr>
                  <w:tcW w:w="2050" w:type="dxa"/>
                </w:tcPr>
                <w:p w14:paraId="19D89D20" w14:textId="77777777" w:rsidR="00194E91" w:rsidRPr="003161DC" w:rsidRDefault="00194E91" w:rsidP="00194E91">
                  <w:pPr>
                    <w:spacing w:after="60"/>
                    <w:rPr>
                      <w:iCs/>
                      <w:sz w:val="20"/>
                    </w:rPr>
                  </w:pPr>
                  <w:r w:rsidRPr="003161DC">
                    <w:rPr>
                      <w:iCs/>
                      <w:sz w:val="20"/>
                    </w:rPr>
                    <w:t>RDF</w:t>
                  </w:r>
                  <w:r w:rsidRPr="003161DC">
                    <w:rPr>
                      <w:iCs/>
                      <w:sz w:val="20"/>
                      <w:vertAlign w:val="subscript"/>
                    </w:rPr>
                    <w:t>W</w:t>
                  </w:r>
                </w:p>
              </w:tc>
              <w:tc>
                <w:tcPr>
                  <w:tcW w:w="1151" w:type="dxa"/>
                </w:tcPr>
                <w:p w14:paraId="2610930B" w14:textId="77777777" w:rsidR="00194E91" w:rsidRPr="003161DC" w:rsidRDefault="00194E91" w:rsidP="00194E91">
                  <w:pPr>
                    <w:spacing w:after="60"/>
                    <w:rPr>
                      <w:iCs/>
                      <w:sz w:val="20"/>
                    </w:rPr>
                  </w:pPr>
                </w:p>
              </w:tc>
              <w:tc>
                <w:tcPr>
                  <w:tcW w:w="6004" w:type="dxa"/>
                </w:tcPr>
                <w:p w14:paraId="64E5CC3C" w14:textId="77777777" w:rsidR="00194E91" w:rsidRPr="003161DC" w:rsidRDefault="00194E91" w:rsidP="00194E91">
                  <w:pPr>
                    <w:spacing w:after="60"/>
                    <w:rPr>
                      <w:iCs/>
                      <w:sz w:val="20"/>
                    </w:rPr>
                  </w:pPr>
                  <w:r w:rsidRPr="003161DC">
                    <w:rPr>
                      <w:iCs/>
                      <w:sz w:val="20"/>
                    </w:rPr>
                    <w:t>The currently approved Reserve Discount Factor for WGRs</w:t>
                  </w:r>
                </w:p>
              </w:tc>
            </w:tr>
            <w:tr w:rsidR="00194E91" w:rsidRPr="003161DC" w14:paraId="715D0955" w14:textId="77777777" w:rsidTr="00194E91">
              <w:tc>
                <w:tcPr>
                  <w:tcW w:w="2050" w:type="dxa"/>
                </w:tcPr>
                <w:p w14:paraId="45C7F1B6" w14:textId="77777777" w:rsidR="00194E91" w:rsidRPr="003161DC" w:rsidRDefault="00194E91" w:rsidP="00194E91">
                  <w:pPr>
                    <w:spacing w:after="60"/>
                    <w:rPr>
                      <w:iCs/>
                      <w:sz w:val="20"/>
                    </w:rPr>
                  </w:pPr>
                  <w:r w:rsidRPr="003161DC">
                    <w:rPr>
                      <w:iCs/>
                      <w:sz w:val="20"/>
                    </w:rPr>
                    <w:t>LRDF_1</w:t>
                  </w:r>
                </w:p>
              </w:tc>
              <w:tc>
                <w:tcPr>
                  <w:tcW w:w="1151" w:type="dxa"/>
                </w:tcPr>
                <w:p w14:paraId="2290B5CD" w14:textId="77777777" w:rsidR="00194E91" w:rsidRPr="003161DC" w:rsidRDefault="00194E91" w:rsidP="00194E91">
                  <w:pPr>
                    <w:spacing w:after="60"/>
                    <w:rPr>
                      <w:iCs/>
                      <w:sz w:val="20"/>
                    </w:rPr>
                  </w:pPr>
                </w:p>
              </w:tc>
              <w:tc>
                <w:tcPr>
                  <w:tcW w:w="6004" w:type="dxa"/>
                </w:tcPr>
                <w:p w14:paraId="249B356B" w14:textId="6745809C" w:rsidR="00194E91" w:rsidRPr="003161DC" w:rsidRDefault="00194E91" w:rsidP="00194E91">
                  <w:pPr>
                    <w:spacing w:after="60"/>
                    <w:rPr>
                      <w:iCs/>
                      <w:sz w:val="20"/>
                    </w:rPr>
                  </w:pPr>
                  <w:r w:rsidRPr="003161DC">
                    <w:rPr>
                      <w:iCs/>
                      <w:sz w:val="20"/>
                    </w:rPr>
                    <w:t>The currently approved Load Resource</w:t>
                  </w:r>
                  <w:r w:rsidRPr="003161DC">
                    <w:rPr>
                      <w:rFonts w:ascii="Times New Roman Bold" w:hAnsi="Times New Roman Bold"/>
                      <w:iCs/>
                      <w:sz w:val="20"/>
                    </w:rPr>
                    <w:t xml:space="preserve"> </w:t>
                  </w:r>
                  <w:r w:rsidRPr="003161DC">
                    <w:rPr>
                      <w:iCs/>
                      <w:sz w:val="20"/>
                    </w:rPr>
                    <w:t xml:space="preserve">Reserve Discount Factor for </w:t>
                  </w:r>
                  <w:r w:rsidR="0069524B">
                    <w:rPr>
                      <w:iCs/>
                      <w:sz w:val="20"/>
                    </w:rPr>
                    <w:t>CLRs</w:t>
                  </w:r>
                  <w:r w:rsidRPr="003161DC">
                    <w:rPr>
                      <w:iCs/>
                      <w:sz w:val="20"/>
                    </w:rPr>
                    <w:t xml:space="preserve"> </w:t>
                  </w:r>
                  <w:r>
                    <w:rPr>
                      <w:iCs/>
                      <w:sz w:val="20"/>
                    </w:rPr>
                    <w:t>awarded an</w:t>
                  </w:r>
                  <w:r w:rsidRPr="003161DC">
                    <w:rPr>
                      <w:iCs/>
                      <w:sz w:val="20"/>
                    </w:rPr>
                    <w:t xml:space="preserve"> Ancillary Service Resource </w:t>
                  </w:r>
                  <w:r>
                    <w:rPr>
                      <w:iCs/>
                      <w:sz w:val="20"/>
                    </w:rPr>
                    <w:t>award</w:t>
                  </w:r>
                </w:p>
              </w:tc>
            </w:tr>
            <w:tr w:rsidR="00194E91" w:rsidRPr="003161DC" w14:paraId="47E1622E" w14:textId="77777777" w:rsidTr="00194E91">
              <w:tc>
                <w:tcPr>
                  <w:tcW w:w="2050" w:type="dxa"/>
                </w:tcPr>
                <w:p w14:paraId="193BFC50" w14:textId="77777777" w:rsidR="00194E91" w:rsidRPr="003161DC" w:rsidRDefault="00194E91" w:rsidP="00194E91">
                  <w:pPr>
                    <w:spacing w:after="60"/>
                    <w:rPr>
                      <w:iCs/>
                      <w:sz w:val="20"/>
                    </w:rPr>
                  </w:pPr>
                  <w:r w:rsidRPr="003161DC">
                    <w:rPr>
                      <w:iCs/>
                      <w:sz w:val="20"/>
                    </w:rPr>
                    <w:t>LRDF_2</w:t>
                  </w:r>
                </w:p>
              </w:tc>
              <w:tc>
                <w:tcPr>
                  <w:tcW w:w="1151" w:type="dxa"/>
                </w:tcPr>
                <w:p w14:paraId="2D4B5B69" w14:textId="77777777" w:rsidR="00194E91" w:rsidRPr="003161DC" w:rsidRDefault="00194E91" w:rsidP="00194E91">
                  <w:pPr>
                    <w:spacing w:after="60"/>
                    <w:rPr>
                      <w:iCs/>
                      <w:sz w:val="20"/>
                    </w:rPr>
                  </w:pPr>
                </w:p>
              </w:tc>
              <w:tc>
                <w:tcPr>
                  <w:tcW w:w="6004" w:type="dxa"/>
                </w:tcPr>
                <w:p w14:paraId="3EFE9686" w14:textId="6B23F91C" w:rsidR="00194E91" w:rsidRPr="003161DC" w:rsidRDefault="00194E91" w:rsidP="00194E91">
                  <w:pPr>
                    <w:spacing w:after="60"/>
                    <w:rPr>
                      <w:iCs/>
                      <w:sz w:val="20"/>
                    </w:rPr>
                  </w:pPr>
                  <w:r w:rsidRPr="003161DC">
                    <w:rPr>
                      <w:iCs/>
                      <w:sz w:val="20"/>
                    </w:rPr>
                    <w:t>The currently approved Load Resource</w:t>
                  </w:r>
                  <w:r w:rsidRPr="003161DC">
                    <w:rPr>
                      <w:rFonts w:ascii="Times New Roman Bold" w:hAnsi="Times New Roman Bold"/>
                      <w:iCs/>
                      <w:sz w:val="20"/>
                    </w:rPr>
                    <w:t xml:space="preserve"> </w:t>
                  </w:r>
                  <w:r w:rsidRPr="003161DC">
                    <w:rPr>
                      <w:iCs/>
                      <w:sz w:val="20"/>
                    </w:rPr>
                    <w:t xml:space="preserve">Reserve Discount Factor for </w:t>
                  </w:r>
                  <w:r w:rsidR="0069524B">
                    <w:rPr>
                      <w:iCs/>
                      <w:sz w:val="20"/>
                    </w:rPr>
                    <w:t>CLRs</w:t>
                  </w:r>
                  <w:r w:rsidRPr="003161DC">
                    <w:rPr>
                      <w:iCs/>
                      <w:sz w:val="20"/>
                    </w:rPr>
                    <w:t xml:space="preserve"> not </w:t>
                  </w:r>
                  <w:r>
                    <w:rPr>
                      <w:iCs/>
                      <w:sz w:val="20"/>
                    </w:rPr>
                    <w:t>awarded an</w:t>
                  </w:r>
                  <w:r w:rsidRPr="003161DC">
                    <w:rPr>
                      <w:iCs/>
                      <w:sz w:val="20"/>
                    </w:rPr>
                    <w:t xml:space="preserve"> Ancillary Service Resource </w:t>
                  </w:r>
                  <w:r>
                    <w:rPr>
                      <w:iCs/>
                      <w:sz w:val="20"/>
                    </w:rPr>
                    <w:t>award</w:t>
                  </w:r>
                </w:p>
              </w:tc>
            </w:tr>
            <w:tr w:rsidR="00194E91" w:rsidRPr="003161DC" w14:paraId="3A73515C" w14:textId="77777777" w:rsidTr="00194E91">
              <w:tc>
                <w:tcPr>
                  <w:tcW w:w="2050" w:type="dxa"/>
                </w:tcPr>
                <w:p w14:paraId="2C804DD6" w14:textId="77777777" w:rsidR="00194E91" w:rsidRPr="003161DC" w:rsidRDefault="00194E91" w:rsidP="00194E91">
                  <w:pPr>
                    <w:spacing w:after="60"/>
                    <w:rPr>
                      <w:iCs/>
                      <w:sz w:val="20"/>
                    </w:rPr>
                  </w:pPr>
                  <w:r w:rsidRPr="003161DC">
                    <w:rPr>
                      <w:iCs/>
                      <w:sz w:val="20"/>
                    </w:rPr>
                    <w:t>FRC</w:t>
                  </w:r>
                  <w:r>
                    <w:rPr>
                      <w:iCs/>
                      <w:sz w:val="20"/>
                    </w:rPr>
                    <w:t>HL</w:t>
                  </w:r>
                </w:p>
              </w:tc>
              <w:tc>
                <w:tcPr>
                  <w:tcW w:w="1151" w:type="dxa"/>
                </w:tcPr>
                <w:p w14:paraId="5136DD63" w14:textId="77777777" w:rsidR="00194E91" w:rsidRPr="003161DC" w:rsidRDefault="00194E91" w:rsidP="00194E91">
                  <w:pPr>
                    <w:spacing w:after="60"/>
                    <w:rPr>
                      <w:iCs/>
                      <w:sz w:val="20"/>
                    </w:rPr>
                  </w:pPr>
                  <w:r w:rsidRPr="003161DC">
                    <w:rPr>
                      <w:iCs/>
                      <w:sz w:val="20"/>
                    </w:rPr>
                    <w:t>MW</w:t>
                  </w:r>
                </w:p>
              </w:tc>
              <w:tc>
                <w:tcPr>
                  <w:tcW w:w="6004" w:type="dxa"/>
                </w:tcPr>
                <w:p w14:paraId="40D80637" w14:textId="77777777" w:rsidR="00194E91" w:rsidRPr="003161DC" w:rsidRDefault="00194E91" w:rsidP="00194E91">
                  <w:pPr>
                    <w:spacing w:after="60"/>
                    <w:rPr>
                      <w:iCs/>
                      <w:sz w:val="20"/>
                    </w:rPr>
                  </w:pPr>
                  <w:r>
                    <w:rPr>
                      <w:iCs/>
                      <w:sz w:val="20"/>
                    </w:rPr>
                    <w:t>Telemetered High limit of the FRC for the Resource</w:t>
                  </w:r>
                </w:p>
              </w:tc>
            </w:tr>
            <w:tr w:rsidR="00194E91" w:rsidRPr="003161DC" w14:paraId="098C3BD8" w14:textId="77777777" w:rsidTr="00194E91">
              <w:tc>
                <w:tcPr>
                  <w:tcW w:w="2050" w:type="dxa"/>
                </w:tcPr>
                <w:p w14:paraId="7505070B" w14:textId="77777777" w:rsidR="00194E91" w:rsidRPr="003161DC" w:rsidDel="001616A9" w:rsidRDefault="00194E91" w:rsidP="00194E91">
                  <w:pPr>
                    <w:spacing w:after="60"/>
                    <w:rPr>
                      <w:iCs/>
                      <w:sz w:val="20"/>
                    </w:rPr>
                  </w:pPr>
                  <w:r>
                    <w:rPr>
                      <w:iCs/>
                      <w:sz w:val="20"/>
                    </w:rPr>
                    <w:t>FRCO</w:t>
                  </w:r>
                </w:p>
              </w:tc>
              <w:tc>
                <w:tcPr>
                  <w:tcW w:w="1151" w:type="dxa"/>
                </w:tcPr>
                <w:p w14:paraId="5CEC1BEB" w14:textId="77777777" w:rsidR="00194E91" w:rsidRPr="003161DC" w:rsidRDefault="00194E91" w:rsidP="00194E91">
                  <w:pPr>
                    <w:spacing w:after="60"/>
                    <w:rPr>
                      <w:iCs/>
                      <w:sz w:val="20"/>
                    </w:rPr>
                  </w:pPr>
                  <w:r>
                    <w:rPr>
                      <w:iCs/>
                      <w:sz w:val="20"/>
                    </w:rPr>
                    <w:t>MW</w:t>
                  </w:r>
                </w:p>
              </w:tc>
              <w:tc>
                <w:tcPr>
                  <w:tcW w:w="6004" w:type="dxa"/>
                </w:tcPr>
                <w:p w14:paraId="68F7E800" w14:textId="77777777" w:rsidR="00194E91" w:rsidRDefault="00194E91" w:rsidP="00194E91">
                  <w:pPr>
                    <w:spacing w:after="60"/>
                    <w:rPr>
                      <w:iCs/>
                      <w:sz w:val="20"/>
                    </w:rPr>
                  </w:pPr>
                  <w:r w:rsidRPr="00BA6B11">
                    <w:rPr>
                      <w:iCs/>
                      <w:sz w:val="20"/>
                    </w:rPr>
                    <w:t>Telemetered output of FRC portion of the Resource</w:t>
                  </w:r>
                </w:p>
              </w:tc>
            </w:tr>
          </w:tbl>
          <w:p w14:paraId="63E079E6" w14:textId="47D3621D" w:rsidR="00194E91" w:rsidRPr="003161DC" w:rsidRDefault="00194E91" w:rsidP="00194E91">
            <w:pPr>
              <w:spacing w:before="240" w:after="240"/>
              <w:ind w:left="720" w:hanging="720"/>
            </w:pPr>
            <w:r w:rsidRPr="003161DC">
              <w:t>(</w:t>
            </w:r>
            <w:r>
              <w:t>2</w:t>
            </w:r>
            <w:r w:rsidRPr="003161DC">
              <w:t>)</w:t>
            </w:r>
            <w:r w:rsidRPr="003161DC">
              <w:tab/>
              <w:t>The Load Resource</w:t>
            </w:r>
            <w:r w:rsidRPr="003161DC">
              <w:rPr>
                <w:rFonts w:ascii="Times New Roman Bold" w:hAnsi="Times New Roman Bold"/>
              </w:rPr>
              <w:t xml:space="preserve"> </w:t>
            </w:r>
            <w:r w:rsidRPr="003161DC">
              <w:t xml:space="preserve">Reserve Discount Factors (RDFs) for </w:t>
            </w:r>
            <w:r w:rsidR="0069524B">
              <w:t>CLRs</w:t>
            </w:r>
            <w:r w:rsidRPr="003161DC">
              <w:t xml:space="preserve"> (LRDF_1 and LRDF_2) shall be subject to review and approval by TAC.</w:t>
            </w:r>
          </w:p>
          <w:p w14:paraId="35B161BE" w14:textId="26AD56F8" w:rsidR="00194E91" w:rsidRDefault="00194E91" w:rsidP="00194E91">
            <w:pPr>
              <w:ind w:left="720" w:hanging="720"/>
            </w:pPr>
            <w:r w:rsidRPr="003161DC">
              <w:t>(</w:t>
            </w:r>
            <w:r>
              <w:t>3</w:t>
            </w:r>
            <w:r w:rsidRPr="003161DC">
              <w:t xml:space="preserve">) </w:t>
            </w:r>
            <w:r w:rsidRPr="003161DC">
              <w:tab/>
              <w:t xml:space="preserve">The RDFs used in the PRC calculation shall be posted to the </w:t>
            </w:r>
            <w:r w:rsidR="0007207E">
              <w:t>ERCOT website</w:t>
            </w:r>
            <w:r w:rsidRPr="003161DC">
              <w:t xml:space="preserve"> no later than three Business Days after approval.</w:t>
            </w:r>
          </w:p>
          <w:p w14:paraId="70FF9328" w14:textId="77777777" w:rsidR="00194E91" w:rsidRDefault="00194E91" w:rsidP="00194E91">
            <w:pPr>
              <w:ind w:left="720" w:hanging="720"/>
            </w:pPr>
          </w:p>
          <w:p w14:paraId="1F378FAC" w14:textId="617D8500" w:rsidR="003779F5" w:rsidRPr="00AE702A" w:rsidRDefault="00194E91" w:rsidP="00194E91">
            <w:pPr>
              <w:spacing w:after="240"/>
              <w:ind w:left="720" w:hanging="720"/>
            </w:pPr>
            <w:r>
              <w:t>(4)</w:t>
            </w:r>
            <w:r>
              <w:tab/>
              <w:t>ERCOT shall display on the E</w:t>
            </w:r>
            <w:r w:rsidR="006F7954">
              <w:t>RCOT website and update every ten</w:t>
            </w:r>
            <w:r>
              <w:t xml:space="preserve"> seconds a rolling view of the </w:t>
            </w:r>
            <w:r w:rsidRPr="00EB2CE4">
              <w:t>ERCOT-wide PRC</w:t>
            </w:r>
            <w:r>
              <w:t>, as defined in paragraph (1)(</w:t>
            </w:r>
            <w:r w:rsidR="00201765">
              <w:t>p</w:t>
            </w:r>
            <w:r>
              <w:t>) above, for the current Operating Day.</w:t>
            </w:r>
          </w:p>
        </w:tc>
      </w:tr>
    </w:tbl>
    <w:p w14:paraId="6CAB6EAE" w14:textId="77777777" w:rsidR="001F04FD" w:rsidRDefault="001F04FD" w:rsidP="001F04FD">
      <w:pPr>
        <w:pStyle w:val="H4"/>
        <w:spacing w:before="480"/>
        <w:ind w:left="1267" w:hanging="1267"/>
      </w:pPr>
      <w:bookmarkStart w:id="1239" w:name="_Toc204411618"/>
      <w:r>
        <w:lastRenderedPageBreak/>
        <w:t>6.5.7.6</w:t>
      </w:r>
      <w:r>
        <w:tab/>
        <w:t>Load Frequency Control</w:t>
      </w:r>
      <w:bookmarkEnd w:id="1206"/>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39"/>
    </w:p>
    <w:p w14:paraId="07C1F2F0" w14:textId="37C89DE6" w:rsidR="001F04FD" w:rsidRDefault="001F04FD" w:rsidP="001F04FD">
      <w:pPr>
        <w:pStyle w:val="BodyTextNumbered"/>
      </w:pPr>
      <w:bookmarkStart w:id="1240" w:name="_Hlk135902426"/>
      <w:r>
        <w:t>(1)</w:t>
      </w:r>
      <w:r>
        <w:tab/>
        <w:t>The function of LFC is to maintain system frequency without a cost optimization function.  ERCOT shall execute LFC every four seconds to reduce system frequency deviations from scheduled frequency by providing a control signal to each QSE that represents Resources providing Regulation Service</w:t>
      </w:r>
      <w:r w:rsidR="00397A7F">
        <w:t>,</w:t>
      </w:r>
      <w:r>
        <w:t xml:space="preserve"> RRS</w:t>
      </w:r>
      <w:r w:rsidR="00397A7F">
        <w:t>, and ECRS</w:t>
      </w:r>
      <w:r>
        <w:t>.</w:t>
      </w:r>
    </w:p>
    <w:p w14:paraId="189791BE" w14:textId="77777777" w:rsidR="001F04FD" w:rsidRDefault="001F04FD" w:rsidP="00F969DB">
      <w:pPr>
        <w:pStyle w:val="H5"/>
        <w:ind w:left="1627" w:hanging="1627"/>
      </w:pPr>
      <w:bookmarkStart w:id="1241" w:name="_Toc73216013"/>
      <w:bookmarkStart w:id="1242" w:name="_Toc397504975"/>
      <w:bookmarkStart w:id="1243" w:name="_Toc402357103"/>
      <w:bookmarkStart w:id="1244" w:name="_Toc422486483"/>
      <w:bookmarkStart w:id="1245" w:name="_Toc433093335"/>
      <w:bookmarkStart w:id="1246" w:name="_Toc433093493"/>
      <w:bookmarkStart w:id="1247" w:name="_Toc440874722"/>
      <w:bookmarkStart w:id="1248" w:name="_Toc448142277"/>
      <w:bookmarkStart w:id="1249" w:name="_Toc448142434"/>
      <w:bookmarkStart w:id="1250" w:name="_Toc458770270"/>
      <w:bookmarkStart w:id="1251" w:name="_Toc459294238"/>
      <w:bookmarkStart w:id="1252" w:name="_Toc463262731"/>
      <w:bookmarkStart w:id="1253" w:name="_Toc468286805"/>
      <w:bookmarkStart w:id="1254" w:name="_Toc481502851"/>
      <w:bookmarkStart w:id="1255" w:name="_Toc496080019"/>
      <w:bookmarkStart w:id="1256" w:name="_Toc73216014"/>
      <w:bookmarkStart w:id="1257" w:name="_Toc204411619"/>
      <w:bookmarkEnd w:id="1240"/>
      <w:r>
        <w:lastRenderedPageBreak/>
        <w:t>6.5.7.6.1</w:t>
      </w:r>
      <w:r>
        <w:tab/>
        <w:t>LFC Process Description</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7"/>
    </w:p>
    <w:p w14:paraId="09BEF394" w14:textId="77777777" w:rsidR="001F04FD" w:rsidRDefault="001F04FD" w:rsidP="001F04FD">
      <w:pPr>
        <w:pStyle w:val="BodyTextNumbered"/>
      </w:pPr>
      <w:r>
        <w:t>(1)</w:t>
      </w:r>
      <w:r>
        <w:tab/>
        <w:t>The LFC system corrects system frequency based on the Area Control Error (ACE) algorithm and Good Utility Practice.</w:t>
      </w:r>
    </w:p>
    <w:p w14:paraId="7D93282A" w14:textId="77777777" w:rsidR="001F04FD" w:rsidRDefault="001F04FD" w:rsidP="001F04FD">
      <w:pPr>
        <w:pStyle w:val="BodyTextNumbered"/>
      </w:pPr>
      <w:r>
        <w:t>(2)</w:t>
      </w:r>
      <w:r>
        <w:tab/>
        <w:t>The ACE algorithm subtracts the actual frequency in Hz from the scheduled system frequency (normally 60 Hz), and multiplies the result by the frequency bias constant of MW/0.1 Hz.  The ACE algorithm then takes that product and subtracts</w:t>
      </w:r>
      <w:r w:rsidRPr="00562F25">
        <w:t xml:space="preserve"> </w:t>
      </w:r>
      <w:r>
        <w:t xml:space="preserve">a configurable portion of the sum of the difference between the Updated Desired Base Point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1178C454" w14:textId="252B5BB2" w:rsidR="001F04FD" w:rsidRDefault="001F04FD" w:rsidP="001F04FD">
      <w:pPr>
        <w:pStyle w:val="BodyTextNumbered"/>
      </w:pPr>
      <w:r>
        <w:t>(3)</w:t>
      </w:r>
      <w:r>
        <w:tab/>
        <w:t xml:space="preserve">The LFC module receives inputs from Real-Time telemetry that includes Resource output and actual system frequency.  The LFC uses actual Resource information calculated from SCADA to determine available Resource capacity providing Regulation </w:t>
      </w:r>
      <w:r w:rsidR="00397A7F">
        <w:t xml:space="preserve">Service, </w:t>
      </w:r>
      <w:r>
        <w:t>RRS</w:t>
      </w:r>
      <w:r w:rsidR="00397A7F">
        <w:t>, and ECRS</w:t>
      </w:r>
      <w:r>
        <w:t>.</w:t>
      </w:r>
    </w:p>
    <w:p w14:paraId="032FCBB4" w14:textId="2F7D011C" w:rsidR="001F04FD" w:rsidRDefault="001F04FD" w:rsidP="00FB599C">
      <w:pPr>
        <w:pStyle w:val="BodyTextNumbered"/>
      </w:pPr>
      <w:r>
        <w:t>(4)</w:t>
      </w:r>
      <w:r>
        <w:tab/>
        <w:t>Based on the ACE MW correction, the LFC issues a set of control signals every four seconds to each QSE providing Regulation and, if required, each QSE providing RRS</w:t>
      </w:r>
      <w:r w:rsidR="00397A7F">
        <w:t xml:space="preserve"> and ECRS</w:t>
      </w:r>
      <w:r>
        <w:t xml:space="preserve">.  Control must be proportional to the QSE’s share of each of the services that it is providing, respecting the QSE’s Resources’ capability to provide regulation control.  Control signals are provided to the QSE using the ICCP data link.  QSEs shall receive an Updated Desired Base Point updated every four seconds by LFC.  ERCOT will provide an Operations Notice of any methodology change to the determination of the Updated Desired Base Point within 60 minutes of the change.  </w:t>
      </w:r>
    </w:p>
    <w:p w14:paraId="40AE23B2" w14:textId="31CE5ACC" w:rsidR="001F04FD" w:rsidRDefault="001F04FD" w:rsidP="00FB599C">
      <w:pPr>
        <w:pStyle w:val="BodyTextNumbered"/>
      </w:pPr>
      <w:r>
        <w:t>(5)</w:t>
      </w:r>
      <w:r>
        <w:tab/>
      </w:r>
      <w:r w:rsidR="00C552D9" w:rsidRPr="00EA71DD">
        <w:rPr>
          <w:iCs/>
        </w:rPr>
        <w:t>Each QSE shall allocate its Regulation energy deployment among its Resources to meet a deployment signal, and shall provide ERCOT with the participation factor of each Resource via telemetry in accordance with Section 6.5.7.6.2.1, Deployment of Regulation Service, and Section 6.4.9.1, Evaluation and Maintenance of Ancillary Service Capacity Sufficiency.  A QSE may allocate Regulation Service Ancillary Service Resource Responsibility to any Resource that has successfully opted out of RUC Settlement.  Each QSE’s allocation of Regulation Service to its Resources must be consistent with the telemetry provided under Section 6.5.5.2, Operational Data Requirements.  Each QSE’s allocation of its Regulation energy deployment among its Resources to meet a deployment signal must ensure the participation factors of all its Generation Resources in comparison to all its Controllable Load Resources remains constant.</w:t>
      </w:r>
    </w:p>
    <w:p w14:paraId="739C2F90" w14:textId="75C4D8DA" w:rsidR="001F04FD" w:rsidRDefault="001F04FD" w:rsidP="00EF74C5">
      <w:pPr>
        <w:pStyle w:val="BodyTextNumbered"/>
      </w:pPr>
      <w:r>
        <w:t>(6)</w:t>
      </w:r>
      <w:r>
        <w:tab/>
        <w:t xml:space="preserve">If all Reg-Up capacity has been deployed, ERCOT shall use the LFC system to deploy </w:t>
      </w:r>
      <w:r w:rsidR="00397A7F">
        <w:t>ECRS</w:t>
      </w:r>
      <w:r>
        <w:t xml:space="preserve"> on Generation Resources and Controllable Load Resources.  Such </w:t>
      </w:r>
      <w:r w:rsidR="000E20D3">
        <w:t>ECRS</w:t>
      </w:r>
      <w:r>
        <w:t xml:space="preserve"> deployments by ERCOT must be deployed as specified in Section </w:t>
      </w:r>
      <w:r w:rsidR="000E20D3" w:rsidRPr="000E20D3">
        <w:t>6.5.7.6.2.</w:t>
      </w:r>
      <w:r w:rsidR="0072151E">
        <w:t>4</w:t>
      </w:r>
      <w:r w:rsidR="000E20D3" w:rsidRPr="000E20D3">
        <w:t>, Deployment and Recall of ERCOT Contingency Reserve Service</w:t>
      </w:r>
      <w:r>
        <w:t>.</w:t>
      </w:r>
    </w:p>
    <w:p w14:paraId="1764F162" w14:textId="5D521AC0" w:rsidR="001F04FD" w:rsidRDefault="001F04FD" w:rsidP="00FB599C">
      <w:pPr>
        <w:pStyle w:val="BodyTextNumbered"/>
      </w:pPr>
      <w:r>
        <w:t>(7)</w:t>
      </w:r>
      <w:r>
        <w:tab/>
        <w:t xml:space="preserve">ERCOT shall settle energy that results from LFC deployment at the Settlement Point Price for the point of injection.  When a QSE deploys </w:t>
      </w:r>
      <w:r w:rsidR="000E20D3">
        <w:t>RRS or ECRS</w:t>
      </w:r>
      <w:r>
        <w:t xml:space="preserve">, the QSE shall </w:t>
      </w:r>
      <w:r>
        <w:lastRenderedPageBreak/>
        <w:t xml:space="preserve">deploy units consistent with the performance criteria in Sections 8.1.1.3.2, Responsive Reserve Capacity Monitoring Criteria, </w:t>
      </w:r>
      <w:r w:rsidR="000E20D3" w:rsidRPr="00213847">
        <w:t>8.1.1.3.</w:t>
      </w:r>
      <w:r w:rsidR="000E20D3">
        <w:t>4</w:t>
      </w:r>
      <w:r w:rsidR="000E20D3" w:rsidRPr="00213847">
        <w:t xml:space="preserve">, </w:t>
      </w:r>
      <w:r w:rsidR="000E20D3">
        <w:t xml:space="preserve">ERCOT Contingency </w:t>
      </w:r>
      <w:r w:rsidR="000E20D3" w:rsidRPr="00213847">
        <w:t>Reserve Service Capacity Monitoring Criteria</w:t>
      </w:r>
      <w:r w:rsidR="000E20D3">
        <w:t>,</w:t>
      </w:r>
      <w:r>
        <w:t xml:space="preserve"> 8.1.1.4.2, Responsive Reserve Energy Deployment Criteria</w:t>
      </w:r>
      <w:r w:rsidR="000E20D3">
        <w:t xml:space="preserve">, and </w:t>
      </w:r>
      <w:r w:rsidR="000E20D3" w:rsidRPr="00213847">
        <w:t>8.1.1.4.</w:t>
      </w:r>
      <w:r w:rsidR="000E20D3">
        <w:t>4</w:t>
      </w:r>
      <w:r w:rsidR="000E20D3" w:rsidRPr="00213847">
        <w:t xml:space="preserve">, </w:t>
      </w:r>
      <w:r w:rsidR="000E20D3">
        <w:t>ERCOT Contingency</w:t>
      </w:r>
      <w:r w:rsidR="000E20D3" w:rsidRPr="00213847">
        <w:t xml:space="preserve"> Reserve Service Energy Deployment Criteria</w:t>
      </w:r>
      <w:r>
        <w:t>.</w:t>
      </w:r>
    </w:p>
    <w:p w14:paraId="5DCA24B5" w14:textId="77777777" w:rsidR="001F04FD" w:rsidRDefault="001F04FD" w:rsidP="00FB599C">
      <w:pPr>
        <w:pStyle w:val="BodyTextNumbered"/>
      </w:pPr>
      <w:r>
        <w:t>(8)</w:t>
      </w:r>
      <w:r>
        <w:tab/>
        <w:t>The inputs for LFC include:</w:t>
      </w:r>
    </w:p>
    <w:p w14:paraId="2EEF2F2A" w14:textId="77777777" w:rsidR="001F04FD" w:rsidRDefault="001F04FD" w:rsidP="001F04FD">
      <w:pPr>
        <w:pStyle w:val="List"/>
      </w:pPr>
      <w:r>
        <w:t>(a)</w:t>
      </w:r>
      <w:r>
        <w:tab/>
        <w:t>Actual system frequency;</w:t>
      </w:r>
    </w:p>
    <w:p w14:paraId="28F117F4" w14:textId="77777777" w:rsidR="001F04FD" w:rsidRDefault="001F04FD" w:rsidP="001F04FD">
      <w:pPr>
        <w:pStyle w:val="List"/>
      </w:pPr>
      <w:r>
        <w:t>(b)</w:t>
      </w:r>
      <w:r>
        <w:tab/>
        <w:t>Scheduled system frequency;</w:t>
      </w:r>
    </w:p>
    <w:p w14:paraId="4430C03C" w14:textId="77777777" w:rsidR="001F04FD" w:rsidRDefault="001F04FD" w:rsidP="001F04FD">
      <w:pPr>
        <w:pStyle w:val="List"/>
      </w:pPr>
      <w:r>
        <w:t>(c)</w:t>
      </w:r>
      <w:r>
        <w:tab/>
        <w:t>Capacity available for Regulation by QSE;</w:t>
      </w:r>
    </w:p>
    <w:p w14:paraId="1D4B9A69" w14:textId="77777777" w:rsidR="001F04FD" w:rsidRDefault="001F04FD" w:rsidP="001F04FD">
      <w:pPr>
        <w:pStyle w:val="List"/>
      </w:pPr>
      <w:r>
        <w:t>(d)</w:t>
      </w:r>
      <w:r>
        <w:tab/>
        <w:t>Telemetered high and low Regulation availability status indications for each Resource available for Regulation deployments for ERCOT information;</w:t>
      </w:r>
    </w:p>
    <w:p w14:paraId="786F7519" w14:textId="77777777" w:rsidR="001F04FD" w:rsidRDefault="001F04FD" w:rsidP="001F04FD">
      <w:pPr>
        <w:pStyle w:val="List"/>
      </w:pPr>
      <w:r>
        <w:t>(e)</w:t>
      </w:r>
      <w:r>
        <w:tab/>
        <w:t>Resource limits calculated by ERCOT as described Section 6.5.7.2, Resource Limit Calculator;</w:t>
      </w:r>
    </w:p>
    <w:p w14:paraId="66EC40CF" w14:textId="77777777" w:rsidR="001F04FD" w:rsidRDefault="001F04FD" w:rsidP="001F04FD">
      <w:pPr>
        <w:pStyle w:val="List"/>
      </w:pPr>
      <w:r>
        <w:t>(f)</w:t>
      </w:r>
      <w:r>
        <w:tab/>
        <w:t>Resource Regulation participation factor;</w:t>
      </w:r>
    </w:p>
    <w:p w14:paraId="107F2170" w14:textId="088B7570" w:rsidR="001F04FD" w:rsidRDefault="001F04FD" w:rsidP="001F04FD">
      <w:pPr>
        <w:pStyle w:val="List"/>
      </w:pPr>
      <w:r>
        <w:t>(g)</w:t>
      </w:r>
      <w:r>
        <w:tab/>
        <w:t>Capacity available for RRS</w:t>
      </w:r>
      <w:r w:rsidR="000E20D3">
        <w:t xml:space="preserve"> and ECRS</w:t>
      </w:r>
      <w:r>
        <w:t xml:space="preserve"> by QSE;</w:t>
      </w:r>
    </w:p>
    <w:p w14:paraId="67F7778A" w14:textId="77777777" w:rsidR="001F04FD" w:rsidRDefault="001F04FD" w:rsidP="00FB599C">
      <w:pPr>
        <w:pStyle w:val="List"/>
      </w:pPr>
      <w:r>
        <w:t>(h)</w:t>
      </w:r>
      <w:r>
        <w:tab/>
        <w:t>ERCOT System frequency bias; and</w:t>
      </w:r>
    </w:p>
    <w:p w14:paraId="1BB1D029" w14:textId="77777777" w:rsidR="001F04FD" w:rsidRDefault="001F04FD" w:rsidP="001F04FD">
      <w:pPr>
        <w:pStyle w:val="List"/>
      </w:pPr>
      <w:r>
        <w:t>(i)</w:t>
      </w:r>
      <w:r>
        <w:tab/>
        <w:t>Telemetered Resource output.</w:t>
      </w:r>
    </w:p>
    <w:p w14:paraId="0F8B855F" w14:textId="77777777" w:rsidR="001F04FD" w:rsidRDefault="001F04FD" w:rsidP="001F04FD">
      <w:pPr>
        <w:pStyle w:val="List"/>
        <w:ind w:left="720"/>
      </w:pPr>
      <w:r>
        <w:t>(9)</w:t>
      </w:r>
      <w:r>
        <w:tab/>
        <w:t>If system frequency deviation is greater than an established threshold, ERCOT may issue Dispatch Instructions to those Resources not providing Reg-Up or Reg-Down that have Base Points directionally opposite ACE, to temporarily suspend ramping to their Base Point until frequency deviation returns to zero.</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47949" w14:paraId="45FEB384" w14:textId="77777777" w:rsidTr="007C4B00">
        <w:trPr>
          <w:trHeight w:val="206"/>
        </w:trPr>
        <w:tc>
          <w:tcPr>
            <w:tcW w:w="9350" w:type="dxa"/>
            <w:shd w:val="pct12" w:color="auto" w:fill="auto"/>
          </w:tcPr>
          <w:p w14:paraId="26FE2729" w14:textId="480D10C5" w:rsidR="00F47949" w:rsidRDefault="00F47949" w:rsidP="007C4B00">
            <w:pPr>
              <w:pStyle w:val="Instructions"/>
              <w:spacing w:before="120"/>
            </w:pPr>
            <w:bookmarkStart w:id="1258" w:name="_Toc397504976"/>
            <w:bookmarkStart w:id="1259" w:name="_Toc402357104"/>
            <w:bookmarkStart w:id="1260" w:name="_Toc422486484"/>
            <w:bookmarkStart w:id="1261" w:name="_Toc433093336"/>
            <w:bookmarkStart w:id="1262" w:name="_Toc433093494"/>
            <w:bookmarkStart w:id="1263" w:name="_Toc440874723"/>
            <w:bookmarkStart w:id="1264" w:name="_Toc448142278"/>
            <w:bookmarkStart w:id="1265" w:name="_Toc448142435"/>
            <w:bookmarkStart w:id="1266" w:name="_Toc458770271"/>
            <w:bookmarkStart w:id="1267" w:name="_Toc459294239"/>
            <w:bookmarkStart w:id="1268" w:name="_Toc463262732"/>
            <w:bookmarkStart w:id="1269" w:name="_Toc468286806"/>
            <w:bookmarkStart w:id="1270" w:name="_Toc481502852"/>
            <w:bookmarkStart w:id="1271" w:name="_Toc496080020"/>
            <w:r>
              <w:t>[NPRR1010:  Replace Section 6.5.7.6.1 above with the following upon system implementation of the Real-Time Co-Optimization (RTC) project:]</w:t>
            </w:r>
          </w:p>
          <w:p w14:paraId="7DF91BF8" w14:textId="77777777" w:rsidR="00F47949" w:rsidRPr="003161DC" w:rsidRDefault="00F47949" w:rsidP="00F47949">
            <w:pPr>
              <w:keepNext/>
              <w:tabs>
                <w:tab w:val="left" w:pos="1620"/>
              </w:tabs>
              <w:spacing w:before="480" w:after="240"/>
              <w:ind w:left="1627" w:hanging="1627"/>
              <w:outlineLvl w:val="4"/>
              <w:rPr>
                <w:b/>
                <w:bCs/>
                <w:i/>
                <w:iCs/>
                <w:szCs w:val="26"/>
              </w:rPr>
            </w:pPr>
            <w:r>
              <w:t xml:space="preserve"> </w:t>
            </w:r>
            <w:bookmarkStart w:id="1272" w:name="_Toc60040628"/>
            <w:bookmarkStart w:id="1273" w:name="_Toc65151688"/>
            <w:bookmarkStart w:id="1274" w:name="_Toc80174714"/>
            <w:bookmarkStart w:id="1275" w:name="_Toc108712473"/>
            <w:bookmarkStart w:id="1276" w:name="_Toc112417593"/>
            <w:bookmarkStart w:id="1277" w:name="_Toc119310262"/>
            <w:bookmarkStart w:id="1278" w:name="_Toc125966196"/>
            <w:bookmarkStart w:id="1279" w:name="_Toc135992294"/>
            <w:bookmarkStart w:id="1280" w:name="_Toc175157394"/>
            <w:bookmarkStart w:id="1281" w:name="_Toc204411620"/>
            <w:r w:rsidRPr="003161DC">
              <w:rPr>
                <w:b/>
                <w:bCs/>
                <w:i/>
                <w:iCs/>
                <w:szCs w:val="26"/>
              </w:rPr>
              <w:t>6.5.7.6.1</w:t>
            </w:r>
            <w:r w:rsidRPr="003161DC">
              <w:rPr>
                <w:b/>
                <w:bCs/>
                <w:i/>
                <w:iCs/>
                <w:szCs w:val="26"/>
              </w:rPr>
              <w:tab/>
              <w:t>LFC Process Description</w:t>
            </w:r>
            <w:bookmarkEnd w:id="1272"/>
            <w:bookmarkEnd w:id="1273"/>
            <w:bookmarkEnd w:id="1274"/>
            <w:bookmarkEnd w:id="1275"/>
            <w:bookmarkEnd w:id="1276"/>
            <w:bookmarkEnd w:id="1277"/>
            <w:bookmarkEnd w:id="1278"/>
            <w:bookmarkEnd w:id="1279"/>
            <w:bookmarkEnd w:id="1280"/>
            <w:bookmarkEnd w:id="1281"/>
          </w:p>
          <w:p w14:paraId="58B2F7DF" w14:textId="77777777" w:rsidR="00F47949" w:rsidRPr="003161DC" w:rsidRDefault="00F47949" w:rsidP="00F47949">
            <w:pPr>
              <w:spacing w:after="240"/>
              <w:ind w:left="720" w:hanging="720"/>
            </w:pPr>
            <w:r w:rsidRPr="003161DC">
              <w:t>(1)</w:t>
            </w:r>
            <w:r w:rsidRPr="003161DC">
              <w:tab/>
              <w:t>The LFC system corrects system frequency based on the Area Control Error (ACE) algorithm and Good Utility Practice.</w:t>
            </w:r>
          </w:p>
          <w:p w14:paraId="64DC0CBD" w14:textId="77777777" w:rsidR="00F47949" w:rsidRPr="003161DC" w:rsidRDefault="00F47949" w:rsidP="00F47949">
            <w:pPr>
              <w:spacing w:after="240"/>
              <w:ind w:left="720" w:hanging="720"/>
            </w:pPr>
            <w:r w:rsidRPr="003161DC">
              <w:t>(2)</w:t>
            </w:r>
            <w:r w:rsidRPr="003161DC">
              <w:tab/>
              <w:t xml:space="preserve">The ACE algorithm subtracts the actual frequency in Hz from the scheduled system frequency (normally 60 Hz), and multiplies the result by the frequency bias constant of MW/0.1 Hz.  The ACE algorithm then takes that product and subtracts a configurable portion of the sum of the difference between the Updated Desired </w:t>
            </w:r>
            <w:r>
              <w:t>Set</w:t>
            </w:r>
            <w:r w:rsidRPr="003161DC">
              <w:t xml:space="preserve"> Point</w:t>
            </w:r>
            <w:r>
              <w:t xml:space="preserve"> (UDSP)</w:t>
            </w:r>
            <w:r w:rsidRPr="003161DC">
              <w:t xml:space="preserve"> and Real-Time net MW output as appropriate.  LFC shall ensure that the total reduction will not exceed the system-wide regulation requirement.  This calculation </w:t>
            </w:r>
            <w:r w:rsidRPr="003161DC">
              <w:lastRenderedPageBreak/>
              <w:t xml:space="preserve">produces an ACE value, which is a MW-equivalent correction needed to control the actual system frequency to the scheduled system frequency value.  </w:t>
            </w:r>
          </w:p>
          <w:p w14:paraId="68E1899F" w14:textId="56A2A47D" w:rsidR="00F47949" w:rsidRPr="003161DC" w:rsidRDefault="00F47949" w:rsidP="00F47949">
            <w:pPr>
              <w:spacing w:after="240"/>
              <w:ind w:left="720" w:hanging="720"/>
            </w:pPr>
            <w:r w:rsidRPr="003161DC">
              <w:t>(3)</w:t>
            </w:r>
            <w:r w:rsidRPr="003161DC">
              <w:tab/>
              <w:t>The LFC module receives inputs from Real-Time telemetry that includes Resource output and actual system frequency.  The LFC uses actual Resource information calculated from SCADA to determine available Resource capacity providing Regulation Service, RRS, and ECRS.</w:t>
            </w:r>
          </w:p>
          <w:p w14:paraId="31CCDDCF" w14:textId="516989DA" w:rsidR="00F47949" w:rsidRPr="003161DC" w:rsidRDefault="00F47949" w:rsidP="00F47949">
            <w:pPr>
              <w:spacing w:after="240"/>
              <w:ind w:left="720" w:hanging="720"/>
            </w:pPr>
            <w:r w:rsidRPr="003161DC">
              <w:t>(4)</w:t>
            </w:r>
            <w:r w:rsidRPr="003161DC">
              <w:tab/>
              <w:t xml:space="preserve">Based on the ACE MW correction, the LFC issues a set of control signals every four seconds </w:t>
            </w:r>
            <w:r>
              <w:t>for</w:t>
            </w:r>
            <w:r w:rsidRPr="003161DC">
              <w:t xml:space="preserve"> each </w:t>
            </w:r>
            <w:r>
              <w:t>Resource</w:t>
            </w:r>
            <w:r w:rsidRPr="003161DC">
              <w:t xml:space="preserve"> providing Regulation and, if required, each </w:t>
            </w:r>
            <w:r>
              <w:t>Resource</w:t>
            </w:r>
            <w:r w:rsidRPr="003161DC">
              <w:t xml:space="preserve"> providing RRS or ECRS.  Control signals </w:t>
            </w:r>
            <w:r>
              <w:t xml:space="preserve">to each Resource </w:t>
            </w:r>
            <w:r w:rsidRPr="003161DC">
              <w:t xml:space="preserve">are provided to the QSE using the ICCP data link.  QSEs shall receive a </w:t>
            </w:r>
            <w:r>
              <w:t>UDSP</w:t>
            </w:r>
            <w:r w:rsidRPr="003161DC">
              <w:t xml:space="preserve"> updated every four seconds by LFC.  ERCOT will provide an </w:t>
            </w:r>
            <w:r>
              <w:t>o</w:t>
            </w:r>
            <w:r w:rsidRPr="003161DC">
              <w:t xml:space="preserve">perations </w:t>
            </w:r>
            <w:r>
              <w:t>n</w:t>
            </w:r>
            <w:r w:rsidRPr="003161DC">
              <w:t xml:space="preserve">otice of any methodology change to the determination of the </w:t>
            </w:r>
            <w:r>
              <w:t>UDSP</w:t>
            </w:r>
            <w:r w:rsidRPr="003161DC">
              <w:t xml:space="preserve"> within 60 minutes of the change.  </w:t>
            </w:r>
          </w:p>
          <w:p w14:paraId="6D113936" w14:textId="5EBD6531" w:rsidR="00F47949" w:rsidRPr="003161DC" w:rsidRDefault="00F47949" w:rsidP="00F47949">
            <w:pPr>
              <w:spacing w:after="240"/>
              <w:ind w:left="720" w:hanging="720"/>
            </w:pPr>
            <w:r w:rsidRPr="003161DC">
              <w:t>(</w:t>
            </w:r>
            <w:r>
              <w:t>5</w:t>
            </w:r>
            <w:r w:rsidRPr="003161DC">
              <w:t>)</w:t>
            </w:r>
            <w:r w:rsidRPr="003161DC">
              <w:tab/>
              <w:t xml:space="preserve">If all Reg-Up capacity has been deployed, ERCOT shall </w:t>
            </w:r>
            <w:r>
              <w:t xml:space="preserve">run off-cycle SCED executions or </w:t>
            </w:r>
            <w:r w:rsidRPr="003161DC">
              <w:t>use the LFC system</w:t>
            </w:r>
            <w:r>
              <w:t xml:space="preserve"> </w:t>
            </w:r>
            <w:r w:rsidRPr="003161DC">
              <w:t xml:space="preserve">to deploy ECRS on </w:t>
            </w:r>
            <w:r>
              <w:t>Resources providing FFR or with an ONSC Resource Status</w:t>
            </w:r>
            <w:r w:rsidRPr="003161DC">
              <w:t>.  Such ECRS deployments by ERCOT must be deployed as specified in Section 6.5.7.6.2.4, Deployment and Recall of ERCOT Contingency Reserve Service.</w:t>
            </w:r>
          </w:p>
          <w:p w14:paraId="66EA2F11" w14:textId="6E5ED34A" w:rsidR="00F47949" w:rsidRPr="003161DC" w:rsidRDefault="00F47949" w:rsidP="00F47949">
            <w:pPr>
              <w:spacing w:after="240"/>
              <w:ind w:left="720" w:hanging="720"/>
            </w:pPr>
            <w:r w:rsidRPr="003161DC">
              <w:t>(</w:t>
            </w:r>
            <w:r>
              <w:t>6</w:t>
            </w:r>
            <w:r w:rsidRPr="003161DC">
              <w:t>)</w:t>
            </w:r>
            <w:r w:rsidRPr="003161DC">
              <w:tab/>
              <w:t>ERCOT shall settle energy that results from LFC deployment at the Settlement Point Price for the point of injection.  When a QSE deploys RRS or ECRS, the QSE shall deploy units consistent with the performance criteria in Sections 8.1.1.3.2, Responsive Reserve Capacity Monitoring Criteria, Section 8.1.1.3.4, ERCOT Contingency Reserve Service Capacity Monitoring Criteria, 8.1.1.4.2, Responsive Reserve Energy Deployment Criteria, and 8.1.1.4.4, ERCOT Contingency Reserve Service Energy Deployment Criteria.</w:t>
            </w:r>
          </w:p>
          <w:p w14:paraId="56643165" w14:textId="77777777" w:rsidR="00F47949" w:rsidRPr="003161DC" w:rsidRDefault="00F47949" w:rsidP="00F47949">
            <w:pPr>
              <w:spacing w:after="240"/>
              <w:ind w:left="720" w:hanging="720"/>
            </w:pPr>
            <w:r w:rsidRPr="003161DC">
              <w:t>(</w:t>
            </w:r>
            <w:r>
              <w:t>7</w:t>
            </w:r>
            <w:r w:rsidRPr="003161DC">
              <w:t>)</w:t>
            </w:r>
            <w:r w:rsidRPr="003161DC">
              <w:tab/>
              <w:t>The inputs for LFC include:</w:t>
            </w:r>
          </w:p>
          <w:p w14:paraId="5CC7E3D4" w14:textId="77777777" w:rsidR="00F47949" w:rsidRPr="003161DC" w:rsidRDefault="00F47949" w:rsidP="00F47949">
            <w:pPr>
              <w:spacing w:after="240"/>
              <w:ind w:left="1440" w:hanging="720"/>
            </w:pPr>
            <w:r w:rsidRPr="003161DC">
              <w:t>(a)</w:t>
            </w:r>
            <w:r w:rsidRPr="003161DC">
              <w:tab/>
              <w:t>Actual system frequency;</w:t>
            </w:r>
          </w:p>
          <w:p w14:paraId="7B7C2AAE" w14:textId="77777777" w:rsidR="00F47949" w:rsidRPr="003161DC" w:rsidRDefault="00F47949" w:rsidP="00F47949">
            <w:pPr>
              <w:spacing w:after="240"/>
              <w:ind w:left="1440" w:hanging="720"/>
            </w:pPr>
            <w:r w:rsidRPr="003161DC">
              <w:t>(b)</w:t>
            </w:r>
            <w:r w:rsidRPr="003161DC">
              <w:tab/>
              <w:t>Scheduled system frequency;</w:t>
            </w:r>
          </w:p>
          <w:p w14:paraId="657E6047" w14:textId="77777777" w:rsidR="00F47949" w:rsidRPr="003161DC" w:rsidRDefault="00F47949" w:rsidP="00F47949">
            <w:pPr>
              <w:spacing w:after="240"/>
              <w:ind w:left="1440" w:hanging="720"/>
            </w:pPr>
            <w:r w:rsidRPr="003161DC">
              <w:t>(c)</w:t>
            </w:r>
            <w:r w:rsidRPr="003161DC">
              <w:tab/>
              <w:t xml:space="preserve">Capacity </w:t>
            </w:r>
            <w:r>
              <w:t>awarded</w:t>
            </w:r>
            <w:r w:rsidRPr="003161DC">
              <w:t xml:space="preserve"> for Regulation </w:t>
            </w:r>
            <w:r>
              <w:t>Service to</w:t>
            </w:r>
            <w:r w:rsidRPr="003161DC">
              <w:t xml:space="preserve"> </w:t>
            </w:r>
            <w:r>
              <w:t>Resources</w:t>
            </w:r>
            <w:r w:rsidRPr="003161DC">
              <w:t>;</w:t>
            </w:r>
          </w:p>
          <w:p w14:paraId="3C40626E" w14:textId="77777777" w:rsidR="00F47949" w:rsidRPr="003161DC" w:rsidRDefault="00F47949" w:rsidP="00F47949">
            <w:pPr>
              <w:spacing w:after="240"/>
              <w:ind w:left="1440" w:hanging="720"/>
            </w:pPr>
            <w:r w:rsidRPr="003161DC">
              <w:t>(d)</w:t>
            </w:r>
            <w:r w:rsidRPr="003161DC">
              <w:tab/>
            </w:r>
            <w:r>
              <w:t>For Resources awarded Regulation Service, t</w:t>
            </w:r>
            <w:r w:rsidRPr="003161DC">
              <w:t xml:space="preserve">elemetered </w:t>
            </w:r>
            <w:r>
              <w:t>HSL or MPC, and LSL or LPC</w:t>
            </w:r>
            <w:r w:rsidRPr="003161DC">
              <w:t>;</w:t>
            </w:r>
          </w:p>
          <w:p w14:paraId="0D0CD940" w14:textId="58DA496F" w:rsidR="00F47949" w:rsidRPr="003161DC" w:rsidRDefault="00F47949" w:rsidP="00F47949">
            <w:pPr>
              <w:spacing w:after="240"/>
              <w:ind w:left="1440" w:hanging="720"/>
            </w:pPr>
            <w:r w:rsidRPr="003161DC">
              <w:t>(e)</w:t>
            </w:r>
            <w:r w:rsidRPr="003161DC">
              <w:tab/>
              <w:t xml:space="preserve">Resource limits calculated by ERCOT as described </w:t>
            </w:r>
            <w:r w:rsidR="00201765">
              <w:t xml:space="preserve">in </w:t>
            </w:r>
            <w:r w:rsidRPr="003161DC">
              <w:t>Section 6.5.7.2, Resource Limit Calculator;</w:t>
            </w:r>
          </w:p>
          <w:p w14:paraId="40F72412" w14:textId="67023839" w:rsidR="00F47949" w:rsidRPr="003161DC" w:rsidRDefault="00F47949" w:rsidP="00F47949">
            <w:pPr>
              <w:spacing w:after="240"/>
              <w:ind w:left="1440" w:hanging="720"/>
            </w:pPr>
            <w:r w:rsidRPr="003161DC">
              <w:t>(</w:t>
            </w:r>
            <w:r>
              <w:t>f</w:t>
            </w:r>
            <w:r w:rsidRPr="003161DC">
              <w:t>)</w:t>
            </w:r>
            <w:r w:rsidRPr="003161DC">
              <w:tab/>
              <w:t xml:space="preserve">Capacity </w:t>
            </w:r>
            <w:r>
              <w:t>awarded</w:t>
            </w:r>
            <w:r w:rsidRPr="003161DC">
              <w:t xml:space="preserve"> for RRS and ECRS </w:t>
            </w:r>
            <w:r>
              <w:t>to</w:t>
            </w:r>
            <w:r w:rsidRPr="003161DC">
              <w:t xml:space="preserve"> </w:t>
            </w:r>
            <w:r>
              <w:t>Resources</w:t>
            </w:r>
            <w:r w:rsidRPr="003161DC">
              <w:t>;</w:t>
            </w:r>
          </w:p>
          <w:p w14:paraId="5C89D6F3" w14:textId="77777777" w:rsidR="00F47949" w:rsidRPr="003161DC" w:rsidRDefault="00F47949" w:rsidP="00F47949">
            <w:pPr>
              <w:spacing w:before="240" w:after="240"/>
              <w:ind w:left="1440" w:hanging="720"/>
            </w:pPr>
            <w:r w:rsidRPr="003161DC">
              <w:t>(</w:t>
            </w:r>
            <w:r>
              <w:t>g</w:t>
            </w:r>
            <w:r w:rsidRPr="003161DC">
              <w:t>)</w:t>
            </w:r>
            <w:r w:rsidRPr="003161DC">
              <w:tab/>
              <w:t>ERCOT System frequency bias; and</w:t>
            </w:r>
          </w:p>
          <w:p w14:paraId="6D508B58" w14:textId="5EF0B8AC" w:rsidR="00F47949" w:rsidRPr="00AE702A" w:rsidRDefault="00F47949" w:rsidP="00F47949">
            <w:pPr>
              <w:spacing w:after="240"/>
              <w:ind w:left="1440" w:hanging="720"/>
            </w:pPr>
            <w:r w:rsidRPr="003161DC">
              <w:lastRenderedPageBreak/>
              <w:t>(</w:t>
            </w:r>
            <w:r>
              <w:t>h</w:t>
            </w:r>
            <w:r w:rsidRPr="003161DC">
              <w:t>)</w:t>
            </w:r>
            <w:r w:rsidRPr="003161DC">
              <w:tab/>
              <w:t>Telemetered Resource output.</w:t>
            </w:r>
          </w:p>
        </w:tc>
      </w:tr>
    </w:tbl>
    <w:p w14:paraId="76884422" w14:textId="77777777" w:rsidR="001F04FD" w:rsidRDefault="001F04FD" w:rsidP="001F04FD">
      <w:pPr>
        <w:pStyle w:val="H5"/>
        <w:spacing w:before="480"/>
        <w:ind w:left="1627" w:hanging="1627"/>
      </w:pPr>
      <w:bookmarkStart w:id="1282" w:name="_Toc204411621"/>
      <w:r>
        <w:lastRenderedPageBreak/>
        <w:t>6.5.7.6.2</w:t>
      </w:r>
      <w:r>
        <w:tab/>
        <w:t>LFC Deployment</w:t>
      </w:r>
      <w:bookmarkEnd w:id="1256"/>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82"/>
    </w:p>
    <w:p w14:paraId="64AAB626" w14:textId="59BB107D" w:rsidR="001F04FD" w:rsidRDefault="001F04FD" w:rsidP="001F04FD">
      <w:pPr>
        <w:pStyle w:val="BodyTextNumbered"/>
      </w:pPr>
      <w:r>
        <w:t>(1)</w:t>
      </w:r>
      <w:r>
        <w:tab/>
        <w:t>ERCOT may deploy Regulation</w:t>
      </w:r>
      <w:r w:rsidR="00F47949">
        <w:t xml:space="preserve"> Service</w:t>
      </w:r>
      <w:r>
        <w:t xml:space="preserve">, </w:t>
      </w:r>
      <w:r w:rsidR="005755D9">
        <w:t>RRS</w:t>
      </w:r>
      <w:r>
        <w:t>,</w:t>
      </w:r>
      <w:r w:rsidR="000E20D3">
        <w:t xml:space="preserve"> ECRS,</w:t>
      </w:r>
      <w:r>
        <w:t xml:space="preserve"> and Non-Spin only as prescribed by their respective specific functions to maintain frequency and system security.  ERCOT may not substitute one Ancillary Service for another.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F47949" w14:paraId="0E61CEF5" w14:textId="77777777" w:rsidTr="007C4B00">
        <w:trPr>
          <w:trHeight w:val="206"/>
        </w:trPr>
        <w:tc>
          <w:tcPr>
            <w:tcW w:w="5000" w:type="pct"/>
            <w:shd w:val="pct12" w:color="auto" w:fill="auto"/>
          </w:tcPr>
          <w:p w14:paraId="3EC3C8BA" w14:textId="584FF792" w:rsidR="00F47949" w:rsidRDefault="00F47949" w:rsidP="007C4B00">
            <w:pPr>
              <w:pStyle w:val="Instructions"/>
              <w:spacing w:before="120"/>
            </w:pPr>
            <w:r>
              <w:t>[NPRR1010:  Insert paragraph (2) below upon system implementation of the Real-Time Co-Optimization (RTC) project:]</w:t>
            </w:r>
          </w:p>
          <w:p w14:paraId="77F85F02" w14:textId="4D73003A" w:rsidR="00F47949" w:rsidRPr="00C3334D" w:rsidRDefault="00F47949" w:rsidP="00F47949">
            <w:pPr>
              <w:spacing w:before="240" w:after="240"/>
              <w:ind w:left="720" w:hanging="720"/>
            </w:pPr>
            <w:r>
              <w:t>(2)</w:t>
            </w:r>
            <w:r>
              <w:tab/>
              <w:t xml:space="preserve">LFC will send UDSP deployment signals for each Resource, as specified in Section 6.5.7.4.1, </w:t>
            </w:r>
            <w:r w:rsidRPr="00E40E6B">
              <w:t>Updated Desired Set Points</w:t>
            </w:r>
            <w:r>
              <w:t>.</w:t>
            </w:r>
          </w:p>
        </w:tc>
      </w:tr>
    </w:tbl>
    <w:p w14:paraId="72F6E54C" w14:textId="77777777" w:rsidR="001F04FD" w:rsidRDefault="001F04FD" w:rsidP="00D56BB3">
      <w:pPr>
        <w:pStyle w:val="H6"/>
        <w:spacing w:before="480"/>
      </w:pPr>
      <w:r>
        <w:t>6.5.7.6.2.1</w:t>
      </w:r>
      <w:r>
        <w:tab/>
        <w:t>Deployment of Regulation Service</w:t>
      </w:r>
    </w:p>
    <w:p w14:paraId="04C77772" w14:textId="77777777" w:rsidR="001F04FD" w:rsidRDefault="001F04FD" w:rsidP="001F04FD">
      <w:pPr>
        <w:pStyle w:val="BodyTextNumbered"/>
      </w:pPr>
      <w:r>
        <w:t>(1)</w:t>
      </w:r>
      <w:r>
        <w:tab/>
        <w:t>ERCOT shall deploy Reg-Up and Reg-Down necessary to maintain ERCOT System frequency to meet NERC Control Area and other Control Area performance criteria as specified in these Protocols and the Operating Guides.</w:t>
      </w:r>
    </w:p>
    <w:p w14:paraId="733DF401" w14:textId="77777777" w:rsidR="001F04FD" w:rsidRDefault="001F04FD" w:rsidP="001F04FD">
      <w:pPr>
        <w:pStyle w:val="BodyTextNumbered"/>
      </w:pPr>
      <w:r>
        <w:t>(2)</w:t>
      </w:r>
      <w:r>
        <w:tab/>
        <w:t>Reg-Up is a deployment or recall of a deployment referenced to the Resource’s Base Point in response to a change (up or down) in ERCOT System frequency to maintain the target ERCOT System frequency within predetermined limits according to the Operating Guides.</w:t>
      </w:r>
    </w:p>
    <w:p w14:paraId="2AC6AEEB" w14:textId="77777777" w:rsidR="001F04FD" w:rsidRDefault="001F04FD" w:rsidP="001F04FD">
      <w:pPr>
        <w:pStyle w:val="BodyTextNumbered"/>
      </w:pPr>
      <w:r>
        <w:t>(3)</w:t>
      </w:r>
      <w:r>
        <w:tab/>
        <w:t>Reg-Down is a deployment or recall of a deployment referenced to the Resource’s Base Point in response to a change (up or down) in ERCOT System frequency to maintain the target ERCOT System frequency within predetermined limits according to the Operating Guides.</w:t>
      </w:r>
    </w:p>
    <w:p w14:paraId="23313E39" w14:textId="77777777" w:rsidR="001F04FD" w:rsidRDefault="001F04FD" w:rsidP="001F04FD">
      <w:pPr>
        <w:pStyle w:val="BodyTextNumbered"/>
      </w:pPr>
      <w:r>
        <w:t>(4)</w:t>
      </w:r>
      <w:r>
        <w:tab/>
        <w:t>These requirements also apply to the deployment or recall of a deployment of Reg-Up and Reg-Down:</w:t>
      </w:r>
    </w:p>
    <w:p w14:paraId="332CC3CF" w14:textId="77777777" w:rsidR="001F04FD" w:rsidRDefault="001F04FD" w:rsidP="001F04FD">
      <w:pPr>
        <w:pStyle w:val="List"/>
      </w:pPr>
      <w:r>
        <w:t>(a)</w:t>
      </w:r>
      <w:r>
        <w:tab/>
        <w:t>Deployment or recall of a deployment must be accomplished through use of an automatic signal from ERCOT to each QSE provider of Reg-Up and Reg-Down.</w:t>
      </w:r>
    </w:p>
    <w:p w14:paraId="5760B164" w14:textId="77777777" w:rsidR="001F04FD" w:rsidRDefault="001F04FD" w:rsidP="001F04FD">
      <w:pPr>
        <w:pStyle w:val="List"/>
      </w:pPr>
      <w:r>
        <w:t>(b)</w:t>
      </w:r>
      <w:r>
        <w:tab/>
        <w:t xml:space="preserve">ERCOT shall minimize Reg-Up and Reg-Down energy as much as practicable in each SCED cycle.  </w:t>
      </w:r>
    </w:p>
    <w:p w14:paraId="33823753" w14:textId="77777777" w:rsidR="001F04FD" w:rsidRDefault="001F04FD" w:rsidP="001F04FD">
      <w:pPr>
        <w:pStyle w:val="List"/>
      </w:pPr>
      <w:r>
        <w:t>(c)</w:t>
      </w:r>
      <w:r>
        <w:tab/>
        <w:t>ERCOT shall settle energy provided by Reg-Up and Reg-Down at the Resource’s Settlement Point Price.</w:t>
      </w:r>
    </w:p>
    <w:p w14:paraId="25913782" w14:textId="77777777" w:rsidR="001F04FD" w:rsidRDefault="001F04FD" w:rsidP="001F04FD">
      <w:pPr>
        <w:pStyle w:val="List"/>
      </w:pPr>
      <w:r>
        <w:lastRenderedPageBreak/>
        <w:t>(d)</w:t>
      </w:r>
      <w:r>
        <w:tab/>
        <w:t>ERCOT shall integrate the control signal sent to providers of Reg-Up and shall calculate the amount of energy deployed by Reg-Up in each Settlement Interval.</w:t>
      </w:r>
    </w:p>
    <w:p w14:paraId="4F0B2D39" w14:textId="77777777" w:rsidR="001F04FD" w:rsidRDefault="001F04FD" w:rsidP="001F04FD">
      <w:pPr>
        <w:pStyle w:val="List"/>
      </w:pPr>
      <w:r>
        <w:t>(e)</w:t>
      </w:r>
      <w:r>
        <w:tab/>
        <w:t>ERCOT shall integrate the control signal sent to providers of Reg-Down and shall calculate the amount of energy deployed by Reg-Down in each Settlement Interval.</w:t>
      </w:r>
    </w:p>
    <w:p w14:paraId="7AD2C9FB" w14:textId="77777777" w:rsidR="001F04FD" w:rsidRDefault="001F04FD" w:rsidP="001F04FD">
      <w:pPr>
        <w:pStyle w:val="List"/>
        <w:rPr>
          <w:color w:val="000000"/>
        </w:rPr>
      </w:pPr>
      <w:r>
        <w:rPr>
          <w:color w:val="000000"/>
        </w:rPr>
        <w:t>(f)</w:t>
      </w:r>
      <w:r>
        <w:rPr>
          <w:color w:val="000000"/>
        </w:rPr>
        <w:tab/>
        <w:t>ERCOT shall calculate for each LFC cycle the amount of regulation that each Resource is expected to provide at that instant in time.  The expected amount must be averaged over each SCED interval.  The actual generation from telemetry must also be averaged over each SCED interval.</w:t>
      </w:r>
    </w:p>
    <w:p w14:paraId="039BA011" w14:textId="77777777" w:rsidR="001F04FD" w:rsidRDefault="001F04FD" w:rsidP="001F04FD">
      <w:pPr>
        <w:pStyle w:val="BodyTextNumbered"/>
      </w:pPr>
      <w:r>
        <w:t>(5)</w:t>
      </w:r>
      <w:r>
        <w:tab/>
        <w:t>Every day, ERCOT shall post to the MIS Secure Area the total amount of deployed Reg-Up and Reg-Down energy in each Settlement Interval of the previous day.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AC4DE5" w14:paraId="2BEBE2A2" w14:textId="77777777" w:rsidTr="00AC4DE5">
        <w:trPr>
          <w:trHeight w:val="206"/>
        </w:trPr>
        <w:tc>
          <w:tcPr>
            <w:tcW w:w="9445" w:type="dxa"/>
            <w:shd w:val="pct12" w:color="auto" w:fill="auto"/>
          </w:tcPr>
          <w:p w14:paraId="6A808C3A" w14:textId="77777777" w:rsidR="00AC4DE5" w:rsidRDefault="00AC4DE5" w:rsidP="00AE5CE8">
            <w:pPr>
              <w:pStyle w:val="Instructions"/>
              <w:spacing w:before="120"/>
            </w:pPr>
            <w:r>
              <w:t>[NPRR1239:  Replace paragraph (5) above with the following upon system implementation:]</w:t>
            </w:r>
          </w:p>
          <w:p w14:paraId="0D2DAA53" w14:textId="604AC793" w:rsidR="00AC4DE5" w:rsidRPr="00A4149C" w:rsidRDefault="00AC4DE5" w:rsidP="00AC4DE5">
            <w:pPr>
              <w:spacing w:after="240"/>
              <w:ind w:left="720" w:hanging="720"/>
            </w:pPr>
            <w:r w:rsidRPr="00E62DE9">
              <w:t>(5)</w:t>
            </w:r>
            <w:r w:rsidRPr="00E62DE9">
              <w:tab/>
              <w:t xml:space="preserve">Every day, ERCOT shall post to the </w:t>
            </w:r>
            <w:r>
              <w:t>ERCOT website</w:t>
            </w:r>
            <w:r w:rsidRPr="00E62DE9">
              <w:t xml:space="preserve"> the total amount of deployed Reg-Up and Reg-Down energy in each Settlement Interval of the previous day</w:t>
            </w:r>
            <w:r>
              <w:t>.</w:t>
            </w:r>
          </w:p>
        </w:tc>
      </w:tr>
    </w:tbl>
    <w:p w14:paraId="045865A6" w14:textId="655A583C" w:rsidR="001F04FD" w:rsidRDefault="001F04FD" w:rsidP="00952F33">
      <w:pPr>
        <w:pStyle w:val="BodyTextNumbered"/>
        <w:spacing w:before="240"/>
      </w:pPr>
      <w:r>
        <w:t>(6)</w:t>
      </w:r>
      <w:r>
        <w:tab/>
        <w:t>For each Resource providing Reg-Up or Reg-Down, the implied ramp rate in MW per minute is the total amount of Regulation Service awarded divided by five.</w:t>
      </w:r>
    </w:p>
    <w:p w14:paraId="4E4050FE" w14:textId="77777777" w:rsidR="001F04FD" w:rsidRDefault="001F04FD" w:rsidP="001F04FD">
      <w:pPr>
        <w:pStyle w:val="BodyTextNumbered"/>
      </w:pPr>
      <w:r>
        <w:t>(7)</w:t>
      </w:r>
      <w:r>
        <w:tab/>
        <w:t>Each QSE providing Reg-Up or Reg-Down and ERCOT shall meet the deployment performance requirements specified in Section 8, Performance Monitoring.</w:t>
      </w:r>
    </w:p>
    <w:p w14:paraId="14700940" w14:textId="77777777" w:rsidR="001F04FD" w:rsidRDefault="001F04FD" w:rsidP="001F04FD">
      <w:pPr>
        <w:pStyle w:val="BodyTextNumbered"/>
      </w:pPr>
      <w:r>
        <w:t>(8)</w:t>
      </w:r>
      <w:r>
        <w:tab/>
        <w:t>ERCOT shall issue Reg-Up and Reg-Down deployment Dispatch Instructions over ICCP.  Those Dispatch Instructions must contain the change in MW output requested of the QSE assuming all Resources are at their Updated Desired Base Point issued by LFC.</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C4B00" w14:paraId="1C3F24D0" w14:textId="77777777" w:rsidTr="007C4B00">
        <w:trPr>
          <w:trHeight w:val="206"/>
        </w:trPr>
        <w:tc>
          <w:tcPr>
            <w:tcW w:w="5000" w:type="pct"/>
            <w:shd w:val="pct12" w:color="auto" w:fill="auto"/>
          </w:tcPr>
          <w:p w14:paraId="480BDA24" w14:textId="16C0C3F1" w:rsidR="007C4B00" w:rsidRDefault="007C4B00" w:rsidP="007C4B00">
            <w:pPr>
              <w:pStyle w:val="Instructions"/>
              <w:spacing w:before="120"/>
            </w:pPr>
            <w:r>
              <w:t>[NPRR1010:  Replace paragraph (8) above with the following upon system implementation of the Real-Time Co-Optimization (RTC) project:]</w:t>
            </w:r>
          </w:p>
          <w:p w14:paraId="7B7177F1" w14:textId="77777777" w:rsidR="007C4B00" w:rsidRDefault="007C4B00" w:rsidP="007C4B00">
            <w:pPr>
              <w:spacing w:after="240"/>
              <w:ind w:left="720" w:hanging="720"/>
            </w:pPr>
            <w:r w:rsidRPr="003161DC">
              <w:t>(8)</w:t>
            </w:r>
            <w:r w:rsidRPr="003161DC">
              <w:tab/>
              <w:t xml:space="preserve">ERCOT shall issue Reg-Up and Reg-Down deployment Dispatch Instructions over ICCP.  Those Dispatch Instructions must contain the change in MW output requested of the </w:t>
            </w:r>
            <w:r>
              <w:t>Resource</w:t>
            </w:r>
            <w:r w:rsidRPr="003161DC">
              <w:t>.</w:t>
            </w:r>
            <w:r>
              <w:t xml:space="preserve">  </w:t>
            </w:r>
          </w:p>
          <w:p w14:paraId="4B135C46" w14:textId="77777777" w:rsidR="007C4B00" w:rsidRDefault="007C4B00" w:rsidP="007C4B00">
            <w:pPr>
              <w:spacing w:after="240"/>
              <w:ind w:left="720" w:hanging="720"/>
            </w:pPr>
            <w:r>
              <w:t>(9)</w:t>
            </w:r>
            <w:r>
              <w:tab/>
              <w:t>Reg-Up and Reg-Down Dispatch Instructions shall be included as a component of a Resource’s UDSP.</w:t>
            </w:r>
            <w:r w:rsidRPr="0089123F">
              <w:t xml:space="preserve"> </w:t>
            </w:r>
          </w:p>
          <w:p w14:paraId="09BC6A1A" w14:textId="4C7DEA03" w:rsidR="007C4B00" w:rsidRPr="00C3334D" w:rsidRDefault="007C4B00" w:rsidP="0028663E">
            <w:pPr>
              <w:spacing w:after="240"/>
              <w:ind w:left="720" w:hanging="720"/>
            </w:pPr>
            <w:r>
              <w:t>(10)</w:t>
            </w:r>
            <w:r>
              <w:tab/>
              <w:t>U</w:t>
            </w:r>
            <w:r w:rsidRPr="00250E29">
              <w:t>pon the receipt of new Base Points and A</w:t>
            </w:r>
            <w:r>
              <w:t xml:space="preserve">ncillary </w:t>
            </w:r>
            <w:r w:rsidRPr="00250E29">
              <w:t>S</w:t>
            </w:r>
            <w:r>
              <w:t>ervice awards from SCED</w:t>
            </w:r>
            <w:r w:rsidRPr="00250E29">
              <w:t>, LFC will reset Regulation Service instructions to zero</w:t>
            </w:r>
            <w:r>
              <w:t>.</w:t>
            </w:r>
          </w:p>
        </w:tc>
      </w:tr>
    </w:tbl>
    <w:p w14:paraId="291FA216" w14:textId="77777777" w:rsidR="001F04FD" w:rsidRDefault="001F04FD" w:rsidP="001F04FD">
      <w:pPr>
        <w:pStyle w:val="H6"/>
        <w:spacing w:before="480"/>
      </w:pPr>
      <w:bookmarkStart w:id="1283" w:name="_Hlk135902803"/>
      <w:r>
        <w:lastRenderedPageBreak/>
        <w:t>6.5.7.6.2.2</w:t>
      </w:r>
      <w:r>
        <w:tab/>
        <w:t xml:space="preserve">Deployment of Responsive Reserve </w:t>
      </w:r>
      <w:r w:rsidR="00A2264F">
        <w:t>(RRS)</w:t>
      </w:r>
    </w:p>
    <w:p w14:paraId="3D99E48F" w14:textId="77777777" w:rsidR="001F04FD" w:rsidRDefault="001F04FD" w:rsidP="001F04FD">
      <w:pPr>
        <w:pStyle w:val="BodyTextNumbered"/>
      </w:pPr>
      <w:r>
        <w:t>(1)</w:t>
      </w:r>
      <w:r>
        <w:tab/>
        <w:t>RRS is intended to:</w:t>
      </w:r>
    </w:p>
    <w:p w14:paraId="53E20F20" w14:textId="16C6729E" w:rsidR="001F04FD" w:rsidRDefault="001F04FD" w:rsidP="001F04FD">
      <w:pPr>
        <w:pStyle w:val="List"/>
      </w:pPr>
      <w:r>
        <w:t>(a)</w:t>
      </w:r>
      <w:r>
        <w:tab/>
        <w:t>Help restore the frequency within the first few seconds of a significant frequency deviation of the interconnected transmission system;</w:t>
      </w:r>
      <w:r w:rsidR="00C36150">
        <w:t xml:space="preserve"> and</w:t>
      </w:r>
    </w:p>
    <w:p w14:paraId="021A98F5" w14:textId="2D64191C" w:rsidR="001F04FD" w:rsidRDefault="001F04FD" w:rsidP="00C36150">
      <w:pPr>
        <w:pStyle w:val="List"/>
      </w:pPr>
      <w:r>
        <w:t>(b)</w:t>
      </w:r>
      <w:r>
        <w:tab/>
        <w:t>Provide energy during the implementation of an EEA</w:t>
      </w:r>
      <w:r w:rsidR="00C36150">
        <w:t>.</w:t>
      </w:r>
    </w:p>
    <w:p w14:paraId="73E1F2D3" w14:textId="77777777" w:rsidR="001F04FD" w:rsidRDefault="001F04FD" w:rsidP="00FB599C">
      <w:pPr>
        <w:pStyle w:val="BodyTextNumbered"/>
      </w:pPr>
      <w:r>
        <w:t>(2)</w:t>
      </w:r>
      <w:r>
        <w:tab/>
        <w:t>ERCOT shall deploy RRS to meet NERC Control Performance Standards and other performance criteria as specified in these Protocols and the Operating Guides, by one or more of the following:</w:t>
      </w:r>
    </w:p>
    <w:p w14:paraId="3E2D7D2B" w14:textId="79FD87F5" w:rsidR="001F04FD" w:rsidRDefault="001F04FD" w:rsidP="001F04FD">
      <w:pPr>
        <w:pStyle w:val="List"/>
      </w:pPr>
      <w:r>
        <w:t>(a)</w:t>
      </w:r>
      <w:r>
        <w:tab/>
      </w:r>
      <w:r w:rsidR="00832D19">
        <w:t>RRS</w:t>
      </w:r>
      <w:r w:rsidR="00832D19" w:rsidRPr="0003648D">
        <w:t xml:space="preserve"> energy deployment by automatic Governor response as a result of frequency deviation;</w:t>
      </w:r>
    </w:p>
    <w:p w14:paraId="30F21741" w14:textId="307F6B90" w:rsidR="001F04FD" w:rsidRDefault="001F04FD" w:rsidP="00BA3F0D">
      <w:pPr>
        <w:pStyle w:val="List"/>
      </w:pPr>
      <w:r>
        <w:t>(b)</w:t>
      </w:r>
      <w:r>
        <w:tab/>
      </w:r>
      <w:r w:rsidR="00832D19" w:rsidRPr="0003648D">
        <w:t xml:space="preserve">Through use of an automatic Dispatch Instruction signal to deploy </w:t>
      </w:r>
      <w:r w:rsidR="00832D19">
        <w:t>RRS</w:t>
      </w:r>
      <w:r w:rsidR="00832D19" w:rsidRPr="0003648D">
        <w:t xml:space="preserve"> capacity from Generation Resources </w:t>
      </w:r>
      <w:r w:rsidR="00832D19">
        <w:t xml:space="preserve">providing Primary Frequency Response </w:t>
      </w:r>
      <w:r w:rsidR="00832D19" w:rsidRPr="0003648D">
        <w:t xml:space="preserve">or </w:t>
      </w:r>
      <w:r w:rsidR="00C67FF2">
        <w:t>CLR</w:t>
      </w:r>
      <w:r w:rsidR="00832D19" w:rsidRPr="0003648D">
        <w:t>s</w:t>
      </w:r>
      <w:r w:rsidR="00832D19">
        <w:t xml:space="preserve"> providing Primary Frequency Response</w:t>
      </w:r>
      <w:r>
        <w:t xml:space="preserve">; </w:t>
      </w:r>
    </w:p>
    <w:p w14:paraId="42671CA8" w14:textId="188E3F8D" w:rsidR="001F04FD" w:rsidRDefault="001F04FD" w:rsidP="00BA3F0D">
      <w:pPr>
        <w:pStyle w:val="List"/>
      </w:pPr>
      <w:r>
        <w:t>(c)</w:t>
      </w:r>
      <w:r>
        <w:tab/>
        <w:t xml:space="preserve">By Dispatch Instructions for deployment of RRS energy from a Load Resource, excluding </w:t>
      </w:r>
      <w:r w:rsidR="00C67FF2">
        <w:t>CLR</w:t>
      </w:r>
      <w:r>
        <w:t>s, by an electronic Messaging System; and</w:t>
      </w:r>
    </w:p>
    <w:p w14:paraId="08C343A8" w14:textId="77777777" w:rsidR="001F04FD" w:rsidRDefault="001F04FD" w:rsidP="001F04FD">
      <w:pPr>
        <w:pStyle w:val="List"/>
      </w:pPr>
      <w:r>
        <w:t>(d)</w:t>
      </w:r>
      <w:r>
        <w:tab/>
        <w:t>RRS energy deployment by automatic action of high-set under-frequency relays as a result of a significant frequency deviation.</w:t>
      </w:r>
    </w:p>
    <w:p w14:paraId="460749B7" w14:textId="256A6B61" w:rsidR="001F04FD" w:rsidRDefault="001F04FD" w:rsidP="001F04FD">
      <w:pPr>
        <w:pStyle w:val="BodyTextNumbered"/>
      </w:pPr>
      <w:r>
        <w:t>(3)</w:t>
      </w:r>
      <w:r>
        <w:tab/>
        <w:t xml:space="preserve">ERCOT shall deploy RRS to respond to a frequency deviation when the power requirement to restore frequency to normal ACE in ten minutes exceeds the Reg-Up ramping capability.  Deployment of RRS on Load Resources, excluding </w:t>
      </w:r>
      <w:r w:rsidR="00C67FF2">
        <w:t>CLR</w:t>
      </w:r>
      <w:r>
        <w:t>s, must be as described in Section 6.5.9.4, Energy Emergency Alert.</w:t>
      </w:r>
    </w:p>
    <w:p w14:paraId="20A3C879" w14:textId="77777777" w:rsidR="001F04FD" w:rsidRDefault="001F04FD" w:rsidP="001F04FD">
      <w:pPr>
        <w:pStyle w:val="BodyTextNumbered"/>
      </w:pPr>
      <w:r>
        <w:t>(4)</w:t>
      </w:r>
      <w:r>
        <w:tab/>
        <w:t>ERCOT may deploy RRS in response to system disturbance requirements as specified in the Operating Guides if no additional energy is available to be dispatched from SCED as determined by the Ancillary Service Capacity Monitor.</w:t>
      </w:r>
    </w:p>
    <w:p w14:paraId="464E9F60" w14:textId="77777777" w:rsidR="001F04FD" w:rsidRDefault="001F04FD" w:rsidP="001F04FD">
      <w:pPr>
        <w:pStyle w:val="BodyTextNumbered"/>
      </w:pPr>
      <w:r>
        <w:t>(5)</w:t>
      </w:r>
      <w:r>
        <w:tab/>
        <w:t>Energy from RRS Resources may also be deployed by ERCOT under Section 6.5.9, Emergency Operations.</w:t>
      </w:r>
    </w:p>
    <w:p w14:paraId="51450269" w14:textId="77777777" w:rsidR="001F04FD" w:rsidRDefault="001F04FD" w:rsidP="001F04FD">
      <w:pPr>
        <w:pStyle w:val="BodyTextNumbered"/>
      </w:pPr>
      <w:r>
        <w:t>(6)</w:t>
      </w:r>
      <w:r>
        <w:tab/>
        <w:t xml:space="preserve">ERCOT shall allocate the deployment of RRS proportionally among QSEs that provide RRS using Resources that are not on high-set under-frequency relays.  </w:t>
      </w:r>
    </w:p>
    <w:p w14:paraId="5F7A5C7F" w14:textId="61800F7B" w:rsidR="001F04FD" w:rsidRDefault="001F04FD" w:rsidP="001F04FD">
      <w:pPr>
        <w:pStyle w:val="BodyTextNumbered"/>
      </w:pPr>
      <w:r>
        <w:t>(7)</w:t>
      </w:r>
      <w:r>
        <w:tab/>
        <w:t>ERCOT shall use the SCED</w:t>
      </w:r>
      <w:r w:rsidR="00C36150">
        <w:t>, ECRS,</w:t>
      </w:r>
      <w:r>
        <w:t xml:space="preserve"> and Non-Spin as soon as practicable to minimize the prolonged use of RRS energy.</w:t>
      </w:r>
    </w:p>
    <w:p w14:paraId="39CA7E0E" w14:textId="77777777" w:rsidR="001F04FD" w:rsidRDefault="001F04FD" w:rsidP="00FB599C">
      <w:pPr>
        <w:pStyle w:val="BodyTextNumbered"/>
      </w:pPr>
      <w:r>
        <w:t>(8)</w:t>
      </w:r>
      <w:r>
        <w:tab/>
        <w:t>Once RRS is deployed, the QSE’s obligation to deliver RRS remains in effect until specifically instructed by ERCOT to stop providing RRS.  However, except in an Emergency Condition, the QSE’s obligation to deliver RRS may not exceed the period for which the service was committed.</w:t>
      </w:r>
    </w:p>
    <w:p w14:paraId="2852B6AE" w14:textId="77777777" w:rsidR="001F04FD" w:rsidRDefault="001F04FD" w:rsidP="001F04FD">
      <w:pPr>
        <w:pStyle w:val="BodyTextNumbered"/>
      </w:pPr>
      <w:r>
        <w:lastRenderedPageBreak/>
        <w:t>(9)</w:t>
      </w:r>
      <w:r>
        <w:tab/>
        <w:t>Following the deployment or recall of a deployment by Dispatch Instruction of RRS, QSE shall adjust the telemetered RRS Ancillary Service Schedule of Resources providing the service and ERCOT shall adjust the HASL and LASL based on the QSE’s telemetered Ancillary Service Schedule for RRS as described in Section 6.5.7.2, Resource Limit Calculator, to account for such deployment.</w:t>
      </w:r>
    </w:p>
    <w:p w14:paraId="0836F1A7" w14:textId="77777777" w:rsidR="001F04FD" w:rsidRDefault="001F04FD" w:rsidP="001F04FD">
      <w:pPr>
        <w:pStyle w:val="BodyTextNumbered"/>
      </w:pPr>
      <w:r>
        <w:t>(10)</w:t>
      </w:r>
      <w:r>
        <w:tab/>
        <w:t>QSEs providing RRS and ERCOT shall meet the deployment performance requirements specified in Section 8, Performance Monitoring.</w:t>
      </w:r>
    </w:p>
    <w:p w14:paraId="3EE14F3D" w14:textId="1A25F7EB" w:rsidR="001F04FD" w:rsidRDefault="001F04FD" w:rsidP="001F04FD">
      <w:pPr>
        <w:pStyle w:val="BodyTextNumbered"/>
      </w:pPr>
      <w:r>
        <w:t>(11)</w:t>
      </w:r>
      <w:r>
        <w:tab/>
      </w:r>
      <w:r w:rsidR="00C36150" w:rsidRPr="0003648D">
        <w:t xml:space="preserve">For </w:t>
      </w:r>
      <w:r w:rsidR="00C36150">
        <w:t>RRS</w:t>
      </w:r>
      <w:r w:rsidR="00C36150" w:rsidRPr="0003648D">
        <w:t xml:space="preserve"> deployment that is not automatic in response to frequency deviation, </w:t>
      </w:r>
      <w:r>
        <w:t xml:space="preserve">ERCOT shall issue RRS deployment Dispatch Instructions over ICCP for Generation Resources and </w:t>
      </w:r>
      <w:r w:rsidR="00C67FF2">
        <w:t>CLR</w:t>
      </w:r>
      <w:r>
        <w:t xml:space="preserve">s and XML for all other Load Resources.  Those Dispatch Instructions must contain the MW output requested.  For Generation Resources and </w:t>
      </w:r>
      <w:r w:rsidR="00C67FF2">
        <w:t>CLR</w:t>
      </w:r>
      <w:r>
        <w:t>s from which RRS capacity was deployed, ERCOT shall use SCED to dispatch RRS energy.  The Base Points for those Resources includes RRS energy as well as any other energy dispatched by SCED.</w:t>
      </w:r>
    </w:p>
    <w:p w14:paraId="54DA22C1" w14:textId="069AF1E4" w:rsidR="001F04FD" w:rsidRDefault="001F04FD" w:rsidP="00FB599C">
      <w:pPr>
        <w:pStyle w:val="BodyTextNumbered"/>
      </w:pPr>
      <w:r>
        <w:t xml:space="preserve">(12) </w:t>
      </w:r>
      <w:r>
        <w:tab/>
        <w:t xml:space="preserve">To the extent that ERCOT deploys a Load Resource that is not a </w:t>
      </w:r>
      <w:r w:rsidR="00C67FF2">
        <w:t>CLR</w:t>
      </w:r>
      <w:r>
        <w:t xml:space="preserve"> and that has chosen a block deployment option, ERCOT shall either deploy the entire responsibility or, if only partial deployment is possible, skip the Load Resource with the block deployment option and proceed to deploy the next available Resource.</w:t>
      </w:r>
    </w:p>
    <w:p w14:paraId="4F743827" w14:textId="447E905B" w:rsidR="001F04FD" w:rsidRDefault="001F04FD" w:rsidP="001F04FD">
      <w:pPr>
        <w:pStyle w:val="BodyTextNumbered"/>
      </w:pPr>
      <w:r>
        <w:t>(13)</w:t>
      </w:r>
      <w:r>
        <w:tab/>
      </w:r>
      <w:r w:rsidR="00832D19">
        <w:t>RRS provided from a Generation Resource shall be responsive to frequency deviations as defined in Section 8.5.1.1, Governor in Service.  Generation Resources providing RRS must have a Governor droop setting that is not greater than 5.0%</w:t>
      </w:r>
      <w:r>
        <w:t>.</w:t>
      </w:r>
    </w:p>
    <w:p w14:paraId="56D8624E" w14:textId="77777777" w:rsidR="00832D19" w:rsidRDefault="00832D19" w:rsidP="00832D19">
      <w:pPr>
        <w:pStyle w:val="BodyTextNumbered"/>
      </w:pPr>
      <w:r>
        <w:t>(14)</w:t>
      </w:r>
      <w:r>
        <w:tab/>
        <w:t>RRS provided from a Resource capable of FFR shall self-deploy their obligated response within 15 cycles after frequency drops below 59.85 Hz and must continue to provide a response until the frequency increases above that level.  Resources which require recharging may do so once the frequency increases above 59.990 Hz.</w:t>
      </w:r>
    </w:p>
    <w:p w14:paraId="46402839" w14:textId="77777777" w:rsidR="00832D19" w:rsidRDefault="00832D19" w:rsidP="00832D19">
      <w:pPr>
        <w:pStyle w:val="BodyTextNumbered"/>
      </w:pPr>
      <w:r>
        <w:t>(15)</w:t>
      </w:r>
      <w:r>
        <w:tab/>
        <w:t>RRS provided by interruptible Load shall have automatic under-frequency relay setting set at no lower than 59.70 Hz</w:t>
      </w:r>
    </w:p>
    <w:p w14:paraId="2653DD0A" w14:textId="77777777" w:rsidR="00832D19" w:rsidRDefault="00832D19" w:rsidP="00832D19">
      <w:pPr>
        <w:pStyle w:val="BodyTextNumbered"/>
      </w:pPr>
      <w:r>
        <w:t xml:space="preserve">(16) </w:t>
      </w:r>
      <w:r>
        <w:tab/>
        <w:t>ERCOT shall deploy RRS to meet NERC Control Performance Standards and other performance criteria as specified in these Protocols and the Operating Guides by one or more of the following:</w:t>
      </w:r>
    </w:p>
    <w:p w14:paraId="7A53834C" w14:textId="77777777" w:rsidR="00832D19" w:rsidRPr="0038280D" w:rsidRDefault="00832D19" w:rsidP="00832D19">
      <w:pPr>
        <w:spacing w:after="240"/>
        <w:ind w:left="1440" w:hanging="720"/>
        <w:rPr>
          <w:iCs/>
        </w:rPr>
      </w:pPr>
      <w:r w:rsidRPr="0038280D">
        <w:rPr>
          <w:iCs/>
        </w:rPr>
        <w:t>(a)</w:t>
      </w:r>
      <w:r w:rsidRPr="0038280D">
        <w:rPr>
          <w:iCs/>
        </w:rPr>
        <w:tab/>
        <w:t xml:space="preserve">RRS energy deployment during an EEA; </w:t>
      </w:r>
    </w:p>
    <w:p w14:paraId="70E1036D" w14:textId="37AD03E9" w:rsidR="00832D19" w:rsidRPr="0038280D" w:rsidRDefault="00832D19" w:rsidP="00832D19">
      <w:pPr>
        <w:spacing w:after="240"/>
        <w:ind w:left="1440" w:hanging="720"/>
        <w:rPr>
          <w:iCs/>
        </w:rPr>
      </w:pPr>
      <w:r w:rsidRPr="0038280D">
        <w:rPr>
          <w:iCs/>
        </w:rPr>
        <w:t>(b)</w:t>
      </w:r>
      <w:r w:rsidRPr="0038280D">
        <w:rPr>
          <w:iCs/>
        </w:rPr>
        <w:tab/>
        <w:t xml:space="preserve">By Dispatch Instructions for deployment of RRS energy from a Load Resource, excluding </w:t>
      </w:r>
      <w:r w:rsidR="00C67FF2">
        <w:rPr>
          <w:iCs/>
        </w:rPr>
        <w:t>CLR</w:t>
      </w:r>
      <w:r w:rsidRPr="0038280D">
        <w:rPr>
          <w:iCs/>
        </w:rPr>
        <w:t>s, by an electronic Messaging System; and</w:t>
      </w:r>
    </w:p>
    <w:p w14:paraId="57E3BD0C" w14:textId="034D6084" w:rsidR="00832D19" w:rsidRDefault="00832D19" w:rsidP="00832D19">
      <w:pPr>
        <w:spacing w:after="240"/>
        <w:ind w:left="1440" w:hanging="720"/>
      </w:pPr>
      <w:r w:rsidRPr="0038280D">
        <w:rPr>
          <w:iCs/>
        </w:rPr>
        <w:t>(c)</w:t>
      </w:r>
      <w:r w:rsidRPr="0038280D">
        <w:rPr>
          <w:iCs/>
        </w:rPr>
        <w:tab/>
        <w:t>RRS energy deployment from Load Resources and Generation Resources operating in synchronous condenser fast-response mode by automatic action of high-set under-frequency relays as a result of a significant frequency deviation.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101A0" w14:paraId="56EB4A5C" w14:textId="77777777" w:rsidTr="00EC5231">
        <w:trPr>
          <w:trHeight w:val="206"/>
        </w:trPr>
        <w:tc>
          <w:tcPr>
            <w:tcW w:w="9350" w:type="dxa"/>
            <w:shd w:val="pct12" w:color="auto" w:fill="auto"/>
          </w:tcPr>
          <w:p w14:paraId="4B63682A" w14:textId="24B02AE2" w:rsidR="000101A0" w:rsidRDefault="000101A0" w:rsidP="00EC5231">
            <w:pPr>
              <w:pStyle w:val="Instructions"/>
              <w:spacing w:before="120"/>
            </w:pPr>
            <w:bookmarkStart w:id="1284" w:name="_Toc85611621"/>
            <w:bookmarkEnd w:id="1283"/>
            <w:r>
              <w:lastRenderedPageBreak/>
              <w:t>[NPRR1010</w:t>
            </w:r>
            <w:r w:rsidR="006963EB">
              <w:t xml:space="preserve"> and NPRR1246</w:t>
            </w:r>
            <w:r>
              <w:t>:  Replace Section 6.5.7.6.2.2 above with the following upon system implementation of the Real-Time Co-Optimization (RTC) project:]</w:t>
            </w:r>
          </w:p>
          <w:p w14:paraId="3E673E19" w14:textId="77777777" w:rsidR="000101A0" w:rsidRPr="003161DC" w:rsidRDefault="000101A0" w:rsidP="000101A0">
            <w:pPr>
              <w:keepNext/>
              <w:tabs>
                <w:tab w:val="left" w:pos="1800"/>
              </w:tabs>
              <w:spacing w:before="480" w:after="240"/>
              <w:ind w:left="1800" w:hanging="1800"/>
              <w:outlineLvl w:val="5"/>
              <w:rPr>
                <w:b/>
                <w:bCs/>
                <w:szCs w:val="22"/>
              </w:rPr>
            </w:pPr>
            <w:r w:rsidRPr="003161DC">
              <w:rPr>
                <w:b/>
                <w:bCs/>
                <w:szCs w:val="22"/>
              </w:rPr>
              <w:t>6.5.7.6.2.2</w:t>
            </w:r>
            <w:r w:rsidRPr="003161DC">
              <w:rPr>
                <w:b/>
                <w:bCs/>
                <w:szCs w:val="22"/>
              </w:rPr>
              <w:tab/>
              <w:t>Deployment of Responsive Reserve (RRS)</w:t>
            </w:r>
          </w:p>
          <w:p w14:paraId="19C61435" w14:textId="77777777" w:rsidR="000101A0" w:rsidRPr="003161DC" w:rsidRDefault="000101A0" w:rsidP="000101A0">
            <w:pPr>
              <w:spacing w:after="240"/>
              <w:ind w:left="720" w:hanging="720"/>
            </w:pPr>
            <w:r w:rsidRPr="003161DC">
              <w:t>(1)</w:t>
            </w:r>
            <w:r w:rsidRPr="003161DC">
              <w:tab/>
              <w:t>RRS is intended to:</w:t>
            </w:r>
          </w:p>
          <w:p w14:paraId="5F0207E6" w14:textId="79DA1764" w:rsidR="000101A0" w:rsidRPr="003161DC" w:rsidRDefault="000101A0" w:rsidP="000101A0">
            <w:pPr>
              <w:spacing w:after="240"/>
              <w:ind w:left="1440" w:hanging="720"/>
            </w:pPr>
            <w:r w:rsidRPr="003161DC">
              <w:t>(a)</w:t>
            </w:r>
            <w:r w:rsidRPr="003161DC">
              <w:tab/>
              <w:t>Help restore the frequency within the first few seconds of a significant frequency deviation of the interconnected transmission system;</w:t>
            </w:r>
            <w:r>
              <w:t xml:space="preserve"> and</w:t>
            </w:r>
          </w:p>
          <w:p w14:paraId="54176937" w14:textId="270805FA" w:rsidR="000101A0" w:rsidRPr="003161DC" w:rsidRDefault="000101A0" w:rsidP="000101A0">
            <w:pPr>
              <w:spacing w:after="240"/>
              <w:ind w:left="1440" w:hanging="720"/>
            </w:pPr>
            <w:r w:rsidRPr="003161DC">
              <w:t>(b)</w:t>
            </w:r>
            <w:r w:rsidRPr="003161DC">
              <w:tab/>
              <w:t>Provide energy during the implementation of an EEA</w:t>
            </w:r>
            <w:r>
              <w:t>.</w:t>
            </w:r>
          </w:p>
          <w:p w14:paraId="7796E118" w14:textId="77777777" w:rsidR="000101A0" w:rsidRPr="003161DC" w:rsidRDefault="000101A0" w:rsidP="000101A0">
            <w:pPr>
              <w:spacing w:before="240" w:after="240"/>
              <w:ind w:left="720" w:hanging="720"/>
            </w:pPr>
            <w:r w:rsidRPr="003161DC">
              <w:t>(2)</w:t>
            </w:r>
            <w:r w:rsidRPr="003161DC">
              <w:tab/>
              <w:t>ERCOT shall deploy RRS to meet NERC Control Performance Standards and other performance criteria as specified in these Protocols and the Operating Guides, by one or more of the following:</w:t>
            </w:r>
          </w:p>
          <w:p w14:paraId="724642F6" w14:textId="77777777" w:rsidR="000101A0" w:rsidRPr="003161DC" w:rsidRDefault="000101A0" w:rsidP="000101A0">
            <w:pPr>
              <w:spacing w:after="240"/>
              <w:ind w:left="1440" w:hanging="720"/>
            </w:pPr>
            <w:r w:rsidRPr="003161DC">
              <w:t>(a)</w:t>
            </w:r>
            <w:r w:rsidRPr="003161DC">
              <w:tab/>
            </w:r>
            <w:r>
              <w:t>RRS energy deployment by automatic Governor response as a result of frequency deviation</w:t>
            </w:r>
            <w:r w:rsidRPr="003161DC">
              <w:t>;</w:t>
            </w:r>
          </w:p>
          <w:p w14:paraId="380058A6" w14:textId="4CA6FED4" w:rsidR="000101A0" w:rsidRPr="003161DC" w:rsidRDefault="000101A0" w:rsidP="000101A0">
            <w:pPr>
              <w:spacing w:before="240" w:after="240"/>
              <w:ind w:left="1440" w:hanging="720"/>
            </w:pPr>
            <w:r w:rsidRPr="003161DC">
              <w:t>(</w:t>
            </w:r>
            <w:r>
              <w:t>b</w:t>
            </w:r>
            <w:r w:rsidRPr="003161DC">
              <w:t>)</w:t>
            </w:r>
            <w:r w:rsidRPr="003161DC">
              <w:tab/>
              <w:t xml:space="preserve">By Dispatch Instruction for deployment of RRS energy from a Load Resource, excluding </w:t>
            </w:r>
            <w:r w:rsidR="00C67FF2">
              <w:t>CLR</w:t>
            </w:r>
            <w:r w:rsidRPr="003161DC">
              <w:t>s, by an electronic Messaging System;</w:t>
            </w:r>
          </w:p>
          <w:p w14:paraId="0055B991" w14:textId="77777777" w:rsidR="000101A0" w:rsidRDefault="000101A0" w:rsidP="000101A0">
            <w:pPr>
              <w:spacing w:after="240"/>
              <w:ind w:left="1440" w:hanging="720"/>
            </w:pPr>
            <w:r w:rsidRPr="003161DC">
              <w:t>(</w:t>
            </w:r>
            <w:r>
              <w:t>c</w:t>
            </w:r>
            <w:r w:rsidRPr="003161DC">
              <w:t>)</w:t>
            </w:r>
            <w:r w:rsidRPr="003161DC">
              <w:tab/>
              <w:t>RRS energy deployment by automatic action of high-set under-frequency relays as a result of a significant frequency deviation</w:t>
            </w:r>
            <w:r>
              <w:t>; and</w:t>
            </w:r>
          </w:p>
          <w:p w14:paraId="73BC9A4F" w14:textId="77777777" w:rsidR="000101A0" w:rsidRPr="003161DC" w:rsidRDefault="000101A0" w:rsidP="000101A0">
            <w:pPr>
              <w:spacing w:after="240"/>
              <w:ind w:left="1440" w:hanging="720"/>
            </w:pPr>
            <w:r>
              <w:t>(d)</w:t>
            </w:r>
            <w:r>
              <w:tab/>
            </w:r>
            <w:r w:rsidRPr="003161DC">
              <w:t xml:space="preserve">By Dispatch Instruction for </w:t>
            </w:r>
            <w:r>
              <w:t>deployment of RRS from Resources with a Resource Status of ONSC or Resources providing FFR.</w:t>
            </w:r>
          </w:p>
          <w:p w14:paraId="2578B01B" w14:textId="3C193504" w:rsidR="000101A0" w:rsidRPr="003161DC" w:rsidRDefault="000101A0" w:rsidP="000101A0">
            <w:pPr>
              <w:spacing w:after="240"/>
              <w:ind w:left="720" w:hanging="720"/>
            </w:pPr>
            <w:r w:rsidRPr="003161DC">
              <w:t>(3)</w:t>
            </w:r>
            <w:r w:rsidRPr="003161DC">
              <w:tab/>
              <w:t xml:space="preserve">ERCOT shall deploy RRS to respond to a frequency deviation when the power requirement to restore frequency to normal ACE in ten minutes exceeds the Reg-Up ramping capability.  Deployment of RRS on Load Resources, excluding </w:t>
            </w:r>
            <w:r w:rsidR="00C67FF2">
              <w:t>CLR</w:t>
            </w:r>
            <w:r w:rsidRPr="003161DC">
              <w:t>s, must be as described in Section 6.5.9.4, Energy Emergency Alert.</w:t>
            </w:r>
          </w:p>
          <w:p w14:paraId="2208B0C9" w14:textId="77777777" w:rsidR="000101A0" w:rsidRPr="003161DC" w:rsidRDefault="000101A0" w:rsidP="000101A0">
            <w:pPr>
              <w:spacing w:after="240"/>
              <w:ind w:left="720" w:hanging="720"/>
            </w:pPr>
            <w:r w:rsidRPr="003161DC">
              <w:t>(</w:t>
            </w:r>
            <w:r>
              <w:t>4</w:t>
            </w:r>
            <w:r w:rsidRPr="003161DC">
              <w:t>)</w:t>
            </w:r>
            <w:r w:rsidRPr="003161DC">
              <w:tab/>
              <w:t>Energy from RRS Resources may also be deployed by ERCOT under Section 6.5.9, Emergency Operations.</w:t>
            </w:r>
          </w:p>
          <w:p w14:paraId="4272D29B" w14:textId="460BDAC2" w:rsidR="000101A0" w:rsidRDefault="000101A0" w:rsidP="000101A0">
            <w:pPr>
              <w:spacing w:after="240"/>
              <w:ind w:left="720" w:hanging="720"/>
            </w:pPr>
            <w:r>
              <w:t>(5)</w:t>
            </w:r>
            <w:r>
              <w:tab/>
              <w:t xml:space="preserve">For Resources providing RRS with a Resource Status of ONSC, ERCOT shall deploy RRS as described in Section 6.5.9.4.2, EEA Levels, and Nodal Operating Guide Section 2.3.1.2, Additional Operational Details for Responsive Reserve Providers.  </w:t>
            </w:r>
          </w:p>
          <w:p w14:paraId="4A065801" w14:textId="77777777" w:rsidR="000101A0" w:rsidRDefault="000101A0" w:rsidP="000101A0">
            <w:pPr>
              <w:spacing w:after="240"/>
              <w:ind w:left="720" w:hanging="720"/>
            </w:pPr>
            <w:r>
              <w:t>(6)</w:t>
            </w:r>
            <w:r>
              <w:tab/>
              <w:t>For Resources providing RRS with FFR, ERCOT may manually deploy the FFR RRS in an attempt to recover frequency to meet NERC Performance Control Standards after utilizing Reg-Up and the SCED process which includes off-cycle SCED executions.</w:t>
            </w:r>
          </w:p>
          <w:p w14:paraId="706AF414" w14:textId="7049BC48" w:rsidR="000101A0" w:rsidRPr="003161DC" w:rsidRDefault="000101A0" w:rsidP="000101A0">
            <w:pPr>
              <w:spacing w:after="240"/>
              <w:ind w:left="720" w:hanging="720"/>
            </w:pPr>
            <w:r w:rsidRPr="003161DC">
              <w:t>(</w:t>
            </w:r>
            <w:r>
              <w:t>7</w:t>
            </w:r>
            <w:r w:rsidRPr="003161DC">
              <w:t>)</w:t>
            </w:r>
            <w:r w:rsidRPr="003161DC">
              <w:tab/>
              <w:t>ERCOT shall use the SCED, ECRS, and Non-Spin as soon as practicable to minimize the prolonged use of RRS energy.</w:t>
            </w:r>
          </w:p>
          <w:p w14:paraId="73BE01BE" w14:textId="77777777" w:rsidR="000101A0" w:rsidRPr="003161DC" w:rsidRDefault="000101A0" w:rsidP="000101A0">
            <w:pPr>
              <w:spacing w:after="240"/>
              <w:ind w:left="720" w:hanging="720"/>
            </w:pPr>
            <w:r>
              <w:lastRenderedPageBreak/>
              <w:t>(8)</w:t>
            </w:r>
            <w:r>
              <w:tab/>
              <w:t xml:space="preserve">Once RRS is manually deployed on Load Resources controlled by under-frequency relays or Resources telemetering a Resource Status of ONSC, the Resource’s obligation to deliver RRS remains in effect until recalled by ERCOT.  </w:t>
            </w:r>
          </w:p>
          <w:p w14:paraId="5B55DD7E" w14:textId="77777777" w:rsidR="000101A0" w:rsidRPr="003161DC" w:rsidRDefault="000101A0" w:rsidP="000101A0">
            <w:pPr>
              <w:spacing w:after="240"/>
              <w:ind w:left="720" w:hanging="720"/>
            </w:pPr>
            <w:r w:rsidRPr="003161DC">
              <w:t>(</w:t>
            </w:r>
            <w:r>
              <w:t>9</w:t>
            </w:r>
            <w:r w:rsidRPr="003161DC">
              <w:t>)</w:t>
            </w:r>
            <w:r w:rsidRPr="003161DC">
              <w:tab/>
            </w:r>
            <w:r>
              <w:t>Resources</w:t>
            </w:r>
            <w:r w:rsidRPr="003161DC">
              <w:t xml:space="preserve"> providing RRS and ERCOT shall meet the deployment performance requirements specified in Section 8, Performance Monitoring.</w:t>
            </w:r>
          </w:p>
          <w:p w14:paraId="081F1434" w14:textId="7C32C0F1" w:rsidR="000101A0" w:rsidRPr="003161DC" w:rsidRDefault="000101A0" w:rsidP="000101A0">
            <w:pPr>
              <w:spacing w:after="240"/>
              <w:ind w:left="720" w:hanging="720"/>
            </w:pPr>
            <w:r w:rsidRPr="003161DC">
              <w:t>(</w:t>
            </w:r>
            <w:r>
              <w:t>10</w:t>
            </w:r>
            <w:r w:rsidRPr="003161DC">
              <w:t>)</w:t>
            </w:r>
            <w:r w:rsidRPr="003161DC">
              <w:tab/>
              <w:t xml:space="preserve">ERCOT shall issue RRS deployment Dispatch Instructions over ICCP for Generation Resources </w:t>
            </w:r>
            <w:r>
              <w:t xml:space="preserve">awarded RRS with a Resource Status of ONSC, and SCED-dispatchable Resources providing FFR. </w:t>
            </w:r>
            <w:r w:rsidR="00201765">
              <w:t xml:space="preserve"> </w:t>
            </w:r>
            <w:r w:rsidRPr="003161DC">
              <w:t>Dispatch Instructions must contain the MW output requested.</w:t>
            </w:r>
            <w:r w:rsidRPr="00ED4129">
              <w:t xml:space="preserve">  </w:t>
            </w:r>
            <w:r>
              <w:t>UDSPs</w:t>
            </w:r>
            <w:r w:rsidRPr="003161DC">
              <w:t xml:space="preserve"> for those Resources includes RRS energy </w:t>
            </w:r>
            <w:r>
              <w:t xml:space="preserve">deployments </w:t>
            </w:r>
            <w:r w:rsidRPr="003161DC">
              <w:t>as well as any other energy dispatched by SCED</w:t>
            </w:r>
            <w:r>
              <w:t>.</w:t>
            </w:r>
          </w:p>
          <w:p w14:paraId="39513AA0" w14:textId="7B9C4B17" w:rsidR="000101A0" w:rsidRDefault="000101A0" w:rsidP="000101A0">
            <w:pPr>
              <w:spacing w:after="240"/>
              <w:ind w:left="720" w:hanging="720"/>
            </w:pPr>
            <w:r>
              <w:t>(11)</w:t>
            </w:r>
            <w:r>
              <w:tab/>
            </w:r>
            <w:r w:rsidRPr="003161DC">
              <w:t>ERCOT shall issue RRS deployment Dispatch Instructions</w:t>
            </w:r>
            <w:r>
              <w:t>, specifying the required MW output, through</w:t>
            </w:r>
            <w:r w:rsidRPr="003161DC">
              <w:t xml:space="preserve"> Extensible Markup Language (XML) for </w:t>
            </w:r>
            <w:r>
              <w:t>non-</w:t>
            </w:r>
            <w:r w:rsidR="00C67FF2">
              <w:t>CLR</w:t>
            </w:r>
            <w:r w:rsidRPr="003161DC">
              <w:t>s</w:t>
            </w:r>
            <w:r>
              <w:t>.</w:t>
            </w:r>
          </w:p>
          <w:p w14:paraId="7C42E2E3" w14:textId="2205D685" w:rsidR="000101A0" w:rsidRPr="003161DC" w:rsidRDefault="000101A0" w:rsidP="000101A0">
            <w:pPr>
              <w:spacing w:before="240" w:after="240"/>
              <w:ind w:left="720" w:hanging="720"/>
            </w:pPr>
            <w:r w:rsidRPr="003161DC">
              <w:t>(</w:t>
            </w:r>
            <w:r>
              <w:t>12</w:t>
            </w:r>
            <w:r w:rsidRPr="003161DC">
              <w:t xml:space="preserve">) </w:t>
            </w:r>
            <w:r w:rsidRPr="003161DC">
              <w:tab/>
              <w:t xml:space="preserve">To the extent that ERCOT deploys a Load Resource that is not a </w:t>
            </w:r>
            <w:r w:rsidR="00C67FF2">
              <w:t>CLR</w:t>
            </w:r>
            <w:r w:rsidRPr="003161DC">
              <w:t xml:space="preserve"> and that has chosen a block deployment option, ERCOT shall either deploy the entire </w:t>
            </w:r>
            <w:r>
              <w:t xml:space="preserve">award </w:t>
            </w:r>
            <w:r w:rsidRPr="003161DC">
              <w:t xml:space="preserve">or, if only partial deployment is </w:t>
            </w:r>
            <w:r>
              <w:t>needed</w:t>
            </w:r>
            <w:r w:rsidRPr="003161DC">
              <w:t>, skip the Load Resource with the block deployment option and proceed to deploy the next available Resource.</w:t>
            </w:r>
          </w:p>
          <w:p w14:paraId="2D072BB5" w14:textId="4637EB42" w:rsidR="000101A0" w:rsidRPr="003161DC" w:rsidRDefault="000101A0" w:rsidP="000101A0">
            <w:pPr>
              <w:spacing w:after="240"/>
              <w:ind w:left="720" w:hanging="720"/>
            </w:pPr>
            <w:r w:rsidRPr="003161DC">
              <w:t>(</w:t>
            </w:r>
            <w:r>
              <w:t>13</w:t>
            </w:r>
            <w:r w:rsidRPr="003161DC">
              <w:t>)</w:t>
            </w:r>
            <w:r w:rsidRPr="003161DC">
              <w:tab/>
              <w:t>RRS provided from a Generation Resource</w:t>
            </w:r>
            <w:r w:rsidR="006963EB">
              <w:t xml:space="preserve"> or ESR</w:t>
            </w:r>
            <w:r w:rsidRPr="003161DC">
              <w:t xml:space="preserve"> shall be responsive to frequency deviations as defined in Section 8.5.1.1, Governor in Service.  Generation Resources </w:t>
            </w:r>
            <w:r w:rsidR="006963EB">
              <w:t xml:space="preserve">and ESRs </w:t>
            </w:r>
            <w:r w:rsidRPr="003161DC">
              <w:t>providing RRS must have a Governor droop setting that is not greater than 5.0%.</w:t>
            </w:r>
          </w:p>
          <w:p w14:paraId="0724815E" w14:textId="68529D9A" w:rsidR="000101A0" w:rsidRPr="003161DC" w:rsidRDefault="000101A0" w:rsidP="000101A0">
            <w:pPr>
              <w:spacing w:after="240"/>
              <w:ind w:left="720" w:hanging="720"/>
            </w:pPr>
            <w:r w:rsidRPr="003161DC">
              <w:t>(</w:t>
            </w:r>
            <w:r>
              <w:t>14</w:t>
            </w:r>
            <w:r w:rsidRPr="003161DC">
              <w:t>)</w:t>
            </w:r>
            <w:r w:rsidRPr="003161DC">
              <w:tab/>
              <w:t>RRS provided from a Resource capable of FFR shall self-deploy their obligated response within 15 cycles after frequency drops below 59.85 Hz and must continue to provide a response until the frequency increases above that level.  Resources which require recharging may do so once the frequency increases above 59.990 Hz.</w:t>
            </w:r>
          </w:p>
          <w:p w14:paraId="1E83B8FC" w14:textId="7E72AEB0" w:rsidR="000101A0" w:rsidRPr="003161DC" w:rsidRDefault="000101A0" w:rsidP="000101A0">
            <w:pPr>
              <w:spacing w:after="240"/>
              <w:ind w:left="720" w:hanging="720"/>
            </w:pPr>
            <w:r w:rsidRPr="003161DC">
              <w:t>(</w:t>
            </w:r>
            <w:r>
              <w:t>15</w:t>
            </w:r>
            <w:r w:rsidRPr="003161DC">
              <w:t>)</w:t>
            </w:r>
            <w:r w:rsidRPr="003161DC">
              <w:tab/>
              <w:t>RRS provided by interruptible Load shall have automatic under-frequency relay setting set at no lower than 59.70 Hz</w:t>
            </w:r>
            <w:r w:rsidR="00201765">
              <w:t>.</w:t>
            </w:r>
          </w:p>
          <w:p w14:paraId="3E5C5A1D" w14:textId="77777777" w:rsidR="000101A0" w:rsidRPr="003161DC" w:rsidRDefault="000101A0" w:rsidP="000101A0">
            <w:pPr>
              <w:spacing w:after="240"/>
              <w:ind w:left="720" w:hanging="720"/>
            </w:pPr>
            <w:r w:rsidRPr="003161DC">
              <w:t>(</w:t>
            </w:r>
            <w:r>
              <w:t>16</w:t>
            </w:r>
            <w:r w:rsidRPr="003161DC">
              <w:t xml:space="preserve">) </w:t>
            </w:r>
            <w:r w:rsidRPr="003161DC">
              <w:tab/>
              <w:t>ERCOT shall deploy RRS to meet NERC Control Performance Standards and other performance criteria as specified in these Protocols and the Operating Guides by one or more of the following:</w:t>
            </w:r>
          </w:p>
          <w:p w14:paraId="77F9D7B5" w14:textId="77777777" w:rsidR="000101A0" w:rsidRPr="003161DC" w:rsidRDefault="000101A0" w:rsidP="000101A0">
            <w:pPr>
              <w:spacing w:after="240"/>
              <w:ind w:left="1440" w:hanging="720"/>
              <w:rPr>
                <w:iCs/>
              </w:rPr>
            </w:pPr>
            <w:r w:rsidRPr="003161DC">
              <w:rPr>
                <w:iCs/>
              </w:rPr>
              <w:t>(a)</w:t>
            </w:r>
            <w:r w:rsidRPr="003161DC">
              <w:rPr>
                <w:iCs/>
              </w:rPr>
              <w:tab/>
              <w:t xml:space="preserve">RRS energy deployment during an EEA; </w:t>
            </w:r>
          </w:p>
          <w:p w14:paraId="46D53E67" w14:textId="2D7F99E2" w:rsidR="000101A0" w:rsidRPr="003161DC" w:rsidRDefault="000101A0" w:rsidP="000101A0">
            <w:pPr>
              <w:spacing w:after="240"/>
              <w:ind w:left="1440" w:hanging="720"/>
              <w:rPr>
                <w:iCs/>
              </w:rPr>
            </w:pPr>
            <w:r w:rsidRPr="003161DC">
              <w:rPr>
                <w:iCs/>
              </w:rPr>
              <w:t>(b)</w:t>
            </w:r>
            <w:r w:rsidRPr="003161DC">
              <w:rPr>
                <w:iCs/>
              </w:rPr>
              <w:tab/>
              <w:t xml:space="preserve">By Dispatch Instructions for deployment of RRS energy from a Load Resource, excluding </w:t>
            </w:r>
            <w:r w:rsidR="00C67FF2">
              <w:rPr>
                <w:iCs/>
              </w:rPr>
              <w:t>CLR</w:t>
            </w:r>
            <w:r w:rsidRPr="003161DC">
              <w:rPr>
                <w:iCs/>
              </w:rPr>
              <w:t>s, by an electronic Messaging System; and</w:t>
            </w:r>
          </w:p>
          <w:p w14:paraId="7F50B98D" w14:textId="763B9F13" w:rsidR="000101A0" w:rsidRPr="00AE702A" w:rsidRDefault="000101A0" w:rsidP="000101A0">
            <w:pPr>
              <w:spacing w:after="240"/>
              <w:ind w:left="1440" w:hanging="720"/>
            </w:pPr>
            <w:r w:rsidRPr="003161DC">
              <w:rPr>
                <w:iCs/>
              </w:rPr>
              <w:t>(c)</w:t>
            </w:r>
            <w:r w:rsidRPr="003161DC">
              <w:rPr>
                <w:iCs/>
              </w:rPr>
              <w:tab/>
              <w:t>RRS energy deployment from Load Resources and Generation Resources operating in synchronous condenser fast-response mode by automatic action of high-set under-frequency relays as a result of a significant frequency deviation.</w:t>
            </w:r>
          </w:p>
        </w:tc>
      </w:tr>
    </w:tbl>
    <w:p w14:paraId="0EE60624" w14:textId="77777777" w:rsidR="001F04FD" w:rsidRDefault="001F04FD" w:rsidP="00FB599C">
      <w:pPr>
        <w:pStyle w:val="H6"/>
        <w:spacing w:before="480"/>
      </w:pPr>
      <w:bookmarkStart w:id="1285" w:name="_Hlk174605232"/>
      <w:r>
        <w:lastRenderedPageBreak/>
        <w:t>6.5.7.6.2.3</w:t>
      </w:r>
      <w:r>
        <w:tab/>
        <w:t>Non-Spinning Reserve Service Deployment</w:t>
      </w:r>
      <w:bookmarkEnd w:id="1284"/>
      <w:r>
        <w:t xml:space="preserve"> </w:t>
      </w:r>
    </w:p>
    <w:p w14:paraId="298653E5" w14:textId="71580960" w:rsidR="001F04FD" w:rsidRDefault="001F04FD" w:rsidP="001F04FD">
      <w:pPr>
        <w:pStyle w:val="BodyTextNumbered"/>
      </w:pPr>
      <w:r>
        <w:t>(1)</w:t>
      </w:r>
      <w:r>
        <w:tab/>
        <w:t>ERCOT shall deploy Non-Spin Service by operator Dispatch Instruction for the portion of On-Line Generation Resources that is only available through power augmentation and participating as Off-Line Non-Spin, Off-Line Generation Resources</w:t>
      </w:r>
      <w:r w:rsidR="00A46896">
        <w:t>,</w:t>
      </w:r>
      <w:r>
        <w:t xml:space="preserve"> and Load Resources</w:t>
      </w:r>
      <w:r w:rsidR="00A46896">
        <w:t xml:space="preserve"> that are not </w:t>
      </w:r>
      <w:r w:rsidR="00C67FF2">
        <w:t>CLR</w:t>
      </w:r>
      <w:r w:rsidR="00A46896">
        <w:t>s</w:t>
      </w:r>
      <w:r>
        <w:t>.  ERCOT shall develop a procedure approved by TAC to deploy Resources providing Non-Spin Service.  ERCOT Operators shall implement the deployment procedure when a specified threshold(s) in MW of capability available to SCED to increase generation is reached.  ERCOT Operators may implement the deployment procedure to recover deployed RRS</w:t>
      </w:r>
      <w:r w:rsidR="008611B7">
        <w:t>, ECRS,</w:t>
      </w:r>
      <w:r>
        <w:t xml:space="preserve"> or when other Emergency Conditions exist.  The deployment of Non-Spin must always be 100% of that scheduled on an individual Resource.</w:t>
      </w:r>
    </w:p>
    <w:p w14:paraId="11ECCA50" w14:textId="77777777" w:rsidR="001F04FD" w:rsidRDefault="001F04FD" w:rsidP="00FB599C">
      <w:pPr>
        <w:pStyle w:val="BodyTextNumbered"/>
      </w:pPr>
      <w:r>
        <w:t>(2)</w:t>
      </w:r>
      <w:r>
        <w:tab/>
        <w:t>Once Non-Spin capacity from Off-Line Generation Resources providing Non-Spin is deployed and the Generation Resources are On-Line, ERCOT shall use SCED to determine the amount of energy to be dispatched from those Resources.</w:t>
      </w:r>
    </w:p>
    <w:p w14:paraId="441A13D0" w14:textId="77777777" w:rsidR="001F04FD" w:rsidRDefault="001F04FD" w:rsidP="001F04FD">
      <w:pPr>
        <w:pStyle w:val="BodyTextNumbered"/>
      </w:pPr>
      <w:r>
        <w:t>(3)</w:t>
      </w:r>
      <w:r>
        <w:tab/>
        <w:t xml:space="preserve">Off-Line Generation Resources providing Non-Spin (OFFNS Resource Status) are required to provide an Energy Offer Curve for use by SCED. </w:t>
      </w:r>
    </w:p>
    <w:p w14:paraId="0B71C8E1" w14:textId="36043F35" w:rsidR="0098796C" w:rsidRPr="00210F92" w:rsidRDefault="0098796C" w:rsidP="00F468C2">
      <w:pPr>
        <w:pStyle w:val="BodyTextNumbered"/>
      </w:pPr>
      <w:r w:rsidRPr="006A6281">
        <w:t>(4)</w:t>
      </w:r>
      <w:r w:rsidRPr="006A6281">
        <w:tab/>
      </w:r>
      <w:r w:rsidRPr="0031442A">
        <w:t xml:space="preserve">Non-Spin can be provided by </w:t>
      </w:r>
      <w:r w:rsidR="00C67FF2">
        <w:t>CLR</w:t>
      </w:r>
      <w:r w:rsidRPr="0031442A">
        <w:t xml:space="preserve">s that are SCED qualified or by Load Resources that are not </w:t>
      </w:r>
      <w:r w:rsidR="00C67FF2">
        <w:t>CLR</w:t>
      </w:r>
      <w:r>
        <w:t xml:space="preserve">s </w:t>
      </w:r>
      <w:r w:rsidRPr="0031442A">
        <w:t>but do not have an under-frequency relay or the under-frequency relay is not armed.</w:t>
      </w:r>
      <w:r w:rsidR="00F705CD">
        <w:t xml:space="preserve">  </w:t>
      </w:r>
      <w:r>
        <w:t>A Load Resource</w:t>
      </w:r>
      <w:r w:rsidRPr="00113081">
        <w:t xml:space="preserve"> </w:t>
      </w:r>
      <w:r>
        <w:t xml:space="preserve">that is not a </w:t>
      </w:r>
      <w:r w:rsidR="00C67FF2">
        <w:t>CLR</w:t>
      </w:r>
      <w:r>
        <w:t xml:space="preserve"> shall be capable of being Dispatched to its Non-Spin </w:t>
      </w:r>
      <w:r w:rsidRPr="006A6281">
        <w:t>Ancillary Service Resource Responsibility within 30 minutes of a deployment instruction for capacity</w:t>
      </w:r>
      <w:r>
        <w:t xml:space="preserve">.  </w:t>
      </w:r>
      <w:r w:rsidRPr="000149E5">
        <w:t xml:space="preserve">Following a deployment instruction, the QSE </w:t>
      </w:r>
      <w:r w:rsidRPr="00210F92">
        <w:t>shall reduce the Non-Spin Ancillary Service Schedule by the amount of the deployment.</w:t>
      </w:r>
    </w:p>
    <w:p w14:paraId="27342520" w14:textId="17BEFBA2" w:rsidR="0098796C" w:rsidRDefault="0098796C" w:rsidP="0098796C">
      <w:pPr>
        <w:pStyle w:val="BodyTextNumbered"/>
      </w:pPr>
      <w:r>
        <w:t>(5)</w:t>
      </w:r>
      <w:r w:rsidRPr="00113081">
        <w:tab/>
        <w:t xml:space="preserve">ERCOT shall post </w:t>
      </w:r>
      <w:r w:rsidRPr="00C3318D">
        <w:t xml:space="preserve">a list of </w:t>
      </w:r>
      <w:r>
        <w:t xml:space="preserve">Off-Line Generation Resources and </w:t>
      </w:r>
      <w:r w:rsidRPr="00624167">
        <w:t>Load Resources</w:t>
      </w:r>
      <w:r>
        <w:t xml:space="preserve"> that are not </w:t>
      </w:r>
      <w:r w:rsidR="00C67FF2">
        <w:t>CLR</w:t>
      </w:r>
      <w:r>
        <w:t>s</w:t>
      </w:r>
      <w:r w:rsidRPr="00113081">
        <w:t xml:space="preserve"> on the MIS Certified Area immediately following the </w:t>
      </w:r>
      <w:r w:rsidR="00283DFC">
        <w:t>Day-Ahead Reliability Unit Commitment (</w:t>
      </w:r>
      <w:r w:rsidRPr="00113081">
        <w:t>DRUC</w:t>
      </w:r>
      <w:r w:rsidR="00283DFC">
        <w:t>)</w:t>
      </w:r>
      <w:r w:rsidRPr="00113081">
        <w:t xml:space="preserve"> for each QSE with a Load Resource N</w:t>
      </w:r>
      <w:r>
        <w:t>on-Spin</w:t>
      </w:r>
      <w:r w:rsidRPr="00210F92">
        <w:t xml:space="preserve"> award.  The list will be broken into groups of approximately 500 MW increments.  ERCOT shall develop a process for determining which individual Resource to place in each group based on a random sampling of individual Load Resources</w:t>
      </w:r>
      <w:r>
        <w:t xml:space="preserve"> that are not </w:t>
      </w:r>
      <w:r w:rsidR="00C67FF2">
        <w:t>CLR</w:t>
      </w:r>
      <w:r>
        <w:t>s awarded Non-Spin and Generation Resources carrying Off-Line Non-Spin</w:t>
      </w:r>
      <w:r w:rsidRPr="00210F92">
        <w:t>.  At ERCO</w:t>
      </w:r>
      <w:r w:rsidRPr="001710FA">
        <w:t xml:space="preserve">T’s discretion, ERCOT may deploy all groups </w:t>
      </w:r>
      <w:r w:rsidRPr="00C75DFD">
        <w:t xml:space="preserve">as specified in the </w:t>
      </w:r>
      <w:r>
        <w:t>Other Binding Document</w:t>
      </w:r>
      <w:r w:rsidRPr="00C75DFD">
        <w:t xml:space="preserve"> </w:t>
      </w:r>
      <w:r>
        <w:t>titled</w:t>
      </w:r>
      <w:r w:rsidRPr="00C75DFD">
        <w:t xml:space="preserve"> “Non-Spinning Reserve Deployment and Recall Procedure</w:t>
      </w:r>
      <w:r>
        <w:t>.</w:t>
      </w:r>
      <w:r w:rsidRPr="00210F92">
        <w:t>”</w:t>
      </w:r>
    </w:p>
    <w:p w14:paraId="16810EBD" w14:textId="77777777" w:rsidR="0098796C" w:rsidRDefault="0098796C" w:rsidP="0098796C">
      <w:pPr>
        <w:pStyle w:val="BodyTextNumbered"/>
        <w:ind w:left="1440"/>
      </w:pPr>
      <w:r>
        <w:t>(a)</w:t>
      </w:r>
      <w:r>
        <w:tab/>
        <w:t xml:space="preserve">On-Line Generation Resources participating in Off-Line Non-Spin using power augmentation will be randomly distributed in Real-Time among the groups created in the Day-Ahead for the purpose of manual deployment of </w:t>
      </w:r>
      <w:r w:rsidRPr="003161DC">
        <w:t>Non-Spin by operator Dispatch Instruction</w:t>
      </w:r>
      <w:r>
        <w:t>.</w:t>
      </w:r>
    </w:p>
    <w:p w14:paraId="05DCCB2C" w14:textId="4D48AD93" w:rsidR="00A22AE4" w:rsidRPr="00A22AE4" w:rsidRDefault="0098796C" w:rsidP="00C02A98">
      <w:pPr>
        <w:pStyle w:val="BodyTextNumbered"/>
        <w:ind w:left="1440"/>
      </w:pPr>
      <w:r>
        <w:t>(b)</w:t>
      </w:r>
      <w:r>
        <w:tab/>
        <w:t xml:space="preserve">Any Generation Resource providing Off-Line Non-Spin that did not previously receive group assignment will be automatically considered in Group 1.  Any </w:t>
      </w:r>
      <w:r w:rsidRPr="00624167">
        <w:t>Load Resource</w:t>
      </w:r>
      <w:r>
        <w:t xml:space="preserve"> that is not a </w:t>
      </w:r>
      <w:r w:rsidR="00C67FF2">
        <w:t>CLR</w:t>
      </w:r>
      <w:r>
        <w:t xml:space="preserve"> providing Non-Spin in Real-Time that did not previously receive group assignment will be automatically considered in Group 1.  ERCOT may assign a Generation Resource providing Off-Line Non-Spin or a </w:t>
      </w:r>
      <w:r>
        <w:lastRenderedPageBreak/>
        <w:t xml:space="preserve">Load Resource that is not a </w:t>
      </w:r>
      <w:r w:rsidR="00C67FF2">
        <w:t>CLR</w:t>
      </w:r>
      <w:r>
        <w:t xml:space="preserve"> to another group if that Resource did not previously receive group assignment and, in ERCOT’s reasonable judgment, Group 1 is too large.</w:t>
      </w:r>
    </w:p>
    <w:p w14:paraId="67A0055D" w14:textId="205DC806" w:rsidR="001F04FD" w:rsidRPr="000149E5" w:rsidRDefault="001F04FD" w:rsidP="00C02A98">
      <w:pPr>
        <w:pStyle w:val="BodyTextNumbered"/>
        <w:rPr>
          <w:iCs/>
        </w:rPr>
      </w:pPr>
      <w:r w:rsidRPr="000149E5">
        <w:rPr>
          <w:iCs/>
        </w:rPr>
        <w:t>(</w:t>
      </w:r>
      <w:r w:rsidR="0098796C">
        <w:rPr>
          <w:iCs/>
        </w:rPr>
        <w:t>6</w:t>
      </w:r>
      <w:r w:rsidRPr="000149E5">
        <w:rPr>
          <w:iCs/>
        </w:rPr>
        <w:t>)</w:t>
      </w:r>
      <w:r w:rsidRPr="000149E5">
        <w:rPr>
          <w:iCs/>
        </w:rPr>
        <w:tab/>
        <w:t xml:space="preserve">Subject to the exceptions described in paragraphs (a) and (b) below, On-Line Generation Resources </w:t>
      </w:r>
      <w:r w:rsidR="00A46896">
        <w:rPr>
          <w:iCs/>
        </w:rPr>
        <w:t xml:space="preserve">and </w:t>
      </w:r>
      <w:r w:rsidR="00C67FF2">
        <w:rPr>
          <w:iCs/>
        </w:rPr>
        <w:t>CLR</w:t>
      </w:r>
      <w:r w:rsidR="00A46896">
        <w:rPr>
          <w:iCs/>
        </w:rPr>
        <w:t xml:space="preserve">s </w:t>
      </w:r>
      <w:r w:rsidRPr="000149E5">
        <w:t xml:space="preserve">that are assigned Non-Spin Ancillary Service Resource Responsibility during an Operating Hour shall always be deployed in that Operating Hour.  This deployment shall be considered as a standing Protocol-directed Non-Spin deployment Dispatch Instruction.  Within the 30-second window prior to the top-of-hour clock interval described in paragraph (2) of Section 6.3.2, Activities for Real-Time Operations, the QSE shall respond to the standing Non-Spin deployment Dispatch Instruction for those Resources assigned Non-Spin Ancillary Service Resource Responsibility effective at the top-of-hour by adjusting the Non-Spin Ancillary Service Schedule telemetry. </w:t>
      </w:r>
      <w:r>
        <w:t xml:space="preserve"> </w:t>
      </w:r>
      <w:r w:rsidR="00A46896">
        <w:t>For a Generation Resource, t</w:t>
      </w:r>
      <w:r>
        <w:t xml:space="preserve">he </w:t>
      </w:r>
      <w:r w:rsidRPr="000149E5">
        <w:t xml:space="preserve">QSE shall set the Non-Spin Ancillary Service Schedule telemetry equal to the portion </w:t>
      </w:r>
      <w:r>
        <w:t xml:space="preserve">of Non-Spin </w:t>
      </w:r>
      <w:r w:rsidRPr="000149E5">
        <w:t>being provided from power augmentation if the portion being provided from power augmentation is participating as Off-Line Non-Spin</w:t>
      </w:r>
      <w:r>
        <w:t>,</w:t>
      </w:r>
      <w:r w:rsidRPr="000149E5">
        <w:t xml:space="preserve"> otherwise it shall be set to 0.</w:t>
      </w:r>
      <w:r w:rsidRPr="000149E5">
        <w:rPr>
          <w:iCs/>
        </w:rPr>
        <w:t xml:space="preserve">  </w:t>
      </w:r>
      <w:r w:rsidR="00A46896">
        <w:rPr>
          <w:iCs/>
        </w:rPr>
        <w:t xml:space="preserve">For a </w:t>
      </w:r>
      <w:r w:rsidR="00C67FF2">
        <w:rPr>
          <w:iCs/>
        </w:rPr>
        <w:t>CLR</w:t>
      </w:r>
      <w:r w:rsidR="00A46896">
        <w:rPr>
          <w:iCs/>
        </w:rPr>
        <w:t xml:space="preserve">, the QSE shall set the Non-Spin Ancillary Service Schedule telemetry equal to 0.  </w:t>
      </w:r>
      <w:r w:rsidRPr="000149E5">
        <w:rPr>
          <w:iCs/>
        </w:rPr>
        <w:t xml:space="preserve">As described in Section 6.5.7.2, Resource Limit Calculator, ERCOT shall adjust the HASL and LASL based on the QSE’s telemetered Non-Spin Ancillary Service Schedule to account for such deployment </w:t>
      </w:r>
      <w:r w:rsidRPr="000149E5">
        <w:t>and to make the energy from the full amount of the Non-Spin Ancillary Service Resource Responsibility available to SCED</w:t>
      </w:r>
      <w:r w:rsidRPr="000149E5">
        <w:rPr>
          <w:iCs/>
        </w:rPr>
        <w:t xml:space="preserve">.  </w:t>
      </w:r>
      <w:r w:rsidRPr="000149E5">
        <w:t xml:space="preserve">A Non-Spin deployment Dispatch Instruction from ERCOT is not required and </w:t>
      </w:r>
      <w:r w:rsidRPr="000149E5">
        <w:rPr>
          <w:iCs/>
        </w:rPr>
        <w:t>these Resources must be able to Dispatch their Non-Spin Ancillary Service Resource Responsibility in response to a SCED Base Point deployment instruction.  The provisions of this paragraph (5) do not apply to:</w:t>
      </w:r>
    </w:p>
    <w:p w14:paraId="00FABBBF" w14:textId="77777777" w:rsidR="001F04FD" w:rsidRDefault="001F04FD" w:rsidP="001F04FD">
      <w:pPr>
        <w:spacing w:after="240"/>
        <w:ind w:left="1440" w:hanging="720"/>
        <w:rPr>
          <w:iCs/>
        </w:rPr>
      </w:pPr>
      <w:r>
        <w:rPr>
          <w:iCs/>
        </w:rPr>
        <w:t>(a)</w:t>
      </w:r>
      <w:r>
        <w:rPr>
          <w:iCs/>
        </w:rPr>
        <w:tab/>
        <w:t>QSGRs assigned Off-Line Non-Spin Ancillary Service Resource Responsibility and provided to SCED for deployment, which must follow the provisions of Section 3.8.3, Quick Start Generation Resources; or</w:t>
      </w:r>
    </w:p>
    <w:p w14:paraId="2E0144A3" w14:textId="77777777" w:rsidR="001F04FD" w:rsidRDefault="001F04FD" w:rsidP="001F04FD">
      <w:pPr>
        <w:pStyle w:val="BodyTextNumbered"/>
        <w:ind w:left="1440"/>
      </w:pPr>
      <w:r w:rsidRPr="000149E5">
        <w:t>(b)</w:t>
      </w:r>
      <w:r w:rsidRPr="000149E5">
        <w:tab/>
        <w:t>The portion of On-Line Generation Resources that is only available through power augmentation if participating as Off-Line Non</w:t>
      </w:r>
      <w:r>
        <w:t>-</w:t>
      </w:r>
      <w:r w:rsidRPr="000149E5">
        <w:t>Spin.</w:t>
      </w:r>
    </w:p>
    <w:p w14:paraId="01B2E82D" w14:textId="5621ACB2" w:rsidR="001F04FD" w:rsidRDefault="001F04FD" w:rsidP="001F04FD">
      <w:pPr>
        <w:pStyle w:val="BodyTextNumbered"/>
        <w:spacing w:after="0"/>
      </w:pPr>
      <w:r w:rsidRPr="000149E5">
        <w:rPr>
          <w:iCs/>
        </w:rPr>
        <w:t>(</w:t>
      </w:r>
      <w:r w:rsidR="0098796C">
        <w:rPr>
          <w:iCs/>
        </w:rPr>
        <w:t>7</w:t>
      </w:r>
      <w:r w:rsidRPr="000149E5">
        <w:rPr>
          <w:iCs/>
        </w:rPr>
        <w:t>)</w:t>
      </w:r>
      <w:r w:rsidRPr="000149E5">
        <w:rPr>
          <w:iCs/>
        </w:rPr>
        <w:tab/>
        <w:t xml:space="preserve">Off-Line Generation Resources providing Non-Spin, while Off-Line and before the receipt of any deployment instruction, shall be capable of being dispatched to their Non-Spin Resource Responsibility within 30 minutes of a deployment instruction.  Following a deployment instruction, the QSE </w:t>
      </w:r>
      <w:r w:rsidRPr="000149E5">
        <w:rPr>
          <w:bCs/>
          <w:iCs/>
          <w:szCs w:val="22"/>
        </w:rPr>
        <w:t xml:space="preserve">shall reduce the Non-Spin Ancillary Service Schedule by the amount of the deployment. </w:t>
      </w:r>
      <w:r w:rsidRPr="000149E5">
        <w:rPr>
          <w:iCs/>
        </w:rPr>
        <w:t xml:space="preserve"> An Off-Line Generation Resource providing Non-Spin must also be brought On-Line with an Energy Offer Curve at an output level greater than or equal to P1 multiplied by LSL</w:t>
      </w:r>
      <w:r w:rsidRPr="000149E5">
        <w:rPr>
          <w:bCs/>
          <w:iCs/>
          <w:szCs w:val="22"/>
        </w:rPr>
        <w:t xml:space="preserve"> where P1 is defined in the “ERCOT and QSE Operations Business Practices During the Operating Hour.”</w:t>
      </w:r>
      <w:r w:rsidRPr="000149E5">
        <w:rPr>
          <w:iCs/>
        </w:rPr>
        <w:t xml:space="preserve">  These actions must be done within a time frame that would allow SCED to fully dispatch the Resource’s Non-Spin Resource Responsibility within the 30 minute period using the Resource’s Normal Ramp Rate curve.  The Resource Status indicating that a Generation Resource has come On-Line with an Energy Offer Curve is ON as described </w:t>
      </w:r>
      <w:r>
        <w:rPr>
          <w:bCs/>
          <w:iCs/>
          <w:szCs w:val="22"/>
        </w:rPr>
        <w:t>in paragraph (5</w:t>
      </w:r>
      <w:r w:rsidRPr="000149E5">
        <w:rPr>
          <w:bCs/>
          <w:iCs/>
          <w:szCs w:val="22"/>
        </w:rPr>
        <w:t>)(b)(i) of Section 3.9.1, Current Operating Plan (COP) Criteria.</w:t>
      </w:r>
    </w:p>
    <w:p w14:paraId="4781C5D9" w14:textId="64EB19BB" w:rsidR="001F04FD" w:rsidRDefault="001F04FD" w:rsidP="001F04FD">
      <w:pPr>
        <w:pStyle w:val="BodyTextNumbered"/>
        <w:spacing w:before="240"/>
      </w:pPr>
      <w:r>
        <w:lastRenderedPageBreak/>
        <w:t>(</w:t>
      </w:r>
      <w:r w:rsidR="0098796C">
        <w:t>8</w:t>
      </w:r>
      <w:r>
        <w:t>)</w:t>
      </w:r>
      <w:r>
        <w:tab/>
        <w:t>For DSRs providing Non-Spin, on deployment of Non-Spin, the DSR’s QSE shall adjust its Resource Output Schedule to reflect the amount of deployment.  For non-DSRs with Output Schedules providing Non-Spin, on deployment of Non-Spin, ERCOT shall adjust the Resource Output Schedule for the remainder of the Operating Period to reflect the amount of deployment.  ERCOT shall notify the QSEs representing the non-DSR of the adjustment through the MIS Certified Area.</w:t>
      </w:r>
    </w:p>
    <w:p w14:paraId="58900092" w14:textId="3EF330ED" w:rsidR="001F04FD" w:rsidRDefault="001F04FD" w:rsidP="00FB599C">
      <w:pPr>
        <w:pStyle w:val="BodyTextNumbered"/>
      </w:pPr>
      <w:r>
        <w:t>(</w:t>
      </w:r>
      <w:r w:rsidR="0098796C">
        <w:t>9</w:t>
      </w:r>
      <w:r>
        <w:t>)</w:t>
      </w:r>
      <w:r>
        <w:tab/>
      </w:r>
      <w:r w:rsidR="00317CFB">
        <w:t>Base Points f</w:t>
      </w:r>
      <w:r>
        <w:t>or On-Line Generation Resources</w:t>
      </w:r>
      <w:r w:rsidR="00317CFB">
        <w:t xml:space="preserve"> and </w:t>
      </w:r>
      <w:r w:rsidR="00C67FF2">
        <w:t>CLR</w:t>
      </w:r>
      <w:r w:rsidR="00317CFB">
        <w:t>s</w:t>
      </w:r>
      <w:r>
        <w:t xml:space="preserve"> providing Non-Spin include Non-Spin energy as well as any other energy dispatched as a result of SCED.  These Resources’ Non-Spin Ancillary Service Resource Responsibility and Normal Ramp Rate curve should allow SCED to fully Dispatch the Resource’s Non-Spin Resource Responsibility within the 30-minute time frame according to the Resources’ Normal Ramp Rate curve.  For the portion of the Non-Spin Ancillary Service Resource Responsibility provided from power augmentation</w:t>
      </w:r>
      <w:r w:rsidR="00317CFB">
        <w:t xml:space="preserve"> of a Generation Resource</w:t>
      </w:r>
      <w:r>
        <w:t xml:space="preserve"> participating as Off-Line, SCED </w:t>
      </w:r>
      <w:r w:rsidRPr="006624C0">
        <w:t xml:space="preserve">should be able to be dispatch it within 30 minutes of the </w:t>
      </w:r>
      <w:r>
        <w:t>Non-</w:t>
      </w:r>
      <w:r w:rsidRPr="006624C0">
        <w:t xml:space="preserve">Spin deployment </w:t>
      </w:r>
      <w:r>
        <w:t>i</w:t>
      </w:r>
      <w:r w:rsidRPr="006624C0">
        <w:t>nstruction.</w:t>
      </w:r>
      <w:r>
        <w:t xml:space="preserve"> </w:t>
      </w:r>
    </w:p>
    <w:p w14:paraId="2772B4F6" w14:textId="7FB5FB43" w:rsidR="001F04FD" w:rsidRDefault="001F04FD" w:rsidP="001F04FD">
      <w:pPr>
        <w:pStyle w:val="BodyTextNumbered"/>
      </w:pPr>
      <w:r>
        <w:t>(</w:t>
      </w:r>
      <w:r w:rsidR="0098796C">
        <w:t>10</w:t>
      </w:r>
      <w:r>
        <w:t>)</w:t>
      </w:r>
      <w:r>
        <w:tab/>
        <w:t>Each QSE providing Non-Spin from a Resource shall inform ERCOT of the Non-Spin Resource availability using the Resource Status and Non-Spin Ancillary Service Resource Responsibility indications for the Operating Hour using telemetry and shall use the COP to inform ERCOT of Non-Spin Resource Status and Non-Spin Ancillary Service Resource Responsibility for hours in the Adjustment Period through the end of the Operating Day.</w:t>
      </w:r>
    </w:p>
    <w:p w14:paraId="769505A0" w14:textId="03752EFB" w:rsidR="001F04FD" w:rsidRDefault="001F04FD" w:rsidP="001F04FD">
      <w:pPr>
        <w:pStyle w:val="BodyTextNumbered"/>
      </w:pPr>
      <w:r>
        <w:t>(1</w:t>
      </w:r>
      <w:r w:rsidR="0098796C">
        <w:t>1</w:t>
      </w:r>
      <w:r>
        <w:t>)</w:t>
      </w:r>
      <w:r>
        <w:tab/>
        <w:t>ERCOT may deploy Non-Spin at any time in a Settlement Interval.</w:t>
      </w:r>
    </w:p>
    <w:p w14:paraId="4E05B72C" w14:textId="41980D8E" w:rsidR="001F04FD" w:rsidRDefault="001F04FD" w:rsidP="001F04FD">
      <w:pPr>
        <w:pStyle w:val="BodyTextNumbered"/>
      </w:pPr>
      <w:r>
        <w:t>(1</w:t>
      </w:r>
      <w:r w:rsidR="0098796C">
        <w:t>2</w:t>
      </w:r>
      <w:r>
        <w:t>)</w:t>
      </w:r>
      <w:r>
        <w:tab/>
        <w:t>ERCOT’s Non-Spin deployment Dispatch Instructions must include:</w:t>
      </w:r>
    </w:p>
    <w:p w14:paraId="4C50EA20" w14:textId="77777777" w:rsidR="001F04FD" w:rsidRDefault="001F04FD" w:rsidP="001F04FD">
      <w:pPr>
        <w:pStyle w:val="List"/>
      </w:pPr>
      <w:r>
        <w:t>(a)</w:t>
      </w:r>
      <w:r>
        <w:tab/>
        <w:t>The Resource name;</w:t>
      </w:r>
    </w:p>
    <w:p w14:paraId="5732B0FB" w14:textId="41343179" w:rsidR="001F04FD" w:rsidRDefault="001F04FD" w:rsidP="001F04FD">
      <w:pPr>
        <w:pStyle w:val="List"/>
      </w:pPr>
      <w:r>
        <w:t>(b)</w:t>
      </w:r>
      <w:r>
        <w:tab/>
        <w:t>A MW level of capacity deployment for Generation Resources with Energy Offer Curve, a MW level of energy for Generation Resources with Output Schedules, and a Dispatch Instruction for Load Resources equal to their awarded Non-Spin Ancillary Service Resource Responsibility; and</w:t>
      </w:r>
    </w:p>
    <w:p w14:paraId="4EBC617A" w14:textId="77777777" w:rsidR="001F04FD" w:rsidRDefault="001F04FD" w:rsidP="001F04FD">
      <w:pPr>
        <w:pStyle w:val="List"/>
      </w:pPr>
      <w:r>
        <w:t>(c)</w:t>
      </w:r>
      <w:r>
        <w:tab/>
        <w:t>The anticipated duration of deployment.</w:t>
      </w:r>
    </w:p>
    <w:p w14:paraId="2BF46C6C" w14:textId="014CC72C" w:rsidR="001F04FD" w:rsidRDefault="001F04FD" w:rsidP="001F04FD">
      <w:pPr>
        <w:pStyle w:val="List"/>
        <w:ind w:left="720"/>
      </w:pPr>
      <w:r>
        <w:rPr>
          <w:iCs/>
        </w:rPr>
        <w:t>(1</w:t>
      </w:r>
      <w:r w:rsidR="0098796C">
        <w:rPr>
          <w:iCs/>
        </w:rPr>
        <w:t>3</w:t>
      </w:r>
      <w:r w:rsidRPr="000149E5">
        <w:rPr>
          <w:iCs/>
        </w:rPr>
        <w:t>)</w:t>
      </w:r>
      <w:r w:rsidRPr="000149E5">
        <w:rPr>
          <w:iCs/>
        </w:rPr>
        <w:tab/>
        <w:t>ERCOT shall provide a signal via ICCP to the QSE of a deployed Generation or Load Resource indicating that its Non-Spin capacity has been deployed.</w:t>
      </w:r>
    </w:p>
    <w:p w14:paraId="5AF042AD" w14:textId="79819A81" w:rsidR="001F04FD" w:rsidRDefault="001F04FD" w:rsidP="001F04FD">
      <w:pPr>
        <w:pStyle w:val="BodyTextNumbered"/>
      </w:pPr>
      <w:r>
        <w:t>(1</w:t>
      </w:r>
      <w:r w:rsidR="0098796C">
        <w:t>4</w:t>
      </w:r>
      <w:r>
        <w:t>)</w:t>
      </w:r>
      <w:r>
        <w:tab/>
        <w:t>ERCOT shall, as part of its TAC-approved Non-Spin deployment procedure, provide for the recall of Non-Spin energy including descriptions of changes to Output Schedules and release of energy obligations from On-Line Resources with Output Schedules and from On-Line Resources that were previously Off-Line Resources providing Non-Spin capacity.</w:t>
      </w:r>
    </w:p>
    <w:p w14:paraId="3D98AC5C" w14:textId="7C11378E" w:rsidR="00F61076" w:rsidRDefault="001F04FD" w:rsidP="001F04FD">
      <w:pPr>
        <w:pStyle w:val="BodyTextNumbered"/>
        <w:rPr>
          <w:iCs/>
        </w:rPr>
      </w:pPr>
      <w:r>
        <w:rPr>
          <w:iCs/>
        </w:rPr>
        <w:lastRenderedPageBreak/>
        <w:t>(1</w:t>
      </w:r>
      <w:r w:rsidR="0098796C">
        <w:rPr>
          <w:iCs/>
        </w:rPr>
        <w:t>5</w:t>
      </w:r>
      <w:r w:rsidRPr="000149E5">
        <w:rPr>
          <w:iCs/>
        </w:rPr>
        <w:t>)</w:t>
      </w:r>
      <w:r w:rsidRPr="000149E5">
        <w:rPr>
          <w:iCs/>
        </w:rPr>
        <w:tab/>
        <w:t xml:space="preserve">ERCOT shall provide a notification to all QSEs via the </w:t>
      </w:r>
      <w:r w:rsidR="0007207E">
        <w:t>ERCOT website</w:t>
      </w:r>
      <w:r w:rsidRPr="000149E5">
        <w:rPr>
          <w:iCs/>
        </w:rPr>
        <w:t xml:space="preserve"> when any Non-Spin capacity is deployed on the ERCOT System showing the time, MW quantity and the anticipated duration of the deployment.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1076" w14:paraId="561ABF42" w14:textId="77777777" w:rsidTr="00EC5231">
        <w:trPr>
          <w:trHeight w:val="206"/>
        </w:trPr>
        <w:tc>
          <w:tcPr>
            <w:tcW w:w="9350" w:type="dxa"/>
            <w:shd w:val="pct12" w:color="auto" w:fill="auto"/>
          </w:tcPr>
          <w:bookmarkEnd w:id="1285"/>
          <w:p w14:paraId="2519167F" w14:textId="2AA0BE1D" w:rsidR="00F61076" w:rsidRDefault="00F61076" w:rsidP="00EC5231">
            <w:pPr>
              <w:pStyle w:val="Instructions"/>
              <w:spacing w:before="120"/>
            </w:pPr>
            <w:r>
              <w:t>[NPRR1000</w:t>
            </w:r>
            <w:r w:rsidR="0069524B">
              <w:t>,</w:t>
            </w:r>
            <w:r>
              <w:t xml:space="preserve"> NPRR1010</w:t>
            </w:r>
            <w:r w:rsidR="0069524B">
              <w:t>, NPRR1188</w:t>
            </w:r>
            <w:r w:rsidR="006963EB">
              <w:t>, NPRR1246</w:t>
            </w:r>
            <w:r w:rsidR="00947B54">
              <w:t>, and NPRR1270</w:t>
            </w:r>
            <w:r>
              <w:t>:  Replace applicable portions of Section 6.5.7.6.2.3 above with the following upon system implementation for NPRR1000</w:t>
            </w:r>
            <w:r w:rsidR="0069524B">
              <w:t xml:space="preserve"> or NPRR1188</w:t>
            </w:r>
            <w:r>
              <w:t>; or upon system implementation of the Real-Time Co-Optimization (RTC) project for NPRR1010</w:t>
            </w:r>
            <w:r w:rsidR="00947B54">
              <w:t>,</w:t>
            </w:r>
            <w:r w:rsidR="006963EB">
              <w:t xml:space="preserve"> NPRR1246</w:t>
            </w:r>
            <w:r w:rsidR="00947B54">
              <w:t>, and NPRR1270</w:t>
            </w:r>
            <w:r>
              <w:t>:]</w:t>
            </w:r>
          </w:p>
          <w:p w14:paraId="54FC5346" w14:textId="77777777" w:rsidR="00F61076" w:rsidRPr="003161DC" w:rsidRDefault="00F61076" w:rsidP="00F61076">
            <w:pPr>
              <w:keepNext/>
              <w:tabs>
                <w:tab w:val="left" w:pos="1800"/>
              </w:tabs>
              <w:spacing w:before="240" w:after="240"/>
              <w:ind w:left="1800" w:hanging="1800"/>
              <w:outlineLvl w:val="5"/>
              <w:rPr>
                <w:b/>
                <w:bCs/>
                <w:szCs w:val="22"/>
              </w:rPr>
            </w:pPr>
            <w:r w:rsidRPr="003161DC">
              <w:rPr>
                <w:b/>
                <w:bCs/>
                <w:szCs w:val="22"/>
              </w:rPr>
              <w:t>6.5.7.6.2.3</w:t>
            </w:r>
            <w:r w:rsidRPr="003161DC">
              <w:rPr>
                <w:b/>
                <w:bCs/>
                <w:szCs w:val="22"/>
              </w:rPr>
              <w:tab/>
              <w:t xml:space="preserve">Non-Spinning Reserve Service Deployment </w:t>
            </w:r>
          </w:p>
          <w:p w14:paraId="6F137F77" w14:textId="386AD5AE" w:rsidR="00F61076" w:rsidRPr="003161DC" w:rsidRDefault="00F61076" w:rsidP="00F61076">
            <w:pPr>
              <w:spacing w:after="240"/>
              <w:ind w:left="720" w:hanging="720"/>
            </w:pPr>
            <w:r w:rsidRPr="003161DC">
              <w:t>(1)</w:t>
            </w:r>
            <w:r w:rsidRPr="003161DC">
              <w:tab/>
              <w:t xml:space="preserve">ERCOT shall deploy Non-Spin Service by operator Dispatch Instruction for the portion of On-Line Generation Resources that is only available through power augmentation and participating as Off-Line Non-Spin </w:t>
            </w:r>
            <w:r>
              <w:t xml:space="preserve">and </w:t>
            </w:r>
            <w:r w:rsidRPr="003161DC">
              <w:t>Off-Line Generation Resources.  ERCOT shall develop a procedure approved by TAC to deploy Resources providing Non-Spin Service.  ERCOT Operators shall implement the deployment procedure when a specified threshold(s) in MW of capability available to SCED to increase generation is</w:t>
            </w:r>
            <w:r>
              <w:t xml:space="preserve"> </w:t>
            </w:r>
            <w:r w:rsidRPr="003161DC">
              <w:t xml:space="preserve">reached.  ERCOT Operators may implement the deployment procedure to recover deployed RRS, ECRS, or when other Emergency Conditions exist.  The deployment of Non-Spin must always be 100% of that </w:t>
            </w:r>
            <w:r>
              <w:t>awarded</w:t>
            </w:r>
            <w:r w:rsidRPr="003161DC">
              <w:t xml:space="preserve"> on an individual Resource.</w:t>
            </w:r>
          </w:p>
          <w:p w14:paraId="50C671B7" w14:textId="77777777" w:rsidR="00F61076" w:rsidRPr="003161DC" w:rsidRDefault="00F61076" w:rsidP="00F61076">
            <w:pPr>
              <w:spacing w:after="240"/>
              <w:ind w:left="720" w:hanging="720"/>
            </w:pPr>
            <w:r w:rsidRPr="003161DC">
              <w:t>(2)</w:t>
            </w:r>
            <w:r w:rsidRPr="003161DC">
              <w:tab/>
              <w:t xml:space="preserve">Once Non-Spin capacity from Off-Line Generation Resources </w:t>
            </w:r>
            <w:r>
              <w:t xml:space="preserve">awarded </w:t>
            </w:r>
            <w:r w:rsidRPr="003161DC">
              <w:t>Non-Spin is deployed and the Generation Resources are On-Line, ERCOT shall use SCED to determine the amount of energy to be dispatched from those Resources.</w:t>
            </w:r>
          </w:p>
          <w:p w14:paraId="680555CA" w14:textId="77777777" w:rsidR="00F61076" w:rsidRPr="003161DC" w:rsidRDefault="00F61076" w:rsidP="00F61076">
            <w:pPr>
              <w:spacing w:after="240"/>
              <w:ind w:left="720" w:hanging="720"/>
            </w:pPr>
            <w:r w:rsidRPr="003161DC">
              <w:t>(3)</w:t>
            </w:r>
            <w:r w:rsidRPr="003161DC">
              <w:tab/>
              <w:t xml:space="preserve">Off-Line Generation Resources </w:t>
            </w:r>
            <w:r>
              <w:t xml:space="preserve">offering to </w:t>
            </w:r>
            <w:r w:rsidRPr="003161DC">
              <w:t>provid</w:t>
            </w:r>
            <w:r>
              <w:t>e</w:t>
            </w:r>
            <w:r w:rsidRPr="003161DC">
              <w:t xml:space="preserve"> Non-Spin </w:t>
            </w:r>
            <w:r>
              <w:t>must</w:t>
            </w:r>
            <w:r w:rsidRPr="003161DC">
              <w:t xml:space="preserve"> provide an Energy Offer Curve for use by SCED. </w:t>
            </w:r>
          </w:p>
          <w:p w14:paraId="1F184BED" w14:textId="2183F83B" w:rsidR="00C75A66" w:rsidRDefault="00F61076" w:rsidP="00C75A66">
            <w:pPr>
              <w:spacing w:after="240"/>
              <w:ind w:left="720" w:hanging="720"/>
              <w:rPr>
                <w:iCs/>
              </w:rPr>
            </w:pPr>
            <w:r w:rsidRPr="003161DC">
              <w:rPr>
                <w:iCs/>
              </w:rPr>
              <w:t>(4)</w:t>
            </w:r>
            <w:r w:rsidRPr="003161DC">
              <w:rPr>
                <w:iCs/>
              </w:rPr>
              <w:tab/>
            </w:r>
            <w:r w:rsidR="00C75A66">
              <w:rPr>
                <w:iCs/>
              </w:rPr>
              <w:t xml:space="preserve">Non-Spin can be provided by </w:t>
            </w:r>
            <w:r w:rsidR="0069524B">
              <w:rPr>
                <w:iCs/>
              </w:rPr>
              <w:t>CLRs</w:t>
            </w:r>
            <w:r w:rsidR="00C75A66">
              <w:rPr>
                <w:iCs/>
              </w:rPr>
              <w:t xml:space="preserve"> that are SCED qualified or by Load Resources that are not </w:t>
            </w:r>
            <w:r w:rsidR="0069524B">
              <w:rPr>
                <w:iCs/>
              </w:rPr>
              <w:t>CLRs</w:t>
            </w:r>
            <w:r w:rsidR="00C75A66">
              <w:rPr>
                <w:iCs/>
              </w:rPr>
              <w:t xml:space="preserve"> but do not have an under-frequency relay or the under-frequency relay is unarmed.</w:t>
            </w:r>
          </w:p>
          <w:p w14:paraId="2FB91E32" w14:textId="7FAA18FC" w:rsidR="00F61076" w:rsidRDefault="00C75A66" w:rsidP="00C75A66">
            <w:pPr>
              <w:spacing w:after="240"/>
              <w:ind w:left="1415" w:hanging="720"/>
              <w:rPr>
                <w:iCs/>
              </w:rPr>
            </w:pPr>
            <w:r>
              <w:rPr>
                <w:iCs/>
              </w:rPr>
              <w:t>(a)</w:t>
            </w:r>
            <w:r w:rsidRPr="003161DC">
              <w:tab/>
            </w:r>
            <w:r w:rsidR="0069524B">
              <w:t>CLRs</w:t>
            </w:r>
            <w:r w:rsidR="00F61076" w:rsidRPr="003161DC">
              <w:rPr>
                <w:iCs/>
              </w:rPr>
              <w:t xml:space="preserve"> </w:t>
            </w:r>
            <w:r w:rsidR="00F61076">
              <w:rPr>
                <w:iCs/>
              </w:rPr>
              <w:t>awarded</w:t>
            </w:r>
            <w:r w:rsidR="00F61076" w:rsidRPr="003161DC">
              <w:rPr>
                <w:iCs/>
              </w:rPr>
              <w:t xml:space="preserve"> Non-Spin shall have an Energy Bid </w:t>
            </w:r>
            <w:r w:rsidR="0069524B">
              <w:rPr>
                <w:iCs/>
              </w:rPr>
              <w:t xml:space="preserve">Curve </w:t>
            </w:r>
            <w:r w:rsidR="00F61076" w:rsidRPr="003161DC">
              <w:rPr>
                <w:iCs/>
              </w:rPr>
              <w:t>for SCED and shall be capable of being Dispatched to its Non-Spin Ancillary Service</w:t>
            </w:r>
            <w:r w:rsidR="00F61076">
              <w:rPr>
                <w:iCs/>
              </w:rPr>
              <w:t xml:space="preserve"> award within 30 minutes</w:t>
            </w:r>
            <w:r w:rsidR="00F61076" w:rsidRPr="003161DC">
              <w:rPr>
                <w:iCs/>
              </w:rPr>
              <w:t xml:space="preserve">, using the Resource’s Normal Ramp Rate curve.  An Aggregate Load Resource </w:t>
            </w:r>
            <w:r w:rsidR="005F406D">
              <w:rPr>
                <w:iCs/>
              </w:rPr>
              <w:t xml:space="preserve">(ALR) </w:t>
            </w:r>
            <w:r w:rsidR="00F61076" w:rsidRPr="003161DC">
              <w:rPr>
                <w:iCs/>
              </w:rPr>
              <w:t xml:space="preserve">must comply with all requirements in </w:t>
            </w:r>
            <w:r w:rsidR="008652B1">
              <w:rPr>
                <w:szCs w:val="24"/>
              </w:rPr>
              <w:t>Section 22, Attachment O,</w:t>
            </w:r>
            <w:r w:rsidR="00F61076" w:rsidRPr="003161DC">
              <w:rPr>
                <w:iCs/>
              </w:rPr>
              <w:t xml:space="preserve"> Requirements for Aggregate Load Resource Participation in the ERCOT Markets.</w:t>
            </w:r>
          </w:p>
          <w:p w14:paraId="612BD42C" w14:textId="13F110CD" w:rsidR="00C75A66" w:rsidRPr="003161DC" w:rsidRDefault="00C75A66" w:rsidP="00C75A66">
            <w:pPr>
              <w:spacing w:after="240"/>
              <w:ind w:left="1410" w:hanging="720"/>
              <w:rPr>
                <w:iCs/>
              </w:rPr>
            </w:pPr>
            <w:r>
              <w:rPr>
                <w:iCs/>
              </w:rPr>
              <w:t>(b)</w:t>
            </w:r>
            <w:r w:rsidRPr="003161DC">
              <w:tab/>
            </w:r>
            <w:r w:rsidRPr="0077774D">
              <w:rPr>
                <w:iCs/>
              </w:rPr>
              <w:t xml:space="preserve">A Load Resource that is not a </w:t>
            </w:r>
            <w:r w:rsidR="0069524B">
              <w:rPr>
                <w:iCs/>
              </w:rPr>
              <w:t>CLR</w:t>
            </w:r>
            <w:r w:rsidRPr="0077774D">
              <w:rPr>
                <w:iCs/>
              </w:rPr>
              <w:t xml:space="preserve"> shall be capable of being Dispatched to its Non-Spin Ancillary Service Resource Responsibility within 30 minutes of a deployment instruction for capacity.</w:t>
            </w:r>
          </w:p>
          <w:p w14:paraId="6BC828A5" w14:textId="77777777" w:rsidR="00F61076" w:rsidRPr="003161DC" w:rsidRDefault="00F61076" w:rsidP="00F61076">
            <w:pPr>
              <w:spacing w:after="240"/>
              <w:ind w:left="720" w:hanging="720"/>
            </w:pPr>
            <w:r w:rsidRPr="003161DC">
              <w:rPr>
                <w:iCs/>
              </w:rPr>
              <w:t>(</w:t>
            </w:r>
            <w:r>
              <w:rPr>
                <w:iCs/>
              </w:rPr>
              <w:t>5</w:t>
            </w:r>
            <w:r w:rsidRPr="003161DC">
              <w:rPr>
                <w:iCs/>
              </w:rPr>
              <w:t>)</w:t>
            </w:r>
            <w:r w:rsidRPr="003161DC">
              <w:rPr>
                <w:iCs/>
              </w:rPr>
              <w:tab/>
              <w:t xml:space="preserve">Off-Line Generation Resources </w:t>
            </w:r>
            <w:r>
              <w:rPr>
                <w:iCs/>
              </w:rPr>
              <w:t>awarded</w:t>
            </w:r>
            <w:r w:rsidRPr="003161DC">
              <w:rPr>
                <w:iCs/>
              </w:rPr>
              <w:t xml:space="preserve"> Non-Spin, while Off-Line and before the receipt of any deployment instruction, shall be capable of being dispatched to their Non-Spin </w:t>
            </w:r>
            <w:r>
              <w:rPr>
                <w:iCs/>
              </w:rPr>
              <w:t>award</w:t>
            </w:r>
            <w:r w:rsidRPr="003161DC">
              <w:rPr>
                <w:iCs/>
              </w:rPr>
              <w:t xml:space="preserve"> within 30 minutes of a </w:t>
            </w:r>
            <w:r>
              <w:rPr>
                <w:iCs/>
              </w:rPr>
              <w:t>Dispatch</w:t>
            </w:r>
            <w:r w:rsidRPr="003161DC">
              <w:rPr>
                <w:iCs/>
              </w:rPr>
              <w:t xml:space="preserve"> </w:t>
            </w:r>
            <w:r>
              <w:rPr>
                <w:iCs/>
              </w:rPr>
              <w:t>I</w:t>
            </w:r>
            <w:r w:rsidRPr="003161DC">
              <w:rPr>
                <w:iCs/>
              </w:rPr>
              <w:t xml:space="preserve">nstruction.  </w:t>
            </w:r>
            <w:r w:rsidRPr="00006D35">
              <w:rPr>
                <w:iCs/>
              </w:rPr>
              <w:t xml:space="preserve">On-Line Generation </w:t>
            </w:r>
            <w:r w:rsidRPr="00006D35">
              <w:rPr>
                <w:iCs/>
              </w:rPr>
              <w:lastRenderedPageBreak/>
              <w:t>Resources awarded Non-Spin on the power augmentation capacity shall be capable of being dispatched to their Non-Spin award within 30 minutes of a Dispatch Instruction.</w:t>
            </w:r>
          </w:p>
          <w:p w14:paraId="78CC42E4" w14:textId="77777777" w:rsidR="00F61076" w:rsidRPr="003161DC" w:rsidRDefault="00F61076" w:rsidP="00F61076">
            <w:pPr>
              <w:spacing w:after="240"/>
              <w:ind w:left="720" w:hanging="720"/>
            </w:pPr>
            <w:r w:rsidRPr="003161DC">
              <w:t>(</w:t>
            </w:r>
            <w:r>
              <w:t>6</w:t>
            </w:r>
            <w:r w:rsidRPr="003161DC">
              <w:t>)</w:t>
            </w:r>
            <w:r w:rsidRPr="003161DC">
              <w:tab/>
              <w:t>ERCOT may deploy Non-Spin at any time in a Settlement Interval.</w:t>
            </w:r>
          </w:p>
          <w:p w14:paraId="0766E447" w14:textId="6E324425" w:rsidR="00C75A66" w:rsidRPr="003161DC" w:rsidRDefault="00C75A66" w:rsidP="005E62C6">
            <w:pPr>
              <w:pStyle w:val="BodyTextNumbered"/>
            </w:pPr>
            <w:r>
              <w:t>(7)</w:t>
            </w:r>
            <w:r w:rsidR="00947B54" w:rsidRPr="003161DC">
              <w:t xml:space="preserve"> </w:t>
            </w:r>
            <w:r w:rsidR="00947B54" w:rsidRPr="003161DC">
              <w:tab/>
            </w:r>
            <w:r w:rsidR="00947B54">
              <w:t xml:space="preserve">ERCOT shall develop a process to deploy Non-Spin awarded to Off-Line Generation Resources, Load Resources that are not CLRs, and On-Line Generation Resources participating in Off-Line Non-Spin using power augmentation based on a random sampling of Resources.  ERCOT at its discretion may deploy Non-Spin partially or fully as necessary.  </w:t>
            </w:r>
            <w:r w:rsidR="00947B54" w:rsidRPr="00FF5517">
              <w:t xml:space="preserve">If Non-Spin is deployed partially, it shall be deployed in increments of 100% of each Resource’s </w:t>
            </w:r>
            <w:r w:rsidR="00947B54">
              <w:t>Non-Spin award</w:t>
            </w:r>
            <w:r w:rsidR="00947B54" w:rsidRPr="00FF5517">
              <w:t xml:space="preserve">.  </w:t>
            </w:r>
            <w:r w:rsidR="00947B54" w:rsidRPr="00C9332E">
              <w:t xml:space="preserve">ERCOT shall issue notification of the deployment </w:t>
            </w:r>
            <w:r w:rsidR="00947B54">
              <w:t xml:space="preserve">on a Resource-specific basis </w:t>
            </w:r>
            <w:r w:rsidR="00947B54" w:rsidRPr="00C9332E">
              <w:t>via XML message.</w:t>
            </w:r>
          </w:p>
          <w:p w14:paraId="4F2F15E5" w14:textId="03833AE8" w:rsidR="00F61076" w:rsidRPr="003161DC" w:rsidRDefault="00F61076" w:rsidP="00F61076">
            <w:pPr>
              <w:spacing w:after="240"/>
              <w:ind w:left="720" w:hanging="720"/>
            </w:pPr>
            <w:r w:rsidRPr="003161DC">
              <w:t>(</w:t>
            </w:r>
            <w:r w:rsidR="00C75A66">
              <w:t>8</w:t>
            </w:r>
            <w:r w:rsidRPr="003161DC">
              <w:t>)</w:t>
            </w:r>
            <w:r w:rsidRPr="003161DC">
              <w:tab/>
              <w:t>ERCOT’s Non-Spin deployment Dispatch Instructions must include:</w:t>
            </w:r>
          </w:p>
          <w:p w14:paraId="5C67CFC7" w14:textId="77777777" w:rsidR="00F61076" w:rsidRPr="003161DC" w:rsidRDefault="00F61076" w:rsidP="00F61076">
            <w:pPr>
              <w:spacing w:after="240"/>
              <w:ind w:left="1440" w:hanging="720"/>
            </w:pPr>
            <w:r w:rsidRPr="003161DC">
              <w:t>(a)</w:t>
            </w:r>
            <w:r w:rsidRPr="003161DC">
              <w:tab/>
              <w:t>The Resource name;</w:t>
            </w:r>
          </w:p>
          <w:p w14:paraId="159ADA1D" w14:textId="1D68C86B" w:rsidR="00F61076" w:rsidRPr="003161DC" w:rsidRDefault="00F61076" w:rsidP="00F61076">
            <w:pPr>
              <w:spacing w:after="240"/>
              <w:ind w:left="1440" w:hanging="720"/>
            </w:pPr>
            <w:r w:rsidRPr="003161DC">
              <w:t>(b)</w:t>
            </w:r>
            <w:r w:rsidRPr="003161DC">
              <w:tab/>
              <w:t>A MW level of capacity deployment for Generation Resources with Energy Offer Curve</w:t>
            </w:r>
            <w:r w:rsidR="006963EB">
              <w:t>, a MW level for ESRs with Energy Bid/Offer Curve,</w:t>
            </w:r>
            <w:r w:rsidRPr="003161DC">
              <w:t xml:space="preserve"> </w:t>
            </w:r>
            <w:r w:rsidR="007F5C35" w:rsidRPr="00F468C2">
              <w:t>and</w:t>
            </w:r>
            <w:r w:rsidR="007F5C35">
              <w:t xml:space="preserve"> </w:t>
            </w:r>
            <w:r w:rsidRPr="003161DC">
              <w:t>a MW level of energy for Generation Resources with Output Schedules and a Dispatch Instruction for Load Resources</w:t>
            </w:r>
            <w:r w:rsidR="007F5C35" w:rsidRPr="00F468C2">
              <w:t xml:space="preserve">, excluding </w:t>
            </w:r>
            <w:r w:rsidR="0069524B">
              <w:t>CLRs</w:t>
            </w:r>
            <w:r w:rsidR="007F5C35" w:rsidRPr="00F468C2">
              <w:t>, at a minimum</w:t>
            </w:r>
            <w:r w:rsidRPr="003161DC">
              <w:t xml:space="preserve"> equal to their awarded Non-Spin Ancillary Service</w:t>
            </w:r>
            <w:r>
              <w:t xml:space="preserve"> amount</w:t>
            </w:r>
            <w:r w:rsidRPr="003161DC">
              <w:t>; and</w:t>
            </w:r>
          </w:p>
          <w:p w14:paraId="70AE55B0" w14:textId="77777777" w:rsidR="00F61076" w:rsidRPr="003161DC" w:rsidRDefault="00F61076" w:rsidP="00F61076">
            <w:pPr>
              <w:spacing w:after="240"/>
              <w:ind w:left="1440" w:hanging="720"/>
            </w:pPr>
            <w:r w:rsidRPr="003161DC">
              <w:t>(c)</w:t>
            </w:r>
            <w:r w:rsidRPr="003161DC">
              <w:tab/>
              <w:t>The anticipated duration of deployment.</w:t>
            </w:r>
          </w:p>
          <w:p w14:paraId="6B1A21E4" w14:textId="1C41BE2E" w:rsidR="00F61076" w:rsidRPr="003161DC" w:rsidRDefault="00F61076" w:rsidP="00F61076">
            <w:pPr>
              <w:spacing w:after="240"/>
              <w:ind w:left="720" w:hanging="720"/>
            </w:pPr>
            <w:r>
              <w:rPr>
                <w:iCs/>
              </w:rPr>
              <w:t>(</w:t>
            </w:r>
            <w:r w:rsidR="00C75A66">
              <w:rPr>
                <w:iCs/>
              </w:rPr>
              <w:t>9</w:t>
            </w:r>
            <w:r>
              <w:rPr>
                <w:iCs/>
              </w:rPr>
              <w:t>)</w:t>
            </w:r>
            <w:r>
              <w:rPr>
                <w:iCs/>
              </w:rPr>
              <w:tab/>
            </w:r>
            <w:r w:rsidRPr="003161DC">
              <w:rPr>
                <w:iCs/>
              </w:rPr>
              <w:t>ERCOT shall provide a signal via ICCP to the QSE of a deployed Resource indicating that its Non-Spin capacity has been deployed.</w:t>
            </w:r>
          </w:p>
          <w:p w14:paraId="649329D4" w14:textId="735F4CF4" w:rsidR="00F61076" w:rsidRPr="003161DC" w:rsidRDefault="00F61076" w:rsidP="00F61076">
            <w:pPr>
              <w:spacing w:after="240"/>
              <w:ind w:left="720" w:hanging="720"/>
            </w:pPr>
            <w:r w:rsidRPr="003161DC">
              <w:t>(</w:t>
            </w:r>
            <w:r w:rsidR="00C75A66">
              <w:t>10</w:t>
            </w:r>
            <w:r w:rsidRPr="003161DC">
              <w:t>)</w:t>
            </w:r>
            <w:r w:rsidRPr="003161DC">
              <w:tab/>
              <w:t xml:space="preserve">ERCOT shall, as part of its TAC-approved Non-Spin deployment procedure, provide for the recall of Non-Spin </w:t>
            </w:r>
            <w:r>
              <w:t xml:space="preserve">from </w:t>
            </w:r>
            <w:r w:rsidRPr="00006D35">
              <w:t>On-Line Resources that were previously Off-Line Resources providing Non-Spin capacity and from On-Line Resources providing Non-Spin through power augmentation</w:t>
            </w:r>
            <w:r w:rsidRPr="003161DC">
              <w:t>.</w:t>
            </w:r>
          </w:p>
          <w:p w14:paraId="4BE9742D" w14:textId="2A181C5C" w:rsidR="00F61076" w:rsidRPr="00F61076" w:rsidRDefault="00F61076" w:rsidP="0007207E">
            <w:pPr>
              <w:spacing w:after="240"/>
              <w:ind w:left="720" w:hanging="720"/>
              <w:rPr>
                <w:iCs/>
              </w:rPr>
            </w:pPr>
            <w:r w:rsidRPr="003161DC">
              <w:rPr>
                <w:iCs/>
              </w:rPr>
              <w:t>(1</w:t>
            </w:r>
            <w:r w:rsidR="00C75A66">
              <w:rPr>
                <w:iCs/>
              </w:rPr>
              <w:t>1</w:t>
            </w:r>
            <w:r w:rsidRPr="003161DC">
              <w:rPr>
                <w:iCs/>
              </w:rPr>
              <w:t>)</w:t>
            </w:r>
            <w:r w:rsidRPr="003161DC">
              <w:rPr>
                <w:iCs/>
              </w:rPr>
              <w:tab/>
              <w:t xml:space="preserve">ERCOT shall provide a notification to all QSEs via the </w:t>
            </w:r>
            <w:r w:rsidR="0007207E">
              <w:t>ERCOT website</w:t>
            </w:r>
            <w:r w:rsidRPr="003161DC">
              <w:rPr>
                <w:iCs/>
              </w:rPr>
              <w:t xml:space="preserve"> when any Non-Spin capacity is deployed on the ERCOT System showing the time, MW quantity and the anticipated duration of the deployment.</w:t>
            </w:r>
          </w:p>
        </w:tc>
      </w:tr>
    </w:tbl>
    <w:p w14:paraId="35AC8A24" w14:textId="77777777" w:rsidR="008611B7" w:rsidRPr="008611B7" w:rsidRDefault="008611B7" w:rsidP="008611B7">
      <w:pPr>
        <w:pStyle w:val="H6"/>
        <w:spacing w:before="480"/>
      </w:pPr>
      <w:bookmarkStart w:id="1286" w:name="_Hlk135903085"/>
      <w:r w:rsidRPr="003161DC">
        <w:lastRenderedPageBreak/>
        <w:t>6.5.7.6.2.4</w:t>
      </w:r>
      <w:r w:rsidRPr="008611B7">
        <w:tab/>
      </w:r>
      <w:r w:rsidRPr="003161DC">
        <w:t>Deployment and Recall of ERCOT Contingency Reserve Service</w:t>
      </w:r>
    </w:p>
    <w:p w14:paraId="373C63B1" w14:textId="77777777" w:rsidR="008611B7" w:rsidRPr="003161DC" w:rsidRDefault="008611B7" w:rsidP="008611B7">
      <w:pPr>
        <w:spacing w:after="240"/>
        <w:ind w:left="720" w:hanging="720"/>
      </w:pPr>
      <w:r w:rsidRPr="003161DC">
        <w:t>(1)</w:t>
      </w:r>
      <w:r w:rsidRPr="003161DC">
        <w:tab/>
        <w:t>ECRS is intended to:</w:t>
      </w:r>
    </w:p>
    <w:p w14:paraId="22C94443" w14:textId="77777777" w:rsidR="008611B7" w:rsidRPr="003161DC" w:rsidRDefault="008611B7" w:rsidP="008611B7">
      <w:pPr>
        <w:spacing w:after="240"/>
        <w:ind w:left="1440" w:hanging="720"/>
      </w:pPr>
      <w:r w:rsidRPr="003161DC">
        <w:t>(a)</w:t>
      </w:r>
      <w:r w:rsidRPr="003161DC">
        <w:tab/>
        <w:t>Help restore the frequency to 60 Hz within ten minutes of a significant frequency deviation;</w:t>
      </w:r>
    </w:p>
    <w:p w14:paraId="1E4C7258" w14:textId="241D7282" w:rsidR="008611B7" w:rsidRPr="003161DC" w:rsidRDefault="008611B7" w:rsidP="008611B7">
      <w:pPr>
        <w:spacing w:after="240"/>
        <w:ind w:left="1440" w:hanging="720"/>
      </w:pPr>
      <w:r w:rsidRPr="003161DC">
        <w:t>(b)</w:t>
      </w:r>
      <w:r w:rsidRPr="003161DC">
        <w:tab/>
        <w:t>Provide energy to avoid</w:t>
      </w:r>
      <w:r w:rsidR="00243207">
        <w:t>,</w:t>
      </w:r>
      <w:r w:rsidRPr="003161DC">
        <w:t xml:space="preserve"> or during the implementation of</w:t>
      </w:r>
      <w:r w:rsidR="00243207">
        <w:t>,</w:t>
      </w:r>
      <w:r w:rsidRPr="003161DC">
        <w:t xml:space="preserve"> an EEA;</w:t>
      </w:r>
    </w:p>
    <w:p w14:paraId="75CB4FB0" w14:textId="478EBC2E" w:rsidR="008611B7" w:rsidRDefault="008611B7" w:rsidP="008611B7">
      <w:pPr>
        <w:spacing w:after="240"/>
        <w:ind w:left="1440" w:hanging="720"/>
      </w:pPr>
      <w:r w:rsidRPr="003161DC">
        <w:lastRenderedPageBreak/>
        <w:t>(c)</w:t>
      </w:r>
      <w:r w:rsidRPr="003161DC">
        <w:tab/>
        <w:t>Provide backup to Reg-Up</w:t>
      </w:r>
      <w:r>
        <w:t>; and</w:t>
      </w:r>
    </w:p>
    <w:p w14:paraId="4B9CBB6C" w14:textId="301EBF84" w:rsidR="008611B7" w:rsidRPr="003161DC" w:rsidRDefault="008611B7" w:rsidP="008611B7">
      <w:pPr>
        <w:spacing w:after="240"/>
        <w:ind w:left="1440" w:hanging="720"/>
      </w:pPr>
      <w:r>
        <w:t>(d)</w:t>
      </w:r>
      <w:r>
        <w:tab/>
        <w:t>Provide energy upon detection of insufficient available capacity for net load    ramps.</w:t>
      </w:r>
    </w:p>
    <w:p w14:paraId="13BD1C36" w14:textId="2439E46A" w:rsidR="008611B7" w:rsidRPr="003161DC" w:rsidRDefault="008611B7" w:rsidP="008611B7">
      <w:pPr>
        <w:spacing w:after="240"/>
        <w:ind w:left="720" w:hanging="720"/>
      </w:pPr>
      <w:r w:rsidRPr="003161DC">
        <w:t>(2)</w:t>
      </w:r>
      <w:r w:rsidRPr="003161DC">
        <w:tab/>
        <w:t xml:space="preserve">ERCOT shall deploy ECRS to meet NERC Standards and other performance criteria as specified in these Protocols and the Operating Guides by </w:t>
      </w:r>
      <w:r w:rsidR="00F87A8D">
        <w:t xml:space="preserve">taking </w:t>
      </w:r>
      <w:r w:rsidRPr="003161DC">
        <w:t>one or more of the following</w:t>
      </w:r>
      <w:r w:rsidR="00F87A8D">
        <w:t xml:space="preserve"> actions</w:t>
      </w:r>
      <w:r w:rsidRPr="003161DC">
        <w:t>:</w:t>
      </w:r>
    </w:p>
    <w:p w14:paraId="58EFEE1A" w14:textId="40AA2328" w:rsidR="008611B7" w:rsidRDefault="008611B7" w:rsidP="008611B7">
      <w:pPr>
        <w:spacing w:after="240"/>
        <w:ind w:left="1440" w:hanging="720"/>
        <w:rPr>
          <w:rStyle w:val="CommentReference"/>
        </w:rPr>
      </w:pPr>
      <w:r w:rsidRPr="003161DC">
        <w:t>(a)</w:t>
      </w:r>
      <w:r w:rsidRPr="003161DC">
        <w:tab/>
        <w:t xml:space="preserve">Automatic Dispatch Instruction signal to release ECRS capacity from Generation Resources and </w:t>
      </w:r>
      <w:r w:rsidR="00C67FF2">
        <w:t>CLR</w:t>
      </w:r>
      <w:r w:rsidRPr="003161DC">
        <w:t>s to SCED; and/or</w:t>
      </w:r>
    </w:p>
    <w:p w14:paraId="078E34EA" w14:textId="00F199FC" w:rsidR="008611B7" w:rsidRPr="003161DC" w:rsidRDefault="008611B7" w:rsidP="008611B7">
      <w:pPr>
        <w:spacing w:after="240"/>
        <w:ind w:left="1440" w:hanging="720"/>
      </w:pPr>
      <w:r w:rsidRPr="003161DC">
        <w:t>(b)</w:t>
      </w:r>
      <w:r w:rsidRPr="003161DC">
        <w:tab/>
        <w:t xml:space="preserve">Dispatch Instruction for deployment of energy </w:t>
      </w:r>
      <w:r w:rsidR="00F87A8D">
        <w:t>from Load Resources</w:t>
      </w:r>
      <w:r w:rsidR="00F87A8D" w:rsidRPr="003161DC">
        <w:t xml:space="preserve"> </w:t>
      </w:r>
      <w:r w:rsidRPr="003161DC">
        <w:t>via electronic Messaging System.</w:t>
      </w:r>
    </w:p>
    <w:p w14:paraId="7590A3D6" w14:textId="372202CD" w:rsidR="008611B7" w:rsidRPr="003161DC" w:rsidRDefault="008611B7" w:rsidP="008611B7">
      <w:pPr>
        <w:spacing w:after="240"/>
        <w:ind w:left="720" w:hanging="720"/>
      </w:pPr>
      <w:r w:rsidRPr="003161DC">
        <w:t>(3)</w:t>
      </w:r>
      <w:r w:rsidRPr="003161DC">
        <w:tab/>
        <w:t xml:space="preserve">ERCOT shall release ECRS from Generation Resources and </w:t>
      </w:r>
      <w:r w:rsidR="00C67FF2">
        <w:t>CLR</w:t>
      </w:r>
      <w:r w:rsidRPr="003161DC">
        <w:t>s to SCED when frequency drops below 59.91 Hz and available Reg-Up is not sufficient to restore frequency.  Upon deployment of Off-Line ECRS from</w:t>
      </w:r>
      <w:r w:rsidRPr="003161DC">
        <w:rPr>
          <w:iCs/>
        </w:rPr>
        <w:t xml:space="preserve"> a QSGR providing ECRS, the Resource’s Ancillary Service Schedule for ECRS must be adjusted for the ERCOT instructed ECRS deployment and the Resource’s status must be set to OFFQS to be available for dispatch by SCED.  Once recalled QSGRs providing ECRS must follow the decommitment process outlined in Section 3.8.3.1, Quick Start Generation Resource Decommitment Decision Process. </w:t>
      </w:r>
    </w:p>
    <w:p w14:paraId="48EA36BD" w14:textId="77777777" w:rsidR="008611B7" w:rsidRPr="003161DC" w:rsidRDefault="008611B7" w:rsidP="008611B7">
      <w:pPr>
        <w:spacing w:after="240"/>
        <w:ind w:left="720" w:hanging="720"/>
      </w:pPr>
      <w:r w:rsidRPr="003161DC">
        <w:t>(4)</w:t>
      </w:r>
      <w:r w:rsidRPr="003161DC">
        <w:tab/>
        <w:t>Energy from Resources providing ECRS may also be manually deployed by ERCOT pursuant to Section 6.5.9, Emergency Operations.</w:t>
      </w:r>
    </w:p>
    <w:p w14:paraId="5C42BD03" w14:textId="515D1E60" w:rsidR="008611B7" w:rsidRPr="003161DC" w:rsidRDefault="008611B7" w:rsidP="008611B7">
      <w:pPr>
        <w:spacing w:after="240"/>
        <w:ind w:left="720" w:hanging="720"/>
      </w:pPr>
      <w:r w:rsidRPr="003161DC">
        <w:t>(5)</w:t>
      </w:r>
      <w:r w:rsidRPr="003161DC">
        <w:tab/>
        <w:t>ERCOT shall use SCED and Non-Spin as soon as practicable to recover ECRS reserves.</w:t>
      </w:r>
    </w:p>
    <w:p w14:paraId="0759F974" w14:textId="4C387291" w:rsidR="008611B7" w:rsidRDefault="008611B7" w:rsidP="008611B7">
      <w:pPr>
        <w:spacing w:after="240"/>
        <w:ind w:left="720" w:hanging="720"/>
      </w:pPr>
      <w:r>
        <w:t>(6)</w:t>
      </w:r>
      <w:r>
        <w:tab/>
        <w:t>Following an ECRS deployment</w:t>
      </w:r>
      <w:r w:rsidR="00243207">
        <w:t xml:space="preserve"> to SCED-dispatchable Resources</w:t>
      </w:r>
      <w:r>
        <w:t>, the QSE’s obligation to deliver ECRS remains in effect until ERCOT issues a recall instruction or its ECRS obligation expires, whichever occurs first.</w:t>
      </w:r>
      <w:r w:rsidR="00243207">
        <w:t xml:space="preserve">  Following an ECRS deployment to Load Resources, excluding </w:t>
      </w:r>
      <w:r w:rsidR="00C67FF2">
        <w:t>CLR</w:t>
      </w:r>
      <w:r w:rsidR="00243207">
        <w:t>s, or Resources operating in synchronous condenser fast-response mode, the QSE’s obligation to deliver ECRS remains in effect until ERCOT issues a recall instruction.</w:t>
      </w:r>
    </w:p>
    <w:p w14:paraId="21C3970E" w14:textId="0094F9FF" w:rsidR="008611B7" w:rsidRPr="003161DC" w:rsidRDefault="008611B7" w:rsidP="008611B7">
      <w:pPr>
        <w:spacing w:after="240"/>
        <w:ind w:left="720" w:hanging="720"/>
      </w:pPr>
      <w:r w:rsidRPr="003161DC">
        <w:t>(7)</w:t>
      </w:r>
      <w:r w:rsidRPr="003161DC">
        <w:tab/>
        <w:t>Following a deployment or recall Dispatch Instruction of ECRS, a QSE shall adjust the telemetered ECRS Ancillary Service Schedule for the Resource providing the service and ERCOT shall adjust the HASL based on the QSE’s telemetered Ancillary Service Schedule for ECRS</w:t>
      </w:r>
      <w:r w:rsidR="00243207">
        <w:t>,</w:t>
      </w:r>
      <w:r w:rsidRPr="003161DC">
        <w:t xml:space="preserve"> as described in Section 6.5.7.2, Resource Limit Calculator, to account for such deployment.</w:t>
      </w:r>
    </w:p>
    <w:p w14:paraId="6786CB9A" w14:textId="3E084A04" w:rsidR="008611B7" w:rsidRPr="003161DC" w:rsidRDefault="008611B7" w:rsidP="008611B7">
      <w:pPr>
        <w:spacing w:after="240"/>
        <w:ind w:left="720" w:hanging="720"/>
      </w:pPr>
      <w:r w:rsidRPr="003161DC">
        <w:t>(8)</w:t>
      </w:r>
      <w:r w:rsidRPr="003161DC">
        <w:tab/>
        <w:t xml:space="preserve">For Generation Resources and </w:t>
      </w:r>
      <w:r w:rsidR="00C67FF2">
        <w:t>CLR</w:t>
      </w:r>
      <w:r w:rsidRPr="003161DC">
        <w:t xml:space="preserve">s providing ECRS, Base Points include ECRS energy as well as any other energy dispatched by SCED.  A Resource must be able to be fully dispatched by SCED to its ECRS Ancillary Service Resource Responsibility within the ten-minute time frame according to its telemetered Emergency Ramp Rate. </w:t>
      </w:r>
    </w:p>
    <w:p w14:paraId="393DB2C8" w14:textId="56C37A98" w:rsidR="008611B7" w:rsidRPr="003161DC" w:rsidRDefault="008611B7" w:rsidP="008611B7">
      <w:pPr>
        <w:spacing w:after="240"/>
        <w:ind w:left="720" w:hanging="720"/>
      </w:pPr>
      <w:r w:rsidRPr="003161DC">
        <w:lastRenderedPageBreak/>
        <w:t>(9)</w:t>
      </w:r>
      <w:r w:rsidRPr="003161DC">
        <w:tab/>
        <w:t>Each QSE providing ECRS shall meet the deployment performance requirements specified in Section 8.1.1.4.2, Responsive Reserve Energy Deployment Criteria.</w:t>
      </w:r>
    </w:p>
    <w:p w14:paraId="0F006259" w14:textId="50FEAC14" w:rsidR="008611B7" w:rsidRPr="003161DC" w:rsidRDefault="008611B7" w:rsidP="008611B7">
      <w:pPr>
        <w:spacing w:after="240"/>
        <w:ind w:left="720" w:hanging="720"/>
      </w:pPr>
      <w:r w:rsidRPr="003161DC">
        <w:t>(10)</w:t>
      </w:r>
      <w:r w:rsidRPr="003161DC">
        <w:tab/>
        <w:t xml:space="preserve">ERCOT shall issue instructions to release ECRS capacity provided from Generation Resources and </w:t>
      </w:r>
      <w:r w:rsidR="00C67FF2">
        <w:t>CLR</w:t>
      </w:r>
      <w:r w:rsidRPr="003161DC">
        <w:t xml:space="preserve">s to SCED over ICCP and shall issue deployment instructions for Load Resources providing ECRS via XML.  Such instructions shall contain the MW requested.  </w:t>
      </w:r>
    </w:p>
    <w:p w14:paraId="1CC9B2F2" w14:textId="3FC0CA8D" w:rsidR="008611B7" w:rsidRPr="003161DC" w:rsidRDefault="008611B7" w:rsidP="008611B7">
      <w:pPr>
        <w:spacing w:after="240"/>
        <w:ind w:left="720" w:hanging="720"/>
      </w:pPr>
      <w:r w:rsidRPr="003161DC">
        <w:t>(11)</w:t>
      </w:r>
      <w:r w:rsidRPr="003161DC">
        <w:tab/>
        <w:t xml:space="preserve">To the extent that ERCOT deploys a Load Resource that is not a </w:t>
      </w:r>
      <w:r w:rsidR="00C67FF2">
        <w:t>CLR</w:t>
      </w:r>
      <w:r w:rsidRPr="003161DC">
        <w:t xml:space="preserve"> and that has chosen a block deployment option, ERCOT shall either deploy the entire Ancillary Service Resource Responsibility or, if only partial deployment is possible, skip the Load Resource with the block deployment option and proceed to deploy the next available Resource.</w:t>
      </w:r>
    </w:p>
    <w:p w14:paraId="00E2B3C0" w14:textId="12A7930B" w:rsidR="008611B7" w:rsidRPr="003161DC" w:rsidRDefault="008611B7" w:rsidP="008611B7">
      <w:pPr>
        <w:spacing w:after="240"/>
        <w:ind w:left="720" w:hanging="720"/>
      </w:pPr>
      <w:r w:rsidRPr="003161DC">
        <w:t>(12)</w:t>
      </w:r>
      <w:r w:rsidRPr="003161DC">
        <w:tab/>
        <w:t xml:space="preserve">ERCOT shall recall automatically deployed ECRS capacity once system frequency recovers above </w:t>
      </w:r>
      <w:r>
        <w:t>59.97</w:t>
      </w:r>
      <w:r w:rsidRPr="003161DC">
        <w:t xml:space="preserve"> Hz. </w:t>
      </w:r>
    </w:p>
    <w:p w14:paraId="5F2144E8" w14:textId="62B2E606" w:rsidR="00F61076" w:rsidRDefault="008611B7" w:rsidP="008611B7">
      <w:pPr>
        <w:pStyle w:val="BodyTextNumbered"/>
      </w:pPr>
      <w:r w:rsidRPr="003161DC">
        <w:t>(13)</w:t>
      </w:r>
      <w:r w:rsidRPr="003161DC">
        <w:tab/>
        <w:t xml:space="preserve">ERCOT shall recall ECRS deployment provided from </w:t>
      </w:r>
      <w:r w:rsidR="00C0477D">
        <w:t xml:space="preserve">a </w:t>
      </w:r>
      <w:r w:rsidRPr="003161DC">
        <w:t xml:space="preserve">Load Resource that is not a </w:t>
      </w:r>
      <w:r w:rsidR="00C67FF2">
        <w:t>CLR</w:t>
      </w:r>
      <w:r w:rsidRPr="003161DC">
        <w:t xml:space="preserve"> once PRC is above a pre-defined threshold, as described in the Operating Guides.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8280D" w14:paraId="7132A5B6" w14:textId="77777777" w:rsidTr="0058435E">
        <w:trPr>
          <w:trHeight w:val="206"/>
        </w:trPr>
        <w:tc>
          <w:tcPr>
            <w:tcW w:w="5000" w:type="pct"/>
            <w:shd w:val="pct12" w:color="auto" w:fill="auto"/>
          </w:tcPr>
          <w:p w14:paraId="3ED9934A" w14:textId="5CC9803F" w:rsidR="0038280D" w:rsidRDefault="0038280D" w:rsidP="0058435E">
            <w:pPr>
              <w:pStyle w:val="Instructions"/>
              <w:spacing w:before="120"/>
            </w:pPr>
            <w:bookmarkStart w:id="1287" w:name="_Toc397504977"/>
            <w:bookmarkStart w:id="1288" w:name="_Toc402357105"/>
            <w:bookmarkStart w:id="1289" w:name="_Toc422486485"/>
            <w:bookmarkStart w:id="1290" w:name="_Toc433093337"/>
            <w:bookmarkStart w:id="1291" w:name="_Toc433093495"/>
            <w:bookmarkStart w:id="1292" w:name="_Toc440874724"/>
            <w:bookmarkStart w:id="1293" w:name="_Toc448142279"/>
            <w:bookmarkStart w:id="1294" w:name="_Toc448142436"/>
            <w:bookmarkStart w:id="1295" w:name="_Toc458770272"/>
            <w:bookmarkStart w:id="1296" w:name="_Toc459294240"/>
            <w:bookmarkStart w:id="1297" w:name="_Toc463262733"/>
            <w:bookmarkStart w:id="1298" w:name="_Toc468286807"/>
            <w:bookmarkStart w:id="1299" w:name="_Toc481502853"/>
            <w:bookmarkStart w:id="1300" w:name="_Toc496080021"/>
            <w:bookmarkEnd w:id="1286"/>
            <w:r>
              <w:t>[</w:t>
            </w:r>
            <w:r w:rsidR="00F61076">
              <w:t>NPRR1010</w:t>
            </w:r>
            <w:r w:rsidR="006963EB">
              <w:t xml:space="preserve"> and NPRR1246</w:t>
            </w:r>
            <w:r>
              <w:t xml:space="preserve">:  </w:t>
            </w:r>
            <w:r w:rsidR="008611B7">
              <w:t>Replace</w:t>
            </w:r>
            <w:r w:rsidR="00F61076">
              <w:t xml:space="preserve"> </w:t>
            </w:r>
            <w:r>
              <w:t xml:space="preserve">Section 6.5.7.6.2.4 </w:t>
            </w:r>
            <w:r w:rsidR="008611B7">
              <w:t>above with the following</w:t>
            </w:r>
            <w:r w:rsidR="00F61076">
              <w:t xml:space="preserve"> upon system implementation of the Real-Time Co-Optimization (RTC) project</w:t>
            </w:r>
            <w:r>
              <w:t>:]</w:t>
            </w:r>
          </w:p>
          <w:p w14:paraId="3BF4667C" w14:textId="77777777" w:rsidR="0038280D" w:rsidRPr="0038280D" w:rsidRDefault="0038280D" w:rsidP="0038280D">
            <w:pPr>
              <w:keepNext/>
              <w:tabs>
                <w:tab w:val="left" w:pos="1800"/>
              </w:tabs>
              <w:spacing w:before="240" w:after="240"/>
              <w:ind w:left="1800" w:hanging="1800"/>
              <w:outlineLvl w:val="5"/>
              <w:rPr>
                <w:b/>
                <w:bCs/>
                <w:i/>
                <w:szCs w:val="22"/>
              </w:rPr>
            </w:pPr>
            <w:r w:rsidRPr="0038280D">
              <w:rPr>
                <w:b/>
                <w:bCs/>
                <w:szCs w:val="22"/>
              </w:rPr>
              <w:t>6.5.7.6.2.</w:t>
            </w:r>
            <w:r>
              <w:rPr>
                <w:b/>
                <w:bCs/>
                <w:szCs w:val="22"/>
              </w:rPr>
              <w:t>4</w:t>
            </w:r>
            <w:r w:rsidRPr="0038280D">
              <w:rPr>
                <w:b/>
                <w:bCs/>
                <w:i/>
                <w:szCs w:val="22"/>
              </w:rPr>
              <w:tab/>
            </w:r>
            <w:r w:rsidRPr="00885B78">
              <w:rPr>
                <w:b/>
                <w:bCs/>
                <w:szCs w:val="22"/>
              </w:rPr>
              <w:t>Deployment and Recall of ERCOT Contingency Reserve Service</w:t>
            </w:r>
          </w:p>
          <w:p w14:paraId="2A0C6C67" w14:textId="77777777" w:rsidR="0038280D" w:rsidRPr="0038280D" w:rsidRDefault="0038280D" w:rsidP="0038280D">
            <w:pPr>
              <w:spacing w:after="240"/>
              <w:ind w:left="720" w:hanging="720"/>
            </w:pPr>
            <w:r w:rsidRPr="0038280D">
              <w:t>(1)</w:t>
            </w:r>
            <w:r w:rsidRPr="0038280D">
              <w:tab/>
              <w:t>ECRS is intended to:</w:t>
            </w:r>
          </w:p>
          <w:p w14:paraId="39A77E97" w14:textId="77777777" w:rsidR="0038280D" w:rsidRPr="0038280D" w:rsidRDefault="0038280D" w:rsidP="0038280D">
            <w:pPr>
              <w:spacing w:after="240"/>
              <w:ind w:left="1440" w:hanging="720"/>
            </w:pPr>
            <w:r w:rsidRPr="0038280D">
              <w:t>(a)</w:t>
            </w:r>
            <w:r w:rsidRPr="0038280D">
              <w:tab/>
              <w:t>Help restore the frequency to 60 Hz within ten minutes of a significant frequency deviation;</w:t>
            </w:r>
          </w:p>
          <w:p w14:paraId="69B03228" w14:textId="2DBBF5FA" w:rsidR="0038280D" w:rsidRPr="0038280D" w:rsidRDefault="0038280D" w:rsidP="0038280D">
            <w:pPr>
              <w:spacing w:after="240"/>
              <w:ind w:left="1440" w:hanging="720"/>
            </w:pPr>
            <w:r w:rsidRPr="0038280D">
              <w:t>(b)</w:t>
            </w:r>
            <w:r w:rsidRPr="0038280D">
              <w:tab/>
              <w:t>Provide energy to avoid</w:t>
            </w:r>
            <w:r w:rsidR="00243207">
              <w:t>,</w:t>
            </w:r>
            <w:r w:rsidRPr="0038280D">
              <w:t xml:space="preserve"> or during the implementation of</w:t>
            </w:r>
            <w:r w:rsidR="00243207">
              <w:t>,</w:t>
            </w:r>
            <w:r w:rsidRPr="0038280D">
              <w:t xml:space="preserve"> an EEA;</w:t>
            </w:r>
          </w:p>
          <w:p w14:paraId="2781176D" w14:textId="78F95874" w:rsidR="0038280D" w:rsidRDefault="0038280D" w:rsidP="0038280D">
            <w:pPr>
              <w:spacing w:after="240"/>
              <w:ind w:left="1440" w:hanging="720"/>
            </w:pPr>
            <w:r w:rsidRPr="0038280D">
              <w:t>(c)</w:t>
            </w:r>
            <w:r w:rsidRPr="0038280D">
              <w:tab/>
              <w:t>Provide backup to Reg-Up</w:t>
            </w:r>
            <w:r w:rsidR="00F36EFF">
              <w:t>; and</w:t>
            </w:r>
          </w:p>
          <w:p w14:paraId="5A6FDF4E" w14:textId="1E08B145" w:rsidR="00F36EFF" w:rsidRPr="0038280D" w:rsidRDefault="00F36EFF" w:rsidP="0038280D">
            <w:pPr>
              <w:spacing w:after="240"/>
              <w:ind w:left="1440" w:hanging="720"/>
            </w:pPr>
            <w:r>
              <w:t>(d)</w:t>
            </w:r>
            <w:r w:rsidRPr="0038280D">
              <w:tab/>
            </w:r>
            <w:r>
              <w:t>Provide energy upon detection of insufficient available capacity for net load    ramps.</w:t>
            </w:r>
          </w:p>
          <w:p w14:paraId="1E6C83D8" w14:textId="083A5AD8" w:rsidR="0038280D" w:rsidRPr="0038280D" w:rsidRDefault="0038280D" w:rsidP="0038280D">
            <w:pPr>
              <w:spacing w:after="240"/>
              <w:ind w:left="720" w:hanging="720"/>
            </w:pPr>
            <w:r w:rsidRPr="0038280D">
              <w:t>(2)</w:t>
            </w:r>
            <w:r w:rsidRPr="0038280D">
              <w:tab/>
              <w:t xml:space="preserve">ERCOT shall deploy ECRS to meet NERC Standards and other performance criteria as specified in these Protocols and the Operating Guides by </w:t>
            </w:r>
            <w:r w:rsidR="00F87A8D">
              <w:t xml:space="preserve">taking </w:t>
            </w:r>
            <w:r w:rsidRPr="0038280D">
              <w:t>one or more of the following</w:t>
            </w:r>
            <w:r w:rsidR="00F87A8D">
              <w:t xml:space="preserve"> actions</w:t>
            </w:r>
            <w:r w:rsidRPr="0038280D">
              <w:t>:</w:t>
            </w:r>
          </w:p>
          <w:p w14:paraId="440AC7BD" w14:textId="276C5A24" w:rsidR="0038280D" w:rsidRPr="0038280D" w:rsidRDefault="0038280D" w:rsidP="0038280D">
            <w:pPr>
              <w:spacing w:after="240"/>
              <w:ind w:left="1440" w:hanging="720"/>
            </w:pPr>
            <w:r w:rsidRPr="0038280D">
              <w:t>(a)</w:t>
            </w:r>
            <w:r w:rsidRPr="0038280D">
              <w:tab/>
            </w:r>
            <w:r w:rsidR="00935574" w:rsidRPr="003161DC">
              <w:t xml:space="preserve">ERCOT shall issue </w:t>
            </w:r>
            <w:r w:rsidR="00935574">
              <w:t xml:space="preserve">ECRS </w:t>
            </w:r>
            <w:r w:rsidR="00935574" w:rsidRPr="003161DC">
              <w:t>deployment Dispatch Instructions</w:t>
            </w:r>
            <w:r w:rsidR="00935574">
              <w:t xml:space="preserve">, specifying the required MW output, </w:t>
            </w:r>
            <w:r w:rsidR="00935574" w:rsidRPr="003161DC">
              <w:t xml:space="preserve">over ICCP for Resources </w:t>
            </w:r>
            <w:r w:rsidR="00935574">
              <w:t>awarded ECRS with a Resource Status of ONSC.</w:t>
            </w:r>
          </w:p>
          <w:p w14:paraId="6C9D886E" w14:textId="3BEE7E38" w:rsidR="0038280D" w:rsidRPr="0038280D" w:rsidRDefault="0038280D" w:rsidP="0038280D">
            <w:pPr>
              <w:spacing w:after="240"/>
              <w:ind w:left="1440" w:hanging="720"/>
            </w:pPr>
            <w:r w:rsidRPr="0038280D">
              <w:lastRenderedPageBreak/>
              <w:t>(b)</w:t>
            </w:r>
            <w:r w:rsidRPr="0038280D">
              <w:tab/>
              <w:t xml:space="preserve">Dispatch Instruction for deployment of energy </w:t>
            </w:r>
            <w:r w:rsidR="00F87A8D">
              <w:t xml:space="preserve">from Load Resources </w:t>
            </w:r>
            <w:r w:rsidRPr="0038280D">
              <w:t>via electronic Messaging System.</w:t>
            </w:r>
          </w:p>
          <w:p w14:paraId="615A5BA9" w14:textId="6809FF5E" w:rsidR="0038280D" w:rsidRPr="0038280D" w:rsidRDefault="0038280D" w:rsidP="0038280D">
            <w:pPr>
              <w:spacing w:after="240"/>
              <w:ind w:left="720" w:hanging="720"/>
            </w:pPr>
            <w:r w:rsidRPr="0038280D">
              <w:t>(</w:t>
            </w:r>
            <w:r w:rsidR="00935574">
              <w:t>3</w:t>
            </w:r>
            <w:r w:rsidRPr="0038280D">
              <w:t>)</w:t>
            </w:r>
            <w:r w:rsidRPr="0038280D">
              <w:tab/>
              <w:t>Energy from Resources providing ECRS may also be manually deployed by ERCOT pursuant to Section 6.5.9, Emergency Operations.</w:t>
            </w:r>
          </w:p>
          <w:p w14:paraId="627B5F00" w14:textId="62969802" w:rsidR="0038280D" w:rsidRPr="0038280D" w:rsidRDefault="0038280D" w:rsidP="0038280D">
            <w:pPr>
              <w:spacing w:after="240"/>
              <w:ind w:left="720" w:hanging="720"/>
            </w:pPr>
            <w:r w:rsidRPr="0038280D">
              <w:t>(</w:t>
            </w:r>
            <w:r w:rsidR="00935574">
              <w:t>4</w:t>
            </w:r>
            <w:r w:rsidRPr="0038280D">
              <w:t>)</w:t>
            </w:r>
            <w:r w:rsidRPr="0038280D">
              <w:tab/>
              <w:t>ERCOT shall use SCED and Non-Spin as soon as practicable to recover ECRS reserves.</w:t>
            </w:r>
          </w:p>
          <w:p w14:paraId="31F85F76" w14:textId="1263C7A5" w:rsidR="0038280D" w:rsidRPr="0038280D" w:rsidRDefault="0038280D" w:rsidP="0038280D">
            <w:pPr>
              <w:spacing w:after="240"/>
              <w:ind w:left="720" w:hanging="720"/>
            </w:pPr>
            <w:r w:rsidRPr="0038280D">
              <w:t>(</w:t>
            </w:r>
            <w:r w:rsidR="00935574">
              <w:t>5</w:t>
            </w:r>
            <w:r w:rsidRPr="0038280D">
              <w:t>)</w:t>
            </w:r>
            <w:r w:rsidRPr="0038280D">
              <w:tab/>
              <w:t xml:space="preserve">Following a </w:t>
            </w:r>
            <w:r w:rsidR="00935574">
              <w:t xml:space="preserve">manual </w:t>
            </w:r>
            <w:r w:rsidRPr="0038280D">
              <w:t>ECRS deployment</w:t>
            </w:r>
            <w:r w:rsidR="00935574">
              <w:t xml:space="preserve"> to Load Resources, excluding </w:t>
            </w:r>
            <w:r w:rsidR="00C67FF2">
              <w:t>CLR</w:t>
            </w:r>
            <w:r w:rsidR="00935574">
              <w:t>s, or Resources telemetering a Resource Status of ONSC</w:t>
            </w:r>
            <w:r w:rsidRPr="0038280D">
              <w:t>, the QSE’s obligation to deliver ECRS remains in effect until ERCOT issues a recall instruction</w:t>
            </w:r>
            <w:r w:rsidRPr="0038280D">
              <w:rPr>
                <w:szCs w:val="24"/>
              </w:rPr>
              <w:t>.</w:t>
            </w:r>
          </w:p>
          <w:p w14:paraId="7969A6DA" w14:textId="47C2F017" w:rsidR="0038280D" w:rsidRPr="0038280D" w:rsidRDefault="0038280D" w:rsidP="0038280D">
            <w:pPr>
              <w:spacing w:after="240"/>
              <w:ind w:left="720" w:hanging="720"/>
            </w:pPr>
            <w:r w:rsidRPr="0038280D">
              <w:t>(</w:t>
            </w:r>
            <w:r w:rsidR="00935574">
              <w:t>6</w:t>
            </w:r>
            <w:r w:rsidRPr="0038280D">
              <w:t>)</w:t>
            </w:r>
            <w:r w:rsidRPr="0038280D">
              <w:tab/>
              <w:t>For Generation Resources</w:t>
            </w:r>
            <w:r w:rsidR="006963EB">
              <w:t>, ESRs,</w:t>
            </w:r>
            <w:r w:rsidRPr="0038280D">
              <w:t xml:space="preserve"> and </w:t>
            </w:r>
            <w:r w:rsidR="00C67FF2">
              <w:t>CLR</w:t>
            </w:r>
            <w:r w:rsidRPr="0038280D">
              <w:t xml:space="preserve">s providing ECRS, Base Points include ECRS energy as well as any other energy dispatched by SCED.  A Resource must be able to be fully dispatched by SCED to its ECRS Ancillary Service </w:t>
            </w:r>
            <w:r w:rsidR="00935574">
              <w:t>award</w:t>
            </w:r>
            <w:r w:rsidRPr="0038280D">
              <w:t xml:space="preserve"> within the ten-minute time frame according to its telemetered </w:t>
            </w:r>
            <w:r w:rsidR="00935574">
              <w:t>ramp rate that reflects the Resource’s capability of providing ECRS</w:t>
            </w:r>
            <w:r w:rsidRPr="0038280D">
              <w:t xml:space="preserve">. </w:t>
            </w:r>
          </w:p>
          <w:p w14:paraId="6532FAE5" w14:textId="52DE112C" w:rsidR="0038280D" w:rsidRPr="0038280D" w:rsidRDefault="0038280D" w:rsidP="0038280D">
            <w:pPr>
              <w:spacing w:after="240"/>
              <w:ind w:left="720" w:hanging="720"/>
            </w:pPr>
            <w:r w:rsidRPr="0038280D">
              <w:t>(</w:t>
            </w:r>
            <w:r w:rsidR="00935574">
              <w:t>7</w:t>
            </w:r>
            <w:r w:rsidRPr="0038280D">
              <w:t>)</w:t>
            </w:r>
            <w:r w:rsidRPr="0038280D">
              <w:tab/>
              <w:t xml:space="preserve">Each </w:t>
            </w:r>
            <w:r w:rsidR="00935574">
              <w:t>Resource</w:t>
            </w:r>
            <w:r w:rsidRPr="0038280D">
              <w:t xml:space="preserve"> providing ECRS shall meet the deployment performance requirements specified in Section 8.1.1.4.2, Responsive Reserve Energy Deployment Criteria.</w:t>
            </w:r>
          </w:p>
          <w:p w14:paraId="6FD00D36" w14:textId="3E1DBE2A" w:rsidR="0038280D" w:rsidRPr="0038280D" w:rsidRDefault="0038280D" w:rsidP="0038280D">
            <w:pPr>
              <w:spacing w:after="240"/>
              <w:ind w:left="720" w:hanging="720"/>
            </w:pPr>
            <w:r w:rsidRPr="0038280D">
              <w:t>(</w:t>
            </w:r>
            <w:r w:rsidR="00935574">
              <w:t>8</w:t>
            </w:r>
            <w:r w:rsidRPr="0038280D">
              <w:t>)</w:t>
            </w:r>
            <w:r w:rsidRPr="0038280D">
              <w:tab/>
              <w:t xml:space="preserve">ERCOT shall issue deployment instructions for Load Resources providing ECRS via XML.  Such instructions shall contain the MW requested.  </w:t>
            </w:r>
          </w:p>
          <w:p w14:paraId="1B97D1A5" w14:textId="7B2FBC8F" w:rsidR="0038280D" w:rsidRPr="0038280D" w:rsidRDefault="0038280D" w:rsidP="0038280D">
            <w:pPr>
              <w:spacing w:after="240"/>
              <w:ind w:left="720" w:hanging="720"/>
            </w:pPr>
            <w:r w:rsidRPr="0038280D">
              <w:t>(</w:t>
            </w:r>
            <w:r w:rsidR="00935574">
              <w:t>9</w:t>
            </w:r>
            <w:r w:rsidRPr="0038280D">
              <w:t xml:space="preserve">) </w:t>
            </w:r>
            <w:r w:rsidRPr="0038280D">
              <w:tab/>
              <w:t xml:space="preserve">To the extent that ERCOT deploys a Load Resource that is not a </w:t>
            </w:r>
            <w:r w:rsidR="00C67FF2">
              <w:t>CLR</w:t>
            </w:r>
            <w:r w:rsidRPr="0038280D">
              <w:t xml:space="preserve"> and that has chosen a block deployment option, ERCOT shall either deploy the entire Ancillary Service </w:t>
            </w:r>
            <w:r w:rsidR="00935574">
              <w:t>award</w:t>
            </w:r>
            <w:r w:rsidRPr="0038280D">
              <w:t xml:space="preserve"> or, if only partial deployment is possible, skip the Load Resource with the block deployment option and proceed to deploy the next available Resource.</w:t>
            </w:r>
          </w:p>
          <w:p w14:paraId="2A5278B1" w14:textId="52BC2EA5" w:rsidR="0038280D" w:rsidRPr="0038280D" w:rsidRDefault="0038280D" w:rsidP="0038280D">
            <w:pPr>
              <w:spacing w:after="240"/>
              <w:ind w:left="720" w:hanging="720"/>
            </w:pPr>
            <w:r w:rsidRPr="0038280D">
              <w:t>(1</w:t>
            </w:r>
            <w:r w:rsidR="00935574">
              <w:t>0</w:t>
            </w:r>
            <w:r w:rsidRPr="0038280D">
              <w:t>)</w:t>
            </w:r>
            <w:r w:rsidRPr="0038280D">
              <w:tab/>
              <w:t xml:space="preserve">ERCOT shall recall </w:t>
            </w:r>
            <w:r w:rsidR="00935574">
              <w:t>deployed ECRS capacity provided from Resource telemetering Resource Status of ONSC</w:t>
            </w:r>
            <w:r w:rsidR="00935574" w:rsidRPr="0038280D">
              <w:t xml:space="preserve"> </w:t>
            </w:r>
            <w:r w:rsidRPr="0038280D">
              <w:t>once system frequency recovers above 59.9</w:t>
            </w:r>
            <w:r w:rsidR="00935574">
              <w:t>8</w:t>
            </w:r>
            <w:r w:rsidRPr="0038280D">
              <w:t xml:space="preserve"> Hz. </w:t>
            </w:r>
          </w:p>
          <w:p w14:paraId="38ECD84C" w14:textId="68DCCB41" w:rsidR="0038280D" w:rsidRPr="00C3334D" w:rsidRDefault="0038280D" w:rsidP="0038280D">
            <w:pPr>
              <w:spacing w:after="240"/>
              <w:ind w:left="720" w:hanging="720"/>
            </w:pPr>
            <w:r w:rsidRPr="0038280D">
              <w:t>(1</w:t>
            </w:r>
            <w:r w:rsidR="00935574">
              <w:t>1</w:t>
            </w:r>
            <w:r w:rsidRPr="0038280D">
              <w:t>)</w:t>
            </w:r>
            <w:r w:rsidRPr="0038280D">
              <w:tab/>
              <w:t xml:space="preserve">ERCOT shall recall ECRS deployment provided from </w:t>
            </w:r>
            <w:r w:rsidR="00243207">
              <w:t xml:space="preserve">a </w:t>
            </w:r>
            <w:r w:rsidRPr="0038280D">
              <w:t xml:space="preserve">Load Resource that is not a </w:t>
            </w:r>
            <w:r w:rsidR="00C67FF2">
              <w:t>CLR</w:t>
            </w:r>
            <w:r w:rsidRPr="0038280D">
              <w:t xml:space="preserve"> once PRC is above a pre-defined threshold, as described in the Operating Guides.</w:t>
            </w:r>
          </w:p>
        </w:tc>
      </w:tr>
    </w:tbl>
    <w:p w14:paraId="3F0C299C" w14:textId="77777777" w:rsidR="001F04FD" w:rsidRDefault="001F04FD" w:rsidP="001F04FD">
      <w:pPr>
        <w:pStyle w:val="H4"/>
        <w:spacing w:before="480"/>
        <w:ind w:left="1267" w:hanging="1267"/>
      </w:pPr>
      <w:bookmarkStart w:id="1301" w:name="_Toc204411622"/>
      <w:r>
        <w:lastRenderedPageBreak/>
        <w:t>6.5.7.7</w:t>
      </w:r>
      <w:r>
        <w:tab/>
        <w:t>Voltage Support Service</w:t>
      </w:r>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p>
    <w:p w14:paraId="50A50E20" w14:textId="77777777" w:rsidR="00A02B41" w:rsidRDefault="00A02B41" w:rsidP="00A02B41">
      <w:pPr>
        <w:pStyle w:val="BodyTextNumbered"/>
      </w:pPr>
      <w:r>
        <w:t>(1)</w:t>
      </w:r>
      <w:r>
        <w:tab/>
        <w:t>ERCOT shall coordinate with TSPs the creation and maintenance of Voltage Profiles as described in Section 3.15, Voltage Support.</w:t>
      </w:r>
    </w:p>
    <w:p w14:paraId="671BD443" w14:textId="710CA58B" w:rsidR="00A02B41" w:rsidRDefault="00A02B41" w:rsidP="00A02B41">
      <w:pPr>
        <w:pStyle w:val="BodyTextNumbered"/>
      </w:pPr>
      <w:r>
        <w:t>(2)</w:t>
      </w:r>
      <w:r>
        <w:tab/>
      </w:r>
      <w:r w:rsidR="008D0217" w:rsidRPr="00742ABD">
        <w:t xml:space="preserve">ERCOT shall instruct </w:t>
      </w:r>
      <w:r w:rsidR="008D0217" w:rsidRPr="00742ABD">
        <w:rPr>
          <w:color w:val="000000"/>
        </w:rPr>
        <w:t>the interconnecting TSP, or the TSP’s agent,</w:t>
      </w:r>
      <w:r w:rsidR="008D0217" w:rsidRPr="00742ABD">
        <w:t xml:space="preserve"> to make Voltage Set Point adjustments, as necessary, within the Generation Resource’s </w:t>
      </w:r>
      <w:r w:rsidR="008D0217" w:rsidRPr="000649FA">
        <w:t xml:space="preserve">or </w:t>
      </w:r>
      <w:r w:rsidR="008D0217">
        <w:t>ESR’s Corrected</w:t>
      </w:r>
      <w:r w:rsidR="008D0217" w:rsidRPr="00742ABD">
        <w:t xml:space="preserve"> Unit Reactive Limit (</w:t>
      </w:r>
      <w:r w:rsidR="008D0217">
        <w:t>C</w:t>
      </w:r>
      <w:r w:rsidR="008D0217" w:rsidRPr="00742ABD">
        <w:t xml:space="preserve">URL) provided to ERCOT.  </w:t>
      </w:r>
      <w:r w:rsidR="008D0217" w:rsidRPr="00742ABD">
        <w:rPr>
          <w:color w:val="000000"/>
        </w:rPr>
        <w:t>The interconnecting TSP, or the TSP’s agent, shall instruct any QSE or Resource Entity representing a Generation Resource</w:t>
      </w:r>
      <w:r w:rsidR="008D0217">
        <w:rPr>
          <w:color w:val="000000"/>
        </w:rPr>
        <w:t xml:space="preserve"> </w:t>
      </w:r>
      <w:r w:rsidR="008D0217" w:rsidRPr="000649FA">
        <w:t>or ESR</w:t>
      </w:r>
      <w:r w:rsidR="008D0217" w:rsidRPr="00742ABD">
        <w:rPr>
          <w:color w:val="000000"/>
        </w:rPr>
        <w:t xml:space="preserve"> to make the Voltage Set Point adjustments instructed by ERCOT, or as the TSP determines to be necessary.  </w:t>
      </w:r>
      <w:r w:rsidR="008D0217" w:rsidRPr="00742ABD">
        <w:t>If ERCOT determines that a Generation Resource</w:t>
      </w:r>
      <w:r w:rsidR="008D0217">
        <w:t xml:space="preserve"> </w:t>
      </w:r>
      <w:r w:rsidR="008D0217" w:rsidRPr="000649FA">
        <w:t xml:space="preserve">or </w:t>
      </w:r>
      <w:r w:rsidR="008D0217" w:rsidRPr="000649FA">
        <w:lastRenderedPageBreak/>
        <w:t>ESR</w:t>
      </w:r>
      <w:r w:rsidR="008D0217" w:rsidRPr="00742ABD">
        <w:t xml:space="preserve"> should be instructed to provide additional MVAr beyond its URL or that a Generation Resource’s </w:t>
      </w:r>
      <w:r w:rsidR="008D0217" w:rsidRPr="000649FA">
        <w:t>or ESR</w:t>
      </w:r>
      <w:r w:rsidR="008D0217">
        <w:t>’s</w:t>
      </w:r>
      <w:r w:rsidR="008D0217" w:rsidRPr="00742ABD">
        <w:t xml:space="preserve"> real power output should be decreased to allow the Generation Resource</w:t>
      </w:r>
      <w:r w:rsidR="008D0217">
        <w:t xml:space="preserve"> </w:t>
      </w:r>
      <w:r w:rsidR="008D0217" w:rsidRPr="000649FA">
        <w:t>or ESR</w:t>
      </w:r>
      <w:r w:rsidR="008D0217" w:rsidRPr="00742ABD">
        <w:t xml:space="preserve"> to provide additional Reactive Power beyond the URL, ERCOT shall issue a Resource-specific Dispatch Instruction requiring any change in Reactive Power and/or real power output, except that ERCOT may not require a Generation Resource</w:t>
      </w:r>
      <w:r w:rsidR="008D0217">
        <w:t xml:space="preserve"> </w:t>
      </w:r>
      <w:r w:rsidR="008D0217" w:rsidRPr="000649FA">
        <w:t>or ESR</w:t>
      </w:r>
      <w:r w:rsidR="008D0217" w:rsidRPr="00742ABD">
        <w:t xml:space="preserve"> to exceed its </w:t>
      </w:r>
      <w:r w:rsidR="008D0217">
        <w:t>operational</w:t>
      </w:r>
      <w:r w:rsidR="008D0217" w:rsidRPr="00742ABD">
        <w:t xml:space="preserve"> limits.</w:t>
      </w:r>
    </w:p>
    <w:p w14:paraId="31AB0B19" w14:textId="083FED90" w:rsidR="00A02B41" w:rsidRDefault="00A02B41" w:rsidP="001E4447">
      <w:pPr>
        <w:pStyle w:val="BodyTextNumbered"/>
      </w:pPr>
      <w:r>
        <w:t>(3)</w:t>
      </w:r>
      <w:r>
        <w:tab/>
      </w:r>
      <w:r w:rsidR="008D0217" w:rsidRPr="00742ABD">
        <w:t xml:space="preserve">ERCOT and TSPs shall develop procedures for the operation of transmission-controlled reactive </w:t>
      </w:r>
      <w:r w:rsidR="008D0217">
        <w:t>equipment</w:t>
      </w:r>
      <w:r w:rsidR="008D0217" w:rsidRPr="00742ABD">
        <w:t xml:space="preserve"> in order to minimize the dependence on </w:t>
      </w:r>
      <w:r w:rsidR="008D0217" w:rsidRPr="000649FA">
        <w:t>Reactive Power supplied by Generation Resources and ESRs</w:t>
      </w:r>
      <w:r w:rsidR="008D0217" w:rsidRPr="00742ABD">
        <w:t>.  For Generation Resources</w:t>
      </w:r>
      <w:r w:rsidR="008D0217">
        <w:t xml:space="preserve"> and ESRs</w:t>
      </w:r>
      <w:r w:rsidR="008D0217" w:rsidRPr="00742ABD">
        <w:t xml:space="preserve"> required to provide Voltage Support Service (VSS), GSU transformer tap settings must be managed to maximize the use of the ERCOT System for all Market Participants while maintaining adequate reliability.</w:t>
      </w:r>
    </w:p>
    <w:p w14:paraId="09D5821F" w14:textId="3D75DF54" w:rsidR="00A02B41" w:rsidRDefault="00A02B41" w:rsidP="001E4447">
      <w:pPr>
        <w:pStyle w:val="BodyTextNumbered"/>
      </w:pPr>
      <w:r>
        <w:t>(4)</w:t>
      </w:r>
      <w:r>
        <w:tab/>
      </w:r>
      <w:r w:rsidR="008D0217" w:rsidRPr="00742ABD">
        <w:t xml:space="preserve">Each TSP, under ERCOT’s direction, is responsible for monitoring and ensuring that all Generation Resources </w:t>
      </w:r>
      <w:r w:rsidR="008D0217">
        <w:t>and ESRs</w:t>
      </w:r>
      <w:r w:rsidR="008D0217" w:rsidRPr="00742ABD">
        <w:t xml:space="preserve"> required to provide VSS have their dynamic reactive capability deployed in approximate proportion to their respective capability requirements.</w:t>
      </w:r>
    </w:p>
    <w:p w14:paraId="5EED900A" w14:textId="1FDA41A6" w:rsidR="001F04FD" w:rsidRDefault="00A02B41" w:rsidP="001E4447">
      <w:pPr>
        <w:pStyle w:val="BodyTextNumbered"/>
      </w:pPr>
      <w:r>
        <w:t>(5)</w:t>
      </w:r>
      <w:r>
        <w:tab/>
      </w:r>
      <w:r w:rsidR="008D0217" w:rsidRPr="00742ABD">
        <w:t>Each Generation Resource</w:t>
      </w:r>
      <w:r w:rsidR="008D0217">
        <w:t xml:space="preserve"> and ESR</w:t>
      </w:r>
      <w:r w:rsidR="008D0217" w:rsidRPr="00742ABD">
        <w:t xml:space="preserve"> required to provide VSS shall follow its Voltage Set Point as directed by ERCOT,</w:t>
      </w:r>
      <w:r w:rsidR="008D0217" w:rsidRPr="00742ABD">
        <w:rPr>
          <w:iCs/>
        </w:rPr>
        <w:t xml:space="preserve"> the interconnecting TSP, or the TSP’s agent</w:t>
      </w:r>
      <w:r w:rsidR="008D0217" w:rsidRPr="00742ABD">
        <w:t>, within the operating Reactive Power capability of the Generation Resource</w:t>
      </w:r>
      <w:r w:rsidR="008D0217">
        <w:t xml:space="preserve"> or ESR</w:t>
      </w:r>
      <w:r w:rsidR="008D0217" w:rsidRPr="00742ABD">
        <w:t>.</w:t>
      </w:r>
    </w:p>
    <w:p w14:paraId="5ABBB2FD" w14:textId="25D6D0FB" w:rsidR="00DE310B" w:rsidRDefault="00DE310B" w:rsidP="001E4447">
      <w:pPr>
        <w:pStyle w:val="BodyTextNumbered"/>
      </w:pPr>
      <w:r>
        <w:rPr>
          <w:color w:val="000000"/>
        </w:rPr>
        <w:t>(6)</w:t>
      </w:r>
      <w:r>
        <w:tab/>
      </w:r>
      <w:r w:rsidR="008D0217" w:rsidRPr="00742ABD">
        <w:rPr>
          <w:color w:val="000000"/>
        </w:rPr>
        <w:t>Each interconnecting TSP, or the TSP’s agent, shall telemeter via ICCP the Real-Time Voltage Set Point to ERCOT at the Point of Interconnection</w:t>
      </w:r>
      <w:r w:rsidR="008D0217">
        <w:rPr>
          <w:color w:val="000000"/>
        </w:rPr>
        <w:t xml:space="preserve"> Bus</w:t>
      </w:r>
      <w:r w:rsidR="008D0217" w:rsidRPr="00742ABD">
        <w:rPr>
          <w:color w:val="000000"/>
        </w:rPr>
        <w:t xml:space="preserve"> (POI</w:t>
      </w:r>
      <w:r w:rsidR="008D0217">
        <w:rPr>
          <w:color w:val="000000"/>
        </w:rPr>
        <w:t>B</w:t>
      </w:r>
      <w:r w:rsidR="008D0217" w:rsidRPr="00742ABD">
        <w:rPr>
          <w:color w:val="000000"/>
        </w:rPr>
        <w:t>) for each Generation Resource</w:t>
      </w:r>
      <w:r w:rsidR="008D0217">
        <w:rPr>
          <w:color w:val="000000"/>
        </w:rPr>
        <w:t xml:space="preserve"> </w:t>
      </w:r>
      <w:r w:rsidR="008D0217">
        <w:t>and ESRs</w:t>
      </w:r>
      <w:r w:rsidR="008D0217" w:rsidRPr="00742ABD">
        <w:rPr>
          <w:color w:val="000000"/>
        </w:rPr>
        <w:t xml:space="preserve"> interconnected to the TSP’s system</w:t>
      </w:r>
      <w:r w:rsidR="008D0217">
        <w:rPr>
          <w:color w:val="000000"/>
        </w:rPr>
        <w:t xml:space="preserve"> required to provide VSS</w:t>
      </w:r>
      <w:r w:rsidR="008D0217" w:rsidRPr="00742ABD">
        <w:rPr>
          <w:color w:val="000000"/>
        </w:rPr>
        <w:t>.  Each interconnecting TSP, or the TSP’s agent shall modify the telemetered Voltage Set Point to match any verbal Voltage Set Point instructions as soon as practicable.  ERCOT shall telemeter the Real-Time desired Voltage Set Point and the TSP-designated POI</w:t>
      </w:r>
      <w:r w:rsidR="008D0217">
        <w:rPr>
          <w:color w:val="000000"/>
        </w:rPr>
        <w:t>B</w:t>
      </w:r>
      <w:r w:rsidR="008D0217" w:rsidRPr="00742ABD">
        <w:rPr>
          <w:color w:val="000000"/>
        </w:rPr>
        <w:t xml:space="preserve"> kV measurement via ICCP to each QSE representing a Generation Resource</w:t>
      </w:r>
      <w:r w:rsidR="008D0217" w:rsidRPr="00F66E50">
        <w:t xml:space="preserve"> </w:t>
      </w:r>
      <w:r w:rsidR="008D0217">
        <w:t>or an ESR</w:t>
      </w:r>
      <w:r w:rsidR="008D0217" w:rsidRPr="00742ABD">
        <w:rPr>
          <w:color w:val="000000"/>
        </w:rPr>
        <w:t xml:space="preserve">.  Each QSE representing a Generation Resource </w:t>
      </w:r>
      <w:r w:rsidR="008D0217">
        <w:t>or an ESR</w:t>
      </w:r>
      <w:r w:rsidR="008D0217" w:rsidRPr="00742ABD">
        <w:t xml:space="preserve"> </w:t>
      </w:r>
      <w:r w:rsidR="008D0217" w:rsidRPr="00742ABD">
        <w:rPr>
          <w:color w:val="000000"/>
        </w:rPr>
        <w:t>shall provide in Real-Time the desired Voltage Set Point and the associated POI</w:t>
      </w:r>
      <w:r w:rsidR="008D0217">
        <w:rPr>
          <w:color w:val="000000"/>
        </w:rPr>
        <w:t>B</w:t>
      </w:r>
      <w:r w:rsidR="008D0217" w:rsidRPr="00742ABD">
        <w:rPr>
          <w:color w:val="000000"/>
        </w:rPr>
        <w:t xml:space="preserve"> kV measurement provided by ERCOT to the Resource Entity for that Generation Resource</w:t>
      </w:r>
      <w:r w:rsidR="008D0217">
        <w:rPr>
          <w:color w:val="000000"/>
        </w:rPr>
        <w:t xml:space="preserve"> </w:t>
      </w:r>
      <w:r w:rsidR="008D0217">
        <w:t>or ESR</w:t>
      </w:r>
      <w:r w:rsidR="008D0217" w:rsidRPr="00742ABD">
        <w:rPr>
          <w:color w:val="000000"/>
        </w:rPr>
        <w:t>.</w:t>
      </w:r>
    </w:p>
    <w:p w14:paraId="6DCE6834" w14:textId="77777777" w:rsidR="001F04FD" w:rsidRDefault="001F04FD" w:rsidP="001E4447">
      <w:pPr>
        <w:pStyle w:val="H4"/>
        <w:ind w:left="1267" w:hanging="1267"/>
      </w:pPr>
      <w:bookmarkStart w:id="1302" w:name="_Toc73216018"/>
      <w:bookmarkStart w:id="1303" w:name="_Toc397504978"/>
      <w:bookmarkStart w:id="1304" w:name="_Toc402357106"/>
      <w:bookmarkStart w:id="1305" w:name="_Toc422486486"/>
      <w:bookmarkStart w:id="1306" w:name="_Toc433093338"/>
      <w:bookmarkStart w:id="1307" w:name="_Toc433093496"/>
      <w:bookmarkStart w:id="1308" w:name="_Toc440874725"/>
      <w:bookmarkStart w:id="1309" w:name="_Toc448142280"/>
      <w:bookmarkStart w:id="1310" w:name="_Toc448142437"/>
      <w:bookmarkStart w:id="1311" w:name="_Toc458770274"/>
      <w:bookmarkStart w:id="1312" w:name="_Toc459294242"/>
      <w:bookmarkStart w:id="1313" w:name="_Toc463262735"/>
      <w:bookmarkStart w:id="1314" w:name="_Toc468286808"/>
      <w:bookmarkStart w:id="1315" w:name="_Toc481502854"/>
      <w:bookmarkStart w:id="1316" w:name="_Toc496080022"/>
      <w:bookmarkStart w:id="1317" w:name="_Toc204411623"/>
      <w:r>
        <w:t>6.5.7.8</w:t>
      </w:r>
      <w:r>
        <w:tab/>
        <w:t>Dispatch Procedures</w:t>
      </w:r>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14:paraId="228079FE" w14:textId="77777777" w:rsidR="001F04FD" w:rsidRPr="000149E5" w:rsidRDefault="001F04FD" w:rsidP="001F04FD">
      <w:pPr>
        <w:pStyle w:val="BodyTextNumbered"/>
        <w:rPr>
          <w:iCs/>
        </w:rPr>
      </w:pPr>
      <w:r w:rsidRPr="000149E5">
        <w:rPr>
          <w:iCs/>
        </w:rPr>
        <w:t>(1)</w:t>
      </w:r>
      <w:r w:rsidRPr="000149E5">
        <w:rPr>
          <w:iCs/>
        </w:rPr>
        <w:tab/>
        <w:t xml:space="preserve">ERCOT shall issue all Resource Dispatch Instructions to the QSE that represents the affected Resource.  </w:t>
      </w:r>
      <w:r>
        <w:rPr>
          <w:iCs/>
        </w:rPr>
        <w:t xml:space="preserve">ERCOT and QSEs are responsible for complying with Dispatch Instructions as prescribed in the Nodal Operating Guides.  </w:t>
      </w:r>
      <w:r w:rsidRPr="000149E5">
        <w:t xml:space="preserve">A QSE may provide a Resource Status of ONTEST for a Generation Resource not providing Ancillary Services to indicate that the Resource is currently undergoing unit testing and is blocked from SCED Dispatch.  A QSE may provide a Resource Status of STARTUP for a Generation Resource not providing Ancillary Services to indicate that the Resource is currently undergoing a start-up sequence which requires manual control below or above its telemetered LSL to stabilize the Resource prior to its availability for SCED Dispatch.  Generation Resources with a Resource Status of ONTEST will be provided a Base Point equal to the net real power telemetry at the time of the SCED execution.  </w:t>
      </w:r>
      <w:r w:rsidRPr="000149E5">
        <w:rPr>
          <w:iCs/>
        </w:rPr>
        <w:t xml:space="preserve">ERCOT may </w:t>
      </w:r>
      <w:r w:rsidRPr="000149E5">
        <w:rPr>
          <w:iCs/>
        </w:rPr>
        <w:lastRenderedPageBreak/>
        <w:t>not issue Dispatch Instructions to the QSE for Generation Resources with a Resource Status of ONTEST except: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963EB" w14:paraId="0257BDA6" w14:textId="77777777" w:rsidTr="004E6E12">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6E7A82C7" w14:textId="1C5112D8" w:rsidR="006963EB" w:rsidRDefault="006963EB" w:rsidP="004E6E12">
            <w:pPr>
              <w:pStyle w:val="Instructions"/>
              <w:spacing w:before="120"/>
            </w:pPr>
            <w:r>
              <w:t>[NPRR1246:  Replace paragraph (1) above with the following upon system implementation of the Real-Time Co-Optimization (RTC) project:]</w:t>
            </w:r>
          </w:p>
          <w:p w14:paraId="6CF807FF" w14:textId="2CC8CC13" w:rsidR="006963EB" w:rsidRPr="006963EB" w:rsidRDefault="006963EB" w:rsidP="006963EB">
            <w:pPr>
              <w:spacing w:after="240"/>
              <w:ind w:left="720" w:hanging="720"/>
              <w:rPr>
                <w:iCs/>
              </w:rPr>
            </w:pPr>
            <w:r w:rsidRPr="00452178">
              <w:rPr>
                <w:iCs/>
              </w:rPr>
              <w:t>(1)</w:t>
            </w:r>
            <w:r w:rsidRPr="00452178">
              <w:rPr>
                <w:iCs/>
              </w:rPr>
              <w:tab/>
              <w:t xml:space="preserve">ERCOT shall issue all Resource Dispatch Instructions to the QSE that represents the affected Resource.  ERCOT and QSEs are responsible for complying with Dispatch Instructions as prescribed in the Nodal Operating Guides.  </w:t>
            </w:r>
            <w:r w:rsidRPr="00452178">
              <w:t xml:space="preserve">A QSE may provide a Resource Status of ONTEST for a Generation Resource </w:t>
            </w:r>
            <w:r>
              <w:t xml:space="preserve">or ESR </w:t>
            </w:r>
            <w:r w:rsidRPr="00452178">
              <w:t xml:space="preserve">not providing Ancillary Services to indicate that the Resource is currently undergoing unit testing and is blocked from SCED Dispatch.  A QSE may provide a Resource Status of STARTUP for a Generation Resource </w:t>
            </w:r>
            <w:r>
              <w:t>or ESR</w:t>
            </w:r>
            <w:r w:rsidRPr="00452178">
              <w:t xml:space="preserve"> not providing Ancillary Services to indicate that the Resource is currently undergoing a start-up sequence which requires manual control below or above its telemetered LSL to stabilize the Resource prior to its availability for SCED Dispatch.  Generation Resources </w:t>
            </w:r>
            <w:r>
              <w:t>and ESRs</w:t>
            </w:r>
            <w:r w:rsidRPr="00452178">
              <w:t xml:space="preserve"> with a Resource Status of ONTEST will be provided a Base Point equal to the net real power telemetry at the time of the SCED execution.  </w:t>
            </w:r>
            <w:r w:rsidRPr="00452178">
              <w:rPr>
                <w:iCs/>
              </w:rPr>
              <w:t xml:space="preserve">ERCOT may not issue Dispatch Instructions to the QSE for Generation Resources </w:t>
            </w:r>
            <w:r>
              <w:t>or ESRs</w:t>
            </w:r>
            <w:r w:rsidRPr="00452178">
              <w:rPr>
                <w:iCs/>
              </w:rPr>
              <w:t xml:space="preserve"> with a Resource Status of ONTEST except:</w:t>
            </w:r>
          </w:p>
        </w:tc>
      </w:tr>
    </w:tbl>
    <w:p w14:paraId="35D4DCB7" w14:textId="650695FC" w:rsidR="001F04FD" w:rsidRDefault="001F04FD" w:rsidP="00DD0A69">
      <w:pPr>
        <w:pStyle w:val="List"/>
        <w:spacing w:before="240"/>
      </w:pPr>
      <w:r>
        <w:t>(a)</w:t>
      </w:r>
      <w:r>
        <w:tab/>
        <w:t>For Dispatch Instructions that are a part of testing; or</w:t>
      </w:r>
    </w:p>
    <w:p w14:paraId="42243158" w14:textId="77777777" w:rsidR="001F04FD" w:rsidRDefault="001F04FD" w:rsidP="001F04FD">
      <w:pPr>
        <w:pStyle w:val="List"/>
      </w:pPr>
      <w:r>
        <w:t>(b)</w:t>
      </w:r>
      <w:r>
        <w:tab/>
        <w:t>During conditions when the Resource is the only alternative for solving a transmission constraint; or</w:t>
      </w:r>
    </w:p>
    <w:p w14:paraId="0185E725" w14:textId="77777777" w:rsidR="001F04FD" w:rsidRDefault="001F04FD" w:rsidP="001F04FD">
      <w:pPr>
        <w:pStyle w:val="List"/>
      </w:pPr>
      <w:r>
        <w:t>(c)</w:t>
      </w:r>
      <w:r>
        <w:tab/>
        <w:t>During Force Majeure Events that threaten the reliability of the ERCOT System.</w:t>
      </w:r>
    </w:p>
    <w:p w14:paraId="090138AF" w14:textId="77777777" w:rsidR="001F04FD" w:rsidRDefault="001F04FD" w:rsidP="001F04FD">
      <w:pPr>
        <w:pStyle w:val="BodyTextNumbered"/>
      </w:pPr>
      <w:r>
        <w:t>(2)</w:t>
      </w:r>
      <w:r>
        <w:tab/>
        <w:t>Each QSE shall immediately forward any valid Dispatch Instruction to the appropriate Resource or group of Resources or identify a reason for non-compliance with the Dispatch Instruction to ERCOT in accordance with Section 6.5.7.9, Compliance with Dispatch Instructions.</w:t>
      </w:r>
    </w:p>
    <w:p w14:paraId="0EE83492" w14:textId="77777777" w:rsidR="001F04FD" w:rsidRDefault="001F04FD" w:rsidP="001F04FD">
      <w:pPr>
        <w:pStyle w:val="BodyTextNumbered"/>
      </w:pPr>
      <w:r>
        <w:t>(3)</w:t>
      </w:r>
      <w:r>
        <w:tab/>
        <w:t>If ERCOT believes that a Resource has inadequately responded to a Dispatch Instruction, ERCOT shall notify the QSE representing the Resource as soon as practicable.</w:t>
      </w:r>
    </w:p>
    <w:p w14:paraId="7D357D58" w14:textId="77777777" w:rsidR="001F04FD" w:rsidRDefault="001F04FD" w:rsidP="001F04FD">
      <w:pPr>
        <w:pStyle w:val="BodyTextNumbered"/>
      </w:pPr>
      <w:r>
        <w:t>(4)</w:t>
      </w:r>
      <w:r>
        <w:tab/>
        <w:t>ERCOT shall record all voice conversations that occur in the communication of Verbal Dispatch Instructions (VDIs).</w:t>
      </w:r>
    </w:p>
    <w:p w14:paraId="0816994A" w14:textId="14C844B6" w:rsidR="001F04FD" w:rsidRDefault="001F04FD" w:rsidP="001F04FD">
      <w:pPr>
        <w:pStyle w:val="BodyTextNumbered"/>
      </w:pPr>
      <w:r>
        <w:t>(5)</w:t>
      </w:r>
      <w:r>
        <w:tab/>
        <w:t xml:space="preserve">By mutual agreement of the TSP and ERCOT, Dispatch Instructions to the TSP may be provided to the TSP’s </w:t>
      </w:r>
      <w:r w:rsidR="00E4388D">
        <w:t>TO</w:t>
      </w:r>
      <w:r>
        <w:t xml:space="preserve">.  In that case, issuance of the Dispatch Instruction to the </w:t>
      </w:r>
      <w:r w:rsidR="00E4388D">
        <w:t>TO</w:t>
      </w:r>
      <w:r>
        <w:t xml:space="preserve"> is considered issuance to the TSP, and the TSP must comply with the Dispatch Instruction exactly as if it had been issued directly to the TSP, whether or not the </w:t>
      </w:r>
      <w:r w:rsidR="00E4388D">
        <w:t>TO</w:t>
      </w:r>
      <w:r>
        <w:t xml:space="preserve"> accurately conveys the Dispatch Instruction to the TSP.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5FE8B099" w14:textId="77777777" w:rsidTr="004510FA">
        <w:trPr>
          <w:trHeight w:val="926"/>
        </w:trPr>
        <w:tc>
          <w:tcPr>
            <w:tcW w:w="9576" w:type="dxa"/>
            <w:shd w:val="pct12" w:color="auto" w:fill="auto"/>
          </w:tcPr>
          <w:p w14:paraId="66034E93" w14:textId="11CDE0D7" w:rsidR="00094CCC" w:rsidRDefault="00094CCC" w:rsidP="004510FA">
            <w:pPr>
              <w:pStyle w:val="Instructions"/>
              <w:spacing w:before="120"/>
            </w:pPr>
            <w:r>
              <w:lastRenderedPageBreak/>
              <w:t>[NPRR857:  Replace paragraph (5)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7EA3B11" w14:textId="5A2F0BF2" w:rsidR="00094CCC" w:rsidRPr="00B37C4B" w:rsidRDefault="00094CCC" w:rsidP="00E4388D">
            <w:pPr>
              <w:spacing w:after="240"/>
              <w:ind w:left="720" w:hanging="720"/>
            </w:pPr>
            <w:r w:rsidRPr="00E55E72">
              <w:t>(5)</w:t>
            </w:r>
            <w:r w:rsidRPr="00E55E72">
              <w:tab/>
              <w:t xml:space="preserve">By mutual agreement of the TSP, DCTO, and ERCOT, Dispatch Instructions to the TSP or DCTO may be provided to the TSP’s or DCTO’s </w:t>
            </w:r>
            <w:r w:rsidR="00E4388D">
              <w:t>Transmission Operator (TO)</w:t>
            </w:r>
            <w:r w:rsidRPr="00E55E72">
              <w:t xml:space="preserve">.  In that case, issuance of the Dispatch Instruction to the </w:t>
            </w:r>
            <w:r w:rsidR="00E4388D">
              <w:t>TO</w:t>
            </w:r>
            <w:r w:rsidRPr="00E55E72">
              <w:t xml:space="preserve"> is considered issuance to the TSP or DCTO, and the TSP or DCTO must comply with the Dispatch Instruction exactly as if it had been issued directly to the TSP or DCTO, whether or not the </w:t>
            </w:r>
            <w:r w:rsidR="00E4388D">
              <w:t>TO</w:t>
            </w:r>
            <w:r w:rsidRPr="00E55E72">
              <w:t xml:space="preserve"> accurately conveys the Dispatch Instruction to the TSP or DCTO</w:t>
            </w:r>
            <w:r>
              <w:t>.</w:t>
            </w:r>
          </w:p>
        </w:tc>
      </w:tr>
    </w:tbl>
    <w:p w14:paraId="7CCBCAF9" w14:textId="77777777" w:rsidR="001F04FD" w:rsidRDefault="001F04FD" w:rsidP="0099247E">
      <w:pPr>
        <w:pStyle w:val="BodyTextNumbered"/>
        <w:spacing w:before="240"/>
      </w:pPr>
      <w:r w:rsidRPr="00812C88">
        <w:rPr>
          <w:iCs/>
        </w:rPr>
        <w:t>(</w:t>
      </w:r>
      <w:r>
        <w:rPr>
          <w:iCs/>
        </w:rPr>
        <w:t>6</w:t>
      </w:r>
      <w:r w:rsidRPr="00812C88">
        <w:rPr>
          <w:iCs/>
        </w:rPr>
        <w:t>)</w:t>
      </w:r>
      <w:r w:rsidRPr="00812C88">
        <w:rPr>
          <w:iCs/>
        </w:rPr>
        <w:tab/>
        <w:t xml:space="preserve">ERCOT </w:t>
      </w:r>
      <w:r>
        <w:rPr>
          <w:iCs/>
        </w:rPr>
        <w:t>shall</w:t>
      </w:r>
      <w:r w:rsidRPr="00812C88">
        <w:rPr>
          <w:iCs/>
        </w:rPr>
        <w:t xml:space="preserve"> direct </w:t>
      </w:r>
      <w:r>
        <w:rPr>
          <w:iCs/>
        </w:rPr>
        <w:t xml:space="preserve">VDIs </w:t>
      </w:r>
      <w:r w:rsidRPr="00812C88">
        <w:rPr>
          <w:iCs/>
        </w:rPr>
        <w:t>to the Master QSE of a Generation Resource that has been split to function as two or more Split Generation Resources as deemed necessary by ERCOT to effectuate actions for the total Generation Resource</w:t>
      </w:r>
      <w:r>
        <w:rPr>
          <w:iCs/>
        </w:rPr>
        <w:t xml:space="preserve"> for </w:t>
      </w:r>
      <w:r w:rsidRPr="00657A59">
        <w:rPr>
          <w:iCs/>
        </w:rPr>
        <w:t xml:space="preserve">instances </w:t>
      </w:r>
      <w:r w:rsidRPr="008E254D">
        <w:rPr>
          <w:iCs/>
        </w:rPr>
        <w:t>in which</w:t>
      </w:r>
      <w:r>
        <w:rPr>
          <w:iCs/>
        </w:rPr>
        <w:t xml:space="preserve"> </w:t>
      </w:r>
      <w:r w:rsidRPr="00657A59">
        <w:rPr>
          <w:iCs/>
        </w:rPr>
        <w:t xml:space="preserve">electronic </w:t>
      </w:r>
      <w:r>
        <w:rPr>
          <w:iCs/>
        </w:rPr>
        <w:t>i</w:t>
      </w:r>
      <w:r w:rsidRPr="00657A59">
        <w:rPr>
          <w:iCs/>
        </w:rPr>
        <w:t>nstructions are not feasible</w:t>
      </w:r>
      <w:r w:rsidRPr="00812C88">
        <w:rPr>
          <w:iCs/>
        </w:rPr>
        <w:t>.</w:t>
      </w:r>
    </w:p>
    <w:p w14:paraId="3136BA27" w14:textId="77777777" w:rsidR="001F04FD" w:rsidRDefault="001F04FD" w:rsidP="001F04FD">
      <w:pPr>
        <w:pStyle w:val="H4"/>
        <w:spacing w:before="480"/>
        <w:ind w:left="1267" w:hanging="1267"/>
      </w:pPr>
      <w:bookmarkStart w:id="1318" w:name="_Toc73216019"/>
      <w:bookmarkStart w:id="1319" w:name="_Toc397504979"/>
      <w:bookmarkStart w:id="1320" w:name="_Toc402357107"/>
      <w:bookmarkStart w:id="1321" w:name="_Toc422486487"/>
      <w:bookmarkStart w:id="1322" w:name="_Toc433093339"/>
      <w:bookmarkStart w:id="1323" w:name="_Toc433093497"/>
      <w:bookmarkStart w:id="1324" w:name="_Toc440874726"/>
      <w:bookmarkStart w:id="1325" w:name="_Toc448142281"/>
      <w:bookmarkStart w:id="1326" w:name="_Toc448142438"/>
      <w:bookmarkStart w:id="1327" w:name="_Toc458770275"/>
      <w:bookmarkStart w:id="1328" w:name="_Toc459294243"/>
      <w:bookmarkStart w:id="1329" w:name="_Toc463262736"/>
      <w:bookmarkStart w:id="1330" w:name="_Toc468286809"/>
      <w:bookmarkStart w:id="1331" w:name="_Toc481502855"/>
      <w:bookmarkStart w:id="1332" w:name="_Toc496080023"/>
      <w:bookmarkStart w:id="1333" w:name="_Toc204411624"/>
      <w:r>
        <w:t>6.5.7.9</w:t>
      </w:r>
      <w:r>
        <w:tab/>
        <w:t>Compliance with Dispatch Instructions</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p>
    <w:p w14:paraId="1B904236" w14:textId="77777777" w:rsidR="001F04FD" w:rsidRDefault="001F04FD" w:rsidP="001F04FD">
      <w:pPr>
        <w:pStyle w:val="BodyTextNumbered"/>
      </w:pPr>
      <w:r>
        <w:t>(1)</w:t>
      </w:r>
      <w:r>
        <w:tab/>
        <w:t>Except as otherwise specified in this Section, each TSP and each QSE shall comply fully and promptly with a Dispatch Instruction issued to it, unless in the sole and reasonable judgment of the TSP or QSE, such compliance would create an undue threat to safety, undue risk of bodily harm or undue damage to equipment, or the Dispatch Instruction is otherwise not in compliance with these Protocols.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6B9E9AC5" w14:textId="77777777" w:rsidTr="004510FA">
        <w:trPr>
          <w:trHeight w:val="926"/>
        </w:trPr>
        <w:tc>
          <w:tcPr>
            <w:tcW w:w="9576" w:type="dxa"/>
            <w:shd w:val="pct12" w:color="auto" w:fill="auto"/>
          </w:tcPr>
          <w:p w14:paraId="0848D582" w14:textId="18B28DEA" w:rsidR="00094CCC" w:rsidRDefault="00094CCC" w:rsidP="004510FA">
            <w:pPr>
              <w:pStyle w:val="Instructions"/>
              <w:spacing w:before="120"/>
            </w:pPr>
            <w:r>
              <w:t>[NPRR857:  Replace paragraph (1)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6D337F11" w14:textId="77777777" w:rsidR="00094CCC" w:rsidRPr="00B37C4B" w:rsidRDefault="00094CCC" w:rsidP="00094CCC">
            <w:pPr>
              <w:spacing w:after="240"/>
              <w:ind w:left="720" w:hanging="720"/>
            </w:pPr>
            <w:r w:rsidRPr="00E55E72">
              <w:t>(1)</w:t>
            </w:r>
            <w:r w:rsidRPr="00E55E72">
              <w:tab/>
              <w:t>Except as otherwise specified in this Section, each TSP, DCTO, and QSE shall comply fully and promptly with a Dispatch Instruction issued to it, unless in the sole and reasonable judgment of the TSP, DCTO, or QSE, such compliance would create an undue threat to safety, undue risk of bodily harm or undue damage to equipment, or the Dispatch Instruction is otherwise not in compliance with t</w:t>
            </w:r>
            <w:r>
              <w:t>hese Protocols.</w:t>
            </w:r>
          </w:p>
        </w:tc>
      </w:tr>
    </w:tbl>
    <w:p w14:paraId="3EA4717A" w14:textId="77777777" w:rsidR="001F04FD" w:rsidRDefault="001F04FD" w:rsidP="0099247E">
      <w:pPr>
        <w:pStyle w:val="BodyTextNumbered"/>
        <w:spacing w:before="240"/>
      </w:pPr>
      <w:r>
        <w:lastRenderedPageBreak/>
        <w:t>(2)</w:t>
      </w:r>
      <w:r>
        <w:tab/>
        <w:t>If the recipient of a Dispatch Instruction does not comply because in the sole and reasonable judgment of the TSP or QSE, such compliance would create an undue threat to safety, undue risk of bodily harm, or undue damage to equipment, then the TSP or QSE must immediately notify ERCOT and provide the reason for non-compliance.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5990934E" w14:textId="77777777" w:rsidTr="004510FA">
        <w:trPr>
          <w:trHeight w:val="926"/>
        </w:trPr>
        <w:tc>
          <w:tcPr>
            <w:tcW w:w="9576" w:type="dxa"/>
            <w:shd w:val="pct12" w:color="auto" w:fill="auto"/>
          </w:tcPr>
          <w:p w14:paraId="45A21D2D" w14:textId="7D20211A" w:rsidR="00094CCC" w:rsidRDefault="00094CCC" w:rsidP="004510FA">
            <w:pPr>
              <w:pStyle w:val="Instructions"/>
              <w:spacing w:before="120"/>
            </w:pPr>
            <w:r>
              <w:t>[NPRR857:  Replace paragraph (2)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7746289A" w14:textId="77777777" w:rsidR="00094CCC" w:rsidRPr="00B37C4B" w:rsidRDefault="00094CCC" w:rsidP="00094CCC">
            <w:pPr>
              <w:spacing w:after="240"/>
              <w:ind w:left="720" w:hanging="720"/>
            </w:pPr>
            <w:r w:rsidRPr="00E55E72">
              <w:t>(2)</w:t>
            </w:r>
            <w:r w:rsidRPr="00E55E72">
              <w:tab/>
              <w:t>If the recipient of a Dispatch Instruction does not comply because in the sole and reasonable judgment of the TSP, DCTO, or QSE, such compliance would create an undue threat to safety, undue risk of bodily harm, or undue damage to equipment, then the TSP, DCTO, or QSE must immediately notify ERCOT and provide</w:t>
            </w:r>
            <w:r>
              <w:t xml:space="preserve"> the reason for non-compliance.</w:t>
            </w:r>
          </w:p>
        </w:tc>
      </w:tr>
    </w:tbl>
    <w:p w14:paraId="1A6FFED1" w14:textId="77777777" w:rsidR="001F04FD" w:rsidRDefault="001F04FD" w:rsidP="0099247E">
      <w:pPr>
        <w:pStyle w:val="BodyTextNumbered"/>
        <w:spacing w:before="240"/>
      </w:pPr>
      <w:r>
        <w:t>(3)</w:t>
      </w:r>
      <w:r>
        <w:tab/>
        <w:t>If the recipient of a Dispatch Instruction recognizes that the Dispatch Instruction conflicts with other valid instructions or is invalid, the recipient shall immediately notify ERCOT of the conflict and request resolution.  ERCOT shall resolve the conflict by issuing another Dispatch Instruction.</w:t>
      </w:r>
    </w:p>
    <w:p w14:paraId="558F457B" w14:textId="77777777" w:rsidR="001F04FD" w:rsidRDefault="001F04FD" w:rsidP="001F04FD">
      <w:pPr>
        <w:pStyle w:val="BodyTextNumbered"/>
      </w:pPr>
      <w:r>
        <w:t>(4)</w:t>
      </w:r>
      <w:r>
        <w:tab/>
        <w:t>ERCOT’s final Dispatch Instruction to a QSE in effect applies for all Protocol-related processes.  If the QSE does not comply after receiving the final Dispatch Instruction, the QSE remains liable for failure to meet its obligations under the Protocols and remains liable for any charges resulting from such failure.</w:t>
      </w:r>
    </w:p>
    <w:p w14:paraId="74696A4E" w14:textId="77777777" w:rsidR="001F04FD" w:rsidRDefault="001F04FD" w:rsidP="001F04FD">
      <w:pPr>
        <w:pStyle w:val="BodyTextNumbered"/>
      </w:pPr>
      <w:r>
        <w:t>(5)</w:t>
      </w:r>
      <w:r>
        <w:tab/>
        <w:t>ERCOT’s final Dispatch Instruction to a TSP in effect applies for all Protocol-related processes.  If the TSP does not comply after receiving the final Dispatch Instruction, the TSP remains liable for such failure under these Protocols under the TSP’s Agreement with ERCOT.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5E6A9860" w14:textId="77777777" w:rsidTr="004510FA">
        <w:trPr>
          <w:trHeight w:val="926"/>
        </w:trPr>
        <w:tc>
          <w:tcPr>
            <w:tcW w:w="9576" w:type="dxa"/>
            <w:shd w:val="pct12" w:color="auto" w:fill="auto"/>
          </w:tcPr>
          <w:p w14:paraId="0B201E63" w14:textId="07007617" w:rsidR="00094CCC" w:rsidRDefault="00094CCC" w:rsidP="004510FA">
            <w:pPr>
              <w:pStyle w:val="Instructions"/>
              <w:spacing w:before="120"/>
            </w:pPr>
            <w:r>
              <w:t>[NPRR857:  Replace paragraph (5)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6A3A6CBE" w14:textId="77777777" w:rsidR="00094CCC" w:rsidRPr="00B37C4B" w:rsidRDefault="00094CCC" w:rsidP="00094CCC">
            <w:pPr>
              <w:spacing w:after="240"/>
              <w:ind w:left="720" w:hanging="720"/>
            </w:pPr>
            <w:r w:rsidRPr="00E55E72">
              <w:t>(5)</w:t>
            </w:r>
            <w:r w:rsidRPr="00E55E72">
              <w:tab/>
              <w:t xml:space="preserve">ERCOT’s final Dispatch Instruction to a TSP or DCTO in effect applies for all Protocol-related processes.  If the TSP or DCTO does not comply after receiving the </w:t>
            </w:r>
            <w:r w:rsidRPr="00E55E72">
              <w:lastRenderedPageBreak/>
              <w:t>final Dispatch Instruction, the TSP or DCTO remains liable for such failure under these Protocols under the TSP’s or DCTO’s Agre</w:t>
            </w:r>
            <w:r>
              <w:t>ement with ERCOT.</w:t>
            </w:r>
          </w:p>
        </w:tc>
      </w:tr>
    </w:tbl>
    <w:p w14:paraId="3A649589" w14:textId="2ACCF0A2" w:rsidR="001F04FD" w:rsidRDefault="001F04FD" w:rsidP="0099247E">
      <w:pPr>
        <w:pStyle w:val="BodyTextNumbered"/>
        <w:spacing w:before="240"/>
      </w:pPr>
      <w:r>
        <w:lastRenderedPageBreak/>
        <w:t>(6)</w:t>
      </w:r>
      <w:r>
        <w:tab/>
        <w:t>In all cases in which compliance with a Dispatch Instruction is disputed, both ERCOT and the QSE or TSP shall document their communications, agreements, disagreements, and reasons for their actions, to enable resolution of the dispute through the Alternative Dispute Resolution (ADR) process in Section 20, Alternative Dispute Resolution Procedure</w:t>
      </w:r>
      <w:r w:rsidR="00992E7F">
        <w:t xml:space="preserve"> and Procedure for Return of Settlement Funds</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60B8B3FC" w14:textId="77777777" w:rsidTr="00094CCC">
        <w:trPr>
          <w:trHeight w:val="206"/>
        </w:trPr>
        <w:tc>
          <w:tcPr>
            <w:tcW w:w="9576" w:type="dxa"/>
            <w:shd w:val="pct12" w:color="auto" w:fill="auto"/>
          </w:tcPr>
          <w:p w14:paraId="3FC96982" w14:textId="33D80D03" w:rsidR="00094CCC" w:rsidRDefault="00094CCC" w:rsidP="004510FA">
            <w:pPr>
              <w:pStyle w:val="Instructions"/>
              <w:spacing w:before="120"/>
            </w:pPr>
            <w:r>
              <w:t>[NPRR857:  Replace paragraph (6)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CE177AB" w14:textId="3CFF64C9" w:rsidR="00094CCC" w:rsidRPr="00B37C4B" w:rsidRDefault="00094CCC" w:rsidP="00B17C2D">
            <w:pPr>
              <w:spacing w:after="240"/>
              <w:ind w:left="720" w:hanging="720"/>
            </w:pPr>
            <w:r w:rsidRPr="00E55E72">
              <w:t>(6)</w:t>
            </w:r>
            <w:r w:rsidRPr="00E55E72">
              <w:tab/>
              <w:t xml:space="preserve">In all cases in which compliance with a Dispatch Instruction is disputed, both ERCOT and the QSE, TSP, or DCTO shall document their communications, agreements, disagreements, and reasons for their actions, to enable resolution of the dispute through the Alternative Dispute Resolution (ADR) process in Section 20, Alternative Dispute </w:t>
            </w:r>
            <w:r>
              <w:t>Resolution Procedure</w:t>
            </w:r>
            <w:r w:rsidR="00992E7F">
              <w:t xml:space="preserve"> and Procedure for Return of Settlement Funds</w:t>
            </w:r>
            <w:r>
              <w:t>.</w:t>
            </w:r>
          </w:p>
        </w:tc>
      </w:tr>
    </w:tbl>
    <w:p w14:paraId="28DDB4B9" w14:textId="0CA841F0" w:rsidR="001F04FD" w:rsidRDefault="001F04FD" w:rsidP="0099247E">
      <w:pPr>
        <w:pStyle w:val="BodyTextNumbered"/>
        <w:spacing w:before="240"/>
      </w:pPr>
      <w:r w:rsidRPr="003D5836">
        <w:rPr>
          <w:iCs/>
        </w:rPr>
        <w:t>(7)</w:t>
      </w:r>
      <w:r w:rsidRPr="003D5836">
        <w:rPr>
          <w:iCs/>
        </w:rPr>
        <w:tab/>
        <w:t>An Intermittent Renewable Resource (IRR) must comply with Dispatch Instructions when receiving a flag signifying that the IRR has received a Base Point below the HDL used by SCED</w:t>
      </w:r>
      <w:r w:rsidR="0030702F" w:rsidRPr="0030702F">
        <w:t xml:space="preserve"> </w:t>
      </w:r>
      <w:r w:rsidR="0030702F">
        <w:t>or the IRR has been instructed not to exceed its Base Point</w:t>
      </w:r>
      <w:r w:rsidRPr="003D5836">
        <w:rPr>
          <w:iCs/>
        </w:rPr>
        <w:t>.</w:t>
      </w:r>
    </w:p>
    <w:p w14:paraId="5C6ADF71" w14:textId="77777777" w:rsidR="001F04FD" w:rsidRPr="00431FA1" w:rsidRDefault="001F04FD" w:rsidP="003B77DB">
      <w:pPr>
        <w:pStyle w:val="H4"/>
        <w:ind w:left="1267" w:hanging="1267"/>
        <w:rPr>
          <w:bCs w:val="0"/>
        </w:rPr>
      </w:pPr>
      <w:bookmarkStart w:id="1334" w:name="_Toc397504980"/>
      <w:bookmarkStart w:id="1335" w:name="_Toc402357108"/>
      <w:bookmarkStart w:id="1336" w:name="_Toc422486488"/>
      <w:bookmarkStart w:id="1337" w:name="_Toc433093340"/>
      <w:bookmarkStart w:id="1338" w:name="_Toc433093498"/>
      <w:bookmarkStart w:id="1339" w:name="_Toc440874727"/>
      <w:bookmarkStart w:id="1340" w:name="_Toc448142282"/>
      <w:bookmarkStart w:id="1341" w:name="_Toc448142439"/>
      <w:bookmarkStart w:id="1342" w:name="_Toc458770276"/>
      <w:bookmarkStart w:id="1343" w:name="_Toc459294244"/>
      <w:bookmarkStart w:id="1344" w:name="_Toc463262737"/>
      <w:bookmarkStart w:id="1345" w:name="_Toc468286810"/>
      <w:bookmarkStart w:id="1346" w:name="_Toc481502856"/>
      <w:bookmarkStart w:id="1347" w:name="_Toc496080024"/>
      <w:bookmarkStart w:id="1348" w:name="_Toc204411625"/>
      <w:r w:rsidRPr="00431FA1">
        <w:rPr>
          <w:bCs w:val="0"/>
        </w:rPr>
        <w:t>6.5.7.10</w:t>
      </w:r>
      <w:r w:rsidRPr="00431FA1">
        <w:rPr>
          <w:bCs w:val="0"/>
        </w:rPr>
        <w:tab/>
      </w:r>
      <w:r>
        <w:rPr>
          <w:bCs w:val="0"/>
        </w:rPr>
        <w:t>IRR</w:t>
      </w:r>
      <w:r w:rsidRPr="00431FA1">
        <w:rPr>
          <w:bCs w:val="0"/>
        </w:rPr>
        <w:t xml:space="preserve"> Ramp Rate Limitations</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p>
    <w:p w14:paraId="0B0AE1C6" w14:textId="77777777" w:rsidR="001F04FD" w:rsidRPr="009E6F67" w:rsidRDefault="001F04FD" w:rsidP="001F04FD">
      <w:pPr>
        <w:spacing w:after="240"/>
        <w:ind w:left="720" w:hanging="720"/>
        <w:rPr>
          <w:iCs/>
        </w:rPr>
      </w:pPr>
      <w:r w:rsidRPr="009E6F67">
        <w:rPr>
          <w:iCs/>
        </w:rPr>
        <w:t>(1)</w:t>
      </w:r>
      <w:r w:rsidRPr="009E6F67">
        <w:rPr>
          <w:iCs/>
        </w:rPr>
        <w:tab/>
        <w:t xml:space="preserve">Each </w:t>
      </w:r>
      <w:r>
        <w:rPr>
          <w:iCs/>
        </w:rPr>
        <w:t>IRR</w:t>
      </w:r>
      <w:r w:rsidRPr="009E6F67">
        <w:rPr>
          <w:iCs/>
        </w:rPr>
        <w:t xml:space="preserve"> that is part of a </w:t>
      </w:r>
      <w:r>
        <w:rPr>
          <w:iCs/>
        </w:rPr>
        <w:t xml:space="preserve">Standard Generation </w:t>
      </w:r>
      <w:r w:rsidRPr="009E6F67">
        <w:rPr>
          <w:iCs/>
        </w:rPr>
        <w:t>Interconnection Agreement</w:t>
      </w:r>
      <w:r>
        <w:rPr>
          <w:iCs/>
        </w:rPr>
        <w:t xml:space="preserve"> (SGIA)</w:t>
      </w:r>
      <w:r w:rsidRPr="009E6F67">
        <w:rPr>
          <w:iCs/>
        </w:rPr>
        <w:t xml:space="preserve"> signed on or after January 1, 2009 shall limit its ramp rate to </w:t>
      </w:r>
      <w:r>
        <w:rPr>
          <w:iCs/>
        </w:rPr>
        <w:t xml:space="preserve">20% </w:t>
      </w:r>
      <w:r w:rsidRPr="009E6F67">
        <w:rPr>
          <w:iCs/>
        </w:rPr>
        <w:t xml:space="preserve">per minute of its nameplate rating (MWs) as registered with ERCOT when responding to or released from an ERCOT deployment.  </w:t>
      </w:r>
    </w:p>
    <w:p w14:paraId="3B8415BD" w14:textId="77777777" w:rsidR="001F04FD" w:rsidRPr="009E6F67" w:rsidRDefault="001F04FD" w:rsidP="001F04FD">
      <w:pPr>
        <w:spacing w:after="240"/>
        <w:ind w:left="720" w:hanging="720"/>
        <w:rPr>
          <w:iCs/>
        </w:rPr>
      </w:pPr>
      <w:r w:rsidRPr="009E6F67">
        <w:rPr>
          <w:iCs/>
        </w:rPr>
        <w:t>(2)</w:t>
      </w:r>
      <w:r w:rsidRPr="009E6F67">
        <w:rPr>
          <w:iCs/>
        </w:rPr>
        <w:tab/>
        <w:t>The requirement of par</w:t>
      </w:r>
      <w:r>
        <w:rPr>
          <w:iCs/>
        </w:rPr>
        <w:t>a</w:t>
      </w:r>
      <w:r w:rsidRPr="009E6F67">
        <w:rPr>
          <w:iCs/>
        </w:rPr>
        <w:t xml:space="preserve">graph (1) above does not apply during a Force Majeure Event or during intervals in which a decremental deployment instruction coincides with a demonstrated decrease in the available </w:t>
      </w:r>
      <w:r>
        <w:rPr>
          <w:iCs/>
        </w:rPr>
        <w:t>IRR</w:t>
      </w:r>
      <w:r w:rsidRPr="009E6F67">
        <w:rPr>
          <w:iCs/>
        </w:rPr>
        <w:t>.</w:t>
      </w:r>
    </w:p>
    <w:p w14:paraId="5542BEF6" w14:textId="77777777" w:rsidR="001F04FD" w:rsidRPr="009E6F67" w:rsidRDefault="001F04FD" w:rsidP="001F04FD">
      <w:pPr>
        <w:spacing w:after="240"/>
        <w:ind w:left="720" w:hanging="720"/>
        <w:rPr>
          <w:iCs/>
        </w:rPr>
      </w:pPr>
      <w:r w:rsidRPr="009E6F67">
        <w:rPr>
          <w:iCs/>
        </w:rPr>
        <w:t>(3)</w:t>
      </w:r>
      <w:r w:rsidRPr="009E6F67">
        <w:rPr>
          <w:iCs/>
        </w:rPr>
        <w:tab/>
        <w:t xml:space="preserve">Each </w:t>
      </w:r>
      <w:r>
        <w:rPr>
          <w:iCs/>
        </w:rPr>
        <w:t>IRR</w:t>
      </w:r>
      <w:r w:rsidRPr="009E6F67">
        <w:rPr>
          <w:iCs/>
        </w:rPr>
        <w:t xml:space="preserve"> that is part of an </w:t>
      </w:r>
      <w:r>
        <w:rPr>
          <w:iCs/>
        </w:rPr>
        <w:t xml:space="preserve">SGIA </w:t>
      </w:r>
      <w:r w:rsidRPr="009E6F67">
        <w:rPr>
          <w:iCs/>
        </w:rPr>
        <w:t xml:space="preserve">signed on or before December 31, 2008 and that controls power output by means other than turbine stoppage shall limit its ramp rate to </w:t>
      </w:r>
      <w:r>
        <w:rPr>
          <w:iCs/>
        </w:rPr>
        <w:t xml:space="preserve">20% </w:t>
      </w:r>
      <w:r w:rsidRPr="009E6F67">
        <w:rPr>
          <w:iCs/>
        </w:rPr>
        <w:t>per minute of its nameplate rating (MWs) as registered with ERCOT when responding to or released from an ERCOT deployment.</w:t>
      </w:r>
    </w:p>
    <w:p w14:paraId="7CA4D242" w14:textId="77777777" w:rsidR="001F04FD" w:rsidRPr="009E6F67" w:rsidRDefault="001F04FD" w:rsidP="001F04FD">
      <w:pPr>
        <w:spacing w:after="240"/>
        <w:ind w:left="720" w:hanging="720"/>
        <w:rPr>
          <w:iCs/>
        </w:rPr>
      </w:pPr>
      <w:r w:rsidRPr="009E6F67">
        <w:rPr>
          <w:iCs/>
        </w:rPr>
        <w:lastRenderedPageBreak/>
        <w:t>(4)</w:t>
      </w:r>
      <w:r w:rsidRPr="009E6F67">
        <w:rPr>
          <w:iCs/>
        </w:rPr>
        <w:tab/>
        <w:t xml:space="preserve">The requirement of paragraph (3) above does not apply during a Force Majeure Event, during intervals in which a decremental deployment instruction coincides with a demonstrated decrease in the available </w:t>
      </w:r>
      <w:r>
        <w:rPr>
          <w:iCs/>
        </w:rPr>
        <w:t>IRR</w:t>
      </w:r>
      <w:r w:rsidRPr="009E6F67">
        <w:rPr>
          <w:iCs/>
        </w:rPr>
        <w:t>, or during unit start up and shut down mode.</w:t>
      </w:r>
    </w:p>
    <w:p w14:paraId="5A232795" w14:textId="77777777" w:rsidR="001F04FD" w:rsidRDefault="001F04FD" w:rsidP="001F04FD">
      <w:pPr>
        <w:spacing w:after="240"/>
        <w:ind w:left="720" w:hanging="720"/>
        <w:rPr>
          <w:iCs/>
        </w:rPr>
      </w:pPr>
      <w:r w:rsidRPr="009E6F67">
        <w:rPr>
          <w:iCs/>
        </w:rPr>
        <w:t>(5)</w:t>
      </w:r>
      <w:r w:rsidRPr="009E6F67">
        <w:rPr>
          <w:iCs/>
        </w:rPr>
        <w:tab/>
      </w:r>
      <w:r>
        <w:rPr>
          <w:iCs/>
        </w:rPr>
        <w:t>The ramp rate requirement of paragraph (3) above shall not apply to an IRR during a limited compliance transition period if the IRR:</w:t>
      </w:r>
    </w:p>
    <w:p w14:paraId="11B277D7" w14:textId="77777777" w:rsidR="001F04FD" w:rsidRDefault="001F04FD" w:rsidP="001F04FD">
      <w:pPr>
        <w:pStyle w:val="List"/>
        <w:rPr>
          <w:iCs/>
        </w:rPr>
      </w:pPr>
      <w:r>
        <w:rPr>
          <w:iCs/>
        </w:rPr>
        <w:t>(a)</w:t>
      </w:r>
      <w:r>
        <w:rPr>
          <w:iCs/>
        </w:rPr>
        <w:tab/>
        <w:t>M</w:t>
      </w:r>
      <w:r w:rsidRPr="009E6F67">
        <w:rPr>
          <w:iCs/>
        </w:rPr>
        <w:t>eet</w:t>
      </w:r>
      <w:r>
        <w:rPr>
          <w:iCs/>
        </w:rPr>
        <w:t>s</w:t>
      </w:r>
      <w:r w:rsidRPr="009E6F67">
        <w:rPr>
          <w:iCs/>
        </w:rPr>
        <w:t xml:space="preserve"> the technical specifications of paragraph (3) above </w:t>
      </w:r>
      <w:r>
        <w:rPr>
          <w:iCs/>
        </w:rPr>
        <w:t>but does</w:t>
      </w:r>
      <w:r w:rsidRPr="009E6F67">
        <w:rPr>
          <w:iCs/>
        </w:rPr>
        <w:t xml:space="preserve"> not comply with </w:t>
      </w:r>
      <w:r>
        <w:rPr>
          <w:iCs/>
        </w:rPr>
        <w:t>the</w:t>
      </w:r>
      <w:r w:rsidRPr="009E6F67">
        <w:rPr>
          <w:iCs/>
        </w:rPr>
        <w:t xml:space="preserve"> ramp rate requirement</w:t>
      </w:r>
      <w:r>
        <w:rPr>
          <w:iCs/>
        </w:rPr>
        <w:t>; and</w:t>
      </w:r>
    </w:p>
    <w:p w14:paraId="06AC3E7D" w14:textId="77777777" w:rsidR="001F04FD" w:rsidRPr="009E6F67" w:rsidRDefault="001F04FD" w:rsidP="001F04FD">
      <w:pPr>
        <w:pStyle w:val="List"/>
        <w:rPr>
          <w:iCs/>
        </w:rPr>
      </w:pPr>
      <w:r>
        <w:rPr>
          <w:iCs/>
        </w:rPr>
        <w:t>(b)</w:t>
      </w:r>
      <w:r>
        <w:rPr>
          <w:iCs/>
        </w:rPr>
        <w:tab/>
        <w:t>S</w:t>
      </w:r>
      <w:r w:rsidRPr="009E6F67">
        <w:rPr>
          <w:iCs/>
        </w:rPr>
        <w:t>ubmit</w:t>
      </w:r>
      <w:r>
        <w:rPr>
          <w:iCs/>
        </w:rPr>
        <w:t>ted</w:t>
      </w:r>
      <w:r w:rsidRPr="009E6F67">
        <w:rPr>
          <w:iCs/>
        </w:rPr>
        <w:t xml:space="preserve"> a compliance plan to ERCOT on or before June 1, 2009 </w:t>
      </w:r>
      <w:r>
        <w:rPr>
          <w:iCs/>
        </w:rPr>
        <w:t>that</w:t>
      </w:r>
      <w:r w:rsidRPr="009E6F67">
        <w:rPr>
          <w:iCs/>
        </w:rPr>
        <w:t xml:space="preserve"> details the technical limitations leading to non-compliance, a work plan to achieve compliance by a reasonable date, and a ramp rate mitigation plan describing the </w:t>
      </w:r>
      <w:r>
        <w:rPr>
          <w:iCs/>
        </w:rPr>
        <w:t>IRR</w:t>
      </w:r>
      <w:r w:rsidRPr="009E6F67">
        <w:rPr>
          <w:iCs/>
        </w:rPr>
        <w:t xml:space="preserve">’s best efforts to adhere to the </w:t>
      </w:r>
      <w:r>
        <w:rPr>
          <w:iCs/>
        </w:rPr>
        <w:t>IRR</w:t>
      </w:r>
      <w:r w:rsidRPr="009E6F67">
        <w:rPr>
          <w:iCs/>
        </w:rPr>
        <w:t xml:space="preserve"> ramp rate limitation during the applicable compliance transition period.</w:t>
      </w:r>
    </w:p>
    <w:p w14:paraId="18E5EA8C" w14:textId="77777777" w:rsidR="001F04FD" w:rsidRDefault="001F04FD" w:rsidP="001F04FD">
      <w:pPr>
        <w:spacing w:after="240"/>
        <w:ind w:left="720" w:hanging="720"/>
        <w:rPr>
          <w:iCs/>
        </w:rPr>
      </w:pPr>
      <w:r w:rsidRPr="009E6F67">
        <w:rPr>
          <w:iCs/>
        </w:rPr>
        <w:t>(6)</w:t>
      </w:r>
      <w:r w:rsidRPr="009E6F67">
        <w:rPr>
          <w:iCs/>
        </w:rPr>
        <w:tab/>
      </w:r>
      <w:r>
        <w:rPr>
          <w:iCs/>
        </w:rPr>
        <w:t>The ramp rate requirement of paragraph (3) above shall not apply to an IRR</w:t>
      </w:r>
      <w:r w:rsidRPr="009E6F67">
        <w:rPr>
          <w:iCs/>
        </w:rPr>
        <w:t xml:space="preserve"> that</w:t>
      </w:r>
      <w:r>
        <w:rPr>
          <w:iCs/>
        </w:rPr>
        <w:t>:</w:t>
      </w:r>
    </w:p>
    <w:p w14:paraId="4763CBFC" w14:textId="77777777" w:rsidR="001F04FD" w:rsidRDefault="001F04FD" w:rsidP="001F04FD">
      <w:pPr>
        <w:pStyle w:val="List"/>
        <w:rPr>
          <w:iCs/>
        </w:rPr>
      </w:pPr>
      <w:r>
        <w:rPr>
          <w:iCs/>
        </w:rPr>
        <w:t>(a)</w:t>
      </w:r>
      <w:r>
        <w:rPr>
          <w:iCs/>
        </w:rPr>
        <w:tab/>
        <w:t>D</w:t>
      </w:r>
      <w:r w:rsidRPr="009E6F67">
        <w:rPr>
          <w:iCs/>
        </w:rPr>
        <w:t>o</w:t>
      </w:r>
      <w:r>
        <w:rPr>
          <w:iCs/>
        </w:rPr>
        <w:t>es</w:t>
      </w:r>
      <w:r w:rsidRPr="009E6F67">
        <w:rPr>
          <w:iCs/>
        </w:rPr>
        <w:t xml:space="preserve"> not meet the technical specifications of paragraph (3) above</w:t>
      </w:r>
      <w:r>
        <w:rPr>
          <w:iCs/>
        </w:rPr>
        <w:t>; and</w:t>
      </w:r>
    </w:p>
    <w:p w14:paraId="5A955531" w14:textId="77777777" w:rsidR="001F04FD" w:rsidRPr="009E6F67" w:rsidRDefault="001F04FD" w:rsidP="001F04FD">
      <w:pPr>
        <w:pStyle w:val="List"/>
        <w:rPr>
          <w:iCs/>
        </w:rPr>
      </w:pPr>
      <w:r>
        <w:rPr>
          <w:iCs/>
        </w:rPr>
        <w:t>(b)</w:t>
      </w:r>
      <w:r>
        <w:rPr>
          <w:iCs/>
        </w:rPr>
        <w:tab/>
        <w:t>S</w:t>
      </w:r>
      <w:r w:rsidRPr="009E6F67">
        <w:rPr>
          <w:iCs/>
        </w:rPr>
        <w:t>ubmit</w:t>
      </w:r>
      <w:r>
        <w:rPr>
          <w:iCs/>
        </w:rPr>
        <w:t>ted</w:t>
      </w:r>
      <w:r w:rsidRPr="009E6F67">
        <w:rPr>
          <w:iCs/>
        </w:rPr>
        <w:t xml:space="preserve"> an operations plan to ERCOT on or before June 1, 2009 describing the </w:t>
      </w:r>
      <w:r>
        <w:rPr>
          <w:iCs/>
        </w:rPr>
        <w:t>IRR</w:t>
      </w:r>
      <w:r w:rsidRPr="009E6F67">
        <w:rPr>
          <w:iCs/>
        </w:rPr>
        <w:t xml:space="preserve">’s best efforts to adhere to the </w:t>
      </w:r>
      <w:r>
        <w:rPr>
          <w:iCs/>
        </w:rPr>
        <w:t>IRR</w:t>
      </w:r>
      <w:r w:rsidRPr="009E6F67">
        <w:rPr>
          <w:iCs/>
        </w:rPr>
        <w:t xml:space="preserve"> ramp rate limitation.</w:t>
      </w:r>
    </w:p>
    <w:p w14:paraId="2DF2200E" w14:textId="77777777" w:rsidR="001F04FD" w:rsidRPr="009E6F67" w:rsidRDefault="001F04FD" w:rsidP="001F04FD">
      <w:pPr>
        <w:spacing w:after="240"/>
        <w:ind w:left="720" w:hanging="720"/>
        <w:rPr>
          <w:iCs/>
        </w:rPr>
      </w:pPr>
      <w:r w:rsidRPr="009E6F67">
        <w:rPr>
          <w:iCs/>
        </w:rPr>
        <w:t>(7)</w:t>
      </w:r>
      <w:r w:rsidRPr="009E6F67">
        <w:rPr>
          <w:iCs/>
        </w:rPr>
        <w:tab/>
      </w:r>
      <w:r>
        <w:rPr>
          <w:iCs/>
        </w:rPr>
        <w:t>IRR</w:t>
      </w:r>
      <w:r w:rsidRPr="009E6F67">
        <w:rPr>
          <w:iCs/>
        </w:rPr>
        <w:t xml:space="preserve">s subject to the ramp rate limitations of paragraphs (1) and (3) above are exempt from the requirements of the applicable </w:t>
      </w:r>
      <w:r>
        <w:rPr>
          <w:iCs/>
        </w:rPr>
        <w:t>paragraph</w:t>
      </w:r>
      <w:r w:rsidRPr="009E6F67">
        <w:rPr>
          <w:iCs/>
        </w:rPr>
        <w:t xml:space="preserve"> upon receipt of a valid Dispatch Instruction from ERCOT to exceed the applicable ramp rate limitation when necessary to protect </w:t>
      </w:r>
      <w:r>
        <w:rPr>
          <w:iCs/>
        </w:rPr>
        <w:t>ERCOT S</w:t>
      </w:r>
      <w:r w:rsidRPr="009E6F67">
        <w:rPr>
          <w:iCs/>
        </w:rPr>
        <w:t>ystem reliability.</w:t>
      </w:r>
    </w:p>
    <w:p w14:paraId="3CC4781A" w14:textId="77777777" w:rsidR="001F04FD" w:rsidRPr="009E6F67" w:rsidRDefault="001F04FD" w:rsidP="001F04FD">
      <w:pPr>
        <w:spacing w:after="240"/>
        <w:ind w:left="720" w:hanging="720"/>
        <w:rPr>
          <w:iCs/>
        </w:rPr>
      </w:pPr>
      <w:r w:rsidRPr="009E6F67">
        <w:rPr>
          <w:iCs/>
        </w:rPr>
        <w:t>(8)</w:t>
      </w:r>
      <w:r w:rsidRPr="009E6F67">
        <w:rPr>
          <w:iCs/>
        </w:rPr>
        <w:tab/>
      </w:r>
      <w:r w:rsidR="004B6E53">
        <w:rPr>
          <w:iCs/>
        </w:rPr>
        <w:t>IRRs that operate under a RAS are exempt from the ramp rate limitations of paragraphs (1) and (3) above when decreasing unit output to avoid RAS activation.</w:t>
      </w:r>
    </w:p>
    <w:p w14:paraId="58404E11" w14:textId="77777777" w:rsidR="001F04FD" w:rsidRDefault="001F04FD" w:rsidP="006635FE">
      <w:pPr>
        <w:pStyle w:val="BodyTextNumbered"/>
      </w:pPr>
      <w:r w:rsidRPr="009E6F67">
        <w:rPr>
          <w:iCs/>
        </w:rPr>
        <w:t>(9)</w:t>
      </w:r>
      <w:r w:rsidRPr="009E6F67">
        <w:rPr>
          <w:iCs/>
        </w:rPr>
        <w:tab/>
      </w:r>
      <w:r>
        <w:rPr>
          <w:iCs/>
        </w:rPr>
        <w:t>IRR</w:t>
      </w:r>
      <w:r w:rsidRPr="009E6F67">
        <w:rPr>
          <w:iCs/>
        </w:rPr>
        <w:t>s that meet the requirements of paragraphs (1) and (3) above are compliant with</w:t>
      </w:r>
      <w:r>
        <w:rPr>
          <w:iCs/>
        </w:rPr>
        <w:t xml:space="preserve"> the</w:t>
      </w:r>
      <w:r w:rsidRPr="009E6F67">
        <w:rPr>
          <w:iCs/>
        </w:rPr>
        <w:t xml:space="preserve"> ramp rate limitation requirements when the number of </w:t>
      </w:r>
      <w:r>
        <w:rPr>
          <w:iCs/>
        </w:rPr>
        <w:t>eligible one</w:t>
      </w:r>
      <w:r w:rsidRPr="009E6F67">
        <w:rPr>
          <w:iCs/>
        </w:rPr>
        <w:t xml:space="preserve">-minute intervals </w:t>
      </w:r>
      <w:r>
        <w:rPr>
          <w:iCs/>
        </w:rPr>
        <w:t xml:space="preserve">with an average ramp rate of 25% or less </w:t>
      </w:r>
      <w:r w:rsidRPr="009E6F67">
        <w:rPr>
          <w:iCs/>
        </w:rPr>
        <w:t>of nameplate capacity is equal to or greater than 90% of</w:t>
      </w:r>
      <w:r>
        <w:rPr>
          <w:iCs/>
        </w:rPr>
        <w:t xml:space="preserve"> the</w:t>
      </w:r>
      <w:r w:rsidRPr="009E6F67">
        <w:rPr>
          <w:iCs/>
        </w:rPr>
        <w:t xml:space="preserve"> eligible </w:t>
      </w:r>
      <w:r>
        <w:rPr>
          <w:iCs/>
        </w:rPr>
        <w:t xml:space="preserve">one-minute </w:t>
      </w:r>
      <w:r w:rsidRPr="009E6F67">
        <w:rPr>
          <w:iCs/>
        </w:rPr>
        <w:t>intervals</w:t>
      </w:r>
      <w:r>
        <w:rPr>
          <w:iCs/>
        </w:rPr>
        <w:t xml:space="preserve"> in any one of three consecutive months.</w:t>
      </w:r>
      <w:r w:rsidRPr="009E6F67">
        <w:rPr>
          <w:iCs/>
        </w:rPr>
        <w:t xml:space="preserve">  Intervals where paragraphs (2), (4), (7) or (8) above apply shall be excluded as eligible intervals for this performance metric.  ERCOT shall initiate a review process with the </w:t>
      </w:r>
      <w:r>
        <w:rPr>
          <w:iCs/>
        </w:rPr>
        <w:t>IRR</w:t>
      </w:r>
      <w:r w:rsidRPr="009E6F67">
        <w:rPr>
          <w:iCs/>
        </w:rPr>
        <w:t xml:space="preserve"> where the </w:t>
      </w:r>
      <w:r>
        <w:rPr>
          <w:iCs/>
        </w:rPr>
        <w:t>IRR</w:t>
      </w:r>
      <w:r w:rsidRPr="009E6F67">
        <w:rPr>
          <w:iCs/>
        </w:rPr>
        <w:t xml:space="preserve">’s score is less than 90%.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952ED" w14:paraId="0008010D" w14:textId="77777777" w:rsidTr="00C952ED">
        <w:trPr>
          <w:trHeight w:val="206"/>
        </w:trPr>
        <w:tc>
          <w:tcPr>
            <w:tcW w:w="9350" w:type="dxa"/>
            <w:shd w:val="pct12" w:color="auto" w:fill="auto"/>
          </w:tcPr>
          <w:p w14:paraId="65AD4502" w14:textId="33A5E408" w:rsidR="00C952ED" w:rsidRDefault="00C952ED" w:rsidP="00C952ED">
            <w:pPr>
              <w:pStyle w:val="Instructions"/>
              <w:spacing w:before="120"/>
            </w:pPr>
            <w:bookmarkStart w:id="1349" w:name="_Toc73216020"/>
            <w:bookmarkStart w:id="1350" w:name="_Toc397504982"/>
            <w:bookmarkStart w:id="1351" w:name="_Toc402357110"/>
            <w:bookmarkStart w:id="1352" w:name="_Toc422486490"/>
            <w:bookmarkStart w:id="1353" w:name="_Toc433093342"/>
            <w:bookmarkStart w:id="1354" w:name="_Toc433093500"/>
            <w:bookmarkStart w:id="1355" w:name="_Toc440874728"/>
            <w:bookmarkStart w:id="1356" w:name="_Toc448142283"/>
            <w:bookmarkStart w:id="1357" w:name="_Toc448142440"/>
            <w:bookmarkStart w:id="1358" w:name="_Toc458770277"/>
            <w:bookmarkStart w:id="1359" w:name="_Toc459294245"/>
            <w:bookmarkStart w:id="1360" w:name="_Toc463262738"/>
            <w:bookmarkStart w:id="1361" w:name="_Toc468286811"/>
            <w:bookmarkStart w:id="1362" w:name="_Toc481502857"/>
            <w:bookmarkStart w:id="1363" w:name="_Toc496080025"/>
            <w:r>
              <w:t>[NPRR1029:  Insert Section 6.5.7.11 below upon system implementation:]</w:t>
            </w:r>
          </w:p>
          <w:p w14:paraId="7E0F1510" w14:textId="77777777" w:rsidR="00C952ED" w:rsidRPr="00112447" w:rsidRDefault="00C952ED" w:rsidP="00C952ED">
            <w:pPr>
              <w:keepNext/>
              <w:widowControl w:val="0"/>
              <w:tabs>
                <w:tab w:val="left" w:pos="1260"/>
              </w:tabs>
              <w:spacing w:before="240" w:after="240"/>
              <w:ind w:left="1267" w:hanging="1267"/>
              <w:outlineLvl w:val="3"/>
              <w:rPr>
                <w:b/>
                <w:snapToGrid w:val="0"/>
              </w:rPr>
            </w:pPr>
            <w:bookmarkStart w:id="1364" w:name="_Toc204411626"/>
            <w:r w:rsidRPr="00112447">
              <w:rPr>
                <w:b/>
                <w:snapToGrid w:val="0"/>
              </w:rPr>
              <w:t>6.5.7.11</w:t>
            </w:r>
            <w:r w:rsidRPr="00112447">
              <w:rPr>
                <w:b/>
                <w:snapToGrid w:val="0"/>
              </w:rPr>
              <w:tab/>
              <w:t>DC-Coupled Resource Ramp Rate Limitations</w:t>
            </w:r>
            <w:bookmarkEnd w:id="1364"/>
          </w:p>
          <w:p w14:paraId="0911842A" w14:textId="7D815475" w:rsidR="00C952ED" w:rsidRPr="00C952ED" w:rsidRDefault="00C952ED" w:rsidP="00C952ED">
            <w:pPr>
              <w:spacing w:after="240"/>
              <w:ind w:left="720" w:hanging="720"/>
              <w:rPr>
                <w:snapToGrid w:val="0"/>
              </w:rPr>
            </w:pPr>
            <w:r w:rsidRPr="001A011D">
              <w:rPr>
                <w:iCs/>
              </w:rPr>
              <w:t>(1)</w:t>
            </w:r>
            <w:r w:rsidRPr="001A011D">
              <w:rPr>
                <w:iCs/>
              </w:rPr>
              <w:tab/>
            </w:r>
            <w:r>
              <w:rPr>
                <w:iCs/>
              </w:rPr>
              <w:t>A</w:t>
            </w:r>
            <w:r w:rsidRPr="00F2679B">
              <w:rPr>
                <w:iCs/>
              </w:rPr>
              <w:t xml:space="preserve"> DC-Coupled Resource that does not meet any of the conditions in paragraph (1)</w:t>
            </w:r>
            <w:r>
              <w:rPr>
                <w:iCs/>
              </w:rPr>
              <w:t xml:space="preserve"> of Section 3.8.7, DC-Coupled Resources,</w:t>
            </w:r>
            <w:r w:rsidRPr="00C77CF2">
              <w:rPr>
                <w:snapToGrid w:val="0"/>
              </w:rPr>
              <w:t xml:space="preserve"> shall adhere to</w:t>
            </w:r>
            <w:r>
              <w:rPr>
                <w:snapToGrid w:val="0"/>
              </w:rPr>
              <w:t xml:space="preserve"> the</w:t>
            </w:r>
            <w:r w:rsidRPr="00C77CF2">
              <w:rPr>
                <w:snapToGrid w:val="0"/>
              </w:rPr>
              <w:t xml:space="preserve"> ramp rate restrictions established in Section 6.5.7.1</w:t>
            </w:r>
            <w:r w:rsidRPr="001A011D">
              <w:rPr>
                <w:snapToGrid w:val="0"/>
              </w:rPr>
              <w:t>0</w:t>
            </w:r>
            <w:r>
              <w:rPr>
                <w:snapToGrid w:val="0"/>
              </w:rPr>
              <w:t xml:space="preserve">, </w:t>
            </w:r>
            <w:r w:rsidRPr="003F1E9B">
              <w:rPr>
                <w:snapToGrid w:val="0"/>
              </w:rPr>
              <w:t>IRR Ramp Rate Limitations</w:t>
            </w:r>
            <w:r w:rsidRPr="001A011D">
              <w:rPr>
                <w:snapToGrid w:val="0"/>
              </w:rPr>
              <w:t>.</w:t>
            </w:r>
          </w:p>
        </w:tc>
      </w:tr>
    </w:tbl>
    <w:p w14:paraId="35FFCD19" w14:textId="77777777" w:rsidR="001F04FD" w:rsidRDefault="001F04FD" w:rsidP="001F04FD">
      <w:pPr>
        <w:pStyle w:val="H3"/>
        <w:spacing w:before="480"/>
      </w:pPr>
      <w:bookmarkStart w:id="1365" w:name="_Toc204411627"/>
      <w:r>
        <w:lastRenderedPageBreak/>
        <w:t>6.5.8</w:t>
      </w:r>
      <w:r>
        <w:tab/>
      </w:r>
      <w:bookmarkEnd w:id="1349"/>
      <w:r>
        <w:t>Verbal Dispatch Instruction</w:t>
      </w:r>
      <w:bookmarkEnd w:id="1350"/>
      <w:bookmarkEnd w:id="1351"/>
      <w:bookmarkEnd w:id="1352"/>
      <w:bookmarkEnd w:id="1353"/>
      <w:bookmarkEnd w:id="1354"/>
      <w:bookmarkEnd w:id="1355"/>
      <w:bookmarkEnd w:id="1356"/>
      <w:bookmarkEnd w:id="1357"/>
      <w:r>
        <w:t xml:space="preserve"> Confirmation</w:t>
      </w:r>
      <w:bookmarkEnd w:id="1358"/>
      <w:bookmarkEnd w:id="1359"/>
      <w:bookmarkEnd w:id="1360"/>
      <w:bookmarkEnd w:id="1361"/>
      <w:bookmarkEnd w:id="1362"/>
      <w:bookmarkEnd w:id="1363"/>
      <w:bookmarkEnd w:id="1365"/>
    </w:p>
    <w:p w14:paraId="316C19A4" w14:textId="77777777" w:rsidR="001F04FD" w:rsidRPr="00370F09" w:rsidRDefault="001F04FD" w:rsidP="001F04FD">
      <w:pPr>
        <w:spacing w:after="240"/>
        <w:ind w:left="720" w:hanging="720"/>
      </w:pPr>
      <w:r w:rsidRPr="002665C0">
        <w:t>(1)</w:t>
      </w:r>
      <w:r w:rsidRPr="002665C0">
        <w:tab/>
      </w:r>
      <w:r>
        <w:t>Following the issuance of a VDI by ERCOT to a QSE for a Generation Resource, ERCOT will provide the QSE with an electronic confirmation of the VDI for Settlement purposes.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963EB" w14:paraId="2DEB5E5E" w14:textId="77777777" w:rsidTr="004E6E12">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2342CBDA" w14:textId="77777777" w:rsidR="006963EB" w:rsidRDefault="006963EB" w:rsidP="004E6E12">
            <w:pPr>
              <w:pStyle w:val="Instructions"/>
              <w:spacing w:before="120"/>
            </w:pPr>
            <w:r>
              <w:t>[NPRR1246:  Replace paragraph (1) above with the following upon system implementation of the Real-Time Co-Optimization (RTC) project:]</w:t>
            </w:r>
          </w:p>
          <w:p w14:paraId="549331D3" w14:textId="715304A5" w:rsidR="006963EB" w:rsidRPr="006963EB" w:rsidRDefault="006963EB" w:rsidP="006963EB">
            <w:pPr>
              <w:spacing w:after="240"/>
              <w:ind w:left="720" w:hanging="720"/>
            </w:pPr>
            <w:r w:rsidRPr="007F5C96">
              <w:t>(1)</w:t>
            </w:r>
            <w:r w:rsidRPr="007F5C96">
              <w:tab/>
              <w:t>Following the issuance of a VDI by ERCOT to a QSE for a Generation Resource</w:t>
            </w:r>
            <w:r w:rsidRPr="00304957">
              <w:t xml:space="preserve"> </w:t>
            </w:r>
            <w:r>
              <w:t>or ESR</w:t>
            </w:r>
            <w:r w:rsidRPr="007F5C96">
              <w:t>, ERCOT will provide the QSE with an electronic confirmation of the VDI for Settlement purposes.</w:t>
            </w:r>
          </w:p>
        </w:tc>
      </w:tr>
    </w:tbl>
    <w:p w14:paraId="1B206F17" w14:textId="280FA71D" w:rsidR="001F04FD" w:rsidRDefault="001F04FD" w:rsidP="00DD0A69">
      <w:pPr>
        <w:pStyle w:val="BodyText"/>
        <w:spacing w:before="240"/>
      </w:pPr>
      <w:r>
        <w:t>(2)</w:t>
      </w:r>
      <w:r>
        <w:tab/>
        <w:t>A VDI confirmation shall contain the following information:</w:t>
      </w:r>
    </w:p>
    <w:p w14:paraId="465275E9" w14:textId="77777777" w:rsidR="001F04FD" w:rsidRDefault="001F04FD" w:rsidP="001F04FD">
      <w:pPr>
        <w:tabs>
          <w:tab w:val="left" w:pos="720"/>
        </w:tabs>
        <w:spacing w:after="240"/>
        <w:ind w:left="1440" w:hanging="720"/>
      </w:pPr>
      <w:r>
        <w:t>(a)</w:t>
      </w:r>
      <w:r>
        <w:tab/>
        <w:t>Operating Day and time ERCOT issued the VDI;</w:t>
      </w:r>
    </w:p>
    <w:p w14:paraId="64823A18" w14:textId="77777777" w:rsidR="001F04FD" w:rsidRDefault="001F04FD" w:rsidP="001F04FD">
      <w:pPr>
        <w:pStyle w:val="List"/>
        <w:tabs>
          <w:tab w:val="left" w:pos="720"/>
        </w:tabs>
      </w:pPr>
      <w:r>
        <w:t>(b)</w:t>
      </w:r>
      <w:r>
        <w:tab/>
        <w:t xml:space="preserve">Identification of the QSE for the Resource(s) subject to the VDI, and instructing authority (including the names of the ERCOT Operator and individual that received the VDI); </w:t>
      </w:r>
    </w:p>
    <w:p w14:paraId="72FB8B60" w14:textId="77777777" w:rsidR="001F04FD" w:rsidRDefault="001F04FD" w:rsidP="001F04FD">
      <w:pPr>
        <w:pStyle w:val="List"/>
        <w:tabs>
          <w:tab w:val="left" w:pos="720"/>
        </w:tabs>
      </w:pPr>
      <w:r>
        <w:t>(c)</w:t>
      </w:r>
      <w:r>
        <w:tab/>
        <w:t>Identification of the specific Resource(s) subject to the VDI;</w:t>
      </w:r>
    </w:p>
    <w:p w14:paraId="371EC7DA" w14:textId="77777777" w:rsidR="001F04FD" w:rsidRDefault="001F04FD" w:rsidP="001F04FD">
      <w:pPr>
        <w:pStyle w:val="List"/>
        <w:tabs>
          <w:tab w:val="left" w:pos="720"/>
        </w:tabs>
      </w:pPr>
      <w:r>
        <w:t>(d)</w:t>
      </w:r>
      <w:r>
        <w:tab/>
        <w:t>Specific actions required of the Resource(s);</w:t>
      </w:r>
    </w:p>
    <w:p w14:paraId="32E5D847" w14:textId="77777777" w:rsidR="001F04FD" w:rsidRDefault="001F04FD" w:rsidP="001F04FD">
      <w:pPr>
        <w:pStyle w:val="List"/>
        <w:tabs>
          <w:tab w:val="left" w:pos="720"/>
        </w:tabs>
      </w:pPr>
      <w:r>
        <w:t>(e)</w:t>
      </w:r>
      <w:r>
        <w:tab/>
        <w:t>Beginning operating level or state of the Resource(s);</w:t>
      </w:r>
    </w:p>
    <w:p w14:paraId="36A6ECB7" w14:textId="77777777" w:rsidR="001F04FD" w:rsidRDefault="001F04FD" w:rsidP="001F04FD">
      <w:pPr>
        <w:pStyle w:val="List"/>
        <w:tabs>
          <w:tab w:val="left" w:pos="720"/>
        </w:tabs>
      </w:pPr>
      <w:r>
        <w:t>(f)</w:t>
      </w:r>
      <w:r>
        <w:tab/>
        <w:t>Instructed operating level or state of the Resource(s);</w:t>
      </w:r>
    </w:p>
    <w:p w14:paraId="3CD408EA" w14:textId="77777777" w:rsidR="001F04FD" w:rsidRDefault="001F04FD" w:rsidP="001F04FD">
      <w:pPr>
        <w:pStyle w:val="List"/>
        <w:tabs>
          <w:tab w:val="left" w:pos="720"/>
        </w:tabs>
      </w:pPr>
      <w:r>
        <w:t>(g)</w:t>
      </w:r>
      <w:r>
        <w:tab/>
        <w:t>Time at which the Resource(s) was required to initiate actions;</w:t>
      </w:r>
    </w:p>
    <w:p w14:paraId="2D66CA15" w14:textId="77777777" w:rsidR="001F04FD" w:rsidRDefault="001F04FD" w:rsidP="001F04FD">
      <w:pPr>
        <w:pStyle w:val="List"/>
        <w:tabs>
          <w:tab w:val="left" w:pos="720"/>
        </w:tabs>
      </w:pPr>
      <w:r>
        <w:t>(h)</w:t>
      </w:r>
      <w:r>
        <w:tab/>
        <w:t>Time by which the Resource(s) was required to complete actions; and</w:t>
      </w:r>
    </w:p>
    <w:p w14:paraId="5B634FA2" w14:textId="77777777" w:rsidR="001F04FD" w:rsidRDefault="001F04FD" w:rsidP="001F04FD">
      <w:pPr>
        <w:pStyle w:val="List"/>
        <w:tabs>
          <w:tab w:val="left" w:pos="720"/>
        </w:tabs>
      </w:pPr>
      <w:r>
        <w:t>(i)</w:t>
      </w:r>
      <w:r>
        <w:tab/>
        <w:t>Other information relevant to that Dispatch Instruction.</w:t>
      </w:r>
    </w:p>
    <w:p w14:paraId="0BF2E90C" w14:textId="77777777" w:rsidR="001F04FD" w:rsidRDefault="001F04FD" w:rsidP="001F04FD">
      <w:pPr>
        <w:spacing w:after="240"/>
        <w:ind w:left="720" w:hanging="720"/>
        <w:rPr>
          <w:b/>
          <w:bCs/>
          <w:i/>
        </w:rPr>
      </w:pPr>
      <w:bookmarkStart w:id="1366" w:name="_Toc73216023"/>
      <w:bookmarkStart w:id="1367" w:name="_Toc397504983"/>
      <w:bookmarkStart w:id="1368" w:name="_Toc402357111"/>
      <w:bookmarkStart w:id="1369" w:name="_Toc422486491"/>
      <w:bookmarkStart w:id="1370" w:name="_Toc433093343"/>
      <w:bookmarkStart w:id="1371" w:name="_Toc433093501"/>
      <w:bookmarkStart w:id="1372" w:name="_Toc440874729"/>
      <w:bookmarkStart w:id="1373" w:name="_Toc448142284"/>
      <w:bookmarkStart w:id="1374" w:name="_Toc448142441"/>
      <w:r w:rsidRPr="00D82B61">
        <w:t>(3)</w:t>
      </w:r>
      <w:r w:rsidRPr="00D82B61">
        <w:tab/>
        <w:t>Following receipt by the QSE of the VDI confirmation issued by ERCOT, the QSE shall provide ERCOT with electronic acknowledgement of the VDI confirmation.</w:t>
      </w:r>
    </w:p>
    <w:p w14:paraId="00E33A1E" w14:textId="77777777" w:rsidR="001F04FD" w:rsidRDefault="001F04FD" w:rsidP="001F04FD">
      <w:pPr>
        <w:pStyle w:val="H3"/>
        <w:spacing w:before="480"/>
      </w:pPr>
      <w:bookmarkStart w:id="1375" w:name="_Toc458770278"/>
      <w:bookmarkStart w:id="1376" w:name="_Toc459294246"/>
      <w:bookmarkStart w:id="1377" w:name="_Toc463262739"/>
      <w:bookmarkStart w:id="1378" w:name="_Toc468286812"/>
      <w:bookmarkStart w:id="1379" w:name="_Toc481502858"/>
      <w:bookmarkStart w:id="1380" w:name="_Toc496080026"/>
      <w:bookmarkStart w:id="1381" w:name="_Toc204411628"/>
      <w:r>
        <w:t>6.5.9</w:t>
      </w:r>
      <w:r>
        <w:tab/>
        <w:t>Emergency Operations</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p>
    <w:p w14:paraId="283952B0" w14:textId="77777777" w:rsidR="001F04FD" w:rsidRDefault="001F04FD" w:rsidP="001F04FD">
      <w:pPr>
        <w:pStyle w:val="BodyTextNumbered"/>
      </w:pPr>
      <w:r>
        <w:t>(1)</w:t>
      </w:r>
      <w:r>
        <w:tab/>
        <w:t xml:space="preserve">ERCOT, based on ERCOT System reliability needs, may issue a Dispatch Instruction requiring a Resource to move to a specific output level (“Emergency Base Point”).  </w:t>
      </w:r>
    </w:p>
    <w:p w14:paraId="3A25EFD9" w14:textId="77777777" w:rsidR="001F04FD" w:rsidRDefault="001F04FD" w:rsidP="001F04FD">
      <w:pPr>
        <w:pStyle w:val="BodyTextNumbered"/>
      </w:pPr>
      <w:r>
        <w:t>(2)</w:t>
      </w:r>
      <w:r>
        <w:tab/>
        <w:t xml:space="preserve">A QF may only be ordered Off-Line in the case of an ERCOT-declared Emergency Condition with imminent threat to the reliability of the ERCOT System.  ERCOT may </w:t>
      </w:r>
      <w:r>
        <w:lastRenderedPageBreak/>
        <w:t>only Dispatch a QF below its LSL when ERCOT has declared an Emergency Condition and the QF is the only Resource that can provide the necessary relief.</w:t>
      </w:r>
    </w:p>
    <w:p w14:paraId="5C6F28DE" w14:textId="77777777" w:rsidR="001F04FD" w:rsidRDefault="001F04FD" w:rsidP="001F04FD">
      <w:pPr>
        <w:pStyle w:val="BodyTextNumbered"/>
      </w:pPr>
      <w:r>
        <w:t>(3)</w:t>
      </w:r>
      <w:r>
        <w:tab/>
        <w:t xml:space="preserve">ERCOT shall honor all Resource operating parameters in Dispatch Instructions under normal conditions and Emergency Conditions.  During Emergency Conditions, ERCOT may verbally request QSEs to operate its Resources outside normal operating parameters.  If such request is received by a QSE, the QSE shall discuss the request with ERCOT in good faith and may choose to comply with the request.  </w:t>
      </w:r>
    </w:p>
    <w:p w14:paraId="2F7FA451" w14:textId="77777777" w:rsidR="001F04FD" w:rsidRDefault="001F04FD" w:rsidP="001F04FD">
      <w:pPr>
        <w:pStyle w:val="BodyTextNumbered"/>
      </w:pPr>
      <w:r>
        <w:t>(4)</w:t>
      </w:r>
      <w:r>
        <w:tab/>
        <w:t>A QSE may not self-arrange for Ancillary Services procured in response to Emergency Conditions.</w:t>
      </w:r>
    </w:p>
    <w:p w14:paraId="4ECF7ED5" w14:textId="77777777" w:rsidR="001F04FD" w:rsidRDefault="001F04FD" w:rsidP="001F04FD">
      <w:pPr>
        <w:pStyle w:val="H4"/>
        <w:spacing w:before="480"/>
        <w:ind w:left="1267" w:hanging="1267"/>
      </w:pPr>
      <w:bookmarkStart w:id="1382" w:name="_Toc73216024"/>
      <w:bookmarkStart w:id="1383" w:name="_Toc397504984"/>
      <w:bookmarkStart w:id="1384" w:name="_Toc402357112"/>
      <w:bookmarkStart w:id="1385" w:name="_Toc422486492"/>
      <w:bookmarkStart w:id="1386" w:name="_Toc433093344"/>
      <w:bookmarkStart w:id="1387" w:name="_Toc433093502"/>
      <w:bookmarkStart w:id="1388" w:name="_Toc440874730"/>
      <w:bookmarkStart w:id="1389" w:name="_Toc448142285"/>
      <w:bookmarkStart w:id="1390" w:name="_Toc448142442"/>
      <w:bookmarkStart w:id="1391" w:name="_Toc458770279"/>
      <w:bookmarkStart w:id="1392" w:name="_Toc459294247"/>
      <w:bookmarkStart w:id="1393" w:name="_Toc463262740"/>
      <w:bookmarkStart w:id="1394" w:name="_Toc468286813"/>
      <w:bookmarkStart w:id="1395" w:name="_Toc481502859"/>
      <w:bookmarkStart w:id="1396" w:name="_Toc496080027"/>
      <w:bookmarkStart w:id="1397" w:name="_Toc204411629"/>
      <w:r>
        <w:t>6.5.9.1</w:t>
      </w:r>
      <w:r>
        <w:tab/>
        <w:t>Emergency and Short Supply Operation</w:t>
      </w:r>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p>
    <w:p w14:paraId="09418F31" w14:textId="42256625" w:rsidR="001F04FD" w:rsidRDefault="001F04FD" w:rsidP="001F04FD">
      <w:pPr>
        <w:pStyle w:val="BodyTextNumbered"/>
      </w:pPr>
      <w:r>
        <w:t>(1)</w:t>
      </w:r>
      <w:r>
        <w:tab/>
        <w:t>ERCOT is responsible for maintaining reliability in normal and Emergency Conditions.  The Operating Guides are intended to ensure that minimum standards for reliability are maintained.  Minimum standards for reliability are defined by the Operating Guides and the NERC Reliability Standards and include, but are not limited to:</w:t>
      </w:r>
    </w:p>
    <w:p w14:paraId="331F0E2A" w14:textId="77777777" w:rsidR="001F04FD" w:rsidRDefault="001F04FD" w:rsidP="001F04FD">
      <w:pPr>
        <w:pStyle w:val="List"/>
      </w:pPr>
      <w:r>
        <w:t>(a)</w:t>
      </w:r>
      <w:r>
        <w:tab/>
        <w:t>Minimum operating reserve levels;</w:t>
      </w:r>
    </w:p>
    <w:p w14:paraId="496F200C" w14:textId="77777777" w:rsidR="001F04FD" w:rsidRDefault="001F04FD" w:rsidP="001F04FD">
      <w:pPr>
        <w:pStyle w:val="List"/>
      </w:pPr>
      <w:r>
        <w:t>(b)</w:t>
      </w:r>
      <w:r>
        <w:tab/>
        <w:t>Criteria for determining acceptable operation of the frequency control system;</w:t>
      </w:r>
    </w:p>
    <w:p w14:paraId="472D4E71" w14:textId="77777777" w:rsidR="001F04FD" w:rsidRDefault="001F04FD" w:rsidP="001F04FD">
      <w:pPr>
        <w:pStyle w:val="List"/>
      </w:pPr>
      <w:r>
        <w:t>(c)</w:t>
      </w:r>
      <w:r>
        <w:tab/>
        <w:t>Criteria for determining and maintaining system voltages within acceptable limits;</w:t>
      </w:r>
    </w:p>
    <w:p w14:paraId="302715FA" w14:textId="77777777" w:rsidR="001F04FD" w:rsidRDefault="001F04FD" w:rsidP="001F04FD">
      <w:pPr>
        <w:pStyle w:val="List"/>
      </w:pPr>
      <w:r>
        <w:t>(d)</w:t>
      </w:r>
      <w:r>
        <w:tab/>
        <w:t>Criteria for maximum acceptable transmission equipment loading levels; and</w:t>
      </w:r>
    </w:p>
    <w:p w14:paraId="6682D1E3" w14:textId="77777777" w:rsidR="001F04FD" w:rsidRDefault="001F04FD" w:rsidP="001F04FD">
      <w:pPr>
        <w:pStyle w:val="List"/>
      </w:pPr>
      <w:r>
        <w:t>(e)</w:t>
      </w:r>
      <w:r>
        <w:tab/>
        <w:t>Criteria for determining when ERCOT is subject to unacceptable risk of widespread cascading Outages.</w:t>
      </w:r>
    </w:p>
    <w:p w14:paraId="43BAE8E7" w14:textId="77777777" w:rsidR="001F04FD" w:rsidRDefault="001F04FD" w:rsidP="001F04FD">
      <w:pPr>
        <w:pStyle w:val="BodyTextNumbered"/>
      </w:pPr>
      <w:r>
        <w:t>(2)</w:t>
      </w:r>
      <w:r>
        <w:tab/>
        <w:t>ERCOT shall, to the fullest extent practicable, utilize the Day-Ahead process, the Adjustment Period process, and the Real-Time process before ordering Resources to specific output levels with Emergency Base Point instructions.  It is anticipated that, with effective and timely communication, the market-based tools available to ERCOT will avert most threats to the reliability of the ERCOT System.  However, these Protocols do not preclude ERCOT from taking any action to preserve the integrity of the ERCOT System.</w:t>
      </w:r>
    </w:p>
    <w:p w14:paraId="7485ADEC" w14:textId="77777777" w:rsidR="001F04FD" w:rsidRDefault="001F04FD" w:rsidP="001F04FD">
      <w:pPr>
        <w:pStyle w:val="H4"/>
        <w:spacing w:before="480"/>
        <w:ind w:left="1267" w:hanging="1267"/>
      </w:pPr>
      <w:bookmarkStart w:id="1398" w:name="_Toc73216025"/>
      <w:bookmarkStart w:id="1399" w:name="_Toc397504985"/>
      <w:bookmarkStart w:id="1400" w:name="_Toc402357113"/>
      <w:bookmarkStart w:id="1401" w:name="_Toc422486493"/>
      <w:bookmarkStart w:id="1402" w:name="_Toc433093345"/>
      <w:bookmarkStart w:id="1403" w:name="_Toc433093503"/>
      <w:bookmarkStart w:id="1404" w:name="_Toc440874731"/>
      <w:bookmarkStart w:id="1405" w:name="_Toc448142286"/>
      <w:bookmarkStart w:id="1406" w:name="_Toc448142443"/>
      <w:bookmarkStart w:id="1407" w:name="_Toc458770280"/>
      <w:bookmarkStart w:id="1408" w:name="_Toc459294248"/>
      <w:bookmarkStart w:id="1409" w:name="_Toc463262741"/>
      <w:bookmarkStart w:id="1410" w:name="_Toc468286814"/>
      <w:bookmarkStart w:id="1411" w:name="_Toc481502860"/>
      <w:bookmarkStart w:id="1412" w:name="_Toc496080028"/>
      <w:bookmarkStart w:id="1413" w:name="_Toc204411630"/>
      <w:r>
        <w:t>6.5.9.2</w:t>
      </w:r>
      <w:r>
        <w:tab/>
        <w:t>Failure of the SCED Process</w:t>
      </w:r>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p>
    <w:p w14:paraId="476E25EE" w14:textId="77777777" w:rsidR="001F04FD" w:rsidRDefault="001F04FD" w:rsidP="001F04FD">
      <w:pPr>
        <w:pStyle w:val="BodyTextNumbered"/>
      </w:pPr>
      <w:r>
        <w:t>(1)</w:t>
      </w:r>
      <w:r>
        <w:tab/>
        <w:t>When the SCED process is not able to reach a solution, ERCOT shall issue a Watch.</w:t>
      </w:r>
    </w:p>
    <w:p w14:paraId="67B1E437" w14:textId="53832AE7" w:rsidR="001F04FD" w:rsidRDefault="001F04FD" w:rsidP="001F04FD">
      <w:pPr>
        <w:pStyle w:val="BodyTextNumbered"/>
      </w:pPr>
      <w:r>
        <w:t>(2)</w:t>
      </w:r>
      <w:r>
        <w:tab/>
        <w:t>For intervals that the SCED process fails to reach a solution, then the LMPs</w:t>
      </w:r>
      <w:r w:rsidRPr="0080555B">
        <w:t xml:space="preserve">, </w:t>
      </w:r>
      <w:r w:rsidRPr="00193B05">
        <w:t>Real-Time On-Line Reliability Deployment Price Adders,</w:t>
      </w:r>
      <w:r>
        <w:t xml:space="preserve"> </w:t>
      </w:r>
      <w:r w:rsidRPr="0080555B">
        <w:t>Real-Time On-Line Reserve Price Adders and Real-Time Off-Line Reserve Price Adders</w:t>
      </w:r>
      <w:r>
        <w:t xml:space="preserve"> for the interval for which no solution was reached are equal to the LMPs</w:t>
      </w:r>
      <w:r w:rsidRPr="0080555B">
        <w:t xml:space="preserve">, </w:t>
      </w:r>
      <w:r w:rsidRPr="00193B05">
        <w:t xml:space="preserve">Real-Time On-Line Reliability Deployment Price Adders, </w:t>
      </w:r>
      <w:r w:rsidRPr="0080555B">
        <w:lastRenderedPageBreak/>
        <w:t>Real-Time On-Line Reserve Price Adders and Real-Time Off-Line Reserve Price Adders</w:t>
      </w:r>
      <w:r>
        <w:t xml:space="preserve"> in the most recently solved interval.  For Settlement Intervals that the Real-Time Settlement Point Prices are identified as erroneous and ERCOT sets the SCED intervals as failed in accordance with Section 6.3, Adjustment Period and Real-Time Operations Timeline, then the LMPs</w:t>
      </w:r>
      <w:r w:rsidRPr="0080555B">
        <w:t xml:space="preserve">, </w:t>
      </w:r>
      <w:r w:rsidRPr="00193B05">
        <w:t>Real-Time On-Line Reliability Deployment Price Adders,</w:t>
      </w:r>
      <w:r>
        <w:t xml:space="preserve"> </w:t>
      </w:r>
      <w:r w:rsidRPr="0080555B">
        <w:t>Real-Time On-Line Reserve Price Adders and Real-Time Off-Line Reserve Price Adders</w:t>
      </w:r>
      <w:r>
        <w:t xml:space="preserve"> for the failed SCED intervals are equal to the LMPs</w:t>
      </w:r>
      <w:r w:rsidRPr="0080555B">
        <w:t xml:space="preserve">, </w:t>
      </w:r>
      <w:r w:rsidRPr="00193B05">
        <w:t>Real-Time On-Line Reliability Deployment Price Adders</w:t>
      </w:r>
      <w:r>
        <w:t>,</w:t>
      </w:r>
      <w:r w:rsidRPr="0080555B">
        <w:t xml:space="preserve"> Real-Time On-Line Reserve Price Adders and Real-Time Off-Line Reserve Price Adders</w:t>
      </w:r>
      <w:r>
        <w:t xml:space="preserve"> in the most recently solved SCED interval that is not set as failed.  ERCOT shall notify the market of the failure by posting on the </w:t>
      </w:r>
      <w:r w:rsidR="0007207E">
        <w:t>ERCOT website</w:t>
      </w:r>
      <w:r>
        <w:t>.  For intervals covering the first 15 minutes of SCED process execution following a failure, ERCOT shall set the LMPs</w:t>
      </w:r>
      <w:r w:rsidRPr="0080555B">
        <w:t xml:space="preserve">, </w:t>
      </w:r>
      <w:r w:rsidRPr="00193B05">
        <w:t>Real-Time On-Line Reliability Deployment Price Adders,</w:t>
      </w:r>
      <w:r>
        <w:t xml:space="preserve"> </w:t>
      </w:r>
      <w:r w:rsidRPr="0080555B">
        <w:t>Real-Time On-Line Reserve Price Adders and Real-Ti</w:t>
      </w:r>
      <w:r>
        <w:t>me Off-Line Reserve Price Adders equal to the LMPs</w:t>
      </w:r>
      <w:r w:rsidRPr="0080555B">
        <w:t>, Real-Time On-Line Reserve Price Adders and Real-Time Off-Line Reserve Price Adders</w:t>
      </w:r>
      <w:r>
        <w:t xml:space="preserve"> in the most recently solved SCED interval prior to the SCED process failure.  ERCOT shall notify the market of this price correction by posting on the </w:t>
      </w:r>
      <w:r w:rsidR="0007207E">
        <w:t>ERCOT website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35574" w14:paraId="2383947A" w14:textId="77777777" w:rsidTr="00EC5231">
        <w:trPr>
          <w:trHeight w:val="206"/>
        </w:trPr>
        <w:tc>
          <w:tcPr>
            <w:tcW w:w="9576" w:type="dxa"/>
            <w:shd w:val="pct12" w:color="auto" w:fill="auto"/>
          </w:tcPr>
          <w:p w14:paraId="436141B7" w14:textId="26BC28C6" w:rsidR="00935574" w:rsidRDefault="00935574" w:rsidP="00EC5231">
            <w:pPr>
              <w:pStyle w:val="Instructions"/>
              <w:spacing w:before="120"/>
            </w:pPr>
            <w:r>
              <w:t>[NPRR1010:  Replace paragraph (2) above with the following upon system implementation of the Real-Time Co-Optimization (RTC) project:]</w:t>
            </w:r>
          </w:p>
          <w:p w14:paraId="0522CF9E" w14:textId="0BCC7D9E" w:rsidR="00935574" w:rsidRPr="00B37C4B" w:rsidRDefault="00935574" w:rsidP="0007207E">
            <w:pPr>
              <w:spacing w:after="240"/>
              <w:ind w:left="720" w:hanging="720"/>
            </w:pPr>
            <w:r w:rsidRPr="003161DC">
              <w:t>(2)</w:t>
            </w:r>
            <w:r w:rsidRPr="003161DC">
              <w:tab/>
              <w:t xml:space="preserve">For intervals that the SCED process fails to reach a solution, then the LMPs, </w:t>
            </w:r>
            <w:r>
              <w:t xml:space="preserve">Real-Time MCPCs, </w:t>
            </w:r>
            <w:r w:rsidRPr="003161DC">
              <w:t>Real-Time Reliability Deployment Price Adders</w:t>
            </w:r>
            <w:r>
              <w:t xml:space="preserve"> for Energy, and Real-Time Reliability Deployment Price Adders for Ancillary Service</w:t>
            </w:r>
            <w:r w:rsidRPr="003161DC">
              <w:t xml:space="preserve"> for the interval for which no solution was reached are equal to the LMPs, </w:t>
            </w:r>
            <w:r>
              <w:t xml:space="preserve">Real-Time MCPCs, </w:t>
            </w:r>
            <w:r w:rsidRPr="003161DC">
              <w:t>Real-Time Reliability Deployment Price Adders</w:t>
            </w:r>
            <w:r>
              <w:t xml:space="preserve"> for Energy</w:t>
            </w:r>
            <w:r w:rsidRPr="003161DC">
              <w:t xml:space="preserve">, </w:t>
            </w:r>
            <w:r>
              <w:t>and Real-Time Reliability Deployment Price Adders for Ancillary Service</w:t>
            </w:r>
            <w:r w:rsidRPr="003161DC" w:rsidDel="00235893">
              <w:t xml:space="preserve"> </w:t>
            </w:r>
            <w:r w:rsidRPr="003161DC">
              <w:t>in the most recently solved interval.  For Settlement Intervals that the Real-Time Settlement Point Prices are identified as erroneous</w:t>
            </w:r>
            <w:r>
              <w:t>,</w:t>
            </w:r>
            <w:r w:rsidRPr="003161DC">
              <w:t xml:space="preserve"> and ERCOT sets the SCED intervals as failed in accordance with Section 6.3, Adjustment Period and Real-Time Operations Timeline, then the LMPs, </w:t>
            </w:r>
            <w:r>
              <w:t xml:space="preserve">Real-Time MCPCs, </w:t>
            </w:r>
            <w:r w:rsidRPr="003161DC">
              <w:t>Real-Time Reliability Deployment Price Adders</w:t>
            </w:r>
            <w:r>
              <w:t xml:space="preserve"> for Energy</w:t>
            </w:r>
            <w:r w:rsidRPr="003161DC">
              <w:t xml:space="preserve">, </w:t>
            </w:r>
            <w:r>
              <w:t>and Real-Time Reliability Deployment Price Adders</w:t>
            </w:r>
            <w:r w:rsidRPr="003161DC" w:rsidDel="00235893">
              <w:t xml:space="preserve"> </w:t>
            </w:r>
            <w:r>
              <w:t>for Ancillary Service,</w:t>
            </w:r>
            <w:r w:rsidRPr="003161DC" w:rsidDel="00235893">
              <w:t xml:space="preserve"> </w:t>
            </w:r>
            <w:r w:rsidRPr="003161DC">
              <w:t xml:space="preserve">for the failed SCED intervals are equal to the LMPs, </w:t>
            </w:r>
            <w:r>
              <w:t xml:space="preserve">Real-Time MCPCs, </w:t>
            </w:r>
            <w:r w:rsidRPr="003161DC">
              <w:t>Real-Time Reliability Deployment Price Adders</w:t>
            </w:r>
            <w:r>
              <w:t xml:space="preserve"> for Energy, and Real-Time Reliability Deployment Price Adders</w:t>
            </w:r>
            <w:r w:rsidRPr="003161DC">
              <w:t xml:space="preserve"> </w:t>
            </w:r>
            <w:r>
              <w:t xml:space="preserve">for Ancillary Service, </w:t>
            </w:r>
            <w:r w:rsidRPr="003161DC">
              <w:t xml:space="preserve">in the most recently solved SCED interval that is not set as failed.  ERCOT shall notify the market of the failure by posting on the </w:t>
            </w:r>
            <w:r w:rsidR="0007207E">
              <w:t>ERCOT website</w:t>
            </w:r>
            <w:r w:rsidRPr="003161DC">
              <w:t xml:space="preserve">.  For intervals covering the first 15 minutes of SCED process execution following a failure, ERCOT shall set the LMPs, </w:t>
            </w:r>
            <w:r>
              <w:t xml:space="preserve">Real-Time MCPCs, </w:t>
            </w:r>
            <w:r w:rsidRPr="003161DC">
              <w:t>Real-Time Reliability Deployment Price Adders</w:t>
            </w:r>
            <w:r>
              <w:t xml:space="preserve"> for Energy, and Real-Time Reliability Deployment Price Adders</w:t>
            </w:r>
            <w:r w:rsidRPr="003161DC">
              <w:t xml:space="preserve"> </w:t>
            </w:r>
            <w:r>
              <w:t>for Ancillary Service,</w:t>
            </w:r>
            <w:r w:rsidRPr="003161DC">
              <w:t xml:space="preserve"> equal to the LMPs, </w:t>
            </w:r>
            <w:r>
              <w:t xml:space="preserve">Real-Time MCPCs, </w:t>
            </w:r>
            <w:r w:rsidRPr="003161DC">
              <w:t>Real-Time Reliability Deployment Price Adders</w:t>
            </w:r>
            <w:r>
              <w:t xml:space="preserve"> for Energy, and Real-Time Reliability Deployment Price Adders for Ancillary Service,</w:t>
            </w:r>
            <w:r w:rsidRPr="003161DC">
              <w:t xml:space="preserve"> in the most recently solved SCED interval prior to the SCED process failure.  ERCOT shall notify the market of this price correction by </w:t>
            </w:r>
            <w:r>
              <w:t xml:space="preserve">posting on the </w:t>
            </w:r>
            <w:r w:rsidR="0007207E">
              <w:t>ERCOT website</w:t>
            </w:r>
            <w:r>
              <w:t>.</w:t>
            </w:r>
          </w:p>
        </w:tc>
      </w:tr>
    </w:tbl>
    <w:p w14:paraId="2E8CFA22" w14:textId="02A356E1" w:rsidR="00882A2C" w:rsidRDefault="00882A2C" w:rsidP="00FB599C">
      <w:pPr>
        <w:spacing w:before="240" w:after="240"/>
        <w:ind w:left="720" w:hanging="720"/>
      </w:pPr>
      <w:r>
        <w:lastRenderedPageBreak/>
        <w:t>(3)</w:t>
      </w:r>
      <w:r>
        <w:tab/>
        <w:t>In the event that a Market Suspension is declared in accordance with Section 25, Market Suspension and Restart, upon the effective date and time of the Market Suspension, the Market Suspension Settlement methodology set forth in Section 25.5, Market Suspension and Market Restart Settlement, will supersede the provisions set forth in paragraph (2) above.</w:t>
      </w:r>
    </w:p>
    <w:p w14:paraId="7164B042" w14:textId="77777777" w:rsidR="001F04FD" w:rsidRDefault="001F04FD" w:rsidP="00882A2C">
      <w:pPr>
        <w:pStyle w:val="BodyTextNumbered"/>
      </w:pPr>
      <w:r>
        <w:t>(</w:t>
      </w:r>
      <w:r w:rsidR="00882A2C">
        <w:t>4</w:t>
      </w:r>
      <w:r>
        <w:t>)</w:t>
      </w:r>
      <w:r>
        <w:tab/>
        <w:t>Once ERCOT issues a Watch for a SCED process failure, ERCOT may use any of the following measures:</w:t>
      </w:r>
    </w:p>
    <w:p w14:paraId="3ECABFE0" w14:textId="77777777" w:rsidR="001F04FD" w:rsidRDefault="001F04FD" w:rsidP="001F04FD">
      <w:pPr>
        <w:pStyle w:val="List"/>
      </w:pPr>
      <w:r>
        <w:t>(a)</w:t>
      </w:r>
      <w:r>
        <w:tab/>
        <w:t>ERCOT may direct the SCED process to relax the active transmission constraints and/or the HASLs and LASLs for specific Resources and resume calculation of LMPs</w:t>
      </w:r>
      <w:r w:rsidRPr="0080555B">
        <w:t xml:space="preserve">, </w:t>
      </w:r>
      <w:r w:rsidRPr="00193B05">
        <w:t>Real-Time On-Line Reliability Deployment Price Adders</w:t>
      </w:r>
      <w:r>
        <w:t>,</w:t>
      </w:r>
      <w:r w:rsidRPr="0080555B">
        <w:t xml:space="preserve"> Real-Time On-Line Reserve Price Adders and Real-Time Off-Line Reserve Price Adders</w:t>
      </w:r>
      <w:r>
        <w:t xml:space="preserve"> by reducing the Ancillary Service Schedules for the affected Resource, if sufficient supply exists to manage total system needs;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35574" w14:paraId="1BF57280" w14:textId="77777777" w:rsidTr="00935574">
        <w:trPr>
          <w:trHeight w:val="206"/>
        </w:trPr>
        <w:tc>
          <w:tcPr>
            <w:tcW w:w="9350" w:type="dxa"/>
            <w:shd w:val="pct12" w:color="auto" w:fill="auto"/>
          </w:tcPr>
          <w:p w14:paraId="7144A023" w14:textId="18478B9B" w:rsidR="00935574" w:rsidRDefault="00935574" w:rsidP="00EC5231">
            <w:pPr>
              <w:pStyle w:val="Instructions"/>
              <w:spacing w:before="120"/>
            </w:pPr>
            <w:r>
              <w:t>[NPRR1010:  Replace paragraph (a) above with the following upon system implementation of the Real-Time Co-Optimization (RTC) project:]</w:t>
            </w:r>
          </w:p>
          <w:p w14:paraId="70C04A76" w14:textId="75BB44AA" w:rsidR="00935574" w:rsidRPr="00B37C4B" w:rsidRDefault="00935574" w:rsidP="00935574">
            <w:pPr>
              <w:spacing w:after="240"/>
              <w:ind w:left="1440" w:hanging="720"/>
            </w:pPr>
            <w:r w:rsidRPr="003161DC">
              <w:t>(a)</w:t>
            </w:r>
            <w:r w:rsidRPr="003161DC">
              <w:tab/>
              <w:t>ERCOT may direct the SCED process to relax the active transmission constraints</w:t>
            </w:r>
            <w:r>
              <w:t>;</w:t>
            </w:r>
          </w:p>
        </w:tc>
      </w:tr>
    </w:tbl>
    <w:p w14:paraId="032FBD6F" w14:textId="6BF5DA7C" w:rsidR="001F04FD" w:rsidRDefault="001F04FD" w:rsidP="00FB599C">
      <w:pPr>
        <w:pStyle w:val="List"/>
        <w:spacing w:before="240"/>
      </w:pPr>
      <w:r>
        <w:t>(b)</w:t>
      </w:r>
      <w:r>
        <w:tab/>
        <w:t>ERCOT may issue Emergency Base Points for Resources;</w:t>
      </w:r>
    </w:p>
    <w:p w14:paraId="5983029F" w14:textId="77777777" w:rsidR="001F04FD" w:rsidRDefault="001F04FD" w:rsidP="001F04FD">
      <w:pPr>
        <w:pStyle w:val="List"/>
      </w:pPr>
      <w:r>
        <w:t>(c)</w:t>
      </w:r>
      <w:r>
        <w:tab/>
        <w:t>ERCOT may manually issue Emergency Base Points for a Resource and must communicate the Resource name, MW output requested, and start time and duration of the Dispatch Instruction to the QSE representing the Resource;</w:t>
      </w:r>
    </w:p>
    <w:p w14:paraId="1208698E" w14:textId="77777777" w:rsidR="001F04FD" w:rsidRDefault="001F04FD" w:rsidP="001F04FD">
      <w:pPr>
        <w:pStyle w:val="List"/>
      </w:pPr>
      <w:r>
        <w:t>(d)</w:t>
      </w:r>
      <w:r>
        <w:tab/>
        <w:t>ERCOT may issue an instruction to hold the previous interval; and</w:t>
      </w:r>
    </w:p>
    <w:p w14:paraId="67C62441" w14:textId="77777777" w:rsidR="001F04FD" w:rsidRDefault="001F04FD" w:rsidP="001F04FD">
      <w:pPr>
        <w:pStyle w:val="List"/>
      </w:pPr>
      <w:r>
        <w:t>(e)</w:t>
      </w:r>
      <w:r>
        <w:tab/>
        <w:t>A QF, a hydro Generation Resource, or a nuclear-powered Resource may be instructed by ERCOT to operate below its LSL only after all other Resource options have been exhausted.</w:t>
      </w:r>
    </w:p>
    <w:p w14:paraId="3769D03E" w14:textId="77777777" w:rsidR="001F04FD" w:rsidRDefault="001F04FD" w:rsidP="001F04FD">
      <w:pPr>
        <w:pStyle w:val="BodyTextNumbered"/>
      </w:pPr>
      <w:r>
        <w:t>(</w:t>
      </w:r>
      <w:r w:rsidR="00882A2C">
        <w:t>5</w:t>
      </w:r>
      <w:r>
        <w:t>)</w:t>
      </w:r>
      <w:r>
        <w:tab/>
        <w:t>The Watch continues until the SCED process can reach a solution without using the measures in paragraph (</w:t>
      </w:r>
      <w:r w:rsidR="00882A2C">
        <w:t>4</w:t>
      </w:r>
      <w:r>
        <w:t>) above.</w:t>
      </w:r>
    </w:p>
    <w:p w14:paraId="7166B350" w14:textId="6A11BE2D" w:rsidR="001F04FD" w:rsidRDefault="001F04FD" w:rsidP="001F04FD">
      <w:pPr>
        <w:pStyle w:val="H4"/>
        <w:spacing w:before="480"/>
        <w:ind w:left="1267" w:hanging="1267"/>
      </w:pPr>
      <w:bookmarkStart w:id="1414" w:name="_Toc73216029"/>
      <w:bookmarkStart w:id="1415" w:name="_Toc397504986"/>
      <w:bookmarkStart w:id="1416" w:name="_Toc402357114"/>
      <w:bookmarkStart w:id="1417" w:name="_Toc422486494"/>
      <w:bookmarkStart w:id="1418" w:name="_Toc433093346"/>
      <w:bookmarkStart w:id="1419" w:name="_Toc433093504"/>
      <w:bookmarkStart w:id="1420" w:name="_Toc440874732"/>
      <w:bookmarkStart w:id="1421" w:name="_Toc448142287"/>
      <w:bookmarkStart w:id="1422" w:name="_Toc448142444"/>
      <w:bookmarkStart w:id="1423" w:name="_Toc458770281"/>
      <w:bookmarkStart w:id="1424" w:name="_Toc459294249"/>
      <w:bookmarkStart w:id="1425" w:name="_Toc463262742"/>
      <w:bookmarkStart w:id="1426" w:name="_Toc468286815"/>
      <w:bookmarkStart w:id="1427" w:name="_Toc481502861"/>
      <w:bookmarkStart w:id="1428" w:name="_Toc496080029"/>
      <w:bookmarkStart w:id="1429" w:name="_Toc204411631"/>
      <w:r>
        <w:t>6.5.9.3</w:t>
      </w:r>
      <w:r>
        <w:tab/>
        <w:t xml:space="preserve">Communication </w:t>
      </w:r>
      <w:r w:rsidR="002D28ED">
        <w:t>Prior to and During</w:t>
      </w:r>
      <w:r>
        <w:t xml:space="preserve"> Emergency Conditions</w:t>
      </w:r>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p>
    <w:p w14:paraId="0BF9E745" w14:textId="77777777" w:rsidR="001F04FD" w:rsidRDefault="001F04FD" w:rsidP="001F04FD">
      <w:pPr>
        <w:pStyle w:val="BodyTextNumbered"/>
      </w:pPr>
      <w:r>
        <w:t>(1)</w:t>
      </w:r>
      <w:r>
        <w:tab/>
        <w:t>Effective, accurate, and timely communication between ERCOT, TSPs, and QSEs is essential.  Each QSE must be provided adequate information to make informed decisions and must receive the information with sufficient advance notice to facilitate Resource and Load responses.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1D133276" w14:textId="77777777" w:rsidTr="004510FA">
        <w:trPr>
          <w:trHeight w:val="206"/>
        </w:trPr>
        <w:tc>
          <w:tcPr>
            <w:tcW w:w="9576" w:type="dxa"/>
            <w:shd w:val="pct12" w:color="auto" w:fill="auto"/>
          </w:tcPr>
          <w:p w14:paraId="0D2A086D" w14:textId="4FED3FA0" w:rsidR="00094CCC" w:rsidRDefault="00094CCC" w:rsidP="004510FA">
            <w:pPr>
              <w:pStyle w:val="Instructions"/>
              <w:spacing w:before="120"/>
            </w:pPr>
            <w:r>
              <w:lastRenderedPageBreak/>
              <w:t>[NPRR857:  Replace paragraph (1)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0920694" w14:textId="77777777" w:rsidR="00094CCC" w:rsidRPr="00B37C4B" w:rsidRDefault="00094CCC" w:rsidP="00094CCC">
            <w:pPr>
              <w:spacing w:after="240"/>
              <w:ind w:left="720" w:hanging="720"/>
            </w:pPr>
            <w:r w:rsidRPr="00E55E72">
              <w:t>(1)</w:t>
            </w:r>
            <w:r w:rsidRPr="00E55E72">
              <w:tab/>
              <w:t>Effective, accurate, and timely communication between ERCOT, TSPs, DCTOs, and QSEs is essential.  Each QSE must be provided adequate information to make informed decisions and must receive the information with sufficient advance notice to facilita</w:t>
            </w:r>
            <w:r>
              <w:t>te Resource and Load responses.</w:t>
            </w:r>
          </w:p>
        </w:tc>
      </w:tr>
    </w:tbl>
    <w:p w14:paraId="0483926B" w14:textId="77777777" w:rsidR="001F04FD" w:rsidRDefault="001F04FD" w:rsidP="0099247E">
      <w:pPr>
        <w:pStyle w:val="BodyTextNumbered"/>
        <w:spacing w:before="240"/>
      </w:pPr>
      <w:r>
        <w:t>(2)</w:t>
      </w:r>
      <w:r>
        <w:tab/>
        <w:t>The type of communication ERCOT issues is determined primarily on the basis of the time available for the market to respond before an Emergency Condition occurs.  The timing of these communications could range from days in advance to immediate.  If there is insufficient time to allow the market to react, ERCOT may bypass one or more of the communication steps.</w:t>
      </w:r>
    </w:p>
    <w:p w14:paraId="4694B32A" w14:textId="45B9B185" w:rsidR="001F04FD" w:rsidRDefault="001F04FD" w:rsidP="001F04FD">
      <w:pPr>
        <w:pStyle w:val="BodyTextNumbered"/>
      </w:pPr>
      <w:r>
        <w:t>(3)</w:t>
      </w:r>
      <w:r>
        <w:tab/>
        <w:t xml:space="preserve">ERCOT shall consider the severity of the potential Emergency Condition as it determines which of the communications </w:t>
      </w:r>
      <w:r w:rsidR="002D28ED">
        <w:t xml:space="preserve">to use as </w:t>
      </w:r>
      <w:r>
        <w:t xml:space="preserve">set forth in </w:t>
      </w:r>
      <w:r w:rsidR="002D28ED">
        <w:t>the following subsections</w:t>
      </w:r>
      <w:r>
        <w:t xml:space="preserve">.  The severity of the Emergency Condition could be limited to an isolated local area, or the condition might cover large areas affecting several </w:t>
      </w:r>
      <w:r>
        <w:rPr>
          <w:iCs/>
        </w:rPr>
        <w:t>entities</w:t>
      </w:r>
      <w:r>
        <w:t>, or the condition might be an ERCOT-wide condition potentially affecting the entire ERCOT System.</w:t>
      </w:r>
    </w:p>
    <w:p w14:paraId="51AA371C" w14:textId="77777777" w:rsidR="001F04FD" w:rsidRDefault="001F04FD" w:rsidP="001F04FD">
      <w:pPr>
        <w:pStyle w:val="BodyTextNumbered"/>
      </w:pPr>
      <w:r>
        <w:t>(4)</w:t>
      </w:r>
      <w:r>
        <w:tab/>
        <w:t>The following Sections describe the types of communications that will be issued by ERCOT to inform all QSEs and TSPs of the operating situation.  These communications may relate to transmission, distribution, or Generation or Load Resources.  The communications must specify the severity of the situation, the area affected, the areas potentially affected, and the anticipated duration of the Emergency Condition.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4A60ADE5" w14:textId="77777777" w:rsidTr="0098659C">
        <w:trPr>
          <w:trHeight w:val="296"/>
        </w:trPr>
        <w:tc>
          <w:tcPr>
            <w:tcW w:w="9576" w:type="dxa"/>
            <w:shd w:val="pct12" w:color="auto" w:fill="auto"/>
          </w:tcPr>
          <w:p w14:paraId="0A1119BF" w14:textId="5AB09341" w:rsidR="0098659C" w:rsidRDefault="0098659C" w:rsidP="004510FA">
            <w:pPr>
              <w:pStyle w:val="Instructions"/>
              <w:spacing w:before="120"/>
            </w:pPr>
            <w:bookmarkStart w:id="1430" w:name="_Toc482720113"/>
            <w:bookmarkStart w:id="1431" w:name="_Toc74137360"/>
            <w:bookmarkStart w:id="1432" w:name="_Toc397504987"/>
            <w:bookmarkStart w:id="1433" w:name="_Toc402357115"/>
            <w:bookmarkStart w:id="1434" w:name="_Toc422486495"/>
            <w:bookmarkStart w:id="1435" w:name="_Toc433093347"/>
            <w:bookmarkStart w:id="1436" w:name="_Toc433093505"/>
            <w:bookmarkStart w:id="1437" w:name="_Toc440874733"/>
            <w:bookmarkStart w:id="1438" w:name="_Toc448142288"/>
            <w:bookmarkStart w:id="1439" w:name="_Toc448142445"/>
            <w:bookmarkStart w:id="1440" w:name="_Toc458770282"/>
            <w:bookmarkStart w:id="1441" w:name="_Toc459294250"/>
            <w:bookmarkStart w:id="1442" w:name="_Toc463262743"/>
            <w:bookmarkStart w:id="1443" w:name="_Toc468286816"/>
            <w:bookmarkStart w:id="1444" w:name="_Toc481502862"/>
            <w:bookmarkStart w:id="1445" w:name="_Toc496080030"/>
            <w:r>
              <w:t>[NPRR857:  Replace paragraph (4)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4D156F6E" w14:textId="77777777" w:rsidR="0098659C" w:rsidRPr="00B37C4B" w:rsidRDefault="0098659C" w:rsidP="0098659C">
            <w:pPr>
              <w:spacing w:after="240"/>
              <w:ind w:left="720" w:hanging="720"/>
            </w:pPr>
            <w:r w:rsidRPr="00E55E72">
              <w:t>(4)</w:t>
            </w:r>
            <w:r w:rsidRPr="00E55E72">
              <w:tab/>
              <w:t xml:space="preserve">The following Sections describe the types of communications that will be issued by ERCOT to inform all QSEs, TSPs, and DCTOs of the operating situation.  These communications may relate to transmission, distribution, or Generation or Load Resources.  The communications must specify the severity of the situation, the area </w:t>
            </w:r>
            <w:r w:rsidRPr="00E55E72">
              <w:lastRenderedPageBreak/>
              <w:t xml:space="preserve">affected, the areas potentially affected, and the anticipated duration of the Emergency </w:t>
            </w:r>
            <w:r>
              <w:t>Condition.</w:t>
            </w:r>
          </w:p>
        </w:tc>
      </w:tr>
    </w:tbl>
    <w:p w14:paraId="79FC0959" w14:textId="77777777" w:rsidR="001F04FD" w:rsidRDefault="001F04FD" w:rsidP="001F04FD">
      <w:pPr>
        <w:pStyle w:val="H5"/>
        <w:spacing w:before="480"/>
        <w:ind w:left="1627" w:hanging="1627"/>
      </w:pPr>
      <w:bookmarkStart w:id="1446" w:name="_Toc204411632"/>
      <w:r>
        <w:lastRenderedPageBreak/>
        <w:t>6.5.9.3.1</w:t>
      </w:r>
      <w:r>
        <w:tab/>
      </w:r>
      <w:bookmarkEnd w:id="1430"/>
      <w:bookmarkEnd w:id="1431"/>
      <w:r>
        <w:t>Operating Condition Notice</w:t>
      </w:r>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p>
    <w:p w14:paraId="54FF8F65" w14:textId="6F833910" w:rsidR="001F04FD" w:rsidRDefault="001F04FD" w:rsidP="001F04FD">
      <w:pPr>
        <w:pStyle w:val="BodyTextNumbered"/>
      </w:pPr>
      <w:r>
        <w:t>(1)</w:t>
      </w:r>
      <w:r>
        <w:tab/>
        <w:t xml:space="preserve">ERCOT will issue an Operating Condition Notice (OCN) to inform </w:t>
      </w:r>
      <w:r w:rsidR="001C0FEC">
        <w:t>Market Participants</w:t>
      </w:r>
      <w:r>
        <w:t xml:space="preserve"> of a possible future need for more Resources due to conditions that could affect ERCOT System reliability.  OCNs are for informational purposes only, and ERCOT exercises no additional operational authority with the issuance of this type of notice, but may solicit additional information from QSEs in order to determine whether the issuance of an Advisory, Watch, or Emergency Notice is warranted.  The OCN is the first of </w:t>
      </w:r>
      <w:r w:rsidR="002D28ED">
        <w:t>three</w:t>
      </w:r>
      <w:r>
        <w:t xml:space="preserve"> levels of communication issued by ERCOT in anticipation of a possible Emergency Condition. </w:t>
      </w:r>
    </w:p>
    <w:p w14:paraId="6B2CFD77" w14:textId="18310703" w:rsidR="001F04FD" w:rsidRDefault="001F04FD" w:rsidP="001F04FD">
      <w:pPr>
        <w:pStyle w:val="BodyTextNumbered"/>
      </w:pPr>
      <w:r>
        <w:t>(2)</w:t>
      </w:r>
      <w:r>
        <w:tab/>
        <w:t xml:space="preserve">When time permits, ERCOT will issue an OCN before issuing an Advisory, Watch, or Emergency Notice.  However, issuance of an OCN may not require action on the part of any Market Participant, but rather serves as a </w:t>
      </w:r>
      <w:r w:rsidR="001C0FEC">
        <w:t>notice to Market Participants</w:t>
      </w:r>
      <w:r>
        <w:t xml:space="preserve"> that some attention to the changing conditions may be warranted.  OCNs serve to communicate to QSEs the need to take extra precautions to be prepared to serve the Load during times when contingencies are most likely to arise.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3BBA6EF9" w14:textId="77777777" w:rsidTr="004510FA">
        <w:trPr>
          <w:trHeight w:val="296"/>
        </w:trPr>
        <w:tc>
          <w:tcPr>
            <w:tcW w:w="9576" w:type="dxa"/>
            <w:shd w:val="pct12" w:color="auto" w:fill="auto"/>
          </w:tcPr>
          <w:p w14:paraId="3804AE06" w14:textId="0DE9D728" w:rsidR="0098659C" w:rsidRDefault="0098659C" w:rsidP="004510FA">
            <w:pPr>
              <w:pStyle w:val="Instructions"/>
              <w:spacing w:before="120"/>
            </w:pPr>
            <w:r>
              <w:t>[NPRR857:  Replace paragraph (2)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694F652" w14:textId="4DE04635" w:rsidR="0098659C" w:rsidRPr="00B37C4B" w:rsidRDefault="0098659C" w:rsidP="0098659C">
            <w:pPr>
              <w:spacing w:after="240"/>
              <w:ind w:left="720" w:hanging="720"/>
            </w:pPr>
            <w:r w:rsidRPr="00E55E72">
              <w:t>(2)</w:t>
            </w:r>
            <w:r w:rsidRPr="00E55E72">
              <w:tab/>
              <w:t xml:space="preserve">When time permits, ERCOT will issue an OCN before issuing an Advisory, Watch, or Emergency Notice.  However, issuance of an OCN may not require action on the part of any Market Participant, but rather serves as </w:t>
            </w:r>
            <w:r w:rsidR="001C0FEC">
              <w:t>notice to Market Participants</w:t>
            </w:r>
            <w:r w:rsidRPr="00E55E72">
              <w:t xml:space="preserve"> that some attention to the changing conditions may be warranted.  OCNs serve to communicate to QSEs the need to take extra precautions to be prepared to serve the Load during times when continge</w:t>
            </w:r>
            <w:r>
              <w:t>ncies are most likely to arise.</w:t>
            </w:r>
          </w:p>
        </w:tc>
      </w:tr>
    </w:tbl>
    <w:p w14:paraId="7A400F5C" w14:textId="12921AA9" w:rsidR="001F04FD" w:rsidRDefault="001F04FD" w:rsidP="0099247E">
      <w:pPr>
        <w:pStyle w:val="BodyTextNumbered"/>
        <w:spacing w:before="240"/>
      </w:pPr>
      <w:r>
        <w:t>(3)</w:t>
      </w:r>
      <w:r>
        <w:tab/>
        <w:t xml:space="preserve">Reasons for OCNs include, but are not limited to, unplanned transmission Outages, </w:t>
      </w:r>
      <w:r w:rsidR="002D28ED">
        <w:t xml:space="preserve">insufficient Resources to meet forecasted conditions, </w:t>
      </w:r>
      <w:r>
        <w:t>and weather-related concerns such as anticipated freezing temperatures, hurricanes, wet weather, and ice storms.</w:t>
      </w:r>
    </w:p>
    <w:p w14:paraId="069A3283" w14:textId="77777777" w:rsidR="001F04FD" w:rsidRDefault="001F04FD" w:rsidP="001F04FD">
      <w:pPr>
        <w:pStyle w:val="BodyTextNumbered"/>
      </w:pPr>
      <w:r>
        <w:t>(4)</w:t>
      </w:r>
      <w:r>
        <w:tab/>
        <w:t xml:space="preserve">ERCOT will monitor actual and forecasted weather for the ERCOT Region and adjacent NERC regions.  When adverse weather conditions are expected, ERCOT may confer with TSPs and QSEs regarding the potential for adverse reliability impacts and contingency preparedness.  Based on its assessment of the potential for adverse conditions, ERCOT </w:t>
      </w:r>
      <w:r>
        <w:lastRenderedPageBreak/>
        <w:t>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312F1F5A" w14:textId="77777777" w:rsidTr="004510FA">
        <w:trPr>
          <w:trHeight w:val="296"/>
        </w:trPr>
        <w:tc>
          <w:tcPr>
            <w:tcW w:w="9576" w:type="dxa"/>
            <w:shd w:val="pct12" w:color="auto" w:fill="auto"/>
          </w:tcPr>
          <w:p w14:paraId="64908941" w14:textId="31BDCA35" w:rsidR="0098659C" w:rsidRDefault="0098659C" w:rsidP="004510FA">
            <w:pPr>
              <w:pStyle w:val="Instructions"/>
              <w:spacing w:before="120"/>
            </w:pPr>
            <w:r>
              <w:t>[NPRR857:  Replace paragraph (4)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17EE6F43" w14:textId="77777777" w:rsidR="0098659C" w:rsidRPr="00B37C4B" w:rsidRDefault="0098659C" w:rsidP="0098659C">
            <w:pPr>
              <w:spacing w:after="240"/>
              <w:ind w:left="720" w:hanging="720"/>
            </w:pPr>
            <w:r w:rsidRPr="00E55E72">
              <w:t>(4)</w:t>
            </w:r>
            <w:r w:rsidRPr="00E55E72">
              <w:tab/>
              <w:t>ERCOT will monitor actual and forecasted weather for the ERCOT Region and adjacent NERC regions.  When adverse weather conditions are expected, ERCOT may confer with TSPs, DCTOs, and QSEs regarding the potential for adverse reliability impacts and contingency preparedness.  Based on its assessment of the potential for adverse conditions,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w:t>
            </w:r>
            <w:r>
              <w:t>COT at the time of the request.</w:t>
            </w:r>
          </w:p>
        </w:tc>
      </w:tr>
    </w:tbl>
    <w:p w14:paraId="77D29A81" w14:textId="77777777" w:rsidR="001F04FD" w:rsidRDefault="001F04FD" w:rsidP="0099247E">
      <w:pPr>
        <w:pStyle w:val="BodyTextNumbered"/>
        <w:spacing w:before="240"/>
      </w:pPr>
      <w:r>
        <w:t>(5)</w:t>
      </w:r>
      <w:r>
        <w:tab/>
        <w:t>QSEs and TSPs are expected to establish and maintain internal procedures for monitoring actual and forecasted weather and for implementing appropriate measures when the potential for adverse weather or other conditions (which could threaten ERCOT System reliability) arise.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580B35C8" w14:textId="77777777" w:rsidTr="00FB1DA3">
        <w:trPr>
          <w:trHeight w:val="296"/>
        </w:trPr>
        <w:tc>
          <w:tcPr>
            <w:tcW w:w="9350" w:type="dxa"/>
            <w:shd w:val="pct12" w:color="auto" w:fill="auto"/>
          </w:tcPr>
          <w:p w14:paraId="657E4CC2" w14:textId="6A13C152" w:rsidR="0098659C" w:rsidRDefault="0098659C" w:rsidP="004510FA">
            <w:pPr>
              <w:pStyle w:val="Instructions"/>
              <w:spacing w:before="120"/>
            </w:pPr>
            <w:bookmarkStart w:id="1447" w:name="_Toc397504988"/>
            <w:bookmarkStart w:id="1448" w:name="_Toc402357116"/>
            <w:bookmarkStart w:id="1449" w:name="_Toc422486496"/>
            <w:bookmarkStart w:id="1450" w:name="_Toc433093348"/>
            <w:bookmarkStart w:id="1451" w:name="_Toc433093506"/>
            <w:bookmarkStart w:id="1452" w:name="_Toc440874734"/>
            <w:bookmarkStart w:id="1453" w:name="_Toc448142289"/>
            <w:bookmarkStart w:id="1454" w:name="_Toc448142446"/>
            <w:bookmarkStart w:id="1455" w:name="_Toc458770283"/>
            <w:bookmarkStart w:id="1456" w:name="_Toc459294251"/>
            <w:bookmarkStart w:id="1457" w:name="_Toc463262744"/>
            <w:bookmarkStart w:id="1458" w:name="_Toc468286817"/>
            <w:bookmarkStart w:id="1459" w:name="_Toc481502863"/>
            <w:bookmarkStart w:id="1460" w:name="_Toc496080031"/>
            <w:r>
              <w:t>[NPRR857:  Replace paragraph (5)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39539F18" w14:textId="77777777" w:rsidR="0098659C" w:rsidRPr="00B37C4B" w:rsidRDefault="0098659C" w:rsidP="0098659C">
            <w:pPr>
              <w:spacing w:after="240"/>
              <w:ind w:left="720" w:hanging="720"/>
            </w:pPr>
            <w:r w:rsidRPr="00E55E72">
              <w:t>(5)</w:t>
            </w:r>
            <w:r w:rsidRPr="00E55E72">
              <w:tab/>
              <w:t>QSEs, TSPs, and DCTOs are expected to establish and maintain internal procedures for monitoring actual and forecasted weather and for implementing appropriate measures when the potential for adverse weather or other conditions (which could threaten E</w:t>
            </w:r>
            <w:r>
              <w:t>RCOT System reliability) arise.</w:t>
            </w:r>
          </w:p>
        </w:tc>
      </w:tr>
    </w:tbl>
    <w:p w14:paraId="0E8BB6CB" w14:textId="77777777" w:rsidR="00FB1DA3" w:rsidRPr="00F057BA" w:rsidRDefault="00FB1DA3" w:rsidP="00FB1DA3">
      <w:pPr>
        <w:pStyle w:val="H4"/>
        <w:tabs>
          <w:tab w:val="clear" w:pos="1260"/>
          <w:tab w:val="left" w:pos="1620"/>
        </w:tabs>
        <w:spacing w:before="480"/>
        <w:ind w:left="1627" w:hanging="1627"/>
        <w:outlineLvl w:val="4"/>
        <w:rPr>
          <w:b w:val="0"/>
          <w:bCs w:val="0"/>
          <w:iCs/>
        </w:rPr>
      </w:pPr>
      <w:bookmarkStart w:id="1461" w:name="_Toc204411633"/>
      <w:r w:rsidRPr="00F057BA">
        <w:rPr>
          <w:iCs/>
        </w:rPr>
        <w:lastRenderedPageBreak/>
        <w:t>6.5.9.3.1.1</w:t>
      </w:r>
      <w:r w:rsidRPr="00F057BA">
        <w:rPr>
          <w:iCs/>
        </w:rPr>
        <w:tab/>
        <w:t>Advance Action Notice</w:t>
      </w:r>
      <w:bookmarkEnd w:id="1461"/>
    </w:p>
    <w:p w14:paraId="20F04EFB" w14:textId="77777777" w:rsidR="00FB1DA3" w:rsidRPr="00F057BA" w:rsidRDefault="00FB1DA3" w:rsidP="00FB1DA3">
      <w:pPr>
        <w:pStyle w:val="BodyTextNumbered"/>
      </w:pPr>
      <w:r w:rsidRPr="00F057BA">
        <w:t xml:space="preserve">(1) </w:t>
      </w:r>
      <w:r w:rsidRPr="00F057BA">
        <w:tab/>
        <w:t>ERCOT may issue an AAN in anticipation of a possible Emergency Condition.  Any AAN will identify actions ERCOT expects to take to address the possible Emergency Condition unless the need for ERCOT action is alleviated by QSE and/or TSP actions taken, or by other system developments that occur, before a time stated in the AAN.</w:t>
      </w:r>
    </w:p>
    <w:p w14:paraId="3E12C6BB" w14:textId="77777777" w:rsidR="00FB1DA3" w:rsidRPr="00F057BA" w:rsidRDefault="00FB1DA3" w:rsidP="00FB1DA3">
      <w:pPr>
        <w:pStyle w:val="BodyTextNumbered"/>
      </w:pPr>
      <w:r w:rsidRPr="00F057BA">
        <w:t>(2)</w:t>
      </w:r>
      <w:r w:rsidRPr="00F057BA">
        <w:tab/>
        <w:t xml:space="preserve">An AAN may not require action on the part of any Market Participant but may include additional information so that Market Participants can modify their plans in such a way that mitigates the need for ERCOT to take additional actions.  </w:t>
      </w:r>
    </w:p>
    <w:p w14:paraId="411B203C" w14:textId="715EBBB6" w:rsidR="009676E9" w:rsidRPr="009676E9" w:rsidRDefault="00FB1DA3" w:rsidP="00FB1DA3">
      <w:pPr>
        <w:pStyle w:val="BodyTextNumbered"/>
      </w:pPr>
      <w:r w:rsidRPr="00F057BA">
        <w:t xml:space="preserve">(3) </w:t>
      </w:r>
      <w:r w:rsidRPr="00F057BA">
        <w:tab/>
        <w:t>An AAN will be canceled if ERCOT determines that the possible Emergency Condition has been alleviated by QSE or TSP action, by ERCOT action, or by other system developments.</w:t>
      </w:r>
    </w:p>
    <w:p w14:paraId="695C36A4" w14:textId="77777777" w:rsidR="001F04FD" w:rsidRDefault="001F04FD" w:rsidP="001B11AD">
      <w:pPr>
        <w:pStyle w:val="H5"/>
        <w:ind w:left="1627" w:hanging="1627"/>
      </w:pPr>
      <w:bookmarkStart w:id="1462" w:name="_Toc204411634"/>
      <w:r>
        <w:t>6.5.9.3.2</w:t>
      </w:r>
      <w:r>
        <w:tab/>
        <w:t>Advisory</w:t>
      </w:r>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2"/>
    </w:p>
    <w:p w14:paraId="11A91922" w14:textId="3721E85A" w:rsidR="001F04FD" w:rsidRDefault="001F04FD" w:rsidP="001F04FD">
      <w:pPr>
        <w:pStyle w:val="BodyTextNumbered"/>
      </w:pPr>
      <w:r>
        <w:t>(1)</w:t>
      </w:r>
      <w:r>
        <w:tab/>
        <w:t xml:space="preserve">An Advisory is the second of </w:t>
      </w:r>
      <w:r w:rsidR="002D28ED">
        <w:t>three</w:t>
      </w:r>
      <w:r>
        <w:t xml:space="preserve"> levels of communication issued by ERCOT in anticipation of a possible Emergency Condition. </w:t>
      </w:r>
    </w:p>
    <w:p w14:paraId="1F35E1E1" w14:textId="77777777" w:rsidR="001F04FD" w:rsidRDefault="001F04FD" w:rsidP="001F04FD">
      <w:pPr>
        <w:pStyle w:val="BodyTextNumbered"/>
      </w:pPr>
      <w:r>
        <w:t>(2)</w:t>
      </w:r>
      <w:r>
        <w:tab/>
        <w:t>ERCOT shall issue an Advisory for reasons such as, but not limited to, the following:</w:t>
      </w:r>
    </w:p>
    <w:p w14:paraId="712734E0" w14:textId="77777777" w:rsidR="001F04FD" w:rsidRDefault="001F04FD" w:rsidP="001F04FD">
      <w:pPr>
        <w:pStyle w:val="List"/>
      </w:pPr>
      <w:r>
        <w:t>(a)</w:t>
      </w:r>
      <w:r>
        <w:tab/>
        <w:t>When it recognizes that conditions are developing or have changed and more Ancillary Services will be needed to maintain current or near-term operating reliability;</w:t>
      </w:r>
    </w:p>
    <w:p w14:paraId="082461CD" w14:textId="77777777" w:rsidR="001F04FD" w:rsidRDefault="001F04FD" w:rsidP="001F04FD">
      <w:pPr>
        <w:pStyle w:val="List"/>
      </w:pPr>
      <w:r>
        <w:t>(b)</w:t>
      </w:r>
      <w:r>
        <w:tab/>
        <w:t>When weather or ERCOT System conditions require more lead-time than the normal DAM allows;</w:t>
      </w:r>
    </w:p>
    <w:p w14:paraId="76C8A2A7" w14:textId="77777777" w:rsidR="001F04FD" w:rsidRDefault="001F04FD" w:rsidP="001F04FD">
      <w:pPr>
        <w:pStyle w:val="List"/>
      </w:pPr>
      <w:r>
        <w:t>(c)</w:t>
      </w:r>
      <w:r>
        <w:tab/>
        <w:t>When communications or other controls are significantly limited; or</w:t>
      </w:r>
    </w:p>
    <w:p w14:paraId="0A14CED1" w14:textId="77777777" w:rsidR="001F04FD" w:rsidRDefault="001F04FD" w:rsidP="001F04FD">
      <w:pPr>
        <w:pStyle w:val="List"/>
      </w:pPr>
      <w:r>
        <w:t>(d)</w:t>
      </w:r>
      <w:r>
        <w:tab/>
        <w:t>When ERCOT Transmission Grid conditions are such that operations within security criteria as defined in the Operating Guides are not likely or possible because of Forced Outages or other conditions unless a Constraint Management Plan (CMP) exists.</w:t>
      </w:r>
    </w:p>
    <w:p w14:paraId="5B4EDC00" w14:textId="77777777" w:rsidR="001F04FD" w:rsidRDefault="001F04FD" w:rsidP="001F04FD">
      <w:pPr>
        <w:pStyle w:val="BodyTextNumbered"/>
      </w:pPr>
      <w:r>
        <w:t>(3)</w:t>
      </w:r>
      <w:r>
        <w:tab/>
        <w:t>The Advisory must communicate existing constraints.  ERCOT shall notify TSPs and QSEs of the Advisory, and QSEs shall notify appropriate Resources and Load Serving Entities (LSEs).  ERCOT shall communicate with TSPs as needed to confirm their understanding of the condition and to determine the availability of Transmission Facilities.  For the purposes of verifying submitted information, ERCOT may communicate with QSEs.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34C84" w14:paraId="7E677E4E" w14:textId="77777777" w:rsidTr="004510FA">
        <w:trPr>
          <w:trHeight w:val="296"/>
        </w:trPr>
        <w:tc>
          <w:tcPr>
            <w:tcW w:w="9576" w:type="dxa"/>
            <w:shd w:val="pct12" w:color="auto" w:fill="auto"/>
          </w:tcPr>
          <w:p w14:paraId="7B5ACF0D" w14:textId="0E04E051" w:rsidR="00634C84" w:rsidRDefault="00634C84" w:rsidP="004510FA">
            <w:pPr>
              <w:pStyle w:val="Instructions"/>
              <w:spacing w:before="120"/>
            </w:pPr>
            <w:r>
              <w:t>[NPRR857:  Replace paragraph (3) above with the following upon system implementation</w:t>
            </w:r>
            <w:r w:rsidR="004A5B0B">
              <w:t xml:space="preserve"> </w:t>
            </w:r>
            <w:r w:rsidR="004A5B0B" w:rsidRPr="00711DF0">
              <w:rPr>
                <w:bCs/>
                <w:iCs w:val="0"/>
              </w:rPr>
              <w:t xml:space="preserve">and </w:t>
            </w:r>
            <w:r w:rsidR="004A5B0B" w:rsidRPr="00ED2B32">
              <w:t xml:space="preserve">satisfying the following conditions: (1) Southern Cross provides ERCOT with funds to cover the entire estimated cost of the project; and (2) Southern Cross has signed an interconnection agreement with a TSP and the TSP gives ERCOT written notice that </w:t>
            </w:r>
            <w:r w:rsidR="004A5B0B" w:rsidRPr="00ED2B32">
              <w:lastRenderedPageBreak/>
              <w:t>Southern Cross has provided it with:  (a) Notice to proceed with the construction of the interconnection; and (b) The financial security required to fund the interconnection facilities</w:t>
            </w:r>
            <w:r>
              <w:t>:]</w:t>
            </w:r>
          </w:p>
          <w:p w14:paraId="65C62ADE" w14:textId="77777777" w:rsidR="00634C84" w:rsidRPr="00B37C4B" w:rsidRDefault="00634C84" w:rsidP="00634C84">
            <w:pPr>
              <w:spacing w:after="240"/>
              <w:ind w:left="720" w:hanging="720"/>
            </w:pPr>
            <w:r w:rsidRPr="00E55E72">
              <w:t>(3)</w:t>
            </w:r>
            <w:r w:rsidRPr="00E55E72">
              <w:tab/>
              <w:t>The Advisory must communicate existing constraints.  ERCOT shall notify TSPs, DCTOs, and QSEs of the Advisory, and QSEs shall notify appropriate Resources and Load Serving Entities (LSEs).  ERCOT shall communicate with TSPs and DCTOs as needed to confirm their understanding of the condition and to determine the availability of Transmission Facilities.  For the purposes of verifying submitted information, E</w:t>
            </w:r>
            <w:r>
              <w:t>RCOT may communicate with QSEs.</w:t>
            </w:r>
          </w:p>
        </w:tc>
      </w:tr>
    </w:tbl>
    <w:p w14:paraId="6365799C" w14:textId="77777777" w:rsidR="001F04FD" w:rsidRDefault="001F04FD" w:rsidP="0099247E">
      <w:pPr>
        <w:pStyle w:val="BodyTextNumbered"/>
        <w:spacing w:before="240"/>
      </w:pPr>
      <w:r>
        <w:lastRenderedPageBreak/>
        <w:t>(4)</w:t>
      </w:r>
      <w:r>
        <w:tab/>
        <w:t>Although an Advisory is for information purposes, ERCOT may exercise its authority, in such circumstances, to increase Ancillary Service requirements above the quantities originally specified in the Day-Ahead in accordance with procedures.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  QSEs representing Resources shall provide the requested information in a timely manner, as defined by ERCOT at the time of the request.</w:t>
      </w:r>
    </w:p>
    <w:p w14:paraId="084B6BC5" w14:textId="77777777" w:rsidR="001F04FD" w:rsidRDefault="001F04FD" w:rsidP="001F04FD">
      <w:pPr>
        <w:pStyle w:val="H5"/>
        <w:spacing w:before="480"/>
        <w:ind w:left="1627" w:hanging="1627"/>
      </w:pPr>
      <w:bookmarkStart w:id="1463" w:name="_Toc397504989"/>
      <w:bookmarkStart w:id="1464" w:name="_Toc402357117"/>
      <w:bookmarkStart w:id="1465" w:name="_Toc422486497"/>
      <w:bookmarkStart w:id="1466" w:name="_Toc433093349"/>
      <w:bookmarkStart w:id="1467" w:name="_Toc433093507"/>
      <w:bookmarkStart w:id="1468" w:name="_Toc440874735"/>
      <w:bookmarkStart w:id="1469" w:name="_Toc448142290"/>
      <w:bookmarkStart w:id="1470" w:name="_Toc448142447"/>
      <w:bookmarkStart w:id="1471" w:name="_Toc458770284"/>
      <w:bookmarkStart w:id="1472" w:name="_Toc459294252"/>
      <w:bookmarkStart w:id="1473" w:name="_Toc463262745"/>
      <w:bookmarkStart w:id="1474" w:name="_Toc468286818"/>
      <w:bookmarkStart w:id="1475" w:name="_Toc481502864"/>
      <w:bookmarkStart w:id="1476" w:name="_Toc496080032"/>
      <w:bookmarkStart w:id="1477" w:name="_Toc204411635"/>
      <w:r>
        <w:t>6.5.9.3.3</w:t>
      </w:r>
      <w:r>
        <w:tab/>
        <w:t>Watch</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14:paraId="507214BF" w14:textId="2ADBA6EE" w:rsidR="001F04FD" w:rsidRDefault="001F04FD" w:rsidP="001F04FD">
      <w:pPr>
        <w:pStyle w:val="BodyTextNumbered"/>
      </w:pPr>
      <w:r>
        <w:t>(1)</w:t>
      </w:r>
      <w:r>
        <w:tab/>
        <w:t xml:space="preserve">A Watch is the third of </w:t>
      </w:r>
      <w:r w:rsidR="002D28ED">
        <w:t>three</w:t>
      </w:r>
      <w:r>
        <w:t xml:space="preserve"> levels of communication issued by ERCOT in anticipation of a possible Emergency Condition. </w:t>
      </w:r>
    </w:p>
    <w:p w14:paraId="4392B55C" w14:textId="77777777" w:rsidR="001F04FD" w:rsidRDefault="001F04FD" w:rsidP="001F04FD">
      <w:pPr>
        <w:pStyle w:val="BodyTextNumbered"/>
      </w:pPr>
      <w:r>
        <w:t>(2)</w:t>
      </w:r>
      <w:r>
        <w:tab/>
        <w:t>ERCOT shall issue a Watch when ERCOT determines that:</w:t>
      </w:r>
    </w:p>
    <w:p w14:paraId="6E445952" w14:textId="77777777" w:rsidR="001F04FD" w:rsidRDefault="001F04FD" w:rsidP="001F04FD">
      <w:pPr>
        <w:pStyle w:val="List"/>
      </w:pPr>
      <w:r>
        <w:t>(a)</w:t>
      </w:r>
      <w:r>
        <w:tab/>
        <w:t>Conditions have developed such that additional Ancillary Services are needed in the current Operating Period;</w:t>
      </w:r>
    </w:p>
    <w:p w14:paraId="4F2382E5" w14:textId="77777777" w:rsidR="001F04FD" w:rsidRDefault="001F04FD" w:rsidP="001F04FD">
      <w:pPr>
        <w:pStyle w:val="List"/>
      </w:pPr>
      <w:r>
        <w:t>(b)</w:t>
      </w:r>
      <w:r>
        <w:tab/>
        <w:t>There are insufficient Ancillary Services or Energy Offers in the DAM;</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69C1DBAB" w14:textId="77777777" w:rsidTr="00EC5231">
        <w:trPr>
          <w:trHeight w:val="206"/>
        </w:trPr>
        <w:tc>
          <w:tcPr>
            <w:tcW w:w="9350" w:type="dxa"/>
            <w:shd w:val="pct12" w:color="auto" w:fill="auto"/>
          </w:tcPr>
          <w:p w14:paraId="2AB12AC0" w14:textId="6AAE04B8" w:rsidR="002D5C44" w:rsidRPr="00B37C4B" w:rsidRDefault="002D5C44" w:rsidP="000932C9">
            <w:pPr>
              <w:pStyle w:val="Instructions"/>
              <w:spacing w:before="120"/>
            </w:pPr>
            <w:r>
              <w:t>[NPRR1010:  Delete paragraphs (a) and (b) above upon system implementation of the Real-Time Co-Optimization (RTC) project and renumber accordingly</w:t>
            </w:r>
            <w:r w:rsidR="000932C9">
              <w:t>.</w:t>
            </w:r>
            <w:r>
              <w:t>]</w:t>
            </w:r>
          </w:p>
        </w:tc>
      </w:tr>
    </w:tbl>
    <w:p w14:paraId="20615872" w14:textId="3D897A12" w:rsidR="001F04FD" w:rsidRDefault="001F04FD" w:rsidP="00FB599C">
      <w:pPr>
        <w:pStyle w:val="List"/>
        <w:spacing w:before="240"/>
      </w:pPr>
      <w:r>
        <w:t>(c)</w:t>
      </w:r>
      <w:r>
        <w:tab/>
        <w:t>Market-based congestion management techniques embedded in SCED as specified in these Protocols will not be adequate to resolve transmission security violations;</w:t>
      </w:r>
    </w:p>
    <w:p w14:paraId="518ACB4E" w14:textId="77777777" w:rsidR="001F04FD" w:rsidRDefault="001F04FD" w:rsidP="001F04FD">
      <w:pPr>
        <w:pStyle w:val="List"/>
      </w:pPr>
      <w:r>
        <w:t>(d)</w:t>
      </w:r>
      <w:r>
        <w:tab/>
        <w:t>Forced Outages or other abnormal operating conditions have occurred, or may occur that require operations with active violations of security criteria as defined in the Operating Guides unless a CMP exists;</w:t>
      </w:r>
    </w:p>
    <w:p w14:paraId="54A64A86" w14:textId="77777777" w:rsidR="001F04FD" w:rsidRPr="001F61D4" w:rsidRDefault="001F04FD" w:rsidP="001F04FD">
      <w:pPr>
        <w:spacing w:after="240"/>
        <w:ind w:left="1440" w:hanging="720"/>
      </w:pPr>
      <w:r w:rsidRPr="001F61D4">
        <w:lastRenderedPageBreak/>
        <w:t>(e)</w:t>
      </w:r>
      <w:r w:rsidRPr="001F61D4">
        <w:tab/>
        <w:t>ERCOT varies from timing requirements or omits one or more Day-Ahead or Adjustment Period and Real-Time procedures;</w:t>
      </w:r>
    </w:p>
    <w:p w14:paraId="0A85D2B2" w14:textId="77777777" w:rsidR="001F04FD" w:rsidRPr="001F61D4" w:rsidRDefault="001F04FD" w:rsidP="001F04FD">
      <w:pPr>
        <w:spacing w:after="240"/>
        <w:ind w:left="1440" w:hanging="720"/>
      </w:pPr>
      <w:r w:rsidRPr="001F61D4">
        <w:t>(f)</w:t>
      </w:r>
      <w:r w:rsidRPr="001F61D4">
        <w:tab/>
        <w:t>ERCOT varies from timing requirements or omits one or more scheduling procedures in the Real-Time process; or</w:t>
      </w:r>
    </w:p>
    <w:p w14:paraId="4AF0AC3D" w14:textId="77777777" w:rsidR="001F04FD" w:rsidRDefault="001F04FD" w:rsidP="001F04FD">
      <w:pPr>
        <w:pStyle w:val="List"/>
      </w:pPr>
      <w:r w:rsidRPr="001F61D4">
        <w:t>(g)</w:t>
      </w:r>
      <w:r w:rsidRPr="001F61D4">
        <w:tab/>
        <w:t>The SCED process fails to reach a solution, whether or not ERCOT is using one of the measures specified in paragraph (</w:t>
      </w:r>
      <w:r w:rsidR="00882A2C">
        <w:t>4</w:t>
      </w:r>
      <w:r w:rsidRPr="001F61D4">
        <w:t>) of Section 6.5.9.2, Failure of the SCED Process.</w:t>
      </w:r>
    </w:p>
    <w:p w14:paraId="0E0C7522" w14:textId="77777777" w:rsidR="001F04FD" w:rsidRDefault="001F04FD" w:rsidP="001F04FD">
      <w:pPr>
        <w:pStyle w:val="BodyTextNumbered"/>
      </w:pPr>
      <w:r>
        <w:t>(3)</w:t>
      </w:r>
      <w:r>
        <w:tab/>
        <w:t>With the issuance of a Watch pursuant to paragraph (2)(a) above, ERCOT may exercise its authority to immediately procure the following services from existing offers:</w:t>
      </w:r>
    </w:p>
    <w:p w14:paraId="0EF64C15" w14:textId="77777777" w:rsidR="001F04FD" w:rsidRDefault="001F04FD" w:rsidP="001F04FD">
      <w:pPr>
        <w:pStyle w:val="List"/>
      </w:pPr>
      <w:r>
        <w:t>(a)</w:t>
      </w:r>
      <w:r>
        <w:tab/>
        <w:t>Regulation Services;</w:t>
      </w:r>
    </w:p>
    <w:p w14:paraId="19D173FC" w14:textId="19CCE64E" w:rsidR="001F04FD" w:rsidRDefault="001F04FD" w:rsidP="004B3525">
      <w:pPr>
        <w:pStyle w:val="List"/>
        <w:spacing w:before="240"/>
      </w:pPr>
      <w:r>
        <w:t>(b)</w:t>
      </w:r>
      <w:r>
        <w:tab/>
        <w:t>RRS services;</w:t>
      </w:r>
    </w:p>
    <w:p w14:paraId="32390926" w14:textId="32E13673" w:rsidR="008611B7" w:rsidRDefault="008611B7" w:rsidP="004B3525">
      <w:pPr>
        <w:pStyle w:val="List"/>
        <w:spacing w:before="240"/>
      </w:pPr>
      <w:r w:rsidRPr="0003648D">
        <w:rPr>
          <w:iCs/>
        </w:rPr>
        <w:t>(c)</w:t>
      </w:r>
      <w:r w:rsidRPr="0003648D">
        <w:rPr>
          <w:iCs/>
        </w:rPr>
        <w:tab/>
      </w:r>
      <w:r>
        <w:rPr>
          <w:iCs/>
        </w:rPr>
        <w:t>ECRS</w:t>
      </w:r>
      <w:r w:rsidRPr="0003648D">
        <w:rPr>
          <w:iCs/>
        </w:rPr>
        <w:t xml:space="preserve"> services; and</w:t>
      </w:r>
    </w:p>
    <w:p w14:paraId="4FE62835" w14:textId="3CEAFC3F" w:rsidR="001F04FD" w:rsidRDefault="001F04FD" w:rsidP="00F969DB">
      <w:pPr>
        <w:pStyle w:val="List"/>
      </w:pPr>
      <w:r>
        <w:t>(</w:t>
      </w:r>
      <w:r w:rsidR="008611B7">
        <w:t>d</w:t>
      </w:r>
      <w:r>
        <w:t>)</w:t>
      </w:r>
      <w:r>
        <w:tab/>
        <w:t>Non-Spin services.</w:t>
      </w:r>
    </w:p>
    <w:p w14:paraId="4BA14767" w14:textId="77777777" w:rsidR="001F04FD" w:rsidRPr="00292125" w:rsidRDefault="001F04FD" w:rsidP="001F04FD">
      <w:pPr>
        <w:pStyle w:val="BodyTextNumbered"/>
      </w:pPr>
      <w:r>
        <w:t>(4)</w:t>
      </w:r>
      <w:r>
        <w:tab/>
      </w:r>
      <w:r w:rsidRPr="00292125">
        <w:t>If ERCOT issues a Watch because insufficient Ancillary Service Offers were received in the DAM or Supplemental Ancillary Service Market (SASM), and if the Watch does not result in sufficient offers and the DAM or SASM is executed with insufficient offers, then ERCOT may acquire the insufficient amount of Ancillary Services</w:t>
      </w:r>
      <w:r>
        <w:t xml:space="preserve"> </w:t>
      </w:r>
      <w:r w:rsidRPr="00292125">
        <w:t>as follows:</w:t>
      </w:r>
    </w:p>
    <w:p w14:paraId="053D2592" w14:textId="77777777" w:rsidR="001F04FD" w:rsidRPr="00292125" w:rsidRDefault="001F04FD" w:rsidP="001F04FD">
      <w:pPr>
        <w:pStyle w:val="BodyTextNumbered"/>
        <w:ind w:left="1440"/>
        <w:rPr>
          <w:iCs/>
        </w:rPr>
      </w:pPr>
      <w:r w:rsidRPr="00292125">
        <w:rPr>
          <w:iCs/>
        </w:rPr>
        <w:t>(a)</w:t>
      </w:r>
      <w:r w:rsidRPr="00292125">
        <w:rPr>
          <w:iCs/>
        </w:rPr>
        <w:tab/>
        <w:t>The SASM process shall be conducted in accordance with Section 6.4.9.2.2, SASM Clearing Process.  If the SASM process is not sufficient, then;</w:t>
      </w:r>
    </w:p>
    <w:p w14:paraId="15D6FBC7" w14:textId="77777777" w:rsidR="001F04FD" w:rsidRPr="00292125" w:rsidRDefault="001F04FD" w:rsidP="001F04FD">
      <w:pPr>
        <w:pStyle w:val="BodyTextNumbered"/>
        <w:ind w:left="1440"/>
        <w:rPr>
          <w:iCs/>
        </w:rPr>
      </w:pPr>
      <w:r w:rsidRPr="00292125">
        <w:rPr>
          <w:iCs/>
        </w:rPr>
        <w:t>(b)</w:t>
      </w:r>
      <w:r w:rsidRPr="00292125">
        <w:rPr>
          <w:iCs/>
        </w:rPr>
        <w:tab/>
        <w:t>The HRUC process shall be conducted to commit planned Off-Line Resources qualified to provide the Ancillary Service(s) that are insufficient in accordance with Section 5.2.2.2</w:t>
      </w:r>
      <w:r>
        <w:rPr>
          <w:iCs/>
        </w:rPr>
        <w:t>,</w:t>
      </w:r>
      <w:r w:rsidRPr="00292125">
        <w:rPr>
          <w:iCs/>
        </w:rPr>
        <w:t xml:space="preserve"> RUC Process Timeline After an Aborted Day-Ahead Market.  If the HRUC process is not sufficient, then;</w:t>
      </w:r>
    </w:p>
    <w:p w14:paraId="7385BB6F" w14:textId="77777777" w:rsidR="001F04FD" w:rsidRPr="00292125" w:rsidRDefault="001F04FD" w:rsidP="001F04FD">
      <w:pPr>
        <w:pStyle w:val="BodyTextNumbered"/>
        <w:ind w:left="1440"/>
        <w:rPr>
          <w:iCs/>
        </w:rPr>
      </w:pPr>
      <w:r w:rsidRPr="00292125">
        <w:rPr>
          <w:iCs/>
        </w:rPr>
        <w:t>(c)</w:t>
      </w:r>
      <w:r w:rsidRPr="00292125">
        <w:rPr>
          <w:iCs/>
        </w:rPr>
        <w:tab/>
        <w:t xml:space="preserve">If the insufficiency arose due to </w:t>
      </w:r>
      <w:r w:rsidRPr="00292125">
        <w:t>insufficient Ancillary Service Offers received in the DAM or ERCOT needs to increase the Ancillary Service requirements after DAM clearing,</w:t>
      </w:r>
      <w:r w:rsidRPr="00292125">
        <w:rPr>
          <w:iCs/>
        </w:rPr>
        <w:t xml:space="preserve"> ERCOT may assign the insufficient amounts of Ancillary Service(s) to QSEs with planned On-Line Resources qualified to provide the insufficient Ancillary Service(s), even if there are no existing Ancillary Service Offers for those QSEs’ Resources.  ERCOT shall prorate the required Ancillary Service capacity among QSEs representing On-Line capacity not already reserved for Ancillary Services in the COP in a way that maximizes the distribution of the assignment.</w:t>
      </w:r>
    </w:p>
    <w:p w14:paraId="6C748FBA" w14:textId="77777777" w:rsidR="00F97FFD" w:rsidRDefault="001F04FD" w:rsidP="00EC46C4">
      <w:pPr>
        <w:pStyle w:val="BodyTextNumbered"/>
        <w:ind w:left="1440"/>
      </w:pPr>
      <w:r w:rsidRPr="00292125">
        <w:rPr>
          <w:iCs/>
        </w:rPr>
        <w:t>(d)</w:t>
      </w:r>
      <w:r w:rsidRPr="00292125">
        <w:rPr>
          <w:iCs/>
        </w:rPr>
        <w:tab/>
        <w:t xml:space="preserve">A QSE may </w:t>
      </w:r>
      <w:r w:rsidRPr="00292125">
        <w:t xml:space="preserve">request cancellation of </w:t>
      </w:r>
      <w:r w:rsidRPr="00292125">
        <w:rPr>
          <w:iCs/>
        </w:rPr>
        <w:t xml:space="preserve">the assignment of Ancillary Services to its On-Line Resources if there are equipment or Resource control issues which limit the ability of the Resources to provide the Ancillary Services.  </w:t>
      </w:r>
      <w:r w:rsidRPr="0068419D">
        <w:rPr>
          <w:szCs w:val="24"/>
        </w:rPr>
        <w:t xml:space="preserve">If </w:t>
      </w:r>
      <w:r w:rsidRPr="00F86B0E">
        <w:rPr>
          <w:szCs w:val="24"/>
        </w:rPr>
        <w:t xml:space="preserve">ERCOT accepts </w:t>
      </w:r>
      <w:r w:rsidRPr="00F86B0E">
        <w:rPr>
          <w:szCs w:val="24"/>
        </w:rPr>
        <w:lastRenderedPageBreak/>
        <w:t>the cancellation, ERCOT may require QSEs to submit supporting information describing the Resource control issues.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3DDB6AD7" w14:textId="77777777" w:rsidTr="00EC5231">
        <w:trPr>
          <w:trHeight w:val="206"/>
        </w:trPr>
        <w:tc>
          <w:tcPr>
            <w:tcW w:w="9350" w:type="dxa"/>
            <w:shd w:val="pct12" w:color="auto" w:fill="auto"/>
          </w:tcPr>
          <w:p w14:paraId="4DB8993C" w14:textId="52005B30" w:rsidR="002D5C44" w:rsidRPr="00B37C4B" w:rsidRDefault="002D5C44" w:rsidP="000932C9">
            <w:pPr>
              <w:pStyle w:val="Instructions"/>
              <w:spacing w:before="120"/>
            </w:pPr>
            <w:r>
              <w:t>[NPRR1010:  Delete paragraphs (3) and (4) above upon system implementation of the Real-Time Co-Optimization (RTC) project and renumber accordingly</w:t>
            </w:r>
            <w:r w:rsidR="000932C9">
              <w:t>.</w:t>
            </w:r>
            <w:r>
              <w:t>]</w:t>
            </w:r>
          </w:p>
        </w:tc>
      </w:tr>
    </w:tbl>
    <w:p w14:paraId="4EBABCE5" w14:textId="2FF23C8A" w:rsidR="001F04FD" w:rsidRDefault="00F97FFD" w:rsidP="00FB599C">
      <w:pPr>
        <w:pStyle w:val="BodyTextNumbered"/>
        <w:spacing w:before="240"/>
      </w:pPr>
      <w:r>
        <w:t>(</w:t>
      </w:r>
      <w:r w:rsidR="00C43DEB">
        <w:t>5</w:t>
      </w:r>
      <w:r>
        <w:t>)</w:t>
      </w:r>
      <w:r>
        <w:tab/>
      </w:r>
      <w:r w:rsidR="001F04FD">
        <w:t xml:space="preserve">ERCOT shall post the Watch message electronically to the </w:t>
      </w:r>
      <w:r w:rsidR="0007207E">
        <w:t>ERCOT website</w:t>
      </w:r>
      <w:r w:rsidR="001F04FD">
        <w:t xml:space="preserve"> and shall provide verbal notice via the </w:t>
      </w:r>
      <w:r w:rsidR="001C0FEC">
        <w:t xml:space="preserve">TO </w:t>
      </w:r>
      <w:r w:rsidR="001F04FD">
        <w:t>Hotline</w:t>
      </w:r>
      <w:r w:rsidR="001C0FEC" w:rsidRPr="001C0FEC">
        <w:t xml:space="preserve"> </w:t>
      </w:r>
      <w:r w:rsidR="001C0FEC">
        <w:t>and the QSE Hotline</w:t>
      </w:r>
      <w:r w:rsidR="001F04FD">
        <w:t>.  Corrective actions identified by ERCOT must be communicated through Dispatch Instructions to all TSPs,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TSPs or DSPs to reconfigure ERCOT System elements as necessary to improve the reliability of the ERCOT System.  On notice of a Watch, each QSE,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2D0" w14:paraId="00EAF84E" w14:textId="77777777" w:rsidTr="004510FA">
        <w:trPr>
          <w:trHeight w:val="296"/>
        </w:trPr>
        <w:tc>
          <w:tcPr>
            <w:tcW w:w="9576" w:type="dxa"/>
            <w:shd w:val="pct12" w:color="auto" w:fill="auto"/>
          </w:tcPr>
          <w:p w14:paraId="6CED6D70" w14:textId="371DD6E3" w:rsidR="003302D0" w:rsidRDefault="003302D0" w:rsidP="004510FA">
            <w:pPr>
              <w:pStyle w:val="Instructions"/>
              <w:spacing w:before="120"/>
            </w:pPr>
            <w:bookmarkStart w:id="1478" w:name="_Toc397504990"/>
            <w:bookmarkStart w:id="1479" w:name="_Toc402357118"/>
            <w:bookmarkStart w:id="1480" w:name="_Toc422486498"/>
            <w:bookmarkStart w:id="1481" w:name="_Toc433093350"/>
            <w:bookmarkStart w:id="1482" w:name="_Toc433093508"/>
            <w:bookmarkStart w:id="1483" w:name="_Toc440874736"/>
            <w:bookmarkStart w:id="1484" w:name="_Toc448142291"/>
            <w:bookmarkStart w:id="1485" w:name="_Toc448142448"/>
            <w:bookmarkStart w:id="1486" w:name="_Toc458770285"/>
            <w:bookmarkStart w:id="1487" w:name="_Toc459294253"/>
            <w:bookmarkStart w:id="1488" w:name="_Toc463262746"/>
            <w:bookmarkStart w:id="1489" w:name="_Toc468286819"/>
            <w:bookmarkStart w:id="1490" w:name="_Toc481502865"/>
            <w:bookmarkStart w:id="1491" w:name="_Toc496080033"/>
            <w:r>
              <w:t>[NPRR857:  Replace paragraph (5)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6B8C5021" w14:textId="7B095970" w:rsidR="003302D0" w:rsidRPr="00B37C4B" w:rsidRDefault="003302D0" w:rsidP="0007207E">
            <w:pPr>
              <w:spacing w:before="240" w:after="240"/>
              <w:ind w:left="720" w:hanging="720"/>
            </w:pPr>
            <w:r w:rsidRPr="00E55E72">
              <w:t>(</w:t>
            </w:r>
            <w:r>
              <w:t>5</w:t>
            </w:r>
            <w:r w:rsidRPr="00E55E72">
              <w:t>)</w:t>
            </w:r>
            <w:r w:rsidRPr="00E55E72">
              <w:tab/>
              <w:t xml:space="preserve">ERCOT shall post the Watch message electronically to the </w:t>
            </w:r>
            <w:r w:rsidR="0007207E">
              <w:t>ERCOT website</w:t>
            </w:r>
            <w:r w:rsidRPr="00E55E72">
              <w:t xml:space="preserve"> and shall provide verbal notice via the </w:t>
            </w:r>
            <w:r w:rsidR="001C0FEC">
              <w:t xml:space="preserve">TO </w:t>
            </w:r>
            <w:r w:rsidRPr="00E55E72">
              <w:t>Hotline</w:t>
            </w:r>
            <w:r w:rsidR="001C0FEC">
              <w:t xml:space="preserve"> and the QSE Hotline</w:t>
            </w:r>
            <w:r w:rsidRPr="00E55E72">
              <w:t xml:space="preserve">.  Corrective actions identified by ERCOT must be communicated through Dispatch Instructions to all TSPs, DCTOs,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DCTOs, TSPs or DSPs to reconfigure ERCOT System elements as necessary to improve the reliability of the ERCOT System.  On notice of a Watch, each QSE, DCTO, TSP, and DSP shall prepare for an Emergency Condition in case conditions worsen.  ERCOT may require information from QSEs representing Resources regarding the Resources’ fuel capabilities.  Requests for this type of information shall be for a time period of no more </w:t>
            </w:r>
            <w:r w:rsidRPr="00E55E72">
              <w:lastRenderedPageBreak/>
              <w:t>than seven days from the date of the request.  The specific information that may be requested shall be defined in the Operating Guides.  QSEs representing Resources shall provide the requested information in a timely manner, as defined by ERCOT at the time of th</w:t>
            </w:r>
            <w:r>
              <w:t>e request.</w:t>
            </w:r>
          </w:p>
        </w:tc>
      </w:tr>
    </w:tbl>
    <w:p w14:paraId="5144749E" w14:textId="77777777" w:rsidR="001F04FD" w:rsidRDefault="001F04FD" w:rsidP="001F04FD">
      <w:pPr>
        <w:pStyle w:val="H5"/>
        <w:spacing w:before="480"/>
        <w:ind w:left="1627" w:hanging="1627"/>
      </w:pPr>
      <w:bookmarkStart w:id="1492" w:name="_Toc204411636"/>
      <w:r>
        <w:lastRenderedPageBreak/>
        <w:t>6.5.9.3.4</w:t>
      </w:r>
      <w:r>
        <w:tab/>
        <w:t>Emergency Notice</w:t>
      </w:r>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14:paraId="4A3AB8A7" w14:textId="48A072FC" w:rsidR="001F04FD" w:rsidRDefault="001F04FD" w:rsidP="001F04FD">
      <w:pPr>
        <w:pStyle w:val="BodyTextNumbered"/>
      </w:pPr>
      <w:bookmarkStart w:id="1493" w:name="_Toc73216031"/>
      <w:r>
        <w:t>(1)</w:t>
      </w:r>
      <w:r>
        <w:tab/>
        <w:t>Emergency Notice is the communication issued by ERCOT when operating in an Emergency Condition.</w:t>
      </w:r>
    </w:p>
    <w:p w14:paraId="49CAA925" w14:textId="77777777" w:rsidR="001F04FD" w:rsidRDefault="001F04FD" w:rsidP="001F04FD">
      <w:pPr>
        <w:pStyle w:val="BodyTextNumbered"/>
      </w:pPr>
      <w:r>
        <w:t>(2)</w:t>
      </w:r>
      <w:r>
        <w:tab/>
        <w:t>ERCOT shall issue an Emergency Notice for one or both of the following reasons:</w:t>
      </w:r>
    </w:p>
    <w:p w14:paraId="7EC7DF68" w14:textId="77777777" w:rsidR="001F04FD" w:rsidRDefault="001F04FD" w:rsidP="001F04FD">
      <w:pPr>
        <w:pStyle w:val="List"/>
      </w:pPr>
      <w:r>
        <w:t>(a)</w:t>
      </w:r>
      <w:r>
        <w:tab/>
        <w:t>ERCOT cannot maintain minimum reliability standards (for reasons including fuel shortages) during the Operating Period using every Resource practicably obtainable from the market; or</w:t>
      </w:r>
    </w:p>
    <w:p w14:paraId="54D2995B" w14:textId="77777777" w:rsidR="001F04FD" w:rsidRDefault="001F04FD" w:rsidP="001F04FD">
      <w:pPr>
        <w:pStyle w:val="List"/>
      </w:pPr>
      <w:r>
        <w:t>(b)</w:t>
      </w:r>
      <w:r>
        <w:tab/>
        <w:t>Immediate action cannot be taken to avoid or relieve a Transmission Element operating above its Emergency Rating.</w:t>
      </w:r>
    </w:p>
    <w:p w14:paraId="2E522C93" w14:textId="77777777" w:rsidR="001F04FD" w:rsidRDefault="001F04FD" w:rsidP="001F04FD">
      <w:pPr>
        <w:pStyle w:val="BodyTextNumbered"/>
      </w:pPr>
      <w:r>
        <w:t>(3)</w:t>
      </w:r>
      <w:r>
        <w:tab/>
        <w:t>The actions ERCOT takes during an Emergency Condition depend on the nature and severity of the situation.</w:t>
      </w:r>
    </w:p>
    <w:p w14:paraId="2184C830" w14:textId="77777777" w:rsidR="001F04FD" w:rsidRDefault="001F04FD" w:rsidP="001F04FD">
      <w:pPr>
        <w:pStyle w:val="BodyTextNumbered"/>
      </w:pPr>
      <w:r>
        <w:t>(4)</w:t>
      </w:r>
      <w:r>
        <w:tab/>
        <w:t>ERCOT is considered to be in an Emergency Condition whenever ERCOT Transmission Grid status is such that a violation of security criteria, as defined in the Operating Guides, presents the threat of uncontrolled separation or cascading Outages and/or large-scale service disruption to Load (other than Load being served from a radial transmission line) and/or overload of a Transmission Element, and no timely solution is obtainable through SCED or CMPs.</w:t>
      </w:r>
    </w:p>
    <w:p w14:paraId="7E00A988" w14:textId="28DE8F45" w:rsidR="001F04FD" w:rsidRDefault="001F04FD" w:rsidP="001F04FD">
      <w:pPr>
        <w:pStyle w:val="BodyTextNumbered"/>
      </w:pPr>
      <w:r>
        <w:t>(5)</w:t>
      </w:r>
      <w:r>
        <w:tab/>
      </w:r>
      <w:r w:rsidR="00C43DEB" w:rsidRPr="00D51F51">
        <w:t xml:space="preserve">If the Emergency Condition is the result of a transmission problem, ERCOT shall act immediately to return the ERCOT System to a reliable condition, including instructing </w:t>
      </w:r>
      <w:r w:rsidR="00C52BB8">
        <w:t>any QSE representing a</w:t>
      </w:r>
      <w:r w:rsidR="00C52BB8" w:rsidRPr="00D51F51">
        <w:t xml:space="preserve"> </w:t>
      </w:r>
      <w:r w:rsidR="00C43DEB" w:rsidRPr="00D51F51">
        <w:t xml:space="preserve">Resource to change </w:t>
      </w:r>
      <w:r w:rsidR="00C52BB8">
        <w:t xml:space="preserve">the Resource’s </w:t>
      </w:r>
      <w:r w:rsidR="00C43DEB" w:rsidRPr="00D51F51">
        <w:t>output, curtailing any remaining DC Tie Load, and instructing TSPs or DS</w:t>
      </w:r>
      <w:r w:rsidR="00C43DEB">
        <w:t>Ps to drop Load.</w:t>
      </w:r>
      <w:r w:rsidR="00C52BB8">
        <w:t xml:space="preserve">  In addition, ERCOT may instruct any QSE representing an ESR to suspend ESR charging if ERCOT determines that a Load reduction by the ESR is capable of mitigating the transmission problem.</w:t>
      </w:r>
      <w:r w:rsidR="00C52BB8" w:rsidRPr="00224629">
        <w:t xml:space="preserve"> </w:t>
      </w:r>
      <w:r w:rsidR="00C52BB8">
        <w:t xml:space="preserve"> An ESR co-located behind a Point of Interconnection (POI) with onsite generation that is incapable of exporting additional power to the ERCOT System may continue to charge as long as maximum output to the ERCOT System is maintained.</w:t>
      </w:r>
    </w:p>
    <w:p w14:paraId="7145225C" w14:textId="720C962E" w:rsidR="00EE372C" w:rsidRDefault="00F22728" w:rsidP="008658D0">
      <w:pPr>
        <w:pStyle w:val="BodyTextNumbered"/>
      </w:pPr>
      <w:r>
        <w:t>(6)</w:t>
      </w:r>
      <w:r>
        <w:tab/>
      </w:r>
      <w:r w:rsidRPr="008D2A83">
        <w:t xml:space="preserve">In the event </w:t>
      </w:r>
      <w:r>
        <w:t>that Load is curtailed or Load Resource(s) or ERS Resource(s) are deployed due to a transmission problem as described in paragraph (5) above</w:t>
      </w:r>
      <w:r w:rsidRPr="008D2A83">
        <w:t xml:space="preserve">, ERCOT shall </w:t>
      </w:r>
      <w:r>
        <w:t>post within one day an operations message</w:t>
      </w:r>
      <w:r w:rsidRPr="00FB4C4D">
        <w:t xml:space="preserve"> to the </w:t>
      </w:r>
      <w:r w:rsidRPr="00E25238">
        <w:t>ERCOT website</w:t>
      </w:r>
      <w:r w:rsidRPr="00FB4C4D">
        <w:t xml:space="preserve"> </w:t>
      </w:r>
      <w:r>
        <w:t>listing the event’s date, start and end time, MW quantity of Load curtailment or deployment instruction, and the substation(s) or geographic area in which the event occurred.</w:t>
      </w:r>
    </w:p>
    <w:p w14:paraId="7A74CD46" w14:textId="2202A882" w:rsidR="001F04FD" w:rsidRDefault="001F04FD" w:rsidP="00057024">
      <w:pPr>
        <w:pStyle w:val="BodyTextNumbered"/>
      </w:pPr>
      <w:r>
        <w:lastRenderedPageBreak/>
        <w:t>(</w:t>
      </w:r>
      <w:r w:rsidR="00F22728">
        <w:t>7</w:t>
      </w:r>
      <w:r>
        <w:t>)</w:t>
      </w:r>
      <w:r>
        <w:tab/>
        <w:t>If the Emergency Condition is the result of an Ancillary Service insufficiency, then ERCOT shall follow the EEA procedures.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3627966B" w14:textId="77777777" w:rsidTr="00EC5231">
        <w:trPr>
          <w:trHeight w:val="206"/>
        </w:trPr>
        <w:tc>
          <w:tcPr>
            <w:tcW w:w="9350" w:type="dxa"/>
            <w:shd w:val="pct12" w:color="auto" w:fill="auto"/>
          </w:tcPr>
          <w:p w14:paraId="6823880F" w14:textId="5B074CA8" w:rsidR="002D5C44" w:rsidRPr="00B37C4B" w:rsidRDefault="002D5C44" w:rsidP="000932C9">
            <w:pPr>
              <w:pStyle w:val="Instructions"/>
              <w:spacing w:before="120"/>
            </w:pPr>
            <w:bookmarkStart w:id="1494" w:name="_Toc397504991"/>
            <w:bookmarkStart w:id="1495" w:name="_Toc402357119"/>
            <w:bookmarkStart w:id="1496" w:name="_Toc422486499"/>
            <w:bookmarkStart w:id="1497" w:name="_Toc433093351"/>
            <w:bookmarkStart w:id="1498" w:name="_Toc433093509"/>
            <w:bookmarkStart w:id="1499" w:name="_Toc440874737"/>
            <w:bookmarkStart w:id="1500" w:name="_Toc448142292"/>
            <w:bookmarkStart w:id="1501" w:name="_Toc448142449"/>
            <w:bookmarkStart w:id="1502" w:name="_Toc458770286"/>
            <w:bookmarkStart w:id="1503" w:name="_Toc459294254"/>
            <w:bookmarkStart w:id="1504" w:name="_Toc463262747"/>
            <w:bookmarkStart w:id="1505" w:name="_Toc468286820"/>
            <w:bookmarkStart w:id="1506" w:name="_Toc481502866"/>
            <w:bookmarkStart w:id="1507" w:name="_Toc496080034"/>
            <w:r>
              <w:t>[NPRR1010:  Delete paragraph (</w:t>
            </w:r>
            <w:r w:rsidR="00F22728">
              <w:t>7</w:t>
            </w:r>
            <w:r>
              <w:t>) above upon system implementation of the Real-Time Co-Optimization (RTC) project</w:t>
            </w:r>
            <w:r w:rsidR="000932C9">
              <w:t>.</w:t>
            </w:r>
            <w:r>
              <w:t>]</w:t>
            </w:r>
          </w:p>
        </w:tc>
      </w:tr>
    </w:tbl>
    <w:p w14:paraId="6DF3F4D5" w14:textId="77777777" w:rsidR="001F04FD" w:rsidRDefault="001F04FD" w:rsidP="001F04FD">
      <w:pPr>
        <w:pStyle w:val="H4"/>
        <w:spacing w:before="480"/>
        <w:ind w:left="1267" w:hanging="1267"/>
      </w:pPr>
      <w:bookmarkStart w:id="1508" w:name="_Toc204411637"/>
      <w:r>
        <w:t>6.5.9.4</w:t>
      </w:r>
      <w:r>
        <w:tab/>
        <w:t>Energy Emergency Alert</w:t>
      </w:r>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p>
    <w:p w14:paraId="430479B4" w14:textId="77777777" w:rsidR="001F04FD" w:rsidRDefault="001F04FD" w:rsidP="001F04FD">
      <w:pPr>
        <w:pStyle w:val="BodyTextNumbered"/>
      </w:pPr>
      <w:r>
        <w:t>(1)</w:t>
      </w:r>
      <w:r>
        <w:tab/>
        <w:t xml:space="preserve">At times it may be necessary to reduce ERCOT System Demand because of a temporary decrease in available electricity supply.  To provide orderly, predetermined procedures for curtailing Demand during such emergencies, ERCOT shall initiate and coordinate the implementation of the EEA following the steps set forth below in Section 6.5.9.4.2, EEA Levels.   </w:t>
      </w:r>
    </w:p>
    <w:p w14:paraId="1DBDBEA4" w14:textId="77777777" w:rsidR="001F04FD" w:rsidRDefault="001F04FD" w:rsidP="001F04FD">
      <w:pPr>
        <w:pStyle w:val="BodyTextNumbered"/>
      </w:pPr>
      <w:r>
        <w:t>(2)</w:t>
      </w:r>
      <w:r>
        <w:tab/>
        <w:t>The goal of the EEA is to provide for maximum possible continuity of service while maintaining the integrity of the ERCOT System to reduce the chance of cascading Outages.</w:t>
      </w:r>
    </w:p>
    <w:p w14:paraId="134761AA" w14:textId="77777777" w:rsidR="001F04FD" w:rsidRDefault="001F04FD" w:rsidP="001F04FD">
      <w:pPr>
        <w:pStyle w:val="BodyTextNumbered"/>
      </w:pPr>
      <w:r>
        <w:t>(3)</w:t>
      </w:r>
      <w:r>
        <w:tab/>
        <w:t xml:space="preserve">ERCOT’s operating procedures must meet the following goals: </w:t>
      </w:r>
    </w:p>
    <w:p w14:paraId="347A6032" w14:textId="77777777" w:rsidR="001F04FD" w:rsidRDefault="001F04FD" w:rsidP="001F04FD">
      <w:pPr>
        <w:pStyle w:val="List"/>
      </w:pPr>
      <w:r>
        <w:t>(a)</w:t>
      </w:r>
      <w:r>
        <w:tab/>
        <w:t>Use of market processes to the fullest extent practicable without jeopardizing the reliability of the ERCOT System;</w:t>
      </w:r>
    </w:p>
    <w:p w14:paraId="55C922CC" w14:textId="0F94CA77" w:rsidR="001F04FD" w:rsidRDefault="001F04FD" w:rsidP="001F04FD">
      <w:pPr>
        <w:pStyle w:val="List"/>
      </w:pPr>
      <w:r>
        <w:t>(b)</w:t>
      </w:r>
      <w:r>
        <w:tab/>
        <w:t xml:space="preserve">Use of RRS, </w:t>
      </w:r>
      <w:r w:rsidR="008611B7">
        <w:t xml:space="preserve">ECRS, </w:t>
      </w:r>
      <w:r>
        <w:t>other Ancillary Services, and ERS to the extent permitted by ERCOT System conditions;</w:t>
      </w:r>
    </w:p>
    <w:p w14:paraId="63F55916" w14:textId="77777777" w:rsidR="001F04FD" w:rsidRDefault="001F04FD" w:rsidP="00F969DB">
      <w:pPr>
        <w:pStyle w:val="List"/>
      </w:pPr>
      <w:r>
        <w:t>(c)</w:t>
      </w:r>
      <w:r>
        <w:tab/>
        <w:t>Maximum use of ERCOT System capability;</w:t>
      </w:r>
    </w:p>
    <w:p w14:paraId="56679368" w14:textId="77777777" w:rsidR="001F04FD" w:rsidRDefault="001F04FD" w:rsidP="001F04FD">
      <w:pPr>
        <w:pStyle w:val="List"/>
      </w:pPr>
      <w:r>
        <w:t>(d)</w:t>
      </w:r>
      <w:r>
        <w:tab/>
        <w:t>Maintenance of station service for nuclear-powered Generation Resources;</w:t>
      </w:r>
    </w:p>
    <w:p w14:paraId="5E8EE4A1" w14:textId="77777777" w:rsidR="001F04FD" w:rsidRDefault="001F04FD" w:rsidP="001F04FD">
      <w:pPr>
        <w:pStyle w:val="List"/>
      </w:pPr>
      <w:r>
        <w:t>(e)</w:t>
      </w:r>
      <w:r>
        <w:tab/>
        <w:t>Securing startup power for Generation Resources;</w:t>
      </w:r>
    </w:p>
    <w:p w14:paraId="2AE5EB40" w14:textId="77777777" w:rsidR="001F04FD" w:rsidRDefault="001F04FD" w:rsidP="001F04FD">
      <w:pPr>
        <w:pStyle w:val="List"/>
      </w:pPr>
      <w:r>
        <w:t>(f)</w:t>
      </w:r>
      <w:r>
        <w:tab/>
        <w:t>Operation of Generation Resources during loss of communication with ERCOT;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963EB" w14:paraId="20AB7DAC" w14:textId="77777777" w:rsidTr="004E6E12">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7CA0383C" w14:textId="1F457E28" w:rsidR="006963EB" w:rsidRDefault="006963EB" w:rsidP="004E6E12">
            <w:pPr>
              <w:pStyle w:val="Instructions"/>
              <w:spacing w:before="120"/>
            </w:pPr>
            <w:r>
              <w:t>[NPRR1246:  Replace paragraph (f) above with the following upon system implementation of the Real-Time Co-Optimization (RTC) project:]</w:t>
            </w:r>
          </w:p>
          <w:p w14:paraId="299A5494" w14:textId="2209CC44" w:rsidR="006963EB" w:rsidRPr="006963EB" w:rsidRDefault="006963EB" w:rsidP="006963EB">
            <w:pPr>
              <w:spacing w:after="240"/>
              <w:ind w:left="1440" w:hanging="720"/>
            </w:pPr>
            <w:r w:rsidRPr="007F5C96">
              <w:t>(f)</w:t>
            </w:r>
            <w:r w:rsidRPr="007F5C96">
              <w:tab/>
              <w:t>Operation of Generation Resources</w:t>
            </w:r>
            <w:r>
              <w:t xml:space="preserve"> and ESRs</w:t>
            </w:r>
            <w:r w:rsidRPr="007F5C96">
              <w:t xml:space="preserve"> during loss of communication with ERCOT;</w:t>
            </w:r>
          </w:p>
        </w:tc>
      </w:tr>
    </w:tbl>
    <w:p w14:paraId="517ECC44" w14:textId="14C53AF7" w:rsidR="001F04FD" w:rsidRDefault="001F04FD" w:rsidP="00DD0A69">
      <w:pPr>
        <w:pStyle w:val="List"/>
        <w:spacing w:before="240"/>
      </w:pPr>
      <w:r>
        <w:t>(g)</w:t>
      </w:r>
      <w:r>
        <w:tab/>
        <w:t>Restoration of service to Loads in the manner defined in the Operating Guides; and</w:t>
      </w:r>
    </w:p>
    <w:p w14:paraId="086F3AA0" w14:textId="77777777" w:rsidR="001F04FD" w:rsidRDefault="001F04FD" w:rsidP="001F04FD">
      <w:pPr>
        <w:pStyle w:val="List"/>
      </w:pPr>
      <w:r>
        <w:lastRenderedPageBreak/>
        <w:t>(h)</w:t>
      </w:r>
      <w:r>
        <w:tab/>
      </w:r>
      <w:r w:rsidRPr="000C1590">
        <w:t>Management of Interconnection Reliability Operating Limits (IROLs) shall not change.</w:t>
      </w:r>
    </w:p>
    <w:p w14:paraId="2E28D183" w14:textId="30B91FB0" w:rsidR="001F04FD" w:rsidRDefault="001F04FD" w:rsidP="001F04FD">
      <w:pPr>
        <w:pStyle w:val="BodyTextNumbered"/>
      </w:pPr>
      <w:r>
        <w:t>(4)</w:t>
      </w:r>
      <w:r>
        <w:tab/>
        <w:t xml:space="preserve">ERCOT is responsible for coordinating with QSEs, TSPs, and DSPs to monitor ERCOT System conditions, initiating the EEA levels, notifying </w:t>
      </w:r>
      <w:r w:rsidR="001C0FEC">
        <w:t>Market Participants</w:t>
      </w:r>
      <w:r>
        <w:t>, and coordinating the implementation of the EEA levels while maintaining transmission security limits.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31A31" w14:paraId="4AD62A12" w14:textId="77777777" w:rsidTr="00D326C6">
        <w:trPr>
          <w:trHeight w:val="296"/>
        </w:trPr>
        <w:tc>
          <w:tcPr>
            <w:tcW w:w="9350" w:type="dxa"/>
            <w:shd w:val="pct12" w:color="auto" w:fill="auto"/>
          </w:tcPr>
          <w:p w14:paraId="6EFA49B5" w14:textId="0A04EE96" w:rsidR="00D31A31" w:rsidRDefault="00D31A31" w:rsidP="004510FA">
            <w:pPr>
              <w:pStyle w:val="Instructions"/>
              <w:spacing w:before="120"/>
            </w:pPr>
            <w:r>
              <w:t>[NPRR857:  Replace paragraph (4) above with the following upon system implementation</w:t>
            </w:r>
            <w:r w:rsidR="004A5B0B">
              <w:t xml:space="preserve"> </w:t>
            </w:r>
            <w:r w:rsidR="004A5B0B" w:rsidRPr="00711DF0">
              <w:rPr>
                <w:bCs/>
                <w:iCs w:val="0"/>
              </w:rPr>
              <w:t xml:space="preserve">and </w:t>
            </w:r>
            <w:r w:rsidR="004A5B0B" w:rsidRPr="00ED2B32">
              <w:t xml:space="preserve">satisfying the following conditions: </w:t>
            </w:r>
            <w:r w:rsidR="00874902">
              <w:t xml:space="preserve"> </w:t>
            </w:r>
            <w:r w:rsidR="004A5B0B" w:rsidRPr="00ED2B32">
              <w:t>(1)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12EA8AA9" w14:textId="49018279" w:rsidR="00D31A31" w:rsidRPr="00B37C4B" w:rsidRDefault="00D31A31" w:rsidP="00D31A31">
            <w:pPr>
              <w:spacing w:after="240"/>
              <w:ind w:left="720" w:hanging="720"/>
            </w:pPr>
            <w:r w:rsidRPr="00E55E72">
              <w:t>(4)</w:t>
            </w:r>
            <w:r w:rsidRPr="00E55E72">
              <w:tab/>
              <w:t xml:space="preserve">ERCOT is responsible for coordinating with QSEs, DCTOs, TSPs, and DSPs to monitor ERCOT System conditions, initiating the EEA levels, notifying </w:t>
            </w:r>
            <w:r w:rsidR="001C0FEC">
              <w:t>Market Participants</w:t>
            </w:r>
            <w:r w:rsidRPr="00E55E72">
              <w:t>, and coordinating the implementation of the EEA levels while maintainin</w:t>
            </w:r>
            <w:r>
              <w:t>g transmission security limits.</w:t>
            </w:r>
          </w:p>
        </w:tc>
      </w:tr>
    </w:tbl>
    <w:p w14:paraId="1518C29E" w14:textId="77777777" w:rsidR="001F04FD" w:rsidRDefault="001F04FD" w:rsidP="0099247E">
      <w:pPr>
        <w:pStyle w:val="BodyTextNumbered"/>
        <w:spacing w:before="240"/>
      </w:pPr>
      <w:r>
        <w:t>(5)</w:t>
      </w:r>
      <w:r>
        <w:tab/>
        <w:t>ERCOT, at management’s discretion, may at any time issue an ERCOT-wide appeal through the public news media for voluntary energy conservation.</w:t>
      </w:r>
    </w:p>
    <w:p w14:paraId="71EEE536" w14:textId="43576EAB" w:rsidR="001F04FD" w:rsidRDefault="001F04FD" w:rsidP="001F04FD">
      <w:pPr>
        <w:pStyle w:val="BodyTextNumbered"/>
      </w:pPr>
      <w:r>
        <w:t>(6)</w:t>
      </w:r>
      <w:r>
        <w:tab/>
        <w:t xml:space="preserve">During the EEA, ERCOT has the authority to obtain energy from non-ERCOT Control Areas using the DC Ties or by using BLTs to move load to non-ERCOT Control Areas.  ERCOT maintains the authority to curtail energy schedules flowing into or out of the ERCOT System across the DC Ties in accordance with NERC scheduling guidelines.   </w:t>
      </w:r>
    </w:p>
    <w:p w14:paraId="74DC4332" w14:textId="77777777" w:rsidR="001F04FD" w:rsidRDefault="001F04FD" w:rsidP="001F04FD">
      <w:pPr>
        <w:pStyle w:val="BodyTextNumbered"/>
      </w:pPr>
      <w:r>
        <w:t>(7)</w:t>
      </w:r>
      <w:r>
        <w:tab/>
        <w:t>Some of the EEA steps are not applicable if transmission security violations exist.  There may be insufficient time to implement all EEA levels in sequence, however, to the extent practicable, ERCOT shall use Ancillary Services that QSEs have made available in the market to maintain or restore reliability.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41B783AD" w14:textId="77777777" w:rsidTr="00EC5231">
        <w:trPr>
          <w:trHeight w:val="206"/>
        </w:trPr>
        <w:tc>
          <w:tcPr>
            <w:tcW w:w="9350" w:type="dxa"/>
            <w:shd w:val="pct12" w:color="auto" w:fill="auto"/>
          </w:tcPr>
          <w:p w14:paraId="550112E1" w14:textId="77777777" w:rsidR="002D5C44" w:rsidRDefault="002D5C44" w:rsidP="002D5C44">
            <w:pPr>
              <w:pStyle w:val="Instructions"/>
              <w:spacing w:before="120"/>
            </w:pPr>
            <w:r>
              <w:t>[NPRR1010:  Replace paragraph (7) above with the following upon system implementation of the Real-Time Co-Optimization (RTC) project:]</w:t>
            </w:r>
          </w:p>
          <w:p w14:paraId="0B226634" w14:textId="3EA3414A" w:rsidR="002D5C44" w:rsidRPr="00B37C4B" w:rsidRDefault="002D5C44" w:rsidP="002D5C44">
            <w:pPr>
              <w:spacing w:after="240"/>
              <w:ind w:left="720" w:hanging="720"/>
            </w:pPr>
            <w:r w:rsidRPr="003161DC">
              <w:t>(7)</w:t>
            </w:r>
            <w:r w:rsidRPr="003161DC">
              <w:tab/>
              <w:t>Some of the EEA steps are not applicable if transmission security violations exist.  There may be insufficient time to implement all EEA levels in sequence, however, to the extent practicable, ERCOT shall use Ancillary Service</w:t>
            </w:r>
            <w:r>
              <w:t xml:space="preserve"> capabilities of Resource</w:t>
            </w:r>
            <w:r w:rsidRPr="003161DC">
              <w:t>s in the market to m</w:t>
            </w:r>
            <w:r>
              <w:t>aintain or restore reliability.</w:t>
            </w:r>
          </w:p>
        </w:tc>
      </w:tr>
    </w:tbl>
    <w:p w14:paraId="410ADBA9" w14:textId="75BECB4A" w:rsidR="001F04FD" w:rsidRDefault="001F04FD" w:rsidP="00FB599C">
      <w:pPr>
        <w:pStyle w:val="BodyTextNumbered"/>
        <w:spacing w:before="240"/>
      </w:pPr>
      <w:r>
        <w:t>(8)</w:t>
      </w:r>
      <w:r>
        <w:tab/>
      </w:r>
      <w:r w:rsidR="008C7E79">
        <w:t xml:space="preserve">ERCOT may immediately implement EEA Level 2 when clock-minute average system frequency falls below 59.91 Hz for 15 consecutive minutes.  </w:t>
      </w:r>
      <w:r>
        <w:t xml:space="preserve">ERCOT may immediately </w:t>
      </w:r>
      <w:r>
        <w:lastRenderedPageBreak/>
        <w:t xml:space="preserve">implement EEA Level 3 any time the </w:t>
      </w:r>
      <w:r w:rsidR="00D67C9C">
        <w:rPr>
          <w:iCs/>
        </w:rPr>
        <w:t>cloc</w:t>
      </w:r>
      <w:r w:rsidR="00D67C9C" w:rsidRPr="00D46D2F">
        <w:rPr>
          <w:iCs/>
        </w:rPr>
        <w:t>k-minute average</w:t>
      </w:r>
      <w:r>
        <w:t xml:space="preserve"> system frequency </w:t>
      </w:r>
      <w:r w:rsidR="00D67C9C">
        <w:t>falls</w:t>
      </w:r>
      <w:r>
        <w:t xml:space="preserve"> below 59.</w:t>
      </w:r>
      <w:r w:rsidR="00D67C9C">
        <w:t>91</w:t>
      </w:r>
      <w:r>
        <w:t xml:space="preserve"> Hz </w:t>
      </w:r>
      <w:r w:rsidR="00D67C9C" w:rsidRPr="00D46D2F">
        <w:t>for 20 consecutive minu</w:t>
      </w:r>
      <w:r w:rsidR="00D67C9C">
        <w:t xml:space="preserve">tes </w:t>
      </w:r>
      <w:r w:rsidR="008C7E79">
        <w:t>or when steady-state frequency falls below 59.8 Hz for any duration of time.</w:t>
      </w:r>
      <w:r>
        <w:t xml:space="preserve"> </w:t>
      </w:r>
      <w:r w:rsidR="008C7E79">
        <w:t xml:space="preserve"> ERCOT </w:t>
      </w:r>
      <w:r>
        <w:t>shall immediately implement EEA Level 3 any time the steady-state frequency is below 59.5 Hz</w:t>
      </w:r>
      <w:r w:rsidR="00D67C9C">
        <w:t xml:space="preserve"> for any duration</w:t>
      </w:r>
      <w:r>
        <w:t>.</w:t>
      </w:r>
    </w:p>
    <w:p w14:paraId="5899BE08" w14:textId="77777777" w:rsidR="001F04FD" w:rsidRDefault="001F04FD" w:rsidP="001F04FD">
      <w:pPr>
        <w:pStyle w:val="BodyTextNumbered"/>
      </w:pPr>
      <w:r>
        <w:t>(9)</w:t>
      </w:r>
      <w:r>
        <w:tab/>
        <w:t>Percentages for EEA Level 3 Load shedding will be based on the previous year’s TSP peak Loads, as reported to ERCOT, and must be reviewed by ERCOT and modified annually as required.</w:t>
      </w:r>
    </w:p>
    <w:p w14:paraId="1D1C185E" w14:textId="20DFC645" w:rsidR="001F04FD" w:rsidRPr="000C1590" w:rsidRDefault="001F04FD" w:rsidP="001F04FD">
      <w:pPr>
        <w:spacing w:after="240"/>
        <w:ind w:left="720" w:hanging="720"/>
      </w:pPr>
      <w:r w:rsidRPr="000C1590">
        <w:t>(10)</w:t>
      </w:r>
      <w:r w:rsidRPr="000C1590">
        <w:tab/>
        <w:t>During EEA Level 2 or 3, for those constraints that meet the criteria identified in paragraph (</w:t>
      </w:r>
      <w:r w:rsidR="008C7E79">
        <w:t>3</w:t>
      </w:r>
      <w:r w:rsidRPr="000C1590">
        <w:t>)(a) of Section 6.5.9.</w:t>
      </w:r>
      <w:r w:rsidR="008C7E79">
        <w:t>4</w:t>
      </w:r>
      <w:r w:rsidRPr="000C1590">
        <w:t>.</w:t>
      </w:r>
      <w:r w:rsidR="008C7E79">
        <w:t>1</w:t>
      </w:r>
      <w:r w:rsidRPr="000C1590">
        <w:t xml:space="preserve">, </w:t>
      </w:r>
      <w:r w:rsidR="008C7E79" w:rsidRPr="0063514E">
        <w:t>General Procedures Prior to EEA Operat</w:t>
      </w:r>
      <w:r w:rsidR="008C7E79">
        <w:t>i</w:t>
      </w:r>
      <w:r w:rsidR="008C7E79" w:rsidRPr="0063514E">
        <w:t>ons</w:t>
      </w:r>
      <w:r w:rsidRPr="000C1590">
        <w:t xml:space="preserve">, ERCOT may control the post-contingency flow to within the 15-Minute Rating in SCED.   After PRC is restored to at least 3,000 MW or the </w:t>
      </w:r>
      <w:r w:rsidR="002D28ED">
        <w:t>E</w:t>
      </w:r>
      <w:r w:rsidRPr="000C1590">
        <w:t xml:space="preserve">mergency </w:t>
      </w:r>
      <w:r w:rsidR="002D28ED">
        <w:t>C</w:t>
      </w:r>
      <w:r w:rsidRPr="000C1590">
        <w:t xml:space="preserve">ondition has ended, whichever is later, and ERCOT has determined that system conditions have improved such that the chance of re-entering into an EEA Level 2 or 3 is low, ERCOT shall restore control to the post-contingency flow to within the Emergency Rating for these constraints that utilized the 15-Minute Rating in SCED.  </w:t>
      </w:r>
    </w:p>
    <w:p w14:paraId="59DF915C" w14:textId="79A312B2" w:rsidR="001F04FD" w:rsidRDefault="001F04FD" w:rsidP="001F04FD">
      <w:pPr>
        <w:spacing w:after="240"/>
        <w:ind w:left="720" w:hanging="720"/>
      </w:pPr>
      <w:r w:rsidRPr="000C1590">
        <w:t>(11)</w:t>
      </w:r>
      <w:r w:rsidRPr="000C1590">
        <w:tab/>
        <w:t>During EEA Level 2 or 3, for those constraints that meet the criteria identified in paragraph (</w:t>
      </w:r>
      <w:r w:rsidR="008C7E79">
        <w:t>3</w:t>
      </w:r>
      <w:r w:rsidRPr="000C1590">
        <w:t>)(b) of Section 6.5.9.</w:t>
      </w:r>
      <w:r w:rsidR="008C7E79">
        <w:t>4</w:t>
      </w:r>
      <w:r w:rsidRPr="000C1590">
        <w:t>.</w:t>
      </w:r>
      <w:r w:rsidR="008C7E79">
        <w:t>1</w:t>
      </w:r>
      <w:r w:rsidRPr="000C1590">
        <w:t>, ERCOT shall continue to enforce constraints associated with double-circuit contingencies throughout an EEA if the double-circuit failures are determined to be at high risk of occurring, due to system conditions.  For all other double-circuit contingencies identified in paragraph (</w:t>
      </w:r>
      <w:r w:rsidR="008C7E79">
        <w:t>3</w:t>
      </w:r>
      <w:r w:rsidRPr="000C1590">
        <w:t>)(b) of Section 6.5.9.</w:t>
      </w:r>
      <w:r w:rsidR="008C7E79">
        <w:t>4</w:t>
      </w:r>
      <w:r w:rsidRPr="000C1590">
        <w:t>.</w:t>
      </w:r>
      <w:r w:rsidR="008C7E79">
        <w:t>1</w:t>
      </w:r>
      <w:r w:rsidRPr="000C1590">
        <w:t>, ERCOT will enforce only the associated single-circuit contingencies during EEA Level 2 or 3.  ERCOT shall resume enforcing such constraints as a double-circuit contingency after PRC is restored to at least 3,000 MW or the Emergency Condition has ended, whichever is later, and ERCOT has determined that system conditions have improved such that the chance of re-entering into an EEA Level 2 or 3 is low.  For constraints related to stability limits that are not IROLs, ERCOT may elect not to enforce double-circuit contingencies during EEA Level 3 only.</w:t>
      </w:r>
    </w:p>
    <w:p w14:paraId="70D84DA3" w14:textId="77777777" w:rsidR="001F04FD" w:rsidRDefault="001F04FD" w:rsidP="001F04FD">
      <w:pPr>
        <w:pStyle w:val="H5"/>
        <w:spacing w:before="480"/>
        <w:ind w:left="1627" w:hanging="1627"/>
      </w:pPr>
      <w:bookmarkStart w:id="1509" w:name="_Toc397504992"/>
      <w:bookmarkStart w:id="1510" w:name="_Toc402357120"/>
      <w:bookmarkStart w:id="1511" w:name="_Toc422486500"/>
      <w:bookmarkStart w:id="1512" w:name="_Toc433093352"/>
      <w:bookmarkStart w:id="1513" w:name="_Toc433093510"/>
      <w:bookmarkStart w:id="1514" w:name="_Toc440874738"/>
      <w:bookmarkStart w:id="1515" w:name="_Toc448142293"/>
      <w:bookmarkStart w:id="1516" w:name="_Toc448142450"/>
      <w:bookmarkStart w:id="1517" w:name="_Toc458770287"/>
      <w:bookmarkStart w:id="1518" w:name="_Toc459294255"/>
      <w:bookmarkStart w:id="1519" w:name="_Toc463262748"/>
      <w:bookmarkStart w:id="1520" w:name="_Toc468286821"/>
      <w:bookmarkStart w:id="1521" w:name="_Toc481502867"/>
      <w:bookmarkStart w:id="1522" w:name="_Toc496080035"/>
      <w:bookmarkStart w:id="1523" w:name="_Toc87951781"/>
      <w:bookmarkStart w:id="1524" w:name="_Toc204411638"/>
      <w:bookmarkEnd w:id="673"/>
      <w:r>
        <w:t>6.5.9.4.1</w:t>
      </w:r>
      <w:r>
        <w:tab/>
        <w:t>General Procedures Prior to EEA Operations</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4"/>
      <w:r>
        <w:t xml:space="preserve"> </w:t>
      </w:r>
    </w:p>
    <w:p w14:paraId="3527508A" w14:textId="77777777" w:rsidR="001F04FD" w:rsidRDefault="001F04FD" w:rsidP="001F04FD">
      <w:pPr>
        <w:pStyle w:val="BodyTextNumbered"/>
      </w:pPr>
      <w:r>
        <w:t>(1)</w:t>
      </w:r>
      <w:r>
        <w:tab/>
        <w:t>Prior to declaring EEA Level 1 detailed in Section 6.5.9.4.2, EEA Levels, ERCOT may perform the following operations consistent with Good Utility Practice:</w:t>
      </w:r>
    </w:p>
    <w:p w14:paraId="40498E62" w14:textId="09B1A78F" w:rsidR="001F04FD" w:rsidRDefault="001F04FD" w:rsidP="001F04FD">
      <w:pPr>
        <w:pStyle w:val="List"/>
      </w:pPr>
      <w:r>
        <w:t>(a)</w:t>
      </w:r>
      <w:r>
        <w:tab/>
      </w:r>
      <w:r w:rsidR="00832D19">
        <w:t>Provide Dispatch Instructions to QSEs for specific Resources to operate at an Emergency Base Point to maximize Resource deployment so as to increase PRC levels on other Resources</w:t>
      </w:r>
      <w:r>
        <w:t>;</w:t>
      </w:r>
    </w:p>
    <w:p w14:paraId="3BC2E0C1" w14:textId="77777777" w:rsidR="001F04FD" w:rsidRDefault="001F04FD" w:rsidP="00BA3F0D">
      <w:pPr>
        <w:pStyle w:val="List"/>
      </w:pPr>
      <w:r>
        <w:t>(b)</w:t>
      </w:r>
      <w:r>
        <w:tab/>
        <w:t>Commit specific available Resources as necessary that can respond in the timeframe of the emergency.  Such commitments will be settled using the HRUC process;</w:t>
      </w:r>
    </w:p>
    <w:p w14:paraId="3E350E80" w14:textId="77777777" w:rsidR="001F04FD" w:rsidRDefault="001F04FD" w:rsidP="001F04FD">
      <w:pPr>
        <w:pStyle w:val="List"/>
      </w:pPr>
      <w:r>
        <w:t>(c)</w:t>
      </w:r>
      <w:r>
        <w:tab/>
        <w:t>Start RMR Units available in the time frame of the emergency.  RMR Units should be loaded to full capability;</w:t>
      </w:r>
    </w:p>
    <w:p w14:paraId="147A1BCB" w14:textId="5CDD946E" w:rsidR="001F04FD" w:rsidRDefault="001F04FD" w:rsidP="001F04FD">
      <w:pPr>
        <w:pStyle w:val="List"/>
      </w:pPr>
      <w:r>
        <w:lastRenderedPageBreak/>
        <w:t>(d)</w:t>
      </w:r>
      <w:r>
        <w:tab/>
        <w:t xml:space="preserve">Utilize available Resources providing </w:t>
      </w:r>
      <w:r w:rsidR="00832D19">
        <w:t>RRS</w:t>
      </w:r>
      <w:r w:rsidR="008611B7">
        <w:t>, ECRS,</w:t>
      </w:r>
      <w:r w:rsidR="00832D19">
        <w:t xml:space="preserve"> and </w:t>
      </w:r>
      <w:r>
        <w:t>Non-Spin services as required;</w:t>
      </w:r>
    </w:p>
    <w:p w14:paraId="189AB732" w14:textId="77777777" w:rsidR="0064112F" w:rsidRDefault="0064112F" w:rsidP="00F969DB">
      <w:pPr>
        <w:pStyle w:val="List"/>
      </w:pPr>
      <w:r>
        <w:t>(e)</w:t>
      </w:r>
      <w:r>
        <w:tab/>
      </w:r>
      <w:r w:rsidRPr="00AE3BC9">
        <w:t xml:space="preserve">Instruct TSPs and DSPs or their agents to reduce Customer Load by using </w:t>
      </w:r>
      <w:r>
        <w:t xml:space="preserve">existing, in-service </w:t>
      </w:r>
      <w:r w:rsidRPr="00AE3BC9">
        <w:t xml:space="preserve">distribution voltage reduction measures if </w:t>
      </w:r>
      <w:r>
        <w:t xml:space="preserve">ERCOT determines that the implementation of these measures could help avoid entering into EEA and ERCOT does not expect to need to use these measures to reduce the amount of Load shedding that may be needed in EEA Level 3.  A TSP, DSP, or their agent shall implement these instructions if distribution voltage reduction measures are available and already installed.  If the TSP, DSP, or their agent determines in their sole discretion that the distribution voltage reduction would adversely affect reliability, the voltage reduction measure may be reduced, modified, or otherwise changed from maximum performance to a level of exercise that has no negative impact to reliability; and </w:t>
      </w:r>
    </w:p>
    <w:p w14:paraId="444F9F7E" w14:textId="46CEEC61" w:rsidR="00A3515A" w:rsidRDefault="001F04FD" w:rsidP="00A3515A">
      <w:pPr>
        <w:pStyle w:val="List"/>
        <w:spacing w:before="240"/>
      </w:pPr>
      <w:r>
        <w:t>(</w:t>
      </w:r>
      <w:r w:rsidR="0064112F">
        <w:t>f</w:t>
      </w:r>
      <w:r>
        <w:t>)</w:t>
      </w:r>
      <w:r>
        <w:tab/>
        <w:t xml:space="preserve">ERCOT shall use the PRC </w:t>
      </w:r>
      <w:r w:rsidR="00D67C9C">
        <w:t xml:space="preserve">and system frequency </w:t>
      </w:r>
      <w:r>
        <w:t xml:space="preserve">to determine the appropriate Emergency Notice and EEA levels.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F63FE" w:rsidRPr="00975E64" w:rsidDel="00004772" w14:paraId="5A33444F" w14:textId="77777777" w:rsidTr="00E844EE">
        <w:trPr>
          <w:trHeight w:val="296"/>
        </w:trPr>
        <w:tc>
          <w:tcPr>
            <w:tcW w:w="9576" w:type="dxa"/>
            <w:shd w:val="pct12" w:color="auto" w:fill="auto"/>
          </w:tcPr>
          <w:p w14:paraId="04F99F79" w14:textId="14A48E49" w:rsidR="005F63FE" w:rsidRPr="00975E64" w:rsidDel="00004772" w:rsidRDefault="005F63FE" w:rsidP="00E844EE">
            <w:pPr>
              <w:pStyle w:val="Instructions"/>
              <w:spacing w:before="120"/>
            </w:pPr>
            <w:r w:rsidRPr="00975E64" w:rsidDel="00004772">
              <w:t>[NPRR</w:t>
            </w:r>
            <w:r w:rsidR="00687F9C">
              <w:t>1238</w:t>
            </w:r>
            <w:r w:rsidRPr="00975E64" w:rsidDel="00004772">
              <w:t xml:space="preserve">:  </w:t>
            </w:r>
            <w:r>
              <w:t>Insert</w:t>
            </w:r>
            <w:r w:rsidRPr="00975E64" w:rsidDel="00004772">
              <w:t xml:space="preserve"> paragraph (</w:t>
            </w:r>
            <w:r>
              <w:t>2</w:t>
            </w:r>
            <w:r w:rsidRPr="00975E64" w:rsidDel="00004772">
              <w:t xml:space="preserve">) </w:t>
            </w:r>
            <w:r>
              <w:t>below</w:t>
            </w:r>
            <w:r w:rsidRPr="00975E64" w:rsidDel="00004772">
              <w:t xml:space="preserve"> upon system implementation</w:t>
            </w:r>
            <w:r>
              <w:t xml:space="preserve"> and renumber accordingly</w:t>
            </w:r>
            <w:r w:rsidRPr="00975E64" w:rsidDel="00004772">
              <w:t>:]</w:t>
            </w:r>
          </w:p>
          <w:p w14:paraId="56648632" w14:textId="5D3CCD04" w:rsidR="005F63FE" w:rsidRPr="005F63FE" w:rsidRDefault="005F63FE" w:rsidP="005F63FE">
            <w:pPr>
              <w:spacing w:before="240" w:after="240"/>
              <w:ind w:left="720" w:hanging="720"/>
            </w:pPr>
            <w:r w:rsidRPr="005F63FE">
              <w:t>(2)</w:t>
            </w:r>
            <w:r w:rsidRPr="005F63FE">
              <w:tab/>
              <w:t xml:space="preserve">When PRC falls below 3,100 MW and is not projected to be recovered above 3,100 MW within 30 minutes following the deployment of Non-Spin, ERCOT may deploy some or all Voluntary Early Curtailment Loads (VECLs) via an Extensible Markup Language (XML) message, as described in Nodal Operating Guide Section 4.5.3.4, Qualified Scheduling Entity VECL Load </w:t>
            </w:r>
            <w:r w:rsidR="00C74DE0">
              <w:t>R</w:t>
            </w:r>
            <w:r w:rsidRPr="005F63FE">
              <w:t xml:space="preserve">eduction Obligation, in order to maintain or restore 3,100 MW of PRC to the greatest extent possible.  </w:t>
            </w:r>
          </w:p>
          <w:p w14:paraId="697D0088" w14:textId="77777777" w:rsidR="005F63FE" w:rsidRPr="005F63FE" w:rsidRDefault="005F63FE" w:rsidP="005F63FE">
            <w:pPr>
              <w:spacing w:before="240" w:after="240"/>
              <w:ind w:left="1440" w:hanging="720"/>
            </w:pPr>
            <w:r w:rsidRPr="005F63FE">
              <w:t>(a)</w:t>
            </w:r>
            <w:r w:rsidRPr="005F63FE">
              <w:tab/>
              <w:t>VECLs may be deployed at any time in a Settlement Interval at the discretion of ERCOT operators.</w:t>
            </w:r>
          </w:p>
          <w:p w14:paraId="7B8A4F79" w14:textId="77777777" w:rsidR="005F63FE" w:rsidRPr="005F63FE" w:rsidRDefault="005F63FE" w:rsidP="005F63FE">
            <w:pPr>
              <w:spacing w:before="240" w:after="240"/>
              <w:ind w:left="1440" w:hanging="720"/>
            </w:pPr>
            <w:r w:rsidRPr="005F63FE">
              <w:t>(b)</w:t>
            </w:r>
            <w:r w:rsidRPr="005F63FE">
              <w:tab/>
              <w:t>Upon deployment of any amount of VECLs, ERCOT shall notify all Market Participants via an operations message that such deployment has been made and shall specify the MW capacity of VECL deployed.</w:t>
            </w:r>
          </w:p>
          <w:p w14:paraId="0417CEA5" w14:textId="77777777" w:rsidR="005F63FE" w:rsidRPr="005F63FE" w:rsidRDefault="005F63FE" w:rsidP="005F63FE">
            <w:pPr>
              <w:spacing w:before="240" w:after="240"/>
              <w:ind w:left="1440" w:hanging="720"/>
            </w:pPr>
            <w:r w:rsidRPr="005F63FE">
              <w:t>(c)</w:t>
            </w:r>
            <w:r w:rsidRPr="005F63FE">
              <w:tab/>
              <w:t>ERCOT shall notify QSEs of the VECLs deployment via an XML message.  The deployment time within the ERCOT XML deployment message shall initiate the VECL deployment and the VECL ramp period.</w:t>
            </w:r>
          </w:p>
          <w:p w14:paraId="205F42D2" w14:textId="77777777" w:rsidR="005F63FE" w:rsidRPr="005F63FE" w:rsidRDefault="005F63FE" w:rsidP="005F63FE">
            <w:pPr>
              <w:spacing w:before="240" w:after="240"/>
              <w:ind w:left="1440" w:hanging="720"/>
            </w:pPr>
            <w:r w:rsidRPr="005F63FE">
              <w:t>(d)</w:t>
            </w:r>
            <w:r w:rsidRPr="005F63FE">
              <w:tab/>
              <w:t xml:space="preserve">Upon receipt of a VECL deployment, QSEs shall instruct their VECLs to reduce consumption without delay in a time period not to exceed 30 minutes from the start of the VECL ramp period, and the deployed VECLs shall comply with those instructions.  </w:t>
            </w:r>
          </w:p>
          <w:p w14:paraId="01933295" w14:textId="77777777" w:rsidR="005F63FE" w:rsidRPr="005F63FE" w:rsidRDefault="005F63FE" w:rsidP="005F63FE">
            <w:pPr>
              <w:spacing w:before="240" w:after="240"/>
              <w:ind w:left="1440" w:hanging="720"/>
            </w:pPr>
            <w:r w:rsidRPr="005F63FE">
              <w:t>(e)</w:t>
            </w:r>
            <w:r w:rsidRPr="005F63FE">
              <w:tab/>
              <w:t xml:space="preserve">If a VECL fails to comply with a deployment instruction, ERCOT may instruct the applicable TO to remotely disconnect the VECL.  If a VECL that fails to comply with a deployment instruction is co-located with an ERCOT Resource, </w:t>
            </w:r>
            <w:r w:rsidRPr="005F63FE">
              <w:lastRenderedPageBreak/>
              <w:t>ERCOT may instruct the Customer’s QSE to remotely disconnect the VECL, in which case the QSE shall ensure that the VECL is promptly disconnected from the ERCOT System.</w:t>
            </w:r>
            <w:r w:rsidRPr="005F63FE" w:rsidDel="00585907">
              <w:t xml:space="preserve"> </w:t>
            </w:r>
          </w:p>
          <w:p w14:paraId="07082BC4" w14:textId="77777777" w:rsidR="005F63FE" w:rsidRPr="005F63FE" w:rsidRDefault="005F63FE" w:rsidP="005F63FE">
            <w:pPr>
              <w:spacing w:before="240" w:after="240"/>
              <w:ind w:left="1440" w:hanging="720"/>
            </w:pPr>
            <w:r w:rsidRPr="005F63FE">
              <w:t>(f)</w:t>
            </w:r>
            <w:r w:rsidRPr="005F63FE">
              <w:tab/>
              <w:t>ERCOT shall notify QSEs of the termination of the VECLs deployment via an XML recall message.  The ERCOT XML recall message shall represent the official notice of the VECLs recall.</w:t>
            </w:r>
          </w:p>
          <w:p w14:paraId="5F83A311" w14:textId="77777777" w:rsidR="005F63FE" w:rsidRPr="005F63FE" w:rsidRDefault="005F63FE" w:rsidP="005F63FE">
            <w:pPr>
              <w:spacing w:before="240" w:after="240"/>
              <w:ind w:left="2160" w:hanging="720"/>
            </w:pPr>
            <w:r w:rsidRPr="005F63FE">
              <w:t>(i)</w:t>
            </w:r>
            <w:r w:rsidRPr="005F63FE">
              <w:tab/>
              <w:t>If ERCOT has instructed the interconnecting TO to disconnect a VECL for failure to comply with a deployment instruction, ERCOT will also notify the TO once the VECL deployment has been terminated, so that the VECL can be reconnected.</w:t>
            </w:r>
          </w:p>
          <w:p w14:paraId="5813B69A" w14:textId="77777777" w:rsidR="005F63FE" w:rsidRPr="005F63FE" w:rsidRDefault="005F63FE" w:rsidP="005F63FE">
            <w:pPr>
              <w:spacing w:before="240" w:after="240"/>
              <w:ind w:left="1440" w:hanging="720"/>
            </w:pPr>
            <w:r w:rsidRPr="005F63FE">
              <w:t>(g)</w:t>
            </w:r>
            <w:r w:rsidRPr="005F63FE">
              <w:tab/>
              <w:t>Upon termination of the VECLs deployment, any VECL shall not increase consumption at a rate exceeding 20% per minute.</w:t>
            </w:r>
          </w:p>
          <w:p w14:paraId="77678A58" w14:textId="35CE990E" w:rsidR="005F63FE" w:rsidRPr="00975E64" w:rsidDel="00004772" w:rsidRDefault="005F63FE" w:rsidP="005F63FE">
            <w:pPr>
              <w:spacing w:before="240" w:after="240"/>
              <w:ind w:left="1440" w:hanging="720"/>
            </w:pPr>
            <w:r w:rsidRPr="005F63FE">
              <w:t>(h)</w:t>
            </w:r>
            <w:r w:rsidRPr="005F63FE">
              <w:tab/>
              <w:t>Upon termination of VECLs deployment, ERCOT shall notify all Market Participants via an operations message that such deployment has been terminated and shall specify the MW capacity of VECLs recalled.</w:t>
            </w:r>
          </w:p>
        </w:tc>
      </w:tr>
    </w:tbl>
    <w:p w14:paraId="0080865D" w14:textId="26A311E1" w:rsidR="00A3515A" w:rsidRPr="005D778F" w:rsidRDefault="00A3515A" w:rsidP="00A3515A">
      <w:pPr>
        <w:spacing w:before="240" w:after="240"/>
        <w:ind w:left="720" w:hanging="720"/>
      </w:pPr>
      <w:r w:rsidRPr="00D866C9">
        <w:lastRenderedPageBreak/>
        <w:t>(2)</w:t>
      </w:r>
      <w:r w:rsidRPr="00D866C9">
        <w:tab/>
        <w:t xml:space="preserve">When PRC falls below 3,000 MW and is not projected to be recovered above 3,000 MW within 30 minutes following the deployment of Non-Spin, ERCOT may deploy available contracted ERS-10 and ERS-30 via an XML message.  </w:t>
      </w:r>
      <w:r w:rsidR="0050458F">
        <w:t>The deployment time within the ERCOT XML deployment message shall represent</w:t>
      </w:r>
      <w:r w:rsidR="0050458F" w:rsidRPr="00D866C9">
        <w:t xml:space="preserve"> </w:t>
      </w:r>
      <w:r w:rsidR="0050458F">
        <w:t>t</w:t>
      </w:r>
      <w:r w:rsidRPr="00D866C9">
        <w:t xml:space="preserve">he </w:t>
      </w:r>
      <w:r w:rsidR="0050458F">
        <w:t xml:space="preserve">beginning of the </w:t>
      </w:r>
      <w:r w:rsidRPr="00D866C9">
        <w:t>ERS-10 and ERS-30 ramp periods.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87F9C" w:rsidRPr="00975E64" w:rsidDel="00004772" w14:paraId="1BF74CA4" w14:textId="77777777" w:rsidTr="00E844EE">
        <w:trPr>
          <w:trHeight w:val="296"/>
        </w:trPr>
        <w:tc>
          <w:tcPr>
            <w:tcW w:w="9576" w:type="dxa"/>
            <w:shd w:val="pct12" w:color="auto" w:fill="auto"/>
          </w:tcPr>
          <w:p w14:paraId="38BB5F69" w14:textId="2068BF9A" w:rsidR="00687F9C" w:rsidRPr="00975E64" w:rsidDel="00004772" w:rsidRDefault="00687F9C" w:rsidP="00E844EE">
            <w:pPr>
              <w:pStyle w:val="Instructions"/>
              <w:spacing w:before="120"/>
            </w:pPr>
            <w:r w:rsidRPr="00975E64" w:rsidDel="00004772">
              <w:t>[NPRR</w:t>
            </w:r>
            <w:r>
              <w:t>1238</w:t>
            </w:r>
            <w:r w:rsidRPr="00975E64" w:rsidDel="00004772">
              <w:t xml:space="preserve">:  </w:t>
            </w:r>
            <w:r>
              <w:t>Replace</w:t>
            </w:r>
            <w:r w:rsidRPr="00975E64" w:rsidDel="00004772">
              <w:t xml:space="preserve"> paragraph (</w:t>
            </w:r>
            <w:r>
              <w:t>2</w:t>
            </w:r>
            <w:r w:rsidRPr="00975E64" w:rsidDel="00004772">
              <w:t xml:space="preserve">) </w:t>
            </w:r>
            <w:r>
              <w:t>above with the following</w:t>
            </w:r>
            <w:r w:rsidRPr="00975E64" w:rsidDel="00004772">
              <w:t xml:space="preserve"> upon system implementation:]</w:t>
            </w:r>
          </w:p>
          <w:p w14:paraId="05189ACD" w14:textId="41ED176D" w:rsidR="00687F9C" w:rsidRPr="00687F9C" w:rsidDel="00004772" w:rsidRDefault="00687F9C" w:rsidP="00687F9C">
            <w:pPr>
              <w:spacing w:before="240" w:after="240"/>
              <w:ind w:left="720" w:hanging="720"/>
              <w:rPr>
                <w:szCs w:val="24"/>
              </w:rPr>
            </w:pPr>
            <w:r w:rsidRPr="00687F9C">
              <w:rPr>
                <w:szCs w:val="24"/>
              </w:rPr>
              <w:t>(3)</w:t>
            </w:r>
            <w:r w:rsidRPr="00687F9C">
              <w:rPr>
                <w:szCs w:val="24"/>
              </w:rPr>
              <w:tab/>
              <w:t xml:space="preserve">When PRC falls below 3,000 MW and is not projected to be recovered above 3,000 MW within 30 minutes following the deployment of Non-Spin and all </w:t>
            </w:r>
            <w:r w:rsidRPr="00687F9C">
              <w:rPr>
                <w:bCs/>
              </w:rPr>
              <w:t>VECL</w:t>
            </w:r>
            <w:r w:rsidRPr="00687F9C">
              <w:rPr>
                <w:szCs w:val="24"/>
              </w:rPr>
              <w:t>, ERCOT may deploy available contracted ERS-10 and ERS-30 via an XML message.  The deployment time within the ERCOT XML deployment message shall represent the beginning of the ERS-10 and ERS-30 ramp periods.</w:t>
            </w:r>
          </w:p>
        </w:tc>
      </w:tr>
    </w:tbl>
    <w:p w14:paraId="5DAF438C" w14:textId="698B1E64" w:rsidR="00A3515A" w:rsidRPr="005D778F" w:rsidRDefault="00A3515A" w:rsidP="00A3515A">
      <w:pPr>
        <w:spacing w:before="240" w:after="240"/>
        <w:ind w:left="1440" w:hanging="720"/>
      </w:pPr>
      <w:r w:rsidRPr="005D778F">
        <w:t>(</w:t>
      </w:r>
      <w:r>
        <w:t>a</w:t>
      </w:r>
      <w:r w:rsidRPr="005D778F">
        <w:t>)</w:t>
      </w:r>
      <w:r w:rsidRPr="005D778F">
        <w:tab/>
        <w:t>ERS-10 and ERS-30 may be deployed at any time in a Settlement Interval.  ERS-10 and ERS-30 may be deployed either simultaneously or separately, and in any order, at the discretion of ERCOT operators.</w:t>
      </w:r>
    </w:p>
    <w:p w14:paraId="27BF40AE" w14:textId="0BFC044A" w:rsidR="00A3515A" w:rsidRPr="005D778F" w:rsidRDefault="00A3515A" w:rsidP="00A3515A">
      <w:pPr>
        <w:spacing w:before="240" w:after="240"/>
        <w:ind w:left="1440" w:hanging="720"/>
      </w:pPr>
      <w:r w:rsidRPr="005D778F">
        <w:t>(</w:t>
      </w:r>
      <w:r>
        <w:t>b</w:t>
      </w:r>
      <w:r w:rsidRPr="005D778F">
        <w:t>)</w:t>
      </w:r>
      <w:r w:rsidRPr="005D778F">
        <w:tab/>
        <w:t xml:space="preserve">Upon deployment, QSEs shall instruct their ERS Resources in ERS-10 and ERS-30 to perform at contracted levels consistent with the criteria described in Section 8.1.3.1.4, Event Performance Criteria for Emergency Response Service Resources, until either ERCOT releases the ERS-10 and ERS-30 deployment or </w:t>
      </w:r>
      <w:r w:rsidRPr="005D778F">
        <w:lastRenderedPageBreak/>
        <w:t>the ERS-10 and ERS-30 Resources have reached their maximum deployment time.</w:t>
      </w:r>
    </w:p>
    <w:p w14:paraId="6F212AF3" w14:textId="0CDD11DC" w:rsidR="00A3515A" w:rsidRPr="005D778F" w:rsidRDefault="00A3515A" w:rsidP="00A3515A">
      <w:pPr>
        <w:spacing w:before="240" w:after="240"/>
        <w:ind w:left="1440" w:hanging="720"/>
      </w:pPr>
      <w:r w:rsidRPr="005D778F">
        <w:t>(</w:t>
      </w:r>
      <w:r>
        <w:t>c</w:t>
      </w:r>
      <w:r w:rsidRPr="005D778F">
        <w:t>)</w:t>
      </w:r>
      <w:r w:rsidRPr="005D778F">
        <w:tab/>
        <w:t xml:space="preserve">ERCOT shall notify QSEs of the </w:t>
      </w:r>
      <w:r w:rsidR="0050458F">
        <w:t>recall</w:t>
      </w:r>
      <w:r w:rsidRPr="005D778F">
        <w:t xml:space="preserve"> of ERS-10 and ERS-30 via an XML message.  The </w:t>
      </w:r>
      <w:r w:rsidR="0050458F">
        <w:t>recall time within the ERCOT XML message</w:t>
      </w:r>
      <w:r w:rsidRPr="005D778F">
        <w:t xml:space="preserve"> shall represent the official notice of ERS-10 and ERS-30 </w:t>
      </w:r>
      <w:r w:rsidR="0050458F">
        <w:t>recall</w:t>
      </w:r>
      <w:r w:rsidRPr="005D778F">
        <w:t>.</w:t>
      </w:r>
    </w:p>
    <w:p w14:paraId="373F7A2E" w14:textId="6679A103" w:rsidR="001F04FD" w:rsidRDefault="00A3515A" w:rsidP="00A3515A">
      <w:pPr>
        <w:pStyle w:val="List"/>
        <w:spacing w:before="240"/>
      </w:pPr>
      <w:r w:rsidRPr="005D778F">
        <w:t>(</w:t>
      </w:r>
      <w:r>
        <w:t>d</w:t>
      </w:r>
      <w:r w:rsidRPr="005D778F">
        <w:t>)</w:t>
      </w:r>
      <w:r w:rsidRPr="005D778F">
        <w:tab/>
        <w:t>Upon release, an ERS Resource shall return to a condition such that it is capable of meeting its ERS performance requirements as soon as practical, but no later than ten hours following the release.</w:t>
      </w:r>
    </w:p>
    <w:p w14:paraId="1D3D2DED" w14:textId="77777777" w:rsidR="008C7E79" w:rsidRPr="00975E64" w:rsidDel="00004772" w:rsidRDefault="008C7E79" w:rsidP="008C7E79">
      <w:pPr>
        <w:pStyle w:val="BodyTextNumbered"/>
        <w:shd w:val="clear" w:color="auto" w:fill="FFFFFF"/>
      </w:pPr>
      <w:bookmarkStart w:id="1525" w:name="_Toc397504993"/>
      <w:bookmarkStart w:id="1526" w:name="_Toc402357121"/>
      <w:bookmarkStart w:id="1527" w:name="_Toc422486501"/>
      <w:bookmarkStart w:id="1528" w:name="_Toc433093353"/>
      <w:bookmarkStart w:id="1529" w:name="_Toc433093511"/>
      <w:bookmarkStart w:id="1530" w:name="_Toc440874739"/>
      <w:bookmarkStart w:id="1531" w:name="_Toc448142294"/>
      <w:bookmarkStart w:id="1532" w:name="_Toc448142451"/>
      <w:bookmarkStart w:id="1533" w:name="_Toc458770288"/>
      <w:bookmarkStart w:id="1534" w:name="_Toc459294256"/>
      <w:bookmarkStart w:id="1535" w:name="_Toc463262749"/>
      <w:bookmarkStart w:id="1536" w:name="_Toc468286822"/>
      <w:bookmarkStart w:id="1537" w:name="_Toc481502868"/>
      <w:bookmarkStart w:id="1538" w:name="_Toc496080036"/>
      <w:r w:rsidRPr="00975E64" w:rsidDel="00004772">
        <w:t>(</w:t>
      </w:r>
      <w:r>
        <w:t>3</w:t>
      </w:r>
      <w:r w:rsidRPr="00975E64" w:rsidDel="00004772">
        <w:t>)</w:t>
      </w:r>
      <w:r w:rsidRPr="00975E64" w:rsidDel="00004772">
        <w:tab/>
        <w:t xml:space="preserve">When </w:t>
      </w:r>
      <w:r>
        <w:t>a Watch</w:t>
      </w:r>
      <w:r w:rsidRPr="00975E64" w:rsidDel="00004772">
        <w:t xml:space="preserve"> is issued for PRC below 3,000 MW and ERCOT expects system conditions to deteriorate to the extent that an EEA Level 2 or 3 may be experienced, ERCOT shall evaluate constraints active in SCED and determine which constraints have the potential to limit generation output.  </w:t>
      </w:r>
    </w:p>
    <w:p w14:paraId="4F1799B7" w14:textId="77777777" w:rsidR="008C7E79" w:rsidRPr="00975E64" w:rsidDel="00004772" w:rsidRDefault="008C7E79" w:rsidP="008C7E79">
      <w:pPr>
        <w:pStyle w:val="BodyTextNumbered"/>
        <w:ind w:left="1440"/>
      </w:pPr>
      <w:r w:rsidRPr="00975E64" w:rsidDel="00004772">
        <w:t>(a)</w:t>
      </w:r>
      <w:r w:rsidRPr="00975E64" w:rsidDel="00004772">
        <w:tab/>
        <w:t>Upon identification of such constraints, ERCOT shall coordinate with the TSPs that own or operate the overloaded Transmission Facilities associated with those constraints, as well as the Resource Entities whose generation output may be limited, to determine whether: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C7E79" w:rsidRPr="00975E64" w:rsidDel="00004772" w14:paraId="6A1D1F35" w14:textId="77777777" w:rsidTr="0061655D">
        <w:trPr>
          <w:trHeight w:val="296"/>
        </w:trPr>
        <w:tc>
          <w:tcPr>
            <w:tcW w:w="9576" w:type="dxa"/>
            <w:shd w:val="pct12" w:color="auto" w:fill="auto"/>
          </w:tcPr>
          <w:p w14:paraId="5770D94C" w14:textId="63C16B65" w:rsidR="008C7E79" w:rsidRPr="00975E64" w:rsidDel="00004772" w:rsidRDefault="008C7E79" w:rsidP="0061655D">
            <w:pPr>
              <w:pStyle w:val="Instructions"/>
              <w:spacing w:before="120"/>
            </w:pPr>
            <w:r w:rsidRPr="00975E64" w:rsidDel="00004772">
              <w:t xml:space="preserve">[NPRR857:  Replace paragraph (a) above with the following upon system implementation </w:t>
            </w:r>
            <w:r w:rsidRPr="00975E64" w:rsidDel="00004772">
              <w:rPr>
                <w:bCs/>
                <w:iCs w:val="0"/>
              </w:rPr>
              <w:t xml:space="preserve">and </w:t>
            </w:r>
            <w:r w:rsidRPr="00975E64" w:rsidDel="00004772">
              <w:t xml:space="preserve">satisfying the following conditions: </w:t>
            </w:r>
            <w:r w:rsidR="00186863">
              <w:t xml:space="preserve"> </w:t>
            </w:r>
            <w:r w:rsidRPr="00975E64" w:rsidDel="00004772">
              <w:t>(1)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p>
          <w:p w14:paraId="1F4D0DF4" w14:textId="77777777" w:rsidR="008C7E79" w:rsidRPr="00975E64" w:rsidDel="00004772" w:rsidRDefault="008C7E79" w:rsidP="0061655D">
            <w:pPr>
              <w:pStyle w:val="BodyTextNumbered"/>
              <w:ind w:left="1440"/>
            </w:pPr>
            <w:r w:rsidRPr="00975E64" w:rsidDel="00004772">
              <w:t>(a)</w:t>
            </w:r>
            <w:r w:rsidRPr="00975E64" w:rsidDel="00004772">
              <w:tab/>
              <w:t>Upon identification of such constraints, ERCOT shall coordinate with the TSPs and DCTOs that own or operate the overloaded Transmission Facilities associated with those constraints, as well as the Resource Entities whose generation output may be limited, to determine whether:</w:t>
            </w:r>
          </w:p>
        </w:tc>
      </w:tr>
    </w:tbl>
    <w:p w14:paraId="7A431EB9" w14:textId="77777777" w:rsidR="008C7E79" w:rsidRPr="00975E64" w:rsidDel="00004772" w:rsidRDefault="008C7E79" w:rsidP="008C7E79">
      <w:pPr>
        <w:pStyle w:val="BodyTextNumbered"/>
        <w:shd w:val="clear" w:color="auto" w:fill="FFFFFF"/>
        <w:spacing w:before="240"/>
        <w:ind w:left="2160"/>
      </w:pPr>
      <w:r w:rsidRPr="00975E64" w:rsidDel="00004772">
        <w:t>(i)</w:t>
      </w:r>
      <w:r w:rsidRPr="00975E64" w:rsidDel="00004772">
        <w:tab/>
        <w:t xml:space="preserve">A 15-Minute Rating is available to allow for additional transmission capacity for use in congestion management, if an EEA Level 2 or 3 is declared, and post-contingency actions can be taken within 15 minutes to return the flow to within the Emergency Rating.  Such actions may include, but are not limited to, reducing the generation that increased output as a result of enforcing the 15-Minute Rating rather than the Emergency Rating; </w:t>
      </w:r>
    </w:p>
    <w:p w14:paraId="7BFEA3AD" w14:textId="77777777" w:rsidR="008C7E79" w:rsidRPr="00975E64" w:rsidDel="00004772" w:rsidRDefault="008C7E79" w:rsidP="008C7E79">
      <w:pPr>
        <w:pStyle w:val="BodyTextNumbered"/>
        <w:shd w:val="clear" w:color="auto" w:fill="FFFFFF"/>
        <w:ind w:left="2160"/>
      </w:pPr>
      <w:r w:rsidRPr="00975E64" w:rsidDel="00004772">
        <w:t>(ii)</w:t>
      </w:r>
      <w:r w:rsidRPr="00975E64" w:rsidDel="00004772">
        <w:tab/>
        <w:t xml:space="preserve">Post-contingency loading of the Transmission Facilities is expected to be at or below Normal Rating within two hours; or </w:t>
      </w:r>
    </w:p>
    <w:p w14:paraId="72DA2971" w14:textId="77777777" w:rsidR="008C7E79" w:rsidRPr="00975E64" w:rsidDel="00004772" w:rsidRDefault="008C7E79" w:rsidP="008C7E79">
      <w:pPr>
        <w:pStyle w:val="BodyTextNumbered"/>
        <w:shd w:val="clear" w:color="auto" w:fill="FFFFFF"/>
        <w:ind w:left="2160"/>
      </w:pPr>
      <w:r w:rsidRPr="00975E64" w:rsidDel="00004772">
        <w:lastRenderedPageBreak/>
        <w:t>(iii)</w:t>
      </w:r>
      <w:r w:rsidRPr="00975E64" w:rsidDel="00004772">
        <w:tab/>
        <w:t xml:space="preserve">Additional transmission capacity could allow for additional output from a limited Generation Resource by taking one of the following actions: </w:t>
      </w:r>
    </w:p>
    <w:p w14:paraId="3674CF29" w14:textId="77777777" w:rsidR="008C7E79" w:rsidRPr="00975E64" w:rsidDel="00004772" w:rsidRDefault="008C7E79" w:rsidP="008C7E79">
      <w:pPr>
        <w:pStyle w:val="BodyTextNumbered"/>
        <w:shd w:val="clear" w:color="auto" w:fill="FFFFFF"/>
        <w:ind w:left="2880"/>
      </w:pPr>
      <w:r w:rsidRPr="00975E64" w:rsidDel="00004772">
        <w:t>(A)</w:t>
      </w:r>
      <w:r w:rsidRPr="00975E64" w:rsidDel="00004772">
        <w:tab/>
        <w:t xml:space="preserve">Restoring Transmission Elements that are out of service; </w:t>
      </w:r>
    </w:p>
    <w:p w14:paraId="3A3C1C28" w14:textId="5F93E87C" w:rsidR="008C7E79" w:rsidRPr="00975E64" w:rsidDel="00004772" w:rsidRDefault="008C7E79" w:rsidP="008C7E79">
      <w:pPr>
        <w:pStyle w:val="BodyTextNumbered"/>
        <w:shd w:val="clear" w:color="auto" w:fill="FFFFFF"/>
        <w:ind w:left="2880"/>
      </w:pPr>
      <w:r w:rsidRPr="00975E64" w:rsidDel="00004772">
        <w:t>(B)</w:t>
      </w:r>
      <w:r w:rsidRPr="00975E64" w:rsidDel="00004772">
        <w:tab/>
        <w:t>Reconfiguring the transmission system; or</w:t>
      </w:r>
    </w:p>
    <w:p w14:paraId="2F10F037" w14:textId="77777777" w:rsidR="008C7E79" w:rsidRPr="00975E64" w:rsidDel="00004772" w:rsidRDefault="008C7E79" w:rsidP="008C7E79">
      <w:pPr>
        <w:pStyle w:val="BodyTextNumbered"/>
        <w:shd w:val="clear" w:color="auto" w:fill="FFFFFF"/>
        <w:ind w:left="2880"/>
      </w:pPr>
      <w:r w:rsidRPr="00975E64" w:rsidDel="00004772">
        <w:t>(C)</w:t>
      </w:r>
      <w:r w:rsidRPr="00975E64" w:rsidDel="00004772">
        <w:tab/>
        <w:t>Making adjustments to phase angle regulator tap positions.</w:t>
      </w:r>
    </w:p>
    <w:p w14:paraId="37DC44F9" w14:textId="69B06A01" w:rsidR="008C7E79" w:rsidRPr="00975E64" w:rsidDel="00004772" w:rsidRDefault="008C7E79" w:rsidP="008C7E79">
      <w:pPr>
        <w:pStyle w:val="BodyTextNumbered"/>
        <w:shd w:val="clear" w:color="auto" w:fill="FFFFFF"/>
        <w:ind w:left="1440" w:firstLine="0"/>
      </w:pPr>
      <w:r w:rsidRPr="00975E64" w:rsidDel="00004772">
        <w:t xml:space="preserve">If ERCOT determines that one of the above-mentioned actions allows for additional output from a limited Generation Resource, ERCOT may instruct the TSPs to take the action(s) during the </w:t>
      </w:r>
      <w:r w:rsidR="0050458F">
        <w:t>Watch</w:t>
      </w:r>
      <w:r w:rsidRPr="00975E64" w:rsidDel="00004772">
        <w:t xml:space="preserve"> to allow for additional output from the limited Generation Resource.</w:t>
      </w:r>
    </w:p>
    <w:p w14:paraId="184ED9E1" w14:textId="31542F19" w:rsidR="008C7E79" w:rsidRPr="00975E64" w:rsidDel="00004772" w:rsidRDefault="008C7E79" w:rsidP="008C7E79">
      <w:pPr>
        <w:pStyle w:val="BodyTextNumbered"/>
        <w:ind w:left="1440"/>
      </w:pPr>
      <w:r w:rsidRPr="00975E64" w:rsidDel="00004772">
        <w:t>(b)</w:t>
      </w:r>
      <w:r w:rsidRPr="00975E64" w:rsidDel="00004772">
        <w:tab/>
        <w:t xml:space="preserve">ERCOT shall also coordinate with TSPs who own and operate the Transmission Facilities associated with the double-circuit contingencies for the constraints identified above to determine whether the double-circuit failures are at a high risk of occurring due to system conditions, which may include: </w:t>
      </w:r>
      <w:r w:rsidR="00186863">
        <w:t xml:space="preserve"> </w:t>
      </w:r>
      <w:r w:rsidRPr="00975E64" w:rsidDel="00004772">
        <w:t xml:space="preserve">severe weather conditions forecasted by ERCOT in the vicinity of the double circuit, weather conditions that indicate a high risk of insulator flashover on the double circuit, repeated Forced Outages of the individual circuits that are part of the double circuit in the preceding 48 hours, or fire in progress in the right of way of the double circuit. </w:t>
      </w:r>
    </w:p>
    <w:p w14:paraId="240942EA" w14:textId="77777777" w:rsidR="008C7E79" w:rsidRPr="00975E64" w:rsidDel="00004772" w:rsidRDefault="008C7E79" w:rsidP="008C7E79">
      <w:pPr>
        <w:pStyle w:val="BodyTextNumbered"/>
        <w:spacing w:before="240"/>
        <w:ind w:left="1440"/>
      </w:pPr>
      <w:r w:rsidRPr="00975E64" w:rsidDel="00004772">
        <w:t>(c)</w:t>
      </w:r>
      <w:r w:rsidRPr="00975E64" w:rsidDel="00004772">
        <w:tab/>
        <w:t>The actions detailed in this Section shall be supplemental to the development and maintenance of CMPs as otherwise directed by the Protocols or Operating Guides.</w:t>
      </w:r>
    </w:p>
    <w:p w14:paraId="1258CB00" w14:textId="395F360A" w:rsidR="008C7E79" w:rsidRDefault="008C7E79" w:rsidP="008C7E79">
      <w:pPr>
        <w:spacing w:before="240" w:after="240"/>
        <w:ind w:left="720" w:hanging="720"/>
      </w:pPr>
      <w:r w:rsidRPr="00975E64">
        <w:t>(4)</w:t>
      </w:r>
      <w:r w:rsidRPr="00975E64">
        <w:tab/>
        <w:t>When a Watch is issued for PRC below 3,000 MW, QSEs shall suspend any ongoing ERCOT-required Resource performance testing.</w:t>
      </w:r>
    </w:p>
    <w:p w14:paraId="193F0CBB" w14:textId="77777777" w:rsidR="001F04FD" w:rsidRDefault="001F04FD" w:rsidP="001F04FD">
      <w:pPr>
        <w:pStyle w:val="H5"/>
        <w:spacing w:before="480"/>
        <w:ind w:left="1627" w:hanging="1627"/>
      </w:pPr>
      <w:bookmarkStart w:id="1539" w:name="_Toc204411639"/>
      <w:r>
        <w:t>6.5.9.4.2</w:t>
      </w:r>
      <w:r>
        <w:tab/>
        <w:t>EEA Levels</w:t>
      </w:r>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p>
    <w:p w14:paraId="22D8297E" w14:textId="551D1D6E" w:rsidR="001F04FD" w:rsidRDefault="001F04FD" w:rsidP="001F04FD">
      <w:pPr>
        <w:pStyle w:val="BodyTextNumbered"/>
      </w:pPr>
      <w:r>
        <w:t>(1)</w:t>
      </w:r>
      <w:r>
        <w:tab/>
        <w:t>ERCOT will declare an EEA Level 1 when PRC falls below 2,</w:t>
      </w:r>
      <w:r w:rsidR="008C7E79">
        <w:t>5</w:t>
      </w:r>
      <w:r>
        <w:t>00 MW and is not projected to be recovered above 2,</w:t>
      </w:r>
      <w:r w:rsidR="008C7E79">
        <w:t>5</w:t>
      </w:r>
      <w:r>
        <w:t xml:space="preserve">00 MW within 30 minutes without the use of the following actions that are prescribed for EEA Level 1: </w:t>
      </w:r>
    </w:p>
    <w:p w14:paraId="59BC8C28" w14:textId="44FEC5E5" w:rsidR="001F04FD" w:rsidRDefault="001F04FD" w:rsidP="001F04FD">
      <w:pPr>
        <w:pStyle w:val="List"/>
      </w:pPr>
      <w:r>
        <w:t>(a)</w:t>
      </w:r>
      <w:r>
        <w:tab/>
        <w:t>ERCOT shall</w:t>
      </w:r>
      <w:r w:rsidRPr="007F5A4E">
        <w:t xml:space="preserve"> </w:t>
      </w:r>
      <w:r>
        <w:t xml:space="preserve">take the following steps to maintain steady state system frequency near 60 Hz and maintain PRC above </w:t>
      </w:r>
      <w:r w:rsidR="008C7E79">
        <w:t>2</w:t>
      </w:r>
      <w:r>
        <w:t>,</w:t>
      </w:r>
      <w:r w:rsidR="008C7E79">
        <w:t>00</w:t>
      </w:r>
      <w:r>
        <w:t>0 MW:</w:t>
      </w:r>
    </w:p>
    <w:p w14:paraId="3159BC04" w14:textId="77777777" w:rsidR="001F04FD" w:rsidRDefault="001F04FD" w:rsidP="001F04FD">
      <w:pPr>
        <w:pStyle w:val="List2"/>
      </w:pPr>
      <w:r>
        <w:t>(i)</w:t>
      </w:r>
      <w:r>
        <w:tab/>
        <w:t xml:space="preserve">Request available Generation Resources that can perform within the expected timeframe of the emergency to come On-Line by initiating manual HRUC or through Dispatch Instructions;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963EB" w14:paraId="07DEC46F" w14:textId="77777777" w:rsidTr="004E6E12">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273D4EAF" w14:textId="72CCF11D" w:rsidR="006963EB" w:rsidRDefault="006963EB" w:rsidP="004E6E12">
            <w:pPr>
              <w:pStyle w:val="Instructions"/>
              <w:spacing w:before="120"/>
            </w:pPr>
            <w:r>
              <w:t>[NPRR1246:  Replace paragraph (i) above with the following upon system implementation of the Real-Time Co-Optimization (RTC) project:]</w:t>
            </w:r>
          </w:p>
          <w:p w14:paraId="760062E4" w14:textId="07D98301" w:rsidR="006963EB" w:rsidRPr="006963EB" w:rsidRDefault="006963EB" w:rsidP="006963EB">
            <w:pPr>
              <w:spacing w:after="240"/>
              <w:ind w:left="2160" w:hanging="720"/>
            </w:pPr>
            <w:r w:rsidRPr="007F5C96">
              <w:lastRenderedPageBreak/>
              <w:t>(i)</w:t>
            </w:r>
            <w:r w:rsidRPr="007F5C96">
              <w:tab/>
              <w:t>Request available Generation Resources that can perform within the expected timeframe of the emergency to come On-Line by initiating manual HRUC or through Dispatch Instructions</w:t>
            </w:r>
            <w:r>
              <w:t>, and request available ESRs that can perform within the expected timeframe of the emergency to come On-Line through Dispatch Instructions</w:t>
            </w:r>
            <w:r w:rsidRPr="007F5C96">
              <w:t>;</w:t>
            </w:r>
          </w:p>
        </w:tc>
      </w:tr>
    </w:tbl>
    <w:p w14:paraId="5A8EA4FE" w14:textId="4923F7CB" w:rsidR="001F04FD" w:rsidRDefault="001F04FD" w:rsidP="00DD0A69">
      <w:pPr>
        <w:pStyle w:val="List2"/>
        <w:spacing w:before="240"/>
      </w:pPr>
      <w:r>
        <w:lastRenderedPageBreak/>
        <w:t>(ii)</w:t>
      </w:r>
      <w:r>
        <w:tab/>
        <w:t xml:space="preserve">Use available DC Tie import capacity that is not already being used; </w:t>
      </w:r>
    </w:p>
    <w:p w14:paraId="2D5C7F50" w14:textId="77777777" w:rsidR="001F04FD" w:rsidRDefault="001F04FD" w:rsidP="001F04FD">
      <w:pPr>
        <w:pStyle w:val="List2"/>
      </w:pPr>
      <w:r>
        <w:t>(iii)</w:t>
      </w:r>
      <w:r>
        <w:tab/>
        <w:t>Issue a Dispatch Instruction for Resources to remain On-Line which, before start of emergency, were scheduled to come Off-Line; and</w:t>
      </w:r>
    </w:p>
    <w:p w14:paraId="7032B171" w14:textId="2DF37B7D" w:rsidR="001F04FD" w:rsidRPr="00A0746D" w:rsidRDefault="001F04FD" w:rsidP="000D6728">
      <w:pPr>
        <w:pStyle w:val="List2"/>
      </w:pPr>
      <w:r w:rsidRPr="00500837">
        <w:t>(</w:t>
      </w:r>
      <w:r>
        <w:t>i</w:t>
      </w:r>
      <w:r w:rsidRPr="00500837">
        <w:t>v)</w:t>
      </w:r>
      <w:r w:rsidRPr="00500837">
        <w:tab/>
      </w:r>
      <w:r w:rsidR="00A3515A" w:rsidRPr="00975D86">
        <w:t>Instruct QSEs to</w:t>
      </w:r>
      <w:r w:rsidR="00A3515A" w:rsidRPr="00500837">
        <w:t xml:space="preserve"> </w:t>
      </w:r>
      <w:r w:rsidRPr="00500837">
        <w:t xml:space="preserve">deploy </w:t>
      </w:r>
      <w:r w:rsidR="00A3515A">
        <w:t>undeployed</w:t>
      </w:r>
      <w:r w:rsidRPr="00500837">
        <w:t xml:space="preserve"> </w:t>
      </w:r>
      <w:r w:rsidR="00A3515A" w:rsidRPr="00975D86">
        <w:t>ERS-10</w:t>
      </w:r>
      <w:r w:rsidR="00A3515A">
        <w:t xml:space="preserve"> and</w:t>
      </w:r>
      <w:r w:rsidR="00A3515A" w:rsidRPr="00500837">
        <w:t xml:space="preserve"> </w:t>
      </w:r>
      <w:r w:rsidRPr="00500837">
        <w:t>ERS-30.</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2098D99F" w14:textId="77777777" w:rsidTr="00EC5231">
        <w:trPr>
          <w:trHeight w:val="206"/>
        </w:trPr>
        <w:tc>
          <w:tcPr>
            <w:tcW w:w="9350" w:type="dxa"/>
            <w:shd w:val="pct12" w:color="auto" w:fill="auto"/>
          </w:tcPr>
          <w:p w14:paraId="2FB5B9A2" w14:textId="17941B1B" w:rsidR="002D5C44" w:rsidRDefault="002D5C44" w:rsidP="00EC5231">
            <w:pPr>
              <w:pStyle w:val="Instructions"/>
              <w:spacing w:before="120"/>
            </w:pPr>
            <w:r>
              <w:t>[NPRR1010:  Insert paragraph (v) below upon system implementation of the Real-Time Co-Optimization (RTC) project:]</w:t>
            </w:r>
          </w:p>
          <w:p w14:paraId="699F5550" w14:textId="2D69B030" w:rsidR="002D5C44" w:rsidRPr="00B37C4B" w:rsidRDefault="002D5C44" w:rsidP="002D5C44">
            <w:pPr>
              <w:spacing w:after="240"/>
              <w:ind w:left="2160" w:hanging="720"/>
            </w:pPr>
            <w:r>
              <w:t>(v)</w:t>
            </w:r>
            <w:r>
              <w:tab/>
              <w:t xml:space="preserve">At ERCOT’s discretion, manually deploy, </w:t>
            </w:r>
            <w:r>
              <w:rPr>
                <w:iCs/>
              </w:rPr>
              <w:t xml:space="preserve">through ICCP, </w:t>
            </w:r>
            <w:r>
              <w:t xml:space="preserve">available RRS and ECRS </w:t>
            </w:r>
            <w:r>
              <w:rPr>
                <w:iCs/>
              </w:rPr>
              <w:t xml:space="preserve">capacity from </w:t>
            </w:r>
            <w:r>
              <w:t>Generation Resources having a Resource Status of ONSC and awarded RRS or ECRS.</w:t>
            </w:r>
          </w:p>
        </w:tc>
      </w:tr>
    </w:tbl>
    <w:p w14:paraId="63CE39A1" w14:textId="3DA19F0B" w:rsidR="001F04FD" w:rsidRDefault="001F04FD" w:rsidP="00FB599C">
      <w:pPr>
        <w:pStyle w:val="List"/>
        <w:spacing w:before="240"/>
      </w:pPr>
      <w:r>
        <w:t>(b)</w:t>
      </w:r>
      <w:r>
        <w:tab/>
        <w:t>QSEs shall:</w:t>
      </w:r>
    </w:p>
    <w:p w14:paraId="7985BFCF" w14:textId="6280047C" w:rsidR="001F04FD" w:rsidRDefault="001F04FD" w:rsidP="001F04FD">
      <w:pPr>
        <w:pStyle w:val="List"/>
        <w:ind w:left="2160"/>
      </w:pPr>
      <w:r>
        <w:t>(i)</w:t>
      </w:r>
      <w:r>
        <w:tab/>
        <w:t>Ensure COPs</w:t>
      </w:r>
      <w:r w:rsidR="008C7E79">
        <w:t>,</w:t>
      </w:r>
      <w:r>
        <w:t xml:space="preserve"> telemetered </w:t>
      </w:r>
      <w:r w:rsidR="008C7E79">
        <w:t xml:space="preserve">status, and telemetered </w:t>
      </w:r>
      <w:r>
        <w:t>HSLs are updated and reflect all Resource delays and limitations;</w:t>
      </w:r>
      <w:r w:rsidR="008C7E79">
        <w:t xml:space="preserve">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61C3C5BC" w14:textId="77777777" w:rsidTr="00EC5231">
        <w:trPr>
          <w:trHeight w:val="206"/>
        </w:trPr>
        <w:tc>
          <w:tcPr>
            <w:tcW w:w="9350" w:type="dxa"/>
            <w:shd w:val="pct12" w:color="auto" w:fill="auto"/>
          </w:tcPr>
          <w:p w14:paraId="72628364" w14:textId="00DE756A" w:rsidR="002D5C44" w:rsidRDefault="002D5C44" w:rsidP="00EC5231">
            <w:pPr>
              <w:pStyle w:val="Instructions"/>
              <w:spacing w:before="120"/>
            </w:pPr>
            <w:r>
              <w:t>[NPRR1010:  Replace paragraph (i) above with the following upon system implementation of the Real-Time Co-Optimization (RTC) project:]</w:t>
            </w:r>
          </w:p>
          <w:p w14:paraId="48578CDD" w14:textId="2324BD16" w:rsidR="002D5C44" w:rsidRPr="00B37C4B" w:rsidRDefault="002D5C44" w:rsidP="002D5C44">
            <w:pPr>
              <w:spacing w:after="240"/>
              <w:ind w:left="2160" w:hanging="720"/>
            </w:pPr>
            <w:r w:rsidRPr="003161DC">
              <w:t>(i)</w:t>
            </w:r>
            <w:r w:rsidRPr="003161DC">
              <w:tab/>
              <w:t>Ensure COPs</w:t>
            </w:r>
            <w:r w:rsidR="008C7E79">
              <w:t>,</w:t>
            </w:r>
            <w:r w:rsidRPr="003161DC">
              <w:t xml:space="preserve"> telemetered </w:t>
            </w:r>
            <w:r w:rsidR="008C7E79">
              <w:t xml:space="preserve">status, </w:t>
            </w:r>
            <w:r w:rsidR="008C7E79" w:rsidRPr="003161DC">
              <w:t xml:space="preserve">telemetered </w:t>
            </w:r>
            <w:r w:rsidRPr="003161DC">
              <w:t>HSLs</w:t>
            </w:r>
            <w:r>
              <w:t>, Normal Ramp Rates, Emergency Ramp Rates, and Ancillary Service capabilities</w:t>
            </w:r>
            <w:r w:rsidRPr="003161DC">
              <w:t xml:space="preserve"> are updated and reflect all Resource delays and limitations;</w:t>
            </w:r>
            <w:r w:rsidR="008C7E79">
              <w:t xml:space="preserve"> and</w:t>
            </w:r>
          </w:p>
        </w:tc>
      </w:tr>
    </w:tbl>
    <w:p w14:paraId="79F9FED1" w14:textId="02D5A821" w:rsidR="00C52BB8" w:rsidRDefault="00C52BB8" w:rsidP="00A27C4B">
      <w:pPr>
        <w:pStyle w:val="List"/>
        <w:spacing w:before="240"/>
        <w:ind w:left="2160"/>
      </w:pPr>
      <w:r>
        <w:t>(ii)</w:t>
      </w:r>
      <w:r>
        <w:tab/>
        <w:t>Ensure that each of its ESRs suspends charging until the EEA is recalled, except under the following circumstances:</w:t>
      </w:r>
    </w:p>
    <w:p w14:paraId="06B18A6C" w14:textId="1E5C3C21" w:rsidR="00C52BB8" w:rsidRDefault="00C52BB8" w:rsidP="00C52BB8">
      <w:pPr>
        <w:pStyle w:val="List"/>
        <w:ind w:left="2880"/>
      </w:pPr>
      <w:r>
        <w:t>(A)</w:t>
      </w:r>
      <w:r>
        <w:tab/>
        <w:t xml:space="preserve">The ESR has a current SCED Base Point Instruction, </w:t>
      </w:r>
      <w:r w:rsidR="00283DFC">
        <w:t xml:space="preserve">LFC </w:t>
      </w:r>
      <w:r>
        <w:t xml:space="preserve">Dispatch Instruction, or manual Dispatch Instruction to charge the ESR; </w:t>
      </w:r>
    </w:p>
    <w:p w14:paraId="6417F353" w14:textId="77777777" w:rsidR="00C52BB8" w:rsidRDefault="00C52BB8" w:rsidP="00C52BB8">
      <w:pPr>
        <w:pStyle w:val="List"/>
        <w:ind w:left="2880"/>
      </w:pPr>
      <w:r>
        <w:t>(B)</w:t>
      </w:r>
      <w:r>
        <w:tab/>
        <w:t xml:space="preserve">The ESR is actively providing Primary Frequency Response; or </w:t>
      </w:r>
    </w:p>
    <w:p w14:paraId="1B1C5EBD" w14:textId="41AB74AE" w:rsidR="001F04FD" w:rsidRDefault="00C52BB8" w:rsidP="00C52BB8">
      <w:pPr>
        <w:pStyle w:val="List"/>
        <w:ind w:left="2880"/>
      </w:pPr>
      <w:r>
        <w:t>(C)</w:t>
      </w:r>
      <w:r>
        <w:tab/>
        <w:t xml:space="preserve">The ESR is co-located behind a POI with onsite generation that is incapable of exporting additional power to the ERCOT System, in </w:t>
      </w:r>
      <w:r>
        <w:lastRenderedPageBreak/>
        <w:t>which case the ESR may continue to charge as long as maximum output to the ERCOT System is maintained</w:t>
      </w:r>
      <w:r w:rsidR="001F04FD">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A07FE" w14:paraId="13128767" w14:textId="77777777" w:rsidTr="005C5A9B">
        <w:trPr>
          <w:trHeight w:val="206"/>
        </w:trPr>
        <w:tc>
          <w:tcPr>
            <w:tcW w:w="9576" w:type="dxa"/>
            <w:shd w:val="pct12" w:color="auto" w:fill="auto"/>
          </w:tcPr>
          <w:p w14:paraId="5E3D7AC0" w14:textId="3CA964E8" w:rsidR="007A07FE" w:rsidRDefault="007A07FE" w:rsidP="005C5A9B">
            <w:pPr>
              <w:pStyle w:val="Instructions"/>
              <w:spacing w:before="120"/>
            </w:pPr>
            <w:r>
              <w:t>[</w:t>
            </w:r>
            <w:r w:rsidR="002F1AE6">
              <w:t>NPRR995</w:t>
            </w:r>
            <w:r>
              <w:t xml:space="preserve">:  </w:t>
            </w:r>
            <w:r w:rsidR="00C52BB8">
              <w:t>Replace</w:t>
            </w:r>
            <w:r w:rsidR="002F1AE6">
              <w:t xml:space="preserve"> </w:t>
            </w:r>
            <w:r>
              <w:t xml:space="preserve">paragraph (ii) </w:t>
            </w:r>
            <w:r w:rsidR="00C52BB8">
              <w:t>above with the following</w:t>
            </w:r>
            <w:r>
              <w:t xml:space="preserve"> upon system implementation:]</w:t>
            </w:r>
          </w:p>
          <w:p w14:paraId="2F5994B8" w14:textId="5BD57A3E" w:rsidR="007A07FE" w:rsidRDefault="007A07FE" w:rsidP="007A07FE">
            <w:pPr>
              <w:pStyle w:val="List"/>
              <w:ind w:left="2160"/>
            </w:pPr>
            <w:r>
              <w:t>(ii)</w:t>
            </w:r>
            <w:r>
              <w:tab/>
              <w:t>Ensure that each of its ESRs</w:t>
            </w:r>
            <w:r w:rsidR="002F1AE6">
              <w:t xml:space="preserve"> and SOESSs</w:t>
            </w:r>
            <w:r>
              <w:t xml:space="preserve"> suspends charging until the EEA is recalled, except under the following circumstances:</w:t>
            </w:r>
          </w:p>
          <w:p w14:paraId="1AAB1436" w14:textId="099DB1B0" w:rsidR="007A07FE" w:rsidRDefault="007A07FE" w:rsidP="007A07FE">
            <w:pPr>
              <w:pStyle w:val="List"/>
              <w:ind w:left="2880"/>
            </w:pPr>
            <w:r>
              <w:t>(A)</w:t>
            </w:r>
            <w:r>
              <w:tab/>
              <w:t xml:space="preserve">The ESR has a current SCED Base Point Instruction, </w:t>
            </w:r>
            <w:r w:rsidR="00283DFC">
              <w:t>LFC</w:t>
            </w:r>
            <w:r>
              <w:t xml:space="preserve"> Dispatch Instruction, or manual Dispatch Instruction to charge the ESR; </w:t>
            </w:r>
          </w:p>
          <w:p w14:paraId="30332C64" w14:textId="753DE1B6" w:rsidR="007A07FE" w:rsidRDefault="007A07FE" w:rsidP="007A07FE">
            <w:pPr>
              <w:pStyle w:val="List"/>
              <w:ind w:left="2880"/>
            </w:pPr>
            <w:r>
              <w:t>(B)</w:t>
            </w:r>
            <w:r>
              <w:tab/>
              <w:t xml:space="preserve">The ESR </w:t>
            </w:r>
            <w:r w:rsidR="002F1AE6">
              <w:t xml:space="preserve">or SOESS </w:t>
            </w:r>
            <w:r>
              <w:t xml:space="preserve">is actively providing Primary Frequency Response; or </w:t>
            </w:r>
          </w:p>
          <w:p w14:paraId="779B121B" w14:textId="7CDF7C1F" w:rsidR="007A07FE" w:rsidRPr="008F39F7" w:rsidRDefault="007A07FE" w:rsidP="00B84F08">
            <w:pPr>
              <w:pStyle w:val="List"/>
              <w:ind w:left="2880"/>
            </w:pPr>
            <w:r>
              <w:t>(C)</w:t>
            </w:r>
            <w:r>
              <w:tab/>
              <w:t>The ESR</w:t>
            </w:r>
            <w:r w:rsidR="002F1AE6">
              <w:t xml:space="preserve"> or SOESS</w:t>
            </w:r>
            <w:r>
              <w:t xml:space="preserve"> is co-located behind a POI with onsite generation that is incapable of exporting additional power to the ERCOT System, in which case the ESR may continue to charge as long as maximum output to the ERCOT System is maintained</w:t>
            </w:r>
            <w:r w:rsidRPr="00E779DA">
              <w:t>.</w:t>
            </w:r>
          </w:p>
        </w:tc>
      </w:tr>
    </w:tbl>
    <w:p w14:paraId="2A6B39ED" w14:textId="7A540301" w:rsidR="001F04FD" w:rsidRDefault="001F04FD" w:rsidP="003A5AC3">
      <w:pPr>
        <w:pStyle w:val="BodyTextNumbered"/>
        <w:spacing w:before="240"/>
      </w:pPr>
      <w:r>
        <w:t>(2)</w:t>
      </w:r>
      <w:r>
        <w:tab/>
        <w:t xml:space="preserve">ERCOT </w:t>
      </w:r>
      <w:r w:rsidR="00D67C9C">
        <w:t>may</w:t>
      </w:r>
      <w:r>
        <w:t xml:space="preserve"> declare an EEA Level 2 when </w:t>
      </w:r>
      <w:r w:rsidR="00D67C9C" w:rsidRPr="00D46D2F">
        <w:t xml:space="preserve">the </w:t>
      </w:r>
      <w:r w:rsidR="00D67C9C" w:rsidRPr="00D46D2F">
        <w:rPr>
          <w:iCs/>
        </w:rPr>
        <w:t>clock-min</w:t>
      </w:r>
      <w:r w:rsidR="00D67C9C">
        <w:rPr>
          <w:iCs/>
        </w:rPr>
        <w:t>ute average</w:t>
      </w:r>
      <w:r>
        <w:t xml:space="preserve"> system frequency </w:t>
      </w:r>
      <w:r w:rsidR="00D67C9C">
        <w:t>falls below</w:t>
      </w:r>
      <w:r>
        <w:t xml:space="preserve"> 59.91 Hz </w:t>
      </w:r>
      <w:r w:rsidR="00D67C9C">
        <w:t>for 15 consecutive minutes.  ERCOT will declare an EEA Level 2</w:t>
      </w:r>
      <w:r>
        <w:t xml:space="preserve"> when PRC falls below </w:t>
      </w:r>
      <w:r w:rsidR="008C7E79">
        <w:t>2</w:t>
      </w:r>
      <w:r>
        <w:t>,</w:t>
      </w:r>
      <w:r w:rsidR="008C7E79">
        <w:t>00</w:t>
      </w:r>
      <w:r>
        <w:t xml:space="preserve">0 MW and is not projected to be recovered above </w:t>
      </w:r>
      <w:r w:rsidR="008C7E79">
        <w:t>2</w:t>
      </w:r>
      <w:r>
        <w:t>,</w:t>
      </w:r>
      <w:r w:rsidR="008C7E79">
        <w:t>00</w:t>
      </w:r>
      <w:r>
        <w:t xml:space="preserve">0 MW within 30 minutes without the use of the following actions that are prescribed for EEA Level 2: </w:t>
      </w:r>
    </w:p>
    <w:p w14:paraId="6E99F497" w14:textId="009DD984" w:rsidR="001F04FD" w:rsidRDefault="001F04FD" w:rsidP="001F04FD">
      <w:pPr>
        <w:pStyle w:val="List"/>
      </w:pPr>
      <w:r>
        <w:t>(a)</w:t>
      </w:r>
      <w:r>
        <w:tab/>
        <w:t>In addition to the measures associated with EEA Level 1, ERCOT shall take the following steps</w:t>
      </w:r>
      <w:r w:rsidRPr="007F5A4E">
        <w:t xml:space="preserve"> </w:t>
      </w:r>
      <w:r>
        <w:t xml:space="preserve">to maintain steady state system frequency at a minimum of 59.91 Hz and maintain PRC above </w:t>
      </w:r>
      <w:r w:rsidR="00947C1C">
        <w:t>1,</w:t>
      </w:r>
      <w:r w:rsidR="008C7E79">
        <w:t>50</w:t>
      </w:r>
      <w:r w:rsidR="00947C1C">
        <w:t>0</w:t>
      </w:r>
      <w:r>
        <w:t xml:space="preserve"> MW:</w:t>
      </w:r>
    </w:p>
    <w:p w14:paraId="2349273D" w14:textId="3F88A9DB" w:rsidR="001F04FD" w:rsidRDefault="001F04FD" w:rsidP="001F04FD">
      <w:pPr>
        <w:pStyle w:val="List2"/>
      </w:pPr>
      <w:r>
        <w:t>(i)</w:t>
      </w:r>
      <w:r>
        <w:tab/>
        <w:t xml:space="preserve">Instruct TSPs and DSPs or their agents to reduce Customer Load by using </w:t>
      </w:r>
      <w:r w:rsidR="0064112F">
        <w:t xml:space="preserve">existing, in-service </w:t>
      </w:r>
      <w:r>
        <w:t>distribution voltage reduction measures</w:t>
      </w:r>
      <w:r w:rsidR="0064112F" w:rsidRPr="0064112F">
        <w:t xml:space="preserve"> </w:t>
      </w:r>
      <w:r w:rsidR="0064112F">
        <w:t>that have not already been implemented.  A</w:t>
      </w:r>
      <w:r>
        <w:t xml:space="preserve"> TSP, DSP, or their agent</w:t>
      </w:r>
      <w:r w:rsidR="0064112F">
        <w:t xml:space="preserve"> shall implement these instructions if distribution voltage reduction measures are available and already installed.  If the TSP, DSP, or their agent determines in their sole discretion that the distribution voltage reduction would adversely affect reliability, the voltage reduction measure may be reduced, modified, or otherwise changed from maximum performance to a level of exercise that has no negative impact to reliability</w:t>
      </w:r>
      <w:r>
        <w:t>.</w:t>
      </w:r>
    </w:p>
    <w:p w14:paraId="487315AB" w14:textId="77777777" w:rsidR="001F04FD" w:rsidRDefault="001F04FD" w:rsidP="001F04FD">
      <w:pPr>
        <w:pStyle w:val="List2"/>
      </w:pPr>
      <w:r w:rsidRPr="005456FD">
        <w:t>(ii)</w:t>
      </w:r>
      <w:r>
        <w:tab/>
        <w:t>Instruct TSPs and DSPs to implement any available Load management plans to reduce Customer Load.</w:t>
      </w:r>
    </w:p>
    <w:p w14:paraId="0213180B" w14:textId="1FC32B93" w:rsidR="001F04FD" w:rsidRDefault="001F04FD" w:rsidP="001F04FD">
      <w:pPr>
        <w:pStyle w:val="List2"/>
      </w:pPr>
      <w:bookmarkStart w:id="1540" w:name="_Hlk135903532"/>
      <w:r w:rsidRPr="005456FD">
        <w:t>(ii</w:t>
      </w:r>
      <w:r>
        <w:t>i</w:t>
      </w:r>
      <w:r w:rsidRPr="005456FD">
        <w:t>)</w:t>
      </w:r>
      <w:r w:rsidRPr="005456FD">
        <w:tab/>
        <w:t xml:space="preserve">Instruct QSEs to deploy </w:t>
      </w:r>
      <w:r w:rsidR="008611B7">
        <w:t xml:space="preserve">ECRS or </w:t>
      </w:r>
      <w:r w:rsidRPr="005456FD">
        <w:t xml:space="preserve">RRS </w:t>
      </w:r>
      <w:r w:rsidR="008611B7" w:rsidRPr="0003648D">
        <w:t>(controlled by high-set under-frequency relays)</w:t>
      </w:r>
      <w:r w:rsidR="008611B7">
        <w:t xml:space="preserve"> </w:t>
      </w:r>
      <w:r w:rsidRPr="005456FD">
        <w:t xml:space="preserve">supplied from Load Resources.  </w:t>
      </w:r>
      <w:r w:rsidR="007D1FB3">
        <w:t xml:space="preserve">ERCOT may deploy ECRS or RRS simultaneously or separately, and in any order.  </w:t>
      </w:r>
      <w:r w:rsidRPr="005456FD">
        <w:t xml:space="preserve">ERCOT </w:t>
      </w:r>
      <w:r w:rsidRPr="005456FD">
        <w:lastRenderedPageBreak/>
        <w:t>shall issue such Dispatch Instructions in accordance with the deployment methodologies described in paragraph (i</w:t>
      </w:r>
      <w:r>
        <w:t>v</w:t>
      </w:r>
      <w:r w:rsidRPr="005456FD">
        <w:t>) below</w:t>
      </w:r>
      <w: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83B06" w14:paraId="79EB2C9C" w14:textId="77777777" w:rsidTr="003B384F">
        <w:trPr>
          <w:trHeight w:val="206"/>
        </w:trPr>
        <w:tc>
          <w:tcPr>
            <w:tcW w:w="5000" w:type="pct"/>
            <w:shd w:val="pct12" w:color="auto" w:fill="auto"/>
          </w:tcPr>
          <w:p w14:paraId="7641FEF7" w14:textId="30077F13" w:rsidR="00C83B06" w:rsidRDefault="00C83B06" w:rsidP="003B384F">
            <w:pPr>
              <w:pStyle w:val="Instructions"/>
              <w:spacing w:before="120"/>
            </w:pPr>
            <w:bookmarkStart w:id="1541" w:name="_Hlk135903540"/>
            <w:bookmarkEnd w:id="1540"/>
            <w:r>
              <w:t>[NPRR1270:  Replace paragraph (iii) above with the following upon system implementation of the Real-Time Co-Optimization (RTC) project:]</w:t>
            </w:r>
          </w:p>
          <w:p w14:paraId="5CDF346D" w14:textId="63935C64" w:rsidR="00C83B06" w:rsidRPr="00C3334D" w:rsidRDefault="00C83B06" w:rsidP="00C83B06">
            <w:pPr>
              <w:pStyle w:val="List2"/>
            </w:pPr>
            <w:r w:rsidRPr="005456FD">
              <w:t>(ii</w:t>
            </w:r>
            <w:r>
              <w:t>i</w:t>
            </w:r>
            <w:r w:rsidRPr="005456FD">
              <w:t>)</w:t>
            </w:r>
            <w:r w:rsidRPr="005456FD">
              <w:tab/>
              <w:t xml:space="preserve">Instruct QSEs to deploy </w:t>
            </w:r>
            <w:r>
              <w:t xml:space="preserve">ECRS or </w:t>
            </w:r>
            <w:r w:rsidRPr="005456FD">
              <w:t xml:space="preserve">RRS </w:t>
            </w:r>
            <w:r w:rsidRPr="0003648D">
              <w:t>(controlled by high-set under-frequency relays)</w:t>
            </w:r>
            <w:r>
              <w:t xml:space="preserve"> </w:t>
            </w:r>
            <w:r w:rsidRPr="005456FD">
              <w:t xml:space="preserve">supplied from Load Resources.  </w:t>
            </w:r>
            <w:r>
              <w:t xml:space="preserve">ERCOT may deploy ECRS or RRS from Load Resources simultaneously or separately.  </w:t>
            </w:r>
            <w:r w:rsidRPr="005456FD">
              <w:t>ERCOT shall issue such Dispatch Instructions in accordance with the deployment methodologies described in paragraph (i</w:t>
            </w:r>
            <w:r>
              <w:t>v</w:t>
            </w:r>
            <w:r w:rsidRPr="005456FD">
              <w:t>) below</w:t>
            </w:r>
            <w:r>
              <w:t>.</w:t>
            </w:r>
          </w:p>
        </w:tc>
      </w:tr>
    </w:tbl>
    <w:p w14:paraId="6B0D9147" w14:textId="23F8013B" w:rsidR="001F04FD" w:rsidRDefault="001F04FD" w:rsidP="005E62C6">
      <w:pPr>
        <w:spacing w:before="240" w:after="240"/>
        <w:ind w:left="2160" w:hanging="720"/>
      </w:pPr>
      <w:r w:rsidRPr="00FA1244">
        <w:t>(</w:t>
      </w:r>
      <w:r w:rsidR="002B72E7">
        <w:t>i</w:t>
      </w:r>
      <w:r w:rsidRPr="00FA1244">
        <w:t>v)</w:t>
      </w:r>
      <w:r w:rsidRPr="00FA1244">
        <w:tab/>
      </w:r>
      <w:r w:rsidR="008611B7">
        <w:t xml:space="preserve">Load Resources providing ECRS that are not controlled by high-set under-frequency relays shall be deployed prior to Group 1 deployment.  </w:t>
      </w:r>
      <w:r w:rsidRPr="00FA1244">
        <w:t xml:space="preserve">ERCOT shall deploy </w:t>
      </w:r>
      <w:r w:rsidR="008611B7">
        <w:t xml:space="preserve">ECRS and </w:t>
      </w:r>
      <w:r w:rsidRPr="00FA1244">
        <w:t>RRS capacity supplied by Load Resources (controlled by high-set under-frequency relays) in accordance with the following:</w:t>
      </w:r>
    </w:p>
    <w:p w14:paraId="30CA97F7" w14:textId="3C070C68" w:rsidR="001F04FD" w:rsidRDefault="001F04FD" w:rsidP="00F969DB">
      <w:pPr>
        <w:pStyle w:val="List3"/>
        <w:rPr>
          <w:sz w:val="20"/>
        </w:rPr>
      </w:pPr>
      <w:bookmarkStart w:id="1542" w:name="_Hlk135903548"/>
      <w:bookmarkEnd w:id="1541"/>
      <w:r>
        <w:t>(A)</w:t>
      </w:r>
      <w:r>
        <w:tab/>
      </w:r>
      <w:r w:rsidR="008611B7">
        <w:t>Instruct QSEs to deploy RRS with a Group 1 designation and all of the ECRS that is supplied from Load Resources (controlled by high-set under-frequency relays) by instructing the QSE representing the specific Load Resources to interrupt Group 1 Load Resources providing ECRS and RRS</w:t>
      </w:r>
      <w:r>
        <w:t xml:space="preserve">.  </w:t>
      </w:r>
      <w:r>
        <w:rPr>
          <w:szCs w:val="24"/>
        </w:rPr>
        <w:t xml:space="preserve">QSEs shall deploy Load Resources according to the group designation and will be given some discretion to deploy additional Load Resources from </w:t>
      </w:r>
      <w:r w:rsidR="001A290D">
        <w:t>any of the groups not designated for deployment</w:t>
      </w:r>
      <w:r>
        <w:rPr>
          <w:szCs w:val="24"/>
        </w:rPr>
        <w:t xml:space="preserve"> if Load Resource operational considerations require such.  ERCOT shall issue notification of the deployment via XML message.  </w:t>
      </w:r>
      <w:r w:rsidR="0050458F">
        <w:rPr>
          <w:szCs w:val="24"/>
        </w:rPr>
        <w:t xml:space="preserve">The deployment time within the ERCOT XML deployment message </w:t>
      </w:r>
      <w:r>
        <w:rPr>
          <w:szCs w:val="24"/>
        </w:rPr>
        <w:t xml:space="preserve">shall initiate the ten-minute deployment period;  </w:t>
      </w:r>
    </w:p>
    <w:bookmarkEnd w:id="1542"/>
    <w:p w14:paraId="79CE9F13" w14:textId="06012B0D" w:rsidR="001F04FD" w:rsidRDefault="001F04FD" w:rsidP="00F969DB">
      <w:pPr>
        <w:pStyle w:val="List3"/>
      </w:pPr>
      <w:r>
        <w:t>(B)</w:t>
      </w:r>
      <w:r>
        <w:tab/>
      </w:r>
      <w:r w:rsidR="001A290D" w:rsidRPr="00C9332E">
        <w:t xml:space="preserve">At the discretion of the ERCOT Operator, instruct QSEs to deploy RRS that is supplied from Load Resources (controlled by high-set under-frequency relays) by instructing the QSE representing the specific Load Resource to interrupt </w:t>
      </w:r>
      <w:r w:rsidR="001A290D">
        <w:t>additional</w:t>
      </w:r>
      <w:r w:rsidR="001A290D" w:rsidRPr="00C9332E">
        <w:t xml:space="preserve"> Load Resources providing RRS</w:t>
      </w:r>
      <w:r w:rsidR="001A290D">
        <w:t xml:space="preserve"> based on their group designation</w:t>
      </w:r>
      <w:r w:rsidR="001A290D" w:rsidRPr="00C9332E">
        <w:t xml:space="preserve">. </w:t>
      </w:r>
      <w:r w:rsidR="001A290D">
        <w:t xml:space="preserve"> </w:t>
      </w:r>
      <w:r w:rsidR="001A290D" w:rsidRPr="00C9332E">
        <w:t xml:space="preserve">ERCOT shall issue notification of the deployment via XML message.  </w:t>
      </w:r>
      <w:r w:rsidR="0050458F">
        <w:t>The deployment time within the ERCOT XML deployment message</w:t>
      </w:r>
      <w:r w:rsidR="001A290D" w:rsidRPr="00C9332E">
        <w:t xml:space="preserve"> shall initiate the ten-minute deployment period;</w:t>
      </w:r>
      <w:r w:rsidR="001A290D" w:rsidDel="001A290D">
        <w:t xml:space="preserve"> </w:t>
      </w:r>
      <w:r>
        <w:t xml:space="preserve">   </w:t>
      </w:r>
    </w:p>
    <w:p w14:paraId="79F10456" w14:textId="46CDD147" w:rsidR="001F04FD" w:rsidRDefault="001F04FD" w:rsidP="00C02A98">
      <w:pPr>
        <w:pStyle w:val="List3"/>
      </w:pPr>
      <w:bookmarkStart w:id="1543" w:name="_Hlk135903555"/>
      <w:r>
        <w:t>(C)</w:t>
      </w:r>
      <w:r>
        <w:tab/>
        <w:t xml:space="preserve">The ERCOT Operator may deploy </w:t>
      </w:r>
      <w:r w:rsidR="008611B7" w:rsidRPr="006C4989">
        <w:t>Load Resources providing only ECRS (not controlled by high-set under-frequency relays) and</w:t>
      </w:r>
      <w:r w:rsidR="008611B7">
        <w:t xml:space="preserve"> </w:t>
      </w:r>
      <w:r w:rsidR="001A290D">
        <w:t>all</w:t>
      </w:r>
      <w:r>
        <w:t xml:space="preserve"> groups of Load Resources providing </w:t>
      </w:r>
      <w:r w:rsidR="00442A63">
        <w:t>RRS</w:t>
      </w:r>
      <w:r w:rsidR="008611B7">
        <w:t xml:space="preserve"> and ECRS</w:t>
      </w:r>
      <w:r>
        <w:t xml:space="preserve"> at the same time.  </w:t>
      </w:r>
      <w:r>
        <w:rPr>
          <w:szCs w:val="24"/>
        </w:rPr>
        <w:t xml:space="preserve">ERCOT shall issue notification of the deployment via XML message.  </w:t>
      </w:r>
      <w:r w:rsidR="0050458F">
        <w:rPr>
          <w:szCs w:val="24"/>
        </w:rPr>
        <w:t xml:space="preserve">The deployment time within the ERCOT XML </w:t>
      </w:r>
      <w:r w:rsidR="0050458F">
        <w:rPr>
          <w:szCs w:val="24"/>
        </w:rPr>
        <w:lastRenderedPageBreak/>
        <w:t>deployment message</w:t>
      </w:r>
      <w:r>
        <w:rPr>
          <w:szCs w:val="24"/>
        </w:rPr>
        <w:t xml:space="preserve"> shall initiate the ten-minute deployment period</w:t>
      </w:r>
      <w:r>
        <w:t>; and</w:t>
      </w:r>
    </w:p>
    <w:bookmarkEnd w:id="1543"/>
    <w:p w14:paraId="54342714" w14:textId="6D2768C4" w:rsidR="001F04FD" w:rsidRDefault="001F04FD" w:rsidP="00F969DB">
      <w:pPr>
        <w:pStyle w:val="List3"/>
      </w:pPr>
      <w:r>
        <w:t>(D)</w:t>
      </w:r>
      <w:r>
        <w:tab/>
        <w:t xml:space="preserve">ERCOT shall post a list of Load Resources on the MIS Certified Area immediately following the DRUC for each QSE with a Load Resource obligation which may be deployed to interrupt under paragraph (A) and paragraph (B).  ERCOT shall develop a process for determining which individual Load Resource to place in </w:t>
      </w:r>
      <w:r w:rsidR="001A290D">
        <w:t>each g</w:t>
      </w:r>
      <w:r>
        <w:t xml:space="preserve">roup based on a random sampling of individual Load Resources.  At ERCOT’s discretion, ERCOT may deploy all Load Resources at any given time during EEA Level 2.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E5CFC" w14:paraId="2BD0A3B2" w14:textId="77777777" w:rsidTr="00B416A8">
        <w:trPr>
          <w:trHeight w:val="206"/>
        </w:trPr>
        <w:tc>
          <w:tcPr>
            <w:tcW w:w="5000" w:type="pct"/>
            <w:shd w:val="pct12" w:color="auto" w:fill="auto"/>
          </w:tcPr>
          <w:p w14:paraId="6FCC03BA" w14:textId="2C3E6597" w:rsidR="00CE5CFC" w:rsidRDefault="00CE5CFC" w:rsidP="00B416A8">
            <w:pPr>
              <w:pStyle w:val="Instructions"/>
              <w:spacing w:before="120"/>
            </w:pPr>
            <w:r>
              <w:t>[</w:t>
            </w:r>
            <w:r w:rsidR="002D5C44">
              <w:t>NPRR1010</w:t>
            </w:r>
            <w:r w:rsidR="00C83B06">
              <w:t xml:space="preserve"> and NPRR1270</w:t>
            </w:r>
            <w:r>
              <w:t>:  Replace paragraph (</w:t>
            </w:r>
            <w:r w:rsidR="00C83B06">
              <w:t>iv</w:t>
            </w:r>
            <w:r>
              <w:t xml:space="preserve">) above with the following </w:t>
            </w:r>
            <w:r w:rsidR="002D5C44">
              <w:t>upon system implementation of the Real-Time Co-Optimization (RTC) project</w:t>
            </w:r>
            <w:r>
              <w:t>:]</w:t>
            </w:r>
          </w:p>
          <w:p w14:paraId="7817392F" w14:textId="77777777" w:rsidR="00C83B06" w:rsidRDefault="00C83B06" w:rsidP="00C83B06">
            <w:pPr>
              <w:spacing w:after="240"/>
              <w:ind w:left="2160" w:hanging="720"/>
            </w:pPr>
            <w:r w:rsidRPr="00FA1244">
              <w:t>(</w:t>
            </w:r>
            <w:r>
              <w:t>i</w:t>
            </w:r>
            <w:r w:rsidRPr="00FA1244">
              <w:t>v)</w:t>
            </w:r>
            <w:r w:rsidRPr="00FA1244">
              <w:tab/>
            </w:r>
            <w:r>
              <w:t xml:space="preserve">Load Resources providing ECRS that are not controlled by high-set under-frequency relays shall be deployed prior to deployment of those that have armed under-frequency relays.  </w:t>
            </w:r>
            <w:r w:rsidRPr="00FA1244">
              <w:t xml:space="preserve">ERCOT shall deploy </w:t>
            </w:r>
            <w:r>
              <w:t xml:space="preserve">ECRS and </w:t>
            </w:r>
            <w:r w:rsidRPr="00FA1244">
              <w:t>RRS capacity supplied by Load Resources (controlled by high-set under-frequency relays) in accordance with the following:</w:t>
            </w:r>
          </w:p>
          <w:p w14:paraId="2DF9BF4E" w14:textId="77777777" w:rsidR="00C83B06" w:rsidRDefault="00C83B06" w:rsidP="00C83B06">
            <w:pPr>
              <w:pStyle w:val="List3"/>
              <w:rPr>
                <w:sz w:val="20"/>
              </w:rPr>
            </w:pPr>
            <w:r>
              <w:t>(A)</w:t>
            </w:r>
            <w:r>
              <w:tab/>
              <w:t xml:space="preserve">Instruct QSEs to deploy ECRS that is supplied from Load Resources (controlled by high-set under-frequency relays) that are only providing ECRS and then instruct QSEs to deploy Load Resources (controlled by high-set under-frequency relays) providing ECRS and RRS.  </w:t>
            </w:r>
            <w:r>
              <w:rPr>
                <w:szCs w:val="24"/>
              </w:rPr>
              <w:t xml:space="preserve">QSEs will be given some discretion to deploy additional Load Resources </w:t>
            </w:r>
            <w:r>
              <w:t>not designated for deployment</w:t>
            </w:r>
            <w:r>
              <w:rPr>
                <w:szCs w:val="24"/>
              </w:rPr>
              <w:t xml:space="preserve"> if Load Resource operational considerations require such.  ERCOT shall issue notification of the deployment via XML message.  The deployment time within the ERCOT XML deployment message shall initiate the ten-minute deployment period;  </w:t>
            </w:r>
          </w:p>
          <w:p w14:paraId="612CD74B" w14:textId="77777777" w:rsidR="00C83B06" w:rsidRDefault="00C83B06" w:rsidP="00C83B06">
            <w:pPr>
              <w:pStyle w:val="List3"/>
            </w:pPr>
            <w:r>
              <w:t>(B)</w:t>
            </w:r>
            <w:r>
              <w:tab/>
            </w:r>
            <w:r w:rsidRPr="00C9332E">
              <w:t xml:space="preserve">At the discretion of the ERCOT Operator, instruct QSEs to deploy RRS that is supplied from Load Resources (controlled by high-set under-frequency relays) by instructing the QSE representing the specific Load Resource to interrupt </w:t>
            </w:r>
            <w:r>
              <w:t>additional</w:t>
            </w:r>
            <w:r w:rsidRPr="00C9332E">
              <w:t xml:space="preserve"> Load Resources </w:t>
            </w:r>
            <w:r>
              <w:t xml:space="preserve">that are only </w:t>
            </w:r>
            <w:r w:rsidRPr="00C9332E">
              <w:t xml:space="preserve">providing RRS. </w:t>
            </w:r>
            <w:r>
              <w:t xml:space="preserve"> </w:t>
            </w:r>
            <w:r w:rsidRPr="00C9332E">
              <w:t xml:space="preserve">ERCOT shall issue notification of the deployment via XML message.  </w:t>
            </w:r>
            <w:r>
              <w:t>The deployment time within the ERCOT XML deployment message</w:t>
            </w:r>
            <w:r w:rsidRPr="00C9332E">
              <w:t xml:space="preserve"> shall initiate the ten-minute deployment period;</w:t>
            </w:r>
            <w:r w:rsidDel="001A290D">
              <w:t xml:space="preserve"> </w:t>
            </w:r>
            <w:r>
              <w:t xml:space="preserve">   </w:t>
            </w:r>
          </w:p>
          <w:p w14:paraId="00997B16" w14:textId="77777777" w:rsidR="00C83B06" w:rsidRDefault="00C83B06" w:rsidP="00C83B06">
            <w:pPr>
              <w:spacing w:before="240" w:after="240"/>
              <w:ind w:left="2880" w:hanging="720"/>
            </w:pPr>
            <w:r>
              <w:t>(C)</w:t>
            </w:r>
            <w:r>
              <w:tab/>
              <w:t xml:space="preserve">The ERCOT Operator may deploy all </w:t>
            </w:r>
            <w:r w:rsidRPr="006C4989">
              <w:t>Load Resources</w:t>
            </w:r>
            <w:r>
              <w:t xml:space="preserve"> providing RRS and ECRS at the same time.  </w:t>
            </w:r>
            <w:r>
              <w:rPr>
                <w:szCs w:val="24"/>
              </w:rPr>
              <w:t xml:space="preserve">ERCOT shall issue notification of the deployment via XML message.  The deployment time </w:t>
            </w:r>
            <w:r>
              <w:rPr>
                <w:szCs w:val="24"/>
              </w:rPr>
              <w:lastRenderedPageBreak/>
              <w:t>within the ERCOT XML deployment message shall initiate the ten-minute deployment period</w:t>
            </w:r>
            <w:r>
              <w:t>; and</w:t>
            </w:r>
          </w:p>
          <w:p w14:paraId="00B7F222" w14:textId="2D880EC1" w:rsidR="00CE5CFC" w:rsidRPr="00C3334D" w:rsidRDefault="00CE5CFC" w:rsidP="00C83B06">
            <w:pPr>
              <w:spacing w:before="240" w:after="240"/>
              <w:ind w:left="2880" w:hanging="720"/>
            </w:pPr>
            <w:r w:rsidRPr="00C9332E">
              <w:t>(D)</w:t>
            </w:r>
            <w:r w:rsidRPr="00C9332E">
              <w:tab/>
              <w:t xml:space="preserve">ERCOT shall develop a </w:t>
            </w:r>
            <w:r w:rsidR="00C83B06">
              <w:t xml:space="preserve">Real-Time </w:t>
            </w:r>
            <w:r w:rsidRPr="00C9332E">
              <w:t xml:space="preserve">process for </w:t>
            </w:r>
            <w:r w:rsidR="00C83B06">
              <w:t>deploying</w:t>
            </w:r>
            <w:r w:rsidRPr="00C9332E">
              <w:t xml:space="preserve"> Load Resource</w:t>
            </w:r>
            <w:r w:rsidR="00C83B06">
              <w:t>s</w:t>
            </w:r>
            <w:r>
              <w:t xml:space="preserve"> </w:t>
            </w:r>
            <w:r w:rsidRPr="00C9332E">
              <w:t>based on a random sampling of individual Load Resources.  At ERCOT’s discretion, ERCOT may deploy all Load Resources at any given time during EEA Level 2.</w:t>
            </w:r>
          </w:p>
        </w:tc>
      </w:tr>
    </w:tbl>
    <w:p w14:paraId="7E24B6FB" w14:textId="0CB5E5EF" w:rsidR="001F04FD" w:rsidRPr="00500837" w:rsidRDefault="001F04FD" w:rsidP="0015372B">
      <w:pPr>
        <w:spacing w:before="240" w:after="240"/>
        <w:ind w:left="2160" w:hanging="720"/>
      </w:pPr>
      <w:r w:rsidRPr="00500837">
        <w:lastRenderedPageBreak/>
        <w:t>(v)</w:t>
      </w:r>
      <w:r w:rsidRPr="00500837">
        <w:tab/>
        <w:t>Unless a media appeal is already in effect, ERCOT shall issue an appeal through the public news media fo</w:t>
      </w:r>
      <w:r>
        <w:t>r voluntary energy conservation; and</w:t>
      </w:r>
    </w:p>
    <w:p w14:paraId="618CC649" w14:textId="3942B24E" w:rsidR="001F04FD" w:rsidRDefault="001F04FD" w:rsidP="001F04FD">
      <w:pPr>
        <w:pStyle w:val="List3"/>
        <w:ind w:left="2160"/>
      </w:pPr>
      <w:r w:rsidRPr="00500837">
        <w:t>(vi)</w:t>
      </w:r>
      <w:r w:rsidRPr="00500837">
        <w:tab/>
        <w:t xml:space="preserve">With the approval of the affected non-ERCOT Control Area, TSPs, DSPs, or their agents may implement </w:t>
      </w:r>
      <w:r w:rsidR="00517106">
        <w:t xml:space="preserve">transmission voltage level </w:t>
      </w:r>
      <w:r w:rsidRPr="00500837">
        <w:t>BLTs, which transfer Load from the ERCOT Control Area to non-ERCOT Control Areas in accordance with BLTs as defined in the Operating Guides.</w:t>
      </w:r>
    </w:p>
    <w:p w14:paraId="709FD3EE" w14:textId="77777777" w:rsidR="001F04FD" w:rsidRDefault="001F04FD" w:rsidP="001F04FD">
      <w:pPr>
        <w:pStyle w:val="List"/>
      </w:pPr>
      <w:r>
        <w:t>(b)</w:t>
      </w:r>
      <w:r>
        <w:tab/>
        <w:t>Confidentiality requirements regarding transmission operations and system capacity information will be lifted, as needed to restore reliability.</w:t>
      </w:r>
    </w:p>
    <w:p w14:paraId="3E924381" w14:textId="63BEB546" w:rsidR="00D67C9C" w:rsidRDefault="001F04FD" w:rsidP="001F04FD">
      <w:pPr>
        <w:pStyle w:val="BodyTextNumbered"/>
      </w:pPr>
      <w:r>
        <w:t>(3)</w:t>
      </w:r>
      <w:r>
        <w:tab/>
      </w:r>
      <w:r w:rsidR="00D67C9C" w:rsidRPr="00800225">
        <w:t xml:space="preserve">ERCOT </w:t>
      </w:r>
      <w:r w:rsidR="00D67C9C">
        <w:t>may</w:t>
      </w:r>
      <w:r w:rsidR="00D67C9C" w:rsidRPr="00800225">
        <w:t xml:space="preserve"> declare an EEA Level </w:t>
      </w:r>
      <w:r w:rsidR="00D67C9C">
        <w:t>3</w:t>
      </w:r>
      <w:r w:rsidR="00D67C9C" w:rsidRPr="00800225">
        <w:t xml:space="preserve"> wh</w:t>
      </w:r>
      <w:r w:rsidR="00D67C9C" w:rsidRPr="00D46D2F">
        <w:t xml:space="preserve">en the </w:t>
      </w:r>
      <w:r w:rsidR="00D67C9C" w:rsidRPr="00D46D2F">
        <w:rPr>
          <w:iCs/>
        </w:rPr>
        <w:t>clock</w:t>
      </w:r>
      <w:r w:rsidR="00D67C9C">
        <w:rPr>
          <w:iCs/>
        </w:rPr>
        <w:t>-minute average</w:t>
      </w:r>
      <w:r w:rsidR="00D67C9C" w:rsidRPr="00800225">
        <w:t xml:space="preserve"> system frequency </w:t>
      </w:r>
      <w:r w:rsidR="00D67C9C">
        <w:t>falls below</w:t>
      </w:r>
      <w:r w:rsidR="00D67C9C" w:rsidRPr="00800225">
        <w:t xml:space="preserve"> 59.91 Hz </w:t>
      </w:r>
      <w:r w:rsidR="00D67C9C">
        <w:t>for 20 consecutive minutes</w:t>
      </w:r>
      <w:r w:rsidR="008C7E79" w:rsidRPr="008C7E79">
        <w:t xml:space="preserve"> </w:t>
      </w:r>
      <w:r w:rsidR="008C7E79">
        <w:t>or when steady-state frequency falls below 59.8 Hz</w:t>
      </w:r>
      <w:r w:rsidR="00D67C9C">
        <w:t xml:space="preserve">.  </w:t>
      </w:r>
      <w:r>
        <w:t xml:space="preserve">ERCOT will declare an EEA Level 3 when </w:t>
      </w:r>
      <w:r w:rsidR="00D67C9C">
        <w:t xml:space="preserve">PRC cannot be maintained above </w:t>
      </w:r>
      <w:r w:rsidR="00947C1C">
        <w:t>1,</w:t>
      </w:r>
      <w:r w:rsidR="008C7E79">
        <w:t>50</w:t>
      </w:r>
      <w:r w:rsidR="00947C1C">
        <w:t>0</w:t>
      </w:r>
      <w:r w:rsidR="00D67C9C">
        <w:t xml:space="preserve"> MW or when the </w:t>
      </w:r>
      <w:r w:rsidR="00D67C9C">
        <w:rPr>
          <w:iCs/>
        </w:rPr>
        <w:t>clock-minute average</w:t>
      </w:r>
      <w:r>
        <w:t xml:space="preserve"> system frequency </w:t>
      </w:r>
      <w:r w:rsidR="00D67C9C">
        <w:t>falls below</w:t>
      </w:r>
      <w:r>
        <w:t xml:space="preserve"> 59.</w:t>
      </w:r>
      <w:r w:rsidR="00D67C9C">
        <w:t>91</w:t>
      </w:r>
      <w:r>
        <w:t xml:space="preserve"> Hz </w:t>
      </w:r>
      <w:r w:rsidR="00D67C9C">
        <w:t xml:space="preserve">for 25 consecutive minutes.  Upon declaration of an EEA Level 3, </w:t>
      </w:r>
      <w:r w:rsidR="008C7E79">
        <w:t>ERCOT shall take any of the following measures as necessary to recover frequency or PRC to the minimum required levels:</w:t>
      </w:r>
    </w:p>
    <w:p w14:paraId="2FB36F21" w14:textId="77F2587F" w:rsidR="00C52BB8" w:rsidRDefault="00C52BB8" w:rsidP="00C52BB8">
      <w:pPr>
        <w:spacing w:after="240"/>
        <w:ind w:left="1440" w:hanging="720"/>
      </w:pPr>
      <w:bookmarkStart w:id="1544" w:name="_Hlk116467776"/>
      <w:r w:rsidRPr="00125334">
        <w:t>(a)</w:t>
      </w:r>
      <w:r>
        <w:tab/>
      </w:r>
      <w:r w:rsidR="008C7E79">
        <w:t>I</w:t>
      </w:r>
      <w:r w:rsidRPr="00125334">
        <w:t>nstruct ESRs to suspend charging</w:t>
      </w:r>
      <w:r w:rsidR="00A43298">
        <w:t>.</w:t>
      </w:r>
      <w:r w:rsidR="00A43298" w:rsidRPr="004C5AF9">
        <w:t xml:space="preserve"> </w:t>
      </w:r>
      <w:r w:rsidR="00A43298">
        <w:t xml:space="preserve"> For ESRs, ERCOT shall issue the suspension instruction</w:t>
      </w:r>
      <w:r>
        <w:t xml:space="preserve"> via a SCED Base Point i</w:t>
      </w:r>
      <w:r w:rsidRPr="00E779DA">
        <w:t>nstruction</w:t>
      </w:r>
      <w:r>
        <w:t>,</w:t>
      </w:r>
      <w:r w:rsidRPr="00E779DA">
        <w:t xml:space="preserve"> or</w:t>
      </w:r>
      <w:r>
        <w:t>, if otherwise necessary,</w:t>
      </w:r>
      <w:r w:rsidRPr="00E779DA">
        <w:t xml:space="preserve"> </w:t>
      </w:r>
      <w:r>
        <w:t xml:space="preserve">via a </w:t>
      </w:r>
      <w:r w:rsidRPr="00E779DA">
        <w:t>manual Dispatch</w:t>
      </w:r>
      <w:r>
        <w:t xml:space="preserve"> </w:t>
      </w:r>
      <w:r w:rsidR="00283DFC">
        <w:t>I</w:t>
      </w:r>
      <w:r>
        <w:t>nstruction</w:t>
      </w:r>
      <w:r w:rsidRPr="00E779DA">
        <w:t>.</w:t>
      </w:r>
      <w:r>
        <w:t xml:space="preserve">  An ESR shall suspend charging unless </w:t>
      </w:r>
      <w:r w:rsidR="00A43298">
        <w:t xml:space="preserve">it is </w:t>
      </w:r>
      <w:r>
        <w:t>providing Primary Frequency Response</w:t>
      </w:r>
      <w:r w:rsidR="00A43298">
        <w:t>,</w:t>
      </w:r>
      <w:r>
        <w:t xml:space="preserve"> </w:t>
      </w:r>
      <w:r w:rsidR="00A43298">
        <w:t>has received a charging instruction via SCED Base Point, or is carrying Reg-Down and has received</w:t>
      </w:r>
      <w:r>
        <w:t xml:space="preserve"> a charging instruction </w:t>
      </w:r>
      <w:r w:rsidR="00A43298">
        <w:t>from LFC</w:t>
      </w:r>
      <w:r>
        <w:t>.</w:t>
      </w:r>
      <w:r w:rsidRPr="00424F65">
        <w:t xml:space="preserve"> </w:t>
      </w:r>
      <w:r>
        <w:t xml:space="preserve"> However, an ESR co-located behind a POI with onsite generation that is incapable of exporting additional power to the ERCOT System may continue to charge as long as maximum output to the ERCOT System is maintained</w:t>
      </w:r>
      <w:r w:rsidRPr="00E779DA">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A07FE" w14:paraId="7DAB8EB7" w14:textId="77777777" w:rsidTr="005C5A9B">
        <w:trPr>
          <w:trHeight w:val="206"/>
        </w:trPr>
        <w:tc>
          <w:tcPr>
            <w:tcW w:w="9576" w:type="dxa"/>
            <w:shd w:val="pct12" w:color="auto" w:fill="auto"/>
          </w:tcPr>
          <w:bookmarkEnd w:id="1544"/>
          <w:p w14:paraId="4412504F" w14:textId="60187A21" w:rsidR="007A07FE" w:rsidRDefault="007A07FE" w:rsidP="005C5A9B">
            <w:pPr>
              <w:pStyle w:val="Instructions"/>
              <w:spacing w:before="120"/>
            </w:pPr>
            <w:r>
              <w:t>[</w:t>
            </w:r>
            <w:r w:rsidR="00B44DD8">
              <w:t>NPRR995</w:t>
            </w:r>
            <w:r>
              <w:t xml:space="preserve">:  </w:t>
            </w:r>
            <w:r w:rsidR="00C52BB8">
              <w:t>Replace</w:t>
            </w:r>
            <w:r w:rsidR="00B44DD8">
              <w:t xml:space="preserve"> </w:t>
            </w:r>
            <w:r>
              <w:t xml:space="preserve">paragraph (a) </w:t>
            </w:r>
            <w:r w:rsidR="00C52BB8">
              <w:t>above with the following</w:t>
            </w:r>
            <w:r>
              <w:t xml:space="preserve"> upon system implementation:]</w:t>
            </w:r>
          </w:p>
          <w:p w14:paraId="6E5994BA" w14:textId="0108B7FA" w:rsidR="007A07FE" w:rsidRPr="008F39F7" w:rsidRDefault="007A07FE" w:rsidP="001F3516">
            <w:pPr>
              <w:spacing w:after="240"/>
              <w:ind w:left="1440" w:hanging="720"/>
            </w:pPr>
            <w:r w:rsidRPr="00125334">
              <w:t>(a)</w:t>
            </w:r>
            <w:r>
              <w:tab/>
            </w:r>
            <w:r w:rsidR="008C7E79">
              <w:t>I</w:t>
            </w:r>
            <w:r w:rsidR="002F1AE6">
              <w:t>nstruct</w:t>
            </w:r>
            <w:r>
              <w:t xml:space="preserve"> </w:t>
            </w:r>
            <w:r w:rsidR="00A43298">
              <w:t xml:space="preserve">ESRs to suspend charging.  For ESRs, the suspension instruction </w:t>
            </w:r>
            <w:r w:rsidR="008C7E79">
              <w:t xml:space="preserve">shall be issued </w:t>
            </w:r>
            <w:r>
              <w:t>via a SCED Base Point,</w:t>
            </w:r>
            <w:r w:rsidRPr="00E779DA">
              <w:t xml:space="preserve"> or</w:t>
            </w:r>
            <w:r>
              <w:t>, if otherwise necessary,</w:t>
            </w:r>
            <w:r w:rsidRPr="00E779DA">
              <w:t xml:space="preserve"> </w:t>
            </w:r>
            <w:r>
              <w:t xml:space="preserve">via a </w:t>
            </w:r>
            <w:r w:rsidRPr="00E779DA">
              <w:t>manual Dispatch</w:t>
            </w:r>
            <w:r>
              <w:t xml:space="preserve"> </w:t>
            </w:r>
            <w:r w:rsidR="00283DFC">
              <w:t>I</w:t>
            </w:r>
            <w:r>
              <w:t>nstruction</w:t>
            </w:r>
            <w:r w:rsidRPr="00E779DA">
              <w:t>.</w:t>
            </w:r>
            <w:r>
              <w:t xml:space="preserve">  An ESR shall suspend charging unless </w:t>
            </w:r>
            <w:r w:rsidR="00A43298">
              <w:t xml:space="preserve">it is </w:t>
            </w:r>
            <w:r>
              <w:t>providing Primary Frequency Response</w:t>
            </w:r>
            <w:r w:rsidR="00347D2D">
              <w:t>,</w:t>
            </w:r>
            <w:r>
              <w:t xml:space="preserve"> </w:t>
            </w:r>
            <w:r w:rsidR="00347D2D">
              <w:t>has received a charging instruction via SCED Base Point, or is carrying Reg-Down and has received a charging instruction from</w:t>
            </w:r>
            <w:r>
              <w:t xml:space="preserve"> LFC.</w:t>
            </w:r>
            <w:r w:rsidRPr="00424F65">
              <w:t xml:space="preserve"> </w:t>
            </w:r>
            <w:r>
              <w:t xml:space="preserve"> </w:t>
            </w:r>
            <w:r w:rsidR="00347D2D">
              <w:t xml:space="preserve">An SOESS shall suspend charging unless it is providing Primary Frequency </w:t>
            </w:r>
            <w:r w:rsidR="00347D2D">
              <w:lastRenderedPageBreak/>
              <w:t xml:space="preserve">Response.  </w:t>
            </w:r>
            <w:r>
              <w:t xml:space="preserve">However, an ESR </w:t>
            </w:r>
            <w:r w:rsidR="00B44DD8">
              <w:t xml:space="preserve">or SOESS </w:t>
            </w:r>
            <w:r>
              <w:t>co-located behind a POI with onsite generation that is incapable of exporting additional power to the ERCOT System may continue to charge as long as maximum output to the ERCOT System is maintained</w:t>
            </w:r>
            <w:r w:rsidRPr="00E779DA">
              <w:t>.</w:t>
            </w:r>
          </w:p>
        </w:tc>
      </w:tr>
    </w:tbl>
    <w:p w14:paraId="0C347107" w14:textId="23E410E6" w:rsidR="001F04FD" w:rsidRDefault="00D67C9C" w:rsidP="003A5AC3">
      <w:pPr>
        <w:pStyle w:val="List"/>
        <w:spacing w:before="240"/>
      </w:pPr>
      <w:r>
        <w:lastRenderedPageBreak/>
        <w:t>(</w:t>
      </w:r>
      <w:r w:rsidR="00DB1DD2">
        <w:t>b</w:t>
      </w:r>
      <w:r>
        <w:t>)</w:t>
      </w:r>
      <w:r>
        <w:tab/>
      </w:r>
      <w:r w:rsidR="003B64E5">
        <w:t>D</w:t>
      </w:r>
      <w:r w:rsidR="001F04FD">
        <w:t xml:space="preserve">irect all </w:t>
      </w:r>
      <w:r w:rsidR="008530F9">
        <w:t>TOs</w:t>
      </w:r>
      <w:r w:rsidR="001F04FD">
        <w:t xml:space="preserve"> to shed firm Load, in 100 MW blocks, distributed as documented in the Operating Guides in order to maintain a steady state system frequency at a minimum of 59.</w:t>
      </w:r>
      <w:r w:rsidR="004E0395">
        <w:t>91</w:t>
      </w:r>
      <w:r w:rsidR="001F04FD">
        <w:t xml:space="preserve"> Hz and to recover 1,</w:t>
      </w:r>
      <w:r w:rsidR="003B64E5">
        <w:t>5</w:t>
      </w:r>
      <w:r w:rsidR="001F04FD">
        <w:t xml:space="preserve">00 MW of PRC within 30 minutes. </w:t>
      </w:r>
    </w:p>
    <w:p w14:paraId="2BEAF21F" w14:textId="77777777" w:rsidR="00F03916" w:rsidRDefault="001F04FD" w:rsidP="003B64E5">
      <w:pPr>
        <w:pStyle w:val="List"/>
        <w:ind w:left="2160"/>
      </w:pPr>
      <w:r>
        <w:t>(</w:t>
      </w:r>
      <w:r w:rsidR="003B64E5">
        <w:t>i</w:t>
      </w:r>
      <w:r>
        <w:t>)</w:t>
      </w:r>
      <w:r>
        <w:tab/>
      </w:r>
      <w:r w:rsidR="008530F9">
        <w:t>TOs and TDSPs may</w:t>
      </w:r>
      <w:r w:rsidR="00F03916">
        <w:t>:</w:t>
      </w:r>
    </w:p>
    <w:p w14:paraId="52E0BFC1" w14:textId="10D1CFDB" w:rsidR="001F04FD" w:rsidRDefault="00F03916" w:rsidP="00F03916">
      <w:pPr>
        <w:pStyle w:val="List3"/>
      </w:pPr>
      <w:r>
        <w:t>(A)</w:t>
      </w:r>
      <w:r>
        <w:tab/>
        <w:t>Manually</w:t>
      </w:r>
      <w:r w:rsidR="008530F9">
        <w:t xml:space="preserve"> shed Load connected to under-frequency relays </w:t>
      </w:r>
      <w:r>
        <w:t xml:space="preserve">and/or under-voltage relays </w:t>
      </w:r>
      <w:r w:rsidR="008530F9">
        <w:t>pursuant to an ERCOT Load shed directive issued during EEA Level 3 so long as</w:t>
      </w:r>
      <w:r w:rsidRPr="00F03916">
        <w:t xml:space="preserve"> </w:t>
      </w:r>
      <w:r>
        <w:t>the TO has determined that system conditions warrant utilizing Load connected to under-frequency and/or under-voltage relays and</w:t>
      </w:r>
      <w:r w:rsidR="008530F9">
        <w:t xml:space="preserve"> each affected TO continues to comply with its Under-Frequency Load Shed (UFLS) obligation as described in Nodal Operating Guide Section 2.6.1, Automatic Firm Load Shedding, and its Load shed obligation as described in Nodal Operating Guide Section 4.5.3.4, Load Shed Obligation</w:t>
      </w:r>
      <w:r w:rsidR="001F04FD">
        <w:t>.</w:t>
      </w:r>
    </w:p>
    <w:p w14:paraId="03A9524B" w14:textId="7677765F" w:rsidR="00F03916" w:rsidRDefault="00F03916" w:rsidP="00F03916">
      <w:pPr>
        <w:pStyle w:val="List"/>
        <w:ind w:left="2880"/>
      </w:pPr>
      <w:r>
        <w:t>(B)</w:t>
      </w:r>
      <w:r>
        <w:tab/>
      </w:r>
      <w:bookmarkStart w:id="1545" w:name="_Hlk158609489"/>
      <w:r>
        <w:t>Manually shed Load that is armed to deploy as part of the 58.5 Hz, 58.7 Hz, and anti-stall UFLS stages, such that the UFLS Load falls below the TO’s 25% Load relief obligation, as described in Nodal Operating Guide Section 2.6.1, in order to meet ERCOT operating instructions for manual Load shed if all Load identified for manual Load shed and the Load identified in paragraph (A) above has been shed.</w:t>
      </w:r>
      <w:bookmarkEnd w:id="1545"/>
    </w:p>
    <w:p w14:paraId="6CEC2D70" w14:textId="77777777" w:rsidR="003B64E5" w:rsidRDefault="003B64E5" w:rsidP="003B64E5">
      <w:pPr>
        <w:spacing w:after="240"/>
        <w:ind w:left="1440" w:hanging="720"/>
      </w:pPr>
      <w:r>
        <w:t>(c)</w:t>
      </w:r>
      <w:r>
        <w:tab/>
        <w:t>Implement any appropriate measures associated with EEA Levels 1 and 2 that have not already been implemented.</w:t>
      </w:r>
    </w:p>
    <w:p w14:paraId="13294162" w14:textId="77777777" w:rsidR="001F04FD" w:rsidRDefault="001F04FD" w:rsidP="001F04FD">
      <w:pPr>
        <w:pStyle w:val="H5"/>
        <w:spacing w:before="480"/>
        <w:ind w:left="1627" w:hanging="1627"/>
      </w:pPr>
      <w:bookmarkStart w:id="1546" w:name="_Toc397504994"/>
      <w:bookmarkStart w:id="1547" w:name="_Toc402357122"/>
      <w:bookmarkStart w:id="1548" w:name="_Toc422486502"/>
      <w:bookmarkStart w:id="1549" w:name="_Toc433093354"/>
      <w:bookmarkStart w:id="1550" w:name="_Toc433093512"/>
      <w:bookmarkStart w:id="1551" w:name="_Toc440874740"/>
      <w:bookmarkStart w:id="1552" w:name="_Toc448142295"/>
      <w:bookmarkStart w:id="1553" w:name="_Toc448142452"/>
      <w:bookmarkStart w:id="1554" w:name="_Toc458770289"/>
      <w:bookmarkStart w:id="1555" w:name="_Toc459294257"/>
      <w:bookmarkStart w:id="1556" w:name="_Toc463262750"/>
      <w:bookmarkStart w:id="1557" w:name="_Toc468286823"/>
      <w:bookmarkStart w:id="1558" w:name="_Toc481502869"/>
      <w:bookmarkStart w:id="1559" w:name="_Toc496080037"/>
      <w:bookmarkStart w:id="1560" w:name="_Toc204411640"/>
      <w:r>
        <w:t>6.5.9.4.3</w:t>
      </w:r>
      <w:r>
        <w:tab/>
        <w:t>Restoration of Market Operations</w:t>
      </w:r>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p>
    <w:p w14:paraId="30BE0027" w14:textId="1C3A4F28" w:rsidR="001F04FD" w:rsidRDefault="001F04FD" w:rsidP="001F04FD">
      <w:pPr>
        <w:pStyle w:val="BodyTextNumbered"/>
      </w:pPr>
      <w:r>
        <w:t>(1)</w:t>
      </w:r>
      <w:r>
        <w:tab/>
        <w:t>ERCOT shall continue the EEA until sufficient offers are received and deployed by ERCOT to eliminate the conditions requiring the EEA and normal SCED operations are restored.  After restoring RRS, ERCOT shall restore curtailed DC Tie Load.  Intermittent solutions of SCED do not set new LMPs until ERCOT declares that the EEA is no longer needed.</w:t>
      </w:r>
    </w:p>
    <w:p w14:paraId="0418B0D0" w14:textId="77777777" w:rsidR="001F04FD" w:rsidRDefault="001F04FD" w:rsidP="001F04FD">
      <w:pPr>
        <w:pStyle w:val="H4"/>
        <w:spacing w:before="480"/>
        <w:ind w:left="1267" w:hanging="1267"/>
      </w:pPr>
      <w:bookmarkStart w:id="1561" w:name="_Toc73216032"/>
      <w:bookmarkStart w:id="1562" w:name="_Toc397504995"/>
      <w:bookmarkStart w:id="1563" w:name="_Toc402357123"/>
      <w:bookmarkStart w:id="1564" w:name="_Toc422486503"/>
      <w:bookmarkStart w:id="1565" w:name="_Toc433093355"/>
      <w:bookmarkStart w:id="1566" w:name="_Toc433093513"/>
      <w:bookmarkStart w:id="1567" w:name="_Toc440874741"/>
      <w:bookmarkStart w:id="1568" w:name="_Toc448142296"/>
      <w:bookmarkStart w:id="1569" w:name="_Toc448142453"/>
      <w:bookmarkStart w:id="1570" w:name="_Toc458770290"/>
      <w:bookmarkStart w:id="1571" w:name="_Toc459294258"/>
      <w:bookmarkStart w:id="1572" w:name="_Toc463262751"/>
      <w:bookmarkStart w:id="1573" w:name="_Toc468286824"/>
      <w:bookmarkStart w:id="1574" w:name="_Toc481502870"/>
      <w:bookmarkStart w:id="1575" w:name="_Toc496080038"/>
      <w:bookmarkStart w:id="1576" w:name="_Toc204411641"/>
      <w:r>
        <w:lastRenderedPageBreak/>
        <w:t>6.5.9.5</w:t>
      </w:r>
      <w:r>
        <w:tab/>
        <w:t>Block Load Transfers between ERCOT and Non-ERCOT Control Areas</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p>
    <w:p w14:paraId="4243CA78" w14:textId="77777777" w:rsidR="001F04FD" w:rsidRDefault="001F04FD" w:rsidP="001F04FD">
      <w:pPr>
        <w:pStyle w:val="BodyTextNumbered"/>
      </w:pPr>
      <w:r>
        <w:t>(1)</w:t>
      </w:r>
      <w:r>
        <w:tab/>
        <w:t>BLTs are procedures that transfer Loads normally located in the ERCOT Control Area to a non-ERCOT Control Area.  Similarly, when a non-ERCOT Control Area experiences certain transmission contingencies or short-supply conditions, ERCOT may agree to the implementation of BLT procedures that transfer Loads normally located in a non-ERCOT Control Area to the ERCOT Control Area.  BLTs are restricted to the following conditions:</w:t>
      </w:r>
    </w:p>
    <w:p w14:paraId="3DBB2C32" w14:textId="19D1C0E1" w:rsidR="001F04FD" w:rsidRDefault="001F04FD" w:rsidP="001F04FD">
      <w:pPr>
        <w:pStyle w:val="List"/>
      </w:pPr>
      <w:r>
        <w:t>(a)</w:t>
      </w:r>
      <w:r>
        <w:tab/>
      </w:r>
      <w:r w:rsidR="00C830CE">
        <w:t xml:space="preserve">All modeled </w:t>
      </w:r>
      <w:r>
        <w:t xml:space="preserve">BLTs shall </w:t>
      </w:r>
      <w:r w:rsidR="00C830CE">
        <w:t>be implemented</w:t>
      </w:r>
      <w:r>
        <w:t xml:space="preserve"> only with approval from ERCOT, unless a governmental order is issued requiring the </w:t>
      </w:r>
      <w:r w:rsidR="00C830CE">
        <w:t xml:space="preserve">use of the </w:t>
      </w:r>
      <w:r>
        <w:t xml:space="preserve">BLT.  </w:t>
      </w:r>
    </w:p>
    <w:p w14:paraId="509B4265" w14:textId="77777777" w:rsidR="001F04FD" w:rsidRDefault="001F04FD" w:rsidP="009A754D">
      <w:pPr>
        <w:pStyle w:val="List"/>
        <w:ind w:left="2160"/>
      </w:pPr>
      <w:r>
        <w:t>(i)</w:t>
      </w:r>
      <w:r>
        <w:tab/>
        <w:t>BLTs shall be registered with ERCOT.  Such registration shall be subject to ERCOT approval.</w:t>
      </w:r>
    </w:p>
    <w:p w14:paraId="6F4EFA6D" w14:textId="77777777" w:rsidR="001F04FD" w:rsidRDefault="001F04FD" w:rsidP="001F04FD">
      <w:pPr>
        <w:pStyle w:val="List"/>
        <w:ind w:left="2160"/>
      </w:pPr>
      <w:r>
        <w:t>(ii)</w:t>
      </w:r>
      <w:r>
        <w:tab/>
        <w:t>For all BLTs</w:t>
      </w:r>
      <w:r w:rsidRPr="008958CB">
        <w:t>, the TSP in the ERCOT Control Area responsible for implementing the BLT shall coordinate with ERCOT in the implementation and execution of BLTs to ensure the reliability of the ERCOT System is not jeopardized and to ensure sufficient generation capacity is available prior to serving additional Load.</w:t>
      </w:r>
    </w:p>
    <w:p w14:paraId="43EA0A5A" w14:textId="77777777" w:rsidR="001F04FD" w:rsidRDefault="001F04FD" w:rsidP="001F04FD">
      <w:pPr>
        <w:pStyle w:val="List"/>
      </w:pPr>
      <w:r>
        <w:t>(b)</w:t>
      </w:r>
      <w:r>
        <w:tab/>
        <w:t>BLTs that are comprised of looped systems may be tied to the non-ERCOT Control Area’s electrical system(s) through multiple interconnection points at the same time.  Transfers of looped configurations are permitted only if all interconnection points are registered and netted under a single Electric Service Identifier (ESI ID) and represented by a singled TSP or DSP or netted behind the Non-Opt-In Entity (NOIE) metering points.</w:t>
      </w:r>
    </w:p>
    <w:p w14:paraId="049C0820" w14:textId="77777777" w:rsidR="001F04FD" w:rsidRDefault="001F04FD" w:rsidP="001F04FD">
      <w:pPr>
        <w:pStyle w:val="List"/>
      </w:pPr>
      <w:r>
        <w:t>(c)</w:t>
      </w:r>
      <w:r>
        <w:tab/>
        <w:t xml:space="preserve">BLTs of Load to the ERCOT Control Area are: </w:t>
      </w:r>
    </w:p>
    <w:p w14:paraId="70F0568A" w14:textId="77777777" w:rsidR="001F04FD" w:rsidRDefault="001F04FD" w:rsidP="001F04FD">
      <w:pPr>
        <w:pStyle w:val="List"/>
        <w:ind w:left="2160"/>
      </w:pPr>
      <w:r>
        <w:t>(i)</w:t>
      </w:r>
      <w:r>
        <w:tab/>
        <w:t xml:space="preserve">Treated as non-competitive wholesale Load in the Load Zone containing the ERCOT breaker or switch that initiated the BLT; </w:t>
      </w:r>
    </w:p>
    <w:p w14:paraId="4F34DEB3" w14:textId="77777777" w:rsidR="001F04FD" w:rsidRDefault="001F04FD" w:rsidP="001F04FD">
      <w:pPr>
        <w:pStyle w:val="List"/>
        <w:ind w:left="2160"/>
      </w:pPr>
      <w:r>
        <w:t>(ii)</w:t>
      </w:r>
      <w:r>
        <w:tab/>
        <w:t xml:space="preserve">Registered in accordance with Section 6.5.9.5.1, Registration and Posting of BLT Points, by the TSP in the ERCOT Control Area responsible for implementing the BLT;  </w:t>
      </w:r>
    </w:p>
    <w:p w14:paraId="3A504887" w14:textId="77777777" w:rsidR="001F04FD" w:rsidRDefault="001F04FD" w:rsidP="001F04FD">
      <w:pPr>
        <w:pStyle w:val="List"/>
        <w:ind w:left="2160"/>
      </w:pPr>
      <w:r>
        <w:t>(iii)</w:t>
      </w:r>
      <w:r>
        <w:tab/>
        <w:t xml:space="preserve">Responsible for Unaccounted For Energy (UFE) allocations and Transmission Losses consistent with similarly situated NOIE metering points; and </w:t>
      </w:r>
    </w:p>
    <w:p w14:paraId="34FB322B" w14:textId="77777777" w:rsidR="001F04FD" w:rsidRDefault="001F04FD" w:rsidP="001F04FD">
      <w:pPr>
        <w:pStyle w:val="List"/>
        <w:ind w:left="2160"/>
      </w:pPr>
      <w:r>
        <w:t>(iv)</w:t>
      </w:r>
      <w:r>
        <w:tab/>
        <w:t>Permitted only if the BLT will not jeopardize the reliability of the ERCOT System.  Under an Emergency Notice, BLTs that have been implemented may be curtailed or terminated by ERCOT to maintain the reliability of the ERCOT System.</w:t>
      </w:r>
    </w:p>
    <w:p w14:paraId="23C06E45" w14:textId="77777777" w:rsidR="001F04FD" w:rsidRDefault="001F04FD" w:rsidP="001F04FD">
      <w:pPr>
        <w:pStyle w:val="List"/>
      </w:pPr>
      <w:r>
        <w:t>(d)</w:t>
      </w:r>
      <w:r>
        <w:tab/>
        <w:t>BLTs of Load from the ERCOT Control Area are:</w:t>
      </w:r>
    </w:p>
    <w:p w14:paraId="28530DF5" w14:textId="68639971" w:rsidR="001F04FD" w:rsidRDefault="001F04FD" w:rsidP="001F04FD">
      <w:pPr>
        <w:pStyle w:val="List"/>
        <w:ind w:left="2160"/>
      </w:pPr>
      <w:r>
        <w:lastRenderedPageBreak/>
        <w:t>(i)</w:t>
      </w:r>
      <w:r>
        <w:tab/>
        <w:t xml:space="preserve">Treated as </w:t>
      </w:r>
      <w:r w:rsidR="00C830CE">
        <w:t>generation</w:t>
      </w:r>
      <w:r>
        <w:t xml:space="preserve"> </w:t>
      </w:r>
      <w:r w:rsidR="00C830CE">
        <w:t xml:space="preserve">and Load </w:t>
      </w:r>
      <w:r>
        <w:t xml:space="preserve">in the ERCOT Settlement system </w:t>
      </w:r>
      <w:r w:rsidR="00C830CE">
        <w:t>unless the Load is in a NOIE territory and the NOIE has opted for the Load transfer to be treated as a NOIE Load reduction by not submitting a Settlement Block Load Transfer Registration Form.  BLTs</w:t>
      </w:r>
      <w:r>
        <w:t xml:space="preserve"> may only be instructed with the permission of the affected non-ERCOT Control Area.  Under an </w:t>
      </w:r>
      <w:r w:rsidR="00C830CE">
        <w:t>e</w:t>
      </w:r>
      <w:r>
        <w:t xml:space="preserve">mergency </w:t>
      </w:r>
      <w:r w:rsidR="00C830CE">
        <w:t>c</w:t>
      </w:r>
      <w:r>
        <w:t>ondition</w:t>
      </w:r>
      <w:r w:rsidR="00C830CE" w:rsidRPr="00C830CE">
        <w:t xml:space="preserve"> </w:t>
      </w:r>
      <w:r w:rsidR="00C830CE">
        <w:t>in a non-ERCOT Control Area</w:t>
      </w:r>
      <w:r>
        <w:t>, BLTs that have been implemented may be curtailed or terminated by the non-ERCOT Control Area to maintain the reliability of the non-ERCOT system;</w:t>
      </w:r>
    </w:p>
    <w:p w14:paraId="154B2F06" w14:textId="77777777" w:rsidR="001F04FD" w:rsidRDefault="001F04FD" w:rsidP="001F04FD">
      <w:pPr>
        <w:pStyle w:val="List"/>
        <w:ind w:left="2160"/>
      </w:pPr>
      <w:r>
        <w:t>(ii)</w:t>
      </w:r>
      <w:r>
        <w:tab/>
        <w:t>Registered in accordance with Section 6.5.9.5.1 by the TSP in the ERCOT Control Area responsible for implementing the BLT; and</w:t>
      </w:r>
    </w:p>
    <w:p w14:paraId="0057A372" w14:textId="77777777" w:rsidR="001F04FD" w:rsidRDefault="001F04FD" w:rsidP="001F04FD">
      <w:pPr>
        <w:pStyle w:val="List"/>
        <w:ind w:left="2160"/>
      </w:pPr>
      <w:r>
        <w:t>(iii)</w:t>
      </w:r>
      <w:r>
        <w:tab/>
        <w:t>Permitted only if the BLT will not jeopardize the reliability of the ERCOT System.</w:t>
      </w:r>
    </w:p>
    <w:p w14:paraId="3D25EA9C" w14:textId="77777777" w:rsidR="001F04FD" w:rsidRDefault="001F04FD" w:rsidP="001F04FD">
      <w:pPr>
        <w:pStyle w:val="List"/>
      </w:pPr>
      <w:r>
        <w:t>(e)</w:t>
      </w:r>
      <w:r>
        <w:tab/>
        <w:t>BLTs specifically exclude transfers of Load between ERCOT and non-ERCOT Control Areas that occur behind a retail Settlement Meter.</w:t>
      </w:r>
    </w:p>
    <w:p w14:paraId="72A6443A" w14:textId="77777777" w:rsidR="001F04FD" w:rsidRDefault="001F04FD" w:rsidP="001F04FD">
      <w:pPr>
        <w:pStyle w:val="List"/>
      </w:pPr>
      <w:r>
        <w:t>(f)</w:t>
      </w:r>
      <w:r>
        <w:tab/>
        <w:t>BLTs may be used in the restoration of service to Customers if the transfers will not jeopardize the reliability of the ERCOT System.</w:t>
      </w:r>
    </w:p>
    <w:p w14:paraId="6F946053" w14:textId="58CBE2CE" w:rsidR="001F04FD" w:rsidRDefault="001F04FD" w:rsidP="001F04FD">
      <w:pPr>
        <w:pStyle w:val="List"/>
      </w:pPr>
      <w:r>
        <w:t>(g)</w:t>
      </w:r>
      <w:r>
        <w:tab/>
      </w:r>
      <w:r w:rsidR="00C830CE">
        <w:t xml:space="preserve">For any BLT established in a </w:t>
      </w:r>
      <w:r w:rsidR="00C830CE" w:rsidRPr="00B13BC7">
        <w:t>TDSP</w:t>
      </w:r>
      <w:r w:rsidR="00C830CE">
        <w:t xml:space="preserve"> area that is open to Customer Choice, the </w:t>
      </w:r>
      <w:r w:rsidR="00C830CE" w:rsidRPr="00B13BC7">
        <w:t>TDSP</w:t>
      </w:r>
      <w:r w:rsidR="00C830CE">
        <w:t xml:space="preserve"> must register the BLT metering point for Settlement.  For any BLT established in a NOIE territory, the NOIE may either register the BLT for Settlement or may forgo registration and have the L</w:t>
      </w:r>
      <w:r w:rsidR="00C830CE" w:rsidRPr="00B13BC7">
        <w:t>oad</w:t>
      </w:r>
      <w:r w:rsidR="00C830CE">
        <w:t xml:space="preserve"> transfer settled as a L</w:t>
      </w:r>
      <w:r w:rsidR="00C830CE" w:rsidRPr="00B13BC7">
        <w:t>oad</w:t>
      </w:r>
      <w:r w:rsidR="00C830CE">
        <w:t xml:space="preserve"> increase or reduction.  </w:t>
      </w:r>
      <w:r w:rsidR="00C830CE" w:rsidRPr="00997836">
        <w:t xml:space="preserve">As a condition for Settlement, </w:t>
      </w:r>
      <w:r w:rsidR="00C830CE" w:rsidRPr="00A83548">
        <w:t xml:space="preserve">a BLT must be registered using </w:t>
      </w:r>
      <w:r w:rsidR="00C830CE">
        <w:t>the</w:t>
      </w:r>
      <w:r w:rsidR="00C830CE" w:rsidRPr="00A83548">
        <w:t xml:space="preserve"> Settlement Block Load Transfer Registration Form</w:t>
      </w:r>
      <w:r w:rsidR="00C830CE">
        <w:t xml:space="preserve"> found on the ERCOT website, and each BLT metering point must use revenue quality, 15-minute Interval Data Recorder (IDR) Meters.  </w:t>
      </w:r>
      <w:r>
        <w:t xml:space="preserve">  ERCOT may impose additional metering requirements it considers necessary to ensure ERCOT System reliability and integrity.</w:t>
      </w:r>
    </w:p>
    <w:p w14:paraId="2A4048B7" w14:textId="77777777" w:rsidR="001F04FD" w:rsidRDefault="001F04FD" w:rsidP="001F04FD">
      <w:pPr>
        <w:pStyle w:val="List"/>
        <w:spacing w:after="480"/>
      </w:pPr>
      <w:r>
        <w:t>(h)</w:t>
      </w:r>
      <w:r>
        <w:tab/>
        <w:t>SCADA telemetry on switching devices at BLT points that are deemed necessary by ERCOT to be modeled in the Network Operations Model must be provided by the TSP registering the BLT.</w:t>
      </w:r>
    </w:p>
    <w:p w14:paraId="7F3251FE" w14:textId="77777777" w:rsidR="001F04FD" w:rsidRDefault="001F04FD" w:rsidP="001F04FD">
      <w:pPr>
        <w:pStyle w:val="H5"/>
      </w:pPr>
      <w:bookmarkStart w:id="1577" w:name="_Toc74137369"/>
      <w:bookmarkStart w:id="1578" w:name="_Toc397504996"/>
      <w:bookmarkStart w:id="1579" w:name="_Toc402357124"/>
      <w:bookmarkStart w:id="1580" w:name="_Toc422486504"/>
      <w:bookmarkStart w:id="1581" w:name="_Toc433093356"/>
      <w:bookmarkStart w:id="1582" w:name="_Toc433093514"/>
      <w:bookmarkStart w:id="1583" w:name="_Toc440874742"/>
      <w:bookmarkStart w:id="1584" w:name="_Toc448142297"/>
      <w:bookmarkStart w:id="1585" w:name="_Toc448142454"/>
      <w:bookmarkStart w:id="1586" w:name="_Toc458770291"/>
      <w:bookmarkStart w:id="1587" w:name="_Toc459294259"/>
      <w:bookmarkStart w:id="1588" w:name="_Toc463262752"/>
      <w:bookmarkStart w:id="1589" w:name="_Toc468286825"/>
      <w:bookmarkStart w:id="1590" w:name="_Toc481502871"/>
      <w:bookmarkStart w:id="1591" w:name="_Toc496080039"/>
      <w:bookmarkStart w:id="1592" w:name="_Toc204411642"/>
      <w:r>
        <w:t>6.5.9.5.1</w:t>
      </w:r>
      <w:r>
        <w:tab/>
        <w:t>Registration and Posting of BLT Points</w:t>
      </w:r>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p>
    <w:p w14:paraId="48808259" w14:textId="77777777" w:rsidR="001F04FD" w:rsidRDefault="001F04FD" w:rsidP="001F04FD">
      <w:pPr>
        <w:pStyle w:val="BodyTextNumbered"/>
      </w:pPr>
      <w:r>
        <w:t>(1)</w:t>
      </w:r>
      <w:r>
        <w:tab/>
        <w:t>The necessary Market Participant registration, agreements, metering, and ERCOT Settlement systems, as applicable, must be in place before implementation of any BLT.  At its sole discretion, ERCOT may exclude a BLT of ten MW or less from the Network Operations Model and associated telemetry requirements.</w:t>
      </w:r>
    </w:p>
    <w:p w14:paraId="05155A97" w14:textId="77777777" w:rsidR="001F04FD" w:rsidRDefault="001F04FD" w:rsidP="001F04FD">
      <w:pPr>
        <w:pStyle w:val="BodyTextNumbered"/>
      </w:pPr>
      <w:r>
        <w:t>(2)</w:t>
      </w:r>
      <w:r>
        <w:tab/>
        <w:t xml:space="preserve">ERCOT may require any size of BLT that has been deployed in accordance with Section 6.5.9.5.2, Scheduling and Operation of BLTs, to be in the Network Operations Model </w:t>
      </w:r>
      <w:r>
        <w:lastRenderedPageBreak/>
        <w:t>with required telemetry if ERCOT determines it is warranted due to the length of time deployed.</w:t>
      </w:r>
    </w:p>
    <w:p w14:paraId="1F41068F" w14:textId="5F3AECF5" w:rsidR="001F04FD" w:rsidRDefault="001F04FD" w:rsidP="001F04FD">
      <w:pPr>
        <w:pStyle w:val="BodyTextNumbered"/>
      </w:pPr>
      <w:r>
        <w:t>(3)</w:t>
      </w:r>
      <w:r>
        <w:tab/>
        <w:t xml:space="preserve">BLTs that transfer Load from the ERCOT Control Area to a non-ERCOT Control Area are treated as </w:t>
      </w:r>
      <w:r w:rsidR="00C830CE">
        <w:t>generation</w:t>
      </w:r>
      <w:r>
        <w:t xml:space="preserve"> </w:t>
      </w:r>
      <w:r w:rsidR="00C830CE">
        <w:t xml:space="preserve">and Load </w:t>
      </w:r>
      <w:r>
        <w:t xml:space="preserve">by ERCOT and assigned a Resource ID </w:t>
      </w:r>
      <w:r w:rsidR="00C830CE">
        <w:t xml:space="preserve">and, if in a NOIE territory, an ESI ID </w:t>
      </w:r>
      <w:r>
        <w:t xml:space="preserve">unless </w:t>
      </w:r>
      <w:r w:rsidR="00C830CE">
        <w:t>the Load is in a NOIE territory and the NOIE has not registered the BLT for Settlement pursuant to paragraph (1)(g) of Section 6.5.9.5, Block Load Transfers between ERCOT and Non-ERCOT Control Areas</w:t>
      </w:r>
      <w:r>
        <w:t xml:space="preserve">.  The ERCOT Control Area TSP or DSP associated with the BLT Point has the responsibility for registering the BLT and the creation and maintenance of BLT Resource IDs for Settlement purposes.  For </w:t>
      </w:r>
      <w:r w:rsidR="00C830CE">
        <w:t xml:space="preserve">any </w:t>
      </w:r>
      <w:r>
        <w:t xml:space="preserve">BLT </w:t>
      </w:r>
      <w:r w:rsidR="00C830CE">
        <w:t xml:space="preserve">that a </w:t>
      </w:r>
      <w:r>
        <w:t xml:space="preserve">NOIE </w:t>
      </w:r>
      <w:r w:rsidR="00C830CE">
        <w:t>has registered for Settlement</w:t>
      </w:r>
      <w:r>
        <w:t xml:space="preserve">, the NOIE </w:t>
      </w:r>
      <w:r w:rsidR="00C830CE">
        <w:t>shall</w:t>
      </w:r>
      <w:r>
        <w:t xml:space="preserve"> designate NOIE metering point(s), a Resource Entity, and a QSE for Settlement purposes.  For BLTs occurring on TSP or DSP systems open to Customer Choice, the non-ERCOT Control Area Entity receiving the transferred Load shall designate a registered Resource Entity and acknowledge a QSE for Settlement purposes in accordance with Section 16.5, Registration of a Resource Entity.  The ERCOT Control Area TSP or DSP must complete the applicable BLT registration form.  This BLT registration form along with the metering design and data documentation is the basis for establishing the ERCOT data model of the BLT and associated metering points for Settlement as applicable.</w:t>
      </w:r>
    </w:p>
    <w:p w14:paraId="1CA55C2A" w14:textId="319D365C" w:rsidR="001F04FD" w:rsidRDefault="001F04FD" w:rsidP="001F04FD">
      <w:pPr>
        <w:pStyle w:val="BodyTextNumbered"/>
      </w:pPr>
      <w:r>
        <w:t>(4)</w:t>
      </w:r>
      <w:r>
        <w:tab/>
        <w:t xml:space="preserve">BLTs that transfer Load from a non-ERCOT Control Area to the ERCOT Control Area are treated as a non-competitive wholesale Load by ERCOT and assigned an ESI ID </w:t>
      </w:r>
      <w:r w:rsidR="00C830CE">
        <w:t>unless the BLT is in a NOIE territory and the NOIE has not registered the BLT for Settlement</w:t>
      </w:r>
      <w:r>
        <w:t xml:space="preserve">.  The ERCOT Control Area TSP or DSP associated with the BLT Point has the responsibility for registering the BLT and the creation and maintenance of BLT ESI IDs.  Customers connected to the ERCOT System do not require an ESI ID separate from the assigned BLT ESI ID.  The TSP or DSP that registers the BLT Point shall provide the ESI ID associated with the BLT to ERCOT.  For BLTs occurring on NOIE TSP or DSP systems, the NOIE may designate NOIE metering point(s), an LSE, and a QSE for Settlement purposes.  Load associated with NOIE BLTs that do not have an LSE or QSE for Settlement purposes will be reflected in the NOIE’s </w:t>
      </w:r>
      <w:r w:rsidRPr="007D7894">
        <w:t xml:space="preserve">4-Coincident Peak </w:t>
      </w:r>
      <w:r>
        <w:t>(4-CP) calculation.  For BLTs occurring on TSP or DSP systems open to Customer Choice, the non-ERCOT Control Area Entity shall designate a registered ERCOT LSE and acknowledge a QSE for Settlement purposes in accordance with Section 16.3, Registration of Load Serving Entities.</w:t>
      </w:r>
    </w:p>
    <w:p w14:paraId="0ECD844A" w14:textId="77777777" w:rsidR="001F04FD" w:rsidRDefault="001F04FD" w:rsidP="001F04FD">
      <w:pPr>
        <w:pStyle w:val="BodyTextNumbered"/>
      </w:pPr>
      <w:r>
        <w:t>(5)</w:t>
      </w:r>
      <w:r>
        <w:tab/>
        <w:t>A “BLT Point” is the metering point for a BLT Resource ID or for a BLT ESI ID.</w:t>
      </w:r>
    </w:p>
    <w:p w14:paraId="7D58B3DD" w14:textId="77777777" w:rsidR="001F04FD" w:rsidRDefault="001F04FD" w:rsidP="00AC4DE5">
      <w:pPr>
        <w:pStyle w:val="BodyTextNumbered"/>
      </w:pPr>
      <w:r>
        <w:t>(6)</w:t>
      </w:r>
      <w:r>
        <w:tab/>
        <w:t>ERCOT shall post the registration details of all registered BLTs to the MIS Secure Area.</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AC4DE5" w14:paraId="505F752E" w14:textId="77777777" w:rsidTr="00AE5CE8">
        <w:trPr>
          <w:trHeight w:val="206"/>
        </w:trPr>
        <w:tc>
          <w:tcPr>
            <w:tcW w:w="9445" w:type="dxa"/>
            <w:shd w:val="pct12" w:color="auto" w:fill="auto"/>
          </w:tcPr>
          <w:p w14:paraId="12BA5EB5" w14:textId="62608F6B" w:rsidR="00AC4DE5" w:rsidRDefault="00AC4DE5" w:rsidP="00AE5CE8">
            <w:pPr>
              <w:pStyle w:val="Instructions"/>
              <w:spacing w:before="120"/>
            </w:pPr>
            <w:bookmarkStart w:id="1593" w:name="_Toc397504997"/>
            <w:bookmarkStart w:id="1594" w:name="_Toc402357125"/>
            <w:bookmarkStart w:id="1595" w:name="_Toc422486505"/>
            <w:bookmarkStart w:id="1596" w:name="_Toc433093357"/>
            <w:bookmarkStart w:id="1597" w:name="_Toc433093515"/>
            <w:bookmarkStart w:id="1598" w:name="_Toc440874743"/>
            <w:bookmarkStart w:id="1599" w:name="_Toc448142298"/>
            <w:bookmarkStart w:id="1600" w:name="_Toc448142455"/>
            <w:bookmarkStart w:id="1601" w:name="_Toc458770292"/>
            <w:bookmarkStart w:id="1602" w:name="_Toc459294260"/>
            <w:bookmarkStart w:id="1603" w:name="_Toc463262753"/>
            <w:bookmarkStart w:id="1604" w:name="_Toc468286826"/>
            <w:bookmarkStart w:id="1605" w:name="_Toc481502872"/>
            <w:bookmarkStart w:id="1606" w:name="_Toc496080040"/>
            <w:r>
              <w:t>[NPRR1239:  Replace paragraph (6) above with the following upon system implementation:]</w:t>
            </w:r>
          </w:p>
          <w:p w14:paraId="12CFFE67" w14:textId="05726D43" w:rsidR="00AC4DE5" w:rsidRPr="00AC4DE5" w:rsidRDefault="00AC4DE5" w:rsidP="00AC4DE5">
            <w:pPr>
              <w:pStyle w:val="BodyTextNumbered"/>
              <w:rPr>
                <w:iCs/>
              </w:rPr>
            </w:pPr>
            <w:r w:rsidRPr="00E62DE9">
              <w:t>(6)</w:t>
            </w:r>
            <w:r w:rsidRPr="00E62DE9">
              <w:tab/>
              <w:t xml:space="preserve">ERCOT shall post the registration details of all registered BLTs to the </w:t>
            </w:r>
            <w:r>
              <w:t>ERCOT website</w:t>
            </w:r>
            <w:r w:rsidRPr="00E62DE9">
              <w:t>.</w:t>
            </w:r>
          </w:p>
        </w:tc>
      </w:tr>
    </w:tbl>
    <w:p w14:paraId="4EF93333" w14:textId="77777777" w:rsidR="001F04FD" w:rsidRDefault="001F04FD" w:rsidP="00952F33">
      <w:pPr>
        <w:pStyle w:val="H5"/>
        <w:spacing w:before="480"/>
      </w:pPr>
      <w:bookmarkStart w:id="1607" w:name="_Toc204411643"/>
      <w:r>
        <w:lastRenderedPageBreak/>
        <w:t>6.5.9.5.2</w:t>
      </w:r>
      <w:r>
        <w:tab/>
        <w:t>Scheduling and Operation of BLTs</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p>
    <w:p w14:paraId="492E0691" w14:textId="5694FF4E" w:rsidR="001F04FD" w:rsidRDefault="001F04FD" w:rsidP="001F04FD">
      <w:pPr>
        <w:pStyle w:val="BodyTextNumbered"/>
      </w:pPr>
      <w:r>
        <w:t>(1)</w:t>
      </w:r>
      <w:r>
        <w:tab/>
        <w:t>For BLTs that are deployed in an emergency and are not modeled in the Network Operations Model, the responsible TSP shall notify ERCOT as soon as practicable after deployment.</w:t>
      </w:r>
    </w:p>
    <w:p w14:paraId="5608960D" w14:textId="77777777" w:rsidR="00C830CE" w:rsidRDefault="00C830CE" w:rsidP="00C830CE">
      <w:pPr>
        <w:pStyle w:val="BodyTextNumbered"/>
      </w:pPr>
      <w:r>
        <w:t>(2)</w:t>
      </w:r>
      <w:r>
        <w:tab/>
        <w:t>For BLTs that transfer Load to a non-ERCOT Control Area, ERCOT shall confirm the BLT’s availability with the non-ERCOT Control Area before implementation.</w:t>
      </w:r>
    </w:p>
    <w:p w14:paraId="05BEB6C1" w14:textId="2D13477A" w:rsidR="001F04FD" w:rsidRDefault="001F04FD" w:rsidP="00C830CE">
      <w:pPr>
        <w:pStyle w:val="BodyTextNumbered"/>
      </w:pPr>
      <w:r>
        <w:t>(</w:t>
      </w:r>
      <w:r w:rsidR="00C830CE">
        <w:t>3</w:t>
      </w:r>
      <w:r>
        <w:t>)</w:t>
      </w:r>
      <w:r>
        <w:tab/>
        <w:t>Any energy associated with the non-ERCOT Control Area Load BLT Point is treated as a Load obligation of the QSE representing the LSE with the BLT ESI ID as registered for Settlement purposes in accordance with Section 6.5.9.5.1</w:t>
      </w:r>
      <w:r w:rsidR="005755D9">
        <w:t xml:space="preserve">, </w:t>
      </w:r>
      <w:r w:rsidR="005755D9" w:rsidRPr="0009513E">
        <w:t>Registration and Posting of BLT Points</w:t>
      </w:r>
      <w:r>
        <w:t>.</w:t>
      </w:r>
    </w:p>
    <w:p w14:paraId="4183C9AE" w14:textId="77777777" w:rsidR="001F04FD" w:rsidRDefault="001F04FD" w:rsidP="001F04FD">
      <w:pPr>
        <w:pStyle w:val="H4"/>
      </w:pPr>
      <w:bookmarkStart w:id="1608" w:name="_Toc397504998"/>
      <w:bookmarkStart w:id="1609" w:name="_Toc402357126"/>
      <w:bookmarkStart w:id="1610" w:name="_Toc422486506"/>
      <w:bookmarkStart w:id="1611" w:name="_Toc433093358"/>
      <w:bookmarkStart w:id="1612" w:name="_Toc433093516"/>
      <w:bookmarkStart w:id="1613" w:name="_Toc440874744"/>
      <w:bookmarkStart w:id="1614" w:name="_Toc448142299"/>
      <w:bookmarkStart w:id="1615" w:name="_Toc448142456"/>
      <w:bookmarkStart w:id="1616" w:name="_Toc458770293"/>
      <w:bookmarkStart w:id="1617" w:name="_Toc459294261"/>
      <w:bookmarkStart w:id="1618" w:name="_Toc463262754"/>
      <w:bookmarkStart w:id="1619" w:name="_Toc468286827"/>
      <w:bookmarkStart w:id="1620" w:name="_Toc481502873"/>
      <w:bookmarkStart w:id="1621" w:name="_Toc496080041"/>
      <w:bookmarkStart w:id="1622" w:name="_Toc73216033"/>
      <w:bookmarkStart w:id="1623" w:name="_Toc204411644"/>
      <w:r>
        <w:t>6.5.9.6</w:t>
      </w:r>
      <w:r>
        <w:tab/>
        <w:t>Black Start</w:t>
      </w:r>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3"/>
    </w:p>
    <w:p w14:paraId="77DCF858" w14:textId="77777777" w:rsidR="001F04FD" w:rsidRDefault="001F04FD" w:rsidP="001F04FD">
      <w:pPr>
        <w:pStyle w:val="BodyTextNumbered"/>
      </w:pPr>
      <w:r>
        <w:t>(1)</w:t>
      </w:r>
      <w:r>
        <w:tab/>
        <w:t>Black Start Service (BSS) is obtained by ERCOT through Black Start Agreements with QSEs for Generation Resources capable of self-starting or Generation Resources within close proximity of a non-ERCOT Control Area that are capable of starting from that non-ERCOT Control Area under a firm standby power supply contract, without support from the ERCOT System, or transmission equipment in the ERCOT System.  Generation Resources that can be started with a minimum of pre-coordinated switching operations using ERCOT transmission equipment within the ERCOT System may be considered for BSS only where switching may be accomplished within one hour or less.</w:t>
      </w:r>
    </w:p>
    <w:p w14:paraId="73302EFE" w14:textId="77777777" w:rsidR="001F04FD" w:rsidRDefault="001F04FD" w:rsidP="001F04FD">
      <w:pPr>
        <w:pStyle w:val="BodyTextNumbered"/>
        <w:spacing w:after="480"/>
      </w:pPr>
      <w:r>
        <w:t>(2)</w:t>
      </w:r>
      <w:r>
        <w:tab/>
        <w:t xml:space="preserve">ERCOT may Dispatch BSS pursuant to an emergency restoration plan to begin restoration of the ERCOT System to a secure operating state after a Blackout.  General restoration actions for all Market Participants are described in the Operating Guides.  </w:t>
      </w:r>
    </w:p>
    <w:p w14:paraId="1A87BD30" w14:textId="77777777" w:rsidR="001F04FD" w:rsidRDefault="001F04FD" w:rsidP="001F04FD">
      <w:pPr>
        <w:pStyle w:val="H2"/>
        <w:spacing w:after="480"/>
        <w:ind w:left="907" w:hanging="907"/>
      </w:pPr>
      <w:bookmarkStart w:id="1624" w:name="_Toc397504999"/>
      <w:bookmarkStart w:id="1625" w:name="_Toc402357127"/>
      <w:bookmarkStart w:id="1626" w:name="_Toc422486507"/>
      <w:bookmarkStart w:id="1627" w:name="_Toc433093359"/>
      <w:bookmarkStart w:id="1628" w:name="_Toc433093517"/>
      <w:bookmarkStart w:id="1629" w:name="_Toc440874745"/>
      <w:bookmarkStart w:id="1630" w:name="_Toc448142300"/>
      <w:bookmarkStart w:id="1631" w:name="_Toc448142457"/>
      <w:bookmarkStart w:id="1632" w:name="_Toc458770294"/>
      <w:bookmarkStart w:id="1633" w:name="_Toc459294262"/>
      <w:bookmarkStart w:id="1634" w:name="_Toc463262755"/>
      <w:bookmarkStart w:id="1635" w:name="_Toc468286828"/>
      <w:bookmarkStart w:id="1636" w:name="_Toc481502874"/>
      <w:bookmarkStart w:id="1637" w:name="_Toc496080042"/>
      <w:bookmarkStart w:id="1638" w:name="_Toc204411645"/>
      <w:bookmarkEnd w:id="1622"/>
      <w:r>
        <w:t>6.6</w:t>
      </w:r>
      <w:r>
        <w:tab/>
        <w:t>Settlement Calculations for the Real-Time Energy Operations</w:t>
      </w:r>
      <w:bookmarkEnd w:id="15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p>
    <w:p w14:paraId="6471981A" w14:textId="77777777" w:rsidR="001F04FD" w:rsidRPr="00CE28CE" w:rsidRDefault="001F04FD" w:rsidP="001F04FD">
      <w:pPr>
        <w:spacing w:before="240" w:after="240"/>
        <w:outlineLvl w:val="2"/>
      </w:pPr>
      <w:bookmarkStart w:id="1639" w:name="_Toc397505000"/>
      <w:bookmarkStart w:id="1640" w:name="_Toc402357128"/>
      <w:bookmarkStart w:id="1641" w:name="_Toc422486508"/>
      <w:bookmarkStart w:id="1642" w:name="_Toc433093360"/>
      <w:bookmarkStart w:id="1643" w:name="_Toc433093518"/>
      <w:bookmarkStart w:id="1644" w:name="_Toc440874746"/>
      <w:bookmarkStart w:id="1645" w:name="_Toc448142301"/>
      <w:bookmarkStart w:id="1646" w:name="_Toc448142458"/>
      <w:bookmarkStart w:id="1647" w:name="_Toc458770295"/>
      <w:bookmarkStart w:id="1648" w:name="_Toc459294263"/>
      <w:bookmarkStart w:id="1649" w:name="_Toc463262756"/>
      <w:bookmarkStart w:id="1650" w:name="_Toc468286829"/>
      <w:bookmarkStart w:id="1651" w:name="_Toc481502875"/>
      <w:bookmarkStart w:id="1652" w:name="_Toc496080043"/>
      <w:bookmarkStart w:id="1653" w:name="_Toc87951783"/>
      <w:bookmarkStart w:id="1654" w:name="_Toc109009380"/>
      <w:bookmarkStart w:id="1655" w:name="_Toc204411646"/>
      <w:r w:rsidRPr="00C659E1">
        <w:rPr>
          <w:b/>
          <w:i/>
        </w:rPr>
        <w:t>6.6.1</w:t>
      </w:r>
      <w:r w:rsidRPr="00C659E1">
        <w:rPr>
          <w:b/>
          <w:i/>
        </w:rPr>
        <w:tab/>
        <w:t>Real-Time Settlement Point Prices</w:t>
      </w:r>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5"/>
    </w:p>
    <w:bookmarkEnd w:id="1653"/>
    <w:bookmarkEnd w:id="1654"/>
    <w:p w14:paraId="74E50A17" w14:textId="77777777" w:rsidR="001F04FD" w:rsidRDefault="001F04FD" w:rsidP="001F04FD">
      <w:pPr>
        <w:spacing w:after="240"/>
        <w:ind w:left="720" w:hanging="720"/>
      </w:pPr>
      <w:r>
        <w:t>(1)</w:t>
      </w:r>
      <w:r>
        <w:tab/>
        <w:t xml:space="preserve">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t>
      </w:r>
      <w:r w:rsidRPr="007813F6">
        <w:t xml:space="preserve">will be applied </w:t>
      </w:r>
      <w:r>
        <w:t>to Real-Time Settlement Point Prices after</w:t>
      </w:r>
      <w:r w:rsidRPr="007813F6">
        <w:t xml:space="preserve"> adding the </w:t>
      </w:r>
      <w:r>
        <w:t>sum of</w:t>
      </w:r>
      <w:r w:rsidRPr="00036467">
        <w:t xml:space="preserve"> </w:t>
      </w:r>
      <w:r>
        <w:t xml:space="preserve">the </w:t>
      </w:r>
      <w:r w:rsidRPr="00036467">
        <w:t>Real-Time On-Line Reliability Deployment Price Adders</w:t>
      </w:r>
      <w:r>
        <w:t xml:space="preserve"> and the</w:t>
      </w:r>
      <w:r w:rsidRPr="007813F6">
        <w:t xml:space="preserve"> Real-Time On-Line Reserve Price Adder</w:t>
      </w:r>
      <w:r>
        <w:t xml:space="preserve">.  ERCOT shall assign an </w:t>
      </w:r>
      <w:r w:rsidRPr="00AD7DC0">
        <w:t xml:space="preserve">LMP to de-energized Electrical Buses for use in the calculation of the </w:t>
      </w:r>
      <w:r>
        <w:t>Real-Time</w:t>
      </w:r>
      <w:r w:rsidRPr="00AD7DC0">
        <w:t xml:space="preserve"> Settlement Point Prices</w:t>
      </w:r>
      <w:r>
        <w:t xml:space="preserve"> by using heuristic rules applied in the following order: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E071B" w14:paraId="757AD40D" w14:textId="77777777" w:rsidTr="00EC5231">
        <w:trPr>
          <w:trHeight w:val="206"/>
        </w:trPr>
        <w:tc>
          <w:tcPr>
            <w:tcW w:w="9350" w:type="dxa"/>
            <w:shd w:val="pct12" w:color="auto" w:fill="auto"/>
          </w:tcPr>
          <w:p w14:paraId="07940361" w14:textId="57AB2CC1" w:rsidR="004E071B" w:rsidRDefault="004E071B" w:rsidP="00EC5231">
            <w:pPr>
              <w:pStyle w:val="Instructions"/>
              <w:spacing w:before="120"/>
            </w:pPr>
            <w:r>
              <w:lastRenderedPageBreak/>
              <w:t>[NPRR1010:  Replace paragraph (1) above with the following upon system implementation of the Real-Time Co-Optimization (RTC) project:]</w:t>
            </w:r>
          </w:p>
          <w:p w14:paraId="5452545A" w14:textId="6083433B" w:rsidR="004E071B" w:rsidRPr="00B37C4B" w:rsidRDefault="004E071B" w:rsidP="004E071B">
            <w:pPr>
              <w:spacing w:after="240"/>
              <w:ind w:left="720" w:hanging="720"/>
            </w:pPr>
            <w:r w:rsidRPr="003161DC">
              <w:t>(1)</w:t>
            </w:r>
            <w:r w:rsidRPr="003161DC">
              <w:tab/>
              <w:t>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will be applied to Real-Time Settlement Point Prices after adding the Real-Time Reliability Deployment Price Adders</w:t>
            </w:r>
            <w:r>
              <w:t xml:space="preserve"> for Energy</w:t>
            </w:r>
            <w:r w:rsidRPr="003161DC">
              <w:t xml:space="preserve">.  ERCOT shall assign an LMP to de-energized Electrical Buses for use in the calculation of the Real-Time Settlement Point Prices by using heuristic rules </w:t>
            </w:r>
            <w:r>
              <w:t>applied in the following order:</w:t>
            </w:r>
          </w:p>
        </w:tc>
      </w:tr>
    </w:tbl>
    <w:p w14:paraId="11C0FCBC" w14:textId="3D0EEFFC" w:rsidR="001F04FD" w:rsidRPr="00A6179D" w:rsidRDefault="001F04FD" w:rsidP="00FB599C">
      <w:pPr>
        <w:pStyle w:val="BodyTextNumbered"/>
        <w:spacing w:before="240"/>
        <w:ind w:left="1440"/>
      </w:pPr>
      <w:r w:rsidRPr="00A6179D">
        <w:t>(a)</w:t>
      </w:r>
      <w:r w:rsidRPr="00A6179D">
        <w:tab/>
        <w:t>Use an appropriate LMP predetermined by ERCOT as applicable to a specific Electrical Bus; or if not so specified</w:t>
      </w:r>
    </w:p>
    <w:p w14:paraId="33AC6CD3" w14:textId="77777777" w:rsidR="001F04FD" w:rsidRPr="00A61738" w:rsidRDefault="001F04FD" w:rsidP="001F04FD">
      <w:pPr>
        <w:pStyle w:val="BodyTextNumbered"/>
        <w:ind w:left="1440"/>
      </w:pPr>
      <w:r w:rsidRPr="00A6179D">
        <w:t>(b)</w:t>
      </w:r>
      <w:r w:rsidRPr="00A6179D">
        <w:tab/>
        <w:t>Use the following rules in order:</w:t>
      </w:r>
    </w:p>
    <w:p w14:paraId="78D79ACA" w14:textId="77777777" w:rsidR="001F04FD" w:rsidRDefault="001F04FD" w:rsidP="001F04FD">
      <w:pPr>
        <w:pStyle w:val="List"/>
        <w:ind w:left="2160"/>
      </w:pPr>
      <w:r>
        <w:t>(i)</w:t>
      </w:r>
      <w:r>
        <w:tab/>
        <w:t>Use average LMP for Electrical Buses within the same station having the same voltage level as the de-energized Electrical Bus, if any exist.</w:t>
      </w:r>
    </w:p>
    <w:p w14:paraId="025A23CF" w14:textId="77777777" w:rsidR="001F04FD" w:rsidRDefault="001F04FD" w:rsidP="001F04FD">
      <w:pPr>
        <w:pStyle w:val="BodyText"/>
        <w:ind w:left="2160" w:hanging="720"/>
      </w:pPr>
      <w:r>
        <w:t>(ii)</w:t>
      </w:r>
      <w:r>
        <w:tab/>
        <w:t>Use average LMP for all Electrical Buses within the same station, if any exist.</w:t>
      </w:r>
    </w:p>
    <w:p w14:paraId="571C6961" w14:textId="77777777" w:rsidR="001F04FD" w:rsidRDefault="001F04FD" w:rsidP="001F04FD">
      <w:pPr>
        <w:pStyle w:val="BodyText"/>
        <w:ind w:left="1440"/>
      </w:pPr>
      <w:r>
        <w:t>(iii)</w:t>
      </w:r>
      <w:r>
        <w:tab/>
        <w:t>Use System Lambda.</w:t>
      </w:r>
    </w:p>
    <w:p w14:paraId="78039C62" w14:textId="77777777" w:rsidR="001F04FD" w:rsidRDefault="001F04FD" w:rsidP="001F04FD">
      <w:pPr>
        <w:pStyle w:val="H4"/>
        <w:ind w:left="1267" w:hanging="1267"/>
      </w:pPr>
      <w:bookmarkStart w:id="1656" w:name="_Toc103653332"/>
      <w:bookmarkStart w:id="1657" w:name="_Toc109009381"/>
      <w:bookmarkStart w:id="1658" w:name="_Toc397505002"/>
      <w:bookmarkStart w:id="1659" w:name="_Toc402357130"/>
      <w:bookmarkStart w:id="1660" w:name="_Toc422486509"/>
      <w:bookmarkStart w:id="1661" w:name="_Toc433093361"/>
      <w:bookmarkStart w:id="1662" w:name="_Toc433093519"/>
      <w:bookmarkStart w:id="1663" w:name="_Toc440874747"/>
      <w:bookmarkStart w:id="1664" w:name="_Toc448142302"/>
      <w:bookmarkStart w:id="1665" w:name="_Toc448142459"/>
      <w:bookmarkStart w:id="1666" w:name="_Toc458770296"/>
      <w:bookmarkStart w:id="1667" w:name="_Toc459294264"/>
      <w:bookmarkStart w:id="1668" w:name="_Toc463262757"/>
      <w:bookmarkStart w:id="1669" w:name="_Toc468286830"/>
      <w:bookmarkStart w:id="1670" w:name="_Toc481502876"/>
      <w:bookmarkStart w:id="1671" w:name="_Toc496080044"/>
      <w:bookmarkStart w:id="1672" w:name="_Toc204411647"/>
      <w:r>
        <w:t>6.6.1.1</w:t>
      </w:r>
      <w:r>
        <w:tab/>
        <w:t>Real-Time Settlement Point Price for a Resource Node</w:t>
      </w:r>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p>
    <w:p w14:paraId="3D934CE5" w14:textId="77777777" w:rsidR="001F04FD" w:rsidRDefault="001F04FD" w:rsidP="001F04FD">
      <w:pPr>
        <w:pStyle w:val="BodyTextNumbered"/>
        <w:rPr>
          <w:b/>
          <w:i/>
          <w:iCs/>
          <w:szCs w:val="24"/>
        </w:rPr>
      </w:pPr>
      <w:r>
        <w:t>(1)</w:t>
      </w:r>
      <w:r>
        <w:tab/>
      </w:r>
      <w:r w:rsidR="00CC16D4">
        <w:t>T</w:t>
      </w:r>
      <w:r>
        <w:t>he Real-Time Settlement Point Price for a Resource Node Settlement Point is the time-weighted average of the sum of the Real-Time LMPs</w:t>
      </w:r>
      <w:r w:rsidRPr="00193B05">
        <w:t xml:space="preserve">, Real-Time On-Line Reliability Deployment Price Adders, </w:t>
      </w:r>
      <w:r>
        <w:t>and the Real-Time On-Line Reserve Price Adders.  The Real-Time Settlement Point Price for a 15-minute Settlement Interval is calculated as follows:</w:t>
      </w:r>
    </w:p>
    <w:p w14:paraId="56F9B93E" w14:textId="77777777" w:rsidR="001F04FD" w:rsidRDefault="001F04FD" w:rsidP="001F04FD">
      <w:pPr>
        <w:pStyle w:val="FormulaBold"/>
      </w:pPr>
      <w:r>
        <w:t>RTSPP</w:t>
      </w:r>
      <w:r>
        <w:tab/>
        <w:t>=</w:t>
      </w:r>
      <w:r>
        <w:tab/>
        <w:t>Max (-$251, (</w:t>
      </w:r>
      <w:r w:rsidRPr="006F784F">
        <w:rPr>
          <w:position w:val="-22"/>
        </w:rPr>
        <w:object w:dxaOrig="225" w:dyaOrig="465" w14:anchorId="404FFB4A">
          <v:shape id="_x0000_i1029" type="#_x0000_t75" style="width:12pt;height:18pt" o:ole="">
            <v:imagedata r:id="rId20" o:title=""/>
          </v:shape>
          <o:OLEObject Type="Embed" ProgID="Equation.3" ShapeID="_x0000_i1029" DrawAspect="Content" ObjectID="_1815025219" r:id="rId21"/>
        </w:object>
      </w:r>
      <w:r>
        <w:t>(RNWF</w:t>
      </w:r>
      <w:r w:rsidR="00611796">
        <w:t xml:space="preserve"> </w:t>
      </w:r>
      <w:r>
        <w:rPr>
          <w:i/>
          <w:vertAlign w:val="subscript"/>
        </w:rPr>
        <w:t>y</w:t>
      </w:r>
      <w:r>
        <w:t xml:space="preserve"> * (RTLMP</w:t>
      </w:r>
      <w:r w:rsidR="00611796">
        <w:t xml:space="preserve"> </w:t>
      </w:r>
      <w:r>
        <w:rPr>
          <w:i/>
          <w:vertAlign w:val="subscript"/>
        </w:rPr>
        <w:t>y</w:t>
      </w:r>
      <w:r>
        <w:t xml:space="preserve"> </w:t>
      </w:r>
      <w:r w:rsidRPr="0080555B">
        <w:t>+ RTORPA</w:t>
      </w:r>
      <w:r w:rsidRPr="0080555B">
        <w:rPr>
          <w:i/>
          <w:vertAlign w:val="subscript"/>
        </w:rPr>
        <w:t xml:space="preserve"> y</w:t>
      </w:r>
      <w:r>
        <w:rPr>
          <w:i/>
          <w:vertAlign w:val="subscript"/>
        </w:rPr>
        <w:t xml:space="preserve"> </w:t>
      </w:r>
      <w:r w:rsidRPr="00193B05">
        <w:t>+ RTORDPA</w:t>
      </w:r>
      <w:r w:rsidRPr="00193B05">
        <w:rPr>
          <w:i/>
          <w:vertAlign w:val="subscript"/>
        </w:rPr>
        <w:t xml:space="preserve"> y</w:t>
      </w:r>
      <w:r w:rsidRPr="0080555B">
        <w:t>)</w:t>
      </w:r>
      <w:r>
        <w:t>))</w:t>
      </w:r>
      <w:r w:rsidRPr="0080555B">
        <w:t>)</w:t>
      </w:r>
    </w:p>
    <w:p w14:paraId="45446760" w14:textId="77777777" w:rsidR="001F04FD" w:rsidRDefault="001F04FD" w:rsidP="001F04FD">
      <w:pPr>
        <w:pStyle w:val="BodyText"/>
        <w:ind w:firstLine="720"/>
      </w:pPr>
      <w:r>
        <w:t xml:space="preserve">Where the Resource Node weighting </w:t>
      </w:r>
      <w:r w:rsidRPr="004976A1">
        <w:t>factor</w:t>
      </w:r>
      <w:r>
        <w:t xml:space="preserve"> is:</w:t>
      </w:r>
    </w:p>
    <w:p w14:paraId="6C3E9E45" w14:textId="77777777" w:rsidR="001F04FD" w:rsidRDefault="001F04FD" w:rsidP="001F04FD">
      <w:pPr>
        <w:pStyle w:val="Formula"/>
        <w:ind w:left="2888" w:hanging="2168"/>
        <w:rPr>
          <w:b/>
        </w:rPr>
      </w:pPr>
      <w:r>
        <w:rPr>
          <w:b/>
        </w:rPr>
        <w:t>RNWF</w:t>
      </w:r>
      <w:r w:rsidR="00611796">
        <w:rPr>
          <w:b/>
        </w:rPr>
        <w:t xml:space="preserve"> </w:t>
      </w:r>
      <w:r>
        <w:rPr>
          <w:b/>
          <w:i/>
          <w:vertAlign w:val="subscript"/>
        </w:rPr>
        <w:t>y</w:t>
      </w:r>
      <w:r>
        <w:rPr>
          <w:b/>
          <w:vertAlign w:val="subscript"/>
        </w:rPr>
        <w:tab/>
      </w:r>
      <w:r>
        <w:rPr>
          <w:b/>
        </w:rPr>
        <w:t>=</w:t>
      </w:r>
      <w:r>
        <w:rPr>
          <w:b/>
        </w:rPr>
        <w:tab/>
        <w:t>TLMP</w:t>
      </w:r>
      <w:r w:rsidR="00611796">
        <w:rPr>
          <w:b/>
        </w:rPr>
        <w:t xml:space="preserve"> </w:t>
      </w:r>
      <w:r>
        <w:rPr>
          <w:b/>
          <w:i/>
          <w:vertAlign w:val="subscript"/>
        </w:rPr>
        <w:t>y</w:t>
      </w:r>
      <w:r w:rsidRPr="004976A1">
        <w:rPr>
          <w:b/>
        </w:rPr>
        <w:t xml:space="preserve"> </w:t>
      </w:r>
      <w:r>
        <w:rPr>
          <w:b/>
          <w:color w:val="000000"/>
          <w:sz w:val="32"/>
          <w:szCs w:val="32"/>
        </w:rPr>
        <w:t>/</w:t>
      </w:r>
      <w:r w:rsidRPr="004976A1">
        <w:rPr>
          <w:b/>
          <w:color w:val="000000"/>
        </w:rPr>
        <w:t xml:space="preserve"> </w:t>
      </w:r>
      <w:r w:rsidRPr="006F784F">
        <w:rPr>
          <w:b/>
          <w:position w:val="-22"/>
        </w:rPr>
        <w:object w:dxaOrig="225" w:dyaOrig="465" w14:anchorId="57682C9C">
          <v:shape id="_x0000_i1030" type="#_x0000_t75" style="width:12pt;height:18pt" o:ole="">
            <v:imagedata r:id="rId22" o:title=""/>
          </v:shape>
          <o:OLEObject Type="Embed" ProgID="Equation.3" ShapeID="_x0000_i1030" DrawAspect="Content" ObjectID="_1815025220" r:id="rId23"/>
        </w:object>
      </w:r>
      <w:r>
        <w:rPr>
          <w:b/>
        </w:rPr>
        <w:t>TLMP</w:t>
      </w:r>
      <w:r w:rsidR="00611796">
        <w:rPr>
          <w:b/>
        </w:rPr>
        <w:t xml:space="preserve"> </w:t>
      </w:r>
      <w:r>
        <w:rPr>
          <w:b/>
          <w:i/>
          <w:vertAlign w:val="subscript"/>
        </w:rPr>
        <w:t>y</w:t>
      </w:r>
    </w:p>
    <w:p w14:paraId="394AB973" w14:textId="77777777" w:rsidR="001F04FD" w:rsidRDefault="001F04FD" w:rsidP="001F04FD">
      <w: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84"/>
        <w:gridCol w:w="900"/>
        <w:gridCol w:w="7166"/>
      </w:tblGrid>
      <w:tr w:rsidR="001F04FD" w14:paraId="6994C636" w14:textId="77777777" w:rsidTr="00142F7A">
        <w:tc>
          <w:tcPr>
            <w:tcW w:w="1284" w:type="dxa"/>
          </w:tcPr>
          <w:p w14:paraId="02B93857" w14:textId="77777777" w:rsidR="001F04FD" w:rsidRDefault="001F04FD" w:rsidP="00AC4DEE">
            <w:pPr>
              <w:pStyle w:val="TableHead"/>
            </w:pPr>
            <w:r>
              <w:t>Variable</w:t>
            </w:r>
          </w:p>
        </w:tc>
        <w:tc>
          <w:tcPr>
            <w:tcW w:w="900" w:type="dxa"/>
          </w:tcPr>
          <w:p w14:paraId="16B300A1" w14:textId="77777777" w:rsidR="001F04FD" w:rsidRDefault="001F04FD" w:rsidP="00AC4DEE">
            <w:pPr>
              <w:pStyle w:val="TableHead"/>
            </w:pPr>
            <w:r>
              <w:t>Unit</w:t>
            </w:r>
          </w:p>
        </w:tc>
        <w:tc>
          <w:tcPr>
            <w:tcW w:w="7166" w:type="dxa"/>
          </w:tcPr>
          <w:p w14:paraId="6C2BDB9B" w14:textId="77777777" w:rsidR="001F04FD" w:rsidRDefault="001F04FD" w:rsidP="00AC4DEE">
            <w:pPr>
              <w:pStyle w:val="TableHead"/>
            </w:pPr>
            <w:r>
              <w:t>Description</w:t>
            </w:r>
          </w:p>
        </w:tc>
      </w:tr>
      <w:tr w:rsidR="001F04FD" w14:paraId="4967D39D" w14:textId="77777777" w:rsidTr="00142F7A">
        <w:tc>
          <w:tcPr>
            <w:tcW w:w="1284" w:type="dxa"/>
          </w:tcPr>
          <w:p w14:paraId="0B84FE08" w14:textId="77777777" w:rsidR="001F04FD" w:rsidRDefault="001F04FD" w:rsidP="00AC4DEE">
            <w:pPr>
              <w:pStyle w:val="TableBody"/>
            </w:pPr>
            <w:r>
              <w:t>RTSPP</w:t>
            </w:r>
          </w:p>
        </w:tc>
        <w:tc>
          <w:tcPr>
            <w:tcW w:w="900" w:type="dxa"/>
          </w:tcPr>
          <w:p w14:paraId="0812286A" w14:textId="77777777" w:rsidR="001F04FD" w:rsidRDefault="001F04FD" w:rsidP="00AC4DEE">
            <w:pPr>
              <w:pStyle w:val="TableBody"/>
            </w:pPr>
            <w:r>
              <w:t>$/MWh</w:t>
            </w:r>
          </w:p>
        </w:tc>
        <w:tc>
          <w:tcPr>
            <w:tcW w:w="7166" w:type="dxa"/>
          </w:tcPr>
          <w:p w14:paraId="3BA52421" w14:textId="77777777" w:rsidR="001F04FD" w:rsidRDefault="001F04FD" w:rsidP="00AC4DEE">
            <w:pPr>
              <w:pStyle w:val="TableBody"/>
            </w:pPr>
            <w:r>
              <w:rPr>
                <w:i/>
              </w:rPr>
              <w:t>Real-Time Settlement Point Price</w:t>
            </w:r>
            <w:r>
              <w:sym w:font="Symbol" w:char="F0BE"/>
            </w:r>
            <w:r>
              <w:t>The Real-Time Settlement Point Price at the Settlement Point for the 15-minute Settlement Interval.</w:t>
            </w:r>
          </w:p>
        </w:tc>
      </w:tr>
      <w:tr w:rsidR="001F04FD" w14:paraId="654735A1" w14:textId="77777777" w:rsidTr="00142F7A">
        <w:tc>
          <w:tcPr>
            <w:tcW w:w="1284" w:type="dxa"/>
          </w:tcPr>
          <w:p w14:paraId="2F2E0EC5" w14:textId="77777777" w:rsidR="001F04FD" w:rsidRDefault="001F04FD" w:rsidP="00AC4DEE">
            <w:pPr>
              <w:pStyle w:val="TableBody"/>
            </w:pPr>
            <w:r w:rsidRPr="00CE4C14">
              <w:lastRenderedPageBreak/>
              <w:t>RTORPA</w:t>
            </w:r>
            <w:r>
              <w:t xml:space="preserve"> </w:t>
            </w:r>
            <w:r w:rsidRPr="00CE4C14">
              <w:rPr>
                <w:i/>
                <w:vertAlign w:val="subscript"/>
              </w:rPr>
              <w:t>y</w:t>
            </w:r>
          </w:p>
        </w:tc>
        <w:tc>
          <w:tcPr>
            <w:tcW w:w="900" w:type="dxa"/>
          </w:tcPr>
          <w:p w14:paraId="14F96227" w14:textId="77777777" w:rsidR="001F04FD" w:rsidRDefault="001F04FD" w:rsidP="00AC4DEE">
            <w:pPr>
              <w:pStyle w:val="TableBody"/>
            </w:pPr>
            <w:r w:rsidRPr="00CE4C14">
              <w:t>$/MWh</w:t>
            </w:r>
          </w:p>
        </w:tc>
        <w:tc>
          <w:tcPr>
            <w:tcW w:w="7166" w:type="dxa"/>
          </w:tcPr>
          <w:p w14:paraId="3E3729B1" w14:textId="77777777" w:rsidR="001F04FD" w:rsidRDefault="001F04FD" w:rsidP="00AC4DEE">
            <w:pPr>
              <w:pStyle w:val="TableBody"/>
              <w:rPr>
                <w:i/>
              </w:rPr>
            </w:pPr>
            <w:r w:rsidRPr="00CE4C14">
              <w:rPr>
                <w:i/>
              </w:rPr>
              <w:t>Real-Time On-Line Reserve Price Adder per interval</w:t>
            </w:r>
            <w:r w:rsidRPr="00CE4C14">
              <w:sym w:font="Symbol" w:char="F0BE"/>
            </w:r>
            <w:r w:rsidRPr="00CE4C14">
              <w:t xml:space="preserve">The Real-Time On-Line Reserve Price Adder for the SCED interval </w:t>
            </w:r>
            <w:r w:rsidRPr="00CE4C14">
              <w:rPr>
                <w:i/>
              </w:rPr>
              <w:t>y</w:t>
            </w:r>
            <w:r w:rsidRPr="00CE4C14">
              <w:t>.</w:t>
            </w:r>
          </w:p>
        </w:tc>
      </w:tr>
      <w:tr w:rsidR="001F04FD" w14:paraId="36CCD773" w14:textId="77777777" w:rsidTr="00142F7A">
        <w:tc>
          <w:tcPr>
            <w:tcW w:w="1284" w:type="dxa"/>
          </w:tcPr>
          <w:p w14:paraId="77E14284" w14:textId="77777777" w:rsidR="001F04FD" w:rsidRDefault="001F04FD" w:rsidP="00AC4DEE">
            <w:pPr>
              <w:pStyle w:val="TableBody"/>
            </w:pPr>
            <w:r>
              <w:t xml:space="preserve">RTLMP </w:t>
            </w:r>
            <w:r w:rsidRPr="00D661BC">
              <w:rPr>
                <w:i/>
                <w:vertAlign w:val="subscript"/>
              </w:rPr>
              <w:t>y</w:t>
            </w:r>
          </w:p>
        </w:tc>
        <w:tc>
          <w:tcPr>
            <w:tcW w:w="900" w:type="dxa"/>
          </w:tcPr>
          <w:p w14:paraId="17C1CAC6" w14:textId="77777777" w:rsidR="001F04FD" w:rsidRDefault="001F04FD" w:rsidP="00AC4DEE">
            <w:pPr>
              <w:pStyle w:val="TableBody"/>
            </w:pPr>
            <w:r>
              <w:t>$/MWh</w:t>
            </w:r>
          </w:p>
        </w:tc>
        <w:tc>
          <w:tcPr>
            <w:tcW w:w="7166" w:type="dxa"/>
          </w:tcPr>
          <w:p w14:paraId="008CDB7C" w14:textId="77777777" w:rsidR="001F04FD" w:rsidRDefault="001F04FD" w:rsidP="00AC4DEE">
            <w:pPr>
              <w:pStyle w:val="TableBody"/>
            </w:pPr>
            <w:r>
              <w:rPr>
                <w:i/>
              </w:rPr>
              <w:t>Real-Time Locational Marginal Price per interval</w:t>
            </w:r>
            <w:r>
              <w:sym w:font="Symbol" w:char="F0BE"/>
            </w:r>
            <w:r>
              <w:t xml:space="preserve">The Real-Time LMP at the Settlement Point for the SCED interval </w:t>
            </w:r>
            <w:r>
              <w:rPr>
                <w:i/>
              </w:rPr>
              <w:t>y</w:t>
            </w:r>
            <w:r>
              <w:t>.</w:t>
            </w:r>
          </w:p>
        </w:tc>
      </w:tr>
      <w:tr w:rsidR="001F04FD" w14:paraId="6D7E7EDE" w14:textId="77777777" w:rsidTr="00142F7A">
        <w:tc>
          <w:tcPr>
            <w:tcW w:w="1284" w:type="dxa"/>
          </w:tcPr>
          <w:p w14:paraId="6B72217B" w14:textId="77777777" w:rsidR="001F04FD" w:rsidRPr="00193B05" w:rsidRDefault="001F04FD" w:rsidP="00AC4DEE">
            <w:pPr>
              <w:pStyle w:val="TableBody"/>
            </w:pPr>
            <w:r w:rsidRPr="00193B05">
              <w:t>RTORDPA</w:t>
            </w:r>
            <w:r w:rsidRPr="00193B05">
              <w:rPr>
                <w:vertAlign w:val="subscript"/>
              </w:rPr>
              <w:t xml:space="preserve"> </w:t>
            </w:r>
            <w:r w:rsidRPr="00611796">
              <w:rPr>
                <w:i/>
                <w:vertAlign w:val="subscript"/>
              </w:rPr>
              <w:t>y</w:t>
            </w:r>
          </w:p>
        </w:tc>
        <w:tc>
          <w:tcPr>
            <w:tcW w:w="900" w:type="dxa"/>
          </w:tcPr>
          <w:p w14:paraId="147B54A9" w14:textId="77777777" w:rsidR="001F04FD" w:rsidRPr="00193B05" w:rsidRDefault="001F04FD" w:rsidP="00AC4DEE">
            <w:pPr>
              <w:pStyle w:val="TableBody"/>
            </w:pPr>
            <w:r w:rsidRPr="00193B05">
              <w:t>$/MWh</w:t>
            </w:r>
          </w:p>
        </w:tc>
        <w:tc>
          <w:tcPr>
            <w:tcW w:w="7166" w:type="dxa"/>
          </w:tcPr>
          <w:p w14:paraId="5A6B9D4D" w14:textId="77777777" w:rsidR="001F04FD" w:rsidRPr="00193B05" w:rsidRDefault="001F04FD" w:rsidP="00AC4DEE">
            <w:pPr>
              <w:pStyle w:val="TableBody"/>
              <w:rPr>
                <w:i/>
              </w:rPr>
            </w:pPr>
            <w:r w:rsidRPr="00193B05">
              <w:rPr>
                <w:i/>
              </w:rPr>
              <w:t>Real-Time On-Line Reliability Deployment Price Adder</w:t>
            </w:r>
            <w:r w:rsidRPr="00193B05">
              <w:sym w:font="Symbol" w:char="F0BE"/>
            </w:r>
            <w:r w:rsidRPr="00193B05">
              <w:t xml:space="preserve">The Real-Time Price Adder that captures the impact of reliability deployments on energy prices for the SCED interval </w:t>
            </w:r>
            <w:r w:rsidRPr="00193B05">
              <w:rPr>
                <w:i/>
              </w:rPr>
              <w:t>y</w:t>
            </w:r>
            <w:r w:rsidRPr="00193B05">
              <w:t>.</w:t>
            </w:r>
          </w:p>
        </w:tc>
      </w:tr>
      <w:tr w:rsidR="001F04FD" w14:paraId="1003FE55" w14:textId="77777777" w:rsidTr="00142F7A">
        <w:tc>
          <w:tcPr>
            <w:tcW w:w="1284" w:type="dxa"/>
          </w:tcPr>
          <w:p w14:paraId="28D5FA12" w14:textId="77777777" w:rsidR="001F04FD" w:rsidRDefault="001F04FD" w:rsidP="00611796">
            <w:pPr>
              <w:pStyle w:val="TableBody"/>
            </w:pPr>
            <w:r>
              <w:t>RNWF</w:t>
            </w:r>
            <w:r w:rsidR="00611796">
              <w:t xml:space="preserve"> </w:t>
            </w:r>
            <w:r w:rsidRPr="00D661BC">
              <w:rPr>
                <w:i/>
                <w:vertAlign w:val="subscript"/>
              </w:rPr>
              <w:t>y</w:t>
            </w:r>
          </w:p>
        </w:tc>
        <w:tc>
          <w:tcPr>
            <w:tcW w:w="900" w:type="dxa"/>
          </w:tcPr>
          <w:p w14:paraId="33E73BEA" w14:textId="77777777" w:rsidR="001F04FD" w:rsidRDefault="001F04FD" w:rsidP="00AC4DEE">
            <w:pPr>
              <w:pStyle w:val="TableBody"/>
            </w:pPr>
            <w:r>
              <w:t>none</w:t>
            </w:r>
          </w:p>
        </w:tc>
        <w:tc>
          <w:tcPr>
            <w:tcW w:w="7166" w:type="dxa"/>
          </w:tcPr>
          <w:p w14:paraId="48F23C66" w14:textId="77777777" w:rsidR="001F04FD" w:rsidRDefault="001F04FD" w:rsidP="00AC4DEE">
            <w:pPr>
              <w:pStyle w:val="TableBody"/>
            </w:pPr>
            <w:r>
              <w:rPr>
                <w:i/>
              </w:rPr>
              <w:t>Resource Node Weighting Factor per interval</w:t>
            </w:r>
            <w:r>
              <w:sym w:font="Symbol" w:char="F0BE"/>
            </w:r>
            <w:r>
              <w:t xml:space="preserve">The weight used in the Resource Node Settlement Point Price calculation for the portion of the SCED interval </w:t>
            </w:r>
            <w:r w:rsidRPr="009F599E">
              <w:rPr>
                <w:i/>
              </w:rPr>
              <w:t>y</w:t>
            </w:r>
            <w:r>
              <w:t xml:space="preserve"> within the Settlement Interval.</w:t>
            </w:r>
          </w:p>
        </w:tc>
      </w:tr>
      <w:tr w:rsidR="001F04FD" w14:paraId="6535C8AA" w14:textId="77777777" w:rsidTr="00142F7A">
        <w:tc>
          <w:tcPr>
            <w:tcW w:w="1284" w:type="dxa"/>
          </w:tcPr>
          <w:p w14:paraId="0440BE3A" w14:textId="77777777" w:rsidR="001F04FD" w:rsidRDefault="001F04FD" w:rsidP="00AC4DEE">
            <w:pPr>
              <w:pStyle w:val="TableBody"/>
            </w:pPr>
            <w:r>
              <w:t xml:space="preserve">TLMP </w:t>
            </w:r>
            <w:r w:rsidRPr="00D661BC">
              <w:rPr>
                <w:i/>
                <w:vertAlign w:val="subscript"/>
              </w:rPr>
              <w:t>y</w:t>
            </w:r>
          </w:p>
        </w:tc>
        <w:tc>
          <w:tcPr>
            <w:tcW w:w="900" w:type="dxa"/>
          </w:tcPr>
          <w:p w14:paraId="42CE6527" w14:textId="77777777" w:rsidR="001F04FD" w:rsidRDefault="001F04FD" w:rsidP="00AC4DEE">
            <w:pPr>
              <w:pStyle w:val="TableBody"/>
              <w:rPr>
                <w:iCs w:val="0"/>
              </w:rPr>
            </w:pPr>
            <w:r>
              <w:t>second</w:t>
            </w:r>
          </w:p>
        </w:tc>
        <w:tc>
          <w:tcPr>
            <w:tcW w:w="7166" w:type="dxa"/>
          </w:tcPr>
          <w:p w14:paraId="030B57D9" w14:textId="77777777" w:rsidR="001F04FD" w:rsidRDefault="001F04FD" w:rsidP="00AC4DEE">
            <w:pPr>
              <w:pStyle w:val="TableBody"/>
            </w:pPr>
            <w:r>
              <w:rPr>
                <w:i/>
                <w:iCs w:val="0"/>
              </w:rPr>
              <w:t>Duration of SCED interval per interval</w:t>
            </w:r>
            <w:r>
              <w:sym w:font="Symbol" w:char="F0BE"/>
            </w:r>
            <w:r>
              <w:t xml:space="preserve">The duration of the portion of the SCED interval </w:t>
            </w:r>
            <w:r>
              <w:rPr>
                <w:i/>
                <w:iCs w:val="0"/>
              </w:rPr>
              <w:t>y</w:t>
            </w:r>
            <w:r>
              <w:rPr>
                <w:iCs w:val="0"/>
              </w:rPr>
              <w:t xml:space="preserve"> within the Settlement Interval</w:t>
            </w:r>
            <w:r>
              <w:t>.</w:t>
            </w:r>
          </w:p>
        </w:tc>
      </w:tr>
      <w:tr w:rsidR="001F04FD" w14:paraId="73E4213A" w14:textId="77777777" w:rsidTr="00142F7A">
        <w:tc>
          <w:tcPr>
            <w:tcW w:w="1284" w:type="dxa"/>
          </w:tcPr>
          <w:p w14:paraId="5B6021BC" w14:textId="77777777" w:rsidR="001F04FD" w:rsidRPr="002958DA" w:rsidRDefault="001F04FD" w:rsidP="00AC4DEE">
            <w:pPr>
              <w:pStyle w:val="TableBody"/>
              <w:rPr>
                <w:i/>
              </w:rPr>
            </w:pPr>
            <w:r w:rsidRPr="00D661BC">
              <w:rPr>
                <w:i/>
              </w:rPr>
              <w:t>y</w:t>
            </w:r>
          </w:p>
        </w:tc>
        <w:tc>
          <w:tcPr>
            <w:tcW w:w="900" w:type="dxa"/>
          </w:tcPr>
          <w:p w14:paraId="11FB236F" w14:textId="77777777" w:rsidR="001F04FD" w:rsidRDefault="001F04FD" w:rsidP="00AC4DEE">
            <w:pPr>
              <w:pStyle w:val="TableBody"/>
            </w:pPr>
            <w:r>
              <w:t>none</w:t>
            </w:r>
          </w:p>
        </w:tc>
        <w:tc>
          <w:tcPr>
            <w:tcW w:w="7166" w:type="dxa"/>
          </w:tcPr>
          <w:p w14:paraId="6A8B0FA5" w14:textId="77777777" w:rsidR="001F04FD" w:rsidRDefault="001F04FD" w:rsidP="00AC4DEE">
            <w:pPr>
              <w:pStyle w:val="TableBody"/>
            </w:pPr>
            <w:r>
              <w:t xml:space="preserve">A SCED interval in the 15-minute Settlement Interval.  The summation is over the total number of SCED runs that cover the 15-minute Settlement Interval.  </w:t>
            </w:r>
          </w:p>
        </w:tc>
      </w:tr>
    </w:tbl>
    <w:p w14:paraId="32CAE1D0" w14:textId="77777777" w:rsidR="00BB7F40" w:rsidRDefault="00BB7F40" w:rsidP="00BB7F40">
      <w:pPr>
        <w:ind w:left="720" w:hanging="720"/>
        <w:rPr>
          <w:iCs/>
        </w:rPr>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B7F40" w14:paraId="2388C9F1" w14:textId="77777777" w:rsidTr="00EC5231">
        <w:trPr>
          <w:trHeight w:val="206"/>
        </w:trPr>
        <w:tc>
          <w:tcPr>
            <w:tcW w:w="9350" w:type="dxa"/>
            <w:shd w:val="pct12" w:color="auto" w:fill="auto"/>
          </w:tcPr>
          <w:p w14:paraId="2C45AE66" w14:textId="77777777" w:rsidR="00BB7F40" w:rsidRDefault="00BB7F40" w:rsidP="00EC5231">
            <w:pPr>
              <w:pStyle w:val="Instructions"/>
              <w:spacing w:before="120"/>
            </w:pPr>
            <w:r>
              <w:t>[NPRR1010:  Replace paragraph (1) above with the following upon system implementation of the Real-Time Co-Optimization (RTC) project:]</w:t>
            </w:r>
          </w:p>
          <w:p w14:paraId="14ABF9D0" w14:textId="77777777" w:rsidR="003F739B" w:rsidRPr="003161DC" w:rsidRDefault="003F739B" w:rsidP="003F739B">
            <w:pPr>
              <w:spacing w:after="240"/>
              <w:ind w:left="720" w:hanging="720"/>
              <w:rPr>
                <w:b/>
                <w:i/>
                <w:iCs/>
              </w:rPr>
            </w:pPr>
            <w:r w:rsidRPr="003161DC">
              <w:t>(1)</w:t>
            </w:r>
            <w:r w:rsidRPr="003161DC">
              <w:tab/>
              <w:t>The Real-Time Settlement Point Price for a Resource Node Settlement Point is the time-weighted average of the sum of the Real-Time LMPs</w:t>
            </w:r>
            <w:r>
              <w:t xml:space="preserve"> and</w:t>
            </w:r>
            <w:r w:rsidRPr="003161DC">
              <w:t xml:space="preserve"> </w:t>
            </w:r>
            <w:r>
              <w:t xml:space="preserve">the </w:t>
            </w:r>
            <w:r w:rsidRPr="003161DC">
              <w:t>Real-Time Reliability Deployment Price Adder</w:t>
            </w:r>
            <w:r>
              <w:t xml:space="preserve"> for Energy</w:t>
            </w:r>
            <w:r w:rsidRPr="003161DC">
              <w:t>.  The Real-Time Settlement Point Price for a 15-minute Settlement Interval is calculated as follows:</w:t>
            </w:r>
          </w:p>
          <w:p w14:paraId="249B5ADC" w14:textId="4E1A02F4" w:rsidR="003F739B" w:rsidRPr="003161DC" w:rsidRDefault="003F739B" w:rsidP="003F739B">
            <w:pPr>
              <w:tabs>
                <w:tab w:val="left" w:pos="2250"/>
                <w:tab w:val="left" w:pos="3150"/>
                <w:tab w:val="left" w:pos="3960"/>
              </w:tabs>
              <w:spacing w:after="240"/>
              <w:ind w:left="3960" w:hanging="3240"/>
              <w:rPr>
                <w:b/>
                <w:bCs/>
              </w:rPr>
            </w:pPr>
            <w:r w:rsidRPr="003161DC">
              <w:rPr>
                <w:b/>
                <w:bCs/>
              </w:rPr>
              <w:t>RTSPP</w:t>
            </w:r>
            <w:r w:rsidRPr="003161DC">
              <w:rPr>
                <w:b/>
                <w:bCs/>
              </w:rPr>
              <w:tab/>
              <w:t>=</w:t>
            </w:r>
            <w:r w:rsidRPr="003161DC">
              <w:rPr>
                <w:b/>
                <w:bCs/>
              </w:rPr>
              <w:tab/>
              <w:t>Max (-$251, (</w:t>
            </w:r>
            <w:r w:rsidRPr="003161DC">
              <w:rPr>
                <w:b/>
                <w:bCs/>
                <w:position w:val="-22"/>
              </w:rPr>
              <w:object w:dxaOrig="225" w:dyaOrig="465" w14:anchorId="152EC096">
                <v:shape id="_x0000_i1031" type="#_x0000_t75" style="width:24pt;height:18pt" o:ole="">
                  <v:imagedata r:id="rId20" o:title=""/>
                </v:shape>
                <o:OLEObject Type="Embed" ProgID="Equation.3" ShapeID="_x0000_i1031" DrawAspect="Content" ObjectID="_1815025221" r:id="rId24"/>
              </w:object>
            </w:r>
            <w:r w:rsidRPr="003161DC">
              <w:rPr>
                <w:b/>
                <w:bCs/>
              </w:rPr>
              <w:t xml:space="preserve">(RNWF </w:t>
            </w:r>
            <w:r w:rsidRPr="003161DC">
              <w:rPr>
                <w:b/>
                <w:bCs/>
                <w:i/>
                <w:vertAlign w:val="subscript"/>
              </w:rPr>
              <w:t>y</w:t>
            </w:r>
            <w:r w:rsidRPr="003161DC">
              <w:rPr>
                <w:b/>
                <w:bCs/>
              </w:rPr>
              <w:t xml:space="preserve"> * (RTLMP </w:t>
            </w:r>
            <w:r w:rsidRPr="003161DC">
              <w:rPr>
                <w:b/>
                <w:bCs/>
                <w:i/>
                <w:vertAlign w:val="subscript"/>
              </w:rPr>
              <w:t xml:space="preserve">y </w:t>
            </w:r>
            <w:r w:rsidRPr="003161DC">
              <w:rPr>
                <w:b/>
                <w:bCs/>
              </w:rPr>
              <w:t>+ RTRDPA</w:t>
            </w:r>
            <w:r w:rsidRPr="003161DC">
              <w:rPr>
                <w:b/>
                <w:bCs/>
                <w:i/>
                <w:vertAlign w:val="subscript"/>
              </w:rPr>
              <w:t xml:space="preserve"> y</w:t>
            </w:r>
            <w:r w:rsidRPr="003161DC">
              <w:rPr>
                <w:b/>
                <w:bCs/>
              </w:rPr>
              <w:t>))))</w:t>
            </w:r>
          </w:p>
          <w:p w14:paraId="76F96988" w14:textId="77777777" w:rsidR="003F739B" w:rsidRPr="003161DC" w:rsidRDefault="003F739B" w:rsidP="003F739B">
            <w:pPr>
              <w:spacing w:after="240"/>
              <w:ind w:firstLine="720"/>
              <w:rPr>
                <w:iCs/>
              </w:rPr>
            </w:pPr>
            <w:r w:rsidRPr="003161DC">
              <w:rPr>
                <w:iCs/>
              </w:rPr>
              <w:t>Where the Resource Node weighting factor is:</w:t>
            </w:r>
          </w:p>
          <w:p w14:paraId="59528EC6" w14:textId="59494B19" w:rsidR="003F739B" w:rsidRPr="003161DC" w:rsidRDefault="003F739B" w:rsidP="003F739B">
            <w:pPr>
              <w:tabs>
                <w:tab w:val="left" w:pos="2160"/>
                <w:tab w:val="left" w:pos="2880"/>
              </w:tabs>
              <w:spacing w:after="240"/>
              <w:ind w:leftChars="300" w:left="2888" w:hangingChars="900" w:hanging="2168"/>
              <w:rPr>
                <w:b/>
                <w:bCs/>
              </w:rPr>
            </w:pPr>
            <w:r w:rsidRPr="003161DC">
              <w:rPr>
                <w:b/>
                <w:bCs/>
              </w:rPr>
              <w:t xml:space="preserve">RNWF </w:t>
            </w:r>
            <w:r w:rsidRPr="003161DC">
              <w:rPr>
                <w:b/>
                <w:bCs/>
                <w:i/>
                <w:vertAlign w:val="subscript"/>
              </w:rPr>
              <w:t>y</w:t>
            </w:r>
            <w:r w:rsidRPr="003161DC">
              <w:rPr>
                <w:b/>
                <w:bCs/>
                <w:vertAlign w:val="subscript"/>
              </w:rPr>
              <w:tab/>
            </w:r>
            <w:r w:rsidRPr="003161DC">
              <w:rPr>
                <w:b/>
                <w:bCs/>
              </w:rPr>
              <w:t>=</w:t>
            </w:r>
            <w:r w:rsidRPr="003161DC">
              <w:rPr>
                <w:b/>
                <w:bCs/>
              </w:rPr>
              <w:tab/>
              <w:t xml:space="preserve">TLMP </w:t>
            </w:r>
            <w:r w:rsidRPr="003161DC">
              <w:rPr>
                <w:b/>
                <w:bCs/>
                <w:i/>
                <w:vertAlign w:val="subscript"/>
              </w:rPr>
              <w:t>y</w:t>
            </w:r>
            <w:r w:rsidRPr="003161DC">
              <w:rPr>
                <w:b/>
                <w:bCs/>
              </w:rPr>
              <w:t xml:space="preserve"> </w:t>
            </w:r>
            <w:r w:rsidRPr="003161DC">
              <w:rPr>
                <w:b/>
                <w:bCs/>
                <w:color w:val="000000"/>
                <w:sz w:val="32"/>
                <w:szCs w:val="32"/>
              </w:rPr>
              <w:t>/</w:t>
            </w:r>
            <w:r w:rsidRPr="003161DC">
              <w:rPr>
                <w:b/>
                <w:bCs/>
                <w:color w:val="000000"/>
              </w:rPr>
              <w:t xml:space="preserve"> </w:t>
            </w:r>
            <w:r w:rsidRPr="003161DC">
              <w:rPr>
                <w:b/>
                <w:bCs/>
                <w:position w:val="-22"/>
              </w:rPr>
              <w:object w:dxaOrig="225" w:dyaOrig="465" w14:anchorId="3D9EEB0C">
                <v:shape id="_x0000_i1032" type="#_x0000_t75" style="width:24pt;height:18pt" o:ole="">
                  <v:imagedata r:id="rId22" o:title=""/>
                </v:shape>
                <o:OLEObject Type="Embed" ProgID="Equation.3" ShapeID="_x0000_i1032" DrawAspect="Content" ObjectID="_1815025222" r:id="rId25"/>
              </w:object>
            </w:r>
            <w:r w:rsidRPr="003161DC">
              <w:rPr>
                <w:b/>
                <w:bCs/>
              </w:rPr>
              <w:t xml:space="preserve">TLMP </w:t>
            </w:r>
            <w:r w:rsidRPr="003161DC">
              <w:rPr>
                <w:b/>
                <w:bCs/>
                <w:i/>
                <w:vertAlign w:val="subscript"/>
              </w:rPr>
              <w:t>y</w:t>
            </w:r>
          </w:p>
          <w:p w14:paraId="4F3C323F" w14:textId="77777777" w:rsidR="003F739B" w:rsidRPr="003161DC" w:rsidRDefault="003F739B" w:rsidP="003F739B">
            <w:r w:rsidRPr="003161DC">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74"/>
              <w:gridCol w:w="898"/>
              <w:gridCol w:w="6938"/>
            </w:tblGrid>
            <w:tr w:rsidR="003F739B" w:rsidRPr="003161DC" w14:paraId="172FA03B" w14:textId="77777777" w:rsidTr="00EC5231">
              <w:tc>
                <w:tcPr>
                  <w:tcW w:w="1284" w:type="dxa"/>
                </w:tcPr>
                <w:p w14:paraId="53607F71" w14:textId="77777777" w:rsidR="003F739B" w:rsidRPr="003161DC" w:rsidRDefault="003F739B" w:rsidP="003F739B">
                  <w:pPr>
                    <w:spacing w:after="120"/>
                    <w:rPr>
                      <w:b/>
                      <w:iCs/>
                      <w:sz w:val="20"/>
                    </w:rPr>
                  </w:pPr>
                  <w:r w:rsidRPr="003161DC">
                    <w:rPr>
                      <w:b/>
                      <w:iCs/>
                      <w:sz w:val="20"/>
                    </w:rPr>
                    <w:t>Variable</w:t>
                  </w:r>
                </w:p>
              </w:tc>
              <w:tc>
                <w:tcPr>
                  <w:tcW w:w="900" w:type="dxa"/>
                </w:tcPr>
                <w:p w14:paraId="3805E2C0" w14:textId="77777777" w:rsidR="003F739B" w:rsidRPr="003161DC" w:rsidRDefault="003F739B" w:rsidP="003F739B">
                  <w:pPr>
                    <w:spacing w:after="120"/>
                    <w:rPr>
                      <w:b/>
                      <w:iCs/>
                      <w:sz w:val="20"/>
                    </w:rPr>
                  </w:pPr>
                  <w:r w:rsidRPr="003161DC">
                    <w:rPr>
                      <w:b/>
                      <w:iCs/>
                      <w:sz w:val="20"/>
                    </w:rPr>
                    <w:t>Unit</w:t>
                  </w:r>
                </w:p>
              </w:tc>
              <w:tc>
                <w:tcPr>
                  <w:tcW w:w="7166" w:type="dxa"/>
                </w:tcPr>
                <w:p w14:paraId="54D8AB47" w14:textId="77777777" w:rsidR="003F739B" w:rsidRPr="003161DC" w:rsidRDefault="003F739B" w:rsidP="003F739B">
                  <w:pPr>
                    <w:spacing w:after="120"/>
                    <w:rPr>
                      <w:b/>
                      <w:iCs/>
                      <w:sz w:val="20"/>
                    </w:rPr>
                  </w:pPr>
                  <w:r w:rsidRPr="003161DC">
                    <w:rPr>
                      <w:b/>
                      <w:iCs/>
                      <w:sz w:val="20"/>
                    </w:rPr>
                    <w:t>Description</w:t>
                  </w:r>
                </w:p>
              </w:tc>
            </w:tr>
            <w:tr w:rsidR="003F739B" w:rsidRPr="003161DC" w14:paraId="09A0BEAC" w14:textId="77777777" w:rsidTr="00EC5231">
              <w:tc>
                <w:tcPr>
                  <w:tcW w:w="1284" w:type="dxa"/>
                </w:tcPr>
                <w:p w14:paraId="1922BE52" w14:textId="77777777" w:rsidR="003F739B" w:rsidRPr="003161DC" w:rsidRDefault="003F739B" w:rsidP="003F739B">
                  <w:pPr>
                    <w:spacing w:after="60"/>
                    <w:rPr>
                      <w:iCs/>
                      <w:sz w:val="20"/>
                    </w:rPr>
                  </w:pPr>
                  <w:r w:rsidRPr="003161DC">
                    <w:rPr>
                      <w:iCs/>
                      <w:sz w:val="20"/>
                    </w:rPr>
                    <w:t>RTSPP</w:t>
                  </w:r>
                </w:p>
              </w:tc>
              <w:tc>
                <w:tcPr>
                  <w:tcW w:w="900" w:type="dxa"/>
                </w:tcPr>
                <w:p w14:paraId="64EBFCD2" w14:textId="77777777" w:rsidR="003F739B" w:rsidRPr="003161DC" w:rsidRDefault="003F739B" w:rsidP="003F739B">
                  <w:pPr>
                    <w:spacing w:after="60"/>
                    <w:rPr>
                      <w:iCs/>
                      <w:sz w:val="20"/>
                    </w:rPr>
                  </w:pPr>
                  <w:r w:rsidRPr="003161DC">
                    <w:rPr>
                      <w:iCs/>
                      <w:sz w:val="20"/>
                    </w:rPr>
                    <w:t>$/MWh</w:t>
                  </w:r>
                </w:p>
              </w:tc>
              <w:tc>
                <w:tcPr>
                  <w:tcW w:w="7166" w:type="dxa"/>
                </w:tcPr>
                <w:p w14:paraId="4C4EE47F" w14:textId="77777777" w:rsidR="003F739B" w:rsidRPr="003161DC" w:rsidRDefault="003F739B" w:rsidP="003F739B">
                  <w:pPr>
                    <w:spacing w:after="60"/>
                    <w:rPr>
                      <w:iCs/>
                      <w:sz w:val="20"/>
                    </w:rPr>
                  </w:pPr>
                  <w:r w:rsidRPr="003161DC">
                    <w:rPr>
                      <w:i/>
                      <w:iCs/>
                      <w:sz w:val="20"/>
                    </w:rPr>
                    <w:t>Real-Time Settlement Point Price</w:t>
                  </w:r>
                  <w:r w:rsidRPr="003161DC">
                    <w:rPr>
                      <w:iCs/>
                      <w:sz w:val="20"/>
                    </w:rPr>
                    <w:sym w:font="Symbol" w:char="F0BE"/>
                  </w:r>
                  <w:r w:rsidRPr="003161DC">
                    <w:rPr>
                      <w:iCs/>
                      <w:sz w:val="20"/>
                    </w:rPr>
                    <w:t>The Real-Time Settlement Point Price at the Settlement Point for the 15-minute Settlement Interval.</w:t>
                  </w:r>
                </w:p>
              </w:tc>
            </w:tr>
            <w:tr w:rsidR="003F739B" w:rsidRPr="003161DC" w14:paraId="52E4EC79" w14:textId="77777777" w:rsidTr="00EC5231">
              <w:tc>
                <w:tcPr>
                  <w:tcW w:w="1284" w:type="dxa"/>
                </w:tcPr>
                <w:p w14:paraId="76BF7A7D" w14:textId="77777777" w:rsidR="003F739B" w:rsidRPr="003161DC" w:rsidRDefault="003F739B" w:rsidP="003F739B">
                  <w:pPr>
                    <w:spacing w:after="60"/>
                    <w:rPr>
                      <w:iCs/>
                      <w:sz w:val="20"/>
                    </w:rPr>
                  </w:pPr>
                  <w:r w:rsidRPr="003161DC">
                    <w:rPr>
                      <w:iCs/>
                      <w:sz w:val="20"/>
                    </w:rPr>
                    <w:t xml:space="preserve">RTLMP </w:t>
                  </w:r>
                  <w:r w:rsidRPr="003161DC">
                    <w:rPr>
                      <w:i/>
                      <w:iCs/>
                      <w:sz w:val="20"/>
                      <w:vertAlign w:val="subscript"/>
                    </w:rPr>
                    <w:t>y</w:t>
                  </w:r>
                </w:p>
              </w:tc>
              <w:tc>
                <w:tcPr>
                  <w:tcW w:w="900" w:type="dxa"/>
                </w:tcPr>
                <w:p w14:paraId="2ACAFB7B" w14:textId="77777777" w:rsidR="003F739B" w:rsidRPr="003161DC" w:rsidRDefault="003F739B" w:rsidP="003F739B">
                  <w:pPr>
                    <w:spacing w:after="60"/>
                    <w:rPr>
                      <w:iCs/>
                      <w:sz w:val="20"/>
                    </w:rPr>
                  </w:pPr>
                  <w:r w:rsidRPr="003161DC">
                    <w:rPr>
                      <w:iCs/>
                      <w:sz w:val="20"/>
                    </w:rPr>
                    <w:t>$/MWh</w:t>
                  </w:r>
                </w:p>
              </w:tc>
              <w:tc>
                <w:tcPr>
                  <w:tcW w:w="7166" w:type="dxa"/>
                </w:tcPr>
                <w:p w14:paraId="481E7114" w14:textId="77777777" w:rsidR="003F739B" w:rsidRPr="003161DC" w:rsidRDefault="003F739B" w:rsidP="003F739B">
                  <w:pPr>
                    <w:spacing w:after="60"/>
                    <w:rPr>
                      <w:iCs/>
                      <w:sz w:val="20"/>
                    </w:rPr>
                  </w:pPr>
                  <w:r w:rsidRPr="003161DC">
                    <w:rPr>
                      <w:i/>
                      <w:iCs/>
                      <w:sz w:val="20"/>
                    </w:rPr>
                    <w:t>Real-Time Locational Marginal Price per interval</w:t>
                  </w:r>
                  <w:r w:rsidRPr="003161DC">
                    <w:rPr>
                      <w:iCs/>
                      <w:sz w:val="20"/>
                    </w:rPr>
                    <w:sym w:font="Symbol" w:char="F0BE"/>
                  </w:r>
                  <w:r w:rsidRPr="003161DC">
                    <w:rPr>
                      <w:iCs/>
                      <w:sz w:val="20"/>
                    </w:rPr>
                    <w:t xml:space="preserve">The Real-Time LMP at the Settlement Point for the SCED interval </w:t>
                  </w:r>
                  <w:r w:rsidRPr="003161DC">
                    <w:rPr>
                      <w:i/>
                      <w:iCs/>
                      <w:sz w:val="20"/>
                    </w:rPr>
                    <w:t>y</w:t>
                  </w:r>
                  <w:r w:rsidRPr="003161DC">
                    <w:rPr>
                      <w:iCs/>
                      <w:sz w:val="20"/>
                    </w:rPr>
                    <w:t>.</w:t>
                  </w:r>
                </w:p>
              </w:tc>
            </w:tr>
            <w:tr w:rsidR="003F739B" w:rsidRPr="003161DC" w14:paraId="72108A1A" w14:textId="77777777" w:rsidTr="00EC5231">
              <w:tc>
                <w:tcPr>
                  <w:tcW w:w="1284" w:type="dxa"/>
                </w:tcPr>
                <w:p w14:paraId="3350C07D" w14:textId="77777777" w:rsidR="003F739B" w:rsidRPr="003161DC" w:rsidRDefault="003F739B" w:rsidP="003F739B">
                  <w:pPr>
                    <w:spacing w:after="60"/>
                    <w:rPr>
                      <w:iCs/>
                      <w:sz w:val="20"/>
                    </w:rPr>
                  </w:pPr>
                  <w:r w:rsidRPr="003161DC">
                    <w:rPr>
                      <w:iCs/>
                      <w:sz w:val="20"/>
                    </w:rPr>
                    <w:t>RTRDPA</w:t>
                  </w:r>
                  <w:r w:rsidRPr="003161DC">
                    <w:rPr>
                      <w:iCs/>
                      <w:sz w:val="20"/>
                      <w:vertAlign w:val="subscript"/>
                    </w:rPr>
                    <w:t xml:space="preserve"> </w:t>
                  </w:r>
                  <w:r w:rsidRPr="003161DC">
                    <w:rPr>
                      <w:i/>
                      <w:iCs/>
                      <w:sz w:val="20"/>
                      <w:vertAlign w:val="subscript"/>
                    </w:rPr>
                    <w:t>y</w:t>
                  </w:r>
                </w:p>
              </w:tc>
              <w:tc>
                <w:tcPr>
                  <w:tcW w:w="900" w:type="dxa"/>
                </w:tcPr>
                <w:p w14:paraId="3BF54FC8" w14:textId="77777777" w:rsidR="003F739B" w:rsidRPr="003161DC" w:rsidRDefault="003F739B" w:rsidP="003F739B">
                  <w:pPr>
                    <w:spacing w:after="60"/>
                    <w:rPr>
                      <w:iCs/>
                      <w:sz w:val="20"/>
                    </w:rPr>
                  </w:pPr>
                  <w:r w:rsidRPr="003161DC">
                    <w:rPr>
                      <w:iCs/>
                      <w:sz w:val="20"/>
                    </w:rPr>
                    <w:t>$/MWh</w:t>
                  </w:r>
                </w:p>
              </w:tc>
              <w:tc>
                <w:tcPr>
                  <w:tcW w:w="7166" w:type="dxa"/>
                </w:tcPr>
                <w:p w14:paraId="4D02735D" w14:textId="77777777" w:rsidR="003F739B" w:rsidRPr="003161DC" w:rsidRDefault="003F739B" w:rsidP="003F739B">
                  <w:pPr>
                    <w:spacing w:after="60"/>
                    <w:rPr>
                      <w:i/>
                      <w:iCs/>
                      <w:sz w:val="20"/>
                    </w:rPr>
                  </w:pPr>
                  <w:r w:rsidRPr="003161DC">
                    <w:rPr>
                      <w:i/>
                      <w:iCs/>
                      <w:sz w:val="20"/>
                    </w:rPr>
                    <w:t>Real-Time Reliability Deployment Price Adder</w:t>
                  </w:r>
                  <w:r>
                    <w:rPr>
                      <w:i/>
                      <w:iCs/>
                      <w:sz w:val="20"/>
                    </w:rPr>
                    <w:t xml:space="preserve"> for Energy</w:t>
                  </w:r>
                  <w:r w:rsidRPr="003161DC">
                    <w:rPr>
                      <w:iCs/>
                      <w:sz w:val="20"/>
                    </w:rPr>
                    <w:sym w:font="Symbol" w:char="F0BE"/>
                  </w:r>
                  <w:r w:rsidRPr="003161DC">
                    <w:rPr>
                      <w:iCs/>
                      <w:sz w:val="20"/>
                    </w:rPr>
                    <w:t xml:space="preserve">The Real-Time </w:t>
                  </w:r>
                  <w:r>
                    <w:rPr>
                      <w:iCs/>
                      <w:sz w:val="20"/>
                    </w:rPr>
                    <w:t>p</w:t>
                  </w:r>
                  <w:r w:rsidRPr="003161DC">
                    <w:rPr>
                      <w:iCs/>
                      <w:sz w:val="20"/>
                    </w:rPr>
                    <w:t xml:space="preserve">rice </w:t>
                  </w:r>
                  <w:r>
                    <w:rPr>
                      <w:iCs/>
                      <w:sz w:val="20"/>
                    </w:rPr>
                    <w:t>a</w:t>
                  </w:r>
                  <w:r w:rsidRPr="003161DC">
                    <w:rPr>
                      <w:iCs/>
                      <w:sz w:val="20"/>
                    </w:rPr>
                    <w:t xml:space="preserve">dder that captures the impact of reliability deployments on energy prices for the SCED interval </w:t>
                  </w:r>
                  <w:r w:rsidRPr="003161DC">
                    <w:rPr>
                      <w:i/>
                      <w:iCs/>
                      <w:sz w:val="20"/>
                    </w:rPr>
                    <w:t>y</w:t>
                  </w:r>
                  <w:r w:rsidRPr="003161DC">
                    <w:rPr>
                      <w:iCs/>
                      <w:sz w:val="20"/>
                    </w:rPr>
                    <w:t>.</w:t>
                  </w:r>
                </w:p>
              </w:tc>
            </w:tr>
            <w:tr w:rsidR="003F739B" w:rsidRPr="003161DC" w14:paraId="7BAAD9FA" w14:textId="77777777" w:rsidTr="00EC5231">
              <w:tc>
                <w:tcPr>
                  <w:tcW w:w="1284" w:type="dxa"/>
                </w:tcPr>
                <w:p w14:paraId="7F8F070B" w14:textId="77777777" w:rsidR="003F739B" w:rsidRPr="003161DC" w:rsidRDefault="003F739B" w:rsidP="003F739B">
                  <w:pPr>
                    <w:spacing w:after="60"/>
                    <w:rPr>
                      <w:iCs/>
                      <w:sz w:val="20"/>
                    </w:rPr>
                  </w:pPr>
                  <w:r w:rsidRPr="003161DC">
                    <w:rPr>
                      <w:iCs/>
                      <w:sz w:val="20"/>
                    </w:rPr>
                    <w:t xml:space="preserve">RNWF </w:t>
                  </w:r>
                  <w:r w:rsidRPr="003161DC">
                    <w:rPr>
                      <w:i/>
                      <w:iCs/>
                      <w:sz w:val="20"/>
                      <w:vertAlign w:val="subscript"/>
                    </w:rPr>
                    <w:t>y</w:t>
                  </w:r>
                </w:p>
              </w:tc>
              <w:tc>
                <w:tcPr>
                  <w:tcW w:w="900" w:type="dxa"/>
                </w:tcPr>
                <w:p w14:paraId="2D0E3E16" w14:textId="77777777" w:rsidR="003F739B" w:rsidRPr="003161DC" w:rsidRDefault="003F739B" w:rsidP="003F739B">
                  <w:pPr>
                    <w:spacing w:after="60"/>
                    <w:rPr>
                      <w:iCs/>
                      <w:sz w:val="20"/>
                    </w:rPr>
                  </w:pPr>
                  <w:r w:rsidRPr="003161DC">
                    <w:rPr>
                      <w:iCs/>
                      <w:sz w:val="20"/>
                    </w:rPr>
                    <w:t>none</w:t>
                  </w:r>
                </w:p>
              </w:tc>
              <w:tc>
                <w:tcPr>
                  <w:tcW w:w="7166" w:type="dxa"/>
                </w:tcPr>
                <w:p w14:paraId="1670AD08" w14:textId="77777777" w:rsidR="003F739B" w:rsidRPr="003161DC" w:rsidRDefault="003F739B" w:rsidP="003F739B">
                  <w:pPr>
                    <w:spacing w:after="60"/>
                    <w:rPr>
                      <w:iCs/>
                      <w:sz w:val="20"/>
                    </w:rPr>
                  </w:pPr>
                  <w:r w:rsidRPr="003161DC">
                    <w:rPr>
                      <w:i/>
                      <w:iCs/>
                      <w:sz w:val="20"/>
                    </w:rPr>
                    <w:t>Resource Node Weighting Factor per interval</w:t>
                  </w:r>
                  <w:r w:rsidRPr="003161DC">
                    <w:rPr>
                      <w:iCs/>
                      <w:sz w:val="20"/>
                    </w:rPr>
                    <w:sym w:font="Symbol" w:char="F0BE"/>
                  </w:r>
                  <w:r w:rsidRPr="003161DC">
                    <w:rPr>
                      <w:iCs/>
                      <w:sz w:val="20"/>
                    </w:rPr>
                    <w:t xml:space="preserve">The weight used in the Resource Node Settlement Point Price calculation for the portion of the SCED interval </w:t>
                  </w:r>
                  <w:r w:rsidRPr="003161DC">
                    <w:rPr>
                      <w:i/>
                      <w:iCs/>
                      <w:sz w:val="20"/>
                    </w:rPr>
                    <w:t>y</w:t>
                  </w:r>
                  <w:r w:rsidRPr="003161DC">
                    <w:rPr>
                      <w:iCs/>
                      <w:sz w:val="20"/>
                    </w:rPr>
                    <w:t xml:space="preserve"> within the Settlement Interval.</w:t>
                  </w:r>
                </w:p>
              </w:tc>
            </w:tr>
            <w:tr w:rsidR="003F739B" w:rsidRPr="003161DC" w14:paraId="364C0D97" w14:textId="77777777" w:rsidTr="00EC5231">
              <w:tc>
                <w:tcPr>
                  <w:tcW w:w="1284" w:type="dxa"/>
                </w:tcPr>
                <w:p w14:paraId="6479565C" w14:textId="77777777" w:rsidR="003F739B" w:rsidRPr="003161DC" w:rsidRDefault="003F739B" w:rsidP="003F739B">
                  <w:pPr>
                    <w:spacing w:after="60"/>
                    <w:rPr>
                      <w:iCs/>
                      <w:sz w:val="20"/>
                    </w:rPr>
                  </w:pPr>
                  <w:r w:rsidRPr="003161DC">
                    <w:rPr>
                      <w:iCs/>
                      <w:sz w:val="20"/>
                    </w:rPr>
                    <w:t xml:space="preserve">TLMP </w:t>
                  </w:r>
                  <w:r w:rsidRPr="003161DC">
                    <w:rPr>
                      <w:i/>
                      <w:iCs/>
                      <w:sz w:val="20"/>
                      <w:vertAlign w:val="subscript"/>
                    </w:rPr>
                    <w:t>y</w:t>
                  </w:r>
                </w:p>
              </w:tc>
              <w:tc>
                <w:tcPr>
                  <w:tcW w:w="900" w:type="dxa"/>
                </w:tcPr>
                <w:p w14:paraId="1DF30215" w14:textId="77777777" w:rsidR="003F739B" w:rsidRPr="003161DC" w:rsidRDefault="003F739B" w:rsidP="003F739B">
                  <w:pPr>
                    <w:spacing w:after="60"/>
                    <w:rPr>
                      <w:sz w:val="20"/>
                    </w:rPr>
                  </w:pPr>
                  <w:r w:rsidRPr="003161DC">
                    <w:rPr>
                      <w:iCs/>
                      <w:sz w:val="20"/>
                    </w:rPr>
                    <w:t>second</w:t>
                  </w:r>
                </w:p>
              </w:tc>
              <w:tc>
                <w:tcPr>
                  <w:tcW w:w="7166" w:type="dxa"/>
                </w:tcPr>
                <w:p w14:paraId="0EA3A05F" w14:textId="77777777" w:rsidR="003F739B" w:rsidRPr="003161DC" w:rsidRDefault="003F739B" w:rsidP="003F739B">
                  <w:pPr>
                    <w:spacing w:after="60"/>
                    <w:rPr>
                      <w:iCs/>
                      <w:sz w:val="20"/>
                    </w:rPr>
                  </w:pPr>
                  <w:r w:rsidRPr="003161DC">
                    <w:rPr>
                      <w:i/>
                      <w:sz w:val="20"/>
                    </w:rPr>
                    <w:t>Duration of SCED interval per interval</w:t>
                  </w:r>
                  <w:r w:rsidRPr="003161DC">
                    <w:rPr>
                      <w:iCs/>
                      <w:sz w:val="20"/>
                    </w:rPr>
                    <w:sym w:font="Symbol" w:char="F0BE"/>
                  </w:r>
                  <w:r w:rsidRPr="003161DC">
                    <w:rPr>
                      <w:iCs/>
                      <w:sz w:val="20"/>
                    </w:rPr>
                    <w:t xml:space="preserve">The duration of the portion of the SCED interval </w:t>
                  </w:r>
                  <w:r w:rsidRPr="003161DC">
                    <w:rPr>
                      <w:i/>
                      <w:sz w:val="20"/>
                    </w:rPr>
                    <w:t>y</w:t>
                  </w:r>
                  <w:r w:rsidRPr="003161DC">
                    <w:rPr>
                      <w:sz w:val="20"/>
                    </w:rPr>
                    <w:t xml:space="preserve"> within the Settlement Interval</w:t>
                  </w:r>
                  <w:r w:rsidRPr="003161DC">
                    <w:rPr>
                      <w:iCs/>
                      <w:sz w:val="20"/>
                    </w:rPr>
                    <w:t>.</w:t>
                  </w:r>
                </w:p>
              </w:tc>
            </w:tr>
            <w:tr w:rsidR="003F739B" w:rsidRPr="003161DC" w14:paraId="70E13B70" w14:textId="77777777" w:rsidTr="00EC5231">
              <w:tc>
                <w:tcPr>
                  <w:tcW w:w="1284" w:type="dxa"/>
                </w:tcPr>
                <w:p w14:paraId="1EB232B9" w14:textId="77777777" w:rsidR="003F739B" w:rsidRPr="003161DC" w:rsidRDefault="003F739B" w:rsidP="003F739B">
                  <w:pPr>
                    <w:spacing w:after="60"/>
                    <w:rPr>
                      <w:i/>
                      <w:iCs/>
                      <w:sz w:val="20"/>
                    </w:rPr>
                  </w:pPr>
                  <w:r w:rsidRPr="003161DC">
                    <w:rPr>
                      <w:i/>
                      <w:iCs/>
                      <w:sz w:val="20"/>
                    </w:rPr>
                    <w:t>y</w:t>
                  </w:r>
                </w:p>
              </w:tc>
              <w:tc>
                <w:tcPr>
                  <w:tcW w:w="900" w:type="dxa"/>
                </w:tcPr>
                <w:p w14:paraId="3550A705" w14:textId="77777777" w:rsidR="003F739B" w:rsidRPr="003161DC" w:rsidRDefault="003F739B" w:rsidP="003F739B">
                  <w:pPr>
                    <w:spacing w:after="60"/>
                    <w:rPr>
                      <w:iCs/>
                      <w:sz w:val="20"/>
                    </w:rPr>
                  </w:pPr>
                  <w:r w:rsidRPr="003161DC">
                    <w:rPr>
                      <w:iCs/>
                      <w:sz w:val="20"/>
                    </w:rPr>
                    <w:t>none</w:t>
                  </w:r>
                </w:p>
              </w:tc>
              <w:tc>
                <w:tcPr>
                  <w:tcW w:w="7166" w:type="dxa"/>
                </w:tcPr>
                <w:p w14:paraId="72242D0D" w14:textId="77777777" w:rsidR="003F739B" w:rsidRPr="003161DC" w:rsidRDefault="003F739B" w:rsidP="003F739B">
                  <w:pPr>
                    <w:spacing w:after="60"/>
                    <w:rPr>
                      <w:iCs/>
                      <w:sz w:val="20"/>
                    </w:rPr>
                  </w:pPr>
                  <w:r w:rsidRPr="003161DC">
                    <w:rPr>
                      <w:iCs/>
                      <w:sz w:val="20"/>
                    </w:rPr>
                    <w:t xml:space="preserve">A SCED interval in the 15-minute Settlement Interval.  The summation is over the total number of SCED runs that cover the 15-minute Settlement Interval.  </w:t>
                  </w:r>
                </w:p>
              </w:tc>
            </w:tr>
          </w:tbl>
          <w:p w14:paraId="08403DA0" w14:textId="115E9188" w:rsidR="00BB7F40" w:rsidRPr="00B37C4B" w:rsidRDefault="00BB7F40" w:rsidP="00EC5231">
            <w:pPr>
              <w:spacing w:after="240"/>
              <w:ind w:left="720" w:hanging="720"/>
            </w:pPr>
          </w:p>
        </w:tc>
      </w:tr>
    </w:tbl>
    <w:p w14:paraId="2A4909DF" w14:textId="151ED645" w:rsidR="00142F7A" w:rsidRPr="00510E47" w:rsidRDefault="00142F7A" w:rsidP="00142F7A">
      <w:pPr>
        <w:spacing w:before="240" w:after="240"/>
        <w:ind w:left="720" w:hanging="720"/>
      </w:pPr>
      <w:r w:rsidRPr="00510E47">
        <w:rPr>
          <w:iCs/>
        </w:rPr>
        <w:lastRenderedPageBreak/>
        <w:t>(2)</w:t>
      </w:r>
      <w:r w:rsidRPr="00510E47">
        <w:rPr>
          <w:iCs/>
        </w:rPr>
        <w:tab/>
        <w:t>The Real-Time Settlement Point Price at the logical Resource Node for a Combined Cycle Train shall be determined in accordance with paragraph (1) above using a Real-Time LMP calculated for the logical Resource Node in each SCED Interval as follows:</w:t>
      </w:r>
    </w:p>
    <w:p w14:paraId="4F0C7C23" w14:textId="77777777" w:rsidR="00142F7A" w:rsidRPr="00510E47" w:rsidRDefault="00142F7A" w:rsidP="00142F7A">
      <w:pPr>
        <w:spacing w:after="240"/>
        <w:ind w:left="1440" w:hanging="720"/>
        <w:rPr>
          <w:iCs/>
          <w:szCs w:val="24"/>
        </w:rPr>
      </w:pPr>
      <w:r w:rsidRPr="00510E47">
        <w:rPr>
          <w:iCs/>
          <w:szCs w:val="24"/>
        </w:rPr>
        <w:t>(a)</w:t>
      </w:r>
      <w:r w:rsidRPr="00510E47">
        <w:rPr>
          <w:iCs/>
          <w:szCs w:val="24"/>
        </w:rPr>
        <w:tab/>
      </w:r>
      <w:r w:rsidRPr="00510E47">
        <w:rPr>
          <w:szCs w:val="24"/>
        </w:rPr>
        <w:t>The</w:t>
      </w:r>
      <w:r w:rsidRPr="00510E47">
        <w:rPr>
          <w:iCs/>
          <w:szCs w:val="24"/>
        </w:rPr>
        <w:t xml:space="preserve"> Real-Time LMP for the logical Resource Node of a Combined Cycle Train for each SCED interval is calculated as follows:</w:t>
      </w:r>
    </w:p>
    <w:p w14:paraId="2D033989" w14:textId="77777777" w:rsidR="00142F7A" w:rsidRPr="00510E47" w:rsidRDefault="00142F7A" w:rsidP="00142F7A">
      <w:pPr>
        <w:spacing w:after="240"/>
        <w:ind w:left="1440"/>
        <w:rPr>
          <w:iCs/>
          <w:szCs w:val="24"/>
        </w:rPr>
      </w:pPr>
      <w:r w:rsidRPr="00510E47">
        <w:rPr>
          <w:iCs/>
          <w:szCs w:val="24"/>
        </w:rPr>
        <w:t>For a Combined Cycle Train that is On-Line in the SCED interval:</w:t>
      </w:r>
    </w:p>
    <w:p w14:paraId="6FC3090B" w14:textId="77777777" w:rsidR="00142F7A" w:rsidRPr="00510E47" w:rsidRDefault="00142F7A" w:rsidP="00142F7A">
      <w:pPr>
        <w:spacing w:after="240"/>
        <w:ind w:left="720" w:firstLine="720"/>
        <w:rPr>
          <w:iCs/>
        </w:rPr>
      </w:pPr>
      <w:r w:rsidRPr="00510E47">
        <w:rPr>
          <w:b/>
        </w:rPr>
        <w:t xml:space="preserve">RTLMP </w:t>
      </w:r>
      <w:r w:rsidRPr="00510E47">
        <w:rPr>
          <w:b/>
          <w:i/>
          <w:vertAlign w:val="subscript"/>
        </w:rPr>
        <w:t>y</w:t>
      </w:r>
      <w:r w:rsidRPr="00510E47">
        <w:rPr>
          <w:b/>
        </w:rPr>
        <w:t xml:space="preserve"> =</w:t>
      </w:r>
      <w:r w:rsidRPr="00510E47">
        <w:t xml:space="preserve"> </w:t>
      </w:r>
      <w:r w:rsidRPr="00510E47">
        <w:rPr>
          <w:b/>
        </w:rPr>
        <w:t>∑</w:t>
      </w:r>
      <w:r w:rsidRPr="00510E47">
        <w:rPr>
          <w:b/>
          <w:i/>
          <w:vertAlign w:val="subscript"/>
        </w:rPr>
        <w:t>CCGR_PhyR</w:t>
      </w:r>
      <w:r w:rsidRPr="00510E47">
        <w:rPr>
          <w:b/>
        </w:rPr>
        <w:t xml:space="preserve"> RTLMP </w:t>
      </w:r>
      <w:r w:rsidRPr="00510E47">
        <w:rPr>
          <w:b/>
          <w:i/>
          <w:vertAlign w:val="subscript"/>
        </w:rPr>
        <w:t>CCGR_PhyR, y</w:t>
      </w:r>
      <w:r w:rsidRPr="00510E47">
        <w:rPr>
          <w:b/>
        </w:rPr>
        <w:t xml:space="preserve"> * RTONCCGRWF </w:t>
      </w:r>
      <w:r w:rsidRPr="00510E47">
        <w:rPr>
          <w:b/>
          <w:i/>
          <w:vertAlign w:val="subscript"/>
        </w:rPr>
        <w:t>CCGR_PhyR</w:t>
      </w:r>
    </w:p>
    <w:p w14:paraId="283EE7C1" w14:textId="77777777" w:rsidR="00142F7A" w:rsidRPr="00510E47" w:rsidRDefault="00142F7A" w:rsidP="00142F7A">
      <w:pPr>
        <w:spacing w:after="240"/>
        <w:ind w:left="1440"/>
        <w:rPr>
          <w:iCs/>
          <w:szCs w:val="24"/>
        </w:rPr>
      </w:pPr>
      <w:r w:rsidRPr="00510E47">
        <w:rPr>
          <w:iCs/>
          <w:szCs w:val="24"/>
        </w:rPr>
        <w:t xml:space="preserve">For a Combined Cycle Train that is Off-Line in the SCED interval: </w:t>
      </w:r>
    </w:p>
    <w:p w14:paraId="104D9B3A" w14:textId="77777777" w:rsidR="00142F7A" w:rsidRPr="00510E47" w:rsidRDefault="00142F7A" w:rsidP="00142F7A">
      <w:pPr>
        <w:spacing w:after="240"/>
        <w:ind w:left="720" w:firstLine="720"/>
        <w:rPr>
          <w:iCs/>
        </w:rPr>
      </w:pPr>
      <w:r w:rsidRPr="00510E47">
        <w:rPr>
          <w:b/>
        </w:rPr>
        <w:t xml:space="preserve">RTLMP </w:t>
      </w:r>
      <w:r w:rsidRPr="00510E47">
        <w:rPr>
          <w:b/>
          <w:i/>
          <w:vertAlign w:val="subscript"/>
        </w:rPr>
        <w:t>y</w:t>
      </w:r>
      <w:r w:rsidRPr="00510E47">
        <w:rPr>
          <w:b/>
        </w:rPr>
        <w:t xml:space="preserve"> =</w:t>
      </w:r>
      <w:r w:rsidRPr="00510E47">
        <w:t xml:space="preserve"> </w:t>
      </w:r>
      <w:r w:rsidRPr="00510E47">
        <w:rPr>
          <w:b/>
        </w:rPr>
        <w:t>∑</w:t>
      </w:r>
      <w:r w:rsidRPr="00510E47">
        <w:rPr>
          <w:b/>
          <w:i/>
          <w:vertAlign w:val="subscript"/>
        </w:rPr>
        <w:t>CCT_PhyR</w:t>
      </w:r>
      <w:r w:rsidRPr="00510E47">
        <w:rPr>
          <w:b/>
        </w:rPr>
        <w:t xml:space="preserve"> RTLMP </w:t>
      </w:r>
      <w:r w:rsidRPr="00510E47">
        <w:rPr>
          <w:b/>
          <w:i/>
          <w:vertAlign w:val="subscript"/>
        </w:rPr>
        <w:t>CCT_PhyR, y</w:t>
      </w:r>
      <w:r w:rsidRPr="00510E47">
        <w:rPr>
          <w:b/>
        </w:rPr>
        <w:t xml:space="preserve"> * RTOFFCCGRWF </w:t>
      </w:r>
      <w:r w:rsidRPr="00510E47">
        <w:rPr>
          <w:b/>
          <w:i/>
          <w:vertAlign w:val="subscript"/>
        </w:rPr>
        <w:t>CCT_PhyR</w:t>
      </w:r>
    </w:p>
    <w:p w14:paraId="0C48B7D2" w14:textId="77777777" w:rsidR="00142F7A" w:rsidRPr="00510E47" w:rsidRDefault="00142F7A" w:rsidP="00142F7A">
      <w:pPr>
        <w:rPr>
          <w:b/>
          <w:szCs w:val="24"/>
        </w:rPr>
      </w:pPr>
      <w:r w:rsidRPr="00510E47">
        <w:rPr>
          <w:szCs w:val="24"/>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1"/>
        <w:gridCol w:w="839"/>
        <w:gridCol w:w="6010"/>
      </w:tblGrid>
      <w:tr w:rsidR="00142F7A" w:rsidRPr="00D67E3B" w14:paraId="393C2C07" w14:textId="77777777" w:rsidTr="00F12CF4">
        <w:tc>
          <w:tcPr>
            <w:tcW w:w="2535" w:type="dxa"/>
          </w:tcPr>
          <w:p w14:paraId="5CC0AC29" w14:textId="77777777" w:rsidR="00142F7A" w:rsidRDefault="00142F7A" w:rsidP="00F12CF4">
            <w:pPr>
              <w:spacing w:after="120"/>
              <w:rPr>
                <w:b/>
              </w:rPr>
            </w:pPr>
            <w:r w:rsidRPr="00314B3D">
              <w:rPr>
                <w:b/>
                <w:iCs/>
                <w:sz w:val="20"/>
              </w:rPr>
              <w:t>Variable</w:t>
            </w:r>
          </w:p>
        </w:tc>
        <w:tc>
          <w:tcPr>
            <w:tcW w:w="839" w:type="dxa"/>
          </w:tcPr>
          <w:p w14:paraId="66997590" w14:textId="77777777" w:rsidR="00142F7A" w:rsidRDefault="00142F7A" w:rsidP="00F12CF4">
            <w:pPr>
              <w:spacing w:after="120"/>
              <w:rPr>
                <w:b/>
              </w:rPr>
            </w:pPr>
            <w:r w:rsidRPr="007A7509">
              <w:rPr>
                <w:b/>
                <w:iCs/>
                <w:sz w:val="20"/>
              </w:rPr>
              <w:t>Unit</w:t>
            </w:r>
          </w:p>
        </w:tc>
        <w:tc>
          <w:tcPr>
            <w:tcW w:w="6202" w:type="dxa"/>
          </w:tcPr>
          <w:p w14:paraId="283FF8E5" w14:textId="77777777" w:rsidR="00142F7A" w:rsidRDefault="00142F7A" w:rsidP="00F12CF4">
            <w:pPr>
              <w:spacing w:after="120"/>
              <w:rPr>
                <w:b/>
              </w:rPr>
            </w:pPr>
            <w:r w:rsidRPr="00314B3D">
              <w:rPr>
                <w:b/>
                <w:iCs/>
                <w:sz w:val="20"/>
              </w:rPr>
              <w:t>Definition</w:t>
            </w:r>
          </w:p>
        </w:tc>
      </w:tr>
      <w:tr w:rsidR="00142F7A" w:rsidRPr="00D67E3B" w14:paraId="4B9CF9F2" w14:textId="77777777" w:rsidTr="00F12CF4">
        <w:tc>
          <w:tcPr>
            <w:tcW w:w="2535" w:type="dxa"/>
          </w:tcPr>
          <w:p w14:paraId="5471E348" w14:textId="77777777" w:rsidR="00142F7A" w:rsidRPr="007A7509" w:rsidRDefault="00142F7A" w:rsidP="00F12CF4">
            <w:pPr>
              <w:rPr>
                <w:sz w:val="20"/>
              </w:rPr>
            </w:pPr>
            <w:r w:rsidRPr="00314B3D">
              <w:rPr>
                <w:sz w:val="20"/>
              </w:rPr>
              <w:t>RTLMP</w:t>
            </w:r>
            <w:r>
              <w:rPr>
                <w:sz w:val="20"/>
              </w:rPr>
              <w:t xml:space="preserve"> </w:t>
            </w:r>
            <w:r w:rsidRPr="00CC16D4">
              <w:rPr>
                <w:i/>
                <w:sz w:val="20"/>
                <w:vertAlign w:val="subscript"/>
              </w:rPr>
              <w:t>y</w:t>
            </w:r>
          </w:p>
        </w:tc>
        <w:tc>
          <w:tcPr>
            <w:tcW w:w="839" w:type="dxa"/>
          </w:tcPr>
          <w:p w14:paraId="302919B9" w14:textId="77777777" w:rsidR="00142F7A" w:rsidRPr="007A7509" w:rsidRDefault="00142F7A" w:rsidP="00F12CF4">
            <w:pPr>
              <w:rPr>
                <w:sz w:val="20"/>
              </w:rPr>
            </w:pPr>
            <w:r w:rsidRPr="00314B3D">
              <w:rPr>
                <w:sz w:val="20"/>
              </w:rPr>
              <w:t>$/MWh</w:t>
            </w:r>
          </w:p>
        </w:tc>
        <w:tc>
          <w:tcPr>
            <w:tcW w:w="6202" w:type="dxa"/>
          </w:tcPr>
          <w:p w14:paraId="33CC9C82" w14:textId="77777777" w:rsidR="00142F7A" w:rsidRPr="007A7509" w:rsidRDefault="00142F7A" w:rsidP="00C43DB8">
            <w:pPr>
              <w:spacing w:after="60"/>
              <w:rPr>
                <w:sz w:val="20"/>
              </w:rPr>
            </w:pPr>
            <w:r w:rsidRPr="00314B3D">
              <w:rPr>
                <w:i/>
                <w:sz w:val="20"/>
              </w:rPr>
              <w:t>Real-Time Locational Marginal Price at a logical Resource Node for a Combined Cycle Train</w:t>
            </w:r>
            <w:r w:rsidRPr="008C1469">
              <w:rPr>
                <w:iCs/>
                <w:sz w:val="20"/>
              </w:rPr>
              <w:sym w:font="Symbol" w:char="F0BE"/>
            </w:r>
            <w:r w:rsidRPr="00314B3D">
              <w:rPr>
                <w:sz w:val="20"/>
              </w:rPr>
              <w:t xml:space="preserve">The </w:t>
            </w:r>
            <w:r>
              <w:rPr>
                <w:sz w:val="20"/>
              </w:rPr>
              <w:t xml:space="preserve">Real-Time </w:t>
            </w:r>
            <w:r w:rsidRPr="00314B3D">
              <w:rPr>
                <w:sz w:val="20"/>
              </w:rPr>
              <w:t>LMP</w:t>
            </w:r>
            <w:r>
              <w:rPr>
                <w:sz w:val="20"/>
              </w:rPr>
              <w:t xml:space="preserve"> </w:t>
            </w:r>
            <w:r w:rsidRPr="00314B3D">
              <w:rPr>
                <w:sz w:val="20"/>
              </w:rPr>
              <w:t xml:space="preserve">at the Combined Cycle Generation Resource logical Resource Node for a SCED </w:t>
            </w:r>
            <w:r>
              <w:rPr>
                <w:sz w:val="20"/>
              </w:rPr>
              <w:t>i</w:t>
            </w:r>
            <w:r w:rsidRPr="00314B3D">
              <w:rPr>
                <w:sz w:val="20"/>
              </w:rPr>
              <w:t>nterval</w:t>
            </w:r>
            <w:r w:rsidRPr="00E955E4">
              <w:rPr>
                <w:sz w:val="20"/>
              </w:rPr>
              <w:t xml:space="preserve"> </w:t>
            </w:r>
            <w:r w:rsidRPr="00E955E4">
              <w:rPr>
                <w:i/>
                <w:sz w:val="20"/>
              </w:rPr>
              <w:t>y</w:t>
            </w:r>
            <w:r w:rsidRPr="00314B3D">
              <w:rPr>
                <w:sz w:val="20"/>
              </w:rPr>
              <w:t>.</w:t>
            </w:r>
          </w:p>
        </w:tc>
      </w:tr>
      <w:tr w:rsidR="00142F7A" w:rsidRPr="00D67E3B" w:rsidDel="008E5215" w14:paraId="53E01885" w14:textId="77777777" w:rsidTr="00F12CF4">
        <w:tc>
          <w:tcPr>
            <w:tcW w:w="2535" w:type="dxa"/>
          </w:tcPr>
          <w:p w14:paraId="602DA722" w14:textId="77777777" w:rsidR="00142F7A" w:rsidRPr="00E955E4" w:rsidDel="008E5215" w:rsidRDefault="00142F7A" w:rsidP="00F12CF4">
            <w:pPr>
              <w:rPr>
                <w:sz w:val="20"/>
              </w:rPr>
            </w:pPr>
            <w:r w:rsidRPr="00314B3D">
              <w:rPr>
                <w:sz w:val="20"/>
              </w:rPr>
              <w:t>RTLMP</w:t>
            </w:r>
            <w:r>
              <w:rPr>
                <w:sz w:val="20"/>
              </w:rPr>
              <w:t xml:space="preserve"> </w:t>
            </w:r>
            <w:r w:rsidRPr="00314B3D">
              <w:rPr>
                <w:i/>
                <w:sz w:val="20"/>
                <w:vertAlign w:val="subscript"/>
              </w:rPr>
              <w:t>CC</w:t>
            </w:r>
            <w:r>
              <w:rPr>
                <w:i/>
                <w:sz w:val="20"/>
                <w:vertAlign w:val="subscript"/>
              </w:rPr>
              <w:t>GR</w:t>
            </w:r>
            <w:r w:rsidRPr="00314B3D">
              <w:rPr>
                <w:i/>
                <w:sz w:val="20"/>
                <w:vertAlign w:val="subscript"/>
              </w:rPr>
              <w:t>_PhyR</w:t>
            </w:r>
            <w:r>
              <w:rPr>
                <w:i/>
                <w:sz w:val="20"/>
                <w:vertAlign w:val="subscript"/>
              </w:rPr>
              <w:t>, y</w:t>
            </w:r>
          </w:p>
        </w:tc>
        <w:tc>
          <w:tcPr>
            <w:tcW w:w="839" w:type="dxa"/>
          </w:tcPr>
          <w:p w14:paraId="5271A49C" w14:textId="77777777" w:rsidR="00142F7A" w:rsidRPr="00E955E4" w:rsidDel="008E5215" w:rsidRDefault="00142F7A" w:rsidP="00F12CF4">
            <w:pPr>
              <w:rPr>
                <w:sz w:val="20"/>
              </w:rPr>
            </w:pPr>
            <w:r w:rsidRPr="00314B3D">
              <w:rPr>
                <w:sz w:val="20"/>
              </w:rPr>
              <w:t>$/MWh</w:t>
            </w:r>
          </w:p>
        </w:tc>
        <w:tc>
          <w:tcPr>
            <w:tcW w:w="6202" w:type="dxa"/>
          </w:tcPr>
          <w:p w14:paraId="6CC4C5AB" w14:textId="77777777" w:rsidR="00142F7A" w:rsidRPr="00E955E4" w:rsidDel="008E5215" w:rsidRDefault="00142F7A" w:rsidP="00C43DB8">
            <w:pPr>
              <w:spacing w:after="60"/>
              <w:rPr>
                <w:i/>
                <w:sz w:val="20"/>
              </w:rPr>
            </w:pPr>
            <w:r w:rsidRPr="00314B3D">
              <w:rPr>
                <w:i/>
                <w:sz w:val="20"/>
              </w:rPr>
              <w:t xml:space="preserve">Real-Time Locational Marginal Price at a generation unit Resource Node </w:t>
            </w:r>
            <w:r>
              <w:rPr>
                <w:i/>
                <w:sz w:val="20"/>
              </w:rPr>
              <w:t xml:space="preserve">designated in a </w:t>
            </w:r>
            <w:r w:rsidRPr="00314B3D">
              <w:rPr>
                <w:i/>
                <w:sz w:val="20"/>
              </w:rPr>
              <w:t xml:space="preserve">Combined Cycle </w:t>
            </w:r>
            <w:r>
              <w:rPr>
                <w:i/>
                <w:sz w:val="20"/>
              </w:rPr>
              <w:t>Train registration for the On-Line Combined Cycle Generation Resource</w:t>
            </w:r>
            <w:r w:rsidRPr="008C1469">
              <w:rPr>
                <w:iCs/>
                <w:sz w:val="20"/>
              </w:rPr>
              <w:sym w:font="Symbol" w:char="F0BE"/>
            </w:r>
            <w:r w:rsidRPr="00314B3D">
              <w:rPr>
                <w:sz w:val="20"/>
              </w:rPr>
              <w:t>The Real-Time LMP at the Resource Node of a generation unit designate</w:t>
            </w:r>
            <w:r>
              <w:rPr>
                <w:sz w:val="20"/>
              </w:rPr>
              <w:t>d</w:t>
            </w:r>
            <w:r w:rsidRPr="00314B3D">
              <w:rPr>
                <w:sz w:val="20"/>
              </w:rPr>
              <w:t xml:space="preserve"> in </w:t>
            </w:r>
            <w:r>
              <w:rPr>
                <w:sz w:val="20"/>
              </w:rPr>
              <w:t>a</w:t>
            </w:r>
            <w:r w:rsidRPr="00314B3D">
              <w:rPr>
                <w:sz w:val="20"/>
              </w:rPr>
              <w:t xml:space="preserve"> Combined Cycle Train registration for the </w:t>
            </w:r>
            <w:r>
              <w:rPr>
                <w:sz w:val="20"/>
              </w:rPr>
              <w:t xml:space="preserve">On-Line </w:t>
            </w:r>
            <w:r w:rsidRPr="00314B3D">
              <w:rPr>
                <w:sz w:val="20"/>
              </w:rPr>
              <w:t>Combined Cycle Generation Resource</w:t>
            </w:r>
            <w:r>
              <w:rPr>
                <w:sz w:val="20"/>
              </w:rPr>
              <w:t xml:space="preserve"> </w:t>
            </w:r>
            <w:r w:rsidRPr="00314B3D">
              <w:rPr>
                <w:sz w:val="20"/>
              </w:rPr>
              <w:t>for the SCED interval</w:t>
            </w:r>
            <w:r w:rsidRPr="00E955E4">
              <w:rPr>
                <w:i/>
                <w:sz w:val="20"/>
              </w:rPr>
              <w:t xml:space="preserve"> y</w:t>
            </w:r>
            <w:r w:rsidRPr="00314B3D">
              <w:rPr>
                <w:sz w:val="20"/>
              </w:rPr>
              <w:t>.</w:t>
            </w:r>
          </w:p>
        </w:tc>
      </w:tr>
      <w:tr w:rsidR="00142F7A" w:rsidRPr="00D67E3B" w14:paraId="581E8152" w14:textId="77777777" w:rsidTr="00F12CF4">
        <w:tc>
          <w:tcPr>
            <w:tcW w:w="2535" w:type="dxa"/>
          </w:tcPr>
          <w:p w14:paraId="571999A1" w14:textId="77777777" w:rsidR="00142F7A" w:rsidRPr="007A7509" w:rsidRDefault="00142F7A" w:rsidP="00F12CF4">
            <w:pPr>
              <w:rPr>
                <w:i/>
                <w:sz w:val="20"/>
                <w:vertAlign w:val="subscript"/>
              </w:rPr>
            </w:pPr>
            <w:r w:rsidRPr="00314B3D">
              <w:rPr>
                <w:sz w:val="20"/>
              </w:rPr>
              <w:t>RTLMP</w:t>
            </w:r>
            <w:r>
              <w:rPr>
                <w:sz w:val="20"/>
              </w:rPr>
              <w:t xml:space="preserve"> </w:t>
            </w:r>
            <w:r w:rsidRPr="00314B3D">
              <w:rPr>
                <w:i/>
                <w:sz w:val="20"/>
                <w:vertAlign w:val="subscript"/>
              </w:rPr>
              <w:t>CC</w:t>
            </w:r>
            <w:r>
              <w:rPr>
                <w:i/>
                <w:sz w:val="20"/>
                <w:vertAlign w:val="subscript"/>
              </w:rPr>
              <w:t>T</w:t>
            </w:r>
            <w:r w:rsidRPr="00314B3D">
              <w:rPr>
                <w:i/>
                <w:sz w:val="20"/>
                <w:vertAlign w:val="subscript"/>
              </w:rPr>
              <w:t>_PhyR</w:t>
            </w:r>
            <w:r>
              <w:rPr>
                <w:i/>
                <w:sz w:val="20"/>
                <w:vertAlign w:val="subscript"/>
              </w:rPr>
              <w:t>, y</w:t>
            </w:r>
          </w:p>
        </w:tc>
        <w:tc>
          <w:tcPr>
            <w:tcW w:w="839" w:type="dxa"/>
          </w:tcPr>
          <w:p w14:paraId="0C27A43C" w14:textId="77777777" w:rsidR="00142F7A" w:rsidRPr="007A7509" w:rsidRDefault="00142F7A" w:rsidP="00F12CF4">
            <w:pPr>
              <w:rPr>
                <w:sz w:val="20"/>
              </w:rPr>
            </w:pPr>
            <w:r w:rsidRPr="00314B3D">
              <w:rPr>
                <w:sz w:val="20"/>
              </w:rPr>
              <w:t>$/MWh</w:t>
            </w:r>
          </w:p>
        </w:tc>
        <w:tc>
          <w:tcPr>
            <w:tcW w:w="6202" w:type="dxa"/>
          </w:tcPr>
          <w:p w14:paraId="67D4571A" w14:textId="77777777" w:rsidR="00142F7A" w:rsidRPr="007A7509" w:rsidRDefault="00142F7A" w:rsidP="00C43DB8">
            <w:pPr>
              <w:spacing w:after="60"/>
              <w:rPr>
                <w:sz w:val="20"/>
              </w:rPr>
            </w:pPr>
            <w:r w:rsidRPr="00314B3D">
              <w:rPr>
                <w:i/>
                <w:sz w:val="20"/>
              </w:rPr>
              <w:t xml:space="preserve">Real-Time Locational Marginal Price at a generation unit Resource Node registered to the Combined Cycle </w:t>
            </w:r>
            <w:r>
              <w:rPr>
                <w:i/>
                <w:sz w:val="20"/>
              </w:rPr>
              <w:t>Train</w:t>
            </w:r>
            <w:r w:rsidRPr="008C1469">
              <w:rPr>
                <w:iCs/>
                <w:sz w:val="20"/>
              </w:rPr>
              <w:sym w:font="Symbol" w:char="F0BE"/>
            </w:r>
            <w:r w:rsidRPr="00314B3D">
              <w:rPr>
                <w:sz w:val="20"/>
              </w:rPr>
              <w:t>The Real-Time LMP at the Resource Node of a generation unit designate</w:t>
            </w:r>
            <w:r>
              <w:rPr>
                <w:sz w:val="20"/>
              </w:rPr>
              <w:t>d</w:t>
            </w:r>
            <w:r w:rsidRPr="00314B3D">
              <w:rPr>
                <w:sz w:val="20"/>
              </w:rPr>
              <w:t xml:space="preserve"> in </w:t>
            </w:r>
            <w:r>
              <w:rPr>
                <w:sz w:val="20"/>
              </w:rPr>
              <w:t>a</w:t>
            </w:r>
            <w:r w:rsidRPr="00314B3D">
              <w:rPr>
                <w:sz w:val="20"/>
              </w:rPr>
              <w:t xml:space="preserve"> Combined Cycle Train registration for the SCED interval</w:t>
            </w:r>
            <w:r w:rsidRPr="00E955E4">
              <w:rPr>
                <w:i/>
                <w:sz w:val="20"/>
              </w:rPr>
              <w:t xml:space="preserve"> y</w:t>
            </w:r>
            <w:r w:rsidRPr="00314B3D">
              <w:rPr>
                <w:sz w:val="20"/>
              </w:rPr>
              <w:t>.</w:t>
            </w:r>
          </w:p>
        </w:tc>
      </w:tr>
      <w:tr w:rsidR="00142F7A" w:rsidRPr="00D67E3B" w14:paraId="0A65B28C" w14:textId="77777777" w:rsidTr="00F12CF4">
        <w:tc>
          <w:tcPr>
            <w:tcW w:w="2535" w:type="dxa"/>
          </w:tcPr>
          <w:p w14:paraId="255410D1" w14:textId="77777777" w:rsidR="00142F7A" w:rsidRPr="007A7509" w:rsidRDefault="00142F7A" w:rsidP="00F12CF4">
            <w:pPr>
              <w:rPr>
                <w:i/>
                <w:sz w:val="20"/>
                <w:vertAlign w:val="subscript"/>
              </w:rPr>
            </w:pPr>
            <w:r w:rsidRPr="00314B3D">
              <w:rPr>
                <w:sz w:val="20"/>
              </w:rPr>
              <w:t>RT</w:t>
            </w:r>
            <w:r>
              <w:rPr>
                <w:sz w:val="20"/>
              </w:rPr>
              <w:t>ON</w:t>
            </w:r>
            <w:r w:rsidRPr="00314B3D">
              <w:rPr>
                <w:sz w:val="20"/>
              </w:rPr>
              <w:t>CCGRWF</w:t>
            </w:r>
            <w:r>
              <w:rPr>
                <w:sz w:val="20"/>
              </w:rPr>
              <w:t xml:space="preserve"> </w:t>
            </w:r>
            <w:r w:rsidRPr="00314B3D">
              <w:rPr>
                <w:i/>
                <w:sz w:val="20"/>
                <w:vertAlign w:val="subscript"/>
              </w:rPr>
              <w:t>CCGR_PhyR</w:t>
            </w:r>
            <w:r>
              <w:rPr>
                <w:i/>
                <w:sz w:val="20"/>
                <w:vertAlign w:val="subscript"/>
              </w:rPr>
              <w:t>, y</w:t>
            </w:r>
          </w:p>
        </w:tc>
        <w:tc>
          <w:tcPr>
            <w:tcW w:w="839" w:type="dxa"/>
          </w:tcPr>
          <w:p w14:paraId="2515D63A" w14:textId="77777777" w:rsidR="00142F7A" w:rsidRPr="007A7509" w:rsidRDefault="00142F7A" w:rsidP="00F12CF4">
            <w:pPr>
              <w:rPr>
                <w:sz w:val="20"/>
              </w:rPr>
            </w:pPr>
            <w:r w:rsidRPr="00314B3D">
              <w:rPr>
                <w:sz w:val="20"/>
              </w:rPr>
              <w:t>none</w:t>
            </w:r>
          </w:p>
        </w:tc>
        <w:tc>
          <w:tcPr>
            <w:tcW w:w="6202" w:type="dxa"/>
          </w:tcPr>
          <w:p w14:paraId="51C840AB" w14:textId="77777777" w:rsidR="00142F7A" w:rsidRPr="007A7509" w:rsidRDefault="00142F7A" w:rsidP="00C43DB8">
            <w:pPr>
              <w:spacing w:after="60"/>
              <w:rPr>
                <w:sz w:val="20"/>
              </w:rPr>
            </w:pPr>
            <w:r w:rsidRPr="00314B3D">
              <w:rPr>
                <w:i/>
                <w:sz w:val="20"/>
              </w:rPr>
              <w:t xml:space="preserve">Real-Time </w:t>
            </w:r>
            <w:r>
              <w:rPr>
                <w:i/>
                <w:sz w:val="20"/>
              </w:rPr>
              <w:t xml:space="preserve">On-Line </w:t>
            </w:r>
            <w:r w:rsidRPr="00314B3D">
              <w:rPr>
                <w:i/>
                <w:sz w:val="20"/>
              </w:rPr>
              <w:t>Combined Cycle Generation Resource Weighting Factor</w:t>
            </w:r>
            <w:r w:rsidRPr="008C1469">
              <w:rPr>
                <w:iCs/>
                <w:sz w:val="20"/>
              </w:rPr>
              <w:sym w:font="Symbol" w:char="F0BE"/>
            </w:r>
            <w:r w:rsidRPr="00314B3D">
              <w:rPr>
                <w:sz w:val="20"/>
              </w:rPr>
              <w:t xml:space="preserve">The Real Time </w:t>
            </w:r>
            <w:r>
              <w:rPr>
                <w:sz w:val="20"/>
              </w:rPr>
              <w:t>Combined Cycle Generation Resource</w:t>
            </w:r>
            <w:r w:rsidRPr="00314B3D">
              <w:rPr>
                <w:sz w:val="20"/>
              </w:rPr>
              <w:t xml:space="preserve"> weighting factor for a </w:t>
            </w:r>
            <w:r>
              <w:rPr>
                <w:sz w:val="20"/>
              </w:rPr>
              <w:t>g</w:t>
            </w:r>
            <w:r w:rsidRPr="00314B3D">
              <w:rPr>
                <w:sz w:val="20"/>
              </w:rPr>
              <w:t xml:space="preserve">eneration unit designated in a Combined Cycle Train registration for the </w:t>
            </w:r>
            <w:r>
              <w:rPr>
                <w:sz w:val="20"/>
              </w:rPr>
              <w:t xml:space="preserve">On-Line </w:t>
            </w:r>
            <w:r w:rsidRPr="00314B3D">
              <w:rPr>
                <w:sz w:val="20"/>
              </w:rPr>
              <w:t>Combined Cycle Generation Resource</w:t>
            </w:r>
            <w:r>
              <w:rPr>
                <w:sz w:val="20"/>
              </w:rPr>
              <w:t xml:space="preserve"> for the SCED interval </w:t>
            </w:r>
            <w:r w:rsidRPr="00CC16D4">
              <w:rPr>
                <w:i/>
                <w:sz w:val="20"/>
              </w:rPr>
              <w:t>y</w:t>
            </w:r>
            <w:r w:rsidRPr="00314B3D">
              <w:rPr>
                <w:sz w:val="20"/>
              </w:rPr>
              <w:t>.</w:t>
            </w:r>
          </w:p>
        </w:tc>
      </w:tr>
      <w:tr w:rsidR="00142F7A" w:rsidRPr="00D67E3B" w14:paraId="44C590BF" w14:textId="77777777" w:rsidTr="00F12CF4">
        <w:tc>
          <w:tcPr>
            <w:tcW w:w="2535" w:type="dxa"/>
          </w:tcPr>
          <w:p w14:paraId="7A7F50D7" w14:textId="77777777" w:rsidR="00142F7A" w:rsidRPr="00314B3D" w:rsidRDefault="00142F7A" w:rsidP="00F12CF4">
            <w:pPr>
              <w:rPr>
                <w:sz w:val="20"/>
              </w:rPr>
            </w:pPr>
            <w:r w:rsidRPr="00314B3D">
              <w:rPr>
                <w:sz w:val="20"/>
              </w:rPr>
              <w:t>RT</w:t>
            </w:r>
            <w:r>
              <w:rPr>
                <w:sz w:val="20"/>
              </w:rPr>
              <w:t>OFF</w:t>
            </w:r>
            <w:r w:rsidRPr="00314B3D">
              <w:rPr>
                <w:sz w:val="20"/>
              </w:rPr>
              <w:t>CCGRWF</w:t>
            </w:r>
            <w:r>
              <w:rPr>
                <w:sz w:val="20"/>
              </w:rPr>
              <w:t xml:space="preserve"> </w:t>
            </w:r>
            <w:r w:rsidRPr="00314B3D">
              <w:rPr>
                <w:i/>
                <w:sz w:val="20"/>
                <w:vertAlign w:val="subscript"/>
              </w:rPr>
              <w:t>CC</w:t>
            </w:r>
            <w:r>
              <w:rPr>
                <w:i/>
                <w:sz w:val="20"/>
                <w:vertAlign w:val="subscript"/>
              </w:rPr>
              <w:t>T</w:t>
            </w:r>
            <w:r w:rsidRPr="00314B3D">
              <w:rPr>
                <w:i/>
                <w:sz w:val="20"/>
                <w:vertAlign w:val="subscript"/>
              </w:rPr>
              <w:t>_PhyR</w:t>
            </w:r>
            <w:r>
              <w:rPr>
                <w:i/>
                <w:sz w:val="20"/>
                <w:vertAlign w:val="subscript"/>
              </w:rPr>
              <w:t>, y</w:t>
            </w:r>
          </w:p>
        </w:tc>
        <w:tc>
          <w:tcPr>
            <w:tcW w:w="839" w:type="dxa"/>
          </w:tcPr>
          <w:p w14:paraId="014D39DA" w14:textId="77777777" w:rsidR="00142F7A" w:rsidRPr="00314B3D" w:rsidRDefault="00142F7A" w:rsidP="00F12CF4">
            <w:pPr>
              <w:rPr>
                <w:sz w:val="20"/>
              </w:rPr>
            </w:pPr>
            <w:r w:rsidRPr="00314B3D">
              <w:rPr>
                <w:sz w:val="20"/>
              </w:rPr>
              <w:t>none</w:t>
            </w:r>
          </w:p>
        </w:tc>
        <w:tc>
          <w:tcPr>
            <w:tcW w:w="6202" w:type="dxa"/>
          </w:tcPr>
          <w:p w14:paraId="0AB1097C" w14:textId="77777777" w:rsidR="00142F7A" w:rsidRPr="00314B3D" w:rsidRDefault="00142F7A" w:rsidP="00C43DB8">
            <w:pPr>
              <w:spacing w:after="60"/>
              <w:rPr>
                <w:i/>
                <w:sz w:val="20"/>
              </w:rPr>
            </w:pPr>
            <w:r w:rsidRPr="00314B3D">
              <w:rPr>
                <w:i/>
                <w:sz w:val="20"/>
              </w:rPr>
              <w:t xml:space="preserve">Real-Time </w:t>
            </w:r>
            <w:r>
              <w:rPr>
                <w:i/>
                <w:sz w:val="20"/>
              </w:rPr>
              <w:t xml:space="preserve">Off-Line </w:t>
            </w:r>
            <w:r w:rsidRPr="00314B3D">
              <w:rPr>
                <w:i/>
                <w:sz w:val="20"/>
              </w:rPr>
              <w:t>Combined Cycle Generation Resource Weighting Factor</w:t>
            </w:r>
            <w:r w:rsidRPr="008C1469">
              <w:rPr>
                <w:iCs/>
                <w:sz w:val="20"/>
              </w:rPr>
              <w:sym w:font="Symbol" w:char="F0BE"/>
            </w:r>
            <w:r>
              <w:rPr>
                <w:sz w:val="20"/>
              </w:rPr>
              <w:t>The Real-</w:t>
            </w:r>
            <w:r w:rsidRPr="00314B3D">
              <w:rPr>
                <w:sz w:val="20"/>
              </w:rPr>
              <w:t xml:space="preserve">Time </w:t>
            </w:r>
            <w:r w:rsidRPr="00C47DCB">
              <w:rPr>
                <w:sz w:val="20"/>
              </w:rPr>
              <w:t xml:space="preserve">Combined Cycle Generation Resource </w:t>
            </w:r>
            <w:r w:rsidRPr="00314B3D">
              <w:rPr>
                <w:sz w:val="20"/>
              </w:rPr>
              <w:t xml:space="preserve">weighting factor for a </w:t>
            </w:r>
            <w:r>
              <w:rPr>
                <w:sz w:val="20"/>
              </w:rPr>
              <w:t>g</w:t>
            </w:r>
            <w:r w:rsidRPr="00314B3D">
              <w:rPr>
                <w:sz w:val="20"/>
              </w:rPr>
              <w:t xml:space="preserve">eneration unit designated in a Combined Cycle Train registration </w:t>
            </w:r>
            <w:r>
              <w:rPr>
                <w:sz w:val="20"/>
              </w:rPr>
              <w:t>when the whole Combined Cycle Train is Off-Line</w:t>
            </w:r>
            <w:r w:rsidRPr="00B456AC">
              <w:rPr>
                <w:sz w:val="20"/>
              </w:rPr>
              <w:t xml:space="preserve"> for the SCED interval</w:t>
            </w:r>
            <w:r w:rsidRPr="00316DEE">
              <w:rPr>
                <w:i/>
                <w:sz w:val="20"/>
              </w:rPr>
              <w:t xml:space="preserve"> y</w:t>
            </w:r>
            <w:r w:rsidRPr="00314B3D">
              <w:rPr>
                <w:sz w:val="20"/>
              </w:rPr>
              <w:t>.</w:t>
            </w:r>
          </w:p>
        </w:tc>
      </w:tr>
      <w:tr w:rsidR="00142F7A" w:rsidRPr="00D67E3B" w14:paraId="53B73C1B" w14:textId="77777777" w:rsidTr="00F12CF4">
        <w:tc>
          <w:tcPr>
            <w:tcW w:w="2535" w:type="dxa"/>
          </w:tcPr>
          <w:p w14:paraId="6A4EC54A" w14:textId="77777777" w:rsidR="00142F7A" w:rsidRPr="007A7509" w:rsidRDefault="00142F7A" w:rsidP="00F12CF4">
            <w:pPr>
              <w:rPr>
                <w:sz w:val="20"/>
              </w:rPr>
            </w:pPr>
            <w:r w:rsidRPr="00314B3D">
              <w:rPr>
                <w:i/>
                <w:sz w:val="20"/>
              </w:rPr>
              <w:t>CCGR_PhyR</w:t>
            </w:r>
          </w:p>
        </w:tc>
        <w:tc>
          <w:tcPr>
            <w:tcW w:w="839" w:type="dxa"/>
          </w:tcPr>
          <w:p w14:paraId="6AF39E91" w14:textId="77777777" w:rsidR="00142F7A" w:rsidRPr="007A7509" w:rsidRDefault="00142F7A" w:rsidP="00F12CF4">
            <w:pPr>
              <w:rPr>
                <w:sz w:val="20"/>
              </w:rPr>
            </w:pPr>
            <w:r w:rsidRPr="00314B3D">
              <w:rPr>
                <w:sz w:val="20"/>
              </w:rPr>
              <w:t>none</w:t>
            </w:r>
          </w:p>
        </w:tc>
        <w:tc>
          <w:tcPr>
            <w:tcW w:w="6202" w:type="dxa"/>
          </w:tcPr>
          <w:p w14:paraId="1F171617" w14:textId="77777777" w:rsidR="00142F7A" w:rsidRPr="007A7509" w:rsidRDefault="00142F7A" w:rsidP="00C43DB8">
            <w:pPr>
              <w:spacing w:after="60"/>
              <w:rPr>
                <w:sz w:val="20"/>
              </w:rPr>
            </w:pPr>
            <w:r w:rsidRPr="00314B3D">
              <w:rPr>
                <w:sz w:val="20"/>
              </w:rPr>
              <w:t xml:space="preserve">A generation unit designated in a Combine Cycle Train registration for </w:t>
            </w:r>
            <w:r>
              <w:rPr>
                <w:sz w:val="20"/>
              </w:rPr>
              <w:t>the On-Line</w:t>
            </w:r>
            <w:r w:rsidRPr="00314B3D">
              <w:rPr>
                <w:sz w:val="20"/>
              </w:rPr>
              <w:t xml:space="preserve"> Combined Cycle Generation Resource.</w:t>
            </w:r>
          </w:p>
        </w:tc>
      </w:tr>
      <w:tr w:rsidR="00142F7A" w:rsidRPr="00D67E3B" w14:paraId="68F3D625" w14:textId="77777777" w:rsidTr="00F12CF4">
        <w:tc>
          <w:tcPr>
            <w:tcW w:w="2535" w:type="dxa"/>
          </w:tcPr>
          <w:p w14:paraId="3789CA26" w14:textId="77777777" w:rsidR="00142F7A" w:rsidRPr="00314B3D" w:rsidRDefault="00142F7A" w:rsidP="00F12CF4">
            <w:pPr>
              <w:rPr>
                <w:i/>
                <w:sz w:val="20"/>
              </w:rPr>
            </w:pPr>
            <w:r>
              <w:rPr>
                <w:i/>
                <w:sz w:val="20"/>
              </w:rPr>
              <w:t>CCT</w:t>
            </w:r>
            <w:r w:rsidRPr="000E2D59">
              <w:rPr>
                <w:i/>
                <w:sz w:val="20"/>
              </w:rPr>
              <w:t>_PhyR</w:t>
            </w:r>
          </w:p>
        </w:tc>
        <w:tc>
          <w:tcPr>
            <w:tcW w:w="839" w:type="dxa"/>
          </w:tcPr>
          <w:p w14:paraId="3C1CF4B0" w14:textId="77777777" w:rsidR="00142F7A" w:rsidRPr="00314B3D" w:rsidRDefault="00142F7A" w:rsidP="00F12CF4">
            <w:pPr>
              <w:rPr>
                <w:sz w:val="20"/>
              </w:rPr>
            </w:pPr>
            <w:r w:rsidRPr="000E2D59">
              <w:rPr>
                <w:sz w:val="20"/>
              </w:rPr>
              <w:t>none</w:t>
            </w:r>
          </w:p>
        </w:tc>
        <w:tc>
          <w:tcPr>
            <w:tcW w:w="6202" w:type="dxa"/>
          </w:tcPr>
          <w:p w14:paraId="3DE3D875" w14:textId="77777777" w:rsidR="00142F7A" w:rsidRPr="00314B3D" w:rsidRDefault="00142F7A" w:rsidP="00C43DB8">
            <w:pPr>
              <w:spacing w:after="60"/>
              <w:rPr>
                <w:sz w:val="20"/>
              </w:rPr>
            </w:pPr>
            <w:r w:rsidRPr="000E2D59">
              <w:rPr>
                <w:sz w:val="20"/>
              </w:rPr>
              <w:t xml:space="preserve">A generation unit designated in a Combine Cycle Train registration </w:t>
            </w:r>
          </w:p>
        </w:tc>
      </w:tr>
      <w:tr w:rsidR="00142F7A" w:rsidRPr="00D67E3B" w14:paraId="3016BBC0" w14:textId="77777777" w:rsidTr="00F12CF4">
        <w:tc>
          <w:tcPr>
            <w:tcW w:w="2535" w:type="dxa"/>
          </w:tcPr>
          <w:p w14:paraId="6D6B3AE1" w14:textId="77777777" w:rsidR="00142F7A" w:rsidRPr="00314B3D" w:rsidRDefault="00142F7A" w:rsidP="00F12CF4">
            <w:pPr>
              <w:rPr>
                <w:i/>
                <w:sz w:val="20"/>
              </w:rPr>
            </w:pPr>
            <w:r w:rsidRPr="005829EB">
              <w:rPr>
                <w:i/>
                <w:sz w:val="20"/>
              </w:rPr>
              <w:t>c</w:t>
            </w:r>
          </w:p>
        </w:tc>
        <w:tc>
          <w:tcPr>
            <w:tcW w:w="839" w:type="dxa"/>
          </w:tcPr>
          <w:p w14:paraId="45BECA17" w14:textId="77777777" w:rsidR="00142F7A" w:rsidRPr="00314B3D" w:rsidRDefault="00142F7A" w:rsidP="00F12CF4">
            <w:pPr>
              <w:rPr>
                <w:sz w:val="20"/>
              </w:rPr>
            </w:pPr>
            <w:r w:rsidRPr="005829EB">
              <w:rPr>
                <w:sz w:val="20"/>
              </w:rPr>
              <w:t>none</w:t>
            </w:r>
          </w:p>
        </w:tc>
        <w:tc>
          <w:tcPr>
            <w:tcW w:w="6202" w:type="dxa"/>
          </w:tcPr>
          <w:p w14:paraId="435BB40A" w14:textId="77777777" w:rsidR="00142F7A" w:rsidRPr="00314B3D" w:rsidRDefault="00142F7A" w:rsidP="00C43DB8">
            <w:pPr>
              <w:spacing w:after="60"/>
              <w:rPr>
                <w:sz w:val="20"/>
              </w:rPr>
            </w:pPr>
            <w:r w:rsidRPr="005829EB">
              <w:rPr>
                <w:sz w:val="20"/>
              </w:rPr>
              <w:t xml:space="preserve">A </w:t>
            </w:r>
            <w:r>
              <w:rPr>
                <w:sz w:val="20"/>
              </w:rPr>
              <w:t xml:space="preserve">binding transmission </w:t>
            </w:r>
            <w:r w:rsidRPr="005829EB">
              <w:rPr>
                <w:sz w:val="20"/>
              </w:rPr>
              <w:t>constraint</w:t>
            </w:r>
            <w:r>
              <w:rPr>
                <w:sz w:val="20"/>
              </w:rPr>
              <w:t xml:space="preserve"> for the SCED interval </w:t>
            </w:r>
            <w:r w:rsidRPr="00316DEE">
              <w:rPr>
                <w:i/>
                <w:sz w:val="20"/>
              </w:rPr>
              <w:t>y</w:t>
            </w:r>
            <w:r w:rsidRPr="00314B3D">
              <w:rPr>
                <w:sz w:val="20"/>
              </w:rPr>
              <w:t>.</w:t>
            </w:r>
          </w:p>
        </w:tc>
      </w:tr>
      <w:tr w:rsidR="00142F7A" w:rsidRPr="00D67E3B" w14:paraId="345313BD" w14:textId="77777777" w:rsidTr="00F12CF4">
        <w:tc>
          <w:tcPr>
            <w:tcW w:w="2535" w:type="dxa"/>
          </w:tcPr>
          <w:p w14:paraId="732D7F9A" w14:textId="77777777" w:rsidR="00142F7A" w:rsidRPr="00314B3D" w:rsidRDefault="00142F7A" w:rsidP="00F12CF4">
            <w:pPr>
              <w:rPr>
                <w:i/>
                <w:sz w:val="20"/>
              </w:rPr>
            </w:pPr>
            <w:r w:rsidRPr="005829EB">
              <w:rPr>
                <w:i/>
                <w:sz w:val="20"/>
              </w:rPr>
              <w:t>y</w:t>
            </w:r>
          </w:p>
        </w:tc>
        <w:tc>
          <w:tcPr>
            <w:tcW w:w="839" w:type="dxa"/>
          </w:tcPr>
          <w:p w14:paraId="33852265" w14:textId="77777777" w:rsidR="00142F7A" w:rsidRPr="00314B3D" w:rsidRDefault="00142F7A" w:rsidP="00F12CF4">
            <w:pPr>
              <w:rPr>
                <w:sz w:val="20"/>
              </w:rPr>
            </w:pPr>
            <w:r w:rsidRPr="005829EB">
              <w:rPr>
                <w:sz w:val="20"/>
              </w:rPr>
              <w:t>none</w:t>
            </w:r>
          </w:p>
        </w:tc>
        <w:tc>
          <w:tcPr>
            <w:tcW w:w="6202" w:type="dxa"/>
          </w:tcPr>
          <w:p w14:paraId="15854274" w14:textId="77777777" w:rsidR="00142F7A" w:rsidRPr="00314B3D" w:rsidRDefault="00142F7A" w:rsidP="00C43DB8">
            <w:pPr>
              <w:spacing w:after="60"/>
              <w:rPr>
                <w:sz w:val="20"/>
              </w:rPr>
            </w:pPr>
            <w:r w:rsidRPr="005829EB">
              <w:rPr>
                <w:sz w:val="20"/>
              </w:rPr>
              <w:t xml:space="preserve">A SCED interval in the 15-minute Settlement Interval.  </w:t>
            </w:r>
          </w:p>
        </w:tc>
      </w:tr>
    </w:tbl>
    <w:p w14:paraId="72290AF4" w14:textId="77777777" w:rsidR="00142F7A" w:rsidRDefault="00142F7A" w:rsidP="00142F7A">
      <w:pPr>
        <w:pStyle w:val="List"/>
        <w:spacing w:before="240"/>
        <w:rPr>
          <w:iCs/>
        </w:rPr>
      </w:pPr>
      <w:r>
        <w:rPr>
          <w:iCs/>
        </w:rPr>
        <w:t>(b)</w:t>
      </w:r>
      <w:r>
        <w:rPr>
          <w:iCs/>
        </w:rPr>
        <w:tab/>
      </w:r>
      <w:r w:rsidRPr="00392666">
        <w:rPr>
          <w:iCs/>
        </w:rPr>
        <w:t>For a</w:t>
      </w:r>
      <w:r>
        <w:rPr>
          <w:iCs/>
        </w:rPr>
        <w:t>n</w:t>
      </w:r>
      <w:r w:rsidRPr="00392666">
        <w:rPr>
          <w:iCs/>
        </w:rPr>
        <w:t xml:space="preserve"> O</w:t>
      </w:r>
      <w:r>
        <w:rPr>
          <w:iCs/>
        </w:rPr>
        <w:t>n</w:t>
      </w:r>
      <w:r w:rsidRPr="00392666">
        <w:rPr>
          <w:iCs/>
        </w:rPr>
        <w:t xml:space="preserve">-Line Combined Cycle Train, </w:t>
      </w:r>
      <w:r>
        <w:rPr>
          <w:iCs/>
        </w:rPr>
        <w:t>t</w:t>
      </w:r>
      <w:r w:rsidRPr="00FB5182">
        <w:rPr>
          <w:iCs/>
        </w:rPr>
        <w:t>he weight factor for each generation unit registered in a</w:t>
      </w:r>
      <w:r>
        <w:rPr>
          <w:iCs/>
        </w:rPr>
        <w:t>n On-Line</w:t>
      </w:r>
      <w:r w:rsidRPr="00FB5182">
        <w:rPr>
          <w:iCs/>
        </w:rPr>
        <w:t xml:space="preserve"> Combined Cycle Generation Resource shall be the Real</w:t>
      </w:r>
      <w:r>
        <w:rPr>
          <w:iCs/>
        </w:rPr>
        <w:t>-</w:t>
      </w:r>
      <w:r w:rsidRPr="00FB5182">
        <w:rPr>
          <w:iCs/>
        </w:rPr>
        <w:t xml:space="preserve">Time power output telemetry in each SCED interval for each generation unit </w:t>
      </w:r>
      <w:r w:rsidRPr="00FB5182">
        <w:rPr>
          <w:iCs/>
        </w:rPr>
        <w:lastRenderedPageBreak/>
        <w:t>registered in the Combined Cycle Generation Resource divided by the total Real</w:t>
      </w:r>
      <w:r>
        <w:rPr>
          <w:iCs/>
        </w:rPr>
        <w:t>-</w:t>
      </w:r>
      <w:r w:rsidRPr="00FB5182">
        <w:rPr>
          <w:iCs/>
        </w:rPr>
        <w:t>Time power output telemetry for all of the generation units registered in the Combined Cycle Generation Resource.</w:t>
      </w:r>
      <w:r w:rsidRPr="00392666">
        <w:rPr>
          <w:iCs/>
        </w:rPr>
        <w:t xml:space="preserve">  For a</w:t>
      </w:r>
      <w:r>
        <w:rPr>
          <w:iCs/>
        </w:rPr>
        <w:t>n</w:t>
      </w:r>
      <w:r w:rsidRPr="00392666">
        <w:rPr>
          <w:iCs/>
        </w:rPr>
        <w:t xml:space="preserve"> Off-Line Combined Cycle Train, the weight factor for each generation unit designated in a Combined Cycle Train registration shall be its High Reasonability Limit (HRL) divided by the total sum of the HRL for all generation units registered in the Combined Cycle Train.</w:t>
      </w:r>
    </w:p>
    <w:p w14:paraId="2B9635EB" w14:textId="77777777" w:rsidR="00142F7A" w:rsidRDefault="00142F7A" w:rsidP="00142F7A">
      <w:pPr>
        <w:pStyle w:val="BodyText"/>
        <w:ind w:left="1440"/>
      </w:pPr>
      <w:r w:rsidRPr="00CA515C">
        <w:rPr>
          <w:iCs w:val="0"/>
        </w:rPr>
        <w:t>Where</w:t>
      </w:r>
      <w:r>
        <w:rPr>
          <w:iCs w:val="0"/>
        </w:rPr>
        <w:t>:</w:t>
      </w:r>
    </w:p>
    <w:p w14:paraId="3C9F34D7" w14:textId="77777777" w:rsidR="00142F7A" w:rsidRPr="00D51499" w:rsidRDefault="00142F7A" w:rsidP="00142F7A">
      <w:pPr>
        <w:spacing w:after="240"/>
        <w:ind w:left="720" w:firstLine="720"/>
        <w:rPr>
          <w:b/>
        </w:rPr>
      </w:pPr>
      <w:r w:rsidRPr="009F599E">
        <w:rPr>
          <w:b/>
        </w:rPr>
        <w:t>RT</w:t>
      </w:r>
      <w:r>
        <w:rPr>
          <w:b/>
        </w:rPr>
        <w:t>ON</w:t>
      </w:r>
      <w:r w:rsidRPr="009F599E">
        <w:rPr>
          <w:b/>
        </w:rPr>
        <w:t>CCGRWF</w:t>
      </w:r>
      <w:r>
        <w:rPr>
          <w:b/>
        </w:rPr>
        <w:t xml:space="preserve"> </w:t>
      </w:r>
      <w:r w:rsidRPr="009F599E">
        <w:rPr>
          <w:b/>
          <w:i/>
          <w:vertAlign w:val="subscript"/>
        </w:rPr>
        <w:t>CCGR_PhyR</w:t>
      </w:r>
      <w:r>
        <w:rPr>
          <w:b/>
          <w:i/>
          <w:vertAlign w:val="subscript"/>
        </w:rPr>
        <w:t>, y</w:t>
      </w:r>
      <w:r w:rsidRPr="009F599E">
        <w:rPr>
          <w:b/>
        </w:rPr>
        <w:t xml:space="preserve"> = TG</w:t>
      </w:r>
      <w:r>
        <w:rPr>
          <w:b/>
        </w:rPr>
        <w:t xml:space="preserve"> </w:t>
      </w:r>
      <w:r w:rsidRPr="009F599E">
        <w:rPr>
          <w:b/>
          <w:i/>
          <w:vertAlign w:val="subscript"/>
        </w:rPr>
        <w:t>CCGR_PhyR</w:t>
      </w:r>
      <w:r w:rsidRPr="009F599E">
        <w:rPr>
          <w:b/>
        </w:rPr>
        <w:t xml:space="preserve"> / ∑</w:t>
      </w:r>
      <w:r w:rsidRPr="009F599E">
        <w:rPr>
          <w:b/>
          <w:i/>
          <w:vertAlign w:val="subscript"/>
        </w:rPr>
        <w:t>CCGR_PhyR</w:t>
      </w:r>
      <w:r w:rsidRPr="009F599E">
        <w:rPr>
          <w:b/>
        </w:rPr>
        <w:t xml:space="preserve"> TG</w:t>
      </w:r>
      <w:r>
        <w:rPr>
          <w:b/>
        </w:rPr>
        <w:t xml:space="preserve"> </w:t>
      </w:r>
      <w:r w:rsidRPr="009F599E">
        <w:rPr>
          <w:b/>
          <w:i/>
          <w:vertAlign w:val="subscript"/>
        </w:rPr>
        <w:t>CCGR_PhyR</w:t>
      </w:r>
    </w:p>
    <w:p w14:paraId="42BAE5FC" w14:textId="77777777" w:rsidR="00142F7A" w:rsidRPr="00D51499" w:rsidRDefault="00142F7A" w:rsidP="00142F7A">
      <w:pPr>
        <w:spacing w:after="240"/>
        <w:ind w:left="720" w:firstLine="720"/>
        <w:rPr>
          <w:b/>
        </w:rPr>
      </w:pPr>
      <w:r w:rsidRPr="009F599E">
        <w:rPr>
          <w:b/>
        </w:rPr>
        <w:t>RT</w:t>
      </w:r>
      <w:r>
        <w:rPr>
          <w:b/>
        </w:rPr>
        <w:t>OFF</w:t>
      </w:r>
      <w:r w:rsidRPr="009F599E">
        <w:rPr>
          <w:b/>
        </w:rPr>
        <w:t>CCGRWF</w:t>
      </w:r>
      <w:r>
        <w:rPr>
          <w:b/>
        </w:rPr>
        <w:t xml:space="preserve"> </w:t>
      </w:r>
      <w:r w:rsidRPr="009F599E">
        <w:rPr>
          <w:b/>
          <w:i/>
          <w:vertAlign w:val="subscript"/>
        </w:rPr>
        <w:t>CC</w:t>
      </w:r>
      <w:r>
        <w:rPr>
          <w:b/>
          <w:i/>
          <w:vertAlign w:val="subscript"/>
        </w:rPr>
        <w:t>T</w:t>
      </w:r>
      <w:r w:rsidRPr="009F599E">
        <w:rPr>
          <w:b/>
          <w:i/>
          <w:vertAlign w:val="subscript"/>
        </w:rPr>
        <w:t>_PhyR</w:t>
      </w:r>
      <w:r>
        <w:rPr>
          <w:b/>
          <w:i/>
          <w:vertAlign w:val="subscript"/>
        </w:rPr>
        <w:t>, y</w:t>
      </w:r>
      <w:r>
        <w:rPr>
          <w:b/>
        </w:rPr>
        <w:t xml:space="preserve"> = HRL </w:t>
      </w:r>
      <w:r w:rsidRPr="009F599E">
        <w:rPr>
          <w:b/>
          <w:i/>
          <w:vertAlign w:val="subscript"/>
        </w:rPr>
        <w:t>CC</w:t>
      </w:r>
      <w:r>
        <w:rPr>
          <w:b/>
          <w:i/>
          <w:vertAlign w:val="subscript"/>
        </w:rPr>
        <w:t>T</w:t>
      </w:r>
      <w:r w:rsidRPr="009F599E">
        <w:rPr>
          <w:b/>
          <w:i/>
          <w:vertAlign w:val="subscript"/>
        </w:rPr>
        <w:t>_PhyR</w:t>
      </w:r>
      <w:r w:rsidRPr="009F599E">
        <w:rPr>
          <w:b/>
        </w:rPr>
        <w:t xml:space="preserve"> / ∑</w:t>
      </w:r>
      <w:r w:rsidRPr="009F599E">
        <w:rPr>
          <w:b/>
          <w:i/>
          <w:vertAlign w:val="subscript"/>
        </w:rPr>
        <w:t>CC</w:t>
      </w:r>
      <w:r>
        <w:rPr>
          <w:b/>
          <w:i/>
          <w:vertAlign w:val="subscript"/>
        </w:rPr>
        <w:t>T</w:t>
      </w:r>
      <w:r w:rsidRPr="009F599E">
        <w:rPr>
          <w:b/>
          <w:i/>
          <w:vertAlign w:val="subscript"/>
        </w:rPr>
        <w:t>_PhyR</w:t>
      </w:r>
      <w:r>
        <w:rPr>
          <w:b/>
        </w:rPr>
        <w:t xml:space="preserve"> HRL </w:t>
      </w:r>
      <w:r w:rsidRPr="009F599E">
        <w:rPr>
          <w:b/>
          <w:i/>
          <w:vertAlign w:val="subscript"/>
        </w:rPr>
        <w:t>CC</w:t>
      </w:r>
      <w:r>
        <w:rPr>
          <w:b/>
          <w:i/>
          <w:vertAlign w:val="subscript"/>
        </w:rPr>
        <w:t>T</w:t>
      </w:r>
      <w:r w:rsidRPr="009F599E">
        <w:rPr>
          <w:b/>
          <w:i/>
          <w:vertAlign w:val="subscript"/>
        </w:rPr>
        <w:t>_PhyR</w:t>
      </w:r>
    </w:p>
    <w:p w14:paraId="1715D223" w14:textId="77777777" w:rsidR="00142F7A" w:rsidRDefault="00142F7A" w:rsidP="00142F7A">
      <w:pPr>
        <w:rPr>
          <w:b/>
        </w:rPr>
      </w:pPr>
      <w:r w:rsidRPr="008C1469">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820"/>
        <w:gridCol w:w="6025"/>
      </w:tblGrid>
      <w:tr w:rsidR="00142F7A" w:rsidRPr="00D67E3B" w14:paraId="5075B2F9" w14:textId="77777777" w:rsidTr="00142F7A">
        <w:tc>
          <w:tcPr>
            <w:tcW w:w="2505" w:type="dxa"/>
          </w:tcPr>
          <w:p w14:paraId="3B2B372C" w14:textId="77777777" w:rsidR="00142F7A" w:rsidRDefault="00142F7A" w:rsidP="00F12CF4">
            <w:pPr>
              <w:spacing w:after="120"/>
              <w:rPr>
                <w:b/>
              </w:rPr>
            </w:pPr>
            <w:r w:rsidRPr="00D661BC">
              <w:rPr>
                <w:b/>
                <w:iCs/>
                <w:sz w:val="20"/>
              </w:rPr>
              <w:t>Variable</w:t>
            </w:r>
          </w:p>
        </w:tc>
        <w:tc>
          <w:tcPr>
            <w:tcW w:w="820" w:type="dxa"/>
          </w:tcPr>
          <w:p w14:paraId="03F05E24" w14:textId="77777777" w:rsidR="00142F7A" w:rsidRDefault="00142F7A" w:rsidP="00F12CF4">
            <w:pPr>
              <w:spacing w:after="120"/>
              <w:rPr>
                <w:b/>
              </w:rPr>
            </w:pPr>
            <w:r w:rsidRPr="007A7509">
              <w:rPr>
                <w:b/>
                <w:iCs/>
                <w:sz w:val="20"/>
              </w:rPr>
              <w:t>Unit</w:t>
            </w:r>
          </w:p>
        </w:tc>
        <w:tc>
          <w:tcPr>
            <w:tcW w:w="6025" w:type="dxa"/>
          </w:tcPr>
          <w:p w14:paraId="375845AC" w14:textId="77777777" w:rsidR="00142F7A" w:rsidRDefault="00142F7A" w:rsidP="00F12CF4">
            <w:pPr>
              <w:spacing w:after="120"/>
              <w:rPr>
                <w:b/>
              </w:rPr>
            </w:pPr>
            <w:r w:rsidRPr="00D661BC">
              <w:rPr>
                <w:b/>
                <w:iCs/>
                <w:sz w:val="20"/>
              </w:rPr>
              <w:t>Definition</w:t>
            </w:r>
          </w:p>
        </w:tc>
      </w:tr>
      <w:tr w:rsidR="00142F7A" w:rsidRPr="00D67E3B" w14:paraId="5874FA94" w14:textId="77777777" w:rsidTr="00142F7A">
        <w:tc>
          <w:tcPr>
            <w:tcW w:w="2505" w:type="dxa"/>
            <w:tcBorders>
              <w:bottom w:val="single" w:sz="4" w:space="0" w:color="auto"/>
            </w:tcBorders>
          </w:tcPr>
          <w:p w14:paraId="4E5FCBFA" w14:textId="77777777" w:rsidR="00142F7A" w:rsidRPr="0040745A" w:rsidRDefault="00142F7A" w:rsidP="00F12CF4">
            <w:pPr>
              <w:rPr>
                <w:i/>
                <w:sz w:val="20"/>
                <w:vertAlign w:val="subscript"/>
              </w:rPr>
            </w:pPr>
            <w:r w:rsidRPr="00D661BC">
              <w:rPr>
                <w:sz w:val="20"/>
              </w:rPr>
              <w:t>RT</w:t>
            </w:r>
            <w:r>
              <w:rPr>
                <w:sz w:val="20"/>
              </w:rPr>
              <w:t>ON</w:t>
            </w:r>
            <w:r w:rsidRPr="00D661BC">
              <w:rPr>
                <w:sz w:val="20"/>
              </w:rPr>
              <w:t>CCGRWF</w:t>
            </w:r>
            <w:r>
              <w:rPr>
                <w:sz w:val="20"/>
              </w:rPr>
              <w:t xml:space="preserve"> </w:t>
            </w:r>
            <w:r w:rsidRPr="00D661BC">
              <w:rPr>
                <w:i/>
                <w:sz w:val="20"/>
                <w:vertAlign w:val="subscript"/>
              </w:rPr>
              <w:t>CCGR_PhyR</w:t>
            </w:r>
            <w:r>
              <w:rPr>
                <w:i/>
                <w:sz w:val="20"/>
                <w:vertAlign w:val="subscript"/>
              </w:rPr>
              <w:t>, y</w:t>
            </w:r>
          </w:p>
        </w:tc>
        <w:tc>
          <w:tcPr>
            <w:tcW w:w="820" w:type="dxa"/>
            <w:tcBorders>
              <w:bottom w:val="single" w:sz="4" w:space="0" w:color="auto"/>
            </w:tcBorders>
          </w:tcPr>
          <w:p w14:paraId="4C2127A3" w14:textId="77777777" w:rsidR="00142F7A" w:rsidRPr="0040745A" w:rsidRDefault="00142F7A" w:rsidP="00F12CF4">
            <w:pPr>
              <w:rPr>
                <w:sz w:val="20"/>
              </w:rPr>
            </w:pPr>
            <w:r w:rsidRPr="00D661BC">
              <w:rPr>
                <w:sz w:val="20"/>
              </w:rPr>
              <w:t>none</w:t>
            </w:r>
          </w:p>
        </w:tc>
        <w:tc>
          <w:tcPr>
            <w:tcW w:w="6025" w:type="dxa"/>
            <w:tcBorders>
              <w:bottom w:val="single" w:sz="4" w:space="0" w:color="auto"/>
            </w:tcBorders>
          </w:tcPr>
          <w:p w14:paraId="2EFA6EAF" w14:textId="77777777" w:rsidR="00142F7A" w:rsidRPr="0040745A" w:rsidRDefault="00142F7A" w:rsidP="00C43DB8">
            <w:pPr>
              <w:spacing w:after="60"/>
              <w:rPr>
                <w:sz w:val="20"/>
              </w:rPr>
            </w:pPr>
            <w:r w:rsidRPr="00D661BC">
              <w:rPr>
                <w:i/>
                <w:sz w:val="20"/>
              </w:rPr>
              <w:t xml:space="preserve">Real-Time </w:t>
            </w:r>
            <w:r>
              <w:rPr>
                <w:i/>
                <w:sz w:val="20"/>
              </w:rPr>
              <w:t xml:space="preserve">On-Line </w:t>
            </w:r>
            <w:r w:rsidRPr="00D661BC">
              <w:rPr>
                <w:i/>
                <w:sz w:val="20"/>
              </w:rPr>
              <w:t>Combined Cycle Generation Resource Weighting Factor</w:t>
            </w:r>
            <w:r w:rsidRPr="008C1469">
              <w:rPr>
                <w:iCs/>
                <w:sz w:val="20"/>
              </w:rPr>
              <w:sym w:font="Symbol" w:char="F0BE"/>
            </w:r>
            <w:r w:rsidRPr="00D661BC">
              <w:rPr>
                <w:sz w:val="20"/>
              </w:rPr>
              <w:t xml:space="preserve">The Real Time </w:t>
            </w:r>
            <w:r>
              <w:rPr>
                <w:sz w:val="20"/>
              </w:rPr>
              <w:t>Combined Cycle Generation Resource</w:t>
            </w:r>
            <w:r w:rsidRPr="00D661BC">
              <w:rPr>
                <w:sz w:val="20"/>
              </w:rPr>
              <w:t xml:space="preserve"> weighting factor for a </w:t>
            </w:r>
            <w:r>
              <w:rPr>
                <w:sz w:val="20"/>
              </w:rPr>
              <w:t>g</w:t>
            </w:r>
            <w:r w:rsidRPr="00D661BC">
              <w:rPr>
                <w:sz w:val="20"/>
              </w:rPr>
              <w:t xml:space="preserve">eneration unit designated in a Combined Cycle Train registration for the </w:t>
            </w:r>
            <w:r>
              <w:rPr>
                <w:sz w:val="20"/>
              </w:rPr>
              <w:t xml:space="preserve">On-Line </w:t>
            </w:r>
            <w:r w:rsidRPr="00D661BC">
              <w:rPr>
                <w:sz w:val="20"/>
              </w:rPr>
              <w:t>Combined Cycle Generation Resource</w:t>
            </w:r>
            <w:r w:rsidRPr="00B82FAA">
              <w:rPr>
                <w:sz w:val="20"/>
              </w:rPr>
              <w:t xml:space="preserve"> for the SCED interval</w:t>
            </w:r>
            <w:r w:rsidRPr="00316DEE">
              <w:rPr>
                <w:i/>
                <w:sz w:val="20"/>
              </w:rPr>
              <w:t xml:space="preserve"> y</w:t>
            </w:r>
            <w:r w:rsidRPr="00D661BC">
              <w:rPr>
                <w:sz w:val="20"/>
              </w:rPr>
              <w:t>.</w:t>
            </w:r>
          </w:p>
        </w:tc>
      </w:tr>
      <w:tr w:rsidR="00142F7A" w:rsidRPr="00D67E3B" w14:paraId="20841154"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ABDD2CA" w14:textId="77777777" w:rsidR="00142F7A" w:rsidRPr="0040745A" w:rsidRDefault="00142F7A" w:rsidP="00F12CF4">
            <w:pPr>
              <w:rPr>
                <w:i/>
                <w:sz w:val="20"/>
                <w:vertAlign w:val="subscript"/>
              </w:rPr>
            </w:pPr>
            <w:r w:rsidRPr="00D661BC">
              <w:rPr>
                <w:sz w:val="20"/>
              </w:rPr>
              <w:t>TG</w:t>
            </w:r>
            <w:r>
              <w:rPr>
                <w:sz w:val="20"/>
              </w:rPr>
              <w:t xml:space="preserve"> </w:t>
            </w:r>
            <w:r w:rsidRPr="00D661BC">
              <w:rPr>
                <w:i/>
                <w:sz w:val="20"/>
                <w:vertAlign w:val="subscript"/>
              </w:rPr>
              <w:t>CCGR_PhyR</w:t>
            </w:r>
            <w:r>
              <w:rPr>
                <w:i/>
                <w:sz w:val="20"/>
                <w:vertAlign w:val="subscript"/>
              </w:rPr>
              <w:t>, y</w:t>
            </w:r>
          </w:p>
        </w:tc>
        <w:tc>
          <w:tcPr>
            <w:tcW w:w="820" w:type="dxa"/>
            <w:tcBorders>
              <w:top w:val="single" w:sz="4" w:space="0" w:color="auto"/>
              <w:left w:val="single" w:sz="4" w:space="0" w:color="auto"/>
              <w:bottom w:val="single" w:sz="4" w:space="0" w:color="auto"/>
              <w:right w:val="single" w:sz="4" w:space="0" w:color="auto"/>
            </w:tcBorders>
          </w:tcPr>
          <w:p w14:paraId="7F4C4CBF" w14:textId="77777777" w:rsidR="00142F7A" w:rsidRPr="0040745A" w:rsidRDefault="00142F7A" w:rsidP="00F12CF4">
            <w:pPr>
              <w:rPr>
                <w:sz w:val="20"/>
              </w:rPr>
            </w:pPr>
            <w:r w:rsidRPr="00D661BC">
              <w:rPr>
                <w:sz w:val="20"/>
              </w:rPr>
              <w:t>MW</w:t>
            </w:r>
          </w:p>
        </w:tc>
        <w:tc>
          <w:tcPr>
            <w:tcW w:w="6025" w:type="dxa"/>
            <w:tcBorders>
              <w:top w:val="single" w:sz="4" w:space="0" w:color="auto"/>
              <w:left w:val="single" w:sz="4" w:space="0" w:color="auto"/>
              <w:bottom w:val="single" w:sz="4" w:space="0" w:color="auto"/>
              <w:right w:val="single" w:sz="4" w:space="0" w:color="auto"/>
            </w:tcBorders>
          </w:tcPr>
          <w:p w14:paraId="2D293286" w14:textId="77777777" w:rsidR="00142F7A" w:rsidRPr="0040745A" w:rsidRDefault="00142F7A" w:rsidP="00C43DB8">
            <w:pPr>
              <w:spacing w:after="60"/>
              <w:rPr>
                <w:sz w:val="20"/>
              </w:rPr>
            </w:pPr>
            <w:r w:rsidRPr="00D661BC">
              <w:rPr>
                <w:i/>
                <w:sz w:val="20"/>
              </w:rPr>
              <w:t xml:space="preserve">Telemetered Generation for a </w:t>
            </w:r>
            <w:r w:rsidRPr="00CD6FB7">
              <w:rPr>
                <w:i/>
                <w:sz w:val="20"/>
              </w:rPr>
              <w:t>Combined Cycle Generation Resource</w:t>
            </w:r>
            <w:r w:rsidRPr="00D661BC">
              <w:rPr>
                <w:i/>
                <w:sz w:val="20"/>
              </w:rPr>
              <w:t xml:space="preserve"> generation unit</w:t>
            </w:r>
            <w:r w:rsidRPr="008C1469">
              <w:rPr>
                <w:iCs/>
                <w:sz w:val="20"/>
              </w:rPr>
              <w:sym w:font="Symbol" w:char="F0BE"/>
            </w:r>
            <w:r w:rsidRPr="00D661BC">
              <w:rPr>
                <w:sz w:val="20"/>
              </w:rPr>
              <w:t xml:space="preserve">The telemetered </w:t>
            </w:r>
            <w:r>
              <w:rPr>
                <w:sz w:val="20"/>
              </w:rPr>
              <w:t xml:space="preserve">Real-Time power </w:t>
            </w:r>
            <w:r w:rsidRPr="00D661BC">
              <w:rPr>
                <w:sz w:val="20"/>
              </w:rPr>
              <w:t xml:space="preserve">generation </w:t>
            </w:r>
            <w:r>
              <w:rPr>
                <w:sz w:val="20"/>
              </w:rPr>
              <w:t>for</w:t>
            </w:r>
            <w:r w:rsidRPr="00D661BC">
              <w:rPr>
                <w:sz w:val="20"/>
              </w:rPr>
              <w:t xml:space="preserve"> a generation unit designated in a Combined Cycle Train registration for the </w:t>
            </w:r>
            <w:r>
              <w:rPr>
                <w:sz w:val="20"/>
              </w:rPr>
              <w:t xml:space="preserve">On-Line </w:t>
            </w:r>
            <w:r w:rsidRPr="00D661BC">
              <w:rPr>
                <w:sz w:val="20"/>
              </w:rPr>
              <w:t>Combined Cycle Generation Resource</w:t>
            </w:r>
            <w:r w:rsidRPr="00B456AC">
              <w:rPr>
                <w:sz w:val="20"/>
              </w:rPr>
              <w:t xml:space="preserve"> </w:t>
            </w:r>
            <w:r>
              <w:rPr>
                <w:sz w:val="20"/>
              </w:rPr>
              <w:t xml:space="preserve">at the time of State Estimator execution </w:t>
            </w:r>
            <w:r w:rsidRPr="00B456AC">
              <w:rPr>
                <w:sz w:val="20"/>
              </w:rPr>
              <w:t>for the SCED interval</w:t>
            </w:r>
            <w:r w:rsidRPr="00B456AC">
              <w:rPr>
                <w:i/>
                <w:sz w:val="20"/>
              </w:rPr>
              <w:t xml:space="preserve"> y</w:t>
            </w:r>
            <w:r>
              <w:rPr>
                <w:sz w:val="20"/>
              </w:rPr>
              <w:t>.</w:t>
            </w:r>
          </w:p>
        </w:tc>
      </w:tr>
      <w:tr w:rsidR="00142F7A" w:rsidRPr="00D67E3B" w14:paraId="20D912DC"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05998468" w14:textId="467DEAD3" w:rsidR="00142F7A" w:rsidRPr="00D661BC" w:rsidRDefault="00142F7A" w:rsidP="00F12CF4">
            <w:pPr>
              <w:rPr>
                <w:sz w:val="20"/>
              </w:rPr>
            </w:pPr>
            <w:r w:rsidRPr="007D3723">
              <w:rPr>
                <w:sz w:val="20"/>
              </w:rPr>
              <w:t>RTOFFCCGRWF</w:t>
            </w:r>
            <w:r>
              <w:rPr>
                <w:sz w:val="20"/>
              </w:rPr>
              <w:t xml:space="preserve"> </w:t>
            </w:r>
            <w:r w:rsidRPr="007D3723">
              <w:rPr>
                <w:i/>
                <w:sz w:val="20"/>
                <w:vertAlign w:val="subscript"/>
              </w:rPr>
              <w:t>CC</w:t>
            </w:r>
            <w:r>
              <w:rPr>
                <w:i/>
                <w:sz w:val="20"/>
                <w:vertAlign w:val="subscript"/>
              </w:rPr>
              <w:t>T</w:t>
            </w:r>
            <w:r w:rsidRPr="007D3723">
              <w:rPr>
                <w:i/>
                <w:sz w:val="20"/>
                <w:vertAlign w:val="subscript"/>
              </w:rPr>
              <w:t>_PhyR,</w:t>
            </w:r>
            <w:r>
              <w:rPr>
                <w:i/>
                <w:sz w:val="20"/>
                <w:vertAlign w:val="subscript"/>
              </w:rPr>
              <w:t xml:space="preserve"> </w:t>
            </w:r>
            <w:r w:rsidRPr="007D3723">
              <w:rPr>
                <w:i/>
                <w:sz w:val="20"/>
                <w:vertAlign w:val="subscript"/>
              </w:rPr>
              <w:t>y</w:t>
            </w:r>
          </w:p>
        </w:tc>
        <w:tc>
          <w:tcPr>
            <w:tcW w:w="820" w:type="dxa"/>
            <w:tcBorders>
              <w:top w:val="single" w:sz="4" w:space="0" w:color="auto"/>
              <w:left w:val="single" w:sz="4" w:space="0" w:color="auto"/>
              <w:bottom w:val="single" w:sz="4" w:space="0" w:color="auto"/>
              <w:right w:val="single" w:sz="4" w:space="0" w:color="auto"/>
            </w:tcBorders>
          </w:tcPr>
          <w:p w14:paraId="6D7948CB" w14:textId="77777777" w:rsidR="00142F7A" w:rsidRPr="00D661BC" w:rsidRDefault="00142F7A" w:rsidP="00F12CF4">
            <w:pPr>
              <w:rPr>
                <w:sz w:val="20"/>
              </w:rPr>
            </w:pPr>
            <w:r w:rsidRPr="007D3723">
              <w:rPr>
                <w:sz w:val="20"/>
              </w:rPr>
              <w:t>none</w:t>
            </w:r>
          </w:p>
        </w:tc>
        <w:tc>
          <w:tcPr>
            <w:tcW w:w="6025" w:type="dxa"/>
            <w:tcBorders>
              <w:top w:val="single" w:sz="4" w:space="0" w:color="auto"/>
              <w:left w:val="single" w:sz="4" w:space="0" w:color="auto"/>
              <w:bottom w:val="single" w:sz="4" w:space="0" w:color="auto"/>
              <w:right w:val="single" w:sz="4" w:space="0" w:color="auto"/>
            </w:tcBorders>
          </w:tcPr>
          <w:p w14:paraId="60EA8ABB" w14:textId="77777777" w:rsidR="00142F7A" w:rsidRPr="00D661BC" w:rsidRDefault="00142F7A" w:rsidP="00C43DB8">
            <w:pPr>
              <w:spacing w:after="60"/>
              <w:rPr>
                <w:i/>
                <w:sz w:val="20"/>
              </w:rPr>
            </w:pPr>
            <w:r w:rsidRPr="007D3723">
              <w:rPr>
                <w:i/>
                <w:sz w:val="20"/>
              </w:rPr>
              <w:t xml:space="preserve">Real-Time Off-Line Combined Cycle Generation </w:t>
            </w:r>
            <w:r>
              <w:rPr>
                <w:i/>
                <w:sz w:val="20"/>
              </w:rPr>
              <w:t xml:space="preserve">Resource </w:t>
            </w:r>
            <w:r w:rsidRPr="007D3723">
              <w:rPr>
                <w:i/>
                <w:sz w:val="20"/>
              </w:rPr>
              <w:t>Weighting Factor</w:t>
            </w:r>
            <w:r w:rsidRPr="007D3723">
              <w:rPr>
                <w:iCs/>
                <w:sz w:val="20"/>
              </w:rPr>
              <w:sym w:font="Symbol" w:char="F0BE"/>
            </w:r>
            <w:r w:rsidRPr="007D3723">
              <w:rPr>
                <w:sz w:val="20"/>
              </w:rPr>
              <w:t>The Real Time Combined Cycle Generation Resource weighting factor for a generation unit designated in a Combined Cycle Train registration when the whole Combined Cycle Train is Off-Line</w:t>
            </w:r>
            <w:r w:rsidRPr="00185F74">
              <w:rPr>
                <w:sz w:val="20"/>
              </w:rPr>
              <w:t xml:space="preserve"> for the SCED interval</w:t>
            </w:r>
            <w:r w:rsidRPr="00185F74">
              <w:rPr>
                <w:i/>
                <w:sz w:val="20"/>
              </w:rPr>
              <w:t xml:space="preserve"> y</w:t>
            </w:r>
            <w:r w:rsidRPr="00185F74">
              <w:rPr>
                <w:sz w:val="20"/>
              </w:rPr>
              <w:t>.</w:t>
            </w:r>
          </w:p>
        </w:tc>
      </w:tr>
      <w:tr w:rsidR="00142F7A" w:rsidRPr="00D67E3B" w14:paraId="54353B7A"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42B53D1E" w14:textId="77777777" w:rsidR="00142F7A" w:rsidRPr="00D661BC" w:rsidRDefault="00142F7A" w:rsidP="00F12CF4">
            <w:pPr>
              <w:rPr>
                <w:sz w:val="20"/>
              </w:rPr>
            </w:pPr>
            <w:r>
              <w:rPr>
                <w:sz w:val="20"/>
              </w:rPr>
              <w:t xml:space="preserve">HRL </w:t>
            </w:r>
            <w:r w:rsidRPr="001621EC">
              <w:rPr>
                <w:i/>
                <w:sz w:val="20"/>
                <w:vertAlign w:val="subscript"/>
              </w:rPr>
              <w:t>CCT_PhyR</w:t>
            </w:r>
          </w:p>
        </w:tc>
        <w:tc>
          <w:tcPr>
            <w:tcW w:w="820" w:type="dxa"/>
            <w:tcBorders>
              <w:top w:val="single" w:sz="4" w:space="0" w:color="auto"/>
              <w:left w:val="single" w:sz="4" w:space="0" w:color="auto"/>
              <w:bottom w:val="single" w:sz="4" w:space="0" w:color="auto"/>
              <w:right w:val="single" w:sz="4" w:space="0" w:color="auto"/>
            </w:tcBorders>
          </w:tcPr>
          <w:p w14:paraId="3DF66E68" w14:textId="77777777" w:rsidR="00142F7A" w:rsidRPr="00D661BC" w:rsidRDefault="00142F7A" w:rsidP="00F12CF4">
            <w:pPr>
              <w:rPr>
                <w:sz w:val="20"/>
              </w:rPr>
            </w:pPr>
            <w:r w:rsidRPr="007D3723">
              <w:rPr>
                <w:sz w:val="20"/>
              </w:rPr>
              <w:t>MW</w:t>
            </w:r>
          </w:p>
        </w:tc>
        <w:tc>
          <w:tcPr>
            <w:tcW w:w="6025" w:type="dxa"/>
            <w:tcBorders>
              <w:top w:val="single" w:sz="4" w:space="0" w:color="auto"/>
              <w:left w:val="single" w:sz="4" w:space="0" w:color="auto"/>
              <w:bottom w:val="single" w:sz="4" w:space="0" w:color="auto"/>
              <w:right w:val="single" w:sz="4" w:space="0" w:color="auto"/>
            </w:tcBorders>
          </w:tcPr>
          <w:p w14:paraId="31F662B3" w14:textId="77777777" w:rsidR="00142F7A" w:rsidRPr="00D661BC" w:rsidRDefault="00142F7A" w:rsidP="00C43DB8">
            <w:pPr>
              <w:spacing w:after="60"/>
              <w:rPr>
                <w:i/>
                <w:sz w:val="20"/>
              </w:rPr>
            </w:pPr>
            <w:r w:rsidRPr="007D3723">
              <w:rPr>
                <w:i/>
                <w:sz w:val="20"/>
              </w:rPr>
              <w:t>High Reasonability Limit</w:t>
            </w:r>
            <w:r w:rsidRPr="007D3723">
              <w:rPr>
                <w:sz w:val="20"/>
              </w:rPr>
              <w:t>—The HRL as specified in the ERCOT-approved Resource Registration data for a generation unit designated in a Combined Cycle Train registration.</w:t>
            </w:r>
          </w:p>
        </w:tc>
      </w:tr>
      <w:tr w:rsidR="00142F7A" w:rsidRPr="00D67E3B" w14:paraId="7A969BD9"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93797FB" w14:textId="77777777" w:rsidR="00142F7A" w:rsidRPr="0040745A" w:rsidRDefault="00142F7A" w:rsidP="00F12CF4">
            <w:pPr>
              <w:rPr>
                <w:sz w:val="20"/>
              </w:rPr>
            </w:pPr>
            <w:r w:rsidRPr="00D661BC">
              <w:rPr>
                <w:i/>
                <w:sz w:val="20"/>
              </w:rPr>
              <w:t>CCGR_PhyR</w:t>
            </w:r>
          </w:p>
        </w:tc>
        <w:tc>
          <w:tcPr>
            <w:tcW w:w="820" w:type="dxa"/>
            <w:tcBorders>
              <w:top w:val="single" w:sz="4" w:space="0" w:color="auto"/>
              <w:left w:val="single" w:sz="4" w:space="0" w:color="auto"/>
              <w:bottom w:val="single" w:sz="4" w:space="0" w:color="auto"/>
              <w:right w:val="single" w:sz="4" w:space="0" w:color="auto"/>
            </w:tcBorders>
          </w:tcPr>
          <w:p w14:paraId="04CE37CD" w14:textId="77777777" w:rsidR="00142F7A" w:rsidRPr="0040745A" w:rsidRDefault="00142F7A" w:rsidP="00F12CF4">
            <w:pPr>
              <w:rPr>
                <w:sz w:val="20"/>
              </w:rPr>
            </w:pPr>
            <w:r w:rsidRPr="00D661BC">
              <w:rPr>
                <w:sz w:val="20"/>
              </w:rPr>
              <w:t>none</w:t>
            </w:r>
          </w:p>
        </w:tc>
        <w:tc>
          <w:tcPr>
            <w:tcW w:w="6025" w:type="dxa"/>
            <w:tcBorders>
              <w:top w:val="single" w:sz="4" w:space="0" w:color="auto"/>
              <w:left w:val="single" w:sz="4" w:space="0" w:color="auto"/>
              <w:bottom w:val="single" w:sz="4" w:space="0" w:color="auto"/>
              <w:right w:val="single" w:sz="4" w:space="0" w:color="auto"/>
            </w:tcBorders>
          </w:tcPr>
          <w:p w14:paraId="763F6F1D" w14:textId="77777777" w:rsidR="00142F7A" w:rsidRPr="0040745A" w:rsidRDefault="00142F7A" w:rsidP="00C43DB8">
            <w:pPr>
              <w:spacing w:after="60"/>
              <w:rPr>
                <w:sz w:val="20"/>
              </w:rPr>
            </w:pPr>
            <w:r w:rsidRPr="00D661BC">
              <w:rPr>
                <w:sz w:val="20"/>
              </w:rPr>
              <w:t xml:space="preserve">A generation unit designated in a Combine Cycle Train registration for </w:t>
            </w:r>
            <w:r>
              <w:rPr>
                <w:sz w:val="20"/>
              </w:rPr>
              <w:t>the On-Line</w:t>
            </w:r>
            <w:r w:rsidRPr="00D661BC">
              <w:rPr>
                <w:sz w:val="20"/>
              </w:rPr>
              <w:t xml:space="preserve"> Combined Cycle Generation Resource.</w:t>
            </w:r>
          </w:p>
        </w:tc>
      </w:tr>
      <w:tr w:rsidR="00142F7A" w:rsidRPr="00D67E3B" w14:paraId="56F2CEBC"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7EE5DED2" w14:textId="77777777" w:rsidR="00142F7A" w:rsidRPr="00D661BC" w:rsidRDefault="00142F7A" w:rsidP="00F12CF4">
            <w:pPr>
              <w:rPr>
                <w:i/>
                <w:sz w:val="20"/>
              </w:rPr>
            </w:pPr>
            <w:r>
              <w:rPr>
                <w:i/>
                <w:sz w:val="20"/>
              </w:rPr>
              <w:t>CCT</w:t>
            </w:r>
            <w:r w:rsidRPr="000E2D59">
              <w:rPr>
                <w:i/>
                <w:sz w:val="20"/>
              </w:rPr>
              <w:t>_PhyR</w:t>
            </w:r>
          </w:p>
        </w:tc>
        <w:tc>
          <w:tcPr>
            <w:tcW w:w="820" w:type="dxa"/>
            <w:tcBorders>
              <w:top w:val="single" w:sz="4" w:space="0" w:color="auto"/>
              <w:left w:val="single" w:sz="4" w:space="0" w:color="auto"/>
              <w:bottom w:val="single" w:sz="4" w:space="0" w:color="auto"/>
              <w:right w:val="single" w:sz="4" w:space="0" w:color="auto"/>
            </w:tcBorders>
          </w:tcPr>
          <w:p w14:paraId="53A21C64" w14:textId="77777777" w:rsidR="00142F7A" w:rsidRPr="00D661BC" w:rsidRDefault="00142F7A" w:rsidP="00F12CF4">
            <w:pPr>
              <w:rPr>
                <w:sz w:val="20"/>
              </w:rPr>
            </w:pPr>
            <w:r w:rsidRPr="000E2D59">
              <w:rPr>
                <w:sz w:val="20"/>
              </w:rPr>
              <w:t>none</w:t>
            </w:r>
          </w:p>
        </w:tc>
        <w:tc>
          <w:tcPr>
            <w:tcW w:w="6025" w:type="dxa"/>
            <w:tcBorders>
              <w:top w:val="single" w:sz="4" w:space="0" w:color="auto"/>
              <w:left w:val="single" w:sz="4" w:space="0" w:color="auto"/>
              <w:bottom w:val="single" w:sz="4" w:space="0" w:color="auto"/>
              <w:right w:val="single" w:sz="4" w:space="0" w:color="auto"/>
            </w:tcBorders>
          </w:tcPr>
          <w:p w14:paraId="0D281D25" w14:textId="77777777" w:rsidR="00142F7A" w:rsidRPr="00D661BC" w:rsidRDefault="00142F7A" w:rsidP="00C43DB8">
            <w:pPr>
              <w:spacing w:after="60"/>
              <w:rPr>
                <w:sz w:val="20"/>
              </w:rPr>
            </w:pPr>
            <w:r w:rsidRPr="000E2D59">
              <w:rPr>
                <w:sz w:val="20"/>
              </w:rPr>
              <w:t>A generation unit designated in a Combine Cycle Train registration</w:t>
            </w:r>
            <w:r>
              <w:rPr>
                <w:sz w:val="20"/>
              </w:rPr>
              <w:t>.</w:t>
            </w:r>
            <w:r w:rsidRPr="000E2D59">
              <w:rPr>
                <w:sz w:val="20"/>
              </w:rPr>
              <w:t xml:space="preserve"> </w:t>
            </w:r>
          </w:p>
        </w:tc>
      </w:tr>
      <w:tr w:rsidR="00142F7A" w:rsidRPr="00D67E3B" w14:paraId="2105A122"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BF1E846" w14:textId="77777777" w:rsidR="00142F7A" w:rsidRPr="00D661BC" w:rsidRDefault="00142F7A" w:rsidP="00F12CF4">
            <w:pPr>
              <w:rPr>
                <w:i/>
                <w:sz w:val="20"/>
              </w:rPr>
            </w:pPr>
            <w:r>
              <w:rPr>
                <w:i/>
                <w:sz w:val="20"/>
              </w:rPr>
              <w:t>y</w:t>
            </w:r>
          </w:p>
        </w:tc>
        <w:tc>
          <w:tcPr>
            <w:tcW w:w="820" w:type="dxa"/>
            <w:tcBorders>
              <w:top w:val="single" w:sz="4" w:space="0" w:color="auto"/>
              <w:left w:val="single" w:sz="4" w:space="0" w:color="auto"/>
              <w:bottom w:val="single" w:sz="4" w:space="0" w:color="auto"/>
              <w:right w:val="single" w:sz="4" w:space="0" w:color="auto"/>
            </w:tcBorders>
          </w:tcPr>
          <w:p w14:paraId="4A68A770" w14:textId="77777777" w:rsidR="00142F7A" w:rsidRPr="00D661BC" w:rsidRDefault="00142F7A" w:rsidP="00F12CF4">
            <w:pPr>
              <w:rPr>
                <w:sz w:val="20"/>
              </w:rPr>
            </w:pPr>
            <w:r w:rsidRPr="007D3723">
              <w:rPr>
                <w:sz w:val="20"/>
              </w:rPr>
              <w:t>none</w:t>
            </w:r>
          </w:p>
        </w:tc>
        <w:tc>
          <w:tcPr>
            <w:tcW w:w="6025" w:type="dxa"/>
            <w:tcBorders>
              <w:top w:val="single" w:sz="4" w:space="0" w:color="auto"/>
              <w:left w:val="single" w:sz="4" w:space="0" w:color="auto"/>
              <w:bottom w:val="single" w:sz="4" w:space="0" w:color="auto"/>
              <w:right w:val="single" w:sz="4" w:space="0" w:color="auto"/>
            </w:tcBorders>
          </w:tcPr>
          <w:p w14:paraId="2BEC3DA5" w14:textId="77777777" w:rsidR="00142F7A" w:rsidRPr="00D661BC" w:rsidRDefault="00142F7A" w:rsidP="00C43DB8">
            <w:pPr>
              <w:spacing w:after="60"/>
              <w:rPr>
                <w:sz w:val="20"/>
              </w:rPr>
            </w:pPr>
            <w:r w:rsidRPr="007D3723">
              <w:rPr>
                <w:sz w:val="20"/>
              </w:rPr>
              <w:t>A SCED interval in the 15-minute Settlement Interval</w:t>
            </w:r>
            <w:r>
              <w:rPr>
                <w:sz w:val="20"/>
              </w:rPr>
              <w:t>.</w:t>
            </w:r>
            <w:r w:rsidRPr="007D3723">
              <w:rPr>
                <w:sz w:val="20"/>
              </w:rPr>
              <w:t xml:space="preserve"> </w:t>
            </w:r>
          </w:p>
        </w:tc>
      </w:tr>
    </w:tbl>
    <w:p w14:paraId="7149AC09" w14:textId="77777777" w:rsidR="001F04FD" w:rsidRDefault="001F04FD" w:rsidP="001F04FD">
      <w:pPr>
        <w:pStyle w:val="H4"/>
        <w:spacing w:before="480"/>
        <w:ind w:left="1267" w:hanging="1267"/>
      </w:pPr>
      <w:bookmarkStart w:id="1673" w:name="_Toc397505003"/>
      <w:bookmarkStart w:id="1674" w:name="_Toc402357131"/>
      <w:bookmarkStart w:id="1675" w:name="_Toc422486510"/>
      <w:bookmarkStart w:id="1676" w:name="_Toc433093362"/>
      <w:bookmarkStart w:id="1677" w:name="_Toc433093520"/>
      <w:bookmarkStart w:id="1678" w:name="_Toc440874748"/>
      <w:bookmarkStart w:id="1679" w:name="_Toc448142303"/>
      <w:bookmarkStart w:id="1680" w:name="_Toc448142460"/>
      <w:bookmarkStart w:id="1681" w:name="_Toc458770297"/>
      <w:bookmarkStart w:id="1682" w:name="_Toc459294265"/>
      <w:bookmarkStart w:id="1683" w:name="_Toc463262758"/>
      <w:bookmarkStart w:id="1684" w:name="_Toc468286831"/>
      <w:bookmarkStart w:id="1685" w:name="_Toc481502877"/>
      <w:bookmarkStart w:id="1686" w:name="_Toc496080045"/>
      <w:bookmarkStart w:id="1687" w:name="_Toc103653333"/>
      <w:bookmarkStart w:id="1688" w:name="_Toc109009382"/>
      <w:bookmarkStart w:id="1689" w:name="_Toc204411648"/>
      <w:r>
        <w:t>6.6.1.2</w:t>
      </w:r>
      <w:r>
        <w:tab/>
        <w:t>Real-Time Settlement Point Price for a Load Zone</w:t>
      </w:r>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9"/>
    </w:p>
    <w:p w14:paraId="3259B9F9" w14:textId="77777777" w:rsidR="001F04FD" w:rsidRDefault="001F04FD" w:rsidP="001F04FD">
      <w:pPr>
        <w:pStyle w:val="BodyText"/>
        <w:ind w:left="720" w:hanging="720"/>
      </w:pPr>
      <w:r>
        <w:t>(1)</w:t>
      </w:r>
      <w: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37406418" w14:textId="77777777" w:rsidR="001F04FD" w:rsidRPr="008F62DE" w:rsidRDefault="001F04FD" w:rsidP="001F04FD">
      <w:pPr>
        <w:pStyle w:val="FormulaBold"/>
        <w:rPr>
          <w:lang w:val="es-MX"/>
        </w:rPr>
      </w:pPr>
      <w:r w:rsidRPr="008F62DE">
        <w:rPr>
          <w:lang w:val="es-MX"/>
        </w:rPr>
        <w:lastRenderedPageBreak/>
        <w:t>RTSPP</w:t>
      </w:r>
      <w:r w:rsidRPr="008F62DE">
        <w:rPr>
          <w:lang w:val="es-MX"/>
        </w:rPr>
        <w:tab/>
        <w:t>=</w:t>
      </w:r>
      <w:r w:rsidRPr="008F62DE">
        <w:rPr>
          <w:lang w:val="es-MX"/>
        </w:rPr>
        <w:tab/>
      </w:r>
      <w:r>
        <w:t>Max (-$251, (</w:t>
      </w:r>
      <w:r w:rsidRPr="008F62DE">
        <w:rPr>
          <w:lang w:val="es-MX"/>
        </w:rPr>
        <w:t>(</w:t>
      </w:r>
      <w:r w:rsidRPr="008F62DE">
        <w:rPr>
          <w:position w:val="-22"/>
        </w:rPr>
        <w:object w:dxaOrig="225" w:dyaOrig="450" w14:anchorId="6CBF4516">
          <v:shape id="_x0000_i1033" type="#_x0000_t75" style="width:12pt;height:24.6pt" o:ole="">
            <v:imagedata r:id="rId26" o:title=""/>
          </v:shape>
          <o:OLEObject Type="Embed" ProgID="Equation.3" ShapeID="_x0000_i1033" DrawAspect="Content" ObjectID="_1815025223" r:id="rId27"/>
        </w:object>
      </w:r>
      <w:r w:rsidRPr="008F62DE">
        <w:rPr>
          <w:lang w:val="es-MX"/>
        </w:rPr>
        <w:t xml:space="preserve">TLMP </w:t>
      </w:r>
      <w:r w:rsidRPr="008F62DE">
        <w:rPr>
          <w:i/>
          <w:vertAlign w:val="subscript"/>
          <w:lang w:val="es-MX"/>
        </w:rPr>
        <w:t>y</w:t>
      </w:r>
      <w:r w:rsidRPr="008F62DE">
        <w:rPr>
          <w:lang w:val="es-MX"/>
        </w:rPr>
        <w:t xml:space="preserve"> * LZLMP</w:t>
      </w:r>
      <w:r w:rsidR="001E2376">
        <w:rPr>
          <w:lang w:val="es-MX"/>
        </w:rPr>
        <w:t xml:space="preserve"> </w:t>
      </w:r>
      <w:r w:rsidRPr="008F62DE">
        <w:rPr>
          <w:i/>
          <w:vertAlign w:val="subscript"/>
          <w:lang w:val="es-MX"/>
        </w:rPr>
        <w:t>y</w:t>
      </w:r>
      <w:r w:rsidRPr="008F62DE">
        <w:rPr>
          <w:lang w:val="es-MX"/>
        </w:rPr>
        <w:t xml:space="preserve">) / </w:t>
      </w:r>
      <w:r w:rsidRPr="008F62DE">
        <w:rPr>
          <w:position w:val="-22"/>
        </w:rPr>
        <w:object w:dxaOrig="225" w:dyaOrig="450" w14:anchorId="00CA5734">
          <v:shape id="_x0000_i1034" type="#_x0000_t75" style="width:12pt;height:24.6pt" o:ole="">
            <v:imagedata r:id="rId28" o:title=""/>
          </v:shape>
          <o:OLEObject Type="Embed" ProgID="Equation.3" ShapeID="_x0000_i1034" DrawAspect="Content" ObjectID="_1815025224" r:id="rId29"/>
        </w:object>
      </w:r>
      <w:r w:rsidRPr="008F62DE">
        <w:rPr>
          <w:lang w:val="es-MX"/>
        </w:rPr>
        <w:t>TLMP</w:t>
      </w:r>
      <w:r w:rsidRPr="008F62DE">
        <w:rPr>
          <w:vertAlign w:val="subscript"/>
          <w:lang w:val="es-MX"/>
        </w:rPr>
        <w:t xml:space="preserve"> </w:t>
      </w:r>
      <w:r w:rsidRPr="008F62DE">
        <w:rPr>
          <w:i/>
          <w:vertAlign w:val="subscript"/>
          <w:lang w:val="es-MX"/>
        </w:rPr>
        <w:t>y</w:t>
      </w:r>
      <w:r w:rsidRPr="0080555B">
        <w:t>) + RTRSVPOR</w:t>
      </w:r>
      <w:r>
        <w:t xml:space="preserve"> </w:t>
      </w:r>
      <w:r w:rsidRPr="00193B05">
        <w:t>+ RTRDP</w:t>
      </w:r>
      <w:r>
        <w:t>)</w:t>
      </w:r>
      <w:r w:rsidRPr="008F62DE">
        <w:rPr>
          <w:lang w:val="es-MX"/>
        </w:rPr>
        <w:t xml:space="preserve"> </w:t>
      </w:r>
    </w:p>
    <w:p w14:paraId="3C4CB001" w14:textId="77777777" w:rsidR="001F04FD" w:rsidRDefault="001F04FD" w:rsidP="001F04FD">
      <w:pPr>
        <w:pStyle w:val="BodyText"/>
        <w:ind w:left="720" w:hanging="720"/>
      </w:pPr>
      <w:r>
        <w:t xml:space="preserve">For all Load Zones except Direct Current Tie (DC Tie) Load Zones: </w:t>
      </w:r>
    </w:p>
    <w:p w14:paraId="6508F48C" w14:textId="77777777" w:rsidR="001F04FD" w:rsidRDefault="001F04FD" w:rsidP="001F04FD">
      <w:pPr>
        <w:pStyle w:val="Formula"/>
        <w:ind w:left="2880" w:hanging="2160"/>
        <w:rPr>
          <w:lang w:val="es-MX"/>
        </w:rPr>
      </w:pPr>
      <w:r>
        <w:rPr>
          <w:lang w:val="es-MX"/>
        </w:rPr>
        <w:t>LZLM</w:t>
      </w:r>
      <w:r w:rsidRPr="0037433F">
        <w:rPr>
          <w:lang w:val="es-MX"/>
        </w:rPr>
        <w:t>P</w:t>
      </w:r>
      <w:r w:rsidR="001E2376">
        <w:rPr>
          <w:lang w:val="es-MX"/>
        </w:rPr>
        <w:t xml:space="preserve"> </w:t>
      </w:r>
      <w:r w:rsidRPr="00C01A43">
        <w:rPr>
          <w:i/>
          <w:vertAlign w:val="subscript"/>
          <w:lang w:val="es-MX"/>
        </w:rPr>
        <w:t>y</w:t>
      </w:r>
      <w:r w:rsidRPr="0037433F">
        <w:rPr>
          <w:lang w:val="es-MX"/>
        </w:rPr>
        <w:tab/>
        <w:t>=</w:t>
      </w:r>
      <w:r w:rsidRPr="0037433F">
        <w:rPr>
          <w:lang w:val="es-MX"/>
        </w:rPr>
        <w:tab/>
      </w:r>
      <w:r w:rsidRPr="0037433F">
        <w:rPr>
          <w:position w:val="-20"/>
        </w:rPr>
        <w:object w:dxaOrig="225" w:dyaOrig="420" w14:anchorId="6D802341">
          <v:shape id="_x0000_i1035" type="#_x0000_t75" style="width:12pt;height:24pt" o:ole="">
            <v:imagedata r:id="rId30" o:title=""/>
          </v:shape>
          <o:OLEObject Type="Embed" ProgID="Equation.3" ShapeID="_x0000_i1035" DrawAspect="Content" ObjectID="_1815025225" r:id="rId31"/>
        </w:object>
      </w:r>
      <w:r w:rsidRPr="0037433F">
        <w:rPr>
          <w:lang w:val="es-MX"/>
        </w:rPr>
        <w:t xml:space="preserve"> </w:t>
      </w:r>
      <w:r>
        <w:rPr>
          <w:lang w:val="es-MX"/>
        </w:rPr>
        <w:t>(R</w:t>
      </w:r>
      <w:r w:rsidRPr="0037433F">
        <w:rPr>
          <w:lang w:val="es-MX"/>
        </w:rPr>
        <w:t xml:space="preserve">TLMP </w:t>
      </w:r>
      <w:r>
        <w:rPr>
          <w:i/>
          <w:vertAlign w:val="subscript"/>
          <w:lang w:val="es-MX"/>
        </w:rPr>
        <w:t>b, y</w:t>
      </w:r>
      <w:r w:rsidRPr="0037433F">
        <w:rPr>
          <w:lang w:val="es-MX"/>
        </w:rPr>
        <w:t xml:space="preserve"> </w:t>
      </w:r>
      <w:r>
        <w:rPr>
          <w:lang w:val="es-MX"/>
        </w:rPr>
        <w:t>*</w:t>
      </w:r>
      <w:r w:rsidRPr="0037433F">
        <w:rPr>
          <w:lang w:val="es-MX"/>
        </w:rPr>
        <w:t xml:space="preserve"> </w:t>
      </w:r>
      <w:r>
        <w:rPr>
          <w:lang w:val="es-MX"/>
        </w:rPr>
        <w:t>SEL</w:t>
      </w:r>
      <w:r>
        <w:rPr>
          <w:i/>
          <w:vertAlign w:val="subscript"/>
          <w:lang w:val="es-MX"/>
        </w:rPr>
        <w:t xml:space="preserve"> b, y</w:t>
      </w:r>
      <w:r>
        <w:rPr>
          <w:lang w:val="es-MX"/>
        </w:rPr>
        <w:t xml:space="preserve">) / </w:t>
      </w:r>
      <w:r w:rsidRPr="0037433F">
        <w:rPr>
          <w:position w:val="-20"/>
        </w:rPr>
        <w:object w:dxaOrig="225" w:dyaOrig="420" w14:anchorId="67D56BC0">
          <v:shape id="_x0000_i1036" type="#_x0000_t75" style="width:12pt;height:24pt" o:ole="">
            <v:imagedata r:id="rId32" o:title=""/>
          </v:shape>
          <o:OLEObject Type="Embed" ProgID="Equation.3" ShapeID="_x0000_i1036" DrawAspect="Content" ObjectID="_1815025226" r:id="rId33"/>
        </w:object>
      </w:r>
      <w:r>
        <w:rPr>
          <w:lang w:val="es-MX"/>
        </w:rPr>
        <w:t>SEL</w:t>
      </w:r>
      <w:r>
        <w:rPr>
          <w:vertAlign w:val="subscript"/>
          <w:lang w:val="es-MX"/>
        </w:rPr>
        <w:t xml:space="preserve"> </w:t>
      </w:r>
      <w:r>
        <w:rPr>
          <w:i/>
          <w:vertAlign w:val="subscript"/>
          <w:lang w:val="es-MX"/>
        </w:rPr>
        <w:t>b, y</w:t>
      </w:r>
    </w:p>
    <w:p w14:paraId="239A8510" w14:textId="77777777" w:rsidR="001F04FD" w:rsidRDefault="001F04FD" w:rsidP="001F04FD">
      <w:pPr>
        <w:pStyle w:val="BodyText"/>
      </w:pPr>
      <w:r>
        <w:t xml:space="preserve">For a DC Tie Load Zone: </w:t>
      </w:r>
    </w:p>
    <w:p w14:paraId="79EF875B" w14:textId="77777777" w:rsidR="001F04FD" w:rsidRDefault="001F04FD" w:rsidP="001F04FD">
      <w:pPr>
        <w:pStyle w:val="Formula"/>
        <w:ind w:left="2880" w:hanging="2160"/>
        <w:rPr>
          <w:lang w:val="es-MX"/>
        </w:rPr>
      </w:pPr>
      <w:r>
        <w:rPr>
          <w:lang w:val="es-MX"/>
        </w:rPr>
        <w:t>LZLM</w:t>
      </w:r>
      <w:r w:rsidRPr="0037433F">
        <w:rPr>
          <w:lang w:val="es-MX"/>
        </w:rPr>
        <w:t>P</w:t>
      </w:r>
      <w:r w:rsidR="001E2376">
        <w:rPr>
          <w:lang w:val="es-MX"/>
        </w:rPr>
        <w:t xml:space="preserve"> </w:t>
      </w:r>
      <w:r w:rsidRPr="00C93B6D">
        <w:rPr>
          <w:i/>
          <w:vertAlign w:val="subscript"/>
          <w:lang w:val="es-MX"/>
        </w:rPr>
        <w:t>y</w:t>
      </w:r>
      <w:r w:rsidRPr="0037433F">
        <w:rPr>
          <w:lang w:val="es-MX"/>
        </w:rPr>
        <w:tab/>
        <w:t>=</w:t>
      </w:r>
      <w:r w:rsidRPr="0037433F">
        <w:rPr>
          <w:lang w:val="es-MX"/>
        </w:rPr>
        <w:tab/>
      </w:r>
      <w:r>
        <w:rPr>
          <w:lang w:val="es-MX"/>
        </w:rPr>
        <w:t>RTLMP</w:t>
      </w:r>
      <w:r>
        <w:rPr>
          <w:i/>
          <w:vertAlign w:val="subscript"/>
          <w:lang w:val="es-MX"/>
        </w:rPr>
        <w:t xml:space="preserve"> b, y</w:t>
      </w:r>
      <w:r>
        <w:rPr>
          <w:lang w:val="es-MX"/>
        </w:rPr>
        <w:t xml:space="preserve"> </w:t>
      </w:r>
    </w:p>
    <w:p w14:paraId="7528B860" w14:textId="77777777" w:rsidR="001F04FD" w:rsidRPr="0080555B" w:rsidRDefault="001F04FD" w:rsidP="001F04FD">
      <w:pPr>
        <w:pStyle w:val="BodyText"/>
      </w:pPr>
      <w:r w:rsidRPr="0080555B">
        <w:t>Where:</w:t>
      </w:r>
    </w:p>
    <w:p w14:paraId="363620B4" w14:textId="0A49C8D9" w:rsidR="001F04FD" w:rsidRDefault="001F04FD" w:rsidP="001F04FD">
      <w:pPr>
        <w:spacing w:after="240"/>
        <w:ind w:left="720"/>
      </w:pPr>
      <w:r w:rsidRPr="0080555B">
        <w:t>RTRSVPOR =</w:t>
      </w:r>
      <w:r w:rsidRPr="0080555B">
        <w:tab/>
      </w:r>
      <w:r w:rsidRPr="0080555B">
        <w:tab/>
      </w:r>
      <w:r w:rsidR="00A94020">
        <w:rPr>
          <w:rFonts w:ascii="Times New Roman Bold" w:hAnsi="Times New Roman Bold"/>
          <w:noProof/>
          <w:position w:val="-18"/>
        </w:rPr>
        <w:drawing>
          <wp:inline distT="0" distB="0" distL="0" distR="0" wp14:anchorId="019382CA" wp14:editId="27ABF103">
            <wp:extent cx="142875" cy="295275"/>
            <wp:effectExtent l="0" t="0" r="9525" b="9525"/>
            <wp:docPr id="13" name="Picture 1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0555B">
        <w:t xml:space="preserve">(RNWF </w:t>
      </w:r>
      <w:r w:rsidRPr="0080555B">
        <w:rPr>
          <w:i/>
          <w:iCs/>
          <w:vertAlign w:val="subscript"/>
        </w:rPr>
        <w:t xml:space="preserve">y </w:t>
      </w:r>
      <w:r w:rsidRPr="0080555B">
        <w:t>* RTORPA</w:t>
      </w:r>
      <w:r w:rsidRPr="0080555B">
        <w:rPr>
          <w:i/>
          <w:iCs/>
          <w:vertAlign w:val="subscript"/>
        </w:rPr>
        <w:t xml:space="preserve"> y</w:t>
      </w:r>
      <w:r w:rsidRPr="0080555B">
        <w:t>)</w:t>
      </w:r>
    </w:p>
    <w:p w14:paraId="55916D89" w14:textId="77777777" w:rsidR="001F04FD" w:rsidRPr="0080555B" w:rsidRDefault="001F04FD" w:rsidP="001F04FD">
      <w:pPr>
        <w:spacing w:after="240"/>
        <w:ind w:left="720"/>
      </w:pPr>
      <w:r w:rsidRPr="00193B05">
        <w:t>RTRDP =</w:t>
      </w:r>
      <w:r w:rsidRPr="00193B05">
        <w:tab/>
      </w:r>
      <w:r w:rsidRPr="00193B05">
        <w:rPr>
          <w:position w:val="-22"/>
        </w:rPr>
        <w:object w:dxaOrig="225" w:dyaOrig="465" w14:anchorId="130D314A">
          <v:shape id="_x0000_i1037" type="#_x0000_t75" style="width:12pt;height:18pt" o:ole="">
            <v:imagedata r:id="rId22" o:title=""/>
          </v:shape>
          <o:OLEObject Type="Embed" ProgID="Equation.3" ShapeID="_x0000_i1037" DrawAspect="Content" ObjectID="_1815025227" r:id="rId35"/>
        </w:object>
      </w:r>
      <w:r w:rsidRPr="00193B05">
        <w:t xml:space="preserve">(RNWF </w:t>
      </w:r>
      <w:r w:rsidRPr="00193B05">
        <w:rPr>
          <w:i/>
          <w:iCs/>
          <w:vertAlign w:val="subscript"/>
        </w:rPr>
        <w:t xml:space="preserve">y </w:t>
      </w:r>
      <w:r w:rsidRPr="00193B05">
        <w:t>* RTORDPA</w:t>
      </w:r>
      <w:r w:rsidRPr="00193B05">
        <w:rPr>
          <w:i/>
          <w:iCs/>
          <w:vertAlign w:val="subscript"/>
        </w:rPr>
        <w:t xml:space="preserve"> y</w:t>
      </w:r>
      <w:r w:rsidRPr="00193B05">
        <w:t>)</w:t>
      </w:r>
    </w:p>
    <w:p w14:paraId="4723F9EF" w14:textId="77777777" w:rsidR="001F04FD" w:rsidRDefault="001F04FD" w:rsidP="001F04FD">
      <w:pPr>
        <w:pStyle w:val="Formula"/>
        <w:ind w:left="2880" w:hanging="2160"/>
        <w:rPr>
          <w:lang w:val="es-MX"/>
        </w:rPr>
      </w:pPr>
      <w:r w:rsidRPr="0080555B">
        <w:t xml:space="preserve">RNWF </w:t>
      </w:r>
      <w:r w:rsidRPr="0080555B">
        <w:rPr>
          <w:i/>
          <w:vertAlign w:val="subscript"/>
        </w:rPr>
        <w:t>y</w:t>
      </w:r>
      <w:r w:rsidRPr="0080555B">
        <w:t>=</w:t>
      </w:r>
      <w:r w:rsidRPr="0080555B">
        <w:tab/>
      </w:r>
      <w:r w:rsidRPr="0080555B">
        <w:tab/>
        <w:t xml:space="preserve">TLMP </w:t>
      </w:r>
      <w:r w:rsidRPr="0080555B">
        <w:rPr>
          <w:i/>
          <w:vertAlign w:val="subscript"/>
        </w:rPr>
        <w:t>y</w:t>
      </w:r>
      <w:r w:rsidRPr="0080555B">
        <w:t xml:space="preserve"> </w:t>
      </w:r>
      <w:r w:rsidRPr="0080555B">
        <w:rPr>
          <w:color w:val="000000"/>
          <w:sz w:val="32"/>
          <w:szCs w:val="32"/>
        </w:rPr>
        <w:t>/</w:t>
      </w:r>
      <w:r w:rsidRPr="0080555B">
        <w:rPr>
          <w:color w:val="000000"/>
        </w:rPr>
        <w:t xml:space="preserve"> </w:t>
      </w:r>
      <w:r w:rsidRPr="0080555B">
        <w:rPr>
          <w:position w:val="-22"/>
        </w:rPr>
        <w:object w:dxaOrig="225" w:dyaOrig="465" w14:anchorId="7C28964F">
          <v:shape id="_x0000_i1038" type="#_x0000_t75" style="width:12pt;height:18pt" o:ole="">
            <v:imagedata r:id="rId22" o:title=""/>
          </v:shape>
          <o:OLEObject Type="Embed" ProgID="Equation.3" ShapeID="_x0000_i1038" DrawAspect="Content" ObjectID="_1815025228" r:id="rId36"/>
        </w:object>
      </w:r>
      <w:r w:rsidRPr="0080555B">
        <w:t xml:space="preserve">TLMP </w:t>
      </w:r>
      <w:r w:rsidRPr="0080555B">
        <w:rPr>
          <w:i/>
          <w:vertAlign w:val="subscript"/>
        </w:rPr>
        <w: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F739B" w14:paraId="1AAA0DC9" w14:textId="77777777" w:rsidTr="00EC5231">
        <w:trPr>
          <w:trHeight w:val="206"/>
        </w:trPr>
        <w:tc>
          <w:tcPr>
            <w:tcW w:w="9350" w:type="dxa"/>
            <w:shd w:val="pct12" w:color="auto" w:fill="auto"/>
          </w:tcPr>
          <w:p w14:paraId="7349119D" w14:textId="77777777" w:rsidR="003F739B" w:rsidRDefault="003F739B" w:rsidP="00EC5231">
            <w:pPr>
              <w:pStyle w:val="Instructions"/>
              <w:spacing w:before="120"/>
            </w:pPr>
            <w:r>
              <w:t>[NPRR1010:  Replace paragraph (1) above with the following upon system implementation of the Real-Time Co-Optimization (RTC) project:]</w:t>
            </w:r>
          </w:p>
          <w:p w14:paraId="4BAA097B" w14:textId="77777777" w:rsidR="003F739B" w:rsidRPr="003161DC" w:rsidRDefault="003F739B" w:rsidP="003F739B">
            <w:pPr>
              <w:spacing w:after="240"/>
              <w:ind w:left="720" w:hanging="720"/>
              <w:rPr>
                <w:iCs/>
              </w:rPr>
            </w:pPr>
            <w:r w:rsidRPr="003161DC">
              <w:rPr>
                <w:iCs/>
              </w:rPr>
              <w:t>(1)</w:t>
            </w:r>
            <w:r w:rsidRPr="003161DC">
              <w:rPr>
                <w:iCs/>
              </w:rP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553A9278" w14:textId="77777777" w:rsidR="003F739B" w:rsidRPr="003161DC" w:rsidRDefault="003F739B" w:rsidP="003F739B">
            <w:pPr>
              <w:tabs>
                <w:tab w:val="left" w:pos="2250"/>
                <w:tab w:val="left" w:pos="3150"/>
                <w:tab w:val="left" w:pos="3960"/>
              </w:tabs>
              <w:spacing w:after="240"/>
              <w:ind w:left="3960" w:hanging="3240"/>
              <w:rPr>
                <w:b/>
                <w:bCs/>
                <w:lang w:val="es-MX"/>
              </w:rPr>
            </w:pPr>
            <w:r w:rsidRPr="003161DC">
              <w:rPr>
                <w:b/>
                <w:bCs/>
                <w:lang w:val="es-MX"/>
              </w:rPr>
              <w:t>RTSPP</w:t>
            </w:r>
            <w:r w:rsidRPr="003161DC">
              <w:rPr>
                <w:b/>
                <w:bCs/>
                <w:lang w:val="es-MX"/>
              </w:rPr>
              <w:tab/>
              <w:t>=</w:t>
            </w:r>
            <w:r w:rsidRPr="003161DC">
              <w:rPr>
                <w:b/>
                <w:bCs/>
                <w:lang w:val="es-MX"/>
              </w:rPr>
              <w:tab/>
            </w:r>
            <w:r w:rsidRPr="003161DC">
              <w:rPr>
                <w:b/>
                <w:bCs/>
              </w:rPr>
              <w:t>Max (-$251, (</w:t>
            </w:r>
            <w:r w:rsidRPr="003161DC">
              <w:rPr>
                <w:b/>
                <w:bCs/>
                <w:lang w:val="es-MX"/>
              </w:rPr>
              <w:t>(</w:t>
            </w:r>
            <w:r w:rsidRPr="003161DC">
              <w:rPr>
                <w:b/>
                <w:bCs/>
                <w:position w:val="-22"/>
              </w:rPr>
              <w:object w:dxaOrig="225" w:dyaOrig="450" w14:anchorId="2DD166CC">
                <v:shape id="_x0000_i1039" type="#_x0000_t75" style="width:12pt;height:24.6pt" o:ole="">
                  <v:imagedata r:id="rId26" o:title=""/>
                </v:shape>
                <o:OLEObject Type="Embed" ProgID="Equation.3" ShapeID="_x0000_i1039" DrawAspect="Content" ObjectID="_1815025229" r:id="rId37"/>
              </w:object>
            </w:r>
            <w:r w:rsidRPr="003161DC">
              <w:rPr>
                <w:b/>
                <w:bCs/>
                <w:lang w:val="es-MX"/>
              </w:rPr>
              <w:t xml:space="preserve">TLMP </w:t>
            </w:r>
            <w:r w:rsidRPr="003161DC">
              <w:rPr>
                <w:b/>
                <w:bCs/>
                <w:i/>
                <w:vertAlign w:val="subscript"/>
                <w:lang w:val="es-MX"/>
              </w:rPr>
              <w:t>y</w:t>
            </w:r>
            <w:r w:rsidRPr="003161DC">
              <w:rPr>
                <w:b/>
                <w:bCs/>
                <w:lang w:val="es-MX"/>
              </w:rPr>
              <w:t xml:space="preserve"> * LZLMP </w:t>
            </w:r>
            <w:r w:rsidRPr="003161DC">
              <w:rPr>
                <w:b/>
                <w:bCs/>
                <w:i/>
                <w:vertAlign w:val="subscript"/>
                <w:lang w:val="es-MX"/>
              </w:rPr>
              <w:t>y</w:t>
            </w:r>
            <w:r w:rsidRPr="003161DC">
              <w:rPr>
                <w:b/>
                <w:bCs/>
                <w:lang w:val="es-MX"/>
              </w:rPr>
              <w:t xml:space="preserve">) / </w:t>
            </w:r>
            <w:r w:rsidRPr="003161DC">
              <w:rPr>
                <w:b/>
                <w:bCs/>
                <w:position w:val="-22"/>
              </w:rPr>
              <w:object w:dxaOrig="225" w:dyaOrig="450" w14:anchorId="55616950">
                <v:shape id="_x0000_i1040" type="#_x0000_t75" style="width:12pt;height:24.6pt" o:ole="">
                  <v:imagedata r:id="rId28" o:title=""/>
                </v:shape>
                <o:OLEObject Type="Embed" ProgID="Equation.3" ShapeID="_x0000_i1040" DrawAspect="Content" ObjectID="_1815025230" r:id="rId38"/>
              </w:object>
            </w:r>
            <w:r w:rsidRPr="003161DC">
              <w:rPr>
                <w:b/>
                <w:bCs/>
                <w:lang w:val="es-MX"/>
              </w:rPr>
              <w:t>TLMP</w:t>
            </w:r>
            <w:r w:rsidRPr="003161DC">
              <w:rPr>
                <w:b/>
                <w:bCs/>
                <w:vertAlign w:val="subscript"/>
                <w:lang w:val="es-MX"/>
              </w:rPr>
              <w:t xml:space="preserve"> </w:t>
            </w:r>
            <w:r w:rsidRPr="003161DC">
              <w:rPr>
                <w:b/>
                <w:bCs/>
                <w:i/>
                <w:vertAlign w:val="subscript"/>
                <w:lang w:val="es-MX"/>
              </w:rPr>
              <w:t>y</w:t>
            </w:r>
            <w:r w:rsidRPr="003161DC">
              <w:rPr>
                <w:b/>
                <w:bCs/>
              </w:rPr>
              <w:t>) + RTRDP)</w:t>
            </w:r>
            <w:r w:rsidRPr="003161DC">
              <w:rPr>
                <w:b/>
                <w:bCs/>
                <w:lang w:val="es-MX"/>
              </w:rPr>
              <w:t xml:space="preserve"> </w:t>
            </w:r>
          </w:p>
          <w:p w14:paraId="4311D6D1" w14:textId="77777777" w:rsidR="003F739B" w:rsidRPr="003161DC" w:rsidRDefault="003F739B" w:rsidP="003F739B">
            <w:pPr>
              <w:spacing w:after="240"/>
              <w:ind w:left="720" w:hanging="720"/>
              <w:rPr>
                <w:iCs/>
              </w:rPr>
            </w:pPr>
            <w:r w:rsidRPr="003161DC">
              <w:rPr>
                <w:iCs/>
              </w:rPr>
              <w:t xml:space="preserve">For all Load Zones except Direct Current Tie (DC Tie) Load Zones: </w:t>
            </w:r>
          </w:p>
          <w:p w14:paraId="1E6AE5DF"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r>
            <w:r w:rsidRPr="003161DC">
              <w:rPr>
                <w:bCs/>
                <w:position w:val="-20"/>
              </w:rPr>
              <w:object w:dxaOrig="225" w:dyaOrig="420" w14:anchorId="15120DAA">
                <v:shape id="_x0000_i1041" type="#_x0000_t75" style="width:12pt;height:30pt" o:ole="">
                  <v:imagedata r:id="rId30" o:title=""/>
                </v:shape>
                <o:OLEObject Type="Embed" ProgID="Equation.3" ShapeID="_x0000_i1041" DrawAspect="Content" ObjectID="_1815025231" r:id="rId39"/>
              </w:object>
            </w:r>
            <w:r w:rsidRPr="003161DC">
              <w:rPr>
                <w:bCs/>
                <w:lang w:val="es-MX"/>
              </w:rPr>
              <w:t xml:space="preserve"> (RTLMP </w:t>
            </w:r>
            <w:r w:rsidRPr="003161DC">
              <w:rPr>
                <w:bCs/>
                <w:i/>
                <w:vertAlign w:val="subscript"/>
                <w:lang w:val="es-MX"/>
              </w:rPr>
              <w:t>b, y</w:t>
            </w:r>
            <w:r w:rsidRPr="003161DC">
              <w:rPr>
                <w:bCs/>
                <w:lang w:val="es-MX"/>
              </w:rPr>
              <w:t xml:space="preserve"> * SEL</w:t>
            </w:r>
            <w:r w:rsidRPr="003161DC">
              <w:rPr>
                <w:bCs/>
                <w:i/>
                <w:vertAlign w:val="subscript"/>
                <w:lang w:val="es-MX"/>
              </w:rPr>
              <w:t xml:space="preserve"> b, y</w:t>
            </w:r>
            <w:r w:rsidRPr="003161DC">
              <w:rPr>
                <w:bCs/>
                <w:lang w:val="es-MX"/>
              </w:rPr>
              <w:t xml:space="preserve">) / </w:t>
            </w:r>
            <w:r w:rsidRPr="003161DC">
              <w:rPr>
                <w:bCs/>
                <w:position w:val="-20"/>
              </w:rPr>
              <w:object w:dxaOrig="225" w:dyaOrig="420" w14:anchorId="70A2DFF0">
                <v:shape id="_x0000_i1042" type="#_x0000_t75" style="width:12pt;height:30pt" o:ole="">
                  <v:imagedata r:id="rId32" o:title=""/>
                </v:shape>
                <o:OLEObject Type="Embed" ProgID="Equation.3" ShapeID="_x0000_i1042" DrawAspect="Content" ObjectID="_1815025232" r:id="rId40"/>
              </w:object>
            </w:r>
            <w:r w:rsidRPr="003161DC">
              <w:rPr>
                <w:bCs/>
                <w:lang w:val="es-MX"/>
              </w:rPr>
              <w:t>SEL</w:t>
            </w:r>
            <w:r w:rsidRPr="003161DC">
              <w:rPr>
                <w:bCs/>
                <w:vertAlign w:val="subscript"/>
                <w:lang w:val="es-MX"/>
              </w:rPr>
              <w:t xml:space="preserve"> </w:t>
            </w:r>
            <w:r w:rsidRPr="003161DC">
              <w:rPr>
                <w:bCs/>
                <w:i/>
                <w:vertAlign w:val="subscript"/>
                <w:lang w:val="es-MX"/>
              </w:rPr>
              <w:t>b, y</w:t>
            </w:r>
          </w:p>
          <w:p w14:paraId="06015C9B" w14:textId="77777777" w:rsidR="003F739B" w:rsidRPr="003161DC" w:rsidRDefault="003F739B" w:rsidP="003F739B">
            <w:pPr>
              <w:spacing w:after="240"/>
              <w:rPr>
                <w:iCs/>
              </w:rPr>
            </w:pPr>
            <w:r w:rsidRPr="003161DC">
              <w:rPr>
                <w:iCs/>
              </w:rPr>
              <w:t xml:space="preserve">For a DC Tie Load Zone: </w:t>
            </w:r>
          </w:p>
          <w:p w14:paraId="7D4A4972"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t>RTLMP</w:t>
            </w:r>
            <w:r w:rsidRPr="003161DC">
              <w:rPr>
                <w:bCs/>
                <w:i/>
                <w:vertAlign w:val="subscript"/>
                <w:lang w:val="es-MX"/>
              </w:rPr>
              <w:t xml:space="preserve"> b, y</w:t>
            </w:r>
            <w:r w:rsidRPr="003161DC">
              <w:rPr>
                <w:bCs/>
                <w:lang w:val="es-MX"/>
              </w:rPr>
              <w:t xml:space="preserve"> </w:t>
            </w:r>
          </w:p>
          <w:p w14:paraId="25F0A1E3" w14:textId="77777777" w:rsidR="003F739B" w:rsidRPr="003161DC" w:rsidRDefault="003F739B" w:rsidP="003F739B">
            <w:pPr>
              <w:spacing w:after="240"/>
              <w:rPr>
                <w:iCs/>
              </w:rPr>
            </w:pPr>
            <w:r w:rsidRPr="003161DC">
              <w:rPr>
                <w:iCs/>
              </w:rPr>
              <w:t>Where:</w:t>
            </w:r>
          </w:p>
          <w:p w14:paraId="1B7F4487" w14:textId="554F1369" w:rsidR="003F739B" w:rsidRPr="003161DC" w:rsidRDefault="003F739B" w:rsidP="003F739B">
            <w:pPr>
              <w:spacing w:after="240"/>
              <w:ind w:left="720"/>
            </w:pPr>
            <w:r w:rsidRPr="003161DC">
              <w:lastRenderedPageBreak/>
              <w:t>RTRDP =</w:t>
            </w:r>
            <w:r w:rsidRPr="003161DC">
              <w:tab/>
            </w:r>
            <w:r w:rsidR="000932C9" w:rsidRPr="003161DC">
              <w:rPr>
                <w:position w:val="-22"/>
              </w:rPr>
              <w:object w:dxaOrig="225" w:dyaOrig="465" w14:anchorId="3375E855">
                <v:shape id="_x0000_i1043" type="#_x0000_t75" style="width:24pt;height:18pt" o:ole="">
                  <v:imagedata r:id="rId22" o:title=""/>
                </v:shape>
                <o:OLEObject Type="Embed" ProgID="Equation.3" ShapeID="_x0000_i1043" DrawAspect="Content" ObjectID="_1815025233" r:id="rId41"/>
              </w:object>
            </w:r>
            <w:r w:rsidRPr="003161DC">
              <w:t xml:space="preserve">(RNWF </w:t>
            </w:r>
            <w:r w:rsidRPr="003161DC">
              <w:rPr>
                <w:i/>
                <w:iCs/>
                <w:vertAlign w:val="subscript"/>
              </w:rPr>
              <w:t xml:space="preserve">y </w:t>
            </w:r>
            <w:r w:rsidRPr="003161DC">
              <w:t>* RTRDPA</w:t>
            </w:r>
            <w:r w:rsidRPr="003161DC">
              <w:rPr>
                <w:i/>
                <w:iCs/>
                <w:vertAlign w:val="subscript"/>
              </w:rPr>
              <w:t xml:space="preserve"> y</w:t>
            </w:r>
            <w:r w:rsidRPr="003161DC">
              <w:t>)</w:t>
            </w:r>
          </w:p>
          <w:p w14:paraId="51EA0AB8" w14:textId="52CD5B13" w:rsidR="003F739B" w:rsidRPr="003F739B" w:rsidRDefault="003F739B" w:rsidP="003F739B">
            <w:pPr>
              <w:tabs>
                <w:tab w:val="left" w:pos="2160"/>
                <w:tab w:val="left" w:pos="2880"/>
              </w:tabs>
              <w:spacing w:after="240"/>
              <w:ind w:leftChars="300" w:left="2880" w:hangingChars="900" w:hanging="2160"/>
              <w:rPr>
                <w:bCs/>
                <w:lang w:val="es-MX"/>
              </w:rPr>
            </w:pPr>
            <w:r w:rsidRPr="003161DC">
              <w:rPr>
                <w:bCs/>
              </w:rPr>
              <w:t xml:space="preserve">RNWF </w:t>
            </w:r>
            <w:r w:rsidRPr="003161DC">
              <w:rPr>
                <w:bCs/>
                <w:i/>
                <w:vertAlign w:val="subscript"/>
              </w:rPr>
              <w:t>y</w:t>
            </w:r>
            <w:r w:rsidRPr="003161DC">
              <w:rPr>
                <w:bCs/>
              </w:rPr>
              <w:t>=</w:t>
            </w:r>
            <w:r w:rsidRPr="003161DC">
              <w:rPr>
                <w:bCs/>
              </w:rPr>
              <w:tab/>
            </w:r>
            <w:r w:rsidRPr="003161DC">
              <w:rPr>
                <w:bCs/>
              </w:rPr>
              <w:tab/>
              <w:t xml:space="preserve">TLMP </w:t>
            </w:r>
            <w:r w:rsidRPr="003161DC">
              <w:rPr>
                <w:bCs/>
                <w:i/>
                <w:vertAlign w:val="subscript"/>
              </w:rPr>
              <w:t>y</w:t>
            </w:r>
            <w:r w:rsidRPr="003161DC">
              <w:rPr>
                <w:bCs/>
              </w:rPr>
              <w:t xml:space="preserve"> </w:t>
            </w:r>
            <w:r w:rsidRPr="003161DC">
              <w:rPr>
                <w:bCs/>
                <w:color w:val="000000"/>
                <w:sz w:val="32"/>
                <w:szCs w:val="32"/>
              </w:rPr>
              <w:t>/</w:t>
            </w:r>
            <w:r w:rsidRPr="003161DC">
              <w:rPr>
                <w:bCs/>
                <w:color w:val="000000"/>
              </w:rPr>
              <w:t xml:space="preserve"> </w:t>
            </w:r>
            <w:r w:rsidRPr="003161DC">
              <w:rPr>
                <w:bCs/>
                <w:position w:val="-22"/>
              </w:rPr>
              <w:object w:dxaOrig="225" w:dyaOrig="465" w14:anchorId="4D5EDF51">
                <v:shape id="_x0000_i1044" type="#_x0000_t75" style="width:24pt;height:18pt" o:ole="">
                  <v:imagedata r:id="rId22" o:title=""/>
                </v:shape>
                <o:OLEObject Type="Embed" ProgID="Equation.3" ShapeID="_x0000_i1044" DrawAspect="Content" ObjectID="_1815025234" r:id="rId42"/>
              </w:object>
            </w:r>
            <w:r w:rsidRPr="003161DC">
              <w:rPr>
                <w:bCs/>
              </w:rPr>
              <w:t xml:space="preserve">TLMP </w:t>
            </w:r>
            <w:r w:rsidRPr="003161DC">
              <w:rPr>
                <w:bCs/>
                <w:i/>
                <w:vertAlign w:val="subscript"/>
              </w:rPr>
              <w:t>y</w:t>
            </w:r>
          </w:p>
        </w:tc>
      </w:tr>
    </w:tbl>
    <w:p w14:paraId="4A382582" w14:textId="06755098" w:rsidR="001F04FD" w:rsidRDefault="001F04FD" w:rsidP="00FB599C">
      <w:pPr>
        <w:pStyle w:val="BodyText"/>
        <w:spacing w:before="240"/>
        <w:ind w:left="720" w:hanging="720"/>
      </w:pPr>
      <w:r>
        <w:lastRenderedPageBreak/>
        <w:t>(2)</w:t>
      </w:r>
      <w:r>
        <w:tab/>
        <w:t>For all S</w:t>
      </w:r>
      <w:r w:rsidRPr="003669B3">
        <w:t xml:space="preserve">ettlement calculations in which a </w:t>
      </w:r>
      <w:r>
        <w:t xml:space="preserve">15-minute Real-Time Settlement Point Price </w:t>
      </w:r>
      <w:r w:rsidRPr="00D43A29">
        <w:t xml:space="preserve">for a Load Zone </w:t>
      </w:r>
      <w:r w:rsidRPr="003669B3">
        <w:t xml:space="preserve">is required </w:t>
      </w:r>
      <w:r>
        <w:t xml:space="preserve">in order to perform Settlement </w:t>
      </w:r>
      <w:r w:rsidRPr="003669B3">
        <w:t xml:space="preserve">for a </w:t>
      </w:r>
      <w:r>
        <w:t xml:space="preserve">15-minute </w:t>
      </w:r>
      <w:r w:rsidRPr="003669B3">
        <w:t>quanti</w:t>
      </w:r>
      <w:r w:rsidRPr="00D43A29">
        <w:t>t</w:t>
      </w:r>
      <w:r w:rsidRPr="003669B3">
        <w:t xml:space="preserve">y </w:t>
      </w:r>
      <w:r>
        <w:t xml:space="preserve">that is represented as one value (the integrated value for the 15-minute interval) but </w:t>
      </w:r>
      <w:r w:rsidRPr="00C659E1">
        <w:t>varies with each SCED interval within the 15-minute Settlement Interval, an energy-weighted Real-Time Settlement Point Price shall be used and is calculated as follows:</w:t>
      </w:r>
      <w:r>
        <w:t xml:space="preserve"> </w:t>
      </w:r>
    </w:p>
    <w:p w14:paraId="6703C457" w14:textId="77777777" w:rsidR="001F04FD" w:rsidRPr="00C659E1" w:rsidRDefault="001F04FD" w:rsidP="001F04FD">
      <w:pPr>
        <w:pStyle w:val="BodyText"/>
        <w:ind w:left="3960" w:hanging="3240"/>
        <w:rPr>
          <w:b/>
          <w:lang w:val="es-MX"/>
        </w:rPr>
      </w:pPr>
      <w:r w:rsidRPr="00C659E1">
        <w:rPr>
          <w:b/>
          <w:lang w:val="es-MX"/>
        </w:rPr>
        <w:t>RTSPPEW</w:t>
      </w:r>
      <w:r>
        <w:rPr>
          <w:b/>
          <w:lang w:val="es-MX"/>
        </w:rPr>
        <w:t xml:space="preserve">              </w:t>
      </w:r>
      <w:r w:rsidRPr="00C659E1">
        <w:rPr>
          <w:b/>
          <w:lang w:val="es-MX"/>
        </w:rPr>
        <w:t>=</w:t>
      </w:r>
      <w:r>
        <w:rPr>
          <w:b/>
          <w:lang w:val="es-MX"/>
        </w:rPr>
        <w:tab/>
      </w:r>
      <w:r w:rsidRPr="00C659E1">
        <w:rPr>
          <w:b/>
        </w:rPr>
        <w:t>Max [-$251, (</w:t>
      </w:r>
      <w:r w:rsidRPr="00A33C4E">
        <w:rPr>
          <w:b/>
          <w:position w:val="-22"/>
        </w:rPr>
        <w:object w:dxaOrig="225" w:dyaOrig="450" w14:anchorId="3C1B4368">
          <v:shape id="_x0000_i1045" type="#_x0000_t75" style="width:12pt;height:24.6pt" o:ole="">
            <v:imagedata r:id="rId26" o:title=""/>
          </v:shape>
          <o:OLEObject Type="Embed" ProgID="Equation.3" ShapeID="_x0000_i1045" DrawAspect="Content" ObjectID="_1815025235" r:id="rId43"/>
        </w:object>
      </w:r>
      <w:r w:rsidRPr="00A33C4E">
        <w:rPr>
          <w:b/>
          <w:position w:val="-20"/>
        </w:rPr>
        <w:object w:dxaOrig="225" w:dyaOrig="420" w14:anchorId="7CF5C1D2">
          <v:shape id="_x0000_i1046" type="#_x0000_t75" style="width:12pt;height:24pt" o:ole="">
            <v:imagedata r:id="rId44" o:title=""/>
          </v:shape>
          <o:OLEObject Type="Embed" ProgID="Equation.3" ShapeID="_x0000_i1046" DrawAspect="Content" ObjectID="_1815025236" r:id="rId45"/>
        </w:object>
      </w:r>
      <w:r w:rsidRPr="00C659E1">
        <w:rPr>
          <w:b/>
          <w:lang w:val="es-MX"/>
        </w:rPr>
        <w:t>(RTLMP</w:t>
      </w:r>
      <w:r w:rsidRPr="00C659E1">
        <w:rPr>
          <w:b/>
          <w:vertAlign w:val="subscript"/>
          <w:lang w:val="es-MX"/>
        </w:rPr>
        <w:t xml:space="preserve"> </w:t>
      </w:r>
      <w:r w:rsidRPr="00C659E1">
        <w:rPr>
          <w:b/>
          <w:i/>
          <w:vertAlign w:val="subscript"/>
          <w:lang w:val="es-MX"/>
        </w:rPr>
        <w:t>b, y</w:t>
      </w:r>
      <w:r w:rsidRPr="00C659E1">
        <w:rPr>
          <w:b/>
          <w:lang w:val="es-MX"/>
        </w:rPr>
        <w:t xml:space="preserve"> * LZWF</w:t>
      </w:r>
      <w:r w:rsidRPr="00C659E1">
        <w:rPr>
          <w:b/>
          <w:i/>
          <w:vertAlign w:val="subscript"/>
          <w:lang w:val="es-MX"/>
        </w:rPr>
        <w:t xml:space="preserve"> b, y</w:t>
      </w:r>
      <w:r w:rsidRPr="00C659E1">
        <w:rPr>
          <w:b/>
          <w:lang w:val="es-MX"/>
        </w:rPr>
        <w:t xml:space="preserve">) </w:t>
      </w:r>
      <w:r w:rsidRPr="00C659E1">
        <w:rPr>
          <w:b/>
        </w:rPr>
        <w:t>+ RTRSVPOR</w:t>
      </w:r>
      <w:r>
        <w:rPr>
          <w:b/>
        </w:rPr>
        <w:t xml:space="preserve"> </w:t>
      </w:r>
      <w:r w:rsidRPr="00695338">
        <w:rPr>
          <w:b/>
        </w:rPr>
        <w:t>+</w:t>
      </w:r>
      <w:r>
        <w:rPr>
          <w:b/>
        </w:rPr>
        <w:t xml:space="preserve"> </w:t>
      </w:r>
      <w:r w:rsidRPr="00695338">
        <w:rPr>
          <w:b/>
        </w:rPr>
        <w:t>RTRDP</w:t>
      </w:r>
      <w:r w:rsidRPr="00C659E1">
        <w:rPr>
          <w:b/>
        </w:rPr>
        <w:t>)]</w:t>
      </w:r>
    </w:p>
    <w:p w14:paraId="16902ED3" w14:textId="77777777" w:rsidR="001F04FD" w:rsidRDefault="001F04FD" w:rsidP="001F04FD">
      <w:pPr>
        <w:pStyle w:val="BodyText"/>
      </w:pPr>
      <w:r>
        <w:t>For all Load Zones except DC Tie Load Zones:</w:t>
      </w:r>
    </w:p>
    <w:p w14:paraId="346119BD" w14:textId="77777777" w:rsidR="001F04FD" w:rsidRDefault="001F04FD" w:rsidP="001F04FD">
      <w:pPr>
        <w:pStyle w:val="Formula"/>
        <w:ind w:left="2880" w:hanging="2160"/>
        <w:rPr>
          <w:lang w:val="es-MX"/>
        </w:rPr>
      </w:pPr>
      <w:r>
        <w:rPr>
          <w:lang w:val="es-MX"/>
        </w:rPr>
        <w:t>LZWF</w:t>
      </w:r>
      <w:r>
        <w:rPr>
          <w:i/>
          <w:vertAlign w:val="subscript"/>
          <w:lang w:val="es-MX"/>
        </w:rPr>
        <w:t xml:space="preserve"> b, y</w:t>
      </w:r>
      <w:r>
        <w:rPr>
          <w:lang w:val="es-MX"/>
        </w:rPr>
        <w:t xml:space="preserve"> </w:t>
      </w:r>
      <w:r>
        <w:rPr>
          <w:lang w:val="es-MX"/>
        </w:rPr>
        <w:tab/>
        <w:t>=</w:t>
      </w:r>
      <w:r>
        <w:rPr>
          <w:lang w:val="es-MX"/>
        </w:rPr>
        <w:tab/>
        <w:t>(SEL</w:t>
      </w:r>
      <w:r>
        <w:rPr>
          <w:vertAlign w:val="subscript"/>
          <w:lang w:val="es-MX"/>
        </w:rPr>
        <w:t xml:space="preserve"> </w:t>
      </w:r>
      <w:r>
        <w:rPr>
          <w:i/>
          <w:vertAlign w:val="subscript"/>
          <w:lang w:val="es-MX"/>
        </w:rPr>
        <w:t>b, y</w:t>
      </w:r>
      <w:r>
        <w:rPr>
          <w:lang w:val="es-MX"/>
        </w:rPr>
        <w:t xml:space="preserve"> * TLMP </w:t>
      </w:r>
      <w:r>
        <w:rPr>
          <w:i/>
          <w:vertAlign w:val="subscript"/>
          <w:lang w:val="es-MX"/>
        </w:rPr>
        <w:t>y</w:t>
      </w:r>
      <w:r>
        <w:rPr>
          <w:lang w:val="es-MX"/>
        </w:rPr>
        <w:t xml:space="preserve">) </w:t>
      </w:r>
      <w:r>
        <w:rPr>
          <w:b/>
          <w:sz w:val="32"/>
          <w:szCs w:val="32"/>
          <w:lang w:val="es-MX"/>
        </w:rPr>
        <w:t>/</w:t>
      </w:r>
      <w:r>
        <w:rPr>
          <w:lang w:val="es-MX"/>
        </w:rPr>
        <w:t xml:space="preserve"> [</w:t>
      </w:r>
      <w:r w:rsidRPr="006F784F">
        <w:rPr>
          <w:position w:val="-22"/>
        </w:rPr>
        <w:object w:dxaOrig="225" w:dyaOrig="450" w14:anchorId="7B199BB5">
          <v:shape id="_x0000_i1047" type="#_x0000_t75" style="width:12pt;height:24.6pt" o:ole="">
            <v:imagedata r:id="rId28" o:title=""/>
          </v:shape>
          <o:OLEObject Type="Embed" ProgID="Equation.3" ShapeID="_x0000_i1047" DrawAspect="Content" ObjectID="_1815025237" r:id="rId46"/>
        </w:object>
      </w:r>
      <w:r w:rsidRPr="006F784F">
        <w:rPr>
          <w:position w:val="-20"/>
        </w:rPr>
        <w:object w:dxaOrig="225" w:dyaOrig="420" w14:anchorId="207769DD">
          <v:shape id="_x0000_i1048" type="#_x0000_t75" style="width:12pt;height:24pt" o:ole="">
            <v:imagedata r:id="rId32" o:title=""/>
          </v:shape>
          <o:OLEObject Type="Embed" ProgID="Equation.3" ShapeID="_x0000_i1048" DrawAspect="Content" ObjectID="_1815025238" r:id="rId47"/>
        </w:object>
      </w:r>
      <w:r>
        <w:rPr>
          <w:lang w:val="es-MX"/>
        </w:rPr>
        <w:t>(SEL</w:t>
      </w:r>
      <w:r>
        <w:rPr>
          <w:vertAlign w:val="subscript"/>
          <w:lang w:val="es-MX"/>
        </w:rPr>
        <w:t xml:space="preserve"> </w:t>
      </w:r>
      <w:r>
        <w:rPr>
          <w:i/>
          <w:vertAlign w:val="subscript"/>
          <w:lang w:val="es-MX"/>
        </w:rPr>
        <w:t>b, y</w:t>
      </w:r>
      <w:r>
        <w:rPr>
          <w:lang w:val="es-MX"/>
        </w:rPr>
        <w:t xml:space="preserve"> * TLMP</w:t>
      </w:r>
      <w:r>
        <w:rPr>
          <w:vertAlign w:val="subscript"/>
          <w:lang w:val="es-MX"/>
        </w:rPr>
        <w:t xml:space="preserve"> </w:t>
      </w:r>
      <w:r>
        <w:rPr>
          <w:i/>
          <w:vertAlign w:val="subscript"/>
          <w:lang w:val="es-MX"/>
        </w:rPr>
        <w:t>y</w:t>
      </w:r>
      <w:r>
        <w:rPr>
          <w:lang w:val="es-MX"/>
        </w:rPr>
        <w:t>)]</w:t>
      </w:r>
    </w:p>
    <w:p w14:paraId="0C252D46" w14:textId="77777777" w:rsidR="001F04FD" w:rsidRDefault="001F04FD" w:rsidP="001F04FD">
      <w:pPr>
        <w:pStyle w:val="BodyText"/>
      </w:pPr>
      <w:r>
        <w:t xml:space="preserve">For a DC Tie Load Zone: </w:t>
      </w:r>
    </w:p>
    <w:p w14:paraId="09468018" w14:textId="77777777" w:rsidR="001F04FD" w:rsidRDefault="001F04FD" w:rsidP="001F04FD">
      <w:pPr>
        <w:pStyle w:val="Formula"/>
        <w:ind w:left="2880" w:hanging="2160"/>
        <w:rPr>
          <w:lang w:val="es-MX"/>
        </w:rPr>
      </w:pPr>
      <w:r>
        <w:rPr>
          <w:lang w:val="es-MX"/>
        </w:rPr>
        <w:t>LZWF</w:t>
      </w:r>
      <w:r>
        <w:rPr>
          <w:i/>
          <w:vertAlign w:val="subscript"/>
          <w:lang w:val="es-MX"/>
        </w:rPr>
        <w:t xml:space="preserve"> b, y</w:t>
      </w:r>
      <w:r>
        <w:rPr>
          <w:lang w:val="es-MX"/>
        </w:rPr>
        <w:t xml:space="preserve"> </w:t>
      </w:r>
      <w:r>
        <w:rPr>
          <w:lang w:val="es-MX"/>
        </w:rPr>
        <w:tab/>
        <w:t>=</w:t>
      </w:r>
      <w:r>
        <w:rPr>
          <w:lang w:val="es-MX"/>
        </w:rPr>
        <w:tab/>
        <w:t>(SEL</w:t>
      </w:r>
      <w:r>
        <w:rPr>
          <w:vertAlign w:val="subscript"/>
          <w:lang w:val="es-MX"/>
        </w:rPr>
        <w:t xml:space="preserve"> </w:t>
      </w:r>
      <w:r>
        <w:rPr>
          <w:i/>
          <w:vertAlign w:val="subscript"/>
          <w:lang w:val="es-MX"/>
        </w:rPr>
        <w:t>b, y</w:t>
      </w:r>
      <w:r>
        <w:rPr>
          <w:lang w:val="es-MX"/>
        </w:rPr>
        <w:t xml:space="preserve"> * TLMP </w:t>
      </w:r>
      <w:r>
        <w:rPr>
          <w:i/>
          <w:vertAlign w:val="subscript"/>
          <w:lang w:val="es-MX"/>
        </w:rPr>
        <w:t>y</w:t>
      </w:r>
      <w:r>
        <w:rPr>
          <w:lang w:val="es-MX"/>
        </w:rPr>
        <w:t xml:space="preserve">) </w:t>
      </w:r>
      <w:r>
        <w:rPr>
          <w:b/>
          <w:sz w:val="32"/>
          <w:szCs w:val="32"/>
          <w:lang w:val="es-MX"/>
        </w:rPr>
        <w:t>/</w:t>
      </w:r>
      <w:r>
        <w:rPr>
          <w:lang w:val="es-MX"/>
        </w:rPr>
        <w:t xml:space="preserve"> [</w:t>
      </w:r>
      <w:r w:rsidRPr="006F784F">
        <w:rPr>
          <w:position w:val="-22"/>
        </w:rPr>
        <w:object w:dxaOrig="225" w:dyaOrig="450" w14:anchorId="2025078C">
          <v:shape id="_x0000_i1049" type="#_x0000_t75" style="width:12pt;height:24.6pt" o:ole="">
            <v:imagedata r:id="rId28" o:title=""/>
          </v:shape>
          <o:OLEObject Type="Embed" ProgID="Equation.3" ShapeID="_x0000_i1049" DrawAspect="Content" ObjectID="_1815025239" r:id="rId48"/>
        </w:object>
      </w:r>
      <w:r w:rsidRPr="006F784F">
        <w:rPr>
          <w:position w:val="-20"/>
        </w:rPr>
        <w:object w:dxaOrig="225" w:dyaOrig="420" w14:anchorId="479F4B8B">
          <v:shape id="_x0000_i1050" type="#_x0000_t75" style="width:12pt;height:24pt" o:ole="">
            <v:imagedata r:id="rId32" o:title=""/>
          </v:shape>
          <o:OLEObject Type="Embed" ProgID="Equation.3" ShapeID="_x0000_i1050" DrawAspect="Content" ObjectID="_1815025240" r:id="rId49"/>
        </w:object>
      </w:r>
      <w:r>
        <w:rPr>
          <w:lang w:val="es-MX"/>
        </w:rPr>
        <w:t>(SEL</w:t>
      </w:r>
      <w:r>
        <w:rPr>
          <w:vertAlign w:val="subscript"/>
          <w:lang w:val="es-MX"/>
        </w:rPr>
        <w:t xml:space="preserve"> </w:t>
      </w:r>
      <w:r>
        <w:rPr>
          <w:i/>
          <w:vertAlign w:val="subscript"/>
          <w:lang w:val="es-MX"/>
        </w:rPr>
        <w:t>b, y</w:t>
      </w:r>
      <w:r>
        <w:rPr>
          <w:lang w:val="es-MX"/>
        </w:rPr>
        <w:t xml:space="preserve"> * TLMP</w:t>
      </w:r>
      <w:r>
        <w:rPr>
          <w:vertAlign w:val="subscript"/>
          <w:lang w:val="es-MX"/>
        </w:rPr>
        <w:t xml:space="preserve"> </w:t>
      </w:r>
      <w:r>
        <w:rPr>
          <w:i/>
          <w:vertAlign w:val="subscript"/>
          <w:lang w:val="es-MX"/>
        </w:rPr>
        <w:t>y</w:t>
      </w:r>
      <w:r>
        <w:rPr>
          <w:lang w:val="es-MX"/>
        </w:rPr>
        <w:t>)]</w:t>
      </w:r>
    </w:p>
    <w:p w14:paraId="70ACCBE4" w14:textId="77777777" w:rsidR="001F04FD" w:rsidRDefault="001F04FD" w:rsidP="001F04FD">
      <w:pPr>
        <w:pStyle w:val="Formula"/>
        <w:ind w:left="2880" w:hanging="2160"/>
        <w:rPr>
          <w:lang w:val="es-MX"/>
        </w:rPr>
      </w:pPr>
      <w:r>
        <w:rPr>
          <w:lang w:val="es-MX"/>
        </w:rPr>
        <w:t>SEL</w:t>
      </w:r>
      <w:r>
        <w:rPr>
          <w:vertAlign w:val="subscript"/>
          <w:lang w:val="es-MX"/>
        </w:rPr>
        <w:t xml:space="preserve"> </w:t>
      </w:r>
      <w:r>
        <w:rPr>
          <w:i/>
          <w:vertAlign w:val="subscript"/>
          <w:lang w:val="es-MX"/>
        </w:rPr>
        <w:t>b, y</w:t>
      </w:r>
      <w:r>
        <w:rPr>
          <w:i/>
          <w:vertAlign w:val="subscript"/>
          <w:lang w:val="es-MX"/>
        </w:rPr>
        <w:tab/>
      </w:r>
      <w:r>
        <w:rPr>
          <w:lang w:val="es-MX"/>
        </w:rPr>
        <w:t>=</w:t>
      </w:r>
      <w:r>
        <w:rPr>
          <w:lang w:val="es-MX"/>
        </w:rPr>
        <w:tab/>
        <w:t>1</w:t>
      </w:r>
    </w:p>
    <w:p w14:paraId="3016EC5B" w14:textId="77777777" w:rsidR="001F04FD" w:rsidRDefault="001F04FD" w:rsidP="001F04FD">
      <w:pPr>
        <w:pStyle w:val="Formula"/>
        <w:ind w:leftChars="31" w:left="374" w:hangingChars="125" w:hanging="300"/>
      </w:pPr>
      <w:r w:rsidRPr="0080555B">
        <w:t>Where:</w:t>
      </w:r>
    </w:p>
    <w:p w14:paraId="7A7622B7" w14:textId="1F7B99FF" w:rsidR="001F04FD" w:rsidRDefault="001F04FD" w:rsidP="001F04FD">
      <w:pPr>
        <w:spacing w:after="240"/>
        <w:ind w:left="720"/>
      </w:pPr>
      <w:r w:rsidRPr="0080555B">
        <w:t>RTRSVPOR =</w:t>
      </w:r>
      <w:r w:rsidRPr="0080555B">
        <w:tab/>
      </w:r>
      <w:r w:rsidRPr="0080555B">
        <w:tab/>
      </w:r>
      <w:r w:rsidR="00A94020">
        <w:rPr>
          <w:rFonts w:ascii="Times New Roman Bold" w:hAnsi="Times New Roman Bold"/>
          <w:noProof/>
          <w:position w:val="-18"/>
        </w:rPr>
        <w:drawing>
          <wp:inline distT="0" distB="0" distL="0" distR="0" wp14:anchorId="4521EA7D" wp14:editId="706CF839">
            <wp:extent cx="142875" cy="295275"/>
            <wp:effectExtent l="0" t="0" r="9525" b="9525"/>
            <wp:docPr id="22" name="Picture 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0555B">
        <w:t xml:space="preserve">(RNWF </w:t>
      </w:r>
      <w:r w:rsidRPr="0080555B">
        <w:rPr>
          <w:i/>
          <w:iCs/>
          <w:vertAlign w:val="subscript"/>
        </w:rPr>
        <w:t xml:space="preserve">y </w:t>
      </w:r>
      <w:r w:rsidRPr="0080555B">
        <w:t>* RTORPA</w:t>
      </w:r>
      <w:r w:rsidRPr="0080555B">
        <w:rPr>
          <w:i/>
          <w:iCs/>
          <w:vertAlign w:val="subscript"/>
        </w:rPr>
        <w:t xml:space="preserve"> y</w:t>
      </w:r>
      <w:r w:rsidRPr="0080555B">
        <w:t>)</w:t>
      </w:r>
    </w:p>
    <w:p w14:paraId="211EC782" w14:textId="77777777" w:rsidR="001F04FD" w:rsidRPr="00193B05" w:rsidRDefault="001F04FD" w:rsidP="001F04FD">
      <w:pPr>
        <w:pStyle w:val="Formula"/>
        <w:ind w:left="2880" w:hanging="2160"/>
      </w:pPr>
      <w:r w:rsidRPr="00193B05">
        <w:t>RTRDP =</w:t>
      </w:r>
      <w:r w:rsidRPr="00193B05">
        <w:tab/>
      </w:r>
      <w:r w:rsidRPr="00193B05">
        <w:rPr>
          <w:position w:val="-22"/>
        </w:rPr>
        <w:object w:dxaOrig="225" w:dyaOrig="465" w14:anchorId="412D92D4">
          <v:shape id="_x0000_i1051" type="#_x0000_t75" style="width:12pt;height:18pt" o:ole="">
            <v:imagedata r:id="rId22" o:title=""/>
          </v:shape>
          <o:OLEObject Type="Embed" ProgID="Equation.3" ShapeID="_x0000_i1051" DrawAspect="Content" ObjectID="_1815025241" r:id="rId50"/>
        </w:object>
      </w:r>
      <w:r w:rsidRPr="00193B05">
        <w:t xml:space="preserve">(RNWF </w:t>
      </w:r>
      <w:r w:rsidRPr="00193B05">
        <w:rPr>
          <w:i/>
          <w:iCs/>
          <w:vertAlign w:val="subscript"/>
        </w:rPr>
        <w:t xml:space="preserve">y </w:t>
      </w:r>
      <w:r w:rsidRPr="00193B05">
        <w:t>* RTORDPA</w:t>
      </w:r>
      <w:r w:rsidRPr="00193B05">
        <w:rPr>
          <w:i/>
          <w:iCs/>
          <w:vertAlign w:val="subscript"/>
        </w:rPr>
        <w:t xml:space="preserve"> y</w:t>
      </w:r>
      <w:r w:rsidRPr="00193B05">
        <w:t xml:space="preserve">) </w:t>
      </w:r>
    </w:p>
    <w:p w14:paraId="34D897F9" w14:textId="77777777" w:rsidR="001F04FD" w:rsidRDefault="001F04FD" w:rsidP="001F04FD">
      <w:pPr>
        <w:spacing w:after="240"/>
        <w:ind w:left="720"/>
      </w:pPr>
      <w:r>
        <w:t>RNWF</w:t>
      </w:r>
      <w:r w:rsidRPr="0080555B">
        <w:rPr>
          <w:i/>
          <w:vertAlign w:val="subscript"/>
        </w:rPr>
        <w:t xml:space="preserve"> y</w:t>
      </w:r>
      <w:r>
        <w:rPr>
          <w:i/>
          <w:vertAlign w:val="subscript"/>
        </w:rPr>
        <w:tab/>
      </w:r>
      <w:r>
        <w:t>=</w:t>
      </w:r>
      <w:r>
        <w:tab/>
      </w:r>
      <w:r w:rsidRPr="0080555B">
        <w:t xml:space="preserve">TLMP </w:t>
      </w:r>
      <w:r w:rsidRPr="0080555B">
        <w:rPr>
          <w:i/>
          <w:vertAlign w:val="subscript"/>
        </w:rPr>
        <w:t>y</w:t>
      </w:r>
      <w:r w:rsidRPr="0080555B">
        <w:t xml:space="preserve"> </w:t>
      </w:r>
      <w:r w:rsidRPr="0080555B">
        <w:rPr>
          <w:color w:val="000000"/>
          <w:sz w:val="32"/>
          <w:szCs w:val="32"/>
        </w:rPr>
        <w:t>/</w:t>
      </w:r>
      <w:r w:rsidRPr="0080555B">
        <w:rPr>
          <w:position w:val="-22"/>
        </w:rPr>
        <w:object w:dxaOrig="225" w:dyaOrig="465" w14:anchorId="0C66AB8E">
          <v:shape id="_x0000_i1052" type="#_x0000_t75" style="width:12pt;height:18pt" o:ole="">
            <v:imagedata r:id="rId22" o:title=""/>
          </v:shape>
          <o:OLEObject Type="Embed" ProgID="Equation.3" ShapeID="_x0000_i1052" DrawAspect="Content" ObjectID="_1815025242" r:id="rId51"/>
        </w:object>
      </w:r>
      <w:r w:rsidRPr="0080555B">
        <w:t xml:space="preserve">TLMP </w:t>
      </w:r>
      <w:r w:rsidRPr="0080555B">
        <w:rPr>
          <w:i/>
          <w:vertAlign w:val="subscript"/>
        </w:rPr>
        <w:t>y</w:t>
      </w:r>
    </w:p>
    <w:p w14:paraId="744B0BD0" w14:textId="77777777" w:rsidR="001F04FD" w:rsidRDefault="001F04FD" w:rsidP="001F04FD">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1F04FD" w14:paraId="5F27B0AF" w14:textId="77777777" w:rsidTr="00AC4DEE">
        <w:tc>
          <w:tcPr>
            <w:tcW w:w="1264" w:type="dxa"/>
          </w:tcPr>
          <w:p w14:paraId="7E111B07" w14:textId="77777777" w:rsidR="001F04FD" w:rsidRDefault="001F04FD" w:rsidP="00AC4DEE">
            <w:pPr>
              <w:pStyle w:val="TableHead"/>
            </w:pPr>
            <w:r>
              <w:t>Variable</w:t>
            </w:r>
          </w:p>
        </w:tc>
        <w:tc>
          <w:tcPr>
            <w:tcW w:w="899" w:type="dxa"/>
          </w:tcPr>
          <w:p w14:paraId="7146CE1B" w14:textId="77777777" w:rsidR="001F04FD" w:rsidRDefault="001F04FD" w:rsidP="00AC4DEE">
            <w:pPr>
              <w:pStyle w:val="TableHead"/>
            </w:pPr>
            <w:r>
              <w:t>Unit</w:t>
            </w:r>
          </w:p>
        </w:tc>
        <w:tc>
          <w:tcPr>
            <w:tcW w:w="7107" w:type="dxa"/>
          </w:tcPr>
          <w:p w14:paraId="445DD7AC" w14:textId="77777777" w:rsidR="001F04FD" w:rsidRDefault="001F04FD" w:rsidP="00AC4DEE">
            <w:pPr>
              <w:pStyle w:val="TableHead"/>
            </w:pPr>
            <w:r>
              <w:t>Description</w:t>
            </w:r>
          </w:p>
        </w:tc>
      </w:tr>
      <w:tr w:rsidR="001F04FD" w14:paraId="7ACB2C0F" w14:textId="77777777" w:rsidTr="00AC4DEE">
        <w:tc>
          <w:tcPr>
            <w:tcW w:w="1264" w:type="dxa"/>
          </w:tcPr>
          <w:p w14:paraId="10B20331" w14:textId="77777777" w:rsidR="001F04FD" w:rsidRDefault="001F04FD" w:rsidP="00AC4DEE">
            <w:pPr>
              <w:pStyle w:val="TableBody"/>
            </w:pPr>
            <w:r>
              <w:t>RTSPP</w:t>
            </w:r>
          </w:p>
        </w:tc>
        <w:tc>
          <w:tcPr>
            <w:tcW w:w="899" w:type="dxa"/>
          </w:tcPr>
          <w:p w14:paraId="18312B92" w14:textId="77777777" w:rsidR="001F04FD" w:rsidRDefault="001F04FD" w:rsidP="00AC4DEE">
            <w:pPr>
              <w:pStyle w:val="TableBody"/>
              <w:rPr>
                <w:i/>
              </w:rPr>
            </w:pPr>
            <w:r>
              <w:t>$/MWh</w:t>
            </w:r>
          </w:p>
        </w:tc>
        <w:tc>
          <w:tcPr>
            <w:tcW w:w="7107" w:type="dxa"/>
          </w:tcPr>
          <w:p w14:paraId="31613F6E" w14:textId="77777777" w:rsidR="001F04FD" w:rsidRDefault="001F04FD" w:rsidP="00AC4DEE">
            <w:pPr>
              <w:pStyle w:val="TableBody"/>
            </w:pPr>
            <w:r>
              <w:rPr>
                <w:i/>
              </w:rPr>
              <w:t>Real-Time Settlement Point Price</w:t>
            </w:r>
            <w:r>
              <w:sym w:font="Symbol" w:char="F0BE"/>
            </w:r>
            <w:r>
              <w:t>The Real-Time Settlement Point Price at the Settlement Point, for the 15-minute Settlement Interval.</w:t>
            </w:r>
          </w:p>
        </w:tc>
      </w:tr>
      <w:tr w:rsidR="001F04FD" w14:paraId="7569247B" w14:textId="77777777" w:rsidTr="00AC4DEE">
        <w:tc>
          <w:tcPr>
            <w:tcW w:w="1264" w:type="dxa"/>
          </w:tcPr>
          <w:p w14:paraId="5F663821" w14:textId="77777777" w:rsidR="001F04FD" w:rsidRDefault="001F04FD" w:rsidP="00AC4DEE">
            <w:pPr>
              <w:pStyle w:val="TableBody"/>
            </w:pPr>
            <w:r>
              <w:t>RTSPPEW</w:t>
            </w:r>
          </w:p>
        </w:tc>
        <w:tc>
          <w:tcPr>
            <w:tcW w:w="899" w:type="dxa"/>
          </w:tcPr>
          <w:p w14:paraId="6F842D6A" w14:textId="77777777" w:rsidR="001F04FD" w:rsidRDefault="001F04FD" w:rsidP="00AC4DEE">
            <w:pPr>
              <w:pStyle w:val="TableBody"/>
            </w:pPr>
            <w:r>
              <w:t>$/MWh</w:t>
            </w:r>
          </w:p>
        </w:tc>
        <w:tc>
          <w:tcPr>
            <w:tcW w:w="7107" w:type="dxa"/>
          </w:tcPr>
          <w:p w14:paraId="3CCF3D22" w14:textId="77777777" w:rsidR="001F04FD" w:rsidRDefault="001F04FD" w:rsidP="00AC4DEE">
            <w:pPr>
              <w:pStyle w:val="TableBody"/>
              <w:rPr>
                <w:i/>
              </w:rPr>
            </w:pPr>
            <w:r>
              <w:rPr>
                <w:i/>
              </w:rPr>
              <w:t>Real-Time Settlement Point Price Energy-Weighted</w:t>
            </w:r>
            <w:r>
              <w:sym w:font="Symbol" w:char="F0BE"/>
            </w:r>
            <w:r>
              <w:t xml:space="preserve">The Real-Time Settlement Point Price at the Settlement Point </w:t>
            </w:r>
            <w:r w:rsidRPr="005A37BB">
              <w:rPr>
                <w:i/>
              </w:rPr>
              <w:t>p</w:t>
            </w:r>
            <w:r>
              <w:t>, for the 15-minute Settlement Interval that is weighted by the state-estimated Load of the Load Zone of each SCED interval within the 15-minute Settlement Interval.</w:t>
            </w:r>
          </w:p>
        </w:tc>
      </w:tr>
      <w:tr w:rsidR="001F04FD" w14:paraId="6E295E3C" w14:textId="77777777" w:rsidTr="00AC4DEE">
        <w:tc>
          <w:tcPr>
            <w:tcW w:w="1264" w:type="dxa"/>
          </w:tcPr>
          <w:p w14:paraId="5DA9686F" w14:textId="77777777" w:rsidR="001F04FD" w:rsidRDefault="001F04FD" w:rsidP="00AC4DEE">
            <w:pPr>
              <w:pStyle w:val="TableBody"/>
            </w:pPr>
            <w:r>
              <w:lastRenderedPageBreak/>
              <w:t xml:space="preserve">RTLMP </w:t>
            </w:r>
            <w:r w:rsidRPr="00107CC2">
              <w:rPr>
                <w:i/>
                <w:vertAlign w:val="subscript"/>
              </w:rPr>
              <w:t>b, y</w:t>
            </w:r>
          </w:p>
        </w:tc>
        <w:tc>
          <w:tcPr>
            <w:tcW w:w="899" w:type="dxa"/>
          </w:tcPr>
          <w:p w14:paraId="47185DF0" w14:textId="77777777" w:rsidR="001F04FD" w:rsidRDefault="001F04FD" w:rsidP="00AC4DEE">
            <w:pPr>
              <w:pStyle w:val="TableBody"/>
            </w:pPr>
            <w:r>
              <w:t>$/MWh</w:t>
            </w:r>
          </w:p>
        </w:tc>
        <w:tc>
          <w:tcPr>
            <w:tcW w:w="7107" w:type="dxa"/>
          </w:tcPr>
          <w:p w14:paraId="0CD8A472" w14:textId="77777777" w:rsidR="001F04FD" w:rsidRDefault="001F04FD" w:rsidP="00AC4DEE">
            <w:pPr>
              <w:pStyle w:val="TableBody"/>
            </w:pPr>
            <w:r>
              <w:rPr>
                <w:i/>
              </w:rPr>
              <w:t>Real-Time Locational Marginal Price at bus per interval</w:t>
            </w:r>
            <w:r>
              <w:sym w:font="Symbol" w:char="F0BE"/>
            </w:r>
            <w:r>
              <w:t xml:space="preserve">The Real-Time LMP at Electrical Bus </w:t>
            </w:r>
            <w:r>
              <w:rPr>
                <w:i/>
              </w:rPr>
              <w:t>b</w:t>
            </w:r>
            <w:r>
              <w:t xml:space="preserve"> in the Load Zone, for the SCED interval </w:t>
            </w:r>
            <w:r>
              <w:rPr>
                <w:i/>
              </w:rPr>
              <w:t>y</w:t>
            </w:r>
            <w:r>
              <w:t>.</w:t>
            </w:r>
          </w:p>
        </w:tc>
      </w:tr>
      <w:tr w:rsidR="001F04FD" w14:paraId="1A48057C" w14:textId="77777777" w:rsidTr="00AC4DEE">
        <w:tc>
          <w:tcPr>
            <w:tcW w:w="1264" w:type="dxa"/>
          </w:tcPr>
          <w:p w14:paraId="4411262C" w14:textId="77777777" w:rsidR="001F04FD" w:rsidRDefault="001F04FD" w:rsidP="00AC4DEE">
            <w:pPr>
              <w:pStyle w:val="TableBody"/>
            </w:pPr>
            <w:r w:rsidRPr="00CE4C14">
              <w:t>RTRSVPOR</w:t>
            </w:r>
          </w:p>
        </w:tc>
        <w:tc>
          <w:tcPr>
            <w:tcW w:w="899" w:type="dxa"/>
          </w:tcPr>
          <w:p w14:paraId="60F241EB" w14:textId="77777777" w:rsidR="001F04FD" w:rsidRDefault="001F04FD" w:rsidP="00AC4DEE">
            <w:pPr>
              <w:pStyle w:val="TableBody"/>
            </w:pPr>
            <w:r w:rsidRPr="00CE4C14">
              <w:t>$/MWh</w:t>
            </w:r>
          </w:p>
        </w:tc>
        <w:tc>
          <w:tcPr>
            <w:tcW w:w="7107" w:type="dxa"/>
          </w:tcPr>
          <w:p w14:paraId="48D7CFB4" w14:textId="77777777" w:rsidR="001F04FD" w:rsidRDefault="001F04FD" w:rsidP="00AC4DEE">
            <w:pPr>
              <w:pStyle w:val="TableBody"/>
              <w:rPr>
                <w:i/>
              </w:rPr>
            </w:pPr>
            <w:r w:rsidRPr="00CE4C14">
              <w:rPr>
                <w:i/>
              </w:rPr>
              <w:t>Real-Time Reserve Price for On-Line Reserves</w:t>
            </w:r>
            <w:r w:rsidRPr="00CE4C14">
              <w:sym w:font="Symbol" w:char="F0BE"/>
            </w:r>
            <w:r w:rsidRPr="00CE4C14">
              <w:t>The Real-Time Reserve Price for On-Line Reserves for the 15-minute Settlement Interval.</w:t>
            </w:r>
          </w:p>
        </w:tc>
      </w:tr>
      <w:tr w:rsidR="001F04FD" w14:paraId="3A3AB82D" w14:textId="77777777" w:rsidTr="00AC4DEE">
        <w:tc>
          <w:tcPr>
            <w:tcW w:w="1264" w:type="dxa"/>
          </w:tcPr>
          <w:p w14:paraId="58071866" w14:textId="77777777" w:rsidR="001F04FD" w:rsidRDefault="001F04FD" w:rsidP="00AC4DEE">
            <w:pPr>
              <w:pStyle w:val="TableBody"/>
            </w:pPr>
            <w:r w:rsidRPr="00CE4C14">
              <w:t>RTORPA</w:t>
            </w:r>
            <w:r w:rsidRPr="00CE4C14">
              <w:rPr>
                <w:vertAlign w:val="subscript"/>
              </w:rPr>
              <w:t xml:space="preserve"> </w:t>
            </w:r>
            <w:r w:rsidRPr="00107CC2">
              <w:rPr>
                <w:i/>
                <w:vertAlign w:val="subscript"/>
              </w:rPr>
              <w:t>y</w:t>
            </w:r>
          </w:p>
        </w:tc>
        <w:tc>
          <w:tcPr>
            <w:tcW w:w="899" w:type="dxa"/>
          </w:tcPr>
          <w:p w14:paraId="233FDD4B" w14:textId="77777777" w:rsidR="001F04FD" w:rsidRDefault="001F04FD" w:rsidP="00AC4DEE">
            <w:pPr>
              <w:pStyle w:val="TableBody"/>
            </w:pPr>
            <w:r w:rsidRPr="00CE4C14">
              <w:t>$/MWh</w:t>
            </w:r>
          </w:p>
        </w:tc>
        <w:tc>
          <w:tcPr>
            <w:tcW w:w="7107" w:type="dxa"/>
          </w:tcPr>
          <w:p w14:paraId="641950B9" w14:textId="69B0B36B" w:rsidR="001F04FD" w:rsidRDefault="001F04FD" w:rsidP="00AC4DEE">
            <w:pPr>
              <w:pStyle w:val="TableBody"/>
              <w:rPr>
                <w:i/>
              </w:rPr>
            </w:pPr>
            <w:r w:rsidRPr="00CE4C14">
              <w:rPr>
                <w:i/>
              </w:rPr>
              <w:t>Real-Time On-Line Reserve Price Adder per interval</w:t>
            </w:r>
            <w:r w:rsidRPr="00CE4C14">
              <w:sym w:font="Symbol" w:char="F0BE"/>
            </w:r>
            <w:r w:rsidRPr="00CE4C14">
              <w:t xml:space="preserve">The Real-Time Price Adder for On-Line Reserves for the SCED interval </w:t>
            </w:r>
            <w:r w:rsidRPr="00CE4C14">
              <w:rPr>
                <w:i/>
              </w:rPr>
              <w:t>y</w:t>
            </w:r>
            <w:r w:rsidRPr="00CE4C14">
              <w:t>.</w:t>
            </w:r>
          </w:p>
        </w:tc>
      </w:tr>
      <w:tr w:rsidR="001F04FD" w14:paraId="167D5D6D" w14:textId="77777777" w:rsidTr="00AC4DEE">
        <w:tc>
          <w:tcPr>
            <w:tcW w:w="1264" w:type="dxa"/>
          </w:tcPr>
          <w:p w14:paraId="79B8708F" w14:textId="77777777" w:rsidR="001F04FD" w:rsidRPr="00193B05" w:rsidRDefault="001F04FD" w:rsidP="00AC4DEE">
            <w:pPr>
              <w:pStyle w:val="TableBody"/>
            </w:pPr>
            <w:r w:rsidRPr="00193B05">
              <w:t>RTRDP</w:t>
            </w:r>
          </w:p>
        </w:tc>
        <w:tc>
          <w:tcPr>
            <w:tcW w:w="899" w:type="dxa"/>
          </w:tcPr>
          <w:p w14:paraId="33C31277" w14:textId="77777777" w:rsidR="001F04FD" w:rsidRPr="00193B05" w:rsidRDefault="001F04FD" w:rsidP="00AC4DEE">
            <w:pPr>
              <w:pStyle w:val="TableBody"/>
            </w:pPr>
            <w:r w:rsidRPr="00193B05">
              <w:t>$/MWh</w:t>
            </w:r>
          </w:p>
        </w:tc>
        <w:tc>
          <w:tcPr>
            <w:tcW w:w="7107" w:type="dxa"/>
          </w:tcPr>
          <w:p w14:paraId="5DA82417" w14:textId="6200AAAB" w:rsidR="001F04FD" w:rsidRPr="00193B05" w:rsidRDefault="001F04FD" w:rsidP="00AC4DEE">
            <w:pPr>
              <w:pStyle w:val="TableBody"/>
              <w:rPr>
                <w:i/>
              </w:rPr>
            </w:pPr>
            <w:r w:rsidRPr="00193B05">
              <w:rPr>
                <w:i/>
              </w:rPr>
              <w:t>Real-Time On-Line Reliability Deployment Price</w:t>
            </w:r>
            <w:r w:rsidRPr="00193B05">
              <w:sym w:font="Symbol" w:char="F0BE"/>
            </w:r>
            <w:r w:rsidRPr="00193B05">
              <w:t xml:space="preserve">The Real-Time price for the 15-minute Settlement Interval, reflecting the impact of reliability deployments on energy prices that is calculated </w:t>
            </w:r>
            <w:r w:rsidRPr="00193B05">
              <w:rPr>
                <w:bCs/>
              </w:rPr>
              <w:t>from the Real-</w:t>
            </w:r>
            <w:r w:rsidR="00235D03">
              <w:rPr>
                <w:bCs/>
              </w:rPr>
              <w:t>T</w:t>
            </w:r>
            <w:r w:rsidRPr="00193B05">
              <w:rPr>
                <w:bCs/>
              </w:rPr>
              <w:t>ime On-Line Reliability Deployment Price Adder</w:t>
            </w:r>
            <w:r w:rsidRPr="00193B05">
              <w:t>.</w:t>
            </w:r>
          </w:p>
        </w:tc>
      </w:tr>
      <w:tr w:rsidR="001F04FD" w14:paraId="4864D4DD" w14:textId="77777777" w:rsidTr="00AC4DEE">
        <w:tc>
          <w:tcPr>
            <w:tcW w:w="1264" w:type="dxa"/>
          </w:tcPr>
          <w:p w14:paraId="6275D49F" w14:textId="77777777" w:rsidR="001F04FD" w:rsidRPr="00193B05" w:rsidRDefault="001F04FD" w:rsidP="00AC4DEE">
            <w:pPr>
              <w:pStyle w:val="TableBody"/>
            </w:pPr>
            <w:r w:rsidRPr="00193B05">
              <w:t>RTORDPA</w:t>
            </w:r>
            <w:r w:rsidRPr="00193B05">
              <w:rPr>
                <w:vertAlign w:val="subscript"/>
              </w:rPr>
              <w:t xml:space="preserve"> </w:t>
            </w:r>
            <w:r w:rsidRPr="00107CC2">
              <w:rPr>
                <w:i/>
                <w:vertAlign w:val="subscript"/>
              </w:rPr>
              <w:t>y</w:t>
            </w:r>
          </w:p>
        </w:tc>
        <w:tc>
          <w:tcPr>
            <w:tcW w:w="899" w:type="dxa"/>
          </w:tcPr>
          <w:p w14:paraId="5D6AB02D" w14:textId="77777777" w:rsidR="001F04FD" w:rsidRPr="00193B05" w:rsidRDefault="001F04FD" w:rsidP="00AC4DEE">
            <w:pPr>
              <w:pStyle w:val="TableBody"/>
            </w:pPr>
            <w:r w:rsidRPr="00193B05">
              <w:t>$/MWh</w:t>
            </w:r>
          </w:p>
        </w:tc>
        <w:tc>
          <w:tcPr>
            <w:tcW w:w="7107" w:type="dxa"/>
          </w:tcPr>
          <w:p w14:paraId="60F59513" w14:textId="634DFC3F" w:rsidR="001F04FD" w:rsidRPr="00193B05" w:rsidRDefault="001F04FD" w:rsidP="00AC4DEE">
            <w:pPr>
              <w:pStyle w:val="TableBody"/>
              <w:rPr>
                <w:i/>
              </w:rPr>
            </w:pPr>
            <w:r w:rsidRPr="00193B05">
              <w:rPr>
                <w:i/>
              </w:rPr>
              <w:t>Real-Time On-Line Reliability Deployment Price Adder</w:t>
            </w:r>
            <w:r w:rsidRPr="00193B05">
              <w:sym w:font="Symbol" w:char="F0BE"/>
            </w:r>
            <w:r w:rsidRPr="00193B05">
              <w:t xml:space="preserve">The Real-Time Price Adder that captures the impact of reliability deployments on energy prices for the SCED interval </w:t>
            </w:r>
            <w:r w:rsidRPr="00193B05">
              <w:rPr>
                <w:i/>
              </w:rPr>
              <w:t>y</w:t>
            </w:r>
            <w:r w:rsidRPr="00193B05">
              <w:t>.</w:t>
            </w:r>
          </w:p>
        </w:tc>
      </w:tr>
      <w:tr w:rsidR="001F04FD" w14:paraId="56033D59" w14:textId="77777777" w:rsidTr="00AC4DEE">
        <w:tc>
          <w:tcPr>
            <w:tcW w:w="1264" w:type="dxa"/>
          </w:tcPr>
          <w:p w14:paraId="5F470FC1" w14:textId="77777777" w:rsidR="001F04FD" w:rsidRDefault="001F04FD" w:rsidP="00AC4DEE">
            <w:pPr>
              <w:pStyle w:val="TableBody"/>
            </w:pPr>
            <w:r w:rsidRPr="00CE4C14">
              <w:t xml:space="preserve">RNWF </w:t>
            </w:r>
            <w:r w:rsidRPr="00107CC2">
              <w:rPr>
                <w:i/>
                <w:vertAlign w:val="subscript"/>
              </w:rPr>
              <w:t>y</w:t>
            </w:r>
          </w:p>
        </w:tc>
        <w:tc>
          <w:tcPr>
            <w:tcW w:w="899" w:type="dxa"/>
          </w:tcPr>
          <w:p w14:paraId="4434476A" w14:textId="77777777" w:rsidR="001F04FD" w:rsidRDefault="001F04FD" w:rsidP="00AC4DEE">
            <w:pPr>
              <w:pStyle w:val="TableBody"/>
            </w:pPr>
            <w:r w:rsidRPr="00CE4C14">
              <w:t>none</w:t>
            </w:r>
          </w:p>
        </w:tc>
        <w:tc>
          <w:tcPr>
            <w:tcW w:w="7107" w:type="dxa"/>
          </w:tcPr>
          <w:p w14:paraId="24A4815B" w14:textId="77777777" w:rsidR="001F04FD" w:rsidRDefault="001F04FD" w:rsidP="00AC4DEE">
            <w:pPr>
              <w:pStyle w:val="TableBody"/>
              <w:rPr>
                <w:i/>
              </w:rPr>
            </w:pPr>
            <w:r w:rsidRPr="00CE4C14">
              <w:rPr>
                <w:i/>
              </w:rPr>
              <w:t>Resource Node Weighting Factor per interval</w:t>
            </w:r>
            <w:r w:rsidRPr="00CE4C14">
              <w:sym w:font="Symbol" w:char="F0BE"/>
            </w:r>
            <w:r w:rsidRPr="00CE4C14">
              <w:t xml:space="preserve">The weight used in the Resource Node Settlement Point Price calculation for the portion of the SCED interval </w:t>
            </w:r>
            <w:r w:rsidRPr="00CE4C14">
              <w:rPr>
                <w:i/>
              </w:rPr>
              <w:t>y</w:t>
            </w:r>
            <w:r w:rsidRPr="00CE4C14">
              <w:t xml:space="preserve"> within the Settlement Interval.</w:t>
            </w:r>
          </w:p>
        </w:tc>
      </w:tr>
      <w:tr w:rsidR="001F04FD" w14:paraId="149BB5E3" w14:textId="77777777" w:rsidTr="00AC4DEE">
        <w:tc>
          <w:tcPr>
            <w:tcW w:w="1264" w:type="dxa"/>
          </w:tcPr>
          <w:p w14:paraId="55556F80" w14:textId="77777777" w:rsidR="001F04FD" w:rsidRDefault="001F04FD" w:rsidP="00AC4DEE">
            <w:pPr>
              <w:pStyle w:val="TableBody"/>
            </w:pPr>
            <w:r>
              <w:t>LZWF</w:t>
            </w:r>
            <w:r>
              <w:rPr>
                <w:i/>
                <w:vertAlign w:val="subscript"/>
              </w:rPr>
              <w:t xml:space="preserve"> </w:t>
            </w:r>
            <w:r w:rsidRPr="00107CC2">
              <w:rPr>
                <w:i/>
                <w:vertAlign w:val="subscript"/>
              </w:rPr>
              <w:t>b, y</w:t>
            </w:r>
          </w:p>
        </w:tc>
        <w:tc>
          <w:tcPr>
            <w:tcW w:w="899" w:type="dxa"/>
          </w:tcPr>
          <w:p w14:paraId="49A3581E" w14:textId="77777777" w:rsidR="001F04FD" w:rsidRDefault="001F04FD" w:rsidP="00AC4DEE">
            <w:pPr>
              <w:pStyle w:val="TableBody"/>
            </w:pPr>
            <w:r>
              <w:t>none</w:t>
            </w:r>
          </w:p>
        </w:tc>
        <w:tc>
          <w:tcPr>
            <w:tcW w:w="7107" w:type="dxa"/>
          </w:tcPr>
          <w:p w14:paraId="1A784FD7" w14:textId="77777777" w:rsidR="001F04FD" w:rsidRDefault="001F04FD" w:rsidP="00AC4DEE">
            <w:pPr>
              <w:pStyle w:val="TableBody"/>
              <w:rPr>
                <w:i/>
              </w:rPr>
            </w:pPr>
            <w:r>
              <w:rPr>
                <w:i/>
              </w:rPr>
              <w:t>Load Zone Weighting Factor per bus per interval</w:t>
            </w:r>
            <w:r>
              <w:sym w:font="Symbol" w:char="F0BE"/>
            </w:r>
            <w:r>
              <w:t xml:space="preserve">The weight used in the Load Zone Settlement Point Price calculation for Electrical Bus </w:t>
            </w:r>
            <w:r>
              <w:rPr>
                <w:i/>
              </w:rPr>
              <w:t>b</w:t>
            </w:r>
            <w:r>
              <w:t xml:space="preserve">, for the portion of the SCED interval </w:t>
            </w:r>
            <w:r>
              <w:rPr>
                <w:i/>
              </w:rPr>
              <w:t>y</w:t>
            </w:r>
            <w:r>
              <w:t xml:space="preserve"> within the 15-minute Settlement Interval.</w:t>
            </w:r>
          </w:p>
        </w:tc>
      </w:tr>
      <w:tr w:rsidR="001F04FD" w14:paraId="32B45D1A" w14:textId="77777777" w:rsidTr="00AC4DEE">
        <w:tc>
          <w:tcPr>
            <w:tcW w:w="1264" w:type="dxa"/>
          </w:tcPr>
          <w:p w14:paraId="349D8395" w14:textId="77777777" w:rsidR="001F04FD" w:rsidRDefault="001F04FD" w:rsidP="00AC4DEE">
            <w:pPr>
              <w:pStyle w:val="TableBody"/>
            </w:pPr>
            <w:r>
              <w:t>LZLMP</w:t>
            </w:r>
            <w:r>
              <w:rPr>
                <w:i/>
                <w:vertAlign w:val="subscript"/>
                <w:lang w:val="es-MX"/>
              </w:rPr>
              <w:t xml:space="preserve"> </w:t>
            </w:r>
            <w:r w:rsidRPr="00107CC2">
              <w:rPr>
                <w:i/>
                <w:vertAlign w:val="subscript"/>
                <w:lang w:val="es-MX"/>
              </w:rPr>
              <w:t>y</w:t>
            </w:r>
          </w:p>
        </w:tc>
        <w:tc>
          <w:tcPr>
            <w:tcW w:w="899" w:type="dxa"/>
          </w:tcPr>
          <w:p w14:paraId="19CDB4DC" w14:textId="77777777" w:rsidR="001F04FD" w:rsidRDefault="001F04FD" w:rsidP="00AC4DEE">
            <w:pPr>
              <w:pStyle w:val="TableBody"/>
            </w:pPr>
            <w:r>
              <w:t>$/MWh</w:t>
            </w:r>
          </w:p>
        </w:tc>
        <w:tc>
          <w:tcPr>
            <w:tcW w:w="7107" w:type="dxa"/>
          </w:tcPr>
          <w:p w14:paraId="03A02B93" w14:textId="4EA056EF" w:rsidR="001F04FD" w:rsidRDefault="001F04FD" w:rsidP="00AC4DEE">
            <w:pPr>
              <w:pStyle w:val="TableBody"/>
              <w:rPr>
                <w:i/>
              </w:rPr>
            </w:pPr>
            <w:r>
              <w:rPr>
                <w:i/>
              </w:rPr>
              <w:t>Load Zone Locational Marginal Price</w:t>
            </w:r>
            <w:r>
              <w:sym w:font="Symbol" w:char="F0BE"/>
            </w:r>
            <w:r>
              <w:t xml:space="preserve">The Load Zone LMP for the Load Zone for the SCED </w:t>
            </w:r>
            <w:r w:rsidR="00235D03">
              <w:t>i</w:t>
            </w:r>
            <w:r>
              <w:t xml:space="preserve">nterval </w:t>
            </w:r>
            <w:r>
              <w:rPr>
                <w:i/>
              </w:rPr>
              <w:t>y</w:t>
            </w:r>
            <w:r>
              <w:t>.</w:t>
            </w:r>
          </w:p>
        </w:tc>
      </w:tr>
      <w:tr w:rsidR="001F04FD" w14:paraId="216FA349" w14:textId="77777777" w:rsidTr="00AC4DEE">
        <w:tc>
          <w:tcPr>
            <w:tcW w:w="1264" w:type="dxa"/>
          </w:tcPr>
          <w:p w14:paraId="4C6478D9" w14:textId="77777777" w:rsidR="001F04FD" w:rsidRDefault="001F04FD" w:rsidP="00AC4DEE">
            <w:pPr>
              <w:pStyle w:val="TableBody"/>
            </w:pPr>
            <w:r>
              <w:t xml:space="preserve">SEL </w:t>
            </w:r>
            <w:r w:rsidRPr="00107CC2">
              <w:rPr>
                <w:i/>
                <w:vertAlign w:val="subscript"/>
              </w:rPr>
              <w:t>b, y</w:t>
            </w:r>
          </w:p>
        </w:tc>
        <w:tc>
          <w:tcPr>
            <w:tcW w:w="899" w:type="dxa"/>
          </w:tcPr>
          <w:p w14:paraId="457D04D5" w14:textId="77777777" w:rsidR="001F04FD" w:rsidRDefault="001F04FD" w:rsidP="00AC4DEE">
            <w:pPr>
              <w:pStyle w:val="TableBody"/>
            </w:pPr>
            <w:r>
              <w:t>MW</w:t>
            </w:r>
          </w:p>
        </w:tc>
        <w:tc>
          <w:tcPr>
            <w:tcW w:w="7107" w:type="dxa"/>
          </w:tcPr>
          <w:p w14:paraId="775F6341" w14:textId="152E3758" w:rsidR="001F04FD" w:rsidRDefault="001F04FD" w:rsidP="00B0521F">
            <w:pPr>
              <w:pStyle w:val="TableBody"/>
            </w:pPr>
            <w:r>
              <w:rPr>
                <w:i/>
              </w:rPr>
              <w:t>State Estimator Load at bus per interval</w:t>
            </w:r>
            <w:r>
              <w:sym w:font="Symbol" w:char="F0BE"/>
            </w:r>
            <w:r>
              <w:t xml:space="preserve">The Load </w:t>
            </w:r>
            <w:r w:rsidR="00DC3C3E">
              <w:t xml:space="preserve">value </w:t>
            </w:r>
            <w:r>
              <w:t>from State Estimator</w:t>
            </w:r>
            <w:r w:rsidR="00E62A42">
              <w:t>, including a calculated net Load value at each Private Use Network</w:t>
            </w:r>
            <w:r w:rsidR="00DC3C3E">
              <w:t xml:space="preserve"> and adjustments to</w:t>
            </w:r>
            <w:r w:rsidR="00235D03">
              <w:t xml:space="preserve"> account for Distribution Generation Resource (DGR) and Distribution Energy Storage Resource (DESR) injections and withdrawals that are settled at a Resource Node</w:t>
            </w:r>
            <w:r w:rsidR="00E62A42">
              <w:t>,</w:t>
            </w:r>
            <w:r>
              <w:t xml:space="preserve"> excluding Wholesale Storage Load (WSL) </w:t>
            </w:r>
            <w:r w:rsidR="002A0AD7">
              <w:t xml:space="preserve">and Non-WSL </w:t>
            </w:r>
            <w:r w:rsidR="00B0521F">
              <w:t xml:space="preserve">Energy Storage Resource (ESR) </w:t>
            </w:r>
            <w:r w:rsidR="002A0AD7">
              <w:t xml:space="preserve">Charging Load </w:t>
            </w:r>
            <w:r>
              <w:t xml:space="preserve">for Electrical Bus </w:t>
            </w:r>
            <w:r>
              <w:rPr>
                <w:i/>
              </w:rPr>
              <w:t>b</w:t>
            </w:r>
            <w:r>
              <w:t xml:space="preserve"> in the Load Zone, for the SCED interval </w:t>
            </w:r>
            <w:r>
              <w:rPr>
                <w:i/>
              </w:rPr>
              <w:t>y</w:t>
            </w:r>
            <w:r>
              <w:t>.</w:t>
            </w:r>
          </w:p>
        </w:tc>
      </w:tr>
      <w:tr w:rsidR="001F04FD" w14:paraId="6D2E782F" w14:textId="77777777" w:rsidTr="00AC4DEE">
        <w:tc>
          <w:tcPr>
            <w:tcW w:w="1264" w:type="dxa"/>
          </w:tcPr>
          <w:p w14:paraId="52D7E5EF" w14:textId="77777777" w:rsidR="001F04FD" w:rsidRDefault="001F04FD" w:rsidP="00AC4DEE">
            <w:pPr>
              <w:pStyle w:val="TableBody"/>
            </w:pPr>
            <w:r>
              <w:t xml:space="preserve">TLMP </w:t>
            </w:r>
            <w:r w:rsidRPr="00107CC2">
              <w:rPr>
                <w:i/>
                <w:vertAlign w:val="subscript"/>
              </w:rPr>
              <w:t>y</w:t>
            </w:r>
          </w:p>
        </w:tc>
        <w:tc>
          <w:tcPr>
            <w:tcW w:w="899" w:type="dxa"/>
          </w:tcPr>
          <w:p w14:paraId="3F9CE76D" w14:textId="77777777" w:rsidR="001F04FD" w:rsidRDefault="001F04FD" w:rsidP="00AC4DEE">
            <w:pPr>
              <w:pStyle w:val="TableBody"/>
              <w:rPr>
                <w:iCs w:val="0"/>
              </w:rPr>
            </w:pPr>
            <w:r>
              <w:t>second</w:t>
            </w:r>
          </w:p>
        </w:tc>
        <w:tc>
          <w:tcPr>
            <w:tcW w:w="7107" w:type="dxa"/>
          </w:tcPr>
          <w:p w14:paraId="01672621" w14:textId="77777777" w:rsidR="001F04FD" w:rsidRDefault="001F04FD" w:rsidP="00AC4DEE">
            <w:pPr>
              <w:pStyle w:val="TableBody"/>
            </w:pPr>
            <w:r>
              <w:rPr>
                <w:i/>
                <w:iCs w:val="0"/>
              </w:rPr>
              <w:t xml:space="preserve">Duration of </w:t>
            </w:r>
            <w:r>
              <w:rPr>
                <w:i/>
              </w:rPr>
              <w:t>SCED</w:t>
            </w:r>
            <w:r>
              <w:rPr>
                <w:i/>
                <w:iCs w:val="0"/>
              </w:rPr>
              <w:t xml:space="preserve"> interval per interval</w:t>
            </w:r>
            <w:r>
              <w:sym w:font="Symbol" w:char="F0BE"/>
            </w:r>
            <w:r>
              <w:t xml:space="preserve">The duration of the portion of the SCED interval </w:t>
            </w:r>
            <w:r>
              <w:rPr>
                <w:i/>
                <w:iCs w:val="0"/>
              </w:rPr>
              <w:t>y</w:t>
            </w:r>
            <w:r>
              <w:t xml:space="preserve"> within the Settlement Interval.</w:t>
            </w:r>
          </w:p>
        </w:tc>
      </w:tr>
      <w:tr w:rsidR="001F04FD" w14:paraId="2C4C914D" w14:textId="77777777" w:rsidTr="00AC4DEE">
        <w:tc>
          <w:tcPr>
            <w:tcW w:w="1264" w:type="dxa"/>
          </w:tcPr>
          <w:p w14:paraId="2AC585C2" w14:textId="77777777" w:rsidR="001F04FD" w:rsidRPr="00107CC2" w:rsidRDefault="001F04FD" w:rsidP="00AC4DEE">
            <w:pPr>
              <w:pStyle w:val="TableBody"/>
              <w:rPr>
                <w:i/>
              </w:rPr>
            </w:pPr>
            <w:r w:rsidRPr="00107CC2">
              <w:rPr>
                <w:i/>
              </w:rPr>
              <w:t>y</w:t>
            </w:r>
          </w:p>
        </w:tc>
        <w:tc>
          <w:tcPr>
            <w:tcW w:w="899" w:type="dxa"/>
          </w:tcPr>
          <w:p w14:paraId="76A92B08" w14:textId="77777777" w:rsidR="001F04FD" w:rsidRDefault="001F04FD" w:rsidP="00AC4DEE">
            <w:pPr>
              <w:pStyle w:val="TableBody"/>
            </w:pPr>
            <w:r>
              <w:t>none</w:t>
            </w:r>
          </w:p>
        </w:tc>
        <w:tc>
          <w:tcPr>
            <w:tcW w:w="7107" w:type="dxa"/>
          </w:tcPr>
          <w:p w14:paraId="52E4BDA7" w14:textId="77777777" w:rsidR="001F04FD" w:rsidRDefault="001F04FD" w:rsidP="00AC4DEE">
            <w:pPr>
              <w:pStyle w:val="TableBody"/>
            </w:pPr>
            <w:r>
              <w:t>A SCED interval in the 15-minute Settlement Interval.  The summation is over the total number of SCED runs that cover the 15-minute Settlement Interval.</w:t>
            </w:r>
          </w:p>
        </w:tc>
      </w:tr>
      <w:tr w:rsidR="001F04FD" w14:paraId="68BB5E34" w14:textId="77777777" w:rsidTr="00AC4DEE">
        <w:tc>
          <w:tcPr>
            <w:tcW w:w="1264" w:type="dxa"/>
          </w:tcPr>
          <w:p w14:paraId="106F0474" w14:textId="77777777" w:rsidR="001F04FD" w:rsidRPr="00107CC2" w:rsidRDefault="001F04FD" w:rsidP="00AC4DEE">
            <w:pPr>
              <w:pStyle w:val="TableBody"/>
              <w:rPr>
                <w:i/>
              </w:rPr>
            </w:pPr>
            <w:r w:rsidRPr="00107CC2">
              <w:rPr>
                <w:i/>
              </w:rPr>
              <w:t>b</w:t>
            </w:r>
          </w:p>
        </w:tc>
        <w:tc>
          <w:tcPr>
            <w:tcW w:w="899" w:type="dxa"/>
          </w:tcPr>
          <w:p w14:paraId="0E0A8294" w14:textId="77777777" w:rsidR="001F04FD" w:rsidRDefault="001F04FD" w:rsidP="00AC4DEE">
            <w:pPr>
              <w:pStyle w:val="TableBody"/>
            </w:pPr>
            <w:r>
              <w:t>none</w:t>
            </w:r>
          </w:p>
        </w:tc>
        <w:tc>
          <w:tcPr>
            <w:tcW w:w="7107" w:type="dxa"/>
          </w:tcPr>
          <w:p w14:paraId="4440103A" w14:textId="77777777" w:rsidR="001F04FD" w:rsidRDefault="001F04FD" w:rsidP="00AC4DEE">
            <w:pPr>
              <w:pStyle w:val="TableBody"/>
            </w:pPr>
            <w:r>
              <w:t>An Electrical Bus in the Load Zone.  The summation is over all of the Electrical Buses in the Load Zone.</w:t>
            </w:r>
          </w:p>
        </w:tc>
      </w:tr>
    </w:tbl>
    <w:p w14:paraId="5AC16A24" w14:textId="77777777" w:rsidR="003F739B" w:rsidRPr="003F739B" w:rsidRDefault="003F739B" w:rsidP="003F739B">
      <w:pPr>
        <w:pStyle w:val="BodyText"/>
        <w:spacing w:after="0"/>
      </w:pPr>
      <w:bookmarkStart w:id="1690" w:name="_Toc109009383"/>
      <w:bookmarkStart w:id="1691" w:name="_Toc397505005"/>
      <w:bookmarkStart w:id="1692" w:name="_Toc402357133"/>
      <w:bookmarkStart w:id="1693" w:name="_Toc422486511"/>
      <w:bookmarkStart w:id="1694" w:name="_Toc433093363"/>
      <w:bookmarkStart w:id="1695" w:name="_Toc433093521"/>
      <w:bookmarkStart w:id="1696" w:name="_Toc440874749"/>
      <w:bookmarkStart w:id="1697" w:name="_Toc448142304"/>
      <w:bookmarkStart w:id="1698" w:name="_Toc448142461"/>
      <w:bookmarkStart w:id="1699" w:name="_Toc458770298"/>
      <w:bookmarkStart w:id="1700" w:name="_Toc459294266"/>
      <w:bookmarkStart w:id="1701" w:name="_Toc463262759"/>
      <w:bookmarkStart w:id="1702" w:name="_Toc468286832"/>
      <w:bookmarkStart w:id="1703" w:name="_Toc481502878"/>
      <w:bookmarkStart w:id="1704" w:name="_Toc496080046"/>
      <w:bookmarkStart w:id="1705" w:name="_Toc87951784"/>
      <w:bookmarkEnd w:id="1687"/>
      <w:bookmarkEnd w:id="1688"/>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3F739B" w14:paraId="59D4FB81" w14:textId="77777777" w:rsidTr="00EC5231">
        <w:trPr>
          <w:trHeight w:val="206"/>
        </w:trPr>
        <w:tc>
          <w:tcPr>
            <w:tcW w:w="9350" w:type="dxa"/>
            <w:shd w:val="pct12" w:color="auto" w:fill="auto"/>
          </w:tcPr>
          <w:p w14:paraId="4CBD6383" w14:textId="3CB60A72" w:rsidR="003F739B" w:rsidRDefault="003F739B" w:rsidP="00EC5231">
            <w:pPr>
              <w:pStyle w:val="Instructions"/>
              <w:spacing w:before="120"/>
            </w:pPr>
            <w:r>
              <w:t>[NPRR1010</w:t>
            </w:r>
            <w:r w:rsidR="009F7A6D">
              <w:t xml:space="preserve"> and NPRR1188</w:t>
            </w:r>
            <w:r>
              <w:t xml:space="preserve">:  Replace </w:t>
            </w:r>
            <w:r w:rsidR="009F7A6D">
              <w:t xml:space="preserve">applicable portions of </w:t>
            </w:r>
            <w:r>
              <w:t>paragraph (2) above with the following upon system implementation</w:t>
            </w:r>
            <w:r w:rsidR="00AF7FAD">
              <w:t xml:space="preserve"> of the Real-Time Co-Optimization (RTC) project</w:t>
            </w:r>
            <w:r w:rsidR="009F7A6D">
              <w:t xml:space="preserve"> for NPRR1010; or upon system implementation for NPRR1188</w:t>
            </w:r>
            <w:r>
              <w:t>:]</w:t>
            </w:r>
          </w:p>
          <w:p w14:paraId="01129BC5" w14:textId="77777777" w:rsidR="003F739B" w:rsidRPr="003161DC" w:rsidRDefault="003F739B" w:rsidP="003F739B">
            <w:pPr>
              <w:spacing w:after="240"/>
              <w:ind w:left="720" w:hanging="720"/>
              <w:rPr>
                <w:iCs/>
              </w:rPr>
            </w:pPr>
            <w:r w:rsidRPr="003161DC">
              <w:rPr>
                <w:iCs/>
              </w:rPr>
              <w:t>(2)</w:t>
            </w:r>
            <w:r w:rsidRPr="003161DC">
              <w:rPr>
                <w:iCs/>
              </w:rPr>
              <w:tab/>
              <w:t xml:space="preserve">For all Settlement calculations in which a 15-minute Real-Time Settlement Point Price for a Load Zone is required in order to perform Settlement for a 15-minute quantity that is represented as one value (the integrated value for the 15-minute interval) but varies with each SCED interval within the 15-minute Settlement Interval, an energy-weighted Real-Time Settlement Point Price shall be used and is calculated as follows: </w:t>
            </w:r>
          </w:p>
          <w:p w14:paraId="41EE8A11" w14:textId="71B31E2B" w:rsidR="003F739B" w:rsidRPr="003161DC" w:rsidRDefault="003F739B" w:rsidP="003F739B">
            <w:pPr>
              <w:spacing w:after="240"/>
              <w:ind w:left="3960" w:hanging="3240"/>
              <w:rPr>
                <w:b/>
                <w:iCs/>
                <w:lang w:val="es-MX"/>
              </w:rPr>
            </w:pPr>
            <w:r w:rsidRPr="003161DC">
              <w:rPr>
                <w:b/>
                <w:iCs/>
                <w:lang w:val="es-MX"/>
              </w:rPr>
              <w:lastRenderedPageBreak/>
              <w:t>RTSPPEW              =</w:t>
            </w:r>
            <w:r w:rsidRPr="003161DC">
              <w:rPr>
                <w:b/>
                <w:iCs/>
                <w:lang w:val="es-MX"/>
              </w:rPr>
              <w:tab/>
            </w:r>
            <w:r w:rsidRPr="003161DC">
              <w:rPr>
                <w:b/>
                <w:iCs/>
              </w:rPr>
              <w:t>Max [-$251, (</w:t>
            </w:r>
            <w:r w:rsidRPr="003161DC">
              <w:rPr>
                <w:b/>
                <w:iCs/>
                <w:position w:val="-22"/>
              </w:rPr>
              <w:object w:dxaOrig="225" w:dyaOrig="450" w14:anchorId="5894B769">
                <v:shape id="_x0000_i1053" type="#_x0000_t75" style="width:12pt;height:30pt" o:ole="">
                  <v:imagedata r:id="rId26" o:title=""/>
                </v:shape>
                <o:OLEObject Type="Embed" ProgID="Equation.3" ShapeID="_x0000_i1053" DrawAspect="Content" ObjectID="_1815025243" r:id="rId52"/>
              </w:object>
            </w:r>
            <w:r w:rsidRPr="003161DC">
              <w:rPr>
                <w:b/>
                <w:iCs/>
                <w:position w:val="-20"/>
              </w:rPr>
              <w:object w:dxaOrig="225" w:dyaOrig="420" w14:anchorId="5C4D1075">
                <v:shape id="_x0000_i1054" type="#_x0000_t75" style="width:12pt;height:30pt" o:ole="">
                  <v:imagedata r:id="rId44" o:title=""/>
                </v:shape>
                <o:OLEObject Type="Embed" ProgID="Equation.3" ShapeID="_x0000_i1054" DrawAspect="Content" ObjectID="_1815025244" r:id="rId53"/>
              </w:object>
            </w:r>
            <w:r w:rsidRPr="003161DC">
              <w:rPr>
                <w:b/>
                <w:iCs/>
                <w:lang w:val="es-MX"/>
              </w:rPr>
              <w:t>(RTLMP</w:t>
            </w:r>
            <w:r w:rsidRPr="003161DC">
              <w:rPr>
                <w:b/>
                <w:iCs/>
                <w:vertAlign w:val="subscript"/>
                <w:lang w:val="es-MX"/>
              </w:rPr>
              <w:t xml:space="preserve"> </w:t>
            </w:r>
            <w:r w:rsidRPr="003161DC">
              <w:rPr>
                <w:b/>
                <w:i/>
                <w:iCs/>
                <w:vertAlign w:val="subscript"/>
                <w:lang w:val="es-MX"/>
              </w:rPr>
              <w:t>b, y</w:t>
            </w:r>
            <w:r w:rsidRPr="003161DC">
              <w:rPr>
                <w:b/>
                <w:iCs/>
                <w:lang w:val="es-MX"/>
              </w:rPr>
              <w:t xml:space="preserve"> * LZWF</w:t>
            </w:r>
            <w:r w:rsidRPr="003161DC">
              <w:rPr>
                <w:b/>
                <w:i/>
                <w:iCs/>
                <w:vertAlign w:val="subscript"/>
                <w:lang w:val="es-MX"/>
              </w:rPr>
              <w:t xml:space="preserve"> b, y</w:t>
            </w:r>
            <w:r w:rsidRPr="003161DC">
              <w:rPr>
                <w:b/>
                <w:iCs/>
                <w:lang w:val="es-MX"/>
              </w:rPr>
              <w:t xml:space="preserve">) </w:t>
            </w:r>
            <w:r w:rsidRPr="003161DC">
              <w:rPr>
                <w:b/>
                <w:iCs/>
              </w:rPr>
              <w:t>+ RTRDP)]</w:t>
            </w:r>
          </w:p>
          <w:p w14:paraId="77337C2D" w14:textId="77777777" w:rsidR="003F739B" w:rsidRPr="003161DC" w:rsidRDefault="003F739B" w:rsidP="003F739B">
            <w:pPr>
              <w:spacing w:after="240"/>
              <w:rPr>
                <w:iCs/>
              </w:rPr>
            </w:pPr>
            <w:r w:rsidRPr="003161DC">
              <w:rPr>
                <w:iCs/>
              </w:rPr>
              <w:t>For all Load Zones except DC Tie Load Zones:</w:t>
            </w:r>
          </w:p>
          <w:p w14:paraId="0D2FB307"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137D4621">
                <v:shape id="_x0000_i1055" type="#_x0000_t75" style="width:12pt;height:24.6pt" o:ole="">
                  <v:imagedata r:id="rId28" o:title=""/>
                </v:shape>
                <o:OLEObject Type="Embed" ProgID="Equation.3" ShapeID="_x0000_i1055" DrawAspect="Content" ObjectID="_1815025245" r:id="rId54"/>
              </w:object>
            </w:r>
            <w:r w:rsidRPr="003161DC">
              <w:rPr>
                <w:bCs/>
                <w:position w:val="-20"/>
              </w:rPr>
              <w:object w:dxaOrig="225" w:dyaOrig="420" w14:anchorId="47F80980">
                <v:shape id="_x0000_i1056" type="#_x0000_t75" style="width:12pt;height:30pt" o:ole="">
                  <v:imagedata r:id="rId32" o:title=""/>
                </v:shape>
                <o:OLEObject Type="Embed" ProgID="Equation.3" ShapeID="_x0000_i1056" DrawAspect="Content" ObjectID="_1815025246" r:id="rId55"/>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79F3BD93" w14:textId="77777777" w:rsidR="003F739B" w:rsidRPr="003161DC" w:rsidRDefault="003F739B" w:rsidP="003F739B">
            <w:pPr>
              <w:spacing w:after="240"/>
              <w:rPr>
                <w:iCs/>
              </w:rPr>
            </w:pPr>
            <w:r w:rsidRPr="003161DC">
              <w:rPr>
                <w:iCs/>
              </w:rPr>
              <w:t xml:space="preserve">For a DC Tie Load Zone: </w:t>
            </w:r>
          </w:p>
          <w:p w14:paraId="16BCACC9" w14:textId="1566AED1"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11913F1B">
                <v:shape id="_x0000_i1057" type="#_x0000_t75" style="width:24pt;height:30pt" o:ole="">
                  <v:imagedata r:id="rId28" o:title=""/>
                </v:shape>
                <o:OLEObject Type="Embed" ProgID="Equation.3" ShapeID="_x0000_i1057" DrawAspect="Content" ObjectID="_1815025247" r:id="rId56"/>
              </w:object>
            </w:r>
            <w:r w:rsidRPr="003161DC">
              <w:rPr>
                <w:bCs/>
                <w:position w:val="-20"/>
              </w:rPr>
              <w:object w:dxaOrig="225" w:dyaOrig="420" w14:anchorId="0C2EACDA">
                <v:shape id="_x0000_i1058" type="#_x0000_t75" style="width:12pt;height:30pt" o:ole="">
                  <v:imagedata r:id="rId32" o:title=""/>
                </v:shape>
                <o:OLEObject Type="Embed" ProgID="Equation.3" ShapeID="_x0000_i1058" DrawAspect="Content" ObjectID="_1815025248" r:id="rId57"/>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F3D6293"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i/>
                <w:vertAlign w:val="subscript"/>
                <w:lang w:val="es-MX"/>
              </w:rPr>
              <w:tab/>
            </w:r>
            <w:r w:rsidRPr="003161DC">
              <w:rPr>
                <w:bCs/>
                <w:lang w:val="es-MX"/>
              </w:rPr>
              <w:t>=</w:t>
            </w:r>
            <w:r w:rsidRPr="003161DC">
              <w:rPr>
                <w:bCs/>
                <w:lang w:val="es-MX"/>
              </w:rPr>
              <w:tab/>
              <w:t>1</w:t>
            </w:r>
          </w:p>
          <w:p w14:paraId="50FB8D26" w14:textId="77777777" w:rsidR="003F739B" w:rsidRPr="003161DC" w:rsidRDefault="003F739B" w:rsidP="003F739B">
            <w:pPr>
              <w:tabs>
                <w:tab w:val="left" w:pos="2160"/>
                <w:tab w:val="left" w:pos="2880"/>
              </w:tabs>
              <w:spacing w:after="240"/>
              <w:ind w:leftChars="31" w:left="374" w:hangingChars="125" w:hanging="300"/>
              <w:rPr>
                <w:bCs/>
              </w:rPr>
            </w:pPr>
            <w:r w:rsidRPr="003161DC">
              <w:rPr>
                <w:bCs/>
              </w:rPr>
              <w:t>Where:</w:t>
            </w:r>
          </w:p>
          <w:p w14:paraId="5D62CC49" w14:textId="77777777" w:rsidR="003F739B" w:rsidRPr="003161DC" w:rsidRDefault="003F739B" w:rsidP="003F739B">
            <w:pPr>
              <w:tabs>
                <w:tab w:val="left" w:pos="2160"/>
                <w:tab w:val="left" w:pos="2880"/>
              </w:tabs>
              <w:spacing w:after="240"/>
              <w:ind w:leftChars="300" w:left="2880" w:hangingChars="900" w:hanging="2160"/>
              <w:rPr>
                <w:bCs/>
              </w:rPr>
            </w:pPr>
            <w:r w:rsidRPr="003161DC">
              <w:rPr>
                <w:bCs/>
              </w:rPr>
              <w:t>RTRDP =</w:t>
            </w:r>
            <w:r w:rsidRPr="003161DC">
              <w:rPr>
                <w:bCs/>
              </w:rPr>
              <w:tab/>
            </w:r>
            <w:r w:rsidRPr="003161DC">
              <w:rPr>
                <w:bCs/>
                <w:position w:val="-22"/>
              </w:rPr>
              <w:object w:dxaOrig="225" w:dyaOrig="465" w14:anchorId="75A9E9F4">
                <v:shape id="_x0000_i1059" type="#_x0000_t75" style="width:12pt;height:12pt" o:ole="">
                  <v:imagedata r:id="rId22" o:title=""/>
                </v:shape>
                <o:OLEObject Type="Embed" ProgID="Equation.3" ShapeID="_x0000_i1059" DrawAspect="Content" ObjectID="_1815025249" r:id="rId58"/>
              </w:object>
            </w:r>
            <w:r w:rsidRPr="003161DC">
              <w:rPr>
                <w:bCs/>
              </w:rPr>
              <w:t xml:space="preserve">(RNWF </w:t>
            </w:r>
            <w:r w:rsidRPr="003161DC">
              <w:rPr>
                <w:bCs/>
                <w:i/>
                <w:iCs/>
                <w:vertAlign w:val="subscript"/>
              </w:rPr>
              <w:t xml:space="preserve">y </w:t>
            </w:r>
            <w:r w:rsidRPr="003161DC">
              <w:rPr>
                <w:bCs/>
              </w:rPr>
              <w:t>* RTRDPA</w:t>
            </w:r>
            <w:r w:rsidRPr="003161DC">
              <w:rPr>
                <w:bCs/>
                <w:i/>
                <w:iCs/>
                <w:vertAlign w:val="subscript"/>
              </w:rPr>
              <w:t xml:space="preserve"> y</w:t>
            </w:r>
            <w:r w:rsidRPr="003161DC">
              <w:rPr>
                <w:bCs/>
              </w:rPr>
              <w:t xml:space="preserve">) </w:t>
            </w:r>
          </w:p>
          <w:p w14:paraId="3243F26C" w14:textId="1FD716F2" w:rsidR="003F739B" w:rsidRPr="003161DC" w:rsidRDefault="003F739B" w:rsidP="003F739B">
            <w:pPr>
              <w:spacing w:after="240"/>
              <w:ind w:left="720"/>
            </w:pPr>
            <w:r w:rsidRPr="003161DC">
              <w:t>RNWF</w:t>
            </w:r>
            <w:r w:rsidRPr="003161DC">
              <w:rPr>
                <w:i/>
                <w:vertAlign w:val="subscript"/>
              </w:rPr>
              <w:t xml:space="preserve"> y</w:t>
            </w:r>
            <w:r w:rsidRPr="003161DC">
              <w:rPr>
                <w:i/>
                <w:vertAlign w:val="subscript"/>
              </w:rPr>
              <w:tab/>
            </w:r>
            <w:r w:rsidRPr="003161DC">
              <w:t>=</w:t>
            </w:r>
            <w:r w:rsidRPr="003161DC">
              <w:tab/>
              <w:t xml:space="preserve">TLMP </w:t>
            </w:r>
            <w:r w:rsidRPr="003161DC">
              <w:rPr>
                <w:i/>
                <w:vertAlign w:val="subscript"/>
              </w:rPr>
              <w:t>y</w:t>
            </w:r>
            <w:r w:rsidRPr="003161DC">
              <w:t xml:space="preserve"> </w:t>
            </w:r>
            <w:r w:rsidRPr="003161DC">
              <w:rPr>
                <w:color w:val="000000"/>
                <w:sz w:val="32"/>
                <w:szCs w:val="32"/>
              </w:rPr>
              <w:t>/</w:t>
            </w:r>
            <w:r w:rsidRPr="003161DC">
              <w:rPr>
                <w:position w:val="-22"/>
              </w:rPr>
              <w:object w:dxaOrig="225" w:dyaOrig="465" w14:anchorId="12812FC7">
                <v:shape id="_x0000_i1060" type="#_x0000_t75" style="width:30pt;height:30pt" o:ole="">
                  <v:imagedata r:id="rId22" o:title=""/>
                </v:shape>
                <o:OLEObject Type="Embed" ProgID="Equation.3" ShapeID="_x0000_i1060" DrawAspect="Content" ObjectID="_1815025250" r:id="rId59"/>
              </w:object>
            </w:r>
            <w:r w:rsidRPr="003161DC">
              <w:t xml:space="preserve">TLMP </w:t>
            </w:r>
            <w:r w:rsidRPr="003161DC">
              <w:rPr>
                <w:i/>
                <w:vertAlign w:val="subscript"/>
              </w:rPr>
              <w:t>y</w:t>
            </w:r>
          </w:p>
          <w:p w14:paraId="73B7F445" w14:textId="77777777" w:rsidR="003F739B" w:rsidRPr="003161DC" w:rsidRDefault="003F739B" w:rsidP="003F739B">
            <w:r w:rsidRPr="003161DC">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3F739B" w:rsidRPr="003161DC" w14:paraId="16CB8FC5" w14:textId="77777777" w:rsidTr="00EC5231">
              <w:tc>
                <w:tcPr>
                  <w:tcW w:w="1264" w:type="dxa"/>
                </w:tcPr>
                <w:p w14:paraId="7322EF81" w14:textId="77777777" w:rsidR="003F739B" w:rsidRPr="003161DC" w:rsidRDefault="003F739B" w:rsidP="003F739B">
                  <w:pPr>
                    <w:spacing w:after="120"/>
                    <w:rPr>
                      <w:b/>
                      <w:iCs/>
                      <w:sz w:val="20"/>
                    </w:rPr>
                  </w:pPr>
                  <w:r w:rsidRPr="003161DC">
                    <w:rPr>
                      <w:b/>
                      <w:iCs/>
                      <w:sz w:val="20"/>
                    </w:rPr>
                    <w:t>Variable</w:t>
                  </w:r>
                </w:p>
              </w:tc>
              <w:tc>
                <w:tcPr>
                  <w:tcW w:w="899" w:type="dxa"/>
                </w:tcPr>
                <w:p w14:paraId="1E4B0C32" w14:textId="77777777" w:rsidR="003F739B" w:rsidRPr="003161DC" w:rsidRDefault="003F739B" w:rsidP="003F739B">
                  <w:pPr>
                    <w:spacing w:after="120"/>
                    <w:rPr>
                      <w:b/>
                      <w:iCs/>
                      <w:sz w:val="20"/>
                    </w:rPr>
                  </w:pPr>
                  <w:r w:rsidRPr="003161DC">
                    <w:rPr>
                      <w:b/>
                      <w:iCs/>
                      <w:sz w:val="20"/>
                    </w:rPr>
                    <w:t>Unit</w:t>
                  </w:r>
                </w:p>
              </w:tc>
              <w:tc>
                <w:tcPr>
                  <w:tcW w:w="7107" w:type="dxa"/>
                </w:tcPr>
                <w:p w14:paraId="401F9608" w14:textId="77777777" w:rsidR="003F739B" w:rsidRPr="003161DC" w:rsidRDefault="003F739B" w:rsidP="003F739B">
                  <w:pPr>
                    <w:spacing w:after="120"/>
                    <w:rPr>
                      <w:b/>
                      <w:iCs/>
                      <w:sz w:val="20"/>
                    </w:rPr>
                  </w:pPr>
                  <w:r w:rsidRPr="003161DC">
                    <w:rPr>
                      <w:b/>
                      <w:iCs/>
                      <w:sz w:val="20"/>
                    </w:rPr>
                    <w:t>Description</w:t>
                  </w:r>
                </w:p>
              </w:tc>
            </w:tr>
            <w:tr w:rsidR="003F739B" w:rsidRPr="003161DC" w14:paraId="7CCBCB5A" w14:textId="77777777" w:rsidTr="00EC5231">
              <w:tc>
                <w:tcPr>
                  <w:tcW w:w="1264" w:type="dxa"/>
                </w:tcPr>
                <w:p w14:paraId="1A572A65" w14:textId="77777777" w:rsidR="003F739B" w:rsidRPr="003161DC" w:rsidRDefault="003F739B" w:rsidP="003F739B">
                  <w:pPr>
                    <w:spacing w:after="60"/>
                    <w:rPr>
                      <w:iCs/>
                      <w:sz w:val="20"/>
                    </w:rPr>
                  </w:pPr>
                  <w:r w:rsidRPr="003161DC">
                    <w:rPr>
                      <w:iCs/>
                      <w:sz w:val="20"/>
                    </w:rPr>
                    <w:t>RTSPP</w:t>
                  </w:r>
                </w:p>
              </w:tc>
              <w:tc>
                <w:tcPr>
                  <w:tcW w:w="899" w:type="dxa"/>
                </w:tcPr>
                <w:p w14:paraId="1D023684" w14:textId="77777777" w:rsidR="003F739B" w:rsidRPr="003161DC" w:rsidRDefault="003F739B" w:rsidP="003F739B">
                  <w:pPr>
                    <w:spacing w:after="60"/>
                    <w:rPr>
                      <w:i/>
                      <w:iCs/>
                      <w:sz w:val="20"/>
                    </w:rPr>
                  </w:pPr>
                  <w:r w:rsidRPr="003161DC">
                    <w:rPr>
                      <w:iCs/>
                      <w:sz w:val="20"/>
                    </w:rPr>
                    <w:t>$/MWh</w:t>
                  </w:r>
                </w:p>
              </w:tc>
              <w:tc>
                <w:tcPr>
                  <w:tcW w:w="7107" w:type="dxa"/>
                </w:tcPr>
                <w:p w14:paraId="78F226EA" w14:textId="77777777" w:rsidR="003F739B" w:rsidRPr="003161DC" w:rsidRDefault="003F739B" w:rsidP="003F739B">
                  <w:pPr>
                    <w:spacing w:after="60"/>
                    <w:rPr>
                      <w:iCs/>
                      <w:sz w:val="20"/>
                    </w:rPr>
                  </w:pPr>
                  <w:r w:rsidRPr="003161DC">
                    <w:rPr>
                      <w:i/>
                      <w:iCs/>
                      <w:sz w:val="20"/>
                    </w:rPr>
                    <w:t>Real-Time Settlement Point Price</w:t>
                  </w:r>
                  <w:r w:rsidRPr="003161DC">
                    <w:rPr>
                      <w:iCs/>
                      <w:sz w:val="20"/>
                    </w:rPr>
                    <w:sym w:font="Symbol" w:char="F0BE"/>
                  </w:r>
                  <w:r w:rsidRPr="003161DC">
                    <w:rPr>
                      <w:iCs/>
                      <w:sz w:val="20"/>
                    </w:rPr>
                    <w:t>The Real-Time Settlement Point Price at the Settlement Point, for the 15-minute Settlement Interval.</w:t>
                  </w:r>
                </w:p>
              </w:tc>
            </w:tr>
            <w:tr w:rsidR="003F739B" w:rsidRPr="003161DC" w14:paraId="33B45D4C" w14:textId="77777777" w:rsidTr="00EC5231">
              <w:tc>
                <w:tcPr>
                  <w:tcW w:w="1264" w:type="dxa"/>
                </w:tcPr>
                <w:p w14:paraId="31452EB6" w14:textId="77777777" w:rsidR="003F739B" w:rsidRPr="003161DC" w:rsidRDefault="003F739B" w:rsidP="003F739B">
                  <w:pPr>
                    <w:spacing w:after="60"/>
                    <w:rPr>
                      <w:iCs/>
                      <w:sz w:val="20"/>
                    </w:rPr>
                  </w:pPr>
                  <w:r w:rsidRPr="003161DC">
                    <w:rPr>
                      <w:iCs/>
                      <w:sz w:val="20"/>
                    </w:rPr>
                    <w:t>RTSPPEW</w:t>
                  </w:r>
                </w:p>
              </w:tc>
              <w:tc>
                <w:tcPr>
                  <w:tcW w:w="899" w:type="dxa"/>
                </w:tcPr>
                <w:p w14:paraId="461DCF10" w14:textId="77777777" w:rsidR="003F739B" w:rsidRPr="003161DC" w:rsidRDefault="003F739B" w:rsidP="003F739B">
                  <w:pPr>
                    <w:spacing w:after="60"/>
                    <w:rPr>
                      <w:iCs/>
                      <w:sz w:val="20"/>
                    </w:rPr>
                  </w:pPr>
                  <w:r w:rsidRPr="003161DC">
                    <w:rPr>
                      <w:iCs/>
                      <w:sz w:val="20"/>
                    </w:rPr>
                    <w:t>$/MWh</w:t>
                  </w:r>
                </w:p>
              </w:tc>
              <w:tc>
                <w:tcPr>
                  <w:tcW w:w="7107" w:type="dxa"/>
                </w:tcPr>
                <w:p w14:paraId="009D7594" w14:textId="77777777" w:rsidR="003F739B" w:rsidRPr="003161DC" w:rsidRDefault="003F739B" w:rsidP="003F739B">
                  <w:pPr>
                    <w:spacing w:after="60"/>
                    <w:rPr>
                      <w:i/>
                      <w:iCs/>
                      <w:sz w:val="20"/>
                    </w:rPr>
                  </w:pPr>
                  <w:r w:rsidRPr="003161DC">
                    <w:rPr>
                      <w:i/>
                      <w:iCs/>
                      <w:sz w:val="20"/>
                    </w:rPr>
                    <w:t>Real-Time Settlement Point Price Energy-Weighted</w:t>
                  </w:r>
                  <w:r w:rsidRPr="003161DC">
                    <w:rPr>
                      <w:iCs/>
                      <w:sz w:val="20"/>
                    </w:rPr>
                    <w:sym w:font="Symbol" w:char="F0BE"/>
                  </w:r>
                  <w:r w:rsidRPr="003161DC">
                    <w:rPr>
                      <w:iCs/>
                      <w:sz w:val="20"/>
                    </w:rPr>
                    <w:t xml:space="preserve">The Real-Time Settlement Point Price at the Settlement Point </w:t>
                  </w:r>
                  <w:r w:rsidRPr="003161DC">
                    <w:rPr>
                      <w:i/>
                      <w:iCs/>
                      <w:sz w:val="20"/>
                    </w:rPr>
                    <w:t>p</w:t>
                  </w:r>
                  <w:r w:rsidRPr="003161DC">
                    <w:rPr>
                      <w:iCs/>
                      <w:sz w:val="20"/>
                    </w:rPr>
                    <w:t>, for the 15-minute Settlement Interval that is weighted by the state-estimated Load of the Load Zone of each SCED interval within the 15-minute Settlement Interval.</w:t>
                  </w:r>
                </w:p>
              </w:tc>
            </w:tr>
            <w:tr w:rsidR="003F739B" w:rsidRPr="003161DC" w14:paraId="0AA06D2F" w14:textId="77777777" w:rsidTr="00EC5231">
              <w:tc>
                <w:tcPr>
                  <w:tcW w:w="1264" w:type="dxa"/>
                </w:tcPr>
                <w:p w14:paraId="296BFEBC" w14:textId="77777777" w:rsidR="003F739B" w:rsidRPr="003161DC" w:rsidRDefault="003F739B" w:rsidP="003F739B">
                  <w:pPr>
                    <w:spacing w:after="60"/>
                    <w:rPr>
                      <w:iCs/>
                      <w:sz w:val="20"/>
                    </w:rPr>
                  </w:pPr>
                  <w:r w:rsidRPr="003161DC">
                    <w:rPr>
                      <w:iCs/>
                      <w:sz w:val="20"/>
                    </w:rPr>
                    <w:t xml:space="preserve">RTLMP </w:t>
                  </w:r>
                  <w:r w:rsidRPr="003161DC">
                    <w:rPr>
                      <w:i/>
                      <w:iCs/>
                      <w:sz w:val="20"/>
                      <w:vertAlign w:val="subscript"/>
                    </w:rPr>
                    <w:t>b, y</w:t>
                  </w:r>
                </w:p>
              </w:tc>
              <w:tc>
                <w:tcPr>
                  <w:tcW w:w="899" w:type="dxa"/>
                </w:tcPr>
                <w:p w14:paraId="2F183446" w14:textId="77777777" w:rsidR="003F739B" w:rsidRPr="003161DC" w:rsidRDefault="003F739B" w:rsidP="003F739B">
                  <w:pPr>
                    <w:spacing w:after="60"/>
                    <w:rPr>
                      <w:iCs/>
                      <w:sz w:val="20"/>
                    </w:rPr>
                  </w:pPr>
                  <w:r w:rsidRPr="003161DC">
                    <w:rPr>
                      <w:iCs/>
                      <w:sz w:val="20"/>
                    </w:rPr>
                    <w:t>$/MWh</w:t>
                  </w:r>
                </w:p>
              </w:tc>
              <w:tc>
                <w:tcPr>
                  <w:tcW w:w="7107" w:type="dxa"/>
                </w:tcPr>
                <w:p w14:paraId="4E9A2594" w14:textId="77777777" w:rsidR="003F739B" w:rsidRPr="003161DC" w:rsidRDefault="003F739B" w:rsidP="003F739B">
                  <w:pPr>
                    <w:spacing w:after="60"/>
                    <w:rPr>
                      <w:iCs/>
                      <w:sz w:val="20"/>
                    </w:rPr>
                  </w:pPr>
                  <w:r w:rsidRPr="003161DC">
                    <w:rPr>
                      <w:i/>
                      <w:iCs/>
                      <w:sz w:val="20"/>
                    </w:rPr>
                    <w:t>Real-Time Locational Marginal Price at bus per interval</w:t>
                  </w:r>
                  <w:r w:rsidRPr="003161DC">
                    <w:rPr>
                      <w:iCs/>
                      <w:sz w:val="20"/>
                    </w:rPr>
                    <w:sym w:font="Symbol" w:char="F0BE"/>
                  </w:r>
                  <w:r w:rsidRPr="003161DC">
                    <w:rPr>
                      <w:iCs/>
                      <w:sz w:val="20"/>
                    </w:rPr>
                    <w:t xml:space="preserve">The Real-Time LMP at Electrical Bus </w:t>
                  </w:r>
                  <w:r w:rsidRPr="003161DC">
                    <w:rPr>
                      <w:i/>
                      <w:iCs/>
                      <w:sz w:val="20"/>
                    </w:rPr>
                    <w:t>b</w:t>
                  </w:r>
                  <w:r w:rsidRPr="003161DC">
                    <w:rPr>
                      <w:iCs/>
                      <w:sz w:val="20"/>
                    </w:rPr>
                    <w:t xml:space="preserve"> in the Load Zone, for the SCED interval </w:t>
                  </w:r>
                  <w:r w:rsidRPr="003161DC">
                    <w:rPr>
                      <w:i/>
                      <w:iCs/>
                      <w:sz w:val="20"/>
                    </w:rPr>
                    <w:t>y</w:t>
                  </w:r>
                  <w:r w:rsidRPr="003161DC">
                    <w:rPr>
                      <w:iCs/>
                      <w:sz w:val="20"/>
                    </w:rPr>
                    <w:t>.</w:t>
                  </w:r>
                </w:p>
              </w:tc>
            </w:tr>
            <w:tr w:rsidR="003F739B" w:rsidRPr="003161DC" w14:paraId="1592FEB9" w14:textId="77777777" w:rsidTr="00EC5231">
              <w:tc>
                <w:tcPr>
                  <w:tcW w:w="1264" w:type="dxa"/>
                </w:tcPr>
                <w:p w14:paraId="478947BD" w14:textId="77777777" w:rsidR="003F739B" w:rsidRPr="003161DC" w:rsidRDefault="003F739B" w:rsidP="003F739B">
                  <w:pPr>
                    <w:spacing w:after="60"/>
                    <w:rPr>
                      <w:iCs/>
                      <w:sz w:val="20"/>
                    </w:rPr>
                  </w:pPr>
                  <w:r w:rsidRPr="003161DC">
                    <w:rPr>
                      <w:iCs/>
                      <w:sz w:val="20"/>
                    </w:rPr>
                    <w:t>RTRDP</w:t>
                  </w:r>
                </w:p>
              </w:tc>
              <w:tc>
                <w:tcPr>
                  <w:tcW w:w="899" w:type="dxa"/>
                </w:tcPr>
                <w:p w14:paraId="7892092E" w14:textId="77777777" w:rsidR="003F739B" w:rsidRPr="003161DC" w:rsidRDefault="003F739B" w:rsidP="003F739B">
                  <w:pPr>
                    <w:spacing w:after="60"/>
                    <w:rPr>
                      <w:iCs/>
                      <w:sz w:val="20"/>
                    </w:rPr>
                  </w:pPr>
                  <w:r w:rsidRPr="003161DC">
                    <w:rPr>
                      <w:iCs/>
                      <w:sz w:val="20"/>
                    </w:rPr>
                    <w:t>$/MWh</w:t>
                  </w:r>
                </w:p>
              </w:tc>
              <w:tc>
                <w:tcPr>
                  <w:tcW w:w="7107" w:type="dxa"/>
                </w:tcPr>
                <w:p w14:paraId="15771CA7" w14:textId="77777777" w:rsidR="003F739B" w:rsidRPr="003161DC" w:rsidRDefault="003F739B" w:rsidP="003F739B">
                  <w:pPr>
                    <w:spacing w:after="60"/>
                    <w:rPr>
                      <w:i/>
                      <w:iCs/>
                      <w:sz w:val="20"/>
                    </w:rPr>
                  </w:pPr>
                  <w:r w:rsidRPr="003161DC">
                    <w:rPr>
                      <w:i/>
                      <w:iCs/>
                      <w:sz w:val="20"/>
                    </w:rPr>
                    <w:t xml:space="preserve">Real-Time Reliability Deployment Price </w:t>
                  </w:r>
                  <w:r>
                    <w:rPr>
                      <w:i/>
                      <w:iCs/>
                      <w:sz w:val="20"/>
                    </w:rPr>
                    <w:t>for Energy</w:t>
                  </w:r>
                  <w:r w:rsidRPr="003161DC">
                    <w:rPr>
                      <w:iCs/>
                      <w:sz w:val="20"/>
                    </w:rPr>
                    <w:sym w:font="Symbol" w:char="F0BE"/>
                  </w:r>
                  <w:r w:rsidRPr="003161DC">
                    <w:rPr>
                      <w:iCs/>
                      <w:sz w:val="20"/>
                    </w:rPr>
                    <w:t xml:space="preserve">The Real-Time price for the 15-minute Settlement Interval, reflecting the impact of reliability deployments on energy prices that is calculated </w:t>
                  </w:r>
                  <w:r w:rsidRPr="003161DC">
                    <w:rPr>
                      <w:bCs/>
                      <w:iCs/>
                      <w:sz w:val="20"/>
                    </w:rPr>
                    <w:t>from the Real-</w:t>
                  </w:r>
                  <w:r>
                    <w:rPr>
                      <w:bCs/>
                      <w:iCs/>
                      <w:sz w:val="20"/>
                    </w:rPr>
                    <w:t>T</w:t>
                  </w:r>
                  <w:r w:rsidRPr="003161DC">
                    <w:rPr>
                      <w:bCs/>
                      <w:iCs/>
                      <w:sz w:val="20"/>
                    </w:rPr>
                    <w:t>ime Reliability Deployment Price Adder</w:t>
                  </w:r>
                  <w:r>
                    <w:rPr>
                      <w:bCs/>
                      <w:iCs/>
                      <w:sz w:val="20"/>
                    </w:rPr>
                    <w:t xml:space="preserve"> for Energy</w:t>
                  </w:r>
                  <w:r w:rsidRPr="003161DC">
                    <w:rPr>
                      <w:iCs/>
                      <w:sz w:val="20"/>
                    </w:rPr>
                    <w:t>.</w:t>
                  </w:r>
                </w:p>
              </w:tc>
            </w:tr>
            <w:tr w:rsidR="003F739B" w:rsidRPr="003161DC" w14:paraId="250F06F0" w14:textId="77777777" w:rsidTr="00EC5231">
              <w:tc>
                <w:tcPr>
                  <w:tcW w:w="1264" w:type="dxa"/>
                </w:tcPr>
                <w:p w14:paraId="4342C0B2" w14:textId="77777777" w:rsidR="003F739B" w:rsidRPr="003161DC" w:rsidRDefault="003F739B" w:rsidP="003F739B">
                  <w:pPr>
                    <w:spacing w:after="60"/>
                    <w:rPr>
                      <w:iCs/>
                      <w:sz w:val="20"/>
                    </w:rPr>
                  </w:pPr>
                  <w:r w:rsidRPr="003161DC">
                    <w:rPr>
                      <w:iCs/>
                      <w:sz w:val="20"/>
                    </w:rPr>
                    <w:t>RTRDPA</w:t>
                  </w:r>
                  <w:r w:rsidRPr="003161DC">
                    <w:rPr>
                      <w:iCs/>
                      <w:sz w:val="20"/>
                      <w:vertAlign w:val="subscript"/>
                    </w:rPr>
                    <w:t xml:space="preserve"> </w:t>
                  </w:r>
                  <w:r w:rsidRPr="003161DC">
                    <w:rPr>
                      <w:i/>
                      <w:iCs/>
                      <w:sz w:val="20"/>
                      <w:vertAlign w:val="subscript"/>
                    </w:rPr>
                    <w:t>y</w:t>
                  </w:r>
                </w:p>
              </w:tc>
              <w:tc>
                <w:tcPr>
                  <w:tcW w:w="899" w:type="dxa"/>
                </w:tcPr>
                <w:p w14:paraId="72E73D0F" w14:textId="77777777" w:rsidR="003F739B" w:rsidRPr="003161DC" w:rsidRDefault="003F739B" w:rsidP="003F739B">
                  <w:pPr>
                    <w:spacing w:after="60"/>
                    <w:rPr>
                      <w:iCs/>
                      <w:sz w:val="20"/>
                    </w:rPr>
                  </w:pPr>
                  <w:r w:rsidRPr="003161DC">
                    <w:rPr>
                      <w:iCs/>
                      <w:sz w:val="20"/>
                    </w:rPr>
                    <w:t>$/MWh</w:t>
                  </w:r>
                </w:p>
              </w:tc>
              <w:tc>
                <w:tcPr>
                  <w:tcW w:w="7107" w:type="dxa"/>
                </w:tcPr>
                <w:p w14:paraId="2C1E64D5" w14:textId="290DE9C3" w:rsidR="003F739B" w:rsidRPr="003161DC" w:rsidRDefault="003F739B" w:rsidP="003F739B">
                  <w:pPr>
                    <w:spacing w:after="60"/>
                    <w:rPr>
                      <w:i/>
                      <w:iCs/>
                      <w:sz w:val="20"/>
                    </w:rPr>
                  </w:pPr>
                  <w:r w:rsidRPr="003161DC">
                    <w:rPr>
                      <w:i/>
                      <w:iCs/>
                      <w:sz w:val="20"/>
                    </w:rPr>
                    <w:t>Real-Time Reliability Deployment Price Adder</w:t>
                  </w:r>
                  <w:r>
                    <w:rPr>
                      <w:i/>
                      <w:iCs/>
                      <w:sz w:val="20"/>
                    </w:rPr>
                    <w:t xml:space="preserve"> for Energy</w:t>
                  </w:r>
                  <w:r w:rsidRPr="003161DC">
                    <w:rPr>
                      <w:iCs/>
                      <w:sz w:val="20"/>
                    </w:rPr>
                    <w:sym w:font="Symbol" w:char="F0BE"/>
                  </w:r>
                  <w:r w:rsidRPr="003161DC">
                    <w:rPr>
                      <w:iCs/>
                      <w:sz w:val="20"/>
                    </w:rPr>
                    <w:t xml:space="preserve">The Real-Time </w:t>
                  </w:r>
                  <w:r>
                    <w:rPr>
                      <w:iCs/>
                      <w:sz w:val="20"/>
                    </w:rPr>
                    <w:t>p</w:t>
                  </w:r>
                  <w:r w:rsidRPr="003161DC">
                    <w:rPr>
                      <w:iCs/>
                      <w:sz w:val="20"/>
                    </w:rPr>
                    <w:t xml:space="preserve">rice </w:t>
                  </w:r>
                  <w:r>
                    <w:rPr>
                      <w:iCs/>
                      <w:sz w:val="20"/>
                    </w:rPr>
                    <w:t>a</w:t>
                  </w:r>
                  <w:r w:rsidRPr="003161DC">
                    <w:rPr>
                      <w:iCs/>
                      <w:sz w:val="20"/>
                    </w:rPr>
                    <w:t xml:space="preserve">dder that captures the impact of reliability deployments on energy prices for the SCED interval </w:t>
                  </w:r>
                  <w:r w:rsidRPr="003161DC">
                    <w:rPr>
                      <w:i/>
                      <w:iCs/>
                      <w:sz w:val="20"/>
                    </w:rPr>
                    <w:t>y</w:t>
                  </w:r>
                  <w:r w:rsidRPr="003161DC">
                    <w:rPr>
                      <w:iCs/>
                      <w:sz w:val="20"/>
                    </w:rPr>
                    <w:t>.</w:t>
                  </w:r>
                </w:p>
              </w:tc>
            </w:tr>
            <w:tr w:rsidR="003F739B" w:rsidRPr="003161DC" w14:paraId="26802762" w14:textId="77777777" w:rsidTr="00EC5231">
              <w:tc>
                <w:tcPr>
                  <w:tcW w:w="1264" w:type="dxa"/>
                </w:tcPr>
                <w:p w14:paraId="4C89EA92" w14:textId="77777777" w:rsidR="003F739B" w:rsidRPr="003161DC" w:rsidRDefault="003F739B" w:rsidP="003F739B">
                  <w:pPr>
                    <w:spacing w:after="60"/>
                    <w:rPr>
                      <w:iCs/>
                      <w:sz w:val="20"/>
                    </w:rPr>
                  </w:pPr>
                  <w:r w:rsidRPr="003161DC">
                    <w:rPr>
                      <w:iCs/>
                      <w:sz w:val="20"/>
                    </w:rPr>
                    <w:t xml:space="preserve">RNWF </w:t>
                  </w:r>
                  <w:r w:rsidRPr="003161DC">
                    <w:rPr>
                      <w:i/>
                      <w:iCs/>
                      <w:sz w:val="20"/>
                      <w:vertAlign w:val="subscript"/>
                    </w:rPr>
                    <w:t>y</w:t>
                  </w:r>
                </w:p>
              </w:tc>
              <w:tc>
                <w:tcPr>
                  <w:tcW w:w="899" w:type="dxa"/>
                </w:tcPr>
                <w:p w14:paraId="61F8C485" w14:textId="77777777" w:rsidR="003F739B" w:rsidRPr="003161DC" w:rsidRDefault="003F739B" w:rsidP="003F739B">
                  <w:pPr>
                    <w:spacing w:after="60"/>
                    <w:rPr>
                      <w:iCs/>
                      <w:sz w:val="20"/>
                    </w:rPr>
                  </w:pPr>
                  <w:r w:rsidRPr="003161DC">
                    <w:rPr>
                      <w:iCs/>
                      <w:sz w:val="20"/>
                    </w:rPr>
                    <w:t>none</w:t>
                  </w:r>
                </w:p>
              </w:tc>
              <w:tc>
                <w:tcPr>
                  <w:tcW w:w="7107" w:type="dxa"/>
                </w:tcPr>
                <w:p w14:paraId="1F980839" w14:textId="77777777" w:rsidR="003F739B" w:rsidRPr="003161DC" w:rsidRDefault="003F739B" w:rsidP="003F739B">
                  <w:pPr>
                    <w:spacing w:after="60"/>
                    <w:rPr>
                      <w:i/>
                      <w:iCs/>
                      <w:sz w:val="20"/>
                    </w:rPr>
                  </w:pPr>
                  <w:r w:rsidRPr="003161DC">
                    <w:rPr>
                      <w:i/>
                      <w:iCs/>
                      <w:sz w:val="20"/>
                    </w:rPr>
                    <w:t>Resource Node Weighting Factor per interval</w:t>
                  </w:r>
                  <w:r w:rsidRPr="003161DC">
                    <w:rPr>
                      <w:iCs/>
                      <w:sz w:val="20"/>
                    </w:rPr>
                    <w:sym w:font="Symbol" w:char="F0BE"/>
                  </w:r>
                  <w:r w:rsidRPr="003161DC">
                    <w:rPr>
                      <w:iCs/>
                      <w:sz w:val="20"/>
                    </w:rPr>
                    <w:t xml:space="preserve">The weight used in the Resource Node Settlement Point Price calculation for the portion of the SCED interval </w:t>
                  </w:r>
                  <w:r w:rsidRPr="003161DC">
                    <w:rPr>
                      <w:i/>
                      <w:iCs/>
                      <w:sz w:val="20"/>
                    </w:rPr>
                    <w:t>y</w:t>
                  </w:r>
                  <w:r w:rsidRPr="003161DC">
                    <w:rPr>
                      <w:iCs/>
                      <w:sz w:val="20"/>
                    </w:rPr>
                    <w:t xml:space="preserve"> within the Settlement Interval.</w:t>
                  </w:r>
                </w:p>
              </w:tc>
            </w:tr>
            <w:tr w:rsidR="003F739B" w:rsidRPr="003161DC" w14:paraId="4DBDD9F9" w14:textId="77777777" w:rsidTr="00EC5231">
              <w:tc>
                <w:tcPr>
                  <w:tcW w:w="1264" w:type="dxa"/>
                </w:tcPr>
                <w:p w14:paraId="1D73A8AE" w14:textId="77777777" w:rsidR="003F739B" w:rsidRPr="003161DC" w:rsidRDefault="003F739B" w:rsidP="003F739B">
                  <w:pPr>
                    <w:spacing w:after="60"/>
                    <w:rPr>
                      <w:iCs/>
                      <w:sz w:val="20"/>
                    </w:rPr>
                  </w:pPr>
                  <w:r w:rsidRPr="003161DC">
                    <w:rPr>
                      <w:iCs/>
                      <w:sz w:val="20"/>
                    </w:rPr>
                    <w:t>LZWF</w:t>
                  </w:r>
                  <w:r w:rsidRPr="003161DC">
                    <w:rPr>
                      <w:i/>
                      <w:iCs/>
                      <w:sz w:val="20"/>
                      <w:vertAlign w:val="subscript"/>
                    </w:rPr>
                    <w:t xml:space="preserve"> b, y</w:t>
                  </w:r>
                </w:p>
              </w:tc>
              <w:tc>
                <w:tcPr>
                  <w:tcW w:w="899" w:type="dxa"/>
                </w:tcPr>
                <w:p w14:paraId="791AD906" w14:textId="77777777" w:rsidR="003F739B" w:rsidRPr="003161DC" w:rsidRDefault="003F739B" w:rsidP="003F739B">
                  <w:pPr>
                    <w:spacing w:after="60"/>
                    <w:rPr>
                      <w:iCs/>
                      <w:sz w:val="20"/>
                    </w:rPr>
                  </w:pPr>
                  <w:r w:rsidRPr="003161DC">
                    <w:rPr>
                      <w:iCs/>
                      <w:sz w:val="20"/>
                    </w:rPr>
                    <w:t>none</w:t>
                  </w:r>
                </w:p>
              </w:tc>
              <w:tc>
                <w:tcPr>
                  <w:tcW w:w="7107" w:type="dxa"/>
                </w:tcPr>
                <w:p w14:paraId="1604B5C4" w14:textId="77777777" w:rsidR="003F739B" w:rsidRPr="003161DC" w:rsidRDefault="003F739B" w:rsidP="003F739B">
                  <w:pPr>
                    <w:spacing w:after="60"/>
                    <w:rPr>
                      <w:i/>
                      <w:iCs/>
                      <w:sz w:val="20"/>
                    </w:rPr>
                  </w:pPr>
                  <w:r w:rsidRPr="003161DC">
                    <w:rPr>
                      <w:i/>
                      <w:iCs/>
                      <w:sz w:val="20"/>
                    </w:rPr>
                    <w:t>Load Zone Weighting Factor per bus per interval</w:t>
                  </w:r>
                  <w:r w:rsidRPr="003161DC">
                    <w:rPr>
                      <w:iCs/>
                      <w:sz w:val="20"/>
                    </w:rPr>
                    <w:sym w:font="Symbol" w:char="F0BE"/>
                  </w:r>
                  <w:r w:rsidRPr="003161DC">
                    <w:rPr>
                      <w:iCs/>
                      <w:sz w:val="20"/>
                    </w:rPr>
                    <w:t xml:space="preserve">The weight used in the Load Zone Settlement Point Price calculation for Electrical Bus </w:t>
                  </w:r>
                  <w:r w:rsidRPr="003161DC">
                    <w:rPr>
                      <w:i/>
                      <w:iCs/>
                      <w:sz w:val="20"/>
                    </w:rPr>
                    <w:t>b</w:t>
                  </w:r>
                  <w:r w:rsidRPr="003161DC">
                    <w:rPr>
                      <w:iCs/>
                      <w:sz w:val="20"/>
                    </w:rPr>
                    <w:t xml:space="preserve">, for the portion of the SCED interval </w:t>
                  </w:r>
                  <w:r w:rsidRPr="003161DC">
                    <w:rPr>
                      <w:i/>
                      <w:iCs/>
                      <w:sz w:val="20"/>
                    </w:rPr>
                    <w:t>y</w:t>
                  </w:r>
                  <w:r w:rsidRPr="003161DC">
                    <w:rPr>
                      <w:iCs/>
                      <w:sz w:val="20"/>
                    </w:rPr>
                    <w:t xml:space="preserve"> within the 15-minute Settlement Interval.</w:t>
                  </w:r>
                </w:p>
              </w:tc>
            </w:tr>
            <w:tr w:rsidR="003F739B" w:rsidRPr="003161DC" w14:paraId="41FFCCC0" w14:textId="77777777" w:rsidTr="00EC5231">
              <w:tc>
                <w:tcPr>
                  <w:tcW w:w="1264" w:type="dxa"/>
                </w:tcPr>
                <w:p w14:paraId="07600106" w14:textId="77777777" w:rsidR="003F739B" w:rsidRPr="003161DC" w:rsidRDefault="003F739B" w:rsidP="003F739B">
                  <w:pPr>
                    <w:spacing w:after="60"/>
                    <w:rPr>
                      <w:iCs/>
                      <w:sz w:val="20"/>
                    </w:rPr>
                  </w:pPr>
                  <w:r w:rsidRPr="003161DC">
                    <w:rPr>
                      <w:iCs/>
                      <w:sz w:val="20"/>
                    </w:rPr>
                    <w:lastRenderedPageBreak/>
                    <w:t>LZLMP</w:t>
                  </w:r>
                  <w:r w:rsidRPr="003161DC">
                    <w:rPr>
                      <w:i/>
                      <w:iCs/>
                      <w:sz w:val="20"/>
                      <w:vertAlign w:val="subscript"/>
                      <w:lang w:val="es-MX"/>
                    </w:rPr>
                    <w:t xml:space="preserve"> y</w:t>
                  </w:r>
                </w:p>
              </w:tc>
              <w:tc>
                <w:tcPr>
                  <w:tcW w:w="899" w:type="dxa"/>
                </w:tcPr>
                <w:p w14:paraId="0913F54F" w14:textId="77777777" w:rsidR="003F739B" w:rsidRPr="003161DC" w:rsidRDefault="003F739B" w:rsidP="003F739B">
                  <w:pPr>
                    <w:spacing w:after="60"/>
                    <w:rPr>
                      <w:iCs/>
                      <w:sz w:val="20"/>
                    </w:rPr>
                  </w:pPr>
                  <w:r w:rsidRPr="003161DC">
                    <w:rPr>
                      <w:iCs/>
                      <w:sz w:val="20"/>
                    </w:rPr>
                    <w:t>$/MWh</w:t>
                  </w:r>
                </w:p>
              </w:tc>
              <w:tc>
                <w:tcPr>
                  <w:tcW w:w="7107" w:type="dxa"/>
                </w:tcPr>
                <w:p w14:paraId="5DB69F08" w14:textId="47984BA1" w:rsidR="003F739B" w:rsidRPr="003161DC" w:rsidRDefault="003F739B" w:rsidP="003F739B">
                  <w:pPr>
                    <w:spacing w:after="60"/>
                    <w:rPr>
                      <w:i/>
                      <w:iCs/>
                      <w:sz w:val="20"/>
                    </w:rPr>
                  </w:pPr>
                  <w:r w:rsidRPr="003161DC">
                    <w:rPr>
                      <w:i/>
                      <w:iCs/>
                      <w:sz w:val="20"/>
                    </w:rPr>
                    <w:t>Load Zone Locational Marginal Price</w:t>
                  </w:r>
                  <w:r w:rsidRPr="003161DC">
                    <w:rPr>
                      <w:iCs/>
                      <w:sz w:val="20"/>
                    </w:rPr>
                    <w:sym w:font="Symbol" w:char="F0BE"/>
                  </w:r>
                  <w:r w:rsidRPr="003161DC">
                    <w:rPr>
                      <w:iCs/>
                      <w:sz w:val="20"/>
                    </w:rPr>
                    <w:t xml:space="preserve">The Load Zone LMP for the Load Zone for the SCED </w:t>
                  </w:r>
                  <w:r w:rsidR="00235D03">
                    <w:rPr>
                      <w:iCs/>
                      <w:sz w:val="20"/>
                    </w:rPr>
                    <w:t>i</w:t>
                  </w:r>
                  <w:r w:rsidRPr="003161DC">
                    <w:rPr>
                      <w:iCs/>
                      <w:sz w:val="20"/>
                    </w:rPr>
                    <w:t xml:space="preserve">nterval </w:t>
                  </w:r>
                  <w:r w:rsidRPr="003161DC">
                    <w:rPr>
                      <w:i/>
                      <w:iCs/>
                      <w:sz w:val="20"/>
                    </w:rPr>
                    <w:t>y</w:t>
                  </w:r>
                  <w:r w:rsidRPr="003161DC">
                    <w:rPr>
                      <w:iCs/>
                      <w:sz w:val="20"/>
                    </w:rPr>
                    <w:t>.</w:t>
                  </w:r>
                </w:p>
              </w:tc>
            </w:tr>
            <w:tr w:rsidR="003F739B" w:rsidRPr="003161DC" w14:paraId="36971892" w14:textId="77777777" w:rsidTr="00EC5231">
              <w:tc>
                <w:tcPr>
                  <w:tcW w:w="1264" w:type="dxa"/>
                </w:tcPr>
                <w:p w14:paraId="0D5EA93C" w14:textId="77777777" w:rsidR="003F739B" w:rsidRPr="003161DC" w:rsidRDefault="003F739B" w:rsidP="003F739B">
                  <w:pPr>
                    <w:spacing w:after="60"/>
                    <w:rPr>
                      <w:iCs/>
                      <w:sz w:val="20"/>
                    </w:rPr>
                  </w:pPr>
                  <w:r w:rsidRPr="003161DC">
                    <w:rPr>
                      <w:iCs/>
                      <w:sz w:val="20"/>
                    </w:rPr>
                    <w:t xml:space="preserve">SEL </w:t>
                  </w:r>
                  <w:r w:rsidRPr="003161DC">
                    <w:rPr>
                      <w:i/>
                      <w:iCs/>
                      <w:sz w:val="20"/>
                      <w:vertAlign w:val="subscript"/>
                    </w:rPr>
                    <w:t>b, y</w:t>
                  </w:r>
                </w:p>
              </w:tc>
              <w:tc>
                <w:tcPr>
                  <w:tcW w:w="899" w:type="dxa"/>
                </w:tcPr>
                <w:p w14:paraId="038F2137" w14:textId="77777777" w:rsidR="003F739B" w:rsidRPr="003161DC" w:rsidRDefault="003F739B" w:rsidP="003F739B">
                  <w:pPr>
                    <w:spacing w:after="60"/>
                    <w:rPr>
                      <w:iCs/>
                      <w:sz w:val="20"/>
                    </w:rPr>
                  </w:pPr>
                  <w:r w:rsidRPr="003161DC">
                    <w:rPr>
                      <w:iCs/>
                      <w:sz w:val="20"/>
                    </w:rPr>
                    <w:t>MW</w:t>
                  </w:r>
                </w:p>
              </w:tc>
              <w:tc>
                <w:tcPr>
                  <w:tcW w:w="7107" w:type="dxa"/>
                </w:tcPr>
                <w:p w14:paraId="25011BE0" w14:textId="0662B8BE" w:rsidR="00EC50FF" w:rsidRPr="003161DC" w:rsidRDefault="00EC50FF" w:rsidP="003F739B">
                  <w:pPr>
                    <w:spacing w:after="60"/>
                    <w:rPr>
                      <w:iCs/>
                      <w:sz w:val="20"/>
                    </w:rPr>
                  </w:pPr>
                  <w:r w:rsidRPr="00EC50FF">
                    <w:rPr>
                      <w:i/>
                      <w:sz w:val="20"/>
                      <w:szCs w:val="24"/>
                    </w:rPr>
                    <w:t>State Estimator Load at bus per interval</w:t>
                  </w:r>
                  <w:r w:rsidRPr="00EC50FF">
                    <w:rPr>
                      <w:sz w:val="20"/>
                      <w:szCs w:val="24"/>
                    </w:rPr>
                    <w:sym w:font="Symbol" w:char="F0BE"/>
                  </w:r>
                  <w:r w:rsidRPr="00EC50FF">
                    <w:rPr>
                      <w:sz w:val="20"/>
                      <w:szCs w:val="24"/>
                    </w:rPr>
                    <w:t>The Load value from State Estimator, including a calculated net Load value at each Private Use Network and adjustments to account for Distribution Generation Resource (DGR) and Distribution Energy Storage Resource (DESR) injections and withdrawals that are settled at a Resource Node, excluding</w:t>
                  </w:r>
                  <w:r w:rsidR="009F7A6D" w:rsidRPr="00812ECB">
                    <w:rPr>
                      <w:iCs/>
                      <w:sz w:val="20"/>
                    </w:rPr>
                    <w:t xml:space="preserve"> Controllable Load Resource (CLR) Load that is not an </w:t>
                  </w:r>
                  <w:r w:rsidR="008637F7">
                    <w:rPr>
                      <w:iCs/>
                      <w:sz w:val="20"/>
                    </w:rPr>
                    <w:t>Aggregate Load Resource (</w:t>
                  </w:r>
                  <w:r w:rsidR="009F7A6D" w:rsidRPr="00812ECB">
                    <w:rPr>
                      <w:iCs/>
                      <w:sz w:val="20"/>
                    </w:rPr>
                    <w:t>ALR</w:t>
                  </w:r>
                  <w:r w:rsidR="008637F7">
                    <w:rPr>
                      <w:iCs/>
                      <w:sz w:val="20"/>
                    </w:rPr>
                    <w:t>)</w:t>
                  </w:r>
                  <w:r w:rsidR="009F7A6D" w:rsidRPr="00812ECB">
                    <w:rPr>
                      <w:iCs/>
                      <w:sz w:val="20"/>
                    </w:rPr>
                    <w:t>,</w:t>
                  </w:r>
                  <w:r w:rsidRPr="00EC50FF">
                    <w:rPr>
                      <w:sz w:val="20"/>
                      <w:szCs w:val="24"/>
                    </w:rPr>
                    <w:t xml:space="preserve"> Wholesale Storage Load (WSL) </w:t>
                  </w:r>
                  <w:r w:rsidRPr="00EC50FF">
                    <w:rPr>
                      <w:sz w:val="20"/>
                    </w:rPr>
                    <w:t xml:space="preserve">and Non-WSL </w:t>
                  </w:r>
                  <w:r w:rsidR="00235D03">
                    <w:rPr>
                      <w:sz w:val="20"/>
                    </w:rPr>
                    <w:t>Energy Storage Resource (</w:t>
                  </w:r>
                  <w:r w:rsidRPr="00EC50FF">
                    <w:rPr>
                      <w:sz w:val="20"/>
                    </w:rPr>
                    <w:t>ESR</w:t>
                  </w:r>
                  <w:r w:rsidR="00235D03">
                    <w:rPr>
                      <w:sz w:val="20"/>
                    </w:rPr>
                    <w:t>)</w:t>
                  </w:r>
                  <w:r w:rsidRPr="00EC50FF">
                    <w:rPr>
                      <w:sz w:val="20"/>
                    </w:rPr>
                    <w:t xml:space="preserve"> Charging Load, </w:t>
                  </w:r>
                  <w:r w:rsidRPr="00EC50FF">
                    <w:rPr>
                      <w:sz w:val="20"/>
                      <w:szCs w:val="24"/>
                    </w:rPr>
                    <w:t xml:space="preserve">for Electrical Bus </w:t>
                  </w:r>
                  <w:r w:rsidRPr="00EC50FF">
                    <w:rPr>
                      <w:i/>
                      <w:sz w:val="20"/>
                      <w:szCs w:val="24"/>
                    </w:rPr>
                    <w:t>b</w:t>
                  </w:r>
                  <w:r w:rsidRPr="00EC50FF">
                    <w:rPr>
                      <w:sz w:val="20"/>
                      <w:szCs w:val="24"/>
                    </w:rPr>
                    <w:t xml:space="preserve"> in the Load Zone, for the SCED interval </w:t>
                  </w:r>
                  <w:r w:rsidRPr="00EC50FF">
                    <w:rPr>
                      <w:i/>
                      <w:sz w:val="20"/>
                      <w:szCs w:val="24"/>
                    </w:rPr>
                    <w:t>y</w:t>
                  </w:r>
                  <w:r w:rsidRPr="00EC50FF">
                    <w:rPr>
                      <w:sz w:val="20"/>
                      <w:szCs w:val="24"/>
                    </w:rPr>
                    <w:t>.</w:t>
                  </w:r>
                </w:p>
              </w:tc>
            </w:tr>
            <w:tr w:rsidR="003F739B" w:rsidRPr="003161DC" w14:paraId="747D39FE" w14:textId="77777777" w:rsidTr="00EC5231">
              <w:tc>
                <w:tcPr>
                  <w:tcW w:w="1264" w:type="dxa"/>
                </w:tcPr>
                <w:p w14:paraId="5D967BB8" w14:textId="77777777" w:rsidR="003F739B" w:rsidRPr="003161DC" w:rsidRDefault="003F739B" w:rsidP="003F739B">
                  <w:pPr>
                    <w:spacing w:after="60"/>
                    <w:rPr>
                      <w:iCs/>
                      <w:sz w:val="20"/>
                    </w:rPr>
                  </w:pPr>
                  <w:r w:rsidRPr="003161DC">
                    <w:rPr>
                      <w:iCs/>
                      <w:sz w:val="20"/>
                    </w:rPr>
                    <w:t xml:space="preserve">TLMP </w:t>
                  </w:r>
                  <w:r w:rsidRPr="003161DC">
                    <w:rPr>
                      <w:i/>
                      <w:iCs/>
                      <w:sz w:val="20"/>
                      <w:vertAlign w:val="subscript"/>
                    </w:rPr>
                    <w:t>y</w:t>
                  </w:r>
                </w:p>
              </w:tc>
              <w:tc>
                <w:tcPr>
                  <w:tcW w:w="899" w:type="dxa"/>
                </w:tcPr>
                <w:p w14:paraId="71152426" w14:textId="77777777" w:rsidR="003F739B" w:rsidRPr="003161DC" w:rsidRDefault="003F739B" w:rsidP="003F739B">
                  <w:pPr>
                    <w:spacing w:after="60"/>
                    <w:rPr>
                      <w:sz w:val="20"/>
                    </w:rPr>
                  </w:pPr>
                  <w:r w:rsidRPr="003161DC">
                    <w:rPr>
                      <w:iCs/>
                      <w:sz w:val="20"/>
                    </w:rPr>
                    <w:t>second</w:t>
                  </w:r>
                </w:p>
              </w:tc>
              <w:tc>
                <w:tcPr>
                  <w:tcW w:w="7107" w:type="dxa"/>
                </w:tcPr>
                <w:p w14:paraId="5318ABA2" w14:textId="77777777" w:rsidR="003F739B" w:rsidRPr="003161DC" w:rsidRDefault="003F739B" w:rsidP="003F739B">
                  <w:pPr>
                    <w:spacing w:after="60"/>
                    <w:rPr>
                      <w:iCs/>
                      <w:sz w:val="20"/>
                    </w:rPr>
                  </w:pPr>
                  <w:r w:rsidRPr="003161DC">
                    <w:rPr>
                      <w:i/>
                      <w:sz w:val="20"/>
                    </w:rPr>
                    <w:t xml:space="preserve">Duration of </w:t>
                  </w:r>
                  <w:r w:rsidRPr="003161DC">
                    <w:rPr>
                      <w:i/>
                      <w:iCs/>
                      <w:sz w:val="20"/>
                    </w:rPr>
                    <w:t>SCED</w:t>
                  </w:r>
                  <w:r w:rsidRPr="003161DC">
                    <w:rPr>
                      <w:i/>
                      <w:sz w:val="20"/>
                    </w:rPr>
                    <w:t xml:space="preserve"> interval per interval</w:t>
                  </w:r>
                  <w:r w:rsidRPr="003161DC">
                    <w:rPr>
                      <w:iCs/>
                      <w:sz w:val="20"/>
                    </w:rPr>
                    <w:sym w:font="Symbol" w:char="F0BE"/>
                  </w:r>
                  <w:r w:rsidRPr="003161DC">
                    <w:rPr>
                      <w:iCs/>
                      <w:sz w:val="20"/>
                    </w:rPr>
                    <w:t xml:space="preserve">The duration of the portion of the SCED interval </w:t>
                  </w:r>
                  <w:r w:rsidRPr="003161DC">
                    <w:rPr>
                      <w:i/>
                      <w:sz w:val="20"/>
                    </w:rPr>
                    <w:t>y</w:t>
                  </w:r>
                  <w:r w:rsidRPr="003161DC">
                    <w:rPr>
                      <w:iCs/>
                      <w:sz w:val="20"/>
                    </w:rPr>
                    <w:t xml:space="preserve"> within the Settlement Interval.</w:t>
                  </w:r>
                </w:p>
              </w:tc>
            </w:tr>
            <w:tr w:rsidR="003F739B" w:rsidRPr="003161DC" w14:paraId="6AA27FEF" w14:textId="77777777" w:rsidTr="00EC5231">
              <w:tc>
                <w:tcPr>
                  <w:tcW w:w="1264" w:type="dxa"/>
                </w:tcPr>
                <w:p w14:paraId="0326C4CE" w14:textId="77777777" w:rsidR="003F739B" w:rsidRPr="003161DC" w:rsidRDefault="003F739B" w:rsidP="003F739B">
                  <w:pPr>
                    <w:spacing w:after="60"/>
                    <w:rPr>
                      <w:i/>
                      <w:iCs/>
                      <w:sz w:val="20"/>
                    </w:rPr>
                  </w:pPr>
                  <w:r w:rsidRPr="003161DC">
                    <w:rPr>
                      <w:i/>
                      <w:iCs/>
                      <w:sz w:val="20"/>
                    </w:rPr>
                    <w:t>y</w:t>
                  </w:r>
                </w:p>
              </w:tc>
              <w:tc>
                <w:tcPr>
                  <w:tcW w:w="899" w:type="dxa"/>
                </w:tcPr>
                <w:p w14:paraId="0158CC4F" w14:textId="77777777" w:rsidR="003F739B" w:rsidRPr="003161DC" w:rsidRDefault="003F739B" w:rsidP="003F739B">
                  <w:pPr>
                    <w:spacing w:after="60"/>
                    <w:rPr>
                      <w:iCs/>
                      <w:sz w:val="20"/>
                    </w:rPr>
                  </w:pPr>
                  <w:r w:rsidRPr="003161DC">
                    <w:rPr>
                      <w:iCs/>
                      <w:sz w:val="20"/>
                    </w:rPr>
                    <w:t>none</w:t>
                  </w:r>
                </w:p>
              </w:tc>
              <w:tc>
                <w:tcPr>
                  <w:tcW w:w="7107" w:type="dxa"/>
                </w:tcPr>
                <w:p w14:paraId="46A2B264" w14:textId="77777777" w:rsidR="003F739B" w:rsidRPr="003161DC" w:rsidRDefault="003F739B" w:rsidP="003F739B">
                  <w:pPr>
                    <w:spacing w:after="60"/>
                    <w:rPr>
                      <w:iCs/>
                      <w:sz w:val="20"/>
                    </w:rPr>
                  </w:pPr>
                  <w:r w:rsidRPr="003161DC">
                    <w:rPr>
                      <w:iCs/>
                      <w:sz w:val="20"/>
                    </w:rPr>
                    <w:t>A SCED interval in the 15-minute Settlement Interval.  The summation is over the total number of SCED runs that cover the 15-minute Settlement Interval.</w:t>
                  </w:r>
                </w:p>
              </w:tc>
            </w:tr>
            <w:tr w:rsidR="003F739B" w:rsidRPr="003161DC" w14:paraId="3DEC4D0C" w14:textId="77777777" w:rsidTr="00EC5231">
              <w:tc>
                <w:tcPr>
                  <w:tcW w:w="1264" w:type="dxa"/>
                </w:tcPr>
                <w:p w14:paraId="7712EA35" w14:textId="77777777" w:rsidR="003F739B" w:rsidRPr="003161DC" w:rsidRDefault="003F739B" w:rsidP="003F739B">
                  <w:pPr>
                    <w:spacing w:after="60"/>
                    <w:rPr>
                      <w:i/>
                      <w:iCs/>
                      <w:sz w:val="20"/>
                    </w:rPr>
                  </w:pPr>
                  <w:r w:rsidRPr="003161DC">
                    <w:rPr>
                      <w:i/>
                      <w:iCs/>
                      <w:sz w:val="20"/>
                    </w:rPr>
                    <w:t>b</w:t>
                  </w:r>
                </w:p>
              </w:tc>
              <w:tc>
                <w:tcPr>
                  <w:tcW w:w="899" w:type="dxa"/>
                </w:tcPr>
                <w:p w14:paraId="2BAFF328" w14:textId="77777777" w:rsidR="003F739B" w:rsidRPr="003161DC" w:rsidRDefault="003F739B" w:rsidP="003F739B">
                  <w:pPr>
                    <w:spacing w:after="60"/>
                    <w:rPr>
                      <w:iCs/>
                      <w:sz w:val="20"/>
                    </w:rPr>
                  </w:pPr>
                  <w:r w:rsidRPr="003161DC">
                    <w:rPr>
                      <w:iCs/>
                      <w:sz w:val="20"/>
                    </w:rPr>
                    <w:t>none</w:t>
                  </w:r>
                </w:p>
              </w:tc>
              <w:tc>
                <w:tcPr>
                  <w:tcW w:w="7107" w:type="dxa"/>
                </w:tcPr>
                <w:p w14:paraId="181021C5" w14:textId="77777777" w:rsidR="003F739B" w:rsidRPr="003161DC" w:rsidRDefault="003F739B" w:rsidP="003F739B">
                  <w:pPr>
                    <w:spacing w:after="60"/>
                    <w:rPr>
                      <w:iCs/>
                      <w:sz w:val="20"/>
                    </w:rPr>
                  </w:pPr>
                  <w:r w:rsidRPr="003161DC">
                    <w:rPr>
                      <w:iCs/>
                      <w:sz w:val="20"/>
                    </w:rPr>
                    <w:t>An Electrical Bus in the Load Zone.  The summation is over all of the Electrical Buses in the Load Zone.</w:t>
                  </w:r>
                </w:p>
              </w:tc>
            </w:tr>
          </w:tbl>
          <w:p w14:paraId="550FCA69" w14:textId="435615F2" w:rsidR="003F739B" w:rsidRPr="003F739B" w:rsidRDefault="003F739B" w:rsidP="00EC5231">
            <w:pPr>
              <w:tabs>
                <w:tab w:val="left" w:pos="2160"/>
                <w:tab w:val="left" w:pos="2880"/>
              </w:tabs>
              <w:spacing w:after="240"/>
              <w:ind w:leftChars="300" w:left="2880" w:hangingChars="900" w:hanging="2160"/>
              <w:rPr>
                <w:bCs/>
                <w:lang w:val="es-MX"/>
              </w:rPr>
            </w:pPr>
          </w:p>
        </w:tc>
      </w:tr>
    </w:tbl>
    <w:p w14:paraId="7719E89F" w14:textId="6C703255" w:rsidR="001F04FD" w:rsidRDefault="001F04FD" w:rsidP="001F04FD">
      <w:pPr>
        <w:pStyle w:val="H4"/>
        <w:spacing w:before="480"/>
        <w:ind w:left="1267" w:hanging="1267"/>
      </w:pPr>
      <w:bookmarkStart w:id="1706" w:name="_Toc204411649"/>
      <w:r>
        <w:lastRenderedPageBreak/>
        <w:t>6.6.1.3</w:t>
      </w:r>
      <w:r>
        <w:tab/>
        <w:t>Real-Time Settlement Point Price for a Hub</w:t>
      </w:r>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6"/>
    </w:p>
    <w:p w14:paraId="37FE2601" w14:textId="71B27BC6" w:rsidR="001F04FD" w:rsidRDefault="001F04FD" w:rsidP="001F04FD">
      <w:pPr>
        <w:pStyle w:val="BodyText"/>
        <w:ind w:left="720" w:hanging="720"/>
      </w:pPr>
      <w:r>
        <w:t>(1)</w:t>
      </w:r>
      <w:r>
        <w:tab/>
        <w:t>The Real-Time S</w:t>
      </w:r>
      <w:r w:rsidR="00082248">
        <w:t xml:space="preserve">ettlement </w:t>
      </w:r>
      <w:r>
        <w:t>P</w:t>
      </w:r>
      <w:r w:rsidR="00082248">
        <w:t xml:space="preserve">oint </w:t>
      </w:r>
      <w:r>
        <w:t>P</w:t>
      </w:r>
      <w:r w:rsidR="00082248">
        <w:t>rice</w:t>
      </w:r>
      <w:r>
        <w:t xml:space="preserve"> at a Hub is determined according to the methodology included in the definition of that Hub in Section 3.5.2, Hub Definitions.</w:t>
      </w:r>
    </w:p>
    <w:p w14:paraId="2C04D326" w14:textId="77777777" w:rsidR="001F04FD" w:rsidRDefault="001F04FD" w:rsidP="001F04FD">
      <w:pPr>
        <w:pStyle w:val="H4"/>
      </w:pPr>
      <w:bookmarkStart w:id="1707" w:name="_Toc397505006"/>
      <w:bookmarkStart w:id="1708" w:name="_Toc402357134"/>
      <w:bookmarkStart w:id="1709" w:name="_Toc422486512"/>
      <w:bookmarkStart w:id="1710" w:name="_Toc433093364"/>
      <w:bookmarkStart w:id="1711" w:name="_Toc433093522"/>
      <w:bookmarkStart w:id="1712" w:name="_Toc440874750"/>
      <w:bookmarkStart w:id="1713" w:name="_Toc448142305"/>
      <w:bookmarkStart w:id="1714" w:name="_Toc448142462"/>
      <w:bookmarkStart w:id="1715" w:name="_Toc458770299"/>
      <w:bookmarkStart w:id="1716" w:name="_Toc459294267"/>
      <w:bookmarkStart w:id="1717" w:name="_Toc463262760"/>
      <w:bookmarkStart w:id="1718" w:name="_Toc468286833"/>
      <w:bookmarkStart w:id="1719" w:name="_Toc481502879"/>
      <w:bookmarkStart w:id="1720" w:name="_Toc496080047"/>
      <w:bookmarkStart w:id="1721" w:name="_Toc204411650"/>
      <w:r>
        <w:t>6.6.1.4</w:t>
      </w:r>
      <w:r>
        <w:tab/>
        <w:t>Load Zone LMPs</w:t>
      </w:r>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p>
    <w:p w14:paraId="50252A07" w14:textId="389A3A01" w:rsidR="001F04FD" w:rsidRDefault="001F04FD" w:rsidP="001F04FD">
      <w:pPr>
        <w:pStyle w:val="BodyText"/>
        <w:ind w:left="720" w:hanging="720"/>
      </w:pPr>
      <w:r>
        <w:t>(1)</w:t>
      </w:r>
      <w:r>
        <w:tab/>
        <w:t xml:space="preserve">The Load Zone LMPs shall be posted on the </w:t>
      </w:r>
      <w:r w:rsidR="0007207E">
        <w:t>ERCOT website</w:t>
      </w:r>
      <w:r>
        <w:t xml:space="preserve">.  The Load Zone LMP is based on the state-estimated Loads in MW and the Real-Time LMPs at the Electrical Buses included in the Load Zone.  The Load Zone LMP for a Load Zone for a SCED </w:t>
      </w:r>
      <w:r w:rsidR="00235D03">
        <w:t>i</w:t>
      </w:r>
      <w:r>
        <w:t>nterval is calculated as follows:</w:t>
      </w:r>
    </w:p>
    <w:p w14:paraId="3CCA247C" w14:textId="77777777" w:rsidR="001F04FD" w:rsidRDefault="001F04FD" w:rsidP="001F04FD">
      <w:pPr>
        <w:pStyle w:val="FormulaBold"/>
        <w:rPr>
          <w:lang w:val="es-MX"/>
        </w:rPr>
      </w:pPr>
      <w:r>
        <w:rPr>
          <w:lang w:val="es-MX"/>
        </w:rPr>
        <w:t>LZLMP</w:t>
      </w:r>
      <w:r>
        <w:rPr>
          <w:i/>
          <w:vertAlign w:val="subscript"/>
          <w:lang w:val="es-MX"/>
        </w:rPr>
        <w:t xml:space="preserve"> y</w:t>
      </w:r>
      <w:r>
        <w:rPr>
          <w:lang w:val="es-MX"/>
        </w:rPr>
        <w:tab/>
        <w:t>=</w:t>
      </w:r>
      <w:r>
        <w:rPr>
          <w:lang w:val="es-MX"/>
        </w:rPr>
        <w:tab/>
      </w:r>
      <w:r w:rsidRPr="00160702">
        <w:rPr>
          <w:position w:val="-20"/>
        </w:rPr>
        <w:object w:dxaOrig="225" w:dyaOrig="435" w14:anchorId="3C7B9194">
          <v:shape id="_x0000_i1061" type="#_x0000_t75" style="width:12pt;height:18pt" o:ole="">
            <v:imagedata r:id="rId44" o:title=""/>
          </v:shape>
          <o:OLEObject Type="Embed" ProgID="Equation.3" ShapeID="_x0000_i1061" DrawAspect="Content" ObjectID="_1815025251" r:id="rId60"/>
        </w:object>
      </w:r>
      <w:r>
        <w:rPr>
          <w:lang w:val="es-MX"/>
        </w:rPr>
        <w:t xml:space="preserve"> (RTLMP</w:t>
      </w:r>
      <w:r>
        <w:rPr>
          <w:vertAlign w:val="subscript"/>
          <w:lang w:val="es-MX"/>
        </w:rPr>
        <w:t xml:space="preserve"> </w:t>
      </w:r>
      <w:r>
        <w:rPr>
          <w:i/>
          <w:vertAlign w:val="subscript"/>
          <w:lang w:val="es-MX"/>
        </w:rPr>
        <w:t>b, y</w:t>
      </w:r>
      <w:r>
        <w:rPr>
          <w:lang w:val="es-MX"/>
        </w:rPr>
        <w:t xml:space="preserve"> * LZWF</w:t>
      </w:r>
      <w:r>
        <w:rPr>
          <w:i/>
          <w:vertAlign w:val="subscript"/>
          <w:lang w:val="es-MX"/>
        </w:rPr>
        <w:t xml:space="preserve"> b, y</w:t>
      </w:r>
      <w:r>
        <w:rPr>
          <w:lang w:val="es-MX"/>
        </w:rPr>
        <w:t>)</w:t>
      </w:r>
    </w:p>
    <w:p w14:paraId="31E69000" w14:textId="77777777" w:rsidR="001F04FD" w:rsidRDefault="001F04FD" w:rsidP="001F04FD">
      <w:pPr>
        <w:pStyle w:val="BodyText"/>
      </w:pPr>
      <w:r>
        <w:t xml:space="preserve">For all Load Zones except DC Tie Load Zones: </w:t>
      </w:r>
    </w:p>
    <w:p w14:paraId="752F1980" w14:textId="77777777" w:rsidR="001F04FD" w:rsidRDefault="001F04FD" w:rsidP="001F04FD">
      <w:pPr>
        <w:pStyle w:val="FormulaBold"/>
        <w:rPr>
          <w:lang w:val="es-MX"/>
        </w:rPr>
      </w:pPr>
      <w:r>
        <w:rPr>
          <w:lang w:val="es-MX"/>
        </w:rPr>
        <w:t>LZWF</w:t>
      </w:r>
      <w:r>
        <w:rPr>
          <w:i/>
          <w:vertAlign w:val="subscript"/>
          <w:lang w:val="es-MX"/>
        </w:rPr>
        <w:t xml:space="preserve"> b, y</w:t>
      </w:r>
      <w:r>
        <w:rPr>
          <w:lang w:val="es-MX"/>
        </w:rPr>
        <w:t xml:space="preserve"> </w:t>
      </w:r>
      <w:r>
        <w:rPr>
          <w:lang w:val="es-MX"/>
        </w:rPr>
        <w:tab/>
        <w:t>=</w:t>
      </w:r>
      <w:r>
        <w:rPr>
          <w:lang w:val="es-MX"/>
        </w:rPr>
        <w:tab/>
        <w:t>SEL</w:t>
      </w:r>
      <w:r>
        <w:rPr>
          <w:vertAlign w:val="subscript"/>
          <w:lang w:val="es-MX"/>
        </w:rPr>
        <w:t xml:space="preserve"> </w:t>
      </w:r>
      <w:r>
        <w:rPr>
          <w:i/>
          <w:vertAlign w:val="subscript"/>
          <w:lang w:val="es-MX"/>
        </w:rPr>
        <w:t>b, y</w:t>
      </w:r>
      <w:r>
        <w:rPr>
          <w:lang w:val="es-MX"/>
        </w:rPr>
        <w:t xml:space="preserve"> </w:t>
      </w:r>
      <w:r>
        <w:rPr>
          <w:b w:val="0"/>
          <w:sz w:val="32"/>
          <w:szCs w:val="32"/>
          <w:lang w:val="es-MX"/>
        </w:rPr>
        <w:t>/</w:t>
      </w:r>
      <w:r>
        <w:rPr>
          <w:lang w:val="es-MX"/>
        </w:rPr>
        <w:t xml:space="preserve"> (</w:t>
      </w:r>
      <w:r w:rsidRPr="00160702">
        <w:rPr>
          <w:position w:val="-20"/>
        </w:rPr>
        <w:object w:dxaOrig="225" w:dyaOrig="435" w14:anchorId="6B8CB4C1">
          <v:shape id="_x0000_i1062" type="#_x0000_t75" style="width:12pt;height:18pt" o:ole="">
            <v:imagedata r:id="rId32" o:title=""/>
          </v:shape>
          <o:OLEObject Type="Embed" ProgID="Equation.3" ShapeID="_x0000_i1062" DrawAspect="Content" ObjectID="_1815025252" r:id="rId61"/>
        </w:object>
      </w:r>
      <w:r>
        <w:rPr>
          <w:lang w:val="es-MX"/>
        </w:rPr>
        <w:t>SEL</w:t>
      </w:r>
      <w:r>
        <w:rPr>
          <w:vertAlign w:val="subscript"/>
          <w:lang w:val="es-MX"/>
        </w:rPr>
        <w:t xml:space="preserve"> </w:t>
      </w:r>
      <w:r>
        <w:rPr>
          <w:i/>
          <w:vertAlign w:val="subscript"/>
          <w:lang w:val="es-MX"/>
        </w:rPr>
        <w:t>b, y</w:t>
      </w:r>
      <w:r>
        <w:rPr>
          <w:lang w:val="es-MX"/>
        </w:rPr>
        <w:t>)</w:t>
      </w:r>
    </w:p>
    <w:p w14:paraId="2AF24AF9" w14:textId="77777777" w:rsidR="001F04FD" w:rsidRDefault="001F04FD" w:rsidP="001F04FD">
      <w:pPr>
        <w:pStyle w:val="BodyText"/>
      </w:pPr>
      <w:r>
        <w:t>For a DC Tie Load Zone:</w:t>
      </w:r>
    </w:p>
    <w:p w14:paraId="2C32F585" w14:textId="77777777" w:rsidR="001F04FD" w:rsidRDefault="001F04FD" w:rsidP="001F04FD">
      <w:pPr>
        <w:pStyle w:val="FormulaBold"/>
        <w:rPr>
          <w:lang w:val="es-MX"/>
        </w:rPr>
      </w:pPr>
      <w:r>
        <w:rPr>
          <w:lang w:val="es-MX"/>
        </w:rPr>
        <w:t>LZWF</w:t>
      </w:r>
      <w:r>
        <w:rPr>
          <w:i/>
          <w:vertAlign w:val="subscript"/>
          <w:lang w:val="es-MX"/>
        </w:rPr>
        <w:t xml:space="preserve"> b, y</w:t>
      </w:r>
      <w:r>
        <w:rPr>
          <w:lang w:val="es-MX"/>
        </w:rPr>
        <w:t xml:space="preserve"> </w:t>
      </w:r>
      <w:r>
        <w:rPr>
          <w:lang w:val="es-MX"/>
        </w:rPr>
        <w:tab/>
        <w:t>=</w:t>
      </w:r>
      <w:r>
        <w:rPr>
          <w:lang w:val="es-MX"/>
        </w:rPr>
        <w:tab/>
        <w:t>[Max (0.001, SEL</w:t>
      </w:r>
      <w:r>
        <w:rPr>
          <w:vertAlign w:val="subscript"/>
          <w:lang w:val="es-MX"/>
        </w:rPr>
        <w:t xml:space="preserve"> b, y</w:t>
      </w:r>
      <w:r>
        <w:rPr>
          <w:lang w:val="es-MX"/>
        </w:rPr>
        <w:t xml:space="preserve">)]  </w:t>
      </w:r>
      <w:r>
        <w:rPr>
          <w:sz w:val="32"/>
          <w:szCs w:val="32"/>
          <w:lang w:val="es-MX"/>
        </w:rPr>
        <w:t>/</w:t>
      </w:r>
      <w:r>
        <w:rPr>
          <w:lang w:val="es-MX"/>
        </w:rPr>
        <w:t xml:space="preserve">  [Max (0.001, SEL</w:t>
      </w:r>
      <w:r>
        <w:rPr>
          <w:vertAlign w:val="subscript"/>
          <w:lang w:val="es-MX"/>
        </w:rPr>
        <w:t xml:space="preserve"> b, y</w:t>
      </w:r>
      <w:r>
        <w:rPr>
          <w:lang w:val="es-MX"/>
        </w:rPr>
        <w:t>)]</w:t>
      </w:r>
    </w:p>
    <w:p w14:paraId="3A01B899" w14:textId="77777777" w:rsidR="001F04FD" w:rsidRDefault="001F04FD" w:rsidP="001F04FD">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95"/>
        <w:gridCol w:w="900"/>
        <w:gridCol w:w="7175"/>
      </w:tblGrid>
      <w:tr w:rsidR="001F04FD" w14:paraId="73DEB3CE" w14:textId="77777777" w:rsidTr="00AC4DEE">
        <w:tc>
          <w:tcPr>
            <w:tcW w:w="1195" w:type="dxa"/>
          </w:tcPr>
          <w:p w14:paraId="6F1391C8" w14:textId="77777777" w:rsidR="001F04FD" w:rsidRDefault="001F04FD" w:rsidP="00AC4DEE">
            <w:pPr>
              <w:pStyle w:val="TableHead"/>
            </w:pPr>
            <w:r>
              <w:t>Variable</w:t>
            </w:r>
          </w:p>
        </w:tc>
        <w:tc>
          <w:tcPr>
            <w:tcW w:w="900" w:type="dxa"/>
          </w:tcPr>
          <w:p w14:paraId="5CCC9B71" w14:textId="77777777" w:rsidR="001F04FD" w:rsidRDefault="001F04FD" w:rsidP="00AC4DEE">
            <w:pPr>
              <w:pStyle w:val="TableHead"/>
            </w:pPr>
            <w:r>
              <w:t>Unit</w:t>
            </w:r>
          </w:p>
        </w:tc>
        <w:tc>
          <w:tcPr>
            <w:tcW w:w="7175" w:type="dxa"/>
          </w:tcPr>
          <w:p w14:paraId="30742C92" w14:textId="77777777" w:rsidR="001F04FD" w:rsidRDefault="001F04FD" w:rsidP="00AC4DEE">
            <w:pPr>
              <w:pStyle w:val="TableHead"/>
            </w:pPr>
            <w:r>
              <w:t>Description</w:t>
            </w:r>
          </w:p>
        </w:tc>
      </w:tr>
      <w:tr w:rsidR="001F04FD" w14:paraId="17E00F27" w14:textId="77777777" w:rsidTr="00AC4DEE">
        <w:tc>
          <w:tcPr>
            <w:tcW w:w="1195" w:type="dxa"/>
          </w:tcPr>
          <w:p w14:paraId="41A4CCB6" w14:textId="77777777" w:rsidR="001F04FD" w:rsidRDefault="001F04FD" w:rsidP="00AC4DEE">
            <w:pPr>
              <w:pStyle w:val="TableBody"/>
            </w:pPr>
            <w:r>
              <w:t>LZLMP</w:t>
            </w:r>
            <w:r>
              <w:rPr>
                <w:i/>
                <w:vertAlign w:val="subscript"/>
                <w:lang w:val="es-MX"/>
              </w:rPr>
              <w:t xml:space="preserve"> </w:t>
            </w:r>
            <w:r w:rsidRPr="00107CC2">
              <w:rPr>
                <w:i/>
                <w:vertAlign w:val="subscript"/>
                <w:lang w:val="es-MX"/>
              </w:rPr>
              <w:t>y</w:t>
            </w:r>
          </w:p>
        </w:tc>
        <w:tc>
          <w:tcPr>
            <w:tcW w:w="900" w:type="dxa"/>
          </w:tcPr>
          <w:p w14:paraId="6A4E4B17" w14:textId="77777777" w:rsidR="001F04FD" w:rsidRDefault="001F04FD" w:rsidP="00AC4DEE">
            <w:pPr>
              <w:pStyle w:val="TableBody"/>
              <w:rPr>
                <w:i/>
              </w:rPr>
            </w:pPr>
            <w:r>
              <w:t>$/MWh</w:t>
            </w:r>
          </w:p>
        </w:tc>
        <w:tc>
          <w:tcPr>
            <w:tcW w:w="7175" w:type="dxa"/>
          </w:tcPr>
          <w:p w14:paraId="58A39D8D" w14:textId="0FAFFC07" w:rsidR="001F04FD" w:rsidRDefault="001F04FD" w:rsidP="00AC4DEE">
            <w:pPr>
              <w:pStyle w:val="TableBody"/>
            </w:pPr>
            <w:r>
              <w:rPr>
                <w:i/>
              </w:rPr>
              <w:t>Load Zone Locational Marginal Price</w:t>
            </w:r>
            <w:r>
              <w:sym w:font="Symbol" w:char="F0BE"/>
            </w:r>
            <w:r>
              <w:t xml:space="preserve">The Load Zone LMP for the Load Zone for the SCED </w:t>
            </w:r>
            <w:r w:rsidR="00235D03">
              <w:t>i</w:t>
            </w:r>
            <w:r>
              <w:t xml:space="preserve">nterval </w:t>
            </w:r>
            <w:r>
              <w:rPr>
                <w:i/>
              </w:rPr>
              <w:t>y</w:t>
            </w:r>
            <w:r>
              <w:t>.</w:t>
            </w:r>
          </w:p>
        </w:tc>
      </w:tr>
      <w:tr w:rsidR="001F04FD" w14:paraId="1ED69260" w14:textId="77777777" w:rsidTr="00AC4DEE">
        <w:tc>
          <w:tcPr>
            <w:tcW w:w="1195" w:type="dxa"/>
          </w:tcPr>
          <w:p w14:paraId="09B21859" w14:textId="77777777" w:rsidR="001F04FD" w:rsidRDefault="001F04FD" w:rsidP="00AC4DEE">
            <w:pPr>
              <w:pStyle w:val="TableBody"/>
            </w:pPr>
            <w:r>
              <w:t xml:space="preserve">RTLMP </w:t>
            </w:r>
            <w:r w:rsidRPr="00107CC2">
              <w:rPr>
                <w:i/>
                <w:vertAlign w:val="subscript"/>
              </w:rPr>
              <w:t>b, y</w:t>
            </w:r>
          </w:p>
        </w:tc>
        <w:tc>
          <w:tcPr>
            <w:tcW w:w="900" w:type="dxa"/>
          </w:tcPr>
          <w:p w14:paraId="105CC542" w14:textId="77777777" w:rsidR="001F04FD" w:rsidRDefault="001F04FD" w:rsidP="00AC4DEE">
            <w:pPr>
              <w:pStyle w:val="TableBody"/>
            </w:pPr>
            <w:r>
              <w:t>$/MWh</w:t>
            </w:r>
          </w:p>
        </w:tc>
        <w:tc>
          <w:tcPr>
            <w:tcW w:w="7175" w:type="dxa"/>
          </w:tcPr>
          <w:p w14:paraId="52082DEC" w14:textId="168B8C9C" w:rsidR="001F04FD" w:rsidRDefault="001F04FD" w:rsidP="00AC4DEE">
            <w:pPr>
              <w:pStyle w:val="TableBody"/>
            </w:pPr>
            <w:r>
              <w:rPr>
                <w:i/>
              </w:rPr>
              <w:t>Real-Time Locational Marginal Price at bus per SCED interval</w:t>
            </w:r>
            <w:r>
              <w:sym w:font="Symbol" w:char="F0BE"/>
            </w:r>
            <w:r>
              <w:t xml:space="preserve">The Real-Time LMP at Electrical Bus </w:t>
            </w:r>
            <w:r>
              <w:rPr>
                <w:i/>
              </w:rPr>
              <w:t>b</w:t>
            </w:r>
            <w:r>
              <w:t xml:space="preserve"> in the Load Zone, for the SCED interval </w:t>
            </w:r>
            <w:r>
              <w:rPr>
                <w:i/>
              </w:rPr>
              <w:t>y</w:t>
            </w:r>
            <w:r>
              <w:t>.</w:t>
            </w:r>
          </w:p>
        </w:tc>
      </w:tr>
      <w:tr w:rsidR="001F04FD" w14:paraId="649FAC90" w14:textId="77777777" w:rsidTr="00AC4DEE">
        <w:tc>
          <w:tcPr>
            <w:tcW w:w="1195" w:type="dxa"/>
          </w:tcPr>
          <w:p w14:paraId="28BA25F9" w14:textId="77777777" w:rsidR="001F04FD" w:rsidRDefault="001F04FD" w:rsidP="00AC4DEE">
            <w:pPr>
              <w:pStyle w:val="TableBody"/>
            </w:pPr>
            <w:r>
              <w:lastRenderedPageBreak/>
              <w:t>LZWF</w:t>
            </w:r>
            <w:r>
              <w:rPr>
                <w:i/>
                <w:vertAlign w:val="subscript"/>
              </w:rPr>
              <w:t xml:space="preserve"> </w:t>
            </w:r>
            <w:r w:rsidRPr="00107CC2">
              <w:rPr>
                <w:i/>
                <w:vertAlign w:val="subscript"/>
              </w:rPr>
              <w:t>b, y</w:t>
            </w:r>
          </w:p>
        </w:tc>
        <w:tc>
          <w:tcPr>
            <w:tcW w:w="900" w:type="dxa"/>
          </w:tcPr>
          <w:p w14:paraId="084F84AC" w14:textId="77777777" w:rsidR="001F04FD" w:rsidRDefault="001F04FD" w:rsidP="00AC4DEE">
            <w:pPr>
              <w:pStyle w:val="TableBody"/>
            </w:pPr>
            <w:r>
              <w:t>None</w:t>
            </w:r>
          </w:p>
        </w:tc>
        <w:tc>
          <w:tcPr>
            <w:tcW w:w="7175" w:type="dxa"/>
          </w:tcPr>
          <w:p w14:paraId="6DA16B56" w14:textId="77777777" w:rsidR="001F04FD" w:rsidRDefault="001F04FD" w:rsidP="00AC4DEE">
            <w:pPr>
              <w:pStyle w:val="TableBody"/>
              <w:rPr>
                <w:i/>
              </w:rPr>
            </w:pPr>
            <w:r>
              <w:rPr>
                <w:i/>
              </w:rPr>
              <w:t>Load Zone State Estimator Load Weighting Factor per bus per SCED interval</w:t>
            </w:r>
            <w:r>
              <w:sym w:font="Symbol" w:char="F0BE"/>
            </w:r>
            <w:r>
              <w:t xml:space="preserve">The weight used in the Load Zone LMP calculation for Electrical Bus </w:t>
            </w:r>
            <w:r>
              <w:rPr>
                <w:i/>
              </w:rPr>
              <w:t>b</w:t>
            </w:r>
            <w:r>
              <w:t xml:space="preserve"> for the SCED interval </w:t>
            </w:r>
            <w:r>
              <w:rPr>
                <w:i/>
              </w:rPr>
              <w:t>y</w:t>
            </w:r>
            <w:r>
              <w:t>.</w:t>
            </w:r>
          </w:p>
        </w:tc>
      </w:tr>
      <w:tr w:rsidR="001F04FD" w14:paraId="3914943A" w14:textId="77777777" w:rsidTr="00AC4DEE">
        <w:tc>
          <w:tcPr>
            <w:tcW w:w="1195" w:type="dxa"/>
          </w:tcPr>
          <w:p w14:paraId="5CAC06EC" w14:textId="77777777" w:rsidR="001F04FD" w:rsidRDefault="001F04FD" w:rsidP="00AC4DEE">
            <w:pPr>
              <w:pStyle w:val="TableBody"/>
            </w:pPr>
            <w:r>
              <w:t xml:space="preserve">SEL </w:t>
            </w:r>
            <w:r w:rsidRPr="00107CC2">
              <w:rPr>
                <w:i/>
                <w:vertAlign w:val="subscript"/>
              </w:rPr>
              <w:t>b, y</w:t>
            </w:r>
          </w:p>
        </w:tc>
        <w:tc>
          <w:tcPr>
            <w:tcW w:w="900" w:type="dxa"/>
          </w:tcPr>
          <w:p w14:paraId="4E927A2E" w14:textId="77777777" w:rsidR="001F04FD" w:rsidRDefault="001F04FD" w:rsidP="00AC4DEE">
            <w:pPr>
              <w:pStyle w:val="TableBody"/>
            </w:pPr>
            <w:r>
              <w:t>MW</w:t>
            </w:r>
          </w:p>
        </w:tc>
        <w:tc>
          <w:tcPr>
            <w:tcW w:w="7175" w:type="dxa"/>
          </w:tcPr>
          <w:p w14:paraId="332170DE" w14:textId="23809DF4" w:rsidR="005C5A9B" w:rsidRDefault="001F04FD" w:rsidP="00AC4DEE">
            <w:pPr>
              <w:pStyle w:val="TableBody"/>
            </w:pPr>
            <w:r>
              <w:rPr>
                <w:i/>
              </w:rPr>
              <w:t>State Estimator Load at bus per SCED interval</w:t>
            </w:r>
            <w:r>
              <w:sym w:font="Symbol" w:char="F0BE"/>
            </w:r>
            <w:r>
              <w:t>The Load from the State Estimator</w:t>
            </w:r>
            <w:r w:rsidR="002A0AD7">
              <w:t>, including a calculated net Load value at each Private Use Network</w:t>
            </w:r>
            <w:r w:rsidR="004D1724">
              <w:t xml:space="preserve"> and adjustments to account for DGR and DESR injections and withdrawals that are settled at a Resource Node, excluding WSL and Non-WSL ESR Charging Load for Electrical Bus </w:t>
            </w:r>
            <w:r w:rsidR="004D1724">
              <w:rPr>
                <w:i/>
              </w:rPr>
              <w:t>b</w:t>
            </w:r>
            <w:r w:rsidR="004D1724">
              <w:t xml:space="preserve"> in the Load Zone, for the SCED interval </w:t>
            </w:r>
            <w:r w:rsidR="004D1724">
              <w:rPr>
                <w:i/>
              </w:rPr>
              <w:t>y</w:t>
            </w:r>
            <w:r w:rsidR="004D172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6826"/>
            </w:tblGrid>
            <w:tr w:rsidR="009F7A6D" w14:paraId="3ABB7EEB" w14:textId="77777777" w:rsidTr="00F5593C">
              <w:trPr>
                <w:trHeight w:val="206"/>
              </w:trPr>
              <w:tc>
                <w:tcPr>
                  <w:tcW w:w="6826" w:type="dxa"/>
                  <w:shd w:val="pct12" w:color="auto" w:fill="auto"/>
                </w:tcPr>
                <w:p w14:paraId="2912DAA0" w14:textId="43E477F5" w:rsidR="009F7A6D" w:rsidRDefault="009F7A6D" w:rsidP="009F7A6D">
                  <w:pPr>
                    <w:pStyle w:val="Instructions"/>
                    <w:spacing w:before="120"/>
                  </w:pPr>
                  <w:r>
                    <w:t>[NPRR1188:  Replace the description above with the following upon system implementation:]</w:t>
                  </w:r>
                </w:p>
                <w:p w14:paraId="5359E538" w14:textId="4E52C81E" w:rsidR="009F7A6D" w:rsidRPr="008F39F7" w:rsidRDefault="009F7A6D" w:rsidP="009F7A6D">
                  <w:pPr>
                    <w:pStyle w:val="TableBody"/>
                  </w:pPr>
                  <w:r w:rsidRPr="00812ECB">
                    <w:rPr>
                      <w:i/>
                    </w:rPr>
                    <w:t>State Estimator Load at bus per SCED interval</w:t>
                  </w:r>
                  <w:r w:rsidRPr="00812ECB">
                    <w:sym w:font="Symbol" w:char="F0BE"/>
                  </w:r>
                  <w:r w:rsidRPr="00812ECB">
                    <w:t xml:space="preserve">The Load from the State Estimator, including a calculated net Load value at each Private Use Network and adjustments to account for DGR and DESR injections and withdrawals that are settled at a Resource Node, excluding CLR Load that is not an ALR, WSL and Non-WSL ESR Charging Load for Electrical Bus </w:t>
                  </w:r>
                  <w:r w:rsidRPr="00812ECB">
                    <w:rPr>
                      <w:i/>
                    </w:rPr>
                    <w:t>b</w:t>
                  </w:r>
                  <w:r w:rsidRPr="00812ECB">
                    <w:t xml:space="preserve"> in the Load Zone, for the SCED interval </w:t>
                  </w:r>
                  <w:r w:rsidRPr="00812ECB">
                    <w:rPr>
                      <w:i/>
                    </w:rPr>
                    <w:t>y</w:t>
                  </w:r>
                  <w:r w:rsidRPr="00812ECB">
                    <w:t>.</w:t>
                  </w:r>
                </w:p>
              </w:tc>
            </w:tr>
          </w:tbl>
          <w:p w14:paraId="64660682" w14:textId="5157DF61" w:rsidR="001F04FD" w:rsidRDefault="001F04FD" w:rsidP="00AC4DEE">
            <w:pPr>
              <w:pStyle w:val="TableBody"/>
            </w:pPr>
          </w:p>
        </w:tc>
      </w:tr>
      <w:tr w:rsidR="001F04FD" w14:paraId="6B4FCE13" w14:textId="77777777" w:rsidTr="00AC4DEE">
        <w:tc>
          <w:tcPr>
            <w:tcW w:w="1195" w:type="dxa"/>
          </w:tcPr>
          <w:p w14:paraId="6587373B" w14:textId="77777777" w:rsidR="001F04FD" w:rsidRPr="004F1FE8" w:rsidRDefault="001F04FD" w:rsidP="00AC4DEE">
            <w:pPr>
              <w:pStyle w:val="TableBody"/>
              <w:rPr>
                <w:i/>
              </w:rPr>
            </w:pPr>
            <w:r w:rsidRPr="00A61E91">
              <w:rPr>
                <w:i/>
              </w:rPr>
              <w:t xml:space="preserve">y </w:t>
            </w:r>
          </w:p>
        </w:tc>
        <w:tc>
          <w:tcPr>
            <w:tcW w:w="900" w:type="dxa"/>
          </w:tcPr>
          <w:p w14:paraId="0F5EBB30" w14:textId="77777777" w:rsidR="001F04FD" w:rsidRDefault="001F04FD" w:rsidP="00AC4DEE">
            <w:pPr>
              <w:pStyle w:val="TableBody"/>
            </w:pPr>
            <w:r>
              <w:t>None</w:t>
            </w:r>
          </w:p>
        </w:tc>
        <w:tc>
          <w:tcPr>
            <w:tcW w:w="7175" w:type="dxa"/>
          </w:tcPr>
          <w:p w14:paraId="403FD15E" w14:textId="77777777" w:rsidR="001F04FD" w:rsidRDefault="001F04FD" w:rsidP="00AC4DEE">
            <w:pPr>
              <w:pStyle w:val="TableBody"/>
            </w:pPr>
            <w:r>
              <w:t>A SCED interval.</w:t>
            </w:r>
          </w:p>
        </w:tc>
      </w:tr>
      <w:tr w:rsidR="001F04FD" w14:paraId="7BD36394" w14:textId="77777777" w:rsidTr="00AC4DEE">
        <w:tc>
          <w:tcPr>
            <w:tcW w:w="1195" w:type="dxa"/>
          </w:tcPr>
          <w:p w14:paraId="6FA1A151" w14:textId="77777777" w:rsidR="001F04FD" w:rsidRPr="004F1FE8" w:rsidRDefault="001F04FD" w:rsidP="00AC4DEE">
            <w:pPr>
              <w:pStyle w:val="TableBody"/>
              <w:rPr>
                <w:i/>
              </w:rPr>
            </w:pPr>
            <w:r w:rsidRPr="00A61E91">
              <w:rPr>
                <w:i/>
              </w:rPr>
              <w:t>b</w:t>
            </w:r>
          </w:p>
        </w:tc>
        <w:tc>
          <w:tcPr>
            <w:tcW w:w="900" w:type="dxa"/>
          </w:tcPr>
          <w:p w14:paraId="26B6885A" w14:textId="77777777" w:rsidR="001F04FD" w:rsidRDefault="001F04FD" w:rsidP="00AC4DEE">
            <w:pPr>
              <w:pStyle w:val="TableBody"/>
            </w:pPr>
            <w:r>
              <w:t>None</w:t>
            </w:r>
          </w:p>
        </w:tc>
        <w:tc>
          <w:tcPr>
            <w:tcW w:w="7175" w:type="dxa"/>
          </w:tcPr>
          <w:p w14:paraId="4399BC23" w14:textId="77777777" w:rsidR="001F04FD" w:rsidRDefault="001F04FD" w:rsidP="00AC4DEE">
            <w:pPr>
              <w:pStyle w:val="TableBody"/>
            </w:pPr>
            <w:r>
              <w:t>An Electrical Bus in the Load Zone.  The summation is over all of the Electrical Buses in the Load Zone.</w:t>
            </w:r>
          </w:p>
        </w:tc>
      </w:tr>
    </w:tbl>
    <w:p w14:paraId="77A00EF0" w14:textId="77777777" w:rsidR="001F04FD" w:rsidRDefault="001F04FD" w:rsidP="001F04FD">
      <w:pPr>
        <w:pStyle w:val="H4"/>
        <w:tabs>
          <w:tab w:val="clear" w:pos="1260"/>
        </w:tabs>
        <w:spacing w:before="480"/>
        <w:ind w:left="0" w:firstLine="0"/>
      </w:pPr>
      <w:bookmarkStart w:id="1722" w:name="_Toc397505007"/>
      <w:bookmarkStart w:id="1723" w:name="_Toc402357135"/>
      <w:bookmarkStart w:id="1724" w:name="_Toc422486513"/>
      <w:bookmarkStart w:id="1725" w:name="_Toc433093365"/>
      <w:bookmarkStart w:id="1726" w:name="_Toc433093523"/>
      <w:bookmarkStart w:id="1727" w:name="_Toc440874751"/>
      <w:bookmarkStart w:id="1728" w:name="_Toc448142306"/>
      <w:bookmarkStart w:id="1729" w:name="_Toc448142463"/>
      <w:bookmarkStart w:id="1730" w:name="_Toc458770300"/>
      <w:bookmarkStart w:id="1731" w:name="_Toc459294268"/>
      <w:bookmarkStart w:id="1732" w:name="_Toc463262761"/>
      <w:bookmarkStart w:id="1733" w:name="_Toc468286834"/>
      <w:bookmarkStart w:id="1734" w:name="_Toc481502880"/>
      <w:bookmarkStart w:id="1735" w:name="_Toc496080048"/>
      <w:bookmarkStart w:id="1736" w:name="_Toc204411651"/>
      <w:r>
        <w:t>6.6.1.5</w:t>
      </w:r>
      <w:r>
        <w:tab/>
      </w:r>
      <w:r>
        <w:tab/>
        <w:t>Hub LMPs</w:t>
      </w:r>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p>
    <w:p w14:paraId="5269F5DD" w14:textId="464495A3" w:rsidR="001F04FD" w:rsidRDefault="000468AC" w:rsidP="001F04FD">
      <w:pPr>
        <w:pStyle w:val="BodyText"/>
      </w:pPr>
      <w:r>
        <w:t>(1)</w:t>
      </w:r>
      <w:r>
        <w:tab/>
      </w:r>
      <w:r w:rsidR="001F04FD">
        <w:t xml:space="preserve">The Hub LMPs shall be posted on the </w:t>
      </w:r>
      <w:r w:rsidR="0007207E">
        <w:t>ERCOT website</w:t>
      </w:r>
      <w:r w:rsidR="001F04FD">
        <w:t>.</w:t>
      </w:r>
    </w:p>
    <w:p w14:paraId="4609EFAF" w14:textId="77777777" w:rsidR="001F04FD" w:rsidRDefault="000468AC" w:rsidP="008E724B">
      <w:pPr>
        <w:pStyle w:val="BodyText"/>
        <w:ind w:left="720" w:hanging="720"/>
      </w:pPr>
      <w:r>
        <w:t>(2)</w:t>
      </w:r>
      <w:r>
        <w:tab/>
      </w:r>
      <w:r w:rsidR="001F04FD">
        <w:t>For each defined Hub except for the ERCOT Hub Average 345 kV Hub, the Hub LMP is the arithmetic average of the Real-Time LMPs of the Hub Buses included in the Hub.  The Hub LMP for a SCED Interval is calculated as follows:</w:t>
      </w:r>
    </w:p>
    <w:p w14:paraId="063CE299" w14:textId="77777777" w:rsidR="001F04FD" w:rsidRPr="00042023" w:rsidRDefault="001F04FD" w:rsidP="001F04FD">
      <w:pPr>
        <w:pStyle w:val="FormulaBold"/>
        <w:rPr>
          <w:b w:val="0"/>
          <w:i/>
        </w:rPr>
      </w:pPr>
      <w:r>
        <w:t>HUBLMP</w:t>
      </w:r>
      <w:r>
        <w:rPr>
          <w:b w:val="0"/>
          <w:i/>
          <w:vertAlign w:val="subscript"/>
        </w:rPr>
        <w:t xml:space="preserve"> Hub, y</w:t>
      </w:r>
      <w:r>
        <w:tab/>
      </w:r>
      <w:r>
        <w:tab/>
        <w:t>=</w:t>
      </w:r>
      <w:r>
        <w:tab/>
      </w:r>
      <w:r w:rsidRPr="00160702">
        <w:rPr>
          <w:position w:val="-20"/>
        </w:rPr>
        <w:object w:dxaOrig="225" w:dyaOrig="435" w14:anchorId="0FFF2FBA">
          <v:shape id="_x0000_i1063" type="#_x0000_t75" style="width:12pt;height:18pt" o:ole="">
            <v:imagedata r:id="rId62" o:title=""/>
          </v:shape>
          <o:OLEObject Type="Embed" ProgID="Equation.3" ShapeID="_x0000_i1063" DrawAspect="Content" ObjectID="_1815025253" r:id="rId63"/>
        </w:object>
      </w:r>
      <w:r>
        <w:t xml:space="preserve">(HUBDF </w:t>
      </w:r>
      <w:r>
        <w:rPr>
          <w:b w:val="0"/>
          <w:i/>
          <w:vertAlign w:val="subscript"/>
        </w:rPr>
        <w:t>hb, Hub</w:t>
      </w:r>
      <w:r>
        <w:rPr>
          <w:b w:val="0"/>
        </w:rPr>
        <w:t xml:space="preserve"> </w:t>
      </w:r>
      <w:r>
        <w:t xml:space="preserve">* RTHBP </w:t>
      </w:r>
      <w:r>
        <w:rPr>
          <w:b w:val="0"/>
          <w:i/>
          <w:vertAlign w:val="subscript"/>
        </w:rPr>
        <w:t>hb, Hub, y</w:t>
      </w:r>
      <w:r w:rsidRPr="00042023">
        <w:t>)</w:t>
      </w:r>
      <w:r>
        <w:t>, if HB</w:t>
      </w:r>
      <w:r>
        <w:rPr>
          <w:vertAlign w:val="subscript"/>
        </w:rPr>
        <w:t xml:space="preserve"> </w:t>
      </w:r>
      <w:r>
        <w:rPr>
          <w:b w:val="0"/>
          <w:i/>
          <w:vertAlign w:val="subscript"/>
        </w:rPr>
        <w:t>Hub</w:t>
      </w:r>
      <w:r>
        <w:t xml:space="preserve"> ≠ 0</w:t>
      </w:r>
    </w:p>
    <w:p w14:paraId="68CDA8C6" w14:textId="77777777" w:rsidR="001F04FD" w:rsidRDefault="001F04FD" w:rsidP="001F04FD">
      <w:pPr>
        <w:pStyle w:val="FormulaBold"/>
      </w:pPr>
      <w:r>
        <w:t xml:space="preserve">HUBLMP </w:t>
      </w:r>
      <w:r>
        <w:rPr>
          <w:b w:val="0"/>
          <w:i/>
          <w:vertAlign w:val="subscript"/>
        </w:rPr>
        <w:t>Hub, y</w:t>
      </w:r>
      <w:r>
        <w:tab/>
        <w:t>=</w:t>
      </w:r>
      <w:r>
        <w:tab/>
        <w:t>HUBLMP</w:t>
      </w:r>
      <w:r>
        <w:rPr>
          <w:b w:val="0"/>
          <w:i/>
          <w:vertAlign w:val="subscript"/>
        </w:rPr>
        <w:t>ERCOT345Bus</w:t>
      </w:r>
      <w:r>
        <w:t>, if HB</w:t>
      </w:r>
      <w:r>
        <w:rPr>
          <w:vertAlign w:val="subscript"/>
        </w:rPr>
        <w:t xml:space="preserve"> </w:t>
      </w:r>
      <w:r>
        <w:rPr>
          <w:b w:val="0"/>
          <w:i/>
          <w:vertAlign w:val="subscript"/>
        </w:rPr>
        <w:t>Hub</w:t>
      </w:r>
      <w:r>
        <w:t xml:space="preserve"> = 0</w:t>
      </w:r>
    </w:p>
    <w:p w14:paraId="34D09FAD" w14:textId="77777777" w:rsidR="001F04FD" w:rsidRDefault="001F04FD" w:rsidP="000468AC">
      <w:pPr>
        <w:pStyle w:val="BodyText"/>
      </w:pPr>
      <w:r>
        <w:t>Where:</w:t>
      </w:r>
    </w:p>
    <w:p w14:paraId="428A9154" w14:textId="77777777" w:rsidR="001F04FD" w:rsidRDefault="001F04FD" w:rsidP="001F04FD">
      <w:pPr>
        <w:pStyle w:val="Formula"/>
        <w:ind w:left="2880" w:hanging="2160"/>
      </w:pPr>
      <w:r>
        <w:t xml:space="preserve">RTHBP </w:t>
      </w:r>
      <w:r>
        <w:rPr>
          <w:i/>
          <w:vertAlign w:val="subscript"/>
        </w:rPr>
        <w:t>hb, Hub, y</w:t>
      </w:r>
      <w:r>
        <w:tab/>
        <w:t>=</w:t>
      </w:r>
      <w:r>
        <w:tab/>
      </w:r>
      <w:r w:rsidRPr="00160702">
        <w:rPr>
          <w:position w:val="-20"/>
        </w:rPr>
        <w:object w:dxaOrig="225" w:dyaOrig="435" w14:anchorId="4BD69D5B">
          <v:shape id="_x0000_i1064" type="#_x0000_t75" style="width:12pt;height:18pt" o:ole="">
            <v:imagedata r:id="rId64" o:title=""/>
          </v:shape>
          <o:OLEObject Type="Embed" ProgID="Equation.3" ShapeID="_x0000_i1064" DrawAspect="Content" ObjectID="_1815025254" r:id="rId65"/>
        </w:object>
      </w:r>
      <w:r>
        <w:t xml:space="preserve">(HBDF </w:t>
      </w:r>
      <w:r>
        <w:rPr>
          <w:i/>
          <w:vertAlign w:val="subscript"/>
        </w:rPr>
        <w:t>b, hb, Hub</w:t>
      </w:r>
      <w:r>
        <w:t xml:space="preserve"> * RTLMP </w:t>
      </w:r>
      <w:r>
        <w:rPr>
          <w:i/>
          <w:vertAlign w:val="subscript"/>
        </w:rPr>
        <w:t>b, hb, Hub, y</w:t>
      </w:r>
      <w:r>
        <w:t>)</w:t>
      </w:r>
    </w:p>
    <w:p w14:paraId="58F6296B" w14:textId="77777777" w:rsidR="001F04FD" w:rsidRDefault="001F04FD" w:rsidP="001F04FD">
      <w:pPr>
        <w:pStyle w:val="Formula"/>
        <w:ind w:left="2880" w:hanging="2160"/>
      </w:pPr>
      <w:r>
        <w:t>HUBDF</w:t>
      </w:r>
      <w:r>
        <w:rPr>
          <w:i/>
        </w:rPr>
        <w:t xml:space="preserve"> </w:t>
      </w:r>
      <w:r>
        <w:rPr>
          <w:i/>
          <w:vertAlign w:val="subscript"/>
        </w:rPr>
        <w:t>hb, Hub</w:t>
      </w:r>
      <w:r>
        <w:tab/>
      </w:r>
      <w:r>
        <w:tab/>
        <w:t>=</w:t>
      </w:r>
      <w:r>
        <w:tab/>
        <w:t xml:space="preserve"> 1 </w:t>
      </w:r>
      <w:r>
        <w:rPr>
          <w:b/>
          <w:sz w:val="32"/>
          <w:szCs w:val="32"/>
        </w:rPr>
        <w:t>/</w:t>
      </w:r>
      <w:r>
        <w:rPr>
          <w:b/>
        </w:rPr>
        <w:t xml:space="preserve"> </w:t>
      </w:r>
      <w:r>
        <w:t xml:space="preserve">HB </w:t>
      </w:r>
      <w:r>
        <w:rPr>
          <w:i/>
          <w:vertAlign w:val="subscript"/>
        </w:rPr>
        <w:t>Hub</w:t>
      </w:r>
      <w:r>
        <w:t>, if HB</w:t>
      </w:r>
      <w:r>
        <w:rPr>
          <w:vertAlign w:val="subscript"/>
        </w:rPr>
        <w:t xml:space="preserve"> </w:t>
      </w:r>
      <w:r>
        <w:rPr>
          <w:i/>
          <w:vertAlign w:val="subscript"/>
        </w:rPr>
        <w:t>Hub</w:t>
      </w:r>
      <w:r>
        <w:t xml:space="preserve"> ≠ 0</w:t>
      </w:r>
    </w:p>
    <w:p w14:paraId="769FC8E8" w14:textId="77777777" w:rsidR="001F04FD" w:rsidRDefault="001F04FD" w:rsidP="001F04FD">
      <w:pPr>
        <w:pStyle w:val="Formula"/>
        <w:ind w:left="2880" w:hanging="2160"/>
      </w:pPr>
      <w:r>
        <w:t>HUBDF</w:t>
      </w:r>
      <w:r>
        <w:rPr>
          <w:i/>
        </w:rPr>
        <w:t xml:space="preserve"> </w:t>
      </w:r>
      <w:r>
        <w:rPr>
          <w:i/>
          <w:vertAlign w:val="subscript"/>
        </w:rPr>
        <w:t>hb, Hub</w:t>
      </w:r>
      <w:r>
        <w:rPr>
          <w:i/>
          <w:vertAlign w:val="subscript"/>
        </w:rPr>
        <w:tab/>
      </w:r>
      <w:r>
        <w:tab/>
        <w:t>=</w:t>
      </w:r>
      <w:r>
        <w:tab/>
        <w:t xml:space="preserve"> 0, if HB</w:t>
      </w:r>
      <w:r>
        <w:rPr>
          <w:vertAlign w:val="subscript"/>
        </w:rPr>
        <w:t xml:space="preserve"> </w:t>
      </w:r>
      <w:r>
        <w:rPr>
          <w:i/>
          <w:vertAlign w:val="subscript"/>
        </w:rPr>
        <w:t>Hub</w:t>
      </w:r>
      <w:r>
        <w:t xml:space="preserve"> = 0</w:t>
      </w:r>
    </w:p>
    <w:p w14:paraId="6AEB60B8" w14:textId="77777777" w:rsidR="001F04FD" w:rsidRDefault="001F04FD" w:rsidP="001F04FD">
      <w:pPr>
        <w:pStyle w:val="Formula"/>
        <w:ind w:left="2880" w:hanging="2160"/>
      </w:pPr>
      <w:r>
        <w:t xml:space="preserve">HBDF </w:t>
      </w:r>
      <w:r>
        <w:rPr>
          <w:i/>
          <w:vertAlign w:val="subscript"/>
        </w:rPr>
        <w:t>b, hb, Hub</w:t>
      </w:r>
      <w:r>
        <w:rPr>
          <w:i/>
          <w:vertAlign w:val="subscript"/>
        </w:rPr>
        <w:tab/>
      </w:r>
      <w:r>
        <w:tab/>
        <w:t>=</w:t>
      </w:r>
      <w:r>
        <w:tab/>
        <w:t xml:space="preserve">1 </w:t>
      </w:r>
      <w:r>
        <w:rPr>
          <w:b/>
          <w:sz w:val="32"/>
          <w:szCs w:val="32"/>
        </w:rPr>
        <w:t>/</w:t>
      </w:r>
      <w:r>
        <w:t xml:space="preserve"> B</w:t>
      </w:r>
      <w:r>
        <w:rPr>
          <w:i/>
        </w:rPr>
        <w:t xml:space="preserve"> </w:t>
      </w:r>
      <w:r>
        <w:rPr>
          <w:i/>
          <w:vertAlign w:val="subscript"/>
        </w:rPr>
        <w:t>hb, Hub</w:t>
      </w:r>
      <w:r>
        <w:t>, if B</w:t>
      </w:r>
      <w:r>
        <w:rPr>
          <w:i/>
          <w:vertAlign w:val="subscript"/>
        </w:rPr>
        <w:t xml:space="preserve"> hb, Hub</w:t>
      </w:r>
      <w:r>
        <w:t xml:space="preserve"> ≠ 0</w:t>
      </w:r>
    </w:p>
    <w:p w14:paraId="62EA572C" w14:textId="77777777" w:rsidR="001F04FD" w:rsidRPr="00C97C66" w:rsidRDefault="001F04FD" w:rsidP="001F04FD">
      <w:pPr>
        <w:pStyle w:val="BodyText"/>
        <w:ind w:firstLine="720"/>
      </w:pPr>
      <w:r>
        <w:t xml:space="preserve">HBDF </w:t>
      </w:r>
      <w:r>
        <w:rPr>
          <w:i/>
          <w:vertAlign w:val="subscript"/>
        </w:rPr>
        <w:t>b, hb, Hub</w:t>
      </w:r>
      <w:r>
        <w:rPr>
          <w:i/>
          <w:vertAlign w:val="subscript"/>
        </w:rPr>
        <w:tab/>
      </w:r>
      <w:r>
        <w:tab/>
        <w:t>=</w:t>
      </w:r>
      <w:r>
        <w:tab/>
        <w:t>0, if B</w:t>
      </w:r>
      <w:r>
        <w:rPr>
          <w:i/>
          <w:vertAlign w:val="subscript"/>
        </w:rPr>
        <w:t xml:space="preserve"> hb, Hub</w:t>
      </w:r>
      <w:r>
        <w:t xml:space="preserve"> = 0</w:t>
      </w:r>
    </w:p>
    <w:p w14:paraId="531F1537" w14:textId="77777777" w:rsidR="001F04FD" w:rsidRDefault="001F04FD" w:rsidP="001F04FD">
      <w:r>
        <w:t>The above variables are defined as follows:</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3"/>
        <w:gridCol w:w="937"/>
        <w:gridCol w:w="6668"/>
      </w:tblGrid>
      <w:tr w:rsidR="001F04FD" w:rsidRPr="008C3CC8" w14:paraId="2D14E54A" w14:textId="77777777" w:rsidTr="00AC4DEE">
        <w:tc>
          <w:tcPr>
            <w:tcW w:w="884" w:type="pct"/>
          </w:tcPr>
          <w:p w14:paraId="6A7DBDD6" w14:textId="77777777" w:rsidR="001F04FD" w:rsidRPr="008C3CC8" w:rsidRDefault="001F04FD" w:rsidP="00AC4DEE">
            <w:pPr>
              <w:pStyle w:val="TableHead"/>
            </w:pPr>
            <w:r w:rsidRPr="008C3CC8">
              <w:lastRenderedPageBreak/>
              <w:t>Variable</w:t>
            </w:r>
          </w:p>
        </w:tc>
        <w:tc>
          <w:tcPr>
            <w:tcW w:w="507" w:type="pct"/>
          </w:tcPr>
          <w:p w14:paraId="74E8B94B" w14:textId="77777777" w:rsidR="001F04FD" w:rsidRPr="008C3CC8" w:rsidRDefault="001F04FD" w:rsidP="00AC4DEE">
            <w:pPr>
              <w:pStyle w:val="TableHead"/>
            </w:pPr>
            <w:r w:rsidRPr="008C3CC8">
              <w:t>Unit</w:t>
            </w:r>
          </w:p>
        </w:tc>
        <w:tc>
          <w:tcPr>
            <w:tcW w:w="3609" w:type="pct"/>
          </w:tcPr>
          <w:p w14:paraId="1F196A6F" w14:textId="77777777" w:rsidR="001F04FD" w:rsidRPr="008C3CC8" w:rsidRDefault="001F04FD" w:rsidP="00AC4DEE">
            <w:pPr>
              <w:pStyle w:val="TableHead"/>
            </w:pPr>
            <w:r w:rsidRPr="008C3CC8">
              <w:t>Description</w:t>
            </w:r>
          </w:p>
        </w:tc>
      </w:tr>
      <w:tr w:rsidR="001F04FD" w:rsidRPr="008C3CC8" w14:paraId="1263667C" w14:textId="77777777" w:rsidTr="00AC4DEE">
        <w:tc>
          <w:tcPr>
            <w:tcW w:w="884" w:type="pct"/>
          </w:tcPr>
          <w:p w14:paraId="15AD0DDE" w14:textId="77777777" w:rsidR="001F04FD" w:rsidRPr="008C3CC8" w:rsidRDefault="001F04FD" w:rsidP="00AC4DEE">
            <w:pPr>
              <w:pStyle w:val="TableBody"/>
            </w:pPr>
            <w:r w:rsidRPr="008C3CC8">
              <w:t>HUBLMP</w:t>
            </w:r>
            <w:r w:rsidRPr="008C3CC8">
              <w:rPr>
                <w:b/>
                <w:vertAlign w:val="subscript"/>
              </w:rPr>
              <w:t xml:space="preserve"> </w:t>
            </w:r>
            <w:r w:rsidRPr="00107CC2">
              <w:rPr>
                <w:i/>
                <w:vertAlign w:val="subscript"/>
              </w:rPr>
              <w:t>Hub, y</w:t>
            </w:r>
          </w:p>
        </w:tc>
        <w:tc>
          <w:tcPr>
            <w:tcW w:w="507" w:type="pct"/>
          </w:tcPr>
          <w:p w14:paraId="2AF9CA27" w14:textId="77777777" w:rsidR="001F04FD" w:rsidRPr="008C3CC8" w:rsidRDefault="001F04FD" w:rsidP="00AC4DEE">
            <w:pPr>
              <w:pStyle w:val="TableBody"/>
            </w:pPr>
            <w:r w:rsidRPr="008C3CC8">
              <w:t>$/MWh</w:t>
            </w:r>
          </w:p>
        </w:tc>
        <w:tc>
          <w:tcPr>
            <w:tcW w:w="3609" w:type="pct"/>
          </w:tcPr>
          <w:p w14:paraId="4BCCFF1A" w14:textId="77777777" w:rsidR="001F04FD" w:rsidRPr="008C3CC8" w:rsidRDefault="001F04FD" w:rsidP="00AC4DEE">
            <w:pPr>
              <w:pStyle w:val="TableBody"/>
            </w:pPr>
            <w:r w:rsidRPr="00042023">
              <w:rPr>
                <w:i/>
              </w:rPr>
              <w:t>Hub Locational Marginal Price</w:t>
            </w:r>
            <w:r w:rsidRPr="008C3CC8">
              <w:sym w:font="Symbol" w:char="F0BE"/>
            </w:r>
            <w:r w:rsidRPr="008C3CC8">
              <w:t xml:space="preserve">The Hub LMP for the Hub for the SCED Interval </w:t>
            </w:r>
            <w:r w:rsidRPr="00042023">
              <w:rPr>
                <w:i/>
              </w:rPr>
              <w:t>y</w:t>
            </w:r>
            <w:r w:rsidRPr="008C3CC8">
              <w:t>.</w:t>
            </w:r>
          </w:p>
        </w:tc>
      </w:tr>
      <w:tr w:rsidR="001F04FD" w:rsidRPr="008C3CC8" w14:paraId="58D207F5" w14:textId="77777777" w:rsidTr="00AC4DEE">
        <w:tc>
          <w:tcPr>
            <w:tcW w:w="884" w:type="pct"/>
          </w:tcPr>
          <w:p w14:paraId="0A5F54F4" w14:textId="77777777" w:rsidR="001F04FD" w:rsidRPr="008C3CC8" w:rsidRDefault="001F04FD" w:rsidP="00AC4DEE">
            <w:pPr>
              <w:pStyle w:val="TableBody"/>
            </w:pPr>
            <w:r w:rsidRPr="008C3CC8">
              <w:t xml:space="preserve">RTHBP </w:t>
            </w:r>
            <w:r w:rsidRPr="00107CC2">
              <w:rPr>
                <w:i/>
                <w:vertAlign w:val="subscript"/>
              </w:rPr>
              <w:t>hb, Hub, y</w:t>
            </w:r>
          </w:p>
        </w:tc>
        <w:tc>
          <w:tcPr>
            <w:tcW w:w="507" w:type="pct"/>
          </w:tcPr>
          <w:p w14:paraId="064AC712" w14:textId="77777777" w:rsidR="001F04FD" w:rsidRPr="008C3CC8" w:rsidRDefault="001F04FD" w:rsidP="00AC4DEE">
            <w:pPr>
              <w:pStyle w:val="TableBody"/>
            </w:pPr>
            <w:r w:rsidRPr="008C3CC8">
              <w:t>$/MWh</w:t>
            </w:r>
          </w:p>
        </w:tc>
        <w:tc>
          <w:tcPr>
            <w:tcW w:w="3609" w:type="pct"/>
          </w:tcPr>
          <w:p w14:paraId="7DC3BA61" w14:textId="77777777" w:rsidR="001F04FD" w:rsidRPr="008C3CC8" w:rsidRDefault="001F04FD" w:rsidP="00AC4DEE">
            <w:pPr>
              <w:pStyle w:val="TableBody"/>
            </w:pPr>
            <w:r w:rsidRPr="00042023">
              <w:rPr>
                <w:i/>
              </w:rPr>
              <w:t>Real-Time Hub Bus Price at Hub Bus per SCED interval</w:t>
            </w:r>
            <w:r w:rsidRPr="008C3CC8">
              <w:sym w:font="Symbol" w:char="F0BE"/>
            </w:r>
            <w:r w:rsidRPr="008C3CC8">
              <w:t xml:space="preserve">The Real-Time energy price at Hub Bus </w:t>
            </w:r>
            <w:r w:rsidRPr="00042023">
              <w:rPr>
                <w:i/>
              </w:rPr>
              <w:t>hb</w:t>
            </w:r>
            <w:r w:rsidRPr="008C3CC8">
              <w:t xml:space="preserve"> for the SCED interval </w:t>
            </w:r>
            <w:r w:rsidRPr="00042023">
              <w:rPr>
                <w:i/>
              </w:rPr>
              <w:t>y</w:t>
            </w:r>
            <w:r w:rsidRPr="008C3CC8">
              <w:t>.</w:t>
            </w:r>
          </w:p>
        </w:tc>
      </w:tr>
      <w:tr w:rsidR="001F04FD" w:rsidRPr="008C3CC8" w14:paraId="3378C137" w14:textId="77777777" w:rsidTr="00AC4DEE">
        <w:tc>
          <w:tcPr>
            <w:tcW w:w="884" w:type="pct"/>
          </w:tcPr>
          <w:p w14:paraId="0C88316D" w14:textId="77777777" w:rsidR="001F04FD" w:rsidRPr="008C3CC8" w:rsidRDefault="001F04FD" w:rsidP="00AC4DEE">
            <w:pPr>
              <w:pStyle w:val="TableBody"/>
              <w:rPr>
                <w:lang w:val="fr-FR"/>
              </w:rPr>
            </w:pPr>
            <w:r w:rsidRPr="008C3CC8">
              <w:rPr>
                <w:lang w:val="fr-FR"/>
              </w:rPr>
              <w:t xml:space="preserve">RTLMP </w:t>
            </w:r>
            <w:r w:rsidRPr="00107CC2">
              <w:rPr>
                <w:i/>
                <w:vertAlign w:val="subscript"/>
                <w:lang w:val="fr-FR"/>
              </w:rPr>
              <w:t>b, hb, Hub, y</w:t>
            </w:r>
          </w:p>
        </w:tc>
        <w:tc>
          <w:tcPr>
            <w:tcW w:w="507" w:type="pct"/>
          </w:tcPr>
          <w:p w14:paraId="5FDCD9E5" w14:textId="77777777" w:rsidR="001F04FD" w:rsidRPr="008C3CC8" w:rsidRDefault="001F04FD" w:rsidP="00AC4DEE">
            <w:pPr>
              <w:pStyle w:val="TableBody"/>
            </w:pPr>
            <w:r w:rsidRPr="008C3CC8">
              <w:t>$/MWh</w:t>
            </w:r>
          </w:p>
        </w:tc>
        <w:tc>
          <w:tcPr>
            <w:tcW w:w="3609" w:type="pct"/>
          </w:tcPr>
          <w:p w14:paraId="36A001FB" w14:textId="77777777" w:rsidR="001F04FD" w:rsidRPr="008C3CC8" w:rsidRDefault="001F04FD" w:rsidP="00AC4DEE">
            <w:pPr>
              <w:pStyle w:val="TableBody"/>
            </w:pPr>
            <w:r w:rsidRPr="00042023">
              <w:rPr>
                <w:i/>
              </w:rPr>
              <w:t>Real-Time Locational Marginal Price at Electrical Bus of Hub Bus per interval</w:t>
            </w:r>
            <w:r w:rsidRPr="008C3CC8">
              <w:sym w:font="Symbol" w:char="F0BE"/>
            </w:r>
            <w:r w:rsidRPr="008C3CC8">
              <w:t xml:space="preserve">The Real-Time LMP at Electrical Bus </w:t>
            </w:r>
            <w:r w:rsidRPr="00042023">
              <w:rPr>
                <w:i/>
              </w:rPr>
              <w:t>b</w:t>
            </w:r>
            <w:r w:rsidRPr="008C3CC8">
              <w:t xml:space="preserve"> that is a component of Hub Bus </w:t>
            </w:r>
            <w:r w:rsidRPr="00042023">
              <w:rPr>
                <w:i/>
              </w:rPr>
              <w:t>hb</w:t>
            </w:r>
            <w:r w:rsidRPr="008C3CC8">
              <w:t xml:space="preserve">, for the SCED interval </w:t>
            </w:r>
            <w:r w:rsidRPr="00042023">
              <w:rPr>
                <w:i/>
              </w:rPr>
              <w:t>y</w:t>
            </w:r>
            <w:r w:rsidRPr="008C3CC8">
              <w:t>.</w:t>
            </w:r>
          </w:p>
        </w:tc>
      </w:tr>
      <w:tr w:rsidR="001F04FD" w:rsidRPr="008C3CC8" w14:paraId="5754A7FA" w14:textId="77777777" w:rsidTr="00AC4DEE">
        <w:tc>
          <w:tcPr>
            <w:tcW w:w="884" w:type="pct"/>
          </w:tcPr>
          <w:p w14:paraId="3A993C50" w14:textId="77777777" w:rsidR="001F04FD" w:rsidRPr="008C3CC8" w:rsidRDefault="001F04FD" w:rsidP="00AC4DEE">
            <w:pPr>
              <w:pStyle w:val="TableBody"/>
            </w:pPr>
            <w:r w:rsidRPr="008C3CC8">
              <w:t xml:space="preserve">HUBDF </w:t>
            </w:r>
            <w:r w:rsidRPr="00107CC2">
              <w:rPr>
                <w:i/>
                <w:vertAlign w:val="subscript"/>
              </w:rPr>
              <w:t>hb, Hub</w:t>
            </w:r>
          </w:p>
        </w:tc>
        <w:tc>
          <w:tcPr>
            <w:tcW w:w="507" w:type="pct"/>
          </w:tcPr>
          <w:p w14:paraId="23ABA108" w14:textId="77777777" w:rsidR="001F04FD" w:rsidRPr="008C3CC8" w:rsidRDefault="001F04FD" w:rsidP="00AC4DEE">
            <w:pPr>
              <w:pStyle w:val="TableBody"/>
            </w:pPr>
            <w:r w:rsidRPr="008C3CC8">
              <w:t>none</w:t>
            </w:r>
          </w:p>
        </w:tc>
        <w:tc>
          <w:tcPr>
            <w:tcW w:w="3609" w:type="pct"/>
          </w:tcPr>
          <w:p w14:paraId="0A4D6CD4" w14:textId="77777777" w:rsidR="001F04FD" w:rsidRPr="008C3CC8" w:rsidRDefault="001F04FD" w:rsidP="00AC4DEE">
            <w:pPr>
              <w:pStyle w:val="TableBody"/>
              <w:rPr>
                <w:iCs w:val="0"/>
              </w:rPr>
            </w:pPr>
            <w:r w:rsidRPr="00042023">
              <w:rPr>
                <w:i/>
              </w:rPr>
              <w:t>Hub Distribution Factor per Hub Bus</w:t>
            </w:r>
            <w:r w:rsidRPr="008C3CC8">
              <w:sym w:font="Symbol" w:char="F0BE"/>
            </w:r>
            <w:r w:rsidRPr="008C3CC8">
              <w:t xml:space="preserve">The distribution factor of Hub Bus </w:t>
            </w:r>
            <w:r w:rsidRPr="00042023">
              <w:rPr>
                <w:i/>
              </w:rPr>
              <w:t>hb</w:t>
            </w:r>
            <w:r w:rsidRPr="008C3CC8">
              <w:t xml:space="preserve">.  </w:t>
            </w:r>
          </w:p>
        </w:tc>
      </w:tr>
      <w:tr w:rsidR="001F04FD" w:rsidRPr="008C3CC8" w14:paraId="4CEDDCF1" w14:textId="77777777" w:rsidTr="00AC4DEE">
        <w:tc>
          <w:tcPr>
            <w:tcW w:w="884" w:type="pct"/>
          </w:tcPr>
          <w:p w14:paraId="65BD0D0A" w14:textId="77777777" w:rsidR="001F04FD" w:rsidRPr="008C3CC8" w:rsidRDefault="001F04FD" w:rsidP="00AC4DEE">
            <w:pPr>
              <w:pStyle w:val="TableBody"/>
            </w:pPr>
            <w:r w:rsidRPr="008C3CC8">
              <w:t xml:space="preserve">HBDF </w:t>
            </w:r>
            <w:r w:rsidRPr="00107CC2">
              <w:rPr>
                <w:i/>
                <w:vertAlign w:val="subscript"/>
              </w:rPr>
              <w:t>b, hb, Hub</w:t>
            </w:r>
          </w:p>
        </w:tc>
        <w:tc>
          <w:tcPr>
            <w:tcW w:w="507" w:type="pct"/>
          </w:tcPr>
          <w:p w14:paraId="20AA3611" w14:textId="77777777" w:rsidR="001F04FD" w:rsidRPr="008C3CC8" w:rsidRDefault="001F04FD" w:rsidP="00AC4DEE">
            <w:pPr>
              <w:pStyle w:val="TableBody"/>
            </w:pPr>
            <w:r w:rsidRPr="008C3CC8">
              <w:t>none</w:t>
            </w:r>
          </w:p>
        </w:tc>
        <w:tc>
          <w:tcPr>
            <w:tcW w:w="3609" w:type="pct"/>
          </w:tcPr>
          <w:p w14:paraId="3CE8E033" w14:textId="77777777" w:rsidR="001F04FD" w:rsidRPr="008C3CC8" w:rsidRDefault="001F04FD" w:rsidP="00AC4DEE">
            <w:pPr>
              <w:pStyle w:val="TableBody"/>
            </w:pPr>
            <w:r w:rsidRPr="00042023">
              <w:rPr>
                <w:i/>
              </w:rPr>
              <w:t>Hub Bus Distribution Factor per Electrical Bus of Hub Bus</w:t>
            </w:r>
            <w:r w:rsidRPr="008C3CC8">
              <w:sym w:font="Symbol" w:char="F0BE"/>
            </w:r>
            <w:r w:rsidRPr="008C3CC8">
              <w:t xml:space="preserve">The distribution factor of Electrical Bus </w:t>
            </w:r>
            <w:r w:rsidRPr="00042023">
              <w:rPr>
                <w:i/>
              </w:rPr>
              <w:t>b</w:t>
            </w:r>
            <w:r w:rsidRPr="008C3CC8">
              <w:t xml:space="preserve"> that is a component of Hub Bus</w:t>
            </w:r>
            <w:r w:rsidRPr="00042023">
              <w:rPr>
                <w:i/>
              </w:rPr>
              <w:t xml:space="preserve"> hb</w:t>
            </w:r>
            <w:r w:rsidRPr="008C3CC8">
              <w:t xml:space="preserve">.  </w:t>
            </w:r>
          </w:p>
        </w:tc>
      </w:tr>
      <w:tr w:rsidR="001F04FD" w:rsidRPr="008C3CC8" w14:paraId="6FCEAF6D" w14:textId="77777777" w:rsidTr="00AC4DEE">
        <w:tc>
          <w:tcPr>
            <w:tcW w:w="884" w:type="pct"/>
          </w:tcPr>
          <w:p w14:paraId="5C41F047" w14:textId="77777777" w:rsidR="001F04FD" w:rsidRPr="008C3CC8" w:rsidRDefault="001F04FD" w:rsidP="00AC4DEE">
            <w:pPr>
              <w:pStyle w:val="TableBody"/>
            </w:pPr>
            <w:r w:rsidRPr="008C3CC8">
              <w:t xml:space="preserve">B </w:t>
            </w:r>
            <w:r w:rsidRPr="00107CC2">
              <w:rPr>
                <w:i/>
                <w:vertAlign w:val="subscript"/>
              </w:rPr>
              <w:t>hb, Hub</w:t>
            </w:r>
          </w:p>
        </w:tc>
        <w:tc>
          <w:tcPr>
            <w:tcW w:w="507" w:type="pct"/>
          </w:tcPr>
          <w:p w14:paraId="68ABAEC1" w14:textId="77777777" w:rsidR="001F04FD" w:rsidRPr="008C3CC8" w:rsidRDefault="001F04FD" w:rsidP="00AC4DEE">
            <w:pPr>
              <w:pStyle w:val="TableBody"/>
            </w:pPr>
            <w:r w:rsidRPr="008C3CC8">
              <w:t>none</w:t>
            </w:r>
          </w:p>
        </w:tc>
        <w:tc>
          <w:tcPr>
            <w:tcW w:w="3609" w:type="pct"/>
          </w:tcPr>
          <w:p w14:paraId="1D5C0F96" w14:textId="77777777" w:rsidR="001F04FD" w:rsidRPr="008C3CC8" w:rsidRDefault="001F04FD" w:rsidP="00AC4DEE">
            <w:pPr>
              <w:pStyle w:val="TableBody"/>
            </w:pPr>
            <w:r w:rsidRPr="008C3CC8">
              <w:t xml:space="preserve">The total number of energized Electrical Buses in Hub Bus </w:t>
            </w:r>
            <w:r w:rsidRPr="00042023">
              <w:rPr>
                <w:i/>
              </w:rPr>
              <w:t>hb</w:t>
            </w:r>
            <w:r w:rsidRPr="008C3CC8">
              <w:t>.</w:t>
            </w:r>
          </w:p>
        </w:tc>
      </w:tr>
      <w:tr w:rsidR="001F04FD" w:rsidRPr="008C3CC8" w14:paraId="53524946" w14:textId="77777777" w:rsidTr="00AC4DEE">
        <w:tc>
          <w:tcPr>
            <w:tcW w:w="884" w:type="pct"/>
          </w:tcPr>
          <w:p w14:paraId="672CE2CE" w14:textId="77777777" w:rsidR="001F04FD" w:rsidRPr="008C3CC8" w:rsidRDefault="001F04FD" w:rsidP="00AC4DEE">
            <w:pPr>
              <w:pStyle w:val="TableBody"/>
            </w:pPr>
            <w:r w:rsidRPr="008C3CC8">
              <w:t>HB</w:t>
            </w:r>
            <w:r w:rsidRPr="008C3CC8">
              <w:rPr>
                <w:vertAlign w:val="subscript"/>
              </w:rPr>
              <w:t xml:space="preserve"> </w:t>
            </w:r>
            <w:r w:rsidRPr="00107CC2">
              <w:rPr>
                <w:i/>
                <w:vertAlign w:val="subscript"/>
              </w:rPr>
              <w:t>Hub</w:t>
            </w:r>
          </w:p>
        </w:tc>
        <w:tc>
          <w:tcPr>
            <w:tcW w:w="507" w:type="pct"/>
          </w:tcPr>
          <w:p w14:paraId="4005DC91" w14:textId="77777777" w:rsidR="001F04FD" w:rsidRPr="008C3CC8" w:rsidRDefault="001F04FD" w:rsidP="00AC4DEE">
            <w:pPr>
              <w:pStyle w:val="TableBody"/>
            </w:pPr>
            <w:r w:rsidRPr="008C3CC8">
              <w:t>none</w:t>
            </w:r>
          </w:p>
        </w:tc>
        <w:tc>
          <w:tcPr>
            <w:tcW w:w="3609" w:type="pct"/>
          </w:tcPr>
          <w:p w14:paraId="3BEB7773" w14:textId="77777777" w:rsidR="001F04FD" w:rsidRPr="008C3CC8" w:rsidRDefault="001F04FD" w:rsidP="00AC4DEE">
            <w:pPr>
              <w:pStyle w:val="TableBody"/>
            </w:pPr>
            <w:r w:rsidRPr="008C3CC8">
              <w:t>The total number of Hub Buses in the Hub with at least one energized component in each Hub Bus.</w:t>
            </w:r>
          </w:p>
        </w:tc>
      </w:tr>
      <w:tr w:rsidR="001F04FD" w:rsidRPr="008C3CC8" w14:paraId="6E253F87" w14:textId="77777777" w:rsidTr="00AC4DEE">
        <w:tc>
          <w:tcPr>
            <w:tcW w:w="884" w:type="pct"/>
          </w:tcPr>
          <w:p w14:paraId="16D1DBBF" w14:textId="77777777" w:rsidR="001F04FD" w:rsidRPr="00107CC2" w:rsidRDefault="001F04FD" w:rsidP="00AC4DEE">
            <w:pPr>
              <w:pStyle w:val="TableBody"/>
              <w:rPr>
                <w:i/>
              </w:rPr>
            </w:pPr>
            <w:r w:rsidRPr="00107CC2">
              <w:rPr>
                <w:i/>
              </w:rPr>
              <w:t>Hub</w:t>
            </w:r>
          </w:p>
        </w:tc>
        <w:tc>
          <w:tcPr>
            <w:tcW w:w="507" w:type="pct"/>
          </w:tcPr>
          <w:p w14:paraId="0BE7F5A6" w14:textId="77777777" w:rsidR="001F04FD" w:rsidRPr="008C3CC8" w:rsidRDefault="001F04FD" w:rsidP="00AC4DEE">
            <w:pPr>
              <w:pStyle w:val="TableBody"/>
            </w:pPr>
            <w:r w:rsidRPr="008C3CC8">
              <w:t>none</w:t>
            </w:r>
          </w:p>
        </w:tc>
        <w:tc>
          <w:tcPr>
            <w:tcW w:w="3609" w:type="pct"/>
          </w:tcPr>
          <w:p w14:paraId="5CC78AD0" w14:textId="77777777" w:rsidR="001F04FD" w:rsidRPr="008C3CC8" w:rsidRDefault="001F04FD" w:rsidP="00AC4DEE">
            <w:pPr>
              <w:pStyle w:val="TableBody"/>
            </w:pPr>
            <w:r w:rsidRPr="008C3CC8">
              <w:t>One of the following Hubs: ERCOT Bus Average 345 kV Hub, North 345 kV Hub, South 345 kV Hub, Houston 345 kV Hub, or the West 345 kV Hub</w:t>
            </w:r>
          </w:p>
        </w:tc>
      </w:tr>
      <w:tr w:rsidR="001F04FD" w:rsidRPr="008C3CC8" w14:paraId="1E32CF9B" w14:textId="77777777" w:rsidTr="00AC4DEE">
        <w:tc>
          <w:tcPr>
            <w:tcW w:w="884" w:type="pct"/>
          </w:tcPr>
          <w:p w14:paraId="26030273" w14:textId="77777777" w:rsidR="001F04FD" w:rsidRPr="004F1FE8" w:rsidRDefault="001F04FD" w:rsidP="00AC4DEE">
            <w:pPr>
              <w:pStyle w:val="TableBody"/>
              <w:rPr>
                <w:i/>
              </w:rPr>
            </w:pPr>
            <w:r w:rsidRPr="00A61E91">
              <w:rPr>
                <w:i/>
              </w:rPr>
              <w:t>hb</w:t>
            </w:r>
          </w:p>
        </w:tc>
        <w:tc>
          <w:tcPr>
            <w:tcW w:w="507" w:type="pct"/>
          </w:tcPr>
          <w:p w14:paraId="5C81B889" w14:textId="77777777" w:rsidR="001F04FD" w:rsidRPr="008C3CC8" w:rsidRDefault="001F04FD" w:rsidP="00AC4DEE">
            <w:pPr>
              <w:pStyle w:val="TableBody"/>
            </w:pPr>
            <w:r w:rsidRPr="008C3CC8">
              <w:t>none</w:t>
            </w:r>
          </w:p>
        </w:tc>
        <w:tc>
          <w:tcPr>
            <w:tcW w:w="3609" w:type="pct"/>
          </w:tcPr>
          <w:p w14:paraId="779159E6" w14:textId="77777777" w:rsidR="001F04FD" w:rsidRPr="008C3CC8" w:rsidRDefault="001F04FD" w:rsidP="00AC4DEE">
            <w:pPr>
              <w:pStyle w:val="TableBody"/>
            </w:pPr>
            <w:r w:rsidRPr="008C3CC8">
              <w:t>A Hub Bus that is a component of the Hub.</w:t>
            </w:r>
          </w:p>
        </w:tc>
      </w:tr>
      <w:tr w:rsidR="001F04FD" w:rsidRPr="008C3CC8" w14:paraId="609BCF61" w14:textId="77777777" w:rsidTr="00AC4DEE">
        <w:tc>
          <w:tcPr>
            <w:tcW w:w="884" w:type="pct"/>
          </w:tcPr>
          <w:p w14:paraId="1E533B50" w14:textId="77777777" w:rsidR="001F04FD" w:rsidRPr="004F1FE8" w:rsidRDefault="001F04FD" w:rsidP="00AC4DEE">
            <w:pPr>
              <w:pStyle w:val="TableBody"/>
              <w:rPr>
                <w:i/>
              </w:rPr>
            </w:pPr>
            <w:r w:rsidRPr="00A61E91">
              <w:rPr>
                <w:i/>
              </w:rPr>
              <w:t>y</w:t>
            </w:r>
          </w:p>
        </w:tc>
        <w:tc>
          <w:tcPr>
            <w:tcW w:w="507" w:type="pct"/>
          </w:tcPr>
          <w:p w14:paraId="7A1722E8" w14:textId="77777777" w:rsidR="001F04FD" w:rsidRPr="008C3CC8" w:rsidRDefault="001F04FD" w:rsidP="00AC4DEE">
            <w:pPr>
              <w:pStyle w:val="TableBody"/>
            </w:pPr>
            <w:r w:rsidRPr="008C3CC8">
              <w:t>none</w:t>
            </w:r>
          </w:p>
        </w:tc>
        <w:tc>
          <w:tcPr>
            <w:tcW w:w="3609" w:type="pct"/>
          </w:tcPr>
          <w:p w14:paraId="64A31CFC" w14:textId="77777777" w:rsidR="001F04FD" w:rsidRPr="008C3CC8" w:rsidRDefault="001F04FD" w:rsidP="00AC4DEE">
            <w:pPr>
              <w:pStyle w:val="TableBody"/>
            </w:pPr>
            <w:r w:rsidRPr="008C3CC8">
              <w:t>A SCED interval.</w:t>
            </w:r>
          </w:p>
        </w:tc>
      </w:tr>
      <w:tr w:rsidR="001F04FD" w:rsidRPr="008C3CC8" w14:paraId="65ADDB0A" w14:textId="77777777" w:rsidTr="00AC4DEE">
        <w:tc>
          <w:tcPr>
            <w:tcW w:w="884" w:type="pct"/>
          </w:tcPr>
          <w:p w14:paraId="546FA24A" w14:textId="77777777" w:rsidR="001F04FD" w:rsidRPr="004F1FE8" w:rsidRDefault="001F04FD" w:rsidP="00AC4DEE">
            <w:pPr>
              <w:pStyle w:val="TableBody"/>
              <w:rPr>
                <w:i/>
              </w:rPr>
            </w:pPr>
            <w:r w:rsidRPr="00A61E91">
              <w:rPr>
                <w:i/>
              </w:rPr>
              <w:t>b</w:t>
            </w:r>
          </w:p>
        </w:tc>
        <w:tc>
          <w:tcPr>
            <w:tcW w:w="507" w:type="pct"/>
          </w:tcPr>
          <w:p w14:paraId="59B1D9DB" w14:textId="77777777" w:rsidR="001F04FD" w:rsidRPr="008C3CC8" w:rsidRDefault="001F04FD" w:rsidP="00AC4DEE">
            <w:pPr>
              <w:pStyle w:val="TableBody"/>
            </w:pPr>
            <w:r w:rsidRPr="008C3CC8">
              <w:t>none</w:t>
            </w:r>
          </w:p>
        </w:tc>
        <w:tc>
          <w:tcPr>
            <w:tcW w:w="3609" w:type="pct"/>
          </w:tcPr>
          <w:p w14:paraId="16FF92C2" w14:textId="77777777" w:rsidR="001F04FD" w:rsidRPr="008C3CC8" w:rsidRDefault="001F04FD" w:rsidP="00AC4DEE">
            <w:pPr>
              <w:pStyle w:val="TableBody"/>
            </w:pPr>
            <w:r w:rsidRPr="008C3CC8">
              <w:t>An energized Electrical Bus that is a component of a Hub Bus.</w:t>
            </w:r>
          </w:p>
        </w:tc>
      </w:tr>
    </w:tbl>
    <w:p w14:paraId="59B9022C" w14:textId="77777777" w:rsidR="001F04FD" w:rsidRDefault="001F04FD" w:rsidP="001F04FD">
      <w:pPr>
        <w:pStyle w:val="BodyText"/>
        <w:spacing w:after="0"/>
      </w:pPr>
    </w:p>
    <w:p w14:paraId="29952F46" w14:textId="77777777" w:rsidR="001F04FD" w:rsidRDefault="000468AC" w:rsidP="008E724B">
      <w:pPr>
        <w:pStyle w:val="BodyText"/>
        <w:ind w:left="720" w:hanging="720"/>
      </w:pPr>
      <w:r>
        <w:t>(3)</w:t>
      </w:r>
      <w:r>
        <w:tab/>
      </w:r>
      <w:r w:rsidR="001F04FD">
        <w:t xml:space="preserve">The Hub LMP for the ERCOT Hub Average 345 kV Hub (ERCOT 345) for a SCED Interval is calculated as follows: </w:t>
      </w:r>
    </w:p>
    <w:p w14:paraId="5B434960" w14:textId="77777777" w:rsidR="001F04FD" w:rsidRDefault="001F04FD" w:rsidP="001F04FD">
      <w:pPr>
        <w:pStyle w:val="FormulaBold"/>
        <w:rPr>
          <w:lang w:val="es-MX"/>
        </w:rPr>
      </w:pPr>
      <w:r>
        <w:rPr>
          <w:lang w:val="es-MX"/>
        </w:rPr>
        <w:t>HUBLMP</w:t>
      </w:r>
      <w:r>
        <w:rPr>
          <w:i/>
          <w:vertAlign w:val="subscript"/>
          <w:lang w:val="es-MX"/>
        </w:rPr>
        <w:t xml:space="preserve"> ERCOT345</w:t>
      </w:r>
      <w:r>
        <w:rPr>
          <w:i/>
          <w:vertAlign w:val="subscript"/>
        </w:rPr>
        <w:t>, y</w:t>
      </w:r>
      <w:r>
        <w:rPr>
          <w:lang w:val="es-MX"/>
        </w:rPr>
        <w:tab/>
        <w:t>=</w:t>
      </w:r>
      <w:r>
        <w:rPr>
          <w:lang w:val="es-MX"/>
        </w:rPr>
        <w:tab/>
        <w:t>(HUBLMP</w:t>
      </w:r>
      <w:r>
        <w:rPr>
          <w:i/>
          <w:vertAlign w:val="subscript"/>
          <w:lang w:val="es-MX"/>
        </w:rPr>
        <w:t>NORTH345</w:t>
      </w:r>
      <w:r>
        <w:rPr>
          <w:i/>
          <w:vertAlign w:val="subscript"/>
        </w:rPr>
        <w:t>, y</w:t>
      </w:r>
      <w:r>
        <w:rPr>
          <w:lang w:val="es-MX"/>
        </w:rPr>
        <w:t xml:space="preserve"> + HUBLMP</w:t>
      </w:r>
      <w:r>
        <w:rPr>
          <w:i/>
          <w:vertAlign w:val="subscript"/>
          <w:lang w:val="es-MX"/>
        </w:rPr>
        <w:t>SOUTH345</w:t>
      </w:r>
      <w:r>
        <w:rPr>
          <w:i/>
          <w:vertAlign w:val="subscript"/>
        </w:rPr>
        <w:t>, y</w:t>
      </w:r>
      <w:r>
        <w:rPr>
          <w:i/>
          <w:vertAlign w:val="subscript"/>
          <w:lang w:val="es-MX"/>
        </w:rPr>
        <w:t xml:space="preserve"> </w:t>
      </w:r>
      <w:r>
        <w:rPr>
          <w:i/>
          <w:lang w:val="es-MX"/>
        </w:rPr>
        <w:t xml:space="preserve">+ </w:t>
      </w:r>
      <w:r>
        <w:rPr>
          <w:lang w:val="es-MX"/>
        </w:rPr>
        <w:t>HUBLMP</w:t>
      </w:r>
      <w:r>
        <w:rPr>
          <w:i/>
          <w:vertAlign w:val="subscript"/>
          <w:lang w:val="es-MX"/>
        </w:rPr>
        <w:t>HOUSTON345</w:t>
      </w:r>
      <w:r>
        <w:rPr>
          <w:i/>
          <w:vertAlign w:val="subscript"/>
        </w:rPr>
        <w:t>, y</w:t>
      </w:r>
      <w:r>
        <w:rPr>
          <w:i/>
          <w:vertAlign w:val="subscript"/>
          <w:lang w:val="es-MX"/>
        </w:rPr>
        <w:t xml:space="preserve">  </w:t>
      </w:r>
      <w:r>
        <w:rPr>
          <w:i/>
          <w:lang w:val="es-MX"/>
        </w:rPr>
        <w:t>+</w:t>
      </w:r>
      <w:r>
        <w:rPr>
          <w:lang w:val="es-MX"/>
        </w:rPr>
        <w:t xml:space="preserve"> HUBLMP</w:t>
      </w:r>
      <w:r>
        <w:rPr>
          <w:i/>
          <w:vertAlign w:val="subscript"/>
          <w:lang w:val="es-MX"/>
        </w:rPr>
        <w:t>WEST345</w:t>
      </w:r>
      <w:r>
        <w:rPr>
          <w:i/>
          <w:vertAlign w:val="subscript"/>
        </w:rPr>
        <w:t>, y</w:t>
      </w:r>
      <w:r>
        <w:rPr>
          <w:lang w:val="es-MX"/>
        </w:rPr>
        <w:t>) / 4</w:t>
      </w:r>
    </w:p>
    <w:p w14:paraId="3F62C383" w14:textId="77777777" w:rsidR="001F04FD" w:rsidRDefault="001F04FD" w:rsidP="001F04FD">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35"/>
        <w:gridCol w:w="1080"/>
        <w:gridCol w:w="6155"/>
      </w:tblGrid>
      <w:tr w:rsidR="001F04FD" w:rsidRPr="008C3CC8" w14:paraId="755946F4" w14:textId="77777777" w:rsidTr="00AC4DEE">
        <w:tc>
          <w:tcPr>
            <w:tcW w:w="2035" w:type="dxa"/>
          </w:tcPr>
          <w:p w14:paraId="4AF3580C" w14:textId="77777777" w:rsidR="001F04FD" w:rsidRPr="008C3CC8" w:rsidRDefault="001F04FD" w:rsidP="00AC4DEE">
            <w:pPr>
              <w:pStyle w:val="TableHead"/>
            </w:pPr>
            <w:r w:rsidRPr="008C3CC8">
              <w:t>Variable</w:t>
            </w:r>
          </w:p>
        </w:tc>
        <w:tc>
          <w:tcPr>
            <w:tcW w:w="1080" w:type="dxa"/>
          </w:tcPr>
          <w:p w14:paraId="7485ADEE" w14:textId="77777777" w:rsidR="001F04FD" w:rsidRPr="008C3CC8" w:rsidRDefault="001F04FD" w:rsidP="00AC4DEE">
            <w:pPr>
              <w:pStyle w:val="TableHead"/>
            </w:pPr>
            <w:r w:rsidRPr="008C3CC8">
              <w:t>Unit</w:t>
            </w:r>
          </w:p>
        </w:tc>
        <w:tc>
          <w:tcPr>
            <w:tcW w:w="6155" w:type="dxa"/>
          </w:tcPr>
          <w:p w14:paraId="476E810A" w14:textId="77777777" w:rsidR="001F04FD" w:rsidRPr="008C3CC8" w:rsidRDefault="001F04FD" w:rsidP="00AC4DEE">
            <w:pPr>
              <w:pStyle w:val="TableHead"/>
            </w:pPr>
            <w:r w:rsidRPr="008C3CC8">
              <w:t>Description</w:t>
            </w:r>
          </w:p>
        </w:tc>
      </w:tr>
      <w:tr w:rsidR="001F04FD" w:rsidRPr="008C3CC8" w14:paraId="457D3F50" w14:textId="77777777" w:rsidTr="00AC4DEE">
        <w:tc>
          <w:tcPr>
            <w:tcW w:w="2035" w:type="dxa"/>
          </w:tcPr>
          <w:p w14:paraId="7D03F52C" w14:textId="77777777" w:rsidR="001F04FD" w:rsidRPr="008C3CC8" w:rsidRDefault="001F04FD" w:rsidP="00AC4DEE">
            <w:pPr>
              <w:pStyle w:val="TableBody"/>
            </w:pPr>
            <w:r w:rsidRPr="008C3CC8">
              <w:t>HUBLMP</w:t>
            </w:r>
            <w:r w:rsidRPr="00107CC2">
              <w:rPr>
                <w:i/>
                <w:vertAlign w:val="subscript"/>
              </w:rPr>
              <w:t>ERCOT345, y</w:t>
            </w:r>
          </w:p>
        </w:tc>
        <w:tc>
          <w:tcPr>
            <w:tcW w:w="1080" w:type="dxa"/>
          </w:tcPr>
          <w:p w14:paraId="1BE1A6FA" w14:textId="77777777" w:rsidR="001F04FD" w:rsidRPr="008C3CC8" w:rsidRDefault="001F04FD" w:rsidP="00AC4DEE">
            <w:pPr>
              <w:pStyle w:val="TableBody"/>
            </w:pPr>
            <w:r w:rsidRPr="008C3CC8">
              <w:t>$/MWh</w:t>
            </w:r>
          </w:p>
        </w:tc>
        <w:tc>
          <w:tcPr>
            <w:tcW w:w="6155" w:type="dxa"/>
          </w:tcPr>
          <w:p w14:paraId="3ACF8064" w14:textId="77777777" w:rsidR="001F04FD" w:rsidRPr="008C3CC8" w:rsidRDefault="001F04FD" w:rsidP="00AC4DEE">
            <w:pPr>
              <w:pStyle w:val="TableBody"/>
            </w:pPr>
            <w:r w:rsidRPr="00042023">
              <w:rPr>
                <w:i/>
              </w:rPr>
              <w:t>Hub Locational Marginal Price for the ERCOT345</w:t>
            </w:r>
            <w:r w:rsidRPr="008C3CC8">
              <w:sym w:font="Symbol" w:char="F0BE"/>
            </w:r>
            <w:r w:rsidRPr="008C3CC8">
              <w:t xml:space="preserve">The Hub LMP for the ERCOT Hub Average 345 kV Hub (ERCOT 345), for the SCED Interval </w:t>
            </w:r>
            <w:r w:rsidRPr="006715D1">
              <w:rPr>
                <w:i/>
              </w:rPr>
              <w:t>y</w:t>
            </w:r>
            <w:r w:rsidRPr="008C3CC8">
              <w:t>.</w:t>
            </w:r>
          </w:p>
        </w:tc>
      </w:tr>
      <w:tr w:rsidR="001F04FD" w:rsidRPr="008C3CC8" w14:paraId="46925D42" w14:textId="77777777" w:rsidTr="00AC4DEE">
        <w:tc>
          <w:tcPr>
            <w:tcW w:w="2035" w:type="dxa"/>
          </w:tcPr>
          <w:p w14:paraId="70F2C8BC" w14:textId="77777777" w:rsidR="001F04FD" w:rsidRPr="008C3CC8" w:rsidRDefault="001F04FD" w:rsidP="00AC4DEE">
            <w:pPr>
              <w:pStyle w:val="TableBody"/>
            </w:pPr>
            <w:r w:rsidRPr="008C3CC8">
              <w:t>HUBLMP</w:t>
            </w:r>
            <w:r w:rsidRPr="00107CC2">
              <w:rPr>
                <w:i/>
                <w:vertAlign w:val="subscript"/>
              </w:rPr>
              <w:t>NORTH345, y</w:t>
            </w:r>
          </w:p>
        </w:tc>
        <w:tc>
          <w:tcPr>
            <w:tcW w:w="1080" w:type="dxa"/>
          </w:tcPr>
          <w:p w14:paraId="2D0BCAFC" w14:textId="77777777" w:rsidR="001F04FD" w:rsidRPr="008C3CC8" w:rsidRDefault="001F04FD" w:rsidP="00AC4DEE">
            <w:pPr>
              <w:pStyle w:val="TableBody"/>
            </w:pPr>
            <w:r w:rsidRPr="008C3CC8">
              <w:t>$/MWh</w:t>
            </w:r>
          </w:p>
        </w:tc>
        <w:tc>
          <w:tcPr>
            <w:tcW w:w="6155" w:type="dxa"/>
          </w:tcPr>
          <w:p w14:paraId="3876F499" w14:textId="77777777" w:rsidR="001F04FD" w:rsidRPr="008C3CC8" w:rsidRDefault="001F04FD" w:rsidP="00AC4DEE">
            <w:pPr>
              <w:pStyle w:val="TableBody"/>
            </w:pPr>
            <w:r w:rsidRPr="00042023">
              <w:rPr>
                <w:i/>
              </w:rPr>
              <w:t>Hub Locational Marginal Price for the NORTH345</w:t>
            </w:r>
            <w:r w:rsidRPr="008C3CC8">
              <w:sym w:font="Symbol" w:char="F0BE"/>
            </w:r>
            <w:r w:rsidRPr="008C3CC8">
              <w:t xml:space="preserve">The Hub LMP for the North 345 kV Hub (NORTH 345), for the SCED Interval </w:t>
            </w:r>
            <w:r w:rsidRPr="00042023">
              <w:rPr>
                <w:i/>
              </w:rPr>
              <w:t>y</w:t>
            </w:r>
            <w:r w:rsidRPr="008C3CC8">
              <w:t>.</w:t>
            </w:r>
          </w:p>
        </w:tc>
      </w:tr>
      <w:tr w:rsidR="001F04FD" w:rsidRPr="008C3CC8" w14:paraId="05D77522" w14:textId="77777777" w:rsidTr="00AC4DEE">
        <w:tc>
          <w:tcPr>
            <w:tcW w:w="2035" w:type="dxa"/>
          </w:tcPr>
          <w:p w14:paraId="78109859" w14:textId="77777777" w:rsidR="001F04FD" w:rsidRPr="008C3CC8" w:rsidRDefault="001F04FD" w:rsidP="00AC4DEE">
            <w:pPr>
              <w:pStyle w:val="TableBody"/>
            </w:pPr>
            <w:r w:rsidRPr="008C3CC8">
              <w:t>HUBLMP</w:t>
            </w:r>
            <w:r w:rsidRPr="00107CC2">
              <w:rPr>
                <w:i/>
                <w:vertAlign w:val="subscript"/>
              </w:rPr>
              <w:t>SOUTH345, y</w:t>
            </w:r>
          </w:p>
        </w:tc>
        <w:tc>
          <w:tcPr>
            <w:tcW w:w="1080" w:type="dxa"/>
          </w:tcPr>
          <w:p w14:paraId="2FB17356" w14:textId="77777777" w:rsidR="001F04FD" w:rsidRPr="008C3CC8" w:rsidRDefault="001F04FD" w:rsidP="00AC4DEE">
            <w:pPr>
              <w:pStyle w:val="TableBody"/>
            </w:pPr>
            <w:r w:rsidRPr="008C3CC8">
              <w:t>$/MWh</w:t>
            </w:r>
          </w:p>
        </w:tc>
        <w:tc>
          <w:tcPr>
            <w:tcW w:w="6155" w:type="dxa"/>
          </w:tcPr>
          <w:p w14:paraId="45A27E63" w14:textId="77777777" w:rsidR="001F04FD" w:rsidRPr="008C3CC8" w:rsidRDefault="001F04FD" w:rsidP="00AC4DEE">
            <w:pPr>
              <w:pStyle w:val="TableBody"/>
            </w:pPr>
            <w:r w:rsidRPr="00042023">
              <w:rPr>
                <w:i/>
              </w:rPr>
              <w:t>Hub Locational Marginal Price for the SOUTH345</w:t>
            </w:r>
            <w:r w:rsidRPr="008C3CC8">
              <w:sym w:font="Symbol" w:char="F0BE"/>
            </w:r>
            <w:r w:rsidRPr="008C3CC8">
              <w:t xml:space="preserve">The Hub LMP for the South 345 kV Hub (SOUTH 345), for the SCED Interval </w:t>
            </w:r>
            <w:r w:rsidRPr="00042023">
              <w:rPr>
                <w:i/>
              </w:rPr>
              <w:t>y</w:t>
            </w:r>
            <w:r w:rsidRPr="008C3CC8">
              <w:t>.</w:t>
            </w:r>
          </w:p>
        </w:tc>
      </w:tr>
      <w:tr w:rsidR="001F04FD" w:rsidRPr="008C3CC8" w14:paraId="4AB9CB8E" w14:textId="77777777" w:rsidTr="00AC4DEE">
        <w:tc>
          <w:tcPr>
            <w:tcW w:w="2035" w:type="dxa"/>
          </w:tcPr>
          <w:p w14:paraId="35B552AC" w14:textId="77777777" w:rsidR="001F04FD" w:rsidRPr="008C3CC8" w:rsidRDefault="001F04FD" w:rsidP="00AC4DEE">
            <w:pPr>
              <w:pStyle w:val="TableBody"/>
            </w:pPr>
            <w:r w:rsidRPr="008C3CC8">
              <w:t>HUBLMP</w:t>
            </w:r>
            <w:r w:rsidRPr="00107CC2">
              <w:rPr>
                <w:i/>
                <w:vertAlign w:val="subscript"/>
              </w:rPr>
              <w:t>HOUSTON345, y</w:t>
            </w:r>
          </w:p>
        </w:tc>
        <w:tc>
          <w:tcPr>
            <w:tcW w:w="1080" w:type="dxa"/>
          </w:tcPr>
          <w:p w14:paraId="0831689B" w14:textId="77777777" w:rsidR="001F04FD" w:rsidRPr="008C3CC8" w:rsidRDefault="001F04FD" w:rsidP="00AC4DEE">
            <w:pPr>
              <w:pStyle w:val="TableBody"/>
            </w:pPr>
            <w:r w:rsidRPr="008C3CC8">
              <w:t>$/MWh</w:t>
            </w:r>
          </w:p>
        </w:tc>
        <w:tc>
          <w:tcPr>
            <w:tcW w:w="6155" w:type="dxa"/>
          </w:tcPr>
          <w:p w14:paraId="6A86A6CC" w14:textId="77777777" w:rsidR="001F04FD" w:rsidRPr="008C3CC8" w:rsidRDefault="001F04FD" w:rsidP="00AC4DEE">
            <w:pPr>
              <w:pStyle w:val="TableBody"/>
            </w:pPr>
            <w:r w:rsidRPr="00042023">
              <w:rPr>
                <w:i/>
              </w:rPr>
              <w:t>Hub Locational Marginal Price for the HOUSTON345</w:t>
            </w:r>
            <w:r w:rsidRPr="008C3CC8">
              <w:sym w:font="Symbol" w:char="F0BE"/>
            </w:r>
            <w:r w:rsidRPr="008C3CC8">
              <w:t xml:space="preserve">The Hub LMP for the Houston 345 kV Hub (HOUSTON 345), for the SCED Interval </w:t>
            </w:r>
            <w:r w:rsidRPr="00042023">
              <w:rPr>
                <w:i/>
              </w:rPr>
              <w:t>y</w:t>
            </w:r>
            <w:r w:rsidRPr="008C3CC8">
              <w:t>.</w:t>
            </w:r>
          </w:p>
        </w:tc>
      </w:tr>
      <w:tr w:rsidR="001F04FD" w:rsidRPr="008C3CC8" w14:paraId="714B96CC" w14:textId="77777777" w:rsidTr="00AC4DEE">
        <w:tc>
          <w:tcPr>
            <w:tcW w:w="2035" w:type="dxa"/>
          </w:tcPr>
          <w:p w14:paraId="54C2F28F" w14:textId="77777777" w:rsidR="001F04FD" w:rsidRPr="008C3CC8" w:rsidRDefault="001F04FD" w:rsidP="00AC4DEE">
            <w:pPr>
              <w:pStyle w:val="TableBody"/>
            </w:pPr>
            <w:r w:rsidRPr="008C3CC8">
              <w:t>HUBLMP</w:t>
            </w:r>
            <w:r w:rsidRPr="00107CC2">
              <w:rPr>
                <w:i/>
                <w:vertAlign w:val="subscript"/>
              </w:rPr>
              <w:t>WEST345, y</w:t>
            </w:r>
          </w:p>
        </w:tc>
        <w:tc>
          <w:tcPr>
            <w:tcW w:w="1080" w:type="dxa"/>
          </w:tcPr>
          <w:p w14:paraId="55E027F9" w14:textId="77777777" w:rsidR="001F04FD" w:rsidRPr="008C3CC8" w:rsidRDefault="001F04FD" w:rsidP="00AC4DEE">
            <w:pPr>
              <w:pStyle w:val="TableBody"/>
            </w:pPr>
            <w:r w:rsidRPr="008C3CC8">
              <w:t>$/MWh</w:t>
            </w:r>
          </w:p>
        </w:tc>
        <w:tc>
          <w:tcPr>
            <w:tcW w:w="6155" w:type="dxa"/>
          </w:tcPr>
          <w:p w14:paraId="136A5500" w14:textId="77777777" w:rsidR="001F04FD" w:rsidRPr="008C3CC8" w:rsidRDefault="001F04FD" w:rsidP="00AC4DEE">
            <w:pPr>
              <w:pStyle w:val="TableBody"/>
            </w:pPr>
            <w:r w:rsidRPr="00042023">
              <w:rPr>
                <w:i/>
              </w:rPr>
              <w:t>Hub Locational Marginal Price for the WEST345</w:t>
            </w:r>
            <w:r w:rsidRPr="008C3CC8">
              <w:sym w:font="Symbol" w:char="F0BE"/>
            </w:r>
            <w:r w:rsidRPr="008C3CC8">
              <w:t xml:space="preserve">The Hub LMP for the West 345 kV Hub (WEST 345), for the SCED Interval </w:t>
            </w:r>
            <w:r w:rsidRPr="00042023">
              <w:rPr>
                <w:i/>
              </w:rPr>
              <w:t>y</w:t>
            </w:r>
            <w:r w:rsidRPr="008C3CC8">
              <w:t>.</w:t>
            </w:r>
          </w:p>
        </w:tc>
      </w:tr>
    </w:tbl>
    <w:p w14:paraId="4A01922B" w14:textId="77777777" w:rsidR="003F739B" w:rsidRDefault="003F739B" w:rsidP="003F739B">
      <w:pPr>
        <w:pStyle w:val="BodyText"/>
        <w:spacing w:after="0"/>
      </w:pPr>
      <w:bookmarkStart w:id="1737" w:name="_Toc109009384"/>
      <w:bookmarkStart w:id="1738" w:name="_Toc397505008"/>
      <w:bookmarkStart w:id="1739" w:name="_Toc402357136"/>
      <w:bookmarkStart w:id="1740" w:name="_Toc422486514"/>
      <w:bookmarkStart w:id="1741" w:name="_Toc433093366"/>
      <w:bookmarkStart w:id="1742" w:name="_Toc433093524"/>
      <w:bookmarkStart w:id="1743" w:name="_Toc440874752"/>
      <w:bookmarkStart w:id="1744" w:name="_Toc448142307"/>
      <w:bookmarkStart w:id="1745" w:name="_Toc448142464"/>
      <w:bookmarkStart w:id="1746" w:name="_Toc458770301"/>
      <w:bookmarkStart w:id="1747" w:name="_Toc459294269"/>
      <w:bookmarkStart w:id="1748" w:name="_Toc463262762"/>
      <w:bookmarkStart w:id="1749" w:name="_Toc468286835"/>
      <w:bookmarkStart w:id="1750" w:name="_Toc481502881"/>
      <w:bookmarkStart w:id="1751" w:name="_Toc496080049"/>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776199" w14:paraId="3EB1795C" w14:textId="77777777" w:rsidTr="00776199">
        <w:trPr>
          <w:trHeight w:val="8540"/>
        </w:trPr>
        <w:tc>
          <w:tcPr>
            <w:tcW w:w="9540" w:type="dxa"/>
            <w:tcBorders>
              <w:top w:val="single" w:sz="4" w:space="0" w:color="auto"/>
              <w:left w:val="single" w:sz="4" w:space="0" w:color="auto"/>
              <w:bottom w:val="single" w:sz="4" w:space="0" w:color="auto"/>
              <w:right w:val="single" w:sz="4" w:space="0" w:color="auto"/>
            </w:tcBorders>
            <w:shd w:val="clear" w:color="auto" w:fill="D9D9D9"/>
          </w:tcPr>
          <w:p w14:paraId="352ADF61" w14:textId="5E253879" w:rsidR="00776199" w:rsidRDefault="00776199" w:rsidP="00776199">
            <w:pPr>
              <w:spacing w:before="120" w:after="240"/>
              <w:rPr>
                <w:b/>
                <w:i/>
              </w:rPr>
            </w:pPr>
            <w:r>
              <w:rPr>
                <w:b/>
                <w:i/>
              </w:rPr>
              <w:lastRenderedPageBreak/>
              <w:t>[NPRR1057</w:t>
            </w:r>
            <w:r w:rsidRPr="004B0726">
              <w:rPr>
                <w:b/>
                <w:i/>
              </w:rPr>
              <w:t xml:space="preserve">: </w:t>
            </w:r>
            <w:r>
              <w:rPr>
                <w:b/>
                <w:i/>
              </w:rPr>
              <w:t xml:space="preserve"> Replace </w:t>
            </w:r>
            <w:r w:rsidR="002B516C">
              <w:rPr>
                <w:b/>
                <w:i/>
              </w:rPr>
              <w:t xml:space="preserve">applicable portions of </w:t>
            </w:r>
            <w:r>
              <w:rPr>
                <w:b/>
                <w:i/>
              </w:rPr>
              <w:t xml:space="preserve">Section 6.6.1.5 above </w:t>
            </w:r>
            <w:r w:rsidR="00E75154">
              <w:rPr>
                <w:b/>
                <w:i/>
              </w:rPr>
              <w:t xml:space="preserve">with the following </w:t>
            </w:r>
            <w:r>
              <w:rPr>
                <w:b/>
                <w:i/>
              </w:rPr>
              <w:t>upon system implementation of NPRR941</w:t>
            </w:r>
            <w:r w:rsidR="002B516C">
              <w:rPr>
                <w:b/>
                <w:i/>
              </w:rPr>
              <w:t xml:space="preserve"> or NPRR1057</w:t>
            </w:r>
            <w:r>
              <w:rPr>
                <w:b/>
                <w:i/>
              </w:rPr>
              <w:t>:</w:t>
            </w:r>
            <w:r w:rsidRPr="004B0726">
              <w:rPr>
                <w:b/>
                <w:i/>
              </w:rPr>
              <w:t>]</w:t>
            </w:r>
          </w:p>
          <w:p w14:paraId="48C86806" w14:textId="77777777" w:rsidR="00776199" w:rsidRDefault="00776199" w:rsidP="002B516C">
            <w:pPr>
              <w:pStyle w:val="H4"/>
              <w:tabs>
                <w:tab w:val="clear" w:pos="1260"/>
              </w:tabs>
              <w:ind w:left="0" w:firstLine="0"/>
            </w:pPr>
            <w:bookmarkStart w:id="1752" w:name="_Toc80174746"/>
            <w:bookmarkStart w:id="1753" w:name="_Toc108712505"/>
            <w:bookmarkStart w:id="1754" w:name="_Toc112417625"/>
            <w:bookmarkStart w:id="1755" w:name="_Toc119310294"/>
            <w:bookmarkStart w:id="1756" w:name="_Toc125966228"/>
            <w:bookmarkStart w:id="1757" w:name="_Toc135992326"/>
            <w:bookmarkStart w:id="1758" w:name="_Toc170303522"/>
            <w:bookmarkStart w:id="1759" w:name="_Toc175157426"/>
            <w:bookmarkStart w:id="1760" w:name="_Toc204411652"/>
            <w:r>
              <w:t>6.6.1.5</w:t>
            </w:r>
            <w:r>
              <w:tab/>
            </w:r>
            <w:r>
              <w:tab/>
              <w:t>Hub LMPs</w:t>
            </w:r>
            <w:bookmarkEnd w:id="1752"/>
            <w:bookmarkEnd w:id="1753"/>
            <w:bookmarkEnd w:id="1754"/>
            <w:bookmarkEnd w:id="1755"/>
            <w:bookmarkEnd w:id="1756"/>
            <w:bookmarkEnd w:id="1757"/>
            <w:bookmarkEnd w:id="1758"/>
            <w:bookmarkEnd w:id="1759"/>
            <w:bookmarkEnd w:id="1760"/>
          </w:p>
          <w:p w14:paraId="4B4B9B93" w14:textId="77777777" w:rsidR="00776199" w:rsidRDefault="00776199" w:rsidP="00776199">
            <w:pPr>
              <w:pStyle w:val="BodyText"/>
            </w:pPr>
            <w:r>
              <w:t>(1)</w:t>
            </w:r>
            <w:r>
              <w:tab/>
              <w:t>The Hub LMPs shall be posted on the ERCOT website.</w:t>
            </w:r>
          </w:p>
          <w:p w14:paraId="2E9C37BC" w14:textId="77777777" w:rsidR="00776199" w:rsidRDefault="00776199" w:rsidP="00776199">
            <w:pPr>
              <w:pStyle w:val="BodyText"/>
              <w:ind w:left="720" w:hanging="720"/>
            </w:pPr>
            <w:r>
              <w:t>(2)</w:t>
            </w:r>
            <w:r>
              <w:tab/>
              <w:t>For each defined Hub except for the ERCOT Hub Average 345 kV Hub and the ERCOT Bus Average 345 kV Hub, the Hub LMP is the arithmetic average of the Real-Time LMPs of the Hub Buses included in the Hub.  The Hub LMP for a SCED Interval is calculated as follows:</w:t>
            </w:r>
          </w:p>
          <w:p w14:paraId="3A12FF43" w14:textId="77777777" w:rsidR="00776199" w:rsidRPr="00042023" w:rsidRDefault="00776199" w:rsidP="00776199">
            <w:pPr>
              <w:pStyle w:val="FormulaBold"/>
              <w:rPr>
                <w:b w:val="0"/>
                <w:i/>
              </w:rPr>
            </w:pPr>
            <w:r>
              <w:t>HUBLMP</w:t>
            </w:r>
            <w:r>
              <w:rPr>
                <w:b w:val="0"/>
                <w:i/>
                <w:vertAlign w:val="subscript"/>
              </w:rPr>
              <w:t xml:space="preserve"> Hub, y</w:t>
            </w:r>
            <w:r>
              <w:tab/>
            </w:r>
            <w:r>
              <w:tab/>
              <w:t>=</w:t>
            </w:r>
            <w:r>
              <w:tab/>
            </w:r>
            <w:r w:rsidRPr="00160702">
              <w:rPr>
                <w:position w:val="-20"/>
              </w:rPr>
              <w:object w:dxaOrig="225" w:dyaOrig="435" w14:anchorId="166A0FCE">
                <v:shape id="_x0000_i1065" type="#_x0000_t75" style="width:12pt;height:18pt" o:ole="">
                  <v:imagedata r:id="rId62" o:title=""/>
                </v:shape>
                <o:OLEObject Type="Embed" ProgID="Equation.3" ShapeID="_x0000_i1065" DrawAspect="Content" ObjectID="_1815025255" r:id="rId66"/>
              </w:object>
            </w:r>
            <w:r>
              <w:t xml:space="preserve">(HUBDF </w:t>
            </w:r>
            <w:r>
              <w:rPr>
                <w:b w:val="0"/>
                <w:i/>
                <w:vertAlign w:val="subscript"/>
              </w:rPr>
              <w:t>hb, Hub</w:t>
            </w:r>
            <w:r>
              <w:rPr>
                <w:b w:val="0"/>
              </w:rPr>
              <w:t xml:space="preserve"> </w:t>
            </w:r>
            <w:r>
              <w:t xml:space="preserve">* RTHBP </w:t>
            </w:r>
            <w:r>
              <w:rPr>
                <w:b w:val="0"/>
                <w:i/>
                <w:vertAlign w:val="subscript"/>
              </w:rPr>
              <w:t>hb, Hub, y</w:t>
            </w:r>
            <w:r w:rsidRPr="00042023">
              <w:t>)</w:t>
            </w:r>
            <w:r>
              <w:t>, if HB</w:t>
            </w:r>
            <w:r>
              <w:rPr>
                <w:vertAlign w:val="subscript"/>
              </w:rPr>
              <w:t xml:space="preserve"> </w:t>
            </w:r>
            <w:r>
              <w:rPr>
                <w:b w:val="0"/>
                <w:i/>
                <w:vertAlign w:val="subscript"/>
              </w:rPr>
              <w:t>Hub</w:t>
            </w:r>
            <w:r>
              <w:t xml:space="preserve"> ≠ 0</w:t>
            </w:r>
          </w:p>
          <w:p w14:paraId="05D790A0" w14:textId="77777777" w:rsidR="00776199" w:rsidRDefault="00776199" w:rsidP="00776199">
            <w:pPr>
              <w:pStyle w:val="FormulaBold"/>
            </w:pPr>
            <w:r>
              <w:t xml:space="preserve">HUBLMP </w:t>
            </w:r>
            <w:r>
              <w:rPr>
                <w:b w:val="0"/>
                <w:i/>
                <w:vertAlign w:val="subscript"/>
              </w:rPr>
              <w:t>Hub, y</w:t>
            </w:r>
            <w:r>
              <w:tab/>
              <w:t>=</w:t>
            </w:r>
            <w:r>
              <w:tab/>
              <w:t>HUBLMP</w:t>
            </w:r>
            <w:r>
              <w:rPr>
                <w:b w:val="0"/>
                <w:i/>
                <w:vertAlign w:val="subscript"/>
              </w:rPr>
              <w:t>ERCOT345Bus,y</w:t>
            </w:r>
            <w:r>
              <w:t>, if HB</w:t>
            </w:r>
            <w:r>
              <w:rPr>
                <w:vertAlign w:val="subscript"/>
              </w:rPr>
              <w:t xml:space="preserve"> </w:t>
            </w:r>
            <w:r>
              <w:rPr>
                <w:b w:val="0"/>
                <w:i/>
                <w:vertAlign w:val="subscript"/>
              </w:rPr>
              <w:t>Hub</w:t>
            </w:r>
            <w:r>
              <w:t xml:space="preserve"> = 0</w:t>
            </w:r>
          </w:p>
          <w:p w14:paraId="39D3F117" w14:textId="77777777" w:rsidR="00776199" w:rsidRDefault="00776199" w:rsidP="00776199">
            <w:pPr>
              <w:pStyle w:val="BodyText"/>
            </w:pPr>
            <w:r>
              <w:t>Where:</w:t>
            </w:r>
          </w:p>
          <w:p w14:paraId="12D4C438" w14:textId="77777777" w:rsidR="00776199" w:rsidRDefault="00776199" w:rsidP="00776199">
            <w:pPr>
              <w:pStyle w:val="Formula"/>
              <w:ind w:left="2880" w:hanging="2160"/>
            </w:pPr>
            <w:r>
              <w:t xml:space="preserve">RTHBP </w:t>
            </w:r>
            <w:r>
              <w:rPr>
                <w:i/>
                <w:vertAlign w:val="subscript"/>
              </w:rPr>
              <w:t>hb, Hub, y</w:t>
            </w:r>
            <w:r>
              <w:tab/>
              <w:t>=</w:t>
            </w:r>
            <w:r>
              <w:tab/>
            </w:r>
            <w:r w:rsidRPr="00160702">
              <w:rPr>
                <w:position w:val="-20"/>
              </w:rPr>
              <w:object w:dxaOrig="225" w:dyaOrig="435" w14:anchorId="7DED0EAD">
                <v:shape id="_x0000_i1066" type="#_x0000_t75" style="width:12pt;height:18pt" o:ole="">
                  <v:imagedata r:id="rId64" o:title=""/>
                </v:shape>
                <o:OLEObject Type="Embed" ProgID="Equation.3" ShapeID="_x0000_i1066" DrawAspect="Content" ObjectID="_1815025256" r:id="rId67"/>
              </w:object>
            </w:r>
            <w:r>
              <w:t xml:space="preserve">(HBDF </w:t>
            </w:r>
            <w:r>
              <w:rPr>
                <w:i/>
                <w:vertAlign w:val="subscript"/>
              </w:rPr>
              <w:t>b, hb, Hub</w:t>
            </w:r>
            <w:r>
              <w:t xml:space="preserve"> * RTLMP </w:t>
            </w:r>
            <w:r>
              <w:rPr>
                <w:i/>
                <w:vertAlign w:val="subscript"/>
              </w:rPr>
              <w:t>b, hb, Hub, y</w:t>
            </w:r>
            <w:r>
              <w:t>)</w:t>
            </w:r>
          </w:p>
          <w:p w14:paraId="0778490D" w14:textId="77777777" w:rsidR="00776199" w:rsidRDefault="00776199" w:rsidP="00776199">
            <w:pPr>
              <w:pStyle w:val="Formula"/>
              <w:ind w:left="2880" w:hanging="2160"/>
            </w:pPr>
            <w:r>
              <w:t>HUBDF</w:t>
            </w:r>
            <w:r>
              <w:rPr>
                <w:i/>
              </w:rPr>
              <w:t xml:space="preserve"> </w:t>
            </w:r>
            <w:r>
              <w:rPr>
                <w:i/>
                <w:vertAlign w:val="subscript"/>
              </w:rPr>
              <w:t>hb, Hub</w:t>
            </w:r>
            <w:r>
              <w:tab/>
            </w:r>
            <w:r>
              <w:tab/>
              <w:t>=</w:t>
            </w:r>
            <w:r>
              <w:tab/>
              <w:t xml:space="preserve"> 1 </w:t>
            </w:r>
            <w:r>
              <w:rPr>
                <w:b/>
                <w:sz w:val="32"/>
                <w:szCs w:val="32"/>
              </w:rPr>
              <w:t>/</w:t>
            </w:r>
            <w:r>
              <w:rPr>
                <w:b/>
              </w:rPr>
              <w:t xml:space="preserve"> </w:t>
            </w:r>
            <w:r>
              <w:t xml:space="preserve">HB </w:t>
            </w:r>
            <w:r>
              <w:rPr>
                <w:i/>
                <w:vertAlign w:val="subscript"/>
              </w:rPr>
              <w:t>Hub</w:t>
            </w:r>
            <w:r>
              <w:t>, if HB</w:t>
            </w:r>
            <w:r>
              <w:rPr>
                <w:vertAlign w:val="subscript"/>
              </w:rPr>
              <w:t xml:space="preserve"> </w:t>
            </w:r>
            <w:r>
              <w:rPr>
                <w:i/>
                <w:vertAlign w:val="subscript"/>
              </w:rPr>
              <w:t>Hub</w:t>
            </w:r>
            <w:r>
              <w:t xml:space="preserve"> ≠ 0</w:t>
            </w:r>
          </w:p>
          <w:p w14:paraId="2C972DBF" w14:textId="77777777" w:rsidR="00776199" w:rsidRDefault="00776199" w:rsidP="00776199">
            <w:pPr>
              <w:pStyle w:val="Formula"/>
              <w:ind w:left="2880" w:hanging="2160"/>
            </w:pPr>
            <w:r>
              <w:t>HUBDF</w:t>
            </w:r>
            <w:r>
              <w:rPr>
                <w:i/>
              </w:rPr>
              <w:t xml:space="preserve"> </w:t>
            </w:r>
            <w:r>
              <w:rPr>
                <w:i/>
                <w:vertAlign w:val="subscript"/>
              </w:rPr>
              <w:t>hb, Hub</w:t>
            </w:r>
            <w:r>
              <w:rPr>
                <w:i/>
                <w:vertAlign w:val="subscript"/>
              </w:rPr>
              <w:tab/>
            </w:r>
            <w:r>
              <w:tab/>
              <w:t>=</w:t>
            </w:r>
            <w:r>
              <w:tab/>
              <w:t xml:space="preserve"> 0, if HB</w:t>
            </w:r>
            <w:r>
              <w:rPr>
                <w:vertAlign w:val="subscript"/>
              </w:rPr>
              <w:t xml:space="preserve"> </w:t>
            </w:r>
            <w:r>
              <w:rPr>
                <w:i/>
                <w:vertAlign w:val="subscript"/>
              </w:rPr>
              <w:t>Hub</w:t>
            </w:r>
            <w:r>
              <w:t xml:space="preserve"> = 0</w:t>
            </w:r>
          </w:p>
          <w:p w14:paraId="3EC2D0CD" w14:textId="77777777" w:rsidR="00776199" w:rsidRDefault="00776199" w:rsidP="00776199">
            <w:pPr>
              <w:pStyle w:val="Formula"/>
              <w:ind w:left="2880" w:hanging="2160"/>
            </w:pPr>
            <w:r>
              <w:t xml:space="preserve">HBDF </w:t>
            </w:r>
            <w:r>
              <w:rPr>
                <w:i/>
                <w:vertAlign w:val="subscript"/>
              </w:rPr>
              <w:t>b, hb, Hub</w:t>
            </w:r>
            <w:r>
              <w:rPr>
                <w:i/>
                <w:vertAlign w:val="subscript"/>
              </w:rPr>
              <w:tab/>
            </w:r>
            <w:r>
              <w:tab/>
              <w:t>=</w:t>
            </w:r>
            <w:r>
              <w:tab/>
              <w:t xml:space="preserve">1 </w:t>
            </w:r>
            <w:r>
              <w:rPr>
                <w:b/>
                <w:sz w:val="32"/>
                <w:szCs w:val="32"/>
              </w:rPr>
              <w:t>/</w:t>
            </w:r>
            <w:r>
              <w:t xml:space="preserve"> B</w:t>
            </w:r>
            <w:r>
              <w:rPr>
                <w:i/>
              </w:rPr>
              <w:t xml:space="preserve"> </w:t>
            </w:r>
            <w:r>
              <w:rPr>
                <w:i/>
                <w:vertAlign w:val="subscript"/>
              </w:rPr>
              <w:t>hb, Hub</w:t>
            </w:r>
            <w:r>
              <w:t>, if B</w:t>
            </w:r>
            <w:r>
              <w:rPr>
                <w:i/>
                <w:vertAlign w:val="subscript"/>
              </w:rPr>
              <w:t xml:space="preserve"> hb, Hub</w:t>
            </w:r>
            <w:r>
              <w:t xml:space="preserve"> ≠ 0</w:t>
            </w:r>
          </w:p>
          <w:p w14:paraId="52D12F33" w14:textId="77777777" w:rsidR="00776199" w:rsidRPr="00C97C66" w:rsidRDefault="00776199" w:rsidP="00776199">
            <w:pPr>
              <w:pStyle w:val="BodyText"/>
              <w:ind w:firstLine="720"/>
            </w:pPr>
            <w:r>
              <w:t xml:space="preserve">HBDF </w:t>
            </w:r>
            <w:r>
              <w:rPr>
                <w:i/>
                <w:vertAlign w:val="subscript"/>
              </w:rPr>
              <w:t>b, hb, Hub</w:t>
            </w:r>
            <w:r>
              <w:rPr>
                <w:i/>
                <w:vertAlign w:val="subscript"/>
              </w:rPr>
              <w:tab/>
            </w:r>
            <w:r>
              <w:tab/>
              <w:t>=</w:t>
            </w:r>
            <w:r>
              <w:tab/>
              <w:t>0, if B</w:t>
            </w:r>
            <w:r>
              <w:rPr>
                <w:i/>
                <w:vertAlign w:val="subscript"/>
              </w:rPr>
              <w:t xml:space="preserve"> hb, Hub</w:t>
            </w:r>
            <w:r>
              <w:t xml:space="preserve"> = 0</w:t>
            </w:r>
          </w:p>
          <w:p w14:paraId="3E0C927E" w14:textId="77777777" w:rsidR="00776199" w:rsidRDefault="00776199" w:rsidP="00776199">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35"/>
              <w:gridCol w:w="1080"/>
              <w:gridCol w:w="6155"/>
            </w:tblGrid>
            <w:tr w:rsidR="00B311BB" w:rsidRPr="008C3CC8" w14:paraId="2D500E69" w14:textId="77777777" w:rsidTr="00745852">
              <w:tc>
                <w:tcPr>
                  <w:tcW w:w="2035" w:type="dxa"/>
                </w:tcPr>
                <w:p w14:paraId="32FB88FC" w14:textId="77777777" w:rsidR="00B311BB" w:rsidRPr="008C3CC8" w:rsidRDefault="00B311BB" w:rsidP="00B311BB">
                  <w:pPr>
                    <w:pStyle w:val="TableHead"/>
                  </w:pPr>
                  <w:r w:rsidRPr="008C3CC8">
                    <w:t>Variable</w:t>
                  </w:r>
                </w:p>
              </w:tc>
              <w:tc>
                <w:tcPr>
                  <w:tcW w:w="1080" w:type="dxa"/>
                </w:tcPr>
                <w:p w14:paraId="76C2FEB7" w14:textId="77777777" w:rsidR="00B311BB" w:rsidRPr="008C3CC8" w:rsidRDefault="00B311BB" w:rsidP="00B311BB">
                  <w:pPr>
                    <w:pStyle w:val="TableHead"/>
                  </w:pPr>
                  <w:r w:rsidRPr="008C3CC8">
                    <w:t>Unit</w:t>
                  </w:r>
                </w:p>
              </w:tc>
              <w:tc>
                <w:tcPr>
                  <w:tcW w:w="6155" w:type="dxa"/>
                </w:tcPr>
                <w:p w14:paraId="31B2A426" w14:textId="77777777" w:rsidR="00B311BB" w:rsidRPr="008C3CC8" w:rsidRDefault="00B311BB" w:rsidP="00B311BB">
                  <w:pPr>
                    <w:pStyle w:val="TableHead"/>
                  </w:pPr>
                  <w:r w:rsidRPr="008C3CC8">
                    <w:t>Description</w:t>
                  </w:r>
                </w:p>
              </w:tc>
            </w:tr>
            <w:tr w:rsidR="00B311BB" w:rsidRPr="008C3CC8" w14:paraId="261AE869" w14:textId="77777777" w:rsidTr="00745852">
              <w:tc>
                <w:tcPr>
                  <w:tcW w:w="2035" w:type="dxa"/>
                </w:tcPr>
                <w:p w14:paraId="7345AC5B" w14:textId="28B725CB" w:rsidR="00B311BB" w:rsidRPr="008C3CC8" w:rsidRDefault="00B311BB" w:rsidP="00B311BB">
                  <w:pPr>
                    <w:pStyle w:val="TableBody"/>
                  </w:pPr>
                  <w:r w:rsidRPr="008C3CC8">
                    <w:t>HUBLMP</w:t>
                  </w:r>
                  <w:r w:rsidRPr="008C3CC8">
                    <w:rPr>
                      <w:b/>
                      <w:vertAlign w:val="subscript"/>
                    </w:rPr>
                    <w:t xml:space="preserve"> </w:t>
                  </w:r>
                  <w:r w:rsidRPr="00107CC2">
                    <w:rPr>
                      <w:i/>
                      <w:vertAlign w:val="subscript"/>
                    </w:rPr>
                    <w:t>Hub, y</w:t>
                  </w:r>
                </w:p>
              </w:tc>
              <w:tc>
                <w:tcPr>
                  <w:tcW w:w="1080" w:type="dxa"/>
                </w:tcPr>
                <w:p w14:paraId="52F21392" w14:textId="1531997A" w:rsidR="00B311BB" w:rsidRPr="008C3CC8" w:rsidRDefault="00B311BB" w:rsidP="00B311BB">
                  <w:pPr>
                    <w:pStyle w:val="TableBody"/>
                  </w:pPr>
                  <w:r w:rsidRPr="008C3CC8">
                    <w:t>$/MWh</w:t>
                  </w:r>
                </w:p>
              </w:tc>
              <w:tc>
                <w:tcPr>
                  <w:tcW w:w="6155" w:type="dxa"/>
                </w:tcPr>
                <w:p w14:paraId="2BE5B343" w14:textId="2AD9AC69" w:rsidR="00B311BB" w:rsidRPr="008C3CC8" w:rsidRDefault="00B311BB" w:rsidP="00B311BB">
                  <w:pPr>
                    <w:pStyle w:val="TableBody"/>
                  </w:pPr>
                  <w:r w:rsidRPr="00042023">
                    <w:rPr>
                      <w:i/>
                    </w:rPr>
                    <w:t>Hub Locational Marginal Price</w:t>
                  </w:r>
                  <w:r w:rsidRPr="008C3CC8">
                    <w:sym w:font="Symbol" w:char="F0BE"/>
                  </w:r>
                  <w:r w:rsidRPr="008C3CC8">
                    <w:t xml:space="preserve">The Hub LMP for the Hub for the SCED Interval </w:t>
                  </w:r>
                  <w:r w:rsidRPr="00042023">
                    <w:rPr>
                      <w:i/>
                    </w:rPr>
                    <w:t>y</w:t>
                  </w:r>
                  <w:r w:rsidRPr="008C3CC8">
                    <w:t>.</w:t>
                  </w:r>
                </w:p>
              </w:tc>
            </w:tr>
            <w:tr w:rsidR="00B311BB" w:rsidRPr="008C3CC8" w14:paraId="686EB099" w14:textId="77777777" w:rsidTr="00745852">
              <w:tc>
                <w:tcPr>
                  <w:tcW w:w="2035" w:type="dxa"/>
                </w:tcPr>
                <w:p w14:paraId="7152BA2A" w14:textId="7BB7F41F" w:rsidR="00B311BB" w:rsidRPr="008C3CC8" w:rsidRDefault="00B311BB" w:rsidP="00B311BB">
                  <w:pPr>
                    <w:pStyle w:val="TableBody"/>
                  </w:pPr>
                  <w:r w:rsidRPr="008C3CC8">
                    <w:t xml:space="preserve">RTHBP </w:t>
                  </w:r>
                  <w:r w:rsidRPr="00107CC2">
                    <w:rPr>
                      <w:i/>
                      <w:vertAlign w:val="subscript"/>
                    </w:rPr>
                    <w:t>hb, Hub, y</w:t>
                  </w:r>
                </w:p>
              </w:tc>
              <w:tc>
                <w:tcPr>
                  <w:tcW w:w="1080" w:type="dxa"/>
                </w:tcPr>
                <w:p w14:paraId="0DBCDC0A" w14:textId="5B1D45C1" w:rsidR="00B311BB" w:rsidRPr="008C3CC8" w:rsidRDefault="00B311BB" w:rsidP="00B311BB">
                  <w:pPr>
                    <w:pStyle w:val="TableBody"/>
                  </w:pPr>
                  <w:r w:rsidRPr="008C3CC8">
                    <w:t>$/MWh</w:t>
                  </w:r>
                </w:p>
              </w:tc>
              <w:tc>
                <w:tcPr>
                  <w:tcW w:w="6155" w:type="dxa"/>
                </w:tcPr>
                <w:p w14:paraId="21522C00" w14:textId="0D09E258" w:rsidR="00B311BB" w:rsidRPr="008C3CC8" w:rsidRDefault="00B311BB" w:rsidP="00B311BB">
                  <w:pPr>
                    <w:pStyle w:val="TableBody"/>
                  </w:pPr>
                  <w:r w:rsidRPr="00042023">
                    <w:rPr>
                      <w:i/>
                    </w:rPr>
                    <w:t>Real-Time Hub Bus Price at Hub Bus per SCED interval</w:t>
                  </w:r>
                  <w:r w:rsidRPr="008C3CC8">
                    <w:sym w:font="Symbol" w:char="F0BE"/>
                  </w:r>
                  <w:r w:rsidRPr="008C3CC8">
                    <w:t xml:space="preserve">The Real-Time energy price at Hub Bus </w:t>
                  </w:r>
                  <w:r w:rsidRPr="00042023">
                    <w:rPr>
                      <w:i/>
                    </w:rPr>
                    <w:t>hb</w:t>
                  </w:r>
                  <w:r w:rsidRPr="008C3CC8">
                    <w:t xml:space="preserve"> for the SCED interval </w:t>
                  </w:r>
                  <w:r w:rsidRPr="00042023">
                    <w:rPr>
                      <w:i/>
                    </w:rPr>
                    <w:t>y</w:t>
                  </w:r>
                  <w:r w:rsidRPr="008C3CC8">
                    <w:t>.</w:t>
                  </w:r>
                </w:p>
              </w:tc>
            </w:tr>
            <w:tr w:rsidR="00B311BB" w:rsidRPr="008C3CC8" w14:paraId="4A00A443" w14:textId="77777777" w:rsidTr="00745852">
              <w:tc>
                <w:tcPr>
                  <w:tcW w:w="2035" w:type="dxa"/>
                </w:tcPr>
                <w:p w14:paraId="7F7F6048" w14:textId="4F3D0CA8" w:rsidR="00B311BB" w:rsidRPr="008C3CC8" w:rsidRDefault="00B311BB" w:rsidP="00B311BB">
                  <w:pPr>
                    <w:pStyle w:val="TableBody"/>
                  </w:pPr>
                  <w:r>
                    <w:t>HUBLMP</w:t>
                  </w:r>
                  <w:r>
                    <w:rPr>
                      <w:i/>
                      <w:vertAlign w:val="subscript"/>
                    </w:rPr>
                    <w:t xml:space="preserve"> </w:t>
                  </w:r>
                  <w:r w:rsidRPr="008B7A91">
                    <w:rPr>
                      <w:i/>
                      <w:vertAlign w:val="subscript"/>
                    </w:rPr>
                    <w:t>ERCOT345Bus</w:t>
                  </w:r>
                  <w:r>
                    <w:rPr>
                      <w:i/>
                      <w:vertAlign w:val="subscript"/>
                    </w:rPr>
                    <w:t>,y</w:t>
                  </w:r>
                </w:p>
              </w:tc>
              <w:tc>
                <w:tcPr>
                  <w:tcW w:w="1080" w:type="dxa"/>
                </w:tcPr>
                <w:p w14:paraId="549DB1B3" w14:textId="741B55D4" w:rsidR="00B311BB" w:rsidRPr="008C3CC8" w:rsidRDefault="00B311BB" w:rsidP="00B311BB">
                  <w:pPr>
                    <w:pStyle w:val="TableBody"/>
                  </w:pPr>
                  <w:r>
                    <w:t>$/MWh</w:t>
                  </w:r>
                </w:p>
              </w:tc>
              <w:tc>
                <w:tcPr>
                  <w:tcW w:w="6155" w:type="dxa"/>
                </w:tcPr>
                <w:p w14:paraId="40B7107F" w14:textId="57B8AD2F" w:rsidR="00B311BB" w:rsidRPr="008C3CC8" w:rsidRDefault="00B311BB" w:rsidP="00B311BB">
                  <w:pPr>
                    <w:pStyle w:val="TableBody"/>
                  </w:pPr>
                  <w:r w:rsidRPr="00042023">
                    <w:rPr>
                      <w:i/>
                    </w:rPr>
                    <w:t>Hub Locational Marginal Price for the ERCOT345</w:t>
                  </w:r>
                  <w:r>
                    <w:rPr>
                      <w:i/>
                    </w:rPr>
                    <w:t>Bus</w:t>
                  </w:r>
                  <w:r w:rsidRPr="008C3CC8">
                    <w:sym w:font="Symbol" w:char="F0BE"/>
                  </w:r>
                  <w:r w:rsidRPr="008C3CC8">
                    <w:t xml:space="preserve">The Hub LMP for the ERCOT </w:t>
                  </w:r>
                  <w:r>
                    <w:t>Bus</w:t>
                  </w:r>
                  <w:r w:rsidRPr="008C3CC8">
                    <w:t xml:space="preserve"> Average 345 kV Hub (ERCOT 345</w:t>
                  </w:r>
                  <w:r>
                    <w:t xml:space="preserve"> Bus</w:t>
                  </w:r>
                  <w:r w:rsidRPr="008C3CC8">
                    <w:t xml:space="preserve">), for the SCED Interval </w:t>
                  </w:r>
                  <w:r w:rsidRPr="006715D1">
                    <w:rPr>
                      <w:i/>
                    </w:rPr>
                    <w:t>y</w:t>
                  </w:r>
                  <w:r w:rsidRPr="008C3CC8">
                    <w:t>.</w:t>
                  </w:r>
                </w:p>
              </w:tc>
            </w:tr>
            <w:tr w:rsidR="00B311BB" w:rsidRPr="008C3CC8" w14:paraId="14A02917" w14:textId="77777777" w:rsidTr="00745852">
              <w:tc>
                <w:tcPr>
                  <w:tcW w:w="2035" w:type="dxa"/>
                </w:tcPr>
                <w:p w14:paraId="4DF3AA97" w14:textId="62D8D7FD" w:rsidR="00B311BB" w:rsidRPr="008C3CC8" w:rsidRDefault="00B311BB" w:rsidP="00B311BB">
                  <w:pPr>
                    <w:pStyle w:val="TableBody"/>
                  </w:pPr>
                  <w:r w:rsidRPr="008C3CC8">
                    <w:rPr>
                      <w:lang w:val="fr-FR"/>
                    </w:rPr>
                    <w:t xml:space="preserve">RTLMP </w:t>
                  </w:r>
                  <w:r w:rsidRPr="00107CC2">
                    <w:rPr>
                      <w:i/>
                      <w:vertAlign w:val="subscript"/>
                      <w:lang w:val="fr-FR"/>
                    </w:rPr>
                    <w:t>b, hb, Hub, y</w:t>
                  </w:r>
                </w:p>
              </w:tc>
              <w:tc>
                <w:tcPr>
                  <w:tcW w:w="1080" w:type="dxa"/>
                </w:tcPr>
                <w:p w14:paraId="17E441DE" w14:textId="33E2DEAD" w:rsidR="00B311BB" w:rsidRPr="008C3CC8" w:rsidRDefault="00B311BB" w:rsidP="00B311BB">
                  <w:pPr>
                    <w:pStyle w:val="TableBody"/>
                  </w:pPr>
                  <w:r w:rsidRPr="008C3CC8">
                    <w:t>$/MWh</w:t>
                  </w:r>
                </w:p>
              </w:tc>
              <w:tc>
                <w:tcPr>
                  <w:tcW w:w="6155" w:type="dxa"/>
                </w:tcPr>
                <w:p w14:paraId="2ABFA16A" w14:textId="21855D8E" w:rsidR="00B311BB" w:rsidRPr="008C3CC8" w:rsidRDefault="00B311BB" w:rsidP="00B311BB">
                  <w:pPr>
                    <w:pStyle w:val="TableBody"/>
                  </w:pPr>
                  <w:r w:rsidRPr="00042023">
                    <w:rPr>
                      <w:i/>
                    </w:rPr>
                    <w:t>Real-Time Locational Marginal Price at Electrical Bus of Hub Bus per interval</w:t>
                  </w:r>
                  <w:r w:rsidRPr="008C3CC8">
                    <w:sym w:font="Symbol" w:char="F0BE"/>
                  </w:r>
                  <w:r w:rsidRPr="008C3CC8">
                    <w:t xml:space="preserve">The Real-Time LMP at Electrical Bus </w:t>
                  </w:r>
                  <w:r w:rsidRPr="00042023">
                    <w:rPr>
                      <w:i/>
                    </w:rPr>
                    <w:t>b</w:t>
                  </w:r>
                  <w:r w:rsidRPr="008C3CC8">
                    <w:t xml:space="preserve"> that is a component of Hub Bus </w:t>
                  </w:r>
                  <w:r w:rsidRPr="00042023">
                    <w:rPr>
                      <w:i/>
                    </w:rPr>
                    <w:t>hb</w:t>
                  </w:r>
                  <w:r w:rsidRPr="008C3CC8">
                    <w:t xml:space="preserve">, for the SCED interval </w:t>
                  </w:r>
                  <w:r w:rsidRPr="00042023">
                    <w:rPr>
                      <w:i/>
                    </w:rPr>
                    <w:t>y</w:t>
                  </w:r>
                  <w:r w:rsidRPr="008C3CC8">
                    <w:t>.</w:t>
                  </w:r>
                </w:p>
              </w:tc>
            </w:tr>
            <w:tr w:rsidR="00B311BB" w:rsidRPr="008C3CC8" w14:paraId="46C05FEB" w14:textId="77777777" w:rsidTr="00745852">
              <w:tc>
                <w:tcPr>
                  <w:tcW w:w="2035" w:type="dxa"/>
                </w:tcPr>
                <w:p w14:paraId="37A78A76" w14:textId="1462C7BC" w:rsidR="00B311BB" w:rsidRPr="008C3CC8" w:rsidRDefault="00B311BB" w:rsidP="00B311BB">
                  <w:pPr>
                    <w:pStyle w:val="TableBody"/>
                  </w:pPr>
                  <w:r w:rsidRPr="008C3CC8">
                    <w:t xml:space="preserve">HUBDF </w:t>
                  </w:r>
                  <w:r w:rsidRPr="00107CC2">
                    <w:rPr>
                      <w:i/>
                      <w:vertAlign w:val="subscript"/>
                    </w:rPr>
                    <w:t>hb, Hub</w:t>
                  </w:r>
                </w:p>
              </w:tc>
              <w:tc>
                <w:tcPr>
                  <w:tcW w:w="1080" w:type="dxa"/>
                </w:tcPr>
                <w:p w14:paraId="31779E6B" w14:textId="2C954526" w:rsidR="00B311BB" w:rsidRPr="008C3CC8" w:rsidRDefault="00B311BB" w:rsidP="00B311BB">
                  <w:pPr>
                    <w:pStyle w:val="TableBody"/>
                  </w:pPr>
                  <w:r w:rsidRPr="008C3CC8">
                    <w:t>none</w:t>
                  </w:r>
                </w:p>
              </w:tc>
              <w:tc>
                <w:tcPr>
                  <w:tcW w:w="6155" w:type="dxa"/>
                </w:tcPr>
                <w:p w14:paraId="550548A2" w14:textId="758A9213" w:rsidR="00B311BB" w:rsidRPr="008C3CC8" w:rsidRDefault="00B311BB" w:rsidP="00B311BB">
                  <w:pPr>
                    <w:pStyle w:val="TableBody"/>
                  </w:pPr>
                  <w:r w:rsidRPr="00042023">
                    <w:rPr>
                      <w:i/>
                    </w:rPr>
                    <w:t>Hub Distribution Factor per Hub Bus</w:t>
                  </w:r>
                  <w:r w:rsidRPr="008C3CC8">
                    <w:sym w:font="Symbol" w:char="F0BE"/>
                  </w:r>
                  <w:r w:rsidRPr="008C3CC8">
                    <w:t xml:space="preserve">The distribution factor of Hub Bus </w:t>
                  </w:r>
                  <w:r w:rsidRPr="00042023">
                    <w:rPr>
                      <w:i/>
                    </w:rPr>
                    <w:t>hb</w:t>
                  </w:r>
                  <w:r w:rsidRPr="008C3CC8">
                    <w:t xml:space="preserve">.  </w:t>
                  </w:r>
                </w:p>
              </w:tc>
            </w:tr>
            <w:tr w:rsidR="00B311BB" w:rsidRPr="008C3CC8" w14:paraId="29AAC628" w14:textId="77777777" w:rsidTr="00745852">
              <w:tc>
                <w:tcPr>
                  <w:tcW w:w="2035" w:type="dxa"/>
                </w:tcPr>
                <w:p w14:paraId="13AC939A" w14:textId="6012E9D9" w:rsidR="00B311BB" w:rsidRPr="008C3CC8" w:rsidRDefault="00B311BB" w:rsidP="00B311BB">
                  <w:pPr>
                    <w:pStyle w:val="TableBody"/>
                  </w:pPr>
                  <w:r w:rsidRPr="008C3CC8">
                    <w:t xml:space="preserve">HBDF </w:t>
                  </w:r>
                  <w:r w:rsidRPr="00107CC2">
                    <w:rPr>
                      <w:i/>
                      <w:vertAlign w:val="subscript"/>
                    </w:rPr>
                    <w:t>b, hb, Hub</w:t>
                  </w:r>
                </w:p>
              </w:tc>
              <w:tc>
                <w:tcPr>
                  <w:tcW w:w="1080" w:type="dxa"/>
                </w:tcPr>
                <w:p w14:paraId="5EA72B59" w14:textId="50A208EA" w:rsidR="00B311BB" w:rsidRPr="008C3CC8" w:rsidRDefault="00B311BB" w:rsidP="00B311BB">
                  <w:pPr>
                    <w:pStyle w:val="TableBody"/>
                  </w:pPr>
                  <w:r w:rsidRPr="008C3CC8">
                    <w:t>none</w:t>
                  </w:r>
                </w:p>
              </w:tc>
              <w:tc>
                <w:tcPr>
                  <w:tcW w:w="6155" w:type="dxa"/>
                </w:tcPr>
                <w:p w14:paraId="4E36DC35" w14:textId="733CE61A" w:rsidR="00B311BB" w:rsidRPr="008C3CC8" w:rsidRDefault="00B311BB" w:rsidP="00B311BB">
                  <w:pPr>
                    <w:pStyle w:val="TableBody"/>
                  </w:pPr>
                  <w:r w:rsidRPr="00042023">
                    <w:rPr>
                      <w:i/>
                    </w:rPr>
                    <w:t>Hub Bus Distribution Factor per Electrical Bus of Hub Bus</w:t>
                  </w:r>
                  <w:r w:rsidRPr="008C3CC8">
                    <w:sym w:font="Symbol" w:char="F0BE"/>
                  </w:r>
                  <w:r w:rsidRPr="008C3CC8">
                    <w:t xml:space="preserve">The distribution factor of Electrical Bus </w:t>
                  </w:r>
                  <w:r w:rsidRPr="00042023">
                    <w:rPr>
                      <w:i/>
                    </w:rPr>
                    <w:t>b</w:t>
                  </w:r>
                  <w:r w:rsidRPr="008C3CC8">
                    <w:t xml:space="preserve"> that is a component of Hub Bus</w:t>
                  </w:r>
                  <w:r w:rsidRPr="00042023">
                    <w:rPr>
                      <w:i/>
                    </w:rPr>
                    <w:t xml:space="preserve"> hb</w:t>
                  </w:r>
                  <w:r w:rsidRPr="008C3CC8">
                    <w:t xml:space="preserve">.  </w:t>
                  </w:r>
                </w:p>
              </w:tc>
            </w:tr>
            <w:tr w:rsidR="00B311BB" w:rsidRPr="008C3CC8" w14:paraId="69C15A76" w14:textId="77777777" w:rsidTr="00745852">
              <w:tc>
                <w:tcPr>
                  <w:tcW w:w="2035" w:type="dxa"/>
                </w:tcPr>
                <w:p w14:paraId="55F11E31" w14:textId="02545F45" w:rsidR="00B311BB" w:rsidRPr="008C3CC8" w:rsidRDefault="00B311BB" w:rsidP="00B311BB">
                  <w:pPr>
                    <w:pStyle w:val="TableBody"/>
                  </w:pPr>
                  <w:r w:rsidRPr="008C3CC8">
                    <w:t xml:space="preserve">B </w:t>
                  </w:r>
                  <w:r w:rsidRPr="00107CC2">
                    <w:rPr>
                      <w:i/>
                      <w:vertAlign w:val="subscript"/>
                    </w:rPr>
                    <w:t>hb, Hub</w:t>
                  </w:r>
                </w:p>
              </w:tc>
              <w:tc>
                <w:tcPr>
                  <w:tcW w:w="1080" w:type="dxa"/>
                </w:tcPr>
                <w:p w14:paraId="1E202C53" w14:textId="79D79C3A" w:rsidR="00B311BB" w:rsidRPr="008C3CC8" w:rsidRDefault="00B311BB" w:rsidP="00B311BB">
                  <w:pPr>
                    <w:pStyle w:val="TableBody"/>
                  </w:pPr>
                  <w:r w:rsidRPr="008C3CC8">
                    <w:t>none</w:t>
                  </w:r>
                </w:p>
              </w:tc>
              <w:tc>
                <w:tcPr>
                  <w:tcW w:w="6155" w:type="dxa"/>
                </w:tcPr>
                <w:p w14:paraId="53511C8E" w14:textId="5F9145D2" w:rsidR="00B311BB" w:rsidRPr="008C3CC8" w:rsidRDefault="00B311BB" w:rsidP="00B311BB">
                  <w:pPr>
                    <w:pStyle w:val="TableBody"/>
                  </w:pPr>
                  <w:r w:rsidRPr="008C3CC8">
                    <w:t xml:space="preserve">The total number of energized Electrical Buses in Hub Bus </w:t>
                  </w:r>
                  <w:r w:rsidRPr="00042023">
                    <w:rPr>
                      <w:i/>
                    </w:rPr>
                    <w:t>hb</w:t>
                  </w:r>
                  <w:r w:rsidRPr="008C3CC8">
                    <w:t>.</w:t>
                  </w:r>
                </w:p>
              </w:tc>
            </w:tr>
            <w:tr w:rsidR="00B311BB" w:rsidRPr="008C3CC8" w14:paraId="308E11B9" w14:textId="77777777" w:rsidTr="00745852">
              <w:tc>
                <w:tcPr>
                  <w:tcW w:w="2035" w:type="dxa"/>
                </w:tcPr>
                <w:p w14:paraId="4A275DA6" w14:textId="633077A8" w:rsidR="00B311BB" w:rsidRPr="008C3CC8" w:rsidRDefault="00B311BB" w:rsidP="00B311BB">
                  <w:pPr>
                    <w:pStyle w:val="TableBody"/>
                  </w:pPr>
                  <w:r w:rsidRPr="008C3CC8">
                    <w:lastRenderedPageBreak/>
                    <w:t>HB</w:t>
                  </w:r>
                  <w:r w:rsidRPr="008C3CC8">
                    <w:rPr>
                      <w:vertAlign w:val="subscript"/>
                    </w:rPr>
                    <w:t xml:space="preserve"> </w:t>
                  </w:r>
                  <w:r w:rsidRPr="00107CC2">
                    <w:rPr>
                      <w:i/>
                      <w:vertAlign w:val="subscript"/>
                    </w:rPr>
                    <w:t>Hub</w:t>
                  </w:r>
                </w:p>
              </w:tc>
              <w:tc>
                <w:tcPr>
                  <w:tcW w:w="1080" w:type="dxa"/>
                </w:tcPr>
                <w:p w14:paraId="634080BF" w14:textId="556B5739" w:rsidR="00B311BB" w:rsidRPr="008C3CC8" w:rsidRDefault="00B311BB" w:rsidP="00B311BB">
                  <w:pPr>
                    <w:pStyle w:val="TableBody"/>
                  </w:pPr>
                  <w:r w:rsidRPr="008C3CC8">
                    <w:t>none</w:t>
                  </w:r>
                </w:p>
              </w:tc>
              <w:tc>
                <w:tcPr>
                  <w:tcW w:w="6155" w:type="dxa"/>
                </w:tcPr>
                <w:p w14:paraId="3C980F41" w14:textId="11FE14D4" w:rsidR="00B311BB" w:rsidRPr="008C3CC8" w:rsidRDefault="00B311BB" w:rsidP="00B311BB">
                  <w:pPr>
                    <w:pStyle w:val="TableBody"/>
                  </w:pPr>
                  <w:r w:rsidRPr="008C3CC8">
                    <w:t>The total number of Hub Buses in the Hub with at least one energized component in each Hub Bus.</w:t>
                  </w:r>
                </w:p>
              </w:tc>
            </w:tr>
            <w:tr w:rsidR="00B311BB" w:rsidRPr="008C3CC8" w14:paraId="7C7CC138" w14:textId="77777777" w:rsidTr="00745852">
              <w:tc>
                <w:tcPr>
                  <w:tcW w:w="2035" w:type="dxa"/>
                </w:tcPr>
                <w:p w14:paraId="65006CCD" w14:textId="5B71CACD" w:rsidR="00B311BB" w:rsidRPr="008C3CC8" w:rsidRDefault="00B311BB" w:rsidP="00B311BB">
                  <w:pPr>
                    <w:pStyle w:val="TableBody"/>
                  </w:pPr>
                  <w:r w:rsidRPr="00107CC2">
                    <w:rPr>
                      <w:i/>
                    </w:rPr>
                    <w:t>Hub</w:t>
                  </w:r>
                </w:p>
              </w:tc>
              <w:tc>
                <w:tcPr>
                  <w:tcW w:w="1080" w:type="dxa"/>
                </w:tcPr>
                <w:p w14:paraId="5C5AD6DA" w14:textId="377E06BF" w:rsidR="00B311BB" w:rsidRPr="008C3CC8" w:rsidRDefault="00B311BB" w:rsidP="00B311BB">
                  <w:pPr>
                    <w:pStyle w:val="TableBody"/>
                  </w:pPr>
                  <w:r w:rsidRPr="008C3CC8">
                    <w:t>none</w:t>
                  </w:r>
                </w:p>
              </w:tc>
              <w:tc>
                <w:tcPr>
                  <w:tcW w:w="6155" w:type="dxa"/>
                </w:tcPr>
                <w:p w14:paraId="23F155FE" w14:textId="78D592EB" w:rsidR="00B311BB" w:rsidRPr="008C3CC8" w:rsidRDefault="00B311BB" w:rsidP="00B311BB">
                  <w:pPr>
                    <w:pStyle w:val="TableBody"/>
                  </w:pPr>
                  <w:r w:rsidRPr="008C3CC8">
                    <w:t>One of the following Hubs: North 345 kV Hub, South 345 kV Hub, Houston 345 kV Hub, West 345 kV Hub</w:t>
                  </w:r>
                  <w:r>
                    <w:t xml:space="preserve">, the Panhandle 345 kV Hub, or the </w:t>
                  </w:r>
                  <w:r w:rsidRPr="005D7AE8">
                    <w:t>Lower Rio Grande Valley</w:t>
                  </w:r>
                  <w:r>
                    <w:t xml:space="preserve"> 138/</w:t>
                  </w:r>
                  <w:r w:rsidRPr="00754830">
                    <w:t>345 kV Hub</w:t>
                  </w:r>
                  <w:r>
                    <w:t>.</w:t>
                  </w:r>
                </w:p>
              </w:tc>
            </w:tr>
            <w:tr w:rsidR="00B311BB" w:rsidRPr="008C3CC8" w14:paraId="6AF845D5" w14:textId="77777777" w:rsidTr="00745852">
              <w:tc>
                <w:tcPr>
                  <w:tcW w:w="2035" w:type="dxa"/>
                </w:tcPr>
                <w:p w14:paraId="7979CB0D" w14:textId="347230CA" w:rsidR="00B311BB" w:rsidRPr="008C3CC8" w:rsidRDefault="00B311BB" w:rsidP="00B311BB">
                  <w:pPr>
                    <w:pStyle w:val="TableBody"/>
                  </w:pPr>
                  <w:r w:rsidRPr="00A61E91">
                    <w:rPr>
                      <w:i/>
                    </w:rPr>
                    <w:t>hb</w:t>
                  </w:r>
                </w:p>
              </w:tc>
              <w:tc>
                <w:tcPr>
                  <w:tcW w:w="1080" w:type="dxa"/>
                </w:tcPr>
                <w:p w14:paraId="506F9A06" w14:textId="1BC6931F" w:rsidR="00B311BB" w:rsidRPr="008C3CC8" w:rsidRDefault="00B311BB" w:rsidP="00B311BB">
                  <w:pPr>
                    <w:pStyle w:val="TableBody"/>
                  </w:pPr>
                  <w:r w:rsidRPr="008C3CC8">
                    <w:t>none</w:t>
                  </w:r>
                </w:p>
              </w:tc>
              <w:tc>
                <w:tcPr>
                  <w:tcW w:w="6155" w:type="dxa"/>
                </w:tcPr>
                <w:p w14:paraId="6474AC06" w14:textId="2C06C8A8" w:rsidR="00B311BB" w:rsidRPr="008C3CC8" w:rsidRDefault="00B311BB" w:rsidP="00B311BB">
                  <w:pPr>
                    <w:pStyle w:val="TableBody"/>
                  </w:pPr>
                  <w:r w:rsidRPr="008C3CC8">
                    <w:t>A Hub Bus that is a component of the Hub</w:t>
                  </w:r>
                  <w:r>
                    <w:t xml:space="preserve"> with at least one energized component</w:t>
                  </w:r>
                  <w:r w:rsidRPr="008C3CC8">
                    <w:t>.</w:t>
                  </w:r>
                </w:p>
              </w:tc>
            </w:tr>
            <w:tr w:rsidR="00B311BB" w:rsidRPr="008C3CC8" w14:paraId="22D7F103" w14:textId="77777777" w:rsidTr="00745852">
              <w:tc>
                <w:tcPr>
                  <w:tcW w:w="2035" w:type="dxa"/>
                </w:tcPr>
                <w:p w14:paraId="519BEC8C" w14:textId="1B4C97F2" w:rsidR="00B311BB" w:rsidRPr="008C3CC8" w:rsidRDefault="00B311BB" w:rsidP="00B311BB">
                  <w:pPr>
                    <w:pStyle w:val="TableBody"/>
                  </w:pPr>
                  <w:r w:rsidRPr="00A61E91">
                    <w:rPr>
                      <w:i/>
                    </w:rPr>
                    <w:t>y</w:t>
                  </w:r>
                </w:p>
              </w:tc>
              <w:tc>
                <w:tcPr>
                  <w:tcW w:w="1080" w:type="dxa"/>
                </w:tcPr>
                <w:p w14:paraId="65CE8D8D" w14:textId="646DDA41" w:rsidR="00B311BB" w:rsidRPr="008C3CC8" w:rsidRDefault="00B311BB" w:rsidP="00B311BB">
                  <w:pPr>
                    <w:pStyle w:val="TableBody"/>
                  </w:pPr>
                  <w:r w:rsidRPr="008C3CC8">
                    <w:t>none</w:t>
                  </w:r>
                </w:p>
              </w:tc>
              <w:tc>
                <w:tcPr>
                  <w:tcW w:w="6155" w:type="dxa"/>
                </w:tcPr>
                <w:p w14:paraId="40193A22" w14:textId="655AEA6B" w:rsidR="00B311BB" w:rsidRPr="008C3CC8" w:rsidRDefault="00B311BB" w:rsidP="00B311BB">
                  <w:pPr>
                    <w:pStyle w:val="TableBody"/>
                  </w:pPr>
                  <w:r w:rsidRPr="008C3CC8">
                    <w:t>A SCED interval.</w:t>
                  </w:r>
                </w:p>
              </w:tc>
            </w:tr>
            <w:tr w:rsidR="00B311BB" w:rsidRPr="008C3CC8" w14:paraId="1228133E" w14:textId="77777777" w:rsidTr="00745852">
              <w:tc>
                <w:tcPr>
                  <w:tcW w:w="2035" w:type="dxa"/>
                </w:tcPr>
                <w:p w14:paraId="5145BE94" w14:textId="6BDFFFE8" w:rsidR="00B311BB" w:rsidRPr="008C3CC8" w:rsidRDefault="00B311BB" w:rsidP="00B311BB">
                  <w:pPr>
                    <w:pStyle w:val="TableBody"/>
                  </w:pPr>
                  <w:r w:rsidRPr="00A61E91">
                    <w:rPr>
                      <w:i/>
                    </w:rPr>
                    <w:t>b</w:t>
                  </w:r>
                </w:p>
              </w:tc>
              <w:tc>
                <w:tcPr>
                  <w:tcW w:w="1080" w:type="dxa"/>
                </w:tcPr>
                <w:p w14:paraId="7BAD2055" w14:textId="0B695CD9" w:rsidR="00B311BB" w:rsidRPr="008C3CC8" w:rsidRDefault="00B311BB" w:rsidP="00B311BB">
                  <w:pPr>
                    <w:pStyle w:val="TableBody"/>
                  </w:pPr>
                  <w:r w:rsidRPr="008C3CC8">
                    <w:t>none</w:t>
                  </w:r>
                </w:p>
              </w:tc>
              <w:tc>
                <w:tcPr>
                  <w:tcW w:w="6155" w:type="dxa"/>
                </w:tcPr>
                <w:p w14:paraId="3BBE64A6" w14:textId="641BA428" w:rsidR="00B311BB" w:rsidRPr="008C3CC8" w:rsidRDefault="00B311BB" w:rsidP="00B311BB">
                  <w:pPr>
                    <w:pStyle w:val="TableBody"/>
                  </w:pPr>
                  <w:r w:rsidRPr="008C3CC8">
                    <w:t>An energized Electrical Bus that is a component of a Hub Bus.</w:t>
                  </w:r>
                </w:p>
              </w:tc>
            </w:tr>
          </w:tbl>
          <w:p w14:paraId="134AC816" w14:textId="77777777" w:rsidR="00776199" w:rsidRDefault="00776199" w:rsidP="00776199">
            <w:pPr>
              <w:pStyle w:val="BodyText"/>
              <w:spacing w:before="240"/>
              <w:ind w:left="720" w:hanging="720"/>
            </w:pPr>
            <w:r>
              <w:t>(3)</w:t>
            </w:r>
            <w:r>
              <w:tab/>
              <w:t xml:space="preserve">The Hub LMP for the ERCOT Hub Average 345 kV Hub (ERCOT 345) for a SCED Interval is calculated as follows: </w:t>
            </w:r>
          </w:p>
          <w:p w14:paraId="36EA9EC7" w14:textId="77777777" w:rsidR="00776199" w:rsidRDefault="00776199" w:rsidP="00776199">
            <w:pPr>
              <w:pStyle w:val="FormulaBold"/>
              <w:rPr>
                <w:lang w:val="es-MX"/>
              </w:rPr>
            </w:pPr>
            <w:r>
              <w:rPr>
                <w:lang w:val="es-MX"/>
              </w:rPr>
              <w:t>HUBLMP</w:t>
            </w:r>
            <w:r>
              <w:rPr>
                <w:i/>
                <w:vertAlign w:val="subscript"/>
                <w:lang w:val="es-MX"/>
              </w:rPr>
              <w:t xml:space="preserve"> ERCOT345</w:t>
            </w:r>
            <w:r>
              <w:rPr>
                <w:i/>
                <w:vertAlign w:val="subscript"/>
              </w:rPr>
              <w:t>, y</w:t>
            </w:r>
            <w:r>
              <w:rPr>
                <w:lang w:val="es-MX"/>
              </w:rPr>
              <w:tab/>
              <w:t>=</w:t>
            </w:r>
            <w:r>
              <w:rPr>
                <w:lang w:val="es-MX"/>
              </w:rPr>
              <w:tab/>
              <w:t>(HUBLMP</w:t>
            </w:r>
            <w:r>
              <w:rPr>
                <w:i/>
                <w:vertAlign w:val="subscript"/>
                <w:lang w:val="es-MX"/>
              </w:rPr>
              <w:t>NORTH345</w:t>
            </w:r>
            <w:r>
              <w:rPr>
                <w:i/>
                <w:vertAlign w:val="subscript"/>
              </w:rPr>
              <w:t>, y</w:t>
            </w:r>
            <w:r>
              <w:rPr>
                <w:lang w:val="es-MX"/>
              </w:rPr>
              <w:t xml:space="preserve"> + HUBLMP</w:t>
            </w:r>
            <w:r>
              <w:rPr>
                <w:i/>
                <w:vertAlign w:val="subscript"/>
                <w:lang w:val="es-MX"/>
              </w:rPr>
              <w:t>SOUTH345</w:t>
            </w:r>
            <w:r>
              <w:rPr>
                <w:i/>
                <w:vertAlign w:val="subscript"/>
              </w:rPr>
              <w:t>, y</w:t>
            </w:r>
            <w:r>
              <w:rPr>
                <w:i/>
                <w:vertAlign w:val="subscript"/>
                <w:lang w:val="es-MX"/>
              </w:rPr>
              <w:t xml:space="preserve"> </w:t>
            </w:r>
            <w:r>
              <w:rPr>
                <w:i/>
                <w:lang w:val="es-MX"/>
              </w:rPr>
              <w:t xml:space="preserve">+ </w:t>
            </w:r>
            <w:r>
              <w:rPr>
                <w:lang w:val="es-MX"/>
              </w:rPr>
              <w:t>HUBLMP</w:t>
            </w:r>
            <w:r>
              <w:rPr>
                <w:i/>
                <w:vertAlign w:val="subscript"/>
                <w:lang w:val="es-MX"/>
              </w:rPr>
              <w:t>HOUSTON345</w:t>
            </w:r>
            <w:r>
              <w:rPr>
                <w:i/>
                <w:vertAlign w:val="subscript"/>
              </w:rPr>
              <w:t>, y</w:t>
            </w:r>
            <w:r>
              <w:rPr>
                <w:i/>
                <w:vertAlign w:val="subscript"/>
                <w:lang w:val="es-MX"/>
              </w:rPr>
              <w:t xml:space="preserve">  </w:t>
            </w:r>
            <w:r>
              <w:rPr>
                <w:i/>
                <w:lang w:val="es-MX"/>
              </w:rPr>
              <w:t>+</w:t>
            </w:r>
            <w:r>
              <w:rPr>
                <w:lang w:val="es-MX"/>
              </w:rPr>
              <w:t xml:space="preserve"> HUBLMP</w:t>
            </w:r>
            <w:r>
              <w:rPr>
                <w:i/>
                <w:vertAlign w:val="subscript"/>
                <w:lang w:val="es-MX"/>
              </w:rPr>
              <w:t>WEST345</w:t>
            </w:r>
            <w:r>
              <w:rPr>
                <w:i/>
                <w:vertAlign w:val="subscript"/>
              </w:rPr>
              <w:t>, y</w:t>
            </w:r>
            <w:r>
              <w:rPr>
                <w:lang w:val="es-MX"/>
              </w:rPr>
              <w:t>) / 4</w:t>
            </w:r>
          </w:p>
          <w:p w14:paraId="61DA0744" w14:textId="77777777" w:rsidR="00776199" w:rsidRDefault="00776199" w:rsidP="00776199">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35"/>
              <w:gridCol w:w="1080"/>
              <w:gridCol w:w="6155"/>
            </w:tblGrid>
            <w:tr w:rsidR="002B516C" w:rsidRPr="008C3CC8" w14:paraId="03D17CED" w14:textId="77777777" w:rsidTr="00745852">
              <w:tc>
                <w:tcPr>
                  <w:tcW w:w="2035" w:type="dxa"/>
                </w:tcPr>
                <w:p w14:paraId="27F63A70" w14:textId="77777777" w:rsidR="002B516C" w:rsidRPr="008C3CC8" w:rsidRDefault="002B516C" w:rsidP="002B516C">
                  <w:pPr>
                    <w:pStyle w:val="TableHead"/>
                  </w:pPr>
                  <w:r w:rsidRPr="008C3CC8">
                    <w:t>Variable</w:t>
                  </w:r>
                </w:p>
              </w:tc>
              <w:tc>
                <w:tcPr>
                  <w:tcW w:w="1080" w:type="dxa"/>
                </w:tcPr>
                <w:p w14:paraId="2C2C9F40" w14:textId="77777777" w:rsidR="002B516C" w:rsidRPr="008C3CC8" w:rsidRDefault="002B516C" w:rsidP="002B516C">
                  <w:pPr>
                    <w:pStyle w:val="TableHead"/>
                  </w:pPr>
                  <w:r w:rsidRPr="008C3CC8">
                    <w:t>Unit</w:t>
                  </w:r>
                </w:p>
              </w:tc>
              <w:tc>
                <w:tcPr>
                  <w:tcW w:w="6155" w:type="dxa"/>
                </w:tcPr>
                <w:p w14:paraId="46E61571" w14:textId="77777777" w:rsidR="002B516C" w:rsidRPr="008C3CC8" w:rsidRDefault="002B516C" w:rsidP="002B516C">
                  <w:pPr>
                    <w:pStyle w:val="TableHead"/>
                  </w:pPr>
                  <w:r w:rsidRPr="008C3CC8">
                    <w:t>Description</w:t>
                  </w:r>
                </w:p>
              </w:tc>
            </w:tr>
            <w:tr w:rsidR="002B516C" w:rsidRPr="008C3CC8" w14:paraId="21FC2D91" w14:textId="77777777" w:rsidTr="00745852">
              <w:tc>
                <w:tcPr>
                  <w:tcW w:w="2035" w:type="dxa"/>
                </w:tcPr>
                <w:p w14:paraId="16B240A7" w14:textId="59948D3F" w:rsidR="002B516C" w:rsidRPr="008C3CC8" w:rsidRDefault="002B516C" w:rsidP="002B516C">
                  <w:pPr>
                    <w:pStyle w:val="TableBody"/>
                  </w:pPr>
                  <w:r w:rsidRPr="008C3CC8">
                    <w:t>HUBLMP</w:t>
                  </w:r>
                  <w:r w:rsidRPr="00107CC2">
                    <w:rPr>
                      <w:i/>
                      <w:vertAlign w:val="subscript"/>
                    </w:rPr>
                    <w:t>ERCOT345, y</w:t>
                  </w:r>
                </w:p>
              </w:tc>
              <w:tc>
                <w:tcPr>
                  <w:tcW w:w="1080" w:type="dxa"/>
                </w:tcPr>
                <w:p w14:paraId="4F67151E" w14:textId="32FB7D6F" w:rsidR="002B516C" w:rsidRPr="008C3CC8" w:rsidRDefault="002B516C" w:rsidP="002B516C">
                  <w:pPr>
                    <w:pStyle w:val="TableBody"/>
                  </w:pPr>
                  <w:r w:rsidRPr="008C3CC8">
                    <w:t>$/MWh</w:t>
                  </w:r>
                </w:p>
              </w:tc>
              <w:tc>
                <w:tcPr>
                  <w:tcW w:w="6155" w:type="dxa"/>
                </w:tcPr>
                <w:p w14:paraId="40A2008E" w14:textId="7507D31A" w:rsidR="002B516C" w:rsidRPr="008C3CC8" w:rsidRDefault="002B516C" w:rsidP="002B516C">
                  <w:pPr>
                    <w:pStyle w:val="TableBody"/>
                  </w:pPr>
                  <w:r w:rsidRPr="00042023">
                    <w:rPr>
                      <w:i/>
                    </w:rPr>
                    <w:t>Hub Locational Marginal Price for the ERCOT345</w:t>
                  </w:r>
                  <w:r w:rsidRPr="008C3CC8">
                    <w:sym w:font="Symbol" w:char="F0BE"/>
                  </w:r>
                  <w:r w:rsidRPr="008C3CC8">
                    <w:t xml:space="preserve">The Hub LMP for the ERCOT Hub Average 345 kV Hub (ERCOT 345), for the SCED Interval </w:t>
                  </w:r>
                  <w:r w:rsidRPr="006715D1">
                    <w:rPr>
                      <w:i/>
                    </w:rPr>
                    <w:t>y</w:t>
                  </w:r>
                  <w:r w:rsidRPr="008C3CC8">
                    <w:t>.</w:t>
                  </w:r>
                </w:p>
              </w:tc>
            </w:tr>
            <w:tr w:rsidR="002B516C" w:rsidRPr="008C3CC8" w14:paraId="1E86BD77" w14:textId="77777777" w:rsidTr="00745852">
              <w:tc>
                <w:tcPr>
                  <w:tcW w:w="2035" w:type="dxa"/>
                </w:tcPr>
                <w:p w14:paraId="626CCF51" w14:textId="483A8D19" w:rsidR="002B516C" w:rsidRPr="008C3CC8" w:rsidRDefault="002B516C" w:rsidP="002B516C">
                  <w:pPr>
                    <w:pStyle w:val="TableBody"/>
                  </w:pPr>
                  <w:r w:rsidRPr="008C3CC8">
                    <w:t>HUBLMP</w:t>
                  </w:r>
                  <w:r w:rsidRPr="00107CC2">
                    <w:rPr>
                      <w:i/>
                      <w:vertAlign w:val="subscript"/>
                    </w:rPr>
                    <w:t>NORTH345, y</w:t>
                  </w:r>
                </w:p>
              </w:tc>
              <w:tc>
                <w:tcPr>
                  <w:tcW w:w="1080" w:type="dxa"/>
                </w:tcPr>
                <w:p w14:paraId="035A46BF" w14:textId="0943CD47" w:rsidR="002B516C" w:rsidRPr="008C3CC8" w:rsidRDefault="002B516C" w:rsidP="002B516C">
                  <w:pPr>
                    <w:pStyle w:val="TableBody"/>
                  </w:pPr>
                  <w:r w:rsidRPr="008C3CC8">
                    <w:t>$/MWh</w:t>
                  </w:r>
                </w:p>
              </w:tc>
              <w:tc>
                <w:tcPr>
                  <w:tcW w:w="6155" w:type="dxa"/>
                </w:tcPr>
                <w:p w14:paraId="3958CB94" w14:textId="0926E46E" w:rsidR="002B516C" w:rsidRPr="008C3CC8" w:rsidRDefault="002B516C" w:rsidP="002B516C">
                  <w:pPr>
                    <w:pStyle w:val="TableBody"/>
                  </w:pPr>
                  <w:r w:rsidRPr="00042023">
                    <w:rPr>
                      <w:i/>
                    </w:rPr>
                    <w:t>Hub Locational Marginal Price for the NORTH345</w:t>
                  </w:r>
                  <w:r w:rsidRPr="008C3CC8">
                    <w:sym w:font="Symbol" w:char="F0BE"/>
                  </w:r>
                  <w:r w:rsidRPr="008C3CC8">
                    <w:t xml:space="preserve">The Hub LMP for the North 345 kV Hub (NORTH 345), for the SCED Interval </w:t>
                  </w:r>
                  <w:r w:rsidRPr="00042023">
                    <w:rPr>
                      <w:i/>
                    </w:rPr>
                    <w:t>y</w:t>
                  </w:r>
                  <w:r w:rsidRPr="008C3CC8">
                    <w:t>.</w:t>
                  </w:r>
                </w:p>
              </w:tc>
            </w:tr>
            <w:tr w:rsidR="002B516C" w:rsidRPr="008C3CC8" w14:paraId="467E2D60" w14:textId="77777777" w:rsidTr="00745852">
              <w:tc>
                <w:tcPr>
                  <w:tcW w:w="2035" w:type="dxa"/>
                </w:tcPr>
                <w:p w14:paraId="321F49C2" w14:textId="3415F5F3" w:rsidR="002B516C" w:rsidRPr="008C3CC8" w:rsidRDefault="002B516C" w:rsidP="002B516C">
                  <w:pPr>
                    <w:pStyle w:val="TableBody"/>
                  </w:pPr>
                  <w:r w:rsidRPr="008C3CC8">
                    <w:t>HUBLMP</w:t>
                  </w:r>
                  <w:r w:rsidRPr="00107CC2">
                    <w:rPr>
                      <w:i/>
                      <w:vertAlign w:val="subscript"/>
                    </w:rPr>
                    <w:t>SOUTH345, y</w:t>
                  </w:r>
                </w:p>
              </w:tc>
              <w:tc>
                <w:tcPr>
                  <w:tcW w:w="1080" w:type="dxa"/>
                </w:tcPr>
                <w:p w14:paraId="755D74E9" w14:textId="498948A3" w:rsidR="002B516C" w:rsidRPr="008C3CC8" w:rsidRDefault="002B516C" w:rsidP="002B516C">
                  <w:pPr>
                    <w:pStyle w:val="TableBody"/>
                  </w:pPr>
                  <w:r w:rsidRPr="008C3CC8">
                    <w:t>$/MWh</w:t>
                  </w:r>
                </w:p>
              </w:tc>
              <w:tc>
                <w:tcPr>
                  <w:tcW w:w="6155" w:type="dxa"/>
                </w:tcPr>
                <w:p w14:paraId="1D5AFBE4" w14:textId="32B47B7E" w:rsidR="002B516C" w:rsidRPr="008C3CC8" w:rsidRDefault="002B516C" w:rsidP="002B516C">
                  <w:pPr>
                    <w:pStyle w:val="TableBody"/>
                  </w:pPr>
                  <w:r w:rsidRPr="00042023">
                    <w:rPr>
                      <w:i/>
                    </w:rPr>
                    <w:t>Hub Locational Marginal Price for the SOUTH345</w:t>
                  </w:r>
                  <w:r w:rsidRPr="008C3CC8">
                    <w:sym w:font="Symbol" w:char="F0BE"/>
                  </w:r>
                  <w:r w:rsidRPr="008C3CC8">
                    <w:t xml:space="preserve">The Hub LMP for the South 345 kV Hub (SOUTH 345), for the SCED Interval </w:t>
                  </w:r>
                  <w:r w:rsidRPr="00042023">
                    <w:rPr>
                      <w:i/>
                    </w:rPr>
                    <w:t>y</w:t>
                  </w:r>
                  <w:r w:rsidRPr="008C3CC8">
                    <w:t>.</w:t>
                  </w:r>
                </w:p>
              </w:tc>
            </w:tr>
            <w:tr w:rsidR="002B516C" w:rsidRPr="008C3CC8" w14:paraId="1A427F2E" w14:textId="77777777" w:rsidTr="00745852">
              <w:tc>
                <w:tcPr>
                  <w:tcW w:w="2035" w:type="dxa"/>
                </w:tcPr>
                <w:p w14:paraId="719F83A7" w14:textId="50F2684A" w:rsidR="002B516C" w:rsidRPr="008C3CC8" w:rsidRDefault="002B516C" w:rsidP="002B516C">
                  <w:pPr>
                    <w:pStyle w:val="TableBody"/>
                  </w:pPr>
                  <w:r w:rsidRPr="008C3CC8">
                    <w:t>HUBLMP</w:t>
                  </w:r>
                  <w:r w:rsidRPr="00107CC2">
                    <w:rPr>
                      <w:i/>
                      <w:vertAlign w:val="subscript"/>
                    </w:rPr>
                    <w:t>HOUSTON345, y</w:t>
                  </w:r>
                </w:p>
              </w:tc>
              <w:tc>
                <w:tcPr>
                  <w:tcW w:w="1080" w:type="dxa"/>
                </w:tcPr>
                <w:p w14:paraId="0F8A9E53" w14:textId="7E97BEB6" w:rsidR="002B516C" w:rsidRPr="008C3CC8" w:rsidRDefault="002B516C" w:rsidP="002B516C">
                  <w:pPr>
                    <w:pStyle w:val="TableBody"/>
                  </w:pPr>
                  <w:r w:rsidRPr="008C3CC8">
                    <w:t>$/MWh</w:t>
                  </w:r>
                </w:p>
              </w:tc>
              <w:tc>
                <w:tcPr>
                  <w:tcW w:w="6155" w:type="dxa"/>
                </w:tcPr>
                <w:p w14:paraId="53E884FB" w14:textId="1E7C5889" w:rsidR="002B516C" w:rsidRPr="008C3CC8" w:rsidRDefault="002B516C" w:rsidP="002B516C">
                  <w:pPr>
                    <w:pStyle w:val="TableBody"/>
                  </w:pPr>
                  <w:r w:rsidRPr="00042023">
                    <w:rPr>
                      <w:i/>
                    </w:rPr>
                    <w:t>Hub Locational Marginal Price for the HOUSTON345</w:t>
                  </w:r>
                  <w:r w:rsidRPr="008C3CC8">
                    <w:sym w:font="Symbol" w:char="F0BE"/>
                  </w:r>
                  <w:r w:rsidRPr="008C3CC8">
                    <w:t xml:space="preserve">The Hub LMP for the Houston 345 kV Hub (HOUSTON 345), for the SCED Interval </w:t>
                  </w:r>
                  <w:r w:rsidRPr="00042023">
                    <w:rPr>
                      <w:i/>
                    </w:rPr>
                    <w:t>y</w:t>
                  </w:r>
                  <w:r w:rsidRPr="008C3CC8">
                    <w:t>.</w:t>
                  </w:r>
                </w:p>
              </w:tc>
            </w:tr>
            <w:tr w:rsidR="002B516C" w:rsidRPr="008C3CC8" w14:paraId="345F66DB" w14:textId="77777777" w:rsidTr="00745852">
              <w:tc>
                <w:tcPr>
                  <w:tcW w:w="2035" w:type="dxa"/>
                </w:tcPr>
                <w:p w14:paraId="0415D411" w14:textId="235D4288" w:rsidR="002B516C" w:rsidRPr="008C3CC8" w:rsidRDefault="002B516C" w:rsidP="002B516C">
                  <w:pPr>
                    <w:pStyle w:val="TableBody"/>
                  </w:pPr>
                  <w:r w:rsidRPr="008C3CC8">
                    <w:t>HUBLMP</w:t>
                  </w:r>
                  <w:r w:rsidRPr="00107CC2">
                    <w:rPr>
                      <w:i/>
                      <w:vertAlign w:val="subscript"/>
                    </w:rPr>
                    <w:t>WEST345, y</w:t>
                  </w:r>
                </w:p>
              </w:tc>
              <w:tc>
                <w:tcPr>
                  <w:tcW w:w="1080" w:type="dxa"/>
                </w:tcPr>
                <w:p w14:paraId="5475472C" w14:textId="4BCE2F2D" w:rsidR="002B516C" w:rsidRPr="008C3CC8" w:rsidRDefault="002B516C" w:rsidP="002B516C">
                  <w:pPr>
                    <w:pStyle w:val="TableBody"/>
                  </w:pPr>
                  <w:r w:rsidRPr="008C3CC8">
                    <w:t>$/MWh</w:t>
                  </w:r>
                </w:p>
              </w:tc>
              <w:tc>
                <w:tcPr>
                  <w:tcW w:w="6155" w:type="dxa"/>
                </w:tcPr>
                <w:p w14:paraId="32384943" w14:textId="3FF4AE09" w:rsidR="002B516C" w:rsidRPr="008C3CC8" w:rsidRDefault="002B516C" w:rsidP="002B516C">
                  <w:pPr>
                    <w:pStyle w:val="TableBody"/>
                  </w:pPr>
                  <w:r w:rsidRPr="00042023">
                    <w:rPr>
                      <w:i/>
                    </w:rPr>
                    <w:t>Hub Locational Marginal Price for the WEST345</w:t>
                  </w:r>
                  <w:r w:rsidRPr="008C3CC8">
                    <w:sym w:font="Symbol" w:char="F0BE"/>
                  </w:r>
                  <w:r w:rsidRPr="008C3CC8">
                    <w:t xml:space="preserve">The Hub LMP for the West 345 kV Hub (WEST 345), for the SCED Interval </w:t>
                  </w:r>
                  <w:r w:rsidRPr="00042023">
                    <w:rPr>
                      <w:i/>
                    </w:rPr>
                    <w:t>y</w:t>
                  </w:r>
                  <w:r w:rsidRPr="008C3CC8">
                    <w:t>.</w:t>
                  </w:r>
                </w:p>
              </w:tc>
            </w:tr>
          </w:tbl>
          <w:p w14:paraId="41D97CEB" w14:textId="77777777" w:rsidR="00776199" w:rsidRDefault="00776199" w:rsidP="00776199">
            <w:pPr>
              <w:pStyle w:val="BodyText"/>
              <w:spacing w:before="240"/>
              <w:ind w:left="720" w:hanging="720"/>
            </w:pPr>
            <w:r>
              <w:t>(4)</w:t>
            </w:r>
            <w:r>
              <w:tab/>
              <w:t xml:space="preserve">The Hub LMP for the ERCOT Bus Average 345 kV Hub (ERCOT 345 Bus) for a SCED Interval is calculated as follows: </w:t>
            </w:r>
          </w:p>
          <w:p w14:paraId="4F9A14D1" w14:textId="77777777" w:rsidR="00776199" w:rsidRPr="00042023" w:rsidRDefault="00776199" w:rsidP="00776199">
            <w:pPr>
              <w:pStyle w:val="FormulaBold"/>
              <w:rPr>
                <w:b w:val="0"/>
                <w:i/>
              </w:rPr>
            </w:pPr>
            <w:r>
              <w:t>HUBLMP</w:t>
            </w:r>
            <w:r>
              <w:rPr>
                <w:b w:val="0"/>
                <w:i/>
                <w:vertAlign w:val="subscript"/>
              </w:rPr>
              <w:t xml:space="preserve"> ERCOT345Bus, y</w:t>
            </w:r>
            <w:r>
              <w:tab/>
            </w:r>
            <w:r>
              <w:tab/>
              <w:t>=</w:t>
            </w:r>
            <w:r w:rsidRPr="00160702">
              <w:rPr>
                <w:position w:val="-20"/>
              </w:rPr>
              <w:object w:dxaOrig="225" w:dyaOrig="435" w14:anchorId="0A58EF92">
                <v:shape id="_x0000_i1067" type="#_x0000_t75" style="width:12pt;height:24pt" o:ole="">
                  <v:imagedata r:id="rId62" o:title=""/>
                </v:shape>
                <o:OLEObject Type="Embed" ProgID="Equation.3" ShapeID="_x0000_i1067" DrawAspect="Content" ObjectID="_1815025257" r:id="rId68"/>
              </w:object>
            </w:r>
            <w:r>
              <w:t xml:space="preserve">(HUBDF </w:t>
            </w:r>
            <w:r>
              <w:rPr>
                <w:b w:val="0"/>
                <w:i/>
                <w:vertAlign w:val="subscript"/>
              </w:rPr>
              <w:t>hb,ERCOT345Bus</w:t>
            </w:r>
            <w:r>
              <w:rPr>
                <w:b w:val="0"/>
              </w:rPr>
              <w:t xml:space="preserve"> </w:t>
            </w:r>
            <w:r>
              <w:t xml:space="preserve">* RTHBP </w:t>
            </w:r>
            <w:r>
              <w:rPr>
                <w:b w:val="0"/>
                <w:i/>
                <w:vertAlign w:val="subscript"/>
              </w:rPr>
              <w:t>hb, ERCOT345Bus, y</w:t>
            </w:r>
            <w:r w:rsidRPr="00042023">
              <w:t>)</w:t>
            </w:r>
            <w:r>
              <w:t>, if HB</w:t>
            </w:r>
            <w:r>
              <w:rPr>
                <w:vertAlign w:val="subscript"/>
              </w:rPr>
              <w:t xml:space="preserve"> </w:t>
            </w:r>
            <w:r>
              <w:rPr>
                <w:b w:val="0"/>
                <w:i/>
                <w:vertAlign w:val="subscript"/>
              </w:rPr>
              <w:t>ERCOT345Bus</w:t>
            </w:r>
            <w:r>
              <w:t xml:space="preserve"> ≠ 0</w:t>
            </w:r>
          </w:p>
          <w:p w14:paraId="651D80C6" w14:textId="77777777" w:rsidR="00776199" w:rsidRDefault="00776199" w:rsidP="00776199">
            <w:pPr>
              <w:pStyle w:val="FormulaBold"/>
            </w:pPr>
            <w:r>
              <w:t xml:space="preserve">HUBLMP </w:t>
            </w:r>
            <w:r>
              <w:rPr>
                <w:b w:val="0"/>
                <w:i/>
                <w:vertAlign w:val="subscript"/>
              </w:rPr>
              <w:t>ERCOT345Bus, y</w:t>
            </w:r>
            <w:r>
              <w:tab/>
              <w:t>=</w:t>
            </w:r>
            <w:r>
              <w:tab/>
              <w:t>0, if HB</w:t>
            </w:r>
            <w:r>
              <w:rPr>
                <w:vertAlign w:val="subscript"/>
              </w:rPr>
              <w:t xml:space="preserve"> </w:t>
            </w:r>
            <w:r>
              <w:rPr>
                <w:b w:val="0"/>
                <w:i/>
                <w:vertAlign w:val="subscript"/>
              </w:rPr>
              <w:t>ERCOT345Bus</w:t>
            </w:r>
            <w:r>
              <w:t xml:space="preserve"> = 0</w:t>
            </w:r>
          </w:p>
          <w:p w14:paraId="37E20685" w14:textId="77777777" w:rsidR="00776199" w:rsidRDefault="00776199" w:rsidP="00776199">
            <w:pPr>
              <w:pStyle w:val="BodyText"/>
            </w:pPr>
            <w:r>
              <w:t>Where:</w:t>
            </w:r>
          </w:p>
          <w:p w14:paraId="7520E6F1" w14:textId="77777777" w:rsidR="00776199" w:rsidRDefault="00776199" w:rsidP="00776199">
            <w:pPr>
              <w:pStyle w:val="Formula"/>
              <w:ind w:left="2880" w:hanging="2160"/>
            </w:pPr>
            <w:r>
              <w:t xml:space="preserve">RTHBP </w:t>
            </w:r>
            <w:r w:rsidRPr="00C16CDC">
              <w:rPr>
                <w:i/>
                <w:vertAlign w:val="subscript"/>
              </w:rPr>
              <w:t>hb, ERCOT345Bus, y</w:t>
            </w:r>
            <w:r>
              <w:tab/>
              <w:t>=</w:t>
            </w:r>
            <w:r>
              <w:tab/>
            </w:r>
            <w:r w:rsidRPr="00CB13B2">
              <w:rPr>
                <w:position w:val="-20"/>
              </w:rPr>
              <w:object w:dxaOrig="225" w:dyaOrig="420" w14:anchorId="10EB7D19">
                <v:shape id="_x0000_i1068" type="#_x0000_t75" style="width:12pt;height:24pt" o:ole="">
                  <v:imagedata r:id="rId64" o:title=""/>
                </v:shape>
                <o:OLEObject Type="Embed" ProgID="Equation.3" ShapeID="_x0000_i1068" DrawAspect="Content" ObjectID="_1815025258" r:id="rId69"/>
              </w:object>
            </w:r>
            <w:r>
              <w:t xml:space="preserve">(HBDF </w:t>
            </w:r>
            <w:r w:rsidRPr="00C16CDC">
              <w:rPr>
                <w:i/>
                <w:vertAlign w:val="subscript"/>
              </w:rPr>
              <w:t>b, hb, ERCOT345Bus</w:t>
            </w:r>
            <w:r>
              <w:t xml:space="preserve"> * RTLMP </w:t>
            </w:r>
            <w:r w:rsidRPr="00C16CDC">
              <w:rPr>
                <w:i/>
                <w:vertAlign w:val="subscript"/>
              </w:rPr>
              <w:t>b, hb, ERCOT345Bus, y</w:t>
            </w:r>
            <w:r>
              <w:t>)</w:t>
            </w:r>
          </w:p>
          <w:p w14:paraId="0A48A876" w14:textId="77777777" w:rsidR="00776199" w:rsidRPr="004E1A4A" w:rsidRDefault="00776199" w:rsidP="00776199">
            <w:pPr>
              <w:tabs>
                <w:tab w:val="left" w:pos="2340"/>
                <w:tab w:val="left" w:pos="3420"/>
              </w:tabs>
              <w:spacing w:after="240"/>
              <w:ind w:left="4147" w:hanging="3427"/>
              <w:rPr>
                <w:bCs/>
                <w:i/>
              </w:rPr>
            </w:pPr>
            <w:r w:rsidRPr="004E1A4A">
              <w:rPr>
                <w:bCs/>
              </w:rPr>
              <w:t>HUBDF</w:t>
            </w:r>
            <w:r w:rsidRPr="004E1A4A">
              <w:rPr>
                <w:bCs/>
                <w:i/>
              </w:rPr>
              <w:t xml:space="preserve"> </w:t>
            </w:r>
            <w:r w:rsidRPr="004E1A4A">
              <w:rPr>
                <w:bCs/>
                <w:i/>
                <w:vertAlign w:val="subscript"/>
              </w:rPr>
              <w:t>hb, ERCOT345Busc</w:t>
            </w:r>
            <w:r w:rsidRPr="004E1A4A">
              <w:rPr>
                <w:bCs/>
                <w:i/>
              </w:rPr>
              <w:tab/>
              <w:t>=</w:t>
            </w:r>
            <w:r w:rsidRPr="004E1A4A">
              <w:rPr>
                <w:bCs/>
                <w:i/>
                <w:color w:val="000000"/>
              </w:rPr>
              <w:tab/>
            </w:r>
            <w:r w:rsidRPr="004E1A4A">
              <w:rPr>
                <w:bCs/>
                <w:color w:val="000000"/>
              </w:rPr>
              <w:t>IF(HB</w:t>
            </w:r>
            <w:r w:rsidRPr="004E1A4A">
              <w:rPr>
                <w:bCs/>
                <w:vertAlign w:val="subscript"/>
              </w:rPr>
              <w:t xml:space="preserve"> </w:t>
            </w:r>
            <w:r w:rsidRPr="004E1A4A">
              <w:rPr>
                <w:bCs/>
                <w:i/>
                <w:vertAlign w:val="subscript"/>
              </w:rPr>
              <w:t>ERCOT345Bu</w:t>
            </w:r>
            <w:r>
              <w:rPr>
                <w:bCs/>
                <w:i/>
                <w:vertAlign w:val="subscript"/>
              </w:rPr>
              <w:t xml:space="preserve">s </w:t>
            </w:r>
            <w:r w:rsidRPr="004E1A4A">
              <w:rPr>
                <w:bCs/>
                <w:color w:val="000000"/>
              </w:rPr>
              <w:t xml:space="preserve">=0, 0, 1 </w:t>
            </w:r>
            <w:r w:rsidRPr="004E1A4A">
              <w:rPr>
                <w:b/>
                <w:bCs/>
                <w:color w:val="000000"/>
                <w:sz w:val="32"/>
                <w:szCs w:val="32"/>
              </w:rPr>
              <w:t>/</w:t>
            </w:r>
            <w:r w:rsidRPr="004E1A4A">
              <w:rPr>
                <w:bCs/>
                <w:color w:val="000000"/>
              </w:rPr>
              <w:t xml:space="preserve"> HB</w:t>
            </w:r>
            <w:r w:rsidRPr="004E1A4A">
              <w:rPr>
                <w:bCs/>
              </w:rPr>
              <w:t xml:space="preserve"> </w:t>
            </w:r>
            <w:r w:rsidRPr="004E1A4A">
              <w:rPr>
                <w:bCs/>
                <w:i/>
                <w:vertAlign w:val="subscript"/>
              </w:rPr>
              <w:t>ERCOT345Bus</w:t>
            </w:r>
            <w:r w:rsidRPr="004E1A4A">
              <w:rPr>
                <w:bCs/>
              </w:rPr>
              <w:t>)</w:t>
            </w:r>
          </w:p>
          <w:p w14:paraId="2073628D" w14:textId="77777777" w:rsidR="00776199" w:rsidRPr="004E1A4A" w:rsidRDefault="00776199" w:rsidP="00776199">
            <w:pPr>
              <w:tabs>
                <w:tab w:val="left" w:pos="2340"/>
                <w:tab w:val="left" w:pos="3420"/>
              </w:tabs>
              <w:spacing w:after="240"/>
              <w:ind w:left="4147" w:hanging="3427"/>
              <w:rPr>
                <w:bCs/>
                <w:i/>
              </w:rPr>
            </w:pPr>
            <w:r w:rsidRPr="004E1A4A">
              <w:rPr>
                <w:bCs/>
              </w:rPr>
              <w:lastRenderedPageBreak/>
              <w:t>HBDF</w:t>
            </w:r>
            <w:r w:rsidRPr="004E1A4A">
              <w:rPr>
                <w:bCs/>
                <w:i/>
              </w:rPr>
              <w:t xml:space="preserve"> </w:t>
            </w:r>
            <w:r w:rsidRPr="004E1A4A">
              <w:rPr>
                <w:bCs/>
                <w:i/>
                <w:vertAlign w:val="subscript"/>
              </w:rPr>
              <w:t>b, hb, ERCOT345Bus</w:t>
            </w:r>
            <w:r w:rsidRPr="004E1A4A">
              <w:rPr>
                <w:bCs/>
                <w:i/>
              </w:rPr>
              <w:tab/>
              <w:t>=</w:t>
            </w:r>
            <w:r w:rsidRPr="004E1A4A">
              <w:rPr>
                <w:bCs/>
                <w:i/>
              </w:rPr>
              <w:tab/>
            </w:r>
            <w:r>
              <w:rPr>
                <w:bCs/>
              </w:rPr>
              <w:t>IF(</w:t>
            </w:r>
            <w:r w:rsidRPr="004E1A4A">
              <w:rPr>
                <w:bCs/>
              </w:rPr>
              <w:t>B</w:t>
            </w:r>
            <w:r w:rsidRPr="004E1A4A">
              <w:rPr>
                <w:bCs/>
                <w:vertAlign w:val="subscript"/>
              </w:rPr>
              <w:t xml:space="preserve"> </w:t>
            </w:r>
            <w:r>
              <w:rPr>
                <w:bCs/>
                <w:i/>
                <w:vertAlign w:val="subscript"/>
              </w:rPr>
              <w:t xml:space="preserve">hb, ERCOT345Bus </w:t>
            </w:r>
            <w:r w:rsidRPr="004E1A4A">
              <w:rPr>
                <w:bCs/>
              </w:rPr>
              <w:t xml:space="preserve">=0, 0, 1 </w:t>
            </w:r>
            <w:r w:rsidRPr="004E1A4A">
              <w:rPr>
                <w:b/>
                <w:bCs/>
                <w:sz w:val="32"/>
                <w:szCs w:val="32"/>
              </w:rPr>
              <w:t xml:space="preserve">/ </w:t>
            </w:r>
            <w:r w:rsidRPr="004E1A4A">
              <w:rPr>
                <w:bCs/>
              </w:rPr>
              <w:t xml:space="preserve">B </w:t>
            </w:r>
            <w:r>
              <w:rPr>
                <w:bCs/>
                <w:i/>
                <w:vertAlign w:val="subscript"/>
              </w:rPr>
              <w:t>hb, ERCOT345Bus</w:t>
            </w:r>
            <w:r w:rsidRPr="004E1A4A">
              <w:rPr>
                <w:bCs/>
              </w:rPr>
              <w:t>)</w:t>
            </w:r>
          </w:p>
          <w:p w14:paraId="05989118" w14:textId="77777777" w:rsidR="00776199" w:rsidRPr="006733F3" w:rsidRDefault="00776199" w:rsidP="00776199"/>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35"/>
              <w:gridCol w:w="1080"/>
              <w:gridCol w:w="6155"/>
            </w:tblGrid>
            <w:tr w:rsidR="002B516C" w:rsidRPr="008C3CC8" w14:paraId="5A83384A" w14:textId="77777777" w:rsidTr="00745852">
              <w:tc>
                <w:tcPr>
                  <w:tcW w:w="2035" w:type="dxa"/>
                </w:tcPr>
                <w:p w14:paraId="36C7B7DF" w14:textId="77777777" w:rsidR="002B516C" w:rsidRPr="008C3CC8" w:rsidRDefault="002B516C" w:rsidP="002B516C">
                  <w:pPr>
                    <w:pStyle w:val="TableHead"/>
                  </w:pPr>
                  <w:r w:rsidRPr="008C3CC8">
                    <w:t>Variable</w:t>
                  </w:r>
                </w:p>
              </w:tc>
              <w:tc>
                <w:tcPr>
                  <w:tcW w:w="1080" w:type="dxa"/>
                </w:tcPr>
                <w:p w14:paraId="26E5C5D9" w14:textId="77777777" w:rsidR="002B516C" w:rsidRPr="008C3CC8" w:rsidRDefault="002B516C" w:rsidP="002B516C">
                  <w:pPr>
                    <w:pStyle w:val="TableHead"/>
                  </w:pPr>
                  <w:r w:rsidRPr="008C3CC8">
                    <w:t>Unit</w:t>
                  </w:r>
                </w:p>
              </w:tc>
              <w:tc>
                <w:tcPr>
                  <w:tcW w:w="6155" w:type="dxa"/>
                </w:tcPr>
                <w:p w14:paraId="57E3D585" w14:textId="77777777" w:rsidR="002B516C" w:rsidRPr="008C3CC8" w:rsidRDefault="002B516C" w:rsidP="002B516C">
                  <w:pPr>
                    <w:pStyle w:val="TableHead"/>
                  </w:pPr>
                  <w:r w:rsidRPr="008C3CC8">
                    <w:t>Description</w:t>
                  </w:r>
                </w:p>
              </w:tc>
            </w:tr>
            <w:tr w:rsidR="002B516C" w:rsidRPr="008C3CC8" w14:paraId="7EE4D0C2" w14:textId="77777777" w:rsidTr="00745852">
              <w:tc>
                <w:tcPr>
                  <w:tcW w:w="2035" w:type="dxa"/>
                </w:tcPr>
                <w:p w14:paraId="77135B14" w14:textId="74920B09" w:rsidR="002B516C" w:rsidRPr="008C3CC8" w:rsidRDefault="002B516C" w:rsidP="002B516C">
                  <w:pPr>
                    <w:pStyle w:val="TableBody"/>
                  </w:pPr>
                  <w:r>
                    <w:t>HUBLMP</w:t>
                  </w:r>
                  <w:r>
                    <w:rPr>
                      <w:i/>
                      <w:vertAlign w:val="subscript"/>
                    </w:rPr>
                    <w:t xml:space="preserve"> </w:t>
                  </w:r>
                  <w:r w:rsidRPr="008B7A91">
                    <w:rPr>
                      <w:i/>
                      <w:vertAlign w:val="subscript"/>
                    </w:rPr>
                    <w:t>ERCOT345Bus</w:t>
                  </w:r>
                  <w:r>
                    <w:rPr>
                      <w:i/>
                      <w:vertAlign w:val="subscript"/>
                    </w:rPr>
                    <w:t>, y</w:t>
                  </w:r>
                </w:p>
              </w:tc>
              <w:tc>
                <w:tcPr>
                  <w:tcW w:w="1080" w:type="dxa"/>
                </w:tcPr>
                <w:p w14:paraId="3C99F332" w14:textId="21BE540E" w:rsidR="002B516C" w:rsidRPr="008C3CC8" w:rsidRDefault="002B516C" w:rsidP="002B516C">
                  <w:pPr>
                    <w:pStyle w:val="TableBody"/>
                  </w:pPr>
                  <w:r>
                    <w:t>$/MWh</w:t>
                  </w:r>
                </w:p>
              </w:tc>
              <w:tc>
                <w:tcPr>
                  <w:tcW w:w="6155" w:type="dxa"/>
                </w:tcPr>
                <w:p w14:paraId="79139269" w14:textId="1DAB5343" w:rsidR="002B516C" w:rsidRPr="008C3CC8" w:rsidRDefault="002B516C" w:rsidP="002B516C">
                  <w:pPr>
                    <w:pStyle w:val="TableBody"/>
                  </w:pPr>
                  <w:r w:rsidRPr="00042023">
                    <w:rPr>
                      <w:i/>
                    </w:rPr>
                    <w:t>Hub Locational Marginal Price for the ERCOT345</w:t>
                  </w:r>
                  <w:r>
                    <w:rPr>
                      <w:i/>
                    </w:rPr>
                    <w:t>Bus</w:t>
                  </w:r>
                  <w:r w:rsidRPr="008C3CC8">
                    <w:sym w:font="Symbol" w:char="F0BE"/>
                  </w:r>
                  <w:r w:rsidRPr="008C3CC8">
                    <w:t xml:space="preserve">The Hub LMP for the ERCOT </w:t>
                  </w:r>
                  <w:r>
                    <w:t>Bus</w:t>
                  </w:r>
                  <w:r w:rsidRPr="008C3CC8">
                    <w:t xml:space="preserve"> Average 345 kV Hub (ERCOT 345</w:t>
                  </w:r>
                  <w:r>
                    <w:t xml:space="preserve"> Bus</w:t>
                  </w:r>
                  <w:r w:rsidRPr="008C3CC8">
                    <w:t xml:space="preserve">), for the SCED Interval </w:t>
                  </w:r>
                  <w:r w:rsidRPr="006715D1">
                    <w:rPr>
                      <w:i/>
                    </w:rPr>
                    <w:t>y</w:t>
                  </w:r>
                  <w:r w:rsidRPr="008C3CC8">
                    <w:t>.</w:t>
                  </w:r>
                </w:p>
              </w:tc>
            </w:tr>
            <w:tr w:rsidR="002B516C" w:rsidRPr="008C3CC8" w14:paraId="22BC0719" w14:textId="77777777" w:rsidTr="00745852">
              <w:tc>
                <w:tcPr>
                  <w:tcW w:w="2035" w:type="dxa"/>
                </w:tcPr>
                <w:p w14:paraId="2B29A42E" w14:textId="50A5F154" w:rsidR="002B516C" w:rsidRPr="008C3CC8" w:rsidRDefault="002B516C" w:rsidP="002B516C">
                  <w:pPr>
                    <w:pStyle w:val="TableBody"/>
                  </w:pPr>
                  <w:r w:rsidRPr="008C3CC8">
                    <w:t xml:space="preserve">RTHBP </w:t>
                  </w:r>
                  <w:r w:rsidRPr="00107CC2">
                    <w:rPr>
                      <w:i/>
                      <w:vertAlign w:val="subscript"/>
                    </w:rPr>
                    <w:t xml:space="preserve">hb, </w:t>
                  </w:r>
                  <w:r>
                    <w:rPr>
                      <w:i/>
                      <w:vertAlign w:val="subscript"/>
                    </w:rPr>
                    <w:t>ERCOT345Bus</w:t>
                  </w:r>
                  <w:r w:rsidRPr="00107CC2">
                    <w:rPr>
                      <w:i/>
                      <w:vertAlign w:val="subscript"/>
                    </w:rPr>
                    <w:t>, y</w:t>
                  </w:r>
                </w:p>
              </w:tc>
              <w:tc>
                <w:tcPr>
                  <w:tcW w:w="1080" w:type="dxa"/>
                </w:tcPr>
                <w:p w14:paraId="778C3C5E" w14:textId="09280201" w:rsidR="002B516C" w:rsidRPr="008C3CC8" w:rsidRDefault="002B516C" w:rsidP="002B516C">
                  <w:pPr>
                    <w:pStyle w:val="TableBody"/>
                  </w:pPr>
                  <w:r w:rsidRPr="008C3CC8">
                    <w:t>$/MWh</w:t>
                  </w:r>
                </w:p>
              </w:tc>
              <w:tc>
                <w:tcPr>
                  <w:tcW w:w="6155" w:type="dxa"/>
                </w:tcPr>
                <w:p w14:paraId="59F4E32C" w14:textId="5EE195B6" w:rsidR="002B516C" w:rsidRPr="008C3CC8" w:rsidRDefault="002B516C" w:rsidP="002B516C">
                  <w:pPr>
                    <w:pStyle w:val="TableBody"/>
                  </w:pPr>
                  <w:r w:rsidRPr="00042023">
                    <w:rPr>
                      <w:i/>
                    </w:rPr>
                    <w:t>Real-Time Hub Bus Price at Hub Bus per SCED interval</w:t>
                  </w:r>
                  <w:r w:rsidRPr="008C3CC8">
                    <w:sym w:font="Symbol" w:char="F0BE"/>
                  </w:r>
                  <w:r w:rsidRPr="008C3CC8">
                    <w:t xml:space="preserve">The Real-Time energy price at Hub Bus </w:t>
                  </w:r>
                  <w:r w:rsidRPr="00042023">
                    <w:rPr>
                      <w:i/>
                    </w:rPr>
                    <w:t>hb</w:t>
                  </w:r>
                  <w:r w:rsidRPr="008C3CC8">
                    <w:t xml:space="preserve"> </w:t>
                  </w:r>
                  <w:r>
                    <w:t>in ERCOT 345 Bus, f</w:t>
                  </w:r>
                  <w:r w:rsidRPr="008C3CC8">
                    <w:t xml:space="preserve">or the SCED interval </w:t>
                  </w:r>
                  <w:r w:rsidRPr="00042023">
                    <w:rPr>
                      <w:i/>
                    </w:rPr>
                    <w:t>y</w:t>
                  </w:r>
                  <w:r w:rsidRPr="008C3CC8">
                    <w:t>.</w:t>
                  </w:r>
                </w:p>
              </w:tc>
            </w:tr>
            <w:tr w:rsidR="002B516C" w:rsidRPr="008C3CC8" w14:paraId="581E2908" w14:textId="77777777" w:rsidTr="00745852">
              <w:tc>
                <w:tcPr>
                  <w:tcW w:w="2035" w:type="dxa"/>
                </w:tcPr>
                <w:p w14:paraId="22690414" w14:textId="0F394D8C" w:rsidR="002B516C" w:rsidRPr="008C3CC8" w:rsidRDefault="002B516C" w:rsidP="002B516C">
                  <w:pPr>
                    <w:pStyle w:val="TableBody"/>
                  </w:pPr>
                  <w:r>
                    <w:t xml:space="preserve">RTLMP </w:t>
                  </w:r>
                  <w:r w:rsidRPr="008B7A91">
                    <w:rPr>
                      <w:i/>
                      <w:vertAlign w:val="subscript"/>
                    </w:rPr>
                    <w:t>b, hb, ERCOT345Bus, y</w:t>
                  </w:r>
                </w:p>
              </w:tc>
              <w:tc>
                <w:tcPr>
                  <w:tcW w:w="1080" w:type="dxa"/>
                </w:tcPr>
                <w:p w14:paraId="31CE3D5F" w14:textId="2460B2F3" w:rsidR="002B516C" w:rsidRPr="008C3CC8" w:rsidRDefault="002B516C" w:rsidP="002B516C">
                  <w:pPr>
                    <w:pStyle w:val="TableBody"/>
                  </w:pPr>
                  <w:r>
                    <w:t>$/MWh</w:t>
                  </w:r>
                </w:p>
              </w:tc>
              <w:tc>
                <w:tcPr>
                  <w:tcW w:w="6155" w:type="dxa"/>
                </w:tcPr>
                <w:p w14:paraId="501531A3" w14:textId="2CBDEBDF" w:rsidR="002B516C" w:rsidRPr="008C3CC8" w:rsidRDefault="002B516C" w:rsidP="002B516C">
                  <w:pPr>
                    <w:pStyle w:val="TableBody"/>
                  </w:pPr>
                  <w:r>
                    <w:rPr>
                      <w:i/>
                    </w:rPr>
                    <w:t>Real-Time Locational Marginal Price at Electrical Bus of Hub Bus per interval</w:t>
                  </w:r>
                  <w:r>
                    <w:sym w:font="Symbol" w:char="F0BE"/>
                  </w:r>
                  <w:r>
                    <w:t xml:space="preserve">The Real-Time LMP at Electrical Bus </w:t>
                  </w:r>
                  <w:r>
                    <w:rPr>
                      <w:i/>
                    </w:rPr>
                    <w:t>b</w:t>
                  </w:r>
                  <w:r>
                    <w:t xml:space="preserve"> that is a component of Hub Bus </w:t>
                  </w:r>
                  <w:r>
                    <w:rPr>
                      <w:i/>
                    </w:rPr>
                    <w:t>hb</w:t>
                  </w:r>
                  <w:r>
                    <w:t xml:space="preserve"> in ERCOT 345 Bus, for the SCED interval </w:t>
                  </w:r>
                  <w:r>
                    <w:rPr>
                      <w:i/>
                    </w:rPr>
                    <w:t>y</w:t>
                  </w:r>
                  <w:r>
                    <w:t>.</w:t>
                  </w:r>
                </w:p>
              </w:tc>
            </w:tr>
            <w:tr w:rsidR="002B516C" w:rsidRPr="008C3CC8" w14:paraId="439FDF72" w14:textId="77777777" w:rsidTr="00745852">
              <w:tc>
                <w:tcPr>
                  <w:tcW w:w="2035" w:type="dxa"/>
                </w:tcPr>
                <w:p w14:paraId="18190A8D" w14:textId="0D0E8A74" w:rsidR="002B516C" w:rsidRPr="008C3CC8" w:rsidRDefault="002B516C" w:rsidP="002B516C">
                  <w:pPr>
                    <w:pStyle w:val="TableBody"/>
                  </w:pPr>
                  <w:r>
                    <w:t xml:space="preserve">HUBDF </w:t>
                  </w:r>
                  <w:r w:rsidRPr="008B7A91">
                    <w:rPr>
                      <w:i/>
                      <w:vertAlign w:val="subscript"/>
                    </w:rPr>
                    <w:t>hb, ERCOT345Bus</w:t>
                  </w:r>
                </w:p>
              </w:tc>
              <w:tc>
                <w:tcPr>
                  <w:tcW w:w="1080" w:type="dxa"/>
                </w:tcPr>
                <w:p w14:paraId="13B67341" w14:textId="01E23FB6" w:rsidR="002B516C" w:rsidRPr="008C3CC8" w:rsidRDefault="002B516C" w:rsidP="002B516C">
                  <w:pPr>
                    <w:pStyle w:val="TableBody"/>
                  </w:pPr>
                  <w:r>
                    <w:t>none</w:t>
                  </w:r>
                </w:p>
              </w:tc>
              <w:tc>
                <w:tcPr>
                  <w:tcW w:w="6155" w:type="dxa"/>
                </w:tcPr>
                <w:p w14:paraId="597048A6" w14:textId="5FB2EC1A" w:rsidR="002B516C" w:rsidRPr="008C3CC8" w:rsidRDefault="002B516C" w:rsidP="002B516C">
                  <w:pPr>
                    <w:pStyle w:val="TableBody"/>
                  </w:pPr>
                  <w:r>
                    <w:rPr>
                      <w:i/>
                    </w:rPr>
                    <w:t>Hub Distribution Factor per Hub Bus</w:t>
                  </w:r>
                  <w:r>
                    <w:sym w:font="Symbol" w:char="F0BE"/>
                  </w:r>
                  <w:r>
                    <w:t xml:space="preserve">The distribution factor of Hub Bus </w:t>
                  </w:r>
                  <w:r>
                    <w:rPr>
                      <w:i/>
                    </w:rPr>
                    <w:t>hb</w:t>
                  </w:r>
                  <w:r>
                    <w:t xml:space="preserve">.  </w:t>
                  </w:r>
                </w:p>
              </w:tc>
            </w:tr>
            <w:tr w:rsidR="002B516C" w:rsidRPr="008C3CC8" w14:paraId="0A5A88A0" w14:textId="77777777" w:rsidTr="00745852">
              <w:tc>
                <w:tcPr>
                  <w:tcW w:w="2035" w:type="dxa"/>
                </w:tcPr>
                <w:p w14:paraId="674BFBC4" w14:textId="6E188A1F" w:rsidR="002B516C" w:rsidRPr="008C3CC8" w:rsidRDefault="002B516C" w:rsidP="002B516C">
                  <w:pPr>
                    <w:pStyle w:val="TableBody"/>
                  </w:pPr>
                  <w:r>
                    <w:t xml:space="preserve">HBDF </w:t>
                  </w:r>
                  <w:r w:rsidRPr="008B7A91">
                    <w:rPr>
                      <w:i/>
                      <w:vertAlign w:val="subscript"/>
                    </w:rPr>
                    <w:t>b, hb, ERCOT345Bus</w:t>
                  </w:r>
                </w:p>
              </w:tc>
              <w:tc>
                <w:tcPr>
                  <w:tcW w:w="1080" w:type="dxa"/>
                </w:tcPr>
                <w:p w14:paraId="690688DC" w14:textId="3E77AE97" w:rsidR="002B516C" w:rsidRPr="008C3CC8" w:rsidRDefault="002B516C" w:rsidP="002B516C">
                  <w:pPr>
                    <w:pStyle w:val="TableBody"/>
                  </w:pPr>
                  <w:r>
                    <w:t>none</w:t>
                  </w:r>
                </w:p>
              </w:tc>
              <w:tc>
                <w:tcPr>
                  <w:tcW w:w="6155" w:type="dxa"/>
                </w:tcPr>
                <w:p w14:paraId="3ABD4706" w14:textId="10719CEB" w:rsidR="002B516C" w:rsidRPr="008C3CC8" w:rsidRDefault="002B516C" w:rsidP="002B516C">
                  <w:pPr>
                    <w:pStyle w:val="TableBody"/>
                  </w:pPr>
                  <w:r>
                    <w:rPr>
                      <w:i/>
                    </w:rPr>
                    <w:t>Hub Bus Distribution Factor per Electrical Bus of Hub Bus</w:t>
                  </w:r>
                  <w:r>
                    <w:sym w:font="Symbol" w:char="F0BE"/>
                  </w:r>
                  <w:r>
                    <w:t xml:space="preserve">The distribution factor of Electrical Bus </w:t>
                  </w:r>
                  <w:r>
                    <w:rPr>
                      <w:i/>
                    </w:rPr>
                    <w:t>b</w:t>
                  </w:r>
                  <w:r>
                    <w:t xml:space="preserve"> that is a component of Hub Bus </w:t>
                  </w:r>
                  <w:r>
                    <w:rPr>
                      <w:i/>
                    </w:rPr>
                    <w:t>hb</w:t>
                  </w:r>
                  <w:r>
                    <w:t xml:space="preserve">.  </w:t>
                  </w:r>
                </w:p>
              </w:tc>
            </w:tr>
            <w:tr w:rsidR="002B516C" w:rsidRPr="008C3CC8" w14:paraId="0933E4FA" w14:textId="77777777" w:rsidTr="00745852">
              <w:tc>
                <w:tcPr>
                  <w:tcW w:w="2035" w:type="dxa"/>
                </w:tcPr>
                <w:p w14:paraId="4E3814A0" w14:textId="719D907A" w:rsidR="002B516C" w:rsidRPr="008C3CC8" w:rsidRDefault="002B516C" w:rsidP="002B516C">
                  <w:pPr>
                    <w:pStyle w:val="TableBody"/>
                  </w:pPr>
                  <w:r w:rsidRPr="008C3CC8">
                    <w:t>HB</w:t>
                  </w:r>
                  <w:r w:rsidRPr="008C3CC8">
                    <w:rPr>
                      <w:vertAlign w:val="subscript"/>
                    </w:rPr>
                    <w:t xml:space="preserve"> </w:t>
                  </w:r>
                  <w:r>
                    <w:rPr>
                      <w:i/>
                      <w:vertAlign w:val="subscript"/>
                    </w:rPr>
                    <w:t>ERCOT345Bus</w:t>
                  </w:r>
                </w:p>
              </w:tc>
              <w:tc>
                <w:tcPr>
                  <w:tcW w:w="1080" w:type="dxa"/>
                </w:tcPr>
                <w:p w14:paraId="587C284C" w14:textId="44BC7F7F" w:rsidR="002B516C" w:rsidRPr="008C3CC8" w:rsidRDefault="002B516C" w:rsidP="002B516C">
                  <w:pPr>
                    <w:pStyle w:val="TableBody"/>
                  </w:pPr>
                  <w:r w:rsidRPr="008C3CC8">
                    <w:t>none</w:t>
                  </w:r>
                </w:p>
              </w:tc>
              <w:tc>
                <w:tcPr>
                  <w:tcW w:w="6155" w:type="dxa"/>
                </w:tcPr>
                <w:p w14:paraId="2E22D436" w14:textId="0E7409A0" w:rsidR="002B516C" w:rsidRPr="008C3CC8" w:rsidRDefault="002B516C" w:rsidP="002B516C">
                  <w:pPr>
                    <w:pStyle w:val="TableBody"/>
                  </w:pPr>
                  <w:r>
                    <w:t xml:space="preserve">The total number of Hub Buses in </w:t>
                  </w:r>
                  <w:r w:rsidRPr="00DA5173">
                    <w:t>the ERCOT Bus Average 345 kV Hub (ERCOT 345 Bus)</w:t>
                  </w:r>
                  <w:r>
                    <w:t xml:space="preserve"> with at least one energized component in each Hub Bus . The Hub “ERCOT 345 Bus” includes any Hub Bus defined in the Hub “North 345”, “South 345”, “Houston 345” and “West 345”.</w:t>
                  </w:r>
                </w:p>
              </w:tc>
            </w:tr>
            <w:tr w:rsidR="002B516C" w:rsidRPr="008C3CC8" w14:paraId="3A68B10A" w14:textId="77777777" w:rsidTr="00745852">
              <w:tc>
                <w:tcPr>
                  <w:tcW w:w="2035" w:type="dxa"/>
                </w:tcPr>
                <w:p w14:paraId="26E3F7A1" w14:textId="14A1F47A" w:rsidR="002B516C" w:rsidRPr="008C3CC8" w:rsidRDefault="002B516C" w:rsidP="002B516C">
                  <w:pPr>
                    <w:pStyle w:val="TableBody"/>
                  </w:pPr>
                  <w:r>
                    <w:t xml:space="preserve">B </w:t>
                  </w:r>
                  <w:r w:rsidRPr="008B7A91">
                    <w:rPr>
                      <w:i/>
                      <w:vertAlign w:val="subscript"/>
                    </w:rPr>
                    <w:t xml:space="preserve">hb, </w:t>
                  </w:r>
                  <w:r>
                    <w:rPr>
                      <w:i/>
                      <w:vertAlign w:val="subscript"/>
                    </w:rPr>
                    <w:t>ERCOT</w:t>
                  </w:r>
                  <w:r w:rsidRPr="008B7A91">
                    <w:rPr>
                      <w:i/>
                      <w:vertAlign w:val="subscript"/>
                    </w:rPr>
                    <w:t>345</w:t>
                  </w:r>
                  <w:r>
                    <w:rPr>
                      <w:i/>
                      <w:vertAlign w:val="subscript"/>
                    </w:rPr>
                    <w:t>Bus</w:t>
                  </w:r>
                </w:p>
              </w:tc>
              <w:tc>
                <w:tcPr>
                  <w:tcW w:w="1080" w:type="dxa"/>
                </w:tcPr>
                <w:p w14:paraId="129FA6CB" w14:textId="242CAC63" w:rsidR="002B516C" w:rsidRPr="008C3CC8" w:rsidRDefault="002B516C" w:rsidP="002B516C">
                  <w:pPr>
                    <w:pStyle w:val="TableBody"/>
                  </w:pPr>
                  <w:r>
                    <w:t>none</w:t>
                  </w:r>
                </w:p>
              </w:tc>
              <w:tc>
                <w:tcPr>
                  <w:tcW w:w="6155" w:type="dxa"/>
                </w:tcPr>
                <w:p w14:paraId="11CE8248" w14:textId="60DE110E" w:rsidR="002B516C" w:rsidRPr="008C3CC8" w:rsidRDefault="002B516C" w:rsidP="002B516C">
                  <w:pPr>
                    <w:pStyle w:val="TableBody"/>
                  </w:pPr>
                  <w:r>
                    <w:t xml:space="preserve">The total number of energized Electrical Buses in Hub Bus </w:t>
                  </w:r>
                  <w:r>
                    <w:rPr>
                      <w:i/>
                    </w:rPr>
                    <w:t>hb</w:t>
                  </w:r>
                  <w:r>
                    <w:t xml:space="preserve"> that is a component of “ERCOT 345 Bus”.</w:t>
                  </w:r>
                </w:p>
              </w:tc>
            </w:tr>
            <w:tr w:rsidR="002B516C" w:rsidRPr="008C3CC8" w14:paraId="1FAA5F7C" w14:textId="77777777" w:rsidTr="00745852">
              <w:tc>
                <w:tcPr>
                  <w:tcW w:w="2035" w:type="dxa"/>
                </w:tcPr>
                <w:p w14:paraId="5D5C9EE7" w14:textId="42411DAD" w:rsidR="002B516C" w:rsidRPr="008C3CC8" w:rsidRDefault="002B516C" w:rsidP="002B516C">
                  <w:pPr>
                    <w:pStyle w:val="TableBody"/>
                  </w:pPr>
                  <w:r>
                    <w:rPr>
                      <w:i/>
                    </w:rPr>
                    <w:t>h</w:t>
                  </w:r>
                  <w:r w:rsidRPr="008B7A91">
                    <w:rPr>
                      <w:i/>
                    </w:rPr>
                    <w:t>b</w:t>
                  </w:r>
                </w:p>
              </w:tc>
              <w:tc>
                <w:tcPr>
                  <w:tcW w:w="1080" w:type="dxa"/>
                </w:tcPr>
                <w:p w14:paraId="4548EEB1" w14:textId="571C5CA6" w:rsidR="002B516C" w:rsidRPr="008C3CC8" w:rsidRDefault="002B516C" w:rsidP="002B516C">
                  <w:pPr>
                    <w:pStyle w:val="TableBody"/>
                  </w:pPr>
                  <w:r>
                    <w:t>none</w:t>
                  </w:r>
                </w:p>
              </w:tc>
              <w:tc>
                <w:tcPr>
                  <w:tcW w:w="6155" w:type="dxa"/>
                </w:tcPr>
                <w:p w14:paraId="19F9CFEC" w14:textId="761B2E3C" w:rsidR="002B516C" w:rsidRPr="008C3CC8" w:rsidRDefault="002B516C" w:rsidP="002B516C">
                  <w:pPr>
                    <w:pStyle w:val="TableBody"/>
                  </w:pPr>
                  <w:r>
                    <w:t xml:space="preserve">A Hub Bus that is a component of the </w:t>
                  </w:r>
                  <w:r w:rsidRPr="00363A57">
                    <w:t>ERCOT Bus Average 345 kV Hub (ERCOT 345 Bus)</w:t>
                  </w:r>
                  <w:r>
                    <w:t xml:space="preserve"> with at least one energized component. The Hub “ERCOT 345 Bus” includes any Hub Bus defined in the Hub “North 345”, “South 345”, “Houston 345” and “West 345”.</w:t>
                  </w:r>
                </w:p>
              </w:tc>
            </w:tr>
            <w:tr w:rsidR="002B516C" w:rsidRPr="008C3CC8" w14:paraId="1A39F31A" w14:textId="77777777" w:rsidTr="00745852">
              <w:tc>
                <w:tcPr>
                  <w:tcW w:w="2035" w:type="dxa"/>
                </w:tcPr>
                <w:p w14:paraId="661DEE36" w14:textId="0BC99D26" w:rsidR="002B516C" w:rsidRPr="008C3CC8" w:rsidRDefault="002B516C" w:rsidP="002B516C">
                  <w:pPr>
                    <w:pStyle w:val="TableBody"/>
                  </w:pPr>
                  <w:r w:rsidRPr="008B7A91">
                    <w:rPr>
                      <w:i/>
                    </w:rPr>
                    <w:t>y</w:t>
                  </w:r>
                </w:p>
              </w:tc>
              <w:tc>
                <w:tcPr>
                  <w:tcW w:w="1080" w:type="dxa"/>
                </w:tcPr>
                <w:p w14:paraId="2548897A" w14:textId="509E7D44" w:rsidR="002B516C" w:rsidRPr="008C3CC8" w:rsidRDefault="002B516C" w:rsidP="002B516C">
                  <w:pPr>
                    <w:pStyle w:val="TableBody"/>
                  </w:pPr>
                  <w:r>
                    <w:t>none</w:t>
                  </w:r>
                </w:p>
              </w:tc>
              <w:tc>
                <w:tcPr>
                  <w:tcW w:w="6155" w:type="dxa"/>
                </w:tcPr>
                <w:p w14:paraId="6ACECA76" w14:textId="6B3877F6" w:rsidR="002B516C" w:rsidRPr="008C3CC8" w:rsidRDefault="002B516C" w:rsidP="002B516C">
                  <w:pPr>
                    <w:pStyle w:val="TableBody"/>
                  </w:pPr>
                  <w:r>
                    <w:t>A SCED interval in the 15-minute Settlement Interval.  The summation is over the total number of SCED runs that cover the 15-minute Settlement Interval.</w:t>
                  </w:r>
                </w:p>
              </w:tc>
            </w:tr>
            <w:tr w:rsidR="002B516C" w:rsidRPr="008C3CC8" w14:paraId="69D648FF" w14:textId="77777777" w:rsidTr="00745852">
              <w:tc>
                <w:tcPr>
                  <w:tcW w:w="2035" w:type="dxa"/>
                </w:tcPr>
                <w:p w14:paraId="3C2FE504" w14:textId="705F0589" w:rsidR="002B516C" w:rsidRPr="008C3CC8" w:rsidRDefault="002B516C" w:rsidP="002B516C">
                  <w:pPr>
                    <w:pStyle w:val="TableBody"/>
                  </w:pPr>
                  <w:r>
                    <w:rPr>
                      <w:i/>
                    </w:rPr>
                    <w:t>b</w:t>
                  </w:r>
                </w:p>
              </w:tc>
              <w:tc>
                <w:tcPr>
                  <w:tcW w:w="1080" w:type="dxa"/>
                </w:tcPr>
                <w:p w14:paraId="1471A99D" w14:textId="08644BA3" w:rsidR="002B516C" w:rsidRPr="008C3CC8" w:rsidRDefault="002B516C" w:rsidP="002B516C">
                  <w:pPr>
                    <w:pStyle w:val="TableBody"/>
                  </w:pPr>
                  <w:r>
                    <w:t>none</w:t>
                  </w:r>
                </w:p>
              </w:tc>
              <w:tc>
                <w:tcPr>
                  <w:tcW w:w="6155" w:type="dxa"/>
                </w:tcPr>
                <w:p w14:paraId="6784B9BC" w14:textId="0AB6713A" w:rsidR="002B516C" w:rsidRPr="008C3CC8" w:rsidRDefault="002B516C" w:rsidP="002B516C">
                  <w:pPr>
                    <w:pStyle w:val="TableBody"/>
                  </w:pPr>
                  <w:r>
                    <w:t>An energized Electrical Bus that is a component of a Hub Bus.</w:t>
                  </w:r>
                </w:p>
              </w:tc>
            </w:tr>
          </w:tbl>
          <w:p w14:paraId="72659928" w14:textId="77777777" w:rsidR="00776199" w:rsidRPr="00DD7476" w:rsidRDefault="00776199" w:rsidP="00776199">
            <w:pPr>
              <w:pStyle w:val="BodyTextNumbered"/>
              <w:ind w:left="0" w:firstLine="0"/>
            </w:pPr>
          </w:p>
        </w:tc>
      </w:tr>
    </w:tbl>
    <w:p w14:paraId="304E1768" w14:textId="77777777" w:rsidR="00776199" w:rsidRPr="003F739B" w:rsidRDefault="00776199" w:rsidP="003F739B">
      <w:pPr>
        <w:pStyle w:val="BodyText"/>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F739B" w14:paraId="31EEA802" w14:textId="77777777" w:rsidTr="00954FBC">
        <w:trPr>
          <w:trHeight w:val="206"/>
        </w:trPr>
        <w:tc>
          <w:tcPr>
            <w:tcW w:w="9350" w:type="dxa"/>
            <w:shd w:val="pct12" w:color="auto" w:fill="auto"/>
          </w:tcPr>
          <w:p w14:paraId="7916B636" w14:textId="528D074A" w:rsidR="003F739B" w:rsidRDefault="003F739B" w:rsidP="00EC5231">
            <w:pPr>
              <w:pStyle w:val="Instructions"/>
              <w:spacing w:before="120"/>
            </w:pPr>
            <w:r>
              <w:t>[NPRR1010:  Insert Section 6.6.1.6 below upon system implementation of the Real-Time Co-Optimization (RTC) project:]</w:t>
            </w:r>
          </w:p>
          <w:p w14:paraId="76A5827C" w14:textId="77777777" w:rsidR="00954FBC" w:rsidRDefault="00954FBC" w:rsidP="00954FBC">
            <w:pPr>
              <w:keepNext/>
              <w:widowControl w:val="0"/>
              <w:spacing w:before="240" w:after="240"/>
              <w:outlineLvl w:val="3"/>
              <w:rPr>
                <w:b/>
                <w:bCs/>
                <w:snapToGrid w:val="0"/>
              </w:rPr>
            </w:pPr>
            <w:bookmarkStart w:id="1761" w:name="_Toc204411653"/>
            <w:r w:rsidRPr="003161DC">
              <w:rPr>
                <w:b/>
                <w:bCs/>
                <w:snapToGrid w:val="0"/>
              </w:rPr>
              <w:t>6.6.1.</w:t>
            </w:r>
            <w:r>
              <w:rPr>
                <w:b/>
                <w:bCs/>
                <w:snapToGrid w:val="0"/>
              </w:rPr>
              <w:t>6</w:t>
            </w:r>
            <w:r w:rsidRPr="003161DC">
              <w:rPr>
                <w:b/>
                <w:bCs/>
                <w:snapToGrid w:val="0"/>
              </w:rPr>
              <w:tab/>
            </w:r>
            <w:r w:rsidRPr="003161DC">
              <w:rPr>
                <w:b/>
                <w:bCs/>
                <w:snapToGrid w:val="0"/>
              </w:rPr>
              <w:tab/>
            </w:r>
            <w:r>
              <w:rPr>
                <w:b/>
                <w:bCs/>
                <w:snapToGrid w:val="0"/>
              </w:rPr>
              <w:t>Real-Time Market Clearing Prices for Ancillary Services</w:t>
            </w:r>
            <w:bookmarkEnd w:id="1761"/>
          </w:p>
          <w:p w14:paraId="468BBF84" w14:textId="77777777" w:rsidR="00954FBC" w:rsidRDefault="00954FBC" w:rsidP="00954FBC">
            <w:pPr>
              <w:spacing w:after="240"/>
              <w:ind w:left="720" w:hanging="720"/>
            </w:pPr>
            <w:r w:rsidRPr="003161DC">
              <w:t>(1)</w:t>
            </w:r>
            <w:r w:rsidRPr="003161DC">
              <w:tab/>
              <w:t xml:space="preserve">The Real-Time </w:t>
            </w:r>
            <w:r>
              <w:t>Market Clearing Price for Capacity (MCPC) for Reg-Up</w:t>
            </w:r>
            <w:r w:rsidRPr="003161DC">
              <w:t xml:space="preserve"> is the time-weighted average of the sum of the Real-Time </w:t>
            </w:r>
            <w:r>
              <w:t xml:space="preserve">MCPCs for Reg-Up and </w:t>
            </w:r>
            <w:r w:rsidRPr="003161DC">
              <w:t>Real-Time Reliability Deployment Price Adder</w:t>
            </w:r>
            <w:r>
              <w:t xml:space="preserve"> for Ancillary Service for Reg-Up of each SCED interval in the 15-minute Settlement Interval</w:t>
            </w:r>
            <w:r w:rsidRPr="003161DC">
              <w:t xml:space="preserve">.  The Real-Time </w:t>
            </w:r>
            <w:r>
              <w:t>MCPC for Reg-Up</w:t>
            </w:r>
            <w:r w:rsidRPr="003161DC">
              <w:t xml:space="preserve"> for a 15-minute Settlement Interval is calculated as follows:</w:t>
            </w:r>
          </w:p>
          <w:p w14:paraId="7A3EF727" w14:textId="4B253295" w:rsidR="00954FBC" w:rsidRPr="00C3449C" w:rsidRDefault="00954FBC" w:rsidP="00954FBC">
            <w:pPr>
              <w:pStyle w:val="FormulaBold"/>
              <w:rPr>
                <w:i/>
                <w:vertAlign w:val="subscript"/>
              </w:rPr>
            </w:pPr>
            <w:r w:rsidRPr="00C3449C">
              <w:t xml:space="preserve">RTMCPCRU  =   </w:t>
            </w:r>
            <w:r w:rsidRPr="00C3449C">
              <w:rPr>
                <w:position w:val="-22"/>
              </w:rPr>
              <w:object w:dxaOrig="225" w:dyaOrig="465" w14:anchorId="35FF8C73">
                <v:shape id="_x0000_i1069" type="#_x0000_t75" style="width:24pt;height:18pt" o:ole="">
                  <v:imagedata r:id="rId22" o:title=""/>
                </v:shape>
                <o:OLEObject Type="Embed" ProgID="Equation.3" ShapeID="_x0000_i1069" DrawAspect="Content" ObjectID="_1815025259" r:id="rId70"/>
              </w:object>
            </w:r>
            <w:r w:rsidRPr="00C3449C">
              <w:t xml:space="preserve"> (RNWF </w:t>
            </w:r>
            <w:r w:rsidRPr="00C3449C">
              <w:rPr>
                <w:i/>
                <w:vertAlign w:val="subscript"/>
              </w:rPr>
              <w:t>y</w:t>
            </w:r>
            <w:r w:rsidRPr="00C3449C">
              <w:t xml:space="preserve"> * </w:t>
            </w:r>
            <w:r>
              <w:t>(</w:t>
            </w:r>
            <w:r w:rsidRPr="00C3449C">
              <w:t xml:space="preserve">RTMCPCRUS </w:t>
            </w:r>
            <w:r w:rsidRPr="00C3449C">
              <w:rPr>
                <w:i/>
                <w:vertAlign w:val="subscript"/>
              </w:rPr>
              <w:t>y</w:t>
            </w:r>
            <w:r w:rsidRPr="00D16F57">
              <w:t xml:space="preserve"> </w:t>
            </w:r>
            <w:r>
              <w:t xml:space="preserve">+ </w:t>
            </w:r>
            <w:r w:rsidRPr="00C3223E">
              <w:t>RTR</w:t>
            </w:r>
            <w:r>
              <w:t>D</w:t>
            </w:r>
            <w:r w:rsidRPr="00A4635A">
              <w:t>PAR</w:t>
            </w:r>
            <w:r w:rsidRPr="00C3223E">
              <w:t>U</w:t>
            </w:r>
            <w:r>
              <w:t xml:space="preserve">S </w:t>
            </w:r>
            <w:r w:rsidRPr="008F0B2B">
              <w:rPr>
                <w:i/>
                <w:iCs/>
                <w:vertAlign w:val="subscript"/>
              </w:rPr>
              <w:t>y</w:t>
            </w:r>
            <w:r w:rsidRPr="00D8145C">
              <w:t>)</w:t>
            </w:r>
            <w:r>
              <w:t>)</w:t>
            </w:r>
          </w:p>
          <w:p w14:paraId="5C9C88F4" w14:textId="77777777" w:rsidR="00954FBC" w:rsidRDefault="00954FBC" w:rsidP="00954FBC">
            <w:pPr>
              <w:pStyle w:val="BodyTextNumbered"/>
              <w:ind w:left="0" w:firstLine="0"/>
            </w:pPr>
            <w:r>
              <w:lastRenderedPageBreak/>
              <w:t>Where:</w:t>
            </w:r>
          </w:p>
          <w:p w14:paraId="7C3EE728" w14:textId="73163EA7"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27BBD7B1">
                <v:shape id="_x0000_i1070" type="#_x0000_t75" style="width:24pt;height:18pt" o:ole="">
                  <v:imagedata r:id="rId22" o:title=""/>
                </v:shape>
                <o:OLEObject Type="Embed" ProgID="Equation.3" ShapeID="_x0000_i1070" DrawAspect="Content" ObjectID="_1815025260" r:id="rId71"/>
              </w:object>
            </w:r>
            <w:r>
              <w:t xml:space="preserve">TLMP </w:t>
            </w:r>
            <w:r>
              <w:rPr>
                <w:i/>
                <w:vertAlign w:val="subscript"/>
              </w:rPr>
              <w:t>y</w:t>
            </w:r>
          </w:p>
          <w:p w14:paraId="1436E6AA"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6589E775"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193BC86C"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2584A7B6"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6D22A7BD" w14:textId="77777777" w:rsidR="00954FBC" w:rsidRDefault="00954FBC" w:rsidP="00954FBC">
                  <w:pPr>
                    <w:pStyle w:val="TableHead"/>
                  </w:pPr>
                  <w:r>
                    <w:t>Description</w:t>
                  </w:r>
                </w:p>
              </w:tc>
            </w:tr>
            <w:tr w:rsidR="00954FBC" w14:paraId="2F6AAF89"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6815F9F" w14:textId="77777777" w:rsidR="00954FBC" w:rsidRDefault="00954FBC" w:rsidP="00954FBC">
                  <w:pPr>
                    <w:pStyle w:val="tablebody0"/>
                  </w:pPr>
                  <w:r>
                    <w:t xml:space="preserve">RTMCPCRU </w:t>
                  </w:r>
                </w:p>
              </w:tc>
              <w:tc>
                <w:tcPr>
                  <w:tcW w:w="631" w:type="pct"/>
                  <w:tcBorders>
                    <w:top w:val="single" w:sz="4" w:space="0" w:color="auto"/>
                    <w:left w:val="single" w:sz="4" w:space="0" w:color="auto"/>
                    <w:bottom w:val="single" w:sz="4" w:space="0" w:color="auto"/>
                    <w:right w:val="single" w:sz="4" w:space="0" w:color="auto"/>
                  </w:tcBorders>
                  <w:hideMark/>
                </w:tcPr>
                <w:p w14:paraId="5C3E5B15"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5F392C70" w14:textId="77777777" w:rsidR="00954FBC" w:rsidRDefault="00954FBC" w:rsidP="00954FBC">
                  <w:pPr>
                    <w:pStyle w:val="tablebody0"/>
                    <w:rPr>
                      <w:i/>
                    </w:rPr>
                  </w:pPr>
                  <w:r>
                    <w:rPr>
                      <w:i/>
                      <w:szCs w:val="18"/>
                    </w:rPr>
                    <w:t>Real-Time Market Clearing Price for Capacity for Reg-Up -</w:t>
                  </w:r>
                  <w:r>
                    <w:t xml:space="preserve"> The Real-Time MCPC for Reg-Up for the 15-minute Settlement Interval.</w:t>
                  </w:r>
                </w:p>
              </w:tc>
            </w:tr>
            <w:tr w:rsidR="00954FBC" w14:paraId="592704C0"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2ADCF55C" w14:textId="77777777" w:rsidR="00954FBC" w:rsidRDefault="00954FBC" w:rsidP="00954FBC">
                  <w:pPr>
                    <w:pStyle w:val="tablebody0"/>
                  </w:pPr>
                  <w:r>
                    <w:t>RTMCPCRUS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79BD950C"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790BEA43" w14:textId="77777777" w:rsidR="00954FBC" w:rsidRDefault="00954FBC" w:rsidP="00954FBC">
                  <w:pPr>
                    <w:pStyle w:val="tablebody0"/>
                    <w:rPr>
                      <w:i/>
                      <w:szCs w:val="18"/>
                    </w:rPr>
                  </w:pPr>
                  <w:r>
                    <w:rPr>
                      <w:i/>
                      <w:szCs w:val="18"/>
                    </w:rPr>
                    <w:t xml:space="preserve">Real-Time Market Clearing Price for Capacity for Reg-Up </w:t>
                  </w:r>
                  <w:r>
                    <w:rPr>
                      <w:i/>
                    </w:rPr>
                    <w:t xml:space="preserve">per SCED interval </w:t>
                  </w:r>
                  <w:r>
                    <w:rPr>
                      <w:i/>
                      <w:szCs w:val="18"/>
                    </w:rPr>
                    <w:t>-</w:t>
                  </w:r>
                  <w:r>
                    <w:t xml:space="preserve"> The Real-Time MCPC for Reg-Up for the SCED interval </w:t>
                  </w:r>
                  <w:r>
                    <w:rPr>
                      <w:i/>
                    </w:rPr>
                    <w:t>y.</w:t>
                  </w:r>
                </w:p>
              </w:tc>
            </w:tr>
            <w:tr w:rsidR="00954FBC" w:rsidRPr="00234E94" w14:paraId="50164B14" w14:textId="77777777" w:rsidTr="00F12B75">
              <w:trPr>
                <w:cantSplit/>
              </w:trPr>
              <w:tc>
                <w:tcPr>
                  <w:tcW w:w="1295" w:type="pct"/>
                </w:tcPr>
                <w:p w14:paraId="48EE0FB1" w14:textId="77777777" w:rsidR="00954FBC" w:rsidRPr="00234E94" w:rsidRDefault="00954FBC" w:rsidP="00954FBC">
                  <w:pPr>
                    <w:pStyle w:val="tablebody0"/>
                    <w:rPr>
                      <w:i/>
                    </w:rPr>
                  </w:pPr>
                  <w:r w:rsidRPr="000C2EDA">
                    <w:t>RTR</w:t>
                  </w:r>
                  <w:r>
                    <w:t>D</w:t>
                  </w:r>
                  <w:r w:rsidRPr="000C2EDA">
                    <w:t>PA</w:t>
                  </w:r>
                  <w:r>
                    <w:t>RUS</w:t>
                  </w:r>
                  <w:r>
                    <w:rPr>
                      <w:rFonts w:ascii="Segoe UI" w:hAnsi="Segoe UI" w:cs="Segoe UI"/>
                      <w:color w:val="000000"/>
                    </w:rPr>
                    <w:t xml:space="preserve"> </w:t>
                  </w:r>
                  <w:r w:rsidRPr="00BE2778">
                    <w:rPr>
                      <w:i/>
                      <w:vertAlign w:val="subscript"/>
                    </w:rPr>
                    <w:t>y</w:t>
                  </w:r>
                </w:p>
              </w:tc>
              <w:tc>
                <w:tcPr>
                  <w:tcW w:w="631" w:type="pct"/>
                </w:tcPr>
                <w:p w14:paraId="6FDCE040" w14:textId="77777777" w:rsidR="00954FBC" w:rsidRPr="00234E94" w:rsidRDefault="00954FBC" w:rsidP="00954FBC">
                  <w:pPr>
                    <w:pStyle w:val="tablebody0"/>
                  </w:pPr>
                  <w:r w:rsidRPr="00536A53">
                    <w:t>$/MW</w:t>
                  </w:r>
                </w:p>
              </w:tc>
              <w:tc>
                <w:tcPr>
                  <w:tcW w:w="3074" w:type="pct"/>
                </w:tcPr>
                <w:p w14:paraId="0793E71F" w14:textId="77777777" w:rsidR="00954FBC" w:rsidRPr="00234E94" w:rsidRDefault="00954FBC" w:rsidP="00954FBC">
                  <w:pPr>
                    <w:pStyle w:val="tablebody0"/>
                  </w:pPr>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p>
              </w:tc>
            </w:tr>
            <w:tr w:rsidR="00954FBC" w:rsidRPr="00234E94" w14:paraId="0F75302B" w14:textId="77777777" w:rsidTr="00F12B75">
              <w:trPr>
                <w:cantSplit/>
              </w:trPr>
              <w:tc>
                <w:tcPr>
                  <w:tcW w:w="1295" w:type="pct"/>
                </w:tcPr>
                <w:p w14:paraId="024B2EAA" w14:textId="77777777" w:rsidR="00954FBC" w:rsidRPr="000C2EDA" w:rsidRDefault="00954FBC" w:rsidP="00954FBC">
                  <w:pPr>
                    <w:pStyle w:val="tablebody0"/>
                  </w:pPr>
                  <w:r w:rsidRPr="003161DC">
                    <w:rPr>
                      <w:iCs/>
                    </w:rPr>
                    <w:t xml:space="preserve">RNWF </w:t>
                  </w:r>
                  <w:r w:rsidRPr="003161DC">
                    <w:rPr>
                      <w:i/>
                      <w:iCs/>
                      <w:vertAlign w:val="subscript"/>
                    </w:rPr>
                    <w:t>y</w:t>
                  </w:r>
                </w:p>
              </w:tc>
              <w:tc>
                <w:tcPr>
                  <w:tcW w:w="631" w:type="pct"/>
                </w:tcPr>
                <w:p w14:paraId="1949CE8E" w14:textId="77777777" w:rsidR="00954FBC" w:rsidRPr="00536A53" w:rsidRDefault="00954FBC" w:rsidP="00954FBC">
                  <w:pPr>
                    <w:pStyle w:val="tablebody0"/>
                  </w:pPr>
                  <w:r w:rsidRPr="003161DC">
                    <w:rPr>
                      <w:iCs/>
                    </w:rPr>
                    <w:t>none</w:t>
                  </w:r>
                </w:p>
              </w:tc>
              <w:tc>
                <w:tcPr>
                  <w:tcW w:w="3074" w:type="pct"/>
                </w:tcPr>
                <w:p w14:paraId="3F85EA2A" w14:textId="77777777" w:rsidR="00954FBC" w:rsidRPr="00691E57" w:rsidRDefault="00954FBC" w:rsidP="00954FBC">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4B5A14C2" w14:textId="77777777" w:rsidTr="00F12B75">
              <w:trPr>
                <w:cantSplit/>
              </w:trPr>
              <w:tc>
                <w:tcPr>
                  <w:tcW w:w="1295" w:type="pct"/>
                </w:tcPr>
                <w:p w14:paraId="1DC58C1C" w14:textId="77777777" w:rsidR="00954FBC" w:rsidRPr="000C2EDA" w:rsidRDefault="00954FBC" w:rsidP="00954FBC">
                  <w:pPr>
                    <w:pStyle w:val="tablebody0"/>
                  </w:pPr>
                  <w:r w:rsidRPr="003161DC">
                    <w:rPr>
                      <w:iCs/>
                    </w:rPr>
                    <w:t xml:space="preserve">TLMP </w:t>
                  </w:r>
                  <w:r w:rsidRPr="003161DC">
                    <w:rPr>
                      <w:i/>
                      <w:iCs/>
                      <w:vertAlign w:val="subscript"/>
                    </w:rPr>
                    <w:t>y</w:t>
                  </w:r>
                </w:p>
              </w:tc>
              <w:tc>
                <w:tcPr>
                  <w:tcW w:w="631" w:type="pct"/>
                </w:tcPr>
                <w:p w14:paraId="3E9CC146" w14:textId="77777777" w:rsidR="00954FBC" w:rsidRPr="00536A53" w:rsidRDefault="00954FBC" w:rsidP="00954FBC">
                  <w:pPr>
                    <w:pStyle w:val="tablebody0"/>
                  </w:pPr>
                  <w:r w:rsidRPr="003161DC">
                    <w:rPr>
                      <w:iCs/>
                    </w:rPr>
                    <w:t>second</w:t>
                  </w:r>
                </w:p>
              </w:tc>
              <w:tc>
                <w:tcPr>
                  <w:tcW w:w="3074" w:type="pct"/>
                </w:tcPr>
                <w:p w14:paraId="1EAF6FA0" w14:textId="77777777" w:rsidR="00954FBC" w:rsidRPr="00691E57" w:rsidRDefault="00954FBC" w:rsidP="00954FBC">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224F10B0" w14:textId="77777777" w:rsidTr="00F12B75">
              <w:trPr>
                <w:cantSplit/>
              </w:trPr>
              <w:tc>
                <w:tcPr>
                  <w:tcW w:w="1295" w:type="pct"/>
                </w:tcPr>
                <w:p w14:paraId="59DB22D4" w14:textId="77777777" w:rsidR="00954FBC" w:rsidRPr="00234E94" w:rsidRDefault="00954FBC" w:rsidP="00954FBC">
                  <w:pPr>
                    <w:pStyle w:val="tablebody0"/>
                    <w:rPr>
                      <w:i/>
                    </w:rPr>
                  </w:pPr>
                  <w:r w:rsidRPr="00234E94">
                    <w:rPr>
                      <w:i/>
                    </w:rPr>
                    <w:t>y</w:t>
                  </w:r>
                </w:p>
              </w:tc>
              <w:tc>
                <w:tcPr>
                  <w:tcW w:w="631" w:type="pct"/>
                </w:tcPr>
                <w:p w14:paraId="46D3FC60" w14:textId="77777777" w:rsidR="00954FBC" w:rsidRPr="00234E94" w:rsidRDefault="00954FBC" w:rsidP="00954FBC">
                  <w:pPr>
                    <w:pStyle w:val="tablebody0"/>
                  </w:pPr>
                  <w:r w:rsidRPr="00234E94">
                    <w:t>none</w:t>
                  </w:r>
                </w:p>
              </w:tc>
              <w:tc>
                <w:tcPr>
                  <w:tcW w:w="3074" w:type="pct"/>
                </w:tcPr>
                <w:p w14:paraId="4D85D527" w14:textId="77777777" w:rsidR="00954FBC" w:rsidRPr="00234E94" w:rsidRDefault="00954FBC" w:rsidP="00954FBC">
                  <w:pPr>
                    <w:pStyle w:val="tablebody0"/>
                  </w:pPr>
                  <w:r w:rsidRPr="00234E94">
                    <w:t>A SCED interval in the 15-minute Settlement Interval.</w:t>
                  </w:r>
                </w:p>
              </w:tc>
            </w:tr>
          </w:tbl>
          <w:p w14:paraId="4E3FE968" w14:textId="77777777" w:rsidR="00954FBC" w:rsidRDefault="00954FBC" w:rsidP="00954FBC">
            <w:pPr>
              <w:spacing w:before="240" w:after="240"/>
              <w:ind w:left="720" w:hanging="720"/>
            </w:pPr>
            <w:r>
              <w:rPr>
                <w:bCs/>
                <w:snapToGrid w:val="0"/>
              </w:rPr>
              <w:t>(2)</w:t>
            </w:r>
            <w:r>
              <w:t xml:space="preserve"> </w:t>
            </w:r>
            <w:r>
              <w:tab/>
              <w:t>The Real-Time MCPC for Reg-Down is the time-weighted average of the sum of the Real-Time MCPCs for Reg-Down and Real-Time Reliability Deployment Price Adder for Ancillary Service for Reg-Down of each SCED interval in the 15-minute Settlement Interval.  The Real-Time MCPC for Reg-Down for a 15-minute Settlement Interval is calculated as follows:</w:t>
            </w:r>
          </w:p>
          <w:p w14:paraId="04EA20D6" w14:textId="47D11FF7" w:rsidR="00954FBC" w:rsidRPr="00C3449C" w:rsidRDefault="00954FBC" w:rsidP="00954FBC">
            <w:pPr>
              <w:pStyle w:val="FormulaBold"/>
              <w:rPr>
                <w:i/>
                <w:vertAlign w:val="subscript"/>
              </w:rPr>
            </w:pPr>
            <w:r w:rsidRPr="00C3449C">
              <w:t>RTMCPCR</w:t>
            </w:r>
            <w:r>
              <w:t>D</w:t>
            </w:r>
            <w:r w:rsidRPr="00C3449C">
              <w:t xml:space="preserve">  =   </w:t>
            </w:r>
            <w:r w:rsidRPr="00C3449C">
              <w:rPr>
                <w:position w:val="-22"/>
              </w:rPr>
              <w:object w:dxaOrig="225" w:dyaOrig="465" w14:anchorId="6C4E78D1">
                <v:shape id="_x0000_i1071" type="#_x0000_t75" style="width:24pt;height:18pt" o:ole="">
                  <v:imagedata r:id="rId22" o:title=""/>
                </v:shape>
                <o:OLEObject Type="Embed" ProgID="Equation.3" ShapeID="_x0000_i1071" DrawAspect="Content" ObjectID="_1815025261" r:id="rId72"/>
              </w:object>
            </w:r>
            <w:r w:rsidRPr="00C3449C">
              <w:t xml:space="preserve"> (RNWF </w:t>
            </w:r>
            <w:r w:rsidRPr="00C3449C">
              <w:rPr>
                <w:i/>
                <w:vertAlign w:val="subscript"/>
              </w:rPr>
              <w:t>y</w:t>
            </w:r>
            <w:r w:rsidRPr="00C3449C">
              <w:t xml:space="preserve"> * </w:t>
            </w:r>
            <w:r>
              <w:t>(</w:t>
            </w:r>
            <w:r w:rsidRPr="00C3449C">
              <w:t>RTMCPCR</w:t>
            </w:r>
            <w:r>
              <w:t>D</w:t>
            </w:r>
            <w:r w:rsidRPr="00C3449C">
              <w:t xml:space="preserve">S </w:t>
            </w:r>
            <w:r w:rsidRPr="00C3449C">
              <w:rPr>
                <w:i/>
                <w:vertAlign w:val="subscript"/>
              </w:rPr>
              <w:t>y</w:t>
            </w:r>
            <w:r>
              <w:t xml:space="preserve">+ </w:t>
            </w:r>
            <w:r w:rsidRPr="00BE2778">
              <w:t>RTR</w:t>
            </w:r>
            <w:r>
              <w:t>D</w:t>
            </w:r>
            <w:r w:rsidRPr="00BE2778">
              <w:t>PA</w:t>
            </w:r>
            <w:r>
              <w:t xml:space="preserve">RDS </w:t>
            </w:r>
            <w:r w:rsidRPr="000C2EDA">
              <w:rPr>
                <w:i/>
                <w:vertAlign w:val="subscript"/>
              </w:rPr>
              <w:t>y</w:t>
            </w:r>
            <w:r w:rsidRPr="00D8145C">
              <w:t>)</w:t>
            </w:r>
            <w:r w:rsidRPr="00C3449C">
              <w:t>)</w:t>
            </w:r>
          </w:p>
          <w:p w14:paraId="24FA745B" w14:textId="77777777" w:rsidR="00954FBC" w:rsidRDefault="00954FBC" w:rsidP="00954FBC">
            <w:pPr>
              <w:pStyle w:val="BodyTextNumbered"/>
              <w:ind w:left="0" w:firstLine="0"/>
            </w:pPr>
            <w:r>
              <w:t>Where:</w:t>
            </w:r>
          </w:p>
          <w:p w14:paraId="374E8CE5" w14:textId="7865DA10"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197DC9C3">
                <v:shape id="_x0000_i1072" type="#_x0000_t75" style="width:24pt;height:18pt" o:ole="">
                  <v:imagedata r:id="rId22" o:title=""/>
                </v:shape>
                <o:OLEObject Type="Embed" ProgID="Equation.3" ShapeID="_x0000_i1072" DrawAspect="Content" ObjectID="_1815025262" r:id="rId73"/>
              </w:object>
            </w:r>
            <w:r>
              <w:t xml:space="preserve">TLMP </w:t>
            </w:r>
            <w:r>
              <w:rPr>
                <w:i/>
                <w:vertAlign w:val="subscript"/>
              </w:rPr>
              <w:t>y</w:t>
            </w:r>
          </w:p>
          <w:p w14:paraId="5B7FEBC1"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0EFC09EB"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55843EA7"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4D6469F4"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204194F4" w14:textId="77777777" w:rsidR="00954FBC" w:rsidRDefault="00954FBC" w:rsidP="00954FBC">
                  <w:pPr>
                    <w:pStyle w:val="TableHead"/>
                  </w:pPr>
                  <w:r>
                    <w:t>Description</w:t>
                  </w:r>
                </w:p>
              </w:tc>
            </w:tr>
            <w:tr w:rsidR="00954FBC" w14:paraId="453211EB"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6153577" w14:textId="77777777" w:rsidR="00954FBC" w:rsidRDefault="00954FBC" w:rsidP="00954FBC">
                  <w:pPr>
                    <w:pStyle w:val="tablebody0"/>
                  </w:pPr>
                  <w:r>
                    <w:t xml:space="preserve">RTMCPCRD </w:t>
                  </w:r>
                </w:p>
              </w:tc>
              <w:tc>
                <w:tcPr>
                  <w:tcW w:w="631" w:type="pct"/>
                  <w:tcBorders>
                    <w:top w:val="single" w:sz="4" w:space="0" w:color="auto"/>
                    <w:left w:val="single" w:sz="4" w:space="0" w:color="auto"/>
                    <w:bottom w:val="single" w:sz="4" w:space="0" w:color="auto"/>
                    <w:right w:val="single" w:sz="4" w:space="0" w:color="auto"/>
                  </w:tcBorders>
                  <w:hideMark/>
                </w:tcPr>
                <w:p w14:paraId="26B0FFCE"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6F525920" w14:textId="77777777" w:rsidR="00954FBC" w:rsidRDefault="00954FBC" w:rsidP="00954FBC">
                  <w:pPr>
                    <w:pStyle w:val="tablebody0"/>
                    <w:rPr>
                      <w:i/>
                    </w:rPr>
                  </w:pPr>
                  <w:r>
                    <w:rPr>
                      <w:i/>
                      <w:szCs w:val="18"/>
                    </w:rPr>
                    <w:t>Real-Time Market Clearing Price for Capacity for Reg-Down -</w:t>
                  </w:r>
                  <w:r>
                    <w:t xml:space="preserve"> The Real-Time MCPC for Reg-Down for the 15-minute Settlement Interval.</w:t>
                  </w:r>
                </w:p>
              </w:tc>
            </w:tr>
            <w:tr w:rsidR="00954FBC" w14:paraId="06EEFD5A"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2CE6306D" w14:textId="77777777" w:rsidR="00954FBC" w:rsidRDefault="00954FBC" w:rsidP="00954FBC">
                  <w:pPr>
                    <w:pStyle w:val="tablebody0"/>
                  </w:pPr>
                  <w:r>
                    <w:t>RTMCPCRDS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15DC8716"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48372764" w14:textId="77777777" w:rsidR="00954FBC" w:rsidRDefault="00954FBC" w:rsidP="00954FBC">
                  <w:pPr>
                    <w:pStyle w:val="tablebody0"/>
                    <w:rPr>
                      <w:i/>
                      <w:szCs w:val="18"/>
                    </w:rPr>
                  </w:pPr>
                  <w:r>
                    <w:rPr>
                      <w:i/>
                      <w:szCs w:val="18"/>
                    </w:rPr>
                    <w:t xml:space="preserve">Real-Time Market Clearing Price for Capacity for Reg-Down </w:t>
                  </w:r>
                  <w:r>
                    <w:rPr>
                      <w:i/>
                    </w:rPr>
                    <w:t xml:space="preserve">per SCED interval </w:t>
                  </w:r>
                  <w:r>
                    <w:rPr>
                      <w:i/>
                      <w:szCs w:val="18"/>
                    </w:rPr>
                    <w:t>-</w:t>
                  </w:r>
                  <w:r>
                    <w:t xml:space="preserve"> The Real-Time MCPC for Reg-Down for the SCED interval </w:t>
                  </w:r>
                  <w:r>
                    <w:rPr>
                      <w:i/>
                    </w:rPr>
                    <w:t>y.</w:t>
                  </w:r>
                </w:p>
              </w:tc>
            </w:tr>
            <w:tr w:rsidR="00954FBC" w:rsidRPr="00234E94" w14:paraId="63C1A80F" w14:textId="77777777" w:rsidTr="00F12B75">
              <w:trPr>
                <w:cantSplit/>
              </w:trPr>
              <w:tc>
                <w:tcPr>
                  <w:tcW w:w="1295" w:type="pct"/>
                </w:tcPr>
                <w:p w14:paraId="197A06E4" w14:textId="77777777" w:rsidR="00954FBC" w:rsidRPr="00234E94" w:rsidRDefault="00954FBC" w:rsidP="00954FBC">
                  <w:pPr>
                    <w:pStyle w:val="tablebody0"/>
                    <w:rPr>
                      <w:i/>
                    </w:rPr>
                  </w:pPr>
                  <w:r w:rsidRPr="004D72AD">
                    <w:lastRenderedPageBreak/>
                    <w:t>RTR</w:t>
                  </w:r>
                  <w:r>
                    <w:t>D</w:t>
                  </w:r>
                  <w:r w:rsidRPr="004D72AD">
                    <w:t>PA</w:t>
                  </w:r>
                  <w:r>
                    <w:t xml:space="preserve">RDS </w:t>
                  </w:r>
                  <w:r w:rsidRPr="000C2EDA">
                    <w:rPr>
                      <w:i/>
                    </w:rPr>
                    <w:t>y</w:t>
                  </w:r>
                </w:p>
              </w:tc>
              <w:tc>
                <w:tcPr>
                  <w:tcW w:w="631" w:type="pct"/>
                </w:tcPr>
                <w:p w14:paraId="79671E35" w14:textId="77777777" w:rsidR="00954FBC" w:rsidRPr="00234E94" w:rsidRDefault="00954FBC" w:rsidP="00954FBC">
                  <w:pPr>
                    <w:pStyle w:val="tablebody0"/>
                  </w:pPr>
                  <w:r w:rsidRPr="004D72AD">
                    <w:t>$/MW</w:t>
                  </w:r>
                </w:p>
              </w:tc>
              <w:tc>
                <w:tcPr>
                  <w:tcW w:w="3074" w:type="pct"/>
                </w:tcPr>
                <w:p w14:paraId="03FEDF1A" w14:textId="77777777" w:rsidR="00954FBC" w:rsidRPr="00234E94" w:rsidRDefault="00954FBC" w:rsidP="00954FBC">
                  <w:pPr>
                    <w:pStyle w:val="tablebody0"/>
                  </w:pPr>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p>
              </w:tc>
            </w:tr>
            <w:tr w:rsidR="00954FBC" w:rsidRPr="00234E94" w14:paraId="3C68D826" w14:textId="77777777" w:rsidTr="00F12B75">
              <w:trPr>
                <w:cantSplit/>
              </w:trPr>
              <w:tc>
                <w:tcPr>
                  <w:tcW w:w="1295" w:type="pct"/>
                </w:tcPr>
                <w:p w14:paraId="17592975" w14:textId="77777777" w:rsidR="00954FBC" w:rsidRPr="004D72AD" w:rsidRDefault="00954FBC" w:rsidP="00954FBC">
                  <w:pPr>
                    <w:pStyle w:val="tablebody0"/>
                  </w:pPr>
                  <w:r w:rsidRPr="003161DC">
                    <w:rPr>
                      <w:iCs/>
                    </w:rPr>
                    <w:t xml:space="preserve">RNWF </w:t>
                  </w:r>
                  <w:r w:rsidRPr="003161DC">
                    <w:rPr>
                      <w:i/>
                      <w:iCs/>
                      <w:vertAlign w:val="subscript"/>
                    </w:rPr>
                    <w:t>y</w:t>
                  </w:r>
                </w:p>
              </w:tc>
              <w:tc>
                <w:tcPr>
                  <w:tcW w:w="631" w:type="pct"/>
                </w:tcPr>
                <w:p w14:paraId="52983775" w14:textId="77777777" w:rsidR="00954FBC" w:rsidRPr="004D72AD" w:rsidRDefault="00954FBC" w:rsidP="00954FBC">
                  <w:pPr>
                    <w:pStyle w:val="tablebody0"/>
                  </w:pPr>
                  <w:r w:rsidRPr="003161DC">
                    <w:rPr>
                      <w:iCs/>
                    </w:rPr>
                    <w:t>none</w:t>
                  </w:r>
                </w:p>
              </w:tc>
              <w:tc>
                <w:tcPr>
                  <w:tcW w:w="3074" w:type="pct"/>
                </w:tcPr>
                <w:p w14:paraId="3494680F" w14:textId="77777777" w:rsidR="00954FBC" w:rsidRPr="0091078E" w:rsidRDefault="00954FBC" w:rsidP="00954FBC">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3A325F18" w14:textId="77777777" w:rsidTr="00F12B75">
              <w:trPr>
                <w:cantSplit/>
              </w:trPr>
              <w:tc>
                <w:tcPr>
                  <w:tcW w:w="1295" w:type="pct"/>
                </w:tcPr>
                <w:p w14:paraId="1D38F556" w14:textId="77777777" w:rsidR="00954FBC" w:rsidRPr="004D72AD" w:rsidRDefault="00954FBC" w:rsidP="00954FBC">
                  <w:pPr>
                    <w:pStyle w:val="tablebody0"/>
                  </w:pPr>
                  <w:r w:rsidRPr="003161DC">
                    <w:rPr>
                      <w:iCs/>
                    </w:rPr>
                    <w:t xml:space="preserve">TLMP </w:t>
                  </w:r>
                  <w:r w:rsidRPr="003161DC">
                    <w:rPr>
                      <w:i/>
                      <w:iCs/>
                      <w:vertAlign w:val="subscript"/>
                    </w:rPr>
                    <w:t>y</w:t>
                  </w:r>
                </w:p>
              </w:tc>
              <w:tc>
                <w:tcPr>
                  <w:tcW w:w="631" w:type="pct"/>
                </w:tcPr>
                <w:p w14:paraId="2D289B51" w14:textId="77777777" w:rsidR="00954FBC" w:rsidRPr="004D72AD" w:rsidRDefault="00954FBC" w:rsidP="00954FBC">
                  <w:pPr>
                    <w:pStyle w:val="tablebody0"/>
                  </w:pPr>
                  <w:r w:rsidRPr="003161DC">
                    <w:rPr>
                      <w:iCs/>
                    </w:rPr>
                    <w:t>second</w:t>
                  </w:r>
                </w:p>
              </w:tc>
              <w:tc>
                <w:tcPr>
                  <w:tcW w:w="3074" w:type="pct"/>
                </w:tcPr>
                <w:p w14:paraId="09DB3950" w14:textId="77777777" w:rsidR="00954FBC" w:rsidRPr="0091078E" w:rsidRDefault="00954FBC" w:rsidP="00954FBC">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168B60A2" w14:textId="77777777" w:rsidTr="00F12B75">
              <w:trPr>
                <w:cantSplit/>
              </w:trPr>
              <w:tc>
                <w:tcPr>
                  <w:tcW w:w="1295" w:type="pct"/>
                </w:tcPr>
                <w:p w14:paraId="3976FBED" w14:textId="77777777" w:rsidR="00954FBC" w:rsidRPr="00234E94" w:rsidRDefault="00954FBC" w:rsidP="00954FBC">
                  <w:pPr>
                    <w:pStyle w:val="tablebody0"/>
                    <w:rPr>
                      <w:i/>
                    </w:rPr>
                  </w:pPr>
                  <w:r w:rsidRPr="00234E94">
                    <w:rPr>
                      <w:i/>
                    </w:rPr>
                    <w:t>y</w:t>
                  </w:r>
                </w:p>
              </w:tc>
              <w:tc>
                <w:tcPr>
                  <w:tcW w:w="631" w:type="pct"/>
                </w:tcPr>
                <w:p w14:paraId="24AB95A1" w14:textId="77777777" w:rsidR="00954FBC" w:rsidRPr="00234E94" w:rsidRDefault="00954FBC" w:rsidP="00954FBC">
                  <w:pPr>
                    <w:pStyle w:val="tablebody0"/>
                  </w:pPr>
                  <w:r w:rsidRPr="00234E94">
                    <w:t>none</w:t>
                  </w:r>
                </w:p>
              </w:tc>
              <w:tc>
                <w:tcPr>
                  <w:tcW w:w="3074" w:type="pct"/>
                </w:tcPr>
                <w:p w14:paraId="659815DB" w14:textId="77777777" w:rsidR="00954FBC" w:rsidRPr="00234E94" w:rsidRDefault="00954FBC" w:rsidP="00954FBC">
                  <w:pPr>
                    <w:pStyle w:val="tablebody0"/>
                  </w:pPr>
                  <w:r w:rsidRPr="00234E94">
                    <w:t>A SCED interval in the 15-minute Settlement Interval.</w:t>
                  </w:r>
                </w:p>
              </w:tc>
            </w:tr>
          </w:tbl>
          <w:p w14:paraId="7C06D3CE" w14:textId="77777777" w:rsidR="00954FBC" w:rsidRDefault="00954FBC" w:rsidP="00954FBC">
            <w:pPr>
              <w:spacing w:before="240" w:after="240"/>
              <w:ind w:left="720" w:hanging="720"/>
            </w:pPr>
            <w:r>
              <w:rPr>
                <w:bCs/>
                <w:snapToGrid w:val="0"/>
              </w:rPr>
              <w:t>(3)</w:t>
            </w:r>
            <w:r>
              <w:t xml:space="preserve"> </w:t>
            </w:r>
            <w:r>
              <w:tab/>
              <w:t>The Real-Time MCPC for RRS is the time-weighted average of the sum of the Real-Time MCPCs for RRS and Real-Time Reliability Deployment Price Adder for Ancillary Service for RRS of each SCED interval in the 15-minute Settlement Interval</w:t>
            </w:r>
            <w:r w:rsidRPr="003161DC">
              <w:t xml:space="preserve">.  The Real-Time </w:t>
            </w:r>
            <w:r>
              <w:t>MCPC for RRS</w:t>
            </w:r>
            <w:r w:rsidRPr="003161DC">
              <w:t xml:space="preserve"> for a 15-minute Settlement Interval is calculated as follows:</w:t>
            </w:r>
          </w:p>
          <w:p w14:paraId="2CF88571" w14:textId="65FAEDEB" w:rsidR="00954FBC" w:rsidRPr="00C3449C" w:rsidRDefault="00954FBC" w:rsidP="00954FBC">
            <w:pPr>
              <w:pStyle w:val="FormulaBold"/>
              <w:rPr>
                <w:i/>
                <w:vertAlign w:val="subscript"/>
              </w:rPr>
            </w:pPr>
            <w:r w:rsidRPr="00C3449C">
              <w:t>RTMCPCR</w:t>
            </w:r>
            <w:r>
              <w:t>R</w:t>
            </w:r>
            <w:r w:rsidRPr="00C3449C">
              <w:t xml:space="preserve">  =   </w:t>
            </w:r>
            <w:r w:rsidRPr="00C3449C">
              <w:rPr>
                <w:position w:val="-22"/>
              </w:rPr>
              <w:object w:dxaOrig="225" w:dyaOrig="465" w14:anchorId="09B1FD9C">
                <v:shape id="_x0000_i1073" type="#_x0000_t75" style="width:24pt;height:18pt" o:ole="">
                  <v:imagedata r:id="rId22" o:title=""/>
                </v:shape>
                <o:OLEObject Type="Embed" ProgID="Equation.3" ShapeID="_x0000_i1073" DrawAspect="Content" ObjectID="_1815025263" r:id="rId74"/>
              </w:object>
            </w:r>
            <w:r w:rsidRPr="00C3449C">
              <w:t xml:space="preserve"> (RNWF </w:t>
            </w:r>
            <w:r w:rsidRPr="00C3449C">
              <w:rPr>
                <w:i/>
                <w:vertAlign w:val="subscript"/>
              </w:rPr>
              <w:t>y</w:t>
            </w:r>
            <w:r w:rsidRPr="00C3449C">
              <w:t xml:space="preserve"> * </w:t>
            </w:r>
            <w:r>
              <w:t>(</w:t>
            </w:r>
            <w:r w:rsidRPr="00C3449C">
              <w:t>RTMCPCR</w:t>
            </w:r>
            <w:r>
              <w:t>R</w:t>
            </w:r>
            <w:r w:rsidRPr="00C3449C">
              <w:t xml:space="preserve">S </w:t>
            </w:r>
            <w:r w:rsidRPr="00C3449C">
              <w:rPr>
                <w:i/>
                <w:vertAlign w:val="subscript"/>
              </w:rPr>
              <w:t>y</w:t>
            </w:r>
            <w:r>
              <w:t xml:space="preserve"> + </w:t>
            </w:r>
            <w:r w:rsidRPr="00BE2778">
              <w:t>RTR</w:t>
            </w:r>
            <w:r>
              <w:t>D</w:t>
            </w:r>
            <w:r w:rsidRPr="00BE2778">
              <w:t>PA</w:t>
            </w:r>
            <w:r>
              <w:t xml:space="preserve">RRS </w:t>
            </w:r>
            <w:r w:rsidRPr="000C2EDA">
              <w:rPr>
                <w:i/>
                <w:vertAlign w:val="subscript"/>
              </w:rPr>
              <w:t>y</w:t>
            </w:r>
            <w:r w:rsidRPr="00C3449C">
              <w:t>)</w:t>
            </w:r>
            <w:r>
              <w:t>)</w:t>
            </w:r>
          </w:p>
          <w:p w14:paraId="5524006A" w14:textId="77777777" w:rsidR="00954FBC" w:rsidRDefault="00954FBC" w:rsidP="00954FBC">
            <w:pPr>
              <w:pStyle w:val="BodyTextNumbered"/>
              <w:ind w:left="0" w:firstLine="0"/>
            </w:pPr>
            <w:r>
              <w:t>Where:</w:t>
            </w:r>
          </w:p>
          <w:p w14:paraId="6130BD78" w14:textId="77777777"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0C5AECE4">
                <v:shape id="_x0000_i1074" type="#_x0000_t75" style="width:12pt;height:12pt" o:ole="">
                  <v:imagedata r:id="rId22" o:title=""/>
                </v:shape>
                <o:OLEObject Type="Embed" ProgID="Equation.3" ShapeID="_x0000_i1074" DrawAspect="Content" ObjectID="_1815025264" r:id="rId75"/>
              </w:object>
            </w:r>
            <w:r>
              <w:t xml:space="preserve">TLMP </w:t>
            </w:r>
            <w:r>
              <w:rPr>
                <w:i/>
                <w:vertAlign w:val="subscript"/>
              </w:rPr>
              <w:t>y</w:t>
            </w:r>
          </w:p>
          <w:p w14:paraId="25E19211"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7D479AFE"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59AD581D"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6A1A2461"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07F280E6" w14:textId="77777777" w:rsidR="00954FBC" w:rsidRDefault="00954FBC" w:rsidP="00954FBC">
                  <w:pPr>
                    <w:pStyle w:val="TableHead"/>
                  </w:pPr>
                  <w:r>
                    <w:t>Description</w:t>
                  </w:r>
                </w:p>
              </w:tc>
            </w:tr>
            <w:tr w:rsidR="00954FBC" w14:paraId="58331F43"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3F11FF41" w14:textId="77777777" w:rsidR="00954FBC" w:rsidRDefault="00954FBC" w:rsidP="00954FBC">
                  <w:pPr>
                    <w:pStyle w:val="tablebody0"/>
                  </w:pPr>
                  <w:r>
                    <w:t xml:space="preserve">RTMCPCRR </w:t>
                  </w:r>
                </w:p>
              </w:tc>
              <w:tc>
                <w:tcPr>
                  <w:tcW w:w="631" w:type="pct"/>
                  <w:tcBorders>
                    <w:top w:val="single" w:sz="4" w:space="0" w:color="auto"/>
                    <w:left w:val="single" w:sz="4" w:space="0" w:color="auto"/>
                    <w:bottom w:val="single" w:sz="4" w:space="0" w:color="auto"/>
                    <w:right w:val="single" w:sz="4" w:space="0" w:color="auto"/>
                  </w:tcBorders>
                  <w:hideMark/>
                </w:tcPr>
                <w:p w14:paraId="307A398E"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5BFEC75D" w14:textId="77777777" w:rsidR="00954FBC" w:rsidRDefault="00954FBC" w:rsidP="00954FBC">
                  <w:pPr>
                    <w:pStyle w:val="tablebody0"/>
                    <w:rPr>
                      <w:i/>
                    </w:rPr>
                  </w:pPr>
                  <w:r>
                    <w:rPr>
                      <w:i/>
                      <w:szCs w:val="18"/>
                    </w:rPr>
                    <w:t>Real-Time Market Clearing Price for Capacity for Responsive Reserve -</w:t>
                  </w:r>
                  <w:r>
                    <w:t xml:space="preserve"> The Real-Time MCPC for RRS for the 15-minute Settlement Interval.</w:t>
                  </w:r>
                </w:p>
              </w:tc>
            </w:tr>
            <w:tr w:rsidR="00954FBC" w14:paraId="408BFBDF"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3C433D6F" w14:textId="77777777" w:rsidR="00954FBC" w:rsidRDefault="00954FBC" w:rsidP="00954FBC">
                  <w:pPr>
                    <w:pStyle w:val="tablebody0"/>
                  </w:pPr>
                  <w:r>
                    <w:t>RTMCPCRRS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7A989AF8"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4B7E1F85" w14:textId="77777777" w:rsidR="00954FBC" w:rsidRDefault="00954FBC" w:rsidP="00954FBC">
                  <w:pPr>
                    <w:pStyle w:val="tablebody0"/>
                    <w:rPr>
                      <w:i/>
                      <w:szCs w:val="18"/>
                    </w:rPr>
                  </w:pPr>
                  <w:r>
                    <w:rPr>
                      <w:i/>
                      <w:szCs w:val="18"/>
                    </w:rPr>
                    <w:t xml:space="preserve">Real-Time Market Clearing Price for Capacity for Responsive Reserve </w:t>
                  </w:r>
                  <w:r>
                    <w:rPr>
                      <w:i/>
                    </w:rPr>
                    <w:t xml:space="preserve">per SCED interval </w:t>
                  </w:r>
                  <w:r>
                    <w:rPr>
                      <w:i/>
                      <w:szCs w:val="18"/>
                    </w:rPr>
                    <w:t>-</w:t>
                  </w:r>
                  <w:r>
                    <w:t xml:space="preserve"> The Real-Time MCPC for RRS for the SCED interval </w:t>
                  </w:r>
                  <w:r>
                    <w:rPr>
                      <w:i/>
                    </w:rPr>
                    <w:t>y.</w:t>
                  </w:r>
                </w:p>
              </w:tc>
            </w:tr>
            <w:tr w:rsidR="00954FBC" w:rsidRPr="00234E94" w14:paraId="1BFAE315" w14:textId="77777777" w:rsidTr="00F12B75">
              <w:trPr>
                <w:cantSplit/>
              </w:trPr>
              <w:tc>
                <w:tcPr>
                  <w:tcW w:w="1295" w:type="pct"/>
                </w:tcPr>
                <w:p w14:paraId="554A6996" w14:textId="77777777" w:rsidR="00954FBC" w:rsidRPr="00234E94" w:rsidRDefault="00954FBC" w:rsidP="00954FBC">
                  <w:pPr>
                    <w:pStyle w:val="tablebody0"/>
                    <w:rPr>
                      <w:i/>
                    </w:rPr>
                  </w:pPr>
                  <w:r w:rsidRPr="004654BF">
                    <w:t>RTR</w:t>
                  </w:r>
                  <w:r>
                    <w:t>D</w:t>
                  </w:r>
                  <w:r w:rsidRPr="004654BF">
                    <w:t>PA</w:t>
                  </w:r>
                  <w:r>
                    <w:t xml:space="preserve">RRS </w:t>
                  </w:r>
                  <w:r w:rsidRPr="000C2EDA">
                    <w:rPr>
                      <w:i/>
                    </w:rPr>
                    <w:t>y</w:t>
                  </w:r>
                </w:p>
              </w:tc>
              <w:tc>
                <w:tcPr>
                  <w:tcW w:w="631" w:type="pct"/>
                </w:tcPr>
                <w:p w14:paraId="22C17596" w14:textId="77777777" w:rsidR="00954FBC" w:rsidRPr="00234E94" w:rsidRDefault="00954FBC" w:rsidP="00954FBC">
                  <w:pPr>
                    <w:pStyle w:val="tablebody0"/>
                  </w:pPr>
                  <w:r w:rsidRPr="004654BF">
                    <w:t>$/MW</w:t>
                  </w:r>
                </w:p>
              </w:tc>
              <w:tc>
                <w:tcPr>
                  <w:tcW w:w="3074" w:type="pct"/>
                </w:tcPr>
                <w:p w14:paraId="72C8CA04" w14:textId="77777777" w:rsidR="00954FBC" w:rsidRPr="00234E94" w:rsidRDefault="00954FBC" w:rsidP="00954FBC">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p>
              </w:tc>
            </w:tr>
            <w:tr w:rsidR="00954FBC" w:rsidRPr="00234E94" w14:paraId="01B4D109" w14:textId="77777777" w:rsidTr="00F12B75">
              <w:trPr>
                <w:cantSplit/>
              </w:trPr>
              <w:tc>
                <w:tcPr>
                  <w:tcW w:w="1295" w:type="pct"/>
                </w:tcPr>
                <w:p w14:paraId="02E65833" w14:textId="77777777" w:rsidR="00954FBC" w:rsidRPr="004654BF" w:rsidRDefault="00954FBC" w:rsidP="00954FBC">
                  <w:pPr>
                    <w:pStyle w:val="tablebody0"/>
                  </w:pPr>
                  <w:r w:rsidRPr="003161DC">
                    <w:rPr>
                      <w:iCs/>
                    </w:rPr>
                    <w:t xml:space="preserve">RNWF </w:t>
                  </w:r>
                  <w:r w:rsidRPr="003161DC">
                    <w:rPr>
                      <w:i/>
                      <w:iCs/>
                      <w:vertAlign w:val="subscript"/>
                    </w:rPr>
                    <w:t>y</w:t>
                  </w:r>
                </w:p>
              </w:tc>
              <w:tc>
                <w:tcPr>
                  <w:tcW w:w="631" w:type="pct"/>
                </w:tcPr>
                <w:p w14:paraId="59D25F83" w14:textId="77777777" w:rsidR="00954FBC" w:rsidRPr="004654BF" w:rsidRDefault="00954FBC" w:rsidP="00954FBC">
                  <w:pPr>
                    <w:pStyle w:val="tablebody0"/>
                  </w:pPr>
                  <w:r w:rsidRPr="003161DC">
                    <w:rPr>
                      <w:iCs/>
                    </w:rPr>
                    <w:t>none</w:t>
                  </w:r>
                </w:p>
              </w:tc>
              <w:tc>
                <w:tcPr>
                  <w:tcW w:w="3074" w:type="pct"/>
                </w:tcPr>
                <w:p w14:paraId="76A70D44" w14:textId="77777777" w:rsidR="00954FBC" w:rsidRPr="000C2EDA" w:rsidRDefault="00954FBC" w:rsidP="00954FBC">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2E4B1719" w14:textId="77777777" w:rsidTr="00F12B75">
              <w:trPr>
                <w:cantSplit/>
              </w:trPr>
              <w:tc>
                <w:tcPr>
                  <w:tcW w:w="1295" w:type="pct"/>
                </w:tcPr>
                <w:p w14:paraId="10C3E5F8" w14:textId="77777777" w:rsidR="00954FBC" w:rsidRPr="004654BF" w:rsidRDefault="00954FBC" w:rsidP="00954FBC">
                  <w:pPr>
                    <w:pStyle w:val="tablebody0"/>
                  </w:pPr>
                  <w:r w:rsidRPr="003161DC">
                    <w:rPr>
                      <w:iCs/>
                    </w:rPr>
                    <w:t xml:space="preserve">TLMP </w:t>
                  </w:r>
                  <w:r w:rsidRPr="003161DC">
                    <w:rPr>
                      <w:i/>
                      <w:iCs/>
                      <w:vertAlign w:val="subscript"/>
                    </w:rPr>
                    <w:t>y</w:t>
                  </w:r>
                </w:p>
              </w:tc>
              <w:tc>
                <w:tcPr>
                  <w:tcW w:w="631" w:type="pct"/>
                </w:tcPr>
                <w:p w14:paraId="465A0834" w14:textId="77777777" w:rsidR="00954FBC" w:rsidRPr="004654BF" w:rsidRDefault="00954FBC" w:rsidP="00954FBC">
                  <w:pPr>
                    <w:pStyle w:val="tablebody0"/>
                  </w:pPr>
                  <w:r w:rsidRPr="003161DC">
                    <w:rPr>
                      <w:iCs/>
                    </w:rPr>
                    <w:t>second</w:t>
                  </w:r>
                </w:p>
              </w:tc>
              <w:tc>
                <w:tcPr>
                  <w:tcW w:w="3074" w:type="pct"/>
                </w:tcPr>
                <w:p w14:paraId="06F98AB6" w14:textId="77777777" w:rsidR="00954FBC" w:rsidRPr="000C2EDA" w:rsidRDefault="00954FBC" w:rsidP="00954FBC">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150D83A8" w14:textId="77777777" w:rsidTr="00F12B75">
              <w:trPr>
                <w:cantSplit/>
              </w:trPr>
              <w:tc>
                <w:tcPr>
                  <w:tcW w:w="1295" w:type="pct"/>
                </w:tcPr>
                <w:p w14:paraId="11C1EFA7" w14:textId="6FB21018" w:rsidR="00954FBC" w:rsidRPr="00234E94" w:rsidRDefault="00F12B75" w:rsidP="00954FBC">
                  <w:pPr>
                    <w:pStyle w:val="tablebody0"/>
                    <w:rPr>
                      <w:i/>
                    </w:rPr>
                  </w:pPr>
                  <w:r>
                    <w:rPr>
                      <w:i/>
                    </w:rPr>
                    <w:t>y</w:t>
                  </w:r>
                </w:p>
              </w:tc>
              <w:tc>
                <w:tcPr>
                  <w:tcW w:w="631" w:type="pct"/>
                </w:tcPr>
                <w:p w14:paraId="58139DC7" w14:textId="77777777" w:rsidR="00954FBC" w:rsidRPr="00234E94" w:rsidRDefault="00954FBC" w:rsidP="00954FBC">
                  <w:pPr>
                    <w:pStyle w:val="tablebody0"/>
                  </w:pPr>
                  <w:r w:rsidRPr="00234E94">
                    <w:t>none</w:t>
                  </w:r>
                </w:p>
              </w:tc>
              <w:tc>
                <w:tcPr>
                  <w:tcW w:w="3074" w:type="pct"/>
                </w:tcPr>
                <w:p w14:paraId="0398B968" w14:textId="77777777" w:rsidR="00954FBC" w:rsidRPr="00234E94" w:rsidRDefault="00954FBC" w:rsidP="00954FBC">
                  <w:pPr>
                    <w:pStyle w:val="tablebody0"/>
                  </w:pPr>
                  <w:r w:rsidRPr="00234E94">
                    <w:t>A SCED interval in the 15-minute Settlement Interval.</w:t>
                  </w:r>
                </w:p>
              </w:tc>
            </w:tr>
          </w:tbl>
          <w:p w14:paraId="42807256" w14:textId="77777777" w:rsidR="00954FBC" w:rsidRDefault="00954FBC" w:rsidP="00954FBC">
            <w:pPr>
              <w:spacing w:before="240" w:after="240"/>
              <w:ind w:left="720" w:hanging="720"/>
            </w:pPr>
            <w:r>
              <w:rPr>
                <w:bCs/>
                <w:snapToGrid w:val="0"/>
              </w:rPr>
              <w:t>(4</w:t>
            </w:r>
            <w:r w:rsidRPr="000C2EDA">
              <w:rPr>
                <w:bCs/>
                <w:snapToGrid w:val="0"/>
              </w:rPr>
              <w:t>)</w:t>
            </w:r>
            <w:r w:rsidRPr="00F26DA0">
              <w:t xml:space="preserve"> </w:t>
            </w:r>
            <w:r w:rsidRPr="003161DC">
              <w:tab/>
            </w:r>
            <w:r>
              <w:t xml:space="preserve">The Real-Time MCPC for ECRS is the time-weighted average of the sum of the Real-Time MCPC for ECRS and Real-Time Reliability Deployment Price Adder for Ancillary Service for ECRS of each SCED interval in the 15-minute Settlement </w:t>
            </w:r>
            <w:r>
              <w:lastRenderedPageBreak/>
              <w:t>Interval.  The Real-Time MCPC for ECRS for a 15-minute Settlement Interval is calculated as follows</w:t>
            </w:r>
            <w:r w:rsidRPr="003161DC">
              <w:t>:</w:t>
            </w:r>
          </w:p>
          <w:p w14:paraId="54AF30D2" w14:textId="19743A9D" w:rsidR="00954FBC" w:rsidRPr="00C3449C" w:rsidRDefault="00954FBC" w:rsidP="00954FBC">
            <w:pPr>
              <w:pStyle w:val="FormulaBold"/>
              <w:rPr>
                <w:i/>
                <w:vertAlign w:val="subscript"/>
              </w:rPr>
            </w:pPr>
            <w:r w:rsidRPr="00C3449C">
              <w:t>RTMCPC</w:t>
            </w:r>
            <w:r>
              <w:t>EC</w:t>
            </w:r>
            <w:r w:rsidRPr="00C3449C">
              <w:t xml:space="preserve">R  =   </w:t>
            </w:r>
            <w:r w:rsidRPr="00C3449C">
              <w:rPr>
                <w:position w:val="-22"/>
              </w:rPr>
              <w:object w:dxaOrig="225" w:dyaOrig="465" w14:anchorId="173EA88B">
                <v:shape id="_x0000_i1075" type="#_x0000_t75" style="width:24pt;height:18pt" o:ole="">
                  <v:imagedata r:id="rId22" o:title=""/>
                </v:shape>
                <o:OLEObject Type="Embed" ProgID="Equation.3" ShapeID="_x0000_i1075" DrawAspect="Content" ObjectID="_1815025265" r:id="rId76"/>
              </w:object>
            </w:r>
            <w:r w:rsidRPr="00C3449C">
              <w:t xml:space="preserve"> (RNWF </w:t>
            </w:r>
            <w:r w:rsidRPr="00C3449C">
              <w:rPr>
                <w:i/>
                <w:vertAlign w:val="subscript"/>
              </w:rPr>
              <w:t>y</w:t>
            </w:r>
            <w:r w:rsidRPr="00C3449C">
              <w:t xml:space="preserve"> * </w:t>
            </w:r>
            <w:r>
              <w:t>(</w:t>
            </w:r>
            <w:r w:rsidRPr="00C3449C">
              <w:t>RTMCPC</w:t>
            </w:r>
            <w:r>
              <w:t>EC</w:t>
            </w:r>
            <w:r w:rsidRPr="00C3449C">
              <w:t>R</w:t>
            </w:r>
            <w:r>
              <w:t>S</w:t>
            </w:r>
            <w:r w:rsidRPr="00C3449C">
              <w:t xml:space="preserve"> </w:t>
            </w:r>
            <w:r w:rsidRPr="00C3449C">
              <w:rPr>
                <w:i/>
                <w:vertAlign w:val="subscript"/>
              </w:rPr>
              <w:t>y</w:t>
            </w:r>
            <w:r>
              <w:t xml:space="preserve">+ </w:t>
            </w:r>
            <w:r w:rsidRPr="00BE2778">
              <w:t>RTR</w:t>
            </w:r>
            <w:r>
              <w:t>D</w:t>
            </w:r>
            <w:r w:rsidRPr="00BE2778">
              <w:t>PA</w:t>
            </w:r>
            <w:r>
              <w:t xml:space="preserve">ECRS </w:t>
            </w:r>
            <w:r w:rsidRPr="000C2EDA">
              <w:rPr>
                <w:i/>
                <w:vertAlign w:val="subscript"/>
              </w:rPr>
              <w:t>y</w:t>
            </w:r>
            <w:r w:rsidRPr="00D8145C">
              <w:t>)</w:t>
            </w:r>
            <w:r w:rsidRPr="00C3449C">
              <w:t>)</w:t>
            </w:r>
          </w:p>
          <w:p w14:paraId="5FF0D17D" w14:textId="77777777" w:rsidR="00954FBC" w:rsidRDefault="00954FBC" w:rsidP="00954FBC">
            <w:pPr>
              <w:pStyle w:val="BodyTextNumbered"/>
              <w:ind w:left="0" w:firstLine="0"/>
            </w:pPr>
            <w:r>
              <w:t>Where:</w:t>
            </w:r>
          </w:p>
          <w:p w14:paraId="34A18326" w14:textId="5CA42261"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59D49B6F">
                <v:shape id="_x0000_i1076" type="#_x0000_t75" style="width:24pt;height:18pt" o:ole="">
                  <v:imagedata r:id="rId22" o:title=""/>
                </v:shape>
                <o:OLEObject Type="Embed" ProgID="Equation.3" ShapeID="_x0000_i1076" DrawAspect="Content" ObjectID="_1815025266" r:id="rId77"/>
              </w:object>
            </w:r>
            <w:r>
              <w:t xml:space="preserve">TLMP </w:t>
            </w:r>
            <w:r>
              <w:rPr>
                <w:i/>
                <w:vertAlign w:val="subscript"/>
              </w:rPr>
              <w:t>y</w:t>
            </w:r>
          </w:p>
          <w:p w14:paraId="3331215F"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5ED3AD21"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7EDA07CF"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0D6A8949"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4B217D60" w14:textId="77777777" w:rsidR="00954FBC" w:rsidRDefault="00954FBC" w:rsidP="00954FBC">
                  <w:pPr>
                    <w:pStyle w:val="TableHead"/>
                  </w:pPr>
                  <w:r>
                    <w:t>Description</w:t>
                  </w:r>
                </w:p>
              </w:tc>
            </w:tr>
            <w:tr w:rsidR="00954FBC" w14:paraId="7D5E83A1"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9A5C259" w14:textId="77777777" w:rsidR="00954FBC" w:rsidRDefault="00954FBC" w:rsidP="00954FBC">
                  <w:pPr>
                    <w:pStyle w:val="tablebody0"/>
                  </w:pPr>
                  <w:r>
                    <w:t xml:space="preserve">RTMCPCECR </w:t>
                  </w:r>
                </w:p>
              </w:tc>
              <w:tc>
                <w:tcPr>
                  <w:tcW w:w="631" w:type="pct"/>
                  <w:tcBorders>
                    <w:top w:val="single" w:sz="4" w:space="0" w:color="auto"/>
                    <w:left w:val="single" w:sz="4" w:space="0" w:color="auto"/>
                    <w:bottom w:val="single" w:sz="4" w:space="0" w:color="auto"/>
                    <w:right w:val="single" w:sz="4" w:space="0" w:color="auto"/>
                  </w:tcBorders>
                  <w:hideMark/>
                </w:tcPr>
                <w:p w14:paraId="671DB7BB"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7A1E743F" w14:textId="77777777" w:rsidR="00954FBC" w:rsidRDefault="00954FBC" w:rsidP="00954FBC">
                  <w:pPr>
                    <w:pStyle w:val="tablebody0"/>
                    <w:rPr>
                      <w:i/>
                    </w:rPr>
                  </w:pPr>
                  <w:r>
                    <w:rPr>
                      <w:i/>
                      <w:szCs w:val="18"/>
                    </w:rPr>
                    <w:t xml:space="preserve">Real-Time Market Clearing Price for Capacity for </w:t>
                  </w:r>
                  <w:r w:rsidRPr="00D422B9">
                    <w:rPr>
                      <w:i/>
                    </w:rPr>
                    <w:t>ERCOT Contingency Reserve</w:t>
                  </w:r>
                  <w:r>
                    <w:t xml:space="preserve"> </w:t>
                  </w:r>
                  <w:r>
                    <w:rPr>
                      <w:i/>
                      <w:szCs w:val="18"/>
                    </w:rPr>
                    <w:t>-</w:t>
                  </w:r>
                  <w:r>
                    <w:t xml:space="preserve"> The Real-Time MCPC for ECRS for the 15-minute Settlement Interval.</w:t>
                  </w:r>
                </w:p>
              </w:tc>
            </w:tr>
            <w:tr w:rsidR="00954FBC" w14:paraId="4B634CCC"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2DECA350" w14:textId="77777777" w:rsidR="00954FBC" w:rsidRDefault="00954FBC" w:rsidP="00954FBC">
                  <w:pPr>
                    <w:pStyle w:val="tablebody0"/>
                  </w:pPr>
                  <w:r>
                    <w:t>RTMCPCECRS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6A41F639"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7F8FD174" w14:textId="77777777" w:rsidR="00954FBC" w:rsidRDefault="00954FBC" w:rsidP="00954FBC">
                  <w:pPr>
                    <w:pStyle w:val="tablebody0"/>
                    <w:rPr>
                      <w:i/>
                      <w:szCs w:val="18"/>
                    </w:rPr>
                  </w:pPr>
                  <w:r>
                    <w:rPr>
                      <w:i/>
                      <w:szCs w:val="18"/>
                    </w:rPr>
                    <w:t xml:space="preserve">Real-Time Market Clearing Price for Capacity </w:t>
                  </w:r>
                  <w:r w:rsidRPr="00D16F57">
                    <w:rPr>
                      <w:i/>
                      <w:szCs w:val="18"/>
                    </w:rPr>
                    <w:t xml:space="preserve">for </w:t>
                  </w:r>
                  <w:r w:rsidRPr="00D422B9">
                    <w:rPr>
                      <w:i/>
                    </w:rPr>
                    <w:t>ERCOT Contingency Reserve</w:t>
                  </w:r>
                  <w:r>
                    <w:t xml:space="preserve"> </w:t>
                  </w:r>
                  <w:r>
                    <w:rPr>
                      <w:i/>
                    </w:rPr>
                    <w:t xml:space="preserve">per SCED interval </w:t>
                  </w:r>
                  <w:r>
                    <w:rPr>
                      <w:i/>
                      <w:szCs w:val="18"/>
                    </w:rPr>
                    <w:t>-</w:t>
                  </w:r>
                  <w:r>
                    <w:t xml:space="preserve"> The Real-Time MCPC for </w:t>
                  </w:r>
                  <w:r w:rsidRPr="000C2EDA">
                    <w:t>ECR</w:t>
                  </w:r>
                  <w:r>
                    <w:t xml:space="preserve">S for the SCED interval </w:t>
                  </w:r>
                  <w:r>
                    <w:rPr>
                      <w:i/>
                    </w:rPr>
                    <w:t>y.</w:t>
                  </w:r>
                </w:p>
              </w:tc>
            </w:tr>
            <w:tr w:rsidR="00954FBC" w:rsidRPr="00234E94" w14:paraId="1A443333" w14:textId="77777777" w:rsidTr="00F12B75">
              <w:trPr>
                <w:cantSplit/>
              </w:trPr>
              <w:tc>
                <w:tcPr>
                  <w:tcW w:w="1295" w:type="pct"/>
                </w:tcPr>
                <w:p w14:paraId="3B85F91D" w14:textId="77777777" w:rsidR="00954FBC" w:rsidRPr="00234E94" w:rsidRDefault="00954FBC" w:rsidP="00954FBC">
                  <w:pPr>
                    <w:pStyle w:val="tablebody0"/>
                    <w:rPr>
                      <w:i/>
                    </w:rPr>
                  </w:pPr>
                  <w:r w:rsidRPr="004654BF">
                    <w:t>RTR</w:t>
                  </w:r>
                  <w:r>
                    <w:t>D</w:t>
                  </w:r>
                  <w:r w:rsidRPr="004654BF">
                    <w:t>PA</w:t>
                  </w:r>
                  <w:r>
                    <w:t xml:space="preserve">ECRS </w:t>
                  </w:r>
                  <w:r w:rsidRPr="000C2EDA">
                    <w:rPr>
                      <w:i/>
                    </w:rPr>
                    <w:t>y</w:t>
                  </w:r>
                </w:p>
              </w:tc>
              <w:tc>
                <w:tcPr>
                  <w:tcW w:w="631" w:type="pct"/>
                </w:tcPr>
                <w:p w14:paraId="1DB2A08F" w14:textId="77777777" w:rsidR="00954FBC" w:rsidRPr="00234E94" w:rsidRDefault="00954FBC" w:rsidP="00954FBC">
                  <w:pPr>
                    <w:pStyle w:val="tablebody0"/>
                  </w:pPr>
                  <w:r w:rsidRPr="004654BF">
                    <w:t>$/MW</w:t>
                  </w:r>
                </w:p>
              </w:tc>
              <w:tc>
                <w:tcPr>
                  <w:tcW w:w="3074" w:type="pct"/>
                </w:tcPr>
                <w:p w14:paraId="68C64B50" w14:textId="77777777" w:rsidR="00954FBC" w:rsidRPr="00234E94" w:rsidRDefault="00954FBC" w:rsidP="00954FBC">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p>
              </w:tc>
            </w:tr>
            <w:tr w:rsidR="00954FBC" w:rsidRPr="00234E94" w14:paraId="6EC31290" w14:textId="77777777" w:rsidTr="00F12B75">
              <w:trPr>
                <w:cantSplit/>
              </w:trPr>
              <w:tc>
                <w:tcPr>
                  <w:tcW w:w="1295" w:type="pct"/>
                </w:tcPr>
                <w:p w14:paraId="456CFE06" w14:textId="77777777" w:rsidR="00954FBC" w:rsidRPr="004654BF" w:rsidRDefault="00954FBC" w:rsidP="00954FBC">
                  <w:pPr>
                    <w:pStyle w:val="tablebody0"/>
                  </w:pPr>
                  <w:r w:rsidRPr="003161DC">
                    <w:rPr>
                      <w:iCs/>
                    </w:rPr>
                    <w:t xml:space="preserve">RNWF </w:t>
                  </w:r>
                  <w:r w:rsidRPr="003161DC">
                    <w:rPr>
                      <w:i/>
                      <w:iCs/>
                      <w:vertAlign w:val="subscript"/>
                    </w:rPr>
                    <w:t>y</w:t>
                  </w:r>
                </w:p>
              </w:tc>
              <w:tc>
                <w:tcPr>
                  <w:tcW w:w="631" w:type="pct"/>
                </w:tcPr>
                <w:p w14:paraId="015A0580" w14:textId="77777777" w:rsidR="00954FBC" w:rsidRPr="004654BF" w:rsidRDefault="00954FBC" w:rsidP="00954FBC">
                  <w:pPr>
                    <w:pStyle w:val="tablebody0"/>
                  </w:pPr>
                  <w:r w:rsidRPr="003161DC">
                    <w:rPr>
                      <w:iCs/>
                    </w:rPr>
                    <w:t>none</w:t>
                  </w:r>
                </w:p>
              </w:tc>
              <w:tc>
                <w:tcPr>
                  <w:tcW w:w="3074" w:type="pct"/>
                </w:tcPr>
                <w:p w14:paraId="7591A064" w14:textId="77777777" w:rsidR="00954FBC" w:rsidRPr="000C2EDA" w:rsidRDefault="00954FBC" w:rsidP="00954FBC">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1BB816C6" w14:textId="77777777" w:rsidTr="00F12B75">
              <w:trPr>
                <w:cantSplit/>
              </w:trPr>
              <w:tc>
                <w:tcPr>
                  <w:tcW w:w="1295" w:type="pct"/>
                </w:tcPr>
                <w:p w14:paraId="4CAC1BD1" w14:textId="77777777" w:rsidR="00954FBC" w:rsidRPr="004654BF" w:rsidRDefault="00954FBC" w:rsidP="00954FBC">
                  <w:pPr>
                    <w:pStyle w:val="tablebody0"/>
                  </w:pPr>
                  <w:r w:rsidRPr="003161DC">
                    <w:rPr>
                      <w:iCs/>
                    </w:rPr>
                    <w:t xml:space="preserve">TLMP </w:t>
                  </w:r>
                  <w:r w:rsidRPr="003161DC">
                    <w:rPr>
                      <w:i/>
                      <w:iCs/>
                      <w:vertAlign w:val="subscript"/>
                    </w:rPr>
                    <w:t>y</w:t>
                  </w:r>
                </w:p>
              </w:tc>
              <w:tc>
                <w:tcPr>
                  <w:tcW w:w="631" w:type="pct"/>
                </w:tcPr>
                <w:p w14:paraId="01B4045C" w14:textId="77777777" w:rsidR="00954FBC" w:rsidRPr="004654BF" w:rsidRDefault="00954FBC" w:rsidP="00954FBC">
                  <w:pPr>
                    <w:pStyle w:val="tablebody0"/>
                  </w:pPr>
                  <w:r w:rsidRPr="003161DC">
                    <w:rPr>
                      <w:iCs/>
                    </w:rPr>
                    <w:t>second</w:t>
                  </w:r>
                </w:p>
              </w:tc>
              <w:tc>
                <w:tcPr>
                  <w:tcW w:w="3074" w:type="pct"/>
                </w:tcPr>
                <w:p w14:paraId="7217F252" w14:textId="77777777" w:rsidR="00954FBC" w:rsidRPr="000C2EDA" w:rsidRDefault="00954FBC" w:rsidP="00954FBC">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08DE15CC" w14:textId="77777777" w:rsidTr="00F12B75">
              <w:trPr>
                <w:cantSplit/>
              </w:trPr>
              <w:tc>
                <w:tcPr>
                  <w:tcW w:w="1295" w:type="pct"/>
                </w:tcPr>
                <w:p w14:paraId="004E7264" w14:textId="77777777" w:rsidR="00954FBC" w:rsidRPr="00234E94" w:rsidRDefault="00954FBC" w:rsidP="00954FBC">
                  <w:pPr>
                    <w:pStyle w:val="tablebody0"/>
                    <w:rPr>
                      <w:i/>
                    </w:rPr>
                  </w:pPr>
                  <w:r w:rsidRPr="00234E94">
                    <w:rPr>
                      <w:i/>
                    </w:rPr>
                    <w:t>y</w:t>
                  </w:r>
                </w:p>
              </w:tc>
              <w:tc>
                <w:tcPr>
                  <w:tcW w:w="631" w:type="pct"/>
                </w:tcPr>
                <w:p w14:paraId="5C870C3E" w14:textId="77777777" w:rsidR="00954FBC" w:rsidRPr="00234E94" w:rsidRDefault="00954FBC" w:rsidP="00954FBC">
                  <w:pPr>
                    <w:pStyle w:val="tablebody0"/>
                  </w:pPr>
                  <w:r w:rsidRPr="00234E94">
                    <w:t>none</w:t>
                  </w:r>
                </w:p>
              </w:tc>
              <w:tc>
                <w:tcPr>
                  <w:tcW w:w="3074" w:type="pct"/>
                </w:tcPr>
                <w:p w14:paraId="43ED7CEB" w14:textId="77777777" w:rsidR="00954FBC" w:rsidRPr="00234E94" w:rsidRDefault="00954FBC" w:rsidP="00954FBC">
                  <w:pPr>
                    <w:pStyle w:val="tablebody0"/>
                  </w:pPr>
                  <w:r w:rsidRPr="00234E94">
                    <w:t>A SCED interval in the 15-minute Settlement Interval.</w:t>
                  </w:r>
                </w:p>
              </w:tc>
            </w:tr>
          </w:tbl>
          <w:p w14:paraId="4AF6DF18" w14:textId="77777777" w:rsidR="00954FBC" w:rsidRDefault="00954FBC" w:rsidP="00954FBC">
            <w:pPr>
              <w:spacing w:before="240" w:after="240"/>
              <w:ind w:left="720" w:hanging="720"/>
            </w:pPr>
            <w:r>
              <w:rPr>
                <w:bCs/>
                <w:snapToGrid w:val="0"/>
              </w:rPr>
              <w:t>(5</w:t>
            </w:r>
            <w:r w:rsidRPr="000C2EDA">
              <w:rPr>
                <w:bCs/>
                <w:snapToGrid w:val="0"/>
              </w:rPr>
              <w:t>)</w:t>
            </w:r>
            <w:r w:rsidRPr="00F26DA0">
              <w:t xml:space="preserve"> </w:t>
            </w:r>
            <w:r w:rsidRPr="003161DC">
              <w:tab/>
            </w:r>
            <w:r>
              <w:t>The Real-Time MCPC for Non-Spin is the time-weighted average of the sum of the Real-Time MCPC for Non-Spin and Real-Time Reliability Deployment Price Adders for Ancillary Service for Non-Spin of each SCED interval in the 15-minute Settlement Interval.  The Real-Time MCPC for Non-Spin for a 15-minute Settlement Interval is calculated as follows</w:t>
            </w:r>
            <w:r w:rsidRPr="003161DC">
              <w:t>:</w:t>
            </w:r>
          </w:p>
          <w:p w14:paraId="7BD96718" w14:textId="4E56E6CC" w:rsidR="00954FBC" w:rsidRPr="00C3449C" w:rsidRDefault="00954FBC" w:rsidP="00954FBC">
            <w:pPr>
              <w:pStyle w:val="FormulaBold"/>
              <w:rPr>
                <w:i/>
                <w:vertAlign w:val="subscript"/>
              </w:rPr>
            </w:pPr>
            <w:r w:rsidRPr="00C3449C">
              <w:t>RTMCPC</w:t>
            </w:r>
            <w:r>
              <w:t>NS</w:t>
            </w:r>
            <w:r w:rsidRPr="00C3449C">
              <w:t xml:space="preserve">  =   </w:t>
            </w:r>
            <w:r w:rsidRPr="00C3449C">
              <w:rPr>
                <w:position w:val="-22"/>
              </w:rPr>
              <w:object w:dxaOrig="225" w:dyaOrig="465" w14:anchorId="4C5BE157">
                <v:shape id="_x0000_i1077" type="#_x0000_t75" style="width:24pt;height:18pt" o:ole="">
                  <v:imagedata r:id="rId22" o:title=""/>
                </v:shape>
                <o:OLEObject Type="Embed" ProgID="Equation.3" ShapeID="_x0000_i1077" DrawAspect="Content" ObjectID="_1815025267" r:id="rId78"/>
              </w:object>
            </w:r>
            <w:r w:rsidRPr="00C3449C">
              <w:t xml:space="preserve"> (RNWF </w:t>
            </w:r>
            <w:r w:rsidRPr="00C3449C">
              <w:rPr>
                <w:i/>
                <w:vertAlign w:val="subscript"/>
              </w:rPr>
              <w:t>y</w:t>
            </w:r>
            <w:r w:rsidRPr="00C3449C">
              <w:t xml:space="preserve"> * </w:t>
            </w:r>
            <w:r>
              <w:t>(</w:t>
            </w:r>
            <w:r w:rsidRPr="00C3449C">
              <w:t>RTMCPC</w:t>
            </w:r>
            <w:r>
              <w:t>NSS</w:t>
            </w:r>
            <w:r w:rsidRPr="00C3449C">
              <w:t xml:space="preserve"> </w:t>
            </w:r>
            <w:r w:rsidRPr="00C3449C">
              <w:rPr>
                <w:i/>
                <w:vertAlign w:val="subscript"/>
              </w:rPr>
              <w:t>y</w:t>
            </w:r>
            <w:r>
              <w:t xml:space="preserve">+ </w:t>
            </w:r>
            <w:r w:rsidRPr="00BE2778">
              <w:t>RTR</w:t>
            </w:r>
            <w:r>
              <w:t>D</w:t>
            </w:r>
            <w:r w:rsidRPr="00BE2778">
              <w:t>PA</w:t>
            </w:r>
            <w:r>
              <w:t xml:space="preserve">NSS </w:t>
            </w:r>
            <w:r w:rsidRPr="000C2EDA">
              <w:rPr>
                <w:i/>
                <w:vertAlign w:val="subscript"/>
              </w:rPr>
              <w:t>y</w:t>
            </w:r>
            <w:r w:rsidRPr="00D8145C">
              <w:t>)</w:t>
            </w:r>
            <w:r w:rsidRPr="00C3449C">
              <w:t>)</w:t>
            </w:r>
          </w:p>
          <w:p w14:paraId="5E54F994" w14:textId="77777777" w:rsidR="00954FBC" w:rsidRDefault="00954FBC" w:rsidP="00954FBC">
            <w:pPr>
              <w:pStyle w:val="BodyTextNumbered"/>
              <w:ind w:left="0" w:firstLine="0"/>
            </w:pPr>
            <w:r>
              <w:t>Where:</w:t>
            </w:r>
          </w:p>
          <w:p w14:paraId="7CF79853" w14:textId="3AE59927"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7BE0B5A5">
                <v:shape id="_x0000_i1078" type="#_x0000_t75" style="width:24pt;height:18pt" o:ole="">
                  <v:imagedata r:id="rId22" o:title=""/>
                </v:shape>
                <o:OLEObject Type="Embed" ProgID="Equation.3" ShapeID="_x0000_i1078" DrawAspect="Content" ObjectID="_1815025268" r:id="rId79"/>
              </w:object>
            </w:r>
            <w:r>
              <w:t xml:space="preserve">TLMP </w:t>
            </w:r>
            <w:r>
              <w:rPr>
                <w:i/>
                <w:vertAlign w:val="subscript"/>
              </w:rPr>
              <w:t>y</w:t>
            </w:r>
          </w:p>
          <w:p w14:paraId="419BA821"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7E22D7E1"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0B8DDD1F"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5C68ADA6"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36DAACC5" w14:textId="77777777" w:rsidR="00954FBC" w:rsidRDefault="00954FBC" w:rsidP="00954FBC">
                  <w:pPr>
                    <w:pStyle w:val="TableHead"/>
                  </w:pPr>
                  <w:r>
                    <w:t>Description</w:t>
                  </w:r>
                </w:p>
              </w:tc>
            </w:tr>
            <w:tr w:rsidR="00954FBC" w14:paraId="38CF2627"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19C0DC89" w14:textId="77777777" w:rsidR="00954FBC" w:rsidRDefault="00954FBC" w:rsidP="00954FBC">
                  <w:pPr>
                    <w:pStyle w:val="tablebody0"/>
                  </w:pPr>
                  <w:r>
                    <w:t xml:space="preserve">RTMCPCNS </w:t>
                  </w:r>
                </w:p>
              </w:tc>
              <w:tc>
                <w:tcPr>
                  <w:tcW w:w="631" w:type="pct"/>
                  <w:tcBorders>
                    <w:top w:val="single" w:sz="4" w:space="0" w:color="auto"/>
                    <w:left w:val="single" w:sz="4" w:space="0" w:color="auto"/>
                    <w:bottom w:val="single" w:sz="4" w:space="0" w:color="auto"/>
                    <w:right w:val="single" w:sz="4" w:space="0" w:color="auto"/>
                  </w:tcBorders>
                  <w:hideMark/>
                </w:tcPr>
                <w:p w14:paraId="16D928BF"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23FCEAF9" w14:textId="77777777" w:rsidR="00954FBC" w:rsidRDefault="00954FBC" w:rsidP="00954FBC">
                  <w:pPr>
                    <w:pStyle w:val="tablebody0"/>
                    <w:rPr>
                      <w:i/>
                    </w:rPr>
                  </w:pPr>
                  <w:r>
                    <w:rPr>
                      <w:i/>
                      <w:szCs w:val="18"/>
                    </w:rPr>
                    <w:t xml:space="preserve">Real-Time Market Clearing Price for Capacity for </w:t>
                  </w:r>
                  <w:r>
                    <w:rPr>
                      <w:i/>
                    </w:rPr>
                    <w:t>Non-Spin</w:t>
                  </w:r>
                  <w:r>
                    <w:t xml:space="preserve"> </w:t>
                  </w:r>
                  <w:r>
                    <w:rPr>
                      <w:i/>
                      <w:szCs w:val="18"/>
                    </w:rPr>
                    <w:t>-</w:t>
                  </w:r>
                  <w:r>
                    <w:t xml:space="preserve"> The Real-Time MCPC for Non-Spin for the 15-minute Settlement Interval.</w:t>
                  </w:r>
                </w:p>
              </w:tc>
            </w:tr>
            <w:tr w:rsidR="00954FBC" w14:paraId="0C47F05C"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DF77BE2" w14:textId="77777777" w:rsidR="00954FBC" w:rsidRDefault="00954FBC" w:rsidP="00954FBC">
                  <w:pPr>
                    <w:pStyle w:val="tablebody0"/>
                  </w:pPr>
                  <w:r>
                    <w:lastRenderedPageBreak/>
                    <w:t>RTMCPCNSS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1A588584"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5106C888" w14:textId="77777777" w:rsidR="00954FBC" w:rsidRDefault="00954FBC" w:rsidP="00954FBC">
                  <w:pPr>
                    <w:pStyle w:val="tablebody0"/>
                    <w:rPr>
                      <w:i/>
                      <w:szCs w:val="18"/>
                    </w:rPr>
                  </w:pPr>
                  <w:r>
                    <w:rPr>
                      <w:i/>
                      <w:szCs w:val="18"/>
                    </w:rPr>
                    <w:t xml:space="preserve">Real-Time Market Clearing Price for Capacity </w:t>
                  </w:r>
                  <w:r w:rsidRPr="00D16F57">
                    <w:rPr>
                      <w:i/>
                      <w:szCs w:val="18"/>
                    </w:rPr>
                    <w:t xml:space="preserve">for </w:t>
                  </w:r>
                  <w:r>
                    <w:rPr>
                      <w:i/>
                    </w:rPr>
                    <w:t>Non-Spin</w:t>
                  </w:r>
                  <w:r>
                    <w:t xml:space="preserve"> </w:t>
                  </w:r>
                  <w:r>
                    <w:rPr>
                      <w:i/>
                    </w:rPr>
                    <w:t xml:space="preserve">per SCED interval </w:t>
                  </w:r>
                  <w:r>
                    <w:rPr>
                      <w:i/>
                      <w:szCs w:val="18"/>
                    </w:rPr>
                    <w:t>-</w:t>
                  </w:r>
                  <w:r>
                    <w:t xml:space="preserve"> The Real-Time MCPC for Non-Spin for the SCED interval </w:t>
                  </w:r>
                  <w:r>
                    <w:rPr>
                      <w:i/>
                    </w:rPr>
                    <w:t>y.</w:t>
                  </w:r>
                </w:p>
              </w:tc>
            </w:tr>
            <w:tr w:rsidR="00954FBC" w:rsidRPr="00234E94" w14:paraId="0AC667B6" w14:textId="77777777" w:rsidTr="00F12B75">
              <w:trPr>
                <w:cantSplit/>
              </w:trPr>
              <w:tc>
                <w:tcPr>
                  <w:tcW w:w="1295" w:type="pct"/>
                </w:tcPr>
                <w:p w14:paraId="3EDCC2ED" w14:textId="77777777" w:rsidR="00954FBC" w:rsidRPr="00234E94" w:rsidRDefault="00954FBC" w:rsidP="00954FBC">
                  <w:pPr>
                    <w:pStyle w:val="tablebody0"/>
                    <w:rPr>
                      <w:i/>
                    </w:rPr>
                  </w:pPr>
                  <w:r w:rsidRPr="004654BF">
                    <w:t>RTR</w:t>
                  </w:r>
                  <w:r>
                    <w:t>D</w:t>
                  </w:r>
                  <w:r w:rsidRPr="004654BF">
                    <w:t>PA</w:t>
                  </w:r>
                  <w:r>
                    <w:t xml:space="preserve">NSS </w:t>
                  </w:r>
                  <w:r w:rsidRPr="000C2EDA">
                    <w:rPr>
                      <w:i/>
                    </w:rPr>
                    <w:t>y</w:t>
                  </w:r>
                </w:p>
              </w:tc>
              <w:tc>
                <w:tcPr>
                  <w:tcW w:w="631" w:type="pct"/>
                </w:tcPr>
                <w:p w14:paraId="362EDF35" w14:textId="77777777" w:rsidR="00954FBC" w:rsidRPr="00234E94" w:rsidRDefault="00954FBC" w:rsidP="00954FBC">
                  <w:pPr>
                    <w:pStyle w:val="tablebody0"/>
                  </w:pPr>
                  <w:r w:rsidRPr="004654BF">
                    <w:t>$/MW</w:t>
                  </w:r>
                </w:p>
              </w:tc>
              <w:tc>
                <w:tcPr>
                  <w:tcW w:w="3074" w:type="pct"/>
                </w:tcPr>
                <w:p w14:paraId="3F35B751" w14:textId="77777777" w:rsidR="00954FBC" w:rsidRPr="00234E94" w:rsidRDefault="00954FBC" w:rsidP="00954FBC">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p>
              </w:tc>
            </w:tr>
            <w:tr w:rsidR="00954FBC" w:rsidRPr="00234E94" w14:paraId="1865EDAB" w14:textId="77777777" w:rsidTr="00F12B75">
              <w:trPr>
                <w:cantSplit/>
              </w:trPr>
              <w:tc>
                <w:tcPr>
                  <w:tcW w:w="1295" w:type="pct"/>
                </w:tcPr>
                <w:p w14:paraId="788556F4" w14:textId="77777777" w:rsidR="00954FBC" w:rsidRPr="004654BF" w:rsidRDefault="00954FBC" w:rsidP="00954FBC">
                  <w:pPr>
                    <w:pStyle w:val="tablebody0"/>
                  </w:pPr>
                  <w:r w:rsidRPr="003161DC">
                    <w:rPr>
                      <w:iCs/>
                    </w:rPr>
                    <w:t xml:space="preserve">RNWF </w:t>
                  </w:r>
                  <w:r w:rsidRPr="003161DC">
                    <w:rPr>
                      <w:i/>
                      <w:iCs/>
                      <w:vertAlign w:val="subscript"/>
                    </w:rPr>
                    <w:t>y</w:t>
                  </w:r>
                </w:p>
              </w:tc>
              <w:tc>
                <w:tcPr>
                  <w:tcW w:w="631" w:type="pct"/>
                </w:tcPr>
                <w:p w14:paraId="2E65C46E" w14:textId="77777777" w:rsidR="00954FBC" w:rsidRPr="004654BF" w:rsidRDefault="00954FBC" w:rsidP="00954FBC">
                  <w:pPr>
                    <w:pStyle w:val="tablebody0"/>
                  </w:pPr>
                  <w:r w:rsidRPr="003161DC">
                    <w:rPr>
                      <w:iCs/>
                    </w:rPr>
                    <w:t>none</w:t>
                  </w:r>
                </w:p>
              </w:tc>
              <w:tc>
                <w:tcPr>
                  <w:tcW w:w="3074" w:type="pct"/>
                </w:tcPr>
                <w:p w14:paraId="112D781F" w14:textId="77777777" w:rsidR="00954FBC" w:rsidRPr="000C2EDA" w:rsidRDefault="00954FBC" w:rsidP="00954FBC">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2DC765DF" w14:textId="77777777" w:rsidTr="00F12B75">
              <w:trPr>
                <w:cantSplit/>
              </w:trPr>
              <w:tc>
                <w:tcPr>
                  <w:tcW w:w="1295" w:type="pct"/>
                </w:tcPr>
                <w:p w14:paraId="195B79A3" w14:textId="77777777" w:rsidR="00954FBC" w:rsidRPr="004654BF" w:rsidRDefault="00954FBC" w:rsidP="00954FBC">
                  <w:pPr>
                    <w:pStyle w:val="tablebody0"/>
                  </w:pPr>
                  <w:r w:rsidRPr="003161DC">
                    <w:rPr>
                      <w:iCs/>
                    </w:rPr>
                    <w:t xml:space="preserve">TLMP </w:t>
                  </w:r>
                  <w:r w:rsidRPr="003161DC">
                    <w:rPr>
                      <w:i/>
                      <w:iCs/>
                      <w:vertAlign w:val="subscript"/>
                    </w:rPr>
                    <w:t>y</w:t>
                  </w:r>
                </w:p>
              </w:tc>
              <w:tc>
                <w:tcPr>
                  <w:tcW w:w="631" w:type="pct"/>
                </w:tcPr>
                <w:p w14:paraId="655624C0" w14:textId="77777777" w:rsidR="00954FBC" w:rsidRPr="004654BF" w:rsidRDefault="00954FBC" w:rsidP="00954FBC">
                  <w:pPr>
                    <w:pStyle w:val="tablebody0"/>
                  </w:pPr>
                  <w:r w:rsidRPr="003161DC">
                    <w:rPr>
                      <w:iCs/>
                    </w:rPr>
                    <w:t>second</w:t>
                  </w:r>
                </w:p>
              </w:tc>
              <w:tc>
                <w:tcPr>
                  <w:tcW w:w="3074" w:type="pct"/>
                </w:tcPr>
                <w:p w14:paraId="34CCBEFB" w14:textId="77777777" w:rsidR="00954FBC" w:rsidRPr="000C2EDA" w:rsidRDefault="00954FBC" w:rsidP="00954FBC">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771AD593" w14:textId="77777777" w:rsidTr="00F12B75">
              <w:trPr>
                <w:cantSplit/>
              </w:trPr>
              <w:tc>
                <w:tcPr>
                  <w:tcW w:w="1295" w:type="pct"/>
                </w:tcPr>
                <w:p w14:paraId="559BE8D0" w14:textId="77777777" w:rsidR="00954FBC" w:rsidRPr="00234E94" w:rsidRDefault="00954FBC" w:rsidP="00954FBC">
                  <w:pPr>
                    <w:pStyle w:val="tablebody0"/>
                    <w:rPr>
                      <w:i/>
                    </w:rPr>
                  </w:pPr>
                  <w:r w:rsidRPr="00234E94">
                    <w:rPr>
                      <w:i/>
                    </w:rPr>
                    <w:t>y</w:t>
                  </w:r>
                </w:p>
              </w:tc>
              <w:tc>
                <w:tcPr>
                  <w:tcW w:w="631" w:type="pct"/>
                </w:tcPr>
                <w:p w14:paraId="593F545E" w14:textId="77777777" w:rsidR="00954FBC" w:rsidRPr="00234E94" w:rsidRDefault="00954FBC" w:rsidP="00954FBC">
                  <w:pPr>
                    <w:pStyle w:val="tablebody0"/>
                  </w:pPr>
                  <w:r w:rsidRPr="00234E94">
                    <w:t>none</w:t>
                  </w:r>
                </w:p>
              </w:tc>
              <w:tc>
                <w:tcPr>
                  <w:tcW w:w="3074" w:type="pct"/>
                </w:tcPr>
                <w:p w14:paraId="6D948E0F" w14:textId="77777777" w:rsidR="00954FBC" w:rsidRPr="00234E94" w:rsidRDefault="00954FBC" w:rsidP="00954FBC">
                  <w:pPr>
                    <w:pStyle w:val="tablebody0"/>
                  </w:pPr>
                  <w:r w:rsidRPr="00234E94">
                    <w:t>A SCED interval in the 15-minute Settlement Interval.</w:t>
                  </w:r>
                </w:p>
              </w:tc>
            </w:tr>
          </w:tbl>
          <w:p w14:paraId="77592508" w14:textId="0B8D6252" w:rsidR="003F739B" w:rsidRPr="00B37C4B" w:rsidRDefault="003F739B" w:rsidP="00EC5231">
            <w:pPr>
              <w:spacing w:after="240"/>
              <w:ind w:left="720" w:hanging="720"/>
            </w:pPr>
          </w:p>
        </w:tc>
      </w:tr>
    </w:tbl>
    <w:p w14:paraId="202A81E3" w14:textId="77777777" w:rsidR="00954FBC" w:rsidRPr="003F739B" w:rsidRDefault="00954FBC" w:rsidP="00954FBC">
      <w:pPr>
        <w:pStyle w:val="BodyText"/>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54FBC" w14:paraId="5B632629" w14:textId="77777777" w:rsidTr="00EC5231">
        <w:trPr>
          <w:trHeight w:val="206"/>
        </w:trPr>
        <w:tc>
          <w:tcPr>
            <w:tcW w:w="9576" w:type="dxa"/>
            <w:shd w:val="pct12" w:color="auto" w:fill="auto"/>
          </w:tcPr>
          <w:p w14:paraId="19C596AB" w14:textId="2A8DE884" w:rsidR="00954FBC" w:rsidRDefault="00954FBC" w:rsidP="00EC5231">
            <w:pPr>
              <w:pStyle w:val="Instructions"/>
              <w:spacing w:before="120"/>
            </w:pPr>
            <w:r>
              <w:t>[NPRR1010:  Insert Section 6.6.1.7 below upon system implementation of the Real-Time Co-Optimization (RTC) project:]</w:t>
            </w:r>
          </w:p>
          <w:p w14:paraId="111443F9" w14:textId="77777777" w:rsidR="007022F8" w:rsidRDefault="007022F8" w:rsidP="007022F8">
            <w:pPr>
              <w:keepNext/>
              <w:widowControl w:val="0"/>
              <w:spacing w:before="240" w:after="240"/>
              <w:outlineLvl w:val="3"/>
              <w:rPr>
                <w:b/>
                <w:bCs/>
                <w:snapToGrid w:val="0"/>
              </w:rPr>
            </w:pPr>
            <w:bookmarkStart w:id="1762" w:name="_Toc204411654"/>
            <w:r w:rsidRPr="003161DC">
              <w:rPr>
                <w:b/>
                <w:bCs/>
                <w:snapToGrid w:val="0"/>
              </w:rPr>
              <w:t>6.6.1.</w:t>
            </w:r>
            <w:r>
              <w:rPr>
                <w:b/>
                <w:bCs/>
                <w:snapToGrid w:val="0"/>
              </w:rPr>
              <w:t>7</w:t>
            </w:r>
            <w:r w:rsidRPr="003161DC">
              <w:rPr>
                <w:b/>
                <w:bCs/>
                <w:snapToGrid w:val="0"/>
              </w:rPr>
              <w:tab/>
            </w:r>
            <w:r w:rsidRPr="003161DC">
              <w:rPr>
                <w:b/>
                <w:bCs/>
                <w:snapToGrid w:val="0"/>
              </w:rPr>
              <w:tab/>
            </w:r>
            <w:r>
              <w:rPr>
                <w:b/>
                <w:bCs/>
                <w:snapToGrid w:val="0"/>
              </w:rPr>
              <w:t>Real-Time Reliability Deployment Prices for Ancillary Services</w:t>
            </w:r>
            <w:bookmarkEnd w:id="1762"/>
          </w:p>
          <w:p w14:paraId="51805696" w14:textId="77777777" w:rsidR="007022F8" w:rsidRDefault="007022F8" w:rsidP="007022F8">
            <w:pPr>
              <w:spacing w:after="240"/>
              <w:ind w:left="720" w:hanging="720"/>
            </w:pPr>
            <w:r w:rsidRPr="003161DC">
              <w:t>(1)</w:t>
            </w:r>
            <w:r w:rsidRPr="003161DC">
              <w:tab/>
            </w:r>
            <w:r>
              <w:t>The Real-Time Reliability Deployment Price for Ancillary Service for Reg-Up (RTRDPRU) is the time-weighted average of the sum of the Real-Time Reliability Deployment Price Adders for Ancillary Service for Reg-Up per SCED interval.  The Real-Time Reliability Deployment Price for Ancillary Service for Reg-Up for a 15-minute Settlement Interval is calculated as follows:</w:t>
            </w:r>
          </w:p>
          <w:p w14:paraId="43869BFF" w14:textId="06AA7B6E" w:rsidR="007022F8" w:rsidRPr="00C3449C" w:rsidRDefault="007022F8" w:rsidP="007022F8">
            <w:pPr>
              <w:pStyle w:val="FormulaBold"/>
              <w:rPr>
                <w:i/>
                <w:vertAlign w:val="subscript"/>
              </w:rPr>
            </w:pPr>
            <w:r>
              <w:t>RTRDPRU</w:t>
            </w:r>
            <w:r w:rsidRPr="00C3449C">
              <w:t xml:space="preserve">  =   </w:t>
            </w:r>
            <w:r w:rsidRPr="00C3449C">
              <w:rPr>
                <w:position w:val="-22"/>
              </w:rPr>
              <w:object w:dxaOrig="225" w:dyaOrig="465" w14:anchorId="6058CF26">
                <v:shape id="_x0000_i1079" type="#_x0000_t75" style="width:24pt;height:18pt" o:ole="">
                  <v:imagedata r:id="rId22" o:title=""/>
                </v:shape>
                <o:OLEObject Type="Embed" ProgID="Equation.3" ShapeID="_x0000_i1079" DrawAspect="Content" ObjectID="_1815025269" r:id="rId80"/>
              </w:object>
            </w:r>
            <w:r w:rsidRPr="00C3449C">
              <w:t xml:space="preserve"> (RNWF </w:t>
            </w:r>
            <w:r w:rsidRPr="00C3449C">
              <w:rPr>
                <w:i/>
                <w:vertAlign w:val="subscript"/>
              </w:rPr>
              <w:t>y</w:t>
            </w:r>
            <w:r>
              <w:t xml:space="preserve"> *</w:t>
            </w:r>
            <w:r w:rsidRPr="00D16F57">
              <w:t xml:space="preserve"> </w:t>
            </w:r>
            <w:r>
              <w:t xml:space="preserve"> </w:t>
            </w:r>
            <w:r w:rsidRPr="00C3223E">
              <w:t>RTR</w:t>
            </w:r>
            <w:r>
              <w:t>D</w:t>
            </w:r>
            <w:r w:rsidRPr="00A4635A">
              <w:t>PAR</w:t>
            </w:r>
            <w:r w:rsidRPr="00C3223E">
              <w:t>U</w:t>
            </w:r>
            <w:r>
              <w:t xml:space="preserve">S </w:t>
            </w:r>
            <w:r w:rsidRPr="008F0B2B">
              <w:rPr>
                <w:i/>
                <w:iCs/>
                <w:vertAlign w:val="subscript"/>
              </w:rPr>
              <w:t>y</w:t>
            </w:r>
            <w:r>
              <w:t>)</w:t>
            </w:r>
          </w:p>
          <w:p w14:paraId="1E1B67DF" w14:textId="77777777" w:rsidR="007022F8" w:rsidRDefault="007022F8" w:rsidP="007022F8">
            <w:pPr>
              <w:pStyle w:val="BodyTextNumbered"/>
              <w:ind w:left="0" w:firstLine="0"/>
            </w:pPr>
            <w:r>
              <w:t>Where:</w:t>
            </w:r>
          </w:p>
          <w:p w14:paraId="1C6C8E83" w14:textId="598449A8"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4A0FBDAB">
                <v:shape id="_x0000_i1080" type="#_x0000_t75" style="width:24pt;height:18pt" o:ole="">
                  <v:imagedata r:id="rId22" o:title=""/>
                </v:shape>
                <o:OLEObject Type="Embed" ProgID="Equation.3" ShapeID="_x0000_i1080" DrawAspect="Content" ObjectID="_1815025270" r:id="rId81"/>
              </w:object>
            </w:r>
            <w:r>
              <w:t xml:space="preserve">TLMP </w:t>
            </w:r>
            <w:r>
              <w:rPr>
                <w:i/>
                <w:vertAlign w:val="subscript"/>
              </w:rPr>
              <w:t>y</w:t>
            </w:r>
          </w:p>
          <w:p w14:paraId="0BA3E96C"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05888C76"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2A3E7FB2"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3AB590A1"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627A3678" w14:textId="77777777" w:rsidR="007022F8" w:rsidRDefault="007022F8" w:rsidP="007022F8">
                  <w:pPr>
                    <w:pStyle w:val="TableHead"/>
                  </w:pPr>
                  <w:r>
                    <w:t>Description</w:t>
                  </w:r>
                </w:p>
              </w:tc>
            </w:tr>
            <w:tr w:rsidR="007022F8" w:rsidRPr="00234E94" w14:paraId="3E653290" w14:textId="77777777" w:rsidTr="00F12B75">
              <w:trPr>
                <w:cantSplit/>
              </w:trPr>
              <w:tc>
                <w:tcPr>
                  <w:tcW w:w="1295" w:type="pct"/>
                </w:tcPr>
                <w:p w14:paraId="62814FCD" w14:textId="77777777" w:rsidR="007022F8" w:rsidRPr="000C2EDA" w:rsidRDefault="007022F8" w:rsidP="007022F8">
                  <w:pPr>
                    <w:pStyle w:val="tablebody0"/>
                  </w:pPr>
                  <w:r>
                    <w:t>RTRDPRU</w:t>
                  </w:r>
                </w:p>
              </w:tc>
              <w:tc>
                <w:tcPr>
                  <w:tcW w:w="631" w:type="pct"/>
                </w:tcPr>
                <w:p w14:paraId="15DF4983" w14:textId="77777777" w:rsidR="007022F8" w:rsidRPr="00536A53" w:rsidRDefault="007022F8" w:rsidP="007022F8">
                  <w:pPr>
                    <w:pStyle w:val="tablebody0"/>
                  </w:pPr>
                  <w:r w:rsidRPr="00536A53">
                    <w:t>$/MW</w:t>
                  </w:r>
                </w:p>
              </w:tc>
              <w:tc>
                <w:tcPr>
                  <w:tcW w:w="3074" w:type="pct"/>
                </w:tcPr>
                <w:p w14:paraId="3213D87E" w14:textId="77777777" w:rsidR="007022F8" w:rsidRPr="00691E57" w:rsidRDefault="007022F8" w:rsidP="007022F8">
                  <w:pPr>
                    <w:pStyle w:val="tablebody0"/>
                    <w:rPr>
                      <w:i/>
                      <w:szCs w:val="18"/>
                    </w:rPr>
                  </w:pPr>
                  <w:r>
                    <w:rPr>
                      <w:i/>
                      <w:szCs w:val="18"/>
                    </w:rPr>
                    <w:t>Real-Time Reliability Deployment Price for Ancillary Service for Reg-Up -</w:t>
                  </w:r>
                  <w:r>
                    <w:t xml:space="preserve"> The Real-Time Reliability Deployment Price for Ancillary Service for Reg-Up for the 15-minute Settlement Interval.</w:t>
                  </w:r>
                </w:p>
              </w:tc>
            </w:tr>
            <w:tr w:rsidR="007022F8" w:rsidRPr="00234E94" w14:paraId="660BD5B5" w14:textId="77777777" w:rsidTr="00F12B75">
              <w:trPr>
                <w:cantSplit/>
              </w:trPr>
              <w:tc>
                <w:tcPr>
                  <w:tcW w:w="1295" w:type="pct"/>
                </w:tcPr>
                <w:p w14:paraId="4B51A184" w14:textId="77777777" w:rsidR="007022F8" w:rsidRPr="00234E94" w:rsidRDefault="007022F8" w:rsidP="007022F8">
                  <w:pPr>
                    <w:pStyle w:val="tablebody0"/>
                    <w:rPr>
                      <w:i/>
                    </w:rPr>
                  </w:pPr>
                  <w:r w:rsidRPr="000C2EDA">
                    <w:t>RTR</w:t>
                  </w:r>
                  <w:r>
                    <w:t>D</w:t>
                  </w:r>
                  <w:r w:rsidRPr="000C2EDA">
                    <w:t>PA</w:t>
                  </w:r>
                  <w:r>
                    <w:t>RUS</w:t>
                  </w:r>
                  <w:r>
                    <w:rPr>
                      <w:rFonts w:ascii="Segoe UI" w:hAnsi="Segoe UI" w:cs="Segoe UI"/>
                      <w:color w:val="000000"/>
                    </w:rPr>
                    <w:t xml:space="preserve"> </w:t>
                  </w:r>
                  <w:r w:rsidRPr="00BE2778">
                    <w:rPr>
                      <w:i/>
                      <w:vertAlign w:val="subscript"/>
                    </w:rPr>
                    <w:t>y</w:t>
                  </w:r>
                </w:p>
              </w:tc>
              <w:tc>
                <w:tcPr>
                  <w:tcW w:w="631" w:type="pct"/>
                </w:tcPr>
                <w:p w14:paraId="15AE31AD" w14:textId="77777777" w:rsidR="007022F8" w:rsidRPr="00234E94" w:rsidRDefault="007022F8" w:rsidP="007022F8">
                  <w:pPr>
                    <w:pStyle w:val="tablebody0"/>
                  </w:pPr>
                  <w:r w:rsidRPr="00536A53">
                    <w:t>$/MW</w:t>
                  </w:r>
                </w:p>
              </w:tc>
              <w:tc>
                <w:tcPr>
                  <w:tcW w:w="3074" w:type="pct"/>
                </w:tcPr>
                <w:p w14:paraId="56B482D4" w14:textId="77777777" w:rsidR="007022F8" w:rsidRPr="00234E94" w:rsidRDefault="007022F8" w:rsidP="007022F8">
                  <w:pPr>
                    <w:pStyle w:val="tablebody0"/>
                  </w:pPr>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p>
              </w:tc>
            </w:tr>
            <w:tr w:rsidR="007022F8" w:rsidRPr="00234E94" w14:paraId="2EC000DD" w14:textId="77777777" w:rsidTr="00F12B75">
              <w:trPr>
                <w:cantSplit/>
              </w:trPr>
              <w:tc>
                <w:tcPr>
                  <w:tcW w:w="1295" w:type="pct"/>
                </w:tcPr>
                <w:p w14:paraId="6F1260A9" w14:textId="77777777" w:rsidR="007022F8" w:rsidRPr="000C2EDA" w:rsidRDefault="007022F8" w:rsidP="007022F8">
                  <w:pPr>
                    <w:pStyle w:val="tablebody0"/>
                  </w:pPr>
                  <w:r w:rsidRPr="003161DC">
                    <w:rPr>
                      <w:iCs/>
                    </w:rPr>
                    <w:t xml:space="preserve">RNWF </w:t>
                  </w:r>
                  <w:r w:rsidRPr="003161DC">
                    <w:rPr>
                      <w:i/>
                      <w:iCs/>
                      <w:vertAlign w:val="subscript"/>
                    </w:rPr>
                    <w:t>y</w:t>
                  </w:r>
                </w:p>
              </w:tc>
              <w:tc>
                <w:tcPr>
                  <w:tcW w:w="631" w:type="pct"/>
                </w:tcPr>
                <w:p w14:paraId="2F13206B" w14:textId="77777777" w:rsidR="007022F8" w:rsidRPr="00536A53" w:rsidRDefault="007022F8" w:rsidP="007022F8">
                  <w:pPr>
                    <w:pStyle w:val="tablebody0"/>
                  </w:pPr>
                  <w:r w:rsidRPr="003161DC">
                    <w:rPr>
                      <w:iCs/>
                    </w:rPr>
                    <w:t>none</w:t>
                  </w:r>
                </w:p>
              </w:tc>
              <w:tc>
                <w:tcPr>
                  <w:tcW w:w="3074" w:type="pct"/>
                </w:tcPr>
                <w:p w14:paraId="0BCF6771" w14:textId="77777777" w:rsidR="007022F8" w:rsidRPr="00691E57" w:rsidRDefault="007022F8" w:rsidP="007022F8">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4CC27D8D" w14:textId="77777777" w:rsidTr="00F12B75">
              <w:trPr>
                <w:cantSplit/>
              </w:trPr>
              <w:tc>
                <w:tcPr>
                  <w:tcW w:w="1295" w:type="pct"/>
                </w:tcPr>
                <w:p w14:paraId="16EDFB93" w14:textId="77777777" w:rsidR="007022F8" w:rsidRPr="000C2EDA" w:rsidRDefault="007022F8" w:rsidP="007022F8">
                  <w:pPr>
                    <w:pStyle w:val="tablebody0"/>
                  </w:pPr>
                  <w:r w:rsidRPr="003161DC">
                    <w:rPr>
                      <w:iCs/>
                    </w:rPr>
                    <w:t xml:space="preserve">TLMP </w:t>
                  </w:r>
                  <w:r w:rsidRPr="003161DC">
                    <w:rPr>
                      <w:i/>
                      <w:iCs/>
                      <w:vertAlign w:val="subscript"/>
                    </w:rPr>
                    <w:t>y</w:t>
                  </w:r>
                </w:p>
              </w:tc>
              <w:tc>
                <w:tcPr>
                  <w:tcW w:w="631" w:type="pct"/>
                </w:tcPr>
                <w:p w14:paraId="42D8EF59" w14:textId="77777777" w:rsidR="007022F8" w:rsidRPr="00536A53" w:rsidRDefault="007022F8" w:rsidP="007022F8">
                  <w:pPr>
                    <w:pStyle w:val="tablebody0"/>
                  </w:pPr>
                  <w:r w:rsidRPr="003161DC">
                    <w:rPr>
                      <w:iCs/>
                    </w:rPr>
                    <w:t>second</w:t>
                  </w:r>
                </w:p>
              </w:tc>
              <w:tc>
                <w:tcPr>
                  <w:tcW w:w="3074" w:type="pct"/>
                </w:tcPr>
                <w:p w14:paraId="176304F9" w14:textId="77777777" w:rsidR="007022F8" w:rsidRPr="00691E57" w:rsidRDefault="007022F8" w:rsidP="007022F8">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57D87A7E" w14:textId="77777777" w:rsidTr="00F12B75">
              <w:trPr>
                <w:cantSplit/>
              </w:trPr>
              <w:tc>
                <w:tcPr>
                  <w:tcW w:w="1295" w:type="pct"/>
                </w:tcPr>
                <w:p w14:paraId="5C5773CC" w14:textId="77777777" w:rsidR="007022F8" w:rsidRPr="00234E94" w:rsidRDefault="007022F8" w:rsidP="007022F8">
                  <w:pPr>
                    <w:pStyle w:val="tablebody0"/>
                    <w:rPr>
                      <w:i/>
                    </w:rPr>
                  </w:pPr>
                  <w:r w:rsidRPr="00234E94">
                    <w:rPr>
                      <w:i/>
                    </w:rPr>
                    <w:lastRenderedPageBreak/>
                    <w:t>y</w:t>
                  </w:r>
                </w:p>
              </w:tc>
              <w:tc>
                <w:tcPr>
                  <w:tcW w:w="631" w:type="pct"/>
                </w:tcPr>
                <w:p w14:paraId="22023054" w14:textId="77777777" w:rsidR="007022F8" w:rsidRPr="00234E94" w:rsidRDefault="007022F8" w:rsidP="007022F8">
                  <w:pPr>
                    <w:pStyle w:val="tablebody0"/>
                  </w:pPr>
                  <w:r w:rsidRPr="00234E94">
                    <w:t>none</w:t>
                  </w:r>
                </w:p>
              </w:tc>
              <w:tc>
                <w:tcPr>
                  <w:tcW w:w="3074" w:type="pct"/>
                </w:tcPr>
                <w:p w14:paraId="4904CA7A" w14:textId="77777777" w:rsidR="007022F8" w:rsidRPr="00234E94" w:rsidRDefault="007022F8" w:rsidP="007022F8">
                  <w:pPr>
                    <w:pStyle w:val="tablebody0"/>
                  </w:pPr>
                  <w:r w:rsidRPr="00234E94">
                    <w:t>A SCED interval in the 15-minute Settlement Interval.</w:t>
                  </w:r>
                </w:p>
              </w:tc>
            </w:tr>
          </w:tbl>
          <w:p w14:paraId="26E01B40" w14:textId="77777777" w:rsidR="007022F8" w:rsidRDefault="007022F8" w:rsidP="007022F8">
            <w:pPr>
              <w:spacing w:before="240" w:after="240"/>
              <w:ind w:left="720" w:hanging="720"/>
            </w:pPr>
            <w:r w:rsidRPr="00D422B9">
              <w:rPr>
                <w:bCs/>
                <w:snapToGrid w:val="0"/>
              </w:rPr>
              <w:t>(2)</w:t>
            </w:r>
            <w:r w:rsidRPr="00F26DA0">
              <w:t xml:space="preserve"> </w:t>
            </w:r>
            <w:r w:rsidRPr="003161DC">
              <w:tab/>
            </w:r>
            <w:r>
              <w:t>The Real-Time Reliability Deployment Price for Ancillary Service for Reg-Down (RTRDPRD) is the time-weighted average of the sum of the Real-Time Reliability Deployment Price Adders for Ancillary Service for Reg-Down per SCED interval.  The Real-Time Reliability Deployment Price for Ancillary Service for Reg-Down for a 15-minute Settlement Interval is calculated as follows</w:t>
            </w:r>
            <w:r w:rsidRPr="003161DC">
              <w:t>:</w:t>
            </w:r>
          </w:p>
          <w:p w14:paraId="7E823A2B" w14:textId="59765C0B" w:rsidR="007022F8" w:rsidRPr="00C3449C" w:rsidRDefault="007022F8" w:rsidP="007022F8">
            <w:pPr>
              <w:pStyle w:val="FormulaBold"/>
              <w:rPr>
                <w:i/>
                <w:vertAlign w:val="subscript"/>
              </w:rPr>
            </w:pPr>
            <w:r w:rsidRPr="00C3449C">
              <w:t>RT</w:t>
            </w:r>
            <w:r>
              <w:t>RDPRD</w:t>
            </w:r>
            <w:r w:rsidRPr="00C3449C">
              <w:t xml:space="preserve">  =   </w:t>
            </w:r>
            <w:r w:rsidRPr="00C3449C">
              <w:rPr>
                <w:position w:val="-22"/>
              </w:rPr>
              <w:object w:dxaOrig="225" w:dyaOrig="465" w14:anchorId="58EC334B">
                <v:shape id="_x0000_i1081" type="#_x0000_t75" style="width:24pt;height:18pt" o:ole="">
                  <v:imagedata r:id="rId22" o:title=""/>
                </v:shape>
                <o:OLEObject Type="Embed" ProgID="Equation.3" ShapeID="_x0000_i1081" DrawAspect="Content" ObjectID="_1815025271" r:id="rId82"/>
              </w:object>
            </w:r>
            <w:r w:rsidRPr="00C3449C">
              <w:t xml:space="preserve"> (RNWF </w:t>
            </w:r>
            <w:r w:rsidRPr="00C3449C">
              <w:rPr>
                <w:i/>
                <w:vertAlign w:val="subscript"/>
              </w:rPr>
              <w:t>y</w:t>
            </w:r>
            <w:r w:rsidRPr="00C3449C">
              <w:t xml:space="preserve"> * </w:t>
            </w:r>
            <w:r w:rsidRPr="00BE2778">
              <w:t>RTR</w:t>
            </w:r>
            <w:r>
              <w:t>D</w:t>
            </w:r>
            <w:r w:rsidRPr="00BE2778">
              <w:t>PA</w:t>
            </w:r>
            <w:r>
              <w:t xml:space="preserve">RDS </w:t>
            </w:r>
            <w:r w:rsidRPr="000C2EDA">
              <w:rPr>
                <w:i/>
                <w:vertAlign w:val="subscript"/>
              </w:rPr>
              <w:t>y</w:t>
            </w:r>
            <w:r w:rsidRPr="00C3449C">
              <w:t>)</w:t>
            </w:r>
          </w:p>
          <w:p w14:paraId="64FE6E3E" w14:textId="77777777" w:rsidR="007022F8" w:rsidRDefault="007022F8" w:rsidP="007022F8">
            <w:pPr>
              <w:pStyle w:val="BodyTextNumbered"/>
              <w:ind w:left="0" w:firstLine="0"/>
            </w:pPr>
            <w:r>
              <w:t>Where:</w:t>
            </w:r>
          </w:p>
          <w:p w14:paraId="0FD82CA6" w14:textId="4854440C"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7878ACD8">
                <v:shape id="_x0000_i1082" type="#_x0000_t75" style="width:24pt;height:18pt" o:ole="">
                  <v:imagedata r:id="rId22" o:title=""/>
                </v:shape>
                <o:OLEObject Type="Embed" ProgID="Equation.3" ShapeID="_x0000_i1082" DrawAspect="Content" ObjectID="_1815025272" r:id="rId83"/>
              </w:object>
            </w:r>
            <w:r>
              <w:t xml:space="preserve">TLMP </w:t>
            </w:r>
            <w:r>
              <w:rPr>
                <w:i/>
                <w:vertAlign w:val="subscript"/>
              </w:rPr>
              <w:t>y</w:t>
            </w:r>
          </w:p>
          <w:p w14:paraId="733593E6"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33BCD82A"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6977D637"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3561D8F8"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05CD6588" w14:textId="77777777" w:rsidR="007022F8" w:rsidRDefault="007022F8" w:rsidP="007022F8">
                  <w:pPr>
                    <w:pStyle w:val="TableHead"/>
                  </w:pPr>
                  <w:r>
                    <w:t>Description</w:t>
                  </w:r>
                </w:p>
              </w:tc>
            </w:tr>
            <w:tr w:rsidR="007022F8" w14:paraId="7F9FF02F"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6EBDA137" w14:textId="77777777" w:rsidR="007022F8" w:rsidRDefault="007022F8" w:rsidP="007022F8">
                  <w:pPr>
                    <w:pStyle w:val="tablebody0"/>
                  </w:pPr>
                  <w:r>
                    <w:t>RTRDPRD</w:t>
                  </w:r>
                </w:p>
              </w:tc>
              <w:tc>
                <w:tcPr>
                  <w:tcW w:w="631" w:type="pct"/>
                  <w:tcBorders>
                    <w:top w:val="single" w:sz="4" w:space="0" w:color="auto"/>
                    <w:left w:val="single" w:sz="4" w:space="0" w:color="auto"/>
                    <w:bottom w:val="single" w:sz="4" w:space="0" w:color="auto"/>
                    <w:right w:val="single" w:sz="4" w:space="0" w:color="auto"/>
                  </w:tcBorders>
                  <w:hideMark/>
                </w:tcPr>
                <w:p w14:paraId="7BDEB2A3" w14:textId="77777777" w:rsidR="007022F8" w:rsidRDefault="007022F8" w:rsidP="007022F8">
                  <w:pPr>
                    <w:pStyle w:val="tablebody0"/>
                  </w:pPr>
                  <w:r w:rsidRPr="00536A53">
                    <w:t>$/MW</w:t>
                  </w:r>
                </w:p>
              </w:tc>
              <w:tc>
                <w:tcPr>
                  <w:tcW w:w="3074" w:type="pct"/>
                  <w:tcBorders>
                    <w:top w:val="single" w:sz="4" w:space="0" w:color="auto"/>
                    <w:left w:val="single" w:sz="4" w:space="0" w:color="auto"/>
                    <w:bottom w:val="single" w:sz="4" w:space="0" w:color="auto"/>
                    <w:right w:val="single" w:sz="4" w:space="0" w:color="auto"/>
                  </w:tcBorders>
                  <w:hideMark/>
                </w:tcPr>
                <w:p w14:paraId="29781A91" w14:textId="77777777" w:rsidR="007022F8" w:rsidRDefault="007022F8" w:rsidP="007022F8">
                  <w:pPr>
                    <w:pStyle w:val="tablebody0"/>
                    <w:rPr>
                      <w:i/>
                    </w:rPr>
                  </w:pPr>
                  <w:r>
                    <w:rPr>
                      <w:i/>
                      <w:szCs w:val="18"/>
                    </w:rPr>
                    <w:t>Real-Time Reliability Deployment Price for Ancillary Service for Reg-Down -</w:t>
                  </w:r>
                  <w:r>
                    <w:t xml:space="preserve"> The Real-Time Reliability Deployment Price for Ancillary Service for Reg-Down for the 15-minute Settlement Interval.</w:t>
                  </w:r>
                </w:p>
              </w:tc>
            </w:tr>
            <w:tr w:rsidR="007022F8" w:rsidRPr="00234E94" w14:paraId="6FDE0880" w14:textId="77777777" w:rsidTr="00F12B75">
              <w:trPr>
                <w:cantSplit/>
              </w:trPr>
              <w:tc>
                <w:tcPr>
                  <w:tcW w:w="1295" w:type="pct"/>
                </w:tcPr>
                <w:p w14:paraId="35CE2E2A" w14:textId="77777777" w:rsidR="007022F8" w:rsidRPr="00234E94" w:rsidRDefault="007022F8" w:rsidP="007022F8">
                  <w:pPr>
                    <w:pStyle w:val="tablebody0"/>
                    <w:rPr>
                      <w:i/>
                    </w:rPr>
                  </w:pPr>
                  <w:r w:rsidRPr="004D72AD">
                    <w:t>RTR</w:t>
                  </w:r>
                  <w:r>
                    <w:t>D</w:t>
                  </w:r>
                  <w:r w:rsidRPr="004D72AD">
                    <w:t>PA</w:t>
                  </w:r>
                  <w:r>
                    <w:t xml:space="preserve">RDS </w:t>
                  </w:r>
                  <w:r w:rsidRPr="000C2EDA">
                    <w:rPr>
                      <w:i/>
                    </w:rPr>
                    <w:t>y</w:t>
                  </w:r>
                </w:p>
              </w:tc>
              <w:tc>
                <w:tcPr>
                  <w:tcW w:w="631" w:type="pct"/>
                </w:tcPr>
                <w:p w14:paraId="41CDDB19" w14:textId="77777777" w:rsidR="007022F8" w:rsidRPr="00234E94" w:rsidRDefault="007022F8" w:rsidP="007022F8">
                  <w:pPr>
                    <w:pStyle w:val="tablebody0"/>
                  </w:pPr>
                  <w:r w:rsidRPr="004D72AD">
                    <w:t>$/MW</w:t>
                  </w:r>
                </w:p>
              </w:tc>
              <w:tc>
                <w:tcPr>
                  <w:tcW w:w="3074" w:type="pct"/>
                </w:tcPr>
                <w:p w14:paraId="115B1FC2" w14:textId="77777777" w:rsidR="007022F8" w:rsidRPr="00234E94" w:rsidRDefault="007022F8" w:rsidP="007022F8">
                  <w:pPr>
                    <w:pStyle w:val="tablebody0"/>
                  </w:pPr>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p>
              </w:tc>
            </w:tr>
            <w:tr w:rsidR="007022F8" w:rsidRPr="00234E94" w14:paraId="1AEEBDD7" w14:textId="77777777" w:rsidTr="00F12B75">
              <w:trPr>
                <w:cantSplit/>
              </w:trPr>
              <w:tc>
                <w:tcPr>
                  <w:tcW w:w="1295" w:type="pct"/>
                </w:tcPr>
                <w:p w14:paraId="33F90B17" w14:textId="77777777" w:rsidR="007022F8" w:rsidRPr="004D72AD" w:rsidRDefault="007022F8" w:rsidP="007022F8">
                  <w:pPr>
                    <w:pStyle w:val="tablebody0"/>
                  </w:pPr>
                  <w:r w:rsidRPr="003161DC">
                    <w:rPr>
                      <w:iCs/>
                    </w:rPr>
                    <w:t xml:space="preserve">RNWF </w:t>
                  </w:r>
                  <w:r w:rsidRPr="003161DC">
                    <w:rPr>
                      <w:i/>
                      <w:iCs/>
                      <w:vertAlign w:val="subscript"/>
                    </w:rPr>
                    <w:t>y</w:t>
                  </w:r>
                </w:p>
              </w:tc>
              <w:tc>
                <w:tcPr>
                  <w:tcW w:w="631" w:type="pct"/>
                </w:tcPr>
                <w:p w14:paraId="742B3D1B" w14:textId="77777777" w:rsidR="007022F8" w:rsidRPr="004D72AD" w:rsidRDefault="007022F8" w:rsidP="007022F8">
                  <w:pPr>
                    <w:pStyle w:val="tablebody0"/>
                  </w:pPr>
                  <w:r w:rsidRPr="003161DC">
                    <w:rPr>
                      <w:iCs/>
                    </w:rPr>
                    <w:t>none</w:t>
                  </w:r>
                </w:p>
              </w:tc>
              <w:tc>
                <w:tcPr>
                  <w:tcW w:w="3074" w:type="pct"/>
                </w:tcPr>
                <w:p w14:paraId="39D42726" w14:textId="77777777" w:rsidR="007022F8" w:rsidRPr="0091078E" w:rsidRDefault="007022F8" w:rsidP="007022F8">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442491D4" w14:textId="77777777" w:rsidTr="00F12B75">
              <w:trPr>
                <w:cantSplit/>
              </w:trPr>
              <w:tc>
                <w:tcPr>
                  <w:tcW w:w="1295" w:type="pct"/>
                </w:tcPr>
                <w:p w14:paraId="53F59D32" w14:textId="77777777" w:rsidR="007022F8" w:rsidRPr="004D72AD" w:rsidRDefault="007022F8" w:rsidP="007022F8">
                  <w:pPr>
                    <w:pStyle w:val="tablebody0"/>
                  </w:pPr>
                  <w:r w:rsidRPr="003161DC">
                    <w:rPr>
                      <w:iCs/>
                    </w:rPr>
                    <w:t xml:space="preserve">TLMP </w:t>
                  </w:r>
                  <w:r w:rsidRPr="003161DC">
                    <w:rPr>
                      <w:i/>
                      <w:iCs/>
                      <w:vertAlign w:val="subscript"/>
                    </w:rPr>
                    <w:t>y</w:t>
                  </w:r>
                </w:p>
              </w:tc>
              <w:tc>
                <w:tcPr>
                  <w:tcW w:w="631" w:type="pct"/>
                </w:tcPr>
                <w:p w14:paraId="109C7AEE" w14:textId="77777777" w:rsidR="007022F8" w:rsidRPr="004D72AD" w:rsidRDefault="007022F8" w:rsidP="007022F8">
                  <w:pPr>
                    <w:pStyle w:val="tablebody0"/>
                  </w:pPr>
                  <w:r w:rsidRPr="003161DC">
                    <w:rPr>
                      <w:iCs/>
                    </w:rPr>
                    <w:t>second</w:t>
                  </w:r>
                </w:p>
              </w:tc>
              <w:tc>
                <w:tcPr>
                  <w:tcW w:w="3074" w:type="pct"/>
                </w:tcPr>
                <w:p w14:paraId="5E24C849" w14:textId="77777777" w:rsidR="007022F8" w:rsidRPr="0091078E" w:rsidRDefault="007022F8" w:rsidP="007022F8">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657A06C9" w14:textId="77777777" w:rsidTr="00F12B75">
              <w:trPr>
                <w:cantSplit/>
              </w:trPr>
              <w:tc>
                <w:tcPr>
                  <w:tcW w:w="1295" w:type="pct"/>
                </w:tcPr>
                <w:p w14:paraId="49FB4EC7" w14:textId="77777777" w:rsidR="007022F8" w:rsidRPr="00234E94" w:rsidRDefault="007022F8" w:rsidP="007022F8">
                  <w:pPr>
                    <w:pStyle w:val="tablebody0"/>
                    <w:rPr>
                      <w:i/>
                    </w:rPr>
                  </w:pPr>
                  <w:r w:rsidRPr="00234E94">
                    <w:rPr>
                      <w:i/>
                    </w:rPr>
                    <w:t>y</w:t>
                  </w:r>
                </w:p>
              </w:tc>
              <w:tc>
                <w:tcPr>
                  <w:tcW w:w="631" w:type="pct"/>
                </w:tcPr>
                <w:p w14:paraId="4909FD30" w14:textId="77777777" w:rsidR="007022F8" w:rsidRPr="00234E94" w:rsidRDefault="007022F8" w:rsidP="007022F8">
                  <w:pPr>
                    <w:pStyle w:val="tablebody0"/>
                  </w:pPr>
                  <w:r w:rsidRPr="00234E94">
                    <w:t>none</w:t>
                  </w:r>
                </w:p>
              </w:tc>
              <w:tc>
                <w:tcPr>
                  <w:tcW w:w="3074" w:type="pct"/>
                </w:tcPr>
                <w:p w14:paraId="1F42EC90" w14:textId="77777777" w:rsidR="007022F8" w:rsidRPr="00234E94" w:rsidRDefault="007022F8" w:rsidP="007022F8">
                  <w:pPr>
                    <w:pStyle w:val="tablebody0"/>
                  </w:pPr>
                  <w:r w:rsidRPr="00234E94">
                    <w:t>A SCED interval in the 15-minute Settlement Interval.</w:t>
                  </w:r>
                </w:p>
              </w:tc>
            </w:tr>
          </w:tbl>
          <w:p w14:paraId="156328E2" w14:textId="77777777" w:rsidR="007022F8" w:rsidRDefault="007022F8" w:rsidP="007022F8">
            <w:pPr>
              <w:spacing w:before="240" w:after="240"/>
              <w:ind w:left="720" w:hanging="720"/>
            </w:pPr>
            <w:r>
              <w:rPr>
                <w:bCs/>
                <w:snapToGrid w:val="0"/>
              </w:rPr>
              <w:t>(3</w:t>
            </w:r>
            <w:r w:rsidRPr="000C2EDA">
              <w:rPr>
                <w:bCs/>
                <w:snapToGrid w:val="0"/>
              </w:rPr>
              <w:t>)</w:t>
            </w:r>
            <w:r w:rsidRPr="00F26DA0">
              <w:t xml:space="preserve"> </w:t>
            </w:r>
            <w:r w:rsidRPr="003161DC">
              <w:tab/>
            </w:r>
            <w:r>
              <w:t>The Real-Time Reliability Deployment Price for Ancillary Service for Responsive Reserve (RTRDPRRS) is the time-weighted average of the sum of the Real-Time Reliability Deployment Price Adders for Ancillary Service for Responsive Reserve per SCED interval.  The Real-Time Reliability Deployment Price for Ancillary Service for Responsive Reserve for a 15-minute Settlement Interval is calculated as follows</w:t>
            </w:r>
            <w:r w:rsidRPr="003161DC">
              <w:t>:</w:t>
            </w:r>
          </w:p>
          <w:p w14:paraId="1824341B" w14:textId="6286BBCC" w:rsidR="007022F8" w:rsidRPr="00C3449C" w:rsidRDefault="007022F8" w:rsidP="007022F8">
            <w:pPr>
              <w:spacing w:before="240" w:after="240"/>
              <w:ind w:left="720" w:hanging="720"/>
              <w:rPr>
                <w:i/>
                <w:vertAlign w:val="subscript"/>
              </w:rPr>
            </w:pPr>
            <w:r w:rsidRPr="00C3449C">
              <w:t>RT</w:t>
            </w:r>
            <w:r>
              <w:t>RDP</w:t>
            </w:r>
            <w:r w:rsidRPr="00C3449C">
              <w:t>R</w:t>
            </w:r>
            <w:r>
              <w:t>RS</w:t>
            </w:r>
            <w:r w:rsidRPr="00C3449C">
              <w:t xml:space="preserve">  =   </w:t>
            </w:r>
            <w:r w:rsidRPr="00C3449C">
              <w:rPr>
                <w:position w:val="-22"/>
              </w:rPr>
              <w:object w:dxaOrig="225" w:dyaOrig="465" w14:anchorId="488BCA30">
                <v:shape id="_x0000_i1083" type="#_x0000_t75" style="width:24pt;height:18pt" o:ole="">
                  <v:imagedata r:id="rId22" o:title=""/>
                </v:shape>
                <o:OLEObject Type="Embed" ProgID="Equation.3" ShapeID="_x0000_i1083" DrawAspect="Content" ObjectID="_1815025273" r:id="rId84"/>
              </w:object>
            </w:r>
            <w:r w:rsidRPr="00C3449C">
              <w:t xml:space="preserve"> (RNWF </w:t>
            </w:r>
            <w:r w:rsidRPr="00C3449C">
              <w:rPr>
                <w:i/>
                <w:vertAlign w:val="subscript"/>
              </w:rPr>
              <w:t>y</w:t>
            </w:r>
            <w:r w:rsidRPr="00C3449C">
              <w:t xml:space="preserve"> * </w:t>
            </w:r>
            <w:r w:rsidRPr="00BE2778">
              <w:t>RTR</w:t>
            </w:r>
            <w:r>
              <w:t>D</w:t>
            </w:r>
            <w:r w:rsidRPr="00BE2778">
              <w:t>PA</w:t>
            </w:r>
            <w:r>
              <w:t xml:space="preserve">RRS </w:t>
            </w:r>
            <w:r w:rsidRPr="000C2EDA">
              <w:rPr>
                <w:i/>
                <w:vertAlign w:val="subscript"/>
              </w:rPr>
              <w:t>y</w:t>
            </w:r>
            <w:r w:rsidRPr="00C3449C">
              <w:t>)</w:t>
            </w:r>
          </w:p>
          <w:p w14:paraId="3FEFA6A8" w14:textId="77777777" w:rsidR="007022F8" w:rsidRDefault="007022F8" w:rsidP="007022F8">
            <w:pPr>
              <w:pStyle w:val="BodyTextNumbered"/>
              <w:ind w:left="0" w:firstLine="0"/>
            </w:pPr>
            <w:r>
              <w:t>Where:</w:t>
            </w:r>
          </w:p>
          <w:p w14:paraId="67D9535F" w14:textId="3E42BA8B"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35D866AF">
                <v:shape id="_x0000_i1084" type="#_x0000_t75" style="width:24pt;height:18pt" o:ole="">
                  <v:imagedata r:id="rId22" o:title=""/>
                </v:shape>
                <o:OLEObject Type="Embed" ProgID="Equation.3" ShapeID="_x0000_i1084" DrawAspect="Content" ObjectID="_1815025274" r:id="rId85"/>
              </w:object>
            </w:r>
            <w:r>
              <w:t xml:space="preserve">TLMP </w:t>
            </w:r>
            <w:r>
              <w:rPr>
                <w:i/>
                <w:vertAlign w:val="subscript"/>
              </w:rPr>
              <w:t>y</w:t>
            </w:r>
          </w:p>
          <w:p w14:paraId="17604346"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42781153"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63018D26" w14:textId="77777777" w:rsidR="007022F8" w:rsidRDefault="007022F8" w:rsidP="007022F8">
                  <w:pPr>
                    <w:pStyle w:val="TableHead"/>
                  </w:pPr>
                  <w:r>
                    <w:lastRenderedPageBreak/>
                    <w:t>Variable</w:t>
                  </w:r>
                </w:p>
              </w:tc>
              <w:tc>
                <w:tcPr>
                  <w:tcW w:w="631" w:type="pct"/>
                  <w:tcBorders>
                    <w:top w:val="single" w:sz="4" w:space="0" w:color="auto"/>
                    <w:left w:val="single" w:sz="4" w:space="0" w:color="auto"/>
                    <w:bottom w:val="single" w:sz="4" w:space="0" w:color="auto"/>
                    <w:right w:val="single" w:sz="4" w:space="0" w:color="auto"/>
                  </w:tcBorders>
                  <w:hideMark/>
                </w:tcPr>
                <w:p w14:paraId="4D90D7E6"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48B77E60" w14:textId="77777777" w:rsidR="007022F8" w:rsidRDefault="007022F8" w:rsidP="007022F8">
                  <w:pPr>
                    <w:pStyle w:val="TableHead"/>
                  </w:pPr>
                  <w:r>
                    <w:t>Description</w:t>
                  </w:r>
                </w:p>
              </w:tc>
            </w:tr>
            <w:tr w:rsidR="007022F8" w14:paraId="144A340F"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133D7EF0" w14:textId="77777777" w:rsidR="007022F8" w:rsidRDefault="007022F8" w:rsidP="007022F8">
                  <w:pPr>
                    <w:pStyle w:val="tablebody0"/>
                  </w:pPr>
                  <w:r>
                    <w:t xml:space="preserve">RTRDPRRS </w:t>
                  </w:r>
                </w:p>
              </w:tc>
              <w:tc>
                <w:tcPr>
                  <w:tcW w:w="631" w:type="pct"/>
                  <w:tcBorders>
                    <w:top w:val="single" w:sz="4" w:space="0" w:color="auto"/>
                    <w:left w:val="single" w:sz="4" w:space="0" w:color="auto"/>
                    <w:bottom w:val="single" w:sz="4" w:space="0" w:color="auto"/>
                    <w:right w:val="single" w:sz="4" w:space="0" w:color="auto"/>
                  </w:tcBorders>
                  <w:hideMark/>
                </w:tcPr>
                <w:p w14:paraId="393B723D" w14:textId="77777777" w:rsidR="007022F8" w:rsidRDefault="007022F8" w:rsidP="007022F8">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389A58B7" w14:textId="77777777" w:rsidR="007022F8" w:rsidRDefault="007022F8" w:rsidP="007022F8">
                  <w:pPr>
                    <w:pStyle w:val="tablebody0"/>
                    <w:rPr>
                      <w:i/>
                    </w:rPr>
                  </w:pPr>
                  <w:r>
                    <w:rPr>
                      <w:i/>
                      <w:szCs w:val="18"/>
                    </w:rPr>
                    <w:t xml:space="preserve">Real-Time </w:t>
                  </w:r>
                  <w:r w:rsidRPr="000C2EDA">
                    <w:rPr>
                      <w:i/>
                    </w:rPr>
                    <w:t xml:space="preserve">Reliability </w:t>
                  </w:r>
                  <w:r>
                    <w:rPr>
                      <w:i/>
                    </w:rPr>
                    <w:t xml:space="preserve">Deployment </w:t>
                  </w:r>
                  <w:r w:rsidRPr="000C2EDA">
                    <w:rPr>
                      <w:i/>
                    </w:rPr>
                    <w:t xml:space="preserve">Price </w:t>
                  </w:r>
                  <w:r>
                    <w:rPr>
                      <w:i/>
                    </w:rPr>
                    <w:t xml:space="preserve">for Ancillary Service </w:t>
                  </w:r>
                  <w:r>
                    <w:rPr>
                      <w:i/>
                      <w:szCs w:val="18"/>
                    </w:rPr>
                    <w:t>for Responsive Reserve -</w:t>
                  </w:r>
                  <w:r>
                    <w:t xml:space="preserve"> The Real-Time Reliability Deployment Price for Ancillary Service for RRS for the 15-minute Settlement Interval.</w:t>
                  </w:r>
                </w:p>
              </w:tc>
            </w:tr>
            <w:tr w:rsidR="007022F8" w:rsidRPr="00234E94" w14:paraId="2730EC18" w14:textId="77777777" w:rsidTr="00F12B75">
              <w:trPr>
                <w:cantSplit/>
              </w:trPr>
              <w:tc>
                <w:tcPr>
                  <w:tcW w:w="1295" w:type="pct"/>
                </w:tcPr>
                <w:p w14:paraId="7DBBD32D" w14:textId="77777777" w:rsidR="007022F8" w:rsidRPr="00234E94" w:rsidRDefault="007022F8" w:rsidP="007022F8">
                  <w:pPr>
                    <w:pStyle w:val="tablebody0"/>
                    <w:rPr>
                      <w:i/>
                    </w:rPr>
                  </w:pPr>
                  <w:r w:rsidRPr="004654BF">
                    <w:t>RTR</w:t>
                  </w:r>
                  <w:r>
                    <w:t>D</w:t>
                  </w:r>
                  <w:r w:rsidRPr="004654BF">
                    <w:t>PA</w:t>
                  </w:r>
                  <w:r>
                    <w:t xml:space="preserve">RRS </w:t>
                  </w:r>
                  <w:r w:rsidRPr="000C2EDA">
                    <w:rPr>
                      <w:i/>
                    </w:rPr>
                    <w:t>y</w:t>
                  </w:r>
                </w:p>
              </w:tc>
              <w:tc>
                <w:tcPr>
                  <w:tcW w:w="631" w:type="pct"/>
                </w:tcPr>
                <w:p w14:paraId="29A15A3D" w14:textId="77777777" w:rsidR="007022F8" w:rsidRPr="00234E94" w:rsidRDefault="007022F8" w:rsidP="007022F8">
                  <w:pPr>
                    <w:pStyle w:val="tablebody0"/>
                  </w:pPr>
                  <w:r w:rsidRPr="004654BF">
                    <w:t>$/MW</w:t>
                  </w:r>
                </w:p>
              </w:tc>
              <w:tc>
                <w:tcPr>
                  <w:tcW w:w="3074" w:type="pct"/>
                </w:tcPr>
                <w:p w14:paraId="2E0F976D" w14:textId="77777777" w:rsidR="007022F8" w:rsidRPr="00234E94" w:rsidRDefault="007022F8" w:rsidP="007022F8">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p>
              </w:tc>
            </w:tr>
            <w:tr w:rsidR="007022F8" w:rsidRPr="00234E94" w14:paraId="641C2BB1" w14:textId="77777777" w:rsidTr="00F12B75">
              <w:trPr>
                <w:cantSplit/>
              </w:trPr>
              <w:tc>
                <w:tcPr>
                  <w:tcW w:w="1295" w:type="pct"/>
                </w:tcPr>
                <w:p w14:paraId="1ADE10BD" w14:textId="77777777" w:rsidR="007022F8" w:rsidRPr="004654BF" w:rsidRDefault="007022F8" w:rsidP="007022F8">
                  <w:pPr>
                    <w:pStyle w:val="tablebody0"/>
                  </w:pPr>
                  <w:r w:rsidRPr="003161DC">
                    <w:rPr>
                      <w:iCs/>
                    </w:rPr>
                    <w:t xml:space="preserve">RNWF </w:t>
                  </w:r>
                  <w:r w:rsidRPr="003161DC">
                    <w:rPr>
                      <w:i/>
                      <w:iCs/>
                      <w:vertAlign w:val="subscript"/>
                    </w:rPr>
                    <w:t>y</w:t>
                  </w:r>
                </w:p>
              </w:tc>
              <w:tc>
                <w:tcPr>
                  <w:tcW w:w="631" w:type="pct"/>
                </w:tcPr>
                <w:p w14:paraId="5434E918" w14:textId="77777777" w:rsidR="007022F8" w:rsidRPr="004654BF" w:rsidRDefault="007022F8" w:rsidP="007022F8">
                  <w:pPr>
                    <w:pStyle w:val="tablebody0"/>
                  </w:pPr>
                  <w:r w:rsidRPr="003161DC">
                    <w:rPr>
                      <w:iCs/>
                    </w:rPr>
                    <w:t>none</w:t>
                  </w:r>
                </w:p>
              </w:tc>
              <w:tc>
                <w:tcPr>
                  <w:tcW w:w="3074" w:type="pct"/>
                </w:tcPr>
                <w:p w14:paraId="0CDF0DAC" w14:textId="77777777" w:rsidR="007022F8" w:rsidRPr="000C2EDA" w:rsidRDefault="007022F8" w:rsidP="007022F8">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1AA948BE" w14:textId="77777777" w:rsidTr="00F12B75">
              <w:trPr>
                <w:cantSplit/>
              </w:trPr>
              <w:tc>
                <w:tcPr>
                  <w:tcW w:w="1295" w:type="pct"/>
                </w:tcPr>
                <w:p w14:paraId="27C50596" w14:textId="77777777" w:rsidR="007022F8" w:rsidRPr="004654BF" w:rsidRDefault="007022F8" w:rsidP="007022F8">
                  <w:pPr>
                    <w:pStyle w:val="tablebody0"/>
                  </w:pPr>
                  <w:r w:rsidRPr="003161DC">
                    <w:rPr>
                      <w:iCs/>
                    </w:rPr>
                    <w:t xml:space="preserve">TLMP </w:t>
                  </w:r>
                  <w:r w:rsidRPr="003161DC">
                    <w:rPr>
                      <w:i/>
                      <w:iCs/>
                      <w:vertAlign w:val="subscript"/>
                    </w:rPr>
                    <w:t>y</w:t>
                  </w:r>
                </w:p>
              </w:tc>
              <w:tc>
                <w:tcPr>
                  <w:tcW w:w="631" w:type="pct"/>
                </w:tcPr>
                <w:p w14:paraId="4C740EA1" w14:textId="77777777" w:rsidR="007022F8" w:rsidRPr="004654BF" w:rsidRDefault="007022F8" w:rsidP="007022F8">
                  <w:pPr>
                    <w:pStyle w:val="tablebody0"/>
                  </w:pPr>
                  <w:r w:rsidRPr="003161DC">
                    <w:rPr>
                      <w:iCs/>
                    </w:rPr>
                    <w:t>second</w:t>
                  </w:r>
                </w:p>
              </w:tc>
              <w:tc>
                <w:tcPr>
                  <w:tcW w:w="3074" w:type="pct"/>
                </w:tcPr>
                <w:p w14:paraId="1B6206BD" w14:textId="77777777" w:rsidR="007022F8" w:rsidRPr="000C2EDA" w:rsidRDefault="007022F8" w:rsidP="007022F8">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75194EBE" w14:textId="77777777" w:rsidTr="00F12B75">
              <w:trPr>
                <w:cantSplit/>
              </w:trPr>
              <w:tc>
                <w:tcPr>
                  <w:tcW w:w="1295" w:type="pct"/>
                </w:tcPr>
                <w:p w14:paraId="6B5870D2" w14:textId="77777777" w:rsidR="007022F8" w:rsidRPr="00234E94" w:rsidRDefault="007022F8" w:rsidP="007022F8">
                  <w:pPr>
                    <w:pStyle w:val="tablebody0"/>
                    <w:rPr>
                      <w:i/>
                    </w:rPr>
                  </w:pPr>
                  <w:r w:rsidRPr="00234E94">
                    <w:rPr>
                      <w:i/>
                    </w:rPr>
                    <w:t>y</w:t>
                  </w:r>
                </w:p>
              </w:tc>
              <w:tc>
                <w:tcPr>
                  <w:tcW w:w="631" w:type="pct"/>
                </w:tcPr>
                <w:p w14:paraId="3AED134A" w14:textId="77777777" w:rsidR="007022F8" w:rsidRPr="00234E94" w:rsidRDefault="007022F8" w:rsidP="007022F8">
                  <w:pPr>
                    <w:pStyle w:val="tablebody0"/>
                  </w:pPr>
                  <w:r w:rsidRPr="00234E94">
                    <w:t>none</w:t>
                  </w:r>
                </w:p>
              </w:tc>
              <w:tc>
                <w:tcPr>
                  <w:tcW w:w="3074" w:type="pct"/>
                </w:tcPr>
                <w:p w14:paraId="3409C00C" w14:textId="77777777" w:rsidR="007022F8" w:rsidRPr="00234E94" w:rsidRDefault="007022F8" w:rsidP="007022F8">
                  <w:pPr>
                    <w:pStyle w:val="tablebody0"/>
                  </w:pPr>
                  <w:r w:rsidRPr="00234E94">
                    <w:t>A SCED interval in the 15-minute Settlement Interval.</w:t>
                  </w:r>
                </w:p>
              </w:tc>
            </w:tr>
          </w:tbl>
          <w:p w14:paraId="66EECCAD" w14:textId="77777777" w:rsidR="007022F8" w:rsidRDefault="007022F8" w:rsidP="007022F8">
            <w:pPr>
              <w:spacing w:before="240" w:after="240"/>
              <w:ind w:left="720" w:hanging="720"/>
            </w:pPr>
            <w:r>
              <w:rPr>
                <w:bCs/>
                <w:snapToGrid w:val="0"/>
              </w:rPr>
              <w:t>(4</w:t>
            </w:r>
            <w:r w:rsidRPr="000C2EDA">
              <w:rPr>
                <w:bCs/>
                <w:snapToGrid w:val="0"/>
              </w:rPr>
              <w:t>)</w:t>
            </w:r>
            <w:r w:rsidRPr="00F26DA0">
              <w:t xml:space="preserve"> </w:t>
            </w:r>
            <w:r w:rsidRPr="003161DC">
              <w:tab/>
            </w:r>
            <w:r>
              <w:t>The Real-Time Reliability Deployment Price for Ancillary Service for ERCOT Contingency Reserve (RTRDPECR) is the time-weighted average of the sum of the Real-Time Reliability Deployment Price Adders for Ancillary Service for ERCOT Contingency Reserve per SCED interval.  The Real-Time Reliability Deployment Price for Ancillary Service for ERCOT Contingency Reserve for a 15-minute Settlement Interval is calculated as follows</w:t>
            </w:r>
            <w:r w:rsidRPr="003161DC">
              <w:t>:</w:t>
            </w:r>
          </w:p>
          <w:p w14:paraId="722EFA36" w14:textId="495FED33" w:rsidR="007022F8" w:rsidRPr="00C3449C" w:rsidRDefault="007022F8" w:rsidP="007022F8">
            <w:pPr>
              <w:spacing w:before="240" w:after="240"/>
              <w:ind w:left="720" w:hanging="720"/>
              <w:rPr>
                <w:i/>
                <w:vertAlign w:val="subscript"/>
              </w:rPr>
            </w:pPr>
            <w:r w:rsidRPr="00C3449C">
              <w:t>RT</w:t>
            </w:r>
            <w:r>
              <w:t>RDPEC</w:t>
            </w:r>
            <w:r w:rsidRPr="00C3449C">
              <w:t xml:space="preserve">R  =   </w:t>
            </w:r>
            <w:r w:rsidRPr="00C3449C">
              <w:rPr>
                <w:position w:val="-22"/>
              </w:rPr>
              <w:object w:dxaOrig="225" w:dyaOrig="465" w14:anchorId="49E819D8">
                <v:shape id="_x0000_i1085" type="#_x0000_t75" style="width:24pt;height:18pt" o:ole="">
                  <v:imagedata r:id="rId22" o:title=""/>
                </v:shape>
                <o:OLEObject Type="Embed" ProgID="Equation.3" ShapeID="_x0000_i1085" DrawAspect="Content" ObjectID="_1815025275" r:id="rId86"/>
              </w:object>
            </w:r>
            <w:r w:rsidRPr="00C3449C">
              <w:t xml:space="preserve"> (RNWF </w:t>
            </w:r>
            <w:r w:rsidRPr="00C3449C">
              <w:rPr>
                <w:i/>
                <w:vertAlign w:val="subscript"/>
              </w:rPr>
              <w:t>y</w:t>
            </w:r>
            <w:r w:rsidRPr="00C3449C">
              <w:t xml:space="preserve"> * </w:t>
            </w:r>
            <w:r w:rsidRPr="00BE2778">
              <w:t>RTR</w:t>
            </w:r>
            <w:r>
              <w:t>D</w:t>
            </w:r>
            <w:r w:rsidRPr="00BE2778">
              <w:t>PA</w:t>
            </w:r>
            <w:r>
              <w:t xml:space="preserve">ECRS </w:t>
            </w:r>
            <w:r w:rsidRPr="000C2EDA">
              <w:rPr>
                <w:i/>
                <w:vertAlign w:val="subscript"/>
              </w:rPr>
              <w:t>y</w:t>
            </w:r>
            <w:r w:rsidRPr="00D8145C">
              <w:t>)</w:t>
            </w:r>
          </w:p>
          <w:p w14:paraId="0F41E301" w14:textId="77777777" w:rsidR="007022F8" w:rsidRDefault="007022F8" w:rsidP="007022F8">
            <w:pPr>
              <w:pStyle w:val="BodyTextNumbered"/>
              <w:ind w:left="0" w:firstLine="0"/>
            </w:pPr>
            <w:r>
              <w:t>Where:</w:t>
            </w:r>
          </w:p>
          <w:p w14:paraId="6DAE5ABA" w14:textId="44450F61"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68345E3D">
                <v:shape id="_x0000_i1086" type="#_x0000_t75" style="width:24pt;height:18pt" o:ole="">
                  <v:imagedata r:id="rId22" o:title=""/>
                </v:shape>
                <o:OLEObject Type="Embed" ProgID="Equation.3" ShapeID="_x0000_i1086" DrawAspect="Content" ObjectID="_1815025276" r:id="rId87"/>
              </w:object>
            </w:r>
            <w:r>
              <w:t xml:space="preserve">TLMP </w:t>
            </w:r>
            <w:r>
              <w:rPr>
                <w:i/>
                <w:vertAlign w:val="subscript"/>
              </w:rPr>
              <w:t>y</w:t>
            </w:r>
          </w:p>
          <w:p w14:paraId="54DB88B5"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4F8FD01A"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05185A67"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1250E24F"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4406AFB7" w14:textId="77777777" w:rsidR="007022F8" w:rsidRDefault="007022F8" w:rsidP="007022F8">
                  <w:pPr>
                    <w:pStyle w:val="TableHead"/>
                  </w:pPr>
                  <w:r>
                    <w:t>Description</w:t>
                  </w:r>
                </w:p>
              </w:tc>
            </w:tr>
            <w:tr w:rsidR="007022F8" w14:paraId="492D3E42"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5B2F605E" w14:textId="77777777" w:rsidR="007022F8" w:rsidRDefault="007022F8" w:rsidP="007022F8">
                  <w:pPr>
                    <w:pStyle w:val="tablebody0"/>
                  </w:pPr>
                  <w:r>
                    <w:t>RTRDPECR</w:t>
                  </w:r>
                </w:p>
              </w:tc>
              <w:tc>
                <w:tcPr>
                  <w:tcW w:w="631" w:type="pct"/>
                  <w:tcBorders>
                    <w:top w:val="single" w:sz="4" w:space="0" w:color="auto"/>
                    <w:left w:val="single" w:sz="4" w:space="0" w:color="auto"/>
                    <w:bottom w:val="single" w:sz="4" w:space="0" w:color="auto"/>
                    <w:right w:val="single" w:sz="4" w:space="0" w:color="auto"/>
                  </w:tcBorders>
                  <w:hideMark/>
                </w:tcPr>
                <w:p w14:paraId="4390D7B5" w14:textId="77777777" w:rsidR="007022F8" w:rsidRDefault="007022F8" w:rsidP="007022F8">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26B00143" w14:textId="77777777" w:rsidR="007022F8" w:rsidRDefault="007022F8" w:rsidP="007022F8">
                  <w:pPr>
                    <w:pStyle w:val="tablebody0"/>
                    <w:rPr>
                      <w:i/>
                    </w:rPr>
                  </w:pPr>
                  <w:r>
                    <w:rPr>
                      <w:i/>
                      <w:szCs w:val="18"/>
                    </w:rPr>
                    <w:t xml:space="preserve">Real-Time Market Clearing Price for Capacity for </w:t>
                  </w:r>
                  <w:r w:rsidRPr="00D422B9">
                    <w:rPr>
                      <w:i/>
                    </w:rPr>
                    <w:t>ERCOT Contingency Reserve</w:t>
                  </w:r>
                  <w:r>
                    <w:t xml:space="preserve"> </w:t>
                  </w:r>
                  <w:r>
                    <w:rPr>
                      <w:i/>
                      <w:szCs w:val="18"/>
                    </w:rPr>
                    <w:t>-</w:t>
                  </w:r>
                  <w:r>
                    <w:t xml:space="preserve"> The Real-Time Reliability Deployment Price for Ancillary Service for ECRS for the 15-minute Settlement Interval.</w:t>
                  </w:r>
                </w:p>
              </w:tc>
            </w:tr>
            <w:tr w:rsidR="007022F8" w:rsidRPr="00234E94" w14:paraId="1DBF37F0" w14:textId="77777777" w:rsidTr="00F12B75">
              <w:trPr>
                <w:cantSplit/>
              </w:trPr>
              <w:tc>
                <w:tcPr>
                  <w:tcW w:w="1295" w:type="pct"/>
                </w:tcPr>
                <w:p w14:paraId="67BA386D" w14:textId="77777777" w:rsidR="007022F8" w:rsidRPr="00234E94" w:rsidRDefault="007022F8" w:rsidP="007022F8">
                  <w:pPr>
                    <w:pStyle w:val="tablebody0"/>
                    <w:rPr>
                      <w:i/>
                    </w:rPr>
                  </w:pPr>
                  <w:r w:rsidRPr="004654BF">
                    <w:t>RTR</w:t>
                  </w:r>
                  <w:r>
                    <w:t>D</w:t>
                  </w:r>
                  <w:r w:rsidRPr="004654BF">
                    <w:t>PA</w:t>
                  </w:r>
                  <w:r>
                    <w:t xml:space="preserve">ECRS </w:t>
                  </w:r>
                  <w:r w:rsidRPr="000C2EDA">
                    <w:rPr>
                      <w:i/>
                    </w:rPr>
                    <w:t>y</w:t>
                  </w:r>
                </w:p>
              </w:tc>
              <w:tc>
                <w:tcPr>
                  <w:tcW w:w="631" w:type="pct"/>
                </w:tcPr>
                <w:p w14:paraId="6E138E41" w14:textId="77777777" w:rsidR="007022F8" w:rsidRPr="00234E94" w:rsidRDefault="007022F8" w:rsidP="007022F8">
                  <w:pPr>
                    <w:pStyle w:val="tablebody0"/>
                  </w:pPr>
                  <w:r w:rsidRPr="004654BF">
                    <w:t>$/MW</w:t>
                  </w:r>
                </w:p>
              </w:tc>
              <w:tc>
                <w:tcPr>
                  <w:tcW w:w="3074" w:type="pct"/>
                </w:tcPr>
                <w:p w14:paraId="7F453996" w14:textId="77777777" w:rsidR="007022F8" w:rsidRPr="00234E94" w:rsidRDefault="007022F8" w:rsidP="007022F8">
                  <w:pPr>
                    <w:pStyle w:val="tablebody0"/>
                  </w:pPr>
                  <w:r w:rsidRPr="000C2EDA">
                    <w:rPr>
                      <w:i/>
                    </w:rPr>
                    <w:t xml:space="preserve">Real-Time Reliability </w:t>
                  </w:r>
                  <w:r>
                    <w:rPr>
                      <w:i/>
                    </w:rPr>
                    <w:t xml:space="preserve">Deployment </w:t>
                  </w:r>
                  <w:r w:rsidRPr="000C2EDA">
                    <w:rPr>
                      <w:i/>
                    </w:rPr>
                    <w:t>Price Adder</w:t>
                  </w:r>
                  <w:r>
                    <w:rPr>
                      <w:i/>
                    </w:rPr>
                    <w:t xml:space="preserve"> 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p>
              </w:tc>
            </w:tr>
            <w:tr w:rsidR="007022F8" w:rsidRPr="00234E94" w14:paraId="3143B7D0" w14:textId="77777777" w:rsidTr="00F12B75">
              <w:trPr>
                <w:cantSplit/>
              </w:trPr>
              <w:tc>
                <w:tcPr>
                  <w:tcW w:w="1295" w:type="pct"/>
                </w:tcPr>
                <w:p w14:paraId="4BD1C32F" w14:textId="77777777" w:rsidR="007022F8" w:rsidRPr="004654BF" w:rsidRDefault="007022F8" w:rsidP="007022F8">
                  <w:pPr>
                    <w:pStyle w:val="tablebody0"/>
                  </w:pPr>
                  <w:r w:rsidRPr="003161DC">
                    <w:rPr>
                      <w:iCs/>
                    </w:rPr>
                    <w:t xml:space="preserve">RNWF </w:t>
                  </w:r>
                  <w:r w:rsidRPr="003161DC">
                    <w:rPr>
                      <w:i/>
                      <w:iCs/>
                      <w:vertAlign w:val="subscript"/>
                    </w:rPr>
                    <w:t>y</w:t>
                  </w:r>
                </w:p>
              </w:tc>
              <w:tc>
                <w:tcPr>
                  <w:tcW w:w="631" w:type="pct"/>
                </w:tcPr>
                <w:p w14:paraId="4939C97A" w14:textId="77777777" w:rsidR="007022F8" w:rsidRPr="004654BF" w:rsidRDefault="007022F8" w:rsidP="007022F8">
                  <w:pPr>
                    <w:pStyle w:val="tablebody0"/>
                  </w:pPr>
                  <w:r w:rsidRPr="003161DC">
                    <w:rPr>
                      <w:iCs/>
                    </w:rPr>
                    <w:t>none</w:t>
                  </w:r>
                </w:p>
              </w:tc>
              <w:tc>
                <w:tcPr>
                  <w:tcW w:w="3074" w:type="pct"/>
                </w:tcPr>
                <w:p w14:paraId="48F31A45" w14:textId="77777777" w:rsidR="007022F8" w:rsidRPr="000C2EDA" w:rsidRDefault="007022F8" w:rsidP="007022F8">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59625E0D" w14:textId="77777777" w:rsidTr="00F12B75">
              <w:trPr>
                <w:cantSplit/>
              </w:trPr>
              <w:tc>
                <w:tcPr>
                  <w:tcW w:w="1295" w:type="pct"/>
                </w:tcPr>
                <w:p w14:paraId="0DEF6BE0" w14:textId="77777777" w:rsidR="007022F8" w:rsidRPr="004654BF" w:rsidRDefault="007022F8" w:rsidP="007022F8">
                  <w:pPr>
                    <w:pStyle w:val="tablebody0"/>
                  </w:pPr>
                  <w:r w:rsidRPr="003161DC">
                    <w:rPr>
                      <w:iCs/>
                    </w:rPr>
                    <w:t xml:space="preserve">TLMP </w:t>
                  </w:r>
                  <w:r w:rsidRPr="003161DC">
                    <w:rPr>
                      <w:i/>
                      <w:iCs/>
                      <w:vertAlign w:val="subscript"/>
                    </w:rPr>
                    <w:t>y</w:t>
                  </w:r>
                </w:p>
              </w:tc>
              <w:tc>
                <w:tcPr>
                  <w:tcW w:w="631" w:type="pct"/>
                </w:tcPr>
                <w:p w14:paraId="350A2487" w14:textId="77777777" w:rsidR="007022F8" w:rsidRPr="004654BF" w:rsidRDefault="007022F8" w:rsidP="007022F8">
                  <w:pPr>
                    <w:pStyle w:val="tablebody0"/>
                  </w:pPr>
                  <w:r w:rsidRPr="003161DC">
                    <w:rPr>
                      <w:iCs/>
                    </w:rPr>
                    <w:t>second</w:t>
                  </w:r>
                </w:p>
              </w:tc>
              <w:tc>
                <w:tcPr>
                  <w:tcW w:w="3074" w:type="pct"/>
                </w:tcPr>
                <w:p w14:paraId="612812B4" w14:textId="77777777" w:rsidR="007022F8" w:rsidRPr="000C2EDA" w:rsidRDefault="007022F8" w:rsidP="007022F8">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42EE69ED" w14:textId="77777777" w:rsidTr="00F12B75">
              <w:trPr>
                <w:cantSplit/>
              </w:trPr>
              <w:tc>
                <w:tcPr>
                  <w:tcW w:w="1295" w:type="pct"/>
                </w:tcPr>
                <w:p w14:paraId="2DBF10AF" w14:textId="77777777" w:rsidR="007022F8" w:rsidRPr="00234E94" w:rsidRDefault="007022F8" w:rsidP="007022F8">
                  <w:pPr>
                    <w:pStyle w:val="tablebody0"/>
                    <w:rPr>
                      <w:i/>
                    </w:rPr>
                  </w:pPr>
                  <w:r w:rsidRPr="00234E94">
                    <w:rPr>
                      <w:i/>
                    </w:rPr>
                    <w:t>y</w:t>
                  </w:r>
                </w:p>
              </w:tc>
              <w:tc>
                <w:tcPr>
                  <w:tcW w:w="631" w:type="pct"/>
                </w:tcPr>
                <w:p w14:paraId="15EFDC00" w14:textId="77777777" w:rsidR="007022F8" w:rsidRPr="00234E94" w:rsidRDefault="007022F8" w:rsidP="007022F8">
                  <w:pPr>
                    <w:pStyle w:val="tablebody0"/>
                  </w:pPr>
                  <w:r w:rsidRPr="00234E94">
                    <w:t>none</w:t>
                  </w:r>
                </w:p>
              </w:tc>
              <w:tc>
                <w:tcPr>
                  <w:tcW w:w="3074" w:type="pct"/>
                </w:tcPr>
                <w:p w14:paraId="2DD797FC" w14:textId="77777777" w:rsidR="007022F8" w:rsidRPr="00234E94" w:rsidRDefault="007022F8" w:rsidP="007022F8">
                  <w:pPr>
                    <w:pStyle w:val="tablebody0"/>
                  </w:pPr>
                  <w:r w:rsidRPr="00234E94">
                    <w:t>A SCED interval in the 15-minute Settlement Interval.</w:t>
                  </w:r>
                </w:p>
              </w:tc>
            </w:tr>
          </w:tbl>
          <w:p w14:paraId="4F627899" w14:textId="77777777" w:rsidR="007022F8" w:rsidRDefault="007022F8" w:rsidP="007022F8">
            <w:pPr>
              <w:spacing w:before="240" w:after="240"/>
              <w:ind w:left="720" w:hanging="720"/>
            </w:pPr>
            <w:r>
              <w:rPr>
                <w:bCs/>
                <w:snapToGrid w:val="0"/>
              </w:rPr>
              <w:lastRenderedPageBreak/>
              <w:t>(5</w:t>
            </w:r>
            <w:r w:rsidRPr="000C2EDA">
              <w:rPr>
                <w:bCs/>
                <w:snapToGrid w:val="0"/>
              </w:rPr>
              <w:t>)</w:t>
            </w:r>
            <w:r w:rsidRPr="00F26DA0">
              <w:t xml:space="preserve"> </w:t>
            </w:r>
            <w:r w:rsidRPr="003161DC">
              <w:tab/>
            </w:r>
            <w:r>
              <w:t>The Real-Time Reliability Deployment Price for Ancillary Service for ERCOT Non-Spin (RTRDPNS) is the time-weighted average of the sum of the Real-Time Reliability Deployment Price Adders for Ancillary Service for Non-Spin per SCED interval.  The Real-Time Reliability Deployment Price for Ancillary Service for Non-Spin for a 15-minute Settlement Interval is calculated as follows</w:t>
            </w:r>
            <w:r w:rsidRPr="003161DC">
              <w:t>:</w:t>
            </w:r>
          </w:p>
          <w:p w14:paraId="0FB954B6" w14:textId="4CFC9C60" w:rsidR="007022F8" w:rsidRPr="00C3449C" w:rsidRDefault="007022F8" w:rsidP="007022F8">
            <w:pPr>
              <w:spacing w:before="240" w:after="240"/>
              <w:ind w:left="720" w:hanging="720"/>
              <w:rPr>
                <w:i/>
                <w:vertAlign w:val="subscript"/>
              </w:rPr>
            </w:pPr>
            <w:r>
              <w:t>RTRDPNS</w:t>
            </w:r>
            <w:r w:rsidRPr="00C3449C">
              <w:t xml:space="preserve">  =   </w:t>
            </w:r>
            <w:r w:rsidRPr="00C3449C">
              <w:rPr>
                <w:position w:val="-22"/>
              </w:rPr>
              <w:object w:dxaOrig="225" w:dyaOrig="465" w14:anchorId="3C104425">
                <v:shape id="_x0000_i1087" type="#_x0000_t75" style="width:24pt;height:18pt" o:ole="">
                  <v:imagedata r:id="rId22" o:title=""/>
                </v:shape>
                <o:OLEObject Type="Embed" ProgID="Equation.3" ShapeID="_x0000_i1087" DrawAspect="Content" ObjectID="_1815025277" r:id="rId88"/>
              </w:object>
            </w:r>
            <w:r w:rsidRPr="00C3449C">
              <w:t xml:space="preserve"> (RNWF </w:t>
            </w:r>
            <w:r w:rsidRPr="00C3449C">
              <w:rPr>
                <w:i/>
                <w:vertAlign w:val="subscript"/>
              </w:rPr>
              <w:t>y</w:t>
            </w:r>
            <w:r w:rsidRPr="00C3449C">
              <w:t xml:space="preserve"> * </w:t>
            </w:r>
            <w:r w:rsidRPr="00BE2778">
              <w:t>RTR</w:t>
            </w:r>
            <w:r>
              <w:t>D</w:t>
            </w:r>
            <w:r w:rsidRPr="00BE2778">
              <w:t>PA</w:t>
            </w:r>
            <w:r>
              <w:t xml:space="preserve">NSS </w:t>
            </w:r>
            <w:r w:rsidRPr="000C2EDA">
              <w:rPr>
                <w:i/>
                <w:vertAlign w:val="subscript"/>
              </w:rPr>
              <w:t>y</w:t>
            </w:r>
            <w:r w:rsidRPr="00D8145C">
              <w:t>)</w:t>
            </w:r>
          </w:p>
          <w:p w14:paraId="53F37666" w14:textId="77777777" w:rsidR="007022F8" w:rsidRDefault="007022F8" w:rsidP="007022F8">
            <w:pPr>
              <w:pStyle w:val="BodyTextNumbered"/>
              <w:ind w:left="0" w:firstLine="0"/>
            </w:pPr>
            <w:r>
              <w:t>Where:</w:t>
            </w:r>
          </w:p>
          <w:p w14:paraId="3E120E4E" w14:textId="71DBEDBD"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57130E31">
                <v:shape id="_x0000_i1088" type="#_x0000_t75" style="width:24pt;height:18pt" o:ole="">
                  <v:imagedata r:id="rId22" o:title=""/>
                </v:shape>
                <o:OLEObject Type="Embed" ProgID="Equation.3" ShapeID="_x0000_i1088" DrawAspect="Content" ObjectID="_1815025278" r:id="rId89"/>
              </w:object>
            </w:r>
            <w:r>
              <w:t xml:space="preserve">TLMP </w:t>
            </w:r>
            <w:r>
              <w:rPr>
                <w:i/>
                <w:vertAlign w:val="subscript"/>
              </w:rPr>
              <w:t>y</w:t>
            </w:r>
          </w:p>
          <w:p w14:paraId="55BBABB7"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6CD5BD42"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1BB75C1B"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64553C5E"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34F9C3B5" w14:textId="77777777" w:rsidR="007022F8" w:rsidRDefault="007022F8" w:rsidP="007022F8">
                  <w:pPr>
                    <w:pStyle w:val="TableHead"/>
                  </w:pPr>
                  <w:r>
                    <w:t>Description</w:t>
                  </w:r>
                </w:p>
              </w:tc>
            </w:tr>
            <w:tr w:rsidR="007022F8" w14:paraId="72B7B597"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5ECA8A41" w14:textId="77777777" w:rsidR="007022F8" w:rsidRDefault="007022F8" w:rsidP="007022F8">
                  <w:pPr>
                    <w:pStyle w:val="tablebody0"/>
                  </w:pPr>
                  <w:r>
                    <w:t>RTRDPNS</w:t>
                  </w:r>
                </w:p>
              </w:tc>
              <w:tc>
                <w:tcPr>
                  <w:tcW w:w="631" w:type="pct"/>
                  <w:tcBorders>
                    <w:top w:val="single" w:sz="4" w:space="0" w:color="auto"/>
                    <w:left w:val="single" w:sz="4" w:space="0" w:color="auto"/>
                    <w:bottom w:val="single" w:sz="4" w:space="0" w:color="auto"/>
                    <w:right w:val="single" w:sz="4" w:space="0" w:color="auto"/>
                  </w:tcBorders>
                  <w:hideMark/>
                </w:tcPr>
                <w:p w14:paraId="1B26D46E" w14:textId="77777777" w:rsidR="007022F8" w:rsidRDefault="007022F8" w:rsidP="007022F8">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3BB03A41" w14:textId="77777777" w:rsidR="007022F8" w:rsidRDefault="007022F8" w:rsidP="007022F8">
                  <w:pPr>
                    <w:pStyle w:val="tablebody0"/>
                    <w:rPr>
                      <w:i/>
                    </w:rPr>
                  </w:pPr>
                  <w:r>
                    <w:rPr>
                      <w:i/>
                      <w:szCs w:val="18"/>
                    </w:rPr>
                    <w:t xml:space="preserve">Real-Time Market Clearing Price for Capacity for </w:t>
                  </w:r>
                  <w:r>
                    <w:rPr>
                      <w:i/>
                    </w:rPr>
                    <w:t>Non-Spin</w:t>
                  </w:r>
                  <w:r>
                    <w:t xml:space="preserve"> </w:t>
                  </w:r>
                  <w:r>
                    <w:rPr>
                      <w:i/>
                      <w:szCs w:val="18"/>
                    </w:rPr>
                    <w:t>-</w:t>
                  </w:r>
                  <w:r>
                    <w:t xml:space="preserve"> The Real-Time Reliability Deployment Price for Ancillary Service for ECRS for the 15-minute Settlement Interval.</w:t>
                  </w:r>
                </w:p>
              </w:tc>
            </w:tr>
            <w:tr w:rsidR="007022F8" w:rsidRPr="00234E94" w14:paraId="27BB9C54" w14:textId="77777777" w:rsidTr="00F12B75">
              <w:trPr>
                <w:cantSplit/>
              </w:trPr>
              <w:tc>
                <w:tcPr>
                  <w:tcW w:w="1295" w:type="pct"/>
                </w:tcPr>
                <w:p w14:paraId="0CBE43DD" w14:textId="77777777" w:rsidR="007022F8" w:rsidRPr="00234E94" w:rsidRDefault="007022F8" w:rsidP="007022F8">
                  <w:pPr>
                    <w:pStyle w:val="tablebody0"/>
                    <w:rPr>
                      <w:i/>
                    </w:rPr>
                  </w:pPr>
                  <w:r w:rsidRPr="004654BF">
                    <w:t>RTR</w:t>
                  </w:r>
                  <w:r>
                    <w:t>D</w:t>
                  </w:r>
                  <w:r w:rsidRPr="004654BF">
                    <w:t>PA</w:t>
                  </w:r>
                  <w:r>
                    <w:t xml:space="preserve">NSS </w:t>
                  </w:r>
                  <w:r w:rsidRPr="000C2EDA">
                    <w:rPr>
                      <w:i/>
                    </w:rPr>
                    <w:t>y</w:t>
                  </w:r>
                </w:p>
              </w:tc>
              <w:tc>
                <w:tcPr>
                  <w:tcW w:w="631" w:type="pct"/>
                </w:tcPr>
                <w:p w14:paraId="7A3E3F3C" w14:textId="77777777" w:rsidR="007022F8" w:rsidRPr="00234E94" w:rsidRDefault="007022F8" w:rsidP="007022F8">
                  <w:pPr>
                    <w:pStyle w:val="tablebody0"/>
                  </w:pPr>
                  <w:r w:rsidRPr="004654BF">
                    <w:t>$/MW</w:t>
                  </w:r>
                </w:p>
              </w:tc>
              <w:tc>
                <w:tcPr>
                  <w:tcW w:w="3074" w:type="pct"/>
                </w:tcPr>
                <w:p w14:paraId="410CEBB7" w14:textId="77777777" w:rsidR="007022F8" w:rsidRPr="00234E94" w:rsidRDefault="007022F8" w:rsidP="007022F8">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p>
              </w:tc>
            </w:tr>
            <w:tr w:rsidR="007022F8" w:rsidRPr="00234E94" w14:paraId="77E5505C" w14:textId="77777777" w:rsidTr="00F12B75">
              <w:trPr>
                <w:cantSplit/>
              </w:trPr>
              <w:tc>
                <w:tcPr>
                  <w:tcW w:w="1295" w:type="pct"/>
                </w:tcPr>
                <w:p w14:paraId="63691BFA" w14:textId="77777777" w:rsidR="007022F8" w:rsidRPr="004654BF" w:rsidRDefault="007022F8" w:rsidP="007022F8">
                  <w:pPr>
                    <w:pStyle w:val="tablebody0"/>
                  </w:pPr>
                  <w:r w:rsidRPr="003161DC">
                    <w:rPr>
                      <w:iCs/>
                    </w:rPr>
                    <w:t xml:space="preserve">RNWF </w:t>
                  </w:r>
                  <w:r w:rsidRPr="003161DC">
                    <w:rPr>
                      <w:i/>
                      <w:iCs/>
                      <w:vertAlign w:val="subscript"/>
                    </w:rPr>
                    <w:t>y</w:t>
                  </w:r>
                </w:p>
              </w:tc>
              <w:tc>
                <w:tcPr>
                  <w:tcW w:w="631" w:type="pct"/>
                </w:tcPr>
                <w:p w14:paraId="52634160" w14:textId="77777777" w:rsidR="007022F8" w:rsidRPr="004654BF" w:rsidRDefault="007022F8" w:rsidP="007022F8">
                  <w:pPr>
                    <w:pStyle w:val="tablebody0"/>
                  </w:pPr>
                  <w:r w:rsidRPr="003161DC">
                    <w:rPr>
                      <w:iCs/>
                    </w:rPr>
                    <w:t>none</w:t>
                  </w:r>
                </w:p>
              </w:tc>
              <w:tc>
                <w:tcPr>
                  <w:tcW w:w="3074" w:type="pct"/>
                </w:tcPr>
                <w:p w14:paraId="44CFEDDF" w14:textId="77777777" w:rsidR="007022F8" w:rsidRPr="000C2EDA" w:rsidRDefault="007022F8" w:rsidP="007022F8">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170E090A" w14:textId="77777777" w:rsidTr="00F12B75">
              <w:trPr>
                <w:cantSplit/>
              </w:trPr>
              <w:tc>
                <w:tcPr>
                  <w:tcW w:w="1295" w:type="pct"/>
                </w:tcPr>
                <w:p w14:paraId="3348DD26" w14:textId="77777777" w:rsidR="007022F8" w:rsidRPr="004654BF" w:rsidRDefault="007022F8" w:rsidP="007022F8">
                  <w:pPr>
                    <w:pStyle w:val="tablebody0"/>
                  </w:pPr>
                  <w:r w:rsidRPr="003161DC">
                    <w:rPr>
                      <w:iCs/>
                    </w:rPr>
                    <w:t xml:space="preserve">TLMP </w:t>
                  </w:r>
                  <w:r w:rsidRPr="003161DC">
                    <w:rPr>
                      <w:i/>
                      <w:iCs/>
                      <w:vertAlign w:val="subscript"/>
                    </w:rPr>
                    <w:t>y</w:t>
                  </w:r>
                </w:p>
              </w:tc>
              <w:tc>
                <w:tcPr>
                  <w:tcW w:w="631" w:type="pct"/>
                </w:tcPr>
                <w:p w14:paraId="0D58BADF" w14:textId="77777777" w:rsidR="007022F8" w:rsidRPr="004654BF" w:rsidRDefault="007022F8" w:rsidP="007022F8">
                  <w:pPr>
                    <w:pStyle w:val="tablebody0"/>
                  </w:pPr>
                  <w:r w:rsidRPr="003161DC">
                    <w:rPr>
                      <w:iCs/>
                    </w:rPr>
                    <w:t>second</w:t>
                  </w:r>
                </w:p>
              </w:tc>
              <w:tc>
                <w:tcPr>
                  <w:tcW w:w="3074" w:type="pct"/>
                </w:tcPr>
                <w:p w14:paraId="2005BC1B" w14:textId="77777777" w:rsidR="007022F8" w:rsidRPr="000C2EDA" w:rsidRDefault="007022F8" w:rsidP="007022F8">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381CA73A" w14:textId="77777777" w:rsidTr="00F12B75">
              <w:trPr>
                <w:cantSplit/>
              </w:trPr>
              <w:tc>
                <w:tcPr>
                  <w:tcW w:w="1295" w:type="pct"/>
                </w:tcPr>
                <w:p w14:paraId="107D8513" w14:textId="77777777" w:rsidR="007022F8" w:rsidRPr="00234E94" w:rsidRDefault="007022F8" w:rsidP="007022F8">
                  <w:pPr>
                    <w:pStyle w:val="tablebody0"/>
                    <w:rPr>
                      <w:i/>
                    </w:rPr>
                  </w:pPr>
                  <w:r w:rsidRPr="00234E94">
                    <w:rPr>
                      <w:i/>
                    </w:rPr>
                    <w:t>y</w:t>
                  </w:r>
                </w:p>
              </w:tc>
              <w:tc>
                <w:tcPr>
                  <w:tcW w:w="631" w:type="pct"/>
                </w:tcPr>
                <w:p w14:paraId="3A66E579" w14:textId="77777777" w:rsidR="007022F8" w:rsidRPr="00234E94" w:rsidRDefault="007022F8" w:rsidP="007022F8">
                  <w:pPr>
                    <w:pStyle w:val="tablebody0"/>
                  </w:pPr>
                  <w:r w:rsidRPr="00234E94">
                    <w:t>none</w:t>
                  </w:r>
                </w:p>
              </w:tc>
              <w:tc>
                <w:tcPr>
                  <w:tcW w:w="3074" w:type="pct"/>
                </w:tcPr>
                <w:p w14:paraId="187E15F2" w14:textId="77777777" w:rsidR="007022F8" w:rsidRPr="00234E94" w:rsidRDefault="007022F8" w:rsidP="007022F8">
                  <w:pPr>
                    <w:pStyle w:val="tablebody0"/>
                  </w:pPr>
                  <w:r w:rsidRPr="00234E94">
                    <w:t>A SCED interval in the 15-minute Settlement Interval.</w:t>
                  </w:r>
                </w:p>
              </w:tc>
            </w:tr>
          </w:tbl>
          <w:p w14:paraId="5451A63C" w14:textId="211DC7A1" w:rsidR="00954FBC" w:rsidRPr="00B37C4B" w:rsidRDefault="00954FBC" w:rsidP="003451DD">
            <w:pPr>
              <w:spacing w:after="240"/>
            </w:pPr>
          </w:p>
        </w:tc>
      </w:tr>
    </w:tbl>
    <w:p w14:paraId="7BE4F9FB" w14:textId="2798F0D6" w:rsidR="001F04FD" w:rsidRDefault="001F04FD" w:rsidP="006B72E9">
      <w:pPr>
        <w:pStyle w:val="H3"/>
        <w:spacing w:before="480" w:after="480"/>
      </w:pPr>
      <w:bookmarkStart w:id="1763" w:name="_Toc204411655"/>
      <w:r>
        <w:lastRenderedPageBreak/>
        <w:t>6.6.2</w:t>
      </w:r>
      <w:r>
        <w:tab/>
        <w:t>Load Ratio Share</w:t>
      </w:r>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63"/>
    </w:p>
    <w:p w14:paraId="1A57055A" w14:textId="77777777" w:rsidR="001F04FD" w:rsidRDefault="001F04FD" w:rsidP="001F04FD">
      <w:pPr>
        <w:pStyle w:val="H4"/>
      </w:pPr>
      <w:bookmarkStart w:id="1764" w:name="_Toc103653335"/>
      <w:bookmarkStart w:id="1765" w:name="_Toc109009385"/>
      <w:bookmarkStart w:id="1766" w:name="_Toc397505009"/>
      <w:bookmarkStart w:id="1767" w:name="_Toc402357137"/>
      <w:bookmarkStart w:id="1768" w:name="_Toc422486515"/>
      <w:bookmarkStart w:id="1769" w:name="_Toc433093367"/>
      <w:bookmarkStart w:id="1770" w:name="_Toc433093525"/>
      <w:bookmarkStart w:id="1771" w:name="_Toc440874753"/>
      <w:bookmarkStart w:id="1772" w:name="_Toc448142308"/>
      <w:bookmarkStart w:id="1773" w:name="_Toc448142465"/>
      <w:bookmarkStart w:id="1774" w:name="_Toc458770302"/>
      <w:bookmarkStart w:id="1775" w:name="_Toc459294270"/>
      <w:bookmarkStart w:id="1776" w:name="_Toc463262763"/>
      <w:bookmarkStart w:id="1777" w:name="_Toc468286836"/>
      <w:bookmarkStart w:id="1778" w:name="_Toc481502882"/>
      <w:bookmarkStart w:id="1779" w:name="_Toc496080050"/>
      <w:bookmarkStart w:id="1780" w:name="_Toc204411656"/>
      <w:r>
        <w:t>6.6.2.1</w:t>
      </w:r>
      <w:r>
        <w:tab/>
        <w:t>ERCOT Total Adjusted Metered Load</w:t>
      </w:r>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r w:rsidR="003C2BD5" w:rsidRPr="003C2BD5">
        <w:t xml:space="preserve"> </w:t>
      </w:r>
      <w:r w:rsidR="003C2BD5">
        <w:t>for a 15-Minute Settlement Interval</w:t>
      </w:r>
      <w:bookmarkEnd w:id="1778"/>
      <w:bookmarkEnd w:id="1779"/>
      <w:bookmarkEnd w:id="1780"/>
    </w:p>
    <w:p w14:paraId="17750838" w14:textId="10C35F11" w:rsidR="001F04FD" w:rsidRDefault="001F04FD" w:rsidP="001F04FD">
      <w:pPr>
        <w:pStyle w:val="BodyText"/>
        <w:ind w:left="720" w:hanging="720"/>
      </w:pPr>
      <w:r>
        <w:t>(1)</w:t>
      </w:r>
      <w:r>
        <w:tab/>
        <w:t>ERCOT total Adjusted Metered Load (AML) for a 15-minute Settlement Interval is calculated as follows:</w:t>
      </w:r>
    </w:p>
    <w:p w14:paraId="7FC8FA7F" w14:textId="77777777" w:rsidR="001F04FD" w:rsidRDefault="001F04FD" w:rsidP="006B72E9">
      <w:pPr>
        <w:pStyle w:val="FormulaBold"/>
      </w:pPr>
      <w:r>
        <w:t>RTAMLTOT</w:t>
      </w:r>
      <w:r>
        <w:tab/>
        <w:t>=</w:t>
      </w:r>
      <w:r>
        <w:tab/>
      </w:r>
      <w:r w:rsidRPr="006F784F">
        <w:rPr>
          <w:position w:val="-22"/>
        </w:rPr>
        <w:object w:dxaOrig="225" w:dyaOrig="465" w14:anchorId="035F7B09">
          <v:shape id="_x0000_i1089" type="#_x0000_t75" style="width:12pt;height:18pt" o:ole="">
            <v:imagedata r:id="rId90" o:title=""/>
          </v:shape>
          <o:OLEObject Type="Embed" ProgID="Equation.3" ShapeID="_x0000_i1089" DrawAspect="Content" ObjectID="_1815025279" r:id="rId91"/>
        </w:object>
      </w:r>
      <w:r w:rsidR="003C2BD5" w:rsidRPr="00103433">
        <w:rPr>
          <w:bCs w:val="0"/>
        </w:rPr>
        <w:t>(max(0,</w:t>
      </w:r>
      <w:r w:rsidRPr="006F784F">
        <w:rPr>
          <w:position w:val="-22"/>
        </w:rPr>
        <w:object w:dxaOrig="225" w:dyaOrig="465" w14:anchorId="00FFCCFC">
          <v:shape id="_x0000_i1090" type="#_x0000_t75" style="width:12pt;height:18pt" o:ole="">
            <v:imagedata r:id="rId92" o:title=""/>
          </v:shape>
          <o:OLEObject Type="Embed" ProgID="Equation.3" ShapeID="_x0000_i1090" DrawAspect="Content" ObjectID="_1815025280" r:id="rId93"/>
        </w:object>
      </w:r>
      <w:r>
        <w:t xml:space="preserve">RTAML </w:t>
      </w:r>
      <w:r>
        <w:rPr>
          <w:i/>
          <w:vertAlign w:val="subscript"/>
        </w:rPr>
        <w:t>q, p</w:t>
      </w:r>
      <w:r w:rsidR="003C2BD5" w:rsidRPr="00103433">
        <w:rPr>
          <w:bCs w:val="0"/>
        </w:rPr>
        <w:t>))</w:t>
      </w:r>
    </w:p>
    <w:p w14:paraId="5C3ED624" w14:textId="77777777" w:rsidR="001F04FD" w:rsidRDefault="001F04FD" w:rsidP="001F04FD">
      <w:r>
        <w:t>The above variables are defined as follows:</w:t>
      </w: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42"/>
        <w:gridCol w:w="697"/>
        <w:gridCol w:w="7347"/>
      </w:tblGrid>
      <w:tr w:rsidR="001F04FD" w14:paraId="68008401" w14:textId="77777777" w:rsidTr="00AC4DEE">
        <w:tc>
          <w:tcPr>
            <w:tcW w:w="2042" w:type="dxa"/>
          </w:tcPr>
          <w:p w14:paraId="71AA1497" w14:textId="77777777" w:rsidR="001F04FD" w:rsidRDefault="001F04FD" w:rsidP="00AC4DEE">
            <w:pPr>
              <w:pStyle w:val="TableHead"/>
            </w:pPr>
            <w:r>
              <w:t>Variable</w:t>
            </w:r>
          </w:p>
        </w:tc>
        <w:tc>
          <w:tcPr>
            <w:tcW w:w="0" w:type="auto"/>
          </w:tcPr>
          <w:p w14:paraId="24E4EC2E" w14:textId="77777777" w:rsidR="001F04FD" w:rsidRDefault="001F04FD" w:rsidP="00AC4DEE">
            <w:pPr>
              <w:pStyle w:val="TableHead"/>
            </w:pPr>
            <w:r>
              <w:t>Unit</w:t>
            </w:r>
          </w:p>
        </w:tc>
        <w:tc>
          <w:tcPr>
            <w:tcW w:w="0" w:type="auto"/>
          </w:tcPr>
          <w:p w14:paraId="7D4555FB" w14:textId="77777777" w:rsidR="001F04FD" w:rsidRDefault="001F04FD" w:rsidP="00AC4DEE">
            <w:pPr>
              <w:pStyle w:val="TableHead"/>
            </w:pPr>
            <w:r>
              <w:t>Description</w:t>
            </w:r>
          </w:p>
        </w:tc>
      </w:tr>
      <w:tr w:rsidR="001F04FD" w14:paraId="7932CB57" w14:textId="77777777" w:rsidTr="00AC4DEE">
        <w:tc>
          <w:tcPr>
            <w:tcW w:w="2042" w:type="dxa"/>
          </w:tcPr>
          <w:p w14:paraId="76D50416" w14:textId="77777777" w:rsidR="001F04FD" w:rsidRDefault="001F04FD" w:rsidP="00AC4DEE">
            <w:pPr>
              <w:pStyle w:val="TableBody"/>
            </w:pPr>
            <w:r>
              <w:t>RTAMLTOT</w:t>
            </w:r>
          </w:p>
        </w:tc>
        <w:tc>
          <w:tcPr>
            <w:tcW w:w="0" w:type="auto"/>
          </w:tcPr>
          <w:p w14:paraId="650AA525" w14:textId="77777777" w:rsidR="001F04FD" w:rsidRDefault="001F04FD" w:rsidP="00AC4DEE">
            <w:pPr>
              <w:pStyle w:val="TableBody"/>
              <w:rPr>
                <w:i/>
              </w:rPr>
            </w:pPr>
            <w:r>
              <w:t>MWh</w:t>
            </w:r>
          </w:p>
        </w:tc>
        <w:tc>
          <w:tcPr>
            <w:tcW w:w="0" w:type="auto"/>
          </w:tcPr>
          <w:p w14:paraId="646E5EAC" w14:textId="77777777" w:rsidR="001F04FD" w:rsidRDefault="001F04FD" w:rsidP="00AC4DEE">
            <w:pPr>
              <w:pStyle w:val="TableBody"/>
            </w:pPr>
            <w:r>
              <w:rPr>
                <w:i/>
              </w:rPr>
              <w:t>Real-Time Adjusted Metered Load Total</w:t>
            </w:r>
            <w:r>
              <w:t>—The total AML in ERCOT, for the 15-minute Settlement Interval.</w:t>
            </w:r>
          </w:p>
        </w:tc>
      </w:tr>
      <w:tr w:rsidR="001F04FD" w14:paraId="66D26512" w14:textId="77777777" w:rsidTr="00AC4DEE">
        <w:tc>
          <w:tcPr>
            <w:tcW w:w="2042" w:type="dxa"/>
          </w:tcPr>
          <w:p w14:paraId="2CAFC729" w14:textId="77777777" w:rsidR="001F04FD" w:rsidRDefault="001F04FD" w:rsidP="00AC4DEE">
            <w:pPr>
              <w:pStyle w:val="TableBody"/>
            </w:pPr>
            <w:r>
              <w:t xml:space="preserve">RTAML </w:t>
            </w:r>
            <w:r w:rsidRPr="00107CC2">
              <w:rPr>
                <w:i/>
                <w:vertAlign w:val="subscript"/>
              </w:rPr>
              <w:t>q, p</w:t>
            </w:r>
          </w:p>
        </w:tc>
        <w:tc>
          <w:tcPr>
            <w:tcW w:w="0" w:type="auto"/>
          </w:tcPr>
          <w:p w14:paraId="6E7841CA" w14:textId="77777777" w:rsidR="001F04FD" w:rsidRDefault="001F04FD" w:rsidP="00AC4DEE">
            <w:pPr>
              <w:pStyle w:val="TableBody"/>
            </w:pPr>
            <w:r>
              <w:t>MWh</w:t>
            </w:r>
          </w:p>
        </w:tc>
        <w:tc>
          <w:tcPr>
            <w:tcW w:w="0" w:type="auto"/>
          </w:tcPr>
          <w:p w14:paraId="1680D0AE" w14:textId="088C9759" w:rsidR="001F04FD" w:rsidRDefault="001F04FD" w:rsidP="00AC4DEE">
            <w:pPr>
              <w:pStyle w:val="TableBody"/>
            </w:pPr>
            <w:r>
              <w:rPr>
                <w:i/>
              </w:rPr>
              <w:t xml:space="preserve">Real-Time Adjusted Metered Load per </w:t>
            </w:r>
            <w:r w:rsidR="001335E7">
              <w:rPr>
                <w:i/>
              </w:rPr>
              <w:t>Qualified Scheduling Entity (</w:t>
            </w:r>
            <w:r>
              <w:rPr>
                <w:i/>
              </w:rPr>
              <w:t>QSE</w:t>
            </w:r>
            <w:r w:rsidR="001335E7">
              <w:rPr>
                <w:i/>
              </w:rPr>
              <w:t>)</w:t>
            </w:r>
            <w:r>
              <w:rPr>
                <w:i/>
              </w:rPr>
              <w:t xml:space="preserve"> per Settlement Point</w:t>
            </w:r>
            <w:r>
              <w:t xml:space="preserve">—The sum of the AML at the Electrical Buses that are included in Settlement </w:t>
            </w:r>
            <w:r>
              <w:lastRenderedPageBreak/>
              <w:t xml:space="preserve">Point </w:t>
            </w:r>
            <w:r>
              <w:rPr>
                <w:i/>
              </w:rPr>
              <w:t>p</w:t>
            </w:r>
            <w:r>
              <w:t xml:space="preserve">, represented by </w:t>
            </w:r>
            <w:r w:rsidR="00F510E2">
              <w:t>Qualified Scheduling Entity (</w:t>
            </w:r>
            <w:r>
              <w:t>QSE</w:t>
            </w:r>
            <w:r w:rsidR="00F510E2">
              <w:t>)</w:t>
            </w:r>
            <w:r>
              <w:t xml:space="preserve"> </w:t>
            </w:r>
            <w:r>
              <w:rPr>
                <w:i/>
              </w:rPr>
              <w:t>q</w:t>
            </w:r>
            <w:r>
              <w:t>, for the 15-minute Settlement Interval.</w:t>
            </w:r>
          </w:p>
        </w:tc>
      </w:tr>
      <w:tr w:rsidR="001F04FD" w14:paraId="598F6B3B" w14:textId="77777777" w:rsidTr="00AC4DEE">
        <w:tc>
          <w:tcPr>
            <w:tcW w:w="2042" w:type="dxa"/>
          </w:tcPr>
          <w:p w14:paraId="307C56C8" w14:textId="77777777" w:rsidR="001F04FD" w:rsidRPr="001355C5" w:rsidRDefault="001F04FD" w:rsidP="00AC4DEE">
            <w:pPr>
              <w:pStyle w:val="TableBody"/>
              <w:rPr>
                <w:i/>
              </w:rPr>
            </w:pPr>
            <w:r w:rsidRPr="00A61E91">
              <w:rPr>
                <w:i/>
              </w:rPr>
              <w:lastRenderedPageBreak/>
              <w:t>q</w:t>
            </w:r>
          </w:p>
        </w:tc>
        <w:tc>
          <w:tcPr>
            <w:tcW w:w="0" w:type="auto"/>
          </w:tcPr>
          <w:p w14:paraId="2D19F812" w14:textId="77777777" w:rsidR="001F04FD" w:rsidRDefault="001F04FD" w:rsidP="00AC4DEE">
            <w:pPr>
              <w:pStyle w:val="TableBody"/>
            </w:pPr>
            <w:r>
              <w:t>none</w:t>
            </w:r>
          </w:p>
        </w:tc>
        <w:tc>
          <w:tcPr>
            <w:tcW w:w="0" w:type="auto"/>
          </w:tcPr>
          <w:p w14:paraId="584E93F8" w14:textId="77777777" w:rsidR="001F04FD" w:rsidRDefault="001F04FD" w:rsidP="00AC4DEE">
            <w:pPr>
              <w:pStyle w:val="TableBody"/>
            </w:pPr>
            <w:r>
              <w:t>A QSE.  The summation is over all of the QSEs with metered readings in that interval.</w:t>
            </w:r>
          </w:p>
        </w:tc>
      </w:tr>
      <w:tr w:rsidR="001F04FD" w14:paraId="4A57022A" w14:textId="77777777" w:rsidTr="00AC4DEE">
        <w:tc>
          <w:tcPr>
            <w:tcW w:w="2042" w:type="dxa"/>
          </w:tcPr>
          <w:p w14:paraId="6E11A3FA" w14:textId="77777777" w:rsidR="001F04FD" w:rsidRPr="001355C5" w:rsidRDefault="001F04FD" w:rsidP="00AC4DEE">
            <w:pPr>
              <w:pStyle w:val="TableBody"/>
              <w:rPr>
                <w:i/>
              </w:rPr>
            </w:pPr>
            <w:r w:rsidRPr="00A61E91">
              <w:rPr>
                <w:i/>
              </w:rPr>
              <w:t>p</w:t>
            </w:r>
          </w:p>
        </w:tc>
        <w:tc>
          <w:tcPr>
            <w:tcW w:w="0" w:type="auto"/>
          </w:tcPr>
          <w:p w14:paraId="35CC9D17" w14:textId="77777777" w:rsidR="001F04FD" w:rsidRDefault="001F04FD" w:rsidP="00AC4DEE">
            <w:pPr>
              <w:pStyle w:val="TableBody"/>
            </w:pPr>
            <w:r>
              <w:t>none</w:t>
            </w:r>
          </w:p>
        </w:tc>
        <w:tc>
          <w:tcPr>
            <w:tcW w:w="0" w:type="auto"/>
          </w:tcPr>
          <w:p w14:paraId="05B34B28" w14:textId="77777777" w:rsidR="001F04FD" w:rsidRDefault="001F04FD" w:rsidP="00AC4DEE">
            <w:pPr>
              <w:pStyle w:val="TableBody"/>
            </w:pPr>
            <w:r>
              <w:t>A Settlement Point.  The summation is over all of the Settlement Points.</w:t>
            </w:r>
          </w:p>
        </w:tc>
      </w:tr>
    </w:tbl>
    <w:p w14:paraId="06FAEDC9" w14:textId="77777777" w:rsidR="001F04FD" w:rsidRDefault="001F04FD" w:rsidP="00BB44BE">
      <w:pPr>
        <w:pStyle w:val="H4"/>
        <w:spacing w:before="480"/>
      </w:pPr>
      <w:bookmarkStart w:id="1781" w:name="_Toc103653336"/>
      <w:bookmarkStart w:id="1782" w:name="_Toc109009386"/>
      <w:bookmarkStart w:id="1783" w:name="_Toc397505010"/>
      <w:bookmarkStart w:id="1784" w:name="_Toc402357138"/>
      <w:bookmarkStart w:id="1785" w:name="_Toc422486516"/>
      <w:bookmarkStart w:id="1786" w:name="_Toc433093368"/>
      <w:bookmarkStart w:id="1787" w:name="_Toc433093526"/>
      <w:bookmarkStart w:id="1788" w:name="_Toc440874754"/>
      <w:bookmarkStart w:id="1789" w:name="_Toc448142309"/>
      <w:bookmarkStart w:id="1790" w:name="_Toc448142466"/>
      <w:bookmarkStart w:id="1791" w:name="_Toc458770304"/>
      <w:bookmarkStart w:id="1792" w:name="_Toc459294272"/>
      <w:bookmarkStart w:id="1793" w:name="_Toc463262765"/>
      <w:bookmarkStart w:id="1794" w:name="_Toc468286838"/>
      <w:bookmarkStart w:id="1795" w:name="_Toc481502883"/>
      <w:bookmarkStart w:id="1796" w:name="_Toc496080051"/>
      <w:bookmarkStart w:id="1797" w:name="_Toc204411657"/>
      <w:r>
        <w:t>6.6.2.2</w:t>
      </w:r>
      <w:r>
        <w:tab/>
        <w:t>QSE Load Ratio Share for a 15-Minute Settlement Interval</w:t>
      </w:r>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p>
    <w:p w14:paraId="6380FA67" w14:textId="77777777" w:rsidR="001F04FD" w:rsidRDefault="001F04FD" w:rsidP="001F04FD">
      <w:pPr>
        <w:pStyle w:val="BodyText"/>
        <w:ind w:left="720" w:hanging="720"/>
      </w:pPr>
      <w:r>
        <w:t>(1)</w:t>
      </w:r>
      <w:r>
        <w:tab/>
        <w:t>Each QSE’s Load Ratio Share (LRS) for a 15-minute Settlement Interval is calculated as follows:</w:t>
      </w:r>
    </w:p>
    <w:p w14:paraId="66133F12" w14:textId="77777777" w:rsidR="001F04FD" w:rsidRDefault="001F04FD" w:rsidP="001F04FD">
      <w:pPr>
        <w:pStyle w:val="FormulaBold"/>
      </w:pPr>
      <w:r>
        <w:t>LRS</w:t>
      </w:r>
      <w:r>
        <w:rPr>
          <w:i/>
          <w:vertAlign w:val="subscript"/>
        </w:rPr>
        <w:t xml:space="preserve"> q</w:t>
      </w:r>
      <w:r>
        <w:tab/>
        <w:t>=</w:t>
      </w:r>
      <w:r>
        <w:tab/>
        <w:t>(</w:t>
      </w:r>
      <w:r w:rsidR="003C2BD5" w:rsidRPr="00103433">
        <w:rPr>
          <w:bCs w:val="0"/>
        </w:rPr>
        <w:t>max(0,</w:t>
      </w:r>
      <w:r w:rsidRPr="006F784F">
        <w:rPr>
          <w:position w:val="-22"/>
        </w:rPr>
        <w:object w:dxaOrig="225" w:dyaOrig="465" w14:anchorId="70678250">
          <v:shape id="_x0000_i1091" type="#_x0000_t75" style="width:12pt;height:18pt" o:ole="">
            <v:imagedata r:id="rId92" o:title=""/>
          </v:shape>
          <o:OLEObject Type="Embed" ProgID="Equation.3" ShapeID="_x0000_i1091" DrawAspect="Content" ObjectID="_1815025281" r:id="rId94"/>
        </w:object>
      </w:r>
      <w:r>
        <w:t xml:space="preserve">RTAML </w:t>
      </w:r>
      <w:r>
        <w:rPr>
          <w:i/>
          <w:vertAlign w:val="subscript"/>
        </w:rPr>
        <w:t>q, p</w:t>
      </w:r>
      <w:r>
        <w:t>)</w:t>
      </w:r>
      <w:r w:rsidR="003C2BD5">
        <w:t>)</w:t>
      </w:r>
      <w:r>
        <w:t xml:space="preserve"> / RTAMLTOT</w:t>
      </w:r>
    </w:p>
    <w:p w14:paraId="0B6786D6" w14:textId="77777777" w:rsidR="001F04FD" w:rsidRDefault="001F04FD" w:rsidP="001F04FD">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3"/>
        <w:gridCol w:w="697"/>
        <w:gridCol w:w="7080"/>
      </w:tblGrid>
      <w:tr w:rsidR="001F04FD" w14:paraId="5CDD9675" w14:textId="77777777" w:rsidTr="00B039ED">
        <w:tc>
          <w:tcPr>
            <w:tcW w:w="2063" w:type="dxa"/>
          </w:tcPr>
          <w:p w14:paraId="1DAC656F" w14:textId="77777777" w:rsidR="001F04FD" w:rsidRDefault="001F04FD" w:rsidP="00AC4DEE">
            <w:pPr>
              <w:pStyle w:val="TableHead"/>
            </w:pPr>
            <w:r>
              <w:t>Variable</w:t>
            </w:r>
          </w:p>
        </w:tc>
        <w:tc>
          <w:tcPr>
            <w:tcW w:w="0" w:type="auto"/>
          </w:tcPr>
          <w:p w14:paraId="79BC14CF" w14:textId="77777777" w:rsidR="001F04FD" w:rsidRDefault="001F04FD" w:rsidP="00AC4DEE">
            <w:pPr>
              <w:pStyle w:val="TableHead"/>
            </w:pPr>
            <w:r>
              <w:t>Unit</w:t>
            </w:r>
          </w:p>
        </w:tc>
        <w:tc>
          <w:tcPr>
            <w:tcW w:w="0" w:type="auto"/>
          </w:tcPr>
          <w:p w14:paraId="3F773FF6" w14:textId="77777777" w:rsidR="001F04FD" w:rsidRDefault="001F04FD" w:rsidP="00AC4DEE">
            <w:pPr>
              <w:pStyle w:val="TableHead"/>
            </w:pPr>
            <w:r>
              <w:t>Description</w:t>
            </w:r>
          </w:p>
        </w:tc>
      </w:tr>
      <w:tr w:rsidR="001F04FD" w14:paraId="28007685" w14:textId="77777777" w:rsidTr="00B039ED">
        <w:tc>
          <w:tcPr>
            <w:tcW w:w="2063" w:type="dxa"/>
          </w:tcPr>
          <w:p w14:paraId="3BE1FB65" w14:textId="77777777" w:rsidR="001F04FD" w:rsidRDefault="001F04FD" w:rsidP="00AC4DEE">
            <w:pPr>
              <w:pStyle w:val="TableBody"/>
            </w:pPr>
            <w:r>
              <w:t>LRS</w:t>
            </w:r>
            <w:r>
              <w:rPr>
                <w:i/>
                <w:vertAlign w:val="subscript"/>
              </w:rPr>
              <w:t xml:space="preserve"> q</w:t>
            </w:r>
          </w:p>
        </w:tc>
        <w:tc>
          <w:tcPr>
            <w:tcW w:w="0" w:type="auto"/>
          </w:tcPr>
          <w:p w14:paraId="677612F4" w14:textId="77777777" w:rsidR="001F04FD" w:rsidRDefault="001F04FD" w:rsidP="00AC4DEE">
            <w:pPr>
              <w:pStyle w:val="TableBody"/>
            </w:pPr>
            <w:r>
              <w:t>none</w:t>
            </w:r>
          </w:p>
        </w:tc>
        <w:tc>
          <w:tcPr>
            <w:tcW w:w="0" w:type="auto"/>
          </w:tcPr>
          <w:p w14:paraId="37C1FC7F" w14:textId="77777777" w:rsidR="001F04FD" w:rsidRDefault="001F04FD" w:rsidP="00AC4DEE">
            <w:pPr>
              <w:pStyle w:val="TableBody"/>
              <w:rPr>
                <w:i/>
              </w:rPr>
            </w:pPr>
            <w:r>
              <w:rPr>
                <w:i/>
              </w:rPr>
              <w:t>Load Ratio Share per QSE</w:t>
            </w:r>
            <w:r>
              <w:t xml:space="preserve">—The LRS as defined in Section 2, Definitions and Acronyms, for QSE </w:t>
            </w:r>
            <w:r>
              <w:rPr>
                <w:i/>
              </w:rPr>
              <w:t>q</w:t>
            </w:r>
            <w:r>
              <w:t xml:space="preserve">, for the 15-minute Settlement Interval. </w:t>
            </w:r>
          </w:p>
        </w:tc>
      </w:tr>
      <w:tr w:rsidR="001F04FD" w14:paraId="14CD95DE" w14:textId="77777777" w:rsidTr="00B039ED">
        <w:tc>
          <w:tcPr>
            <w:tcW w:w="2063" w:type="dxa"/>
          </w:tcPr>
          <w:p w14:paraId="34CF92C0" w14:textId="77777777" w:rsidR="001F04FD" w:rsidRDefault="001F04FD" w:rsidP="00AC4DEE">
            <w:pPr>
              <w:pStyle w:val="TableBody"/>
            </w:pPr>
            <w:r>
              <w:t xml:space="preserve">RTAML </w:t>
            </w:r>
            <w:r w:rsidRPr="00107CC2">
              <w:rPr>
                <w:i/>
                <w:vertAlign w:val="subscript"/>
              </w:rPr>
              <w:t>q, p</w:t>
            </w:r>
          </w:p>
        </w:tc>
        <w:tc>
          <w:tcPr>
            <w:tcW w:w="0" w:type="auto"/>
          </w:tcPr>
          <w:p w14:paraId="1A3D9FB3" w14:textId="77777777" w:rsidR="001F04FD" w:rsidRDefault="001F04FD" w:rsidP="00AC4DEE">
            <w:pPr>
              <w:pStyle w:val="TableBody"/>
              <w:rPr>
                <w:i/>
              </w:rPr>
            </w:pPr>
            <w:r>
              <w:t>MWh</w:t>
            </w:r>
          </w:p>
        </w:tc>
        <w:tc>
          <w:tcPr>
            <w:tcW w:w="0" w:type="auto"/>
          </w:tcPr>
          <w:p w14:paraId="49246899" w14:textId="77777777" w:rsidR="001F04FD" w:rsidRDefault="001F04FD" w:rsidP="00E91BBF">
            <w:pPr>
              <w:pStyle w:val="TableBody"/>
            </w:pPr>
            <w:r>
              <w:rPr>
                <w:i/>
              </w:rPr>
              <w:t>Real-Time Adjusted Metered Load per Settlement Point per QSE</w:t>
            </w:r>
            <w:r>
              <w:t xml:space="preserve">—The sum of the </w:t>
            </w:r>
            <w:r w:rsidR="00E91BBF">
              <w:t>AML</w:t>
            </w:r>
            <w:r>
              <w:t xml:space="preserve"> at the Electrical Buses that are included in Settlement Point </w:t>
            </w:r>
            <w:r>
              <w:rPr>
                <w:i/>
              </w:rPr>
              <w:t>p</w:t>
            </w:r>
            <w:r>
              <w:t xml:space="preserve">, represented by QSE </w:t>
            </w:r>
            <w:r>
              <w:rPr>
                <w:i/>
              </w:rPr>
              <w:t>q</w:t>
            </w:r>
            <w:r>
              <w:t>, for the 15-minute Settlement Interval.</w:t>
            </w:r>
          </w:p>
        </w:tc>
      </w:tr>
      <w:tr w:rsidR="001F04FD" w14:paraId="4E63339A" w14:textId="77777777" w:rsidTr="00B039ED">
        <w:tc>
          <w:tcPr>
            <w:tcW w:w="2063" w:type="dxa"/>
          </w:tcPr>
          <w:p w14:paraId="2DFB28C9" w14:textId="77777777" w:rsidR="001F04FD" w:rsidRDefault="001F04FD" w:rsidP="00AC4DEE">
            <w:pPr>
              <w:pStyle w:val="TableBody"/>
            </w:pPr>
            <w:r>
              <w:t>RTAMLTOT</w:t>
            </w:r>
          </w:p>
        </w:tc>
        <w:tc>
          <w:tcPr>
            <w:tcW w:w="0" w:type="auto"/>
          </w:tcPr>
          <w:p w14:paraId="17587745" w14:textId="77777777" w:rsidR="001F04FD" w:rsidRDefault="001F04FD" w:rsidP="00AC4DEE">
            <w:pPr>
              <w:pStyle w:val="TableBody"/>
              <w:rPr>
                <w:i/>
              </w:rPr>
            </w:pPr>
            <w:r>
              <w:t>MWh</w:t>
            </w:r>
          </w:p>
        </w:tc>
        <w:tc>
          <w:tcPr>
            <w:tcW w:w="0" w:type="auto"/>
          </w:tcPr>
          <w:p w14:paraId="37E45A26" w14:textId="77777777" w:rsidR="001F04FD" w:rsidRDefault="001F04FD" w:rsidP="00E91BBF">
            <w:pPr>
              <w:pStyle w:val="TableBody"/>
            </w:pPr>
            <w:r>
              <w:rPr>
                <w:i/>
              </w:rPr>
              <w:t>Real-Time Adjusted Metered Load Total</w:t>
            </w:r>
            <w:r>
              <w:t xml:space="preserve">—The total </w:t>
            </w:r>
            <w:r w:rsidR="00E91BBF">
              <w:t>AML</w:t>
            </w:r>
            <w:r>
              <w:t xml:space="preserve"> in ERCOT, for the 15-minute Settlement Interval.</w:t>
            </w:r>
          </w:p>
        </w:tc>
      </w:tr>
      <w:tr w:rsidR="009F62BA" w14:paraId="4C900C50" w14:textId="77777777" w:rsidTr="00B039ED">
        <w:tc>
          <w:tcPr>
            <w:tcW w:w="2063" w:type="dxa"/>
          </w:tcPr>
          <w:p w14:paraId="39CA26D4" w14:textId="7DDC018A" w:rsidR="009F62BA" w:rsidRDefault="009F62BA" w:rsidP="009F62BA">
            <w:pPr>
              <w:pStyle w:val="TableBody"/>
            </w:pPr>
            <w:r>
              <w:rPr>
                <w:i/>
              </w:rPr>
              <w:t>q</w:t>
            </w:r>
          </w:p>
        </w:tc>
        <w:tc>
          <w:tcPr>
            <w:tcW w:w="0" w:type="auto"/>
          </w:tcPr>
          <w:p w14:paraId="1B405C13" w14:textId="7C3416A5" w:rsidR="009F62BA" w:rsidRDefault="009F62BA" w:rsidP="009F62BA">
            <w:pPr>
              <w:pStyle w:val="TableBody"/>
            </w:pPr>
            <w:r>
              <w:t>none</w:t>
            </w:r>
          </w:p>
        </w:tc>
        <w:tc>
          <w:tcPr>
            <w:tcW w:w="0" w:type="auto"/>
          </w:tcPr>
          <w:p w14:paraId="0F18FC34" w14:textId="7555C088" w:rsidR="009F62BA" w:rsidRDefault="009F62BA" w:rsidP="009F62BA">
            <w:pPr>
              <w:pStyle w:val="TableBody"/>
              <w:rPr>
                <w:i/>
              </w:rPr>
            </w:pPr>
            <w:r>
              <w:t>A QSE.</w:t>
            </w:r>
          </w:p>
        </w:tc>
      </w:tr>
      <w:tr w:rsidR="001F04FD" w14:paraId="141649F6" w14:textId="77777777" w:rsidTr="00B039ED">
        <w:tc>
          <w:tcPr>
            <w:tcW w:w="2063" w:type="dxa"/>
          </w:tcPr>
          <w:p w14:paraId="4EBF85F1" w14:textId="77777777" w:rsidR="001F04FD" w:rsidRPr="00476A8D" w:rsidRDefault="001F04FD" w:rsidP="00AC4DEE">
            <w:pPr>
              <w:pStyle w:val="TableBody"/>
              <w:rPr>
                <w:i/>
              </w:rPr>
            </w:pPr>
            <w:r w:rsidRPr="00A61E91">
              <w:rPr>
                <w:i/>
              </w:rPr>
              <w:t>p</w:t>
            </w:r>
          </w:p>
        </w:tc>
        <w:tc>
          <w:tcPr>
            <w:tcW w:w="0" w:type="auto"/>
          </w:tcPr>
          <w:p w14:paraId="24825714" w14:textId="77777777" w:rsidR="001F04FD" w:rsidRDefault="001F04FD" w:rsidP="00AC4DEE">
            <w:pPr>
              <w:pStyle w:val="TableBody"/>
            </w:pPr>
            <w:r>
              <w:t>none</w:t>
            </w:r>
          </w:p>
        </w:tc>
        <w:tc>
          <w:tcPr>
            <w:tcW w:w="0" w:type="auto"/>
          </w:tcPr>
          <w:p w14:paraId="37535CA7" w14:textId="77777777" w:rsidR="001F04FD" w:rsidRDefault="001F04FD" w:rsidP="00AC4DEE">
            <w:pPr>
              <w:pStyle w:val="TableBody"/>
            </w:pPr>
            <w:r>
              <w:t>A Settlement Point.  The summation is over all of the Settlement Points.</w:t>
            </w:r>
          </w:p>
        </w:tc>
      </w:tr>
    </w:tbl>
    <w:p w14:paraId="1BBEB590" w14:textId="77777777" w:rsidR="00222B2B" w:rsidRDefault="00222B2B" w:rsidP="00222B2B">
      <w:pPr>
        <w:keepNext/>
        <w:widowControl w:val="0"/>
        <w:tabs>
          <w:tab w:val="left" w:pos="1260"/>
        </w:tabs>
        <w:ind w:left="1260" w:hanging="1260"/>
        <w:outlineLvl w:val="3"/>
        <w:rPr>
          <w:b/>
          <w:bCs/>
          <w:snapToGrid w:val="0"/>
        </w:rPr>
      </w:pPr>
      <w:bookmarkStart w:id="1798" w:name="_Toc481502884"/>
      <w:bookmarkStart w:id="1799" w:name="_Toc496080052"/>
      <w:bookmarkStart w:id="1800" w:name="_Toc103653337"/>
      <w:bookmarkStart w:id="1801" w:name="_Toc109009387"/>
      <w:bookmarkStart w:id="1802" w:name="_Toc397505011"/>
      <w:bookmarkStart w:id="1803" w:name="_Toc402357139"/>
      <w:bookmarkStart w:id="1804" w:name="_Toc422486517"/>
      <w:bookmarkStart w:id="1805" w:name="_Toc433093369"/>
      <w:bookmarkStart w:id="1806" w:name="_Toc433093527"/>
      <w:bookmarkStart w:id="1807" w:name="_Toc440874755"/>
      <w:bookmarkStart w:id="1808" w:name="_Toc448142310"/>
      <w:bookmarkStart w:id="1809" w:name="_Toc448142467"/>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22B2B" w14:paraId="6939547A" w14:textId="77777777" w:rsidTr="00316CC9">
        <w:trPr>
          <w:trHeight w:val="206"/>
        </w:trPr>
        <w:tc>
          <w:tcPr>
            <w:tcW w:w="9576" w:type="dxa"/>
            <w:shd w:val="pct12" w:color="auto" w:fill="auto"/>
          </w:tcPr>
          <w:p w14:paraId="5662DC74" w14:textId="3C9CA742" w:rsidR="00222B2B" w:rsidRDefault="00222B2B" w:rsidP="00316CC9">
            <w:pPr>
              <w:pStyle w:val="Instructions"/>
              <w:spacing w:before="120"/>
            </w:pPr>
            <w:r>
              <w:t>[NPRR1030:  Insert paragraphs (2)-(4) below upon system implementation:]</w:t>
            </w:r>
          </w:p>
          <w:p w14:paraId="2657FB0B" w14:textId="77777777" w:rsidR="00222B2B" w:rsidRPr="00E7254B" w:rsidRDefault="00222B2B" w:rsidP="00850957">
            <w:pPr>
              <w:pStyle w:val="BodyText"/>
              <w:ind w:left="720" w:hanging="720"/>
              <w:rPr>
                <w:bCs/>
                <w:snapToGrid w:val="0"/>
              </w:rPr>
            </w:pPr>
            <w:bookmarkStart w:id="1810" w:name="_Toc60040665"/>
            <w:r w:rsidRPr="00E7254B">
              <w:rPr>
                <w:bCs/>
                <w:snapToGrid w:val="0"/>
              </w:rPr>
              <w:t>(2)</w:t>
            </w:r>
            <w:r>
              <w:rPr>
                <w:bCs/>
                <w:snapToGrid w:val="0"/>
              </w:rPr>
              <w:tab/>
            </w:r>
            <w:r w:rsidRPr="00E7254B">
              <w:rPr>
                <w:bCs/>
                <w:snapToGrid w:val="0"/>
              </w:rPr>
              <w:t xml:space="preserve">Each QSE’s </w:t>
            </w:r>
            <w:r>
              <w:rPr>
                <w:bCs/>
                <w:snapToGrid w:val="0"/>
              </w:rPr>
              <w:t>M</w:t>
            </w:r>
            <w:r w:rsidRPr="00E7254B">
              <w:rPr>
                <w:bCs/>
                <w:snapToGrid w:val="0"/>
              </w:rPr>
              <w:t>LRS</w:t>
            </w:r>
            <w:r>
              <w:rPr>
                <w:bCs/>
                <w:snapToGrid w:val="0"/>
              </w:rPr>
              <w:t>,</w:t>
            </w:r>
            <w:r w:rsidRPr="00E7254B">
              <w:rPr>
                <w:bCs/>
                <w:snapToGrid w:val="0"/>
              </w:rPr>
              <w:t xml:space="preserve"> </w:t>
            </w:r>
            <w:r w:rsidRPr="00850957">
              <w:t>excluding</w:t>
            </w:r>
            <w:r w:rsidRPr="00E7254B">
              <w:rPr>
                <w:bCs/>
                <w:snapToGrid w:val="0"/>
              </w:rPr>
              <w:t xml:space="preserve"> DC Tie exports </w:t>
            </w:r>
            <w:r>
              <w:rPr>
                <w:bCs/>
                <w:snapToGrid w:val="0"/>
              </w:rPr>
              <w:t xml:space="preserve">included in RTAML, </w:t>
            </w:r>
            <w:r w:rsidRPr="00E7254B">
              <w:rPr>
                <w:bCs/>
                <w:snapToGrid w:val="0"/>
              </w:rPr>
              <w:t>for ERCOT’s peak</w:t>
            </w:r>
            <w:r>
              <w:rPr>
                <w:bCs/>
                <w:snapToGrid w:val="0"/>
              </w:rPr>
              <w:t xml:space="preserve"> Load</w:t>
            </w:r>
            <w:r w:rsidRPr="00E7254B">
              <w:rPr>
                <w:bCs/>
                <w:snapToGrid w:val="0"/>
              </w:rPr>
              <w:t xml:space="preserve"> 15-minute Settlement In</w:t>
            </w:r>
            <w:r>
              <w:rPr>
                <w:bCs/>
                <w:snapToGrid w:val="0"/>
              </w:rPr>
              <w:t>terval</w:t>
            </w:r>
            <w:r w:rsidRPr="00E7254B">
              <w:rPr>
                <w:bCs/>
                <w:snapToGrid w:val="0"/>
              </w:rPr>
              <w:t xml:space="preserve"> </w:t>
            </w:r>
            <w:r>
              <w:rPr>
                <w:bCs/>
                <w:snapToGrid w:val="0"/>
              </w:rPr>
              <w:t xml:space="preserve">in the calendar month </w:t>
            </w:r>
            <w:r w:rsidRPr="00E7254B">
              <w:rPr>
                <w:bCs/>
                <w:snapToGrid w:val="0"/>
              </w:rPr>
              <w:t>is calculated as follows:</w:t>
            </w:r>
            <w:bookmarkEnd w:id="1810"/>
            <w:r w:rsidRPr="00E7254B">
              <w:rPr>
                <w:bCs/>
                <w:snapToGrid w:val="0"/>
              </w:rPr>
              <w:t xml:space="preserve"> </w:t>
            </w:r>
          </w:p>
          <w:p w14:paraId="18468D0C" w14:textId="77777777" w:rsidR="00222B2B" w:rsidRDefault="00222B2B" w:rsidP="00222B2B">
            <w:pPr>
              <w:pStyle w:val="FormulaBold"/>
            </w:pPr>
            <w:r>
              <w:t>MLRS</w:t>
            </w:r>
            <w:r>
              <w:rPr>
                <w:i/>
                <w:vertAlign w:val="subscript"/>
              </w:rPr>
              <w:t xml:space="preserve"> q</w:t>
            </w:r>
            <w:r>
              <w:tab/>
              <w:t>=</w:t>
            </w:r>
            <w:r>
              <w:tab/>
            </w:r>
            <w:r w:rsidRPr="00103433">
              <w:t>max(0,</w:t>
            </w:r>
            <w:r w:rsidRPr="006F784F">
              <w:rPr>
                <w:position w:val="-22"/>
              </w:rPr>
              <w:object w:dxaOrig="225" w:dyaOrig="465" w14:anchorId="44DB08E5">
                <v:shape id="_x0000_i1092" type="#_x0000_t75" style="width:12pt;height:18pt" o:ole="">
                  <v:imagedata r:id="rId92" o:title=""/>
                </v:shape>
                <o:OLEObject Type="Embed" ProgID="Equation.3" ShapeID="_x0000_i1092" DrawAspect="Content" ObjectID="_1815025282" r:id="rId95"/>
              </w:object>
            </w:r>
            <w:r>
              <w:t xml:space="preserve">(RTAML </w:t>
            </w:r>
            <w:r>
              <w:rPr>
                <w:i/>
                <w:vertAlign w:val="subscript"/>
              </w:rPr>
              <w:t xml:space="preserve">q, p </w:t>
            </w:r>
            <w:r w:rsidRPr="00A468E1">
              <w:rPr>
                <w:rFonts w:ascii="Times New Roman Bold" w:hAnsi="Times New Roman Bold"/>
                <w:i/>
              </w:rPr>
              <w:t xml:space="preserve">- </w:t>
            </w:r>
            <w:r>
              <w:t>RTAMLDC</w:t>
            </w:r>
            <w:r>
              <w:rPr>
                <w:lang w:val="sv-SE"/>
              </w:rPr>
              <w:t xml:space="preserve"> </w:t>
            </w:r>
            <w:r>
              <w:rPr>
                <w:i/>
                <w:vertAlign w:val="subscript"/>
              </w:rPr>
              <w:t>q, p</w:t>
            </w:r>
            <w:r>
              <w:t xml:space="preserve">)) / (RTAMLTOT - </w:t>
            </w:r>
            <w:r w:rsidRPr="00FC2DA7">
              <w:rPr>
                <w:position w:val="-22"/>
              </w:rPr>
              <w:object w:dxaOrig="225" w:dyaOrig="465" w14:anchorId="21F1259D">
                <v:shape id="_x0000_i1093" type="#_x0000_t75" style="width:12pt;height:18pt" o:ole="">
                  <v:imagedata r:id="rId96" o:title=""/>
                </v:shape>
                <o:OLEObject Type="Embed" ProgID="Equation.3" ShapeID="_x0000_i1093" DrawAspect="Content" ObjectID="_1815025283" r:id="rId97"/>
              </w:object>
            </w:r>
            <w:r w:rsidRPr="006F784F">
              <w:rPr>
                <w:position w:val="-22"/>
              </w:rPr>
              <w:object w:dxaOrig="225" w:dyaOrig="465" w14:anchorId="3B3CCB82">
                <v:shape id="_x0000_i1094" type="#_x0000_t75" style="width:12pt;height:18pt" o:ole="">
                  <v:imagedata r:id="rId98" o:title=""/>
                </v:shape>
                <o:OLEObject Type="Embed" ProgID="Equation.3" ShapeID="_x0000_i1094" DrawAspect="Content" ObjectID="_1815025284" r:id="rId99"/>
              </w:object>
            </w:r>
            <w:r w:rsidRPr="009910B0">
              <w:t xml:space="preserve"> </w:t>
            </w:r>
            <w:r>
              <w:t>RTAMLDC</w:t>
            </w:r>
            <w:r>
              <w:rPr>
                <w:lang w:val="sv-SE"/>
              </w:rPr>
              <w:t xml:space="preserve"> </w:t>
            </w:r>
            <w:r>
              <w:rPr>
                <w:i/>
                <w:vertAlign w:val="subscript"/>
              </w:rPr>
              <w:t>q, p</w:t>
            </w:r>
            <w:r>
              <w:t xml:space="preserve">) </w:t>
            </w:r>
          </w:p>
          <w:p w14:paraId="659DB3BD" w14:textId="77777777" w:rsidR="00222B2B" w:rsidRDefault="00222B2B" w:rsidP="00222B2B">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26"/>
              <w:gridCol w:w="697"/>
              <w:gridCol w:w="7117"/>
            </w:tblGrid>
            <w:tr w:rsidR="00222B2B" w14:paraId="4AC7E1CD" w14:textId="77777777" w:rsidTr="00316CC9">
              <w:tc>
                <w:tcPr>
                  <w:tcW w:w="2026" w:type="dxa"/>
                </w:tcPr>
                <w:p w14:paraId="7A422AB4" w14:textId="77777777" w:rsidR="00222B2B" w:rsidRDefault="00222B2B" w:rsidP="00222B2B">
                  <w:pPr>
                    <w:pStyle w:val="TableHead"/>
                  </w:pPr>
                  <w:r>
                    <w:t>Variable</w:t>
                  </w:r>
                </w:p>
              </w:tc>
              <w:tc>
                <w:tcPr>
                  <w:tcW w:w="0" w:type="auto"/>
                </w:tcPr>
                <w:p w14:paraId="576D4628" w14:textId="77777777" w:rsidR="00222B2B" w:rsidRDefault="00222B2B" w:rsidP="00222B2B">
                  <w:pPr>
                    <w:pStyle w:val="TableHead"/>
                  </w:pPr>
                  <w:r>
                    <w:t>Unit</w:t>
                  </w:r>
                </w:p>
              </w:tc>
              <w:tc>
                <w:tcPr>
                  <w:tcW w:w="0" w:type="auto"/>
                </w:tcPr>
                <w:p w14:paraId="162955A9" w14:textId="77777777" w:rsidR="00222B2B" w:rsidRDefault="00222B2B" w:rsidP="00222B2B">
                  <w:pPr>
                    <w:pStyle w:val="TableHead"/>
                  </w:pPr>
                  <w:r>
                    <w:t>Description</w:t>
                  </w:r>
                </w:p>
              </w:tc>
            </w:tr>
            <w:tr w:rsidR="00222B2B" w14:paraId="564F2FDE" w14:textId="77777777" w:rsidTr="00316CC9">
              <w:tc>
                <w:tcPr>
                  <w:tcW w:w="2026" w:type="dxa"/>
                </w:tcPr>
                <w:p w14:paraId="712E5228" w14:textId="77777777" w:rsidR="00222B2B" w:rsidRDefault="00222B2B" w:rsidP="00222B2B">
                  <w:pPr>
                    <w:pStyle w:val="TableBody"/>
                  </w:pPr>
                  <w:r>
                    <w:t>MLRS</w:t>
                  </w:r>
                  <w:r>
                    <w:rPr>
                      <w:i/>
                      <w:vertAlign w:val="subscript"/>
                    </w:rPr>
                    <w:t xml:space="preserve"> q</w:t>
                  </w:r>
                </w:p>
              </w:tc>
              <w:tc>
                <w:tcPr>
                  <w:tcW w:w="0" w:type="auto"/>
                </w:tcPr>
                <w:p w14:paraId="1912BCD3" w14:textId="77777777" w:rsidR="00222B2B" w:rsidRDefault="00222B2B" w:rsidP="00222B2B">
                  <w:pPr>
                    <w:pStyle w:val="TableBody"/>
                  </w:pPr>
                  <w:r>
                    <w:t>none</w:t>
                  </w:r>
                </w:p>
              </w:tc>
              <w:tc>
                <w:tcPr>
                  <w:tcW w:w="0" w:type="auto"/>
                </w:tcPr>
                <w:p w14:paraId="7EE29A87" w14:textId="77777777" w:rsidR="00222B2B" w:rsidRDefault="00222B2B" w:rsidP="00222B2B">
                  <w:pPr>
                    <w:pStyle w:val="TableBody"/>
                    <w:rPr>
                      <w:i/>
                    </w:rPr>
                  </w:pPr>
                  <w:r>
                    <w:rPr>
                      <w:i/>
                    </w:rPr>
                    <w:t>Monthly Load Ratio Share per QSE</w:t>
                  </w:r>
                  <w:r>
                    <w:t xml:space="preserve">—The ratio share of Loads excluding DC Tie Exports for QSE </w:t>
                  </w:r>
                  <w:r>
                    <w:rPr>
                      <w:i/>
                    </w:rPr>
                    <w:t>q</w:t>
                  </w:r>
                  <w:r>
                    <w:t xml:space="preserve">, for the peak Load 15-minute Settlement Interval. </w:t>
                  </w:r>
                </w:p>
              </w:tc>
            </w:tr>
            <w:tr w:rsidR="00222B2B" w14:paraId="1022AA74" w14:textId="77777777" w:rsidTr="00316CC9">
              <w:tc>
                <w:tcPr>
                  <w:tcW w:w="2026" w:type="dxa"/>
                </w:tcPr>
                <w:p w14:paraId="36EC372F" w14:textId="77777777" w:rsidR="00222B2B" w:rsidRDefault="00222B2B" w:rsidP="00222B2B">
                  <w:pPr>
                    <w:pStyle w:val="TableBody"/>
                  </w:pPr>
                  <w:r>
                    <w:t xml:space="preserve">RTAML </w:t>
                  </w:r>
                  <w:r w:rsidRPr="00107CC2">
                    <w:rPr>
                      <w:i/>
                      <w:vertAlign w:val="subscript"/>
                    </w:rPr>
                    <w:t>q, p</w:t>
                  </w:r>
                </w:p>
              </w:tc>
              <w:tc>
                <w:tcPr>
                  <w:tcW w:w="0" w:type="auto"/>
                </w:tcPr>
                <w:p w14:paraId="1F0DD041" w14:textId="77777777" w:rsidR="00222B2B" w:rsidRDefault="00222B2B" w:rsidP="00222B2B">
                  <w:pPr>
                    <w:pStyle w:val="TableBody"/>
                    <w:rPr>
                      <w:i/>
                    </w:rPr>
                  </w:pPr>
                  <w:r>
                    <w:t>MWh</w:t>
                  </w:r>
                </w:p>
              </w:tc>
              <w:tc>
                <w:tcPr>
                  <w:tcW w:w="0" w:type="auto"/>
                </w:tcPr>
                <w:p w14:paraId="6FFB20B5" w14:textId="77777777" w:rsidR="00222B2B" w:rsidRDefault="00222B2B" w:rsidP="00222B2B">
                  <w:pPr>
                    <w:pStyle w:val="TableBody"/>
                  </w:pPr>
                  <w:r>
                    <w:rPr>
                      <w:i/>
                    </w:rPr>
                    <w:t>Real-Time Adjusted Metered Load per Settlement Point per QSE</w:t>
                  </w:r>
                  <w:r>
                    <w:t xml:space="preserve">—The sum of the AML at the Electrical Buses that are included in Settlement Point </w:t>
                  </w:r>
                  <w:r>
                    <w:rPr>
                      <w:i/>
                    </w:rPr>
                    <w:t>p</w:t>
                  </w:r>
                  <w:r>
                    <w:t xml:space="preserve">, represented by QSE </w:t>
                  </w:r>
                  <w:r>
                    <w:rPr>
                      <w:i/>
                    </w:rPr>
                    <w:t>q</w:t>
                  </w:r>
                  <w:r>
                    <w:t>, for the 15-minute Settlement Interval.</w:t>
                  </w:r>
                </w:p>
              </w:tc>
            </w:tr>
            <w:tr w:rsidR="00222B2B" w14:paraId="4ABD25D1" w14:textId="77777777" w:rsidTr="00316CC9">
              <w:tc>
                <w:tcPr>
                  <w:tcW w:w="2026" w:type="dxa"/>
                </w:tcPr>
                <w:p w14:paraId="1CF1F0CB" w14:textId="77777777" w:rsidR="00222B2B" w:rsidRDefault="00222B2B" w:rsidP="00222B2B">
                  <w:pPr>
                    <w:pStyle w:val="TableBody"/>
                  </w:pPr>
                  <w:r>
                    <w:rPr>
                      <w:lang w:val="sv-SE"/>
                    </w:rPr>
                    <w:t xml:space="preserve">RTAMLDC </w:t>
                  </w:r>
                  <w:r>
                    <w:rPr>
                      <w:i/>
                      <w:vertAlign w:val="subscript"/>
                      <w:lang w:val="sv-SE"/>
                    </w:rPr>
                    <w:t>q,p</w:t>
                  </w:r>
                </w:p>
              </w:tc>
              <w:tc>
                <w:tcPr>
                  <w:tcW w:w="0" w:type="auto"/>
                </w:tcPr>
                <w:p w14:paraId="08AF6E9F" w14:textId="77777777" w:rsidR="00222B2B" w:rsidRDefault="00222B2B" w:rsidP="00222B2B">
                  <w:pPr>
                    <w:pStyle w:val="TableBody"/>
                  </w:pPr>
                  <w:r>
                    <w:t>MWh</w:t>
                  </w:r>
                </w:p>
              </w:tc>
              <w:tc>
                <w:tcPr>
                  <w:tcW w:w="0" w:type="auto"/>
                </w:tcPr>
                <w:p w14:paraId="4D337931" w14:textId="77777777" w:rsidR="00222B2B" w:rsidRDefault="00222B2B" w:rsidP="00222B2B">
                  <w:pPr>
                    <w:pStyle w:val="TableBody"/>
                    <w:rPr>
                      <w:i/>
                    </w:rPr>
                  </w:pPr>
                  <w:r>
                    <w:rPr>
                      <w:i/>
                    </w:rPr>
                    <w:t>Real-Time Adjusted Metered Load for DC Ties per Settlement Point per QSE</w:t>
                  </w:r>
                  <w:r>
                    <w:t xml:space="preserve">—The sum of the DC Tie AML at the Electrical Buses that are included in Settlement Point </w:t>
                  </w:r>
                  <w:r>
                    <w:rPr>
                      <w:i/>
                    </w:rPr>
                    <w:t>p</w:t>
                  </w:r>
                  <w:r>
                    <w:t xml:space="preserve">, represented by QSE </w:t>
                  </w:r>
                  <w:r>
                    <w:rPr>
                      <w:i/>
                    </w:rPr>
                    <w:t>q</w:t>
                  </w:r>
                  <w:r>
                    <w:t xml:space="preserve">, for the 15-minute Settlement Interval. </w:t>
                  </w:r>
                </w:p>
              </w:tc>
            </w:tr>
            <w:tr w:rsidR="00222B2B" w14:paraId="7CE3959A" w14:textId="77777777" w:rsidTr="00316CC9">
              <w:tc>
                <w:tcPr>
                  <w:tcW w:w="2026" w:type="dxa"/>
                </w:tcPr>
                <w:p w14:paraId="556094AC" w14:textId="77777777" w:rsidR="00222B2B" w:rsidRDefault="00222B2B" w:rsidP="00222B2B">
                  <w:pPr>
                    <w:pStyle w:val="TableBody"/>
                  </w:pPr>
                  <w:r>
                    <w:t>RTAMLTOT</w:t>
                  </w:r>
                </w:p>
              </w:tc>
              <w:tc>
                <w:tcPr>
                  <w:tcW w:w="0" w:type="auto"/>
                </w:tcPr>
                <w:p w14:paraId="75346AD7" w14:textId="77777777" w:rsidR="00222B2B" w:rsidRDefault="00222B2B" w:rsidP="00222B2B">
                  <w:pPr>
                    <w:pStyle w:val="TableBody"/>
                    <w:rPr>
                      <w:i/>
                    </w:rPr>
                  </w:pPr>
                  <w:r>
                    <w:t>MWh</w:t>
                  </w:r>
                </w:p>
              </w:tc>
              <w:tc>
                <w:tcPr>
                  <w:tcW w:w="0" w:type="auto"/>
                </w:tcPr>
                <w:p w14:paraId="76F3AA92" w14:textId="77777777" w:rsidR="00222B2B" w:rsidRDefault="00222B2B" w:rsidP="00222B2B">
                  <w:pPr>
                    <w:pStyle w:val="TableBody"/>
                  </w:pPr>
                  <w:r>
                    <w:rPr>
                      <w:i/>
                    </w:rPr>
                    <w:t>Real-Time Adjusted Metered Load Total</w:t>
                  </w:r>
                  <w:r>
                    <w:t>—The total AML in ERCOT, for the 15-minute Settlement Interval.</w:t>
                  </w:r>
                </w:p>
              </w:tc>
            </w:tr>
            <w:tr w:rsidR="00222B2B" w14:paraId="3ED42340" w14:textId="77777777" w:rsidTr="00316CC9">
              <w:tc>
                <w:tcPr>
                  <w:tcW w:w="2026" w:type="dxa"/>
                </w:tcPr>
                <w:p w14:paraId="41EF2ACF" w14:textId="77777777" w:rsidR="00222B2B" w:rsidRPr="00A61E91" w:rsidRDefault="00222B2B" w:rsidP="00222B2B">
                  <w:pPr>
                    <w:pStyle w:val="TableBody"/>
                    <w:rPr>
                      <w:i/>
                    </w:rPr>
                  </w:pPr>
                  <w:r w:rsidRPr="00FC2DA7">
                    <w:rPr>
                      <w:i/>
                      <w:iCs w:val="0"/>
                    </w:rPr>
                    <w:lastRenderedPageBreak/>
                    <w:t>q</w:t>
                  </w:r>
                </w:p>
              </w:tc>
              <w:tc>
                <w:tcPr>
                  <w:tcW w:w="0" w:type="auto"/>
                </w:tcPr>
                <w:p w14:paraId="0F4A1667" w14:textId="77777777" w:rsidR="00222B2B" w:rsidRDefault="00222B2B" w:rsidP="00222B2B">
                  <w:pPr>
                    <w:pStyle w:val="TableBody"/>
                  </w:pPr>
                  <w:r w:rsidRPr="00FC2DA7">
                    <w:rPr>
                      <w:iCs w:val="0"/>
                    </w:rPr>
                    <w:t>none</w:t>
                  </w:r>
                </w:p>
              </w:tc>
              <w:tc>
                <w:tcPr>
                  <w:tcW w:w="0" w:type="auto"/>
                </w:tcPr>
                <w:p w14:paraId="284A20AC" w14:textId="77777777" w:rsidR="00222B2B" w:rsidRDefault="00222B2B" w:rsidP="00222B2B">
                  <w:pPr>
                    <w:pStyle w:val="TableBody"/>
                  </w:pPr>
                  <w:r w:rsidRPr="00FC2DA7">
                    <w:rPr>
                      <w:iCs w:val="0"/>
                    </w:rPr>
                    <w:t xml:space="preserve">A QSE.  </w:t>
                  </w:r>
                </w:p>
              </w:tc>
            </w:tr>
            <w:tr w:rsidR="00222B2B" w14:paraId="419AAC29" w14:textId="77777777" w:rsidTr="00316CC9">
              <w:tc>
                <w:tcPr>
                  <w:tcW w:w="2026" w:type="dxa"/>
                </w:tcPr>
                <w:p w14:paraId="6B593400" w14:textId="77777777" w:rsidR="00222B2B" w:rsidRPr="00476A8D" w:rsidRDefault="00222B2B" w:rsidP="00222B2B">
                  <w:pPr>
                    <w:pStyle w:val="TableBody"/>
                    <w:rPr>
                      <w:i/>
                    </w:rPr>
                  </w:pPr>
                  <w:r w:rsidRPr="00A61E91">
                    <w:rPr>
                      <w:i/>
                    </w:rPr>
                    <w:t>p</w:t>
                  </w:r>
                </w:p>
              </w:tc>
              <w:tc>
                <w:tcPr>
                  <w:tcW w:w="0" w:type="auto"/>
                </w:tcPr>
                <w:p w14:paraId="582CD777" w14:textId="77777777" w:rsidR="00222B2B" w:rsidRDefault="00222B2B" w:rsidP="00222B2B">
                  <w:pPr>
                    <w:pStyle w:val="TableBody"/>
                  </w:pPr>
                  <w:r>
                    <w:t>none</w:t>
                  </w:r>
                </w:p>
              </w:tc>
              <w:tc>
                <w:tcPr>
                  <w:tcW w:w="0" w:type="auto"/>
                </w:tcPr>
                <w:p w14:paraId="4B52C69F" w14:textId="77777777" w:rsidR="00222B2B" w:rsidRDefault="00222B2B" w:rsidP="00222B2B">
                  <w:pPr>
                    <w:pStyle w:val="TableBody"/>
                  </w:pPr>
                  <w:r>
                    <w:t>A Settlement Point.  The summation is over all of the Settlement Points.</w:t>
                  </w:r>
                </w:p>
              </w:tc>
            </w:tr>
          </w:tbl>
          <w:p w14:paraId="0083A5C6" w14:textId="77777777" w:rsidR="00222B2B" w:rsidRPr="00FC2DA7" w:rsidRDefault="00222B2B" w:rsidP="00222B2B">
            <w:pPr>
              <w:spacing w:before="240" w:after="240"/>
              <w:ind w:left="720" w:hanging="720"/>
              <w:rPr>
                <w:iCs/>
              </w:rPr>
            </w:pPr>
            <w:r>
              <w:rPr>
                <w:iCs/>
              </w:rPr>
              <w:t>(3)</w:t>
            </w:r>
            <w:r>
              <w:rPr>
                <w:iCs/>
              </w:rPr>
              <w:tab/>
            </w:r>
            <w:r w:rsidRPr="00FC2DA7">
              <w:rPr>
                <w:iCs/>
              </w:rPr>
              <w:t xml:space="preserve">ERCOT total </w:t>
            </w:r>
            <w:r>
              <w:rPr>
                <w:iCs/>
              </w:rPr>
              <w:t xml:space="preserve">AML per Congestion Management Zone (CMZ) </w:t>
            </w:r>
            <w:r w:rsidRPr="00E7254B">
              <w:rPr>
                <w:bCs/>
                <w:snapToGrid w:val="0"/>
              </w:rPr>
              <w:t>excluding DC Tie exports</w:t>
            </w:r>
            <w:r>
              <w:rPr>
                <w:bCs/>
                <w:snapToGrid w:val="0"/>
              </w:rPr>
              <w:t xml:space="preserve"> included in RTAML</w:t>
            </w:r>
            <w:r w:rsidRPr="00FC2DA7">
              <w:rPr>
                <w:iCs/>
              </w:rPr>
              <w:t xml:space="preserve"> </w:t>
            </w:r>
            <w:r w:rsidRPr="00E7254B">
              <w:rPr>
                <w:bCs/>
                <w:snapToGrid w:val="0"/>
              </w:rPr>
              <w:t>for ERCOT’s peak</w:t>
            </w:r>
            <w:r>
              <w:rPr>
                <w:bCs/>
                <w:snapToGrid w:val="0"/>
              </w:rPr>
              <w:t xml:space="preserve"> Load</w:t>
            </w:r>
            <w:r w:rsidRPr="00E7254B">
              <w:rPr>
                <w:bCs/>
                <w:snapToGrid w:val="0"/>
              </w:rPr>
              <w:t xml:space="preserve"> 15-minute Settlement </w:t>
            </w:r>
            <w:r>
              <w:rPr>
                <w:bCs/>
                <w:snapToGrid w:val="0"/>
              </w:rPr>
              <w:t>Interval</w:t>
            </w:r>
            <w:r w:rsidRPr="00E7254B">
              <w:rPr>
                <w:bCs/>
                <w:snapToGrid w:val="0"/>
              </w:rPr>
              <w:t xml:space="preserve"> </w:t>
            </w:r>
            <w:r>
              <w:rPr>
                <w:bCs/>
                <w:snapToGrid w:val="0"/>
              </w:rPr>
              <w:t xml:space="preserve">in the calendar month </w:t>
            </w:r>
            <w:r w:rsidRPr="00FC2DA7">
              <w:rPr>
                <w:iCs/>
              </w:rPr>
              <w:t>is calculated as follows:</w:t>
            </w:r>
          </w:p>
          <w:p w14:paraId="557B5A5F" w14:textId="77777777" w:rsidR="00222B2B" w:rsidRPr="00FC2DA7" w:rsidRDefault="00222B2B" w:rsidP="00222B2B">
            <w:pPr>
              <w:tabs>
                <w:tab w:val="left" w:pos="2250"/>
                <w:tab w:val="left" w:pos="3150"/>
                <w:tab w:val="left" w:pos="3960"/>
              </w:tabs>
              <w:spacing w:after="240"/>
              <w:ind w:left="3960" w:hanging="3240"/>
              <w:rPr>
                <w:b/>
                <w:bCs/>
              </w:rPr>
            </w:pPr>
            <w:r w:rsidRPr="00FC2DA7">
              <w:rPr>
                <w:b/>
                <w:bCs/>
              </w:rPr>
              <w:t>RTAML</w:t>
            </w:r>
            <w:r>
              <w:rPr>
                <w:b/>
                <w:bCs/>
              </w:rPr>
              <w:t>LZ</w:t>
            </w:r>
            <w:r w:rsidRPr="00FC2DA7">
              <w:rPr>
                <w:b/>
                <w:bCs/>
              </w:rPr>
              <w:t>TOT</w:t>
            </w:r>
            <w:r w:rsidRPr="00246A76">
              <w:rPr>
                <w:rFonts w:ascii="Times New Roman Bold" w:hAnsi="Times New Roman Bold"/>
                <w:b/>
                <w:bCs/>
                <w:vertAlign w:val="subscript"/>
              </w:rPr>
              <w:t>z</w:t>
            </w:r>
            <w:r w:rsidRPr="00FC2DA7">
              <w:rPr>
                <w:b/>
                <w:bCs/>
              </w:rPr>
              <w:tab/>
              <w:t>=</w:t>
            </w:r>
            <w:r w:rsidRPr="00FC2DA7">
              <w:rPr>
                <w:b/>
                <w:bCs/>
              </w:rPr>
              <w:tab/>
            </w:r>
            <w:r w:rsidRPr="00FC2DA7">
              <w:rPr>
                <w:b/>
                <w:bCs/>
                <w:position w:val="-22"/>
              </w:rPr>
              <w:object w:dxaOrig="225" w:dyaOrig="465" w14:anchorId="11F70542">
                <v:shape id="_x0000_i1095" type="#_x0000_t75" style="width:12pt;height:18pt" o:ole="">
                  <v:imagedata r:id="rId96" o:title=""/>
                </v:shape>
                <o:OLEObject Type="Embed" ProgID="Equation.3" ShapeID="_x0000_i1095" DrawAspect="Content" ObjectID="_1815025285" r:id="rId100"/>
              </w:object>
            </w:r>
            <w:r>
              <w:rPr>
                <w:b/>
                <w:bCs/>
              </w:rPr>
              <w:t xml:space="preserve"> (max(0,</w:t>
            </w:r>
            <w:r w:rsidRPr="002F4893">
              <w:rPr>
                <w:b/>
                <w:bCs/>
                <w:sz w:val="12"/>
                <w:szCs w:val="12"/>
              </w:rPr>
              <w:t xml:space="preserve"> </w:t>
            </w:r>
            <w:r w:rsidRPr="006F784F">
              <w:rPr>
                <w:position w:val="-22"/>
              </w:rPr>
              <w:object w:dxaOrig="225" w:dyaOrig="465" w14:anchorId="4C9162AF">
                <v:shape id="_x0000_i1096" type="#_x0000_t75" style="width:12pt;height:18pt" o:ole="">
                  <v:imagedata r:id="rId98" o:title=""/>
                </v:shape>
                <o:OLEObject Type="Embed" ProgID="Equation.3" ShapeID="_x0000_i1096" DrawAspect="Content" ObjectID="_1815025286" r:id="rId101"/>
              </w:object>
            </w:r>
            <w:r>
              <w:t>(</w:t>
            </w:r>
            <w:r w:rsidRPr="00FC2DA7">
              <w:rPr>
                <w:b/>
                <w:bCs/>
              </w:rPr>
              <w:t xml:space="preserve">RTAML </w:t>
            </w:r>
            <w:r w:rsidRPr="00FC2DA7">
              <w:rPr>
                <w:b/>
                <w:bCs/>
                <w:i/>
                <w:vertAlign w:val="subscript"/>
              </w:rPr>
              <w:t>q, p</w:t>
            </w:r>
            <w:r>
              <w:rPr>
                <w:b/>
                <w:bCs/>
                <w:i/>
                <w:vertAlign w:val="subscript"/>
              </w:rPr>
              <w:t xml:space="preserve"> </w:t>
            </w:r>
            <w:r>
              <w:rPr>
                <w:rFonts w:ascii="Times New Roman Bold" w:hAnsi="Times New Roman Bold"/>
                <w:b/>
                <w:bCs/>
                <w:i/>
              </w:rPr>
              <w:t>–</w:t>
            </w:r>
            <w:r w:rsidRPr="00BD5AF3">
              <w:rPr>
                <w:rFonts w:ascii="Times New Roman Bold" w:hAnsi="Times New Roman Bold"/>
                <w:b/>
                <w:bCs/>
                <w:i/>
              </w:rPr>
              <w:t xml:space="preserve"> </w:t>
            </w:r>
            <w:r w:rsidRPr="00BD5AF3">
              <w:rPr>
                <w:rFonts w:ascii="Times New Roman Bold" w:hAnsi="Times New Roman Bold"/>
                <w:b/>
                <w:bCs/>
              </w:rPr>
              <w:t>RTAMLDC</w:t>
            </w:r>
            <w:r>
              <w:rPr>
                <w:rFonts w:ascii="Times New Roman Bold" w:hAnsi="Times New Roman Bold"/>
                <w:bCs/>
              </w:rPr>
              <w:t xml:space="preserve"> </w:t>
            </w:r>
            <w:r w:rsidRPr="00FC2DA7">
              <w:rPr>
                <w:b/>
                <w:bCs/>
                <w:i/>
                <w:vertAlign w:val="subscript"/>
              </w:rPr>
              <w:t>q, p</w:t>
            </w:r>
            <w:r>
              <w:rPr>
                <w:b/>
                <w:bCs/>
                <w:i/>
                <w:vertAlign w:val="subscript"/>
              </w:rPr>
              <w:t xml:space="preserve"> </w:t>
            </w:r>
            <w:r w:rsidRPr="00BD5AF3">
              <w:rPr>
                <w:b/>
                <w:bCs/>
              </w:rPr>
              <w:t>)</w:t>
            </w:r>
            <w:r w:rsidRPr="00FC2DA7">
              <w:rPr>
                <w:b/>
                <w:bCs/>
              </w:rPr>
              <w:t>))</w:t>
            </w:r>
          </w:p>
          <w:p w14:paraId="7846C640" w14:textId="77777777" w:rsidR="00222B2B" w:rsidRPr="00FC2DA7" w:rsidRDefault="00222B2B" w:rsidP="00222B2B">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3"/>
              <w:gridCol w:w="697"/>
              <w:gridCol w:w="6655"/>
            </w:tblGrid>
            <w:tr w:rsidR="00222B2B" w:rsidRPr="00FC2DA7" w14:paraId="5DF6AD13" w14:textId="77777777" w:rsidTr="00316CC9">
              <w:tc>
                <w:tcPr>
                  <w:tcW w:w="2003" w:type="dxa"/>
                </w:tcPr>
                <w:p w14:paraId="5FFD5D9D" w14:textId="77777777" w:rsidR="00222B2B" w:rsidRPr="00FC2DA7" w:rsidRDefault="00222B2B" w:rsidP="00222B2B">
                  <w:pPr>
                    <w:spacing w:after="120"/>
                    <w:rPr>
                      <w:b/>
                      <w:iCs/>
                      <w:sz w:val="20"/>
                    </w:rPr>
                  </w:pPr>
                  <w:r w:rsidRPr="00FC2DA7">
                    <w:rPr>
                      <w:b/>
                      <w:iCs/>
                      <w:sz w:val="20"/>
                    </w:rPr>
                    <w:t>Variable</w:t>
                  </w:r>
                </w:p>
              </w:tc>
              <w:tc>
                <w:tcPr>
                  <w:tcW w:w="697" w:type="dxa"/>
                </w:tcPr>
                <w:p w14:paraId="15FD45C0" w14:textId="77777777" w:rsidR="00222B2B" w:rsidRPr="00FC2DA7" w:rsidRDefault="00222B2B" w:rsidP="00222B2B">
                  <w:pPr>
                    <w:spacing w:after="120"/>
                    <w:rPr>
                      <w:b/>
                      <w:iCs/>
                      <w:sz w:val="20"/>
                    </w:rPr>
                  </w:pPr>
                  <w:r w:rsidRPr="00FC2DA7">
                    <w:rPr>
                      <w:b/>
                      <w:iCs/>
                      <w:sz w:val="20"/>
                    </w:rPr>
                    <w:t>Unit</w:t>
                  </w:r>
                </w:p>
              </w:tc>
              <w:tc>
                <w:tcPr>
                  <w:tcW w:w="6655" w:type="dxa"/>
                </w:tcPr>
                <w:p w14:paraId="306997F0" w14:textId="77777777" w:rsidR="00222B2B" w:rsidRPr="00FC2DA7" w:rsidRDefault="00222B2B" w:rsidP="00222B2B">
                  <w:pPr>
                    <w:spacing w:after="120"/>
                    <w:rPr>
                      <w:b/>
                      <w:iCs/>
                      <w:sz w:val="20"/>
                    </w:rPr>
                  </w:pPr>
                  <w:r w:rsidRPr="00FC2DA7">
                    <w:rPr>
                      <w:b/>
                      <w:iCs/>
                      <w:sz w:val="20"/>
                    </w:rPr>
                    <w:t>Description</w:t>
                  </w:r>
                </w:p>
              </w:tc>
            </w:tr>
            <w:tr w:rsidR="00222B2B" w:rsidRPr="00FC2DA7" w14:paraId="1F195895" w14:textId="77777777" w:rsidTr="00316CC9">
              <w:tc>
                <w:tcPr>
                  <w:tcW w:w="2003" w:type="dxa"/>
                </w:tcPr>
                <w:p w14:paraId="5B5A9867" w14:textId="77777777" w:rsidR="00222B2B" w:rsidRPr="00884687" w:rsidRDefault="00222B2B" w:rsidP="00222B2B">
                  <w:pPr>
                    <w:spacing w:after="60"/>
                    <w:rPr>
                      <w:iCs/>
                      <w:sz w:val="20"/>
                      <w:vertAlign w:val="subscript"/>
                    </w:rPr>
                  </w:pPr>
                  <w:r w:rsidRPr="00FC2DA7">
                    <w:rPr>
                      <w:iCs/>
                      <w:sz w:val="20"/>
                    </w:rPr>
                    <w:t>RTAML</w:t>
                  </w:r>
                  <w:r>
                    <w:rPr>
                      <w:iCs/>
                      <w:sz w:val="20"/>
                    </w:rPr>
                    <w:t>LZ</w:t>
                  </w:r>
                  <w:r w:rsidRPr="00FC2DA7">
                    <w:rPr>
                      <w:iCs/>
                      <w:sz w:val="20"/>
                    </w:rPr>
                    <w:t>TOT</w:t>
                  </w:r>
                  <w:r>
                    <w:rPr>
                      <w:iCs/>
                      <w:sz w:val="20"/>
                      <w:vertAlign w:val="subscript"/>
                    </w:rPr>
                    <w:t>z</w:t>
                  </w:r>
                </w:p>
              </w:tc>
              <w:tc>
                <w:tcPr>
                  <w:tcW w:w="697" w:type="dxa"/>
                </w:tcPr>
                <w:p w14:paraId="3D9593D7" w14:textId="77777777" w:rsidR="00222B2B" w:rsidRPr="00FC2DA7" w:rsidRDefault="00222B2B" w:rsidP="00222B2B">
                  <w:pPr>
                    <w:spacing w:after="60"/>
                    <w:rPr>
                      <w:i/>
                      <w:iCs/>
                      <w:sz w:val="20"/>
                    </w:rPr>
                  </w:pPr>
                  <w:r w:rsidRPr="00FC2DA7">
                    <w:rPr>
                      <w:iCs/>
                      <w:sz w:val="20"/>
                    </w:rPr>
                    <w:t>MWh</w:t>
                  </w:r>
                </w:p>
              </w:tc>
              <w:tc>
                <w:tcPr>
                  <w:tcW w:w="6655" w:type="dxa"/>
                </w:tcPr>
                <w:p w14:paraId="2E557294" w14:textId="77777777" w:rsidR="00222B2B" w:rsidRPr="00FC2DA7" w:rsidRDefault="00222B2B" w:rsidP="00222B2B">
                  <w:pPr>
                    <w:spacing w:after="60"/>
                    <w:rPr>
                      <w:iCs/>
                      <w:sz w:val="20"/>
                    </w:rPr>
                  </w:pPr>
                  <w:r w:rsidRPr="00FC2DA7">
                    <w:rPr>
                      <w:i/>
                      <w:iCs/>
                      <w:sz w:val="20"/>
                    </w:rPr>
                    <w:t xml:space="preserve">Real-Time Adjusted Metered Load </w:t>
                  </w:r>
                  <w:r>
                    <w:rPr>
                      <w:i/>
                      <w:iCs/>
                      <w:sz w:val="20"/>
                    </w:rPr>
                    <w:t xml:space="preserve">- Load Zone </w:t>
                  </w:r>
                  <w:r w:rsidRPr="00FC2DA7">
                    <w:rPr>
                      <w:i/>
                      <w:iCs/>
                      <w:sz w:val="20"/>
                    </w:rPr>
                    <w:t>Total</w:t>
                  </w:r>
                  <w:r w:rsidRPr="00FC2DA7">
                    <w:rPr>
                      <w:iCs/>
                      <w:sz w:val="20"/>
                    </w:rPr>
                    <w:t xml:space="preserve">—The total </w:t>
                  </w:r>
                  <w:r>
                    <w:rPr>
                      <w:iCs/>
                      <w:sz w:val="20"/>
                    </w:rPr>
                    <w:t>AML</w:t>
                  </w:r>
                  <w:r w:rsidRPr="00FC2DA7">
                    <w:rPr>
                      <w:iCs/>
                      <w:sz w:val="20"/>
                    </w:rPr>
                    <w:t xml:space="preserve"> </w:t>
                  </w:r>
                  <w:r>
                    <w:rPr>
                      <w:iCs/>
                      <w:sz w:val="20"/>
                    </w:rPr>
                    <w:t xml:space="preserve">excluding DC Tie exports </w:t>
                  </w:r>
                  <w:r w:rsidRPr="00FC2DA7">
                    <w:rPr>
                      <w:iCs/>
                      <w:sz w:val="20"/>
                    </w:rPr>
                    <w:t xml:space="preserve">in </w:t>
                  </w:r>
                  <w:r>
                    <w:rPr>
                      <w:iCs/>
                      <w:sz w:val="20"/>
                    </w:rPr>
                    <w:t>CMZ z</w:t>
                  </w:r>
                  <w:r w:rsidRPr="00FC2DA7">
                    <w:rPr>
                      <w:iCs/>
                      <w:sz w:val="20"/>
                    </w:rPr>
                    <w:t xml:space="preserve">, </w:t>
                  </w:r>
                  <w:r>
                    <w:rPr>
                      <w:iCs/>
                      <w:sz w:val="20"/>
                    </w:rPr>
                    <w:t xml:space="preserve">for the </w:t>
                  </w:r>
                  <w:r w:rsidRPr="00BD5AF3">
                    <w:rPr>
                      <w:iCs/>
                      <w:sz w:val="20"/>
                    </w:rPr>
                    <w:t xml:space="preserve">peak Load 15-minute Settlement </w:t>
                  </w:r>
                  <w:r>
                    <w:rPr>
                      <w:iCs/>
                      <w:sz w:val="20"/>
                    </w:rPr>
                    <w:t>Interval</w:t>
                  </w:r>
                  <w:r w:rsidRPr="00BD5AF3">
                    <w:rPr>
                      <w:iCs/>
                      <w:sz w:val="20"/>
                    </w:rPr>
                    <w:t xml:space="preserve"> in the calendar month</w:t>
                  </w:r>
                  <w:r>
                    <w:rPr>
                      <w:iCs/>
                      <w:sz w:val="20"/>
                    </w:rPr>
                    <w:t>.</w:t>
                  </w:r>
                </w:p>
              </w:tc>
            </w:tr>
            <w:tr w:rsidR="00222B2B" w:rsidRPr="00FC2DA7" w14:paraId="23D66E26" w14:textId="77777777" w:rsidTr="00316CC9">
              <w:tc>
                <w:tcPr>
                  <w:tcW w:w="2003" w:type="dxa"/>
                </w:tcPr>
                <w:p w14:paraId="2A68042D" w14:textId="77777777" w:rsidR="00222B2B" w:rsidRPr="00FC2DA7" w:rsidRDefault="00222B2B" w:rsidP="00222B2B">
                  <w:pPr>
                    <w:spacing w:after="60"/>
                    <w:rPr>
                      <w:iCs/>
                      <w:sz w:val="20"/>
                    </w:rPr>
                  </w:pPr>
                  <w:r w:rsidRPr="00FC2DA7">
                    <w:rPr>
                      <w:iCs/>
                      <w:sz w:val="20"/>
                    </w:rPr>
                    <w:t xml:space="preserve">RTAML </w:t>
                  </w:r>
                  <w:r w:rsidRPr="00FC2DA7">
                    <w:rPr>
                      <w:i/>
                      <w:iCs/>
                      <w:sz w:val="20"/>
                      <w:vertAlign w:val="subscript"/>
                    </w:rPr>
                    <w:t>q, p</w:t>
                  </w:r>
                </w:p>
              </w:tc>
              <w:tc>
                <w:tcPr>
                  <w:tcW w:w="697" w:type="dxa"/>
                </w:tcPr>
                <w:p w14:paraId="73750717" w14:textId="77777777" w:rsidR="00222B2B" w:rsidRPr="00FC2DA7" w:rsidRDefault="00222B2B" w:rsidP="00222B2B">
                  <w:pPr>
                    <w:spacing w:after="60"/>
                    <w:rPr>
                      <w:iCs/>
                      <w:sz w:val="20"/>
                    </w:rPr>
                  </w:pPr>
                  <w:r w:rsidRPr="00FC2DA7">
                    <w:rPr>
                      <w:iCs/>
                      <w:sz w:val="20"/>
                    </w:rPr>
                    <w:t>MWh</w:t>
                  </w:r>
                </w:p>
              </w:tc>
              <w:tc>
                <w:tcPr>
                  <w:tcW w:w="6655" w:type="dxa"/>
                </w:tcPr>
                <w:p w14:paraId="6B9DE7E7" w14:textId="7CEB24BA" w:rsidR="00222B2B" w:rsidRPr="00A77BD2" w:rsidRDefault="00222B2B" w:rsidP="00DC7F34">
                  <w:pPr>
                    <w:spacing w:after="60"/>
                    <w:rPr>
                      <w:i/>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xml:space="preserve">, for the </w:t>
                  </w:r>
                  <w:r>
                    <w:rPr>
                      <w:iCs/>
                      <w:sz w:val="20"/>
                    </w:rPr>
                    <w:t>15-minute Settlement Interval</w:t>
                  </w:r>
                  <w:r>
                    <w:rPr>
                      <w:i/>
                      <w:iCs/>
                      <w:sz w:val="20"/>
                    </w:rPr>
                    <w:t xml:space="preserve">. </w:t>
                  </w:r>
                </w:p>
              </w:tc>
            </w:tr>
            <w:tr w:rsidR="00222B2B" w:rsidRPr="00FC2DA7" w14:paraId="0028ED1E" w14:textId="77777777" w:rsidTr="00316CC9">
              <w:tc>
                <w:tcPr>
                  <w:tcW w:w="2003" w:type="dxa"/>
                </w:tcPr>
                <w:p w14:paraId="744C6A90" w14:textId="77777777" w:rsidR="00222B2B" w:rsidRPr="00B86309" w:rsidRDefault="00222B2B" w:rsidP="00222B2B">
                  <w:pPr>
                    <w:spacing w:after="60"/>
                    <w:rPr>
                      <w:i/>
                      <w:iCs/>
                      <w:sz w:val="20"/>
                    </w:rPr>
                  </w:pPr>
                  <w:r w:rsidRPr="00BD5AF3">
                    <w:rPr>
                      <w:sz w:val="20"/>
                      <w:lang w:val="sv-SE"/>
                    </w:rPr>
                    <w:t xml:space="preserve">RTAMLDC </w:t>
                  </w:r>
                  <w:r w:rsidRPr="00BD5AF3">
                    <w:rPr>
                      <w:i/>
                      <w:sz w:val="20"/>
                      <w:vertAlign w:val="subscript"/>
                      <w:lang w:val="sv-SE"/>
                    </w:rPr>
                    <w:t>q,</w:t>
                  </w:r>
                  <w:r>
                    <w:rPr>
                      <w:i/>
                      <w:sz w:val="20"/>
                      <w:vertAlign w:val="subscript"/>
                      <w:lang w:val="sv-SE"/>
                    </w:rPr>
                    <w:t xml:space="preserve"> </w:t>
                  </w:r>
                  <w:r w:rsidRPr="00BD5AF3">
                    <w:rPr>
                      <w:i/>
                      <w:sz w:val="20"/>
                      <w:vertAlign w:val="subscript"/>
                      <w:lang w:val="sv-SE"/>
                    </w:rPr>
                    <w:t>p</w:t>
                  </w:r>
                </w:p>
              </w:tc>
              <w:tc>
                <w:tcPr>
                  <w:tcW w:w="697" w:type="dxa"/>
                </w:tcPr>
                <w:p w14:paraId="32A11072" w14:textId="77777777" w:rsidR="00222B2B" w:rsidRPr="00B86309" w:rsidRDefault="00222B2B" w:rsidP="00222B2B">
                  <w:pPr>
                    <w:spacing w:after="60"/>
                    <w:rPr>
                      <w:iCs/>
                      <w:sz w:val="20"/>
                    </w:rPr>
                  </w:pPr>
                  <w:r w:rsidRPr="00BD5AF3">
                    <w:rPr>
                      <w:sz w:val="20"/>
                    </w:rPr>
                    <w:t>MWh</w:t>
                  </w:r>
                </w:p>
              </w:tc>
              <w:tc>
                <w:tcPr>
                  <w:tcW w:w="6655" w:type="dxa"/>
                </w:tcPr>
                <w:p w14:paraId="6800C240" w14:textId="77777777" w:rsidR="00222B2B" w:rsidRPr="00B86309" w:rsidRDefault="00222B2B" w:rsidP="00222B2B">
                  <w:pPr>
                    <w:spacing w:after="60"/>
                    <w:rPr>
                      <w:iCs/>
                      <w:sz w:val="20"/>
                    </w:rPr>
                  </w:pPr>
                  <w:r w:rsidRPr="00BD5AF3">
                    <w:rPr>
                      <w:i/>
                      <w:sz w:val="20"/>
                    </w:rPr>
                    <w:t>Real-Time Adjusted Metered Load for DC Ties per Settlement Point per QSE</w:t>
                  </w:r>
                  <w:r w:rsidRPr="00BD5AF3">
                    <w:rPr>
                      <w:sz w:val="20"/>
                    </w:rPr>
                    <w:t xml:space="preserve">—The sum of the DC Tie AML at the Electrical Buses that are included in Settlement Point </w:t>
                  </w:r>
                  <w:r w:rsidRPr="00BD5AF3">
                    <w:rPr>
                      <w:i/>
                      <w:sz w:val="20"/>
                    </w:rPr>
                    <w:t>p</w:t>
                  </w:r>
                  <w:r w:rsidRPr="00BD5AF3">
                    <w:rPr>
                      <w:sz w:val="20"/>
                    </w:rPr>
                    <w:t xml:space="preserve">, represented by QSE </w:t>
                  </w:r>
                  <w:r w:rsidRPr="00BD5AF3">
                    <w:rPr>
                      <w:i/>
                      <w:sz w:val="20"/>
                    </w:rPr>
                    <w:t>q</w:t>
                  </w:r>
                  <w:r w:rsidRPr="00BD5AF3">
                    <w:rPr>
                      <w:sz w:val="20"/>
                    </w:rPr>
                    <w:t>, for the 15-minute Settlement Interval.</w:t>
                  </w:r>
                </w:p>
              </w:tc>
            </w:tr>
            <w:tr w:rsidR="00222B2B" w:rsidRPr="00FC2DA7" w14:paraId="03D11B9D" w14:textId="77777777" w:rsidTr="00316CC9">
              <w:tc>
                <w:tcPr>
                  <w:tcW w:w="2003" w:type="dxa"/>
                </w:tcPr>
                <w:p w14:paraId="3D1D3F89" w14:textId="77777777" w:rsidR="00222B2B" w:rsidRPr="00FC2DA7" w:rsidRDefault="00222B2B" w:rsidP="00222B2B">
                  <w:pPr>
                    <w:spacing w:after="60"/>
                    <w:rPr>
                      <w:i/>
                      <w:iCs/>
                      <w:sz w:val="20"/>
                    </w:rPr>
                  </w:pPr>
                  <w:r>
                    <w:rPr>
                      <w:i/>
                      <w:iCs/>
                      <w:sz w:val="20"/>
                    </w:rPr>
                    <w:t>q</w:t>
                  </w:r>
                </w:p>
              </w:tc>
              <w:tc>
                <w:tcPr>
                  <w:tcW w:w="697" w:type="dxa"/>
                </w:tcPr>
                <w:p w14:paraId="261B47FC" w14:textId="77777777" w:rsidR="00222B2B" w:rsidRPr="00FC2DA7" w:rsidRDefault="00222B2B" w:rsidP="00222B2B">
                  <w:pPr>
                    <w:spacing w:after="60"/>
                    <w:rPr>
                      <w:iCs/>
                      <w:sz w:val="20"/>
                    </w:rPr>
                  </w:pPr>
                  <w:r w:rsidRPr="00FC2DA7">
                    <w:rPr>
                      <w:iCs/>
                      <w:sz w:val="20"/>
                    </w:rPr>
                    <w:t>none</w:t>
                  </w:r>
                </w:p>
              </w:tc>
              <w:tc>
                <w:tcPr>
                  <w:tcW w:w="6655" w:type="dxa"/>
                </w:tcPr>
                <w:p w14:paraId="7FA54EE8" w14:textId="77777777" w:rsidR="00222B2B" w:rsidRPr="00FC2DA7" w:rsidRDefault="00222B2B" w:rsidP="00222B2B">
                  <w:pPr>
                    <w:spacing w:after="60"/>
                    <w:rPr>
                      <w:iCs/>
                      <w:sz w:val="20"/>
                    </w:rPr>
                  </w:pPr>
                  <w:r w:rsidRPr="00FC2DA7">
                    <w:rPr>
                      <w:iCs/>
                      <w:sz w:val="20"/>
                    </w:rPr>
                    <w:t xml:space="preserve">A QSE.  </w:t>
                  </w:r>
                </w:p>
              </w:tc>
            </w:tr>
            <w:tr w:rsidR="00222B2B" w:rsidRPr="00FC2DA7" w14:paraId="773810DF" w14:textId="77777777" w:rsidTr="00316CC9">
              <w:tc>
                <w:tcPr>
                  <w:tcW w:w="2003" w:type="dxa"/>
                </w:tcPr>
                <w:p w14:paraId="081CF6EF" w14:textId="77777777" w:rsidR="00222B2B" w:rsidRPr="00FC2DA7" w:rsidRDefault="00222B2B" w:rsidP="00222B2B">
                  <w:pPr>
                    <w:spacing w:after="60"/>
                    <w:rPr>
                      <w:i/>
                      <w:iCs/>
                      <w:sz w:val="20"/>
                    </w:rPr>
                  </w:pPr>
                  <w:r w:rsidRPr="00FC2DA7">
                    <w:rPr>
                      <w:i/>
                      <w:iCs/>
                      <w:sz w:val="20"/>
                    </w:rPr>
                    <w:t>p</w:t>
                  </w:r>
                </w:p>
              </w:tc>
              <w:tc>
                <w:tcPr>
                  <w:tcW w:w="697" w:type="dxa"/>
                </w:tcPr>
                <w:p w14:paraId="5A39D855" w14:textId="77777777" w:rsidR="00222B2B" w:rsidRPr="00FC2DA7" w:rsidRDefault="00222B2B" w:rsidP="00222B2B">
                  <w:pPr>
                    <w:spacing w:after="60"/>
                    <w:rPr>
                      <w:iCs/>
                      <w:sz w:val="20"/>
                    </w:rPr>
                  </w:pPr>
                  <w:r w:rsidRPr="00FC2DA7">
                    <w:rPr>
                      <w:iCs/>
                      <w:sz w:val="20"/>
                    </w:rPr>
                    <w:t>none</w:t>
                  </w:r>
                </w:p>
              </w:tc>
              <w:tc>
                <w:tcPr>
                  <w:tcW w:w="6655" w:type="dxa"/>
                </w:tcPr>
                <w:p w14:paraId="782D26D7" w14:textId="77777777" w:rsidR="00222B2B" w:rsidRPr="00FC2DA7" w:rsidRDefault="00222B2B" w:rsidP="00222B2B">
                  <w:pPr>
                    <w:spacing w:after="60"/>
                    <w:rPr>
                      <w:iCs/>
                      <w:sz w:val="20"/>
                    </w:rPr>
                  </w:pPr>
                  <w:r w:rsidRPr="00FC2DA7">
                    <w:rPr>
                      <w:iCs/>
                      <w:sz w:val="20"/>
                    </w:rPr>
                    <w:t>A Settlement Point</w:t>
                  </w:r>
                  <w:r>
                    <w:rPr>
                      <w:iCs/>
                      <w:sz w:val="20"/>
                    </w:rPr>
                    <w:t xml:space="preserve"> in the 2003 ERCOT CMZ</w:t>
                  </w:r>
                  <w:r w:rsidRPr="00FC2DA7">
                    <w:rPr>
                      <w:iCs/>
                      <w:sz w:val="20"/>
                    </w:rPr>
                    <w:t xml:space="preserve">.  </w:t>
                  </w:r>
                </w:p>
              </w:tc>
            </w:tr>
            <w:tr w:rsidR="00222B2B" w:rsidRPr="00FC2DA7" w14:paraId="6DD8471C" w14:textId="77777777" w:rsidTr="00316CC9">
              <w:trPr>
                <w:cantSplit/>
              </w:trPr>
              <w:tc>
                <w:tcPr>
                  <w:tcW w:w="2003" w:type="dxa"/>
                </w:tcPr>
                <w:p w14:paraId="3CEC2423" w14:textId="77777777" w:rsidR="00222B2B" w:rsidRDefault="00222B2B" w:rsidP="00222B2B">
                  <w:pPr>
                    <w:spacing w:after="60"/>
                    <w:rPr>
                      <w:i/>
                      <w:iCs/>
                      <w:sz w:val="20"/>
                    </w:rPr>
                  </w:pPr>
                  <w:r>
                    <w:rPr>
                      <w:i/>
                      <w:iCs/>
                      <w:sz w:val="20"/>
                    </w:rPr>
                    <w:t>z</w:t>
                  </w:r>
                </w:p>
              </w:tc>
              <w:tc>
                <w:tcPr>
                  <w:tcW w:w="697" w:type="dxa"/>
                </w:tcPr>
                <w:p w14:paraId="4A33268F" w14:textId="77777777" w:rsidR="00222B2B" w:rsidRPr="00FC2DA7" w:rsidRDefault="00222B2B" w:rsidP="00222B2B">
                  <w:pPr>
                    <w:spacing w:after="60"/>
                    <w:rPr>
                      <w:iCs/>
                      <w:sz w:val="20"/>
                    </w:rPr>
                  </w:pPr>
                  <w:r>
                    <w:rPr>
                      <w:iCs/>
                      <w:sz w:val="20"/>
                    </w:rPr>
                    <w:t>none</w:t>
                  </w:r>
                </w:p>
              </w:tc>
              <w:tc>
                <w:tcPr>
                  <w:tcW w:w="6655" w:type="dxa"/>
                </w:tcPr>
                <w:p w14:paraId="275B1F9B" w14:textId="77777777" w:rsidR="00222B2B" w:rsidRPr="001F3F48" w:rsidRDefault="00222B2B" w:rsidP="00222B2B">
                  <w:pPr>
                    <w:spacing w:after="60"/>
                    <w:rPr>
                      <w:iCs/>
                      <w:sz w:val="20"/>
                    </w:rPr>
                  </w:pPr>
                  <w:r w:rsidRPr="006D64A7">
                    <w:rPr>
                      <w:sz w:val="20"/>
                    </w:rPr>
                    <w:t>A 2003 ERCOT CMZ.</w:t>
                  </w:r>
                </w:p>
              </w:tc>
            </w:tr>
          </w:tbl>
          <w:p w14:paraId="2D095304" w14:textId="77777777" w:rsidR="00222B2B" w:rsidRPr="00E7254B" w:rsidRDefault="00222B2B" w:rsidP="00850957">
            <w:pPr>
              <w:pStyle w:val="BodyText"/>
              <w:spacing w:before="240"/>
              <w:ind w:left="720" w:hanging="720"/>
              <w:rPr>
                <w:bCs/>
                <w:snapToGrid w:val="0"/>
              </w:rPr>
            </w:pPr>
            <w:bookmarkStart w:id="1811" w:name="_Toc60040666"/>
            <w:r w:rsidRPr="00E7254B">
              <w:rPr>
                <w:bCs/>
                <w:snapToGrid w:val="0"/>
              </w:rPr>
              <w:t>(</w:t>
            </w:r>
            <w:r>
              <w:rPr>
                <w:bCs/>
                <w:snapToGrid w:val="0"/>
              </w:rPr>
              <w:t>4</w:t>
            </w:r>
            <w:r w:rsidRPr="00E7254B">
              <w:rPr>
                <w:bCs/>
                <w:snapToGrid w:val="0"/>
              </w:rPr>
              <w:t>)</w:t>
            </w:r>
            <w:r>
              <w:rPr>
                <w:bCs/>
                <w:snapToGrid w:val="0"/>
              </w:rPr>
              <w:tab/>
            </w:r>
            <w:r w:rsidRPr="00E7254B">
              <w:rPr>
                <w:bCs/>
                <w:snapToGrid w:val="0"/>
              </w:rPr>
              <w:t xml:space="preserve">Each QSE’s </w:t>
            </w:r>
            <w:r>
              <w:rPr>
                <w:bCs/>
                <w:snapToGrid w:val="0"/>
              </w:rPr>
              <w:t>M</w:t>
            </w:r>
            <w:r w:rsidRPr="00E7254B">
              <w:rPr>
                <w:bCs/>
                <w:snapToGrid w:val="0"/>
              </w:rPr>
              <w:t>LRS</w:t>
            </w:r>
            <w:r>
              <w:rPr>
                <w:bCs/>
                <w:snapToGrid w:val="0"/>
              </w:rPr>
              <w:t>Z,</w:t>
            </w:r>
            <w:r w:rsidRPr="00E7254B">
              <w:rPr>
                <w:bCs/>
                <w:snapToGrid w:val="0"/>
              </w:rPr>
              <w:t xml:space="preserve"> excluding DC Tie exports </w:t>
            </w:r>
            <w:r>
              <w:rPr>
                <w:bCs/>
                <w:snapToGrid w:val="0"/>
              </w:rPr>
              <w:t xml:space="preserve">included in RTAML, </w:t>
            </w:r>
            <w:r w:rsidRPr="00E7254B">
              <w:rPr>
                <w:bCs/>
                <w:snapToGrid w:val="0"/>
              </w:rPr>
              <w:t>by C</w:t>
            </w:r>
            <w:r>
              <w:rPr>
                <w:bCs/>
                <w:snapToGrid w:val="0"/>
              </w:rPr>
              <w:t>MZ</w:t>
            </w:r>
            <w:r w:rsidRPr="00E7254B">
              <w:rPr>
                <w:bCs/>
                <w:snapToGrid w:val="0"/>
              </w:rPr>
              <w:t xml:space="preserve"> for ERCOT’s peak</w:t>
            </w:r>
            <w:r>
              <w:rPr>
                <w:bCs/>
                <w:snapToGrid w:val="0"/>
              </w:rPr>
              <w:t xml:space="preserve"> Load</w:t>
            </w:r>
            <w:r w:rsidRPr="00E7254B">
              <w:rPr>
                <w:bCs/>
                <w:snapToGrid w:val="0"/>
              </w:rPr>
              <w:t xml:space="preserve"> 15-minute Settlement </w:t>
            </w:r>
            <w:r>
              <w:rPr>
                <w:bCs/>
                <w:snapToGrid w:val="0"/>
              </w:rPr>
              <w:t>Interval</w:t>
            </w:r>
            <w:r w:rsidRPr="00E7254B">
              <w:rPr>
                <w:bCs/>
                <w:snapToGrid w:val="0"/>
              </w:rPr>
              <w:t xml:space="preserve"> </w:t>
            </w:r>
            <w:r>
              <w:rPr>
                <w:bCs/>
                <w:snapToGrid w:val="0"/>
              </w:rPr>
              <w:t xml:space="preserve">in the calendar month </w:t>
            </w:r>
            <w:r w:rsidRPr="00E7254B">
              <w:rPr>
                <w:bCs/>
                <w:snapToGrid w:val="0"/>
              </w:rPr>
              <w:t>is calculated as follows:</w:t>
            </w:r>
            <w:bookmarkEnd w:id="1811"/>
            <w:r w:rsidRPr="00E7254B">
              <w:rPr>
                <w:bCs/>
                <w:snapToGrid w:val="0"/>
              </w:rPr>
              <w:t xml:space="preserve"> </w:t>
            </w:r>
          </w:p>
          <w:p w14:paraId="59C283BD" w14:textId="77777777" w:rsidR="00222B2B" w:rsidRDefault="00222B2B" w:rsidP="00222B2B">
            <w:pPr>
              <w:pStyle w:val="FormulaBold"/>
            </w:pPr>
            <w:r>
              <w:t>MLRSZ</w:t>
            </w:r>
            <w:r>
              <w:rPr>
                <w:i/>
                <w:vertAlign w:val="subscript"/>
              </w:rPr>
              <w:t xml:space="preserve"> q,z</w:t>
            </w:r>
            <w:r>
              <w:tab/>
              <w:t>=</w:t>
            </w:r>
            <w:r>
              <w:tab/>
            </w:r>
            <w:r w:rsidRPr="00103433">
              <w:t>max(0,</w:t>
            </w:r>
            <w:r w:rsidRPr="00DC298E">
              <w:rPr>
                <w:noProof/>
                <w:position w:val="-28"/>
                <w:sz w:val="4"/>
                <w:szCs w:val="4"/>
              </w:rPr>
              <w:t xml:space="preserve"> </w:t>
            </w:r>
            <w:r w:rsidRPr="006F784F">
              <w:rPr>
                <w:position w:val="-22"/>
              </w:rPr>
              <w:object w:dxaOrig="225" w:dyaOrig="465" w14:anchorId="63541DD5">
                <v:shape id="_x0000_i1097" type="#_x0000_t75" style="width:12pt;height:18pt" o:ole="">
                  <v:imagedata r:id="rId98" o:title=""/>
                </v:shape>
                <o:OLEObject Type="Embed" ProgID="Equation.3" ShapeID="_x0000_i1097" DrawAspect="Content" ObjectID="_1815025287" r:id="rId102"/>
              </w:object>
            </w:r>
            <w:r>
              <w:t xml:space="preserve">(RTAML </w:t>
            </w:r>
            <w:r>
              <w:rPr>
                <w:i/>
                <w:vertAlign w:val="subscript"/>
              </w:rPr>
              <w:t xml:space="preserve">q, p </w:t>
            </w:r>
            <w:r w:rsidRPr="008B423D">
              <w:rPr>
                <w:rFonts w:ascii="Times New Roman Bold" w:hAnsi="Times New Roman Bold"/>
                <w:i/>
              </w:rPr>
              <w:t>-</w:t>
            </w:r>
            <w:r>
              <w:rPr>
                <w:rFonts w:ascii="Times New Roman Bold" w:hAnsi="Times New Roman Bold"/>
                <w:i/>
              </w:rPr>
              <w:t xml:space="preserve"> </w:t>
            </w:r>
            <w:r>
              <w:t>RTAMLDC</w:t>
            </w:r>
            <w:r>
              <w:rPr>
                <w:lang w:val="sv-SE"/>
              </w:rPr>
              <w:t xml:space="preserve"> </w:t>
            </w:r>
            <w:r>
              <w:rPr>
                <w:i/>
                <w:vertAlign w:val="subscript"/>
              </w:rPr>
              <w:t>q, p</w:t>
            </w:r>
            <w:r w:rsidRPr="008B423D">
              <w:rPr>
                <w:rFonts w:ascii="Times New Roman Bold" w:hAnsi="Times New Roman Bold"/>
              </w:rPr>
              <w:t>)</w:t>
            </w:r>
            <w:r>
              <w:rPr>
                <w:rFonts w:ascii="Times New Roman Bold" w:hAnsi="Times New Roman Bold"/>
              </w:rPr>
              <w:t>)</w:t>
            </w:r>
            <w:r w:rsidRPr="00F9440F">
              <w:rPr>
                <w:rFonts w:ascii="Times New Roman Bold" w:hAnsi="Times New Roman Bold"/>
              </w:rPr>
              <w:t xml:space="preserve"> / </w:t>
            </w:r>
            <w:r w:rsidRPr="008B423D">
              <w:t>RTAMLLZTOT</w:t>
            </w:r>
            <w:r w:rsidRPr="008B423D">
              <w:rPr>
                <w:rFonts w:ascii="Times New Roman Bold" w:hAnsi="Times New Roman Bold"/>
                <w:vertAlign w:val="subscript"/>
              </w:rPr>
              <w:t>z</w:t>
            </w:r>
            <w:r w:rsidRPr="006F784F" w:rsidDel="00F9440F">
              <w:t xml:space="preserve"> </w:t>
            </w:r>
          </w:p>
          <w:p w14:paraId="1644C7D9" w14:textId="77777777" w:rsidR="00222B2B" w:rsidRDefault="00222B2B" w:rsidP="00222B2B">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776"/>
              <w:gridCol w:w="8"/>
              <w:gridCol w:w="711"/>
              <w:gridCol w:w="7345"/>
            </w:tblGrid>
            <w:tr w:rsidR="00222B2B" w14:paraId="7AC458D6" w14:textId="77777777" w:rsidTr="00316CC9">
              <w:tc>
                <w:tcPr>
                  <w:tcW w:w="1969" w:type="dxa"/>
                </w:tcPr>
                <w:p w14:paraId="73245B8C" w14:textId="77777777" w:rsidR="00222B2B" w:rsidRDefault="00222B2B" w:rsidP="00222B2B">
                  <w:pPr>
                    <w:pStyle w:val="TableHead"/>
                  </w:pPr>
                  <w:r>
                    <w:t>Variable</w:t>
                  </w:r>
                </w:p>
              </w:tc>
              <w:tc>
                <w:tcPr>
                  <w:tcW w:w="737" w:type="dxa"/>
                  <w:gridSpan w:val="2"/>
                </w:tcPr>
                <w:p w14:paraId="54D90903" w14:textId="77777777" w:rsidR="00222B2B" w:rsidRDefault="00222B2B" w:rsidP="00222B2B">
                  <w:pPr>
                    <w:pStyle w:val="TableHead"/>
                  </w:pPr>
                  <w:r>
                    <w:t>Unit</w:t>
                  </w:r>
                </w:p>
              </w:tc>
              <w:tc>
                <w:tcPr>
                  <w:tcW w:w="7134" w:type="dxa"/>
                </w:tcPr>
                <w:p w14:paraId="253B9B5F" w14:textId="77777777" w:rsidR="00222B2B" w:rsidRDefault="00222B2B" w:rsidP="00222B2B">
                  <w:pPr>
                    <w:pStyle w:val="TableHead"/>
                  </w:pPr>
                  <w:r>
                    <w:t>Description</w:t>
                  </w:r>
                </w:p>
              </w:tc>
            </w:tr>
            <w:tr w:rsidR="00222B2B" w14:paraId="430C2E71" w14:textId="77777777" w:rsidTr="00316CC9">
              <w:tc>
                <w:tcPr>
                  <w:tcW w:w="1969" w:type="dxa"/>
                </w:tcPr>
                <w:p w14:paraId="5990F4F7" w14:textId="77777777" w:rsidR="00222B2B" w:rsidRDefault="00222B2B" w:rsidP="00222B2B">
                  <w:pPr>
                    <w:pStyle w:val="TableBody"/>
                  </w:pPr>
                  <w:r>
                    <w:t>MLRSZ</w:t>
                  </w:r>
                  <w:r>
                    <w:rPr>
                      <w:i/>
                      <w:vertAlign w:val="subscript"/>
                    </w:rPr>
                    <w:t xml:space="preserve"> q,z</w:t>
                  </w:r>
                </w:p>
              </w:tc>
              <w:tc>
                <w:tcPr>
                  <w:tcW w:w="737" w:type="dxa"/>
                  <w:gridSpan w:val="2"/>
                </w:tcPr>
                <w:p w14:paraId="29127EE0" w14:textId="77777777" w:rsidR="00222B2B" w:rsidRDefault="00222B2B" w:rsidP="00222B2B">
                  <w:pPr>
                    <w:pStyle w:val="TableBody"/>
                  </w:pPr>
                  <w:r>
                    <w:t>none</w:t>
                  </w:r>
                </w:p>
              </w:tc>
              <w:tc>
                <w:tcPr>
                  <w:tcW w:w="7134" w:type="dxa"/>
                </w:tcPr>
                <w:p w14:paraId="459A145E" w14:textId="77777777" w:rsidR="00222B2B" w:rsidRDefault="00222B2B" w:rsidP="00222B2B">
                  <w:pPr>
                    <w:pStyle w:val="TableBody"/>
                    <w:rPr>
                      <w:i/>
                    </w:rPr>
                  </w:pPr>
                  <w:r w:rsidRPr="00887C6A">
                    <w:rPr>
                      <w:i/>
                    </w:rPr>
                    <w:t>Monthly Load Ratio Share Zonal per QSE per zone</w:t>
                  </w:r>
                  <w:r w:rsidRPr="00887C6A">
                    <w:t xml:space="preserve">—The </w:t>
                  </w:r>
                  <w:r>
                    <w:t>ratio share</w:t>
                  </w:r>
                  <w:r w:rsidRPr="00887C6A">
                    <w:t xml:space="preserve"> of QSE </w:t>
                  </w:r>
                  <w:r w:rsidRPr="00887C6A">
                    <w:rPr>
                      <w:i/>
                    </w:rPr>
                    <w:t>q</w:t>
                  </w:r>
                  <w:r w:rsidRPr="00887C6A">
                    <w:t xml:space="preserve"> for its Load </w:t>
                  </w:r>
                  <w:r>
                    <w:t xml:space="preserve">excluding DC Tie Exports </w:t>
                  </w:r>
                  <w:r w:rsidRPr="00887C6A">
                    <w:t xml:space="preserve">in CMZ </w:t>
                  </w:r>
                  <w:r w:rsidRPr="00887C6A">
                    <w:rPr>
                      <w:i/>
                    </w:rPr>
                    <w:t>z</w:t>
                  </w:r>
                  <w:r w:rsidRPr="00887C6A">
                    <w:t xml:space="preserve">, for the </w:t>
                  </w:r>
                  <w:r>
                    <w:t xml:space="preserve">peak Load 15-minute Settlement Interval in the </w:t>
                  </w:r>
                  <w:r w:rsidRPr="00887C6A">
                    <w:t>month.</w:t>
                  </w:r>
                </w:p>
              </w:tc>
            </w:tr>
            <w:tr w:rsidR="00222B2B" w14:paraId="11D749F2" w14:textId="77777777" w:rsidTr="00316CC9">
              <w:tc>
                <w:tcPr>
                  <w:tcW w:w="1969" w:type="dxa"/>
                </w:tcPr>
                <w:p w14:paraId="455E8C27" w14:textId="77777777" w:rsidR="00222B2B" w:rsidRDefault="00222B2B" w:rsidP="00222B2B">
                  <w:pPr>
                    <w:pStyle w:val="TableBody"/>
                  </w:pPr>
                  <w:r>
                    <w:t xml:space="preserve">RTAML </w:t>
                  </w:r>
                  <w:r w:rsidRPr="00107CC2">
                    <w:rPr>
                      <w:i/>
                      <w:vertAlign w:val="subscript"/>
                    </w:rPr>
                    <w:t>q, p</w:t>
                  </w:r>
                </w:p>
              </w:tc>
              <w:tc>
                <w:tcPr>
                  <w:tcW w:w="737" w:type="dxa"/>
                  <w:gridSpan w:val="2"/>
                </w:tcPr>
                <w:p w14:paraId="57338B9C" w14:textId="77777777" w:rsidR="00222B2B" w:rsidRDefault="00222B2B" w:rsidP="00222B2B">
                  <w:pPr>
                    <w:pStyle w:val="TableBody"/>
                    <w:rPr>
                      <w:i/>
                    </w:rPr>
                  </w:pPr>
                  <w:r>
                    <w:t>MWh</w:t>
                  </w:r>
                </w:p>
              </w:tc>
              <w:tc>
                <w:tcPr>
                  <w:tcW w:w="7134" w:type="dxa"/>
                </w:tcPr>
                <w:p w14:paraId="6F7FB889" w14:textId="77777777" w:rsidR="00222B2B" w:rsidRDefault="00222B2B" w:rsidP="00222B2B">
                  <w:pPr>
                    <w:pStyle w:val="TableBody"/>
                  </w:pPr>
                  <w:r>
                    <w:rPr>
                      <w:i/>
                    </w:rPr>
                    <w:t>Real-Time Adjusted Metered Load per Settlement Point per QSE</w:t>
                  </w:r>
                  <w:r>
                    <w:t xml:space="preserve">—The sum of the AML at the Electrical Buses that are included in Settlement Point </w:t>
                  </w:r>
                  <w:r>
                    <w:rPr>
                      <w:i/>
                    </w:rPr>
                    <w:t>p</w:t>
                  </w:r>
                  <w:r>
                    <w:t xml:space="preserve">, represented by QSE </w:t>
                  </w:r>
                  <w:r>
                    <w:rPr>
                      <w:i/>
                    </w:rPr>
                    <w:t>q</w:t>
                  </w:r>
                  <w:r>
                    <w:t>, for the 15-minute Settlement Interval.</w:t>
                  </w:r>
                </w:p>
              </w:tc>
            </w:tr>
            <w:tr w:rsidR="00222B2B" w14:paraId="12FBD1B4" w14:textId="77777777" w:rsidTr="00316CC9">
              <w:tc>
                <w:tcPr>
                  <w:tcW w:w="1969" w:type="dxa"/>
                </w:tcPr>
                <w:p w14:paraId="0B3C8B3B" w14:textId="77777777" w:rsidR="00222B2B" w:rsidRDefault="00222B2B" w:rsidP="00222B2B">
                  <w:pPr>
                    <w:pStyle w:val="TableBody"/>
                  </w:pPr>
                  <w:r>
                    <w:rPr>
                      <w:lang w:val="sv-SE"/>
                    </w:rPr>
                    <w:t xml:space="preserve">RTAMLDC </w:t>
                  </w:r>
                  <w:r>
                    <w:rPr>
                      <w:i/>
                      <w:vertAlign w:val="subscript"/>
                      <w:lang w:val="sv-SE"/>
                    </w:rPr>
                    <w:t>q,p</w:t>
                  </w:r>
                </w:p>
              </w:tc>
              <w:tc>
                <w:tcPr>
                  <w:tcW w:w="737" w:type="dxa"/>
                  <w:gridSpan w:val="2"/>
                </w:tcPr>
                <w:p w14:paraId="2CB60065" w14:textId="77777777" w:rsidR="00222B2B" w:rsidRDefault="00222B2B" w:rsidP="00222B2B">
                  <w:pPr>
                    <w:pStyle w:val="TableBody"/>
                  </w:pPr>
                  <w:r>
                    <w:t>MWh</w:t>
                  </w:r>
                </w:p>
              </w:tc>
              <w:tc>
                <w:tcPr>
                  <w:tcW w:w="7134" w:type="dxa"/>
                </w:tcPr>
                <w:p w14:paraId="5D39F1BD" w14:textId="77777777" w:rsidR="00222B2B" w:rsidRDefault="00222B2B" w:rsidP="00222B2B">
                  <w:pPr>
                    <w:pStyle w:val="TableBody"/>
                    <w:rPr>
                      <w:i/>
                    </w:rPr>
                  </w:pPr>
                  <w:r>
                    <w:rPr>
                      <w:i/>
                    </w:rPr>
                    <w:t>Real-Time Adjusted Metered Load for DC Ties per Settlement Point per QSE</w:t>
                  </w:r>
                  <w:r>
                    <w:t xml:space="preserve">—The sum of the DC Tie AML at the Electrical Buses that are included in Settlement Point </w:t>
                  </w:r>
                  <w:r>
                    <w:rPr>
                      <w:i/>
                    </w:rPr>
                    <w:t>p</w:t>
                  </w:r>
                  <w:r>
                    <w:t xml:space="preserve">, represented by QSE </w:t>
                  </w:r>
                  <w:r>
                    <w:rPr>
                      <w:i/>
                    </w:rPr>
                    <w:t>q</w:t>
                  </w:r>
                  <w:r>
                    <w:t>, for the 15-minute Settlement Interval.</w:t>
                  </w:r>
                </w:p>
              </w:tc>
            </w:tr>
            <w:tr w:rsidR="00222B2B" w:rsidDel="00666312" w14:paraId="3468FC62" w14:textId="77777777" w:rsidTr="00316CC9">
              <w:tc>
                <w:tcPr>
                  <w:tcW w:w="1979" w:type="dxa"/>
                  <w:gridSpan w:val="2"/>
                </w:tcPr>
                <w:p w14:paraId="61A8AB66" w14:textId="77777777" w:rsidR="00222B2B" w:rsidDel="00666312" w:rsidRDefault="00222B2B" w:rsidP="00222B2B">
                  <w:pPr>
                    <w:pStyle w:val="TableBody"/>
                    <w:rPr>
                      <w:lang w:val="sv-SE"/>
                    </w:rPr>
                  </w:pPr>
                  <w:r w:rsidRPr="00FC2DA7">
                    <w:rPr>
                      <w:iCs w:val="0"/>
                    </w:rPr>
                    <w:t>RTAML</w:t>
                  </w:r>
                  <w:r>
                    <w:rPr>
                      <w:iCs w:val="0"/>
                    </w:rPr>
                    <w:t>LZ</w:t>
                  </w:r>
                  <w:r w:rsidRPr="00FC2DA7">
                    <w:rPr>
                      <w:iCs w:val="0"/>
                    </w:rPr>
                    <w:t>TOT</w:t>
                  </w:r>
                  <w:r>
                    <w:rPr>
                      <w:iCs w:val="0"/>
                      <w:vertAlign w:val="subscript"/>
                    </w:rPr>
                    <w:t>z</w:t>
                  </w:r>
                </w:p>
              </w:tc>
              <w:tc>
                <w:tcPr>
                  <w:tcW w:w="0" w:type="auto"/>
                </w:tcPr>
                <w:p w14:paraId="1EC44D0F" w14:textId="77777777" w:rsidR="00222B2B" w:rsidDel="00666312" w:rsidRDefault="00222B2B" w:rsidP="00222B2B">
                  <w:pPr>
                    <w:pStyle w:val="TableBody"/>
                  </w:pPr>
                  <w:r w:rsidRPr="00FC2DA7">
                    <w:rPr>
                      <w:iCs w:val="0"/>
                    </w:rPr>
                    <w:t>MWh</w:t>
                  </w:r>
                </w:p>
              </w:tc>
              <w:tc>
                <w:tcPr>
                  <w:tcW w:w="0" w:type="auto"/>
                </w:tcPr>
                <w:p w14:paraId="6BCD0C97" w14:textId="77777777" w:rsidR="00222B2B" w:rsidDel="00666312" w:rsidRDefault="00222B2B" w:rsidP="00222B2B">
                  <w:pPr>
                    <w:pStyle w:val="TableBody"/>
                    <w:rPr>
                      <w:i/>
                    </w:rPr>
                  </w:pPr>
                  <w:r w:rsidRPr="00FC2DA7">
                    <w:rPr>
                      <w:i/>
                      <w:iCs w:val="0"/>
                    </w:rPr>
                    <w:t xml:space="preserve">Real-Time Adjusted Metered Load </w:t>
                  </w:r>
                  <w:r>
                    <w:rPr>
                      <w:i/>
                      <w:iCs w:val="0"/>
                    </w:rPr>
                    <w:t xml:space="preserve">- Load Zone </w:t>
                  </w:r>
                  <w:r w:rsidRPr="00FC2DA7">
                    <w:rPr>
                      <w:i/>
                      <w:iCs w:val="0"/>
                    </w:rPr>
                    <w:t>Total</w:t>
                  </w:r>
                  <w:r w:rsidRPr="00FC2DA7">
                    <w:rPr>
                      <w:iCs w:val="0"/>
                    </w:rPr>
                    <w:t xml:space="preserve">—The total </w:t>
                  </w:r>
                  <w:r>
                    <w:rPr>
                      <w:iCs w:val="0"/>
                    </w:rPr>
                    <w:t>AML</w:t>
                  </w:r>
                  <w:r w:rsidRPr="00FC2DA7">
                    <w:rPr>
                      <w:iCs w:val="0"/>
                    </w:rPr>
                    <w:t xml:space="preserve"> </w:t>
                  </w:r>
                  <w:r>
                    <w:rPr>
                      <w:iCs w:val="0"/>
                    </w:rPr>
                    <w:t xml:space="preserve">excluding DC Tie exports </w:t>
                  </w:r>
                  <w:r w:rsidRPr="00FC2DA7">
                    <w:rPr>
                      <w:iCs w:val="0"/>
                    </w:rPr>
                    <w:t xml:space="preserve">in </w:t>
                  </w:r>
                  <w:r>
                    <w:rPr>
                      <w:iCs w:val="0"/>
                    </w:rPr>
                    <w:t>CMZ z</w:t>
                  </w:r>
                  <w:r w:rsidRPr="00FC2DA7">
                    <w:rPr>
                      <w:iCs w:val="0"/>
                    </w:rPr>
                    <w:t xml:space="preserve">, </w:t>
                  </w:r>
                  <w:r>
                    <w:rPr>
                      <w:iCs w:val="0"/>
                    </w:rPr>
                    <w:t xml:space="preserve">for the </w:t>
                  </w:r>
                  <w:r w:rsidRPr="00796449">
                    <w:rPr>
                      <w:iCs w:val="0"/>
                    </w:rPr>
                    <w:t xml:space="preserve">peak Load 15-minute Settlement </w:t>
                  </w:r>
                  <w:r>
                    <w:rPr>
                      <w:iCs w:val="0"/>
                    </w:rPr>
                    <w:t>Interval</w:t>
                  </w:r>
                  <w:r w:rsidRPr="00796449">
                    <w:rPr>
                      <w:iCs w:val="0"/>
                    </w:rPr>
                    <w:t xml:space="preserve"> in the calendar month</w:t>
                  </w:r>
                  <w:r>
                    <w:rPr>
                      <w:iCs w:val="0"/>
                    </w:rPr>
                    <w:t>.</w:t>
                  </w:r>
                </w:p>
              </w:tc>
            </w:tr>
            <w:tr w:rsidR="00222B2B" w14:paraId="042CFF08" w14:textId="77777777" w:rsidTr="00316CC9">
              <w:tc>
                <w:tcPr>
                  <w:tcW w:w="1969" w:type="dxa"/>
                </w:tcPr>
                <w:p w14:paraId="3AA71B6F" w14:textId="77777777" w:rsidR="00222B2B" w:rsidRPr="00A61E91" w:rsidRDefault="00222B2B" w:rsidP="00222B2B">
                  <w:pPr>
                    <w:pStyle w:val="TableBody"/>
                    <w:rPr>
                      <w:i/>
                    </w:rPr>
                  </w:pPr>
                  <w:r w:rsidRPr="00FC2DA7">
                    <w:rPr>
                      <w:i/>
                      <w:iCs w:val="0"/>
                    </w:rPr>
                    <w:t>q</w:t>
                  </w:r>
                </w:p>
              </w:tc>
              <w:tc>
                <w:tcPr>
                  <w:tcW w:w="737" w:type="dxa"/>
                  <w:gridSpan w:val="2"/>
                </w:tcPr>
                <w:p w14:paraId="37D45761" w14:textId="77777777" w:rsidR="00222B2B" w:rsidRDefault="00222B2B" w:rsidP="00222B2B">
                  <w:pPr>
                    <w:pStyle w:val="TableBody"/>
                  </w:pPr>
                  <w:r w:rsidRPr="00FC2DA7">
                    <w:rPr>
                      <w:iCs w:val="0"/>
                    </w:rPr>
                    <w:t>none</w:t>
                  </w:r>
                </w:p>
              </w:tc>
              <w:tc>
                <w:tcPr>
                  <w:tcW w:w="7134" w:type="dxa"/>
                </w:tcPr>
                <w:p w14:paraId="6828E6D9" w14:textId="77777777" w:rsidR="00222B2B" w:rsidRDefault="00222B2B" w:rsidP="00222B2B">
                  <w:pPr>
                    <w:pStyle w:val="TableBody"/>
                  </w:pPr>
                  <w:r w:rsidRPr="00FC2DA7">
                    <w:rPr>
                      <w:iCs w:val="0"/>
                    </w:rPr>
                    <w:t xml:space="preserve">A QSE.  </w:t>
                  </w:r>
                </w:p>
              </w:tc>
            </w:tr>
            <w:tr w:rsidR="00222B2B" w14:paraId="7FA8D885" w14:textId="77777777" w:rsidTr="00316CC9">
              <w:tc>
                <w:tcPr>
                  <w:tcW w:w="1969" w:type="dxa"/>
                </w:tcPr>
                <w:p w14:paraId="4D409479" w14:textId="77777777" w:rsidR="00222B2B" w:rsidRPr="00476A8D" w:rsidRDefault="00222B2B" w:rsidP="00222B2B">
                  <w:pPr>
                    <w:pStyle w:val="TableBody"/>
                    <w:rPr>
                      <w:i/>
                    </w:rPr>
                  </w:pPr>
                  <w:r w:rsidRPr="00A61E91">
                    <w:rPr>
                      <w:i/>
                    </w:rPr>
                    <w:t>p</w:t>
                  </w:r>
                </w:p>
              </w:tc>
              <w:tc>
                <w:tcPr>
                  <w:tcW w:w="737" w:type="dxa"/>
                  <w:gridSpan w:val="2"/>
                </w:tcPr>
                <w:p w14:paraId="418CB322" w14:textId="77777777" w:rsidR="00222B2B" w:rsidRDefault="00222B2B" w:rsidP="00222B2B">
                  <w:pPr>
                    <w:pStyle w:val="TableBody"/>
                  </w:pPr>
                  <w:r>
                    <w:t>none</w:t>
                  </w:r>
                </w:p>
              </w:tc>
              <w:tc>
                <w:tcPr>
                  <w:tcW w:w="7134" w:type="dxa"/>
                </w:tcPr>
                <w:p w14:paraId="4DC0FCA3" w14:textId="77777777" w:rsidR="00222B2B" w:rsidRDefault="00222B2B" w:rsidP="00222B2B">
                  <w:pPr>
                    <w:pStyle w:val="TableBody"/>
                  </w:pPr>
                  <w:r>
                    <w:t>A Settlement Point</w:t>
                  </w:r>
                  <w:r>
                    <w:rPr>
                      <w:iCs w:val="0"/>
                    </w:rPr>
                    <w:t xml:space="preserve"> in the 2003 ERCOT CMZ</w:t>
                  </w:r>
                  <w:r>
                    <w:t>.</w:t>
                  </w:r>
                </w:p>
              </w:tc>
            </w:tr>
            <w:tr w:rsidR="00222B2B" w14:paraId="50F712F4" w14:textId="77777777" w:rsidTr="00316CC9">
              <w:tc>
                <w:tcPr>
                  <w:tcW w:w="1979" w:type="dxa"/>
                  <w:gridSpan w:val="2"/>
                </w:tcPr>
                <w:p w14:paraId="0B876852" w14:textId="77777777" w:rsidR="00222B2B" w:rsidRPr="00A61E91" w:rsidRDefault="00222B2B" w:rsidP="00222B2B">
                  <w:pPr>
                    <w:pStyle w:val="TableBody"/>
                    <w:rPr>
                      <w:i/>
                    </w:rPr>
                  </w:pPr>
                  <w:r>
                    <w:rPr>
                      <w:i/>
                      <w:iCs w:val="0"/>
                    </w:rPr>
                    <w:lastRenderedPageBreak/>
                    <w:t>z</w:t>
                  </w:r>
                </w:p>
              </w:tc>
              <w:tc>
                <w:tcPr>
                  <w:tcW w:w="0" w:type="auto"/>
                </w:tcPr>
                <w:p w14:paraId="64B9CAF5" w14:textId="77777777" w:rsidR="00222B2B" w:rsidRDefault="00222B2B" w:rsidP="00222B2B">
                  <w:pPr>
                    <w:pStyle w:val="TableBody"/>
                  </w:pPr>
                  <w:r>
                    <w:rPr>
                      <w:iCs w:val="0"/>
                    </w:rPr>
                    <w:t>none</w:t>
                  </w:r>
                </w:p>
              </w:tc>
              <w:tc>
                <w:tcPr>
                  <w:tcW w:w="0" w:type="auto"/>
                </w:tcPr>
                <w:p w14:paraId="46AC098C" w14:textId="77777777" w:rsidR="00222B2B" w:rsidRDefault="00222B2B" w:rsidP="00222B2B">
                  <w:pPr>
                    <w:pStyle w:val="TableBody"/>
                  </w:pPr>
                  <w:r w:rsidRPr="006D64A7">
                    <w:t>A 2003 ERCOT CMZ.</w:t>
                  </w:r>
                </w:p>
              </w:tc>
            </w:tr>
          </w:tbl>
          <w:p w14:paraId="29B03DA3" w14:textId="2C9DF0A4" w:rsidR="00222B2B" w:rsidRPr="008F39F7" w:rsidRDefault="00222B2B" w:rsidP="00316CC9">
            <w:pPr>
              <w:pStyle w:val="BodyTextNumbered"/>
            </w:pPr>
          </w:p>
        </w:tc>
      </w:tr>
    </w:tbl>
    <w:p w14:paraId="36202D4C" w14:textId="0E25FC6C" w:rsidR="003C2BD5" w:rsidRPr="00FC2DA7" w:rsidRDefault="003C2BD5" w:rsidP="00BB44BE">
      <w:pPr>
        <w:keepNext/>
        <w:widowControl w:val="0"/>
        <w:tabs>
          <w:tab w:val="left" w:pos="1260"/>
        </w:tabs>
        <w:spacing w:before="480" w:after="240"/>
        <w:ind w:left="1260" w:hanging="1260"/>
        <w:outlineLvl w:val="3"/>
        <w:rPr>
          <w:b/>
          <w:bCs/>
          <w:snapToGrid w:val="0"/>
        </w:rPr>
      </w:pPr>
      <w:bookmarkStart w:id="1812" w:name="_Toc204411658"/>
      <w:r>
        <w:rPr>
          <w:b/>
          <w:bCs/>
          <w:snapToGrid w:val="0"/>
        </w:rPr>
        <w:lastRenderedPageBreak/>
        <w:t>6.6.2.3</w:t>
      </w:r>
      <w:r w:rsidRPr="00FC2DA7">
        <w:rPr>
          <w:b/>
          <w:bCs/>
          <w:snapToGrid w:val="0"/>
        </w:rPr>
        <w:tab/>
        <w:t>ERCOT Total Adjusted Metered Load</w:t>
      </w:r>
      <w:r>
        <w:rPr>
          <w:b/>
          <w:bCs/>
          <w:snapToGrid w:val="0"/>
        </w:rPr>
        <w:t xml:space="preserve"> </w:t>
      </w:r>
      <w:r w:rsidRPr="00FC2DA7">
        <w:rPr>
          <w:b/>
          <w:bCs/>
          <w:snapToGrid w:val="0"/>
        </w:rPr>
        <w:t>for a</w:t>
      </w:r>
      <w:r>
        <w:rPr>
          <w:b/>
          <w:bCs/>
          <w:snapToGrid w:val="0"/>
        </w:rPr>
        <w:t>n</w:t>
      </w:r>
      <w:r w:rsidRPr="00FC2DA7">
        <w:rPr>
          <w:b/>
          <w:bCs/>
          <w:snapToGrid w:val="0"/>
        </w:rPr>
        <w:t xml:space="preserve"> </w:t>
      </w:r>
      <w:r>
        <w:rPr>
          <w:b/>
          <w:bCs/>
          <w:snapToGrid w:val="0"/>
        </w:rPr>
        <w:t>Operating Hour</w:t>
      </w:r>
      <w:bookmarkEnd w:id="1798"/>
      <w:bookmarkEnd w:id="1799"/>
      <w:bookmarkEnd w:id="1812"/>
    </w:p>
    <w:p w14:paraId="0B7688AA" w14:textId="3222CBA5" w:rsidR="003C2BD5" w:rsidRPr="00FC2DA7" w:rsidRDefault="003C2BD5" w:rsidP="003C2BD5">
      <w:pPr>
        <w:spacing w:after="240"/>
        <w:ind w:left="720" w:hanging="720"/>
        <w:rPr>
          <w:iCs/>
        </w:rPr>
      </w:pPr>
      <w:r>
        <w:rPr>
          <w:iCs/>
        </w:rPr>
        <w:t>(1)</w:t>
      </w:r>
      <w:r>
        <w:rPr>
          <w:iCs/>
        </w:rPr>
        <w:tab/>
      </w:r>
      <w:r w:rsidRPr="00FC2DA7">
        <w:rPr>
          <w:iCs/>
        </w:rPr>
        <w:t>ERCOT total AML for a</w:t>
      </w:r>
      <w:r>
        <w:rPr>
          <w:iCs/>
        </w:rPr>
        <w:t xml:space="preserve">n Operating Hour </w:t>
      </w:r>
      <w:r w:rsidRPr="00FC2DA7">
        <w:rPr>
          <w:iCs/>
        </w:rPr>
        <w:t>is calculated as follows:</w:t>
      </w:r>
    </w:p>
    <w:p w14:paraId="5D65A33E" w14:textId="77777777" w:rsidR="003C2BD5" w:rsidRPr="00FC2DA7" w:rsidRDefault="003C2BD5" w:rsidP="006B72E9">
      <w:pPr>
        <w:tabs>
          <w:tab w:val="left" w:pos="2250"/>
          <w:tab w:val="left" w:pos="3150"/>
          <w:tab w:val="left" w:pos="3960"/>
        </w:tabs>
        <w:spacing w:after="240"/>
        <w:ind w:left="3960" w:hanging="3240"/>
        <w:rPr>
          <w:b/>
          <w:bCs/>
        </w:rPr>
      </w:pPr>
      <w:r>
        <w:rPr>
          <w:b/>
          <w:bCs/>
        </w:rPr>
        <w:t>H</w:t>
      </w:r>
      <w:r w:rsidRPr="00FC2DA7">
        <w:rPr>
          <w:b/>
          <w:bCs/>
        </w:rPr>
        <w:t>RTAMLTOT</w:t>
      </w:r>
      <w:r w:rsidRPr="00FC2DA7">
        <w:rPr>
          <w:b/>
          <w:bCs/>
        </w:rPr>
        <w:tab/>
        <w:t>=</w:t>
      </w:r>
      <w:r w:rsidRPr="00FC2DA7">
        <w:rPr>
          <w:b/>
          <w:bCs/>
        </w:rPr>
        <w:tab/>
      </w:r>
      <w:r w:rsidRPr="00FC2DA7">
        <w:rPr>
          <w:b/>
          <w:bCs/>
          <w:position w:val="-22"/>
        </w:rPr>
        <w:object w:dxaOrig="225" w:dyaOrig="465" w14:anchorId="4DFF1BB1">
          <v:shape id="_x0000_i1098" type="#_x0000_t75" style="width:12pt;height:18pt" o:ole="">
            <v:imagedata r:id="rId90" o:title=""/>
          </v:shape>
          <o:OLEObject Type="Embed" ProgID="Equation.3" ShapeID="_x0000_i1098" DrawAspect="Content" ObjectID="_1815025288" r:id="rId103"/>
        </w:object>
      </w:r>
      <w:r>
        <w:rPr>
          <w:b/>
          <w:bCs/>
        </w:rPr>
        <w:t>(max(0,</w:t>
      </w:r>
      <w:r w:rsidRPr="00C85A50">
        <w:rPr>
          <w:b/>
          <w:bCs/>
        </w:rPr>
        <w:t xml:space="preserve"> </w:t>
      </w:r>
      <w:r w:rsidRPr="00FC2DA7">
        <w:rPr>
          <w:b/>
          <w:bCs/>
          <w:position w:val="-20"/>
        </w:rPr>
        <w:object w:dxaOrig="255" w:dyaOrig="585" w14:anchorId="4ED63895">
          <v:shape id="_x0000_i1099" type="#_x0000_t75" style="width:12pt;height:30pt" o:ole="">
            <v:imagedata r:id="rId104" o:title=""/>
          </v:shape>
          <o:OLEObject Type="Embed" ProgID="Equation.3" ShapeID="_x0000_i1099" DrawAspect="Content" ObjectID="_1815025289" r:id="rId105"/>
        </w:object>
      </w:r>
      <w:r w:rsidRPr="00FC2DA7">
        <w:rPr>
          <w:b/>
          <w:bCs/>
          <w:position w:val="-22"/>
        </w:rPr>
        <w:object w:dxaOrig="225" w:dyaOrig="465" w14:anchorId="0B457975">
          <v:shape id="_x0000_i1100" type="#_x0000_t75" style="width:12pt;height:18pt" o:ole="">
            <v:imagedata r:id="rId92" o:title=""/>
          </v:shape>
          <o:OLEObject Type="Embed" ProgID="Equation.3" ShapeID="_x0000_i1100" DrawAspect="Content" ObjectID="_1815025290" r:id="rId106"/>
        </w:object>
      </w:r>
      <w:r w:rsidRPr="00FC2DA7">
        <w:rPr>
          <w:b/>
          <w:bCs/>
        </w:rPr>
        <w:t xml:space="preserve">RTAML </w:t>
      </w:r>
      <w:r w:rsidRPr="00FC2DA7">
        <w:rPr>
          <w:b/>
          <w:bCs/>
          <w:i/>
          <w:vertAlign w:val="subscript"/>
        </w:rPr>
        <w:t>q, p</w:t>
      </w:r>
      <w:r w:rsidRPr="00FC2DA7">
        <w:rPr>
          <w:b/>
          <w:bCs/>
        </w:rPr>
        <w:t>)</w:t>
      </w:r>
      <w:r w:rsidRPr="00F95DA0">
        <w:rPr>
          <w:iCs/>
        </w:rPr>
        <w:t xml:space="preserve"> </w:t>
      </w:r>
      <w:r w:rsidRPr="00FC2DA7">
        <w:rPr>
          <w:b/>
          <w:bCs/>
        </w:rPr>
        <w:t>)</w:t>
      </w:r>
    </w:p>
    <w:p w14:paraId="1F347849" w14:textId="77777777" w:rsidR="003C2BD5" w:rsidRPr="00FC2DA7" w:rsidRDefault="003C2BD5" w:rsidP="003C2BD5">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3"/>
        <w:gridCol w:w="697"/>
        <w:gridCol w:w="6655"/>
      </w:tblGrid>
      <w:tr w:rsidR="003C2BD5" w:rsidRPr="00FC2DA7" w14:paraId="7B7A0D0D" w14:textId="77777777" w:rsidTr="008C2590">
        <w:tc>
          <w:tcPr>
            <w:tcW w:w="2003" w:type="dxa"/>
          </w:tcPr>
          <w:p w14:paraId="3AF75E8A" w14:textId="77777777" w:rsidR="003C2BD5" w:rsidRPr="00FC2DA7" w:rsidRDefault="003C2BD5" w:rsidP="008C2590">
            <w:pPr>
              <w:spacing w:after="120"/>
              <w:rPr>
                <w:b/>
                <w:iCs/>
                <w:sz w:val="20"/>
              </w:rPr>
            </w:pPr>
            <w:r w:rsidRPr="00FC2DA7">
              <w:rPr>
                <w:b/>
                <w:iCs/>
                <w:sz w:val="20"/>
              </w:rPr>
              <w:t>Variable</w:t>
            </w:r>
          </w:p>
        </w:tc>
        <w:tc>
          <w:tcPr>
            <w:tcW w:w="697" w:type="dxa"/>
          </w:tcPr>
          <w:p w14:paraId="3EF29BB1" w14:textId="77777777" w:rsidR="003C2BD5" w:rsidRPr="00FC2DA7" w:rsidRDefault="003C2BD5" w:rsidP="008C2590">
            <w:pPr>
              <w:spacing w:after="120"/>
              <w:rPr>
                <w:b/>
                <w:iCs/>
                <w:sz w:val="20"/>
              </w:rPr>
            </w:pPr>
            <w:r w:rsidRPr="00FC2DA7">
              <w:rPr>
                <w:b/>
                <w:iCs/>
                <w:sz w:val="20"/>
              </w:rPr>
              <w:t>Unit</w:t>
            </w:r>
          </w:p>
        </w:tc>
        <w:tc>
          <w:tcPr>
            <w:tcW w:w="6655" w:type="dxa"/>
          </w:tcPr>
          <w:p w14:paraId="7C4B9AAE" w14:textId="77777777" w:rsidR="003C2BD5" w:rsidRPr="00FC2DA7" w:rsidRDefault="003C2BD5" w:rsidP="008C2590">
            <w:pPr>
              <w:spacing w:after="120"/>
              <w:rPr>
                <w:b/>
                <w:iCs/>
                <w:sz w:val="20"/>
              </w:rPr>
            </w:pPr>
            <w:r w:rsidRPr="00FC2DA7">
              <w:rPr>
                <w:b/>
                <w:iCs/>
                <w:sz w:val="20"/>
              </w:rPr>
              <w:t>Description</w:t>
            </w:r>
          </w:p>
        </w:tc>
      </w:tr>
      <w:tr w:rsidR="003C2BD5" w:rsidRPr="00FC2DA7" w14:paraId="6F08E9F7" w14:textId="77777777" w:rsidTr="008C2590">
        <w:tc>
          <w:tcPr>
            <w:tcW w:w="2003" w:type="dxa"/>
          </w:tcPr>
          <w:p w14:paraId="1453B811" w14:textId="77777777" w:rsidR="003C2BD5" w:rsidRPr="00FC2DA7" w:rsidRDefault="003C2BD5" w:rsidP="008C2590">
            <w:pPr>
              <w:spacing w:after="60"/>
              <w:rPr>
                <w:iCs/>
                <w:sz w:val="20"/>
              </w:rPr>
            </w:pPr>
            <w:r>
              <w:rPr>
                <w:iCs/>
                <w:sz w:val="20"/>
              </w:rPr>
              <w:t>H</w:t>
            </w:r>
            <w:r w:rsidRPr="00FC2DA7">
              <w:rPr>
                <w:iCs/>
                <w:sz w:val="20"/>
              </w:rPr>
              <w:t>RTAMLTOT</w:t>
            </w:r>
          </w:p>
        </w:tc>
        <w:tc>
          <w:tcPr>
            <w:tcW w:w="697" w:type="dxa"/>
          </w:tcPr>
          <w:p w14:paraId="6AC91FE4" w14:textId="77777777" w:rsidR="003C2BD5" w:rsidRPr="00FC2DA7" w:rsidRDefault="003C2BD5" w:rsidP="008C2590">
            <w:pPr>
              <w:spacing w:after="60"/>
              <w:rPr>
                <w:i/>
                <w:iCs/>
                <w:sz w:val="20"/>
              </w:rPr>
            </w:pPr>
            <w:r w:rsidRPr="00FC2DA7">
              <w:rPr>
                <w:iCs/>
                <w:sz w:val="20"/>
              </w:rPr>
              <w:t>MWh</w:t>
            </w:r>
          </w:p>
        </w:tc>
        <w:tc>
          <w:tcPr>
            <w:tcW w:w="6655" w:type="dxa"/>
          </w:tcPr>
          <w:p w14:paraId="40D9651D" w14:textId="77777777" w:rsidR="003C2BD5" w:rsidRPr="00FC2DA7" w:rsidRDefault="003C2BD5" w:rsidP="008C2590">
            <w:pPr>
              <w:spacing w:after="60"/>
              <w:rPr>
                <w:iCs/>
                <w:sz w:val="20"/>
              </w:rPr>
            </w:pPr>
            <w:r w:rsidRPr="00FC2DA7">
              <w:rPr>
                <w:i/>
                <w:iCs/>
                <w:sz w:val="20"/>
              </w:rPr>
              <w:t>Real-Time Adjusted Metered Load Total</w:t>
            </w:r>
            <w:r w:rsidRPr="00FC2DA7">
              <w:rPr>
                <w:iCs/>
                <w:sz w:val="20"/>
              </w:rPr>
              <w:t xml:space="preserve">—The total </w:t>
            </w:r>
            <w:r>
              <w:rPr>
                <w:iCs/>
                <w:sz w:val="20"/>
              </w:rPr>
              <w:t>AML</w:t>
            </w:r>
            <w:r w:rsidRPr="00FC2DA7">
              <w:rPr>
                <w:iCs/>
                <w:sz w:val="20"/>
              </w:rPr>
              <w:t xml:space="preserve"> in ERCOT, for th</w:t>
            </w:r>
            <w:r>
              <w:rPr>
                <w:iCs/>
                <w:sz w:val="20"/>
              </w:rPr>
              <w:t>e Operating Hour.</w:t>
            </w:r>
          </w:p>
        </w:tc>
      </w:tr>
      <w:tr w:rsidR="003C2BD5" w:rsidRPr="00FC2DA7" w14:paraId="19E86C54" w14:textId="77777777" w:rsidTr="008C2590">
        <w:tc>
          <w:tcPr>
            <w:tcW w:w="2003" w:type="dxa"/>
          </w:tcPr>
          <w:p w14:paraId="4404A02B" w14:textId="77777777" w:rsidR="003C2BD5" w:rsidRPr="00FC2DA7" w:rsidRDefault="003C2BD5" w:rsidP="008C2590">
            <w:pPr>
              <w:spacing w:after="60"/>
              <w:rPr>
                <w:iCs/>
                <w:sz w:val="20"/>
              </w:rPr>
            </w:pPr>
            <w:r w:rsidRPr="00FC2DA7">
              <w:rPr>
                <w:iCs/>
                <w:sz w:val="20"/>
              </w:rPr>
              <w:t xml:space="preserve">RTAML </w:t>
            </w:r>
            <w:r w:rsidRPr="00FC2DA7">
              <w:rPr>
                <w:i/>
                <w:iCs/>
                <w:sz w:val="20"/>
                <w:vertAlign w:val="subscript"/>
              </w:rPr>
              <w:t>q, p</w:t>
            </w:r>
          </w:p>
        </w:tc>
        <w:tc>
          <w:tcPr>
            <w:tcW w:w="697" w:type="dxa"/>
          </w:tcPr>
          <w:p w14:paraId="008159C8" w14:textId="77777777" w:rsidR="003C2BD5" w:rsidRPr="00FC2DA7" w:rsidRDefault="003C2BD5" w:rsidP="008C2590">
            <w:pPr>
              <w:spacing w:after="60"/>
              <w:rPr>
                <w:iCs/>
                <w:sz w:val="20"/>
              </w:rPr>
            </w:pPr>
            <w:r w:rsidRPr="00FC2DA7">
              <w:rPr>
                <w:iCs/>
                <w:sz w:val="20"/>
              </w:rPr>
              <w:t>MWh</w:t>
            </w:r>
          </w:p>
        </w:tc>
        <w:tc>
          <w:tcPr>
            <w:tcW w:w="6655" w:type="dxa"/>
          </w:tcPr>
          <w:p w14:paraId="7D5DFE0E" w14:textId="77777777" w:rsidR="003C2BD5" w:rsidRPr="00FC2DA7" w:rsidRDefault="003C2BD5" w:rsidP="008C2590">
            <w:pPr>
              <w:spacing w:after="60"/>
              <w:rPr>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for the 15-minute Settlement Interval.</w:t>
            </w:r>
          </w:p>
        </w:tc>
      </w:tr>
      <w:tr w:rsidR="003C2BD5" w:rsidRPr="00FC2DA7" w14:paraId="4427D1BF" w14:textId="77777777" w:rsidTr="008C2590">
        <w:tc>
          <w:tcPr>
            <w:tcW w:w="2003" w:type="dxa"/>
          </w:tcPr>
          <w:p w14:paraId="0490A0AB" w14:textId="77777777" w:rsidR="003C2BD5" w:rsidRPr="00FC2DA7" w:rsidRDefault="003C2BD5" w:rsidP="008C2590">
            <w:pPr>
              <w:spacing w:after="60"/>
              <w:rPr>
                <w:i/>
                <w:iCs/>
                <w:sz w:val="20"/>
              </w:rPr>
            </w:pPr>
            <w:r w:rsidRPr="00FC2DA7">
              <w:rPr>
                <w:i/>
                <w:iCs/>
                <w:sz w:val="20"/>
              </w:rPr>
              <w:t>q</w:t>
            </w:r>
          </w:p>
        </w:tc>
        <w:tc>
          <w:tcPr>
            <w:tcW w:w="697" w:type="dxa"/>
          </w:tcPr>
          <w:p w14:paraId="3B7084E8" w14:textId="77777777" w:rsidR="003C2BD5" w:rsidRPr="00FC2DA7" w:rsidRDefault="003C2BD5" w:rsidP="008C2590">
            <w:pPr>
              <w:spacing w:after="60"/>
              <w:rPr>
                <w:iCs/>
                <w:sz w:val="20"/>
              </w:rPr>
            </w:pPr>
            <w:r w:rsidRPr="00FC2DA7">
              <w:rPr>
                <w:iCs/>
                <w:sz w:val="20"/>
              </w:rPr>
              <w:t>none</w:t>
            </w:r>
          </w:p>
        </w:tc>
        <w:tc>
          <w:tcPr>
            <w:tcW w:w="6655" w:type="dxa"/>
          </w:tcPr>
          <w:p w14:paraId="66A78861" w14:textId="77777777" w:rsidR="003C2BD5" w:rsidRPr="00FC2DA7" w:rsidRDefault="003C2BD5" w:rsidP="008C2590">
            <w:pPr>
              <w:spacing w:after="60"/>
              <w:rPr>
                <w:iCs/>
                <w:sz w:val="20"/>
              </w:rPr>
            </w:pPr>
            <w:r w:rsidRPr="00FC2DA7">
              <w:rPr>
                <w:iCs/>
                <w:sz w:val="20"/>
              </w:rPr>
              <w:t>A QSE.  The summation is over all of the QSEs with metered readings in that interval.</w:t>
            </w:r>
          </w:p>
        </w:tc>
      </w:tr>
      <w:tr w:rsidR="003C2BD5" w:rsidRPr="00FC2DA7" w14:paraId="61F105F1" w14:textId="77777777" w:rsidTr="008C2590">
        <w:tc>
          <w:tcPr>
            <w:tcW w:w="2003" w:type="dxa"/>
          </w:tcPr>
          <w:p w14:paraId="46A6646D" w14:textId="77777777" w:rsidR="003C2BD5" w:rsidRPr="00FC2DA7" w:rsidRDefault="003C2BD5" w:rsidP="008C2590">
            <w:pPr>
              <w:spacing w:after="60"/>
              <w:rPr>
                <w:i/>
                <w:iCs/>
                <w:sz w:val="20"/>
              </w:rPr>
            </w:pPr>
            <w:r w:rsidRPr="00FC2DA7">
              <w:rPr>
                <w:i/>
                <w:iCs/>
                <w:sz w:val="20"/>
              </w:rPr>
              <w:t>p</w:t>
            </w:r>
          </w:p>
        </w:tc>
        <w:tc>
          <w:tcPr>
            <w:tcW w:w="697" w:type="dxa"/>
          </w:tcPr>
          <w:p w14:paraId="786793D8" w14:textId="77777777" w:rsidR="003C2BD5" w:rsidRPr="00FC2DA7" w:rsidRDefault="003C2BD5" w:rsidP="008C2590">
            <w:pPr>
              <w:spacing w:after="60"/>
              <w:rPr>
                <w:iCs/>
                <w:sz w:val="20"/>
              </w:rPr>
            </w:pPr>
            <w:r w:rsidRPr="00FC2DA7">
              <w:rPr>
                <w:iCs/>
                <w:sz w:val="20"/>
              </w:rPr>
              <w:t>none</w:t>
            </w:r>
          </w:p>
        </w:tc>
        <w:tc>
          <w:tcPr>
            <w:tcW w:w="6655" w:type="dxa"/>
          </w:tcPr>
          <w:p w14:paraId="389FB50A" w14:textId="77777777" w:rsidR="003C2BD5" w:rsidRPr="00FC2DA7" w:rsidRDefault="003C2BD5" w:rsidP="008C2590">
            <w:pPr>
              <w:spacing w:after="60"/>
              <w:rPr>
                <w:iCs/>
                <w:sz w:val="20"/>
              </w:rPr>
            </w:pPr>
            <w:r w:rsidRPr="00FC2DA7">
              <w:rPr>
                <w:iCs/>
                <w:sz w:val="20"/>
              </w:rPr>
              <w:t>A Settlement Point.  The summation is over all of the Settlement Points.</w:t>
            </w:r>
          </w:p>
        </w:tc>
      </w:tr>
      <w:tr w:rsidR="003C2BD5" w:rsidRPr="00FC2DA7" w14:paraId="634DF73F" w14:textId="77777777" w:rsidTr="008C2590">
        <w:trPr>
          <w:cantSplit/>
        </w:trPr>
        <w:tc>
          <w:tcPr>
            <w:tcW w:w="2003" w:type="dxa"/>
          </w:tcPr>
          <w:p w14:paraId="767DC910" w14:textId="77777777" w:rsidR="003C2BD5" w:rsidRPr="00FC2DA7" w:rsidRDefault="003C2BD5" w:rsidP="008C2590">
            <w:pPr>
              <w:spacing w:after="60"/>
              <w:rPr>
                <w:i/>
                <w:iCs/>
                <w:sz w:val="20"/>
              </w:rPr>
            </w:pPr>
            <w:r w:rsidRPr="00FC2DA7">
              <w:rPr>
                <w:i/>
                <w:iCs/>
                <w:sz w:val="20"/>
              </w:rPr>
              <w:t>i</w:t>
            </w:r>
          </w:p>
        </w:tc>
        <w:tc>
          <w:tcPr>
            <w:tcW w:w="697" w:type="dxa"/>
          </w:tcPr>
          <w:p w14:paraId="529754D6" w14:textId="77777777" w:rsidR="003C2BD5" w:rsidRPr="00FC2DA7" w:rsidRDefault="003C2BD5" w:rsidP="008C2590">
            <w:pPr>
              <w:spacing w:after="60"/>
              <w:rPr>
                <w:iCs/>
                <w:sz w:val="20"/>
              </w:rPr>
            </w:pPr>
            <w:r w:rsidRPr="00FC2DA7">
              <w:rPr>
                <w:iCs/>
                <w:sz w:val="20"/>
              </w:rPr>
              <w:t>none</w:t>
            </w:r>
          </w:p>
        </w:tc>
        <w:tc>
          <w:tcPr>
            <w:tcW w:w="6655" w:type="dxa"/>
          </w:tcPr>
          <w:p w14:paraId="129E707C" w14:textId="77777777" w:rsidR="003C2BD5" w:rsidRPr="00FC2DA7" w:rsidRDefault="003C2BD5" w:rsidP="008C2590">
            <w:pPr>
              <w:spacing w:after="60"/>
              <w:rPr>
                <w:iCs/>
                <w:sz w:val="20"/>
              </w:rPr>
            </w:pPr>
            <w:r w:rsidRPr="00FC2DA7">
              <w:rPr>
                <w:iCs/>
                <w:sz w:val="20"/>
              </w:rPr>
              <w:t xml:space="preserve">A 15-minute Settlement Interval in the Operating Hour.  The summation </w:t>
            </w:r>
            <w:r>
              <w:rPr>
                <w:iCs/>
                <w:sz w:val="20"/>
              </w:rPr>
              <w:t xml:space="preserve">is </w:t>
            </w:r>
            <w:r w:rsidRPr="00FC2DA7">
              <w:rPr>
                <w:iCs/>
                <w:sz w:val="20"/>
              </w:rPr>
              <w:t>over all of the Settlement Intervals of the Operating Hour.</w:t>
            </w:r>
          </w:p>
        </w:tc>
      </w:tr>
    </w:tbl>
    <w:p w14:paraId="4113208D" w14:textId="77777777" w:rsidR="001F04FD" w:rsidRDefault="001F04FD" w:rsidP="001F04FD">
      <w:pPr>
        <w:pStyle w:val="H4"/>
        <w:spacing w:before="480"/>
        <w:ind w:left="1267" w:hanging="1267"/>
      </w:pPr>
      <w:bookmarkStart w:id="1813" w:name="_Toc458770307"/>
      <w:bookmarkStart w:id="1814" w:name="_Toc459294275"/>
      <w:bookmarkStart w:id="1815" w:name="_Toc463262768"/>
      <w:bookmarkStart w:id="1816" w:name="_Toc468286841"/>
      <w:bookmarkStart w:id="1817" w:name="_Toc481502885"/>
      <w:bookmarkStart w:id="1818" w:name="_Toc496080053"/>
      <w:bookmarkStart w:id="1819" w:name="_Toc204411659"/>
      <w:r>
        <w:t>6.6.2.</w:t>
      </w:r>
      <w:r w:rsidR="003C2BD5">
        <w:t>4</w:t>
      </w:r>
      <w:r>
        <w:tab/>
        <w:t>QSE Load Ratio Share for an Operating Hour</w:t>
      </w:r>
      <w:bookmarkEnd w:id="1800"/>
      <w:bookmarkEnd w:id="1801"/>
      <w:bookmarkEnd w:id="1802"/>
      <w:bookmarkEnd w:id="1803"/>
      <w:bookmarkEnd w:id="1804"/>
      <w:bookmarkEnd w:id="1805"/>
      <w:bookmarkEnd w:id="1806"/>
      <w:bookmarkEnd w:id="1807"/>
      <w:bookmarkEnd w:id="1808"/>
      <w:bookmarkEnd w:id="1809"/>
      <w:bookmarkEnd w:id="1813"/>
      <w:bookmarkEnd w:id="1814"/>
      <w:bookmarkEnd w:id="1815"/>
      <w:bookmarkEnd w:id="1816"/>
      <w:bookmarkEnd w:id="1817"/>
      <w:bookmarkEnd w:id="1818"/>
      <w:bookmarkEnd w:id="1819"/>
    </w:p>
    <w:p w14:paraId="15D493F2" w14:textId="77777777" w:rsidR="001F04FD" w:rsidRDefault="001F04FD" w:rsidP="001F04FD">
      <w:pPr>
        <w:pStyle w:val="BodyText"/>
      </w:pPr>
      <w:r>
        <w:t>(1)</w:t>
      </w:r>
      <w:r>
        <w:tab/>
        <w:t>Each QSE’s LRS for an Operating Hour is calculated as follows:</w:t>
      </w:r>
    </w:p>
    <w:p w14:paraId="173C72C6" w14:textId="77777777" w:rsidR="001F04FD" w:rsidRDefault="001F04FD" w:rsidP="001F04FD">
      <w:pPr>
        <w:pStyle w:val="FormulaBold"/>
        <w:rPr>
          <w:lang w:val="sv-SE"/>
        </w:rPr>
      </w:pPr>
      <w:r>
        <w:rPr>
          <w:lang w:val="sv-SE"/>
        </w:rPr>
        <w:t>HLRS</w:t>
      </w:r>
      <w:r>
        <w:rPr>
          <w:i/>
          <w:vertAlign w:val="subscript"/>
          <w:lang w:val="sv-SE"/>
        </w:rPr>
        <w:t xml:space="preserve"> q</w:t>
      </w:r>
      <w:r>
        <w:rPr>
          <w:lang w:val="sv-SE"/>
        </w:rPr>
        <w:tab/>
        <w:t>=</w:t>
      </w:r>
      <w:r>
        <w:rPr>
          <w:lang w:val="sv-SE"/>
        </w:rPr>
        <w:tab/>
        <w:t>(</w:t>
      </w:r>
      <w:r w:rsidR="003C2BD5" w:rsidRPr="00103433">
        <w:rPr>
          <w:bCs w:val="0"/>
        </w:rPr>
        <w:t>max(0,</w:t>
      </w:r>
      <w:r w:rsidRPr="006F784F">
        <w:rPr>
          <w:position w:val="-20"/>
        </w:rPr>
        <w:object w:dxaOrig="255" w:dyaOrig="585" w14:anchorId="0351425E">
          <v:shape id="_x0000_i1101" type="#_x0000_t75" style="width:12pt;height:30pt" o:ole="">
            <v:imagedata r:id="rId104" o:title=""/>
          </v:shape>
          <o:OLEObject Type="Embed" ProgID="Equation.3" ShapeID="_x0000_i1101" DrawAspect="Content" ObjectID="_1815025291" r:id="rId107"/>
        </w:object>
      </w:r>
      <w:r w:rsidRPr="006F784F">
        <w:rPr>
          <w:position w:val="-22"/>
        </w:rPr>
        <w:object w:dxaOrig="225" w:dyaOrig="465" w14:anchorId="5F6BC0DA">
          <v:shape id="_x0000_i1102" type="#_x0000_t75" style="width:12pt;height:18pt" o:ole="">
            <v:imagedata r:id="rId92" o:title=""/>
          </v:shape>
          <o:OLEObject Type="Embed" ProgID="Equation.3" ShapeID="_x0000_i1102" DrawAspect="Content" ObjectID="_1815025292" r:id="rId108"/>
        </w:object>
      </w:r>
      <w:r>
        <w:rPr>
          <w:lang w:val="sv-SE"/>
        </w:rPr>
        <w:t xml:space="preserve">RTAML </w:t>
      </w:r>
      <w:r>
        <w:rPr>
          <w:i/>
          <w:vertAlign w:val="subscript"/>
          <w:lang w:val="sv-SE"/>
        </w:rPr>
        <w:t>q, p, i</w:t>
      </w:r>
      <w:r>
        <w:rPr>
          <w:lang w:val="sv-SE"/>
        </w:rPr>
        <w:t>)</w:t>
      </w:r>
      <w:r w:rsidR="003C2BD5">
        <w:rPr>
          <w:lang w:val="sv-SE"/>
        </w:rPr>
        <w:t>)</w:t>
      </w:r>
      <w:r>
        <w:rPr>
          <w:lang w:val="sv-SE"/>
        </w:rPr>
        <w:t xml:space="preserve"> / (</w:t>
      </w:r>
      <w:r w:rsidR="003C2BD5">
        <w:t>H</w:t>
      </w:r>
      <w:r>
        <w:rPr>
          <w:lang w:val="sv-SE"/>
        </w:rPr>
        <w:t xml:space="preserve">RTAMLTOT)  </w:t>
      </w:r>
    </w:p>
    <w:p w14:paraId="050BD0D4" w14:textId="77777777" w:rsidR="001F04FD" w:rsidRDefault="001F04FD" w:rsidP="001F04FD">
      <w:r>
        <w:t>The above variables are defined as follows:</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61"/>
        <w:gridCol w:w="900"/>
        <w:gridCol w:w="7225"/>
      </w:tblGrid>
      <w:tr w:rsidR="001F04FD" w14:paraId="2E2FDE36" w14:textId="77777777" w:rsidTr="00316CC9">
        <w:trPr>
          <w:cantSplit/>
        </w:trPr>
        <w:tc>
          <w:tcPr>
            <w:tcW w:w="2161" w:type="dxa"/>
          </w:tcPr>
          <w:p w14:paraId="3156FFA7" w14:textId="77777777" w:rsidR="001F04FD" w:rsidRDefault="001F04FD" w:rsidP="00AC4DEE">
            <w:pPr>
              <w:pStyle w:val="TableHead"/>
            </w:pPr>
            <w:r>
              <w:t>Variable</w:t>
            </w:r>
          </w:p>
        </w:tc>
        <w:tc>
          <w:tcPr>
            <w:tcW w:w="900" w:type="dxa"/>
          </w:tcPr>
          <w:p w14:paraId="719A6AB4" w14:textId="77777777" w:rsidR="001F04FD" w:rsidRDefault="001F04FD" w:rsidP="00AC4DEE">
            <w:pPr>
              <w:pStyle w:val="TableHead"/>
            </w:pPr>
            <w:r>
              <w:t>Unit</w:t>
            </w:r>
          </w:p>
        </w:tc>
        <w:tc>
          <w:tcPr>
            <w:tcW w:w="7225" w:type="dxa"/>
          </w:tcPr>
          <w:p w14:paraId="4BFC6EB4" w14:textId="77777777" w:rsidR="001F04FD" w:rsidRDefault="001F04FD" w:rsidP="00AC4DEE">
            <w:pPr>
              <w:pStyle w:val="TableHead"/>
            </w:pPr>
            <w:r>
              <w:t>Description</w:t>
            </w:r>
          </w:p>
        </w:tc>
      </w:tr>
      <w:tr w:rsidR="001F04FD" w14:paraId="1C1CC40F" w14:textId="77777777" w:rsidTr="00316CC9">
        <w:trPr>
          <w:cantSplit/>
        </w:trPr>
        <w:tc>
          <w:tcPr>
            <w:tcW w:w="2161" w:type="dxa"/>
          </w:tcPr>
          <w:p w14:paraId="7D6C89E4" w14:textId="77777777" w:rsidR="001F04FD" w:rsidRDefault="001F04FD" w:rsidP="00AC4DEE">
            <w:pPr>
              <w:pStyle w:val="TableBody"/>
            </w:pPr>
            <w:r>
              <w:t>HLRS</w:t>
            </w:r>
            <w:r>
              <w:rPr>
                <w:i/>
                <w:vertAlign w:val="subscript"/>
              </w:rPr>
              <w:t xml:space="preserve"> q</w:t>
            </w:r>
          </w:p>
        </w:tc>
        <w:tc>
          <w:tcPr>
            <w:tcW w:w="900" w:type="dxa"/>
          </w:tcPr>
          <w:p w14:paraId="47F2EC95" w14:textId="77777777" w:rsidR="001F04FD" w:rsidRDefault="001F04FD" w:rsidP="00AC4DEE">
            <w:pPr>
              <w:pStyle w:val="TableBody"/>
            </w:pPr>
            <w:r>
              <w:t>none</w:t>
            </w:r>
          </w:p>
        </w:tc>
        <w:tc>
          <w:tcPr>
            <w:tcW w:w="7225" w:type="dxa"/>
          </w:tcPr>
          <w:p w14:paraId="4D6AFA9A" w14:textId="77777777" w:rsidR="001F04FD" w:rsidRDefault="001F04FD" w:rsidP="00AC4DEE">
            <w:pPr>
              <w:pStyle w:val="TableBody"/>
              <w:rPr>
                <w:i/>
              </w:rPr>
            </w:pPr>
            <w:r>
              <w:rPr>
                <w:i/>
              </w:rPr>
              <w:t>Hourly Load Ratio Share per QSE</w:t>
            </w:r>
            <w:r>
              <w:t xml:space="preserve">—The LRS as defined in Section 2, Definitions and Acronyms, for QSE </w:t>
            </w:r>
            <w:r>
              <w:rPr>
                <w:i/>
              </w:rPr>
              <w:t>q</w:t>
            </w:r>
            <w:r>
              <w:t>, for the hour.</w:t>
            </w:r>
          </w:p>
        </w:tc>
      </w:tr>
      <w:tr w:rsidR="001F04FD" w14:paraId="5466B4D4" w14:textId="77777777" w:rsidTr="00316CC9">
        <w:trPr>
          <w:cantSplit/>
        </w:trPr>
        <w:tc>
          <w:tcPr>
            <w:tcW w:w="2161" w:type="dxa"/>
          </w:tcPr>
          <w:p w14:paraId="169A2C53" w14:textId="77777777" w:rsidR="001F04FD" w:rsidRDefault="001F04FD" w:rsidP="00AC4DEE">
            <w:pPr>
              <w:pStyle w:val="TableBody"/>
            </w:pPr>
            <w:r>
              <w:t xml:space="preserve">RTAML </w:t>
            </w:r>
            <w:r w:rsidRPr="00107CC2">
              <w:rPr>
                <w:i/>
                <w:vertAlign w:val="subscript"/>
              </w:rPr>
              <w:t>q, p, i</w:t>
            </w:r>
          </w:p>
        </w:tc>
        <w:tc>
          <w:tcPr>
            <w:tcW w:w="900" w:type="dxa"/>
          </w:tcPr>
          <w:p w14:paraId="33A31A76" w14:textId="77777777" w:rsidR="001F04FD" w:rsidRDefault="001F04FD" w:rsidP="00AC4DEE">
            <w:pPr>
              <w:pStyle w:val="TableBody"/>
            </w:pPr>
            <w:r>
              <w:t>MWh</w:t>
            </w:r>
          </w:p>
        </w:tc>
        <w:tc>
          <w:tcPr>
            <w:tcW w:w="7225" w:type="dxa"/>
          </w:tcPr>
          <w:p w14:paraId="133ADE16" w14:textId="77777777" w:rsidR="001F04FD" w:rsidRDefault="001F04FD" w:rsidP="00E91BBF">
            <w:pPr>
              <w:pStyle w:val="TableBody"/>
            </w:pPr>
            <w:r>
              <w:rPr>
                <w:i/>
              </w:rPr>
              <w:t>Real-Time Adjusted Metered Load per Settlement Point per QSE by interval</w:t>
            </w:r>
            <w:r>
              <w:t xml:space="preserve">—The sum of the </w:t>
            </w:r>
            <w:r w:rsidR="00E91BBF">
              <w:t>AML</w:t>
            </w:r>
            <w:r>
              <w:t xml:space="preserve"> at the Electrical Buses that are included in the Settlement Point </w:t>
            </w:r>
            <w:r>
              <w:rPr>
                <w:i/>
              </w:rPr>
              <w:t>p</w:t>
            </w:r>
            <w:r>
              <w:t xml:space="preserve">, represented by QSE </w:t>
            </w:r>
            <w:r>
              <w:rPr>
                <w:i/>
              </w:rPr>
              <w:t>q</w:t>
            </w:r>
            <w:r>
              <w:t xml:space="preserve"> for the 15-minute Settlement Interval </w:t>
            </w:r>
            <w:r>
              <w:rPr>
                <w:i/>
              </w:rPr>
              <w:t>i</w:t>
            </w:r>
            <w:r>
              <w:t>.</w:t>
            </w:r>
          </w:p>
        </w:tc>
      </w:tr>
      <w:tr w:rsidR="001F04FD" w14:paraId="4E813B50" w14:textId="77777777" w:rsidTr="00316CC9">
        <w:trPr>
          <w:cantSplit/>
        </w:trPr>
        <w:tc>
          <w:tcPr>
            <w:tcW w:w="2161" w:type="dxa"/>
          </w:tcPr>
          <w:p w14:paraId="033403C2" w14:textId="77777777" w:rsidR="001F04FD" w:rsidRDefault="003C2BD5" w:rsidP="00AC4DEE">
            <w:pPr>
              <w:pStyle w:val="TableBody"/>
            </w:pPr>
            <w:r>
              <w:t>H</w:t>
            </w:r>
            <w:r w:rsidR="001F04FD">
              <w:t>RTAMLTOT</w:t>
            </w:r>
          </w:p>
        </w:tc>
        <w:tc>
          <w:tcPr>
            <w:tcW w:w="900" w:type="dxa"/>
          </w:tcPr>
          <w:p w14:paraId="7D80DBAD" w14:textId="77777777" w:rsidR="001F04FD" w:rsidRDefault="001F04FD" w:rsidP="00AC4DEE">
            <w:pPr>
              <w:pStyle w:val="TableBody"/>
            </w:pPr>
            <w:r>
              <w:t>MWh</w:t>
            </w:r>
          </w:p>
        </w:tc>
        <w:tc>
          <w:tcPr>
            <w:tcW w:w="7225" w:type="dxa"/>
          </w:tcPr>
          <w:p w14:paraId="53787083" w14:textId="77777777" w:rsidR="001F04FD" w:rsidRDefault="001F04FD" w:rsidP="00E91BBF">
            <w:pPr>
              <w:pStyle w:val="TableBody"/>
            </w:pPr>
            <w:r>
              <w:rPr>
                <w:i/>
              </w:rPr>
              <w:t>Real-Time Adjusted Metered Load Total</w:t>
            </w:r>
            <w:r>
              <w:t xml:space="preserve">—The total </w:t>
            </w:r>
            <w:r w:rsidR="00E91BBF">
              <w:t>AML</w:t>
            </w:r>
            <w:r>
              <w:t xml:space="preserve"> in ERCOT, for the </w:t>
            </w:r>
            <w:r w:rsidR="003C2BD5">
              <w:t>Operating Hour</w:t>
            </w:r>
            <w:r>
              <w:t>.</w:t>
            </w:r>
          </w:p>
        </w:tc>
      </w:tr>
      <w:tr w:rsidR="001F04FD" w14:paraId="22345FBB" w14:textId="77777777" w:rsidTr="00316CC9">
        <w:trPr>
          <w:cantSplit/>
        </w:trPr>
        <w:tc>
          <w:tcPr>
            <w:tcW w:w="2161" w:type="dxa"/>
          </w:tcPr>
          <w:p w14:paraId="4ECD5137" w14:textId="77777777" w:rsidR="001F04FD" w:rsidRPr="00993F9F" w:rsidRDefault="001F04FD" w:rsidP="00AC4DEE">
            <w:pPr>
              <w:pStyle w:val="TableBody"/>
              <w:rPr>
                <w:i/>
              </w:rPr>
            </w:pPr>
            <w:r w:rsidRPr="00A61E91">
              <w:rPr>
                <w:i/>
              </w:rPr>
              <w:t>p</w:t>
            </w:r>
          </w:p>
        </w:tc>
        <w:tc>
          <w:tcPr>
            <w:tcW w:w="900" w:type="dxa"/>
          </w:tcPr>
          <w:p w14:paraId="35B18D10" w14:textId="77777777" w:rsidR="001F04FD" w:rsidRDefault="001F04FD" w:rsidP="00AC4DEE">
            <w:pPr>
              <w:pStyle w:val="TableBody"/>
            </w:pPr>
            <w:r>
              <w:t>none</w:t>
            </w:r>
          </w:p>
        </w:tc>
        <w:tc>
          <w:tcPr>
            <w:tcW w:w="7225" w:type="dxa"/>
          </w:tcPr>
          <w:p w14:paraId="777D6FBB" w14:textId="77777777" w:rsidR="001F04FD" w:rsidRDefault="001F04FD" w:rsidP="00AC4DEE">
            <w:pPr>
              <w:pStyle w:val="TableBody"/>
            </w:pPr>
            <w:r>
              <w:t>A Settlement Point.  The summation is over all of the Settlement Points.</w:t>
            </w:r>
          </w:p>
        </w:tc>
      </w:tr>
      <w:tr w:rsidR="001F04FD" w14:paraId="65648205" w14:textId="77777777" w:rsidTr="00316CC9">
        <w:trPr>
          <w:cantSplit/>
        </w:trPr>
        <w:tc>
          <w:tcPr>
            <w:tcW w:w="2161" w:type="dxa"/>
          </w:tcPr>
          <w:p w14:paraId="4E495A15" w14:textId="77777777" w:rsidR="001F04FD" w:rsidRPr="00993F9F" w:rsidRDefault="001F04FD" w:rsidP="00AC4DEE">
            <w:pPr>
              <w:pStyle w:val="TableBody"/>
              <w:rPr>
                <w:i/>
              </w:rPr>
            </w:pPr>
            <w:r w:rsidRPr="00A61E91">
              <w:rPr>
                <w:i/>
              </w:rPr>
              <w:t>i</w:t>
            </w:r>
          </w:p>
        </w:tc>
        <w:tc>
          <w:tcPr>
            <w:tcW w:w="900" w:type="dxa"/>
          </w:tcPr>
          <w:p w14:paraId="6F11A69A" w14:textId="77777777" w:rsidR="001F04FD" w:rsidRDefault="001F04FD" w:rsidP="00AC4DEE">
            <w:pPr>
              <w:pStyle w:val="TableBody"/>
            </w:pPr>
            <w:r>
              <w:t>none</w:t>
            </w:r>
          </w:p>
        </w:tc>
        <w:tc>
          <w:tcPr>
            <w:tcW w:w="7225" w:type="dxa"/>
          </w:tcPr>
          <w:p w14:paraId="13314D05" w14:textId="77777777" w:rsidR="001F04FD" w:rsidRDefault="001F04FD" w:rsidP="00E91BBF">
            <w:pPr>
              <w:pStyle w:val="TableBody"/>
            </w:pPr>
            <w:r>
              <w:t xml:space="preserve">A 15-minute Settlement Interval in the Operating Hour.  The summation </w:t>
            </w:r>
            <w:r w:rsidR="00E91BBF">
              <w:t xml:space="preserve">is </w:t>
            </w:r>
            <w:r>
              <w:t>over all of the Settlement Intervals of the Operating Hour.</w:t>
            </w:r>
          </w:p>
        </w:tc>
      </w:tr>
    </w:tbl>
    <w:p w14:paraId="71DEAB93" w14:textId="77777777" w:rsidR="00316CC9" w:rsidRDefault="00316CC9"/>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316CC9" w14:paraId="6DC3213A" w14:textId="77777777" w:rsidTr="00316CC9">
        <w:trPr>
          <w:trHeight w:val="206"/>
        </w:trPr>
        <w:tc>
          <w:tcPr>
            <w:tcW w:w="10080" w:type="dxa"/>
            <w:shd w:val="pct12" w:color="auto" w:fill="auto"/>
          </w:tcPr>
          <w:p w14:paraId="24AFC55E" w14:textId="755BA881" w:rsidR="00316CC9" w:rsidRDefault="00316CC9" w:rsidP="00316CC9">
            <w:pPr>
              <w:pStyle w:val="Instructions"/>
              <w:spacing w:before="120"/>
            </w:pPr>
            <w:bookmarkStart w:id="1820" w:name="_Toc109009388"/>
            <w:bookmarkStart w:id="1821" w:name="_Toc397505012"/>
            <w:bookmarkStart w:id="1822" w:name="_Toc402357140"/>
            <w:bookmarkStart w:id="1823" w:name="_Toc422486518"/>
            <w:bookmarkStart w:id="1824" w:name="_Toc433093370"/>
            <w:bookmarkStart w:id="1825" w:name="_Toc433093528"/>
            <w:bookmarkStart w:id="1826" w:name="_Toc440874756"/>
            <w:bookmarkStart w:id="1827" w:name="_Toc448142311"/>
            <w:bookmarkStart w:id="1828" w:name="_Toc448142468"/>
            <w:bookmarkStart w:id="1829" w:name="_Toc458770309"/>
            <w:bookmarkStart w:id="1830" w:name="_Toc459294277"/>
            <w:bookmarkStart w:id="1831" w:name="_Toc463262770"/>
            <w:bookmarkStart w:id="1832" w:name="_Toc468286843"/>
            <w:bookmarkStart w:id="1833" w:name="_Toc481502886"/>
            <w:bookmarkStart w:id="1834" w:name="_Toc496080054"/>
            <w:r>
              <w:t>[NPRR1030:  Insert Section 6.6.2.5 below upon system implementation:]</w:t>
            </w:r>
          </w:p>
          <w:p w14:paraId="054AC84E" w14:textId="77777777" w:rsidR="00694BD2" w:rsidRPr="00FC2DA7" w:rsidRDefault="00694BD2" w:rsidP="00694BD2">
            <w:pPr>
              <w:keepNext/>
              <w:widowControl w:val="0"/>
              <w:tabs>
                <w:tab w:val="left" w:pos="1260"/>
              </w:tabs>
              <w:spacing w:before="480" w:after="240"/>
              <w:outlineLvl w:val="3"/>
              <w:rPr>
                <w:b/>
                <w:bCs/>
                <w:snapToGrid w:val="0"/>
              </w:rPr>
            </w:pPr>
            <w:bookmarkStart w:id="1835" w:name="_Toc204411660"/>
            <w:r>
              <w:rPr>
                <w:b/>
                <w:bCs/>
                <w:snapToGrid w:val="0"/>
              </w:rPr>
              <w:lastRenderedPageBreak/>
              <w:t>6.6.2.5</w:t>
            </w:r>
            <w:r w:rsidRPr="00FC2DA7">
              <w:rPr>
                <w:b/>
                <w:bCs/>
                <w:snapToGrid w:val="0"/>
              </w:rPr>
              <w:tab/>
              <w:t>ERCOT Total Adjusted Metered Load</w:t>
            </w:r>
            <w:r>
              <w:rPr>
                <w:b/>
                <w:bCs/>
                <w:snapToGrid w:val="0"/>
              </w:rPr>
              <w:t xml:space="preserve"> </w:t>
            </w:r>
            <w:r w:rsidRPr="00FC2DA7">
              <w:rPr>
                <w:b/>
                <w:bCs/>
                <w:snapToGrid w:val="0"/>
              </w:rPr>
              <w:t xml:space="preserve">for </w:t>
            </w:r>
            <w:r>
              <w:rPr>
                <w:b/>
                <w:bCs/>
                <w:snapToGrid w:val="0"/>
              </w:rPr>
              <w:t>a Month</w:t>
            </w:r>
            <w:bookmarkEnd w:id="1835"/>
          </w:p>
          <w:p w14:paraId="20F311A9" w14:textId="77777777" w:rsidR="00694BD2" w:rsidRPr="00FC2DA7" w:rsidRDefault="00694BD2" w:rsidP="00694BD2">
            <w:pPr>
              <w:spacing w:after="240"/>
              <w:ind w:left="720" w:hanging="720"/>
              <w:rPr>
                <w:iCs/>
              </w:rPr>
            </w:pPr>
            <w:r>
              <w:rPr>
                <w:iCs/>
              </w:rPr>
              <w:t>(1)</w:t>
            </w:r>
            <w:r>
              <w:rPr>
                <w:iCs/>
              </w:rPr>
              <w:tab/>
            </w:r>
            <w:r w:rsidRPr="00FC2DA7">
              <w:rPr>
                <w:iCs/>
              </w:rPr>
              <w:t>ERCOT total AML for a</w:t>
            </w:r>
            <w:r>
              <w:rPr>
                <w:iCs/>
              </w:rPr>
              <w:t xml:space="preserve"> calendar month </w:t>
            </w:r>
            <w:r w:rsidRPr="00FC2DA7">
              <w:rPr>
                <w:iCs/>
              </w:rPr>
              <w:t>is calculated as follows:</w:t>
            </w:r>
          </w:p>
          <w:p w14:paraId="27F93226" w14:textId="77777777" w:rsidR="00694BD2" w:rsidRPr="00FC2DA7" w:rsidRDefault="00694BD2" w:rsidP="00694BD2">
            <w:pPr>
              <w:tabs>
                <w:tab w:val="left" w:pos="2250"/>
                <w:tab w:val="left" w:pos="3150"/>
                <w:tab w:val="left" w:pos="3960"/>
              </w:tabs>
              <w:spacing w:after="240"/>
              <w:ind w:left="3960" w:hanging="3240"/>
              <w:rPr>
                <w:b/>
                <w:bCs/>
              </w:rPr>
            </w:pPr>
            <w:r>
              <w:rPr>
                <w:b/>
                <w:bCs/>
              </w:rPr>
              <w:t>M</w:t>
            </w:r>
            <w:r w:rsidRPr="00FC2DA7">
              <w:rPr>
                <w:b/>
                <w:bCs/>
              </w:rPr>
              <w:t>RTAMLTOT</w:t>
            </w:r>
            <w:r w:rsidRPr="00FC2DA7">
              <w:rPr>
                <w:b/>
                <w:bCs/>
              </w:rPr>
              <w:tab/>
              <w:t>=</w:t>
            </w:r>
            <w:r w:rsidRPr="00FC2DA7">
              <w:rPr>
                <w:b/>
                <w:bCs/>
              </w:rPr>
              <w:tab/>
            </w:r>
            <w:r w:rsidRPr="00FC2DA7">
              <w:rPr>
                <w:b/>
                <w:bCs/>
                <w:position w:val="-22"/>
              </w:rPr>
              <w:object w:dxaOrig="225" w:dyaOrig="465" w14:anchorId="7AF000B6">
                <v:shape id="_x0000_i1103" type="#_x0000_t75" style="width:12pt;height:18pt" o:ole="">
                  <v:imagedata r:id="rId96" o:title=""/>
                </v:shape>
                <o:OLEObject Type="Embed" ProgID="Equation.3" ShapeID="_x0000_i1103" DrawAspect="Content" ObjectID="_1815025293" r:id="rId109"/>
              </w:object>
            </w:r>
            <w:r>
              <w:rPr>
                <w:b/>
                <w:bCs/>
              </w:rPr>
              <w:t>(max(0,</w:t>
            </w:r>
            <w:r w:rsidRPr="002F4893">
              <w:rPr>
                <w:b/>
                <w:bCs/>
                <w:sz w:val="12"/>
                <w:szCs w:val="12"/>
              </w:rPr>
              <w:t xml:space="preserve"> </w:t>
            </w:r>
            <w:r w:rsidRPr="00F80C33">
              <w:rPr>
                <w:position w:val="-20"/>
              </w:rPr>
              <w:object w:dxaOrig="220" w:dyaOrig="440" w14:anchorId="64585321">
                <v:shape id="_x0000_i1104" type="#_x0000_t75" style="width:5.4pt;height:24pt" o:ole="">
                  <v:imagedata r:id="rId110" o:title=""/>
                </v:shape>
                <o:OLEObject Type="Embed" ProgID="Equation.3" ShapeID="_x0000_i1104" DrawAspect="Content" ObjectID="_1815025294" r:id="rId111"/>
              </w:object>
            </w:r>
            <w:r w:rsidRPr="00FC2DA7">
              <w:rPr>
                <w:b/>
                <w:bCs/>
                <w:position w:val="-22"/>
              </w:rPr>
              <w:object w:dxaOrig="225" w:dyaOrig="465" w14:anchorId="2B7A137F">
                <v:shape id="_x0000_i1105" type="#_x0000_t75" style="width:12pt;height:18pt" o:ole="">
                  <v:imagedata r:id="rId98" o:title=""/>
                </v:shape>
                <o:OLEObject Type="Embed" ProgID="Equation.3" ShapeID="_x0000_i1105" DrawAspect="Content" ObjectID="_1815025295" r:id="rId112"/>
              </w:object>
            </w:r>
            <w:r w:rsidRPr="00FC2DA7">
              <w:rPr>
                <w:b/>
                <w:bCs/>
              </w:rPr>
              <w:t xml:space="preserve">RTAML </w:t>
            </w:r>
            <w:r w:rsidRPr="00FC2DA7">
              <w:rPr>
                <w:b/>
                <w:bCs/>
                <w:i/>
                <w:vertAlign w:val="subscript"/>
              </w:rPr>
              <w:t>q, p</w:t>
            </w:r>
            <w:r>
              <w:rPr>
                <w:b/>
                <w:bCs/>
                <w:i/>
                <w:vertAlign w:val="subscript"/>
              </w:rPr>
              <w:t>,i</w:t>
            </w:r>
            <w:r w:rsidRPr="00FC2DA7">
              <w:rPr>
                <w:b/>
                <w:bCs/>
              </w:rPr>
              <w:t>))</w:t>
            </w:r>
          </w:p>
          <w:p w14:paraId="1E05A6A9" w14:textId="77777777" w:rsidR="00694BD2" w:rsidRPr="00FC2DA7" w:rsidRDefault="00694BD2" w:rsidP="00694BD2">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03"/>
              <w:gridCol w:w="697"/>
              <w:gridCol w:w="6655"/>
            </w:tblGrid>
            <w:tr w:rsidR="00694BD2" w:rsidRPr="00FC2DA7" w14:paraId="22EEC2FE" w14:textId="77777777" w:rsidTr="00663874">
              <w:tc>
                <w:tcPr>
                  <w:tcW w:w="2003" w:type="dxa"/>
                </w:tcPr>
                <w:p w14:paraId="4EC06680" w14:textId="77777777" w:rsidR="00694BD2" w:rsidRPr="00FC2DA7" w:rsidRDefault="00694BD2" w:rsidP="00694BD2">
                  <w:pPr>
                    <w:spacing w:after="120"/>
                    <w:rPr>
                      <w:b/>
                      <w:iCs/>
                      <w:sz w:val="20"/>
                    </w:rPr>
                  </w:pPr>
                  <w:r w:rsidRPr="00FC2DA7">
                    <w:rPr>
                      <w:b/>
                      <w:iCs/>
                      <w:sz w:val="20"/>
                    </w:rPr>
                    <w:t>Variable</w:t>
                  </w:r>
                </w:p>
              </w:tc>
              <w:tc>
                <w:tcPr>
                  <w:tcW w:w="697" w:type="dxa"/>
                </w:tcPr>
                <w:p w14:paraId="46292A58" w14:textId="77777777" w:rsidR="00694BD2" w:rsidRPr="00FC2DA7" w:rsidRDefault="00694BD2" w:rsidP="00694BD2">
                  <w:pPr>
                    <w:spacing w:after="120"/>
                    <w:rPr>
                      <w:b/>
                      <w:iCs/>
                      <w:sz w:val="20"/>
                    </w:rPr>
                  </w:pPr>
                  <w:r w:rsidRPr="00FC2DA7">
                    <w:rPr>
                      <w:b/>
                      <w:iCs/>
                      <w:sz w:val="20"/>
                    </w:rPr>
                    <w:t>Unit</w:t>
                  </w:r>
                </w:p>
              </w:tc>
              <w:tc>
                <w:tcPr>
                  <w:tcW w:w="6655" w:type="dxa"/>
                </w:tcPr>
                <w:p w14:paraId="344A56C0" w14:textId="77777777" w:rsidR="00694BD2" w:rsidRPr="00FC2DA7" w:rsidRDefault="00694BD2" w:rsidP="00694BD2">
                  <w:pPr>
                    <w:spacing w:after="120"/>
                    <w:rPr>
                      <w:b/>
                      <w:iCs/>
                      <w:sz w:val="20"/>
                    </w:rPr>
                  </w:pPr>
                  <w:r w:rsidRPr="00FC2DA7">
                    <w:rPr>
                      <w:b/>
                      <w:iCs/>
                      <w:sz w:val="20"/>
                    </w:rPr>
                    <w:t>Description</w:t>
                  </w:r>
                </w:p>
              </w:tc>
            </w:tr>
            <w:tr w:rsidR="00694BD2" w:rsidRPr="00FC2DA7" w14:paraId="35D4500F" w14:textId="77777777" w:rsidTr="00663874">
              <w:tc>
                <w:tcPr>
                  <w:tcW w:w="2003" w:type="dxa"/>
                </w:tcPr>
                <w:p w14:paraId="3CBB4970" w14:textId="77777777" w:rsidR="00694BD2" w:rsidRPr="00FC2DA7" w:rsidRDefault="00694BD2" w:rsidP="00694BD2">
                  <w:pPr>
                    <w:spacing w:after="60"/>
                    <w:rPr>
                      <w:iCs/>
                      <w:sz w:val="20"/>
                    </w:rPr>
                  </w:pPr>
                  <w:r>
                    <w:rPr>
                      <w:iCs/>
                      <w:sz w:val="20"/>
                    </w:rPr>
                    <w:t>M</w:t>
                  </w:r>
                  <w:r w:rsidRPr="00FC2DA7">
                    <w:rPr>
                      <w:iCs/>
                      <w:sz w:val="20"/>
                    </w:rPr>
                    <w:t>RTAMLTOT</w:t>
                  </w:r>
                </w:p>
              </w:tc>
              <w:tc>
                <w:tcPr>
                  <w:tcW w:w="697" w:type="dxa"/>
                </w:tcPr>
                <w:p w14:paraId="77FD2C3E" w14:textId="77777777" w:rsidR="00694BD2" w:rsidRPr="00FC2DA7" w:rsidRDefault="00694BD2" w:rsidP="00694BD2">
                  <w:pPr>
                    <w:spacing w:after="60"/>
                    <w:rPr>
                      <w:i/>
                      <w:iCs/>
                      <w:sz w:val="20"/>
                    </w:rPr>
                  </w:pPr>
                  <w:r w:rsidRPr="00FC2DA7">
                    <w:rPr>
                      <w:iCs/>
                      <w:sz w:val="20"/>
                    </w:rPr>
                    <w:t>MWh</w:t>
                  </w:r>
                </w:p>
              </w:tc>
              <w:tc>
                <w:tcPr>
                  <w:tcW w:w="6655" w:type="dxa"/>
                </w:tcPr>
                <w:p w14:paraId="46974F91" w14:textId="77777777" w:rsidR="00694BD2" w:rsidRPr="00FC2DA7" w:rsidRDefault="00694BD2" w:rsidP="00694BD2">
                  <w:pPr>
                    <w:spacing w:after="60"/>
                    <w:rPr>
                      <w:iCs/>
                      <w:sz w:val="20"/>
                    </w:rPr>
                  </w:pPr>
                  <w:r>
                    <w:rPr>
                      <w:i/>
                      <w:iCs/>
                      <w:sz w:val="20"/>
                    </w:rPr>
                    <w:t xml:space="preserve">Monthly </w:t>
                  </w:r>
                  <w:r w:rsidRPr="00FC2DA7">
                    <w:rPr>
                      <w:i/>
                      <w:iCs/>
                      <w:sz w:val="20"/>
                    </w:rPr>
                    <w:t>Real-Time Adjusted Metered Load Total</w:t>
                  </w:r>
                  <w:r w:rsidRPr="00FC2DA7">
                    <w:rPr>
                      <w:iCs/>
                      <w:sz w:val="20"/>
                    </w:rPr>
                    <w:t xml:space="preserve">—The total </w:t>
                  </w:r>
                  <w:r>
                    <w:rPr>
                      <w:iCs/>
                      <w:sz w:val="20"/>
                    </w:rPr>
                    <w:t>AML</w:t>
                  </w:r>
                  <w:r w:rsidRPr="00FC2DA7">
                    <w:rPr>
                      <w:iCs/>
                      <w:sz w:val="20"/>
                    </w:rPr>
                    <w:t xml:space="preserve"> in ERCOT, for th</w:t>
                  </w:r>
                  <w:r>
                    <w:rPr>
                      <w:iCs/>
                      <w:sz w:val="20"/>
                    </w:rPr>
                    <w:t>e calendar month.</w:t>
                  </w:r>
                </w:p>
              </w:tc>
            </w:tr>
            <w:tr w:rsidR="00694BD2" w:rsidRPr="00FC2DA7" w14:paraId="0188B588" w14:textId="77777777" w:rsidTr="00663874">
              <w:tc>
                <w:tcPr>
                  <w:tcW w:w="2003" w:type="dxa"/>
                </w:tcPr>
                <w:p w14:paraId="2D1015E2" w14:textId="77777777" w:rsidR="00694BD2" w:rsidRPr="00FC2DA7" w:rsidRDefault="00694BD2" w:rsidP="00694BD2">
                  <w:pPr>
                    <w:spacing w:after="60"/>
                    <w:rPr>
                      <w:iCs/>
                      <w:sz w:val="20"/>
                    </w:rPr>
                  </w:pPr>
                  <w:r w:rsidRPr="00FC2DA7">
                    <w:rPr>
                      <w:iCs/>
                      <w:sz w:val="20"/>
                    </w:rPr>
                    <w:t xml:space="preserve">RTAML </w:t>
                  </w:r>
                  <w:r w:rsidRPr="00FC2DA7">
                    <w:rPr>
                      <w:i/>
                      <w:iCs/>
                      <w:sz w:val="20"/>
                      <w:vertAlign w:val="subscript"/>
                    </w:rPr>
                    <w:t>q, p</w:t>
                  </w:r>
                  <w:r>
                    <w:rPr>
                      <w:i/>
                      <w:iCs/>
                      <w:sz w:val="20"/>
                      <w:vertAlign w:val="subscript"/>
                    </w:rPr>
                    <w:t>,i</w:t>
                  </w:r>
                </w:p>
              </w:tc>
              <w:tc>
                <w:tcPr>
                  <w:tcW w:w="697" w:type="dxa"/>
                </w:tcPr>
                <w:p w14:paraId="5D244F0C" w14:textId="77777777" w:rsidR="00694BD2" w:rsidRPr="00FC2DA7" w:rsidRDefault="00694BD2" w:rsidP="00694BD2">
                  <w:pPr>
                    <w:spacing w:after="60"/>
                    <w:rPr>
                      <w:iCs/>
                      <w:sz w:val="20"/>
                    </w:rPr>
                  </w:pPr>
                  <w:r w:rsidRPr="00FC2DA7">
                    <w:rPr>
                      <w:iCs/>
                      <w:sz w:val="20"/>
                    </w:rPr>
                    <w:t>MWh</w:t>
                  </w:r>
                </w:p>
              </w:tc>
              <w:tc>
                <w:tcPr>
                  <w:tcW w:w="6655" w:type="dxa"/>
                </w:tcPr>
                <w:p w14:paraId="54F9784B" w14:textId="77777777" w:rsidR="00694BD2" w:rsidRPr="00FC2DA7" w:rsidRDefault="00694BD2" w:rsidP="00694BD2">
                  <w:pPr>
                    <w:spacing w:after="60"/>
                    <w:rPr>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for the</w:t>
                  </w:r>
                  <w:r>
                    <w:rPr>
                      <w:iCs/>
                      <w:sz w:val="20"/>
                    </w:rPr>
                    <w:t xml:space="preserve"> 15-minute Settlement Interval </w:t>
                  </w:r>
                  <w:r>
                    <w:rPr>
                      <w:i/>
                      <w:iCs/>
                      <w:sz w:val="20"/>
                    </w:rPr>
                    <w:t>i</w:t>
                  </w:r>
                  <w:r w:rsidRPr="00FC2DA7">
                    <w:rPr>
                      <w:iCs/>
                      <w:sz w:val="20"/>
                    </w:rPr>
                    <w:t>.</w:t>
                  </w:r>
                </w:p>
              </w:tc>
            </w:tr>
            <w:tr w:rsidR="00694BD2" w:rsidRPr="00FC2DA7" w14:paraId="18E2FF59" w14:textId="77777777" w:rsidTr="00663874">
              <w:tc>
                <w:tcPr>
                  <w:tcW w:w="2003" w:type="dxa"/>
                </w:tcPr>
                <w:p w14:paraId="74A8E58A" w14:textId="77777777" w:rsidR="00694BD2" w:rsidRPr="00FC2DA7" w:rsidRDefault="00694BD2" w:rsidP="00694BD2">
                  <w:pPr>
                    <w:spacing w:after="60"/>
                    <w:rPr>
                      <w:i/>
                      <w:iCs/>
                      <w:sz w:val="20"/>
                    </w:rPr>
                  </w:pPr>
                  <w:r w:rsidRPr="00FC2DA7">
                    <w:rPr>
                      <w:i/>
                      <w:iCs/>
                      <w:sz w:val="20"/>
                    </w:rPr>
                    <w:t>q</w:t>
                  </w:r>
                </w:p>
              </w:tc>
              <w:tc>
                <w:tcPr>
                  <w:tcW w:w="697" w:type="dxa"/>
                </w:tcPr>
                <w:p w14:paraId="0E7AD5C0" w14:textId="77777777" w:rsidR="00694BD2" w:rsidRPr="00FC2DA7" w:rsidRDefault="00694BD2" w:rsidP="00694BD2">
                  <w:pPr>
                    <w:spacing w:after="60"/>
                    <w:rPr>
                      <w:iCs/>
                      <w:sz w:val="20"/>
                    </w:rPr>
                  </w:pPr>
                  <w:r w:rsidRPr="00FC2DA7">
                    <w:rPr>
                      <w:iCs/>
                      <w:sz w:val="20"/>
                    </w:rPr>
                    <w:t>none</w:t>
                  </w:r>
                </w:p>
              </w:tc>
              <w:tc>
                <w:tcPr>
                  <w:tcW w:w="6655" w:type="dxa"/>
                </w:tcPr>
                <w:p w14:paraId="1966D416" w14:textId="77777777" w:rsidR="00694BD2" w:rsidRPr="00FC2DA7" w:rsidRDefault="00694BD2" w:rsidP="00694BD2">
                  <w:pPr>
                    <w:spacing w:after="60"/>
                    <w:rPr>
                      <w:iCs/>
                      <w:sz w:val="20"/>
                    </w:rPr>
                  </w:pPr>
                  <w:r w:rsidRPr="00FC2DA7">
                    <w:rPr>
                      <w:iCs/>
                      <w:sz w:val="20"/>
                    </w:rPr>
                    <w:t xml:space="preserve">A QSE.  </w:t>
                  </w:r>
                </w:p>
              </w:tc>
            </w:tr>
            <w:tr w:rsidR="00694BD2" w:rsidRPr="00FC2DA7" w14:paraId="4681265F" w14:textId="77777777" w:rsidTr="00663874">
              <w:tc>
                <w:tcPr>
                  <w:tcW w:w="2003" w:type="dxa"/>
                </w:tcPr>
                <w:p w14:paraId="576ACB61" w14:textId="77777777" w:rsidR="00694BD2" w:rsidRPr="00FC2DA7" w:rsidRDefault="00694BD2" w:rsidP="00694BD2">
                  <w:pPr>
                    <w:spacing w:after="60"/>
                    <w:rPr>
                      <w:i/>
                      <w:iCs/>
                      <w:sz w:val="20"/>
                    </w:rPr>
                  </w:pPr>
                  <w:r w:rsidRPr="00FC2DA7">
                    <w:rPr>
                      <w:i/>
                      <w:iCs/>
                      <w:sz w:val="20"/>
                    </w:rPr>
                    <w:t>p</w:t>
                  </w:r>
                </w:p>
              </w:tc>
              <w:tc>
                <w:tcPr>
                  <w:tcW w:w="697" w:type="dxa"/>
                </w:tcPr>
                <w:p w14:paraId="37091E1B" w14:textId="77777777" w:rsidR="00694BD2" w:rsidRPr="00FC2DA7" w:rsidRDefault="00694BD2" w:rsidP="00694BD2">
                  <w:pPr>
                    <w:spacing w:after="60"/>
                    <w:rPr>
                      <w:iCs/>
                      <w:sz w:val="20"/>
                    </w:rPr>
                  </w:pPr>
                  <w:r w:rsidRPr="00FC2DA7">
                    <w:rPr>
                      <w:iCs/>
                      <w:sz w:val="20"/>
                    </w:rPr>
                    <w:t>none</w:t>
                  </w:r>
                </w:p>
              </w:tc>
              <w:tc>
                <w:tcPr>
                  <w:tcW w:w="6655" w:type="dxa"/>
                </w:tcPr>
                <w:p w14:paraId="73D4D1CA" w14:textId="77777777" w:rsidR="00694BD2" w:rsidRPr="00FC2DA7" w:rsidRDefault="00694BD2" w:rsidP="00694BD2">
                  <w:pPr>
                    <w:spacing w:after="60"/>
                    <w:rPr>
                      <w:iCs/>
                      <w:sz w:val="20"/>
                    </w:rPr>
                  </w:pPr>
                  <w:r w:rsidRPr="00FC2DA7">
                    <w:rPr>
                      <w:iCs/>
                      <w:sz w:val="20"/>
                    </w:rPr>
                    <w:t xml:space="preserve">A Settlement Point.  </w:t>
                  </w:r>
                </w:p>
              </w:tc>
            </w:tr>
            <w:tr w:rsidR="00694BD2" w:rsidRPr="00FC2DA7" w14:paraId="207FD404" w14:textId="77777777" w:rsidTr="00663874">
              <w:trPr>
                <w:cantSplit/>
              </w:trPr>
              <w:tc>
                <w:tcPr>
                  <w:tcW w:w="2003" w:type="dxa"/>
                </w:tcPr>
                <w:p w14:paraId="63A9EB3E" w14:textId="77777777" w:rsidR="00694BD2" w:rsidRPr="001D568D" w:rsidRDefault="00694BD2" w:rsidP="00694BD2">
                  <w:pPr>
                    <w:spacing w:after="60"/>
                    <w:rPr>
                      <w:i/>
                      <w:iCs/>
                      <w:sz w:val="20"/>
                    </w:rPr>
                  </w:pPr>
                  <w:r w:rsidRPr="00A77BD2">
                    <w:rPr>
                      <w:i/>
                      <w:sz w:val="20"/>
                    </w:rPr>
                    <w:t>i</w:t>
                  </w:r>
                </w:p>
              </w:tc>
              <w:tc>
                <w:tcPr>
                  <w:tcW w:w="697" w:type="dxa"/>
                </w:tcPr>
                <w:p w14:paraId="08B29679" w14:textId="77777777" w:rsidR="00694BD2" w:rsidRPr="001D568D" w:rsidRDefault="00694BD2" w:rsidP="00694BD2">
                  <w:pPr>
                    <w:spacing w:after="60"/>
                    <w:rPr>
                      <w:iCs/>
                      <w:sz w:val="20"/>
                    </w:rPr>
                  </w:pPr>
                  <w:r w:rsidRPr="00A77BD2">
                    <w:rPr>
                      <w:sz w:val="20"/>
                    </w:rPr>
                    <w:t>none</w:t>
                  </w:r>
                </w:p>
              </w:tc>
              <w:tc>
                <w:tcPr>
                  <w:tcW w:w="6655" w:type="dxa"/>
                </w:tcPr>
                <w:p w14:paraId="4643577B" w14:textId="77777777" w:rsidR="00694BD2" w:rsidRPr="001D568D" w:rsidRDefault="00694BD2" w:rsidP="00694BD2">
                  <w:pPr>
                    <w:spacing w:after="60"/>
                    <w:rPr>
                      <w:iCs/>
                      <w:sz w:val="20"/>
                    </w:rPr>
                  </w:pPr>
                  <w:r w:rsidRPr="00A77BD2">
                    <w:rPr>
                      <w:sz w:val="20"/>
                    </w:rPr>
                    <w:t>A 15-minute Settlement Interval</w:t>
                  </w:r>
                  <w:r w:rsidRPr="001D568D">
                    <w:rPr>
                      <w:sz w:val="20"/>
                    </w:rPr>
                    <w:t xml:space="preserve">. </w:t>
                  </w:r>
                </w:p>
              </w:tc>
            </w:tr>
          </w:tbl>
          <w:p w14:paraId="6F9978FB" w14:textId="77777777" w:rsidR="00316CC9" w:rsidRPr="008F39F7" w:rsidRDefault="00316CC9" w:rsidP="00316CC9">
            <w:pPr>
              <w:pStyle w:val="BodyTextNumbered"/>
            </w:pPr>
          </w:p>
        </w:tc>
      </w:tr>
    </w:tbl>
    <w:p w14:paraId="5725B48A" w14:textId="77777777" w:rsidR="006930B7" w:rsidRDefault="006930B7"/>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6930B7" w14:paraId="304DB027" w14:textId="77777777" w:rsidTr="00082248">
        <w:trPr>
          <w:trHeight w:val="206"/>
        </w:trPr>
        <w:tc>
          <w:tcPr>
            <w:tcW w:w="10080" w:type="dxa"/>
            <w:tcBorders>
              <w:top w:val="single" w:sz="4" w:space="0" w:color="auto"/>
              <w:left w:val="single" w:sz="4" w:space="0" w:color="auto"/>
              <w:bottom w:val="single" w:sz="4" w:space="0" w:color="auto"/>
              <w:right w:val="single" w:sz="4" w:space="0" w:color="auto"/>
            </w:tcBorders>
            <w:shd w:val="pct12" w:color="auto" w:fill="auto"/>
          </w:tcPr>
          <w:p w14:paraId="4343D4D5" w14:textId="48581945" w:rsidR="006930B7" w:rsidRDefault="006930B7" w:rsidP="00663874">
            <w:pPr>
              <w:pStyle w:val="Instructions"/>
              <w:spacing w:before="120"/>
            </w:pPr>
            <w:r>
              <w:t>[NPRR1030</w:t>
            </w:r>
            <w:r w:rsidR="001335E7">
              <w:t xml:space="preserve"> </w:t>
            </w:r>
            <w:r>
              <w:t>:  Insert</w:t>
            </w:r>
            <w:r w:rsidR="001335E7">
              <w:t xml:space="preserve"> </w:t>
            </w:r>
            <w:r>
              <w:t>Section 6.6.2.6 below upon system implementation:]</w:t>
            </w:r>
          </w:p>
          <w:p w14:paraId="440A81C3" w14:textId="77777777" w:rsidR="00694BD2" w:rsidRDefault="00694BD2" w:rsidP="00694BD2">
            <w:pPr>
              <w:pStyle w:val="H4"/>
              <w:spacing w:before="480"/>
              <w:ind w:left="1267" w:hanging="1267"/>
            </w:pPr>
            <w:bookmarkStart w:id="1836" w:name="_Toc204411661"/>
            <w:r>
              <w:t>6.6.2.6</w:t>
            </w:r>
            <w:r>
              <w:tab/>
              <w:t>QSE DC Tie Export Load Ratio Share for a Month</w:t>
            </w:r>
            <w:bookmarkEnd w:id="1836"/>
          </w:p>
          <w:p w14:paraId="6220F526" w14:textId="77777777" w:rsidR="00694BD2" w:rsidRDefault="00694BD2" w:rsidP="00694BD2">
            <w:pPr>
              <w:pStyle w:val="BodyText"/>
            </w:pPr>
            <w:r>
              <w:t>(1)</w:t>
            </w:r>
            <w:r>
              <w:tab/>
              <w:t>Each QSE’s DC Tie Export DCMLRS for a calendar month is calculated as follows:</w:t>
            </w:r>
          </w:p>
          <w:p w14:paraId="25698E72" w14:textId="0B598038" w:rsidR="00694BD2" w:rsidRDefault="00694BD2" w:rsidP="00694BD2">
            <w:pPr>
              <w:pStyle w:val="FormulaBold"/>
              <w:rPr>
                <w:lang w:val="sv-SE"/>
              </w:rPr>
            </w:pPr>
            <w:r>
              <w:rPr>
                <w:lang w:val="sv-SE"/>
              </w:rPr>
              <w:t>DCMLRS</w:t>
            </w:r>
            <w:r>
              <w:rPr>
                <w:i/>
                <w:vertAlign w:val="subscript"/>
                <w:lang w:val="sv-SE"/>
              </w:rPr>
              <w:t xml:space="preserve"> q  </w:t>
            </w:r>
            <w:r>
              <w:rPr>
                <w:lang w:val="sv-SE"/>
              </w:rPr>
              <w:t xml:space="preserve">=  </w:t>
            </w:r>
            <w:r w:rsidRPr="00103433">
              <w:t>max(0,</w:t>
            </w:r>
            <w:r w:rsidRPr="00DC298E">
              <w:rPr>
                <w:noProof/>
                <w:position w:val="-28"/>
                <w:sz w:val="4"/>
                <w:szCs w:val="4"/>
              </w:rPr>
              <w:t xml:space="preserve"> </w:t>
            </w:r>
            <w:r>
              <w:rPr>
                <w:noProof/>
                <w:position w:val="-28"/>
                <w:sz w:val="4"/>
                <w:szCs w:val="4"/>
              </w:rPr>
              <w:t xml:space="preserve">  </w:t>
            </w:r>
            <w:r w:rsidRPr="00F80C33">
              <w:rPr>
                <w:position w:val="-20"/>
              </w:rPr>
              <w:object w:dxaOrig="220" w:dyaOrig="440" w14:anchorId="61FA0098">
                <v:shape id="_x0000_i1106" type="#_x0000_t75" style="width:5.4pt;height:24pt" o:ole="">
                  <v:imagedata r:id="rId110" o:title=""/>
                </v:shape>
                <o:OLEObject Type="Embed" ProgID="Equation.3" ShapeID="_x0000_i1106" DrawAspect="Content" ObjectID="_1815025296" r:id="rId113"/>
              </w:object>
            </w:r>
            <w:r w:rsidRPr="006F784F">
              <w:rPr>
                <w:position w:val="-22"/>
              </w:rPr>
              <w:object w:dxaOrig="225" w:dyaOrig="465" w14:anchorId="4EF5BAC2">
                <v:shape id="_x0000_i1107" type="#_x0000_t75" style="width:12pt;height:18pt" o:ole="">
                  <v:imagedata r:id="rId98" o:title=""/>
                </v:shape>
                <o:OLEObject Type="Embed" ProgID="Equation.3" ShapeID="_x0000_i1107" DrawAspect="Content" ObjectID="_1815025297" r:id="rId114"/>
              </w:object>
            </w:r>
            <w:r>
              <w:t>RTAMLDC</w:t>
            </w:r>
            <w:r>
              <w:rPr>
                <w:lang w:val="sv-SE"/>
              </w:rPr>
              <w:t xml:space="preserve"> </w:t>
            </w:r>
            <w:r>
              <w:rPr>
                <w:i/>
                <w:vertAlign w:val="subscript"/>
                <w:lang w:val="sv-SE"/>
              </w:rPr>
              <w:t>q,</w:t>
            </w:r>
            <w:r w:rsidR="007F053D">
              <w:rPr>
                <w:i/>
                <w:vertAlign w:val="subscript"/>
                <w:lang w:val="sv-SE"/>
              </w:rPr>
              <w:t xml:space="preserve"> </w:t>
            </w:r>
            <w:r>
              <w:rPr>
                <w:i/>
                <w:vertAlign w:val="subscript"/>
                <w:lang w:val="sv-SE"/>
              </w:rPr>
              <w:t>p,</w:t>
            </w:r>
            <w:r w:rsidR="007F053D">
              <w:rPr>
                <w:i/>
                <w:vertAlign w:val="subscript"/>
                <w:lang w:val="sv-SE"/>
              </w:rPr>
              <w:t xml:space="preserve"> </w:t>
            </w:r>
            <w:r>
              <w:rPr>
                <w:i/>
                <w:vertAlign w:val="subscript"/>
                <w:lang w:val="sv-SE"/>
              </w:rPr>
              <w:t>i</w:t>
            </w:r>
            <w:r>
              <w:rPr>
                <w:lang w:val="sv-SE"/>
              </w:rPr>
              <w:t xml:space="preserve"> ) / </w:t>
            </w:r>
            <w:r>
              <w:t>M</w:t>
            </w:r>
            <w:r>
              <w:rPr>
                <w:lang w:val="sv-SE"/>
              </w:rPr>
              <w:t xml:space="preserve">RTAMLTOT  </w:t>
            </w:r>
          </w:p>
          <w:p w14:paraId="5D8A6482" w14:textId="77777777" w:rsidR="00694BD2" w:rsidRDefault="00694BD2" w:rsidP="00694BD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66"/>
              <w:gridCol w:w="860"/>
              <w:gridCol w:w="6914"/>
            </w:tblGrid>
            <w:tr w:rsidR="00694BD2" w14:paraId="08DAA962" w14:textId="77777777" w:rsidTr="00082248">
              <w:trPr>
                <w:cantSplit/>
              </w:trPr>
              <w:tc>
                <w:tcPr>
                  <w:tcW w:w="1050" w:type="pct"/>
                </w:tcPr>
                <w:p w14:paraId="0D0983A3" w14:textId="77777777" w:rsidR="00694BD2" w:rsidRDefault="00694BD2" w:rsidP="00694BD2">
                  <w:pPr>
                    <w:pStyle w:val="TableHead"/>
                  </w:pPr>
                  <w:r>
                    <w:t>Variable</w:t>
                  </w:r>
                </w:p>
              </w:tc>
              <w:tc>
                <w:tcPr>
                  <w:tcW w:w="437" w:type="pct"/>
                </w:tcPr>
                <w:p w14:paraId="410BB6A4" w14:textId="77777777" w:rsidR="00694BD2" w:rsidRDefault="00694BD2" w:rsidP="00694BD2">
                  <w:pPr>
                    <w:pStyle w:val="TableHead"/>
                  </w:pPr>
                  <w:r>
                    <w:t>Unit</w:t>
                  </w:r>
                </w:p>
              </w:tc>
              <w:tc>
                <w:tcPr>
                  <w:tcW w:w="3512" w:type="pct"/>
                </w:tcPr>
                <w:p w14:paraId="796A94C8" w14:textId="77777777" w:rsidR="00694BD2" w:rsidRDefault="00694BD2" w:rsidP="00694BD2">
                  <w:pPr>
                    <w:pStyle w:val="TableHead"/>
                  </w:pPr>
                  <w:r>
                    <w:t>Description</w:t>
                  </w:r>
                </w:p>
              </w:tc>
            </w:tr>
            <w:tr w:rsidR="00694BD2" w14:paraId="4E5696A5" w14:textId="77777777" w:rsidTr="00082248">
              <w:trPr>
                <w:cantSplit/>
              </w:trPr>
              <w:tc>
                <w:tcPr>
                  <w:tcW w:w="1050" w:type="pct"/>
                </w:tcPr>
                <w:p w14:paraId="47A0B74B" w14:textId="77777777" w:rsidR="00694BD2" w:rsidRDefault="00694BD2" w:rsidP="00694BD2">
                  <w:pPr>
                    <w:pStyle w:val="TableBody"/>
                  </w:pPr>
                  <w:r>
                    <w:t>DCMLRS</w:t>
                  </w:r>
                  <w:r>
                    <w:rPr>
                      <w:i/>
                      <w:vertAlign w:val="subscript"/>
                    </w:rPr>
                    <w:t xml:space="preserve"> q</w:t>
                  </w:r>
                </w:p>
              </w:tc>
              <w:tc>
                <w:tcPr>
                  <w:tcW w:w="437" w:type="pct"/>
                </w:tcPr>
                <w:p w14:paraId="7BA495E7" w14:textId="77777777" w:rsidR="00694BD2" w:rsidRDefault="00694BD2" w:rsidP="00694BD2">
                  <w:pPr>
                    <w:pStyle w:val="TableBody"/>
                  </w:pPr>
                  <w:r>
                    <w:t>none</w:t>
                  </w:r>
                </w:p>
              </w:tc>
              <w:tc>
                <w:tcPr>
                  <w:tcW w:w="3512" w:type="pct"/>
                </w:tcPr>
                <w:p w14:paraId="7417C111" w14:textId="0C3D70A3" w:rsidR="00694BD2" w:rsidRDefault="00694BD2" w:rsidP="001335E7">
                  <w:pPr>
                    <w:pStyle w:val="TableBody"/>
                    <w:rPr>
                      <w:i/>
                    </w:rPr>
                  </w:pPr>
                  <w:r>
                    <w:rPr>
                      <w:i/>
                    </w:rPr>
                    <w:t>DC Tie Export Monthly Load Ratio Share per QSE</w:t>
                  </w:r>
                  <w:r>
                    <w:t xml:space="preserve">—The ratio share calculated for QSE </w:t>
                  </w:r>
                  <w:r>
                    <w:rPr>
                      <w:i/>
                    </w:rPr>
                    <w:t>q</w:t>
                  </w:r>
                  <w:r>
                    <w:t xml:space="preserve"> with DC Tie Exports for the calendar month.</w:t>
                  </w:r>
                </w:p>
              </w:tc>
            </w:tr>
            <w:tr w:rsidR="00694BD2" w14:paraId="72149BD7" w14:textId="77777777" w:rsidTr="00082248">
              <w:trPr>
                <w:cantSplit/>
              </w:trPr>
              <w:tc>
                <w:tcPr>
                  <w:tcW w:w="1050" w:type="pct"/>
                </w:tcPr>
                <w:p w14:paraId="6ADE2050" w14:textId="267B80DA" w:rsidR="00694BD2" w:rsidRDefault="00694BD2" w:rsidP="00694BD2">
                  <w:pPr>
                    <w:pStyle w:val="TableBody"/>
                  </w:pPr>
                  <w:r>
                    <w:rPr>
                      <w:lang w:val="sv-SE"/>
                    </w:rPr>
                    <w:t xml:space="preserve">RTAMLDC </w:t>
                  </w:r>
                  <w:r>
                    <w:rPr>
                      <w:i/>
                      <w:vertAlign w:val="subscript"/>
                      <w:lang w:val="sv-SE"/>
                    </w:rPr>
                    <w:t>q,</w:t>
                  </w:r>
                  <w:r w:rsidR="00E9412A">
                    <w:rPr>
                      <w:i/>
                      <w:vertAlign w:val="subscript"/>
                      <w:lang w:val="sv-SE"/>
                    </w:rPr>
                    <w:t xml:space="preserve"> </w:t>
                  </w:r>
                  <w:r>
                    <w:rPr>
                      <w:i/>
                      <w:vertAlign w:val="subscript"/>
                      <w:lang w:val="sv-SE"/>
                    </w:rPr>
                    <w:t>p,</w:t>
                  </w:r>
                  <w:r w:rsidR="00E9412A">
                    <w:rPr>
                      <w:i/>
                      <w:vertAlign w:val="subscript"/>
                      <w:lang w:val="sv-SE"/>
                    </w:rPr>
                    <w:t xml:space="preserve"> </w:t>
                  </w:r>
                  <w:r>
                    <w:rPr>
                      <w:i/>
                      <w:vertAlign w:val="subscript"/>
                      <w:lang w:val="sv-SE"/>
                    </w:rPr>
                    <w:t xml:space="preserve">i  </w:t>
                  </w:r>
                </w:p>
              </w:tc>
              <w:tc>
                <w:tcPr>
                  <w:tcW w:w="437" w:type="pct"/>
                </w:tcPr>
                <w:p w14:paraId="668A9E3D" w14:textId="77777777" w:rsidR="00694BD2" w:rsidRDefault="00694BD2" w:rsidP="00694BD2">
                  <w:pPr>
                    <w:pStyle w:val="TableBody"/>
                  </w:pPr>
                  <w:r>
                    <w:t>MWh</w:t>
                  </w:r>
                </w:p>
              </w:tc>
              <w:tc>
                <w:tcPr>
                  <w:tcW w:w="3512" w:type="pct"/>
                </w:tcPr>
                <w:p w14:paraId="6EE569B1" w14:textId="20F37854" w:rsidR="00694BD2" w:rsidRPr="00E7254B" w:rsidRDefault="00694BD2" w:rsidP="00694BD2">
                  <w:pPr>
                    <w:pStyle w:val="TableBody"/>
                  </w:pPr>
                  <w:r>
                    <w:rPr>
                      <w:i/>
                    </w:rPr>
                    <w:t>Real-Time Adjusted Metered Load for DC Ties per Settlement Point per QSE</w:t>
                  </w:r>
                  <w:r>
                    <w:t xml:space="preserve">—The sum of the DC Tie AML at the Electrical Buses that are included in Settlement </w:t>
                  </w:r>
                  <w:r w:rsidR="00AA1FD1">
                    <w:br/>
                  </w:r>
                  <w:r>
                    <w:t xml:space="preserve">Point </w:t>
                  </w:r>
                  <w:r>
                    <w:rPr>
                      <w:i/>
                    </w:rPr>
                    <w:t>p</w:t>
                  </w:r>
                  <w:r>
                    <w:t xml:space="preserve">, represented by QSE </w:t>
                  </w:r>
                  <w:r>
                    <w:rPr>
                      <w:i/>
                    </w:rPr>
                    <w:t>q</w:t>
                  </w:r>
                  <w:r>
                    <w:t xml:space="preserve">, for the 15-minute Settlement Interval </w:t>
                  </w:r>
                  <w:r w:rsidRPr="00BB2A0D">
                    <w:rPr>
                      <w:i/>
                    </w:rPr>
                    <w:t>i</w:t>
                  </w:r>
                  <w:r>
                    <w:t xml:space="preserve">. </w:t>
                  </w:r>
                </w:p>
              </w:tc>
            </w:tr>
            <w:tr w:rsidR="00694BD2" w14:paraId="68647030" w14:textId="77777777" w:rsidTr="00082248">
              <w:trPr>
                <w:cantSplit/>
              </w:trPr>
              <w:tc>
                <w:tcPr>
                  <w:tcW w:w="1050" w:type="pct"/>
                </w:tcPr>
                <w:p w14:paraId="1BAB80B7" w14:textId="77777777" w:rsidR="00694BD2" w:rsidRDefault="00694BD2" w:rsidP="00694BD2">
                  <w:pPr>
                    <w:pStyle w:val="TableBody"/>
                  </w:pPr>
                  <w:r>
                    <w:t>MRTAMLTOT</w:t>
                  </w:r>
                </w:p>
              </w:tc>
              <w:tc>
                <w:tcPr>
                  <w:tcW w:w="437" w:type="pct"/>
                </w:tcPr>
                <w:p w14:paraId="1D75BED4" w14:textId="77777777" w:rsidR="00694BD2" w:rsidRDefault="00694BD2" w:rsidP="00694BD2">
                  <w:pPr>
                    <w:pStyle w:val="TableBody"/>
                  </w:pPr>
                  <w:r>
                    <w:t>MWh</w:t>
                  </w:r>
                </w:p>
              </w:tc>
              <w:tc>
                <w:tcPr>
                  <w:tcW w:w="3512" w:type="pct"/>
                </w:tcPr>
                <w:p w14:paraId="49269665" w14:textId="74CBB3B8" w:rsidR="00694BD2" w:rsidRDefault="00694BD2" w:rsidP="00694BD2">
                  <w:pPr>
                    <w:pStyle w:val="TableBody"/>
                  </w:pPr>
                  <w:r>
                    <w:rPr>
                      <w:i/>
                    </w:rPr>
                    <w:t>Monthly Real-Time Adjusted Metered Load Total</w:t>
                  </w:r>
                  <w:r>
                    <w:t xml:space="preserve">—The total AML in ERCOT, for </w:t>
                  </w:r>
                  <w:r w:rsidR="00E42D8B">
                    <w:br/>
                  </w:r>
                  <w:r>
                    <w:t>the calendar month.</w:t>
                  </w:r>
                </w:p>
              </w:tc>
            </w:tr>
            <w:tr w:rsidR="00694BD2" w14:paraId="09F7D6AF" w14:textId="77777777" w:rsidTr="00082248">
              <w:trPr>
                <w:cantSplit/>
              </w:trPr>
              <w:tc>
                <w:tcPr>
                  <w:tcW w:w="1050" w:type="pct"/>
                </w:tcPr>
                <w:p w14:paraId="7030D6EC" w14:textId="77777777" w:rsidR="00694BD2" w:rsidRPr="00A61E91" w:rsidRDefault="00694BD2" w:rsidP="00694BD2">
                  <w:pPr>
                    <w:pStyle w:val="TableBody"/>
                    <w:rPr>
                      <w:i/>
                    </w:rPr>
                  </w:pPr>
                  <w:r w:rsidRPr="00FC2DA7">
                    <w:rPr>
                      <w:i/>
                      <w:iCs w:val="0"/>
                    </w:rPr>
                    <w:t>q</w:t>
                  </w:r>
                </w:p>
              </w:tc>
              <w:tc>
                <w:tcPr>
                  <w:tcW w:w="437" w:type="pct"/>
                </w:tcPr>
                <w:p w14:paraId="1CB214BF" w14:textId="77777777" w:rsidR="00694BD2" w:rsidRDefault="00694BD2" w:rsidP="00694BD2">
                  <w:pPr>
                    <w:pStyle w:val="TableBody"/>
                  </w:pPr>
                  <w:r w:rsidRPr="00FC2DA7">
                    <w:rPr>
                      <w:iCs w:val="0"/>
                    </w:rPr>
                    <w:t>none</w:t>
                  </w:r>
                </w:p>
              </w:tc>
              <w:tc>
                <w:tcPr>
                  <w:tcW w:w="3512" w:type="pct"/>
                </w:tcPr>
                <w:p w14:paraId="76D2A459" w14:textId="77777777" w:rsidR="00694BD2" w:rsidRDefault="00694BD2" w:rsidP="00694BD2">
                  <w:pPr>
                    <w:pStyle w:val="TableBody"/>
                  </w:pPr>
                  <w:r w:rsidRPr="00FC2DA7">
                    <w:rPr>
                      <w:iCs w:val="0"/>
                    </w:rPr>
                    <w:t xml:space="preserve">A QSE.  </w:t>
                  </w:r>
                </w:p>
              </w:tc>
            </w:tr>
            <w:tr w:rsidR="00694BD2" w14:paraId="1AD1972B" w14:textId="77777777" w:rsidTr="00082248">
              <w:trPr>
                <w:cantSplit/>
              </w:trPr>
              <w:tc>
                <w:tcPr>
                  <w:tcW w:w="1050" w:type="pct"/>
                </w:tcPr>
                <w:p w14:paraId="03F39DDE" w14:textId="77777777" w:rsidR="00694BD2" w:rsidRPr="00993F9F" w:rsidRDefault="00694BD2" w:rsidP="00694BD2">
                  <w:pPr>
                    <w:pStyle w:val="TableBody"/>
                    <w:rPr>
                      <w:i/>
                    </w:rPr>
                  </w:pPr>
                  <w:r w:rsidRPr="00A61E91">
                    <w:rPr>
                      <w:i/>
                    </w:rPr>
                    <w:t>p</w:t>
                  </w:r>
                </w:p>
              </w:tc>
              <w:tc>
                <w:tcPr>
                  <w:tcW w:w="437" w:type="pct"/>
                </w:tcPr>
                <w:p w14:paraId="33FBFA28" w14:textId="77777777" w:rsidR="00694BD2" w:rsidRDefault="00694BD2" w:rsidP="00694BD2">
                  <w:pPr>
                    <w:pStyle w:val="TableBody"/>
                  </w:pPr>
                  <w:r>
                    <w:t>none</w:t>
                  </w:r>
                </w:p>
              </w:tc>
              <w:tc>
                <w:tcPr>
                  <w:tcW w:w="3512" w:type="pct"/>
                </w:tcPr>
                <w:p w14:paraId="64B8A652" w14:textId="77777777" w:rsidR="00694BD2" w:rsidRDefault="00694BD2" w:rsidP="00694BD2">
                  <w:pPr>
                    <w:pStyle w:val="TableBody"/>
                  </w:pPr>
                  <w:r>
                    <w:t xml:space="preserve">A Settlement Point.  </w:t>
                  </w:r>
                </w:p>
              </w:tc>
            </w:tr>
            <w:tr w:rsidR="00694BD2" w:rsidDel="00590517" w14:paraId="5F7515BF" w14:textId="77777777" w:rsidTr="00082248">
              <w:trPr>
                <w:cantSplit/>
              </w:trPr>
              <w:tc>
                <w:tcPr>
                  <w:tcW w:w="1050" w:type="pct"/>
                </w:tcPr>
                <w:p w14:paraId="75A11E5D" w14:textId="77777777" w:rsidR="00694BD2" w:rsidDel="00590517" w:rsidRDefault="00694BD2" w:rsidP="00694BD2">
                  <w:pPr>
                    <w:pStyle w:val="TableBody"/>
                    <w:rPr>
                      <w:i/>
                    </w:rPr>
                  </w:pPr>
                  <w:r w:rsidRPr="00B77C4C">
                    <w:rPr>
                      <w:i/>
                    </w:rPr>
                    <w:t>i</w:t>
                  </w:r>
                </w:p>
              </w:tc>
              <w:tc>
                <w:tcPr>
                  <w:tcW w:w="437" w:type="pct"/>
                </w:tcPr>
                <w:p w14:paraId="4116DC82" w14:textId="77777777" w:rsidR="00694BD2" w:rsidDel="00590517" w:rsidRDefault="00694BD2" w:rsidP="00694BD2">
                  <w:pPr>
                    <w:pStyle w:val="TableBody"/>
                  </w:pPr>
                  <w:r w:rsidRPr="00B77C4C">
                    <w:t>none</w:t>
                  </w:r>
                </w:p>
              </w:tc>
              <w:tc>
                <w:tcPr>
                  <w:tcW w:w="3512" w:type="pct"/>
                </w:tcPr>
                <w:p w14:paraId="2516317C" w14:textId="77777777" w:rsidR="00694BD2" w:rsidDel="00590517" w:rsidRDefault="00694BD2" w:rsidP="00694BD2">
                  <w:pPr>
                    <w:pStyle w:val="TableBody"/>
                  </w:pPr>
                  <w:r w:rsidRPr="00B77C4C">
                    <w:t xml:space="preserve">A 15-minute Settlement Interval. </w:t>
                  </w:r>
                </w:p>
              </w:tc>
            </w:tr>
          </w:tbl>
          <w:p w14:paraId="1C48CF84" w14:textId="77777777" w:rsidR="006930B7" w:rsidRPr="008F39F7" w:rsidRDefault="006930B7" w:rsidP="006930B7">
            <w:pPr>
              <w:pStyle w:val="Instructions"/>
              <w:spacing w:before="120"/>
            </w:pPr>
          </w:p>
        </w:tc>
      </w:tr>
    </w:tbl>
    <w:p w14:paraId="5C8BF7A9" w14:textId="77777777" w:rsidR="006930B7" w:rsidRDefault="006930B7"/>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6930B7" w14:paraId="1F533BB1" w14:textId="77777777" w:rsidTr="006930B7">
        <w:trPr>
          <w:trHeight w:val="206"/>
        </w:trPr>
        <w:tc>
          <w:tcPr>
            <w:tcW w:w="10080" w:type="dxa"/>
            <w:tcBorders>
              <w:top w:val="single" w:sz="4" w:space="0" w:color="auto"/>
              <w:left w:val="single" w:sz="4" w:space="0" w:color="auto"/>
              <w:bottom w:val="single" w:sz="4" w:space="0" w:color="auto"/>
              <w:right w:val="single" w:sz="4" w:space="0" w:color="auto"/>
            </w:tcBorders>
            <w:shd w:val="pct12" w:color="auto" w:fill="auto"/>
          </w:tcPr>
          <w:p w14:paraId="307CC86A" w14:textId="58246D16" w:rsidR="006930B7" w:rsidRDefault="006930B7" w:rsidP="00663874">
            <w:pPr>
              <w:pStyle w:val="Instructions"/>
              <w:spacing w:before="120"/>
            </w:pPr>
            <w:r>
              <w:t>[NPRR1030:  Insert Section 6.6.2.7 below upon system implementation:]</w:t>
            </w:r>
          </w:p>
          <w:p w14:paraId="4B8A72D4" w14:textId="77777777" w:rsidR="00694BD2" w:rsidRPr="00FC2DA7" w:rsidRDefault="00694BD2" w:rsidP="00694BD2">
            <w:pPr>
              <w:keepNext/>
              <w:widowControl w:val="0"/>
              <w:tabs>
                <w:tab w:val="left" w:pos="1260"/>
              </w:tabs>
              <w:spacing w:before="480" w:after="240"/>
              <w:ind w:left="1260" w:hanging="1260"/>
              <w:outlineLvl w:val="3"/>
              <w:rPr>
                <w:b/>
                <w:bCs/>
                <w:snapToGrid w:val="0"/>
              </w:rPr>
            </w:pPr>
            <w:bookmarkStart w:id="1837" w:name="_Toc204411662"/>
            <w:r>
              <w:rPr>
                <w:b/>
                <w:bCs/>
                <w:snapToGrid w:val="0"/>
              </w:rPr>
              <w:lastRenderedPageBreak/>
              <w:t>6.6.2.7</w:t>
            </w:r>
            <w:r w:rsidRPr="00FC2DA7">
              <w:rPr>
                <w:b/>
                <w:bCs/>
                <w:snapToGrid w:val="0"/>
              </w:rPr>
              <w:tab/>
              <w:t>ERCOT Adjusted Metered Load</w:t>
            </w:r>
            <w:r>
              <w:rPr>
                <w:b/>
                <w:bCs/>
                <w:snapToGrid w:val="0"/>
              </w:rPr>
              <w:t xml:space="preserve"> by Congestion Management Zone </w:t>
            </w:r>
            <w:r w:rsidRPr="00FC2DA7">
              <w:rPr>
                <w:b/>
                <w:bCs/>
                <w:snapToGrid w:val="0"/>
              </w:rPr>
              <w:t xml:space="preserve">for </w:t>
            </w:r>
            <w:r>
              <w:rPr>
                <w:b/>
                <w:bCs/>
                <w:snapToGrid w:val="0"/>
              </w:rPr>
              <w:t>a Month</w:t>
            </w:r>
            <w:bookmarkEnd w:id="1837"/>
          </w:p>
          <w:p w14:paraId="19641AD7" w14:textId="77777777" w:rsidR="00694BD2" w:rsidRPr="00FC2DA7" w:rsidRDefault="00694BD2" w:rsidP="00694BD2">
            <w:pPr>
              <w:spacing w:after="240"/>
              <w:ind w:left="720" w:hanging="720"/>
              <w:rPr>
                <w:iCs/>
              </w:rPr>
            </w:pPr>
            <w:r>
              <w:rPr>
                <w:iCs/>
              </w:rPr>
              <w:t>(1)</w:t>
            </w:r>
            <w:r>
              <w:rPr>
                <w:iCs/>
              </w:rPr>
              <w:tab/>
            </w:r>
            <w:r w:rsidRPr="00FC2DA7">
              <w:rPr>
                <w:iCs/>
              </w:rPr>
              <w:t xml:space="preserve">ERCOT total AML </w:t>
            </w:r>
            <w:r>
              <w:rPr>
                <w:iCs/>
              </w:rPr>
              <w:t xml:space="preserve">per CMZ </w:t>
            </w:r>
            <w:r w:rsidRPr="00FC2DA7">
              <w:rPr>
                <w:iCs/>
              </w:rPr>
              <w:t>for a</w:t>
            </w:r>
            <w:r>
              <w:rPr>
                <w:iCs/>
              </w:rPr>
              <w:t xml:space="preserve"> calendar month </w:t>
            </w:r>
            <w:r w:rsidRPr="00FC2DA7">
              <w:rPr>
                <w:iCs/>
              </w:rPr>
              <w:t>is calculated as follows:</w:t>
            </w:r>
          </w:p>
          <w:p w14:paraId="30666C32" w14:textId="12F059E2" w:rsidR="00694BD2" w:rsidRPr="00FC2DA7" w:rsidRDefault="00694BD2" w:rsidP="00694BD2">
            <w:pPr>
              <w:tabs>
                <w:tab w:val="left" w:pos="2250"/>
                <w:tab w:val="left" w:pos="3150"/>
                <w:tab w:val="left" w:pos="3960"/>
              </w:tabs>
              <w:spacing w:after="240"/>
              <w:ind w:left="3960" w:hanging="3240"/>
              <w:rPr>
                <w:b/>
                <w:bCs/>
              </w:rPr>
            </w:pPr>
            <w:r>
              <w:rPr>
                <w:b/>
                <w:bCs/>
              </w:rPr>
              <w:t>M</w:t>
            </w:r>
            <w:r w:rsidRPr="00FC2DA7">
              <w:rPr>
                <w:b/>
                <w:bCs/>
              </w:rPr>
              <w:t>RTAML</w:t>
            </w:r>
            <w:r>
              <w:rPr>
                <w:b/>
                <w:bCs/>
              </w:rPr>
              <w:t>LZ</w:t>
            </w:r>
            <w:r w:rsidRPr="00FC2DA7">
              <w:rPr>
                <w:b/>
                <w:bCs/>
              </w:rPr>
              <w:t>TOT</w:t>
            </w:r>
            <w:r w:rsidR="00EC0374">
              <w:rPr>
                <w:b/>
                <w:bCs/>
              </w:rPr>
              <w:t xml:space="preserve"> </w:t>
            </w:r>
            <w:r w:rsidRPr="00246A76">
              <w:rPr>
                <w:rFonts w:ascii="Times New Roman Bold" w:hAnsi="Times New Roman Bold"/>
                <w:b/>
                <w:bCs/>
                <w:vertAlign w:val="subscript"/>
              </w:rPr>
              <w:t>z</w:t>
            </w:r>
            <w:r w:rsidRPr="00FC2DA7">
              <w:rPr>
                <w:b/>
                <w:bCs/>
              </w:rPr>
              <w:tab/>
              <w:t>=</w:t>
            </w:r>
            <w:r w:rsidRPr="00FC2DA7">
              <w:rPr>
                <w:b/>
                <w:bCs/>
              </w:rPr>
              <w:tab/>
            </w:r>
            <w:r w:rsidRPr="00FC2DA7">
              <w:rPr>
                <w:b/>
                <w:bCs/>
                <w:position w:val="-22"/>
              </w:rPr>
              <w:object w:dxaOrig="225" w:dyaOrig="465" w14:anchorId="0263F72C">
                <v:shape id="_x0000_i1108" type="#_x0000_t75" style="width:12pt;height:18pt" o:ole="">
                  <v:imagedata r:id="rId96" o:title=""/>
                </v:shape>
                <o:OLEObject Type="Embed" ProgID="Equation.3" ShapeID="_x0000_i1108" DrawAspect="Content" ObjectID="_1815025298" r:id="rId115"/>
              </w:object>
            </w:r>
            <w:r>
              <w:rPr>
                <w:b/>
                <w:bCs/>
              </w:rPr>
              <w:t xml:space="preserve"> (max(0,</w:t>
            </w:r>
            <w:r w:rsidRPr="002F4893">
              <w:rPr>
                <w:b/>
                <w:bCs/>
                <w:sz w:val="12"/>
                <w:szCs w:val="12"/>
              </w:rPr>
              <w:t xml:space="preserve"> </w:t>
            </w:r>
            <w:r w:rsidRPr="00F80C33">
              <w:rPr>
                <w:position w:val="-20"/>
              </w:rPr>
              <w:object w:dxaOrig="220" w:dyaOrig="440" w14:anchorId="500DF72D">
                <v:shape id="_x0000_i1109" type="#_x0000_t75" style="width:5.4pt;height:24pt" o:ole="">
                  <v:imagedata r:id="rId110" o:title=""/>
                </v:shape>
                <o:OLEObject Type="Embed" ProgID="Equation.3" ShapeID="_x0000_i1109" DrawAspect="Content" ObjectID="_1815025299" r:id="rId116"/>
              </w:object>
            </w:r>
            <w:r w:rsidRPr="006F784F">
              <w:rPr>
                <w:position w:val="-22"/>
              </w:rPr>
              <w:object w:dxaOrig="225" w:dyaOrig="465" w14:anchorId="42D048ED">
                <v:shape id="_x0000_i1110" type="#_x0000_t75" style="width:12pt;height:18pt" o:ole="">
                  <v:imagedata r:id="rId98" o:title=""/>
                </v:shape>
                <o:OLEObject Type="Embed" ProgID="Equation.3" ShapeID="_x0000_i1110" DrawAspect="Content" ObjectID="_1815025300" r:id="rId117"/>
              </w:object>
            </w:r>
            <w:r w:rsidRPr="00FC2DA7">
              <w:rPr>
                <w:b/>
                <w:bCs/>
              </w:rPr>
              <w:t xml:space="preserve">RTAML </w:t>
            </w:r>
            <w:r w:rsidRPr="00FC2DA7">
              <w:rPr>
                <w:b/>
                <w:bCs/>
                <w:i/>
                <w:vertAlign w:val="subscript"/>
              </w:rPr>
              <w:t>q, p</w:t>
            </w:r>
            <w:r>
              <w:rPr>
                <w:b/>
                <w:bCs/>
                <w:i/>
                <w:vertAlign w:val="subscript"/>
              </w:rPr>
              <w:t>,i</w:t>
            </w:r>
            <w:r w:rsidRPr="00FC2DA7">
              <w:rPr>
                <w:b/>
                <w:bCs/>
              </w:rPr>
              <w:t>))</w:t>
            </w:r>
          </w:p>
          <w:p w14:paraId="64517595" w14:textId="77777777" w:rsidR="00694BD2" w:rsidRPr="00FC2DA7" w:rsidRDefault="00694BD2" w:rsidP="00694BD2">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03"/>
              <w:gridCol w:w="697"/>
              <w:gridCol w:w="6655"/>
            </w:tblGrid>
            <w:tr w:rsidR="00694BD2" w:rsidRPr="00FC2DA7" w14:paraId="4B9C0926" w14:textId="77777777" w:rsidTr="00663874">
              <w:tc>
                <w:tcPr>
                  <w:tcW w:w="2003" w:type="dxa"/>
                </w:tcPr>
                <w:p w14:paraId="271B2EA7" w14:textId="77777777" w:rsidR="00694BD2" w:rsidRPr="00FC2DA7" w:rsidRDefault="00694BD2" w:rsidP="00694BD2">
                  <w:pPr>
                    <w:spacing w:after="120"/>
                    <w:rPr>
                      <w:b/>
                      <w:iCs/>
                      <w:sz w:val="20"/>
                    </w:rPr>
                  </w:pPr>
                  <w:r w:rsidRPr="00FC2DA7">
                    <w:rPr>
                      <w:b/>
                      <w:iCs/>
                      <w:sz w:val="20"/>
                    </w:rPr>
                    <w:t>Variable</w:t>
                  </w:r>
                </w:p>
              </w:tc>
              <w:tc>
                <w:tcPr>
                  <w:tcW w:w="697" w:type="dxa"/>
                </w:tcPr>
                <w:p w14:paraId="58D97995" w14:textId="77777777" w:rsidR="00694BD2" w:rsidRPr="00FC2DA7" w:rsidRDefault="00694BD2" w:rsidP="00694BD2">
                  <w:pPr>
                    <w:spacing w:after="120"/>
                    <w:rPr>
                      <w:b/>
                      <w:iCs/>
                      <w:sz w:val="20"/>
                    </w:rPr>
                  </w:pPr>
                  <w:r w:rsidRPr="00FC2DA7">
                    <w:rPr>
                      <w:b/>
                      <w:iCs/>
                      <w:sz w:val="20"/>
                    </w:rPr>
                    <w:t>Unit</w:t>
                  </w:r>
                </w:p>
              </w:tc>
              <w:tc>
                <w:tcPr>
                  <w:tcW w:w="6655" w:type="dxa"/>
                </w:tcPr>
                <w:p w14:paraId="2A1A3CD2" w14:textId="77777777" w:rsidR="00694BD2" w:rsidRPr="00FC2DA7" w:rsidRDefault="00694BD2" w:rsidP="00694BD2">
                  <w:pPr>
                    <w:spacing w:after="120"/>
                    <w:rPr>
                      <w:b/>
                      <w:iCs/>
                      <w:sz w:val="20"/>
                    </w:rPr>
                  </w:pPr>
                  <w:r w:rsidRPr="00FC2DA7">
                    <w:rPr>
                      <w:b/>
                      <w:iCs/>
                      <w:sz w:val="20"/>
                    </w:rPr>
                    <w:t>Description</w:t>
                  </w:r>
                </w:p>
              </w:tc>
            </w:tr>
            <w:tr w:rsidR="00694BD2" w:rsidRPr="00FC2DA7" w14:paraId="579C9F52" w14:textId="77777777" w:rsidTr="00663874">
              <w:tc>
                <w:tcPr>
                  <w:tcW w:w="2003" w:type="dxa"/>
                </w:tcPr>
                <w:p w14:paraId="3C17CDDF" w14:textId="77777777" w:rsidR="00694BD2" w:rsidRPr="00884687" w:rsidRDefault="00694BD2" w:rsidP="00694BD2">
                  <w:pPr>
                    <w:spacing w:after="60"/>
                    <w:rPr>
                      <w:iCs/>
                      <w:sz w:val="20"/>
                      <w:vertAlign w:val="subscript"/>
                    </w:rPr>
                  </w:pPr>
                  <w:r>
                    <w:rPr>
                      <w:iCs/>
                      <w:sz w:val="20"/>
                    </w:rPr>
                    <w:t>M</w:t>
                  </w:r>
                  <w:r w:rsidRPr="00FC2DA7">
                    <w:rPr>
                      <w:iCs/>
                      <w:sz w:val="20"/>
                    </w:rPr>
                    <w:t>RTAML</w:t>
                  </w:r>
                  <w:r>
                    <w:rPr>
                      <w:iCs/>
                      <w:sz w:val="20"/>
                    </w:rPr>
                    <w:t>LZ</w:t>
                  </w:r>
                  <w:r w:rsidRPr="00FC2DA7">
                    <w:rPr>
                      <w:iCs/>
                      <w:sz w:val="20"/>
                    </w:rPr>
                    <w:t>TOT</w:t>
                  </w:r>
                  <w:r>
                    <w:rPr>
                      <w:iCs/>
                      <w:sz w:val="20"/>
                      <w:vertAlign w:val="subscript"/>
                    </w:rPr>
                    <w:t>z</w:t>
                  </w:r>
                </w:p>
              </w:tc>
              <w:tc>
                <w:tcPr>
                  <w:tcW w:w="697" w:type="dxa"/>
                </w:tcPr>
                <w:p w14:paraId="7841C065" w14:textId="77777777" w:rsidR="00694BD2" w:rsidRPr="00FC2DA7" w:rsidRDefault="00694BD2" w:rsidP="00694BD2">
                  <w:pPr>
                    <w:spacing w:after="60"/>
                    <w:rPr>
                      <w:i/>
                      <w:iCs/>
                      <w:sz w:val="20"/>
                    </w:rPr>
                  </w:pPr>
                  <w:r w:rsidRPr="00FC2DA7">
                    <w:rPr>
                      <w:iCs/>
                      <w:sz w:val="20"/>
                    </w:rPr>
                    <w:t>MWh</w:t>
                  </w:r>
                </w:p>
              </w:tc>
              <w:tc>
                <w:tcPr>
                  <w:tcW w:w="6655" w:type="dxa"/>
                </w:tcPr>
                <w:p w14:paraId="0D7EE179" w14:textId="77777777" w:rsidR="00694BD2" w:rsidRPr="00FC2DA7" w:rsidRDefault="00694BD2" w:rsidP="00694BD2">
                  <w:pPr>
                    <w:spacing w:after="60"/>
                    <w:rPr>
                      <w:iCs/>
                      <w:sz w:val="20"/>
                    </w:rPr>
                  </w:pPr>
                  <w:r>
                    <w:rPr>
                      <w:i/>
                      <w:iCs/>
                      <w:sz w:val="20"/>
                    </w:rPr>
                    <w:t xml:space="preserve">Monthly </w:t>
                  </w:r>
                  <w:r w:rsidRPr="00FC2DA7">
                    <w:rPr>
                      <w:i/>
                      <w:iCs/>
                      <w:sz w:val="20"/>
                    </w:rPr>
                    <w:t xml:space="preserve">Real-Time Adjusted Metered Load </w:t>
                  </w:r>
                  <w:r>
                    <w:rPr>
                      <w:i/>
                      <w:iCs/>
                      <w:sz w:val="20"/>
                    </w:rPr>
                    <w:t xml:space="preserve">- Load Zone </w:t>
                  </w:r>
                  <w:r w:rsidRPr="00FC2DA7">
                    <w:rPr>
                      <w:i/>
                      <w:iCs/>
                      <w:sz w:val="20"/>
                    </w:rPr>
                    <w:t>Total</w:t>
                  </w:r>
                  <w:r w:rsidRPr="00FC2DA7">
                    <w:rPr>
                      <w:iCs/>
                      <w:sz w:val="20"/>
                    </w:rPr>
                    <w:t xml:space="preserve">—The total </w:t>
                  </w:r>
                  <w:r>
                    <w:rPr>
                      <w:iCs/>
                      <w:sz w:val="20"/>
                    </w:rPr>
                    <w:t>AML</w:t>
                  </w:r>
                  <w:r w:rsidRPr="00FC2DA7">
                    <w:rPr>
                      <w:iCs/>
                      <w:sz w:val="20"/>
                    </w:rPr>
                    <w:t xml:space="preserve"> in </w:t>
                  </w:r>
                  <w:r>
                    <w:rPr>
                      <w:iCs/>
                      <w:sz w:val="20"/>
                    </w:rPr>
                    <w:t>CMZ z</w:t>
                  </w:r>
                  <w:r w:rsidRPr="00FC2DA7">
                    <w:rPr>
                      <w:iCs/>
                      <w:sz w:val="20"/>
                    </w:rPr>
                    <w:t>, for th</w:t>
                  </w:r>
                  <w:r>
                    <w:rPr>
                      <w:iCs/>
                      <w:sz w:val="20"/>
                    </w:rPr>
                    <w:t>e calendar month.</w:t>
                  </w:r>
                </w:p>
              </w:tc>
            </w:tr>
            <w:tr w:rsidR="00694BD2" w:rsidRPr="00FC2DA7" w14:paraId="078337CA" w14:textId="77777777" w:rsidTr="00663874">
              <w:tc>
                <w:tcPr>
                  <w:tcW w:w="2003" w:type="dxa"/>
                </w:tcPr>
                <w:p w14:paraId="2E98E7C1" w14:textId="77777777" w:rsidR="00694BD2" w:rsidRPr="00FC2DA7" w:rsidRDefault="00694BD2" w:rsidP="00694BD2">
                  <w:pPr>
                    <w:spacing w:after="60"/>
                    <w:rPr>
                      <w:iCs/>
                      <w:sz w:val="20"/>
                    </w:rPr>
                  </w:pPr>
                  <w:r w:rsidRPr="00FC2DA7">
                    <w:rPr>
                      <w:iCs/>
                      <w:sz w:val="20"/>
                    </w:rPr>
                    <w:t xml:space="preserve">RTAML </w:t>
                  </w:r>
                  <w:r w:rsidRPr="00FC2DA7">
                    <w:rPr>
                      <w:i/>
                      <w:iCs/>
                      <w:sz w:val="20"/>
                      <w:vertAlign w:val="subscript"/>
                    </w:rPr>
                    <w:t>q, p</w:t>
                  </w:r>
                  <w:r>
                    <w:rPr>
                      <w:i/>
                      <w:iCs/>
                      <w:sz w:val="20"/>
                      <w:vertAlign w:val="subscript"/>
                    </w:rPr>
                    <w:t>,i</w:t>
                  </w:r>
                </w:p>
              </w:tc>
              <w:tc>
                <w:tcPr>
                  <w:tcW w:w="697" w:type="dxa"/>
                </w:tcPr>
                <w:p w14:paraId="3AFF9E39" w14:textId="77777777" w:rsidR="00694BD2" w:rsidRPr="00FC2DA7" w:rsidRDefault="00694BD2" w:rsidP="00694BD2">
                  <w:pPr>
                    <w:spacing w:after="60"/>
                    <w:rPr>
                      <w:iCs/>
                      <w:sz w:val="20"/>
                    </w:rPr>
                  </w:pPr>
                  <w:r w:rsidRPr="00FC2DA7">
                    <w:rPr>
                      <w:iCs/>
                      <w:sz w:val="20"/>
                    </w:rPr>
                    <w:t>MWh</w:t>
                  </w:r>
                </w:p>
              </w:tc>
              <w:tc>
                <w:tcPr>
                  <w:tcW w:w="6655" w:type="dxa"/>
                </w:tcPr>
                <w:p w14:paraId="7B65B2A4" w14:textId="77777777" w:rsidR="00694BD2" w:rsidRPr="00A77BD2" w:rsidRDefault="00694BD2" w:rsidP="00694BD2">
                  <w:pPr>
                    <w:spacing w:after="60"/>
                    <w:rPr>
                      <w:i/>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xml:space="preserve">, for the </w:t>
                  </w:r>
                  <w:r>
                    <w:rPr>
                      <w:iCs/>
                      <w:sz w:val="20"/>
                    </w:rPr>
                    <w:t xml:space="preserve">15-minute Settlement Interval </w:t>
                  </w:r>
                  <w:r>
                    <w:rPr>
                      <w:i/>
                      <w:iCs/>
                      <w:sz w:val="20"/>
                    </w:rPr>
                    <w:t xml:space="preserve">i. </w:t>
                  </w:r>
                </w:p>
              </w:tc>
            </w:tr>
            <w:tr w:rsidR="00694BD2" w:rsidRPr="00FC2DA7" w14:paraId="5E5E39A9" w14:textId="77777777" w:rsidTr="00663874">
              <w:tc>
                <w:tcPr>
                  <w:tcW w:w="2003" w:type="dxa"/>
                </w:tcPr>
                <w:p w14:paraId="4FFFFDC0" w14:textId="77777777" w:rsidR="00694BD2" w:rsidRPr="00FC2DA7" w:rsidRDefault="00694BD2" w:rsidP="00694BD2">
                  <w:pPr>
                    <w:spacing w:after="60"/>
                    <w:rPr>
                      <w:i/>
                      <w:iCs/>
                      <w:sz w:val="20"/>
                    </w:rPr>
                  </w:pPr>
                  <w:r w:rsidRPr="00FC2DA7">
                    <w:rPr>
                      <w:i/>
                      <w:iCs/>
                      <w:sz w:val="20"/>
                    </w:rPr>
                    <w:t>q</w:t>
                  </w:r>
                </w:p>
              </w:tc>
              <w:tc>
                <w:tcPr>
                  <w:tcW w:w="697" w:type="dxa"/>
                </w:tcPr>
                <w:p w14:paraId="2AB67F86" w14:textId="77777777" w:rsidR="00694BD2" w:rsidRPr="00FC2DA7" w:rsidRDefault="00694BD2" w:rsidP="00694BD2">
                  <w:pPr>
                    <w:spacing w:after="60"/>
                    <w:rPr>
                      <w:iCs/>
                      <w:sz w:val="20"/>
                    </w:rPr>
                  </w:pPr>
                  <w:r w:rsidRPr="00FC2DA7">
                    <w:rPr>
                      <w:iCs/>
                      <w:sz w:val="20"/>
                    </w:rPr>
                    <w:t>none</w:t>
                  </w:r>
                </w:p>
              </w:tc>
              <w:tc>
                <w:tcPr>
                  <w:tcW w:w="6655" w:type="dxa"/>
                </w:tcPr>
                <w:p w14:paraId="36470A2D" w14:textId="77777777" w:rsidR="00694BD2" w:rsidRPr="00FC2DA7" w:rsidRDefault="00694BD2" w:rsidP="00694BD2">
                  <w:pPr>
                    <w:spacing w:after="60"/>
                    <w:rPr>
                      <w:iCs/>
                      <w:sz w:val="20"/>
                    </w:rPr>
                  </w:pPr>
                  <w:r w:rsidRPr="00FC2DA7">
                    <w:rPr>
                      <w:iCs/>
                      <w:sz w:val="20"/>
                    </w:rPr>
                    <w:t xml:space="preserve">A QSE.  </w:t>
                  </w:r>
                </w:p>
              </w:tc>
            </w:tr>
            <w:tr w:rsidR="00694BD2" w:rsidRPr="00FC2DA7" w14:paraId="44453C4D" w14:textId="77777777" w:rsidTr="00663874">
              <w:tc>
                <w:tcPr>
                  <w:tcW w:w="2003" w:type="dxa"/>
                </w:tcPr>
                <w:p w14:paraId="5FD6F603" w14:textId="77777777" w:rsidR="00694BD2" w:rsidRPr="00FC2DA7" w:rsidRDefault="00694BD2" w:rsidP="00694BD2">
                  <w:pPr>
                    <w:spacing w:after="60"/>
                    <w:rPr>
                      <w:i/>
                      <w:iCs/>
                      <w:sz w:val="20"/>
                    </w:rPr>
                  </w:pPr>
                  <w:r w:rsidRPr="00FC2DA7">
                    <w:rPr>
                      <w:i/>
                      <w:iCs/>
                      <w:sz w:val="20"/>
                    </w:rPr>
                    <w:t>p</w:t>
                  </w:r>
                </w:p>
              </w:tc>
              <w:tc>
                <w:tcPr>
                  <w:tcW w:w="697" w:type="dxa"/>
                </w:tcPr>
                <w:p w14:paraId="54A8C753" w14:textId="77777777" w:rsidR="00694BD2" w:rsidRPr="00FC2DA7" w:rsidRDefault="00694BD2" w:rsidP="00694BD2">
                  <w:pPr>
                    <w:spacing w:after="60"/>
                    <w:rPr>
                      <w:iCs/>
                      <w:sz w:val="20"/>
                    </w:rPr>
                  </w:pPr>
                  <w:r w:rsidRPr="00FC2DA7">
                    <w:rPr>
                      <w:iCs/>
                      <w:sz w:val="20"/>
                    </w:rPr>
                    <w:t>none</w:t>
                  </w:r>
                </w:p>
              </w:tc>
              <w:tc>
                <w:tcPr>
                  <w:tcW w:w="6655" w:type="dxa"/>
                </w:tcPr>
                <w:p w14:paraId="69F3AD1E" w14:textId="77777777" w:rsidR="00694BD2" w:rsidRPr="00FC2DA7" w:rsidRDefault="00694BD2" w:rsidP="00694BD2">
                  <w:pPr>
                    <w:spacing w:after="60"/>
                    <w:rPr>
                      <w:iCs/>
                      <w:sz w:val="20"/>
                    </w:rPr>
                  </w:pPr>
                  <w:r w:rsidRPr="00FC2DA7">
                    <w:rPr>
                      <w:iCs/>
                      <w:sz w:val="20"/>
                    </w:rPr>
                    <w:t>A Settlement Point</w:t>
                  </w:r>
                  <w:r>
                    <w:rPr>
                      <w:iCs/>
                      <w:sz w:val="20"/>
                    </w:rPr>
                    <w:t xml:space="preserve"> in the 2003 ERCOT CMZ</w:t>
                  </w:r>
                  <w:r w:rsidRPr="00FC2DA7">
                    <w:rPr>
                      <w:iCs/>
                      <w:sz w:val="20"/>
                    </w:rPr>
                    <w:t xml:space="preserve">.  </w:t>
                  </w:r>
                </w:p>
              </w:tc>
            </w:tr>
            <w:tr w:rsidR="00694BD2" w:rsidRPr="00FC2DA7" w:rsidDel="00590517" w14:paraId="288B9407" w14:textId="77777777" w:rsidTr="00663874">
              <w:trPr>
                <w:cantSplit/>
              </w:trPr>
              <w:tc>
                <w:tcPr>
                  <w:tcW w:w="2003" w:type="dxa"/>
                </w:tcPr>
                <w:p w14:paraId="2F273F19" w14:textId="77777777" w:rsidR="00694BD2" w:rsidDel="00590517" w:rsidRDefault="00694BD2" w:rsidP="00694BD2">
                  <w:pPr>
                    <w:spacing w:after="60"/>
                    <w:rPr>
                      <w:i/>
                      <w:iCs/>
                      <w:sz w:val="20"/>
                    </w:rPr>
                  </w:pPr>
                  <w:r w:rsidRPr="00B77C4C">
                    <w:rPr>
                      <w:i/>
                      <w:sz w:val="20"/>
                    </w:rPr>
                    <w:t>i</w:t>
                  </w:r>
                </w:p>
              </w:tc>
              <w:tc>
                <w:tcPr>
                  <w:tcW w:w="697" w:type="dxa"/>
                </w:tcPr>
                <w:p w14:paraId="0FAC75DB" w14:textId="77777777" w:rsidR="00694BD2" w:rsidRPr="00FC2DA7" w:rsidDel="00590517" w:rsidRDefault="00694BD2" w:rsidP="00694BD2">
                  <w:pPr>
                    <w:spacing w:after="60"/>
                    <w:rPr>
                      <w:iCs/>
                      <w:sz w:val="20"/>
                    </w:rPr>
                  </w:pPr>
                  <w:r w:rsidRPr="00B77C4C">
                    <w:rPr>
                      <w:sz w:val="20"/>
                    </w:rPr>
                    <w:t>none</w:t>
                  </w:r>
                </w:p>
              </w:tc>
              <w:tc>
                <w:tcPr>
                  <w:tcW w:w="6655" w:type="dxa"/>
                </w:tcPr>
                <w:p w14:paraId="663208E1" w14:textId="77777777" w:rsidR="00694BD2" w:rsidDel="00590517" w:rsidRDefault="00694BD2" w:rsidP="00694BD2">
                  <w:pPr>
                    <w:spacing w:after="60"/>
                    <w:rPr>
                      <w:iCs/>
                      <w:sz w:val="20"/>
                    </w:rPr>
                  </w:pPr>
                  <w:r w:rsidRPr="00B77C4C">
                    <w:rPr>
                      <w:sz w:val="20"/>
                    </w:rPr>
                    <w:t xml:space="preserve">A 15-minute Settlement Interval. </w:t>
                  </w:r>
                </w:p>
              </w:tc>
            </w:tr>
            <w:tr w:rsidR="00694BD2" w:rsidRPr="00FC2DA7" w14:paraId="586615C8" w14:textId="77777777" w:rsidTr="00663874">
              <w:trPr>
                <w:cantSplit/>
              </w:trPr>
              <w:tc>
                <w:tcPr>
                  <w:tcW w:w="2003" w:type="dxa"/>
                </w:tcPr>
                <w:p w14:paraId="0DBAA6CA" w14:textId="77777777" w:rsidR="00694BD2" w:rsidRDefault="00694BD2" w:rsidP="00694BD2">
                  <w:pPr>
                    <w:spacing w:after="60"/>
                    <w:rPr>
                      <w:i/>
                      <w:iCs/>
                      <w:sz w:val="20"/>
                    </w:rPr>
                  </w:pPr>
                  <w:r>
                    <w:rPr>
                      <w:i/>
                      <w:iCs/>
                      <w:sz w:val="20"/>
                    </w:rPr>
                    <w:t>z</w:t>
                  </w:r>
                </w:p>
              </w:tc>
              <w:tc>
                <w:tcPr>
                  <w:tcW w:w="697" w:type="dxa"/>
                </w:tcPr>
                <w:p w14:paraId="4C9D497B" w14:textId="77777777" w:rsidR="00694BD2" w:rsidRPr="00FC2DA7" w:rsidRDefault="00694BD2" w:rsidP="00694BD2">
                  <w:pPr>
                    <w:spacing w:after="60"/>
                    <w:rPr>
                      <w:iCs/>
                      <w:sz w:val="20"/>
                    </w:rPr>
                  </w:pPr>
                  <w:r>
                    <w:rPr>
                      <w:iCs/>
                      <w:sz w:val="20"/>
                    </w:rPr>
                    <w:t>none</w:t>
                  </w:r>
                </w:p>
              </w:tc>
              <w:tc>
                <w:tcPr>
                  <w:tcW w:w="6655" w:type="dxa"/>
                </w:tcPr>
                <w:p w14:paraId="4918D311" w14:textId="77777777" w:rsidR="00694BD2" w:rsidRPr="001F3F48" w:rsidRDefault="00694BD2" w:rsidP="00694BD2">
                  <w:pPr>
                    <w:spacing w:after="60"/>
                    <w:rPr>
                      <w:iCs/>
                      <w:sz w:val="20"/>
                    </w:rPr>
                  </w:pPr>
                  <w:r w:rsidRPr="006D64A7">
                    <w:rPr>
                      <w:sz w:val="20"/>
                    </w:rPr>
                    <w:t>A 2003 ERCOT CMZ.</w:t>
                  </w:r>
                </w:p>
              </w:tc>
            </w:tr>
          </w:tbl>
          <w:p w14:paraId="3E2151FD" w14:textId="77777777" w:rsidR="006930B7" w:rsidRPr="008F39F7" w:rsidRDefault="006930B7" w:rsidP="006930B7">
            <w:pPr>
              <w:pStyle w:val="Instructions"/>
              <w:spacing w:before="120"/>
            </w:pPr>
          </w:p>
        </w:tc>
      </w:tr>
    </w:tbl>
    <w:p w14:paraId="66794B84" w14:textId="77777777" w:rsidR="006930B7" w:rsidRDefault="006930B7" w:rsidP="006930B7"/>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6930B7" w14:paraId="0251E9FC" w14:textId="77777777" w:rsidTr="00082248">
        <w:trPr>
          <w:trHeight w:val="206"/>
        </w:trPr>
        <w:tc>
          <w:tcPr>
            <w:tcW w:w="10080" w:type="dxa"/>
            <w:tcBorders>
              <w:top w:val="single" w:sz="4" w:space="0" w:color="auto"/>
              <w:left w:val="single" w:sz="4" w:space="0" w:color="auto"/>
              <w:bottom w:val="single" w:sz="4" w:space="0" w:color="auto"/>
              <w:right w:val="single" w:sz="4" w:space="0" w:color="auto"/>
            </w:tcBorders>
            <w:shd w:val="pct12" w:color="auto" w:fill="auto"/>
          </w:tcPr>
          <w:p w14:paraId="565303EF" w14:textId="61349446" w:rsidR="006930B7" w:rsidRDefault="006930B7" w:rsidP="00663874">
            <w:pPr>
              <w:pStyle w:val="Instructions"/>
              <w:spacing w:before="120"/>
            </w:pPr>
            <w:r>
              <w:t>[NPRR1030:  Insert Section 6.6.2.8 below upon system implementation:]</w:t>
            </w:r>
          </w:p>
          <w:p w14:paraId="73276DAC" w14:textId="77777777" w:rsidR="00694BD2" w:rsidRDefault="00694BD2" w:rsidP="00694BD2">
            <w:pPr>
              <w:pStyle w:val="H4"/>
              <w:spacing w:before="480"/>
              <w:ind w:left="1267" w:hanging="1267"/>
            </w:pPr>
            <w:bookmarkStart w:id="1838" w:name="_Toc204411663"/>
            <w:r>
              <w:t>6.6.2.8</w:t>
            </w:r>
            <w:r>
              <w:tab/>
              <w:t>QSE DC Tie Export Load Ratio Share by Congestion Management Zone for a Month</w:t>
            </w:r>
            <w:bookmarkEnd w:id="1838"/>
          </w:p>
          <w:p w14:paraId="4AA7447D" w14:textId="77777777" w:rsidR="00694BD2" w:rsidRDefault="00694BD2" w:rsidP="00694BD2">
            <w:pPr>
              <w:pStyle w:val="BodyText"/>
              <w:ind w:left="720" w:hanging="720"/>
            </w:pPr>
            <w:r>
              <w:t>(1)</w:t>
            </w:r>
            <w:r>
              <w:tab/>
              <w:t>Each QSE’s DC Tie Export DCMLRSZ by CMZ for a calendar month is calculated as follows:</w:t>
            </w:r>
          </w:p>
          <w:p w14:paraId="0DFB438F" w14:textId="60859562" w:rsidR="00694BD2" w:rsidRDefault="00694BD2" w:rsidP="00694BD2">
            <w:pPr>
              <w:pStyle w:val="FormulaBold"/>
              <w:rPr>
                <w:lang w:val="sv-SE"/>
              </w:rPr>
            </w:pPr>
            <w:r>
              <w:rPr>
                <w:lang w:val="sv-SE"/>
              </w:rPr>
              <w:t xml:space="preserve">DCMLRSZ </w:t>
            </w:r>
            <w:r w:rsidRPr="006D64A7">
              <w:rPr>
                <w:rFonts w:ascii="Times New Roman Bold" w:hAnsi="Times New Roman Bold"/>
                <w:vertAlign w:val="subscript"/>
                <w:lang w:val="sv-SE"/>
              </w:rPr>
              <w:t>q,</w:t>
            </w:r>
            <w:r w:rsidR="00FB52E4">
              <w:rPr>
                <w:rFonts w:ascii="Times New Roman Bold" w:hAnsi="Times New Roman Bold"/>
                <w:vertAlign w:val="subscript"/>
                <w:lang w:val="sv-SE"/>
              </w:rPr>
              <w:t xml:space="preserve"> </w:t>
            </w:r>
            <w:r w:rsidRPr="006D64A7">
              <w:rPr>
                <w:rFonts w:ascii="Times New Roman Bold" w:hAnsi="Times New Roman Bold"/>
                <w:vertAlign w:val="subscript"/>
                <w:lang w:val="sv-SE"/>
              </w:rPr>
              <w:t>z</w:t>
            </w:r>
            <w:r>
              <w:rPr>
                <w:lang w:val="sv-SE"/>
              </w:rPr>
              <w:tab/>
              <w:t>=</w:t>
            </w:r>
            <w:r>
              <w:rPr>
                <w:lang w:val="sv-SE"/>
              </w:rPr>
              <w:tab/>
            </w:r>
            <w:r w:rsidRPr="00103433">
              <w:t>max(0,</w:t>
            </w:r>
            <w:r w:rsidRPr="00DC298E">
              <w:rPr>
                <w:noProof/>
                <w:position w:val="-28"/>
                <w:sz w:val="4"/>
                <w:szCs w:val="4"/>
              </w:rPr>
              <w:t xml:space="preserve"> </w:t>
            </w:r>
            <w:r w:rsidRPr="00F80C33">
              <w:rPr>
                <w:position w:val="-20"/>
              </w:rPr>
              <w:object w:dxaOrig="220" w:dyaOrig="440" w14:anchorId="22584CD4">
                <v:shape id="_x0000_i1111" type="#_x0000_t75" style="width:5.4pt;height:24pt" o:ole="">
                  <v:imagedata r:id="rId110" o:title=""/>
                </v:shape>
                <o:OLEObject Type="Embed" ProgID="Equation.3" ShapeID="_x0000_i1111" DrawAspect="Content" ObjectID="_1815025301" r:id="rId118"/>
              </w:object>
            </w:r>
            <w:r w:rsidRPr="006F784F">
              <w:rPr>
                <w:position w:val="-22"/>
              </w:rPr>
              <w:object w:dxaOrig="225" w:dyaOrig="465" w14:anchorId="30882CB2">
                <v:shape id="_x0000_i1112" type="#_x0000_t75" style="width:12pt;height:18pt" o:ole="">
                  <v:imagedata r:id="rId98" o:title=""/>
                </v:shape>
                <o:OLEObject Type="Embed" ProgID="Equation.3" ShapeID="_x0000_i1112" DrawAspect="Content" ObjectID="_1815025302" r:id="rId119"/>
              </w:object>
            </w:r>
            <w:r>
              <w:t>RTAMLDC</w:t>
            </w:r>
            <w:r>
              <w:rPr>
                <w:lang w:val="sv-SE"/>
              </w:rPr>
              <w:t xml:space="preserve"> </w:t>
            </w:r>
            <w:r>
              <w:rPr>
                <w:i/>
                <w:vertAlign w:val="subscript"/>
                <w:lang w:val="sv-SE"/>
              </w:rPr>
              <w:t>q, p,</w:t>
            </w:r>
            <w:r w:rsidR="00467363">
              <w:rPr>
                <w:i/>
                <w:vertAlign w:val="subscript"/>
                <w:lang w:val="sv-SE"/>
              </w:rPr>
              <w:t xml:space="preserve"> </w:t>
            </w:r>
            <w:r>
              <w:rPr>
                <w:i/>
                <w:vertAlign w:val="subscript"/>
                <w:lang w:val="sv-SE"/>
              </w:rPr>
              <w:t xml:space="preserve">i </w:t>
            </w:r>
            <w:r>
              <w:rPr>
                <w:lang w:val="sv-SE"/>
              </w:rPr>
              <w:t>) / MRTAMLLZTOT</w:t>
            </w:r>
            <w:r w:rsidRPr="00A77BD2">
              <w:rPr>
                <w:rFonts w:ascii="Times New Roman Bold" w:hAnsi="Times New Roman Bold"/>
                <w:i/>
                <w:vertAlign w:val="subscript"/>
                <w:lang w:val="sv-SE"/>
              </w:rPr>
              <w:t>z</w:t>
            </w:r>
          </w:p>
          <w:p w14:paraId="7B5B77BF" w14:textId="77777777" w:rsidR="00694BD2" w:rsidRDefault="00694BD2" w:rsidP="00694BD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66"/>
              <w:gridCol w:w="860"/>
              <w:gridCol w:w="6914"/>
            </w:tblGrid>
            <w:tr w:rsidR="00694BD2" w14:paraId="0CFFA154" w14:textId="77777777" w:rsidTr="00082248">
              <w:trPr>
                <w:cantSplit/>
              </w:trPr>
              <w:tc>
                <w:tcPr>
                  <w:tcW w:w="1050" w:type="pct"/>
                </w:tcPr>
                <w:p w14:paraId="4004868E" w14:textId="77777777" w:rsidR="00694BD2" w:rsidRDefault="00694BD2" w:rsidP="00694BD2">
                  <w:pPr>
                    <w:pStyle w:val="TableHead"/>
                  </w:pPr>
                  <w:r>
                    <w:t>Variable</w:t>
                  </w:r>
                </w:p>
              </w:tc>
              <w:tc>
                <w:tcPr>
                  <w:tcW w:w="437" w:type="pct"/>
                </w:tcPr>
                <w:p w14:paraId="08AAC53D" w14:textId="77777777" w:rsidR="00694BD2" w:rsidRDefault="00694BD2" w:rsidP="00694BD2">
                  <w:pPr>
                    <w:pStyle w:val="TableHead"/>
                  </w:pPr>
                  <w:r>
                    <w:t>Unit</w:t>
                  </w:r>
                </w:p>
              </w:tc>
              <w:tc>
                <w:tcPr>
                  <w:tcW w:w="3512" w:type="pct"/>
                </w:tcPr>
                <w:p w14:paraId="1A5D6BDC" w14:textId="77777777" w:rsidR="00694BD2" w:rsidRDefault="00694BD2" w:rsidP="00694BD2">
                  <w:pPr>
                    <w:pStyle w:val="TableHead"/>
                  </w:pPr>
                  <w:r>
                    <w:t>Description</w:t>
                  </w:r>
                </w:p>
              </w:tc>
            </w:tr>
            <w:tr w:rsidR="00694BD2" w14:paraId="09A4C4E3" w14:textId="77777777" w:rsidTr="00082248">
              <w:trPr>
                <w:cantSplit/>
              </w:trPr>
              <w:tc>
                <w:tcPr>
                  <w:tcW w:w="1050" w:type="pct"/>
                </w:tcPr>
                <w:p w14:paraId="45DCD527" w14:textId="47D01122" w:rsidR="00694BD2" w:rsidRDefault="00694BD2" w:rsidP="00694BD2">
                  <w:pPr>
                    <w:pStyle w:val="TableBody"/>
                  </w:pPr>
                  <w:r>
                    <w:t>DCMLRSZ</w:t>
                  </w:r>
                  <w:r>
                    <w:rPr>
                      <w:i/>
                      <w:vertAlign w:val="subscript"/>
                    </w:rPr>
                    <w:t xml:space="preserve"> q,</w:t>
                  </w:r>
                  <w:r w:rsidR="009E3281">
                    <w:rPr>
                      <w:i/>
                      <w:vertAlign w:val="subscript"/>
                    </w:rPr>
                    <w:t xml:space="preserve"> </w:t>
                  </w:r>
                  <w:r>
                    <w:rPr>
                      <w:i/>
                      <w:vertAlign w:val="subscript"/>
                    </w:rPr>
                    <w:t>z</w:t>
                  </w:r>
                </w:p>
              </w:tc>
              <w:tc>
                <w:tcPr>
                  <w:tcW w:w="437" w:type="pct"/>
                </w:tcPr>
                <w:p w14:paraId="43EA1781" w14:textId="77777777" w:rsidR="00694BD2" w:rsidRDefault="00694BD2" w:rsidP="00694BD2">
                  <w:pPr>
                    <w:pStyle w:val="TableBody"/>
                  </w:pPr>
                  <w:r>
                    <w:t>none</w:t>
                  </w:r>
                </w:p>
              </w:tc>
              <w:tc>
                <w:tcPr>
                  <w:tcW w:w="3512" w:type="pct"/>
                </w:tcPr>
                <w:p w14:paraId="06947DA5" w14:textId="2C16E0E0" w:rsidR="00694BD2" w:rsidRDefault="00694BD2" w:rsidP="001335E7">
                  <w:pPr>
                    <w:pStyle w:val="TableBody"/>
                    <w:rPr>
                      <w:i/>
                    </w:rPr>
                  </w:pPr>
                  <w:r>
                    <w:rPr>
                      <w:i/>
                    </w:rPr>
                    <w:t>DC Tie Exports Monthly Load Ratio Share Zonal per QSE</w:t>
                  </w:r>
                  <w:r>
                    <w:t xml:space="preserve">—The ratio share </w:t>
                  </w:r>
                  <w:r w:rsidR="00DA1E33">
                    <w:br/>
                  </w:r>
                  <w:r>
                    <w:t xml:space="preserve">calculated for QSE </w:t>
                  </w:r>
                  <w:r>
                    <w:rPr>
                      <w:i/>
                    </w:rPr>
                    <w:t>q</w:t>
                  </w:r>
                  <w:r>
                    <w:t xml:space="preserve"> with DC Tie exports by CMZ </w:t>
                  </w:r>
                  <w:r>
                    <w:rPr>
                      <w:i/>
                    </w:rPr>
                    <w:t xml:space="preserve">z </w:t>
                  </w:r>
                  <w:r>
                    <w:t>for the calendar month.</w:t>
                  </w:r>
                </w:p>
              </w:tc>
            </w:tr>
            <w:tr w:rsidR="00694BD2" w14:paraId="4E078CB5" w14:textId="77777777" w:rsidTr="00082248">
              <w:trPr>
                <w:cantSplit/>
              </w:trPr>
              <w:tc>
                <w:tcPr>
                  <w:tcW w:w="1050" w:type="pct"/>
                </w:tcPr>
                <w:p w14:paraId="1121F6CF" w14:textId="0E175749" w:rsidR="00694BD2" w:rsidRDefault="00694BD2" w:rsidP="00694BD2">
                  <w:pPr>
                    <w:pStyle w:val="TableBody"/>
                  </w:pPr>
                  <w:r>
                    <w:rPr>
                      <w:lang w:val="sv-SE"/>
                    </w:rPr>
                    <w:t xml:space="preserve">RTAMLDC </w:t>
                  </w:r>
                  <w:r>
                    <w:rPr>
                      <w:i/>
                      <w:vertAlign w:val="subscript"/>
                      <w:lang w:val="sv-SE"/>
                    </w:rPr>
                    <w:t>q,</w:t>
                  </w:r>
                  <w:r w:rsidR="002B5070">
                    <w:rPr>
                      <w:i/>
                      <w:vertAlign w:val="subscript"/>
                      <w:lang w:val="sv-SE"/>
                    </w:rPr>
                    <w:t xml:space="preserve"> </w:t>
                  </w:r>
                  <w:r>
                    <w:rPr>
                      <w:i/>
                      <w:vertAlign w:val="subscript"/>
                      <w:lang w:val="sv-SE"/>
                    </w:rPr>
                    <w:t>p,</w:t>
                  </w:r>
                  <w:r w:rsidR="002B5070">
                    <w:rPr>
                      <w:i/>
                      <w:vertAlign w:val="subscript"/>
                      <w:lang w:val="sv-SE"/>
                    </w:rPr>
                    <w:t xml:space="preserve"> </w:t>
                  </w:r>
                  <w:r>
                    <w:rPr>
                      <w:i/>
                      <w:vertAlign w:val="subscript"/>
                      <w:lang w:val="sv-SE"/>
                    </w:rPr>
                    <w:t xml:space="preserve">i  </w:t>
                  </w:r>
                </w:p>
              </w:tc>
              <w:tc>
                <w:tcPr>
                  <w:tcW w:w="437" w:type="pct"/>
                </w:tcPr>
                <w:p w14:paraId="5F061B78" w14:textId="77777777" w:rsidR="00694BD2" w:rsidRDefault="00694BD2" w:rsidP="00694BD2">
                  <w:pPr>
                    <w:pStyle w:val="TableBody"/>
                  </w:pPr>
                  <w:r>
                    <w:t>MWh</w:t>
                  </w:r>
                </w:p>
              </w:tc>
              <w:tc>
                <w:tcPr>
                  <w:tcW w:w="3512" w:type="pct"/>
                </w:tcPr>
                <w:p w14:paraId="0858B43F" w14:textId="372391CA" w:rsidR="00694BD2" w:rsidRDefault="00694BD2" w:rsidP="00694BD2">
                  <w:pPr>
                    <w:pStyle w:val="TableBody"/>
                    <w:rPr>
                      <w:i/>
                    </w:rPr>
                  </w:pPr>
                  <w:r>
                    <w:rPr>
                      <w:i/>
                    </w:rPr>
                    <w:t>Real-Time Adjusted Metered Load for DC Ties per Settlement Point per QSE</w:t>
                  </w:r>
                  <w:r>
                    <w:t xml:space="preserve">—The sum of the DC Tie AML at the Electrical Buses that are included in Settlement </w:t>
                  </w:r>
                  <w:r w:rsidR="00DA1E33">
                    <w:br/>
                  </w:r>
                  <w:r>
                    <w:t xml:space="preserve">Point </w:t>
                  </w:r>
                  <w:r>
                    <w:rPr>
                      <w:i/>
                    </w:rPr>
                    <w:t>p</w:t>
                  </w:r>
                  <w:r>
                    <w:t xml:space="preserve">, represented by QSE </w:t>
                  </w:r>
                  <w:r>
                    <w:rPr>
                      <w:i/>
                    </w:rPr>
                    <w:t>q</w:t>
                  </w:r>
                  <w:r>
                    <w:t xml:space="preserve">, for the 15-minute Settlement Interval </w:t>
                  </w:r>
                  <w:r w:rsidRPr="008B5147">
                    <w:rPr>
                      <w:i/>
                    </w:rPr>
                    <w:t>i</w:t>
                  </w:r>
                  <w:r>
                    <w:t xml:space="preserve">. </w:t>
                  </w:r>
                </w:p>
              </w:tc>
            </w:tr>
            <w:tr w:rsidR="00694BD2" w14:paraId="4EE8D906" w14:textId="77777777" w:rsidTr="00082248">
              <w:trPr>
                <w:cantSplit/>
              </w:trPr>
              <w:tc>
                <w:tcPr>
                  <w:tcW w:w="1050" w:type="pct"/>
                </w:tcPr>
                <w:p w14:paraId="12ADE1F6" w14:textId="77777777" w:rsidR="00694BD2" w:rsidRDefault="00694BD2" w:rsidP="00694BD2">
                  <w:pPr>
                    <w:pStyle w:val="TableBody"/>
                  </w:pPr>
                  <w:r>
                    <w:t>MRTAMLLZTOT</w:t>
                  </w:r>
                  <w:r w:rsidRPr="006D64A7">
                    <w:rPr>
                      <w:rFonts w:ascii="Times New Roman Bold" w:hAnsi="Times New Roman Bold"/>
                      <w:vertAlign w:val="subscript"/>
                      <w:lang w:val="sv-SE"/>
                    </w:rPr>
                    <w:t xml:space="preserve"> </w:t>
                  </w:r>
                  <w:r>
                    <w:rPr>
                      <w:i/>
                      <w:vertAlign w:val="subscript"/>
                    </w:rPr>
                    <w:t>z</w:t>
                  </w:r>
                </w:p>
              </w:tc>
              <w:tc>
                <w:tcPr>
                  <w:tcW w:w="437" w:type="pct"/>
                </w:tcPr>
                <w:p w14:paraId="33C2448E" w14:textId="77777777" w:rsidR="00694BD2" w:rsidRDefault="00694BD2" w:rsidP="00694BD2">
                  <w:pPr>
                    <w:pStyle w:val="TableBody"/>
                  </w:pPr>
                  <w:r>
                    <w:t>MWh</w:t>
                  </w:r>
                </w:p>
              </w:tc>
              <w:tc>
                <w:tcPr>
                  <w:tcW w:w="3512" w:type="pct"/>
                </w:tcPr>
                <w:p w14:paraId="3ECCB92D" w14:textId="77777777" w:rsidR="00694BD2" w:rsidRDefault="00694BD2" w:rsidP="00694BD2">
                  <w:pPr>
                    <w:pStyle w:val="TableBody"/>
                  </w:pPr>
                  <w:r>
                    <w:rPr>
                      <w:i/>
                      <w:iCs w:val="0"/>
                    </w:rPr>
                    <w:t xml:space="preserve">Monthly </w:t>
                  </w:r>
                  <w:r w:rsidRPr="00FC2DA7">
                    <w:rPr>
                      <w:i/>
                      <w:iCs w:val="0"/>
                    </w:rPr>
                    <w:t xml:space="preserve">Real-Time Adjusted Metered Load </w:t>
                  </w:r>
                  <w:r>
                    <w:rPr>
                      <w:i/>
                      <w:iCs w:val="0"/>
                    </w:rPr>
                    <w:t xml:space="preserve">- Load Zone </w:t>
                  </w:r>
                  <w:r w:rsidRPr="00FC2DA7">
                    <w:rPr>
                      <w:i/>
                      <w:iCs w:val="0"/>
                    </w:rPr>
                    <w:t>Total</w:t>
                  </w:r>
                  <w:r w:rsidRPr="00FC2DA7">
                    <w:rPr>
                      <w:iCs w:val="0"/>
                    </w:rPr>
                    <w:t xml:space="preserve">—The total </w:t>
                  </w:r>
                  <w:r>
                    <w:rPr>
                      <w:iCs w:val="0"/>
                    </w:rPr>
                    <w:t>AML</w:t>
                  </w:r>
                  <w:r w:rsidRPr="00FC2DA7">
                    <w:rPr>
                      <w:iCs w:val="0"/>
                    </w:rPr>
                    <w:t xml:space="preserve"> in </w:t>
                  </w:r>
                  <w:r>
                    <w:rPr>
                      <w:iCs w:val="0"/>
                    </w:rPr>
                    <w:t>CMZ z</w:t>
                  </w:r>
                  <w:r w:rsidRPr="00FC2DA7">
                    <w:rPr>
                      <w:iCs w:val="0"/>
                    </w:rPr>
                    <w:t>, for th</w:t>
                  </w:r>
                  <w:r>
                    <w:rPr>
                      <w:iCs w:val="0"/>
                    </w:rPr>
                    <w:t>e calendar month.</w:t>
                  </w:r>
                </w:p>
              </w:tc>
            </w:tr>
            <w:tr w:rsidR="00694BD2" w14:paraId="0C370F31" w14:textId="77777777" w:rsidTr="00082248">
              <w:trPr>
                <w:cantSplit/>
              </w:trPr>
              <w:tc>
                <w:tcPr>
                  <w:tcW w:w="1050" w:type="pct"/>
                </w:tcPr>
                <w:p w14:paraId="55DAA7AD" w14:textId="77777777" w:rsidR="00694BD2" w:rsidRPr="00A61E91" w:rsidRDefault="00694BD2" w:rsidP="00694BD2">
                  <w:pPr>
                    <w:pStyle w:val="TableBody"/>
                    <w:rPr>
                      <w:i/>
                    </w:rPr>
                  </w:pPr>
                  <w:r w:rsidRPr="00FC2DA7">
                    <w:rPr>
                      <w:i/>
                      <w:iCs w:val="0"/>
                    </w:rPr>
                    <w:t>q</w:t>
                  </w:r>
                </w:p>
              </w:tc>
              <w:tc>
                <w:tcPr>
                  <w:tcW w:w="437" w:type="pct"/>
                </w:tcPr>
                <w:p w14:paraId="405F7249" w14:textId="77777777" w:rsidR="00694BD2" w:rsidRDefault="00694BD2" w:rsidP="00694BD2">
                  <w:pPr>
                    <w:pStyle w:val="TableBody"/>
                  </w:pPr>
                  <w:r w:rsidRPr="00FC2DA7">
                    <w:rPr>
                      <w:iCs w:val="0"/>
                    </w:rPr>
                    <w:t>none</w:t>
                  </w:r>
                </w:p>
              </w:tc>
              <w:tc>
                <w:tcPr>
                  <w:tcW w:w="3512" w:type="pct"/>
                </w:tcPr>
                <w:p w14:paraId="28B03D94" w14:textId="77777777" w:rsidR="00694BD2" w:rsidRDefault="00694BD2" w:rsidP="00694BD2">
                  <w:pPr>
                    <w:pStyle w:val="TableBody"/>
                  </w:pPr>
                  <w:r w:rsidRPr="00FC2DA7">
                    <w:rPr>
                      <w:iCs w:val="0"/>
                    </w:rPr>
                    <w:t xml:space="preserve">A QSE.  </w:t>
                  </w:r>
                </w:p>
              </w:tc>
            </w:tr>
            <w:tr w:rsidR="00694BD2" w14:paraId="2A9A23AC" w14:textId="77777777" w:rsidTr="00082248">
              <w:trPr>
                <w:cantSplit/>
              </w:trPr>
              <w:tc>
                <w:tcPr>
                  <w:tcW w:w="1050" w:type="pct"/>
                </w:tcPr>
                <w:p w14:paraId="374E75A9" w14:textId="77777777" w:rsidR="00694BD2" w:rsidRPr="00993F9F" w:rsidRDefault="00694BD2" w:rsidP="00694BD2">
                  <w:pPr>
                    <w:pStyle w:val="TableBody"/>
                    <w:rPr>
                      <w:i/>
                    </w:rPr>
                  </w:pPr>
                  <w:r w:rsidRPr="00A61E91">
                    <w:rPr>
                      <w:i/>
                    </w:rPr>
                    <w:t>p</w:t>
                  </w:r>
                </w:p>
              </w:tc>
              <w:tc>
                <w:tcPr>
                  <w:tcW w:w="437" w:type="pct"/>
                </w:tcPr>
                <w:p w14:paraId="5804AA56" w14:textId="77777777" w:rsidR="00694BD2" w:rsidRDefault="00694BD2" w:rsidP="00694BD2">
                  <w:pPr>
                    <w:pStyle w:val="TableBody"/>
                  </w:pPr>
                  <w:r>
                    <w:t>none</w:t>
                  </w:r>
                </w:p>
              </w:tc>
              <w:tc>
                <w:tcPr>
                  <w:tcW w:w="3512" w:type="pct"/>
                </w:tcPr>
                <w:p w14:paraId="46078C32" w14:textId="77777777" w:rsidR="00694BD2" w:rsidRDefault="00694BD2" w:rsidP="00694BD2">
                  <w:pPr>
                    <w:pStyle w:val="TableBody"/>
                  </w:pPr>
                  <w:r>
                    <w:t>A Settlement Point</w:t>
                  </w:r>
                  <w:r>
                    <w:rPr>
                      <w:iCs w:val="0"/>
                    </w:rPr>
                    <w:t xml:space="preserve"> in the 2003 ERCOT CMZ</w:t>
                  </w:r>
                  <w:r>
                    <w:t>.</w:t>
                  </w:r>
                </w:p>
              </w:tc>
            </w:tr>
            <w:tr w:rsidR="00694BD2" w14:paraId="66D0A3F1" w14:textId="77777777" w:rsidTr="00082248">
              <w:trPr>
                <w:cantSplit/>
              </w:trPr>
              <w:tc>
                <w:tcPr>
                  <w:tcW w:w="1050" w:type="pct"/>
                </w:tcPr>
                <w:p w14:paraId="7657383A" w14:textId="77777777" w:rsidR="00694BD2" w:rsidRPr="00A61E91" w:rsidRDefault="00694BD2" w:rsidP="00694BD2">
                  <w:pPr>
                    <w:pStyle w:val="TableBody"/>
                    <w:rPr>
                      <w:i/>
                    </w:rPr>
                  </w:pPr>
                  <w:r w:rsidRPr="00B77C4C">
                    <w:rPr>
                      <w:i/>
                    </w:rPr>
                    <w:t>i</w:t>
                  </w:r>
                </w:p>
              </w:tc>
              <w:tc>
                <w:tcPr>
                  <w:tcW w:w="437" w:type="pct"/>
                </w:tcPr>
                <w:p w14:paraId="0B14F27F" w14:textId="77777777" w:rsidR="00694BD2" w:rsidRDefault="00694BD2" w:rsidP="00694BD2">
                  <w:pPr>
                    <w:pStyle w:val="TableBody"/>
                  </w:pPr>
                  <w:r w:rsidRPr="00B77C4C">
                    <w:t>none</w:t>
                  </w:r>
                </w:p>
              </w:tc>
              <w:tc>
                <w:tcPr>
                  <w:tcW w:w="3512" w:type="pct"/>
                </w:tcPr>
                <w:p w14:paraId="3DA7BB7E" w14:textId="77777777" w:rsidR="00694BD2" w:rsidRDefault="00694BD2" w:rsidP="00694BD2">
                  <w:pPr>
                    <w:pStyle w:val="TableBody"/>
                  </w:pPr>
                  <w:r w:rsidRPr="00B77C4C">
                    <w:t xml:space="preserve">A 15-minute Settlement Interval. </w:t>
                  </w:r>
                </w:p>
              </w:tc>
            </w:tr>
            <w:tr w:rsidR="00694BD2" w14:paraId="1189E409" w14:textId="77777777" w:rsidTr="00082248">
              <w:trPr>
                <w:cantSplit/>
              </w:trPr>
              <w:tc>
                <w:tcPr>
                  <w:tcW w:w="1050" w:type="pct"/>
                </w:tcPr>
                <w:p w14:paraId="6D2E4637" w14:textId="77777777" w:rsidR="00694BD2" w:rsidRDefault="00694BD2" w:rsidP="00694BD2">
                  <w:pPr>
                    <w:pStyle w:val="TableBody"/>
                    <w:rPr>
                      <w:i/>
                    </w:rPr>
                  </w:pPr>
                  <w:r>
                    <w:rPr>
                      <w:i/>
                    </w:rPr>
                    <w:t>z</w:t>
                  </w:r>
                </w:p>
              </w:tc>
              <w:tc>
                <w:tcPr>
                  <w:tcW w:w="437" w:type="pct"/>
                </w:tcPr>
                <w:p w14:paraId="23489AE0" w14:textId="77777777" w:rsidR="00694BD2" w:rsidRDefault="00694BD2" w:rsidP="00694BD2">
                  <w:pPr>
                    <w:pStyle w:val="TableBody"/>
                  </w:pPr>
                  <w:r>
                    <w:t>none</w:t>
                  </w:r>
                </w:p>
              </w:tc>
              <w:tc>
                <w:tcPr>
                  <w:tcW w:w="3512" w:type="pct"/>
                </w:tcPr>
                <w:p w14:paraId="336A569F" w14:textId="77777777" w:rsidR="00694BD2" w:rsidRDefault="00694BD2" w:rsidP="00694BD2">
                  <w:pPr>
                    <w:pStyle w:val="TableBody"/>
                  </w:pPr>
                  <w:r w:rsidRPr="006D64A7">
                    <w:t>A 2003 ERCOT CMZ.</w:t>
                  </w:r>
                </w:p>
              </w:tc>
            </w:tr>
          </w:tbl>
          <w:p w14:paraId="49CAC0C4" w14:textId="77777777" w:rsidR="006930B7" w:rsidRPr="008F39F7" w:rsidRDefault="006930B7" w:rsidP="00663874">
            <w:pPr>
              <w:pStyle w:val="Instructions"/>
              <w:spacing w:before="120"/>
            </w:pPr>
          </w:p>
        </w:tc>
      </w:tr>
    </w:tbl>
    <w:p w14:paraId="5BDCE569" w14:textId="77777777" w:rsidR="001F04FD" w:rsidRDefault="001F04FD" w:rsidP="001F04FD">
      <w:pPr>
        <w:pStyle w:val="H3"/>
        <w:spacing w:before="480"/>
      </w:pPr>
      <w:bookmarkStart w:id="1839" w:name="_Toc204411664"/>
      <w:r>
        <w:lastRenderedPageBreak/>
        <w:t>6.6.3</w:t>
      </w:r>
      <w:r>
        <w:tab/>
        <w:t>Real-Time Energy Charges and Payments</w:t>
      </w:r>
      <w:bookmarkEnd w:id="1705"/>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9"/>
      <w:r>
        <w:t xml:space="preserve"> </w:t>
      </w:r>
    </w:p>
    <w:p w14:paraId="4459E70E" w14:textId="77777777" w:rsidR="001F04FD" w:rsidRDefault="001F04FD" w:rsidP="001F04FD">
      <w:pPr>
        <w:pStyle w:val="H4"/>
        <w:spacing w:before="480"/>
        <w:ind w:left="1267" w:hanging="1267"/>
      </w:pPr>
      <w:bookmarkStart w:id="1840" w:name="_Toc87951785"/>
      <w:bookmarkStart w:id="1841" w:name="_Toc109009389"/>
      <w:bookmarkStart w:id="1842" w:name="_Toc397505013"/>
      <w:bookmarkStart w:id="1843" w:name="_Toc402357141"/>
      <w:bookmarkStart w:id="1844" w:name="_Toc422486519"/>
      <w:bookmarkStart w:id="1845" w:name="_Toc433093371"/>
      <w:bookmarkStart w:id="1846" w:name="_Toc433093529"/>
      <w:bookmarkStart w:id="1847" w:name="_Toc440874757"/>
      <w:bookmarkStart w:id="1848" w:name="_Toc448142312"/>
      <w:bookmarkStart w:id="1849" w:name="_Toc448142469"/>
      <w:bookmarkStart w:id="1850" w:name="_Toc458770310"/>
      <w:bookmarkStart w:id="1851" w:name="_Toc459294278"/>
      <w:bookmarkStart w:id="1852" w:name="_Toc463262771"/>
      <w:bookmarkStart w:id="1853" w:name="_Toc468286844"/>
      <w:bookmarkStart w:id="1854" w:name="_Toc481502887"/>
      <w:bookmarkStart w:id="1855" w:name="_Toc496080055"/>
      <w:bookmarkStart w:id="1856" w:name="_Toc204411665"/>
      <w:r>
        <w:t>6.6.3.1</w:t>
      </w:r>
      <w:r>
        <w:tab/>
        <w:t xml:space="preserve">Real-Time Energy </w:t>
      </w:r>
      <w:bookmarkEnd w:id="1840"/>
      <w:bookmarkEnd w:id="1841"/>
      <w:r>
        <w:t>Imbalance Payment or Charge at a Resource Node</w:t>
      </w:r>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p>
    <w:p w14:paraId="4801CBDE" w14:textId="77777777" w:rsidR="001F04FD" w:rsidRDefault="001F04FD" w:rsidP="001F04FD">
      <w:pPr>
        <w:pStyle w:val="BodyTextNumbered"/>
      </w:pPr>
      <w:bookmarkStart w:id="1857" w:name="_Toc118199816"/>
      <w:bookmarkStart w:id="1858" w:name="_Toc118200328"/>
      <w:bookmarkStart w:id="1859" w:name="_Toc118908571"/>
      <w:bookmarkStart w:id="1860" w:name="_Toc119180742"/>
      <w:bookmarkStart w:id="1861" w:name="_Toc87951786"/>
      <w:bookmarkStart w:id="1862" w:name="_Toc109009390"/>
      <w:r>
        <w:t>(1)</w:t>
      </w:r>
      <w:r>
        <w:tab/>
        <w:t>The payment or charge to each QSE for Energy Imbalance Service is calculated based on the Real-Time Settlement Point Price for the following amounts at a particular Resource Node Settlement Point:</w:t>
      </w:r>
    </w:p>
    <w:p w14:paraId="07F6DDF1" w14:textId="588ECA5F" w:rsidR="001F04FD" w:rsidRDefault="001F04FD" w:rsidP="001F04FD">
      <w:pPr>
        <w:pStyle w:val="List"/>
      </w:pPr>
      <w:r>
        <w:t>(a)</w:t>
      </w:r>
      <w:r>
        <w:tab/>
        <w:t>The energy produced by all its Generation Resources</w:t>
      </w:r>
      <w:r w:rsidR="002A0AD7">
        <w:t>,</w:t>
      </w:r>
      <w:r>
        <w:t xml:space="preserve"> consumed as WSL</w:t>
      </w:r>
      <w:r w:rsidR="002A0AD7">
        <w:t>, or consumed as Non-WSL ESR Charging Load</w:t>
      </w:r>
      <w:r>
        <w:t xml:space="preserve"> at the Settlement Point; plus</w:t>
      </w:r>
    </w:p>
    <w:tbl>
      <w:tblPr>
        <w:tblW w:w="957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6C5B5E" w14:paraId="3D03F256" w14:textId="77777777" w:rsidTr="006C5B5E">
        <w:trPr>
          <w:trHeight w:val="206"/>
        </w:trPr>
        <w:tc>
          <w:tcPr>
            <w:tcW w:w="9576" w:type="dxa"/>
            <w:shd w:val="pct12" w:color="auto" w:fill="auto"/>
          </w:tcPr>
          <w:p w14:paraId="6FC12799" w14:textId="2A5F01B6" w:rsidR="006C5B5E" w:rsidRDefault="006C5B5E" w:rsidP="00F5593C">
            <w:pPr>
              <w:pStyle w:val="Instructions"/>
              <w:spacing w:before="120"/>
            </w:pPr>
            <w:r>
              <w:t>[NPRR1188:  Replace item (a) above with the following upon system implementation:]</w:t>
            </w:r>
          </w:p>
          <w:p w14:paraId="6019133D" w14:textId="1AC9546A" w:rsidR="006C5B5E" w:rsidRPr="006C5B5E" w:rsidRDefault="006C5B5E" w:rsidP="006C5B5E">
            <w:pPr>
              <w:spacing w:after="240"/>
              <w:ind w:left="1440" w:hanging="720"/>
            </w:pPr>
            <w:r w:rsidRPr="00812ECB">
              <w:t>(a)</w:t>
            </w:r>
            <w:r w:rsidRPr="00812ECB">
              <w:tab/>
            </w:r>
            <w:bookmarkStart w:id="1863" w:name="_Hlk115958550"/>
            <w:r w:rsidRPr="00812ECB">
              <w:t>The energy produced or consumed at the Settlement Point by all its Generation Resources, ESR Charging Load with WSL treatment, ESR Charging Load with Non-WSL treatment, or CLRs that are not ALRs; plus</w:t>
            </w:r>
            <w:bookmarkEnd w:id="1863"/>
          </w:p>
        </w:tc>
      </w:tr>
    </w:tbl>
    <w:p w14:paraId="24AD154F" w14:textId="1E044226" w:rsidR="001F04FD" w:rsidRDefault="001F04FD" w:rsidP="004116AE">
      <w:pPr>
        <w:pStyle w:val="List"/>
        <w:spacing w:before="240"/>
      </w:pPr>
      <w:r>
        <w:t>(b)</w:t>
      </w:r>
      <w:r>
        <w:tab/>
        <w:t>The amount of its Self-Schedules with sink specified at the Settlement Point; plus</w:t>
      </w:r>
    </w:p>
    <w:p w14:paraId="1F17385D" w14:textId="77777777" w:rsidR="001F04FD" w:rsidRDefault="001F04FD" w:rsidP="001F04FD">
      <w:pPr>
        <w:pStyle w:val="List"/>
      </w:pPr>
      <w:r>
        <w:t>(c)</w:t>
      </w:r>
      <w:r>
        <w:tab/>
        <w:t>The amount of its Day-Ahead Market (DAM) Energy Bids cleared in the DAM at the Settlement Point; plus</w:t>
      </w:r>
    </w:p>
    <w:p w14:paraId="58DA1842" w14:textId="77777777" w:rsidR="001F04FD" w:rsidRDefault="001F04FD" w:rsidP="001F04FD">
      <w:pPr>
        <w:pStyle w:val="List"/>
      </w:pPr>
      <w:r>
        <w:t>(d)</w:t>
      </w:r>
      <w:r>
        <w:tab/>
        <w:t>The amount of its Energy Trades at the Settlement Point where the QSE is the buyer; minus</w:t>
      </w:r>
    </w:p>
    <w:p w14:paraId="41E178F6" w14:textId="77777777" w:rsidR="001F04FD" w:rsidRDefault="001F04FD" w:rsidP="001F04FD">
      <w:pPr>
        <w:pStyle w:val="List"/>
      </w:pPr>
      <w:r>
        <w:t>(e)</w:t>
      </w:r>
      <w:r>
        <w:tab/>
        <w:t>The amount of its Self-Schedules with source specified at the Settlement Point; minus</w:t>
      </w:r>
    </w:p>
    <w:p w14:paraId="01EA5F2C" w14:textId="77777777" w:rsidR="001F04FD" w:rsidRDefault="001F04FD" w:rsidP="001F04FD">
      <w:pPr>
        <w:pStyle w:val="List"/>
      </w:pPr>
      <w:r>
        <w:t>(f)</w:t>
      </w:r>
      <w:r>
        <w:tab/>
        <w:t xml:space="preserve">The amount of its energy offers cleared in the DAM at the Settlement Point; minus </w:t>
      </w:r>
    </w:p>
    <w:p w14:paraId="1751BA62" w14:textId="77777777" w:rsidR="001F04FD" w:rsidRDefault="001F04FD" w:rsidP="001F04FD">
      <w:pPr>
        <w:pStyle w:val="List"/>
      </w:pPr>
      <w:r>
        <w:t>(g)</w:t>
      </w:r>
      <w:r>
        <w:tab/>
        <w:t xml:space="preserve">The amount of its Energy Trades at the Settlement Point where the QSE is the seller. </w:t>
      </w:r>
    </w:p>
    <w:p w14:paraId="3567F934" w14:textId="77777777" w:rsidR="001F04FD" w:rsidRPr="000149E5" w:rsidRDefault="001F04FD" w:rsidP="001F04FD">
      <w:pPr>
        <w:pStyle w:val="BodyTextNumbered"/>
        <w:rPr>
          <w:iCs/>
        </w:rPr>
      </w:pPr>
      <w:r w:rsidRPr="000149E5">
        <w:rPr>
          <w:iCs/>
        </w:rPr>
        <w:t>(2)</w:t>
      </w:r>
      <w:r w:rsidRPr="000149E5">
        <w:rPr>
          <w:iCs/>
        </w:rPr>
        <w:tab/>
        <w:t>The payment or charge to each QSE for Energy Imbalance Service at a Resource Node Settlement Point for a given 15-minute Settlement Interval is calculated as follows:</w:t>
      </w:r>
    </w:p>
    <w:p w14:paraId="70D001D3" w14:textId="77B4DD2D" w:rsidR="001F04FD" w:rsidRDefault="001F04FD" w:rsidP="001F04FD">
      <w:pPr>
        <w:pStyle w:val="FormulaBold"/>
        <w:ind w:left="3150" w:hanging="2430"/>
        <w:rPr>
          <w:sz w:val="32"/>
        </w:rPr>
      </w:pPr>
      <w:r>
        <w:t xml:space="preserve">RTEIAMT </w:t>
      </w:r>
      <w:r>
        <w:rPr>
          <w:i/>
          <w:vertAlign w:val="subscript"/>
        </w:rPr>
        <w:t>q, p</w:t>
      </w:r>
      <w:r>
        <w:tab/>
      </w:r>
      <w:r>
        <w:tab/>
      </w:r>
      <w:r w:rsidR="004E4B05">
        <w:t>= (-1) * {</w:t>
      </w:r>
      <w:r w:rsidR="004E4B05" w:rsidRPr="006F784F">
        <w:rPr>
          <w:position w:val="-22"/>
        </w:rPr>
        <w:object w:dxaOrig="285" w:dyaOrig="450" w14:anchorId="32A221F2">
          <v:shape id="_x0000_i1113" type="#_x0000_t75" style="width:12pt;height:24.6pt" o:ole="">
            <v:imagedata r:id="rId120" o:title=""/>
          </v:shape>
          <o:OLEObject Type="Embed" ProgID="Equation.3" ShapeID="_x0000_i1113" DrawAspect="Content" ObjectID="_1815025303" r:id="rId121"/>
        </w:object>
      </w:r>
      <w:r w:rsidR="004E4B05">
        <w:rPr>
          <w:rFonts w:ascii="Times New Roman Bold" w:hAnsi="Times New Roman Bold"/>
        </w:rPr>
        <w:t>(</w:t>
      </w:r>
      <w:r w:rsidR="004E4B05" w:rsidRPr="006F784F">
        <w:rPr>
          <w:position w:val="-18"/>
        </w:rPr>
        <w:object w:dxaOrig="225" w:dyaOrig="420" w14:anchorId="10FCFCC9">
          <v:shape id="_x0000_i1114" type="#_x0000_t75" style="width:12pt;height:24pt" o:ole="">
            <v:imagedata r:id="rId122" o:title=""/>
          </v:shape>
          <o:OLEObject Type="Embed" ProgID="Equation.3" ShapeID="_x0000_i1114" DrawAspect="Content" ObjectID="_1815025304" r:id="rId123"/>
        </w:object>
      </w:r>
      <w:r w:rsidR="004E4B05">
        <w:t>(RESREV</w:t>
      </w:r>
      <w:r w:rsidR="004E4B05" w:rsidRPr="003209BD">
        <w:rPr>
          <w:i/>
          <w:vertAlign w:val="subscript"/>
        </w:rPr>
        <w:t xml:space="preserve"> </w:t>
      </w:r>
      <w:r w:rsidR="004E4B05">
        <w:rPr>
          <w:i/>
          <w:vertAlign w:val="subscript"/>
        </w:rPr>
        <w:t>q, r, gsc, p</w:t>
      </w:r>
      <w:r w:rsidR="004E4B05">
        <w:t xml:space="preserve">)) </w:t>
      </w:r>
      <w:r w:rsidR="004E4B05" w:rsidRPr="00524CAD">
        <w:t>+ (</w:t>
      </w:r>
      <w:r w:rsidR="004E4B05" w:rsidRPr="00524CAD">
        <w:rPr>
          <w:position w:val="-18"/>
        </w:rPr>
        <w:object w:dxaOrig="225" w:dyaOrig="420" w14:anchorId="547A6384">
          <v:shape id="_x0000_i1115" type="#_x0000_t75" style="width:12pt;height:24pt" o:ole="">
            <v:imagedata r:id="rId122" o:title=""/>
          </v:shape>
          <o:OLEObject Type="Embed" ProgID="Equation.3" ShapeID="_x0000_i1115" DrawAspect="Content" ObjectID="_1815025305" r:id="rId124"/>
        </w:object>
      </w:r>
      <w:r w:rsidR="004E4B05" w:rsidRPr="00524CAD">
        <w:t>WSLAMTTOT</w:t>
      </w:r>
      <w:r w:rsidR="004E4B05" w:rsidRPr="00524CAD">
        <w:rPr>
          <w:i/>
          <w:sz w:val="28"/>
          <w:szCs w:val="28"/>
          <w:vertAlign w:val="subscript"/>
        </w:rPr>
        <w:t xml:space="preserve"> </w:t>
      </w:r>
      <w:r w:rsidR="004E4B05" w:rsidRPr="00524CAD">
        <w:rPr>
          <w:i/>
          <w:vertAlign w:val="subscript"/>
        </w:rPr>
        <w:t>q, r, p</w:t>
      </w:r>
      <w:r w:rsidR="004E4B05" w:rsidRPr="00524CAD">
        <w:t>)</w:t>
      </w:r>
      <w:r w:rsidR="004E4B05">
        <w:t xml:space="preserve"> </w:t>
      </w:r>
      <w:r w:rsidR="004E4B05" w:rsidRPr="00524CAD">
        <w:t>+ (</w:t>
      </w:r>
      <w:r w:rsidR="004E4B05" w:rsidRPr="00524CAD">
        <w:rPr>
          <w:position w:val="-18"/>
        </w:rPr>
        <w:object w:dxaOrig="225" w:dyaOrig="420" w14:anchorId="76489724">
          <v:shape id="_x0000_i1116" type="#_x0000_t75" style="width:12pt;height:24pt" o:ole="">
            <v:imagedata r:id="rId122" o:title=""/>
          </v:shape>
          <o:OLEObject Type="Embed" ProgID="Equation.3" ShapeID="_x0000_i1116" DrawAspect="Content" ObjectID="_1815025306" r:id="rId125"/>
        </w:object>
      </w:r>
      <w:r w:rsidR="004E4B05">
        <w:t>ESRN</w:t>
      </w:r>
      <w:r w:rsidR="004E4B05" w:rsidRPr="00524CAD">
        <w:t>WSLAMTTOT</w:t>
      </w:r>
      <w:r w:rsidR="004E4B05" w:rsidRPr="00524CAD">
        <w:rPr>
          <w:i/>
          <w:sz w:val="28"/>
          <w:szCs w:val="28"/>
          <w:vertAlign w:val="subscript"/>
        </w:rPr>
        <w:t xml:space="preserve"> </w:t>
      </w:r>
      <w:r w:rsidR="004E4B05" w:rsidRPr="00524CAD">
        <w:rPr>
          <w:i/>
          <w:vertAlign w:val="subscript"/>
        </w:rPr>
        <w:t>q, r, p</w:t>
      </w:r>
      <w:r w:rsidR="004E4B05" w:rsidRPr="00524CAD">
        <w:t>)</w:t>
      </w:r>
      <w:r w:rsidR="004E4B05">
        <w:t xml:space="preserve"> + RTSPP </w:t>
      </w:r>
      <w:r w:rsidR="004E4B05">
        <w:rPr>
          <w:i/>
          <w:vertAlign w:val="subscript"/>
        </w:rPr>
        <w:t>p</w:t>
      </w:r>
      <w:r w:rsidR="004E4B05">
        <w:t xml:space="preserve"> * [(SSSK </w:t>
      </w:r>
      <w:r w:rsidR="004E4B05">
        <w:rPr>
          <w:i/>
          <w:vertAlign w:val="subscript"/>
        </w:rPr>
        <w:t>q, p</w:t>
      </w:r>
      <w:r w:rsidR="004E4B05">
        <w:t xml:space="preserve"> * ¼) + (DAEP </w:t>
      </w:r>
      <w:r w:rsidR="004E4B05">
        <w:rPr>
          <w:i/>
          <w:vertAlign w:val="subscript"/>
        </w:rPr>
        <w:t>q, p</w:t>
      </w:r>
      <w:r w:rsidR="004E4B05">
        <w:t xml:space="preserve"> * ¼) + (RTQQEP </w:t>
      </w:r>
      <w:r w:rsidR="004E4B05">
        <w:rPr>
          <w:i/>
          <w:vertAlign w:val="subscript"/>
        </w:rPr>
        <w:t>q, p</w:t>
      </w:r>
      <w:r w:rsidR="004E4B05">
        <w:t xml:space="preserve"> * ¼) – (SSSR </w:t>
      </w:r>
      <w:r w:rsidR="004E4B05">
        <w:rPr>
          <w:i/>
          <w:vertAlign w:val="subscript"/>
        </w:rPr>
        <w:t>q, p</w:t>
      </w:r>
      <w:r w:rsidR="004E4B05">
        <w:t xml:space="preserve"> * ¼) – (DAES </w:t>
      </w:r>
      <w:r w:rsidR="004E4B05">
        <w:rPr>
          <w:i/>
          <w:vertAlign w:val="subscript"/>
        </w:rPr>
        <w:t>q, p</w:t>
      </w:r>
      <w:r w:rsidR="004E4B05">
        <w:t xml:space="preserve"> * ¼) – (RTQQES </w:t>
      </w:r>
      <w:r w:rsidR="004E4B05">
        <w:rPr>
          <w:i/>
          <w:vertAlign w:val="subscript"/>
        </w:rPr>
        <w:t>q, p</w:t>
      </w:r>
      <w:r w:rsidR="004E4B05">
        <w:t xml:space="preserve"> * ¼)]</w:t>
      </w:r>
      <w:r w:rsidR="004E4B05">
        <w:rPr>
          <w:sz w:val="32"/>
        </w:rPr>
        <w:t>}</w:t>
      </w:r>
    </w:p>
    <w:p w14:paraId="76E2F5DB" w14:textId="77777777" w:rsidR="001F04FD" w:rsidRPr="007710BD" w:rsidRDefault="001F04FD" w:rsidP="00FB599C">
      <w:pPr>
        <w:pStyle w:val="FormulaBold"/>
        <w:rPr>
          <w:b w:val="0"/>
        </w:rPr>
      </w:pPr>
      <w:r w:rsidRPr="007710BD">
        <w:rPr>
          <w:b w:val="0"/>
        </w:rPr>
        <w:t>Where:</w:t>
      </w:r>
    </w:p>
    <w:p w14:paraId="7BFEDCA6" w14:textId="77777777" w:rsidR="001F04FD" w:rsidRPr="00AD486D" w:rsidRDefault="001F04FD" w:rsidP="001F04FD">
      <w:pPr>
        <w:pStyle w:val="FormulaBold"/>
        <w:ind w:left="3150" w:hanging="2430"/>
        <w:rPr>
          <w:b w:val="0"/>
          <w:i/>
          <w:sz w:val="28"/>
          <w:szCs w:val="28"/>
          <w:vertAlign w:val="subscript"/>
        </w:rPr>
      </w:pPr>
      <w:r w:rsidRPr="00AD486D">
        <w:rPr>
          <w:b w:val="0"/>
        </w:rPr>
        <w:lastRenderedPageBreak/>
        <w:t>RESREV</w:t>
      </w:r>
      <w:r w:rsidRPr="00B15E7C">
        <w:rPr>
          <w:b w:val="0"/>
          <w:i/>
          <w:vertAlign w:val="subscript"/>
        </w:rPr>
        <w:t xml:space="preserve"> q</w:t>
      </w:r>
      <w:r w:rsidRPr="00AD486D">
        <w:rPr>
          <w:b w:val="0"/>
          <w:i/>
          <w:vertAlign w:val="subscript"/>
        </w:rPr>
        <w:t>, r, gsc, p</w:t>
      </w:r>
      <w:r w:rsidRPr="00AD486D">
        <w:rPr>
          <w:b w:val="0"/>
        </w:rPr>
        <w:tab/>
        <w:t xml:space="preserve">= GSPLITPER </w:t>
      </w:r>
      <w:r w:rsidRPr="00B15E7C">
        <w:rPr>
          <w:b w:val="0"/>
          <w:i/>
          <w:vertAlign w:val="subscript"/>
        </w:rPr>
        <w:t>q</w:t>
      </w:r>
      <w:r w:rsidRPr="00AD486D">
        <w:rPr>
          <w:b w:val="0"/>
          <w:i/>
          <w:vertAlign w:val="subscript"/>
        </w:rPr>
        <w:t>, r, gsc, p</w:t>
      </w:r>
      <w:r w:rsidRPr="00AD486D">
        <w:rPr>
          <w:b w:val="0"/>
        </w:rPr>
        <w:t xml:space="preserve"> * NMSAMTTOT </w:t>
      </w:r>
      <w:r w:rsidRPr="00AD486D">
        <w:rPr>
          <w:b w:val="0"/>
          <w:i/>
          <w:szCs w:val="28"/>
          <w:vertAlign w:val="subscript"/>
        </w:rPr>
        <w:t>gsc</w:t>
      </w:r>
    </w:p>
    <w:p w14:paraId="7B63C383" w14:textId="77777777" w:rsidR="001F04FD" w:rsidRPr="00AD486D" w:rsidRDefault="001F04FD" w:rsidP="001F04FD">
      <w:pPr>
        <w:pStyle w:val="FormulaBold"/>
        <w:ind w:left="3150" w:hanging="2430"/>
        <w:rPr>
          <w:b w:val="0"/>
          <w:i/>
          <w:vertAlign w:val="subscript"/>
        </w:rPr>
      </w:pPr>
      <w:r w:rsidRPr="00AD486D">
        <w:rPr>
          <w:b w:val="0"/>
        </w:rPr>
        <w:t>RESMEB</w:t>
      </w:r>
      <w:r w:rsidRPr="00B15E7C">
        <w:rPr>
          <w:b w:val="0"/>
          <w:i/>
          <w:vertAlign w:val="subscript"/>
        </w:rPr>
        <w:t xml:space="preserve"> q</w:t>
      </w:r>
      <w:r w:rsidRPr="00AD486D">
        <w:rPr>
          <w:b w:val="0"/>
          <w:i/>
          <w:vertAlign w:val="subscript"/>
        </w:rPr>
        <w:t>, r, gsc, p</w:t>
      </w:r>
      <w:r w:rsidRPr="00AD486D">
        <w:rPr>
          <w:b w:val="0"/>
          <w:i/>
          <w:vertAlign w:val="subscript"/>
        </w:rPr>
        <w:tab/>
      </w:r>
      <w:r w:rsidRPr="00AD486D">
        <w:rPr>
          <w:b w:val="0"/>
        </w:rPr>
        <w:t xml:space="preserve">= GSPLITPER </w:t>
      </w:r>
      <w:r w:rsidRPr="00B15E7C">
        <w:rPr>
          <w:b w:val="0"/>
          <w:i/>
          <w:vertAlign w:val="subscript"/>
        </w:rPr>
        <w:t>q</w:t>
      </w:r>
      <w:r w:rsidRPr="00AD486D">
        <w:rPr>
          <w:b w:val="0"/>
          <w:i/>
          <w:vertAlign w:val="subscript"/>
        </w:rPr>
        <w:t>, r, gsc, p</w:t>
      </w:r>
      <w:r w:rsidRPr="00AD486D">
        <w:rPr>
          <w:b w:val="0"/>
        </w:rPr>
        <w:t xml:space="preserve"> * NMRTETOT</w:t>
      </w:r>
      <w:r w:rsidRPr="00AD486D">
        <w:rPr>
          <w:b w:val="0"/>
          <w:i/>
          <w:vertAlign w:val="subscript"/>
        </w:rPr>
        <w:t xml:space="preserve"> gsc</w:t>
      </w:r>
    </w:p>
    <w:p w14:paraId="3D50787E" w14:textId="49ECB987" w:rsidR="001F04FD" w:rsidRPr="00B15E7C" w:rsidRDefault="001F04FD" w:rsidP="001F04FD">
      <w:pPr>
        <w:pStyle w:val="FormulaBold"/>
        <w:ind w:left="3150" w:hanging="2430"/>
        <w:rPr>
          <w:b w:val="0"/>
          <w:bCs w:val="0"/>
          <w:i/>
        </w:rPr>
      </w:pPr>
      <w:r w:rsidRPr="00AD486D">
        <w:rPr>
          <w:b w:val="0"/>
          <w:bCs w:val="0"/>
        </w:rPr>
        <w:t>WSLTOT</w:t>
      </w:r>
      <w:r w:rsidRPr="00AD486D">
        <w:rPr>
          <w:b w:val="0"/>
          <w:bCs w:val="0"/>
          <w:i/>
          <w:vertAlign w:val="subscript"/>
        </w:rPr>
        <w:t xml:space="preserve"> q, p</w:t>
      </w:r>
      <w:r w:rsidRPr="00AD486D">
        <w:rPr>
          <w:b w:val="0"/>
          <w:i/>
          <w:vertAlign w:val="subscript"/>
        </w:rPr>
        <w:tab/>
      </w:r>
      <w:r w:rsidRPr="00AD486D">
        <w:rPr>
          <w:b w:val="0"/>
          <w:vertAlign w:val="subscript"/>
        </w:rPr>
        <w:tab/>
      </w:r>
      <w:r w:rsidRPr="00B15E7C">
        <w:rPr>
          <w:b w:val="0"/>
          <w:bCs w:val="0"/>
        </w:rPr>
        <w:t xml:space="preserve">= </w:t>
      </w:r>
      <w:r w:rsidRPr="00AD486D">
        <w:rPr>
          <w:b w:val="0"/>
          <w:position w:val="-18"/>
        </w:rPr>
        <w:object w:dxaOrig="225" w:dyaOrig="420" w14:anchorId="70364040">
          <v:shape id="_x0000_i1117" type="#_x0000_t75" style="width:12pt;height:24pt" o:ole="">
            <v:imagedata r:id="rId122" o:title=""/>
          </v:shape>
          <o:OLEObject Type="Embed" ProgID="Equation.3" ShapeID="_x0000_i1117" DrawAspect="Content" ObjectID="_1815025307" r:id="rId126"/>
        </w:object>
      </w:r>
      <w:r w:rsidRPr="00AD486D">
        <w:rPr>
          <w:b w:val="0"/>
          <w:position w:val="-22"/>
        </w:rPr>
        <w:t xml:space="preserve"> </w:t>
      </w:r>
      <w:r w:rsidRPr="00AD486D">
        <w:rPr>
          <w:rFonts w:ascii="Times New Roman Bold" w:hAnsi="Times New Roman Bold"/>
          <w:b w:val="0"/>
        </w:rPr>
        <w:t>(</w:t>
      </w:r>
      <w:r w:rsidRPr="00AD486D">
        <w:rPr>
          <w:b w:val="0"/>
          <w:position w:val="-20"/>
        </w:rPr>
        <w:object w:dxaOrig="225" w:dyaOrig="435" w14:anchorId="6C4BD294">
          <v:shape id="_x0000_i1118" type="#_x0000_t75" style="width:12pt;height:18pt" o:ole="">
            <v:imagedata r:id="rId127" o:title=""/>
          </v:shape>
          <o:OLEObject Type="Embed" ProgID="Equation.3" ShapeID="_x0000_i1118" DrawAspect="Content" ObjectID="_1815025308" r:id="rId128"/>
        </w:object>
      </w:r>
      <w:r w:rsidRPr="00B15E7C">
        <w:rPr>
          <w:b w:val="0"/>
          <w:bCs w:val="0"/>
        </w:rPr>
        <w:t xml:space="preserve"> </w:t>
      </w:r>
      <w:r w:rsidRPr="00AD486D">
        <w:rPr>
          <w:b w:val="0"/>
        </w:rPr>
        <w:t>MEBL</w:t>
      </w:r>
      <w:r w:rsidRPr="00AD486D">
        <w:rPr>
          <w:b w:val="0"/>
          <w:bCs w:val="0"/>
        </w:rPr>
        <w:t xml:space="preserve"> </w:t>
      </w:r>
      <w:r w:rsidRPr="00AD486D">
        <w:rPr>
          <w:b w:val="0"/>
          <w:bCs w:val="0"/>
          <w:i/>
          <w:vertAlign w:val="subscript"/>
        </w:rPr>
        <w:t>q,</w:t>
      </w:r>
      <w:r w:rsidR="004E4B05" w:rsidRPr="00AD486D">
        <w:rPr>
          <w:b w:val="0"/>
          <w:bCs w:val="0"/>
          <w:i/>
          <w:vertAlign w:val="subscript"/>
        </w:rPr>
        <w:t xml:space="preserve"> </w:t>
      </w:r>
      <w:r w:rsidRPr="00AD486D">
        <w:rPr>
          <w:b w:val="0"/>
          <w:bCs w:val="0"/>
          <w:i/>
          <w:vertAlign w:val="subscript"/>
        </w:rPr>
        <w:t>r,</w:t>
      </w:r>
      <w:r w:rsidR="004E4B05" w:rsidRPr="00AD486D">
        <w:rPr>
          <w:b w:val="0"/>
          <w:bCs w:val="0"/>
          <w:i/>
          <w:vertAlign w:val="subscript"/>
        </w:rPr>
        <w:t xml:space="preserve"> </w:t>
      </w:r>
      <w:r w:rsidRPr="00AD486D">
        <w:rPr>
          <w:b w:val="0"/>
          <w:bCs w:val="0"/>
          <w:i/>
          <w:vertAlign w:val="subscript"/>
        </w:rPr>
        <w:t>b</w:t>
      </w:r>
      <w:r w:rsidRPr="00AD486D">
        <w:rPr>
          <w:b w:val="0"/>
        </w:rPr>
        <w:t>)</w:t>
      </w:r>
    </w:p>
    <w:p w14:paraId="2C50634C" w14:textId="77777777" w:rsidR="004E4B05" w:rsidRPr="00AD486D" w:rsidRDefault="004E4B05" w:rsidP="004E4B05">
      <w:pPr>
        <w:pStyle w:val="FormulaBold"/>
        <w:rPr>
          <w:b w:val="0"/>
          <w:i/>
        </w:rPr>
      </w:pPr>
      <w:r w:rsidRPr="00AD486D">
        <w:rPr>
          <w:b w:val="0"/>
        </w:rPr>
        <w:t>ESRNWSLTOT</w:t>
      </w:r>
      <w:r w:rsidRPr="00AD486D">
        <w:rPr>
          <w:b w:val="0"/>
          <w:i/>
          <w:vertAlign w:val="subscript"/>
        </w:rPr>
        <w:t xml:space="preserve"> q, p</w:t>
      </w:r>
      <w:r w:rsidRPr="00AD486D">
        <w:rPr>
          <w:b w:val="0"/>
          <w:i/>
          <w:vertAlign w:val="subscript"/>
        </w:rPr>
        <w:tab/>
      </w:r>
      <w:r w:rsidRPr="00AD486D">
        <w:rPr>
          <w:b w:val="0"/>
        </w:rPr>
        <w:t xml:space="preserve">= </w:t>
      </w:r>
      <w:r w:rsidRPr="00AD486D">
        <w:rPr>
          <w:b w:val="0"/>
          <w:position w:val="-18"/>
        </w:rPr>
        <w:object w:dxaOrig="225" w:dyaOrig="420" w14:anchorId="38B6B809">
          <v:shape id="_x0000_i1119" type="#_x0000_t75" style="width:12pt;height:24pt" o:ole="">
            <v:imagedata r:id="rId122" o:title=""/>
          </v:shape>
          <o:OLEObject Type="Embed" ProgID="Equation.3" ShapeID="_x0000_i1119" DrawAspect="Content" ObjectID="_1815025309" r:id="rId129"/>
        </w:object>
      </w:r>
      <w:r w:rsidRPr="00AD486D">
        <w:rPr>
          <w:b w:val="0"/>
          <w:position w:val="-22"/>
        </w:rPr>
        <w:t xml:space="preserve"> </w:t>
      </w:r>
      <w:r w:rsidRPr="00AD486D">
        <w:rPr>
          <w:rFonts w:ascii="Times New Roman Bold" w:hAnsi="Times New Roman Bold"/>
          <w:b w:val="0"/>
        </w:rPr>
        <w:t>(</w:t>
      </w:r>
      <w:r w:rsidRPr="00AD486D">
        <w:rPr>
          <w:b w:val="0"/>
          <w:position w:val="-20"/>
        </w:rPr>
        <w:object w:dxaOrig="225" w:dyaOrig="435" w14:anchorId="54BEF96D">
          <v:shape id="_x0000_i1120" type="#_x0000_t75" style="width:12pt;height:18pt" o:ole="">
            <v:imagedata r:id="rId127" o:title=""/>
          </v:shape>
          <o:OLEObject Type="Embed" ProgID="Equation.3" ShapeID="_x0000_i1120" DrawAspect="Content" ObjectID="_1815025310" r:id="rId130"/>
        </w:object>
      </w:r>
      <w:r w:rsidRPr="00AD486D">
        <w:rPr>
          <w:b w:val="0"/>
        </w:rPr>
        <w:t xml:space="preserve"> MEBR </w:t>
      </w:r>
      <w:r w:rsidRPr="00AD486D">
        <w:rPr>
          <w:b w:val="0"/>
          <w:i/>
          <w:vertAlign w:val="subscript"/>
        </w:rPr>
        <w:t>q, r, b</w:t>
      </w:r>
      <w:r w:rsidRPr="00AD486D">
        <w:rPr>
          <w:b w:val="0"/>
        </w:rPr>
        <w:t>)</w:t>
      </w:r>
    </w:p>
    <w:p w14:paraId="6A6DD2A1" w14:textId="57B3B952" w:rsidR="00B15E7C" w:rsidRPr="00B15E7C" w:rsidRDefault="004E4B05" w:rsidP="00AD486D">
      <w:pPr>
        <w:ind w:left="2880" w:hanging="2160"/>
      </w:pPr>
      <w:r w:rsidRPr="00B15E7C">
        <w:t>RNIMBAL</w:t>
      </w:r>
      <w:r w:rsidRPr="00B15E7C">
        <w:rPr>
          <w:i/>
          <w:vertAlign w:val="subscript"/>
        </w:rPr>
        <w:t xml:space="preserve"> q, p</w:t>
      </w:r>
      <w:r w:rsidRPr="00B15E7C">
        <w:rPr>
          <w:i/>
          <w:vertAlign w:val="subscript"/>
        </w:rPr>
        <w:tab/>
      </w:r>
      <w:r w:rsidRPr="00B15E7C">
        <w:rPr>
          <w:i/>
        </w:rPr>
        <w:t xml:space="preserve">= </w:t>
      </w:r>
      <w:r w:rsidRPr="00B15E7C">
        <w:rPr>
          <w:position w:val="-22"/>
        </w:rPr>
        <w:object w:dxaOrig="285" w:dyaOrig="450" w14:anchorId="3D73A15D">
          <v:shape id="_x0000_i1121" type="#_x0000_t75" style="width:12pt;height:24.6pt" o:ole="">
            <v:imagedata r:id="rId120" o:title=""/>
          </v:shape>
          <o:OLEObject Type="Embed" ProgID="Equation.3" ShapeID="_x0000_i1121" DrawAspect="Content" ObjectID="_1815025311" r:id="rId131"/>
        </w:object>
      </w:r>
      <w:r w:rsidRPr="00B15E7C">
        <w:rPr>
          <w:rFonts w:ascii="Times New Roman Bold" w:hAnsi="Times New Roman Bold"/>
        </w:rPr>
        <w:t>(</w:t>
      </w:r>
      <w:r w:rsidRPr="00B15E7C">
        <w:rPr>
          <w:position w:val="-18"/>
        </w:rPr>
        <w:object w:dxaOrig="225" w:dyaOrig="420" w14:anchorId="180253AA">
          <v:shape id="_x0000_i1122" type="#_x0000_t75" style="width:12pt;height:24pt" o:ole="">
            <v:imagedata r:id="rId122" o:title=""/>
          </v:shape>
          <o:OLEObject Type="Embed" ProgID="Equation.3" ShapeID="_x0000_i1122" DrawAspect="Content" ObjectID="_1815025312" r:id="rId132"/>
        </w:object>
      </w:r>
      <w:r w:rsidRPr="00B15E7C">
        <w:t>RESMEB</w:t>
      </w:r>
      <w:r w:rsidRPr="00B15E7C">
        <w:rPr>
          <w:i/>
          <w:vertAlign w:val="subscript"/>
        </w:rPr>
        <w:t xml:space="preserve"> q, r, gsc, p</w:t>
      </w:r>
      <w:r w:rsidRPr="00B15E7C">
        <w:t>) + WSLTOT</w:t>
      </w:r>
      <w:r w:rsidRPr="00B15E7C">
        <w:rPr>
          <w:i/>
          <w:vertAlign w:val="subscript"/>
        </w:rPr>
        <w:t xml:space="preserve"> q, p</w:t>
      </w:r>
      <w:r w:rsidRPr="00B15E7C">
        <w:t xml:space="preserve"> + ESRNWSLTOT</w:t>
      </w:r>
      <w:r w:rsidRPr="00B15E7C">
        <w:rPr>
          <w:i/>
          <w:vertAlign w:val="subscript"/>
        </w:rPr>
        <w:t xml:space="preserve"> q, p</w:t>
      </w:r>
      <w:r w:rsidRPr="00B15E7C">
        <w:t xml:space="preserve"> + (SSSK </w:t>
      </w:r>
      <w:r w:rsidRPr="00B15E7C">
        <w:rPr>
          <w:i/>
          <w:vertAlign w:val="subscript"/>
        </w:rPr>
        <w:t>q, p</w:t>
      </w:r>
      <w:r w:rsidRPr="00B15E7C">
        <w:t xml:space="preserve"> * ¼) + (DAEP </w:t>
      </w:r>
      <w:r w:rsidRPr="00B15E7C">
        <w:rPr>
          <w:i/>
          <w:vertAlign w:val="subscript"/>
        </w:rPr>
        <w:t>q, p</w:t>
      </w:r>
      <w:r w:rsidRPr="00B15E7C">
        <w:t xml:space="preserve"> * ¼) + (RTQQEP </w:t>
      </w:r>
      <w:r w:rsidRPr="00B15E7C">
        <w:rPr>
          <w:i/>
          <w:vertAlign w:val="subscript"/>
        </w:rPr>
        <w:t>q, p</w:t>
      </w:r>
      <w:r w:rsidRPr="00B15E7C">
        <w:t xml:space="preserve"> * ¼) – (SSSR </w:t>
      </w:r>
      <w:r w:rsidRPr="00B15E7C">
        <w:rPr>
          <w:i/>
          <w:vertAlign w:val="subscript"/>
        </w:rPr>
        <w:t>q, p</w:t>
      </w:r>
      <w:r w:rsidRPr="00B15E7C">
        <w:t xml:space="preserve"> * ¼) – (DAES </w:t>
      </w:r>
      <w:r w:rsidRPr="00B15E7C">
        <w:rPr>
          <w:i/>
          <w:vertAlign w:val="subscript"/>
        </w:rPr>
        <w:t>q, p</w:t>
      </w:r>
      <w:r w:rsidRPr="00B15E7C">
        <w:t xml:space="preserve"> * ¼) – (RTQQES </w:t>
      </w:r>
      <w:r w:rsidRPr="00B15E7C">
        <w:rPr>
          <w:i/>
          <w:vertAlign w:val="subscript"/>
        </w:rPr>
        <w:t>q, p</w:t>
      </w:r>
      <w:r w:rsidRPr="00B15E7C">
        <w:t xml:space="preserve"> * ¼)</w:t>
      </w:r>
    </w:p>
    <w:p w14:paraId="062A0D1C" w14:textId="77777777" w:rsidR="00B15E7C" w:rsidRDefault="00B15E7C" w:rsidP="00FB599C"/>
    <w:p w14:paraId="408F7B92" w14:textId="77777777" w:rsidR="001F04FD" w:rsidRDefault="001F04FD" w:rsidP="00FB599C">
      <w:r>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7"/>
        <w:gridCol w:w="853"/>
        <w:gridCol w:w="6145"/>
      </w:tblGrid>
      <w:tr w:rsidR="001F04FD" w14:paraId="6C5E066E" w14:textId="77777777" w:rsidTr="00AD486D">
        <w:trPr>
          <w:cantSplit/>
          <w:tblHeader/>
        </w:trPr>
        <w:tc>
          <w:tcPr>
            <w:tcW w:w="2357" w:type="dxa"/>
          </w:tcPr>
          <w:p w14:paraId="5B8458A5" w14:textId="77777777" w:rsidR="001F04FD" w:rsidRDefault="001F04FD" w:rsidP="00AC4DEE">
            <w:pPr>
              <w:pStyle w:val="TableHead"/>
            </w:pPr>
            <w:r>
              <w:t>Variable</w:t>
            </w:r>
          </w:p>
        </w:tc>
        <w:tc>
          <w:tcPr>
            <w:tcW w:w="0" w:type="auto"/>
          </w:tcPr>
          <w:p w14:paraId="7F498C27" w14:textId="77777777" w:rsidR="001F04FD" w:rsidRDefault="001F04FD" w:rsidP="00AC4DEE">
            <w:pPr>
              <w:pStyle w:val="TableHead"/>
            </w:pPr>
            <w:r>
              <w:t>Unit</w:t>
            </w:r>
          </w:p>
        </w:tc>
        <w:tc>
          <w:tcPr>
            <w:tcW w:w="6145" w:type="dxa"/>
          </w:tcPr>
          <w:p w14:paraId="4392A8AE" w14:textId="77777777" w:rsidR="001F04FD" w:rsidRDefault="001F04FD" w:rsidP="00AC4DEE">
            <w:pPr>
              <w:pStyle w:val="TableHead"/>
            </w:pPr>
            <w:r>
              <w:t>Description</w:t>
            </w:r>
          </w:p>
        </w:tc>
      </w:tr>
      <w:tr w:rsidR="001F04FD" w14:paraId="25147A92" w14:textId="77777777" w:rsidTr="00AD486D">
        <w:trPr>
          <w:cantSplit/>
        </w:trPr>
        <w:tc>
          <w:tcPr>
            <w:tcW w:w="2357" w:type="dxa"/>
          </w:tcPr>
          <w:p w14:paraId="6E29A763" w14:textId="77777777" w:rsidR="001F04FD" w:rsidRDefault="001F04FD" w:rsidP="00AC4DEE">
            <w:pPr>
              <w:pStyle w:val="TableBody"/>
            </w:pPr>
            <w:r>
              <w:t xml:space="preserve">RTEIAMT </w:t>
            </w:r>
            <w:r w:rsidRPr="00107CC2">
              <w:rPr>
                <w:i/>
                <w:vertAlign w:val="subscript"/>
              </w:rPr>
              <w:t>q, p</w:t>
            </w:r>
          </w:p>
        </w:tc>
        <w:tc>
          <w:tcPr>
            <w:tcW w:w="0" w:type="auto"/>
          </w:tcPr>
          <w:p w14:paraId="4F0783DD" w14:textId="77777777" w:rsidR="001F04FD" w:rsidRDefault="001F04FD" w:rsidP="00AC4DEE">
            <w:pPr>
              <w:pStyle w:val="TableBody"/>
            </w:pPr>
            <w:r>
              <w:t>$</w:t>
            </w:r>
          </w:p>
        </w:tc>
        <w:tc>
          <w:tcPr>
            <w:tcW w:w="6145" w:type="dxa"/>
          </w:tcPr>
          <w:p w14:paraId="6E5A9BB6"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79C27E50" w14:textId="77777777" w:rsidTr="00AD486D">
        <w:trPr>
          <w:cantSplit/>
        </w:trPr>
        <w:tc>
          <w:tcPr>
            <w:tcW w:w="2357" w:type="dxa"/>
          </w:tcPr>
          <w:p w14:paraId="1DAF0AC8" w14:textId="77777777" w:rsidR="001F04FD" w:rsidRDefault="001F04FD" w:rsidP="00AC4DEE">
            <w:pPr>
              <w:pStyle w:val="TableBody"/>
            </w:pPr>
            <w:r>
              <w:t>RNIMBAL</w:t>
            </w:r>
            <w:r w:rsidRPr="00D17F07">
              <w:rPr>
                <w:i/>
                <w:vertAlign w:val="subscript"/>
              </w:rPr>
              <w:t xml:space="preserve"> </w:t>
            </w:r>
            <w:r w:rsidRPr="00107CC2">
              <w:rPr>
                <w:i/>
                <w:vertAlign w:val="subscript"/>
              </w:rPr>
              <w:t>q, p</w:t>
            </w:r>
          </w:p>
        </w:tc>
        <w:tc>
          <w:tcPr>
            <w:tcW w:w="0" w:type="auto"/>
          </w:tcPr>
          <w:p w14:paraId="5F3D6908" w14:textId="77777777" w:rsidR="001F04FD" w:rsidRDefault="001F04FD" w:rsidP="00AC4DEE">
            <w:pPr>
              <w:pStyle w:val="TableBody"/>
            </w:pPr>
            <w:r>
              <w:t>MWh</w:t>
            </w:r>
          </w:p>
        </w:tc>
        <w:tc>
          <w:tcPr>
            <w:tcW w:w="6145" w:type="dxa"/>
          </w:tcPr>
          <w:p w14:paraId="51F33198" w14:textId="77777777" w:rsidR="001F04FD" w:rsidRDefault="001F04FD" w:rsidP="00AC4DEE">
            <w:pPr>
              <w:pStyle w:val="TableBody"/>
              <w:rPr>
                <w:i/>
              </w:rPr>
            </w:pPr>
            <w:r>
              <w:rPr>
                <w:i/>
              </w:rPr>
              <w:t>Resource Node Energy Imbalance per QSE per Settlement Point</w:t>
            </w:r>
            <w:r>
              <w:t xml:space="preserve">—The Resource Node volumetric imbalance for QSE </w:t>
            </w:r>
            <w:r>
              <w:rPr>
                <w:i/>
              </w:rPr>
              <w:t>q</w:t>
            </w:r>
            <w:r>
              <w:t xml:space="preserve"> for Real-Time Energy Imbalance Service at Settlement Point </w:t>
            </w:r>
            <w:r>
              <w:rPr>
                <w:i/>
              </w:rPr>
              <w:t>p</w:t>
            </w:r>
            <w:r>
              <w:t>, for the 15-minute Settlement Interval.</w:t>
            </w:r>
          </w:p>
        </w:tc>
      </w:tr>
      <w:tr w:rsidR="001F04FD" w14:paraId="00552AE9" w14:textId="77777777" w:rsidTr="00AD486D">
        <w:trPr>
          <w:cantSplit/>
        </w:trPr>
        <w:tc>
          <w:tcPr>
            <w:tcW w:w="2357" w:type="dxa"/>
          </w:tcPr>
          <w:p w14:paraId="3574CB0F" w14:textId="77777777" w:rsidR="001F04FD" w:rsidRDefault="001F04FD" w:rsidP="00AC4DEE">
            <w:pPr>
              <w:pStyle w:val="TableBody"/>
            </w:pPr>
            <w:r>
              <w:t xml:space="preserve">RTSPP </w:t>
            </w:r>
            <w:r w:rsidRPr="00107CC2">
              <w:rPr>
                <w:i/>
                <w:vertAlign w:val="subscript"/>
              </w:rPr>
              <w:t>p</w:t>
            </w:r>
          </w:p>
        </w:tc>
        <w:tc>
          <w:tcPr>
            <w:tcW w:w="0" w:type="auto"/>
          </w:tcPr>
          <w:p w14:paraId="5C9ECC00" w14:textId="77777777" w:rsidR="001F04FD" w:rsidRDefault="001F04FD" w:rsidP="00AC4DEE">
            <w:pPr>
              <w:pStyle w:val="TableBody"/>
            </w:pPr>
            <w:r>
              <w:t>$/MWh</w:t>
            </w:r>
          </w:p>
        </w:tc>
        <w:tc>
          <w:tcPr>
            <w:tcW w:w="6145" w:type="dxa"/>
          </w:tcPr>
          <w:p w14:paraId="5304F5C3"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4661154F" w14:textId="77777777" w:rsidTr="00AD486D">
        <w:trPr>
          <w:cantSplit/>
        </w:trPr>
        <w:tc>
          <w:tcPr>
            <w:tcW w:w="2357" w:type="dxa"/>
          </w:tcPr>
          <w:p w14:paraId="5E5BE3CA" w14:textId="77777777" w:rsidR="001F04FD" w:rsidRDefault="001F04FD" w:rsidP="00AC4DEE">
            <w:pPr>
              <w:pStyle w:val="TableBody"/>
            </w:pPr>
            <w:r>
              <w:t xml:space="preserve">SSSK </w:t>
            </w:r>
            <w:r w:rsidRPr="00107CC2">
              <w:rPr>
                <w:i/>
                <w:vertAlign w:val="subscript"/>
              </w:rPr>
              <w:t>q, p</w:t>
            </w:r>
          </w:p>
        </w:tc>
        <w:tc>
          <w:tcPr>
            <w:tcW w:w="0" w:type="auto"/>
          </w:tcPr>
          <w:p w14:paraId="063EB09A" w14:textId="77777777" w:rsidR="001F04FD" w:rsidRDefault="001F04FD" w:rsidP="00AC4DEE">
            <w:pPr>
              <w:pStyle w:val="TableBody"/>
            </w:pPr>
            <w:r>
              <w:t>MW</w:t>
            </w:r>
          </w:p>
        </w:tc>
        <w:tc>
          <w:tcPr>
            <w:tcW w:w="6145" w:type="dxa"/>
          </w:tcPr>
          <w:p w14:paraId="2E09BB3E" w14:textId="77777777" w:rsidR="001F04FD" w:rsidRDefault="001F04FD" w:rsidP="00AC4DEE">
            <w:pPr>
              <w:pStyle w:val="TableBody"/>
              <w:rPr>
                <w:i/>
              </w:rPr>
            </w:pPr>
            <w:r>
              <w:rPr>
                <w:i/>
              </w:rPr>
              <w:t>Self-Schedule with Sink at Settlement Point per QSE per Settlement Point</w:t>
            </w:r>
            <w:r>
              <w:t xml:space="preserve">—The QSE </w:t>
            </w:r>
            <w:r>
              <w:rPr>
                <w:i/>
              </w:rPr>
              <w:t>q</w:t>
            </w:r>
            <w:r>
              <w:t xml:space="preserve">’s Self-Schedule with sink at Settlement Point </w:t>
            </w:r>
            <w:r>
              <w:rPr>
                <w:i/>
              </w:rPr>
              <w:t>p</w:t>
            </w:r>
            <w:r>
              <w:t>, for the 15-minute Settlement Interval.</w:t>
            </w:r>
          </w:p>
        </w:tc>
      </w:tr>
      <w:tr w:rsidR="001F04FD" w14:paraId="22D56838" w14:textId="77777777" w:rsidTr="00AD486D">
        <w:trPr>
          <w:cantSplit/>
        </w:trPr>
        <w:tc>
          <w:tcPr>
            <w:tcW w:w="2357" w:type="dxa"/>
          </w:tcPr>
          <w:p w14:paraId="157B6519" w14:textId="77777777" w:rsidR="001F04FD" w:rsidRDefault="001F04FD" w:rsidP="00AC4DEE">
            <w:pPr>
              <w:pStyle w:val="TableBody"/>
            </w:pPr>
            <w:r>
              <w:t xml:space="preserve">DAEP </w:t>
            </w:r>
            <w:r w:rsidRPr="00107CC2">
              <w:rPr>
                <w:i/>
                <w:vertAlign w:val="subscript"/>
              </w:rPr>
              <w:t>q, p</w:t>
            </w:r>
          </w:p>
        </w:tc>
        <w:tc>
          <w:tcPr>
            <w:tcW w:w="0" w:type="auto"/>
          </w:tcPr>
          <w:p w14:paraId="39E22B0D" w14:textId="77777777" w:rsidR="001F04FD" w:rsidRDefault="001F04FD" w:rsidP="00AC4DEE">
            <w:pPr>
              <w:pStyle w:val="TableBody"/>
            </w:pPr>
            <w:r>
              <w:t>MW</w:t>
            </w:r>
          </w:p>
        </w:tc>
        <w:tc>
          <w:tcPr>
            <w:tcW w:w="6145" w:type="dxa"/>
          </w:tcPr>
          <w:p w14:paraId="349A69B1" w14:textId="77777777" w:rsidR="001F04FD" w:rsidRDefault="001F04FD" w:rsidP="00AC4DEE">
            <w:pPr>
              <w:pStyle w:val="TableBody"/>
            </w:pPr>
            <w:r>
              <w:rPr>
                <w:i/>
              </w:rPr>
              <w:t>Day-Ahead Energy Purchase per QSE per Settlement Point</w:t>
            </w:r>
            <w:r>
              <w:t xml:space="preserve">—The QSE </w:t>
            </w:r>
            <w:r>
              <w:rPr>
                <w:i/>
              </w:rPr>
              <w:t>q</w:t>
            </w:r>
            <w:r>
              <w:t xml:space="preserve">’s DAM Energy Bids at Settlement Point </w:t>
            </w:r>
            <w:r>
              <w:rPr>
                <w:i/>
              </w:rPr>
              <w:t>p</w:t>
            </w:r>
            <w:r>
              <w:t xml:space="preserve"> cleared in the DAM, for the hour that includes the 15-minute Settlement Interval.</w:t>
            </w:r>
          </w:p>
        </w:tc>
      </w:tr>
      <w:tr w:rsidR="001F04FD" w14:paraId="1135A088" w14:textId="77777777" w:rsidTr="00AD486D">
        <w:trPr>
          <w:cantSplit/>
        </w:trPr>
        <w:tc>
          <w:tcPr>
            <w:tcW w:w="2357" w:type="dxa"/>
          </w:tcPr>
          <w:p w14:paraId="700BF9AB" w14:textId="77777777" w:rsidR="001F04FD" w:rsidRDefault="001F04FD" w:rsidP="00AC4DEE">
            <w:pPr>
              <w:pStyle w:val="TableBody"/>
            </w:pPr>
            <w:r>
              <w:t xml:space="preserve">RTQQEP </w:t>
            </w:r>
            <w:r w:rsidRPr="00107CC2">
              <w:rPr>
                <w:i/>
                <w:vertAlign w:val="subscript"/>
              </w:rPr>
              <w:t>q, p</w:t>
            </w:r>
            <w:r>
              <w:t xml:space="preserve"> </w:t>
            </w:r>
          </w:p>
        </w:tc>
        <w:tc>
          <w:tcPr>
            <w:tcW w:w="0" w:type="auto"/>
          </w:tcPr>
          <w:p w14:paraId="16760059" w14:textId="77777777" w:rsidR="001F04FD" w:rsidRDefault="001F04FD" w:rsidP="00AC4DEE">
            <w:pPr>
              <w:pStyle w:val="TableBody"/>
            </w:pPr>
            <w:r>
              <w:t>MW</w:t>
            </w:r>
          </w:p>
        </w:tc>
        <w:tc>
          <w:tcPr>
            <w:tcW w:w="6145" w:type="dxa"/>
          </w:tcPr>
          <w:p w14:paraId="47F8071C" w14:textId="77777777" w:rsidR="001F04FD" w:rsidRDefault="001F04FD" w:rsidP="00AC4DEE">
            <w:pPr>
              <w:pStyle w:val="TableBody"/>
            </w:pPr>
            <w:r>
              <w:rPr>
                <w:i/>
              </w:rPr>
              <w:t>Real-Time QSE-to-QSE Energy Purchase per QSE per Settlement Point</w:t>
            </w:r>
            <w:r>
              <w:sym w:font="Symbol" w:char="F0BE"/>
            </w:r>
            <w:r>
              <w:t xml:space="preserve">The amount of MW bought by QSE </w:t>
            </w:r>
            <w:r>
              <w:rPr>
                <w:i/>
              </w:rPr>
              <w:t>q</w:t>
            </w:r>
            <w:r>
              <w:t xml:space="preserve"> through Energy Trades at Settlement Point </w:t>
            </w:r>
            <w:r>
              <w:rPr>
                <w:i/>
              </w:rPr>
              <w:t>p</w:t>
            </w:r>
            <w:r>
              <w:t>, for the 15-minute Settlement Interval.</w:t>
            </w:r>
          </w:p>
        </w:tc>
      </w:tr>
      <w:tr w:rsidR="001F04FD" w14:paraId="3081A503" w14:textId="77777777" w:rsidTr="00AD486D">
        <w:trPr>
          <w:cantSplit/>
        </w:trPr>
        <w:tc>
          <w:tcPr>
            <w:tcW w:w="2357" w:type="dxa"/>
          </w:tcPr>
          <w:p w14:paraId="515C2F56" w14:textId="77777777" w:rsidR="001F04FD" w:rsidRDefault="001F04FD" w:rsidP="00AC4DEE">
            <w:pPr>
              <w:pStyle w:val="TableBody"/>
            </w:pPr>
            <w:r>
              <w:t xml:space="preserve">SSSR </w:t>
            </w:r>
            <w:r w:rsidRPr="00107CC2">
              <w:rPr>
                <w:i/>
                <w:vertAlign w:val="subscript"/>
              </w:rPr>
              <w:t>q, p</w:t>
            </w:r>
          </w:p>
        </w:tc>
        <w:tc>
          <w:tcPr>
            <w:tcW w:w="0" w:type="auto"/>
          </w:tcPr>
          <w:p w14:paraId="5890DD58" w14:textId="77777777" w:rsidR="001F04FD" w:rsidRDefault="001F04FD" w:rsidP="00AC4DEE">
            <w:pPr>
              <w:pStyle w:val="TableBody"/>
            </w:pPr>
            <w:r>
              <w:t>MW</w:t>
            </w:r>
          </w:p>
        </w:tc>
        <w:tc>
          <w:tcPr>
            <w:tcW w:w="6145" w:type="dxa"/>
          </w:tcPr>
          <w:p w14:paraId="48885069" w14:textId="77777777" w:rsidR="001F04FD" w:rsidRDefault="001F04FD" w:rsidP="00AC4DEE">
            <w:pPr>
              <w:pStyle w:val="TableBody"/>
            </w:pPr>
            <w:r>
              <w:rPr>
                <w:i/>
              </w:rPr>
              <w:t>Self-Schedule with Source at Settlement Point per QSE per Settlement Point</w:t>
            </w:r>
            <w:r>
              <w:t xml:space="preserve">—The QSE </w:t>
            </w:r>
            <w:r>
              <w:rPr>
                <w:i/>
              </w:rPr>
              <w:t>q</w:t>
            </w:r>
            <w:r>
              <w:t xml:space="preserve">’s Self-Schedule with source at Settlement Point </w:t>
            </w:r>
            <w:r>
              <w:rPr>
                <w:i/>
              </w:rPr>
              <w:t>p</w:t>
            </w:r>
            <w:r>
              <w:t>, for the 15-minute Settlement Interval.</w:t>
            </w:r>
          </w:p>
        </w:tc>
      </w:tr>
      <w:tr w:rsidR="001F04FD" w14:paraId="6B4A45A2" w14:textId="77777777" w:rsidTr="00AD486D">
        <w:trPr>
          <w:cantSplit/>
        </w:trPr>
        <w:tc>
          <w:tcPr>
            <w:tcW w:w="2357" w:type="dxa"/>
          </w:tcPr>
          <w:p w14:paraId="78A427E6" w14:textId="77777777" w:rsidR="001F04FD" w:rsidRDefault="001F04FD" w:rsidP="00AC4DEE">
            <w:pPr>
              <w:pStyle w:val="TableBody"/>
            </w:pPr>
            <w:r>
              <w:t xml:space="preserve">DAES </w:t>
            </w:r>
            <w:r w:rsidRPr="00107CC2">
              <w:rPr>
                <w:i/>
                <w:vertAlign w:val="subscript"/>
              </w:rPr>
              <w:t>q, p</w:t>
            </w:r>
          </w:p>
        </w:tc>
        <w:tc>
          <w:tcPr>
            <w:tcW w:w="0" w:type="auto"/>
          </w:tcPr>
          <w:p w14:paraId="4C9B8B27" w14:textId="77777777" w:rsidR="001F04FD" w:rsidRDefault="001F04FD" w:rsidP="00AC4DEE">
            <w:pPr>
              <w:pStyle w:val="TableBody"/>
            </w:pPr>
            <w:r>
              <w:t>MW</w:t>
            </w:r>
          </w:p>
        </w:tc>
        <w:tc>
          <w:tcPr>
            <w:tcW w:w="6145" w:type="dxa"/>
          </w:tcPr>
          <w:p w14:paraId="063646E4" w14:textId="77777777" w:rsidR="001F04FD" w:rsidRDefault="001F04FD" w:rsidP="00AC4DEE">
            <w:pPr>
              <w:pStyle w:val="TableBody"/>
            </w:pPr>
            <w:r>
              <w:rPr>
                <w:i/>
              </w:rPr>
              <w:t>Day-Ahead Energy Sale per QSE per Settlement Point</w:t>
            </w:r>
            <w:r>
              <w:t xml:space="preserve">—The QSE </w:t>
            </w:r>
            <w:r>
              <w:rPr>
                <w:i/>
              </w:rPr>
              <w:t>q</w:t>
            </w:r>
            <w:r>
              <w:t xml:space="preserve">’s energy offers at Settlement Point </w:t>
            </w:r>
            <w:r>
              <w:rPr>
                <w:i/>
              </w:rPr>
              <w:t>p</w:t>
            </w:r>
            <w:r>
              <w:t xml:space="preserve"> cleared in the DAM, for the hour that includes the 15-minute Settlement Interval.</w:t>
            </w:r>
          </w:p>
        </w:tc>
      </w:tr>
      <w:tr w:rsidR="001F04FD" w14:paraId="3DCB866E" w14:textId="77777777" w:rsidTr="00AD486D">
        <w:trPr>
          <w:cantSplit/>
        </w:trPr>
        <w:tc>
          <w:tcPr>
            <w:tcW w:w="2357" w:type="dxa"/>
          </w:tcPr>
          <w:p w14:paraId="1B5E4985" w14:textId="77777777" w:rsidR="001F04FD" w:rsidRDefault="001F04FD" w:rsidP="00AC4DEE">
            <w:pPr>
              <w:pStyle w:val="TableBody"/>
            </w:pPr>
            <w:r>
              <w:t xml:space="preserve">RTQQES </w:t>
            </w:r>
            <w:r w:rsidRPr="00107CC2">
              <w:rPr>
                <w:i/>
                <w:vertAlign w:val="subscript"/>
              </w:rPr>
              <w:t>q, p</w:t>
            </w:r>
            <w:r>
              <w:t xml:space="preserve"> </w:t>
            </w:r>
          </w:p>
        </w:tc>
        <w:tc>
          <w:tcPr>
            <w:tcW w:w="0" w:type="auto"/>
          </w:tcPr>
          <w:p w14:paraId="0B373BED" w14:textId="77777777" w:rsidR="001F04FD" w:rsidRDefault="001F04FD" w:rsidP="00AC4DEE">
            <w:pPr>
              <w:pStyle w:val="TableBody"/>
            </w:pPr>
            <w:r>
              <w:t>MW</w:t>
            </w:r>
          </w:p>
        </w:tc>
        <w:tc>
          <w:tcPr>
            <w:tcW w:w="6145" w:type="dxa"/>
          </w:tcPr>
          <w:p w14:paraId="6102A6F2" w14:textId="77777777" w:rsidR="001F04FD" w:rsidRDefault="001F04FD" w:rsidP="00AC4DEE">
            <w:pPr>
              <w:pStyle w:val="TableBody"/>
            </w:pPr>
            <w:r>
              <w:rPr>
                <w:i/>
              </w:rPr>
              <w:t>Real-Time QSE-to-QSE Energy Sale per QSE per Settlement Point</w:t>
            </w:r>
            <w:r>
              <w:sym w:font="Symbol" w:char="F0BE"/>
            </w:r>
            <w:r>
              <w:t xml:space="preserve">The amount of MW sold by QSE </w:t>
            </w:r>
            <w:r>
              <w:rPr>
                <w:i/>
              </w:rPr>
              <w:t>q</w:t>
            </w:r>
            <w:r>
              <w:t xml:space="preserve"> through Energy Trades at Settlement Point </w:t>
            </w:r>
            <w:r>
              <w:rPr>
                <w:i/>
              </w:rPr>
              <w:t>p</w:t>
            </w:r>
            <w:r>
              <w:t>, for the 15-minute Settlement Interval.</w:t>
            </w:r>
          </w:p>
        </w:tc>
      </w:tr>
      <w:tr w:rsidR="001F04FD" w14:paraId="140D6DA1" w14:textId="77777777" w:rsidTr="00AD486D">
        <w:trPr>
          <w:cantSplit/>
        </w:trPr>
        <w:tc>
          <w:tcPr>
            <w:tcW w:w="2357" w:type="dxa"/>
          </w:tcPr>
          <w:p w14:paraId="43F0EEBF" w14:textId="77777777" w:rsidR="001F04FD" w:rsidRDefault="001F04FD" w:rsidP="00AC4DEE">
            <w:pPr>
              <w:pStyle w:val="TableBody"/>
            </w:pPr>
            <w:r>
              <w:t xml:space="preserve">RESREV </w:t>
            </w:r>
            <w:r w:rsidRPr="00107CC2">
              <w:rPr>
                <w:i/>
                <w:vertAlign w:val="subscript"/>
              </w:rPr>
              <w:t>q, r, gsc, p</w:t>
            </w:r>
          </w:p>
        </w:tc>
        <w:tc>
          <w:tcPr>
            <w:tcW w:w="0" w:type="auto"/>
          </w:tcPr>
          <w:p w14:paraId="0D03E57D" w14:textId="77777777" w:rsidR="001F04FD" w:rsidRDefault="001F04FD" w:rsidP="00AC4DEE">
            <w:pPr>
              <w:pStyle w:val="TableBody"/>
            </w:pPr>
            <w:r>
              <w:t>$</w:t>
            </w:r>
          </w:p>
        </w:tc>
        <w:tc>
          <w:tcPr>
            <w:tcW w:w="6145" w:type="dxa"/>
          </w:tcPr>
          <w:p w14:paraId="6987A68D" w14:textId="77777777" w:rsidR="001F04FD" w:rsidRDefault="001F04FD" w:rsidP="00AC4DEE">
            <w:pPr>
              <w:pStyle w:val="TableBody"/>
              <w:rPr>
                <w:i/>
              </w:rPr>
            </w:pPr>
            <w:r>
              <w:rPr>
                <w:i/>
              </w:rPr>
              <w:t>Resource Share Revenue Settlement Payment</w:t>
            </w:r>
            <w:r>
              <w:t xml:space="preserve">—The Resource share of the total payment to the entire Facility with a net metering arrangement attributed to Resource </w:t>
            </w:r>
            <w:r>
              <w:rPr>
                <w:i/>
              </w:rPr>
              <w:t>r</w:t>
            </w:r>
            <w:r>
              <w:t xml:space="preserve"> that is part of a generation site code </w:t>
            </w:r>
            <w:r>
              <w:rPr>
                <w:i/>
              </w:rPr>
              <w:t>gsc</w:t>
            </w:r>
            <w:r>
              <w:t xml:space="preserve"> for the QSE </w:t>
            </w:r>
            <w:r>
              <w:rPr>
                <w:i/>
              </w:rPr>
              <w:t>q</w:t>
            </w:r>
            <w:r>
              <w:t xml:space="preserve"> at Settlement Point </w:t>
            </w:r>
            <w:r>
              <w:rPr>
                <w:i/>
              </w:rPr>
              <w:t>p</w:t>
            </w:r>
            <w:r>
              <w:t>.</w:t>
            </w:r>
          </w:p>
        </w:tc>
      </w:tr>
      <w:tr w:rsidR="001F04FD" w14:paraId="242CF0D5" w14:textId="77777777" w:rsidTr="00AD486D">
        <w:trPr>
          <w:cantSplit/>
        </w:trPr>
        <w:tc>
          <w:tcPr>
            <w:tcW w:w="2357" w:type="dxa"/>
          </w:tcPr>
          <w:p w14:paraId="62337D5F" w14:textId="77777777" w:rsidR="001F04FD" w:rsidRDefault="001F04FD" w:rsidP="00AC4DEE">
            <w:pPr>
              <w:pStyle w:val="TableBody"/>
            </w:pPr>
            <w:r>
              <w:lastRenderedPageBreak/>
              <w:t xml:space="preserve">RESMEB </w:t>
            </w:r>
            <w:r w:rsidRPr="00107CC2">
              <w:rPr>
                <w:i/>
                <w:vertAlign w:val="subscript"/>
              </w:rPr>
              <w:t>q, r, gsc, p</w:t>
            </w:r>
          </w:p>
        </w:tc>
        <w:tc>
          <w:tcPr>
            <w:tcW w:w="0" w:type="auto"/>
          </w:tcPr>
          <w:p w14:paraId="6C5D9514" w14:textId="77777777" w:rsidR="001F04FD" w:rsidRDefault="001F04FD" w:rsidP="00AC4DEE">
            <w:pPr>
              <w:pStyle w:val="TableBody"/>
            </w:pPr>
            <w:r>
              <w:t>MWh</w:t>
            </w:r>
          </w:p>
        </w:tc>
        <w:tc>
          <w:tcPr>
            <w:tcW w:w="6145" w:type="dxa"/>
          </w:tcPr>
          <w:p w14:paraId="5D2D0BDC" w14:textId="77777777" w:rsidR="001F04FD" w:rsidRDefault="001F04FD" w:rsidP="00AC4DEE">
            <w:pPr>
              <w:pStyle w:val="TableBody"/>
              <w:rPr>
                <w:i/>
              </w:rPr>
            </w:pPr>
            <w:r>
              <w:rPr>
                <w:i/>
              </w:rPr>
              <w:t>Resource Share Net Meter Real-Time Energy Total</w:t>
            </w:r>
            <w:r>
              <w:t xml:space="preserve">—The Resource share of the net sum for all Settlement Meters attributed to Resource </w:t>
            </w:r>
            <w:r>
              <w:rPr>
                <w:i/>
              </w:rPr>
              <w:t>r</w:t>
            </w:r>
            <w:r>
              <w:t xml:space="preserve"> that is part of a generation site code </w:t>
            </w:r>
            <w:r>
              <w:rPr>
                <w:i/>
              </w:rPr>
              <w:t>gsc</w:t>
            </w:r>
            <w:r>
              <w:t xml:space="preserve"> for the QSE </w:t>
            </w:r>
            <w:r>
              <w:rPr>
                <w:i/>
              </w:rPr>
              <w:t>q</w:t>
            </w:r>
            <w:r>
              <w:t xml:space="preserve"> at Settlement Point </w:t>
            </w:r>
            <w:r>
              <w:rPr>
                <w:i/>
              </w:rPr>
              <w:t>p</w:t>
            </w:r>
            <w:r>
              <w:t xml:space="preserve">.  </w:t>
            </w:r>
          </w:p>
        </w:tc>
      </w:tr>
      <w:tr w:rsidR="001F04FD" w14:paraId="07B424B4" w14:textId="77777777" w:rsidTr="00AD486D">
        <w:trPr>
          <w:cantSplit/>
        </w:trPr>
        <w:tc>
          <w:tcPr>
            <w:tcW w:w="2357" w:type="dxa"/>
          </w:tcPr>
          <w:p w14:paraId="6B1FE328" w14:textId="77777777" w:rsidR="001F04FD" w:rsidRDefault="001F04FD" w:rsidP="00AC4DEE">
            <w:pPr>
              <w:pStyle w:val="TableBody"/>
            </w:pPr>
            <w:r w:rsidRPr="00F93ADF">
              <w:t>WSLTOT</w:t>
            </w:r>
            <w:r w:rsidRPr="005B2B51">
              <w:t xml:space="preserve"> </w:t>
            </w:r>
            <w:r w:rsidRPr="00107CC2">
              <w:rPr>
                <w:i/>
                <w:vertAlign w:val="subscript"/>
              </w:rPr>
              <w:t>q, p</w:t>
            </w:r>
          </w:p>
        </w:tc>
        <w:tc>
          <w:tcPr>
            <w:tcW w:w="0" w:type="auto"/>
          </w:tcPr>
          <w:p w14:paraId="415A762F" w14:textId="77777777" w:rsidR="001F04FD" w:rsidRDefault="001F04FD" w:rsidP="00AC4DEE">
            <w:pPr>
              <w:pStyle w:val="TableBody"/>
            </w:pPr>
            <w:r w:rsidRPr="00725C1B">
              <w:t>MWh</w:t>
            </w:r>
          </w:p>
        </w:tc>
        <w:tc>
          <w:tcPr>
            <w:tcW w:w="6145" w:type="dxa"/>
          </w:tcPr>
          <w:p w14:paraId="4674BE45" w14:textId="77777777" w:rsidR="001F04FD" w:rsidRDefault="001F04FD" w:rsidP="00AC4DEE">
            <w:pPr>
              <w:pStyle w:val="TableBody"/>
              <w:rPr>
                <w:i/>
              </w:rPr>
            </w:pPr>
            <w:r w:rsidRPr="00B4196C">
              <w:rPr>
                <w:i/>
              </w:rPr>
              <w:t>WSL Total</w:t>
            </w:r>
            <w:r w:rsidRPr="00B4196C">
              <w:t xml:space="preserve">—The </w:t>
            </w:r>
            <w:r w:rsidRPr="00B35E2C">
              <w:t xml:space="preserve">total </w:t>
            </w:r>
            <w:r w:rsidRPr="007045B8">
              <w:t>WSL</w:t>
            </w:r>
            <w:r w:rsidRPr="0031111F">
              <w:t xml:space="preserve"> energy metered by the </w:t>
            </w:r>
            <w:r w:rsidRPr="0007572F">
              <w:t xml:space="preserve">Settlement Meters which measure WSL for the QSE </w:t>
            </w:r>
            <w:r w:rsidRPr="0007572F">
              <w:rPr>
                <w:i/>
              </w:rPr>
              <w:t>q</w:t>
            </w:r>
            <w:r w:rsidRPr="0007572F">
              <w:t xml:space="preserve"> at Settlement Point </w:t>
            </w:r>
            <w:r w:rsidRPr="0007572F">
              <w:rPr>
                <w:i/>
              </w:rPr>
              <w:t>p</w:t>
            </w:r>
            <w:r w:rsidRPr="0007572F">
              <w:t xml:space="preserve">.  </w:t>
            </w:r>
          </w:p>
        </w:tc>
      </w:tr>
      <w:tr w:rsidR="004E4B05" w14:paraId="66C4F771" w14:textId="77777777" w:rsidTr="00AD486D">
        <w:trPr>
          <w:cantSplit/>
        </w:trPr>
        <w:tc>
          <w:tcPr>
            <w:tcW w:w="2357" w:type="dxa"/>
          </w:tcPr>
          <w:p w14:paraId="6FD45FDE" w14:textId="3458EE42" w:rsidR="004E4B05" w:rsidRPr="00F93ADF" w:rsidRDefault="004E4B05" w:rsidP="004E4B05">
            <w:pPr>
              <w:pStyle w:val="TableBody"/>
            </w:pPr>
            <w:r>
              <w:t>ESRNWSL</w:t>
            </w:r>
            <w:r w:rsidRPr="007C315C">
              <w:t xml:space="preserve">TOT </w:t>
            </w:r>
            <w:r w:rsidRPr="005106EC">
              <w:rPr>
                <w:i/>
                <w:vertAlign w:val="subscript"/>
              </w:rPr>
              <w:t>q, p</w:t>
            </w:r>
          </w:p>
        </w:tc>
        <w:tc>
          <w:tcPr>
            <w:tcW w:w="0" w:type="auto"/>
          </w:tcPr>
          <w:p w14:paraId="416ECB99" w14:textId="52B92030" w:rsidR="004E4B05" w:rsidRPr="00725C1B" w:rsidRDefault="004E4B05" w:rsidP="004E4B05">
            <w:pPr>
              <w:pStyle w:val="TableBody"/>
            </w:pPr>
            <w:r w:rsidRPr="007C315C">
              <w:t>MWh</w:t>
            </w:r>
          </w:p>
        </w:tc>
        <w:tc>
          <w:tcPr>
            <w:tcW w:w="6145" w:type="dxa"/>
          </w:tcPr>
          <w:p w14:paraId="5285817A" w14:textId="2314A37C" w:rsidR="004E4B05" w:rsidRPr="00B4196C" w:rsidRDefault="004E4B05" w:rsidP="004E4B05">
            <w:pPr>
              <w:pStyle w:val="TableBody"/>
              <w:rPr>
                <w:i/>
              </w:rPr>
            </w:pPr>
            <w:r w:rsidRPr="005106EC">
              <w:rPr>
                <w:i/>
              </w:rPr>
              <w:t>ESR</w:t>
            </w:r>
            <w:r>
              <w:rPr>
                <w:i/>
              </w:rPr>
              <w:t xml:space="preserve"> Non-WSL</w:t>
            </w:r>
            <w:r w:rsidRPr="005106EC">
              <w:rPr>
                <w:i/>
              </w:rPr>
              <w:t xml:space="preserve"> Total</w:t>
            </w:r>
            <w:r w:rsidRPr="007C315C">
              <w:t xml:space="preserve">—The total energy metered by the Settlement Meters </w:t>
            </w:r>
            <w:r w:rsidRPr="0007572F">
              <w:t>which measure</w:t>
            </w:r>
            <w:r>
              <w:t xml:space="preserve">s Non-WSL ESR Charging Load </w:t>
            </w:r>
            <w:r w:rsidRPr="007C315C">
              <w:t xml:space="preserve">for the QSE </w:t>
            </w:r>
            <w:r w:rsidRPr="00985D33">
              <w:rPr>
                <w:i/>
              </w:rPr>
              <w:t>q</w:t>
            </w:r>
            <w:r w:rsidRPr="007C315C">
              <w:t xml:space="preserve"> at Settlement Point </w:t>
            </w:r>
            <w:r w:rsidRPr="00985D33">
              <w:rPr>
                <w:i/>
              </w:rPr>
              <w:t>p.</w:t>
            </w:r>
            <w:r w:rsidRPr="007C315C">
              <w:t xml:space="preserve">  </w:t>
            </w:r>
          </w:p>
        </w:tc>
      </w:tr>
      <w:tr w:rsidR="001F04FD" w14:paraId="32E00B70" w14:textId="77777777" w:rsidTr="00AD486D">
        <w:trPr>
          <w:cantSplit/>
        </w:trPr>
        <w:tc>
          <w:tcPr>
            <w:tcW w:w="2357" w:type="dxa"/>
          </w:tcPr>
          <w:p w14:paraId="24F0B362" w14:textId="77777777" w:rsidR="001F04FD" w:rsidRDefault="001F04FD" w:rsidP="00AC4DEE">
            <w:pPr>
              <w:pStyle w:val="TableBody"/>
            </w:pPr>
            <w:r w:rsidRPr="00F93ADF">
              <w:rPr>
                <w:bCs/>
              </w:rPr>
              <w:t>MEBL</w:t>
            </w:r>
            <w:r w:rsidRPr="005B2B51">
              <w:rPr>
                <w:bCs/>
              </w:rPr>
              <w:t xml:space="preserve"> </w:t>
            </w:r>
            <w:r w:rsidRPr="00107CC2">
              <w:rPr>
                <w:bCs/>
                <w:i/>
                <w:vertAlign w:val="subscript"/>
              </w:rPr>
              <w:t>q,r,b</w:t>
            </w:r>
          </w:p>
        </w:tc>
        <w:tc>
          <w:tcPr>
            <w:tcW w:w="0" w:type="auto"/>
          </w:tcPr>
          <w:p w14:paraId="411E6D99" w14:textId="77777777" w:rsidR="001F04FD" w:rsidRDefault="001F04FD" w:rsidP="00AC4DEE">
            <w:pPr>
              <w:pStyle w:val="TableBody"/>
            </w:pPr>
            <w:r w:rsidRPr="00F93ADF">
              <w:t>MWh</w:t>
            </w:r>
          </w:p>
        </w:tc>
        <w:tc>
          <w:tcPr>
            <w:tcW w:w="6145" w:type="dxa"/>
          </w:tcPr>
          <w:p w14:paraId="475F6CDC" w14:textId="77777777" w:rsidR="001F04FD" w:rsidRDefault="001F04FD" w:rsidP="00AC4DEE">
            <w:pPr>
              <w:pStyle w:val="TableBody"/>
              <w:rPr>
                <w:i/>
              </w:rPr>
            </w:pPr>
            <w:r w:rsidRPr="00B3121D">
              <w:rPr>
                <w:i/>
              </w:rPr>
              <w:t xml:space="preserve">Metered Energy for Wholesale </w:t>
            </w:r>
            <w:r>
              <w:rPr>
                <w:i/>
              </w:rPr>
              <w:t xml:space="preserve">Storage </w:t>
            </w:r>
            <w:r w:rsidRPr="00B3121D">
              <w:rPr>
                <w:i/>
              </w:rPr>
              <w:t>Load at bus</w:t>
            </w:r>
            <w:r w:rsidRPr="00B3121D">
              <w:sym w:font="Symbol" w:char="F0BE"/>
            </w:r>
            <w:r w:rsidRPr="00B3121D">
              <w:t xml:space="preserve">The WSL energy metered by the Settlement Meter which measures WSL for the 15-minute Settlement </w:t>
            </w:r>
            <w:r w:rsidRPr="00B4196C">
              <w:t xml:space="preserve">Interval represented as a negative value, for the QSE </w:t>
            </w:r>
            <w:r w:rsidRPr="00E26485">
              <w:rPr>
                <w:i/>
              </w:rPr>
              <w:t>q</w:t>
            </w:r>
            <w:r w:rsidRPr="00B35E2C">
              <w:t xml:space="preserve">, Resource </w:t>
            </w:r>
            <w:r w:rsidRPr="007045B8">
              <w:rPr>
                <w:i/>
              </w:rPr>
              <w:t>r</w:t>
            </w:r>
            <w:r w:rsidRPr="0031111F">
              <w:t xml:space="preserve">, at bus </w:t>
            </w:r>
            <w:r w:rsidRPr="0007572F">
              <w:rPr>
                <w:i/>
              </w:rPr>
              <w:t>b</w:t>
            </w:r>
            <w:r w:rsidRPr="0007572F">
              <w:t xml:space="preserve">.  </w:t>
            </w:r>
          </w:p>
        </w:tc>
      </w:tr>
      <w:tr w:rsidR="004E4B05" w14:paraId="2D80091B" w14:textId="77777777" w:rsidTr="00AD486D">
        <w:trPr>
          <w:cantSplit/>
        </w:trPr>
        <w:tc>
          <w:tcPr>
            <w:tcW w:w="2357" w:type="dxa"/>
          </w:tcPr>
          <w:p w14:paraId="0CFD7B78" w14:textId="42C6DD24" w:rsidR="004E4B05" w:rsidRPr="00F93ADF" w:rsidRDefault="004E4B05" w:rsidP="004E4B05">
            <w:pPr>
              <w:pStyle w:val="TableBody"/>
              <w:rPr>
                <w:bCs/>
              </w:rPr>
            </w:pPr>
            <w:r w:rsidRPr="00067E90">
              <w:t>MEB</w:t>
            </w:r>
            <w:r>
              <w:t>R</w:t>
            </w:r>
            <w:r w:rsidRPr="00067E90">
              <w:t xml:space="preserve"> </w:t>
            </w:r>
            <w:r w:rsidRPr="00985D33">
              <w:rPr>
                <w:i/>
                <w:vertAlign w:val="subscript"/>
              </w:rPr>
              <w:t>q,</w:t>
            </w:r>
            <w:r>
              <w:rPr>
                <w:i/>
                <w:vertAlign w:val="subscript"/>
              </w:rPr>
              <w:t xml:space="preserve"> </w:t>
            </w:r>
            <w:r w:rsidRPr="00985D33">
              <w:rPr>
                <w:i/>
                <w:vertAlign w:val="subscript"/>
              </w:rPr>
              <w:t>r,</w:t>
            </w:r>
            <w:r>
              <w:rPr>
                <w:i/>
                <w:vertAlign w:val="subscript"/>
              </w:rPr>
              <w:t xml:space="preserve"> </w:t>
            </w:r>
            <w:r w:rsidRPr="00985D33">
              <w:rPr>
                <w:i/>
                <w:vertAlign w:val="subscript"/>
              </w:rPr>
              <w:t>b</w:t>
            </w:r>
          </w:p>
        </w:tc>
        <w:tc>
          <w:tcPr>
            <w:tcW w:w="0" w:type="auto"/>
          </w:tcPr>
          <w:p w14:paraId="7376621D" w14:textId="621E8C43" w:rsidR="004E4B05" w:rsidRPr="00F93ADF" w:rsidRDefault="004E4B05" w:rsidP="004E4B05">
            <w:pPr>
              <w:pStyle w:val="TableBody"/>
            </w:pPr>
            <w:r w:rsidRPr="00067E90">
              <w:t>MWh</w:t>
            </w:r>
          </w:p>
        </w:tc>
        <w:tc>
          <w:tcPr>
            <w:tcW w:w="6145" w:type="dxa"/>
          </w:tcPr>
          <w:p w14:paraId="1F9EE33B" w14:textId="46EEB152" w:rsidR="004E4B05" w:rsidRPr="00B3121D" w:rsidRDefault="004E4B05" w:rsidP="004E4B05">
            <w:pPr>
              <w:pStyle w:val="TableBody"/>
              <w:rPr>
                <w:i/>
              </w:rPr>
            </w:pPr>
            <w:r w:rsidRPr="004615F6">
              <w:rPr>
                <w:i/>
              </w:rPr>
              <w:t xml:space="preserve">Metered Energy for </w:t>
            </w:r>
            <w:r w:rsidRPr="00157CEA">
              <w:rPr>
                <w:i/>
              </w:rPr>
              <w:t xml:space="preserve">Energy Storage Resource </w:t>
            </w:r>
            <w:r>
              <w:rPr>
                <w:i/>
              </w:rPr>
              <w:t>Load at Bus</w:t>
            </w:r>
            <w:r w:rsidRPr="004368B4">
              <w:t>—</w:t>
            </w:r>
            <w:r w:rsidRPr="00B3121D">
              <w:t xml:space="preserve">The energy metered by the Settlement Meter which measures </w:t>
            </w:r>
            <w:r>
              <w:t xml:space="preserve">Non-WSL ESR Charging Load </w:t>
            </w:r>
            <w:r w:rsidRPr="00B3121D">
              <w:t xml:space="preserve">for the 15-minute Settlement </w:t>
            </w:r>
            <w:r w:rsidRPr="00B4196C">
              <w:t xml:space="preserve">Interval represented as a negative value, for the QSE </w:t>
            </w:r>
            <w:r w:rsidRPr="00E26485">
              <w:rPr>
                <w:i/>
              </w:rPr>
              <w:t>q</w:t>
            </w:r>
            <w:r w:rsidRPr="00B35E2C">
              <w:t xml:space="preserve">, Resource </w:t>
            </w:r>
            <w:r w:rsidRPr="007045B8">
              <w:rPr>
                <w:i/>
              </w:rPr>
              <w:t>r</w:t>
            </w:r>
            <w:r w:rsidRPr="0031111F">
              <w:t xml:space="preserve">, at bus </w:t>
            </w:r>
            <w:r w:rsidRPr="0007572F">
              <w:rPr>
                <w:i/>
              </w:rPr>
              <w:t>b</w:t>
            </w:r>
            <w:r w:rsidRPr="0007572F">
              <w:t xml:space="preserve">.  </w:t>
            </w:r>
            <w:r w:rsidRPr="00067E90">
              <w:rPr>
                <w:i/>
              </w:rPr>
              <w:t xml:space="preserve"> </w:t>
            </w:r>
          </w:p>
        </w:tc>
      </w:tr>
      <w:tr w:rsidR="001F04FD" w14:paraId="632EEB88" w14:textId="77777777" w:rsidTr="00AD486D">
        <w:trPr>
          <w:cantSplit/>
        </w:trPr>
        <w:tc>
          <w:tcPr>
            <w:tcW w:w="2357" w:type="dxa"/>
          </w:tcPr>
          <w:p w14:paraId="5823A785" w14:textId="77777777" w:rsidR="001F04FD" w:rsidRDefault="001F04FD" w:rsidP="00AC4DEE">
            <w:pPr>
              <w:pStyle w:val="TableBody"/>
            </w:pPr>
            <w:r>
              <w:t xml:space="preserve">NMSAMTTOT </w:t>
            </w:r>
            <w:r w:rsidRPr="00107CC2">
              <w:rPr>
                <w:i/>
                <w:vertAlign w:val="subscript"/>
              </w:rPr>
              <w:t>gsc</w:t>
            </w:r>
          </w:p>
        </w:tc>
        <w:tc>
          <w:tcPr>
            <w:tcW w:w="0" w:type="auto"/>
          </w:tcPr>
          <w:p w14:paraId="6ADE7F5E" w14:textId="77777777" w:rsidR="001F04FD" w:rsidRDefault="001F04FD" w:rsidP="00AC4DEE">
            <w:pPr>
              <w:pStyle w:val="TableBody"/>
            </w:pPr>
            <w:r>
              <w:t>$</w:t>
            </w:r>
          </w:p>
        </w:tc>
        <w:tc>
          <w:tcPr>
            <w:tcW w:w="6145" w:type="dxa"/>
          </w:tcPr>
          <w:p w14:paraId="74C9221F" w14:textId="77777777" w:rsidR="001F04FD" w:rsidRDefault="001F04FD" w:rsidP="00AC4DEE">
            <w:pPr>
              <w:pStyle w:val="TableBody"/>
            </w:pPr>
            <w:r>
              <w:rPr>
                <w:i/>
              </w:rPr>
              <w:t>Net Metering Settlement</w:t>
            </w:r>
            <w:r>
              <w:t>—The total payment or charge to a generation site with a net metering arrangement.</w:t>
            </w:r>
          </w:p>
        </w:tc>
      </w:tr>
      <w:tr w:rsidR="001F04FD" w14:paraId="750847E6" w14:textId="77777777" w:rsidTr="00AD486D">
        <w:trPr>
          <w:cantSplit/>
        </w:trPr>
        <w:tc>
          <w:tcPr>
            <w:tcW w:w="2357" w:type="dxa"/>
          </w:tcPr>
          <w:p w14:paraId="1A0EAC61" w14:textId="77777777" w:rsidR="001F04FD" w:rsidRPr="00600AFF" w:rsidRDefault="001F04FD" w:rsidP="00AC4DEE">
            <w:pPr>
              <w:pStyle w:val="TableBody"/>
            </w:pPr>
            <w:r w:rsidRPr="006E32D6">
              <w:t>WSLAMTTOT</w:t>
            </w:r>
            <w:r w:rsidRPr="005B2B51">
              <w:rPr>
                <w:vertAlign w:val="subscript"/>
              </w:rPr>
              <w:t xml:space="preserve"> </w:t>
            </w:r>
            <w:r w:rsidRPr="00107CC2">
              <w:rPr>
                <w:i/>
                <w:vertAlign w:val="subscript"/>
              </w:rPr>
              <w:t>q, r, p</w:t>
            </w:r>
            <w:r w:rsidRPr="005B2B51">
              <w:rPr>
                <w:vertAlign w:val="subscript"/>
              </w:rPr>
              <w:t xml:space="preserve">  </w:t>
            </w:r>
          </w:p>
        </w:tc>
        <w:tc>
          <w:tcPr>
            <w:tcW w:w="0" w:type="auto"/>
          </w:tcPr>
          <w:p w14:paraId="3FF7D543" w14:textId="77777777" w:rsidR="001F04FD" w:rsidRDefault="001F04FD" w:rsidP="00AC4DEE">
            <w:pPr>
              <w:pStyle w:val="TableBody"/>
            </w:pPr>
            <w:r w:rsidRPr="006E32D6">
              <w:t>$</w:t>
            </w:r>
          </w:p>
        </w:tc>
        <w:tc>
          <w:tcPr>
            <w:tcW w:w="6145" w:type="dxa"/>
          </w:tcPr>
          <w:p w14:paraId="21BD44E2" w14:textId="77777777" w:rsidR="001F04FD" w:rsidRDefault="001F04FD" w:rsidP="00AC4DEE">
            <w:pPr>
              <w:pStyle w:val="TableBody"/>
              <w:rPr>
                <w:i/>
              </w:rPr>
            </w:pPr>
            <w:r w:rsidRPr="009D7C29">
              <w:rPr>
                <w:i/>
              </w:rPr>
              <w:t>Wholesale Storage Load Settlement</w:t>
            </w:r>
            <w:r w:rsidRPr="006E32D6">
              <w:t>—</w:t>
            </w:r>
            <w:r w:rsidRPr="006E32D6">
              <w:rPr>
                <w:iCs w:val="0"/>
              </w:rPr>
              <w:t xml:space="preserve">The total payment or charge to QSE </w:t>
            </w:r>
            <w:r w:rsidRPr="0000116F">
              <w:rPr>
                <w:i/>
                <w:iCs w:val="0"/>
              </w:rPr>
              <w:t>q</w:t>
            </w:r>
            <w:r w:rsidRPr="006E32D6">
              <w:rPr>
                <w:iCs w:val="0"/>
              </w:rPr>
              <w:t>, R</w:t>
            </w:r>
            <w:r>
              <w:rPr>
                <w:iCs w:val="0"/>
              </w:rPr>
              <w:t>esource</w:t>
            </w:r>
            <w:r w:rsidRPr="006E32D6">
              <w:rPr>
                <w:iCs w:val="0"/>
              </w:rPr>
              <w:t xml:space="preserve"> </w:t>
            </w:r>
            <w:r w:rsidRPr="0000116F">
              <w:rPr>
                <w:i/>
                <w:iCs w:val="0"/>
              </w:rPr>
              <w:t>r</w:t>
            </w:r>
            <w:r w:rsidRPr="006E32D6">
              <w:rPr>
                <w:iCs w:val="0"/>
              </w:rPr>
              <w:t xml:space="preserve">, at Settlement Point </w:t>
            </w:r>
            <w:r w:rsidRPr="0000116F">
              <w:rPr>
                <w:i/>
                <w:iCs w:val="0"/>
              </w:rPr>
              <w:t>p</w:t>
            </w:r>
            <w:r w:rsidRPr="006E32D6">
              <w:rPr>
                <w:iCs w:val="0"/>
              </w:rPr>
              <w:t xml:space="preserve">, </w:t>
            </w:r>
            <w:r w:rsidRPr="006E32D6">
              <w:t>for WSL</w:t>
            </w:r>
            <w:r w:rsidRPr="0063384D">
              <w:t xml:space="preserve"> </w:t>
            </w:r>
            <w:r w:rsidRPr="00FE1533">
              <w:rPr>
                <w:iCs w:val="0"/>
              </w:rPr>
              <w:t>for each 15-minute Settlement Interval.</w:t>
            </w:r>
          </w:p>
        </w:tc>
      </w:tr>
      <w:tr w:rsidR="004E4B05" w14:paraId="20AB977E" w14:textId="77777777" w:rsidTr="00AD486D">
        <w:trPr>
          <w:cantSplit/>
        </w:trPr>
        <w:tc>
          <w:tcPr>
            <w:tcW w:w="2357" w:type="dxa"/>
          </w:tcPr>
          <w:p w14:paraId="13558624" w14:textId="7CC6EFEF" w:rsidR="004E4B05" w:rsidRPr="006E32D6" w:rsidRDefault="004E4B05" w:rsidP="004E4B05">
            <w:pPr>
              <w:pStyle w:val="TableBody"/>
            </w:pPr>
            <w:r>
              <w:t>ESRNWSL</w:t>
            </w:r>
            <w:r w:rsidRPr="004368B4">
              <w:t>AMTTOT</w:t>
            </w:r>
            <w:r w:rsidRPr="004368B4">
              <w:rPr>
                <w:vertAlign w:val="subscript"/>
              </w:rPr>
              <w:t xml:space="preserve"> </w:t>
            </w:r>
            <w:r w:rsidRPr="00107CC2">
              <w:rPr>
                <w:i/>
                <w:vertAlign w:val="subscript"/>
              </w:rPr>
              <w:t>q, r, p</w:t>
            </w:r>
          </w:p>
        </w:tc>
        <w:tc>
          <w:tcPr>
            <w:tcW w:w="0" w:type="auto"/>
          </w:tcPr>
          <w:p w14:paraId="5307C727" w14:textId="76EFB166" w:rsidR="004E4B05" w:rsidRPr="006E32D6" w:rsidRDefault="004E4B05" w:rsidP="004E4B05">
            <w:pPr>
              <w:pStyle w:val="TableBody"/>
            </w:pPr>
            <w:r w:rsidRPr="004368B4">
              <w:t>$</w:t>
            </w:r>
          </w:p>
        </w:tc>
        <w:tc>
          <w:tcPr>
            <w:tcW w:w="6145" w:type="dxa"/>
          </w:tcPr>
          <w:p w14:paraId="6C700639" w14:textId="64758B2A" w:rsidR="004E4B05" w:rsidRPr="009D7C29" w:rsidRDefault="004E4B05" w:rsidP="004E4B05">
            <w:pPr>
              <w:pStyle w:val="TableBody"/>
              <w:rPr>
                <w:i/>
              </w:rPr>
            </w:pPr>
            <w:r>
              <w:rPr>
                <w:i/>
              </w:rPr>
              <w:t xml:space="preserve">Energy Storage Resource Non-WSL </w:t>
            </w:r>
            <w:r w:rsidRPr="004368B4">
              <w:rPr>
                <w:i/>
              </w:rPr>
              <w:t>Settlement</w:t>
            </w:r>
            <w:r w:rsidRPr="004368B4">
              <w:t>—</w:t>
            </w:r>
            <w:r w:rsidRPr="00997DBF">
              <w:t xml:space="preserve">The total payment or charge to QSE </w:t>
            </w:r>
            <w:r w:rsidRPr="00672F2C">
              <w:rPr>
                <w:i/>
              </w:rPr>
              <w:t>q</w:t>
            </w:r>
            <w:r w:rsidRPr="00997DBF">
              <w:t>, R</w:t>
            </w:r>
            <w:r>
              <w:t>esource</w:t>
            </w:r>
            <w:r w:rsidRPr="00997DBF">
              <w:t xml:space="preserve"> </w:t>
            </w:r>
            <w:r w:rsidRPr="00672F2C">
              <w:rPr>
                <w:i/>
              </w:rPr>
              <w:t>r</w:t>
            </w:r>
            <w:r w:rsidRPr="00997DBF">
              <w:t xml:space="preserve">, at Settlement Point </w:t>
            </w:r>
            <w:r w:rsidRPr="00672F2C">
              <w:rPr>
                <w:i/>
              </w:rPr>
              <w:t>p</w:t>
            </w:r>
            <w:r w:rsidRPr="00997DBF">
              <w:t xml:space="preserve">, for </w:t>
            </w:r>
            <w:r>
              <w:t xml:space="preserve">Non-WSL ESR Charging Load </w:t>
            </w:r>
            <w:r w:rsidRPr="00997DBF">
              <w:t>for each 15-minute Settlement Interval.</w:t>
            </w:r>
          </w:p>
        </w:tc>
      </w:tr>
      <w:tr w:rsidR="001F04FD" w14:paraId="185426DC" w14:textId="77777777" w:rsidTr="00AD486D">
        <w:trPr>
          <w:cantSplit/>
        </w:trPr>
        <w:tc>
          <w:tcPr>
            <w:tcW w:w="2357" w:type="dxa"/>
          </w:tcPr>
          <w:p w14:paraId="59BB2C6D" w14:textId="77777777" w:rsidR="001F04FD" w:rsidRDefault="001F04FD" w:rsidP="00AC4DEE">
            <w:pPr>
              <w:pStyle w:val="TableBody"/>
            </w:pPr>
            <w:r w:rsidRPr="00600AFF">
              <w:t xml:space="preserve">NMRTETOT </w:t>
            </w:r>
            <w:r w:rsidRPr="00107CC2">
              <w:rPr>
                <w:i/>
                <w:vertAlign w:val="subscript"/>
              </w:rPr>
              <w:t>gsc</w:t>
            </w:r>
          </w:p>
        </w:tc>
        <w:tc>
          <w:tcPr>
            <w:tcW w:w="0" w:type="auto"/>
          </w:tcPr>
          <w:p w14:paraId="7CA444C2" w14:textId="77777777" w:rsidR="001F04FD" w:rsidRDefault="001F04FD" w:rsidP="00AC4DEE">
            <w:pPr>
              <w:pStyle w:val="TableBody"/>
            </w:pPr>
            <w:r>
              <w:t>MWh</w:t>
            </w:r>
          </w:p>
        </w:tc>
        <w:tc>
          <w:tcPr>
            <w:tcW w:w="6145" w:type="dxa"/>
          </w:tcPr>
          <w:p w14:paraId="44EECDA6" w14:textId="77777777" w:rsidR="001F04FD" w:rsidRDefault="001F04FD" w:rsidP="00AC4DEE">
            <w:pPr>
              <w:pStyle w:val="TableBody"/>
              <w:rPr>
                <w:i/>
              </w:rPr>
            </w:pPr>
            <w:r>
              <w:rPr>
                <w:i/>
              </w:rPr>
              <w:t>Net Meter Real-Time Energy Total</w:t>
            </w:r>
            <w:r>
              <w:t xml:space="preserve">—The net sum for all Settlement Meters included in generation site code </w:t>
            </w:r>
            <w:r>
              <w:rPr>
                <w:i/>
              </w:rPr>
              <w:t>gsc</w:t>
            </w:r>
            <w:r>
              <w:t>.  A positive value indicates an injection of power to the ERCOT System.</w:t>
            </w:r>
          </w:p>
        </w:tc>
      </w:tr>
      <w:tr w:rsidR="001F04FD" w14:paraId="0DBEDA43" w14:textId="77777777" w:rsidTr="00AD486D">
        <w:trPr>
          <w:cantSplit/>
        </w:trPr>
        <w:tc>
          <w:tcPr>
            <w:tcW w:w="2357" w:type="dxa"/>
          </w:tcPr>
          <w:p w14:paraId="6F637952" w14:textId="77777777" w:rsidR="001F04FD" w:rsidRDefault="001F04FD" w:rsidP="00AC4DEE">
            <w:pPr>
              <w:pStyle w:val="TableBody"/>
            </w:pPr>
            <w:r>
              <w:t xml:space="preserve">GSPLITPER </w:t>
            </w:r>
            <w:r w:rsidRPr="00107CC2">
              <w:rPr>
                <w:i/>
                <w:vertAlign w:val="subscript"/>
              </w:rPr>
              <w:t>q, r, gsc, p</w:t>
            </w:r>
          </w:p>
        </w:tc>
        <w:tc>
          <w:tcPr>
            <w:tcW w:w="0" w:type="auto"/>
          </w:tcPr>
          <w:p w14:paraId="56322FDB" w14:textId="77777777" w:rsidR="001F04FD" w:rsidRDefault="001F04FD" w:rsidP="00AC4DEE">
            <w:pPr>
              <w:pStyle w:val="TableBody"/>
            </w:pPr>
            <w:r>
              <w:t>none</w:t>
            </w:r>
          </w:p>
        </w:tc>
        <w:tc>
          <w:tcPr>
            <w:tcW w:w="6145" w:type="dxa"/>
          </w:tcPr>
          <w:p w14:paraId="5E62C224" w14:textId="77777777" w:rsidR="001F04FD" w:rsidRDefault="001F04FD" w:rsidP="00AC4DEE">
            <w:pPr>
              <w:pStyle w:val="TableBody"/>
            </w:pPr>
            <w:r>
              <w:rPr>
                <w:i/>
              </w:rPr>
              <w:t>Generation Resource SCADA Splitting Percentage</w:t>
            </w:r>
            <w:r>
              <w:t xml:space="preserve">—The generation allocation percentage for Resource </w:t>
            </w:r>
            <w:r>
              <w:rPr>
                <w:i/>
              </w:rPr>
              <w:t>r</w:t>
            </w:r>
            <w:r>
              <w:t xml:space="preserve"> that is part of a net metering arrangement.  GSPLITPER is calculated by taking the Supervisory Control and Data Acquisition (SCADA) values (GSSPLITSCA) for a particular Generation Resource </w:t>
            </w:r>
            <w:r>
              <w:rPr>
                <w:i/>
              </w:rPr>
              <w:t>r</w:t>
            </w:r>
            <w:r>
              <w:t xml:space="preserve"> that is part of a net metering configuration and dividing by the sum of all SCADA values for all Resources that are included in the net metering configuration for each interval.  Where for a Combined Cycle Train, the Resource </w:t>
            </w:r>
            <w:r w:rsidRPr="00B34C5D">
              <w:rPr>
                <w:i/>
              </w:rPr>
              <w:t>r</w:t>
            </w:r>
            <w:r>
              <w:rPr>
                <w:i/>
              </w:rPr>
              <w:t xml:space="preserve"> </w:t>
            </w:r>
            <w:r>
              <w:t>is the Combined Cycle Train.</w:t>
            </w:r>
          </w:p>
        </w:tc>
      </w:tr>
      <w:tr w:rsidR="001F04FD" w14:paraId="35EBF280" w14:textId="77777777" w:rsidTr="00AD486D">
        <w:trPr>
          <w:cantSplit/>
        </w:trPr>
        <w:tc>
          <w:tcPr>
            <w:tcW w:w="2357" w:type="dxa"/>
          </w:tcPr>
          <w:p w14:paraId="6DC8077E" w14:textId="77777777" w:rsidR="001F04FD" w:rsidRPr="00D87CFB" w:rsidRDefault="001F04FD" w:rsidP="00AC4DEE">
            <w:pPr>
              <w:pStyle w:val="TableBody"/>
              <w:rPr>
                <w:i/>
              </w:rPr>
            </w:pPr>
            <w:r w:rsidRPr="00D661BC">
              <w:rPr>
                <w:i/>
              </w:rPr>
              <w:t>q</w:t>
            </w:r>
          </w:p>
        </w:tc>
        <w:tc>
          <w:tcPr>
            <w:tcW w:w="0" w:type="auto"/>
          </w:tcPr>
          <w:p w14:paraId="2DD44DBB" w14:textId="77777777" w:rsidR="001F04FD" w:rsidRDefault="001F04FD" w:rsidP="00AC4DEE">
            <w:pPr>
              <w:pStyle w:val="TableBody"/>
            </w:pPr>
            <w:r>
              <w:t>none</w:t>
            </w:r>
          </w:p>
        </w:tc>
        <w:tc>
          <w:tcPr>
            <w:tcW w:w="6145" w:type="dxa"/>
          </w:tcPr>
          <w:p w14:paraId="44B6DA92" w14:textId="77777777" w:rsidR="001F04FD" w:rsidRDefault="001F04FD" w:rsidP="00AC4DEE">
            <w:pPr>
              <w:pStyle w:val="TableBody"/>
            </w:pPr>
            <w:r>
              <w:t>A QSE.</w:t>
            </w:r>
          </w:p>
        </w:tc>
      </w:tr>
      <w:tr w:rsidR="001F04FD" w14:paraId="27FE5211" w14:textId="77777777" w:rsidTr="00AD486D">
        <w:trPr>
          <w:cantSplit/>
        </w:trPr>
        <w:tc>
          <w:tcPr>
            <w:tcW w:w="2357" w:type="dxa"/>
          </w:tcPr>
          <w:p w14:paraId="37C2DBB6" w14:textId="77777777" w:rsidR="001F04FD" w:rsidRPr="00D87CFB" w:rsidRDefault="001F04FD" w:rsidP="00AC4DEE">
            <w:pPr>
              <w:pStyle w:val="TableBody"/>
              <w:rPr>
                <w:i/>
              </w:rPr>
            </w:pPr>
            <w:r w:rsidRPr="00D661BC">
              <w:rPr>
                <w:i/>
              </w:rPr>
              <w:t>p</w:t>
            </w:r>
          </w:p>
        </w:tc>
        <w:tc>
          <w:tcPr>
            <w:tcW w:w="0" w:type="auto"/>
          </w:tcPr>
          <w:p w14:paraId="4973AC55" w14:textId="77777777" w:rsidR="001F04FD" w:rsidRDefault="001F04FD" w:rsidP="00AC4DEE">
            <w:pPr>
              <w:pStyle w:val="TableBody"/>
            </w:pPr>
            <w:r>
              <w:t>none</w:t>
            </w:r>
          </w:p>
        </w:tc>
        <w:tc>
          <w:tcPr>
            <w:tcW w:w="6145" w:type="dxa"/>
          </w:tcPr>
          <w:p w14:paraId="75A72333" w14:textId="77777777" w:rsidR="001F04FD" w:rsidRDefault="001F04FD" w:rsidP="00AC4DEE">
            <w:pPr>
              <w:pStyle w:val="TableBody"/>
            </w:pPr>
            <w:r>
              <w:t>A Resource Node Settlement Point.</w:t>
            </w:r>
          </w:p>
        </w:tc>
      </w:tr>
      <w:tr w:rsidR="001F04FD" w14:paraId="2A51892C" w14:textId="77777777" w:rsidTr="00AD486D">
        <w:trPr>
          <w:cantSplit/>
        </w:trPr>
        <w:tc>
          <w:tcPr>
            <w:tcW w:w="2357" w:type="dxa"/>
          </w:tcPr>
          <w:p w14:paraId="629F1770" w14:textId="77777777" w:rsidR="001F04FD" w:rsidRPr="00D87CFB" w:rsidRDefault="001F04FD" w:rsidP="00AC4DEE">
            <w:pPr>
              <w:pStyle w:val="TableBody"/>
              <w:rPr>
                <w:i/>
              </w:rPr>
            </w:pPr>
            <w:r w:rsidRPr="00D661BC">
              <w:rPr>
                <w:i/>
              </w:rPr>
              <w:t>r</w:t>
            </w:r>
          </w:p>
        </w:tc>
        <w:tc>
          <w:tcPr>
            <w:tcW w:w="0" w:type="auto"/>
          </w:tcPr>
          <w:p w14:paraId="0C53058C" w14:textId="77777777" w:rsidR="001F04FD" w:rsidRDefault="001F04FD" w:rsidP="00AC4DEE">
            <w:pPr>
              <w:pStyle w:val="TableBody"/>
            </w:pPr>
            <w:r>
              <w:t>none</w:t>
            </w:r>
          </w:p>
        </w:tc>
        <w:tc>
          <w:tcPr>
            <w:tcW w:w="6145" w:type="dxa"/>
          </w:tcPr>
          <w:p w14:paraId="680887E0" w14:textId="32A1E20E" w:rsidR="001F04FD" w:rsidRDefault="004E4B05" w:rsidP="00AC4DEE">
            <w:pPr>
              <w:pStyle w:val="TableBody"/>
            </w:pPr>
            <w:r w:rsidRPr="00423D31">
              <w:t>A Generation Resource or a Controllable L</w:t>
            </w:r>
            <w:r>
              <w:t>oad Resource</w:t>
            </w:r>
            <w:r w:rsidR="00C67FF2">
              <w:t xml:space="preserve"> (CLR)</w:t>
            </w:r>
            <w:r>
              <w:t xml:space="preserve"> that is part of an</w:t>
            </w:r>
            <w:r w:rsidRPr="00423D31">
              <w:t xml:space="preserve"> </w:t>
            </w:r>
            <w:r>
              <w:t>ESR</w:t>
            </w:r>
            <w:r w:rsidRPr="00423D31">
              <w:t xml:space="preserve"> that is located at the Facility with net metering.</w:t>
            </w:r>
          </w:p>
        </w:tc>
      </w:tr>
      <w:tr w:rsidR="001F04FD" w14:paraId="0ABACB09" w14:textId="77777777" w:rsidTr="00AD486D">
        <w:trPr>
          <w:cantSplit/>
        </w:trPr>
        <w:tc>
          <w:tcPr>
            <w:tcW w:w="2357" w:type="dxa"/>
          </w:tcPr>
          <w:p w14:paraId="15082CF0" w14:textId="77777777" w:rsidR="001F04FD" w:rsidRPr="00D87CFB" w:rsidRDefault="001F04FD" w:rsidP="00AC4DEE">
            <w:pPr>
              <w:pStyle w:val="TableBody"/>
              <w:rPr>
                <w:i/>
              </w:rPr>
            </w:pPr>
            <w:r w:rsidRPr="00D661BC">
              <w:rPr>
                <w:i/>
              </w:rPr>
              <w:t>gsc</w:t>
            </w:r>
          </w:p>
        </w:tc>
        <w:tc>
          <w:tcPr>
            <w:tcW w:w="0" w:type="auto"/>
          </w:tcPr>
          <w:p w14:paraId="75B09F64" w14:textId="77777777" w:rsidR="001F04FD" w:rsidRDefault="001F04FD" w:rsidP="00AC4DEE">
            <w:pPr>
              <w:pStyle w:val="TableBody"/>
            </w:pPr>
            <w:r>
              <w:t>none</w:t>
            </w:r>
          </w:p>
        </w:tc>
        <w:tc>
          <w:tcPr>
            <w:tcW w:w="6145" w:type="dxa"/>
          </w:tcPr>
          <w:p w14:paraId="13DFC5FA" w14:textId="77777777" w:rsidR="001F04FD" w:rsidRDefault="001F04FD" w:rsidP="00AC4DEE">
            <w:pPr>
              <w:pStyle w:val="TableBody"/>
            </w:pPr>
            <w:r>
              <w:t>A generation site code.</w:t>
            </w:r>
          </w:p>
        </w:tc>
      </w:tr>
      <w:tr w:rsidR="001F04FD" w14:paraId="2393773C" w14:textId="77777777" w:rsidTr="00AD486D">
        <w:trPr>
          <w:cantSplit/>
        </w:trPr>
        <w:tc>
          <w:tcPr>
            <w:tcW w:w="2357" w:type="dxa"/>
          </w:tcPr>
          <w:p w14:paraId="3B0BC920" w14:textId="77777777" w:rsidR="001F04FD" w:rsidRPr="00D661BC" w:rsidRDefault="001F04FD" w:rsidP="00AC4DEE">
            <w:pPr>
              <w:pStyle w:val="TableBody"/>
              <w:rPr>
                <w:i/>
              </w:rPr>
            </w:pPr>
            <w:r>
              <w:rPr>
                <w:i/>
              </w:rPr>
              <w:t>b</w:t>
            </w:r>
          </w:p>
        </w:tc>
        <w:tc>
          <w:tcPr>
            <w:tcW w:w="0" w:type="auto"/>
          </w:tcPr>
          <w:p w14:paraId="4E2F9496" w14:textId="77777777" w:rsidR="001F04FD" w:rsidRDefault="001F04FD" w:rsidP="00AC4DEE">
            <w:pPr>
              <w:pStyle w:val="TableBody"/>
            </w:pPr>
            <w:r>
              <w:t>none</w:t>
            </w:r>
          </w:p>
        </w:tc>
        <w:tc>
          <w:tcPr>
            <w:tcW w:w="6145" w:type="dxa"/>
          </w:tcPr>
          <w:p w14:paraId="12640EAB" w14:textId="77777777" w:rsidR="001F04FD" w:rsidRDefault="001F04FD" w:rsidP="00AC4DEE">
            <w:pPr>
              <w:pStyle w:val="TableBody"/>
            </w:pPr>
            <w:r>
              <w:t>An Electrical Bus.</w:t>
            </w:r>
          </w:p>
        </w:tc>
      </w:tr>
    </w:tbl>
    <w:p w14:paraId="600AA494" w14:textId="77777777" w:rsidR="006F7954" w:rsidRDefault="006F7954" w:rsidP="006F7954">
      <w:pPr>
        <w:ind w:left="720" w:hanging="720"/>
      </w:pPr>
    </w:p>
    <w:tbl>
      <w:tblPr>
        <w:tblW w:w="50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6F7954" w14:paraId="089AC7D4" w14:textId="77777777" w:rsidTr="004E4B05">
        <w:trPr>
          <w:trHeight w:val="206"/>
        </w:trPr>
        <w:tc>
          <w:tcPr>
            <w:tcW w:w="5000" w:type="pct"/>
            <w:shd w:val="pct12" w:color="auto" w:fill="auto"/>
          </w:tcPr>
          <w:p w14:paraId="3C128463" w14:textId="2511E0AF" w:rsidR="006F7954" w:rsidRDefault="00EC50FF" w:rsidP="009E7633">
            <w:pPr>
              <w:pStyle w:val="Instructions"/>
              <w:spacing w:before="120"/>
            </w:pPr>
            <w:r>
              <w:t>[</w:t>
            </w:r>
            <w:r w:rsidR="006F7954">
              <w:t>NPRR1014</w:t>
            </w:r>
            <w:r w:rsidR="006C5B5E">
              <w:t xml:space="preserve"> and NPRR1188</w:t>
            </w:r>
            <w:r w:rsidR="006F7954">
              <w:t xml:space="preserve">:  Replace </w:t>
            </w:r>
            <w:r w:rsidR="006C5B5E">
              <w:t xml:space="preserve">applicable portions of </w:t>
            </w:r>
            <w:r w:rsidR="006F7954">
              <w:t>paragraph (2) above with the following upon system implementation:]</w:t>
            </w:r>
          </w:p>
          <w:p w14:paraId="25FA0F32" w14:textId="77777777" w:rsidR="00F713DF" w:rsidRPr="00A552C3" w:rsidRDefault="00F713DF" w:rsidP="00F713DF">
            <w:pPr>
              <w:spacing w:after="240"/>
              <w:ind w:left="720" w:hanging="720"/>
              <w:rPr>
                <w:iCs/>
              </w:rPr>
            </w:pPr>
            <w:bookmarkStart w:id="1864" w:name="_Hlk183420047"/>
            <w:r w:rsidRPr="00A552C3">
              <w:rPr>
                <w:iCs/>
              </w:rPr>
              <w:lastRenderedPageBreak/>
              <w:t>(2)</w:t>
            </w:r>
            <w:r w:rsidRPr="00A552C3">
              <w:rPr>
                <w:iCs/>
              </w:rPr>
              <w:tab/>
              <w:t>The payment or charge to each QSE for Energy Imbalance Service at a Resource Node Settlement Point for a given 15-minute Settlement Interval is calculated as follows:</w:t>
            </w:r>
          </w:p>
          <w:p w14:paraId="0525B6A0" w14:textId="5F3875E6" w:rsidR="00F713DF" w:rsidRPr="00A552C3" w:rsidRDefault="00F713DF" w:rsidP="00F713DF">
            <w:pPr>
              <w:tabs>
                <w:tab w:val="left" w:pos="2250"/>
                <w:tab w:val="left" w:pos="3150"/>
                <w:tab w:val="left" w:pos="3960"/>
              </w:tabs>
              <w:spacing w:after="240"/>
              <w:ind w:left="3150" w:hanging="2430"/>
              <w:rPr>
                <w:b/>
                <w:bCs/>
                <w:sz w:val="32"/>
              </w:rPr>
            </w:pPr>
            <w:r w:rsidRPr="00A552C3">
              <w:rPr>
                <w:b/>
                <w:bCs/>
              </w:rPr>
              <w:t xml:space="preserve">RTEIAMT </w:t>
            </w:r>
            <w:r w:rsidRPr="00A552C3">
              <w:rPr>
                <w:b/>
                <w:bCs/>
                <w:i/>
                <w:vertAlign w:val="subscript"/>
              </w:rPr>
              <w:t>q, p</w:t>
            </w:r>
            <w:r w:rsidRPr="00A552C3">
              <w:rPr>
                <w:b/>
                <w:bCs/>
              </w:rPr>
              <w:tab/>
            </w:r>
            <w:r w:rsidRPr="00A552C3">
              <w:rPr>
                <w:b/>
                <w:bCs/>
              </w:rPr>
              <w:tab/>
              <w:t>= (-1) * {</w:t>
            </w:r>
            <w:r w:rsidRPr="00A552C3">
              <w:rPr>
                <w:b/>
                <w:bCs/>
                <w:position w:val="-22"/>
              </w:rPr>
              <w:object w:dxaOrig="255" w:dyaOrig="495" w14:anchorId="52E9D0F0">
                <v:shape id="_x0000_i1123" type="#_x0000_t75" style="width:12pt;height:30pt" o:ole="">
                  <v:imagedata r:id="rId120" o:title=""/>
                </v:shape>
                <o:OLEObject Type="Embed" ProgID="Equation.3" ShapeID="_x0000_i1123" DrawAspect="Content" ObjectID="_1815025313" r:id="rId133"/>
              </w:object>
            </w:r>
            <w:r w:rsidRPr="00A552C3">
              <w:rPr>
                <w:rFonts w:ascii="Times New Roman Bold" w:hAnsi="Times New Roman Bold"/>
                <w:b/>
                <w:bCs/>
              </w:rPr>
              <w:t>(</w:t>
            </w:r>
            <w:r w:rsidRPr="00A552C3">
              <w:rPr>
                <w:b/>
                <w:bCs/>
                <w:position w:val="-18"/>
              </w:rPr>
              <w:object w:dxaOrig="255" w:dyaOrig="495" w14:anchorId="6F0159FB">
                <v:shape id="_x0000_i1124" type="#_x0000_t75" style="width:12pt;height:30pt" o:ole="">
                  <v:imagedata r:id="rId122" o:title=""/>
                </v:shape>
                <o:OLEObject Type="Embed" ProgID="Equation.3" ShapeID="_x0000_i1124" DrawAspect="Content" ObjectID="_1815025314" r:id="rId134"/>
              </w:object>
            </w:r>
            <w:r w:rsidRPr="00A552C3">
              <w:rPr>
                <w:b/>
                <w:bCs/>
              </w:rPr>
              <w:t>(RESREV</w:t>
            </w:r>
            <w:r w:rsidRPr="00A552C3">
              <w:rPr>
                <w:b/>
                <w:bCs/>
                <w:i/>
                <w:vertAlign w:val="subscript"/>
              </w:rPr>
              <w:t xml:space="preserve"> q, r, gsc, p</w:t>
            </w:r>
            <w:r w:rsidRPr="00A552C3">
              <w:rPr>
                <w:b/>
                <w:bCs/>
              </w:rPr>
              <w:t>)) + (</w:t>
            </w:r>
            <w:r w:rsidRPr="00A552C3">
              <w:rPr>
                <w:b/>
                <w:bCs/>
                <w:position w:val="-18"/>
              </w:rPr>
              <w:object w:dxaOrig="255" w:dyaOrig="495" w14:anchorId="21E5E760">
                <v:shape id="_x0000_i1125" type="#_x0000_t75" style="width:12pt;height:30pt" o:ole="">
                  <v:imagedata r:id="rId122" o:title=""/>
                </v:shape>
                <o:OLEObject Type="Embed" ProgID="Equation.3" ShapeID="_x0000_i1125" DrawAspect="Content" ObjectID="_1815025315" r:id="rId135"/>
              </w:object>
            </w:r>
            <w:r w:rsidRPr="00A552C3">
              <w:rPr>
                <w:b/>
                <w:bCs/>
              </w:rPr>
              <w:t>WSLAMTTOT</w:t>
            </w:r>
            <w:r w:rsidRPr="00A552C3">
              <w:rPr>
                <w:b/>
                <w:bCs/>
                <w:i/>
                <w:sz w:val="28"/>
                <w:szCs w:val="28"/>
                <w:vertAlign w:val="subscript"/>
              </w:rPr>
              <w:t xml:space="preserve"> </w:t>
            </w:r>
            <w:r w:rsidRPr="00A552C3">
              <w:rPr>
                <w:b/>
                <w:bCs/>
                <w:i/>
                <w:vertAlign w:val="subscript"/>
              </w:rPr>
              <w:t>q, r, p</w:t>
            </w:r>
            <w:r w:rsidRPr="00A552C3">
              <w:rPr>
                <w:b/>
                <w:bCs/>
              </w:rPr>
              <w:t xml:space="preserve">) </w:t>
            </w:r>
            <w:r w:rsidR="006C5B5E" w:rsidRPr="00812ECB">
              <w:rPr>
                <w:b/>
                <w:bCs/>
              </w:rPr>
              <w:t>+ (</w:t>
            </w:r>
            <w:r w:rsidR="006C5B5E" w:rsidRPr="00812ECB">
              <w:rPr>
                <w:b/>
                <w:bCs/>
                <w:noProof/>
                <w:position w:val="-18"/>
              </w:rPr>
              <w:drawing>
                <wp:inline distT="0" distB="0" distL="0" distR="0" wp14:anchorId="140FEE6B" wp14:editId="423A4DFF">
                  <wp:extent cx="180975" cy="276225"/>
                  <wp:effectExtent l="0" t="0" r="0" b="0"/>
                  <wp:docPr id="290772224" name="Picture 29077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006C5B5E" w:rsidRPr="00812ECB">
              <w:rPr>
                <w:b/>
                <w:bCs/>
              </w:rPr>
              <w:t>CLRAMTTOT</w:t>
            </w:r>
            <w:r w:rsidR="006C5B5E" w:rsidRPr="00812ECB">
              <w:rPr>
                <w:b/>
                <w:bCs/>
                <w:i/>
                <w:sz w:val="28"/>
                <w:szCs w:val="28"/>
                <w:vertAlign w:val="subscript"/>
              </w:rPr>
              <w:t xml:space="preserve"> </w:t>
            </w:r>
            <w:r w:rsidR="006C5B5E" w:rsidRPr="00812ECB">
              <w:rPr>
                <w:b/>
                <w:bCs/>
                <w:i/>
                <w:vertAlign w:val="subscript"/>
              </w:rPr>
              <w:t>q, r, p</w:t>
            </w:r>
            <w:r w:rsidR="006C5B5E" w:rsidRPr="00812ECB">
              <w:rPr>
                <w:b/>
                <w:bCs/>
              </w:rPr>
              <w:t xml:space="preserve">) </w:t>
            </w:r>
            <w:r w:rsidRPr="00A552C3">
              <w:rPr>
                <w:b/>
                <w:bCs/>
              </w:rPr>
              <w:t>+ (</w:t>
            </w:r>
            <w:r w:rsidRPr="00A552C3">
              <w:rPr>
                <w:b/>
                <w:bCs/>
                <w:position w:val="-18"/>
              </w:rPr>
              <w:object w:dxaOrig="255" w:dyaOrig="495" w14:anchorId="0BEA04A7">
                <v:shape id="_x0000_i1126" type="#_x0000_t75" style="width:12pt;height:30pt" o:ole="">
                  <v:imagedata r:id="rId122" o:title=""/>
                </v:shape>
                <o:OLEObject Type="Embed" ProgID="Equation.3" ShapeID="_x0000_i1126" DrawAspect="Content" ObjectID="_1815025316" r:id="rId137"/>
              </w:object>
            </w:r>
            <w:r w:rsidRPr="00A552C3">
              <w:rPr>
                <w:b/>
                <w:bCs/>
              </w:rPr>
              <w:t>ESRNWSLAMTTOT</w:t>
            </w:r>
            <w:r w:rsidRPr="00A552C3">
              <w:rPr>
                <w:b/>
                <w:bCs/>
                <w:i/>
                <w:sz w:val="28"/>
                <w:szCs w:val="28"/>
                <w:vertAlign w:val="subscript"/>
              </w:rPr>
              <w:t xml:space="preserve"> </w:t>
            </w:r>
            <w:r w:rsidRPr="00A552C3">
              <w:rPr>
                <w:b/>
                <w:bCs/>
                <w:i/>
                <w:vertAlign w:val="subscript"/>
              </w:rPr>
              <w:t>q, r, p</w:t>
            </w:r>
            <w:r w:rsidRPr="00A552C3">
              <w:rPr>
                <w:b/>
                <w:bCs/>
              </w:rPr>
              <w:t xml:space="preserve">) + RTSPP </w:t>
            </w:r>
            <w:r w:rsidRPr="00A552C3">
              <w:rPr>
                <w:b/>
                <w:bCs/>
                <w:i/>
                <w:vertAlign w:val="subscript"/>
              </w:rPr>
              <w:t>p</w:t>
            </w:r>
            <w:r w:rsidRPr="00A552C3">
              <w:rPr>
                <w:b/>
                <w:bCs/>
              </w:rPr>
              <w:t xml:space="preserve"> * [(SSSK </w:t>
            </w:r>
            <w:r w:rsidRPr="00A552C3">
              <w:rPr>
                <w:b/>
                <w:bCs/>
                <w:i/>
                <w:vertAlign w:val="subscript"/>
              </w:rPr>
              <w:t>q, p</w:t>
            </w:r>
            <w:r w:rsidRPr="00A552C3">
              <w:rPr>
                <w:b/>
                <w:bCs/>
              </w:rPr>
              <w:t xml:space="preserve"> * ¼) + (DAEP </w:t>
            </w:r>
            <w:r w:rsidRPr="00A552C3">
              <w:rPr>
                <w:b/>
                <w:bCs/>
                <w:i/>
                <w:vertAlign w:val="subscript"/>
              </w:rPr>
              <w:t>q, p</w:t>
            </w:r>
            <w:r w:rsidRPr="00A552C3">
              <w:rPr>
                <w:b/>
                <w:bCs/>
              </w:rPr>
              <w:t xml:space="preserve"> * ¼) + (RTQQEP </w:t>
            </w:r>
            <w:r w:rsidRPr="00A552C3">
              <w:rPr>
                <w:b/>
                <w:bCs/>
                <w:i/>
                <w:vertAlign w:val="subscript"/>
              </w:rPr>
              <w:t>q, p</w:t>
            </w:r>
            <w:r w:rsidRPr="00A552C3">
              <w:rPr>
                <w:b/>
                <w:bCs/>
              </w:rPr>
              <w:t xml:space="preserve"> * ¼) – (SSSR </w:t>
            </w:r>
            <w:r w:rsidRPr="00A552C3">
              <w:rPr>
                <w:b/>
                <w:bCs/>
                <w:i/>
                <w:vertAlign w:val="subscript"/>
              </w:rPr>
              <w:t>q, p</w:t>
            </w:r>
            <w:r w:rsidRPr="00A552C3">
              <w:rPr>
                <w:b/>
                <w:bCs/>
              </w:rPr>
              <w:t xml:space="preserve"> * ¼) – (DAES </w:t>
            </w:r>
            <w:r w:rsidRPr="00A552C3">
              <w:rPr>
                <w:b/>
                <w:bCs/>
                <w:i/>
                <w:vertAlign w:val="subscript"/>
              </w:rPr>
              <w:t>q, p</w:t>
            </w:r>
            <w:r w:rsidRPr="00A552C3">
              <w:rPr>
                <w:b/>
                <w:bCs/>
              </w:rPr>
              <w:t xml:space="preserve"> * ¼) – (RTQQES </w:t>
            </w:r>
            <w:r w:rsidRPr="00A552C3">
              <w:rPr>
                <w:b/>
                <w:bCs/>
                <w:i/>
                <w:vertAlign w:val="subscript"/>
              </w:rPr>
              <w:t>q, p</w:t>
            </w:r>
            <w:r w:rsidRPr="00A552C3">
              <w:rPr>
                <w:b/>
                <w:bCs/>
              </w:rPr>
              <w:t xml:space="preserve"> * ¼)]</w:t>
            </w:r>
            <w:r w:rsidRPr="00A552C3">
              <w:rPr>
                <w:b/>
                <w:bCs/>
                <w:sz w:val="32"/>
              </w:rPr>
              <w:t>}</w:t>
            </w:r>
          </w:p>
          <w:p w14:paraId="76979D25" w14:textId="77777777" w:rsidR="00F713DF" w:rsidRPr="00A552C3" w:rsidRDefault="00F713DF" w:rsidP="00F713DF">
            <w:pPr>
              <w:tabs>
                <w:tab w:val="left" w:pos="2250"/>
                <w:tab w:val="left" w:pos="3150"/>
                <w:tab w:val="left" w:pos="3960"/>
              </w:tabs>
              <w:spacing w:before="240" w:after="240"/>
              <w:ind w:left="3960" w:hanging="3240"/>
              <w:rPr>
                <w:bCs/>
              </w:rPr>
            </w:pPr>
            <w:r w:rsidRPr="00A552C3">
              <w:rPr>
                <w:bCs/>
              </w:rPr>
              <w:t>Where:</w:t>
            </w:r>
          </w:p>
          <w:p w14:paraId="31748A61" w14:textId="77777777" w:rsidR="00F713DF" w:rsidRPr="00AD486D" w:rsidRDefault="00F713DF" w:rsidP="00F713DF">
            <w:pPr>
              <w:tabs>
                <w:tab w:val="left" w:pos="2250"/>
                <w:tab w:val="left" w:pos="3150"/>
                <w:tab w:val="left" w:pos="3960"/>
              </w:tabs>
              <w:spacing w:after="240"/>
              <w:ind w:left="3150" w:hanging="2430"/>
              <w:rPr>
                <w:bCs/>
                <w:i/>
                <w:sz w:val="28"/>
                <w:szCs w:val="28"/>
                <w:vertAlign w:val="subscript"/>
              </w:rPr>
            </w:pPr>
            <w:r w:rsidRPr="00AD486D">
              <w:rPr>
                <w:bCs/>
              </w:rPr>
              <w:t>RESREV</w:t>
            </w:r>
            <w:r w:rsidRPr="00B15E7C">
              <w:rPr>
                <w:bCs/>
                <w:i/>
                <w:vertAlign w:val="subscript"/>
              </w:rPr>
              <w:t xml:space="preserve"> q</w:t>
            </w:r>
            <w:r w:rsidRPr="00AD486D">
              <w:rPr>
                <w:bCs/>
                <w:i/>
                <w:vertAlign w:val="subscript"/>
              </w:rPr>
              <w:t>, r, gsc, p</w:t>
            </w:r>
            <w:r w:rsidRPr="00AD486D">
              <w:rPr>
                <w:bCs/>
              </w:rPr>
              <w:tab/>
              <w:t xml:space="preserve">= GSPLITPER </w:t>
            </w:r>
            <w:r w:rsidRPr="00B15E7C">
              <w:rPr>
                <w:bCs/>
                <w:i/>
                <w:vertAlign w:val="subscript"/>
              </w:rPr>
              <w:t>q</w:t>
            </w:r>
            <w:r w:rsidRPr="00AD486D">
              <w:rPr>
                <w:bCs/>
                <w:i/>
                <w:vertAlign w:val="subscript"/>
              </w:rPr>
              <w:t>, r, gsc, p</w:t>
            </w:r>
            <w:r w:rsidRPr="00AD486D">
              <w:rPr>
                <w:bCs/>
              </w:rPr>
              <w:t xml:space="preserve"> * NMSAMTTOT </w:t>
            </w:r>
            <w:r w:rsidRPr="00AD486D">
              <w:rPr>
                <w:bCs/>
                <w:i/>
                <w:szCs w:val="28"/>
                <w:vertAlign w:val="subscript"/>
              </w:rPr>
              <w:t>gsc</w:t>
            </w:r>
          </w:p>
          <w:p w14:paraId="5EED817B" w14:textId="77777777" w:rsidR="00F713DF" w:rsidRPr="00AD486D" w:rsidRDefault="00F713DF" w:rsidP="00F713DF">
            <w:pPr>
              <w:tabs>
                <w:tab w:val="left" w:pos="2250"/>
                <w:tab w:val="left" w:pos="3150"/>
                <w:tab w:val="left" w:pos="3960"/>
              </w:tabs>
              <w:spacing w:after="240"/>
              <w:ind w:left="3150" w:hanging="2430"/>
              <w:rPr>
                <w:bCs/>
                <w:i/>
                <w:vertAlign w:val="subscript"/>
              </w:rPr>
            </w:pPr>
            <w:r w:rsidRPr="00AD486D">
              <w:rPr>
                <w:bCs/>
              </w:rPr>
              <w:t>RESMEB</w:t>
            </w:r>
            <w:r w:rsidRPr="00B15E7C">
              <w:rPr>
                <w:bCs/>
                <w:i/>
                <w:vertAlign w:val="subscript"/>
              </w:rPr>
              <w:t xml:space="preserve"> q</w:t>
            </w:r>
            <w:r w:rsidRPr="00AD486D">
              <w:rPr>
                <w:bCs/>
                <w:i/>
                <w:vertAlign w:val="subscript"/>
              </w:rPr>
              <w:t>, r, gsc, p</w:t>
            </w:r>
            <w:r w:rsidRPr="00AD486D">
              <w:rPr>
                <w:bCs/>
                <w:i/>
                <w:vertAlign w:val="subscript"/>
              </w:rPr>
              <w:tab/>
            </w:r>
            <w:r w:rsidRPr="00AD486D">
              <w:rPr>
                <w:bCs/>
              </w:rPr>
              <w:t xml:space="preserve">= GSPLITPER </w:t>
            </w:r>
            <w:r w:rsidRPr="00B15E7C">
              <w:rPr>
                <w:bCs/>
                <w:i/>
                <w:vertAlign w:val="subscript"/>
              </w:rPr>
              <w:t>q</w:t>
            </w:r>
            <w:r w:rsidRPr="00AD486D">
              <w:rPr>
                <w:bCs/>
                <w:i/>
                <w:vertAlign w:val="subscript"/>
              </w:rPr>
              <w:t>, r, gsc, p</w:t>
            </w:r>
            <w:r w:rsidRPr="00AD486D">
              <w:rPr>
                <w:bCs/>
              </w:rPr>
              <w:t xml:space="preserve"> * NMRTETOT</w:t>
            </w:r>
            <w:r w:rsidRPr="00AD486D">
              <w:rPr>
                <w:bCs/>
                <w:i/>
                <w:vertAlign w:val="subscript"/>
              </w:rPr>
              <w:t xml:space="preserve"> gsc</w:t>
            </w:r>
          </w:p>
          <w:p w14:paraId="588D2825" w14:textId="77777777" w:rsidR="00F713DF" w:rsidRPr="00B15E7C" w:rsidRDefault="00F713DF" w:rsidP="00F713DF">
            <w:pPr>
              <w:tabs>
                <w:tab w:val="left" w:pos="2250"/>
                <w:tab w:val="left" w:pos="3150"/>
                <w:tab w:val="left" w:pos="3960"/>
              </w:tabs>
              <w:spacing w:after="240"/>
              <w:ind w:left="3150" w:hanging="2430"/>
              <w:rPr>
                <w:i/>
              </w:rPr>
            </w:pPr>
            <w:r w:rsidRPr="00AD486D">
              <w:t>WSLTOT</w:t>
            </w:r>
            <w:r w:rsidRPr="00AD486D">
              <w:rPr>
                <w:i/>
                <w:vertAlign w:val="subscript"/>
              </w:rPr>
              <w:t xml:space="preserve"> q, p</w:t>
            </w:r>
            <w:r w:rsidRPr="00AD486D">
              <w:rPr>
                <w:bCs/>
                <w:i/>
                <w:vertAlign w:val="subscript"/>
              </w:rPr>
              <w:tab/>
            </w:r>
            <w:r w:rsidRPr="00AD486D">
              <w:rPr>
                <w:bCs/>
                <w:vertAlign w:val="subscript"/>
              </w:rPr>
              <w:tab/>
            </w:r>
            <w:r w:rsidRPr="00B15E7C">
              <w:t xml:space="preserve">= </w:t>
            </w:r>
            <w:r w:rsidRPr="007E0BFA">
              <w:rPr>
                <w:bCs/>
                <w:position w:val="-18"/>
              </w:rPr>
              <w:object w:dxaOrig="255" w:dyaOrig="495" w14:anchorId="24A0CE63">
                <v:shape id="_x0000_i1127" type="#_x0000_t75" style="width:12pt;height:30pt" o:ole="">
                  <v:imagedata r:id="rId122" o:title=""/>
                </v:shape>
                <o:OLEObject Type="Embed" ProgID="Equation.3" ShapeID="_x0000_i1127" DrawAspect="Content" ObjectID="_1815025317" r:id="rId138"/>
              </w:object>
            </w:r>
            <w:r w:rsidRPr="00AD486D">
              <w:rPr>
                <w:bCs/>
                <w:position w:val="-22"/>
              </w:rPr>
              <w:t xml:space="preserve"> </w:t>
            </w:r>
            <w:r w:rsidRPr="00AD486D">
              <w:rPr>
                <w:rFonts w:ascii="Times New Roman Bold" w:hAnsi="Times New Roman Bold"/>
                <w:bCs/>
              </w:rPr>
              <w:t>(</w:t>
            </w:r>
            <w:r w:rsidRPr="007E0BFA">
              <w:rPr>
                <w:bCs/>
                <w:position w:val="-20"/>
              </w:rPr>
              <w:object w:dxaOrig="255" w:dyaOrig="495" w14:anchorId="481A741F">
                <v:shape id="_x0000_i1128" type="#_x0000_t75" style="width:12pt;height:30pt" o:ole="">
                  <v:imagedata r:id="rId127" o:title=""/>
                </v:shape>
                <o:OLEObject Type="Embed" ProgID="Equation.3" ShapeID="_x0000_i1128" DrawAspect="Content" ObjectID="_1815025318" r:id="rId139"/>
              </w:object>
            </w:r>
            <w:r w:rsidRPr="00B15E7C">
              <w:t xml:space="preserve"> </w:t>
            </w:r>
            <w:r w:rsidRPr="00AD486D">
              <w:rPr>
                <w:bCs/>
              </w:rPr>
              <w:t>MEBL</w:t>
            </w:r>
            <w:r w:rsidRPr="00B15E7C">
              <w:t xml:space="preserve"> </w:t>
            </w:r>
            <w:r w:rsidRPr="00B15E7C">
              <w:rPr>
                <w:i/>
                <w:vertAlign w:val="subscript"/>
              </w:rPr>
              <w:t>q,r,b</w:t>
            </w:r>
            <w:r w:rsidRPr="00AD486D">
              <w:rPr>
                <w:bCs/>
              </w:rPr>
              <w:t>)</w:t>
            </w:r>
          </w:p>
          <w:p w14:paraId="13C87725" w14:textId="6F558A12" w:rsidR="006C5B5E" w:rsidRPr="00812ECB" w:rsidRDefault="006C5B5E" w:rsidP="006C5B5E">
            <w:pPr>
              <w:tabs>
                <w:tab w:val="left" w:pos="2250"/>
                <w:tab w:val="left" w:pos="3150"/>
                <w:tab w:val="left" w:pos="3960"/>
              </w:tabs>
              <w:spacing w:after="240"/>
              <w:ind w:left="3150" w:hanging="2430"/>
              <w:rPr>
                <w:b/>
              </w:rPr>
            </w:pPr>
            <w:r w:rsidRPr="00812ECB">
              <w:t>CLRTOT</w:t>
            </w:r>
            <w:r w:rsidRPr="00812ECB">
              <w:rPr>
                <w:i/>
                <w:vertAlign w:val="subscript"/>
              </w:rPr>
              <w:t xml:space="preserve"> q, p</w:t>
            </w:r>
            <w:r w:rsidRPr="00812ECB">
              <w:rPr>
                <w:i/>
                <w:vertAlign w:val="subscript"/>
              </w:rPr>
              <w:tab/>
            </w:r>
            <w:r w:rsidRPr="00812ECB">
              <w:rPr>
                <w:i/>
                <w:vertAlign w:val="subscript"/>
              </w:rPr>
              <w:tab/>
            </w:r>
            <w:r w:rsidRPr="00812ECB">
              <w:t xml:space="preserve">= </w:t>
            </w:r>
            <w:r w:rsidRPr="00812ECB">
              <w:rPr>
                <w:noProof/>
                <w:position w:val="-18"/>
              </w:rPr>
              <w:drawing>
                <wp:inline distT="0" distB="0" distL="0" distR="0" wp14:anchorId="0C8F7024" wp14:editId="75CDDEEB">
                  <wp:extent cx="198120" cy="293370"/>
                  <wp:effectExtent l="0" t="0" r="0" b="0"/>
                  <wp:docPr id="589911426" name="Picture 58991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98120" cy="293370"/>
                          </a:xfrm>
                          <a:prstGeom prst="rect">
                            <a:avLst/>
                          </a:prstGeom>
                          <a:noFill/>
                          <a:ln>
                            <a:noFill/>
                          </a:ln>
                        </pic:spPr>
                      </pic:pic>
                    </a:graphicData>
                  </a:graphic>
                </wp:inline>
              </w:drawing>
            </w:r>
            <w:r w:rsidRPr="00812ECB">
              <w:rPr>
                <w:rFonts w:ascii="Times New Roman Bold" w:hAnsi="Times New Roman Bold"/>
              </w:rPr>
              <w:t>(</w:t>
            </w:r>
            <w:r w:rsidRPr="00812ECB">
              <w:rPr>
                <w:noProof/>
                <w:position w:val="-20"/>
              </w:rPr>
              <w:drawing>
                <wp:inline distT="0" distB="0" distL="0" distR="0" wp14:anchorId="75EDCAA7" wp14:editId="3E8452D7">
                  <wp:extent cx="224155" cy="293370"/>
                  <wp:effectExtent l="0" t="0" r="0" b="0"/>
                  <wp:docPr id="1782355677" name="Picture 1782355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24155" cy="293370"/>
                          </a:xfrm>
                          <a:prstGeom prst="rect">
                            <a:avLst/>
                          </a:prstGeom>
                          <a:noFill/>
                          <a:ln>
                            <a:noFill/>
                          </a:ln>
                        </pic:spPr>
                      </pic:pic>
                    </a:graphicData>
                  </a:graphic>
                </wp:inline>
              </w:drawing>
            </w:r>
            <w:r w:rsidRPr="00812ECB">
              <w:t xml:space="preserve">MEBCL </w:t>
            </w:r>
            <w:r w:rsidRPr="00812ECB">
              <w:rPr>
                <w:i/>
                <w:vertAlign w:val="subscript"/>
              </w:rPr>
              <w:t>q, r, b</w:t>
            </w:r>
            <w:r w:rsidRPr="00812ECB">
              <w:t>)</w:t>
            </w:r>
          </w:p>
          <w:p w14:paraId="693FF307" w14:textId="77777777" w:rsidR="00F713DF" w:rsidRPr="00AD486D" w:rsidRDefault="00F713DF" w:rsidP="00F713DF">
            <w:pPr>
              <w:tabs>
                <w:tab w:val="left" w:pos="2340"/>
                <w:tab w:val="left" w:pos="3420"/>
              </w:tabs>
              <w:spacing w:before="240" w:after="240"/>
              <w:ind w:left="3420" w:hanging="2700"/>
              <w:rPr>
                <w:bCs/>
                <w:i/>
              </w:rPr>
            </w:pPr>
            <w:r w:rsidRPr="00AD486D">
              <w:rPr>
                <w:bCs/>
              </w:rPr>
              <w:t>ESRNWSLTOT</w:t>
            </w:r>
            <w:r w:rsidRPr="00AD486D">
              <w:rPr>
                <w:bCs/>
                <w:i/>
                <w:vertAlign w:val="subscript"/>
              </w:rPr>
              <w:t xml:space="preserve"> q, p</w:t>
            </w:r>
            <w:r w:rsidRPr="00AD486D">
              <w:rPr>
                <w:bCs/>
                <w:i/>
                <w:vertAlign w:val="subscript"/>
              </w:rPr>
              <w:tab/>
            </w:r>
            <w:r w:rsidRPr="00AD486D">
              <w:rPr>
                <w:bCs/>
              </w:rPr>
              <w:t xml:space="preserve">= </w:t>
            </w:r>
            <w:r w:rsidRPr="007E0BFA">
              <w:rPr>
                <w:bCs/>
                <w:position w:val="-18"/>
              </w:rPr>
              <w:object w:dxaOrig="255" w:dyaOrig="495" w14:anchorId="050D83B8">
                <v:shape id="_x0000_i1129" type="#_x0000_t75" style="width:12pt;height:30pt" o:ole="">
                  <v:imagedata r:id="rId122" o:title=""/>
                </v:shape>
                <o:OLEObject Type="Embed" ProgID="Equation.3" ShapeID="_x0000_i1129" DrawAspect="Content" ObjectID="_1815025319" r:id="rId141"/>
              </w:object>
            </w:r>
            <w:r w:rsidRPr="00AD486D">
              <w:rPr>
                <w:bCs/>
                <w:position w:val="-22"/>
              </w:rPr>
              <w:t xml:space="preserve"> </w:t>
            </w:r>
            <w:r w:rsidRPr="00AD486D">
              <w:rPr>
                <w:rFonts w:ascii="Times New Roman Bold" w:hAnsi="Times New Roman Bold"/>
                <w:bCs/>
              </w:rPr>
              <w:t>(</w:t>
            </w:r>
            <w:r w:rsidRPr="007E0BFA">
              <w:rPr>
                <w:bCs/>
                <w:position w:val="-20"/>
              </w:rPr>
              <w:object w:dxaOrig="255" w:dyaOrig="495" w14:anchorId="7282E51C">
                <v:shape id="_x0000_i1130" type="#_x0000_t75" style="width:12pt;height:30pt" o:ole="">
                  <v:imagedata r:id="rId127" o:title=""/>
                </v:shape>
                <o:OLEObject Type="Embed" ProgID="Equation.3" ShapeID="_x0000_i1130" DrawAspect="Content" ObjectID="_1815025320" r:id="rId142"/>
              </w:object>
            </w:r>
            <w:r w:rsidRPr="00AD486D">
              <w:rPr>
                <w:bCs/>
              </w:rPr>
              <w:t xml:space="preserve"> MEBR </w:t>
            </w:r>
            <w:r w:rsidRPr="00AD486D">
              <w:rPr>
                <w:bCs/>
                <w:i/>
                <w:vertAlign w:val="subscript"/>
              </w:rPr>
              <w:t>q, r, b</w:t>
            </w:r>
            <w:r w:rsidRPr="00AD486D">
              <w:rPr>
                <w:bCs/>
              </w:rPr>
              <w:t>)</w:t>
            </w:r>
          </w:p>
          <w:p w14:paraId="3A49F2D3" w14:textId="05A17022" w:rsidR="00F713DF" w:rsidRPr="00AD486D" w:rsidRDefault="00F713DF" w:rsidP="00F713DF">
            <w:pPr>
              <w:tabs>
                <w:tab w:val="left" w:pos="2250"/>
                <w:tab w:val="left" w:pos="3150"/>
              </w:tabs>
              <w:spacing w:after="240"/>
              <w:ind w:left="3150" w:hanging="2430"/>
              <w:rPr>
                <w:bCs/>
                <w:sz w:val="32"/>
              </w:rPr>
            </w:pPr>
            <w:r w:rsidRPr="00AD486D">
              <w:rPr>
                <w:bCs/>
              </w:rPr>
              <w:t>RNIMBAL</w:t>
            </w:r>
            <w:r w:rsidRPr="00AD486D">
              <w:rPr>
                <w:bCs/>
                <w:i/>
                <w:vertAlign w:val="subscript"/>
              </w:rPr>
              <w:t xml:space="preserve"> q, p</w:t>
            </w:r>
            <w:r w:rsidRPr="00AD486D">
              <w:rPr>
                <w:bCs/>
                <w:i/>
                <w:vertAlign w:val="subscript"/>
              </w:rPr>
              <w:tab/>
            </w:r>
            <w:r w:rsidRPr="00AD486D">
              <w:rPr>
                <w:bCs/>
                <w:i/>
                <w:vertAlign w:val="subscript"/>
              </w:rPr>
              <w:tab/>
            </w:r>
            <w:r w:rsidRPr="00AD486D">
              <w:rPr>
                <w:bCs/>
                <w:i/>
              </w:rPr>
              <w:t xml:space="preserve">= </w:t>
            </w:r>
            <w:r w:rsidRPr="007E0BFA">
              <w:rPr>
                <w:bCs/>
                <w:position w:val="-22"/>
              </w:rPr>
              <w:object w:dxaOrig="255" w:dyaOrig="495" w14:anchorId="229C5703">
                <v:shape id="_x0000_i1131" type="#_x0000_t75" style="width:12pt;height:30pt" o:ole="">
                  <v:imagedata r:id="rId120" o:title=""/>
                </v:shape>
                <o:OLEObject Type="Embed" ProgID="Equation.3" ShapeID="_x0000_i1131" DrawAspect="Content" ObjectID="_1815025321" r:id="rId143"/>
              </w:object>
            </w:r>
            <w:r w:rsidRPr="00AD486D">
              <w:rPr>
                <w:rFonts w:ascii="Times New Roman Bold" w:hAnsi="Times New Roman Bold"/>
                <w:bCs/>
              </w:rPr>
              <w:t>(</w:t>
            </w:r>
            <w:r w:rsidRPr="007E0BFA">
              <w:rPr>
                <w:bCs/>
                <w:position w:val="-18"/>
              </w:rPr>
              <w:object w:dxaOrig="255" w:dyaOrig="495" w14:anchorId="62C2E109">
                <v:shape id="_x0000_i1132" type="#_x0000_t75" style="width:12pt;height:30pt" o:ole="">
                  <v:imagedata r:id="rId122" o:title=""/>
                </v:shape>
                <o:OLEObject Type="Embed" ProgID="Equation.3" ShapeID="_x0000_i1132" DrawAspect="Content" ObjectID="_1815025322" r:id="rId144"/>
              </w:object>
            </w:r>
            <w:r w:rsidRPr="00AD486D">
              <w:rPr>
                <w:bCs/>
              </w:rPr>
              <w:t>RESMEB</w:t>
            </w:r>
            <w:r w:rsidRPr="00AD486D">
              <w:rPr>
                <w:bCs/>
                <w:i/>
                <w:vertAlign w:val="subscript"/>
              </w:rPr>
              <w:t xml:space="preserve"> q, r, gsc, p</w:t>
            </w:r>
            <w:r w:rsidRPr="00AD486D">
              <w:rPr>
                <w:bCs/>
              </w:rPr>
              <w:t>) + WSLTOT</w:t>
            </w:r>
            <w:r w:rsidRPr="00AD486D">
              <w:rPr>
                <w:bCs/>
                <w:i/>
                <w:vertAlign w:val="subscript"/>
              </w:rPr>
              <w:t xml:space="preserve"> q, p</w:t>
            </w:r>
            <w:r w:rsidRPr="00AD486D">
              <w:rPr>
                <w:bCs/>
              </w:rPr>
              <w:t xml:space="preserve"> </w:t>
            </w:r>
            <w:r w:rsidR="006C5B5E" w:rsidRPr="00812ECB">
              <w:rPr>
                <w:bCs/>
              </w:rPr>
              <w:t>+ CLRTOT</w:t>
            </w:r>
            <w:r w:rsidR="006C5B5E" w:rsidRPr="00812ECB">
              <w:rPr>
                <w:bCs/>
                <w:i/>
                <w:vertAlign w:val="subscript"/>
              </w:rPr>
              <w:t xml:space="preserve"> q, p</w:t>
            </w:r>
            <w:r w:rsidR="006C5B5E" w:rsidRPr="00812ECB">
              <w:rPr>
                <w:bCs/>
              </w:rPr>
              <w:t xml:space="preserve"> </w:t>
            </w:r>
            <w:r w:rsidRPr="00AD486D">
              <w:rPr>
                <w:bCs/>
              </w:rPr>
              <w:t>+ ESRNWSLTOT</w:t>
            </w:r>
            <w:r w:rsidRPr="00AD486D">
              <w:rPr>
                <w:bCs/>
                <w:i/>
                <w:vertAlign w:val="subscript"/>
              </w:rPr>
              <w:t xml:space="preserve"> q, p</w:t>
            </w:r>
            <w:r w:rsidRPr="00AD486D">
              <w:rPr>
                <w:bCs/>
              </w:rPr>
              <w:t xml:space="preserve"> + (SSSK </w:t>
            </w:r>
            <w:r w:rsidRPr="00AD486D">
              <w:rPr>
                <w:bCs/>
                <w:i/>
                <w:vertAlign w:val="subscript"/>
              </w:rPr>
              <w:t>q, p</w:t>
            </w:r>
            <w:r w:rsidRPr="00AD486D">
              <w:rPr>
                <w:bCs/>
              </w:rPr>
              <w:t xml:space="preserve"> * ¼) + (DAEP </w:t>
            </w:r>
            <w:r w:rsidRPr="00AD486D">
              <w:rPr>
                <w:bCs/>
                <w:i/>
                <w:vertAlign w:val="subscript"/>
              </w:rPr>
              <w:t>q, p</w:t>
            </w:r>
            <w:r w:rsidRPr="00AD486D">
              <w:rPr>
                <w:bCs/>
              </w:rPr>
              <w:t xml:space="preserve"> * ¼) + (RTQQEP </w:t>
            </w:r>
            <w:r w:rsidRPr="00AD486D">
              <w:rPr>
                <w:bCs/>
                <w:i/>
                <w:vertAlign w:val="subscript"/>
              </w:rPr>
              <w:t>q, p</w:t>
            </w:r>
            <w:r w:rsidRPr="00AD486D">
              <w:rPr>
                <w:bCs/>
              </w:rPr>
              <w:t xml:space="preserve"> * ¼) – (SSSR </w:t>
            </w:r>
            <w:r w:rsidRPr="00AD486D">
              <w:rPr>
                <w:bCs/>
                <w:i/>
                <w:vertAlign w:val="subscript"/>
              </w:rPr>
              <w:t>q, p</w:t>
            </w:r>
            <w:r w:rsidRPr="00AD486D">
              <w:rPr>
                <w:bCs/>
              </w:rPr>
              <w:t xml:space="preserve"> * ¼) – (DAES </w:t>
            </w:r>
            <w:r w:rsidRPr="00AD486D">
              <w:rPr>
                <w:bCs/>
                <w:i/>
                <w:vertAlign w:val="subscript"/>
              </w:rPr>
              <w:t>q, p</w:t>
            </w:r>
            <w:r w:rsidRPr="00AD486D">
              <w:rPr>
                <w:bCs/>
              </w:rPr>
              <w:t xml:space="preserve"> * ¼) – (RTQQES </w:t>
            </w:r>
            <w:r w:rsidRPr="00AD486D">
              <w:rPr>
                <w:bCs/>
                <w:i/>
                <w:vertAlign w:val="subscript"/>
              </w:rPr>
              <w:t>q, p</w:t>
            </w:r>
            <w:r w:rsidRPr="00AD486D">
              <w:rPr>
                <w:bCs/>
              </w:rPr>
              <w:t xml:space="preserve"> * ¼)</w:t>
            </w:r>
          </w:p>
          <w:p w14:paraId="1A92977B" w14:textId="77777777" w:rsidR="00F713DF" w:rsidRPr="00A552C3" w:rsidRDefault="00F713DF" w:rsidP="00F713DF">
            <w:pPr>
              <w:spacing w:before="240"/>
            </w:pPr>
            <w:r w:rsidRPr="00A552C3">
              <w:t>The above variables are defined as follows:</w:t>
            </w:r>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997"/>
              <w:gridCol w:w="853"/>
              <w:gridCol w:w="6355"/>
            </w:tblGrid>
            <w:tr w:rsidR="00F713DF" w:rsidRPr="00A552C3" w14:paraId="2E20323B" w14:textId="77777777" w:rsidTr="00F713DF">
              <w:trPr>
                <w:cantSplit/>
                <w:tblHeader/>
              </w:trPr>
              <w:tc>
                <w:tcPr>
                  <w:tcW w:w="1997" w:type="dxa"/>
                  <w:tcBorders>
                    <w:top w:val="single" w:sz="4" w:space="0" w:color="auto"/>
                    <w:left w:val="single" w:sz="4" w:space="0" w:color="auto"/>
                    <w:bottom w:val="single" w:sz="4" w:space="0" w:color="auto"/>
                    <w:right w:val="single" w:sz="4" w:space="0" w:color="auto"/>
                  </w:tcBorders>
                  <w:hideMark/>
                </w:tcPr>
                <w:p w14:paraId="04CA13A4" w14:textId="77777777" w:rsidR="00F713DF" w:rsidRPr="00A552C3" w:rsidRDefault="00F713DF" w:rsidP="00F713DF">
                  <w:pPr>
                    <w:spacing w:after="120"/>
                    <w:rPr>
                      <w:b/>
                      <w:iCs/>
                      <w:sz w:val="20"/>
                    </w:rPr>
                  </w:pPr>
                  <w:r w:rsidRPr="00A552C3">
                    <w:rPr>
                      <w:b/>
                      <w:iCs/>
                      <w:sz w:val="20"/>
                    </w:rPr>
                    <w:t>Variable</w:t>
                  </w:r>
                </w:p>
              </w:tc>
              <w:tc>
                <w:tcPr>
                  <w:tcW w:w="0" w:type="auto"/>
                  <w:tcBorders>
                    <w:top w:val="single" w:sz="4" w:space="0" w:color="auto"/>
                    <w:left w:val="single" w:sz="4" w:space="0" w:color="auto"/>
                    <w:bottom w:val="single" w:sz="4" w:space="0" w:color="auto"/>
                    <w:right w:val="single" w:sz="4" w:space="0" w:color="auto"/>
                  </w:tcBorders>
                  <w:hideMark/>
                </w:tcPr>
                <w:p w14:paraId="576038C4" w14:textId="77777777" w:rsidR="00F713DF" w:rsidRPr="00A552C3" w:rsidRDefault="00F713DF" w:rsidP="00F713DF">
                  <w:pPr>
                    <w:spacing w:after="120"/>
                    <w:rPr>
                      <w:b/>
                      <w:iCs/>
                      <w:sz w:val="20"/>
                    </w:rPr>
                  </w:pPr>
                  <w:r w:rsidRPr="00A552C3">
                    <w:rPr>
                      <w:b/>
                      <w:iCs/>
                      <w:sz w:val="20"/>
                    </w:rPr>
                    <w:t>Unit</w:t>
                  </w:r>
                </w:p>
              </w:tc>
              <w:tc>
                <w:tcPr>
                  <w:tcW w:w="0" w:type="auto"/>
                  <w:tcBorders>
                    <w:top w:val="single" w:sz="4" w:space="0" w:color="auto"/>
                    <w:left w:val="single" w:sz="4" w:space="0" w:color="auto"/>
                    <w:bottom w:val="single" w:sz="4" w:space="0" w:color="auto"/>
                    <w:right w:val="single" w:sz="4" w:space="0" w:color="auto"/>
                  </w:tcBorders>
                  <w:hideMark/>
                </w:tcPr>
                <w:p w14:paraId="216EAE44" w14:textId="77777777" w:rsidR="00F713DF" w:rsidRPr="00A552C3" w:rsidRDefault="00F713DF" w:rsidP="00F713DF">
                  <w:pPr>
                    <w:spacing w:after="120"/>
                    <w:rPr>
                      <w:b/>
                      <w:iCs/>
                      <w:sz w:val="20"/>
                    </w:rPr>
                  </w:pPr>
                  <w:r w:rsidRPr="00A552C3">
                    <w:rPr>
                      <w:b/>
                      <w:iCs/>
                      <w:sz w:val="20"/>
                    </w:rPr>
                    <w:t>Description</w:t>
                  </w:r>
                </w:p>
              </w:tc>
            </w:tr>
            <w:tr w:rsidR="00F713DF" w:rsidRPr="00A552C3" w14:paraId="2F803DC7"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433DEDF" w14:textId="77777777" w:rsidR="00F713DF" w:rsidRPr="00A552C3" w:rsidRDefault="00F713DF" w:rsidP="00F713DF">
                  <w:pPr>
                    <w:spacing w:after="60"/>
                    <w:rPr>
                      <w:iCs/>
                      <w:sz w:val="20"/>
                    </w:rPr>
                  </w:pPr>
                  <w:r w:rsidRPr="00A552C3">
                    <w:rPr>
                      <w:iCs/>
                      <w:sz w:val="20"/>
                    </w:rPr>
                    <w:t xml:space="preserve">RTEIAMT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74F9D7E4"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2FDC3F97" w14:textId="77777777" w:rsidR="00F713DF" w:rsidRPr="00A552C3" w:rsidRDefault="00F713DF" w:rsidP="00F713DF">
                  <w:pPr>
                    <w:spacing w:after="60"/>
                    <w:rPr>
                      <w:iCs/>
                      <w:sz w:val="20"/>
                    </w:rPr>
                  </w:pPr>
                  <w:r w:rsidRPr="00A552C3">
                    <w:rPr>
                      <w:i/>
                      <w:iCs/>
                      <w:sz w:val="20"/>
                    </w:rPr>
                    <w:t>Real-Time Energy Imbalance Amount per QSE per Settlement Point</w:t>
                  </w:r>
                  <w:r w:rsidRPr="00A552C3">
                    <w:rPr>
                      <w:iCs/>
                      <w:sz w:val="20"/>
                    </w:rPr>
                    <w:t xml:space="preserve">—The payment or charge to QSE </w:t>
                  </w:r>
                  <w:r w:rsidRPr="00A552C3">
                    <w:rPr>
                      <w:i/>
                      <w:iCs/>
                      <w:sz w:val="20"/>
                    </w:rPr>
                    <w:t>q</w:t>
                  </w:r>
                  <w:r w:rsidRPr="00A552C3">
                    <w:rPr>
                      <w:iCs/>
                      <w:sz w:val="20"/>
                    </w:rPr>
                    <w:t xml:space="preserve"> for Real-Time Energy Imbalance Service at Settlement Point </w:t>
                  </w:r>
                  <w:r w:rsidRPr="00A552C3">
                    <w:rPr>
                      <w:i/>
                      <w:iCs/>
                      <w:sz w:val="20"/>
                    </w:rPr>
                    <w:t>p</w:t>
                  </w:r>
                  <w:r w:rsidRPr="00A552C3">
                    <w:rPr>
                      <w:iCs/>
                      <w:sz w:val="20"/>
                    </w:rPr>
                    <w:t>, for the 15-minute Settlement Interval.</w:t>
                  </w:r>
                </w:p>
              </w:tc>
            </w:tr>
            <w:tr w:rsidR="00F713DF" w:rsidRPr="00A552C3" w14:paraId="456D07D3"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65CEBE6D" w14:textId="77777777" w:rsidR="00F713DF" w:rsidRPr="00A552C3" w:rsidRDefault="00F713DF" w:rsidP="00F713DF">
                  <w:pPr>
                    <w:spacing w:after="60"/>
                    <w:rPr>
                      <w:iCs/>
                      <w:sz w:val="20"/>
                    </w:rPr>
                  </w:pPr>
                  <w:r w:rsidRPr="00A552C3">
                    <w:rPr>
                      <w:iCs/>
                      <w:sz w:val="20"/>
                    </w:rPr>
                    <w:t>RNIMBAL</w:t>
                  </w:r>
                  <w:r w:rsidRPr="00A552C3">
                    <w:rPr>
                      <w:i/>
                      <w:iCs/>
                      <w:sz w:val="20"/>
                      <w:vertAlign w:val="subscript"/>
                    </w:rPr>
                    <w:t xml:space="preserve"> q, p</w:t>
                  </w:r>
                </w:p>
              </w:tc>
              <w:tc>
                <w:tcPr>
                  <w:tcW w:w="0" w:type="auto"/>
                  <w:tcBorders>
                    <w:top w:val="single" w:sz="4" w:space="0" w:color="auto"/>
                    <w:left w:val="single" w:sz="4" w:space="0" w:color="auto"/>
                    <w:bottom w:val="single" w:sz="4" w:space="0" w:color="auto"/>
                    <w:right w:val="single" w:sz="4" w:space="0" w:color="auto"/>
                  </w:tcBorders>
                  <w:hideMark/>
                </w:tcPr>
                <w:p w14:paraId="476C5236"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219AA9B3" w14:textId="77777777" w:rsidR="00F713DF" w:rsidRPr="00A552C3" w:rsidRDefault="00F713DF" w:rsidP="00F713DF">
                  <w:pPr>
                    <w:spacing w:after="60"/>
                    <w:rPr>
                      <w:i/>
                      <w:iCs/>
                      <w:sz w:val="20"/>
                    </w:rPr>
                  </w:pPr>
                  <w:r w:rsidRPr="00A552C3">
                    <w:rPr>
                      <w:i/>
                      <w:iCs/>
                      <w:sz w:val="20"/>
                    </w:rPr>
                    <w:t>Resource Node Energy Imbalance per QSE per Settlement Point</w:t>
                  </w:r>
                  <w:r w:rsidRPr="00A552C3">
                    <w:rPr>
                      <w:iCs/>
                      <w:sz w:val="20"/>
                    </w:rPr>
                    <w:t xml:space="preserve">—The Resource Node volumetric imbalance for QSE </w:t>
                  </w:r>
                  <w:r w:rsidRPr="00A552C3">
                    <w:rPr>
                      <w:i/>
                      <w:iCs/>
                      <w:sz w:val="20"/>
                    </w:rPr>
                    <w:t>q</w:t>
                  </w:r>
                  <w:r w:rsidRPr="00A552C3">
                    <w:rPr>
                      <w:iCs/>
                      <w:sz w:val="20"/>
                    </w:rPr>
                    <w:t xml:space="preserve"> for Real-Time Energy Imbalance Service at Settlement Point </w:t>
                  </w:r>
                  <w:r w:rsidRPr="00A552C3">
                    <w:rPr>
                      <w:i/>
                      <w:iCs/>
                      <w:sz w:val="20"/>
                    </w:rPr>
                    <w:t>p</w:t>
                  </w:r>
                  <w:r w:rsidRPr="00A552C3">
                    <w:rPr>
                      <w:iCs/>
                      <w:sz w:val="20"/>
                    </w:rPr>
                    <w:t>, for the 15-minute Settlement Interval.</w:t>
                  </w:r>
                </w:p>
              </w:tc>
            </w:tr>
            <w:tr w:rsidR="00F713DF" w:rsidRPr="00A552C3" w14:paraId="331F9280"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02D214A7" w14:textId="77777777" w:rsidR="00F713DF" w:rsidRPr="00A552C3" w:rsidRDefault="00F713DF" w:rsidP="00F713DF">
                  <w:pPr>
                    <w:spacing w:after="60"/>
                    <w:rPr>
                      <w:iCs/>
                      <w:sz w:val="20"/>
                    </w:rPr>
                  </w:pPr>
                  <w:r w:rsidRPr="00A552C3">
                    <w:rPr>
                      <w:iCs/>
                      <w:sz w:val="20"/>
                    </w:rPr>
                    <w:t xml:space="preserve">RTSPP </w:t>
                  </w:r>
                  <w:r w:rsidRPr="00A552C3">
                    <w:rPr>
                      <w:i/>
                      <w:iCs/>
                      <w:sz w:val="20"/>
                      <w:vertAlign w:val="subscript"/>
                    </w:rPr>
                    <w:t>p</w:t>
                  </w:r>
                </w:p>
              </w:tc>
              <w:tc>
                <w:tcPr>
                  <w:tcW w:w="0" w:type="auto"/>
                  <w:tcBorders>
                    <w:top w:val="single" w:sz="4" w:space="0" w:color="auto"/>
                    <w:left w:val="single" w:sz="4" w:space="0" w:color="auto"/>
                    <w:bottom w:val="single" w:sz="4" w:space="0" w:color="auto"/>
                    <w:right w:val="single" w:sz="4" w:space="0" w:color="auto"/>
                  </w:tcBorders>
                  <w:hideMark/>
                </w:tcPr>
                <w:p w14:paraId="506F0CD4"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4F4C09C4" w14:textId="77777777" w:rsidR="00F713DF" w:rsidRPr="00A552C3" w:rsidRDefault="00F713DF" w:rsidP="00F713DF">
                  <w:pPr>
                    <w:spacing w:after="60"/>
                    <w:rPr>
                      <w:iCs/>
                      <w:sz w:val="20"/>
                    </w:rPr>
                  </w:pPr>
                  <w:r w:rsidRPr="00A552C3">
                    <w:rPr>
                      <w:i/>
                      <w:iCs/>
                      <w:sz w:val="20"/>
                    </w:rPr>
                    <w:t>Real-Time Settlement Point Price per Settlement Point</w:t>
                  </w:r>
                  <w:r w:rsidRPr="00A552C3">
                    <w:rPr>
                      <w:iCs/>
                      <w:sz w:val="20"/>
                    </w:rPr>
                    <w:t xml:space="preserve">—The Real-Time Settlement Point Price at Settlement Point </w:t>
                  </w:r>
                  <w:r w:rsidRPr="00A552C3">
                    <w:rPr>
                      <w:i/>
                      <w:iCs/>
                      <w:sz w:val="20"/>
                    </w:rPr>
                    <w:t>p</w:t>
                  </w:r>
                  <w:r w:rsidRPr="00A552C3">
                    <w:rPr>
                      <w:iCs/>
                      <w:sz w:val="20"/>
                    </w:rPr>
                    <w:t>, for the 15-minute Settlement Interval.</w:t>
                  </w:r>
                </w:p>
              </w:tc>
            </w:tr>
            <w:tr w:rsidR="00F713DF" w:rsidRPr="00A552C3" w14:paraId="69264E69"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5D43FA5C" w14:textId="77777777" w:rsidR="00F713DF" w:rsidRPr="00A552C3" w:rsidRDefault="00F713DF" w:rsidP="00F713DF">
                  <w:pPr>
                    <w:spacing w:after="60"/>
                    <w:rPr>
                      <w:iCs/>
                      <w:sz w:val="20"/>
                    </w:rPr>
                  </w:pPr>
                  <w:r w:rsidRPr="00A552C3">
                    <w:rPr>
                      <w:iCs/>
                      <w:sz w:val="20"/>
                    </w:rPr>
                    <w:lastRenderedPageBreak/>
                    <w:t xml:space="preserve">SSSK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3E88EAA"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5BB5D12B" w14:textId="77777777" w:rsidR="00F713DF" w:rsidRPr="00A552C3" w:rsidRDefault="00F713DF" w:rsidP="00F713DF">
                  <w:pPr>
                    <w:spacing w:after="60"/>
                    <w:rPr>
                      <w:i/>
                      <w:iCs/>
                      <w:sz w:val="20"/>
                    </w:rPr>
                  </w:pPr>
                  <w:r w:rsidRPr="00A552C3">
                    <w:rPr>
                      <w:i/>
                      <w:iCs/>
                      <w:sz w:val="20"/>
                    </w:rPr>
                    <w:t>Self-Schedule with Sink at Settlement Point per QSE per Settlement Point</w:t>
                  </w:r>
                  <w:r w:rsidRPr="00A552C3">
                    <w:rPr>
                      <w:iCs/>
                      <w:sz w:val="20"/>
                    </w:rPr>
                    <w:t xml:space="preserve">—The QSE </w:t>
                  </w:r>
                  <w:r w:rsidRPr="00A552C3">
                    <w:rPr>
                      <w:i/>
                      <w:iCs/>
                      <w:sz w:val="20"/>
                    </w:rPr>
                    <w:t>q</w:t>
                  </w:r>
                  <w:r w:rsidRPr="00A552C3">
                    <w:rPr>
                      <w:iCs/>
                      <w:sz w:val="20"/>
                    </w:rPr>
                    <w:t xml:space="preserve">’s Self-Schedule with sink at Settlement Point </w:t>
                  </w:r>
                  <w:r w:rsidRPr="00A552C3">
                    <w:rPr>
                      <w:i/>
                      <w:iCs/>
                      <w:sz w:val="20"/>
                    </w:rPr>
                    <w:t>p</w:t>
                  </w:r>
                  <w:r w:rsidRPr="00A552C3">
                    <w:rPr>
                      <w:iCs/>
                      <w:sz w:val="20"/>
                    </w:rPr>
                    <w:t>, for the 15-minute Settlement Interval.</w:t>
                  </w:r>
                </w:p>
              </w:tc>
            </w:tr>
            <w:tr w:rsidR="00F713DF" w:rsidRPr="00A552C3" w14:paraId="491C1FE4"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D9B12A5" w14:textId="77777777" w:rsidR="00F713DF" w:rsidRPr="00A552C3" w:rsidRDefault="00F713DF" w:rsidP="00F713DF">
                  <w:pPr>
                    <w:spacing w:after="60"/>
                    <w:rPr>
                      <w:iCs/>
                      <w:sz w:val="20"/>
                    </w:rPr>
                  </w:pPr>
                  <w:r w:rsidRPr="00A552C3">
                    <w:rPr>
                      <w:iCs/>
                      <w:sz w:val="20"/>
                    </w:rPr>
                    <w:t xml:space="preserve">DAEP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4127317D"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17A25178" w14:textId="2180CCE0" w:rsidR="00F713DF" w:rsidRPr="00A552C3" w:rsidRDefault="00F713DF" w:rsidP="00F713DF">
                  <w:pPr>
                    <w:spacing w:after="60"/>
                    <w:rPr>
                      <w:iCs/>
                      <w:sz w:val="20"/>
                    </w:rPr>
                  </w:pPr>
                  <w:r w:rsidRPr="00A552C3">
                    <w:rPr>
                      <w:i/>
                      <w:iCs/>
                      <w:sz w:val="20"/>
                    </w:rPr>
                    <w:t>Day-Ahead Energy Purchase per QSE per Settlement Point</w:t>
                  </w:r>
                  <w:r w:rsidRPr="00A552C3">
                    <w:rPr>
                      <w:iCs/>
                      <w:sz w:val="20"/>
                    </w:rPr>
                    <w:t xml:space="preserve">—The QSE </w:t>
                  </w:r>
                  <w:r w:rsidRPr="00A552C3">
                    <w:rPr>
                      <w:i/>
                      <w:iCs/>
                      <w:sz w:val="20"/>
                    </w:rPr>
                    <w:t>q</w:t>
                  </w:r>
                  <w:r w:rsidRPr="00A552C3">
                    <w:rPr>
                      <w:iCs/>
                      <w:sz w:val="20"/>
                    </w:rPr>
                    <w:t>’s DAM Energy Bids</w:t>
                  </w:r>
                  <w:r w:rsidR="006C5B5E" w:rsidRPr="00812ECB">
                    <w:rPr>
                      <w:iCs/>
                      <w:sz w:val="20"/>
                    </w:rPr>
                    <w:t>, Energy Bid Curves, and bid portion of Energy Bid/Offer Curves</w:t>
                  </w:r>
                  <w:r w:rsidRPr="00A552C3">
                    <w:rPr>
                      <w:iCs/>
                      <w:sz w:val="20"/>
                    </w:rPr>
                    <w:t xml:space="preserve"> at Settlement Point </w:t>
                  </w:r>
                  <w:r w:rsidRPr="00A552C3">
                    <w:rPr>
                      <w:i/>
                      <w:iCs/>
                      <w:sz w:val="20"/>
                    </w:rPr>
                    <w:t>p</w:t>
                  </w:r>
                  <w:r w:rsidR="006C5B5E" w:rsidRPr="00A552C3">
                    <w:rPr>
                      <w:iCs/>
                      <w:sz w:val="20"/>
                    </w:rPr>
                    <w:t>,</w:t>
                  </w:r>
                  <w:r w:rsidRPr="00A552C3">
                    <w:rPr>
                      <w:iCs/>
                      <w:sz w:val="20"/>
                    </w:rPr>
                    <w:t xml:space="preserve"> cleared in the DAM, for the hour that includes the 15-minute Settlement Interval.</w:t>
                  </w:r>
                </w:p>
              </w:tc>
            </w:tr>
            <w:tr w:rsidR="00F713DF" w:rsidRPr="00A552C3" w14:paraId="2CDD5F37"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5700499D" w14:textId="77777777" w:rsidR="00F713DF" w:rsidRPr="00A552C3" w:rsidRDefault="00F713DF" w:rsidP="00F713DF">
                  <w:pPr>
                    <w:spacing w:after="60"/>
                    <w:rPr>
                      <w:iCs/>
                      <w:sz w:val="20"/>
                    </w:rPr>
                  </w:pPr>
                  <w:r w:rsidRPr="00A552C3">
                    <w:rPr>
                      <w:iCs/>
                      <w:sz w:val="20"/>
                    </w:rPr>
                    <w:t xml:space="preserve">RTQQEP </w:t>
                  </w:r>
                  <w:r w:rsidRPr="00A552C3">
                    <w:rPr>
                      <w:i/>
                      <w:iCs/>
                      <w:sz w:val="20"/>
                      <w:vertAlign w:val="subscript"/>
                    </w:rPr>
                    <w:t>q, p</w:t>
                  </w:r>
                  <w:r w:rsidRPr="00A552C3">
                    <w:rPr>
                      <w:iCs/>
                      <w:sz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4114F96E"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5CB1D24B" w14:textId="77777777" w:rsidR="00F713DF" w:rsidRPr="00A552C3" w:rsidRDefault="00F713DF" w:rsidP="00F713DF">
                  <w:pPr>
                    <w:spacing w:after="60"/>
                    <w:rPr>
                      <w:iCs/>
                      <w:sz w:val="20"/>
                    </w:rPr>
                  </w:pPr>
                  <w:r w:rsidRPr="00A552C3">
                    <w:rPr>
                      <w:i/>
                      <w:iCs/>
                      <w:sz w:val="20"/>
                    </w:rPr>
                    <w:t>Real-Time QSE-to-QSE Energy Purchase per QSE per Settlement Point</w:t>
                  </w:r>
                  <w:r w:rsidRPr="00A552C3">
                    <w:rPr>
                      <w:iCs/>
                      <w:sz w:val="20"/>
                    </w:rPr>
                    <w:sym w:font="Symbol" w:char="F0BE"/>
                  </w:r>
                  <w:r w:rsidRPr="00A552C3">
                    <w:rPr>
                      <w:iCs/>
                      <w:sz w:val="20"/>
                    </w:rPr>
                    <w:t xml:space="preserve">The amount of MW bought by QSE </w:t>
                  </w:r>
                  <w:r w:rsidRPr="00A552C3">
                    <w:rPr>
                      <w:i/>
                      <w:iCs/>
                      <w:sz w:val="20"/>
                    </w:rPr>
                    <w:t>q</w:t>
                  </w:r>
                  <w:r w:rsidRPr="00A552C3">
                    <w:rPr>
                      <w:iCs/>
                      <w:sz w:val="20"/>
                    </w:rPr>
                    <w:t xml:space="preserve"> through Energy Trades at Settlement Point </w:t>
                  </w:r>
                  <w:r w:rsidRPr="00A552C3">
                    <w:rPr>
                      <w:i/>
                      <w:iCs/>
                      <w:sz w:val="20"/>
                    </w:rPr>
                    <w:t>p</w:t>
                  </w:r>
                  <w:r w:rsidRPr="00A552C3">
                    <w:rPr>
                      <w:iCs/>
                      <w:sz w:val="20"/>
                    </w:rPr>
                    <w:t>, for the 15-minute Settlement Interval.</w:t>
                  </w:r>
                </w:p>
              </w:tc>
            </w:tr>
            <w:tr w:rsidR="00F713DF" w:rsidRPr="00A552C3" w14:paraId="6B2B636E"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439A7DE6" w14:textId="77777777" w:rsidR="00F713DF" w:rsidRPr="00A552C3" w:rsidRDefault="00F713DF" w:rsidP="00F713DF">
                  <w:pPr>
                    <w:spacing w:after="60"/>
                    <w:rPr>
                      <w:iCs/>
                      <w:sz w:val="20"/>
                    </w:rPr>
                  </w:pPr>
                  <w:r w:rsidRPr="00A552C3">
                    <w:rPr>
                      <w:iCs/>
                      <w:sz w:val="20"/>
                    </w:rPr>
                    <w:t xml:space="preserve">SSSR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8DCADE2"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65077BF5" w14:textId="77777777" w:rsidR="00F713DF" w:rsidRPr="00A552C3" w:rsidRDefault="00F713DF" w:rsidP="00F713DF">
                  <w:pPr>
                    <w:spacing w:after="60"/>
                    <w:rPr>
                      <w:iCs/>
                      <w:sz w:val="20"/>
                    </w:rPr>
                  </w:pPr>
                  <w:r w:rsidRPr="00A552C3">
                    <w:rPr>
                      <w:i/>
                      <w:iCs/>
                      <w:sz w:val="20"/>
                    </w:rPr>
                    <w:t>Self-Schedule with Source at Settlement Point per QSE per Settlement Point</w:t>
                  </w:r>
                  <w:r w:rsidRPr="00A552C3">
                    <w:rPr>
                      <w:iCs/>
                      <w:sz w:val="20"/>
                    </w:rPr>
                    <w:t xml:space="preserve">—The QSE </w:t>
                  </w:r>
                  <w:r w:rsidRPr="00A552C3">
                    <w:rPr>
                      <w:i/>
                      <w:iCs/>
                      <w:sz w:val="20"/>
                    </w:rPr>
                    <w:t>q</w:t>
                  </w:r>
                  <w:r w:rsidRPr="00A552C3">
                    <w:rPr>
                      <w:iCs/>
                      <w:sz w:val="20"/>
                    </w:rPr>
                    <w:t xml:space="preserve">’s Self-Schedule with source at Settlement Point </w:t>
                  </w:r>
                  <w:r w:rsidRPr="00A552C3">
                    <w:rPr>
                      <w:i/>
                      <w:iCs/>
                      <w:sz w:val="20"/>
                    </w:rPr>
                    <w:t>p</w:t>
                  </w:r>
                  <w:r w:rsidRPr="00A552C3">
                    <w:rPr>
                      <w:iCs/>
                      <w:sz w:val="20"/>
                    </w:rPr>
                    <w:t>, for the 15-minute Settlement Interval.</w:t>
                  </w:r>
                </w:p>
              </w:tc>
            </w:tr>
            <w:tr w:rsidR="00F713DF" w:rsidRPr="00A552C3" w14:paraId="670C3C13"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A9275B5" w14:textId="77777777" w:rsidR="00F713DF" w:rsidRPr="00A552C3" w:rsidRDefault="00F713DF" w:rsidP="00F713DF">
                  <w:pPr>
                    <w:spacing w:after="60"/>
                    <w:rPr>
                      <w:iCs/>
                      <w:sz w:val="20"/>
                    </w:rPr>
                  </w:pPr>
                  <w:r w:rsidRPr="00A552C3">
                    <w:rPr>
                      <w:iCs/>
                      <w:sz w:val="20"/>
                    </w:rPr>
                    <w:t xml:space="preserve">DAES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5FBA9F9B"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1589EB15" w14:textId="77777777" w:rsidR="00F713DF" w:rsidRPr="00A552C3" w:rsidRDefault="00F713DF" w:rsidP="00F713DF">
                  <w:pPr>
                    <w:spacing w:after="60"/>
                    <w:rPr>
                      <w:iCs/>
                      <w:sz w:val="20"/>
                    </w:rPr>
                  </w:pPr>
                  <w:r w:rsidRPr="00A552C3">
                    <w:rPr>
                      <w:i/>
                      <w:iCs/>
                      <w:sz w:val="20"/>
                    </w:rPr>
                    <w:t>Day-Ahead Energy Sale per QSE per Settlement Point</w:t>
                  </w:r>
                  <w:r w:rsidRPr="00A552C3">
                    <w:rPr>
                      <w:iCs/>
                      <w:sz w:val="20"/>
                    </w:rPr>
                    <w:t xml:space="preserve">—The QSE </w:t>
                  </w:r>
                  <w:r w:rsidRPr="00A552C3">
                    <w:rPr>
                      <w:i/>
                      <w:iCs/>
                      <w:sz w:val="20"/>
                    </w:rPr>
                    <w:t>q</w:t>
                  </w:r>
                  <w:r w:rsidRPr="00A552C3">
                    <w:rPr>
                      <w:iCs/>
                      <w:sz w:val="20"/>
                    </w:rPr>
                    <w:t xml:space="preserve">’s energy offers at Settlement Point </w:t>
                  </w:r>
                  <w:r w:rsidRPr="00A552C3">
                    <w:rPr>
                      <w:i/>
                      <w:iCs/>
                      <w:sz w:val="20"/>
                    </w:rPr>
                    <w:t>p</w:t>
                  </w:r>
                  <w:r w:rsidRPr="00A552C3">
                    <w:rPr>
                      <w:iCs/>
                      <w:sz w:val="20"/>
                    </w:rPr>
                    <w:t xml:space="preserve"> cleared in the DAM, for the hour that includes the 15-minute Settlement Interval.</w:t>
                  </w:r>
                </w:p>
              </w:tc>
            </w:tr>
            <w:tr w:rsidR="00F713DF" w:rsidRPr="00A552C3" w14:paraId="240D9060"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5B698EA0" w14:textId="77777777" w:rsidR="00F713DF" w:rsidRPr="00A552C3" w:rsidRDefault="00F713DF" w:rsidP="00F713DF">
                  <w:pPr>
                    <w:spacing w:after="60"/>
                    <w:rPr>
                      <w:iCs/>
                      <w:sz w:val="20"/>
                    </w:rPr>
                  </w:pPr>
                  <w:r w:rsidRPr="00A552C3">
                    <w:rPr>
                      <w:iCs/>
                      <w:sz w:val="20"/>
                    </w:rPr>
                    <w:t xml:space="preserve">RTQQES </w:t>
                  </w:r>
                  <w:r w:rsidRPr="00A552C3">
                    <w:rPr>
                      <w:i/>
                      <w:iCs/>
                      <w:sz w:val="20"/>
                      <w:vertAlign w:val="subscript"/>
                    </w:rPr>
                    <w:t>q, p</w:t>
                  </w:r>
                  <w:r w:rsidRPr="00A552C3">
                    <w:rPr>
                      <w:iCs/>
                      <w:sz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B917546"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164D06E1" w14:textId="77777777" w:rsidR="00F713DF" w:rsidRPr="00A552C3" w:rsidRDefault="00F713DF" w:rsidP="00F713DF">
                  <w:pPr>
                    <w:spacing w:after="60"/>
                    <w:rPr>
                      <w:iCs/>
                      <w:sz w:val="20"/>
                    </w:rPr>
                  </w:pPr>
                  <w:r w:rsidRPr="00A552C3">
                    <w:rPr>
                      <w:i/>
                      <w:iCs/>
                      <w:sz w:val="20"/>
                    </w:rPr>
                    <w:t>Real-Time QSE-to-QSE Energy Sale per QSE per Settlement Point</w:t>
                  </w:r>
                  <w:r w:rsidRPr="00A552C3">
                    <w:rPr>
                      <w:iCs/>
                      <w:sz w:val="20"/>
                    </w:rPr>
                    <w:sym w:font="Symbol" w:char="F0BE"/>
                  </w:r>
                  <w:r w:rsidRPr="00A552C3">
                    <w:rPr>
                      <w:iCs/>
                      <w:sz w:val="20"/>
                    </w:rPr>
                    <w:t xml:space="preserve">The amount of MW sold by QSE </w:t>
                  </w:r>
                  <w:r w:rsidRPr="00A552C3">
                    <w:rPr>
                      <w:i/>
                      <w:iCs/>
                      <w:sz w:val="20"/>
                    </w:rPr>
                    <w:t>q</w:t>
                  </w:r>
                  <w:r w:rsidRPr="00A552C3">
                    <w:rPr>
                      <w:iCs/>
                      <w:sz w:val="20"/>
                    </w:rPr>
                    <w:t xml:space="preserve"> through Energy Trades at Settlement Point </w:t>
                  </w:r>
                  <w:r w:rsidRPr="00A552C3">
                    <w:rPr>
                      <w:i/>
                      <w:iCs/>
                      <w:sz w:val="20"/>
                    </w:rPr>
                    <w:t>p</w:t>
                  </w:r>
                  <w:r w:rsidRPr="00A552C3">
                    <w:rPr>
                      <w:iCs/>
                      <w:sz w:val="20"/>
                    </w:rPr>
                    <w:t>, for the 15-minute Settlement Interval.</w:t>
                  </w:r>
                </w:p>
              </w:tc>
            </w:tr>
            <w:tr w:rsidR="00F713DF" w:rsidRPr="00A552C3" w14:paraId="6450400F"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376873EA" w14:textId="77777777" w:rsidR="00F713DF" w:rsidRPr="00A552C3" w:rsidRDefault="00F713DF" w:rsidP="00F713DF">
                  <w:pPr>
                    <w:spacing w:after="60"/>
                    <w:rPr>
                      <w:iCs/>
                      <w:sz w:val="20"/>
                    </w:rPr>
                  </w:pPr>
                  <w:r w:rsidRPr="00A552C3">
                    <w:rPr>
                      <w:iCs/>
                      <w:sz w:val="20"/>
                    </w:rPr>
                    <w:t xml:space="preserve">RESREV </w:t>
                  </w:r>
                  <w:r w:rsidRPr="00A552C3">
                    <w:rPr>
                      <w:i/>
                      <w:iCs/>
                      <w:sz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3D33A4F6"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014C39C1" w14:textId="77777777" w:rsidR="00F713DF" w:rsidRPr="00A552C3" w:rsidRDefault="00F713DF" w:rsidP="00F713DF">
                  <w:pPr>
                    <w:spacing w:after="60"/>
                    <w:rPr>
                      <w:i/>
                      <w:iCs/>
                      <w:sz w:val="20"/>
                    </w:rPr>
                  </w:pPr>
                  <w:r w:rsidRPr="00A552C3">
                    <w:rPr>
                      <w:i/>
                      <w:iCs/>
                      <w:sz w:val="20"/>
                    </w:rPr>
                    <w:t>Resource Share Revenue Settlement Payment</w:t>
                  </w:r>
                  <w:r w:rsidRPr="00A552C3">
                    <w:rPr>
                      <w:iCs/>
                      <w:sz w:val="20"/>
                    </w:rPr>
                    <w:t xml:space="preserve">—The Resource share of the total payment to the entire Facility with a net metering arrangement attributed to Resource </w:t>
                  </w:r>
                  <w:r w:rsidRPr="00A552C3">
                    <w:rPr>
                      <w:i/>
                      <w:iCs/>
                      <w:sz w:val="20"/>
                    </w:rPr>
                    <w:t>r</w:t>
                  </w:r>
                  <w:r w:rsidRPr="00A552C3">
                    <w:rPr>
                      <w:iCs/>
                      <w:sz w:val="20"/>
                    </w:rPr>
                    <w:t xml:space="preserve"> that is part of a generation site code </w:t>
                  </w:r>
                  <w:r w:rsidRPr="00A552C3">
                    <w:rPr>
                      <w:i/>
                      <w:iCs/>
                      <w:sz w:val="20"/>
                    </w:rPr>
                    <w:t>gsc</w:t>
                  </w:r>
                  <w:r w:rsidRPr="00A552C3">
                    <w:rPr>
                      <w:iCs/>
                      <w:sz w:val="20"/>
                    </w:rPr>
                    <w:t xml:space="preserve"> for the QSE </w:t>
                  </w:r>
                  <w:r w:rsidRPr="00A552C3">
                    <w:rPr>
                      <w:i/>
                      <w:iCs/>
                      <w:sz w:val="20"/>
                    </w:rPr>
                    <w:t>q</w:t>
                  </w:r>
                  <w:r w:rsidRPr="00A552C3">
                    <w:rPr>
                      <w:iCs/>
                      <w:sz w:val="20"/>
                    </w:rPr>
                    <w:t xml:space="preserve"> at Settlement Point </w:t>
                  </w:r>
                  <w:r w:rsidRPr="00A552C3">
                    <w:rPr>
                      <w:i/>
                      <w:iCs/>
                      <w:sz w:val="20"/>
                    </w:rPr>
                    <w:t>p</w:t>
                  </w:r>
                  <w:r w:rsidRPr="00A552C3">
                    <w:rPr>
                      <w:iCs/>
                      <w:sz w:val="20"/>
                    </w:rPr>
                    <w:t>.</w:t>
                  </w:r>
                </w:p>
              </w:tc>
            </w:tr>
            <w:tr w:rsidR="00F713DF" w:rsidRPr="00A552C3" w14:paraId="2E40E538"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5B659F6" w14:textId="77777777" w:rsidR="00F713DF" w:rsidRPr="00A552C3" w:rsidRDefault="00F713DF" w:rsidP="00F713DF">
                  <w:pPr>
                    <w:spacing w:after="60"/>
                    <w:rPr>
                      <w:iCs/>
                      <w:sz w:val="20"/>
                    </w:rPr>
                  </w:pPr>
                  <w:r w:rsidRPr="00A552C3">
                    <w:rPr>
                      <w:iCs/>
                      <w:sz w:val="20"/>
                    </w:rPr>
                    <w:t xml:space="preserve">RESMEB </w:t>
                  </w:r>
                  <w:r w:rsidRPr="00A552C3">
                    <w:rPr>
                      <w:i/>
                      <w:iCs/>
                      <w:sz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6FA627DA"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5453CF34" w14:textId="77777777" w:rsidR="00F713DF" w:rsidRPr="00A552C3" w:rsidRDefault="00F713DF" w:rsidP="00F713DF">
                  <w:pPr>
                    <w:spacing w:after="60"/>
                    <w:rPr>
                      <w:i/>
                      <w:iCs/>
                      <w:sz w:val="20"/>
                    </w:rPr>
                  </w:pPr>
                  <w:r w:rsidRPr="00A552C3">
                    <w:rPr>
                      <w:i/>
                      <w:iCs/>
                      <w:sz w:val="20"/>
                    </w:rPr>
                    <w:t>Resource Share Net Meter Real-Time Energy Total</w:t>
                  </w:r>
                  <w:r w:rsidRPr="00A552C3">
                    <w:rPr>
                      <w:iCs/>
                      <w:sz w:val="20"/>
                    </w:rPr>
                    <w:t xml:space="preserve">—The Resource share of the net sum for all Settlement Meters attributed to Resource </w:t>
                  </w:r>
                  <w:r w:rsidRPr="00A552C3">
                    <w:rPr>
                      <w:i/>
                      <w:iCs/>
                      <w:sz w:val="20"/>
                    </w:rPr>
                    <w:t>r</w:t>
                  </w:r>
                  <w:r w:rsidRPr="00A552C3">
                    <w:rPr>
                      <w:iCs/>
                      <w:sz w:val="20"/>
                    </w:rPr>
                    <w:t xml:space="preserve"> that is part of a generation site code </w:t>
                  </w:r>
                  <w:r w:rsidRPr="00A552C3">
                    <w:rPr>
                      <w:i/>
                      <w:iCs/>
                      <w:sz w:val="20"/>
                    </w:rPr>
                    <w:t>gsc</w:t>
                  </w:r>
                  <w:r w:rsidRPr="00A552C3">
                    <w:rPr>
                      <w:iCs/>
                      <w:sz w:val="20"/>
                    </w:rPr>
                    <w:t xml:space="preserve"> for the QSE </w:t>
                  </w:r>
                  <w:r w:rsidRPr="00A552C3">
                    <w:rPr>
                      <w:i/>
                      <w:iCs/>
                      <w:sz w:val="20"/>
                    </w:rPr>
                    <w:t>q</w:t>
                  </w:r>
                  <w:r w:rsidRPr="00A552C3">
                    <w:rPr>
                      <w:iCs/>
                      <w:sz w:val="20"/>
                    </w:rPr>
                    <w:t xml:space="preserve"> at Settlement Point </w:t>
                  </w:r>
                  <w:r w:rsidRPr="00A552C3">
                    <w:rPr>
                      <w:i/>
                      <w:iCs/>
                      <w:sz w:val="20"/>
                    </w:rPr>
                    <w:t>p</w:t>
                  </w:r>
                  <w:r w:rsidRPr="00A552C3">
                    <w:rPr>
                      <w:iCs/>
                      <w:sz w:val="20"/>
                    </w:rPr>
                    <w:t xml:space="preserve">.  </w:t>
                  </w:r>
                </w:p>
              </w:tc>
            </w:tr>
            <w:tr w:rsidR="00F713DF" w:rsidRPr="00A552C3" w14:paraId="000819CA"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0AA65B55" w14:textId="77777777" w:rsidR="00F713DF" w:rsidRPr="00A552C3" w:rsidRDefault="00F713DF" w:rsidP="00F713DF">
                  <w:pPr>
                    <w:spacing w:after="60"/>
                    <w:rPr>
                      <w:iCs/>
                      <w:sz w:val="20"/>
                    </w:rPr>
                  </w:pPr>
                  <w:r w:rsidRPr="00A552C3">
                    <w:rPr>
                      <w:iCs/>
                      <w:sz w:val="20"/>
                    </w:rPr>
                    <w:t xml:space="preserve">WSLTOT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2B0A7205"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4AC4EEC0" w14:textId="77777777" w:rsidR="00F713DF" w:rsidRPr="00A552C3" w:rsidRDefault="00F713DF" w:rsidP="00F713DF">
                  <w:pPr>
                    <w:spacing w:after="60"/>
                    <w:rPr>
                      <w:i/>
                      <w:iCs/>
                      <w:sz w:val="20"/>
                    </w:rPr>
                  </w:pPr>
                  <w:r w:rsidRPr="00A552C3">
                    <w:rPr>
                      <w:i/>
                      <w:iCs/>
                      <w:sz w:val="20"/>
                    </w:rPr>
                    <w:t>WSL Total</w:t>
                  </w:r>
                  <w:r w:rsidRPr="00A552C3">
                    <w:rPr>
                      <w:iCs/>
                      <w:sz w:val="20"/>
                    </w:rPr>
                    <w:t xml:space="preserve">—The total WSL energy metered by the Settlement Meters which measure WSL for the QSE </w:t>
                  </w:r>
                  <w:r w:rsidRPr="00A552C3">
                    <w:rPr>
                      <w:i/>
                      <w:iCs/>
                      <w:sz w:val="20"/>
                    </w:rPr>
                    <w:t>q</w:t>
                  </w:r>
                  <w:r w:rsidRPr="00A552C3">
                    <w:rPr>
                      <w:iCs/>
                      <w:sz w:val="20"/>
                    </w:rPr>
                    <w:t xml:space="preserve"> at Settlement Point </w:t>
                  </w:r>
                  <w:r w:rsidRPr="00A552C3">
                    <w:rPr>
                      <w:i/>
                      <w:iCs/>
                      <w:sz w:val="20"/>
                    </w:rPr>
                    <w:t>p</w:t>
                  </w:r>
                  <w:r w:rsidRPr="00A552C3">
                    <w:rPr>
                      <w:iCs/>
                      <w:sz w:val="20"/>
                    </w:rPr>
                    <w:t xml:space="preserve">.  </w:t>
                  </w:r>
                </w:p>
              </w:tc>
            </w:tr>
            <w:tr w:rsidR="00F713DF" w:rsidRPr="00A552C3" w14:paraId="46C820DB" w14:textId="77777777" w:rsidTr="00F713DF">
              <w:trPr>
                <w:cantSplit/>
              </w:trPr>
              <w:tc>
                <w:tcPr>
                  <w:tcW w:w="9205" w:type="dxa"/>
                  <w:gridSpan w:val="3"/>
                  <w:tcBorders>
                    <w:top w:val="single" w:sz="4" w:space="0" w:color="auto"/>
                    <w:left w:val="single" w:sz="4" w:space="0" w:color="auto"/>
                    <w:bottom w:val="single" w:sz="4" w:space="0" w:color="auto"/>
                    <w:right w:val="single" w:sz="4" w:space="0" w:color="auto"/>
                  </w:tcBorders>
                  <w:hideMark/>
                </w:tcPr>
                <w:p w14:paraId="54D33C96" w14:textId="77777777" w:rsidR="00F713DF" w:rsidRPr="00A552C3" w:rsidRDefault="00F713DF" w:rsidP="00F713DF">
                  <w:pPr>
                    <w:spacing w:after="60"/>
                    <w:rPr>
                      <w:i/>
                      <w:iCs/>
                      <w:sz w:val="20"/>
                    </w:rPr>
                  </w:pPr>
                </w:p>
              </w:tc>
            </w:tr>
            <w:tr w:rsidR="006C5B5E" w:rsidRPr="00A552C3" w14:paraId="3F735A92"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390295AC" w14:textId="5952FE07" w:rsidR="006C5B5E" w:rsidRPr="00A552C3" w:rsidRDefault="006C5B5E" w:rsidP="006C5B5E">
                  <w:pPr>
                    <w:spacing w:after="60"/>
                    <w:rPr>
                      <w:iCs/>
                      <w:sz w:val="20"/>
                    </w:rPr>
                  </w:pPr>
                  <w:r w:rsidRPr="00812ECB">
                    <w:rPr>
                      <w:sz w:val="20"/>
                    </w:rPr>
                    <w:t xml:space="preserve">CLRTOT </w:t>
                  </w:r>
                  <w:r w:rsidRPr="00812ECB">
                    <w:rPr>
                      <w:i/>
                      <w:sz w:val="20"/>
                      <w:vertAlign w:val="subscript"/>
                    </w:rPr>
                    <w:t>q, p</w:t>
                  </w:r>
                </w:p>
              </w:tc>
              <w:tc>
                <w:tcPr>
                  <w:tcW w:w="0" w:type="auto"/>
                  <w:tcBorders>
                    <w:top w:val="single" w:sz="4" w:space="0" w:color="auto"/>
                    <w:left w:val="single" w:sz="4" w:space="0" w:color="auto"/>
                    <w:bottom w:val="single" w:sz="4" w:space="0" w:color="auto"/>
                    <w:right w:val="single" w:sz="4" w:space="0" w:color="auto"/>
                  </w:tcBorders>
                </w:tcPr>
                <w:p w14:paraId="3334BB7B" w14:textId="5FE8470E" w:rsidR="006C5B5E" w:rsidRPr="00A552C3" w:rsidRDefault="006C5B5E" w:rsidP="006C5B5E">
                  <w:pPr>
                    <w:spacing w:after="60"/>
                    <w:rPr>
                      <w:iCs/>
                      <w:sz w:val="20"/>
                    </w:rPr>
                  </w:pPr>
                  <w:r w:rsidRPr="00812ECB">
                    <w:rPr>
                      <w:sz w:val="20"/>
                    </w:rPr>
                    <w:t>MWh</w:t>
                  </w:r>
                </w:p>
              </w:tc>
              <w:tc>
                <w:tcPr>
                  <w:tcW w:w="0" w:type="auto"/>
                  <w:tcBorders>
                    <w:top w:val="single" w:sz="4" w:space="0" w:color="auto"/>
                    <w:left w:val="single" w:sz="4" w:space="0" w:color="auto"/>
                    <w:bottom w:val="single" w:sz="4" w:space="0" w:color="auto"/>
                    <w:right w:val="single" w:sz="4" w:space="0" w:color="auto"/>
                  </w:tcBorders>
                </w:tcPr>
                <w:p w14:paraId="090928EA" w14:textId="6CFACF3B" w:rsidR="006C5B5E" w:rsidRPr="00EC50FF" w:rsidRDefault="006C5B5E" w:rsidP="006C5B5E">
                  <w:pPr>
                    <w:spacing w:after="60"/>
                    <w:rPr>
                      <w:i/>
                      <w:sz w:val="20"/>
                    </w:rPr>
                  </w:pPr>
                  <w:r w:rsidRPr="00812ECB">
                    <w:rPr>
                      <w:i/>
                      <w:sz w:val="20"/>
                    </w:rPr>
                    <w:t>CLR Load Total</w:t>
                  </w:r>
                  <w:r w:rsidRPr="00812ECB">
                    <w:rPr>
                      <w:sz w:val="20"/>
                    </w:rPr>
                    <w:t xml:space="preserve">—The total energy metered by the Settlement Meters which measures CLR Load for the QSE </w:t>
                  </w:r>
                  <w:r w:rsidRPr="00812ECB">
                    <w:rPr>
                      <w:i/>
                      <w:sz w:val="20"/>
                    </w:rPr>
                    <w:t>q</w:t>
                  </w:r>
                  <w:r w:rsidRPr="00812ECB">
                    <w:rPr>
                      <w:sz w:val="20"/>
                    </w:rPr>
                    <w:t xml:space="preserve"> at Settlement Point </w:t>
                  </w:r>
                  <w:r w:rsidRPr="00812ECB">
                    <w:rPr>
                      <w:i/>
                      <w:sz w:val="20"/>
                    </w:rPr>
                    <w:t>p.</w:t>
                  </w:r>
                  <w:r w:rsidRPr="00812ECB">
                    <w:rPr>
                      <w:sz w:val="20"/>
                    </w:rPr>
                    <w:t xml:space="preserve">  </w:t>
                  </w:r>
                </w:p>
              </w:tc>
            </w:tr>
            <w:tr w:rsidR="00F713DF" w:rsidRPr="00A552C3" w14:paraId="04D64E8C"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120449D9" w14:textId="05616346" w:rsidR="00F713DF" w:rsidRPr="00A552C3" w:rsidRDefault="00F713DF" w:rsidP="00F713DF">
                  <w:pPr>
                    <w:spacing w:after="60"/>
                    <w:rPr>
                      <w:bCs/>
                      <w:iCs/>
                      <w:sz w:val="20"/>
                    </w:rPr>
                  </w:pPr>
                  <w:r w:rsidRPr="00A552C3">
                    <w:rPr>
                      <w:iCs/>
                      <w:sz w:val="20"/>
                    </w:rPr>
                    <w:t xml:space="preserve">ESRNWSLTOT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tcPr>
                <w:p w14:paraId="4991BC2F" w14:textId="042A21EA"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tcPr>
                <w:p w14:paraId="76ED334F" w14:textId="799C2247" w:rsidR="00F713DF" w:rsidRPr="00A552C3" w:rsidRDefault="00EC50FF" w:rsidP="00F713DF">
                  <w:pPr>
                    <w:spacing w:after="60"/>
                    <w:rPr>
                      <w:i/>
                      <w:iCs/>
                      <w:sz w:val="20"/>
                    </w:rPr>
                  </w:pPr>
                  <w:r w:rsidRPr="00EC50FF">
                    <w:rPr>
                      <w:i/>
                      <w:sz w:val="20"/>
                    </w:rPr>
                    <w:t>ESR Non-WSL Total</w:t>
                  </w:r>
                  <w:r w:rsidRPr="00EC50FF">
                    <w:rPr>
                      <w:sz w:val="20"/>
                    </w:rPr>
                    <w:t xml:space="preserve">—The total energy metered by the Settlement Meters which measure Non-WSL ESR Charging Load for the QSE </w:t>
                  </w:r>
                  <w:r w:rsidRPr="00EC50FF">
                    <w:rPr>
                      <w:i/>
                      <w:sz w:val="20"/>
                    </w:rPr>
                    <w:t>q</w:t>
                  </w:r>
                  <w:r w:rsidRPr="00EC50FF">
                    <w:rPr>
                      <w:sz w:val="20"/>
                    </w:rPr>
                    <w:t xml:space="preserve"> at Settlement Point </w:t>
                  </w:r>
                  <w:r w:rsidRPr="00EC50FF">
                    <w:rPr>
                      <w:i/>
                      <w:sz w:val="20"/>
                    </w:rPr>
                    <w:t>p.</w:t>
                  </w:r>
                  <w:r w:rsidRPr="00EC50FF">
                    <w:rPr>
                      <w:sz w:val="20"/>
                    </w:rPr>
                    <w:t xml:space="preserve">  </w:t>
                  </w:r>
                </w:p>
              </w:tc>
            </w:tr>
            <w:tr w:rsidR="00F713DF" w:rsidRPr="00A552C3" w14:paraId="4A3ECAC0"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06A14DA6" w14:textId="77777777" w:rsidR="00F713DF" w:rsidRPr="00A552C3" w:rsidRDefault="00F713DF" w:rsidP="00F713DF">
                  <w:pPr>
                    <w:spacing w:after="60"/>
                    <w:rPr>
                      <w:iCs/>
                      <w:sz w:val="20"/>
                    </w:rPr>
                  </w:pPr>
                  <w:r w:rsidRPr="00A552C3">
                    <w:rPr>
                      <w:bCs/>
                      <w:iCs/>
                      <w:sz w:val="20"/>
                    </w:rPr>
                    <w:t xml:space="preserve">MEBL </w:t>
                  </w:r>
                  <w:r w:rsidRPr="00A552C3">
                    <w:rPr>
                      <w:bCs/>
                      <w:i/>
                      <w:iCs/>
                      <w:sz w:val="20"/>
                      <w:vertAlign w:val="subscript"/>
                    </w:rPr>
                    <w:t>q,r,b</w:t>
                  </w:r>
                </w:p>
              </w:tc>
              <w:tc>
                <w:tcPr>
                  <w:tcW w:w="0" w:type="auto"/>
                  <w:tcBorders>
                    <w:top w:val="single" w:sz="4" w:space="0" w:color="auto"/>
                    <w:left w:val="single" w:sz="4" w:space="0" w:color="auto"/>
                    <w:bottom w:val="single" w:sz="4" w:space="0" w:color="auto"/>
                    <w:right w:val="single" w:sz="4" w:space="0" w:color="auto"/>
                  </w:tcBorders>
                  <w:hideMark/>
                </w:tcPr>
                <w:p w14:paraId="752C95D8"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4A7D76AE" w14:textId="77777777" w:rsidR="00F713DF" w:rsidRPr="00A552C3" w:rsidRDefault="00F713DF" w:rsidP="00F713DF">
                  <w:pPr>
                    <w:spacing w:after="60"/>
                    <w:rPr>
                      <w:i/>
                      <w:iCs/>
                      <w:sz w:val="20"/>
                    </w:rPr>
                  </w:pPr>
                  <w:r w:rsidRPr="00A552C3">
                    <w:rPr>
                      <w:i/>
                      <w:iCs/>
                      <w:sz w:val="20"/>
                    </w:rPr>
                    <w:t>Metered Energy for Wholesale Storage Load at bus</w:t>
                  </w:r>
                  <w:r w:rsidRPr="00A552C3">
                    <w:rPr>
                      <w:iCs/>
                      <w:sz w:val="20"/>
                    </w:rPr>
                    <w:sym w:font="Symbol" w:char="F0BE"/>
                  </w:r>
                  <w:r w:rsidRPr="00A552C3">
                    <w:rPr>
                      <w:iCs/>
                      <w:sz w:val="20"/>
                    </w:rPr>
                    <w:t xml:space="preserve">The WSL energy metered by the Settlement Meter which measures WSL for the 15-minute Settlement Interval represented as a negative value, for the QSE </w:t>
                  </w:r>
                  <w:r w:rsidRPr="00A552C3">
                    <w:rPr>
                      <w:i/>
                      <w:iCs/>
                      <w:sz w:val="20"/>
                    </w:rPr>
                    <w:t>q</w:t>
                  </w:r>
                  <w:r w:rsidRPr="00A552C3">
                    <w:rPr>
                      <w:iCs/>
                      <w:sz w:val="20"/>
                    </w:rPr>
                    <w:t xml:space="preserve">, Resource </w:t>
                  </w:r>
                  <w:r w:rsidRPr="00A552C3">
                    <w:rPr>
                      <w:i/>
                      <w:iCs/>
                      <w:sz w:val="20"/>
                    </w:rPr>
                    <w:t>r</w:t>
                  </w:r>
                  <w:r w:rsidRPr="00A552C3">
                    <w:rPr>
                      <w:iCs/>
                      <w:sz w:val="20"/>
                    </w:rPr>
                    <w:t xml:space="preserve">, at bus </w:t>
                  </w:r>
                  <w:r w:rsidRPr="00A552C3">
                    <w:rPr>
                      <w:i/>
                      <w:iCs/>
                      <w:sz w:val="20"/>
                    </w:rPr>
                    <w:t>b</w:t>
                  </w:r>
                  <w:r w:rsidRPr="00A552C3">
                    <w:rPr>
                      <w:iCs/>
                      <w:sz w:val="20"/>
                    </w:rPr>
                    <w:t xml:space="preserve">.  </w:t>
                  </w:r>
                </w:p>
              </w:tc>
            </w:tr>
            <w:tr w:rsidR="00F713DF" w:rsidRPr="00A552C3" w14:paraId="10370020" w14:textId="77777777" w:rsidTr="00F713DF">
              <w:trPr>
                <w:cantSplit/>
              </w:trPr>
              <w:tc>
                <w:tcPr>
                  <w:tcW w:w="9205" w:type="dxa"/>
                  <w:gridSpan w:val="3"/>
                  <w:tcBorders>
                    <w:top w:val="single" w:sz="4" w:space="0" w:color="auto"/>
                    <w:left w:val="single" w:sz="4" w:space="0" w:color="auto"/>
                    <w:bottom w:val="single" w:sz="4" w:space="0" w:color="auto"/>
                    <w:right w:val="single" w:sz="4" w:space="0" w:color="auto"/>
                  </w:tcBorders>
                  <w:hideMark/>
                </w:tcPr>
                <w:p w14:paraId="63ECD868" w14:textId="77777777" w:rsidR="00F713DF" w:rsidRPr="00A552C3" w:rsidRDefault="00F713DF" w:rsidP="00F713DF">
                  <w:pPr>
                    <w:spacing w:after="60"/>
                    <w:rPr>
                      <w:i/>
                      <w:iCs/>
                      <w:sz w:val="20"/>
                    </w:rPr>
                  </w:pPr>
                </w:p>
              </w:tc>
            </w:tr>
            <w:tr w:rsidR="006C5B5E" w:rsidRPr="00A552C3" w14:paraId="76C7C456"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4383EAE6" w14:textId="694312B5" w:rsidR="006C5B5E" w:rsidRPr="00A552C3" w:rsidRDefault="006C5B5E" w:rsidP="006C5B5E">
                  <w:pPr>
                    <w:spacing w:after="60"/>
                    <w:rPr>
                      <w:iCs/>
                      <w:sz w:val="20"/>
                    </w:rPr>
                  </w:pPr>
                  <w:r w:rsidRPr="00812ECB">
                    <w:rPr>
                      <w:sz w:val="20"/>
                    </w:rPr>
                    <w:t xml:space="preserve">MEBCL </w:t>
                  </w:r>
                  <w:r w:rsidRPr="00812ECB">
                    <w:rPr>
                      <w:i/>
                      <w:sz w:val="20"/>
                      <w:vertAlign w:val="subscript"/>
                    </w:rPr>
                    <w:t>q, r, b</w:t>
                  </w:r>
                </w:p>
              </w:tc>
              <w:tc>
                <w:tcPr>
                  <w:tcW w:w="0" w:type="auto"/>
                  <w:tcBorders>
                    <w:top w:val="single" w:sz="4" w:space="0" w:color="auto"/>
                    <w:left w:val="single" w:sz="4" w:space="0" w:color="auto"/>
                    <w:bottom w:val="single" w:sz="4" w:space="0" w:color="auto"/>
                    <w:right w:val="single" w:sz="4" w:space="0" w:color="auto"/>
                  </w:tcBorders>
                </w:tcPr>
                <w:p w14:paraId="36D763BB" w14:textId="4D31A4A3" w:rsidR="006C5B5E" w:rsidRPr="00A552C3" w:rsidRDefault="006C5B5E" w:rsidP="006C5B5E">
                  <w:pPr>
                    <w:spacing w:after="60"/>
                    <w:rPr>
                      <w:iCs/>
                      <w:sz w:val="20"/>
                    </w:rPr>
                  </w:pPr>
                  <w:r w:rsidRPr="00812ECB">
                    <w:rPr>
                      <w:sz w:val="20"/>
                    </w:rPr>
                    <w:t>MWh</w:t>
                  </w:r>
                </w:p>
              </w:tc>
              <w:tc>
                <w:tcPr>
                  <w:tcW w:w="0" w:type="auto"/>
                  <w:tcBorders>
                    <w:top w:val="single" w:sz="4" w:space="0" w:color="auto"/>
                    <w:left w:val="single" w:sz="4" w:space="0" w:color="auto"/>
                    <w:bottom w:val="single" w:sz="4" w:space="0" w:color="auto"/>
                    <w:right w:val="single" w:sz="4" w:space="0" w:color="auto"/>
                  </w:tcBorders>
                </w:tcPr>
                <w:p w14:paraId="0019BF2D" w14:textId="0485D6DD" w:rsidR="006C5B5E" w:rsidRPr="00EC50FF" w:rsidRDefault="006C5B5E" w:rsidP="006C5B5E">
                  <w:pPr>
                    <w:spacing w:after="60"/>
                    <w:rPr>
                      <w:i/>
                      <w:iCs/>
                      <w:sz w:val="20"/>
                    </w:rPr>
                  </w:pPr>
                  <w:r w:rsidRPr="00812ECB">
                    <w:rPr>
                      <w:i/>
                      <w:sz w:val="20"/>
                    </w:rPr>
                    <w:t>Calculated Metered Energy for CLR Load at Bus</w:t>
                  </w:r>
                  <w:r w:rsidRPr="00812ECB">
                    <w:rPr>
                      <w:sz w:val="20"/>
                    </w:rPr>
                    <w:t xml:space="preserve">—The calculated CLR Load, adjusted for Unaccounted For Energy (UFE), for the 15-minute Settlement Interval represented as a negative value, for the QSE </w:t>
                  </w:r>
                  <w:r w:rsidRPr="00812ECB">
                    <w:rPr>
                      <w:i/>
                      <w:sz w:val="20"/>
                    </w:rPr>
                    <w:t>q</w:t>
                  </w:r>
                  <w:r w:rsidRPr="00812ECB">
                    <w:rPr>
                      <w:sz w:val="20"/>
                    </w:rPr>
                    <w:t xml:space="preserve">, Resource </w:t>
                  </w:r>
                  <w:r w:rsidRPr="00812ECB">
                    <w:rPr>
                      <w:i/>
                      <w:sz w:val="20"/>
                    </w:rPr>
                    <w:t>r</w:t>
                  </w:r>
                  <w:r w:rsidRPr="00812ECB">
                    <w:rPr>
                      <w:sz w:val="20"/>
                    </w:rPr>
                    <w:t xml:space="preserve">, at bus </w:t>
                  </w:r>
                  <w:r w:rsidRPr="00812ECB">
                    <w:rPr>
                      <w:i/>
                      <w:sz w:val="20"/>
                    </w:rPr>
                    <w:t>b</w:t>
                  </w:r>
                  <w:r w:rsidRPr="00812ECB">
                    <w:rPr>
                      <w:sz w:val="20"/>
                    </w:rPr>
                    <w:t>.</w:t>
                  </w:r>
                </w:p>
              </w:tc>
            </w:tr>
            <w:tr w:rsidR="00F713DF" w:rsidRPr="00A552C3" w14:paraId="6E39DC72"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29D51903" w14:textId="5C54C6CD" w:rsidR="00F713DF" w:rsidRPr="00A552C3" w:rsidRDefault="00F713DF" w:rsidP="00F713DF">
                  <w:pPr>
                    <w:spacing w:after="60"/>
                    <w:rPr>
                      <w:iCs/>
                      <w:sz w:val="20"/>
                    </w:rPr>
                  </w:pPr>
                  <w:r w:rsidRPr="00A552C3">
                    <w:rPr>
                      <w:iCs/>
                      <w:sz w:val="20"/>
                    </w:rPr>
                    <w:t xml:space="preserve">MEBR </w:t>
                  </w:r>
                  <w:r w:rsidRPr="00A552C3">
                    <w:rPr>
                      <w:i/>
                      <w:iCs/>
                      <w:sz w:val="20"/>
                      <w:vertAlign w:val="subscript"/>
                    </w:rPr>
                    <w:t>q, r, b</w:t>
                  </w:r>
                </w:p>
              </w:tc>
              <w:tc>
                <w:tcPr>
                  <w:tcW w:w="0" w:type="auto"/>
                  <w:tcBorders>
                    <w:top w:val="single" w:sz="4" w:space="0" w:color="auto"/>
                    <w:left w:val="single" w:sz="4" w:space="0" w:color="auto"/>
                    <w:bottom w:val="single" w:sz="4" w:space="0" w:color="auto"/>
                    <w:right w:val="single" w:sz="4" w:space="0" w:color="auto"/>
                  </w:tcBorders>
                </w:tcPr>
                <w:p w14:paraId="6F2D58A3" w14:textId="3B5B98E4"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tcPr>
                <w:p w14:paraId="39AE492B" w14:textId="4859E54C" w:rsidR="00F713DF" w:rsidRPr="00A552C3" w:rsidRDefault="006C5B5E" w:rsidP="00B54D66">
                  <w:pPr>
                    <w:spacing w:after="60"/>
                    <w:rPr>
                      <w:i/>
                      <w:iCs/>
                      <w:sz w:val="20"/>
                    </w:rPr>
                  </w:pPr>
                  <w:r>
                    <w:rPr>
                      <w:i/>
                      <w:iCs/>
                      <w:sz w:val="20"/>
                    </w:rPr>
                    <w:t xml:space="preserve">Calculated </w:t>
                  </w:r>
                  <w:r w:rsidR="00EC50FF" w:rsidRPr="00EC50FF">
                    <w:rPr>
                      <w:i/>
                      <w:iCs/>
                      <w:sz w:val="20"/>
                    </w:rPr>
                    <w:t xml:space="preserve">Metered Energy for Energy Storage Resource Load at Bus - </w:t>
                  </w:r>
                  <w:r w:rsidR="00EC50FF" w:rsidRPr="00EC50FF">
                    <w:rPr>
                      <w:iCs/>
                      <w:sz w:val="20"/>
                    </w:rPr>
                    <w:t xml:space="preserve">The </w:t>
                  </w:r>
                  <w:r>
                    <w:rPr>
                      <w:iCs/>
                      <w:sz w:val="20"/>
                    </w:rPr>
                    <w:t>calculated</w:t>
                  </w:r>
                  <w:r w:rsidR="00EC50FF" w:rsidRPr="00EC50FF">
                    <w:rPr>
                      <w:iCs/>
                      <w:sz w:val="20"/>
                    </w:rPr>
                    <w:t xml:space="preserve"> Non-WSL ESR Charging Load</w:t>
                  </w:r>
                  <w:r w:rsidRPr="00812ECB">
                    <w:rPr>
                      <w:iCs/>
                      <w:sz w:val="20"/>
                    </w:rPr>
                    <w:t>, adjusted for UFE,</w:t>
                  </w:r>
                  <w:r w:rsidR="00EC50FF" w:rsidRPr="00EC50FF">
                    <w:rPr>
                      <w:iCs/>
                      <w:sz w:val="20"/>
                    </w:rPr>
                    <w:t xml:space="preserve"> for the 15-minute Settlement Interval represented as a negative value, for the QSE </w:t>
                  </w:r>
                  <w:r w:rsidR="00EC50FF" w:rsidRPr="000932C9">
                    <w:rPr>
                      <w:i/>
                      <w:iCs/>
                      <w:sz w:val="20"/>
                    </w:rPr>
                    <w:t>q</w:t>
                  </w:r>
                  <w:r w:rsidR="00EC50FF" w:rsidRPr="00EC50FF">
                    <w:rPr>
                      <w:iCs/>
                      <w:sz w:val="20"/>
                    </w:rPr>
                    <w:t xml:space="preserve">, Resource </w:t>
                  </w:r>
                  <w:r w:rsidR="00EC50FF" w:rsidRPr="000932C9">
                    <w:rPr>
                      <w:i/>
                      <w:iCs/>
                      <w:sz w:val="20"/>
                    </w:rPr>
                    <w:t>r</w:t>
                  </w:r>
                  <w:r w:rsidR="00EC50FF" w:rsidRPr="00EC50FF">
                    <w:rPr>
                      <w:iCs/>
                      <w:sz w:val="20"/>
                    </w:rPr>
                    <w:t xml:space="preserve">, at bus </w:t>
                  </w:r>
                  <w:r w:rsidR="00EC50FF" w:rsidRPr="000932C9">
                    <w:rPr>
                      <w:i/>
                      <w:iCs/>
                      <w:sz w:val="20"/>
                    </w:rPr>
                    <w:t>b</w:t>
                  </w:r>
                  <w:r w:rsidR="00EC50FF" w:rsidRPr="00EC50FF">
                    <w:rPr>
                      <w:iCs/>
                      <w:sz w:val="20"/>
                    </w:rPr>
                    <w:t>.</w:t>
                  </w:r>
                  <w:r w:rsidR="00EC50FF" w:rsidRPr="00EC50FF">
                    <w:rPr>
                      <w:i/>
                      <w:iCs/>
                      <w:sz w:val="20"/>
                    </w:rPr>
                    <w:t xml:space="preserve">   </w:t>
                  </w:r>
                </w:p>
              </w:tc>
            </w:tr>
            <w:tr w:rsidR="00F713DF" w:rsidRPr="00A552C3" w14:paraId="172B7A2C"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90C8625" w14:textId="77777777" w:rsidR="00F713DF" w:rsidRPr="00A552C3" w:rsidRDefault="00F713DF" w:rsidP="00F713DF">
                  <w:pPr>
                    <w:spacing w:after="60"/>
                    <w:rPr>
                      <w:iCs/>
                      <w:sz w:val="20"/>
                    </w:rPr>
                  </w:pPr>
                  <w:r w:rsidRPr="00A552C3">
                    <w:rPr>
                      <w:iCs/>
                      <w:sz w:val="20"/>
                    </w:rPr>
                    <w:t xml:space="preserve">NMSAMTTOT </w:t>
                  </w:r>
                  <w:r w:rsidRPr="00A552C3">
                    <w:rPr>
                      <w:i/>
                      <w:iCs/>
                      <w:sz w:val="20"/>
                      <w:vertAlign w:val="subscript"/>
                    </w:rPr>
                    <w:t>gsc</w:t>
                  </w:r>
                </w:p>
              </w:tc>
              <w:tc>
                <w:tcPr>
                  <w:tcW w:w="0" w:type="auto"/>
                  <w:tcBorders>
                    <w:top w:val="single" w:sz="4" w:space="0" w:color="auto"/>
                    <w:left w:val="single" w:sz="4" w:space="0" w:color="auto"/>
                    <w:bottom w:val="single" w:sz="4" w:space="0" w:color="auto"/>
                    <w:right w:val="single" w:sz="4" w:space="0" w:color="auto"/>
                  </w:tcBorders>
                  <w:hideMark/>
                </w:tcPr>
                <w:p w14:paraId="60830DF5"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1EBB6C03" w14:textId="77777777" w:rsidR="00F713DF" w:rsidRPr="00A552C3" w:rsidRDefault="00F713DF" w:rsidP="00F713DF">
                  <w:pPr>
                    <w:spacing w:after="60"/>
                    <w:rPr>
                      <w:iCs/>
                      <w:sz w:val="20"/>
                    </w:rPr>
                  </w:pPr>
                  <w:r w:rsidRPr="00A552C3">
                    <w:rPr>
                      <w:i/>
                      <w:iCs/>
                      <w:sz w:val="20"/>
                    </w:rPr>
                    <w:t>Net Metering Settlement</w:t>
                  </w:r>
                  <w:r w:rsidRPr="00A552C3">
                    <w:rPr>
                      <w:iCs/>
                      <w:sz w:val="20"/>
                    </w:rPr>
                    <w:t>—The total payment or charge to a generation site with a net metering arrangement.</w:t>
                  </w:r>
                </w:p>
              </w:tc>
            </w:tr>
            <w:tr w:rsidR="006C5B5E" w:rsidRPr="00A552C3" w14:paraId="5BFB2369"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118F6B62" w14:textId="70A3CCC4" w:rsidR="006C5B5E" w:rsidRPr="00A552C3" w:rsidRDefault="006C5B5E" w:rsidP="006C5B5E">
                  <w:pPr>
                    <w:spacing w:after="60"/>
                    <w:rPr>
                      <w:iCs/>
                      <w:sz w:val="20"/>
                    </w:rPr>
                  </w:pPr>
                  <w:r w:rsidRPr="00812ECB">
                    <w:rPr>
                      <w:sz w:val="20"/>
                    </w:rPr>
                    <w:t>CLRAMTTOT</w:t>
                  </w:r>
                  <w:r w:rsidRPr="00812ECB">
                    <w:rPr>
                      <w:sz w:val="20"/>
                      <w:vertAlign w:val="subscript"/>
                    </w:rPr>
                    <w:t xml:space="preserve"> </w:t>
                  </w:r>
                  <w:r w:rsidRPr="00812ECB">
                    <w:rPr>
                      <w:i/>
                      <w:sz w:val="20"/>
                      <w:vertAlign w:val="subscript"/>
                    </w:rPr>
                    <w:t>q, r, p</w:t>
                  </w:r>
                </w:p>
              </w:tc>
              <w:tc>
                <w:tcPr>
                  <w:tcW w:w="0" w:type="auto"/>
                  <w:tcBorders>
                    <w:top w:val="single" w:sz="4" w:space="0" w:color="auto"/>
                    <w:left w:val="single" w:sz="4" w:space="0" w:color="auto"/>
                    <w:bottom w:val="single" w:sz="4" w:space="0" w:color="auto"/>
                    <w:right w:val="single" w:sz="4" w:space="0" w:color="auto"/>
                  </w:tcBorders>
                </w:tcPr>
                <w:p w14:paraId="46174DD7" w14:textId="56F36467" w:rsidR="006C5B5E" w:rsidRPr="00A552C3" w:rsidRDefault="006C5B5E" w:rsidP="006C5B5E">
                  <w:pPr>
                    <w:spacing w:after="60"/>
                    <w:rPr>
                      <w:iCs/>
                      <w:sz w:val="20"/>
                    </w:rPr>
                  </w:pPr>
                  <w:r w:rsidRPr="00812ECB">
                    <w:rPr>
                      <w:sz w:val="20"/>
                    </w:rPr>
                    <w:t>$</w:t>
                  </w:r>
                </w:p>
              </w:tc>
              <w:tc>
                <w:tcPr>
                  <w:tcW w:w="0" w:type="auto"/>
                  <w:tcBorders>
                    <w:top w:val="single" w:sz="4" w:space="0" w:color="auto"/>
                    <w:left w:val="single" w:sz="4" w:space="0" w:color="auto"/>
                    <w:bottom w:val="single" w:sz="4" w:space="0" w:color="auto"/>
                    <w:right w:val="single" w:sz="4" w:space="0" w:color="auto"/>
                  </w:tcBorders>
                </w:tcPr>
                <w:p w14:paraId="071216A3" w14:textId="525F9E28" w:rsidR="006C5B5E" w:rsidRPr="00A552C3" w:rsidRDefault="006C5B5E" w:rsidP="006C5B5E">
                  <w:pPr>
                    <w:spacing w:after="60"/>
                    <w:rPr>
                      <w:i/>
                      <w:iCs/>
                      <w:sz w:val="20"/>
                    </w:rPr>
                  </w:pPr>
                  <w:r w:rsidRPr="00812ECB">
                    <w:rPr>
                      <w:i/>
                      <w:sz w:val="20"/>
                    </w:rPr>
                    <w:t>CLR Load Settlement</w:t>
                  </w:r>
                  <w:r w:rsidRPr="00812ECB">
                    <w:rPr>
                      <w:sz w:val="20"/>
                    </w:rPr>
                    <w:t xml:space="preserve">—The total payment or charge to QSE </w:t>
                  </w:r>
                  <w:r w:rsidRPr="00812ECB">
                    <w:rPr>
                      <w:i/>
                      <w:sz w:val="20"/>
                    </w:rPr>
                    <w:t>q</w:t>
                  </w:r>
                  <w:r w:rsidRPr="00812ECB">
                    <w:rPr>
                      <w:sz w:val="20"/>
                    </w:rPr>
                    <w:t xml:space="preserve">, Resource </w:t>
                  </w:r>
                  <w:r w:rsidRPr="00812ECB">
                    <w:rPr>
                      <w:i/>
                      <w:sz w:val="20"/>
                    </w:rPr>
                    <w:t>r</w:t>
                  </w:r>
                  <w:r w:rsidRPr="00812ECB">
                    <w:rPr>
                      <w:sz w:val="20"/>
                    </w:rPr>
                    <w:t xml:space="preserve">, at Settlement Point </w:t>
                  </w:r>
                  <w:r w:rsidRPr="00812ECB">
                    <w:rPr>
                      <w:i/>
                      <w:sz w:val="20"/>
                    </w:rPr>
                    <w:t>p</w:t>
                  </w:r>
                  <w:r w:rsidRPr="00812ECB">
                    <w:rPr>
                      <w:sz w:val="20"/>
                    </w:rPr>
                    <w:t>, for CLR Load for each 15-minute Settlement Interval.</w:t>
                  </w:r>
                </w:p>
              </w:tc>
            </w:tr>
            <w:tr w:rsidR="00F713DF" w:rsidRPr="00A552C3" w14:paraId="59F11F4F"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9FA9D9B" w14:textId="77777777" w:rsidR="00F713DF" w:rsidRPr="00A552C3" w:rsidRDefault="00F713DF" w:rsidP="00F713DF">
                  <w:pPr>
                    <w:spacing w:after="60"/>
                    <w:rPr>
                      <w:iCs/>
                      <w:sz w:val="20"/>
                    </w:rPr>
                  </w:pPr>
                  <w:r w:rsidRPr="00A552C3">
                    <w:rPr>
                      <w:iCs/>
                      <w:sz w:val="20"/>
                    </w:rPr>
                    <w:lastRenderedPageBreak/>
                    <w:t>WSLAMTTOT</w:t>
                  </w:r>
                  <w:r w:rsidRPr="00A552C3">
                    <w:rPr>
                      <w:iCs/>
                      <w:sz w:val="20"/>
                      <w:vertAlign w:val="subscript"/>
                    </w:rPr>
                    <w:t xml:space="preserve"> </w:t>
                  </w:r>
                  <w:r w:rsidRPr="00A552C3">
                    <w:rPr>
                      <w:i/>
                      <w:iCs/>
                      <w:sz w:val="20"/>
                      <w:vertAlign w:val="subscript"/>
                    </w:rPr>
                    <w:t>q, r, p</w:t>
                  </w:r>
                  <w:r w:rsidRPr="00A552C3">
                    <w:rPr>
                      <w:iCs/>
                      <w:sz w:val="20"/>
                      <w:vertAlign w:val="subscript"/>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E7D4948"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4771204E" w14:textId="77777777" w:rsidR="00F713DF" w:rsidRPr="00A552C3" w:rsidRDefault="00F713DF" w:rsidP="00F713DF">
                  <w:pPr>
                    <w:spacing w:after="60"/>
                    <w:rPr>
                      <w:i/>
                      <w:iCs/>
                      <w:sz w:val="20"/>
                    </w:rPr>
                  </w:pPr>
                  <w:r w:rsidRPr="00A552C3">
                    <w:rPr>
                      <w:i/>
                      <w:iCs/>
                      <w:sz w:val="20"/>
                    </w:rPr>
                    <w:t>Wholesale Storage Load Settlement</w:t>
                  </w:r>
                  <w:r w:rsidRPr="00A552C3">
                    <w:rPr>
                      <w:iCs/>
                      <w:sz w:val="20"/>
                    </w:rPr>
                    <w:t>—</w:t>
                  </w:r>
                  <w:r w:rsidRPr="00A552C3">
                    <w:rPr>
                      <w:sz w:val="20"/>
                    </w:rPr>
                    <w:t xml:space="preserve">The total payment or charge to QSE </w:t>
                  </w:r>
                  <w:r w:rsidRPr="00A552C3">
                    <w:rPr>
                      <w:i/>
                      <w:sz w:val="20"/>
                    </w:rPr>
                    <w:t>q</w:t>
                  </w:r>
                  <w:r w:rsidRPr="00A552C3">
                    <w:rPr>
                      <w:sz w:val="20"/>
                    </w:rPr>
                    <w:t xml:space="preserve">, Resource </w:t>
                  </w:r>
                  <w:r w:rsidRPr="00A552C3">
                    <w:rPr>
                      <w:i/>
                      <w:sz w:val="20"/>
                    </w:rPr>
                    <w:t>r</w:t>
                  </w:r>
                  <w:r w:rsidRPr="00A552C3">
                    <w:rPr>
                      <w:sz w:val="20"/>
                    </w:rPr>
                    <w:t xml:space="preserve">, at Settlement Point </w:t>
                  </w:r>
                  <w:r w:rsidRPr="00A552C3">
                    <w:rPr>
                      <w:i/>
                      <w:sz w:val="20"/>
                    </w:rPr>
                    <w:t>p</w:t>
                  </w:r>
                  <w:r w:rsidRPr="00A552C3">
                    <w:rPr>
                      <w:sz w:val="20"/>
                    </w:rPr>
                    <w:t xml:space="preserve">, </w:t>
                  </w:r>
                  <w:r w:rsidRPr="00A552C3">
                    <w:rPr>
                      <w:iCs/>
                      <w:sz w:val="20"/>
                    </w:rPr>
                    <w:t xml:space="preserve">for WSL </w:t>
                  </w:r>
                  <w:r w:rsidRPr="00A552C3">
                    <w:rPr>
                      <w:sz w:val="20"/>
                    </w:rPr>
                    <w:t>for each 15-minute Settlement Interval.</w:t>
                  </w:r>
                </w:p>
              </w:tc>
            </w:tr>
            <w:tr w:rsidR="00F713DF" w:rsidRPr="00A552C3" w14:paraId="799F0D05"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0778D2FE" w14:textId="6B925094" w:rsidR="00F713DF" w:rsidRPr="00A552C3" w:rsidRDefault="00F713DF" w:rsidP="00F713DF">
                  <w:pPr>
                    <w:spacing w:after="60"/>
                    <w:rPr>
                      <w:iCs/>
                      <w:sz w:val="20"/>
                    </w:rPr>
                  </w:pPr>
                  <w:r w:rsidRPr="00A552C3">
                    <w:rPr>
                      <w:iCs/>
                      <w:sz w:val="20"/>
                    </w:rPr>
                    <w:t>ESRNWSLAMTTOT</w:t>
                  </w:r>
                  <w:r w:rsidRPr="00A552C3">
                    <w:rPr>
                      <w:iCs/>
                      <w:sz w:val="20"/>
                      <w:vertAlign w:val="subscript"/>
                    </w:rPr>
                    <w:t xml:space="preserve"> </w:t>
                  </w:r>
                  <w:r w:rsidRPr="00A552C3">
                    <w:rPr>
                      <w:i/>
                      <w:iCs/>
                      <w:sz w:val="20"/>
                      <w:vertAlign w:val="subscript"/>
                    </w:rPr>
                    <w:t>q, r, p</w:t>
                  </w:r>
                </w:p>
              </w:tc>
              <w:tc>
                <w:tcPr>
                  <w:tcW w:w="0" w:type="auto"/>
                  <w:tcBorders>
                    <w:top w:val="single" w:sz="4" w:space="0" w:color="auto"/>
                    <w:left w:val="single" w:sz="4" w:space="0" w:color="auto"/>
                    <w:bottom w:val="single" w:sz="4" w:space="0" w:color="auto"/>
                    <w:right w:val="single" w:sz="4" w:space="0" w:color="auto"/>
                  </w:tcBorders>
                </w:tcPr>
                <w:p w14:paraId="41430283" w14:textId="672A37F9"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tcPr>
                <w:p w14:paraId="42C423D2" w14:textId="1EB4A6CC" w:rsidR="00F713DF" w:rsidRPr="00A552C3" w:rsidRDefault="00EC50FF" w:rsidP="00F713DF">
                  <w:pPr>
                    <w:spacing w:after="60"/>
                    <w:rPr>
                      <w:i/>
                      <w:iCs/>
                      <w:sz w:val="20"/>
                    </w:rPr>
                  </w:pPr>
                  <w:r w:rsidRPr="00EC50FF">
                    <w:rPr>
                      <w:i/>
                      <w:sz w:val="20"/>
                    </w:rPr>
                    <w:t>Energy Storage Resource Non-WSL Settlement</w:t>
                  </w:r>
                  <w:r w:rsidRPr="00EC50FF">
                    <w:rPr>
                      <w:sz w:val="20"/>
                    </w:rPr>
                    <w:t xml:space="preserve">—The total payment or charge to QSE </w:t>
                  </w:r>
                  <w:r w:rsidRPr="00EC50FF">
                    <w:rPr>
                      <w:i/>
                      <w:sz w:val="20"/>
                    </w:rPr>
                    <w:t>q</w:t>
                  </w:r>
                  <w:r w:rsidRPr="00EC50FF">
                    <w:rPr>
                      <w:sz w:val="20"/>
                    </w:rPr>
                    <w:t xml:space="preserve">, Resource </w:t>
                  </w:r>
                  <w:r w:rsidRPr="00EC50FF">
                    <w:rPr>
                      <w:i/>
                      <w:sz w:val="20"/>
                    </w:rPr>
                    <w:t>r</w:t>
                  </w:r>
                  <w:r w:rsidRPr="00EC50FF">
                    <w:rPr>
                      <w:sz w:val="20"/>
                    </w:rPr>
                    <w:t xml:space="preserve">, at Settlement Point </w:t>
                  </w:r>
                  <w:r w:rsidRPr="00EC50FF">
                    <w:rPr>
                      <w:i/>
                      <w:sz w:val="20"/>
                    </w:rPr>
                    <w:t>p</w:t>
                  </w:r>
                  <w:r w:rsidRPr="00EC50FF">
                    <w:rPr>
                      <w:sz w:val="20"/>
                    </w:rPr>
                    <w:t>, for Non-WSL ESR Charging Load for each 15-minute Settlement Interval.</w:t>
                  </w:r>
                </w:p>
              </w:tc>
            </w:tr>
            <w:tr w:rsidR="00F713DF" w:rsidRPr="00A552C3" w14:paraId="370B4285"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CAADE55" w14:textId="77777777" w:rsidR="00F713DF" w:rsidRPr="00A552C3" w:rsidRDefault="00F713DF" w:rsidP="00F713DF">
                  <w:pPr>
                    <w:spacing w:after="60"/>
                    <w:rPr>
                      <w:iCs/>
                      <w:sz w:val="20"/>
                    </w:rPr>
                  </w:pPr>
                  <w:r w:rsidRPr="00A552C3">
                    <w:rPr>
                      <w:iCs/>
                      <w:sz w:val="20"/>
                    </w:rPr>
                    <w:t xml:space="preserve">NMRTETOT </w:t>
                  </w:r>
                  <w:r w:rsidRPr="00A552C3">
                    <w:rPr>
                      <w:i/>
                      <w:iCs/>
                      <w:sz w:val="20"/>
                      <w:vertAlign w:val="subscript"/>
                    </w:rPr>
                    <w:t>gsc</w:t>
                  </w:r>
                </w:p>
              </w:tc>
              <w:tc>
                <w:tcPr>
                  <w:tcW w:w="0" w:type="auto"/>
                  <w:tcBorders>
                    <w:top w:val="single" w:sz="4" w:space="0" w:color="auto"/>
                    <w:left w:val="single" w:sz="4" w:space="0" w:color="auto"/>
                    <w:bottom w:val="single" w:sz="4" w:space="0" w:color="auto"/>
                    <w:right w:val="single" w:sz="4" w:space="0" w:color="auto"/>
                  </w:tcBorders>
                  <w:hideMark/>
                </w:tcPr>
                <w:p w14:paraId="42206A6D"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709FA1B3" w14:textId="77777777" w:rsidR="00F713DF" w:rsidRPr="00A552C3" w:rsidRDefault="00F713DF" w:rsidP="00F713DF">
                  <w:pPr>
                    <w:spacing w:after="60"/>
                    <w:rPr>
                      <w:i/>
                      <w:iCs/>
                      <w:sz w:val="20"/>
                    </w:rPr>
                  </w:pPr>
                  <w:r w:rsidRPr="00A552C3">
                    <w:rPr>
                      <w:i/>
                      <w:iCs/>
                      <w:sz w:val="20"/>
                    </w:rPr>
                    <w:t>Net Meter Real-Time Energy Total</w:t>
                  </w:r>
                  <w:r w:rsidRPr="00A552C3">
                    <w:rPr>
                      <w:iCs/>
                      <w:sz w:val="20"/>
                    </w:rPr>
                    <w:t xml:space="preserve">—The net sum for all Settlement Meters included in generation site code </w:t>
                  </w:r>
                  <w:r w:rsidRPr="00A552C3">
                    <w:rPr>
                      <w:i/>
                      <w:iCs/>
                      <w:sz w:val="20"/>
                    </w:rPr>
                    <w:t>gsc</w:t>
                  </w:r>
                  <w:r w:rsidRPr="00A552C3">
                    <w:rPr>
                      <w:iCs/>
                      <w:sz w:val="20"/>
                    </w:rPr>
                    <w:t>.  A positive value indicates an injection of power to the ERCOT System.</w:t>
                  </w:r>
                </w:p>
              </w:tc>
            </w:tr>
            <w:tr w:rsidR="00F713DF" w:rsidRPr="00A552C3" w14:paraId="0DBE9758"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4603B0C6" w14:textId="77777777" w:rsidR="00F713DF" w:rsidRPr="00A552C3" w:rsidRDefault="00F713DF" w:rsidP="00F713DF">
                  <w:pPr>
                    <w:spacing w:after="60"/>
                    <w:rPr>
                      <w:iCs/>
                      <w:sz w:val="20"/>
                    </w:rPr>
                  </w:pPr>
                  <w:r w:rsidRPr="00A552C3">
                    <w:rPr>
                      <w:iCs/>
                      <w:sz w:val="20"/>
                    </w:rPr>
                    <w:t xml:space="preserve">GSPLITPER </w:t>
                  </w:r>
                  <w:r w:rsidRPr="00A552C3">
                    <w:rPr>
                      <w:i/>
                      <w:iCs/>
                      <w:sz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16A16836"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49278FA5" w14:textId="77777777" w:rsidR="00F713DF" w:rsidRPr="00A552C3" w:rsidRDefault="00F713DF" w:rsidP="00F713DF">
                  <w:pPr>
                    <w:spacing w:after="60"/>
                    <w:rPr>
                      <w:iCs/>
                      <w:sz w:val="20"/>
                    </w:rPr>
                  </w:pPr>
                  <w:r w:rsidRPr="00A552C3">
                    <w:rPr>
                      <w:i/>
                      <w:iCs/>
                      <w:sz w:val="20"/>
                    </w:rPr>
                    <w:t>Generation Resource SCADA Splitting Percentage</w:t>
                  </w:r>
                  <w:r w:rsidRPr="00A552C3">
                    <w:rPr>
                      <w:iCs/>
                      <w:sz w:val="20"/>
                    </w:rPr>
                    <w:t xml:space="preserve">—The generation allocation percentage for Resource </w:t>
                  </w:r>
                  <w:r w:rsidRPr="00A552C3">
                    <w:rPr>
                      <w:i/>
                      <w:iCs/>
                      <w:sz w:val="20"/>
                    </w:rPr>
                    <w:t>r</w:t>
                  </w:r>
                  <w:r w:rsidRPr="00A552C3">
                    <w:rPr>
                      <w:iCs/>
                      <w:sz w:val="20"/>
                    </w:rPr>
                    <w:t xml:space="preserve"> that is part of a net metering arrangement.  GSPLITPER is calculated by taking the Supervisory Control and Data Acquisition (SCADA) values (GSSPLITSCA) for a particular Generation Resource or ESR </w:t>
                  </w:r>
                  <w:r w:rsidRPr="00A552C3">
                    <w:rPr>
                      <w:i/>
                      <w:iCs/>
                      <w:sz w:val="20"/>
                    </w:rPr>
                    <w:t>r</w:t>
                  </w:r>
                  <w:r w:rsidRPr="00A552C3">
                    <w:rPr>
                      <w:iCs/>
                      <w:sz w:val="20"/>
                    </w:rPr>
                    <w:t xml:space="preserve"> that is part of a net metering configuration and dividing by the sum of all SCADA values for all Resources that are included in the net metering configuration for each interval.  Where for a Combined Cycle Train, the Resource </w:t>
                  </w:r>
                  <w:r w:rsidRPr="00A552C3">
                    <w:rPr>
                      <w:i/>
                      <w:iCs/>
                      <w:sz w:val="20"/>
                    </w:rPr>
                    <w:t xml:space="preserve">r </w:t>
                  </w:r>
                  <w:r w:rsidRPr="00A552C3">
                    <w:rPr>
                      <w:iCs/>
                      <w:sz w:val="20"/>
                    </w:rPr>
                    <w:t>is the Combined Cycle Train.</w:t>
                  </w:r>
                </w:p>
              </w:tc>
            </w:tr>
            <w:tr w:rsidR="00F713DF" w:rsidRPr="00A552C3" w14:paraId="36F4BC9A"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63C0BBBF" w14:textId="77777777" w:rsidR="00F713DF" w:rsidRPr="00A552C3" w:rsidRDefault="00F713DF" w:rsidP="00F713DF">
                  <w:pPr>
                    <w:spacing w:after="60"/>
                    <w:rPr>
                      <w:i/>
                      <w:iCs/>
                      <w:sz w:val="20"/>
                    </w:rPr>
                  </w:pPr>
                  <w:r w:rsidRPr="00A552C3">
                    <w:rPr>
                      <w:i/>
                      <w:iCs/>
                      <w:sz w:val="20"/>
                    </w:rPr>
                    <w:t>q</w:t>
                  </w:r>
                </w:p>
              </w:tc>
              <w:tc>
                <w:tcPr>
                  <w:tcW w:w="0" w:type="auto"/>
                  <w:tcBorders>
                    <w:top w:val="single" w:sz="4" w:space="0" w:color="auto"/>
                    <w:left w:val="single" w:sz="4" w:space="0" w:color="auto"/>
                    <w:bottom w:val="single" w:sz="4" w:space="0" w:color="auto"/>
                    <w:right w:val="single" w:sz="4" w:space="0" w:color="auto"/>
                  </w:tcBorders>
                  <w:hideMark/>
                </w:tcPr>
                <w:p w14:paraId="73EF71BD"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43EB5A51" w14:textId="77777777" w:rsidR="00F713DF" w:rsidRPr="00A552C3" w:rsidRDefault="00F713DF" w:rsidP="00F713DF">
                  <w:pPr>
                    <w:spacing w:after="60"/>
                    <w:rPr>
                      <w:iCs/>
                      <w:sz w:val="20"/>
                    </w:rPr>
                  </w:pPr>
                  <w:r w:rsidRPr="00A552C3">
                    <w:rPr>
                      <w:iCs/>
                      <w:sz w:val="20"/>
                    </w:rPr>
                    <w:t>A QSE.</w:t>
                  </w:r>
                </w:p>
              </w:tc>
            </w:tr>
            <w:tr w:rsidR="00F713DF" w:rsidRPr="00A552C3" w14:paraId="76F180E4"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65F43E5A" w14:textId="77777777" w:rsidR="00F713DF" w:rsidRPr="00A552C3" w:rsidRDefault="00F713DF" w:rsidP="00F713DF">
                  <w:pPr>
                    <w:spacing w:after="60"/>
                    <w:rPr>
                      <w:i/>
                      <w:iCs/>
                      <w:sz w:val="20"/>
                    </w:rPr>
                  </w:pPr>
                  <w:r w:rsidRPr="00A552C3">
                    <w:rPr>
                      <w:i/>
                      <w:iCs/>
                      <w:sz w:val="20"/>
                    </w:rPr>
                    <w:t>p</w:t>
                  </w:r>
                </w:p>
              </w:tc>
              <w:tc>
                <w:tcPr>
                  <w:tcW w:w="0" w:type="auto"/>
                  <w:tcBorders>
                    <w:top w:val="single" w:sz="4" w:space="0" w:color="auto"/>
                    <w:left w:val="single" w:sz="4" w:space="0" w:color="auto"/>
                    <w:bottom w:val="single" w:sz="4" w:space="0" w:color="auto"/>
                    <w:right w:val="single" w:sz="4" w:space="0" w:color="auto"/>
                  </w:tcBorders>
                  <w:hideMark/>
                </w:tcPr>
                <w:p w14:paraId="6608FDCD"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01FD8C06" w14:textId="77777777" w:rsidR="00F713DF" w:rsidRPr="00A552C3" w:rsidRDefault="00F713DF" w:rsidP="00F713DF">
                  <w:pPr>
                    <w:spacing w:after="60"/>
                    <w:rPr>
                      <w:iCs/>
                      <w:sz w:val="20"/>
                    </w:rPr>
                  </w:pPr>
                  <w:r w:rsidRPr="00A552C3">
                    <w:rPr>
                      <w:iCs/>
                      <w:sz w:val="20"/>
                    </w:rPr>
                    <w:t>A Resource Node Settlement Point.</w:t>
                  </w:r>
                </w:p>
              </w:tc>
            </w:tr>
            <w:tr w:rsidR="00F713DF" w:rsidRPr="00A552C3" w14:paraId="11F95855"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9EAAC4F" w14:textId="77777777" w:rsidR="00F713DF" w:rsidRPr="00A552C3" w:rsidRDefault="00F713DF" w:rsidP="00F713DF">
                  <w:pPr>
                    <w:spacing w:after="60"/>
                    <w:rPr>
                      <w:i/>
                      <w:iCs/>
                      <w:sz w:val="20"/>
                    </w:rPr>
                  </w:pPr>
                  <w:r w:rsidRPr="00A552C3">
                    <w:rPr>
                      <w:i/>
                      <w:iCs/>
                      <w:sz w:val="20"/>
                    </w:rPr>
                    <w:t>r</w:t>
                  </w:r>
                </w:p>
              </w:tc>
              <w:tc>
                <w:tcPr>
                  <w:tcW w:w="0" w:type="auto"/>
                  <w:tcBorders>
                    <w:top w:val="single" w:sz="4" w:space="0" w:color="auto"/>
                    <w:left w:val="single" w:sz="4" w:space="0" w:color="auto"/>
                    <w:bottom w:val="single" w:sz="4" w:space="0" w:color="auto"/>
                    <w:right w:val="single" w:sz="4" w:space="0" w:color="auto"/>
                  </w:tcBorders>
                  <w:hideMark/>
                </w:tcPr>
                <w:p w14:paraId="2AE11876"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71457DD5" w14:textId="742218B0" w:rsidR="00F713DF" w:rsidRPr="00A552C3" w:rsidRDefault="00F713DF" w:rsidP="00F713DF">
                  <w:pPr>
                    <w:spacing w:after="60"/>
                    <w:rPr>
                      <w:iCs/>
                      <w:sz w:val="20"/>
                    </w:rPr>
                  </w:pPr>
                  <w:r w:rsidRPr="00A552C3">
                    <w:rPr>
                      <w:iCs/>
                      <w:sz w:val="20"/>
                    </w:rPr>
                    <w:t>A Generation Resource</w:t>
                  </w:r>
                  <w:r w:rsidR="006C5B5E" w:rsidRPr="00812ECB">
                    <w:rPr>
                      <w:iCs/>
                      <w:sz w:val="20"/>
                    </w:rPr>
                    <w:t>, a CLR that is not an ALR,</w:t>
                  </w:r>
                  <w:r w:rsidRPr="00A552C3">
                    <w:rPr>
                      <w:iCs/>
                      <w:sz w:val="20"/>
                    </w:rPr>
                    <w:t xml:space="preserve"> or </w:t>
                  </w:r>
                  <w:r>
                    <w:rPr>
                      <w:iCs/>
                      <w:sz w:val="20"/>
                    </w:rPr>
                    <w:t>ESR</w:t>
                  </w:r>
                  <w:r w:rsidRPr="00A552C3">
                    <w:rPr>
                      <w:iCs/>
                      <w:sz w:val="20"/>
                    </w:rPr>
                    <w:t xml:space="preserve"> that is located at </w:t>
                  </w:r>
                  <w:r>
                    <w:rPr>
                      <w:iCs/>
                      <w:sz w:val="20"/>
                    </w:rPr>
                    <w:t>the Facility with net metering.</w:t>
                  </w:r>
                </w:p>
              </w:tc>
            </w:tr>
            <w:tr w:rsidR="00F713DF" w:rsidRPr="00A552C3" w14:paraId="41C0AFFF"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5BE6369" w14:textId="77777777" w:rsidR="00F713DF" w:rsidRPr="00A552C3" w:rsidRDefault="00F713DF" w:rsidP="00F713DF">
                  <w:pPr>
                    <w:spacing w:after="60"/>
                    <w:rPr>
                      <w:i/>
                      <w:iCs/>
                      <w:sz w:val="20"/>
                    </w:rPr>
                  </w:pPr>
                  <w:r w:rsidRPr="00A552C3">
                    <w:rPr>
                      <w:i/>
                      <w:iCs/>
                      <w:sz w:val="20"/>
                    </w:rPr>
                    <w:t>gsc</w:t>
                  </w:r>
                </w:p>
              </w:tc>
              <w:tc>
                <w:tcPr>
                  <w:tcW w:w="0" w:type="auto"/>
                  <w:tcBorders>
                    <w:top w:val="single" w:sz="4" w:space="0" w:color="auto"/>
                    <w:left w:val="single" w:sz="4" w:space="0" w:color="auto"/>
                    <w:bottom w:val="single" w:sz="4" w:space="0" w:color="auto"/>
                    <w:right w:val="single" w:sz="4" w:space="0" w:color="auto"/>
                  </w:tcBorders>
                  <w:hideMark/>
                </w:tcPr>
                <w:p w14:paraId="13F88545"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401D5E8A" w14:textId="77777777" w:rsidR="00F713DF" w:rsidRPr="00A552C3" w:rsidRDefault="00F713DF" w:rsidP="00F713DF">
                  <w:pPr>
                    <w:spacing w:after="60"/>
                    <w:rPr>
                      <w:iCs/>
                      <w:sz w:val="20"/>
                    </w:rPr>
                  </w:pPr>
                  <w:r w:rsidRPr="00A552C3">
                    <w:rPr>
                      <w:iCs/>
                      <w:sz w:val="20"/>
                    </w:rPr>
                    <w:t>A generation site code.</w:t>
                  </w:r>
                </w:p>
              </w:tc>
            </w:tr>
            <w:tr w:rsidR="00F713DF" w:rsidRPr="00A552C3" w14:paraId="1B383CF3"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182C97A4" w14:textId="77777777" w:rsidR="00F713DF" w:rsidRPr="00A552C3" w:rsidRDefault="00F713DF" w:rsidP="00F713DF">
                  <w:pPr>
                    <w:spacing w:after="60"/>
                    <w:rPr>
                      <w:i/>
                      <w:iCs/>
                      <w:sz w:val="20"/>
                    </w:rPr>
                  </w:pPr>
                  <w:r w:rsidRPr="00A552C3">
                    <w:rPr>
                      <w:i/>
                      <w:iCs/>
                      <w:sz w:val="20"/>
                    </w:rPr>
                    <w:t>b</w:t>
                  </w:r>
                </w:p>
              </w:tc>
              <w:tc>
                <w:tcPr>
                  <w:tcW w:w="0" w:type="auto"/>
                  <w:tcBorders>
                    <w:top w:val="single" w:sz="4" w:space="0" w:color="auto"/>
                    <w:left w:val="single" w:sz="4" w:space="0" w:color="auto"/>
                    <w:bottom w:val="single" w:sz="4" w:space="0" w:color="auto"/>
                    <w:right w:val="single" w:sz="4" w:space="0" w:color="auto"/>
                  </w:tcBorders>
                  <w:hideMark/>
                </w:tcPr>
                <w:p w14:paraId="01C2256E"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10229EF1" w14:textId="77777777" w:rsidR="00F713DF" w:rsidRPr="00A552C3" w:rsidRDefault="00F713DF" w:rsidP="00F713DF">
                  <w:pPr>
                    <w:spacing w:after="60"/>
                    <w:rPr>
                      <w:iCs/>
                      <w:sz w:val="20"/>
                    </w:rPr>
                  </w:pPr>
                  <w:r w:rsidRPr="00A552C3">
                    <w:rPr>
                      <w:iCs/>
                      <w:sz w:val="20"/>
                    </w:rPr>
                    <w:t>An Electrical Bus.</w:t>
                  </w:r>
                </w:p>
              </w:tc>
            </w:tr>
            <w:bookmarkEnd w:id="1864"/>
          </w:tbl>
          <w:p w14:paraId="7004F0E7" w14:textId="77777777" w:rsidR="006F7954" w:rsidRPr="00B50DCB" w:rsidRDefault="006F7954" w:rsidP="009E7633">
            <w:pPr>
              <w:pStyle w:val="FormulaBold"/>
              <w:ind w:left="0" w:firstLine="0"/>
            </w:pPr>
          </w:p>
        </w:tc>
      </w:tr>
    </w:tbl>
    <w:p w14:paraId="594D224D" w14:textId="77777777" w:rsidR="004E4B05" w:rsidRDefault="004E4B05" w:rsidP="004E4B05">
      <w:pPr>
        <w:spacing w:before="240" w:after="240"/>
        <w:ind w:left="720" w:hanging="720"/>
        <w:rPr>
          <w:b/>
          <w:i/>
          <w:iCs/>
        </w:rPr>
      </w:pPr>
      <w:r>
        <w:lastRenderedPageBreak/>
        <w:t>(3)</w:t>
      </w:r>
      <w:r>
        <w:tab/>
        <w:t>For a facility with Settlement Meters that measure ESR Load, t</w:t>
      </w:r>
      <w:r>
        <w:rPr>
          <w:iCs/>
        </w:rPr>
        <w:t xml:space="preserve">he total payment or charge </w:t>
      </w:r>
      <w:r>
        <w:t xml:space="preserve">for ESR Load is </w:t>
      </w:r>
      <w:r>
        <w:rPr>
          <w:iCs/>
        </w:rPr>
        <w:t>calculated for a</w:t>
      </w:r>
      <w:r w:rsidRPr="004368B4">
        <w:rPr>
          <w:iCs/>
        </w:rPr>
        <w:t xml:space="preserve"> QSE</w:t>
      </w:r>
      <w:r>
        <w:rPr>
          <w:iCs/>
        </w:rPr>
        <w:t>, ESR, and Settlement Point</w:t>
      </w:r>
      <w:r w:rsidRPr="004368B4">
        <w:rPr>
          <w:iCs/>
        </w:rPr>
        <w:t xml:space="preserve"> </w:t>
      </w:r>
      <w:r>
        <w:rPr>
          <w:iCs/>
        </w:rPr>
        <w:t xml:space="preserve">for </w:t>
      </w:r>
      <w:r w:rsidRPr="004368B4">
        <w:rPr>
          <w:iCs/>
        </w:rPr>
        <w:t>each 15-minute Settlement Interval</w:t>
      </w:r>
      <w:r>
        <w:rPr>
          <w:iCs/>
        </w:rPr>
        <w:t>.</w:t>
      </w:r>
    </w:p>
    <w:p w14:paraId="7F29CD65" w14:textId="77777777" w:rsidR="004E4B05" w:rsidRDefault="004E4B05" w:rsidP="004E4B05">
      <w:pPr>
        <w:spacing w:after="240"/>
        <w:ind w:left="720"/>
        <w:rPr>
          <w:iCs/>
        </w:rPr>
      </w:pPr>
      <w:r w:rsidRPr="004368B4">
        <w:rPr>
          <w:iCs/>
        </w:rPr>
        <w:t xml:space="preserve">The </w:t>
      </w:r>
      <w:r>
        <w:rPr>
          <w:iCs/>
        </w:rPr>
        <w:t>WSL</w:t>
      </w:r>
      <w:r w:rsidRPr="004368B4">
        <w:rPr>
          <w:iCs/>
        </w:rPr>
        <w:t xml:space="preserve"> is settled as follows</w:t>
      </w:r>
      <w:r>
        <w:rPr>
          <w:iCs/>
        </w:rPr>
        <w:t>:</w:t>
      </w:r>
      <w:r w:rsidRPr="004368B4">
        <w:rPr>
          <w:iCs/>
        </w:rPr>
        <w:t xml:space="preserve"> </w:t>
      </w:r>
    </w:p>
    <w:p w14:paraId="01B98B57" w14:textId="77777777" w:rsidR="004E4B05" w:rsidRDefault="004E4B05" w:rsidP="004E4B05">
      <w:pPr>
        <w:tabs>
          <w:tab w:val="left" w:pos="2340"/>
          <w:tab w:val="left" w:pos="2880"/>
        </w:tabs>
        <w:spacing w:after="240"/>
        <w:ind w:left="2880" w:hanging="2160"/>
        <w:rPr>
          <w:b/>
          <w:bCs/>
        </w:rPr>
      </w:pPr>
      <w:r>
        <w:rPr>
          <w:b/>
          <w:bCs/>
        </w:rPr>
        <w:t>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684807D9">
          <v:shape id="_x0000_i1133" type="#_x0000_t75" style="width:12pt;height:18pt" o:ole="">
            <v:imagedata r:id="rId145" o:title=""/>
          </v:shape>
          <o:OLEObject Type="Embed" ProgID="Equation.3" ShapeID="_x0000_i1133" DrawAspect="Content" ObjectID="_1815025323" r:id="rId146"/>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MEBL</w:t>
      </w:r>
      <w:r w:rsidRPr="004368B4">
        <w:rPr>
          <w:bCs/>
        </w:rPr>
        <w:t xml:space="preserve"> </w:t>
      </w:r>
      <w:r w:rsidRPr="00BD295E">
        <w:rPr>
          <w:b/>
          <w:bCs/>
          <w:i/>
          <w:vertAlign w:val="subscript"/>
        </w:rPr>
        <w:t>q, r, b</w:t>
      </w:r>
      <w:r w:rsidRPr="004368B4">
        <w:rPr>
          <w:b/>
          <w:bCs/>
        </w:rPr>
        <w:t>)</w:t>
      </w:r>
    </w:p>
    <w:p w14:paraId="46232E98" w14:textId="77777777" w:rsidR="004E4B05" w:rsidRDefault="004E4B05" w:rsidP="004E4B05">
      <w:pPr>
        <w:spacing w:after="240"/>
        <w:ind w:left="720"/>
        <w:rPr>
          <w:iCs/>
        </w:rPr>
      </w:pPr>
      <w:r w:rsidRPr="004368B4">
        <w:rPr>
          <w:iCs/>
        </w:rPr>
        <w:t xml:space="preserve">The </w:t>
      </w:r>
      <w:r>
        <w:t>Non-WSL ESR Charging Load</w:t>
      </w:r>
      <w:r w:rsidRPr="004368B4">
        <w:rPr>
          <w:iCs/>
        </w:rPr>
        <w:t xml:space="preserve"> is settled as follows</w:t>
      </w:r>
      <w:r>
        <w:rPr>
          <w:iCs/>
        </w:rPr>
        <w:t>:</w:t>
      </w:r>
      <w:r w:rsidRPr="004368B4">
        <w:rPr>
          <w:iCs/>
        </w:rPr>
        <w:t xml:space="preserve"> </w:t>
      </w:r>
    </w:p>
    <w:p w14:paraId="4EBF5A95" w14:textId="77777777" w:rsidR="004E4B05" w:rsidRDefault="004E4B05" w:rsidP="004E4B05">
      <w:pPr>
        <w:tabs>
          <w:tab w:val="left" w:pos="2340"/>
          <w:tab w:val="left" w:pos="2880"/>
        </w:tabs>
        <w:spacing w:after="240"/>
        <w:ind w:left="2880" w:hanging="2160"/>
        <w:rPr>
          <w:b/>
          <w:bCs/>
        </w:rPr>
      </w:pPr>
      <w:r>
        <w:rPr>
          <w:b/>
          <w:bCs/>
        </w:rPr>
        <w:t>ESRNWSLAMT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2E61FDC1">
          <v:shape id="_x0000_i1134" type="#_x0000_t75" style="width:12pt;height:18pt" o:ole="">
            <v:imagedata r:id="rId145" o:title=""/>
          </v:shape>
          <o:OLEObject Type="Embed" ProgID="Equation.3" ShapeID="_x0000_i1134" DrawAspect="Content" ObjectID="_1815025324" r:id="rId147"/>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w:t>
      </w:r>
      <w:r>
        <w:rPr>
          <w:b/>
          <w:bCs/>
        </w:rPr>
        <w:t>R</w:t>
      </w:r>
      <w:r w:rsidRPr="004368B4">
        <w:rPr>
          <w:bCs/>
        </w:rPr>
        <w:t xml:space="preserve"> </w:t>
      </w:r>
      <w:r w:rsidRPr="00BD295E">
        <w:rPr>
          <w:b/>
          <w:bCs/>
          <w:i/>
          <w:vertAlign w:val="subscript"/>
        </w:rPr>
        <w:t>q, r, b</w:t>
      </w:r>
      <w:r w:rsidRPr="004368B4">
        <w:rPr>
          <w:b/>
          <w:bCs/>
        </w:rPr>
        <w:t>)</w:t>
      </w:r>
    </w:p>
    <w:p w14:paraId="1E02DD0C" w14:textId="77777777" w:rsidR="004E4B05" w:rsidRDefault="004E4B05" w:rsidP="004E4B05">
      <w:pPr>
        <w:tabs>
          <w:tab w:val="left" w:pos="2340"/>
          <w:tab w:val="left" w:pos="3420"/>
        </w:tabs>
        <w:spacing w:after="240"/>
        <w:ind w:left="3420" w:hanging="2700"/>
        <w:rPr>
          <w:b/>
          <w:bCs/>
        </w:rPr>
      </w:pPr>
      <w:r w:rsidRPr="004368B4">
        <w:rPr>
          <w:bCs/>
        </w:rPr>
        <w:t>Where</w:t>
      </w:r>
      <w:r w:rsidRPr="004368B4">
        <w:rPr>
          <w:bCs/>
          <w:iCs/>
        </w:rPr>
        <w:t xml:space="preserve"> the price for Settlement Meter is determined as follows</w:t>
      </w:r>
      <w:r w:rsidRPr="006F7536">
        <w:rPr>
          <w:bCs/>
          <w:iCs/>
        </w:rPr>
        <w:t>:</w:t>
      </w:r>
    </w:p>
    <w:p w14:paraId="6EE6E3CF" w14:textId="77777777" w:rsidR="004E4B05" w:rsidRDefault="004E4B05" w:rsidP="004E4B05">
      <w:pPr>
        <w:spacing w:after="240"/>
        <w:ind w:left="2880" w:hanging="2160"/>
        <w:rPr>
          <w:b/>
          <w:lang w:val="es-ES"/>
        </w:rPr>
      </w:pPr>
      <w:r w:rsidRPr="004368B4">
        <w:rPr>
          <w:b/>
          <w:lang w:val="es-ES"/>
        </w:rPr>
        <w:t>RTRMPR</w:t>
      </w:r>
      <w:r>
        <w:rPr>
          <w:b/>
          <w:lang w:val="es-ES"/>
        </w:rPr>
        <w:t>ESR</w:t>
      </w:r>
      <w:r w:rsidRPr="004368B4">
        <w:rPr>
          <w:b/>
          <w:i/>
          <w:iCs/>
          <w:vertAlign w:val="subscript"/>
          <w:lang w:val="es-ES"/>
        </w:rPr>
        <w:t xml:space="preserve"> </w:t>
      </w:r>
      <w:r>
        <w:rPr>
          <w:b/>
          <w:i/>
          <w:iCs/>
          <w:vertAlign w:val="subscript"/>
          <w:lang w:val="es-ES"/>
        </w:rPr>
        <w:t>b</w:t>
      </w:r>
      <w:r w:rsidRPr="004368B4">
        <w:rPr>
          <w:b/>
          <w:lang w:val="es-ES"/>
        </w:rPr>
        <w:t xml:space="preserve"> </w:t>
      </w:r>
      <w:r>
        <w:rPr>
          <w:b/>
          <w:lang w:val="es-ES"/>
        </w:rPr>
        <w:tab/>
      </w:r>
      <w:r w:rsidRPr="004368B4">
        <w:rPr>
          <w:b/>
          <w:lang w:val="es-ES"/>
        </w:rPr>
        <w:t>=</w:t>
      </w:r>
      <w:r>
        <w:rPr>
          <w:b/>
          <w:lang w:val="es-ES"/>
        </w:rPr>
        <w:t xml:space="preserve"> </w:t>
      </w:r>
      <w:r>
        <w:rPr>
          <w:b/>
        </w:rPr>
        <w:t xml:space="preserve">Max [-$251, </w:t>
      </w:r>
      <w:r w:rsidRPr="00BB1533">
        <w:rPr>
          <w:b/>
        </w:rPr>
        <w:t>(</w:t>
      </w:r>
      <w:r w:rsidRPr="003C613A">
        <w:rPr>
          <w:rFonts w:ascii="Times New Roman Bold" w:hAnsi="Times New Roman Bold"/>
          <w:b/>
          <w:noProof/>
          <w:position w:val="-18"/>
        </w:rPr>
        <w:drawing>
          <wp:inline distT="0" distB="0" distL="0" distR="0" wp14:anchorId="719577EB" wp14:editId="0E2667B6">
            <wp:extent cx="142875" cy="295275"/>
            <wp:effectExtent l="0" t="0" r="9525" b="9525"/>
            <wp:docPr id="41"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4368B4">
        <w:rPr>
          <w:b/>
          <w:lang w:val="es-ES"/>
        </w:rPr>
        <w:t>(RNWF</w:t>
      </w:r>
      <w:r>
        <w:rPr>
          <w:b/>
          <w:lang w:val="es-ES"/>
        </w:rPr>
        <w:t>L</w:t>
      </w:r>
      <w:r w:rsidRPr="004368B4">
        <w:rPr>
          <w:b/>
          <w:lang w:val="es-ES"/>
        </w:rPr>
        <w:t xml:space="preserve"> </w:t>
      </w:r>
      <w:r>
        <w:rPr>
          <w:b/>
          <w:i/>
          <w:iCs/>
          <w:vertAlign w:val="subscript"/>
          <w:lang w:val="es-ES"/>
        </w:rPr>
        <w:t>b</w:t>
      </w:r>
      <w:r w:rsidRPr="004368B4">
        <w:rPr>
          <w:b/>
          <w:i/>
          <w:iCs/>
          <w:vertAlign w:val="subscript"/>
          <w:lang w:val="es-ES"/>
        </w:rPr>
        <w:t xml:space="preserve">, y </w:t>
      </w:r>
      <w:r w:rsidRPr="004368B4">
        <w:rPr>
          <w:b/>
          <w:lang w:val="es-ES"/>
        </w:rPr>
        <w:t xml:space="preserve">* RTLMP </w:t>
      </w:r>
      <w:r w:rsidRPr="00EB5531">
        <w:rPr>
          <w:b/>
          <w:i/>
          <w:vertAlign w:val="subscript"/>
          <w:lang w:val="es-ES"/>
        </w:rPr>
        <w:t>b</w:t>
      </w:r>
      <w:r w:rsidRPr="004368B4">
        <w:rPr>
          <w:b/>
          <w:i/>
          <w:iCs/>
          <w:vertAlign w:val="subscript"/>
          <w:lang w:val="es-ES"/>
        </w:rPr>
        <w:t>, y</w:t>
      </w:r>
      <w:r w:rsidRPr="004368B4">
        <w:rPr>
          <w:b/>
          <w:lang w:val="es-ES"/>
        </w:rPr>
        <w:t>)</w:t>
      </w:r>
      <w:r>
        <w:rPr>
          <w:b/>
          <w:lang w:val="es-ES"/>
        </w:rPr>
        <w:t xml:space="preserve"> </w:t>
      </w:r>
      <w:r w:rsidRPr="00BB1533">
        <w:rPr>
          <w:b/>
        </w:rPr>
        <w:t>+ RTRSVPOR</w:t>
      </w:r>
      <w:r>
        <w:rPr>
          <w:b/>
        </w:rPr>
        <w:t xml:space="preserve"> + RTRDP</w:t>
      </w:r>
      <w:r w:rsidRPr="00BB1533">
        <w:rPr>
          <w:b/>
        </w:rPr>
        <w:t>)</w:t>
      </w:r>
      <w:r>
        <w:rPr>
          <w:b/>
        </w:rPr>
        <w:t>]</w:t>
      </w:r>
    </w:p>
    <w:p w14:paraId="2ABE5CDC" w14:textId="77777777" w:rsidR="004E4B05" w:rsidRDefault="004E4B05" w:rsidP="004E4B05">
      <w:pPr>
        <w:spacing w:after="240"/>
        <w:ind w:firstLine="720"/>
      </w:pPr>
      <w:r w:rsidRPr="004368B4">
        <w:t xml:space="preserve">Where the weighting factor for the </w:t>
      </w:r>
      <w:r>
        <w:t>Electrical B</w:t>
      </w:r>
      <w:r w:rsidRPr="004368B4">
        <w:t>us associated with the meter is:</w:t>
      </w:r>
    </w:p>
    <w:p w14:paraId="63FD23AF" w14:textId="77777777" w:rsidR="004E4B05" w:rsidRDefault="004E4B05" w:rsidP="004E4B05">
      <w:pPr>
        <w:spacing w:after="240"/>
        <w:ind w:firstLine="720"/>
        <w:rPr>
          <w:b/>
          <w:lang w:val="es-ES"/>
        </w:rPr>
      </w:pPr>
      <w:r w:rsidRPr="000D15B1">
        <w:rPr>
          <w:b/>
          <w:lang w:val="es-ES"/>
        </w:rPr>
        <w:t xml:space="preserve">RNWFL </w:t>
      </w:r>
      <w:r w:rsidRPr="00351F0F">
        <w:rPr>
          <w:b/>
          <w:i/>
          <w:iCs/>
          <w:vertAlign w:val="subscript"/>
          <w:lang w:val="es-ES"/>
        </w:rPr>
        <w:t xml:space="preserve">b, y </w:t>
      </w:r>
      <w:r w:rsidRPr="00351F0F">
        <w:rPr>
          <w:b/>
          <w:i/>
          <w:iCs/>
          <w:vertAlign w:val="subscript"/>
          <w:lang w:val="es-ES"/>
        </w:rPr>
        <w:tab/>
      </w:r>
      <w:r>
        <w:rPr>
          <w:b/>
          <w:i/>
          <w:iCs/>
          <w:vertAlign w:val="subscript"/>
          <w:lang w:val="es-ES"/>
        </w:rPr>
        <w:tab/>
      </w:r>
      <w:r w:rsidRPr="00351F0F">
        <w:rPr>
          <w:b/>
          <w:lang w:val="es-ES"/>
        </w:rPr>
        <w:t xml:space="preserve">= [Max (0.001, </w:t>
      </w:r>
      <w:r w:rsidRPr="003C613A">
        <w:rPr>
          <w:noProof/>
          <w:position w:val="-18"/>
        </w:rPr>
        <w:drawing>
          <wp:inline distT="0" distB="0" distL="0" distR="0" wp14:anchorId="726575F9" wp14:editId="396BCEE3">
            <wp:extent cx="142875" cy="266700"/>
            <wp:effectExtent l="0" t="0" r="9525" b="0"/>
            <wp:docPr id="42"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Pr>
          <w:b/>
          <w:lang w:val="es-ES"/>
        </w:rPr>
        <w:t>BP</w:t>
      </w:r>
      <w:r w:rsidRPr="00A3608E">
        <w:rPr>
          <w:b/>
          <w:bCs/>
          <w:i/>
          <w:iCs/>
          <w:vertAlign w:val="subscript"/>
          <w:lang w:val="es-ES"/>
        </w:rPr>
        <w:t xml:space="preserve"> r,</w:t>
      </w:r>
      <w:r w:rsidRPr="000D15B1">
        <w:rPr>
          <w:b/>
          <w:i/>
          <w:iCs/>
          <w:vertAlign w:val="subscript"/>
          <w:lang w:val="es-ES"/>
        </w:rPr>
        <w:t xml:space="preserve"> y</w:t>
      </w:r>
      <w:r w:rsidRPr="000D15B1">
        <w:rPr>
          <w:b/>
          <w:lang w:val="es-ES"/>
        </w:rPr>
        <w:t xml:space="preserve">) * TLMP </w:t>
      </w:r>
      <w:r w:rsidRPr="00351F0F">
        <w:rPr>
          <w:b/>
          <w:i/>
          <w:iCs/>
          <w:vertAlign w:val="subscript"/>
          <w:lang w:val="es-ES"/>
        </w:rPr>
        <w:t>y</w:t>
      </w:r>
      <w:r w:rsidRPr="00351F0F">
        <w:rPr>
          <w:b/>
          <w:lang w:val="es-ES"/>
        </w:rPr>
        <w:t>]</w:t>
      </w:r>
      <w:r>
        <w:rPr>
          <w:b/>
          <w:lang w:val="es-ES"/>
        </w:rPr>
        <w:t xml:space="preserve"> / </w:t>
      </w:r>
    </w:p>
    <w:p w14:paraId="014EE085" w14:textId="77777777" w:rsidR="004E4B05" w:rsidRDefault="004E4B05" w:rsidP="004E4B05">
      <w:pPr>
        <w:spacing w:after="240"/>
        <w:ind w:firstLine="720"/>
        <w:rPr>
          <w:b/>
          <w:lang w:val="es-ES"/>
        </w:rPr>
      </w:pPr>
      <w:r>
        <w:rPr>
          <w:b/>
          <w:lang w:val="es-ES"/>
        </w:rPr>
        <w:tab/>
      </w:r>
      <w:r>
        <w:rPr>
          <w:b/>
          <w:lang w:val="es-ES"/>
        </w:rPr>
        <w:tab/>
      </w:r>
      <w:r>
        <w:rPr>
          <w:b/>
          <w:lang w:val="es-ES"/>
        </w:rPr>
        <w:tab/>
      </w:r>
      <w:r w:rsidRPr="00351F0F">
        <w:rPr>
          <w:b/>
          <w:lang w:val="es-ES"/>
        </w:rPr>
        <w:t>[</w:t>
      </w:r>
      <w:r w:rsidRPr="003C613A">
        <w:rPr>
          <w:rFonts w:ascii="Times New Roman Bold" w:hAnsi="Times New Roman Bold"/>
          <w:b/>
          <w:noProof/>
          <w:position w:val="-18"/>
        </w:rPr>
        <w:drawing>
          <wp:inline distT="0" distB="0" distL="0" distR="0" wp14:anchorId="77ECB700" wp14:editId="4F35615A">
            <wp:extent cx="142875" cy="295275"/>
            <wp:effectExtent l="0" t="0" r="9525" b="9525"/>
            <wp:docPr id="43"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D15B1">
        <w:rPr>
          <w:b/>
          <w:lang w:val="es-ES"/>
        </w:rPr>
        <w:t xml:space="preserve">Max (0.001, </w:t>
      </w:r>
      <w:r w:rsidRPr="003C613A">
        <w:rPr>
          <w:noProof/>
          <w:position w:val="-18"/>
        </w:rPr>
        <w:drawing>
          <wp:inline distT="0" distB="0" distL="0" distR="0" wp14:anchorId="4DE49854" wp14:editId="55B4B82A">
            <wp:extent cx="142875" cy="266700"/>
            <wp:effectExtent l="0" t="0" r="9525" b="0"/>
            <wp:docPr id="44"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0D15B1">
        <w:rPr>
          <w:b/>
          <w:lang w:val="es-ES"/>
        </w:rPr>
        <w:t xml:space="preserve"> </w:t>
      </w:r>
      <w:r>
        <w:rPr>
          <w:b/>
          <w:lang w:val="es-ES"/>
        </w:rPr>
        <w:t>BP</w:t>
      </w:r>
      <w:r w:rsidRPr="00A3608E">
        <w:rPr>
          <w:b/>
          <w:i/>
          <w:iCs/>
          <w:vertAlign w:val="subscript"/>
          <w:lang w:val="es-ES"/>
        </w:rPr>
        <w:t xml:space="preserve"> </w:t>
      </w:r>
      <w:r w:rsidRPr="00A3608E">
        <w:rPr>
          <w:b/>
          <w:bCs/>
          <w:i/>
          <w:iCs/>
          <w:vertAlign w:val="subscript"/>
          <w:lang w:val="es-ES"/>
        </w:rPr>
        <w:t>r,</w:t>
      </w:r>
      <w:r w:rsidRPr="00A3608E">
        <w:rPr>
          <w:b/>
          <w:i/>
          <w:iCs/>
          <w:vertAlign w:val="subscript"/>
          <w:lang w:val="es-ES"/>
        </w:rPr>
        <w:t xml:space="preserve"> y</w:t>
      </w:r>
      <w:r w:rsidRPr="00A3608E">
        <w:rPr>
          <w:b/>
          <w:lang w:val="es-ES"/>
        </w:rPr>
        <w:t>)</w:t>
      </w:r>
      <w:r w:rsidRPr="00351F0F">
        <w:rPr>
          <w:b/>
          <w:lang w:val="es-ES"/>
        </w:rPr>
        <w:t xml:space="preserve"> * TLMP </w:t>
      </w:r>
      <w:r w:rsidRPr="00351F0F">
        <w:rPr>
          <w:b/>
          <w:i/>
          <w:iCs/>
          <w:vertAlign w:val="subscript"/>
          <w:lang w:val="es-ES"/>
        </w:rPr>
        <w:t>y</w:t>
      </w:r>
      <w:r w:rsidRPr="00351F0F">
        <w:rPr>
          <w:b/>
          <w:lang w:val="es-ES"/>
        </w:rPr>
        <w:t>]</w:t>
      </w:r>
    </w:p>
    <w:p w14:paraId="4A081007" w14:textId="77777777" w:rsidR="004E4B05" w:rsidRPr="0080555B" w:rsidRDefault="004E4B05" w:rsidP="004E4B05">
      <w:pPr>
        <w:spacing w:after="240"/>
      </w:pPr>
      <w:r w:rsidRPr="0080555B">
        <w:lastRenderedPageBreak/>
        <w:t>Where:</w:t>
      </w:r>
    </w:p>
    <w:p w14:paraId="325BC1D9" w14:textId="77777777" w:rsidR="004E4B05" w:rsidRDefault="004E4B05" w:rsidP="004E4B05">
      <w:pPr>
        <w:spacing w:after="240"/>
        <w:ind w:left="720"/>
      </w:pPr>
      <w:r w:rsidRPr="0080555B">
        <w:t>RTRSVPOR =</w:t>
      </w:r>
      <w:r w:rsidRPr="0080555B">
        <w:tab/>
      </w:r>
      <w:r w:rsidRPr="0080555B">
        <w:tab/>
      </w:r>
      <w:r w:rsidRPr="003C613A">
        <w:rPr>
          <w:rFonts w:ascii="Times New Roman Bold" w:hAnsi="Times New Roman Bold"/>
          <w:noProof/>
          <w:position w:val="-18"/>
        </w:rPr>
        <w:drawing>
          <wp:inline distT="0" distB="0" distL="0" distR="0" wp14:anchorId="110A0172" wp14:editId="47E63241">
            <wp:extent cx="142875" cy="295275"/>
            <wp:effectExtent l="0" t="0" r="9525" b="9525"/>
            <wp:docPr id="45"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0555B">
        <w:t xml:space="preserve">(RNWF </w:t>
      </w:r>
      <w:r w:rsidRPr="0080555B">
        <w:rPr>
          <w:i/>
          <w:iCs/>
          <w:vertAlign w:val="subscript"/>
        </w:rPr>
        <w:t xml:space="preserve"> y </w:t>
      </w:r>
      <w:r w:rsidRPr="0080555B">
        <w:t>* RTORPA</w:t>
      </w:r>
      <w:r w:rsidRPr="0080555B">
        <w:rPr>
          <w:i/>
          <w:iCs/>
          <w:vertAlign w:val="subscript"/>
        </w:rPr>
        <w:t xml:space="preserve"> y</w:t>
      </w:r>
      <w:r w:rsidRPr="0080555B">
        <w:t>)</w:t>
      </w:r>
    </w:p>
    <w:p w14:paraId="052876F4" w14:textId="77777777" w:rsidR="004E4B05" w:rsidRPr="0080555B" w:rsidRDefault="004E4B05" w:rsidP="004E4B05">
      <w:pPr>
        <w:spacing w:after="240"/>
        <w:ind w:left="720"/>
      </w:pPr>
      <w:r w:rsidRPr="00193B05">
        <w:t>RTRDP =</w:t>
      </w:r>
      <w:r w:rsidRPr="00193B05">
        <w:tab/>
      </w:r>
      <w:r>
        <w:tab/>
      </w:r>
      <w:r w:rsidRPr="00193B05">
        <w:rPr>
          <w:position w:val="-22"/>
        </w:rPr>
        <w:object w:dxaOrig="225" w:dyaOrig="465" w14:anchorId="00509A80">
          <v:shape id="_x0000_i1135" type="#_x0000_t75" style="width:12pt;height:18pt" o:ole="">
            <v:imagedata r:id="rId22" o:title=""/>
          </v:shape>
          <o:OLEObject Type="Embed" ProgID="Equation.3" ShapeID="_x0000_i1135" DrawAspect="Content" ObjectID="_1815025325" r:id="rId149"/>
        </w:object>
      </w:r>
      <w:r w:rsidRPr="00193B05">
        <w:t xml:space="preserve">(RNWF </w:t>
      </w:r>
      <w:r w:rsidRPr="00193B05">
        <w:rPr>
          <w:i/>
          <w:iCs/>
          <w:vertAlign w:val="subscript"/>
        </w:rPr>
        <w:t xml:space="preserve"> y </w:t>
      </w:r>
      <w:r w:rsidRPr="00193B05">
        <w:t>* RTORDPA</w:t>
      </w:r>
      <w:r w:rsidRPr="00193B05">
        <w:rPr>
          <w:i/>
          <w:iCs/>
          <w:vertAlign w:val="subscript"/>
        </w:rPr>
        <w:t xml:space="preserve"> y</w:t>
      </w:r>
      <w:r w:rsidRPr="00193B05">
        <w:t>)</w:t>
      </w:r>
    </w:p>
    <w:p w14:paraId="7C682F4D" w14:textId="77777777" w:rsidR="004E4B05" w:rsidRPr="003C650E" w:rsidRDefault="004E4B05" w:rsidP="004E4B05">
      <w:pPr>
        <w:spacing w:after="240"/>
        <w:ind w:firstLine="720"/>
      </w:pPr>
      <w:r w:rsidRPr="0080555B">
        <w:t xml:space="preserve">RNWF </w:t>
      </w:r>
      <w:r w:rsidRPr="0080555B">
        <w:rPr>
          <w:i/>
          <w:vertAlign w:val="subscript"/>
        </w:rPr>
        <w:t>y</w:t>
      </w:r>
      <w:r>
        <w:rPr>
          <w:i/>
          <w:vertAlign w:val="subscript"/>
        </w:rPr>
        <w:t xml:space="preserve"> </w:t>
      </w:r>
      <w:r w:rsidRPr="0080555B">
        <w:t>=</w:t>
      </w:r>
      <w:r w:rsidRPr="0080555B">
        <w:tab/>
      </w:r>
      <w:r w:rsidRPr="0080555B">
        <w:tab/>
        <w:t xml:space="preserve">TLMP </w:t>
      </w:r>
      <w:r w:rsidRPr="0080555B">
        <w:rPr>
          <w:i/>
          <w:vertAlign w:val="subscript"/>
        </w:rPr>
        <w:t>y</w:t>
      </w:r>
      <w:r w:rsidRPr="0080555B">
        <w:t xml:space="preserve"> </w:t>
      </w:r>
      <w:r w:rsidRPr="0080555B">
        <w:rPr>
          <w:color w:val="000000"/>
          <w:sz w:val="32"/>
          <w:szCs w:val="32"/>
        </w:rPr>
        <w:t>/</w:t>
      </w:r>
      <w:r w:rsidRPr="0080555B">
        <w:rPr>
          <w:color w:val="000000"/>
        </w:rPr>
        <w:t xml:space="preserve"> </w:t>
      </w:r>
      <w:r w:rsidRPr="0080555B">
        <w:rPr>
          <w:position w:val="-22"/>
        </w:rPr>
        <w:object w:dxaOrig="225" w:dyaOrig="465" w14:anchorId="2F43DB9F">
          <v:shape id="_x0000_i1136" type="#_x0000_t75" style="width:12pt;height:18pt" o:ole="">
            <v:imagedata r:id="rId22" o:title=""/>
          </v:shape>
          <o:OLEObject Type="Embed" ProgID="Equation.3" ShapeID="_x0000_i1136" DrawAspect="Content" ObjectID="_1815025326" r:id="rId150"/>
        </w:object>
      </w:r>
      <w:r w:rsidRPr="0080555B">
        <w:t xml:space="preserve">TLMP </w:t>
      </w:r>
      <w:r w:rsidRPr="0080555B">
        <w:rPr>
          <w:i/>
          <w:vertAlign w:val="subscript"/>
        </w:rPr>
        <w:t>y</w:t>
      </w:r>
    </w:p>
    <w:p w14:paraId="43EB93CF" w14:textId="77777777" w:rsidR="004E4B05" w:rsidRDefault="004E4B05" w:rsidP="004E4B05">
      <w:pPr>
        <w:pStyle w:val="BodyTextNumbered"/>
        <w:spacing w:before="120"/>
        <w:ind w:firstLine="0"/>
      </w:pPr>
      <w:r w:rsidRPr="00351F0F">
        <w:t xml:space="preserve">The summation is over all </w:t>
      </w:r>
      <w:r>
        <w:t>ESR Load</w:t>
      </w:r>
      <w:r w:rsidRPr="00351F0F">
        <w:t xml:space="preserve"> </w:t>
      </w:r>
      <w:r w:rsidRPr="00351F0F">
        <w:rPr>
          <w:i/>
        </w:rPr>
        <w:t>r</w:t>
      </w:r>
      <w:r w:rsidRPr="00351F0F">
        <w:t xml:space="preserve"> associated to the individual meter</w:t>
      </w:r>
      <w:r w:rsidRPr="000D15B1">
        <w:t>.</w:t>
      </w:r>
      <w:r>
        <w:t xml:space="preserve">  The determination of which Resources are associated to an individual meter is static and based on the normal system configuration of the generation site code, </w:t>
      </w:r>
      <w:r>
        <w:rPr>
          <w:i/>
        </w:rPr>
        <w:t>gsc</w:t>
      </w:r>
      <w:r>
        <w:t>.</w:t>
      </w:r>
    </w:p>
    <w:p w14:paraId="3F924956" w14:textId="77777777" w:rsidR="004E4B05" w:rsidRDefault="004E4B05" w:rsidP="004E4B05">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768"/>
        <w:gridCol w:w="1006"/>
        <w:gridCol w:w="5576"/>
      </w:tblGrid>
      <w:tr w:rsidR="004E4B05" w14:paraId="3AD28719" w14:textId="77777777" w:rsidTr="00806724">
        <w:trPr>
          <w:cantSplit/>
          <w:tblHeader/>
        </w:trPr>
        <w:tc>
          <w:tcPr>
            <w:tcW w:w="1480" w:type="pct"/>
          </w:tcPr>
          <w:p w14:paraId="6A14399D" w14:textId="77777777" w:rsidR="004E4B05" w:rsidRDefault="004E4B05" w:rsidP="004E4B05">
            <w:pPr>
              <w:pStyle w:val="TableHead"/>
            </w:pPr>
            <w:r>
              <w:t>Variable</w:t>
            </w:r>
          </w:p>
        </w:tc>
        <w:tc>
          <w:tcPr>
            <w:tcW w:w="538" w:type="pct"/>
          </w:tcPr>
          <w:p w14:paraId="24F31FEB" w14:textId="77777777" w:rsidR="004E4B05" w:rsidRDefault="004E4B05" w:rsidP="004E4B05">
            <w:pPr>
              <w:pStyle w:val="TableHead"/>
            </w:pPr>
            <w:r>
              <w:t>Unit</w:t>
            </w:r>
          </w:p>
        </w:tc>
        <w:tc>
          <w:tcPr>
            <w:tcW w:w="2982" w:type="pct"/>
          </w:tcPr>
          <w:p w14:paraId="1E1C32B8" w14:textId="77777777" w:rsidR="004E4B05" w:rsidRDefault="004E4B05" w:rsidP="004E4B05">
            <w:pPr>
              <w:pStyle w:val="TableHead"/>
            </w:pPr>
            <w:r>
              <w:t>Description</w:t>
            </w:r>
          </w:p>
        </w:tc>
      </w:tr>
      <w:tr w:rsidR="004E4B05" w14:paraId="1392BFD2" w14:textId="77777777" w:rsidTr="00806724">
        <w:trPr>
          <w:cantSplit/>
        </w:trPr>
        <w:tc>
          <w:tcPr>
            <w:tcW w:w="1480" w:type="pct"/>
          </w:tcPr>
          <w:p w14:paraId="3995A426" w14:textId="77777777" w:rsidR="004E4B05" w:rsidRDefault="004E4B05" w:rsidP="004E4B05">
            <w:pPr>
              <w:pStyle w:val="tablebody0"/>
            </w:pPr>
            <w:r>
              <w:t xml:space="preserve">RTLMP </w:t>
            </w:r>
            <w:r w:rsidRPr="00107CC2">
              <w:rPr>
                <w:i/>
                <w:vertAlign w:val="subscript"/>
              </w:rPr>
              <w:t>b, y</w:t>
            </w:r>
          </w:p>
        </w:tc>
        <w:tc>
          <w:tcPr>
            <w:tcW w:w="538" w:type="pct"/>
          </w:tcPr>
          <w:p w14:paraId="3CC70605" w14:textId="77777777" w:rsidR="004E4B05" w:rsidRDefault="004E4B05" w:rsidP="004E4B05">
            <w:pPr>
              <w:pStyle w:val="tablebody0"/>
            </w:pPr>
            <w:r>
              <w:t>$/MWh</w:t>
            </w:r>
          </w:p>
        </w:tc>
        <w:tc>
          <w:tcPr>
            <w:tcW w:w="2982" w:type="pct"/>
          </w:tcPr>
          <w:p w14:paraId="3A3EBAD8" w14:textId="77777777" w:rsidR="004E4B05" w:rsidRDefault="004E4B05" w:rsidP="004E4B05">
            <w:pPr>
              <w:pStyle w:val="tablebody0"/>
            </w:pPr>
            <w:r>
              <w:rPr>
                <w:i/>
              </w:rPr>
              <w:t>Real-Time Locational Marginal Price at bus per interval</w:t>
            </w:r>
            <w:r>
              <w:sym w:font="Symbol" w:char="F0BE"/>
            </w:r>
            <w:r>
              <w:t xml:space="preserve">The Real-Time LMP for the meter at Electrical Bus </w:t>
            </w:r>
            <w:r>
              <w:rPr>
                <w:i/>
              </w:rPr>
              <w:t>b</w:t>
            </w:r>
            <w:r>
              <w:t xml:space="preserve">, for the SCED interval </w:t>
            </w:r>
            <w:r>
              <w:rPr>
                <w:i/>
              </w:rPr>
              <w:t>y</w:t>
            </w:r>
            <w:r>
              <w:t>.</w:t>
            </w:r>
          </w:p>
        </w:tc>
      </w:tr>
      <w:tr w:rsidR="004E4B05" w14:paraId="63FE5A67" w14:textId="77777777" w:rsidTr="00806724">
        <w:trPr>
          <w:cantSplit/>
        </w:trPr>
        <w:tc>
          <w:tcPr>
            <w:tcW w:w="1480" w:type="pct"/>
          </w:tcPr>
          <w:p w14:paraId="7FD59C79" w14:textId="77777777" w:rsidR="004E4B05" w:rsidRDefault="004E4B05" w:rsidP="004E4B05">
            <w:pPr>
              <w:pStyle w:val="tablebody0"/>
            </w:pPr>
            <w:r>
              <w:t xml:space="preserve">TLMP </w:t>
            </w:r>
            <w:r w:rsidRPr="00107CC2">
              <w:rPr>
                <w:i/>
                <w:vertAlign w:val="subscript"/>
              </w:rPr>
              <w:t>y</w:t>
            </w:r>
          </w:p>
        </w:tc>
        <w:tc>
          <w:tcPr>
            <w:tcW w:w="538" w:type="pct"/>
          </w:tcPr>
          <w:p w14:paraId="40E0CF35" w14:textId="77777777" w:rsidR="004E4B05" w:rsidRDefault="004E4B05" w:rsidP="004E4B05">
            <w:pPr>
              <w:pStyle w:val="tablebody0"/>
              <w:rPr>
                <w:iCs/>
              </w:rPr>
            </w:pPr>
            <w:r>
              <w:t>second</w:t>
            </w:r>
          </w:p>
        </w:tc>
        <w:tc>
          <w:tcPr>
            <w:tcW w:w="2982" w:type="pct"/>
          </w:tcPr>
          <w:p w14:paraId="0B7A0AD6" w14:textId="77777777" w:rsidR="004E4B05" w:rsidRDefault="004E4B05" w:rsidP="004E4B05">
            <w:pPr>
              <w:pStyle w:val="tablebody0"/>
            </w:pPr>
            <w:r>
              <w:rPr>
                <w:i/>
                <w:iCs/>
              </w:rPr>
              <w:t xml:space="preserve">Duration of </w:t>
            </w:r>
            <w:r>
              <w:rPr>
                <w:i/>
              </w:rPr>
              <w:t>SCED</w:t>
            </w:r>
            <w:r>
              <w:rPr>
                <w:i/>
                <w:iCs/>
              </w:rPr>
              <w:t xml:space="preserve"> interval per interval</w:t>
            </w:r>
            <w:r>
              <w:sym w:font="Symbol" w:char="F0BE"/>
            </w:r>
            <w:r>
              <w:t xml:space="preserve">The duration of the SCED interval </w:t>
            </w:r>
            <w:r>
              <w:rPr>
                <w:i/>
                <w:iCs/>
              </w:rPr>
              <w:t>y</w:t>
            </w:r>
            <w:r>
              <w:t>.</w:t>
            </w:r>
          </w:p>
        </w:tc>
      </w:tr>
      <w:tr w:rsidR="004E4B05" w14:paraId="741E3F51" w14:textId="77777777" w:rsidTr="00806724">
        <w:trPr>
          <w:cantSplit/>
        </w:trPr>
        <w:tc>
          <w:tcPr>
            <w:tcW w:w="1480" w:type="pct"/>
          </w:tcPr>
          <w:p w14:paraId="2FDF1722" w14:textId="77777777" w:rsidR="004E4B05" w:rsidRPr="004368B4" w:rsidRDefault="004E4B05" w:rsidP="004E4B05">
            <w:pPr>
              <w:pStyle w:val="tablebody0"/>
            </w:pPr>
            <w:r w:rsidRPr="0080555B">
              <w:t>RTRSVPOR</w:t>
            </w:r>
          </w:p>
        </w:tc>
        <w:tc>
          <w:tcPr>
            <w:tcW w:w="538" w:type="pct"/>
          </w:tcPr>
          <w:p w14:paraId="1C87348B" w14:textId="77777777" w:rsidR="004E4B05" w:rsidRPr="004368B4" w:rsidRDefault="004E4B05" w:rsidP="004E4B05">
            <w:pPr>
              <w:pStyle w:val="tablebody0"/>
            </w:pPr>
            <w:r w:rsidRPr="0080555B">
              <w:t>$/MWh</w:t>
            </w:r>
          </w:p>
        </w:tc>
        <w:tc>
          <w:tcPr>
            <w:tcW w:w="2982" w:type="pct"/>
          </w:tcPr>
          <w:p w14:paraId="09F76D06" w14:textId="77777777" w:rsidR="004E4B05" w:rsidRPr="00351F0F" w:rsidRDefault="004E4B05" w:rsidP="004E4B05">
            <w:pPr>
              <w:pStyle w:val="tablebody0"/>
              <w:rPr>
                <w:i/>
              </w:rPr>
            </w:pPr>
            <w:r w:rsidRPr="0080555B">
              <w:rPr>
                <w:i/>
              </w:rPr>
              <w:t>Real-Time Reserve Price for On-Line Reserves</w:t>
            </w:r>
            <w:r w:rsidRPr="0080555B">
              <w:sym w:font="Symbol" w:char="F0BE"/>
            </w:r>
            <w:r w:rsidRPr="0080555B">
              <w:t>The Real-Time Reserve Price for On-Line Reserves for the 15-minute Settlement Interval.</w:t>
            </w:r>
          </w:p>
        </w:tc>
      </w:tr>
      <w:tr w:rsidR="004E4B05" w14:paraId="4AD1D91B" w14:textId="77777777" w:rsidTr="00806724">
        <w:trPr>
          <w:cantSplit/>
        </w:trPr>
        <w:tc>
          <w:tcPr>
            <w:tcW w:w="1480" w:type="pct"/>
          </w:tcPr>
          <w:p w14:paraId="476FF2D9" w14:textId="77777777" w:rsidR="004E4B05" w:rsidRPr="004368B4" w:rsidRDefault="004E4B05" w:rsidP="004E4B05">
            <w:pPr>
              <w:pStyle w:val="tablebody0"/>
            </w:pPr>
            <w:r w:rsidRPr="0080555B">
              <w:t>RTORPA</w:t>
            </w:r>
            <w:r w:rsidRPr="0080555B">
              <w:rPr>
                <w:vertAlign w:val="subscript"/>
              </w:rPr>
              <w:t xml:space="preserve"> </w:t>
            </w:r>
            <w:r w:rsidRPr="00107CC2">
              <w:rPr>
                <w:i/>
                <w:vertAlign w:val="subscript"/>
              </w:rPr>
              <w:t>y</w:t>
            </w:r>
          </w:p>
        </w:tc>
        <w:tc>
          <w:tcPr>
            <w:tcW w:w="538" w:type="pct"/>
          </w:tcPr>
          <w:p w14:paraId="2CC44261" w14:textId="77777777" w:rsidR="004E4B05" w:rsidRPr="004368B4" w:rsidRDefault="004E4B05" w:rsidP="004E4B05">
            <w:pPr>
              <w:pStyle w:val="tablebody0"/>
            </w:pPr>
            <w:r w:rsidRPr="0080555B">
              <w:t>$/MWh</w:t>
            </w:r>
          </w:p>
        </w:tc>
        <w:tc>
          <w:tcPr>
            <w:tcW w:w="2982" w:type="pct"/>
          </w:tcPr>
          <w:p w14:paraId="00334B06" w14:textId="77777777" w:rsidR="004E4B05" w:rsidRPr="00351F0F" w:rsidRDefault="004E4B05" w:rsidP="004E4B05">
            <w:pPr>
              <w:pStyle w:val="tablebody0"/>
              <w:rPr>
                <w:i/>
              </w:rPr>
            </w:pPr>
            <w:r w:rsidRPr="0080555B">
              <w:rPr>
                <w:i/>
              </w:rPr>
              <w:t>Real-Time On-Line Reserve Price Adder per interval</w:t>
            </w:r>
            <w:r w:rsidRPr="0080555B">
              <w:sym w:font="Symbol" w:char="F0BE"/>
            </w:r>
            <w:r w:rsidRPr="0080555B">
              <w:t xml:space="preserve">The Real-Time On-Line Reserve Price Adder for the SCED interval </w:t>
            </w:r>
            <w:r w:rsidRPr="0080555B">
              <w:rPr>
                <w:i/>
              </w:rPr>
              <w:t>y</w:t>
            </w:r>
            <w:r w:rsidRPr="0080555B">
              <w:t>.</w:t>
            </w:r>
          </w:p>
        </w:tc>
      </w:tr>
      <w:tr w:rsidR="004E4B05" w14:paraId="29691EF3" w14:textId="77777777" w:rsidTr="00806724">
        <w:trPr>
          <w:cantSplit/>
        </w:trPr>
        <w:tc>
          <w:tcPr>
            <w:tcW w:w="1480" w:type="pct"/>
          </w:tcPr>
          <w:p w14:paraId="6F82B5ED" w14:textId="77777777" w:rsidR="004E4B05" w:rsidRPr="0080555B" w:rsidRDefault="004E4B05" w:rsidP="004E4B05">
            <w:pPr>
              <w:pStyle w:val="tablebody0"/>
            </w:pPr>
            <w:r>
              <w:t>RTRDP</w:t>
            </w:r>
          </w:p>
        </w:tc>
        <w:tc>
          <w:tcPr>
            <w:tcW w:w="538" w:type="pct"/>
          </w:tcPr>
          <w:p w14:paraId="048A3A84" w14:textId="77777777" w:rsidR="004E4B05" w:rsidRPr="0080555B" w:rsidRDefault="004E4B05" w:rsidP="004E4B05">
            <w:pPr>
              <w:pStyle w:val="tablebody0"/>
            </w:pPr>
            <w:r>
              <w:t>$/MWh</w:t>
            </w:r>
          </w:p>
        </w:tc>
        <w:tc>
          <w:tcPr>
            <w:tcW w:w="2982" w:type="pct"/>
          </w:tcPr>
          <w:p w14:paraId="45F37F58" w14:textId="11C3CFD3" w:rsidR="004E4B05" w:rsidRPr="0080555B" w:rsidRDefault="004E4B05" w:rsidP="004E4B05">
            <w:pPr>
              <w:pStyle w:val="tablebody0"/>
              <w:rPr>
                <w:i/>
              </w:rPr>
            </w:pPr>
            <w:r>
              <w:rPr>
                <w:i/>
              </w:rPr>
              <w:t xml:space="preserve">Real-Time On-Line Reliability Deployment Price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w:t>
            </w:r>
            <w:r w:rsidR="00C22DE9">
              <w:rPr>
                <w:bCs/>
              </w:rPr>
              <w:t>T</w:t>
            </w:r>
            <w:r>
              <w:rPr>
                <w:bCs/>
              </w:rPr>
              <w:t>ime On-Line Reliability Deployment Price Adder</w:t>
            </w:r>
            <w:r w:rsidRPr="0080555B">
              <w:t>.</w:t>
            </w:r>
          </w:p>
        </w:tc>
      </w:tr>
      <w:tr w:rsidR="004E4B05" w14:paraId="5F5D896E" w14:textId="77777777" w:rsidTr="00806724">
        <w:trPr>
          <w:cantSplit/>
        </w:trPr>
        <w:tc>
          <w:tcPr>
            <w:tcW w:w="1480" w:type="pct"/>
          </w:tcPr>
          <w:p w14:paraId="40D50ACC" w14:textId="77777777" w:rsidR="004E4B05" w:rsidRPr="0080555B" w:rsidRDefault="004E4B05" w:rsidP="004E4B05">
            <w:pPr>
              <w:pStyle w:val="tablebody0"/>
            </w:pPr>
            <w:r>
              <w:t>RTORDPA</w:t>
            </w:r>
            <w:r w:rsidRPr="00CE4C14">
              <w:rPr>
                <w:vertAlign w:val="subscript"/>
              </w:rPr>
              <w:t xml:space="preserve"> </w:t>
            </w:r>
            <w:r w:rsidRPr="00107CC2">
              <w:rPr>
                <w:i/>
                <w:vertAlign w:val="subscript"/>
              </w:rPr>
              <w:t>y</w:t>
            </w:r>
          </w:p>
        </w:tc>
        <w:tc>
          <w:tcPr>
            <w:tcW w:w="538" w:type="pct"/>
          </w:tcPr>
          <w:p w14:paraId="480C08A1" w14:textId="77777777" w:rsidR="004E4B05" w:rsidRPr="0080555B" w:rsidRDefault="004E4B05" w:rsidP="004E4B05">
            <w:pPr>
              <w:pStyle w:val="tablebody0"/>
            </w:pPr>
            <w:r>
              <w:t>$/MWh</w:t>
            </w:r>
          </w:p>
        </w:tc>
        <w:tc>
          <w:tcPr>
            <w:tcW w:w="2982" w:type="pct"/>
          </w:tcPr>
          <w:p w14:paraId="10B3DE22" w14:textId="77777777" w:rsidR="004E4B05" w:rsidRPr="0080555B" w:rsidRDefault="004E4B05" w:rsidP="004E4B05">
            <w:pPr>
              <w:pStyle w:val="tablebody0"/>
              <w:rPr>
                <w:i/>
              </w:rPr>
            </w:pPr>
            <w:r>
              <w:rPr>
                <w:i/>
              </w:rPr>
              <w:t xml:space="preserve">Real-Time On-Line Reliability Deployment Price Adder </w:t>
            </w:r>
            <w:r w:rsidRPr="00CE4C14">
              <w:sym w:font="Symbol" w:char="F0BE"/>
            </w:r>
            <w:r>
              <w:t>The Real-Time Price Adder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4E4B05" w14:paraId="40D38A16" w14:textId="77777777" w:rsidTr="00806724">
        <w:trPr>
          <w:cantSplit/>
        </w:trPr>
        <w:tc>
          <w:tcPr>
            <w:tcW w:w="1480" w:type="pct"/>
          </w:tcPr>
          <w:p w14:paraId="226E1AF4" w14:textId="77777777" w:rsidR="004E4B05" w:rsidRPr="004368B4" w:rsidRDefault="004E4B05" w:rsidP="004E4B05">
            <w:pPr>
              <w:pStyle w:val="tablebody0"/>
            </w:pPr>
            <w:r w:rsidRPr="0080555B">
              <w:t xml:space="preserve">RNWF </w:t>
            </w:r>
            <w:r w:rsidRPr="00107CC2">
              <w:rPr>
                <w:i/>
                <w:vertAlign w:val="subscript"/>
              </w:rPr>
              <w:t>y</w:t>
            </w:r>
          </w:p>
        </w:tc>
        <w:tc>
          <w:tcPr>
            <w:tcW w:w="538" w:type="pct"/>
          </w:tcPr>
          <w:p w14:paraId="750CBBE2" w14:textId="77777777" w:rsidR="004E4B05" w:rsidRPr="004368B4" w:rsidRDefault="004E4B05" w:rsidP="004E4B05">
            <w:pPr>
              <w:pStyle w:val="tablebody0"/>
            </w:pPr>
            <w:r w:rsidRPr="0080555B">
              <w:t>none</w:t>
            </w:r>
          </w:p>
        </w:tc>
        <w:tc>
          <w:tcPr>
            <w:tcW w:w="2982" w:type="pct"/>
          </w:tcPr>
          <w:p w14:paraId="0490C49E" w14:textId="77777777" w:rsidR="004E4B05" w:rsidRPr="00351F0F" w:rsidRDefault="004E4B05" w:rsidP="004E4B05">
            <w:pPr>
              <w:pStyle w:val="tablebody0"/>
              <w:rPr>
                <w:i/>
              </w:rPr>
            </w:pPr>
            <w:r w:rsidRPr="0080555B">
              <w:rPr>
                <w:i/>
              </w:rPr>
              <w:t>Resource Node Weighting Factor per interval</w:t>
            </w:r>
            <w:r w:rsidRPr="0080555B">
              <w:sym w:font="Symbol" w:char="F0BE"/>
            </w:r>
            <w:r w:rsidRPr="0080555B">
              <w:t xml:space="preserve">The weight used in the Resource Node Settlement Point Price calculation for the portion of the SCED interval </w:t>
            </w:r>
            <w:r w:rsidRPr="0080555B">
              <w:rPr>
                <w:i/>
              </w:rPr>
              <w:t>y</w:t>
            </w:r>
            <w:r w:rsidRPr="0080555B">
              <w:t xml:space="preserve"> within the Settlement Interval.</w:t>
            </w:r>
          </w:p>
        </w:tc>
      </w:tr>
      <w:tr w:rsidR="004E4B05" w14:paraId="7F7DD46F" w14:textId="77777777" w:rsidTr="00806724">
        <w:trPr>
          <w:cantSplit/>
        </w:trPr>
        <w:tc>
          <w:tcPr>
            <w:tcW w:w="1480" w:type="pct"/>
          </w:tcPr>
          <w:p w14:paraId="0E6539AC" w14:textId="77777777" w:rsidR="004E4B05" w:rsidRDefault="004E4B05" w:rsidP="004E4B05">
            <w:pPr>
              <w:pStyle w:val="tablebody0"/>
            </w:pPr>
            <w:r w:rsidRPr="004368B4">
              <w:t>MEBL</w:t>
            </w:r>
            <w:r w:rsidRPr="004368B4">
              <w:rPr>
                <w:vertAlign w:val="subscript"/>
              </w:rPr>
              <w:t xml:space="preserve"> </w:t>
            </w:r>
            <w:r w:rsidRPr="00107CC2">
              <w:rPr>
                <w:i/>
                <w:vertAlign w:val="subscript"/>
              </w:rPr>
              <w:t>q,r,b</w:t>
            </w:r>
          </w:p>
        </w:tc>
        <w:tc>
          <w:tcPr>
            <w:tcW w:w="538" w:type="pct"/>
          </w:tcPr>
          <w:p w14:paraId="5C62407E" w14:textId="77777777" w:rsidR="004E4B05" w:rsidRDefault="004E4B05" w:rsidP="004E4B05">
            <w:pPr>
              <w:pStyle w:val="tablebody0"/>
            </w:pPr>
            <w:r w:rsidRPr="004368B4">
              <w:t>MWh</w:t>
            </w:r>
          </w:p>
        </w:tc>
        <w:tc>
          <w:tcPr>
            <w:tcW w:w="2982" w:type="pct"/>
          </w:tcPr>
          <w:p w14:paraId="405106C7" w14:textId="77777777" w:rsidR="004E4B05" w:rsidRDefault="004E4B05" w:rsidP="004E4B05">
            <w:pPr>
              <w:pStyle w:val="tablebody0"/>
              <w:rPr>
                <w:i/>
                <w:iCs/>
              </w:rPr>
            </w:pPr>
            <w:r w:rsidRPr="00351F0F">
              <w:rPr>
                <w:i/>
              </w:rPr>
              <w:t xml:space="preserve">Metered Energy for Wholesale </w:t>
            </w:r>
            <w:r>
              <w:rPr>
                <w:i/>
              </w:rPr>
              <w:t xml:space="preserve">Storage </w:t>
            </w:r>
            <w:r w:rsidRPr="00351F0F">
              <w:rPr>
                <w:i/>
              </w:rPr>
              <w:t>Load at bus</w:t>
            </w:r>
            <w:r w:rsidRPr="00351F0F">
              <w:sym w:font="Symbol" w:char="F0BE"/>
            </w:r>
            <w:r w:rsidRPr="00351F0F">
              <w:t xml:space="preserve">The WSL energy metered by the Settlement Meter which measures WSL for the 15-minute Settlement Interval represented as a negative value, for the QSE </w:t>
            </w:r>
            <w:r w:rsidRPr="00C356D0">
              <w:rPr>
                <w:i/>
              </w:rPr>
              <w:t>q</w:t>
            </w:r>
            <w:r w:rsidRPr="00351F0F">
              <w:t xml:space="preserve">, Resource </w:t>
            </w:r>
            <w:r w:rsidRPr="00C356D0">
              <w:rPr>
                <w:i/>
              </w:rPr>
              <w:t>r</w:t>
            </w:r>
            <w:r w:rsidRPr="00351F0F">
              <w:t xml:space="preserve">, at bus </w:t>
            </w:r>
            <w:r w:rsidRPr="00C356D0">
              <w:rPr>
                <w:i/>
              </w:rPr>
              <w:t>b</w:t>
            </w:r>
            <w:r w:rsidRPr="00351F0F">
              <w:t>.</w:t>
            </w:r>
            <w:r w:rsidRPr="000D15B1">
              <w:t xml:space="preserve">  </w:t>
            </w:r>
          </w:p>
        </w:tc>
      </w:tr>
      <w:tr w:rsidR="004E4B05" w14:paraId="42E3F632" w14:textId="77777777" w:rsidTr="00806724">
        <w:trPr>
          <w:cantSplit/>
        </w:trPr>
        <w:tc>
          <w:tcPr>
            <w:tcW w:w="1480" w:type="pct"/>
          </w:tcPr>
          <w:p w14:paraId="194BA5DB" w14:textId="77777777" w:rsidR="004E4B05" w:rsidRPr="004368B4" w:rsidRDefault="004E4B05" w:rsidP="004E4B05">
            <w:pPr>
              <w:pStyle w:val="tablebody0"/>
            </w:pPr>
            <w:r w:rsidRPr="00067E90">
              <w:t>MEB</w:t>
            </w:r>
            <w:r>
              <w:t>R</w:t>
            </w:r>
            <w:r w:rsidRPr="00067E90">
              <w:t xml:space="preserve"> </w:t>
            </w:r>
            <w:r w:rsidRPr="005106EC">
              <w:rPr>
                <w:i/>
                <w:vertAlign w:val="subscript"/>
              </w:rPr>
              <w:t>q,</w:t>
            </w:r>
            <w:r>
              <w:rPr>
                <w:i/>
                <w:vertAlign w:val="subscript"/>
              </w:rPr>
              <w:t xml:space="preserve"> </w:t>
            </w:r>
            <w:r w:rsidRPr="005106EC">
              <w:rPr>
                <w:i/>
                <w:vertAlign w:val="subscript"/>
              </w:rPr>
              <w:t>r,</w:t>
            </w:r>
            <w:r>
              <w:rPr>
                <w:i/>
                <w:vertAlign w:val="subscript"/>
              </w:rPr>
              <w:t xml:space="preserve"> </w:t>
            </w:r>
            <w:r w:rsidRPr="005106EC">
              <w:rPr>
                <w:i/>
                <w:vertAlign w:val="subscript"/>
              </w:rPr>
              <w:t>b</w:t>
            </w:r>
          </w:p>
        </w:tc>
        <w:tc>
          <w:tcPr>
            <w:tcW w:w="538" w:type="pct"/>
          </w:tcPr>
          <w:p w14:paraId="06267C08" w14:textId="77777777" w:rsidR="004E4B05" w:rsidRPr="004368B4" w:rsidRDefault="004E4B05" w:rsidP="004E4B05">
            <w:pPr>
              <w:pStyle w:val="tablebody0"/>
            </w:pPr>
            <w:r w:rsidRPr="00067E90">
              <w:t>MWh</w:t>
            </w:r>
          </w:p>
        </w:tc>
        <w:tc>
          <w:tcPr>
            <w:tcW w:w="2982" w:type="pct"/>
          </w:tcPr>
          <w:p w14:paraId="0D70FE99" w14:textId="77777777" w:rsidR="004E4B05" w:rsidRPr="00351F0F" w:rsidRDefault="004E4B05" w:rsidP="004E4B05">
            <w:pPr>
              <w:pStyle w:val="tablebody0"/>
              <w:rPr>
                <w:i/>
              </w:rPr>
            </w:pPr>
            <w:r w:rsidRPr="004615F6">
              <w:rPr>
                <w:i/>
              </w:rPr>
              <w:t xml:space="preserve">Metered Energy for </w:t>
            </w:r>
            <w:r w:rsidRPr="00157CEA">
              <w:rPr>
                <w:i/>
              </w:rPr>
              <w:t xml:space="preserve">Energy Storage Resource </w:t>
            </w:r>
            <w:r>
              <w:rPr>
                <w:i/>
              </w:rPr>
              <w:t xml:space="preserve">Load </w:t>
            </w:r>
            <w:r w:rsidRPr="004615F6">
              <w:rPr>
                <w:i/>
              </w:rPr>
              <w:t xml:space="preserve">at Bus </w:t>
            </w:r>
            <w:r w:rsidRPr="00157CEA">
              <w:t xml:space="preserve">- </w:t>
            </w:r>
            <w:r w:rsidRPr="00B3121D">
              <w:t xml:space="preserve">The energy metered by the Settlement Meter which measures </w:t>
            </w:r>
            <w:r>
              <w:t xml:space="preserve">Non-WSL ESR Charging Load </w:t>
            </w:r>
            <w:r w:rsidRPr="00B3121D">
              <w:t xml:space="preserve">for the 15-minute Settlement </w:t>
            </w:r>
            <w:r w:rsidRPr="00B4196C">
              <w:t xml:space="preserve">Interval represented as a negative value, for the QSE </w:t>
            </w:r>
            <w:r w:rsidRPr="00E26485">
              <w:rPr>
                <w:i/>
              </w:rPr>
              <w:t>q</w:t>
            </w:r>
            <w:r w:rsidRPr="00B35E2C">
              <w:t xml:space="preserve">, Resource </w:t>
            </w:r>
            <w:r w:rsidRPr="007045B8">
              <w:rPr>
                <w:i/>
              </w:rPr>
              <w:t>r</w:t>
            </w:r>
            <w:r w:rsidRPr="0031111F">
              <w:t xml:space="preserve">, at bus </w:t>
            </w:r>
            <w:r w:rsidRPr="0007572F">
              <w:rPr>
                <w:i/>
              </w:rPr>
              <w:t>b</w:t>
            </w:r>
            <w:r w:rsidRPr="0007572F">
              <w:t xml:space="preserve">.  </w:t>
            </w:r>
            <w:r w:rsidRPr="00067E90">
              <w:rPr>
                <w:i/>
              </w:rPr>
              <w:t xml:space="preserve"> </w:t>
            </w:r>
          </w:p>
        </w:tc>
      </w:tr>
      <w:tr w:rsidR="004E4B05" w14:paraId="7AA4EB7A" w14:textId="77777777" w:rsidTr="00806724">
        <w:trPr>
          <w:cantSplit/>
        </w:trPr>
        <w:tc>
          <w:tcPr>
            <w:tcW w:w="1480" w:type="pct"/>
          </w:tcPr>
          <w:p w14:paraId="3E68A1FF" w14:textId="77777777" w:rsidR="004E4B05" w:rsidRPr="00D661BC" w:rsidRDefault="004E4B05" w:rsidP="004E4B05">
            <w:pPr>
              <w:pStyle w:val="tablebody0"/>
              <w:rPr>
                <w:i/>
              </w:rPr>
            </w:pPr>
            <w:r>
              <w:t>WSL</w:t>
            </w:r>
            <w:r w:rsidRPr="004368B4">
              <w:t>AMTTOT</w:t>
            </w:r>
            <w:r w:rsidRPr="004368B4">
              <w:rPr>
                <w:vertAlign w:val="subscript"/>
              </w:rPr>
              <w:t xml:space="preserve"> </w:t>
            </w:r>
            <w:r w:rsidRPr="00107CC2">
              <w:rPr>
                <w:i/>
                <w:vertAlign w:val="subscript"/>
              </w:rPr>
              <w:t>q, r, p</w:t>
            </w:r>
          </w:p>
        </w:tc>
        <w:tc>
          <w:tcPr>
            <w:tcW w:w="538" w:type="pct"/>
          </w:tcPr>
          <w:p w14:paraId="4F1B9891" w14:textId="77777777" w:rsidR="004E4B05" w:rsidRDefault="004E4B05" w:rsidP="004E4B05">
            <w:pPr>
              <w:pStyle w:val="tablebody0"/>
            </w:pPr>
            <w:r w:rsidRPr="004368B4">
              <w:t>$</w:t>
            </w:r>
          </w:p>
        </w:tc>
        <w:tc>
          <w:tcPr>
            <w:tcW w:w="2982" w:type="pct"/>
          </w:tcPr>
          <w:p w14:paraId="70B8BFD9" w14:textId="77777777" w:rsidR="004E4B05" w:rsidRDefault="004E4B05" w:rsidP="004E4B05">
            <w:pPr>
              <w:pStyle w:val="tablebody0"/>
            </w:pPr>
            <w:r>
              <w:rPr>
                <w:i/>
              </w:rPr>
              <w:t>Wholesale</w:t>
            </w:r>
            <w:r w:rsidRPr="004368B4">
              <w:rPr>
                <w:i/>
              </w:rPr>
              <w:t xml:space="preserve"> Storage </w:t>
            </w:r>
            <w:r>
              <w:rPr>
                <w:i/>
              </w:rPr>
              <w:t xml:space="preserve">Load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t>WSL</w:t>
            </w:r>
            <w:r w:rsidRPr="00997DBF">
              <w:t xml:space="preserve"> </w:t>
            </w:r>
            <w:r w:rsidRPr="00997DBF">
              <w:rPr>
                <w:iCs/>
              </w:rPr>
              <w:t>for each 15-minute Settlement Interval.</w:t>
            </w:r>
          </w:p>
        </w:tc>
      </w:tr>
      <w:tr w:rsidR="004E4B05" w14:paraId="1A6ACA1E" w14:textId="77777777" w:rsidTr="00806724">
        <w:trPr>
          <w:cantSplit/>
        </w:trPr>
        <w:tc>
          <w:tcPr>
            <w:tcW w:w="1480" w:type="pct"/>
          </w:tcPr>
          <w:p w14:paraId="23EAAD12" w14:textId="77777777" w:rsidR="004E4B05" w:rsidRDefault="004E4B05" w:rsidP="004E4B05">
            <w:pPr>
              <w:pStyle w:val="tablebody0"/>
            </w:pPr>
            <w:r>
              <w:lastRenderedPageBreak/>
              <w:t>ESRNWSL</w:t>
            </w:r>
            <w:r w:rsidRPr="004368B4">
              <w:t>AMTTOT</w:t>
            </w:r>
            <w:r w:rsidRPr="004368B4">
              <w:rPr>
                <w:vertAlign w:val="subscript"/>
              </w:rPr>
              <w:t xml:space="preserve"> </w:t>
            </w:r>
            <w:r w:rsidRPr="00107CC2">
              <w:rPr>
                <w:i/>
                <w:vertAlign w:val="subscript"/>
              </w:rPr>
              <w:t>q, r, p</w:t>
            </w:r>
          </w:p>
        </w:tc>
        <w:tc>
          <w:tcPr>
            <w:tcW w:w="538" w:type="pct"/>
          </w:tcPr>
          <w:p w14:paraId="7CFE47DA" w14:textId="77777777" w:rsidR="004E4B05" w:rsidRPr="004368B4" w:rsidRDefault="004E4B05" w:rsidP="004E4B05">
            <w:pPr>
              <w:pStyle w:val="tablebody0"/>
            </w:pPr>
            <w:r w:rsidRPr="004368B4">
              <w:t>$</w:t>
            </w:r>
          </w:p>
        </w:tc>
        <w:tc>
          <w:tcPr>
            <w:tcW w:w="2982" w:type="pct"/>
          </w:tcPr>
          <w:p w14:paraId="42177EDD" w14:textId="77777777" w:rsidR="004E4B05" w:rsidRDefault="004E4B05" w:rsidP="004E4B05">
            <w:pPr>
              <w:pStyle w:val="tablebody0"/>
              <w:rPr>
                <w:i/>
              </w:rPr>
            </w:pPr>
            <w:r>
              <w:rPr>
                <w:i/>
              </w:rPr>
              <w:t xml:space="preserve">Energy Storage Resource Non-WSL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t xml:space="preserve">Non-WSL ESR Charging Load </w:t>
            </w:r>
            <w:r w:rsidRPr="00997DBF">
              <w:rPr>
                <w:iCs/>
              </w:rPr>
              <w:t>for each 15-minute Settlement Interval.</w:t>
            </w:r>
          </w:p>
        </w:tc>
      </w:tr>
      <w:tr w:rsidR="004E4B05" w14:paraId="1C7F01DD" w14:textId="77777777" w:rsidTr="00806724">
        <w:trPr>
          <w:cantSplit/>
        </w:trPr>
        <w:tc>
          <w:tcPr>
            <w:tcW w:w="1480" w:type="pct"/>
          </w:tcPr>
          <w:p w14:paraId="0DD88E9C" w14:textId="77777777" w:rsidR="004E4B05" w:rsidRPr="00D661BC" w:rsidRDefault="004E4B05" w:rsidP="004E4B05">
            <w:pPr>
              <w:pStyle w:val="tablebody0"/>
              <w:rPr>
                <w:i/>
              </w:rPr>
            </w:pPr>
            <w:r w:rsidRPr="006F7536">
              <w:rPr>
                <w:lang w:val="es-ES"/>
              </w:rPr>
              <w:t>RNWFL</w:t>
            </w:r>
            <w:r w:rsidRPr="005B2B51">
              <w:rPr>
                <w:vertAlign w:val="subscript"/>
              </w:rPr>
              <w:t xml:space="preserve"> </w:t>
            </w:r>
            <w:r w:rsidRPr="00107CC2">
              <w:rPr>
                <w:i/>
                <w:iCs/>
                <w:vertAlign w:val="subscript"/>
                <w:lang w:val="es-ES"/>
              </w:rPr>
              <w:t>b, y</w:t>
            </w:r>
          </w:p>
        </w:tc>
        <w:tc>
          <w:tcPr>
            <w:tcW w:w="538" w:type="pct"/>
          </w:tcPr>
          <w:p w14:paraId="47E3A281" w14:textId="77777777" w:rsidR="004E4B05" w:rsidRDefault="004E4B05" w:rsidP="004E4B05">
            <w:pPr>
              <w:pStyle w:val="tablebody0"/>
            </w:pPr>
            <w:r w:rsidRPr="006F7536">
              <w:t>none</w:t>
            </w:r>
          </w:p>
        </w:tc>
        <w:tc>
          <w:tcPr>
            <w:tcW w:w="2982" w:type="pct"/>
          </w:tcPr>
          <w:p w14:paraId="02DE12AC" w14:textId="77777777" w:rsidR="004E4B05" w:rsidRDefault="004E4B05" w:rsidP="004E4B05">
            <w:pPr>
              <w:pStyle w:val="tablebody0"/>
            </w:pPr>
            <w:r w:rsidRPr="00E91C02">
              <w:rPr>
                <w:i/>
                <w:iCs/>
              </w:rPr>
              <w:t xml:space="preserve">Net meter Weighting Factor per interval </w:t>
            </w:r>
            <w:r w:rsidRPr="00E91C02">
              <w:rPr>
                <w:i/>
              </w:rPr>
              <w:t xml:space="preserve">for the Energy Metered as </w:t>
            </w:r>
            <w:r>
              <w:rPr>
                <w:i/>
              </w:rPr>
              <w:t>Energy</w:t>
            </w:r>
            <w:r w:rsidRPr="00E91C02">
              <w:rPr>
                <w:i/>
              </w:rPr>
              <w:t xml:space="preserve"> Storage</w:t>
            </w:r>
            <w:r>
              <w:rPr>
                <w:i/>
              </w:rPr>
              <w:t xml:space="preserve"> Resource</w:t>
            </w:r>
            <w:r w:rsidRPr="00E91C02">
              <w:rPr>
                <w:i/>
              </w:rPr>
              <w:t xml:space="preserve"> Load</w:t>
            </w:r>
            <w:r w:rsidRPr="00E91C02">
              <w:rPr>
                <w:rFonts w:ascii="Symbol" w:hAnsi="Symbol"/>
              </w:rPr>
              <w:t></w:t>
            </w:r>
            <w:r w:rsidRPr="00E91C02">
              <w:rPr>
                <w:rFonts w:ascii="Symbol" w:hAnsi="Symbol"/>
              </w:rPr>
              <w:t></w:t>
            </w:r>
            <w:r w:rsidRPr="00E91C02">
              <w:t xml:space="preserve">The weight factor used in net meter price calculation for meters in Electrical Bus </w:t>
            </w:r>
            <w:r w:rsidRPr="00E91C02">
              <w:rPr>
                <w:i/>
              </w:rPr>
              <w:t>b</w:t>
            </w:r>
            <w:r w:rsidRPr="00E91C02">
              <w:t xml:space="preserve">, for the SCED interval </w:t>
            </w:r>
            <w:r w:rsidRPr="00E91C02">
              <w:rPr>
                <w:i/>
                <w:iCs/>
              </w:rPr>
              <w:t>y</w:t>
            </w:r>
            <w:r w:rsidRPr="00E91C02">
              <w:t xml:space="preserve">, for the </w:t>
            </w:r>
            <w:r>
              <w:t>ESR Load</w:t>
            </w:r>
            <w:r w:rsidRPr="00E91C02">
              <w:t xml:space="preserve"> associated with an </w:t>
            </w:r>
            <w:r>
              <w:t>ESR</w:t>
            </w:r>
            <w:r w:rsidRPr="00E91C02">
              <w:t>.  The weighting factor used in the net meter price calculation shall not be recalculated after the fact due to revisions in the association of Resources to Settlement Meters.</w:t>
            </w:r>
          </w:p>
        </w:tc>
      </w:tr>
      <w:tr w:rsidR="004E4B05" w14:paraId="0D37F2A4" w14:textId="77777777" w:rsidTr="00806724">
        <w:trPr>
          <w:cantSplit/>
        </w:trPr>
        <w:tc>
          <w:tcPr>
            <w:tcW w:w="1480" w:type="pct"/>
          </w:tcPr>
          <w:p w14:paraId="4F7749A9" w14:textId="77777777" w:rsidR="004E4B05" w:rsidRPr="00D661BC" w:rsidRDefault="004E4B05" w:rsidP="004E4B05">
            <w:pPr>
              <w:pStyle w:val="tablebody0"/>
              <w:rPr>
                <w:i/>
              </w:rPr>
            </w:pPr>
            <w:r w:rsidRPr="004368B4">
              <w:t>RTRMPR</w:t>
            </w:r>
            <w:r>
              <w:t>ESR</w:t>
            </w:r>
            <w:r w:rsidRPr="004368B4">
              <w:rPr>
                <w:vertAlign w:val="subscript"/>
              </w:rPr>
              <w:t xml:space="preserve"> </w:t>
            </w:r>
            <w:r w:rsidRPr="00107CC2">
              <w:rPr>
                <w:i/>
                <w:vertAlign w:val="subscript"/>
              </w:rPr>
              <w:t>b</w:t>
            </w:r>
          </w:p>
        </w:tc>
        <w:tc>
          <w:tcPr>
            <w:tcW w:w="538" w:type="pct"/>
          </w:tcPr>
          <w:p w14:paraId="2E51C917" w14:textId="77777777" w:rsidR="004E4B05" w:rsidRDefault="004E4B05" w:rsidP="004E4B05">
            <w:pPr>
              <w:pStyle w:val="tablebody0"/>
            </w:pPr>
            <w:r w:rsidRPr="004368B4">
              <w:t>$/MWh</w:t>
            </w:r>
          </w:p>
        </w:tc>
        <w:tc>
          <w:tcPr>
            <w:tcW w:w="2982" w:type="pct"/>
          </w:tcPr>
          <w:p w14:paraId="129C3207" w14:textId="77777777" w:rsidR="004E4B05" w:rsidRDefault="004E4B05" w:rsidP="004E4B05">
            <w:pPr>
              <w:pStyle w:val="tablebody0"/>
            </w:pPr>
            <w:r w:rsidRPr="00351F0F">
              <w:rPr>
                <w:i/>
              </w:rPr>
              <w:t xml:space="preserve">Real-Time Price for the Energy Metered as </w:t>
            </w:r>
            <w:r>
              <w:rPr>
                <w:i/>
              </w:rPr>
              <w:t xml:space="preserve">Energy </w:t>
            </w:r>
            <w:r w:rsidRPr="00351F0F">
              <w:rPr>
                <w:i/>
              </w:rPr>
              <w:t>Storage</w:t>
            </w:r>
            <w:r>
              <w:rPr>
                <w:i/>
              </w:rPr>
              <w:t xml:space="preserve"> Resource</w:t>
            </w:r>
            <w:r w:rsidRPr="00351F0F">
              <w:rPr>
                <w:i/>
              </w:rPr>
              <w:t xml:space="preserve"> Load at bus</w:t>
            </w:r>
            <w:r w:rsidRPr="00351F0F">
              <w:sym w:font="Symbol" w:char="F0BE"/>
            </w:r>
            <w:r w:rsidRPr="00351F0F">
              <w:t xml:space="preserve">The Real-Time price for the Settlement Meter which measures </w:t>
            </w:r>
            <w:r>
              <w:t>ESR Load</w:t>
            </w:r>
            <w:r w:rsidRPr="00351F0F">
              <w:t xml:space="preserve"> at Electrical Bus </w:t>
            </w:r>
            <w:r w:rsidRPr="00351F0F">
              <w:rPr>
                <w:i/>
              </w:rPr>
              <w:t>b</w:t>
            </w:r>
            <w:r w:rsidRPr="00351F0F">
              <w:t>, for the 15-minute Settlement Interval.</w:t>
            </w:r>
          </w:p>
        </w:tc>
      </w:tr>
      <w:tr w:rsidR="004E4B05" w14:paraId="1F831F37" w14:textId="77777777" w:rsidTr="00806724">
        <w:trPr>
          <w:cantSplit/>
        </w:trPr>
        <w:tc>
          <w:tcPr>
            <w:tcW w:w="1480" w:type="pct"/>
          </w:tcPr>
          <w:p w14:paraId="3664249E" w14:textId="77777777" w:rsidR="004E4B05" w:rsidRPr="004368B4" w:rsidRDefault="004E4B05" w:rsidP="004E4B05">
            <w:pPr>
              <w:pStyle w:val="tablebody0"/>
              <w:rPr>
                <w:lang w:val="es-ES"/>
              </w:rPr>
            </w:pPr>
            <w:r w:rsidRPr="008B71ED">
              <w:t xml:space="preserve">BP </w:t>
            </w:r>
            <w:r w:rsidRPr="00985D33">
              <w:rPr>
                <w:i/>
                <w:vertAlign w:val="subscript"/>
              </w:rPr>
              <w:t>r, y</w:t>
            </w:r>
          </w:p>
        </w:tc>
        <w:tc>
          <w:tcPr>
            <w:tcW w:w="538" w:type="pct"/>
          </w:tcPr>
          <w:p w14:paraId="3ADD8D3A" w14:textId="77777777" w:rsidR="004E4B05" w:rsidRPr="004368B4" w:rsidRDefault="004E4B05" w:rsidP="004E4B05">
            <w:pPr>
              <w:pStyle w:val="tablebody0"/>
            </w:pPr>
            <w:r w:rsidRPr="00D15DC0">
              <w:t>MW</w:t>
            </w:r>
          </w:p>
        </w:tc>
        <w:tc>
          <w:tcPr>
            <w:tcW w:w="2982" w:type="pct"/>
          </w:tcPr>
          <w:p w14:paraId="607FBD04" w14:textId="77777777" w:rsidR="004E4B05" w:rsidRPr="004368B4" w:rsidRDefault="004E4B05" w:rsidP="004E4B05">
            <w:pPr>
              <w:pStyle w:val="tablebody0"/>
              <w:rPr>
                <w:i/>
              </w:rPr>
            </w:pPr>
            <w:r w:rsidRPr="004615F6">
              <w:rPr>
                <w:i/>
              </w:rPr>
              <w:t>Base Point per Resource per interval</w:t>
            </w:r>
            <w:r w:rsidRPr="005106EC">
              <w:t xml:space="preserve"> - The Base Point of Resource </w:t>
            </w:r>
            <w:r w:rsidRPr="004615F6">
              <w:rPr>
                <w:i/>
              </w:rPr>
              <w:t>r</w:t>
            </w:r>
            <w:r w:rsidRPr="005106EC">
              <w:t xml:space="preserve">, for the SCED interval </w:t>
            </w:r>
            <w:r w:rsidRPr="004615F6">
              <w:rPr>
                <w:i/>
              </w:rPr>
              <w:t>y</w:t>
            </w:r>
            <w:r w:rsidRPr="005106EC">
              <w:t xml:space="preserve">.  </w:t>
            </w:r>
          </w:p>
        </w:tc>
      </w:tr>
      <w:tr w:rsidR="004E4B05" w14:paraId="54216451" w14:textId="77777777" w:rsidTr="00806724">
        <w:trPr>
          <w:cantSplit/>
        </w:trPr>
        <w:tc>
          <w:tcPr>
            <w:tcW w:w="1480" w:type="pct"/>
          </w:tcPr>
          <w:p w14:paraId="045155E1" w14:textId="77777777" w:rsidR="004E4B05" w:rsidRPr="00D661BC" w:rsidRDefault="004E4B05" w:rsidP="004E4B05">
            <w:pPr>
              <w:pStyle w:val="tablebody0"/>
              <w:rPr>
                <w:i/>
              </w:rPr>
            </w:pPr>
            <w:r w:rsidRPr="00D661BC">
              <w:rPr>
                <w:i/>
              </w:rPr>
              <w:t>q</w:t>
            </w:r>
          </w:p>
        </w:tc>
        <w:tc>
          <w:tcPr>
            <w:tcW w:w="538" w:type="pct"/>
          </w:tcPr>
          <w:p w14:paraId="3F58447F" w14:textId="77777777" w:rsidR="004E4B05" w:rsidRDefault="004E4B05" w:rsidP="004E4B05">
            <w:pPr>
              <w:pStyle w:val="tablebody0"/>
            </w:pPr>
            <w:r>
              <w:t>none</w:t>
            </w:r>
          </w:p>
        </w:tc>
        <w:tc>
          <w:tcPr>
            <w:tcW w:w="2982" w:type="pct"/>
          </w:tcPr>
          <w:p w14:paraId="384898F9" w14:textId="77777777" w:rsidR="004E4B05" w:rsidRDefault="004E4B05" w:rsidP="004E4B05">
            <w:pPr>
              <w:pStyle w:val="tablebody0"/>
            </w:pPr>
            <w:r>
              <w:t>A QSE.</w:t>
            </w:r>
          </w:p>
        </w:tc>
      </w:tr>
      <w:tr w:rsidR="004E4B05" w14:paraId="0098D9C9" w14:textId="77777777" w:rsidTr="00806724">
        <w:trPr>
          <w:cantSplit/>
        </w:trPr>
        <w:tc>
          <w:tcPr>
            <w:tcW w:w="1480" w:type="pct"/>
          </w:tcPr>
          <w:p w14:paraId="20126BCB" w14:textId="77777777" w:rsidR="004E4B05" w:rsidRPr="00851EF1" w:rsidRDefault="004E4B05" w:rsidP="004E4B05">
            <w:pPr>
              <w:pStyle w:val="tablebody0"/>
              <w:rPr>
                <w:i/>
              </w:rPr>
            </w:pPr>
            <w:r w:rsidRPr="00D661BC">
              <w:rPr>
                <w:i/>
              </w:rPr>
              <w:t>gsc</w:t>
            </w:r>
          </w:p>
        </w:tc>
        <w:tc>
          <w:tcPr>
            <w:tcW w:w="538" w:type="pct"/>
          </w:tcPr>
          <w:p w14:paraId="7DBE0197" w14:textId="77777777" w:rsidR="004E4B05" w:rsidRDefault="004E4B05" w:rsidP="004E4B05">
            <w:pPr>
              <w:pStyle w:val="tablebody0"/>
            </w:pPr>
            <w:r>
              <w:t>none</w:t>
            </w:r>
          </w:p>
        </w:tc>
        <w:tc>
          <w:tcPr>
            <w:tcW w:w="2982" w:type="pct"/>
          </w:tcPr>
          <w:p w14:paraId="7D4FFC8E" w14:textId="77777777" w:rsidR="004E4B05" w:rsidRDefault="004E4B05" w:rsidP="004E4B05">
            <w:pPr>
              <w:pStyle w:val="tablebody0"/>
            </w:pPr>
            <w:r>
              <w:t>A generation site code.</w:t>
            </w:r>
          </w:p>
        </w:tc>
      </w:tr>
      <w:tr w:rsidR="004E4B05" w14:paraId="7FD83F7A" w14:textId="77777777" w:rsidTr="00806724">
        <w:trPr>
          <w:cantSplit/>
        </w:trPr>
        <w:tc>
          <w:tcPr>
            <w:tcW w:w="1480" w:type="pct"/>
          </w:tcPr>
          <w:p w14:paraId="02E7B3CA" w14:textId="77777777" w:rsidR="004E4B05" w:rsidRPr="00851EF1" w:rsidRDefault="004E4B05" w:rsidP="004E4B05">
            <w:pPr>
              <w:pStyle w:val="tablebody0"/>
              <w:rPr>
                <w:i/>
              </w:rPr>
            </w:pPr>
            <w:r w:rsidRPr="00D661BC">
              <w:rPr>
                <w:i/>
              </w:rPr>
              <w:t>r</w:t>
            </w:r>
          </w:p>
        </w:tc>
        <w:tc>
          <w:tcPr>
            <w:tcW w:w="538" w:type="pct"/>
          </w:tcPr>
          <w:p w14:paraId="0DE8EF9B" w14:textId="77777777" w:rsidR="004E4B05" w:rsidRDefault="004E4B05" w:rsidP="004E4B05">
            <w:pPr>
              <w:pStyle w:val="tablebody0"/>
            </w:pPr>
            <w:r>
              <w:t>none</w:t>
            </w:r>
          </w:p>
        </w:tc>
        <w:tc>
          <w:tcPr>
            <w:tcW w:w="2982" w:type="pct"/>
          </w:tcPr>
          <w:p w14:paraId="3C3CB428" w14:textId="77116C22" w:rsidR="004E4B05" w:rsidRDefault="004E4B05" w:rsidP="004E4B05">
            <w:pPr>
              <w:pStyle w:val="tablebody0"/>
            </w:pPr>
            <w:r>
              <w:t xml:space="preserve">The </w:t>
            </w:r>
            <w:r w:rsidR="00C67FF2">
              <w:t>CLR</w:t>
            </w:r>
            <w:r>
              <w:t xml:space="preserve"> that is part of an ESR.  </w:t>
            </w:r>
          </w:p>
        </w:tc>
      </w:tr>
      <w:tr w:rsidR="004E4B05" w14:paraId="54CDB6F4" w14:textId="77777777" w:rsidTr="00806724">
        <w:trPr>
          <w:cantSplit/>
        </w:trPr>
        <w:tc>
          <w:tcPr>
            <w:tcW w:w="1480" w:type="pct"/>
          </w:tcPr>
          <w:p w14:paraId="260824DB" w14:textId="77777777" w:rsidR="004E4B05" w:rsidRPr="00D661BC" w:rsidRDefault="004E4B05" w:rsidP="004E4B05">
            <w:pPr>
              <w:pStyle w:val="tablebody0"/>
              <w:rPr>
                <w:i/>
              </w:rPr>
            </w:pPr>
            <w:r w:rsidRPr="00D661BC">
              <w:rPr>
                <w:i/>
              </w:rPr>
              <w:t>p</w:t>
            </w:r>
          </w:p>
        </w:tc>
        <w:tc>
          <w:tcPr>
            <w:tcW w:w="538" w:type="pct"/>
          </w:tcPr>
          <w:p w14:paraId="217AB103" w14:textId="77777777" w:rsidR="004E4B05" w:rsidRDefault="004E4B05" w:rsidP="004E4B05">
            <w:pPr>
              <w:pStyle w:val="tablebody0"/>
            </w:pPr>
            <w:r>
              <w:t>none</w:t>
            </w:r>
          </w:p>
        </w:tc>
        <w:tc>
          <w:tcPr>
            <w:tcW w:w="2982" w:type="pct"/>
          </w:tcPr>
          <w:p w14:paraId="7AE5968E" w14:textId="77777777" w:rsidR="004E4B05" w:rsidRDefault="004E4B05" w:rsidP="004E4B05">
            <w:pPr>
              <w:pStyle w:val="tablebody0"/>
            </w:pPr>
            <w:r>
              <w:t>A Resource Node Settlement Point.</w:t>
            </w:r>
          </w:p>
        </w:tc>
      </w:tr>
      <w:tr w:rsidR="004E4B05" w14:paraId="180CCBC2" w14:textId="77777777" w:rsidTr="00806724">
        <w:trPr>
          <w:cantSplit/>
        </w:trPr>
        <w:tc>
          <w:tcPr>
            <w:tcW w:w="1480" w:type="pct"/>
          </w:tcPr>
          <w:p w14:paraId="72F081BC" w14:textId="77777777" w:rsidR="004E4B05" w:rsidRPr="00851EF1" w:rsidRDefault="004E4B05" w:rsidP="004E4B05">
            <w:pPr>
              <w:pStyle w:val="tablebody0"/>
              <w:rPr>
                <w:i/>
              </w:rPr>
            </w:pPr>
            <w:r w:rsidRPr="00D661BC">
              <w:rPr>
                <w:i/>
              </w:rPr>
              <w:t>y</w:t>
            </w:r>
          </w:p>
        </w:tc>
        <w:tc>
          <w:tcPr>
            <w:tcW w:w="538" w:type="pct"/>
          </w:tcPr>
          <w:p w14:paraId="0FADF3FF" w14:textId="77777777" w:rsidR="004E4B05" w:rsidRDefault="004E4B05" w:rsidP="004E4B05">
            <w:pPr>
              <w:pStyle w:val="tablebody0"/>
            </w:pPr>
            <w:r>
              <w:t>none</w:t>
            </w:r>
          </w:p>
        </w:tc>
        <w:tc>
          <w:tcPr>
            <w:tcW w:w="2982" w:type="pct"/>
          </w:tcPr>
          <w:p w14:paraId="1F764A4A" w14:textId="77777777" w:rsidR="004E4B05" w:rsidRDefault="004E4B05" w:rsidP="004E4B05">
            <w:pPr>
              <w:pStyle w:val="tablebody0"/>
            </w:pPr>
            <w:r>
              <w:t>A SCED interval in the 15-minute Settlement Interval.  The summation is over the total number of SCED runs that cover the 15-minute Settlement Interval.</w:t>
            </w:r>
          </w:p>
        </w:tc>
      </w:tr>
      <w:tr w:rsidR="00AD486D" w14:paraId="53CBC2F2" w14:textId="77777777" w:rsidTr="00806724">
        <w:trPr>
          <w:cantSplit/>
        </w:trPr>
        <w:tc>
          <w:tcPr>
            <w:tcW w:w="1480" w:type="pct"/>
          </w:tcPr>
          <w:p w14:paraId="28C23377" w14:textId="35B11738" w:rsidR="00AD486D" w:rsidRPr="00D661BC" w:rsidRDefault="00AD486D" w:rsidP="00AD486D">
            <w:pPr>
              <w:pStyle w:val="tablebody0"/>
              <w:rPr>
                <w:i/>
              </w:rPr>
            </w:pPr>
            <w:r w:rsidRPr="00D661BC">
              <w:rPr>
                <w:i/>
              </w:rPr>
              <w:t>b</w:t>
            </w:r>
          </w:p>
        </w:tc>
        <w:tc>
          <w:tcPr>
            <w:tcW w:w="538" w:type="pct"/>
          </w:tcPr>
          <w:p w14:paraId="3D3D1C12" w14:textId="65D482F7" w:rsidR="00AD486D" w:rsidRDefault="00AD486D" w:rsidP="00AD486D">
            <w:pPr>
              <w:pStyle w:val="tablebody0"/>
            </w:pPr>
            <w:r>
              <w:t>none</w:t>
            </w:r>
          </w:p>
        </w:tc>
        <w:tc>
          <w:tcPr>
            <w:tcW w:w="2982" w:type="pct"/>
          </w:tcPr>
          <w:p w14:paraId="6C6AAF16" w14:textId="24B12821" w:rsidR="00AD486D" w:rsidRDefault="00AD486D" w:rsidP="00AD486D">
            <w:pPr>
              <w:pStyle w:val="tablebody0"/>
            </w:pPr>
            <w:r>
              <w:t>An Electrical Bus.</w:t>
            </w:r>
          </w:p>
        </w:tc>
      </w:tr>
    </w:tbl>
    <w:p w14:paraId="6458BC5B" w14:textId="77777777" w:rsidR="00806724" w:rsidRDefault="0080672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350"/>
      </w:tblGrid>
      <w:tr w:rsidR="00423D31" w14:paraId="4C364206" w14:textId="77777777" w:rsidTr="00806724">
        <w:trPr>
          <w:trHeight w:val="206"/>
        </w:trPr>
        <w:tc>
          <w:tcPr>
            <w:tcW w:w="5000" w:type="pct"/>
            <w:shd w:val="pct12" w:color="auto" w:fill="auto"/>
          </w:tcPr>
          <w:p w14:paraId="43045223" w14:textId="6AAA9E47" w:rsidR="00423D31" w:rsidRDefault="00423D31" w:rsidP="009E7262">
            <w:pPr>
              <w:pStyle w:val="Instructions"/>
              <w:spacing w:before="120"/>
            </w:pPr>
            <w:r>
              <w:t>[</w:t>
            </w:r>
            <w:r w:rsidR="00EC5231">
              <w:t>NPRR1010</w:t>
            </w:r>
            <w:r w:rsidR="006C5B5E">
              <w:t>,</w:t>
            </w:r>
            <w:r w:rsidR="006F7954">
              <w:t xml:space="preserve"> NPRR1014</w:t>
            </w:r>
            <w:r w:rsidR="006C5B5E">
              <w:t>, and NPRR1188</w:t>
            </w:r>
            <w:r>
              <w:t xml:space="preserve">:  Replace </w:t>
            </w:r>
            <w:r w:rsidR="006F7954">
              <w:t xml:space="preserve">applicable portions of </w:t>
            </w:r>
            <w:r>
              <w:t>paragraph (3) above with the following upon system implementation</w:t>
            </w:r>
            <w:r w:rsidR="00EC5231">
              <w:t xml:space="preserve"> </w:t>
            </w:r>
            <w:r w:rsidR="00B15E7C">
              <w:t>of the Real-Time Co-Optimization (RTC) project for NPRR1010;</w:t>
            </w:r>
            <w:r w:rsidR="00EC5231">
              <w:t xml:space="preserve"> or upon system implementation</w:t>
            </w:r>
            <w:r w:rsidR="00B15E7C">
              <w:t xml:space="preserve"> for NPRR1014</w:t>
            </w:r>
            <w:r w:rsidR="006C5B5E">
              <w:t xml:space="preserve"> or NPRR1188</w:t>
            </w:r>
            <w:r>
              <w:t>:]</w:t>
            </w:r>
          </w:p>
          <w:p w14:paraId="78734BB8" w14:textId="13850EBE" w:rsidR="00423D31" w:rsidRDefault="00423D31" w:rsidP="00423D31">
            <w:pPr>
              <w:spacing w:before="240" w:after="240"/>
              <w:ind w:left="720" w:hanging="720"/>
              <w:rPr>
                <w:b/>
                <w:i/>
                <w:iCs/>
              </w:rPr>
            </w:pPr>
            <w:r>
              <w:t>(3)</w:t>
            </w:r>
            <w:r>
              <w:tab/>
              <w:t xml:space="preserve">For a facility with Settlement Meters that measure </w:t>
            </w:r>
            <w:r w:rsidR="006C5B5E" w:rsidRPr="00812ECB">
              <w:t>CLR (that is not an ALR) or</w:t>
            </w:r>
            <w:r w:rsidR="006C5B5E">
              <w:t xml:space="preserve"> </w:t>
            </w:r>
            <w:r>
              <w:t>ESR Load, t</w:t>
            </w:r>
            <w:r>
              <w:rPr>
                <w:iCs/>
              </w:rPr>
              <w:t xml:space="preserve">he total payment or charge </w:t>
            </w:r>
            <w:r>
              <w:t xml:space="preserve">for </w:t>
            </w:r>
            <w:r w:rsidR="006C5B5E" w:rsidRPr="00812ECB">
              <w:t>CLR (that is not an ALR) or</w:t>
            </w:r>
            <w:r w:rsidR="006C5B5E">
              <w:t xml:space="preserve"> </w:t>
            </w:r>
            <w:r>
              <w:t xml:space="preserve">ESR Load is </w:t>
            </w:r>
            <w:r>
              <w:rPr>
                <w:iCs/>
              </w:rPr>
              <w:t>calculated for a</w:t>
            </w:r>
            <w:r w:rsidRPr="004368B4">
              <w:rPr>
                <w:iCs/>
              </w:rPr>
              <w:t xml:space="preserve"> QSE</w:t>
            </w:r>
            <w:r>
              <w:rPr>
                <w:iCs/>
              </w:rPr>
              <w:t xml:space="preserve">, </w:t>
            </w:r>
            <w:r w:rsidR="006C5B5E" w:rsidRPr="00812ECB">
              <w:t>CLR (that is not an ALR) or</w:t>
            </w:r>
            <w:r w:rsidR="006C5B5E">
              <w:rPr>
                <w:iCs/>
              </w:rPr>
              <w:t xml:space="preserve"> </w:t>
            </w:r>
            <w:r>
              <w:rPr>
                <w:iCs/>
              </w:rPr>
              <w:t>ESR, and Settlement Point</w:t>
            </w:r>
            <w:r w:rsidRPr="004368B4">
              <w:rPr>
                <w:iCs/>
              </w:rPr>
              <w:t xml:space="preserve"> </w:t>
            </w:r>
            <w:r>
              <w:rPr>
                <w:iCs/>
              </w:rPr>
              <w:t xml:space="preserve">for </w:t>
            </w:r>
            <w:r w:rsidRPr="004368B4">
              <w:rPr>
                <w:iCs/>
              </w:rPr>
              <w:t>each 15-minute Settlement Interval</w:t>
            </w:r>
            <w:r>
              <w:rPr>
                <w:iCs/>
              </w:rPr>
              <w:t>.</w:t>
            </w:r>
          </w:p>
          <w:p w14:paraId="7A2CBE1D" w14:textId="77777777" w:rsidR="00423D31" w:rsidRDefault="00423D31" w:rsidP="00423D31">
            <w:pPr>
              <w:spacing w:after="240"/>
              <w:ind w:left="720"/>
              <w:rPr>
                <w:iCs/>
              </w:rPr>
            </w:pPr>
            <w:r w:rsidRPr="004368B4">
              <w:rPr>
                <w:iCs/>
              </w:rPr>
              <w:t xml:space="preserve">The </w:t>
            </w:r>
            <w:r>
              <w:rPr>
                <w:iCs/>
              </w:rPr>
              <w:t>WSL</w:t>
            </w:r>
            <w:r w:rsidRPr="004368B4">
              <w:rPr>
                <w:iCs/>
              </w:rPr>
              <w:t xml:space="preserve"> is settled as follows</w:t>
            </w:r>
            <w:r>
              <w:rPr>
                <w:iCs/>
              </w:rPr>
              <w:t>:</w:t>
            </w:r>
            <w:r w:rsidRPr="004368B4">
              <w:rPr>
                <w:iCs/>
              </w:rPr>
              <w:t xml:space="preserve"> </w:t>
            </w:r>
          </w:p>
          <w:p w14:paraId="21864A82" w14:textId="77777777" w:rsidR="00423D31" w:rsidRDefault="00423D31" w:rsidP="00423D31">
            <w:pPr>
              <w:tabs>
                <w:tab w:val="left" w:pos="2340"/>
                <w:tab w:val="left" w:pos="2880"/>
              </w:tabs>
              <w:spacing w:after="240"/>
              <w:ind w:left="2880" w:hanging="2160"/>
              <w:rPr>
                <w:b/>
                <w:bCs/>
              </w:rPr>
            </w:pPr>
            <w:r>
              <w:rPr>
                <w:b/>
                <w:bCs/>
              </w:rPr>
              <w:t>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54664DCD">
                <v:shape id="_x0000_i1137" type="#_x0000_t75" style="width:12pt;height:18pt" o:ole="">
                  <v:imagedata r:id="rId145" o:title=""/>
                </v:shape>
                <o:OLEObject Type="Embed" ProgID="Equation.3" ShapeID="_x0000_i1137" DrawAspect="Content" ObjectID="_1815025327" r:id="rId151"/>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MEBL</w:t>
            </w:r>
            <w:r w:rsidRPr="004368B4">
              <w:rPr>
                <w:bCs/>
              </w:rPr>
              <w:t xml:space="preserve"> </w:t>
            </w:r>
            <w:r w:rsidRPr="00BD295E">
              <w:rPr>
                <w:b/>
                <w:bCs/>
                <w:i/>
                <w:vertAlign w:val="subscript"/>
              </w:rPr>
              <w:t>q, r, b</w:t>
            </w:r>
            <w:r w:rsidRPr="004368B4">
              <w:rPr>
                <w:b/>
                <w:bCs/>
              </w:rPr>
              <w:t>)</w:t>
            </w:r>
          </w:p>
          <w:p w14:paraId="37E52D53" w14:textId="5E0303CC" w:rsidR="00423D31" w:rsidRDefault="00423D31" w:rsidP="00423D31">
            <w:pPr>
              <w:spacing w:after="240"/>
              <w:ind w:left="720"/>
              <w:rPr>
                <w:iCs/>
              </w:rPr>
            </w:pPr>
            <w:r w:rsidRPr="004368B4">
              <w:rPr>
                <w:iCs/>
              </w:rPr>
              <w:t xml:space="preserve">The </w:t>
            </w:r>
            <w:r w:rsidR="00674579">
              <w:t>Non-WSL ESR Charging Load</w:t>
            </w:r>
            <w:r w:rsidRPr="004368B4">
              <w:rPr>
                <w:iCs/>
              </w:rPr>
              <w:t xml:space="preserve"> is settled as follows</w:t>
            </w:r>
            <w:r>
              <w:rPr>
                <w:iCs/>
              </w:rPr>
              <w:t>:</w:t>
            </w:r>
            <w:r w:rsidRPr="004368B4">
              <w:rPr>
                <w:iCs/>
              </w:rPr>
              <w:t xml:space="preserve"> </w:t>
            </w:r>
          </w:p>
          <w:p w14:paraId="6E08A9A8" w14:textId="77777777" w:rsidR="00423D31" w:rsidRDefault="00423D31" w:rsidP="00423D31">
            <w:pPr>
              <w:tabs>
                <w:tab w:val="left" w:pos="2340"/>
                <w:tab w:val="left" w:pos="2880"/>
              </w:tabs>
              <w:spacing w:after="240"/>
              <w:ind w:left="2880" w:hanging="2160"/>
              <w:rPr>
                <w:b/>
                <w:bCs/>
              </w:rPr>
            </w:pPr>
            <w:r>
              <w:rPr>
                <w:b/>
                <w:bCs/>
              </w:rPr>
              <w:t>ESRNWSLAMT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73C39FD7">
                <v:shape id="_x0000_i1138" type="#_x0000_t75" style="width:12pt;height:18pt" o:ole="">
                  <v:imagedata r:id="rId145" o:title=""/>
                </v:shape>
                <o:OLEObject Type="Embed" ProgID="Equation.3" ShapeID="_x0000_i1138" DrawAspect="Content" ObjectID="_1815025328" r:id="rId152"/>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w:t>
            </w:r>
            <w:r>
              <w:rPr>
                <w:b/>
                <w:bCs/>
              </w:rPr>
              <w:t>R</w:t>
            </w:r>
            <w:r w:rsidRPr="004368B4">
              <w:rPr>
                <w:bCs/>
              </w:rPr>
              <w:t xml:space="preserve"> </w:t>
            </w:r>
            <w:r w:rsidRPr="00BD295E">
              <w:rPr>
                <w:b/>
                <w:bCs/>
                <w:i/>
                <w:vertAlign w:val="subscript"/>
              </w:rPr>
              <w:t>q, r, b</w:t>
            </w:r>
            <w:r w:rsidRPr="004368B4">
              <w:rPr>
                <w:b/>
                <w:bCs/>
              </w:rPr>
              <w:t>)</w:t>
            </w:r>
          </w:p>
          <w:p w14:paraId="72B99C02" w14:textId="77777777" w:rsidR="006C5B5E" w:rsidRPr="00812ECB" w:rsidRDefault="006C5B5E" w:rsidP="006C5B5E">
            <w:pPr>
              <w:tabs>
                <w:tab w:val="left" w:pos="2340"/>
                <w:tab w:val="left" w:pos="2880"/>
              </w:tabs>
              <w:spacing w:after="240"/>
              <w:ind w:left="2880" w:hanging="2160"/>
              <w:rPr>
                <w:b/>
                <w:bCs/>
              </w:rPr>
            </w:pPr>
            <w:r w:rsidRPr="00812ECB">
              <w:rPr>
                <w:b/>
                <w:bCs/>
              </w:rPr>
              <w:lastRenderedPageBreak/>
              <w:t xml:space="preserve">Where: </w:t>
            </w:r>
          </w:p>
          <w:p w14:paraId="55A2DF87" w14:textId="0C5E312D" w:rsidR="006C5B5E" w:rsidRPr="00812ECB" w:rsidRDefault="006C5B5E" w:rsidP="006C5B5E">
            <w:pPr>
              <w:tabs>
                <w:tab w:val="left" w:pos="1230"/>
                <w:tab w:val="left" w:pos="2340"/>
              </w:tabs>
              <w:spacing w:before="240" w:after="240"/>
              <w:ind w:left="3600" w:hanging="2430"/>
            </w:pPr>
            <w:r w:rsidRPr="00812ECB">
              <w:t>MEBR</w:t>
            </w:r>
            <w:r w:rsidRPr="00812ECB">
              <w:rPr>
                <w:vertAlign w:val="subscript"/>
              </w:rPr>
              <w:t xml:space="preserve"> </w:t>
            </w:r>
            <w:r w:rsidRPr="00812ECB">
              <w:rPr>
                <w:i/>
                <w:iCs/>
                <w:vertAlign w:val="subscript"/>
              </w:rPr>
              <w:t>q, r, b</w:t>
            </w:r>
            <w:r w:rsidRPr="00812ECB">
              <w:tab/>
              <w:t>=</w:t>
            </w:r>
            <w:r w:rsidRPr="00812ECB">
              <w:tab/>
              <w:t>MEBRFG</w:t>
            </w:r>
            <w:r w:rsidRPr="00812ECB">
              <w:rPr>
                <w:vertAlign w:val="subscript"/>
              </w:rPr>
              <w:t xml:space="preserve"> </w:t>
            </w:r>
            <w:r w:rsidRPr="00812ECB">
              <w:rPr>
                <w:i/>
                <w:iCs/>
                <w:vertAlign w:val="subscript"/>
              </w:rPr>
              <w:t>q, r, b</w:t>
            </w:r>
            <w:r w:rsidRPr="00812ECB">
              <w:t xml:space="preserve"> + MEBRSG</w:t>
            </w:r>
            <w:r w:rsidRPr="00812ECB">
              <w:rPr>
                <w:vertAlign w:val="subscript"/>
              </w:rPr>
              <w:t xml:space="preserve"> </w:t>
            </w:r>
            <w:r w:rsidRPr="00812ECB">
              <w:rPr>
                <w:i/>
                <w:iCs/>
                <w:vertAlign w:val="subscript"/>
              </w:rPr>
              <w:t>q, r, b</w:t>
            </w:r>
            <w:r w:rsidRPr="00812ECB">
              <w:rPr>
                <w:vertAlign w:val="subscript"/>
              </w:rPr>
              <w:t xml:space="preserve"> </w:t>
            </w:r>
            <w:r w:rsidRPr="00812ECB">
              <w:t xml:space="preserve"> </w:t>
            </w:r>
          </w:p>
          <w:p w14:paraId="64661FF9" w14:textId="77777777" w:rsidR="006C5B5E" w:rsidRPr="00812ECB" w:rsidRDefault="006C5B5E" w:rsidP="004116AE">
            <w:pPr>
              <w:tabs>
                <w:tab w:val="left" w:pos="1230"/>
                <w:tab w:val="left" w:pos="2340"/>
              </w:tabs>
              <w:spacing w:before="240" w:after="240"/>
              <w:ind w:left="720"/>
            </w:pPr>
            <w:r w:rsidRPr="00812ECB">
              <w:t>The total Non-WSL ESR Charging Load is included in the Real-Time Adjusted Meter Load (AML) per QSE.</w:t>
            </w:r>
          </w:p>
          <w:p w14:paraId="5D61906F" w14:textId="77777777" w:rsidR="00423D31" w:rsidRDefault="00423D31" w:rsidP="00423D31">
            <w:pPr>
              <w:tabs>
                <w:tab w:val="left" w:pos="2340"/>
                <w:tab w:val="left" w:pos="3420"/>
              </w:tabs>
              <w:spacing w:after="240"/>
              <w:ind w:left="3420" w:hanging="2700"/>
              <w:rPr>
                <w:b/>
                <w:bCs/>
              </w:rPr>
            </w:pPr>
            <w:r w:rsidRPr="004368B4">
              <w:rPr>
                <w:bCs/>
              </w:rPr>
              <w:t>Where</w:t>
            </w:r>
            <w:r w:rsidRPr="004368B4">
              <w:rPr>
                <w:bCs/>
                <w:iCs/>
              </w:rPr>
              <w:t xml:space="preserve"> the price for Settlement Meter is determined as follows</w:t>
            </w:r>
            <w:r w:rsidRPr="006F7536">
              <w:rPr>
                <w:bCs/>
                <w:iCs/>
              </w:rPr>
              <w:t>:</w:t>
            </w:r>
          </w:p>
          <w:p w14:paraId="02EEDCA7" w14:textId="32F48FDF" w:rsidR="00423D31" w:rsidRDefault="00423D31" w:rsidP="00423D31">
            <w:pPr>
              <w:spacing w:after="240"/>
              <w:ind w:left="2880" w:hanging="2160"/>
              <w:rPr>
                <w:b/>
                <w:lang w:val="es-ES"/>
              </w:rPr>
            </w:pPr>
            <w:r w:rsidRPr="004368B4">
              <w:rPr>
                <w:b/>
                <w:lang w:val="es-ES"/>
              </w:rPr>
              <w:t>RTRMPR</w:t>
            </w:r>
            <w:r>
              <w:rPr>
                <w:b/>
                <w:lang w:val="es-ES"/>
              </w:rPr>
              <w:t>ESR</w:t>
            </w:r>
            <w:r w:rsidRPr="004368B4">
              <w:rPr>
                <w:b/>
                <w:i/>
                <w:iCs/>
                <w:vertAlign w:val="subscript"/>
                <w:lang w:val="es-ES"/>
              </w:rPr>
              <w:t xml:space="preserve"> </w:t>
            </w:r>
            <w:r>
              <w:rPr>
                <w:b/>
                <w:i/>
                <w:iCs/>
                <w:vertAlign w:val="subscript"/>
                <w:lang w:val="es-ES"/>
              </w:rPr>
              <w:t>b</w:t>
            </w:r>
            <w:r w:rsidRPr="004368B4">
              <w:rPr>
                <w:b/>
                <w:lang w:val="es-ES"/>
              </w:rPr>
              <w:t xml:space="preserve"> </w:t>
            </w:r>
            <w:r>
              <w:rPr>
                <w:b/>
                <w:lang w:val="es-ES"/>
              </w:rPr>
              <w:tab/>
            </w:r>
            <w:r w:rsidRPr="004368B4">
              <w:rPr>
                <w:b/>
                <w:lang w:val="es-ES"/>
              </w:rPr>
              <w:t>=</w:t>
            </w:r>
            <w:r>
              <w:rPr>
                <w:b/>
                <w:lang w:val="es-ES"/>
              </w:rPr>
              <w:t xml:space="preserve"> </w:t>
            </w:r>
            <w:r>
              <w:rPr>
                <w:b/>
              </w:rPr>
              <w:t xml:space="preserve">Max [-$251, </w:t>
            </w:r>
            <w:r w:rsidRPr="00BB1533">
              <w:rPr>
                <w:b/>
              </w:rPr>
              <w:t>(</w:t>
            </w:r>
            <w:r>
              <w:rPr>
                <w:rFonts w:ascii="Times New Roman Bold" w:hAnsi="Times New Roman Bold"/>
                <w:b/>
                <w:noProof/>
                <w:position w:val="-18"/>
              </w:rPr>
              <w:drawing>
                <wp:inline distT="0" distB="0" distL="0" distR="0" wp14:anchorId="2F3DC2CF" wp14:editId="6F674927">
                  <wp:extent cx="142875" cy="294005"/>
                  <wp:effectExtent l="0" t="0" r="9525" b="0"/>
                  <wp:docPr id="2089"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4368B4">
              <w:rPr>
                <w:b/>
                <w:lang w:val="es-ES"/>
              </w:rPr>
              <w:t>(RNWF</w:t>
            </w:r>
            <w:r>
              <w:rPr>
                <w:b/>
                <w:lang w:val="es-ES"/>
              </w:rPr>
              <w:t>L</w:t>
            </w:r>
            <w:r w:rsidRPr="004368B4">
              <w:rPr>
                <w:b/>
                <w:lang w:val="es-ES"/>
              </w:rPr>
              <w:t xml:space="preserve"> </w:t>
            </w:r>
            <w:r>
              <w:rPr>
                <w:b/>
                <w:i/>
                <w:iCs/>
                <w:vertAlign w:val="subscript"/>
                <w:lang w:val="es-ES"/>
              </w:rPr>
              <w:t>b</w:t>
            </w:r>
            <w:r w:rsidRPr="004368B4">
              <w:rPr>
                <w:b/>
                <w:i/>
                <w:iCs/>
                <w:vertAlign w:val="subscript"/>
                <w:lang w:val="es-ES"/>
              </w:rPr>
              <w:t xml:space="preserve">, y </w:t>
            </w:r>
            <w:r w:rsidRPr="004368B4">
              <w:rPr>
                <w:b/>
                <w:lang w:val="es-ES"/>
              </w:rPr>
              <w:t xml:space="preserve">* RTLMP </w:t>
            </w:r>
            <w:r w:rsidRPr="00EB5531">
              <w:rPr>
                <w:b/>
                <w:i/>
                <w:vertAlign w:val="subscript"/>
                <w:lang w:val="es-ES"/>
              </w:rPr>
              <w:t>b</w:t>
            </w:r>
            <w:r w:rsidRPr="004368B4">
              <w:rPr>
                <w:b/>
                <w:i/>
                <w:iCs/>
                <w:vertAlign w:val="subscript"/>
                <w:lang w:val="es-ES"/>
              </w:rPr>
              <w:t>, y</w:t>
            </w:r>
            <w:r w:rsidRPr="004368B4">
              <w:rPr>
                <w:b/>
                <w:lang w:val="es-ES"/>
              </w:rPr>
              <w:t>)</w:t>
            </w:r>
            <w:r>
              <w:rPr>
                <w:b/>
              </w:rPr>
              <w:t xml:space="preserve"> + RTRDP</w:t>
            </w:r>
            <w:r w:rsidRPr="00BB1533">
              <w:rPr>
                <w:b/>
              </w:rPr>
              <w:t>)</w:t>
            </w:r>
            <w:r>
              <w:rPr>
                <w:b/>
              </w:rPr>
              <w:t>]</w:t>
            </w:r>
          </w:p>
          <w:p w14:paraId="5AAB63E3" w14:textId="77777777" w:rsidR="006C5B5E" w:rsidRPr="00812ECB" w:rsidRDefault="006C5B5E" w:rsidP="006C5B5E">
            <w:pPr>
              <w:spacing w:after="240"/>
              <w:ind w:left="720"/>
              <w:rPr>
                <w:iCs/>
              </w:rPr>
            </w:pPr>
            <w:r w:rsidRPr="00812ECB">
              <w:rPr>
                <w:iCs/>
              </w:rPr>
              <w:t xml:space="preserve">The </w:t>
            </w:r>
            <w:r w:rsidRPr="00812ECB">
              <w:t>CLR Load</w:t>
            </w:r>
            <w:r w:rsidRPr="00812ECB">
              <w:rPr>
                <w:iCs/>
              </w:rPr>
              <w:t xml:space="preserve"> is settled as follows: </w:t>
            </w:r>
          </w:p>
          <w:p w14:paraId="7C23F49F" w14:textId="77777777" w:rsidR="006C5B5E" w:rsidRPr="00812ECB" w:rsidRDefault="006C5B5E" w:rsidP="006C5B5E">
            <w:pPr>
              <w:tabs>
                <w:tab w:val="left" w:pos="2340"/>
                <w:tab w:val="left" w:pos="2880"/>
              </w:tabs>
              <w:spacing w:after="240"/>
              <w:ind w:left="2880" w:hanging="2160"/>
              <w:rPr>
                <w:b/>
                <w:bCs/>
              </w:rPr>
            </w:pPr>
            <w:r w:rsidRPr="00812ECB">
              <w:rPr>
                <w:b/>
                <w:bCs/>
              </w:rPr>
              <w:t xml:space="preserve">CLRAMTTOT </w:t>
            </w:r>
            <w:r w:rsidRPr="00812ECB">
              <w:rPr>
                <w:b/>
                <w:bCs/>
                <w:i/>
                <w:vertAlign w:val="subscript"/>
              </w:rPr>
              <w:t>q, r, p</w:t>
            </w:r>
            <w:r w:rsidRPr="00812ECB">
              <w:rPr>
                <w:b/>
                <w:bCs/>
                <w:i/>
                <w:iCs/>
                <w:vertAlign w:val="subscript"/>
                <w:lang w:val="es-ES"/>
              </w:rPr>
              <w:tab/>
            </w:r>
            <w:r w:rsidRPr="00812ECB">
              <w:rPr>
                <w:b/>
                <w:bCs/>
                <w:lang w:val="es-ES"/>
              </w:rPr>
              <w:t xml:space="preserve">= </w:t>
            </w:r>
            <w:r w:rsidRPr="00812ECB">
              <w:rPr>
                <w:noProof/>
                <w:position w:val="-20"/>
              </w:rPr>
              <w:drawing>
                <wp:inline distT="0" distB="0" distL="0" distR="0" wp14:anchorId="3696D135" wp14:editId="52E4B911">
                  <wp:extent cx="180975" cy="25908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80975" cy="259080"/>
                          </a:xfrm>
                          <a:prstGeom prst="rect">
                            <a:avLst/>
                          </a:prstGeom>
                          <a:noFill/>
                          <a:ln>
                            <a:noFill/>
                          </a:ln>
                        </pic:spPr>
                      </pic:pic>
                    </a:graphicData>
                  </a:graphic>
                </wp:inline>
              </w:drawing>
            </w:r>
            <w:r w:rsidRPr="00812ECB">
              <w:rPr>
                <w:b/>
                <w:bCs/>
              </w:rPr>
              <w:t xml:space="preserve"> (RTRMPRCLR</w:t>
            </w:r>
            <w:r w:rsidRPr="00812ECB">
              <w:rPr>
                <w:b/>
                <w:bCs/>
                <w:i/>
                <w:vertAlign w:val="subscript"/>
              </w:rPr>
              <w:t xml:space="preserve"> b </w:t>
            </w:r>
            <w:r w:rsidRPr="00812ECB">
              <w:rPr>
                <w:b/>
                <w:bCs/>
              </w:rPr>
              <w:t>* MEBCL</w:t>
            </w:r>
            <w:r w:rsidRPr="00812ECB">
              <w:rPr>
                <w:bCs/>
              </w:rPr>
              <w:t xml:space="preserve"> </w:t>
            </w:r>
            <w:r w:rsidRPr="00812ECB">
              <w:rPr>
                <w:b/>
                <w:bCs/>
                <w:i/>
                <w:vertAlign w:val="subscript"/>
              </w:rPr>
              <w:t>q, r, b</w:t>
            </w:r>
            <w:r w:rsidRPr="00812ECB">
              <w:rPr>
                <w:b/>
                <w:bCs/>
              </w:rPr>
              <w:t>)</w:t>
            </w:r>
          </w:p>
          <w:p w14:paraId="0A6C6CF4" w14:textId="77777777" w:rsidR="006C5B5E" w:rsidRPr="00812ECB" w:rsidRDefault="006C5B5E" w:rsidP="006C5B5E">
            <w:pPr>
              <w:tabs>
                <w:tab w:val="left" w:pos="2340"/>
                <w:tab w:val="left" w:pos="2880"/>
              </w:tabs>
              <w:spacing w:after="240"/>
              <w:ind w:left="2880" w:hanging="2160"/>
              <w:rPr>
                <w:b/>
                <w:bCs/>
              </w:rPr>
            </w:pPr>
            <w:r w:rsidRPr="00812ECB">
              <w:rPr>
                <w:b/>
                <w:bCs/>
              </w:rPr>
              <w:t xml:space="preserve">Where: </w:t>
            </w:r>
          </w:p>
          <w:p w14:paraId="7C9C8369" w14:textId="77777777" w:rsidR="006C5B5E" w:rsidRPr="00812ECB" w:rsidRDefault="006C5B5E" w:rsidP="006C5B5E">
            <w:pPr>
              <w:tabs>
                <w:tab w:val="left" w:pos="1230"/>
                <w:tab w:val="left" w:pos="2340"/>
              </w:tabs>
              <w:spacing w:before="240" w:after="240"/>
              <w:ind w:left="3600" w:hanging="2430"/>
            </w:pPr>
            <w:r w:rsidRPr="00812ECB">
              <w:t>MEBCL</w:t>
            </w:r>
            <w:r w:rsidRPr="00812ECB">
              <w:rPr>
                <w:vertAlign w:val="subscript"/>
              </w:rPr>
              <w:t xml:space="preserve"> </w:t>
            </w:r>
            <w:r w:rsidRPr="00812ECB">
              <w:rPr>
                <w:i/>
                <w:iCs/>
                <w:vertAlign w:val="subscript"/>
              </w:rPr>
              <w:t>q, r, b</w:t>
            </w:r>
            <w:r w:rsidRPr="00812ECB">
              <w:tab/>
              <w:t>=</w:t>
            </w:r>
            <w:r w:rsidRPr="00812ECB">
              <w:tab/>
              <w:t>MEBCLFG</w:t>
            </w:r>
            <w:r w:rsidRPr="00812ECB">
              <w:rPr>
                <w:vertAlign w:val="subscript"/>
              </w:rPr>
              <w:t xml:space="preserve"> </w:t>
            </w:r>
            <w:r w:rsidRPr="00812ECB">
              <w:rPr>
                <w:i/>
                <w:iCs/>
                <w:vertAlign w:val="subscript"/>
              </w:rPr>
              <w:t>q, r, b</w:t>
            </w:r>
            <w:r w:rsidRPr="00812ECB">
              <w:t xml:space="preserve"> + MEBCLSG</w:t>
            </w:r>
            <w:r w:rsidRPr="00812ECB">
              <w:rPr>
                <w:vertAlign w:val="subscript"/>
              </w:rPr>
              <w:t xml:space="preserve"> </w:t>
            </w:r>
            <w:r w:rsidRPr="00812ECB">
              <w:rPr>
                <w:i/>
                <w:iCs/>
                <w:vertAlign w:val="subscript"/>
              </w:rPr>
              <w:t>q, r, b</w:t>
            </w:r>
            <w:r w:rsidRPr="00812ECB">
              <w:rPr>
                <w:vertAlign w:val="subscript"/>
              </w:rPr>
              <w:t xml:space="preserve"> </w:t>
            </w:r>
            <w:r w:rsidRPr="00812ECB">
              <w:t xml:space="preserve"> </w:t>
            </w:r>
          </w:p>
          <w:p w14:paraId="1B6A4AE2" w14:textId="77777777" w:rsidR="006C5B5E" w:rsidRPr="00812ECB" w:rsidRDefault="006C5B5E" w:rsidP="006C5B5E">
            <w:pPr>
              <w:tabs>
                <w:tab w:val="left" w:pos="2340"/>
                <w:tab w:val="left" w:pos="3420"/>
              </w:tabs>
              <w:spacing w:after="240"/>
              <w:ind w:left="3420" w:hanging="2700"/>
              <w:rPr>
                <w:bCs/>
              </w:rPr>
            </w:pPr>
            <w:r w:rsidRPr="00812ECB">
              <w:t>The total CLR Load is included in the Real-Time AML per QSE.</w:t>
            </w:r>
          </w:p>
          <w:p w14:paraId="57C77DC4" w14:textId="77777777" w:rsidR="006C5B5E" w:rsidRPr="00812ECB" w:rsidRDefault="006C5B5E" w:rsidP="006C5B5E">
            <w:pPr>
              <w:tabs>
                <w:tab w:val="left" w:pos="2340"/>
                <w:tab w:val="left" w:pos="3420"/>
              </w:tabs>
              <w:spacing w:after="240"/>
              <w:ind w:left="3420" w:hanging="2700"/>
              <w:rPr>
                <w:b/>
                <w:bCs/>
              </w:rPr>
            </w:pPr>
            <w:r w:rsidRPr="00812ECB">
              <w:rPr>
                <w:bCs/>
              </w:rPr>
              <w:t>Where</w:t>
            </w:r>
            <w:r w:rsidRPr="00812ECB">
              <w:rPr>
                <w:bCs/>
                <w:iCs/>
              </w:rPr>
              <w:t xml:space="preserve"> the price for Settlement Meter is determined as follows:</w:t>
            </w:r>
          </w:p>
          <w:p w14:paraId="1B30B4DA" w14:textId="77777777" w:rsidR="006C5B5E" w:rsidRPr="00812ECB" w:rsidRDefault="006C5B5E" w:rsidP="006C5B5E">
            <w:pPr>
              <w:spacing w:after="240"/>
              <w:ind w:left="2880" w:hanging="2160"/>
              <w:rPr>
                <w:b/>
                <w:lang w:val="es-ES"/>
              </w:rPr>
            </w:pPr>
            <w:r w:rsidRPr="00812ECB">
              <w:rPr>
                <w:b/>
                <w:lang w:val="es-ES"/>
              </w:rPr>
              <w:t>RTRMPRCLR</w:t>
            </w:r>
            <w:r w:rsidRPr="00812ECB">
              <w:rPr>
                <w:b/>
                <w:i/>
                <w:iCs/>
                <w:vertAlign w:val="subscript"/>
                <w:lang w:val="es-ES"/>
              </w:rPr>
              <w:t xml:space="preserve"> b</w:t>
            </w:r>
            <w:r w:rsidRPr="00812ECB">
              <w:rPr>
                <w:b/>
                <w:lang w:val="es-ES"/>
              </w:rPr>
              <w:t xml:space="preserve"> </w:t>
            </w:r>
            <w:r w:rsidRPr="00812ECB">
              <w:rPr>
                <w:b/>
                <w:lang w:val="es-ES"/>
              </w:rPr>
              <w:tab/>
              <w:t xml:space="preserve">= </w:t>
            </w:r>
            <w:r w:rsidRPr="00812ECB">
              <w:rPr>
                <w:b/>
              </w:rPr>
              <w:t>Max [-$251, (</w:t>
            </w:r>
            <w:r w:rsidRPr="00812ECB">
              <w:rPr>
                <w:rFonts w:ascii="Times New Roman Bold" w:hAnsi="Times New Roman Bold"/>
                <w:b/>
                <w:noProof/>
                <w:position w:val="-18"/>
              </w:rPr>
              <w:drawing>
                <wp:inline distT="0" distB="0" distL="0" distR="0" wp14:anchorId="2B9CA0B6" wp14:editId="32CE304C">
                  <wp:extent cx="146685" cy="293370"/>
                  <wp:effectExtent l="0" t="0" r="0" b="0"/>
                  <wp:docPr id="90" name="Picture 13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sidRPr="00812ECB">
              <w:rPr>
                <w:b/>
                <w:lang w:val="es-ES"/>
              </w:rPr>
              <w:t xml:space="preserve">(RNWFL </w:t>
            </w:r>
            <w:r w:rsidRPr="00812ECB">
              <w:rPr>
                <w:b/>
                <w:i/>
                <w:iCs/>
                <w:vertAlign w:val="subscript"/>
                <w:lang w:val="es-ES"/>
              </w:rPr>
              <w:t xml:space="preserve">b, y </w:t>
            </w:r>
            <w:r w:rsidRPr="00812ECB">
              <w:rPr>
                <w:b/>
                <w:lang w:val="es-ES"/>
              </w:rPr>
              <w:t xml:space="preserve">* RTLMP </w:t>
            </w:r>
            <w:r w:rsidRPr="00812ECB">
              <w:rPr>
                <w:b/>
                <w:i/>
                <w:vertAlign w:val="subscript"/>
                <w:lang w:val="es-ES"/>
              </w:rPr>
              <w:t>b</w:t>
            </w:r>
            <w:r w:rsidRPr="00812ECB">
              <w:rPr>
                <w:b/>
                <w:i/>
                <w:iCs/>
                <w:vertAlign w:val="subscript"/>
                <w:lang w:val="es-ES"/>
              </w:rPr>
              <w:t>, y</w:t>
            </w:r>
            <w:r w:rsidRPr="00812ECB">
              <w:rPr>
                <w:b/>
                <w:lang w:val="es-ES"/>
              </w:rPr>
              <w:t xml:space="preserve">) </w:t>
            </w:r>
            <w:r w:rsidRPr="00812ECB">
              <w:rPr>
                <w:b/>
              </w:rPr>
              <w:t>+ RTRDP)]</w:t>
            </w:r>
          </w:p>
          <w:p w14:paraId="20939C7B" w14:textId="77777777" w:rsidR="00423D31" w:rsidRDefault="00423D31" w:rsidP="00423D31">
            <w:pPr>
              <w:spacing w:after="240"/>
              <w:ind w:firstLine="720"/>
            </w:pPr>
            <w:r w:rsidRPr="004368B4">
              <w:t xml:space="preserve">Where the weighting factor for the </w:t>
            </w:r>
            <w:r>
              <w:t>Electrical B</w:t>
            </w:r>
            <w:r w:rsidRPr="004368B4">
              <w:t>us associated with the meter is:</w:t>
            </w:r>
          </w:p>
          <w:p w14:paraId="59E6DBCC" w14:textId="3A46ECE1" w:rsidR="00423D31" w:rsidRDefault="00423D31" w:rsidP="00423D31">
            <w:pPr>
              <w:spacing w:after="240"/>
              <w:ind w:firstLine="720"/>
              <w:rPr>
                <w:b/>
                <w:lang w:val="es-ES"/>
              </w:rPr>
            </w:pPr>
            <w:r w:rsidRPr="000D15B1">
              <w:rPr>
                <w:b/>
                <w:lang w:val="es-ES"/>
              </w:rPr>
              <w:t xml:space="preserve">RNWFL </w:t>
            </w:r>
            <w:r w:rsidRPr="00351F0F">
              <w:rPr>
                <w:b/>
                <w:i/>
                <w:iCs/>
                <w:vertAlign w:val="subscript"/>
                <w:lang w:val="es-ES"/>
              </w:rPr>
              <w:t xml:space="preserve">b, y </w:t>
            </w:r>
            <w:r w:rsidRPr="00351F0F">
              <w:rPr>
                <w:b/>
                <w:i/>
                <w:iCs/>
                <w:vertAlign w:val="subscript"/>
                <w:lang w:val="es-ES"/>
              </w:rPr>
              <w:tab/>
            </w:r>
            <w:r>
              <w:rPr>
                <w:b/>
                <w:i/>
                <w:iCs/>
                <w:vertAlign w:val="subscript"/>
                <w:lang w:val="es-ES"/>
              </w:rPr>
              <w:tab/>
            </w:r>
            <w:r w:rsidRPr="00351F0F">
              <w:rPr>
                <w:b/>
                <w:lang w:val="es-ES"/>
              </w:rPr>
              <w:t>= [Max (0.001,</w:t>
            </w:r>
            <w:r w:rsidR="006F7954" w:rsidRPr="00A552C3">
              <w:rPr>
                <w:b/>
                <w:lang w:val="es-ES"/>
              </w:rPr>
              <w:t xml:space="preserve"> ABS(</w:t>
            </w:r>
            <w:r w:rsidRPr="00351F0F">
              <w:rPr>
                <w:b/>
                <w:lang w:val="es-ES"/>
              </w:rPr>
              <w:t xml:space="preserve"> </w:t>
            </w:r>
            <w:r>
              <w:rPr>
                <w:noProof/>
                <w:position w:val="-18"/>
              </w:rPr>
              <w:drawing>
                <wp:inline distT="0" distB="0" distL="0" distR="0" wp14:anchorId="686E41B8" wp14:editId="68DC270D">
                  <wp:extent cx="142875" cy="270510"/>
                  <wp:effectExtent l="0" t="0" r="9525" b="0"/>
                  <wp:docPr id="2090"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006F7954" w:rsidRPr="00A552C3">
              <w:rPr>
                <w:b/>
                <w:lang w:val="es-ES"/>
              </w:rPr>
              <w:t xml:space="preserve">Min(0, </w:t>
            </w:r>
            <w:r>
              <w:rPr>
                <w:b/>
                <w:lang w:val="es-ES"/>
              </w:rPr>
              <w:t>BP</w:t>
            </w:r>
            <w:r w:rsidRPr="00A3608E">
              <w:rPr>
                <w:b/>
                <w:bCs/>
                <w:i/>
                <w:iCs/>
                <w:vertAlign w:val="subscript"/>
                <w:lang w:val="es-ES"/>
              </w:rPr>
              <w:t xml:space="preserve"> r,</w:t>
            </w:r>
            <w:r w:rsidRPr="000D15B1">
              <w:rPr>
                <w:b/>
                <w:i/>
                <w:iCs/>
                <w:vertAlign w:val="subscript"/>
                <w:lang w:val="es-ES"/>
              </w:rPr>
              <w:t xml:space="preserve"> y</w:t>
            </w:r>
            <w:r w:rsidRPr="000D15B1">
              <w:rPr>
                <w:b/>
                <w:lang w:val="es-ES"/>
              </w:rPr>
              <w:t>)</w:t>
            </w:r>
            <w:r w:rsidR="006F7954">
              <w:rPr>
                <w:b/>
                <w:lang w:val="es-ES"/>
              </w:rPr>
              <w:t>))</w:t>
            </w:r>
            <w:r w:rsidRPr="000D15B1">
              <w:rPr>
                <w:b/>
                <w:lang w:val="es-ES"/>
              </w:rPr>
              <w:t xml:space="preserve"> * TLMP </w:t>
            </w:r>
            <w:r w:rsidRPr="00351F0F">
              <w:rPr>
                <w:b/>
                <w:i/>
                <w:iCs/>
                <w:vertAlign w:val="subscript"/>
                <w:lang w:val="es-ES"/>
              </w:rPr>
              <w:t>y</w:t>
            </w:r>
            <w:r w:rsidRPr="00351F0F">
              <w:rPr>
                <w:b/>
                <w:lang w:val="es-ES"/>
              </w:rPr>
              <w:t>]</w:t>
            </w:r>
            <w:r>
              <w:rPr>
                <w:b/>
                <w:lang w:val="es-ES"/>
              </w:rPr>
              <w:t xml:space="preserve"> / </w:t>
            </w:r>
          </w:p>
          <w:p w14:paraId="088B0C09" w14:textId="4DFA51FF" w:rsidR="00423D31" w:rsidRDefault="00423D31" w:rsidP="00423D31">
            <w:pPr>
              <w:spacing w:after="240"/>
              <w:ind w:firstLine="720"/>
              <w:rPr>
                <w:b/>
                <w:lang w:val="es-ES"/>
              </w:rPr>
            </w:pPr>
            <w:r>
              <w:rPr>
                <w:b/>
                <w:lang w:val="es-ES"/>
              </w:rPr>
              <w:tab/>
            </w:r>
            <w:r>
              <w:rPr>
                <w:b/>
                <w:lang w:val="es-ES"/>
              </w:rPr>
              <w:tab/>
            </w:r>
            <w:r>
              <w:rPr>
                <w:b/>
                <w:lang w:val="es-ES"/>
              </w:rPr>
              <w:tab/>
            </w:r>
            <w:r w:rsidRPr="00351F0F">
              <w:rPr>
                <w:b/>
                <w:lang w:val="es-ES"/>
              </w:rPr>
              <w:t>[</w:t>
            </w:r>
            <w:r>
              <w:rPr>
                <w:rFonts w:ascii="Times New Roman Bold" w:hAnsi="Times New Roman Bold"/>
                <w:b/>
                <w:noProof/>
                <w:position w:val="-18"/>
              </w:rPr>
              <w:drawing>
                <wp:inline distT="0" distB="0" distL="0" distR="0" wp14:anchorId="60D31D8C" wp14:editId="1E217F6B">
                  <wp:extent cx="142875" cy="294005"/>
                  <wp:effectExtent l="0" t="0" r="9525" b="0"/>
                  <wp:docPr id="2091"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0D15B1">
              <w:rPr>
                <w:b/>
                <w:lang w:val="es-ES"/>
              </w:rPr>
              <w:t>Max (0.001,</w:t>
            </w:r>
            <w:r w:rsidR="006F7954" w:rsidRPr="00A552C3">
              <w:rPr>
                <w:b/>
                <w:lang w:val="es-ES"/>
              </w:rPr>
              <w:t xml:space="preserve"> ABS(</w:t>
            </w:r>
            <w:r w:rsidRPr="000D15B1">
              <w:rPr>
                <w:b/>
                <w:lang w:val="es-ES"/>
              </w:rPr>
              <w:t xml:space="preserve"> </w:t>
            </w:r>
            <w:r>
              <w:rPr>
                <w:noProof/>
                <w:position w:val="-18"/>
              </w:rPr>
              <w:drawing>
                <wp:inline distT="0" distB="0" distL="0" distR="0" wp14:anchorId="0621F382" wp14:editId="5F876837">
                  <wp:extent cx="142875" cy="270510"/>
                  <wp:effectExtent l="0" t="0" r="9525" b="0"/>
                  <wp:docPr id="2093"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0D15B1">
              <w:rPr>
                <w:b/>
                <w:lang w:val="es-ES"/>
              </w:rPr>
              <w:t xml:space="preserve"> </w:t>
            </w:r>
            <w:r w:rsidR="006F7954" w:rsidRPr="00A552C3">
              <w:rPr>
                <w:b/>
                <w:lang w:val="es-ES"/>
              </w:rPr>
              <w:t xml:space="preserve">Min(0, </w:t>
            </w:r>
            <w:r>
              <w:rPr>
                <w:b/>
                <w:lang w:val="es-ES"/>
              </w:rPr>
              <w:t>BP</w:t>
            </w:r>
            <w:r w:rsidRPr="00A3608E">
              <w:rPr>
                <w:b/>
                <w:i/>
                <w:iCs/>
                <w:vertAlign w:val="subscript"/>
                <w:lang w:val="es-ES"/>
              </w:rPr>
              <w:t xml:space="preserve"> </w:t>
            </w:r>
            <w:r w:rsidRPr="00A3608E">
              <w:rPr>
                <w:b/>
                <w:bCs/>
                <w:i/>
                <w:iCs/>
                <w:vertAlign w:val="subscript"/>
                <w:lang w:val="es-ES"/>
              </w:rPr>
              <w:t>r,</w:t>
            </w:r>
            <w:r w:rsidRPr="00A3608E">
              <w:rPr>
                <w:b/>
                <w:i/>
                <w:iCs/>
                <w:vertAlign w:val="subscript"/>
                <w:lang w:val="es-ES"/>
              </w:rPr>
              <w:t xml:space="preserve"> y</w:t>
            </w:r>
            <w:r w:rsidRPr="00A3608E">
              <w:rPr>
                <w:b/>
                <w:lang w:val="es-ES"/>
              </w:rPr>
              <w:t>)</w:t>
            </w:r>
            <w:r w:rsidR="006F7954">
              <w:rPr>
                <w:b/>
                <w:lang w:val="es-ES"/>
              </w:rPr>
              <w:t>))</w:t>
            </w:r>
            <w:r w:rsidRPr="00351F0F">
              <w:rPr>
                <w:b/>
                <w:lang w:val="es-ES"/>
              </w:rPr>
              <w:t xml:space="preserve"> * TLMP </w:t>
            </w:r>
            <w:r w:rsidRPr="00351F0F">
              <w:rPr>
                <w:b/>
                <w:i/>
                <w:iCs/>
                <w:vertAlign w:val="subscript"/>
                <w:lang w:val="es-ES"/>
              </w:rPr>
              <w:t>y</w:t>
            </w:r>
            <w:r w:rsidRPr="00351F0F">
              <w:rPr>
                <w:b/>
                <w:lang w:val="es-ES"/>
              </w:rPr>
              <w:t>]</w:t>
            </w:r>
          </w:p>
          <w:p w14:paraId="59597076" w14:textId="77777777" w:rsidR="00423D31" w:rsidRPr="0080555B" w:rsidRDefault="00423D31" w:rsidP="00423D31">
            <w:pPr>
              <w:spacing w:after="240"/>
            </w:pPr>
            <w:r w:rsidRPr="0080555B">
              <w:t>Where:</w:t>
            </w:r>
          </w:p>
          <w:p w14:paraId="3F326894" w14:textId="769D3A00" w:rsidR="00423D31" w:rsidRPr="0080555B" w:rsidRDefault="00423D31" w:rsidP="00423D31">
            <w:pPr>
              <w:spacing w:after="240"/>
              <w:ind w:left="720"/>
            </w:pPr>
            <w:r w:rsidRPr="00193B05">
              <w:t>RTRDP =</w:t>
            </w:r>
            <w:r w:rsidRPr="00193B05">
              <w:tab/>
            </w:r>
            <w:r>
              <w:tab/>
            </w:r>
            <w:r w:rsidRPr="00193B05">
              <w:rPr>
                <w:position w:val="-22"/>
              </w:rPr>
              <w:object w:dxaOrig="225" w:dyaOrig="465" w14:anchorId="32D7EA4D">
                <v:shape id="_x0000_i1139" type="#_x0000_t75" style="width:12pt;height:18pt" o:ole="">
                  <v:imagedata r:id="rId22" o:title=""/>
                </v:shape>
                <o:OLEObject Type="Embed" ProgID="Equation.3" ShapeID="_x0000_i1139" DrawAspect="Content" ObjectID="_1815025329" r:id="rId154"/>
              </w:object>
            </w:r>
            <w:r w:rsidRPr="00193B05">
              <w:t xml:space="preserve">(RNWF </w:t>
            </w:r>
            <w:r w:rsidRPr="00193B05">
              <w:rPr>
                <w:i/>
                <w:iCs/>
                <w:vertAlign w:val="subscript"/>
              </w:rPr>
              <w:t xml:space="preserve"> y </w:t>
            </w:r>
            <w:r w:rsidRPr="00193B05">
              <w:t>* RTRDPA</w:t>
            </w:r>
            <w:r w:rsidRPr="00193B05">
              <w:rPr>
                <w:i/>
                <w:iCs/>
                <w:vertAlign w:val="subscript"/>
              </w:rPr>
              <w:t xml:space="preserve"> y</w:t>
            </w:r>
            <w:r w:rsidRPr="00193B05">
              <w:t>)</w:t>
            </w:r>
          </w:p>
          <w:p w14:paraId="0BE2C438" w14:textId="77777777" w:rsidR="00423D31" w:rsidRPr="003C650E" w:rsidRDefault="00423D31" w:rsidP="00423D31">
            <w:pPr>
              <w:spacing w:after="240"/>
              <w:ind w:firstLine="720"/>
            </w:pPr>
            <w:r w:rsidRPr="0080555B">
              <w:t xml:space="preserve">RNWF </w:t>
            </w:r>
            <w:r w:rsidRPr="0080555B">
              <w:rPr>
                <w:i/>
                <w:vertAlign w:val="subscript"/>
              </w:rPr>
              <w:t>y</w:t>
            </w:r>
            <w:r>
              <w:rPr>
                <w:i/>
                <w:vertAlign w:val="subscript"/>
              </w:rPr>
              <w:t xml:space="preserve"> </w:t>
            </w:r>
            <w:r w:rsidRPr="0080555B">
              <w:t>=</w:t>
            </w:r>
            <w:r w:rsidRPr="0080555B">
              <w:tab/>
            </w:r>
            <w:r w:rsidRPr="0080555B">
              <w:tab/>
              <w:t xml:space="preserve">TLMP </w:t>
            </w:r>
            <w:r w:rsidRPr="0080555B">
              <w:rPr>
                <w:i/>
                <w:vertAlign w:val="subscript"/>
              </w:rPr>
              <w:t>y</w:t>
            </w:r>
            <w:r w:rsidRPr="0080555B">
              <w:t xml:space="preserve"> </w:t>
            </w:r>
            <w:r w:rsidRPr="0080555B">
              <w:rPr>
                <w:color w:val="000000"/>
                <w:sz w:val="32"/>
                <w:szCs w:val="32"/>
              </w:rPr>
              <w:t>/</w:t>
            </w:r>
            <w:r w:rsidRPr="0080555B">
              <w:rPr>
                <w:color w:val="000000"/>
              </w:rPr>
              <w:t xml:space="preserve"> </w:t>
            </w:r>
            <w:r w:rsidRPr="0080555B">
              <w:rPr>
                <w:position w:val="-22"/>
              </w:rPr>
              <w:object w:dxaOrig="225" w:dyaOrig="465" w14:anchorId="204454BB">
                <v:shape id="_x0000_i1140" type="#_x0000_t75" style="width:12pt;height:18pt" o:ole="">
                  <v:imagedata r:id="rId22" o:title=""/>
                </v:shape>
                <o:OLEObject Type="Embed" ProgID="Equation.3" ShapeID="_x0000_i1140" DrawAspect="Content" ObjectID="_1815025330" r:id="rId155"/>
              </w:object>
            </w:r>
            <w:r w:rsidRPr="0080555B">
              <w:t xml:space="preserve">TLMP </w:t>
            </w:r>
            <w:r w:rsidRPr="0080555B">
              <w:rPr>
                <w:i/>
                <w:vertAlign w:val="subscript"/>
              </w:rPr>
              <w:t>y</w:t>
            </w:r>
          </w:p>
          <w:p w14:paraId="158E52A4" w14:textId="43C73740" w:rsidR="00423D31" w:rsidRDefault="00423D31" w:rsidP="00423D31">
            <w:pPr>
              <w:pStyle w:val="BodyTextNumbered"/>
              <w:spacing w:before="120"/>
              <w:ind w:firstLine="0"/>
            </w:pPr>
            <w:r w:rsidRPr="00351F0F">
              <w:t xml:space="preserve">The summation is over all </w:t>
            </w:r>
            <w:r w:rsidR="00632873" w:rsidRPr="00812ECB">
              <w:t xml:space="preserve">CLR (that is not an ALR) or </w:t>
            </w:r>
            <w:r>
              <w:t>ESR Load</w:t>
            </w:r>
            <w:r w:rsidRPr="00351F0F">
              <w:t xml:space="preserve"> </w:t>
            </w:r>
            <w:r w:rsidRPr="00351F0F">
              <w:rPr>
                <w:i/>
                <w:iCs/>
              </w:rPr>
              <w:t>r</w:t>
            </w:r>
            <w:r w:rsidRPr="00351F0F">
              <w:t xml:space="preserve"> associated to the individual meter</w:t>
            </w:r>
            <w:r w:rsidRPr="000D15B1">
              <w:t>.</w:t>
            </w:r>
            <w:r>
              <w:t xml:space="preserve">  The determination of which Resources are associated to an individual meter is static and based on the normal system configuration of the generation site code, </w:t>
            </w:r>
            <w:r>
              <w:rPr>
                <w:i/>
              </w:rPr>
              <w:t>gsc</w:t>
            </w:r>
            <w:r>
              <w:t>.</w:t>
            </w:r>
          </w:p>
          <w:p w14:paraId="10051D32" w14:textId="77777777" w:rsidR="00423D31" w:rsidRDefault="00423D31" w:rsidP="00423D31">
            <w: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6"/>
              <w:gridCol w:w="1231"/>
              <w:gridCol w:w="5791"/>
            </w:tblGrid>
            <w:tr w:rsidR="008050FF" w14:paraId="5A268B01" w14:textId="77777777" w:rsidTr="00806724">
              <w:trPr>
                <w:cantSplit/>
                <w:tblHeader/>
              </w:trPr>
              <w:tc>
                <w:tcPr>
                  <w:tcW w:w="1145" w:type="pct"/>
                </w:tcPr>
                <w:p w14:paraId="1EF42B87" w14:textId="77777777" w:rsidR="008050FF" w:rsidRDefault="008050FF" w:rsidP="008050FF">
                  <w:pPr>
                    <w:pStyle w:val="TableHead"/>
                  </w:pPr>
                  <w:r>
                    <w:lastRenderedPageBreak/>
                    <w:t>Variable</w:t>
                  </w:r>
                </w:p>
              </w:tc>
              <w:tc>
                <w:tcPr>
                  <w:tcW w:w="676" w:type="pct"/>
                </w:tcPr>
                <w:p w14:paraId="18368F18" w14:textId="77777777" w:rsidR="008050FF" w:rsidRDefault="008050FF" w:rsidP="008050FF">
                  <w:pPr>
                    <w:pStyle w:val="TableHead"/>
                  </w:pPr>
                  <w:r>
                    <w:t>Unit</w:t>
                  </w:r>
                </w:p>
              </w:tc>
              <w:tc>
                <w:tcPr>
                  <w:tcW w:w="3179" w:type="pct"/>
                </w:tcPr>
                <w:p w14:paraId="001C5647" w14:textId="77777777" w:rsidR="008050FF" w:rsidRDefault="008050FF" w:rsidP="008050FF">
                  <w:pPr>
                    <w:pStyle w:val="TableHead"/>
                  </w:pPr>
                  <w:r>
                    <w:t>Description</w:t>
                  </w:r>
                </w:p>
              </w:tc>
            </w:tr>
            <w:tr w:rsidR="008050FF" w14:paraId="2BBF187D" w14:textId="77777777" w:rsidTr="00806724">
              <w:trPr>
                <w:cantSplit/>
              </w:trPr>
              <w:tc>
                <w:tcPr>
                  <w:tcW w:w="1145" w:type="pct"/>
                </w:tcPr>
                <w:p w14:paraId="13AF7B76" w14:textId="77777777" w:rsidR="008050FF" w:rsidRDefault="008050FF" w:rsidP="008050FF">
                  <w:pPr>
                    <w:pStyle w:val="tablebody0"/>
                  </w:pPr>
                  <w:r>
                    <w:t xml:space="preserve">RTLMP </w:t>
                  </w:r>
                  <w:r w:rsidRPr="00107CC2">
                    <w:rPr>
                      <w:i/>
                      <w:vertAlign w:val="subscript"/>
                    </w:rPr>
                    <w:t>b, y</w:t>
                  </w:r>
                </w:p>
              </w:tc>
              <w:tc>
                <w:tcPr>
                  <w:tcW w:w="676" w:type="pct"/>
                </w:tcPr>
                <w:p w14:paraId="4E20146A" w14:textId="77777777" w:rsidR="008050FF" w:rsidRDefault="008050FF" w:rsidP="008050FF">
                  <w:pPr>
                    <w:pStyle w:val="tablebody0"/>
                  </w:pPr>
                  <w:r>
                    <w:t>$/MWh</w:t>
                  </w:r>
                </w:p>
              </w:tc>
              <w:tc>
                <w:tcPr>
                  <w:tcW w:w="3179" w:type="pct"/>
                </w:tcPr>
                <w:p w14:paraId="3FBC0957" w14:textId="77777777" w:rsidR="008050FF" w:rsidRDefault="008050FF" w:rsidP="008050FF">
                  <w:pPr>
                    <w:pStyle w:val="tablebody0"/>
                  </w:pPr>
                  <w:r>
                    <w:rPr>
                      <w:i/>
                    </w:rPr>
                    <w:t>Real-Time Locational Marginal Price at bus per interval</w:t>
                  </w:r>
                  <w:r>
                    <w:sym w:font="Symbol" w:char="F0BE"/>
                  </w:r>
                  <w:r>
                    <w:t xml:space="preserve">The Real-Time LMP for the meter at Electrical Bus </w:t>
                  </w:r>
                  <w:r>
                    <w:rPr>
                      <w:i/>
                    </w:rPr>
                    <w:t>b</w:t>
                  </w:r>
                  <w:r>
                    <w:t xml:space="preserve">, for the SCED interval </w:t>
                  </w:r>
                  <w:r>
                    <w:rPr>
                      <w:i/>
                    </w:rPr>
                    <w:t>y</w:t>
                  </w:r>
                  <w:r>
                    <w:t>.</w:t>
                  </w:r>
                </w:p>
              </w:tc>
            </w:tr>
            <w:tr w:rsidR="008050FF" w14:paraId="3417003F" w14:textId="77777777" w:rsidTr="00806724">
              <w:trPr>
                <w:cantSplit/>
              </w:trPr>
              <w:tc>
                <w:tcPr>
                  <w:tcW w:w="1145" w:type="pct"/>
                </w:tcPr>
                <w:p w14:paraId="5D1B2AA2" w14:textId="77777777" w:rsidR="008050FF" w:rsidRDefault="008050FF" w:rsidP="008050FF">
                  <w:pPr>
                    <w:pStyle w:val="tablebody0"/>
                  </w:pPr>
                  <w:r>
                    <w:t xml:space="preserve">TLMP </w:t>
                  </w:r>
                  <w:r w:rsidRPr="00107CC2">
                    <w:rPr>
                      <w:i/>
                      <w:vertAlign w:val="subscript"/>
                    </w:rPr>
                    <w:t>y</w:t>
                  </w:r>
                </w:p>
              </w:tc>
              <w:tc>
                <w:tcPr>
                  <w:tcW w:w="676" w:type="pct"/>
                </w:tcPr>
                <w:p w14:paraId="763F5DAB" w14:textId="77777777" w:rsidR="008050FF" w:rsidRDefault="008050FF" w:rsidP="008050FF">
                  <w:pPr>
                    <w:pStyle w:val="tablebody0"/>
                    <w:rPr>
                      <w:iCs/>
                    </w:rPr>
                  </w:pPr>
                  <w:r>
                    <w:t>second</w:t>
                  </w:r>
                </w:p>
              </w:tc>
              <w:tc>
                <w:tcPr>
                  <w:tcW w:w="3179" w:type="pct"/>
                </w:tcPr>
                <w:p w14:paraId="77F95AA2" w14:textId="77777777" w:rsidR="008050FF" w:rsidRDefault="008050FF" w:rsidP="008050FF">
                  <w:pPr>
                    <w:pStyle w:val="tablebody0"/>
                  </w:pPr>
                  <w:r>
                    <w:rPr>
                      <w:i/>
                      <w:iCs/>
                    </w:rPr>
                    <w:t xml:space="preserve">Duration of </w:t>
                  </w:r>
                  <w:r>
                    <w:rPr>
                      <w:i/>
                    </w:rPr>
                    <w:t>SCED</w:t>
                  </w:r>
                  <w:r>
                    <w:rPr>
                      <w:i/>
                      <w:iCs/>
                    </w:rPr>
                    <w:t xml:space="preserve"> interval per interval</w:t>
                  </w:r>
                  <w:r>
                    <w:sym w:font="Symbol" w:char="F0BE"/>
                  </w:r>
                  <w:r>
                    <w:t xml:space="preserve">The duration of the SCED interval </w:t>
                  </w:r>
                  <w:r>
                    <w:rPr>
                      <w:i/>
                      <w:iCs/>
                    </w:rPr>
                    <w:t>y</w:t>
                  </w:r>
                  <w:r>
                    <w:t>.</w:t>
                  </w:r>
                </w:p>
              </w:tc>
            </w:tr>
            <w:tr w:rsidR="008050FF" w14:paraId="2CCD175C" w14:textId="77777777" w:rsidTr="00806724">
              <w:trPr>
                <w:cantSplit/>
              </w:trPr>
              <w:tc>
                <w:tcPr>
                  <w:tcW w:w="1145" w:type="pct"/>
                </w:tcPr>
                <w:p w14:paraId="5E463421" w14:textId="77777777" w:rsidR="008050FF" w:rsidRPr="0080555B" w:rsidRDefault="008050FF" w:rsidP="008050FF">
                  <w:pPr>
                    <w:pStyle w:val="tablebody0"/>
                  </w:pPr>
                  <w:r>
                    <w:t>RTRDP</w:t>
                  </w:r>
                </w:p>
              </w:tc>
              <w:tc>
                <w:tcPr>
                  <w:tcW w:w="676" w:type="pct"/>
                </w:tcPr>
                <w:p w14:paraId="464AAC61" w14:textId="77777777" w:rsidR="008050FF" w:rsidRPr="0080555B" w:rsidRDefault="008050FF" w:rsidP="008050FF">
                  <w:pPr>
                    <w:pStyle w:val="tablebody0"/>
                  </w:pPr>
                  <w:r>
                    <w:t>$/MWh</w:t>
                  </w:r>
                </w:p>
              </w:tc>
              <w:tc>
                <w:tcPr>
                  <w:tcW w:w="3179" w:type="pct"/>
                </w:tcPr>
                <w:p w14:paraId="39C3EFA3" w14:textId="142E5814" w:rsidR="008050FF" w:rsidRPr="0080555B" w:rsidRDefault="008050FF" w:rsidP="00EC5231">
                  <w:pPr>
                    <w:pStyle w:val="tablebody0"/>
                    <w:rPr>
                      <w:i/>
                    </w:rPr>
                  </w:pPr>
                  <w:r>
                    <w:rPr>
                      <w:i/>
                    </w:rPr>
                    <w:t>Real-Time Reliability Deployment Price</w:t>
                  </w:r>
                  <w:r w:rsidR="00EC5231">
                    <w:rPr>
                      <w:i/>
                    </w:rPr>
                    <w:t xml:space="preserve"> for Energy</w:t>
                  </w:r>
                  <w:r>
                    <w:rPr>
                      <w:i/>
                    </w:rPr>
                    <w:t xml:space="preserv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w:t>
                  </w:r>
                  <w:r w:rsidR="00EC5231">
                    <w:rPr>
                      <w:bCs/>
                    </w:rPr>
                    <w:t>T</w:t>
                  </w:r>
                  <w:r>
                    <w:rPr>
                      <w:bCs/>
                    </w:rPr>
                    <w:t>ime Reliability Deployment Price Adder</w:t>
                  </w:r>
                  <w:r w:rsidR="00EC5231">
                    <w:rPr>
                      <w:bCs/>
                    </w:rPr>
                    <w:t xml:space="preserve"> for Energy</w:t>
                  </w:r>
                  <w:r w:rsidRPr="0080555B">
                    <w:t>.</w:t>
                  </w:r>
                </w:p>
              </w:tc>
            </w:tr>
            <w:tr w:rsidR="008050FF" w14:paraId="6363ECD8" w14:textId="77777777" w:rsidTr="00806724">
              <w:trPr>
                <w:cantSplit/>
              </w:trPr>
              <w:tc>
                <w:tcPr>
                  <w:tcW w:w="1145" w:type="pct"/>
                </w:tcPr>
                <w:p w14:paraId="5305E16A" w14:textId="50F5A6FF" w:rsidR="008050FF" w:rsidRPr="0080555B" w:rsidRDefault="008050FF" w:rsidP="008050FF">
                  <w:pPr>
                    <w:pStyle w:val="tablebody0"/>
                  </w:pPr>
                  <w:r>
                    <w:t>RTRDPA</w:t>
                  </w:r>
                  <w:r w:rsidRPr="00CE4C14">
                    <w:rPr>
                      <w:vertAlign w:val="subscript"/>
                    </w:rPr>
                    <w:t xml:space="preserve"> </w:t>
                  </w:r>
                  <w:r w:rsidRPr="00107CC2">
                    <w:rPr>
                      <w:i/>
                      <w:vertAlign w:val="subscript"/>
                    </w:rPr>
                    <w:t>y</w:t>
                  </w:r>
                </w:p>
              </w:tc>
              <w:tc>
                <w:tcPr>
                  <w:tcW w:w="676" w:type="pct"/>
                </w:tcPr>
                <w:p w14:paraId="23A573CE" w14:textId="77777777" w:rsidR="008050FF" w:rsidRPr="0080555B" w:rsidRDefault="008050FF" w:rsidP="008050FF">
                  <w:pPr>
                    <w:pStyle w:val="tablebody0"/>
                  </w:pPr>
                  <w:r>
                    <w:t>$/MWh</w:t>
                  </w:r>
                </w:p>
              </w:tc>
              <w:tc>
                <w:tcPr>
                  <w:tcW w:w="3179" w:type="pct"/>
                </w:tcPr>
                <w:p w14:paraId="1D586694" w14:textId="5610573F" w:rsidR="008050FF" w:rsidRPr="0080555B" w:rsidRDefault="008050FF" w:rsidP="00EC5231">
                  <w:pPr>
                    <w:pStyle w:val="tablebody0"/>
                    <w:rPr>
                      <w:i/>
                    </w:rPr>
                  </w:pPr>
                  <w:r>
                    <w:rPr>
                      <w:i/>
                    </w:rPr>
                    <w:t>Real-Time Reliability Deployment Price Adder</w:t>
                  </w:r>
                  <w:r w:rsidR="00EC5231">
                    <w:rPr>
                      <w:i/>
                    </w:rPr>
                    <w:t xml:space="preserve"> for Energy</w:t>
                  </w:r>
                  <w:r>
                    <w:rPr>
                      <w:i/>
                    </w:rPr>
                    <w:t xml:space="preserve"> </w:t>
                  </w:r>
                  <w:r w:rsidRPr="00CE4C14">
                    <w:sym w:font="Symbol" w:char="F0BE"/>
                  </w:r>
                  <w:r>
                    <w:t xml:space="preserve">The Real-Time </w:t>
                  </w:r>
                  <w:r w:rsidR="00EC5231">
                    <w:t>p</w:t>
                  </w:r>
                  <w:r>
                    <w:t xml:space="preserve">rice </w:t>
                  </w:r>
                  <w:r w:rsidR="00EC5231">
                    <w:t>a</w:t>
                  </w:r>
                  <w:r>
                    <w:t>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8050FF" w14:paraId="7CD1A681" w14:textId="77777777" w:rsidTr="00806724">
              <w:trPr>
                <w:cantSplit/>
              </w:trPr>
              <w:tc>
                <w:tcPr>
                  <w:tcW w:w="1145" w:type="pct"/>
                </w:tcPr>
                <w:p w14:paraId="0B81F356" w14:textId="77777777" w:rsidR="008050FF" w:rsidRPr="004368B4" w:rsidRDefault="008050FF" w:rsidP="008050FF">
                  <w:pPr>
                    <w:pStyle w:val="tablebody0"/>
                  </w:pPr>
                  <w:r w:rsidRPr="0080555B">
                    <w:t xml:space="preserve">RNWF </w:t>
                  </w:r>
                  <w:r w:rsidRPr="00107CC2">
                    <w:rPr>
                      <w:i/>
                      <w:vertAlign w:val="subscript"/>
                    </w:rPr>
                    <w:t>y</w:t>
                  </w:r>
                </w:p>
              </w:tc>
              <w:tc>
                <w:tcPr>
                  <w:tcW w:w="676" w:type="pct"/>
                </w:tcPr>
                <w:p w14:paraId="1360EE0E" w14:textId="77777777" w:rsidR="008050FF" w:rsidRPr="004368B4" w:rsidRDefault="008050FF" w:rsidP="008050FF">
                  <w:pPr>
                    <w:pStyle w:val="tablebody0"/>
                  </w:pPr>
                  <w:r w:rsidRPr="0080555B">
                    <w:t>none</w:t>
                  </w:r>
                </w:p>
              </w:tc>
              <w:tc>
                <w:tcPr>
                  <w:tcW w:w="3179" w:type="pct"/>
                </w:tcPr>
                <w:p w14:paraId="08995154" w14:textId="4BEFF53C" w:rsidR="008050FF" w:rsidRPr="00351F0F" w:rsidRDefault="008050FF" w:rsidP="008050FF">
                  <w:pPr>
                    <w:pStyle w:val="tablebody0"/>
                    <w:rPr>
                      <w:i/>
                    </w:rPr>
                  </w:pPr>
                  <w:r w:rsidRPr="0080555B">
                    <w:rPr>
                      <w:i/>
                    </w:rPr>
                    <w:t>Resource Node Weighting Factor per interval</w:t>
                  </w:r>
                  <w:r w:rsidRPr="0080555B">
                    <w:sym w:font="Symbol" w:char="F0BE"/>
                  </w:r>
                  <w:r w:rsidRPr="0080555B">
                    <w:t xml:space="preserve">The weight used in the </w:t>
                  </w:r>
                  <w:r w:rsidR="006F7954" w:rsidRPr="00A552C3">
                    <w:t>Real-Time Reliability Deployment price</w:t>
                  </w:r>
                  <w:r w:rsidRPr="0080555B">
                    <w:t xml:space="preserve"> calculation for the portion of the SCED interval </w:t>
                  </w:r>
                  <w:r w:rsidRPr="0080555B">
                    <w:rPr>
                      <w:i/>
                    </w:rPr>
                    <w:t>y</w:t>
                  </w:r>
                  <w:r w:rsidRPr="0080555B">
                    <w:t xml:space="preserve"> within the Settlement Interval.</w:t>
                  </w:r>
                </w:p>
              </w:tc>
            </w:tr>
            <w:tr w:rsidR="008050FF" w14:paraId="413EA4AB" w14:textId="77777777" w:rsidTr="00806724">
              <w:trPr>
                <w:cantSplit/>
              </w:trPr>
              <w:tc>
                <w:tcPr>
                  <w:tcW w:w="1145" w:type="pct"/>
                </w:tcPr>
                <w:p w14:paraId="11ED9C66" w14:textId="77777777" w:rsidR="008050FF" w:rsidRDefault="008050FF" w:rsidP="008050FF">
                  <w:pPr>
                    <w:pStyle w:val="tablebody0"/>
                  </w:pPr>
                  <w:r w:rsidRPr="004368B4">
                    <w:t>MEBL</w:t>
                  </w:r>
                  <w:r w:rsidRPr="004368B4">
                    <w:rPr>
                      <w:vertAlign w:val="subscript"/>
                    </w:rPr>
                    <w:t xml:space="preserve"> </w:t>
                  </w:r>
                  <w:r w:rsidRPr="00107CC2">
                    <w:rPr>
                      <w:i/>
                      <w:vertAlign w:val="subscript"/>
                    </w:rPr>
                    <w:t>q,r,b</w:t>
                  </w:r>
                </w:p>
              </w:tc>
              <w:tc>
                <w:tcPr>
                  <w:tcW w:w="676" w:type="pct"/>
                </w:tcPr>
                <w:p w14:paraId="6395C081" w14:textId="77777777" w:rsidR="008050FF" w:rsidRDefault="008050FF" w:rsidP="008050FF">
                  <w:pPr>
                    <w:pStyle w:val="tablebody0"/>
                  </w:pPr>
                  <w:r w:rsidRPr="004368B4">
                    <w:t>MWh</w:t>
                  </w:r>
                </w:p>
              </w:tc>
              <w:tc>
                <w:tcPr>
                  <w:tcW w:w="3179" w:type="pct"/>
                </w:tcPr>
                <w:p w14:paraId="030711B3" w14:textId="7FFA5CCF" w:rsidR="008050FF" w:rsidRDefault="008050FF" w:rsidP="008050FF">
                  <w:pPr>
                    <w:pStyle w:val="tablebody0"/>
                    <w:rPr>
                      <w:i/>
                      <w:iCs/>
                    </w:rPr>
                  </w:pPr>
                  <w:r w:rsidRPr="00351F0F">
                    <w:rPr>
                      <w:i/>
                    </w:rPr>
                    <w:t xml:space="preserve">Metered Energy for Wholesale </w:t>
                  </w:r>
                  <w:r>
                    <w:rPr>
                      <w:i/>
                    </w:rPr>
                    <w:t xml:space="preserve">Storage </w:t>
                  </w:r>
                  <w:r w:rsidRPr="00351F0F">
                    <w:rPr>
                      <w:i/>
                    </w:rPr>
                    <w:t xml:space="preserve">Load at </w:t>
                  </w:r>
                  <w:r w:rsidR="00632873">
                    <w:rPr>
                      <w:i/>
                    </w:rPr>
                    <w:t>B</w:t>
                  </w:r>
                  <w:r w:rsidRPr="00351F0F">
                    <w:rPr>
                      <w:i/>
                    </w:rPr>
                    <w:t>us</w:t>
                  </w:r>
                  <w:r w:rsidRPr="00351F0F">
                    <w:sym w:font="Symbol" w:char="F0BE"/>
                  </w:r>
                  <w:r w:rsidRPr="00351F0F">
                    <w:t xml:space="preserve">The WSL energy metered by the Settlement Meter which measures WSL for the 15-minute Settlement Interval represented as a negative value, for the QSE </w:t>
                  </w:r>
                  <w:r w:rsidRPr="00C356D0">
                    <w:rPr>
                      <w:i/>
                    </w:rPr>
                    <w:t>q</w:t>
                  </w:r>
                  <w:r w:rsidRPr="00351F0F">
                    <w:t xml:space="preserve">, Resource </w:t>
                  </w:r>
                  <w:r w:rsidRPr="00C356D0">
                    <w:rPr>
                      <w:i/>
                    </w:rPr>
                    <w:t>r</w:t>
                  </w:r>
                  <w:r w:rsidRPr="00351F0F">
                    <w:t xml:space="preserve">, at bus </w:t>
                  </w:r>
                  <w:r w:rsidRPr="00C356D0">
                    <w:rPr>
                      <w:i/>
                    </w:rPr>
                    <w:t>b</w:t>
                  </w:r>
                  <w:r w:rsidRPr="00351F0F">
                    <w:t>.</w:t>
                  </w:r>
                  <w:r w:rsidRPr="000D15B1">
                    <w:t xml:space="preserve">  </w:t>
                  </w:r>
                </w:p>
              </w:tc>
            </w:tr>
            <w:tr w:rsidR="00632873" w14:paraId="706DA1C8" w14:textId="77777777" w:rsidTr="00806724">
              <w:trPr>
                <w:cantSplit/>
              </w:trPr>
              <w:tc>
                <w:tcPr>
                  <w:tcW w:w="1145" w:type="pct"/>
                </w:tcPr>
                <w:p w14:paraId="0E2C68CD" w14:textId="30052DF0" w:rsidR="00632873" w:rsidRPr="00067E90" w:rsidRDefault="00632873" w:rsidP="00632873">
                  <w:pPr>
                    <w:pStyle w:val="tablebody0"/>
                  </w:pPr>
                  <w:r w:rsidRPr="00812ECB">
                    <w:t xml:space="preserve">MEBCL </w:t>
                  </w:r>
                  <w:r w:rsidRPr="00812ECB">
                    <w:rPr>
                      <w:i/>
                      <w:vertAlign w:val="subscript"/>
                    </w:rPr>
                    <w:t>q, r, b</w:t>
                  </w:r>
                </w:p>
              </w:tc>
              <w:tc>
                <w:tcPr>
                  <w:tcW w:w="676" w:type="pct"/>
                </w:tcPr>
                <w:p w14:paraId="58BD2629" w14:textId="51C023A8" w:rsidR="00632873" w:rsidRPr="00067E90" w:rsidRDefault="00632873" w:rsidP="00632873">
                  <w:pPr>
                    <w:pStyle w:val="tablebody0"/>
                  </w:pPr>
                  <w:r w:rsidRPr="00812ECB">
                    <w:t>MWh</w:t>
                  </w:r>
                </w:p>
              </w:tc>
              <w:tc>
                <w:tcPr>
                  <w:tcW w:w="3179" w:type="pct"/>
                </w:tcPr>
                <w:p w14:paraId="6B6DDABE" w14:textId="5324CB35" w:rsidR="00632873" w:rsidRPr="004615F6" w:rsidRDefault="00632873" w:rsidP="00632873">
                  <w:pPr>
                    <w:pStyle w:val="tablebody0"/>
                    <w:rPr>
                      <w:i/>
                    </w:rPr>
                  </w:pPr>
                  <w:r w:rsidRPr="00812ECB">
                    <w:rPr>
                      <w:i/>
                    </w:rPr>
                    <w:t xml:space="preserve">Calculated Metered Energy for CLR Load at Bus </w:t>
                  </w:r>
                  <w:r w:rsidRPr="00812ECB">
                    <w:t xml:space="preserve">- The calculated CLR Load, adjusted for UFE, for the 15-minute Settlement Interval represented as a negative value, for the QSE </w:t>
                  </w:r>
                  <w:r w:rsidRPr="00812ECB">
                    <w:rPr>
                      <w:i/>
                    </w:rPr>
                    <w:t>q</w:t>
                  </w:r>
                  <w:r w:rsidRPr="00812ECB">
                    <w:t xml:space="preserve">, Resource </w:t>
                  </w:r>
                  <w:r w:rsidRPr="00812ECB">
                    <w:rPr>
                      <w:i/>
                    </w:rPr>
                    <w:t>r</w:t>
                  </w:r>
                  <w:r w:rsidRPr="00812ECB">
                    <w:t xml:space="preserve">, at bus </w:t>
                  </w:r>
                  <w:r w:rsidRPr="00812ECB">
                    <w:rPr>
                      <w:i/>
                    </w:rPr>
                    <w:t>b</w:t>
                  </w:r>
                  <w:r w:rsidRPr="00812ECB">
                    <w:t xml:space="preserve">.  </w:t>
                  </w:r>
                  <w:r w:rsidRPr="00812ECB">
                    <w:rPr>
                      <w:i/>
                    </w:rPr>
                    <w:t xml:space="preserve"> </w:t>
                  </w:r>
                </w:p>
              </w:tc>
            </w:tr>
            <w:tr w:rsidR="00632873" w14:paraId="2C6A28A7" w14:textId="77777777" w:rsidTr="00806724">
              <w:trPr>
                <w:cantSplit/>
              </w:trPr>
              <w:tc>
                <w:tcPr>
                  <w:tcW w:w="1145" w:type="pct"/>
                </w:tcPr>
                <w:p w14:paraId="38E4721D" w14:textId="45948EAA" w:rsidR="00632873" w:rsidRPr="00067E90" w:rsidRDefault="00632873" w:rsidP="00632873">
                  <w:pPr>
                    <w:pStyle w:val="tablebody0"/>
                  </w:pPr>
                  <w:r w:rsidRPr="00812ECB">
                    <w:t xml:space="preserve">MEBCLFG </w:t>
                  </w:r>
                  <w:r w:rsidRPr="00812ECB">
                    <w:rPr>
                      <w:i/>
                      <w:vertAlign w:val="subscript"/>
                    </w:rPr>
                    <w:t>q, r, b</w:t>
                  </w:r>
                </w:p>
              </w:tc>
              <w:tc>
                <w:tcPr>
                  <w:tcW w:w="676" w:type="pct"/>
                </w:tcPr>
                <w:p w14:paraId="2EFA9123" w14:textId="6F31E480" w:rsidR="00632873" w:rsidRPr="00067E90" w:rsidRDefault="00632873" w:rsidP="00632873">
                  <w:pPr>
                    <w:pStyle w:val="tablebody0"/>
                  </w:pPr>
                  <w:r w:rsidRPr="00812ECB">
                    <w:t>MWh</w:t>
                  </w:r>
                </w:p>
              </w:tc>
              <w:tc>
                <w:tcPr>
                  <w:tcW w:w="3179" w:type="pct"/>
                </w:tcPr>
                <w:p w14:paraId="5D9EB3F2" w14:textId="6817ED0C" w:rsidR="00632873" w:rsidRPr="004615F6" w:rsidRDefault="00632873" w:rsidP="00632873">
                  <w:pPr>
                    <w:pStyle w:val="tablebody0"/>
                    <w:rPr>
                      <w:i/>
                    </w:rPr>
                  </w:pPr>
                  <w:r w:rsidRPr="00812ECB">
                    <w:rPr>
                      <w:i/>
                    </w:rPr>
                    <w:t>Adjusted Metered Energy for CLR Load supplied from the grid at Bus (Calculated)</w:t>
                  </w:r>
                  <w:r w:rsidRPr="00812ECB">
                    <w:t xml:space="preserve">—The portion of energy metered by the Settlement Meter which measures CLR Load supplied from the grid that is adjusted for losses, for the 15-minute Settlement Interval represented as a negative value, for the QSE </w:t>
                  </w:r>
                  <w:r w:rsidRPr="00812ECB">
                    <w:rPr>
                      <w:i/>
                    </w:rPr>
                    <w:t>q</w:t>
                  </w:r>
                  <w:r w:rsidRPr="00812ECB">
                    <w:t xml:space="preserve">, Resource </w:t>
                  </w:r>
                  <w:r w:rsidRPr="00812ECB">
                    <w:rPr>
                      <w:i/>
                    </w:rPr>
                    <w:t>r</w:t>
                  </w:r>
                  <w:r w:rsidRPr="00812ECB">
                    <w:t xml:space="preserve">, at bus </w:t>
                  </w:r>
                  <w:r w:rsidRPr="00812ECB">
                    <w:rPr>
                      <w:i/>
                    </w:rPr>
                    <w:t>b</w:t>
                  </w:r>
                  <w:r w:rsidRPr="00812ECB">
                    <w:t>.</w:t>
                  </w:r>
                </w:p>
              </w:tc>
            </w:tr>
            <w:tr w:rsidR="00632873" w14:paraId="01149654" w14:textId="77777777" w:rsidTr="00806724">
              <w:trPr>
                <w:cantSplit/>
              </w:trPr>
              <w:tc>
                <w:tcPr>
                  <w:tcW w:w="1145" w:type="pct"/>
                </w:tcPr>
                <w:p w14:paraId="7FA64B0E" w14:textId="78EDCA96" w:rsidR="00632873" w:rsidRPr="00067E90" w:rsidRDefault="00632873" w:rsidP="00632873">
                  <w:pPr>
                    <w:pStyle w:val="tablebody0"/>
                  </w:pPr>
                  <w:r w:rsidRPr="00812ECB">
                    <w:t xml:space="preserve">MEBCLSG </w:t>
                  </w:r>
                  <w:r w:rsidRPr="00812ECB">
                    <w:rPr>
                      <w:i/>
                      <w:vertAlign w:val="subscript"/>
                    </w:rPr>
                    <w:t>q, r, b</w:t>
                  </w:r>
                </w:p>
              </w:tc>
              <w:tc>
                <w:tcPr>
                  <w:tcW w:w="676" w:type="pct"/>
                </w:tcPr>
                <w:p w14:paraId="299A67BA" w14:textId="5581C58A" w:rsidR="00632873" w:rsidRPr="00067E90" w:rsidRDefault="00632873" w:rsidP="00632873">
                  <w:pPr>
                    <w:pStyle w:val="tablebody0"/>
                  </w:pPr>
                  <w:r w:rsidRPr="00812ECB">
                    <w:t>MWh</w:t>
                  </w:r>
                </w:p>
              </w:tc>
              <w:tc>
                <w:tcPr>
                  <w:tcW w:w="3179" w:type="pct"/>
                </w:tcPr>
                <w:p w14:paraId="238A05FE" w14:textId="6E843272" w:rsidR="00632873" w:rsidRPr="004615F6" w:rsidRDefault="00632873" w:rsidP="00632873">
                  <w:pPr>
                    <w:pStyle w:val="tablebody0"/>
                    <w:rPr>
                      <w:i/>
                    </w:rPr>
                  </w:pPr>
                  <w:r w:rsidRPr="00812ECB">
                    <w:rPr>
                      <w:i/>
                    </w:rPr>
                    <w:t xml:space="preserve">Metered Energy for CLR Load supplied from co-located generation with Net Metering arrangement, at Bus (Calculated) </w:t>
                  </w:r>
                  <w:r w:rsidRPr="00812ECB">
                    <w:t xml:space="preserve">—The portion of energy metered by the Settlement Meter which measures CLR Load supplied from the co-located generation with Net Metering arrangement. This is not adjusted for losses, for the 15-minute Settlement Interval represented as a negative value, for the QSE </w:t>
                  </w:r>
                  <w:r w:rsidRPr="00812ECB">
                    <w:rPr>
                      <w:i/>
                    </w:rPr>
                    <w:t>q</w:t>
                  </w:r>
                  <w:r w:rsidRPr="00812ECB">
                    <w:t xml:space="preserve">, Resource </w:t>
                  </w:r>
                  <w:r w:rsidRPr="00812ECB">
                    <w:rPr>
                      <w:i/>
                    </w:rPr>
                    <w:t>r</w:t>
                  </w:r>
                  <w:r w:rsidRPr="00812ECB">
                    <w:t xml:space="preserve">, at bus </w:t>
                  </w:r>
                  <w:r w:rsidRPr="00812ECB">
                    <w:rPr>
                      <w:i/>
                    </w:rPr>
                    <w:t>b</w:t>
                  </w:r>
                  <w:r w:rsidRPr="00812ECB">
                    <w:t>.</w:t>
                  </w:r>
                </w:p>
              </w:tc>
            </w:tr>
            <w:tr w:rsidR="008050FF" w14:paraId="05682B65" w14:textId="77777777" w:rsidTr="00806724">
              <w:trPr>
                <w:cantSplit/>
              </w:trPr>
              <w:tc>
                <w:tcPr>
                  <w:tcW w:w="1145" w:type="pct"/>
                </w:tcPr>
                <w:p w14:paraId="1B400726" w14:textId="77777777" w:rsidR="008050FF" w:rsidRPr="004368B4" w:rsidRDefault="008050FF" w:rsidP="008050FF">
                  <w:pPr>
                    <w:pStyle w:val="tablebody0"/>
                  </w:pPr>
                  <w:r w:rsidRPr="00067E90">
                    <w:t>MEB</w:t>
                  </w:r>
                  <w:r>
                    <w:t>R</w:t>
                  </w:r>
                  <w:r w:rsidRPr="00067E90">
                    <w:t xml:space="preserve"> </w:t>
                  </w:r>
                  <w:r w:rsidRPr="005106EC">
                    <w:rPr>
                      <w:i/>
                      <w:vertAlign w:val="subscript"/>
                    </w:rPr>
                    <w:t>q,</w:t>
                  </w:r>
                  <w:r>
                    <w:rPr>
                      <w:i/>
                      <w:vertAlign w:val="subscript"/>
                    </w:rPr>
                    <w:t xml:space="preserve"> </w:t>
                  </w:r>
                  <w:r w:rsidRPr="005106EC">
                    <w:rPr>
                      <w:i/>
                      <w:vertAlign w:val="subscript"/>
                    </w:rPr>
                    <w:t>r,</w:t>
                  </w:r>
                  <w:r>
                    <w:rPr>
                      <w:i/>
                      <w:vertAlign w:val="subscript"/>
                    </w:rPr>
                    <w:t xml:space="preserve"> </w:t>
                  </w:r>
                  <w:r w:rsidRPr="005106EC">
                    <w:rPr>
                      <w:i/>
                      <w:vertAlign w:val="subscript"/>
                    </w:rPr>
                    <w:t>b</w:t>
                  </w:r>
                </w:p>
              </w:tc>
              <w:tc>
                <w:tcPr>
                  <w:tcW w:w="676" w:type="pct"/>
                </w:tcPr>
                <w:p w14:paraId="025EEAD1" w14:textId="77777777" w:rsidR="008050FF" w:rsidRPr="004368B4" w:rsidRDefault="008050FF" w:rsidP="008050FF">
                  <w:pPr>
                    <w:pStyle w:val="tablebody0"/>
                  </w:pPr>
                  <w:r w:rsidRPr="00067E90">
                    <w:t>MWh</w:t>
                  </w:r>
                </w:p>
              </w:tc>
              <w:tc>
                <w:tcPr>
                  <w:tcW w:w="3179" w:type="pct"/>
                </w:tcPr>
                <w:p w14:paraId="0E62F546" w14:textId="5A4D3779" w:rsidR="008050FF" w:rsidRPr="00351F0F" w:rsidRDefault="00632873" w:rsidP="00674579">
                  <w:pPr>
                    <w:pStyle w:val="tablebody0"/>
                    <w:rPr>
                      <w:i/>
                    </w:rPr>
                  </w:pPr>
                  <w:r>
                    <w:rPr>
                      <w:i/>
                    </w:rPr>
                    <w:t xml:space="preserve">Calculated </w:t>
                  </w:r>
                  <w:r w:rsidR="008050FF" w:rsidRPr="004615F6">
                    <w:rPr>
                      <w:i/>
                    </w:rPr>
                    <w:t xml:space="preserve">Metered Energy for </w:t>
                  </w:r>
                  <w:r w:rsidR="008050FF" w:rsidRPr="00157CEA">
                    <w:rPr>
                      <w:i/>
                    </w:rPr>
                    <w:t xml:space="preserve">Energy Storage Resource </w:t>
                  </w:r>
                  <w:r w:rsidR="008050FF">
                    <w:rPr>
                      <w:i/>
                    </w:rPr>
                    <w:t xml:space="preserve">Load </w:t>
                  </w:r>
                  <w:r w:rsidR="008050FF" w:rsidRPr="004615F6">
                    <w:rPr>
                      <w:i/>
                    </w:rPr>
                    <w:t xml:space="preserve">at Bus </w:t>
                  </w:r>
                  <w:r w:rsidR="008050FF" w:rsidRPr="00157CEA">
                    <w:t xml:space="preserve">- </w:t>
                  </w:r>
                  <w:r w:rsidR="008050FF" w:rsidRPr="00B3121D">
                    <w:t xml:space="preserve">The </w:t>
                  </w:r>
                  <w:r>
                    <w:t>calculated</w:t>
                  </w:r>
                  <w:r w:rsidR="008050FF" w:rsidRPr="00B3121D">
                    <w:t xml:space="preserve"> </w:t>
                  </w:r>
                  <w:r w:rsidR="00674579">
                    <w:t>Non-WSL ESR Charging Load</w:t>
                  </w:r>
                  <w:r w:rsidRPr="00812ECB">
                    <w:t>, adjusted for UFE,</w:t>
                  </w:r>
                  <w:r w:rsidR="008050FF">
                    <w:t xml:space="preserve"> </w:t>
                  </w:r>
                  <w:r w:rsidR="008050FF" w:rsidRPr="00B3121D">
                    <w:t xml:space="preserve">for the 15-minute Settlement </w:t>
                  </w:r>
                  <w:r w:rsidR="008050FF" w:rsidRPr="00B4196C">
                    <w:t xml:space="preserve">Interval represented as a negative value, for the QSE </w:t>
                  </w:r>
                  <w:r w:rsidR="008050FF" w:rsidRPr="00E26485">
                    <w:rPr>
                      <w:i/>
                    </w:rPr>
                    <w:t>q</w:t>
                  </w:r>
                  <w:r w:rsidR="008050FF" w:rsidRPr="00B35E2C">
                    <w:t xml:space="preserve">, Resource </w:t>
                  </w:r>
                  <w:r w:rsidR="008050FF" w:rsidRPr="007045B8">
                    <w:rPr>
                      <w:i/>
                    </w:rPr>
                    <w:t>r</w:t>
                  </w:r>
                  <w:r w:rsidR="008050FF" w:rsidRPr="0031111F">
                    <w:t xml:space="preserve">, at bus </w:t>
                  </w:r>
                  <w:r w:rsidR="008050FF" w:rsidRPr="0007572F">
                    <w:rPr>
                      <w:i/>
                    </w:rPr>
                    <w:t>b</w:t>
                  </w:r>
                  <w:r w:rsidR="008050FF" w:rsidRPr="0007572F">
                    <w:t xml:space="preserve">.  </w:t>
                  </w:r>
                  <w:r w:rsidR="008050FF" w:rsidRPr="00067E90">
                    <w:rPr>
                      <w:i/>
                    </w:rPr>
                    <w:t xml:space="preserve"> </w:t>
                  </w:r>
                </w:p>
              </w:tc>
            </w:tr>
            <w:tr w:rsidR="00632873" w14:paraId="46C35888" w14:textId="77777777" w:rsidTr="00806724">
              <w:trPr>
                <w:cantSplit/>
              </w:trPr>
              <w:tc>
                <w:tcPr>
                  <w:tcW w:w="1145" w:type="pct"/>
                </w:tcPr>
                <w:p w14:paraId="38CAE539" w14:textId="4DAA9259" w:rsidR="00632873" w:rsidRDefault="00632873" w:rsidP="00632873">
                  <w:pPr>
                    <w:pStyle w:val="tablebody0"/>
                  </w:pPr>
                  <w:r w:rsidRPr="00812ECB">
                    <w:t xml:space="preserve">MEBRFG </w:t>
                  </w:r>
                  <w:r w:rsidRPr="00812ECB">
                    <w:rPr>
                      <w:i/>
                      <w:vertAlign w:val="subscript"/>
                    </w:rPr>
                    <w:t>q, r, b</w:t>
                  </w:r>
                </w:p>
              </w:tc>
              <w:tc>
                <w:tcPr>
                  <w:tcW w:w="676" w:type="pct"/>
                </w:tcPr>
                <w:p w14:paraId="5AC87C5E" w14:textId="23BD5080" w:rsidR="00632873" w:rsidRPr="004368B4" w:rsidRDefault="00632873" w:rsidP="00632873">
                  <w:pPr>
                    <w:pStyle w:val="tablebody0"/>
                  </w:pPr>
                  <w:r w:rsidRPr="00812ECB">
                    <w:t>MWh</w:t>
                  </w:r>
                </w:p>
              </w:tc>
              <w:tc>
                <w:tcPr>
                  <w:tcW w:w="3179" w:type="pct"/>
                </w:tcPr>
                <w:p w14:paraId="585818FC" w14:textId="30C6151E" w:rsidR="00632873" w:rsidRDefault="00632873" w:rsidP="00632873">
                  <w:pPr>
                    <w:pStyle w:val="tablebody0"/>
                    <w:rPr>
                      <w:i/>
                    </w:rPr>
                  </w:pPr>
                  <w:r w:rsidRPr="00812ECB">
                    <w:rPr>
                      <w:i/>
                    </w:rPr>
                    <w:t xml:space="preserve">Adjusted Metered Energy for Energy Storage Resource Load supplied from the grid at Bus (Calculated) </w:t>
                  </w:r>
                  <w:r w:rsidRPr="00812ECB">
                    <w:t xml:space="preserve">—The portion of energy metered by the Settlement Meter which measures Non-WSL ESR Charging Load supplied from the grid that is adjusted for losses, for the 15-minute Settlement Interval represented as a negative value, for the QSE </w:t>
                  </w:r>
                  <w:r w:rsidRPr="00812ECB">
                    <w:rPr>
                      <w:i/>
                    </w:rPr>
                    <w:t>q</w:t>
                  </w:r>
                  <w:r w:rsidRPr="00812ECB">
                    <w:t xml:space="preserve">, Resource </w:t>
                  </w:r>
                  <w:r w:rsidRPr="00812ECB">
                    <w:rPr>
                      <w:i/>
                    </w:rPr>
                    <w:t>r</w:t>
                  </w:r>
                  <w:r w:rsidRPr="00812ECB">
                    <w:t xml:space="preserve">, at bus </w:t>
                  </w:r>
                  <w:r w:rsidRPr="00812ECB">
                    <w:rPr>
                      <w:i/>
                    </w:rPr>
                    <w:t>b</w:t>
                  </w:r>
                  <w:r w:rsidRPr="00812ECB">
                    <w:t>.</w:t>
                  </w:r>
                </w:p>
              </w:tc>
            </w:tr>
            <w:tr w:rsidR="00632873" w14:paraId="396B2F05" w14:textId="77777777" w:rsidTr="00806724">
              <w:trPr>
                <w:cantSplit/>
              </w:trPr>
              <w:tc>
                <w:tcPr>
                  <w:tcW w:w="1145" w:type="pct"/>
                </w:tcPr>
                <w:p w14:paraId="4F284334" w14:textId="3A24F8D7" w:rsidR="00632873" w:rsidRDefault="00632873" w:rsidP="00632873">
                  <w:pPr>
                    <w:pStyle w:val="tablebody0"/>
                  </w:pPr>
                  <w:r w:rsidRPr="00812ECB">
                    <w:lastRenderedPageBreak/>
                    <w:t xml:space="preserve">MEBRSG </w:t>
                  </w:r>
                  <w:r w:rsidRPr="00812ECB">
                    <w:rPr>
                      <w:i/>
                      <w:vertAlign w:val="subscript"/>
                    </w:rPr>
                    <w:t>q, r, b</w:t>
                  </w:r>
                </w:p>
              </w:tc>
              <w:tc>
                <w:tcPr>
                  <w:tcW w:w="676" w:type="pct"/>
                </w:tcPr>
                <w:p w14:paraId="56A70E03" w14:textId="376B1AE2" w:rsidR="00632873" w:rsidRPr="004368B4" w:rsidRDefault="00632873" w:rsidP="00632873">
                  <w:pPr>
                    <w:pStyle w:val="tablebody0"/>
                  </w:pPr>
                  <w:r w:rsidRPr="00812ECB">
                    <w:t>MWh</w:t>
                  </w:r>
                </w:p>
              </w:tc>
              <w:tc>
                <w:tcPr>
                  <w:tcW w:w="3179" w:type="pct"/>
                </w:tcPr>
                <w:p w14:paraId="61D1670C" w14:textId="22F33495" w:rsidR="00632873" w:rsidRDefault="00632873" w:rsidP="00632873">
                  <w:pPr>
                    <w:pStyle w:val="tablebody0"/>
                    <w:rPr>
                      <w:i/>
                    </w:rPr>
                  </w:pPr>
                  <w:r w:rsidRPr="00812ECB">
                    <w:rPr>
                      <w:i/>
                    </w:rPr>
                    <w:t xml:space="preserve">Metered Energy for Energy Storage Resource Load supplied from co-located generation with Net Metering arrangement, at Bus (Calculated) </w:t>
                  </w:r>
                  <w:r w:rsidRPr="00812ECB">
                    <w:t xml:space="preserve">—The portion of energy metered by the Settlement Meter which measures Non-WSL ESR Charging Load supplied from the co-located generation with Net Metering arrangement.  This is not adjusted for losses, for the 15-minute Settlement Interval represented as a negative value, for the QSE </w:t>
                  </w:r>
                  <w:r w:rsidRPr="00812ECB">
                    <w:rPr>
                      <w:i/>
                    </w:rPr>
                    <w:t>q</w:t>
                  </w:r>
                  <w:r w:rsidRPr="00812ECB">
                    <w:t xml:space="preserve">, Resource </w:t>
                  </w:r>
                  <w:r w:rsidRPr="00812ECB">
                    <w:rPr>
                      <w:i/>
                    </w:rPr>
                    <w:t>r</w:t>
                  </w:r>
                  <w:r w:rsidRPr="00812ECB">
                    <w:t xml:space="preserve">, at bus </w:t>
                  </w:r>
                  <w:r w:rsidRPr="00812ECB">
                    <w:rPr>
                      <w:i/>
                    </w:rPr>
                    <w:t>b</w:t>
                  </w:r>
                  <w:r w:rsidRPr="00812ECB">
                    <w:t>.</w:t>
                  </w:r>
                </w:p>
              </w:tc>
            </w:tr>
            <w:tr w:rsidR="008050FF" w14:paraId="1B546241" w14:textId="77777777" w:rsidTr="00806724">
              <w:trPr>
                <w:cantSplit/>
              </w:trPr>
              <w:tc>
                <w:tcPr>
                  <w:tcW w:w="1145" w:type="pct"/>
                </w:tcPr>
                <w:p w14:paraId="08556536" w14:textId="77777777" w:rsidR="008050FF" w:rsidRPr="00D661BC" w:rsidRDefault="008050FF" w:rsidP="008050FF">
                  <w:pPr>
                    <w:pStyle w:val="tablebody0"/>
                    <w:rPr>
                      <w:i/>
                    </w:rPr>
                  </w:pPr>
                  <w:r>
                    <w:t>WSL</w:t>
                  </w:r>
                  <w:r w:rsidRPr="004368B4">
                    <w:t>AMTTOT</w:t>
                  </w:r>
                  <w:r w:rsidRPr="004368B4">
                    <w:rPr>
                      <w:vertAlign w:val="subscript"/>
                    </w:rPr>
                    <w:t xml:space="preserve"> </w:t>
                  </w:r>
                  <w:r w:rsidRPr="00107CC2">
                    <w:rPr>
                      <w:i/>
                      <w:vertAlign w:val="subscript"/>
                    </w:rPr>
                    <w:t>q, r, p</w:t>
                  </w:r>
                </w:p>
              </w:tc>
              <w:tc>
                <w:tcPr>
                  <w:tcW w:w="676" w:type="pct"/>
                </w:tcPr>
                <w:p w14:paraId="4F187FD7" w14:textId="77777777" w:rsidR="008050FF" w:rsidRDefault="008050FF" w:rsidP="008050FF">
                  <w:pPr>
                    <w:pStyle w:val="tablebody0"/>
                  </w:pPr>
                  <w:r w:rsidRPr="004368B4">
                    <w:t>$</w:t>
                  </w:r>
                </w:p>
              </w:tc>
              <w:tc>
                <w:tcPr>
                  <w:tcW w:w="3179" w:type="pct"/>
                </w:tcPr>
                <w:p w14:paraId="79ED2FEC" w14:textId="77777777" w:rsidR="008050FF" w:rsidRDefault="008050FF" w:rsidP="008050FF">
                  <w:pPr>
                    <w:pStyle w:val="tablebody0"/>
                  </w:pPr>
                  <w:r>
                    <w:rPr>
                      <w:i/>
                    </w:rPr>
                    <w:t>Wholesale</w:t>
                  </w:r>
                  <w:r w:rsidRPr="004368B4">
                    <w:rPr>
                      <w:i/>
                    </w:rPr>
                    <w:t xml:space="preserve"> Storage </w:t>
                  </w:r>
                  <w:r>
                    <w:rPr>
                      <w:i/>
                    </w:rPr>
                    <w:t xml:space="preserve">Load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t>WSL</w:t>
                  </w:r>
                  <w:r w:rsidRPr="00997DBF">
                    <w:t xml:space="preserve"> </w:t>
                  </w:r>
                  <w:r w:rsidRPr="00997DBF">
                    <w:rPr>
                      <w:iCs/>
                    </w:rPr>
                    <w:t>for each 15-minute Settlement Interval.</w:t>
                  </w:r>
                </w:p>
              </w:tc>
            </w:tr>
            <w:tr w:rsidR="00632873" w14:paraId="184227D9" w14:textId="77777777" w:rsidTr="00806724">
              <w:trPr>
                <w:cantSplit/>
              </w:trPr>
              <w:tc>
                <w:tcPr>
                  <w:tcW w:w="1145" w:type="pct"/>
                </w:tcPr>
                <w:p w14:paraId="3AAA069B" w14:textId="00AE2F8C" w:rsidR="00632873" w:rsidRDefault="00632873" w:rsidP="00632873">
                  <w:pPr>
                    <w:pStyle w:val="tablebody0"/>
                  </w:pPr>
                  <w:r w:rsidRPr="00812ECB">
                    <w:t>CLRAMTTOT</w:t>
                  </w:r>
                  <w:r w:rsidRPr="00812ECB">
                    <w:rPr>
                      <w:vertAlign w:val="subscript"/>
                    </w:rPr>
                    <w:t xml:space="preserve"> </w:t>
                  </w:r>
                  <w:r w:rsidRPr="00812ECB">
                    <w:rPr>
                      <w:i/>
                      <w:vertAlign w:val="subscript"/>
                    </w:rPr>
                    <w:t>q, r, p</w:t>
                  </w:r>
                </w:p>
              </w:tc>
              <w:tc>
                <w:tcPr>
                  <w:tcW w:w="676" w:type="pct"/>
                </w:tcPr>
                <w:p w14:paraId="27CC3509" w14:textId="3562C6CE" w:rsidR="00632873" w:rsidRPr="004368B4" w:rsidRDefault="00632873" w:rsidP="00632873">
                  <w:pPr>
                    <w:pStyle w:val="tablebody0"/>
                  </w:pPr>
                  <w:r w:rsidRPr="00812ECB">
                    <w:t>$</w:t>
                  </w:r>
                </w:p>
              </w:tc>
              <w:tc>
                <w:tcPr>
                  <w:tcW w:w="3179" w:type="pct"/>
                </w:tcPr>
                <w:p w14:paraId="601B741B" w14:textId="2971A87A" w:rsidR="00632873" w:rsidRDefault="00632873" w:rsidP="00632873">
                  <w:pPr>
                    <w:pStyle w:val="tablebody0"/>
                    <w:rPr>
                      <w:i/>
                    </w:rPr>
                  </w:pPr>
                  <w:r w:rsidRPr="00812ECB">
                    <w:rPr>
                      <w:i/>
                    </w:rPr>
                    <w:t>CLR Load Settlement</w:t>
                  </w:r>
                  <w:r w:rsidRPr="00812ECB">
                    <w:t>—</w:t>
                  </w:r>
                  <w:r w:rsidRPr="00812ECB">
                    <w:rPr>
                      <w:iCs/>
                    </w:rPr>
                    <w:t xml:space="preserve">The total payment or charge to QSE </w:t>
                  </w:r>
                  <w:r w:rsidRPr="00812ECB">
                    <w:rPr>
                      <w:i/>
                      <w:iCs/>
                    </w:rPr>
                    <w:t>q</w:t>
                  </w:r>
                  <w:r w:rsidRPr="00812ECB">
                    <w:rPr>
                      <w:iCs/>
                    </w:rPr>
                    <w:t xml:space="preserve">, Resource </w:t>
                  </w:r>
                  <w:r w:rsidRPr="00812ECB">
                    <w:rPr>
                      <w:i/>
                      <w:iCs/>
                    </w:rPr>
                    <w:t>r</w:t>
                  </w:r>
                  <w:r w:rsidRPr="00812ECB">
                    <w:rPr>
                      <w:iCs/>
                    </w:rPr>
                    <w:t xml:space="preserve">, at Settlement Point </w:t>
                  </w:r>
                  <w:r w:rsidRPr="00812ECB">
                    <w:rPr>
                      <w:i/>
                      <w:iCs/>
                    </w:rPr>
                    <w:t>p</w:t>
                  </w:r>
                  <w:r w:rsidRPr="00812ECB">
                    <w:rPr>
                      <w:iCs/>
                    </w:rPr>
                    <w:t xml:space="preserve">, </w:t>
                  </w:r>
                  <w:r w:rsidRPr="00812ECB">
                    <w:t xml:space="preserve">for CLR Load </w:t>
                  </w:r>
                  <w:r w:rsidRPr="00812ECB">
                    <w:rPr>
                      <w:iCs/>
                    </w:rPr>
                    <w:t>for each 15-minute Settlement Interval.</w:t>
                  </w:r>
                </w:p>
              </w:tc>
            </w:tr>
            <w:tr w:rsidR="008050FF" w14:paraId="6FDC7E83" w14:textId="77777777" w:rsidTr="00806724">
              <w:trPr>
                <w:cantSplit/>
              </w:trPr>
              <w:tc>
                <w:tcPr>
                  <w:tcW w:w="1145" w:type="pct"/>
                </w:tcPr>
                <w:p w14:paraId="0F4A1249" w14:textId="77777777" w:rsidR="008050FF" w:rsidRDefault="008050FF" w:rsidP="008050FF">
                  <w:pPr>
                    <w:pStyle w:val="tablebody0"/>
                  </w:pPr>
                  <w:r>
                    <w:t>ESRNWSL</w:t>
                  </w:r>
                  <w:r w:rsidRPr="004368B4">
                    <w:t>AMTTOT</w:t>
                  </w:r>
                  <w:r w:rsidRPr="004368B4">
                    <w:rPr>
                      <w:vertAlign w:val="subscript"/>
                    </w:rPr>
                    <w:t xml:space="preserve"> </w:t>
                  </w:r>
                  <w:r w:rsidRPr="00107CC2">
                    <w:rPr>
                      <w:i/>
                      <w:vertAlign w:val="subscript"/>
                    </w:rPr>
                    <w:t>q, r, p</w:t>
                  </w:r>
                </w:p>
              </w:tc>
              <w:tc>
                <w:tcPr>
                  <w:tcW w:w="676" w:type="pct"/>
                </w:tcPr>
                <w:p w14:paraId="27AC369D" w14:textId="77777777" w:rsidR="008050FF" w:rsidRPr="004368B4" w:rsidRDefault="008050FF" w:rsidP="008050FF">
                  <w:pPr>
                    <w:pStyle w:val="tablebody0"/>
                  </w:pPr>
                  <w:r w:rsidRPr="004368B4">
                    <w:t>$</w:t>
                  </w:r>
                </w:p>
              </w:tc>
              <w:tc>
                <w:tcPr>
                  <w:tcW w:w="3179" w:type="pct"/>
                </w:tcPr>
                <w:p w14:paraId="14B7F270" w14:textId="1856B720" w:rsidR="008050FF" w:rsidRDefault="008050FF" w:rsidP="00674579">
                  <w:pPr>
                    <w:pStyle w:val="tablebody0"/>
                    <w:rPr>
                      <w:i/>
                    </w:rPr>
                  </w:pPr>
                  <w:r>
                    <w:rPr>
                      <w:i/>
                    </w:rPr>
                    <w:t xml:space="preserve">Energy Storage Resource Non-WSL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rsidR="00674579">
                    <w:t>Non-WSL ESR Charging Load</w:t>
                  </w:r>
                  <w:r>
                    <w:t xml:space="preserve"> </w:t>
                  </w:r>
                  <w:r w:rsidRPr="00997DBF">
                    <w:rPr>
                      <w:iCs/>
                    </w:rPr>
                    <w:t>for each 15-minute Settlement Interval.</w:t>
                  </w:r>
                </w:p>
              </w:tc>
            </w:tr>
            <w:tr w:rsidR="008050FF" w14:paraId="431951BF" w14:textId="77777777" w:rsidTr="00806724">
              <w:trPr>
                <w:cantSplit/>
              </w:trPr>
              <w:tc>
                <w:tcPr>
                  <w:tcW w:w="1145" w:type="pct"/>
                </w:tcPr>
                <w:p w14:paraId="78EE60E5" w14:textId="77777777" w:rsidR="008050FF" w:rsidRPr="00D661BC" w:rsidRDefault="008050FF" w:rsidP="008050FF">
                  <w:pPr>
                    <w:pStyle w:val="tablebody0"/>
                    <w:rPr>
                      <w:i/>
                    </w:rPr>
                  </w:pPr>
                  <w:r w:rsidRPr="006F7536">
                    <w:rPr>
                      <w:lang w:val="es-ES"/>
                    </w:rPr>
                    <w:t>RNWFL</w:t>
                  </w:r>
                  <w:r w:rsidRPr="005B2B51">
                    <w:rPr>
                      <w:vertAlign w:val="subscript"/>
                    </w:rPr>
                    <w:t xml:space="preserve"> </w:t>
                  </w:r>
                  <w:r w:rsidRPr="00107CC2">
                    <w:rPr>
                      <w:i/>
                      <w:iCs/>
                      <w:vertAlign w:val="subscript"/>
                      <w:lang w:val="es-ES"/>
                    </w:rPr>
                    <w:t>b, y</w:t>
                  </w:r>
                </w:p>
              </w:tc>
              <w:tc>
                <w:tcPr>
                  <w:tcW w:w="676" w:type="pct"/>
                </w:tcPr>
                <w:p w14:paraId="6C083463" w14:textId="77777777" w:rsidR="008050FF" w:rsidRDefault="008050FF" w:rsidP="008050FF">
                  <w:pPr>
                    <w:pStyle w:val="tablebody0"/>
                  </w:pPr>
                  <w:r w:rsidRPr="006F7536">
                    <w:t>none</w:t>
                  </w:r>
                </w:p>
              </w:tc>
              <w:tc>
                <w:tcPr>
                  <w:tcW w:w="3179" w:type="pct"/>
                </w:tcPr>
                <w:p w14:paraId="11CEBC45" w14:textId="0D4EFE6C" w:rsidR="008050FF" w:rsidRDefault="008050FF" w:rsidP="008050FF">
                  <w:pPr>
                    <w:pStyle w:val="tablebody0"/>
                  </w:pPr>
                  <w:r w:rsidRPr="00E91C02">
                    <w:rPr>
                      <w:i/>
                      <w:iCs/>
                    </w:rPr>
                    <w:t xml:space="preserve">Net meter Weighting Factor per interval </w:t>
                  </w:r>
                  <w:r w:rsidRPr="00E91C02">
                    <w:rPr>
                      <w:i/>
                    </w:rPr>
                    <w:t xml:space="preserve">for the Energy Metered as </w:t>
                  </w:r>
                  <w:r>
                    <w:rPr>
                      <w:i/>
                    </w:rPr>
                    <w:t>Energy</w:t>
                  </w:r>
                  <w:r w:rsidRPr="00E91C02">
                    <w:rPr>
                      <w:i/>
                    </w:rPr>
                    <w:t xml:space="preserve"> Storage</w:t>
                  </w:r>
                  <w:r>
                    <w:rPr>
                      <w:i/>
                    </w:rPr>
                    <w:t xml:space="preserve"> Resource</w:t>
                  </w:r>
                  <w:r w:rsidRPr="00E91C02">
                    <w:rPr>
                      <w:i/>
                    </w:rPr>
                    <w:t xml:space="preserve"> Load</w:t>
                  </w:r>
                  <w:r w:rsidR="00632873">
                    <w:rPr>
                      <w:i/>
                    </w:rPr>
                    <w:t xml:space="preserve"> or CLR Load</w:t>
                  </w:r>
                  <w:r w:rsidRPr="00E91C02">
                    <w:rPr>
                      <w:rFonts w:ascii="Symbol" w:hAnsi="Symbol"/>
                    </w:rPr>
                    <w:t></w:t>
                  </w:r>
                  <w:r w:rsidRPr="00E91C02">
                    <w:rPr>
                      <w:rFonts w:ascii="Symbol" w:hAnsi="Symbol"/>
                    </w:rPr>
                    <w:t></w:t>
                  </w:r>
                  <w:r w:rsidRPr="00E91C02">
                    <w:t xml:space="preserve">The weight factor used in net meter price calculation for meters in Electrical Bus </w:t>
                  </w:r>
                  <w:r w:rsidRPr="00E91C02">
                    <w:rPr>
                      <w:i/>
                    </w:rPr>
                    <w:t>b</w:t>
                  </w:r>
                  <w:r w:rsidRPr="00E91C02">
                    <w:t xml:space="preserve">, for the SCED interval </w:t>
                  </w:r>
                  <w:r w:rsidRPr="00E91C02">
                    <w:rPr>
                      <w:i/>
                      <w:iCs/>
                    </w:rPr>
                    <w:t>y</w:t>
                  </w:r>
                  <w:r w:rsidRPr="00E91C02">
                    <w:t xml:space="preserve">, for the </w:t>
                  </w:r>
                  <w:r>
                    <w:t>ESR Load</w:t>
                  </w:r>
                  <w:r w:rsidRPr="00E91C02">
                    <w:t xml:space="preserve"> associated with an </w:t>
                  </w:r>
                  <w:r>
                    <w:t>ESR</w:t>
                  </w:r>
                  <w:r w:rsidR="00632873" w:rsidRPr="00812ECB">
                    <w:t xml:space="preserve"> or for the CLR Load associated with a CLR that is not an ALR</w:t>
                  </w:r>
                  <w:r w:rsidRPr="00E91C02">
                    <w:t>.  The weighting factor used in the net meter price calculation shall not be recalculated after the fact due to revisions in the association of Resources to Settlement Meters.</w:t>
                  </w:r>
                </w:p>
              </w:tc>
            </w:tr>
            <w:tr w:rsidR="008050FF" w14:paraId="10800B91" w14:textId="77777777" w:rsidTr="00806724">
              <w:trPr>
                <w:cantSplit/>
              </w:trPr>
              <w:tc>
                <w:tcPr>
                  <w:tcW w:w="1145" w:type="pct"/>
                </w:tcPr>
                <w:p w14:paraId="3D61EC72" w14:textId="77777777" w:rsidR="008050FF" w:rsidRPr="00D661BC" w:rsidRDefault="008050FF" w:rsidP="008050FF">
                  <w:pPr>
                    <w:pStyle w:val="tablebody0"/>
                    <w:rPr>
                      <w:i/>
                    </w:rPr>
                  </w:pPr>
                  <w:r w:rsidRPr="004368B4">
                    <w:t>RTRMPR</w:t>
                  </w:r>
                  <w:r>
                    <w:t>ESR</w:t>
                  </w:r>
                  <w:r w:rsidRPr="004368B4">
                    <w:rPr>
                      <w:vertAlign w:val="subscript"/>
                    </w:rPr>
                    <w:t xml:space="preserve"> </w:t>
                  </w:r>
                  <w:r w:rsidRPr="00107CC2">
                    <w:rPr>
                      <w:i/>
                      <w:vertAlign w:val="subscript"/>
                    </w:rPr>
                    <w:t>b</w:t>
                  </w:r>
                </w:p>
              </w:tc>
              <w:tc>
                <w:tcPr>
                  <w:tcW w:w="676" w:type="pct"/>
                </w:tcPr>
                <w:p w14:paraId="70B8A601" w14:textId="77777777" w:rsidR="008050FF" w:rsidRDefault="008050FF" w:rsidP="008050FF">
                  <w:pPr>
                    <w:pStyle w:val="tablebody0"/>
                  </w:pPr>
                  <w:r w:rsidRPr="004368B4">
                    <w:t>$/MWh</w:t>
                  </w:r>
                </w:p>
              </w:tc>
              <w:tc>
                <w:tcPr>
                  <w:tcW w:w="3179" w:type="pct"/>
                </w:tcPr>
                <w:p w14:paraId="76C57756" w14:textId="5E9238F3" w:rsidR="008050FF" w:rsidRDefault="008050FF" w:rsidP="008050FF">
                  <w:pPr>
                    <w:pStyle w:val="tablebody0"/>
                  </w:pPr>
                  <w:r w:rsidRPr="00351F0F">
                    <w:rPr>
                      <w:i/>
                    </w:rPr>
                    <w:t xml:space="preserve">Real-Time Price for the Energy Metered as </w:t>
                  </w:r>
                  <w:r>
                    <w:rPr>
                      <w:i/>
                    </w:rPr>
                    <w:t xml:space="preserve">Energy </w:t>
                  </w:r>
                  <w:r w:rsidRPr="00351F0F">
                    <w:rPr>
                      <w:i/>
                    </w:rPr>
                    <w:t>Storage</w:t>
                  </w:r>
                  <w:r>
                    <w:rPr>
                      <w:i/>
                    </w:rPr>
                    <w:t xml:space="preserve"> Resource</w:t>
                  </w:r>
                  <w:r w:rsidRPr="00351F0F">
                    <w:rPr>
                      <w:i/>
                    </w:rPr>
                    <w:t xml:space="preserve"> Load at bus</w:t>
                  </w:r>
                  <w:r w:rsidRPr="00351F0F">
                    <w:sym w:font="Symbol" w:char="F0BE"/>
                  </w:r>
                  <w:r w:rsidRPr="00351F0F">
                    <w:t xml:space="preserve">The Real-Time price for the Settlement Meter which measures </w:t>
                  </w:r>
                  <w:r>
                    <w:t>E</w:t>
                  </w:r>
                  <w:r w:rsidR="005755D9">
                    <w:t>SR L</w:t>
                  </w:r>
                  <w:r>
                    <w:t>oad</w:t>
                  </w:r>
                  <w:r w:rsidRPr="00351F0F">
                    <w:t xml:space="preserve"> at Electrical Bus </w:t>
                  </w:r>
                  <w:r w:rsidRPr="00351F0F">
                    <w:rPr>
                      <w:i/>
                    </w:rPr>
                    <w:t>b</w:t>
                  </w:r>
                  <w:r w:rsidRPr="00351F0F">
                    <w:t>, for the 15-minute Settlement Interval.</w:t>
                  </w:r>
                </w:p>
              </w:tc>
            </w:tr>
            <w:tr w:rsidR="00632873" w14:paraId="7F0DCB9A" w14:textId="77777777" w:rsidTr="00806724">
              <w:trPr>
                <w:cantSplit/>
              </w:trPr>
              <w:tc>
                <w:tcPr>
                  <w:tcW w:w="1145" w:type="pct"/>
                </w:tcPr>
                <w:p w14:paraId="2949F603" w14:textId="5CB31754" w:rsidR="00632873" w:rsidRPr="008B71ED" w:rsidRDefault="00632873" w:rsidP="00632873">
                  <w:pPr>
                    <w:pStyle w:val="tablebody0"/>
                  </w:pPr>
                  <w:r w:rsidRPr="00812ECB">
                    <w:t>RTRMPRCLR</w:t>
                  </w:r>
                  <w:r w:rsidRPr="00812ECB">
                    <w:rPr>
                      <w:vertAlign w:val="subscript"/>
                    </w:rPr>
                    <w:t xml:space="preserve"> </w:t>
                  </w:r>
                  <w:r w:rsidRPr="00812ECB">
                    <w:rPr>
                      <w:i/>
                      <w:vertAlign w:val="subscript"/>
                    </w:rPr>
                    <w:t>b</w:t>
                  </w:r>
                </w:p>
              </w:tc>
              <w:tc>
                <w:tcPr>
                  <w:tcW w:w="676" w:type="pct"/>
                </w:tcPr>
                <w:p w14:paraId="156F925B" w14:textId="5D92CAE7" w:rsidR="00632873" w:rsidRPr="00D15DC0" w:rsidRDefault="00632873" w:rsidP="00632873">
                  <w:pPr>
                    <w:pStyle w:val="tablebody0"/>
                  </w:pPr>
                  <w:r w:rsidRPr="00812ECB">
                    <w:t>$/MWh</w:t>
                  </w:r>
                </w:p>
              </w:tc>
              <w:tc>
                <w:tcPr>
                  <w:tcW w:w="3179" w:type="pct"/>
                </w:tcPr>
                <w:p w14:paraId="744E688C" w14:textId="637EF481" w:rsidR="00632873" w:rsidRPr="004615F6" w:rsidRDefault="00632873" w:rsidP="00632873">
                  <w:pPr>
                    <w:pStyle w:val="tablebody0"/>
                    <w:rPr>
                      <w:i/>
                    </w:rPr>
                  </w:pPr>
                  <w:r w:rsidRPr="00812ECB">
                    <w:rPr>
                      <w:i/>
                    </w:rPr>
                    <w:t>Real-Time Price for the CLR Energy Metered at bus</w:t>
                  </w:r>
                  <w:r w:rsidRPr="00812ECB">
                    <w:sym w:font="Symbol" w:char="F0BE"/>
                  </w:r>
                  <w:r w:rsidRPr="00812ECB">
                    <w:t xml:space="preserve">The Real-Time price for the Settlement Meter which measures CLR Load at Electrical Bus </w:t>
                  </w:r>
                  <w:r w:rsidRPr="00812ECB">
                    <w:rPr>
                      <w:i/>
                    </w:rPr>
                    <w:t>b</w:t>
                  </w:r>
                  <w:r w:rsidRPr="00812ECB">
                    <w:t>, for the 15-minute Settlement Interval.</w:t>
                  </w:r>
                </w:p>
              </w:tc>
            </w:tr>
            <w:tr w:rsidR="008050FF" w14:paraId="596556FC" w14:textId="77777777" w:rsidTr="00806724">
              <w:trPr>
                <w:cantSplit/>
              </w:trPr>
              <w:tc>
                <w:tcPr>
                  <w:tcW w:w="1145" w:type="pct"/>
                </w:tcPr>
                <w:p w14:paraId="1B486DC1" w14:textId="77777777" w:rsidR="008050FF" w:rsidRPr="004368B4" w:rsidRDefault="008050FF" w:rsidP="008050FF">
                  <w:pPr>
                    <w:pStyle w:val="tablebody0"/>
                    <w:rPr>
                      <w:lang w:val="es-ES"/>
                    </w:rPr>
                  </w:pPr>
                  <w:r w:rsidRPr="008B71ED">
                    <w:t xml:space="preserve">BP </w:t>
                  </w:r>
                  <w:r w:rsidRPr="00985D33">
                    <w:rPr>
                      <w:i/>
                      <w:vertAlign w:val="subscript"/>
                    </w:rPr>
                    <w:t>r, y</w:t>
                  </w:r>
                </w:p>
              </w:tc>
              <w:tc>
                <w:tcPr>
                  <w:tcW w:w="676" w:type="pct"/>
                </w:tcPr>
                <w:p w14:paraId="44A741CE" w14:textId="77777777" w:rsidR="008050FF" w:rsidRPr="004368B4" w:rsidRDefault="008050FF" w:rsidP="008050FF">
                  <w:pPr>
                    <w:pStyle w:val="tablebody0"/>
                  </w:pPr>
                  <w:r w:rsidRPr="00D15DC0">
                    <w:t>MW</w:t>
                  </w:r>
                </w:p>
              </w:tc>
              <w:tc>
                <w:tcPr>
                  <w:tcW w:w="3179" w:type="pct"/>
                </w:tcPr>
                <w:p w14:paraId="5F945A9E" w14:textId="77777777" w:rsidR="008050FF" w:rsidRPr="004368B4" w:rsidRDefault="008050FF" w:rsidP="008050FF">
                  <w:pPr>
                    <w:pStyle w:val="tablebody0"/>
                    <w:rPr>
                      <w:i/>
                    </w:rPr>
                  </w:pPr>
                  <w:r w:rsidRPr="004615F6">
                    <w:rPr>
                      <w:i/>
                    </w:rPr>
                    <w:t>Base Point per Resource per interval</w:t>
                  </w:r>
                  <w:r w:rsidRPr="005106EC">
                    <w:t xml:space="preserve"> - The Base Point of Resource </w:t>
                  </w:r>
                  <w:r w:rsidRPr="004615F6">
                    <w:rPr>
                      <w:i/>
                    </w:rPr>
                    <w:t>r</w:t>
                  </w:r>
                  <w:r w:rsidRPr="005106EC">
                    <w:t xml:space="preserve">, for the SCED interval </w:t>
                  </w:r>
                  <w:r w:rsidRPr="004615F6">
                    <w:rPr>
                      <w:i/>
                    </w:rPr>
                    <w:t>y</w:t>
                  </w:r>
                  <w:r w:rsidRPr="005106EC">
                    <w:t xml:space="preserve">.  </w:t>
                  </w:r>
                </w:p>
              </w:tc>
            </w:tr>
            <w:tr w:rsidR="008050FF" w14:paraId="1B8D91FE" w14:textId="77777777" w:rsidTr="00806724">
              <w:trPr>
                <w:cantSplit/>
              </w:trPr>
              <w:tc>
                <w:tcPr>
                  <w:tcW w:w="1145" w:type="pct"/>
                </w:tcPr>
                <w:p w14:paraId="1FC6D77E" w14:textId="77777777" w:rsidR="008050FF" w:rsidRPr="00D661BC" w:rsidRDefault="008050FF" w:rsidP="008050FF">
                  <w:pPr>
                    <w:pStyle w:val="tablebody0"/>
                    <w:rPr>
                      <w:i/>
                    </w:rPr>
                  </w:pPr>
                  <w:r w:rsidRPr="00D661BC">
                    <w:rPr>
                      <w:i/>
                    </w:rPr>
                    <w:t>q</w:t>
                  </w:r>
                </w:p>
              </w:tc>
              <w:tc>
                <w:tcPr>
                  <w:tcW w:w="676" w:type="pct"/>
                </w:tcPr>
                <w:p w14:paraId="2A45BD5D" w14:textId="77777777" w:rsidR="008050FF" w:rsidRDefault="008050FF" w:rsidP="008050FF">
                  <w:pPr>
                    <w:pStyle w:val="tablebody0"/>
                  </w:pPr>
                  <w:r>
                    <w:t>none</w:t>
                  </w:r>
                </w:p>
              </w:tc>
              <w:tc>
                <w:tcPr>
                  <w:tcW w:w="3179" w:type="pct"/>
                </w:tcPr>
                <w:p w14:paraId="507E624A" w14:textId="77777777" w:rsidR="008050FF" w:rsidRDefault="008050FF" w:rsidP="008050FF">
                  <w:pPr>
                    <w:pStyle w:val="tablebody0"/>
                  </w:pPr>
                  <w:r>
                    <w:t>A QSE.</w:t>
                  </w:r>
                </w:p>
              </w:tc>
            </w:tr>
            <w:tr w:rsidR="008050FF" w14:paraId="20449987" w14:textId="77777777" w:rsidTr="00806724">
              <w:trPr>
                <w:cantSplit/>
              </w:trPr>
              <w:tc>
                <w:tcPr>
                  <w:tcW w:w="1145" w:type="pct"/>
                </w:tcPr>
                <w:p w14:paraId="21268056" w14:textId="77777777" w:rsidR="008050FF" w:rsidRPr="00851EF1" w:rsidRDefault="008050FF" w:rsidP="008050FF">
                  <w:pPr>
                    <w:pStyle w:val="tablebody0"/>
                    <w:rPr>
                      <w:i/>
                    </w:rPr>
                  </w:pPr>
                  <w:r w:rsidRPr="00D661BC">
                    <w:rPr>
                      <w:i/>
                    </w:rPr>
                    <w:t>gsc</w:t>
                  </w:r>
                </w:p>
              </w:tc>
              <w:tc>
                <w:tcPr>
                  <w:tcW w:w="676" w:type="pct"/>
                </w:tcPr>
                <w:p w14:paraId="5D162C85" w14:textId="77777777" w:rsidR="008050FF" w:rsidRDefault="008050FF" w:rsidP="008050FF">
                  <w:pPr>
                    <w:pStyle w:val="tablebody0"/>
                  </w:pPr>
                  <w:r>
                    <w:t>none</w:t>
                  </w:r>
                </w:p>
              </w:tc>
              <w:tc>
                <w:tcPr>
                  <w:tcW w:w="3179" w:type="pct"/>
                </w:tcPr>
                <w:p w14:paraId="36B6DCE2" w14:textId="77777777" w:rsidR="008050FF" w:rsidRDefault="008050FF" w:rsidP="008050FF">
                  <w:pPr>
                    <w:pStyle w:val="tablebody0"/>
                  </w:pPr>
                  <w:r>
                    <w:t>A generation site code.</w:t>
                  </w:r>
                </w:p>
              </w:tc>
            </w:tr>
            <w:tr w:rsidR="008050FF" w14:paraId="0B9F442B" w14:textId="77777777" w:rsidTr="00806724">
              <w:trPr>
                <w:cantSplit/>
              </w:trPr>
              <w:tc>
                <w:tcPr>
                  <w:tcW w:w="1145" w:type="pct"/>
                </w:tcPr>
                <w:p w14:paraId="02C29834" w14:textId="77777777" w:rsidR="008050FF" w:rsidRPr="00851EF1" w:rsidRDefault="008050FF" w:rsidP="008050FF">
                  <w:pPr>
                    <w:pStyle w:val="tablebody0"/>
                    <w:rPr>
                      <w:i/>
                    </w:rPr>
                  </w:pPr>
                  <w:r w:rsidRPr="00D661BC">
                    <w:rPr>
                      <w:i/>
                    </w:rPr>
                    <w:t>r</w:t>
                  </w:r>
                </w:p>
              </w:tc>
              <w:tc>
                <w:tcPr>
                  <w:tcW w:w="676" w:type="pct"/>
                </w:tcPr>
                <w:p w14:paraId="7E55B34A" w14:textId="77777777" w:rsidR="008050FF" w:rsidRDefault="008050FF" w:rsidP="008050FF">
                  <w:pPr>
                    <w:pStyle w:val="tablebody0"/>
                  </w:pPr>
                  <w:r>
                    <w:t>none</w:t>
                  </w:r>
                </w:p>
              </w:tc>
              <w:tc>
                <w:tcPr>
                  <w:tcW w:w="3179" w:type="pct"/>
                </w:tcPr>
                <w:p w14:paraId="38CC2B20" w14:textId="33108617" w:rsidR="008050FF" w:rsidRDefault="006F7954" w:rsidP="006F7954">
                  <w:pPr>
                    <w:pStyle w:val="tablebody0"/>
                  </w:pPr>
                  <w:r>
                    <w:t>A</w:t>
                  </w:r>
                  <w:r w:rsidR="008050FF">
                    <w:t xml:space="preserve"> </w:t>
                  </w:r>
                  <w:r w:rsidR="00632873" w:rsidRPr="00812ECB">
                    <w:t>CLR (that is not an ALR) or an</w:t>
                  </w:r>
                  <w:r w:rsidR="00632873">
                    <w:t xml:space="preserve"> </w:t>
                  </w:r>
                  <w:r w:rsidR="008050FF">
                    <w:t xml:space="preserve">ESR.  </w:t>
                  </w:r>
                </w:p>
              </w:tc>
            </w:tr>
            <w:tr w:rsidR="008050FF" w14:paraId="09C69740" w14:textId="77777777" w:rsidTr="00806724">
              <w:trPr>
                <w:cantSplit/>
              </w:trPr>
              <w:tc>
                <w:tcPr>
                  <w:tcW w:w="1145" w:type="pct"/>
                </w:tcPr>
                <w:p w14:paraId="7806DB6B" w14:textId="77777777" w:rsidR="008050FF" w:rsidRPr="00D661BC" w:rsidRDefault="008050FF" w:rsidP="008050FF">
                  <w:pPr>
                    <w:pStyle w:val="tablebody0"/>
                    <w:rPr>
                      <w:i/>
                    </w:rPr>
                  </w:pPr>
                  <w:r w:rsidRPr="00D661BC">
                    <w:rPr>
                      <w:i/>
                    </w:rPr>
                    <w:t>p</w:t>
                  </w:r>
                </w:p>
              </w:tc>
              <w:tc>
                <w:tcPr>
                  <w:tcW w:w="676" w:type="pct"/>
                </w:tcPr>
                <w:p w14:paraId="3A1C81BF" w14:textId="77777777" w:rsidR="008050FF" w:rsidRDefault="008050FF" w:rsidP="008050FF">
                  <w:pPr>
                    <w:pStyle w:val="tablebody0"/>
                  </w:pPr>
                  <w:r>
                    <w:t>none</w:t>
                  </w:r>
                </w:p>
              </w:tc>
              <w:tc>
                <w:tcPr>
                  <w:tcW w:w="3179" w:type="pct"/>
                </w:tcPr>
                <w:p w14:paraId="72AA492F" w14:textId="77777777" w:rsidR="008050FF" w:rsidRDefault="008050FF" w:rsidP="008050FF">
                  <w:pPr>
                    <w:pStyle w:val="tablebody0"/>
                  </w:pPr>
                  <w:r>
                    <w:t>A Resource Node Settlement Point.</w:t>
                  </w:r>
                </w:p>
              </w:tc>
            </w:tr>
            <w:tr w:rsidR="008050FF" w14:paraId="3C4AE6FB" w14:textId="77777777" w:rsidTr="00806724">
              <w:trPr>
                <w:cantSplit/>
              </w:trPr>
              <w:tc>
                <w:tcPr>
                  <w:tcW w:w="1145" w:type="pct"/>
                </w:tcPr>
                <w:p w14:paraId="22A51971" w14:textId="77777777" w:rsidR="008050FF" w:rsidRPr="00851EF1" w:rsidRDefault="008050FF" w:rsidP="008050FF">
                  <w:pPr>
                    <w:pStyle w:val="tablebody0"/>
                    <w:rPr>
                      <w:i/>
                    </w:rPr>
                  </w:pPr>
                  <w:r w:rsidRPr="00D661BC">
                    <w:rPr>
                      <w:i/>
                    </w:rPr>
                    <w:t>y</w:t>
                  </w:r>
                </w:p>
              </w:tc>
              <w:tc>
                <w:tcPr>
                  <w:tcW w:w="676" w:type="pct"/>
                </w:tcPr>
                <w:p w14:paraId="32CDB774" w14:textId="77777777" w:rsidR="008050FF" w:rsidRDefault="008050FF" w:rsidP="008050FF">
                  <w:pPr>
                    <w:pStyle w:val="tablebody0"/>
                  </w:pPr>
                  <w:r>
                    <w:t>none</w:t>
                  </w:r>
                </w:p>
              </w:tc>
              <w:tc>
                <w:tcPr>
                  <w:tcW w:w="3179" w:type="pct"/>
                </w:tcPr>
                <w:p w14:paraId="1903A7D9" w14:textId="77777777" w:rsidR="008050FF" w:rsidRDefault="008050FF" w:rsidP="008050FF">
                  <w:pPr>
                    <w:pStyle w:val="tablebody0"/>
                  </w:pPr>
                  <w:r>
                    <w:t>A SCED interval in the 15-minute Settlement Interval.  The summation is over the total number of SCED runs that cover the 15-minute Settlement Interval.</w:t>
                  </w:r>
                </w:p>
              </w:tc>
            </w:tr>
            <w:tr w:rsidR="008050FF" w14:paraId="3915E447" w14:textId="77777777" w:rsidTr="00806724">
              <w:trPr>
                <w:cantSplit/>
              </w:trPr>
              <w:tc>
                <w:tcPr>
                  <w:tcW w:w="1145" w:type="pct"/>
                </w:tcPr>
                <w:p w14:paraId="208BF909" w14:textId="77777777" w:rsidR="008050FF" w:rsidRPr="00851EF1" w:rsidRDefault="008050FF" w:rsidP="008050FF">
                  <w:pPr>
                    <w:pStyle w:val="tablebody0"/>
                    <w:rPr>
                      <w:i/>
                    </w:rPr>
                  </w:pPr>
                  <w:r w:rsidRPr="00D661BC">
                    <w:rPr>
                      <w:i/>
                    </w:rPr>
                    <w:t>b</w:t>
                  </w:r>
                </w:p>
              </w:tc>
              <w:tc>
                <w:tcPr>
                  <w:tcW w:w="676" w:type="pct"/>
                </w:tcPr>
                <w:p w14:paraId="34DD9D8B" w14:textId="77777777" w:rsidR="008050FF" w:rsidRDefault="008050FF" w:rsidP="008050FF">
                  <w:pPr>
                    <w:pStyle w:val="tablebody0"/>
                  </w:pPr>
                  <w:r>
                    <w:t>none</w:t>
                  </w:r>
                </w:p>
              </w:tc>
              <w:tc>
                <w:tcPr>
                  <w:tcW w:w="3179" w:type="pct"/>
                </w:tcPr>
                <w:p w14:paraId="34F1BE14" w14:textId="77777777" w:rsidR="008050FF" w:rsidRDefault="008050FF" w:rsidP="008050FF">
                  <w:pPr>
                    <w:pStyle w:val="tablebody0"/>
                  </w:pPr>
                  <w:r>
                    <w:t>An Electrical Bus.</w:t>
                  </w:r>
                </w:p>
              </w:tc>
            </w:tr>
          </w:tbl>
          <w:p w14:paraId="1DD9EBC2" w14:textId="36509CCC" w:rsidR="00423D31" w:rsidRPr="00B50DCB" w:rsidRDefault="00423D31" w:rsidP="00423D31">
            <w:pPr>
              <w:pStyle w:val="FormulaBold"/>
              <w:ind w:left="0" w:firstLine="0"/>
            </w:pPr>
          </w:p>
        </w:tc>
      </w:tr>
    </w:tbl>
    <w:p w14:paraId="44101D10" w14:textId="1E643208" w:rsidR="001F04FD" w:rsidRDefault="001F04FD" w:rsidP="00BA3F0D">
      <w:pPr>
        <w:pStyle w:val="BodyTextNumbered"/>
        <w:widowControl w:val="0"/>
        <w:spacing w:before="240"/>
      </w:pPr>
      <w:r>
        <w:lastRenderedPageBreak/>
        <w:t>(4)</w:t>
      </w:r>
      <w:r>
        <w:tab/>
        <w:t>The total payment or charge to a Facility with a net metering arrangement for each 15-minute Settlement Interval shall be calculated as follows:</w:t>
      </w:r>
    </w:p>
    <w:p w14:paraId="3937C535" w14:textId="77777777" w:rsidR="001F04FD" w:rsidRPr="00993F9F" w:rsidRDefault="001F04FD" w:rsidP="001F04FD">
      <w:pPr>
        <w:pStyle w:val="BodyTextNumbered"/>
        <w:widowControl w:val="0"/>
        <w:ind w:firstLine="0"/>
        <w:rPr>
          <w:b/>
        </w:rPr>
      </w:pPr>
      <w:r w:rsidRPr="00993F9F">
        <w:rPr>
          <w:b/>
        </w:rPr>
        <w:t>NMRTETOT</w:t>
      </w:r>
      <w:r w:rsidRPr="00993F9F">
        <w:rPr>
          <w:b/>
          <w:i/>
          <w:vertAlign w:val="subscript"/>
        </w:rPr>
        <w:t xml:space="preserve"> gsc</w:t>
      </w:r>
      <w:r w:rsidRPr="00993F9F">
        <w:rPr>
          <w:b/>
        </w:rPr>
        <w:t xml:space="preserve"> </w:t>
      </w:r>
      <w:r>
        <w:rPr>
          <w:b/>
        </w:rPr>
        <w:tab/>
      </w:r>
      <w:r w:rsidRPr="00993F9F">
        <w:rPr>
          <w:b/>
        </w:rPr>
        <w:t xml:space="preserve">= </w:t>
      </w:r>
      <w:r>
        <w:rPr>
          <w:b/>
        </w:rPr>
        <w:tab/>
        <w:t>Max (0, (</w:t>
      </w:r>
      <w:r w:rsidRPr="000F5587">
        <w:rPr>
          <w:b/>
          <w:position w:val="-20"/>
        </w:rPr>
        <w:object w:dxaOrig="225" w:dyaOrig="435" w14:anchorId="6E9FEBFB">
          <v:shape id="_x0000_i1141" type="#_x0000_t75" style="width:12pt;height:18pt" o:ole="">
            <v:imagedata r:id="rId156" o:title=""/>
          </v:shape>
          <o:OLEObject Type="Embed" ProgID="Equation.3" ShapeID="_x0000_i1141" DrawAspect="Content" ObjectID="_1815025331" r:id="rId157"/>
        </w:object>
      </w:r>
      <w:r>
        <w:rPr>
          <w:b/>
          <w:position w:val="-20"/>
        </w:rPr>
        <w:t xml:space="preserve"> </w:t>
      </w:r>
      <w:r>
        <w:rPr>
          <w:b/>
        </w:rPr>
        <w:t>(</w:t>
      </w:r>
      <w:r w:rsidRPr="00993F9F">
        <w:rPr>
          <w:b/>
        </w:rPr>
        <w:t xml:space="preserve">MEB </w:t>
      </w:r>
      <w:r w:rsidRPr="00993F9F">
        <w:rPr>
          <w:b/>
          <w:i/>
          <w:vertAlign w:val="subscript"/>
        </w:rPr>
        <w:t xml:space="preserve">gsc, b </w:t>
      </w:r>
      <w:r w:rsidRPr="00213702">
        <w:rPr>
          <w:b/>
          <w:i/>
        </w:rPr>
        <w:t>+</w:t>
      </w:r>
      <w:r w:rsidRPr="00213702">
        <w:rPr>
          <w:b/>
        </w:rPr>
        <w:t xml:space="preserve"> MEBC </w:t>
      </w:r>
      <w:r w:rsidRPr="00213702">
        <w:rPr>
          <w:b/>
          <w:i/>
          <w:vertAlign w:val="subscript"/>
        </w:rPr>
        <w:t>gsc,</w:t>
      </w:r>
      <w:r>
        <w:rPr>
          <w:b/>
          <w:i/>
          <w:vertAlign w:val="subscript"/>
        </w:rPr>
        <w:t xml:space="preserve"> </w:t>
      </w:r>
      <w:r w:rsidRPr="00213702">
        <w:rPr>
          <w:b/>
          <w:i/>
          <w:vertAlign w:val="subscript"/>
        </w:rPr>
        <w:t>b</w:t>
      </w:r>
      <w:r w:rsidRPr="005E3DF9">
        <w:rPr>
          <w:b/>
        </w:rPr>
        <w:t>)))</w:t>
      </w:r>
    </w:p>
    <w:p w14:paraId="2B95464A" w14:textId="77777777" w:rsidR="001F04FD" w:rsidRDefault="001F04FD" w:rsidP="001F04FD">
      <w:pPr>
        <w:pStyle w:val="BodyTextNumbered"/>
        <w:widowControl w:val="0"/>
        <w:ind w:firstLine="0"/>
      </w:pPr>
      <w:r>
        <w:t>If NMRTETOT</w:t>
      </w:r>
      <w:r w:rsidRPr="00993F9F">
        <w:rPr>
          <w:i/>
          <w:vertAlign w:val="subscript"/>
        </w:rPr>
        <w:t xml:space="preserve"> gsc</w:t>
      </w:r>
      <w:r>
        <w:t xml:space="preserve"> = 0 for a 15-minute Settlement Interval, then</w:t>
      </w:r>
    </w:p>
    <w:p w14:paraId="18B65C07" w14:textId="54611469" w:rsidR="001F04FD" w:rsidRDefault="001F04FD" w:rsidP="001F04FD">
      <w:pPr>
        <w:pStyle w:val="BodyTextNumbered"/>
        <w:widowControl w:val="0"/>
        <w:ind w:firstLine="0"/>
      </w:pPr>
      <w:r>
        <w:lastRenderedPageBreak/>
        <w:t>The Load that is not WSL is included in the Real-Time AML per QSE.</w:t>
      </w:r>
    </w:p>
    <w:p w14:paraId="26F53589" w14:textId="77777777" w:rsidR="001F04FD" w:rsidRDefault="001F04FD" w:rsidP="00FB599C">
      <w:pPr>
        <w:pStyle w:val="BodyTextNumbered"/>
        <w:widowControl w:val="0"/>
        <w:ind w:firstLine="0"/>
      </w:pPr>
      <w:r>
        <w:t>Otherwise, when NMRTETOT</w:t>
      </w:r>
      <w:r w:rsidRPr="00993F9F">
        <w:rPr>
          <w:i/>
          <w:vertAlign w:val="subscript"/>
        </w:rPr>
        <w:t xml:space="preserve"> gsc</w:t>
      </w:r>
      <w:r>
        <w:rPr>
          <w:i/>
          <w:vertAlign w:val="subscript"/>
        </w:rPr>
        <w:t xml:space="preserve"> </w:t>
      </w:r>
      <w:r w:rsidRPr="00230E33">
        <w:rPr>
          <w:b/>
        </w:rPr>
        <w:t>&gt;</w:t>
      </w:r>
      <w:r w:rsidRPr="00230E33">
        <w:t xml:space="preserve"> 0 for a 15-minute Settlement Interval, then</w:t>
      </w:r>
    </w:p>
    <w:p w14:paraId="28139D11" w14:textId="77777777" w:rsidR="001F04FD" w:rsidRDefault="001F04FD" w:rsidP="001F04FD">
      <w:pPr>
        <w:pStyle w:val="FormulaBold"/>
        <w:widowControl w:val="0"/>
      </w:pPr>
      <w:r>
        <w:t xml:space="preserve">NMSAMTTOT </w:t>
      </w:r>
      <w:r w:rsidRPr="00993F9F">
        <w:rPr>
          <w:b w:val="0"/>
          <w:i/>
          <w:sz w:val="28"/>
          <w:szCs w:val="28"/>
          <w:vertAlign w:val="subscript"/>
        </w:rPr>
        <w:t>gsc</w:t>
      </w:r>
      <w:r>
        <w:tab/>
        <w:t>=</w:t>
      </w:r>
      <w:r>
        <w:tab/>
      </w:r>
      <w:r w:rsidRPr="00993F9F">
        <w:rPr>
          <w:position w:val="-20"/>
        </w:rPr>
        <w:object w:dxaOrig="225" w:dyaOrig="435" w14:anchorId="082CE0AB">
          <v:shape id="_x0000_i1142" type="#_x0000_t75" style="width:12pt;height:18pt" o:ole="">
            <v:imagedata r:id="rId145" o:title=""/>
          </v:shape>
          <o:OLEObject Type="Embed" ProgID="Equation.3" ShapeID="_x0000_i1142" DrawAspect="Content" ObjectID="_1815025332" r:id="rId158"/>
        </w:object>
      </w:r>
      <w:r>
        <w:t xml:space="preserve"> [(RTRMPR</w:t>
      </w:r>
      <w:r w:rsidRPr="00993F9F">
        <w:rPr>
          <w:i/>
          <w:vertAlign w:val="subscript"/>
        </w:rPr>
        <w:t xml:space="preserve"> b</w:t>
      </w:r>
      <w:r>
        <w:t xml:space="preserve"> * MEB </w:t>
      </w:r>
      <w:r w:rsidRPr="00993F9F">
        <w:rPr>
          <w:i/>
          <w:vertAlign w:val="subscript"/>
        </w:rPr>
        <w:t>gsc, b</w:t>
      </w:r>
      <w:r>
        <w:t xml:space="preserve">) + </w:t>
      </w:r>
      <w:r w:rsidRPr="004368B4">
        <w:t>(RTRMPR</w:t>
      </w:r>
      <w:r>
        <w:t xml:space="preserve"> </w:t>
      </w:r>
      <w:r>
        <w:rPr>
          <w:i/>
          <w:vertAlign w:val="subscript"/>
        </w:rPr>
        <w:t>b</w:t>
      </w:r>
      <w:r w:rsidRPr="004368B4">
        <w:t xml:space="preserve"> * MEB</w:t>
      </w:r>
      <w:r>
        <w:t xml:space="preserve">C </w:t>
      </w:r>
      <w:r w:rsidRPr="004368B4">
        <w:rPr>
          <w:i/>
          <w:vertAlign w:val="subscript"/>
        </w:rPr>
        <w:t>gsc,</w:t>
      </w:r>
      <w:r>
        <w:rPr>
          <w:i/>
          <w:vertAlign w:val="subscript"/>
        </w:rPr>
        <w:t xml:space="preserve"> b</w:t>
      </w:r>
      <w:r w:rsidRPr="004368B4">
        <w:rPr>
          <w:lang w:val="es-ES"/>
        </w:rPr>
        <w:t>)</w:t>
      </w:r>
      <w:r>
        <w:rPr>
          <w:lang w:val="es-ES"/>
        </w:rPr>
        <w:t>]</w:t>
      </w:r>
      <w:r>
        <w:t xml:space="preserve">  </w:t>
      </w:r>
    </w:p>
    <w:p w14:paraId="137D55EB" w14:textId="77777777" w:rsidR="001F04FD" w:rsidRDefault="001F04FD" w:rsidP="001F04FD">
      <w:pPr>
        <w:pStyle w:val="FormulaBold"/>
        <w:widowControl w:val="0"/>
        <w:ind w:left="2882" w:hanging="2162"/>
        <w:rPr>
          <w:b w:val="0"/>
          <w:iCs/>
        </w:rPr>
      </w:pPr>
      <w:r w:rsidRPr="00993F9F">
        <w:rPr>
          <w:rStyle w:val="BodyTextChar"/>
          <w:b w:val="0"/>
          <w:iCs/>
        </w:rPr>
        <w:t>Where</w:t>
      </w:r>
      <w:r w:rsidRPr="00993F9F">
        <w:rPr>
          <w:rStyle w:val="BodyTextChar"/>
          <w:b w:val="0"/>
        </w:rPr>
        <w:t xml:space="preserve"> the price for Settlement Meter is determined as follows</w:t>
      </w:r>
      <w:r>
        <w:rPr>
          <w:rStyle w:val="BodyTextChar"/>
        </w:rPr>
        <w:t>:</w:t>
      </w:r>
    </w:p>
    <w:p w14:paraId="4A55C973" w14:textId="1B31EBF0" w:rsidR="001F04FD" w:rsidRPr="00C659E1" w:rsidRDefault="001F04FD" w:rsidP="001F04FD">
      <w:pPr>
        <w:pStyle w:val="FormulaBold"/>
        <w:rPr>
          <w:b w:val="0"/>
        </w:rPr>
      </w:pPr>
      <w:r w:rsidRPr="000275BF">
        <w:rPr>
          <w:lang w:val="es-ES"/>
        </w:rPr>
        <w:t>RTRMPR</w:t>
      </w:r>
      <w:r w:rsidRPr="000275BF">
        <w:rPr>
          <w:i/>
          <w:iCs/>
          <w:vertAlign w:val="subscript"/>
          <w:lang w:val="es-ES"/>
        </w:rPr>
        <w:t xml:space="preserve"> b</w:t>
      </w:r>
      <w:r w:rsidRPr="00993F9F">
        <w:rPr>
          <w:b w:val="0"/>
          <w:lang w:val="es-ES"/>
        </w:rPr>
        <w:t xml:space="preserve"> </w:t>
      </w:r>
      <w:r>
        <w:rPr>
          <w:b w:val="0"/>
          <w:lang w:val="es-ES"/>
        </w:rPr>
        <w:tab/>
      </w:r>
      <w:r>
        <w:rPr>
          <w:b w:val="0"/>
          <w:lang w:val="es-ES"/>
        </w:rPr>
        <w:tab/>
      </w:r>
      <w:r w:rsidRPr="00993F9F">
        <w:rPr>
          <w:b w:val="0"/>
          <w:lang w:val="es-ES"/>
        </w:rPr>
        <w:t>=</w:t>
      </w:r>
      <w:r>
        <w:rPr>
          <w:b w:val="0"/>
          <w:lang w:val="es-ES"/>
        </w:rPr>
        <w:tab/>
      </w:r>
      <w:r w:rsidRPr="00774155">
        <w:t>Max [-$251, (</w:t>
      </w:r>
      <w:r w:rsidR="00A94020">
        <w:rPr>
          <w:rFonts w:ascii="Times New Roman Bold" w:hAnsi="Times New Roman Bold"/>
          <w:noProof/>
          <w:position w:val="-18"/>
        </w:rPr>
        <w:drawing>
          <wp:inline distT="0" distB="0" distL="0" distR="0" wp14:anchorId="3CB3A390" wp14:editId="67FACA5B">
            <wp:extent cx="142875" cy="295275"/>
            <wp:effectExtent l="0" t="0" r="9525" b="9525"/>
            <wp:docPr id="57"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275BF">
        <w:rPr>
          <w:lang w:val="es-ES"/>
        </w:rPr>
        <w:t xml:space="preserve">(RNWF </w:t>
      </w:r>
      <w:r w:rsidRPr="000275BF">
        <w:rPr>
          <w:i/>
          <w:iCs/>
          <w:vertAlign w:val="subscript"/>
          <w:lang w:val="es-ES"/>
        </w:rPr>
        <w:t xml:space="preserve">b, y </w:t>
      </w:r>
      <w:r w:rsidRPr="000275BF">
        <w:rPr>
          <w:lang w:val="es-ES"/>
        </w:rPr>
        <w:t xml:space="preserve">* RTLMP </w:t>
      </w:r>
      <w:r w:rsidRPr="000275BF">
        <w:rPr>
          <w:i/>
          <w:iCs/>
          <w:vertAlign w:val="subscript"/>
          <w:lang w:val="es-ES"/>
        </w:rPr>
        <w:t>b, y</w:t>
      </w:r>
      <w:r w:rsidRPr="000275BF">
        <w:rPr>
          <w:lang w:val="es-ES"/>
        </w:rPr>
        <w:t xml:space="preserve">) </w:t>
      </w:r>
      <w:r w:rsidRPr="00774155">
        <w:t>+</w:t>
      </w:r>
      <w:r w:rsidRPr="00CE4C14">
        <w:t xml:space="preserve"> RTRSVPOR</w:t>
      </w:r>
      <w:r>
        <w:t xml:space="preserve"> </w:t>
      </w:r>
      <w:r w:rsidRPr="00193B05">
        <w:t>+</w:t>
      </w:r>
      <w:r>
        <w:t xml:space="preserve"> </w:t>
      </w:r>
      <w:r w:rsidRPr="00193B05">
        <w:t>RTRDP</w:t>
      </w:r>
      <w:r w:rsidRPr="00CE4C14">
        <w:t>)</w:t>
      </w:r>
      <w:r>
        <w:t>]</w:t>
      </w:r>
    </w:p>
    <w:p w14:paraId="581E19A4" w14:textId="77777777" w:rsidR="001F04FD" w:rsidRDefault="001F04FD" w:rsidP="001F04FD">
      <w:pPr>
        <w:pStyle w:val="formula0"/>
        <w:widowControl w:val="0"/>
        <w:spacing w:after="240"/>
        <w:ind w:left="0" w:firstLine="720"/>
      </w:pPr>
      <w:r>
        <w:t>Where the weighting factor for the Electrical Bus associated with the meter is:</w:t>
      </w:r>
    </w:p>
    <w:p w14:paraId="15CA92C1" w14:textId="77777777" w:rsidR="001F04FD" w:rsidRPr="00993F9F" w:rsidRDefault="001F04FD" w:rsidP="001F04FD">
      <w:pPr>
        <w:pStyle w:val="formula0"/>
        <w:widowControl w:val="0"/>
        <w:spacing w:after="240"/>
        <w:ind w:firstLine="0"/>
        <w:rPr>
          <w:b/>
          <w:shd w:val="clear" w:color="auto" w:fill="FFFF00"/>
          <w:lang w:val="es-ES"/>
        </w:rPr>
      </w:pPr>
      <w:r w:rsidRPr="00993F9F">
        <w:rPr>
          <w:b/>
          <w:lang w:val="es-ES"/>
        </w:rPr>
        <w:t xml:space="preserve">RNWF </w:t>
      </w:r>
      <w:r w:rsidRPr="00993F9F">
        <w:rPr>
          <w:b/>
          <w:i/>
          <w:iCs/>
          <w:vertAlign w:val="subscript"/>
          <w:lang w:val="es-ES"/>
        </w:rPr>
        <w:t xml:space="preserve">b, y </w:t>
      </w:r>
      <w:r>
        <w:rPr>
          <w:b/>
          <w:i/>
          <w:iCs/>
          <w:vertAlign w:val="subscript"/>
          <w:lang w:val="es-ES"/>
        </w:rPr>
        <w:tab/>
      </w:r>
      <w:r>
        <w:rPr>
          <w:b/>
          <w:i/>
          <w:iCs/>
          <w:vertAlign w:val="subscript"/>
          <w:lang w:val="es-ES"/>
        </w:rPr>
        <w:tab/>
      </w:r>
      <w:r w:rsidRPr="00993F9F">
        <w:rPr>
          <w:b/>
          <w:lang w:val="es-ES"/>
        </w:rPr>
        <w:t>= [Max</w:t>
      </w:r>
      <w:r>
        <w:rPr>
          <w:b/>
          <w:lang w:val="es-ES"/>
        </w:rPr>
        <w:t xml:space="preserve"> </w:t>
      </w:r>
      <w:r w:rsidRPr="00993F9F">
        <w:rPr>
          <w:b/>
          <w:lang w:val="es-ES"/>
        </w:rPr>
        <w:t xml:space="preserve">(0.001, </w:t>
      </w:r>
      <w:r w:rsidRPr="00993F9F">
        <w:rPr>
          <w:position w:val="-18"/>
        </w:rPr>
        <w:object w:dxaOrig="225" w:dyaOrig="420" w14:anchorId="5296A1EE">
          <v:shape id="_x0000_i1143" type="#_x0000_t75" style="width:12pt;height:24pt" o:ole="">
            <v:imagedata r:id="rId159" o:title=""/>
          </v:shape>
          <o:OLEObject Type="Embed" ProgID="Equation.3" ShapeID="_x0000_i1143" DrawAspect="Content" ObjectID="_1815025333" r:id="rId160"/>
        </w:object>
      </w:r>
      <w:r w:rsidRPr="00993F9F">
        <w:rPr>
          <w:b/>
          <w:lang w:val="es-ES"/>
        </w:rPr>
        <w:t>BP</w:t>
      </w:r>
      <w:r w:rsidRPr="00993F9F">
        <w:rPr>
          <w:b/>
          <w:i/>
          <w:iCs/>
          <w:vertAlign w:val="subscript"/>
          <w:lang w:val="es-ES"/>
        </w:rPr>
        <w:t xml:space="preserve"> r, y</w:t>
      </w:r>
      <w:r w:rsidRPr="00993F9F">
        <w:rPr>
          <w:b/>
          <w:lang w:val="es-ES"/>
        </w:rPr>
        <w:t xml:space="preserve">) * TLMP </w:t>
      </w:r>
      <w:r w:rsidRPr="00993F9F">
        <w:rPr>
          <w:b/>
          <w:i/>
          <w:iCs/>
          <w:vertAlign w:val="subscript"/>
          <w:lang w:val="es-ES"/>
        </w:rPr>
        <w:t>y</w:t>
      </w:r>
      <w:r w:rsidRPr="00993F9F">
        <w:rPr>
          <w:b/>
          <w:lang w:val="es-ES"/>
        </w:rPr>
        <w:t>] /</w:t>
      </w:r>
      <w:r w:rsidRPr="00993F9F">
        <w:rPr>
          <w:b/>
          <w:shd w:val="clear" w:color="auto" w:fill="FFFF00"/>
          <w:lang w:val="es-ES"/>
        </w:rPr>
        <w:t xml:space="preserve"> </w:t>
      </w:r>
    </w:p>
    <w:p w14:paraId="176CB85A" w14:textId="272BA696" w:rsidR="001F04FD" w:rsidRDefault="001F04FD" w:rsidP="001F04FD">
      <w:pPr>
        <w:pStyle w:val="formula0"/>
        <w:widowControl w:val="0"/>
        <w:spacing w:after="240"/>
        <w:ind w:left="2700" w:firstLine="0"/>
        <w:rPr>
          <w:b/>
          <w:lang w:val="es-ES"/>
        </w:rPr>
      </w:pPr>
      <w:r>
        <w:rPr>
          <w:b/>
          <w:lang w:val="es-ES"/>
        </w:rPr>
        <w:tab/>
      </w:r>
      <w:r>
        <w:rPr>
          <w:b/>
          <w:lang w:val="es-ES"/>
        </w:rPr>
        <w:tab/>
      </w:r>
      <w:r w:rsidRPr="00993F9F">
        <w:rPr>
          <w:b/>
          <w:lang w:val="es-ES"/>
        </w:rPr>
        <w:t>[</w:t>
      </w:r>
      <w:r w:rsidR="00A94020">
        <w:rPr>
          <w:rFonts w:ascii="Times New Roman Bold" w:hAnsi="Times New Roman Bold"/>
          <w:b/>
          <w:noProof/>
          <w:position w:val="-18"/>
        </w:rPr>
        <w:drawing>
          <wp:inline distT="0" distB="0" distL="0" distR="0" wp14:anchorId="77CF0066" wp14:editId="0A2421A6">
            <wp:extent cx="142875" cy="295275"/>
            <wp:effectExtent l="0" t="0" r="9525" b="9525"/>
            <wp:docPr id="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993F9F">
        <w:rPr>
          <w:b/>
          <w:lang w:val="es-ES"/>
        </w:rPr>
        <w:t>Max</w:t>
      </w:r>
      <w:r>
        <w:rPr>
          <w:b/>
          <w:lang w:val="es-ES"/>
        </w:rPr>
        <w:t xml:space="preserve"> </w:t>
      </w:r>
      <w:r w:rsidRPr="00993F9F">
        <w:rPr>
          <w:b/>
          <w:lang w:val="es-ES"/>
        </w:rPr>
        <w:t xml:space="preserve">(0.001, </w:t>
      </w:r>
      <w:r w:rsidRPr="00993F9F">
        <w:rPr>
          <w:position w:val="-18"/>
        </w:rPr>
        <w:object w:dxaOrig="225" w:dyaOrig="420" w14:anchorId="5B4F3A32">
          <v:shape id="_x0000_i1144" type="#_x0000_t75" style="width:12pt;height:24pt" o:ole="">
            <v:imagedata r:id="rId159" o:title=""/>
          </v:shape>
          <o:OLEObject Type="Embed" ProgID="Equation.3" ShapeID="_x0000_i1144" DrawAspect="Content" ObjectID="_1815025334" r:id="rId161"/>
        </w:object>
      </w:r>
      <w:r w:rsidRPr="00993F9F">
        <w:rPr>
          <w:b/>
          <w:lang w:val="es-ES"/>
        </w:rPr>
        <w:t>BP</w:t>
      </w:r>
      <w:r w:rsidRPr="00993F9F">
        <w:rPr>
          <w:b/>
          <w:i/>
          <w:iCs/>
          <w:vertAlign w:val="subscript"/>
          <w:lang w:val="es-ES"/>
        </w:rPr>
        <w:t xml:space="preserve"> r, y</w:t>
      </w:r>
      <w:r w:rsidRPr="00993F9F">
        <w:rPr>
          <w:b/>
          <w:lang w:val="es-ES"/>
        </w:rPr>
        <w:t xml:space="preserve">) * TLMP </w:t>
      </w:r>
      <w:r w:rsidRPr="00993F9F">
        <w:rPr>
          <w:b/>
          <w:i/>
          <w:iCs/>
          <w:vertAlign w:val="subscript"/>
          <w:lang w:val="es-ES"/>
        </w:rPr>
        <w:t>y</w:t>
      </w:r>
      <w:r w:rsidRPr="00993F9F">
        <w:rPr>
          <w:b/>
          <w:lang w:val="es-ES"/>
        </w:rPr>
        <w:t>]</w:t>
      </w:r>
    </w:p>
    <w:p w14:paraId="40E91E0D" w14:textId="77777777" w:rsidR="001F04FD" w:rsidRPr="000275BF" w:rsidRDefault="001F04FD" w:rsidP="001F04FD">
      <w:pPr>
        <w:pStyle w:val="Char3"/>
        <w:widowControl w:val="0"/>
        <w:rPr>
          <w:szCs w:val="24"/>
        </w:rPr>
      </w:pPr>
      <w:r w:rsidRPr="000275BF">
        <w:rPr>
          <w:rFonts w:ascii="Times New Roman" w:hAnsi="Times New Roman"/>
          <w:sz w:val="24"/>
          <w:szCs w:val="24"/>
        </w:rPr>
        <w:t>Where:</w:t>
      </w:r>
    </w:p>
    <w:p w14:paraId="4A32ABE5" w14:textId="2C4D07CE" w:rsidR="001F04FD" w:rsidRDefault="001F04FD" w:rsidP="001F04FD">
      <w:pPr>
        <w:spacing w:after="240"/>
        <w:ind w:left="720"/>
      </w:pPr>
      <w:r w:rsidRPr="00C659E1">
        <w:tab/>
        <w:t xml:space="preserve">RTRSVPOR </w:t>
      </w:r>
      <w:r w:rsidRPr="00C659E1">
        <w:tab/>
      </w:r>
      <w:r w:rsidRPr="00C659E1">
        <w:tab/>
        <w:t>=</w:t>
      </w:r>
      <w:r w:rsidRPr="00C659E1">
        <w:tab/>
      </w:r>
      <w:r w:rsidRPr="00C659E1">
        <w:tab/>
      </w:r>
      <w:r w:rsidR="00A94020">
        <w:rPr>
          <w:rFonts w:ascii="Times New Roman Bold" w:hAnsi="Times New Roman Bold"/>
          <w:noProof/>
          <w:position w:val="-18"/>
        </w:rPr>
        <w:drawing>
          <wp:inline distT="0" distB="0" distL="0" distR="0" wp14:anchorId="097874CC" wp14:editId="13D6A38D">
            <wp:extent cx="142875" cy="295275"/>
            <wp:effectExtent l="0" t="0" r="9525" b="9525"/>
            <wp:docPr id="61" name="Picture 5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C659E1">
        <w:t xml:space="preserve">(RNWF </w:t>
      </w:r>
      <w:r w:rsidRPr="00C659E1">
        <w:rPr>
          <w:i/>
          <w:iCs/>
          <w:vertAlign w:val="subscript"/>
        </w:rPr>
        <w:t xml:space="preserve"> y </w:t>
      </w:r>
      <w:r w:rsidRPr="00C659E1">
        <w:t>* RTORPA</w:t>
      </w:r>
      <w:r w:rsidRPr="00C659E1">
        <w:rPr>
          <w:i/>
          <w:iCs/>
          <w:vertAlign w:val="subscript"/>
        </w:rPr>
        <w:t xml:space="preserve"> y</w:t>
      </w:r>
      <w:r w:rsidRPr="00C659E1">
        <w:t>)</w:t>
      </w:r>
    </w:p>
    <w:p w14:paraId="14F93B7F" w14:textId="77777777" w:rsidR="001F04FD" w:rsidRPr="00C659E1" w:rsidRDefault="001F04FD" w:rsidP="001F04FD">
      <w:pPr>
        <w:spacing w:after="240"/>
        <w:ind w:left="1440"/>
      </w:pPr>
      <w:r w:rsidRPr="00193B05">
        <w:t xml:space="preserve">RTRDP </w:t>
      </w:r>
      <w:r w:rsidRPr="00193B05">
        <w:tab/>
      </w:r>
      <w:r w:rsidRPr="00193B05">
        <w:tab/>
        <w:t>=</w:t>
      </w:r>
      <w:r w:rsidRPr="00193B05">
        <w:tab/>
      </w:r>
      <w:r>
        <w:tab/>
      </w:r>
      <w:r w:rsidRPr="00193B05">
        <w:rPr>
          <w:position w:val="-22"/>
        </w:rPr>
        <w:object w:dxaOrig="225" w:dyaOrig="465" w14:anchorId="6D256769">
          <v:shape id="_x0000_i1145" type="#_x0000_t75" style="width:12pt;height:18pt" o:ole="">
            <v:imagedata r:id="rId22" o:title=""/>
          </v:shape>
          <o:OLEObject Type="Embed" ProgID="Equation.3" ShapeID="_x0000_i1145" DrawAspect="Content" ObjectID="_1815025335" r:id="rId162"/>
        </w:object>
      </w:r>
      <w:r w:rsidRPr="00193B05">
        <w:t xml:space="preserve">(RNWF </w:t>
      </w:r>
      <w:r w:rsidRPr="00193B05">
        <w:rPr>
          <w:i/>
          <w:iCs/>
          <w:vertAlign w:val="subscript"/>
        </w:rPr>
        <w:t xml:space="preserve"> y </w:t>
      </w:r>
      <w:r w:rsidRPr="00193B05">
        <w:t>* RTORDPA</w:t>
      </w:r>
      <w:r w:rsidRPr="00193B05">
        <w:rPr>
          <w:i/>
          <w:iCs/>
          <w:vertAlign w:val="subscript"/>
        </w:rPr>
        <w:t xml:space="preserve"> y</w:t>
      </w:r>
      <w:r w:rsidRPr="00193B05">
        <w:t>)</w:t>
      </w:r>
    </w:p>
    <w:p w14:paraId="386C3FAB" w14:textId="77777777" w:rsidR="001F04FD" w:rsidRPr="00C659E1" w:rsidRDefault="001F04FD" w:rsidP="001F04FD">
      <w:pPr>
        <w:pStyle w:val="formula0"/>
        <w:widowControl w:val="0"/>
        <w:spacing w:after="240"/>
        <w:ind w:firstLine="0"/>
        <w:rPr>
          <w:lang w:val="es-ES"/>
        </w:rPr>
      </w:pPr>
      <w:r w:rsidRPr="00C659E1">
        <w:tab/>
        <w:t xml:space="preserve">RNWF </w:t>
      </w:r>
      <w:r w:rsidRPr="00C659E1">
        <w:rPr>
          <w:i/>
          <w:vertAlign w:val="subscript"/>
        </w:rPr>
        <w:t>y</w:t>
      </w:r>
      <w:r w:rsidRPr="00C659E1">
        <w:rPr>
          <w:i/>
          <w:vertAlign w:val="subscript"/>
        </w:rPr>
        <w:tab/>
      </w:r>
      <w:r w:rsidRPr="00C659E1">
        <w:rPr>
          <w:i/>
          <w:vertAlign w:val="subscript"/>
        </w:rPr>
        <w:tab/>
      </w:r>
      <w:r w:rsidRPr="00C659E1">
        <w:t>=</w:t>
      </w:r>
      <w:r w:rsidRPr="00C659E1">
        <w:tab/>
      </w:r>
      <w:r w:rsidRPr="00C659E1">
        <w:tab/>
        <w:t xml:space="preserve">TLMP </w:t>
      </w:r>
      <w:r w:rsidRPr="00C659E1">
        <w:rPr>
          <w:i/>
          <w:vertAlign w:val="subscript"/>
        </w:rPr>
        <w:t>y</w:t>
      </w:r>
      <w:r w:rsidRPr="00C659E1">
        <w:t xml:space="preserve"> </w:t>
      </w:r>
      <w:r w:rsidRPr="00C659E1">
        <w:rPr>
          <w:color w:val="000000"/>
          <w:sz w:val="32"/>
          <w:szCs w:val="32"/>
        </w:rPr>
        <w:t>/</w:t>
      </w:r>
      <w:r w:rsidRPr="00C659E1">
        <w:rPr>
          <w:color w:val="000000"/>
        </w:rPr>
        <w:t xml:space="preserve"> </w:t>
      </w:r>
      <w:r w:rsidRPr="007D0F13">
        <w:rPr>
          <w:position w:val="-22"/>
        </w:rPr>
        <w:object w:dxaOrig="225" w:dyaOrig="465" w14:anchorId="4EFD14EA">
          <v:shape id="_x0000_i1146" type="#_x0000_t75" style="width:12pt;height:18pt" o:ole="">
            <v:imagedata r:id="rId22" o:title=""/>
          </v:shape>
          <o:OLEObject Type="Embed" ProgID="Equation.3" ShapeID="_x0000_i1146" DrawAspect="Content" ObjectID="_1815025336" r:id="rId163"/>
        </w:object>
      </w:r>
      <w:r w:rsidRPr="00C659E1">
        <w:t xml:space="preserve">TLMP </w:t>
      </w:r>
      <w:r w:rsidRPr="00C659E1">
        <w:rPr>
          <w:i/>
          <w:vertAlign w:val="subscript"/>
        </w:rPr>
        <w:t>y</w:t>
      </w:r>
    </w:p>
    <w:p w14:paraId="2BD3565E" w14:textId="77777777" w:rsidR="001F04FD" w:rsidRDefault="001F04FD" w:rsidP="001F04FD">
      <w:pPr>
        <w:pStyle w:val="formula0"/>
        <w:widowControl w:val="0"/>
        <w:spacing w:after="240"/>
        <w:ind w:firstLine="0"/>
        <w:rPr>
          <w:i/>
          <w:iCs/>
          <w:shd w:val="clear" w:color="auto" w:fill="FFFF00"/>
          <w:vertAlign w:val="subscript"/>
        </w:rPr>
      </w:pPr>
      <w:r>
        <w:t xml:space="preserve">The summation is over all Resources </w:t>
      </w:r>
      <w:r>
        <w:rPr>
          <w:i/>
        </w:rPr>
        <w:t>r</w:t>
      </w:r>
      <w:r>
        <w:t xml:space="preserve"> associated to the individual meter.  The determination of which Resources are associated to an individual meter is static and based on the normal system configuration of the generation site code, </w:t>
      </w:r>
      <w:r>
        <w:rPr>
          <w:i/>
        </w:rPr>
        <w:t>gsc</w:t>
      </w:r>
      <w:r>
        <w:t>.</w:t>
      </w:r>
    </w:p>
    <w:p w14:paraId="65A5266B" w14:textId="77777777" w:rsidR="001F04FD" w:rsidRDefault="001F04FD" w:rsidP="001F04FD">
      <w:pPr>
        <w:widowControl w:val="0"/>
      </w:pPr>
      <w:r>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0"/>
        <w:gridCol w:w="1262"/>
        <w:gridCol w:w="5864"/>
      </w:tblGrid>
      <w:tr w:rsidR="001F04FD" w14:paraId="6A5AACFA" w14:textId="77777777" w:rsidTr="00AD486D">
        <w:trPr>
          <w:cantSplit/>
          <w:tblHeader/>
        </w:trPr>
        <w:tc>
          <w:tcPr>
            <w:tcW w:w="1155" w:type="pct"/>
          </w:tcPr>
          <w:p w14:paraId="0BBFC1A6" w14:textId="77777777" w:rsidR="001F04FD" w:rsidRDefault="001F04FD" w:rsidP="00AC4DEE">
            <w:pPr>
              <w:pStyle w:val="TableHead"/>
              <w:widowControl w:val="0"/>
            </w:pPr>
            <w:r>
              <w:t>Variable</w:t>
            </w:r>
          </w:p>
        </w:tc>
        <w:tc>
          <w:tcPr>
            <w:tcW w:w="681" w:type="pct"/>
          </w:tcPr>
          <w:p w14:paraId="5674AA8F" w14:textId="77777777" w:rsidR="001F04FD" w:rsidRDefault="001F04FD" w:rsidP="00AC4DEE">
            <w:pPr>
              <w:pStyle w:val="TableHead"/>
              <w:widowControl w:val="0"/>
            </w:pPr>
            <w:r>
              <w:t>Unit</w:t>
            </w:r>
          </w:p>
        </w:tc>
        <w:tc>
          <w:tcPr>
            <w:tcW w:w="3164" w:type="pct"/>
          </w:tcPr>
          <w:p w14:paraId="54C02510" w14:textId="77777777" w:rsidR="001F04FD" w:rsidRDefault="001F04FD" w:rsidP="00AC4DEE">
            <w:pPr>
              <w:pStyle w:val="TableHead"/>
              <w:widowControl w:val="0"/>
            </w:pPr>
            <w:r>
              <w:t>Description</w:t>
            </w:r>
          </w:p>
        </w:tc>
      </w:tr>
      <w:tr w:rsidR="001F04FD" w14:paraId="3D087EF5" w14:textId="77777777" w:rsidTr="00AD486D">
        <w:trPr>
          <w:cantSplit/>
        </w:trPr>
        <w:tc>
          <w:tcPr>
            <w:tcW w:w="1155" w:type="pct"/>
          </w:tcPr>
          <w:p w14:paraId="33AAEEAE" w14:textId="77777777" w:rsidR="001F04FD" w:rsidRDefault="001F04FD" w:rsidP="00AC4DEE">
            <w:pPr>
              <w:pStyle w:val="tablebody0"/>
              <w:widowControl w:val="0"/>
              <w:rPr>
                <w:i/>
              </w:rPr>
            </w:pPr>
            <w:r>
              <w:t xml:space="preserve">NMRTETOT </w:t>
            </w:r>
            <w:r w:rsidRPr="00107CC2">
              <w:rPr>
                <w:i/>
                <w:vertAlign w:val="subscript"/>
              </w:rPr>
              <w:t>gsc</w:t>
            </w:r>
          </w:p>
        </w:tc>
        <w:tc>
          <w:tcPr>
            <w:tcW w:w="681" w:type="pct"/>
          </w:tcPr>
          <w:p w14:paraId="3F93465A" w14:textId="77777777" w:rsidR="001F04FD" w:rsidRDefault="001F04FD" w:rsidP="00AC4DEE">
            <w:pPr>
              <w:pStyle w:val="tablebody0"/>
              <w:widowControl w:val="0"/>
            </w:pPr>
            <w:r>
              <w:t>MWh</w:t>
            </w:r>
          </w:p>
        </w:tc>
        <w:tc>
          <w:tcPr>
            <w:tcW w:w="3164" w:type="pct"/>
          </w:tcPr>
          <w:p w14:paraId="0FFECCEE" w14:textId="77777777" w:rsidR="001F04FD" w:rsidRDefault="001F04FD" w:rsidP="00AC4DEE">
            <w:pPr>
              <w:pStyle w:val="tablebody0"/>
              <w:widowControl w:val="0"/>
            </w:pPr>
            <w:r>
              <w:rPr>
                <w:i/>
              </w:rPr>
              <w:t>Net Meter Real-Time Energy Total</w:t>
            </w:r>
            <w:r>
              <w:t xml:space="preserve">—The net sum for all Settlement Meters included in generation site code </w:t>
            </w:r>
            <w:r>
              <w:rPr>
                <w:i/>
              </w:rPr>
              <w:t>gsc</w:t>
            </w:r>
            <w:r>
              <w:t xml:space="preserve">.  A positive value indicates an injection of power to the ERCOT System. </w:t>
            </w:r>
          </w:p>
        </w:tc>
      </w:tr>
      <w:tr w:rsidR="001F04FD" w14:paraId="4F67C95B" w14:textId="77777777" w:rsidTr="00AD486D">
        <w:trPr>
          <w:cantSplit/>
        </w:trPr>
        <w:tc>
          <w:tcPr>
            <w:tcW w:w="1155" w:type="pct"/>
          </w:tcPr>
          <w:p w14:paraId="09FB5533" w14:textId="77777777" w:rsidR="001F04FD" w:rsidRDefault="001F04FD" w:rsidP="00AC4DEE">
            <w:pPr>
              <w:pStyle w:val="tablebody0"/>
              <w:widowControl w:val="0"/>
            </w:pPr>
            <w:r>
              <w:t>NMSAMTTOT</w:t>
            </w:r>
            <w:r>
              <w:rPr>
                <w:vertAlign w:val="subscript"/>
              </w:rPr>
              <w:t xml:space="preserve"> </w:t>
            </w:r>
            <w:r w:rsidRPr="00107CC2">
              <w:rPr>
                <w:i/>
                <w:vertAlign w:val="subscript"/>
              </w:rPr>
              <w:t>gsc</w:t>
            </w:r>
          </w:p>
        </w:tc>
        <w:tc>
          <w:tcPr>
            <w:tcW w:w="681" w:type="pct"/>
          </w:tcPr>
          <w:p w14:paraId="0A0030FD" w14:textId="77777777" w:rsidR="001F04FD" w:rsidRDefault="001F04FD" w:rsidP="00AC4DEE">
            <w:pPr>
              <w:pStyle w:val="tablebody0"/>
              <w:widowControl w:val="0"/>
            </w:pPr>
            <w:r>
              <w:t>$</w:t>
            </w:r>
          </w:p>
        </w:tc>
        <w:tc>
          <w:tcPr>
            <w:tcW w:w="3164" w:type="pct"/>
          </w:tcPr>
          <w:p w14:paraId="44641ADF" w14:textId="77777777" w:rsidR="001F04FD" w:rsidRDefault="001F04FD" w:rsidP="00AC4DEE">
            <w:pPr>
              <w:pStyle w:val="tablebody0"/>
              <w:widowControl w:val="0"/>
              <w:rPr>
                <w:i/>
              </w:rPr>
            </w:pPr>
            <w:r>
              <w:rPr>
                <w:i/>
              </w:rPr>
              <w:t>Net Metering Settlement</w:t>
            </w:r>
            <w:r>
              <w:t>—The total payment or charge to a generation site with a net metering arrangement.</w:t>
            </w:r>
          </w:p>
        </w:tc>
      </w:tr>
      <w:tr w:rsidR="001F04FD" w14:paraId="4C0218D1" w14:textId="77777777" w:rsidTr="00AD486D">
        <w:trPr>
          <w:cantSplit/>
        </w:trPr>
        <w:tc>
          <w:tcPr>
            <w:tcW w:w="1155" w:type="pct"/>
          </w:tcPr>
          <w:p w14:paraId="5BA49AEC" w14:textId="77777777" w:rsidR="001F04FD" w:rsidRDefault="001F04FD" w:rsidP="00AC4DEE">
            <w:pPr>
              <w:pStyle w:val="tablebody0"/>
              <w:widowControl w:val="0"/>
            </w:pPr>
            <w:r>
              <w:t xml:space="preserve">RTRMPR </w:t>
            </w:r>
            <w:r>
              <w:rPr>
                <w:vertAlign w:val="subscript"/>
              </w:rPr>
              <w:t xml:space="preserve"> </w:t>
            </w:r>
            <w:r w:rsidRPr="00107CC2">
              <w:rPr>
                <w:i/>
                <w:vertAlign w:val="subscript"/>
              </w:rPr>
              <w:t>b</w:t>
            </w:r>
          </w:p>
        </w:tc>
        <w:tc>
          <w:tcPr>
            <w:tcW w:w="681" w:type="pct"/>
          </w:tcPr>
          <w:p w14:paraId="54D83B08" w14:textId="77777777" w:rsidR="001F04FD" w:rsidRDefault="001F04FD" w:rsidP="00AC4DEE">
            <w:pPr>
              <w:pStyle w:val="tablebody0"/>
              <w:widowControl w:val="0"/>
              <w:rPr>
                <w:i/>
              </w:rPr>
            </w:pPr>
            <w:r>
              <w:t>$/MWh</w:t>
            </w:r>
          </w:p>
        </w:tc>
        <w:tc>
          <w:tcPr>
            <w:tcW w:w="3164" w:type="pct"/>
          </w:tcPr>
          <w:p w14:paraId="065D7FF2" w14:textId="77777777" w:rsidR="001F04FD" w:rsidRDefault="001F04FD" w:rsidP="00AC4DEE">
            <w:pPr>
              <w:pStyle w:val="tablebody0"/>
              <w:widowControl w:val="0"/>
            </w:pPr>
            <w:r>
              <w:rPr>
                <w:i/>
              </w:rPr>
              <w:t>Real-Time Price for the Energy Metered for each Resource meter at bus</w:t>
            </w:r>
            <w:r>
              <w:sym w:font="Symbol" w:char="F0BE"/>
            </w:r>
            <w:r>
              <w:t xml:space="preserve">The Real-Time price for the Settlement Meter at Electrical Bus </w:t>
            </w:r>
            <w:r>
              <w:rPr>
                <w:i/>
              </w:rPr>
              <w:t>b</w:t>
            </w:r>
            <w:r>
              <w:t>, for the 15-minute Settlement Interval.</w:t>
            </w:r>
          </w:p>
        </w:tc>
      </w:tr>
      <w:tr w:rsidR="001F04FD" w14:paraId="59F86B97" w14:textId="77777777" w:rsidTr="00AD486D">
        <w:trPr>
          <w:cantSplit/>
        </w:trPr>
        <w:tc>
          <w:tcPr>
            <w:tcW w:w="1155" w:type="pct"/>
          </w:tcPr>
          <w:p w14:paraId="077EE2B8" w14:textId="77777777" w:rsidR="001F04FD" w:rsidRDefault="001F04FD" w:rsidP="00AC4DEE">
            <w:pPr>
              <w:pStyle w:val="tablebody0"/>
              <w:widowControl w:val="0"/>
            </w:pPr>
            <w:r>
              <w:lastRenderedPageBreak/>
              <w:t xml:space="preserve">MEB </w:t>
            </w:r>
            <w:r w:rsidRPr="00107CC2">
              <w:rPr>
                <w:i/>
                <w:vertAlign w:val="subscript"/>
              </w:rPr>
              <w:t>gsc, b</w:t>
            </w:r>
          </w:p>
        </w:tc>
        <w:tc>
          <w:tcPr>
            <w:tcW w:w="681" w:type="pct"/>
          </w:tcPr>
          <w:p w14:paraId="29CC69B0" w14:textId="77777777" w:rsidR="001F04FD" w:rsidRDefault="001F04FD" w:rsidP="00AC4DEE">
            <w:pPr>
              <w:pStyle w:val="tablebody0"/>
              <w:widowControl w:val="0"/>
            </w:pPr>
            <w:r>
              <w:t>MWh</w:t>
            </w:r>
          </w:p>
        </w:tc>
        <w:tc>
          <w:tcPr>
            <w:tcW w:w="3164" w:type="pct"/>
          </w:tcPr>
          <w:p w14:paraId="21FF4B4C" w14:textId="3FE2A183" w:rsidR="001F04FD" w:rsidRDefault="001F04FD" w:rsidP="00AC4DEE">
            <w:pPr>
              <w:pStyle w:val="tablebody0"/>
              <w:widowControl w:val="0"/>
              <w:rPr>
                <w:i/>
              </w:rPr>
            </w:pPr>
            <w:r>
              <w:rPr>
                <w:i/>
              </w:rPr>
              <w:t>Metered Energy at bus</w:t>
            </w:r>
            <w:r>
              <w:sym w:font="Symbol" w:char="F0BE"/>
            </w:r>
            <w:r w:rsidR="003963CD">
              <w:t xml:space="preserve"> The metered energy by the Settlement Meter which is not upstream from another Settlement Meter which measures ESR Load for the 15-minute Settlement Interval.  A positive value represents energy produced, and a negative value represents energy withdrawn.</w:t>
            </w:r>
            <w:r w:rsidR="003963CD" w:rsidDel="003963CD">
              <w:t xml:space="preserve"> </w:t>
            </w:r>
          </w:p>
        </w:tc>
      </w:tr>
      <w:tr w:rsidR="001F04FD" w14:paraId="4AC6E38F" w14:textId="77777777" w:rsidTr="00AD486D">
        <w:trPr>
          <w:cantSplit/>
        </w:trPr>
        <w:tc>
          <w:tcPr>
            <w:tcW w:w="1155" w:type="pct"/>
          </w:tcPr>
          <w:p w14:paraId="2A44568D" w14:textId="77777777" w:rsidR="001F04FD" w:rsidRDefault="001F04FD" w:rsidP="00AC4DEE">
            <w:pPr>
              <w:pStyle w:val="tablebody0"/>
              <w:widowControl w:val="0"/>
            </w:pPr>
            <w:r w:rsidRPr="0080555B">
              <w:t>RTRSVPOR</w:t>
            </w:r>
          </w:p>
        </w:tc>
        <w:tc>
          <w:tcPr>
            <w:tcW w:w="681" w:type="pct"/>
          </w:tcPr>
          <w:p w14:paraId="1AB918C5" w14:textId="77777777" w:rsidR="001F04FD" w:rsidRDefault="001F04FD" w:rsidP="00AC4DEE">
            <w:pPr>
              <w:pStyle w:val="tablebody0"/>
              <w:widowControl w:val="0"/>
            </w:pPr>
            <w:r w:rsidRPr="0080555B">
              <w:t>$/MWh</w:t>
            </w:r>
          </w:p>
        </w:tc>
        <w:tc>
          <w:tcPr>
            <w:tcW w:w="3164" w:type="pct"/>
          </w:tcPr>
          <w:p w14:paraId="49F80439" w14:textId="77777777" w:rsidR="001F04FD" w:rsidRDefault="001F04FD" w:rsidP="00AC4DEE">
            <w:pPr>
              <w:pStyle w:val="tablebody0"/>
              <w:widowControl w:val="0"/>
              <w:rPr>
                <w:i/>
              </w:rPr>
            </w:pPr>
            <w:r w:rsidRPr="0080555B">
              <w:rPr>
                <w:i/>
              </w:rPr>
              <w:t>Real-Time Reserve Price for On-Line Reserves</w:t>
            </w:r>
            <w:r w:rsidRPr="0080555B">
              <w:sym w:font="Symbol" w:char="F0BE"/>
            </w:r>
            <w:r w:rsidRPr="0080555B">
              <w:t>The Real-Time Reserve Price for On-Line Reserves for the 15-minute Settlement Interval.</w:t>
            </w:r>
          </w:p>
        </w:tc>
      </w:tr>
      <w:tr w:rsidR="001F04FD" w14:paraId="73A7184F" w14:textId="77777777" w:rsidTr="00AD486D">
        <w:trPr>
          <w:cantSplit/>
        </w:trPr>
        <w:tc>
          <w:tcPr>
            <w:tcW w:w="1155" w:type="pct"/>
          </w:tcPr>
          <w:p w14:paraId="4B14D185" w14:textId="77777777" w:rsidR="001F04FD" w:rsidRDefault="001F04FD" w:rsidP="00AC4DEE">
            <w:pPr>
              <w:pStyle w:val="tablebody0"/>
              <w:widowControl w:val="0"/>
            </w:pPr>
            <w:r w:rsidRPr="0080555B">
              <w:t>RTORPA</w:t>
            </w:r>
            <w:r w:rsidRPr="0080555B">
              <w:rPr>
                <w:vertAlign w:val="subscript"/>
              </w:rPr>
              <w:t xml:space="preserve"> </w:t>
            </w:r>
            <w:r w:rsidRPr="00107CC2">
              <w:rPr>
                <w:i/>
                <w:vertAlign w:val="subscript"/>
              </w:rPr>
              <w:t>y</w:t>
            </w:r>
          </w:p>
        </w:tc>
        <w:tc>
          <w:tcPr>
            <w:tcW w:w="681" w:type="pct"/>
          </w:tcPr>
          <w:p w14:paraId="78B6BCB8" w14:textId="77777777" w:rsidR="001F04FD" w:rsidRDefault="001F04FD" w:rsidP="00AC4DEE">
            <w:pPr>
              <w:pStyle w:val="tablebody0"/>
              <w:widowControl w:val="0"/>
            </w:pPr>
            <w:r w:rsidRPr="0080555B">
              <w:t>$/MWh</w:t>
            </w:r>
          </w:p>
        </w:tc>
        <w:tc>
          <w:tcPr>
            <w:tcW w:w="3164" w:type="pct"/>
          </w:tcPr>
          <w:p w14:paraId="1572E425" w14:textId="77777777" w:rsidR="001F04FD" w:rsidRDefault="001F04FD" w:rsidP="00AC4DEE">
            <w:pPr>
              <w:pStyle w:val="tablebody0"/>
              <w:widowControl w:val="0"/>
              <w:rPr>
                <w:i/>
              </w:rPr>
            </w:pPr>
            <w:r w:rsidRPr="0080555B">
              <w:rPr>
                <w:i/>
              </w:rPr>
              <w:t>Real-Time On-Line Reserve Price Adder per interval</w:t>
            </w:r>
            <w:r w:rsidRPr="0080555B">
              <w:sym w:font="Symbol" w:char="F0BE"/>
            </w:r>
            <w:r w:rsidRPr="0080555B">
              <w:t xml:space="preserve">The Real-Time On-Line Reserve Price Adder for the SCED interval </w:t>
            </w:r>
            <w:r w:rsidRPr="0080555B">
              <w:rPr>
                <w:i/>
              </w:rPr>
              <w:t>y</w:t>
            </w:r>
            <w:r w:rsidRPr="0080555B">
              <w:t>.</w:t>
            </w:r>
          </w:p>
        </w:tc>
      </w:tr>
      <w:tr w:rsidR="001F04FD" w14:paraId="590393C6" w14:textId="77777777" w:rsidTr="00AD486D">
        <w:trPr>
          <w:cantSplit/>
        </w:trPr>
        <w:tc>
          <w:tcPr>
            <w:tcW w:w="1155" w:type="pct"/>
          </w:tcPr>
          <w:p w14:paraId="6C5C89BB" w14:textId="77777777" w:rsidR="001F04FD" w:rsidRPr="0080555B" w:rsidRDefault="001F04FD" w:rsidP="00AC4DEE">
            <w:pPr>
              <w:pStyle w:val="tablebody0"/>
              <w:widowControl w:val="0"/>
            </w:pPr>
            <w:r>
              <w:t>RTRDP</w:t>
            </w:r>
          </w:p>
        </w:tc>
        <w:tc>
          <w:tcPr>
            <w:tcW w:w="681" w:type="pct"/>
          </w:tcPr>
          <w:p w14:paraId="351CAEAA" w14:textId="77777777" w:rsidR="001F04FD" w:rsidRPr="0080555B" w:rsidRDefault="001F04FD" w:rsidP="00AC4DEE">
            <w:pPr>
              <w:pStyle w:val="tablebody0"/>
              <w:widowControl w:val="0"/>
            </w:pPr>
            <w:r>
              <w:t>$/MWh</w:t>
            </w:r>
          </w:p>
        </w:tc>
        <w:tc>
          <w:tcPr>
            <w:tcW w:w="3164" w:type="pct"/>
          </w:tcPr>
          <w:p w14:paraId="2865809B" w14:textId="15A3052E" w:rsidR="001F04FD" w:rsidRPr="0080555B" w:rsidRDefault="001F04FD" w:rsidP="00AC4DEE">
            <w:pPr>
              <w:pStyle w:val="tablebody0"/>
              <w:widowControl w:val="0"/>
              <w:rPr>
                <w:i/>
              </w:rPr>
            </w:pPr>
            <w:r>
              <w:rPr>
                <w:i/>
              </w:rPr>
              <w:t xml:space="preserve">Real-Time On-Line Reliability Deployment Price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w:t>
            </w:r>
            <w:r w:rsidR="00C22DE9">
              <w:rPr>
                <w:bCs/>
              </w:rPr>
              <w:t>T</w:t>
            </w:r>
            <w:r>
              <w:rPr>
                <w:bCs/>
              </w:rPr>
              <w:t>ime On-Line Reliability Deployment Price Adder</w:t>
            </w:r>
            <w:r w:rsidRPr="0080555B">
              <w:t>.</w:t>
            </w:r>
          </w:p>
        </w:tc>
      </w:tr>
      <w:tr w:rsidR="001F04FD" w14:paraId="437756F4" w14:textId="77777777" w:rsidTr="00AD486D">
        <w:trPr>
          <w:cantSplit/>
        </w:trPr>
        <w:tc>
          <w:tcPr>
            <w:tcW w:w="1155" w:type="pct"/>
          </w:tcPr>
          <w:p w14:paraId="7948E81F" w14:textId="77777777" w:rsidR="001F04FD" w:rsidRPr="0080555B" w:rsidRDefault="001F04FD" w:rsidP="00AC4DEE">
            <w:pPr>
              <w:pStyle w:val="tablebody0"/>
              <w:widowControl w:val="0"/>
            </w:pPr>
            <w:r>
              <w:t>RTORDPA</w:t>
            </w:r>
            <w:r w:rsidRPr="00CE4C14">
              <w:rPr>
                <w:vertAlign w:val="subscript"/>
              </w:rPr>
              <w:t xml:space="preserve"> </w:t>
            </w:r>
            <w:r w:rsidRPr="00107CC2">
              <w:rPr>
                <w:i/>
                <w:vertAlign w:val="subscript"/>
              </w:rPr>
              <w:t>y</w:t>
            </w:r>
          </w:p>
        </w:tc>
        <w:tc>
          <w:tcPr>
            <w:tcW w:w="681" w:type="pct"/>
          </w:tcPr>
          <w:p w14:paraId="7CFDDB41" w14:textId="77777777" w:rsidR="001F04FD" w:rsidRPr="0080555B" w:rsidRDefault="001F04FD" w:rsidP="00AC4DEE">
            <w:pPr>
              <w:pStyle w:val="tablebody0"/>
              <w:widowControl w:val="0"/>
            </w:pPr>
            <w:r>
              <w:t>$/MWh</w:t>
            </w:r>
          </w:p>
        </w:tc>
        <w:tc>
          <w:tcPr>
            <w:tcW w:w="3164" w:type="pct"/>
          </w:tcPr>
          <w:p w14:paraId="31D13F54" w14:textId="77777777" w:rsidR="001F04FD" w:rsidRPr="0080555B" w:rsidRDefault="001F04FD" w:rsidP="00AC4DEE">
            <w:pPr>
              <w:pStyle w:val="tablebody0"/>
              <w:widowControl w:val="0"/>
              <w:rPr>
                <w:i/>
              </w:rPr>
            </w:pPr>
            <w:r>
              <w:rPr>
                <w:i/>
              </w:rPr>
              <w:t xml:space="preserve">Real-Time On-Line Reliability Deployment Price Adder </w:t>
            </w:r>
            <w:r w:rsidRPr="00CE4C14">
              <w:sym w:font="Symbol" w:char="F0BE"/>
            </w:r>
            <w:r>
              <w:t>The Real-Time Price Adder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1F04FD" w14:paraId="16515AB5" w14:textId="77777777" w:rsidTr="00AD486D">
        <w:trPr>
          <w:cantSplit/>
        </w:trPr>
        <w:tc>
          <w:tcPr>
            <w:tcW w:w="1155" w:type="pct"/>
          </w:tcPr>
          <w:p w14:paraId="544F9586" w14:textId="77777777" w:rsidR="001F04FD" w:rsidRDefault="001F04FD" w:rsidP="00AC4DEE">
            <w:pPr>
              <w:pStyle w:val="tablebody0"/>
              <w:widowControl w:val="0"/>
            </w:pPr>
            <w:r w:rsidRPr="0080555B">
              <w:t>RNWF</w:t>
            </w:r>
            <w:r w:rsidRPr="00107CC2">
              <w:rPr>
                <w:i/>
              </w:rPr>
              <w:t xml:space="preserve"> </w:t>
            </w:r>
            <w:r w:rsidRPr="00107CC2">
              <w:rPr>
                <w:i/>
                <w:vertAlign w:val="subscript"/>
              </w:rPr>
              <w:t>y</w:t>
            </w:r>
          </w:p>
        </w:tc>
        <w:tc>
          <w:tcPr>
            <w:tcW w:w="681" w:type="pct"/>
          </w:tcPr>
          <w:p w14:paraId="0C280914" w14:textId="77777777" w:rsidR="001F04FD" w:rsidRDefault="001F04FD" w:rsidP="00AC4DEE">
            <w:pPr>
              <w:pStyle w:val="tablebody0"/>
              <w:widowControl w:val="0"/>
            </w:pPr>
            <w:r w:rsidRPr="0080555B">
              <w:t>none</w:t>
            </w:r>
          </w:p>
        </w:tc>
        <w:tc>
          <w:tcPr>
            <w:tcW w:w="3164" w:type="pct"/>
          </w:tcPr>
          <w:p w14:paraId="76F0FE1B" w14:textId="77777777" w:rsidR="001F04FD" w:rsidRDefault="001F04FD" w:rsidP="00AC4DEE">
            <w:pPr>
              <w:pStyle w:val="tablebody0"/>
              <w:widowControl w:val="0"/>
              <w:rPr>
                <w:i/>
              </w:rPr>
            </w:pPr>
            <w:r w:rsidRPr="0080555B">
              <w:rPr>
                <w:i/>
              </w:rPr>
              <w:t>Resource Node Weighting Factor per interval</w:t>
            </w:r>
            <w:r w:rsidRPr="0080555B">
              <w:sym w:font="Symbol" w:char="F0BE"/>
            </w:r>
            <w:r w:rsidRPr="0080555B">
              <w:t xml:space="preserve">The weight used in the Resource Node Settlement Point Price calculation for the portion of the SCED interval </w:t>
            </w:r>
            <w:r w:rsidRPr="0080555B">
              <w:rPr>
                <w:i/>
              </w:rPr>
              <w:t>y</w:t>
            </w:r>
            <w:r w:rsidRPr="0080555B">
              <w:t xml:space="preserve"> within the Settlement Interval.</w:t>
            </w:r>
          </w:p>
        </w:tc>
      </w:tr>
      <w:tr w:rsidR="001F04FD" w14:paraId="1EC55F28" w14:textId="77777777" w:rsidTr="00AD486D">
        <w:trPr>
          <w:cantSplit/>
        </w:trPr>
        <w:tc>
          <w:tcPr>
            <w:tcW w:w="1155" w:type="pct"/>
          </w:tcPr>
          <w:p w14:paraId="4A117FD6" w14:textId="77777777" w:rsidR="001F04FD" w:rsidRDefault="001F04FD" w:rsidP="00AC4DEE">
            <w:pPr>
              <w:pStyle w:val="tablebody0"/>
              <w:widowControl w:val="0"/>
            </w:pPr>
            <w:r>
              <w:t xml:space="preserve">RTLMP </w:t>
            </w:r>
            <w:r w:rsidRPr="00107CC2">
              <w:rPr>
                <w:i/>
                <w:vertAlign w:val="subscript"/>
              </w:rPr>
              <w:t>b, y</w:t>
            </w:r>
          </w:p>
        </w:tc>
        <w:tc>
          <w:tcPr>
            <w:tcW w:w="681" w:type="pct"/>
          </w:tcPr>
          <w:p w14:paraId="1C62036B" w14:textId="77777777" w:rsidR="001F04FD" w:rsidRDefault="001F04FD" w:rsidP="00AC4DEE">
            <w:pPr>
              <w:pStyle w:val="tablebody0"/>
              <w:widowControl w:val="0"/>
            </w:pPr>
            <w:r>
              <w:t>$/MWh</w:t>
            </w:r>
          </w:p>
        </w:tc>
        <w:tc>
          <w:tcPr>
            <w:tcW w:w="3164" w:type="pct"/>
          </w:tcPr>
          <w:p w14:paraId="7729EF11" w14:textId="77777777" w:rsidR="001F04FD" w:rsidRDefault="001F04FD" w:rsidP="00AC4DEE">
            <w:pPr>
              <w:pStyle w:val="tablebody0"/>
              <w:widowControl w:val="0"/>
            </w:pPr>
            <w:r>
              <w:rPr>
                <w:i/>
              </w:rPr>
              <w:t>Real-Time Locational Marginal Price at bus per interval</w:t>
            </w:r>
            <w:r>
              <w:sym w:font="Symbol" w:char="F0BE"/>
            </w:r>
            <w:r>
              <w:t xml:space="preserve">The Real-Time LMP for the meter at Electrical Bus </w:t>
            </w:r>
            <w:r>
              <w:rPr>
                <w:i/>
              </w:rPr>
              <w:t>b</w:t>
            </w:r>
            <w:r>
              <w:t xml:space="preserve">, for the SCED interval </w:t>
            </w:r>
            <w:r>
              <w:rPr>
                <w:i/>
              </w:rPr>
              <w:t>y</w:t>
            </w:r>
            <w:r>
              <w:t>.</w:t>
            </w:r>
          </w:p>
        </w:tc>
      </w:tr>
      <w:tr w:rsidR="001F04FD" w14:paraId="4994ADDB" w14:textId="77777777" w:rsidTr="00AD486D">
        <w:trPr>
          <w:cantSplit/>
        </w:trPr>
        <w:tc>
          <w:tcPr>
            <w:tcW w:w="1155" w:type="pct"/>
          </w:tcPr>
          <w:p w14:paraId="14E03E4D" w14:textId="77777777" w:rsidR="001F04FD" w:rsidRDefault="001F04FD" w:rsidP="00AC4DEE">
            <w:pPr>
              <w:pStyle w:val="tablebody0"/>
              <w:widowControl w:val="0"/>
            </w:pPr>
            <w:r>
              <w:t xml:space="preserve">TLMP </w:t>
            </w:r>
            <w:r w:rsidRPr="00107CC2">
              <w:rPr>
                <w:i/>
                <w:vertAlign w:val="subscript"/>
              </w:rPr>
              <w:t>y</w:t>
            </w:r>
          </w:p>
        </w:tc>
        <w:tc>
          <w:tcPr>
            <w:tcW w:w="681" w:type="pct"/>
          </w:tcPr>
          <w:p w14:paraId="79C2CF5C" w14:textId="77777777" w:rsidR="001F04FD" w:rsidRDefault="001F04FD" w:rsidP="00AC4DEE">
            <w:pPr>
              <w:pStyle w:val="tablebody0"/>
              <w:widowControl w:val="0"/>
              <w:rPr>
                <w:iCs/>
              </w:rPr>
            </w:pPr>
            <w:r>
              <w:t>second</w:t>
            </w:r>
          </w:p>
        </w:tc>
        <w:tc>
          <w:tcPr>
            <w:tcW w:w="3164" w:type="pct"/>
          </w:tcPr>
          <w:p w14:paraId="4199EFE3" w14:textId="77777777" w:rsidR="001F04FD" w:rsidRDefault="001F04FD" w:rsidP="00AC4DEE">
            <w:pPr>
              <w:pStyle w:val="tablebody0"/>
              <w:widowControl w:val="0"/>
            </w:pPr>
            <w:r>
              <w:rPr>
                <w:i/>
                <w:iCs/>
              </w:rPr>
              <w:t xml:space="preserve">Duration of </w:t>
            </w:r>
            <w:r>
              <w:rPr>
                <w:i/>
              </w:rPr>
              <w:t>SCED</w:t>
            </w:r>
            <w:r>
              <w:rPr>
                <w:i/>
                <w:iCs/>
              </w:rPr>
              <w:t xml:space="preserve"> interval per interval</w:t>
            </w:r>
            <w:r>
              <w:sym w:font="Symbol" w:char="F0BE"/>
            </w:r>
            <w:r>
              <w:t xml:space="preserve">The duration of the SCED interval </w:t>
            </w:r>
            <w:r>
              <w:rPr>
                <w:i/>
                <w:iCs/>
              </w:rPr>
              <w:t>y</w:t>
            </w:r>
            <w:r>
              <w:t>.</w:t>
            </w:r>
          </w:p>
        </w:tc>
      </w:tr>
      <w:tr w:rsidR="001F04FD" w14:paraId="75E8BE67" w14:textId="77777777" w:rsidTr="00AD486D">
        <w:trPr>
          <w:cantSplit/>
        </w:trPr>
        <w:tc>
          <w:tcPr>
            <w:tcW w:w="1155" w:type="pct"/>
          </w:tcPr>
          <w:p w14:paraId="67DE94F4" w14:textId="77777777" w:rsidR="001F04FD" w:rsidRDefault="001F04FD" w:rsidP="00AC4DEE">
            <w:pPr>
              <w:pStyle w:val="tablebody0"/>
              <w:widowControl w:val="0"/>
            </w:pPr>
            <w:r>
              <w:t xml:space="preserve">RNWF </w:t>
            </w:r>
            <w:r w:rsidRPr="00107CC2">
              <w:rPr>
                <w:i/>
                <w:vertAlign w:val="subscript"/>
              </w:rPr>
              <w:t>b, y</w:t>
            </w:r>
          </w:p>
        </w:tc>
        <w:tc>
          <w:tcPr>
            <w:tcW w:w="681" w:type="pct"/>
          </w:tcPr>
          <w:p w14:paraId="61055225" w14:textId="77777777" w:rsidR="001F04FD" w:rsidRDefault="001F04FD" w:rsidP="00AC4DEE">
            <w:pPr>
              <w:pStyle w:val="tablebody0"/>
              <w:widowControl w:val="0"/>
            </w:pPr>
            <w:r>
              <w:t>none</w:t>
            </w:r>
          </w:p>
        </w:tc>
        <w:tc>
          <w:tcPr>
            <w:tcW w:w="3164" w:type="pct"/>
          </w:tcPr>
          <w:p w14:paraId="242D38CC" w14:textId="77777777" w:rsidR="001F04FD" w:rsidRDefault="001F04FD" w:rsidP="00AC4DEE">
            <w:pPr>
              <w:pStyle w:val="tablebody0"/>
              <w:widowControl w:val="0"/>
              <w:rPr>
                <w:i/>
                <w:iCs/>
              </w:rPr>
            </w:pPr>
            <w:r>
              <w:rPr>
                <w:i/>
                <w:iCs/>
              </w:rPr>
              <w:t>Net meter Weighting Factor per interval</w:t>
            </w:r>
            <w:r>
              <w:rPr>
                <w:rFonts w:ascii="Symbol" w:hAnsi="Symbol"/>
              </w:rPr>
              <w:t></w:t>
            </w:r>
            <w:r>
              <w:t xml:space="preserve">The weight factor used in net meter price calculation for meters in Electrical Bus </w:t>
            </w:r>
            <w:r>
              <w:rPr>
                <w:i/>
              </w:rPr>
              <w:t>b</w:t>
            </w:r>
            <w:r>
              <w:t xml:space="preserve">, for the SCED interval </w:t>
            </w:r>
            <w:r>
              <w:rPr>
                <w:i/>
                <w:iCs/>
              </w:rPr>
              <w:t>y</w:t>
            </w:r>
            <w:r>
              <w:t>.  The weighting factor used in the net meter price calculation shall not be recalculated after the fact due to revisions in the association of Resources to Settlement Meters.</w:t>
            </w:r>
          </w:p>
        </w:tc>
      </w:tr>
      <w:tr w:rsidR="001F04FD" w14:paraId="5F97ABA6" w14:textId="77777777" w:rsidTr="00AD486D">
        <w:trPr>
          <w:cantSplit/>
        </w:trPr>
        <w:tc>
          <w:tcPr>
            <w:tcW w:w="1155" w:type="pct"/>
          </w:tcPr>
          <w:p w14:paraId="7CDD5C84" w14:textId="77777777" w:rsidR="001F04FD" w:rsidRDefault="001F04FD" w:rsidP="00AC4DEE">
            <w:pPr>
              <w:pStyle w:val="tablebody0"/>
              <w:widowControl w:val="0"/>
            </w:pPr>
            <w:r>
              <w:t xml:space="preserve">BP </w:t>
            </w:r>
            <w:r w:rsidRPr="00107CC2">
              <w:rPr>
                <w:i/>
                <w:vertAlign w:val="subscript"/>
              </w:rPr>
              <w:t>r, y</w:t>
            </w:r>
          </w:p>
        </w:tc>
        <w:tc>
          <w:tcPr>
            <w:tcW w:w="681" w:type="pct"/>
          </w:tcPr>
          <w:p w14:paraId="533331C2" w14:textId="77777777" w:rsidR="001F04FD" w:rsidRDefault="001F04FD" w:rsidP="00AC4DEE">
            <w:pPr>
              <w:pStyle w:val="tablebody0"/>
              <w:widowControl w:val="0"/>
            </w:pPr>
            <w:r>
              <w:t>MW</w:t>
            </w:r>
          </w:p>
        </w:tc>
        <w:tc>
          <w:tcPr>
            <w:tcW w:w="3164" w:type="pct"/>
          </w:tcPr>
          <w:p w14:paraId="6E08B86A" w14:textId="77777777" w:rsidR="001F04FD" w:rsidRDefault="001F04FD" w:rsidP="00AC4DEE">
            <w:pPr>
              <w:pStyle w:val="tablebody0"/>
              <w:widowControl w:val="0"/>
              <w:rPr>
                <w:i/>
                <w:iCs/>
              </w:rPr>
            </w:pPr>
            <w:r>
              <w:rPr>
                <w:i/>
                <w:iCs/>
              </w:rPr>
              <w:t>Base Point per Resource per interval</w:t>
            </w:r>
            <w:r>
              <w:rPr>
                <w:rFonts w:ascii="Symbol" w:hAnsi="Symbol"/>
              </w:rPr>
              <w:t></w:t>
            </w:r>
            <w:r>
              <w:t xml:space="preserve">The Base Point of Resource </w:t>
            </w:r>
            <w:r>
              <w:rPr>
                <w:i/>
              </w:rPr>
              <w:t>r</w:t>
            </w:r>
            <w:r w:rsidRPr="00D661BC">
              <w:rPr>
                <w:i/>
              </w:rPr>
              <w:t>,</w:t>
            </w:r>
            <w:r>
              <w:t xml:space="preserve"> for the SCED interval </w:t>
            </w:r>
            <w:r>
              <w:rPr>
                <w:i/>
                <w:iCs/>
              </w:rPr>
              <w:t>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4B627E85" w14:textId="77777777" w:rsidTr="00AD486D">
        <w:trPr>
          <w:cantSplit/>
        </w:trPr>
        <w:tc>
          <w:tcPr>
            <w:tcW w:w="1155" w:type="pct"/>
          </w:tcPr>
          <w:p w14:paraId="58A0E3EF" w14:textId="77777777" w:rsidR="001F04FD" w:rsidRPr="00D661BC" w:rsidRDefault="001F04FD" w:rsidP="00AC4DEE">
            <w:pPr>
              <w:pStyle w:val="tablebody0"/>
              <w:widowControl w:val="0"/>
              <w:rPr>
                <w:i/>
              </w:rPr>
            </w:pPr>
            <w:r w:rsidRPr="004368B4">
              <w:t>MEB</w:t>
            </w:r>
            <w:r>
              <w:t>C</w:t>
            </w:r>
            <w:r w:rsidRPr="004368B4">
              <w:rPr>
                <w:vertAlign w:val="subscript"/>
              </w:rPr>
              <w:t xml:space="preserve"> </w:t>
            </w:r>
            <w:r w:rsidRPr="00107CC2">
              <w:rPr>
                <w:i/>
                <w:vertAlign w:val="subscript"/>
              </w:rPr>
              <w:t>gsc, b</w:t>
            </w:r>
          </w:p>
        </w:tc>
        <w:tc>
          <w:tcPr>
            <w:tcW w:w="681" w:type="pct"/>
          </w:tcPr>
          <w:p w14:paraId="2F551F7E" w14:textId="77777777" w:rsidR="001F04FD" w:rsidRDefault="001F04FD" w:rsidP="00AC4DEE">
            <w:pPr>
              <w:pStyle w:val="tablebody0"/>
              <w:widowControl w:val="0"/>
            </w:pPr>
            <w:r w:rsidRPr="004368B4">
              <w:t>MWh</w:t>
            </w:r>
          </w:p>
        </w:tc>
        <w:tc>
          <w:tcPr>
            <w:tcW w:w="3164" w:type="pct"/>
          </w:tcPr>
          <w:p w14:paraId="6FA5EC2D" w14:textId="09BF5B68" w:rsidR="001F04FD" w:rsidRDefault="001F04FD">
            <w:pPr>
              <w:pStyle w:val="tablebody0"/>
              <w:widowControl w:val="0"/>
            </w:pPr>
            <w:r w:rsidRPr="004368B4">
              <w:rPr>
                <w:i/>
              </w:rPr>
              <w:t xml:space="preserve">Metered Energy </w:t>
            </w:r>
            <w:r>
              <w:rPr>
                <w:i/>
              </w:rPr>
              <w:t>at bus (Calculated)</w:t>
            </w:r>
            <w:r w:rsidRPr="004368B4">
              <w:sym w:font="Symbol" w:char="F0BE"/>
            </w:r>
            <w:r w:rsidR="003963CD" w:rsidRPr="004368B4">
              <w:t xml:space="preserve"> The </w:t>
            </w:r>
            <w:r w:rsidR="003963CD">
              <w:t>calculated</w:t>
            </w:r>
            <w:r w:rsidR="003963CD" w:rsidRPr="004368B4">
              <w:t xml:space="preserve"> energy for the 15-minute Settlement Interval for a </w:t>
            </w:r>
            <w:r w:rsidR="003963CD">
              <w:t xml:space="preserve">Settlement Meter which is upstream from another Settlement Meter which measures ESR Load. </w:t>
            </w:r>
            <w:r w:rsidR="003963CD" w:rsidRPr="004368B4">
              <w:t xml:space="preserve"> </w:t>
            </w:r>
            <w:r w:rsidR="003963CD">
              <w:t>A positive value represents energy produced, and a negative value represents energy withdrawn.</w:t>
            </w:r>
            <w:r w:rsidR="003963CD" w:rsidRPr="004368B4" w:rsidDel="003963CD">
              <w:t xml:space="preserve"> </w:t>
            </w:r>
          </w:p>
        </w:tc>
      </w:tr>
      <w:tr w:rsidR="001F04FD" w14:paraId="7A75AD5D" w14:textId="77777777" w:rsidTr="00AD486D">
        <w:trPr>
          <w:cantSplit/>
        </w:trPr>
        <w:tc>
          <w:tcPr>
            <w:tcW w:w="1155" w:type="pct"/>
          </w:tcPr>
          <w:p w14:paraId="1C9C9E0B" w14:textId="77777777" w:rsidR="001F04FD" w:rsidRPr="00851EF1" w:rsidRDefault="001F04FD" w:rsidP="00AC4DEE">
            <w:pPr>
              <w:pStyle w:val="tablebody0"/>
              <w:widowControl w:val="0"/>
              <w:rPr>
                <w:i/>
              </w:rPr>
            </w:pPr>
            <w:r w:rsidRPr="00D661BC">
              <w:rPr>
                <w:i/>
              </w:rPr>
              <w:t>gsc</w:t>
            </w:r>
          </w:p>
        </w:tc>
        <w:tc>
          <w:tcPr>
            <w:tcW w:w="681" w:type="pct"/>
          </w:tcPr>
          <w:p w14:paraId="3F67CAC9" w14:textId="77777777" w:rsidR="001F04FD" w:rsidRDefault="001F04FD" w:rsidP="00AC4DEE">
            <w:pPr>
              <w:pStyle w:val="tablebody0"/>
              <w:widowControl w:val="0"/>
            </w:pPr>
            <w:r>
              <w:t>none</w:t>
            </w:r>
          </w:p>
        </w:tc>
        <w:tc>
          <w:tcPr>
            <w:tcW w:w="3164" w:type="pct"/>
          </w:tcPr>
          <w:p w14:paraId="0BDB631B" w14:textId="77777777" w:rsidR="001F04FD" w:rsidRDefault="001F04FD" w:rsidP="00AC4DEE">
            <w:pPr>
              <w:pStyle w:val="tablebody0"/>
              <w:widowControl w:val="0"/>
            </w:pPr>
            <w:r>
              <w:t>A generation site code.</w:t>
            </w:r>
          </w:p>
        </w:tc>
      </w:tr>
      <w:tr w:rsidR="001F04FD" w14:paraId="15E7CC47" w14:textId="77777777" w:rsidTr="00AD486D">
        <w:trPr>
          <w:cantSplit/>
        </w:trPr>
        <w:tc>
          <w:tcPr>
            <w:tcW w:w="1155" w:type="pct"/>
          </w:tcPr>
          <w:p w14:paraId="0F88CF96" w14:textId="77777777" w:rsidR="001F04FD" w:rsidRPr="00851EF1" w:rsidRDefault="001F04FD" w:rsidP="00AC4DEE">
            <w:pPr>
              <w:pStyle w:val="tablebody0"/>
              <w:widowControl w:val="0"/>
              <w:rPr>
                <w:i/>
              </w:rPr>
            </w:pPr>
            <w:r w:rsidRPr="00D661BC">
              <w:rPr>
                <w:i/>
              </w:rPr>
              <w:t>r</w:t>
            </w:r>
          </w:p>
        </w:tc>
        <w:tc>
          <w:tcPr>
            <w:tcW w:w="681" w:type="pct"/>
          </w:tcPr>
          <w:p w14:paraId="0E905848" w14:textId="77777777" w:rsidR="001F04FD" w:rsidRDefault="001F04FD" w:rsidP="00AC4DEE">
            <w:pPr>
              <w:pStyle w:val="tablebody0"/>
              <w:widowControl w:val="0"/>
            </w:pPr>
            <w:r>
              <w:t>none</w:t>
            </w:r>
          </w:p>
        </w:tc>
        <w:tc>
          <w:tcPr>
            <w:tcW w:w="3164" w:type="pct"/>
          </w:tcPr>
          <w:p w14:paraId="52976AC4" w14:textId="77777777" w:rsidR="001F04FD" w:rsidRDefault="001F04FD" w:rsidP="00AC4DEE">
            <w:pPr>
              <w:pStyle w:val="tablebody0"/>
              <w:widowControl w:val="0"/>
            </w:pPr>
            <w:r>
              <w:t xml:space="preserve">A Generation Resource that is located at the Facility with net metering.  </w:t>
            </w:r>
          </w:p>
        </w:tc>
      </w:tr>
      <w:tr w:rsidR="001F04FD" w14:paraId="2229CE7F" w14:textId="77777777" w:rsidTr="00AD486D">
        <w:trPr>
          <w:cantSplit/>
        </w:trPr>
        <w:tc>
          <w:tcPr>
            <w:tcW w:w="1155" w:type="pct"/>
          </w:tcPr>
          <w:p w14:paraId="789488EB" w14:textId="77777777" w:rsidR="001F04FD" w:rsidRPr="00851EF1" w:rsidRDefault="001F04FD" w:rsidP="00AC4DEE">
            <w:pPr>
              <w:pStyle w:val="tablebody0"/>
              <w:widowControl w:val="0"/>
              <w:rPr>
                <w:i/>
              </w:rPr>
            </w:pPr>
            <w:r w:rsidRPr="00D661BC">
              <w:rPr>
                <w:i/>
              </w:rPr>
              <w:t>y</w:t>
            </w:r>
          </w:p>
        </w:tc>
        <w:tc>
          <w:tcPr>
            <w:tcW w:w="681" w:type="pct"/>
          </w:tcPr>
          <w:p w14:paraId="7555AA5C" w14:textId="77777777" w:rsidR="001F04FD" w:rsidRDefault="001F04FD" w:rsidP="00AC4DEE">
            <w:pPr>
              <w:pStyle w:val="tablebody0"/>
              <w:widowControl w:val="0"/>
            </w:pPr>
            <w:r>
              <w:t>none</w:t>
            </w:r>
          </w:p>
        </w:tc>
        <w:tc>
          <w:tcPr>
            <w:tcW w:w="3164" w:type="pct"/>
          </w:tcPr>
          <w:p w14:paraId="72758986" w14:textId="77777777" w:rsidR="001F04FD" w:rsidRDefault="001F04FD" w:rsidP="00AC4DEE">
            <w:pPr>
              <w:pStyle w:val="tablebody0"/>
              <w:widowControl w:val="0"/>
            </w:pPr>
            <w:r>
              <w:t>A SCED interval in the 15-minute Settlement Interval.  The summation is over the total number of SCED runs that cover the 15-minute Settlement Interval.</w:t>
            </w:r>
          </w:p>
        </w:tc>
      </w:tr>
      <w:tr w:rsidR="001F04FD" w14:paraId="4C358E52" w14:textId="77777777" w:rsidTr="00AD486D">
        <w:trPr>
          <w:cantSplit/>
        </w:trPr>
        <w:tc>
          <w:tcPr>
            <w:tcW w:w="1155" w:type="pct"/>
          </w:tcPr>
          <w:p w14:paraId="38E39882" w14:textId="77777777" w:rsidR="001F04FD" w:rsidRPr="00851EF1" w:rsidRDefault="001F04FD" w:rsidP="00AC4DEE">
            <w:pPr>
              <w:pStyle w:val="tablebody0"/>
              <w:widowControl w:val="0"/>
              <w:rPr>
                <w:i/>
              </w:rPr>
            </w:pPr>
            <w:r w:rsidRPr="00D661BC">
              <w:rPr>
                <w:i/>
              </w:rPr>
              <w:t>b</w:t>
            </w:r>
          </w:p>
        </w:tc>
        <w:tc>
          <w:tcPr>
            <w:tcW w:w="681" w:type="pct"/>
          </w:tcPr>
          <w:p w14:paraId="0E5E79D0" w14:textId="77777777" w:rsidR="001F04FD" w:rsidRDefault="001F04FD" w:rsidP="00AC4DEE">
            <w:pPr>
              <w:pStyle w:val="tablebody0"/>
              <w:widowControl w:val="0"/>
            </w:pPr>
            <w:r>
              <w:t>none</w:t>
            </w:r>
          </w:p>
        </w:tc>
        <w:tc>
          <w:tcPr>
            <w:tcW w:w="3164" w:type="pct"/>
          </w:tcPr>
          <w:p w14:paraId="5973D815" w14:textId="77777777" w:rsidR="001F04FD" w:rsidRDefault="001F04FD" w:rsidP="00AC4DEE">
            <w:pPr>
              <w:pStyle w:val="tablebody0"/>
              <w:widowControl w:val="0"/>
            </w:pPr>
            <w:r>
              <w:t>An Electrical Bus.</w:t>
            </w:r>
          </w:p>
        </w:tc>
      </w:tr>
    </w:tbl>
    <w:p w14:paraId="392F460E" w14:textId="77777777" w:rsidR="00837DE8" w:rsidRDefault="00837DE8" w:rsidP="00F15CAD">
      <w:pPr>
        <w:pStyle w:val="BodyTextNumbered"/>
        <w:widowControl w:val="0"/>
        <w:spacing w:after="0"/>
      </w:pP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37DE8" w14:paraId="4C508574" w14:textId="77777777" w:rsidTr="000D7680">
        <w:trPr>
          <w:trHeight w:val="206"/>
        </w:trPr>
        <w:tc>
          <w:tcPr>
            <w:tcW w:w="5000" w:type="pct"/>
            <w:shd w:val="pct12" w:color="auto" w:fill="auto"/>
          </w:tcPr>
          <w:p w14:paraId="1411EB1A" w14:textId="64F69052" w:rsidR="00837DE8" w:rsidRDefault="00F15CAD" w:rsidP="000D7680">
            <w:pPr>
              <w:pStyle w:val="Instructions"/>
              <w:spacing w:before="120"/>
            </w:pPr>
            <w:r>
              <w:lastRenderedPageBreak/>
              <w:t>[</w:t>
            </w:r>
            <w:r w:rsidR="00837DE8">
              <w:t>NPRR1010</w:t>
            </w:r>
            <w:r w:rsidR="00632873">
              <w:t>,</w:t>
            </w:r>
            <w:r>
              <w:t xml:space="preserve"> NPRR1014</w:t>
            </w:r>
            <w:r w:rsidR="00632873">
              <w:t>, and NPRR1188</w:t>
            </w:r>
            <w:r w:rsidR="00837DE8">
              <w:t xml:space="preserve">:  Replace </w:t>
            </w:r>
            <w:r>
              <w:t>applicable portion</w:t>
            </w:r>
            <w:r w:rsidR="00AA638D">
              <w:t>s</w:t>
            </w:r>
            <w:r>
              <w:t xml:space="preserve"> of </w:t>
            </w:r>
            <w:r w:rsidR="00837DE8">
              <w:t>paragraph (4) above with the following upon system implementation</w:t>
            </w:r>
            <w:r w:rsidR="00B15E7C">
              <w:t xml:space="preserve"> of the Real-Time Co-Optimization (RTC) project for NPRR1010</w:t>
            </w:r>
            <w:r w:rsidR="00837DE8">
              <w:t>; or upon system implementation</w:t>
            </w:r>
            <w:r w:rsidR="00B15E7C">
              <w:t xml:space="preserve"> for NPRR1014</w:t>
            </w:r>
            <w:r w:rsidR="00632873">
              <w:t xml:space="preserve"> or NPRR1188</w:t>
            </w:r>
            <w:r w:rsidR="00837DE8">
              <w:t>:]</w:t>
            </w:r>
          </w:p>
          <w:p w14:paraId="74A69FF2" w14:textId="77777777" w:rsidR="00837DE8" w:rsidRPr="003161DC" w:rsidRDefault="00837DE8" w:rsidP="00837DE8">
            <w:pPr>
              <w:widowControl w:val="0"/>
              <w:spacing w:before="240" w:after="120"/>
              <w:ind w:left="720" w:hanging="720"/>
            </w:pPr>
            <w:r w:rsidRPr="003161DC">
              <w:t>(4)</w:t>
            </w:r>
            <w:r w:rsidRPr="003161DC">
              <w:tab/>
              <w:t>The total payment or charge to a Facility with a net metering arrangement for each 15-minute Settlement Interval shall be calculated as follows:</w:t>
            </w:r>
          </w:p>
          <w:p w14:paraId="37530937" w14:textId="77777777" w:rsidR="00837DE8" w:rsidRPr="003161DC" w:rsidRDefault="00837DE8" w:rsidP="00837DE8">
            <w:pPr>
              <w:widowControl w:val="0"/>
              <w:spacing w:after="240"/>
              <w:ind w:left="720"/>
              <w:rPr>
                <w:b/>
              </w:rPr>
            </w:pPr>
            <w:r w:rsidRPr="003161DC">
              <w:rPr>
                <w:b/>
              </w:rPr>
              <w:t>NMRTETOT</w:t>
            </w:r>
            <w:r w:rsidRPr="003161DC">
              <w:rPr>
                <w:b/>
                <w:i/>
                <w:vertAlign w:val="subscript"/>
              </w:rPr>
              <w:t xml:space="preserve"> gsc</w:t>
            </w:r>
            <w:r w:rsidRPr="003161DC">
              <w:rPr>
                <w:b/>
              </w:rPr>
              <w:t xml:space="preserve"> </w:t>
            </w:r>
            <w:r w:rsidRPr="003161DC">
              <w:rPr>
                <w:b/>
              </w:rPr>
              <w:tab/>
              <w:t xml:space="preserve">= </w:t>
            </w:r>
            <w:r w:rsidRPr="003161DC">
              <w:rPr>
                <w:b/>
              </w:rPr>
              <w:tab/>
              <w:t>Max (0, (</w:t>
            </w:r>
            <w:r w:rsidRPr="003161DC">
              <w:rPr>
                <w:b/>
                <w:position w:val="-20"/>
              </w:rPr>
              <w:object w:dxaOrig="225" w:dyaOrig="435" w14:anchorId="5C097CEC">
                <v:shape id="_x0000_i1147" type="#_x0000_t75" style="width:12pt;height:30pt" o:ole="">
                  <v:imagedata r:id="rId156" o:title=""/>
                </v:shape>
                <o:OLEObject Type="Embed" ProgID="Equation.3" ShapeID="_x0000_i1147" DrawAspect="Content" ObjectID="_1815025337" r:id="rId164"/>
              </w:object>
            </w:r>
            <w:r w:rsidRPr="003161DC">
              <w:rPr>
                <w:b/>
                <w:position w:val="-20"/>
              </w:rPr>
              <w:t xml:space="preserve"> </w:t>
            </w:r>
            <w:r w:rsidRPr="003161DC">
              <w:rPr>
                <w:b/>
              </w:rPr>
              <w:t xml:space="preserve">(MEB </w:t>
            </w:r>
            <w:r w:rsidRPr="003161DC">
              <w:rPr>
                <w:b/>
                <w:i/>
                <w:vertAlign w:val="subscript"/>
              </w:rPr>
              <w:t xml:space="preserve">gsc, b </w:t>
            </w:r>
            <w:r w:rsidRPr="003161DC">
              <w:rPr>
                <w:b/>
                <w:i/>
              </w:rPr>
              <w:t>+</w:t>
            </w:r>
            <w:r w:rsidRPr="003161DC">
              <w:rPr>
                <w:b/>
              </w:rPr>
              <w:t xml:space="preserve"> MEBC </w:t>
            </w:r>
            <w:r w:rsidRPr="003161DC">
              <w:rPr>
                <w:b/>
                <w:i/>
                <w:vertAlign w:val="subscript"/>
              </w:rPr>
              <w:t>gsc, b</w:t>
            </w:r>
            <w:r w:rsidRPr="003161DC">
              <w:rPr>
                <w:b/>
              </w:rPr>
              <w:t>)))</w:t>
            </w:r>
          </w:p>
          <w:p w14:paraId="07955807" w14:textId="77777777" w:rsidR="00837DE8" w:rsidRPr="003161DC" w:rsidRDefault="00837DE8" w:rsidP="00837DE8">
            <w:pPr>
              <w:widowControl w:val="0"/>
              <w:spacing w:after="240"/>
              <w:ind w:left="720"/>
            </w:pPr>
            <w:r w:rsidRPr="003161DC">
              <w:t>If NMRTETOT</w:t>
            </w:r>
            <w:r w:rsidRPr="003161DC">
              <w:rPr>
                <w:i/>
                <w:vertAlign w:val="subscript"/>
              </w:rPr>
              <w:t xml:space="preserve"> gsc</w:t>
            </w:r>
            <w:r w:rsidRPr="003161DC">
              <w:t xml:space="preserve"> = 0 for a 15-minute Settlement Interval, then</w:t>
            </w:r>
          </w:p>
          <w:p w14:paraId="075EBE3E" w14:textId="1481368A" w:rsidR="00837DE8" w:rsidRPr="003161DC" w:rsidRDefault="00837DE8" w:rsidP="00837DE8">
            <w:pPr>
              <w:widowControl w:val="0"/>
              <w:spacing w:after="240"/>
              <w:ind w:left="720"/>
            </w:pPr>
            <w:r>
              <w:t>The Load that is not WSL is included in the Real-Time AML per QSE.</w:t>
            </w:r>
          </w:p>
          <w:p w14:paraId="61F86168" w14:textId="77777777" w:rsidR="00837DE8" w:rsidRPr="003161DC" w:rsidRDefault="00837DE8" w:rsidP="00837DE8">
            <w:pPr>
              <w:widowControl w:val="0"/>
              <w:spacing w:after="240"/>
              <w:ind w:left="720"/>
            </w:pPr>
            <w:r w:rsidRPr="003161DC">
              <w:t>Otherwise, when NMRTETOT</w:t>
            </w:r>
            <w:r w:rsidRPr="003161DC">
              <w:rPr>
                <w:i/>
                <w:vertAlign w:val="subscript"/>
              </w:rPr>
              <w:t xml:space="preserve"> gsc </w:t>
            </w:r>
            <w:r w:rsidRPr="003161DC">
              <w:rPr>
                <w:b/>
              </w:rPr>
              <w:t>&gt;</w:t>
            </w:r>
            <w:r w:rsidRPr="003161DC">
              <w:t xml:space="preserve"> 0 for a 15-minute Settlement Interval, then</w:t>
            </w:r>
          </w:p>
          <w:p w14:paraId="10BDAF05" w14:textId="77777777" w:rsidR="00837DE8" w:rsidRPr="003161DC" w:rsidRDefault="00837DE8" w:rsidP="00837DE8">
            <w:pPr>
              <w:widowControl w:val="0"/>
              <w:tabs>
                <w:tab w:val="left" w:pos="2250"/>
                <w:tab w:val="left" w:pos="3150"/>
                <w:tab w:val="left" w:pos="3960"/>
              </w:tabs>
              <w:spacing w:after="240"/>
              <w:ind w:left="3960" w:hanging="3240"/>
              <w:rPr>
                <w:b/>
                <w:bCs/>
              </w:rPr>
            </w:pPr>
            <w:r w:rsidRPr="003161DC">
              <w:rPr>
                <w:b/>
                <w:bCs/>
              </w:rPr>
              <w:t xml:space="preserve">NMSAMTTOT </w:t>
            </w:r>
            <w:r w:rsidRPr="003161DC">
              <w:rPr>
                <w:bCs/>
                <w:i/>
                <w:sz w:val="28"/>
                <w:szCs w:val="28"/>
                <w:vertAlign w:val="subscript"/>
              </w:rPr>
              <w:t>gsc</w:t>
            </w:r>
            <w:r w:rsidRPr="003161DC">
              <w:rPr>
                <w:b/>
                <w:bCs/>
              </w:rPr>
              <w:tab/>
              <w:t>=</w:t>
            </w:r>
            <w:r w:rsidRPr="003161DC">
              <w:rPr>
                <w:b/>
                <w:bCs/>
              </w:rPr>
              <w:tab/>
            </w:r>
            <w:r w:rsidRPr="003161DC">
              <w:rPr>
                <w:b/>
                <w:bCs/>
                <w:position w:val="-20"/>
              </w:rPr>
              <w:object w:dxaOrig="225" w:dyaOrig="435" w14:anchorId="730A5614">
                <v:shape id="_x0000_i1148" type="#_x0000_t75" style="width:12pt;height:30pt" o:ole="">
                  <v:imagedata r:id="rId145" o:title=""/>
                </v:shape>
                <o:OLEObject Type="Embed" ProgID="Equation.3" ShapeID="_x0000_i1148" DrawAspect="Content" ObjectID="_1815025338" r:id="rId165"/>
              </w:object>
            </w:r>
            <w:r w:rsidRPr="003161DC">
              <w:rPr>
                <w:b/>
                <w:bCs/>
              </w:rPr>
              <w:t xml:space="preserve"> [(RTRMPR</w:t>
            </w:r>
            <w:r w:rsidRPr="003161DC">
              <w:rPr>
                <w:b/>
                <w:bCs/>
                <w:i/>
                <w:vertAlign w:val="subscript"/>
              </w:rPr>
              <w:t xml:space="preserve"> b</w:t>
            </w:r>
            <w:r w:rsidRPr="003161DC">
              <w:rPr>
                <w:b/>
                <w:bCs/>
              </w:rPr>
              <w:t xml:space="preserve"> * MEB </w:t>
            </w:r>
            <w:r w:rsidRPr="003161DC">
              <w:rPr>
                <w:b/>
                <w:bCs/>
                <w:i/>
                <w:vertAlign w:val="subscript"/>
              </w:rPr>
              <w:t>gsc, b</w:t>
            </w:r>
            <w:r w:rsidRPr="003161DC">
              <w:rPr>
                <w:b/>
                <w:bCs/>
              </w:rPr>
              <w:t xml:space="preserve">) + (RTRMPR </w:t>
            </w:r>
            <w:r w:rsidRPr="003161DC">
              <w:rPr>
                <w:b/>
                <w:bCs/>
                <w:i/>
                <w:vertAlign w:val="subscript"/>
              </w:rPr>
              <w:t>b</w:t>
            </w:r>
            <w:r w:rsidRPr="003161DC">
              <w:rPr>
                <w:b/>
                <w:bCs/>
              </w:rPr>
              <w:t xml:space="preserve"> * MEBC </w:t>
            </w:r>
            <w:r w:rsidRPr="003161DC">
              <w:rPr>
                <w:b/>
                <w:bCs/>
                <w:i/>
                <w:vertAlign w:val="subscript"/>
              </w:rPr>
              <w:t>gsc, b</w:t>
            </w:r>
            <w:r w:rsidRPr="003161DC">
              <w:rPr>
                <w:b/>
                <w:bCs/>
                <w:lang w:val="es-ES"/>
              </w:rPr>
              <w:t>)]</w:t>
            </w:r>
            <w:r w:rsidRPr="003161DC">
              <w:rPr>
                <w:b/>
                <w:bCs/>
              </w:rPr>
              <w:t xml:space="preserve">  </w:t>
            </w:r>
          </w:p>
          <w:p w14:paraId="57F01D4B" w14:textId="77777777" w:rsidR="00837DE8" w:rsidRPr="003161DC" w:rsidRDefault="00837DE8" w:rsidP="00837DE8">
            <w:pPr>
              <w:widowControl w:val="0"/>
              <w:tabs>
                <w:tab w:val="left" w:pos="2250"/>
                <w:tab w:val="left" w:pos="3150"/>
                <w:tab w:val="left" w:pos="3960"/>
              </w:tabs>
              <w:spacing w:after="240"/>
              <w:ind w:left="2882" w:hanging="2162"/>
              <w:rPr>
                <w:bCs/>
                <w:iCs/>
              </w:rPr>
            </w:pPr>
            <w:r w:rsidRPr="003161DC">
              <w:rPr>
                <w:bCs/>
                <w:iCs/>
              </w:rPr>
              <w:t>Where</w:t>
            </w:r>
            <w:r w:rsidRPr="003161DC">
              <w:rPr>
                <w:bCs/>
              </w:rPr>
              <w:t xml:space="preserve"> the price for Settlement Meter is determined as follows</w:t>
            </w:r>
            <w:r w:rsidRPr="003161DC">
              <w:rPr>
                <w:b/>
                <w:bCs/>
              </w:rPr>
              <w:t>:</w:t>
            </w:r>
          </w:p>
          <w:p w14:paraId="31A0B537" w14:textId="77777777" w:rsidR="00837DE8" w:rsidRPr="003161DC" w:rsidRDefault="00837DE8" w:rsidP="00837DE8">
            <w:pPr>
              <w:tabs>
                <w:tab w:val="left" w:pos="2250"/>
                <w:tab w:val="left" w:pos="3150"/>
                <w:tab w:val="left" w:pos="3960"/>
              </w:tabs>
              <w:spacing w:after="240"/>
              <w:ind w:left="3960" w:hanging="3240"/>
              <w:rPr>
                <w:bCs/>
              </w:rPr>
            </w:pPr>
            <w:r w:rsidRPr="003161DC">
              <w:rPr>
                <w:b/>
                <w:bCs/>
                <w:lang w:val="es-ES"/>
              </w:rPr>
              <w:t>RTRMPR</w:t>
            </w:r>
            <w:r w:rsidRPr="003161DC">
              <w:rPr>
                <w:b/>
                <w:bCs/>
                <w:i/>
                <w:iCs/>
                <w:vertAlign w:val="subscript"/>
                <w:lang w:val="es-ES"/>
              </w:rPr>
              <w:t xml:space="preserve"> b</w:t>
            </w:r>
            <w:r w:rsidRPr="003161DC">
              <w:rPr>
                <w:bCs/>
                <w:lang w:val="es-ES"/>
              </w:rPr>
              <w:t xml:space="preserve"> </w:t>
            </w:r>
            <w:r w:rsidRPr="003161DC">
              <w:rPr>
                <w:bCs/>
                <w:lang w:val="es-ES"/>
              </w:rPr>
              <w:tab/>
            </w:r>
            <w:r w:rsidRPr="003161DC">
              <w:rPr>
                <w:bCs/>
                <w:lang w:val="es-ES"/>
              </w:rPr>
              <w:tab/>
              <w:t>=</w:t>
            </w:r>
            <w:r w:rsidRPr="003161DC">
              <w:rPr>
                <w:bCs/>
                <w:lang w:val="es-ES"/>
              </w:rPr>
              <w:tab/>
            </w:r>
            <w:r w:rsidRPr="003161DC">
              <w:rPr>
                <w:b/>
                <w:bCs/>
              </w:rPr>
              <w:t>Max [-$251, (</w:t>
            </w:r>
            <w:r w:rsidRPr="003161DC">
              <w:rPr>
                <w:rFonts w:ascii="Times New Roman Bold" w:hAnsi="Times New Roman Bold"/>
                <w:b/>
                <w:bCs/>
                <w:noProof/>
                <w:position w:val="-18"/>
              </w:rPr>
              <w:drawing>
                <wp:inline distT="0" distB="0" distL="0" distR="0" wp14:anchorId="1750F35C" wp14:editId="1794E17F">
                  <wp:extent cx="142875" cy="295275"/>
                  <wp:effectExtent l="0" t="0" r="9525" b="9525"/>
                  <wp:docPr id="3558"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bCs/>
                <w:lang w:val="es-ES"/>
              </w:rPr>
              <w:t xml:space="preserve">(RNWF </w:t>
            </w:r>
            <w:r w:rsidRPr="003161DC">
              <w:rPr>
                <w:b/>
                <w:bCs/>
                <w:i/>
                <w:iCs/>
                <w:vertAlign w:val="subscript"/>
                <w:lang w:val="es-ES"/>
              </w:rPr>
              <w:t xml:space="preserve">b, y </w:t>
            </w:r>
            <w:r w:rsidRPr="003161DC">
              <w:rPr>
                <w:b/>
                <w:bCs/>
                <w:lang w:val="es-ES"/>
              </w:rPr>
              <w:t xml:space="preserve">* RTLMP </w:t>
            </w:r>
            <w:r w:rsidRPr="003161DC">
              <w:rPr>
                <w:b/>
                <w:bCs/>
                <w:i/>
                <w:iCs/>
                <w:vertAlign w:val="subscript"/>
                <w:lang w:val="es-ES"/>
              </w:rPr>
              <w:t>b, y</w:t>
            </w:r>
            <w:r w:rsidRPr="003161DC">
              <w:rPr>
                <w:b/>
                <w:bCs/>
                <w:lang w:val="es-ES"/>
              </w:rPr>
              <w:t xml:space="preserve">) </w:t>
            </w:r>
            <w:r w:rsidRPr="003161DC">
              <w:rPr>
                <w:b/>
                <w:bCs/>
              </w:rPr>
              <w:t>+ RTRDP)]</w:t>
            </w:r>
          </w:p>
          <w:p w14:paraId="7D54D931" w14:textId="77777777" w:rsidR="00837DE8" w:rsidRPr="003161DC" w:rsidRDefault="00837DE8" w:rsidP="00837DE8">
            <w:pPr>
              <w:widowControl w:val="0"/>
              <w:spacing w:after="240"/>
              <w:ind w:firstLine="720"/>
            </w:pPr>
            <w:r w:rsidRPr="003161DC">
              <w:t>Where the weighting factor for the Electrical Bus associated with the meter is:</w:t>
            </w:r>
          </w:p>
          <w:p w14:paraId="3B1D2151" w14:textId="35BB941C" w:rsidR="00837DE8" w:rsidRPr="003161DC" w:rsidRDefault="00837DE8" w:rsidP="00837DE8">
            <w:pPr>
              <w:widowControl w:val="0"/>
              <w:spacing w:after="240"/>
              <w:ind w:left="720"/>
              <w:rPr>
                <w:b/>
                <w:shd w:val="clear" w:color="auto" w:fill="FFFF00"/>
                <w:lang w:val="es-ES"/>
              </w:rPr>
            </w:pPr>
            <w:r w:rsidRPr="003161DC">
              <w:rPr>
                <w:b/>
                <w:lang w:val="es-ES"/>
              </w:rPr>
              <w:t xml:space="preserve">RNWF </w:t>
            </w:r>
            <w:r w:rsidRPr="003161DC">
              <w:rPr>
                <w:b/>
                <w:i/>
                <w:iCs/>
                <w:vertAlign w:val="subscript"/>
                <w:lang w:val="es-ES"/>
              </w:rPr>
              <w:t xml:space="preserve">b, y </w:t>
            </w:r>
            <w:r w:rsidRPr="003161DC">
              <w:rPr>
                <w:b/>
                <w:i/>
                <w:iCs/>
                <w:vertAlign w:val="subscript"/>
                <w:lang w:val="es-ES"/>
              </w:rPr>
              <w:tab/>
            </w:r>
            <w:r w:rsidRPr="003161DC">
              <w:rPr>
                <w:b/>
                <w:i/>
                <w:iCs/>
                <w:vertAlign w:val="subscript"/>
                <w:lang w:val="es-ES"/>
              </w:rPr>
              <w:tab/>
            </w:r>
            <w:r w:rsidRPr="003161DC">
              <w:rPr>
                <w:b/>
                <w:lang w:val="es-ES"/>
              </w:rPr>
              <w:t xml:space="preserve">= [Max (0.001, </w:t>
            </w:r>
            <w:r w:rsidRPr="003161DC">
              <w:rPr>
                <w:position w:val="-18"/>
              </w:rPr>
              <w:object w:dxaOrig="225" w:dyaOrig="420" w14:anchorId="6E953021">
                <v:shape id="_x0000_i1149" type="#_x0000_t75" style="width:12pt;height:30pt" o:ole="">
                  <v:imagedata r:id="rId159" o:title=""/>
                </v:shape>
                <o:OLEObject Type="Embed" ProgID="Equation.3" ShapeID="_x0000_i1149" DrawAspect="Content" ObjectID="_1815025339" r:id="rId166"/>
              </w:object>
            </w:r>
            <w:r w:rsidR="00F15CAD" w:rsidRPr="00A552C3">
              <w:rPr>
                <w:b/>
              </w:rPr>
              <w:t>Max</w:t>
            </w:r>
            <w:r w:rsidR="000932C9">
              <w:rPr>
                <w:b/>
              </w:rPr>
              <w:t xml:space="preserve"> </w:t>
            </w:r>
            <w:r w:rsidR="00F15CAD" w:rsidRPr="00A552C3">
              <w:rPr>
                <w:b/>
              </w:rPr>
              <w:t>(0,</w:t>
            </w:r>
            <w:r w:rsidR="00F15CAD" w:rsidRPr="00A552C3">
              <w:t xml:space="preserve"> </w:t>
            </w:r>
            <w:r w:rsidRPr="003161DC">
              <w:rPr>
                <w:b/>
                <w:lang w:val="es-ES"/>
              </w:rPr>
              <w:t>BP</w:t>
            </w:r>
            <w:r w:rsidRPr="003161DC">
              <w:rPr>
                <w:b/>
                <w:i/>
                <w:iCs/>
                <w:vertAlign w:val="subscript"/>
                <w:lang w:val="es-ES"/>
              </w:rPr>
              <w:t xml:space="preserve"> r, y</w:t>
            </w:r>
            <w:r w:rsidRPr="003161DC">
              <w:rPr>
                <w:b/>
                <w:lang w:val="es-ES"/>
              </w:rPr>
              <w:t>)</w:t>
            </w:r>
            <w:r w:rsidR="00F15CAD">
              <w:rPr>
                <w:b/>
                <w:lang w:val="es-ES"/>
              </w:rPr>
              <w:t>)</w:t>
            </w:r>
            <w:r w:rsidRPr="003161DC">
              <w:rPr>
                <w:b/>
                <w:lang w:val="es-ES"/>
              </w:rPr>
              <w:t xml:space="preserve"> * TLMP </w:t>
            </w:r>
            <w:r w:rsidRPr="003161DC">
              <w:rPr>
                <w:b/>
                <w:i/>
                <w:iCs/>
                <w:vertAlign w:val="subscript"/>
                <w:lang w:val="es-ES"/>
              </w:rPr>
              <w:t>y</w:t>
            </w:r>
            <w:r w:rsidRPr="003161DC">
              <w:rPr>
                <w:b/>
                <w:lang w:val="es-ES"/>
              </w:rPr>
              <w:t>] /</w:t>
            </w:r>
            <w:r w:rsidRPr="003161DC">
              <w:rPr>
                <w:b/>
                <w:shd w:val="clear" w:color="auto" w:fill="FFFF00"/>
                <w:lang w:val="es-ES"/>
              </w:rPr>
              <w:t xml:space="preserve"> </w:t>
            </w:r>
          </w:p>
          <w:p w14:paraId="6793E548" w14:textId="10F6703D" w:rsidR="00837DE8" w:rsidRPr="003161DC" w:rsidRDefault="00837DE8" w:rsidP="00837DE8">
            <w:pPr>
              <w:widowControl w:val="0"/>
              <w:spacing w:after="240"/>
              <w:ind w:left="2700"/>
              <w:rPr>
                <w:b/>
                <w:lang w:val="es-ES"/>
              </w:rPr>
            </w:pPr>
            <w:r w:rsidRPr="003161DC">
              <w:rPr>
                <w:b/>
                <w:lang w:val="es-ES"/>
              </w:rPr>
              <w:tab/>
            </w:r>
            <w:r w:rsidRPr="003161DC">
              <w:rPr>
                <w:b/>
                <w:lang w:val="es-ES"/>
              </w:rPr>
              <w:tab/>
              <w:t>[</w:t>
            </w:r>
            <w:r w:rsidRPr="003161DC">
              <w:rPr>
                <w:rFonts w:ascii="Times New Roman Bold" w:hAnsi="Times New Roman Bold"/>
                <w:b/>
                <w:noProof/>
                <w:position w:val="-18"/>
              </w:rPr>
              <w:drawing>
                <wp:inline distT="0" distB="0" distL="0" distR="0" wp14:anchorId="459B8D25" wp14:editId="7B828D45">
                  <wp:extent cx="142875" cy="295275"/>
                  <wp:effectExtent l="0" t="0" r="9525" b="9525"/>
                  <wp:docPr id="35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lang w:val="es-ES"/>
              </w:rPr>
              <w:t xml:space="preserve">Max (0.001, </w:t>
            </w:r>
            <w:r w:rsidRPr="003161DC">
              <w:rPr>
                <w:position w:val="-18"/>
              </w:rPr>
              <w:object w:dxaOrig="225" w:dyaOrig="420" w14:anchorId="6C644D5C">
                <v:shape id="_x0000_i1150" type="#_x0000_t75" style="width:12pt;height:30pt" o:ole="">
                  <v:imagedata r:id="rId159" o:title=""/>
                </v:shape>
                <o:OLEObject Type="Embed" ProgID="Equation.3" ShapeID="_x0000_i1150" DrawAspect="Content" ObjectID="_1815025340" r:id="rId167"/>
              </w:object>
            </w:r>
            <w:r w:rsidR="00F15CAD" w:rsidRPr="00A552C3">
              <w:rPr>
                <w:b/>
              </w:rPr>
              <w:t>Max</w:t>
            </w:r>
            <w:r w:rsidR="000932C9">
              <w:rPr>
                <w:b/>
              </w:rPr>
              <w:t xml:space="preserve"> </w:t>
            </w:r>
            <w:r w:rsidR="00F15CAD" w:rsidRPr="00A552C3">
              <w:rPr>
                <w:b/>
              </w:rPr>
              <w:t>(0,</w:t>
            </w:r>
            <w:r w:rsidR="00F15CAD" w:rsidRPr="00A552C3">
              <w:t xml:space="preserve"> </w:t>
            </w:r>
            <w:r w:rsidRPr="003161DC">
              <w:rPr>
                <w:b/>
                <w:lang w:val="es-ES"/>
              </w:rPr>
              <w:t>BP</w:t>
            </w:r>
            <w:r w:rsidRPr="003161DC">
              <w:rPr>
                <w:b/>
                <w:i/>
                <w:iCs/>
                <w:vertAlign w:val="subscript"/>
                <w:lang w:val="es-ES"/>
              </w:rPr>
              <w:t xml:space="preserve"> r, y</w:t>
            </w:r>
            <w:r w:rsidRPr="003161DC">
              <w:rPr>
                <w:b/>
                <w:lang w:val="es-ES"/>
              </w:rPr>
              <w:t>)</w:t>
            </w:r>
            <w:r w:rsidR="00F15CAD">
              <w:rPr>
                <w:b/>
                <w:lang w:val="es-ES"/>
              </w:rPr>
              <w:t>)</w:t>
            </w:r>
            <w:r w:rsidRPr="003161DC">
              <w:rPr>
                <w:b/>
                <w:lang w:val="es-ES"/>
              </w:rPr>
              <w:t xml:space="preserve"> * TLMP </w:t>
            </w:r>
            <w:r w:rsidRPr="003161DC">
              <w:rPr>
                <w:b/>
                <w:i/>
                <w:iCs/>
                <w:vertAlign w:val="subscript"/>
                <w:lang w:val="es-ES"/>
              </w:rPr>
              <w:t>y</w:t>
            </w:r>
            <w:r w:rsidRPr="003161DC">
              <w:rPr>
                <w:b/>
                <w:lang w:val="es-ES"/>
              </w:rPr>
              <w:t>]</w:t>
            </w:r>
          </w:p>
          <w:p w14:paraId="2FCFF896" w14:textId="77777777" w:rsidR="00837DE8" w:rsidRPr="003161DC" w:rsidRDefault="00837DE8" w:rsidP="00837DE8">
            <w:pPr>
              <w:widowControl w:val="0"/>
              <w:spacing w:after="160" w:line="240" w:lineRule="exact"/>
              <w:rPr>
                <w:rFonts w:ascii="Verdana" w:hAnsi="Verdana"/>
                <w:sz w:val="16"/>
              </w:rPr>
            </w:pPr>
            <w:r w:rsidRPr="003161DC">
              <w:t>Where:</w:t>
            </w:r>
          </w:p>
          <w:p w14:paraId="522A8627" w14:textId="071220F9" w:rsidR="00837DE8" w:rsidRPr="003161DC" w:rsidRDefault="00837DE8" w:rsidP="00837DE8">
            <w:pPr>
              <w:spacing w:after="240"/>
              <w:ind w:left="720"/>
            </w:pPr>
            <w:r w:rsidRPr="003161DC">
              <w:tab/>
              <w:t xml:space="preserve">RTRDP </w:t>
            </w:r>
            <w:r w:rsidRPr="003161DC">
              <w:tab/>
            </w:r>
            <w:r w:rsidRPr="003161DC">
              <w:tab/>
              <w:t>=</w:t>
            </w:r>
            <w:r w:rsidRPr="003161DC">
              <w:tab/>
            </w:r>
            <w:r w:rsidRPr="003161DC">
              <w:tab/>
            </w:r>
            <w:r w:rsidRPr="003161DC">
              <w:rPr>
                <w:position w:val="-22"/>
              </w:rPr>
              <w:object w:dxaOrig="225" w:dyaOrig="465" w14:anchorId="5EF8A780">
                <v:shape id="_x0000_i1151" type="#_x0000_t75" style="width:24pt;height:18pt" o:ole="">
                  <v:imagedata r:id="rId22" o:title=""/>
                </v:shape>
                <o:OLEObject Type="Embed" ProgID="Equation.3" ShapeID="_x0000_i1151" DrawAspect="Content" ObjectID="_1815025341" r:id="rId168"/>
              </w:object>
            </w:r>
            <w:r w:rsidRPr="003161DC">
              <w:t xml:space="preserve">(RNWF </w:t>
            </w:r>
            <w:r w:rsidRPr="003161DC">
              <w:rPr>
                <w:i/>
                <w:iCs/>
                <w:vertAlign w:val="subscript"/>
              </w:rPr>
              <w:t xml:space="preserve"> y </w:t>
            </w:r>
            <w:r w:rsidRPr="003161DC">
              <w:t>* RTRDPA</w:t>
            </w:r>
            <w:r w:rsidRPr="003161DC">
              <w:rPr>
                <w:i/>
                <w:iCs/>
                <w:vertAlign w:val="subscript"/>
              </w:rPr>
              <w:t xml:space="preserve"> y</w:t>
            </w:r>
            <w:r w:rsidRPr="003161DC">
              <w:t>)</w:t>
            </w:r>
          </w:p>
          <w:p w14:paraId="44696CE5" w14:textId="05292B8E" w:rsidR="00837DE8" w:rsidRPr="003161DC" w:rsidRDefault="00837DE8" w:rsidP="00837DE8">
            <w:pPr>
              <w:widowControl w:val="0"/>
              <w:spacing w:after="240"/>
              <w:ind w:left="720"/>
              <w:rPr>
                <w:lang w:val="es-ES"/>
              </w:rPr>
            </w:pPr>
            <w:r w:rsidRPr="003161DC">
              <w:tab/>
              <w:t xml:space="preserve">RNWF </w:t>
            </w:r>
            <w:r w:rsidRPr="003161DC">
              <w:rPr>
                <w:i/>
                <w:vertAlign w:val="subscript"/>
              </w:rPr>
              <w:t>y</w:t>
            </w:r>
            <w:r w:rsidRPr="003161DC">
              <w:rPr>
                <w:i/>
                <w:vertAlign w:val="subscript"/>
              </w:rPr>
              <w:tab/>
            </w:r>
            <w:r w:rsidRPr="003161DC">
              <w:rPr>
                <w:i/>
                <w:vertAlign w:val="subscript"/>
              </w:rPr>
              <w:tab/>
            </w:r>
            <w:r w:rsidRPr="003161DC">
              <w:t>=</w:t>
            </w:r>
            <w:r w:rsidRPr="003161DC">
              <w:tab/>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043EB4B1">
                <v:shape id="_x0000_i1152" type="#_x0000_t75" style="width:24pt;height:18pt" o:ole="">
                  <v:imagedata r:id="rId22" o:title=""/>
                </v:shape>
                <o:OLEObject Type="Embed" ProgID="Equation.3" ShapeID="_x0000_i1152" DrawAspect="Content" ObjectID="_1815025342" r:id="rId169"/>
              </w:object>
            </w:r>
            <w:r w:rsidRPr="003161DC">
              <w:t xml:space="preserve">TLMP </w:t>
            </w:r>
            <w:r w:rsidRPr="003161DC">
              <w:rPr>
                <w:i/>
                <w:vertAlign w:val="subscript"/>
              </w:rPr>
              <w:t>y</w:t>
            </w:r>
          </w:p>
          <w:p w14:paraId="1B836828" w14:textId="77777777" w:rsidR="00837DE8" w:rsidRPr="003161DC" w:rsidRDefault="00837DE8" w:rsidP="00837DE8">
            <w:pPr>
              <w:widowControl w:val="0"/>
              <w:spacing w:after="240"/>
              <w:ind w:left="720"/>
              <w:rPr>
                <w:i/>
                <w:iCs/>
                <w:shd w:val="clear" w:color="auto" w:fill="FFFF00"/>
                <w:vertAlign w:val="subscript"/>
              </w:rPr>
            </w:pPr>
            <w:r w:rsidRPr="003161DC">
              <w:t xml:space="preserve">The summation is over all Resources </w:t>
            </w:r>
            <w:r w:rsidRPr="003161DC">
              <w:rPr>
                <w:i/>
              </w:rPr>
              <w:t>r</w:t>
            </w:r>
            <w:r w:rsidRPr="003161DC">
              <w:t xml:space="preserve"> associated to the individual meter.  The determination of which Resources are associated to an individual meter is static and based on the normal system configuration of the generation site code, </w:t>
            </w:r>
            <w:r w:rsidRPr="003161DC">
              <w:rPr>
                <w:i/>
              </w:rPr>
              <w:t>gsc</w:t>
            </w:r>
            <w:r w:rsidRPr="003161DC">
              <w:t>.</w:t>
            </w:r>
          </w:p>
          <w:p w14:paraId="1B3F8DA4" w14:textId="77777777" w:rsidR="00837DE8" w:rsidRPr="003161DC" w:rsidRDefault="00837DE8" w:rsidP="00837DE8">
            <w:pPr>
              <w:widowControl w:val="0"/>
            </w:pPr>
            <w:r w:rsidRPr="003161DC">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5"/>
              <w:gridCol w:w="1230"/>
              <w:gridCol w:w="5793"/>
            </w:tblGrid>
            <w:tr w:rsidR="00837DE8" w:rsidRPr="003161DC" w14:paraId="231D02E1" w14:textId="77777777" w:rsidTr="000D7680">
              <w:trPr>
                <w:cantSplit/>
                <w:tblHeader/>
              </w:trPr>
              <w:tc>
                <w:tcPr>
                  <w:tcW w:w="1145" w:type="pct"/>
                </w:tcPr>
                <w:p w14:paraId="70298E83" w14:textId="77777777" w:rsidR="00837DE8" w:rsidRPr="003161DC" w:rsidRDefault="00837DE8" w:rsidP="00837DE8">
                  <w:pPr>
                    <w:widowControl w:val="0"/>
                    <w:spacing w:after="120"/>
                    <w:rPr>
                      <w:b/>
                      <w:iCs/>
                      <w:sz w:val="20"/>
                    </w:rPr>
                  </w:pPr>
                  <w:r w:rsidRPr="003161DC">
                    <w:rPr>
                      <w:b/>
                      <w:iCs/>
                      <w:sz w:val="20"/>
                    </w:rPr>
                    <w:lastRenderedPageBreak/>
                    <w:t>Variable</w:t>
                  </w:r>
                </w:p>
              </w:tc>
              <w:tc>
                <w:tcPr>
                  <w:tcW w:w="675" w:type="pct"/>
                </w:tcPr>
                <w:p w14:paraId="054D31CD" w14:textId="77777777" w:rsidR="00837DE8" w:rsidRPr="003161DC" w:rsidRDefault="00837DE8" w:rsidP="00837DE8">
                  <w:pPr>
                    <w:widowControl w:val="0"/>
                    <w:spacing w:after="120"/>
                    <w:rPr>
                      <w:b/>
                      <w:iCs/>
                      <w:sz w:val="20"/>
                    </w:rPr>
                  </w:pPr>
                  <w:r w:rsidRPr="003161DC">
                    <w:rPr>
                      <w:b/>
                      <w:iCs/>
                      <w:sz w:val="20"/>
                    </w:rPr>
                    <w:t>Unit</w:t>
                  </w:r>
                </w:p>
              </w:tc>
              <w:tc>
                <w:tcPr>
                  <w:tcW w:w="3180" w:type="pct"/>
                </w:tcPr>
                <w:p w14:paraId="7D7C42D6" w14:textId="77777777" w:rsidR="00837DE8" w:rsidRPr="003161DC" w:rsidRDefault="00837DE8" w:rsidP="00837DE8">
                  <w:pPr>
                    <w:widowControl w:val="0"/>
                    <w:spacing w:after="120"/>
                    <w:rPr>
                      <w:b/>
                      <w:iCs/>
                      <w:sz w:val="20"/>
                    </w:rPr>
                  </w:pPr>
                  <w:r w:rsidRPr="003161DC">
                    <w:rPr>
                      <w:b/>
                      <w:iCs/>
                      <w:sz w:val="20"/>
                    </w:rPr>
                    <w:t>Description</w:t>
                  </w:r>
                </w:p>
              </w:tc>
            </w:tr>
            <w:tr w:rsidR="00837DE8" w:rsidRPr="003161DC" w14:paraId="06AC4207" w14:textId="77777777" w:rsidTr="000D7680">
              <w:trPr>
                <w:cantSplit/>
              </w:trPr>
              <w:tc>
                <w:tcPr>
                  <w:tcW w:w="1145" w:type="pct"/>
                </w:tcPr>
                <w:p w14:paraId="2B044463" w14:textId="77777777" w:rsidR="00837DE8" w:rsidRPr="003161DC" w:rsidRDefault="00837DE8" w:rsidP="00837DE8">
                  <w:pPr>
                    <w:widowControl w:val="0"/>
                    <w:spacing w:after="60"/>
                    <w:rPr>
                      <w:i/>
                      <w:sz w:val="20"/>
                    </w:rPr>
                  </w:pPr>
                  <w:r w:rsidRPr="003161DC">
                    <w:rPr>
                      <w:sz w:val="20"/>
                    </w:rPr>
                    <w:t xml:space="preserve">NMRTETOT </w:t>
                  </w:r>
                  <w:r w:rsidRPr="003161DC">
                    <w:rPr>
                      <w:i/>
                      <w:sz w:val="20"/>
                      <w:vertAlign w:val="subscript"/>
                    </w:rPr>
                    <w:t>gsc</w:t>
                  </w:r>
                </w:p>
              </w:tc>
              <w:tc>
                <w:tcPr>
                  <w:tcW w:w="675" w:type="pct"/>
                </w:tcPr>
                <w:p w14:paraId="5DC04ADA" w14:textId="77777777" w:rsidR="00837DE8" w:rsidRPr="003161DC" w:rsidRDefault="00837DE8" w:rsidP="00837DE8">
                  <w:pPr>
                    <w:widowControl w:val="0"/>
                    <w:spacing w:after="60"/>
                    <w:rPr>
                      <w:sz w:val="20"/>
                    </w:rPr>
                  </w:pPr>
                  <w:r w:rsidRPr="003161DC">
                    <w:rPr>
                      <w:sz w:val="20"/>
                    </w:rPr>
                    <w:t>MWh</w:t>
                  </w:r>
                </w:p>
              </w:tc>
              <w:tc>
                <w:tcPr>
                  <w:tcW w:w="3180" w:type="pct"/>
                </w:tcPr>
                <w:p w14:paraId="35047293" w14:textId="77777777" w:rsidR="00837DE8" w:rsidRPr="003161DC" w:rsidRDefault="00837DE8" w:rsidP="00837DE8">
                  <w:pPr>
                    <w:widowControl w:val="0"/>
                    <w:spacing w:after="60"/>
                    <w:rPr>
                      <w:sz w:val="20"/>
                    </w:rPr>
                  </w:pPr>
                  <w:r w:rsidRPr="003161DC">
                    <w:rPr>
                      <w:i/>
                      <w:sz w:val="20"/>
                    </w:rPr>
                    <w:t>Net Meter Real-Time Energy Total</w:t>
                  </w:r>
                  <w:r w:rsidRPr="003161DC">
                    <w:rPr>
                      <w:sz w:val="20"/>
                    </w:rPr>
                    <w:t xml:space="preserve">—The net sum for all Settlement Meters included in generation site code </w:t>
                  </w:r>
                  <w:r w:rsidRPr="003161DC">
                    <w:rPr>
                      <w:i/>
                      <w:sz w:val="20"/>
                    </w:rPr>
                    <w:t>gsc</w:t>
                  </w:r>
                  <w:r w:rsidRPr="003161DC">
                    <w:rPr>
                      <w:sz w:val="20"/>
                    </w:rPr>
                    <w:t xml:space="preserve">.  A positive value indicates an injection of power to the ERCOT System. </w:t>
                  </w:r>
                </w:p>
              </w:tc>
            </w:tr>
            <w:tr w:rsidR="00837DE8" w:rsidRPr="003161DC" w14:paraId="0CBC33EF" w14:textId="77777777" w:rsidTr="000D7680">
              <w:trPr>
                <w:cantSplit/>
              </w:trPr>
              <w:tc>
                <w:tcPr>
                  <w:tcW w:w="1145" w:type="pct"/>
                </w:tcPr>
                <w:p w14:paraId="196DCB1B" w14:textId="77777777" w:rsidR="00837DE8" w:rsidRPr="003161DC" w:rsidRDefault="00837DE8" w:rsidP="00837DE8">
                  <w:pPr>
                    <w:widowControl w:val="0"/>
                    <w:spacing w:after="60"/>
                    <w:rPr>
                      <w:sz w:val="20"/>
                    </w:rPr>
                  </w:pPr>
                  <w:r w:rsidRPr="003161DC">
                    <w:rPr>
                      <w:sz w:val="20"/>
                    </w:rPr>
                    <w:t>NMSAMTTOT</w:t>
                  </w:r>
                  <w:r w:rsidRPr="003161DC">
                    <w:rPr>
                      <w:sz w:val="20"/>
                      <w:vertAlign w:val="subscript"/>
                    </w:rPr>
                    <w:t xml:space="preserve"> </w:t>
                  </w:r>
                  <w:r w:rsidRPr="003161DC">
                    <w:rPr>
                      <w:i/>
                      <w:sz w:val="20"/>
                      <w:vertAlign w:val="subscript"/>
                    </w:rPr>
                    <w:t>gsc</w:t>
                  </w:r>
                </w:p>
              </w:tc>
              <w:tc>
                <w:tcPr>
                  <w:tcW w:w="675" w:type="pct"/>
                </w:tcPr>
                <w:p w14:paraId="24158601" w14:textId="77777777" w:rsidR="00837DE8" w:rsidRPr="003161DC" w:rsidRDefault="00837DE8" w:rsidP="00837DE8">
                  <w:pPr>
                    <w:widowControl w:val="0"/>
                    <w:spacing w:after="60"/>
                    <w:rPr>
                      <w:sz w:val="20"/>
                    </w:rPr>
                  </w:pPr>
                  <w:r w:rsidRPr="003161DC">
                    <w:rPr>
                      <w:sz w:val="20"/>
                    </w:rPr>
                    <w:t>$</w:t>
                  </w:r>
                </w:p>
              </w:tc>
              <w:tc>
                <w:tcPr>
                  <w:tcW w:w="3180" w:type="pct"/>
                </w:tcPr>
                <w:p w14:paraId="68C29ADE" w14:textId="77777777" w:rsidR="00837DE8" w:rsidRPr="003161DC" w:rsidRDefault="00837DE8" w:rsidP="00837DE8">
                  <w:pPr>
                    <w:widowControl w:val="0"/>
                    <w:spacing w:after="60"/>
                    <w:rPr>
                      <w:i/>
                      <w:sz w:val="20"/>
                    </w:rPr>
                  </w:pPr>
                  <w:r w:rsidRPr="003161DC">
                    <w:rPr>
                      <w:i/>
                      <w:sz w:val="20"/>
                    </w:rPr>
                    <w:t>Net Metering Settlement</w:t>
                  </w:r>
                  <w:r w:rsidRPr="003161DC">
                    <w:rPr>
                      <w:sz w:val="20"/>
                    </w:rPr>
                    <w:t>—The total payment or charge to a generation site with a net metering arrangement.</w:t>
                  </w:r>
                </w:p>
              </w:tc>
            </w:tr>
            <w:tr w:rsidR="00837DE8" w:rsidRPr="003161DC" w14:paraId="75CDFD48" w14:textId="77777777" w:rsidTr="000D7680">
              <w:trPr>
                <w:cantSplit/>
              </w:trPr>
              <w:tc>
                <w:tcPr>
                  <w:tcW w:w="1145" w:type="pct"/>
                </w:tcPr>
                <w:p w14:paraId="2B20FFEA" w14:textId="77777777" w:rsidR="00837DE8" w:rsidRPr="003161DC" w:rsidRDefault="00837DE8" w:rsidP="00837DE8">
                  <w:pPr>
                    <w:widowControl w:val="0"/>
                    <w:spacing w:after="60"/>
                    <w:rPr>
                      <w:sz w:val="20"/>
                    </w:rPr>
                  </w:pPr>
                  <w:r w:rsidRPr="003161DC">
                    <w:rPr>
                      <w:sz w:val="20"/>
                    </w:rPr>
                    <w:t xml:space="preserve">RTRMPR </w:t>
                  </w:r>
                  <w:r w:rsidRPr="003161DC">
                    <w:rPr>
                      <w:sz w:val="20"/>
                      <w:vertAlign w:val="subscript"/>
                    </w:rPr>
                    <w:t xml:space="preserve"> </w:t>
                  </w:r>
                  <w:r w:rsidRPr="003161DC">
                    <w:rPr>
                      <w:i/>
                      <w:sz w:val="20"/>
                      <w:vertAlign w:val="subscript"/>
                    </w:rPr>
                    <w:t>b</w:t>
                  </w:r>
                </w:p>
              </w:tc>
              <w:tc>
                <w:tcPr>
                  <w:tcW w:w="675" w:type="pct"/>
                </w:tcPr>
                <w:p w14:paraId="2C066E4E" w14:textId="77777777" w:rsidR="00837DE8" w:rsidRPr="003161DC" w:rsidRDefault="00837DE8" w:rsidP="00837DE8">
                  <w:pPr>
                    <w:widowControl w:val="0"/>
                    <w:spacing w:after="60"/>
                    <w:rPr>
                      <w:i/>
                      <w:sz w:val="20"/>
                    </w:rPr>
                  </w:pPr>
                  <w:r w:rsidRPr="003161DC">
                    <w:rPr>
                      <w:sz w:val="20"/>
                    </w:rPr>
                    <w:t>$/MWh</w:t>
                  </w:r>
                </w:p>
              </w:tc>
              <w:tc>
                <w:tcPr>
                  <w:tcW w:w="3180" w:type="pct"/>
                </w:tcPr>
                <w:p w14:paraId="0DC265F4" w14:textId="77777777" w:rsidR="00837DE8" w:rsidRPr="003161DC" w:rsidRDefault="00837DE8" w:rsidP="00837DE8">
                  <w:pPr>
                    <w:widowControl w:val="0"/>
                    <w:spacing w:after="60"/>
                    <w:rPr>
                      <w:sz w:val="20"/>
                    </w:rPr>
                  </w:pPr>
                  <w:r w:rsidRPr="003161DC">
                    <w:rPr>
                      <w:i/>
                      <w:sz w:val="20"/>
                    </w:rPr>
                    <w:t>Real-Time Price for the Energy Metered for each Resource meter at bus</w:t>
                  </w:r>
                  <w:r w:rsidRPr="003161DC">
                    <w:rPr>
                      <w:sz w:val="20"/>
                    </w:rPr>
                    <w:sym w:font="Symbol" w:char="F0BE"/>
                  </w:r>
                  <w:r w:rsidRPr="003161DC">
                    <w:rPr>
                      <w:sz w:val="20"/>
                    </w:rPr>
                    <w:t xml:space="preserve">The Real-Time price for the Settlement Meter at Electrical Bus </w:t>
                  </w:r>
                  <w:r w:rsidRPr="003161DC">
                    <w:rPr>
                      <w:i/>
                      <w:sz w:val="20"/>
                    </w:rPr>
                    <w:t>b</w:t>
                  </w:r>
                  <w:r w:rsidRPr="003161DC">
                    <w:rPr>
                      <w:sz w:val="20"/>
                    </w:rPr>
                    <w:t>, for the 15-minute Settlement Interval.</w:t>
                  </w:r>
                </w:p>
              </w:tc>
            </w:tr>
            <w:tr w:rsidR="00837DE8" w:rsidRPr="003161DC" w14:paraId="36208135" w14:textId="77777777" w:rsidTr="000D7680">
              <w:trPr>
                <w:cantSplit/>
              </w:trPr>
              <w:tc>
                <w:tcPr>
                  <w:tcW w:w="1145" w:type="pct"/>
                </w:tcPr>
                <w:p w14:paraId="7A7AA378" w14:textId="77777777" w:rsidR="00837DE8" w:rsidRPr="003161DC" w:rsidRDefault="00837DE8" w:rsidP="00837DE8">
                  <w:pPr>
                    <w:widowControl w:val="0"/>
                    <w:spacing w:after="60"/>
                    <w:rPr>
                      <w:sz w:val="20"/>
                    </w:rPr>
                  </w:pPr>
                  <w:r w:rsidRPr="003161DC">
                    <w:rPr>
                      <w:sz w:val="20"/>
                    </w:rPr>
                    <w:t xml:space="preserve">MEB </w:t>
                  </w:r>
                  <w:r w:rsidRPr="003161DC">
                    <w:rPr>
                      <w:i/>
                      <w:sz w:val="20"/>
                      <w:vertAlign w:val="subscript"/>
                    </w:rPr>
                    <w:t>gsc, b</w:t>
                  </w:r>
                </w:p>
              </w:tc>
              <w:tc>
                <w:tcPr>
                  <w:tcW w:w="675" w:type="pct"/>
                </w:tcPr>
                <w:p w14:paraId="4DDE3D96" w14:textId="77777777" w:rsidR="00837DE8" w:rsidRPr="003161DC" w:rsidRDefault="00837DE8" w:rsidP="00837DE8">
                  <w:pPr>
                    <w:widowControl w:val="0"/>
                    <w:spacing w:after="60"/>
                    <w:rPr>
                      <w:sz w:val="20"/>
                    </w:rPr>
                  </w:pPr>
                  <w:r w:rsidRPr="003161DC">
                    <w:rPr>
                      <w:sz w:val="20"/>
                    </w:rPr>
                    <w:t>MWh</w:t>
                  </w:r>
                </w:p>
              </w:tc>
              <w:tc>
                <w:tcPr>
                  <w:tcW w:w="3180" w:type="pct"/>
                </w:tcPr>
                <w:p w14:paraId="343025A2" w14:textId="5F0EB674" w:rsidR="00837DE8" w:rsidRPr="00837DE8" w:rsidRDefault="00837DE8" w:rsidP="00837DE8">
                  <w:pPr>
                    <w:widowControl w:val="0"/>
                    <w:spacing w:after="60"/>
                    <w:rPr>
                      <w:i/>
                      <w:sz w:val="16"/>
                    </w:rPr>
                  </w:pPr>
                  <w:r w:rsidRPr="00837DE8">
                    <w:rPr>
                      <w:i/>
                      <w:sz w:val="20"/>
                    </w:rPr>
                    <w:t xml:space="preserve">Metered Energy at </w:t>
                  </w:r>
                  <w:r w:rsidR="00632873">
                    <w:rPr>
                      <w:i/>
                      <w:sz w:val="20"/>
                    </w:rPr>
                    <w:t>B</w:t>
                  </w:r>
                  <w:r w:rsidRPr="00837DE8">
                    <w:rPr>
                      <w:i/>
                      <w:sz w:val="20"/>
                    </w:rPr>
                    <w:t>us</w:t>
                  </w:r>
                  <w:r w:rsidRPr="00837DE8">
                    <w:rPr>
                      <w:sz w:val="20"/>
                    </w:rPr>
                    <w:sym w:font="Symbol" w:char="F0BE"/>
                  </w:r>
                  <w:r w:rsidRPr="00837DE8">
                    <w:rPr>
                      <w:sz w:val="20"/>
                    </w:rPr>
                    <w:t xml:space="preserve">The metered energy by the Settlement Meter which is not upstream from another Settlement Meter which measures </w:t>
                  </w:r>
                  <w:r w:rsidR="00632873" w:rsidRPr="00812ECB">
                    <w:rPr>
                      <w:sz w:val="20"/>
                    </w:rPr>
                    <w:t>CLR (that is not an ALR) or</w:t>
                  </w:r>
                  <w:r w:rsidR="00632873" w:rsidRPr="00837DE8">
                    <w:rPr>
                      <w:sz w:val="20"/>
                    </w:rPr>
                    <w:t xml:space="preserve"> </w:t>
                  </w:r>
                  <w:r w:rsidRPr="00837DE8">
                    <w:rPr>
                      <w:sz w:val="20"/>
                    </w:rPr>
                    <w:t>ESR Load for the 15-minute Settlement Interval.  A positive value represents energy produced, and a negative value represents energy withdrawn.</w:t>
                  </w:r>
                </w:p>
              </w:tc>
            </w:tr>
            <w:tr w:rsidR="00837DE8" w:rsidRPr="003161DC" w14:paraId="5FF06205" w14:textId="77777777" w:rsidTr="000D7680">
              <w:trPr>
                <w:cantSplit/>
              </w:trPr>
              <w:tc>
                <w:tcPr>
                  <w:tcW w:w="1145" w:type="pct"/>
                </w:tcPr>
                <w:p w14:paraId="1809A16D" w14:textId="77777777" w:rsidR="00837DE8" w:rsidRPr="003161DC" w:rsidRDefault="00837DE8" w:rsidP="00837DE8">
                  <w:pPr>
                    <w:widowControl w:val="0"/>
                    <w:spacing w:after="60"/>
                    <w:rPr>
                      <w:sz w:val="20"/>
                    </w:rPr>
                  </w:pPr>
                  <w:r w:rsidRPr="003161DC">
                    <w:rPr>
                      <w:sz w:val="20"/>
                    </w:rPr>
                    <w:t>RTRDP</w:t>
                  </w:r>
                </w:p>
              </w:tc>
              <w:tc>
                <w:tcPr>
                  <w:tcW w:w="675" w:type="pct"/>
                </w:tcPr>
                <w:p w14:paraId="44829DE7" w14:textId="77777777" w:rsidR="00837DE8" w:rsidRPr="003161DC" w:rsidRDefault="00837DE8" w:rsidP="00837DE8">
                  <w:pPr>
                    <w:widowControl w:val="0"/>
                    <w:spacing w:after="60"/>
                    <w:rPr>
                      <w:sz w:val="20"/>
                    </w:rPr>
                  </w:pPr>
                  <w:r w:rsidRPr="003161DC">
                    <w:rPr>
                      <w:sz w:val="20"/>
                    </w:rPr>
                    <w:t>$/MWh</w:t>
                  </w:r>
                </w:p>
              </w:tc>
              <w:tc>
                <w:tcPr>
                  <w:tcW w:w="3180" w:type="pct"/>
                </w:tcPr>
                <w:p w14:paraId="61F06F72" w14:textId="77777777" w:rsidR="00837DE8" w:rsidRPr="003161DC" w:rsidRDefault="00837DE8" w:rsidP="00837DE8">
                  <w:pPr>
                    <w:widowControl w:val="0"/>
                    <w:spacing w:after="60"/>
                    <w:rPr>
                      <w:i/>
                      <w:sz w:val="20"/>
                    </w:rPr>
                  </w:pPr>
                  <w:r w:rsidRPr="003161DC">
                    <w:rPr>
                      <w:i/>
                      <w:sz w:val="20"/>
                    </w:rPr>
                    <w:t xml:space="preserve">Real-Time Reliability Deployment Price </w:t>
                  </w:r>
                  <w:r>
                    <w:rPr>
                      <w:i/>
                      <w:sz w:val="20"/>
                    </w:rPr>
                    <w:t>for Energy</w:t>
                  </w:r>
                  <w:r w:rsidRPr="003161DC">
                    <w:rPr>
                      <w:sz w:val="20"/>
                    </w:rPr>
                    <w:sym w:font="Symbol" w:char="F0BE"/>
                  </w:r>
                  <w:r w:rsidRPr="003161DC">
                    <w:rPr>
                      <w:sz w:val="20"/>
                    </w:rPr>
                    <w:t xml:space="preserve">The Real-Time price for the 15-minute Settlement Interval, reflecting the impact of reliability deployments on energy prices that is calculated </w:t>
                  </w:r>
                  <w:r w:rsidRPr="003161DC">
                    <w:rPr>
                      <w:bCs/>
                      <w:sz w:val="20"/>
                    </w:rPr>
                    <w:t>from the Real-</w:t>
                  </w:r>
                  <w:r>
                    <w:rPr>
                      <w:bCs/>
                      <w:sz w:val="20"/>
                    </w:rPr>
                    <w:t>T</w:t>
                  </w:r>
                  <w:r w:rsidRPr="003161DC">
                    <w:rPr>
                      <w:bCs/>
                      <w:sz w:val="20"/>
                    </w:rPr>
                    <w:t>ime Reliability Deployment Price Adder</w:t>
                  </w:r>
                  <w:r>
                    <w:rPr>
                      <w:bCs/>
                      <w:sz w:val="20"/>
                    </w:rPr>
                    <w:t xml:space="preserve"> for Energy</w:t>
                  </w:r>
                  <w:r w:rsidRPr="003161DC">
                    <w:rPr>
                      <w:sz w:val="20"/>
                    </w:rPr>
                    <w:t>.</w:t>
                  </w:r>
                </w:p>
              </w:tc>
            </w:tr>
            <w:tr w:rsidR="00837DE8" w:rsidRPr="003161DC" w14:paraId="19274139" w14:textId="77777777" w:rsidTr="000D7680">
              <w:trPr>
                <w:cantSplit/>
              </w:trPr>
              <w:tc>
                <w:tcPr>
                  <w:tcW w:w="1145" w:type="pct"/>
                </w:tcPr>
                <w:p w14:paraId="23ED5274" w14:textId="77777777" w:rsidR="00837DE8" w:rsidRPr="003161DC" w:rsidRDefault="00837DE8" w:rsidP="00837DE8">
                  <w:pPr>
                    <w:widowControl w:val="0"/>
                    <w:spacing w:after="60"/>
                    <w:rPr>
                      <w:sz w:val="20"/>
                    </w:rPr>
                  </w:pPr>
                  <w:r w:rsidRPr="003161DC">
                    <w:rPr>
                      <w:sz w:val="20"/>
                    </w:rPr>
                    <w:t>RTRDPA</w:t>
                  </w:r>
                  <w:r w:rsidRPr="003161DC">
                    <w:rPr>
                      <w:sz w:val="20"/>
                      <w:vertAlign w:val="subscript"/>
                    </w:rPr>
                    <w:t xml:space="preserve"> </w:t>
                  </w:r>
                  <w:r w:rsidRPr="003161DC">
                    <w:rPr>
                      <w:i/>
                      <w:sz w:val="20"/>
                      <w:vertAlign w:val="subscript"/>
                    </w:rPr>
                    <w:t>y</w:t>
                  </w:r>
                </w:p>
              </w:tc>
              <w:tc>
                <w:tcPr>
                  <w:tcW w:w="675" w:type="pct"/>
                </w:tcPr>
                <w:p w14:paraId="6280F08C" w14:textId="77777777" w:rsidR="00837DE8" w:rsidRPr="003161DC" w:rsidRDefault="00837DE8" w:rsidP="00837DE8">
                  <w:pPr>
                    <w:widowControl w:val="0"/>
                    <w:spacing w:after="60"/>
                    <w:rPr>
                      <w:sz w:val="20"/>
                    </w:rPr>
                  </w:pPr>
                  <w:r w:rsidRPr="003161DC">
                    <w:rPr>
                      <w:sz w:val="20"/>
                    </w:rPr>
                    <w:t>$/MWh</w:t>
                  </w:r>
                </w:p>
              </w:tc>
              <w:tc>
                <w:tcPr>
                  <w:tcW w:w="3180" w:type="pct"/>
                </w:tcPr>
                <w:p w14:paraId="079924D9" w14:textId="77777777" w:rsidR="00837DE8" w:rsidRPr="003161DC" w:rsidRDefault="00837DE8" w:rsidP="00837DE8">
                  <w:pPr>
                    <w:widowControl w:val="0"/>
                    <w:spacing w:after="60"/>
                    <w:rPr>
                      <w:i/>
                      <w:sz w:val="20"/>
                    </w:rPr>
                  </w:pPr>
                  <w:r w:rsidRPr="003161DC">
                    <w:rPr>
                      <w:i/>
                      <w:sz w:val="20"/>
                    </w:rPr>
                    <w:t>Real-Time Reliability Deployment Price Adder</w:t>
                  </w:r>
                  <w:r>
                    <w:rPr>
                      <w:i/>
                      <w:sz w:val="20"/>
                    </w:rPr>
                    <w:t xml:space="preserve"> for Energy</w:t>
                  </w:r>
                  <w:r w:rsidRPr="003161DC">
                    <w:rPr>
                      <w:i/>
                      <w:sz w:val="20"/>
                    </w:rPr>
                    <w:t xml:space="preserve"> </w:t>
                  </w:r>
                  <w:r w:rsidRPr="003161DC">
                    <w:rPr>
                      <w:sz w:val="20"/>
                    </w:rPr>
                    <w:sym w:font="Symbol" w:char="F0BE"/>
                  </w:r>
                  <w:r w:rsidRPr="003161DC">
                    <w:rPr>
                      <w:sz w:val="20"/>
                    </w:rPr>
                    <w:t xml:space="preserve">The Real-Time </w:t>
                  </w:r>
                  <w:r>
                    <w:rPr>
                      <w:sz w:val="20"/>
                    </w:rPr>
                    <w:t>p</w:t>
                  </w:r>
                  <w:r w:rsidRPr="003161DC">
                    <w:rPr>
                      <w:sz w:val="20"/>
                    </w:rPr>
                    <w:t xml:space="preserve">rice </w:t>
                  </w:r>
                  <w:r>
                    <w:rPr>
                      <w:sz w:val="20"/>
                    </w:rPr>
                    <w:t>a</w:t>
                  </w:r>
                  <w:r w:rsidRPr="003161DC">
                    <w:rPr>
                      <w:sz w:val="20"/>
                    </w:rPr>
                    <w:t xml:space="preserve">dder that captures the impact of reliability deployments on energy prices for the SCED interval </w:t>
                  </w:r>
                  <w:r w:rsidRPr="003161DC">
                    <w:rPr>
                      <w:i/>
                      <w:sz w:val="20"/>
                    </w:rPr>
                    <w:t>y</w:t>
                  </w:r>
                  <w:r w:rsidRPr="003161DC">
                    <w:rPr>
                      <w:sz w:val="20"/>
                    </w:rPr>
                    <w:t>.</w:t>
                  </w:r>
                </w:p>
              </w:tc>
            </w:tr>
            <w:tr w:rsidR="00837DE8" w:rsidRPr="003161DC" w14:paraId="3D80E195" w14:textId="77777777" w:rsidTr="000D7680">
              <w:trPr>
                <w:cantSplit/>
              </w:trPr>
              <w:tc>
                <w:tcPr>
                  <w:tcW w:w="1145" w:type="pct"/>
                </w:tcPr>
                <w:p w14:paraId="11FDD784" w14:textId="77777777" w:rsidR="00837DE8" w:rsidRPr="003161DC" w:rsidRDefault="00837DE8" w:rsidP="00837DE8">
                  <w:pPr>
                    <w:widowControl w:val="0"/>
                    <w:spacing w:after="60"/>
                    <w:rPr>
                      <w:sz w:val="20"/>
                    </w:rPr>
                  </w:pPr>
                  <w:r w:rsidRPr="003161DC">
                    <w:rPr>
                      <w:sz w:val="20"/>
                    </w:rPr>
                    <w:t>RNWF</w:t>
                  </w:r>
                  <w:r w:rsidRPr="003161DC">
                    <w:rPr>
                      <w:i/>
                      <w:sz w:val="20"/>
                    </w:rPr>
                    <w:t xml:space="preserve"> </w:t>
                  </w:r>
                  <w:r w:rsidRPr="003161DC">
                    <w:rPr>
                      <w:i/>
                      <w:sz w:val="20"/>
                      <w:vertAlign w:val="subscript"/>
                    </w:rPr>
                    <w:t>y</w:t>
                  </w:r>
                </w:p>
              </w:tc>
              <w:tc>
                <w:tcPr>
                  <w:tcW w:w="675" w:type="pct"/>
                </w:tcPr>
                <w:p w14:paraId="52419215" w14:textId="77777777" w:rsidR="00837DE8" w:rsidRPr="003161DC" w:rsidRDefault="00837DE8" w:rsidP="00837DE8">
                  <w:pPr>
                    <w:widowControl w:val="0"/>
                    <w:spacing w:after="60"/>
                    <w:rPr>
                      <w:sz w:val="20"/>
                    </w:rPr>
                  </w:pPr>
                  <w:r w:rsidRPr="003161DC">
                    <w:rPr>
                      <w:sz w:val="20"/>
                    </w:rPr>
                    <w:t>none</w:t>
                  </w:r>
                </w:p>
              </w:tc>
              <w:tc>
                <w:tcPr>
                  <w:tcW w:w="3180" w:type="pct"/>
                </w:tcPr>
                <w:p w14:paraId="388E1322" w14:textId="77777777" w:rsidR="00837DE8" w:rsidRPr="003161DC" w:rsidRDefault="00837DE8" w:rsidP="00837DE8">
                  <w:pPr>
                    <w:widowControl w:val="0"/>
                    <w:spacing w:after="60"/>
                    <w:rPr>
                      <w:i/>
                      <w:sz w:val="20"/>
                    </w:rPr>
                  </w:pPr>
                  <w:r w:rsidRPr="003161DC">
                    <w:rPr>
                      <w:i/>
                      <w:sz w:val="20"/>
                    </w:rPr>
                    <w:t>Resource Node Weighting Factor per interval</w:t>
                  </w:r>
                  <w:r w:rsidRPr="003161DC">
                    <w:rPr>
                      <w:sz w:val="20"/>
                    </w:rPr>
                    <w:sym w:font="Symbol" w:char="F0BE"/>
                  </w:r>
                  <w:r w:rsidRPr="003161DC">
                    <w:rPr>
                      <w:sz w:val="20"/>
                    </w:rPr>
                    <w:t xml:space="preserve">The weight used in the Resource Node Settlement Point Price calculation for the portion of the SCED interval </w:t>
                  </w:r>
                  <w:r w:rsidRPr="003161DC">
                    <w:rPr>
                      <w:i/>
                      <w:sz w:val="20"/>
                    </w:rPr>
                    <w:t>y</w:t>
                  </w:r>
                  <w:r w:rsidRPr="003161DC">
                    <w:rPr>
                      <w:sz w:val="20"/>
                    </w:rPr>
                    <w:t xml:space="preserve"> within the Settlement Interval.</w:t>
                  </w:r>
                </w:p>
              </w:tc>
            </w:tr>
            <w:tr w:rsidR="00837DE8" w:rsidRPr="003161DC" w14:paraId="6AE69007" w14:textId="77777777" w:rsidTr="000D7680">
              <w:trPr>
                <w:cantSplit/>
              </w:trPr>
              <w:tc>
                <w:tcPr>
                  <w:tcW w:w="1145" w:type="pct"/>
                </w:tcPr>
                <w:p w14:paraId="145AEFFE" w14:textId="77777777" w:rsidR="00837DE8" w:rsidRPr="003161DC" w:rsidRDefault="00837DE8" w:rsidP="00837DE8">
                  <w:pPr>
                    <w:widowControl w:val="0"/>
                    <w:spacing w:after="60"/>
                    <w:rPr>
                      <w:sz w:val="20"/>
                    </w:rPr>
                  </w:pPr>
                  <w:r w:rsidRPr="003161DC">
                    <w:rPr>
                      <w:sz w:val="20"/>
                    </w:rPr>
                    <w:t xml:space="preserve">RTLMP </w:t>
                  </w:r>
                  <w:r w:rsidRPr="003161DC">
                    <w:rPr>
                      <w:i/>
                      <w:sz w:val="20"/>
                      <w:vertAlign w:val="subscript"/>
                    </w:rPr>
                    <w:t>b, y</w:t>
                  </w:r>
                </w:p>
              </w:tc>
              <w:tc>
                <w:tcPr>
                  <w:tcW w:w="675" w:type="pct"/>
                </w:tcPr>
                <w:p w14:paraId="7FB59519" w14:textId="77777777" w:rsidR="00837DE8" w:rsidRPr="003161DC" w:rsidRDefault="00837DE8" w:rsidP="00837DE8">
                  <w:pPr>
                    <w:widowControl w:val="0"/>
                    <w:spacing w:after="60"/>
                    <w:rPr>
                      <w:sz w:val="20"/>
                    </w:rPr>
                  </w:pPr>
                  <w:r w:rsidRPr="003161DC">
                    <w:rPr>
                      <w:sz w:val="20"/>
                    </w:rPr>
                    <w:t>$/MWh</w:t>
                  </w:r>
                </w:p>
              </w:tc>
              <w:tc>
                <w:tcPr>
                  <w:tcW w:w="3180" w:type="pct"/>
                </w:tcPr>
                <w:p w14:paraId="7425D844" w14:textId="77777777" w:rsidR="00837DE8" w:rsidRPr="003161DC" w:rsidRDefault="00837DE8" w:rsidP="00837DE8">
                  <w:pPr>
                    <w:widowControl w:val="0"/>
                    <w:spacing w:after="60"/>
                    <w:rPr>
                      <w:sz w:val="20"/>
                    </w:rPr>
                  </w:pPr>
                  <w:r w:rsidRPr="003161DC">
                    <w:rPr>
                      <w:i/>
                      <w:sz w:val="20"/>
                    </w:rPr>
                    <w:t>Real-Time Locational Marginal Price at bus per interval</w:t>
                  </w:r>
                  <w:r w:rsidRPr="003161DC">
                    <w:rPr>
                      <w:sz w:val="20"/>
                    </w:rPr>
                    <w:sym w:font="Symbol" w:char="F0BE"/>
                  </w:r>
                  <w:r w:rsidRPr="003161DC">
                    <w:rPr>
                      <w:sz w:val="20"/>
                    </w:rPr>
                    <w:t xml:space="preserve">The Real-Time LMP for the meter at Electrical Bus </w:t>
                  </w:r>
                  <w:r w:rsidRPr="003161DC">
                    <w:rPr>
                      <w:i/>
                      <w:sz w:val="20"/>
                    </w:rPr>
                    <w:t>b</w:t>
                  </w:r>
                  <w:r w:rsidRPr="003161DC">
                    <w:rPr>
                      <w:sz w:val="20"/>
                    </w:rPr>
                    <w:t xml:space="preserve">, for the SCED interval </w:t>
                  </w:r>
                  <w:r w:rsidRPr="003161DC">
                    <w:rPr>
                      <w:i/>
                      <w:sz w:val="20"/>
                    </w:rPr>
                    <w:t>y</w:t>
                  </w:r>
                  <w:r w:rsidRPr="003161DC">
                    <w:rPr>
                      <w:sz w:val="20"/>
                    </w:rPr>
                    <w:t>.</w:t>
                  </w:r>
                </w:p>
              </w:tc>
            </w:tr>
            <w:tr w:rsidR="00837DE8" w:rsidRPr="003161DC" w14:paraId="5E94F7B0" w14:textId="77777777" w:rsidTr="000D7680">
              <w:trPr>
                <w:cantSplit/>
              </w:trPr>
              <w:tc>
                <w:tcPr>
                  <w:tcW w:w="1145" w:type="pct"/>
                </w:tcPr>
                <w:p w14:paraId="2A3048F7" w14:textId="77777777" w:rsidR="00837DE8" w:rsidRPr="003161DC" w:rsidRDefault="00837DE8" w:rsidP="00837DE8">
                  <w:pPr>
                    <w:widowControl w:val="0"/>
                    <w:spacing w:after="60"/>
                    <w:rPr>
                      <w:sz w:val="20"/>
                    </w:rPr>
                  </w:pPr>
                  <w:r w:rsidRPr="003161DC">
                    <w:rPr>
                      <w:sz w:val="20"/>
                    </w:rPr>
                    <w:t xml:space="preserve">TLMP </w:t>
                  </w:r>
                  <w:r w:rsidRPr="003161DC">
                    <w:rPr>
                      <w:i/>
                      <w:sz w:val="20"/>
                      <w:vertAlign w:val="subscript"/>
                    </w:rPr>
                    <w:t>y</w:t>
                  </w:r>
                </w:p>
              </w:tc>
              <w:tc>
                <w:tcPr>
                  <w:tcW w:w="675" w:type="pct"/>
                </w:tcPr>
                <w:p w14:paraId="196BFF47" w14:textId="77777777" w:rsidR="00837DE8" w:rsidRPr="003161DC" w:rsidRDefault="00837DE8" w:rsidP="00837DE8">
                  <w:pPr>
                    <w:widowControl w:val="0"/>
                    <w:spacing w:after="60"/>
                    <w:rPr>
                      <w:iCs/>
                      <w:sz w:val="20"/>
                    </w:rPr>
                  </w:pPr>
                  <w:r w:rsidRPr="003161DC">
                    <w:rPr>
                      <w:sz w:val="20"/>
                    </w:rPr>
                    <w:t>second</w:t>
                  </w:r>
                </w:p>
              </w:tc>
              <w:tc>
                <w:tcPr>
                  <w:tcW w:w="3180" w:type="pct"/>
                </w:tcPr>
                <w:p w14:paraId="5F2D0E93" w14:textId="77777777" w:rsidR="00837DE8" w:rsidRPr="003161DC" w:rsidRDefault="00837DE8" w:rsidP="00837DE8">
                  <w:pPr>
                    <w:widowControl w:val="0"/>
                    <w:spacing w:after="60"/>
                    <w:rPr>
                      <w:sz w:val="20"/>
                    </w:rPr>
                  </w:pPr>
                  <w:r w:rsidRPr="003161DC">
                    <w:rPr>
                      <w:i/>
                      <w:iCs/>
                      <w:sz w:val="20"/>
                    </w:rPr>
                    <w:t xml:space="preserve">Duration of </w:t>
                  </w:r>
                  <w:r w:rsidRPr="003161DC">
                    <w:rPr>
                      <w:i/>
                      <w:sz w:val="20"/>
                    </w:rPr>
                    <w:t>SCED</w:t>
                  </w:r>
                  <w:r w:rsidRPr="003161DC">
                    <w:rPr>
                      <w:i/>
                      <w:iCs/>
                      <w:sz w:val="20"/>
                    </w:rPr>
                    <w:t xml:space="preserve"> interval per interval</w:t>
                  </w:r>
                  <w:r w:rsidRPr="003161DC">
                    <w:rPr>
                      <w:sz w:val="20"/>
                    </w:rPr>
                    <w:sym w:font="Symbol" w:char="F0BE"/>
                  </w:r>
                  <w:r w:rsidRPr="003161DC">
                    <w:rPr>
                      <w:sz w:val="20"/>
                    </w:rPr>
                    <w:t xml:space="preserve">The duration of the SCED interval </w:t>
                  </w:r>
                  <w:r w:rsidRPr="003161DC">
                    <w:rPr>
                      <w:i/>
                      <w:iCs/>
                      <w:sz w:val="20"/>
                    </w:rPr>
                    <w:t>y</w:t>
                  </w:r>
                  <w:r w:rsidRPr="003161DC">
                    <w:rPr>
                      <w:sz w:val="20"/>
                    </w:rPr>
                    <w:t>.</w:t>
                  </w:r>
                </w:p>
              </w:tc>
            </w:tr>
            <w:tr w:rsidR="00837DE8" w:rsidRPr="003161DC" w14:paraId="45F12687" w14:textId="77777777" w:rsidTr="000D7680">
              <w:trPr>
                <w:cantSplit/>
              </w:trPr>
              <w:tc>
                <w:tcPr>
                  <w:tcW w:w="1145" w:type="pct"/>
                </w:tcPr>
                <w:p w14:paraId="13EF166C" w14:textId="77777777" w:rsidR="00837DE8" w:rsidRPr="003161DC" w:rsidRDefault="00837DE8" w:rsidP="00837DE8">
                  <w:pPr>
                    <w:widowControl w:val="0"/>
                    <w:spacing w:after="60"/>
                    <w:rPr>
                      <w:sz w:val="20"/>
                    </w:rPr>
                  </w:pPr>
                  <w:r w:rsidRPr="003161DC">
                    <w:rPr>
                      <w:sz w:val="20"/>
                    </w:rPr>
                    <w:t xml:space="preserve">RNWF </w:t>
                  </w:r>
                  <w:r w:rsidRPr="003161DC">
                    <w:rPr>
                      <w:i/>
                      <w:sz w:val="20"/>
                      <w:vertAlign w:val="subscript"/>
                    </w:rPr>
                    <w:t>b, y</w:t>
                  </w:r>
                </w:p>
              </w:tc>
              <w:tc>
                <w:tcPr>
                  <w:tcW w:w="675" w:type="pct"/>
                </w:tcPr>
                <w:p w14:paraId="563BEDE5" w14:textId="77777777" w:rsidR="00837DE8" w:rsidRPr="003161DC" w:rsidRDefault="00837DE8" w:rsidP="00837DE8">
                  <w:pPr>
                    <w:widowControl w:val="0"/>
                    <w:spacing w:after="60"/>
                    <w:rPr>
                      <w:sz w:val="20"/>
                    </w:rPr>
                  </w:pPr>
                  <w:r w:rsidRPr="003161DC">
                    <w:rPr>
                      <w:sz w:val="20"/>
                    </w:rPr>
                    <w:t>none</w:t>
                  </w:r>
                </w:p>
              </w:tc>
              <w:tc>
                <w:tcPr>
                  <w:tcW w:w="3180" w:type="pct"/>
                </w:tcPr>
                <w:p w14:paraId="54226107" w14:textId="77777777" w:rsidR="00837DE8" w:rsidRPr="003161DC" w:rsidRDefault="00837DE8" w:rsidP="00837DE8">
                  <w:pPr>
                    <w:widowControl w:val="0"/>
                    <w:spacing w:after="60"/>
                    <w:rPr>
                      <w:i/>
                      <w:iCs/>
                      <w:sz w:val="20"/>
                    </w:rPr>
                  </w:pPr>
                  <w:r w:rsidRPr="003161DC">
                    <w:rPr>
                      <w:i/>
                      <w:iCs/>
                      <w:sz w:val="20"/>
                    </w:rPr>
                    <w:t>Net meter Weighting Factor per interval</w:t>
                  </w:r>
                  <w:r w:rsidRPr="003161DC">
                    <w:rPr>
                      <w:rFonts w:ascii="Symbol" w:hAnsi="Symbol"/>
                      <w:sz w:val="20"/>
                    </w:rPr>
                    <w:t></w:t>
                  </w:r>
                  <w:r w:rsidRPr="003161DC">
                    <w:rPr>
                      <w:sz w:val="20"/>
                    </w:rPr>
                    <w:t xml:space="preserve">The weight factor used in net meter price calculation for meters in Electrical Bus </w:t>
                  </w:r>
                  <w:r w:rsidRPr="003161DC">
                    <w:rPr>
                      <w:i/>
                      <w:sz w:val="20"/>
                    </w:rPr>
                    <w:t>b</w:t>
                  </w:r>
                  <w:r w:rsidRPr="003161DC">
                    <w:rPr>
                      <w:sz w:val="20"/>
                    </w:rPr>
                    <w:t xml:space="preserve">, for the SCED interval </w:t>
                  </w:r>
                  <w:r w:rsidRPr="003161DC">
                    <w:rPr>
                      <w:i/>
                      <w:iCs/>
                      <w:sz w:val="20"/>
                    </w:rPr>
                    <w:t>y</w:t>
                  </w:r>
                  <w:r w:rsidRPr="003161DC">
                    <w:rPr>
                      <w:sz w:val="20"/>
                    </w:rPr>
                    <w:t>.  The weighting factor used in the net meter price calculation shall not be recalculated after the fact due to revisions in the association of Resources to Settlement Meters.</w:t>
                  </w:r>
                </w:p>
              </w:tc>
            </w:tr>
            <w:tr w:rsidR="00837DE8" w:rsidRPr="003161DC" w14:paraId="2311F535" w14:textId="77777777" w:rsidTr="000D7680">
              <w:trPr>
                <w:cantSplit/>
              </w:trPr>
              <w:tc>
                <w:tcPr>
                  <w:tcW w:w="1145" w:type="pct"/>
                </w:tcPr>
                <w:p w14:paraId="4F5FF2D7" w14:textId="77777777" w:rsidR="00837DE8" w:rsidRPr="003161DC" w:rsidRDefault="00837DE8" w:rsidP="00837DE8">
                  <w:pPr>
                    <w:widowControl w:val="0"/>
                    <w:spacing w:after="60"/>
                    <w:rPr>
                      <w:sz w:val="20"/>
                    </w:rPr>
                  </w:pPr>
                  <w:r w:rsidRPr="003161DC">
                    <w:rPr>
                      <w:sz w:val="20"/>
                    </w:rPr>
                    <w:t xml:space="preserve">BP </w:t>
                  </w:r>
                  <w:r w:rsidRPr="003161DC">
                    <w:rPr>
                      <w:i/>
                      <w:sz w:val="20"/>
                      <w:vertAlign w:val="subscript"/>
                    </w:rPr>
                    <w:t>r, y</w:t>
                  </w:r>
                </w:p>
              </w:tc>
              <w:tc>
                <w:tcPr>
                  <w:tcW w:w="675" w:type="pct"/>
                </w:tcPr>
                <w:p w14:paraId="2EF40E3A" w14:textId="77777777" w:rsidR="00837DE8" w:rsidRPr="003161DC" w:rsidRDefault="00837DE8" w:rsidP="00837DE8">
                  <w:pPr>
                    <w:widowControl w:val="0"/>
                    <w:spacing w:after="60"/>
                    <w:rPr>
                      <w:sz w:val="20"/>
                    </w:rPr>
                  </w:pPr>
                  <w:r w:rsidRPr="003161DC">
                    <w:rPr>
                      <w:sz w:val="20"/>
                    </w:rPr>
                    <w:t>MW</w:t>
                  </w:r>
                </w:p>
              </w:tc>
              <w:tc>
                <w:tcPr>
                  <w:tcW w:w="3180" w:type="pct"/>
                </w:tcPr>
                <w:p w14:paraId="63D2A507" w14:textId="77777777" w:rsidR="00837DE8" w:rsidRPr="003161DC" w:rsidRDefault="00837DE8" w:rsidP="00837DE8">
                  <w:pPr>
                    <w:widowControl w:val="0"/>
                    <w:spacing w:after="60"/>
                    <w:rPr>
                      <w:i/>
                      <w:iCs/>
                      <w:sz w:val="20"/>
                    </w:rPr>
                  </w:pPr>
                  <w:r w:rsidRPr="003161DC">
                    <w:rPr>
                      <w:i/>
                      <w:iCs/>
                      <w:sz w:val="20"/>
                    </w:rPr>
                    <w:t>Base Point per Resource per interval</w:t>
                  </w:r>
                  <w:r w:rsidRPr="003161DC">
                    <w:rPr>
                      <w:rFonts w:ascii="Symbol" w:hAnsi="Symbol"/>
                      <w:sz w:val="20"/>
                    </w:rPr>
                    <w:t></w:t>
                  </w:r>
                  <w:r w:rsidRPr="003161DC">
                    <w:rPr>
                      <w:sz w:val="20"/>
                    </w:rPr>
                    <w:t xml:space="preserve">The Base Point of Resource </w:t>
                  </w:r>
                  <w:r w:rsidRPr="003161DC">
                    <w:rPr>
                      <w:i/>
                      <w:sz w:val="20"/>
                    </w:rPr>
                    <w:t>r,</w:t>
                  </w:r>
                  <w:r w:rsidRPr="003161DC">
                    <w:rPr>
                      <w:sz w:val="20"/>
                    </w:rPr>
                    <w:t xml:space="preserve"> for the SCED interval </w:t>
                  </w:r>
                  <w:r w:rsidRPr="003161DC">
                    <w:rPr>
                      <w:i/>
                      <w:iCs/>
                      <w:sz w:val="20"/>
                    </w:rPr>
                    <w:t>y</w:t>
                  </w:r>
                  <w:r w:rsidRPr="003161DC">
                    <w:rPr>
                      <w:sz w:val="20"/>
                    </w:rPr>
                    <w:t xml:space="preserve">.  Where for a Combined Cycle Train, the Resource </w:t>
                  </w:r>
                  <w:r w:rsidRPr="003161DC">
                    <w:rPr>
                      <w:i/>
                      <w:sz w:val="20"/>
                    </w:rPr>
                    <w:t xml:space="preserve">r </w:t>
                  </w:r>
                  <w:r w:rsidRPr="003161DC">
                    <w:rPr>
                      <w:sz w:val="20"/>
                    </w:rPr>
                    <w:t>is a Combined Cycle Generation Resource within the Combined Cycle Train.</w:t>
                  </w:r>
                </w:p>
              </w:tc>
            </w:tr>
            <w:tr w:rsidR="00837DE8" w:rsidRPr="003161DC" w14:paraId="1C5F72E1" w14:textId="77777777" w:rsidTr="000D7680">
              <w:trPr>
                <w:cantSplit/>
              </w:trPr>
              <w:tc>
                <w:tcPr>
                  <w:tcW w:w="1145" w:type="pct"/>
                </w:tcPr>
                <w:p w14:paraId="02F8A8CE" w14:textId="77777777" w:rsidR="00837DE8" w:rsidRPr="003161DC" w:rsidRDefault="00837DE8" w:rsidP="00837DE8">
                  <w:pPr>
                    <w:widowControl w:val="0"/>
                    <w:spacing w:after="60"/>
                    <w:rPr>
                      <w:i/>
                      <w:sz w:val="20"/>
                    </w:rPr>
                  </w:pPr>
                  <w:r w:rsidRPr="003161DC">
                    <w:rPr>
                      <w:sz w:val="20"/>
                    </w:rPr>
                    <w:t>MEBC</w:t>
                  </w:r>
                  <w:r w:rsidRPr="003161DC">
                    <w:rPr>
                      <w:sz w:val="20"/>
                      <w:vertAlign w:val="subscript"/>
                    </w:rPr>
                    <w:t xml:space="preserve"> </w:t>
                  </w:r>
                  <w:r w:rsidRPr="003161DC">
                    <w:rPr>
                      <w:i/>
                      <w:sz w:val="20"/>
                      <w:vertAlign w:val="subscript"/>
                    </w:rPr>
                    <w:t>gsc, b</w:t>
                  </w:r>
                </w:p>
              </w:tc>
              <w:tc>
                <w:tcPr>
                  <w:tcW w:w="675" w:type="pct"/>
                </w:tcPr>
                <w:p w14:paraId="1870A34E" w14:textId="77777777" w:rsidR="00837DE8" w:rsidRPr="003161DC" w:rsidRDefault="00837DE8" w:rsidP="00837DE8">
                  <w:pPr>
                    <w:widowControl w:val="0"/>
                    <w:spacing w:after="60"/>
                    <w:rPr>
                      <w:sz w:val="20"/>
                    </w:rPr>
                  </w:pPr>
                  <w:r w:rsidRPr="003161DC">
                    <w:rPr>
                      <w:sz w:val="20"/>
                    </w:rPr>
                    <w:t>MWh</w:t>
                  </w:r>
                </w:p>
              </w:tc>
              <w:tc>
                <w:tcPr>
                  <w:tcW w:w="3180" w:type="pct"/>
                </w:tcPr>
                <w:p w14:paraId="45C11C17" w14:textId="744706E5" w:rsidR="00837DE8" w:rsidRPr="003161DC" w:rsidRDefault="00837DE8" w:rsidP="00837DE8">
                  <w:pPr>
                    <w:widowControl w:val="0"/>
                    <w:spacing w:after="60"/>
                    <w:rPr>
                      <w:sz w:val="20"/>
                    </w:rPr>
                  </w:pPr>
                  <w:r w:rsidRPr="00837DE8">
                    <w:rPr>
                      <w:i/>
                      <w:sz w:val="20"/>
                    </w:rPr>
                    <w:t xml:space="preserve">Metered Energy at </w:t>
                  </w:r>
                  <w:r w:rsidR="00632873">
                    <w:rPr>
                      <w:i/>
                      <w:sz w:val="20"/>
                    </w:rPr>
                    <w:t>B</w:t>
                  </w:r>
                  <w:r w:rsidRPr="00837DE8">
                    <w:rPr>
                      <w:i/>
                      <w:sz w:val="20"/>
                    </w:rPr>
                    <w:t xml:space="preserve">us (Calculated) </w:t>
                  </w:r>
                  <w:r w:rsidRPr="00837DE8">
                    <w:rPr>
                      <w:sz w:val="20"/>
                    </w:rPr>
                    <w:sym w:font="Symbol" w:char="F0BE"/>
                  </w:r>
                  <w:r w:rsidRPr="00837DE8">
                    <w:rPr>
                      <w:sz w:val="20"/>
                    </w:rPr>
                    <w:t xml:space="preserve"> The calculated energy for the 15-minute Settlement Interval for a Settlement Meter which is upstream from another Settlement Meter which measures</w:t>
                  </w:r>
                  <w:r w:rsidR="00632873" w:rsidRPr="00812ECB">
                    <w:rPr>
                      <w:sz w:val="20"/>
                    </w:rPr>
                    <w:t xml:space="preserve"> CLR (that is not an ALR) or</w:t>
                  </w:r>
                  <w:r w:rsidRPr="00837DE8">
                    <w:rPr>
                      <w:sz w:val="20"/>
                    </w:rPr>
                    <w:t xml:space="preserve"> ESR Load.  A positive value represents energy produced, and a negative value represents energy withdrawn.</w:t>
                  </w:r>
                  <w:r w:rsidR="00632873" w:rsidRPr="00812ECB">
                    <w:rPr>
                      <w:sz w:val="20"/>
                    </w:rPr>
                    <w:t xml:space="preserve"> </w:t>
                  </w:r>
                  <w:r w:rsidR="00632873">
                    <w:rPr>
                      <w:sz w:val="20"/>
                    </w:rPr>
                    <w:t xml:space="preserve"> </w:t>
                  </w:r>
                  <w:r w:rsidR="00632873" w:rsidRPr="00812ECB">
                    <w:rPr>
                      <w:sz w:val="20"/>
                    </w:rPr>
                    <w:t>This is not adjusted for losses and UFE.</w:t>
                  </w:r>
                </w:p>
              </w:tc>
            </w:tr>
            <w:tr w:rsidR="00837DE8" w:rsidRPr="003161DC" w14:paraId="2C45D252" w14:textId="77777777" w:rsidTr="000D7680">
              <w:trPr>
                <w:cantSplit/>
              </w:trPr>
              <w:tc>
                <w:tcPr>
                  <w:tcW w:w="1145" w:type="pct"/>
                </w:tcPr>
                <w:p w14:paraId="14C6D105" w14:textId="77777777" w:rsidR="00837DE8" w:rsidRPr="003161DC" w:rsidRDefault="00837DE8" w:rsidP="00837DE8">
                  <w:pPr>
                    <w:widowControl w:val="0"/>
                    <w:spacing w:after="60"/>
                    <w:rPr>
                      <w:i/>
                      <w:sz w:val="20"/>
                    </w:rPr>
                  </w:pPr>
                  <w:r w:rsidRPr="003161DC">
                    <w:rPr>
                      <w:i/>
                      <w:sz w:val="20"/>
                    </w:rPr>
                    <w:t>gsc</w:t>
                  </w:r>
                </w:p>
              </w:tc>
              <w:tc>
                <w:tcPr>
                  <w:tcW w:w="675" w:type="pct"/>
                </w:tcPr>
                <w:p w14:paraId="2A4D77E5" w14:textId="77777777" w:rsidR="00837DE8" w:rsidRPr="003161DC" w:rsidRDefault="00837DE8" w:rsidP="00837DE8">
                  <w:pPr>
                    <w:widowControl w:val="0"/>
                    <w:spacing w:after="60"/>
                    <w:rPr>
                      <w:sz w:val="20"/>
                    </w:rPr>
                  </w:pPr>
                  <w:r w:rsidRPr="003161DC">
                    <w:rPr>
                      <w:sz w:val="20"/>
                    </w:rPr>
                    <w:t>none</w:t>
                  </w:r>
                </w:p>
              </w:tc>
              <w:tc>
                <w:tcPr>
                  <w:tcW w:w="3180" w:type="pct"/>
                </w:tcPr>
                <w:p w14:paraId="78FD662D" w14:textId="77777777" w:rsidR="00837DE8" w:rsidRPr="003161DC" w:rsidRDefault="00837DE8" w:rsidP="00837DE8">
                  <w:pPr>
                    <w:widowControl w:val="0"/>
                    <w:spacing w:after="60"/>
                    <w:rPr>
                      <w:sz w:val="20"/>
                    </w:rPr>
                  </w:pPr>
                  <w:r w:rsidRPr="003161DC">
                    <w:rPr>
                      <w:sz w:val="20"/>
                    </w:rPr>
                    <w:t>A generation site code.</w:t>
                  </w:r>
                </w:p>
              </w:tc>
            </w:tr>
            <w:tr w:rsidR="00837DE8" w:rsidRPr="003161DC" w14:paraId="691DD039" w14:textId="77777777" w:rsidTr="000D7680">
              <w:trPr>
                <w:cantSplit/>
              </w:trPr>
              <w:tc>
                <w:tcPr>
                  <w:tcW w:w="1145" w:type="pct"/>
                </w:tcPr>
                <w:p w14:paraId="0DA264F1" w14:textId="77777777" w:rsidR="00837DE8" w:rsidRPr="003161DC" w:rsidRDefault="00837DE8" w:rsidP="00837DE8">
                  <w:pPr>
                    <w:widowControl w:val="0"/>
                    <w:spacing w:after="60"/>
                    <w:rPr>
                      <w:i/>
                      <w:sz w:val="20"/>
                    </w:rPr>
                  </w:pPr>
                  <w:r w:rsidRPr="003161DC">
                    <w:rPr>
                      <w:i/>
                      <w:sz w:val="20"/>
                    </w:rPr>
                    <w:t>r</w:t>
                  </w:r>
                </w:p>
              </w:tc>
              <w:tc>
                <w:tcPr>
                  <w:tcW w:w="675" w:type="pct"/>
                </w:tcPr>
                <w:p w14:paraId="2A071A2A" w14:textId="77777777" w:rsidR="00837DE8" w:rsidRPr="003161DC" w:rsidRDefault="00837DE8" w:rsidP="00837DE8">
                  <w:pPr>
                    <w:widowControl w:val="0"/>
                    <w:spacing w:after="60"/>
                    <w:rPr>
                      <w:sz w:val="20"/>
                    </w:rPr>
                  </w:pPr>
                  <w:r w:rsidRPr="003161DC">
                    <w:rPr>
                      <w:sz w:val="20"/>
                    </w:rPr>
                    <w:t>none</w:t>
                  </w:r>
                </w:p>
              </w:tc>
              <w:tc>
                <w:tcPr>
                  <w:tcW w:w="3180" w:type="pct"/>
                </w:tcPr>
                <w:p w14:paraId="6D8381F7" w14:textId="578641B4" w:rsidR="00837DE8" w:rsidRPr="003161DC" w:rsidRDefault="00837DE8" w:rsidP="00837DE8">
                  <w:pPr>
                    <w:widowControl w:val="0"/>
                    <w:spacing w:after="60"/>
                    <w:rPr>
                      <w:sz w:val="20"/>
                    </w:rPr>
                  </w:pPr>
                  <w:r w:rsidRPr="003161DC">
                    <w:rPr>
                      <w:sz w:val="20"/>
                    </w:rPr>
                    <w:t xml:space="preserve">A Generation Resource </w:t>
                  </w:r>
                  <w:r w:rsidR="00F15CAD">
                    <w:rPr>
                      <w:sz w:val="20"/>
                    </w:rPr>
                    <w:t xml:space="preserve">or ESR </w:t>
                  </w:r>
                  <w:r w:rsidRPr="003161DC">
                    <w:rPr>
                      <w:sz w:val="20"/>
                    </w:rPr>
                    <w:t xml:space="preserve">that is located at the Facility with net metering.  </w:t>
                  </w:r>
                </w:p>
              </w:tc>
            </w:tr>
            <w:tr w:rsidR="00837DE8" w:rsidRPr="003161DC" w14:paraId="2E7D7F89" w14:textId="77777777" w:rsidTr="000D7680">
              <w:trPr>
                <w:cantSplit/>
              </w:trPr>
              <w:tc>
                <w:tcPr>
                  <w:tcW w:w="1145" w:type="pct"/>
                </w:tcPr>
                <w:p w14:paraId="37C9FF56" w14:textId="77777777" w:rsidR="00837DE8" w:rsidRPr="003161DC" w:rsidRDefault="00837DE8" w:rsidP="00837DE8">
                  <w:pPr>
                    <w:widowControl w:val="0"/>
                    <w:spacing w:after="60"/>
                    <w:rPr>
                      <w:i/>
                      <w:sz w:val="20"/>
                    </w:rPr>
                  </w:pPr>
                  <w:r w:rsidRPr="003161DC">
                    <w:rPr>
                      <w:i/>
                      <w:sz w:val="20"/>
                    </w:rPr>
                    <w:t>y</w:t>
                  </w:r>
                </w:p>
              </w:tc>
              <w:tc>
                <w:tcPr>
                  <w:tcW w:w="675" w:type="pct"/>
                </w:tcPr>
                <w:p w14:paraId="5B555DE8" w14:textId="77777777" w:rsidR="00837DE8" w:rsidRPr="003161DC" w:rsidRDefault="00837DE8" w:rsidP="00837DE8">
                  <w:pPr>
                    <w:widowControl w:val="0"/>
                    <w:spacing w:after="60"/>
                    <w:rPr>
                      <w:sz w:val="20"/>
                    </w:rPr>
                  </w:pPr>
                  <w:r w:rsidRPr="003161DC">
                    <w:rPr>
                      <w:sz w:val="20"/>
                    </w:rPr>
                    <w:t>none</w:t>
                  </w:r>
                </w:p>
              </w:tc>
              <w:tc>
                <w:tcPr>
                  <w:tcW w:w="3180" w:type="pct"/>
                </w:tcPr>
                <w:p w14:paraId="75007B0C" w14:textId="77777777" w:rsidR="00837DE8" w:rsidRPr="003161DC" w:rsidRDefault="00837DE8" w:rsidP="00837DE8">
                  <w:pPr>
                    <w:widowControl w:val="0"/>
                    <w:spacing w:after="60"/>
                    <w:rPr>
                      <w:sz w:val="20"/>
                    </w:rPr>
                  </w:pPr>
                  <w:r w:rsidRPr="003161DC">
                    <w:rPr>
                      <w:sz w:val="20"/>
                    </w:rPr>
                    <w:t>A SCED interval in the 15-minute Settlement Interval.  The summation is over the total number of SCED runs that cover the 15-minute Settlement Interval.</w:t>
                  </w:r>
                </w:p>
              </w:tc>
            </w:tr>
            <w:tr w:rsidR="00837DE8" w:rsidRPr="003161DC" w14:paraId="2AC9B5D2" w14:textId="77777777" w:rsidTr="000D7680">
              <w:trPr>
                <w:cantSplit/>
              </w:trPr>
              <w:tc>
                <w:tcPr>
                  <w:tcW w:w="1145" w:type="pct"/>
                </w:tcPr>
                <w:p w14:paraId="1F926E22" w14:textId="77777777" w:rsidR="00837DE8" w:rsidRPr="003161DC" w:rsidRDefault="00837DE8" w:rsidP="00837DE8">
                  <w:pPr>
                    <w:widowControl w:val="0"/>
                    <w:spacing w:after="60"/>
                    <w:rPr>
                      <w:i/>
                      <w:sz w:val="20"/>
                    </w:rPr>
                  </w:pPr>
                  <w:r w:rsidRPr="003161DC">
                    <w:rPr>
                      <w:i/>
                      <w:sz w:val="20"/>
                    </w:rPr>
                    <w:lastRenderedPageBreak/>
                    <w:t>b</w:t>
                  </w:r>
                </w:p>
              </w:tc>
              <w:tc>
                <w:tcPr>
                  <w:tcW w:w="675" w:type="pct"/>
                </w:tcPr>
                <w:p w14:paraId="4F97CD24" w14:textId="77777777" w:rsidR="00837DE8" w:rsidRPr="003161DC" w:rsidRDefault="00837DE8" w:rsidP="00837DE8">
                  <w:pPr>
                    <w:widowControl w:val="0"/>
                    <w:spacing w:after="60"/>
                    <w:rPr>
                      <w:sz w:val="20"/>
                    </w:rPr>
                  </w:pPr>
                  <w:r w:rsidRPr="003161DC">
                    <w:rPr>
                      <w:sz w:val="20"/>
                    </w:rPr>
                    <w:t>none</w:t>
                  </w:r>
                </w:p>
              </w:tc>
              <w:tc>
                <w:tcPr>
                  <w:tcW w:w="3180" w:type="pct"/>
                </w:tcPr>
                <w:p w14:paraId="0DA5C02A" w14:textId="77777777" w:rsidR="00837DE8" w:rsidRPr="003161DC" w:rsidRDefault="00837DE8" w:rsidP="00837DE8">
                  <w:pPr>
                    <w:widowControl w:val="0"/>
                    <w:spacing w:after="60"/>
                    <w:rPr>
                      <w:sz w:val="20"/>
                    </w:rPr>
                  </w:pPr>
                  <w:r w:rsidRPr="003161DC">
                    <w:rPr>
                      <w:sz w:val="20"/>
                    </w:rPr>
                    <w:t>An Electrical Bus.</w:t>
                  </w:r>
                </w:p>
              </w:tc>
            </w:tr>
          </w:tbl>
          <w:p w14:paraId="2976C42C" w14:textId="458A1810" w:rsidR="00837DE8" w:rsidRPr="00B50DCB" w:rsidRDefault="00837DE8" w:rsidP="00837DE8">
            <w:pPr>
              <w:spacing w:before="240" w:after="240"/>
              <w:ind w:left="720" w:hanging="720"/>
            </w:pPr>
          </w:p>
        </w:tc>
      </w:tr>
    </w:tbl>
    <w:p w14:paraId="3DA1C0D2" w14:textId="5AC064BA" w:rsidR="001F04FD" w:rsidRDefault="001F04FD" w:rsidP="00837DE8">
      <w:pPr>
        <w:pStyle w:val="BodyTextNumbered"/>
        <w:widowControl w:val="0"/>
        <w:spacing w:before="240"/>
      </w:pPr>
      <w:r>
        <w:lastRenderedPageBreak/>
        <w:t>(5)</w:t>
      </w:r>
      <w:r>
        <w:tab/>
        <w:t>The Generation Resource SCADA Splitting Percentage for each Resource within a net metering arrangement for the 15-minute Settlement Interval is calculated as follows:</w:t>
      </w:r>
    </w:p>
    <w:p w14:paraId="016F1AC0" w14:textId="77777777" w:rsidR="001F04FD" w:rsidRDefault="001F04FD" w:rsidP="001F04FD">
      <w:pPr>
        <w:spacing w:before="120" w:after="120"/>
        <w:ind w:firstLine="720"/>
        <w:jc w:val="both"/>
        <w:rPr>
          <w:b/>
          <w:vertAlign w:val="subscript"/>
          <w:lang w:val="pt-BR"/>
        </w:rPr>
      </w:pPr>
      <w:r>
        <w:rPr>
          <w:b/>
          <w:lang w:val="pt-BR"/>
        </w:rPr>
        <w:t xml:space="preserve">GSPLITPER </w:t>
      </w:r>
      <w:r>
        <w:rPr>
          <w:b/>
          <w:i/>
          <w:szCs w:val="24"/>
          <w:vertAlign w:val="subscript"/>
          <w:lang w:val="pt-BR"/>
        </w:rPr>
        <w:t>q</w:t>
      </w:r>
      <w:r>
        <w:rPr>
          <w:rFonts w:ascii="Times New Roman Bold" w:hAnsi="Times New Roman Bold"/>
          <w:b/>
          <w:i/>
          <w:szCs w:val="24"/>
          <w:vertAlign w:val="subscript"/>
          <w:lang w:val="pt-BR"/>
        </w:rPr>
        <w:t xml:space="preserve">,  </w:t>
      </w:r>
      <w:r>
        <w:rPr>
          <w:b/>
          <w:i/>
          <w:szCs w:val="24"/>
          <w:vertAlign w:val="subscript"/>
          <w:lang w:val="pt-BR"/>
        </w:rPr>
        <w:t>r, gsc, p</w:t>
      </w:r>
      <w:r>
        <w:rPr>
          <w:b/>
          <w:lang w:val="pt-BR"/>
        </w:rPr>
        <w:t xml:space="preserve"> </w:t>
      </w:r>
      <w:r>
        <w:rPr>
          <w:b/>
          <w:lang w:val="pt-BR"/>
        </w:rPr>
        <w:tab/>
        <w:t xml:space="preserve">= GSSPLITSCA </w:t>
      </w:r>
      <w:r>
        <w:rPr>
          <w:b/>
          <w:i/>
          <w:vertAlign w:val="subscript"/>
          <w:lang w:val="pt-BR"/>
        </w:rPr>
        <w:t>r</w:t>
      </w:r>
      <w:r>
        <w:rPr>
          <w:b/>
          <w:lang w:val="pt-BR"/>
        </w:rPr>
        <w:t xml:space="preserve"> / </w:t>
      </w:r>
      <w:r w:rsidRPr="006F784F">
        <w:rPr>
          <w:position w:val="-18"/>
        </w:rPr>
        <w:object w:dxaOrig="225" w:dyaOrig="420" w14:anchorId="5E1832E4">
          <v:shape id="_x0000_i1153" type="#_x0000_t75" style="width:12pt;height:24pt" o:ole="">
            <v:imagedata r:id="rId122" o:title=""/>
          </v:shape>
          <o:OLEObject Type="Embed" ProgID="Equation.3" ShapeID="_x0000_i1153" DrawAspect="Content" ObjectID="_1815025343" r:id="rId170"/>
        </w:object>
      </w:r>
      <w:r>
        <w:rPr>
          <w:b/>
          <w:lang w:val="pt-BR"/>
        </w:rPr>
        <w:t xml:space="preserve">GSSPLITSCA </w:t>
      </w:r>
      <w:r>
        <w:rPr>
          <w:b/>
          <w:i/>
          <w:vertAlign w:val="subscript"/>
          <w:lang w:val="pt-BR"/>
        </w:rPr>
        <w:t>r</w:t>
      </w:r>
    </w:p>
    <w:p w14:paraId="1E61DECA" w14:textId="77777777" w:rsidR="001F04FD" w:rsidRDefault="001F04FD" w:rsidP="001F04FD">
      <w:pPr>
        <w:spacing w:before="120"/>
      </w:pPr>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1F04FD" w14:paraId="1B168604" w14:textId="77777777" w:rsidTr="00AC4DEE">
        <w:trPr>
          <w:cantSplit/>
          <w:tblHeader/>
        </w:trPr>
        <w:tc>
          <w:tcPr>
            <w:tcW w:w="2361" w:type="dxa"/>
          </w:tcPr>
          <w:p w14:paraId="2BACB737" w14:textId="77777777" w:rsidR="001F04FD" w:rsidRDefault="001F04FD" w:rsidP="00AC4DEE">
            <w:pPr>
              <w:pStyle w:val="TableHead"/>
            </w:pPr>
            <w:r>
              <w:t>Variable</w:t>
            </w:r>
          </w:p>
        </w:tc>
        <w:tc>
          <w:tcPr>
            <w:tcW w:w="826" w:type="dxa"/>
          </w:tcPr>
          <w:p w14:paraId="1BFD7111" w14:textId="77777777" w:rsidR="001F04FD" w:rsidRDefault="001F04FD" w:rsidP="00AC4DEE">
            <w:pPr>
              <w:pStyle w:val="TableHead"/>
            </w:pPr>
            <w:r>
              <w:t>Unit</w:t>
            </w:r>
          </w:p>
        </w:tc>
        <w:tc>
          <w:tcPr>
            <w:tcW w:w="5884" w:type="dxa"/>
          </w:tcPr>
          <w:p w14:paraId="64E75E38" w14:textId="77777777" w:rsidR="001F04FD" w:rsidRDefault="001F04FD" w:rsidP="00AC4DEE">
            <w:pPr>
              <w:pStyle w:val="TableHead"/>
            </w:pPr>
            <w:r>
              <w:t>Definition</w:t>
            </w:r>
          </w:p>
        </w:tc>
      </w:tr>
      <w:tr w:rsidR="001F04FD" w14:paraId="379D0146" w14:textId="77777777" w:rsidTr="00AC4DEE">
        <w:trPr>
          <w:cantSplit/>
        </w:trPr>
        <w:tc>
          <w:tcPr>
            <w:tcW w:w="2361" w:type="dxa"/>
          </w:tcPr>
          <w:p w14:paraId="4A200665" w14:textId="77777777" w:rsidR="001F04FD" w:rsidRDefault="001F04FD" w:rsidP="00AC4DEE">
            <w:pPr>
              <w:pStyle w:val="TableBody"/>
            </w:pPr>
            <w:r>
              <w:t xml:space="preserve">GSPLITPER </w:t>
            </w:r>
            <w:r w:rsidRPr="00107CC2">
              <w:rPr>
                <w:i/>
                <w:vertAlign w:val="subscript"/>
              </w:rPr>
              <w:t>q, r, gsc, p</w:t>
            </w:r>
          </w:p>
        </w:tc>
        <w:tc>
          <w:tcPr>
            <w:tcW w:w="826" w:type="dxa"/>
          </w:tcPr>
          <w:p w14:paraId="49A21A58" w14:textId="77777777" w:rsidR="001F04FD" w:rsidRDefault="001F04FD" w:rsidP="00AC4DEE">
            <w:pPr>
              <w:pStyle w:val="TableBody"/>
            </w:pPr>
            <w:r>
              <w:t>none</w:t>
            </w:r>
          </w:p>
        </w:tc>
        <w:tc>
          <w:tcPr>
            <w:tcW w:w="5884" w:type="dxa"/>
          </w:tcPr>
          <w:p w14:paraId="6AD99103" w14:textId="77777777" w:rsidR="001F04FD" w:rsidRDefault="001F04FD" w:rsidP="00AC4DEE">
            <w:pPr>
              <w:pStyle w:val="TableBody"/>
            </w:pPr>
            <w:r>
              <w:rPr>
                <w:i/>
              </w:rPr>
              <w:t>Generation Resource SCADA Splitting Percentage</w:t>
            </w:r>
            <w:r>
              <w:t xml:space="preserve">—The generation allocation percentage for Resource </w:t>
            </w:r>
            <w:r>
              <w:rPr>
                <w:i/>
              </w:rPr>
              <w:t>r</w:t>
            </w:r>
            <w:r>
              <w:t xml:space="preserve"> that is part of a generation site code </w:t>
            </w:r>
            <w:r>
              <w:rPr>
                <w:i/>
              </w:rPr>
              <w:t>gsc</w:t>
            </w:r>
            <w:r>
              <w:t xml:space="preserve"> for the QSE </w:t>
            </w:r>
            <w:r>
              <w:rPr>
                <w:i/>
              </w:rPr>
              <w:t>q</w:t>
            </w:r>
            <w:r>
              <w:t xml:space="preserve"> at Settlement Point </w:t>
            </w:r>
            <w:r>
              <w:rPr>
                <w:i/>
              </w:rPr>
              <w:t>p</w:t>
            </w:r>
            <w:r>
              <w:t xml:space="preserve">.  GSPLITPER is calculated by taking the SCADA values (GSSPLITSCA) for a particular Generation Resource </w:t>
            </w:r>
            <w:r>
              <w:rPr>
                <w:i/>
              </w:rPr>
              <w:t>r</w:t>
            </w:r>
            <w:r>
              <w:t xml:space="preserve"> that is part of a net metering configuration and dividing by the sum of all SCADA values for all Resources that are included in the net metering configuration for each interval.  Where for a Combined Cycle Train, the Resource </w:t>
            </w:r>
            <w:r w:rsidRPr="00B34C5D">
              <w:rPr>
                <w:i/>
              </w:rPr>
              <w:t>r</w:t>
            </w:r>
            <w:r>
              <w:rPr>
                <w:i/>
              </w:rPr>
              <w:t xml:space="preserve"> </w:t>
            </w:r>
            <w:r>
              <w:t>is the Combined Cycle Train.</w:t>
            </w:r>
          </w:p>
        </w:tc>
      </w:tr>
      <w:tr w:rsidR="001F04FD" w14:paraId="41A9DE5E" w14:textId="77777777" w:rsidTr="00AC4DEE">
        <w:trPr>
          <w:cantSplit/>
        </w:trPr>
        <w:tc>
          <w:tcPr>
            <w:tcW w:w="2361" w:type="dxa"/>
          </w:tcPr>
          <w:p w14:paraId="1D46A489" w14:textId="77777777" w:rsidR="001F04FD" w:rsidRDefault="001F04FD" w:rsidP="00AC4DEE">
            <w:pPr>
              <w:pStyle w:val="TableBody"/>
            </w:pPr>
            <w:r>
              <w:t xml:space="preserve">GSSPLITSCA </w:t>
            </w:r>
            <w:r w:rsidRPr="00107CC2">
              <w:rPr>
                <w:i/>
                <w:vertAlign w:val="subscript"/>
              </w:rPr>
              <w:t>r</w:t>
            </w:r>
          </w:p>
        </w:tc>
        <w:tc>
          <w:tcPr>
            <w:tcW w:w="826" w:type="dxa"/>
          </w:tcPr>
          <w:p w14:paraId="3A22E7E6" w14:textId="77777777" w:rsidR="001F04FD" w:rsidRDefault="001F04FD" w:rsidP="00AC4DEE">
            <w:pPr>
              <w:pStyle w:val="TableBody"/>
            </w:pPr>
            <w:r>
              <w:t>MWh</w:t>
            </w:r>
          </w:p>
        </w:tc>
        <w:tc>
          <w:tcPr>
            <w:tcW w:w="5884" w:type="dxa"/>
          </w:tcPr>
          <w:p w14:paraId="68272B02" w14:textId="77777777" w:rsidR="001F04FD" w:rsidRPr="008E1CE8" w:rsidRDefault="001F04FD" w:rsidP="00AC4DEE">
            <w:pPr>
              <w:pStyle w:val="TableBody"/>
            </w:pPr>
            <w:r>
              <w:rPr>
                <w:i/>
              </w:rPr>
              <w:t>Generation Resource SCADA Net Real Power provided via Telemetry</w:t>
            </w:r>
            <w:r>
              <w:t xml:space="preserve">—The net real power provided via telemetry per Resource within the net metering arrangement, integrated for the 15-minute Settlement Interval.  Where for a Combined Cycle Train, the Resource </w:t>
            </w:r>
            <w:r>
              <w:rPr>
                <w:i/>
              </w:rPr>
              <w:t>r</w:t>
            </w:r>
            <w:r>
              <w:t xml:space="preserve"> is the Combined Cycle Train.</w:t>
            </w:r>
          </w:p>
        </w:tc>
      </w:tr>
      <w:tr w:rsidR="001F04FD" w14:paraId="2F026837"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2CC4928B" w14:textId="77777777" w:rsidR="001F04FD" w:rsidRPr="008E1CE8" w:rsidRDefault="001F04FD" w:rsidP="00AC4DEE">
            <w:pPr>
              <w:pStyle w:val="TableBody"/>
              <w:rPr>
                <w:i/>
              </w:rPr>
            </w:pPr>
            <w:r w:rsidRPr="00D661BC">
              <w:rPr>
                <w:i/>
              </w:rPr>
              <w:t>gsc</w:t>
            </w:r>
          </w:p>
        </w:tc>
        <w:tc>
          <w:tcPr>
            <w:tcW w:w="826" w:type="dxa"/>
            <w:tcBorders>
              <w:top w:val="single" w:sz="4" w:space="0" w:color="auto"/>
              <w:left w:val="single" w:sz="4" w:space="0" w:color="auto"/>
              <w:bottom w:val="single" w:sz="4" w:space="0" w:color="auto"/>
              <w:right w:val="single" w:sz="4" w:space="0" w:color="auto"/>
            </w:tcBorders>
          </w:tcPr>
          <w:p w14:paraId="0C36A289"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2706128D" w14:textId="77777777" w:rsidR="001F04FD" w:rsidRDefault="001F04FD" w:rsidP="00AC4DEE">
            <w:pPr>
              <w:pStyle w:val="TableBody"/>
            </w:pPr>
            <w:r>
              <w:t>A generation site code.</w:t>
            </w:r>
          </w:p>
        </w:tc>
      </w:tr>
      <w:tr w:rsidR="001F04FD" w14:paraId="37087BB3"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0A64DA47" w14:textId="77777777" w:rsidR="001F04FD" w:rsidRPr="008E1CE8" w:rsidRDefault="001F04FD" w:rsidP="00AC4DEE">
            <w:pPr>
              <w:pStyle w:val="TableBody"/>
              <w:rPr>
                <w:i/>
              </w:rPr>
            </w:pPr>
            <w:r w:rsidRPr="00D661BC">
              <w:rPr>
                <w:i/>
              </w:rPr>
              <w:t>r</w:t>
            </w:r>
          </w:p>
        </w:tc>
        <w:tc>
          <w:tcPr>
            <w:tcW w:w="826" w:type="dxa"/>
            <w:tcBorders>
              <w:top w:val="single" w:sz="4" w:space="0" w:color="auto"/>
              <w:left w:val="single" w:sz="4" w:space="0" w:color="auto"/>
              <w:bottom w:val="single" w:sz="4" w:space="0" w:color="auto"/>
              <w:right w:val="single" w:sz="4" w:space="0" w:color="auto"/>
            </w:tcBorders>
          </w:tcPr>
          <w:p w14:paraId="5A169688"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2F99B6D9" w14:textId="77777777" w:rsidR="001F04FD" w:rsidRDefault="001F04FD" w:rsidP="00AC4DEE">
            <w:pPr>
              <w:pStyle w:val="TableBody"/>
            </w:pPr>
            <w:r>
              <w:t xml:space="preserve">A Generation Resource that is located at the Facility with net metering.  </w:t>
            </w:r>
          </w:p>
        </w:tc>
      </w:tr>
      <w:tr w:rsidR="001F04FD" w14:paraId="2DC05B53"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5B7E45D6" w14:textId="77777777" w:rsidR="001F04FD" w:rsidRPr="008E1CE8" w:rsidRDefault="001F04FD" w:rsidP="00AC4DEE">
            <w:pPr>
              <w:pStyle w:val="TableBody"/>
              <w:rPr>
                <w:i/>
              </w:rPr>
            </w:pPr>
            <w:r w:rsidRPr="00D661BC">
              <w:rPr>
                <w:i/>
              </w:rPr>
              <w:t>q</w:t>
            </w:r>
          </w:p>
        </w:tc>
        <w:tc>
          <w:tcPr>
            <w:tcW w:w="826" w:type="dxa"/>
            <w:tcBorders>
              <w:top w:val="single" w:sz="4" w:space="0" w:color="auto"/>
              <w:left w:val="single" w:sz="4" w:space="0" w:color="auto"/>
              <w:bottom w:val="single" w:sz="4" w:space="0" w:color="auto"/>
              <w:right w:val="single" w:sz="4" w:space="0" w:color="auto"/>
            </w:tcBorders>
          </w:tcPr>
          <w:p w14:paraId="164A0B58"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31A1F853" w14:textId="77777777" w:rsidR="001F04FD" w:rsidRDefault="001F04FD" w:rsidP="00AC4DEE">
            <w:pPr>
              <w:pStyle w:val="TableBody"/>
            </w:pPr>
            <w:r>
              <w:t>A QSE.</w:t>
            </w:r>
          </w:p>
        </w:tc>
      </w:tr>
      <w:tr w:rsidR="001F04FD" w14:paraId="22A6A13A"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477C4A75" w14:textId="77777777" w:rsidR="001F04FD" w:rsidRPr="008E1CE8" w:rsidRDefault="001F04FD" w:rsidP="00AC4DEE">
            <w:pPr>
              <w:pStyle w:val="TableBody"/>
              <w:rPr>
                <w:i/>
              </w:rPr>
            </w:pPr>
            <w:r w:rsidRPr="00D661BC">
              <w:rPr>
                <w:i/>
              </w:rPr>
              <w:t>p</w:t>
            </w:r>
          </w:p>
        </w:tc>
        <w:tc>
          <w:tcPr>
            <w:tcW w:w="826" w:type="dxa"/>
            <w:tcBorders>
              <w:top w:val="single" w:sz="4" w:space="0" w:color="auto"/>
              <w:left w:val="single" w:sz="4" w:space="0" w:color="auto"/>
              <w:bottom w:val="single" w:sz="4" w:space="0" w:color="auto"/>
              <w:right w:val="single" w:sz="4" w:space="0" w:color="auto"/>
            </w:tcBorders>
          </w:tcPr>
          <w:p w14:paraId="0641330A"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0E4FB385" w14:textId="77777777" w:rsidR="001F04FD" w:rsidRDefault="001F04FD" w:rsidP="00AC4DEE">
            <w:pPr>
              <w:pStyle w:val="TableBody"/>
            </w:pPr>
            <w:r>
              <w:t>A Resource Node Settlement Point.</w:t>
            </w:r>
          </w:p>
        </w:tc>
      </w:tr>
    </w:tbl>
    <w:p w14:paraId="17806F90" w14:textId="77777777" w:rsidR="00F15CAD" w:rsidRDefault="00F15CAD" w:rsidP="00F15CAD">
      <w:pPr>
        <w:pStyle w:val="BodyTextNumbered"/>
        <w:spacing w:after="0"/>
      </w:pP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15CAD" w14:paraId="0BE95B9A" w14:textId="77777777" w:rsidTr="009E7633">
        <w:trPr>
          <w:trHeight w:val="206"/>
        </w:trPr>
        <w:tc>
          <w:tcPr>
            <w:tcW w:w="5000" w:type="pct"/>
            <w:shd w:val="pct12" w:color="auto" w:fill="auto"/>
          </w:tcPr>
          <w:p w14:paraId="39497645" w14:textId="62E15B7B" w:rsidR="00F15CAD" w:rsidRDefault="00F15CAD" w:rsidP="009E7633">
            <w:pPr>
              <w:pStyle w:val="Instructions"/>
              <w:spacing w:before="120"/>
            </w:pPr>
            <w:r>
              <w:t>[NPRR1014:  Replace paragraph (5) above with the following upon system implementation:]</w:t>
            </w:r>
          </w:p>
          <w:p w14:paraId="414CD553" w14:textId="77777777" w:rsidR="00AA638D" w:rsidRPr="00A552C3" w:rsidRDefault="00AA638D" w:rsidP="00AA638D">
            <w:pPr>
              <w:widowControl w:val="0"/>
              <w:spacing w:before="240" w:after="120"/>
              <w:ind w:left="720" w:hanging="720"/>
            </w:pPr>
            <w:r w:rsidRPr="00A552C3">
              <w:t>(5)</w:t>
            </w:r>
            <w:r w:rsidRPr="00A552C3">
              <w:tab/>
              <w:t>The Generation Resource or ESR SCADA Splitting Percentage for each Resource within a net metering arrangement for the 15-minute Settlement Interval is calculated as follows:</w:t>
            </w:r>
          </w:p>
          <w:p w14:paraId="3BA0A466" w14:textId="77777777" w:rsidR="00AA638D" w:rsidRPr="00A552C3" w:rsidRDefault="00AA638D" w:rsidP="00AA638D">
            <w:pPr>
              <w:spacing w:before="120" w:after="120"/>
              <w:ind w:firstLine="720"/>
              <w:jc w:val="both"/>
              <w:rPr>
                <w:b/>
                <w:vertAlign w:val="subscript"/>
                <w:lang w:val="pt-BR"/>
              </w:rPr>
            </w:pPr>
            <w:r w:rsidRPr="00A552C3">
              <w:rPr>
                <w:b/>
                <w:lang w:val="pt-BR"/>
              </w:rPr>
              <w:t xml:space="preserve">GSPLITPER </w:t>
            </w:r>
            <w:r w:rsidRPr="00A552C3">
              <w:rPr>
                <w:b/>
                <w:i/>
                <w:vertAlign w:val="subscript"/>
                <w:lang w:val="pt-BR"/>
              </w:rPr>
              <w:t>q</w:t>
            </w:r>
            <w:r w:rsidRPr="00A552C3">
              <w:rPr>
                <w:rFonts w:ascii="Times New Roman Bold" w:hAnsi="Times New Roman Bold"/>
                <w:b/>
                <w:i/>
                <w:vertAlign w:val="subscript"/>
                <w:lang w:val="pt-BR"/>
              </w:rPr>
              <w:t xml:space="preserve">,  </w:t>
            </w:r>
            <w:r w:rsidRPr="00A552C3">
              <w:rPr>
                <w:b/>
                <w:i/>
                <w:vertAlign w:val="subscript"/>
                <w:lang w:val="pt-BR"/>
              </w:rPr>
              <w:t>r, gsc, p</w:t>
            </w:r>
            <w:r w:rsidRPr="00A552C3">
              <w:rPr>
                <w:b/>
                <w:lang w:val="pt-BR"/>
              </w:rPr>
              <w:t xml:space="preserve"> </w:t>
            </w:r>
            <w:r w:rsidRPr="00A552C3">
              <w:rPr>
                <w:b/>
                <w:lang w:val="pt-BR"/>
              </w:rPr>
              <w:tab/>
              <w:t xml:space="preserve">= GSSPLITSCA </w:t>
            </w:r>
            <w:r w:rsidRPr="00A552C3">
              <w:rPr>
                <w:b/>
                <w:i/>
                <w:vertAlign w:val="subscript"/>
                <w:lang w:val="pt-BR"/>
              </w:rPr>
              <w:t>r</w:t>
            </w:r>
            <w:r w:rsidRPr="00A552C3">
              <w:rPr>
                <w:b/>
                <w:lang w:val="pt-BR"/>
              </w:rPr>
              <w:t xml:space="preserve"> / </w:t>
            </w:r>
            <w:r w:rsidRPr="00A552C3">
              <w:rPr>
                <w:position w:val="-18"/>
              </w:rPr>
              <w:object w:dxaOrig="255" w:dyaOrig="495" w14:anchorId="75C27D46">
                <v:shape id="_x0000_i1154" type="#_x0000_t75" style="width:12pt;height:30pt" o:ole="">
                  <v:imagedata r:id="rId122" o:title=""/>
                </v:shape>
                <o:OLEObject Type="Embed" ProgID="Equation.3" ShapeID="_x0000_i1154" DrawAspect="Content" ObjectID="_1815025344" r:id="rId171"/>
              </w:object>
            </w:r>
            <w:r w:rsidRPr="00A552C3">
              <w:rPr>
                <w:b/>
                <w:lang w:val="pt-BR"/>
              </w:rPr>
              <w:t xml:space="preserve">GSSPLITSCA </w:t>
            </w:r>
            <w:r w:rsidRPr="00A552C3">
              <w:rPr>
                <w:b/>
                <w:i/>
                <w:vertAlign w:val="subscript"/>
                <w:lang w:val="pt-BR"/>
              </w:rPr>
              <w:t>r</w:t>
            </w:r>
          </w:p>
          <w:p w14:paraId="1CCFAF54" w14:textId="77777777" w:rsidR="00AA638D" w:rsidRPr="00A552C3" w:rsidRDefault="00AA638D" w:rsidP="00AA638D">
            <w:pPr>
              <w:spacing w:before="120"/>
            </w:pPr>
            <w:r w:rsidRPr="00A552C3">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AA638D" w:rsidRPr="00A552C3" w14:paraId="6229CA62" w14:textId="77777777" w:rsidTr="009E7633">
              <w:trPr>
                <w:cantSplit/>
                <w:tblHeader/>
              </w:trPr>
              <w:tc>
                <w:tcPr>
                  <w:tcW w:w="2361" w:type="dxa"/>
                  <w:tcBorders>
                    <w:top w:val="single" w:sz="4" w:space="0" w:color="auto"/>
                    <w:left w:val="single" w:sz="4" w:space="0" w:color="auto"/>
                    <w:bottom w:val="single" w:sz="4" w:space="0" w:color="auto"/>
                    <w:right w:val="single" w:sz="4" w:space="0" w:color="auto"/>
                  </w:tcBorders>
                  <w:hideMark/>
                </w:tcPr>
                <w:p w14:paraId="6685EDEC" w14:textId="77777777" w:rsidR="00AA638D" w:rsidRPr="00A552C3" w:rsidRDefault="00AA638D" w:rsidP="00AA638D">
                  <w:pPr>
                    <w:spacing w:after="120"/>
                    <w:rPr>
                      <w:b/>
                      <w:iCs/>
                      <w:sz w:val="20"/>
                    </w:rPr>
                  </w:pPr>
                  <w:r w:rsidRPr="00A552C3">
                    <w:rPr>
                      <w:b/>
                      <w:iCs/>
                      <w:sz w:val="20"/>
                    </w:rPr>
                    <w:lastRenderedPageBreak/>
                    <w:t>Variable</w:t>
                  </w:r>
                </w:p>
              </w:tc>
              <w:tc>
                <w:tcPr>
                  <w:tcW w:w="826" w:type="dxa"/>
                  <w:tcBorders>
                    <w:top w:val="single" w:sz="4" w:space="0" w:color="auto"/>
                    <w:left w:val="single" w:sz="4" w:space="0" w:color="auto"/>
                    <w:bottom w:val="single" w:sz="4" w:space="0" w:color="auto"/>
                    <w:right w:val="single" w:sz="4" w:space="0" w:color="auto"/>
                  </w:tcBorders>
                  <w:hideMark/>
                </w:tcPr>
                <w:p w14:paraId="3B0570B8" w14:textId="77777777" w:rsidR="00AA638D" w:rsidRPr="00A552C3" w:rsidRDefault="00AA638D" w:rsidP="00AA638D">
                  <w:pPr>
                    <w:spacing w:after="120"/>
                    <w:rPr>
                      <w:b/>
                      <w:iCs/>
                      <w:sz w:val="20"/>
                    </w:rPr>
                  </w:pPr>
                  <w:r w:rsidRPr="00A552C3">
                    <w:rPr>
                      <w:b/>
                      <w:iCs/>
                      <w:sz w:val="20"/>
                    </w:rPr>
                    <w:t>Unit</w:t>
                  </w:r>
                </w:p>
              </w:tc>
              <w:tc>
                <w:tcPr>
                  <w:tcW w:w="5884" w:type="dxa"/>
                  <w:tcBorders>
                    <w:top w:val="single" w:sz="4" w:space="0" w:color="auto"/>
                    <w:left w:val="single" w:sz="4" w:space="0" w:color="auto"/>
                    <w:bottom w:val="single" w:sz="4" w:space="0" w:color="auto"/>
                    <w:right w:val="single" w:sz="4" w:space="0" w:color="auto"/>
                  </w:tcBorders>
                  <w:hideMark/>
                </w:tcPr>
                <w:p w14:paraId="5AC21198" w14:textId="77777777" w:rsidR="00AA638D" w:rsidRPr="00A552C3" w:rsidRDefault="00AA638D" w:rsidP="00AA638D">
                  <w:pPr>
                    <w:spacing w:after="120"/>
                    <w:rPr>
                      <w:b/>
                      <w:iCs/>
                      <w:sz w:val="20"/>
                    </w:rPr>
                  </w:pPr>
                  <w:r w:rsidRPr="00A552C3">
                    <w:rPr>
                      <w:b/>
                      <w:iCs/>
                      <w:sz w:val="20"/>
                    </w:rPr>
                    <w:t>Definition</w:t>
                  </w:r>
                </w:p>
              </w:tc>
            </w:tr>
            <w:tr w:rsidR="00AA638D" w:rsidRPr="00A552C3" w14:paraId="02F458DE"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78460D74" w14:textId="77777777" w:rsidR="00AA638D" w:rsidRPr="00A552C3" w:rsidRDefault="00AA638D" w:rsidP="00AA638D">
                  <w:pPr>
                    <w:spacing w:after="60"/>
                    <w:rPr>
                      <w:iCs/>
                      <w:sz w:val="20"/>
                    </w:rPr>
                  </w:pPr>
                  <w:r w:rsidRPr="00A552C3">
                    <w:rPr>
                      <w:iCs/>
                      <w:sz w:val="20"/>
                    </w:rPr>
                    <w:t xml:space="preserve">GSPLITPER </w:t>
                  </w:r>
                  <w:r w:rsidRPr="00A552C3">
                    <w:rPr>
                      <w:i/>
                      <w:iCs/>
                      <w:sz w:val="20"/>
                      <w:vertAlign w:val="subscript"/>
                    </w:rPr>
                    <w:t>q, r, gsc, p</w:t>
                  </w:r>
                </w:p>
              </w:tc>
              <w:tc>
                <w:tcPr>
                  <w:tcW w:w="826" w:type="dxa"/>
                  <w:tcBorders>
                    <w:top w:val="single" w:sz="4" w:space="0" w:color="auto"/>
                    <w:left w:val="single" w:sz="4" w:space="0" w:color="auto"/>
                    <w:bottom w:val="single" w:sz="4" w:space="0" w:color="auto"/>
                    <w:right w:val="single" w:sz="4" w:space="0" w:color="auto"/>
                  </w:tcBorders>
                  <w:hideMark/>
                </w:tcPr>
                <w:p w14:paraId="327F2503"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52BB9FF5" w14:textId="77777777" w:rsidR="00AA638D" w:rsidRPr="00A552C3" w:rsidRDefault="00AA638D" w:rsidP="00AA638D">
                  <w:pPr>
                    <w:spacing w:after="60"/>
                    <w:rPr>
                      <w:iCs/>
                      <w:sz w:val="20"/>
                    </w:rPr>
                  </w:pPr>
                  <w:r w:rsidRPr="00A552C3">
                    <w:rPr>
                      <w:i/>
                      <w:iCs/>
                      <w:sz w:val="20"/>
                    </w:rPr>
                    <w:t>Generation Resource SCADA Splitting Percentage</w:t>
                  </w:r>
                  <w:r w:rsidRPr="00A552C3">
                    <w:rPr>
                      <w:iCs/>
                      <w:sz w:val="20"/>
                    </w:rPr>
                    <w:t xml:space="preserve">—The generation allocation percentage for Resource </w:t>
                  </w:r>
                  <w:r w:rsidRPr="00A552C3">
                    <w:rPr>
                      <w:i/>
                      <w:iCs/>
                      <w:sz w:val="20"/>
                    </w:rPr>
                    <w:t>r</w:t>
                  </w:r>
                  <w:r w:rsidRPr="00A552C3">
                    <w:rPr>
                      <w:iCs/>
                      <w:sz w:val="20"/>
                    </w:rPr>
                    <w:t xml:space="preserve"> that is part of a generation site code </w:t>
                  </w:r>
                  <w:r w:rsidRPr="00A552C3">
                    <w:rPr>
                      <w:i/>
                      <w:iCs/>
                      <w:sz w:val="20"/>
                    </w:rPr>
                    <w:t>gsc</w:t>
                  </w:r>
                  <w:r w:rsidRPr="00A552C3">
                    <w:rPr>
                      <w:iCs/>
                      <w:sz w:val="20"/>
                    </w:rPr>
                    <w:t xml:space="preserve"> for the QSE </w:t>
                  </w:r>
                  <w:r w:rsidRPr="00A552C3">
                    <w:rPr>
                      <w:i/>
                      <w:iCs/>
                      <w:sz w:val="20"/>
                    </w:rPr>
                    <w:t>q</w:t>
                  </w:r>
                  <w:r w:rsidRPr="00A552C3">
                    <w:rPr>
                      <w:iCs/>
                      <w:sz w:val="20"/>
                    </w:rPr>
                    <w:t xml:space="preserve"> at Settlement Point </w:t>
                  </w:r>
                  <w:r w:rsidRPr="00A552C3">
                    <w:rPr>
                      <w:i/>
                      <w:iCs/>
                      <w:sz w:val="20"/>
                    </w:rPr>
                    <w:t>p</w:t>
                  </w:r>
                  <w:r w:rsidRPr="00A552C3">
                    <w:rPr>
                      <w:iCs/>
                      <w:sz w:val="20"/>
                    </w:rPr>
                    <w:t xml:space="preserve">.  GSPLITPER is calculated by taking the SCADA values (GSSPLITSCA) for a particular Generation Resource or ESR </w:t>
                  </w:r>
                  <w:r w:rsidRPr="00A552C3">
                    <w:rPr>
                      <w:i/>
                      <w:iCs/>
                      <w:sz w:val="20"/>
                    </w:rPr>
                    <w:t>r</w:t>
                  </w:r>
                  <w:r w:rsidRPr="00A552C3">
                    <w:rPr>
                      <w:iCs/>
                      <w:sz w:val="20"/>
                    </w:rPr>
                    <w:t xml:space="preserve"> that is part of a net metering configuration and dividing by the sum of all SCADA values for all Resources that are included in the net metering configuration for each interval.  Where for a Combined Cycle Train, the Resource </w:t>
                  </w:r>
                  <w:r w:rsidRPr="00A552C3">
                    <w:rPr>
                      <w:i/>
                      <w:iCs/>
                      <w:sz w:val="20"/>
                    </w:rPr>
                    <w:t xml:space="preserve">r </w:t>
                  </w:r>
                  <w:r w:rsidRPr="00A552C3">
                    <w:rPr>
                      <w:iCs/>
                      <w:sz w:val="20"/>
                    </w:rPr>
                    <w:t>is the Combined Cycle Train.</w:t>
                  </w:r>
                </w:p>
              </w:tc>
            </w:tr>
            <w:tr w:rsidR="00AA638D" w:rsidRPr="00A552C3" w14:paraId="3E165FEF"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7301EE79" w14:textId="77777777" w:rsidR="00AA638D" w:rsidRPr="00A552C3" w:rsidRDefault="00AA638D" w:rsidP="00AA638D">
                  <w:pPr>
                    <w:spacing w:after="60"/>
                    <w:rPr>
                      <w:iCs/>
                      <w:sz w:val="20"/>
                    </w:rPr>
                  </w:pPr>
                  <w:r w:rsidRPr="00A552C3">
                    <w:rPr>
                      <w:iCs/>
                      <w:sz w:val="20"/>
                    </w:rPr>
                    <w:t xml:space="preserve">GSSPLITSCA </w:t>
                  </w:r>
                  <w:r w:rsidRPr="00A552C3">
                    <w:rPr>
                      <w:i/>
                      <w:iCs/>
                      <w:sz w:val="20"/>
                      <w:vertAlign w:val="subscript"/>
                    </w:rPr>
                    <w:t>r</w:t>
                  </w:r>
                </w:p>
              </w:tc>
              <w:tc>
                <w:tcPr>
                  <w:tcW w:w="826" w:type="dxa"/>
                  <w:tcBorders>
                    <w:top w:val="single" w:sz="4" w:space="0" w:color="auto"/>
                    <w:left w:val="single" w:sz="4" w:space="0" w:color="auto"/>
                    <w:bottom w:val="single" w:sz="4" w:space="0" w:color="auto"/>
                    <w:right w:val="single" w:sz="4" w:space="0" w:color="auto"/>
                  </w:tcBorders>
                  <w:hideMark/>
                </w:tcPr>
                <w:p w14:paraId="2C269025" w14:textId="77777777" w:rsidR="00AA638D" w:rsidRPr="00A552C3" w:rsidRDefault="00AA638D" w:rsidP="00AA638D">
                  <w:pPr>
                    <w:spacing w:after="60"/>
                    <w:rPr>
                      <w:iCs/>
                      <w:sz w:val="20"/>
                    </w:rPr>
                  </w:pPr>
                  <w:r w:rsidRPr="00A552C3">
                    <w:rPr>
                      <w:iCs/>
                      <w:sz w:val="20"/>
                    </w:rPr>
                    <w:t>MWh</w:t>
                  </w:r>
                </w:p>
              </w:tc>
              <w:tc>
                <w:tcPr>
                  <w:tcW w:w="5884" w:type="dxa"/>
                  <w:tcBorders>
                    <w:top w:val="single" w:sz="4" w:space="0" w:color="auto"/>
                    <w:left w:val="single" w:sz="4" w:space="0" w:color="auto"/>
                    <w:bottom w:val="single" w:sz="4" w:space="0" w:color="auto"/>
                    <w:right w:val="single" w:sz="4" w:space="0" w:color="auto"/>
                  </w:tcBorders>
                  <w:hideMark/>
                </w:tcPr>
                <w:p w14:paraId="5E74B37B" w14:textId="77777777" w:rsidR="00AA638D" w:rsidRPr="00A552C3" w:rsidRDefault="00AA638D" w:rsidP="00AA638D">
                  <w:pPr>
                    <w:spacing w:after="60"/>
                    <w:rPr>
                      <w:iCs/>
                      <w:sz w:val="20"/>
                    </w:rPr>
                  </w:pPr>
                  <w:r w:rsidRPr="00A552C3">
                    <w:rPr>
                      <w:i/>
                      <w:iCs/>
                      <w:sz w:val="20"/>
                    </w:rPr>
                    <w:t>Generation Resource SCADA Net Real Power provided via Telemetry</w:t>
                  </w:r>
                  <w:r w:rsidRPr="00A552C3">
                    <w:rPr>
                      <w:iCs/>
                      <w:sz w:val="20"/>
                    </w:rPr>
                    <w:t xml:space="preserve">—The net real power provided via telemetry per Resource within the net metering arrangement, integrated for the 15-minute Settlement Interval.  Where for a Combined Cycle Train, the Resource </w:t>
                  </w:r>
                  <w:r w:rsidRPr="00A552C3">
                    <w:rPr>
                      <w:i/>
                      <w:iCs/>
                      <w:sz w:val="20"/>
                    </w:rPr>
                    <w:t>r</w:t>
                  </w:r>
                  <w:r w:rsidRPr="00A552C3">
                    <w:rPr>
                      <w:iCs/>
                      <w:sz w:val="20"/>
                    </w:rPr>
                    <w:t xml:space="preserve"> is the Combined Cycle Train.</w:t>
                  </w:r>
                </w:p>
              </w:tc>
            </w:tr>
            <w:tr w:rsidR="00AA638D" w:rsidRPr="00A552C3" w14:paraId="39E262E8"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7B6B1D07" w14:textId="77777777" w:rsidR="00AA638D" w:rsidRPr="00A552C3" w:rsidRDefault="00AA638D" w:rsidP="00AA638D">
                  <w:pPr>
                    <w:spacing w:after="60"/>
                    <w:rPr>
                      <w:i/>
                      <w:iCs/>
                      <w:sz w:val="20"/>
                    </w:rPr>
                  </w:pPr>
                  <w:r w:rsidRPr="00A552C3">
                    <w:rPr>
                      <w:i/>
                      <w:iCs/>
                      <w:sz w:val="20"/>
                    </w:rPr>
                    <w:t>gsc</w:t>
                  </w:r>
                </w:p>
              </w:tc>
              <w:tc>
                <w:tcPr>
                  <w:tcW w:w="826" w:type="dxa"/>
                  <w:tcBorders>
                    <w:top w:val="single" w:sz="4" w:space="0" w:color="auto"/>
                    <w:left w:val="single" w:sz="4" w:space="0" w:color="auto"/>
                    <w:bottom w:val="single" w:sz="4" w:space="0" w:color="auto"/>
                    <w:right w:val="single" w:sz="4" w:space="0" w:color="auto"/>
                  </w:tcBorders>
                  <w:hideMark/>
                </w:tcPr>
                <w:p w14:paraId="57458124"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207815A0" w14:textId="77777777" w:rsidR="00AA638D" w:rsidRPr="00A552C3" w:rsidRDefault="00AA638D" w:rsidP="00AA638D">
                  <w:pPr>
                    <w:spacing w:after="60"/>
                    <w:rPr>
                      <w:iCs/>
                      <w:sz w:val="20"/>
                    </w:rPr>
                  </w:pPr>
                  <w:r w:rsidRPr="00A552C3">
                    <w:rPr>
                      <w:iCs/>
                      <w:sz w:val="20"/>
                    </w:rPr>
                    <w:t>A generation site code.</w:t>
                  </w:r>
                </w:p>
              </w:tc>
            </w:tr>
            <w:tr w:rsidR="00AA638D" w:rsidRPr="00A552C3" w14:paraId="043A6D6D"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3CF93892" w14:textId="77777777" w:rsidR="00AA638D" w:rsidRPr="00A552C3" w:rsidRDefault="00AA638D" w:rsidP="00AA638D">
                  <w:pPr>
                    <w:spacing w:after="60"/>
                    <w:rPr>
                      <w:i/>
                      <w:iCs/>
                      <w:sz w:val="20"/>
                    </w:rPr>
                  </w:pPr>
                  <w:r w:rsidRPr="00A552C3">
                    <w:rPr>
                      <w:i/>
                      <w:iCs/>
                      <w:sz w:val="20"/>
                    </w:rPr>
                    <w:t>r</w:t>
                  </w:r>
                </w:p>
              </w:tc>
              <w:tc>
                <w:tcPr>
                  <w:tcW w:w="826" w:type="dxa"/>
                  <w:tcBorders>
                    <w:top w:val="single" w:sz="4" w:space="0" w:color="auto"/>
                    <w:left w:val="single" w:sz="4" w:space="0" w:color="auto"/>
                    <w:bottom w:val="single" w:sz="4" w:space="0" w:color="auto"/>
                    <w:right w:val="single" w:sz="4" w:space="0" w:color="auto"/>
                  </w:tcBorders>
                  <w:hideMark/>
                </w:tcPr>
                <w:p w14:paraId="3FFC0E28"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43B7FB8F" w14:textId="77777777" w:rsidR="00AA638D" w:rsidRPr="00A552C3" w:rsidRDefault="00AA638D" w:rsidP="00AA638D">
                  <w:pPr>
                    <w:spacing w:after="60"/>
                    <w:rPr>
                      <w:iCs/>
                      <w:sz w:val="20"/>
                    </w:rPr>
                  </w:pPr>
                  <w:r w:rsidRPr="00A552C3">
                    <w:rPr>
                      <w:iCs/>
                      <w:sz w:val="20"/>
                    </w:rPr>
                    <w:t xml:space="preserve">A Generation Resource or ESR that is located at the Facility with net metering.  </w:t>
                  </w:r>
                </w:p>
              </w:tc>
            </w:tr>
            <w:tr w:rsidR="00AA638D" w:rsidRPr="00A552C3" w14:paraId="0B91667E"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5084A538" w14:textId="77777777" w:rsidR="00AA638D" w:rsidRPr="00A552C3" w:rsidRDefault="00AA638D" w:rsidP="00AA638D">
                  <w:pPr>
                    <w:spacing w:after="60"/>
                    <w:rPr>
                      <w:i/>
                      <w:iCs/>
                      <w:sz w:val="20"/>
                    </w:rPr>
                  </w:pPr>
                  <w:r w:rsidRPr="00A552C3">
                    <w:rPr>
                      <w:i/>
                      <w:iCs/>
                      <w:sz w:val="20"/>
                    </w:rPr>
                    <w:t>q</w:t>
                  </w:r>
                </w:p>
              </w:tc>
              <w:tc>
                <w:tcPr>
                  <w:tcW w:w="826" w:type="dxa"/>
                  <w:tcBorders>
                    <w:top w:val="single" w:sz="4" w:space="0" w:color="auto"/>
                    <w:left w:val="single" w:sz="4" w:space="0" w:color="auto"/>
                    <w:bottom w:val="single" w:sz="4" w:space="0" w:color="auto"/>
                    <w:right w:val="single" w:sz="4" w:space="0" w:color="auto"/>
                  </w:tcBorders>
                  <w:hideMark/>
                </w:tcPr>
                <w:p w14:paraId="0BC33F25"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5C5A3433" w14:textId="77777777" w:rsidR="00AA638D" w:rsidRPr="00A552C3" w:rsidRDefault="00AA638D" w:rsidP="00AA638D">
                  <w:pPr>
                    <w:spacing w:after="60"/>
                    <w:rPr>
                      <w:iCs/>
                      <w:sz w:val="20"/>
                    </w:rPr>
                  </w:pPr>
                  <w:r w:rsidRPr="00A552C3">
                    <w:rPr>
                      <w:iCs/>
                      <w:sz w:val="20"/>
                    </w:rPr>
                    <w:t>A QSE.</w:t>
                  </w:r>
                </w:p>
              </w:tc>
            </w:tr>
            <w:tr w:rsidR="00AA638D" w:rsidRPr="00A552C3" w14:paraId="47E7B4BC"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64159AB5" w14:textId="77777777" w:rsidR="00AA638D" w:rsidRPr="00A552C3" w:rsidRDefault="00AA638D" w:rsidP="00AA638D">
                  <w:pPr>
                    <w:spacing w:after="60"/>
                    <w:rPr>
                      <w:i/>
                      <w:iCs/>
                      <w:sz w:val="20"/>
                    </w:rPr>
                  </w:pPr>
                  <w:r w:rsidRPr="00A552C3">
                    <w:rPr>
                      <w:i/>
                      <w:iCs/>
                      <w:sz w:val="20"/>
                    </w:rPr>
                    <w:t>p</w:t>
                  </w:r>
                </w:p>
              </w:tc>
              <w:tc>
                <w:tcPr>
                  <w:tcW w:w="826" w:type="dxa"/>
                  <w:tcBorders>
                    <w:top w:val="single" w:sz="4" w:space="0" w:color="auto"/>
                    <w:left w:val="single" w:sz="4" w:space="0" w:color="auto"/>
                    <w:bottom w:val="single" w:sz="4" w:space="0" w:color="auto"/>
                    <w:right w:val="single" w:sz="4" w:space="0" w:color="auto"/>
                  </w:tcBorders>
                  <w:hideMark/>
                </w:tcPr>
                <w:p w14:paraId="2BDCEEAB"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55BCD296" w14:textId="77777777" w:rsidR="00AA638D" w:rsidRPr="00A552C3" w:rsidRDefault="00AA638D" w:rsidP="00AA638D">
                  <w:pPr>
                    <w:spacing w:after="60"/>
                    <w:rPr>
                      <w:iCs/>
                      <w:sz w:val="20"/>
                    </w:rPr>
                  </w:pPr>
                  <w:r w:rsidRPr="00A552C3">
                    <w:rPr>
                      <w:iCs/>
                      <w:sz w:val="20"/>
                    </w:rPr>
                    <w:t>A Resource Node Settlement Point.</w:t>
                  </w:r>
                </w:p>
              </w:tc>
            </w:tr>
          </w:tbl>
          <w:p w14:paraId="6C942F59" w14:textId="5160484C" w:rsidR="00F15CAD" w:rsidRPr="00B50DCB" w:rsidRDefault="00F15CAD" w:rsidP="00AA638D">
            <w:pPr>
              <w:widowControl w:val="0"/>
              <w:spacing w:before="240" w:after="120"/>
              <w:ind w:left="720" w:hanging="720"/>
            </w:pPr>
          </w:p>
        </w:tc>
      </w:tr>
    </w:tbl>
    <w:p w14:paraId="6D83F27A" w14:textId="56DD4CCD" w:rsidR="001F04FD" w:rsidRDefault="001F04FD" w:rsidP="001F04FD">
      <w:pPr>
        <w:pStyle w:val="BodyTextNumbered"/>
        <w:spacing w:before="240"/>
      </w:pPr>
      <w:r>
        <w:lastRenderedPageBreak/>
        <w:t>(6)</w:t>
      </w:r>
      <w:r>
        <w:tab/>
        <w:t>The total net payments and charges to each QSE for Energy Imbalance Service at all Resource Node Settlement Points for the 15-minute Settlement Interval is calculated as follows:</w:t>
      </w:r>
    </w:p>
    <w:p w14:paraId="79FA2C4D" w14:textId="77777777" w:rsidR="001F04FD" w:rsidRDefault="001F04FD" w:rsidP="001F04FD">
      <w:pPr>
        <w:pStyle w:val="FormulaBold"/>
      </w:pPr>
      <w:r>
        <w:t xml:space="preserve">RTEIAMTQSETOT </w:t>
      </w:r>
      <w:r>
        <w:rPr>
          <w:i/>
          <w:vertAlign w:val="subscript"/>
        </w:rPr>
        <w:t>q</w:t>
      </w:r>
      <w:r>
        <w:tab/>
        <w:t>=</w:t>
      </w:r>
      <w:r>
        <w:tab/>
      </w:r>
      <w:r w:rsidRPr="006F784F">
        <w:rPr>
          <w:position w:val="-22"/>
        </w:rPr>
        <w:object w:dxaOrig="225" w:dyaOrig="465" w14:anchorId="61654585">
          <v:shape id="_x0000_i1155" type="#_x0000_t75" style="width:12pt;height:18pt" o:ole="">
            <v:imagedata r:id="rId172" o:title=""/>
          </v:shape>
          <o:OLEObject Type="Embed" ProgID="Equation.3" ShapeID="_x0000_i1155" DrawAspect="Content" ObjectID="_1815025345" r:id="rId173"/>
        </w:object>
      </w:r>
      <w:r>
        <w:t xml:space="preserve"> RTEIAMT </w:t>
      </w:r>
      <w:r>
        <w:rPr>
          <w:i/>
          <w:vertAlign w:val="subscript"/>
        </w:rPr>
        <w:t>q, p</w:t>
      </w:r>
    </w:p>
    <w:p w14:paraId="0D827B17" w14:textId="77777777" w:rsidR="001F04FD" w:rsidRDefault="001F04FD" w:rsidP="001F04FD">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1F04FD" w14:paraId="6E4FC206" w14:textId="77777777" w:rsidTr="00AC4DEE">
        <w:trPr>
          <w:cantSplit/>
          <w:tblHeader/>
        </w:trPr>
        <w:tc>
          <w:tcPr>
            <w:tcW w:w="2165" w:type="dxa"/>
          </w:tcPr>
          <w:p w14:paraId="61B8D13C" w14:textId="77777777" w:rsidR="001F04FD" w:rsidRDefault="001F04FD" w:rsidP="00AC4DEE">
            <w:pPr>
              <w:pStyle w:val="TableHead"/>
            </w:pPr>
            <w:r>
              <w:t>Variable</w:t>
            </w:r>
          </w:p>
        </w:tc>
        <w:tc>
          <w:tcPr>
            <w:tcW w:w="832" w:type="dxa"/>
          </w:tcPr>
          <w:p w14:paraId="0A3FC743" w14:textId="77777777" w:rsidR="001F04FD" w:rsidRDefault="001F04FD" w:rsidP="00AC4DEE">
            <w:pPr>
              <w:pStyle w:val="TableHead"/>
            </w:pPr>
            <w:r>
              <w:t>Unit</w:t>
            </w:r>
          </w:p>
        </w:tc>
        <w:tc>
          <w:tcPr>
            <w:tcW w:w="6074" w:type="dxa"/>
          </w:tcPr>
          <w:p w14:paraId="4BCC0E5C" w14:textId="77777777" w:rsidR="001F04FD" w:rsidRDefault="001F04FD" w:rsidP="00AC4DEE">
            <w:pPr>
              <w:pStyle w:val="TableHead"/>
            </w:pPr>
            <w:r>
              <w:t>Definition</w:t>
            </w:r>
          </w:p>
        </w:tc>
      </w:tr>
      <w:tr w:rsidR="001F04FD" w14:paraId="4A9D5B76" w14:textId="77777777" w:rsidTr="00AC4DEE">
        <w:trPr>
          <w:cantSplit/>
        </w:trPr>
        <w:tc>
          <w:tcPr>
            <w:tcW w:w="2165" w:type="dxa"/>
          </w:tcPr>
          <w:p w14:paraId="04D361E2" w14:textId="77777777" w:rsidR="001F04FD" w:rsidRDefault="001F04FD" w:rsidP="00AC4DEE">
            <w:pPr>
              <w:pStyle w:val="TableBody"/>
            </w:pPr>
            <w:r>
              <w:t xml:space="preserve">RTEIAMTQSETOT </w:t>
            </w:r>
            <w:r w:rsidRPr="00107CC2">
              <w:rPr>
                <w:i/>
                <w:vertAlign w:val="subscript"/>
              </w:rPr>
              <w:t>q</w:t>
            </w:r>
          </w:p>
        </w:tc>
        <w:tc>
          <w:tcPr>
            <w:tcW w:w="832" w:type="dxa"/>
          </w:tcPr>
          <w:p w14:paraId="3C5EDEC3" w14:textId="77777777" w:rsidR="001F04FD" w:rsidRDefault="001F04FD" w:rsidP="00AC4DEE">
            <w:pPr>
              <w:pStyle w:val="TableBody"/>
            </w:pPr>
            <w:r>
              <w:t>$</w:t>
            </w:r>
          </w:p>
        </w:tc>
        <w:tc>
          <w:tcPr>
            <w:tcW w:w="6074" w:type="dxa"/>
          </w:tcPr>
          <w:p w14:paraId="1E94B981"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Service at all Resource Node Settlement Points for the 15-minute Settlement Interval.</w:t>
            </w:r>
          </w:p>
        </w:tc>
      </w:tr>
      <w:tr w:rsidR="001F04FD" w14:paraId="35539610" w14:textId="77777777" w:rsidTr="00AC4DEE">
        <w:trPr>
          <w:cantSplit/>
        </w:trPr>
        <w:tc>
          <w:tcPr>
            <w:tcW w:w="2165" w:type="dxa"/>
          </w:tcPr>
          <w:p w14:paraId="11CA904B" w14:textId="77777777" w:rsidR="001F04FD" w:rsidRDefault="001F04FD" w:rsidP="00AC4DEE">
            <w:pPr>
              <w:pStyle w:val="TableBody"/>
            </w:pPr>
            <w:r>
              <w:t xml:space="preserve">RTEIAMT </w:t>
            </w:r>
            <w:r w:rsidRPr="00107CC2">
              <w:rPr>
                <w:i/>
                <w:vertAlign w:val="subscript"/>
              </w:rPr>
              <w:t>q, p</w:t>
            </w:r>
          </w:p>
        </w:tc>
        <w:tc>
          <w:tcPr>
            <w:tcW w:w="832" w:type="dxa"/>
          </w:tcPr>
          <w:p w14:paraId="230E393B" w14:textId="77777777" w:rsidR="001F04FD" w:rsidRDefault="001F04FD" w:rsidP="00AC4DEE">
            <w:pPr>
              <w:pStyle w:val="TableBody"/>
            </w:pPr>
            <w:r>
              <w:t>$</w:t>
            </w:r>
          </w:p>
        </w:tc>
        <w:tc>
          <w:tcPr>
            <w:tcW w:w="6074" w:type="dxa"/>
          </w:tcPr>
          <w:p w14:paraId="73B657CF"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281BEB12" w14:textId="77777777" w:rsidTr="00AC4DEE">
        <w:trPr>
          <w:cantSplit/>
        </w:trPr>
        <w:tc>
          <w:tcPr>
            <w:tcW w:w="2165" w:type="dxa"/>
            <w:tcBorders>
              <w:top w:val="single" w:sz="4" w:space="0" w:color="auto"/>
              <w:left w:val="single" w:sz="4" w:space="0" w:color="auto"/>
              <w:bottom w:val="single" w:sz="4" w:space="0" w:color="auto"/>
              <w:right w:val="single" w:sz="4" w:space="0" w:color="auto"/>
            </w:tcBorders>
          </w:tcPr>
          <w:p w14:paraId="62B0B303" w14:textId="77777777" w:rsidR="001F04FD" w:rsidRPr="008E1CE8" w:rsidRDefault="001F04FD" w:rsidP="00AC4DEE">
            <w:pPr>
              <w:pStyle w:val="TableBody"/>
              <w:rPr>
                <w:i/>
              </w:rPr>
            </w:pPr>
            <w:r w:rsidRPr="00D661BC">
              <w:rPr>
                <w:i/>
              </w:rPr>
              <w:t>q</w:t>
            </w:r>
          </w:p>
        </w:tc>
        <w:tc>
          <w:tcPr>
            <w:tcW w:w="832" w:type="dxa"/>
            <w:tcBorders>
              <w:top w:val="single" w:sz="4" w:space="0" w:color="auto"/>
              <w:left w:val="single" w:sz="4" w:space="0" w:color="auto"/>
              <w:bottom w:val="single" w:sz="4" w:space="0" w:color="auto"/>
              <w:right w:val="single" w:sz="4" w:space="0" w:color="auto"/>
            </w:tcBorders>
          </w:tcPr>
          <w:p w14:paraId="2FD053B5"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66280385" w14:textId="77777777" w:rsidR="001F04FD" w:rsidRDefault="001F04FD" w:rsidP="00AC4DEE">
            <w:pPr>
              <w:pStyle w:val="TableBody"/>
            </w:pPr>
            <w:r>
              <w:t>A QSE.</w:t>
            </w:r>
          </w:p>
        </w:tc>
      </w:tr>
      <w:tr w:rsidR="001F04FD" w14:paraId="6CC45A06" w14:textId="77777777" w:rsidTr="00AC4DEE">
        <w:trPr>
          <w:cantSplit/>
        </w:trPr>
        <w:tc>
          <w:tcPr>
            <w:tcW w:w="2165" w:type="dxa"/>
            <w:tcBorders>
              <w:top w:val="single" w:sz="4" w:space="0" w:color="auto"/>
              <w:left w:val="single" w:sz="4" w:space="0" w:color="auto"/>
              <w:bottom w:val="single" w:sz="4" w:space="0" w:color="auto"/>
              <w:right w:val="single" w:sz="4" w:space="0" w:color="auto"/>
            </w:tcBorders>
          </w:tcPr>
          <w:p w14:paraId="5215DEA4" w14:textId="77777777" w:rsidR="001F04FD" w:rsidRPr="008E1CE8" w:rsidRDefault="001F04FD" w:rsidP="00AC4DEE">
            <w:pPr>
              <w:pStyle w:val="TableBody"/>
              <w:rPr>
                <w:i/>
              </w:rPr>
            </w:pPr>
            <w:r w:rsidRPr="00D661BC">
              <w:rPr>
                <w:i/>
              </w:rPr>
              <w:t>p</w:t>
            </w:r>
          </w:p>
        </w:tc>
        <w:tc>
          <w:tcPr>
            <w:tcW w:w="832" w:type="dxa"/>
            <w:tcBorders>
              <w:top w:val="single" w:sz="4" w:space="0" w:color="auto"/>
              <w:left w:val="single" w:sz="4" w:space="0" w:color="auto"/>
              <w:bottom w:val="single" w:sz="4" w:space="0" w:color="auto"/>
              <w:right w:val="single" w:sz="4" w:space="0" w:color="auto"/>
            </w:tcBorders>
          </w:tcPr>
          <w:p w14:paraId="2C0B0FE6"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3F6DA79F" w14:textId="77777777" w:rsidR="001F04FD" w:rsidRDefault="001F04FD" w:rsidP="00AC4DEE">
            <w:pPr>
              <w:pStyle w:val="TableBody"/>
            </w:pPr>
            <w:r>
              <w:t>A Resource Node Settlement Point.</w:t>
            </w:r>
          </w:p>
        </w:tc>
      </w:tr>
    </w:tbl>
    <w:p w14:paraId="43BE7B29" w14:textId="77777777" w:rsidR="001F04FD" w:rsidRDefault="001F04FD" w:rsidP="001F04FD">
      <w:pPr>
        <w:pStyle w:val="H4"/>
        <w:spacing w:before="480"/>
        <w:ind w:left="1267" w:hanging="1267"/>
      </w:pPr>
      <w:bookmarkStart w:id="1865" w:name="_Toc397505014"/>
      <w:bookmarkStart w:id="1866" w:name="_Toc402357142"/>
      <w:bookmarkStart w:id="1867" w:name="_Toc422486520"/>
      <w:bookmarkStart w:id="1868" w:name="_Toc433093372"/>
      <w:bookmarkStart w:id="1869" w:name="_Toc433093530"/>
      <w:bookmarkStart w:id="1870" w:name="_Toc440874758"/>
      <w:bookmarkStart w:id="1871" w:name="_Toc448142313"/>
      <w:bookmarkStart w:id="1872" w:name="_Toc448142470"/>
      <w:bookmarkStart w:id="1873" w:name="_Toc458770311"/>
      <w:bookmarkStart w:id="1874" w:name="_Toc459294279"/>
      <w:bookmarkStart w:id="1875" w:name="_Toc463262772"/>
      <w:bookmarkStart w:id="1876" w:name="_Toc468286845"/>
      <w:bookmarkStart w:id="1877" w:name="_Toc481502888"/>
      <w:bookmarkStart w:id="1878" w:name="_Toc496080056"/>
      <w:bookmarkStart w:id="1879" w:name="_Toc204411666"/>
      <w:r>
        <w:t>6.6.3.2</w:t>
      </w:r>
      <w:r>
        <w:tab/>
        <w:t>Real-Time Energy Imbalance Payment or Charge at a Load Zone</w:t>
      </w:r>
      <w:bookmarkEnd w:id="1857"/>
      <w:bookmarkEnd w:id="1858"/>
      <w:bookmarkEnd w:id="1859"/>
      <w:bookmarkEnd w:id="1860"/>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p>
    <w:p w14:paraId="7D87ABC8" w14:textId="77777777" w:rsidR="001F04FD" w:rsidRDefault="001F04FD" w:rsidP="001F04FD">
      <w:pPr>
        <w:pStyle w:val="BodyTextNumbered"/>
      </w:pPr>
      <w:r>
        <w:t>(1)</w:t>
      </w:r>
      <w:r>
        <w:tab/>
        <w:t xml:space="preserve">The payment or charge to each QSE for Energy Imbalance Service is calculated based on the Real-Time Settlement Point Price for the following amounts at a particular Load Zone Settlement Point: </w:t>
      </w:r>
    </w:p>
    <w:p w14:paraId="58D61A54" w14:textId="77777777" w:rsidR="001F04FD" w:rsidRDefault="001F04FD" w:rsidP="001F04FD">
      <w:pPr>
        <w:pStyle w:val="BodyTextNumbered"/>
        <w:ind w:left="1440"/>
      </w:pPr>
      <w:r>
        <w:t>(a)</w:t>
      </w:r>
      <w:r>
        <w:tab/>
        <w:t xml:space="preserve">The amount of its Self-Schedules with sink specified at the Settlement Point; plus </w:t>
      </w:r>
    </w:p>
    <w:p w14:paraId="28BD0054" w14:textId="77777777" w:rsidR="001F04FD" w:rsidRDefault="001F04FD" w:rsidP="001F04FD">
      <w:pPr>
        <w:pStyle w:val="BodyTextNumbered"/>
        <w:ind w:left="1440"/>
      </w:pPr>
      <w:r>
        <w:lastRenderedPageBreak/>
        <w:t>(b)</w:t>
      </w:r>
      <w:r>
        <w:tab/>
        <w:t xml:space="preserve">The amount of its DAM Energy Bids cleared in the DAM at the Settlement Point; plus </w:t>
      </w:r>
    </w:p>
    <w:p w14:paraId="75C25AFF" w14:textId="77777777" w:rsidR="001F04FD" w:rsidRDefault="001F04FD" w:rsidP="001F04FD">
      <w:pPr>
        <w:pStyle w:val="BodyTextNumbered"/>
        <w:ind w:left="1440"/>
      </w:pPr>
      <w:r>
        <w:t>(c)</w:t>
      </w:r>
      <w:r>
        <w:tab/>
        <w:t xml:space="preserve">The amount of its Energy Trades at the Settlement Point where the QSE is the buyer; minus </w:t>
      </w:r>
    </w:p>
    <w:p w14:paraId="3C29E997" w14:textId="77777777" w:rsidR="001F04FD" w:rsidRDefault="001F04FD" w:rsidP="001F04FD">
      <w:pPr>
        <w:pStyle w:val="BodyTextNumbered"/>
        <w:ind w:left="1440"/>
      </w:pPr>
      <w:r>
        <w:t>(d)</w:t>
      </w:r>
      <w:r>
        <w:tab/>
        <w:t xml:space="preserve">The amount of its Self-Schedules with source specified at the Settlement Point; minus </w:t>
      </w:r>
    </w:p>
    <w:p w14:paraId="2EF3108F" w14:textId="77777777" w:rsidR="001F04FD" w:rsidRDefault="001F04FD" w:rsidP="001F04FD">
      <w:pPr>
        <w:pStyle w:val="BodyTextNumbered"/>
        <w:ind w:left="1440"/>
      </w:pPr>
      <w:r>
        <w:t>(e)</w:t>
      </w:r>
      <w:r>
        <w:tab/>
        <w:t xml:space="preserve">The amount of its energy offers cleared in the DAM at the Settlement Point; minus </w:t>
      </w:r>
    </w:p>
    <w:p w14:paraId="3DCF1B76" w14:textId="77777777" w:rsidR="001F04FD" w:rsidRDefault="001F04FD" w:rsidP="001F04FD">
      <w:pPr>
        <w:pStyle w:val="BodyTextNumbered"/>
        <w:ind w:left="1440"/>
      </w:pPr>
      <w:r>
        <w:t>(f)</w:t>
      </w:r>
      <w:r>
        <w:tab/>
        <w:t xml:space="preserve">The amount of its Energy Trades at the Settlement Point where the QSE is the seller; minus </w:t>
      </w:r>
    </w:p>
    <w:p w14:paraId="4D5D4BB8" w14:textId="11F207E0" w:rsidR="001F04FD" w:rsidRDefault="001F04FD" w:rsidP="001F04FD">
      <w:pPr>
        <w:pStyle w:val="BodyTextNumbered"/>
        <w:ind w:left="1440"/>
      </w:pPr>
      <w:r>
        <w:t>(g)</w:t>
      </w:r>
      <w:r>
        <w:tab/>
        <w:t>Its AML at the Settlement Point</w:t>
      </w:r>
      <w:r w:rsidR="003963CD" w:rsidRPr="003963CD">
        <w:t xml:space="preserve"> </w:t>
      </w:r>
      <w:r w:rsidR="003963CD">
        <w:t>excluding Non-WSL ESR Charging Load</w:t>
      </w:r>
      <w:r>
        <w: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32873" w14:paraId="58F10FFE" w14:textId="77777777" w:rsidTr="00632873">
        <w:trPr>
          <w:trHeight w:val="566"/>
        </w:trPr>
        <w:tc>
          <w:tcPr>
            <w:tcW w:w="9350" w:type="dxa"/>
            <w:shd w:val="pct12" w:color="auto" w:fill="auto"/>
          </w:tcPr>
          <w:p w14:paraId="180101FD" w14:textId="33E21669" w:rsidR="00632873" w:rsidRDefault="00632873" w:rsidP="00F5593C">
            <w:pPr>
              <w:pStyle w:val="Instructions"/>
              <w:spacing w:before="60"/>
            </w:pPr>
            <w:r>
              <w:t>[NPRR1188:  Replace item (g) above with the following upon system implementation:]</w:t>
            </w:r>
          </w:p>
          <w:p w14:paraId="79B61282" w14:textId="250141B0" w:rsidR="00632873" w:rsidRPr="008E2BE2" w:rsidRDefault="00632873" w:rsidP="00632873">
            <w:pPr>
              <w:spacing w:after="240"/>
              <w:ind w:left="1440" w:hanging="720"/>
            </w:pPr>
            <w:r w:rsidRPr="00812ECB">
              <w:t>(g)</w:t>
            </w:r>
            <w:r w:rsidRPr="00812ECB">
              <w:tab/>
              <w:t>Its AML at the Settlement Point excluding Non-WSL ESR Charging Load and CLR Load of a CLR (that is not an ALR); plus</w:t>
            </w:r>
          </w:p>
        </w:tc>
      </w:tr>
    </w:tbl>
    <w:p w14:paraId="25A6A974" w14:textId="4789CAED" w:rsidR="000E55F3" w:rsidRPr="005356B7" w:rsidRDefault="001F04FD" w:rsidP="004116AE">
      <w:pPr>
        <w:spacing w:before="240" w:after="240"/>
        <w:ind w:left="1440" w:hanging="720"/>
      </w:pPr>
      <w:r>
        <w:t>(h)</w:t>
      </w:r>
      <w:r>
        <w:tab/>
      </w:r>
      <w:r w:rsidR="000E55F3" w:rsidRPr="005356B7">
        <w:t>The aggregated generation of its Settlement Only Transmission Self-Generators (SOTSGs) at the Settlement Point.  SOTSG sites will be represented as a single unit in the ERCOT Settlement system.</w:t>
      </w:r>
      <w:r w:rsidR="001C0176">
        <w:t>; plus</w:t>
      </w:r>
    </w:p>
    <w:p w14:paraId="0F2EA11F" w14:textId="0C532EC7" w:rsidR="001F04FD" w:rsidRDefault="000E55F3" w:rsidP="00776B44">
      <w:pPr>
        <w:spacing w:after="240"/>
        <w:ind w:left="1440" w:hanging="720"/>
      </w:pPr>
      <w:r w:rsidRPr="005356B7">
        <w:t>(i)        The aggregated generation of its Settlement Only Distribution Generators (SODGs) and Settlement Only Transmission Generators (SOTGs) that have elected to retain Load Zone pricing in accordance with Section 6.6.3.</w:t>
      </w:r>
      <w:r w:rsidR="00720B34">
        <w:t>8</w:t>
      </w:r>
      <w:r w:rsidRPr="005356B7">
        <w:t>, Real-Time Payment or Charge for Energy from a Settlement Only Distribution Generator (SODG) or a Settlement Only Transmission Generator (SOTG).  SODG and SOTG sites will be represented as a single unit in the ERCOT Settlement system</w:t>
      </w:r>
      <w:r w:rsidR="001C0176">
        <w:t>; plus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D13EE" w14:paraId="5B4B429D" w14:textId="77777777" w:rsidTr="00BE136C">
        <w:trPr>
          <w:trHeight w:val="566"/>
        </w:trPr>
        <w:tc>
          <w:tcPr>
            <w:tcW w:w="9350" w:type="dxa"/>
            <w:shd w:val="pct12" w:color="auto" w:fill="auto"/>
          </w:tcPr>
          <w:p w14:paraId="0AE7DC7C" w14:textId="5BFDE3CE" w:rsidR="00AD13EE" w:rsidRDefault="00AD13EE" w:rsidP="00A16AF1">
            <w:pPr>
              <w:pStyle w:val="Instructions"/>
              <w:spacing w:before="60"/>
            </w:pPr>
            <w:r>
              <w:t>[</w:t>
            </w:r>
            <w:r w:rsidR="00B44DD8">
              <w:t>NPRR995</w:t>
            </w:r>
            <w:r>
              <w:t>:  Replace</w:t>
            </w:r>
            <w:r w:rsidR="006465B2">
              <w:t xml:space="preserve"> </w:t>
            </w:r>
            <w:r w:rsidR="00BE136C">
              <w:t xml:space="preserve">paragraph </w:t>
            </w:r>
            <w:r>
              <w:t>(</w:t>
            </w:r>
            <w:r w:rsidR="00BE136C">
              <w:t>i</w:t>
            </w:r>
            <w:r>
              <w:t>) above with the following upon system implementation:]</w:t>
            </w:r>
          </w:p>
          <w:p w14:paraId="7C6C216D" w14:textId="0F9FBE71" w:rsidR="007332D0" w:rsidRPr="008E2BE2" w:rsidRDefault="00DE74B1" w:rsidP="00925E7F">
            <w:pPr>
              <w:spacing w:after="240"/>
              <w:ind w:left="1440" w:hanging="720"/>
            </w:pPr>
            <w:r>
              <w:t xml:space="preserve">(i)        </w:t>
            </w:r>
            <w:r w:rsidRPr="00612551">
              <w:t>The aggregated generation of its</w:t>
            </w:r>
            <w:r>
              <w:t xml:space="preserve"> Settlement Only Distribution Generators (</w:t>
            </w:r>
            <w:r w:rsidRPr="00E07775">
              <w:t>SODGs</w:t>
            </w:r>
            <w:r>
              <w:t>) and Settlement Only Transmission Generators (</w:t>
            </w:r>
            <w:r w:rsidRPr="00E07775">
              <w:t>SOTGs</w:t>
            </w:r>
            <w:r>
              <w:t xml:space="preserve">) that have elected to retain Load Zone pricing in accordance with </w:t>
            </w:r>
            <w:r w:rsidRPr="006F3F86">
              <w:t>Section 6.6.3.</w:t>
            </w:r>
            <w:r w:rsidR="0076227F">
              <w:t>8</w:t>
            </w:r>
            <w:r>
              <w:t xml:space="preserve">, </w:t>
            </w:r>
            <w:r w:rsidRPr="00DE74B1">
              <w:t>Real-Time Payment or Charge for Energy from a Settlement Only Distribution Generator (SODG)</w:t>
            </w:r>
            <w:r w:rsidR="00341E22">
              <w:t>,</w:t>
            </w:r>
            <w:r w:rsidRPr="00DE74B1">
              <w:t xml:space="preserve"> Settlement Only Transmission Generator (SOTG)</w:t>
            </w:r>
            <w:r w:rsidR="00341E22">
              <w:t>, Settlement Only Distribution Energy Storage System (SODESS), or Settlement Only Transmission Energy Storage System (SOTESS)</w:t>
            </w:r>
            <w:r>
              <w:t>.  SODG</w:t>
            </w:r>
            <w:r w:rsidR="00341E22">
              <w:t>,</w:t>
            </w:r>
            <w:r>
              <w:t xml:space="preserve"> SOTG</w:t>
            </w:r>
            <w:r w:rsidR="006465B2">
              <w:t xml:space="preserve">, Settlement Only Distribution Energy Storage System (SODESS), and </w:t>
            </w:r>
            <w:r w:rsidR="006465B2">
              <w:lastRenderedPageBreak/>
              <w:t>Settlement Only Transmission Energy Storage System (SOTESS)</w:t>
            </w:r>
            <w:r>
              <w:t xml:space="preserve"> sites will be represented as a single unit in the ERCOT Settlement system</w:t>
            </w:r>
            <w:r w:rsidR="001C0176">
              <w:t>; plus</w:t>
            </w:r>
          </w:p>
        </w:tc>
      </w:tr>
    </w:tbl>
    <w:p w14:paraId="3DA9229F" w14:textId="77777777" w:rsidR="00BE136C" w:rsidRDefault="00BE136C" w:rsidP="00BE136C">
      <w:pPr>
        <w:spacing w:before="240" w:after="240"/>
        <w:ind w:left="1440" w:hanging="720"/>
      </w:pPr>
      <w:r>
        <w:lastRenderedPageBreak/>
        <w:t>(j)        The aggregated generation of its Energy Storage System (ESS) SODGs and SOTGs at sites where the ESS capacity constitutes more than 50% of the total SODG or SOTG nameplate capacity, as confirmed by an affidavit submitted by the Resource Entity for the site.  SODG and SOTG sites will be represented as a single unit in the ERCOT Settlement system.</w:t>
      </w:r>
    </w:p>
    <w:p w14:paraId="71477027" w14:textId="54AAF5EB" w:rsidR="001F04FD" w:rsidRPr="000149E5" w:rsidRDefault="001F04FD" w:rsidP="008D7D6C">
      <w:pPr>
        <w:pStyle w:val="BodyTextNumbered"/>
        <w:spacing w:before="240"/>
        <w:rPr>
          <w:iCs/>
        </w:rPr>
      </w:pPr>
      <w:r w:rsidRPr="000149E5">
        <w:rPr>
          <w:iCs/>
        </w:rPr>
        <w:t>(2)</w:t>
      </w:r>
      <w:r w:rsidRPr="000149E5">
        <w:rPr>
          <w:iCs/>
        </w:rPr>
        <w:tab/>
        <w:t>The payment or charge to each QSE for Energy Imbalance Service at a Load Zone for a given 15-minute Settlement Interval is calculated as follows:</w:t>
      </w:r>
    </w:p>
    <w:p w14:paraId="5CA67051" w14:textId="560687F6" w:rsidR="001F04FD" w:rsidRPr="00D12728" w:rsidRDefault="001F04FD" w:rsidP="001F04FD">
      <w:pPr>
        <w:pStyle w:val="FormulaBold"/>
        <w:ind w:left="3150" w:hanging="2430"/>
        <w:rPr>
          <w:sz w:val="32"/>
        </w:rPr>
      </w:pPr>
      <w:r>
        <w:t xml:space="preserve">RTEIAMT </w:t>
      </w:r>
      <w:r w:rsidRPr="00D12728">
        <w:rPr>
          <w:i/>
          <w:vertAlign w:val="subscript"/>
        </w:rPr>
        <w:t>q, p</w:t>
      </w:r>
      <w:r>
        <w:tab/>
        <w:t>=</w:t>
      </w:r>
      <w:r>
        <w:tab/>
        <w:t xml:space="preserve">(-1) * </w:t>
      </w:r>
      <w:r w:rsidRPr="00D12728">
        <w:rPr>
          <w:sz w:val="32"/>
        </w:rPr>
        <w:t>{[</w:t>
      </w:r>
      <w:r>
        <w:t xml:space="preserve">RTSPP </w:t>
      </w:r>
      <w:r w:rsidRPr="00D12728">
        <w:rPr>
          <w:i/>
          <w:vertAlign w:val="subscript"/>
        </w:rPr>
        <w:t>p</w:t>
      </w:r>
      <w:r>
        <w:t xml:space="preserve"> * [(SSSK </w:t>
      </w:r>
      <w:r w:rsidRPr="00D12728">
        <w:rPr>
          <w:i/>
          <w:vertAlign w:val="subscript"/>
        </w:rPr>
        <w:t>q, p</w:t>
      </w:r>
      <w:r>
        <w:t xml:space="preserve"> * ¼) + (DAEP </w:t>
      </w:r>
      <w:r w:rsidRPr="00D12728">
        <w:rPr>
          <w:i/>
          <w:vertAlign w:val="subscript"/>
        </w:rPr>
        <w:t>q, p</w:t>
      </w:r>
      <w:r>
        <w:t xml:space="preserve"> * ¼) + (RTQQEP </w:t>
      </w:r>
      <w:r w:rsidRPr="00D12728">
        <w:rPr>
          <w:i/>
          <w:vertAlign w:val="subscript"/>
        </w:rPr>
        <w:t>q, p</w:t>
      </w:r>
      <w:r>
        <w:t xml:space="preserve"> * ¼) – (SSSR </w:t>
      </w:r>
      <w:r w:rsidRPr="00D12728">
        <w:rPr>
          <w:i/>
          <w:vertAlign w:val="subscript"/>
        </w:rPr>
        <w:t>q, p</w:t>
      </w:r>
      <w:r>
        <w:t xml:space="preserve"> * ¼) – (DAES </w:t>
      </w:r>
      <w:r w:rsidRPr="00D12728">
        <w:rPr>
          <w:i/>
          <w:vertAlign w:val="subscript"/>
        </w:rPr>
        <w:t>q, p</w:t>
      </w:r>
      <w:r>
        <w:t xml:space="preserve"> * ¼) – (RTQQES </w:t>
      </w:r>
      <w:r w:rsidRPr="00D12728">
        <w:rPr>
          <w:i/>
          <w:vertAlign w:val="subscript"/>
        </w:rPr>
        <w:t>q, p</w:t>
      </w:r>
      <w:r>
        <w:t xml:space="preserve"> * ¼)]</w:t>
      </w:r>
      <w:r w:rsidRPr="00D12728">
        <w:rPr>
          <w:sz w:val="32"/>
          <w:szCs w:val="32"/>
        </w:rPr>
        <w:t xml:space="preserve">] </w:t>
      </w:r>
      <w:r>
        <w:t xml:space="preserve">+ </w:t>
      </w:r>
      <w:r w:rsidRPr="00D12728">
        <w:rPr>
          <w:sz w:val="32"/>
        </w:rPr>
        <w:t>[</w:t>
      </w:r>
      <w:r w:rsidRPr="003963CD">
        <w:t>RTSPPEW</w:t>
      </w:r>
      <w:r w:rsidRPr="003963CD">
        <w:rPr>
          <w:i/>
          <w:vertAlign w:val="subscript"/>
        </w:rPr>
        <w:t xml:space="preserve"> p</w:t>
      </w:r>
      <w:r w:rsidRPr="003963CD">
        <w:t xml:space="preserve"> * (RTMG</w:t>
      </w:r>
      <w:r w:rsidR="00BE136C">
        <w:t>SOGZ</w:t>
      </w:r>
      <w:r w:rsidRPr="003963CD">
        <w:t xml:space="preserve"> </w:t>
      </w:r>
      <w:r w:rsidRPr="003963CD">
        <w:rPr>
          <w:i/>
          <w:vertAlign w:val="subscript"/>
        </w:rPr>
        <w:t>q, p</w:t>
      </w:r>
      <w:r w:rsidRPr="003963CD">
        <w:t xml:space="preserve"> – </w:t>
      </w:r>
      <w:r w:rsidR="003963CD">
        <w:t>(</w:t>
      </w:r>
      <w:r w:rsidRPr="003963CD">
        <w:t xml:space="preserve">RTAML </w:t>
      </w:r>
      <w:r w:rsidRPr="003963CD">
        <w:rPr>
          <w:i/>
          <w:vertAlign w:val="subscript"/>
        </w:rPr>
        <w:t>q, p</w:t>
      </w:r>
      <w:r w:rsidR="003963CD" w:rsidRPr="003963CD">
        <w:rPr>
          <w:bCs w:val="0"/>
        </w:rPr>
        <w:t xml:space="preserve"> – RTAMLESRNW </w:t>
      </w:r>
      <w:r w:rsidR="003963CD" w:rsidRPr="003963CD">
        <w:rPr>
          <w:bCs w:val="0"/>
          <w:i/>
          <w:vertAlign w:val="subscript"/>
        </w:rPr>
        <w:t>q, p</w:t>
      </w:r>
      <w:r w:rsidR="003963CD" w:rsidRPr="003963CD">
        <w:rPr>
          <w:bCs w:val="0"/>
        </w:rPr>
        <w:t>)</w:t>
      </w:r>
      <w:r w:rsidRPr="003963CD">
        <w:t>)</w:t>
      </w:r>
      <w:r w:rsidRPr="003963CD">
        <w:rPr>
          <w:sz w:val="28"/>
          <w:szCs w:val="28"/>
        </w:rPr>
        <w:t>]</w:t>
      </w:r>
      <w:r w:rsidRPr="003963CD">
        <w:rPr>
          <w:sz w:val="32"/>
        </w:rPr>
        <w:t>}</w:t>
      </w:r>
      <w:r w:rsidRPr="00D12728">
        <w:rPr>
          <w:sz w:val="3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C0BC2" w14:paraId="5421604C" w14:textId="77777777" w:rsidTr="008B123E">
        <w:trPr>
          <w:trHeight w:val="206"/>
        </w:trPr>
        <w:tc>
          <w:tcPr>
            <w:tcW w:w="9576" w:type="dxa"/>
            <w:shd w:val="pct12" w:color="auto" w:fill="auto"/>
          </w:tcPr>
          <w:p w14:paraId="782FBFD8" w14:textId="3E43243E" w:rsidR="007C0BC2" w:rsidRDefault="007C0BC2" w:rsidP="008B123E">
            <w:pPr>
              <w:pStyle w:val="Instructions"/>
              <w:spacing w:before="120"/>
            </w:pPr>
            <w:r>
              <w:t>[</w:t>
            </w:r>
            <w:r w:rsidR="00341E22">
              <w:t>NPRR995</w:t>
            </w:r>
            <w:r w:rsidR="001C0176">
              <w:t xml:space="preserve"> and NPRR1188</w:t>
            </w:r>
            <w:r>
              <w:t xml:space="preserve">:  Replace </w:t>
            </w:r>
            <w:r w:rsidR="001C0176">
              <w:t xml:space="preserve">applicable portions of </w:t>
            </w:r>
            <w:r>
              <w:t>the formula “</w:t>
            </w:r>
            <w:r w:rsidRPr="007C0BC2">
              <w:t xml:space="preserve">RTEIAMT </w:t>
            </w:r>
            <w:r w:rsidRPr="007C0BC2">
              <w:rPr>
                <w:vertAlign w:val="subscript"/>
              </w:rPr>
              <w:t>q, p</w:t>
            </w:r>
            <w:r>
              <w:t>” above with the following upon system implementation:]</w:t>
            </w:r>
          </w:p>
          <w:p w14:paraId="5ADFBB4D" w14:textId="7E697A82" w:rsidR="007C0BC2" w:rsidRPr="007C0BC2" w:rsidRDefault="007C0BC2" w:rsidP="007C0BC2">
            <w:pPr>
              <w:tabs>
                <w:tab w:val="left" w:pos="2250"/>
                <w:tab w:val="left" w:pos="3150"/>
                <w:tab w:val="left" w:pos="3960"/>
              </w:tabs>
              <w:spacing w:after="240"/>
              <w:ind w:left="3150" w:hanging="2430"/>
              <w:rPr>
                <w:b/>
                <w:bCs/>
                <w:sz w:val="32"/>
              </w:rPr>
            </w:pPr>
            <w:r w:rsidRPr="00FC2D6A">
              <w:rPr>
                <w:b/>
                <w:bCs/>
              </w:rPr>
              <w:t xml:space="preserve">RTEIAMT </w:t>
            </w:r>
            <w:r w:rsidRPr="00FC2D6A">
              <w:rPr>
                <w:b/>
                <w:bCs/>
                <w:i/>
                <w:vertAlign w:val="subscript"/>
              </w:rPr>
              <w:t>q, p</w:t>
            </w:r>
            <w:r w:rsidRPr="00FC2D6A">
              <w:rPr>
                <w:b/>
                <w:bCs/>
              </w:rPr>
              <w:tab/>
              <w:t>=</w:t>
            </w:r>
            <w:r w:rsidRPr="00FC2D6A">
              <w:rPr>
                <w:b/>
                <w:bCs/>
              </w:rPr>
              <w:tab/>
              <w:t xml:space="preserve">(-1) * </w:t>
            </w:r>
            <w:r w:rsidRPr="00FC2D6A">
              <w:rPr>
                <w:b/>
                <w:bCs/>
                <w:sz w:val="32"/>
              </w:rPr>
              <w:t>{[</w:t>
            </w:r>
            <w:r w:rsidRPr="00FC2D6A">
              <w:rPr>
                <w:b/>
                <w:bCs/>
              </w:rPr>
              <w:t xml:space="preserve">RTSPP </w:t>
            </w:r>
            <w:r w:rsidRPr="00FC2D6A">
              <w:rPr>
                <w:b/>
                <w:bCs/>
                <w:i/>
                <w:vertAlign w:val="subscript"/>
              </w:rPr>
              <w:t>p</w:t>
            </w:r>
            <w:r w:rsidRPr="00FC2D6A">
              <w:rPr>
                <w:b/>
                <w:bCs/>
              </w:rPr>
              <w:t xml:space="preserve"> * [(SSSK </w:t>
            </w:r>
            <w:r w:rsidRPr="00FC2D6A">
              <w:rPr>
                <w:b/>
                <w:bCs/>
                <w:i/>
                <w:vertAlign w:val="subscript"/>
              </w:rPr>
              <w:t>q, p</w:t>
            </w:r>
            <w:r w:rsidRPr="00FC2D6A">
              <w:rPr>
                <w:b/>
                <w:bCs/>
              </w:rPr>
              <w:t xml:space="preserve"> * ¼) + (DAEP </w:t>
            </w:r>
            <w:r w:rsidRPr="00FC2D6A">
              <w:rPr>
                <w:b/>
                <w:bCs/>
                <w:i/>
                <w:vertAlign w:val="subscript"/>
              </w:rPr>
              <w:t>q, p</w:t>
            </w:r>
            <w:r w:rsidRPr="00FC2D6A">
              <w:rPr>
                <w:b/>
                <w:bCs/>
              </w:rPr>
              <w:t xml:space="preserve"> * ¼) + (RTQQEP </w:t>
            </w:r>
            <w:r w:rsidRPr="00FC2D6A">
              <w:rPr>
                <w:b/>
                <w:bCs/>
                <w:i/>
                <w:vertAlign w:val="subscript"/>
              </w:rPr>
              <w:t>q, p</w:t>
            </w:r>
            <w:r w:rsidRPr="00FC2D6A">
              <w:rPr>
                <w:b/>
                <w:bCs/>
              </w:rPr>
              <w:t xml:space="preserve"> * ¼) – (SSSR </w:t>
            </w:r>
            <w:r w:rsidRPr="00FC2D6A">
              <w:rPr>
                <w:b/>
                <w:bCs/>
                <w:i/>
                <w:vertAlign w:val="subscript"/>
              </w:rPr>
              <w:t>q, p</w:t>
            </w:r>
            <w:r w:rsidRPr="00FC2D6A">
              <w:rPr>
                <w:b/>
                <w:bCs/>
              </w:rPr>
              <w:t xml:space="preserve"> * ¼) – (DAES </w:t>
            </w:r>
            <w:r w:rsidRPr="00FC2D6A">
              <w:rPr>
                <w:b/>
                <w:bCs/>
                <w:i/>
                <w:vertAlign w:val="subscript"/>
              </w:rPr>
              <w:t>q, p</w:t>
            </w:r>
            <w:r w:rsidRPr="00FC2D6A">
              <w:rPr>
                <w:b/>
                <w:bCs/>
              </w:rPr>
              <w:t xml:space="preserve"> * ¼) – (RTQQES </w:t>
            </w:r>
            <w:r w:rsidRPr="00FC2D6A">
              <w:rPr>
                <w:b/>
                <w:bCs/>
                <w:i/>
                <w:vertAlign w:val="subscript"/>
              </w:rPr>
              <w:t>q, p</w:t>
            </w:r>
            <w:r w:rsidRPr="00FC2D6A">
              <w:rPr>
                <w:b/>
                <w:bCs/>
              </w:rPr>
              <w:t xml:space="preserve"> * ¼)]</w:t>
            </w:r>
            <w:r w:rsidRPr="00FC2D6A">
              <w:rPr>
                <w:b/>
                <w:bCs/>
                <w:sz w:val="32"/>
                <w:szCs w:val="32"/>
              </w:rPr>
              <w:t xml:space="preserve">] </w:t>
            </w:r>
            <w:r w:rsidRPr="00FC2D6A">
              <w:rPr>
                <w:b/>
                <w:bCs/>
              </w:rPr>
              <w:t xml:space="preserve">+ </w:t>
            </w:r>
            <w:r w:rsidRPr="00FC2D6A">
              <w:rPr>
                <w:b/>
                <w:bCs/>
                <w:sz w:val="32"/>
              </w:rPr>
              <w:t>[</w:t>
            </w:r>
            <w:r w:rsidRPr="00FC2D6A">
              <w:rPr>
                <w:b/>
                <w:bCs/>
              </w:rPr>
              <w:t>RTSPPEW</w:t>
            </w:r>
            <w:r w:rsidRPr="00FC2D6A">
              <w:rPr>
                <w:b/>
                <w:bCs/>
                <w:i/>
                <w:vertAlign w:val="subscript"/>
              </w:rPr>
              <w:t xml:space="preserve"> p</w:t>
            </w:r>
            <w:r w:rsidRPr="00FC2D6A">
              <w:rPr>
                <w:b/>
                <w:bCs/>
              </w:rPr>
              <w:t xml:space="preserve"> * (RTMG</w:t>
            </w:r>
            <w:r>
              <w:rPr>
                <w:b/>
                <w:bCs/>
              </w:rPr>
              <w:t>SOGZ</w:t>
            </w:r>
            <w:r w:rsidRPr="00FC2D6A">
              <w:rPr>
                <w:b/>
                <w:bCs/>
              </w:rPr>
              <w:t xml:space="preserve"> </w:t>
            </w:r>
            <w:r w:rsidRPr="00FC2D6A">
              <w:rPr>
                <w:b/>
                <w:bCs/>
                <w:i/>
                <w:vertAlign w:val="subscript"/>
              </w:rPr>
              <w:t>q, p</w:t>
            </w:r>
            <w:r w:rsidRPr="00FC2D6A">
              <w:rPr>
                <w:b/>
                <w:bCs/>
              </w:rPr>
              <w:t xml:space="preserve"> – </w:t>
            </w:r>
            <w:r w:rsidR="008050FF">
              <w:rPr>
                <w:b/>
                <w:bCs/>
              </w:rPr>
              <w:t>(</w:t>
            </w:r>
            <w:r w:rsidRPr="00FC2D6A">
              <w:rPr>
                <w:b/>
                <w:bCs/>
              </w:rPr>
              <w:t xml:space="preserve">RTAML </w:t>
            </w:r>
            <w:r w:rsidRPr="00FC2D6A">
              <w:rPr>
                <w:b/>
                <w:bCs/>
                <w:i/>
                <w:vertAlign w:val="subscript"/>
              </w:rPr>
              <w:t>q, p</w:t>
            </w:r>
            <w:r w:rsidR="008050FF">
              <w:rPr>
                <w:b/>
                <w:bCs/>
              </w:rPr>
              <w:t xml:space="preserve"> </w:t>
            </w:r>
            <w:r w:rsidR="001C0176" w:rsidRPr="00812ECB">
              <w:rPr>
                <w:b/>
                <w:bCs/>
              </w:rPr>
              <w:t xml:space="preserve">– RTAMLCLRL </w:t>
            </w:r>
            <w:r w:rsidR="001C0176" w:rsidRPr="00812ECB">
              <w:rPr>
                <w:b/>
                <w:bCs/>
                <w:i/>
                <w:vertAlign w:val="subscript"/>
              </w:rPr>
              <w:t>q, p</w:t>
            </w:r>
            <w:r w:rsidR="001C0176" w:rsidRPr="00812ECB">
              <w:rPr>
                <w:b/>
                <w:bCs/>
              </w:rPr>
              <w:t xml:space="preserve"> </w:t>
            </w:r>
            <w:r w:rsidR="008050FF" w:rsidRPr="00913E6F">
              <w:rPr>
                <w:b/>
                <w:bCs/>
              </w:rPr>
              <w:t>–</w:t>
            </w:r>
            <w:r w:rsidR="008050FF">
              <w:rPr>
                <w:b/>
                <w:bCs/>
              </w:rPr>
              <w:t xml:space="preserve"> RTAMLESRNW </w:t>
            </w:r>
            <w:r w:rsidR="008050FF" w:rsidRPr="00913E6F">
              <w:rPr>
                <w:b/>
                <w:bCs/>
                <w:i/>
                <w:vertAlign w:val="subscript"/>
              </w:rPr>
              <w:t>q, p</w:t>
            </w:r>
            <w:r w:rsidR="00341E22">
              <w:rPr>
                <w:b/>
                <w:bCs/>
              </w:rPr>
              <w:t xml:space="preserve"> – RTAMLNWSOL </w:t>
            </w:r>
            <w:r w:rsidR="00341E22">
              <w:rPr>
                <w:b/>
                <w:bCs/>
                <w:i/>
                <w:vertAlign w:val="subscript"/>
              </w:rPr>
              <w:t>q, p</w:t>
            </w:r>
            <w:r w:rsidRPr="00FC2D6A">
              <w:rPr>
                <w:b/>
                <w:bCs/>
              </w:rPr>
              <w:t>)</w:t>
            </w:r>
            <w:r w:rsidR="008050FF">
              <w:rPr>
                <w:b/>
                <w:bCs/>
              </w:rPr>
              <w:t>)</w:t>
            </w:r>
            <w:r w:rsidRPr="00FC2D6A">
              <w:rPr>
                <w:b/>
                <w:bCs/>
                <w:sz w:val="28"/>
                <w:szCs w:val="28"/>
              </w:rPr>
              <w:t>]</w:t>
            </w:r>
            <w:r>
              <w:rPr>
                <w:b/>
                <w:bCs/>
                <w:sz w:val="32"/>
              </w:rPr>
              <w:t xml:space="preserve">} </w:t>
            </w:r>
          </w:p>
        </w:tc>
      </w:tr>
    </w:tbl>
    <w:p w14:paraId="1F782FF5" w14:textId="77777777" w:rsidR="001F04FD" w:rsidRPr="00D12728" w:rsidRDefault="001F04FD" w:rsidP="004A39F9">
      <w:pPr>
        <w:pStyle w:val="FormulaBold"/>
        <w:spacing w:before="240"/>
        <w:ind w:left="3150" w:hanging="2430"/>
        <w:rPr>
          <w:b w:val="0"/>
        </w:rPr>
      </w:pPr>
      <w:r w:rsidRPr="00D12728">
        <w:rPr>
          <w:b w:val="0"/>
        </w:rPr>
        <w:t>And</w:t>
      </w:r>
    </w:p>
    <w:p w14:paraId="60D49681" w14:textId="1AFC610E" w:rsidR="001F04FD" w:rsidRDefault="001F04FD" w:rsidP="001F04FD">
      <w:pPr>
        <w:pStyle w:val="FormulaBold"/>
        <w:ind w:left="3150" w:hanging="2430"/>
        <w:rPr>
          <w:sz w:val="32"/>
        </w:rPr>
      </w:pPr>
      <w:r>
        <w:t>LZIMBAL</w:t>
      </w:r>
      <w:r w:rsidRPr="00D17F07">
        <w:rPr>
          <w:i/>
          <w:vertAlign w:val="subscript"/>
        </w:rPr>
        <w:t xml:space="preserve"> </w:t>
      </w:r>
      <w:r w:rsidR="007C0BC2">
        <w:rPr>
          <w:i/>
          <w:vertAlign w:val="subscript"/>
        </w:rPr>
        <w:t>q, p</w:t>
      </w:r>
      <w:r w:rsidR="007C0BC2">
        <w:rPr>
          <w:i/>
          <w:vertAlign w:val="subscript"/>
        </w:rPr>
        <w:tab/>
        <w:t>=</w:t>
      </w:r>
      <w:r w:rsidR="007C0BC2">
        <w:rPr>
          <w:i/>
          <w:vertAlign w:val="subscript"/>
        </w:rPr>
        <w:tab/>
      </w:r>
      <w:r>
        <w:t xml:space="preserve">(SSSK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 – </w:t>
      </w:r>
      <w:r w:rsidR="003963CD">
        <w:t>(</w:t>
      </w:r>
      <w:r>
        <w:t xml:space="preserve">RTAML </w:t>
      </w:r>
      <w:r>
        <w:rPr>
          <w:i/>
          <w:vertAlign w:val="subscript"/>
        </w:rPr>
        <w:t>q, p</w:t>
      </w:r>
      <w:r w:rsidR="003963CD" w:rsidRPr="003963CD">
        <w:rPr>
          <w:bCs w:val="0"/>
        </w:rPr>
        <w:t xml:space="preserve"> – RTAMLESRNW </w:t>
      </w:r>
      <w:r w:rsidR="003963CD" w:rsidRPr="003963CD">
        <w:rPr>
          <w:bCs w:val="0"/>
          <w:i/>
          <w:vertAlign w:val="subscript"/>
        </w:rPr>
        <w:t>q, p</w:t>
      </w:r>
      <w:r w:rsidR="003963CD" w:rsidRPr="003963CD">
        <w:rPr>
          <w:bCs w:val="0"/>
        </w:rPr>
        <w:t>)</w:t>
      </w:r>
      <w:r>
        <w:rPr>
          <w:sz w:val="32"/>
        </w:rPr>
        <w:t xml:space="preserve"> </w:t>
      </w:r>
      <w:r>
        <w:t>+ RTMG</w:t>
      </w:r>
      <w:r w:rsidR="00BE136C">
        <w:t>SOGZ</w:t>
      </w:r>
      <w:r>
        <w:t xml:space="preserve"> </w:t>
      </w:r>
      <w:r>
        <w:rPr>
          <w:i/>
          <w:vertAlign w:val="subscript"/>
        </w:rPr>
        <w:t>q, 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C0BC2" w14:paraId="3A4D6ABA" w14:textId="77777777" w:rsidTr="008B123E">
        <w:trPr>
          <w:trHeight w:val="206"/>
        </w:trPr>
        <w:tc>
          <w:tcPr>
            <w:tcW w:w="9576" w:type="dxa"/>
            <w:shd w:val="pct12" w:color="auto" w:fill="auto"/>
          </w:tcPr>
          <w:p w14:paraId="569EBE29" w14:textId="5FE59DDC" w:rsidR="007C0BC2" w:rsidRDefault="007C0BC2" w:rsidP="008B123E">
            <w:pPr>
              <w:pStyle w:val="Instructions"/>
              <w:spacing w:before="120"/>
            </w:pPr>
            <w:r>
              <w:t>[</w:t>
            </w:r>
            <w:r w:rsidR="00341E22">
              <w:t>NPRR995</w:t>
            </w:r>
            <w:r w:rsidR="001C0176">
              <w:t xml:space="preserve"> and NPRR1188</w:t>
            </w:r>
            <w:r>
              <w:t>:  Replace</w:t>
            </w:r>
            <w:r w:rsidR="001C0176">
              <w:t xml:space="preserve"> applicable portions of</w:t>
            </w:r>
            <w:r w:rsidR="00341E22">
              <w:t xml:space="preserve"> </w:t>
            </w:r>
            <w:r>
              <w:t>the formula “</w:t>
            </w:r>
            <w:r w:rsidRPr="007C0BC2">
              <w:t>LZIMBAL</w:t>
            </w:r>
            <w:r w:rsidRPr="007C0BC2">
              <w:rPr>
                <w:vertAlign w:val="subscript"/>
              </w:rPr>
              <w:t xml:space="preserve"> q, p</w:t>
            </w:r>
            <w:r>
              <w:t>” above with the following upon system implementation:]</w:t>
            </w:r>
          </w:p>
          <w:p w14:paraId="22F208EE" w14:textId="5D762D41" w:rsidR="007C0BC2" w:rsidRPr="007C0BC2" w:rsidRDefault="007C0BC2" w:rsidP="007C0BC2">
            <w:pPr>
              <w:tabs>
                <w:tab w:val="left" w:pos="2250"/>
                <w:tab w:val="left" w:pos="3150"/>
                <w:tab w:val="left" w:pos="3960"/>
              </w:tabs>
              <w:spacing w:after="240"/>
              <w:ind w:left="3150" w:hanging="2430"/>
              <w:rPr>
                <w:b/>
                <w:bCs/>
                <w:sz w:val="32"/>
              </w:rPr>
            </w:pPr>
            <w:r w:rsidRPr="00FC2D6A">
              <w:rPr>
                <w:b/>
                <w:bCs/>
              </w:rPr>
              <w:t>LZIMBAL</w:t>
            </w:r>
            <w:r>
              <w:rPr>
                <w:b/>
                <w:bCs/>
                <w:i/>
                <w:vertAlign w:val="subscript"/>
              </w:rPr>
              <w:t xml:space="preserve"> q, p</w:t>
            </w:r>
            <w:r>
              <w:rPr>
                <w:b/>
                <w:bCs/>
                <w:i/>
                <w:vertAlign w:val="subscript"/>
              </w:rPr>
              <w:tab/>
              <w:t>=</w:t>
            </w:r>
            <w:r>
              <w:rPr>
                <w:b/>
                <w:bCs/>
                <w:i/>
                <w:vertAlign w:val="subscript"/>
              </w:rPr>
              <w:tab/>
            </w:r>
            <w:r w:rsidRPr="00FC2D6A">
              <w:rPr>
                <w:b/>
                <w:bCs/>
              </w:rPr>
              <w:t xml:space="preserve">(SSSK </w:t>
            </w:r>
            <w:r w:rsidRPr="00FC2D6A">
              <w:rPr>
                <w:b/>
                <w:bCs/>
                <w:i/>
                <w:vertAlign w:val="subscript"/>
              </w:rPr>
              <w:t>q, p</w:t>
            </w:r>
            <w:r w:rsidRPr="00FC2D6A">
              <w:rPr>
                <w:b/>
                <w:bCs/>
              </w:rPr>
              <w:t xml:space="preserve"> * ¼) + (DAEP </w:t>
            </w:r>
            <w:r w:rsidRPr="00FC2D6A">
              <w:rPr>
                <w:b/>
                <w:bCs/>
                <w:i/>
                <w:vertAlign w:val="subscript"/>
              </w:rPr>
              <w:t>q, p</w:t>
            </w:r>
            <w:r w:rsidRPr="00FC2D6A">
              <w:rPr>
                <w:b/>
                <w:bCs/>
              </w:rPr>
              <w:t xml:space="preserve"> * ¼) + (RTQQEP </w:t>
            </w:r>
            <w:r w:rsidRPr="00FC2D6A">
              <w:rPr>
                <w:b/>
                <w:bCs/>
                <w:i/>
                <w:vertAlign w:val="subscript"/>
              </w:rPr>
              <w:t>q, p</w:t>
            </w:r>
            <w:r w:rsidRPr="00FC2D6A">
              <w:rPr>
                <w:b/>
                <w:bCs/>
              </w:rPr>
              <w:t xml:space="preserve"> * ¼) – (SSSR </w:t>
            </w:r>
            <w:r w:rsidRPr="00FC2D6A">
              <w:rPr>
                <w:b/>
                <w:bCs/>
                <w:i/>
                <w:vertAlign w:val="subscript"/>
              </w:rPr>
              <w:t>q, p</w:t>
            </w:r>
            <w:r w:rsidRPr="00FC2D6A">
              <w:rPr>
                <w:b/>
                <w:bCs/>
              </w:rPr>
              <w:t xml:space="preserve"> * ¼) – (DAES </w:t>
            </w:r>
            <w:r w:rsidRPr="00FC2D6A">
              <w:rPr>
                <w:b/>
                <w:bCs/>
                <w:i/>
                <w:vertAlign w:val="subscript"/>
              </w:rPr>
              <w:t>q, p</w:t>
            </w:r>
            <w:r w:rsidRPr="00FC2D6A">
              <w:rPr>
                <w:b/>
                <w:bCs/>
              </w:rPr>
              <w:t xml:space="preserve"> * ¼) – (RTQQES </w:t>
            </w:r>
            <w:r w:rsidRPr="00FC2D6A">
              <w:rPr>
                <w:b/>
                <w:bCs/>
                <w:i/>
                <w:vertAlign w:val="subscript"/>
              </w:rPr>
              <w:t>q, p</w:t>
            </w:r>
            <w:r w:rsidRPr="00FC2D6A">
              <w:rPr>
                <w:b/>
                <w:bCs/>
              </w:rPr>
              <w:t xml:space="preserve"> * ¼) – </w:t>
            </w:r>
            <w:r w:rsidR="008050FF">
              <w:rPr>
                <w:b/>
                <w:bCs/>
              </w:rPr>
              <w:t>(</w:t>
            </w:r>
            <w:r w:rsidRPr="00FC2D6A">
              <w:rPr>
                <w:b/>
                <w:bCs/>
              </w:rPr>
              <w:t xml:space="preserve">RTAML </w:t>
            </w:r>
            <w:r w:rsidRPr="00FC2D6A">
              <w:rPr>
                <w:b/>
                <w:bCs/>
                <w:i/>
                <w:vertAlign w:val="subscript"/>
              </w:rPr>
              <w:t>q, p</w:t>
            </w:r>
            <w:r w:rsidRPr="00FC2D6A">
              <w:rPr>
                <w:b/>
                <w:bCs/>
                <w:sz w:val="32"/>
              </w:rPr>
              <w:t xml:space="preserve"> </w:t>
            </w:r>
            <w:r w:rsidR="001C0176" w:rsidRPr="00812ECB">
              <w:rPr>
                <w:b/>
                <w:bCs/>
              </w:rPr>
              <w:t xml:space="preserve">– RTAMLCLRL </w:t>
            </w:r>
            <w:r w:rsidR="001C0176" w:rsidRPr="00812ECB">
              <w:rPr>
                <w:b/>
                <w:bCs/>
                <w:i/>
                <w:vertAlign w:val="subscript"/>
              </w:rPr>
              <w:t>q, p</w:t>
            </w:r>
            <w:r w:rsidR="001C0176" w:rsidRPr="00812ECB">
              <w:rPr>
                <w:b/>
                <w:bCs/>
              </w:rPr>
              <w:t xml:space="preserve"> </w:t>
            </w:r>
            <w:r w:rsidR="008050FF" w:rsidRPr="00FC2D6A">
              <w:rPr>
                <w:b/>
                <w:bCs/>
              </w:rPr>
              <w:t>–</w:t>
            </w:r>
            <w:r w:rsidR="008050FF" w:rsidRPr="00850E71">
              <w:rPr>
                <w:b/>
                <w:bCs/>
                <w:i/>
              </w:rPr>
              <w:t xml:space="preserve"> </w:t>
            </w:r>
            <w:r w:rsidR="008050FF">
              <w:rPr>
                <w:b/>
                <w:bCs/>
              </w:rPr>
              <w:t xml:space="preserve">RTAMLESRNW </w:t>
            </w:r>
            <w:r w:rsidR="008050FF" w:rsidRPr="00913E6F">
              <w:rPr>
                <w:b/>
                <w:bCs/>
                <w:i/>
                <w:vertAlign w:val="subscript"/>
              </w:rPr>
              <w:t>q, p</w:t>
            </w:r>
            <w:r w:rsidR="00341E22">
              <w:rPr>
                <w:b/>
                <w:bCs/>
              </w:rPr>
              <w:t xml:space="preserve"> – RTAMLNWSOL </w:t>
            </w:r>
            <w:r w:rsidR="00341E22">
              <w:rPr>
                <w:b/>
                <w:bCs/>
                <w:i/>
                <w:vertAlign w:val="subscript"/>
              </w:rPr>
              <w:t>q, p</w:t>
            </w:r>
            <w:r w:rsidR="008050FF">
              <w:rPr>
                <w:b/>
                <w:bCs/>
              </w:rPr>
              <w:t>)</w:t>
            </w:r>
            <w:r w:rsidR="008050FF" w:rsidRPr="00FC2D6A">
              <w:rPr>
                <w:b/>
                <w:bCs/>
              </w:rPr>
              <w:t xml:space="preserve"> </w:t>
            </w:r>
            <w:r w:rsidRPr="00FC2D6A">
              <w:rPr>
                <w:b/>
                <w:bCs/>
              </w:rPr>
              <w:t>+ RTMG</w:t>
            </w:r>
            <w:r>
              <w:rPr>
                <w:b/>
                <w:bCs/>
              </w:rPr>
              <w:t>SOGZ</w:t>
            </w:r>
            <w:r w:rsidRPr="00FC2D6A">
              <w:rPr>
                <w:b/>
                <w:bCs/>
              </w:rPr>
              <w:t xml:space="preserve"> </w:t>
            </w:r>
            <w:r w:rsidRPr="00FC2D6A">
              <w:rPr>
                <w:b/>
                <w:bCs/>
                <w:i/>
                <w:vertAlign w:val="subscript"/>
              </w:rPr>
              <w:t>q, p</w:t>
            </w:r>
          </w:p>
        </w:tc>
      </w:tr>
    </w:tbl>
    <w:p w14:paraId="47043A5C" w14:textId="77777777" w:rsidR="001F04FD" w:rsidRDefault="001F04FD" w:rsidP="004A39F9">
      <w:pPr>
        <w:spacing w:before="240"/>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0"/>
        <w:gridCol w:w="853"/>
        <w:gridCol w:w="6867"/>
      </w:tblGrid>
      <w:tr w:rsidR="001F04FD" w14:paraId="6B844741" w14:textId="77777777" w:rsidTr="00341E22">
        <w:trPr>
          <w:tblHeader/>
        </w:trPr>
        <w:tc>
          <w:tcPr>
            <w:tcW w:w="872" w:type="pct"/>
          </w:tcPr>
          <w:p w14:paraId="083FBEA1" w14:textId="77777777" w:rsidR="001F04FD" w:rsidRDefault="001F04FD" w:rsidP="00AC4DEE">
            <w:pPr>
              <w:pStyle w:val="TableHead"/>
            </w:pPr>
            <w:r>
              <w:lastRenderedPageBreak/>
              <w:t>Variable</w:t>
            </w:r>
          </w:p>
        </w:tc>
        <w:tc>
          <w:tcPr>
            <w:tcW w:w="456" w:type="pct"/>
          </w:tcPr>
          <w:p w14:paraId="1080ECD9" w14:textId="77777777" w:rsidR="001F04FD" w:rsidRDefault="001F04FD" w:rsidP="00AC4DEE">
            <w:pPr>
              <w:pStyle w:val="TableHead"/>
            </w:pPr>
            <w:r>
              <w:t>Unit</w:t>
            </w:r>
          </w:p>
        </w:tc>
        <w:tc>
          <w:tcPr>
            <w:tcW w:w="3672" w:type="pct"/>
          </w:tcPr>
          <w:p w14:paraId="3D0B09D0" w14:textId="77777777" w:rsidR="001F04FD" w:rsidRDefault="001F04FD" w:rsidP="00AC4DEE">
            <w:pPr>
              <w:pStyle w:val="TableHead"/>
            </w:pPr>
            <w:r>
              <w:t>Description</w:t>
            </w:r>
          </w:p>
        </w:tc>
      </w:tr>
      <w:tr w:rsidR="001F04FD" w14:paraId="3341284A" w14:textId="77777777" w:rsidTr="00341E22">
        <w:tc>
          <w:tcPr>
            <w:tcW w:w="872" w:type="pct"/>
          </w:tcPr>
          <w:p w14:paraId="4CAE6885" w14:textId="77777777" w:rsidR="001F04FD" w:rsidRDefault="001F04FD" w:rsidP="00AC4DEE">
            <w:pPr>
              <w:pStyle w:val="TableBody"/>
            </w:pPr>
            <w:r>
              <w:t xml:space="preserve">RTEIAMT </w:t>
            </w:r>
            <w:r w:rsidRPr="00107CC2">
              <w:rPr>
                <w:i/>
                <w:vertAlign w:val="subscript"/>
              </w:rPr>
              <w:t>q, p</w:t>
            </w:r>
          </w:p>
        </w:tc>
        <w:tc>
          <w:tcPr>
            <w:tcW w:w="456" w:type="pct"/>
          </w:tcPr>
          <w:p w14:paraId="59ECA356" w14:textId="77777777" w:rsidR="001F04FD" w:rsidRDefault="001F04FD" w:rsidP="00AC4DEE">
            <w:pPr>
              <w:pStyle w:val="TableBody"/>
            </w:pPr>
            <w:r>
              <w:t>$</w:t>
            </w:r>
          </w:p>
        </w:tc>
        <w:tc>
          <w:tcPr>
            <w:tcW w:w="3672" w:type="pct"/>
          </w:tcPr>
          <w:p w14:paraId="6642FF18"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0295C3B2" w14:textId="77777777" w:rsidTr="00341E22">
        <w:tc>
          <w:tcPr>
            <w:tcW w:w="872" w:type="pct"/>
          </w:tcPr>
          <w:p w14:paraId="65B3804A" w14:textId="77777777" w:rsidR="001F04FD" w:rsidRDefault="001F04FD" w:rsidP="00AC4DEE">
            <w:pPr>
              <w:pStyle w:val="TableBody"/>
            </w:pPr>
            <w:r>
              <w:t xml:space="preserve">RTSPP </w:t>
            </w:r>
            <w:r w:rsidRPr="00107CC2">
              <w:rPr>
                <w:i/>
                <w:vertAlign w:val="subscript"/>
              </w:rPr>
              <w:t>p</w:t>
            </w:r>
          </w:p>
        </w:tc>
        <w:tc>
          <w:tcPr>
            <w:tcW w:w="456" w:type="pct"/>
          </w:tcPr>
          <w:p w14:paraId="324D75D1" w14:textId="77777777" w:rsidR="001F04FD" w:rsidRDefault="001F04FD" w:rsidP="00AC4DEE">
            <w:pPr>
              <w:pStyle w:val="TableBody"/>
            </w:pPr>
            <w:r>
              <w:t>$/MWh</w:t>
            </w:r>
          </w:p>
        </w:tc>
        <w:tc>
          <w:tcPr>
            <w:tcW w:w="3672" w:type="pct"/>
          </w:tcPr>
          <w:p w14:paraId="60ADB215"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320BDD1D" w14:textId="77777777" w:rsidTr="00341E22">
        <w:tc>
          <w:tcPr>
            <w:tcW w:w="872" w:type="pct"/>
          </w:tcPr>
          <w:p w14:paraId="46814500" w14:textId="77777777" w:rsidR="001F04FD" w:rsidRDefault="001F04FD" w:rsidP="00AC4DEE">
            <w:pPr>
              <w:pStyle w:val="TableBody"/>
            </w:pPr>
            <w:r>
              <w:t>LZIMBAL</w:t>
            </w:r>
            <w:r w:rsidRPr="00D17F07">
              <w:rPr>
                <w:i/>
                <w:vertAlign w:val="subscript"/>
              </w:rPr>
              <w:t xml:space="preserve"> </w:t>
            </w:r>
            <w:r>
              <w:rPr>
                <w:i/>
                <w:vertAlign w:val="subscript"/>
              </w:rPr>
              <w:t>q, p</w:t>
            </w:r>
          </w:p>
        </w:tc>
        <w:tc>
          <w:tcPr>
            <w:tcW w:w="456" w:type="pct"/>
          </w:tcPr>
          <w:p w14:paraId="6840F9D3" w14:textId="77777777" w:rsidR="001F04FD" w:rsidRDefault="001F04FD" w:rsidP="00AC4DEE">
            <w:pPr>
              <w:pStyle w:val="TableBody"/>
            </w:pPr>
            <w:r>
              <w:t>MWh</w:t>
            </w:r>
          </w:p>
        </w:tc>
        <w:tc>
          <w:tcPr>
            <w:tcW w:w="3672" w:type="pct"/>
          </w:tcPr>
          <w:p w14:paraId="1FBD08EB" w14:textId="77777777" w:rsidR="001F04FD" w:rsidRDefault="001F04FD" w:rsidP="00AC4DEE">
            <w:pPr>
              <w:pStyle w:val="TableBody"/>
              <w:rPr>
                <w:i/>
              </w:rPr>
            </w:pPr>
            <w:r>
              <w:rPr>
                <w:i/>
              </w:rPr>
              <w:t>Load Zone Energy Imbalance per QSE per Settlement Point</w:t>
            </w:r>
            <w:r>
              <w:t xml:space="preserve">—The Load Zone volumetric imbalance for QSE </w:t>
            </w:r>
            <w:r>
              <w:rPr>
                <w:i/>
              </w:rPr>
              <w:t>q</w:t>
            </w:r>
            <w:r>
              <w:t xml:space="preserve"> for Real-Time Energy Imbalance Service at Settlement Point </w:t>
            </w:r>
            <w:r>
              <w:rPr>
                <w:i/>
              </w:rPr>
              <w:t>p</w:t>
            </w:r>
            <w:r>
              <w:t>, for the 15-minute Settlement Interval.</w:t>
            </w:r>
          </w:p>
        </w:tc>
      </w:tr>
      <w:tr w:rsidR="001F04FD" w14:paraId="6984027C" w14:textId="77777777" w:rsidTr="00341E22">
        <w:tc>
          <w:tcPr>
            <w:tcW w:w="872" w:type="pct"/>
          </w:tcPr>
          <w:p w14:paraId="0C2E6ECA" w14:textId="77777777" w:rsidR="001F04FD" w:rsidRDefault="001F04FD" w:rsidP="00AC4DEE">
            <w:pPr>
              <w:pStyle w:val="TableBody"/>
            </w:pPr>
            <w:r>
              <w:t xml:space="preserve">RTSPPEW </w:t>
            </w:r>
            <w:r w:rsidRPr="00107CC2">
              <w:rPr>
                <w:i/>
                <w:vertAlign w:val="subscript"/>
              </w:rPr>
              <w:t>p</w:t>
            </w:r>
          </w:p>
        </w:tc>
        <w:tc>
          <w:tcPr>
            <w:tcW w:w="456" w:type="pct"/>
          </w:tcPr>
          <w:p w14:paraId="6C5CF945" w14:textId="77777777" w:rsidR="001F04FD" w:rsidRDefault="001F04FD" w:rsidP="00AC4DEE">
            <w:pPr>
              <w:pStyle w:val="TableBody"/>
            </w:pPr>
            <w:r>
              <w:t>$/MWh</w:t>
            </w:r>
          </w:p>
        </w:tc>
        <w:tc>
          <w:tcPr>
            <w:tcW w:w="3672" w:type="pct"/>
          </w:tcPr>
          <w:p w14:paraId="45D3CD9E" w14:textId="72A19002" w:rsidR="001F04FD" w:rsidRDefault="001F04FD" w:rsidP="00AC4DEE">
            <w:pPr>
              <w:pStyle w:val="TableBody"/>
              <w:rPr>
                <w:i/>
              </w:rPr>
            </w:pPr>
            <w:r>
              <w:rPr>
                <w:i/>
              </w:rPr>
              <w:t>Real-Time Settlement Point Price Energy-Weighted</w:t>
            </w:r>
            <w:r>
              <w:sym w:font="Symbol" w:char="F0BE"/>
            </w:r>
            <w:r>
              <w:t xml:space="preserve">The Real-Time Settlement Point Price at the Settlement Point </w:t>
            </w:r>
            <w:r w:rsidRPr="005A37BB">
              <w:rPr>
                <w:i/>
              </w:rPr>
              <w:t>p</w:t>
            </w:r>
            <w:r>
              <w:t>, for the 15-minute Settlement Interval that is weighted by the State Estimated Load for the Load Zone of each SCED interval within the 15-minute Settlement Interval.</w:t>
            </w:r>
          </w:p>
        </w:tc>
      </w:tr>
      <w:tr w:rsidR="001F04FD" w14:paraId="062A48B9" w14:textId="77777777" w:rsidTr="00341E22">
        <w:tc>
          <w:tcPr>
            <w:tcW w:w="872" w:type="pct"/>
          </w:tcPr>
          <w:p w14:paraId="086031F5" w14:textId="77777777" w:rsidR="001F04FD" w:rsidRDefault="001F04FD" w:rsidP="00AC4DEE">
            <w:pPr>
              <w:pStyle w:val="TableBody"/>
            </w:pPr>
            <w:r>
              <w:t xml:space="preserve">RTAML </w:t>
            </w:r>
            <w:r w:rsidRPr="00107CC2">
              <w:rPr>
                <w:i/>
                <w:vertAlign w:val="subscript"/>
              </w:rPr>
              <w:t>q, p</w:t>
            </w:r>
          </w:p>
        </w:tc>
        <w:tc>
          <w:tcPr>
            <w:tcW w:w="456" w:type="pct"/>
          </w:tcPr>
          <w:p w14:paraId="6D692E7C" w14:textId="77777777" w:rsidR="001F04FD" w:rsidRDefault="001F04FD" w:rsidP="00AC4DEE">
            <w:pPr>
              <w:pStyle w:val="TableBody"/>
            </w:pPr>
            <w:r>
              <w:t>MWh</w:t>
            </w:r>
          </w:p>
        </w:tc>
        <w:tc>
          <w:tcPr>
            <w:tcW w:w="3672" w:type="pct"/>
          </w:tcPr>
          <w:p w14:paraId="77294ADF" w14:textId="77777777" w:rsidR="001F04FD" w:rsidRDefault="001F04FD" w:rsidP="00AC4DEE">
            <w:pPr>
              <w:pStyle w:val="TableBody"/>
            </w:pPr>
            <w:r>
              <w:rPr>
                <w:i/>
              </w:rPr>
              <w:t>Real-Time Adjusted Metered Load per QSE per Settlement Point</w:t>
            </w:r>
            <w:r>
              <w:t xml:space="preserve">—The sum of the AML at the Electrical Buses that are included in Settlement Point </w:t>
            </w:r>
            <w:r>
              <w:rPr>
                <w:i/>
              </w:rPr>
              <w:t>p</w:t>
            </w:r>
            <w:r>
              <w:t xml:space="preserve"> represented by QSE </w:t>
            </w:r>
            <w:r>
              <w:rPr>
                <w:i/>
              </w:rPr>
              <w:t>q</w:t>
            </w:r>
            <w:r>
              <w:t xml:space="preserve"> for the 15-minute Settlement Interval.</w:t>
            </w:r>
          </w:p>
        </w:tc>
      </w:tr>
      <w:tr w:rsidR="001C0176" w14:paraId="33241641" w14:textId="77777777" w:rsidTr="001C0176">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1C0176" w14:paraId="1BBB9949" w14:textId="77777777" w:rsidTr="00F5593C">
              <w:trPr>
                <w:trHeight w:val="566"/>
              </w:trPr>
              <w:tc>
                <w:tcPr>
                  <w:tcW w:w="9576" w:type="dxa"/>
                  <w:shd w:val="pct12" w:color="auto" w:fill="auto"/>
                </w:tcPr>
                <w:p w14:paraId="3C62E153" w14:textId="1127954B" w:rsidR="001C0176" w:rsidRDefault="001C0176" w:rsidP="001C0176">
                  <w:pPr>
                    <w:pStyle w:val="Instructions"/>
                    <w:spacing w:before="60"/>
                  </w:pPr>
                  <w:r>
                    <w:t>[NPRR1188:  Insert the variab</w:t>
                  </w:r>
                  <w:r w:rsidRPr="001C0176">
                    <w:t>le “</w:t>
                  </w:r>
                  <w:r w:rsidRPr="001C0176">
                    <w:rPr>
                      <w:bCs/>
                    </w:rPr>
                    <w:t xml:space="preserve">RTAMLCLRL </w:t>
                  </w:r>
                  <w:r w:rsidRPr="001C0176">
                    <w:rPr>
                      <w:bCs/>
                      <w:vertAlign w:val="subscript"/>
                    </w:rPr>
                    <w:t>q, p</w:t>
                  </w:r>
                  <w:r w:rsidRPr="001C0176">
                    <w:t>” be</w:t>
                  </w:r>
                  <w:r>
                    <w:t>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43"/>
                    <w:gridCol w:w="697"/>
                    <w:gridCol w:w="6530"/>
                  </w:tblGrid>
                  <w:tr w:rsidR="001C0176" w14:paraId="51C1E146" w14:textId="77777777" w:rsidTr="001C0176">
                    <w:tc>
                      <w:tcPr>
                        <w:tcW w:w="926" w:type="pct"/>
                      </w:tcPr>
                      <w:p w14:paraId="386AF04A" w14:textId="77792128" w:rsidR="001C0176" w:rsidRDefault="001C0176" w:rsidP="001C0176">
                        <w:pPr>
                          <w:pStyle w:val="TableBody"/>
                        </w:pPr>
                        <w:r w:rsidRPr="00812ECB">
                          <w:rPr>
                            <w:bCs/>
                          </w:rPr>
                          <w:t xml:space="preserve">RTAMLCLRL </w:t>
                        </w:r>
                        <w:r w:rsidRPr="00812ECB">
                          <w:rPr>
                            <w:bCs/>
                            <w:i/>
                            <w:vertAlign w:val="subscript"/>
                          </w:rPr>
                          <w:t>q, p</w:t>
                        </w:r>
                      </w:p>
                    </w:tc>
                    <w:tc>
                      <w:tcPr>
                        <w:tcW w:w="393" w:type="pct"/>
                      </w:tcPr>
                      <w:p w14:paraId="79911721" w14:textId="1CC2727A" w:rsidR="001C0176" w:rsidRDefault="001C0176" w:rsidP="001C0176">
                        <w:pPr>
                          <w:pStyle w:val="TableBody"/>
                        </w:pPr>
                        <w:r w:rsidRPr="00812ECB">
                          <w:t>MWh</w:t>
                        </w:r>
                      </w:p>
                    </w:tc>
                    <w:tc>
                      <w:tcPr>
                        <w:tcW w:w="3682" w:type="pct"/>
                      </w:tcPr>
                      <w:p w14:paraId="4E313B6F" w14:textId="128B16F7" w:rsidR="001C0176" w:rsidRDefault="001C0176" w:rsidP="001C0176">
                        <w:pPr>
                          <w:pStyle w:val="TableBody"/>
                        </w:pPr>
                        <w:r w:rsidRPr="00812ECB">
                          <w:rPr>
                            <w:i/>
                          </w:rPr>
                          <w:t>Real-Time Adjusted Metered Load for CLR Load per QSE per Settlement Point</w:t>
                        </w:r>
                        <w:r w:rsidRPr="00812ECB">
                          <w:t xml:space="preserve">—The sum of the AML for the CLR Load from CLRs (that are not ALRs) at the Electrical Buses that are included in Settlement Point </w:t>
                        </w:r>
                        <w:r w:rsidRPr="00812ECB">
                          <w:rPr>
                            <w:i/>
                          </w:rPr>
                          <w:t>p</w:t>
                        </w:r>
                        <w:r w:rsidRPr="00812ECB">
                          <w:t xml:space="preserve"> represented by QSE </w:t>
                        </w:r>
                        <w:r w:rsidRPr="00812ECB">
                          <w:rPr>
                            <w:i/>
                          </w:rPr>
                          <w:t>q</w:t>
                        </w:r>
                        <w:r w:rsidRPr="00812ECB">
                          <w:t xml:space="preserve"> for the 15-minute Settlement Interval, represented as a positive value. </w:t>
                        </w:r>
                      </w:p>
                    </w:tc>
                  </w:tr>
                </w:tbl>
                <w:p w14:paraId="15EC0D01" w14:textId="77777777" w:rsidR="001C0176" w:rsidRPr="008E2BE2" w:rsidRDefault="001C0176" w:rsidP="001C0176">
                  <w:pPr>
                    <w:pStyle w:val="TableBody"/>
                  </w:pPr>
                </w:p>
              </w:tc>
            </w:tr>
          </w:tbl>
          <w:p w14:paraId="5C834612" w14:textId="77777777" w:rsidR="001C0176" w:rsidRPr="00913E6F" w:rsidRDefault="001C0176" w:rsidP="003963CD">
            <w:pPr>
              <w:pStyle w:val="TableBody"/>
              <w:rPr>
                <w:i/>
                <w:iCs w:val="0"/>
              </w:rPr>
            </w:pPr>
          </w:p>
        </w:tc>
      </w:tr>
      <w:tr w:rsidR="003963CD" w14:paraId="079B7473" w14:textId="77777777" w:rsidTr="00341E22">
        <w:tc>
          <w:tcPr>
            <w:tcW w:w="872" w:type="pct"/>
          </w:tcPr>
          <w:p w14:paraId="2508C9DC" w14:textId="39227735" w:rsidR="003963CD" w:rsidRDefault="003963CD" w:rsidP="003963CD">
            <w:pPr>
              <w:pStyle w:val="TableBody"/>
            </w:pPr>
            <w:r w:rsidRPr="00985D33">
              <w:rPr>
                <w:bCs/>
              </w:rPr>
              <w:t>RTAML</w:t>
            </w:r>
            <w:r w:rsidRPr="00CE05DE">
              <w:rPr>
                <w:bCs/>
              </w:rPr>
              <w:t>ESRNW</w:t>
            </w:r>
            <w:r w:rsidRPr="00985D33">
              <w:rPr>
                <w:bCs/>
              </w:rPr>
              <w:t xml:space="preserve"> </w:t>
            </w:r>
            <w:r w:rsidRPr="00985D33">
              <w:rPr>
                <w:bCs/>
                <w:i/>
                <w:vertAlign w:val="subscript"/>
              </w:rPr>
              <w:t>q, p</w:t>
            </w:r>
          </w:p>
        </w:tc>
        <w:tc>
          <w:tcPr>
            <w:tcW w:w="456" w:type="pct"/>
          </w:tcPr>
          <w:p w14:paraId="5D34D303" w14:textId="7A43FD19" w:rsidR="003963CD" w:rsidRDefault="003963CD" w:rsidP="003963CD">
            <w:pPr>
              <w:pStyle w:val="TableBody"/>
            </w:pPr>
            <w:r w:rsidRPr="00913E6F">
              <w:rPr>
                <w:iCs w:val="0"/>
              </w:rPr>
              <w:t>MWh</w:t>
            </w:r>
          </w:p>
        </w:tc>
        <w:tc>
          <w:tcPr>
            <w:tcW w:w="3672" w:type="pct"/>
          </w:tcPr>
          <w:p w14:paraId="4E900EFA" w14:textId="1D51A7EA" w:rsidR="003963CD" w:rsidRDefault="003963CD" w:rsidP="003963CD">
            <w:pPr>
              <w:pStyle w:val="TableBody"/>
              <w:rPr>
                <w:i/>
              </w:rPr>
            </w:pPr>
            <w:r w:rsidRPr="00913E6F">
              <w:rPr>
                <w:i/>
                <w:iCs w:val="0"/>
              </w:rPr>
              <w:t xml:space="preserve">Real-Time Adjusted Metered Load </w:t>
            </w:r>
            <w:r>
              <w:rPr>
                <w:i/>
                <w:iCs w:val="0"/>
              </w:rPr>
              <w:t xml:space="preserve">for ESR Non-WSL </w:t>
            </w:r>
            <w:r w:rsidRPr="00913E6F">
              <w:rPr>
                <w:i/>
                <w:iCs w:val="0"/>
              </w:rPr>
              <w:t>per QSE per Settlement Point</w:t>
            </w:r>
            <w:r w:rsidRPr="00913E6F">
              <w:rPr>
                <w:iCs w:val="0"/>
              </w:rPr>
              <w:t xml:space="preserve">—The sum of the AML </w:t>
            </w:r>
            <w:r>
              <w:rPr>
                <w:iCs w:val="0"/>
              </w:rPr>
              <w:t xml:space="preserve">for the </w:t>
            </w:r>
            <w:r>
              <w:t>Non-WSL ESR Charging Load</w:t>
            </w:r>
            <w:r>
              <w:rPr>
                <w:iCs w:val="0"/>
              </w:rPr>
              <w:t xml:space="preserve"> </w:t>
            </w:r>
            <w:r w:rsidRPr="00913E6F">
              <w:rPr>
                <w:iCs w:val="0"/>
              </w:rPr>
              <w:t xml:space="preserve">at the Electrical Buses that are included in Settlement Point </w:t>
            </w:r>
            <w:r w:rsidRPr="00913E6F">
              <w:rPr>
                <w:i/>
                <w:iCs w:val="0"/>
              </w:rPr>
              <w:t>p</w:t>
            </w:r>
            <w:r w:rsidRPr="00913E6F">
              <w:rPr>
                <w:iCs w:val="0"/>
              </w:rPr>
              <w:t xml:space="preserve"> represented by QSE </w:t>
            </w:r>
            <w:r w:rsidRPr="00913E6F">
              <w:rPr>
                <w:i/>
                <w:iCs w:val="0"/>
              </w:rPr>
              <w:t>q</w:t>
            </w:r>
            <w:r w:rsidRPr="00913E6F">
              <w:rPr>
                <w:iCs w:val="0"/>
              </w:rPr>
              <w:t xml:space="preserve"> for the 15-minute Settlement Interval</w:t>
            </w:r>
            <w:r>
              <w:rPr>
                <w:iCs w:val="0"/>
              </w:rPr>
              <w:t xml:space="preserve">, represented as a positive value. </w:t>
            </w:r>
          </w:p>
        </w:tc>
      </w:tr>
      <w:tr w:rsidR="00341E22" w14:paraId="34BFCBFA" w14:textId="77777777" w:rsidTr="00341E22">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41E22" w14:paraId="73599B7C" w14:textId="77777777" w:rsidTr="00425355">
              <w:trPr>
                <w:trHeight w:val="566"/>
              </w:trPr>
              <w:tc>
                <w:tcPr>
                  <w:tcW w:w="9576" w:type="dxa"/>
                  <w:shd w:val="pct12" w:color="auto" w:fill="auto"/>
                </w:tcPr>
                <w:p w14:paraId="0982A79E" w14:textId="48E98466" w:rsidR="00341E22" w:rsidRDefault="00341E22" w:rsidP="00341E22">
                  <w:pPr>
                    <w:pStyle w:val="Instructions"/>
                    <w:spacing w:before="60"/>
                  </w:pPr>
                  <w:r>
                    <w:t xml:space="preserve">[NPRR995:  </w:t>
                  </w:r>
                  <w:r w:rsidR="00031AC3">
                    <w:t xml:space="preserve">Insert the </w:t>
                  </w:r>
                  <w:r>
                    <w:t>variable “</w:t>
                  </w:r>
                  <w:r w:rsidR="00031AC3" w:rsidRPr="00031AC3">
                    <w:t>RTAMLNWSOL</w:t>
                  </w:r>
                  <w:r w:rsidR="00031AC3" w:rsidRPr="00031AC3">
                    <w:rPr>
                      <w:vertAlign w:val="subscript"/>
                    </w:rPr>
                    <w:t xml:space="preserve"> q, p</w:t>
                  </w:r>
                  <w:r>
                    <w:t xml:space="preserve">” </w:t>
                  </w:r>
                  <w:r w:rsidR="00031AC3">
                    <w:t>below</w:t>
                  </w:r>
                  <w:r>
                    <w:t xml:space="preserve">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42"/>
                    <w:gridCol w:w="697"/>
                    <w:gridCol w:w="6531"/>
                  </w:tblGrid>
                  <w:tr w:rsidR="00031AC3" w14:paraId="5ACEC66C" w14:textId="77777777" w:rsidTr="00031AC3">
                    <w:tc>
                      <w:tcPr>
                        <w:tcW w:w="808" w:type="pct"/>
                      </w:tcPr>
                      <w:p w14:paraId="74651D68" w14:textId="490F4223" w:rsidR="00031AC3" w:rsidRDefault="00031AC3" w:rsidP="00031AC3">
                        <w:pPr>
                          <w:pStyle w:val="TableBody"/>
                        </w:pPr>
                        <w:r>
                          <w:rPr>
                            <w:bCs/>
                            <w:iCs w:val="0"/>
                          </w:rPr>
                          <w:t xml:space="preserve">RTAMLNWSOL </w:t>
                        </w:r>
                        <w:r>
                          <w:rPr>
                            <w:bCs/>
                            <w:i/>
                            <w:iCs w:val="0"/>
                            <w:vertAlign w:val="subscript"/>
                          </w:rPr>
                          <w:t>q, p</w:t>
                        </w:r>
                      </w:p>
                    </w:tc>
                    <w:tc>
                      <w:tcPr>
                        <w:tcW w:w="393" w:type="pct"/>
                      </w:tcPr>
                      <w:p w14:paraId="662603C8" w14:textId="6592561D" w:rsidR="00031AC3" w:rsidRDefault="00031AC3" w:rsidP="00031AC3">
                        <w:pPr>
                          <w:pStyle w:val="TableBody"/>
                        </w:pPr>
                        <w:r>
                          <w:t>MWh</w:t>
                        </w:r>
                      </w:p>
                    </w:tc>
                    <w:tc>
                      <w:tcPr>
                        <w:tcW w:w="3799" w:type="pct"/>
                      </w:tcPr>
                      <w:p w14:paraId="5B6C0A2A" w14:textId="1228B0D1" w:rsidR="00031AC3" w:rsidRDefault="00031AC3" w:rsidP="00031AC3">
                        <w:pPr>
                          <w:pStyle w:val="TableBody"/>
                        </w:pPr>
                        <w:r>
                          <w:rPr>
                            <w:i/>
                          </w:rPr>
                          <w:t>Real-Time Adjusted Metered Load for Non-WSL Settlement Only</w:t>
                        </w:r>
                        <w:r>
                          <w:t xml:space="preserve"> </w:t>
                        </w:r>
                        <w:r>
                          <w:rPr>
                            <w:i/>
                          </w:rPr>
                          <w:t>Charging Load per QSE per Settlement Point</w:t>
                        </w:r>
                        <w:r>
                          <w:t xml:space="preserve">—The sum of the AML for the Non-WSL Settlement Only Charging Load for the SODESS or SOTESS site that are included in Settlement Point </w:t>
                        </w:r>
                        <w:r>
                          <w:rPr>
                            <w:i/>
                          </w:rPr>
                          <w:t>p</w:t>
                        </w:r>
                        <w:r>
                          <w:t xml:space="preserve"> represented by QSE </w:t>
                        </w:r>
                        <w:r>
                          <w:rPr>
                            <w:i/>
                          </w:rPr>
                          <w:t>q</w:t>
                        </w:r>
                        <w:r>
                          <w:t xml:space="preserve"> for the 15-minute Settlement Interval, represented as a positive value. </w:t>
                        </w:r>
                      </w:p>
                    </w:tc>
                  </w:tr>
                </w:tbl>
                <w:p w14:paraId="499EFCEB" w14:textId="77777777" w:rsidR="00341E22" w:rsidRPr="008E2BE2" w:rsidRDefault="00341E22" w:rsidP="00341E22">
                  <w:pPr>
                    <w:pStyle w:val="TableBody"/>
                  </w:pPr>
                </w:p>
              </w:tc>
            </w:tr>
          </w:tbl>
          <w:p w14:paraId="1430F1FA" w14:textId="77777777" w:rsidR="00341E22" w:rsidRDefault="00341E22" w:rsidP="00AC4DEE">
            <w:pPr>
              <w:pStyle w:val="TableBody"/>
              <w:rPr>
                <w:i/>
              </w:rPr>
            </w:pPr>
          </w:p>
        </w:tc>
      </w:tr>
      <w:tr w:rsidR="001F04FD" w14:paraId="0DE84FAB" w14:textId="77777777" w:rsidTr="00341E22">
        <w:tc>
          <w:tcPr>
            <w:tcW w:w="872" w:type="pct"/>
          </w:tcPr>
          <w:p w14:paraId="1F34907D" w14:textId="77777777" w:rsidR="001F04FD" w:rsidRDefault="001F04FD" w:rsidP="00AC4DEE">
            <w:pPr>
              <w:pStyle w:val="TableBody"/>
            </w:pPr>
            <w:r>
              <w:t xml:space="preserve">SSSK </w:t>
            </w:r>
            <w:r w:rsidRPr="00107CC2">
              <w:rPr>
                <w:i/>
                <w:vertAlign w:val="subscript"/>
              </w:rPr>
              <w:t>q, p</w:t>
            </w:r>
          </w:p>
        </w:tc>
        <w:tc>
          <w:tcPr>
            <w:tcW w:w="456" w:type="pct"/>
          </w:tcPr>
          <w:p w14:paraId="3E97D67D" w14:textId="77777777" w:rsidR="001F04FD" w:rsidRDefault="001F04FD" w:rsidP="00AC4DEE">
            <w:pPr>
              <w:pStyle w:val="TableBody"/>
            </w:pPr>
            <w:r>
              <w:t>MW</w:t>
            </w:r>
          </w:p>
        </w:tc>
        <w:tc>
          <w:tcPr>
            <w:tcW w:w="3672" w:type="pct"/>
          </w:tcPr>
          <w:p w14:paraId="620C5366" w14:textId="77777777" w:rsidR="001F04FD" w:rsidRDefault="001F04FD" w:rsidP="00AC4DEE">
            <w:pPr>
              <w:pStyle w:val="TableBody"/>
            </w:pPr>
            <w:r>
              <w:rPr>
                <w:i/>
              </w:rPr>
              <w:t>Self-Schedule with Sink at Settlement Point per QSE per Settlement Point</w:t>
            </w:r>
            <w:r>
              <w:t xml:space="preserve">—The QSE </w:t>
            </w:r>
            <w:r>
              <w:rPr>
                <w:i/>
              </w:rPr>
              <w:t>q</w:t>
            </w:r>
            <w:r>
              <w:t xml:space="preserve">’s Self-Schedule with sink at Settlement Point </w:t>
            </w:r>
            <w:r>
              <w:rPr>
                <w:i/>
              </w:rPr>
              <w:t>p</w:t>
            </w:r>
            <w:r>
              <w:t>, for the 15-minute Settlement Interval.</w:t>
            </w:r>
          </w:p>
        </w:tc>
      </w:tr>
      <w:tr w:rsidR="001F04FD" w14:paraId="16348D12" w14:textId="77777777" w:rsidTr="00341E22">
        <w:tc>
          <w:tcPr>
            <w:tcW w:w="872" w:type="pct"/>
          </w:tcPr>
          <w:p w14:paraId="2444FDE8" w14:textId="77777777" w:rsidR="001F04FD" w:rsidRDefault="001F04FD" w:rsidP="00AC4DEE">
            <w:pPr>
              <w:pStyle w:val="TableBody"/>
            </w:pPr>
            <w:r>
              <w:t xml:space="preserve">DAEP </w:t>
            </w:r>
            <w:r w:rsidRPr="00107CC2">
              <w:rPr>
                <w:i/>
                <w:vertAlign w:val="subscript"/>
              </w:rPr>
              <w:t>q, p</w:t>
            </w:r>
          </w:p>
        </w:tc>
        <w:tc>
          <w:tcPr>
            <w:tcW w:w="456" w:type="pct"/>
          </w:tcPr>
          <w:p w14:paraId="05CD7C42" w14:textId="77777777" w:rsidR="001F04FD" w:rsidRDefault="001F04FD" w:rsidP="00AC4DEE">
            <w:pPr>
              <w:pStyle w:val="TableBody"/>
            </w:pPr>
            <w:r>
              <w:t>MW</w:t>
            </w:r>
          </w:p>
        </w:tc>
        <w:tc>
          <w:tcPr>
            <w:tcW w:w="3672" w:type="pct"/>
          </w:tcPr>
          <w:p w14:paraId="07176976" w14:textId="77777777" w:rsidR="001C0176" w:rsidRDefault="001F04FD" w:rsidP="00AC4DEE">
            <w:pPr>
              <w:pStyle w:val="TableBody"/>
            </w:pPr>
            <w:r>
              <w:rPr>
                <w:i/>
              </w:rPr>
              <w:t>Day-Ahead Energy Purchase per QSE per Settlement Point</w:t>
            </w:r>
            <w:r>
              <w:t xml:space="preserve">—The QSE </w:t>
            </w:r>
            <w:r>
              <w:rPr>
                <w:i/>
              </w:rPr>
              <w:t>q</w:t>
            </w:r>
            <w:r>
              <w:t xml:space="preserve">’s DAM Energy Bids at Settlement Point </w:t>
            </w:r>
            <w:r>
              <w:rPr>
                <w:i/>
              </w:rPr>
              <w:t>p</w:t>
            </w:r>
            <w:r>
              <w:t xml:space="preserve"> cleared in the DAM, for the hour that includes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627"/>
            </w:tblGrid>
            <w:tr w:rsidR="001C0176" w14:paraId="235CAE34" w14:textId="77777777" w:rsidTr="00F5593C">
              <w:trPr>
                <w:trHeight w:val="206"/>
              </w:trPr>
              <w:tc>
                <w:tcPr>
                  <w:tcW w:w="0" w:type="auto"/>
                  <w:shd w:val="pct12" w:color="auto" w:fill="auto"/>
                </w:tcPr>
                <w:p w14:paraId="283587DF" w14:textId="3FB0235B" w:rsidR="001C0176" w:rsidRDefault="001C0176" w:rsidP="001C0176">
                  <w:pPr>
                    <w:pStyle w:val="Instructions"/>
                    <w:spacing w:before="120"/>
                  </w:pPr>
                  <w:r>
                    <w:t>[NPRR1188:  Replace the description above with the following upon system implementation:]</w:t>
                  </w:r>
                </w:p>
                <w:p w14:paraId="28AA2BBD" w14:textId="52704B6D" w:rsidR="001C0176" w:rsidRPr="008F39F7" w:rsidRDefault="001C0176" w:rsidP="001C0176">
                  <w:pPr>
                    <w:pStyle w:val="TableBody"/>
                  </w:pPr>
                  <w:r w:rsidRPr="00812ECB">
                    <w:rPr>
                      <w:i/>
                    </w:rPr>
                    <w:lastRenderedPageBreak/>
                    <w:t>Day-Ahead Energy Purchase per QSE per Settlement Point</w:t>
                  </w:r>
                  <w:r w:rsidRPr="00812ECB">
                    <w:t xml:space="preserve">—The QSE </w:t>
                  </w:r>
                  <w:r w:rsidRPr="00812ECB">
                    <w:rPr>
                      <w:i/>
                    </w:rPr>
                    <w:t>q</w:t>
                  </w:r>
                  <w:r w:rsidRPr="00812ECB">
                    <w:t xml:space="preserve">’s DAM Energy Bids and Energy Bid Curves at Settlement Point </w:t>
                  </w:r>
                  <w:r w:rsidRPr="00812ECB">
                    <w:rPr>
                      <w:i/>
                    </w:rPr>
                    <w:t>p</w:t>
                  </w:r>
                  <w:r w:rsidRPr="00812ECB">
                    <w:t xml:space="preserve"> cleared in the DAM, for the hour that includes the 15-minute Settlement Interval.</w:t>
                  </w:r>
                </w:p>
              </w:tc>
            </w:tr>
          </w:tbl>
          <w:p w14:paraId="3724B4B0" w14:textId="66F6047F" w:rsidR="001F04FD" w:rsidRDefault="001F04FD" w:rsidP="00AC4DEE">
            <w:pPr>
              <w:pStyle w:val="TableBody"/>
            </w:pPr>
          </w:p>
        </w:tc>
      </w:tr>
      <w:tr w:rsidR="001F04FD" w14:paraId="6B0E539E" w14:textId="77777777" w:rsidTr="00341E22">
        <w:tc>
          <w:tcPr>
            <w:tcW w:w="872" w:type="pct"/>
          </w:tcPr>
          <w:p w14:paraId="7914A9CD" w14:textId="77777777" w:rsidR="001F04FD" w:rsidRDefault="001F04FD" w:rsidP="00AC4DEE">
            <w:pPr>
              <w:pStyle w:val="TableBody"/>
            </w:pPr>
            <w:r>
              <w:lastRenderedPageBreak/>
              <w:t xml:space="preserve">RTQQEP </w:t>
            </w:r>
            <w:r w:rsidRPr="00107CC2">
              <w:rPr>
                <w:i/>
                <w:vertAlign w:val="subscript"/>
              </w:rPr>
              <w:t>q, p</w:t>
            </w:r>
            <w:r>
              <w:t xml:space="preserve"> </w:t>
            </w:r>
          </w:p>
        </w:tc>
        <w:tc>
          <w:tcPr>
            <w:tcW w:w="456" w:type="pct"/>
          </w:tcPr>
          <w:p w14:paraId="28C31B81" w14:textId="77777777" w:rsidR="001F04FD" w:rsidRDefault="001F04FD" w:rsidP="00AC4DEE">
            <w:pPr>
              <w:pStyle w:val="TableBody"/>
            </w:pPr>
            <w:r>
              <w:t>MW</w:t>
            </w:r>
          </w:p>
        </w:tc>
        <w:tc>
          <w:tcPr>
            <w:tcW w:w="3672" w:type="pct"/>
          </w:tcPr>
          <w:p w14:paraId="6002EB6B" w14:textId="77777777" w:rsidR="001F04FD" w:rsidRDefault="001F04FD" w:rsidP="00AC4DEE">
            <w:pPr>
              <w:pStyle w:val="TableBody"/>
            </w:pPr>
            <w:r>
              <w:rPr>
                <w:i/>
              </w:rPr>
              <w:t>Real-Time QSE-to-QSE Energy Purchase per QSE per Settlement Point</w:t>
            </w:r>
            <w:r>
              <w:sym w:font="Symbol" w:char="F0BE"/>
            </w:r>
            <w:r>
              <w:t xml:space="preserve">The amount of MW bought by QSE </w:t>
            </w:r>
            <w:r>
              <w:rPr>
                <w:i/>
              </w:rPr>
              <w:t>q</w:t>
            </w:r>
            <w:r>
              <w:t xml:space="preserve"> through Energy Trades at Settlement Point </w:t>
            </w:r>
            <w:r>
              <w:rPr>
                <w:i/>
              </w:rPr>
              <w:t>p</w:t>
            </w:r>
            <w:r>
              <w:t>, for the 15-minute Settlement Interval.</w:t>
            </w:r>
          </w:p>
        </w:tc>
      </w:tr>
      <w:tr w:rsidR="001F04FD" w14:paraId="0397A95E" w14:textId="77777777" w:rsidTr="00341E22">
        <w:tc>
          <w:tcPr>
            <w:tcW w:w="872" w:type="pct"/>
          </w:tcPr>
          <w:p w14:paraId="1FAAB5E2" w14:textId="77777777" w:rsidR="001F04FD" w:rsidRDefault="001F04FD" w:rsidP="00AC4DEE">
            <w:pPr>
              <w:pStyle w:val="TableBody"/>
            </w:pPr>
            <w:r>
              <w:t xml:space="preserve">SSSR </w:t>
            </w:r>
            <w:r w:rsidRPr="00107CC2">
              <w:rPr>
                <w:i/>
                <w:vertAlign w:val="subscript"/>
              </w:rPr>
              <w:t>q, p</w:t>
            </w:r>
          </w:p>
        </w:tc>
        <w:tc>
          <w:tcPr>
            <w:tcW w:w="456" w:type="pct"/>
          </w:tcPr>
          <w:p w14:paraId="73105EB7" w14:textId="77777777" w:rsidR="001F04FD" w:rsidRDefault="001F04FD" w:rsidP="00AC4DEE">
            <w:pPr>
              <w:pStyle w:val="TableBody"/>
            </w:pPr>
            <w:r>
              <w:t>MW</w:t>
            </w:r>
          </w:p>
        </w:tc>
        <w:tc>
          <w:tcPr>
            <w:tcW w:w="3672" w:type="pct"/>
          </w:tcPr>
          <w:p w14:paraId="560E747C" w14:textId="77777777" w:rsidR="001F04FD" w:rsidRDefault="001F04FD" w:rsidP="00AC4DEE">
            <w:pPr>
              <w:pStyle w:val="TableBody"/>
            </w:pPr>
            <w:r>
              <w:rPr>
                <w:i/>
              </w:rPr>
              <w:t>Self-Schedule with Source at Settlement Point per QSE per Settlement Point</w:t>
            </w:r>
            <w:r>
              <w:t xml:space="preserve">—The QSE </w:t>
            </w:r>
            <w:r>
              <w:rPr>
                <w:i/>
              </w:rPr>
              <w:t>q</w:t>
            </w:r>
            <w:r>
              <w:t xml:space="preserve">’s Self-Schedule with source at Settlement Point </w:t>
            </w:r>
            <w:r>
              <w:rPr>
                <w:i/>
              </w:rPr>
              <w:t>p</w:t>
            </w:r>
            <w:r>
              <w:t>, for the 15-minute Settlement Interval.</w:t>
            </w:r>
          </w:p>
        </w:tc>
      </w:tr>
      <w:tr w:rsidR="001F04FD" w14:paraId="658BD197" w14:textId="77777777" w:rsidTr="00341E22">
        <w:tc>
          <w:tcPr>
            <w:tcW w:w="872" w:type="pct"/>
          </w:tcPr>
          <w:p w14:paraId="6C493956" w14:textId="77777777" w:rsidR="001F04FD" w:rsidRDefault="001F04FD" w:rsidP="00AC4DEE">
            <w:pPr>
              <w:pStyle w:val="TableBody"/>
            </w:pPr>
            <w:r>
              <w:t xml:space="preserve">DAES </w:t>
            </w:r>
            <w:r w:rsidRPr="00107CC2">
              <w:rPr>
                <w:i/>
                <w:vertAlign w:val="subscript"/>
              </w:rPr>
              <w:t>q, p</w:t>
            </w:r>
          </w:p>
        </w:tc>
        <w:tc>
          <w:tcPr>
            <w:tcW w:w="456" w:type="pct"/>
          </w:tcPr>
          <w:p w14:paraId="50298F4D" w14:textId="77777777" w:rsidR="001F04FD" w:rsidRDefault="001F04FD" w:rsidP="00AC4DEE">
            <w:pPr>
              <w:pStyle w:val="TableBody"/>
            </w:pPr>
            <w:r>
              <w:t>MW</w:t>
            </w:r>
          </w:p>
        </w:tc>
        <w:tc>
          <w:tcPr>
            <w:tcW w:w="3672" w:type="pct"/>
          </w:tcPr>
          <w:p w14:paraId="656B6EF0" w14:textId="77777777" w:rsidR="001F04FD" w:rsidRDefault="001F04FD" w:rsidP="00AC4DEE">
            <w:pPr>
              <w:pStyle w:val="TableBody"/>
            </w:pPr>
            <w:r>
              <w:rPr>
                <w:i/>
              </w:rPr>
              <w:t>Day-Ahead Energy Sale per QSE per Settlement Point</w:t>
            </w:r>
            <w:r>
              <w:t xml:space="preserve">—The QSE </w:t>
            </w:r>
            <w:r>
              <w:rPr>
                <w:i/>
              </w:rPr>
              <w:t>q</w:t>
            </w:r>
            <w:r>
              <w:t xml:space="preserve">’s energy offers at Settlement Point </w:t>
            </w:r>
            <w:r>
              <w:rPr>
                <w:i/>
              </w:rPr>
              <w:t>p</w:t>
            </w:r>
            <w:r>
              <w:t xml:space="preserve"> cleared in the DAM, for the hour that includes the 15-minute Settlement Interval.</w:t>
            </w:r>
          </w:p>
        </w:tc>
      </w:tr>
      <w:tr w:rsidR="001F04FD" w14:paraId="777C3B70" w14:textId="77777777" w:rsidTr="00341E22">
        <w:tc>
          <w:tcPr>
            <w:tcW w:w="872" w:type="pct"/>
          </w:tcPr>
          <w:p w14:paraId="3FF476FB" w14:textId="77777777" w:rsidR="001F04FD" w:rsidRDefault="001F04FD" w:rsidP="00AC4DEE">
            <w:pPr>
              <w:pStyle w:val="TableBody"/>
            </w:pPr>
            <w:r>
              <w:t xml:space="preserve">RTQQES </w:t>
            </w:r>
            <w:r w:rsidRPr="00107CC2">
              <w:rPr>
                <w:i/>
                <w:vertAlign w:val="subscript"/>
              </w:rPr>
              <w:t>q, p</w:t>
            </w:r>
            <w:r>
              <w:t xml:space="preserve"> </w:t>
            </w:r>
          </w:p>
        </w:tc>
        <w:tc>
          <w:tcPr>
            <w:tcW w:w="456" w:type="pct"/>
          </w:tcPr>
          <w:p w14:paraId="20854EF5" w14:textId="77777777" w:rsidR="001F04FD" w:rsidRDefault="001F04FD" w:rsidP="00AC4DEE">
            <w:pPr>
              <w:pStyle w:val="TableBody"/>
            </w:pPr>
            <w:r>
              <w:t>MW</w:t>
            </w:r>
          </w:p>
        </w:tc>
        <w:tc>
          <w:tcPr>
            <w:tcW w:w="3672" w:type="pct"/>
          </w:tcPr>
          <w:p w14:paraId="3532C354" w14:textId="77777777" w:rsidR="001F04FD" w:rsidRDefault="001F04FD" w:rsidP="00AC4DEE">
            <w:pPr>
              <w:pStyle w:val="TableBody"/>
            </w:pPr>
            <w:r>
              <w:rPr>
                <w:i/>
              </w:rPr>
              <w:t>Real-Time QSE-to-QSE Energy Sale per QSE per Settlement Point</w:t>
            </w:r>
            <w:r>
              <w:sym w:font="Symbol" w:char="F0BE"/>
            </w:r>
            <w:r>
              <w:t xml:space="preserve">The amount of MW sold by QSE </w:t>
            </w:r>
            <w:r>
              <w:rPr>
                <w:i/>
              </w:rPr>
              <w:t>q</w:t>
            </w:r>
            <w:r>
              <w:t xml:space="preserve"> through Energy Trades at Settlement Point </w:t>
            </w:r>
            <w:r>
              <w:rPr>
                <w:i/>
              </w:rPr>
              <w:t>p</w:t>
            </w:r>
            <w:r>
              <w:t>, for the 15-minute Settlement Interval.</w:t>
            </w:r>
          </w:p>
        </w:tc>
      </w:tr>
      <w:tr w:rsidR="001F04FD" w14:paraId="54BCE417" w14:textId="77777777" w:rsidTr="00341E22">
        <w:tc>
          <w:tcPr>
            <w:tcW w:w="872" w:type="pct"/>
          </w:tcPr>
          <w:p w14:paraId="7401344A" w14:textId="3269B0C6" w:rsidR="001F04FD" w:rsidRDefault="001F04FD" w:rsidP="00AC4DEE">
            <w:pPr>
              <w:pStyle w:val="TableBody"/>
            </w:pPr>
            <w:r>
              <w:t>RTMG</w:t>
            </w:r>
            <w:r w:rsidR="00BE136C">
              <w:t>SOGZ</w:t>
            </w:r>
            <w:r>
              <w:t xml:space="preserve"> </w:t>
            </w:r>
            <w:r w:rsidRPr="00107CC2">
              <w:rPr>
                <w:i/>
                <w:vertAlign w:val="subscript"/>
              </w:rPr>
              <w:t>q, p</w:t>
            </w:r>
          </w:p>
        </w:tc>
        <w:tc>
          <w:tcPr>
            <w:tcW w:w="456" w:type="pct"/>
          </w:tcPr>
          <w:p w14:paraId="6D3FFDC8" w14:textId="77777777" w:rsidR="001F04FD" w:rsidRDefault="001F04FD" w:rsidP="00AC4DEE">
            <w:pPr>
              <w:pStyle w:val="TableBody"/>
              <w:rPr>
                <w:highlight w:val="yellow"/>
              </w:rPr>
            </w:pPr>
            <w:r>
              <w:t>MWh</w:t>
            </w:r>
          </w:p>
        </w:tc>
        <w:tc>
          <w:tcPr>
            <w:tcW w:w="3672" w:type="pct"/>
          </w:tcPr>
          <w:p w14:paraId="1EC3B329" w14:textId="516B7BFD" w:rsidR="001F04FD" w:rsidRDefault="001F04FD" w:rsidP="00CE3A65">
            <w:pPr>
              <w:pStyle w:val="TableBody"/>
              <w:rPr>
                <w:i/>
              </w:rPr>
            </w:pPr>
            <w:r>
              <w:rPr>
                <w:i/>
              </w:rPr>
              <w:t xml:space="preserve">Real-Time Metered Generation from </w:t>
            </w:r>
            <w:r w:rsidR="00844FE5">
              <w:rPr>
                <w:i/>
              </w:rPr>
              <w:t>Settlement Only</w:t>
            </w:r>
            <w:r>
              <w:rPr>
                <w:i/>
              </w:rPr>
              <w:t xml:space="preserve"> </w:t>
            </w:r>
            <w:r w:rsidR="00844FE5">
              <w:rPr>
                <w:i/>
              </w:rPr>
              <w:t>G</w:t>
            </w:r>
            <w:r>
              <w:rPr>
                <w:i/>
              </w:rPr>
              <w:t xml:space="preserve">enerators </w:t>
            </w:r>
            <w:r w:rsidR="00BE136C">
              <w:rPr>
                <w:i/>
              </w:rPr>
              <w:t xml:space="preserve">Zonal </w:t>
            </w:r>
            <w:r>
              <w:rPr>
                <w:i/>
              </w:rPr>
              <w:t>per QSE per Settlement Point</w:t>
            </w:r>
            <w:r>
              <w:t xml:space="preserve">—The total Real-Time energy produced by </w:t>
            </w:r>
            <w:r w:rsidR="00844FE5">
              <w:t>SO</w:t>
            </w:r>
            <w:r w:rsidR="00BE136C">
              <w:t>TS</w:t>
            </w:r>
            <w:r w:rsidR="00844FE5">
              <w:t>Gs</w:t>
            </w:r>
            <w:r>
              <w:t xml:space="preserve"> represented by QSE </w:t>
            </w:r>
            <w:r>
              <w:rPr>
                <w:i/>
              </w:rPr>
              <w:t>q</w:t>
            </w:r>
            <w:r>
              <w:t xml:space="preserve"> in Load Zone Settlement Point </w:t>
            </w:r>
            <w:r>
              <w:rPr>
                <w:i/>
              </w:rPr>
              <w:t>p</w:t>
            </w:r>
            <w:r>
              <w:t>, for the 15-minute Settlement Interval.</w:t>
            </w:r>
            <w:r w:rsidR="00BE136C">
              <w:rPr>
                <w:iCs w:val="0"/>
              </w:rPr>
              <w:t xml:space="preserve">  </w:t>
            </w:r>
            <w:r w:rsidR="00BE136C" w:rsidRPr="006D79BF">
              <w:t xml:space="preserve">MWh quantities for </w:t>
            </w:r>
            <w:r w:rsidR="00BE136C">
              <w:t xml:space="preserve">ESS SODGs and SOTGs at sites where the ESS capacity constitutes more than 50% of the total SOG nameplate capacity </w:t>
            </w:r>
            <w:r w:rsidR="00BE136C" w:rsidRPr="006D79BF">
              <w:t>will be included in this value.</w:t>
            </w:r>
            <w:r w:rsidR="00BE136C">
              <w:t xml:space="preserve">  </w:t>
            </w:r>
            <w:r w:rsidR="00BE136C">
              <w:rPr>
                <w:iCs w:val="0"/>
              </w:rPr>
              <w:t>MWh quantities for SODGs and SOTGs that have opted out of nodal pricing pursuant to Section 6.6.3.</w:t>
            </w:r>
            <w:r w:rsidR="0076227F">
              <w:rPr>
                <w:iCs w:val="0"/>
              </w:rPr>
              <w:t>8</w:t>
            </w:r>
            <w:r w:rsidR="00CE3A65">
              <w:rPr>
                <w:iCs w:val="0"/>
              </w:rPr>
              <w:t xml:space="preserve"> </w:t>
            </w:r>
            <w:r w:rsidR="00BE136C">
              <w:rPr>
                <w:iCs w:val="0"/>
              </w:rPr>
              <w:t>will also be included in this value.</w:t>
            </w:r>
          </w:p>
        </w:tc>
      </w:tr>
      <w:tr w:rsidR="001F04FD" w14:paraId="1C4A2773" w14:textId="77777777" w:rsidTr="00341E22">
        <w:tc>
          <w:tcPr>
            <w:tcW w:w="872" w:type="pct"/>
          </w:tcPr>
          <w:p w14:paraId="5F48D79E" w14:textId="77777777" w:rsidR="001F04FD" w:rsidRPr="008A4B73" w:rsidRDefault="001F04FD" w:rsidP="00AC4DEE">
            <w:pPr>
              <w:pStyle w:val="TableBody"/>
              <w:rPr>
                <w:i/>
              </w:rPr>
            </w:pPr>
            <w:r w:rsidRPr="00A61E91">
              <w:rPr>
                <w:i/>
              </w:rPr>
              <w:t>q</w:t>
            </w:r>
          </w:p>
        </w:tc>
        <w:tc>
          <w:tcPr>
            <w:tcW w:w="456" w:type="pct"/>
          </w:tcPr>
          <w:p w14:paraId="0884AC0F" w14:textId="77777777" w:rsidR="001F04FD" w:rsidRDefault="001F04FD" w:rsidP="00AC4DEE">
            <w:pPr>
              <w:pStyle w:val="TableBody"/>
            </w:pPr>
            <w:r>
              <w:t>none</w:t>
            </w:r>
          </w:p>
        </w:tc>
        <w:tc>
          <w:tcPr>
            <w:tcW w:w="3672" w:type="pct"/>
          </w:tcPr>
          <w:p w14:paraId="64C95EE3" w14:textId="77777777" w:rsidR="001F04FD" w:rsidRDefault="001F04FD" w:rsidP="00AC4DEE">
            <w:pPr>
              <w:pStyle w:val="TableBody"/>
            </w:pPr>
            <w:r>
              <w:t>A QSE.</w:t>
            </w:r>
          </w:p>
        </w:tc>
      </w:tr>
      <w:tr w:rsidR="001F04FD" w14:paraId="25E7C483" w14:textId="77777777" w:rsidTr="00341E22">
        <w:tc>
          <w:tcPr>
            <w:tcW w:w="872" w:type="pct"/>
          </w:tcPr>
          <w:p w14:paraId="63D8195A" w14:textId="77777777" w:rsidR="001F04FD" w:rsidRPr="008A4B73" w:rsidRDefault="001F04FD" w:rsidP="00AC4DEE">
            <w:pPr>
              <w:pStyle w:val="TableBody"/>
              <w:rPr>
                <w:i/>
              </w:rPr>
            </w:pPr>
            <w:r w:rsidRPr="00A61E91">
              <w:rPr>
                <w:i/>
              </w:rPr>
              <w:t>p</w:t>
            </w:r>
          </w:p>
        </w:tc>
        <w:tc>
          <w:tcPr>
            <w:tcW w:w="456" w:type="pct"/>
          </w:tcPr>
          <w:p w14:paraId="745182D6" w14:textId="77777777" w:rsidR="001F04FD" w:rsidRDefault="001F04FD" w:rsidP="00AC4DEE">
            <w:pPr>
              <w:pStyle w:val="TableBody"/>
            </w:pPr>
            <w:r>
              <w:t>none</w:t>
            </w:r>
          </w:p>
        </w:tc>
        <w:tc>
          <w:tcPr>
            <w:tcW w:w="3672" w:type="pct"/>
          </w:tcPr>
          <w:p w14:paraId="76153038" w14:textId="77777777" w:rsidR="001F04FD" w:rsidRDefault="001F04FD" w:rsidP="00AC4DEE">
            <w:pPr>
              <w:pStyle w:val="TableBody"/>
            </w:pPr>
            <w:r>
              <w:t>A Load Zone Settlement Point.</w:t>
            </w:r>
          </w:p>
        </w:tc>
      </w:tr>
    </w:tbl>
    <w:p w14:paraId="476AAC48" w14:textId="77777777" w:rsidR="001F04FD" w:rsidRDefault="001F04FD" w:rsidP="001F04FD">
      <w:pPr>
        <w:pStyle w:val="BodyTextNumbered"/>
        <w:spacing w:before="240"/>
      </w:pPr>
      <w:r>
        <w:t>(3)</w:t>
      </w:r>
      <w:r>
        <w:tab/>
        <w:t>The total net payments and charges to each QSE for Energy Imbalance Service at all Load Zones for the 15-minute Settlement Interval is calculated as follows:</w:t>
      </w:r>
    </w:p>
    <w:p w14:paraId="62602610" w14:textId="77777777" w:rsidR="001F04FD" w:rsidRDefault="001F04FD" w:rsidP="001F04FD">
      <w:pPr>
        <w:pStyle w:val="FormulaBold"/>
      </w:pPr>
      <w:r>
        <w:t xml:space="preserve">RTEIAMTQSETOT </w:t>
      </w:r>
      <w:r>
        <w:rPr>
          <w:i/>
          <w:vertAlign w:val="subscript"/>
        </w:rPr>
        <w:t>q</w:t>
      </w:r>
      <w:r>
        <w:tab/>
        <w:t>=</w:t>
      </w:r>
      <w:r>
        <w:tab/>
      </w:r>
      <w:r w:rsidRPr="006F784F">
        <w:rPr>
          <w:position w:val="-22"/>
        </w:rPr>
        <w:object w:dxaOrig="225" w:dyaOrig="465" w14:anchorId="0528E05A">
          <v:shape id="_x0000_i1156" type="#_x0000_t75" style="width:12pt;height:18pt" o:ole="">
            <v:imagedata r:id="rId172" o:title=""/>
          </v:shape>
          <o:OLEObject Type="Embed" ProgID="Equation.3" ShapeID="_x0000_i1156" DrawAspect="Content" ObjectID="_1815025346" r:id="rId174"/>
        </w:object>
      </w:r>
      <w:r>
        <w:t xml:space="preserve">RTEIAMT </w:t>
      </w:r>
      <w:r>
        <w:rPr>
          <w:i/>
          <w:vertAlign w:val="subscript"/>
        </w:rPr>
        <w:t>q, p</w:t>
      </w:r>
    </w:p>
    <w:p w14:paraId="1DA120D6" w14:textId="77777777" w:rsidR="001F04FD" w:rsidRDefault="001F04FD" w:rsidP="001F04FD">
      <w:r>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358"/>
      </w:tblGrid>
      <w:tr w:rsidR="001F04FD" w14:paraId="6E86037F" w14:textId="77777777" w:rsidTr="002401F7">
        <w:tc>
          <w:tcPr>
            <w:tcW w:w="2165" w:type="dxa"/>
          </w:tcPr>
          <w:p w14:paraId="4975703B" w14:textId="77777777" w:rsidR="001F04FD" w:rsidRDefault="001F04FD" w:rsidP="00AC4DEE">
            <w:pPr>
              <w:pStyle w:val="TableHead"/>
            </w:pPr>
            <w:r>
              <w:t>Variable</w:t>
            </w:r>
          </w:p>
        </w:tc>
        <w:tc>
          <w:tcPr>
            <w:tcW w:w="832" w:type="dxa"/>
          </w:tcPr>
          <w:p w14:paraId="395F7401" w14:textId="77777777" w:rsidR="001F04FD" w:rsidRDefault="001F04FD" w:rsidP="00AC4DEE">
            <w:pPr>
              <w:pStyle w:val="TableHead"/>
            </w:pPr>
            <w:r>
              <w:t>Unit</w:t>
            </w:r>
          </w:p>
        </w:tc>
        <w:tc>
          <w:tcPr>
            <w:tcW w:w="6358" w:type="dxa"/>
          </w:tcPr>
          <w:p w14:paraId="1DF22BC6" w14:textId="77777777" w:rsidR="001F04FD" w:rsidRDefault="001F04FD" w:rsidP="00AC4DEE">
            <w:pPr>
              <w:pStyle w:val="TableHead"/>
            </w:pPr>
            <w:r>
              <w:t>Definition</w:t>
            </w:r>
          </w:p>
        </w:tc>
      </w:tr>
      <w:tr w:rsidR="001F04FD" w14:paraId="255AE27B" w14:textId="77777777" w:rsidTr="002401F7">
        <w:tc>
          <w:tcPr>
            <w:tcW w:w="2165" w:type="dxa"/>
          </w:tcPr>
          <w:p w14:paraId="264124A9" w14:textId="77777777" w:rsidR="001F04FD" w:rsidRDefault="001F04FD" w:rsidP="00AC4DEE">
            <w:pPr>
              <w:pStyle w:val="TableBody"/>
            </w:pPr>
            <w:r>
              <w:t xml:space="preserve">RTEIAMTQSETOT </w:t>
            </w:r>
            <w:r w:rsidRPr="00107CC2">
              <w:rPr>
                <w:i/>
                <w:vertAlign w:val="subscript"/>
              </w:rPr>
              <w:t>q</w:t>
            </w:r>
          </w:p>
        </w:tc>
        <w:tc>
          <w:tcPr>
            <w:tcW w:w="832" w:type="dxa"/>
          </w:tcPr>
          <w:p w14:paraId="2C28353F" w14:textId="77777777" w:rsidR="001F04FD" w:rsidRDefault="001F04FD" w:rsidP="00AC4DEE">
            <w:pPr>
              <w:pStyle w:val="TableBody"/>
            </w:pPr>
            <w:r>
              <w:t>$</w:t>
            </w:r>
          </w:p>
        </w:tc>
        <w:tc>
          <w:tcPr>
            <w:tcW w:w="6358" w:type="dxa"/>
          </w:tcPr>
          <w:p w14:paraId="1D8F812A"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Service at all Load Zone Settlement Points for the 15-minute Settlement Interval.</w:t>
            </w:r>
          </w:p>
        </w:tc>
      </w:tr>
      <w:tr w:rsidR="001F04FD" w14:paraId="77F60E64" w14:textId="77777777" w:rsidTr="002401F7">
        <w:tc>
          <w:tcPr>
            <w:tcW w:w="2165" w:type="dxa"/>
          </w:tcPr>
          <w:p w14:paraId="2AAF4155" w14:textId="77777777" w:rsidR="001F04FD" w:rsidRDefault="001F04FD" w:rsidP="00AC4DEE">
            <w:pPr>
              <w:pStyle w:val="TableBody"/>
            </w:pPr>
            <w:r>
              <w:t xml:space="preserve">RTEIAMT </w:t>
            </w:r>
            <w:r w:rsidRPr="00107CC2">
              <w:rPr>
                <w:i/>
                <w:vertAlign w:val="subscript"/>
              </w:rPr>
              <w:t>q, p</w:t>
            </w:r>
          </w:p>
        </w:tc>
        <w:tc>
          <w:tcPr>
            <w:tcW w:w="832" w:type="dxa"/>
          </w:tcPr>
          <w:p w14:paraId="206A19A5" w14:textId="77777777" w:rsidR="001F04FD" w:rsidRDefault="001F04FD" w:rsidP="00AC4DEE">
            <w:pPr>
              <w:pStyle w:val="TableBody"/>
            </w:pPr>
            <w:r>
              <w:t>$</w:t>
            </w:r>
          </w:p>
        </w:tc>
        <w:tc>
          <w:tcPr>
            <w:tcW w:w="6358" w:type="dxa"/>
          </w:tcPr>
          <w:p w14:paraId="21669886" w14:textId="77777777" w:rsidR="001F04FD" w:rsidRDefault="001F04FD" w:rsidP="00AC4DEE">
            <w:pPr>
              <w:pStyle w:val="TableBody"/>
            </w:pPr>
            <w:r>
              <w:rPr>
                <w:i/>
              </w:rPr>
              <w:t>Real-Time Energy Imbalance Amount per QSE per Settlement Point</w:t>
            </w:r>
            <w:r>
              <w:t xml:space="preserve">—The charge to QSE </w:t>
            </w:r>
            <w:r>
              <w:rPr>
                <w:i/>
              </w:rPr>
              <w:t>q</w:t>
            </w:r>
            <w:r>
              <w:t xml:space="preserve"> for Real-Time Energy Imbalance Service at Settlement Point </w:t>
            </w:r>
            <w:r>
              <w:rPr>
                <w:i/>
              </w:rPr>
              <w:t>p</w:t>
            </w:r>
            <w:r>
              <w:t>, for the 15-minute Settlement Interval.</w:t>
            </w:r>
          </w:p>
        </w:tc>
      </w:tr>
      <w:tr w:rsidR="001F04FD" w14:paraId="4E9A5F76" w14:textId="77777777" w:rsidTr="002401F7">
        <w:tc>
          <w:tcPr>
            <w:tcW w:w="2165" w:type="dxa"/>
            <w:tcBorders>
              <w:top w:val="single" w:sz="4" w:space="0" w:color="auto"/>
              <w:left w:val="single" w:sz="4" w:space="0" w:color="auto"/>
              <w:bottom w:val="single" w:sz="4" w:space="0" w:color="auto"/>
              <w:right w:val="single" w:sz="4" w:space="0" w:color="auto"/>
            </w:tcBorders>
          </w:tcPr>
          <w:p w14:paraId="3592F7A2" w14:textId="77777777" w:rsidR="001F04FD" w:rsidRPr="008A4B73" w:rsidRDefault="001F04FD" w:rsidP="00AC4DEE">
            <w:pPr>
              <w:pStyle w:val="TableBody"/>
              <w:rPr>
                <w:i/>
              </w:rPr>
            </w:pPr>
            <w:r w:rsidRPr="00A61E91">
              <w:rPr>
                <w:i/>
              </w:rPr>
              <w:t>q</w:t>
            </w:r>
          </w:p>
        </w:tc>
        <w:tc>
          <w:tcPr>
            <w:tcW w:w="832" w:type="dxa"/>
            <w:tcBorders>
              <w:top w:val="single" w:sz="4" w:space="0" w:color="auto"/>
              <w:left w:val="single" w:sz="4" w:space="0" w:color="auto"/>
              <w:bottom w:val="single" w:sz="4" w:space="0" w:color="auto"/>
              <w:right w:val="single" w:sz="4" w:space="0" w:color="auto"/>
            </w:tcBorders>
          </w:tcPr>
          <w:p w14:paraId="6232CB81" w14:textId="77777777" w:rsidR="001F04FD" w:rsidRDefault="001F04FD" w:rsidP="00AC4DEE">
            <w:pPr>
              <w:pStyle w:val="TableBody"/>
            </w:pPr>
            <w:r>
              <w:t>none</w:t>
            </w:r>
          </w:p>
        </w:tc>
        <w:tc>
          <w:tcPr>
            <w:tcW w:w="6358" w:type="dxa"/>
            <w:tcBorders>
              <w:top w:val="single" w:sz="4" w:space="0" w:color="auto"/>
              <w:left w:val="single" w:sz="4" w:space="0" w:color="auto"/>
              <w:bottom w:val="single" w:sz="4" w:space="0" w:color="auto"/>
              <w:right w:val="single" w:sz="4" w:space="0" w:color="auto"/>
            </w:tcBorders>
          </w:tcPr>
          <w:p w14:paraId="51B602E8" w14:textId="77777777" w:rsidR="001F04FD" w:rsidRDefault="001F04FD" w:rsidP="00AC4DEE">
            <w:pPr>
              <w:pStyle w:val="TableBody"/>
            </w:pPr>
            <w:r>
              <w:t>A QSE.</w:t>
            </w:r>
          </w:p>
        </w:tc>
      </w:tr>
      <w:tr w:rsidR="001F04FD" w14:paraId="6ABD2B2A" w14:textId="77777777" w:rsidTr="002401F7">
        <w:tc>
          <w:tcPr>
            <w:tcW w:w="2165" w:type="dxa"/>
            <w:tcBorders>
              <w:top w:val="single" w:sz="4" w:space="0" w:color="auto"/>
              <w:left w:val="single" w:sz="4" w:space="0" w:color="auto"/>
              <w:bottom w:val="single" w:sz="4" w:space="0" w:color="auto"/>
              <w:right w:val="single" w:sz="4" w:space="0" w:color="auto"/>
            </w:tcBorders>
          </w:tcPr>
          <w:p w14:paraId="134D2243" w14:textId="77777777" w:rsidR="001F04FD" w:rsidRPr="008A4B73" w:rsidRDefault="001F04FD" w:rsidP="00AC4DEE">
            <w:pPr>
              <w:pStyle w:val="TableBody"/>
              <w:rPr>
                <w:i/>
              </w:rPr>
            </w:pPr>
            <w:r w:rsidRPr="00A61E91">
              <w:rPr>
                <w:i/>
              </w:rPr>
              <w:t>p</w:t>
            </w:r>
          </w:p>
        </w:tc>
        <w:tc>
          <w:tcPr>
            <w:tcW w:w="832" w:type="dxa"/>
            <w:tcBorders>
              <w:top w:val="single" w:sz="4" w:space="0" w:color="auto"/>
              <w:left w:val="single" w:sz="4" w:space="0" w:color="auto"/>
              <w:bottom w:val="single" w:sz="4" w:space="0" w:color="auto"/>
              <w:right w:val="single" w:sz="4" w:space="0" w:color="auto"/>
            </w:tcBorders>
          </w:tcPr>
          <w:p w14:paraId="11282980" w14:textId="77777777" w:rsidR="001F04FD" w:rsidRDefault="001F04FD" w:rsidP="00AC4DEE">
            <w:pPr>
              <w:pStyle w:val="TableBody"/>
            </w:pPr>
            <w:r>
              <w:t>none</w:t>
            </w:r>
          </w:p>
        </w:tc>
        <w:tc>
          <w:tcPr>
            <w:tcW w:w="6358" w:type="dxa"/>
            <w:tcBorders>
              <w:top w:val="single" w:sz="4" w:space="0" w:color="auto"/>
              <w:left w:val="single" w:sz="4" w:space="0" w:color="auto"/>
              <w:bottom w:val="single" w:sz="4" w:space="0" w:color="auto"/>
              <w:right w:val="single" w:sz="4" w:space="0" w:color="auto"/>
            </w:tcBorders>
          </w:tcPr>
          <w:p w14:paraId="4CCCE014" w14:textId="77777777" w:rsidR="001F04FD" w:rsidRDefault="001F04FD" w:rsidP="00AC4DEE">
            <w:pPr>
              <w:pStyle w:val="TableBody"/>
            </w:pPr>
            <w:r>
              <w:t>A Load Zone Settlement Point.</w:t>
            </w:r>
          </w:p>
        </w:tc>
      </w:tr>
    </w:tbl>
    <w:p w14:paraId="762DEA88" w14:textId="77777777" w:rsidR="001F04FD" w:rsidRDefault="001F04FD" w:rsidP="001F04FD">
      <w:pPr>
        <w:pStyle w:val="H4"/>
        <w:spacing w:before="480"/>
        <w:ind w:left="1267" w:hanging="1267"/>
      </w:pPr>
      <w:bookmarkStart w:id="1880" w:name="_Toc118199817"/>
      <w:bookmarkStart w:id="1881" w:name="_Toc118200329"/>
      <w:bookmarkStart w:id="1882" w:name="_Toc118908572"/>
      <w:bookmarkStart w:id="1883" w:name="_Toc119180743"/>
      <w:bookmarkStart w:id="1884" w:name="_Toc397505015"/>
      <w:bookmarkStart w:id="1885" w:name="_Toc402357143"/>
      <w:bookmarkStart w:id="1886" w:name="_Toc422486521"/>
      <w:bookmarkStart w:id="1887" w:name="_Toc433093373"/>
      <w:bookmarkStart w:id="1888" w:name="_Toc433093531"/>
      <w:bookmarkStart w:id="1889" w:name="_Toc440874759"/>
      <w:bookmarkStart w:id="1890" w:name="_Toc448142314"/>
      <w:bookmarkStart w:id="1891" w:name="_Toc448142471"/>
      <w:bookmarkStart w:id="1892" w:name="_Toc458770312"/>
      <w:bookmarkStart w:id="1893" w:name="_Toc459294280"/>
      <w:bookmarkStart w:id="1894" w:name="_Toc463262773"/>
      <w:bookmarkStart w:id="1895" w:name="_Toc468286846"/>
      <w:bookmarkStart w:id="1896" w:name="_Toc481502889"/>
      <w:bookmarkStart w:id="1897" w:name="_Toc496080057"/>
      <w:bookmarkStart w:id="1898" w:name="_Toc204411667"/>
      <w:r>
        <w:lastRenderedPageBreak/>
        <w:t>6.6.3.3</w:t>
      </w:r>
      <w:r>
        <w:tab/>
        <w:t>Real-Time Energy Imbalance Payment or Charge at a Hub</w:t>
      </w:r>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p>
    <w:p w14:paraId="5A8B6269" w14:textId="77777777" w:rsidR="001F04FD" w:rsidRDefault="001F04FD" w:rsidP="001F04FD">
      <w:pPr>
        <w:pStyle w:val="BodyTextNumbered"/>
      </w:pPr>
      <w:r>
        <w:t>(1)</w:t>
      </w:r>
      <w:r>
        <w:tab/>
        <w:t xml:space="preserve">The payment or charge to each QSE for Energy Imbalance Service is calculated based on the Real-Time Settlement Point Price for the following amounts at a particular Hub Settlement Point: </w:t>
      </w:r>
    </w:p>
    <w:p w14:paraId="304B2B7D" w14:textId="77777777" w:rsidR="001F04FD" w:rsidRDefault="001F04FD" w:rsidP="001F04FD">
      <w:pPr>
        <w:pStyle w:val="BodyTextNumbered"/>
        <w:ind w:left="1440"/>
      </w:pPr>
      <w:r>
        <w:t>(a)</w:t>
      </w:r>
      <w:r>
        <w:tab/>
        <w:t xml:space="preserve">The amount of its Self-Schedules with sink specified at the Settlement Point; plus </w:t>
      </w:r>
    </w:p>
    <w:p w14:paraId="4ED02FFA" w14:textId="77777777" w:rsidR="001F04FD" w:rsidRDefault="001F04FD" w:rsidP="001F04FD">
      <w:pPr>
        <w:pStyle w:val="BodyTextNumbered"/>
        <w:ind w:left="1440"/>
      </w:pPr>
      <w:r>
        <w:t>(b)</w:t>
      </w:r>
      <w:r>
        <w:tab/>
        <w:t xml:space="preserve">The amount of its DAM Energy Bids cleared in the DAM at the Settlement Point; plus </w:t>
      </w:r>
    </w:p>
    <w:p w14:paraId="23CD744C" w14:textId="77777777" w:rsidR="001F04FD" w:rsidRDefault="001F04FD" w:rsidP="001F04FD">
      <w:pPr>
        <w:pStyle w:val="BodyTextNumbered"/>
        <w:ind w:left="1440"/>
      </w:pPr>
      <w:r>
        <w:t>(c)</w:t>
      </w:r>
      <w:r>
        <w:tab/>
        <w:t xml:space="preserve">The amount of its Energy Trades at the Settlement Point where the QSE is the buyer; minus </w:t>
      </w:r>
    </w:p>
    <w:p w14:paraId="1BF33F5C" w14:textId="77777777" w:rsidR="001F04FD" w:rsidRDefault="001F04FD" w:rsidP="001F04FD">
      <w:pPr>
        <w:pStyle w:val="BodyTextNumbered"/>
        <w:ind w:left="1440"/>
      </w:pPr>
      <w:r>
        <w:t>(d)</w:t>
      </w:r>
      <w:r>
        <w:tab/>
        <w:t xml:space="preserve">The amount of its Self-Schedules with source specified at the Settlement Point; minus </w:t>
      </w:r>
    </w:p>
    <w:p w14:paraId="5DD2654A" w14:textId="77777777" w:rsidR="001F04FD" w:rsidRDefault="001F04FD" w:rsidP="001F04FD">
      <w:pPr>
        <w:pStyle w:val="BodyTextNumbered"/>
        <w:ind w:left="1440"/>
      </w:pPr>
      <w:r>
        <w:t>(e)</w:t>
      </w:r>
      <w:r>
        <w:tab/>
        <w:t xml:space="preserve">The amount of its energy offers cleared in the DAM at the Settlement Point; minus </w:t>
      </w:r>
    </w:p>
    <w:p w14:paraId="6B84C2EA" w14:textId="77777777" w:rsidR="001F04FD" w:rsidRDefault="001F04FD" w:rsidP="001F04FD">
      <w:pPr>
        <w:pStyle w:val="BodyTextNumbered"/>
        <w:ind w:left="1440"/>
      </w:pPr>
      <w:r>
        <w:t>(f)</w:t>
      </w:r>
      <w:r>
        <w:tab/>
        <w:t xml:space="preserve">The amount of its Energy Trades at the Settlement Point where the QSE is the seller. </w:t>
      </w:r>
    </w:p>
    <w:p w14:paraId="5F366E96" w14:textId="77777777" w:rsidR="001F04FD" w:rsidRPr="000149E5" w:rsidRDefault="001F04FD" w:rsidP="001F04FD">
      <w:pPr>
        <w:pStyle w:val="BodyTextNumbered"/>
        <w:rPr>
          <w:iCs/>
        </w:rPr>
      </w:pPr>
      <w:r w:rsidRPr="000149E5">
        <w:rPr>
          <w:iCs/>
        </w:rPr>
        <w:t>(2)</w:t>
      </w:r>
      <w:r w:rsidRPr="000149E5">
        <w:rPr>
          <w:iCs/>
        </w:rPr>
        <w:tab/>
        <w:t>The payment or charge to each QSE for Energy Imbalance Service at a Hub for a given 15-minute Settlement Interval is calculated as follows:</w:t>
      </w:r>
    </w:p>
    <w:p w14:paraId="463D59C4" w14:textId="77777777" w:rsidR="001F04FD" w:rsidRDefault="001F04FD" w:rsidP="001F04FD">
      <w:pPr>
        <w:pStyle w:val="FormulaBold"/>
        <w:ind w:left="3240" w:hanging="2520"/>
        <w:rPr>
          <w:sz w:val="32"/>
        </w:rPr>
      </w:pPr>
      <w:r>
        <w:t xml:space="preserve">RTEIAMT </w:t>
      </w:r>
      <w:r>
        <w:rPr>
          <w:i/>
          <w:vertAlign w:val="subscript"/>
        </w:rPr>
        <w:t>q, p</w:t>
      </w:r>
      <w:r>
        <w:tab/>
        <w:t>=</w:t>
      </w:r>
      <w:r>
        <w:tab/>
        <w:t xml:space="preserve">(-1) * RTSPP </w:t>
      </w:r>
      <w:r>
        <w:rPr>
          <w:i/>
          <w:vertAlign w:val="subscript"/>
        </w:rPr>
        <w:t>p</w:t>
      </w:r>
      <w:r>
        <w:t xml:space="preserve"> * </w:t>
      </w:r>
      <w:r>
        <w:rPr>
          <w:sz w:val="32"/>
        </w:rPr>
        <w:t>{</w:t>
      </w:r>
      <w:r>
        <w:t xml:space="preserve">(SSSK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r>
        <w:rPr>
          <w:sz w:val="32"/>
        </w:rPr>
        <w:t>}</w:t>
      </w:r>
    </w:p>
    <w:p w14:paraId="3AA995E9" w14:textId="77777777" w:rsidR="001F04FD" w:rsidRPr="009200C6" w:rsidRDefault="001F04FD" w:rsidP="001F04FD">
      <w:pPr>
        <w:pStyle w:val="FormulaBold"/>
        <w:ind w:left="3150" w:hanging="2430"/>
        <w:rPr>
          <w:b w:val="0"/>
        </w:rPr>
      </w:pPr>
      <w:r w:rsidRPr="009200C6">
        <w:rPr>
          <w:b w:val="0"/>
        </w:rPr>
        <w:t>And</w:t>
      </w:r>
    </w:p>
    <w:p w14:paraId="16E8E017" w14:textId="77777777" w:rsidR="001F04FD" w:rsidRDefault="001F04FD" w:rsidP="001F04FD">
      <w:pPr>
        <w:pStyle w:val="FormulaBold"/>
        <w:ind w:left="3240" w:hanging="2520"/>
      </w:pPr>
      <w:r>
        <w:t>HBIMBAL</w:t>
      </w:r>
      <w:r w:rsidRPr="00D17F07">
        <w:rPr>
          <w:i/>
          <w:vertAlign w:val="subscript"/>
        </w:rPr>
        <w:t xml:space="preserve"> </w:t>
      </w:r>
      <w:r>
        <w:rPr>
          <w:i/>
          <w:vertAlign w:val="subscript"/>
        </w:rPr>
        <w:t>q, p</w:t>
      </w:r>
      <w:r>
        <w:rPr>
          <w:i/>
          <w:vertAlign w:val="subscript"/>
        </w:rPr>
        <w:tab/>
        <w:t>=</w:t>
      </w:r>
      <w:r>
        <w:rPr>
          <w:i/>
          <w:vertAlign w:val="subscript"/>
        </w:rPr>
        <w:tab/>
      </w:r>
      <w:r>
        <w:t xml:space="preserve">(SSSK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p>
    <w:p w14:paraId="7EE9A107" w14:textId="77777777" w:rsidR="001F04FD" w:rsidRDefault="001F04FD" w:rsidP="001F04FD">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0"/>
        <w:gridCol w:w="853"/>
        <w:gridCol w:w="7357"/>
      </w:tblGrid>
      <w:tr w:rsidR="001F04FD" w14:paraId="234B116E" w14:textId="77777777" w:rsidTr="00AC4DEE">
        <w:trPr>
          <w:tblHeader/>
        </w:trPr>
        <w:tc>
          <w:tcPr>
            <w:tcW w:w="1630" w:type="dxa"/>
          </w:tcPr>
          <w:p w14:paraId="63D37F1B" w14:textId="77777777" w:rsidR="001F04FD" w:rsidRDefault="001F04FD" w:rsidP="00AC4DEE">
            <w:pPr>
              <w:pStyle w:val="TableHead"/>
            </w:pPr>
            <w:r>
              <w:t>Variable</w:t>
            </w:r>
          </w:p>
        </w:tc>
        <w:tc>
          <w:tcPr>
            <w:tcW w:w="0" w:type="auto"/>
          </w:tcPr>
          <w:p w14:paraId="43C0087F" w14:textId="77777777" w:rsidR="001F04FD" w:rsidRDefault="001F04FD" w:rsidP="00AC4DEE">
            <w:pPr>
              <w:pStyle w:val="TableHead"/>
            </w:pPr>
            <w:r>
              <w:t>Unit</w:t>
            </w:r>
          </w:p>
        </w:tc>
        <w:tc>
          <w:tcPr>
            <w:tcW w:w="0" w:type="auto"/>
          </w:tcPr>
          <w:p w14:paraId="3912DA3C" w14:textId="77777777" w:rsidR="001F04FD" w:rsidRDefault="001F04FD" w:rsidP="00AC4DEE">
            <w:pPr>
              <w:pStyle w:val="TableHead"/>
            </w:pPr>
            <w:r>
              <w:t>Description</w:t>
            </w:r>
          </w:p>
        </w:tc>
      </w:tr>
      <w:tr w:rsidR="001F04FD" w14:paraId="20AF4026" w14:textId="77777777" w:rsidTr="00AC4DEE">
        <w:tc>
          <w:tcPr>
            <w:tcW w:w="1630" w:type="dxa"/>
          </w:tcPr>
          <w:p w14:paraId="11E87671" w14:textId="77777777" w:rsidR="001F04FD" w:rsidRDefault="001F04FD" w:rsidP="00AC4DEE">
            <w:pPr>
              <w:pStyle w:val="TableBody"/>
            </w:pPr>
            <w:r>
              <w:t xml:space="preserve">RTEIAMT </w:t>
            </w:r>
            <w:r w:rsidRPr="00003395">
              <w:rPr>
                <w:i/>
                <w:vertAlign w:val="subscript"/>
              </w:rPr>
              <w:t>q, p</w:t>
            </w:r>
          </w:p>
        </w:tc>
        <w:tc>
          <w:tcPr>
            <w:tcW w:w="0" w:type="auto"/>
          </w:tcPr>
          <w:p w14:paraId="1E14797C" w14:textId="77777777" w:rsidR="001F04FD" w:rsidRDefault="001F04FD" w:rsidP="00AC4DEE">
            <w:pPr>
              <w:pStyle w:val="TableBody"/>
            </w:pPr>
            <w:r>
              <w:t>$</w:t>
            </w:r>
          </w:p>
        </w:tc>
        <w:tc>
          <w:tcPr>
            <w:tcW w:w="0" w:type="auto"/>
          </w:tcPr>
          <w:p w14:paraId="128558E0"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6CC896DA" w14:textId="77777777" w:rsidTr="00AC4DEE">
        <w:tc>
          <w:tcPr>
            <w:tcW w:w="1630" w:type="dxa"/>
          </w:tcPr>
          <w:p w14:paraId="7E3CC32C" w14:textId="77777777" w:rsidR="001F04FD" w:rsidRDefault="001F04FD" w:rsidP="00AC4DEE">
            <w:pPr>
              <w:pStyle w:val="TableBody"/>
            </w:pPr>
            <w:r>
              <w:t>HBIMBAL</w:t>
            </w:r>
            <w:r w:rsidRPr="00D17F07">
              <w:rPr>
                <w:i/>
                <w:vertAlign w:val="subscript"/>
              </w:rPr>
              <w:t xml:space="preserve"> </w:t>
            </w:r>
            <w:r>
              <w:rPr>
                <w:i/>
                <w:vertAlign w:val="subscript"/>
              </w:rPr>
              <w:t>q, p</w:t>
            </w:r>
          </w:p>
        </w:tc>
        <w:tc>
          <w:tcPr>
            <w:tcW w:w="0" w:type="auto"/>
          </w:tcPr>
          <w:p w14:paraId="7C187939" w14:textId="77777777" w:rsidR="001F04FD" w:rsidRDefault="001F04FD" w:rsidP="00AC4DEE">
            <w:pPr>
              <w:pStyle w:val="TableBody"/>
            </w:pPr>
            <w:r>
              <w:t>MWh</w:t>
            </w:r>
          </w:p>
        </w:tc>
        <w:tc>
          <w:tcPr>
            <w:tcW w:w="0" w:type="auto"/>
          </w:tcPr>
          <w:p w14:paraId="51EF84DB" w14:textId="77777777" w:rsidR="001F04FD" w:rsidRDefault="001F04FD" w:rsidP="00AC4DEE">
            <w:pPr>
              <w:pStyle w:val="TableBody"/>
              <w:rPr>
                <w:i/>
              </w:rPr>
            </w:pPr>
            <w:r>
              <w:rPr>
                <w:i/>
              </w:rPr>
              <w:t>Hub Energy Imbalance per QSE per Settlement Point</w:t>
            </w:r>
            <w:r>
              <w:t xml:space="preserve">—The Hub volumetric imbalance for QSE </w:t>
            </w:r>
            <w:r>
              <w:rPr>
                <w:i/>
              </w:rPr>
              <w:t>q</w:t>
            </w:r>
            <w:r>
              <w:t xml:space="preserve"> for Real-Time Energy Imbalance Service at Settlement Point </w:t>
            </w:r>
            <w:r>
              <w:rPr>
                <w:i/>
              </w:rPr>
              <w:t>p</w:t>
            </w:r>
            <w:r>
              <w:t>, for the 15-minute Settlement Interval.</w:t>
            </w:r>
          </w:p>
        </w:tc>
      </w:tr>
      <w:tr w:rsidR="001F04FD" w14:paraId="646092E7" w14:textId="77777777" w:rsidTr="00AC4DEE">
        <w:tc>
          <w:tcPr>
            <w:tcW w:w="1630" w:type="dxa"/>
          </w:tcPr>
          <w:p w14:paraId="66502C78" w14:textId="77777777" w:rsidR="001F04FD" w:rsidRDefault="001F04FD" w:rsidP="00AC4DEE">
            <w:pPr>
              <w:pStyle w:val="TableBody"/>
            </w:pPr>
            <w:r>
              <w:t>RTSPP</w:t>
            </w:r>
            <w:r w:rsidRPr="00003395">
              <w:rPr>
                <w:i/>
              </w:rPr>
              <w:t xml:space="preserve"> </w:t>
            </w:r>
            <w:r w:rsidRPr="00003395">
              <w:rPr>
                <w:i/>
                <w:vertAlign w:val="subscript"/>
              </w:rPr>
              <w:t>p</w:t>
            </w:r>
          </w:p>
        </w:tc>
        <w:tc>
          <w:tcPr>
            <w:tcW w:w="0" w:type="auto"/>
          </w:tcPr>
          <w:p w14:paraId="2CC6DA6D" w14:textId="77777777" w:rsidR="001F04FD" w:rsidRDefault="001F04FD" w:rsidP="00AC4DEE">
            <w:pPr>
              <w:pStyle w:val="TableBody"/>
            </w:pPr>
            <w:r>
              <w:t>$/MWh</w:t>
            </w:r>
          </w:p>
        </w:tc>
        <w:tc>
          <w:tcPr>
            <w:tcW w:w="0" w:type="auto"/>
          </w:tcPr>
          <w:p w14:paraId="63B6517A"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09CCBEA0" w14:textId="77777777" w:rsidTr="00AC4DEE">
        <w:tc>
          <w:tcPr>
            <w:tcW w:w="1630" w:type="dxa"/>
          </w:tcPr>
          <w:p w14:paraId="67F0A319" w14:textId="77777777" w:rsidR="001F04FD" w:rsidRDefault="001F04FD" w:rsidP="00AC4DEE">
            <w:pPr>
              <w:pStyle w:val="TableBody"/>
            </w:pPr>
            <w:r>
              <w:t xml:space="preserve">SSSK </w:t>
            </w:r>
            <w:r w:rsidRPr="00003395">
              <w:rPr>
                <w:i/>
                <w:vertAlign w:val="subscript"/>
              </w:rPr>
              <w:t>q, p</w:t>
            </w:r>
          </w:p>
        </w:tc>
        <w:tc>
          <w:tcPr>
            <w:tcW w:w="0" w:type="auto"/>
          </w:tcPr>
          <w:p w14:paraId="15ADE79A" w14:textId="77777777" w:rsidR="001F04FD" w:rsidRDefault="001F04FD" w:rsidP="00AC4DEE">
            <w:pPr>
              <w:pStyle w:val="TableBody"/>
            </w:pPr>
            <w:r>
              <w:t>MW</w:t>
            </w:r>
          </w:p>
        </w:tc>
        <w:tc>
          <w:tcPr>
            <w:tcW w:w="0" w:type="auto"/>
          </w:tcPr>
          <w:p w14:paraId="4B9AB98A" w14:textId="77777777" w:rsidR="001F04FD" w:rsidRDefault="001F04FD" w:rsidP="00AC4DEE">
            <w:pPr>
              <w:pStyle w:val="TableBody"/>
            </w:pPr>
            <w:r>
              <w:rPr>
                <w:i/>
              </w:rPr>
              <w:t>Self-Schedule with Sink at Settlement Point per QSE per Settlement Point</w:t>
            </w:r>
            <w:r>
              <w:t xml:space="preserve">—The QSE </w:t>
            </w:r>
            <w:r>
              <w:rPr>
                <w:i/>
              </w:rPr>
              <w:t>q</w:t>
            </w:r>
            <w:r>
              <w:t xml:space="preserve">’s Self-Schedule with sink at Settlement Point </w:t>
            </w:r>
            <w:r>
              <w:rPr>
                <w:i/>
              </w:rPr>
              <w:t>p</w:t>
            </w:r>
            <w:r>
              <w:t>, for the 15-minute Settlement Interval.</w:t>
            </w:r>
          </w:p>
        </w:tc>
      </w:tr>
      <w:tr w:rsidR="001F04FD" w14:paraId="05F5471B" w14:textId="77777777" w:rsidTr="00AC4DEE">
        <w:tc>
          <w:tcPr>
            <w:tcW w:w="1630" w:type="dxa"/>
          </w:tcPr>
          <w:p w14:paraId="0EB9AB49" w14:textId="77777777" w:rsidR="001F04FD" w:rsidRDefault="001F04FD" w:rsidP="00AC4DEE">
            <w:pPr>
              <w:pStyle w:val="TableBody"/>
            </w:pPr>
            <w:r>
              <w:lastRenderedPageBreak/>
              <w:t xml:space="preserve">DAEP </w:t>
            </w:r>
            <w:r w:rsidRPr="00003395">
              <w:rPr>
                <w:i/>
                <w:vertAlign w:val="subscript"/>
              </w:rPr>
              <w:t>q, p</w:t>
            </w:r>
          </w:p>
        </w:tc>
        <w:tc>
          <w:tcPr>
            <w:tcW w:w="0" w:type="auto"/>
          </w:tcPr>
          <w:p w14:paraId="03ECDAFA" w14:textId="77777777" w:rsidR="001F04FD" w:rsidRDefault="001F04FD" w:rsidP="00AC4DEE">
            <w:pPr>
              <w:pStyle w:val="TableBody"/>
            </w:pPr>
            <w:r>
              <w:t>MW</w:t>
            </w:r>
          </w:p>
        </w:tc>
        <w:tc>
          <w:tcPr>
            <w:tcW w:w="0" w:type="auto"/>
          </w:tcPr>
          <w:p w14:paraId="309958ED" w14:textId="77777777" w:rsidR="001F04FD" w:rsidRDefault="001F04FD" w:rsidP="00AC4DEE">
            <w:pPr>
              <w:pStyle w:val="TableBody"/>
            </w:pPr>
            <w:r>
              <w:rPr>
                <w:i/>
              </w:rPr>
              <w:t>Day-Ahead Energy Purchase per QSE per Settlement Point</w:t>
            </w:r>
            <w:r>
              <w:t xml:space="preserve">—The QSE </w:t>
            </w:r>
            <w:r>
              <w:rPr>
                <w:i/>
              </w:rPr>
              <w:t>q</w:t>
            </w:r>
            <w:r>
              <w:t xml:space="preserve">’s DAM Energy Bids at Settlement Point </w:t>
            </w:r>
            <w:r>
              <w:rPr>
                <w:i/>
              </w:rPr>
              <w:t>p</w:t>
            </w:r>
            <w:r>
              <w:t xml:space="preserve"> cleared in the DAM, for the hour that includes the 15-minute Settlement Interval.</w:t>
            </w:r>
          </w:p>
        </w:tc>
      </w:tr>
      <w:tr w:rsidR="001F04FD" w14:paraId="48CC7493" w14:textId="77777777" w:rsidTr="00AC4DEE">
        <w:tc>
          <w:tcPr>
            <w:tcW w:w="1630" w:type="dxa"/>
          </w:tcPr>
          <w:p w14:paraId="2DB58378" w14:textId="77777777" w:rsidR="001F04FD" w:rsidRDefault="001F04FD" w:rsidP="00AC4DEE">
            <w:pPr>
              <w:pStyle w:val="TableBody"/>
            </w:pPr>
            <w:r>
              <w:t xml:space="preserve">RTQQEP </w:t>
            </w:r>
            <w:r w:rsidRPr="00003395">
              <w:rPr>
                <w:i/>
                <w:vertAlign w:val="subscript"/>
              </w:rPr>
              <w:t>q, p</w:t>
            </w:r>
            <w:r>
              <w:t xml:space="preserve"> </w:t>
            </w:r>
          </w:p>
        </w:tc>
        <w:tc>
          <w:tcPr>
            <w:tcW w:w="0" w:type="auto"/>
          </w:tcPr>
          <w:p w14:paraId="27814FF6" w14:textId="77777777" w:rsidR="001F04FD" w:rsidRDefault="001F04FD" w:rsidP="00AC4DEE">
            <w:pPr>
              <w:pStyle w:val="TableBody"/>
            </w:pPr>
            <w:r>
              <w:t>MW</w:t>
            </w:r>
          </w:p>
        </w:tc>
        <w:tc>
          <w:tcPr>
            <w:tcW w:w="0" w:type="auto"/>
          </w:tcPr>
          <w:p w14:paraId="26E56124" w14:textId="77777777" w:rsidR="001F04FD" w:rsidRDefault="001F04FD" w:rsidP="00AC4DEE">
            <w:pPr>
              <w:pStyle w:val="TableBody"/>
            </w:pPr>
            <w:r>
              <w:rPr>
                <w:i/>
              </w:rPr>
              <w:t>Real-Time QSE-to-QSE Energy Purchase per QSE per Settlement Point</w:t>
            </w:r>
            <w:r>
              <w:sym w:font="Symbol" w:char="F0BE"/>
            </w:r>
            <w:r>
              <w:t xml:space="preserve">The amount of MW bought by QSE </w:t>
            </w:r>
            <w:r>
              <w:rPr>
                <w:i/>
              </w:rPr>
              <w:t>q</w:t>
            </w:r>
            <w:r>
              <w:t xml:space="preserve"> through Energy Trades at Settlement Point </w:t>
            </w:r>
            <w:r>
              <w:rPr>
                <w:i/>
              </w:rPr>
              <w:t>p</w:t>
            </w:r>
            <w:r>
              <w:t>, for the 15-minute Settlement Interval.</w:t>
            </w:r>
          </w:p>
        </w:tc>
      </w:tr>
      <w:tr w:rsidR="001F04FD" w14:paraId="466E9464" w14:textId="77777777" w:rsidTr="00AC4DEE">
        <w:tc>
          <w:tcPr>
            <w:tcW w:w="1630" w:type="dxa"/>
          </w:tcPr>
          <w:p w14:paraId="66A104B7" w14:textId="77777777" w:rsidR="001F04FD" w:rsidRDefault="001F04FD" w:rsidP="00AC4DEE">
            <w:pPr>
              <w:pStyle w:val="TableBody"/>
            </w:pPr>
            <w:r>
              <w:t xml:space="preserve">SSSR </w:t>
            </w:r>
            <w:r w:rsidRPr="00003395">
              <w:rPr>
                <w:i/>
                <w:vertAlign w:val="subscript"/>
              </w:rPr>
              <w:t>q, p</w:t>
            </w:r>
          </w:p>
        </w:tc>
        <w:tc>
          <w:tcPr>
            <w:tcW w:w="0" w:type="auto"/>
          </w:tcPr>
          <w:p w14:paraId="4A3ECE1A" w14:textId="77777777" w:rsidR="001F04FD" w:rsidRDefault="001F04FD" w:rsidP="00AC4DEE">
            <w:pPr>
              <w:pStyle w:val="TableBody"/>
            </w:pPr>
            <w:r>
              <w:t>MW</w:t>
            </w:r>
          </w:p>
        </w:tc>
        <w:tc>
          <w:tcPr>
            <w:tcW w:w="0" w:type="auto"/>
          </w:tcPr>
          <w:p w14:paraId="66758B51" w14:textId="77777777" w:rsidR="001F04FD" w:rsidRDefault="001F04FD" w:rsidP="00AC4DEE">
            <w:pPr>
              <w:pStyle w:val="TableBody"/>
            </w:pPr>
            <w:r>
              <w:rPr>
                <w:i/>
              </w:rPr>
              <w:t>Self-Schedule with Source at Settlement Point per QSE per Settlement Point</w:t>
            </w:r>
            <w:r>
              <w:t xml:space="preserve">—The QSE </w:t>
            </w:r>
            <w:r>
              <w:rPr>
                <w:i/>
              </w:rPr>
              <w:t>q</w:t>
            </w:r>
            <w:r>
              <w:t xml:space="preserve">’s Self-Schedule with source at Settlement Point </w:t>
            </w:r>
            <w:r>
              <w:rPr>
                <w:i/>
              </w:rPr>
              <w:t>p</w:t>
            </w:r>
            <w:r>
              <w:t>, for the 15-minute Settlement Interval.</w:t>
            </w:r>
          </w:p>
        </w:tc>
      </w:tr>
      <w:tr w:rsidR="001F04FD" w14:paraId="7556032D" w14:textId="77777777" w:rsidTr="00AC4DEE">
        <w:tc>
          <w:tcPr>
            <w:tcW w:w="1630" w:type="dxa"/>
          </w:tcPr>
          <w:p w14:paraId="1B3FA4BC" w14:textId="77777777" w:rsidR="001F04FD" w:rsidRDefault="001F04FD" w:rsidP="00AC4DEE">
            <w:pPr>
              <w:pStyle w:val="TableBody"/>
            </w:pPr>
            <w:r>
              <w:t xml:space="preserve">DAES </w:t>
            </w:r>
            <w:r w:rsidRPr="00003395">
              <w:rPr>
                <w:i/>
                <w:vertAlign w:val="subscript"/>
              </w:rPr>
              <w:t>q, p</w:t>
            </w:r>
          </w:p>
        </w:tc>
        <w:tc>
          <w:tcPr>
            <w:tcW w:w="0" w:type="auto"/>
          </w:tcPr>
          <w:p w14:paraId="739F830E" w14:textId="77777777" w:rsidR="001F04FD" w:rsidRDefault="001F04FD" w:rsidP="00AC4DEE">
            <w:pPr>
              <w:pStyle w:val="TableBody"/>
            </w:pPr>
            <w:r>
              <w:t>MW</w:t>
            </w:r>
          </w:p>
        </w:tc>
        <w:tc>
          <w:tcPr>
            <w:tcW w:w="0" w:type="auto"/>
          </w:tcPr>
          <w:p w14:paraId="4973AA38" w14:textId="77777777" w:rsidR="001F04FD" w:rsidRDefault="001F04FD" w:rsidP="00AC4DEE">
            <w:pPr>
              <w:pStyle w:val="TableBody"/>
            </w:pPr>
            <w:r>
              <w:rPr>
                <w:i/>
              </w:rPr>
              <w:t>Day-Ahead Energy Sale per QSE per Settlement Point</w:t>
            </w:r>
            <w:r>
              <w:t xml:space="preserve">—The QSE </w:t>
            </w:r>
            <w:r>
              <w:rPr>
                <w:i/>
              </w:rPr>
              <w:t>q</w:t>
            </w:r>
            <w:r>
              <w:t xml:space="preserve">’s Energy Offers at Settlement Point </w:t>
            </w:r>
            <w:r>
              <w:rPr>
                <w:i/>
              </w:rPr>
              <w:t>p</w:t>
            </w:r>
            <w:r>
              <w:t xml:space="preserve"> cleared in the DAM, for the hour that includes the 15-minute Settlement Interval.</w:t>
            </w:r>
          </w:p>
        </w:tc>
      </w:tr>
      <w:tr w:rsidR="001F04FD" w14:paraId="70AEB87A" w14:textId="77777777" w:rsidTr="00AC4DEE">
        <w:tc>
          <w:tcPr>
            <w:tcW w:w="1630" w:type="dxa"/>
          </w:tcPr>
          <w:p w14:paraId="7FC4D792" w14:textId="77777777" w:rsidR="001F04FD" w:rsidRDefault="001F04FD" w:rsidP="00AC4DEE">
            <w:pPr>
              <w:pStyle w:val="TableBody"/>
            </w:pPr>
            <w:r>
              <w:t xml:space="preserve">RTQQES </w:t>
            </w:r>
            <w:r w:rsidRPr="00003395">
              <w:rPr>
                <w:i/>
                <w:vertAlign w:val="subscript"/>
              </w:rPr>
              <w:t>q, p</w:t>
            </w:r>
            <w:r>
              <w:t xml:space="preserve"> </w:t>
            </w:r>
          </w:p>
        </w:tc>
        <w:tc>
          <w:tcPr>
            <w:tcW w:w="0" w:type="auto"/>
          </w:tcPr>
          <w:p w14:paraId="3D8EF08E" w14:textId="77777777" w:rsidR="001F04FD" w:rsidRDefault="001F04FD" w:rsidP="00AC4DEE">
            <w:pPr>
              <w:pStyle w:val="TableBody"/>
            </w:pPr>
            <w:r>
              <w:t>MW</w:t>
            </w:r>
          </w:p>
        </w:tc>
        <w:tc>
          <w:tcPr>
            <w:tcW w:w="0" w:type="auto"/>
          </w:tcPr>
          <w:p w14:paraId="2FAF3C72" w14:textId="77777777" w:rsidR="001F04FD" w:rsidRDefault="001F04FD" w:rsidP="00AC4DEE">
            <w:pPr>
              <w:pStyle w:val="TableBody"/>
            </w:pPr>
            <w:r>
              <w:rPr>
                <w:i/>
              </w:rPr>
              <w:t>Real-Time QSE-to-QSE Energy Sale per QSE per Settlement Point</w:t>
            </w:r>
            <w:r>
              <w:sym w:font="Symbol" w:char="F0BE"/>
            </w:r>
            <w:r>
              <w:t xml:space="preserve">The amount of MW sold by QSE </w:t>
            </w:r>
            <w:r>
              <w:rPr>
                <w:i/>
              </w:rPr>
              <w:t>q</w:t>
            </w:r>
            <w:r>
              <w:t xml:space="preserve"> through Energy Trades at Settlement Point </w:t>
            </w:r>
            <w:r>
              <w:rPr>
                <w:i/>
              </w:rPr>
              <w:t>p</w:t>
            </w:r>
            <w:r>
              <w:t>, for the 15-minute Settlement Interval.</w:t>
            </w:r>
          </w:p>
        </w:tc>
      </w:tr>
      <w:tr w:rsidR="001F04FD" w14:paraId="05FC7EE0" w14:textId="77777777" w:rsidTr="00AC4DEE">
        <w:tc>
          <w:tcPr>
            <w:tcW w:w="1630" w:type="dxa"/>
          </w:tcPr>
          <w:p w14:paraId="79E82311" w14:textId="77777777" w:rsidR="001F04FD" w:rsidRPr="008A4B73" w:rsidRDefault="001F04FD" w:rsidP="00AC4DEE">
            <w:pPr>
              <w:pStyle w:val="TableBody"/>
              <w:rPr>
                <w:i/>
              </w:rPr>
            </w:pPr>
            <w:r w:rsidRPr="00A61E91">
              <w:rPr>
                <w:i/>
              </w:rPr>
              <w:t>q</w:t>
            </w:r>
          </w:p>
        </w:tc>
        <w:tc>
          <w:tcPr>
            <w:tcW w:w="0" w:type="auto"/>
          </w:tcPr>
          <w:p w14:paraId="59964207" w14:textId="77777777" w:rsidR="001F04FD" w:rsidRDefault="001F04FD" w:rsidP="00AC4DEE">
            <w:pPr>
              <w:pStyle w:val="TableBody"/>
            </w:pPr>
            <w:r>
              <w:t>none</w:t>
            </w:r>
          </w:p>
        </w:tc>
        <w:tc>
          <w:tcPr>
            <w:tcW w:w="0" w:type="auto"/>
          </w:tcPr>
          <w:p w14:paraId="746FF44F" w14:textId="77777777" w:rsidR="001F04FD" w:rsidRDefault="001F04FD" w:rsidP="00AC4DEE">
            <w:pPr>
              <w:pStyle w:val="TableBody"/>
            </w:pPr>
            <w:r>
              <w:t>A QSE.</w:t>
            </w:r>
          </w:p>
        </w:tc>
      </w:tr>
      <w:tr w:rsidR="001F04FD" w14:paraId="70942CEB" w14:textId="77777777" w:rsidTr="00AC4DEE">
        <w:tc>
          <w:tcPr>
            <w:tcW w:w="1630" w:type="dxa"/>
          </w:tcPr>
          <w:p w14:paraId="429C1ABC" w14:textId="77777777" w:rsidR="001F04FD" w:rsidRPr="008A4B73" w:rsidRDefault="001F04FD" w:rsidP="00AC4DEE">
            <w:pPr>
              <w:pStyle w:val="TableBody"/>
              <w:rPr>
                <w:i/>
              </w:rPr>
            </w:pPr>
            <w:r w:rsidRPr="00A61E91">
              <w:rPr>
                <w:i/>
              </w:rPr>
              <w:t>p</w:t>
            </w:r>
          </w:p>
        </w:tc>
        <w:tc>
          <w:tcPr>
            <w:tcW w:w="0" w:type="auto"/>
          </w:tcPr>
          <w:p w14:paraId="79BA8372" w14:textId="77777777" w:rsidR="001F04FD" w:rsidRDefault="001F04FD" w:rsidP="00AC4DEE">
            <w:pPr>
              <w:pStyle w:val="TableBody"/>
            </w:pPr>
            <w:r>
              <w:t>none</w:t>
            </w:r>
          </w:p>
        </w:tc>
        <w:tc>
          <w:tcPr>
            <w:tcW w:w="0" w:type="auto"/>
          </w:tcPr>
          <w:p w14:paraId="0351B4DD" w14:textId="77777777" w:rsidR="001F04FD" w:rsidRDefault="001F04FD" w:rsidP="00AC4DEE">
            <w:pPr>
              <w:pStyle w:val="TableBody"/>
            </w:pPr>
            <w:r>
              <w:t>A Hub Settlement Point.</w:t>
            </w:r>
          </w:p>
        </w:tc>
      </w:tr>
    </w:tbl>
    <w:p w14:paraId="7F8C1AC5" w14:textId="77777777" w:rsidR="001F04FD" w:rsidRDefault="001F04FD" w:rsidP="001F04FD">
      <w:pPr>
        <w:pStyle w:val="BodyTextNumbered"/>
        <w:spacing w:before="240"/>
      </w:pPr>
      <w:r>
        <w:t>(3)</w:t>
      </w:r>
      <w:r>
        <w:tab/>
        <w:t>The total net payments and charges to each QSE for Energy Imbalance Service at all Hubs for the 15-minute Settlement Interval is calculated as follows:</w:t>
      </w:r>
    </w:p>
    <w:p w14:paraId="3CEC01F6" w14:textId="77777777" w:rsidR="001F04FD" w:rsidRDefault="001F04FD" w:rsidP="001F04FD">
      <w:pPr>
        <w:ind w:left="720"/>
        <w:rPr>
          <w:b/>
        </w:rPr>
      </w:pPr>
      <w:r w:rsidRPr="00A61E91">
        <w:rPr>
          <w:b/>
        </w:rPr>
        <w:t xml:space="preserve">RTEIAMTQSETOT </w:t>
      </w:r>
      <w:r w:rsidRPr="00A61E91">
        <w:rPr>
          <w:b/>
          <w:i/>
          <w:vertAlign w:val="subscript"/>
        </w:rPr>
        <w:t>q</w:t>
      </w:r>
      <w:r w:rsidRPr="00A61E91">
        <w:rPr>
          <w:b/>
        </w:rPr>
        <w:tab/>
        <w:t>=</w:t>
      </w:r>
      <w:r w:rsidRPr="00A61E91">
        <w:rPr>
          <w:b/>
        </w:rPr>
        <w:tab/>
      </w:r>
      <w:r w:rsidRPr="008A4B73">
        <w:rPr>
          <w:b/>
          <w:position w:val="-22"/>
        </w:rPr>
        <w:object w:dxaOrig="225" w:dyaOrig="465" w14:anchorId="0C3398CB">
          <v:shape id="_x0000_i1157" type="#_x0000_t75" style="width:12pt;height:18pt" o:ole="">
            <v:imagedata r:id="rId172" o:title=""/>
          </v:shape>
          <o:OLEObject Type="Embed" ProgID="Equation.3" ShapeID="_x0000_i1157" DrawAspect="Content" ObjectID="_1815025347" r:id="rId175"/>
        </w:object>
      </w:r>
      <w:r w:rsidRPr="00A61E91">
        <w:rPr>
          <w:b/>
        </w:rPr>
        <w:t xml:space="preserve">RTEIAMT </w:t>
      </w:r>
      <w:r w:rsidRPr="00A61E91">
        <w:rPr>
          <w:b/>
          <w:i/>
          <w:vertAlign w:val="subscript"/>
        </w:rPr>
        <w:t>q, p</w:t>
      </w:r>
    </w:p>
    <w:p w14:paraId="451400BA"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831"/>
      </w:tblGrid>
      <w:tr w:rsidR="001F04FD" w14:paraId="779F6507" w14:textId="77777777" w:rsidTr="00AC4DEE">
        <w:tc>
          <w:tcPr>
            <w:tcW w:w="2165" w:type="dxa"/>
          </w:tcPr>
          <w:p w14:paraId="2B6CA88D" w14:textId="77777777" w:rsidR="001F04FD" w:rsidRDefault="001F04FD" w:rsidP="00AC4DEE">
            <w:pPr>
              <w:pStyle w:val="TableHead"/>
            </w:pPr>
            <w:r>
              <w:t>Variable</w:t>
            </w:r>
          </w:p>
        </w:tc>
        <w:tc>
          <w:tcPr>
            <w:tcW w:w="832" w:type="dxa"/>
          </w:tcPr>
          <w:p w14:paraId="028AFFEB" w14:textId="77777777" w:rsidR="001F04FD" w:rsidRDefault="001F04FD" w:rsidP="00AC4DEE">
            <w:pPr>
              <w:pStyle w:val="TableHead"/>
            </w:pPr>
            <w:r>
              <w:t>Unit</w:t>
            </w:r>
          </w:p>
        </w:tc>
        <w:tc>
          <w:tcPr>
            <w:tcW w:w="6831" w:type="dxa"/>
          </w:tcPr>
          <w:p w14:paraId="298893EB" w14:textId="77777777" w:rsidR="001F04FD" w:rsidRDefault="001F04FD" w:rsidP="00AC4DEE">
            <w:pPr>
              <w:pStyle w:val="TableHead"/>
            </w:pPr>
            <w:r>
              <w:t>Definition</w:t>
            </w:r>
          </w:p>
        </w:tc>
      </w:tr>
      <w:tr w:rsidR="001F04FD" w14:paraId="66966675" w14:textId="77777777" w:rsidTr="00AC4DEE">
        <w:tc>
          <w:tcPr>
            <w:tcW w:w="2165" w:type="dxa"/>
          </w:tcPr>
          <w:p w14:paraId="38F3B966" w14:textId="77777777" w:rsidR="001F04FD" w:rsidRDefault="001F04FD" w:rsidP="00AC4DEE">
            <w:pPr>
              <w:pStyle w:val="TableBody"/>
            </w:pPr>
            <w:r>
              <w:t xml:space="preserve">RTEIAMTQSETOT </w:t>
            </w:r>
            <w:r w:rsidRPr="00003395">
              <w:rPr>
                <w:i/>
                <w:vertAlign w:val="subscript"/>
              </w:rPr>
              <w:t>q</w:t>
            </w:r>
          </w:p>
        </w:tc>
        <w:tc>
          <w:tcPr>
            <w:tcW w:w="832" w:type="dxa"/>
          </w:tcPr>
          <w:p w14:paraId="791C61A2" w14:textId="77777777" w:rsidR="001F04FD" w:rsidRDefault="001F04FD" w:rsidP="00AC4DEE">
            <w:pPr>
              <w:pStyle w:val="TableBody"/>
            </w:pPr>
            <w:r>
              <w:t>$</w:t>
            </w:r>
          </w:p>
        </w:tc>
        <w:tc>
          <w:tcPr>
            <w:tcW w:w="6831" w:type="dxa"/>
          </w:tcPr>
          <w:p w14:paraId="50DA6D0D"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at all Hub Settlement Points for the 15-minute Settlement Interval.</w:t>
            </w:r>
          </w:p>
        </w:tc>
      </w:tr>
      <w:tr w:rsidR="001F04FD" w14:paraId="2D8441B1" w14:textId="77777777" w:rsidTr="00AC4DEE">
        <w:tc>
          <w:tcPr>
            <w:tcW w:w="2165" w:type="dxa"/>
          </w:tcPr>
          <w:p w14:paraId="32E5956F" w14:textId="77777777" w:rsidR="001F04FD" w:rsidRDefault="001F04FD" w:rsidP="00AC4DEE">
            <w:pPr>
              <w:pStyle w:val="TableBody"/>
            </w:pPr>
            <w:r>
              <w:t xml:space="preserve">RTEIAMT </w:t>
            </w:r>
            <w:r w:rsidRPr="00003395">
              <w:rPr>
                <w:i/>
                <w:vertAlign w:val="subscript"/>
              </w:rPr>
              <w:t>q, p</w:t>
            </w:r>
          </w:p>
        </w:tc>
        <w:tc>
          <w:tcPr>
            <w:tcW w:w="832" w:type="dxa"/>
          </w:tcPr>
          <w:p w14:paraId="2CA291A0" w14:textId="77777777" w:rsidR="001F04FD" w:rsidRDefault="001F04FD" w:rsidP="00AC4DEE">
            <w:pPr>
              <w:pStyle w:val="TableBody"/>
            </w:pPr>
            <w:r>
              <w:t>$</w:t>
            </w:r>
          </w:p>
        </w:tc>
        <w:tc>
          <w:tcPr>
            <w:tcW w:w="6831" w:type="dxa"/>
          </w:tcPr>
          <w:p w14:paraId="73B979D8" w14:textId="77777777" w:rsidR="001F04FD" w:rsidRDefault="001F04FD" w:rsidP="00AC4DEE">
            <w:pPr>
              <w:pStyle w:val="TableBody"/>
            </w:pPr>
            <w:r>
              <w:rPr>
                <w:i/>
              </w:rPr>
              <w:t>Real-Time Energy Imbalance Amount per QSE per Settlement Point</w:t>
            </w:r>
            <w:r>
              <w:t xml:space="preserve">—The charge to QSE </w:t>
            </w:r>
            <w:r>
              <w:rPr>
                <w:i/>
              </w:rPr>
              <w:t>q</w:t>
            </w:r>
            <w:r>
              <w:t xml:space="preserve"> for the Real-Time Energy Imbalance at Settlement Point </w:t>
            </w:r>
            <w:r>
              <w:rPr>
                <w:i/>
              </w:rPr>
              <w:t>p</w:t>
            </w:r>
            <w:r>
              <w:t>, for the 15-minute Settlement Interval.</w:t>
            </w:r>
          </w:p>
        </w:tc>
      </w:tr>
      <w:tr w:rsidR="001F04FD" w14:paraId="3F0939C4" w14:textId="77777777" w:rsidTr="00AC4DEE">
        <w:tc>
          <w:tcPr>
            <w:tcW w:w="2165" w:type="dxa"/>
            <w:tcBorders>
              <w:top w:val="single" w:sz="4" w:space="0" w:color="auto"/>
              <w:left w:val="single" w:sz="4" w:space="0" w:color="auto"/>
              <w:bottom w:val="single" w:sz="4" w:space="0" w:color="auto"/>
              <w:right w:val="single" w:sz="4" w:space="0" w:color="auto"/>
            </w:tcBorders>
          </w:tcPr>
          <w:p w14:paraId="45D8DE45" w14:textId="77777777" w:rsidR="001F04FD" w:rsidRPr="008A4B73" w:rsidRDefault="001F04FD" w:rsidP="00AC4DEE">
            <w:pPr>
              <w:pStyle w:val="TableBody"/>
              <w:rPr>
                <w:i/>
              </w:rPr>
            </w:pPr>
            <w:r w:rsidRPr="00A61E91">
              <w:rPr>
                <w:i/>
              </w:rPr>
              <w:t>q</w:t>
            </w:r>
          </w:p>
        </w:tc>
        <w:tc>
          <w:tcPr>
            <w:tcW w:w="832" w:type="dxa"/>
            <w:tcBorders>
              <w:top w:val="single" w:sz="4" w:space="0" w:color="auto"/>
              <w:left w:val="single" w:sz="4" w:space="0" w:color="auto"/>
              <w:bottom w:val="single" w:sz="4" w:space="0" w:color="auto"/>
              <w:right w:val="single" w:sz="4" w:space="0" w:color="auto"/>
            </w:tcBorders>
          </w:tcPr>
          <w:p w14:paraId="2BD3D509" w14:textId="77777777" w:rsidR="001F04FD" w:rsidRDefault="001F04FD" w:rsidP="00AC4DEE">
            <w:pPr>
              <w:pStyle w:val="TableBody"/>
            </w:pPr>
            <w:r>
              <w:t>none</w:t>
            </w:r>
          </w:p>
        </w:tc>
        <w:tc>
          <w:tcPr>
            <w:tcW w:w="6831" w:type="dxa"/>
            <w:tcBorders>
              <w:top w:val="single" w:sz="4" w:space="0" w:color="auto"/>
              <w:left w:val="single" w:sz="4" w:space="0" w:color="auto"/>
              <w:bottom w:val="single" w:sz="4" w:space="0" w:color="auto"/>
              <w:right w:val="single" w:sz="4" w:space="0" w:color="auto"/>
            </w:tcBorders>
          </w:tcPr>
          <w:p w14:paraId="78A0772F" w14:textId="77777777" w:rsidR="001F04FD" w:rsidRDefault="001F04FD" w:rsidP="00AC4DEE">
            <w:pPr>
              <w:pStyle w:val="TableBody"/>
            </w:pPr>
            <w:r>
              <w:t>A QSE.</w:t>
            </w:r>
          </w:p>
        </w:tc>
      </w:tr>
      <w:tr w:rsidR="001F04FD" w14:paraId="13A0C10B" w14:textId="77777777" w:rsidTr="00AC4DEE">
        <w:tc>
          <w:tcPr>
            <w:tcW w:w="2165" w:type="dxa"/>
            <w:tcBorders>
              <w:top w:val="single" w:sz="4" w:space="0" w:color="auto"/>
              <w:left w:val="single" w:sz="4" w:space="0" w:color="auto"/>
              <w:bottom w:val="single" w:sz="4" w:space="0" w:color="auto"/>
              <w:right w:val="single" w:sz="4" w:space="0" w:color="auto"/>
            </w:tcBorders>
          </w:tcPr>
          <w:p w14:paraId="5FF9D910" w14:textId="77777777" w:rsidR="001F04FD" w:rsidRPr="008A4B73" w:rsidRDefault="001F04FD" w:rsidP="00AC4DEE">
            <w:pPr>
              <w:pStyle w:val="TableBody"/>
              <w:rPr>
                <w:i/>
              </w:rPr>
            </w:pPr>
            <w:r w:rsidRPr="00A61E91">
              <w:rPr>
                <w:i/>
              </w:rPr>
              <w:t>p</w:t>
            </w:r>
          </w:p>
        </w:tc>
        <w:tc>
          <w:tcPr>
            <w:tcW w:w="832" w:type="dxa"/>
            <w:tcBorders>
              <w:top w:val="single" w:sz="4" w:space="0" w:color="auto"/>
              <w:left w:val="single" w:sz="4" w:space="0" w:color="auto"/>
              <w:bottom w:val="single" w:sz="4" w:space="0" w:color="auto"/>
              <w:right w:val="single" w:sz="4" w:space="0" w:color="auto"/>
            </w:tcBorders>
          </w:tcPr>
          <w:p w14:paraId="0F0911E2" w14:textId="77777777" w:rsidR="001F04FD" w:rsidRDefault="001F04FD" w:rsidP="00AC4DEE">
            <w:pPr>
              <w:pStyle w:val="TableBody"/>
            </w:pPr>
            <w:r>
              <w:t>none</w:t>
            </w:r>
          </w:p>
        </w:tc>
        <w:tc>
          <w:tcPr>
            <w:tcW w:w="6831" w:type="dxa"/>
            <w:tcBorders>
              <w:top w:val="single" w:sz="4" w:space="0" w:color="auto"/>
              <w:left w:val="single" w:sz="4" w:space="0" w:color="auto"/>
              <w:bottom w:val="single" w:sz="4" w:space="0" w:color="auto"/>
              <w:right w:val="single" w:sz="4" w:space="0" w:color="auto"/>
            </w:tcBorders>
          </w:tcPr>
          <w:p w14:paraId="69FFC11F" w14:textId="77777777" w:rsidR="001F04FD" w:rsidRDefault="001F04FD" w:rsidP="00AC4DEE">
            <w:pPr>
              <w:pStyle w:val="TableBody"/>
            </w:pPr>
            <w:r>
              <w:t>A Hub Settlement Point.</w:t>
            </w:r>
          </w:p>
        </w:tc>
      </w:tr>
    </w:tbl>
    <w:p w14:paraId="191A835D" w14:textId="77777777" w:rsidR="001F04FD" w:rsidRDefault="001F04FD" w:rsidP="001F04FD">
      <w:pPr>
        <w:pStyle w:val="H4"/>
        <w:spacing w:before="480"/>
        <w:ind w:left="1267" w:hanging="1267"/>
      </w:pPr>
      <w:bookmarkStart w:id="1899" w:name="_Toc397505016"/>
      <w:bookmarkStart w:id="1900" w:name="_Toc402357144"/>
      <w:bookmarkStart w:id="1901" w:name="_Toc422486522"/>
      <w:bookmarkStart w:id="1902" w:name="_Toc433093374"/>
      <w:bookmarkStart w:id="1903" w:name="_Toc433093532"/>
      <w:bookmarkStart w:id="1904" w:name="_Toc440874760"/>
      <w:bookmarkStart w:id="1905" w:name="_Toc448142315"/>
      <w:bookmarkStart w:id="1906" w:name="_Toc448142472"/>
      <w:bookmarkStart w:id="1907" w:name="_Toc458770313"/>
      <w:bookmarkStart w:id="1908" w:name="_Toc459294281"/>
      <w:bookmarkStart w:id="1909" w:name="_Toc463262774"/>
      <w:bookmarkStart w:id="1910" w:name="_Toc468286847"/>
      <w:bookmarkStart w:id="1911" w:name="_Toc481502890"/>
      <w:bookmarkStart w:id="1912" w:name="_Toc496080058"/>
      <w:bookmarkStart w:id="1913" w:name="_Toc87951788"/>
      <w:bookmarkStart w:id="1914" w:name="_Toc109009393"/>
      <w:bookmarkStart w:id="1915" w:name="_Toc204411668"/>
      <w:bookmarkEnd w:id="1861"/>
      <w:bookmarkEnd w:id="1862"/>
      <w:r>
        <w:t>6.6.3.4</w:t>
      </w:r>
      <w:r>
        <w:tab/>
        <w:t>Real-Time Energy Payment for DC Tie Import</w:t>
      </w:r>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5"/>
    </w:p>
    <w:p w14:paraId="292E3B63" w14:textId="77777777" w:rsidR="001F04FD" w:rsidRDefault="001F04FD" w:rsidP="001F04FD">
      <w:pPr>
        <w:pStyle w:val="BodyTextNumbered"/>
      </w:pPr>
      <w:r>
        <w:t>(1)</w:t>
      </w:r>
      <w:r>
        <w:tab/>
        <w:t>The payment to each QSE for energy imported into the ERCOT System through each DC Tie is calculated based on the Real-Time Settlement Point Price at the DC Tie Settlement Point.  The payment for a given 15-minute Settlement Interval is calculated as follows:</w:t>
      </w:r>
    </w:p>
    <w:p w14:paraId="6DA90C12" w14:textId="77777777" w:rsidR="001F04FD" w:rsidRDefault="001F04FD" w:rsidP="001F04FD">
      <w:pPr>
        <w:pStyle w:val="FormulaBold"/>
      </w:pPr>
      <w:r>
        <w:t xml:space="preserve">RTDCIMPAMT </w:t>
      </w:r>
      <w:r>
        <w:rPr>
          <w:i/>
          <w:vertAlign w:val="subscript"/>
        </w:rPr>
        <w:t>q, p</w:t>
      </w:r>
      <w:r>
        <w:tab/>
        <w:t>=</w:t>
      </w:r>
      <w:r>
        <w:tab/>
        <w:t xml:space="preserve">(-1) * RTSPP </w:t>
      </w:r>
      <w:r>
        <w:rPr>
          <w:i/>
          <w:vertAlign w:val="subscript"/>
        </w:rPr>
        <w:t>p</w:t>
      </w:r>
      <w:r>
        <w:t xml:space="preserve"> * (RTDCIMP </w:t>
      </w:r>
      <w:r>
        <w:rPr>
          <w:i/>
          <w:vertAlign w:val="subscript"/>
        </w:rPr>
        <w:t>q, p</w:t>
      </w:r>
      <w:r>
        <w:t xml:space="preserve"> * ¼)</w:t>
      </w:r>
    </w:p>
    <w:p w14:paraId="0940F6D8"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909"/>
        <w:gridCol w:w="853"/>
        <w:gridCol w:w="7066"/>
      </w:tblGrid>
      <w:tr w:rsidR="001F04FD" w14:paraId="1FB36B2F" w14:textId="77777777" w:rsidTr="00AC4DEE">
        <w:tc>
          <w:tcPr>
            <w:tcW w:w="1909" w:type="dxa"/>
          </w:tcPr>
          <w:p w14:paraId="1C4A69F4" w14:textId="77777777" w:rsidR="001F04FD" w:rsidRDefault="001F04FD" w:rsidP="00AC4DEE">
            <w:pPr>
              <w:pStyle w:val="TableHead"/>
            </w:pPr>
            <w:r>
              <w:t>Variable</w:t>
            </w:r>
          </w:p>
        </w:tc>
        <w:tc>
          <w:tcPr>
            <w:tcW w:w="0" w:type="auto"/>
          </w:tcPr>
          <w:p w14:paraId="6DCF72EE" w14:textId="77777777" w:rsidR="001F04FD" w:rsidRDefault="001F04FD" w:rsidP="00AC4DEE">
            <w:pPr>
              <w:pStyle w:val="TableHead"/>
            </w:pPr>
            <w:r>
              <w:t>Unit</w:t>
            </w:r>
          </w:p>
        </w:tc>
        <w:tc>
          <w:tcPr>
            <w:tcW w:w="0" w:type="auto"/>
          </w:tcPr>
          <w:p w14:paraId="4A7904A1" w14:textId="77777777" w:rsidR="001F04FD" w:rsidRDefault="001F04FD" w:rsidP="00AC4DEE">
            <w:pPr>
              <w:pStyle w:val="TableHead"/>
            </w:pPr>
            <w:r>
              <w:t>Description</w:t>
            </w:r>
          </w:p>
        </w:tc>
      </w:tr>
      <w:tr w:rsidR="001F04FD" w14:paraId="7151D7C7" w14:textId="77777777" w:rsidTr="00AC4DEE">
        <w:tc>
          <w:tcPr>
            <w:tcW w:w="1909" w:type="dxa"/>
          </w:tcPr>
          <w:p w14:paraId="4123A39F" w14:textId="77777777" w:rsidR="001F04FD" w:rsidRDefault="001F04FD" w:rsidP="00AC4DEE">
            <w:pPr>
              <w:pStyle w:val="TableBody"/>
            </w:pPr>
            <w:r>
              <w:t xml:space="preserve">RTDCIMPAMT </w:t>
            </w:r>
            <w:r w:rsidRPr="006624C0">
              <w:rPr>
                <w:i/>
                <w:vertAlign w:val="subscript"/>
              </w:rPr>
              <w:t>q, p</w:t>
            </w:r>
          </w:p>
        </w:tc>
        <w:tc>
          <w:tcPr>
            <w:tcW w:w="0" w:type="auto"/>
          </w:tcPr>
          <w:p w14:paraId="0F48D16C" w14:textId="77777777" w:rsidR="001F04FD" w:rsidRDefault="001F04FD" w:rsidP="00AC4DEE">
            <w:pPr>
              <w:pStyle w:val="TableBody"/>
            </w:pPr>
            <w:r>
              <w:t>$</w:t>
            </w:r>
          </w:p>
        </w:tc>
        <w:tc>
          <w:tcPr>
            <w:tcW w:w="0" w:type="auto"/>
          </w:tcPr>
          <w:p w14:paraId="7796DAB9" w14:textId="77777777" w:rsidR="001F04FD" w:rsidRDefault="001F04FD" w:rsidP="00AC4DEE">
            <w:pPr>
              <w:pStyle w:val="TableBody"/>
            </w:pPr>
            <w:r>
              <w:rPr>
                <w:i/>
              </w:rPr>
              <w:t>Real-Time DC Import Amount per QSE per Settlement Point</w:t>
            </w:r>
            <w:r>
              <w:t xml:space="preserve">—The payment to QSE </w:t>
            </w:r>
            <w:r>
              <w:rPr>
                <w:i/>
              </w:rPr>
              <w:t>q</w:t>
            </w:r>
            <w:r>
              <w:t xml:space="preserve"> for DC Tie import through DC Tie </w:t>
            </w:r>
            <w:r>
              <w:rPr>
                <w:i/>
              </w:rPr>
              <w:t>p</w:t>
            </w:r>
            <w:r>
              <w:t>, for the 15-minute Settlement Interval.</w:t>
            </w:r>
          </w:p>
        </w:tc>
      </w:tr>
      <w:tr w:rsidR="001F04FD" w14:paraId="3C85EDB5" w14:textId="77777777" w:rsidTr="00AC4DEE">
        <w:tc>
          <w:tcPr>
            <w:tcW w:w="1909" w:type="dxa"/>
          </w:tcPr>
          <w:p w14:paraId="6BCFCEC6" w14:textId="77777777" w:rsidR="001F04FD" w:rsidRDefault="001F04FD" w:rsidP="00AC4DEE">
            <w:pPr>
              <w:pStyle w:val="TableBody"/>
            </w:pPr>
            <w:r>
              <w:lastRenderedPageBreak/>
              <w:t xml:space="preserve">RTSPP </w:t>
            </w:r>
            <w:r w:rsidRPr="006624C0">
              <w:rPr>
                <w:i/>
                <w:vertAlign w:val="subscript"/>
              </w:rPr>
              <w:t>p</w:t>
            </w:r>
          </w:p>
        </w:tc>
        <w:tc>
          <w:tcPr>
            <w:tcW w:w="0" w:type="auto"/>
          </w:tcPr>
          <w:p w14:paraId="1E3C67E9" w14:textId="77777777" w:rsidR="001F04FD" w:rsidRDefault="001F04FD" w:rsidP="00AC4DEE">
            <w:pPr>
              <w:pStyle w:val="TableBody"/>
            </w:pPr>
            <w:r>
              <w:t>$/MWh</w:t>
            </w:r>
          </w:p>
        </w:tc>
        <w:tc>
          <w:tcPr>
            <w:tcW w:w="0" w:type="auto"/>
          </w:tcPr>
          <w:p w14:paraId="0E6B115E"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7F2EAA26" w14:textId="77777777" w:rsidTr="00AC4DEE">
        <w:tc>
          <w:tcPr>
            <w:tcW w:w="1909" w:type="dxa"/>
          </w:tcPr>
          <w:p w14:paraId="78FD192F" w14:textId="77777777" w:rsidR="001F04FD" w:rsidRDefault="001F04FD" w:rsidP="00AC4DEE">
            <w:pPr>
              <w:pStyle w:val="TableBody"/>
            </w:pPr>
            <w:r>
              <w:t xml:space="preserve">RTDCIMP </w:t>
            </w:r>
            <w:r w:rsidRPr="006624C0">
              <w:rPr>
                <w:i/>
                <w:vertAlign w:val="subscript"/>
              </w:rPr>
              <w:t>q, p</w:t>
            </w:r>
          </w:p>
        </w:tc>
        <w:tc>
          <w:tcPr>
            <w:tcW w:w="0" w:type="auto"/>
          </w:tcPr>
          <w:p w14:paraId="20BC1783" w14:textId="77777777" w:rsidR="001F04FD" w:rsidRDefault="001F04FD" w:rsidP="00AC4DEE">
            <w:pPr>
              <w:pStyle w:val="TableBody"/>
            </w:pPr>
            <w:r>
              <w:t>MW</w:t>
            </w:r>
          </w:p>
        </w:tc>
        <w:tc>
          <w:tcPr>
            <w:tcW w:w="0" w:type="auto"/>
          </w:tcPr>
          <w:p w14:paraId="2A501158" w14:textId="77777777" w:rsidR="0093699B" w:rsidRDefault="001F04FD" w:rsidP="00AC4DEE">
            <w:pPr>
              <w:pStyle w:val="TableBody"/>
            </w:pPr>
            <w:r>
              <w:rPr>
                <w:i/>
              </w:rPr>
              <w:t>Real-Time DC Import per QSE per Settlement Point</w:t>
            </w:r>
            <w:r>
              <w:t xml:space="preserve">—The aggregated DC Tie Schedule submitted by QSE </w:t>
            </w:r>
            <w:r>
              <w:rPr>
                <w:i/>
              </w:rPr>
              <w:t>q</w:t>
            </w:r>
            <w:r>
              <w:t xml:space="preserve"> as an importer into the ERCOT System through DC Tie </w:t>
            </w:r>
            <w:r>
              <w:rPr>
                <w:i/>
              </w:rPr>
              <w:t>p</w:t>
            </w:r>
            <w:r>
              <w:t>, for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26"/>
            </w:tblGrid>
            <w:tr w:rsidR="0093699B" w14:paraId="0D892E4D" w14:textId="77777777" w:rsidTr="00426634">
              <w:trPr>
                <w:trHeight w:val="206"/>
              </w:trPr>
              <w:tc>
                <w:tcPr>
                  <w:tcW w:w="0" w:type="auto"/>
                  <w:shd w:val="pct12" w:color="auto" w:fill="auto"/>
                </w:tcPr>
                <w:p w14:paraId="5CB61F94" w14:textId="43BF8A4E" w:rsidR="0093699B" w:rsidRDefault="0093699B" w:rsidP="0093699B">
                  <w:pPr>
                    <w:pStyle w:val="Instructions"/>
                    <w:spacing w:before="120"/>
                  </w:pPr>
                  <w:r>
                    <w:t>[NPRR1032:  Replace the description above with the following upon system implementation:]</w:t>
                  </w:r>
                </w:p>
                <w:p w14:paraId="51E65CF6" w14:textId="6B94AFD0" w:rsidR="0093699B" w:rsidRPr="008F39F7" w:rsidRDefault="0093699B" w:rsidP="0093699B">
                  <w:pPr>
                    <w:pStyle w:val="TableBody"/>
                  </w:pPr>
                  <w:r>
                    <w:rPr>
                      <w:i/>
                    </w:rPr>
                    <w:t>Real-Time DC Import per QSE per Settlement Point</w:t>
                  </w:r>
                  <w:r>
                    <w:t xml:space="preserve">—The aggregated final, approved DC Tie Schedule submitted by QSE </w:t>
                  </w:r>
                  <w:r>
                    <w:rPr>
                      <w:i/>
                    </w:rPr>
                    <w:t>q</w:t>
                  </w:r>
                  <w:r>
                    <w:t xml:space="preserve"> as an importer into the ERCOT System through DC Tie </w:t>
                  </w:r>
                  <w:r>
                    <w:rPr>
                      <w:i/>
                    </w:rPr>
                    <w:t>p</w:t>
                  </w:r>
                  <w:r>
                    <w:t>, for the 15-minute Settlement Interval.</w:t>
                  </w:r>
                </w:p>
              </w:tc>
            </w:tr>
          </w:tbl>
          <w:p w14:paraId="6ADEC4BE" w14:textId="7E875EE2" w:rsidR="001F04FD" w:rsidRDefault="001F04FD" w:rsidP="00AC4DEE">
            <w:pPr>
              <w:pStyle w:val="TableBody"/>
            </w:pPr>
          </w:p>
        </w:tc>
      </w:tr>
      <w:tr w:rsidR="001F04FD" w14:paraId="567E9D37" w14:textId="77777777" w:rsidTr="00AC4DEE">
        <w:tc>
          <w:tcPr>
            <w:tcW w:w="1909" w:type="dxa"/>
          </w:tcPr>
          <w:p w14:paraId="3C428132" w14:textId="77777777" w:rsidR="001F04FD" w:rsidRPr="008326CB" w:rsidRDefault="001F04FD" w:rsidP="00AC4DEE">
            <w:pPr>
              <w:pStyle w:val="TableBody"/>
              <w:rPr>
                <w:i/>
              </w:rPr>
            </w:pPr>
            <w:r w:rsidRPr="00A61E91">
              <w:rPr>
                <w:i/>
              </w:rPr>
              <w:t>q</w:t>
            </w:r>
          </w:p>
        </w:tc>
        <w:tc>
          <w:tcPr>
            <w:tcW w:w="0" w:type="auto"/>
          </w:tcPr>
          <w:p w14:paraId="5E632BB6" w14:textId="77777777" w:rsidR="001F04FD" w:rsidRDefault="001F04FD" w:rsidP="00AC4DEE">
            <w:pPr>
              <w:pStyle w:val="TableBody"/>
            </w:pPr>
            <w:r>
              <w:t>none</w:t>
            </w:r>
          </w:p>
        </w:tc>
        <w:tc>
          <w:tcPr>
            <w:tcW w:w="0" w:type="auto"/>
          </w:tcPr>
          <w:p w14:paraId="1D90C913" w14:textId="77777777" w:rsidR="001F04FD" w:rsidRDefault="001F04FD" w:rsidP="00AC4DEE">
            <w:pPr>
              <w:pStyle w:val="TableBody"/>
              <w:rPr>
                <w:i/>
              </w:rPr>
            </w:pPr>
            <w:r>
              <w:t>A QSE.</w:t>
            </w:r>
          </w:p>
        </w:tc>
      </w:tr>
      <w:tr w:rsidR="001F04FD" w14:paraId="360BF231" w14:textId="77777777" w:rsidTr="00AC4DEE">
        <w:tc>
          <w:tcPr>
            <w:tcW w:w="1909" w:type="dxa"/>
          </w:tcPr>
          <w:p w14:paraId="5262337A" w14:textId="77777777" w:rsidR="001F04FD" w:rsidRPr="008326CB" w:rsidRDefault="001F04FD" w:rsidP="00AC4DEE">
            <w:pPr>
              <w:pStyle w:val="TableBody"/>
              <w:rPr>
                <w:i/>
              </w:rPr>
            </w:pPr>
            <w:r w:rsidRPr="00A61E91">
              <w:rPr>
                <w:i/>
              </w:rPr>
              <w:t>p</w:t>
            </w:r>
          </w:p>
        </w:tc>
        <w:tc>
          <w:tcPr>
            <w:tcW w:w="0" w:type="auto"/>
          </w:tcPr>
          <w:p w14:paraId="1C5DA9C3" w14:textId="77777777" w:rsidR="001F04FD" w:rsidRDefault="001F04FD" w:rsidP="00AC4DEE">
            <w:pPr>
              <w:pStyle w:val="TableBody"/>
            </w:pPr>
            <w:r>
              <w:t>none</w:t>
            </w:r>
          </w:p>
        </w:tc>
        <w:tc>
          <w:tcPr>
            <w:tcW w:w="0" w:type="auto"/>
          </w:tcPr>
          <w:p w14:paraId="50465A88" w14:textId="77777777" w:rsidR="001F04FD" w:rsidRDefault="001F04FD" w:rsidP="00AC4DEE">
            <w:pPr>
              <w:pStyle w:val="TableBody"/>
              <w:rPr>
                <w:i/>
                <w:lang w:val="fr-FR"/>
              </w:rPr>
            </w:pPr>
            <w:r>
              <w:rPr>
                <w:lang w:val="fr-FR"/>
              </w:rPr>
              <w:t>A DC Tie Settlement Point.</w:t>
            </w:r>
          </w:p>
        </w:tc>
      </w:tr>
    </w:tbl>
    <w:p w14:paraId="03571307" w14:textId="77777777" w:rsidR="001F04FD" w:rsidRDefault="001F04FD" w:rsidP="001F04FD">
      <w:pPr>
        <w:rPr>
          <w:lang w:val="fr-FR"/>
        </w:rPr>
      </w:pPr>
    </w:p>
    <w:p w14:paraId="3E81A31F" w14:textId="77777777" w:rsidR="001F04FD" w:rsidRDefault="001F04FD" w:rsidP="001F04FD">
      <w:pPr>
        <w:pStyle w:val="BodyTextNumbered"/>
      </w:pPr>
      <w:r>
        <w:t>(2)</w:t>
      </w:r>
      <w:r>
        <w:tab/>
        <w:t>ERCOT shall pay each QSE for energy imported into the ERCOT System during a declared Emergency Condition through each DC Tie in response to an ERCOT Dispatch Instruction.  The payment for a given 15-minute Settlement Interval is calculated as follows:</w:t>
      </w:r>
    </w:p>
    <w:p w14:paraId="0E5BC337" w14:textId="77777777" w:rsidR="001F04FD" w:rsidRDefault="001F04FD" w:rsidP="001F04FD">
      <w:pPr>
        <w:pStyle w:val="FormulaBold"/>
      </w:pPr>
      <w:r>
        <w:t xml:space="preserve">RTEDCIMPAMT </w:t>
      </w:r>
      <w:r>
        <w:rPr>
          <w:i/>
          <w:vertAlign w:val="subscript"/>
        </w:rPr>
        <w:t>q, p</w:t>
      </w:r>
      <w:r>
        <w:tab/>
        <w:t>=</w:t>
      </w:r>
      <w:r>
        <w:tab/>
        <w:t xml:space="preserve">(-1) * Max {RTSPP </w:t>
      </w:r>
      <w:r>
        <w:rPr>
          <w:i/>
          <w:vertAlign w:val="subscript"/>
        </w:rPr>
        <w:t>p</w:t>
      </w:r>
      <w:r>
        <w:t xml:space="preserve">, (VEEPDCTP </w:t>
      </w:r>
      <w:r>
        <w:rPr>
          <w:i/>
          <w:vertAlign w:val="subscript"/>
        </w:rPr>
        <w:t>q, p</w:t>
      </w:r>
      <w:r w:rsidRPr="006624C0">
        <w:rPr>
          <w:vertAlign w:val="subscript"/>
        </w:rPr>
        <w:t xml:space="preserve"> </w:t>
      </w:r>
      <w:r w:rsidRPr="006624C0">
        <w:t>* CAEDCT)</w:t>
      </w:r>
      <w:r>
        <w:t xml:space="preserve">}* (RTEDCIMP </w:t>
      </w:r>
      <w:r>
        <w:rPr>
          <w:i/>
          <w:vertAlign w:val="subscript"/>
        </w:rPr>
        <w:t>q, p</w:t>
      </w:r>
      <w:r>
        <w:t xml:space="preserve"> * ¼)</w:t>
      </w:r>
    </w:p>
    <w:p w14:paraId="715CDE7C"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05"/>
        <w:gridCol w:w="1080"/>
        <w:gridCol w:w="6743"/>
      </w:tblGrid>
      <w:tr w:rsidR="001F04FD" w14:paraId="5F925FB3" w14:textId="77777777" w:rsidTr="00AC4DEE">
        <w:tc>
          <w:tcPr>
            <w:tcW w:w="2005" w:type="dxa"/>
          </w:tcPr>
          <w:p w14:paraId="12D01C28" w14:textId="77777777" w:rsidR="001F04FD" w:rsidRDefault="001F04FD" w:rsidP="00AC4DEE">
            <w:pPr>
              <w:pStyle w:val="TableHead"/>
            </w:pPr>
            <w:r>
              <w:t>Variable</w:t>
            </w:r>
          </w:p>
        </w:tc>
        <w:tc>
          <w:tcPr>
            <w:tcW w:w="1080" w:type="dxa"/>
          </w:tcPr>
          <w:p w14:paraId="54D4ED97" w14:textId="77777777" w:rsidR="001F04FD" w:rsidRDefault="001F04FD" w:rsidP="00AC4DEE">
            <w:pPr>
              <w:pStyle w:val="TableHead"/>
            </w:pPr>
            <w:r>
              <w:t>Unit</w:t>
            </w:r>
          </w:p>
        </w:tc>
        <w:tc>
          <w:tcPr>
            <w:tcW w:w="6743" w:type="dxa"/>
          </w:tcPr>
          <w:p w14:paraId="07ABA981" w14:textId="77777777" w:rsidR="001F04FD" w:rsidRDefault="001F04FD" w:rsidP="00AC4DEE">
            <w:pPr>
              <w:pStyle w:val="TableHead"/>
            </w:pPr>
            <w:r>
              <w:t>Description</w:t>
            </w:r>
          </w:p>
        </w:tc>
      </w:tr>
      <w:tr w:rsidR="001F04FD" w14:paraId="58E47691" w14:textId="77777777" w:rsidTr="00AC4DEE">
        <w:tc>
          <w:tcPr>
            <w:tcW w:w="2005" w:type="dxa"/>
          </w:tcPr>
          <w:p w14:paraId="0D6E4BD1" w14:textId="77777777" w:rsidR="001F04FD" w:rsidRDefault="001F04FD" w:rsidP="00AC4DEE">
            <w:pPr>
              <w:pStyle w:val="TableBody"/>
            </w:pPr>
            <w:r>
              <w:t xml:space="preserve">RTEDCIMPAMT </w:t>
            </w:r>
            <w:r w:rsidRPr="006624C0">
              <w:rPr>
                <w:i/>
                <w:vertAlign w:val="subscript"/>
              </w:rPr>
              <w:t>q, p</w:t>
            </w:r>
          </w:p>
        </w:tc>
        <w:tc>
          <w:tcPr>
            <w:tcW w:w="1080" w:type="dxa"/>
          </w:tcPr>
          <w:p w14:paraId="5B5F5915" w14:textId="77777777" w:rsidR="001F04FD" w:rsidRDefault="001F04FD" w:rsidP="00AC4DEE">
            <w:pPr>
              <w:pStyle w:val="TableBody"/>
            </w:pPr>
            <w:r>
              <w:t>$</w:t>
            </w:r>
          </w:p>
        </w:tc>
        <w:tc>
          <w:tcPr>
            <w:tcW w:w="6743" w:type="dxa"/>
          </w:tcPr>
          <w:p w14:paraId="73E95165" w14:textId="77777777" w:rsidR="001F04FD" w:rsidRDefault="001F04FD" w:rsidP="00AC4DEE">
            <w:pPr>
              <w:pStyle w:val="TableBody"/>
            </w:pPr>
            <w:r>
              <w:rPr>
                <w:i/>
              </w:rPr>
              <w:t>Real-Time Emergency DC Import Amount per QSE per Settlement Point</w:t>
            </w:r>
            <w:r>
              <w:t xml:space="preserve">—The payment to QSE </w:t>
            </w:r>
            <w:r>
              <w:rPr>
                <w:i/>
              </w:rPr>
              <w:t>q</w:t>
            </w:r>
            <w:r>
              <w:t xml:space="preserve"> for emergency DC Tie import through DC Tie </w:t>
            </w:r>
            <w:r>
              <w:rPr>
                <w:i/>
              </w:rPr>
              <w:t>p</w:t>
            </w:r>
            <w:r>
              <w:t>, for the 15-minute Settlement Interval.</w:t>
            </w:r>
          </w:p>
        </w:tc>
      </w:tr>
      <w:tr w:rsidR="001F04FD" w14:paraId="52E2E123" w14:textId="77777777" w:rsidTr="00AC4DEE">
        <w:tc>
          <w:tcPr>
            <w:tcW w:w="2005" w:type="dxa"/>
          </w:tcPr>
          <w:p w14:paraId="4FA581A6" w14:textId="77777777" w:rsidR="001F04FD" w:rsidRDefault="001F04FD" w:rsidP="00AC4DEE">
            <w:pPr>
              <w:pStyle w:val="TableBody"/>
            </w:pPr>
            <w:r>
              <w:t xml:space="preserve">RTSPP </w:t>
            </w:r>
            <w:r w:rsidRPr="006624C0">
              <w:rPr>
                <w:i/>
                <w:vertAlign w:val="subscript"/>
              </w:rPr>
              <w:t>p</w:t>
            </w:r>
          </w:p>
        </w:tc>
        <w:tc>
          <w:tcPr>
            <w:tcW w:w="1080" w:type="dxa"/>
          </w:tcPr>
          <w:p w14:paraId="1B6BA981" w14:textId="77777777" w:rsidR="001F04FD" w:rsidRDefault="001F04FD" w:rsidP="00AC4DEE">
            <w:pPr>
              <w:pStyle w:val="TableBody"/>
            </w:pPr>
            <w:r>
              <w:t>$/MWh</w:t>
            </w:r>
          </w:p>
        </w:tc>
        <w:tc>
          <w:tcPr>
            <w:tcW w:w="6743" w:type="dxa"/>
          </w:tcPr>
          <w:p w14:paraId="0C52786F" w14:textId="0B6CA269" w:rsidR="001F04FD" w:rsidRDefault="001F04FD" w:rsidP="00AC4DEE">
            <w:pPr>
              <w:pStyle w:val="TableBody"/>
            </w:pPr>
            <w:r>
              <w:rPr>
                <w:i/>
              </w:rPr>
              <w:t>Real-Time Settlement Point Price per Settlement Point</w:t>
            </w:r>
            <w:r>
              <w:t>—The Real-Time S</w:t>
            </w:r>
            <w:r w:rsidR="00082248">
              <w:t xml:space="preserve">ettlement </w:t>
            </w:r>
            <w:r>
              <w:t>P</w:t>
            </w:r>
            <w:r w:rsidR="00082248">
              <w:t xml:space="preserve">oint </w:t>
            </w:r>
            <w:r>
              <w:t>P</w:t>
            </w:r>
            <w:r w:rsidR="00082248">
              <w:t>rice</w:t>
            </w:r>
            <w:r>
              <w:t xml:space="preserve"> at Settlement Point </w:t>
            </w:r>
            <w:r>
              <w:rPr>
                <w:i/>
              </w:rPr>
              <w:t>p</w:t>
            </w:r>
            <w:r>
              <w:t>, for the 15-minute Settlement Interval.</w:t>
            </w:r>
          </w:p>
        </w:tc>
      </w:tr>
      <w:tr w:rsidR="001F04FD" w14:paraId="1137C0B4" w14:textId="77777777" w:rsidTr="00AC4DEE">
        <w:tc>
          <w:tcPr>
            <w:tcW w:w="2005" w:type="dxa"/>
          </w:tcPr>
          <w:p w14:paraId="64E3D900" w14:textId="77777777" w:rsidR="001F04FD" w:rsidRDefault="001F04FD" w:rsidP="00AC4DEE">
            <w:pPr>
              <w:pStyle w:val="TableBody"/>
            </w:pPr>
            <w:r>
              <w:t>FIP</w:t>
            </w:r>
          </w:p>
        </w:tc>
        <w:tc>
          <w:tcPr>
            <w:tcW w:w="1080" w:type="dxa"/>
          </w:tcPr>
          <w:p w14:paraId="1408B450" w14:textId="77777777" w:rsidR="001F04FD" w:rsidRDefault="001F04FD" w:rsidP="00AC4DEE">
            <w:pPr>
              <w:pStyle w:val="TableBody"/>
            </w:pPr>
            <w:r>
              <w:t>$/MMBtu</w:t>
            </w:r>
          </w:p>
        </w:tc>
        <w:tc>
          <w:tcPr>
            <w:tcW w:w="6743" w:type="dxa"/>
          </w:tcPr>
          <w:p w14:paraId="2CFA1657" w14:textId="77777777" w:rsidR="001F04FD" w:rsidRDefault="001F04FD" w:rsidP="00AC4DEE">
            <w:pPr>
              <w:pStyle w:val="TableBody"/>
            </w:pPr>
            <w:r>
              <w:rPr>
                <w:i/>
              </w:rPr>
              <w:t>Fuel Index Price</w:t>
            </w:r>
            <w:r>
              <w:t>—As defined in Section 2, Definitions and Acronyms.</w:t>
            </w:r>
          </w:p>
        </w:tc>
      </w:tr>
      <w:tr w:rsidR="001F04FD" w14:paraId="71589684" w14:textId="77777777" w:rsidTr="00AC4DEE">
        <w:tc>
          <w:tcPr>
            <w:tcW w:w="2005" w:type="dxa"/>
          </w:tcPr>
          <w:p w14:paraId="22E87C9A" w14:textId="77777777" w:rsidR="001F04FD" w:rsidRDefault="001F04FD" w:rsidP="00AC4DEE">
            <w:pPr>
              <w:pStyle w:val="TableBody"/>
            </w:pPr>
            <w:r>
              <w:t xml:space="preserve">RTEDCIMP </w:t>
            </w:r>
            <w:r w:rsidRPr="006624C0">
              <w:rPr>
                <w:i/>
                <w:vertAlign w:val="subscript"/>
              </w:rPr>
              <w:t>q, p</w:t>
            </w:r>
          </w:p>
        </w:tc>
        <w:tc>
          <w:tcPr>
            <w:tcW w:w="1080" w:type="dxa"/>
          </w:tcPr>
          <w:p w14:paraId="4C00F729" w14:textId="77777777" w:rsidR="001F04FD" w:rsidRDefault="001F04FD" w:rsidP="00AC4DEE">
            <w:pPr>
              <w:pStyle w:val="TableBody"/>
            </w:pPr>
            <w:r>
              <w:t>MW</w:t>
            </w:r>
          </w:p>
        </w:tc>
        <w:tc>
          <w:tcPr>
            <w:tcW w:w="6743" w:type="dxa"/>
          </w:tcPr>
          <w:p w14:paraId="5C16CA37" w14:textId="77777777" w:rsidR="001F04FD" w:rsidRDefault="001F04FD" w:rsidP="00AC4DEE">
            <w:pPr>
              <w:pStyle w:val="TableBody"/>
              <w:rPr>
                <w:i/>
              </w:rPr>
            </w:pPr>
            <w:r>
              <w:rPr>
                <w:i/>
              </w:rPr>
              <w:t>Real-Time Emergency DC Import per QSE per Settlement Point</w:t>
            </w:r>
            <w:r>
              <w:t xml:space="preserve">—The aggregated DC Tie Schedule for emergency energy imported by QSE </w:t>
            </w:r>
            <w:r>
              <w:rPr>
                <w:i/>
              </w:rPr>
              <w:t>q</w:t>
            </w:r>
            <w:r>
              <w:t xml:space="preserve"> into the ERCOT System during Emergency Conditions through DC Tie </w:t>
            </w:r>
            <w:r>
              <w:rPr>
                <w:i/>
              </w:rPr>
              <w:t>p</w:t>
            </w:r>
            <w:r>
              <w:t>, for the 15-minute Settlement Interval.</w:t>
            </w:r>
          </w:p>
        </w:tc>
      </w:tr>
      <w:tr w:rsidR="001F04FD" w14:paraId="6EBEC13A" w14:textId="77777777" w:rsidTr="00AC4DEE">
        <w:tc>
          <w:tcPr>
            <w:tcW w:w="2005" w:type="dxa"/>
          </w:tcPr>
          <w:p w14:paraId="6E932D6D" w14:textId="77777777" w:rsidR="001F04FD" w:rsidRDefault="001F04FD" w:rsidP="00AC4DEE">
            <w:pPr>
              <w:pStyle w:val="TableBody"/>
              <w:rPr>
                <w:b/>
                <w:i/>
                <w:vertAlign w:val="subscript"/>
              </w:rPr>
            </w:pPr>
            <w:r>
              <w:t xml:space="preserve">VEEPDCTP </w:t>
            </w:r>
            <w:r w:rsidRPr="006624C0">
              <w:rPr>
                <w:i/>
                <w:vertAlign w:val="subscript"/>
              </w:rPr>
              <w:t>q, p</w:t>
            </w:r>
          </w:p>
        </w:tc>
        <w:tc>
          <w:tcPr>
            <w:tcW w:w="1080" w:type="dxa"/>
          </w:tcPr>
          <w:p w14:paraId="1F42A8F5" w14:textId="77777777" w:rsidR="001F04FD" w:rsidRDefault="001F04FD" w:rsidP="00AC4DEE">
            <w:pPr>
              <w:pStyle w:val="TableBody"/>
            </w:pPr>
            <w:r>
              <w:t>$/MWh</w:t>
            </w:r>
          </w:p>
        </w:tc>
        <w:tc>
          <w:tcPr>
            <w:tcW w:w="6743" w:type="dxa"/>
          </w:tcPr>
          <w:p w14:paraId="5B588A4E" w14:textId="77777777" w:rsidR="001F04FD" w:rsidRDefault="001F04FD" w:rsidP="00AC4DEE">
            <w:pPr>
              <w:pStyle w:val="TableBody"/>
            </w:pPr>
            <w:r>
              <w:rPr>
                <w:i/>
              </w:rPr>
              <w:t>Verified Emergency Energy Price at DC Tie Point</w:t>
            </w:r>
            <w:r>
              <w:t xml:space="preserve">—The ERCOT verified cost for the energy imported by QSE </w:t>
            </w:r>
            <w:r>
              <w:rPr>
                <w:i/>
              </w:rPr>
              <w:t>q</w:t>
            </w:r>
            <w:r>
              <w:t xml:space="preserve"> into the ERCOT System during declared Emergency Condition through a DC Tie </w:t>
            </w:r>
            <w:r>
              <w:rPr>
                <w:i/>
              </w:rPr>
              <w:t>p</w:t>
            </w:r>
            <w:r>
              <w:t xml:space="preserve"> as instructed by a Dispatch Instruction.</w:t>
            </w:r>
          </w:p>
        </w:tc>
      </w:tr>
      <w:tr w:rsidR="001F04FD" w14:paraId="4A37CB2A" w14:textId="77777777" w:rsidTr="00AC4DEE">
        <w:tc>
          <w:tcPr>
            <w:tcW w:w="2005" w:type="dxa"/>
          </w:tcPr>
          <w:p w14:paraId="2707C7AE" w14:textId="77777777" w:rsidR="001F04FD" w:rsidRDefault="001F04FD" w:rsidP="00AC4DEE">
            <w:pPr>
              <w:pStyle w:val="TableBody"/>
            </w:pPr>
            <w:r>
              <w:t>CAEDCT</w:t>
            </w:r>
          </w:p>
        </w:tc>
        <w:tc>
          <w:tcPr>
            <w:tcW w:w="1080" w:type="dxa"/>
          </w:tcPr>
          <w:p w14:paraId="7084308E" w14:textId="77777777" w:rsidR="001F04FD" w:rsidRDefault="001F04FD" w:rsidP="00AC4DEE">
            <w:pPr>
              <w:pStyle w:val="TableBody"/>
            </w:pPr>
            <w:r>
              <w:t>#</w:t>
            </w:r>
          </w:p>
        </w:tc>
        <w:tc>
          <w:tcPr>
            <w:tcW w:w="6743" w:type="dxa"/>
          </w:tcPr>
          <w:p w14:paraId="1A47A954" w14:textId="77777777" w:rsidR="001F04FD" w:rsidRDefault="001F04FD" w:rsidP="00AC4DEE">
            <w:pPr>
              <w:pStyle w:val="TableBody"/>
              <w:rPr>
                <w:i/>
              </w:rPr>
            </w:pPr>
            <w:r>
              <w:rPr>
                <w:i/>
              </w:rPr>
              <w:t>Cost Adder for Emergency DC Tie Import</w:t>
            </w:r>
            <w:r>
              <w:t>—A multiplier of 1.10.</w:t>
            </w:r>
          </w:p>
        </w:tc>
      </w:tr>
      <w:tr w:rsidR="001F04FD" w14:paraId="0A2EB0D0" w14:textId="77777777" w:rsidTr="00AC4DEE">
        <w:tc>
          <w:tcPr>
            <w:tcW w:w="2005" w:type="dxa"/>
          </w:tcPr>
          <w:p w14:paraId="5979E751" w14:textId="77777777" w:rsidR="001F04FD" w:rsidRPr="008326CB" w:rsidRDefault="001F04FD" w:rsidP="00AC4DEE">
            <w:pPr>
              <w:pStyle w:val="TableBody"/>
              <w:rPr>
                <w:i/>
              </w:rPr>
            </w:pPr>
            <w:r w:rsidRPr="00A61E91">
              <w:rPr>
                <w:i/>
              </w:rPr>
              <w:t>q</w:t>
            </w:r>
          </w:p>
        </w:tc>
        <w:tc>
          <w:tcPr>
            <w:tcW w:w="1080" w:type="dxa"/>
          </w:tcPr>
          <w:p w14:paraId="34ABFF32" w14:textId="77777777" w:rsidR="001F04FD" w:rsidRDefault="001F04FD" w:rsidP="00AC4DEE">
            <w:pPr>
              <w:pStyle w:val="TableBody"/>
            </w:pPr>
            <w:r>
              <w:t>none</w:t>
            </w:r>
          </w:p>
        </w:tc>
        <w:tc>
          <w:tcPr>
            <w:tcW w:w="6743" w:type="dxa"/>
          </w:tcPr>
          <w:p w14:paraId="4569E2CD" w14:textId="77777777" w:rsidR="001F04FD" w:rsidRDefault="001F04FD" w:rsidP="00AC4DEE">
            <w:pPr>
              <w:pStyle w:val="TableBody"/>
              <w:rPr>
                <w:i/>
                <w:lang w:val="fr-FR"/>
              </w:rPr>
            </w:pPr>
            <w:r>
              <w:t>A QSE.</w:t>
            </w:r>
          </w:p>
        </w:tc>
      </w:tr>
      <w:tr w:rsidR="001F04FD" w14:paraId="7775A626" w14:textId="77777777" w:rsidTr="00AC4DEE">
        <w:tc>
          <w:tcPr>
            <w:tcW w:w="2005" w:type="dxa"/>
          </w:tcPr>
          <w:p w14:paraId="3C41C2FA" w14:textId="77777777" w:rsidR="001F04FD" w:rsidRPr="008326CB" w:rsidRDefault="001F04FD" w:rsidP="00AC4DEE">
            <w:pPr>
              <w:pStyle w:val="TableBody"/>
              <w:rPr>
                <w:i/>
              </w:rPr>
            </w:pPr>
            <w:r w:rsidRPr="00A61E91">
              <w:rPr>
                <w:i/>
              </w:rPr>
              <w:t>p</w:t>
            </w:r>
          </w:p>
        </w:tc>
        <w:tc>
          <w:tcPr>
            <w:tcW w:w="1080" w:type="dxa"/>
          </w:tcPr>
          <w:p w14:paraId="41E1B920" w14:textId="77777777" w:rsidR="001F04FD" w:rsidRDefault="001F04FD" w:rsidP="00AC4DEE">
            <w:pPr>
              <w:pStyle w:val="TableBody"/>
            </w:pPr>
            <w:r>
              <w:t>none</w:t>
            </w:r>
          </w:p>
        </w:tc>
        <w:tc>
          <w:tcPr>
            <w:tcW w:w="6743" w:type="dxa"/>
          </w:tcPr>
          <w:p w14:paraId="0B87E555" w14:textId="77777777" w:rsidR="001F04FD" w:rsidRDefault="001F04FD" w:rsidP="00AC4DEE">
            <w:pPr>
              <w:pStyle w:val="TableBody"/>
              <w:rPr>
                <w:lang w:val="fr-FR"/>
              </w:rPr>
            </w:pPr>
            <w:r>
              <w:rPr>
                <w:lang w:val="fr-FR"/>
              </w:rPr>
              <w:t>A DC Tie Settlement Point.</w:t>
            </w:r>
          </w:p>
        </w:tc>
      </w:tr>
    </w:tbl>
    <w:p w14:paraId="7773E973" w14:textId="77777777" w:rsidR="001F04FD" w:rsidRDefault="001F04FD" w:rsidP="001F04FD">
      <w:pPr>
        <w:pStyle w:val="BodyTextNumbered"/>
        <w:spacing w:after="0"/>
        <w:rPr>
          <w:lang w:val="fr-FR"/>
        </w:rPr>
      </w:pPr>
    </w:p>
    <w:p w14:paraId="34CFE57A" w14:textId="77777777" w:rsidR="001F04FD" w:rsidRDefault="001F04FD" w:rsidP="001F04FD">
      <w:pPr>
        <w:pStyle w:val="BodyTextNumbered"/>
      </w:pPr>
      <w:r>
        <w:t>(3)</w:t>
      </w:r>
      <w:r>
        <w:tab/>
        <w:t>The total of the payments to each QSE for all energy imported into the ERCOT System through DC Ties for the 15-minute Settlement Interval is calculated as follows:</w:t>
      </w:r>
    </w:p>
    <w:p w14:paraId="26A3472C" w14:textId="77777777" w:rsidR="001F04FD" w:rsidRDefault="001F04FD" w:rsidP="001F04FD">
      <w:pPr>
        <w:pStyle w:val="FormulaBold"/>
      </w:pPr>
      <w:r>
        <w:lastRenderedPageBreak/>
        <w:t xml:space="preserve">RTDCIMPAMTQSETOT </w:t>
      </w:r>
      <w:r>
        <w:rPr>
          <w:i/>
          <w:vertAlign w:val="subscript"/>
        </w:rPr>
        <w:t>q, p</w:t>
      </w:r>
      <w:r>
        <w:tab/>
        <w:t>=</w:t>
      </w:r>
      <w:r>
        <w:tab/>
      </w:r>
      <w:r w:rsidRPr="006F784F">
        <w:rPr>
          <w:position w:val="-22"/>
        </w:rPr>
        <w:object w:dxaOrig="225" w:dyaOrig="465" w14:anchorId="32794AC9">
          <v:shape id="_x0000_i1158" type="#_x0000_t75" style="width:12pt;height:18pt" o:ole="">
            <v:imagedata r:id="rId172" o:title=""/>
          </v:shape>
          <o:OLEObject Type="Embed" ProgID="Equation.3" ShapeID="_x0000_i1158" DrawAspect="Content" ObjectID="_1815025348" r:id="rId176"/>
        </w:object>
      </w:r>
      <w:r>
        <w:t xml:space="preserve">(RTDCIMPAMT </w:t>
      </w:r>
      <w:r>
        <w:rPr>
          <w:i/>
          <w:vertAlign w:val="subscript"/>
        </w:rPr>
        <w:t>q, p</w:t>
      </w:r>
      <w:r>
        <w:t xml:space="preserve">+ RTEDCIMPAMT </w:t>
      </w:r>
      <w:r>
        <w:rPr>
          <w:i/>
          <w:vertAlign w:val="subscript"/>
        </w:rPr>
        <w:t>q, p</w:t>
      </w:r>
      <w:r>
        <w:t>)</w:t>
      </w:r>
    </w:p>
    <w:p w14:paraId="60EE3242"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6570"/>
      </w:tblGrid>
      <w:tr w:rsidR="001F04FD" w14:paraId="42963CEE" w14:textId="77777777" w:rsidTr="00AC4DEE">
        <w:trPr>
          <w:tblHeader/>
        </w:trPr>
        <w:tc>
          <w:tcPr>
            <w:tcW w:w="2628" w:type="dxa"/>
          </w:tcPr>
          <w:p w14:paraId="2D0AEE90" w14:textId="77777777" w:rsidR="001F04FD" w:rsidRDefault="001F04FD" w:rsidP="00AC4DEE">
            <w:pPr>
              <w:pStyle w:val="TableHead"/>
            </w:pPr>
            <w:r>
              <w:t>Variable</w:t>
            </w:r>
          </w:p>
        </w:tc>
        <w:tc>
          <w:tcPr>
            <w:tcW w:w="630" w:type="dxa"/>
          </w:tcPr>
          <w:p w14:paraId="176EC2F6" w14:textId="77777777" w:rsidR="001F04FD" w:rsidRDefault="001F04FD" w:rsidP="00AC4DEE">
            <w:pPr>
              <w:pStyle w:val="TableHead"/>
            </w:pPr>
            <w:r>
              <w:t>Unit</w:t>
            </w:r>
          </w:p>
        </w:tc>
        <w:tc>
          <w:tcPr>
            <w:tcW w:w="6570" w:type="dxa"/>
          </w:tcPr>
          <w:p w14:paraId="0F3A1722" w14:textId="77777777" w:rsidR="001F04FD" w:rsidRDefault="001F04FD" w:rsidP="00AC4DEE">
            <w:pPr>
              <w:pStyle w:val="TableHead"/>
            </w:pPr>
            <w:r>
              <w:t>Definition</w:t>
            </w:r>
          </w:p>
        </w:tc>
      </w:tr>
      <w:tr w:rsidR="001F04FD" w14:paraId="2E617BA2" w14:textId="77777777" w:rsidTr="00AC4DEE">
        <w:tc>
          <w:tcPr>
            <w:tcW w:w="2628" w:type="dxa"/>
          </w:tcPr>
          <w:p w14:paraId="18AC5E8A" w14:textId="77777777" w:rsidR="001F04FD" w:rsidRDefault="001F04FD" w:rsidP="00AC4DEE">
            <w:pPr>
              <w:pStyle w:val="TableBody"/>
            </w:pPr>
            <w:r>
              <w:t xml:space="preserve">RTDCIMPAMTQSETOT </w:t>
            </w:r>
            <w:r w:rsidRPr="006624C0">
              <w:rPr>
                <w:i/>
                <w:vertAlign w:val="subscript"/>
              </w:rPr>
              <w:t>q</w:t>
            </w:r>
            <w:r>
              <w:rPr>
                <w:i/>
                <w:vertAlign w:val="subscript"/>
              </w:rPr>
              <w:t xml:space="preserve">, </w:t>
            </w:r>
            <w:r w:rsidRPr="006624C0">
              <w:rPr>
                <w:i/>
                <w:vertAlign w:val="subscript"/>
              </w:rPr>
              <w:t>p</w:t>
            </w:r>
          </w:p>
        </w:tc>
        <w:tc>
          <w:tcPr>
            <w:tcW w:w="630" w:type="dxa"/>
          </w:tcPr>
          <w:p w14:paraId="27B39313" w14:textId="77777777" w:rsidR="001F04FD" w:rsidRDefault="001F04FD" w:rsidP="00AC4DEE">
            <w:pPr>
              <w:pStyle w:val="TableBody"/>
            </w:pPr>
            <w:r>
              <w:t>$</w:t>
            </w:r>
          </w:p>
        </w:tc>
        <w:tc>
          <w:tcPr>
            <w:tcW w:w="6570" w:type="dxa"/>
          </w:tcPr>
          <w:p w14:paraId="2F1E098F" w14:textId="77777777" w:rsidR="001F04FD" w:rsidRDefault="001F04FD" w:rsidP="00AC4DEE">
            <w:pPr>
              <w:pStyle w:val="TableBody"/>
            </w:pPr>
            <w:r>
              <w:rPr>
                <w:i/>
              </w:rPr>
              <w:t>Real-Time DC Import Amount QSE Total per QSE</w:t>
            </w:r>
            <w:r>
              <w:sym w:font="Symbol" w:char="F0BE"/>
            </w:r>
            <w:r>
              <w:t xml:space="preserve">The total of the payments to QSE </w:t>
            </w:r>
            <w:r>
              <w:rPr>
                <w:i/>
              </w:rPr>
              <w:t>q</w:t>
            </w:r>
            <w:r>
              <w:t xml:space="preserve"> for energy imported into the ERCOT System through DC Ties </w:t>
            </w:r>
            <w:r>
              <w:rPr>
                <w:i/>
              </w:rPr>
              <w:t xml:space="preserve">p, </w:t>
            </w:r>
            <w:r>
              <w:t>for the 15-minute Settlement Interval.</w:t>
            </w:r>
          </w:p>
        </w:tc>
      </w:tr>
      <w:tr w:rsidR="001F04FD" w14:paraId="3DFCDE1D" w14:textId="77777777" w:rsidTr="00AC4DEE">
        <w:tc>
          <w:tcPr>
            <w:tcW w:w="2628" w:type="dxa"/>
          </w:tcPr>
          <w:p w14:paraId="6CD0B0AB" w14:textId="77777777" w:rsidR="001F04FD" w:rsidRDefault="001F04FD" w:rsidP="00AC4DEE">
            <w:pPr>
              <w:pStyle w:val="TableBody"/>
            </w:pPr>
            <w:r>
              <w:t xml:space="preserve">RTDCIMPAMT </w:t>
            </w:r>
            <w:r w:rsidRPr="006624C0">
              <w:rPr>
                <w:i/>
                <w:vertAlign w:val="subscript"/>
              </w:rPr>
              <w:t>q, p</w:t>
            </w:r>
          </w:p>
        </w:tc>
        <w:tc>
          <w:tcPr>
            <w:tcW w:w="630" w:type="dxa"/>
          </w:tcPr>
          <w:p w14:paraId="1D168084" w14:textId="77777777" w:rsidR="001F04FD" w:rsidRDefault="001F04FD" w:rsidP="00AC4DEE">
            <w:pPr>
              <w:pStyle w:val="TableBody"/>
            </w:pPr>
            <w:r>
              <w:t>$</w:t>
            </w:r>
          </w:p>
        </w:tc>
        <w:tc>
          <w:tcPr>
            <w:tcW w:w="6570" w:type="dxa"/>
          </w:tcPr>
          <w:p w14:paraId="034D0D1E" w14:textId="77777777" w:rsidR="001F04FD" w:rsidRDefault="001F04FD" w:rsidP="00AC4DEE">
            <w:pPr>
              <w:pStyle w:val="TableBody"/>
            </w:pPr>
            <w:r>
              <w:rPr>
                <w:i/>
              </w:rPr>
              <w:t>Real-Time DC Import Amount per QSE per Settlement Point</w:t>
            </w:r>
            <w:r>
              <w:t xml:space="preserve">—The payment to QSE </w:t>
            </w:r>
            <w:r>
              <w:rPr>
                <w:i/>
              </w:rPr>
              <w:t>q</w:t>
            </w:r>
            <w:r>
              <w:t xml:space="preserve"> for DC Tie import through DC Tie </w:t>
            </w:r>
            <w:r>
              <w:rPr>
                <w:i/>
              </w:rPr>
              <w:t>p</w:t>
            </w:r>
            <w:r>
              <w:t>, for the 15-minute Settlement Interval.</w:t>
            </w:r>
          </w:p>
        </w:tc>
      </w:tr>
      <w:tr w:rsidR="001F04FD" w14:paraId="43C02C58" w14:textId="77777777" w:rsidTr="00AC4DEE">
        <w:tc>
          <w:tcPr>
            <w:tcW w:w="2628" w:type="dxa"/>
          </w:tcPr>
          <w:p w14:paraId="28E1CA71" w14:textId="77777777" w:rsidR="001F04FD" w:rsidRDefault="001F04FD" w:rsidP="00AC4DEE">
            <w:pPr>
              <w:pStyle w:val="TableBody"/>
            </w:pPr>
            <w:r>
              <w:t xml:space="preserve">RTEDCIMPAMT </w:t>
            </w:r>
            <w:r w:rsidRPr="006624C0">
              <w:rPr>
                <w:i/>
                <w:vertAlign w:val="subscript"/>
              </w:rPr>
              <w:t>q, p</w:t>
            </w:r>
          </w:p>
        </w:tc>
        <w:tc>
          <w:tcPr>
            <w:tcW w:w="630" w:type="dxa"/>
          </w:tcPr>
          <w:p w14:paraId="79201B9A" w14:textId="77777777" w:rsidR="001F04FD" w:rsidRDefault="001F04FD" w:rsidP="00AC4DEE">
            <w:pPr>
              <w:pStyle w:val="TableBody"/>
            </w:pPr>
            <w:r>
              <w:t>$</w:t>
            </w:r>
          </w:p>
        </w:tc>
        <w:tc>
          <w:tcPr>
            <w:tcW w:w="6570" w:type="dxa"/>
          </w:tcPr>
          <w:p w14:paraId="5FCFD8E1" w14:textId="77777777" w:rsidR="001F04FD" w:rsidRDefault="001F04FD" w:rsidP="00AC4DEE">
            <w:pPr>
              <w:pStyle w:val="TableBody"/>
              <w:rPr>
                <w:i/>
              </w:rPr>
            </w:pPr>
            <w:r>
              <w:rPr>
                <w:i/>
              </w:rPr>
              <w:t>Real-Time Emergency DC Import Amount per QSE per Settlement Point</w:t>
            </w:r>
            <w:r>
              <w:sym w:font="Symbol" w:char="F0BE"/>
            </w:r>
            <w:r>
              <w:t xml:space="preserve">The payment to QSE </w:t>
            </w:r>
            <w:r>
              <w:rPr>
                <w:i/>
              </w:rPr>
              <w:t>q</w:t>
            </w:r>
            <w:r>
              <w:t xml:space="preserve"> for emergency DC Tie import through DC Tie </w:t>
            </w:r>
            <w:r>
              <w:rPr>
                <w:i/>
              </w:rPr>
              <w:t>p</w:t>
            </w:r>
            <w:r>
              <w:t>, for the 15-minute Settlement Interval.</w:t>
            </w:r>
          </w:p>
        </w:tc>
      </w:tr>
      <w:tr w:rsidR="001F04FD" w14:paraId="13FD07BE" w14:textId="77777777" w:rsidTr="00AC4DEE">
        <w:tc>
          <w:tcPr>
            <w:tcW w:w="2628" w:type="dxa"/>
            <w:tcBorders>
              <w:top w:val="single" w:sz="4" w:space="0" w:color="auto"/>
              <w:left w:val="single" w:sz="4" w:space="0" w:color="auto"/>
              <w:bottom w:val="single" w:sz="4" w:space="0" w:color="auto"/>
              <w:right w:val="single" w:sz="4" w:space="0" w:color="auto"/>
            </w:tcBorders>
          </w:tcPr>
          <w:p w14:paraId="3E72086E" w14:textId="77777777" w:rsidR="001F04FD" w:rsidRPr="008326CB" w:rsidRDefault="001F04FD" w:rsidP="00AC4DEE">
            <w:pPr>
              <w:pStyle w:val="TableBody"/>
              <w:rPr>
                <w:i/>
              </w:rPr>
            </w:pPr>
            <w:r w:rsidRPr="00A61E91">
              <w:rPr>
                <w:i/>
              </w:rPr>
              <w:t>q</w:t>
            </w:r>
          </w:p>
        </w:tc>
        <w:tc>
          <w:tcPr>
            <w:tcW w:w="630" w:type="dxa"/>
            <w:tcBorders>
              <w:top w:val="single" w:sz="4" w:space="0" w:color="auto"/>
              <w:left w:val="single" w:sz="4" w:space="0" w:color="auto"/>
              <w:bottom w:val="single" w:sz="4" w:space="0" w:color="auto"/>
              <w:right w:val="single" w:sz="4" w:space="0" w:color="auto"/>
            </w:tcBorders>
          </w:tcPr>
          <w:p w14:paraId="37BA4358" w14:textId="77777777" w:rsidR="001F04FD" w:rsidRDefault="001F04FD" w:rsidP="00AC4DEE">
            <w:pPr>
              <w:pStyle w:val="TableBody"/>
            </w:pPr>
            <w:r>
              <w:t>none</w:t>
            </w:r>
          </w:p>
        </w:tc>
        <w:tc>
          <w:tcPr>
            <w:tcW w:w="6570" w:type="dxa"/>
            <w:tcBorders>
              <w:top w:val="single" w:sz="4" w:space="0" w:color="auto"/>
              <w:left w:val="single" w:sz="4" w:space="0" w:color="auto"/>
              <w:bottom w:val="single" w:sz="4" w:space="0" w:color="auto"/>
              <w:right w:val="single" w:sz="4" w:space="0" w:color="auto"/>
            </w:tcBorders>
          </w:tcPr>
          <w:p w14:paraId="7FB66992" w14:textId="77777777" w:rsidR="001F04FD" w:rsidRDefault="001F04FD" w:rsidP="00AC4DEE">
            <w:pPr>
              <w:pStyle w:val="TableBody"/>
            </w:pPr>
            <w:r>
              <w:t>A QSE.</w:t>
            </w:r>
          </w:p>
        </w:tc>
      </w:tr>
      <w:tr w:rsidR="001F04FD" w14:paraId="7E0C3CA3" w14:textId="77777777" w:rsidTr="00AC4DEE">
        <w:tc>
          <w:tcPr>
            <w:tcW w:w="2628" w:type="dxa"/>
            <w:tcBorders>
              <w:top w:val="single" w:sz="4" w:space="0" w:color="auto"/>
              <w:left w:val="single" w:sz="4" w:space="0" w:color="auto"/>
              <w:bottom w:val="single" w:sz="4" w:space="0" w:color="auto"/>
              <w:right w:val="single" w:sz="4" w:space="0" w:color="auto"/>
            </w:tcBorders>
          </w:tcPr>
          <w:p w14:paraId="6D1EC7AE" w14:textId="77777777" w:rsidR="001F04FD" w:rsidRPr="008326CB" w:rsidRDefault="001F04FD" w:rsidP="00AC4DEE">
            <w:pPr>
              <w:pStyle w:val="TableBody"/>
              <w:rPr>
                <w:i/>
              </w:rPr>
            </w:pPr>
            <w:r w:rsidRPr="00A61E91">
              <w:rPr>
                <w:i/>
              </w:rPr>
              <w:t>p</w:t>
            </w:r>
          </w:p>
        </w:tc>
        <w:tc>
          <w:tcPr>
            <w:tcW w:w="630" w:type="dxa"/>
            <w:tcBorders>
              <w:top w:val="single" w:sz="4" w:space="0" w:color="auto"/>
              <w:left w:val="single" w:sz="4" w:space="0" w:color="auto"/>
              <w:bottom w:val="single" w:sz="4" w:space="0" w:color="auto"/>
              <w:right w:val="single" w:sz="4" w:space="0" w:color="auto"/>
            </w:tcBorders>
          </w:tcPr>
          <w:p w14:paraId="50DF5F3D" w14:textId="77777777" w:rsidR="001F04FD" w:rsidRDefault="001F04FD" w:rsidP="00AC4DEE">
            <w:pPr>
              <w:pStyle w:val="TableBody"/>
            </w:pPr>
            <w:r>
              <w:t>none</w:t>
            </w:r>
          </w:p>
        </w:tc>
        <w:tc>
          <w:tcPr>
            <w:tcW w:w="6570" w:type="dxa"/>
            <w:tcBorders>
              <w:top w:val="single" w:sz="4" w:space="0" w:color="auto"/>
              <w:left w:val="single" w:sz="4" w:space="0" w:color="auto"/>
              <w:bottom w:val="single" w:sz="4" w:space="0" w:color="auto"/>
              <w:right w:val="single" w:sz="4" w:space="0" w:color="auto"/>
            </w:tcBorders>
          </w:tcPr>
          <w:p w14:paraId="245578E9" w14:textId="77777777" w:rsidR="001F04FD" w:rsidRDefault="001F04FD" w:rsidP="00AC4DEE">
            <w:pPr>
              <w:pStyle w:val="TableBody"/>
              <w:rPr>
                <w:lang w:val="fr-FR"/>
              </w:rPr>
            </w:pPr>
            <w:r>
              <w:rPr>
                <w:lang w:val="fr-FR"/>
              </w:rPr>
              <w:t>A DC Tie Settlement Point.</w:t>
            </w:r>
          </w:p>
        </w:tc>
      </w:tr>
    </w:tbl>
    <w:p w14:paraId="367F29AF" w14:textId="77777777" w:rsidR="001F04FD" w:rsidRDefault="001F04FD" w:rsidP="001F04FD">
      <w:pPr>
        <w:pStyle w:val="H4"/>
        <w:spacing w:before="480"/>
        <w:ind w:left="1267" w:hanging="1267"/>
      </w:pPr>
      <w:bookmarkStart w:id="1916" w:name="_Toc397505017"/>
      <w:bookmarkStart w:id="1917" w:name="_Toc402357145"/>
      <w:bookmarkStart w:id="1918" w:name="_Toc422486523"/>
      <w:bookmarkStart w:id="1919" w:name="_Toc433093375"/>
      <w:bookmarkStart w:id="1920" w:name="_Toc433093533"/>
      <w:bookmarkStart w:id="1921" w:name="_Toc440874761"/>
      <w:bookmarkStart w:id="1922" w:name="_Toc448142316"/>
      <w:bookmarkStart w:id="1923" w:name="_Toc448142473"/>
      <w:bookmarkStart w:id="1924" w:name="_Toc458770314"/>
      <w:bookmarkStart w:id="1925" w:name="_Toc459294282"/>
      <w:bookmarkStart w:id="1926" w:name="_Toc463262775"/>
      <w:bookmarkStart w:id="1927" w:name="_Toc468286848"/>
      <w:bookmarkStart w:id="1928" w:name="_Toc481502891"/>
      <w:bookmarkStart w:id="1929" w:name="_Toc496080059"/>
      <w:bookmarkStart w:id="1930" w:name="_Toc204411669"/>
      <w:r>
        <w:t>6.6.3.5</w:t>
      </w:r>
      <w:r>
        <w:tab/>
        <w:t>Real-Time Payment for a Block Load Transfer Point</w:t>
      </w:r>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p>
    <w:p w14:paraId="476EEAC7" w14:textId="2E0956CE" w:rsidR="001F04FD" w:rsidRDefault="001F04FD" w:rsidP="001F04FD">
      <w:pPr>
        <w:pStyle w:val="BodyTextNumbered"/>
      </w:pPr>
      <w:r>
        <w:t>(1)</w:t>
      </w:r>
      <w:r>
        <w:tab/>
        <w:t xml:space="preserve">ERCOT shall pay each QSE for the energy delivered to an ERCOT Load through a Block Load Transfer (BLT) Point that is </w:t>
      </w:r>
      <w:r w:rsidR="00C830CE">
        <w:t xml:space="preserve">registered for Settlement when that Load is </w:t>
      </w:r>
      <w:r>
        <w:t>moved from the ERCOT Control Area to a non-ERCOT Control Area.  The payment for a given 15-minute Settlement Interval is calculated as follows:</w:t>
      </w:r>
    </w:p>
    <w:p w14:paraId="0531A3B9" w14:textId="77777777" w:rsidR="001F04FD" w:rsidRDefault="001F04FD" w:rsidP="001F04FD">
      <w:pPr>
        <w:pStyle w:val="FormulaBold"/>
        <w:ind w:left="3240" w:hanging="2520"/>
      </w:pPr>
      <w:r>
        <w:t xml:space="preserve">BLTRAMT </w:t>
      </w:r>
      <w:r>
        <w:rPr>
          <w:i/>
          <w:vertAlign w:val="subscript"/>
        </w:rPr>
        <w:t>q, bltp, p</w:t>
      </w:r>
      <w:r>
        <w:t xml:space="preserve"> = </w:t>
      </w:r>
      <w:r>
        <w:tab/>
        <w:t xml:space="preserve">(-1) * MAX {RTSPPEW </w:t>
      </w:r>
      <w:r>
        <w:rPr>
          <w:i/>
          <w:vertAlign w:val="subscript"/>
        </w:rPr>
        <w:t>p</w:t>
      </w:r>
      <w:r>
        <w:t xml:space="preserve">, (VEEPBLTP </w:t>
      </w:r>
      <w:r>
        <w:rPr>
          <w:i/>
          <w:vertAlign w:val="subscript"/>
        </w:rPr>
        <w:t>q, bltp</w:t>
      </w:r>
      <w:r>
        <w:t xml:space="preserve">) </w:t>
      </w:r>
      <w:r>
        <w:rPr>
          <w:i/>
        </w:rPr>
        <w:t>*</w:t>
      </w:r>
      <w:r w:rsidRPr="006624C0">
        <w:t xml:space="preserve"> CABLT</w:t>
      </w:r>
      <w:r>
        <w:t xml:space="preserve">} * BLTR </w:t>
      </w:r>
      <w:r>
        <w:rPr>
          <w:i/>
          <w:vertAlign w:val="subscript"/>
        </w:rPr>
        <w:t>q, p, bltp</w:t>
      </w:r>
      <w:r>
        <w:t xml:space="preserve"> </w:t>
      </w:r>
    </w:p>
    <w:p w14:paraId="5C629200" w14:textId="77777777" w:rsidR="001F04FD" w:rsidRDefault="001F04FD" w:rsidP="001F04FD">
      <w:r>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82"/>
        <w:gridCol w:w="1571"/>
        <w:gridCol w:w="5752"/>
      </w:tblGrid>
      <w:tr w:rsidR="001F04FD" w14:paraId="55D0CE7C" w14:textId="77777777" w:rsidTr="009F62BA">
        <w:tc>
          <w:tcPr>
            <w:tcW w:w="2466" w:type="dxa"/>
          </w:tcPr>
          <w:p w14:paraId="4C87E0C4" w14:textId="77777777" w:rsidR="001F04FD" w:rsidRDefault="001F04FD" w:rsidP="00AC4DEE">
            <w:pPr>
              <w:pStyle w:val="TableHead"/>
            </w:pPr>
            <w:r>
              <w:t>Variable</w:t>
            </w:r>
          </w:p>
        </w:tc>
        <w:tc>
          <w:tcPr>
            <w:tcW w:w="1639" w:type="dxa"/>
          </w:tcPr>
          <w:p w14:paraId="13C6A615" w14:textId="77777777" w:rsidR="001F04FD" w:rsidRDefault="001F04FD" w:rsidP="00AC4DEE">
            <w:pPr>
              <w:pStyle w:val="TableHead"/>
            </w:pPr>
            <w:r>
              <w:t>Unit</w:t>
            </w:r>
          </w:p>
        </w:tc>
        <w:tc>
          <w:tcPr>
            <w:tcW w:w="5700" w:type="dxa"/>
          </w:tcPr>
          <w:p w14:paraId="46DE362A" w14:textId="77777777" w:rsidR="001F04FD" w:rsidRDefault="001F04FD" w:rsidP="00AC4DEE">
            <w:pPr>
              <w:pStyle w:val="TableHead"/>
            </w:pPr>
            <w:r>
              <w:t>Definition</w:t>
            </w:r>
          </w:p>
        </w:tc>
      </w:tr>
      <w:tr w:rsidR="001F04FD" w14:paraId="65628531" w14:textId="77777777" w:rsidTr="009F62BA">
        <w:tc>
          <w:tcPr>
            <w:tcW w:w="2466" w:type="dxa"/>
          </w:tcPr>
          <w:p w14:paraId="468E5419" w14:textId="77777777" w:rsidR="001F04FD" w:rsidRDefault="001F04FD" w:rsidP="00AC4DEE">
            <w:pPr>
              <w:pStyle w:val="TableBody"/>
            </w:pPr>
            <w:r>
              <w:t xml:space="preserve">BLTRAMT </w:t>
            </w:r>
            <w:r w:rsidRPr="006624C0">
              <w:rPr>
                <w:i/>
                <w:vertAlign w:val="subscript"/>
              </w:rPr>
              <w:t>q, bltp, p</w:t>
            </w:r>
          </w:p>
        </w:tc>
        <w:tc>
          <w:tcPr>
            <w:tcW w:w="1639" w:type="dxa"/>
          </w:tcPr>
          <w:p w14:paraId="5D3D0FE2" w14:textId="77777777" w:rsidR="001F04FD" w:rsidRDefault="001F04FD" w:rsidP="00AC4DEE">
            <w:pPr>
              <w:pStyle w:val="TableBody"/>
            </w:pPr>
            <w:r>
              <w:t>$</w:t>
            </w:r>
          </w:p>
        </w:tc>
        <w:tc>
          <w:tcPr>
            <w:tcW w:w="5700" w:type="dxa"/>
          </w:tcPr>
          <w:p w14:paraId="0A9731EA" w14:textId="77777777" w:rsidR="001F04FD" w:rsidRDefault="001F04FD" w:rsidP="00AC4DEE">
            <w:pPr>
              <w:pStyle w:val="TableBody"/>
            </w:pPr>
            <w:r>
              <w:rPr>
                <w:i/>
              </w:rPr>
              <w:t>Block Load Transfer Resource Amount per QSE per Settlement Point per BLT Point</w:t>
            </w:r>
            <w:r>
              <w:sym w:font="Symbol" w:char="F0BE"/>
            </w:r>
            <w:r>
              <w:t xml:space="preserve">The payment to QSE </w:t>
            </w:r>
            <w:r>
              <w:rPr>
                <w:i/>
              </w:rPr>
              <w:t>q</w:t>
            </w:r>
            <w:r>
              <w:t xml:space="preserve"> for the BLT Resource that delivers energy to Load Zone </w:t>
            </w:r>
            <w:r>
              <w:rPr>
                <w:i/>
              </w:rPr>
              <w:t>p</w:t>
            </w:r>
            <w:r>
              <w:t xml:space="preserve"> through BLT Point </w:t>
            </w:r>
            <w:r>
              <w:rPr>
                <w:i/>
              </w:rPr>
              <w:t>bltp</w:t>
            </w:r>
            <w:r>
              <w:t>, for the 15-minute Settlement Interval.</w:t>
            </w:r>
          </w:p>
        </w:tc>
      </w:tr>
      <w:tr w:rsidR="001F04FD" w14:paraId="5CCC006A" w14:textId="77777777" w:rsidTr="009F62BA">
        <w:tc>
          <w:tcPr>
            <w:tcW w:w="2466" w:type="dxa"/>
          </w:tcPr>
          <w:p w14:paraId="0F9CA8EE" w14:textId="77777777" w:rsidR="001F04FD" w:rsidRDefault="001F04FD" w:rsidP="00AC4DEE">
            <w:pPr>
              <w:pStyle w:val="TableBody"/>
            </w:pPr>
            <w:r>
              <w:t xml:space="preserve">RTSPPEW </w:t>
            </w:r>
            <w:r w:rsidRPr="006624C0">
              <w:rPr>
                <w:i/>
                <w:vertAlign w:val="subscript"/>
              </w:rPr>
              <w:t>p</w:t>
            </w:r>
          </w:p>
        </w:tc>
        <w:tc>
          <w:tcPr>
            <w:tcW w:w="1639" w:type="dxa"/>
          </w:tcPr>
          <w:p w14:paraId="08097D2B" w14:textId="77777777" w:rsidR="001F04FD" w:rsidRDefault="001F04FD" w:rsidP="00AC4DEE">
            <w:pPr>
              <w:pStyle w:val="TableBody"/>
            </w:pPr>
            <w:r>
              <w:t>$/MWh</w:t>
            </w:r>
          </w:p>
        </w:tc>
        <w:tc>
          <w:tcPr>
            <w:tcW w:w="5700" w:type="dxa"/>
          </w:tcPr>
          <w:p w14:paraId="6F1391C4" w14:textId="77777777" w:rsidR="001F04FD" w:rsidRDefault="001F04FD" w:rsidP="00AC4DEE">
            <w:pPr>
              <w:pStyle w:val="TableBody"/>
            </w:pPr>
            <w:r>
              <w:rPr>
                <w:i/>
              </w:rPr>
              <w:t>Real-Time Settlement Point Price per Settlement Point Energy-Weighted</w:t>
            </w:r>
            <w:r>
              <w:sym w:font="Symbol" w:char="F0BE"/>
            </w:r>
            <w:r>
              <w:t xml:space="preserve">The Real-Time Settlement Point Price at Settlement Point </w:t>
            </w:r>
            <w:r>
              <w:rPr>
                <w:i/>
              </w:rPr>
              <w:t>p</w:t>
            </w:r>
            <w:r>
              <w:t>, for the 15-minute Settlement Interval, that is weighted by the state estimated Load of the Load Zone of each SCED interval within the 15-minute Settlement Internal.</w:t>
            </w:r>
          </w:p>
        </w:tc>
      </w:tr>
      <w:tr w:rsidR="001F04FD" w14:paraId="5BADFCC4" w14:textId="77777777" w:rsidTr="009F62BA">
        <w:tc>
          <w:tcPr>
            <w:tcW w:w="2466" w:type="dxa"/>
          </w:tcPr>
          <w:p w14:paraId="1938D839" w14:textId="77777777" w:rsidR="001F04FD" w:rsidRDefault="001F04FD" w:rsidP="00AC4DEE">
            <w:pPr>
              <w:pStyle w:val="TableBody"/>
            </w:pPr>
            <w:r>
              <w:t xml:space="preserve">VEEPBLTP </w:t>
            </w:r>
            <w:r w:rsidRPr="006624C0">
              <w:rPr>
                <w:i/>
                <w:vertAlign w:val="subscript"/>
              </w:rPr>
              <w:t>q, bltp</w:t>
            </w:r>
          </w:p>
        </w:tc>
        <w:tc>
          <w:tcPr>
            <w:tcW w:w="1639" w:type="dxa"/>
          </w:tcPr>
          <w:p w14:paraId="34CBC3E5" w14:textId="77777777" w:rsidR="001F04FD" w:rsidRDefault="001F04FD" w:rsidP="00AC4DEE">
            <w:pPr>
              <w:pStyle w:val="TableBody"/>
            </w:pPr>
            <w:r>
              <w:t>$/MWh</w:t>
            </w:r>
          </w:p>
        </w:tc>
        <w:tc>
          <w:tcPr>
            <w:tcW w:w="5700" w:type="dxa"/>
          </w:tcPr>
          <w:p w14:paraId="08270315" w14:textId="298D2F25" w:rsidR="001F04FD" w:rsidRDefault="001F04FD" w:rsidP="00C830CE">
            <w:pPr>
              <w:pStyle w:val="TableBody"/>
              <w:rPr>
                <w:i/>
              </w:rPr>
            </w:pPr>
            <w:r>
              <w:rPr>
                <w:i/>
              </w:rPr>
              <w:t>Verified Emergency Energy Price at BLT Point</w:t>
            </w:r>
            <w:r>
              <w:sym w:font="Symbol" w:char="F0BE"/>
            </w:r>
            <w:r>
              <w:t xml:space="preserve">The ERCOT verified cost for the energy delivered to an ERCOT Load through BLT Point </w:t>
            </w:r>
            <w:r>
              <w:rPr>
                <w:i/>
              </w:rPr>
              <w:t>bltp</w:t>
            </w:r>
            <w:r>
              <w:t>.</w:t>
            </w:r>
          </w:p>
        </w:tc>
      </w:tr>
      <w:tr w:rsidR="001F04FD" w14:paraId="6DFE5F19" w14:textId="77777777" w:rsidTr="009F62BA">
        <w:tc>
          <w:tcPr>
            <w:tcW w:w="2466" w:type="dxa"/>
          </w:tcPr>
          <w:p w14:paraId="3CC6D7A0" w14:textId="77777777" w:rsidR="001F04FD" w:rsidRDefault="001F04FD" w:rsidP="00AC4DEE">
            <w:pPr>
              <w:pStyle w:val="TableBody"/>
            </w:pPr>
            <w:r>
              <w:t>CABLT</w:t>
            </w:r>
          </w:p>
        </w:tc>
        <w:tc>
          <w:tcPr>
            <w:tcW w:w="1639" w:type="dxa"/>
          </w:tcPr>
          <w:p w14:paraId="334AE899" w14:textId="57390E8D" w:rsidR="001F04FD" w:rsidRDefault="00154FF3" w:rsidP="001A1946">
            <w:pPr>
              <w:pStyle w:val="TableBody"/>
            </w:pPr>
            <w:r>
              <w:t>none</w:t>
            </w:r>
          </w:p>
        </w:tc>
        <w:tc>
          <w:tcPr>
            <w:tcW w:w="5700" w:type="dxa"/>
          </w:tcPr>
          <w:p w14:paraId="5BC9F665" w14:textId="77777777" w:rsidR="001F04FD" w:rsidRDefault="001F04FD" w:rsidP="00AC4DEE">
            <w:pPr>
              <w:pStyle w:val="TableBody"/>
              <w:rPr>
                <w:i/>
              </w:rPr>
            </w:pPr>
            <w:r>
              <w:rPr>
                <w:i/>
              </w:rPr>
              <w:t>Cost Adder for Block Load Transfer</w:t>
            </w:r>
            <w:r>
              <w:sym w:font="Symbol" w:char="F0BE"/>
            </w:r>
            <w:r>
              <w:t>A multiplier of 1.10.</w:t>
            </w:r>
          </w:p>
        </w:tc>
      </w:tr>
      <w:tr w:rsidR="001F04FD" w14:paraId="1B02AB48" w14:textId="77777777" w:rsidTr="009F62BA">
        <w:tc>
          <w:tcPr>
            <w:tcW w:w="2602" w:type="dxa"/>
          </w:tcPr>
          <w:p w14:paraId="52933D30" w14:textId="77777777" w:rsidR="001F04FD" w:rsidRDefault="001F04FD" w:rsidP="00AC4DEE">
            <w:pPr>
              <w:pStyle w:val="TableBody"/>
            </w:pPr>
            <w:r>
              <w:t xml:space="preserve">BLTR </w:t>
            </w:r>
            <w:r>
              <w:rPr>
                <w:vertAlign w:val="subscript"/>
              </w:rPr>
              <w:t xml:space="preserve"> </w:t>
            </w:r>
            <w:r w:rsidRPr="006624C0">
              <w:rPr>
                <w:i/>
                <w:vertAlign w:val="subscript"/>
              </w:rPr>
              <w:t>q, p, bltp</w:t>
            </w:r>
          </w:p>
        </w:tc>
        <w:tc>
          <w:tcPr>
            <w:tcW w:w="1046" w:type="dxa"/>
          </w:tcPr>
          <w:p w14:paraId="759F450F" w14:textId="77777777" w:rsidR="001F04FD" w:rsidRDefault="001F04FD" w:rsidP="00AC4DEE">
            <w:pPr>
              <w:pStyle w:val="TableBody"/>
            </w:pPr>
            <w:r>
              <w:t>MWh</w:t>
            </w:r>
          </w:p>
        </w:tc>
        <w:tc>
          <w:tcPr>
            <w:tcW w:w="6157" w:type="dxa"/>
          </w:tcPr>
          <w:p w14:paraId="7A293C7E" w14:textId="77777777" w:rsidR="001F04FD" w:rsidRDefault="001F04FD" w:rsidP="00AC4DEE">
            <w:pPr>
              <w:pStyle w:val="TableBody"/>
            </w:pPr>
            <w:r>
              <w:rPr>
                <w:i/>
              </w:rPr>
              <w:t>Block Load Transfer Resource per QSE per Settlement Point per BLT Point</w:t>
            </w:r>
            <w:r>
              <w:sym w:font="Symbol" w:char="F0BE"/>
            </w:r>
            <w:r>
              <w:t xml:space="preserve">The energy delivered to an ERCOT Load in Load Zone </w:t>
            </w:r>
            <w:r>
              <w:rPr>
                <w:i/>
              </w:rPr>
              <w:t>p</w:t>
            </w:r>
            <w:r>
              <w:t xml:space="preserve"> through BLT Point </w:t>
            </w:r>
            <w:r>
              <w:rPr>
                <w:i/>
              </w:rPr>
              <w:t>bltp</w:t>
            </w:r>
            <w:r>
              <w:t xml:space="preserve"> represented by QSE </w:t>
            </w:r>
            <w:r>
              <w:rPr>
                <w:i/>
              </w:rPr>
              <w:t>q</w:t>
            </w:r>
            <w:r>
              <w:t xml:space="preserve">, for the 15-minute Settlement Interval.  </w:t>
            </w:r>
          </w:p>
        </w:tc>
      </w:tr>
      <w:tr w:rsidR="001F04FD" w14:paraId="0271F4B9" w14:textId="77777777" w:rsidTr="009F62BA">
        <w:tc>
          <w:tcPr>
            <w:tcW w:w="2602" w:type="dxa"/>
          </w:tcPr>
          <w:p w14:paraId="5071A639" w14:textId="77777777" w:rsidR="001F04FD" w:rsidRPr="00B0138B" w:rsidRDefault="001F04FD" w:rsidP="00AC4DEE">
            <w:pPr>
              <w:pStyle w:val="TableBody"/>
              <w:rPr>
                <w:i/>
              </w:rPr>
            </w:pPr>
            <w:r w:rsidRPr="00A61E91">
              <w:rPr>
                <w:i/>
              </w:rPr>
              <w:t>q</w:t>
            </w:r>
          </w:p>
        </w:tc>
        <w:tc>
          <w:tcPr>
            <w:tcW w:w="1046" w:type="dxa"/>
          </w:tcPr>
          <w:p w14:paraId="3302B3F9" w14:textId="77777777" w:rsidR="001F04FD" w:rsidRDefault="001F04FD" w:rsidP="00AC4DEE">
            <w:pPr>
              <w:pStyle w:val="TableBody"/>
            </w:pPr>
            <w:r>
              <w:t>none</w:t>
            </w:r>
          </w:p>
        </w:tc>
        <w:tc>
          <w:tcPr>
            <w:tcW w:w="6157" w:type="dxa"/>
          </w:tcPr>
          <w:p w14:paraId="09BF1414" w14:textId="77777777" w:rsidR="001F04FD" w:rsidRDefault="001F04FD" w:rsidP="00AC4DEE">
            <w:pPr>
              <w:pStyle w:val="TableBody"/>
              <w:rPr>
                <w:i/>
              </w:rPr>
            </w:pPr>
            <w:r>
              <w:t>A QSE.</w:t>
            </w:r>
          </w:p>
        </w:tc>
      </w:tr>
      <w:tr w:rsidR="001F04FD" w14:paraId="50E0F326" w14:textId="77777777" w:rsidTr="009F62BA">
        <w:tc>
          <w:tcPr>
            <w:tcW w:w="2602" w:type="dxa"/>
          </w:tcPr>
          <w:p w14:paraId="68C60C2F" w14:textId="77777777" w:rsidR="001F04FD" w:rsidRPr="00B0138B" w:rsidRDefault="001F04FD" w:rsidP="00AC4DEE">
            <w:pPr>
              <w:pStyle w:val="TableBody"/>
              <w:rPr>
                <w:i/>
              </w:rPr>
            </w:pPr>
            <w:r w:rsidRPr="00A61E91">
              <w:rPr>
                <w:i/>
              </w:rPr>
              <w:t>p</w:t>
            </w:r>
          </w:p>
        </w:tc>
        <w:tc>
          <w:tcPr>
            <w:tcW w:w="1046" w:type="dxa"/>
          </w:tcPr>
          <w:p w14:paraId="10CE6303" w14:textId="77777777" w:rsidR="001F04FD" w:rsidRDefault="001F04FD" w:rsidP="00AC4DEE">
            <w:pPr>
              <w:pStyle w:val="TableBody"/>
            </w:pPr>
            <w:r>
              <w:t>none</w:t>
            </w:r>
          </w:p>
        </w:tc>
        <w:tc>
          <w:tcPr>
            <w:tcW w:w="6157" w:type="dxa"/>
          </w:tcPr>
          <w:p w14:paraId="58B91ED7" w14:textId="77777777" w:rsidR="001F04FD" w:rsidRDefault="001F04FD" w:rsidP="00AC4DEE">
            <w:pPr>
              <w:pStyle w:val="TableBody"/>
              <w:rPr>
                <w:i/>
              </w:rPr>
            </w:pPr>
            <w:r>
              <w:t>A Load Zone Settlement Point.</w:t>
            </w:r>
          </w:p>
        </w:tc>
      </w:tr>
      <w:tr w:rsidR="001F04FD" w14:paraId="2ACB41A7" w14:textId="77777777" w:rsidTr="009F62BA">
        <w:tc>
          <w:tcPr>
            <w:tcW w:w="2602" w:type="dxa"/>
          </w:tcPr>
          <w:p w14:paraId="60DCD8DC" w14:textId="77777777" w:rsidR="001F04FD" w:rsidRPr="00B0138B" w:rsidRDefault="001F04FD" w:rsidP="00AC4DEE">
            <w:pPr>
              <w:pStyle w:val="TableBody"/>
              <w:rPr>
                <w:i/>
              </w:rPr>
            </w:pPr>
            <w:r w:rsidRPr="00A61E91">
              <w:rPr>
                <w:i/>
              </w:rPr>
              <w:lastRenderedPageBreak/>
              <w:t>bltp</w:t>
            </w:r>
          </w:p>
        </w:tc>
        <w:tc>
          <w:tcPr>
            <w:tcW w:w="1046" w:type="dxa"/>
          </w:tcPr>
          <w:p w14:paraId="13786AE2" w14:textId="77777777" w:rsidR="001F04FD" w:rsidRDefault="001F04FD" w:rsidP="00AC4DEE">
            <w:pPr>
              <w:pStyle w:val="TableBody"/>
            </w:pPr>
            <w:r>
              <w:t>none</w:t>
            </w:r>
          </w:p>
        </w:tc>
        <w:tc>
          <w:tcPr>
            <w:tcW w:w="6157" w:type="dxa"/>
          </w:tcPr>
          <w:p w14:paraId="0DA9165A" w14:textId="77777777" w:rsidR="001F04FD" w:rsidRDefault="001F04FD" w:rsidP="00AC4DEE">
            <w:pPr>
              <w:pStyle w:val="TableBody"/>
            </w:pPr>
            <w:r>
              <w:t>A BLT Point.</w:t>
            </w:r>
          </w:p>
        </w:tc>
      </w:tr>
    </w:tbl>
    <w:p w14:paraId="52A27E08" w14:textId="77777777" w:rsidR="001F04FD" w:rsidRDefault="001F04FD" w:rsidP="001F04FD">
      <w:pPr>
        <w:pStyle w:val="BodyTextNumbered"/>
        <w:spacing w:before="240"/>
      </w:pPr>
      <w:bookmarkStart w:id="1931" w:name="_Toc87951789"/>
      <w:bookmarkStart w:id="1932" w:name="_Toc109009394"/>
      <w:bookmarkEnd w:id="1913"/>
      <w:bookmarkEnd w:id="1914"/>
      <w:r>
        <w:t>(2)</w:t>
      </w:r>
      <w:r>
        <w:tab/>
        <w:t>The total of the payments to each QSE for all energy delivered to ERCOT Loads through BLT Points for the 15-minute Settlement Interval is calculated as follows:</w:t>
      </w:r>
    </w:p>
    <w:p w14:paraId="3EC9D4FE" w14:textId="77777777" w:rsidR="001F04FD" w:rsidRDefault="001F04FD" w:rsidP="001F04FD">
      <w:pPr>
        <w:pStyle w:val="FormulaBold"/>
      </w:pPr>
      <w:r>
        <w:t xml:space="preserve">BLTRAMTQSETOT </w:t>
      </w:r>
      <w:r>
        <w:rPr>
          <w:i/>
          <w:vertAlign w:val="subscript"/>
        </w:rPr>
        <w:t>q</w:t>
      </w:r>
      <w:r>
        <w:tab/>
        <w:t>=</w:t>
      </w:r>
      <w:r>
        <w:tab/>
      </w:r>
      <w:r w:rsidRPr="006F784F">
        <w:rPr>
          <w:position w:val="-22"/>
        </w:rPr>
        <w:object w:dxaOrig="225" w:dyaOrig="465" w14:anchorId="7236CCD8">
          <v:shape id="_x0000_i1159" type="#_x0000_t75" style="width:12pt;height:18pt" o:ole="">
            <v:imagedata r:id="rId172" o:title=""/>
          </v:shape>
          <o:OLEObject Type="Embed" ProgID="Equation.3" ShapeID="_x0000_i1159" DrawAspect="Content" ObjectID="_1815025349" r:id="rId177"/>
        </w:object>
      </w:r>
      <w:r w:rsidRPr="006F784F">
        <w:rPr>
          <w:position w:val="-22"/>
        </w:rPr>
        <w:object w:dxaOrig="300" w:dyaOrig="465" w14:anchorId="3B5D73C7">
          <v:shape id="_x0000_i1160" type="#_x0000_t75" style="width:12pt;height:18pt" o:ole="">
            <v:imagedata r:id="rId178" o:title=""/>
          </v:shape>
          <o:OLEObject Type="Embed" ProgID="Equation.3" ShapeID="_x0000_i1160" DrawAspect="Content" ObjectID="_1815025350" r:id="rId179"/>
        </w:object>
      </w:r>
      <w:r>
        <w:t xml:space="preserve">BLTRAMT </w:t>
      </w:r>
      <w:r w:rsidRPr="00121A09">
        <w:rPr>
          <w:i/>
          <w:vertAlign w:val="subscript"/>
        </w:rPr>
        <w:t>q, bltp, p</w:t>
      </w:r>
    </w:p>
    <w:p w14:paraId="5FFCF72D" w14:textId="77777777" w:rsidR="001F04FD" w:rsidRDefault="001F04FD" w:rsidP="001F04FD">
      <w:r>
        <w:t>The above variables are defined as follows:</w:t>
      </w:r>
    </w:p>
    <w:tbl>
      <w:tblPr>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810"/>
        <w:gridCol w:w="6300"/>
      </w:tblGrid>
      <w:tr w:rsidR="001F04FD" w14:paraId="6DC62B05" w14:textId="77777777" w:rsidTr="002401F7">
        <w:tc>
          <w:tcPr>
            <w:tcW w:w="1374" w:type="pct"/>
          </w:tcPr>
          <w:p w14:paraId="06A37090" w14:textId="77777777" w:rsidR="001F04FD" w:rsidRDefault="001F04FD" w:rsidP="00AC4DEE">
            <w:pPr>
              <w:pStyle w:val="TableHead"/>
            </w:pPr>
            <w:r>
              <w:t>Variable</w:t>
            </w:r>
          </w:p>
        </w:tc>
        <w:tc>
          <w:tcPr>
            <w:tcW w:w="413" w:type="pct"/>
          </w:tcPr>
          <w:p w14:paraId="4721F76A" w14:textId="77777777" w:rsidR="001F04FD" w:rsidRDefault="001F04FD" w:rsidP="00AC4DEE">
            <w:pPr>
              <w:pStyle w:val="TableHead"/>
            </w:pPr>
            <w:r>
              <w:t>Unit</w:t>
            </w:r>
          </w:p>
        </w:tc>
        <w:tc>
          <w:tcPr>
            <w:tcW w:w="3213" w:type="pct"/>
          </w:tcPr>
          <w:p w14:paraId="7D1D72B3" w14:textId="77777777" w:rsidR="001F04FD" w:rsidRDefault="001F04FD" w:rsidP="00AC4DEE">
            <w:pPr>
              <w:pStyle w:val="TableHead"/>
            </w:pPr>
            <w:r>
              <w:t>Definition</w:t>
            </w:r>
          </w:p>
        </w:tc>
      </w:tr>
      <w:tr w:rsidR="001F04FD" w14:paraId="72490416" w14:textId="77777777" w:rsidTr="002401F7">
        <w:tc>
          <w:tcPr>
            <w:tcW w:w="1374" w:type="pct"/>
          </w:tcPr>
          <w:p w14:paraId="666D5188" w14:textId="77777777" w:rsidR="001F04FD" w:rsidRDefault="001F04FD" w:rsidP="00AC4DEE">
            <w:pPr>
              <w:pStyle w:val="TableBody"/>
            </w:pPr>
            <w:r>
              <w:t xml:space="preserve">BLTRAMTQSETOT </w:t>
            </w:r>
            <w:r w:rsidRPr="00121A09">
              <w:rPr>
                <w:i/>
                <w:vertAlign w:val="subscript"/>
              </w:rPr>
              <w:t>q</w:t>
            </w:r>
          </w:p>
        </w:tc>
        <w:tc>
          <w:tcPr>
            <w:tcW w:w="413" w:type="pct"/>
          </w:tcPr>
          <w:p w14:paraId="0ADDABD8" w14:textId="77777777" w:rsidR="001F04FD" w:rsidRDefault="001F04FD" w:rsidP="00AC4DEE">
            <w:pPr>
              <w:pStyle w:val="TableBody"/>
            </w:pPr>
            <w:r>
              <w:t>$</w:t>
            </w:r>
          </w:p>
        </w:tc>
        <w:tc>
          <w:tcPr>
            <w:tcW w:w="3213" w:type="pct"/>
          </w:tcPr>
          <w:p w14:paraId="75164459" w14:textId="77777777" w:rsidR="001F04FD" w:rsidRDefault="001F04FD" w:rsidP="00AC4DEE">
            <w:pPr>
              <w:pStyle w:val="TableBody"/>
            </w:pPr>
            <w:r>
              <w:rPr>
                <w:i/>
              </w:rPr>
              <w:t>Block Load Transfer Resource Amount QSE Total per QSE</w:t>
            </w:r>
            <w:r>
              <w:sym w:font="Symbol" w:char="F0BE"/>
            </w:r>
            <w:r>
              <w:t xml:space="preserve">The total of the payments to QSE </w:t>
            </w:r>
            <w:r>
              <w:rPr>
                <w:i/>
              </w:rPr>
              <w:t>q</w:t>
            </w:r>
            <w:r>
              <w:t xml:space="preserve"> for energy delivered into the ERCOT System through BLT Points for the 15-minute Settlement Interval.</w:t>
            </w:r>
          </w:p>
        </w:tc>
      </w:tr>
      <w:tr w:rsidR="001F04FD" w14:paraId="766047D9" w14:textId="77777777" w:rsidTr="002401F7">
        <w:tc>
          <w:tcPr>
            <w:tcW w:w="1374" w:type="pct"/>
          </w:tcPr>
          <w:p w14:paraId="762EC6A3" w14:textId="77777777" w:rsidR="001F04FD" w:rsidRDefault="001F04FD" w:rsidP="00AC4DEE">
            <w:pPr>
              <w:pStyle w:val="TableBody"/>
            </w:pPr>
            <w:r>
              <w:t xml:space="preserve">BLTRAMT </w:t>
            </w:r>
            <w:r w:rsidRPr="00121A09">
              <w:rPr>
                <w:i/>
                <w:vertAlign w:val="subscript"/>
              </w:rPr>
              <w:t>q, bltp , p</w:t>
            </w:r>
          </w:p>
        </w:tc>
        <w:tc>
          <w:tcPr>
            <w:tcW w:w="413" w:type="pct"/>
          </w:tcPr>
          <w:p w14:paraId="7B8744C9" w14:textId="77777777" w:rsidR="001F04FD" w:rsidRDefault="001F04FD" w:rsidP="00AC4DEE">
            <w:pPr>
              <w:pStyle w:val="TableBody"/>
            </w:pPr>
            <w:r>
              <w:t>$</w:t>
            </w:r>
          </w:p>
        </w:tc>
        <w:tc>
          <w:tcPr>
            <w:tcW w:w="3213" w:type="pct"/>
          </w:tcPr>
          <w:p w14:paraId="0F66D0AD" w14:textId="77777777" w:rsidR="001F04FD" w:rsidRDefault="001F04FD" w:rsidP="00AC4DEE">
            <w:pPr>
              <w:pStyle w:val="TableBody"/>
            </w:pPr>
            <w:r>
              <w:rPr>
                <w:i/>
              </w:rPr>
              <w:t>Block Load Transfer Resource Amount per QSE per Settlement Point per BLT Point</w:t>
            </w:r>
            <w:r>
              <w:t xml:space="preserve">—The payment to QSE </w:t>
            </w:r>
            <w:r>
              <w:rPr>
                <w:i/>
              </w:rPr>
              <w:t>q</w:t>
            </w:r>
            <w:r>
              <w:t xml:space="preserve"> for the BLT Resource at BLT Point </w:t>
            </w:r>
            <w:r>
              <w:rPr>
                <w:i/>
              </w:rPr>
              <w:t>bltp</w:t>
            </w:r>
            <w:r>
              <w:t xml:space="preserve">, which delivers energy to Load Zone </w:t>
            </w:r>
            <w:r>
              <w:rPr>
                <w:i/>
              </w:rPr>
              <w:t>p</w:t>
            </w:r>
            <w:r>
              <w:t>, for the 15-minute Settlement Interval.</w:t>
            </w:r>
          </w:p>
        </w:tc>
      </w:tr>
      <w:tr w:rsidR="001F04FD" w14:paraId="15755154" w14:textId="77777777" w:rsidTr="002401F7">
        <w:tc>
          <w:tcPr>
            <w:tcW w:w="1374" w:type="pct"/>
            <w:tcBorders>
              <w:top w:val="single" w:sz="4" w:space="0" w:color="auto"/>
              <w:left w:val="single" w:sz="4" w:space="0" w:color="auto"/>
              <w:bottom w:val="single" w:sz="4" w:space="0" w:color="auto"/>
              <w:right w:val="single" w:sz="4" w:space="0" w:color="auto"/>
            </w:tcBorders>
          </w:tcPr>
          <w:p w14:paraId="66B14937" w14:textId="77777777" w:rsidR="001F04FD" w:rsidRPr="00B0138B" w:rsidRDefault="001F04FD" w:rsidP="00AC4DEE">
            <w:pPr>
              <w:pStyle w:val="TableBody"/>
              <w:rPr>
                <w:i/>
              </w:rPr>
            </w:pPr>
            <w:r w:rsidRPr="00A61E91">
              <w:rPr>
                <w:i/>
              </w:rPr>
              <w:t>q</w:t>
            </w:r>
          </w:p>
        </w:tc>
        <w:tc>
          <w:tcPr>
            <w:tcW w:w="413" w:type="pct"/>
            <w:tcBorders>
              <w:top w:val="single" w:sz="4" w:space="0" w:color="auto"/>
              <w:left w:val="single" w:sz="4" w:space="0" w:color="auto"/>
              <w:bottom w:val="single" w:sz="4" w:space="0" w:color="auto"/>
              <w:right w:val="single" w:sz="4" w:space="0" w:color="auto"/>
            </w:tcBorders>
          </w:tcPr>
          <w:p w14:paraId="3A52A6B6" w14:textId="77777777" w:rsidR="001F04FD" w:rsidRDefault="001F04FD" w:rsidP="00AC4DEE">
            <w:pPr>
              <w:pStyle w:val="TableBody"/>
            </w:pPr>
            <w:r>
              <w:t>none</w:t>
            </w:r>
          </w:p>
        </w:tc>
        <w:tc>
          <w:tcPr>
            <w:tcW w:w="3213" w:type="pct"/>
            <w:tcBorders>
              <w:top w:val="single" w:sz="4" w:space="0" w:color="auto"/>
              <w:left w:val="single" w:sz="4" w:space="0" w:color="auto"/>
              <w:bottom w:val="single" w:sz="4" w:space="0" w:color="auto"/>
              <w:right w:val="single" w:sz="4" w:space="0" w:color="auto"/>
            </w:tcBorders>
          </w:tcPr>
          <w:p w14:paraId="0FD264E5" w14:textId="77777777" w:rsidR="001F04FD" w:rsidRDefault="001F04FD" w:rsidP="00AC4DEE">
            <w:pPr>
              <w:pStyle w:val="TableBody"/>
            </w:pPr>
            <w:r>
              <w:t>A QSE.</w:t>
            </w:r>
          </w:p>
        </w:tc>
      </w:tr>
      <w:tr w:rsidR="001F04FD" w14:paraId="451C0D24" w14:textId="77777777" w:rsidTr="002401F7">
        <w:tc>
          <w:tcPr>
            <w:tcW w:w="1374" w:type="pct"/>
            <w:tcBorders>
              <w:top w:val="single" w:sz="4" w:space="0" w:color="auto"/>
              <w:left w:val="single" w:sz="4" w:space="0" w:color="auto"/>
              <w:bottom w:val="single" w:sz="4" w:space="0" w:color="auto"/>
              <w:right w:val="single" w:sz="4" w:space="0" w:color="auto"/>
            </w:tcBorders>
          </w:tcPr>
          <w:p w14:paraId="50BDB677" w14:textId="77777777" w:rsidR="001F04FD" w:rsidRPr="00B0138B" w:rsidRDefault="001F04FD" w:rsidP="00AC4DEE">
            <w:pPr>
              <w:pStyle w:val="TableBody"/>
              <w:rPr>
                <w:i/>
              </w:rPr>
            </w:pPr>
            <w:r w:rsidRPr="00A61E91">
              <w:rPr>
                <w:i/>
              </w:rPr>
              <w:t>p</w:t>
            </w:r>
          </w:p>
        </w:tc>
        <w:tc>
          <w:tcPr>
            <w:tcW w:w="413" w:type="pct"/>
            <w:tcBorders>
              <w:top w:val="single" w:sz="4" w:space="0" w:color="auto"/>
              <w:left w:val="single" w:sz="4" w:space="0" w:color="auto"/>
              <w:bottom w:val="single" w:sz="4" w:space="0" w:color="auto"/>
              <w:right w:val="single" w:sz="4" w:space="0" w:color="auto"/>
            </w:tcBorders>
          </w:tcPr>
          <w:p w14:paraId="190DE0DA" w14:textId="77777777" w:rsidR="001F04FD" w:rsidRDefault="001F04FD" w:rsidP="00AC4DEE">
            <w:pPr>
              <w:pStyle w:val="TableBody"/>
            </w:pPr>
            <w:r>
              <w:t>none</w:t>
            </w:r>
          </w:p>
        </w:tc>
        <w:tc>
          <w:tcPr>
            <w:tcW w:w="3213" w:type="pct"/>
            <w:tcBorders>
              <w:top w:val="single" w:sz="4" w:space="0" w:color="auto"/>
              <w:left w:val="single" w:sz="4" w:space="0" w:color="auto"/>
              <w:bottom w:val="single" w:sz="4" w:space="0" w:color="auto"/>
              <w:right w:val="single" w:sz="4" w:space="0" w:color="auto"/>
            </w:tcBorders>
          </w:tcPr>
          <w:p w14:paraId="4477DB12" w14:textId="77777777" w:rsidR="001F04FD" w:rsidRDefault="001F04FD" w:rsidP="00AC4DEE">
            <w:pPr>
              <w:pStyle w:val="TableBody"/>
            </w:pPr>
            <w:r>
              <w:t>A Load Zone Settlement Point.</w:t>
            </w:r>
          </w:p>
        </w:tc>
      </w:tr>
      <w:tr w:rsidR="001F04FD" w14:paraId="248AD7C8" w14:textId="77777777" w:rsidTr="002401F7">
        <w:tc>
          <w:tcPr>
            <w:tcW w:w="1374" w:type="pct"/>
            <w:tcBorders>
              <w:top w:val="single" w:sz="4" w:space="0" w:color="auto"/>
              <w:left w:val="single" w:sz="4" w:space="0" w:color="auto"/>
              <w:bottom w:val="single" w:sz="4" w:space="0" w:color="auto"/>
              <w:right w:val="single" w:sz="4" w:space="0" w:color="auto"/>
            </w:tcBorders>
          </w:tcPr>
          <w:p w14:paraId="6031027B" w14:textId="77777777" w:rsidR="001F04FD" w:rsidRPr="00B0138B" w:rsidRDefault="001F04FD" w:rsidP="00AC4DEE">
            <w:pPr>
              <w:pStyle w:val="TableBody"/>
              <w:rPr>
                <w:i/>
              </w:rPr>
            </w:pPr>
            <w:r w:rsidRPr="00A61E91">
              <w:rPr>
                <w:i/>
              </w:rPr>
              <w:t>bltp</w:t>
            </w:r>
          </w:p>
        </w:tc>
        <w:tc>
          <w:tcPr>
            <w:tcW w:w="413" w:type="pct"/>
            <w:tcBorders>
              <w:top w:val="single" w:sz="4" w:space="0" w:color="auto"/>
              <w:left w:val="single" w:sz="4" w:space="0" w:color="auto"/>
              <w:bottom w:val="single" w:sz="4" w:space="0" w:color="auto"/>
              <w:right w:val="single" w:sz="4" w:space="0" w:color="auto"/>
            </w:tcBorders>
          </w:tcPr>
          <w:p w14:paraId="533911CF" w14:textId="77777777" w:rsidR="001F04FD" w:rsidRDefault="001F04FD" w:rsidP="00AC4DEE">
            <w:pPr>
              <w:pStyle w:val="TableBody"/>
            </w:pPr>
            <w:r>
              <w:t>none</w:t>
            </w:r>
          </w:p>
        </w:tc>
        <w:tc>
          <w:tcPr>
            <w:tcW w:w="3213" w:type="pct"/>
            <w:tcBorders>
              <w:top w:val="single" w:sz="4" w:space="0" w:color="auto"/>
              <w:left w:val="single" w:sz="4" w:space="0" w:color="auto"/>
              <w:bottom w:val="single" w:sz="4" w:space="0" w:color="auto"/>
              <w:right w:val="single" w:sz="4" w:space="0" w:color="auto"/>
            </w:tcBorders>
          </w:tcPr>
          <w:p w14:paraId="4F6D05F8" w14:textId="77777777" w:rsidR="001F04FD" w:rsidRDefault="001F04FD" w:rsidP="00AC4DEE">
            <w:pPr>
              <w:pStyle w:val="TableBody"/>
            </w:pPr>
            <w:r>
              <w:t>A BLT Point.</w:t>
            </w:r>
          </w:p>
        </w:tc>
      </w:tr>
    </w:tbl>
    <w:p w14:paraId="7D84E194" w14:textId="28566374" w:rsidR="001F04FD" w:rsidRDefault="001F04FD" w:rsidP="00910734">
      <w:pPr>
        <w:pStyle w:val="BodyTextNumbered"/>
        <w:spacing w:before="240"/>
        <w:rPr>
          <w:b/>
        </w:rPr>
      </w:pPr>
      <w:bookmarkStart w:id="1933" w:name="_Toc341692791"/>
      <w:bookmarkStart w:id="1934" w:name="_Toc343592296"/>
      <w:bookmarkStart w:id="1935" w:name="_Toc348355903"/>
      <w:bookmarkStart w:id="1936" w:name="_Toc349820434"/>
      <w:bookmarkStart w:id="1937" w:name="_Toc109009398"/>
      <w:bookmarkStart w:id="1938" w:name="_Toc87951793"/>
      <w:bookmarkEnd w:id="1931"/>
      <w:bookmarkEnd w:id="1932"/>
      <w:r w:rsidRPr="00674EE4">
        <w:t>(3)</w:t>
      </w:r>
      <w:r w:rsidRPr="00674EE4">
        <w:tab/>
        <w:t xml:space="preserve">For the purpose of Settlement, ERCOT shall treat the energy associated with </w:t>
      </w:r>
      <w:r>
        <w:t xml:space="preserve">the </w:t>
      </w:r>
      <w:r w:rsidRPr="00674EE4">
        <w:t>Presidio Exception like energy delivered to an ERCOT Load through a BLT Point that is moved from the ERCOT Control Area to a non-ERCOT Control Area, by allowing for compensation of verified costs associated with the energy.  After receipt and verification of the invoiced cost associated with the Presidio Exception, ERCOT shall compensate for the energy associated with the Presidio Exception using the monthly verified cost multiplied by the Cost Adder for Block Load Transfer defined in paragraph (1) above.  ERCOT shall uplift the cost to QSEs representing Load using the monthly LRS per QSE as defined in Section 7.5.7, Method for Distributing CRR Auction Revenues.  Costs associated with the Presidio Exception must be submitted to ERCOT within 90 days of the last day of the month that the costs were incurred.</w:t>
      </w:r>
      <w:bookmarkEnd w:id="1933"/>
      <w:bookmarkEnd w:id="1934"/>
      <w:bookmarkEnd w:id="1935"/>
      <w:bookmarkEnd w:id="1936"/>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54FF3" w14:paraId="76375C3B" w14:textId="77777777" w:rsidTr="00663874">
        <w:trPr>
          <w:trHeight w:val="206"/>
        </w:trPr>
        <w:tc>
          <w:tcPr>
            <w:tcW w:w="9576" w:type="dxa"/>
            <w:shd w:val="pct12" w:color="auto" w:fill="auto"/>
          </w:tcPr>
          <w:p w14:paraId="1726CC8B" w14:textId="02479159" w:rsidR="00154FF3" w:rsidRDefault="00154FF3" w:rsidP="00663874">
            <w:pPr>
              <w:pStyle w:val="Instructions"/>
              <w:spacing w:before="120"/>
            </w:pPr>
            <w:r>
              <w:t>[NPRR1030:  Replace paragraph (3) above with the following upon system implementation:]</w:t>
            </w:r>
          </w:p>
          <w:p w14:paraId="4681A22C" w14:textId="22092D38" w:rsidR="00154FF3" w:rsidRPr="00154FF3" w:rsidRDefault="00154FF3" w:rsidP="00910734">
            <w:pPr>
              <w:pStyle w:val="BodyTextNumbered"/>
              <w:spacing w:before="240"/>
              <w:rPr>
                <w:b/>
              </w:rPr>
            </w:pPr>
            <w:bookmarkStart w:id="1939" w:name="_Toc65151737"/>
            <w:r w:rsidRPr="00674EE4">
              <w:t>(3)</w:t>
            </w:r>
            <w:r w:rsidRPr="00674EE4">
              <w:tab/>
              <w:t xml:space="preserve">For the purpose of Settlement, ERCOT shall treat the energy associated with </w:t>
            </w:r>
            <w:r>
              <w:t xml:space="preserve">the </w:t>
            </w:r>
            <w:r w:rsidRPr="00674EE4">
              <w:t xml:space="preserve">Presidio Exception like energy delivered to an ERCOT Load through a BLT Point that is moved from the ERCOT Control Area to a non-ERCOT Control Area, by allowing for compensation of verified costs associated with the energy.  After receipt and verification of the invoiced cost associated with the Presidio Exception, ERCOT shall compensate for the energy associated with the Presidio Exception using the monthly verified cost multiplied by the Cost Adder for Block Load Transfer defined in paragraph (1) above.  ERCOT shall uplift the cost to QSEs representing Load using the </w:t>
            </w:r>
            <w:r>
              <w:t>same methodology</w:t>
            </w:r>
            <w:r w:rsidRPr="00674EE4">
              <w:t xml:space="preserve"> as defined in Section 7.5.7, Method for Distributing CRR Auction Revenues.  Costs associated with the Presidio Exception must be submitted to ERCOT within 90 days of the last day of the month that the costs were incurred.</w:t>
            </w:r>
            <w:bookmarkEnd w:id="1939"/>
          </w:p>
        </w:tc>
      </w:tr>
    </w:tbl>
    <w:p w14:paraId="6DCEE75E" w14:textId="01E372AD" w:rsidR="001F04FD" w:rsidRPr="00F67855" w:rsidRDefault="001F04FD" w:rsidP="003A5AC3">
      <w:pPr>
        <w:pStyle w:val="List"/>
        <w:spacing w:before="240"/>
      </w:pPr>
      <w:r w:rsidRPr="00F67855">
        <w:lastRenderedPageBreak/>
        <w:t>(a)</w:t>
      </w:r>
      <w:r>
        <w:tab/>
      </w:r>
      <w:r w:rsidRPr="00F67855">
        <w:t>The monthly payment to be calculated as follows:</w:t>
      </w:r>
    </w:p>
    <w:p w14:paraId="358F040D" w14:textId="77777777" w:rsidR="001F04FD" w:rsidRPr="006940F8" w:rsidRDefault="001F04FD" w:rsidP="001F04FD">
      <w:pPr>
        <w:pStyle w:val="List"/>
        <w:rPr>
          <w:b/>
          <w:bCs/>
        </w:rPr>
      </w:pPr>
      <w:r w:rsidRPr="006940F8">
        <w:rPr>
          <w:b/>
          <w:bCs/>
        </w:rPr>
        <w:tab/>
        <w:t xml:space="preserve">MBLTAMT </w:t>
      </w:r>
      <w:r w:rsidRPr="006940F8">
        <w:rPr>
          <w:b/>
          <w:bCs/>
          <w:i/>
          <w:vertAlign w:val="subscript"/>
        </w:rPr>
        <w:t>q, p</w:t>
      </w:r>
      <w:r w:rsidRPr="006940F8">
        <w:rPr>
          <w:b/>
          <w:bCs/>
        </w:rPr>
        <w:t xml:space="preserve"> = </w:t>
      </w:r>
      <w:r w:rsidRPr="006940F8">
        <w:rPr>
          <w:b/>
          <w:bCs/>
        </w:rPr>
        <w:tab/>
        <w:t xml:space="preserve">(-1) * VMEBLTP </w:t>
      </w:r>
      <w:r w:rsidRPr="006940F8">
        <w:rPr>
          <w:b/>
          <w:i/>
          <w:iCs/>
          <w:sz w:val="20"/>
          <w:vertAlign w:val="subscript"/>
        </w:rPr>
        <w:t>q, p</w:t>
      </w:r>
      <w:r w:rsidRPr="006940F8">
        <w:rPr>
          <w:b/>
          <w:bCs/>
          <w:i/>
          <w:vertAlign w:val="subscript"/>
        </w:rPr>
        <w:t xml:space="preserve"> </w:t>
      </w:r>
      <w:r w:rsidRPr="006940F8">
        <w:rPr>
          <w:b/>
          <w:bCs/>
        </w:rPr>
        <w:t xml:space="preserve"> </w:t>
      </w:r>
      <w:r w:rsidRPr="006940F8">
        <w:rPr>
          <w:b/>
          <w:bCs/>
          <w:i/>
        </w:rPr>
        <w:t>*</w:t>
      </w:r>
      <w:r w:rsidRPr="006940F8">
        <w:rPr>
          <w:b/>
          <w:bCs/>
        </w:rPr>
        <w:t xml:space="preserve"> CABLT</w:t>
      </w:r>
    </w:p>
    <w:p w14:paraId="4A9B26C9" w14:textId="77777777" w:rsidR="001F04FD" w:rsidRPr="004429E3" w:rsidRDefault="001F04FD" w:rsidP="001F04FD">
      <w:r w:rsidRPr="004429E3">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581"/>
        <w:gridCol w:w="1146"/>
        <w:gridCol w:w="6078"/>
      </w:tblGrid>
      <w:tr w:rsidR="001F04FD" w:rsidRPr="004429E3" w14:paraId="71EC8D53" w14:textId="77777777" w:rsidTr="009B7C62">
        <w:tc>
          <w:tcPr>
            <w:tcW w:w="2581" w:type="dxa"/>
          </w:tcPr>
          <w:p w14:paraId="3D2BD279" w14:textId="77777777" w:rsidR="001F04FD" w:rsidRPr="004429E3" w:rsidRDefault="001F04FD" w:rsidP="00AC4DEE">
            <w:pPr>
              <w:spacing w:after="120"/>
              <w:rPr>
                <w:b/>
                <w:iCs/>
                <w:sz w:val="20"/>
              </w:rPr>
            </w:pPr>
            <w:r w:rsidRPr="004429E3">
              <w:rPr>
                <w:b/>
                <w:iCs/>
                <w:sz w:val="20"/>
              </w:rPr>
              <w:t>Variable</w:t>
            </w:r>
          </w:p>
        </w:tc>
        <w:tc>
          <w:tcPr>
            <w:tcW w:w="1146" w:type="dxa"/>
          </w:tcPr>
          <w:p w14:paraId="5536438C" w14:textId="77777777" w:rsidR="001F04FD" w:rsidRPr="004429E3" w:rsidRDefault="001F04FD" w:rsidP="00AC4DEE">
            <w:pPr>
              <w:spacing w:after="120"/>
              <w:rPr>
                <w:b/>
                <w:iCs/>
                <w:sz w:val="20"/>
              </w:rPr>
            </w:pPr>
            <w:r w:rsidRPr="004429E3">
              <w:rPr>
                <w:b/>
                <w:iCs/>
                <w:sz w:val="20"/>
              </w:rPr>
              <w:t>Unit</w:t>
            </w:r>
          </w:p>
        </w:tc>
        <w:tc>
          <w:tcPr>
            <w:tcW w:w="6078" w:type="dxa"/>
          </w:tcPr>
          <w:p w14:paraId="1DCA38AA" w14:textId="77777777" w:rsidR="001F04FD" w:rsidRPr="004429E3" w:rsidRDefault="001F04FD" w:rsidP="00AC4DEE">
            <w:pPr>
              <w:spacing w:after="120"/>
              <w:rPr>
                <w:b/>
                <w:iCs/>
                <w:sz w:val="20"/>
              </w:rPr>
            </w:pPr>
            <w:r w:rsidRPr="004429E3">
              <w:rPr>
                <w:b/>
                <w:iCs/>
                <w:sz w:val="20"/>
              </w:rPr>
              <w:t>Definition</w:t>
            </w:r>
          </w:p>
        </w:tc>
      </w:tr>
      <w:tr w:rsidR="001F04FD" w:rsidRPr="004429E3" w14:paraId="59EFE851" w14:textId="77777777" w:rsidTr="009B7C62">
        <w:tc>
          <w:tcPr>
            <w:tcW w:w="2581" w:type="dxa"/>
          </w:tcPr>
          <w:p w14:paraId="1AF69281" w14:textId="77777777" w:rsidR="001F04FD" w:rsidRPr="004429E3" w:rsidRDefault="001F04FD" w:rsidP="00AC4DEE">
            <w:pPr>
              <w:spacing w:after="60"/>
              <w:rPr>
                <w:iCs/>
                <w:sz w:val="20"/>
              </w:rPr>
            </w:pPr>
            <w:r>
              <w:rPr>
                <w:iCs/>
                <w:sz w:val="20"/>
              </w:rPr>
              <w:t>M</w:t>
            </w:r>
            <w:r w:rsidRPr="004429E3">
              <w:rPr>
                <w:iCs/>
                <w:sz w:val="20"/>
              </w:rPr>
              <w:t xml:space="preserve">BLTAMT </w:t>
            </w:r>
            <w:r w:rsidRPr="004429E3">
              <w:rPr>
                <w:i/>
                <w:iCs/>
                <w:sz w:val="20"/>
                <w:vertAlign w:val="subscript"/>
              </w:rPr>
              <w:t>q, p</w:t>
            </w:r>
          </w:p>
        </w:tc>
        <w:tc>
          <w:tcPr>
            <w:tcW w:w="1146" w:type="dxa"/>
          </w:tcPr>
          <w:p w14:paraId="005F2154" w14:textId="77777777" w:rsidR="001F04FD" w:rsidRPr="004429E3" w:rsidRDefault="001F04FD" w:rsidP="00AC4DEE">
            <w:pPr>
              <w:spacing w:after="60"/>
              <w:rPr>
                <w:iCs/>
                <w:sz w:val="20"/>
              </w:rPr>
            </w:pPr>
            <w:r w:rsidRPr="004429E3">
              <w:rPr>
                <w:iCs/>
                <w:sz w:val="20"/>
              </w:rPr>
              <w:t>$</w:t>
            </w:r>
          </w:p>
        </w:tc>
        <w:tc>
          <w:tcPr>
            <w:tcW w:w="6078" w:type="dxa"/>
          </w:tcPr>
          <w:p w14:paraId="5C8E4B69" w14:textId="77777777" w:rsidR="001F04FD" w:rsidRPr="00EA4F22" w:rsidRDefault="001F04FD" w:rsidP="00AC4DEE">
            <w:pPr>
              <w:spacing w:after="60"/>
              <w:rPr>
                <w:i/>
                <w:iCs/>
                <w:sz w:val="20"/>
              </w:rPr>
            </w:pPr>
            <w:r>
              <w:rPr>
                <w:i/>
                <w:iCs/>
                <w:sz w:val="20"/>
              </w:rPr>
              <w:t xml:space="preserve">Monthly </w:t>
            </w:r>
            <w:r w:rsidRPr="004429E3">
              <w:rPr>
                <w:i/>
                <w:iCs/>
                <w:sz w:val="20"/>
              </w:rPr>
              <w:t>Block Load Transfer Amount per QSE per Settlement Point</w:t>
            </w:r>
            <w:r w:rsidRPr="004429E3">
              <w:rPr>
                <w:iCs/>
                <w:sz w:val="20"/>
              </w:rPr>
              <w:sym w:font="Symbol" w:char="F0BE"/>
            </w:r>
            <w:r w:rsidRPr="004429E3">
              <w:rPr>
                <w:iCs/>
                <w:sz w:val="20"/>
              </w:rPr>
              <w:t xml:space="preserve">The payment to QSE </w:t>
            </w:r>
            <w:r w:rsidRPr="004429E3">
              <w:rPr>
                <w:i/>
                <w:iCs/>
                <w:sz w:val="20"/>
              </w:rPr>
              <w:t>q</w:t>
            </w:r>
            <w:r w:rsidRPr="004429E3">
              <w:rPr>
                <w:iCs/>
                <w:sz w:val="20"/>
              </w:rPr>
              <w:t xml:space="preserve"> for the deliver</w:t>
            </w:r>
            <w:r>
              <w:rPr>
                <w:iCs/>
                <w:sz w:val="20"/>
              </w:rPr>
              <w:t>ed</w:t>
            </w:r>
            <w:r w:rsidRPr="004429E3">
              <w:rPr>
                <w:iCs/>
                <w:sz w:val="20"/>
              </w:rPr>
              <w:t xml:space="preserve"> energy to Load Zone </w:t>
            </w:r>
            <w:r w:rsidRPr="004429E3">
              <w:rPr>
                <w:i/>
                <w:iCs/>
                <w:sz w:val="20"/>
              </w:rPr>
              <w:t>p</w:t>
            </w:r>
            <w:r w:rsidRPr="004429E3">
              <w:rPr>
                <w:iCs/>
                <w:sz w:val="20"/>
              </w:rPr>
              <w:t xml:space="preserve"> for the </w:t>
            </w:r>
            <w:r>
              <w:rPr>
                <w:iCs/>
                <w:sz w:val="20"/>
              </w:rPr>
              <w:t>month</w:t>
            </w:r>
            <w:r w:rsidRPr="004429E3">
              <w:rPr>
                <w:iCs/>
                <w:sz w:val="20"/>
              </w:rPr>
              <w:t>.</w:t>
            </w:r>
          </w:p>
        </w:tc>
      </w:tr>
      <w:tr w:rsidR="001F04FD" w:rsidRPr="004429E3" w14:paraId="70A7C8B6" w14:textId="77777777" w:rsidTr="009B7C62">
        <w:tc>
          <w:tcPr>
            <w:tcW w:w="2581" w:type="dxa"/>
          </w:tcPr>
          <w:p w14:paraId="63B0463D" w14:textId="77777777" w:rsidR="001F04FD" w:rsidRPr="004429E3" w:rsidRDefault="001F04FD" w:rsidP="00AC4DEE">
            <w:pPr>
              <w:spacing w:after="60"/>
              <w:rPr>
                <w:iCs/>
                <w:sz w:val="20"/>
              </w:rPr>
            </w:pPr>
            <w:r>
              <w:rPr>
                <w:iCs/>
                <w:sz w:val="20"/>
              </w:rPr>
              <w:t>VMEBLTP</w:t>
            </w:r>
            <w:r w:rsidRPr="004429E3">
              <w:rPr>
                <w:iCs/>
                <w:sz w:val="20"/>
              </w:rPr>
              <w:t xml:space="preserve"> </w:t>
            </w:r>
            <w:r w:rsidRPr="004429E3">
              <w:rPr>
                <w:i/>
                <w:iCs/>
                <w:sz w:val="20"/>
                <w:vertAlign w:val="subscript"/>
              </w:rPr>
              <w:t>q, p</w:t>
            </w:r>
          </w:p>
        </w:tc>
        <w:tc>
          <w:tcPr>
            <w:tcW w:w="1146" w:type="dxa"/>
          </w:tcPr>
          <w:p w14:paraId="7C8371B1" w14:textId="77777777" w:rsidR="001F04FD" w:rsidRPr="004429E3" w:rsidRDefault="001F04FD" w:rsidP="00AC4DEE">
            <w:pPr>
              <w:spacing w:after="60"/>
              <w:rPr>
                <w:iCs/>
                <w:sz w:val="20"/>
              </w:rPr>
            </w:pPr>
            <w:r w:rsidRPr="004429E3">
              <w:rPr>
                <w:iCs/>
                <w:sz w:val="20"/>
              </w:rPr>
              <w:t>$/MWh</w:t>
            </w:r>
          </w:p>
        </w:tc>
        <w:tc>
          <w:tcPr>
            <w:tcW w:w="6078" w:type="dxa"/>
          </w:tcPr>
          <w:p w14:paraId="59AD83D8" w14:textId="77777777" w:rsidR="001F04FD" w:rsidRPr="004429E3" w:rsidRDefault="001F04FD" w:rsidP="00AC4DEE">
            <w:pPr>
              <w:spacing w:after="60"/>
              <w:rPr>
                <w:i/>
                <w:iCs/>
                <w:sz w:val="20"/>
              </w:rPr>
            </w:pPr>
            <w:r w:rsidRPr="004429E3">
              <w:rPr>
                <w:i/>
                <w:iCs/>
                <w:sz w:val="20"/>
              </w:rPr>
              <w:t xml:space="preserve">Verified </w:t>
            </w:r>
            <w:r>
              <w:rPr>
                <w:i/>
                <w:iCs/>
                <w:sz w:val="20"/>
              </w:rPr>
              <w:t xml:space="preserve">Monthly </w:t>
            </w:r>
            <w:r w:rsidRPr="004429E3">
              <w:rPr>
                <w:i/>
                <w:iCs/>
                <w:sz w:val="20"/>
              </w:rPr>
              <w:t xml:space="preserve">Energy </w:t>
            </w:r>
            <w:r>
              <w:rPr>
                <w:i/>
                <w:iCs/>
                <w:sz w:val="20"/>
              </w:rPr>
              <w:t>Cost</w:t>
            </w:r>
            <w:r w:rsidRPr="004429E3">
              <w:rPr>
                <w:iCs/>
                <w:sz w:val="20"/>
              </w:rPr>
              <w:sym w:font="Symbol" w:char="F0BE"/>
            </w:r>
            <w:r w:rsidRPr="004429E3">
              <w:rPr>
                <w:iCs/>
                <w:sz w:val="20"/>
              </w:rPr>
              <w:t xml:space="preserve">The ERCOT verified </w:t>
            </w:r>
            <w:r>
              <w:rPr>
                <w:iCs/>
                <w:sz w:val="20"/>
              </w:rPr>
              <w:t xml:space="preserve">monthly </w:t>
            </w:r>
            <w:r w:rsidRPr="004429E3">
              <w:rPr>
                <w:iCs/>
                <w:sz w:val="20"/>
              </w:rPr>
              <w:t xml:space="preserve">cost for the energy delivered to an ERCOT Load as determined by an </w:t>
            </w:r>
            <w:r>
              <w:rPr>
                <w:iCs/>
                <w:sz w:val="20"/>
              </w:rPr>
              <w:t>invoice submitted to ERCOT</w:t>
            </w:r>
            <w:r w:rsidRPr="004429E3">
              <w:rPr>
                <w:iCs/>
                <w:sz w:val="20"/>
              </w:rPr>
              <w:t>.</w:t>
            </w:r>
          </w:p>
        </w:tc>
      </w:tr>
      <w:tr w:rsidR="001F04FD" w:rsidRPr="004429E3" w14:paraId="2C630273" w14:textId="77777777" w:rsidTr="009B7C62">
        <w:tc>
          <w:tcPr>
            <w:tcW w:w="2581" w:type="dxa"/>
          </w:tcPr>
          <w:p w14:paraId="6FCBE6C0" w14:textId="77777777" w:rsidR="001F04FD" w:rsidRPr="004429E3" w:rsidRDefault="001F04FD" w:rsidP="00AC4DEE">
            <w:pPr>
              <w:spacing w:after="60"/>
              <w:rPr>
                <w:iCs/>
                <w:sz w:val="20"/>
              </w:rPr>
            </w:pPr>
            <w:r w:rsidRPr="004429E3">
              <w:rPr>
                <w:iCs/>
                <w:sz w:val="20"/>
              </w:rPr>
              <w:t>CABLT</w:t>
            </w:r>
          </w:p>
        </w:tc>
        <w:tc>
          <w:tcPr>
            <w:tcW w:w="1146" w:type="dxa"/>
          </w:tcPr>
          <w:p w14:paraId="7C603EAB" w14:textId="29C544D4" w:rsidR="001F04FD" w:rsidRPr="004429E3" w:rsidRDefault="00154FF3" w:rsidP="009B7C62">
            <w:pPr>
              <w:spacing w:after="60"/>
              <w:rPr>
                <w:iCs/>
                <w:sz w:val="20"/>
              </w:rPr>
            </w:pPr>
            <w:r>
              <w:rPr>
                <w:iCs/>
                <w:sz w:val="20"/>
              </w:rPr>
              <w:t>none</w:t>
            </w:r>
          </w:p>
        </w:tc>
        <w:tc>
          <w:tcPr>
            <w:tcW w:w="6078" w:type="dxa"/>
          </w:tcPr>
          <w:p w14:paraId="13512E1E" w14:textId="77777777" w:rsidR="001F04FD" w:rsidRPr="004429E3" w:rsidRDefault="001F04FD" w:rsidP="00AC4DEE">
            <w:pPr>
              <w:spacing w:after="60"/>
              <w:rPr>
                <w:i/>
                <w:iCs/>
                <w:sz w:val="20"/>
              </w:rPr>
            </w:pPr>
            <w:r w:rsidRPr="004429E3">
              <w:rPr>
                <w:i/>
                <w:iCs/>
                <w:sz w:val="20"/>
              </w:rPr>
              <w:t>Cost Adder for Block Load Transfer</w:t>
            </w:r>
            <w:r w:rsidRPr="004429E3">
              <w:rPr>
                <w:iCs/>
                <w:sz w:val="20"/>
              </w:rPr>
              <w:sym w:font="Symbol" w:char="F0BE"/>
            </w:r>
            <w:r w:rsidRPr="004429E3">
              <w:rPr>
                <w:iCs/>
                <w:sz w:val="20"/>
              </w:rPr>
              <w:t>A multiplier of 1.10.</w:t>
            </w:r>
          </w:p>
        </w:tc>
      </w:tr>
      <w:tr w:rsidR="001F04FD" w:rsidRPr="004429E3" w14:paraId="673A495A" w14:textId="77777777" w:rsidTr="009B7C62">
        <w:tc>
          <w:tcPr>
            <w:tcW w:w="2581" w:type="dxa"/>
          </w:tcPr>
          <w:p w14:paraId="6D61CF8A" w14:textId="77777777" w:rsidR="001F04FD" w:rsidRPr="004429E3" w:rsidRDefault="001F04FD" w:rsidP="00AC4DEE">
            <w:pPr>
              <w:spacing w:after="60"/>
              <w:rPr>
                <w:i/>
                <w:iCs/>
                <w:sz w:val="20"/>
              </w:rPr>
            </w:pPr>
            <w:r w:rsidRPr="004429E3">
              <w:rPr>
                <w:i/>
                <w:iCs/>
                <w:sz w:val="20"/>
              </w:rPr>
              <w:t>q</w:t>
            </w:r>
          </w:p>
        </w:tc>
        <w:tc>
          <w:tcPr>
            <w:tcW w:w="1146" w:type="dxa"/>
          </w:tcPr>
          <w:p w14:paraId="5C63D233" w14:textId="77777777" w:rsidR="001F04FD" w:rsidRPr="004429E3" w:rsidRDefault="001F04FD" w:rsidP="00AC4DEE">
            <w:pPr>
              <w:spacing w:after="60"/>
              <w:rPr>
                <w:iCs/>
                <w:sz w:val="20"/>
              </w:rPr>
            </w:pPr>
            <w:r w:rsidRPr="004429E3">
              <w:rPr>
                <w:iCs/>
                <w:sz w:val="20"/>
              </w:rPr>
              <w:t>none</w:t>
            </w:r>
          </w:p>
        </w:tc>
        <w:tc>
          <w:tcPr>
            <w:tcW w:w="6078" w:type="dxa"/>
          </w:tcPr>
          <w:p w14:paraId="7C83CC1C" w14:textId="77777777" w:rsidR="001F04FD" w:rsidRPr="004429E3" w:rsidRDefault="001F04FD" w:rsidP="00AC4DEE">
            <w:pPr>
              <w:spacing w:after="60"/>
              <w:rPr>
                <w:i/>
                <w:iCs/>
                <w:sz w:val="20"/>
              </w:rPr>
            </w:pPr>
            <w:r w:rsidRPr="004429E3">
              <w:rPr>
                <w:iCs/>
                <w:sz w:val="20"/>
              </w:rPr>
              <w:t>A QSE.</w:t>
            </w:r>
          </w:p>
        </w:tc>
      </w:tr>
      <w:tr w:rsidR="001F04FD" w:rsidRPr="004429E3" w14:paraId="1C5E8D6D" w14:textId="77777777" w:rsidTr="009B7C62">
        <w:tc>
          <w:tcPr>
            <w:tcW w:w="2581" w:type="dxa"/>
          </w:tcPr>
          <w:p w14:paraId="421CF336" w14:textId="77777777" w:rsidR="001F04FD" w:rsidRPr="004429E3" w:rsidRDefault="001F04FD" w:rsidP="00AC4DEE">
            <w:pPr>
              <w:spacing w:after="60"/>
              <w:rPr>
                <w:i/>
                <w:iCs/>
                <w:sz w:val="20"/>
              </w:rPr>
            </w:pPr>
            <w:r w:rsidRPr="004429E3">
              <w:rPr>
                <w:i/>
                <w:iCs/>
                <w:sz w:val="20"/>
              </w:rPr>
              <w:t>p</w:t>
            </w:r>
          </w:p>
        </w:tc>
        <w:tc>
          <w:tcPr>
            <w:tcW w:w="1146" w:type="dxa"/>
          </w:tcPr>
          <w:p w14:paraId="6BAB3F92" w14:textId="77777777" w:rsidR="001F04FD" w:rsidRPr="004429E3" w:rsidRDefault="001F04FD" w:rsidP="00AC4DEE">
            <w:pPr>
              <w:spacing w:after="60"/>
              <w:rPr>
                <w:iCs/>
                <w:sz w:val="20"/>
              </w:rPr>
            </w:pPr>
            <w:r w:rsidRPr="004429E3">
              <w:rPr>
                <w:iCs/>
                <w:sz w:val="20"/>
              </w:rPr>
              <w:t>none</w:t>
            </w:r>
          </w:p>
        </w:tc>
        <w:tc>
          <w:tcPr>
            <w:tcW w:w="6078" w:type="dxa"/>
          </w:tcPr>
          <w:p w14:paraId="23B2C5E4" w14:textId="77777777" w:rsidR="001F04FD" w:rsidRPr="004429E3" w:rsidRDefault="001F04FD" w:rsidP="00AC4DEE">
            <w:pPr>
              <w:spacing w:after="60"/>
              <w:rPr>
                <w:i/>
                <w:iCs/>
                <w:sz w:val="20"/>
              </w:rPr>
            </w:pPr>
            <w:r w:rsidRPr="004429E3">
              <w:rPr>
                <w:iCs/>
                <w:sz w:val="20"/>
              </w:rPr>
              <w:t>A Load Zone Settlement Point.</w:t>
            </w:r>
          </w:p>
        </w:tc>
      </w:tr>
    </w:tbl>
    <w:p w14:paraId="72646104" w14:textId="77777777" w:rsidR="001F04FD" w:rsidRPr="004429E3" w:rsidRDefault="001F04FD" w:rsidP="001F04FD">
      <w:pPr>
        <w:pStyle w:val="List"/>
        <w:spacing w:before="240"/>
      </w:pPr>
      <w:r>
        <w:t>(b)</w:t>
      </w:r>
      <w:r>
        <w:tab/>
      </w:r>
      <w:r w:rsidRPr="004429E3">
        <w:t>The total of the payments to each QSE for all energy delivered to ERCOT Loads through BLT Points for the 15-minute Settlement Interval is calculated as follows:</w:t>
      </w:r>
    </w:p>
    <w:p w14:paraId="0FEACF2A" w14:textId="0F194321" w:rsidR="001F04FD" w:rsidRDefault="001F04FD" w:rsidP="001F04FD">
      <w:pPr>
        <w:tabs>
          <w:tab w:val="left" w:pos="1440"/>
          <w:tab w:val="left" w:pos="3150"/>
          <w:tab w:val="left" w:pos="3960"/>
        </w:tabs>
        <w:spacing w:after="240"/>
        <w:ind w:left="3960" w:hanging="3240"/>
        <w:rPr>
          <w:position w:val="-30"/>
        </w:rPr>
      </w:pPr>
      <w:r>
        <w:rPr>
          <w:b/>
          <w:bCs/>
        </w:rPr>
        <w:tab/>
        <w:t>M</w:t>
      </w:r>
      <w:r w:rsidRPr="004429E3">
        <w:rPr>
          <w:b/>
          <w:bCs/>
        </w:rPr>
        <w:t xml:space="preserve">BLTAMTQSETOT </w:t>
      </w:r>
      <w:r w:rsidRPr="004429E3">
        <w:rPr>
          <w:b/>
          <w:bCs/>
          <w:i/>
          <w:vertAlign w:val="subscript"/>
        </w:rPr>
        <w:t>q</w:t>
      </w:r>
      <w:r w:rsidRPr="004429E3">
        <w:rPr>
          <w:b/>
          <w:bCs/>
        </w:rPr>
        <w:tab/>
        <w:t>=</w:t>
      </w:r>
      <w:r w:rsidRPr="004429E3">
        <w:rPr>
          <w:b/>
          <w:bCs/>
        </w:rPr>
        <w:tab/>
      </w:r>
      <w:r w:rsidR="00A94020">
        <w:rPr>
          <w:b/>
          <w:noProof/>
          <w:position w:val="-22"/>
        </w:rPr>
        <w:drawing>
          <wp:inline distT="0" distB="0" distL="0" distR="0" wp14:anchorId="0B2F7622" wp14:editId="0D18E516">
            <wp:extent cx="142875" cy="295275"/>
            <wp:effectExtent l="0" t="0" r="9525" b="9525"/>
            <wp:docPr id="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6E71D6">
        <w:rPr>
          <w:b/>
          <w:bCs/>
        </w:rPr>
        <w:t xml:space="preserve"> </w:t>
      </w:r>
      <w:r>
        <w:rPr>
          <w:b/>
          <w:bCs/>
        </w:rPr>
        <w:t>M</w:t>
      </w:r>
      <w:r w:rsidRPr="004429E3">
        <w:rPr>
          <w:b/>
          <w:bCs/>
        </w:rPr>
        <w:t xml:space="preserve">BLTAMT </w:t>
      </w:r>
      <w:r w:rsidRPr="004429E3">
        <w:rPr>
          <w:b/>
          <w:bCs/>
          <w:i/>
          <w:vertAlign w:val="subscript"/>
        </w:rPr>
        <w:t>q, p</w:t>
      </w:r>
      <w:r>
        <w:t> </w:t>
      </w:r>
      <w:r w:rsidRPr="00B913FA" w:rsidDel="00665566">
        <w:rPr>
          <w:position w:val="-30"/>
        </w:rPr>
        <w:t xml:space="preserve"> </w:t>
      </w:r>
    </w:p>
    <w:p w14:paraId="3E1A49B6" w14:textId="77777777" w:rsidR="001F04FD" w:rsidRPr="004429E3" w:rsidRDefault="001F04FD" w:rsidP="001F04FD">
      <w:pPr>
        <w:tabs>
          <w:tab w:val="left" w:pos="2250"/>
          <w:tab w:val="left" w:pos="3150"/>
          <w:tab w:val="left" w:pos="3960"/>
        </w:tabs>
      </w:pPr>
      <w:r w:rsidRPr="004429E3">
        <w:t>The above variables are defined as follows:</w:t>
      </w:r>
    </w:p>
    <w:tbl>
      <w:tblPr>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0"/>
        <w:gridCol w:w="606"/>
        <w:gridCol w:w="6908"/>
      </w:tblGrid>
      <w:tr w:rsidR="001F04FD" w:rsidRPr="004429E3" w14:paraId="5C46C342" w14:textId="77777777" w:rsidTr="002401F7">
        <w:tc>
          <w:tcPr>
            <w:tcW w:w="1168" w:type="pct"/>
          </w:tcPr>
          <w:p w14:paraId="118AA196" w14:textId="77777777" w:rsidR="001F04FD" w:rsidRPr="004429E3" w:rsidRDefault="001F04FD" w:rsidP="00AC4DEE">
            <w:pPr>
              <w:spacing w:after="120"/>
              <w:rPr>
                <w:b/>
                <w:iCs/>
                <w:sz w:val="20"/>
              </w:rPr>
            </w:pPr>
            <w:r w:rsidRPr="004429E3">
              <w:rPr>
                <w:b/>
                <w:iCs/>
                <w:sz w:val="20"/>
              </w:rPr>
              <w:t>Variable</w:t>
            </w:r>
          </w:p>
        </w:tc>
        <w:tc>
          <w:tcPr>
            <w:tcW w:w="309" w:type="pct"/>
          </w:tcPr>
          <w:p w14:paraId="0E65C280" w14:textId="77777777" w:rsidR="001F04FD" w:rsidRPr="004429E3" w:rsidRDefault="001F04FD" w:rsidP="00AC4DEE">
            <w:pPr>
              <w:spacing w:after="120"/>
              <w:rPr>
                <w:b/>
                <w:iCs/>
                <w:sz w:val="20"/>
              </w:rPr>
            </w:pPr>
            <w:r w:rsidRPr="004429E3">
              <w:rPr>
                <w:b/>
                <w:iCs/>
                <w:sz w:val="20"/>
              </w:rPr>
              <w:t>Unit</w:t>
            </w:r>
          </w:p>
        </w:tc>
        <w:tc>
          <w:tcPr>
            <w:tcW w:w="3523" w:type="pct"/>
          </w:tcPr>
          <w:p w14:paraId="70E35528" w14:textId="77777777" w:rsidR="001F04FD" w:rsidRPr="004429E3" w:rsidRDefault="001F04FD" w:rsidP="00AC4DEE">
            <w:pPr>
              <w:spacing w:after="120"/>
              <w:rPr>
                <w:b/>
                <w:iCs/>
                <w:sz w:val="20"/>
              </w:rPr>
            </w:pPr>
            <w:r w:rsidRPr="004429E3">
              <w:rPr>
                <w:b/>
                <w:iCs/>
                <w:sz w:val="20"/>
              </w:rPr>
              <w:t>Definition</w:t>
            </w:r>
          </w:p>
        </w:tc>
      </w:tr>
      <w:tr w:rsidR="001F04FD" w:rsidRPr="004429E3" w14:paraId="1C423B2B" w14:textId="77777777" w:rsidTr="002401F7">
        <w:tc>
          <w:tcPr>
            <w:tcW w:w="1168" w:type="pct"/>
          </w:tcPr>
          <w:p w14:paraId="21BDB231" w14:textId="77777777" w:rsidR="001F04FD" w:rsidRPr="004429E3" w:rsidRDefault="001F04FD" w:rsidP="00AC4DEE">
            <w:pPr>
              <w:spacing w:after="60"/>
              <w:rPr>
                <w:iCs/>
                <w:sz w:val="20"/>
              </w:rPr>
            </w:pPr>
            <w:r>
              <w:rPr>
                <w:iCs/>
                <w:sz w:val="20"/>
              </w:rPr>
              <w:t>M</w:t>
            </w:r>
            <w:r w:rsidRPr="004429E3">
              <w:rPr>
                <w:iCs/>
                <w:sz w:val="20"/>
              </w:rPr>
              <w:t xml:space="preserve">BLTAMTQSETOT </w:t>
            </w:r>
            <w:r w:rsidRPr="004429E3">
              <w:rPr>
                <w:i/>
                <w:iCs/>
                <w:sz w:val="20"/>
                <w:vertAlign w:val="subscript"/>
              </w:rPr>
              <w:t>q</w:t>
            </w:r>
          </w:p>
        </w:tc>
        <w:tc>
          <w:tcPr>
            <w:tcW w:w="309" w:type="pct"/>
          </w:tcPr>
          <w:p w14:paraId="0569B4E8" w14:textId="77777777" w:rsidR="001F04FD" w:rsidRPr="004429E3" w:rsidRDefault="001F04FD" w:rsidP="00AC4DEE">
            <w:pPr>
              <w:spacing w:after="60"/>
              <w:rPr>
                <w:iCs/>
                <w:sz w:val="20"/>
              </w:rPr>
            </w:pPr>
            <w:r w:rsidRPr="004429E3">
              <w:rPr>
                <w:iCs/>
                <w:sz w:val="20"/>
              </w:rPr>
              <w:t>$</w:t>
            </w:r>
          </w:p>
        </w:tc>
        <w:tc>
          <w:tcPr>
            <w:tcW w:w="3523" w:type="pct"/>
          </w:tcPr>
          <w:p w14:paraId="434DD71D" w14:textId="77777777" w:rsidR="001F04FD" w:rsidRPr="004429E3" w:rsidRDefault="001F04FD" w:rsidP="00AC4DEE">
            <w:pPr>
              <w:spacing w:after="60"/>
              <w:rPr>
                <w:iCs/>
                <w:sz w:val="20"/>
              </w:rPr>
            </w:pPr>
            <w:r>
              <w:rPr>
                <w:i/>
                <w:iCs/>
                <w:sz w:val="20"/>
              </w:rPr>
              <w:t xml:space="preserve">Monthly </w:t>
            </w:r>
            <w:r w:rsidRPr="004429E3">
              <w:rPr>
                <w:i/>
                <w:iCs/>
                <w:sz w:val="20"/>
              </w:rPr>
              <w:t>Block Load Transfer Amount QSE Total per QSE</w:t>
            </w:r>
            <w:r w:rsidRPr="004429E3">
              <w:rPr>
                <w:iCs/>
                <w:sz w:val="20"/>
              </w:rPr>
              <w:sym w:font="Symbol" w:char="F0BE"/>
            </w:r>
            <w:r w:rsidRPr="004429E3">
              <w:rPr>
                <w:iCs/>
                <w:sz w:val="20"/>
              </w:rPr>
              <w:t xml:space="preserve">The total of the payments to QSE </w:t>
            </w:r>
            <w:r w:rsidRPr="004429E3">
              <w:rPr>
                <w:i/>
                <w:iCs/>
                <w:sz w:val="20"/>
              </w:rPr>
              <w:t>q</w:t>
            </w:r>
            <w:r w:rsidRPr="004429E3">
              <w:rPr>
                <w:iCs/>
                <w:sz w:val="20"/>
              </w:rPr>
              <w:t xml:space="preserve"> for energy delivered into the ERCOT System for the </w:t>
            </w:r>
            <w:r>
              <w:rPr>
                <w:iCs/>
                <w:sz w:val="20"/>
              </w:rPr>
              <w:t>month</w:t>
            </w:r>
            <w:r w:rsidRPr="004429E3">
              <w:rPr>
                <w:iCs/>
                <w:sz w:val="20"/>
              </w:rPr>
              <w:t>.</w:t>
            </w:r>
          </w:p>
        </w:tc>
      </w:tr>
      <w:tr w:rsidR="001F04FD" w:rsidRPr="004429E3" w14:paraId="70EAAB67" w14:textId="77777777" w:rsidTr="002401F7">
        <w:tc>
          <w:tcPr>
            <w:tcW w:w="1168" w:type="pct"/>
          </w:tcPr>
          <w:p w14:paraId="33E4ACF9" w14:textId="619F5981" w:rsidR="001F04FD" w:rsidRPr="004429E3" w:rsidRDefault="001F04FD" w:rsidP="0065571F">
            <w:pPr>
              <w:spacing w:after="60"/>
              <w:rPr>
                <w:iCs/>
                <w:sz w:val="20"/>
              </w:rPr>
            </w:pPr>
            <w:r>
              <w:rPr>
                <w:iCs/>
                <w:sz w:val="20"/>
              </w:rPr>
              <w:t>M</w:t>
            </w:r>
            <w:r w:rsidRPr="004429E3">
              <w:rPr>
                <w:iCs/>
                <w:sz w:val="20"/>
              </w:rPr>
              <w:t xml:space="preserve">BLTAMT </w:t>
            </w:r>
            <w:r w:rsidRPr="004429E3">
              <w:rPr>
                <w:i/>
                <w:iCs/>
                <w:sz w:val="20"/>
                <w:vertAlign w:val="subscript"/>
              </w:rPr>
              <w:t>q, p</w:t>
            </w:r>
          </w:p>
        </w:tc>
        <w:tc>
          <w:tcPr>
            <w:tcW w:w="309" w:type="pct"/>
          </w:tcPr>
          <w:p w14:paraId="66CCA9D1" w14:textId="77777777" w:rsidR="001F04FD" w:rsidRPr="004429E3" w:rsidRDefault="001F04FD" w:rsidP="00AC4DEE">
            <w:pPr>
              <w:spacing w:after="60"/>
              <w:rPr>
                <w:iCs/>
                <w:sz w:val="20"/>
              </w:rPr>
            </w:pPr>
            <w:r w:rsidRPr="004429E3">
              <w:rPr>
                <w:iCs/>
                <w:sz w:val="20"/>
              </w:rPr>
              <w:t>$</w:t>
            </w:r>
          </w:p>
        </w:tc>
        <w:tc>
          <w:tcPr>
            <w:tcW w:w="3523" w:type="pct"/>
          </w:tcPr>
          <w:p w14:paraId="549B9D34" w14:textId="77777777" w:rsidR="001F04FD" w:rsidRPr="004429E3" w:rsidRDefault="001F04FD" w:rsidP="00AC4DEE">
            <w:pPr>
              <w:spacing w:after="60"/>
              <w:rPr>
                <w:iCs/>
                <w:sz w:val="20"/>
              </w:rPr>
            </w:pPr>
            <w:r>
              <w:rPr>
                <w:i/>
                <w:iCs/>
                <w:sz w:val="20"/>
              </w:rPr>
              <w:t xml:space="preserve">Monthly </w:t>
            </w:r>
            <w:r w:rsidRPr="004429E3">
              <w:rPr>
                <w:i/>
                <w:iCs/>
                <w:sz w:val="20"/>
              </w:rPr>
              <w:t>Block Load Transfer Amount per QSE per Settlement Point</w:t>
            </w:r>
            <w:r w:rsidRPr="004429E3">
              <w:rPr>
                <w:iCs/>
                <w:sz w:val="20"/>
              </w:rPr>
              <w:sym w:font="Symbol" w:char="F0BE"/>
            </w:r>
            <w:r w:rsidRPr="004429E3">
              <w:rPr>
                <w:iCs/>
                <w:sz w:val="20"/>
              </w:rPr>
              <w:t xml:space="preserve">The payment to QSE </w:t>
            </w:r>
            <w:r w:rsidRPr="004429E3">
              <w:rPr>
                <w:i/>
                <w:iCs/>
                <w:sz w:val="20"/>
              </w:rPr>
              <w:t>q</w:t>
            </w:r>
            <w:r w:rsidRPr="004429E3">
              <w:rPr>
                <w:iCs/>
                <w:sz w:val="20"/>
              </w:rPr>
              <w:t xml:space="preserve"> for the deliver</w:t>
            </w:r>
            <w:r>
              <w:rPr>
                <w:iCs/>
                <w:sz w:val="20"/>
              </w:rPr>
              <w:t>ed</w:t>
            </w:r>
            <w:r w:rsidRPr="004429E3">
              <w:rPr>
                <w:iCs/>
                <w:sz w:val="20"/>
              </w:rPr>
              <w:t xml:space="preserve"> energy to Load Zone </w:t>
            </w:r>
            <w:r w:rsidRPr="004429E3">
              <w:rPr>
                <w:i/>
                <w:iCs/>
                <w:sz w:val="20"/>
              </w:rPr>
              <w:t>p</w:t>
            </w:r>
            <w:r w:rsidRPr="004429E3">
              <w:rPr>
                <w:iCs/>
                <w:sz w:val="20"/>
              </w:rPr>
              <w:t xml:space="preserve"> for the </w:t>
            </w:r>
            <w:r>
              <w:rPr>
                <w:iCs/>
                <w:sz w:val="20"/>
              </w:rPr>
              <w:t>month</w:t>
            </w:r>
            <w:r w:rsidRPr="004429E3">
              <w:rPr>
                <w:iCs/>
                <w:sz w:val="20"/>
              </w:rPr>
              <w:t>.</w:t>
            </w:r>
          </w:p>
        </w:tc>
      </w:tr>
      <w:tr w:rsidR="001F04FD" w:rsidRPr="004429E3" w14:paraId="798196AF" w14:textId="77777777" w:rsidTr="002401F7">
        <w:tc>
          <w:tcPr>
            <w:tcW w:w="1168" w:type="pct"/>
            <w:tcBorders>
              <w:top w:val="single" w:sz="4" w:space="0" w:color="auto"/>
              <w:left w:val="single" w:sz="4" w:space="0" w:color="auto"/>
              <w:bottom w:val="single" w:sz="4" w:space="0" w:color="auto"/>
              <w:right w:val="single" w:sz="4" w:space="0" w:color="auto"/>
            </w:tcBorders>
          </w:tcPr>
          <w:p w14:paraId="75BE949D" w14:textId="77777777" w:rsidR="001F04FD" w:rsidRPr="004429E3" w:rsidRDefault="001F04FD" w:rsidP="00AC4DEE">
            <w:pPr>
              <w:spacing w:after="60"/>
              <w:rPr>
                <w:i/>
                <w:iCs/>
                <w:sz w:val="20"/>
              </w:rPr>
            </w:pPr>
            <w:r w:rsidRPr="004429E3">
              <w:rPr>
                <w:i/>
                <w:iCs/>
                <w:sz w:val="20"/>
              </w:rPr>
              <w:t>q</w:t>
            </w:r>
          </w:p>
        </w:tc>
        <w:tc>
          <w:tcPr>
            <w:tcW w:w="309" w:type="pct"/>
            <w:tcBorders>
              <w:top w:val="single" w:sz="4" w:space="0" w:color="auto"/>
              <w:left w:val="single" w:sz="4" w:space="0" w:color="auto"/>
              <w:bottom w:val="single" w:sz="4" w:space="0" w:color="auto"/>
              <w:right w:val="single" w:sz="4" w:space="0" w:color="auto"/>
            </w:tcBorders>
          </w:tcPr>
          <w:p w14:paraId="2B58312A" w14:textId="77777777" w:rsidR="001F04FD" w:rsidRPr="004429E3" w:rsidRDefault="001F04FD" w:rsidP="00AC4DEE">
            <w:pPr>
              <w:spacing w:after="60"/>
              <w:rPr>
                <w:iCs/>
                <w:sz w:val="20"/>
              </w:rPr>
            </w:pPr>
            <w:r w:rsidRPr="004429E3">
              <w:rPr>
                <w:iCs/>
                <w:sz w:val="20"/>
              </w:rPr>
              <w:t>none</w:t>
            </w:r>
          </w:p>
        </w:tc>
        <w:tc>
          <w:tcPr>
            <w:tcW w:w="3523" w:type="pct"/>
            <w:tcBorders>
              <w:top w:val="single" w:sz="4" w:space="0" w:color="auto"/>
              <w:left w:val="single" w:sz="4" w:space="0" w:color="auto"/>
              <w:bottom w:val="single" w:sz="4" w:space="0" w:color="auto"/>
              <w:right w:val="single" w:sz="4" w:space="0" w:color="auto"/>
            </w:tcBorders>
          </w:tcPr>
          <w:p w14:paraId="7162E1E9" w14:textId="77777777" w:rsidR="001F04FD" w:rsidRPr="004429E3" w:rsidRDefault="001F04FD" w:rsidP="00AC4DEE">
            <w:pPr>
              <w:spacing w:after="60"/>
              <w:rPr>
                <w:iCs/>
                <w:sz w:val="20"/>
              </w:rPr>
            </w:pPr>
            <w:r w:rsidRPr="004429E3">
              <w:rPr>
                <w:iCs/>
                <w:sz w:val="20"/>
              </w:rPr>
              <w:t>A QSE.</w:t>
            </w:r>
          </w:p>
        </w:tc>
      </w:tr>
      <w:tr w:rsidR="001F04FD" w:rsidRPr="004429E3" w14:paraId="4457E886" w14:textId="77777777" w:rsidTr="002401F7">
        <w:tc>
          <w:tcPr>
            <w:tcW w:w="1168" w:type="pct"/>
            <w:tcBorders>
              <w:top w:val="single" w:sz="4" w:space="0" w:color="auto"/>
              <w:left w:val="single" w:sz="4" w:space="0" w:color="auto"/>
              <w:bottom w:val="single" w:sz="4" w:space="0" w:color="auto"/>
              <w:right w:val="single" w:sz="4" w:space="0" w:color="auto"/>
            </w:tcBorders>
          </w:tcPr>
          <w:p w14:paraId="7B7EBF44" w14:textId="77777777" w:rsidR="001F04FD" w:rsidRPr="004429E3" w:rsidRDefault="001F04FD" w:rsidP="00AC4DEE">
            <w:pPr>
              <w:spacing w:after="60"/>
              <w:rPr>
                <w:i/>
                <w:iCs/>
                <w:sz w:val="20"/>
              </w:rPr>
            </w:pPr>
            <w:r w:rsidRPr="004429E3">
              <w:rPr>
                <w:i/>
                <w:iCs/>
                <w:sz w:val="20"/>
              </w:rPr>
              <w:t>p</w:t>
            </w:r>
          </w:p>
        </w:tc>
        <w:tc>
          <w:tcPr>
            <w:tcW w:w="309" w:type="pct"/>
            <w:tcBorders>
              <w:top w:val="single" w:sz="4" w:space="0" w:color="auto"/>
              <w:left w:val="single" w:sz="4" w:space="0" w:color="auto"/>
              <w:bottom w:val="single" w:sz="4" w:space="0" w:color="auto"/>
              <w:right w:val="single" w:sz="4" w:space="0" w:color="auto"/>
            </w:tcBorders>
          </w:tcPr>
          <w:p w14:paraId="487C921B" w14:textId="77777777" w:rsidR="001F04FD" w:rsidRPr="004429E3" w:rsidRDefault="001F04FD" w:rsidP="00AC4DEE">
            <w:pPr>
              <w:spacing w:after="60"/>
              <w:rPr>
                <w:iCs/>
                <w:sz w:val="20"/>
              </w:rPr>
            </w:pPr>
            <w:r w:rsidRPr="004429E3">
              <w:rPr>
                <w:iCs/>
                <w:sz w:val="20"/>
              </w:rPr>
              <w:t>none</w:t>
            </w:r>
          </w:p>
        </w:tc>
        <w:tc>
          <w:tcPr>
            <w:tcW w:w="3523" w:type="pct"/>
            <w:tcBorders>
              <w:top w:val="single" w:sz="4" w:space="0" w:color="auto"/>
              <w:left w:val="single" w:sz="4" w:space="0" w:color="auto"/>
              <w:bottom w:val="single" w:sz="4" w:space="0" w:color="auto"/>
              <w:right w:val="single" w:sz="4" w:space="0" w:color="auto"/>
            </w:tcBorders>
          </w:tcPr>
          <w:p w14:paraId="6DFE0021" w14:textId="77777777" w:rsidR="001F04FD" w:rsidRPr="004429E3" w:rsidRDefault="001F04FD" w:rsidP="00AC4DEE">
            <w:pPr>
              <w:spacing w:after="60"/>
              <w:rPr>
                <w:iCs/>
                <w:sz w:val="20"/>
              </w:rPr>
            </w:pPr>
            <w:r w:rsidRPr="004429E3">
              <w:rPr>
                <w:iCs/>
                <w:sz w:val="20"/>
              </w:rPr>
              <w:t>A Load Zone Settlement Point.</w:t>
            </w:r>
          </w:p>
        </w:tc>
      </w:tr>
    </w:tbl>
    <w:p w14:paraId="7B80444D" w14:textId="77777777" w:rsidR="001F04FD" w:rsidRDefault="001F04FD" w:rsidP="001F04FD">
      <w:pPr>
        <w:pStyle w:val="List"/>
        <w:spacing w:before="240"/>
      </w:pPr>
      <w:r>
        <w:t>(c)</w:t>
      </w:r>
      <w:r>
        <w:tab/>
        <w:t>ERCOT shall calculate each QSE’s monthly BLT charge as follows:</w:t>
      </w:r>
    </w:p>
    <w:p w14:paraId="02C94632" w14:textId="77777777" w:rsidR="001F04FD" w:rsidRDefault="001F04FD" w:rsidP="001F04FD">
      <w:pPr>
        <w:pStyle w:val="FormulaBold"/>
        <w:ind w:left="1440" w:hanging="720"/>
      </w:pPr>
      <w:r>
        <w:rPr>
          <w:lang w:val="pt-BR"/>
        </w:rPr>
        <w:tab/>
      </w:r>
      <w:r w:rsidRPr="00B913FA">
        <w:rPr>
          <w:lang w:val="pt-BR"/>
        </w:rPr>
        <w:t>LA</w:t>
      </w:r>
      <w:r>
        <w:rPr>
          <w:lang w:val="pt-BR"/>
        </w:rPr>
        <w:t>MBLT</w:t>
      </w:r>
      <w:r w:rsidRPr="00B913FA">
        <w:rPr>
          <w:lang w:val="pt-BR"/>
        </w:rPr>
        <w:t xml:space="preserve">AMT </w:t>
      </w:r>
      <w:r w:rsidRPr="00B913FA">
        <w:rPr>
          <w:i/>
          <w:vertAlign w:val="subscript"/>
          <w:lang w:val="pt-BR"/>
        </w:rPr>
        <w:t>q</w:t>
      </w:r>
      <w:r>
        <w:t xml:space="preserve"> = </w:t>
      </w:r>
      <w:r w:rsidRPr="00DD5850">
        <w:t xml:space="preserve">(-1) * </w:t>
      </w:r>
      <w:r>
        <w:t xml:space="preserve">MLRS </w:t>
      </w:r>
      <w:r>
        <w:rPr>
          <w:i/>
          <w:vertAlign w:val="subscript"/>
        </w:rPr>
        <w:t>q</w:t>
      </w:r>
      <w:r w:rsidRPr="00B913FA">
        <w:rPr>
          <w:vertAlign w:val="subscript"/>
        </w:rPr>
        <w:t xml:space="preserve"> </w:t>
      </w:r>
      <w:r>
        <w:t>* MBLTAMTTOT</w:t>
      </w:r>
    </w:p>
    <w:p w14:paraId="7E96A854" w14:textId="77777777" w:rsidR="001F04FD" w:rsidRPr="00AA7695" w:rsidRDefault="001F04FD" w:rsidP="001F04FD">
      <w:pPr>
        <w:pStyle w:val="FormulaBold"/>
        <w:ind w:left="1440" w:hanging="720"/>
      </w:pPr>
      <w:r>
        <w:tab/>
      </w:r>
      <w:r w:rsidRPr="00AA7695">
        <w:t>MBLTAMTTOT</w:t>
      </w:r>
      <w:r w:rsidRPr="00AA7695">
        <w:rPr>
          <w:rFonts w:ascii="Times New Roman Bold" w:hAnsi="Times New Roman Bold"/>
        </w:rPr>
        <w:t xml:space="preserve"> = </w:t>
      </w:r>
      <w:r w:rsidRPr="00AA7695">
        <w:rPr>
          <w:position w:val="-22"/>
        </w:rPr>
        <w:object w:dxaOrig="180" w:dyaOrig="465" w14:anchorId="36D3ABDA">
          <v:shape id="_x0000_i1161" type="#_x0000_t75" style="width:5.4pt;height:18pt" o:ole="">
            <v:imagedata r:id="rId181" o:title=""/>
          </v:shape>
          <o:OLEObject Type="Embed" ProgID="Equation.3" ShapeID="_x0000_i1161" DrawAspect="Content" ObjectID="_1815025351" r:id="rId182"/>
        </w:object>
      </w:r>
      <w:r w:rsidRPr="00AA7695">
        <w:rPr>
          <w:position w:val="-22"/>
        </w:rPr>
        <w:t xml:space="preserve"> </w:t>
      </w:r>
      <w:r w:rsidRPr="00AA7695">
        <w:t>MBLTAMTQSETOT</w:t>
      </w:r>
      <w:r w:rsidRPr="00AA7695">
        <w:rPr>
          <w:i/>
          <w:vertAlign w:val="subscript"/>
        </w:rPr>
        <w:t xml:space="preserve"> q</w:t>
      </w:r>
      <w:r w:rsidRPr="00AA7695">
        <w:t xml:space="preserve"> </w:t>
      </w:r>
    </w:p>
    <w:p w14:paraId="74C4993F" w14:textId="77777777" w:rsidR="001F04FD" w:rsidRPr="00AA7695" w:rsidRDefault="001F04FD" w:rsidP="00154FF3">
      <w:pPr>
        <w:tabs>
          <w:tab w:val="left" w:pos="2250"/>
          <w:tab w:val="left" w:pos="3150"/>
          <w:tab w:val="left" w:pos="3960"/>
        </w:tabs>
      </w:pPr>
      <w:r w:rsidRPr="00AA7695">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5"/>
        <w:gridCol w:w="898"/>
        <w:gridCol w:w="6452"/>
      </w:tblGrid>
      <w:tr w:rsidR="001F04FD" w14:paraId="05EF6954" w14:textId="77777777" w:rsidTr="00154FF3">
        <w:tc>
          <w:tcPr>
            <w:tcW w:w="1252" w:type="pct"/>
          </w:tcPr>
          <w:p w14:paraId="35380B09" w14:textId="77777777" w:rsidR="001F04FD" w:rsidRDefault="001F04FD" w:rsidP="00AC4DEE">
            <w:pPr>
              <w:pStyle w:val="TableHead"/>
            </w:pPr>
            <w:r>
              <w:t>Variable</w:t>
            </w:r>
          </w:p>
        </w:tc>
        <w:tc>
          <w:tcPr>
            <w:tcW w:w="458" w:type="pct"/>
          </w:tcPr>
          <w:p w14:paraId="420C2991" w14:textId="77777777" w:rsidR="001F04FD" w:rsidRDefault="001F04FD" w:rsidP="00AC4DEE">
            <w:pPr>
              <w:pStyle w:val="TableHead"/>
            </w:pPr>
            <w:r>
              <w:t>Unit</w:t>
            </w:r>
          </w:p>
        </w:tc>
        <w:tc>
          <w:tcPr>
            <w:tcW w:w="3290" w:type="pct"/>
          </w:tcPr>
          <w:p w14:paraId="67A37C96" w14:textId="77777777" w:rsidR="001F04FD" w:rsidRDefault="001F04FD" w:rsidP="00AC4DEE">
            <w:pPr>
              <w:pStyle w:val="TableHead"/>
            </w:pPr>
            <w:r>
              <w:t>Description</w:t>
            </w:r>
          </w:p>
        </w:tc>
      </w:tr>
      <w:tr w:rsidR="001F04FD" w14:paraId="11091B60" w14:textId="77777777" w:rsidTr="00154FF3">
        <w:trPr>
          <w:cantSplit/>
          <w:trHeight w:val="692"/>
        </w:trPr>
        <w:tc>
          <w:tcPr>
            <w:tcW w:w="1252" w:type="pct"/>
          </w:tcPr>
          <w:p w14:paraId="4CA85F08" w14:textId="77777777" w:rsidR="001F04FD" w:rsidRDefault="001F04FD" w:rsidP="00AC4DEE">
            <w:pPr>
              <w:pStyle w:val="TableBody"/>
            </w:pPr>
            <w:r>
              <w:t xml:space="preserve">MLRS </w:t>
            </w:r>
            <w:r>
              <w:rPr>
                <w:i/>
                <w:vertAlign w:val="subscript"/>
              </w:rPr>
              <w:t>q</w:t>
            </w:r>
          </w:p>
        </w:tc>
        <w:tc>
          <w:tcPr>
            <w:tcW w:w="458" w:type="pct"/>
          </w:tcPr>
          <w:p w14:paraId="7252937D" w14:textId="77777777" w:rsidR="001F04FD" w:rsidRDefault="001F04FD" w:rsidP="00AC4DEE">
            <w:pPr>
              <w:pStyle w:val="TableBody"/>
            </w:pPr>
            <w:r>
              <w:t>none</w:t>
            </w:r>
          </w:p>
        </w:tc>
        <w:tc>
          <w:tcPr>
            <w:tcW w:w="3290" w:type="pct"/>
          </w:tcPr>
          <w:p w14:paraId="64F11D97" w14:textId="77777777" w:rsidR="001F04FD" w:rsidRDefault="001F04FD" w:rsidP="00AC4DEE">
            <w:pPr>
              <w:pStyle w:val="TableBody"/>
            </w:pPr>
            <w:r>
              <w:rPr>
                <w:i/>
              </w:rPr>
              <w:t>Monthly Load Ratio Share per QSE</w:t>
            </w:r>
            <w:r>
              <w:t xml:space="preserve">—The LRS calculated for QSE </w:t>
            </w:r>
            <w:r>
              <w:rPr>
                <w:i/>
              </w:rPr>
              <w:t>q</w:t>
            </w:r>
            <w:r>
              <w:t xml:space="preserve"> for the peak-Load 15-minute Settlement Interval in the month.  See Section 6.6.2.2, QSE Load Ratio Share for a 15-Minute Settlement Interval.</w:t>
            </w:r>
          </w:p>
        </w:tc>
      </w:tr>
      <w:tr w:rsidR="001F04FD" w:rsidDel="00F954FC" w14:paraId="56F6C99F" w14:textId="77777777" w:rsidTr="00154FF3">
        <w:trPr>
          <w:cantSplit/>
        </w:trPr>
        <w:tc>
          <w:tcPr>
            <w:tcW w:w="1252" w:type="pct"/>
          </w:tcPr>
          <w:p w14:paraId="256BEC79" w14:textId="77777777" w:rsidR="001F04FD" w:rsidDel="00F954FC" w:rsidRDefault="001F04FD" w:rsidP="00AC4DEE">
            <w:pPr>
              <w:pStyle w:val="TableBody"/>
            </w:pPr>
            <w:r>
              <w:rPr>
                <w:iCs w:val="0"/>
              </w:rPr>
              <w:t>M</w:t>
            </w:r>
            <w:r w:rsidRPr="004429E3">
              <w:rPr>
                <w:iCs w:val="0"/>
              </w:rPr>
              <w:t xml:space="preserve">BLTAMTQSETOT </w:t>
            </w:r>
            <w:r w:rsidRPr="004429E3">
              <w:rPr>
                <w:i/>
                <w:iCs w:val="0"/>
                <w:vertAlign w:val="subscript"/>
              </w:rPr>
              <w:t>q</w:t>
            </w:r>
          </w:p>
        </w:tc>
        <w:tc>
          <w:tcPr>
            <w:tcW w:w="458" w:type="pct"/>
          </w:tcPr>
          <w:p w14:paraId="385B9315" w14:textId="77777777" w:rsidR="001F04FD" w:rsidRDefault="001F04FD" w:rsidP="00AC4DEE">
            <w:pPr>
              <w:pStyle w:val="VariableDefinition"/>
              <w:spacing w:after="60"/>
              <w:ind w:left="0" w:firstLine="0"/>
              <w:rPr>
                <w:sz w:val="20"/>
              </w:rPr>
            </w:pPr>
            <w:r w:rsidRPr="004429E3">
              <w:rPr>
                <w:iCs w:val="0"/>
                <w:sz w:val="20"/>
              </w:rPr>
              <w:t>$</w:t>
            </w:r>
          </w:p>
        </w:tc>
        <w:tc>
          <w:tcPr>
            <w:tcW w:w="3290" w:type="pct"/>
          </w:tcPr>
          <w:p w14:paraId="2C265E27" w14:textId="77777777" w:rsidR="001F04FD" w:rsidDel="00F954FC" w:rsidRDefault="001F04FD" w:rsidP="00AC4DEE">
            <w:pPr>
              <w:pStyle w:val="VariableDefinition"/>
              <w:spacing w:after="60"/>
              <w:ind w:left="0" w:firstLine="0"/>
              <w:rPr>
                <w:sz w:val="20"/>
              </w:rPr>
            </w:pPr>
            <w:r>
              <w:rPr>
                <w:i/>
                <w:iCs w:val="0"/>
                <w:sz w:val="20"/>
              </w:rPr>
              <w:t xml:space="preserve">Monthly </w:t>
            </w:r>
            <w:r w:rsidRPr="004429E3">
              <w:rPr>
                <w:i/>
                <w:iCs w:val="0"/>
                <w:sz w:val="20"/>
              </w:rPr>
              <w:t>Block Load Transfer Amount QSE Total per QSE</w:t>
            </w:r>
            <w:r w:rsidRPr="004429E3">
              <w:rPr>
                <w:iCs w:val="0"/>
                <w:sz w:val="20"/>
              </w:rPr>
              <w:sym w:font="Symbol" w:char="F0BE"/>
            </w:r>
            <w:r w:rsidRPr="004429E3">
              <w:rPr>
                <w:iCs w:val="0"/>
                <w:sz w:val="20"/>
              </w:rPr>
              <w:t xml:space="preserve">The total of the payments to QSE </w:t>
            </w:r>
            <w:r w:rsidRPr="004429E3">
              <w:rPr>
                <w:i/>
                <w:iCs w:val="0"/>
                <w:sz w:val="20"/>
              </w:rPr>
              <w:t>q</w:t>
            </w:r>
            <w:r w:rsidRPr="004429E3">
              <w:rPr>
                <w:iCs w:val="0"/>
                <w:sz w:val="20"/>
              </w:rPr>
              <w:t xml:space="preserve"> for energy delivered into the ERCOT System for the </w:t>
            </w:r>
            <w:r>
              <w:rPr>
                <w:iCs w:val="0"/>
                <w:sz w:val="20"/>
              </w:rPr>
              <w:t>month</w:t>
            </w:r>
            <w:r w:rsidRPr="004429E3">
              <w:rPr>
                <w:iCs w:val="0"/>
                <w:sz w:val="20"/>
              </w:rPr>
              <w:t>.</w:t>
            </w:r>
          </w:p>
        </w:tc>
      </w:tr>
      <w:tr w:rsidR="001F04FD" w14:paraId="2961EF7C" w14:textId="77777777" w:rsidTr="00154FF3">
        <w:trPr>
          <w:cantSplit/>
        </w:trPr>
        <w:tc>
          <w:tcPr>
            <w:tcW w:w="1252" w:type="pct"/>
          </w:tcPr>
          <w:p w14:paraId="54A1AF3A" w14:textId="77777777" w:rsidR="001F04FD" w:rsidRDefault="001F04FD" w:rsidP="00AC4DEE">
            <w:pPr>
              <w:pStyle w:val="TableBody"/>
            </w:pPr>
            <w:r>
              <w:t xml:space="preserve">LAMBLTAMT </w:t>
            </w:r>
            <w:r w:rsidRPr="00426524">
              <w:rPr>
                <w:i/>
                <w:vertAlign w:val="subscript"/>
              </w:rPr>
              <w:t>q</w:t>
            </w:r>
          </w:p>
        </w:tc>
        <w:tc>
          <w:tcPr>
            <w:tcW w:w="458" w:type="pct"/>
          </w:tcPr>
          <w:p w14:paraId="59CC3570"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90" w:type="pct"/>
          </w:tcPr>
          <w:p w14:paraId="0A2ADCB6" w14:textId="77777777" w:rsidR="001F04FD" w:rsidRDefault="001F04FD" w:rsidP="00AC4DEE">
            <w:pPr>
              <w:pStyle w:val="VariableDefinition"/>
              <w:tabs>
                <w:tab w:val="clear" w:pos="2160"/>
                <w:tab w:val="left" w:pos="2880"/>
              </w:tabs>
              <w:spacing w:after="60"/>
              <w:ind w:left="0" w:firstLine="0"/>
              <w:rPr>
                <w:sz w:val="20"/>
              </w:rPr>
            </w:pPr>
            <w:r>
              <w:rPr>
                <w:i/>
                <w:sz w:val="20"/>
              </w:rPr>
              <w:t>Load-Allocated Monthly BLT</w:t>
            </w:r>
            <w:r w:rsidRPr="00DE1436">
              <w:rPr>
                <w:i/>
                <w:sz w:val="20"/>
              </w:rPr>
              <w:t xml:space="preserve"> Amount</w:t>
            </w:r>
            <w:r>
              <w:rPr>
                <w:sz w:val="20"/>
              </w:rPr>
              <w:t xml:space="preserve"> </w:t>
            </w:r>
            <w:r w:rsidRPr="00EB7831">
              <w:rPr>
                <w:i/>
                <w:sz w:val="20"/>
              </w:rPr>
              <w:t>per QSE</w:t>
            </w:r>
            <w:r>
              <w:t>—</w:t>
            </w:r>
            <w:r w:rsidRPr="000649BF">
              <w:rPr>
                <w:sz w:val="20"/>
              </w:rPr>
              <w:t>Monthly BLT</w:t>
            </w:r>
            <w:r>
              <w:rPr>
                <w:sz w:val="20"/>
              </w:rPr>
              <w:t xml:space="preserve"> charge for QSE</w:t>
            </w:r>
            <w:r>
              <w:rPr>
                <w:bCs/>
                <w:sz w:val="20"/>
              </w:rPr>
              <w:t xml:space="preserve"> </w:t>
            </w:r>
            <w:r w:rsidRPr="0037298F">
              <w:rPr>
                <w:bCs/>
                <w:i/>
                <w:sz w:val="20"/>
              </w:rPr>
              <w:t>q</w:t>
            </w:r>
            <w:r>
              <w:rPr>
                <w:sz w:val="20"/>
              </w:rPr>
              <w:t>.</w:t>
            </w:r>
          </w:p>
        </w:tc>
      </w:tr>
      <w:tr w:rsidR="001F04FD" w14:paraId="768FF47F" w14:textId="77777777" w:rsidTr="00154FF3">
        <w:trPr>
          <w:cantSplit/>
        </w:trPr>
        <w:tc>
          <w:tcPr>
            <w:tcW w:w="1252" w:type="pct"/>
          </w:tcPr>
          <w:p w14:paraId="2D2D38D2" w14:textId="77777777" w:rsidR="001F04FD" w:rsidRPr="003274F1" w:rsidRDefault="001F04FD" w:rsidP="00AC4DEE">
            <w:pPr>
              <w:pStyle w:val="TableBody"/>
            </w:pPr>
            <w:r>
              <w:lastRenderedPageBreak/>
              <w:t xml:space="preserve">MBLTAMTTOT </w:t>
            </w:r>
          </w:p>
        </w:tc>
        <w:tc>
          <w:tcPr>
            <w:tcW w:w="458" w:type="pct"/>
          </w:tcPr>
          <w:p w14:paraId="3AE9A2C9"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90" w:type="pct"/>
          </w:tcPr>
          <w:p w14:paraId="3016D256" w14:textId="77777777" w:rsidR="001F04FD" w:rsidRPr="00866D8D" w:rsidRDefault="001F04FD" w:rsidP="00AC4DEE">
            <w:pPr>
              <w:pStyle w:val="VariableDefinition"/>
              <w:tabs>
                <w:tab w:val="clear" w:pos="2160"/>
                <w:tab w:val="left" w:pos="2880"/>
              </w:tabs>
              <w:spacing w:after="60"/>
              <w:ind w:left="0" w:firstLine="0"/>
              <w:rPr>
                <w:sz w:val="20"/>
              </w:rPr>
            </w:pPr>
            <w:r>
              <w:rPr>
                <w:i/>
                <w:sz w:val="20"/>
              </w:rPr>
              <w:t>Monthly BLT</w:t>
            </w:r>
            <w:r w:rsidRPr="00715F17">
              <w:rPr>
                <w:i/>
                <w:sz w:val="20"/>
              </w:rPr>
              <w:t xml:space="preserve"> Amount</w:t>
            </w:r>
            <w:r w:rsidRPr="00DE1436">
              <w:rPr>
                <w:i/>
                <w:sz w:val="20"/>
              </w:rPr>
              <w:t xml:space="preserve"> </w:t>
            </w:r>
            <w:r>
              <w:rPr>
                <w:i/>
                <w:sz w:val="20"/>
              </w:rPr>
              <w:t>ERCOT wide</w:t>
            </w:r>
            <w:r w:rsidRPr="00DE1436">
              <w:rPr>
                <w:i/>
                <w:sz w:val="20"/>
              </w:rPr>
              <w:t xml:space="preserve"> Total</w:t>
            </w:r>
            <w:r>
              <w:t>—</w:t>
            </w:r>
            <w:r w:rsidRPr="00DE1436">
              <w:rPr>
                <w:sz w:val="20"/>
              </w:rPr>
              <w:t xml:space="preserve">The total </w:t>
            </w:r>
            <w:r>
              <w:rPr>
                <w:sz w:val="20"/>
              </w:rPr>
              <w:t>monthly BLT charge for all QSEs.</w:t>
            </w:r>
          </w:p>
        </w:tc>
      </w:tr>
      <w:tr w:rsidR="001F04FD" w14:paraId="349FBA1D" w14:textId="77777777" w:rsidTr="00154FF3">
        <w:trPr>
          <w:cantSplit/>
          <w:trHeight w:val="323"/>
        </w:trPr>
        <w:tc>
          <w:tcPr>
            <w:tcW w:w="1252" w:type="pct"/>
          </w:tcPr>
          <w:p w14:paraId="0BA3A261" w14:textId="77777777" w:rsidR="001F04FD" w:rsidRPr="009C7D50" w:rsidRDefault="001F04FD" w:rsidP="00AC4DEE">
            <w:pPr>
              <w:pStyle w:val="TableBody"/>
            </w:pPr>
            <w:r w:rsidRPr="009C7D50">
              <w:rPr>
                <w:i/>
              </w:rPr>
              <w:t>q</w:t>
            </w:r>
          </w:p>
        </w:tc>
        <w:tc>
          <w:tcPr>
            <w:tcW w:w="458" w:type="pct"/>
          </w:tcPr>
          <w:p w14:paraId="1F9908A1" w14:textId="77777777" w:rsidR="001F04FD" w:rsidRPr="009C7D50" w:rsidRDefault="001F04FD" w:rsidP="00AC4DEE">
            <w:pPr>
              <w:pStyle w:val="VariableDefinition"/>
              <w:tabs>
                <w:tab w:val="clear" w:pos="2160"/>
                <w:tab w:val="left" w:pos="2880"/>
              </w:tabs>
              <w:spacing w:after="60"/>
              <w:ind w:left="0" w:firstLine="0"/>
              <w:rPr>
                <w:sz w:val="20"/>
              </w:rPr>
            </w:pPr>
            <w:r w:rsidRPr="009C7D50">
              <w:rPr>
                <w:sz w:val="20"/>
              </w:rPr>
              <w:t>none</w:t>
            </w:r>
          </w:p>
        </w:tc>
        <w:tc>
          <w:tcPr>
            <w:tcW w:w="3290" w:type="pct"/>
          </w:tcPr>
          <w:p w14:paraId="4CECD477" w14:textId="77777777" w:rsidR="001F04FD" w:rsidRPr="009C7D50" w:rsidRDefault="001F04FD" w:rsidP="00AC4DEE">
            <w:pPr>
              <w:pStyle w:val="VariableDefinition"/>
              <w:tabs>
                <w:tab w:val="clear" w:pos="2160"/>
                <w:tab w:val="left" w:pos="2880"/>
              </w:tabs>
              <w:spacing w:after="60"/>
              <w:ind w:left="0" w:firstLine="0"/>
              <w:rPr>
                <w:i/>
                <w:sz w:val="20"/>
              </w:rPr>
            </w:pPr>
            <w:r w:rsidRPr="009C7D50">
              <w:rPr>
                <w:sz w:val="20"/>
              </w:rPr>
              <w:t>A QSE.</w:t>
            </w:r>
          </w:p>
        </w:tc>
      </w:tr>
    </w:tbl>
    <w:p w14:paraId="6076FF3D" w14:textId="77777777" w:rsidR="00154FF3" w:rsidRDefault="00154FF3"/>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45"/>
      </w:tblGrid>
      <w:tr w:rsidR="00154FF3" w14:paraId="3A00B29A" w14:textId="77777777" w:rsidTr="00154FF3">
        <w:trPr>
          <w:trHeight w:val="206"/>
        </w:trPr>
        <w:tc>
          <w:tcPr>
            <w:tcW w:w="5000" w:type="pct"/>
            <w:shd w:val="pct12" w:color="auto" w:fill="auto"/>
          </w:tcPr>
          <w:p w14:paraId="72A4EB4F" w14:textId="1196C33C" w:rsidR="00154FF3" w:rsidRDefault="00154FF3" w:rsidP="00663874">
            <w:pPr>
              <w:pStyle w:val="Instructions"/>
              <w:spacing w:before="120"/>
            </w:pPr>
            <w:bookmarkStart w:id="1940" w:name="_Toc397505018"/>
            <w:bookmarkStart w:id="1941" w:name="_Toc402357146"/>
            <w:bookmarkStart w:id="1942" w:name="_Toc422486524"/>
            <w:bookmarkStart w:id="1943" w:name="_Toc433093376"/>
            <w:bookmarkStart w:id="1944" w:name="_Toc433093534"/>
            <w:bookmarkStart w:id="1945" w:name="_Toc440874762"/>
            <w:bookmarkStart w:id="1946" w:name="_Toc448142317"/>
            <w:bookmarkStart w:id="1947" w:name="_Toc448142474"/>
            <w:bookmarkStart w:id="1948" w:name="_Toc458770315"/>
            <w:bookmarkStart w:id="1949" w:name="_Toc459294283"/>
            <w:bookmarkStart w:id="1950" w:name="_Toc463262776"/>
            <w:bookmarkStart w:id="1951" w:name="_Toc468286849"/>
            <w:bookmarkStart w:id="1952" w:name="_Toc481502892"/>
            <w:bookmarkStart w:id="1953" w:name="_Toc496080060"/>
            <w:r>
              <w:t>[NPRR1030:  Replace paragraph (c) above with the following upon system implementation:]</w:t>
            </w:r>
          </w:p>
          <w:p w14:paraId="684F4774" w14:textId="77777777" w:rsidR="00154FF3" w:rsidRDefault="00154FF3" w:rsidP="00154FF3">
            <w:pPr>
              <w:pStyle w:val="List"/>
              <w:spacing w:before="240"/>
            </w:pPr>
            <w:r>
              <w:t>(c)</w:t>
            </w:r>
            <w:r>
              <w:tab/>
              <w:t>ERCOT shall calculate each QSE’s monthly BLT charge as follows:</w:t>
            </w:r>
          </w:p>
          <w:p w14:paraId="447517EA" w14:textId="77777777" w:rsidR="00154FF3" w:rsidRPr="006132D1" w:rsidRDefault="00154FF3" w:rsidP="009F62BA">
            <w:pPr>
              <w:pStyle w:val="BodyText"/>
              <w:ind w:left="1440"/>
              <w:rPr>
                <w:b/>
              </w:rPr>
            </w:pPr>
            <w:r w:rsidRPr="006132D1">
              <w:rPr>
                <w:b/>
                <w:lang w:val="pt-BR"/>
              </w:rPr>
              <w:t xml:space="preserve">LAMBLTAMT </w:t>
            </w:r>
            <w:r w:rsidRPr="006132D1">
              <w:rPr>
                <w:b/>
                <w:i/>
                <w:vertAlign w:val="subscript"/>
                <w:lang w:val="pt-BR"/>
              </w:rPr>
              <w:t>q</w:t>
            </w:r>
            <w:r w:rsidRPr="006132D1">
              <w:rPr>
                <w:b/>
              </w:rPr>
              <w:t xml:space="preserve">   =   </w:t>
            </w:r>
            <w:r>
              <w:rPr>
                <w:b/>
              </w:rPr>
              <w:t>(-1) * (</w:t>
            </w:r>
            <w:r w:rsidRPr="006132D1">
              <w:rPr>
                <w:b/>
                <w:lang w:val="pt-BR"/>
              </w:rPr>
              <w:t xml:space="preserve">MBLTDC </w:t>
            </w:r>
            <w:r w:rsidRPr="006132D1">
              <w:rPr>
                <w:b/>
                <w:i/>
                <w:vertAlign w:val="subscript"/>
                <w:lang w:val="pt-BR"/>
              </w:rPr>
              <w:t>q</w:t>
            </w:r>
            <w:r w:rsidRPr="00303170">
              <w:rPr>
                <w:b/>
              </w:rPr>
              <w:t xml:space="preserve"> +</w:t>
            </w:r>
            <w:r w:rsidRPr="00DE2FF7">
              <w:rPr>
                <w:b/>
              </w:rPr>
              <w:t xml:space="preserve"> </w:t>
            </w:r>
            <w:r w:rsidRPr="006132D1">
              <w:rPr>
                <w:b/>
                <w:lang w:val="pt-BR"/>
              </w:rPr>
              <w:t xml:space="preserve">MBLTNDC </w:t>
            </w:r>
            <w:r w:rsidRPr="006132D1">
              <w:rPr>
                <w:b/>
                <w:i/>
                <w:vertAlign w:val="subscript"/>
                <w:lang w:val="pt-BR"/>
              </w:rPr>
              <w:t>q</w:t>
            </w:r>
            <w:r w:rsidRPr="006132D1">
              <w:rPr>
                <w:b/>
                <w:lang w:val="pt-BR"/>
              </w:rPr>
              <w:t>)</w:t>
            </w:r>
          </w:p>
          <w:p w14:paraId="5B233FA0" w14:textId="77777777" w:rsidR="00154FF3" w:rsidRDefault="00154FF3" w:rsidP="009F62BA">
            <w:pPr>
              <w:pStyle w:val="BodyText"/>
              <w:ind w:left="1440"/>
            </w:pPr>
            <w:r>
              <w:t>Where:</w:t>
            </w:r>
          </w:p>
          <w:p w14:paraId="724CD23C" w14:textId="77777777" w:rsidR="00154FF3" w:rsidRPr="00922065" w:rsidRDefault="00154FF3" w:rsidP="009F62BA">
            <w:pPr>
              <w:pStyle w:val="FormulaBold"/>
              <w:ind w:left="4680"/>
              <w:rPr>
                <w:b w:val="0"/>
              </w:rPr>
            </w:pPr>
            <w:r w:rsidRPr="00922065">
              <w:rPr>
                <w:b w:val="0"/>
                <w:lang w:val="pt-BR"/>
              </w:rPr>
              <w:t xml:space="preserve">MBLTNDC </w:t>
            </w:r>
            <w:r w:rsidRPr="00922065">
              <w:rPr>
                <w:b w:val="0"/>
                <w:i/>
                <w:vertAlign w:val="subscript"/>
                <w:lang w:val="pt-BR"/>
              </w:rPr>
              <w:t>q</w:t>
            </w:r>
            <w:r w:rsidRPr="00922065">
              <w:rPr>
                <w:b w:val="0"/>
              </w:rPr>
              <w:t xml:space="preserve">   =   MLRS </w:t>
            </w:r>
            <w:r w:rsidRPr="00922065">
              <w:rPr>
                <w:b w:val="0"/>
                <w:i/>
                <w:vertAlign w:val="subscript"/>
              </w:rPr>
              <w:t>q</w:t>
            </w:r>
            <w:r w:rsidRPr="00922065">
              <w:rPr>
                <w:b w:val="0"/>
                <w:vertAlign w:val="subscript"/>
              </w:rPr>
              <w:t xml:space="preserve"> </w:t>
            </w:r>
            <w:r w:rsidRPr="00922065">
              <w:rPr>
                <w:b w:val="0"/>
              </w:rPr>
              <w:t xml:space="preserve">* (MBLTAMTTOT - </w:t>
            </w:r>
            <w:r w:rsidRPr="00922065">
              <w:rPr>
                <w:b w:val="0"/>
                <w:position w:val="-22"/>
              </w:rPr>
              <w:object w:dxaOrig="225" w:dyaOrig="465" w14:anchorId="2B3428EC">
                <v:shape id="_x0000_i1162" type="#_x0000_t75" style="width:5.4pt;height:18pt" o:ole="">
                  <v:imagedata r:id="rId96" o:title=""/>
                </v:shape>
                <o:OLEObject Type="Embed" ProgID="Equation.3" ShapeID="_x0000_i1162" DrawAspect="Content" ObjectID="_1815025352" r:id="rId183"/>
              </w:object>
            </w:r>
            <w:r w:rsidRPr="00922065">
              <w:rPr>
                <w:b w:val="0"/>
                <w:lang w:val="pt-BR"/>
              </w:rPr>
              <w:t xml:space="preserve">MBLTDC </w:t>
            </w:r>
            <w:r w:rsidRPr="00922065">
              <w:rPr>
                <w:b w:val="0"/>
                <w:i/>
                <w:vertAlign w:val="subscript"/>
                <w:lang w:val="pt-BR"/>
              </w:rPr>
              <w:t>q</w:t>
            </w:r>
            <w:r w:rsidRPr="00922065">
              <w:rPr>
                <w:b w:val="0"/>
              </w:rPr>
              <w:t>)</w:t>
            </w:r>
          </w:p>
          <w:p w14:paraId="082A4455" w14:textId="77777777" w:rsidR="00154FF3" w:rsidRPr="00922065" w:rsidRDefault="00154FF3" w:rsidP="009F62BA">
            <w:pPr>
              <w:pStyle w:val="FormulaBold"/>
              <w:ind w:left="4680"/>
              <w:rPr>
                <w:b w:val="0"/>
              </w:rPr>
            </w:pPr>
            <w:r w:rsidRPr="00922065">
              <w:rPr>
                <w:b w:val="0"/>
                <w:lang w:val="pt-BR"/>
              </w:rPr>
              <w:t xml:space="preserve">MBLTDC </w:t>
            </w:r>
            <w:r w:rsidRPr="00922065">
              <w:rPr>
                <w:b w:val="0"/>
                <w:i/>
                <w:vertAlign w:val="subscript"/>
                <w:lang w:val="pt-BR"/>
              </w:rPr>
              <w:t>q</w:t>
            </w:r>
            <w:r w:rsidRPr="00922065">
              <w:rPr>
                <w:b w:val="0"/>
              </w:rPr>
              <w:t xml:space="preserve">      =  DCMLRS </w:t>
            </w:r>
            <w:r w:rsidRPr="00922065">
              <w:rPr>
                <w:b w:val="0"/>
                <w:i/>
                <w:vertAlign w:val="subscript"/>
              </w:rPr>
              <w:t>q</w:t>
            </w:r>
            <w:r w:rsidRPr="00922065">
              <w:rPr>
                <w:b w:val="0"/>
                <w:vertAlign w:val="subscript"/>
              </w:rPr>
              <w:t xml:space="preserve"> </w:t>
            </w:r>
            <w:r w:rsidRPr="00922065">
              <w:rPr>
                <w:b w:val="0"/>
              </w:rPr>
              <w:t>* MBLTAMTTOT</w:t>
            </w:r>
          </w:p>
          <w:p w14:paraId="588C2028" w14:textId="77777777" w:rsidR="00154FF3" w:rsidRPr="00922065" w:rsidRDefault="00154FF3" w:rsidP="009F62BA">
            <w:pPr>
              <w:pStyle w:val="FormulaBold"/>
              <w:ind w:left="4680"/>
              <w:rPr>
                <w:b w:val="0"/>
              </w:rPr>
            </w:pPr>
            <w:r w:rsidRPr="00922065">
              <w:rPr>
                <w:b w:val="0"/>
              </w:rPr>
              <w:t>MBLTAMTTOT</w:t>
            </w:r>
            <w:r w:rsidRPr="00922065">
              <w:rPr>
                <w:rFonts w:ascii="Times New Roman Bold" w:hAnsi="Times New Roman Bold"/>
                <w:b w:val="0"/>
              </w:rPr>
              <w:t xml:space="preserve">   =  </w:t>
            </w:r>
            <w:r w:rsidRPr="00922065">
              <w:rPr>
                <w:b w:val="0"/>
                <w:position w:val="-22"/>
              </w:rPr>
              <w:object w:dxaOrig="180" w:dyaOrig="465" w14:anchorId="0B12B8FC">
                <v:shape id="_x0000_i1163" type="#_x0000_t75" style="width:5.4pt;height:18pt" o:ole="">
                  <v:imagedata r:id="rId181" o:title=""/>
                </v:shape>
                <o:OLEObject Type="Embed" ProgID="Equation.3" ShapeID="_x0000_i1163" DrawAspect="Content" ObjectID="_1815025353" r:id="rId184"/>
              </w:object>
            </w:r>
            <w:r w:rsidRPr="00922065">
              <w:rPr>
                <w:b w:val="0"/>
                <w:position w:val="-22"/>
              </w:rPr>
              <w:t xml:space="preserve"> </w:t>
            </w:r>
            <w:r w:rsidRPr="00922065">
              <w:rPr>
                <w:b w:val="0"/>
              </w:rPr>
              <w:t>MBLTAMTQSETOT</w:t>
            </w:r>
            <w:r w:rsidRPr="00922065">
              <w:rPr>
                <w:b w:val="0"/>
                <w:i/>
                <w:vertAlign w:val="subscript"/>
              </w:rPr>
              <w:t xml:space="preserve"> q</w:t>
            </w:r>
            <w:r w:rsidRPr="00922065">
              <w:rPr>
                <w:b w:val="0"/>
              </w:rPr>
              <w:t xml:space="preserve"> </w:t>
            </w:r>
          </w:p>
          <w:p w14:paraId="12BA8FFA" w14:textId="77777777" w:rsidR="00154FF3" w:rsidRPr="00AA7695" w:rsidRDefault="00154FF3" w:rsidP="00154FF3">
            <w:pPr>
              <w:tabs>
                <w:tab w:val="left" w:pos="2250"/>
                <w:tab w:val="left" w:pos="3150"/>
                <w:tab w:val="left" w:pos="3960"/>
              </w:tabs>
            </w:pPr>
            <w:r w:rsidRPr="00AA7695">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5"/>
              <w:gridCol w:w="898"/>
              <w:gridCol w:w="6452"/>
            </w:tblGrid>
            <w:tr w:rsidR="00154FF3" w14:paraId="0456DB7A" w14:textId="77777777" w:rsidTr="00663874">
              <w:tc>
                <w:tcPr>
                  <w:tcW w:w="1252" w:type="pct"/>
                </w:tcPr>
                <w:p w14:paraId="4968A889" w14:textId="77777777" w:rsidR="00154FF3" w:rsidRDefault="00154FF3" w:rsidP="00154FF3">
                  <w:pPr>
                    <w:pStyle w:val="TableHead"/>
                  </w:pPr>
                  <w:r>
                    <w:t>Variable</w:t>
                  </w:r>
                </w:p>
              </w:tc>
              <w:tc>
                <w:tcPr>
                  <w:tcW w:w="458" w:type="pct"/>
                </w:tcPr>
                <w:p w14:paraId="4F166FE7" w14:textId="77777777" w:rsidR="00154FF3" w:rsidRDefault="00154FF3" w:rsidP="00154FF3">
                  <w:pPr>
                    <w:pStyle w:val="TableHead"/>
                  </w:pPr>
                  <w:r>
                    <w:t>Unit</w:t>
                  </w:r>
                </w:p>
              </w:tc>
              <w:tc>
                <w:tcPr>
                  <w:tcW w:w="3290" w:type="pct"/>
                </w:tcPr>
                <w:p w14:paraId="2ACFE37C" w14:textId="77777777" w:rsidR="00154FF3" w:rsidRDefault="00154FF3" w:rsidP="00154FF3">
                  <w:pPr>
                    <w:pStyle w:val="TableHead"/>
                  </w:pPr>
                  <w:r>
                    <w:t>Description</w:t>
                  </w:r>
                </w:p>
              </w:tc>
            </w:tr>
            <w:tr w:rsidR="00154FF3" w14:paraId="7E4F61CE" w14:textId="77777777" w:rsidTr="00663874">
              <w:trPr>
                <w:cantSplit/>
              </w:trPr>
              <w:tc>
                <w:tcPr>
                  <w:tcW w:w="1252" w:type="pct"/>
                </w:tcPr>
                <w:p w14:paraId="132E791E" w14:textId="77777777" w:rsidR="00154FF3" w:rsidRDefault="00154FF3" w:rsidP="00154FF3">
                  <w:pPr>
                    <w:pStyle w:val="TableBody"/>
                  </w:pPr>
                  <w:r>
                    <w:t xml:space="preserve">LAMBLTAMT </w:t>
                  </w:r>
                  <w:r w:rsidRPr="00426524">
                    <w:rPr>
                      <w:i/>
                      <w:vertAlign w:val="subscript"/>
                    </w:rPr>
                    <w:t>q</w:t>
                  </w:r>
                </w:p>
              </w:tc>
              <w:tc>
                <w:tcPr>
                  <w:tcW w:w="458" w:type="pct"/>
                </w:tcPr>
                <w:p w14:paraId="78E9244D"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232284DA" w14:textId="39398F04" w:rsidR="00154FF3" w:rsidRDefault="00154FF3" w:rsidP="00AA16B3">
                  <w:pPr>
                    <w:pStyle w:val="VariableDefinition"/>
                    <w:tabs>
                      <w:tab w:val="clear" w:pos="2160"/>
                      <w:tab w:val="left" w:pos="2880"/>
                    </w:tabs>
                    <w:spacing w:after="60"/>
                    <w:ind w:left="0" w:firstLine="0"/>
                    <w:rPr>
                      <w:sz w:val="20"/>
                    </w:rPr>
                  </w:pPr>
                  <w:r>
                    <w:rPr>
                      <w:i/>
                      <w:sz w:val="20"/>
                    </w:rPr>
                    <w:t>Load-Allocated Monthly BLT</w:t>
                  </w:r>
                  <w:r w:rsidRPr="00DE1436">
                    <w:rPr>
                      <w:i/>
                      <w:sz w:val="20"/>
                    </w:rPr>
                    <w:t xml:space="preserve"> Amount</w:t>
                  </w:r>
                  <w:r>
                    <w:rPr>
                      <w:sz w:val="20"/>
                    </w:rPr>
                    <w:t xml:space="preserve"> </w:t>
                  </w:r>
                  <w:r w:rsidRPr="00EB7831">
                    <w:rPr>
                      <w:i/>
                      <w:sz w:val="20"/>
                    </w:rPr>
                    <w:t>per QSE</w:t>
                  </w:r>
                  <w:r>
                    <w:t>—</w:t>
                  </w:r>
                  <w:r w:rsidRPr="00070FCB">
                    <w:rPr>
                      <w:sz w:val="20"/>
                    </w:rPr>
                    <w:t xml:space="preserve">Sum of </w:t>
                  </w:r>
                  <w:r>
                    <w:rPr>
                      <w:sz w:val="20"/>
                    </w:rPr>
                    <w:t>the m</w:t>
                  </w:r>
                  <w:r w:rsidRPr="000649BF">
                    <w:rPr>
                      <w:sz w:val="20"/>
                    </w:rPr>
                    <w:t>onthly BLT</w:t>
                  </w:r>
                  <w:r>
                    <w:rPr>
                      <w:sz w:val="20"/>
                    </w:rPr>
                    <w:t xml:space="preserve"> charges for Loads and DC Tie exports for QSE</w:t>
                  </w:r>
                  <w:r>
                    <w:rPr>
                      <w:bCs/>
                      <w:sz w:val="20"/>
                    </w:rPr>
                    <w:t xml:space="preserve"> </w:t>
                  </w:r>
                  <w:r w:rsidRPr="0037298F">
                    <w:rPr>
                      <w:bCs/>
                      <w:i/>
                      <w:sz w:val="20"/>
                    </w:rPr>
                    <w:t>q</w:t>
                  </w:r>
                  <w:r>
                    <w:rPr>
                      <w:sz w:val="20"/>
                    </w:rPr>
                    <w:t>.</w:t>
                  </w:r>
                </w:p>
              </w:tc>
            </w:tr>
            <w:tr w:rsidR="00154FF3" w14:paraId="2FC3F1A8" w14:textId="77777777" w:rsidTr="00663874">
              <w:trPr>
                <w:cantSplit/>
                <w:trHeight w:val="692"/>
              </w:trPr>
              <w:tc>
                <w:tcPr>
                  <w:tcW w:w="1252" w:type="pct"/>
                </w:tcPr>
                <w:p w14:paraId="46680808" w14:textId="77777777" w:rsidR="00154FF3" w:rsidRDefault="00154FF3" w:rsidP="00154FF3">
                  <w:pPr>
                    <w:pStyle w:val="TableBody"/>
                  </w:pPr>
                  <w:r>
                    <w:t>DCMLRS</w:t>
                  </w:r>
                  <w:r>
                    <w:rPr>
                      <w:i/>
                      <w:vertAlign w:val="subscript"/>
                    </w:rPr>
                    <w:t xml:space="preserve"> q</w:t>
                  </w:r>
                </w:p>
              </w:tc>
              <w:tc>
                <w:tcPr>
                  <w:tcW w:w="458" w:type="pct"/>
                </w:tcPr>
                <w:p w14:paraId="2008FFD6" w14:textId="77777777" w:rsidR="00154FF3" w:rsidRDefault="00154FF3" w:rsidP="00154FF3">
                  <w:pPr>
                    <w:pStyle w:val="TableBody"/>
                  </w:pPr>
                  <w:r>
                    <w:t>none</w:t>
                  </w:r>
                </w:p>
              </w:tc>
              <w:tc>
                <w:tcPr>
                  <w:tcW w:w="3290" w:type="pct"/>
                </w:tcPr>
                <w:p w14:paraId="144B81EC" w14:textId="04BDCC0B" w:rsidR="00154FF3" w:rsidRDefault="00154FF3" w:rsidP="001335E7">
                  <w:pPr>
                    <w:pStyle w:val="TableBody"/>
                    <w:rPr>
                      <w:i/>
                    </w:rPr>
                  </w:pPr>
                  <w:r>
                    <w:rPr>
                      <w:i/>
                    </w:rPr>
                    <w:t>DC Tie Export Monthly Load Ratio Share per QSE</w:t>
                  </w:r>
                  <w:r>
                    <w:t xml:space="preserve">—The ratio share calculated for QSE </w:t>
                  </w:r>
                  <w:r>
                    <w:rPr>
                      <w:i/>
                    </w:rPr>
                    <w:t>q</w:t>
                  </w:r>
                  <w:r>
                    <w:t xml:space="preserve"> with DC Tie Exports for the calendar month.</w:t>
                  </w:r>
                </w:p>
              </w:tc>
            </w:tr>
            <w:tr w:rsidR="00154FF3" w14:paraId="16C835C3" w14:textId="77777777" w:rsidTr="00154FF3">
              <w:trPr>
                <w:cantSplit/>
                <w:trHeight w:val="593"/>
              </w:trPr>
              <w:tc>
                <w:tcPr>
                  <w:tcW w:w="1252" w:type="pct"/>
                </w:tcPr>
                <w:p w14:paraId="0B1A9958" w14:textId="77777777" w:rsidR="00154FF3" w:rsidRDefault="00154FF3" w:rsidP="00154FF3">
                  <w:pPr>
                    <w:pStyle w:val="TableBody"/>
                  </w:pPr>
                  <w:r>
                    <w:t xml:space="preserve">MLRS </w:t>
                  </w:r>
                  <w:r>
                    <w:rPr>
                      <w:i/>
                      <w:vertAlign w:val="subscript"/>
                    </w:rPr>
                    <w:t>q</w:t>
                  </w:r>
                </w:p>
              </w:tc>
              <w:tc>
                <w:tcPr>
                  <w:tcW w:w="458" w:type="pct"/>
                </w:tcPr>
                <w:p w14:paraId="16797A3F" w14:textId="77777777" w:rsidR="00154FF3" w:rsidRDefault="00154FF3" w:rsidP="00154FF3">
                  <w:pPr>
                    <w:pStyle w:val="TableBody"/>
                  </w:pPr>
                  <w:r>
                    <w:t>none</w:t>
                  </w:r>
                </w:p>
              </w:tc>
              <w:tc>
                <w:tcPr>
                  <w:tcW w:w="3290" w:type="pct"/>
                </w:tcPr>
                <w:p w14:paraId="4D537BFB" w14:textId="4B484C4D" w:rsidR="00154FF3" w:rsidRDefault="00154FF3" w:rsidP="00154FF3">
                  <w:pPr>
                    <w:pStyle w:val="TableBody"/>
                  </w:pPr>
                  <w:r>
                    <w:rPr>
                      <w:i/>
                    </w:rPr>
                    <w:t>Monthly Load Ratio Share per QSE</w:t>
                  </w:r>
                  <w:r>
                    <w:t xml:space="preserve">—The ratio share of Loads excluding DC Tie Exports for QSE </w:t>
                  </w:r>
                  <w:r>
                    <w:rPr>
                      <w:i/>
                    </w:rPr>
                    <w:t>q,</w:t>
                  </w:r>
                  <w:r>
                    <w:t xml:space="preserve"> for the peak Load 15-minute Settlement Interval.  </w:t>
                  </w:r>
                </w:p>
              </w:tc>
            </w:tr>
            <w:tr w:rsidR="00154FF3" w:rsidDel="00F954FC" w14:paraId="04B86F3D" w14:textId="77777777" w:rsidTr="00663874">
              <w:trPr>
                <w:cantSplit/>
              </w:trPr>
              <w:tc>
                <w:tcPr>
                  <w:tcW w:w="1252" w:type="pct"/>
                </w:tcPr>
                <w:p w14:paraId="19C32AB2" w14:textId="77777777" w:rsidR="00154FF3" w:rsidDel="00F954FC" w:rsidRDefault="00154FF3" w:rsidP="00154FF3">
                  <w:pPr>
                    <w:pStyle w:val="TableBody"/>
                  </w:pPr>
                  <w:r>
                    <w:rPr>
                      <w:iCs w:val="0"/>
                    </w:rPr>
                    <w:t>M</w:t>
                  </w:r>
                  <w:r w:rsidRPr="004429E3">
                    <w:rPr>
                      <w:iCs w:val="0"/>
                    </w:rPr>
                    <w:t xml:space="preserve">BLTAMTQSETOT </w:t>
                  </w:r>
                  <w:r w:rsidRPr="004429E3">
                    <w:rPr>
                      <w:i/>
                      <w:iCs w:val="0"/>
                      <w:vertAlign w:val="subscript"/>
                    </w:rPr>
                    <w:t>q</w:t>
                  </w:r>
                </w:p>
              </w:tc>
              <w:tc>
                <w:tcPr>
                  <w:tcW w:w="458" w:type="pct"/>
                </w:tcPr>
                <w:p w14:paraId="6F49B29F" w14:textId="77777777" w:rsidR="00154FF3" w:rsidRDefault="00154FF3" w:rsidP="00154FF3">
                  <w:pPr>
                    <w:pStyle w:val="VariableDefinition"/>
                    <w:spacing w:after="60"/>
                    <w:ind w:left="0" w:firstLine="0"/>
                    <w:rPr>
                      <w:sz w:val="20"/>
                    </w:rPr>
                  </w:pPr>
                  <w:r w:rsidRPr="004429E3">
                    <w:rPr>
                      <w:iCs w:val="0"/>
                      <w:sz w:val="20"/>
                    </w:rPr>
                    <w:t>$</w:t>
                  </w:r>
                </w:p>
              </w:tc>
              <w:tc>
                <w:tcPr>
                  <w:tcW w:w="3290" w:type="pct"/>
                </w:tcPr>
                <w:p w14:paraId="7956744C" w14:textId="77777777" w:rsidR="00154FF3" w:rsidDel="00F954FC" w:rsidRDefault="00154FF3" w:rsidP="00154FF3">
                  <w:pPr>
                    <w:pStyle w:val="VariableDefinition"/>
                    <w:spacing w:after="60"/>
                    <w:ind w:left="0" w:firstLine="0"/>
                    <w:rPr>
                      <w:sz w:val="20"/>
                    </w:rPr>
                  </w:pPr>
                  <w:r>
                    <w:rPr>
                      <w:i/>
                      <w:iCs w:val="0"/>
                      <w:sz w:val="20"/>
                    </w:rPr>
                    <w:t xml:space="preserve">Monthly </w:t>
                  </w:r>
                  <w:r w:rsidRPr="004429E3">
                    <w:rPr>
                      <w:i/>
                      <w:iCs w:val="0"/>
                      <w:sz w:val="20"/>
                    </w:rPr>
                    <w:t>Block Load Transfer Amount QSE Total per QSE</w:t>
                  </w:r>
                  <w:r w:rsidRPr="004429E3">
                    <w:rPr>
                      <w:iCs w:val="0"/>
                      <w:sz w:val="20"/>
                    </w:rPr>
                    <w:sym w:font="Symbol" w:char="F0BE"/>
                  </w:r>
                  <w:r w:rsidRPr="004429E3">
                    <w:rPr>
                      <w:iCs w:val="0"/>
                      <w:sz w:val="20"/>
                    </w:rPr>
                    <w:t xml:space="preserve">The total of the payments to QSE </w:t>
                  </w:r>
                  <w:r w:rsidRPr="004429E3">
                    <w:rPr>
                      <w:i/>
                      <w:iCs w:val="0"/>
                      <w:sz w:val="20"/>
                    </w:rPr>
                    <w:t>q</w:t>
                  </w:r>
                  <w:r w:rsidRPr="004429E3">
                    <w:rPr>
                      <w:iCs w:val="0"/>
                      <w:sz w:val="20"/>
                    </w:rPr>
                    <w:t xml:space="preserve"> for energy delivered into the ERCOT System for the </w:t>
                  </w:r>
                  <w:r>
                    <w:rPr>
                      <w:iCs w:val="0"/>
                      <w:sz w:val="20"/>
                    </w:rPr>
                    <w:t>month</w:t>
                  </w:r>
                  <w:r w:rsidRPr="004429E3">
                    <w:rPr>
                      <w:iCs w:val="0"/>
                      <w:sz w:val="20"/>
                    </w:rPr>
                    <w:t>.</w:t>
                  </w:r>
                </w:p>
              </w:tc>
            </w:tr>
            <w:tr w:rsidR="00154FF3" w14:paraId="20D83EAF" w14:textId="77777777" w:rsidTr="00663874">
              <w:trPr>
                <w:cantSplit/>
              </w:trPr>
              <w:tc>
                <w:tcPr>
                  <w:tcW w:w="1252" w:type="pct"/>
                </w:tcPr>
                <w:p w14:paraId="329032BB" w14:textId="77777777" w:rsidR="00154FF3" w:rsidRDefault="00154FF3" w:rsidP="00154FF3">
                  <w:pPr>
                    <w:pStyle w:val="TableBody"/>
                  </w:pPr>
                  <w:r>
                    <w:t xml:space="preserve">MBLTDC </w:t>
                  </w:r>
                  <w:r w:rsidRPr="00426524">
                    <w:rPr>
                      <w:i/>
                      <w:vertAlign w:val="subscript"/>
                    </w:rPr>
                    <w:t>q</w:t>
                  </w:r>
                </w:p>
              </w:tc>
              <w:tc>
                <w:tcPr>
                  <w:tcW w:w="458" w:type="pct"/>
                </w:tcPr>
                <w:p w14:paraId="60F6F2EB"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7CD20A0B" w14:textId="00496D3C" w:rsidR="00154FF3" w:rsidRDefault="00154FF3" w:rsidP="001335E7">
                  <w:pPr>
                    <w:pStyle w:val="VariableDefinition"/>
                    <w:tabs>
                      <w:tab w:val="clear" w:pos="2160"/>
                      <w:tab w:val="left" w:pos="2880"/>
                    </w:tabs>
                    <w:spacing w:after="60"/>
                    <w:ind w:left="0" w:firstLine="0"/>
                    <w:rPr>
                      <w:i/>
                      <w:sz w:val="20"/>
                    </w:rPr>
                  </w:pPr>
                  <w:r>
                    <w:rPr>
                      <w:i/>
                      <w:sz w:val="20"/>
                    </w:rPr>
                    <w:t>Monthly BLT</w:t>
                  </w:r>
                  <w:r w:rsidRPr="00DE1436">
                    <w:rPr>
                      <w:i/>
                      <w:sz w:val="20"/>
                    </w:rPr>
                    <w:t xml:space="preserve"> Amount</w:t>
                  </w:r>
                  <w:r>
                    <w:rPr>
                      <w:sz w:val="20"/>
                    </w:rPr>
                    <w:t xml:space="preserve"> </w:t>
                  </w:r>
                  <w:r w:rsidRPr="00922065">
                    <w:rPr>
                      <w:i/>
                      <w:sz w:val="20"/>
                    </w:rPr>
                    <w:t>for DC Tie Exports</w:t>
                  </w:r>
                  <w:r>
                    <w:rPr>
                      <w:sz w:val="20"/>
                    </w:rPr>
                    <w:t xml:space="preserve"> </w:t>
                  </w:r>
                  <w:r w:rsidRPr="00EB7831">
                    <w:rPr>
                      <w:i/>
                      <w:sz w:val="20"/>
                    </w:rPr>
                    <w:t>per QSE</w:t>
                  </w:r>
                  <w:r>
                    <w:t>—</w:t>
                  </w:r>
                  <w:r w:rsidRPr="000649BF">
                    <w:rPr>
                      <w:sz w:val="20"/>
                    </w:rPr>
                    <w:t>Monthly BLT</w:t>
                  </w:r>
                  <w:r>
                    <w:rPr>
                      <w:sz w:val="20"/>
                    </w:rPr>
                    <w:t xml:space="preserve"> amount for DC Tie exports for QSE</w:t>
                  </w:r>
                  <w:r>
                    <w:rPr>
                      <w:bCs/>
                      <w:sz w:val="20"/>
                    </w:rPr>
                    <w:t xml:space="preserve"> </w:t>
                  </w:r>
                  <w:r w:rsidRPr="0037298F">
                    <w:rPr>
                      <w:bCs/>
                      <w:i/>
                      <w:sz w:val="20"/>
                    </w:rPr>
                    <w:t>q</w:t>
                  </w:r>
                  <w:r>
                    <w:rPr>
                      <w:sz w:val="20"/>
                    </w:rPr>
                    <w:t>.</w:t>
                  </w:r>
                </w:p>
              </w:tc>
            </w:tr>
            <w:tr w:rsidR="00154FF3" w14:paraId="1408ED8D" w14:textId="77777777" w:rsidTr="00663874">
              <w:trPr>
                <w:cantSplit/>
              </w:trPr>
              <w:tc>
                <w:tcPr>
                  <w:tcW w:w="1252" w:type="pct"/>
                </w:tcPr>
                <w:p w14:paraId="22E98EA0" w14:textId="77777777" w:rsidR="00154FF3" w:rsidRDefault="00154FF3" w:rsidP="00154FF3">
                  <w:pPr>
                    <w:pStyle w:val="TableBody"/>
                  </w:pPr>
                  <w:r>
                    <w:t xml:space="preserve">MBLTNDC </w:t>
                  </w:r>
                  <w:r w:rsidRPr="00426524">
                    <w:rPr>
                      <w:i/>
                      <w:vertAlign w:val="subscript"/>
                    </w:rPr>
                    <w:t>q</w:t>
                  </w:r>
                </w:p>
              </w:tc>
              <w:tc>
                <w:tcPr>
                  <w:tcW w:w="458" w:type="pct"/>
                </w:tcPr>
                <w:p w14:paraId="75115BCD"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35FBB2D9" w14:textId="7AD25BC3" w:rsidR="00154FF3" w:rsidRDefault="00154FF3" w:rsidP="00154FF3">
                  <w:pPr>
                    <w:pStyle w:val="VariableDefinition"/>
                    <w:tabs>
                      <w:tab w:val="clear" w:pos="2160"/>
                      <w:tab w:val="left" w:pos="2880"/>
                    </w:tabs>
                    <w:spacing w:after="60"/>
                    <w:ind w:left="0" w:firstLine="0"/>
                    <w:rPr>
                      <w:sz w:val="20"/>
                    </w:rPr>
                  </w:pPr>
                  <w:r>
                    <w:rPr>
                      <w:i/>
                      <w:sz w:val="20"/>
                    </w:rPr>
                    <w:t>Monthly BLT</w:t>
                  </w:r>
                  <w:r w:rsidRPr="00DE1436">
                    <w:rPr>
                      <w:i/>
                      <w:sz w:val="20"/>
                    </w:rPr>
                    <w:t xml:space="preserve"> Amount</w:t>
                  </w:r>
                  <w:r>
                    <w:rPr>
                      <w:i/>
                      <w:sz w:val="20"/>
                    </w:rPr>
                    <w:t xml:space="preserve"> for Non-DC Tie Loads</w:t>
                  </w:r>
                  <w:r>
                    <w:rPr>
                      <w:sz w:val="20"/>
                    </w:rPr>
                    <w:t xml:space="preserve"> </w:t>
                  </w:r>
                  <w:r w:rsidRPr="00EB7831">
                    <w:rPr>
                      <w:i/>
                      <w:sz w:val="20"/>
                    </w:rPr>
                    <w:t>per QSE</w:t>
                  </w:r>
                  <w:r>
                    <w:t>—</w:t>
                  </w:r>
                  <w:r w:rsidRPr="000649BF">
                    <w:rPr>
                      <w:sz w:val="20"/>
                    </w:rPr>
                    <w:t>Monthly BLT</w:t>
                  </w:r>
                  <w:r>
                    <w:rPr>
                      <w:sz w:val="20"/>
                    </w:rPr>
                    <w:t xml:space="preserve"> amount for Loads (excluding DC Tie exports) for QSE</w:t>
                  </w:r>
                  <w:r>
                    <w:rPr>
                      <w:bCs/>
                      <w:sz w:val="20"/>
                    </w:rPr>
                    <w:t xml:space="preserve"> </w:t>
                  </w:r>
                  <w:r w:rsidRPr="0037298F">
                    <w:rPr>
                      <w:bCs/>
                      <w:i/>
                      <w:sz w:val="20"/>
                    </w:rPr>
                    <w:t>q</w:t>
                  </w:r>
                  <w:r>
                    <w:rPr>
                      <w:sz w:val="20"/>
                    </w:rPr>
                    <w:t>.</w:t>
                  </w:r>
                </w:p>
              </w:tc>
            </w:tr>
            <w:tr w:rsidR="00154FF3" w14:paraId="4A410B8B" w14:textId="77777777" w:rsidTr="00663874">
              <w:trPr>
                <w:cantSplit/>
              </w:trPr>
              <w:tc>
                <w:tcPr>
                  <w:tcW w:w="1252" w:type="pct"/>
                </w:tcPr>
                <w:p w14:paraId="358DEEF9" w14:textId="77777777" w:rsidR="00154FF3" w:rsidRPr="003274F1" w:rsidRDefault="00154FF3" w:rsidP="00154FF3">
                  <w:pPr>
                    <w:pStyle w:val="TableBody"/>
                  </w:pPr>
                  <w:r>
                    <w:t xml:space="preserve">MBLTAMTTOT </w:t>
                  </w:r>
                </w:p>
              </w:tc>
              <w:tc>
                <w:tcPr>
                  <w:tcW w:w="458" w:type="pct"/>
                </w:tcPr>
                <w:p w14:paraId="21159B81"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54FB5D8F" w14:textId="77777777" w:rsidR="00154FF3" w:rsidRPr="00866D8D" w:rsidRDefault="00154FF3" w:rsidP="00154FF3">
                  <w:pPr>
                    <w:pStyle w:val="VariableDefinition"/>
                    <w:tabs>
                      <w:tab w:val="clear" w:pos="2160"/>
                      <w:tab w:val="left" w:pos="2880"/>
                    </w:tabs>
                    <w:spacing w:after="60"/>
                    <w:ind w:left="0" w:firstLine="0"/>
                    <w:rPr>
                      <w:sz w:val="20"/>
                    </w:rPr>
                  </w:pPr>
                  <w:r>
                    <w:rPr>
                      <w:i/>
                      <w:sz w:val="20"/>
                    </w:rPr>
                    <w:t>Monthly BLT</w:t>
                  </w:r>
                  <w:r w:rsidRPr="00715F17">
                    <w:rPr>
                      <w:i/>
                      <w:sz w:val="20"/>
                    </w:rPr>
                    <w:t xml:space="preserve"> Amount</w:t>
                  </w:r>
                  <w:r w:rsidRPr="00DE1436">
                    <w:rPr>
                      <w:i/>
                      <w:sz w:val="20"/>
                    </w:rPr>
                    <w:t xml:space="preserve"> </w:t>
                  </w:r>
                  <w:r>
                    <w:rPr>
                      <w:i/>
                      <w:sz w:val="20"/>
                    </w:rPr>
                    <w:t>ERCOT wide</w:t>
                  </w:r>
                  <w:r w:rsidRPr="00DE1436">
                    <w:rPr>
                      <w:i/>
                      <w:sz w:val="20"/>
                    </w:rPr>
                    <w:t xml:space="preserve"> Total</w:t>
                  </w:r>
                  <w:r>
                    <w:t>—</w:t>
                  </w:r>
                  <w:r w:rsidRPr="00DE1436">
                    <w:rPr>
                      <w:sz w:val="20"/>
                    </w:rPr>
                    <w:t xml:space="preserve">The total </w:t>
                  </w:r>
                  <w:r>
                    <w:rPr>
                      <w:sz w:val="20"/>
                    </w:rPr>
                    <w:t>monthly BLT payment for all QSEs.</w:t>
                  </w:r>
                </w:p>
              </w:tc>
            </w:tr>
            <w:tr w:rsidR="00154FF3" w14:paraId="0B7965F0" w14:textId="77777777" w:rsidTr="00663874">
              <w:trPr>
                <w:cantSplit/>
                <w:trHeight w:val="323"/>
              </w:trPr>
              <w:tc>
                <w:tcPr>
                  <w:tcW w:w="1252" w:type="pct"/>
                </w:tcPr>
                <w:p w14:paraId="3C64B01C" w14:textId="77777777" w:rsidR="00154FF3" w:rsidRPr="009C7D50" w:rsidRDefault="00154FF3" w:rsidP="00154FF3">
                  <w:pPr>
                    <w:pStyle w:val="TableBody"/>
                  </w:pPr>
                  <w:r w:rsidRPr="009C7D50">
                    <w:rPr>
                      <w:i/>
                    </w:rPr>
                    <w:t>q</w:t>
                  </w:r>
                </w:p>
              </w:tc>
              <w:tc>
                <w:tcPr>
                  <w:tcW w:w="458" w:type="pct"/>
                </w:tcPr>
                <w:p w14:paraId="7DC4E920" w14:textId="77777777" w:rsidR="00154FF3" w:rsidRPr="009C7D50" w:rsidRDefault="00154FF3" w:rsidP="00154FF3">
                  <w:pPr>
                    <w:pStyle w:val="VariableDefinition"/>
                    <w:tabs>
                      <w:tab w:val="clear" w:pos="2160"/>
                      <w:tab w:val="left" w:pos="2880"/>
                    </w:tabs>
                    <w:spacing w:after="60"/>
                    <w:ind w:left="0" w:firstLine="0"/>
                    <w:rPr>
                      <w:sz w:val="20"/>
                    </w:rPr>
                  </w:pPr>
                  <w:r w:rsidRPr="009C7D50">
                    <w:rPr>
                      <w:sz w:val="20"/>
                    </w:rPr>
                    <w:t>none</w:t>
                  </w:r>
                </w:p>
              </w:tc>
              <w:tc>
                <w:tcPr>
                  <w:tcW w:w="3290" w:type="pct"/>
                </w:tcPr>
                <w:p w14:paraId="0630715B" w14:textId="77777777" w:rsidR="00154FF3" w:rsidRPr="009C7D50" w:rsidRDefault="00154FF3" w:rsidP="00154FF3">
                  <w:pPr>
                    <w:pStyle w:val="VariableDefinition"/>
                    <w:tabs>
                      <w:tab w:val="clear" w:pos="2160"/>
                      <w:tab w:val="left" w:pos="2880"/>
                    </w:tabs>
                    <w:spacing w:after="60"/>
                    <w:ind w:left="0" w:firstLine="0"/>
                    <w:rPr>
                      <w:i/>
                      <w:sz w:val="20"/>
                    </w:rPr>
                  </w:pPr>
                  <w:r w:rsidRPr="009C7D50">
                    <w:rPr>
                      <w:sz w:val="20"/>
                    </w:rPr>
                    <w:t>A QSE.</w:t>
                  </w:r>
                </w:p>
              </w:tc>
            </w:tr>
          </w:tbl>
          <w:p w14:paraId="3BE42232" w14:textId="109EF06E" w:rsidR="00154FF3" w:rsidRPr="00154FF3" w:rsidRDefault="00154FF3" w:rsidP="00663874">
            <w:pPr>
              <w:pStyle w:val="H4"/>
              <w:ind w:left="720" w:hanging="720"/>
              <w:rPr>
                <w:b w:val="0"/>
              </w:rPr>
            </w:pPr>
          </w:p>
        </w:tc>
      </w:tr>
    </w:tbl>
    <w:p w14:paraId="7129E4CA" w14:textId="6A01025F" w:rsidR="00C57701" w:rsidRPr="00D82B61" w:rsidRDefault="00C57701" w:rsidP="006B72E9">
      <w:pPr>
        <w:keepNext/>
        <w:widowControl w:val="0"/>
        <w:tabs>
          <w:tab w:val="left" w:pos="1260"/>
        </w:tabs>
        <w:spacing w:before="480" w:after="240"/>
        <w:ind w:left="1267" w:hanging="1267"/>
        <w:outlineLvl w:val="3"/>
        <w:rPr>
          <w:b/>
        </w:rPr>
      </w:pPr>
      <w:bookmarkStart w:id="1954" w:name="_Toc481502895"/>
      <w:bookmarkStart w:id="1955" w:name="_Toc496080063"/>
      <w:bookmarkStart w:id="1956" w:name="_Toc118908577"/>
      <w:bookmarkStart w:id="1957" w:name="_Toc119180748"/>
      <w:bookmarkStart w:id="1958" w:name="_Toc397505019"/>
      <w:bookmarkStart w:id="1959" w:name="_Toc402357147"/>
      <w:bookmarkStart w:id="1960" w:name="_Toc422486527"/>
      <w:bookmarkStart w:id="1961" w:name="_Toc433093380"/>
      <w:bookmarkStart w:id="1962" w:name="_Toc433093538"/>
      <w:bookmarkStart w:id="1963" w:name="_Toc440874768"/>
      <w:bookmarkStart w:id="1964" w:name="_Toc87951794"/>
      <w:bookmarkStart w:id="1965" w:name="_Toc109009400"/>
      <w:bookmarkStart w:id="1966" w:name="_Toc204411670"/>
      <w:bookmarkEnd w:id="1937"/>
      <w:bookmarkEnd w:id="1938"/>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r w:rsidRPr="00D82B61">
        <w:rPr>
          <w:b/>
        </w:rPr>
        <w:t>6.6.3.</w:t>
      </w:r>
      <w:r w:rsidR="00A01A2C">
        <w:rPr>
          <w:b/>
        </w:rPr>
        <w:t>6</w:t>
      </w:r>
      <w:r w:rsidRPr="00D82B61">
        <w:rPr>
          <w:b/>
        </w:rPr>
        <w:tab/>
        <w:t>Real-Time High Dispatch Limit Override Energy Payment</w:t>
      </w:r>
      <w:bookmarkEnd w:id="1954"/>
      <w:bookmarkEnd w:id="1955"/>
      <w:bookmarkEnd w:id="1966"/>
      <w:r w:rsidRPr="00D82B61">
        <w:rPr>
          <w:b/>
        </w:rPr>
        <w:t xml:space="preserve">  </w:t>
      </w:r>
    </w:p>
    <w:p w14:paraId="6F3B1F6D" w14:textId="27A6033E" w:rsidR="00C57701" w:rsidRDefault="00C57701" w:rsidP="00C57701">
      <w:pPr>
        <w:spacing w:after="240"/>
        <w:ind w:left="720" w:hanging="720"/>
        <w:rPr>
          <w:color w:val="000000"/>
        </w:rPr>
      </w:pPr>
      <w:r w:rsidRPr="00A87F21">
        <w:rPr>
          <w:color w:val="000000"/>
        </w:rPr>
        <w:t>(1)</w:t>
      </w:r>
      <w:r w:rsidRPr="00A87F21">
        <w:rPr>
          <w:color w:val="000000"/>
        </w:rPr>
        <w:tab/>
        <w:t>If ERCOT directs a reduction in a Generation Resource’s real power output by employing a manual High Dispatch Limit (HDL) override</w:t>
      </w:r>
      <w:r w:rsidR="001B1AFA">
        <w:rPr>
          <w:color w:val="000000"/>
        </w:rPr>
        <w:t>,</w:t>
      </w:r>
      <w:r w:rsidR="001B1AFA" w:rsidRPr="001B1AFA">
        <w:rPr>
          <w:color w:val="000000"/>
        </w:rPr>
        <w:t xml:space="preserve"> </w:t>
      </w:r>
      <w:r w:rsidR="001B1AFA">
        <w:rPr>
          <w:color w:val="000000"/>
        </w:rPr>
        <w:t>or issues a Verbal Dispatch Instruction (VDI) to a Generation Resource to adjust its operation to produce the same effect,</w:t>
      </w:r>
      <w:r>
        <w:rPr>
          <w:color w:val="000000"/>
        </w:rPr>
        <w:t xml:space="preserve"> and the reduction causes the QSE to suffer a demonstrable financial loss, the QSE </w:t>
      </w:r>
      <w:r>
        <w:rPr>
          <w:color w:val="000000"/>
        </w:rPr>
        <w:lastRenderedPageBreak/>
        <w:t>may be eligible for a Real-Time High Dispatch Limit Override Energy Payment, as calculated below, upon providing documented proof of that loss.  In order to qualify for this payment the QSE must:</w:t>
      </w:r>
    </w:p>
    <w:p w14:paraId="4A319727" w14:textId="77777777" w:rsidR="00C57701" w:rsidRPr="001F5A11" w:rsidRDefault="00C57701" w:rsidP="00C57701">
      <w:pPr>
        <w:spacing w:after="240"/>
        <w:ind w:left="1440" w:hanging="720"/>
      </w:pPr>
      <w:r>
        <w:t>(a)</w:t>
      </w:r>
      <w:r>
        <w:tab/>
        <w:t>H</w:t>
      </w:r>
      <w:r w:rsidRPr="001F5A11">
        <w:t xml:space="preserve">ave complied with ERCOT </w:t>
      </w:r>
      <w:r>
        <w:t>Dispatch I</w:t>
      </w:r>
      <w:r w:rsidRPr="001F5A11">
        <w:t>nstructions to reduce real power output</w:t>
      </w:r>
      <w:r>
        <w:t>;</w:t>
      </w:r>
    </w:p>
    <w:p w14:paraId="6B808510" w14:textId="33965B6D" w:rsidR="00C57701" w:rsidRPr="001F5A11" w:rsidRDefault="00C57701" w:rsidP="00C57701">
      <w:pPr>
        <w:spacing w:after="240"/>
        <w:ind w:left="1440" w:hanging="720"/>
      </w:pPr>
      <w:r>
        <w:t>(b)</w:t>
      </w:r>
      <w:r>
        <w:tab/>
        <w:t>H</w:t>
      </w:r>
      <w:r w:rsidRPr="001F5A11">
        <w:t xml:space="preserve">ave </w:t>
      </w:r>
      <w:r w:rsidR="001B1AFA">
        <w:t xml:space="preserve">either </w:t>
      </w:r>
      <w:r w:rsidRPr="001F5A11">
        <w:t xml:space="preserve">received a SCED </w:t>
      </w:r>
      <w:r>
        <w:t>B</w:t>
      </w:r>
      <w:r w:rsidRPr="001F5A11">
        <w:t>ase</w:t>
      </w:r>
      <w:r>
        <w:t xml:space="preserve"> P</w:t>
      </w:r>
      <w:r w:rsidRPr="001F5A11">
        <w:t>oint equal to the Resource</w:t>
      </w:r>
      <w:r>
        <w:t>’</w:t>
      </w:r>
      <w:r w:rsidRPr="001F5A11">
        <w:t>s HDL override</w:t>
      </w:r>
      <w:r w:rsidR="001B1AFA" w:rsidRPr="001B1AFA">
        <w:t xml:space="preserve"> </w:t>
      </w:r>
      <w:r w:rsidR="001B1AFA">
        <w:t xml:space="preserve">value or received </w:t>
      </w:r>
      <w:r w:rsidR="001B1AFA" w:rsidRPr="001F5A11">
        <w:t xml:space="preserve">a SCED </w:t>
      </w:r>
      <w:r w:rsidR="001B1AFA">
        <w:t>B</w:t>
      </w:r>
      <w:r w:rsidR="001B1AFA" w:rsidRPr="001F5A11">
        <w:t>ase</w:t>
      </w:r>
      <w:r w:rsidR="001B1AFA">
        <w:t xml:space="preserve"> P</w:t>
      </w:r>
      <w:r w:rsidR="001B1AFA" w:rsidRPr="001F5A11">
        <w:t xml:space="preserve">oint </w:t>
      </w:r>
      <w:r w:rsidR="001B1AFA">
        <w:t xml:space="preserve">less than the Resource’s output level at the time of the instruction but greater than or </w:t>
      </w:r>
      <w:r w:rsidR="001B1AFA" w:rsidRPr="001F5A11">
        <w:t xml:space="preserve">equal to the </w:t>
      </w:r>
      <w:r w:rsidR="001B1AFA">
        <w:t>instructed operating level specified in the VDI</w:t>
      </w:r>
      <w:r w:rsidRPr="001F5A11">
        <w:t>,</w:t>
      </w:r>
      <w:r>
        <w:t xml:space="preserve"> during the 15-minute Settlement Interval;</w:t>
      </w:r>
    </w:p>
    <w:p w14:paraId="39B7DA3B" w14:textId="77777777" w:rsidR="001D09AB" w:rsidRDefault="00C57701" w:rsidP="00C57701">
      <w:pPr>
        <w:spacing w:after="240"/>
        <w:ind w:left="1440" w:hanging="720"/>
      </w:pPr>
      <w:r>
        <w:t>(c)</w:t>
      </w:r>
      <w:r>
        <w:tab/>
        <w:t>H</w:t>
      </w:r>
      <w:r w:rsidRPr="001F5A11">
        <w:t>ave incurred a demonstrable financial loss</w:t>
      </w:r>
      <w:r>
        <w:t xml:space="preserve"> </w:t>
      </w:r>
      <w:r w:rsidR="001D09AB" w:rsidRPr="00204B25">
        <w:t>(excluding lost opportunity costs) caused by the HDL override</w:t>
      </w:r>
      <w:r w:rsidR="001D09AB">
        <w:t xml:space="preserve"> </w:t>
      </w:r>
      <w:r>
        <w:t>associated with</w:t>
      </w:r>
      <w:r w:rsidR="001D09AB" w:rsidRPr="001D09AB">
        <w:t xml:space="preserve"> </w:t>
      </w:r>
      <w:r w:rsidR="001D09AB" w:rsidRPr="00204B25">
        <w:t>one of the following:</w:t>
      </w:r>
      <w:r>
        <w:t xml:space="preserve"> </w:t>
      </w:r>
    </w:p>
    <w:p w14:paraId="3C7DA51C" w14:textId="2C78CDB9" w:rsidR="00C57701" w:rsidRDefault="001D09AB" w:rsidP="001D09AB">
      <w:pPr>
        <w:spacing w:after="240"/>
        <w:ind w:left="2160" w:hanging="720"/>
      </w:pPr>
      <w:r>
        <w:t>(i)</w:t>
      </w:r>
      <w:r>
        <w:tab/>
        <w:t>V</w:t>
      </w:r>
      <w:r w:rsidR="00C57701">
        <w:t>ariable cost components of DAM obligations</w:t>
      </w:r>
      <w:r>
        <w:t>;</w:t>
      </w:r>
    </w:p>
    <w:p w14:paraId="7DE7B937" w14:textId="77777777" w:rsidR="001D09AB" w:rsidRPr="00204B25" w:rsidRDefault="001D09AB" w:rsidP="001D09AB">
      <w:pPr>
        <w:spacing w:after="240"/>
        <w:ind w:left="2160" w:hanging="720"/>
      </w:pPr>
      <w:r w:rsidRPr="00204B25">
        <w:t>(ii)</w:t>
      </w:r>
      <w:r w:rsidRPr="00204B25">
        <w:tab/>
        <w:t>QSEs representing Generation Resources in their portfolio with an HDL override for a Resource with a bilateral contract to sell energy at its Resource Node; or</w:t>
      </w:r>
    </w:p>
    <w:p w14:paraId="3DB95EA7" w14:textId="77777777" w:rsidR="001D09AB" w:rsidRPr="00204B25" w:rsidRDefault="001D09AB" w:rsidP="001D09AB">
      <w:pPr>
        <w:spacing w:after="240"/>
        <w:ind w:left="2160" w:hanging="720"/>
      </w:pPr>
      <w:r w:rsidRPr="00204B25">
        <w:t>(iii)</w:t>
      </w:r>
      <w:r w:rsidRPr="00204B25">
        <w:tab/>
        <w:t>Incremental costs incurred by a QSE in the Real-Time Market (RTM) to serve its Load if the HDL override for a Resource in the same QSE portfolio as the Load, causes the QSE to be short energy compared to its Load for the intervals affected by the HDL override; and</w:t>
      </w:r>
    </w:p>
    <w:p w14:paraId="3B33E509" w14:textId="3EFE7DDF" w:rsidR="00C57701" w:rsidRDefault="00C57701" w:rsidP="00C57701">
      <w:pPr>
        <w:spacing w:after="240"/>
        <w:ind w:left="1440" w:hanging="720"/>
      </w:pPr>
      <w:r>
        <w:t>(d)</w:t>
      </w:r>
      <w:r>
        <w:tab/>
        <w:t>F</w:t>
      </w:r>
      <w:r w:rsidRPr="001F5A11">
        <w:t xml:space="preserve">ile a timely </w:t>
      </w:r>
      <w:r>
        <w:t xml:space="preserve">Settlement and billing </w:t>
      </w:r>
      <w:r w:rsidRPr="001F5A11">
        <w:t>dispute</w:t>
      </w:r>
      <w:r w:rsidR="005A328C">
        <w:t xml:space="preserve"> in accordance with Section 9.14, Settlement and Billing Dispute Process</w:t>
      </w:r>
      <w:r>
        <w:t>,</w:t>
      </w:r>
      <w:r w:rsidRPr="001F5A11">
        <w:t xml:space="preserve"> includ</w:t>
      </w:r>
      <w:r>
        <w:t>ing the following items:</w:t>
      </w:r>
      <w:r w:rsidRPr="001F5A11">
        <w:t xml:space="preserve"> </w:t>
      </w:r>
    </w:p>
    <w:p w14:paraId="50E65725" w14:textId="77777777" w:rsidR="00C57701" w:rsidRDefault="00C57701" w:rsidP="00C57701">
      <w:pPr>
        <w:spacing w:after="240"/>
        <w:ind w:left="2160" w:hanging="720"/>
      </w:pPr>
      <w:r>
        <w:t>(i)</w:t>
      </w:r>
      <w:r>
        <w:tab/>
        <w:t>A</w:t>
      </w:r>
      <w:r w:rsidRPr="001F5A11">
        <w:t>n attestation signed by an officer or executive</w:t>
      </w:r>
      <w:r>
        <w:t xml:space="preserve"> with authority to bind the QSE;</w:t>
      </w:r>
    </w:p>
    <w:p w14:paraId="2FAA0E38" w14:textId="77777777" w:rsidR="00C57701" w:rsidRDefault="00C57701" w:rsidP="00C57701">
      <w:pPr>
        <w:spacing w:after="240"/>
        <w:ind w:left="2160" w:hanging="720"/>
      </w:pPr>
      <w:r>
        <w:t>(ii)</w:t>
      </w:r>
      <w:r>
        <w:tab/>
        <w:t>T</w:t>
      </w:r>
      <w:r w:rsidRPr="001F5A11">
        <w:t xml:space="preserve">he dollar amount </w:t>
      </w:r>
      <w:r>
        <w:t xml:space="preserve">and calculation </w:t>
      </w:r>
      <w:r w:rsidRPr="001F5A11">
        <w:t xml:space="preserve">of the financial loss by </w:t>
      </w:r>
      <w:r>
        <w:t>S</w:t>
      </w:r>
      <w:r w:rsidRPr="001F5A11">
        <w:t xml:space="preserve">ettlement </w:t>
      </w:r>
      <w:r>
        <w:t>Interval;</w:t>
      </w:r>
    </w:p>
    <w:p w14:paraId="29F043C6" w14:textId="75419CCB" w:rsidR="00C57701" w:rsidRDefault="00C57701" w:rsidP="00C57701">
      <w:pPr>
        <w:spacing w:after="240"/>
        <w:ind w:left="2160" w:hanging="720"/>
      </w:pPr>
      <w:r>
        <w:t>(iii)</w:t>
      </w:r>
      <w:r>
        <w:tab/>
        <w:t xml:space="preserve">An </w:t>
      </w:r>
      <w:r w:rsidRPr="001F5A11">
        <w:t>expla</w:t>
      </w:r>
      <w:r>
        <w:t>nation of</w:t>
      </w:r>
      <w:r w:rsidRPr="001F5A11">
        <w:t xml:space="preserve"> the nature of the loss</w:t>
      </w:r>
      <w:r>
        <w:t xml:space="preserve"> and</w:t>
      </w:r>
      <w:r w:rsidRPr="001F5A11">
        <w:t xml:space="preserve"> how it was a</w:t>
      </w:r>
      <w:r>
        <w:t>ttributable to the HDL override</w:t>
      </w:r>
      <w:r w:rsidR="001B1AFA">
        <w:t xml:space="preserve"> or equivalent VDI issued by ERCOT</w:t>
      </w:r>
      <w:r>
        <w:t>;</w:t>
      </w:r>
      <w:r w:rsidRPr="001F5A11">
        <w:t xml:space="preserve"> and </w:t>
      </w:r>
    </w:p>
    <w:p w14:paraId="0164DD13" w14:textId="77777777" w:rsidR="00C57701" w:rsidRPr="001F5A11" w:rsidRDefault="00C57701" w:rsidP="00C57701">
      <w:pPr>
        <w:spacing w:after="240"/>
        <w:ind w:left="2160" w:hanging="720"/>
      </w:pPr>
      <w:r>
        <w:t>(iv)</w:t>
      </w:r>
      <w:r>
        <w:tab/>
        <w:t>S</w:t>
      </w:r>
      <w:r w:rsidRPr="001F5A11">
        <w:t>ufficient documentation to support the QSE’s calculation of the amount of the financial loss.</w:t>
      </w:r>
    </w:p>
    <w:p w14:paraId="15044D1F" w14:textId="77777777" w:rsidR="001D09AB" w:rsidRPr="00204B25" w:rsidRDefault="001D09AB" w:rsidP="001D09AB">
      <w:pPr>
        <w:spacing w:after="240"/>
        <w:ind w:left="720" w:hanging="720"/>
        <w:rPr>
          <w:color w:val="000000"/>
        </w:rPr>
      </w:pPr>
      <w:r w:rsidRPr="00204B25">
        <w:rPr>
          <w:color w:val="000000"/>
        </w:rPr>
        <w:t>(2)</w:t>
      </w:r>
      <w:r w:rsidRPr="00204B25">
        <w:rPr>
          <w:color w:val="000000"/>
        </w:rPr>
        <w:tab/>
        <w:t xml:space="preserve">Notwithstanding the attestation requirement described in paragraph (1)(d) above, for QSEs filing </w:t>
      </w:r>
      <w:r w:rsidRPr="00204B25">
        <w:t xml:space="preserve">a demonstrable financial loss per paragraph (1)(c)(iii) above, the attestation must also </w:t>
      </w:r>
      <w:r w:rsidRPr="00204B25">
        <w:rPr>
          <w:color w:val="000000"/>
        </w:rPr>
        <w:t>state that the Resource with the HDL override was serving the Load in the same QSE portfolio as the Resource, at the time the HDL override was issued.</w:t>
      </w:r>
    </w:p>
    <w:p w14:paraId="610F5183" w14:textId="77777777" w:rsidR="001D09AB" w:rsidRPr="00204B25" w:rsidRDefault="001D09AB" w:rsidP="001D09AB">
      <w:pPr>
        <w:spacing w:after="240"/>
        <w:ind w:left="720" w:hanging="720"/>
        <w:rPr>
          <w:color w:val="000000"/>
        </w:rPr>
      </w:pPr>
      <w:r w:rsidRPr="00204B25">
        <w:rPr>
          <w:color w:val="000000"/>
        </w:rPr>
        <w:t>(3)</w:t>
      </w:r>
      <w:r w:rsidRPr="00204B25">
        <w:rPr>
          <w:color w:val="000000"/>
        </w:rPr>
        <w:tab/>
        <w:t xml:space="preserve">If the total Settlement amount of High Dispatch Limit Override Energy Payment exceeds $3.5 million in a calendar year, ERCOT will report to the Technical Advisory Committee (TAC) the causes of the payments and provide recommendations on how to reduce the </w:t>
      </w:r>
      <w:r w:rsidRPr="00204B25">
        <w:rPr>
          <w:color w:val="000000"/>
        </w:rPr>
        <w:lastRenderedPageBreak/>
        <w:t>costs both operationally and based on the eligible demonstrable financial loss criteria in paragraph (1)(c) above.</w:t>
      </w:r>
    </w:p>
    <w:p w14:paraId="1581C2B9" w14:textId="3B1E7826" w:rsidR="00C57701" w:rsidRDefault="00C57701" w:rsidP="00C57701">
      <w:pPr>
        <w:spacing w:after="240"/>
        <w:ind w:left="720" w:hanging="720"/>
        <w:rPr>
          <w:color w:val="000000"/>
        </w:rPr>
      </w:pPr>
      <w:r w:rsidRPr="00A87F21">
        <w:rPr>
          <w:color w:val="000000"/>
        </w:rPr>
        <w:t>(</w:t>
      </w:r>
      <w:r w:rsidR="001D09AB">
        <w:rPr>
          <w:color w:val="000000"/>
        </w:rPr>
        <w:t>4</w:t>
      </w:r>
      <w:r w:rsidRPr="00A87F21">
        <w:rPr>
          <w:color w:val="000000"/>
        </w:rPr>
        <w:t>)</w:t>
      </w:r>
      <w:r w:rsidRPr="00A87F21">
        <w:rPr>
          <w:color w:val="000000"/>
        </w:rPr>
        <w:tab/>
      </w:r>
      <w:r>
        <w:rPr>
          <w:color w:val="000000"/>
        </w:rPr>
        <w:t xml:space="preserve">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 High Dispatch Limit Override Energy Payment within 15 Business Days of the updated submission. </w:t>
      </w:r>
    </w:p>
    <w:p w14:paraId="2E17FC1D" w14:textId="3586289E" w:rsidR="00C57701" w:rsidRDefault="00C57701" w:rsidP="00C57701">
      <w:pPr>
        <w:spacing w:after="240"/>
        <w:ind w:left="720" w:hanging="720"/>
        <w:rPr>
          <w:color w:val="000000"/>
        </w:rPr>
      </w:pPr>
      <w:r>
        <w:rPr>
          <w:color w:val="000000"/>
        </w:rPr>
        <w:t>(</w:t>
      </w:r>
      <w:r w:rsidR="001D09AB">
        <w:rPr>
          <w:color w:val="000000"/>
        </w:rPr>
        <w:t>5</w:t>
      </w:r>
      <w:r>
        <w:rPr>
          <w:color w:val="000000"/>
        </w:rPr>
        <w:t>)</w:t>
      </w:r>
      <w:r>
        <w:rPr>
          <w:color w:val="000000"/>
        </w:rPr>
        <w:tab/>
        <w:t xml:space="preserve">The Energy Offer Curve used to calculate the Real-Time High Dispatch Limit Override Energy Payment will be the most recent valid Energy Offer Curve received by ERCOT that was effective for the disputed interval(s) when the HDL override </w:t>
      </w:r>
      <w:r w:rsidR="00D92457">
        <w:rPr>
          <w:color w:val="000000"/>
        </w:rPr>
        <w:t xml:space="preserve">or equivalent VDI </w:t>
      </w:r>
      <w:r>
        <w:rPr>
          <w:color w:val="000000"/>
        </w:rPr>
        <w:t xml:space="preserve">was issued.  If no curve exists for the interval being disputed, ERCOT will use the most recent valid Energy Offer Curve received before the HDL override </w:t>
      </w:r>
      <w:r w:rsidR="00D92457">
        <w:rPr>
          <w:color w:val="000000"/>
        </w:rPr>
        <w:t xml:space="preserve">or equivalent VDI </w:t>
      </w:r>
      <w:r>
        <w:rPr>
          <w:color w:val="000000"/>
        </w:rPr>
        <w:t>was issued for an interval prior to the disputed interval(s).</w:t>
      </w:r>
    </w:p>
    <w:p w14:paraId="692FBFC2" w14:textId="77777777" w:rsidR="00C57701" w:rsidRPr="00A87F21" w:rsidRDefault="00C57701" w:rsidP="00A27C4B">
      <w:pPr>
        <w:spacing w:after="240"/>
        <w:ind w:left="720"/>
        <w:rPr>
          <w:color w:val="000000"/>
        </w:rPr>
      </w:pPr>
      <w:r w:rsidRPr="00A87F21">
        <w:rPr>
          <w:color w:val="000000"/>
        </w:rPr>
        <w:t xml:space="preserve">The payment shall be calculated as follows:  </w:t>
      </w:r>
    </w:p>
    <w:p w14:paraId="67DC6827" w14:textId="613011F2" w:rsidR="00C57701" w:rsidRPr="00050961" w:rsidRDefault="00C57701" w:rsidP="000D7680">
      <w:pPr>
        <w:tabs>
          <w:tab w:val="left" w:pos="1440"/>
          <w:tab w:val="left" w:pos="2340"/>
        </w:tabs>
        <w:spacing w:after="240"/>
        <w:ind w:left="3420" w:hanging="2700"/>
        <w:jc w:val="both"/>
        <w:rPr>
          <w:b/>
          <w:bCs/>
          <w:lang w:val="pt-BR"/>
        </w:rPr>
      </w:pPr>
      <w:r w:rsidRPr="00050961">
        <w:rPr>
          <w:b/>
          <w:bCs/>
          <w:lang w:val="pt-BR"/>
        </w:rPr>
        <w:t xml:space="preserve">HDLOEAMT </w:t>
      </w:r>
      <w:r w:rsidRPr="00050961">
        <w:rPr>
          <w:b/>
          <w:bCs/>
          <w:i/>
          <w:vertAlign w:val="subscript"/>
          <w:lang w:val="es-ES"/>
        </w:rPr>
        <w:t xml:space="preserve">q, r, p, i </w:t>
      </w:r>
      <w:r w:rsidRPr="00050961">
        <w:rPr>
          <w:b/>
          <w:bCs/>
          <w:lang w:val="pt-BR"/>
        </w:rPr>
        <w:t xml:space="preserve">=  </w:t>
      </w:r>
      <w:r w:rsidRPr="00050961">
        <w:rPr>
          <w:b/>
          <w:bCs/>
        </w:rPr>
        <w:t>(-1) * Min {HDLOAL</w:t>
      </w:r>
      <w:r w:rsidRPr="00050961">
        <w:rPr>
          <w:b/>
          <w:bCs/>
          <w:i/>
          <w:vertAlign w:val="subscript"/>
          <w:lang w:val="pt-BR"/>
        </w:rPr>
        <w:t xml:space="preserve"> q, r, p, i</w:t>
      </w:r>
      <w:r w:rsidRPr="00A27C4B">
        <w:rPr>
          <w:b/>
          <w:bCs/>
          <w:i/>
          <w:iCs/>
          <w:vertAlign w:val="subscript"/>
        </w:rPr>
        <w:t>,</w:t>
      </w:r>
      <w:r w:rsidRPr="00050961">
        <w:rPr>
          <w:b/>
          <w:bCs/>
        </w:rPr>
        <w:t xml:space="preserve"> Max(0, ((RTSPP</w:t>
      </w:r>
      <w:r w:rsidR="002E3DBC">
        <w:rPr>
          <w:b/>
          <w:bCs/>
        </w:rPr>
        <w:t xml:space="preserve"> </w:t>
      </w:r>
      <w:r w:rsidRPr="00050961">
        <w:rPr>
          <w:b/>
          <w:bCs/>
          <w:i/>
          <w:vertAlign w:val="subscript"/>
        </w:rPr>
        <w:t>p, i</w:t>
      </w:r>
      <w:r w:rsidRPr="00050961">
        <w:rPr>
          <w:b/>
          <w:bCs/>
          <w:lang w:val="pt-BR"/>
        </w:rPr>
        <w:t xml:space="preserve"> – </w:t>
      </w:r>
      <w:r w:rsidRPr="00050961">
        <w:rPr>
          <w:b/>
          <w:bCs/>
        </w:rPr>
        <w:t>RTRSVPOR</w:t>
      </w:r>
      <w:r w:rsidRPr="00050961">
        <w:rPr>
          <w:b/>
          <w:bCs/>
          <w:i/>
          <w:vertAlign w:val="subscript"/>
        </w:rPr>
        <w:t xml:space="preserve"> i</w:t>
      </w:r>
      <w:r w:rsidRPr="00050961">
        <w:rPr>
          <w:b/>
          <w:bCs/>
        </w:rPr>
        <w:t xml:space="preserve"> </w:t>
      </w:r>
      <w:r w:rsidRPr="00050961">
        <w:rPr>
          <w:b/>
          <w:bCs/>
          <w:lang w:val="pt-BR"/>
        </w:rPr>
        <w:t xml:space="preserve">– </w:t>
      </w:r>
      <w:r w:rsidRPr="00050961">
        <w:rPr>
          <w:b/>
          <w:bCs/>
        </w:rPr>
        <w:t>RTRDP</w:t>
      </w:r>
      <w:r w:rsidRPr="00050961">
        <w:rPr>
          <w:b/>
          <w:bCs/>
          <w:i/>
          <w:vertAlign w:val="subscript"/>
        </w:rPr>
        <w:t xml:space="preserve"> i</w:t>
      </w:r>
      <w:r w:rsidRPr="00050961">
        <w:rPr>
          <w:b/>
          <w:bCs/>
          <w:lang w:val="pt-BR"/>
        </w:rPr>
        <w:t xml:space="preserve"> – </w:t>
      </w:r>
      <w:r w:rsidR="005911C2" w:rsidRPr="009716C5">
        <w:rPr>
          <w:b/>
          <w:bCs/>
          <w:lang w:val="pt-BR"/>
        </w:rPr>
        <w:t>RTEOCOST</w:t>
      </w:r>
      <w:r w:rsidR="005911C2">
        <w:rPr>
          <w:b/>
          <w:bCs/>
          <w:lang w:val="pt-BR"/>
        </w:rPr>
        <w:t xml:space="preserve"> </w:t>
      </w:r>
      <w:r w:rsidR="005911C2" w:rsidRPr="009716C5">
        <w:rPr>
          <w:b/>
          <w:bCs/>
          <w:i/>
          <w:vertAlign w:val="subscript"/>
          <w:lang w:val="pt-BR"/>
        </w:rPr>
        <w:t>q, r, i</w:t>
      </w:r>
      <w:r w:rsidRPr="00050961">
        <w:rPr>
          <w:b/>
          <w:bCs/>
          <w:lang w:val="pt-BR"/>
        </w:rPr>
        <w:t>) * HDLOQTY</w:t>
      </w:r>
      <w:r w:rsidRPr="00050961">
        <w:rPr>
          <w:b/>
          <w:bCs/>
          <w:i/>
          <w:vertAlign w:val="subscript"/>
        </w:rPr>
        <w:t xml:space="preserve"> q, r, p, i</w:t>
      </w:r>
      <w:r w:rsidRPr="00050961">
        <w:rPr>
          <w:b/>
          <w:bCs/>
          <w:lang w:val="pt-BR"/>
        </w:rPr>
        <w:t>))}</w:t>
      </w:r>
    </w:p>
    <w:p w14:paraId="0D948D44" w14:textId="77777777" w:rsidR="00C57701" w:rsidRPr="00A87F21" w:rsidRDefault="00C57701" w:rsidP="00FB599C">
      <w:pPr>
        <w:tabs>
          <w:tab w:val="left" w:pos="1440"/>
          <w:tab w:val="left" w:pos="2340"/>
        </w:tabs>
        <w:spacing w:after="240"/>
        <w:ind w:left="3420" w:hanging="2700"/>
        <w:jc w:val="both"/>
        <w:rPr>
          <w:bCs/>
          <w:lang w:val="pt-BR"/>
        </w:rPr>
      </w:pPr>
      <w:r w:rsidRPr="00A87F21">
        <w:rPr>
          <w:bCs/>
          <w:lang w:val="pt-BR"/>
        </w:rPr>
        <w:t>Where:</w:t>
      </w:r>
    </w:p>
    <w:p w14:paraId="16FC2F2A" w14:textId="77777777" w:rsidR="00C57701" w:rsidRPr="00A87F21" w:rsidRDefault="00C57701" w:rsidP="00C57701">
      <w:pPr>
        <w:spacing w:after="240"/>
        <w:ind w:firstLine="720"/>
        <w:rPr>
          <w:b/>
          <w:iCs/>
          <w:lang w:val="pt-BR"/>
        </w:rPr>
      </w:pPr>
      <w:r>
        <w:rPr>
          <w:iCs/>
          <w:lang w:val="pt-BR"/>
        </w:rPr>
        <w:t>HDLO</w:t>
      </w:r>
      <w:r w:rsidRPr="00A87F21">
        <w:rPr>
          <w:iCs/>
          <w:lang w:val="pt-BR"/>
        </w:rPr>
        <w:t>QTY</w:t>
      </w:r>
      <w:r w:rsidRPr="00A87F21">
        <w:rPr>
          <w:i/>
          <w:iCs/>
          <w:vertAlign w:val="subscript"/>
        </w:rPr>
        <w:t xml:space="preserve"> q, r, p, i</w:t>
      </w:r>
      <w:r w:rsidRPr="00A87F21">
        <w:rPr>
          <w:iCs/>
          <w:lang w:val="pt-BR"/>
        </w:rPr>
        <w:t xml:space="preserve">       =  Max(0, (¼ (</w:t>
      </w:r>
      <w:r>
        <w:rPr>
          <w:iCs/>
          <w:lang w:val="pt-BR"/>
        </w:rPr>
        <w:t>HDLO</w:t>
      </w:r>
      <w:r w:rsidRPr="00A87F21">
        <w:rPr>
          <w:iCs/>
        </w:rPr>
        <w:t>BRKP</w:t>
      </w:r>
      <w:r w:rsidRPr="00A87F21">
        <w:rPr>
          <w:i/>
          <w:iCs/>
          <w:vertAlign w:val="subscript"/>
        </w:rPr>
        <w:t xml:space="preserve"> q, r, p, i</w:t>
      </w:r>
      <w:r w:rsidRPr="00A87F21">
        <w:rPr>
          <w:iCs/>
          <w:lang w:val="pt-BR"/>
        </w:rPr>
        <w:t xml:space="preserve"> – </w:t>
      </w:r>
      <w:r w:rsidRPr="00A87F21">
        <w:rPr>
          <w:iCs/>
        </w:rPr>
        <w:t xml:space="preserve">AVGHDL </w:t>
      </w:r>
      <w:r w:rsidRPr="00A87F21">
        <w:rPr>
          <w:i/>
          <w:iCs/>
          <w:vertAlign w:val="subscript"/>
          <w:lang w:val="es-ES"/>
        </w:rPr>
        <w:t>q, r, p, i</w:t>
      </w:r>
      <w:r w:rsidRPr="00A87F21">
        <w:rPr>
          <w:iCs/>
          <w:lang w:val="pt-BR"/>
        </w:rPr>
        <w:t>)))</w:t>
      </w:r>
    </w:p>
    <w:p w14:paraId="63AA2058" w14:textId="41FE0FC0" w:rsidR="00C57701" w:rsidRPr="00A87F21" w:rsidRDefault="00C57701" w:rsidP="00C57701">
      <w:pPr>
        <w:tabs>
          <w:tab w:val="left" w:pos="1440"/>
          <w:tab w:val="left" w:pos="2340"/>
        </w:tabs>
        <w:spacing w:after="240"/>
        <w:ind w:left="3420" w:hanging="2700"/>
        <w:jc w:val="both"/>
        <w:rPr>
          <w:bCs/>
        </w:rPr>
      </w:pPr>
      <w:r>
        <w:rPr>
          <w:bCs/>
        </w:rPr>
        <w:t>HDLO</w:t>
      </w:r>
      <w:r w:rsidRPr="00A87F21">
        <w:rPr>
          <w:bCs/>
        </w:rPr>
        <w:t>BRKP</w:t>
      </w:r>
      <w:r w:rsidRPr="00A87F21" w:rsidDel="002F4FD3">
        <w:rPr>
          <w:bCs/>
          <w:lang w:val="pt-BR"/>
        </w:rPr>
        <w:t xml:space="preserve"> </w:t>
      </w:r>
      <w:r w:rsidRPr="00A87F21">
        <w:rPr>
          <w:bCs/>
          <w:i/>
          <w:vertAlign w:val="subscript"/>
          <w:lang w:val="es-ES"/>
        </w:rPr>
        <w:t xml:space="preserve">q, r, p, i </w:t>
      </w:r>
      <w:r w:rsidRPr="00A87F21">
        <w:rPr>
          <w:bCs/>
          <w:vertAlign w:val="subscript"/>
          <w:lang w:val="es-MX"/>
        </w:rPr>
        <w:t xml:space="preserve">     </w:t>
      </w:r>
      <w:r w:rsidRPr="00A87F21">
        <w:rPr>
          <w:bCs/>
        </w:rPr>
        <w:t>=  Min(AVGHASL</w:t>
      </w:r>
      <w:r w:rsidRPr="00A87F21">
        <w:rPr>
          <w:bCs/>
          <w:lang w:val="es-MX"/>
        </w:rPr>
        <w:t xml:space="preserve"> </w:t>
      </w:r>
      <w:r w:rsidRPr="00A87F21">
        <w:rPr>
          <w:bCs/>
          <w:i/>
          <w:vertAlign w:val="subscript"/>
          <w:lang w:val="es-ES"/>
        </w:rPr>
        <w:t>q, r, p, i</w:t>
      </w:r>
      <w:r w:rsidRPr="00A87F21">
        <w:rPr>
          <w:bCs/>
        </w:rPr>
        <w:t xml:space="preserve">, </w:t>
      </w:r>
      <w:r>
        <w:rPr>
          <w:bCs/>
        </w:rPr>
        <w:t>HDLO</w:t>
      </w:r>
      <w:r w:rsidRPr="00A87F21">
        <w:rPr>
          <w:bCs/>
        </w:rPr>
        <w:t>BRKPCP</w:t>
      </w:r>
      <w:r w:rsidRPr="00A87F21">
        <w:rPr>
          <w:bCs/>
          <w:lang w:val="es-MX"/>
        </w:rPr>
        <w:t xml:space="preserve"> </w:t>
      </w:r>
      <w:r w:rsidRPr="00A87F21">
        <w:rPr>
          <w:bCs/>
          <w:i/>
          <w:vertAlign w:val="subscript"/>
          <w:lang w:val="es-ES"/>
        </w:rPr>
        <w:t>q, r, p, i</w:t>
      </w:r>
      <w:r w:rsidRPr="00A87F21">
        <w:rPr>
          <w:bCs/>
        </w:rPr>
        <w:t>)</w:t>
      </w:r>
    </w:p>
    <w:p w14:paraId="10A7B1C1" w14:textId="77777777" w:rsidR="00C57701" w:rsidRPr="00A87F21" w:rsidRDefault="00C57701" w:rsidP="00C57701">
      <w:pPr>
        <w:spacing w:before="120"/>
      </w:pPr>
      <w:r w:rsidRPr="00A87F21">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840"/>
        <w:gridCol w:w="6953"/>
      </w:tblGrid>
      <w:tr w:rsidR="00C57701" w:rsidRPr="00A87F21" w14:paraId="768166CE" w14:textId="77777777" w:rsidTr="00806724">
        <w:trPr>
          <w:cantSplit/>
          <w:trHeight w:val="146"/>
          <w:tblHeader/>
        </w:trPr>
        <w:tc>
          <w:tcPr>
            <w:tcW w:w="833" w:type="pct"/>
          </w:tcPr>
          <w:p w14:paraId="0C5AEE2A" w14:textId="77777777" w:rsidR="00C57701" w:rsidRPr="00A87F21" w:rsidRDefault="00C57701" w:rsidP="00EC4D68">
            <w:pPr>
              <w:spacing w:after="240"/>
              <w:rPr>
                <w:b/>
                <w:iCs/>
                <w:sz w:val="20"/>
              </w:rPr>
            </w:pPr>
            <w:r w:rsidRPr="00A87F21">
              <w:rPr>
                <w:b/>
                <w:iCs/>
                <w:sz w:val="20"/>
              </w:rPr>
              <w:t>Variable</w:t>
            </w:r>
          </w:p>
        </w:tc>
        <w:tc>
          <w:tcPr>
            <w:tcW w:w="449" w:type="pct"/>
          </w:tcPr>
          <w:p w14:paraId="176F8BD0" w14:textId="77777777" w:rsidR="00C57701" w:rsidRPr="00A87F21" w:rsidRDefault="00C57701" w:rsidP="00EC4D68">
            <w:pPr>
              <w:spacing w:after="240"/>
              <w:rPr>
                <w:b/>
                <w:iCs/>
                <w:sz w:val="20"/>
              </w:rPr>
            </w:pPr>
            <w:r w:rsidRPr="00A87F21">
              <w:rPr>
                <w:b/>
                <w:iCs/>
                <w:sz w:val="20"/>
              </w:rPr>
              <w:t>Unit</w:t>
            </w:r>
          </w:p>
        </w:tc>
        <w:tc>
          <w:tcPr>
            <w:tcW w:w="3718" w:type="pct"/>
          </w:tcPr>
          <w:p w14:paraId="2D537A23" w14:textId="77777777" w:rsidR="00C57701" w:rsidRPr="00A87F21" w:rsidRDefault="00C57701" w:rsidP="00EC4D68">
            <w:pPr>
              <w:spacing w:after="240"/>
              <w:rPr>
                <w:b/>
                <w:iCs/>
                <w:sz w:val="20"/>
              </w:rPr>
            </w:pPr>
            <w:r w:rsidRPr="00A87F21">
              <w:rPr>
                <w:b/>
                <w:iCs/>
                <w:sz w:val="20"/>
              </w:rPr>
              <w:t>Definition</w:t>
            </w:r>
          </w:p>
        </w:tc>
      </w:tr>
      <w:tr w:rsidR="00C57701" w:rsidRPr="00A87F21" w14:paraId="0F315E2E" w14:textId="77777777" w:rsidTr="00806724">
        <w:trPr>
          <w:cantSplit/>
          <w:trHeight w:val="146"/>
        </w:trPr>
        <w:tc>
          <w:tcPr>
            <w:tcW w:w="833" w:type="pct"/>
          </w:tcPr>
          <w:p w14:paraId="5D51E1B9" w14:textId="77777777" w:rsidR="00C57701" w:rsidRPr="00A87F21" w:rsidDel="00510368" w:rsidRDefault="00C57701" w:rsidP="00EC4D68">
            <w:pPr>
              <w:spacing w:after="60"/>
              <w:rPr>
                <w:iCs/>
                <w:sz w:val="20"/>
              </w:rPr>
            </w:pPr>
            <w:r w:rsidRPr="00AA2F5C">
              <w:rPr>
                <w:bCs/>
                <w:sz w:val="20"/>
              </w:rPr>
              <w:t>HDLOAL</w:t>
            </w:r>
            <w:r w:rsidRPr="00A87F21">
              <w:rPr>
                <w:b/>
                <w:i/>
                <w:iCs/>
                <w:sz w:val="20"/>
                <w:vertAlign w:val="subscript"/>
                <w:lang w:val="es-ES"/>
              </w:rPr>
              <w:t xml:space="preserve"> q, r, p, i</w:t>
            </w:r>
          </w:p>
        </w:tc>
        <w:tc>
          <w:tcPr>
            <w:tcW w:w="449" w:type="pct"/>
          </w:tcPr>
          <w:p w14:paraId="294D5DD6" w14:textId="77777777" w:rsidR="00C57701" w:rsidRPr="00A87F21" w:rsidRDefault="00C57701" w:rsidP="00EC4D68">
            <w:pPr>
              <w:spacing w:after="60"/>
              <w:rPr>
                <w:iCs/>
                <w:sz w:val="20"/>
              </w:rPr>
            </w:pPr>
            <w:r>
              <w:rPr>
                <w:iCs/>
                <w:sz w:val="20"/>
              </w:rPr>
              <w:t>$</w:t>
            </w:r>
          </w:p>
        </w:tc>
        <w:tc>
          <w:tcPr>
            <w:tcW w:w="3718" w:type="pct"/>
          </w:tcPr>
          <w:p w14:paraId="1815963D" w14:textId="232077F1" w:rsidR="00C57701" w:rsidRPr="00A87F21" w:rsidDel="0058447D" w:rsidRDefault="00C57701" w:rsidP="00EC4D68">
            <w:pPr>
              <w:spacing w:after="60"/>
              <w:rPr>
                <w:i/>
                <w:iCs/>
                <w:sz w:val="20"/>
              </w:rPr>
            </w:pPr>
            <w:r>
              <w:rPr>
                <w:i/>
                <w:iCs/>
                <w:sz w:val="20"/>
              </w:rPr>
              <w:t>High Dispatch Limit override attested losses</w:t>
            </w:r>
            <w:r w:rsidR="00683A03" w:rsidRPr="00A87F21">
              <w:rPr>
                <w:iCs/>
                <w:sz w:val="20"/>
              </w:rPr>
              <w:t>—</w:t>
            </w:r>
            <w:r w:rsidRPr="00AA2F5C">
              <w:rPr>
                <w:iCs/>
                <w:sz w:val="20"/>
              </w:rPr>
              <w:t xml:space="preserve">The financial loss to the QSE due to the </w:t>
            </w:r>
            <w:r>
              <w:rPr>
                <w:iCs/>
                <w:sz w:val="20"/>
              </w:rPr>
              <w:t>HDL</w:t>
            </w:r>
            <w:r w:rsidRPr="00AA2F5C">
              <w:rPr>
                <w:iCs/>
                <w:sz w:val="20"/>
              </w:rPr>
              <w:t xml:space="preserve"> override as attested by the QSE </w:t>
            </w:r>
            <w:r>
              <w:rPr>
                <w:iCs/>
                <w:sz w:val="20"/>
              </w:rPr>
              <w:t>in accordance with paragraph (1)(d) above</w:t>
            </w:r>
            <w:r w:rsidRPr="00AA2F5C">
              <w:rPr>
                <w:iCs/>
                <w:sz w:val="20"/>
              </w:rPr>
              <w:t>.</w:t>
            </w:r>
          </w:p>
        </w:tc>
      </w:tr>
      <w:tr w:rsidR="00C57701" w:rsidRPr="00A87F21" w14:paraId="229295B6" w14:textId="77777777" w:rsidTr="00806724">
        <w:trPr>
          <w:cantSplit/>
          <w:trHeight w:val="146"/>
        </w:trPr>
        <w:tc>
          <w:tcPr>
            <w:tcW w:w="833" w:type="pct"/>
          </w:tcPr>
          <w:p w14:paraId="73F6D124" w14:textId="77777777" w:rsidR="00C57701" w:rsidRPr="00A87F21" w:rsidRDefault="00C57701" w:rsidP="00EC4D68">
            <w:pPr>
              <w:spacing w:after="60"/>
              <w:rPr>
                <w:iCs/>
                <w:sz w:val="20"/>
              </w:rPr>
            </w:pPr>
            <w:r>
              <w:rPr>
                <w:iCs/>
                <w:sz w:val="20"/>
              </w:rPr>
              <w:t>HDLO</w:t>
            </w:r>
            <w:r w:rsidRPr="00A87F21">
              <w:rPr>
                <w:iCs/>
                <w:sz w:val="20"/>
              </w:rPr>
              <w:t xml:space="preserve">EAMT </w:t>
            </w:r>
            <w:r w:rsidRPr="00A87F21">
              <w:rPr>
                <w:b/>
                <w:i/>
                <w:iCs/>
                <w:sz w:val="20"/>
                <w:vertAlign w:val="subscript"/>
                <w:lang w:val="es-ES"/>
              </w:rPr>
              <w:t>q, r, p, i</w:t>
            </w:r>
          </w:p>
        </w:tc>
        <w:tc>
          <w:tcPr>
            <w:tcW w:w="449" w:type="pct"/>
          </w:tcPr>
          <w:p w14:paraId="5EC24863" w14:textId="77777777" w:rsidR="00C57701" w:rsidRPr="00A87F21" w:rsidRDefault="00C57701" w:rsidP="00EC4D68">
            <w:pPr>
              <w:spacing w:after="60"/>
              <w:rPr>
                <w:iCs/>
                <w:sz w:val="20"/>
              </w:rPr>
            </w:pPr>
            <w:r w:rsidRPr="00A87F21">
              <w:rPr>
                <w:iCs/>
                <w:sz w:val="20"/>
              </w:rPr>
              <w:t>$</w:t>
            </w:r>
          </w:p>
        </w:tc>
        <w:tc>
          <w:tcPr>
            <w:tcW w:w="3718" w:type="pct"/>
          </w:tcPr>
          <w:p w14:paraId="5E5FF6F9" w14:textId="73056B2D" w:rsidR="00C57701" w:rsidRPr="00A87F21" w:rsidRDefault="00C57701" w:rsidP="00EC4D68">
            <w:pPr>
              <w:spacing w:after="60"/>
              <w:rPr>
                <w:iCs/>
                <w:sz w:val="20"/>
              </w:rPr>
            </w:pPr>
            <w:r>
              <w:rPr>
                <w:i/>
                <w:iCs/>
                <w:sz w:val="20"/>
              </w:rPr>
              <w:t>High Dispatch Limit override</w:t>
            </w:r>
            <w:r w:rsidRPr="00A87F21">
              <w:rPr>
                <w:i/>
                <w:iCs/>
                <w:sz w:val="20"/>
              </w:rPr>
              <w:t xml:space="preserve"> energy amount per QSE per Generation Resource</w:t>
            </w:r>
            <w:r w:rsidRPr="00A87F21">
              <w:rPr>
                <w:iCs/>
                <w:sz w:val="20"/>
              </w:rPr>
              <w:t xml:space="preserve">—The payment to QSE </w:t>
            </w:r>
            <w:r w:rsidRPr="00A87F21">
              <w:rPr>
                <w:i/>
                <w:iCs/>
                <w:sz w:val="20"/>
              </w:rPr>
              <w:t>q</w:t>
            </w:r>
            <w:r w:rsidRPr="00A87F21">
              <w:rPr>
                <w:iCs/>
                <w:sz w:val="20"/>
              </w:rPr>
              <w:t xml:space="preserve"> for an ERCOT-issued </w:t>
            </w:r>
            <w:r>
              <w:rPr>
                <w:iCs/>
                <w:sz w:val="20"/>
              </w:rPr>
              <w:t>HDL</w:t>
            </w:r>
            <w:r w:rsidRPr="00A87F21">
              <w:rPr>
                <w:iCs/>
                <w:sz w:val="20"/>
              </w:rPr>
              <w:t xml:space="preserve"> override </w:t>
            </w:r>
            <w:r w:rsidR="00D92457">
              <w:rPr>
                <w:iCs/>
                <w:sz w:val="20"/>
              </w:rPr>
              <w:t xml:space="preserve">or equivalent VDI </w:t>
            </w:r>
            <w:r w:rsidRPr="00A87F21">
              <w:rPr>
                <w:iCs/>
                <w:sz w:val="20"/>
              </w:rPr>
              <w:t xml:space="preserve">for Generation Resource </w:t>
            </w:r>
            <w:r w:rsidRPr="00A87F21">
              <w:rPr>
                <w:i/>
                <w:iCs/>
                <w:sz w:val="20"/>
              </w:rPr>
              <w:t>r</w:t>
            </w:r>
            <w:r w:rsidRPr="00A87F21">
              <w:rPr>
                <w:iCs/>
                <w:sz w:val="20"/>
              </w:rPr>
              <w:t xml:space="preserve"> at Settlement Point </w:t>
            </w:r>
            <w:r w:rsidRPr="00A87F21">
              <w:rPr>
                <w:i/>
                <w:iCs/>
                <w:sz w:val="20"/>
              </w:rPr>
              <w:t xml:space="preserve">p </w:t>
            </w:r>
            <w:r w:rsidRPr="00A87F21">
              <w:rPr>
                <w:iCs/>
                <w:sz w:val="20"/>
              </w:rPr>
              <w:t>for the 15-minute Settlement Interval</w:t>
            </w:r>
            <w:r>
              <w:rPr>
                <w:iCs/>
                <w:sz w:val="20"/>
              </w:rPr>
              <w:t xml:space="preserve"> </w:t>
            </w:r>
            <w:r w:rsidRPr="00AA2F5C">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40C2BFDF" w14:textId="77777777" w:rsidTr="00806724">
        <w:trPr>
          <w:cantSplit/>
          <w:trHeight w:val="146"/>
        </w:trPr>
        <w:tc>
          <w:tcPr>
            <w:tcW w:w="833" w:type="pct"/>
          </w:tcPr>
          <w:p w14:paraId="6C862621" w14:textId="2FA623B5" w:rsidR="00C57701" w:rsidRPr="00A87F21" w:rsidRDefault="00C57701" w:rsidP="00EC4D68">
            <w:pPr>
              <w:spacing w:after="60"/>
              <w:rPr>
                <w:iCs/>
                <w:sz w:val="20"/>
              </w:rPr>
            </w:pPr>
            <w:r>
              <w:rPr>
                <w:iCs/>
                <w:sz w:val="20"/>
              </w:rPr>
              <w:t>HDLO</w:t>
            </w:r>
            <w:r w:rsidRPr="00A87F21">
              <w:rPr>
                <w:iCs/>
                <w:sz w:val="20"/>
              </w:rPr>
              <w:t>BRKP</w:t>
            </w:r>
            <w:r w:rsidR="002E3DBC">
              <w:rPr>
                <w:iCs/>
                <w:sz w:val="20"/>
              </w:rPr>
              <w:t xml:space="preserve"> </w:t>
            </w:r>
            <w:r w:rsidRPr="00A87F21">
              <w:rPr>
                <w:b/>
                <w:i/>
                <w:iCs/>
                <w:sz w:val="20"/>
                <w:vertAlign w:val="subscript"/>
                <w:lang w:val="es-ES"/>
              </w:rPr>
              <w:t>q, r, p, i</w:t>
            </w:r>
          </w:p>
        </w:tc>
        <w:tc>
          <w:tcPr>
            <w:tcW w:w="449" w:type="pct"/>
          </w:tcPr>
          <w:p w14:paraId="7171B6F9" w14:textId="77777777" w:rsidR="00C57701" w:rsidRPr="00A87F21" w:rsidRDefault="00C57701" w:rsidP="00EC4D68">
            <w:pPr>
              <w:spacing w:after="60"/>
              <w:rPr>
                <w:iCs/>
                <w:sz w:val="20"/>
              </w:rPr>
            </w:pPr>
            <w:r w:rsidRPr="00A87F21">
              <w:rPr>
                <w:iCs/>
                <w:sz w:val="20"/>
              </w:rPr>
              <w:t>MW</w:t>
            </w:r>
          </w:p>
        </w:tc>
        <w:tc>
          <w:tcPr>
            <w:tcW w:w="3718" w:type="pct"/>
          </w:tcPr>
          <w:p w14:paraId="32855961" w14:textId="77777777" w:rsidR="00C57701" w:rsidRPr="00A87F21" w:rsidRDefault="00C57701" w:rsidP="00EC4D68">
            <w:pPr>
              <w:spacing w:after="60"/>
              <w:rPr>
                <w:i/>
                <w:iCs/>
                <w:sz w:val="20"/>
              </w:rPr>
            </w:pPr>
            <w:r>
              <w:rPr>
                <w:i/>
                <w:iCs/>
                <w:sz w:val="20"/>
              </w:rPr>
              <w:t>High Dispatch Limit override</w:t>
            </w:r>
            <w:r w:rsidRPr="00A87F21">
              <w:rPr>
                <w:i/>
                <w:iCs/>
                <w:sz w:val="20"/>
              </w:rPr>
              <w:t xml:space="preserve"> break point per QSE per Resource</w:t>
            </w:r>
            <w:r w:rsidRPr="00A87F21">
              <w:rPr>
                <w:iCs/>
                <w:sz w:val="20"/>
              </w:rPr>
              <w:t xml:space="preserve">—The point on the Energy Offer Curve corresponding to the lesser of the AVGHASL or the interception between the RTSPP of the Generation Resource </w:t>
            </w:r>
            <w:r w:rsidRPr="00050961">
              <w:rPr>
                <w:i/>
                <w:iCs/>
                <w:sz w:val="20"/>
              </w:rPr>
              <w:t>r</w:t>
            </w:r>
            <w:r w:rsidRPr="00A87F21">
              <w:rPr>
                <w:iCs/>
                <w:sz w:val="20"/>
              </w:rPr>
              <w:t xml:space="preserve"> represented by QSE </w:t>
            </w:r>
            <w:r w:rsidRPr="00A87F21">
              <w:rPr>
                <w:i/>
                <w:iCs/>
                <w:sz w:val="20"/>
              </w:rPr>
              <w:t>q</w:t>
            </w:r>
            <w:r w:rsidRPr="00A87F21">
              <w:rPr>
                <w:iCs/>
                <w:sz w:val="20"/>
              </w:rPr>
              <w:t xml:space="preserve"> minus the Real-Time Reserve Price for On-Line Reserves and the Real-Time On-Line Reliability Deployment Price and the Energy Offer Curve of Generation Resource </w:t>
            </w:r>
            <w:r w:rsidRPr="00A87F21">
              <w:rPr>
                <w:i/>
                <w:iCs/>
                <w:sz w:val="20"/>
              </w:rPr>
              <w:t>r</w:t>
            </w:r>
            <w:r w:rsidRPr="00A87F21">
              <w:rPr>
                <w:iCs/>
                <w:sz w:val="20"/>
              </w:rPr>
              <w:t xml:space="preserve"> represented by QSE </w:t>
            </w:r>
            <w:r w:rsidRPr="00A87F21">
              <w:rPr>
                <w:i/>
                <w:iCs/>
                <w:sz w:val="20"/>
              </w:rPr>
              <w:t>q</w:t>
            </w:r>
            <w:r w:rsidRPr="00A87F21">
              <w:rPr>
                <w:iCs/>
                <w:sz w:val="20"/>
              </w:rPr>
              <w:t xml:space="preserve">, for the 15-minute Settlement Interval </w:t>
            </w:r>
            <w:r w:rsidRPr="00A87F21">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75342166" w14:textId="77777777" w:rsidTr="00806724">
        <w:trPr>
          <w:cantSplit/>
          <w:trHeight w:val="146"/>
        </w:trPr>
        <w:tc>
          <w:tcPr>
            <w:tcW w:w="833" w:type="pct"/>
          </w:tcPr>
          <w:p w14:paraId="0A479B7E" w14:textId="1138DED3" w:rsidR="00C57701" w:rsidRPr="00A87F21" w:rsidRDefault="00C57701" w:rsidP="00EC4D68">
            <w:pPr>
              <w:spacing w:after="60"/>
              <w:rPr>
                <w:iCs/>
                <w:sz w:val="20"/>
              </w:rPr>
            </w:pPr>
            <w:r w:rsidRPr="00A87F21">
              <w:rPr>
                <w:iCs/>
                <w:sz w:val="20"/>
              </w:rPr>
              <w:lastRenderedPageBreak/>
              <w:t>AVGHDL</w:t>
            </w:r>
            <w:r w:rsidR="00176A26">
              <w:rPr>
                <w:iCs/>
                <w:sz w:val="20"/>
              </w:rPr>
              <w:t xml:space="preserve"> </w:t>
            </w:r>
            <w:r w:rsidRPr="00A87F21">
              <w:rPr>
                <w:b/>
                <w:i/>
                <w:iCs/>
                <w:sz w:val="20"/>
                <w:vertAlign w:val="subscript"/>
                <w:lang w:val="es-ES"/>
              </w:rPr>
              <w:t>q, r, p, i</w:t>
            </w:r>
          </w:p>
        </w:tc>
        <w:tc>
          <w:tcPr>
            <w:tcW w:w="449" w:type="pct"/>
          </w:tcPr>
          <w:p w14:paraId="7824DD34" w14:textId="77777777" w:rsidR="00C57701" w:rsidRPr="00A87F21" w:rsidRDefault="00C57701" w:rsidP="00EC4D68">
            <w:pPr>
              <w:spacing w:after="60"/>
              <w:rPr>
                <w:iCs/>
                <w:sz w:val="20"/>
              </w:rPr>
            </w:pPr>
            <w:r w:rsidRPr="00A87F21">
              <w:rPr>
                <w:iCs/>
                <w:sz w:val="20"/>
              </w:rPr>
              <w:t>MW</w:t>
            </w:r>
          </w:p>
        </w:tc>
        <w:tc>
          <w:tcPr>
            <w:tcW w:w="3718" w:type="pct"/>
          </w:tcPr>
          <w:p w14:paraId="39470914" w14:textId="0F6E9BD2" w:rsidR="00C57701" w:rsidRPr="00A87F21" w:rsidRDefault="00C57701" w:rsidP="00EC4D68">
            <w:pPr>
              <w:rPr>
                <w:color w:val="002060"/>
                <w:sz w:val="20"/>
              </w:rPr>
            </w:pPr>
            <w:r w:rsidRPr="00A87F21">
              <w:rPr>
                <w:i/>
                <w:iCs/>
                <w:color w:val="000000"/>
                <w:sz w:val="20"/>
              </w:rPr>
              <w:t>Average High Dispatch Limit per QSE per Settlement Point per Resource</w:t>
            </w:r>
            <w:r w:rsidRPr="00A87F21">
              <w:rPr>
                <w:color w:val="000000"/>
                <w:sz w:val="20"/>
              </w:rPr>
              <w:t xml:space="preserve">—The time-weighted average of all 4-second </w:t>
            </w:r>
            <w:r>
              <w:rPr>
                <w:color w:val="000000"/>
                <w:sz w:val="20"/>
              </w:rPr>
              <w:t>HDL</w:t>
            </w:r>
            <w:r w:rsidRPr="00A87F21">
              <w:rPr>
                <w:color w:val="000000"/>
                <w:sz w:val="20"/>
              </w:rPr>
              <w:t xml:space="preserve"> values calculated by the Resource Limit Calculato</w:t>
            </w:r>
            <w:r w:rsidRPr="00A87F21">
              <w:rPr>
                <w:sz w:val="20"/>
              </w:rPr>
              <w:t xml:space="preserve">r, subject to the </w:t>
            </w:r>
            <w:r w:rsidR="00D92457">
              <w:rPr>
                <w:sz w:val="20"/>
              </w:rPr>
              <w:t xml:space="preserve">maximum of the </w:t>
            </w:r>
            <w:r w:rsidRPr="00A87F21">
              <w:rPr>
                <w:sz w:val="20"/>
              </w:rPr>
              <w:t>manual HDL override</w:t>
            </w:r>
            <w:r w:rsidR="00D92457">
              <w:rPr>
                <w:sz w:val="20"/>
              </w:rPr>
              <w:t xml:space="preserve"> or equivalent VDI and the telemetered output or consumption</w:t>
            </w:r>
            <w:r w:rsidRPr="00A87F21">
              <w:rPr>
                <w:sz w:val="20"/>
              </w:rPr>
              <w:t xml:space="preserve">, for </w:t>
            </w:r>
            <w:r w:rsidRPr="00A87F21">
              <w:rPr>
                <w:color w:val="000000"/>
                <w:sz w:val="20"/>
              </w:rPr>
              <w:t xml:space="preserve">the Generation Resource or </w:t>
            </w:r>
            <w:r w:rsidR="00F144CE">
              <w:rPr>
                <w:color w:val="000000"/>
                <w:sz w:val="20"/>
              </w:rPr>
              <w:t>CLR</w:t>
            </w:r>
            <w:r w:rsidRPr="00A87F21">
              <w:rPr>
                <w:color w:val="000000"/>
                <w:sz w:val="20"/>
              </w:rPr>
              <w:t xml:space="preserve"> </w:t>
            </w:r>
            <w:r w:rsidRPr="00A87F21">
              <w:rPr>
                <w:i/>
                <w:iCs/>
                <w:color w:val="000000"/>
                <w:sz w:val="20"/>
              </w:rPr>
              <w:t>r</w:t>
            </w:r>
            <w:r w:rsidRPr="00A87F21">
              <w:rPr>
                <w:color w:val="000000"/>
                <w:sz w:val="20"/>
              </w:rPr>
              <w:t xml:space="preserve"> represented by QSE </w:t>
            </w:r>
            <w:r w:rsidRPr="00A87F21">
              <w:rPr>
                <w:i/>
                <w:iCs/>
                <w:color w:val="000000"/>
                <w:sz w:val="20"/>
              </w:rPr>
              <w:t>q</w:t>
            </w:r>
            <w:r w:rsidRPr="00A87F21">
              <w:rPr>
                <w:color w:val="000000"/>
                <w:sz w:val="20"/>
              </w:rPr>
              <w:t xml:space="preserve"> at Settlement Point </w:t>
            </w:r>
            <w:r w:rsidRPr="00A87F21">
              <w:rPr>
                <w:i/>
                <w:iCs/>
                <w:color w:val="000000"/>
                <w:sz w:val="20"/>
              </w:rPr>
              <w:t>p</w:t>
            </w:r>
            <w:r w:rsidRPr="00A87F21">
              <w:rPr>
                <w:color w:val="000000"/>
                <w:sz w:val="20"/>
              </w:rPr>
              <w:t xml:space="preserve"> within the 15-minute Settlement Interval </w:t>
            </w:r>
            <w:r w:rsidRPr="00A87F21">
              <w:rPr>
                <w:i/>
                <w:iCs/>
                <w:color w:val="000000"/>
                <w:sz w:val="20"/>
              </w:rPr>
              <w:t>i</w:t>
            </w:r>
            <w:r w:rsidRPr="00A87F21">
              <w:rPr>
                <w:color w:val="000000"/>
                <w:sz w:val="20"/>
              </w:rPr>
              <w:t>.  For a Combined</w:t>
            </w:r>
            <w:r w:rsidRPr="00A87F21">
              <w:rPr>
                <w:sz w:val="20"/>
              </w:rPr>
              <w:t xml:space="preserve"> Cycle Train, the Resource </w:t>
            </w:r>
            <w:r w:rsidRPr="00A87F21">
              <w:rPr>
                <w:i/>
                <w:sz w:val="20"/>
              </w:rPr>
              <w:t xml:space="preserve">r </w:t>
            </w:r>
            <w:r w:rsidRPr="00A87F21">
              <w:rPr>
                <w:sz w:val="20"/>
              </w:rPr>
              <w:t>is a Combined Cycle Generation Resource within the Combined Cycle Train.</w:t>
            </w:r>
            <w:r w:rsidRPr="00A87F21">
              <w:t xml:space="preserve">  </w:t>
            </w:r>
          </w:p>
        </w:tc>
      </w:tr>
      <w:tr w:rsidR="00C57701" w:rsidRPr="00A87F21" w14:paraId="211277A1" w14:textId="77777777" w:rsidTr="00806724">
        <w:trPr>
          <w:cantSplit/>
          <w:trHeight w:val="1430"/>
        </w:trPr>
        <w:tc>
          <w:tcPr>
            <w:tcW w:w="833" w:type="pct"/>
          </w:tcPr>
          <w:p w14:paraId="6BF23DCA" w14:textId="77777777" w:rsidR="00C57701" w:rsidRPr="00A87F21" w:rsidRDefault="00C57701" w:rsidP="00EC4D68">
            <w:pPr>
              <w:spacing w:after="60"/>
              <w:rPr>
                <w:iCs/>
                <w:color w:val="000000"/>
                <w:sz w:val="20"/>
                <w:lang w:val="es-MX"/>
              </w:rPr>
            </w:pPr>
            <w:r w:rsidRPr="00A87F21">
              <w:rPr>
                <w:iCs/>
                <w:color w:val="000000"/>
                <w:sz w:val="20"/>
              </w:rPr>
              <w:t xml:space="preserve">AVGHASL </w:t>
            </w:r>
            <w:r w:rsidRPr="00A87F21">
              <w:rPr>
                <w:b/>
                <w:bCs/>
                <w:i/>
                <w:color w:val="000000"/>
                <w:sz w:val="20"/>
                <w:vertAlign w:val="subscript"/>
                <w:lang w:val="es-ES"/>
              </w:rPr>
              <w:t>q, r, p, i</w:t>
            </w:r>
          </w:p>
        </w:tc>
        <w:tc>
          <w:tcPr>
            <w:tcW w:w="449" w:type="pct"/>
          </w:tcPr>
          <w:p w14:paraId="47395269" w14:textId="77777777" w:rsidR="00C57701" w:rsidRPr="00A87F21" w:rsidRDefault="00C57701" w:rsidP="00EC4D68">
            <w:pPr>
              <w:spacing w:after="60"/>
              <w:rPr>
                <w:iCs/>
                <w:color w:val="000000"/>
                <w:sz w:val="20"/>
              </w:rPr>
            </w:pPr>
            <w:r w:rsidRPr="00A87F21">
              <w:rPr>
                <w:iCs/>
                <w:color w:val="000000"/>
                <w:sz w:val="20"/>
              </w:rPr>
              <w:t>MW</w:t>
            </w:r>
          </w:p>
        </w:tc>
        <w:tc>
          <w:tcPr>
            <w:tcW w:w="3718" w:type="pct"/>
          </w:tcPr>
          <w:p w14:paraId="7D1B72DD" w14:textId="20CF2055" w:rsidR="00C57701" w:rsidRPr="00A87F21" w:rsidRDefault="00C57701" w:rsidP="00EC4D68">
            <w:pPr>
              <w:spacing w:after="60"/>
              <w:rPr>
                <w:i/>
                <w:iCs/>
                <w:color w:val="000000"/>
                <w:sz w:val="20"/>
              </w:rPr>
            </w:pPr>
            <w:r w:rsidRPr="00A87F21">
              <w:rPr>
                <w:i/>
                <w:color w:val="000000"/>
                <w:sz w:val="20"/>
              </w:rPr>
              <w:t>Average High Ancillary Service Limit per QSE per Settlement Point per Resource</w:t>
            </w:r>
            <w:r w:rsidRPr="00A87F21">
              <w:rPr>
                <w:iCs/>
                <w:color w:val="000000"/>
                <w:sz w:val="20"/>
              </w:rPr>
              <w:t xml:space="preserve">—The time-weighted average High Ancillary Service Limit </w:t>
            </w:r>
            <w:r>
              <w:rPr>
                <w:iCs/>
                <w:color w:val="000000"/>
                <w:sz w:val="20"/>
              </w:rPr>
              <w:t xml:space="preserve">(HASL) </w:t>
            </w:r>
            <w:r w:rsidRPr="00A87F21">
              <w:rPr>
                <w:iCs/>
                <w:color w:val="000000"/>
                <w:sz w:val="20"/>
              </w:rPr>
              <w:t xml:space="preserve">calculated every four seconds by the Resource Limit Calculator for the Generation Resource or </w:t>
            </w:r>
            <w:r w:rsidR="00F144CE">
              <w:rPr>
                <w:iCs/>
                <w:color w:val="000000"/>
                <w:sz w:val="20"/>
              </w:rPr>
              <w:t>CLR</w:t>
            </w:r>
            <w:r w:rsidRPr="00A87F21">
              <w:rPr>
                <w:iCs/>
                <w:color w:val="000000"/>
                <w:sz w:val="20"/>
              </w:rPr>
              <w:t xml:space="preserve"> </w:t>
            </w:r>
            <w:r w:rsidRPr="00A87F21">
              <w:rPr>
                <w:i/>
                <w:color w:val="000000"/>
                <w:sz w:val="20"/>
              </w:rPr>
              <w:t>r</w:t>
            </w:r>
            <w:r w:rsidRPr="00A87F21">
              <w:rPr>
                <w:iCs/>
                <w:color w:val="000000"/>
                <w:sz w:val="20"/>
              </w:rPr>
              <w:t xml:space="preserve"> represented by QSE </w:t>
            </w:r>
            <w:r w:rsidRPr="00A87F21">
              <w:rPr>
                <w:i/>
                <w:color w:val="000000"/>
                <w:sz w:val="20"/>
              </w:rPr>
              <w:t>q</w:t>
            </w:r>
            <w:r w:rsidRPr="00A87F21">
              <w:rPr>
                <w:iCs/>
                <w:color w:val="000000"/>
                <w:sz w:val="20"/>
              </w:rPr>
              <w:t xml:space="preserve"> at Settlement Point </w:t>
            </w:r>
            <w:r w:rsidRPr="00A87F21">
              <w:rPr>
                <w:i/>
                <w:color w:val="000000"/>
                <w:sz w:val="20"/>
              </w:rPr>
              <w:t>p</w:t>
            </w:r>
            <w:r w:rsidRPr="00A87F21">
              <w:rPr>
                <w:iCs/>
                <w:color w:val="000000"/>
                <w:sz w:val="20"/>
              </w:rPr>
              <w:t xml:space="preserve"> within the 15-minute Settlement Interval </w:t>
            </w:r>
            <w:r w:rsidRPr="00A87F21">
              <w:rPr>
                <w:i/>
                <w:color w:val="000000"/>
                <w:sz w:val="20"/>
              </w:rPr>
              <w:t>i</w:t>
            </w:r>
            <w:r w:rsidRPr="00A87F21">
              <w:rPr>
                <w:iCs/>
                <w:color w:val="000000"/>
                <w:sz w:val="20"/>
              </w:rPr>
              <w:t>.  For a Combined</w:t>
            </w:r>
            <w:r w:rsidRPr="00A87F21">
              <w:rPr>
                <w:iCs/>
                <w:sz w:val="20"/>
              </w:rPr>
              <w:t xml:space="preserve"> Cycle Train, the Resource </w:t>
            </w:r>
            <w:r w:rsidRPr="00A87F21">
              <w:rPr>
                <w:i/>
                <w:iCs/>
                <w:sz w:val="20"/>
              </w:rPr>
              <w:t xml:space="preserve">r </w:t>
            </w:r>
            <w:r w:rsidRPr="00A87F21">
              <w:rPr>
                <w:iCs/>
                <w:sz w:val="20"/>
              </w:rPr>
              <w:t xml:space="preserve">is a Combined Cycle Generation Resource within the Combined Cycle Train.  </w:t>
            </w:r>
            <w:r w:rsidR="00D92457">
              <w:rPr>
                <w:sz w:val="20"/>
              </w:rPr>
              <w:t xml:space="preserve">In the case of a VDI that is equivalent to an HDL override, this value is set equal to the HASL of </w:t>
            </w:r>
            <w:r w:rsidR="00D92457" w:rsidRPr="00A87F21">
              <w:rPr>
                <w:color w:val="000000"/>
                <w:sz w:val="20"/>
              </w:rPr>
              <w:t>Generation Resource</w:t>
            </w:r>
            <w:r w:rsidR="00D92457" w:rsidRPr="00A87F21">
              <w:rPr>
                <w:iCs/>
                <w:color w:val="000000"/>
                <w:sz w:val="20"/>
              </w:rPr>
              <w:t xml:space="preserve"> or </w:t>
            </w:r>
            <w:r w:rsidR="00F144CE">
              <w:rPr>
                <w:iCs/>
                <w:color w:val="000000"/>
                <w:sz w:val="20"/>
              </w:rPr>
              <w:t>CLR</w:t>
            </w:r>
            <w:r w:rsidR="00D92457" w:rsidRPr="00A87F21">
              <w:rPr>
                <w:color w:val="000000"/>
                <w:sz w:val="20"/>
              </w:rPr>
              <w:t xml:space="preserve"> </w:t>
            </w:r>
            <w:r w:rsidR="00D92457" w:rsidRPr="00A87F21">
              <w:rPr>
                <w:i/>
                <w:iCs/>
                <w:color w:val="000000"/>
                <w:sz w:val="20"/>
              </w:rPr>
              <w:t>r</w:t>
            </w:r>
            <w:r w:rsidR="00D92457">
              <w:rPr>
                <w:color w:val="000000"/>
                <w:sz w:val="20"/>
              </w:rPr>
              <w:t xml:space="preserve"> at the time that the VDI is issued to the QSE.</w:t>
            </w:r>
          </w:p>
        </w:tc>
      </w:tr>
      <w:tr w:rsidR="00C57701" w:rsidRPr="00A87F21" w14:paraId="4EBB5E21" w14:textId="77777777" w:rsidTr="00806724">
        <w:trPr>
          <w:cantSplit/>
          <w:trHeight w:val="1154"/>
        </w:trPr>
        <w:tc>
          <w:tcPr>
            <w:tcW w:w="833" w:type="pct"/>
            <w:tcBorders>
              <w:top w:val="single" w:sz="4" w:space="0" w:color="auto"/>
              <w:left w:val="single" w:sz="4" w:space="0" w:color="auto"/>
              <w:bottom w:val="single" w:sz="4" w:space="0" w:color="auto"/>
              <w:right w:val="single" w:sz="4" w:space="0" w:color="auto"/>
            </w:tcBorders>
            <w:hideMark/>
          </w:tcPr>
          <w:p w14:paraId="5C843254" w14:textId="77777777" w:rsidR="00C57701" w:rsidRPr="00A87F21" w:rsidRDefault="00C57701" w:rsidP="00EC4D68">
            <w:pPr>
              <w:spacing w:after="60"/>
              <w:rPr>
                <w:iCs/>
                <w:sz w:val="20"/>
              </w:rPr>
            </w:pPr>
            <w:r>
              <w:rPr>
                <w:iCs/>
                <w:sz w:val="20"/>
              </w:rPr>
              <w:t>HDLO</w:t>
            </w:r>
            <w:r w:rsidRPr="00A87F21">
              <w:rPr>
                <w:iCs/>
                <w:sz w:val="20"/>
              </w:rPr>
              <w:t>BRKPCP</w:t>
            </w:r>
            <w:r w:rsidRPr="00A87F21">
              <w:rPr>
                <w:b/>
                <w:iCs/>
                <w:sz w:val="20"/>
                <w:lang w:val="es-MX"/>
              </w:rPr>
              <w:t xml:space="preserve"> </w:t>
            </w:r>
            <w:r w:rsidRPr="00A87F21">
              <w:rPr>
                <w:i/>
                <w:iCs/>
                <w:sz w:val="20"/>
                <w:vertAlign w:val="subscript"/>
              </w:rPr>
              <w:t>q, r, p, i</w:t>
            </w:r>
          </w:p>
        </w:tc>
        <w:tc>
          <w:tcPr>
            <w:tcW w:w="449" w:type="pct"/>
            <w:tcBorders>
              <w:top w:val="single" w:sz="4" w:space="0" w:color="auto"/>
              <w:left w:val="single" w:sz="4" w:space="0" w:color="auto"/>
              <w:bottom w:val="single" w:sz="4" w:space="0" w:color="auto"/>
              <w:right w:val="single" w:sz="4" w:space="0" w:color="auto"/>
            </w:tcBorders>
            <w:hideMark/>
          </w:tcPr>
          <w:p w14:paraId="568BAE5C" w14:textId="77777777" w:rsidR="00C57701" w:rsidRPr="00A87F21" w:rsidRDefault="00C57701" w:rsidP="00EC4D68">
            <w:pPr>
              <w:spacing w:after="60"/>
              <w:rPr>
                <w:iCs/>
                <w:sz w:val="20"/>
              </w:rPr>
            </w:pPr>
            <w:r w:rsidRPr="00A87F21">
              <w:rPr>
                <w:iCs/>
                <w:sz w:val="20"/>
              </w:rPr>
              <w:t>MW</w:t>
            </w:r>
          </w:p>
        </w:tc>
        <w:tc>
          <w:tcPr>
            <w:tcW w:w="3718" w:type="pct"/>
            <w:tcBorders>
              <w:top w:val="single" w:sz="4" w:space="0" w:color="auto"/>
              <w:left w:val="single" w:sz="4" w:space="0" w:color="auto"/>
              <w:bottom w:val="single" w:sz="4" w:space="0" w:color="auto"/>
              <w:right w:val="single" w:sz="4" w:space="0" w:color="auto"/>
            </w:tcBorders>
            <w:hideMark/>
          </w:tcPr>
          <w:p w14:paraId="47ACE433" w14:textId="77777777" w:rsidR="00C57701" w:rsidRPr="00A87F21" w:rsidRDefault="00C57701" w:rsidP="00EC4D68">
            <w:pPr>
              <w:rPr>
                <w:i/>
                <w:sz w:val="20"/>
              </w:rPr>
            </w:pPr>
            <w:r>
              <w:rPr>
                <w:i/>
                <w:sz w:val="20"/>
              </w:rPr>
              <w:t xml:space="preserve">High Dispatch Limit override </w:t>
            </w:r>
            <w:r w:rsidRPr="00A87F21">
              <w:rPr>
                <w:i/>
                <w:sz w:val="20"/>
              </w:rPr>
              <w:t>break point</w:t>
            </w:r>
            <w:r w:rsidRPr="00A87F21">
              <w:rPr>
                <w:i/>
              </w:rPr>
              <w:t xml:space="preserve"> </w:t>
            </w:r>
            <w:r w:rsidRPr="00A87F21">
              <w:rPr>
                <w:i/>
                <w:sz w:val="20"/>
              </w:rPr>
              <w:t>at clearing price per QSE per Resource</w:t>
            </w:r>
            <w:r w:rsidRPr="00A87F21">
              <w:rPr>
                <w:sz w:val="20"/>
              </w:rPr>
              <w:t xml:space="preserve">—The MW value on the Energy Offer Curve corresponding to the Real-Time Settlement Point Price of Generation Resource </w:t>
            </w:r>
            <w:r w:rsidRPr="00A87F21">
              <w:rPr>
                <w:i/>
                <w:sz w:val="20"/>
              </w:rPr>
              <w:t>r</w:t>
            </w:r>
            <w:r w:rsidRPr="00A87F21">
              <w:rPr>
                <w:sz w:val="20"/>
              </w:rPr>
              <w:t xml:space="preserve"> represented by QSE </w:t>
            </w:r>
            <w:r w:rsidRPr="00A87F21">
              <w:rPr>
                <w:i/>
                <w:sz w:val="20"/>
              </w:rPr>
              <w:t>q</w:t>
            </w:r>
            <w:r w:rsidRPr="00A87F21">
              <w:rPr>
                <w:sz w:val="20"/>
              </w:rPr>
              <w:t xml:space="preserve"> at Settlement Point </w:t>
            </w:r>
            <w:r w:rsidRPr="00A87F21">
              <w:rPr>
                <w:i/>
                <w:sz w:val="20"/>
              </w:rPr>
              <w:t>p</w:t>
            </w:r>
            <w:r w:rsidRPr="00A87F21">
              <w:rPr>
                <w:sz w:val="20"/>
              </w:rPr>
              <w:t xml:space="preserve"> minus the Real-Time Reserve Price for On-Line Reserves and the Real-Time On-Line Reliability Deployment Price.  For a combined cycle Resource, </w:t>
            </w:r>
            <w:r w:rsidRPr="00A87F21">
              <w:rPr>
                <w:i/>
                <w:sz w:val="20"/>
              </w:rPr>
              <w:t>r</w:t>
            </w:r>
            <w:r w:rsidRPr="00A87F21">
              <w:rPr>
                <w:sz w:val="20"/>
              </w:rPr>
              <w:t xml:space="preserve"> is a Combined Cycle Train.</w:t>
            </w:r>
          </w:p>
        </w:tc>
      </w:tr>
      <w:tr w:rsidR="005911C2" w:rsidRPr="00A87F21" w14:paraId="01832970" w14:textId="77777777" w:rsidTr="00AD486D">
        <w:trPr>
          <w:cantSplit/>
          <w:trHeight w:val="935"/>
        </w:trPr>
        <w:tc>
          <w:tcPr>
            <w:tcW w:w="833" w:type="pct"/>
            <w:tcBorders>
              <w:top w:val="single" w:sz="4" w:space="0" w:color="auto"/>
              <w:left w:val="single" w:sz="4" w:space="0" w:color="auto"/>
              <w:bottom w:val="single" w:sz="4" w:space="0" w:color="auto"/>
              <w:right w:val="single" w:sz="4" w:space="0" w:color="auto"/>
            </w:tcBorders>
          </w:tcPr>
          <w:p w14:paraId="5293A3BD" w14:textId="7BC9C422" w:rsidR="005911C2" w:rsidRDefault="005911C2" w:rsidP="005911C2">
            <w:pPr>
              <w:spacing w:after="60"/>
              <w:rPr>
                <w:iCs/>
                <w:noProof/>
                <w:sz w:val="20"/>
              </w:rPr>
            </w:pPr>
            <w:r w:rsidRPr="009716C5">
              <w:rPr>
                <w:sz w:val="20"/>
              </w:rPr>
              <w:t>RTEOCOST</w:t>
            </w:r>
            <w:r>
              <w:rPr>
                <w:sz w:val="20"/>
              </w:rPr>
              <w:t xml:space="preserve"> </w:t>
            </w:r>
            <w:r w:rsidRPr="00F67BF3">
              <w:rPr>
                <w:i/>
                <w:sz w:val="20"/>
                <w:vertAlign w:val="subscript"/>
              </w:rPr>
              <w:t>q, r, i</w:t>
            </w:r>
          </w:p>
        </w:tc>
        <w:tc>
          <w:tcPr>
            <w:tcW w:w="449" w:type="pct"/>
            <w:tcBorders>
              <w:top w:val="single" w:sz="4" w:space="0" w:color="auto"/>
              <w:left w:val="single" w:sz="4" w:space="0" w:color="auto"/>
              <w:bottom w:val="single" w:sz="4" w:space="0" w:color="auto"/>
              <w:right w:val="single" w:sz="4" w:space="0" w:color="auto"/>
            </w:tcBorders>
          </w:tcPr>
          <w:p w14:paraId="04FD6B26" w14:textId="06764331" w:rsidR="005911C2" w:rsidRPr="00A87F21" w:rsidRDefault="005911C2" w:rsidP="005911C2">
            <w:pPr>
              <w:spacing w:after="60"/>
              <w:rPr>
                <w:iCs/>
                <w:sz w:val="20"/>
              </w:rPr>
            </w:pPr>
            <w:r w:rsidRPr="009716C5">
              <w:rPr>
                <w:sz w:val="20"/>
              </w:rPr>
              <w:t>$/MWh</w:t>
            </w:r>
          </w:p>
        </w:tc>
        <w:tc>
          <w:tcPr>
            <w:tcW w:w="3718" w:type="pct"/>
            <w:tcBorders>
              <w:top w:val="single" w:sz="4" w:space="0" w:color="auto"/>
              <w:left w:val="single" w:sz="4" w:space="0" w:color="auto"/>
              <w:bottom w:val="single" w:sz="4" w:space="0" w:color="auto"/>
              <w:right w:val="single" w:sz="4" w:space="0" w:color="auto"/>
            </w:tcBorders>
          </w:tcPr>
          <w:p w14:paraId="09043573" w14:textId="6533C252" w:rsidR="005911C2" w:rsidRDefault="005911C2" w:rsidP="005911C2">
            <w:pPr>
              <w:spacing w:after="60"/>
              <w:rPr>
                <w:i/>
                <w:iCs/>
                <w:noProof/>
                <w:sz w:val="20"/>
              </w:rPr>
            </w:pPr>
            <w:r w:rsidRPr="009716C5">
              <w:rPr>
                <w:sz w:val="20"/>
              </w:rPr>
              <w:t>Real-Time Energy Offer Curve Cost Cap</w:t>
            </w:r>
            <w:r w:rsidR="00683A03" w:rsidRPr="00A87F21">
              <w:rPr>
                <w:iCs/>
                <w:sz w:val="20"/>
              </w:rPr>
              <w:t>—</w:t>
            </w:r>
            <w:r w:rsidRPr="009716C5">
              <w:rPr>
                <w:sz w:val="20"/>
              </w:rPr>
              <w:t xml:space="preserve">The Energy Offer Curve Cost Cap for Resource </w:t>
            </w:r>
            <w:r w:rsidRPr="00F67BF3">
              <w:rPr>
                <w:i/>
                <w:sz w:val="20"/>
              </w:rPr>
              <w:t>r</w:t>
            </w:r>
            <w:r w:rsidRPr="009716C5">
              <w:rPr>
                <w:sz w:val="20"/>
              </w:rPr>
              <w:t xml:space="preserve"> represented by QSE </w:t>
            </w:r>
            <w:r w:rsidRPr="00F67BF3">
              <w:rPr>
                <w:i/>
                <w:sz w:val="20"/>
              </w:rPr>
              <w:t>q</w:t>
            </w:r>
            <w:r w:rsidRPr="009716C5">
              <w:rPr>
                <w:sz w:val="20"/>
              </w:rPr>
              <w:t xml:space="preserve">, for the Resource’s generation above the LSL for the Settlement Interval </w:t>
            </w:r>
            <w:r w:rsidRPr="00F67BF3">
              <w:rPr>
                <w:i/>
                <w:sz w:val="20"/>
              </w:rPr>
              <w:t>i</w:t>
            </w:r>
            <w:r w:rsidRPr="009716C5">
              <w:rPr>
                <w:sz w:val="20"/>
              </w:rPr>
              <w:t xml:space="preserve">.  See Section 4.4.9.3.3, Energy Offer Curve </w:t>
            </w:r>
            <w:r w:rsidRPr="005A4F98">
              <w:rPr>
                <w:sz w:val="20"/>
              </w:rPr>
              <w:t>Cost</w:t>
            </w:r>
            <w:r w:rsidRPr="009716C5">
              <w:rPr>
                <w:sz w:val="20"/>
              </w:rPr>
              <w:t xml:space="preserve"> Caps.  Where for a Combined Cycle Train, the Resource </w:t>
            </w:r>
            <w:r w:rsidRPr="00F67BF3">
              <w:rPr>
                <w:i/>
                <w:sz w:val="20"/>
              </w:rPr>
              <w:t>r</w:t>
            </w:r>
            <w:r w:rsidRPr="009716C5">
              <w:rPr>
                <w:sz w:val="20"/>
              </w:rPr>
              <w:t xml:space="preserve"> is the Combined Cycle Train.</w:t>
            </w:r>
          </w:p>
        </w:tc>
      </w:tr>
      <w:tr w:rsidR="00C57701" w:rsidRPr="00A87F21" w14:paraId="74FFCFCC" w14:textId="77777777" w:rsidTr="00806724">
        <w:trPr>
          <w:cantSplit/>
          <w:trHeight w:val="944"/>
        </w:trPr>
        <w:tc>
          <w:tcPr>
            <w:tcW w:w="833" w:type="pct"/>
            <w:tcBorders>
              <w:top w:val="single" w:sz="4" w:space="0" w:color="auto"/>
              <w:left w:val="single" w:sz="4" w:space="0" w:color="auto"/>
              <w:bottom w:val="single" w:sz="4" w:space="0" w:color="auto"/>
              <w:right w:val="single" w:sz="4" w:space="0" w:color="auto"/>
            </w:tcBorders>
          </w:tcPr>
          <w:p w14:paraId="11DF4658" w14:textId="77777777" w:rsidR="00C57701" w:rsidRPr="00A87F21" w:rsidRDefault="00C57701" w:rsidP="00EC4D68">
            <w:pPr>
              <w:spacing w:after="60"/>
              <w:rPr>
                <w:iCs/>
                <w:sz w:val="20"/>
              </w:rPr>
            </w:pPr>
            <w:r>
              <w:rPr>
                <w:iCs/>
                <w:noProof/>
                <w:sz w:val="20"/>
              </w:rPr>
              <w:t>HDLO</w:t>
            </w:r>
            <w:r w:rsidRPr="00A87F21">
              <w:rPr>
                <w:iCs/>
                <w:noProof/>
                <w:sz w:val="20"/>
              </w:rPr>
              <w:t xml:space="preserve">QTY </w:t>
            </w:r>
            <w:r w:rsidRPr="00A87F21">
              <w:rPr>
                <w:i/>
                <w:iCs/>
                <w:sz w:val="20"/>
                <w:vertAlign w:val="subscript"/>
              </w:rPr>
              <w:t>q, r, p, i</w:t>
            </w:r>
          </w:p>
        </w:tc>
        <w:tc>
          <w:tcPr>
            <w:tcW w:w="449" w:type="pct"/>
            <w:tcBorders>
              <w:top w:val="single" w:sz="4" w:space="0" w:color="auto"/>
              <w:left w:val="single" w:sz="4" w:space="0" w:color="auto"/>
              <w:bottom w:val="single" w:sz="4" w:space="0" w:color="auto"/>
              <w:right w:val="single" w:sz="4" w:space="0" w:color="auto"/>
            </w:tcBorders>
          </w:tcPr>
          <w:p w14:paraId="3D9A4BAD" w14:textId="77777777" w:rsidR="00C57701" w:rsidRPr="00A87F21"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tcPr>
          <w:p w14:paraId="6355FE0B" w14:textId="0DB2BCA7" w:rsidR="00C57701" w:rsidRPr="00A87F21" w:rsidRDefault="00C57701" w:rsidP="00EC4D68">
            <w:pPr>
              <w:spacing w:after="60"/>
              <w:rPr>
                <w:iCs/>
                <w:sz w:val="20"/>
              </w:rPr>
            </w:pPr>
            <w:r>
              <w:rPr>
                <w:i/>
                <w:iCs/>
                <w:noProof/>
                <w:sz w:val="20"/>
              </w:rPr>
              <w:t xml:space="preserve">High Dispatch Limit override </w:t>
            </w:r>
            <w:r>
              <w:rPr>
                <w:i/>
                <w:iCs/>
                <w:sz w:val="20"/>
              </w:rPr>
              <w:t>q</w:t>
            </w:r>
            <w:r w:rsidRPr="00A87F21">
              <w:rPr>
                <w:i/>
                <w:iCs/>
                <w:sz w:val="20"/>
              </w:rPr>
              <w:t>uantity per QSE per Generation Resource</w:t>
            </w:r>
            <w:r w:rsidRPr="00A87F21">
              <w:rPr>
                <w:i/>
                <w:iCs/>
                <w:noProof/>
                <w:sz w:val="20"/>
              </w:rPr>
              <w:t>—</w:t>
            </w:r>
            <w:r w:rsidRPr="00A87F21">
              <w:rPr>
                <w:iCs/>
                <w:sz w:val="20"/>
              </w:rPr>
              <w:t>The</w:t>
            </w:r>
            <w:r>
              <w:rPr>
                <w:iCs/>
                <w:sz w:val="20"/>
              </w:rPr>
              <w:t xml:space="preserve"> difference between the HDLO</w:t>
            </w:r>
            <w:r w:rsidRPr="00A87F21">
              <w:rPr>
                <w:iCs/>
                <w:sz w:val="20"/>
              </w:rPr>
              <w:t>BRKP</w:t>
            </w:r>
            <w:r>
              <w:rPr>
                <w:iCs/>
                <w:sz w:val="20"/>
              </w:rPr>
              <w:t xml:space="preserve"> and the </w:t>
            </w:r>
            <w:r w:rsidRPr="00EE20F3">
              <w:rPr>
                <w:iCs/>
                <w:sz w:val="20"/>
              </w:rPr>
              <w:t xml:space="preserve">AVGHDL </w:t>
            </w:r>
            <w:r w:rsidRPr="00A87F21">
              <w:rPr>
                <w:iCs/>
                <w:sz w:val="20"/>
              </w:rPr>
              <w:t xml:space="preserve">due to an ERCOT-issued HDL override </w:t>
            </w:r>
            <w:r w:rsidR="00D92457">
              <w:rPr>
                <w:iCs/>
                <w:sz w:val="20"/>
              </w:rPr>
              <w:t>or equivalent VDI</w:t>
            </w:r>
            <w:r w:rsidR="00D92457" w:rsidRPr="00A87F21">
              <w:rPr>
                <w:iCs/>
                <w:sz w:val="20"/>
              </w:rPr>
              <w:t xml:space="preserve"> </w:t>
            </w:r>
            <w:r w:rsidRPr="00A87F21">
              <w:rPr>
                <w:iCs/>
                <w:sz w:val="20"/>
              </w:rPr>
              <w:t xml:space="preserve">for Generation Resource </w:t>
            </w:r>
            <w:r w:rsidRPr="00A87F21">
              <w:rPr>
                <w:i/>
                <w:iCs/>
                <w:sz w:val="20"/>
              </w:rPr>
              <w:t>r</w:t>
            </w:r>
            <w:r w:rsidRPr="00A87F21">
              <w:rPr>
                <w:iCs/>
                <w:sz w:val="20"/>
              </w:rPr>
              <w:t xml:space="preserve"> represented by QSE </w:t>
            </w:r>
            <w:r w:rsidRPr="00A87F21">
              <w:rPr>
                <w:i/>
                <w:iCs/>
                <w:sz w:val="20"/>
              </w:rPr>
              <w:t>q</w:t>
            </w:r>
            <w:r w:rsidRPr="00A87F21">
              <w:rPr>
                <w:iCs/>
                <w:sz w:val="20"/>
              </w:rPr>
              <w:t xml:space="preserve"> at Settlement Point </w:t>
            </w:r>
            <w:r w:rsidRPr="00A87F21">
              <w:rPr>
                <w:i/>
                <w:iCs/>
                <w:sz w:val="20"/>
              </w:rPr>
              <w:t>p</w:t>
            </w:r>
            <w:r w:rsidRPr="00A87F21">
              <w:rPr>
                <w:iCs/>
                <w:sz w:val="20"/>
              </w:rPr>
              <w:t xml:space="preserve"> for the 15-minute Settlement Interval </w:t>
            </w:r>
            <w:r w:rsidRPr="00A87F21">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23543A61" w14:textId="77777777" w:rsidTr="00AD486D">
        <w:trPr>
          <w:cantSplit/>
          <w:trHeight w:val="521"/>
        </w:trPr>
        <w:tc>
          <w:tcPr>
            <w:tcW w:w="833" w:type="pct"/>
            <w:tcBorders>
              <w:top w:val="single" w:sz="4" w:space="0" w:color="auto"/>
              <w:left w:val="single" w:sz="4" w:space="0" w:color="auto"/>
              <w:bottom w:val="single" w:sz="4" w:space="0" w:color="auto"/>
              <w:right w:val="single" w:sz="4" w:space="0" w:color="auto"/>
            </w:tcBorders>
            <w:hideMark/>
          </w:tcPr>
          <w:p w14:paraId="14D3C337" w14:textId="77777777" w:rsidR="00C57701" w:rsidRPr="00A87F21" w:rsidRDefault="00C57701" w:rsidP="00EC4D68">
            <w:pPr>
              <w:spacing w:after="60"/>
              <w:rPr>
                <w:iCs/>
                <w:sz w:val="20"/>
                <w:lang w:val="es-MX"/>
              </w:rPr>
            </w:pPr>
            <w:r w:rsidRPr="00A87F21">
              <w:rPr>
                <w:iCs/>
                <w:sz w:val="20"/>
              </w:rPr>
              <w:t xml:space="preserve">RTSPP </w:t>
            </w:r>
            <w:r w:rsidRPr="00A87F21">
              <w:rPr>
                <w:i/>
                <w:iCs/>
                <w:sz w:val="20"/>
                <w:vertAlign w:val="subscript"/>
              </w:rPr>
              <w:t>p, i</w:t>
            </w:r>
          </w:p>
        </w:tc>
        <w:tc>
          <w:tcPr>
            <w:tcW w:w="449" w:type="pct"/>
            <w:tcBorders>
              <w:top w:val="single" w:sz="4" w:space="0" w:color="auto"/>
              <w:left w:val="single" w:sz="4" w:space="0" w:color="auto"/>
              <w:bottom w:val="single" w:sz="4" w:space="0" w:color="auto"/>
              <w:right w:val="single" w:sz="4" w:space="0" w:color="auto"/>
            </w:tcBorders>
            <w:hideMark/>
          </w:tcPr>
          <w:p w14:paraId="1AF4E36F" w14:textId="77777777" w:rsidR="00C57701" w:rsidRPr="00A87F21"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hideMark/>
          </w:tcPr>
          <w:p w14:paraId="3FC5D39E" w14:textId="77777777" w:rsidR="00C57701" w:rsidRPr="00A87F21" w:rsidRDefault="00C57701" w:rsidP="00EC4D68">
            <w:pPr>
              <w:spacing w:after="60"/>
              <w:rPr>
                <w:i/>
                <w:iCs/>
                <w:sz w:val="20"/>
              </w:rPr>
            </w:pPr>
            <w:r w:rsidRPr="00A87F21">
              <w:rPr>
                <w:i/>
                <w:iCs/>
                <w:sz w:val="20"/>
              </w:rPr>
              <w:t>Real-Time Settlement Point Price per Settlement Point</w:t>
            </w:r>
            <w:r w:rsidRPr="00A87F21">
              <w:rPr>
                <w:iCs/>
                <w:sz w:val="20"/>
              </w:rPr>
              <w:t xml:space="preserve">—The Real-Time Settlement Point Price at Settlement Point </w:t>
            </w:r>
            <w:r w:rsidRPr="00A87F21">
              <w:rPr>
                <w:i/>
                <w:iCs/>
                <w:sz w:val="20"/>
              </w:rPr>
              <w:t>p</w:t>
            </w:r>
            <w:r w:rsidRPr="00A87F21">
              <w:rPr>
                <w:iCs/>
                <w:sz w:val="20"/>
              </w:rPr>
              <w:t xml:space="preserve">, for the 15-minute Settlement Interval </w:t>
            </w:r>
            <w:r w:rsidRPr="00A87F21">
              <w:rPr>
                <w:i/>
                <w:iCs/>
                <w:sz w:val="20"/>
              </w:rPr>
              <w:t>i</w:t>
            </w:r>
            <w:r w:rsidRPr="00A87F21">
              <w:rPr>
                <w:iCs/>
                <w:sz w:val="20"/>
              </w:rPr>
              <w:t>.</w:t>
            </w:r>
          </w:p>
        </w:tc>
      </w:tr>
      <w:tr w:rsidR="00C57701" w:rsidRPr="00A87F21" w14:paraId="2693C326" w14:textId="77777777" w:rsidTr="00806724">
        <w:trPr>
          <w:cantSplit/>
          <w:trHeight w:val="611"/>
        </w:trPr>
        <w:tc>
          <w:tcPr>
            <w:tcW w:w="833" w:type="pct"/>
            <w:tcBorders>
              <w:top w:val="single" w:sz="4" w:space="0" w:color="auto"/>
              <w:left w:val="single" w:sz="4" w:space="0" w:color="auto"/>
              <w:bottom w:val="single" w:sz="4" w:space="0" w:color="auto"/>
              <w:right w:val="single" w:sz="4" w:space="0" w:color="auto"/>
            </w:tcBorders>
          </w:tcPr>
          <w:p w14:paraId="715056E1" w14:textId="77777777" w:rsidR="00C57701" w:rsidRPr="00A87F21" w:rsidDel="008F2DD8" w:rsidRDefault="00C57701" w:rsidP="00EC4D68">
            <w:pPr>
              <w:spacing w:after="60"/>
              <w:rPr>
                <w:iCs/>
                <w:sz w:val="20"/>
              </w:rPr>
            </w:pPr>
            <w:r w:rsidRPr="00A87F21">
              <w:rPr>
                <w:iCs/>
                <w:sz w:val="20"/>
              </w:rPr>
              <w:t>RTRSVPOR</w:t>
            </w:r>
            <w:r w:rsidRPr="00A87F21" w:rsidDel="008F2DD8">
              <w:rPr>
                <w:i/>
                <w:iCs/>
                <w:sz w:val="20"/>
                <w:vertAlign w:val="subscript"/>
              </w:rPr>
              <w:t xml:space="preserve"> i</w:t>
            </w:r>
          </w:p>
        </w:tc>
        <w:tc>
          <w:tcPr>
            <w:tcW w:w="449" w:type="pct"/>
            <w:tcBorders>
              <w:top w:val="single" w:sz="4" w:space="0" w:color="auto"/>
              <w:left w:val="single" w:sz="4" w:space="0" w:color="auto"/>
              <w:bottom w:val="single" w:sz="4" w:space="0" w:color="auto"/>
              <w:right w:val="single" w:sz="4" w:space="0" w:color="auto"/>
            </w:tcBorders>
          </w:tcPr>
          <w:p w14:paraId="3221E60F" w14:textId="77777777" w:rsidR="00C57701" w:rsidRPr="00A87F21" w:rsidDel="008F2DD8"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tcPr>
          <w:p w14:paraId="59838BB7" w14:textId="77777777" w:rsidR="00C57701" w:rsidRPr="00A87F21" w:rsidDel="008F2DD8" w:rsidRDefault="00C57701" w:rsidP="00EC4D68">
            <w:pPr>
              <w:spacing w:after="60"/>
              <w:rPr>
                <w:i/>
                <w:iCs/>
                <w:sz w:val="20"/>
              </w:rPr>
            </w:pPr>
            <w:r w:rsidRPr="00A87F21">
              <w:rPr>
                <w:i/>
                <w:iCs/>
                <w:sz w:val="20"/>
              </w:rPr>
              <w:t>Real-Time Reserve Price for On-Line Reserves</w:t>
            </w:r>
            <w:r w:rsidRPr="00A87F21">
              <w:rPr>
                <w:iCs/>
                <w:sz w:val="20"/>
              </w:rPr>
              <w:sym w:font="Symbol" w:char="F0BE"/>
            </w:r>
            <w:r w:rsidRPr="00A87F21">
              <w:rPr>
                <w:iCs/>
                <w:sz w:val="20"/>
              </w:rPr>
              <w:t xml:space="preserve">The Real-Time Reserve Price for On-Line Reserves for the 15-minute Settlement Interval </w:t>
            </w:r>
            <w:r w:rsidRPr="00A87F21">
              <w:rPr>
                <w:i/>
                <w:iCs/>
                <w:sz w:val="20"/>
              </w:rPr>
              <w:t>i</w:t>
            </w:r>
            <w:r w:rsidRPr="00A87F21">
              <w:rPr>
                <w:iCs/>
                <w:sz w:val="20"/>
              </w:rPr>
              <w:t>.</w:t>
            </w:r>
          </w:p>
        </w:tc>
      </w:tr>
      <w:tr w:rsidR="00C57701" w:rsidRPr="00A87F21" w14:paraId="5663FEF1" w14:textId="77777777" w:rsidTr="00806724">
        <w:trPr>
          <w:cantSplit/>
          <w:trHeight w:val="773"/>
        </w:trPr>
        <w:tc>
          <w:tcPr>
            <w:tcW w:w="833" w:type="pct"/>
            <w:tcBorders>
              <w:top w:val="single" w:sz="4" w:space="0" w:color="auto"/>
              <w:left w:val="single" w:sz="4" w:space="0" w:color="auto"/>
              <w:bottom w:val="single" w:sz="4" w:space="0" w:color="auto"/>
              <w:right w:val="single" w:sz="4" w:space="0" w:color="auto"/>
            </w:tcBorders>
          </w:tcPr>
          <w:p w14:paraId="0DB25037" w14:textId="77777777" w:rsidR="00C57701" w:rsidRPr="00A87F21" w:rsidRDefault="00C57701" w:rsidP="00EC4D68">
            <w:pPr>
              <w:spacing w:after="60"/>
              <w:rPr>
                <w:iCs/>
                <w:sz w:val="20"/>
              </w:rPr>
            </w:pPr>
            <w:r w:rsidRPr="00A87F21">
              <w:rPr>
                <w:iCs/>
                <w:sz w:val="20"/>
              </w:rPr>
              <w:t>RTRDP</w:t>
            </w:r>
            <w:r w:rsidRPr="00A87F21" w:rsidDel="008F2DD8">
              <w:rPr>
                <w:i/>
                <w:iCs/>
                <w:sz w:val="20"/>
                <w:vertAlign w:val="subscript"/>
              </w:rPr>
              <w:t xml:space="preserve"> i</w:t>
            </w:r>
          </w:p>
        </w:tc>
        <w:tc>
          <w:tcPr>
            <w:tcW w:w="449" w:type="pct"/>
            <w:tcBorders>
              <w:top w:val="single" w:sz="4" w:space="0" w:color="auto"/>
              <w:left w:val="single" w:sz="4" w:space="0" w:color="auto"/>
              <w:bottom w:val="single" w:sz="4" w:space="0" w:color="auto"/>
              <w:right w:val="single" w:sz="4" w:space="0" w:color="auto"/>
            </w:tcBorders>
          </w:tcPr>
          <w:p w14:paraId="0CBC056E" w14:textId="77777777" w:rsidR="00C57701" w:rsidRPr="00A87F21"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tcPr>
          <w:p w14:paraId="24291053" w14:textId="1CFC059F" w:rsidR="00C57701" w:rsidRPr="00A87F21" w:rsidRDefault="00C57701" w:rsidP="00EC4D68">
            <w:pPr>
              <w:spacing w:after="60"/>
              <w:rPr>
                <w:i/>
                <w:iCs/>
                <w:sz w:val="20"/>
              </w:rPr>
            </w:pPr>
            <w:r w:rsidRPr="00A87F21">
              <w:rPr>
                <w:i/>
                <w:iCs/>
                <w:sz w:val="20"/>
              </w:rPr>
              <w:t>Real-Time On-Line Reliability Deployment Price</w:t>
            </w:r>
            <w:r w:rsidRPr="00A87F21">
              <w:rPr>
                <w:iCs/>
                <w:sz w:val="20"/>
              </w:rPr>
              <w:sym w:font="Symbol" w:char="F0BE"/>
            </w:r>
            <w:r w:rsidRPr="00A87F21">
              <w:rPr>
                <w:iCs/>
                <w:sz w:val="20"/>
              </w:rPr>
              <w:t xml:space="preserve">The Real-Time price for the 15-minute Settlement Interval </w:t>
            </w:r>
            <w:r w:rsidRPr="00A87F21">
              <w:rPr>
                <w:i/>
                <w:iCs/>
                <w:sz w:val="20"/>
              </w:rPr>
              <w:t>i</w:t>
            </w:r>
            <w:r w:rsidRPr="00A87F21">
              <w:rPr>
                <w:iCs/>
                <w:sz w:val="20"/>
              </w:rPr>
              <w:t>, reflecting the impact of reliability deployments on energy prices that is calculated from the Real-</w:t>
            </w:r>
            <w:r>
              <w:rPr>
                <w:iCs/>
                <w:sz w:val="20"/>
              </w:rPr>
              <w:t>T</w:t>
            </w:r>
            <w:r w:rsidRPr="00A87F21">
              <w:rPr>
                <w:iCs/>
                <w:sz w:val="20"/>
              </w:rPr>
              <w:t>ime On-Line Reliability Deployment Price Adder.</w:t>
            </w:r>
          </w:p>
        </w:tc>
      </w:tr>
      <w:tr w:rsidR="00C57701" w:rsidRPr="00A87F21" w14:paraId="247304EF" w14:textId="77777777" w:rsidTr="00806724">
        <w:trPr>
          <w:cantSplit/>
          <w:trHeight w:val="289"/>
        </w:trPr>
        <w:tc>
          <w:tcPr>
            <w:tcW w:w="833" w:type="pct"/>
            <w:tcBorders>
              <w:top w:val="single" w:sz="4" w:space="0" w:color="auto"/>
              <w:left w:val="single" w:sz="4" w:space="0" w:color="auto"/>
              <w:bottom w:val="single" w:sz="4" w:space="0" w:color="auto"/>
              <w:right w:val="single" w:sz="4" w:space="0" w:color="auto"/>
            </w:tcBorders>
          </w:tcPr>
          <w:p w14:paraId="553845A2" w14:textId="77777777" w:rsidR="00C57701" w:rsidRPr="00A87F21" w:rsidRDefault="00C57701" w:rsidP="00EC4D68">
            <w:pPr>
              <w:spacing w:after="60"/>
              <w:rPr>
                <w:i/>
                <w:iCs/>
                <w:sz w:val="20"/>
              </w:rPr>
            </w:pPr>
            <w:r w:rsidRPr="00A87F21">
              <w:rPr>
                <w:i/>
                <w:iCs/>
                <w:sz w:val="20"/>
              </w:rPr>
              <w:t>q</w:t>
            </w:r>
          </w:p>
        </w:tc>
        <w:tc>
          <w:tcPr>
            <w:tcW w:w="449" w:type="pct"/>
            <w:tcBorders>
              <w:top w:val="single" w:sz="4" w:space="0" w:color="auto"/>
              <w:left w:val="single" w:sz="4" w:space="0" w:color="auto"/>
              <w:bottom w:val="single" w:sz="4" w:space="0" w:color="auto"/>
              <w:right w:val="single" w:sz="4" w:space="0" w:color="auto"/>
            </w:tcBorders>
          </w:tcPr>
          <w:p w14:paraId="6AD428C6" w14:textId="77777777" w:rsidR="00C57701" w:rsidRPr="00A87F21" w:rsidRDefault="00C57701" w:rsidP="00EC4D68">
            <w:pPr>
              <w:spacing w:after="60"/>
              <w:rPr>
                <w:iCs/>
                <w:sz w:val="20"/>
              </w:rPr>
            </w:pPr>
            <w:r w:rsidRPr="00A87F21">
              <w:rPr>
                <w:iCs/>
                <w:sz w:val="20"/>
              </w:rPr>
              <w:t>none</w:t>
            </w:r>
          </w:p>
        </w:tc>
        <w:tc>
          <w:tcPr>
            <w:tcW w:w="3718" w:type="pct"/>
            <w:tcBorders>
              <w:top w:val="single" w:sz="4" w:space="0" w:color="auto"/>
              <w:left w:val="single" w:sz="4" w:space="0" w:color="auto"/>
              <w:bottom w:val="single" w:sz="4" w:space="0" w:color="auto"/>
              <w:right w:val="single" w:sz="4" w:space="0" w:color="auto"/>
            </w:tcBorders>
          </w:tcPr>
          <w:p w14:paraId="682D145C" w14:textId="77777777" w:rsidR="00C57701" w:rsidRPr="00A87F21" w:rsidRDefault="00C57701" w:rsidP="00EC4D68">
            <w:pPr>
              <w:spacing w:after="60"/>
              <w:rPr>
                <w:i/>
                <w:sz w:val="20"/>
              </w:rPr>
            </w:pPr>
            <w:r w:rsidRPr="00A87F21">
              <w:rPr>
                <w:iCs/>
                <w:sz w:val="20"/>
              </w:rPr>
              <w:t>A QSE.</w:t>
            </w:r>
          </w:p>
        </w:tc>
      </w:tr>
      <w:tr w:rsidR="00C57701" w:rsidRPr="00A87F21" w14:paraId="2FDF1764" w14:textId="77777777" w:rsidTr="00806724">
        <w:trPr>
          <w:cantSplit/>
          <w:trHeight w:val="289"/>
        </w:trPr>
        <w:tc>
          <w:tcPr>
            <w:tcW w:w="833" w:type="pct"/>
            <w:tcBorders>
              <w:top w:val="single" w:sz="4" w:space="0" w:color="auto"/>
              <w:left w:val="single" w:sz="4" w:space="0" w:color="auto"/>
              <w:bottom w:val="single" w:sz="4" w:space="0" w:color="auto"/>
              <w:right w:val="single" w:sz="4" w:space="0" w:color="auto"/>
            </w:tcBorders>
          </w:tcPr>
          <w:p w14:paraId="6B9113CC" w14:textId="77777777" w:rsidR="00C57701" w:rsidRPr="00A87F21" w:rsidRDefault="00C57701" w:rsidP="00EC4D68">
            <w:pPr>
              <w:spacing w:after="60"/>
              <w:rPr>
                <w:i/>
                <w:iCs/>
                <w:sz w:val="20"/>
              </w:rPr>
            </w:pPr>
            <w:r w:rsidRPr="00A87F21">
              <w:rPr>
                <w:i/>
                <w:iCs/>
                <w:sz w:val="20"/>
              </w:rPr>
              <w:t>r</w:t>
            </w:r>
          </w:p>
        </w:tc>
        <w:tc>
          <w:tcPr>
            <w:tcW w:w="449" w:type="pct"/>
            <w:tcBorders>
              <w:top w:val="single" w:sz="4" w:space="0" w:color="auto"/>
              <w:left w:val="single" w:sz="4" w:space="0" w:color="auto"/>
              <w:bottom w:val="single" w:sz="4" w:space="0" w:color="auto"/>
              <w:right w:val="single" w:sz="4" w:space="0" w:color="auto"/>
            </w:tcBorders>
          </w:tcPr>
          <w:p w14:paraId="37B1642F" w14:textId="77777777" w:rsidR="00C57701" w:rsidRPr="00A87F21" w:rsidRDefault="00C57701" w:rsidP="00EC4D68">
            <w:pPr>
              <w:spacing w:after="60"/>
              <w:rPr>
                <w:iCs/>
                <w:sz w:val="20"/>
              </w:rPr>
            </w:pPr>
            <w:r w:rsidRPr="00A87F21">
              <w:rPr>
                <w:iCs/>
                <w:sz w:val="20"/>
              </w:rPr>
              <w:t>none</w:t>
            </w:r>
          </w:p>
        </w:tc>
        <w:tc>
          <w:tcPr>
            <w:tcW w:w="3718" w:type="pct"/>
            <w:tcBorders>
              <w:top w:val="single" w:sz="4" w:space="0" w:color="auto"/>
              <w:left w:val="single" w:sz="4" w:space="0" w:color="auto"/>
              <w:bottom w:val="single" w:sz="4" w:space="0" w:color="auto"/>
              <w:right w:val="single" w:sz="4" w:space="0" w:color="auto"/>
            </w:tcBorders>
          </w:tcPr>
          <w:p w14:paraId="2B5D2848" w14:textId="77777777" w:rsidR="00C57701" w:rsidRPr="00A87F21" w:rsidRDefault="00C57701" w:rsidP="00EC4D68">
            <w:pPr>
              <w:spacing w:after="60"/>
              <w:rPr>
                <w:i/>
                <w:sz w:val="20"/>
              </w:rPr>
            </w:pPr>
            <w:r w:rsidRPr="00A87F21">
              <w:rPr>
                <w:iCs/>
                <w:sz w:val="20"/>
              </w:rPr>
              <w:t>A Generation Resource.</w:t>
            </w:r>
          </w:p>
        </w:tc>
      </w:tr>
      <w:tr w:rsidR="00C57701" w:rsidRPr="00A87F21" w14:paraId="48D37868" w14:textId="77777777" w:rsidTr="00806724">
        <w:trPr>
          <w:cantSplit/>
          <w:trHeight w:val="289"/>
        </w:trPr>
        <w:tc>
          <w:tcPr>
            <w:tcW w:w="833" w:type="pct"/>
          </w:tcPr>
          <w:p w14:paraId="1C912AE0" w14:textId="77777777" w:rsidR="00C57701" w:rsidRPr="00A87F21" w:rsidRDefault="00C57701" w:rsidP="00EC4D68">
            <w:pPr>
              <w:spacing w:after="60"/>
              <w:rPr>
                <w:i/>
                <w:iCs/>
                <w:sz w:val="20"/>
              </w:rPr>
            </w:pPr>
            <w:r w:rsidRPr="00A87F21">
              <w:rPr>
                <w:i/>
                <w:iCs/>
                <w:sz w:val="20"/>
              </w:rPr>
              <w:t>p</w:t>
            </w:r>
          </w:p>
        </w:tc>
        <w:tc>
          <w:tcPr>
            <w:tcW w:w="449" w:type="pct"/>
          </w:tcPr>
          <w:p w14:paraId="08269B29" w14:textId="77777777" w:rsidR="00C57701" w:rsidRPr="00A87F21" w:rsidRDefault="00C57701" w:rsidP="00EC4D68">
            <w:pPr>
              <w:spacing w:after="60"/>
              <w:rPr>
                <w:iCs/>
                <w:sz w:val="20"/>
              </w:rPr>
            </w:pPr>
            <w:r w:rsidRPr="00A87F21">
              <w:rPr>
                <w:iCs/>
                <w:sz w:val="20"/>
              </w:rPr>
              <w:t>none</w:t>
            </w:r>
          </w:p>
        </w:tc>
        <w:tc>
          <w:tcPr>
            <w:tcW w:w="3718" w:type="pct"/>
          </w:tcPr>
          <w:p w14:paraId="4C1B27D2" w14:textId="77777777" w:rsidR="00C57701" w:rsidRPr="00A87F21" w:rsidRDefault="00C57701" w:rsidP="00EC4D68">
            <w:pPr>
              <w:spacing w:after="60"/>
              <w:rPr>
                <w:iCs/>
                <w:sz w:val="20"/>
              </w:rPr>
            </w:pPr>
            <w:r w:rsidRPr="00A87F21">
              <w:rPr>
                <w:iCs/>
                <w:sz w:val="20"/>
              </w:rPr>
              <w:t>A Resource Node Settlement Point.</w:t>
            </w:r>
          </w:p>
        </w:tc>
      </w:tr>
      <w:tr w:rsidR="00C57701" w:rsidRPr="00A87F21" w14:paraId="57667D22" w14:textId="77777777" w:rsidTr="00806724">
        <w:trPr>
          <w:cantSplit/>
          <w:trHeight w:val="242"/>
        </w:trPr>
        <w:tc>
          <w:tcPr>
            <w:tcW w:w="833" w:type="pct"/>
            <w:tcBorders>
              <w:top w:val="single" w:sz="4" w:space="0" w:color="auto"/>
              <w:left w:val="single" w:sz="4" w:space="0" w:color="auto"/>
              <w:bottom w:val="single" w:sz="4" w:space="0" w:color="auto"/>
              <w:right w:val="single" w:sz="4" w:space="0" w:color="auto"/>
            </w:tcBorders>
          </w:tcPr>
          <w:p w14:paraId="73BF14CE" w14:textId="77777777" w:rsidR="00C57701" w:rsidRPr="00A87F21" w:rsidRDefault="00C57701" w:rsidP="00EC4D68">
            <w:pPr>
              <w:spacing w:after="60"/>
              <w:rPr>
                <w:i/>
                <w:iCs/>
                <w:sz w:val="20"/>
              </w:rPr>
            </w:pPr>
            <w:r w:rsidRPr="00A87F21">
              <w:rPr>
                <w:i/>
                <w:iCs/>
                <w:sz w:val="20"/>
              </w:rPr>
              <w:t>i</w:t>
            </w:r>
          </w:p>
        </w:tc>
        <w:tc>
          <w:tcPr>
            <w:tcW w:w="449" w:type="pct"/>
            <w:tcBorders>
              <w:top w:val="single" w:sz="4" w:space="0" w:color="auto"/>
              <w:left w:val="single" w:sz="4" w:space="0" w:color="auto"/>
              <w:bottom w:val="single" w:sz="4" w:space="0" w:color="auto"/>
              <w:right w:val="single" w:sz="4" w:space="0" w:color="auto"/>
            </w:tcBorders>
          </w:tcPr>
          <w:p w14:paraId="048E19AD" w14:textId="77777777" w:rsidR="00C57701" w:rsidRPr="00A87F21" w:rsidRDefault="00C57701" w:rsidP="00EC4D68">
            <w:pPr>
              <w:spacing w:after="60"/>
              <w:rPr>
                <w:iCs/>
                <w:sz w:val="20"/>
              </w:rPr>
            </w:pPr>
            <w:r w:rsidRPr="00A87F21">
              <w:rPr>
                <w:iCs/>
                <w:sz w:val="20"/>
              </w:rPr>
              <w:t>none</w:t>
            </w:r>
          </w:p>
        </w:tc>
        <w:tc>
          <w:tcPr>
            <w:tcW w:w="3718" w:type="pct"/>
            <w:tcBorders>
              <w:top w:val="single" w:sz="4" w:space="0" w:color="auto"/>
              <w:left w:val="single" w:sz="4" w:space="0" w:color="auto"/>
              <w:bottom w:val="single" w:sz="4" w:space="0" w:color="auto"/>
              <w:right w:val="single" w:sz="4" w:space="0" w:color="auto"/>
            </w:tcBorders>
          </w:tcPr>
          <w:p w14:paraId="5A7BB89E" w14:textId="77777777" w:rsidR="00C57701" w:rsidRPr="00A87F21" w:rsidRDefault="00C57701" w:rsidP="00EC4D68">
            <w:pPr>
              <w:spacing w:after="60"/>
              <w:rPr>
                <w:iCs/>
                <w:sz w:val="20"/>
              </w:rPr>
            </w:pPr>
            <w:r w:rsidRPr="00A87F21">
              <w:rPr>
                <w:iCs/>
                <w:sz w:val="20"/>
              </w:rPr>
              <w:t>A 15-minute Settlement Interval.</w:t>
            </w:r>
          </w:p>
        </w:tc>
      </w:tr>
    </w:tbl>
    <w:p w14:paraId="11DB653C" w14:textId="643D3EED" w:rsidR="00C57701" w:rsidRPr="00A87F21" w:rsidRDefault="00C57701" w:rsidP="00C57701">
      <w:pPr>
        <w:spacing w:before="240" w:after="240"/>
        <w:ind w:left="720" w:hanging="720"/>
      </w:pPr>
      <w:r w:rsidRPr="00A87F21">
        <w:t>(</w:t>
      </w:r>
      <w:r w:rsidR="001D09AB">
        <w:t>6</w:t>
      </w:r>
      <w:r w:rsidRPr="00A87F21">
        <w:t>)</w:t>
      </w:r>
      <w:r w:rsidRPr="00A87F21">
        <w:tab/>
        <w:t xml:space="preserve">The total compensation to each QSE for </w:t>
      </w:r>
      <w:r>
        <w:t>an HDL override</w:t>
      </w:r>
      <w:r w:rsidRPr="00A87F21">
        <w:t xml:space="preserve"> for the 15-minute Settlement Interval is calculated as follows:</w:t>
      </w:r>
    </w:p>
    <w:p w14:paraId="28C76725" w14:textId="1C379A95" w:rsidR="00C57701" w:rsidRPr="000703C1" w:rsidRDefault="00C57701" w:rsidP="00C57701">
      <w:pPr>
        <w:spacing w:after="240"/>
        <w:ind w:left="720" w:firstLine="720"/>
        <w:rPr>
          <w:b/>
          <w:i/>
          <w:vertAlign w:val="subscript"/>
          <w:lang w:val="es-ES"/>
        </w:rPr>
      </w:pPr>
      <w:r w:rsidRPr="00050961">
        <w:rPr>
          <w:b/>
        </w:rPr>
        <w:t>HDLOEAMTQSETOT</w:t>
      </w:r>
      <w:r w:rsidRPr="000703C1">
        <w:rPr>
          <w:b/>
          <w:i/>
          <w:vertAlign w:val="subscript"/>
          <w:lang w:val="es-ES"/>
        </w:rPr>
        <w:t xml:space="preserve"> </w:t>
      </w:r>
      <w:r w:rsidRPr="00050961">
        <w:rPr>
          <w:b/>
          <w:i/>
          <w:vertAlign w:val="subscript"/>
          <w:lang w:val="es-ES"/>
        </w:rPr>
        <w:t>q, i</w:t>
      </w:r>
      <w:r w:rsidRPr="000703C1">
        <w:rPr>
          <w:b/>
          <w:i/>
          <w:vertAlign w:val="subscript"/>
          <w:lang w:val="es-ES"/>
        </w:rPr>
        <w:t xml:space="preserve"> </w:t>
      </w:r>
      <w:r w:rsidRPr="000703C1">
        <w:rPr>
          <w:b/>
        </w:rPr>
        <w:t xml:space="preserve"> =  </w:t>
      </w:r>
      <w:r w:rsidR="00A94020">
        <w:rPr>
          <w:b/>
          <w:noProof/>
          <w:position w:val="-28"/>
        </w:rPr>
        <w:drawing>
          <wp:inline distT="0" distB="0" distL="0" distR="0" wp14:anchorId="20FF9361" wp14:editId="564E7DA9">
            <wp:extent cx="295275" cy="428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00A94020">
        <w:rPr>
          <w:b/>
          <w:noProof/>
          <w:position w:val="-30"/>
        </w:rPr>
        <w:drawing>
          <wp:inline distT="0" distB="0" distL="0" distR="0" wp14:anchorId="07C5A238" wp14:editId="7B1E2094">
            <wp:extent cx="295275"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050961">
        <w:rPr>
          <w:b/>
        </w:rPr>
        <w:t>HDLOEAMT</w:t>
      </w:r>
      <w:r w:rsidRPr="000703C1">
        <w:rPr>
          <w:b/>
          <w:i/>
          <w:vertAlign w:val="subscript"/>
          <w:lang w:val="es-ES"/>
        </w:rPr>
        <w:t xml:space="preserve"> q, r, p, i</w:t>
      </w:r>
    </w:p>
    <w:p w14:paraId="04CCC0B3" w14:textId="77777777" w:rsidR="00C57701" w:rsidRPr="00A87F21" w:rsidRDefault="00C57701" w:rsidP="00C57701">
      <w:pPr>
        <w:spacing w:before="120"/>
      </w:pPr>
      <w:r w:rsidRPr="00A87F21">
        <w:lastRenderedPageBreak/>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C57701" w:rsidRPr="00A87F21" w14:paraId="7DA854B9" w14:textId="77777777" w:rsidTr="00EC4D68">
        <w:trPr>
          <w:cantSplit/>
          <w:tblHeader/>
        </w:trPr>
        <w:tc>
          <w:tcPr>
            <w:tcW w:w="1231" w:type="pct"/>
          </w:tcPr>
          <w:p w14:paraId="3E0946BA" w14:textId="77777777" w:rsidR="00C57701" w:rsidRPr="00A87F21" w:rsidRDefault="00C57701" w:rsidP="00EC4D68">
            <w:pPr>
              <w:spacing w:after="240"/>
              <w:rPr>
                <w:b/>
                <w:iCs/>
                <w:sz w:val="20"/>
              </w:rPr>
            </w:pPr>
            <w:r w:rsidRPr="00A87F21">
              <w:rPr>
                <w:b/>
                <w:iCs/>
                <w:sz w:val="20"/>
              </w:rPr>
              <w:t>Variable</w:t>
            </w:r>
          </w:p>
        </w:tc>
        <w:tc>
          <w:tcPr>
            <w:tcW w:w="474" w:type="pct"/>
          </w:tcPr>
          <w:p w14:paraId="04EB3427" w14:textId="77777777" w:rsidR="00C57701" w:rsidRPr="00A87F21" w:rsidRDefault="00C57701" w:rsidP="00EC4D68">
            <w:pPr>
              <w:spacing w:after="240"/>
              <w:rPr>
                <w:b/>
                <w:iCs/>
                <w:sz w:val="20"/>
              </w:rPr>
            </w:pPr>
            <w:r w:rsidRPr="00A87F21">
              <w:rPr>
                <w:b/>
                <w:iCs/>
                <w:sz w:val="20"/>
              </w:rPr>
              <w:t>Unit</w:t>
            </w:r>
          </w:p>
        </w:tc>
        <w:tc>
          <w:tcPr>
            <w:tcW w:w="3295" w:type="pct"/>
          </w:tcPr>
          <w:p w14:paraId="4E3C62D5" w14:textId="77777777" w:rsidR="00C57701" w:rsidRPr="00A87F21" w:rsidRDefault="00C57701" w:rsidP="00EC4D68">
            <w:pPr>
              <w:spacing w:after="240"/>
              <w:rPr>
                <w:b/>
                <w:iCs/>
                <w:sz w:val="20"/>
              </w:rPr>
            </w:pPr>
            <w:r w:rsidRPr="00A87F21">
              <w:rPr>
                <w:b/>
                <w:iCs/>
                <w:sz w:val="20"/>
              </w:rPr>
              <w:t>Definition</w:t>
            </w:r>
          </w:p>
        </w:tc>
      </w:tr>
      <w:tr w:rsidR="00C57701" w:rsidRPr="00A87F21" w14:paraId="74B09F89" w14:textId="77777777" w:rsidTr="00EC4D68">
        <w:trPr>
          <w:cantSplit/>
        </w:trPr>
        <w:tc>
          <w:tcPr>
            <w:tcW w:w="1231" w:type="pct"/>
          </w:tcPr>
          <w:p w14:paraId="3DC74B1F" w14:textId="77777777" w:rsidR="00C57701" w:rsidRPr="00A87F21" w:rsidRDefault="00C57701" w:rsidP="00EC4D68">
            <w:pPr>
              <w:spacing w:after="60"/>
              <w:rPr>
                <w:iCs/>
                <w:sz w:val="20"/>
              </w:rPr>
            </w:pPr>
            <w:r>
              <w:rPr>
                <w:iCs/>
                <w:sz w:val="20"/>
              </w:rPr>
              <w:t>HDLO</w:t>
            </w:r>
            <w:r w:rsidRPr="00A87F21">
              <w:rPr>
                <w:iCs/>
                <w:sz w:val="20"/>
              </w:rPr>
              <w:t xml:space="preserve">EAMT </w:t>
            </w:r>
            <w:r w:rsidRPr="00A87F21">
              <w:rPr>
                <w:i/>
                <w:iCs/>
                <w:sz w:val="20"/>
                <w:vertAlign w:val="subscript"/>
              </w:rPr>
              <w:t>q, r, p, i</w:t>
            </w:r>
          </w:p>
        </w:tc>
        <w:tc>
          <w:tcPr>
            <w:tcW w:w="474" w:type="pct"/>
          </w:tcPr>
          <w:p w14:paraId="2199BF4D" w14:textId="77777777" w:rsidR="00C57701" w:rsidRPr="00A87F21" w:rsidRDefault="00C57701" w:rsidP="00EC4D68">
            <w:pPr>
              <w:spacing w:after="60"/>
              <w:rPr>
                <w:iCs/>
                <w:sz w:val="20"/>
              </w:rPr>
            </w:pPr>
            <w:r w:rsidRPr="00A87F21">
              <w:rPr>
                <w:iCs/>
                <w:sz w:val="20"/>
              </w:rPr>
              <w:t>$</w:t>
            </w:r>
          </w:p>
        </w:tc>
        <w:tc>
          <w:tcPr>
            <w:tcW w:w="3295" w:type="pct"/>
          </w:tcPr>
          <w:p w14:paraId="224CBB0D" w14:textId="73BB0BD0" w:rsidR="00C57701" w:rsidRPr="00A87F21" w:rsidRDefault="00C57701" w:rsidP="00EC4D68">
            <w:pPr>
              <w:spacing w:after="60"/>
              <w:rPr>
                <w:iCs/>
                <w:sz w:val="20"/>
              </w:rPr>
            </w:pPr>
            <w:r>
              <w:rPr>
                <w:i/>
                <w:iCs/>
                <w:sz w:val="20"/>
              </w:rPr>
              <w:t>High Dispatch Limit override</w:t>
            </w:r>
            <w:r w:rsidRPr="00A87F21">
              <w:rPr>
                <w:i/>
                <w:iCs/>
                <w:sz w:val="20"/>
              </w:rPr>
              <w:t xml:space="preserve"> energy amount per QSE per Generation Resource</w:t>
            </w:r>
            <w:r w:rsidRPr="00A87F21">
              <w:rPr>
                <w:iCs/>
                <w:sz w:val="20"/>
              </w:rPr>
              <w:t xml:space="preserve">—The payment to QSE </w:t>
            </w:r>
            <w:r w:rsidRPr="00A87F21">
              <w:rPr>
                <w:i/>
                <w:iCs/>
                <w:sz w:val="20"/>
              </w:rPr>
              <w:t>q</w:t>
            </w:r>
            <w:r w:rsidRPr="00A87F21">
              <w:rPr>
                <w:iCs/>
                <w:sz w:val="20"/>
              </w:rPr>
              <w:t xml:space="preserve"> for an ERCOT-issued HDL override </w:t>
            </w:r>
            <w:r w:rsidR="00D92457">
              <w:rPr>
                <w:iCs/>
                <w:sz w:val="20"/>
              </w:rPr>
              <w:t>or equivalent VDI</w:t>
            </w:r>
            <w:r w:rsidR="00D92457" w:rsidRPr="00A87F21">
              <w:rPr>
                <w:iCs/>
                <w:sz w:val="20"/>
              </w:rPr>
              <w:t xml:space="preserve"> </w:t>
            </w:r>
            <w:r w:rsidRPr="00A87F21">
              <w:rPr>
                <w:iCs/>
                <w:sz w:val="20"/>
              </w:rPr>
              <w:t xml:space="preserve">for Generation Resource </w:t>
            </w:r>
            <w:r w:rsidRPr="00A87F21">
              <w:rPr>
                <w:i/>
                <w:iCs/>
                <w:sz w:val="20"/>
              </w:rPr>
              <w:t>r</w:t>
            </w:r>
            <w:r w:rsidRPr="00A87F21">
              <w:rPr>
                <w:iCs/>
                <w:sz w:val="20"/>
              </w:rPr>
              <w:t xml:space="preserve"> at Settlement Point </w:t>
            </w:r>
            <w:r w:rsidRPr="00A87F21">
              <w:rPr>
                <w:i/>
                <w:iCs/>
                <w:sz w:val="20"/>
              </w:rPr>
              <w:t xml:space="preserve">p </w:t>
            </w:r>
            <w:r w:rsidRPr="00A87F21">
              <w:rPr>
                <w:iCs/>
                <w:sz w:val="20"/>
              </w:rPr>
              <w:t xml:space="preserve">for the 15-minute Settlement Interval </w:t>
            </w:r>
            <w:r w:rsidRPr="00A87F21">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0B19BB42" w14:textId="77777777" w:rsidTr="00EC4D68">
        <w:trPr>
          <w:cantSplit/>
        </w:trPr>
        <w:tc>
          <w:tcPr>
            <w:tcW w:w="1231" w:type="pct"/>
          </w:tcPr>
          <w:p w14:paraId="36E5455A" w14:textId="278FEA52" w:rsidR="00C57701" w:rsidRPr="00A87F21" w:rsidRDefault="00C57701" w:rsidP="00EC4D68">
            <w:pPr>
              <w:spacing w:after="60"/>
              <w:rPr>
                <w:iCs/>
                <w:sz w:val="20"/>
              </w:rPr>
            </w:pPr>
            <w:r>
              <w:rPr>
                <w:iCs/>
                <w:sz w:val="20"/>
              </w:rPr>
              <w:t>HDLO</w:t>
            </w:r>
            <w:r w:rsidRPr="00A87F21">
              <w:rPr>
                <w:iCs/>
                <w:sz w:val="20"/>
              </w:rPr>
              <w:t xml:space="preserve">EAMTQSETOT </w:t>
            </w:r>
            <w:r w:rsidR="005E62C6" w:rsidRPr="005E62C6">
              <w:rPr>
                <w:i/>
                <w:sz w:val="20"/>
                <w:vertAlign w:val="subscript"/>
              </w:rPr>
              <w:t>q</w:t>
            </w:r>
            <w:r w:rsidR="005E62C6">
              <w:rPr>
                <w:i/>
                <w:sz w:val="20"/>
                <w:vertAlign w:val="subscript"/>
              </w:rPr>
              <w:t>, i</w:t>
            </w:r>
          </w:p>
        </w:tc>
        <w:tc>
          <w:tcPr>
            <w:tcW w:w="474" w:type="pct"/>
          </w:tcPr>
          <w:p w14:paraId="14A26DD5" w14:textId="77777777" w:rsidR="00C57701" w:rsidRPr="00A87F21" w:rsidRDefault="00C57701" w:rsidP="00EC4D68">
            <w:pPr>
              <w:spacing w:after="60"/>
              <w:rPr>
                <w:i/>
                <w:iCs/>
                <w:sz w:val="20"/>
              </w:rPr>
            </w:pPr>
            <w:r w:rsidRPr="00A87F21">
              <w:rPr>
                <w:iCs/>
                <w:sz w:val="20"/>
              </w:rPr>
              <w:t>$</w:t>
            </w:r>
          </w:p>
        </w:tc>
        <w:tc>
          <w:tcPr>
            <w:tcW w:w="3295" w:type="pct"/>
          </w:tcPr>
          <w:p w14:paraId="365C3994" w14:textId="77777777" w:rsidR="00C57701" w:rsidRPr="00A87F21" w:rsidRDefault="00C57701" w:rsidP="00EC4D68">
            <w:pPr>
              <w:spacing w:after="60"/>
              <w:rPr>
                <w:iCs/>
                <w:sz w:val="20"/>
              </w:rPr>
            </w:pPr>
            <w:r>
              <w:rPr>
                <w:i/>
                <w:iCs/>
                <w:sz w:val="20"/>
              </w:rPr>
              <w:t>High Dispatch Limit override</w:t>
            </w:r>
            <w:r w:rsidRPr="00A87F21">
              <w:rPr>
                <w:i/>
                <w:iCs/>
                <w:sz w:val="20"/>
              </w:rPr>
              <w:t xml:space="preserve"> </w:t>
            </w:r>
            <w:r>
              <w:rPr>
                <w:i/>
                <w:iCs/>
                <w:sz w:val="20"/>
              </w:rPr>
              <w:t>e</w:t>
            </w:r>
            <w:r w:rsidRPr="00A87F21">
              <w:rPr>
                <w:i/>
                <w:iCs/>
                <w:sz w:val="20"/>
              </w:rPr>
              <w:t xml:space="preserve">nergy </w:t>
            </w:r>
            <w:r>
              <w:rPr>
                <w:i/>
                <w:iCs/>
                <w:sz w:val="20"/>
              </w:rPr>
              <w:t>a</w:t>
            </w:r>
            <w:r w:rsidRPr="00A87F21">
              <w:rPr>
                <w:i/>
                <w:iCs/>
                <w:sz w:val="20"/>
              </w:rPr>
              <w:t>mount QSE total per QSE</w:t>
            </w:r>
            <w:r w:rsidRPr="00A87F21">
              <w:rPr>
                <w:iCs/>
                <w:sz w:val="20"/>
              </w:rPr>
              <w:t xml:space="preserve">—The total of the energy payments to QSE </w:t>
            </w:r>
            <w:r w:rsidRPr="00A87F21">
              <w:rPr>
                <w:i/>
                <w:iCs/>
                <w:sz w:val="20"/>
              </w:rPr>
              <w:t>q</w:t>
            </w:r>
            <w:r w:rsidRPr="00A87F21">
              <w:rPr>
                <w:iCs/>
                <w:sz w:val="20"/>
              </w:rPr>
              <w:t xml:space="preserve"> as compensation for </w:t>
            </w:r>
            <w:r>
              <w:rPr>
                <w:iCs/>
                <w:sz w:val="20"/>
              </w:rPr>
              <w:t>HDL overrides</w:t>
            </w:r>
            <w:r w:rsidRPr="00A87F21">
              <w:rPr>
                <w:iCs/>
                <w:sz w:val="20"/>
              </w:rPr>
              <w:t xml:space="preserve"> for this QSE for the 15-minute </w:t>
            </w:r>
            <w:r>
              <w:rPr>
                <w:iCs/>
                <w:sz w:val="20"/>
              </w:rPr>
              <w:t>S</w:t>
            </w:r>
            <w:r w:rsidRPr="00A87F21">
              <w:rPr>
                <w:iCs/>
                <w:sz w:val="20"/>
              </w:rPr>
              <w:t xml:space="preserve">ettlement </w:t>
            </w:r>
            <w:r>
              <w:rPr>
                <w:iCs/>
                <w:sz w:val="20"/>
              </w:rPr>
              <w:t>I</w:t>
            </w:r>
            <w:r w:rsidRPr="00A87F21">
              <w:rPr>
                <w:iCs/>
                <w:sz w:val="20"/>
              </w:rPr>
              <w:t xml:space="preserve">nterval </w:t>
            </w:r>
            <w:r w:rsidRPr="00A87F21">
              <w:rPr>
                <w:i/>
                <w:iCs/>
                <w:sz w:val="20"/>
              </w:rPr>
              <w:t>i</w:t>
            </w:r>
            <w:r w:rsidRPr="00A87F21">
              <w:rPr>
                <w:iCs/>
                <w:sz w:val="20"/>
              </w:rPr>
              <w:t>.</w:t>
            </w:r>
          </w:p>
        </w:tc>
      </w:tr>
      <w:tr w:rsidR="00C57701" w:rsidRPr="00A87F21" w14:paraId="7CCD6177"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75319A4E" w14:textId="77777777" w:rsidR="00C57701" w:rsidRPr="00A87F21" w:rsidRDefault="00C57701" w:rsidP="00EC4D68">
            <w:pPr>
              <w:spacing w:after="60"/>
              <w:rPr>
                <w:i/>
                <w:iCs/>
                <w:sz w:val="20"/>
              </w:rPr>
            </w:pPr>
            <w:r w:rsidRPr="00A87F21">
              <w:rPr>
                <w:i/>
                <w:iCs/>
                <w:sz w:val="20"/>
              </w:rPr>
              <w:t>q</w:t>
            </w:r>
          </w:p>
        </w:tc>
        <w:tc>
          <w:tcPr>
            <w:tcW w:w="474" w:type="pct"/>
            <w:tcBorders>
              <w:top w:val="single" w:sz="4" w:space="0" w:color="auto"/>
              <w:left w:val="single" w:sz="4" w:space="0" w:color="auto"/>
              <w:bottom w:val="single" w:sz="4" w:space="0" w:color="auto"/>
              <w:right w:val="single" w:sz="4" w:space="0" w:color="auto"/>
            </w:tcBorders>
          </w:tcPr>
          <w:p w14:paraId="0AF99F8B"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256A5F0E" w14:textId="77777777" w:rsidR="00C57701" w:rsidRPr="00A87F21" w:rsidRDefault="00C57701" w:rsidP="00EC4D68">
            <w:pPr>
              <w:spacing w:after="60"/>
              <w:rPr>
                <w:iCs/>
                <w:sz w:val="20"/>
              </w:rPr>
            </w:pPr>
            <w:r w:rsidRPr="00A87F21">
              <w:rPr>
                <w:iCs/>
                <w:sz w:val="20"/>
              </w:rPr>
              <w:t>A QSE.</w:t>
            </w:r>
          </w:p>
        </w:tc>
      </w:tr>
      <w:tr w:rsidR="00C57701" w:rsidRPr="00A87F21" w14:paraId="77678E35"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6E211A13" w14:textId="77777777" w:rsidR="00C57701" w:rsidRPr="00A87F21" w:rsidRDefault="00C57701" w:rsidP="00EC4D68">
            <w:pPr>
              <w:spacing w:after="60"/>
              <w:rPr>
                <w:i/>
                <w:iCs/>
                <w:sz w:val="20"/>
              </w:rPr>
            </w:pPr>
            <w:r w:rsidRPr="00A87F21">
              <w:rPr>
                <w:i/>
                <w:iCs/>
                <w:sz w:val="20"/>
              </w:rPr>
              <w:t>r</w:t>
            </w:r>
          </w:p>
        </w:tc>
        <w:tc>
          <w:tcPr>
            <w:tcW w:w="474" w:type="pct"/>
            <w:tcBorders>
              <w:top w:val="single" w:sz="4" w:space="0" w:color="auto"/>
              <w:left w:val="single" w:sz="4" w:space="0" w:color="auto"/>
              <w:bottom w:val="single" w:sz="4" w:space="0" w:color="auto"/>
              <w:right w:val="single" w:sz="4" w:space="0" w:color="auto"/>
            </w:tcBorders>
          </w:tcPr>
          <w:p w14:paraId="06F230E2"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144A09D3" w14:textId="77777777" w:rsidR="00C57701" w:rsidRPr="00A87F21" w:rsidRDefault="00C57701" w:rsidP="00EC4D68">
            <w:pPr>
              <w:spacing w:after="60"/>
              <w:rPr>
                <w:iCs/>
                <w:sz w:val="20"/>
              </w:rPr>
            </w:pPr>
            <w:r w:rsidRPr="00A87F21">
              <w:rPr>
                <w:iCs/>
                <w:sz w:val="20"/>
              </w:rPr>
              <w:t>A Generation Resource.</w:t>
            </w:r>
          </w:p>
        </w:tc>
      </w:tr>
      <w:tr w:rsidR="00C57701" w:rsidRPr="00A87F21" w14:paraId="2FD7449F"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5AC78E0C" w14:textId="77777777" w:rsidR="00C57701" w:rsidRPr="00A87F21" w:rsidRDefault="00C57701" w:rsidP="00EC4D68">
            <w:pPr>
              <w:spacing w:after="60"/>
              <w:rPr>
                <w:i/>
                <w:iCs/>
                <w:sz w:val="20"/>
              </w:rPr>
            </w:pPr>
            <w:r w:rsidRPr="00A87F21">
              <w:rPr>
                <w:i/>
                <w:iCs/>
                <w:sz w:val="20"/>
              </w:rPr>
              <w:t>p</w:t>
            </w:r>
          </w:p>
        </w:tc>
        <w:tc>
          <w:tcPr>
            <w:tcW w:w="474" w:type="pct"/>
            <w:tcBorders>
              <w:top w:val="single" w:sz="4" w:space="0" w:color="auto"/>
              <w:left w:val="single" w:sz="4" w:space="0" w:color="auto"/>
              <w:bottom w:val="single" w:sz="4" w:space="0" w:color="auto"/>
              <w:right w:val="single" w:sz="4" w:space="0" w:color="auto"/>
            </w:tcBorders>
          </w:tcPr>
          <w:p w14:paraId="34A159DF"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2D018EFD" w14:textId="77777777" w:rsidR="00C57701" w:rsidRPr="00A87F21" w:rsidRDefault="00C57701" w:rsidP="00EC4D68">
            <w:pPr>
              <w:spacing w:after="60"/>
              <w:rPr>
                <w:iCs/>
                <w:sz w:val="18"/>
                <w:szCs w:val="18"/>
              </w:rPr>
            </w:pPr>
            <w:r w:rsidRPr="00A87F21">
              <w:rPr>
                <w:iCs/>
                <w:sz w:val="20"/>
              </w:rPr>
              <w:t>A Resource Node Settlement Point.</w:t>
            </w:r>
          </w:p>
        </w:tc>
      </w:tr>
      <w:tr w:rsidR="00C57701" w:rsidRPr="00A87F21" w14:paraId="1F167644"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707050E4" w14:textId="77777777" w:rsidR="00C57701" w:rsidRPr="00A87F21" w:rsidRDefault="00C57701" w:rsidP="00EC4D68">
            <w:pPr>
              <w:spacing w:after="60"/>
              <w:rPr>
                <w:i/>
                <w:iCs/>
                <w:sz w:val="20"/>
              </w:rPr>
            </w:pPr>
            <w:r w:rsidRPr="00A87F21">
              <w:rPr>
                <w:i/>
                <w:iCs/>
                <w:sz w:val="20"/>
              </w:rPr>
              <w:t>i</w:t>
            </w:r>
          </w:p>
        </w:tc>
        <w:tc>
          <w:tcPr>
            <w:tcW w:w="474" w:type="pct"/>
            <w:tcBorders>
              <w:top w:val="single" w:sz="4" w:space="0" w:color="auto"/>
              <w:left w:val="single" w:sz="4" w:space="0" w:color="auto"/>
              <w:bottom w:val="single" w:sz="4" w:space="0" w:color="auto"/>
              <w:right w:val="single" w:sz="4" w:space="0" w:color="auto"/>
            </w:tcBorders>
          </w:tcPr>
          <w:p w14:paraId="1FDC1F76"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5AAFA33E" w14:textId="77777777" w:rsidR="00C57701" w:rsidRPr="00A87F21" w:rsidRDefault="00C57701" w:rsidP="00EC4D68">
            <w:pPr>
              <w:spacing w:after="60"/>
              <w:rPr>
                <w:iCs/>
                <w:sz w:val="20"/>
              </w:rPr>
            </w:pPr>
            <w:r w:rsidRPr="00A87F21">
              <w:rPr>
                <w:iCs/>
                <w:sz w:val="20"/>
              </w:rPr>
              <w:t>A 15-minute Settlement Interval.</w:t>
            </w:r>
          </w:p>
        </w:tc>
      </w:tr>
    </w:tbl>
    <w:p w14:paraId="4FEE20F0" w14:textId="77777777" w:rsidR="00F85B9C" w:rsidRPr="00F85B9C" w:rsidRDefault="00F85B9C" w:rsidP="00F85B9C">
      <w:pPr>
        <w:pStyle w:val="BodyText"/>
        <w:spacing w:after="0"/>
      </w:pPr>
      <w:bookmarkStart w:id="1967" w:name="_Toc481502896"/>
      <w:bookmarkStart w:id="1968" w:name="_Toc496080064"/>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85B9C" w14:paraId="1B1C47E2" w14:textId="77777777" w:rsidTr="000D7680">
        <w:trPr>
          <w:trHeight w:val="206"/>
        </w:trPr>
        <w:tc>
          <w:tcPr>
            <w:tcW w:w="5000" w:type="pct"/>
            <w:shd w:val="pct12" w:color="auto" w:fill="auto"/>
          </w:tcPr>
          <w:p w14:paraId="5ED28868" w14:textId="493F3525" w:rsidR="00F85B9C" w:rsidRDefault="00F85B9C" w:rsidP="000D7680">
            <w:pPr>
              <w:pStyle w:val="Instructions"/>
              <w:spacing w:before="120"/>
            </w:pPr>
            <w:r>
              <w:t>[NPRR1010</w:t>
            </w:r>
            <w:r w:rsidR="006963EB">
              <w:t xml:space="preserve"> and NPRR1246</w:t>
            </w:r>
            <w:r>
              <w:t>:  Replace Section 6.6.</w:t>
            </w:r>
            <w:r w:rsidR="000932C9">
              <w:t>3.</w:t>
            </w:r>
            <w:r w:rsidR="00720B34">
              <w:t>6</w:t>
            </w:r>
            <w:r>
              <w:t xml:space="preserve"> above with the followi</w:t>
            </w:r>
            <w:r w:rsidR="00BA1412">
              <w:t xml:space="preserve">ng </w:t>
            </w:r>
            <w:r>
              <w:t>upon system implementation of the Real-Time Co-Optimization (RTC) project:]</w:t>
            </w:r>
          </w:p>
          <w:p w14:paraId="6FC19DAF" w14:textId="0315FA98" w:rsidR="00F85B9C" w:rsidRDefault="00F85B9C" w:rsidP="00F85B9C">
            <w:pPr>
              <w:keepNext/>
              <w:widowControl w:val="0"/>
              <w:tabs>
                <w:tab w:val="left" w:pos="1260"/>
              </w:tabs>
              <w:spacing w:before="240" w:after="240"/>
              <w:ind w:left="1260" w:hanging="1260"/>
              <w:outlineLvl w:val="3"/>
              <w:rPr>
                <w:b/>
              </w:rPr>
            </w:pPr>
            <w:bookmarkStart w:id="1969" w:name="_Toc60040681"/>
            <w:bookmarkStart w:id="1970" w:name="_Toc65151740"/>
            <w:bookmarkStart w:id="1971" w:name="_Toc80174766"/>
            <w:bookmarkStart w:id="1972" w:name="_Toc112417645"/>
            <w:bookmarkStart w:id="1973" w:name="_Toc119310314"/>
            <w:bookmarkStart w:id="1974" w:name="_Toc125966247"/>
            <w:bookmarkStart w:id="1975" w:name="_Toc135992345"/>
            <w:bookmarkStart w:id="1976" w:name="_Toc170303541"/>
            <w:bookmarkStart w:id="1977" w:name="_Toc175157445"/>
            <w:bookmarkStart w:id="1978" w:name="_Hlk193965638"/>
            <w:bookmarkStart w:id="1979" w:name="_Toc204411671"/>
            <w:r>
              <w:rPr>
                <w:b/>
              </w:rPr>
              <w:t>6.6.3.</w:t>
            </w:r>
            <w:r w:rsidR="00720B34">
              <w:rPr>
                <w:b/>
              </w:rPr>
              <w:t>6</w:t>
            </w:r>
            <w:r>
              <w:rPr>
                <w:b/>
              </w:rPr>
              <w:tab/>
              <w:t>Real-Time High Dispatch Limit Override Energy Payment</w:t>
            </w:r>
            <w:bookmarkEnd w:id="1969"/>
            <w:bookmarkEnd w:id="1970"/>
            <w:bookmarkEnd w:id="1971"/>
            <w:bookmarkEnd w:id="1972"/>
            <w:bookmarkEnd w:id="1973"/>
            <w:bookmarkEnd w:id="1974"/>
            <w:bookmarkEnd w:id="1975"/>
            <w:bookmarkEnd w:id="1976"/>
            <w:bookmarkEnd w:id="1977"/>
            <w:bookmarkEnd w:id="1979"/>
            <w:r>
              <w:rPr>
                <w:b/>
              </w:rPr>
              <w:t xml:space="preserve">  </w:t>
            </w:r>
          </w:p>
          <w:p w14:paraId="71CB3164" w14:textId="5AACFEB7" w:rsidR="00F85B9C" w:rsidRDefault="00F85B9C" w:rsidP="00F85B9C">
            <w:pPr>
              <w:spacing w:after="240"/>
              <w:ind w:left="720" w:hanging="720"/>
              <w:rPr>
                <w:color w:val="000000"/>
              </w:rPr>
            </w:pPr>
            <w:r>
              <w:rPr>
                <w:color w:val="000000"/>
              </w:rPr>
              <w:t>(1)</w:t>
            </w:r>
            <w:r>
              <w:rPr>
                <w:color w:val="000000"/>
              </w:rPr>
              <w:tab/>
              <w:t xml:space="preserve">If ERCOT directs a Generation Resource </w:t>
            </w:r>
            <w:r w:rsidR="001B1A8E">
              <w:rPr>
                <w:color w:val="000000"/>
              </w:rPr>
              <w:t xml:space="preserve">or Energy Storage Resource (ESR) to reduce </w:t>
            </w:r>
            <w:r>
              <w:rPr>
                <w:color w:val="000000"/>
              </w:rPr>
              <w:t>real power output by employing a manual High Dispatch Limit (HDL) override</w:t>
            </w:r>
            <w:r w:rsidR="00D92457">
              <w:rPr>
                <w:color w:val="000000"/>
              </w:rPr>
              <w:t xml:space="preserve">, or issues a Verbal Dispatch Instruction (VDI) to a Generation Resource </w:t>
            </w:r>
            <w:r w:rsidR="001B1A8E">
              <w:rPr>
                <w:color w:val="000000"/>
              </w:rPr>
              <w:t xml:space="preserve">or ESR </w:t>
            </w:r>
            <w:r w:rsidR="00D92457">
              <w:rPr>
                <w:color w:val="000000"/>
              </w:rPr>
              <w:t>to adjust its operation to produce the same effect,</w:t>
            </w:r>
            <w:r>
              <w:rPr>
                <w:color w:val="000000"/>
              </w:rPr>
              <w:t xml:space="preserve"> and the reduction causes the QSE to suffer a demonstrable financial loss, the QSE may be eligible for a Real-Time High Dispatch Limit Override Energy Payment, as calculated below, upon providing documented proof of that loss.  In order to qualify for this payment the QSE must:</w:t>
            </w:r>
          </w:p>
          <w:p w14:paraId="1B32BC0C" w14:textId="77777777" w:rsidR="00F85B9C" w:rsidRDefault="00F85B9C" w:rsidP="00F85B9C">
            <w:pPr>
              <w:spacing w:after="240"/>
              <w:ind w:left="1440" w:hanging="720"/>
            </w:pPr>
            <w:r>
              <w:t>(a)</w:t>
            </w:r>
            <w:r>
              <w:tab/>
              <w:t>Have complied with ERCOT Dispatch Instructions to reduce real power output;</w:t>
            </w:r>
          </w:p>
          <w:p w14:paraId="0464CF70" w14:textId="7FDF591B" w:rsidR="00F85B9C" w:rsidRDefault="00F85B9C" w:rsidP="00F85B9C">
            <w:pPr>
              <w:spacing w:after="240"/>
              <w:ind w:left="1440" w:hanging="720"/>
            </w:pPr>
            <w:r>
              <w:t>(b)</w:t>
            </w:r>
            <w:r>
              <w:tab/>
              <w:t>Have</w:t>
            </w:r>
            <w:r w:rsidR="00D92457">
              <w:t xml:space="preserve"> either</w:t>
            </w:r>
            <w:r>
              <w:t xml:space="preserve"> received a SCED Base Point equal to the Resource’s HDL override</w:t>
            </w:r>
            <w:r w:rsidR="00D92457">
              <w:t xml:space="preserve"> value or received </w:t>
            </w:r>
            <w:r w:rsidR="00D92457" w:rsidRPr="001F5A11">
              <w:t xml:space="preserve">a SCED </w:t>
            </w:r>
            <w:r w:rsidR="00D92457">
              <w:t>B</w:t>
            </w:r>
            <w:r w:rsidR="00D92457" w:rsidRPr="001F5A11">
              <w:t>ase</w:t>
            </w:r>
            <w:r w:rsidR="00D92457">
              <w:t xml:space="preserve"> P</w:t>
            </w:r>
            <w:r w:rsidR="00D92457" w:rsidRPr="001F5A11">
              <w:t xml:space="preserve">oint </w:t>
            </w:r>
            <w:r w:rsidR="00D92457">
              <w:t xml:space="preserve">less than the Resource’s output level at the time of the instruction but greater than or </w:t>
            </w:r>
            <w:r w:rsidR="00D92457" w:rsidRPr="001F5A11">
              <w:t xml:space="preserve">equal to the </w:t>
            </w:r>
            <w:r w:rsidR="00D92457">
              <w:t>instructed operating level specified in the VDI</w:t>
            </w:r>
            <w:r>
              <w:t>, during the 15-minute Settlement Interval;</w:t>
            </w:r>
          </w:p>
          <w:p w14:paraId="17F5BBD1" w14:textId="77777777" w:rsidR="001D09AB" w:rsidRDefault="00F85B9C" w:rsidP="00F85B9C">
            <w:pPr>
              <w:spacing w:after="240"/>
              <w:ind w:left="1440" w:hanging="720"/>
            </w:pPr>
            <w:r>
              <w:t>(c)</w:t>
            </w:r>
            <w:r>
              <w:tab/>
              <w:t>Have incurred a demonstrable financial loss</w:t>
            </w:r>
            <w:r w:rsidR="001D09AB">
              <w:t xml:space="preserve"> </w:t>
            </w:r>
            <w:r w:rsidR="001D09AB" w:rsidRPr="00204B25">
              <w:t>(excluding lost opportunity costs) caused by the HDL override</w:t>
            </w:r>
            <w:r>
              <w:t xml:space="preserve"> associated with </w:t>
            </w:r>
            <w:r w:rsidR="001D09AB" w:rsidRPr="00204B25">
              <w:t>one of the following:</w:t>
            </w:r>
          </w:p>
          <w:p w14:paraId="2A769C35" w14:textId="00D4A2F7" w:rsidR="00F85B9C" w:rsidRDefault="001D09AB" w:rsidP="001D09AB">
            <w:pPr>
              <w:spacing w:after="240"/>
              <w:ind w:left="2160" w:hanging="720"/>
            </w:pPr>
            <w:r>
              <w:t>(i)</w:t>
            </w:r>
            <w:r>
              <w:tab/>
              <w:t>V</w:t>
            </w:r>
            <w:r w:rsidR="00F85B9C">
              <w:t>ariable cost components of DAM obligations</w:t>
            </w:r>
            <w:r>
              <w:t>;</w:t>
            </w:r>
          </w:p>
          <w:p w14:paraId="754E76F4" w14:textId="48A18729" w:rsidR="001D09AB" w:rsidRPr="00204B25" w:rsidRDefault="001D09AB" w:rsidP="001D09AB">
            <w:pPr>
              <w:spacing w:after="240"/>
              <w:ind w:left="2160" w:hanging="720"/>
            </w:pPr>
            <w:r w:rsidRPr="00204B25">
              <w:t>(ii)</w:t>
            </w:r>
            <w:r w:rsidRPr="00204B25">
              <w:tab/>
              <w:t>QSEs representing only Generation Resources in their portfolio with an HDL override for a Resource with a bilateral contract to sell energy at its Resource Node; or</w:t>
            </w:r>
          </w:p>
          <w:p w14:paraId="5E365AFC" w14:textId="6CAE2048" w:rsidR="001D09AB" w:rsidRPr="00204B25" w:rsidRDefault="001D09AB" w:rsidP="001D09AB">
            <w:pPr>
              <w:spacing w:after="240"/>
              <w:ind w:left="2160" w:hanging="720"/>
            </w:pPr>
            <w:r w:rsidRPr="00204B25">
              <w:t>(iii)</w:t>
            </w:r>
            <w:r w:rsidRPr="00204B25">
              <w:tab/>
              <w:t xml:space="preserve">Incremental costs incurred by a QSE in the Real-Time Market (RTM) to serve its Load if the HDL override for a Resource in the same QSE </w:t>
            </w:r>
            <w:r w:rsidRPr="00204B25">
              <w:lastRenderedPageBreak/>
              <w:t>portfolio as the Load, causes the QSE to be short energy compared to its Load; and</w:t>
            </w:r>
          </w:p>
          <w:p w14:paraId="235370A7" w14:textId="29CEA834" w:rsidR="00F85B9C" w:rsidRDefault="00F85B9C" w:rsidP="00F85B9C">
            <w:pPr>
              <w:spacing w:after="240"/>
              <w:ind w:left="1440" w:hanging="720"/>
            </w:pPr>
            <w:r>
              <w:t>(d)</w:t>
            </w:r>
            <w:r>
              <w:tab/>
              <w:t>File a timely Settlement and billing dispute</w:t>
            </w:r>
            <w:r w:rsidR="001D09AB" w:rsidRPr="00204B25">
              <w:t xml:space="preserve"> in accordance with Section 9.14, Settlement and Billing Dispute Process</w:t>
            </w:r>
            <w:r>
              <w:t xml:space="preserve">, including the following items: </w:t>
            </w:r>
          </w:p>
          <w:p w14:paraId="53157083" w14:textId="77777777" w:rsidR="00F85B9C" w:rsidRDefault="00F85B9C" w:rsidP="00F85B9C">
            <w:pPr>
              <w:spacing w:after="240"/>
              <w:ind w:left="2160" w:hanging="720"/>
            </w:pPr>
            <w:r>
              <w:t>(i)</w:t>
            </w:r>
            <w:r>
              <w:tab/>
              <w:t>An attestation signed by an officer or executive with authority to bind the QSE;</w:t>
            </w:r>
          </w:p>
          <w:p w14:paraId="788A341E" w14:textId="77777777" w:rsidR="00F85B9C" w:rsidRDefault="00F85B9C" w:rsidP="00F85B9C">
            <w:pPr>
              <w:spacing w:after="240"/>
              <w:ind w:left="2160" w:hanging="720"/>
            </w:pPr>
            <w:r>
              <w:t>(ii)</w:t>
            </w:r>
            <w:r>
              <w:tab/>
              <w:t>The dollar amount and calculation of the financial loss by Settlement Interval;</w:t>
            </w:r>
          </w:p>
          <w:p w14:paraId="68FE5DA1" w14:textId="4623ECF8" w:rsidR="00F85B9C" w:rsidRDefault="00F85B9C" w:rsidP="00F85B9C">
            <w:pPr>
              <w:spacing w:after="240"/>
              <w:ind w:left="2160" w:hanging="720"/>
            </w:pPr>
            <w:r>
              <w:t>(iii)</w:t>
            </w:r>
            <w:r>
              <w:tab/>
              <w:t>An explanation of the nature of the loss and how it was attributable to the HDL override</w:t>
            </w:r>
            <w:r w:rsidR="00D92457">
              <w:t xml:space="preserve"> or equivalent VDI issued by ERCOT</w:t>
            </w:r>
            <w:r>
              <w:t xml:space="preserve">; and </w:t>
            </w:r>
          </w:p>
          <w:p w14:paraId="015AD7B6" w14:textId="77777777" w:rsidR="00F85B9C" w:rsidRDefault="00F85B9C" w:rsidP="00F85B9C">
            <w:pPr>
              <w:spacing w:after="240"/>
              <w:ind w:left="2160" w:hanging="720"/>
            </w:pPr>
            <w:r>
              <w:t>(iv)</w:t>
            </w:r>
            <w:r>
              <w:tab/>
              <w:t>Sufficient documentation to support the QSE’s calculation of the amount of the financial loss.</w:t>
            </w:r>
          </w:p>
          <w:p w14:paraId="5636A535" w14:textId="77777777" w:rsidR="001D09AB" w:rsidRPr="00204B25" w:rsidRDefault="001D09AB" w:rsidP="001D09AB">
            <w:pPr>
              <w:spacing w:after="240"/>
              <w:ind w:left="720" w:hanging="720"/>
              <w:rPr>
                <w:color w:val="000000"/>
              </w:rPr>
            </w:pPr>
            <w:r w:rsidRPr="00204B25">
              <w:rPr>
                <w:color w:val="000000"/>
              </w:rPr>
              <w:t>(2)</w:t>
            </w:r>
            <w:r w:rsidRPr="00204B25">
              <w:rPr>
                <w:color w:val="000000"/>
              </w:rPr>
              <w:tab/>
              <w:t xml:space="preserve">Notwithstanding the attestation requirement described in paragraph (1)(d) above, for QSEs filing </w:t>
            </w:r>
            <w:r w:rsidRPr="00204B25">
              <w:t xml:space="preserve">a demonstrable financial loss per paragraph (1)(c)(iii) above, the attestation must also </w:t>
            </w:r>
            <w:r w:rsidRPr="00204B25">
              <w:rPr>
                <w:color w:val="000000"/>
              </w:rPr>
              <w:t>state that the Resource with the HDL override was serving the Load in the same QSE portfolio as the Resource, at the time the HDL override was issued.</w:t>
            </w:r>
          </w:p>
          <w:p w14:paraId="096CB8F3" w14:textId="77777777" w:rsidR="001D09AB" w:rsidRPr="00204B25" w:rsidRDefault="001D09AB" w:rsidP="001D09AB">
            <w:pPr>
              <w:spacing w:after="240"/>
              <w:ind w:left="720" w:hanging="720"/>
              <w:rPr>
                <w:color w:val="000000"/>
              </w:rPr>
            </w:pPr>
            <w:r w:rsidRPr="00204B25">
              <w:rPr>
                <w:color w:val="000000"/>
              </w:rPr>
              <w:t>(3)        If the total Settlement amount of High Dispatch Limit Override Energy Payments exceeds $3.5 million in a calendar year, ERCOT will report to the Technical Advisory Committee (TAC) the causes of the payments and provide recommendations on how to reduce the costs both operationally and based on the eligible demonstrable financial loss criteria in paragraph (1)(c) above.</w:t>
            </w:r>
          </w:p>
          <w:p w14:paraId="15121C04" w14:textId="21B2CB9A" w:rsidR="00F85B9C" w:rsidRDefault="00F85B9C" w:rsidP="00F85B9C">
            <w:pPr>
              <w:spacing w:after="240"/>
              <w:ind w:left="720" w:hanging="720"/>
              <w:rPr>
                <w:color w:val="000000"/>
              </w:rPr>
            </w:pPr>
            <w:r>
              <w:rPr>
                <w:color w:val="000000"/>
              </w:rPr>
              <w:t>(</w:t>
            </w:r>
            <w:r w:rsidR="001D09AB">
              <w:rPr>
                <w:color w:val="000000"/>
              </w:rPr>
              <w:t>4</w:t>
            </w:r>
            <w:r>
              <w:rPr>
                <w:color w:val="000000"/>
              </w:rPr>
              <w:t>)</w:t>
            </w:r>
            <w:r>
              <w:rPr>
                <w:color w:val="000000"/>
              </w:rPr>
              <w:tab/>
              <w:t xml:space="preserve">ERCOT may request additional supporting documentation or explanation with respect to the submitted materials within 15 Business Days of receipt.  Additional information requested by ERCOT must be provided by the QSE within 15 </w:t>
            </w:r>
            <w:r w:rsidR="000932C9">
              <w:rPr>
                <w:color w:val="000000"/>
              </w:rPr>
              <w:t>B</w:t>
            </w:r>
            <w:r>
              <w:rPr>
                <w:color w:val="000000"/>
              </w:rPr>
              <w:t xml:space="preserve">usiness </w:t>
            </w:r>
            <w:r w:rsidR="000932C9">
              <w:rPr>
                <w:color w:val="000000"/>
              </w:rPr>
              <w:t>D</w:t>
            </w:r>
            <w:r>
              <w:rPr>
                <w:color w:val="000000"/>
              </w:rPr>
              <w:t xml:space="preserve">ays of ERCOT’s request.  ERCOT will provide Notice of its acceptance or rejection of the claim for the High Dispatch Limit Override Energy Payment within 15 Business Days of the updated submission. </w:t>
            </w:r>
          </w:p>
          <w:p w14:paraId="72C97016" w14:textId="36876D2B" w:rsidR="00F85B9C" w:rsidRDefault="00F85B9C" w:rsidP="00F85B9C">
            <w:pPr>
              <w:spacing w:after="240"/>
              <w:ind w:left="720" w:hanging="720"/>
              <w:rPr>
                <w:color w:val="000000"/>
              </w:rPr>
            </w:pPr>
            <w:r>
              <w:rPr>
                <w:color w:val="000000"/>
              </w:rPr>
              <w:t>(</w:t>
            </w:r>
            <w:r w:rsidR="001D09AB">
              <w:rPr>
                <w:color w:val="000000"/>
              </w:rPr>
              <w:t>5</w:t>
            </w:r>
            <w:r>
              <w:rPr>
                <w:color w:val="000000"/>
              </w:rPr>
              <w:t>)</w:t>
            </w:r>
            <w:r>
              <w:rPr>
                <w:color w:val="000000"/>
              </w:rPr>
              <w:tab/>
              <w:t>The Energy Offer Curve</w:t>
            </w:r>
            <w:r w:rsidR="001B1A8E">
              <w:rPr>
                <w:color w:val="000000"/>
              </w:rPr>
              <w:t xml:space="preserve"> or Energy Bid/Offer Curve</w:t>
            </w:r>
            <w:r>
              <w:rPr>
                <w:color w:val="000000"/>
              </w:rPr>
              <w:t xml:space="preserve"> used to calculate the Real-Time High Dispatch Limit Override Energy Payment will be the most recent valid Energy Offer Curve</w:t>
            </w:r>
            <w:r w:rsidR="001B1A8E">
              <w:rPr>
                <w:color w:val="000000"/>
              </w:rPr>
              <w:t xml:space="preserve"> or Energy Bid/Offer Curve</w:t>
            </w:r>
            <w:r>
              <w:rPr>
                <w:color w:val="000000"/>
              </w:rPr>
              <w:t xml:space="preserve"> received by ERCOT that was effective for the disputed interval(s) when the HDL override </w:t>
            </w:r>
            <w:r w:rsidR="00D92457">
              <w:rPr>
                <w:color w:val="000000"/>
              </w:rPr>
              <w:t xml:space="preserve">or equivalent VDI </w:t>
            </w:r>
            <w:r>
              <w:rPr>
                <w:color w:val="000000"/>
              </w:rPr>
              <w:t>was issued.  If no curve exists for the interval being disputed, ERCOT will use the most recent valid Energy Offer Curve</w:t>
            </w:r>
            <w:r w:rsidR="001B1A8E">
              <w:rPr>
                <w:color w:val="000000"/>
              </w:rPr>
              <w:t xml:space="preserve"> or Energy Bid/Offer Curve</w:t>
            </w:r>
            <w:r>
              <w:rPr>
                <w:color w:val="000000"/>
              </w:rPr>
              <w:t xml:space="preserve"> received before the HDL override</w:t>
            </w:r>
            <w:r w:rsidR="00D92457">
              <w:rPr>
                <w:color w:val="000000"/>
              </w:rPr>
              <w:t xml:space="preserve"> or equivalent VDI</w:t>
            </w:r>
            <w:r>
              <w:rPr>
                <w:color w:val="000000"/>
              </w:rPr>
              <w:t xml:space="preserve"> was issued for an interval prior to the disputed interval(s).</w:t>
            </w:r>
          </w:p>
          <w:p w14:paraId="34DDEEE5" w14:textId="7B847D05" w:rsidR="00F85B9C" w:rsidRDefault="00F85B9C" w:rsidP="00F85B9C">
            <w:pPr>
              <w:spacing w:after="240"/>
              <w:ind w:left="720" w:hanging="720"/>
              <w:rPr>
                <w:color w:val="000000"/>
              </w:rPr>
            </w:pPr>
            <w:r>
              <w:rPr>
                <w:color w:val="000000"/>
              </w:rPr>
              <w:lastRenderedPageBreak/>
              <w:t>(</w:t>
            </w:r>
            <w:r w:rsidR="001D09AB">
              <w:rPr>
                <w:color w:val="000000"/>
              </w:rPr>
              <w:t>6</w:t>
            </w:r>
            <w:r>
              <w:rPr>
                <w:color w:val="000000"/>
              </w:rPr>
              <w:t>)</w:t>
            </w:r>
            <w:r>
              <w:rPr>
                <w:color w:val="000000"/>
              </w:rPr>
              <w:tab/>
              <w:t>The amount recoverable under this section shall be offset by any Ancillary Service Imbalance revenues received by the QSE that the QSE would not have earned had ERCOT not issued an HDL override.</w:t>
            </w:r>
          </w:p>
          <w:p w14:paraId="4122A2D4" w14:textId="31DD4631" w:rsidR="00F85B9C" w:rsidRDefault="00F85B9C" w:rsidP="00F85B9C">
            <w:pPr>
              <w:spacing w:after="240"/>
              <w:ind w:left="720" w:hanging="720"/>
              <w:rPr>
                <w:color w:val="000000"/>
              </w:rPr>
            </w:pPr>
            <w:r>
              <w:rPr>
                <w:color w:val="000000"/>
              </w:rPr>
              <w:tab/>
              <w:t xml:space="preserve">The payment shall be calculated as follows:  </w:t>
            </w:r>
          </w:p>
          <w:p w14:paraId="68CD7E79" w14:textId="72ECCBB0" w:rsidR="00F85B9C" w:rsidRDefault="00F85B9C" w:rsidP="00F85B9C">
            <w:pPr>
              <w:tabs>
                <w:tab w:val="left" w:pos="1440"/>
                <w:tab w:val="left" w:pos="2340"/>
              </w:tabs>
              <w:spacing w:after="240"/>
              <w:ind w:left="3420" w:right="415" w:hanging="2700"/>
              <w:jc w:val="both"/>
              <w:rPr>
                <w:b/>
                <w:bCs/>
                <w:lang w:val="pt-BR"/>
              </w:rPr>
            </w:pPr>
            <w:r>
              <w:rPr>
                <w:b/>
                <w:bCs/>
                <w:lang w:val="pt-BR"/>
              </w:rPr>
              <w:t xml:space="preserve">HDLOEAMT </w:t>
            </w:r>
            <w:r>
              <w:rPr>
                <w:b/>
                <w:bCs/>
                <w:i/>
                <w:vertAlign w:val="subscript"/>
                <w:lang w:val="es-ES"/>
              </w:rPr>
              <w:t xml:space="preserve">q, r, p, i </w:t>
            </w:r>
            <w:r>
              <w:rPr>
                <w:b/>
                <w:bCs/>
                <w:lang w:val="pt-BR"/>
              </w:rPr>
              <w:t xml:space="preserve">=  </w:t>
            </w:r>
            <w:r>
              <w:rPr>
                <w:b/>
                <w:bCs/>
                <w:lang w:val="pt-BR"/>
              </w:rPr>
              <w:tab/>
            </w:r>
            <w:r>
              <w:rPr>
                <w:b/>
                <w:bCs/>
              </w:rPr>
              <w:t>(-1) * Min {HDLOAL</w:t>
            </w:r>
            <w:r>
              <w:rPr>
                <w:b/>
                <w:bCs/>
                <w:i/>
                <w:vertAlign w:val="subscript"/>
                <w:lang w:val="pt-BR"/>
              </w:rPr>
              <w:t xml:space="preserve"> q, r, p, i</w:t>
            </w:r>
            <w:r w:rsidRPr="00A27C4B">
              <w:rPr>
                <w:b/>
                <w:bCs/>
                <w:i/>
                <w:iCs/>
                <w:vertAlign w:val="subscript"/>
              </w:rPr>
              <w:t>,</w:t>
            </w:r>
            <w:r>
              <w:rPr>
                <w:b/>
                <w:bCs/>
              </w:rPr>
              <w:t xml:space="preserve"> Max(0, ((RTSPP</w:t>
            </w:r>
            <w:r w:rsidR="008C1987">
              <w:rPr>
                <w:b/>
                <w:bCs/>
              </w:rPr>
              <w:t xml:space="preserve"> </w:t>
            </w:r>
            <w:r>
              <w:rPr>
                <w:b/>
                <w:bCs/>
                <w:i/>
                <w:vertAlign w:val="subscript"/>
              </w:rPr>
              <w:t>p, i</w:t>
            </w:r>
            <w:r>
              <w:rPr>
                <w:b/>
                <w:bCs/>
                <w:lang w:val="pt-BR"/>
              </w:rPr>
              <w:t xml:space="preserve"> </w:t>
            </w:r>
            <w:r>
              <w:rPr>
                <w:b/>
                <w:bCs/>
              </w:rPr>
              <w:t xml:space="preserve"> </w:t>
            </w:r>
            <w:r>
              <w:rPr>
                <w:b/>
                <w:bCs/>
                <w:lang w:val="pt-BR"/>
              </w:rPr>
              <w:t xml:space="preserve">– </w:t>
            </w:r>
            <w:r>
              <w:rPr>
                <w:b/>
                <w:bCs/>
              </w:rPr>
              <w:t>RTRDP</w:t>
            </w:r>
            <w:r>
              <w:rPr>
                <w:b/>
                <w:bCs/>
                <w:i/>
                <w:vertAlign w:val="subscript"/>
              </w:rPr>
              <w:t xml:space="preserve"> i</w:t>
            </w:r>
            <w:r>
              <w:rPr>
                <w:b/>
                <w:bCs/>
                <w:lang w:val="pt-BR"/>
              </w:rPr>
              <w:t xml:space="preserve"> – RTEOCOST </w:t>
            </w:r>
            <w:r>
              <w:rPr>
                <w:b/>
                <w:bCs/>
                <w:i/>
                <w:vertAlign w:val="subscript"/>
                <w:lang w:val="pt-BR"/>
              </w:rPr>
              <w:t>q, r, i</w:t>
            </w:r>
            <w:r>
              <w:rPr>
                <w:b/>
                <w:bCs/>
                <w:lang w:val="pt-BR"/>
              </w:rPr>
              <w:t>) * HDLOQTY</w:t>
            </w:r>
            <w:r>
              <w:rPr>
                <w:b/>
                <w:bCs/>
                <w:i/>
                <w:vertAlign w:val="subscript"/>
              </w:rPr>
              <w:t xml:space="preserve"> q, r, p, i</w:t>
            </w:r>
            <w:r>
              <w:rPr>
                <w:b/>
                <w:bCs/>
                <w:lang w:val="pt-BR"/>
              </w:rPr>
              <w:t>))}</w:t>
            </w:r>
          </w:p>
          <w:p w14:paraId="5DB32F2A" w14:textId="77777777" w:rsidR="00F85B9C" w:rsidRDefault="00F85B9C" w:rsidP="00F85B9C">
            <w:pPr>
              <w:tabs>
                <w:tab w:val="left" w:pos="1440"/>
                <w:tab w:val="left" w:pos="2340"/>
              </w:tabs>
              <w:spacing w:before="240" w:after="240"/>
              <w:ind w:left="3420" w:hanging="2700"/>
              <w:jc w:val="both"/>
              <w:rPr>
                <w:bCs/>
                <w:lang w:val="pt-BR"/>
              </w:rPr>
            </w:pPr>
            <w:r>
              <w:rPr>
                <w:bCs/>
                <w:lang w:val="pt-BR"/>
              </w:rPr>
              <w:t>Where:</w:t>
            </w:r>
          </w:p>
          <w:p w14:paraId="3E2545BC" w14:textId="77777777" w:rsidR="00F85B9C" w:rsidRDefault="00F85B9C" w:rsidP="00F85B9C">
            <w:pPr>
              <w:spacing w:after="240"/>
              <w:ind w:firstLine="720"/>
              <w:rPr>
                <w:b/>
                <w:iCs/>
                <w:lang w:val="pt-BR"/>
              </w:rPr>
            </w:pPr>
            <w:r>
              <w:rPr>
                <w:iCs/>
                <w:lang w:val="pt-BR"/>
              </w:rPr>
              <w:t>HDLOQTY</w:t>
            </w:r>
            <w:r>
              <w:rPr>
                <w:i/>
                <w:iCs/>
                <w:vertAlign w:val="subscript"/>
              </w:rPr>
              <w:t xml:space="preserve"> q, r, p, i</w:t>
            </w:r>
            <w:r>
              <w:rPr>
                <w:iCs/>
                <w:lang w:val="pt-BR"/>
              </w:rPr>
              <w:t xml:space="preserve">       =  Max(0, (¼ (HDLO</w:t>
            </w:r>
            <w:r>
              <w:rPr>
                <w:iCs/>
              </w:rPr>
              <w:t>BRKP</w:t>
            </w:r>
            <w:r>
              <w:rPr>
                <w:i/>
                <w:iCs/>
                <w:vertAlign w:val="subscript"/>
              </w:rPr>
              <w:t xml:space="preserve"> q, r, p, i</w:t>
            </w:r>
            <w:r>
              <w:rPr>
                <w:iCs/>
                <w:lang w:val="pt-BR"/>
              </w:rPr>
              <w:t xml:space="preserve"> – </w:t>
            </w:r>
            <w:r>
              <w:rPr>
                <w:iCs/>
              </w:rPr>
              <w:t xml:space="preserve">AVGHDL </w:t>
            </w:r>
            <w:r>
              <w:rPr>
                <w:i/>
                <w:iCs/>
                <w:vertAlign w:val="subscript"/>
                <w:lang w:val="es-ES"/>
              </w:rPr>
              <w:t>q, r, p, i</w:t>
            </w:r>
            <w:r>
              <w:rPr>
                <w:iCs/>
                <w:lang w:val="pt-BR"/>
              </w:rPr>
              <w:t>)))</w:t>
            </w:r>
          </w:p>
          <w:p w14:paraId="36F11138" w14:textId="51485265" w:rsidR="00F85B9C" w:rsidRDefault="00F85B9C" w:rsidP="00F85B9C">
            <w:pPr>
              <w:tabs>
                <w:tab w:val="left" w:pos="1440"/>
                <w:tab w:val="left" w:pos="2340"/>
              </w:tabs>
              <w:spacing w:after="240"/>
              <w:ind w:left="3420" w:hanging="2700"/>
              <w:jc w:val="both"/>
              <w:rPr>
                <w:bCs/>
                <w:lang w:val="pt-BR"/>
              </w:rPr>
            </w:pPr>
            <w:r>
              <w:rPr>
                <w:bCs/>
              </w:rPr>
              <w:t>HDLOBRKP</w:t>
            </w:r>
            <w:r>
              <w:rPr>
                <w:bCs/>
                <w:lang w:val="pt-BR"/>
              </w:rPr>
              <w:t xml:space="preserve"> </w:t>
            </w:r>
            <w:r>
              <w:rPr>
                <w:bCs/>
                <w:i/>
                <w:vertAlign w:val="subscript"/>
                <w:lang w:val="es-ES"/>
              </w:rPr>
              <w:t xml:space="preserve">q, r, p, i </w:t>
            </w:r>
            <w:r>
              <w:rPr>
                <w:bCs/>
                <w:vertAlign w:val="subscript"/>
                <w:lang w:val="es-MX"/>
              </w:rPr>
              <w:t xml:space="preserve">     </w:t>
            </w:r>
            <w:r>
              <w:rPr>
                <w:bCs/>
              </w:rPr>
              <w:t>=  Min(AVGHSL</w:t>
            </w:r>
            <w:r>
              <w:rPr>
                <w:bCs/>
                <w:lang w:val="es-MX"/>
              </w:rPr>
              <w:t xml:space="preserve"> </w:t>
            </w:r>
            <w:r>
              <w:rPr>
                <w:bCs/>
                <w:i/>
                <w:vertAlign w:val="subscript"/>
                <w:lang w:val="es-ES"/>
              </w:rPr>
              <w:t>q, r, p, i</w:t>
            </w:r>
            <w:r>
              <w:rPr>
                <w:bCs/>
              </w:rPr>
              <w:t>, HDLOBRKPCP</w:t>
            </w:r>
            <w:r>
              <w:rPr>
                <w:bCs/>
                <w:lang w:val="es-MX"/>
              </w:rPr>
              <w:t xml:space="preserve"> </w:t>
            </w:r>
            <w:r>
              <w:rPr>
                <w:bCs/>
                <w:i/>
                <w:vertAlign w:val="subscript"/>
                <w:lang w:val="es-ES"/>
              </w:rPr>
              <w:t>q, r, p, i</w:t>
            </w:r>
            <w:r>
              <w:rPr>
                <w:bCs/>
                <w:lang w:val="pt-BR"/>
              </w:rPr>
              <w:t>)</w:t>
            </w:r>
          </w:p>
          <w:p w14:paraId="592E559A" w14:textId="77777777" w:rsidR="00F85B9C" w:rsidRDefault="00F85B9C" w:rsidP="00F85B9C">
            <w:pPr>
              <w:spacing w:before="120"/>
            </w:pPr>
            <w:r>
              <w:t>The above variables are defined as follows:</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840"/>
              <w:gridCol w:w="6396"/>
            </w:tblGrid>
            <w:tr w:rsidR="00F85B9C" w14:paraId="0CC76ECD" w14:textId="77777777" w:rsidTr="00F85B9C">
              <w:trPr>
                <w:cantSplit/>
                <w:trHeight w:val="146"/>
                <w:tblHeader/>
              </w:trPr>
              <w:tc>
                <w:tcPr>
                  <w:tcW w:w="906" w:type="pct"/>
                  <w:tcBorders>
                    <w:top w:val="single" w:sz="4" w:space="0" w:color="auto"/>
                    <w:left w:val="single" w:sz="4" w:space="0" w:color="auto"/>
                    <w:bottom w:val="single" w:sz="4" w:space="0" w:color="auto"/>
                    <w:right w:val="single" w:sz="4" w:space="0" w:color="auto"/>
                  </w:tcBorders>
                  <w:hideMark/>
                </w:tcPr>
                <w:p w14:paraId="6196E0FD" w14:textId="77777777" w:rsidR="00F85B9C" w:rsidRDefault="00F85B9C" w:rsidP="00F85B9C">
                  <w:pPr>
                    <w:spacing w:after="240"/>
                    <w:rPr>
                      <w:b/>
                      <w:iCs/>
                      <w:sz w:val="20"/>
                    </w:rPr>
                  </w:pPr>
                  <w:r>
                    <w:rPr>
                      <w:b/>
                      <w:iCs/>
                      <w:sz w:val="20"/>
                    </w:rPr>
                    <w:t>Variable</w:t>
                  </w:r>
                </w:p>
              </w:tc>
              <w:tc>
                <w:tcPr>
                  <w:tcW w:w="475" w:type="pct"/>
                  <w:tcBorders>
                    <w:top w:val="single" w:sz="4" w:space="0" w:color="auto"/>
                    <w:left w:val="single" w:sz="4" w:space="0" w:color="auto"/>
                    <w:bottom w:val="single" w:sz="4" w:space="0" w:color="auto"/>
                    <w:right w:val="single" w:sz="4" w:space="0" w:color="auto"/>
                  </w:tcBorders>
                  <w:hideMark/>
                </w:tcPr>
                <w:p w14:paraId="74424743" w14:textId="77777777" w:rsidR="00F85B9C" w:rsidRDefault="00F85B9C" w:rsidP="00F85B9C">
                  <w:pPr>
                    <w:spacing w:after="240"/>
                    <w:rPr>
                      <w:b/>
                      <w:iCs/>
                      <w:sz w:val="20"/>
                    </w:rPr>
                  </w:pPr>
                  <w:r>
                    <w:rPr>
                      <w:b/>
                      <w:iCs/>
                      <w:sz w:val="20"/>
                    </w:rPr>
                    <w:t>Unit</w:t>
                  </w:r>
                </w:p>
              </w:tc>
              <w:tc>
                <w:tcPr>
                  <w:tcW w:w="3619" w:type="pct"/>
                  <w:tcBorders>
                    <w:top w:val="single" w:sz="4" w:space="0" w:color="auto"/>
                    <w:left w:val="single" w:sz="4" w:space="0" w:color="auto"/>
                    <w:bottom w:val="single" w:sz="4" w:space="0" w:color="auto"/>
                    <w:right w:val="single" w:sz="4" w:space="0" w:color="auto"/>
                  </w:tcBorders>
                  <w:hideMark/>
                </w:tcPr>
                <w:p w14:paraId="2DB4D11F" w14:textId="77777777" w:rsidR="00F85B9C" w:rsidRDefault="00F85B9C" w:rsidP="00F85B9C">
                  <w:pPr>
                    <w:spacing w:after="240"/>
                    <w:rPr>
                      <w:b/>
                      <w:iCs/>
                      <w:sz w:val="20"/>
                    </w:rPr>
                  </w:pPr>
                  <w:r>
                    <w:rPr>
                      <w:b/>
                      <w:iCs/>
                      <w:sz w:val="20"/>
                    </w:rPr>
                    <w:t>Definition</w:t>
                  </w:r>
                </w:p>
              </w:tc>
            </w:tr>
            <w:tr w:rsidR="00F85B9C" w14:paraId="3A804F35"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59F26E76" w14:textId="77777777" w:rsidR="00F85B9C" w:rsidRDefault="00F85B9C" w:rsidP="00F85B9C">
                  <w:pPr>
                    <w:spacing w:after="60"/>
                    <w:rPr>
                      <w:iCs/>
                      <w:sz w:val="20"/>
                    </w:rPr>
                  </w:pPr>
                  <w:r>
                    <w:rPr>
                      <w:bCs/>
                      <w:sz w:val="20"/>
                    </w:rPr>
                    <w:t>HDLOAL</w:t>
                  </w:r>
                  <w:r>
                    <w:rPr>
                      <w:b/>
                      <w:i/>
                      <w:iCs/>
                      <w:sz w:val="20"/>
                      <w:vertAlign w:val="subscript"/>
                      <w:lang w:val="es-ES"/>
                    </w:rPr>
                    <w:t xml:space="preserve"> q, r, p, i</w:t>
                  </w:r>
                </w:p>
              </w:tc>
              <w:tc>
                <w:tcPr>
                  <w:tcW w:w="475" w:type="pct"/>
                  <w:tcBorders>
                    <w:top w:val="single" w:sz="4" w:space="0" w:color="auto"/>
                    <w:left w:val="single" w:sz="4" w:space="0" w:color="auto"/>
                    <w:bottom w:val="single" w:sz="4" w:space="0" w:color="auto"/>
                    <w:right w:val="single" w:sz="4" w:space="0" w:color="auto"/>
                  </w:tcBorders>
                  <w:hideMark/>
                </w:tcPr>
                <w:p w14:paraId="4484835A" w14:textId="77777777" w:rsidR="00F85B9C" w:rsidRDefault="00F85B9C" w:rsidP="00F85B9C">
                  <w:pPr>
                    <w:spacing w:after="60"/>
                    <w:rPr>
                      <w:iCs/>
                      <w:sz w:val="20"/>
                    </w:rPr>
                  </w:pPr>
                  <w:r>
                    <w:rPr>
                      <w:iCs/>
                      <w:sz w:val="20"/>
                    </w:rPr>
                    <w:t>$</w:t>
                  </w:r>
                </w:p>
              </w:tc>
              <w:tc>
                <w:tcPr>
                  <w:tcW w:w="3619" w:type="pct"/>
                  <w:tcBorders>
                    <w:top w:val="single" w:sz="4" w:space="0" w:color="auto"/>
                    <w:left w:val="single" w:sz="4" w:space="0" w:color="auto"/>
                    <w:bottom w:val="single" w:sz="4" w:space="0" w:color="auto"/>
                    <w:right w:val="single" w:sz="4" w:space="0" w:color="auto"/>
                  </w:tcBorders>
                  <w:hideMark/>
                </w:tcPr>
                <w:p w14:paraId="2AAFEF69" w14:textId="2A468E55" w:rsidR="00F85B9C" w:rsidRDefault="00F85B9C" w:rsidP="00F85B9C">
                  <w:pPr>
                    <w:spacing w:after="60"/>
                    <w:rPr>
                      <w:i/>
                      <w:iCs/>
                      <w:sz w:val="20"/>
                    </w:rPr>
                  </w:pPr>
                  <w:r>
                    <w:rPr>
                      <w:i/>
                      <w:iCs/>
                      <w:sz w:val="20"/>
                    </w:rPr>
                    <w:t>High Dispatch Limit override attested losses</w:t>
                  </w:r>
                  <w:r w:rsidR="00683A03" w:rsidRPr="00A87F21">
                    <w:rPr>
                      <w:iCs/>
                      <w:sz w:val="20"/>
                    </w:rPr>
                    <w:t>—</w:t>
                  </w:r>
                  <w:r>
                    <w:rPr>
                      <w:iCs/>
                      <w:sz w:val="20"/>
                    </w:rPr>
                    <w:t xml:space="preserve">The financial loss to the </w:t>
                  </w:r>
                  <w:r w:rsidR="008152FC">
                    <w:rPr>
                      <w:iCs/>
                      <w:sz w:val="20"/>
                    </w:rPr>
                    <w:t xml:space="preserve">Resource </w:t>
                  </w:r>
                  <w:r w:rsidR="008152FC" w:rsidRPr="008869A2">
                    <w:rPr>
                      <w:i/>
                      <w:sz w:val="20"/>
                    </w:rPr>
                    <w:t>r</w:t>
                  </w:r>
                  <w:r w:rsidR="008152FC">
                    <w:rPr>
                      <w:iCs/>
                      <w:sz w:val="20"/>
                    </w:rPr>
                    <w:t xml:space="preserve"> represented by </w:t>
                  </w:r>
                  <w:r>
                    <w:rPr>
                      <w:iCs/>
                      <w:sz w:val="20"/>
                    </w:rPr>
                    <w:t xml:space="preserve">QSE </w:t>
                  </w:r>
                  <w:r w:rsidR="008152FC" w:rsidRPr="008152FC">
                    <w:rPr>
                      <w:i/>
                      <w:sz w:val="20"/>
                    </w:rPr>
                    <w:t>q</w:t>
                  </w:r>
                  <w:r w:rsidR="008152FC">
                    <w:rPr>
                      <w:iCs/>
                      <w:sz w:val="20"/>
                    </w:rPr>
                    <w:t xml:space="preserve"> </w:t>
                  </w:r>
                  <w:r>
                    <w:rPr>
                      <w:iCs/>
                      <w:sz w:val="20"/>
                    </w:rPr>
                    <w:t>due to the HDL override as attested by the QSE in accordance with paragraph (1)(d) above.</w:t>
                  </w:r>
                  <w:r w:rsidR="008152FC">
                    <w:rPr>
                      <w:iCs/>
                      <w:sz w:val="20"/>
                    </w:rPr>
                    <w:t xml:space="preserve"> </w:t>
                  </w:r>
                  <w:r w:rsidR="008152FC" w:rsidRPr="008869A2">
                    <w:rPr>
                      <w:iCs/>
                      <w:sz w:val="20"/>
                    </w:rPr>
                    <w:t xml:space="preserve"> For a combined cycle Resource, </w:t>
                  </w:r>
                  <w:r w:rsidR="008152FC" w:rsidRPr="008869A2">
                    <w:rPr>
                      <w:i/>
                      <w:iCs/>
                      <w:sz w:val="20"/>
                    </w:rPr>
                    <w:t>r</w:t>
                  </w:r>
                  <w:r w:rsidR="008152FC" w:rsidRPr="008869A2">
                    <w:rPr>
                      <w:iCs/>
                      <w:sz w:val="20"/>
                    </w:rPr>
                    <w:t xml:space="preserve"> is a Combined Cycle Train.</w:t>
                  </w:r>
                </w:p>
              </w:tc>
            </w:tr>
            <w:tr w:rsidR="008152FC" w14:paraId="62C6017F"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676B89B4" w14:textId="6EE418A4" w:rsidR="008152FC" w:rsidRDefault="008152FC" w:rsidP="008152FC">
                  <w:pPr>
                    <w:spacing w:after="60"/>
                    <w:rPr>
                      <w:iCs/>
                      <w:sz w:val="20"/>
                    </w:rPr>
                  </w:pPr>
                  <w:r w:rsidRPr="008869A2">
                    <w:rPr>
                      <w:iCs/>
                      <w:sz w:val="20"/>
                    </w:rPr>
                    <w:t xml:space="preserve">HDLOEAMT </w:t>
                  </w:r>
                  <w:r w:rsidRPr="008869A2">
                    <w:rPr>
                      <w:b/>
                      <w:i/>
                      <w:iCs/>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238EBC59" w14:textId="6855A1B7" w:rsidR="008152FC" w:rsidRDefault="008152FC" w:rsidP="008152FC">
                  <w:pPr>
                    <w:spacing w:after="60"/>
                    <w:rPr>
                      <w:iCs/>
                      <w:sz w:val="20"/>
                    </w:rPr>
                  </w:pPr>
                  <w:r w:rsidRPr="008869A2">
                    <w:rPr>
                      <w:iCs/>
                      <w:sz w:val="20"/>
                    </w:rPr>
                    <w:t>$</w:t>
                  </w:r>
                </w:p>
              </w:tc>
              <w:tc>
                <w:tcPr>
                  <w:tcW w:w="3619" w:type="pct"/>
                  <w:tcBorders>
                    <w:top w:val="single" w:sz="4" w:space="0" w:color="auto"/>
                    <w:left w:val="single" w:sz="4" w:space="0" w:color="auto"/>
                    <w:bottom w:val="single" w:sz="4" w:space="0" w:color="auto"/>
                    <w:right w:val="single" w:sz="4" w:space="0" w:color="auto"/>
                  </w:tcBorders>
                  <w:hideMark/>
                </w:tcPr>
                <w:p w14:paraId="35DC62C5" w14:textId="12E5F172" w:rsidR="008152FC" w:rsidRDefault="008152FC" w:rsidP="008152FC">
                  <w:pPr>
                    <w:spacing w:after="60"/>
                    <w:rPr>
                      <w:iCs/>
                      <w:sz w:val="20"/>
                    </w:rPr>
                  </w:pPr>
                  <w:r w:rsidRPr="008869A2">
                    <w:rPr>
                      <w:i/>
                      <w:iCs/>
                      <w:sz w:val="20"/>
                    </w:rPr>
                    <w:t>High Dispatch Limit override energy amount per QSE per Generation Resource</w:t>
                  </w:r>
                  <w:r w:rsidRPr="008869A2">
                    <w:rPr>
                      <w:iCs/>
                      <w:sz w:val="20"/>
                    </w:rPr>
                    <w:t xml:space="preserve">—The payment to QSE </w:t>
                  </w:r>
                  <w:r w:rsidRPr="008869A2">
                    <w:rPr>
                      <w:i/>
                      <w:iCs/>
                      <w:sz w:val="20"/>
                    </w:rPr>
                    <w:t>q</w:t>
                  </w:r>
                  <w:r w:rsidRPr="008869A2">
                    <w:rPr>
                      <w:iCs/>
                      <w:sz w:val="20"/>
                    </w:rPr>
                    <w:t xml:space="preserve"> for an ERCOT-issued HDL override or equivalent VDI for Resource </w:t>
                  </w:r>
                  <w:r w:rsidRPr="008869A2">
                    <w:rPr>
                      <w:i/>
                      <w:iCs/>
                      <w:sz w:val="20"/>
                    </w:rPr>
                    <w:t>r</w:t>
                  </w:r>
                  <w:r w:rsidRPr="008869A2">
                    <w:rPr>
                      <w:iCs/>
                      <w:sz w:val="20"/>
                    </w:rPr>
                    <w:t xml:space="preserve"> at Settlement Point </w:t>
                  </w:r>
                  <w:r w:rsidRPr="008869A2">
                    <w:rPr>
                      <w:i/>
                      <w:iCs/>
                      <w:sz w:val="20"/>
                    </w:rPr>
                    <w:t xml:space="preserve">p </w:t>
                  </w:r>
                  <w:r w:rsidRPr="008869A2">
                    <w:rPr>
                      <w:iCs/>
                      <w:sz w:val="20"/>
                    </w:rPr>
                    <w:t xml:space="preserve">for the 15-minute Settlement Interval </w:t>
                  </w:r>
                  <w:r w:rsidRPr="008869A2">
                    <w:rPr>
                      <w:i/>
                      <w:iCs/>
                      <w:sz w:val="20"/>
                    </w:rPr>
                    <w:t>i</w:t>
                  </w:r>
                  <w:r w:rsidRPr="008869A2">
                    <w:rPr>
                      <w:iCs/>
                      <w:sz w:val="20"/>
                    </w:rPr>
                    <w:t xml:space="preserve">.  For a combined cycle Resource, </w:t>
                  </w:r>
                  <w:r w:rsidRPr="008869A2">
                    <w:rPr>
                      <w:i/>
                      <w:iCs/>
                      <w:sz w:val="20"/>
                    </w:rPr>
                    <w:t>r</w:t>
                  </w:r>
                  <w:r w:rsidRPr="008869A2">
                    <w:rPr>
                      <w:iCs/>
                      <w:sz w:val="20"/>
                    </w:rPr>
                    <w:t xml:space="preserve"> is a Combined Cycle Train.</w:t>
                  </w:r>
                </w:p>
              </w:tc>
            </w:tr>
            <w:tr w:rsidR="008152FC" w14:paraId="5828A074"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61344E7C" w14:textId="4CEAB21E" w:rsidR="008152FC" w:rsidRDefault="008152FC" w:rsidP="008152FC">
                  <w:pPr>
                    <w:spacing w:after="60"/>
                    <w:rPr>
                      <w:iCs/>
                      <w:sz w:val="20"/>
                    </w:rPr>
                  </w:pPr>
                  <w:r w:rsidRPr="008869A2">
                    <w:rPr>
                      <w:iCs/>
                      <w:sz w:val="20"/>
                    </w:rPr>
                    <w:t xml:space="preserve">HDLOBRKP </w:t>
                  </w:r>
                  <w:r w:rsidRPr="008869A2">
                    <w:rPr>
                      <w:b/>
                      <w:i/>
                      <w:iCs/>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2EB3D3B9" w14:textId="7DE4DF6B" w:rsidR="008152FC" w:rsidRDefault="008152FC" w:rsidP="008152FC">
                  <w:pPr>
                    <w:spacing w:after="60"/>
                    <w:rPr>
                      <w:iCs/>
                      <w:sz w:val="20"/>
                    </w:rPr>
                  </w:pPr>
                  <w:r w:rsidRPr="008869A2">
                    <w:rPr>
                      <w:iCs/>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43CE3088" w14:textId="31ADA46D" w:rsidR="008152FC" w:rsidRDefault="008152FC" w:rsidP="008152FC">
                  <w:pPr>
                    <w:spacing w:after="60"/>
                    <w:rPr>
                      <w:i/>
                      <w:iCs/>
                      <w:sz w:val="20"/>
                    </w:rPr>
                  </w:pPr>
                  <w:r w:rsidRPr="008869A2">
                    <w:rPr>
                      <w:i/>
                      <w:iCs/>
                      <w:sz w:val="20"/>
                    </w:rPr>
                    <w:t>High Dispatch Limit override break point per QSE per Resource</w:t>
                  </w:r>
                  <w:r w:rsidRPr="008869A2">
                    <w:rPr>
                      <w:iCs/>
                      <w:sz w:val="20"/>
                    </w:rPr>
                    <w:t xml:space="preserve">—The point on the Energy Offer Curve </w:t>
                  </w:r>
                  <w:r>
                    <w:rPr>
                      <w:iCs/>
                      <w:sz w:val="20"/>
                    </w:rPr>
                    <w:t xml:space="preserve">or Energy Bid/Offer Curve </w:t>
                  </w:r>
                  <w:r w:rsidRPr="008869A2">
                    <w:rPr>
                      <w:iCs/>
                      <w:sz w:val="20"/>
                    </w:rPr>
                    <w:t xml:space="preserve">corresponding to the lesser of the AVGHSL or the interception between the RTSPP of the Resource </w:t>
                  </w:r>
                  <w:r w:rsidRPr="008869A2">
                    <w:rPr>
                      <w:i/>
                      <w:iCs/>
                      <w:sz w:val="20"/>
                    </w:rPr>
                    <w:t>r</w:t>
                  </w:r>
                  <w:r w:rsidRPr="008869A2">
                    <w:rPr>
                      <w:iCs/>
                      <w:sz w:val="20"/>
                    </w:rPr>
                    <w:t xml:space="preserve"> represented by QSE </w:t>
                  </w:r>
                  <w:r w:rsidRPr="008869A2">
                    <w:rPr>
                      <w:i/>
                      <w:iCs/>
                      <w:sz w:val="20"/>
                    </w:rPr>
                    <w:t>q</w:t>
                  </w:r>
                  <w:r w:rsidRPr="008869A2">
                    <w:rPr>
                      <w:iCs/>
                      <w:sz w:val="20"/>
                    </w:rPr>
                    <w:t xml:space="preserve"> minus the Real-Time Reliability Deployment Price for Energy and the Energy Offer Curve </w:t>
                  </w:r>
                  <w:r>
                    <w:rPr>
                      <w:iCs/>
                      <w:sz w:val="20"/>
                    </w:rPr>
                    <w:t xml:space="preserve">Cost Cap </w:t>
                  </w:r>
                  <w:r w:rsidRPr="008869A2">
                    <w:rPr>
                      <w:iCs/>
                      <w:sz w:val="20"/>
                    </w:rPr>
                    <w:t xml:space="preserve">of Resource </w:t>
                  </w:r>
                  <w:r w:rsidRPr="008869A2">
                    <w:rPr>
                      <w:i/>
                      <w:iCs/>
                      <w:sz w:val="20"/>
                    </w:rPr>
                    <w:t>r</w:t>
                  </w:r>
                  <w:r w:rsidRPr="008869A2">
                    <w:rPr>
                      <w:iCs/>
                      <w:sz w:val="20"/>
                    </w:rPr>
                    <w:t xml:space="preserve"> represented by QSE </w:t>
                  </w:r>
                  <w:r w:rsidRPr="008869A2">
                    <w:rPr>
                      <w:i/>
                      <w:iCs/>
                      <w:sz w:val="20"/>
                    </w:rPr>
                    <w:t>q</w:t>
                  </w:r>
                  <w:r w:rsidRPr="008869A2">
                    <w:rPr>
                      <w:iCs/>
                      <w:sz w:val="20"/>
                    </w:rPr>
                    <w:t xml:space="preserve">, for the 15-minute Settlement Interval </w:t>
                  </w:r>
                  <w:r w:rsidRPr="008869A2">
                    <w:rPr>
                      <w:i/>
                      <w:iCs/>
                      <w:sz w:val="20"/>
                    </w:rPr>
                    <w:t>i</w:t>
                  </w:r>
                  <w:r w:rsidRPr="008869A2">
                    <w:rPr>
                      <w:iCs/>
                      <w:sz w:val="20"/>
                    </w:rPr>
                    <w:t xml:space="preserve">.  For a combined cycle Resource, </w:t>
                  </w:r>
                  <w:r w:rsidRPr="008869A2">
                    <w:rPr>
                      <w:i/>
                      <w:iCs/>
                      <w:sz w:val="20"/>
                    </w:rPr>
                    <w:t>r</w:t>
                  </w:r>
                  <w:r w:rsidRPr="008869A2">
                    <w:rPr>
                      <w:iCs/>
                      <w:sz w:val="20"/>
                    </w:rPr>
                    <w:t xml:space="preserve"> is a Combined Cycle Train.</w:t>
                  </w:r>
                </w:p>
              </w:tc>
            </w:tr>
            <w:tr w:rsidR="008152FC" w14:paraId="2B5550FF"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29A0742F" w14:textId="3C0FC0C4" w:rsidR="008152FC" w:rsidRDefault="008152FC" w:rsidP="008152FC">
                  <w:pPr>
                    <w:spacing w:after="60"/>
                    <w:rPr>
                      <w:iCs/>
                      <w:sz w:val="20"/>
                    </w:rPr>
                  </w:pPr>
                  <w:r w:rsidRPr="008869A2">
                    <w:rPr>
                      <w:iCs/>
                      <w:sz w:val="20"/>
                    </w:rPr>
                    <w:t xml:space="preserve">AVGHDL </w:t>
                  </w:r>
                  <w:r w:rsidRPr="008869A2">
                    <w:rPr>
                      <w:b/>
                      <w:i/>
                      <w:iCs/>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0B95F416" w14:textId="4837FE50" w:rsidR="008152FC" w:rsidRDefault="008152FC" w:rsidP="008152FC">
                  <w:pPr>
                    <w:spacing w:after="60"/>
                    <w:rPr>
                      <w:iCs/>
                      <w:sz w:val="20"/>
                    </w:rPr>
                  </w:pPr>
                  <w:r w:rsidRPr="008869A2">
                    <w:rPr>
                      <w:iCs/>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12C1AEA3" w14:textId="2E4A8E8B" w:rsidR="008152FC" w:rsidRDefault="008152FC" w:rsidP="008152FC">
                  <w:pPr>
                    <w:rPr>
                      <w:color w:val="002060"/>
                      <w:sz w:val="20"/>
                    </w:rPr>
                  </w:pPr>
                  <w:r w:rsidRPr="008869A2">
                    <w:rPr>
                      <w:i/>
                      <w:iCs/>
                      <w:color w:val="000000"/>
                      <w:sz w:val="20"/>
                    </w:rPr>
                    <w:t>Average High Dispatch Limit per QSE per Settlement Point per Resource</w:t>
                  </w:r>
                  <w:r w:rsidRPr="008869A2">
                    <w:rPr>
                      <w:color w:val="000000"/>
                      <w:sz w:val="20"/>
                    </w:rPr>
                    <w:t>—The time-weighted average of all 4-second HDL values calculated by the Resource Limit Calculato</w:t>
                  </w:r>
                  <w:r w:rsidRPr="008869A2">
                    <w:rPr>
                      <w:sz w:val="20"/>
                    </w:rPr>
                    <w:t xml:space="preserve">r, subject to the maximum of the manual HDL override or equivalent VDI and the telemetered output, for </w:t>
                  </w:r>
                  <w:r w:rsidRPr="008869A2">
                    <w:rPr>
                      <w:color w:val="000000"/>
                      <w:sz w:val="20"/>
                    </w:rPr>
                    <w:t>the Generation Resource</w:t>
                  </w:r>
                  <w:r>
                    <w:rPr>
                      <w:color w:val="000000"/>
                      <w:sz w:val="20"/>
                    </w:rPr>
                    <w:t xml:space="preserve"> or ESR </w:t>
                  </w:r>
                  <w:r w:rsidRPr="008869A2">
                    <w:rPr>
                      <w:i/>
                      <w:iCs/>
                      <w:color w:val="000000"/>
                      <w:sz w:val="20"/>
                    </w:rPr>
                    <w:t>r</w:t>
                  </w:r>
                  <w:r w:rsidRPr="008869A2">
                    <w:rPr>
                      <w:color w:val="000000"/>
                      <w:sz w:val="20"/>
                    </w:rPr>
                    <w:t xml:space="preserve"> represented by QSE </w:t>
                  </w:r>
                  <w:r w:rsidRPr="008869A2">
                    <w:rPr>
                      <w:i/>
                      <w:iCs/>
                      <w:color w:val="000000"/>
                      <w:sz w:val="20"/>
                    </w:rPr>
                    <w:t>q</w:t>
                  </w:r>
                  <w:r w:rsidRPr="008869A2">
                    <w:rPr>
                      <w:color w:val="000000"/>
                      <w:sz w:val="20"/>
                    </w:rPr>
                    <w:t xml:space="preserve"> at Settlement Point </w:t>
                  </w:r>
                  <w:r w:rsidRPr="008869A2">
                    <w:rPr>
                      <w:i/>
                      <w:iCs/>
                      <w:color w:val="000000"/>
                      <w:sz w:val="20"/>
                    </w:rPr>
                    <w:t>p</w:t>
                  </w:r>
                  <w:r w:rsidRPr="008869A2">
                    <w:rPr>
                      <w:color w:val="000000"/>
                      <w:sz w:val="20"/>
                    </w:rPr>
                    <w:t xml:space="preserve"> within the 15-minute Settlement Interval </w:t>
                  </w:r>
                  <w:r w:rsidRPr="008869A2">
                    <w:rPr>
                      <w:i/>
                      <w:iCs/>
                      <w:color w:val="000000"/>
                      <w:sz w:val="20"/>
                    </w:rPr>
                    <w:t>i</w:t>
                  </w:r>
                  <w:r w:rsidRPr="008869A2">
                    <w:rPr>
                      <w:color w:val="000000"/>
                      <w:sz w:val="20"/>
                    </w:rPr>
                    <w:t>.  For a Combined</w:t>
                  </w:r>
                  <w:r w:rsidRPr="008869A2">
                    <w:rPr>
                      <w:sz w:val="20"/>
                    </w:rPr>
                    <w:t xml:space="preserve"> Cycle Train, the Resource </w:t>
                  </w:r>
                  <w:r w:rsidRPr="008869A2">
                    <w:rPr>
                      <w:i/>
                      <w:sz w:val="20"/>
                    </w:rPr>
                    <w:t xml:space="preserve">r </w:t>
                  </w:r>
                  <w:r w:rsidRPr="008869A2">
                    <w:rPr>
                      <w:sz w:val="20"/>
                    </w:rPr>
                    <w:t>is a Combined Cycle Train.</w:t>
                  </w:r>
                  <w:r w:rsidRPr="008869A2">
                    <w:t xml:space="preserve">  </w:t>
                  </w:r>
                </w:p>
              </w:tc>
            </w:tr>
            <w:tr w:rsidR="008152FC" w14:paraId="25C1732A" w14:textId="77777777" w:rsidTr="00F85B9C">
              <w:trPr>
                <w:cantSplit/>
                <w:trHeight w:val="1430"/>
              </w:trPr>
              <w:tc>
                <w:tcPr>
                  <w:tcW w:w="906" w:type="pct"/>
                  <w:tcBorders>
                    <w:top w:val="single" w:sz="4" w:space="0" w:color="auto"/>
                    <w:left w:val="single" w:sz="4" w:space="0" w:color="auto"/>
                    <w:bottom w:val="single" w:sz="4" w:space="0" w:color="auto"/>
                    <w:right w:val="single" w:sz="4" w:space="0" w:color="auto"/>
                  </w:tcBorders>
                  <w:hideMark/>
                </w:tcPr>
                <w:p w14:paraId="03111FCE" w14:textId="63B19ACD" w:rsidR="008152FC" w:rsidRDefault="008152FC" w:rsidP="008152FC">
                  <w:pPr>
                    <w:spacing w:after="60"/>
                    <w:rPr>
                      <w:iCs/>
                      <w:color w:val="000000"/>
                      <w:sz w:val="20"/>
                      <w:lang w:val="es-MX"/>
                    </w:rPr>
                  </w:pPr>
                  <w:r w:rsidRPr="008869A2">
                    <w:rPr>
                      <w:iCs/>
                      <w:color w:val="000000"/>
                      <w:sz w:val="20"/>
                    </w:rPr>
                    <w:t xml:space="preserve">AVGHSL </w:t>
                  </w:r>
                  <w:r w:rsidRPr="008869A2">
                    <w:rPr>
                      <w:b/>
                      <w:bCs/>
                      <w:i/>
                      <w:color w:val="000000"/>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42FDDB28" w14:textId="4034FAC6" w:rsidR="008152FC" w:rsidRDefault="008152FC" w:rsidP="008152FC">
                  <w:pPr>
                    <w:spacing w:after="60"/>
                    <w:rPr>
                      <w:iCs/>
                      <w:color w:val="000000"/>
                      <w:sz w:val="20"/>
                    </w:rPr>
                  </w:pPr>
                  <w:r w:rsidRPr="008869A2">
                    <w:rPr>
                      <w:iCs/>
                      <w:color w:val="000000"/>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1FCD65A7" w14:textId="0D8B4FA1" w:rsidR="008152FC" w:rsidRDefault="008152FC" w:rsidP="008152FC">
                  <w:pPr>
                    <w:spacing w:after="60"/>
                    <w:rPr>
                      <w:i/>
                      <w:iCs/>
                      <w:color w:val="000000"/>
                      <w:sz w:val="20"/>
                    </w:rPr>
                  </w:pPr>
                  <w:r w:rsidRPr="008869A2">
                    <w:rPr>
                      <w:i/>
                      <w:color w:val="000000"/>
                      <w:sz w:val="20"/>
                    </w:rPr>
                    <w:t>Average High Sustained Limit per QSE per Settlement Point per Resource</w:t>
                  </w:r>
                  <w:r w:rsidRPr="008869A2">
                    <w:rPr>
                      <w:iCs/>
                      <w:color w:val="000000"/>
                      <w:sz w:val="20"/>
                    </w:rPr>
                    <w:t>—The time-weighted average High Sustained Limit (HSL) for the Generation Resource</w:t>
                  </w:r>
                  <w:r>
                    <w:rPr>
                      <w:iCs/>
                      <w:color w:val="000000"/>
                      <w:sz w:val="20"/>
                    </w:rPr>
                    <w:t xml:space="preserve"> or ESR</w:t>
                  </w:r>
                  <w:r w:rsidRPr="008869A2">
                    <w:rPr>
                      <w:iCs/>
                      <w:color w:val="000000"/>
                      <w:sz w:val="20"/>
                    </w:rPr>
                    <w:t xml:space="preserve"> </w:t>
                  </w:r>
                  <w:r w:rsidRPr="008869A2">
                    <w:rPr>
                      <w:i/>
                      <w:color w:val="000000"/>
                      <w:sz w:val="20"/>
                    </w:rPr>
                    <w:t>r</w:t>
                  </w:r>
                  <w:r w:rsidRPr="008869A2">
                    <w:rPr>
                      <w:iCs/>
                      <w:color w:val="000000"/>
                      <w:sz w:val="20"/>
                    </w:rPr>
                    <w:t xml:space="preserve"> represented by QSE </w:t>
                  </w:r>
                  <w:r w:rsidRPr="008869A2">
                    <w:rPr>
                      <w:i/>
                      <w:color w:val="000000"/>
                      <w:sz w:val="20"/>
                    </w:rPr>
                    <w:t>q</w:t>
                  </w:r>
                  <w:r w:rsidRPr="008869A2">
                    <w:rPr>
                      <w:iCs/>
                      <w:color w:val="000000"/>
                      <w:sz w:val="20"/>
                    </w:rPr>
                    <w:t xml:space="preserve"> at Settlement Point </w:t>
                  </w:r>
                  <w:r w:rsidRPr="008869A2">
                    <w:rPr>
                      <w:i/>
                      <w:color w:val="000000"/>
                      <w:sz w:val="20"/>
                    </w:rPr>
                    <w:t>p</w:t>
                  </w:r>
                  <w:r w:rsidRPr="008869A2">
                    <w:rPr>
                      <w:iCs/>
                      <w:color w:val="000000"/>
                      <w:sz w:val="20"/>
                    </w:rPr>
                    <w:t xml:space="preserve"> within the 15-minute Settlement Interval </w:t>
                  </w:r>
                  <w:r w:rsidRPr="008869A2">
                    <w:rPr>
                      <w:i/>
                      <w:color w:val="000000"/>
                      <w:sz w:val="20"/>
                    </w:rPr>
                    <w:t>i</w:t>
                  </w:r>
                  <w:r w:rsidRPr="008869A2">
                    <w:rPr>
                      <w:iCs/>
                      <w:color w:val="000000"/>
                      <w:sz w:val="20"/>
                    </w:rPr>
                    <w:t>.  For a Combined</w:t>
                  </w:r>
                  <w:r w:rsidRPr="008869A2">
                    <w:rPr>
                      <w:iCs/>
                      <w:sz w:val="20"/>
                    </w:rPr>
                    <w:t xml:space="preserve"> Cycle Train, the Resource </w:t>
                  </w:r>
                  <w:r w:rsidRPr="008869A2">
                    <w:rPr>
                      <w:i/>
                      <w:iCs/>
                      <w:sz w:val="20"/>
                    </w:rPr>
                    <w:t xml:space="preserve">r </w:t>
                  </w:r>
                  <w:r w:rsidRPr="008869A2">
                    <w:rPr>
                      <w:iCs/>
                      <w:sz w:val="20"/>
                    </w:rPr>
                    <w:t xml:space="preserve">is a Combined Cycle Train.  </w:t>
                  </w:r>
                  <w:r w:rsidRPr="008869A2">
                    <w:rPr>
                      <w:sz w:val="20"/>
                    </w:rPr>
                    <w:t xml:space="preserve">In the case of a VDI that is equivalent to an HDL override, this value is set equal to the HSL of </w:t>
                  </w:r>
                  <w:r w:rsidRPr="008869A2">
                    <w:rPr>
                      <w:color w:val="000000"/>
                      <w:sz w:val="20"/>
                    </w:rPr>
                    <w:t>Generation Resource</w:t>
                  </w:r>
                  <w:r>
                    <w:rPr>
                      <w:color w:val="000000"/>
                      <w:sz w:val="20"/>
                    </w:rPr>
                    <w:t>, or ESR</w:t>
                  </w:r>
                  <w:r w:rsidRPr="008869A2">
                    <w:rPr>
                      <w:color w:val="000000"/>
                      <w:sz w:val="20"/>
                    </w:rPr>
                    <w:t xml:space="preserve"> </w:t>
                  </w:r>
                  <w:r w:rsidRPr="008869A2">
                    <w:rPr>
                      <w:i/>
                      <w:iCs/>
                      <w:color w:val="000000"/>
                      <w:sz w:val="20"/>
                    </w:rPr>
                    <w:t>r</w:t>
                  </w:r>
                  <w:r w:rsidRPr="008869A2">
                    <w:rPr>
                      <w:color w:val="000000"/>
                      <w:sz w:val="20"/>
                    </w:rPr>
                    <w:t xml:space="preserve"> at the time that the VDI is issued to the QSE.</w:t>
                  </w:r>
                </w:p>
              </w:tc>
            </w:tr>
            <w:tr w:rsidR="008152FC" w14:paraId="79B2AF62" w14:textId="77777777" w:rsidTr="00F85B9C">
              <w:trPr>
                <w:cantSplit/>
                <w:trHeight w:val="1154"/>
              </w:trPr>
              <w:tc>
                <w:tcPr>
                  <w:tcW w:w="906" w:type="pct"/>
                  <w:tcBorders>
                    <w:top w:val="single" w:sz="4" w:space="0" w:color="auto"/>
                    <w:left w:val="single" w:sz="4" w:space="0" w:color="auto"/>
                    <w:bottom w:val="single" w:sz="4" w:space="0" w:color="auto"/>
                    <w:right w:val="single" w:sz="4" w:space="0" w:color="auto"/>
                  </w:tcBorders>
                  <w:hideMark/>
                </w:tcPr>
                <w:p w14:paraId="096BCE47" w14:textId="356BF529" w:rsidR="008152FC" w:rsidRDefault="008152FC" w:rsidP="008152FC">
                  <w:pPr>
                    <w:spacing w:after="60"/>
                    <w:rPr>
                      <w:iCs/>
                      <w:sz w:val="20"/>
                    </w:rPr>
                  </w:pPr>
                  <w:r w:rsidRPr="008869A2">
                    <w:rPr>
                      <w:iCs/>
                      <w:sz w:val="20"/>
                    </w:rPr>
                    <w:lastRenderedPageBreak/>
                    <w:t>HDLOBRKPCP</w:t>
                  </w:r>
                  <w:r w:rsidRPr="008869A2">
                    <w:rPr>
                      <w:b/>
                      <w:iCs/>
                      <w:sz w:val="20"/>
                      <w:lang w:val="es-MX"/>
                    </w:rPr>
                    <w:t xml:space="preserve"> </w:t>
                  </w:r>
                  <w:r w:rsidRPr="008869A2">
                    <w:rPr>
                      <w:i/>
                      <w:iCs/>
                      <w:sz w:val="20"/>
                      <w:vertAlign w:val="subscript"/>
                    </w:rPr>
                    <w:t>q, r, p, i</w:t>
                  </w:r>
                </w:p>
              </w:tc>
              <w:tc>
                <w:tcPr>
                  <w:tcW w:w="475" w:type="pct"/>
                  <w:tcBorders>
                    <w:top w:val="single" w:sz="4" w:space="0" w:color="auto"/>
                    <w:left w:val="single" w:sz="4" w:space="0" w:color="auto"/>
                    <w:bottom w:val="single" w:sz="4" w:space="0" w:color="auto"/>
                    <w:right w:val="single" w:sz="4" w:space="0" w:color="auto"/>
                  </w:tcBorders>
                  <w:hideMark/>
                </w:tcPr>
                <w:p w14:paraId="07D5403B" w14:textId="2F377135" w:rsidR="008152FC" w:rsidRDefault="008152FC" w:rsidP="008152FC">
                  <w:pPr>
                    <w:spacing w:after="60"/>
                    <w:rPr>
                      <w:iCs/>
                      <w:sz w:val="20"/>
                    </w:rPr>
                  </w:pPr>
                  <w:r w:rsidRPr="008869A2">
                    <w:rPr>
                      <w:iCs/>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1B0DC105" w14:textId="3A851D6C" w:rsidR="008152FC" w:rsidRDefault="008152FC" w:rsidP="008152FC">
                  <w:pPr>
                    <w:rPr>
                      <w:i/>
                      <w:sz w:val="20"/>
                    </w:rPr>
                  </w:pPr>
                  <w:r w:rsidRPr="008869A2">
                    <w:rPr>
                      <w:i/>
                      <w:sz w:val="20"/>
                    </w:rPr>
                    <w:t>High Dispatch Limit override break point</w:t>
                  </w:r>
                  <w:r w:rsidRPr="008869A2">
                    <w:rPr>
                      <w:i/>
                    </w:rPr>
                    <w:t xml:space="preserve"> </w:t>
                  </w:r>
                  <w:r w:rsidRPr="008869A2">
                    <w:rPr>
                      <w:i/>
                      <w:sz w:val="20"/>
                    </w:rPr>
                    <w:t>at clearing price per QSE per Resource</w:t>
                  </w:r>
                  <w:r w:rsidRPr="008869A2">
                    <w:rPr>
                      <w:sz w:val="20"/>
                    </w:rPr>
                    <w:t xml:space="preserve">—The MW value on the Energy Offer Curve </w:t>
                  </w:r>
                  <w:r>
                    <w:rPr>
                      <w:sz w:val="20"/>
                    </w:rPr>
                    <w:t xml:space="preserve">or Energy Bid/Offer Curve </w:t>
                  </w:r>
                  <w:r w:rsidRPr="008869A2">
                    <w:rPr>
                      <w:sz w:val="20"/>
                    </w:rPr>
                    <w:t xml:space="preserve">corresponding to the Real-Time Settlement Point Price of Resource </w:t>
                  </w:r>
                  <w:r w:rsidRPr="008869A2">
                    <w:rPr>
                      <w:i/>
                      <w:sz w:val="20"/>
                    </w:rPr>
                    <w:t>r</w:t>
                  </w:r>
                  <w:r w:rsidRPr="008869A2">
                    <w:rPr>
                      <w:sz w:val="20"/>
                    </w:rPr>
                    <w:t xml:space="preserve"> represented by QSE </w:t>
                  </w:r>
                  <w:r w:rsidRPr="008869A2">
                    <w:rPr>
                      <w:i/>
                      <w:sz w:val="20"/>
                    </w:rPr>
                    <w:t>q</w:t>
                  </w:r>
                  <w:r w:rsidRPr="008869A2">
                    <w:rPr>
                      <w:sz w:val="20"/>
                    </w:rPr>
                    <w:t xml:space="preserve"> at Settlement Point </w:t>
                  </w:r>
                  <w:r w:rsidRPr="008869A2">
                    <w:rPr>
                      <w:i/>
                      <w:sz w:val="20"/>
                    </w:rPr>
                    <w:t>p</w:t>
                  </w:r>
                  <w:r w:rsidRPr="008869A2">
                    <w:rPr>
                      <w:sz w:val="20"/>
                    </w:rPr>
                    <w:t xml:space="preserve"> minus the Real-Time Reliability Deployment Price for Energy.  For a combined cycle Resource, </w:t>
                  </w:r>
                  <w:r w:rsidRPr="008869A2">
                    <w:rPr>
                      <w:i/>
                      <w:sz w:val="20"/>
                    </w:rPr>
                    <w:t>r</w:t>
                  </w:r>
                  <w:r w:rsidRPr="008869A2">
                    <w:rPr>
                      <w:sz w:val="20"/>
                    </w:rPr>
                    <w:t xml:space="preserve"> is a Combined Cycle Train.</w:t>
                  </w:r>
                </w:p>
              </w:tc>
            </w:tr>
            <w:tr w:rsidR="008152FC" w14:paraId="370DD4F4" w14:textId="77777777" w:rsidTr="00F85B9C">
              <w:trPr>
                <w:cantSplit/>
                <w:trHeight w:val="1229"/>
              </w:trPr>
              <w:tc>
                <w:tcPr>
                  <w:tcW w:w="906" w:type="pct"/>
                  <w:tcBorders>
                    <w:top w:val="single" w:sz="4" w:space="0" w:color="auto"/>
                    <w:left w:val="single" w:sz="4" w:space="0" w:color="auto"/>
                    <w:bottom w:val="single" w:sz="4" w:space="0" w:color="auto"/>
                    <w:right w:val="single" w:sz="4" w:space="0" w:color="auto"/>
                  </w:tcBorders>
                  <w:hideMark/>
                </w:tcPr>
                <w:p w14:paraId="56FF493F" w14:textId="7B6A29D1" w:rsidR="008152FC" w:rsidRDefault="008152FC" w:rsidP="008152FC">
                  <w:pPr>
                    <w:spacing w:after="60"/>
                    <w:rPr>
                      <w:iCs/>
                      <w:sz w:val="20"/>
                    </w:rPr>
                  </w:pPr>
                  <w:r w:rsidRPr="008869A2">
                    <w:rPr>
                      <w:sz w:val="20"/>
                    </w:rPr>
                    <w:t xml:space="preserve">RTEOCOST </w:t>
                  </w:r>
                  <w:r w:rsidRPr="008869A2">
                    <w:rPr>
                      <w:i/>
                      <w:sz w:val="20"/>
                      <w:vertAlign w:val="subscript"/>
                    </w:rPr>
                    <w:t>q, r, i</w:t>
                  </w:r>
                </w:p>
              </w:tc>
              <w:tc>
                <w:tcPr>
                  <w:tcW w:w="475" w:type="pct"/>
                  <w:tcBorders>
                    <w:top w:val="single" w:sz="4" w:space="0" w:color="auto"/>
                    <w:left w:val="single" w:sz="4" w:space="0" w:color="auto"/>
                    <w:bottom w:val="single" w:sz="4" w:space="0" w:color="auto"/>
                    <w:right w:val="single" w:sz="4" w:space="0" w:color="auto"/>
                  </w:tcBorders>
                  <w:hideMark/>
                </w:tcPr>
                <w:p w14:paraId="1AA9DF77" w14:textId="6B2D87C9" w:rsidR="008152FC" w:rsidRDefault="008152FC" w:rsidP="008152FC">
                  <w:pPr>
                    <w:spacing w:after="60"/>
                    <w:rPr>
                      <w:iCs/>
                      <w:sz w:val="20"/>
                    </w:rPr>
                  </w:pPr>
                  <w:r w:rsidRPr="008869A2">
                    <w:rPr>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01EE8916" w14:textId="5AFA92F1" w:rsidR="008152FC" w:rsidRDefault="008152FC" w:rsidP="008152FC">
                  <w:pPr>
                    <w:spacing w:after="60"/>
                    <w:rPr>
                      <w:iCs/>
                      <w:sz w:val="20"/>
                    </w:rPr>
                  </w:pPr>
                  <w:r w:rsidRPr="008869A2">
                    <w:rPr>
                      <w:i/>
                      <w:sz w:val="20"/>
                    </w:rPr>
                    <w:t>Real-Time Energy Offer Curve Cost Cap</w:t>
                  </w:r>
                  <w:r w:rsidRPr="008869A2">
                    <w:rPr>
                      <w:i/>
                      <w:iCs/>
                      <w:noProof/>
                      <w:sz w:val="20"/>
                    </w:rPr>
                    <w:t>—</w:t>
                  </w:r>
                  <w:r w:rsidRPr="008869A2">
                    <w:rPr>
                      <w:sz w:val="20"/>
                    </w:rPr>
                    <w:t xml:space="preserve">The Energy Offer Curve Cost Cap for Resource </w:t>
                  </w:r>
                  <w:r w:rsidRPr="008869A2">
                    <w:rPr>
                      <w:i/>
                      <w:sz w:val="20"/>
                    </w:rPr>
                    <w:t>r</w:t>
                  </w:r>
                  <w:r w:rsidRPr="008869A2">
                    <w:rPr>
                      <w:sz w:val="20"/>
                    </w:rPr>
                    <w:t xml:space="preserve"> represented by QSE </w:t>
                  </w:r>
                  <w:r w:rsidRPr="008869A2">
                    <w:rPr>
                      <w:i/>
                      <w:sz w:val="20"/>
                    </w:rPr>
                    <w:t>q</w:t>
                  </w:r>
                  <w:r w:rsidRPr="008869A2">
                    <w:rPr>
                      <w:sz w:val="20"/>
                    </w:rPr>
                    <w:t xml:space="preserve">, for the Resource’s generation above the Low Sustained Limit (LSL) for the Settlement Interval </w:t>
                  </w:r>
                  <w:r w:rsidRPr="008869A2">
                    <w:rPr>
                      <w:i/>
                      <w:sz w:val="20"/>
                    </w:rPr>
                    <w:t>i</w:t>
                  </w:r>
                  <w:r w:rsidRPr="008869A2">
                    <w:rPr>
                      <w:sz w:val="20"/>
                    </w:rPr>
                    <w:t>.  See Section 4.4.9.3.3, Energy Offer Curve Cost Caps.</w:t>
                  </w:r>
                  <w:r>
                    <w:rPr>
                      <w:sz w:val="20"/>
                    </w:rPr>
                    <w:t xml:space="preserve"> </w:t>
                  </w:r>
                  <w:r w:rsidRPr="008869A2">
                    <w:rPr>
                      <w:sz w:val="20"/>
                    </w:rPr>
                    <w:t xml:space="preserve">Where for a Combined Cycle Train, the Resource </w:t>
                  </w:r>
                  <w:r w:rsidRPr="008869A2">
                    <w:rPr>
                      <w:i/>
                      <w:sz w:val="20"/>
                    </w:rPr>
                    <w:t>r</w:t>
                  </w:r>
                  <w:r w:rsidRPr="008869A2">
                    <w:rPr>
                      <w:sz w:val="20"/>
                    </w:rPr>
                    <w:t xml:space="preserve"> is the Combined Cycle Train.</w:t>
                  </w:r>
                </w:p>
              </w:tc>
            </w:tr>
            <w:tr w:rsidR="008152FC" w14:paraId="7E4F54DB" w14:textId="77777777" w:rsidTr="00F85B9C">
              <w:trPr>
                <w:cantSplit/>
                <w:trHeight w:val="944"/>
              </w:trPr>
              <w:tc>
                <w:tcPr>
                  <w:tcW w:w="906" w:type="pct"/>
                  <w:tcBorders>
                    <w:top w:val="single" w:sz="4" w:space="0" w:color="auto"/>
                    <w:left w:val="single" w:sz="4" w:space="0" w:color="auto"/>
                    <w:bottom w:val="single" w:sz="4" w:space="0" w:color="auto"/>
                    <w:right w:val="single" w:sz="4" w:space="0" w:color="auto"/>
                  </w:tcBorders>
                  <w:hideMark/>
                </w:tcPr>
                <w:p w14:paraId="54A3997E" w14:textId="1B7AC67A" w:rsidR="008152FC" w:rsidRDefault="008152FC" w:rsidP="008152FC">
                  <w:pPr>
                    <w:spacing w:after="60"/>
                    <w:rPr>
                      <w:iCs/>
                      <w:sz w:val="20"/>
                    </w:rPr>
                  </w:pPr>
                  <w:r w:rsidRPr="008869A2">
                    <w:rPr>
                      <w:iCs/>
                      <w:noProof/>
                      <w:sz w:val="20"/>
                    </w:rPr>
                    <w:t xml:space="preserve">HDLOQTY </w:t>
                  </w:r>
                  <w:r w:rsidRPr="008869A2">
                    <w:rPr>
                      <w:i/>
                      <w:iCs/>
                      <w:sz w:val="20"/>
                      <w:vertAlign w:val="subscript"/>
                    </w:rPr>
                    <w:t>q, r, p, i</w:t>
                  </w:r>
                </w:p>
              </w:tc>
              <w:tc>
                <w:tcPr>
                  <w:tcW w:w="475" w:type="pct"/>
                  <w:tcBorders>
                    <w:top w:val="single" w:sz="4" w:space="0" w:color="auto"/>
                    <w:left w:val="single" w:sz="4" w:space="0" w:color="auto"/>
                    <w:bottom w:val="single" w:sz="4" w:space="0" w:color="auto"/>
                    <w:right w:val="single" w:sz="4" w:space="0" w:color="auto"/>
                  </w:tcBorders>
                  <w:hideMark/>
                </w:tcPr>
                <w:p w14:paraId="2344655F" w14:textId="019259A7" w:rsidR="008152FC" w:rsidRDefault="008152FC" w:rsidP="008152FC">
                  <w:pPr>
                    <w:spacing w:after="60"/>
                    <w:rPr>
                      <w:iCs/>
                      <w:sz w:val="20"/>
                    </w:rPr>
                  </w:pPr>
                  <w:r w:rsidRPr="008869A2">
                    <w:rPr>
                      <w:iCs/>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11F1A4E3" w14:textId="1FC6851D" w:rsidR="008152FC" w:rsidRDefault="008152FC" w:rsidP="008152FC">
                  <w:pPr>
                    <w:spacing w:after="60"/>
                    <w:rPr>
                      <w:iCs/>
                      <w:sz w:val="20"/>
                    </w:rPr>
                  </w:pPr>
                  <w:r w:rsidRPr="008869A2">
                    <w:rPr>
                      <w:i/>
                      <w:iCs/>
                      <w:noProof/>
                      <w:sz w:val="20"/>
                    </w:rPr>
                    <w:t xml:space="preserve">High Dispatch Limit override </w:t>
                  </w:r>
                  <w:r w:rsidRPr="008869A2">
                    <w:rPr>
                      <w:i/>
                      <w:iCs/>
                      <w:sz w:val="20"/>
                    </w:rPr>
                    <w:t>quantity per QSE per Generation Resource</w:t>
                  </w:r>
                  <w:r w:rsidRPr="008869A2">
                    <w:rPr>
                      <w:i/>
                      <w:iCs/>
                      <w:noProof/>
                      <w:sz w:val="20"/>
                    </w:rPr>
                    <w:t>—</w:t>
                  </w:r>
                  <w:r w:rsidRPr="008869A2">
                    <w:rPr>
                      <w:iCs/>
                      <w:sz w:val="20"/>
                    </w:rPr>
                    <w:t xml:space="preserve">The difference between the HDLOBRKP and the AVGHDL due to an ERCOT-issued HDL override or equivalent VDI for Resource </w:t>
                  </w:r>
                  <w:r w:rsidRPr="008869A2">
                    <w:rPr>
                      <w:i/>
                      <w:iCs/>
                      <w:sz w:val="20"/>
                    </w:rPr>
                    <w:t>r</w:t>
                  </w:r>
                  <w:r w:rsidRPr="008869A2">
                    <w:rPr>
                      <w:iCs/>
                      <w:sz w:val="20"/>
                    </w:rPr>
                    <w:t xml:space="preserve"> represented by QSE </w:t>
                  </w:r>
                  <w:r w:rsidRPr="008869A2">
                    <w:rPr>
                      <w:i/>
                      <w:iCs/>
                      <w:sz w:val="20"/>
                    </w:rPr>
                    <w:t>q</w:t>
                  </w:r>
                  <w:r w:rsidRPr="008869A2">
                    <w:rPr>
                      <w:iCs/>
                      <w:sz w:val="20"/>
                    </w:rPr>
                    <w:t xml:space="preserve"> at Settlement Point </w:t>
                  </w:r>
                  <w:r w:rsidRPr="008869A2">
                    <w:rPr>
                      <w:i/>
                      <w:iCs/>
                      <w:sz w:val="20"/>
                    </w:rPr>
                    <w:t>p</w:t>
                  </w:r>
                  <w:r w:rsidRPr="008869A2">
                    <w:rPr>
                      <w:iCs/>
                      <w:sz w:val="20"/>
                    </w:rPr>
                    <w:t xml:space="preserve"> for the 15-minute Settlement Interval </w:t>
                  </w:r>
                  <w:r w:rsidRPr="008869A2">
                    <w:rPr>
                      <w:i/>
                      <w:iCs/>
                      <w:sz w:val="20"/>
                    </w:rPr>
                    <w:t>i</w:t>
                  </w:r>
                  <w:r w:rsidRPr="008869A2">
                    <w:rPr>
                      <w:iCs/>
                      <w:sz w:val="20"/>
                    </w:rPr>
                    <w:t xml:space="preserve">.  For a combined cycle Resource, </w:t>
                  </w:r>
                  <w:r w:rsidRPr="008869A2">
                    <w:rPr>
                      <w:i/>
                      <w:iCs/>
                      <w:sz w:val="20"/>
                    </w:rPr>
                    <w:t>r</w:t>
                  </w:r>
                  <w:r w:rsidRPr="008869A2">
                    <w:rPr>
                      <w:iCs/>
                      <w:sz w:val="20"/>
                    </w:rPr>
                    <w:t xml:space="preserve"> is a Combined Cycle Train.</w:t>
                  </w:r>
                </w:p>
              </w:tc>
            </w:tr>
            <w:tr w:rsidR="008152FC" w14:paraId="3849CC41" w14:textId="77777777" w:rsidTr="00F85B9C">
              <w:trPr>
                <w:cantSplit/>
                <w:trHeight w:val="773"/>
              </w:trPr>
              <w:tc>
                <w:tcPr>
                  <w:tcW w:w="906" w:type="pct"/>
                  <w:tcBorders>
                    <w:top w:val="single" w:sz="4" w:space="0" w:color="auto"/>
                    <w:left w:val="single" w:sz="4" w:space="0" w:color="auto"/>
                    <w:bottom w:val="single" w:sz="4" w:space="0" w:color="auto"/>
                    <w:right w:val="single" w:sz="4" w:space="0" w:color="auto"/>
                  </w:tcBorders>
                  <w:hideMark/>
                </w:tcPr>
                <w:p w14:paraId="44773ED5" w14:textId="10EE9722" w:rsidR="008152FC" w:rsidRDefault="008152FC" w:rsidP="008152FC">
                  <w:pPr>
                    <w:spacing w:after="60"/>
                    <w:rPr>
                      <w:iCs/>
                      <w:sz w:val="20"/>
                      <w:lang w:val="es-MX"/>
                    </w:rPr>
                  </w:pPr>
                  <w:r w:rsidRPr="008869A2">
                    <w:rPr>
                      <w:iCs/>
                      <w:sz w:val="20"/>
                    </w:rPr>
                    <w:t xml:space="preserve">RTSPP </w:t>
                  </w:r>
                  <w:r w:rsidRPr="008869A2">
                    <w:rPr>
                      <w:i/>
                      <w:iCs/>
                      <w:sz w:val="20"/>
                      <w:vertAlign w:val="subscript"/>
                    </w:rPr>
                    <w:t>p, i</w:t>
                  </w:r>
                </w:p>
              </w:tc>
              <w:tc>
                <w:tcPr>
                  <w:tcW w:w="475" w:type="pct"/>
                  <w:tcBorders>
                    <w:top w:val="single" w:sz="4" w:space="0" w:color="auto"/>
                    <w:left w:val="single" w:sz="4" w:space="0" w:color="auto"/>
                    <w:bottom w:val="single" w:sz="4" w:space="0" w:color="auto"/>
                    <w:right w:val="single" w:sz="4" w:space="0" w:color="auto"/>
                  </w:tcBorders>
                  <w:hideMark/>
                </w:tcPr>
                <w:p w14:paraId="2DB25329" w14:textId="313B462B" w:rsidR="008152FC" w:rsidRDefault="008152FC" w:rsidP="008152FC">
                  <w:pPr>
                    <w:spacing w:after="60"/>
                    <w:rPr>
                      <w:iCs/>
                      <w:sz w:val="20"/>
                    </w:rPr>
                  </w:pPr>
                  <w:r w:rsidRPr="008869A2">
                    <w:rPr>
                      <w:iCs/>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2D2D274F" w14:textId="70640D97" w:rsidR="008152FC" w:rsidRDefault="008152FC" w:rsidP="008152FC">
                  <w:pPr>
                    <w:spacing w:after="60"/>
                    <w:rPr>
                      <w:i/>
                      <w:iCs/>
                      <w:sz w:val="20"/>
                    </w:rPr>
                  </w:pPr>
                  <w:r w:rsidRPr="008869A2">
                    <w:rPr>
                      <w:i/>
                      <w:iCs/>
                      <w:sz w:val="20"/>
                    </w:rPr>
                    <w:t>Real-Time Settlement Point Price per Settlement Point</w:t>
                  </w:r>
                  <w:r w:rsidRPr="008869A2">
                    <w:rPr>
                      <w:iCs/>
                      <w:sz w:val="20"/>
                    </w:rPr>
                    <w:t xml:space="preserve">—The Real-Time Settlement Point Price at Settlement Point </w:t>
                  </w:r>
                  <w:r w:rsidRPr="008869A2">
                    <w:rPr>
                      <w:i/>
                      <w:iCs/>
                      <w:sz w:val="20"/>
                    </w:rPr>
                    <w:t>p</w:t>
                  </w:r>
                  <w:r w:rsidRPr="008869A2">
                    <w:rPr>
                      <w:iCs/>
                      <w:sz w:val="20"/>
                    </w:rPr>
                    <w:t xml:space="preserve">, for the 15-minute Settlement Interval </w:t>
                  </w:r>
                  <w:r w:rsidRPr="008869A2">
                    <w:rPr>
                      <w:i/>
                      <w:iCs/>
                      <w:sz w:val="20"/>
                    </w:rPr>
                    <w:t>i</w:t>
                  </w:r>
                  <w:r w:rsidRPr="008869A2">
                    <w:rPr>
                      <w:iCs/>
                      <w:sz w:val="20"/>
                    </w:rPr>
                    <w:t>.</w:t>
                  </w:r>
                </w:p>
              </w:tc>
            </w:tr>
            <w:tr w:rsidR="008152FC" w14:paraId="2A098817" w14:textId="77777777" w:rsidTr="00F85B9C">
              <w:trPr>
                <w:cantSplit/>
                <w:trHeight w:val="773"/>
              </w:trPr>
              <w:tc>
                <w:tcPr>
                  <w:tcW w:w="906" w:type="pct"/>
                  <w:tcBorders>
                    <w:top w:val="single" w:sz="4" w:space="0" w:color="auto"/>
                    <w:left w:val="single" w:sz="4" w:space="0" w:color="auto"/>
                    <w:bottom w:val="single" w:sz="4" w:space="0" w:color="auto"/>
                    <w:right w:val="single" w:sz="4" w:space="0" w:color="auto"/>
                  </w:tcBorders>
                  <w:hideMark/>
                </w:tcPr>
                <w:p w14:paraId="022DA931" w14:textId="0FDFC545" w:rsidR="008152FC" w:rsidRDefault="008152FC" w:rsidP="008152FC">
                  <w:pPr>
                    <w:spacing w:after="60"/>
                    <w:rPr>
                      <w:iCs/>
                      <w:sz w:val="20"/>
                    </w:rPr>
                  </w:pPr>
                  <w:r w:rsidRPr="008869A2">
                    <w:rPr>
                      <w:iCs/>
                      <w:sz w:val="20"/>
                    </w:rPr>
                    <w:t>RTRDP</w:t>
                  </w:r>
                  <w:r w:rsidRPr="008869A2">
                    <w:rPr>
                      <w:i/>
                      <w:iCs/>
                      <w:sz w:val="20"/>
                      <w:vertAlign w:val="subscript"/>
                    </w:rPr>
                    <w:t xml:space="preserve"> i</w:t>
                  </w:r>
                </w:p>
              </w:tc>
              <w:tc>
                <w:tcPr>
                  <w:tcW w:w="475" w:type="pct"/>
                  <w:tcBorders>
                    <w:top w:val="single" w:sz="4" w:space="0" w:color="auto"/>
                    <w:left w:val="single" w:sz="4" w:space="0" w:color="auto"/>
                    <w:bottom w:val="single" w:sz="4" w:space="0" w:color="auto"/>
                    <w:right w:val="single" w:sz="4" w:space="0" w:color="auto"/>
                  </w:tcBorders>
                  <w:hideMark/>
                </w:tcPr>
                <w:p w14:paraId="2CC06C88" w14:textId="037B1C8B" w:rsidR="008152FC" w:rsidRDefault="008152FC" w:rsidP="008152FC">
                  <w:pPr>
                    <w:spacing w:after="60"/>
                    <w:rPr>
                      <w:iCs/>
                      <w:sz w:val="20"/>
                    </w:rPr>
                  </w:pPr>
                  <w:r w:rsidRPr="008869A2">
                    <w:rPr>
                      <w:iCs/>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6D106BEE" w14:textId="746301C1" w:rsidR="008152FC" w:rsidRDefault="008152FC" w:rsidP="008152FC">
                  <w:pPr>
                    <w:spacing w:after="60"/>
                    <w:rPr>
                      <w:i/>
                      <w:iCs/>
                      <w:sz w:val="20"/>
                    </w:rPr>
                  </w:pPr>
                  <w:r w:rsidRPr="008869A2">
                    <w:rPr>
                      <w:i/>
                      <w:iCs/>
                      <w:sz w:val="20"/>
                    </w:rPr>
                    <w:t>Real-Time Reliability Deployment Price</w:t>
                  </w:r>
                  <w:r w:rsidRPr="008869A2">
                    <w:rPr>
                      <w:iCs/>
                      <w:sz w:val="20"/>
                    </w:rPr>
                    <w:t xml:space="preserve"> </w:t>
                  </w:r>
                  <w:r w:rsidRPr="008869A2">
                    <w:rPr>
                      <w:i/>
                      <w:iCs/>
                      <w:sz w:val="20"/>
                    </w:rPr>
                    <w:t>for Energy</w:t>
                  </w:r>
                  <w:r w:rsidRPr="008869A2">
                    <w:rPr>
                      <w:iCs/>
                      <w:sz w:val="20"/>
                    </w:rPr>
                    <w:sym w:font="Symbol" w:char="F0BE"/>
                  </w:r>
                  <w:r w:rsidRPr="008869A2">
                    <w:rPr>
                      <w:iCs/>
                      <w:sz w:val="20"/>
                    </w:rPr>
                    <w:t xml:space="preserve">The Real-Time price for the 15-minute Settlement Interval </w:t>
                  </w:r>
                  <w:r w:rsidRPr="008869A2">
                    <w:rPr>
                      <w:i/>
                      <w:iCs/>
                      <w:sz w:val="20"/>
                    </w:rPr>
                    <w:t>i</w:t>
                  </w:r>
                  <w:r w:rsidRPr="008869A2">
                    <w:rPr>
                      <w:iCs/>
                      <w:sz w:val="20"/>
                    </w:rPr>
                    <w:t>, reflecting the impact of reliability deployments on energy prices that is calculated from the Real-Time Reliability Deployment Price Adder for Energy.</w:t>
                  </w:r>
                </w:p>
              </w:tc>
            </w:tr>
            <w:tr w:rsidR="008152FC" w14:paraId="3E280E25" w14:textId="77777777" w:rsidTr="00F85B9C">
              <w:trPr>
                <w:cantSplit/>
                <w:trHeight w:val="289"/>
              </w:trPr>
              <w:tc>
                <w:tcPr>
                  <w:tcW w:w="906" w:type="pct"/>
                  <w:tcBorders>
                    <w:top w:val="single" w:sz="4" w:space="0" w:color="auto"/>
                    <w:left w:val="single" w:sz="4" w:space="0" w:color="auto"/>
                    <w:bottom w:val="single" w:sz="4" w:space="0" w:color="auto"/>
                    <w:right w:val="single" w:sz="4" w:space="0" w:color="auto"/>
                  </w:tcBorders>
                  <w:hideMark/>
                </w:tcPr>
                <w:p w14:paraId="4AB6B34C" w14:textId="6A0E232B" w:rsidR="008152FC" w:rsidRDefault="008152FC" w:rsidP="008152FC">
                  <w:pPr>
                    <w:spacing w:after="60"/>
                    <w:rPr>
                      <w:i/>
                      <w:iCs/>
                      <w:sz w:val="20"/>
                    </w:rPr>
                  </w:pPr>
                  <w:r>
                    <w:rPr>
                      <w:i/>
                      <w:iCs/>
                      <w:sz w:val="20"/>
                    </w:rPr>
                    <w:t>q</w:t>
                  </w:r>
                </w:p>
              </w:tc>
              <w:tc>
                <w:tcPr>
                  <w:tcW w:w="475" w:type="pct"/>
                  <w:tcBorders>
                    <w:top w:val="single" w:sz="4" w:space="0" w:color="auto"/>
                    <w:left w:val="single" w:sz="4" w:space="0" w:color="auto"/>
                    <w:bottom w:val="single" w:sz="4" w:space="0" w:color="auto"/>
                    <w:right w:val="single" w:sz="4" w:space="0" w:color="auto"/>
                  </w:tcBorders>
                  <w:hideMark/>
                </w:tcPr>
                <w:p w14:paraId="5E093563" w14:textId="249727FA" w:rsidR="008152FC" w:rsidRDefault="008152FC" w:rsidP="008152FC">
                  <w:pPr>
                    <w:spacing w:after="60"/>
                    <w:rPr>
                      <w:iCs/>
                      <w:sz w:val="20"/>
                    </w:rPr>
                  </w:pPr>
                  <w:r w:rsidRPr="008869A2">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2251FB72" w14:textId="59F1F72F" w:rsidR="008152FC" w:rsidRDefault="008152FC" w:rsidP="008152FC">
                  <w:pPr>
                    <w:spacing w:after="60"/>
                    <w:rPr>
                      <w:i/>
                      <w:sz w:val="20"/>
                    </w:rPr>
                  </w:pPr>
                  <w:r w:rsidRPr="008869A2">
                    <w:rPr>
                      <w:iCs/>
                      <w:sz w:val="20"/>
                    </w:rPr>
                    <w:t>A QSE.</w:t>
                  </w:r>
                </w:p>
              </w:tc>
            </w:tr>
            <w:tr w:rsidR="008152FC" w14:paraId="72CC4881" w14:textId="77777777" w:rsidTr="00F85B9C">
              <w:trPr>
                <w:cantSplit/>
                <w:trHeight w:val="289"/>
              </w:trPr>
              <w:tc>
                <w:tcPr>
                  <w:tcW w:w="906" w:type="pct"/>
                  <w:tcBorders>
                    <w:top w:val="single" w:sz="4" w:space="0" w:color="auto"/>
                    <w:left w:val="single" w:sz="4" w:space="0" w:color="auto"/>
                    <w:bottom w:val="single" w:sz="4" w:space="0" w:color="auto"/>
                    <w:right w:val="single" w:sz="4" w:space="0" w:color="auto"/>
                  </w:tcBorders>
                  <w:hideMark/>
                </w:tcPr>
                <w:p w14:paraId="21B37118" w14:textId="74D914AA" w:rsidR="008152FC" w:rsidRDefault="008152FC" w:rsidP="008152FC">
                  <w:pPr>
                    <w:spacing w:after="60"/>
                    <w:rPr>
                      <w:i/>
                      <w:iCs/>
                      <w:sz w:val="20"/>
                    </w:rPr>
                  </w:pPr>
                  <w:r>
                    <w:rPr>
                      <w:i/>
                      <w:iCs/>
                      <w:sz w:val="20"/>
                    </w:rPr>
                    <w:t>r</w:t>
                  </w:r>
                </w:p>
              </w:tc>
              <w:tc>
                <w:tcPr>
                  <w:tcW w:w="475" w:type="pct"/>
                  <w:tcBorders>
                    <w:top w:val="single" w:sz="4" w:space="0" w:color="auto"/>
                    <w:left w:val="single" w:sz="4" w:space="0" w:color="auto"/>
                    <w:bottom w:val="single" w:sz="4" w:space="0" w:color="auto"/>
                    <w:right w:val="single" w:sz="4" w:space="0" w:color="auto"/>
                  </w:tcBorders>
                  <w:hideMark/>
                </w:tcPr>
                <w:p w14:paraId="7C065C6A" w14:textId="182BE806" w:rsidR="008152FC" w:rsidRDefault="008152FC" w:rsidP="008152FC">
                  <w:pPr>
                    <w:spacing w:after="60"/>
                    <w:rPr>
                      <w:iCs/>
                      <w:sz w:val="20"/>
                    </w:rPr>
                  </w:pPr>
                  <w:r w:rsidRPr="008869A2">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1B143F47" w14:textId="6FA4E62D" w:rsidR="008152FC" w:rsidRDefault="008152FC" w:rsidP="008152FC">
                  <w:pPr>
                    <w:spacing w:after="60"/>
                    <w:rPr>
                      <w:i/>
                      <w:sz w:val="20"/>
                    </w:rPr>
                  </w:pPr>
                  <w:r w:rsidRPr="008869A2">
                    <w:rPr>
                      <w:iCs/>
                      <w:sz w:val="20"/>
                    </w:rPr>
                    <w:t>A Generation Resource</w:t>
                  </w:r>
                  <w:r>
                    <w:rPr>
                      <w:iCs/>
                      <w:sz w:val="20"/>
                    </w:rPr>
                    <w:t xml:space="preserve"> or ESR</w:t>
                  </w:r>
                  <w:r w:rsidRPr="008869A2">
                    <w:rPr>
                      <w:iCs/>
                      <w:sz w:val="20"/>
                    </w:rPr>
                    <w:t>.</w:t>
                  </w:r>
                </w:p>
              </w:tc>
            </w:tr>
            <w:tr w:rsidR="008152FC" w14:paraId="53017C23" w14:textId="77777777" w:rsidTr="00F85B9C">
              <w:trPr>
                <w:cantSplit/>
                <w:trHeight w:val="289"/>
              </w:trPr>
              <w:tc>
                <w:tcPr>
                  <w:tcW w:w="906" w:type="pct"/>
                  <w:tcBorders>
                    <w:top w:val="single" w:sz="4" w:space="0" w:color="auto"/>
                    <w:left w:val="single" w:sz="4" w:space="0" w:color="auto"/>
                    <w:bottom w:val="single" w:sz="4" w:space="0" w:color="auto"/>
                    <w:right w:val="single" w:sz="4" w:space="0" w:color="auto"/>
                  </w:tcBorders>
                  <w:hideMark/>
                </w:tcPr>
                <w:p w14:paraId="2206622B" w14:textId="5DFF8375" w:rsidR="008152FC" w:rsidRDefault="008152FC" w:rsidP="008152FC">
                  <w:pPr>
                    <w:spacing w:after="60"/>
                    <w:rPr>
                      <w:i/>
                      <w:iCs/>
                      <w:sz w:val="20"/>
                    </w:rPr>
                  </w:pPr>
                  <w:r>
                    <w:rPr>
                      <w:i/>
                      <w:iCs/>
                      <w:sz w:val="20"/>
                    </w:rPr>
                    <w:t>p</w:t>
                  </w:r>
                </w:p>
              </w:tc>
              <w:tc>
                <w:tcPr>
                  <w:tcW w:w="475" w:type="pct"/>
                  <w:tcBorders>
                    <w:top w:val="single" w:sz="4" w:space="0" w:color="auto"/>
                    <w:left w:val="single" w:sz="4" w:space="0" w:color="auto"/>
                    <w:bottom w:val="single" w:sz="4" w:space="0" w:color="auto"/>
                    <w:right w:val="single" w:sz="4" w:space="0" w:color="auto"/>
                  </w:tcBorders>
                  <w:hideMark/>
                </w:tcPr>
                <w:p w14:paraId="69F0D546" w14:textId="2669121E" w:rsidR="008152FC" w:rsidRDefault="008152FC" w:rsidP="008152FC">
                  <w:pPr>
                    <w:spacing w:after="60"/>
                    <w:rPr>
                      <w:iCs/>
                      <w:sz w:val="20"/>
                    </w:rPr>
                  </w:pPr>
                  <w:r w:rsidRPr="008869A2">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5732CD79" w14:textId="27DFD16B" w:rsidR="008152FC" w:rsidRDefault="008152FC" w:rsidP="008152FC">
                  <w:pPr>
                    <w:spacing w:after="60"/>
                    <w:rPr>
                      <w:iCs/>
                      <w:sz w:val="20"/>
                    </w:rPr>
                  </w:pPr>
                  <w:r w:rsidRPr="008869A2">
                    <w:rPr>
                      <w:iCs/>
                      <w:sz w:val="20"/>
                    </w:rPr>
                    <w:t>A Resource Node Settlement Point.</w:t>
                  </w:r>
                </w:p>
              </w:tc>
            </w:tr>
            <w:tr w:rsidR="008152FC" w14:paraId="23980F5B" w14:textId="77777777" w:rsidTr="00F85B9C">
              <w:trPr>
                <w:cantSplit/>
                <w:trHeight w:val="242"/>
              </w:trPr>
              <w:tc>
                <w:tcPr>
                  <w:tcW w:w="906" w:type="pct"/>
                  <w:tcBorders>
                    <w:top w:val="single" w:sz="4" w:space="0" w:color="auto"/>
                    <w:left w:val="single" w:sz="4" w:space="0" w:color="auto"/>
                    <w:bottom w:val="single" w:sz="4" w:space="0" w:color="auto"/>
                    <w:right w:val="single" w:sz="4" w:space="0" w:color="auto"/>
                  </w:tcBorders>
                  <w:hideMark/>
                </w:tcPr>
                <w:p w14:paraId="7B043B1B" w14:textId="35E49133" w:rsidR="008152FC" w:rsidRDefault="008152FC" w:rsidP="008152FC">
                  <w:pPr>
                    <w:spacing w:after="60"/>
                    <w:rPr>
                      <w:i/>
                      <w:iCs/>
                      <w:sz w:val="20"/>
                    </w:rPr>
                  </w:pPr>
                  <w:r w:rsidRPr="008869A2">
                    <w:rPr>
                      <w:i/>
                      <w:iCs/>
                      <w:sz w:val="20"/>
                    </w:rPr>
                    <w:t>i</w:t>
                  </w:r>
                </w:p>
              </w:tc>
              <w:tc>
                <w:tcPr>
                  <w:tcW w:w="475" w:type="pct"/>
                  <w:tcBorders>
                    <w:top w:val="single" w:sz="4" w:space="0" w:color="auto"/>
                    <w:left w:val="single" w:sz="4" w:space="0" w:color="auto"/>
                    <w:bottom w:val="single" w:sz="4" w:space="0" w:color="auto"/>
                    <w:right w:val="single" w:sz="4" w:space="0" w:color="auto"/>
                  </w:tcBorders>
                  <w:hideMark/>
                </w:tcPr>
                <w:p w14:paraId="6C5C6654" w14:textId="3A256DEF" w:rsidR="008152FC" w:rsidRDefault="008152FC" w:rsidP="008152FC">
                  <w:pPr>
                    <w:spacing w:after="60"/>
                    <w:rPr>
                      <w:iCs/>
                      <w:sz w:val="20"/>
                    </w:rPr>
                  </w:pPr>
                  <w:r w:rsidRPr="008869A2">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2FCE9788" w14:textId="50534949" w:rsidR="008152FC" w:rsidRDefault="008152FC" w:rsidP="008152FC">
                  <w:pPr>
                    <w:spacing w:after="60"/>
                    <w:rPr>
                      <w:iCs/>
                      <w:sz w:val="20"/>
                    </w:rPr>
                  </w:pPr>
                  <w:r w:rsidRPr="008869A2">
                    <w:rPr>
                      <w:iCs/>
                      <w:sz w:val="20"/>
                    </w:rPr>
                    <w:t>A 15-minute Settlement Interval.</w:t>
                  </w:r>
                </w:p>
              </w:tc>
            </w:tr>
          </w:tbl>
          <w:p w14:paraId="1B91CC76" w14:textId="7D6CA717" w:rsidR="00F85B9C" w:rsidRDefault="00F85B9C" w:rsidP="00F85B9C">
            <w:pPr>
              <w:spacing w:before="240" w:after="240"/>
              <w:ind w:left="720" w:hanging="720"/>
            </w:pPr>
            <w:r>
              <w:t>(</w:t>
            </w:r>
            <w:r w:rsidR="001D09AB">
              <w:t>7</w:t>
            </w:r>
            <w:r>
              <w:t>)</w:t>
            </w:r>
            <w:r>
              <w:tab/>
              <w:t>The total compensation to each QSE for an HDL override for the 15-minute Settlement Interval is calculated as follows:</w:t>
            </w:r>
          </w:p>
          <w:p w14:paraId="435D7966" w14:textId="1D64184C" w:rsidR="00F85B9C" w:rsidRDefault="00F85B9C" w:rsidP="00F85B9C">
            <w:pPr>
              <w:spacing w:after="240"/>
              <w:ind w:left="720" w:firstLine="720"/>
              <w:rPr>
                <w:b/>
                <w:i/>
                <w:vertAlign w:val="subscript"/>
                <w:lang w:val="es-ES"/>
              </w:rPr>
            </w:pPr>
            <w:r>
              <w:rPr>
                <w:b/>
              </w:rPr>
              <w:t>HDLOEAMTQSETOT</w:t>
            </w:r>
            <w:r>
              <w:rPr>
                <w:b/>
                <w:i/>
                <w:vertAlign w:val="subscript"/>
                <w:lang w:val="es-ES"/>
              </w:rPr>
              <w:t xml:space="preserve"> q, i </w:t>
            </w:r>
            <w:r>
              <w:rPr>
                <w:b/>
              </w:rPr>
              <w:t xml:space="preserve"> =  </w:t>
            </w:r>
            <w:r>
              <w:rPr>
                <w:b/>
                <w:noProof/>
                <w:position w:val="-28"/>
              </w:rPr>
              <w:drawing>
                <wp:inline distT="0" distB="0" distL="0" distR="0" wp14:anchorId="306F372A" wp14:editId="697A8C45">
                  <wp:extent cx="293370" cy="431165"/>
                  <wp:effectExtent l="0" t="0" r="0" b="6985"/>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93370" cy="431165"/>
                          </a:xfrm>
                          <a:prstGeom prst="rect">
                            <a:avLst/>
                          </a:prstGeom>
                          <a:noFill/>
                          <a:ln>
                            <a:noFill/>
                          </a:ln>
                        </pic:spPr>
                      </pic:pic>
                    </a:graphicData>
                  </a:graphic>
                </wp:inline>
              </w:drawing>
            </w:r>
            <w:r>
              <w:rPr>
                <w:b/>
                <w:noProof/>
                <w:position w:val="-30"/>
              </w:rPr>
              <w:drawing>
                <wp:inline distT="0" distB="0" distL="0" distR="0" wp14:anchorId="35A400DB" wp14:editId="57B4C66D">
                  <wp:extent cx="293370" cy="457200"/>
                  <wp:effectExtent l="0" t="0" r="0" b="0"/>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93370" cy="457200"/>
                          </a:xfrm>
                          <a:prstGeom prst="rect">
                            <a:avLst/>
                          </a:prstGeom>
                          <a:noFill/>
                          <a:ln>
                            <a:noFill/>
                          </a:ln>
                        </pic:spPr>
                      </pic:pic>
                    </a:graphicData>
                  </a:graphic>
                </wp:inline>
              </w:drawing>
            </w:r>
            <w:r>
              <w:rPr>
                <w:b/>
              </w:rPr>
              <w:t>HDLOEAMT</w:t>
            </w:r>
            <w:r>
              <w:rPr>
                <w:b/>
                <w:i/>
                <w:vertAlign w:val="subscript"/>
                <w:lang w:val="es-ES"/>
              </w:rPr>
              <w:t xml:space="preserve"> q, r, p, i</w:t>
            </w:r>
          </w:p>
          <w:p w14:paraId="7407102C" w14:textId="77777777" w:rsidR="00F85B9C" w:rsidRDefault="00F85B9C" w:rsidP="00F85B9C">
            <w:pPr>
              <w:spacing w:before="120"/>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3"/>
              <w:gridCol w:w="864"/>
              <w:gridCol w:w="6003"/>
            </w:tblGrid>
            <w:tr w:rsidR="00F85B9C" w14:paraId="5F6BB68A" w14:textId="77777777" w:rsidTr="00F85B9C">
              <w:trPr>
                <w:cantSplit/>
                <w:tblHeader/>
              </w:trPr>
              <w:tc>
                <w:tcPr>
                  <w:tcW w:w="1231" w:type="pct"/>
                  <w:tcBorders>
                    <w:top w:val="single" w:sz="4" w:space="0" w:color="auto"/>
                    <w:left w:val="single" w:sz="4" w:space="0" w:color="auto"/>
                    <w:bottom w:val="single" w:sz="4" w:space="0" w:color="auto"/>
                    <w:right w:val="single" w:sz="4" w:space="0" w:color="auto"/>
                  </w:tcBorders>
                  <w:hideMark/>
                </w:tcPr>
                <w:p w14:paraId="4E046B2F" w14:textId="77777777" w:rsidR="00F85B9C" w:rsidRDefault="00F85B9C" w:rsidP="00F85B9C">
                  <w:pPr>
                    <w:spacing w:after="240"/>
                    <w:rPr>
                      <w:b/>
                      <w:iCs/>
                      <w:sz w:val="20"/>
                    </w:rPr>
                  </w:pPr>
                  <w:r>
                    <w:rPr>
                      <w:b/>
                      <w:iCs/>
                      <w:sz w:val="20"/>
                    </w:rPr>
                    <w:t>Variable</w:t>
                  </w:r>
                </w:p>
              </w:tc>
              <w:tc>
                <w:tcPr>
                  <w:tcW w:w="474" w:type="pct"/>
                  <w:tcBorders>
                    <w:top w:val="single" w:sz="4" w:space="0" w:color="auto"/>
                    <w:left w:val="single" w:sz="4" w:space="0" w:color="auto"/>
                    <w:bottom w:val="single" w:sz="4" w:space="0" w:color="auto"/>
                    <w:right w:val="single" w:sz="4" w:space="0" w:color="auto"/>
                  </w:tcBorders>
                  <w:hideMark/>
                </w:tcPr>
                <w:p w14:paraId="1A90C604" w14:textId="77777777" w:rsidR="00F85B9C" w:rsidRDefault="00F85B9C" w:rsidP="00F85B9C">
                  <w:pPr>
                    <w:spacing w:after="240"/>
                    <w:rPr>
                      <w:b/>
                      <w:iCs/>
                      <w:sz w:val="20"/>
                    </w:rPr>
                  </w:pPr>
                  <w:r>
                    <w:rPr>
                      <w:b/>
                      <w:iCs/>
                      <w:sz w:val="20"/>
                    </w:rPr>
                    <w:t>Unit</w:t>
                  </w:r>
                </w:p>
              </w:tc>
              <w:tc>
                <w:tcPr>
                  <w:tcW w:w="3295" w:type="pct"/>
                  <w:tcBorders>
                    <w:top w:val="single" w:sz="4" w:space="0" w:color="auto"/>
                    <w:left w:val="single" w:sz="4" w:space="0" w:color="auto"/>
                    <w:bottom w:val="single" w:sz="4" w:space="0" w:color="auto"/>
                    <w:right w:val="single" w:sz="4" w:space="0" w:color="auto"/>
                  </w:tcBorders>
                  <w:hideMark/>
                </w:tcPr>
                <w:p w14:paraId="3F09360F" w14:textId="77777777" w:rsidR="00F85B9C" w:rsidRDefault="00F85B9C" w:rsidP="00F85B9C">
                  <w:pPr>
                    <w:spacing w:after="240"/>
                    <w:rPr>
                      <w:b/>
                      <w:iCs/>
                      <w:sz w:val="20"/>
                    </w:rPr>
                  </w:pPr>
                  <w:r>
                    <w:rPr>
                      <w:b/>
                      <w:iCs/>
                      <w:sz w:val="20"/>
                    </w:rPr>
                    <w:t>Definition</w:t>
                  </w:r>
                </w:p>
              </w:tc>
            </w:tr>
            <w:tr w:rsidR="00F85B9C" w14:paraId="19FB4E6D"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4246A4D9" w14:textId="77777777" w:rsidR="00F85B9C" w:rsidRDefault="00F85B9C" w:rsidP="00F85B9C">
                  <w:pPr>
                    <w:spacing w:after="60"/>
                    <w:rPr>
                      <w:iCs/>
                      <w:sz w:val="20"/>
                    </w:rPr>
                  </w:pPr>
                  <w:r>
                    <w:rPr>
                      <w:iCs/>
                      <w:sz w:val="20"/>
                    </w:rPr>
                    <w:t xml:space="preserve">HDLOEAMT </w:t>
                  </w:r>
                  <w:r>
                    <w:rPr>
                      <w:i/>
                      <w:iCs/>
                      <w:sz w:val="20"/>
                      <w:vertAlign w:val="subscript"/>
                    </w:rPr>
                    <w:t>q, r, p, i</w:t>
                  </w:r>
                </w:p>
              </w:tc>
              <w:tc>
                <w:tcPr>
                  <w:tcW w:w="474" w:type="pct"/>
                  <w:tcBorders>
                    <w:top w:val="single" w:sz="4" w:space="0" w:color="auto"/>
                    <w:left w:val="single" w:sz="4" w:space="0" w:color="auto"/>
                    <w:bottom w:val="single" w:sz="4" w:space="0" w:color="auto"/>
                    <w:right w:val="single" w:sz="4" w:space="0" w:color="auto"/>
                  </w:tcBorders>
                  <w:hideMark/>
                </w:tcPr>
                <w:p w14:paraId="2B2EF512" w14:textId="77777777" w:rsidR="00F85B9C" w:rsidRDefault="00F85B9C" w:rsidP="00F85B9C">
                  <w:pPr>
                    <w:spacing w:after="60"/>
                    <w:rPr>
                      <w:iCs/>
                      <w:sz w:val="20"/>
                    </w:rPr>
                  </w:pPr>
                  <w:r>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437C7E05" w14:textId="0C9CC1C9" w:rsidR="00F85B9C" w:rsidRDefault="00F85B9C" w:rsidP="00F85B9C">
                  <w:pPr>
                    <w:spacing w:after="60"/>
                    <w:rPr>
                      <w:iCs/>
                      <w:sz w:val="20"/>
                    </w:rPr>
                  </w:pPr>
                  <w:r>
                    <w:rPr>
                      <w:i/>
                      <w:iCs/>
                      <w:sz w:val="20"/>
                    </w:rPr>
                    <w:t>High Dispatch Limit override energy amount per QSE per Resource</w:t>
                  </w:r>
                  <w:r>
                    <w:rPr>
                      <w:iCs/>
                      <w:sz w:val="20"/>
                    </w:rPr>
                    <w:t xml:space="preserve">—The payment to QSE </w:t>
                  </w:r>
                  <w:r>
                    <w:rPr>
                      <w:i/>
                      <w:iCs/>
                      <w:sz w:val="20"/>
                    </w:rPr>
                    <w:t>q</w:t>
                  </w:r>
                  <w:r>
                    <w:rPr>
                      <w:iCs/>
                      <w:sz w:val="20"/>
                    </w:rPr>
                    <w:t xml:space="preserve"> for an ERCOT-issued HDL override </w:t>
                  </w:r>
                  <w:r w:rsidR="00D92457">
                    <w:rPr>
                      <w:iCs/>
                      <w:sz w:val="20"/>
                    </w:rPr>
                    <w:t xml:space="preserve">or equivalent VDI </w:t>
                  </w:r>
                  <w:r>
                    <w:rPr>
                      <w:iCs/>
                      <w:sz w:val="20"/>
                    </w:rPr>
                    <w:t xml:space="preserve">for Resource </w:t>
                  </w:r>
                  <w:r>
                    <w:rPr>
                      <w:i/>
                      <w:iCs/>
                      <w:sz w:val="20"/>
                    </w:rPr>
                    <w:t>r</w:t>
                  </w:r>
                  <w:r>
                    <w:rPr>
                      <w:iCs/>
                      <w:sz w:val="20"/>
                    </w:rPr>
                    <w:t xml:space="preserve"> at Settlement Point </w:t>
                  </w:r>
                  <w:r>
                    <w:rPr>
                      <w:i/>
                      <w:iCs/>
                      <w:sz w:val="20"/>
                    </w:rPr>
                    <w:t xml:space="preserve">p </w:t>
                  </w:r>
                  <w:r>
                    <w:rPr>
                      <w:iCs/>
                      <w:sz w:val="20"/>
                    </w:rPr>
                    <w:t xml:space="preserve">for the 15-minute Settlement Interval </w:t>
                  </w:r>
                  <w:r>
                    <w:rPr>
                      <w:i/>
                      <w:iCs/>
                      <w:sz w:val="20"/>
                    </w:rPr>
                    <w:t>i</w:t>
                  </w:r>
                  <w:r>
                    <w:rPr>
                      <w:iCs/>
                      <w:sz w:val="20"/>
                    </w:rPr>
                    <w:t xml:space="preserve">.  For a combined cycle Resource, </w:t>
                  </w:r>
                  <w:r>
                    <w:rPr>
                      <w:i/>
                      <w:iCs/>
                      <w:sz w:val="20"/>
                    </w:rPr>
                    <w:t>r</w:t>
                  </w:r>
                  <w:r>
                    <w:rPr>
                      <w:iCs/>
                      <w:sz w:val="20"/>
                    </w:rPr>
                    <w:t xml:space="preserve"> is a Combined Cycle Train.</w:t>
                  </w:r>
                </w:p>
              </w:tc>
            </w:tr>
            <w:tr w:rsidR="00F85B9C" w14:paraId="0E887FFD"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58FC5F72" w14:textId="77777777" w:rsidR="00F85B9C" w:rsidRDefault="00F85B9C" w:rsidP="00F85B9C">
                  <w:pPr>
                    <w:spacing w:after="60"/>
                    <w:rPr>
                      <w:iCs/>
                      <w:sz w:val="20"/>
                    </w:rPr>
                  </w:pPr>
                  <w:r>
                    <w:rPr>
                      <w:iCs/>
                      <w:sz w:val="20"/>
                    </w:rPr>
                    <w:t xml:space="preserve">HDLOEAMTQSETOT </w:t>
                  </w:r>
                  <w:r>
                    <w:rPr>
                      <w:rFonts w:ascii="Times New Roman Bold" w:hAnsi="Times New Roman Bold"/>
                      <w:i/>
                      <w:iCs/>
                      <w:sz w:val="20"/>
                      <w:vertAlign w:val="subscript"/>
                    </w:rPr>
                    <w:t>q,</w:t>
                  </w:r>
                  <w:r>
                    <w:rPr>
                      <w:i/>
                      <w:iCs/>
                      <w:sz w:val="20"/>
                    </w:rPr>
                    <w:t xml:space="preserve"> </w:t>
                  </w:r>
                  <w:r>
                    <w:rPr>
                      <w:i/>
                      <w:iCs/>
                      <w:sz w:val="20"/>
                      <w:vertAlign w:val="subscript"/>
                    </w:rPr>
                    <w:t>i</w:t>
                  </w:r>
                </w:p>
              </w:tc>
              <w:tc>
                <w:tcPr>
                  <w:tcW w:w="474" w:type="pct"/>
                  <w:tcBorders>
                    <w:top w:val="single" w:sz="4" w:space="0" w:color="auto"/>
                    <w:left w:val="single" w:sz="4" w:space="0" w:color="auto"/>
                    <w:bottom w:val="single" w:sz="4" w:space="0" w:color="auto"/>
                    <w:right w:val="single" w:sz="4" w:space="0" w:color="auto"/>
                  </w:tcBorders>
                  <w:hideMark/>
                </w:tcPr>
                <w:p w14:paraId="64E68CED" w14:textId="77777777" w:rsidR="00F85B9C" w:rsidRDefault="00F85B9C" w:rsidP="00F85B9C">
                  <w:pPr>
                    <w:spacing w:after="60"/>
                    <w:rPr>
                      <w:i/>
                      <w:iCs/>
                      <w:sz w:val="20"/>
                    </w:rPr>
                  </w:pPr>
                  <w:r>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7BB94B3E" w14:textId="77777777" w:rsidR="00F85B9C" w:rsidRDefault="00F85B9C" w:rsidP="00F85B9C">
                  <w:pPr>
                    <w:spacing w:after="60"/>
                    <w:rPr>
                      <w:iCs/>
                      <w:sz w:val="20"/>
                    </w:rPr>
                  </w:pPr>
                  <w:r>
                    <w:rPr>
                      <w:i/>
                      <w:iCs/>
                      <w:sz w:val="20"/>
                    </w:rPr>
                    <w:t>High Dispatch Limit override energy amount QSE total per QSE</w:t>
                  </w:r>
                  <w:r>
                    <w:rPr>
                      <w:iCs/>
                      <w:sz w:val="20"/>
                    </w:rPr>
                    <w:t xml:space="preserve">—The total of the energy payments to QSE </w:t>
                  </w:r>
                  <w:r>
                    <w:rPr>
                      <w:i/>
                      <w:iCs/>
                      <w:sz w:val="20"/>
                    </w:rPr>
                    <w:t>q</w:t>
                  </w:r>
                  <w:r>
                    <w:rPr>
                      <w:iCs/>
                      <w:sz w:val="20"/>
                    </w:rPr>
                    <w:t xml:space="preserve"> as compensation for HDL overrides for this QSE for the 15-minute Settlement Interval </w:t>
                  </w:r>
                  <w:r>
                    <w:rPr>
                      <w:i/>
                      <w:iCs/>
                      <w:sz w:val="20"/>
                    </w:rPr>
                    <w:t>i</w:t>
                  </w:r>
                  <w:r>
                    <w:rPr>
                      <w:iCs/>
                      <w:sz w:val="20"/>
                    </w:rPr>
                    <w:t>.</w:t>
                  </w:r>
                </w:p>
              </w:tc>
            </w:tr>
            <w:tr w:rsidR="00F85B9C" w14:paraId="171587DC"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25A2C722" w14:textId="77777777" w:rsidR="00F85B9C" w:rsidRDefault="00F85B9C" w:rsidP="00F85B9C">
                  <w:pPr>
                    <w:spacing w:after="60"/>
                    <w:rPr>
                      <w:i/>
                      <w:iCs/>
                      <w:sz w:val="20"/>
                    </w:rPr>
                  </w:pPr>
                  <w:r>
                    <w:rPr>
                      <w:i/>
                      <w:iCs/>
                      <w:sz w:val="20"/>
                    </w:rPr>
                    <w:t>q</w:t>
                  </w:r>
                </w:p>
              </w:tc>
              <w:tc>
                <w:tcPr>
                  <w:tcW w:w="474" w:type="pct"/>
                  <w:tcBorders>
                    <w:top w:val="single" w:sz="4" w:space="0" w:color="auto"/>
                    <w:left w:val="single" w:sz="4" w:space="0" w:color="auto"/>
                    <w:bottom w:val="single" w:sz="4" w:space="0" w:color="auto"/>
                    <w:right w:val="single" w:sz="4" w:space="0" w:color="auto"/>
                  </w:tcBorders>
                  <w:hideMark/>
                </w:tcPr>
                <w:p w14:paraId="70BE1BFF"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4844EBC4" w14:textId="77777777" w:rsidR="00F85B9C" w:rsidRDefault="00F85B9C" w:rsidP="00F85B9C">
                  <w:pPr>
                    <w:spacing w:after="60"/>
                    <w:rPr>
                      <w:iCs/>
                      <w:sz w:val="20"/>
                    </w:rPr>
                  </w:pPr>
                  <w:r>
                    <w:rPr>
                      <w:iCs/>
                      <w:sz w:val="20"/>
                    </w:rPr>
                    <w:t>A QSE.</w:t>
                  </w:r>
                </w:p>
              </w:tc>
            </w:tr>
            <w:tr w:rsidR="00F85B9C" w14:paraId="204C24FB"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3009CB9B" w14:textId="77777777" w:rsidR="00F85B9C" w:rsidRDefault="00F85B9C" w:rsidP="00F85B9C">
                  <w:pPr>
                    <w:spacing w:after="60"/>
                    <w:rPr>
                      <w:i/>
                      <w:iCs/>
                      <w:sz w:val="20"/>
                    </w:rPr>
                  </w:pPr>
                  <w:r>
                    <w:rPr>
                      <w:i/>
                      <w:iCs/>
                      <w:sz w:val="20"/>
                    </w:rPr>
                    <w:t>r</w:t>
                  </w:r>
                </w:p>
              </w:tc>
              <w:tc>
                <w:tcPr>
                  <w:tcW w:w="474" w:type="pct"/>
                  <w:tcBorders>
                    <w:top w:val="single" w:sz="4" w:space="0" w:color="auto"/>
                    <w:left w:val="single" w:sz="4" w:space="0" w:color="auto"/>
                    <w:bottom w:val="single" w:sz="4" w:space="0" w:color="auto"/>
                    <w:right w:val="single" w:sz="4" w:space="0" w:color="auto"/>
                  </w:tcBorders>
                  <w:hideMark/>
                </w:tcPr>
                <w:p w14:paraId="02D4B422"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350F2005" w14:textId="37BDBE0C" w:rsidR="00F85B9C" w:rsidRDefault="00F85B9C" w:rsidP="00F85B9C">
                  <w:pPr>
                    <w:spacing w:after="60"/>
                    <w:rPr>
                      <w:iCs/>
                      <w:sz w:val="20"/>
                    </w:rPr>
                  </w:pPr>
                  <w:r>
                    <w:rPr>
                      <w:iCs/>
                      <w:sz w:val="20"/>
                    </w:rPr>
                    <w:t>A Generation Resource</w:t>
                  </w:r>
                  <w:r w:rsidR="008152FC">
                    <w:rPr>
                      <w:iCs/>
                      <w:sz w:val="20"/>
                    </w:rPr>
                    <w:t xml:space="preserve"> or ESR</w:t>
                  </w:r>
                  <w:r>
                    <w:rPr>
                      <w:iCs/>
                      <w:sz w:val="20"/>
                    </w:rPr>
                    <w:t>.</w:t>
                  </w:r>
                </w:p>
              </w:tc>
            </w:tr>
            <w:tr w:rsidR="00F85B9C" w14:paraId="41DDF543"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24336E67" w14:textId="77777777" w:rsidR="00F85B9C" w:rsidRDefault="00F85B9C" w:rsidP="00F85B9C">
                  <w:pPr>
                    <w:spacing w:after="60"/>
                    <w:rPr>
                      <w:i/>
                      <w:iCs/>
                      <w:sz w:val="20"/>
                    </w:rPr>
                  </w:pPr>
                  <w:r>
                    <w:rPr>
                      <w:i/>
                      <w:iCs/>
                      <w:sz w:val="20"/>
                    </w:rPr>
                    <w:t>p</w:t>
                  </w:r>
                </w:p>
              </w:tc>
              <w:tc>
                <w:tcPr>
                  <w:tcW w:w="474" w:type="pct"/>
                  <w:tcBorders>
                    <w:top w:val="single" w:sz="4" w:space="0" w:color="auto"/>
                    <w:left w:val="single" w:sz="4" w:space="0" w:color="auto"/>
                    <w:bottom w:val="single" w:sz="4" w:space="0" w:color="auto"/>
                    <w:right w:val="single" w:sz="4" w:space="0" w:color="auto"/>
                  </w:tcBorders>
                  <w:hideMark/>
                </w:tcPr>
                <w:p w14:paraId="641F2841"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1A58205B" w14:textId="77777777" w:rsidR="00F85B9C" w:rsidRDefault="00F85B9C" w:rsidP="00F85B9C">
                  <w:pPr>
                    <w:spacing w:after="60"/>
                    <w:rPr>
                      <w:iCs/>
                      <w:sz w:val="18"/>
                      <w:szCs w:val="18"/>
                    </w:rPr>
                  </w:pPr>
                  <w:r>
                    <w:rPr>
                      <w:iCs/>
                      <w:sz w:val="20"/>
                    </w:rPr>
                    <w:t>A Resource Node Settlement Point.</w:t>
                  </w:r>
                </w:p>
              </w:tc>
            </w:tr>
            <w:tr w:rsidR="00F85B9C" w14:paraId="31AD6646"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7B16D9A3" w14:textId="77777777" w:rsidR="00F85B9C" w:rsidRDefault="00F85B9C" w:rsidP="00F85B9C">
                  <w:pPr>
                    <w:spacing w:after="60"/>
                    <w:rPr>
                      <w:i/>
                      <w:iCs/>
                      <w:sz w:val="20"/>
                    </w:rPr>
                  </w:pPr>
                  <w:r>
                    <w:rPr>
                      <w:i/>
                      <w:iCs/>
                      <w:sz w:val="20"/>
                    </w:rPr>
                    <w:t>i</w:t>
                  </w:r>
                </w:p>
              </w:tc>
              <w:tc>
                <w:tcPr>
                  <w:tcW w:w="474" w:type="pct"/>
                  <w:tcBorders>
                    <w:top w:val="single" w:sz="4" w:space="0" w:color="auto"/>
                    <w:left w:val="single" w:sz="4" w:space="0" w:color="auto"/>
                    <w:bottom w:val="single" w:sz="4" w:space="0" w:color="auto"/>
                    <w:right w:val="single" w:sz="4" w:space="0" w:color="auto"/>
                  </w:tcBorders>
                  <w:hideMark/>
                </w:tcPr>
                <w:p w14:paraId="36A83B4D"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6EF7C0D4" w14:textId="77777777" w:rsidR="00F85B9C" w:rsidRDefault="00F85B9C" w:rsidP="00F85B9C">
                  <w:pPr>
                    <w:spacing w:after="60"/>
                    <w:rPr>
                      <w:iCs/>
                      <w:sz w:val="20"/>
                    </w:rPr>
                  </w:pPr>
                  <w:r>
                    <w:rPr>
                      <w:iCs/>
                      <w:sz w:val="20"/>
                    </w:rPr>
                    <w:t>A 15-minute Settlement Interval.</w:t>
                  </w:r>
                </w:p>
              </w:tc>
            </w:tr>
            <w:bookmarkEnd w:id="1978"/>
          </w:tbl>
          <w:p w14:paraId="7B6CE1B8" w14:textId="77777777" w:rsidR="00F85B9C" w:rsidRPr="00B50DCB" w:rsidRDefault="00F85B9C" w:rsidP="000D7680">
            <w:pPr>
              <w:spacing w:before="240" w:after="240"/>
              <w:ind w:left="720" w:hanging="720"/>
            </w:pPr>
          </w:p>
        </w:tc>
      </w:tr>
    </w:tbl>
    <w:p w14:paraId="3BC3C208" w14:textId="43C4EF39" w:rsidR="00C57701" w:rsidRDefault="00C57701" w:rsidP="009E68BD">
      <w:pPr>
        <w:pStyle w:val="H4"/>
        <w:spacing w:before="480"/>
      </w:pPr>
      <w:bookmarkStart w:id="1980" w:name="_Toc204411672"/>
      <w:r>
        <w:lastRenderedPageBreak/>
        <w:t>6.6.3.</w:t>
      </w:r>
      <w:r w:rsidR="00720B34">
        <w:t>7</w:t>
      </w:r>
      <w:r>
        <w:tab/>
        <w:t>Real-Time High Dispatch Limit Override Energy Charge</w:t>
      </w:r>
      <w:bookmarkEnd w:id="1967"/>
      <w:bookmarkEnd w:id="1968"/>
      <w:bookmarkEnd w:id="1980"/>
      <w:r>
        <w:t xml:space="preserve"> </w:t>
      </w:r>
    </w:p>
    <w:p w14:paraId="5FF770A4" w14:textId="751A2915" w:rsidR="00C57701" w:rsidRDefault="00C57701" w:rsidP="00C57701">
      <w:pPr>
        <w:pStyle w:val="BodyTextNumbered"/>
      </w:pPr>
      <w:r>
        <w:t xml:space="preserve">(1) </w:t>
      </w:r>
      <w:r>
        <w:tab/>
      </w:r>
      <w:r w:rsidRPr="00785239">
        <w:t xml:space="preserve">ERCOT shall </w:t>
      </w:r>
      <w:r>
        <w:t>allocate to QSEs</w:t>
      </w:r>
      <w:r w:rsidRPr="00810BD7">
        <w:t xml:space="preserve"> on a</w:t>
      </w:r>
      <w:r w:rsidR="00B55F80">
        <w:t>n</w:t>
      </w:r>
      <w:r w:rsidRPr="00810BD7">
        <w:t xml:space="preserve"> LRS</w:t>
      </w:r>
      <w:r>
        <w:t xml:space="preserve"> basis the total amount of the </w:t>
      </w:r>
      <w:r w:rsidRPr="00810BD7">
        <w:t xml:space="preserve">payment </w:t>
      </w:r>
      <w:r w:rsidRPr="00310978">
        <w:t xml:space="preserve">specified in Section </w:t>
      </w:r>
      <w:r w:rsidRPr="003C6F4D">
        <w:t>6.6.3.</w:t>
      </w:r>
      <w:r w:rsidR="00720B34">
        <w:t>6</w:t>
      </w:r>
      <w:r w:rsidRPr="00785239">
        <w:t xml:space="preserve">, </w:t>
      </w:r>
      <w:r w:rsidRPr="003C6F4D">
        <w:t xml:space="preserve">Real-Time </w:t>
      </w:r>
      <w:r>
        <w:t>High Dispatch Limit Override Energy Payment</w:t>
      </w:r>
      <w:r w:rsidRPr="00810BD7">
        <w:t xml:space="preserve">. </w:t>
      </w:r>
      <w:r>
        <w:t xml:space="preserve"> </w:t>
      </w:r>
      <w:r w:rsidRPr="00810BD7">
        <w:t>The charge to each QSE for a given 15-minute Settlement Interval is calculated as follows:</w:t>
      </w:r>
    </w:p>
    <w:p w14:paraId="32A92536" w14:textId="77777777" w:rsidR="00C57701" w:rsidRPr="00F05688" w:rsidRDefault="00C57701" w:rsidP="00C57701">
      <w:pPr>
        <w:pStyle w:val="FormulaBold"/>
      </w:pPr>
      <w:r w:rsidRPr="00577C08">
        <w:t>LA</w:t>
      </w:r>
      <w:r>
        <w:t>HDLO</w:t>
      </w:r>
      <w:r w:rsidRPr="00577C08">
        <w:t>EAMT</w:t>
      </w:r>
      <w:r w:rsidRPr="00F05688">
        <w:rPr>
          <w:i/>
          <w:vertAlign w:val="subscript"/>
          <w:lang w:val="es-ES"/>
        </w:rPr>
        <w:t xml:space="preserve"> q, i </w:t>
      </w:r>
      <w:r w:rsidRPr="00F05688">
        <w:t xml:space="preserve"> </w:t>
      </w:r>
      <w:r>
        <w:t xml:space="preserve">      </w:t>
      </w:r>
      <w:r w:rsidRPr="00F05688">
        <w:t>=</w:t>
      </w:r>
      <w:r w:rsidRPr="00F05688">
        <w:tab/>
        <w:t xml:space="preserve">(-1) * </w:t>
      </w:r>
      <w:r>
        <w:t>HDLO</w:t>
      </w:r>
      <w:r w:rsidRPr="00F05688">
        <w:t xml:space="preserve">EAMTTOT * LRS </w:t>
      </w:r>
      <w:r w:rsidRPr="00F05688">
        <w:rPr>
          <w:i/>
          <w:vertAlign w:val="subscript"/>
          <w:lang w:val="es-ES"/>
        </w:rPr>
        <w:t xml:space="preserve">q, i </w:t>
      </w:r>
      <w:r w:rsidRPr="00F05688">
        <w:t xml:space="preserve"> </w:t>
      </w:r>
    </w:p>
    <w:p w14:paraId="1E055618" w14:textId="77777777" w:rsidR="00C57701" w:rsidRDefault="00C57701" w:rsidP="00C57701">
      <w:pPr>
        <w:pStyle w:val="BodyText"/>
      </w:pPr>
      <w:r>
        <w:t>Where:</w:t>
      </w:r>
    </w:p>
    <w:p w14:paraId="4DC4A984" w14:textId="77777777" w:rsidR="00C57701" w:rsidRDefault="00C57701" w:rsidP="00C57701">
      <w:pPr>
        <w:pStyle w:val="Formula"/>
        <w:ind w:left="2880" w:hanging="2160"/>
        <w:rPr>
          <w:i/>
          <w:vertAlign w:val="subscript"/>
        </w:rPr>
      </w:pPr>
      <w:r>
        <w:t>HDLOEAMTTOT</w:t>
      </w:r>
      <w:r w:rsidRPr="008A163A">
        <w:rPr>
          <w:i/>
          <w:vertAlign w:val="subscript"/>
          <w:lang w:val="es-ES"/>
        </w:rPr>
        <w:t>i</w:t>
      </w:r>
      <w:r>
        <w:t xml:space="preserve"> </w:t>
      </w:r>
      <w:r>
        <w:tab/>
        <w:t>=</w:t>
      </w:r>
      <w:r>
        <w:tab/>
      </w:r>
      <w:r w:rsidRPr="006F784F">
        <w:rPr>
          <w:position w:val="-22"/>
        </w:rPr>
        <w:object w:dxaOrig="220" w:dyaOrig="460" w14:anchorId="43ECF7BD">
          <v:shape id="_x0000_i1164" type="#_x0000_t75" style="width:5.4pt;height:18pt" o:ole="">
            <v:imagedata r:id="rId187" o:title=""/>
          </v:shape>
          <o:OLEObject Type="Embed" ProgID="Equation.3" ShapeID="_x0000_i1164" DrawAspect="Content" ObjectID="_1815025354" r:id="rId188"/>
        </w:object>
      </w:r>
      <w:r w:rsidRPr="00491F90">
        <w:t xml:space="preserve"> </w:t>
      </w:r>
      <w:r>
        <w:t>HDLOE</w:t>
      </w:r>
      <w:r w:rsidRPr="00D22AA0">
        <w:t>AMTQSETOT</w:t>
      </w:r>
      <w:r w:rsidRPr="008A163A">
        <w:rPr>
          <w:i/>
          <w:vertAlign w:val="subscript"/>
          <w:lang w:val="es-ES"/>
        </w:rPr>
        <w:t xml:space="preserve"> q, i</w:t>
      </w:r>
      <w:r>
        <w:rPr>
          <w:b/>
          <w:i/>
          <w:vertAlign w:val="subscript"/>
          <w:lang w:val="es-ES"/>
        </w:rPr>
        <w:t xml:space="preserve"> </w:t>
      </w:r>
      <w:r>
        <w:rPr>
          <w:b/>
        </w:rPr>
        <w:t xml:space="preserve"> </w:t>
      </w:r>
    </w:p>
    <w:p w14:paraId="0CA7FBC8" w14:textId="77777777" w:rsidR="00C57701" w:rsidRDefault="00C57701" w:rsidP="00C57701">
      <w:r>
        <w:t>The above variables are defined as follows:</w:t>
      </w: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737"/>
        <w:gridCol w:w="6425"/>
      </w:tblGrid>
      <w:tr w:rsidR="00C57701" w14:paraId="08C1DC31" w14:textId="77777777" w:rsidTr="00925E7F">
        <w:trPr>
          <w:tblHeader/>
        </w:trPr>
        <w:tc>
          <w:tcPr>
            <w:tcW w:w="2414" w:type="dxa"/>
          </w:tcPr>
          <w:p w14:paraId="2372DE6E" w14:textId="77777777" w:rsidR="00C57701" w:rsidRDefault="00C57701" w:rsidP="00EC4D68">
            <w:pPr>
              <w:pStyle w:val="TableHead"/>
            </w:pPr>
            <w:r>
              <w:t>Variable</w:t>
            </w:r>
          </w:p>
        </w:tc>
        <w:tc>
          <w:tcPr>
            <w:tcW w:w="737" w:type="dxa"/>
          </w:tcPr>
          <w:p w14:paraId="08CBF356" w14:textId="77777777" w:rsidR="00C57701" w:rsidRDefault="00C57701" w:rsidP="00EC4D68">
            <w:pPr>
              <w:pStyle w:val="TableHead"/>
            </w:pPr>
            <w:r>
              <w:t>Unit</w:t>
            </w:r>
          </w:p>
        </w:tc>
        <w:tc>
          <w:tcPr>
            <w:tcW w:w="6425" w:type="dxa"/>
          </w:tcPr>
          <w:p w14:paraId="1342E7C3" w14:textId="77777777" w:rsidR="00C57701" w:rsidRDefault="00C57701" w:rsidP="00EC4D68">
            <w:pPr>
              <w:pStyle w:val="TableHead"/>
            </w:pPr>
            <w:r>
              <w:t>Definition</w:t>
            </w:r>
          </w:p>
        </w:tc>
      </w:tr>
      <w:tr w:rsidR="00C57701" w14:paraId="1DAD5DD0" w14:textId="77777777" w:rsidTr="00925E7F">
        <w:trPr>
          <w:cantSplit/>
        </w:trPr>
        <w:tc>
          <w:tcPr>
            <w:tcW w:w="2414" w:type="dxa"/>
          </w:tcPr>
          <w:p w14:paraId="1028E7B2" w14:textId="77777777" w:rsidR="00C57701" w:rsidRPr="00CE1A4E" w:rsidRDefault="00C57701" w:rsidP="00EC4D68">
            <w:pPr>
              <w:pStyle w:val="TableBody"/>
            </w:pPr>
            <w:r w:rsidRPr="00CE1A4E">
              <w:t xml:space="preserve">LAHDLOPEAMT </w:t>
            </w:r>
            <w:r w:rsidRPr="00CE1A4E">
              <w:rPr>
                <w:i/>
                <w:vertAlign w:val="subscript"/>
              </w:rPr>
              <w:t>q</w:t>
            </w:r>
            <w:r w:rsidRPr="00CE1A4E">
              <w:rPr>
                <w:vertAlign w:val="subscript"/>
              </w:rPr>
              <w:t xml:space="preserve"> </w:t>
            </w:r>
          </w:p>
        </w:tc>
        <w:tc>
          <w:tcPr>
            <w:tcW w:w="737" w:type="dxa"/>
          </w:tcPr>
          <w:p w14:paraId="0C4D4B5E" w14:textId="77777777" w:rsidR="00C57701" w:rsidRPr="00CE1A4E" w:rsidRDefault="00C57701" w:rsidP="00EC4D68">
            <w:pPr>
              <w:pStyle w:val="TableBody"/>
            </w:pPr>
            <w:r w:rsidRPr="00CE1A4E">
              <w:t>$</w:t>
            </w:r>
          </w:p>
        </w:tc>
        <w:tc>
          <w:tcPr>
            <w:tcW w:w="6425" w:type="dxa"/>
          </w:tcPr>
          <w:p w14:paraId="0C51155E" w14:textId="77777777" w:rsidR="00C57701" w:rsidRPr="00CE1A4E" w:rsidRDefault="00C57701" w:rsidP="00EC4D68">
            <w:pPr>
              <w:pStyle w:val="TableBody"/>
            </w:pPr>
            <w:r w:rsidRPr="00CE1A4E">
              <w:rPr>
                <w:i/>
              </w:rPr>
              <w:t>Load-Allocated High Dispatch Limit override energy amount per QSE</w:t>
            </w:r>
            <w:r w:rsidRPr="00CE1A4E">
              <w:t xml:space="preserve">—The charge to QSE </w:t>
            </w:r>
            <w:r w:rsidRPr="00CE1A4E">
              <w:rPr>
                <w:i/>
              </w:rPr>
              <w:t>q</w:t>
            </w:r>
            <w:r w:rsidRPr="00CE1A4E">
              <w:t xml:space="preserve"> for an HDL override, for the 15-minute Settlement Interval.</w:t>
            </w:r>
          </w:p>
        </w:tc>
      </w:tr>
      <w:tr w:rsidR="00C57701" w14:paraId="575EDF39" w14:textId="77777777" w:rsidTr="00925E7F">
        <w:trPr>
          <w:cantSplit/>
        </w:trPr>
        <w:tc>
          <w:tcPr>
            <w:tcW w:w="2414" w:type="dxa"/>
          </w:tcPr>
          <w:p w14:paraId="1EF4C3EA" w14:textId="77777777" w:rsidR="00C57701" w:rsidRPr="00CE1A4E" w:rsidRDefault="00C57701" w:rsidP="00EC4D68">
            <w:pPr>
              <w:pStyle w:val="TableBody"/>
            </w:pPr>
            <w:r w:rsidRPr="00CE1A4E">
              <w:t>HDLOEAMTTOT</w:t>
            </w:r>
            <w:r w:rsidRPr="00CE1A4E">
              <w:rPr>
                <w:i/>
                <w:vertAlign w:val="subscript"/>
                <w:lang w:val="es-ES"/>
              </w:rPr>
              <w:t xml:space="preserve"> i</w:t>
            </w:r>
            <w:r w:rsidRPr="00CE1A4E">
              <w:rPr>
                <w:b/>
                <w:i/>
                <w:vertAlign w:val="subscript"/>
                <w:lang w:val="es-ES"/>
              </w:rPr>
              <w:t xml:space="preserve"> </w:t>
            </w:r>
            <w:r w:rsidRPr="00CE1A4E">
              <w:rPr>
                <w:b/>
              </w:rPr>
              <w:t xml:space="preserve"> </w:t>
            </w:r>
          </w:p>
        </w:tc>
        <w:tc>
          <w:tcPr>
            <w:tcW w:w="737" w:type="dxa"/>
          </w:tcPr>
          <w:p w14:paraId="2F0CA932" w14:textId="77777777" w:rsidR="00C57701" w:rsidRPr="00CE1A4E" w:rsidRDefault="00C57701" w:rsidP="00EC4D68">
            <w:pPr>
              <w:pStyle w:val="TableBody"/>
            </w:pPr>
            <w:r w:rsidRPr="00CE1A4E">
              <w:t>$</w:t>
            </w:r>
          </w:p>
        </w:tc>
        <w:tc>
          <w:tcPr>
            <w:tcW w:w="6425" w:type="dxa"/>
          </w:tcPr>
          <w:p w14:paraId="13C3BE0E" w14:textId="77777777" w:rsidR="00C57701" w:rsidRPr="0041072C" w:rsidRDefault="00C57701" w:rsidP="00EC4D68">
            <w:pPr>
              <w:pStyle w:val="TableBody"/>
              <w:rPr>
                <w:i/>
              </w:rPr>
            </w:pPr>
            <w:r w:rsidRPr="00CE1A4E">
              <w:rPr>
                <w:i/>
              </w:rPr>
              <w:t>High Dispatch Limit energy amount total</w:t>
            </w:r>
            <w:r w:rsidRPr="00CE1A4E">
              <w:t xml:space="preserve">—The total of payments to all QSEs for HDL overrides, for the 15-minute Settlement Interval </w:t>
            </w:r>
            <w:r w:rsidRPr="00CE1A4E">
              <w:rPr>
                <w:i/>
              </w:rPr>
              <w:t>i</w:t>
            </w:r>
            <w:r w:rsidRPr="0041072C">
              <w:t>.</w:t>
            </w:r>
          </w:p>
        </w:tc>
      </w:tr>
      <w:tr w:rsidR="00C57701" w14:paraId="15AA135D" w14:textId="77777777" w:rsidTr="00925E7F">
        <w:trPr>
          <w:cantSplit/>
        </w:trPr>
        <w:tc>
          <w:tcPr>
            <w:tcW w:w="2414" w:type="dxa"/>
          </w:tcPr>
          <w:p w14:paraId="6DA67A20" w14:textId="77777777" w:rsidR="00C57701" w:rsidRPr="00CE1A4E" w:rsidRDefault="00C57701" w:rsidP="00EC4D68">
            <w:pPr>
              <w:pStyle w:val="TableBody"/>
            </w:pPr>
            <w:r w:rsidRPr="00CE1A4E">
              <w:t xml:space="preserve">HDLOEAMTQSETOT </w:t>
            </w:r>
            <w:r w:rsidRPr="00CE1A4E">
              <w:rPr>
                <w:i/>
                <w:vertAlign w:val="subscript"/>
                <w:lang w:val="es-ES"/>
              </w:rPr>
              <w:t>q, i</w:t>
            </w:r>
            <w:r w:rsidRPr="00CE1A4E">
              <w:rPr>
                <w:b/>
                <w:i/>
                <w:vertAlign w:val="subscript"/>
                <w:lang w:val="es-ES"/>
              </w:rPr>
              <w:t xml:space="preserve"> </w:t>
            </w:r>
            <w:r w:rsidRPr="00CE1A4E">
              <w:rPr>
                <w:b/>
              </w:rPr>
              <w:t xml:space="preserve"> </w:t>
            </w:r>
          </w:p>
        </w:tc>
        <w:tc>
          <w:tcPr>
            <w:tcW w:w="737" w:type="dxa"/>
          </w:tcPr>
          <w:p w14:paraId="26A81776" w14:textId="77777777" w:rsidR="00C57701" w:rsidRPr="00CE1A4E" w:rsidRDefault="00C57701" w:rsidP="00EC4D68">
            <w:pPr>
              <w:pStyle w:val="TableBody"/>
            </w:pPr>
            <w:r w:rsidRPr="00CE1A4E">
              <w:t>$</w:t>
            </w:r>
          </w:p>
        </w:tc>
        <w:tc>
          <w:tcPr>
            <w:tcW w:w="6425" w:type="dxa"/>
          </w:tcPr>
          <w:p w14:paraId="1998CAD5" w14:textId="77777777" w:rsidR="00C57701" w:rsidRPr="0041072C" w:rsidRDefault="00C57701" w:rsidP="00EC4D68">
            <w:pPr>
              <w:pStyle w:val="TableBody"/>
              <w:rPr>
                <w:i/>
              </w:rPr>
            </w:pPr>
            <w:r w:rsidRPr="00CE1A4E">
              <w:rPr>
                <w:i/>
              </w:rPr>
              <w:t>High Dispatch Limit override energy amount QSE total per QSE</w:t>
            </w:r>
            <w:r w:rsidRPr="00CE1A4E">
              <w:t xml:space="preserve">—The total of the energy payments to QSE </w:t>
            </w:r>
            <w:r w:rsidRPr="00CE1A4E">
              <w:rPr>
                <w:i/>
              </w:rPr>
              <w:t>q</w:t>
            </w:r>
            <w:r w:rsidRPr="00CE1A4E">
              <w:t xml:space="preserve"> as compensation for an HDL override for this QSE for the 15-minute Settlement Interval </w:t>
            </w:r>
            <w:r w:rsidRPr="0041072C">
              <w:rPr>
                <w:i/>
              </w:rPr>
              <w:t>i</w:t>
            </w:r>
            <w:r w:rsidRPr="0041072C">
              <w:t>.</w:t>
            </w:r>
          </w:p>
        </w:tc>
      </w:tr>
      <w:tr w:rsidR="00C57701" w14:paraId="2C86EAA2" w14:textId="77777777" w:rsidTr="00925E7F">
        <w:trPr>
          <w:cantSplit/>
        </w:trPr>
        <w:tc>
          <w:tcPr>
            <w:tcW w:w="2414" w:type="dxa"/>
          </w:tcPr>
          <w:p w14:paraId="38B5A34A" w14:textId="77777777" w:rsidR="00C57701" w:rsidRPr="00CE1A4E" w:rsidRDefault="00C57701" w:rsidP="00EC4D68">
            <w:pPr>
              <w:pStyle w:val="TableBody"/>
            </w:pPr>
            <w:r w:rsidRPr="00CE1A4E">
              <w:t xml:space="preserve">LRS </w:t>
            </w:r>
            <w:r w:rsidRPr="00CE1A4E">
              <w:rPr>
                <w:i/>
                <w:vertAlign w:val="subscript"/>
                <w:lang w:val="es-ES"/>
              </w:rPr>
              <w:t>q, i</w:t>
            </w:r>
            <w:r w:rsidRPr="00CE1A4E">
              <w:rPr>
                <w:b/>
                <w:i/>
                <w:vertAlign w:val="subscript"/>
                <w:lang w:val="es-ES"/>
              </w:rPr>
              <w:t xml:space="preserve"> </w:t>
            </w:r>
            <w:r w:rsidRPr="00CE1A4E">
              <w:rPr>
                <w:b/>
              </w:rPr>
              <w:t xml:space="preserve"> </w:t>
            </w:r>
          </w:p>
        </w:tc>
        <w:tc>
          <w:tcPr>
            <w:tcW w:w="737" w:type="dxa"/>
          </w:tcPr>
          <w:p w14:paraId="2B4612D2" w14:textId="77777777" w:rsidR="00C57701" w:rsidRPr="00CE1A4E" w:rsidRDefault="00C57701" w:rsidP="00EC4D68">
            <w:pPr>
              <w:pStyle w:val="TableBody"/>
            </w:pPr>
            <w:r w:rsidRPr="00CE1A4E">
              <w:t>none</w:t>
            </w:r>
          </w:p>
        </w:tc>
        <w:tc>
          <w:tcPr>
            <w:tcW w:w="6425" w:type="dxa"/>
          </w:tcPr>
          <w:p w14:paraId="3A4CB9F6" w14:textId="77777777" w:rsidR="00C57701" w:rsidRPr="0041072C" w:rsidRDefault="00C57701" w:rsidP="00EC4D68">
            <w:pPr>
              <w:pStyle w:val="TableBody"/>
            </w:pPr>
            <w:r w:rsidRPr="00CE1A4E">
              <w:rPr>
                <w:i/>
              </w:rPr>
              <w:t>The Load Ratio Share</w:t>
            </w:r>
            <w:r w:rsidRPr="00CE1A4E">
              <w:t xml:space="preserve"> calculated for QSE </w:t>
            </w:r>
            <w:r w:rsidRPr="00CE1A4E">
              <w:rPr>
                <w:i/>
              </w:rPr>
              <w:t>q</w:t>
            </w:r>
            <w:r w:rsidRPr="0041072C">
              <w:t xml:space="preserve"> for the 15-minute Settlement Interval</w:t>
            </w:r>
            <w:r>
              <w:t xml:space="preserve"> </w:t>
            </w:r>
            <w:r>
              <w:rPr>
                <w:i/>
              </w:rPr>
              <w:t>i</w:t>
            </w:r>
            <w:r w:rsidRPr="0041072C">
              <w:t>.  See Section 6.6.2.2, QSE Load Ratio Share for a 15-Minute Settlement Interval.</w:t>
            </w:r>
          </w:p>
        </w:tc>
      </w:tr>
      <w:tr w:rsidR="00C57701" w14:paraId="5172CE38" w14:textId="77777777" w:rsidTr="00925E7F">
        <w:trPr>
          <w:cantSplit/>
        </w:trPr>
        <w:tc>
          <w:tcPr>
            <w:tcW w:w="2414" w:type="dxa"/>
            <w:tcBorders>
              <w:top w:val="single" w:sz="4" w:space="0" w:color="auto"/>
              <w:left w:val="single" w:sz="4" w:space="0" w:color="auto"/>
              <w:bottom w:val="single" w:sz="4" w:space="0" w:color="auto"/>
              <w:right w:val="single" w:sz="4" w:space="0" w:color="auto"/>
            </w:tcBorders>
          </w:tcPr>
          <w:p w14:paraId="4EE421A4" w14:textId="77777777" w:rsidR="00C57701" w:rsidRPr="00CE1A4E" w:rsidRDefault="00C57701" w:rsidP="00EC4D68">
            <w:pPr>
              <w:pStyle w:val="TableBody"/>
              <w:rPr>
                <w:i/>
              </w:rPr>
            </w:pPr>
            <w:r w:rsidRPr="00CE1A4E">
              <w:rPr>
                <w:i/>
              </w:rPr>
              <w:t>q</w:t>
            </w:r>
          </w:p>
        </w:tc>
        <w:tc>
          <w:tcPr>
            <w:tcW w:w="737" w:type="dxa"/>
            <w:tcBorders>
              <w:top w:val="single" w:sz="4" w:space="0" w:color="auto"/>
              <w:left w:val="single" w:sz="4" w:space="0" w:color="auto"/>
              <w:bottom w:val="single" w:sz="4" w:space="0" w:color="auto"/>
              <w:right w:val="single" w:sz="4" w:space="0" w:color="auto"/>
            </w:tcBorders>
          </w:tcPr>
          <w:p w14:paraId="20EB73C9" w14:textId="77777777" w:rsidR="00C57701" w:rsidRPr="00CE1A4E" w:rsidRDefault="00C57701" w:rsidP="00EC4D68">
            <w:pPr>
              <w:pStyle w:val="TableBody"/>
            </w:pPr>
            <w:r w:rsidRPr="00CE1A4E">
              <w:t>none</w:t>
            </w:r>
          </w:p>
        </w:tc>
        <w:tc>
          <w:tcPr>
            <w:tcW w:w="6425" w:type="dxa"/>
            <w:tcBorders>
              <w:top w:val="single" w:sz="4" w:space="0" w:color="auto"/>
              <w:left w:val="single" w:sz="4" w:space="0" w:color="auto"/>
              <w:bottom w:val="single" w:sz="4" w:space="0" w:color="auto"/>
              <w:right w:val="single" w:sz="4" w:space="0" w:color="auto"/>
            </w:tcBorders>
          </w:tcPr>
          <w:p w14:paraId="03C5AC62" w14:textId="77777777" w:rsidR="00C57701" w:rsidRPr="00CE1A4E" w:rsidRDefault="00C57701" w:rsidP="00EC4D68">
            <w:pPr>
              <w:pStyle w:val="TableBody"/>
            </w:pPr>
            <w:r w:rsidRPr="00CE1A4E">
              <w:t>A QSE.</w:t>
            </w:r>
          </w:p>
        </w:tc>
      </w:tr>
      <w:tr w:rsidR="00C57701" w14:paraId="50003014" w14:textId="77777777" w:rsidTr="00925E7F">
        <w:trPr>
          <w:cantSplit/>
        </w:trPr>
        <w:tc>
          <w:tcPr>
            <w:tcW w:w="2414" w:type="dxa"/>
            <w:tcBorders>
              <w:top w:val="single" w:sz="4" w:space="0" w:color="auto"/>
              <w:left w:val="single" w:sz="4" w:space="0" w:color="auto"/>
              <w:bottom w:val="single" w:sz="4" w:space="0" w:color="auto"/>
              <w:right w:val="single" w:sz="4" w:space="0" w:color="auto"/>
            </w:tcBorders>
          </w:tcPr>
          <w:p w14:paraId="3C5E1109" w14:textId="77777777" w:rsidR="00C57701" w:rsidRPr="00CE1A4E" w:rsidRDefault="00C57701" w:rsidP="00EC4D68">
            <w:pPr>
              <w:pStyle w:val="TableBody"/>
            </w:pPr>
            <w:r w:rsidRPr="00CE1A4E">
              <w:rPr>
                <w:i/>
              </w:rPr>
              <w:t>i</w:t>
            </w:r>
          </w:p>
        </w:tc>
        <w:tc>
          <w:tcPr>
            <w:tcW w:w="737" w:type="dxa"/>
            <w:tcBorders>
              <w:top w:val="single" w:sz="4" w:space="0" w:color="auto"/>
              <w:left w:val="single" w:sz="4" w:space="0" w:color="auto"/>
              <w:bottom w:val="single" w:sz="4" w:space="0" w:color="auto"/>
              <w:right w:val="single" w:sz="4" w:space="0" w:color="auto"/>
            </w:tcBorders>
          </w:tcPr>
          <w:p w14:paraId="7FC0662D" w14:textId="77777777" w:rsidR="00C57701" w:rsidRPr="00CE1A4E" w:rsidRDefault="00C57701" w:rsidP="00EC4D68">
            <w:pPr>
              <w:pStyle w:val="TableBody"/>
            </w:pPr>
            <w:r w:rsidRPr="00CE1A4E">
              <w:t>none</w:t>
            </w:r>
          </w:p>
        </w:tc>
        <w:tc>
          <w:tcPr>
            <w:tcW w:w="6425" w:type="dxa"/>
            <w:tcBorders>
              <w:top w:val="single" w:sz="4" w:space="0" w:color="auto"/>
              <w:left w:val="single" w:sz="4" w:space="0" w:color="auto"/>
              <w:bottom w:val="single" w:sz="4" w:space="0" w:color="auto"/>
              <w:right w:val="single" w:sz="4" w:space="0" w:color="auto"/>
            </w:tcBorders>
          </w:tcPr>
          <w:p w14:paraId="131CB95F" w14:textId="77777777" w:rsidR="00C57701" w:rsidRPr="00CE1A4E" w:rsidRDefault="00C57701" w:rsidP="00EC4D68">
            <w:pPr>
              <w:pStyle w:val="TableBody"/>
            </w:pPr>
            <w:r w:rsidRPr="00CE1A4E">
              <w:t>A 15-minute Settlement Interval.</w:t>
            </w:r>
          </w:p>
        </w:tc>
      </w:tr>
    </w:tbl>
    <w:p w14:paraId="23B56615" w14:textId="07A7007F" w:rsidR="00925E7F" w:rsidRPr="00925E7F" w:rsidRDefault="00925E7F" w:rsidP="00925E7F">
      <w:pPr>
        <w:keepNext/>
        <w:widowControl w:val="0"/>
        <w:tabs>
          <w:tab w:val="left" w:pos="1260"/>
        </w:tabs>
        <w:spacing w:before="480" w:after="240"/>
        <w:ind w:left="1260" w:hanging="1260"/>
        <w:outlineLvl w:val="3"/>
        <w:rPr>
          <w:b/>
          <w:bCs/>
          <w:snapToGrid w:val="0"/>
        </w:rPr>
      </w:pPr>
      <w:bookmarkStart w:id="1981" w:name="_Toc204411673"/>
      <w:r w:rsidRPr="00925E7F">
        <w:rPr>
          <w:b/>
          <w:bCs/>
          <w:snapToGrid w:val="0"/>
        </w:rPr>
        <w:t>6.6.3.</w:t>
      </w:r>
      <w:r w:rsidR="00720B34">
        <w:rPr>
          <w:b/>
          <w:bCs/>
          <w:snapToGrid w:val="0"/>
        </w:rPr>
        <w:t>8</w:t>
      </w:r>
      <w:r w:rsidRPr="00925E7F">
        <w:rPr>
          <w:b/>
          <w:bCs/>
          <w:snapToGrid w:val="0"/>
        </w:rPr>
        <w:tab/>
        <w:t>Real-Time Payment or Charge for Energy from a Settlement Only Distribution Generator (SODG) or a Settlement Only Transmission Generator (SOTG)</w:t>
      </w:r>
      <w:bookmarkEnd w:id="1981"/>
      <w:r w:rsidRPr="00925E7F">
        <w:rPr>
          <w:b/>
          <w:bCs/>
          <w:snapToGrid w:val="0"/>
        </w:rPr>
        <w:t xml:space="preserve"> </w:t>
      </w:r>
    </w:p>
    <w:p w14:paraId="0A67FC26" w14:textId="4FCE0B4D" w:rsidR="00925E7F" w:rsidRDefault="00925E7F" w:rsidP="00925E7F">
      <w:pPr>
        <w:widowControl w:val="0"/>
        <w:spacing w:after="240"/>
        <w:ind w:left="720" w:hanging="720"/>
      </w:pPr>
      <w:r w:rsidRPr="00925E7F">
        <w:t>(1)</w:t>
      </w:r>
      <w:r w:rsidRPr="00925E7F">
        <w:tab/>
      </w:r>
      <w:r>
        <w:t>T</w:t>
      </w:r>
      <w:r w:rsidRPr="00925E7F">
        <w:t>he payment or charge to each QSE for energy from an SODG or an SOTG shall be based on an identified nodal energy price, RTESOGPR, as described in this subsectio</w:t>
      </w:r>
      <w:r>
        <w:t>n, with the following exceptions:</w:t>
      </w:r>
    </w:p>
    <w:p w14:paraId="5240EAFC" w14:textId="77777777" w:rsidR="00925E7F" w:rsidRDefault="00925E7F" w:rsidP="00925E7F">
      <w:pPr>
        <w:pStyle w:val="List"/>
      </w:pPr>
      <w:r>
        <w:t>(a)</w:t>
      </w:r>
      <w:r>
        <w:tab/>
        <w:t xml:space="preserve">An SODG or SOTG that has opted out of nodal pricing as described in paragraph (5) below; or </w:t>
      </w:r>
    </w:p>
    <w:p w14:paraId="0119F3EC" w14:textId="42F8738B" w:rsidR="00925E7F" w:rsidRPr="00925E7F" w:rsidRDefault="00925E7F" w:rsidP="00925E7F">
      <w:pPr>
        <w:pStyle w:val="List"/>
      </w:pPr>
      <w:r>
        <w:t>(b)</w:t>
      </w:r>
      <w:r>
        <w:tab/>
        <w:t>Any site with one or mo</w:t>
      </w:r>
      <w:r w:rsidRPr="004A184C">
        <w:t>re ESS SODGs or SOTGs where the ESS capacity constitutes more than 50% of the site’s total SOG nameplate capacity.</w:t>
      </w:r>
    </w:p>
    <w:p w14:paraId="5BAF525D" w14:textId="07F1320B" w:rsidR="00925E7F" w:rsidRPr="00925E7F" w:rsidRDefault="00925E7F" w:rsidP="00925E7F">
      <w:pPr>
        <w:widowControl w:val="0"/>
        <w:spacing w:after="240"/>
        <w:ind w:left="720" w:hanging="720"/>
      </w:pPr>
      <w:r w:rsidRPr="00925E7F">
        <w:t>(2)</w:t>
      </w:r>
      <w:r w:rsidRPr="00925E7F">
        <w:tab/>
        <w:t xml:space="preserve">For an SODG, the price used as the basis for the 15-minute Real-Time price calculation is the time-weighted price at the Electrical Bus associated with this mapped Load in the Network Operations Model.  For an SOTG, the price used as the basis for the 15-minute Real-Time price calculation is the time-weighted price at the Electrical Bus as determined by ERCOT in review of the meter location of the SOTG in the Network Operations </w:t>
      </w:r>
      <w:r w:rsidRPr="00925E7F">
        <w:lastRenderedPageBreak/>
        <w:t>Model.  SODG and SOTG sites will be represented as a single unit in the ERCOT Settlement system.</w:t>
      </w:r>
    </w:p>
    <w:p w14:paraId="6FF7AB60" w14:textId="77777777" w:rsidR="00925E7F" w:rsidRPr="00925E7F" w:rsidRDefault="00925E7F" w:rsidP="00925E7F">
      <w:pPr>
        <w:widowControl w:val="0"/>
        <w:spacing w:after="240"/>
        <w:ind w:left="720" w:hanging="720"/>
      </w:pPr>
      <w:r w:rsidRPr="00925E7F">
        <w:t>(3)</w:t>
      </w:r>
      <w:r w:rsidRPr="00925E7F">
        <w:tab/>
        <w:t>For an SODG or an SOTG, the total payment or charge for each 15-minute Settlement Interval shall be calculated as follows:</w:t>
      </w:r>
    </w:p>
    <w:p w14:paraId="2CE62C1E" w14:textId="77777777" w:rsidR="00925E7F" w:rsidRPr="00DA2165" w:rsidRDefault="00925E7F" w:rsidP="00925E7F">
      <w:pPr>
        <w:pStyle w:val="FormulaBold"/>
      </w:pPr>
      <w:r w:rsidRPr="00DA2165">
        <w:t>MEBSOGNET</w:t>
      </w:r>
      <w:r w:rsidRPr="00DA2165">
        <w:rPr>
          <w:i/>
          <w:sz w:val="28"/>
          <w:szCs w:val="28"/>
          <w:vertAlign w:val="subscript"/>
        </w:rPr>
        <w:t xml:space="preserve"> q,</w:t>
      </w:r>
      <w:r w:rsidRPr="00DA2165">
        <w:t xml:space="preserve"> </w:t>
      </w:r>
      <w:r w:rsidRPr="00DA2165">
        <w:rPr>
          <w:i/>
          <w:sz w:val="28"/>
          <w:szCs w:val="28"/>
          <w:vertAlign w:val="subscript"/>
        </w:rPr>
        <w:t>gsc</w:t>
      </w:r>
      <w:r w:rsidRPr="00DA2165">
        <w:t xml:space="preserve"> =   Max(0, </w:t>
      </w:r>
      <w:r w:rsidRPr="00DA2165">
        <w:rPr>
          <w:position w:val="-20"/>
        </w:rPr>
        <w:object w:dxaOrig="225" w:dyaOrig="435" w14:anchorId="50FD9FBE">
          <v:shape id="_x0000_i1165" type="#_x0000_t75" style="width:12pt;height:24pt" o:ole="">
            <v:imagedata r:id="rId189" o:title=""/>
          </v:shape>
          <o:OLEObject Type="Embed" ProgID="Equation.3" ShapeID="_x0000_i1165" DrawAspect="Content" ObjectID="_1815025355" r:id="rId190"/>
        </w:object>
      </w:r>
      <w:r w:rsidRPr="00DA2165">
        <w:t>MEBSOG</w:t>
      </w:r>
      <w:r w:rsidRPr="00DA2165">
        <w:rPr>
          <w:i/>
          <w:vertAlign w:val="subscript"/>
        </w:rPr>
        <w:t xml:space="preserve"> q, gsc, b</w:t>
      </w:r>
      <w:r w:rsidRPr="00DA2165">
        <w:t>)</w:t>
      </w:r>
    </w:p>
    <w:p w14:paraId="15374A8D" w14:textId="77777777" w:rsidR="00925E7F" w:rsidRPr="00DA2165" w:rsidRDefault="00925E7F" w:rsidP="00925E7F">
      <w:pPr>
        <w:pStyle w:val="BodyTextNumbered"/>
        <w:widowControl w:val="0"/>
        <w:ind w:firstLine="0"/>
      </w:pPr>
      <w:r w:rsidRPr="00DA2165">
        <w:t>If MEBSOGNET</w:t>
      </w:r>
      <w:r w:rsidRPr="00DA2165">
        <w:rPr>
          <w:i/>
          <w:sz w:val="28"/>
          <w:szCs w:val="28"/>
          <w:vertAlign w:val="subscript"/>
        </w:rPr>
        <w:t xml:space="preserve"> </w:t>
      </w:r>
      <w:r w:rsidRPr="00DA2165">
        <w:rPr>
          <w:i/>
          <w:vertAlign w:val="subscript"/>
        </w:rPr>
        <w:t>q, gsc</w:t>
      </w:r>
      <w:r w:rsidRPr="00DA2165">
        <w:t xml:space="preserve"> = 0 for a 15-minute Settlement Interval, then</w:t>
      </w:r>
    </w:p>
    <w:p w14:paraId="0533B9ED" w14:textId="77777777" w:rsidR="00925E7F" w:rsidRPr="00DA2165" w:rsidRDefault="00925E7F" w:rsidP="00925E7F">
      <w:pPr>
        <w:pStyle w:val="BodyTextNumbered"/>
        <w:widowControl w:val="0"/>
        <w:ind w:firstLine="0"/>
      </w:pPr>
      <w:r w:rsidRPr="00DA2165">
        <w:t>The Load is included in the Real-Time AML per QSE and is included in the Real-Time energy imbalance payment or charge at a Load Zone.</w:t>
      </w:r>
    </w:p>
    <w:p w14:paraId="2C705D24" w14:textId="77777777" w:rsidR="00925E7F" w:rsidRPr="00DA2165" w:rsidRDefault="00925E7F" w:rsidP="00925E7F">
      <w:pPr>
        <w:pStyle w:val="FormulaBold"/>
      </w:pPr>
      <w:r w:rsidRPr="00DA2165">
        <w:rPr>
          <w:b w:val="0"/>
          <w:bCs w:val="0"/>
          <w:szCs w:val="20"/>
        </w:rPr>
        <w:t>Otherwise, when MEBSOGNET</w:t>
      </w:r>
      <w:r w:rsidRPr="00DA2165">
        <w:rPr>
          <w:i/>
          <w:vertAlign w:val="subscript"/>
        </w:rPr>
        <w:t xml:space="preserve"> q, gsc</w:t>
      </w:r>
      <w:r w:rsidRPr="00DA2165">
        <w:rPr>
          <w:b w:val="0"/>
        </w:rPr>
        <w:t xml:space="preserve"> &gt; 0 for a 15-minute Settlement Interval, then</w:t>
      </w:r>
    </w:p>
    <w:p w14:paraId="0B767545" w14:textId="2531038C" w:rsidR="00925E7F" w:rsidRPr="00925E7F" w:rsidRDefault="00925E7F" w:rsidP="00925E7F">
      <w:pPr>
        <w:tabs>
          <w:tab w:val="left" w:pos="2250"/>
          <w:tab w:val="left" w:pos="3150"/>
          <w:tab w:val="left" w:pos="3960"/>
        </w:tabs>
        <w:spacing w:after="240"/>
        <w:ind w:left="3960" w:hanging="3240"/>
        <w:rPr>
          <w:b/>
          <w:bCs/>
          <w:iCs/>
        </w:rPr>
      </w:pPr>
      <w:r w:rsidRPr="00925E7F">
        <w:rPr>
          <w:b/>
          <w:bCs/>
          <w:szCs w:val="24"/>
        </w:rPr>
        <w:t xml:space="preserve">RTESOGSAMT </w:t>
      </w:r>
      <w:r w:rsidRPr="00925E7F">
        <w:rPr>
          <w:b/>
          <w:bCs/>
          <w:i/>
          <w:sz w:val="28"/>
          <w:szCs w:val="28"/>
          <w:vertAlign w:val="subscript"/>
        </w:rPr>
        <w:t>q,</w:t>
      </w:r>
      <w:r w:rsidRPr="00925E7F">
        <w:rPr>
          <w:b/>
          <w:bCs/>
          <w:szCs w:val="24"/>
        </w:rPr>
        <w:t xml:space="preserve"> </w:t>
      </w:r>
      <w:r w:rsidRPr="00925E7F">
        <w:rPr>
          <w:b/>
          <w:bCs/>
          <w:i/>
          <w:sz w:val="28"/>
          <w:szCs w:val="28"/>
          <w:vertAlign w:val="subscript"/>
        </w:rPr>
        <w:t>gsc</w:t>
      </w:r>
      <w:r w:rsidRPr="00925E7F">
        <w:rPr>
          <w:b/>
          <w:bCs/>
          <w:szCs w:val="24"/>
        </w:rPr>
        <w:tab/>
        <w:t>=</w:t>
      </w:r>
      <w:r w:rsidRPr="00925E7F">
        <w:rPr>
          <w:b/>
          <w:bCs/>
          <w:szCs w:val="24"/>
        </w:rPr>
        <w:tab/>
        <w:t>(-1) * [</w:t>
      </w:r>
      <w:r w:rsidRPr="00925E7F">
        <w:rPr>
          <w:b/>
          <w:bCs/>
          <w:position w:val="-20"/>
          <w:szCs w:val="24"/>
        </w:rPr>
        <w:object w:dxaOrig="225" w:dyaOrig="435" w14:anchorId="1E10A868">
          <v:shape id="_x0000_i1166" type="#_x0000_t75" style="width:12pt;height:30pt" o:ole="">
            <v:imagedata r:id="rId189" o:title=""/>
          </v:shape>
          <o:OLEObject Type="Embed" ProgID="Equation.3" ShapeID="_x0000_i1166" DrawAspect="Content" ObjectID="_1815025356" r:id="rId191"/>
        </w:object>
      </w:r>
      <w:r w:rsidRPr="00925E7F">
        <w:rPr>
          <w:b/>
          <w:bCs/>
          <w:szCs w:val="24"/>
        </w:rPr>
        <w:t xml:space="preserve">( RTESOGPR </w:t>
      </w:r>
      <w:r w:rsidRPr="00925E7F">
        <w:rPr>
          <w:b/>
          <w:bCs/>
          <w:i/>
          <w:szCs w:val="24"/>
          <w:vertAlign w:val="subscript"/>
        </w:rPr>
        <w:t xml:space="preserve">b </w:t>
      </w:r>
      <w:r w:rsidRPr="00925E7F">
        <w:rPr>
          <w:b/>
          <w:bCs/>
          <w:szCs w:val="24"/>
        </w:rPr>
        <w:t xml:space="preserve">* </w:t>
      </w:r>
      <w:r>
        <w:rPr>
          <w:b/>
          <w:bCs/>
          <w:szCs w:val="24"/>
        </w:rPr>
        <w:t>MEB</w:t>
      </w:r>
      <w:r w:rsidRPr="00925E7F">
        <w:rPr>
          <w:b/>
          <w:bCs/>
          <w:szCs w:val="24"/>
        </w:rPr>
        <w:t xml:space="preserve">SOG </w:t>
      </w:r>
      <w:r w:rsidRPr="00925E7F">
        <w:rPr>
          <w:b/>
          <w:bCs/>
          <w:i/>
          <w:szCs w:val="24"/>
          <w:vertAlign w:val="subscript"/>
        </w:rPr>
        <w:t>q, gsc, b</w:t>
      </w:r>
      <w:r w:rsidRPr="00925E7F">
        <w:rPr>
          <w:b/>
          <w:bCs/>
          <w:szCs w:val="24"/>
        </w:rPr>
        <w:t xml:space="preserve">)] </w:t>
      </w:r>
    </w:p>
    <w:p w14:paraId="5A7D810D" w14:textId="77777777" w:rsidR="00925E7F" w:rsidRPr="00CE3A65" w:rsidRDefault="00925E7F" w:rsidP="00925E7F">
      <w:pPr>
        <w:tabs>
          <w:tab w:val="left" w:pos="2250"/>
          <w:tab w:val="left" w:pos="3150"/>
          <w:tab w:val="left" w:pos="3960"/>
        </w:tabs>
        <w:spacing w:after="240"/>
        <w:ind w:left="3960" w:hanging="3240"/>
        <w:rPr>
          <w:iCs/>
          <w:szCs w:val="24"/>
        </w:rPr>
      </w:pPr>
      <w:r w:rsidRPr="00CE3A65">
        <w:rPr>
          <w:iCs/>
        </w:rPr>
        <w:t>Where</w:t>
      </w:r>
      <w:r w:rsidRPr="00CE3A65">
        <w:t xml:space="preserve"> the price for the SOTG or SODG is determined as follows:</w:t>
      </w:r>
    </w:p>
    <w:p w14:paraId="1BCCB747" w14:textId="77777777" w:rsidR="00925E7F" w:rsidRPr="00925E7F" w:rsidRDefault="00925E7F" w:rsidP="00925E7F">
      <w:pPr>
        <w:tabs>
          <w:tab w:val="left" w:pos="2250"/>
          <w:tab w:val="left" w:pos="3150"/>
          <w:tab w:val="left" w:pos="3960"/>
        </w:tabs>
        <w:spacing w:after="240"/>
        <w:ind w:left="3960" w:hanging="3240"/>
        <w:rPr>
          <w:b/>
          <w:bCs/>
          <w:szCs w:val="24"/>
        </w:rPr>
      </w:pPr>
      <w:r w:rsidRPr="00925E7F">
        <w:rPr>
          <w:b/>
          <w:bCs/>
          <w:szCs w:val="24"/>
        </w:rPr>
        <w:t>RTESOGPR</w:t>
      </w:r>
      <w:r w:rsidRPr="00925E7F">
        <w:rPr>
          <w:b/>
          <w:bCs/>
          <w:i/>
          <w:iCs/>
          <w:szCs w:val="24"/>
          <w:vertAlign w:val="subscript"/>
        </w:rPr>
        <w:t xml:space="preserve"> b</w:t>
      </w:r>
      <w:r w:rsidRPr="00925E7F">
        <w:rPr>
          <w:b/>
          <w:bCs/>
          <w:szCs w:val="24"/>
        </w:rPr>
        <w:t xml:space="preserve"> </w:t>
      </w:r>
      <w:r w:rsidRPr="00925E7F">
        <w:rPr>
          <w:b/>
          <w:bCs/>
          <w:szCs w:val="24"/>
        </w:rPr>
        <w:tab/>
        <w:t>=</w:t>
      </w:r>
      <w:r w:rsidRPr="00925E7F">
        <w:rPr>
          <w:b/>
          <w:bCs/>
          <w:szCs w:val="24"/>
        </w:rPr>
        <w:tab/>
        <w:t xml:space="preserve">Max [-$251, </w:t>
      </w:r>
      <w:r w:rsidRPr="00925E7F">
        <w:rPr>
          <w:b/>
          <w:bCs/>
          <w:position w:val="-22"/>
          <w:szCs w:val="24"/>
        </w:rPr>
        <w:object w:dxaOrig="225" w:dyaOrig="465" w14:anchorId="00195C93">
          <v:shape id="_x0000_i1167" type="#_x0000_t75" style="width:12pt;height:30pt" o:ole="">
            <v:imagedata r:id="rId192" o:title=""/>
          </v:shape>
          <o:OLEObject Type="Embed" ProgID="Equation.3" ShapeID="_x0000_i1167" DrawAspect="Content" ObjectID="_1815025357" r:id="rId193"/>
        </w:object>
      </w:r>
      <w:r w:rsidRPr="00925E7F">
        <w:rPr>
          <w:b/>
          <w:bCs/>
          <w:szCs w:val="24"/>
        </w:rPr>
        <w:t>((SDWF</w:t>
      </w:r>
      <w:r w:rsidRPr="00925E7F">
        <w:rPr>
          <w:b/>
          <w:bCs/>
          <w:i/>
          <w:iCs/>
          <w:szCs w:val="24"/>
          <w:vertAlign w:val="subscript"/>
        </w:rPr>
        <w:t xml:space="preserve"> y </w:t>
      </w:r>
      <w:r w:rsidRPr="00925E7F">
        <w:rPr>
          <w:b/>
          <w:bCs/>
          <w:szCs w:val="24"/>
        </w:rPr>
        <w:t xml:space="preserve">* RTLMP </w:t>
      </w:r>
      <w:r w:rsidRPr="00925E7F">
        <w:rPr>
          <w:b/>
          <w:bCs/>
          <w:i/>
          <w:iCs/>
          <w:szCs w:val="24"/>
          <w:vertAlign w:val="subscript"/>
        </w:rPr>
        <w:t>b, y</w:t>
      </w:r>
      <w:r w:rsidRPr="00925E7F">
        <w:rPr>
          <w:b/>
          <w:bCs/>
          <w:szCs w:val="24"/>
        </w:rPr>
        <w:t>) + RTRSVPOR + RTRDP)]</w:t>
      </w:r>
    </w:p>
    <w:p w14:paraId="179FD352" w14:textId="77777777" w:rsidR="00925E7F" w:rsidRPr="00925E7F" w:rsidRDefault="00925E7F" w:rsidP="00925E7F">
      <w:pPr>
        <w:widowControl w:val="0"/>
        <w:spacing w:after="240" w:line="240" w:lineRule="exact"/>
        <w:ind w:firstLine="720"/>
        <w:rPr>
          <w:rFonts w:ascii="Verdana" w:hAnsi="Verdana"/>
          <w:sz w:val="16"/>
          <w:szCs w:val="24"/>
        </w:rPr>
      </w:pPr>
      <w:r w:rsidRPr="00925E7F">
        <w:rPr>
          <w:szCs w:val="24"/>
        </w:rPr>
        <w:t>Where:</w:t>
      </w:r>
    </w:p>
    <w:p w14:paraId="697AB0ED" w14:textId="77777777" w:rsidR="00925E7F" w:rsidRPr="00925E7F" w:rsidRDefault="00925E7F" w:rsidP="00925E7F">
      <w:pPr>
        <w:spacing w:after="240"/>
        <w:ind w:left="720"/>
      </w:pPr>
      <w:r w:rsidRPr="00925E7F">
        <w:tab/>
        <w:t>RTRSVPOR</w:t>
      </w:r>
      <w:r w:rsidRPr="00925E7F">
        <w:tab/>
        <w:t>=</w:t>
      </w:r>
      <w:r w:rsidRPr="00925E7F">
        <w:tab/>
      </w:r>
      <w:r w:rsidRPr="00925E7F">
        <w:rPr>
          <w:position w:val="-22"/>
        </w:rPr>
        <w:object w:dxaOrig="225" w:dyaOrig="465" w14:anchorId="68012F1E">
          <v:shape id="_x0000_i1168" type="#_x0000_t75" style="width:12pt;height:30pt" o:ole="">
            <v:imagedata r:id="rId192" o:title=""/>
          </v:shape>
          <o:OLEObject Type="Embed" ProgID="Equation.3" ShapeID="_x0000_i1168" DrawAspect="Content" ObjectID="_1815025358" r:id="rId194"/>
        </w:object>
      </w:r>
      <w:r w:rsidRPr="00925E7F">
        <w:t>(SDWF</w:t>
      </w:r>
      <w:r w:rsidRPr="00925E7F">
        <w:rPr>
          <w:i/>
          <w:iCs/>
          <w:vertAlign w:val="subscript"/>
        </w:rPr>
        <w:t xml:space="preserve"> y </w:t>
      </w:r>
      <w:r w:rsidRPr="00925E7F">
        <w:t>* RTORPA</w:t>
      </w:r>
      <w:r w:rsidRPr="00925E7F">
        <w:rPr>
          <w:i/>
          <w:iCs/>
          <w:vertAlign w:val="subscript"/>
        </w:rPr>
        <w:t xml:space="preserve"> y</w:t>
      </w:r>
      <w:r w:rsidRPr="00925E7F">
        <w:t>)</w:t>
      </w:r>
    </w:p>
    <w:p w14:paraId="22E26085" w14:textId="77777777" w:rsidR="00925E7F" w:rsidRPr="00925E7F" w:rsidRDefault="00925E7F" w:rsidP="00925E7F">
      <w:pPr>
        <w:spacing w:after="240"/>
        <w:ind w:left="1440"/>
      </w:pPr>
      <w:r w:rsidRPr="00925E7F">
        <w:t>RTRDP</w:t>
      </w:r>
      <w:r w:rsidRPr="00925E7F">
        <w:tab/>
        <w:t>=</w:t>
      </w:r>
      <w:r w:rsidRPr="00925E7F">
        <w:tab/>
      </w:r>
      <w:r w:rsidRPr="00925E7F">
        <w:rPr>
          <w:position w:val="-22"/>
        </w:rPr>
        <w:object w:dxaOrig="225" w:dyaOrig="465" w14:anchorId="10798930">
          <v:shape id="_x0000_i1169" type="#_x0000_t75" style="width:12pt;height:30pt" o:ole="">
            <v:imagedata r:id="rId192" o:title=""/>
          </v:shape>
          <o:OLEObject Type="Embed" ProgID="Equation.3" ShapeID="_x0000_i1169" DrawAspect="Content" ObjectID="_1815025359" r:id="rId195"/>
        </w:object>
      </w:r>
      <w:r w:rsidRPr="00925E7F">
        <w:t>(SDWF</w:t>
      </w:r>
      <w:r w:rsidRPr="00925E7F">
        <w:rPr>
          <w:i/>
          <w:iCs/>
          <w:vertAlign w:val="subscript"/>
        </w:rPr>
        <w:t xml:space="preserve"> y </w:t>
      </w:r>
      <w:r w:rsidRPr="00925E7F">
        <w:t>* RTORDPA</w:t>
      </w:r>
      <w:r w:rsidRPr="00925E7F">
        <w:rPr>
          <w:i/>
          <w:iCs/>
          <w:vertAlign w:val="subscript"/>
        </w:rPr>
        <w:t xml:space="preserve"> y</w:t>
      </w:r>
      <w:r w:rsidRPr="00925E7F">
        <w:t>)</w:t>
      </w:r>
    </w:p>
    <w:p w14:paraId="619DA1C9" w14:textId="77777777" w:rsidR="00925E7F" w:rsidRPr="00925E7F" w:rsidRDefault="00925E7F" w:rsidP="00925E7F">
      <w:pPr>
        <w:widowControl w:val="0"/>
        <w:spacing w:after="240"/>
        <w:ind w:left="720"/>
        <w:rPr>
          <w:szCs w:val="24"/>
          <w:lang w:val="es-ES"/>
        </w:rPr>
      </w:pPr>
      <w:r w:rsidRPr="00925E7F">
        <w:rPr>
          <w:szCs w:val="24"/>
        </w:rPr>
        <w:tab/>
        <w:t xml:space="preserve">SDWF </w:t>
      </w:r>
      <w:r w:rsidRPr="00925E7F">
        <w:rPr>
          <w:i/>
          <w:szCs w:val="24"/>
          <w:vertAlign w:val="subscript"/>
        </w:rPr>
        <w:t>y</w:t>
      </w:r>
      <w:r w:rsidRPr="00925E7F">
        <w:rPr>
          <w:i/>
          <w:szCs w:val="24"/>
          <w:vertAlign w:val="subscript"/>
        </w:rPr>
        <w:tab/>
      </w:r>
      <w:r w:rsidRPr="00925E7F">
        <w:rPr>
          <w:szCs w:val="24"/>
        </w:rPr>
        <w:t>=</w:t>
      </w:r>
      <w:r w:rsidRPr="00925E7F">
        <w:rPr>
          <w:szCs w:val="24"/>
        </w:rPr>
        <w:tab/>
        <w:t xml:space="preserve">TLMP </w:t>
      </w:r>
      <w:r w:rsidRPr="00925E7F">
        <w:rPr>
          <w:i/>
          <w:szCs w:val="24"/>
          <w:vertAlign w:val="subscript"/>
        </w:rPr>
        <w:t>y</w:t>
      </w:r>
      <w:r w:rsidRPr="00925E7F">
        <w:rPr>
          <w:szCs w:val="24"/>
        </w:rPr>
        <w:t xml:space="preserve"> </w:t>
      </w:r>
      <w:r w:rsidRPr="00925E7F">
        <w:rPr>
          <w:color w:val="000000"/>
          <w:sz w:val="32"/>
          <w:szCs w:val="32"/>
        </w:rPr>
        <w:t>/</w:t>
      </w:r>
      <w:r w:rsidRPr="00925E7F">
        <w:rPr>
          <w:color w:val="000000"/>
          <w:szCs w:val="24"/>
        </w:rPr>
        <w:t xml:space="preserve"> </w:t>
      </w:r>
      <w:r w:rsidRPr="00925E7F">
        <w:rPr>
          <w:position w:val="-22"/>
          <w:szCs w:val="24"/>
        </w:rPr>
        <w:object w:dxaOrig="225" w:dyaOrig="465" w14:anchorId="2190BE25">
          <v:shape id="_x0000_i1170" type="#_x0000_t75" style="width:12pt;height:30pt" o:ole="">
            <v:imagedata r:id="rId192" o:title=""/>
          </v:shape>
          <o:OLEObject Type="Embed" ProgID="Equation.3" ShapeID="_x0000_i1170" DrawAspect="Content" ObjectID="_1815025360" r:id="rId196"/>
        </w:object>
      </w:r>
      <w:r w:rsidRPr="00925E7F">
        <w:rPr>
          <w:szCs w:val="24"/>
        </w:rPr>
        <w:t xml:space="preserve">TLMP </w:t>
      </w:r>
      <w:r w:rsidRPr="00925E7F">
        <w:rPr>
          <w:i/>
          <w:szCs w:val="24"/>
          <w:vertAlign w:val="subscript"/>
        </w:rPr>
        <w:t>y</w:t>
      </w:r>
    </w:p>
    <w:p w14:paraId="77548331" w14:textId="77777777" w:rsidR="00925E7F" w:rsidRPr="00925E7F" w:rsidRDefault="00925E7F" w:rsidP="00925E7F">
      <w:pPr>
        <w:widowControl w:val="0"/>
      </w:pPr>
      <w:r w:rsidRPr="00925E7F">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925E7F" w:rsidRPr="00925E7F" w14:paraId="6D09D95F" w14:textId="77777777" w:rsidTr="00CB43C2">
        <w:trPr>
          <w:cantSplit/>
          <w:tblHeader/>
        </w:trPr>
        <w:tc>
          <w:tcPr>
            <w:tcW w:w="1145" w:type="pct"/>
          </w:tcPr>
          <w:p w14:paraId="0039F394" w14:textId="77777777" w:rsidR="00925E7F" w:rsidRPr="00925E7F" w:rsidRDefault="00925E7F" w:rsidP="00925E7F">
            <w:pPr>
              <w:widowControl w:val="0"/>
              <w:spacing w:after="120"/>
              <w:rPr>
                <w:b/>
                <w:iCs/>
                <w:sz w:val="20"/>
              </w:rPr>
            </w:pPr>
            <w:r w:rsidRPr="00925E7F">
              <w:rPr>
                <w:b/>
                <w:iCs/>
                <w:sz w:val="20"/>
              </w:rPr>
              <w:t>Variable</w:t>
            </w:r>
          </w:p>
        </w:tc>
        <w:tc>
          <w:tcPr>
            <w:tcW w:w="675" w:type="pct"/>
          </w:tcPr>
          <w:p w14:paraId="4A422325" w14:textId="77777777" w:rsidR="00925E7F" w:rsidRPr="00925E7F" w:rsidRDefault="00925E7F" w:rsidP="00925E7F">
            <w:pPr>
              <w:widowControl w:val="0"/>
              <w:spacing w:after="120"/>
              <w:rPr>
                <w:b/>
                <w:iCs/>
                <w:sz w:val="20"/>
              </w:rPr>
            </w:pPr>
            <w:r w:rsidRPr="00925E7F">
              <w:rPr>
                <w:b/>
                <w:iCs/>
                <w:sz w:val="20"/>
              </w:rPr>
              <w:t>Unit</w:t>
            </w:r>
          </w:p>
        </w:tc>
        <w:tc>
          <w:tcPr>
            <w:tcW w:w="3180" w:type="pct"/>
          </w:tcPr>
          <w:p w14:paraId="664B2CFD" w14:textId="77777777" w:rsidR="00925E7F" w:rsidRPr="00925E7F" w:rsidRDefault="00925E7F" w:rsidP="00925E7F">
            <w:pPr>
              <w:widowControl w:val="0"/>
              <w:spacing w:after="120"/>
              <w:rPr>
                <w:b/>
                <w:iCs/>
                <w:sz w:val="20"/>
              </w:rPr>
            </w:pPr>
            <w:r w:rsidRPr="00925E7F">
              <w:rPr>
                <w:b/>
                <w:iCs/>
                <w:sz w:val="20"/>
              </w:rPr>
              <w:t>Description</w:t>
            </w:r>
          </w:p>
        </w:tc>
      </w:tr>
      <w:tr w:rsidR="00925E7F" w:rsidRPr="00925E7F" w14:paraId="444FD2A5" w14:textId="77777777" w:rsidTr="00CB43C2">
        <w:trPr>
          <w:cantSplit/>
        </w:trPr>
        <w:tc>
          <w:tcPr>
            <w:tcW w:w="1145" w:type="pct"/>
          </w:tcPr>
          <w:p w14:paraId="2DE50E32" w14:textId="77777777" w:rsidR="00925E7F" w:rsidRPr="00925E7F" w:rsidRDefault="00925E7F" w:rsidP="00925E7F">
            <w:pPr>
              <w:widowControl w:val="0"/>
              <w:spacing w:after="60"/>
              <w:rPr>
                <w:sz w:val="20"/>
              </w:rPr>
            </w:pPr>
            <w:r w:rsidRPr="00925E7F">
              <w:rPr>
                <w:sz w:val="20"/>
              </w:rPr>
              <w:t>RTESOGSAMT</w:t>
            </w:r>
            <w:r w:rsidRPr="00925E7F">
              <w:rPr>
                <w:sz w:val="20"/>
                <w:vertAlign w:val="subscript"/>
              </w:rPr>
              <w:t xml:space="preserve"> </w:t>
            </w:r>
            <w:r w:rsidRPr="00925E7F">
              <w:rPr>
                <w:i/>
                <w:sz w:val="20"/>
                <w:vertAlign w:val="subscript"/>
              </w:rPr>
              <w:t>q,</w:t>
            </w:r>
            <w:r w:rsidRPr="00925E7F">
              <w:rPr>
                <w:sz w:val="20"/>
                <w:vertAlign w:val="subscript"/>
              </w:rPr>
              <w:t xml:space="preserve"> </w:t>
            </w:r>
            <w:r w:rsidRPr="00925E7F">
              <w:rPr>
                <w:i/>
                <w:sz w:val="20"/>
                <w:vertAlign w:val="subscript"/>
              </w:rPr>
              <w:t>gsc</w:t>
            </w:r>
          </w:p>
        </w:tc>
        <w:tc>
          <w:tcPr>
            <w:tcW w:w="675" w:type="pct"/>
          </w:tcPr>
          <w:p w14:paraId="475E513B" w14:textId="77777777" w:rsidR="00925E7F" w:rsidRPr="00925E7F" w:rsidRDefault="00925E7F" w:rsidP="00925E7F">
            <w:pPr>
              <w:widowControl w:val="0"/>
              <w:spacing w:after="60"/>
              <w:rPr>
                <w:sz w:val="20"/>
              </w:rPr>
            </w:pPr>
            <w:r w:rsidRPr="00925E7F">
              <w:rPr>
                <w:sz w:val="20"/>
              </w:rPr>
              <w:t>$</w:t>
            </w:r>
          </w:p>
        </w:tc>
        <w:tc>
          <w:tcPr>
            <w:tcW w:w="3180" w:type="pct"/>
          </w:tcPr>
          <w:p w14:paraId="085F1FB3" w14:textId="77777777" w:rsidR="00925E7F" w:rsidRPr="00925E7F" w:rsidRDefault="00925E7F" w:rsidP="00925E7F">
            <w:pPr>
              <w:widowControl w:val="0"/>
              <w:spacing w:after="60"/>
              <w:rPr>
                <w:i/>
                <w:sz w:val="20"/>
              </w:rPr>
            </w:pPr>
            <w:r w:rsidRPr="00925E7F">
              <w:rPr>
                <w:i/>
                <w:sz w:val="20"/>
              </w:rPr>
              <w:t>Real-Time Energy for SODG and SOTG Site Amount</w:t>
            </w:r>
            <w:r w:rsidRPr="00925E7F" w:rsidDel="006C2DC2">
              <w:rPr>
                <w:i/>
                <w:sz w:val="20"/>
              </w:rPr>
              <w:t xml:space="preserve"> </w:t>
            </w:r>
            <w:r w:rsidRPr="00925E7F">
              <w:rPr>
                <w:sz w:val="20"/>
              </w:rPr>
              <w:t xml:space="preserve">—The total payment or charge to QSE </w:t>
            </w:r>
            <w:r w:rsidRPr="00925E7F">
              <w:rPr>
                <w:i/>
                <w:sz w:val="20"/>
              </w:rPr>
              <w:t>q</w:t>
            </w:r>
            <w:r w:rsidRPr="00925E7F">
              <w:rPr>
                <w:sz w:val="20"/>
              </w:rPr>
              <w:t xml:space="preserve"> for SODG or SOTG site</w:t>
            </w:r>
            <w:r w:rsidRPr="00925E7F">
              <w:rPr>
                <w:i/>
                <w:sz w:val="20"/>
              </w:rPr>
              <w:t xml:space="preserve"> gsc</w:t>
            </w:r>
            <w:r w:rsidRPr="00925E7F">
              <w:rPr>
                <w:sz w:val="20"/>
              </w:rPr>
              <w:t xml:space="preserve"> for the 15-minute Settlement Interval.</w:t>
            </w:r>
          </w:p>
        </w:tc>
      </w:tr>
      <w:tr w:rsidR="00925E7F" w:rsidRPr="00925E7F" w14:paraId="30D15B08" w14:textId="77777777" w:rsidTr="00CB43C2">
        <w:trPr>
          <w:cantSplit/>
        </w:trPr>
        <w:tc>
          <w:tcPr>
            <w:tcW w:w="1145" w:type="pct"/>
          </w:tcPr>
          <w:p w14:paraId="4550DBC2" w14:textId="77777777" w:rsidR="00925E7F" w:rsidRPr="00925E7F" w:rsidRDefault="00925E7F" w:rsidP="00925E7F">
            <w:pPr>
              <w:widowControl w:val="0"/>
              <w:spacing w:after="60"/>
              <w:rPr>
                <w:sz w:val="20"/>
              </w:rPr>
            </w:pPr>
            <w:r w:rsidRPr="00925E7F">
              <w:rPr>
                <w:sz w:val="20"/>
              </w:rPr>
              <w:t xml:space="preserve">RTESOGPR </w:t>
            </w:r>
            <w:r w:rsidRPr="00925E7F">
              <w:rPr>
                <w:i/>
                <w:sz w:val="20"/>
                <w:vertAlign w:val="subscript"/>
              </w:rPr>
              <w:t>b</w:t>
            </w:r>
          </w:p>
        </w:tc>
        <w:tc>
          <w:tcPr>
            <w:tcW w:w="675" w:type="pct"/>
          </w:tcPr>
          <w:p w14:paraId="4A0B76D2" w14:textId="77777777" w:rsidR="00925E7F" w:rsidRPr="00925E7F" w:rsidRDefault="00925E7F" w:rsidP="00925E7F">
            <w:pPr>
              <w:widowControl w:val="0"/>
              <w:spacing w:after="60"/>
              <w:rPr>
                <w:i/>
                <w:sz w:val="20"/>
              </w:rPr>
            </w:pPr>
            <w:r w:rsidRPr="00925E7F">
              <w:rPr>
                <w:sz w:val="20"/>
              </w:rPr>
              <w:t>$/MWh</w:t>
            </w:r>
          </w:p>
        </w:tc>
        <w:tc>
          <w:tcPr>
            <w:tcW w:w="3180" w:type="pct"/>
          </w:tcPr>
          <w:p w14:paraId="34DA2BDC" w14:textId="77777777" w:rsidR="00925E7F" w:rsidRPr="00925E7F" w:rsidRDefault="00925E7F" w:rsidP="00925E7F">
            <w:pPr>
              <w:widowControl w:val="0"/>
              <w:spacing w:after="60"/>
              <w:rPr>
                <w:sz w:val="20"/>
              </w:rPr>
            </w:pPr>
            <w:r w:rsidRPr="00925E7F">
              <w:rPr>
                <w:i/>
                <w:sz w:val="20"/>
              </w:rPr>
              <w:t xml:space="preserve">Real-Time Price for the Energy Metered for each SODG or SOTG Site </w:t>
            </w:r>
            <w:r w:rsidRPr="00925E7F">
              <w:rPr>
                <w:sz w:val="20"/>
              </w:rPr>
              <w:sym w:font="Symbol" w:char="F0BE"/>
            </w:r>
            <w:r w:rsidRPr="00925E7F">
              <w:rPr>
                <w:sz w:val="20"/>
              </w:rPr>
              <w:t xml:space="preserve">The Real-Time price at Electrical Bus </w:t>
            </w:r>
            <w:r w:rsidRPr="00925E7F">
              <w:rPr>
                <w:i/>
                <w:sz w:val="20"/>
              </w:rPr>
              <w:t>b</w:t>
            </w:r>
            <w:r w:rsidRPr="00925E7F">
              <w:rPr>
                <w:sz w:val="20"/>
              </w:rPr>
              <w:t xml:space="preserve"> for the Settlement Meter for the SODG or SOTG site for the 15-minute Settlement Interval.</w:t>
            </w:r>
          </w:p>
        </w:tc>
      </w:tr>
      <w:tr w:rsidR="00925E7F" w:rsidRPr="00925E7F" w14:paraId="5ADA3295" w14:textId="77777777" w:rsidTr="00CB43C2">
        <w:trPr>
          <w:cantSplit/>
        </w:trPr>
        <w:tc>
          <w:tcPr>
            <w:tcW w:w="1145" w:type="pct"/>
          </w:tcPr>
          <w:p w14:paraId="73AE76F1" w14:textId="1C85C06A" w:rsidR="00925E7F" w:rsidRPr="00925E7F" w:rsidRDefault="00925E7F" w:rsidP="00925E7F">
            <w:pPr>
              <w:widowControl w:val="0"/>
              <w:spacing w:after="60"/>
              <w:rPr>
                <w:sz w:val="20"/>
                <w:szCs w:val="16"/>
              </w:rPr>
            </w:pPr>
            <w:r w:rsidRPr="00925E7F">
              <w:rPr>
                <w:sz w:val="20"/>
                <w:szCs w:val="16"/>
              </w:rPr>
              <w:t>MEBSOGNET</w:t>
            </w:r>
            <w:r w:rsidRPr="00925E7F">
              <w:rPr>
                <w:i/>
                <w:sz w:val="20"/>
                <w:szCs w:val="16"/>
                <w:vertAlign w:val="subscript"/>
              </w:rPr>
              <w:t xml:space="preserve"> q, gsc</w:t>
            </w:r>
          </w:p>
        </w:tc>
        <w:tc>
          <w:tcPr>
            <w:tcW w:w="675" w:type="pct"/>
          </w:tcPr>
          <w:p w14:paraId="0715EC79" w14:textId="5233554F" w:rsidR="00925E7F" w:rsidRPr="00925E7F" w:rsidRDefault="00925E7F" w:rsidP="00925E7F">
            <w:pPr>
              <w:widowControl w:val="0"/>
              <w:spacing w:after="60"/>
              <w:rPr>
                <w:sz w:val="20"/>
                <w:szCs w:val="16"/>
              </w:rPr>
            </w:pPr>
            <w:r w:rsidRPr="00925E7F">
              <w:rPr>
                <w:sz w:val="20"/>
                <w:szCs w:val="16"/>
              </w:rPr>
              <w:t>MWh</w:t>
            </w:r>
          </w:p>
        </w:tc>
        <w:tc>
          <w:tcPr>
            <w:tcW w:w="3180" w:type="pct"/>
          </w:tcPr>
          <w:p w14:paraId="6F1D873D" w14:textId="165CA2E3" w:rsidR="00925E7F" w:rsidRPr="00925E7F" w:rsidRDefault="00925E7F" w:rsidP="00925E7F">
            <w:pPr>
              <w:widowControl w:val="0"/>
              <w:spacing w:after="60"/>
              <w:rPr>
                <w:i/>
                <w:sz w:val="20"/>
                <w:szCs w:val="16"/>
              </w:rPr>
            </w:pPr>
            <w:r w:rsidRPr="00925E7F">
              <w:rPr>
                <w:i/>
                <w:sz w:val="20"/>
                <w:szCs w:val="16"/>
              </w:rPr>
              <w:t xml:space="preserve">Net Metered energy at gsc for an SODG or SOTG Site </w:t>
            </w:r>
            <w:r w:rsidRPr="00925E7F">
              <w:rPr>
                <w:sz w:val="20"/>
                <w:szCs w:val="16"/>
              </w:rPr>
              <w:sym w:font="Symbol" w:char="F0BE"/>
            </w:r>
            <w:r w:rsidRPr="00925E7F">
              <w:rPr>
                <w:sz w:val="20"/>
                <w:szCs w:val="16"/>
              </w:rPr>
              <w:t>The net sum for all Settlement Meters for SODG or SOTG site</w:t>
            </w:r>
            <w:r w:rsidRPr="00925E7F">
              <w:rPr>
                <w:i/>
                <w:sz w:val="20"/>
                <w:szCs w:val="16"/>
              </w:rPr>
              <w:t xml:space="preserve"> gsc</w:t>
            </w:r>
            <w:r w:rsidRPr="00925E7F">
              <w:rPr>
                <w:sz w:val="20"/>
                <w:szCs w:val="16"/>
              </w:rPr>
              <w:t xml:space="preserve"> represented by QSE </w:t>
            </w:r>
            <w:r w:rsidRPr="00925E7F">
              <w:rPr>
                <w:i/>
                <w:sz w:val="20"/>
                <w:szCs w:val="16"/>
              </w:rPr>
              <w:t>q</w:t>
            </w:r>
            <w:r w:rsidRPr="00925E7F">
              <w:rPr>
                <w:sz w:val="20"/>
                <w:szCs w:val="16"/>
              </w:rPr>
              <w:t>.  A positive value indicates an injection of power to the ERCOT System.</w:t>
            </w:r>
          </w:p>
        </w:tc>
      </w:tr>
      <w:tr w:rsidR="00925E7F" w:rsidRPr="00925E7F" w14:paraId="7F5BD9E2" w14:textId="77777777" w:rsidTr="00CB43C2">
        <w:trPr>
          <w:cantSplit/>
        </w:trPr>
        <w:tc>
          <w:tcPr>
            <w:tcW w:w="1145" w:type="pct"/>
          </w:tcPr>
          <w:p w14:paraId="6A9E2004" w14:textId="14F0B4ED" w:rsidR="00925E7F" w:rsidRPr="00925E7F" w:rsidRDefault="00925E7F" w:rsidP="00925E7F">
            <w:pPr>
              <w:widowControl w:val="0"/>
              <w:spacing w:after="60"/>
              <w:rPr>
                <w:sz w:val="20"/>
              </w:rPr>
            </w:pPr>
            <w:r>
              <w:rPr>
                <w:sz w:val="20"/>
              </w:rPr>
              <w:lastRenderedPageBreak/>
              <w:t>MEB</w:t>
            </w:r>
            <w:r w:rsidRPr="00925E7F">
              <w:rPr>
                <w:sz w:val="20"/>
              </w:rPr>
              <w:t xml:space="preserve">SOG </w:t>
            </w:r>
            <w:r w:rsidRPr="00925E7F">
              <w:rPr>
                <w:i/>
                <w:sz w:val="20"/>
                <w:vertAlign w:val="subscript"/>
              </w:rPr>
              <w:t>q,</w:t>
            </w:r>
            <w:r w:rsidRPr="00925E7F">
              <w:rPr>
                <w:sz w:val="20"/>
              </w:rPr>
              <w:t xml:space="preserve"> </w:t>
            </w:r>
            <w:r w:rsidRPr="00925E7F">
              <w:rPr>
                <w:i/>
                <w:sz w:val="20"/>
                <w:vertAlign w:val="subscript"/>
              </w:rPr>
              <w:t>gsc, b</w:t>
            </w:r>
          </w:p>
        </w:tc>
        <w:tc>
          <w:tcPr>
            <w:tcW w:w="675" w:type="pct"/>
          </w:tcPr>
          <w:p w14:paraId="4F3F18B0" w14:textId="77777777" w:rsidR="00925E7F" w:rsidRPr="00925E7F" w:rsidRDefault="00925E7F" w:rsidP="00925E7F">
            <w:pPr>
              <w:widowControl w:val="0"/>
              <w:spacing w:after="60"/>
              <w:rPr>
                <w:sz w:val="20"/>
              </w:rPr>
            </w:pPr>
            <w:r w:rsidRPr="00925E7F">
              <w:rPr>
                <w:sz w:val="20"/>
              </w:rPr>
              <w:t>MWh</w:t>
            </w:r>
          </w:p>
        </w:tc>
        <w:tc>
          <w:tcPr>
            <w:tcW w:w="3180" w:type="pct"/>
          </w:tcPr>
          <w:p w14:paraId="42A2EC9B" w14:textId="7A53B4C4" w:rsidR="00925E7F" w:rsidRPr="00925E7F" w:rsidRDefault="00925E7F" w:rsidP="00925E7F">
            <w:pPr>
              <w:widowControl w:val="0"/>
              <w:spacing w:after="60"/>
              <w:rPr>
                <w:i/>
                <w:sz w:val="20"/>
              </w:rPr>
            </w:pPr>
            <w:r w:rsidRPr="00925E7F">
              <w:rPr>
                <w:i/>
                <w:sz w:val="20"/>
              </w:rPr>
              <w:t xml:space="preserve">Metered energy at bus for an SODG or SOTG Site  </w:t>
            </w:r>
            <w:r w:rsidRPr="00925E7F">
              <w:rPr>
                <w:sz w:val="20"/>
              </w:rPr>
              <w:sym w:font="Symbol" w:char="F0BE"/>
            </w:r>
            <w:r w:rsidRPr="00925E7F">
              <w:rPr>
                <w:sz w:val="20"/>
              </w:rPr>
              <w:t xml:space="preserve">The </w:t>
            </w:r>
            <w:r>
              <w:rPr>
                <w:sz w:val="20"/>
              </w:rPr>
              <w:t>metered energy</w:t>
            </w:r>
            <w:r w:rsidRPr="00925E7F">
              <w:rPr>
                <w:sz w:val="20"/>
              </w:rPr>
              <w:t xml:space="preserve"> by the Settlement Meter(s) at Electrical Bus </w:t>
            </w:r>
            <w:r w:rsidRPr="00925E7F">
              <w:rPr>
                <w:i/>
                <w:sz w:val="20"/>
              </w:rPr>
              <w:t>b</w:t>
            </w:r>
            <w:r w:rsidRPr="00925E7F">
              <w:rPr>
                <w:sz w:val="20"/>
              </w:rPr>
              <w:t xml:space="preserve"> for SODG or SOTG site</w:t>
            </w:r>
            <w:r w:rsidRPr="00925E7F">
              <w:rPr>
                <w:i/>
                <w:sz w:val="20"/>
              </w:rPr>
              <w:t xml:space="preserve"> gsc</w:t>
            </w:r>
            <w:r w:rsidRPr="00925E7F">
              <w:rPr>
                <w:sz w:val="20"/>
              </w:rPr>
              <w:t xml:space="preserve"> represented by QSE </w:t>
            </w:r>
            <w:r w:rsidRPr="00925E7F">
              <w:rPr>
                <w:i/>
                <w:sz w:val="20"/>
              </w:rPr>
              <w:t>q</w:t>
            </w:r>
            <w:r w:rsidRPr="00925E7F">
              <w:rPr>
                <w:sz w:val="20"/>
              </w:rPr>
              <w:t>.</w:t>
            </w:r>
            <w:r>
              <w:rPr>
                <w:sz w:val="20"/>
              </w:rPr>
              <w:t xml:space="preserve">  </w:t>
            </w:r>
            <w:r w:rsidRPr="00925E7F">
              <w:rPr>
                <w:sz w:val="20"/>
              </w:rPr>
              <w:t>A positive value represents energy produced, and a negative value represents energy consumed.</w:t>
            </w:r>
          </w:p>
        </w:tc>
      </w:tr>
      <w:tr w:rsidR="00925E7F" w:rsidRPr="00925E7F" w14:paraId="1075FCB2" w14:textId="77777777" w:rsidTr="00CB43C2">
        <w:trPr>
          <w:cantSplit/>
        </w:trPr>
        <w:tc>
          <w:tcPr>
            <w:tcW w:w="1145" w:type="pct"/>
          </w:tcPr>
          <w:p w14:paraId="01C2C2AB" w14:textId="77777777" w:rsidR="00925E7F" w:rsidRPr="00925E7F" w:rsidRDefault="00925E7F" w:rsidP="00925E7F">
            <w:pPr>
              <w:widowControl w:val="0"/>
              <w:spacing w:after="60"/>
              <w:rPr>
                <w:sz w:val="20"/>
              </w:rPr>
            </w:pPr>
            <w:r w:rsidRPr="00925E7F">
              <w:rPr>
                <w:sz w:val="20"/>
              </w:rPr>
              <w:t>RTRSVPOR</w:t>
            </w:r>
          </w:p>
        </w:tc>
        <w:tc>
          <w:tcPr>
            <w:tcW w:w="675" w:type="pct"/>
          </w:tcPr>
          <w:p w14:paraId="27B2CE7F" w14:textId="77777777" w:rsidR="00925E7F" w:rsidRPr="00925E7F" w:rsidRDefault="00925E7F" w:rsidP="00925E7F">
            <w:pPr>
              <w:widowControl w:val="0"/>
              <w:spacing w:after="60"/>
              <w:rPr>
                <w:sz w:val="20"/>
              </w:rPr>
            </w:pPr>
            <w:r w:rsidRPr="00925E7F">
              <w:rPr>
                <w:sz w:val="20"/>
              </w:rPr>
              <w:t>$/MWh</w:t>
            </w:r>
          </w:p>
        </w:tc>
        <w:tc>
          <w:tcPr>
            <w:tcW w:w="3180" w:type="pct"/>
          </w:tcPr>
          <w:p w14:paraId="11A8B6B5" w14:textId="77777777" w:rsidR="00925E7F" w:rsidRPr="00925E7F" w:rsidRDefault="00925E7F" w:rsidP="00925E7F">
            <w:pPr>
              <w:widowControl w:val="0"/>
              <w:spacing w:after="60"/>
              <w:rPr>
                <w:i/>
                <w:sz w:val="20"/>
              </w:rPr>
            </w:pPr>
            <w:r w:rsidRPr="00925E7F">
              <w:rPr>
                <w:i/>
                <w:sz w:val="20"/>
              </w:rPr>
              <w:t>Real-Time Reserve Price for On-Line Reserves</w:t>
            </w:r>
            <w:r w:rsidRPr="00925E7F">
              <w:rPr>
                <w:sz w:val="20"/>
              </w:rPr>
              <w:sym w:font="Symbol" w:char="F0BE"/>
            </w:r>
            <w:r w:rsidRPr="00925E7F">
              <w:rPr>
                <w:sz w:val="20"/>
              </w:rPr>
              <w:t>The Real-Time Reserve Price for On-Line Reserves for the 15-minute Settlement Interval.</w:t>
            </w:r>
          </w:p>
        </w:tc>
      </w:tr>
      <w:tr w:rsidR="00925E7F" w:rsidRPr="00925E7F" w14:paraId="47ADB452" w14:textId="77777777" w:rsidTr="00CB43C2">
        <w:trPr>
          <w:cantSplit/>
        </w:trPr>
        <w:tc>
          <w:tcPr>
            <w:tcW w:w="1145" w:type="pct"/>
          </w:tcPr>
          <w:p w14:paraId="196C0252" w14:textId="77777777" w:rsidR="00925E7F" w:rsidRPr="00925E7F" w:rsidRDefault="00925E7F" w:rsidP="00925E7F">
            <w:pPr>
              <w:widowControl w:val="0"/>
              <w:spacing w:after="60"/>
              <w:rPr>
                <w:sz w:val="20"/>
              </w:rPr>
            </w:pPr>
            <w:r w:rsidRPr="00925E7F">
              <w:rPr>
                <w:sz w:val="20"/>
              </w:rPr>
              <w:t>RTORPA</w:t>
            </w:r>
            <w:r w:rsidRPr="00925E7F">
              <w:rPr>
                <w:sz w:val="20"/>
                <w:vertAlign w:val="subscript"/>
              </w:rPr>
              <w:t xml:space="preserve"> </w:t>
            </w:r>
            <w:r w:rsidRPr="00925E7F">
              <w:rPr>
                <w:i/>
                <w:sz w:val="20"/>
                <w:vertAlign w:val="subscript"/>
              </w:rPr>
              <w:t>y</w:t>
            </w:r>
          </w:p>
        </w:tc>
        <w:tc>
          <w:tcPr>
            <w:tcW w:w="675" w:type="pct"/>
          </w:tcPr>
          <w:p w14:paraId="5FA1CC78" w14:textId="77777777" w:rsidR="00925E7F" w:rsidRPr="00925E7F" w:rsidRDefault="00925E7F" w:rsidP="00925E7F">
            <w:pPr>
              <w:widowControl w:val="0"/>
              <w:spacing w:after="60"/>
              <w:rPr>
                <w:sz w:val="20"/>
              </w:rPr>
            </w:pPr>
            <w:r w:rsidRPr="00925E7F">
              <w:rPr>
                <w:sz w:val="20"/>
              </w:rPr>
              <w:t>$/MWh</w:t>
            </w:r>
          </w:p>
        </w:tc>
        <w:tc>
          <w:tcPr>
            <w:tcW w:w="3180" w:type="pct"/>
          </w:tcPr>
          <w:p w14:paraId="5D2DF8C6" w14:textId="77777777" w:rsidR="00925E7F" w:rsidRPr="00925E7F" w:rsidRDefault="00925E7F" w:rsidP="00925E7F">
            <w:pPr>
              <w:widowControl w:val="0"/>
              <w:spacing w:after="60"/>
              <w:rPr>
                <w:i/>
                <w:sz w:val="20"/>
              </w:rPr>
            </w:pPr>
            <w:r w:rsidRPr="00925E7F">
              <w:rPr>
                <w:i/>
                <w:sz w:val="20"/>
              </w:rPr>
              <w:t>Real-Time On-Line Reserve Price Adder per interval</w:t>
            </w:r>
            <w:r w:rsidRPr="00925E7F">
              <w:rPr>
                <w:sz w:val="20"/>
              </w:rPr>
              <w:sym w:font="Symbol" w:char="F0BE"/>
            </w:r>
            <w:r w:rsidRPr="00925E7F">
              <w:rPr>
                <w:sz w:val="20"/>
              </w:rPr>
              <w:t xml:space="preserve">The Real-Time On-Line Reserve Price Adder for the SCED interval </w:t>
            </w:r>
            <w:r w:rsidRPr="00925E7F">
              <w:rPr>
                <w:i/>
                <w:sz w:val="20"/>
              </w:rPr>
              <w:t>y</w:t>
            </w:r>
            <w:r w:rsidRPr="00925E7F">
              <w:rPr>
                <w:sz w:val="20"/>
              </w:rPr>
              <w:t>.</w:t>
            </w:r>
          </w:p>
        </w:tc>
      </w:tr>
      <w:tr w:rsidR="00925E7F" w:rsidRPr="00925E7F" w14:paraId="5DCF5957" w14:textId="77777777" w:rsidTr="00CB43C2">
        <w:trPr>
          <w:cantSplit/>
        </w:trPr>
        <w:tc>
          <w:tcPr>
            <w:tcW w:w="1145" w:type="pct"/>
          </w:tcPr>
          <w:p w14:paraId="6DEB994F" w14:textId="77777777" w:rsidR="00925E7F" w:rsidRPr="00925E7F" w:rsidRDefault="00925E7F" w:rsidP="00925E7F">
            <w:pPr>
              <w:widowControl w:val="0"/>
              <w:spacing w:after="60"/>
              <w:rPr>
                <w:sz w:val="20"/>
              </w:rPr>
            </w:pPr>
            <w:r w:rsidRPr="00925E7F">
              <w:rPr>
                <w:sz w:val="20"/>
              </w:rPr>
              <w:t>RTRDP</w:t>
            </w:r>
          </w:p>
        </w:tc>
        <w:tc>
          <w:tcPr>
            <w:tcW w:w="675" w:type="pct"/>
          </w:tcPr>
          <w:p w14:paraId="02655EA5" w14:textId="77777777" w:rsidR="00925E7F" w:rsidRPr="00925E7F" w:rsidRDefault="00925E7F" w:rsidP="00925E7F">
            <w:pPr>
              <w:widowControl w:val="0"/>
              <w:spacing w:after="60"/>
              <w:rPr>
                <w:sz w:val="20"/>
              </w:rPr>
            </w:pPr>
            <w:r w:rsidRPr="00925E7F">
              <w:rPr>
                <w:sz w:val="20"/>
              </w:rPr>
              <w:t>$/MWh</w:t>
            </w:r>
          </w:p>
        </w:tc>
        <w:tc>
          <w:tcPr>
            <w:tcW w:w="3180" w:type="pct"/>
          </w:tcPr>
          <w:p w14:paraId="05EC85A2" w14:textId="77777777" w:rsidR="00925E7F" w:rsidRPr="00925E7F" w:rsidRDefault="00925E7F" w:rsidP="00925E7F">
            <w:pPr>
              <w:widowControl w:val="0"/>
              <w:spacing w:after="60"/>
              <w:rPr>
                <w:i/>
                <w:sz w:val="20"/>
              </w:rPr>
            </w:pPr>
            <w:r w:rsidRPr="00925E7F">
              <w:rPr>
                <w:i/>
                <w:sz w:val="20"/>
              </w:rPr>
              <w:t xml:space="preserve">Real-Time On-Line Reliability Deployment Price </w:t>
            </w:r>
            <w:r w:rsidRPr="00925E7F">
              <w:rPr>
                <w:sz w:val="20"/>
              </w:rPr>
              <w:sym w:font="Symbol" w:char="F0BE"/>
            </w:r>
            <w:r w:rsidRPr="00925E7F">
              <w:rPr>
                <w:sz w:val="20"/>
              </w:rPr>
              <w:t xml:space="preserve">The Real-Time price for the 15-minute Settlement Interval, reflecting the impact of reliability deployments on energy prices that is calculated </w:t>
            </w:r>
            <w:r w:rsidRPr="00925E7F">
              <w:rPr>
                <w:bCs/>
                <w:sz w:val="20"/>
              </w:rPr>
              <w:t>from the Real-Time On-Line Reliability Deployment Price Adder</w:t>
            </w:r>
            <w:r w:rsidRPr="00925E7F">
              <w:rPr>
                <w:sz w:val="20"/>
              </w:rPr>
              <w:t>.</w:t>
            </w:r>
          </w:p>
        </w:tc>
      </w:tr>
      <w:tr w:rsidR="00925E7F" w:rsidRPr="00925E7F" w14:paraId="64A008BD" w14:textId="77777777" w:rsidTr="00CB43C2">
        <w:trPr>
          <w:cantSplit/>
        </w:trPr>
        <w:tc>
          <w:tcPr>
            <w:tcW w:w="1145" w:type="pct"/>
          </w:tcPr>
          <w:p w14:paraId="76A345FE" w14:textId="77777777" w:rsidR="00925E7F" w:rsidRPr="00925E7F" w:rsidRDefault="00925E7F" w:rsidP="00925E7F">
            <w:pPr>
              <w:widowControl w:val="0"/>
              <w:spacing w:after="60"/>
              <w:rPr>
                <w:sz w:val="20"/>
              </w:rPr>
            </w:pPr>
            <w:r w:rsidRPr="00925E7F">
              <w:rPr>
                <w:sz w:val="20"/>
              </w:rPr>
              <w:t>RTORDPA</w:t>
            </w:r>
            <w:r w:rsidRPr="00925E7F">
              <w:rPr>
                <w:sz w:val="20"/>
                <w:vertAlign w:val="subscript"/>
              </w:rPr>
              <w:t xml:space="preserve"> </w:t>
            </w:r>
            <w:r w:rsidRPr="00925E7F">
              <w:rPr>
                <w:i/>
                <w:sz w:val="20"/>
                <w:vertAlign w:val="subscript"/>
              </w:rPr>
              <w:t>y</w:t>
            </w:r>
          </w:p>
        </w:tc>
        <w:tc>
          <w:tcPr>
            <w:tcW w:w="675" w:type="pct"/>
          </w:tcPr>
          <w:p w14:paraId="70C12BAA" w14:textId="77777777" w:rsidR="00925E7F" w:rsidRPr="00925E7F" w:rsidRDefault="00925E7F" w:rsidP="00925E7F">
            <w:pPr>
              <w:widowControl w:val="0"/>
              <w:spacing w:after="60"/>
              <w:rPr>
                <w:sz w:val="20"/>
              </w:rPr>
            </w:pPr>
            <w:r w:rsidRPr="00925E7F">
              <w:rPr>
                <w:sz w:val="20"/>
              </w:rPr>
              <w:t>$/MWh</w:t>
            </w:r>
          </w:p>
        </w:tc>
        <w:tc>
          <w:tcPr>
            <w:tcW w:w="3180" w:type="pct"/>
          </w:tcPr>
          <w:p w14:paraId="3DB5057B" w14:textId="77777777" w:rsidR="00925E7F" w:rsidRPr="00925E7F" w:rsidRDefault="00925E7F" w:rsidP="00925E7F">
            <w:pPr>
              <w:widowControl w:val="0"/>
              <w:spacing w:after="60"/>
              <w:rPr>
                <w:i/>
                <w:sz w:val="20"/>
              </w:rPr>
            </w:pPr>
            <w:r w:rsidRPr="00925E7F">
              <w:rPr>
                <w:i/>
                <w:sz w:val="20"/>
              </w:rPr>
              <w:t xml:space="preserve">Real-Time On-Line Reliability Deployment Price Adder </w:t>
            </w:r>
            <w:r w:rsidRPr="00925E7F">
              <w:rPr>
                <w:sz w:val="20"/>
              </w:rPr>
              <w:sym w:font="Symbol" w:char="F0BE"/>
            </w:r>
            <w:r w:rsidRPr="00925E7F">
              <w:rPr>
                <w:sz w:val="20"/>
              </w:rPr>
              <w:t xml:space="preserve">The Real-Time Price Adder that captures the impact of reliability deployments on energy prices for the SCED interval </w:t>
            </w:r>
            <w:r w:rsidRPr="00925E7F">
              <w:rPr>
                <w:i/>
                <w:sz w:val="20"/>
              </w:rPr>
              <w:t>y</w:t>
            </w:r>
            <w:r w:rsidRPr="00925E7F">
              <w:rPr>
                <w:sz w:val="20"/>
              </w:rPr>
              <w:t>.</w:t>
            </w:r>
          </w:p>
        </w:tc>
      </w:tr>
      <w:tr w:rsidR="00925E7F" w:rsidRPr="00925E7F" w14:paraId="68519C70" w14:textId="77777777" w:rsidTr="00CB43C2">
        <w:trPr>
          <w:cantSplit/>
        </w:trPr>
        <w:tc>
          <w:tcPr>
            <w:tcW w:w="1145" w:type="pct"/>
          </w:tcPr>
          <w:p w14:paraId="6A7C1851" w14:textId="77777777" w:rsidR="00925E7F" w:rsidRPr="00925E7F" w:rsidRDefault="00925E7F" w:rsidP="00925E7F">
            <w:pPr>
              <w:widowControl w:val="0"/>
              <w:spacing w:after="60"/>
              <w:rPr>
                <w:sz w:val="20"/>
              </w:rPr>
            </w:pPr>
            <w:r w:rsidRPr="00925E7F">
              <w:rPr>
                <w:sz w:val="20"/>
              </w:rPr>
              <w:t>SDWF</w:t>
            </w:r>
            <w:r w:rsidRPr="00925E7F">
              <w:rPr>
                <w:i/>
                <w:sz w:val="20"/>
              </w:rPr>
              <w:t xml:space="preserve"> </w:t>
            </w:r>
            <w:r w:rsidRPr="00925E7F">
              <w:rPr>
                <w:i/>
                <w:sz w:val="20"/>
                <w:vertAlign w:val="subscript"/>
              </w:rPr>
              <w:t>y</w:t>
            </w:r>
          </w:p>
        </w:tc>
        <w:tc>
          <w:tcPr>
            <w:tcW w:w="675" w:type="pct"/>
          </w:tcPr>
          <w:p w14:paraId="35BDDD94" w14:textId="77777777" w:rsidR="00925E7F" w:rsidRPr="00925E7F" w:rsidRDefault="00925E7F" w:rsidP="00925E7F">
            <w:pPr>
              <w:widowControl w:val="0"/>
              <w:spacing w:after="60"/>
              <w:rPr>
                <w:sz w:val="20"/>
              </w:rPr>
            </w:pPr>
            <w:r w:rsidRPr="00925E7F">
              <w:rPr>
                <w:sz w:val="20"/>
              </w:rPr>
              <w:t>None</w:t>
            </w:r>
          </w:p>
        </w:tc>
        <w:tc>
          <w:tcPr>
            <w:tcW w:w="3180" w:type="pct"/>
          </w:tcPr>
          <w:p w14:paraId="4FEA3DCC" w14:textId="77777777" w:rsidR="00925E7F" w:rsidRPr="00925E7F" w:rsidRDefault="00925E7F" w:rsidP="00925E7F">
            <w:pPr>
              <w:widowControl w:val="0"/>
              <w:spacing w:after="60"/>
              <w:rPr>
                <w:i/>
                <w:sz w:val="20"/>
              </w:rPr>
            </w:pPr>
            <w:r w:rsidRPr="00925E7F">
              <w:rPr>
                <w:i/>
                <w:sz w:val="20"/>
              </w:rPr>
              <w:t>SCED Duration Weighting Factor per interval</w:t>
            </w:r>
            <w:r w:rsidRPr="00925E7F">
              <w:rPr>
                <w:sz w:val="20"/>
              </w:rPr>
              <w:sym w:font="Symbol" w:char="F0BE"/>
            </w:r>
            <w:r w:rsidRPr="00925E7F">
              <w:rPr>
                <w:sz w:val="20"/>
              </w:rPr>
              <w:t xml:space="preserve">The weight used in the SODG or SOTG price calculation for the portion of the SCED interval </w:t>
            </w:r>
            <w:r w:rsidRPr="00925E7F">
              <w:rPr>
                <w:i/>
                <w:sz w:val="20"/>
              </w:rPr>
              <w:t>y</w:t>
            </w:r>
            <w:r w:rsidRPr="00925E7F">
              <w:rPr>
                <w:sz w:val="20"/>
              </w:rPr>
              <w:t xml:space="preserve"> within the Settlement Interval.</w:t>
            </w:r>
          </w:p>
        </w:tc>
      </w:tr>
      <w:tr w:rsidR="00925E7F" w:rsidRPr="00925E7F" w14:paraId="1490CEFD" w14:textId="77777777" w:rsidTr="00CB43C2">
        <w:trPr>
          <w:cantSplit/>
        </w:trPr>
        <w:tc>
          <w:tcPr>
            <w:tcW w:w="1145" w:type="pct"/>
          </w:tcPr>
          <w:p w14:paraId="1DEB7305" w14:textId="77777777" w:rsidR="00925E7F" w:rsidRPr="00925E7F" w:rsidRDefault="00925E7F" w:rsidP="00925E7F">
            <w:pPr>
              <w:widowControl w:val="0"/>
              <w:spacing w:after="60"/>
              <w:rPr>
                <w:sz w:val="20"/>
              </w:rPr>
            </w:pPr>
            <w:r w:rsidRPr="00925E7F">
              <w:rPr>
                <w:sz w:val="20"/>
              </w:rPr>
              <w:t xml:space="preserve">RTLMP </w:t>
            </w:r>
            <w:r w:rsidRPr="00925E7F">
              <w:rPr>
                <w:i/>
                <w:sz w:val="20"/>
                <w:vertAlign w:val="subscript"/>
              </w:rPr>
              <w:t>b, y</w:t>
            </w:r>
          </w:p>
        </w:tc>
        <w:tc>
          <w:tcPr>
            <w:tcW w:w="675" w:type="pct"/>
          </w:tcPr>
          <w:p w14:paraId="6CA843BB" w14:textId="77777777" w:rsidR="00925E7F" w:rsidRPr="00925E7F" w:rsidRDefault="00925E7F" w:rsidP="00925E7F">
            <w:pPr>
              <w:widowControl w:val="0"/>
              <w:spacing w:after="60"/>
              <w:rPr>
                <w:sz w:val="20"/>
              </w:rPr>
            </w:pPr>
            <w:r w:rsidRPr="00925E7F">
              <w:rPr>
                <w:sz w:val="20"/>
              </w:rPr>
              <w:t>$/MWh</w:t>
            </w:r>
          </w:p>
        </w:tc>
        <w:tc>
          <w:tcPr>
            <w:tcW w:w="3180" w:type="pct"/>
          </w:tcPr>
          <w:p w14:paraId="0E3B50A0" w14:textId="77777777" w:rsidR="00925E7F" w:rsidRPr="00925E7F" w:rsidRDefault="00925E7F" w:rsidP="00925E7F">
            <w:pPr>
              <w:widowControl w:val="0"/>
              <w:spacing w:after="60"/>
              <w:rPr>
                <w:sz w:val="20"/>
              </w:rPr>
            </w:pPr>
            <w:r w:rsidRPr="00925E7F">
              <w:rPr>
                <w:i/>
                <w:sz w:val="20"/>
              </w:rPr>
              <w:t>Real-Time Locational Marginal Price at bus per interval</w:t>
            </w:r>
            <w:r w:rsidRPr="00925E7F">
              <w:rPr>
                <w:sz w:val="20"/>
              </w:rPr>
              <w:sym w:font="Symbol" w:char="F0BE"/>
            </w:r>
            <w:r w:rsidRPr="00925E7F">
              <w:rPr>
                <w:sz w:val="20"/>
              </w:rPr>
              <w:t xml:space="preserve">The Real-Time LMP at Electrical Bus </w:t>
            </w:r>
            <w:r w:rsidRPr="00925E7F">
              <w:rPr>
                <w:i/>
                <w:sz w:val="20"/>
              </w:rPr>
              <w:t>b</w:t>
            </w:r>
            <w:r w:rsidRPr="00925E7F">
              <w:rPr>
                <w:sz w:val="20"/>
              </w:rPr>
              <w:t xml:space="preserve">, for the SCED interval </w:t>
            </w:r>
            <w:r w:rsidRPr="00925E7F">
              <w:rPr>
                <w:i/>
                <w:sz w:val="20"/>
              </w:rPr>
              <w:t>y</w:t>
            </w:r>
            <w:r w:rsidRPr="00925E7F">
              <w:rPr>
                <w:sz w:val="20"/>
              </w:rPr>
              <w:t>.</w:t>
            </w:r>
          </w:p>
        </w:tc>
      </w:tr>
      <w:tr w:rsidR="00925E7F" w:rsidRPr="00925E7F" w14:paraId="18CB3D09" w14:textId="77777777" w:rsidTr="00CB43C2">
        <w:trPr>
          <w:cantSplit/>
        </w:trPr>
        <w:tc>
          <w:tcPr>
            <w:tcW w:w="1145" w:type="pct"/>
          </w:tcPr>
          <w:p w14:paraId="1261709E" w14:textId="77777777" w:rsidR="00925E7F" w:rsidRPr="00925E7F" w:rsidRDefault="00925E7F" w:rsidP="00925E7F">
            <w:pPr>
              <w:widowControl w:val="0"/>
              <w:spacing w:after="60"/>
              <w:rPr>
                <w:sz w:val="20"/>
              </w:rPr>
            </w:pPr>
            <w:r w:rsidRPr="00925E7F">
              <w:rPr>
                <w:sz w:val="20"/>
              </w:rPr>
              <w:t xml:space="preserve">TLMP </w:t>
            </w:r>
            <w:r w:rsidRPr="00925E7F">
              <w:rPr>
                <w:i/>
                <w:sz w:val="20"/>
                <w:vertAlign w:val="subscript"/>
              </w:rPr>
              <w:t>y</w:t>
            </w:r>
          </w:p>
        </w:tc>
        <w:tc>
          <w:tcPr>
            <w:tcW w:w="675" w:type="pct"/>
          </w:tcPr>
          <w:p w14:paraId="3F2A136C" w14:textId="77777777" w:rsidR="00925E7F" w:rsidRPr="00925E7F" w:rsidRDefault="00925E7F" w:rsidP="00925E7F">
            <w:pPr>
              <w:widowControl w:val="0"/>
              <w:spacing w:after="60"/>
              <w:rPr>
                <w:iCs/>
                <w:sz w:val="20"/>
              </w:rPr>
            </w:pPr>
            <w:r w:rsidRPr="00925E7F">
              <w:rPr>
                <w:sz w:val="20"/>
              </w:rPr>
              <w:t>second</w:t>
            </w:r>
          </w:p>
        </w:tc>
        <w:tc>
          <w:tcPr>
            <w:tcW w:w="3180" w:type="pct"/>
          </w:tcPr>
          <w:p w14:paraId="4C37EEA6" w14:textId="77777777" w:rsidR="00925E7F" w:rsidRPr="00925E7F" w:rsidRDefault="00925E7F" w:rsidP="00925E7F">
            <w:pPr>
              <w:widowControl w:val="0"/>
              <w:spacing w:after="60"/>
              <w:rPr>
                <w:sz w:val="20"/>
              </w:rPr>
            </w:pPr>
            <w:r w:rsidRPr="00925E7F">
              <w:rPr>
                <w:i/>
                <w:iCs/>
                <w:sz w:val="20"/>
              </w:rPr>
              <w:t xml:space="preserve">Duration of </w:t>
            </w:r>
            <w:r w:rsidRPr="00925E7F">
              <w:rPr>
                <w:i/>
                <w:sz w:val="20"/>
              </w:rPr>
              <w:t>SCED</w:t>
            </w:r>
            <w:r w:rsidRPr="00925E7F">
              <w:rPr>
                <w:i/>
                <w:iCs/>
                <w:sz w:val="20"/>
              </w:rPr>
              <w:t xml:space="preserve"> interval per interval</w:t>
            </w:r>
            <w:r w:rsidRPr="00925E7F">
              <w:rPr>
                <w:sz w:val="20"/>
              </w:rPr>
              <w:sym w:font="Symbol" w:char="F0BE"/>
            </w:r>
            <w:r w:rsidRPr="00925E7F">
              <w:rPr>
                <w:sz w:val="20"/>
              </w:rPr>
              <w:t xml:space="preserve">The duration of the SCED interval </w:t>
            </w:r>
            <w:r w:rsidRPr="00925E7F">
              <w:rPr>
                <w:i/>
                <w:iCs/>
                <w:sz w:val="20"/>
              </w:rPr>
              <w:t xml:space="preserve">y </w:t>
            </w:r>
            <w:r w:rsidRPr="00925E7F">
              <w:rPr>
                <w:iCs/>
                <w:sz w:val="20"/>
              </w:rPr>
              <w:t>within the Settlement Interval</w:t>
            </w:r>
            <w:r w:rsidRPr="00925E7F">
              <w:rPr>
                <w:sz w:val="20"/>
              </w:rPr>
              <w:t>.</w:t>
            </w:r>
          </w:p>
        </w:tc>
      </w:tr>
      <w:tr w:rsidR="00925E7F" w:rsidRPr="00925E7F" w14:paraId="21C63360" w14:textId="77777777" w:rsidTr="00CB43C2">
        <w:trPr>
          <w:cantSplit/>
        </w:trPr>
        <w:tc>
          <w:tcPr>
            <w:tcW w:w="1145" w:type="pct"/>
          </w:tcPr>
          <w:p w14:paraId="47F136DE" w14:textId="77777777" w:rsidR="00925E7F" w:rsidRPr="00925E7F" w:rsidRDefault="00925E7F" w:rsidP="00925E7F">
            <w:pPr>
              <w:widowControl w:val="0"/>
              <w:spacing w:after="60"/>
              <w:rPr>
                <w:i/>
                <w:sz w:val="20"/>
              </w:rPr>
            </w:pPr>
            <w:r w:rsidRPr="00925E7F">
              <w:rPr>
                <w:i/>
                <w:sz w:val="20"/>
              </w:rPr>
              <w:t>gsc</w:t>
            </w:r>
          </w:p>
        </w:tc>
        <w:tc>
          <w:tcPr>
            <w:tcW w:w="675" w:type="pct"/>
          </w:tcPr>
          <w:p w14:paraId="0BD2D01F" w14:textId="77777777" w:rsidR="00925E7F" w:rsidRPr="00925E7F" w:rsidRDefault="00925E7F" w:rsidP="00925E7F">
            <w:pPr>
              <w:widowControl w:val="0"/>
              <w:spacing w:after="60"/>
              <w:rPr>
                <w:sz w:val="20"/>
              </w:rPr>
            </w:pPr>
            <w:r w:rsidRPr="00925E7F">
              <w:rPr>
                <w:sz w:val="20"/>
              </w:rPr>
              <w:t>none</w:t>
            </w:r>
          </w:p>
        </w:tc>
        <w:tc>
          <w:tcPr>
            <w:tcW w:w="3180" w:type="pct"/>
          </w:tcPr>
          <w:p w14:paraId="3186F733" w14:textId="77777777" w:rsidR="00925E7F" w:rsidRPr="00925E7F" w:rsidRDefault="00925E7F" w:rsidP="00925E7F">
            <w:pPr>
              <w:widowControl w:val="0"/>
              <w:spacing w:after="60"/>
              <w:rPr>
                <w:sz w:val="20"/>
              </w:rPr>
            </w:pPr>
            <w:r w:rsidRPr="00925E7F">
              <w:rPr>
                <w:sz w:val="20"/>
              </w:rPr>
              <w:t>A generation site code.</w:t>
            </w:r>
          </w:p>
        </w:tc>
      </w:tr>
      <w:tr w:rsidR="00925E7F" w:rsidRPr="00925E7F" w14:paraId="0CBAA8EC" w14:textId="77777777" w:rsidTr="00CB43C2">
        <w:trPr>
          <w:cantSplit/>
        </w:trPr>
        <w:tc>
          <w:tcPr>
            <w:tcW w:w="1145" w:type="pct"/>
          </w:tcPr>
          <w:p w14:paraId="4BADA72A" w14:textId="77777777" w:rsidR="00925E7F" w:rsidRPr="00925E7F" w:rsidRDefault="00925E7F" w:rsidP="00925E7F">
            <w:pPr>
              <w:widowControl w:val="0"/>
              <w:spacing w:after="60"/>
              <w:rPr>
                <w:i/>
                <w:sz w:val="20"/>
              </w:rPr>
            </w:pPr>
            <w:r w:rsidRPr="00925E7F">
              <w:rPr>
                <w:i/>
                <w:sz w:val="20"/>
              </w:rPr>
              <w:t>b</w:t>
            </w:r>
          </w:p>
        </w:tc>
        <w:tc>
          <w:tcPr>
            <w:tcW w:w="675" w:type="pct"/>
          </w:tcPr>
          <w:p w14:paraId="5FF2E66D" w14:textId="77777777" w:rsidR="00925E7F" w:rsidRPr="00925E7F" w:rsidRDefault="00925E7F" w:rsidP="00925E7F">
            <w:pPr>
              <w:widowControl w:val="0"/>
              <w:spacing w:after="60"/>
              <w:rPr>
                <w:sz w:val="20"/>
              </w:rPr>
            </w:pPr>
            <w:r w:rsidRPr="00925E7F">
              <w:rPr>
                <w:sz w:val="20"/>
              </w:rPr>
              <w:t>none</w:t>
            </w:r>
          </w:p>
        </w:tc>
        <w:tc>
          <w:tcPr>
            <w:tcW w:w="3180" w:type="pct"/>
          </w:tcPr>
          <w:p w14:paraId="047EBA38" w14:textId="77777777" w:rsidR="00925E7F" w:rsidRPr="00925E7F" w:rsidRDefault="00925E7F" w:rsidP="00925E7F">
            <w:pPr>
              <w:widowControl w:val="0"/>
              <w:spacing w:after="60"/>
              <w:rPr>
                <w:sz w:val="20"/>
              </w:rPr>
            </w:pPr>
            <w:r w:rsidRPr="00925E7F">
              <w:rPr>
                <w:sz w:val="20"/>
              </w:rPr>
              <w:t>An Electrical Bus.</w:t>
            </w:r>
          </w:p>
        </w:tc>
      </w:tr>
      <w:tr w:rsidR="00925E7F" w:rsidRPr="00925E7F" w14:paraId="22C53897" w14:textId="77777777" w:rsidTr="00CB43C2">
        <w:trPr>
          <w:cantSplit/>
        </w:trPr>
        <w:tc>
          <w:tcPr>
            <w:tcW w:w="1145" w:type="pct"/>
          </w:tcPr>
          <w:p w14:paraId="6FEF3083" w14:textId="77777777" w:rsidR="00925E7F" w:rsidRPr="00925E7F" w:rsidRDefault="00925E7F" w:rsidP="00925E7F">
            <w:pPr>
              <w:widowControl w:val="0"/>
              <w:spacing w:after="60"/>
              <w:rPr>
                <w:i/>
                <w:sz w:val="20"/>
              </w:rPr>
            </w:pPr>
            <w:r w:rsidRPr="00925E7F">
              <w:rPr>
                <w:i/>
                <w:sz w:val="20"/>
              </w:rPr>
              <w:t>y</w:t>
            </w:r>
          </w:p>
        </w:tc>
        <w:tc>
          <w:tcPr>
            <w:tcW w:w="675" w:type="pct"/>
          </w:tcPr>
          <w:p w14:paraId="4624F612" w14:textId="77777777" w:rsidR="00925E7F" w:rsidRPr="00925E7F" w:rsidRDefault="00925E7F" w:rsidP="00925E7F">
            <w:pPr>
              <w:widowControl w:val="0"/>
              <w:spacing w:after="60"/>
              <w:rPr>
                <w:sz w:val="20"/>
              </w:rPr>
            </w:pPr>
            <w:r w:rsidRPr="00925E7F">
              <w:rPr>
                <w:sz w:val="20"/>
              </w:rPr>
              <w:t>None</w:t>
            </w:r>
          </w:p>
        </w:tc>
        <w:tc>
          <w:tcPr>
            <w:tcW w:w="3180" w:type="pct"/>
          </w:tcPr>
          <w:p w14:paraId="1300DA59" w14:textId="77777777" w:rsidR="00925E7F" w:rsidRPr="00925E7F" w:rsidRDefault="00925E7F" w:rsidP="00925E7F">
            <w:pPr>
              <w:widowControl w:val="0"/>
              <w:spacing w:after="60"/>
              <w:rPr>
                <w:sz w:val="20"/>
              </w:rPr>
            </w:pPr>
            <w:r w:rsidRPr="00925E7F">
              <w:rPr>
                <w:sz w:val="20"/>
              </w:rPr>
              <w:t>A SCED interval in the 15-minute Settlement Interval.  The summation is over the total number of SCED runs that cover the 15-minute Settlement Interval.</w:t>
            </w:r>
          </w:p>
        </w:tc>
      </w:tr>
    </w:tbl>
    <w:p w14:paraId="0318AB70" w14:textId="77777777" w:rsidR="00925E7F" w:rsidRPr="00925E7F" w:rsidRDefault="00925E7F" w:rsidP="00925E7F">
      <w:pPr>
        <w:spacing w:before="240" w:after="240"/>
        <w:ind w:left="720" w:hanging="720"/>
      </w:pPr>
      <w:r w:rsidRPr="00925E7F">
        <w:t>(4)</w:t>
      </w:r>
      <w:r w:rsidRPr="00925E7F">
        <w:tab/>
        <w:t>The total net payments and charges to each QSE for energy from SODGs and SOTGs for the 15-minute Settlement Interval is calculated as follows:</w:t>
      </w:r>
    </w:p>
    <w:p w14:paraId="64758C1A" w14:textId="77777777" w:rsidR="00925E7F" w:rsidRPr="00925E7F" w:rsidRDefault="00925E7F" w:rsidP="00925E7F">
      <w:pPr>
        <w:tabs>
          <w:tab w:val="left" w:pos="2250"/>
          <w:tab w:val="left" w:pos="3150"/>
          <w:tab w:val="left" w:pos="3960"/>
        </w:tabs>
        <w:spacing w:after="240"/>
        <w:ind w:left="3960" w:hanging="3240"/>
        <w:rPr>
          <w:b/>
          <w:bCs/>
          <w:szCs w:val="24"/>
        </w:rPr>
      </w:pPr>
      <w:r w:rsidRPr="00925E7F">
        <w:rPr>
          <w:b/>
          <w:bCs/>
          <w:szCs w:val="24"/>
        </w:rPr>
        <w:t xml:space="preserve">RTESOGAMTQSETOT </w:t>
      </w:r>
      <w:r w:rsidRPr="00925E7F">
        <w:rPr>
          <w:b/>
          <w:bCs/>
          <w:i/>
          <w:szCs w:val="24"/>
          <w:vertAlign w:val="subscript"/>
        </w:rPr>
        <w:t>q</w:t>
      </w:r>
      <w:r w:rsidRPr="00925E7F">
        <w:rPr>
          <w:b/>
          <w:bCs/>
          <w:szCs w:val="24"/>
        </w:rPr>
        <w:tab/>
        <w:t xml:space="preserve">= </w:t>
      </w:r>
      <w:r w:rsidRPr="00925E7F">
        <w:rPr>
          <w:b/>
          <w:bCs/>
          <w:position w:val="-22"/>
          <w:szCs w:val="24"/>
        </w:rPr>
        <w:object w:dxaOrig="285" w:dyaOrig="450" w14:anchorId="48DB64C3">
          <v:shape id="_x0000_i1171" type="#_x0000_t75" style="width:12pt;height:24.6pt" o:ole="">
            <v:imagedata r:id="rId197" o:title=""/>
          </v:shape>
          <o:OLEObject Type="Embed" ProgID="Equation.3" ShapeID="_x0000_i1171" DrawAspect="Content" ObjectID="_1815025361" r:id="rId198"/>
        </w:object>
      </w:r>
      <w:r w:rsidRPr="00925E7F">
        <w:rPr>
          <w:b/>
          <w:bCs/>
          <w:szCs w:val="24"/>
        </w:rPr>
        <w:t xml:space="preserve">RTESOGSAMT </w:t>
      </w:r>
      <w:r w:rsidRPr="00925E7F">
        <w:rPr>
          <w:b/>
          <w:bCs/>
          <w:i/>
          <w:szCs w:val="24"/>
          <w:vertAlign w:val="subscript"/>
        </w:rPr>
        <w:t>q, gsc</w:t>
      </w:r>
    </w:p>
    <w:p w14:paraId="0C8CA5EE" w14:textId="77777777" w:rsidR="00925E7F" w:rsidRPr="00925E7F" w:rsidRDefault="00925E7F" w:rsidP="00925E7F">
      <w:r w:rsidRPr="00925E7F">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925E7F" w:rsidRPr="00925E7F" w14:paraId="78F51904" w14:textId="77777777" w:rsidTr="00CB43C2">
        <w:trPr>
          <w:cantSplit/>
          <w:tblHeader/>
        </w:trPr>
        <w:tc>
          <w:tcPr>
            <w:tcW w:w="2335" w:type="dxa"/>
          </w:tcPr>
          <w:p w14:paraId="0AC655D5" w14:textId="77777777" w:rsidR="00925E7F" w:rsidRPr="00925E7F" w:rsidRDefault="00925E7F" w:rsidP="00925E7F">
            <w:pPr>
              <w:spacing w:after="120"/>
              <w:rPr>
                <w:b/>
                <w:iCs/>
                <w:sz w:val="20"/>
              </w:rPr>
            </w:pPr>
            <w:r w:rsidRPr="00925E7F">
              <w:rPr>
                <w:b/>
                <w:iCs/>
                <w:sz w:val="20"/>
              </w:rPr>
              <w:t>Variable</w:t>
            </w:r>
          </w:p>
        </w:tc>
        <w:tc>
          <w:tcPr>
            <w:tcW w:w="700" w:type="dxa"/>
          </w:tcPr>
          <w:p w14:paraId="75D792F5" w14:textId="77777777" w:rsidR="00925E7F" w:rsidRPr="00925E7F" w:rsidRDefault="00925E7F" w:rsidP="00925E7F">
            <w:pPr>
              <w:spacing w:after="120"/>
              <w:rPr>
                <w:b/>
                <w:iCs/>
                <w:sz w:val="20"/>
              </w:rPr>
            </w:pPr>
            <w:r w:rsidRPr="00925E7F">
              <w:rPr>
                <w:b/>
                <w:iCs/>
                <w:sz w:val="20"/>
              </w:rPr>
              <w:t>Unit</w:t>
            </w:r>
          </w:p>
        </w:tc>
        <w:tc>
          <w:tcPr>
            <w:tcW w:w="6036" w:type="dxa"/>
          </w:tcPr>
          <w:p w14:paraId="6A2DC540" w14:textId="77777777" w:rsidR="00925E7F" w:rsidRPr="00925E7F" w:rsidRDefault="00925E7F" w:rsidP="00925E7F">
            <w:pPr>
              <w:spacing w:after="120"/>
              <w:rPr>
                <w:b/>
                <w:iCs/>
                <w:sz w:val="20"/>
              </w:rPr>
            </w:pPr>
            <w:r w:rsidRPr="00925E7F">
              <w:rPr>
                <w:b/>
                <w:iCs/>
                <w:sz w:val="20"/>
              </w:rPr>
              <w:t>Definition</w:t>
            </w:r>
          </w:p>
        </w:tc>
      </w:tr>
      <w:tr w:rsidR="00925E7F" w:rsidRPr="00925E7F" w14:paraId="56D69343" w14:textId="77777777" w:rsidTr="00CB43C2">
        <w:trPr>
          <w:cantSplit/>
        </w:trPr>
        <w:tc>
          <w:tcPr>
            <w:tcW w:w="2335" w:type="dxa"/>
          </w:tcPr>
          <w:p w14:paraId="6DCD9673" w14:textId="77777777" w:rsidR="00925E7F" w:rsidRPr="00925E7F" w:rsidRDefault="00925E7F" w:rsidP="00925E7F">
            <w:pPr>
              <w:spacing w:after="60"/>
              <w:rPr>
                <w:iCs/>
                <w:sz w:val="20"/>
              </w:rPr>
            </w:pPr>
            <w:r w:rsidRPr="00925E7F">
              <w:rPr>
                <w:iCs/>
                <w:sz w:val="20"/>
              </w:rPr>
              <w:t xml:space="preserve">RTESOGAMTQSETOT </w:t>
            </w:r>
            <w:r w:rsidRPr="00925E7F">
              <w:rPr>
                <w:i/>
                <w:iCs/>
                <w:sz w:val="20"/>
                <w:vertAlign w:val="subscript"/>
              </w:rPr>
              <w:t>q</w:t>
            </w:r>
          </w:p>
        </w:tc>
        <w:tc>
          <w:tcPr>
            <w:tcW w:w="700" w:type="dxa"/>
          </w:tcPr>
          <w:p w14:paraId="0311BE7B" w14:textId="77777777" w:rsidR="00925E7F" w:rsidRPr="00925E7F" w:rsidRDefault="00925E7F" w:rsidP="00925E7F">
            <w:pPr>
              <w:spacing w:after="60"/>
              <w:rPr>
                <w:iCs/>
                <w:sz w:val="20"/>
              </w:rPr>
            </w:pPr>
            <w:r w:rsidRPr="00925E7F">
              <w:rPr>
                <w:iCs/>
                <w:sz w:val="20"/>
              </w:rPr>
              <w:t>$</w:t>
            </w:r>
          </w:p>
        </w:tc>
        <w:tc>
          <w:tcPr>
            <w:tcW w:w="6036" w:type="dxa"/>
          </w:tcPr>
          <w:p w14:paraId="5AC51C2B" w14:textId="77777777" w:rsidR="00925E7F" w:rsidRPr="00925E7F" w:rsidRDefault="00925E7F" w:rsidP="00925E7F">
            <w:pPr>
              <w:spacing w:after="60"/>
              <w:rPr>
                <w:iCs/>
                <w:sz w:val="20"/>
              </w:rPr>
            </w:pPr>
            <w:r w:rsidRPr="00925E7F">
              <w:rPr>
                <w:i/>
                <w:iCs/>
                <w:sz w:val="20"/>
              </w:rPr>
              <w:t xml:space="preserve">Real-Time Energy Payment or Charge per QSE for Energy from SODGs and SOTGs </w:t>
            </w:r>
            <w:r w:rsidRPr="00925E7F">
              <w:rPr>
                <w:iCs/>
                <w:sz w:val="20"/>
              </w:rPr>
              <w:t xml:space="preserve">—The payment or charge to QSE </w:t>
            </w:r>
            <w:r w:rsidRPr="00925E7F">
              <w:rPr>
                <w:i/>
                <w:iCs/>
                <w:sz w:val="20"/>
              </w:rPr>
              <w:t>q</w:t>
            </w:r>
            <w:r w:rsidRPr="00925E7F">
              <w:rPr>
                <w:iCs/>
                <w:sz w:val="20"/>
              </w:rPr>
              <w:t xml:space="preserve"> for Real-Time energy from SODGs and SOTGs, for the 15-minute Settlement Interval.</w:t>
            </w:r>
          </w:p>
        </w:tc>
      </w:tr>
      <w:tr w:rsidR="00925E7F" w:rsidRPr="00925E7F" w14:paraId="18D8A7AF" w14:textId="77777777" w:rsidTr="00CB43C2">
        <w:trPr>
          <w:cantSplit/>
        </w:trPr>
        <w:tc>
          <w:tcPr>
            <w:tcW w:w="2335" w:type="dxa"/>
          </w:tcPr>
          <w:p w14:paraId="00DC4291" w14:textId="77777777" w:rsidR="00925E7F" w:rsidRPr="00925E7F" w:rsidRDefault="00925E7F" w:rsidP="00925E7F">
            <w:pPr>
              <w:spacing w:after="60"/>
              <w:rPr>
                <w:iCs/>
                <w:sz w:val="20"/>
              </w:rPr>
            </w:pPr>
            <w:r w:rsidRPr="00925E7F">
              <w:rPr>
                <w:iCs/>
                <w:sz w:val="20"/>
              </w:rPr>
              <w:t xml:space="preserve">RTESOGSAMT </w:t>
            </w:r>
            <w:r w:rsidRPr="00925E7F">
              <w:rPr>
                <w:i/>
                <w:iCs/>
                <w:sz w:val="20"/>
                <w:vertAlign w:val="subscript"/>
              </w:rPr>
              <w:t>q, gsc</w:t>
            </w:r>
          </w:p>
        </w:tc>
        <w:tc>
          <w:tcPr>
            <w:tcW w:w="700" w:type="dxa"/>
          </w:tcPr>
          <w:p w14:paraId="1CF26442" w14:textId="77777777" w:rsidR="00925E7F" w:rsidRPr="00925E7F" w:rsidRDefault="00925E7F" w:rsidP="00925E7F">
            <w:pPr>
              <w:spacing w:after="60"/>
              <w:rPr>
                <w:iCs/>
                <w:sz w:val="20"/>
              </w:rPr>
            </w:pPr>
            <w:r w:rsidRPr="00925E7F">
              <w:rPr>
                <w:iCs/>
                <w:sz w:val="20"/>
              </w:rPr>
              <w:t>$</w:t>
            </w:r>
          </w:p>
        </w:tc>
        <w:tc>
          <w:tcPr>
            <w:tcW w:w="6036" w:type="dxa"/>
          </w:tcPr>
          <w:p w14:paraId="19FCF892" w14:textId="77777777" w:rsidR="00925E7F" w:rsidRPr="00925E7F" w:rsidRDefault="00925E7F" w:rsidP="00925E7F">
            <w:pPr>
              <w:spacing w:after="60"/>
              <w:rPr>
                <w:iCs/>
                <w:sz w:val="20"/>
              </w:rPr>
            </w:pPr>
            <w:r w:rsidRPr="00925E7F">
              <w:rPr>
                <w:i/>
                <w:iCs/>
                <w:sz w:val="20"/>
              </w:rPr>
              <w:t>Real-Time Energy for SODG and SOTG Site Amount</w:t>
            </w:r>
            <w:r w:rsidRPr="00925E7F" w:rsidDel="006C2DC2">
              <w:rPr>
                <w:i/>
                <w:iCs/>
                <w:sz w:val="20"/>
              </w:rPr>
              <w:t xml:space="preserve"> </w:t>
            </w:r>
            <w:r w:rsidRPr="00925E7F">
              <w:rPr>
                <w:iCs/>
                <w:sz w:val="20"/>
              </w:rPr>
              <w:t xml:space="preserve">—The total payment or charge to QSE </w:t>
            </w:r>
            <w:r w:rsidRPr="00925E7F">
              <w:rPr>
                <w:i/>
                <w:iCs/>
                <w:sz w:val="20"/>
              </w:rPr>
              <w:t>q</w:t>
            </w:r>
            <w:r w:rsidRPr="00925E7F">
              <w:rPr>
                <w:iCs/>
                <w:sz w:val="20"/>
              </w:rPr>
              <w:t xml:space="preserve"> for an SODG or SOTG site</w:t>
            </w:r>
            <w:r w:rsidRPr="00925E7F">
              <w:rPr>
                <w:i/>
                <w:iCs/>
                <w:sz w:val="20"/>
              </w:rPr>
              <w:t xml:space="preserve"> gsc</w:t>
            </w:r>
            <w:r w:rsidRPr="00925E7F">
              <w:rPr>
                <w:iCs/>
                <w:sz w:val="20"/>
              </w:rPr>
              <w:t xml:space="preserve"> for the 15-minute Settlement Interval.</w:t>
            </w:r>
          </w:p>
        </w:tc>
      </w:tr>
      <w:tr w:rsidR="00925E7F" w:rsidRPr="00925E7F" w14:paraId="1D9D6F1A" w14:textId="77777777" w:rsidTr="00CB43C2">
        <w:trPr>
          <w:cantSplit/>
        </w:trPr>
        <w:tc>
          <w:tcPr>
            <w:tcW w:w="2335" w:type="dxa"/>
            <w:tcBorders>
              <w:top w:val="single" w:sz="4" w:space="0" w:color="auto"/>
              <w:left w:val="single" w:sz="4" w:space="0" w:color="auto"/>
              <w:bottom w:val="single" w:sz="4" w:space="0" w:color="auto"/>
              <w:right w:val="single" w:sz="4" w:space="0" w:color="auto"/>
            </w:tcBorders>
          </w:tcPr>
          <w:p w14:paraId="4AA5ADF7" w14:textId="77777777" w:rsidR="00925E7F" w:rsidRPr="00925E7F" w:rsidRDefault="00925E7F" w:rsidP="00925E7F">
            <w:pPr>
              <w:spacing w:after="60"/>
              <w:rPr>
                <w:i/>
                <w:iCs/>
                <w:sz w:val="20"/>
              </w:rPr>
            </w:pPr>
            <w:r w:rsidRPr="00925E7F">
              <w:rPr>
                <w:i/>
                <w:iCs/>
                <w:sz w:val="20"/>
              </w:rPr>
              <w:t>q</w:t>
            </w:r>
          </w:p>
        </w:tc>
        <w:tc>
          <w:tcPr>
            <w:tcW w:w="700" w:type="dxa"/>
            <w:tcBorders>
              <w:top w:val="single" w:sz="4" w:space="0" w:color="auto"/>
              <w:left w:val="single" w:sz="4" w:space="0" w:color="auto"/>
              <w:bottom w:val="single" w:sz="4" w:space="0" w:color="auto"/>
              <w:right w:val="single" w:sz="4" w:space="0" w:color="auto"/>
            </w:tcBorders>
          </w:tcPr>
          <w:p w14:paraId="510FC691" w14:textId="77777777" w:rsidR="00925E7F" w:rsidRPr="00925E7F" w:rsidRDefault="00925E7F" w:rsidP="00925E7F">
            <w:pPr>
              <w:spacing w:after="60"/>
              <w:rPr>
                <w:iCs/>
                <w:sz w:val="20"/>
              </w:rPr>
            </w:pPr>
            <w:r w:rsidRPr="00925E7F">
              <w:rPr>
                <w:iCs/>
                <w:sz w:val="20"/>
              </w:rPr>
              <w:t>none</w:t>
            </w:r>
          </w:p>
        </w:tc>
        <w:tc>
          <w:tcPr>
            <w:tcW w:w="6036" w:type="dxa"/>
            <w:tcBorders>
              <w:top w:val="single" w:sz="4" w:space="0" w:color="auto"/>
              <w:left w:val="single" w:sz="4" w:space="0" w:color="auto"/>
              <w:bottom w:val="single" w:sz="4" w:space="0" w:color="auto"/>
              <w:right w:val="single" w:sz="4" w:space="0" w:color="auto"/>
            </w:tcBorders>
          </w:tcPr>
          <w:p w14:paraId="65418523" w14:textId="77777777" w:rsidR="00925E7F" w:rsidRPr="00925E7F" w:rsidRDefault="00925E7F" w:rsidP="00925E7F">
            <w:pPr>
              <w:spacing w:after="60"/>
              <w:rPr>
                <w:iCs/>
                <w:sz w:val="20"/>
              </w:rPr>
            </w:pPr>
            <w:r w:rsidRPr="00925E7F">
              <w:rPr>
                <w:iCs/>
                <w:sz w:val="20"/>
              </w:rPr>
              <w:t>A QSE.</w:t>
            </w:r>
          </w:p>
        </w:tc>
      </w:tr>
      <w:tr w:rsidR="00925E7F" w:rsidRPr="00925E7F" w14:paraId="568DDEEF" w14:textId="77777777" w:rsidTr="00CB43C2">
        <w:trPr>
          <w:cantSplit/>
        </w:trPr>
        <w:tc>
          <w:tcPr>
            <w:tcW w:w="2335" w:type="dxa"/>
            <w:tcBorders>
              <w:top w:val="single" w:sz="4" w:space="0" w:color="auto"/>
              <w:left w:val="single" w:sz="4" w:space="0" w:color="auto"/>
              <w:bottom w:val="single" w:sz="4" w:space="0" w:color="auto"/>
              <w:right w:val="single" w:sz="4" w:space="0" w:color="auto"/>
            </w:tcBorders>
          </w:tcPr>
          <w:p w14:paraId="3BBBF4B0" w14:textId="77777777" w:rsidR="00925E7F" w:rsidRPr="00925E7F" w:rsidRDefault="00925E7F" w:rsidP="00925E7F">
            <w:pPr>
              <w:spacing w:after="60"/>
              <w:rPr>
                <w:i/>
                <w:iCs/>
                <w:sz w:val="20"/>
              </w:rPr>
            </w:pPr>
            <w:r w:rsidRPr="00925E7F">
              <w:rPr>
                <w:i/>
                <w:iCs/>
                <w:sz w:val="20"/>
              </w:rPr>
              <w:t>gsc</w:t>
            </w:r>
          </w:p>
        </w:tc>
        <w:tc>
          <w:tcPr>
            <w:tcW w:w="700" w:type="dxa"/>
            <w:tcBorders>
              <w:top w:val="single" w:sz="4" w:space="0" w:color="auto"/>
              <w:left w:val="single" w:sz="4" w:space="0" w:color="auto"/>
              <w:bottom w:val="single" w:sz="4" w:space="0" w:color="auto"/>
              <w:right w:val="single" w:sz="4" w:space="0" w:color="auto"/>
            </w:tcBorders>
          </w:tcPr>
          <w:p w14:paraId="34A6DF47" w14:textId="77777777" w:rsidR="00925E7F" w:rsidRPr="00925E7F" w:rsidRDefault="00925E7F" w:rsidP="00925E7F">
            <w:pPr>
              <w:spacing w:after="60"/>
              <w:rPr>
                <w:iCs/>
                <w:sz w:val="20"/>
              </w:rPr>
            </w:pPr>
            <w:r w:rsidRPr="00925E7F">
              <w:rPr>
                <w:iCs/>
                <w:sz w:val="20"/>
              </w:rPr>
              <w:t>none</w:t>
            </w:r>
          </w:p>
        </w:tc>
        <w:tc>
          <w:tcPr>
            <w:tcW w:w="6036" w:type="dxa"/>
            <w:tcBorders>
              <w:top w:val="single" w:sz="4" w:space="0" w:color="auto"/>
              <w:left w:val="single" w:sz="4" w:space="0" w:color="auto"/>
              <w:bottom w:val="single" w:sz="4" w:space="0" w:color="auto"/>
              <w:right w:val="single" w:sz="4" w:space="0" w:color="auto"/>
            </w:tcBorders>
          </w:tcPr>
          <w:p w14:paraId="00D06A62" w14:textId="77777777" w:rsidR="00925E7F" w:rsidRPr="00925E7F" w:rsidRDefault="00925E7F" w:rsidP="00925E7F">
            <w:pPr>
              <w:spacing w:after="60"/>
              <w:rPr>
                <w:iCs/>
                <w:sz w:val="20"/>
              </w:rPr>
            </w:pPr>
            <w:r w:rsidRPr="00925E7F">
              <w:rPr>
                <w:iCs/>
                <w:sz w:val="20"/>
              </w:rPr>
              <w:t>A generation site code.</w:t>
            </w:r>
          </w:p>
        </w:tc>
      </w:tr>
    </w:tbl>
    <w:p w14:paraId="1BAE4C8C" w14:textId="77777777" w:rsidR="00925E7F" w:rsidRPr="00925E7F" w:rsidRDefault="00925E7F" w:rsidP="00925E7F">
      <w:pPr>
        <w:widowControl w:val="0"/>
        <w:spacing w:before="240" w:after="240"/>
        <w:ind w:left="720" w:hanging="720"/>
      </w:pPr>
      <w:r w:rsidRPr="00925E7F">
        <w:rPr>
          <w:bCs/>
        </w:rPr>
        <w:t xml:space="preserve">(5) </w:t>
      </w:r>
      <w:r w:rsidRPr="00925E7F">
        <w:rPr>
          <w:bCs/>
        </w:rPr>
        <w:tab/>
        <w:t xml:space="preserve">Notwithstanding anything else in this Section except paragraphs (6) and (7) below, a </w:t>
      </w:r>
      <w:r w:rsidRPr="00925E7F">
        <w:rPr>
          <w:bCs/>
        </w:rPr>
        <w:lastRenderedPageBreak/>
        <w:t xml:space="preserve">Resource Entity may opt out of nodal pricing and continue Load Zone Settlement for any </w:t>
      </w:r>
      <w:r w:rsidRPr="00925E7F">
        <w:t xml:space="preserve">SODG or SOTG if, by January 1, 2019, the SODG or SOTG was operational or was subject to a Power Purchase or Tolling Agreement (PPA) or Transmission and/or Distribution Service Provider (TDSP) interconnection agreement, or had an executed agreement with a developer.  By December 31, 2019, the Resource Entity must submit a properly completed Section 23, Form N,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provide ERCOT documented proof of any PPA, TDSP interconnection agreement, or developer agreement that it relies on as a basis for any election under this paragraph.  This election is valid through the earlier of December 31, 2029 or the date on which the election is revoked pursuant to paragraph (8) of this Section.  On January 1, 2030, all SODGs and SOTGs will be subject to nodal pricing.  </w:t>
      </w:r>
    </w:p>
    <w:p w14:paraId="08BB4E03" w14:textId="77777777" w:rsidR="00925E7F" w:rsidRPr="00925E7F" w:rsidRDefault="00925E7F" w:rsidP="00925E7F">
      <w:pPr>
        <w:widowControl w:val="0"/>
        <w:spacing w:after="240"/>
        <w:ind w:left="720" w:hanging="720"/>
      </w:pPr>
      <w:r w:rsidRPr="00925E7F">
        <w:t>(6)</w:t>
      </w:r>
      <w:r w:rsidRPr="00925E7F">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14AC7094" w14:textId="77777777" w:rsidR="00925E7F" w:rsidRPr="00925E7F" w:rsidRDefault="00925E7F" w:rsidP="00925E7F">
      <w:pPr>
        <w:widowControl w:val="0"/>
        <w:spacing w:after="240"/>
        <w:ind w:left="720" w:hanging="720"/>
      </w:pPr>
      <w:r w:rsidRPr="00925E7F">
        <w:t>(7)</w:t>
      </w:r>
      <w:r w:rsidRPr="00925E7F">
        <w:tab/>
        <w:t>If at any time ERCOT determines that the SODG or SOTG fails to meet the opt-out conditions in paragraph (6) above, ERCOT shall settle the output of the SODG or SOTG at the applicable nodal price as soon as practicable after providing written notice to the affected Resource Entity.</w:t>
      </w:r>
    </w:p>
    <w:p w14:paraId="32413C71" w14:textId="3667AD0A" w:rsidR="009058F4" w:rsidRDefault="00925E7F" w:rsidP="00925E7F">
      <w:pPr>
        <w:widowControl w:val="0"/>
        <w:spacing w:after="240"/>
        <w:ind w:left="720" w:hanging="720"/>
      </w:pPr>
      <w:r w:rsidRPr="00925E7F">
        <w:rPr>
          <w:szCs w:val="24"/>
        </w:rPr>
        <w:t>(8)</w:t>
      </w:r>
      <w:r w:rsidRPr="00925E7F">
        <w:rPr>
          <w:szCs w:val="24"/>
        </w:rPr>
        <w:tab/>
        <w:t xml:space="preserve">A Resource Entity that has opted out of nodal pricing for one or more SODGs or SOTGs pursuant to </w:t>
      </w:r>
      <w:r w:rsidRPr="00925E7F">
        <w:t>paragraph</w:t>
      </w:r>
      <w:r w:rsidRPr="00925E7F">
        <w:rPr>
          <w:szCs w:val="24"/>
        </w:rPr>
        <w:t xml:space="preserve"> (5)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925E7F">
        <w:t>pricing</w:t>
      </w:r>
      <w:r w:rsidRPr="00925E7F">
        <w:rPr>
          <w:szCs w:val="24"/>
        </w:rPr>
        <w:t xml:space="preserve"> in ERCOT Settlement systems as soon as practicable.</w:t>
      </w: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9058F4" w14:paraId="1D13C691" w14:textId="77777777" w:rsidTr="009058F4">
        <w:trPr>
          <w:trHeight w:val="206"/>
        </w:trPr>
        <w:tc>
          <w:tcPr>
            <w:tcW w:w="9576" w:type="dxa"/>
            <w:shd w:val="pct12" w:color="auto" w:fill="auto"/>
          </w:tcPr>
          <w:p w14:paraId="0BB89857" w14:textId="2CCAB0F9" w:rsidR="009058F4" w:rsidRDefault="009058F4" w:rsidP="008B123E">
            <w:pPr>
              <w:pStyle w:val="Instructions"/>
              <w:spacing w:before="120"/>
            </w:pPr>
            <w:bookmarkStart w:id="1982" w:name="_Toc448142325"/>
            <w:bookmarkStart w:id="1983" w:name="_Toc448142482"/>
            <w:bookmarkStart w:id="1984" w:name="_Toc458770323"/>
            <w:bookmarkStart w:id="1985" w:name="_Toc459294291"/>
            <w:bookmarkStart w:id="1986" w:name="_Toc463262784"/>
            <w:bookmarkStart w:id="1987" w:name="_Toc468286857"/>
            <w:bookmarkStart w:id="1988" w:name="_Toc481502897"/>
            <w:bookmarkStart w:id="1989" w:name="_Toc496080065"/>
            <w:r>
              <w:t>[</w:t>
            </w:r>
            <w:r w:rsidR="00031AC3">
              <w:t>NPRR995</w:t>
            </w:r>
            <w:r w:rsidR="00925E7F">
              <w:t xml:space="preserve"> and</w:t>
            </w:r>
            <w:r w:rsidR="001A78EC">
              <w:t xml:space="preserve"> NPRR1010</w:t>
            </w:r>
            <w:r>
              <w:t xml:space="preserve">:  </w:t>
            </w:r>
            <w:r w:rsidR="0024071F">
              <w:t>Replace</w:t>
            </w:r>
            <w:r>
              <w:t xml:space="preserve"> </w:t>
            </w:r>
            <w:r w:rsidR="001A78EC">
              <w:t xml:space="preserve">applicable portions of </w:t>
            </w:r>
            <w:r>
              <w:t>Section 6.6.3.</w:t>
            </w:r>
            <w:r w:rsidR="00720B34">
              <w:t>8</w:t>
            </w:r>
            <w:r>
              <w:t xml:space="preserve"> </w:t>
            </w:r>
            <w:r w:rsidR="0024071F">
              <w:t>above with the following</w:t>
            </w:r>
            <w:r>
              <w:t xml:space="preserve"> upon system implementation</w:t>
            </w:r>
            <w:r w:rsidR="006465B2">
              <w:t xml:space="preserve"> for NPRR995;</w:t>
            </w:r>
            <w:r w:rsidR="001A78EC">
              <w:t xml:space="preserve"> or upon system implementation of the Real-Time Co-Optimization (RTC) project for NPRR1010</w:t>
            </w:r>
            <w:r>
              <w:t>:]</w:t>
            </w:r>
          </w:p>
          <w:p w14:paraId="43B8FA8D" w14:textId="76F41A11" w:rsidR="009058F4" w:rsidRDefault="009058F4" w:rsidP="009058F4">
            <w:pPr>
              <w:pStyle w:val="H4"/>
              <w:spacing w:before="480"/>
            </w:pPr>
            <w:bookmarkStart w:id="1990" w:name="_Toc17798734"/>
            <w:bookmarkStart w:id="1991" w:name="_Toc112417648"/>
            <w:bookmarkStart w:id="1992" w:name="_Toc119310317"/>
            <w:bookmarkStart w:id="1993" w:name="_Toc125966250"/>
            <w:bookmarkStart w:id="1994" w:name="_Toc135992348"/>
            <w:bookmarkStart w:id="1995" w:name="_Toc170303544"/>
            <w:bookmarkStart w:id="1996" w:name="_Toc175157448"/>
            <w:bookmarkStart w:id="1997" w:name="_Toc204411674"/>
            <w:r>
              <w:t>6.6.3.</w:t>
            </w:r>
            <w:r w:rsidR="00720B34">
              <w:t>8</w:t>
            </w:r>
            <w:r>
              <w:tab/>
              <w:t xml:space="preserve">Real-Time Payment or Charge </w:t>
            </w:r>
            <w:r w:rsidRPr="007D3BAF">
              <w:t xml:space="preserve">for </w:t>
            </w:r>
            <w:r>
              <w:t xml:space="preserve">Energy from a </w:t>
            </w:r>
            <w:r w:rsidRPr="00A6342E">
              <w:t>Settlement Only Distribution Generator (SODG)</w:t>
            </w:r>
            <w:r w:rsidR="00031AC3">
              <w:t>,</w:t>
            </w:r>
            <w:r>
              <w:t xml:space="preserve"> </w:t>
            </w:r>
            <w:r w:rsidRPr="00A6342E">
              <w:t>Settlement Only Transmission Generator (SOTG)</w:t>
            </w:r>
            <w:bookmarkEnd w:id="1990"/>
            <w:r w:rsidR="00031AC3" w:rsidRPr="00031AC3">
              <w:t>, Settlement Only Distribution Energy Storage System (SODESS), or Settlement Only Transmission Energy Storage System (SOTESS)</w:t>
            </w:r>
            <w:bookmarkEnd w:id="1991"/>
            <w:bookmarkEnd w:id="1992"/>
            <w:bookmarkEnd w:id="1993"/>
            <w:bookmarkEnd w:id="1994"/>
            <w:bookmarkEnd w:id="1995"/>
            <w:bookmarkEnd w:id="1996"/>
            <w:bookmarkEnd w:id="1997"/>
            <w:r>
              <w:t xml:space="preserve"> </w:t>
            </w:r>
          </w:p>
          <w:p w14:paraId="25D9D0F0" w14:textId="61E8D199" w:rsidR="007332D0" w:rsidRPr="005356B7" w:rsidRDefault="009058F4" w:rsidP="00985A9C">
            <w:pPr>
              <w:pStyle w:val="BodyTextNumbered"/>
              <w:widowControl w:val="0"/>
            </w:pPr>
            <w:r w:rsidRPr="005473AF">
              <w:t>(1)</w:t>
            </w:r>
            <w:r w:rsidRPr="005473AF">
              <w:tab/>
            </w:r>
            <w:r w:rsidR="007332D0">
              <w:t>T</w:t>
            </w:r>
            <w:r w:rsidRPr="005473AF">
              <w:t xml:space="preserve">he payment or charge to each </w:t>
            </w:r>
            <w:r w:rsidRPr="00C5632E">
              <w:t>QSE</w:t>
            </w:r>
            <w:r w:rsidRPr="005473AF">
              <w:t xml:space="preserve"> for energy from </w:t>
            </w:r>
            <w:r>
              <w:t xml:space="preserve">an </w:t>
            </w:r>
            <w:r w:rsidRPr="00A6342E">
              <w:t>SODG</w:t>
            </w:r>
            <w:r w:rsidR="00031AC3">
              <w:t>,</w:t>
            </w:r>
            <w:r>
              <w:t xml:space="preserve"> </w:t>
            </w:r>
            <w:r w:rsidRPr="00A6342E">
              <w:t>SOTG</w:t>
            </w:r>
            <w:r w:rsidR="00031AC3">
              <w:t xml:space="preserve">, SODESS, or </w:t>
            </w:r>
            <w:r w:rsidR="00031AC3">
              <w:lastRenderedPageBreak/>
              <w:t>SOTESS</w:t>
            </w:r>
            <w:r w:rsidRPr="005473AF">
              <w:t xml:space="preserve"> shall be based on a</w:t>
            </w:r>
            <w:r>
              <w:t>n identified</w:t>
            </w:r>
            <w:r w:rsidRPr="005473AF">
              <w:t xml:space="preserve"> nodal energy price</w:t>
            </w:r>
            <w:r>
              <w:t>, RTESOPR,</w:t>
            </w:r>
            <w:r w:rsidRPr="005473AF">
              <w:t xml:space="preserve"> </w:t>
            </w:r>
            <w:r>
              <w:t>as described in this subsection</w:t>
            </w:r>
            <w:r w:rsidR="007332D0">
              <w:t>, with the exception</w:t>
            </w:r>
            <w:r w:rsidR="00031AC3">
              <w:t xml:space="preserve"> of a</w:t>
            </w:r>
            <w:r w:rsidR="007332D0">
              <w:t>n SODG or SOTG that has opted out of nodal pricing as described in paragraph (</w:t>
            </w:r>
            <w:r w:rsidR="00031AC3">
              <w:t>7</w:t>
            </w:r>
            <w:r w:rsidR="007332D0">
              <w:t>) below</w:t>
            </w:r>
            <w:r w:rsidR="00031AC3">
              <w:t>.</w:t>
            </w:r>
          </w:p>
          <w:p w14:paraId="44BCAD61" w14:textId="0FB55B4B" w:rsidR="009058F4" w:rsidRPr="004A3590" w:rsidRDefault="009058F4" w:rsidP="007332D0">
            <w:pPr>
              <w:pStyle w:val="BodyTextNumbered"/>
              <w:widowControl w:val="0"/>
            </w:pPr>
            <w:r>
              <w:t>(2)</w:t>
            </w:r>
            <w:r>
              <w:tab/>
              <w:t>For an SODG</w:t>
            </w:r>
            <w:r w:rsidR="00031AC3">
              <w:t xml:space="preserve"> or an SODESS</w:t>
            </w:r>
            <w:r w:rsidRPr="00AB7A55">
              <w:t xml:space="preserve">, the </w:t>
            </w:r>
            <w:r w:rsidRPr="008065D2">
              <w:t>price</w:t>
            </w:r>
            <w:r w:rsidRPr="00AB7A55">
              <w:t xml:space="preserve"> used as the basis for the 15-minute Real-Time price calculation is the </w:t>
            </w:r>
            <w:r>
              <w:t xml:space="preserve">time-weighted </w:t>
            </w:r>
            <w:r w:rsidRPr="00AB7A55">
              <w:t>price</w:t>
            </w:r>
            <w:r w:rsidRPr="008065D2">
              <w:t xml:space="preserve"> at the</w:t>
            </w:r>
            <w:r w:rsidRPr="00AB7A55">
              <w:t xml:space="preserve"> </w:t>
            </w:r>
            <w:r>
              <w:t>E</w:t>
            </w:r>
            <w:r w:rsidRPr="00AB7A55">
              <w:t xml:space="preserve">lectrical </w:t>
            </w:r>
            <w:r>
              <w:t>B</w:t>
            </w:r>
            <w:r w:rsidRPr="00AB7A55">
              <w:t>us associated with this mapped Load in the Network Operations Model</w:t>
            </w:r>
            <w:r w:rsidRPr="008065D2">
              <w:t>.</w:t>
            </w:r>
            <w:r w:rsidRPr="00AB7A55">
              <w:t xml:space="preserve"> </w:t>
            </w:r>
            <w:r>
              <w:t xml:space="preserve"> </w:t>
            </w:r>
            <w:r w:rsidRPr="00AB7A55">
              <w:t xml:space="preserve">For </w:t>
            </w:r>
            <w:r>
              <w:t>an SOTG</w:t>
            </w:r>
            <w:r w:rsidR="00EC6A86">
              <w:t xml:space="preserve"> or an SOTESS</w:t>
            </w:r>
            <w:r w:rsidRPr="00AB7A55">
              <w:t xml:space="preserve">, the </w:t>
            </w:r>
            <w:r w:rsidRPr="008065D2">
              <w:t>price</w:t>
            </w:r>
            <w:r w:rsidRPr="00AB7A55">
              <w:t xml:space="preserve"> used as the basis for the 15-minute Real-Time price calculation is the </w:t>
            </w:r>
            <w:r>
              <w:t xml:space="preserve">time-weighted </w:t>
            </w:r>
            <w:r w:rsidRPr="008065D2">
              <w:t xml:space="preserve">price at the </w:t>
            </w:r>
            <w:r>
              <w:t>E</w:t>
            </w:r>
            <w:r w:rsidRPr="00AB7A55">
              <w:t xml:space="preserve">lectrical </w:t>
            </w:r>
            <w:r>
              <w:t>B</w:t>
            </w:r>
            <w:r w:rsidRPr="00AB7A55">
              <w:t xml:space="preserve">us as determined by ERCOT in review of the meter location of the </w:t>
            </w:r>
            <w:r>
              <w:t>SOTG</w:t>
            </w:r>
            <w:r w:rsidRPr="00AB7A55">
              <w:t xml:space="preserve"> </w:t>
            </w:r>
            <w:r w:rsidR="00EC6A86">
              <w:t xml:space="preserve">or SOTESS </w:t>
            </w:r>
            <w:r w:rsidRPr="00AB7A55">
              <w:t>in the Network Operations Model.</w:t>
            </w:r>
            <w:r>
              <w:t xml:space="preserve">  </w:t>
            </w:r>
            <w:r w:rsidR="00EC6A86">
              <w:t xml:space="preserve">Load that is not WSL will be included in the Real-Time AML per QSE.  Each </w:t>
            </w:r>
            <w:r>
              <w:t>SODG</w:t>
            </w:r>
            <w:r w:rsidR="00EC6A86">
              <w:t>,</w:t>
            </w:r>
            <w:r>
              <w:t xml:space="preserve"> SOTG</w:t>
            </w:r>
            <w:r w:rsidR="00EC6A86">
              <w:t>, SODESS, and SOTESS</w:t>
            </w:r>
            <w:r w:rsidRPr="004A3590">
              <w:t xml:space="preserve"> </w:t>
            </w:r>
            <w:r>
              <w:t>site will be represented as a single unit</w:t>
            </w:r>
            <w:r w:rsidRPr="004A3590">
              <w:t xml:space="preserve"> in the ERCOT </w:t>
            </w:r>
            <w:r>
              <w:t>S</w:t>
            </w:r>
            <w:r w:rsidRPr="004A3590">
              <w:t>ettlement system</w:t>
            </w:r>
            <w:r>
              <w:t>.</w:t>
            </w:r>
          </w:p>
          <w:p w14:paraId="15544BD1" w14:textId="3B7C166D" w:rsidR="009058F4" w:rsidRDefault="009058F4" w:rsidP="009058F4">
            <w:pPr>
              <w:pStyle w:val="BodyTextNumbered"/>
              <w:widowControl w:val="0"/>
            </w:pPr>
            <w:r>
              <w:t>(3)</w:t>
            </w:r>
            <w:r>
              <w:tab/>
              <w:t>For an SODG</w:t>
            </w:r>
            <w:r w:rsidR="00EC6A86">
              <w:t>,</w:t>
            </w:r>
            <w:r>
              <w:t xml:space="preserve"> SOTG, </w:t>
            </w:r>
            <w:r w:rsidR="00EC6A86">
              <w:t xml:space="preserve">SODESS, or SOTESS, </w:t>
            </w:r>
            <w:r>
              <w:t>the total payment or charge for each 15-minute Settlement Interval shall be calculated as follows:</w:t>
            </w:r>
          </w:p>
          <w:p w14:paraId="4B4D46C0" w14:textId="77777777" w:rsidR="009C2EEB" w:rsidRPr="00DA2165" w:rsidRDefault="009C2EEB" w:rsidP="009C2EEB">
            <w:pPr>
              <w:pStyle w:val="FormulaBold"/>
            </w:pPr>
            <w:r w:rsidRPr="00DA2165">
              <w:t>MEBSOGNET</w:t>
            </w:r>
            <w:r w:rsidRPr="00DA2165">
              <w:rPr>
                <w:i/>
                <w:sz w:val="28"/>
                <w:szCs w:val="28"/>
                <w:vertAlign w:val="subscript"/>
              </w:rPr>
              <w:t xml:space="preserve"> q,</w:t>
            </w:r>
            <w:r w:rsidRPr="00DA2165">
              <w:t xml:space="preserve"> </w:t>
            </w:r>
            <w:r w:rsidRPr="00DA2165">
              <w:rPr>
                <w:i/>
                <w:sz w:val="28"/>
                <w:szCs w:val="28"/>
                <w:vertAlign w:val="subscript"/>
              </w:rPr>
              <w:t>gsc</w:t>
            </w:r>
            <w:r w:rsidRPr="00DA2165">
              <w:t xml:space="preserve"> =   Max(0, </w:t>
            </w:r>
            <w:r w:rsidRPr="00DA2165">
              <w:rPr>
                <w:position w:val="-20"/>
              </w:rPr>
              <w:object w:dxaOrig="225" w:dyaOrig="435" w14:anchorId="7E317B1F">
                <v:shape id="_x0000_i1172" type="#_x0000_t75" style="width:12pt;height:24pt" o:ole="">
                  <v:imagedata r:id="rId189" o:title=""/>
                </v:shape>
                <o:OLEObject Type="Embed" ProgID="Equation.3" ShapeID="_x0000_i1172" DrawAspect="Content" ObjectID="_1815025362" r:id="rId199"/>
              </w:object>
            </w:r>
            <w:r w:rsidRPr="00DA2165">
              <w:t>MEBSOG</w:t>
            </w:r>
            <w:r w:rsidRPr="00DA2165">
              <w:rPr>
                <w:i/>
                <w:vertAlign w:val="subscript"/>
              </w:rPr>
              <w:t xml:space="preserve"> q, gsc, b</w:t>
            </w:r>
            <w:r w:rsidRPr="00DA2165">
              <w:t>)</w:t>
            </w:r>
          </w:p>
          <w:p w14:paraId="6EA02291" w14:textId="77777777" w:rsidR="009C2EEB" w:rsidRPr="00DA2165" w:rsidRDefault="009C2EEB" w:rsidP="009C2EEB">
            <w:pPr>
              <w:pStyle w:val="BodyTextNumbered"/>
              <w:widowControl w:val="0"/>
              <w:ind w:firstLine="0"/>
            </w:pPr>
            <w:r w:rsidRPr="00DA2165">
              <w:t>If MEBSOGNET</w:t>
            </w:r>
            <w:r w:rsidRPr="00DA2165">
              <w:rPr>
                <w:i/>
                <w:sz w:val="28"/>
                <w:szCs w:val="28"/>
                <w:vertAlign w:val="subscript"/>
              </w:rPr>
              <w:t xml:space="preserve"> </w:t>
            </w:r>
            <w:r w:rsidRPr="00DA2165">
              <w:rPr>
                <w:i/>
                <w:vertAlign w:val="subscript"/>
              </w:rPr>
              <w:t>q, gsc</w:t>
            </w:r>
            <w:r w:rsidRPr="00DA2165">
              <w:t xml:space="preserve"> = 0 for a 15-minute Settlement Interval, then</w:t>
            </w:r>
          </w:p>
          <w:p w14:paraId="105B0752" w14:textId="227526B2" w:rsidR="009C2EEB" w:rsidRPr="00DA2165" w:rsidRDefault="009C2EEB" w:rsidP="009C2EEB">
            <w:pPr>
              <w:pStyle w:val="BodyTextNumbered"/>
              <w:widowControl w:val="0"/>
              <w:ind w:firstLine="0"/>
            </w:pPr>
            <w:r w:rsidRPr="00DA2165">
              <w:t>The Load is included in the Real-Time AML per QSE</w:t>
            </w:r>
            <w:r w:rsidR="00EC6A86">
              <w:t>, excluding WSL</w:t>
            </w:r>
            <w:r w:rsidRPr="00DA2165">
              <w:t>.</w:t>
            </w:r>
          </w:p>
          <w:p w14:paraId="0F3484F9" w14:textId="77777777" w:rsidR="009C2EEB" w:rsidRPr="00DA2165" w:rsidRDefault="009C2EEB" w:rsidP="009C2EEB">
            <w:pPr>
              <w:pStyle w:val="FormulaBold"/>
            </w:pPr>
            <w:r w:rsidRPr="00DA2165">
              <w:rPr>
                <w:b w:val="0"/>
                <w:bCs w:val="0"/>
                <w:szCs w:val="20"/>
              </w:rPr>
              <w:t>Otherwise, when MEBSOGNET</w:t>
            </w:r>
            <w:r w:rsidRPr="00DA2165">
              <w:rPr>
                <w:i/>
                <w:vertAlign w:val="subscript"/>
              </w:rPr>
              <w:t xml:space="preserve"> q, gsc</w:t>
            </w:r>
            <w:r w:rsidRPr="00DA2165">
              <w:rPr>
                <w:b w:val="0"/>
              </w:rPr>
              <w:t xml:space="preserve"> &gt; 0 for a 15-minute Settlement Interval, then</w:t>
            </w:r>
          </w:p>
          <w:p w14:paraId="5DED41C7" w14:textId="18726C8B" w:rsidR="009058F4" w:rsidRDefault="009058F4" w:rsidP="009058F4">
            <w:pPr>
              <w:pStyle w:val="FormulaBold"/>
              <w:rPr>
                <w:rStyle w:val="BodyTextChar"/>
                <w:iCs/>
              </w:rPr>
            </w:pPr>
            <w:r>
              <w:t>RT</w:t>
            </w:r>
            <w:r w:rsidR="00EC6A86">
              <w:t>G</w:t>
            </w:r>
            <w:r>
              <w:t xml:space="preserve">SOAMT </w:t>
            </w:r>
            <w:r w:rsidRPr="004F3915">
              <w:rPr>
                <w:i/>
                <w:sz w:val="28"/>
                <w:szCs w:val="28"/>
                <w:vertAlign w:val="subscript"/>
              </w:rPr>
              <w:t>q,</w:t>
            </w:r>
            <w:r>
              <w:t xml:space="preserve"> </w:t>
            </w:r>
            <w:r>
              <w:rPr>
                <w:i/>
                <w:sz w:val="28"/>
                <w:szCs w:val="28"/>
                <w:vertAlign w:val="subscript"/>
              </w:rPr>
              <w:t>g</w:t>
            </w:r>
            <w:r w:rsidRPr="00993F9F">
              <w:rPr>
                <w:i/>
                <w:sz w:val="28"/>
                <w:szCs w:val="28"/>
                <w:vertAlign w:val="subscript"/>
              </w:rPr>
              <w:t>sc</w:t>
            </w:r>
            <w:r>
              <w:tab/>
              <w:t>=</w:t>
            </w:r>
            <w:r>
              <w:tab/>
              <w:t>(-1) * [</w:t>
            </w:r>
            <w:r w:rsidRPr="00351F0F">
              <w:rPr>
                <w:position w:val="-20"/>
              </w:rPr>
              <w:object w:dxaOrig="225" w:dyaOrig="435" w14:anchorId="74E8ECBE">
                <v:shape id="_x0000_i1173" type="#_x0000_t75" style="width:12pt;height:18pt" o:ole="">
                  <v:imagedata r:id="rId189" o:title=""/>
                </v:shape>
                <o:OLEObject Type="Embed" ProgID="Equation.3" ShapeID="_x0000_i1173" DrawAspect="Content" ObjectID="_1815025363" r:id="rId200"/>
              </w:object>
            </w:r>
            <w:r>
              <w:t xml:space="preserve">(RTESOPR </w:t>
            </w:r>
            <w:r>
              <w:rPr>
                <w:i/>
                <w:vertAlign w:val="subscript"/>
              </w:rPr>
              <w:t xml:space="preserve">b </w:t>
            </w:r>
            <w:r>
              <w:t xml:space="preserve">* </w:t>
            </w:r>
            <w:r w:rsidR="009C2EEB">
              <w:t>MEB</w:t>
            </w:r>
            <w:r>
              <w:t xml:space="preserve">SOG </w:t>
            </w:r>
            <w:r>
              <w:rPr>
                <w:i/>
                <w:vertAlign w:val="subscript"/>
              </w:rPr>
              <w:t>q, gsc, b</w:t>
            </w:r>
            <w:r w:rsidRPr="006C04AA">
              <w:t>)</w:t>
            </w:r>
            <w:r>
              <w:t xml:space="preserve">] </w:t>
            </w:r>
          </w:p>
          <w:p w14:paraId="226270A0" w14:textId="77777777" w:rsidR="00EC6A86" w:rsidRDefault="00EC6A86" w:rsidP="00EC6A86">
            <w:pPr>
              <w:widowControl w:val="0"/>
              <w:spacing w:after="240"/>
              <w:ind w:left="720" w:hanging="720"/>
            </w:pPr>
            <w:r>
              <w:t>(4)</w:t>
            </w:r>
            <w:r>
              <w:tab/>
              <w:t>For an SODESS or SOTESS, the total payment or charge for each 15-minute Settlement Interval shall be calculated as follows:</w:t>
            </w:r>
          </w:p>
          <w:p w14:paraId="358764B8" w14:textId="4674E49E" w:rsidR="00EC6A86" w:rsidRDefault="00EC6A86" w:rsidP="00EC6A86">
            <w:pPr>
              <w:tabs>
                <w:tab w:val="left" w:pos="2250"/>
                <w:tab w:val="left" w:pos="3150"/>
                <w:tab w:val="left" w:pos="4027"/>
              </w:tabs>
              <w:spacing w:after="240"/>
              <w:ind w:left="3960" w:hanging="3240"/>
              <w:rPr>
                <w:b/>
                <w:bCs/>
                <w:szCs w:val="24"/>
              </w:rPr>
            </w:pPr>
            <w:r>
              <w:rPr>
                <w:b/>
                <w:bCs/>
              </w:rPr>
              <w:t xml:space="preserve">RTWSLSOAMT </w:t>
            </w:r>
            <w:r>
              <w:rPr>
                <w:b/>
                <w:bCs/>
                <w:i/>
                <w:vertAlign w:val="subscript"/>
              </w:rPr>
              <w:t>q, gsc</w:t>
            </w:r>
            <w:r>
              <w:rPr>
                <w:b/>
                <w:bCs/>
              </w:rPr>
              <w:tab/>
              <w:t>=           (-1) * [</w:t>
            </w:r>
            <w:r>
              <w:rPr>
                <w:b/>
                <w:noProof/>
                <w:position w:val="-20"/>
              </w:rPr>
              <w:drawing>
                <wp:inline distT="0" distB="0" distL="0" distR="0" wp14:anchorId="68A2DEBD" wp14:editId="425C4D9E">
                  <wp:extent cx="182880" cy="2705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82880" cy="270510"/>
                          </a:xfrm>
                          <a:prstGeom prst="rect">
                            <a:avLst/>
                          </a:prstGeom>
                          <a:noFill/>
                          <a:ln>
                            <a:noFill/>
                          </a:ln>
                        </pic:spPr>
                      </pic:pic>
                    </a:graphicData>
                  </a:graphic>
                </wp:inline>
              </w:drawing>
            </w:r>
            <w:r>
              <w:rPr>
                <w:b/>
                <w:bCs/>
              </w:rPr>
              <w:t xml:space="preserve">(RTESOPR </w:t>
            </w:r>
            <w:r>
              <w:rPr>
                <w:b/>
                <w:bCs/>
                <w:i/>
                <w:vertAlign w:val="subscript"/>
              </w:rPr>
              <w:t>b</w:t>
            </w:r>
            <w:r>
              <w:rPr>
                <w:b/>
                <w:bCs/>
              </w:rPr>
              <w:t xml:space="preserve"> * WSOL </w:t>
            </w:r>
            <w:r>
              <w:rPr>
                <w:b/>
                <w:bCs/>
                <w:i/>
                <w:vertAlign w:val="subscript"/>
              </w:rPr>
              <w:t>q, gsc, b</w:t>
            </w:r>
            <w:r>
              <w:rPr>
                <w:b/>
                <w:bCs/>
              </w:rPr>
              <w:t>)]</w:t>
            </w:r>
          </w:p>
          <w:p w14:paraId="262FC255" w14:textId="0D735B64" w:rsidR="00EC6A86" w:rsidRDefault="00EC6A86" w:rsidP="00EC6A86">
            <w:pPr>
              <w:tabs>
                <w:tab w:val="left" w:pos="2250"/>
                <w:tab w:val="left" w:pos="3150"/>
                <w:tab w:val="left" w:pos="3960"/>
              </w:tabs>
              <w:spacing w:after="240"/>
              <w:ind w:left="3960" w:hanging="3240"/>
              <w:rPr>
                <w:b/>
                <w:bCs/>
              </w:rPr>
            </w:pPr>
            <w:r>
              <w:rPr>
                <w:b/>
                <w:bCs/>
              </w:rPr>
              <w:t xml:space="preserve">RTNWSLSOAMT </w:t>
            </w:r>
            <w:r>
              <w:rPr>
                <w:b/>
                <w:bCs/>
                <w:i/>
                <w:vertAlign w:val="subscript"/>
              </w:rPr>
              <w:t>q, gsc</w:t>
            </w:r>
            <w:r>
              <w:rPr>
                <w:b/>
                <w:bCs/>
                <w:vertAlign w:val="subscript"/>
              </w:rPr>
              <w:t xml:space="preserve">  </w:t>
            </w:r>
            <w:r>
              <w:rPr>
                <w:b/>
                <w:bCs/>
              </w:rPr>
              <w:t>=          (-1) * [</w:t>
            </w:r>
            <w:r>
              <w:rPr>
                <w:b/>
                <w:noProof/>
                <w:position w:val="-20"/>
              </w:rPr>
              <w:drawing>
                <wp:inline distT="0" distB="0" distL="0" distR="0" wp14:anchorId="4B47F3D8" wp14:editId="55BE8CBC">
                  <wp:extent cx="182880" cy="2705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82880" cy="270510"/>
                          </a:xfrm>
                          <a:prstGeom prst="rect">
                            <a:avLst/>
                          </a:prstGeom>
                          <a:noFill/>
                          <a:ln>
                            <a:noFill/>
                          </a:ln>
                        </pic:spPr>
                      </pic:pic>
                    </a:graphicData>
                  </a:graphic>
                </wp:inline>
              </w:drawing>
            </w:r>
            <w:r>
              <w:rPr>
                <w:b/>
                <w:bCs/>
              </w:rPr>
              <w:t xml:space="preserve">(RTESOPR </w:t>
            </w:r>
            <w:r>
              <w:rPr>
                <w:b/>
                <w:bCs/>
                <w:i/>
                <w:vertAlign w:val="subscript"/>
              </w:rPr>
              <w:t>b</w:t>
            </w:r>
            <w:r>
              <w:rPr>
                <w:b/>
                <w:bCs/>
              </w:rPr>
              <w:t xml:space="preserve"> * NWSOL </w:t>
            </w:r>
            <w:r>
              <w:rPr>
                <w:b/>
                <w:bCs/>
                <w:i/>
                <w:vertAlign w:val="subscript"/>
              </w:rPr>
              <w:t>q, gsc, b</w:t>
            </w:r>
            <w:r>
              <w:rPr>
                <w:b/>
                <w:bCs/>
              </w:rPr>
              <w:t>)]</w:t>
            </w:r>
          </w:p>
          <w:p w14:paraId="7201599D" w14:textId="7D5DFBAA" w:rsidR="009058F4" w:rsidRPr="00EC6A86" w:rsidRDefault="00EC6A86" w:rsidP="00EC6A86">
            <w:pPr>
              <w:widowControl w:val="0"/>
              <w:spacing w:after="240"/>
              <w:ind w:left="720" w:hanging="720"/>
              <w:rPr>
                <w:iCs/>
              </w:rPr>
            </w:pPr>
            <w:r w:rsidRPr="00EC6A86">
              <w:rPr>
                <w:rStyle w:val="BodyTextChar"/>
                <w:bCs/>
                <w:iCs/>
              </w:rPr>
              <w:t>(5)</w:t>
            </w:r>
            <w:r>
              <w:t xml:space="preserve"> </w:t>
            </w:r>
            <w:r>
              <w:tab/>
              <w:t>T</w:t>
            </w:r>
            <w:r w:rsidR="009058F4" w:rsidRPr="00EC6A86">
              <w:t>he</w:t>
            </w:r>
            <w:r w:rsidR="009058F4" w:rsidRPr="00EC6A86">
              <w:rPr>
                <w:rStyle w:val="BodyTextChar"/>
              </w:rPr>
              <w:t xml:space="preserve"> price for the SOTG</w:t>
            </w:r>
            <w:r>
              <w:rPr>
                <w:rStyle w:val="BodyTextChar"/>
              </w:rPr>
              <w:t>,</w:t>
            </w:r>
            <w:r w:rsidR="009058F4" w:rsidRPr="00EC6A86">
              <w:rPr>
                <w:rStyle w:val="BodyTextChar"/>
              </w:rPr>
              <w:t xml:space="preserve"> SODG</w:t>
            </w:r>
            <w:r>
              <w:rPr>
                <w:bCs/>
              </w:rPr>
              <w:t>, SODESS, or SOTESS</w:t>
            </w:r>
            <w:r w:rsidR="009058F4" w:rsidRPr="00EC6A86">
              <w:rPr>
                <w:rStyle w:val="BodyTextChar"/>
              </w:rPr>
              <w:t xml:space="preserve"> is determined as follows:</w:t>
            </w:r>
          </w:p>
          <w:p w14:paraId="38D7D293" w14:textId="198CB207" w:rsidR="009058F4" w:rsidRPr="002A49E2" w:rsidRDefault="009058F4" w:rsidP="009058F4">
            <w:pPr>
              <w:pStyle w:val="FormulaBold"/>
            </w:pPr>
            <w:r w:rsidRPr="002A49E2">
              <w:t>RT</w:t>
            </w:r>
            <w:r>
              <w:t>ESOPR</w:t>
            </w:r>
            <w:r w:rsidRPr="00874CDD">
              <w:rPr>
                <w:i/>
                <w:iCs/>
                <w:vertAlign w:val="subscript"/>
              </w:rPr>
              <w:t xml:space="preserve"> </w:t>
            </w:r>
            <w:r>
              <w:rPr>
                <w:i/>
                <w:iCs/>
                <w:vertAlign w:val="subscript"/>
              </w:rPr>
              <w:t>b</w:t>
            </w:r>
            <w:r w:rsidRPr="00874CDD">
              <w:t xml:space="preserve"> </w:t>
            </w:r>
            <w:r w:rsidRPr="00874CDD">
              <w:tab/>
              <w:t>=</w:t>
            </w:r>
            <w:r w:rsidRPr="00874CDD">
              <w:tab/>
              <w:t xml:space="preserve">Max [-$251, </w:t>
            </w:r>
            <w:r w:rsidRPr="00193B05">
              <w:rPr>
                <w:position w:val="-22"/>
              </w:rPr>
              <w:object w:dxaOrig="225" w:dyaOrig="465" w14:anchorId="26CF221F">
                <v:shape id="_x0000_i1174" type="#_x0000_t75" style="width:12pt;height:30pt" o:ole="">
                  <v:imagedata r:id="rId192" o:title=""/>
                </v:shape>
                <o:OLEObject Type="Embed" ProgID="Equation.3" ShapeID="_x0000_i1174" DrawAspect="Content" ObjectID="_1815025364" r:id="rId202"/>
              </w:object>
            </w:r>
            <w:r w:rsidRPr="00E27BDE">
              <w:t>((SDWF</w:t>
            </w:r>
            <w:r w:rsidRPr="00E27BDE">
              <w:rPr>
                <w:i/>
                <w:iCs/>
                <w:vertAlign w:val="subscript"/>
              </w:rPr>
              <w:t xml:space="preserve"> y </w:t>
            </w:r>
            <w:r w:rsidRPr="00E27BDE">
              <w:t xml:space="preserve">* RTLMP </w:t>
            </w:r>
            <w:r>
              <w:rPr>
                <w:i/>
                <w:iCs/>
                <w:vertAlign w:val="subscript"/>
              </w:rPr>
              <w:t>b</w:t>
            </w:r>
            <w:r w:rsidRPr="00E27BDE">
              <w:rPr>
                <w:i/>
                <w:iCs/>
                <w:vertAlign w:val="subscript"/>
              </w:rPr>
              <w:t>, y</w:t>
            </w:r>
            <w:r w:rsidRPr="00E27BDE">
              <w:t>) + RTRDP)]</w:t>
            </w:r>
          </w:p>
          <w:p w14:paraId="4AB612AA" w14:textId="77777777" w:rsidR="009058F4" w:rsidRPr="000275BF" w:rsidRDefault="009058F4" w:rsidP="009058F4">
            <w:pPr>
              <w:pStyle w:val="Char3"/>
              <w:widowControl w:val="0"/>
              <w:spacing w:after="240"/>
              <w:ind w:firstLine="720"/>
              <w:rPr>
                <w:szCs w:val="24"/>
              </w:rPr>
            </w:pPr>
            <w:r w:rsidRPr="000275BF">
              <w:rPr>
                <w:rFonts w:ascii="Times New Roman" w:hAnsi="Times New Roman"/>
                <w:sz w:val="24"/>
                <w:szCs w:val="24"/>
              </w:rPr>
              <w:t>Where:</w:t>
            </w:r>
          </w:p>
          <w:p w14:paraId="2BD39A6B" w14:textId="38D53761" w:rsidR="009058F4" w:rsidRPr="00C659E1" w:rsidRDefault="009058F4" w:rsidP="00EC6A86">
            <w:pPr>
              <w:spacing w:after="240"/>
              <w:ind w:left="720"/>
            </w:pPr>
            <w:r w:rsidRPr="00C659E1">
              <w:tab/>
            </w:r>
            <w:r w:rsidRPr="00193B05">
              <w:t>RTRDP</w:t>
            </w:r>
            <w:r w:rsidRPr="00193B05">
              <w:tab/>
              <w:t>=</w:t>
            </w:r>
            <w:r>
              <w:tab/>
            </w:r>
            <w:r w:rsidRPr="00193B05">
              <w:rPr>
                <w:position w:val="-22"/>
              </w:rPr>
              <w:object w:dxaOrig="225" w:dyaOrig="465" w14:anchorId="48F3AF4B">
                <v:shape id="_x0000_i1175" type="#_x0000_t75" style="width:12pt;height:30pt" o:ole="">
                  <v:imagedata r:id="rId192" o:title=""/>
                </v:shape>
                <o:OLEObject Type="Embed" ProgID="Equation.3" ShapeID="_x0000_i1175" DrawAspect="Content" ObjectID="_1815025365" r:id="rId203"/>
              </w:object>
            </w:r>
            <w:r>
              <w:t>(SDWF</w:t>
            </w:r>
            <w:r w:rsidRPr="00193B05">
              <w:rPr>
                <w:i/>
                <w:iCs/>
                <w:vertAlign w:val="subscript"/>
              </w:rPr>
              <w:t xml:space="preserve"> y </w:t>
            </w:r>
            <w:r w:rsidRPr="00193B05">
              <w:t>* RTRDPA</w:t>
            </w:r>
            <w:r w:rsidRPr="00193B05">
              <w:rPr>
                <w:i/>
                <w:iCs/>
                <w:vertAlign w:val="subscript"/>
              </w:rPr>
              <w:t xml:space="preserve"> y</w:t>
            </w:r>
            <w:r w:rsidRPr="00193B05">
              <w:t>)</w:t>
            </w:r>
          </w:p>
          <w:p w14:paraId="6FD7C14D" w14:textId="77777777" w:rsidR="009058F4" w:rsidRPr="00AB7A55" w:rsidRDefault="009058F4" w:rsidP="009058F4">
            <w:pPr>
              <w:pStyle w:val="formula0"/>
              <w:widowControl w:val="0"/>
              <w:spacing w:after="240"/>
              <w:ind w:firstLine="0"/>
              <w:rPr>
                <w:lang w:val="es-ES"/>
              </w:rPr>
            </w:pPr>
            <w:r>
              <w:lastRenderedPageBreak/>
              <w:tab/>
              <w:t>SD</w:t>
            </w:r>
            <w:r w:rsidRPr="00C659E1">
              <w:t xml:space="preserve">WF </w:t>
            </w:r>
            <w:r w:rsidRPr="00C659E1">
              <w:rPr>
                <w:i/>
                <w:vertAlign w:val="subscript"/>
              </w:rPr>
              <w:t>y</w:t>
            </w:r>
            <w:r w:rsidRPr="00C659E1">
              <w:rPr>
                <w:i/>
                <w:vertAlign w:val="subscript"/>
              </w:rPr>
              <w:tab/>
            </w:r>
            <w:r w:rsidRPr="00C659E1">
              <w:t>=</w:t>
            </w:r>
            <w:r w:rsidRPr="00C659E1">
              <w:tab/>
              <w:t xml:space="preserve">TLMP </w:t>
            </w:r>
            <w:r w:rsidRPr="00C659E1">
              <w:rPr>
                <w:i/>
                <w:vertAlign w:val="subscript"/>
              </w:rPr>
              <w:t>y</w:t>
            </w:r>
            <w:r w:rsidRPr="00C659E1">
              <w:t xml:space="preserve"> </w:t>
            </w:r>
            <w:r w:rsidRPr="00C659E1">
              <w:rPr>
                <w:color w:val="000000"/>
                <w:sz w:val="32"/>
                <w:szCs w:val="32"/>
              </w:rPr>
              <w:t>/</w:t>
            </w:r>
            <w:r w:rsidRPr="00C659E1">
              <w:rPr>
                <w:color w:val="000000"/>
              </w:rPr>
              <w:t xml:space="preserve"> </w:t>
            </w:r>
            <w:r w:rsidRPr="007D0F13">
              <w:rPr>
                <w:position w:val="-22"/>
              </w:rPr>
              <w:object w:dxaOrig="225" w:dyaOrig="465" w14:anchorId="4798B22D">
                <v:shape id="_x0000_i1176" type="#_x0000_t75" style="width:12pt;height:30pt" o:ole="">
                  <v:imagedata r:id="rId192" o:title=""/>
                </v:shape>
                <o:OLEObject Type="Embed" ProgID="Equation.3" ShapeID="_x0000_i1176" DrawAspect="Content" ObjectID="_1815025366" r:id="rId204"/>
              </w:object>
            </w:r>
            <w:r w:rsidRPr="00C659E1">
              <w:t xml:space="preserve">TLMP </w:t>
            </w:r>
            <w:r w:rsidRPr="00C659E1">
              <w:rPr>
                <w:i/>
                <w:vertAlign w:val="subscript"/>
              </w:rPr>
              <w:t>y</w:t>
            </w:r>
          </w:p>
          <w:p w14:paraId="431F9D49" w14:textId="77777777" w:rsidR="009058F4" w:rsidRDefault="009058F4" w:rsidP="009058F4">
            <w:pPr>
              <w:widowControl w:val="0"/>
            </w:pPr>
            <w: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38"/>
              <w:gridCol w:w="1260"/>
              <w:gridCol w:w="5936"/>
            </w:tblGrid>
            <w:tr w:rsidR="00760B74" w14:paraId="75EC28EE" w14:textId="77777777" w:rsidTr="008B123E">
              <w:trPr>
                <w:cantSplit/>
                <w:tblHeader/>
              </w:trPr>
              <w:tc>
                <w:tcPr>
                  <w:tcW w:w="1145" w:type="pct"/>
                </w:tcPr>
                <w:p w14:paraId="2EE1CC2B" w14:textId="77777777" w:rsidR="00760B74" w:rsidRDefault="00760B74" w:rsidP="00760B74">
                  <w:pPr>
                    <w:pStyle w:val="TableHead"/>
                    <w:widowControl w:val="0"/>
                  </w:pPr>
                  <w:r>
                    <w:t>Variable</w:t>
                  </w:r>
                </w:p>
              </w:tc>
              <w:tc>
                <w:tcPr>
                  <w:tcW w:w="675" w:type="pct"/>
                </w:tcPr>
                <w:p w14:paraId="27624E83" w14:textId="77777777" w:rsidR="00760B74" w:rsidRDefault="00760B74" w:rsidP="00760B74">
                  <w:pPr>
                    <w:pStyle w:val="TableHead"/>
                    <w:widowControl w:val="0"/>
                  </w:pPr>
                  <w:r>
                    <w:t>Unit</w:t>
                  </w:r>
                </w:p>
              </w:tc>
              <w:tc>
                <w:tcPr>
                  <w:tcW w:w="3180" w:type="pct"/>
                </w:tcPr>
                <w:p w14:paraId="016AB69C" w14:textId="77777777" w:rsidR="00760B74" w:rsidRDefault="00760B74" w:rsidP="00760B74">
                  <w:pPr>
                    <w:pStyle w:val="TableHead"/>
                    <w:widowControl w:val="0"/>
                  </w:pPr>
                  <w:r>
                    <w:t>Description</w:t>
                  </w:r>
                </w:p>
              </w:tc>
            </w:tr>
            <w:tr w:rsidR="00760B74" w14:paraId="6B740C55" w14:textId="77777777" w:rsidTr="008B123E">
              <w:trPr>
                <w:cantSplit/>
              </w:trPr>
              <w:tc>
                <w:tcPr>
                  <w:tcW w:w="1145" w:type="pct"/>
                </w:tcPr>
                <w:p w14:paraId="7FEB1D62" w14:textId="3AD4E0CB" w:rsidR="00760B74" w:rsidRDefault="00760B74" w:rsidP="00760B74">
                  <w:pPr>
                    <w:pStyle w:val="tablebody0"/>
                    <w:widowControl w:val="0"/>
                  </w:pPr>
                  <w:r>
                    <w:t>RT</w:t>
                  </w:r>
                  <w:r w:rsidR="00EC6A86">
                    <w:t>G</w:t>
                  </w:r>
                  <w:r>
                    <w:t>SOAMT</w:t>
                  </w:r>
                  <w:r>
                    <w:rPr>
                      <w:vertAlign w:val="subscript"/>
                    </w:rPr>
                    <w:t xml:space="preserve"> </w:t>
                  </w:r>
                  <w:r w:rsidRPr="004F3915">
                    <w:rPr>
                      <w:i/>
                      <w:vertAlign w:val="subscript"/>
                    </w:rPr>
                    <w:t>q,</w:t>
                  </w:r>
                  <w:r>
                    <w:rPr>
                      <w:vertAlign w:val="subscript"/>
                    </w:rPr>
                    <w:t xml:space="preserve"> </w:t>
                  </w:r>
                  <w:r w:rsidRPr="00107CC2">
                    <w:rPr>
                      <w:i/>
                      <w:vertAlign w:val="subscript"/>
                    </w:rPr>
                    <w:t>gsc</w:t>
                  </w:r>
                </w:p>
              </w:tc>
              <w:tc>
                <w:tcPr>
                  <w:tcW w:w="675" w:type="pct"/>
                </w:tcPr>
                <w:p w14:paraId="79D325C5" w14:textId="77777777" w:rsidR="00760B74" w:rsidRDefault="00760B74" w:rsidP="00760B74">
                  <w:pPr>
                    <w:pStyle w:val="tablebody0"/>
                    <w:widowControl w:val="0"/>
                  </w:pPr>
                  <w:r>
                    <w:t>$</w:t>
                  </w:r>
                </w:p>
              </w:tc>
              <w:tc>
                <w:tcPr>
                  <w:tcW w:w="3180" w:type="pct"/>
                </w:tcPr>
                <w:p w14:paraId="345CE96F" w14:textId="5632A86D" w:rsidR="00760B74" w:rsidRDefault="00760B74" w:rsidP="00760B74">
                  <w:pPr>
                    <w:pStyle w:val="tablebody0"/>
                    <w:widowControl w:val="0"/>
                    <w:rPr>
                      <w:i/>
                    </w:rPr>
                  </w:pPr>
                  <w:r>
                    <w:rPr>
                      <w:i/>
                    </w:rPr>
                    <w:t xml:space="preserve">Real-Time </w:t>
                  </w:r>
                  <w:r w:rsidR="00EC6A86">
                    <w:rPr>
                      <w:i/>
                    </w:rPr>
                    <w:t>Generation</w:t>
                  </w:r>
                  <w:r>
                    <w:rPr>
                      <w:i/>
                    </w:rPr>
                    <w:t xml:space="preserve"> for SODG</w:t>
                  </w:r>
                  <w:r w:rsidR="00EC6A86">
                    <w:rPr>
                      <w:i/>
                    </w:rPr>
                    <w:t>,</w:t>
                  </w:r>
                  <w:r>
                    <w:rPr>
                      <w:i/>
                    </w:rPr>
                    <w:t xml:space="preserve"> SOTG</w:t>
                  </w:r>
                  <w:r w:rsidR="00EC6A86">
                    <w:rPr>
                      <w:i/>
                    </w:rPr>
                    <w:t>, SODESS, or SOTESS</w:t>
                  </w:r>
                  <w:r>
                    <w:rPr>
                      <w:i/>
                    </w:rPr>
                    <w:t xml:space="preserve"> Site Amount</w:t>
                  </w:r>
                  <w:r w:rsidDel="006C2DC2">
                    <w:rPr>
                      <w:i/>
                    </w:rPr>
                    <w:t xml:space="preserve"> </w:t>
                  </w:r>
                  <w:r>
                    <w:t xml:space="preserve">—The total payment or charge </w:t>
                  </w:r>
                  <w:r w:rsidR="00EC6A86">
                    <w:t xml:space="preserve">for generation </w:t>
                  </w:r>
                  <w:r>
                    <w:t xml:space="preserve">to QSE </w:t>
                  </w:r>
                  <w:r w:rsidRPr="00BA4145">
                    <w:rPr>
                      <w:i/>
                    </w:rPr>
                    <w:t>q</w:t>
                  </w:r>
                  <w:r>
                    <w:t xml:space="preserve"> for SODG</w:t>
                  </w:r>
                  <w:r w:rsidR="00EC6A86">
                    <w:t>,</w:t>
                  </w:r>
                  <w:r>
                    <w:t xml:space="preserve"> SOTG</w:t>
                  </w:r>
                  <w:r w:rsidR="00EC6A86">
                    <w:t>, SODESS, or SOTESS</w:t>
                  </w:r>
                  <w:r>
                    <w:t xml:space="preserve"> site</w:t>
                  </w:r>
                  <w:r w:rsidRPr="00D661BC">
                    <w:rPr>
                      <w:i/>
                    </w:rPr>
                    <w:t xml:space="preserve"> gsc</w:t>
                  </w:r>
                  <w:r>
                    <w:t xml:space="preserve"> for the 15-minute Settlement Interval.</w:t>
                  </w:r>
                </w:p>
              </w:tc>
            </w:tr>
            <w:tr w:rsidR="009032F5" w14:paraId="7EB16B7B" w14:textId="77777777" w:rsidTr="008B123E">
              <w:trPr>
                <w:cantSplit/>
              </w:trPr>
              <w:tc>
                <w:tcPr>
                  <w:tcW w:w="1145" w:type="pct"/>
                </w:tcPr>
                <w:p w14:paraId="14665E48" w14:textId="08C2692C" w:rsidR="009032F5" w:rsidRDefault="009032F5" w:rsidP="009032F5">
                  <w:pPr>
                    <w:pStyle w:val="tablebody0"/>
                    <w:widowControl w:val="0"/>
                  </w:pPr>
                  <w:r>
                    <w:t>RTWSLSOAMT</w:t>
                  </w:r>
                  <w:r>
                    <w:rPr>
                      <w:vertAlign w:val="subscript"/>
                    </w:rPr>
                    <w:t xml:space="preserve"> </w:t>
                  </w:r>
                  <w:r>
                    <w:rPr>
                      <w:i/>
                      <w:vertAlign w:val="subscript"/>
                    </w:rPr>
                    <w:t>q,</w:t>
                  </w:r>
                  <w:r>
                    <w:rPr>
                      <w:vertAlign w:val="subscript"/>
                    </w:rPr>
                    <w:t xml:space="preserve"> </w:t>
                  </w:r>
                  <w:r>
                    <w:rPr>
                      <w:i/>
                      <w:vertAlign w:val="subscript"/>
                    </w:rPr>
                    <w:t>gsc</w:t>
                  </w:r>
                </w:p>
              </w:tc>
              <w:tc>
                <w:tcPr>
                  <w:tcW w:w="675" w:type="pct"/>
                </w:tcPr>
                <w:p w14:paraId="363BB52B" w14:textId="25496E5D" w:rsidR="009032F5" w:rsidRDefault="009032F5" w:rsidP="009032F5">
                  <w:pPr>
                    <w:pStyle w:val="tablebody0"/>
                    <w:widowControl w:val="0"/>
                  </w:pPr>
                  <w:r>
                    <w:t>$</w:t>
                  </w:r>
                </w:p>
              </w:tc>
              <w:tc>
                <w:tcPr>
                  <w:tcW w:w="3180" w:type="pct"/>
                </w:tcPr>
                <w:p w14:paraId="2BA1F143" w14:textId="0D1BB42A" w:rsidR="009032F5" w:rsidRDefault="009032F5" w:rsidP="009032F5">
                  <w:pPr>
                    <w:pStyle w:val="tablebody0"/>
                    <w:widowControl w:val="0"/>
                    <w:rPr>
                      <w:i/>
                    </w:rPr>
                  </w:pPr>
                  <w:r>
                    <w:rPr>
                      <w:i/>
                    </w:rPr>
                    <w:t xml:space="preserve">Real-Time WSL for SODESS or SOTESS Site Amount </w:t>
                  </w:r>
                  <w:r>
                    <w:t xml:space="preserve">—The total payment or charge for WSL to QSE </w:t>
                  </w:r>
                  <w:r>
                    <w:rPr>
                      <w:i/>
                    </w:rPr>
                    <w:t>q</w:t>
                  </w:r>
                  <w:r>
                    <w:t xml:space="preserve"> for the SODESS or SOTESS site</w:t>
                  </w:r>
                  <w:r>
                    <w:rPr>
                      <w:i/>
                    </w:rPr>
                    <w:t xml:space="preserve"> gsc</w:t>
                  </w:r>
                  <w:r>
                    <w:t xml:space="preserve"> for the 15-minute Settlement Interval. </w:t>
                  </w:r>
                </w:p>
              </w:tc>
            </w:tr>
            <w:tr w:rsidR="009032F5" w14:paraId="2F0F78D0" w14:textId="77777777" w:rsidTr="008B123E">
              <w:trPr>
                <w:cantSplit/>
              </w:trPr>
              <w:tc>
                <w:tcPr>
                  <w:tcW w:w="1145" w:type="pct"/>
                </w:tcPr>
                <w:p w14:paraId="55FCA1CD" w14:textId="7ADB6295" w:rsidR="009032F5" w:rsidRDefault="009032F5" w:rsidP="009032F5">
                  <w:pPr>
                    <w:pStyle w:val="tablebody0"/>
                    <w:widowControl w:val="0"/>
                  </w:pPr>
                  <w:r>
                    <w:t>RTNWSLSOAMT</w:t>
                  </w:r>
                  <w:r>
                    <w:rPr>
                      <w:vertAlign w:val="subscript"/>
                    </w:rPr>
                    <w:t xml:space="preserve"> </w:t>
                  </w:r>
                  <w:r>
                    <w:rPr>
                      <w:i/>
                      <w:vertAlign w:val="subscript"/>
                    </w:rPr>
                    <w:t>q,</w:t>
                  </w:r>
                  <w:r>
                    <w:rPr>
                      <w:vertAlign w:val="subscript"/>
                    </w:rPr>
                    <w:t xml:space="preserve"> </w:t>
                  </w:r>
                  <w:r>
                    <w:rPr>
                      <w:i/>
                      <w:vertAlign w:val="subscript"/>
                    </w:rPr>
                    <w:t>gsc</w:t>
                  </w:r>
                </w:p>
              </w:tc>
              <w:tc>
                <w:tcPr>
                  <w:tcW w:w="675" w:type="pct"/>
                </w:tcPr>
                <w:p w14:paraId="57D80B1D" w14:textId="4D61D83A" w:rsidR="009032F5" w:rsidRDefault="009032F5" w:rsidP="009032F5">
                  <w:pPr>
                    <w:pStyle w:val="tablebody0"/>
                    <w:widowControl w:val="0"/>
                  </w:pPr>
                  <w:r>
                    <w:t>$</w:t>
                  </w:r>
                </w:p>
              </w:tc>
              <w:tc>
                <w:tcPr>
                  <w:tcW w:w="3180" w:type="pct"/>
                </w:tcPr>
                <w:p w14:paraId="162F48FB" w14:textId="3DB10AB4" w:rsidR="009032F5" w:rsidRDefault="009032F5" w:rsidP="009032F5">
                  <w:pPr>
                    <w:pStyle w:val="tablebody0"/>
                    <w:widowControl w:val="0"/>
                    <w:rPr>
                      <w:i/>
                    </w:rPr>
                  </w:pPr>
                  <w:r>
                    <w:rPr>
                      <w:i/>
                    </w:rPr>
                    <w:t xml:space="preserve">Real-Time Non-WSL for SODESS or SOTESS Site Amount </w:t>
                  </w:r>
                  <w:r>
                    <w:t xml:space="preserve">—The total payment or charge for Non-WSL Settlement Only Charging Load to QSE </w:t>
                  </w:r>
                  <w:r>
                    <w:rPr>
                      <w:i/>
                    </w:rPr>
                    <w:t>q</w:t>
                  </w:r>
                  <w:r>
                    <w:t xml:space="preserve"> for the SODESS or SOTESS site</w:t>
                  </w:r>
                  <w:r>
                    <w:rPr>
                      <w:i/>
                    </w:rPr>
                    <w:t xml:space="preserve"> gsc</w:t>
                  </w:r>
                  <w:r>
                    <w:t xml:space="preserve"> for the 15-minute Settlement Interval. </w:t>
                  </w:r>
                </w:p>
              </w:tc>
            </w:tr>
            <w:tr w:rsidR="00760B74" w14:paraId="0B116769" w14:textId="77777777" w:rsidTr="008B123E">
              <w:trPr>
                <w:cantSplit/>
              </w:trPr>
              <w:tc>
                <w:tcPr>
                  <w:tcW w:w="1145" w:type="pct"/>
                </w:tcPr>
                <w:p w14:paraId="5E09FDE1" w14:textId="70743AF5" w:rsidR="00760B74" w:rsidRDefault="00760B74" w:rsidP="00760B74">
                  <w:pPr>
                    <w:pStyle w:val="tablebody0"/>
                    <w:widowControl w:val="0"/>
                  </w:pPr>
                  <w:r>
                    <w:t xml:space="preserve">RTESOPR </w:t>
                  </w:r>
                  <w:r>
                    <w:rPr>
                      <w:i/>
                      <w:vertAlign w:val="subscript"/>
                    </w:rPr>
                    <w:t>b</w:t>
                  </w:r>
                </w:p>
              </w:tc>
              <w:tc>
                <w:tcPr>
                  <w:tcW w:w="675" w:type="pct"/>
                </w:tcPr>
                <w:p w14:paraId="405D9B3F" w14:textId="77777777" w:rsidR="00760B74" w:rsidRDefault="00760B74" w:rsidP="00760B74">
                  <w:pPr>
                    <w:pStyle w:val="tablebody0"/>
                    <w:widowControl w:val="0"/>
                    <w:rPr>
                      <w:i/>
                    </w:rPr>
                  </w:pPr>
                  <w:r>
                    <w:t>$/MWh</w:t>
                  </w:r>
                </w:p>
              </w:tc>
              <w:tc>
                <w:tcPr>
                  <w:tcW w:w="3180" w:type="pct"/>
                </w:tcPr>
                <w:p w14:paraId="6219990D" w14:textId="397F34C0" w:rsidR="00760B74" w:rsidRDefault="00760B74" w:rsidP="00760B74">
                  <w:pPr>
                    <w:pStyle w:val="tablebody0"/>
                    <w:widowControl w:val="0"/>
                  </w:pPr>
                  <w:r>
                    <w:rPr>
                      <w:i/>
                    </w:rPr>
                    <w:t>Real-Time Price for the Energy Metered for each SODG</w:t>
                  </w:r>
                  <w:r w:rsidR="009032F5">
                    <w:rPr>
                      <w:i/>
                    </w:rPr>
                    <w:t>,</w:t>
                  </w:r>
                  <w:r>
                    <w:rPr>
                      <w:i/>
                    </w:rPr>
                    <w:t xml:space="preserve"> SOTG</w:t>
                  </w:r>
                  <w:r w:rsidR="009032F5">
                    <w:rPr>
                      <w:i/>
                    </w:rPr>
                    <w:t>, SODESS, or SOTESS</w:t>
                  </w:r>
                  <w:r>
                    <w:rPr>
                      <w:i/>
                    </w:rPr>
                    <w:t xml:space="preserve"> Site </w:t>
                  </w:r>
                  <w:r>
                    <w:sym w:font="Symbol" w:char="F0BE"/>
                  </w:r>
                  <w:r>
                    <w:t xml:space="preserve">The Real-Time price at Electrical Bus </w:t>
                  </w:r>
                  <w:r>
                    <w:rPr>
                      <w:i/>
                    </w:rPr>
                    <w:t>b</w:t>
                  </w:r>
                  <w:r>
                    <w:t xml:space="preserve"> for the Settlement Meter for the SODG</w:t>
                  </w:r>
                  <w:r w:rsidR="009032F5">
                    <w:t>,</w:t>
                  </w:r>
                  <w:r>
                    <w:t xml:space="preserve"> SOTG</w:t>
                  </w:r>
                  <w:r w:rsidR="009032F5">
                    <w:t>, SODESS</w:t>
                  </w:r>
                  <w:r w:rsidR="009032F5">
                    <w:rPr>
                      <w:i/>
                    </w:rPr>
                    <w:t xml:space="preserve">, </w:t>
                  </w:r>
                  <w:r w:rsidR="009032F5">
                    <w:t>or SOTESS</w:t>
                  </w:r>
                  <w:r>
                    <w:t xml:space="preserve"> site for the 15-minute Settlement Interval.</w:t>
                  </w:r>
                </w:p>
              </w:tc>
            </w:tr>
            <w:tr w:rsidR="009C2EEB" w14:paraId="09241B62" w14:textId="77777777" w:rsidTr="008B123E">
              <w:trPr>
                <w:cantSplit/>
              </w:trPr>
              <w:tc>
                <w:tcPr>
                  <w:tcW w:w="1145" w:type="pct"/>
                </w:tcPr>
                <w:p w14:paraId="753B75BC" w14:textId="068BDE92" w:rsidR="009C2EEB" w:rsidRDefault="009C2EEB" w:rsidP="009C2EEB">
                  <w:pPr>
                    <w:pStyle w:val="tablebody0"/>
                    <w:widowControl w:val="0"/>
                  </w:pPr>
                  <w:r w:rsidRPr="00DA2165">
                    <w:t>MEBSOGNET</w:t>
                  </w:r>
                  <w:r w:rsidRPr="00DA2165">
                    <w:rPr>
                      <w:i/>
                      <w:vertAlign w:val="subscript"/>
                    </w:rPr>
                    <w:t xml:space="preserve"> q, gsc</w:t>
                  </w:r>
                </w:p>
              </w:tc>
              <w:tc>
                <w:tcPr>
                  <w:tcW w:w="675" w:type="pct"/>
                </w:tcPr>
                <w:p w14:paraId="05209AFF" w14:textId="3EE6374B" w:rsidR="009C2EEB" w:rsidRDefault="009C2EEB" w:rsidP="009C2EEB">
                  <w:pPr>
                    <w:pStyle w:val="tablebody0"/>
                    <w:widowControl w:val="0"/>
                  </w:pPr>
                  <w:r w:rsidRPr="00DA2165">
                    <w:t>MWh</w:t>
                  </w:r>
                </w:p>
              </w:tc>
              <w:tc>
                <w:tcPr>
                  <w:tcW w:w="3180" w:type="pct"/>
                </w:tcPr>
                <w:p w14:paraId="4EE6D91D" w14:textId="7D51955E" w:rsidR="009C2EEB" w:rsidRDefault="009C2EEB" w:rsidP="009C2EEB">
                  <w:pPr>
                    <w:pStyle w:val="tablebody0"/>
                    <w:widowControl w:val="0"/>
                    <w:rPr>
                      <w:i/>
                    </w:rPr>
                  </w:pPr>
                  <w:r w:rsidRPr="00DA2165">
                    <w:rPr>
                      <w:i/>
                    </w:rPr>
                    <w:t>Net Metered energy at gsc for an SODG</w:t>
                  </w:r>
                  <w:r w:rsidR="009032F5">
                    <w:rPr>
                      <w:i/>
                    </w:rPr>
                    <w:t>,</w:t>
                  </w:r>
                  <w:r w:rsidRPr="00DA2165">
                    <w:rPr>
                      <w:i/>
                    </w:rPr>
                    <w:t xml:space="preserve"> SOTG</w:t>
                  </w:r>
                  <w:r w:rsidR="009032F5">
                    <w:rPr>
                      <w:i/>
                    </w:rPr>
                    <w:t>, SODESS or SOTESS</w:t>
                  </w:r>
                  <w:r w:rsidRPr="00DA2165">
                    <w:rPr>
                      <w:i/>
                    </w:rPr>
                    <w:t xml:space="preserve"> Site </w:t>
                  </w:r>
                  <w:r w:rsidRPr="00DA2165">
                    <w:sym w:font="Symbol" w:char="F0BE"/>
                  </w:r>
                  <w:r w:rsidRPr="00DA2165">
                    <w:t>The net sum for all Settlement Meters for SODG</w:t>
                  </w:r>
                  <w:r w:rsidR="009032F5">
                    <w:t>,</w:t>
                  </w:r>
                  <w:r w:rsidRPr="00DA2165">
                    <w:t xml:space="preserve"> SOTG</w:t>
                  </w:r>
                  <w:r w:rsidR="009032F5">
                    <w:t>, SODESS, or SOTESS</w:t>
                  </w:r>
                  <w:r w:rsidRPr="00DA2165">
                    <w:t xml:space="preserve"> site</w:t>
                  </w:r>
                  <w:r w:rsidRPr="00DA2165">
                    <w:rPr>
                      <w:i/>
                    </w:rPr>
                    <w:t xml:space="preserve"> gsc</w:t>
                  </w:r>
                  <w:r w:rsidRPr="00DA2165">
                    <w:t xml:space="preserve"> represented by QSE </w:t>
                  </w:r>
                  <w:r w:rsidRPr="00DA2165">
                    <w:rPr>
                      <w:i/>
                    </w:rPr>
                    <w:t>q</w:t>
                  </w:r>
                  <w:r w:rsidRPr="00DA2165">
                    <w:t>.  A positive value indicates an injection of power to the ERCOT System.</w:t>
                  </w:r>
                </w:p>
              </w:tc>
            </w:tr>
            <w:tr w:rsidR="00760B74" w14:paraId="26C7840B" w14:textId="77777777" w:rsidTr="008B123E">
              <w:trPr>
                <w:cantSplit/>
              </w:trPr>
              <w:tc>
                <w:tcPr>
                  <w:tcW w:w="1145" w:type="pct"/>
                </w:tcPr>
                <w:p w14:paraId="35B8D8E6" w14:textId="35647FE2" w:rsidR="00760B74" w:rsidRDefault="009C2EEB" w:rsidP="009C2EEB">
                  <w:pPr>
                    <w:pStyle w:val="tablebody0"/>
                    <w:widowControl w:val="0"/>
                  </w:pPr>
                  <w:r>
                    <w:t>MEB</w:t>
                  </w:r>
                  <w:r w:rsidR="00760B74">
                    <w:t xml:space="preserve">SOG </w:t>
                  </w:r>
                  <w:r w:rsidR="00760B74" w:rsidRPr="004F3915">
                    <w:rPr>
                      <w:i/>
                      <w:vertAlign w:val="subscript"/>
                    </w:rPr>
                    <w:t>q,</w:t>
                  </w:r>
                  <w:r w:rsidR="00760B74">
                    <w:t xml:space="preserve"> </w:t>
                  </w:r>
                  <w:r w:rsidR="00760B74">
                    <w:rPr>
                      <w:i/>
                      <w:vertAlign w:val="subscript"/>
                    </w:rPr>
                    <w:t>g</w:t>
                  </w:r>
                  <w:r w:rsidR="00760B74" w:rsidRPr="00107CC2">
                    <w:rPr>
                      <w:i/>
                      <w:vertAlign w:val="subscript"/>
                    </w:rPr>
                    <w:t xml:space="preserve">sc, </w:t>
                  </w:r>
                  <w:r w:rsidR="00760B74">
                    <w:rPr>
                      <w:i/>
                      <w:vertAlign w:val="subscript"/>
                    </w:rPr>
                    <w:t>b</w:t>
                  </w:r>
                </w:p>
              </w:tc>
              <w:tc>
                <w:tcPr>
                  <w:tcW w:w="675" w:type="pct"/>
                </w:tcPr>
                <w:p w14:paraId="0F65BA69" w14:textId="77777777" w:rsidR="00760B74" w:rsidRDefault="00760B74" w:rsidP="00760B74">
                  <w:pPr>
                    <w:pStyle w:val="tablebody0"/>
                    <w:widowControl w:val="0"/>
                  </w:pPr>
                  <w:r>
                    <w:t>MWh</w:t>
                  </w:r>
                </w:p>
              </w:tc>
              <w:tc>
                <w:tcPr>
                  <w:tcW w:w="3180" w:type="pct"/>
                </w:tcPr>
                <w:p w14:paraId="4CAD133A" w14:textId="40D790F6" w:rsidR="00760B74" w:rsidRDefault="009C2EEB" w:rsidP="006612C7">
                  <w:pPr>
                    <w:pStyle w:val="tablebody0"/>
                    <w:widowControl w:val="0"/>
                    <w:rPr>
                      <w:i/>
                    </w:rPr>
                  </w:pPr>
                  <w:r w:rsidRPr="00DA2165">
                    <w:rPr>
                      <w:i/>
                    </w:rPr>
                    <w:t>Metered energy at bus</w:t>
                  </w:r>
                  <w:r w:rsidR="00760B74">
                    <w:rPr>
                      <w:i/>
                    </w:rPr>
                    <w:t xml:space="preserve"> for an SODG</w:t>
                  </w:r>
                  <w:r w:rsidR="009032F5">
                    <w:rPr>
                      <w:i/>
                    </w:rPr>
                    <w:t>,</w:t>
                  </w:r>
                  <w:r w:rsidR="00760B74">
                    <w:rPr>
                      <w:i/>
                    </w:rPr>
                    <w:t xml:space="preserve"> SOTG</w:t>
                  </w:r>
                  <w:r w:rsidR="009032F5">
                    <w:rPr>
                      <w:i/>
                    </w:rPr>
                    <w:t>, SODESS, or SOTESS</w:t>
                  </w:r>
                  <w:r w:rsidR="00760B74">
                    <w:rPr>
                      <w:i/>
                    </w:rPr>
                    <w:t xml:space="preserve"> Site </w:t>
                  </w:r>
                  <w:r w:rsidR="00760B74">
                    <w:sym w:font="Symbol" w:char="F0BE"/>
                  </w:r>
                  <w:r w:rsidR="00760B74">
                    <w:t xml:space="preserve">The </w:t>
                  </w:r>
                  <w:r>
                    <w:t>metered energy</w:t>
                  </w:r>
                  <w:r w:rsidR="00760B74">
                    <w:t xml:space="preserve"> by the Settlement Meter(s) at Electrical Bus </w:t>
                  </w:r>
                  <w:r w:rsidR="00760B74">
                    <w:rPr>
                      <w:i/>
                    </w:rPr>
                    <w:t>b</w:t>
                  </w:r>
                  <w:r w:rsidR="00760B74">
                    <w:t xml:space="preserve"> for SODG</w:t>
                  </w:r>
                  <w:r w:rsidR="009032F5">
                    <w:t>,</w:t>
                  </w:r>
                  <w:r w:rsidR="00760B74">
                    <w:t xml:space="preserve"> SOTG</w:t>
                  </w:r>
                  <w:r w:rsidR="00851766">
                    <w:t>, SODESS</w:t>
                  </w:r>
                  <w:r w:rsidR="00851766">
                    <w:rPr>
                      <w:i/>
                    </w:rPr>
                    <w:t xml:space="preserve">, </w:t>
                  </w:r>
                  <w:r w:rsidR="00851766">
                    <w:t>or</w:t>
                  </w:r>
                  <w:r w:rsidR="00851766">
                    <w:rPr>
                      <w:i/>
                    </w:rPr>
                    <w:t xml:space="preserve"> </w:t>
                  </w:r>
                  <w:r w:rsidR="00851766">
                    <w:t>SOTESS</w:t>
                  </w:r>
                  <w:r w:rsidR="00760B74">
                    <w:t xml:space="preserve"> site</w:t>
                  </w:r>
                  <w:r w:rsidR="00760B74" w:rsidRPr="00D661BC">
                    <w:rPr>
                      <w:i/>
                    </w:rPr>
                    <w:t xml:space="preserve"> gsc</w:t>
                  </w:r>
                  <w:r w:rsidR="00760B74">
                    <w:t xml:space="preserve"> represented by QSE </w:t>
                  </w:r>
                  <w:r w:rsidR="00760B74" w:rsidRPr="004F3915">
                    <w:rPr>
                      <w:i/>
                    </w:rPr>
                    <w:t>q</w:t>
                  </w:r>
                  <w:r w:rsidR="00851766">
                    <w:t xml:space="preserve"> for the 15-minute Settlement Interval</w:t>
                  </w:r>
                  <w:r w:rsidR="00760B74">
                    <w:t>.</w:t>
                  </w:r>
                  <w:r>
                    <w:t xml:space="preserve">  </w:t>
                  </w:r>
                  <w:r w:rsidRPr="00DA2165">
                    <w:t>A positive value represents energy produced, and a negative value represents energy consumed.</w:t>
                  </w:r>
                </w:p>
              </w:tc>
            </w:tr>
            <w:tr w:rsidR="00851766" w14:paraId="275E213C" w14:textId="77777777" w:rsidTr="008B123E">
              <w:trPr>
                <w:cantSplit/>
              </w:trPr>
              <w:tc>
                <w:tcPr>
                  <w:tcW w:w="1145" w:type="pct"/>
                </w:tcPr>
                <w:p w14:paraId="6AE6D68A" w14:textId="541D13D1" w:rsidR="00851766" w:rsidRDefault="00851766" w:rsidP="00851766">
                  <w:pPr>
                    <w:pStyle w:val="tablebody0"/>
                    <w:widowControl w:val="0"/>
                  </w:pPr>
                  <w:r>
                    <w:t xml:space="preserve">WSOL </w:t>
                  </w:r>
                  <w:r>
                    <w:rPr>
                      <w:i/>
                      <w:vertAlign w:val="subscript"/>
                    </w:rPr>
                    <w:t>q, gsc, b</w:t>
                  </w:r>
                  <w:r>
                    <w:t xml:space="preserve">  </w:t>
                  </w:r>
                </w:p>
              </w:tc>
              <w:tc>
                <w:tcPr>
                  <w:tcW w:w="675" w:type="pct"/>
                </w:tcPr>
                <w:p w14:paraId="34C14AB1" w14:textId="7A8E17C8" w:rsidR="00851766" w:rsidRDefault="00851766" w:rsidP="00851766">
                  <w:pPr>
                    <w:pStyle w:val="tablebody0"/>
                    <w:widowControl w:val="0"/>
                  </w:pPr>
                  <w:r>
                    <w:t>MWh</w:t>
                  </w:r>
                </w:p>
              </w:tc>
              <w:tc>
                <w:tcPr>
                  <w:tcW w:w="3180" w:type="pct"/>
                </w:tcPr>
                <w:p w14:paraId="765B4B21" w14:textId="435DDCE0" w:rsidR="00851766" w:rsidRPr="00DA2165" w:rsidRDefault="00851766" w:rsidP="00851766">
                  <w:pPr>
                    <w:pStyle w:val="tablebody0"/>
                    <w:widowControl w:val="0"/>
                    <w:rPr>
                      <w:i/>
                    </w:rPr>
                  </w:pPr>
                  <w:r>
                    <w:rPr>
                      <w:i/>
                    </w:rPr>
                    <w:t>WSL for an SODESS or SOTESS Site</w:t>
                  </w:r>
                  <w:r w:rsidR="006465B2" w:rsidRPr="00DA2165">
                    <w:sym w:font="Symbol" w:char="F0BE"/>
                  </w:r>
                  <w:r>
                    <w:t xml:space="preserve">The WSL as measured for an SODESS or SOTESS site </w:t>
                  </w:r>
                  <w:r>
                    <w:rPr>
                      <w:i/>
                    </w:rPr>
                    <w:t>gsc</w:t>
                  </w:r>
                  <w:r>
                    <w:t xml:space="preserve"> at Electrical Bus </w:t>
                  </w:r>
                  <w:r>
                    <w:rPr>
                      <w:i/>
                    </w:rPr>
                    <w:t>b</w:t>
                  </w:r>
                  <w:r>
                    <w:t xml:space="preserve">, represented by QSE </w:t>
                  </w:r>
                  <w:r>
                    <w:rPr>
                      <w:i/>
                    </w:rPr>
                    <w:t>q,</w:t>
                  </w:r>
                  <w:r>
                    <w:t xml:space="preserve"> represented as a negative value, for the 15-minute Settlement Interval.</w:t>
                  </w:r>
                </w:p>
              </w:tc>
            </w:tr>
            <w:tr w:rsidR="00851766" w14:paraId="322D60B6" w14:textId="77777777" w:rsidTr="008B123E">
              <w:trPr>
                <w:cantSplit/>
              </w:trPr>
              <w:tc>
                <w:tcPr>
                  <w:tcW w:w="1145" w:type="pct"/>
                </w:tcPr>
                <w:p w14:paraId="677EEF37" w14:textId="23E5B384" w:rsidR="00851766" w:rsidRDefault="00851766" w:rsidP="00851766">
                  <w:pPr>
                    <w:pStyle w:val="tablebody0"/>
                    <w:widowControl w:val="0"/>
                  </w:pPr>
                  <w:r>
                    <w:t xml:space="preserve">NWSOL </w:t>
                  </w:r>
                  <w:r>
                    <w:rPr>
                      <w:i/>
                      <w:vertAlign w:val="subscript"/>
                    </w:rPr>
                    <w:t>q, gsc, b</w:t>
                  </w:r>
                  <w:r>
                    <w:t xml:space="preserve">  </w:t>
                  </w:r>
                </w:p>
              </w:tc>
              <w:tc>
                <w:tcPr>
                  <w:tcW w:w="675" w:type="pct"/>
                </w:tcPr>
                <w:p w14:paraId="0BAC09B2" w14:textId="3E2496E2" w:rsidR="00851766" w:rsidRDefault="00851766" w:rsidP="00851766">
                  <w:pPr>
                    <w:pStyle w:val="tablebody0"/>
                    <w:widowControl w:val="0"/>
                  </w:pPr>
                  <w:r>
                    <w:t>MWh</w:t>
                  </w:r>
                </w:p>
              </w:tc>
              <w:tc>
                <w:tcPr>
                  <w:tcW w:w="3180" w:type="pct"/>
                </w:tcPr>
                <w:p w14:paraId="61FC96AD" w14:textId="47CFBB2C" w:rsidR="00851766" w:rsidRPr="00DA2165" w:rsidRDefault="00851766" w:rsidP="00851766">
                  <w:pPr>
                    <w:pStyle w:val="tablebody0"/>
                    <w:widowControl w:val="0"/>
                    <w:rPr>
                      <w:i/>
                    </w:rPr>
                  </w:pPr>
                  <w:r>
                    <w:rPr>
                      <w:i/>
                    </w:rPr>
                    <w:t>Non-WSL Settlement Only Charging Load for an SODESS or SOTESS Site</w:t>
                  </w:r>
                  <w:r w:rsidR="006465B2" w:rsidRPr="00DA2165">
                    <w:sym w:font="Symbol" w:char="F0BE"/>
                  </w:r>
                  <w:r>
                    <w:t xml:space="preserve">The Non-WSL Settlement Only Charging Load as measured for an SODESS or SOTESS site </w:t>
                  </w:r>
                  <w:r>
                    <w:rPr>
                      <w:i/>
                    </w:rPr>
                    <w:t>gsc</w:t>
                  </w:r>
                  <w:r>
                    <w:t xml:space="preserve"> at Electrical Bus </w:t>
                  </w:r>
                  <w:r>
                    <w:rPr>
                      <w:i/>
                    </w:rPr>
                    <w:t>b</w:t>
                  </w:r>
                  <w:r>
                    <w:t xml:space="preserve">, represented by QSE </w:t>
                  </w:r>
                  <w:r>
                    <w:rPr>
                      <w:i/>
                    </w:rPr>
                    <w:t>q,</w:t>
                  </w:r>
                  <w:r>
                    <w:t xml:space="preserve"> represented as a negative value, for the 15-minute Settlement Interval.</w:t>
                  </w:r>
                </w:p>
              </w:tc>
            </w:tr>
            <w:tr w:rsidR="00760B74" w14:paraId="1D16B6B8" w14:textId="77777777" w:rsidTr="008B123E">
              <w:trPr>
                <w:cantSplit/>
              </w:trPr>
              <w:tc>
                <w:tcPr>
                  <w:tcW w:w="1145" w:type="pct"/>
                </w:tcPr>
                <w:p w14:paraId="23AD967F" w14:textId="77777777" w:rsidR="00760B74" w:rsidRPr="0080555B" w:rsidRDefault="00760B74" w:rsidP="00760B74">
                  <w:pPr>
                    <w:pStyle w:val="tablebody0"/>
                    <w:widowControl w:val="0"/>
                  </w:pPr>
                  <w:r>
                    <w:t>RTRDP</w:t>
                  </w:r>
                </w:p>
              </w:tc>
              <w:tc>
                <w:tcPr>
                  <w:tcW w:w="675" w:type="pct"/>
                </w:tcPr>
                <w:p w14:paraId="557351E3" w14:textId="77777777" w:rsidR="00760B74" w:rsidRPr="0080555B" w:rsidRDefault="00760B74" w:rsidP="00760B74">
                  <w:pPr>
                    <w:pStyle w:val="tablebody0"/>
                    <w:widowControl w:val="0"/>
                  </w:pPr>
                  <w:r>
                    <w:t>$/MWh</w:t>
                  </w:r>
                </w:p>
              </w:tc>
              <w:tc>
                <w:tcPr>
                  <w:tcW w:w="3180" w:type="pct"/>
                </w:tcPr>
                <w:p w14:paraId="441963CE" w14:textId="527F6F0B" w:rsidR="00760B74" w:rsidRPr="0080555B" w:rsidRDefault="00760B74" w:rsidP="001A78EC">
                  <w:pPr>
                    <w:pStyle w:val="tablebody0"/>
                    <w:widowControl w:val="0"/>
                    <w:rPr>
                      <w:i/>
                    </w:rPr>
                  </w:pPr>
                  <w:r>
                    <w:rPr>
                      <w:i/>
                    </w:rPr>
                    <w:t>Real-Time Reliability Deployment Price</w:t>
                  </w:r>
                  <w:r w:rsidR="001A78EC">
                    <w:rPr>
                      <w:i/>
                    </w:rPr>
                    <w:t xml:space="preserve"> for Energy</w:t>
                  </w:r>
                  <w:r>
                    <w:rPr>
                      <w:i/>
                    </w:rPr>
                    <w:t xml:space="preserv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Real-Time Reliability Deployment Price Adder</w:t>
                  </w:r>
                  <w:r w:rsidR="001A78EC">
                    <w:rPr>
                      <w:bCs/>
                    </w:rPr>
                    <w:t xml:space="preserve"> for Energy</w:t>
                  </w:r>
                  <w:r w:rsidRPr="0080555B">
                    <w:t>.</w:t>
                  </w:r>
                </w:p>
              </w:tc>
            </w:tr>
            <w:tr w:rsidR="00760B74" w14:paraId="73B76A9E" w14:textId="77777777" w:rsidTr="008B123E">
              <w:trPr>
                <w:cantSplit/>
              </w:trPr>
              <w:tc>
                <w:tcPr>
                  <w:tcW w:w="1145" w:type="pct"/>
                </w:tcPr>
                <w:p w14:paraId="0B6C855E" w14:textId="7DD3C8A4" w:rsidR="00760B74" w:rsidRPr="0080555B" w:rsidRDefault="00760B74" w:rsidP="00760B74">
                  <w:pPr>
                    <w:pStyle w:val="tablebody0"/>
                    <w:widowControl w:val="0"/>
                  </w:pPr>
                  <w:r>
                    <w:t>RTRDPA</w:t>
                  </w:r>
                  <w:r w:rsidRPr="00CE4C14">
                    <w:rPr>
                      <w:vertAlign w:val="subscript"/>
                    </w:rPr>
                    <w:t xml:space="preserve"> </w:t>
                  </w:r>
                  <w:r w:rsidRPr="00107CC2">
                    <w:rPr>
                      <w:i/>
                      <w:vertAlign w:val="subscript"/>
                    </w:rPr>
                    <w:t>y</w:t>
                  </w:r>
                </w:p>
              </w:tc>
              <w:tc>
                <w:tcPr>
                  <w:tcW w:w="675" w:type="pct"/>
                </w:tcPr>
                <w:p w14:paraId="5D45166D" w14:textId="77777777" w:rsidR="00760B74" w:rsidRPr="0080555B" w:rsidRDefault="00760B74" w:rsidP="00760B74">
                  <w:pPr>
                    <w:pStyle w:val="tablebody0"/>
                    <w:widowControl w:val="0"/>
                  </w:pPr>
                  <w:r>
                    <w:t>$/MWh</w:t>
                  </w:r>
                </w:p>
              </w:tc>
              <w:tc>
                <w:tcPr>
                  <w:tcW w:w="3180" w:type="pct"/>
                </w:tcPr>
                <w:p w14:paraId="3E7A450A" w14:textId="55E4ADF2" w:rsidR="00760B74" w:rsidRPr="0080555B" w:rsidRDefault="00760B74" w:rsidP="001A78EC">
                  <w:pPr>
                    <w:pStyle w:val="tablebody0"/>
                    <w:widowControl w:val="0"/>
                    <w:rPr>
                      <w:i/>
                    </w:rPr>
                  </w:pPr>
                  <w:r>
                    <w:rPr>
                      <w:i/>
                    </w:rPr>
                    <w:t>Real-Time Reliability Deployment Price Adder</w:t>
                  </w:r>
                  <w:r w:rsidR="001A78EC">
                    <w:rPr>
                      <w:i/>
                    </w:rPr>
                    <w:t xml:space="preserve"> for Energy</w:t>
                  </w:r>
                  <w:r>
                    <w:rPr>
                      <w:i/>
                    </w:rPr>
                    <w:t xml:space="preserve"> </w:t>
                  </w:r>
                  <w:r w:rsidRPr="00CE4C14">
                    <w:sym w:font="Symbol" w:char="F0BE"/>
                  </w:r>
                  <w:r>
                    <w:t xml:space="preserve">The Real-Time </w:t>
                  </w:r>
                  <w:r w:rsidR="001A78EC">
                    <w:t>p</w:t>
                  </w:r>
                  <w:r>
                    <w:t xml:space="preserve">rice </w:t>
                  </w:r>
                  <w:r w:rsidR="001A78EC">
                    <w:t>a</w:t>
                  </w:r>
                  <w:r>
                    <w:t>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760B74" w14:paraId="55CA9938" w14:textId="77777777" w:rsidTr="008B123E">
              <w:trPr>
                <w:cantSplit/>
              </w:trPr>
              <w:tc>
                <w:tcPr>
                  <w:tcW w:w="1145" w:type="pct"/>
                </w:tcPr>
                <w:p w14:paraId="5E82355E" w14:textId="77777777" w:rsidR="00760B74" w:rsidRDefault="00760B74" w:rsidP="00760B74">
                  <w:pPr>
                    <w:pStyle w:val="tablebody0"/>
                    <w:widowControl w:val="0"/>
                  </w:pPr>
                  <w:r>
                    <w:t>SD</w:t>
                  </w:r>
                  <w:r w:rsidRPr="0080555B">
                    <w:t>WF</w:t>
                  </w:r>
                  <w:r w:rsidRPr="00107CC2">
                    <w:rPr>
                      <w:i/>
                    </w:rPr>
                    <w:t xml:space="preserve"> </w:t>
                  </w:r>
                  <w:r w:rsidRPr="00107CC2">
                    <w:rPr>
                      <w:i/>
                      <w:vertAlign w:val="subscript"/>
                    </w:rPr>
                    <w:t>y</w:t>
                  </w:r>
                </w:p>
              </w:tc>
              <w:tc>
                <w:tcPr>
                  <w:tcW w:w="675" w:type="pct"/>
                </w:tcPr>
                <w:p w14:paraId="44464EA9" w14:textId="77777777" w:rsidR="00760B74" w:rsidRDefault="00C5632E" w:rsidP="00760B74">
                  <w:pPr>
                    <w:pStyle w:val="tablebody0"/>
                    <w:widowControl w:val="0"/>
                  </w:pPr>
                  <w:r w:rsidRPr="0080555B">
                    <w:t>N</w:t>
                  </w:r>
                  <w:r w:rsidR="00760B74" w:rsidRPr="0080555B">
                    <w:t>one</w:t>
                  </w:r>
                </w:p>
              </w:tc>
              <w:tc>
                <w:tcPr>
                  <w:tcW w:w="3180" w:type="pct"/>
                </w:tcPr>
                <w:p w14:paraId="5844785E" w14:textId="28E10BA1" w:rsidR="00760B74" w:rsidRDefault="00760B74" w:rsidP="00760B74">
                  <w:pPr>
                    <w:pStyle w:val="tablebody0"/>
                    <w:widowControl w:val="0"/>
                    <w:rPr>
                      <w:i/>
                    </w:rPr>
                  </w:pPr>
                  <w:r>
                    <w:rPr>
                      <w:i/>
                    </w:rPr>
                    <w:t>SCED Duration</w:t>
                  </w:r>
                  <w:r w:rsidRPr="0080555B">
                    <w:rPr>
                      <w:i/>
                    </w:rPr>
                    <w:t xml:space="preserve"> Weighting Factor per interval</w:t>
                  </w:r>
                  <w:r w:rsidR="00E87687">
                    <w:rPr>
                      <w:i/>
                    </w:rPr>
                    <w:t xml:space="preserve"> </w:t>
                  </w:r>
                  <w:r w:rsidRPr="0080555B">
                    <w:sym w:font="Symbol" w:char="F0BE"/>
                  </w:r>
                  <w:r w:rsidRPr="0080555B">
                    <w:t>The weight used in th</w:t>
                  </w:r>
                  <w:r>
                    <w:t>e SODG</w:t>
                  </w:r>
                  <w:r w:rsidR="00851766">
                    <w:t>,</w:t>
                  </w:r>
                  <w:r>
                    <w:t xml:space="preserve"> SOTG</w:t>
                  </w:r>
                  <w:r w:rsidR="00851766">
                    <w:t>, SODESS, or SOTESS</w:t>
                  </w:r>
                  <w:r w:rsidRPr="0080555B">
                    <w:t xml:space="preserve"> </w:t>
                  </w:r>
                  <w:r>
                    <w:t>p</w:t>
                  </w:r>
                  <w:r w:rsidRPr="0080555B">
                    <w:t xml:space="preserve">rice calculation for the portion of the SCED interval </w:t>
                  </w:r>
                  <w:r w:rsidRPr="0080555B">
                    <w:rPr>
                      <w:i/>
                    </w:rPr>
                    <w:t>y</w:t>
                  </w:r>
                  <w:r w:rsidRPr="0080555B">
                    <w:t xml:space="preserve"> within the Settlement Interval.</w:t>
                  </w:r>
                </w:p>
              </w:tc>
            </w:tr>
            <w:tr w:rsidR="00760B74" w14:paraId="52059E1E" w14:textId="77777777" w:rsidTr="008B123E">
              <w:trPr>
                <w:cantSplit/>
              </w:trPr>
              <w:tc>
                <w:tcPr>
                  <w:tcW w:w="1145" w:type="pct"/>
                </w:tcPr>
                <w:p w14:paraId="5864E8D6" w14:textId="77777777" w:rsidR="00760B74" w:rsidRDefault="00760B74" w:rsidP="00760B74">
                  <w:pPr>
                    <w:pStyle w:val="tablebody0"/>
                    <w:widowControl w:val="0"/>
                  </w:pPr>
                  <w:r>
                    <w:lastRenderedPageBreak/>
                    <w:t xml:space="preserve">RTLMP </w:t>
                  </w:r>
                  <w:r w:rsidRPr="00107CC2">
                    <w:rPr>
                      <w:i/>
                      <w:vertAlign w:val="subscript"/>
                    </w:rPr>
                    <w:t>b, y</w:t>
                  </w:r>
                </w:p>
              </w:tc>
              <w:tc>
                <w:tcPr>
                  <w:tcW w:w="675" w:type="pct"/>
                </w:tcPr>
                <w:p w14:paraId="32453E5F" w14:textId="77777777" w:rsidR="00760B74" w:rsidRDefault="00760B74" w:rsidP="00760B74">
                  <w:pPr>
                    <w:pStyle w:val="tablebody0"/>
                    <w:widowControl w:val="0"/>
                  </w:pPr>
                  <w:r>
                    <w:t>$/MWh</w:t>
                  </w:r>
                </w:p>
              </w:tc>
              <w:tc>
                <w:tcPr>
                  <w:tcW w:w="3180" w:type="pct"/>
                </w:tcPr>
                <w:p w14:paraId="25769A2E" w14:textId="3ACC11EA" w:rsidR="00760B74" w:rsidRDefault="00760B74" w:rsidP="00760B74">
                  <w:pPr>
                    <w:pStyle w:val="tablebody0"/>
                    <w:widowControl w:val="0"/>
                  </w:pPr>
                  <w:r>
                    <w:rPr>
                      <w:i/>
                    </w:rPr>
                    <w:t>Real-Time Locational Marginal Price at bus per interval</w:t>
                  </w:r>
                  <w:r w:rsidR="00E87687">
                    <w:rPr>
                      <w:i/>
                    </w:rPr>
                    <w:t xml:space="preserve"> </w:t>
                  </w:r>
                  <w:r>
                    <w:sym w:font="Symbol" w:char="F0BE"/>
                  </w:r>
                  <w:r>
                    <w:t xml:space="preserve">The Real-Time </w:t>
                  </w:r>
                  <w:r w:rsidRPr="00C5632E">
                    <w:t>LMP</w:t>
                  </w:r>
                  <w:r>
                    <w:t xml:space="preserve"> at Electrical Bus </w:t>
                  </w:r>
                  <w:r>
                    <w:rPr>
                      <w:i/>
                    </w:rPr>
                    <w:t>b</w:t>
                  </w:r>
                  <w:r>
                    <w:t xml:space="preserve">, for the SCED interval </w:t>
                  </w:r>
                  <w:r>
                    <w:rPr>
                      <w:i/>
                    </w:rPr>
                    <w:t>y</w:t>
                  </w:r>
                  <w:r>
                    <w:t>.</w:t>
                  </w:r>
                </w:p>
              </w:tc>
            </w:tr>
            <w:tr w:rsidR="00760B74" w14:paraId="12933831" w14:textId="77777777" w:rsidTr="008B123E">
              <w:trPr>
                <w:cantSplit/>
              </w:trPr>
              <w:tc>
                <w:tcPr>
                  <w:tcW w:w="1145" w:type="pct"/>
                </w:tcPr>
                <w:p w14:paraId="3C8FC2B6" w14:textId="77777777" w:rsidR="00760B74" w:rsidRDefault="00760B74" w:rsidP="00760B74">
                  <w:pPr>
                    <w:pStyle w:val="tablebody0"/>
                    <w:widowControl w:val="0"/>
                  </w:pPr>
                  <w:r>
                    <w:t xml:space="preserve">TLMP </w:t>
                  </w:r>
                  <w:r w:rsidRPr="00107CC2">
                    <w:rPr>
                      <w:i/>
                      <w:vertAlign w:val="subscript"/>
                    </w:rPr>
                    <w:t>y</w:t>
                  </w:r>
                </w:p>
              </w:tc>
              <w:tc>
                <w:tcPr>
                  <w:tcW w:w="675" w:type="pct"/>
                </w:tcPr>
                <w:p w14:paraId="722D837A" w14:textId="77777777" w:rsidR="00760B74" w:rsidRDefault="00760B74" w:rsidP="00760B74">
                  <w:pPr>
                    <w:pStyle w:val="tablebody0"/>
                    <w:widowControl w:val="0"/>
                    <w:rPr>
                      <w:iCs/>
                    </w:rPr>
                  </w:pPr>
                  <w:r>
                    <w:t>second</w:t>
                  </w:r>
                </w:p>
              </w:tc>
              <w:tc>
                <w:tcPr>
                  <w:tcW w:w="3180" w:type="pct"/>
                </w:tcPr>
                <w:p w14:paraId="5719C479" w14:textId="1A11F1C4" w:rsidR="00760B74" w:rsidRDefault="00760B74" w:rsidP="00760B74">
                  <w:pPr>
                    <w:pStyle w:val="tablebody0"/>
                    <w:widowControl w:val="0"/>
                  </w:pPr>
                  <w:r>
                    <w:rPr>
                      <w:i/>
                      <w:iCs/>
                    </w:rPr>
                    <w:t xml:space="preserve">Duration of </w:t>
                  </w:r>
                  <w:r>
                    <w:rPr>
                      <w:i/>
                    </w:rPr>
                    <w:t>SCED</w:t>
                  </w:r>
                  <w:r>
                    <w:rPr>
                      <w:i/>
                      <w:iCs/>
                    </w:rPr>
                    <w:t xml:space="preserve"> interval per interval</w:t>
                  </w:r>
                  <w:r w:rsidR="00E87687">
                    <w:rPr>
                      <w:i/>
                      <w:iCs/>
                    </w:rPr>
                    <w:t xml:space="preserve"> </w:t>
                  </w:r>
                  <w:r>
                    <w:sym w:font="Symbol" w:char="F0BE"/>
                  </w:r>
                  <w:r>
                    <w:t xml:space="preserve">The duration of the SCED interval </w:t>
                  </w:r>
                  <w:r>
                    <w:rPr>
                      <w:i/>
                      <w:iCs/>
                    </w:rPr>
                    <w:t xml:space="preserve">y </w:t>
                  </w:r>
                  <w:r>
                    <w:rPr>
                      <w:iCs/>
                    </w:rPr>
                    <w:t>within the Settlement Interval</w:t>
                  </w:r>
                  <w:r>
                    <w:t>.</w:t>
                  </w:r>
                </w:p>
              </w:tc>
            </w:tr>
            <w:tr w:rsidR="00760B74" w14:paraId="6897A192" w14:textId="77777777" w:rsidTr="008B123E">
              <w:trPr>
                <w:cantSplit/>
              </w:trPr>
              <w:tc>
                <w:tcPr>
                  <w:tcW w:w="1145" w:type="pct"/>
                </w:tcPr>
                <w:p w14:paraId="34DF684C" w14:textId="77777777" w:rsidR="00760B74" w:rsidRPr="00851EF1" w:rsidRDefault="00760B74" w:rsidP="00760B74">
                  <w:pPr>
                    <w:pStyle w:val="tablebody0"/>
                    <w:widowControl w:val="0"/>
                    <w:rPr>
                      <w:i/>
                    </w:rPr>
                  </w:pPr>
                  <w:r w:rsidRPr="00D661BC">
                    <w:rPr>
                      <w:i/>
                    </w:rPr>
                    <w:t>gsc</w:t>
                  </w:r>
                </w:p>
              </w:tc>
              <w:tc>
                <w:tcPr>
                  <w:tcW w:w="675" w:type="pct"/>
                </w:tcPr>
                <w:p w14:paraId="79B103CC" w14:textId="77777777" w:rsidR="00760B74" w:rsidRDefault="00760B74" w:rsidP="00760B74">
                  <w:pPr>
                    <w:pStyle w:val="tablebody0"/>
                    <w:widowControl w:val="0"/>
                  </w:pPr>
                  <w:r>
                    <w:t>none</w:t>
                  </w:r>
                </w:p>
              </w:tc>
              <w:tc>
                <w:tcPr>
                  <w:tcW w:w="3180" w:type="pct"/>
                </w:tcPr>
                <w:p w14:paraId="16EBA14C" w14:textId="77777777" w:rsidR="00760B74" w:rsidRDefault="00760B74" w:rsidP="00760B74">
                  <w:pPr>
                    <w:pStyle w:val="tablebody0"/>
                    <w:widowControl w:val="0"/>
                  </w:pPr>
                  <w:r>
                    <w:t>A generation site code.</w:t>
                  </w:r>
                </w:p>
              </w:tc>
            </w:tr>
            <w:tr w:rsidR="00760B74" w14:paraId="47807D14" w14:textId="77777777" w:rsidTr="008B123E">
              <w:trPr>
                <w:cantSplit/>
              </w:trPr>
              <w:tc>
                <w:tcPr>
                  <w:tcW w:w="1145" w:type="pct"/>
                </w:tcPr>
                <w:p w14:paraId="1C1E4A63" w14:textId="77777777" w:rsidR="00760B74" w:rsidRPr="00851EF1" w:rsidRDefault="00760B74" w:rsidP="00760B74">
                  <w:pPr>
                    <w:pStyle w:val="tablebody0"/>
                    <w:widowControl w:val="0"/>
                    <w:rPr>
                      <w:i/>
                    </w:rPr>
                  </w:pPr>
                  <w:r w:rsidRPr="00D661BC">
                    <w:rPr>
                      <w:i/>
                    </w:rPr>
                    <w:t>b</w:t>
                  </w:r>
                </w:p>
              </w:tc>
              <w:tc>
                <w:tcPr>
                  <w:tcW w:w="675" w:type="pct"/>
                </w:tcPr>
                <w:p w14:paraId="51188477" w14:textId="77777777" w:rsidR="00760B74" w:rsidRDefault="00760B74" w:rsidP="00760B74">
                  <w:pPr>
                    <w:pStyle w:val="tablebody0"/>
                    <w:widowControl w:val="0"/>
                  </w:pPr>
                  <w:r>
                    <w:t>none</w:t>
                  </w:r>
                </w:p>
              </w:tc>
              <w:tc>
                <w:tcPr>
                  <w:tcW w:w="3180" w:type="pct"/>
                </w:tcPr>
                <w:p w14:paraId="349EB487" w14:textId="77777777" w:rsidR="00760B74" w:rsidRDefault="00760B74" w:rsidP="00760B74">
                  <w:pPr>
                    <w:pStyle w:val="tablebody0"/>
                    <w:widowControl w:val="0"/>
                  </w:pPr>
                  <w:r>
                    <w:t>An Electrical Bus.</w:t>
                  </w:r>
                </w:p>
              </w:tc>
            </w:tr>
            <w:tr w:rsidR="00760B74" w14:paraId="614909DE" w14:textId="77777777" w:rsidTr="008B123E">
              <w:trPr>
                <w:cantSplit/>
              </w:trPr>
              <w:tc>
                <w:tcPr>
                  <w:tcW w:w="1145" w:type="pct"/>
                </w:tcPr>
                <w:p w14:paraId="274B4088" w14:textId="77777777" w:rsidR="00760B74" w:rsidRPr="00851EF1" w:rsidRDefault="00760B74" w:rsidP="00760B74">
                  <w:pPr>
                    <w:pStyle w:val="tablebody0"/>
                    <w:widowControl w:val="0"/>
                    <w:rPr>
                      <w:i/>
                    </w:rPr>
                  </w:pPr>
                  <w:r>
                    <w:rPr>
                      <w:i/>
                    </w:rPr>
                    <w:t>y</w:t>
                  </w:r>
                </w:p>
              </w:tc>
              <w:tc>
                <w:tcPr>
                  <w:tcW w:w="675" w:type="pct"/>
                </w:tcPr>
                <w:p w14:paraId="0CF77A33" w14:textId="77777777" w:rsidR="00760B74" w:rsidRDefault="00760B74" w:rsidP="00760B74">
                  <w:pPr>
                    <w:pStyle w:val="tablebody0"/>
                    <w:widowControl w:val="0"/>
                  </w:pPr>
                  <w:r>
                    <w:t>None</w:t>
                  </w:r>
                </w:p>
              </w:tc>
              <w:tc>
                <w:tcPr>
                  <w:tcW w:w="3180" w:type="pct"/>
                </w:tcPr>
                <w:p w14:paraId="0D17B35F" w14:textId="77777777" w:rsidR="00760B74" w:rsidRDefault="00760B74" w:rsidP="00760B74">
                  <w:pPr>
                    <w:pStyle w:val="tablebody0"/>
                    <w:widowControl w:val="0"/>
                  </w:pPr>
                  <w:r>
                    <w:t>A SCED interval in the 15-minute Settlement Interval.  The summation is over the total number of SCED runs that cover the 15-minute Settlement Interval.</w:t>
                  </w:r>
                </w:p>
              </w:tc>
            </w:tr>
          </w:tbl>
          <w:p w14:paraId="4A0C78FE" w14:textId="649ABE09" w:rsidR="00760B74" w:rsidRDefault="00760B74" w:rsidP="00760B74">
            <w:pPr>
              <w:pStyle w:val="BodyTextNumbered"/>
              <w:spacing w:before="240"/>
            </w:pPr>
            <w:r>
              <w:t>(</w:t>
            </w:r>
            <w:r w:rsidR="00851766">
              <w:t>6</w:t>
            </w:r>
            <w:r>
              <w:t>)</w:t>
            </w:r>
            <w:r>
              <w:tab/>
              <w:t>The total net payments and charges to each QSE for energy from SODGs</w:t>
            </w:r>
            <w:r w:rsidR="00851766">
              <w:t>,</w:t>
            </w:r>
            <w:r>
              <w:t xml:space="preserve"> SOTGs</w:t>
            </w:r>
            <w:r w:rsidR="00851766">
              <w:t>, SODESSs, or SOTESSs</w:t>
            </w:r>
            <w:r>
              <w:t xml:space="preserve"> for the 15-minute Settlement Interval is calculated as follows:</w:t>
            </w:r>
          </w:p>
          <w:p w14:paraId="5B8A7EF7" w14:textId="0191F88E" w:rsidR="00760B74" w:rsidRDefault="00760B74" w:rsidP="00760B74">
            <w:pPr>
              <w:pStyle w:val="FormulaBold"/>
            </w:pPr>
            <w:r>
              <w:t xml:space="preserve">RTESOAMTQSETOT </w:t>
            </w:r>
            <w:r>
              <w:rPr>
                <w:i/>
                <w:vertAlign w:val="subscript"/>
              </w:rPr>
              <w:t>q</w:t>
            </w:r>
            <w:r>
              <w:tab/>
              <w:t xml:space="preserve">= </w:t>
            </w:r>
            <w:r w:rsidRPr="006F784F">
              <w:rPr>
                <w:position w:val="-22"/>
              </w:rPr>
              <w:object w:dxaOrig="285" w:dyaOrig="450" w14:anchorId="47F851B2">
                <v:shape id="_x0000_i1177" type="#_x0000_t75" style="width:12pt;height:24.6pt" o:ole="">
                  <v:imagedata r:id="rId197" o:title=""/>
                </v:shape>
                <o:OLEObject Type="Embed" ProgID="Equation.3" ShapeID="_x0000_i1177" DrawAspect="Content" ObjectID="_1815025367" r:id="rId205"/>
              </w:object>
            </w:r>
            <w:r w:rsidR="00851766">
              <w:t>(</w:t>
            </w:r>
            <w:r>
              <w:t>RT</w:t>
            </w:r>
            <w:r w:rsidR="00851766">
              <w:t>G</w:t>
            </w:r>
            <w:r>
              <w:t xml:space="preserve">SOAMT </w:t>
            </w:r>
            <w:r>
              <w:rPr>
                <w:i/>
                <w:vertAlign w:val="subscript"/>
              </w:rPr>
              <w:t>q, gsc</w:t>
            </w:r>
            <w:r w:rsidR="00851766" w:rsidRPr="00851766">
              <w:t xml:space="preserve"> + RTWSLSOAMT </w:t>
            </w:r>
            <w:r w:rsidR="00851766" w:rsidRPr="00851766">
              <w:rPr>
                <w:i/>
                <w:vertAlign w:val="subscript"/>
              </w:rPr>
              <w:t>q, gsc</w:t>
            </w:r>
            <w:r w:rsidR="00851766" w:rsidRPr="00851766">
              <w:rPr>
                <w:vertAlign w:val="subscript"/>
              </w:rPr>
              <w:t xml:space="preserve"> </w:t>
            </w:r>
            <w:r w:rsidR="00851766" w:rsidRPr="00851766">
              <w:t xml:space="preserve">+ RTNWSLSOAMT </w:t>
            </w:r>
            <w:r w:rsidR="00851766" w:rsidRPr="00851766">
              <w:rPr>
                <w:i/>
                <w:vertAlign w:val="subscript"/>
              </w:rPr>
              <w:t>q, gsc</w:t>
            </w:r>
            <w:r w:rsidR="00851766" w:rsidRPr="00851766">
              <w:t>)</w:t>
            </w:r>
          </w:p>
          <w:p w14:paraId="6B35A9A3" w14:textId="77777777" w:rsidR="00760B74" w:rsidRDefault="00760B74" w:rsidP="00760B74">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F55D4D" w14:paraId="2E5925AD" w14:textId="77777777" w:rsidTr="008B123E">
              <w:trPr>
                <w:cantSplit/>
                <w:tblHeader/>
              </w:trPr>
              <w:tc>
                <w:tcPr>
                  <w:tcW w:w="2335" w:type="dxa"/>
                </w:tcPr>
                <w:p w14:paraId="04B9BF3D" w14:textId="77777777" w:rsidR="00F55D4D" w:rsidRDefault="00F55D4D" w:rsidP="00F55D4D">
                  <w:pPr>
                    <w:pStyle w:val="TableHead"/>
                  </w:pPr>
                  <w:r>
                    <w:t>Variable</w:t>
                  </w:r>
                </w:p>
              </w:tc>
              <w:tc>
                <w:tcPr>
                  <w:tcW w:w="700" w:type="dxa"/>
                </w:tcPr>
                <w:p w14:paraId="64EA45B9" w14:textId="77777777" w:rsidR="00F55D4D" w:rsidRDefault="00F55D4D" w:rsidP="00F55D4D">
                  <w:pPr>
                    <w:pStyle w:val="TableHead"/>
                  </w:pPr>
                  <w:r>
                    <w:t>Unit</w:t>
                  </w:r>
                </w:p>
              </w:tc>
              <w:tc>
                <w:tcPr>
                  <w:tcW w:w="6036" w:type="dxa"/>
                </w:tcPr>
                <w:p w14:paraId="0A81BDC0" w14:textId="77777777" w:rsidR="00F55D4D" w:rsidRDefault="00F55D4D" w:rsidP="00F55D4D">
                  <w:pPr>
                    <w:pStyle w:val="TableHead"/>
                  </w:pPr>
                  <w:r>
                    <w:t>Definition</w:t>
                  </w:r>
                </w:p>
              </w:tc>
            </w:tr>
            <w:tr w:rsidR="00F55D4D" w14:paraId="59054906" w14:textId="77777777" w:rsidTr="008B123E">
              <w:trPr>
                <w:cantSplit/>
              </w:trPr>
              <w:tc>
                <w:tcPr>
                  <w:tcW w:w="2335" w:type="dxa"/>
                </w:tcPr>
                <w:p w14:paraId="2D0716CB" w14:textId="57F91588" w:rsidR="00F55D4D" w:rsidRDefault="00F55D4D" w:rsidP="00F55D4D">
                  <w:pPr>
                    <w:pStyle w:val="TableBody"/>
                  </w:pPr>
                  <w:r>
                    <w:t xml:space="preserve">RTESOAMTQSETOT </w:t>
                  </w:r>
                  <w:r w:rsidRPr="00107CC2">
                    <w:rPr>
                      <w:i/>
                      <w:vertAlign w:val="subscript"/>
                    </w:rPr>
                    <w:t>q</w:t>
                  </w:r>
                </w:p>
              </w:tc>
              <w:tc>
                <w:tcPr>
                  <w:tcW w:w="700" w:type="dxa"/>
                </w:tcPr>
                <w:p w14:paraId="04024563" w14:textId="77777777" w:rsidR="00F55D4D" w:rsidRDefault="00F55D4D" w:rsidP="00F55D4D">
                  <w:pPr>
                    <w:pStyle w:val="TableBody"/>
                  </w:pPr>
                  <w:r>
                    <w:t>$</w:t>
                  </w:r>
                </w:p>
              </w:tc>
              <w:tc>
                <w:tcPr>
                  <w:tcW w:w="6036" w:type="dxa"/>
                </w:tcPr>
                <w:p w14:paraId="662CA00F" w14:textId="09AD3DD2" w:rsidR="00F55D4D" w:rsidRDefault="00F55D4D" w:rsidP="00F55D4D">
                  <w:pPr>
                    <w:pStyle w:val="TableBody"/>
                  </w:pPr>
                  <w:r>
                    <w:rPr>
                      <w:i/>
                    </w:rPr>
                    <w:t xml:space="preserve">Real-Time Energy Payment or Charge per QSE for </w:t>
                  </w:r>
                  <w:r w:rsidRPr="0029731C">
                    <w:rPr>
                      <w:i/>
                    </w:rPr>
                    <w:t>SODGs</w:t>
                  </w:r>
                  <w:r w:rsidR="00851766">
                    <w:rPr>
                      <w:i/>
                    </w:rPr>
                    <w:t>,</w:t>
                  </w:r>
                  <w:r w:rsidRPr="0029731C">
                    <w:rPr>
                      <w:i/>
                    </w:rPr>
                    <w:t xml:space="preserve"> SOTGs</w:t>
                  </w:r>
                  <w:r w:rsidR="00851766">
                    <w:rPr>
                      <w:i/>
                      <w:iCs w:val="0"/>
                    </w:rPr>
                    <w:t xml:space="preserve">, </w:t>
                  </w:r>
                  <w:r w:rsidR="00851766">
                    <w:rPr>
                      <w:i/>
                    </w:rPr>
                    <w:t>SODESSs, or SOTESSs</w:t>
                  </w:r>
                  <w:r>
                    <w:rPr>
                      <w:i/>
                    </w:rPr>
                    <w:t xml:space="preserve"> </w:t>
                  </w:r>
                  <w:r>
                    <w:t xml:space="preserve">—The payment or charge to QSE </w:t>
                  </w:r>
                  <w:r>
                    <w:rPr>
                      <w:i/>
                    </w:rPr>
                    <w:t>q</w:t>
                  </w:r>
                  <w:r>
                    <w:t xml:space="preserve"> for Real-Time energy from SODGs</w:t>
                  </w:r>
                  <w:r w:rsidR="00851766">
                    <w:t>,</w:t>
                  </w:r>
                  <w:r>
                    <w:t xml:space="preserve"> SOTGs</w:t>
                  </w:r>
                  <w:r w:rsidR="00851766">
                    <w:t>, SODESSs, or SOTESSs</w:t>
                  </w:r>
                  <w:r>
                    <w:t>,</w:t>
                  </w:r>
                  <w:r w:rsidRPr="008C69DE">
                    <w:t xml:space="preserve"> </w:t>
                  </w:r>
                  <w:r>
                    <w:t>for the 15-minute Settlement Interval.</w:t>
                  </w:r>
                </w:p>
              </w:tc>
            </w:tr>
            <w:tr w:rsidR="00F55D4D" w14:paraId="15D5859B" w14:textId="77777777" w:rsidTr="008B123E">
              <w:trPr>
                <w:cantSplit/>
              </w:trPr>
              <w:tc>
                <w:tcPr>
                  <w:tcW w:w="2335" w:type="dxa"/>
                </w:tcPr>
                <w:p w14:paraId="3ACF4266" w14:textId="0B9CE9C2" w:rsidR="00F55D4D" w:rsidRDefault="00F55D4D" w:rsidP="00F55D4D">
                  <w:pPr>
                    <w:pStyle w:val="TableBody"/>
                  </w:pPr>
                  <w:r>
                    <w:t>RT</w:t>
                  </w:r>
                  <w:r w:rsidR="00851766">
                    <w:t>G</w:t>
                  </w:r>
                  <w:r>
                    <w:t xml:space="preserve">SOAMT </w:t>
                  </w:r>
                  <w:r w:rsidRPr="004F3915">
                    <w:rPr>
                      <w:i/>
                      <w:vertAlign w:val="subscript"/>
                    </w:rPr>
                    <w:t>q,</w:t>
                  </w:r>
                  <w:r>
                    <w:rPr>
                      <w:i/>
                      <w:vertAlign w:val="subscript"/>
                    </w:rPr>
                    <w:t xml:space="preserve"> gsc</w:t>
                  </w:r>
                </w:p>
              </w:tc>
              <w:tc>
                <w:tcPr>
                  <w:tcW w:w="700" w:type="dxa"/>
                </w:tcPr>
                <w:p w14:paraId="3C330704" w14:textId="77777777" w:rsidR="00F55D4D" w:rsidRDefault="00F55D4D" w:rsidP="00F55D4D">
                  <w:pPr>
                    <w:pStyle w:val="TableBody"/>
                  </w:pPr>
                  <w:r>
                    <w:t>$</w:t>
                  </w:r>
                </w:p>
              </w:tc>
              <w:tc>
                <w:tcPr>
                  <w:tcW w:w="6036" w:type="dxa"/>
                </w:tcPr>
                <w:p w14:paraId="0CA0F4A1" w14:textId="2F71D87D" w:rsidR="00F55D4D" w:rsidRDefault="00F55D4D" w:rsidP="00F55D4D">
                  <w:pPr>
                    <w:pStyle w:val="TableBody"/>
                  </w:pPr>
                  <w:r>
                    <w:rPr>
                      <w:i/>
                    </w:rPr>
                    <w:t xml:space="preserve">Real-Time </w:t>
                  </w:r>
                  <w:r w:rsidR="00851766">
                    <w:rPr>
                      <w:i/>
                    </w:rPr>
                    <w:t>Generation</w:t>
                  </w:r>
                  <w:r>
                    <w:rPr>
                      <w:i/>
                    </w:rPr>
                    <w:t xml:space="preserve"> for </w:t>
                  </w:r>
                  <w:r w:rsidRPr="0029731C">
                    <w:rPr>
                      <w:i/>
                    </w:rPr>
                    <w:t>SODG</w:t>
                  </w:r>
                  <w:r w:rsidR="00851766">
                    <w:rPr>
                      <w:i/>
                    </w:rPr>
                    <w:t>,</w:t>
                  </w:r>
                  <w:r w:rsidRPr="0029731C">
                    <w:rPr>
                      <w:i/>
                    </w:rPr>
                    <w:t xml:space="preserve"> SOTG</w:t>
                  </w:r>
                  <w:r w:rsidR="00851766">
                    <w:rPr>
                      <w:i/>
                      <w:iCs w:val="0"/>
                    </w:rPr>
                    <w:t xml:space="preserve">, </w:t>
                  </w:r>
                  <w:r w:rsidR="00851766">
                    <w:rPr>
                      <w:i/>
                    </w:rPr>
                    <w:t>SODESS, or SOTESS</w:t>
                  </w:r>
                  <w:r>
                    <w:rPr>
                      <w:i/>
                    </w:rPr>
                    <w:t xml:space="preserve"> Site Amount</w:t>
                  </w:r>
                  <w:r w:rsidDel="006C2DC2">
                    <w:rPr>
                      <w:i/>
                    </w:rPr>
                    <w:t xml:space="preserve"> </w:t>
                  </w:r>
                  <w:r>
                    <w:t xml:space="preserve">—The total payment or charge </w:t>
                  </w:r>
                  <w:r w:rsidR="00851766">
                    <w:t xml:space="preserve">for generation </w:t>
                  </w:r>
                  <w:r>
                    <w:t xml:space="preserve">to QSE </w:t>
                  </w:r>
                  <w:r w:rsidRPr="00BA4145">
                    <w:rPr>
                      <w:i/>
                    </w:rPr>
                    <w:t>q</w:t>
                  </w:r>
                  <w:r>
                    <w:t xml:space="preserve"> for SODG</w:t>
                  </w:r>
                  <w:r w:rsidR="00851766">
                    <w:t>,</w:t>
                  </w:r>
                  <w:r>
                    <w:t xml:space="preserve"> SOTG</w:t>
                  </w:r>
                  <w:r w:rsidR="00851766">
                    <w:rPr>
                      <w:iCs w:val="0"/>
                    </w:rPr>
                    <w:t xml:space="preserve">, </w:t>
                  </w:r>
                  <w:r w:rsidR="00851766">
                    <w:t>SODESS, or SOTESS</w:t>
                  </w:r>
                  <w:r>
                    <w:t xml:space="preserve"> site</w:t>
                  </w:r>
                  <w:r w:rsidRPr="00D661BC">
                    <w:rPr>
                      <w:i/>
                    </w:rPr>
                    <w:t xml:space="preserve"> gsc</w:t>
                  </w:r>
                  <w:r>
                    <w:t xml:space="preserve"> for the 15-minute Settlement Interval.</w:t>
                  </w:r>
                </w:p>
              </w:tc>
            </w:tr>
            <w:tr w:rsidR="00851766" w14:paraId="178A746A" w14:textId="77777777" w:rsidTr="008B123E">
              <w:trPr>
                <w:cantSplit/>
              </w:trPr>
              <w:tc>
                <w:tcPr>
                  <w:tcW w:w="2335" w:type="dxa"/>
                </w:tcPr>
                <w:p w14:paraId="7D800659" w14:textId="3F783B30" w:rsidR="00851766" w:rsidRDefault="00851766" w:rsidP="00851766">
                  <w:pPr>
                    <w:pStyle w:val="TableBody"/>
                  </w:pPr>
                  <w:r>
                    <w:t>RTWSLSOAMT</w:t>
                  </w:r>
                  <w:r>
                    <w:rPr>
                      <w:vertAlign w:val="subscript"/>
                    </w:rPr>
                    <w:t xml:space="preserve"> </w:t>
                  </w:r>
                  <w:r>
                    <w:rPr>
                      <w:i/>
                      <w:vertAlign w:val="subscript"/>
                    </w:rPr>
                    <w:t>q,</w:t>
                  </w:r>
                  <w:r>
                    <w:rPr>
                      <w:vertAlign w:val="subscript"/>
                    </w:rPr>
                    <w:t xml:space="preserve"> </w:t>
                  </w:r>
                  <w:r>
                    <w:rPr>
                      <w:i/>
                      <w:vertAlign w:val="subscript"/>
                    </w:rPr>
                    <w:t>gsc</w:t>
                  </w:r>
                </w:p>
              </w:tc>
              <w:tc>
                <w:tcPr>
                  <w:tcW w:w="700" w:type="dxa"/>
                </w:tcPr>
                <w:p w14:paraId="33807B78" w14:textId="028364DA" w:rsidR="00851766" w:rsidRDefault="00851766" w:rsidP="00851766">
                  <w:pPr>
                    <w:pStyle w:val="TableBody"/>
                  </w:pPr>
                  <w:r>
                    <w:t>$</w:t>
                  </w:r>
                </w:p>
              </w:tc>
              <w:tc>
                <w:tcPr>
                  <w:tcW w:w="6036" w:type="dxa"/>
                </w:tcPr>
                <w:p w14:paraId="630D7D3D" w14:textId="05C0AC75" w:rsidR="00851766" w:rsidRDefault="00851766" w:rsidP="00851766">
                  <w:pPr>
                    <w:pStyle w:val="TableBody"/>
                    <w:rPr>
                      <w:i/>
                    </w:rPr>
                  </w:pPr>
                  <w:r>
                    <w:rPr>
                      <w:i/>
                    </w:rPr>
                    <w:t xml:space="preserve">Real-Time WSL for SODESS or SOTESS Site Amount </w:t>
                  </w:r>
                  <w:r>
                    <w:t xml:space="preserve">—The total payment or charge for WSL to QSE </w:t>
                  </w:r>
                  <w:r>
                    <w:rPr>
                      <w:i/>
                    </w:rPr>
                    <w:t>q</w:t>
                  </w:r>
                  <w:r>
                    <w:t xml:space="preserve"> for the SODESS or SOTESS site</w:t>
                  </w:r>
                  <w:r>
                    <w:rPr>
                      <w:i/>
                    </w:rPr>
                    <w:t xml:space="preserve"> gsc</w:t>
                  </w:r>
                  <w:r>
                    <w:t xml:space="preserve"> for the 15-minute Settlement Interval. </w:t>
                  </w:r>
                </w:p>
              </w:tc>
            </w:tr>
            <w:tr w:rsidR="00851766" w14:paraId="188F681E" w14:textId="77777777" w:rsidTr="008B123E">
              <w:trPr>
                <w:cantSplit/>
              </w:trPr>
              <w:tc>
                <w:tcPr>
                  <w:tcW w:w="2335" w:type="dxa"/>
                </w:tcPr>
                <w:p w14:paraId="0BF94F5F" w14:textId="4BA4ACE4" w:rsidR="00851766" w:rsidRDefault="00851766" w:rsidP="00851766">
                  <w:pPr>
                    <w:pStyle w:val="TableBody"/>
                  </w:pPr>
                  <w:r>
                    <w:t>RTNWSLSOAMT</w:t>
                  </w:r>
                  <w:r>
                    <w:rPr>
                      <w:vertAlign w:val="subscript"/>
                    </w:rPr>
                    <w:t xml:space="preserve"> </w:t>
                  </w:r>
                  <w:r>
                    <w:rPr>
                      <w:i/>
                      <w:vertAlign w:val="subscript"/>
                    </w:rPr>
                    <w:t>q,</w:t>
                  </w:r>
                  <w:r>
                    <w:rPr>
                      <w:vertAlign w:val="subscript"/>
                    </w:rPr>
                    <w:t xml:space="preserve"> </w:t>
                  </w:r>
                  <w:r>
                    <w:rPr>
                      <w:i/>
                      <w:vertAlign w:val="subscript"/>
                    </w:rPr>
                    <w:t>gsc</w:t>
                  </w:r>
                </w:p>
              </w:tc>
              <w:tc>
                <w:tcPr>
                  <w:tcW w:w="700" w:type="dxa"/>
                </w:tcPr>
                <w:p w14:paraId="7666A4A2" w14:textId="078993FE" w:rsidR="00851766" w:rsidRDefault="00851766" w:rsidP="00851766">
                  <w:pPr>
                    <w:pStyle w:val="TableBody"/>
                  </w:pPr>
                  <w:r>
                    <w:t>$</w:t>
                  </w:r>
                </w:p>
              </w:tc>
              <w:tc>
                <w:tcPr>
                  <w:tcW w:w="6036" w:type="dxa"/>
                </w:tcPr>
                <w:p w14:paraId="5AC6D2BC" w14:textId="43FF346A" w:rsidR="00851766" w:rsidRDefault="00851766" w:rsidP="00851766">
                  <w:pPr>
                    <w:pStyle w:val="TableBody"/>
                    <w:rPr>
                      <w:i/>
                    </w:rPr>
                  </w:pPr>
                  <w:r>
                    <w:rPr>
                      <w:i/>
                    </w:rPr>
                    <w:t xml:space="preserve">Real-Time Non-WSL for SODESS or SOTESS Site Amount </w:t>
                  </w:r>
                  <w:r>
                    <w:t xml:space="preserve">—The total payment or charge for Non-WSL Settlement Only Charging Load to QSE </w:t>
                  </w:r>
                  <w:r>
                    <w:rPr>
                      <w:i/>
                    </w:rPr>
                    <w:t>q</w:t>
                  </w:r>
                  <w:r>
                    <w:t xml:space="preserve"> for the SODESS or SOTESS site</w:t>
                  </w:r>
                  <w:r>
                    <w:rPr>
                      <w:i/>
                    </w:rPr>
                    <w:t xml:space="preserve"> gsc</w:t>
                  </w:r>
                  <w:r>
                    <w:t xml:space="preserve"> for the 15-minute Settlement Interval. </w:t>
                  </w:r>
                </w:p>
              </w:tc>
            </w:tr>
            <w:tr w:rsidR="00F55D4D" w14:paraId="2F98BD82" w14:textId="77777777" w:rsidTr="008B123E">
              <w:trPr>
                <w:cantSplit/>
              </w:trPr>
              <w:tc>
                <w:tcPr>
                  <w:tcW w:w="2335" w:type="dxa"/>
                  <w:tcBorders>
                    <w:top w:val="single" w:sz="4" w:space="0" w:color="auto"/>
                    <w:left w:val="single" w:sz="4" w:space="0" w:color="auto"/>
                    <w:bottom w:val="single" w:sz="4" w:space="0" w:color="auto"/>
                    <w:right w:val="single" w:sz="4" w:space="0" w:color="auto"/>
                  </w:tcBorders>
                </w:tcPr>
                <w:p w14:paraId="3B7338DE" w14:textId="77777777" w:rsidR="00F55D4D" w:rsidRPr="008E1CE8" w:rsidRDefault="00F55D4D" w:rsidP="00F55D4D">
                  <w:pPr>
                    <w:pStyle w:val="TableBody"/>
                    <w:rPr>
                      <w:i/>
                    </w:rPr>
                  </w:pPr>
                  <w:r>
                    <w:rPr>
                      <w:i/>
                    </w:rPr>
                    <w:t>q</w:t>
                  </w:r>
                </w:p>
              </w:tc>
              <w:tc>
                <w:tcPr>
                  <w:tcW w:w="700" w:type="dxa"/>
                  <w:tcBorders>
                    <w:top w:val="single" w:sz="4" w:space="0" w:color="auto"/>
                    <w:left w:val="single" w:sz="4" w:space="0" w:color="auto"/>
                    <w:bottom w:val="single" w:sz="4" w:space="0" w:color="auto"/>
                    <w:right w:val="single" w:sz="4" w:space="0" w:color="auto"/>
                  </w:tcBorders>
                </w:tcPr>
                <w:p w14:paraId="4E5960E8" w14:textId="77777777" w:rsidR="00F55D4D" w:rsidRDefault="00F55D4D" w:rsidP="00F55D4D">
                  <w:pPr>
                    <w:pStyle w:val="TableBody"/>
                  </w:pPr>
                  <w:r>
                    <w:t>none</w:t>
                  </w:r>
                </w:p>
              </w:tc>
              <w:tc>
                <w:tcPr>
                  <w:tcW w:w="6036" w:type="dxa"/>
                  <w:tcBorders>
                    <w:top w:val="single" w:sz="4" w:space="0" w:color="auto"/>
                    <w:left w:val="single" w:sz="4" w:space="0" w:color="auto"/>
                    <w:bottom w:val="single" w:sz="4" w:space="0" w:color="auto"/>
                    <w:right w:val="single" w:sz="4" w:space="0" w:color="auto"/>
                  </w:tcBorders>
                </w:tcPr>
                <w:p w14:paraId="55E79054" w14:textId="77777777" w:rsidR="00F55D4D" w:rsidRDefault="00F55D4D" w:rsidP="00F55D4D">
                  <w:pPr>
                    <w:pStyle w:val="TableBody"/>
                  </w:pPr>
                  <w:r>
                    <w:t>A QSE.</w:t>
                  </w:r>
                </w:p>
              </w:tc>
            </w:tr>
            <w:tr w:rsidR="00F55D4D" w14:paraId="366DFDF8" w14:textId="77777777" w:rsidTr="008B123E">
              <w:trPr>
                <w:cantSplit/>
              </w:trPr>
              <w:tc>
                <w:tcPr>
                  <w:tcW w:w="2335" w:type="dxa"/>
                  <w:tcBorders>
                    <w:top w:val="single" w:sz="4" w:space="0" w:color="auto"/>
                    <w:left w:val="single" w:sz="4" w:space="0" w:color="auto"/>
                    <w:bottom w:val="single" w:sz="4" w:space="0" w:color="auto"/>
                    <w:right w:val="single" w:sz="4" w:space="0" w:color="auto"/>
                  </w:tcBorders>
                </w:tcPr>
                <w:p w14:paraId="11AAF9A6" w14:textId="77777777" w:rsidR="00F55D4D" w:rsidRPr="008E1CE8" w:rsidRDefault="00F55D4D" w:rsidP="00F55D4D">
                  <w:pPr>
                    <w:pStyle w:val="TableBody"/>
                    <w:rPr>
                      <w:i/>
                    </w:rPr>
                  </w:pPr>
                  <w:r>
                    <w:rPr>
                      <w:i/>
                    </w:rPr>
                    <w:t>g</w:t>
                  </w:r>
                  <w:r w:rsidRPr="00D661BC">
                    <w:rPr>
                      <w:i/>
                    </w:rPr>
                    <w:t>sc</w:t>
                  </w:r>
                </w:p>
              </w:tc>
              <w:tc>
                <w:tcPr>
                  <w:tcW w:w="700" w:type="dxa"/>
                  <w:tcBorders>
                    <w:top w:val="single" w:sz="4" w:space="0" w:color="auto"/>
                    <w:left w:val="single" w:sz="4" w:space="0" w:color="auto"/>
                    <w:bottom w:val="single" w:sz="4" w:space="0" w:color="auto"/>
                    <w:right w:val="single" w:sz="4" w:space="0" w:color="auto"/>
                  </w:tcBorders>
                </w:tcPr>
                <w:p w14:paraId="67380B7A" w14:textId="77777777" w:rsidR="00F55D4D" w:rsidRDefault="00F55D4D" w:rsidP="00F55D4D">
                  <w:pPr>
                    <w:pStyle w:val="TableBody"/>
                  </w:pPr>
                  <w:r>
                    <w:t>none</w:t>
                  </w:r>
                </w:p>
              </w:tc>
              <w:tc>
                <w:tcPr>
                  <w:tcW w:w="6036" w:type="dxa"/>
                  <w:tcBorders>
                    <w:top w:val="single" w:sz="4" w:space="0" w:color="auto"/>
                    <w:left w:val="single" w:sz="4" w:space="0" w:color="auto"/>
                    <w:bottom w:val="single" w:sz="4" w:space="0" w:color="auto"/>
                    <w:right w:val="single" w:sz="4" w:space="0" w:color="auto"/>
                  </w:tcBorders>
                </w:tcPr>
                <w:p w14:paraId="6C1D2DAC" w14:textId="77777777" w:rsidR="00F55D4D" w:rsidRDefault="00F55D4D" w:rsidP="00F55D4D">
                  <w:pPr>
                    <w:pStyle w:val="TableBody"/>
                  </w:pPr>
                  <w:r>
                    <w:t>A generation site code.</w:t>
                  </w:r>
                </w:p>
              </w:tc>
            </w:tr>
          </w:tbl>
          <w:p w14:paraId="34B4EEE2" w14:textId="3884A0A2" w:rsidR="00F55D4D" w:rsidRPr="00F55D4D" w:rsidRDefault="00F55D4D" w:rsidP="00F55D4D">
            <w:pPr>
              <w:widowControl w:val="0"/>
              <w:spacing w:before="240" w:after="240"/>
              <w:ind w:left="720" w:hanging="720"/>
            </w:pPr>
            <w:r w:rsidRPr="00F55D4D">
              <w:rPr>
                <w:bCs/>
              </w:rPr>
              <w:t>(</w:t>
            </w:r>
            <w:r w:rsidR="00851766">
              <w:rPr>
                <w:bCs/>
              </w:rPr>
              <w:t>7</w:t>
            </w:r>
            <w:r w:rsidRPr="00F55D4D">
              <w:rPr>
                <w:bCs/>
              </w:rPr>
              <w:t xml:space="preserve">) </w:t>
            </w:r>
            <w:r w:rsidRPr="00F55D4D">
              <w:rPr>
                <w:bCs/>
              </w:rPr>
              <w:tab/>
              <w:t>Notwithstanding anything else in this Section except paragraphs (</w:t>
            </w:r>
            <w:r w:rsidR="00851766">
              <w:rPr>
                <w:bCs/>
              </w:rPr>
              <w:t>8</w:t>
            </w:r>
            <w:r w:rsidRPr="00F55D4D">
              <w:rPr>
                <w:bCs/>
              </w:rPr>
              <w:t>) and (</w:t>
            </w:r>
            <w:r w:rsidR="00851766">
              <w:rPr>
                <w:bCs/>
              </w:rPr>
              <w:t>9</w:t>
            </w:r>
            <w:r w:rsidRPr="00F55D4D">
              <w:rPr>
                <w:bCs/>
              </w:rPr>
              <w:t xml:space="preserve">) below, a Resource Entity may opt out of nodal pricing and continue Load Zone Settlement for any </w:t>
            </w:r>
            <w:r w:rsidRPr="00F55D4D">
              <w:t>SODG or SOTG if, by January 1, 2019, the SODG or SOTG was operational or was subject to a Power Purchase or Tolling Agreement (</w:t>
            </w:r>
            <w:r w:rsidRPr="00C5632E">
              <w:t>PPA</w:t>
            </w:r>
            <w:r w:rsidRPr="00F55D4D">
              <w:t>) or Transmission and/or Distribution Service Provider (</w:t>
            </w:r>
            <w:r w:rsidRPr="00C5632E">
              <w:t>TDSP</w:t>
            </w:r>
            <w:r w:rsidRPr="00F55D4D">
              <w:t xml:space="preserve">) interconnection agreement, or had an executed agreement with a developer.  By December 31, 2019, the Resource Entity must submit a properly completed </w:t>
            </w:r>
            <w:r w:rsidRPr="00C5632E">
              <w:t>Section 23, Form N</w:t>
            </w:r>
            <w:r w:rsidRPr="00F55D4D">
              <w:t xml:space="preserve">,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w:t>
            </w:r>
            <w:r w:rsidRPr="00F55D4D">
              <w:lastRenderedPageBreak/>
              <w:t>provide ERCOT documented proof of any PPA, TDSP interconnection agreement, or developer agreement that it relies on as a basis for any election under this paragraph.  This election is valid through the earlier of December 31, 2029 or the date on which the election is revoked pursuant to paragraph (</w:t>
            </w:r>
            <w:r w:rsidR="00851766">
              <w:t>10</w:t>
            </w:r>
            <w:r w:rsidRPr="00F55D4D">
              <w:t xml:space="preserve">) of this Section.  On January 1, 2030, all SODGs and SOTGs will be subject to nodal pricing.  </w:t>
            </w:r>
          </w:p>
          <w:p w14:paraId="1C3D1B23" w14:textId="531344A9" w:rsidR="00F55D4D" w:rsidRPr="00F55D4D" w:rsidRDefault="00F55D4D" w:rsidP="00F55D4D">
            <w:pPr>
              <w:widowControl w:val="0"/>
              <w:spacing w:after="240"/>
              <w:ind w:left="720" w:hanging="720"/>
            </w:pPr>
            <w:r w:rsidRPr="00F55D4D">
              <w:t>(</w:t>
            </w:r>
            <w:r w:rsidR="00851766">
              <w:t>8</w:t>
            </w:r>
            <w:r w:rsidRPr="00F55D4D">
              <w:t>)</w:t>
            </w:r>
            <w:r w:rsidRPr="00F55D4D">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6F46C8AE" w14:textId="5457F10D" w:rsidR="00F55D4D" w:rsidRPr="00F55D4D" w:rsidRDefault="00F55D4D" w:rsidP="00F55D4D">
            <w:pPr>
              <w:widowControl w:val="0"/>
              <w:spacing w:after="240"/>
              <w:ind w:left="720" w:hanging="720"/>
            </w:pPr>
            <w:r w:rsidRPr="00F55D4D">
              <w:t>(</w:t>
            </w:r>
            <w:r w:rsidR="00851766">
              <w:t>9</w:t>
            </w:r>
            <w:r w:rsidRPr="00F55D4D">
              <w:t>)</w:t>
            </w:r>
            <w:r w:rsidRPr="00F55D4D">
              <w:tab/>
              <w:t>If at any time ERCOT determines that the SODG or SOTG fails to meet the opt-out conditions in paragraph (</w:t>
            </w:r>
            <w:r w:rsidR="00851766">
              <w:t>8</w:t>
            </w:r>
            <w:r w:rsidRPr="00F55D4D">
              <w:t>) above, ERCOT shall settle the output of the SODG or SOTG at the applicable nodal price as soon as practicable after providing written notice to the affected Resource Entity.</w:t>
            </w:r>
          </w:p>
          <w:p w14:paraId="098DB98B" w14:textId="17FFECC3" w:rsidR="009058F4" w:rsidRPr="00B37C4B" w:rsidRDefault="00F55D4D" w:rsidP="00F55D4D">
            <w:pPr>
              <w:widowControl w:val="0"/>
              <w:spacing w:after="240"/>
              <w:ind w:left="720" w:hanging="720"/>
            </w:pPr>
            <w:r w:rsidRPr="00F55D4D">
              <w:rPr>
                <w:szCs w:val="24"/>
              </w:rPr>
              <w:t>(</w:t>
            </w:r>
            <w:r w:rsidR="00851766">
              <w:rPr>
                <w:szCs w:val="24"/>
              </w:rPr>
              <w:t>10</w:t>
            </w:r>
            <w:r w:rsidRPr="00F55D4D">
              <w:rPr>
                <w:szCs w:val="24"/>
              </w:rPr>
              <w:t>)</w:t>
            </w:r>
            <w:r w:rsidRPr="00F55D4D">
              <w:rPr>
                <w:szCs w:val="24"/>
              </w:rPr>
              <w:tab/>
              <w:t>A Resource Entity that has opted out of nodal pricing for one or more SODGs or SOTGs pursuant to paragraph (</w:t>
            </w:r>
            <w:r w:rsidR="00851766">
              <w:rPr>
                <w:szCs w:val="24"/>
              </w:rPr>
              <w:t>7</w:t>
            </w:r>
            <w:r w:rsidRPr="00F55D4D">
              <w:rPr>
                <w:szCs w:val="24"/>
              </w:rPr>
              <w:t xml:space="preserve">)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F55D4D">
              <w:t>pricing</w:t>
            </w:r>
            <w:r w:rsidRPr="00F55D4D">
              <w:rPr>
                <w:szCs w:val="24"/>
              </w:rPr>
              <w:t xml:space="preserve"> in ERCOT Settlement systems as soon as practicable.</w:t>
            </w:r>
          </w:p>
        </w:tc>
      </w:tr>
    </w:tbl>
    <w:p w14:paraId="75AB124B" w14:textId="77777777" w:rsidR="00B6651E" w:rsidRPr="00B6651E" w:rsidRDefault="00B6651E" w:rsidP="00E7745B">
      <w:pPr>
        <w:keepNext/>
        <w:widowControl w:val="0"/>
        <w:tabs>
          <w:tab w:val="left" w:pos="1260"/>
        </w:tabs>
        <w:spacing w:before="480" w:after="240"/>
        <w:ind w:left="1267" w:hanging="1267"/>
        <w:outlineLvl w:val="3"/>
        <w:rPr>
          <w:b/>
          <w:szCs w:val="24"/>
        </w:rPr>
      </w:pPr>
      <w:bookmarkStart w:id="1998" w:name="_Hlk204327310"/>
      <w:bookmarkStart w:id="1999" w:name="_Toc204411675"/>
      <w:r w:rsidRPr="00B6651E">
        <w:rPr>
          <w:b/>
          <w:szCs w:val="24"/>
        </w:rPr>
        <w:lastRenderedPageBreak/>
        <w:t>6.6.3.9</w:t>
      </w:r>
      <w:r w:rsidRPr="00B6651E">
        <w:rPr>
          <w:b/>
          <w:szCs w:val="24"/>
        </w:rPr>
        <w:tab/>
        <w:t>Real-Time Constraint Management Plan Cost Recovery Payment</w:t>
      </w:r>
      <w:bookmarkEnd w:id="1999"/>
      <w:r w:rsidRPr="00B6651E">
        <w:rPr>
          <w:b/>
          <w:szCs w:val="24"/>
        </w:rPr>
        <w:t xml:space="preserve"> </w:t>
      </w:r>
    </w:p>
    <w:p w14:paraId="3EE9B923" w14:textId="63563174" w:rsidR="00B6651E" w:rsidRPr="00B6651E" w:rsidRDefault="00B6651E" w:rsidP="00FF2663">
      <w:pPr>
        <w:spacing w:after="240"/>
        <w:ind w:left="720" w:hanging="720"/>
        <w:rPr>
          <w:color w:val="000000"/>
          <w:szCs w:val="24"/>
        </w:rPr>
      </w:pPr>
      <w:r w:rsidRPr="00B6651E">
        <w:rPr>
          <w:color w:val="000000"/>
          <w:szCs w:val="24"/>
        </w:rPr>
        <w:t>(1)</w:t>
      </w:r>
      <w:r w:rsidRPr="00B6651E">
        <w:rPr>
          <w:color w:val="000000"/>
          <w:szCs w:val="24"/>
        </w:rPr>
        <w:tab/>
        <w:t>If a Generation Resource trips Off-Line from a transmission equipment operation that would have normally not tripped the unit Off-Line but for the activation of a Constraint Management Plan (CMP) or a VDI issued by ERCOT</w:t>
      </w:r>
      <w:r w:rsidRPr="00B6651E" w:rsidDel="000C1C0B">
        <w:rPr>
          <w:color w:val="000000"/>
          <w:szCs w:val="24"/>
        </w:rPr>
        <w:t xml:space="preserve"> </w:t>
      </w:r>
      <w:r w:rsidRPr="00B6651E">
        <w:rPr>
          <w:color w:val="000000"/>
          <w:szCs w:val="24"/>
        </w:rPr>
        <w:t xml:space="preserve">which subjects a Generation Resource to N-1 contingency that could trip the Generation Resource Off-Line the QSE may be eligible for a Real-Time Constraint Management Plan Cost Recovery Payment, as calculated in paragraph (6) below, upon providing documented proof of the financial and repair cost.  A Generation Resource impacted by the CMP or VDI shall not be eligible for a CMP cost recovery payment under any of the following two conditions: </w:t>
      </w:r>
    </w:p>
    <w:p w14:paraId="27705127" w14:textId="77777777" w:rsidR="00B6651E" w:rsidRPr="00B6651E" w:rsidRDefault="00B6651E" w:rsidP="00FF2663">
      <w:pPr>
        <w:spacing w:after="240"/>
        <w:ind w:left="1440" w:hanging="720"/>
        <w:rPr>
          <w:color w:val="000000"/>
          <w:szCs w:val="24"/>
        </w:rPr>
      </w:pPr>
      <w:r w:rsidRPr="00B6651E">
        <w:rPr>
          <w:color w:val="000000"/>
          <w:szCs w:val="24"/>
        </w:rPr>
        <w:t>(a)</w:t>
      </w:r>
      <w:r w:rsidRPr="00B6651E">
        <w:rPr>
          <w:color w:val="000000"/>
          <w:szCs w:val="24"/>
        </w:rPr>
        <w:tab/>
        <w:t xml:space="preserve">If the Resource Entity for this Generation Resource agreed with the CMP to subject the Generation </w:t>
      </w:r>
      <w:r w:rsidRPr="00B6651E">
        <w:rPr>
          <w:szCs w:val="24"/>
        </w:rPr>
        <w:t>Resource</w:t>
      </w:r>
      <w:r w:rsidRPr="00B6651E">
        <w:rPr>
          <w:color w:val="000000"/>
          <w:szCs w:val="24"/>
        </w:rPr>
        <w:t xml:space="preserve"> to the N-0 condition.  </w:t>
      </w:r>
    </w:p>
    <w:p w14:paraId="1AE60C0D" w14:textId="77777777" w:rsidR="00B6651E" w:rsidRPr="00B6651E" w:rsidRDefault="00B6651E" w:rsidP="00FF2663">
      <w:pPr>
        <w:spacing w:after="240"/>
        <w:ind w:left="1440" w:hanging="720"/>
        <w:rPr>
          <w:szCs w:val="24"/>
        </w:rPr>
      </w:pPr>
      <w:r w:rsidRPr="00B6651E">
        <w:rPr>
          <w:color w:val="000000"/>
          <w:szCs w:val="24"/>
        </w:rPr>
        <w:t>(b)</w:t>
      </w:r>
      <w:r w:rsidRPr="00B6651E">
        <w:rPr>
          <w:color w:val="000000"/>
          <w:szCs w:val="24"/>
        </w:rPr>
        <w:tab/>
        <w:t>If ERCOT must issue a VDI to open the Generation Resource’s breaker due to the Generation Resource improperly following ERCOT instructions without notifying ERCOT that the CMP or VDI would physically harm the Resource.</w:t>
      </w:r>
    </w:p>
    <w:p w14:paraId="0669221F" w14:textId="77777777" w:rsidR="00B6651E" w:rsidRPr="00B6651E" w:rsidRDefault="00B6651E" w:rsidP="00FF2663">
      <w:pPr>
        <w:spacing w:after="240"/>
        <w:ind w:left="720" w:hanging="720"/>
        <w:rPr>
          <w:szCs w:val="24"/>
        </w:rPr>
      </w:pPr>
      <w:r w:rsidRPr="00B6651E">
        <w:rPr>
          <w:color w:val="000000"/>
          <w:szCs w:val="24"/>
        </w:rPr>
        <w:t>(2)</w:t>
      </w:r>
      <w:r w:rsidRPr="00B6651E">
        <w:rPr>
          <w:color w:val="000000"/>
          <w:szCs w:val="24"/>
        </w:rPr>
        <w:tab/>
        <w:t>To qualify for a Constraint Management Plan Cost Recovery Payment the following conditions must be met:</w:t>
      </w:r>
    </w:p>
    <w:p w14:paraId="0A4EB91C" w14:textId="77777777" w:rsidR="00B6651E" w:rsidRPr="00B6651E" w:rsidRDefault="00B6651E" w:rsidP="00FF2663">
      <w:pPr>
        <w:spacing w:after="240"/>
        <w:ind w:left="1440" w:hanging="720"/>
        <w:rPr>
          <w:szCs w:val="24"/>
        </w:rPr>
      </w:pPr>
      <w:r w:rsidRPr="00B6651E">
        <w:rPr>
          <w:szCs w:val="24"/>
        </w:rPr>
        <w:lastRenderedPageBreak/>
        <w:t>(a)</w:t>
      </w:r>
      <w:r w:rsidRPr="00B6651E">
        <w:rPr>
          <w:szCs w:val="24"/>
        </w:rPr>
        <w:tab/>
        <w:t xml:space="preserve">The </w:t>
      </w:r>
      <w:r w:rsidRPr="00B6651E">
        <w:rPr>
          <w:color w:val="000000"/>
          <w:szCs w:val="24"/>
        </w:rPr>
        <w:t>CMP</w:t>
      </w:r>
      <w:r w:rsidRPr="00B6651E">
        <w:rPr>
          <w:szCs w:val="24"/>
        </w:rPr>
        <w:t xml:space="preserve"> or VDI must have financially impacted the Generation Resource that tripped Off-Line;</w:t>
      </w:r>
    </w:p>
    <w:p w14:paraId="09202358" w14:textId="009DB033" w:rsidR="00B6651E" w:rsidRPr="00B6651E" w:rsidRDefault="00B6651E" w:rsidP="00FF2663">
      <w:pPr>
        <w:spacing w:after="240"/>
        <w:ind w:left="1440" w:hanging="720"/>
        <w:rPr>
          <w:szCs w:val="24"/>
        </w:rPr>
      </w:pPr>
      <w:r w:rsidRPr="00B6651E">
        <w:rPr>
          <w:szCs w:val="24"/>
        </w:rPr>
        <w:t>(b)</w:t>
      </w:r>
      <w:r w:rsidRPr="00B6651E">
        <w:rPr>
          <w:szCs w:val="24"/>
        </w:rPr>
        <w:tab/>
        <w:t xml:space="preserve">The Generation Resource must have tripped Off-Line from a transmission equipment operation in an N-1 contingency following activation of a CMP directly impacting transmission equipment connected to the Generation Resource or an equivalent VDI issued by ERCOT to the Generation Resource or its Transmission Operator </w:t>
      </w:r>
      <w:r w:rsidR="002A367C">
        <w:rPr>
          <w:szCs w:val="24"/>
        </w:rPr>
        <w:t xml:space="preserve">(TO) </w:t>
      </w:r>
      <w:r w:rsidRPr="00B6651E">
        <w:rPr>
          <w:szCs w:val="24"/>
        </w:rPr>
        <w:t>to operate equipment to produce the same effect; and</w:t>
      </w:r>
    </w:p>
    <w:p w14:paraId="30F894FA" w14:textId="77777777" w:rsidR="00B6651E" w:rsidRPr="00B6651E" w:rsidRDefault="00B6651E" w:rsidP="00FF2663">
      <w:pPr>
        <w:spacing w:after="240"/>
        <w:ind w:left="1440" w:hanging="720"/>
        <w:rPr>
          <w:szCs w:val="24"/>
        </w:rPr>
      </w:pPr>
      <w:r w:rsidRPr="00B6651E">
        <w:rPr>
          <w:szCs w:val="24"/>
        </w:rPr>
        <w:t>(c)</w:t>
      </w:r>
      <w:r w:rsidRPr="00B6651E">
        <w:rPr>
          <w:szCs w:val="24"/>
        </w:rPr>
        <w:tab/>
      </w:r>
      <w:bookmarkStart w:id="2000" w:name="_Hlk204410987"/>
      <w:r w:rsidRPr="00B6651E">
        <w:rPr>
          <w:szCs w:val="24"/>
        </w:rPr>
        <w:t xml:space="preserve">The QSE must file a timely Settlement and billing dispute, including the following items: </w:t>
      </w:r>
      <w:bookmarkEnd w:id="2000"/>
    </w:p>
    <w:p w14:paraId="4B780287" w14:textId="77777777" w:rsidR="00B6651E" w:rsidRPr="00B6651E" w:rsidRDefault="00B6651E" w:rsidP="00FF2663">
      <w:pPr>
        <w:spacing w:after="240"/>
        <w:ind w:left="2160" w:hanging="720"/>
        <w:rPr>
          <w:szCs w:val="24"/>
        </w:rPr>
      </w:pPr>
      <w:r w:rsidRPr="00B6651E">
        <w:rPr>
          <w:szCs w:val="24"/>
        </w:rPr>
        <w:t>(i)</w:t>
      </w:r>
      <w:r w:rsidRPr="00B6651E">
        <w:rPr>
          <w:szCs w:val="24"/>
        </w:rPr>
        <w:tab/>
        <w:t>An attestation signed by an officer or executive with authority to bind the QSE;</w:t>
      </w:r>
    </w:p>
    <w:p w14:paraId="5605C85D" w14:textId="77777777" w:rsidR="00B6651E" w:rsidRPr="00B6651E" w:rsidRDefault="00B6651E" w:rsidP="00FF2663">
      <w:pPr>
        <w:spacing w:after="240"/>
        <w:ind w:left="2160" w:hanging="720"/>
        <w:rPr>
          <w:szCs w:val="24"/>
        </w:rPr>
      </w:pPr>
      <w:r w:rsidRPr="00B6651E">
        <w:rPr>
          <w:szCs w:val="24"/>
        </w:rPr>
        <w:t>(ii)</w:t>
      </w:r>
      <w:r w:rsidRPr="00B6651E">
        <w:rPr>
          <w:szCs w:val="24"/>
        </w:rPr>
        <w:tab/>
        <w:t>The dollar amount and calculation of the demonstrable financial loss by Settlement Interval and the total repair cost for the CMP event, including:</w:t>
      </w:r>
    </w:p>
    <w:p w14:paraId="36E47107" w14:textId="77777777" w:rsidR="00B6651E" w:rsidRPr="00B6651E" w:rsidRDefault="00B6651E" w:rsidP="00E7745B">
      <w:pPr>
        <w:spacing w:after="240"/>
        <w:ind w:left="2880" w:hanging="720"/>
        <w:rPr>
          <w:szCs w:val="24"/>
        </w:rPr>
      </w:pPr>
      <w:r w:rsidRPr="00B6651E">
        <w:rPr>
          <w:szCs w:val="24"/>
        </w:rPr>
        <w:t>(A)</w:t>
      </w:r>
      <w:r w:rsidRPr="00B6651E">
        <w:rPr>
          <w:szCs w:val="24"/>
        </w:rPr>
        <w:tab/>
        <w:t xml:space="preserve">Demonstrable financial losses (excluding lost opportunity costs) while Resource is in an Outage caused by the CMP or equivalent VDI unit trip Off-Line and with a Resource Status of OUT, associated with one of the following: </w:t>
      </w:r>
    </w:p>
    <w:p w14:paraId="74D0D9D4" w14:textId="77777777" w:rsidR="00B6651E" w:rsidRPr="00B6651E" w:rsidRDefault="00B6651E" w:rsidP="00E7745B">
      <w:pPr>
        <w:spacing w:after="240"/>
        <w:ind w:left="3600" w:hanging="720"/>
        <w:rPr>
          <w:szCs w:val="24"/>
        </w:rPr>
      </w:pPr>
      <w:r w:rsidRPr="00B6651E">
        <w:rPr>
          <w:szCs w:val="24"/>
        </w:rPr>
        <w:t>(1)</w:t>
      </w:r>
      <w:r w:rsidRPr="00B6651E">
        <w:rPr>
          <w:szCs w:val="24"/>
        </w:rPr>
        <w:tab/>
        <w:t xml:space="preserve">QSEs representing Generation Resources in their portfolio with a bilateral contract to sell energy at its Resource Node; or </w:t>
      </w:r>
    </w:p>
    <w:p w14:paraId="0B419461" w14:textId="18D562B5" w:rsidR="00B6651E" w:rsidRPr="00B6651E" w:rsidRDefault="00B6651E" w:rsidP="00E7745B">
      <w:pPr>
        <w:spacing w:after="240"/>
        <w:ind w:left="3600" w:hanging="720"/>
        <w:rPr>
          <w:szCs w:val="24"/>
        </w:rPr>
      </w:pPr>
      <w:r w:rsidRPr="00B6651E">
        <w:rPr>
          <w:szCs w:val="24"/>
        </w:rPr>
        <w:t>(2)</w:t>
      </w:r>
      <w:r w:rsidRPr="00B6651E">
        <w:rPr>
          <w:szCs w:val="24"/>
        </w:rPr>
        <w:tab/>
        <w:t xml:space="preserve">Incremental costs incurred by a QSE in the RTM to serve its Load if the </w:t>
      </w:r>
      <w:r w:rsidR="00E7745B">
        <w:rPr>
          <w:szCs w:val="24"/>
        </w:rPr>
        <w:t>O</w:t>
      </w:r>
      <w:r w:rsidRPr="00B6651E">
        <w:rPr>
          <w:szCs w:val="24"/>
        </w:rPr>
        <w:t xml:space="preserve">utage for the Resource is in the same QSE portfolio as the Load, and causes the QSE to be short energy compared to its Load for the intervals affected by the </w:t>
      </w:r>
      <w:r w:rsidR="00E7745B">
        <w:rPr>
          <w:szCs w:val="24"/>
        </w:rPr>
        <w:t>O</w:t>
      </w:r>
      <w:r w:rsidRPr="00B6651E">
        <w:rPr>
          <w:szCs w:val="24"/>
        </w:rPr>
        <w:t>utage; or</w:t>
      </w:r>
    </w:p>
    <w:p w14:paraId="6DE5F22D" w14:textId="77777777" w:rsidR="00B6651E" w:rsidRPr="00B6651E" w:rsidRDefault="00B6651E" w:rsidP="00E7745B">
      <w:pPr>
        <w:spacing w:after="240"/>
        <w:ind w:left="3600" w:hanging="720"/>
        <w:rPr>
          <w:szCs w:val="24"/>
        </w:rPr>
      </w:pPr>
      <w:r w:rsidRPr="00B6651E">
        <w:rPr>
          <w:szCs w:val="24"/>
        </w:rPr>
        <w:t>(3)</w:t>
      </w:r>
      <w:r w:rsidRPr="00B6651E">
        <w:rPr>
          <w:szCs w:val="24"/>
        </w:rPr>
        <w:tab/>
        <w:t xml:space="preserve">Variable cost components of DAM obligations; and </w:t>
      </w:r>
    </w:p>
    <w:p w14:paraId="2988973E" w14:textId="77777777" w:rsidR="00B6651E" w:rsidRPr="00B6651E" w:rsidRDefault="00B6651E" w:rsidP="00E7745B">
      <w:pPr>
        <w:spacing w:after="240"/>
        <w:ind w:left="2880" w:hanging="720"/>
        <w:rPr>
          <w:rFonts w:ascii="Aptos" w:hAnsi="Aptos"/>
          <w:szCs w:val="24"/>
        </w:rPr>
      </w:pPr>
      <w:r w:rsidRPr="00B6651E">
        <w:rPr>
          <w:szCs w:val="24"/>
        </w:rPr>
        <w:t>(B)</w:t>
      </w:r>
      <w:r w:rsidRPr="00B6651E">
        <w:rPr>
          <w:szCs w:val="24"/>
        </w:rPr>
        <w:tab/>
        <w:t>Actual costs incurred to repair the plant equipment directly attributable to the Forced Outage caused by the CMP activation or equivalent VDI.  The maximum amount recoverable shall be capped at $500,000 per event.  Such costs include, but are not limited to:</w:t>
      </w:r>
    </w:p>
    <w:p w14:paraId="781EF8C4" w14:textId="77777777" w:rsidR="00B6651E" w:rsidRPr="00B6651E" w:rsidRDefault="00B6651E" w:rsidP="00E7745B">
      <w:pPr>
        <w:spacing w:after="240"/>
        <w:ind w:left="3600" w:hanging="720"/>
        <w:rPr>
          <w:szCs w:val="24"/>
        </w:rPr>
      </w:pPr>
      <w:r w:rsidRPr="00B6651E">
        <w:rPr>
          <w:szCs w:val="24"/>
        </w:rPr>
        <w:t>(1)</w:t>
      </w:r>
      <w:r w:rsidRPr="00B6651E">
        <w:rPr>
          <w:szCs w:val="24"/>
        </w:rPr>
        <w:tab/>
        <w:t>Costs associated with a Forced Outage if the result of the trip is due to the implementation of the CMP or equivalent VDI;</w:t>
      </w:r>
    </w:p>
    <w:p w14:paraId="573A6FD6" w14:textId="77777777" w:rsidR="00B6651E" w:rsidRPr="00B6651E" w:rsidRDefault="00B6651E" w:rsidP="00E7745B">
      <w:pPr>
        <w:spacing w:after="240"/>
        <w:ind w:left="3600" w:hanging="720"/>
        <w:rPr>
          <w:szCs w:val="24"/>
        </w:rPr>
      </w:pPr>
      <w:r w:rsidRPr="00B6651E">
        <w:rPr>
          <w:szCs w:val="24"/>
        </w:rPr>
        <w:t>(2)</w:t>
      </w:r>
      <w:r w:rsidRPr="00B6651E">
        <w:rPr>
          <w:szCs w:val="24"/>
        </w:rPr>
        <w:tab/>
        <w:t>Additional staff or contractor time as a result of the Forced Outage;</w:t>
      </w:r>
    </w:p>
    <w:p w14:paraId="77E14FA9" w14:textId="77777777" w:rsidR="00B6651E" w:rsidRPr="00B6651E" w:rsidRDefault="00B6651E" w:rsidP="00E7745B">
      <w:pPr>
        <w:spacing w:after="240"/>
        <w:ind w:left="3600" w:hanging="720"/>
        <w:rPr>
          <w:szCs w:val="24"/>
        </w:rPr>
      </w:pPr>
      <w:r w:rsidRPr="00B6651E">
        <w:rPr>
          <w:szCs w:val="24"/>
        </w:rPr>
        <w:lastRenderedPageBreak/>
        <w:t>(3)</w:t>
      </w:r>
      <w:r w:rsidRPr="00B6651E">
        <w:rPr>
          <w:szCs w:val="24"/>
        </w:rPr>
        <w:tab/>
        <w:t>Costs of equipment rental (including but not limited to cranes, manlifts, welding machines, etc.);</w:t>
      </w:r>
    </w:p>
    <w:p w14:paraId="19BA0E51" w14:textId="77777777" w:rsidR="00B6651E" w:rsidRPr="00B6651E" w:rsidRDefault="00B6651E" w:rsidP="00E7745B">
      <w:pPr>
        <w:spacing w:after="240"/>
        <w:ind w:left="3600" w:hanging="720"/>
        <w:rPr>
          <w:szCs w:val="24"/>
        </w:rPr>
      </w:pPr>
      <w:r w:rsidRPr="00B6651E">
        <w:rPr>
          <w:szCs w:val="24"/>
        </w:rPr>
        <w:t>(4)</w:t>
      </w:r>
      <w:r w:rsidRPr="00B6651E">
        <w:rPr>
          <w:szCs w:val="24"/>
        </w:rPr>
        <w:tab/>
        <w:t>Costs of facility rentals and other incidental incremental costs incurred by the Resource or its QSE created by the Forced Outage; and</w:t>
      </w:r>
    </w:p>
    <w:p w14:paraId="11C40016" w14:textId="77777777" w:rsidR="00B6651E" w:rsidRPr="00B6651E" w:rsidRDefault="00B6651E" w:rsidP="00E7745B">
      <w:pPr>
        <w:spacing w:after="240"/>
        <w:ind w:left="3600" w:hanging="720"/>
        <w:rPr>
          <w:szCs w:val="24"/>
        </w:rPr>
      </w:pPr>
      <w:r w:rsidRPr="00B6651E">
        <w:rPr>
          <w:szCs w:val="24"/>
        </w:rPr>
        <w:t>(5)</w:t>
      </w:r>
      <w:r w:rsidRPr="00B6651E">
        <w:rPr>
          <w:szCs w:val="24"/>
        </w:rPr>
        <w:tab/>
        <w:t>The cost of materials to be repaired that is a direct result of the Forced Outage.</w:t>
      </w:r>
    </w:p>
    <w:p w14:paraId="27440A7C" w14:textId="77777777" w:rsidR="00B6651E" w:rsidRPr="00B6651E" w:rsidRDefault="00B6651E" w:rsidP="00E7745B">
      <w:pPr>
        <w:spacing w:after="240"/>
        <w:ind w:left="2880" w:hanging="720"/>
        <w:rPr>
          <w:szCs w:val="24"/>
        </w:rPr>
      </w:pPr>
      <w:r w:rsidRPr="00B6651E">
        <w:rPr>
          <w:szCs w:val="24"/>
        </w:rPr>
        <w:t>(C)</w:t>
      </w:r>
      <w:r w:rsidRPr="00B6651E">
        <w:rPr>
          <w:szCs w:val="24"/>
        </w:rPr>
        <w:tab/>
        <w:t>Costs covered under paragraphs (A) and (B) above do not include:</w:t>
      </w:r>
    </w:p>
    <w:p w14:paraId="7852FD40" w14:textId="77777777" w:rsidR="00B6651E" w:rsidRPr="00B6651E" w:rsidRDefault="00B6651E" w:rsidP="00E7745B">
      <w:pPr>
        <w:spacing w:after="240"/>
        <w:ind w:left="3600" w:hanging="720"/>
        <w:rPr>
          <w:szCs w:val="24"/>
        </w:rPr>
      </w:pPr>
      <w:r w:rsidRPr="00B6651E">
        <w:rPr>
          <w:szCs w:val="24"/>
        </w:rPr>
        <w:t>(1)</w:t>
      </w:r>
      <w:r w:rsidRPr="00B6651E">
        <w:rPr>
          <w:szCs w:val="24"/>
        </w:rPr>
        <w:tab/>
        <w:t>Capital expenditures.</w:t>
      </w:r>
    </w:p>
    <w:p w14:paraId="22CA8806" w14:textId="77777777" w:rsidR="00B6651E" w:rsidRPr="00B6651E" w:rsidRDefault="00B6651E" w:rsidP="00FF2663">
      <w:pPr>
        <w:spacing w:after="240"/>
        <w:ind w:left="2160" w:hanging="720"/>
        <w:rPr>
          <w:szCs w:val="24"/>
        </w:rPr>
      </w:pPr>
      <w:r w:rsidRPr="00B6651E">
        <w:rPr>
          <w:szCs w:val="24"/>
        </w:rPr>
        <w:t>(iii)</w:t>
      </w:r>
      <w:r w:rsidRPr="00B6651E">
        <w:rPr>
          <w:szCs w:val="24"/>
        </w:rPr>
        <w:tab/>
        <w:t xml:space="preserve">An explanation of the nature of the loss and how it was attributable to the CMP or equivalent VDI issued by ERCOT; and </w:t>
      </w:r>
    </w:p>
    <w:p w14:paraId="4ED106C0" w14:textId="77777777" w:rsidR="00B6651E" w:rsidRPr="00B6651E" w:rsidRDefault="00B6651E" w:rsidP="00FF2663">
      <w:pPr>
        <w:spacing w:after="240"/>
        <w:ind w:left="2160" w:hanging="720"/>
        <w:rPr>
          <w:szCs w:val="24"/>
        </w:rPr>
      </w:pPr>
      <w:r w:rsidRPr="00B6651E">
        <w:rPr>
          <w:szCs w:val="24"/>
        </w:rPr>
        <w:t>(iv)</w:t>
      </w:r>
      <w:r w:rsidRPr="00B6651E">
        <w:rPr>
          <w:szCs w:val="24"/>
        </w:rPr>
        <w:tab/>
        <w:t>Sufficient documentation to support the QSE’s calculation of the amount of the financial loss.</w:t>
      </w:r>
    </w:p>
    <w:p w14:paraId="43FCD2E9" w14:textId="75B34859" w:rsidR="00B6651E" w:rsidRPr="00B6651E" w:rsidRDefault="00B6651E" w:rsidP="00B6651E">
      <w:pPr>
        <w:spacing w:after="240"/>
        <w:ind w:left="720" w:hanging="720"/>
        <w:rPr>
          <w:szCs w:val="24"/>
        </w:rPr>
      </w:pPr>
      <w:r w:rsidRPr="00B6651E">
        <w:rPr>
          <w:szCs w:val="24"/>
        </w:rPr>
        <w:t>(3)</w:t>
      </w:r>
      <w:r w:rsidRPr="00B6651E">
        <w:rPr>
          <w:szCs w:val="24"/>
        </w:rPr>
        <w:tab/>
        <w:t xml:space="preserve">If the total Settlement amount of demonstrable financial losses included within </w:t>
      </w:r>
      <w:r w:rsidRPr="00B6651E">
        <w:rPr>
          <w:color w:val="000000"/>
          <w:szCs w:val="24"/>
        </w:rPr>
        <w:t>Constraint Management Plan Cost Recovery Payments</w:t>
      </w:r>
      <w:r w:rsidRPr="00B6651E">
        <w:rPr>
          <w:szCs w:val="24"/>
        </w:rPr>
        <w:t>, as defined in paragraph (2)(c)(ii)(A) above, exceeds $1.5 million in a calendar year, ERCOT will report to the TAC the causes of the payments and provide recommendations on how to reduce the costs based on the eligible demonstrable financial loss criteria in paragraph (2)(c)(ii)(A) above.</w:t>
      </w:r>
    </w:p>
    <w:p w14:paraId="55340258" w14:textId="77777777" w:rsidR="00B6651E" w:rsidRPr="00B6651E" w:rsidRDefault="00B6651E" w:rsidP="00B6651E">
      <w:pPr>
        <w:spacing w:after="240"/>
        <w:ind w:left="720" w:hanging="720"/>
        <w:rPr>
          <w:szCs w:val="24"/>
        </w:rPr>
      </w:pPr>
      <w:r w:rsidRPr="00B6651E">
        <w:rPr>
          <w:szCs w:val="24"/>
        </w:rPr>
        <w:t>(4)</w:t>
      </w:r>
      <w:r w:rsidRPr="00B6651E">
        <w:rPr>
          <w:szCs w:val="24"/>
        </w:rPr>
        <w:tab/>
        <w:t>The period used to calculate the Constraint Management Plan Cost Recovery Payment calculation will start at the Settlement Interval of initial trip and will conclude in the Settlement Interval at the soonest of:</w:t>
      </w:r>
    </w:p>
    <w:p w14:paraId="474AD1AB" w14:textId="77777777" w:rsidR="00B6651E" w:rsidRPr="00B6651E" w:rsidRDefault="00B6651E" w:rsidP="00B6651E">
      <w:pPr>
        <w:spacing w:after="240"/>
        <w:ind w:left="1440" w:hanging="720"/>
        <w:rPr>
          <w:szCs w:val="24"/>
        </w:rPr>
      </w:pPr>
      <w:r w:rsidRPr="00B6651E">
        <w:rPr>
          <w:color w:val="000000"/>
          <w:szCs w:val="24"/>
        </w:rPr>
        <w:t>(a)</w:t>
      </w:r>
      <w:r w:rsidRPr="00B6651E">
        <w:rPr>
          <w:color w:val="000000"/>
          <w:szCs w:val="24"/>
        </w:rPr>
        <w:tab/>
      </w:r>
      <w:r w:rsidRPr="00B6651E">
        <w:rPr>
          <w:szCs w:val="24"/>
        </w:rPr>
        <w:t>The Generation Resource is On-Line and available for Dispatch as per telemetry; or</w:t>
      </w:r>
    </w:p>
    <w:p w14:paraId="1C5A75F3" w14:textId="77777777" w:rsidR="00B6651E" w:rsidRPr="00B6651E" w:rsidRDefault="00B6651E" w:rsidP="00B6651E">
      <w:pPr>
        <w:spacing w:after="240"/>
        <w:ind w:left="1440" w:hanging="720"/>
        <w:rPr>
          <w:szCs w:val="24"/>
        </w:rPr>
      </w:pPr>
      <w:r w:rsidRPr="00B6651E">
        <w:rPr>
          <w:szCs w:val="24"/>
        </w:rPr>
        <w:t>(b)</w:t>
      </w:r>
      <w:r w:rsidRPr="00B6651E">
        <w:rPr>
          <w:szCs w:val="24"/>
        </w:rPr>
        <w:tab/>
        <w:t>Ninety-six Operating Hours after the Resource trips Off-Line.</w:t>
      </w:r>
    </w:p>
    <w:p w14:paraId="556BA32C" w14:textId="77777777" w:rsidR="00B6651E" w:rsidRPr="00B6651E" w:rsidRDefault="00B6651E" w:rsidP="00B6651E">
      <w:pPr>
        <w:spacing w:after="240"/>
        <w:ind w:left="720" w:hanging="720"/>
        <w:rPr>
          <w:color w:val="000000"/>
          <w:szCs w:val="24"/>
        </w:rPr>
      </w:pPr>
      <w:r w:rsidRPr="00B6651E">
        <w:rPr>
          <w:color w:val="000000"/>
          <w:szCs w:val="24"/>
        </w:rPr>
        <w:t>(5)</w:t>
      </w:r>
      <w:r w:rsidRPr="00B6651E">
        <w:rPr>
          <w:color w:val="000000"/>
          <w:szCs w:val="24"/>
        </w:rPr>
        <w:tab/>
        <w:t xml:space="preserve">ERCOT may request additional supporting documentation or explanation with respect to the submitted materials within 60 Business Days of receipt.  Additional information requested by ERCOT must be provided by the QSE within 15 Business Days of ERCOT’s request.  ERCOT will provide Notice of its acceptance or rejection of the claim for the Real-Time Constraint Management Plan Energy Payment within 15 Business Days of the updated submission, or request additional clarification as needed. </w:t>
      </w:r>
    </w:p>
    <w:p w14:paraId="1D5FBC28" w14:textId="74829D4D" w:rsidR="00B6651E" w:rsidRPr="00B6651E" w:rsidRDefault="00B6651E" w:rsidP="00B6651E">
      <w:pPr>
        <w:spacing w:after="240"/>
        <w:ind w:left="720" w:hanging="720"/>
        <w:rPr>
          <w:color w:val="000000"/>
          <w:szCs w:val="24"/>
        </w:rPr>
      </w:pPr>
      <w:r w:rsidRPr="00B6651E">
        <w:rPr>
          <w:color w:val="000000"/>
          <w:szCs w:val="24"/>
        </w:rPr>
        <w:t>(6)</w:t>
      </w:r>
      <w:r w:rsidRPr="00B6651E">
        <w:rPr>
          <w:color w:val="000000"/>
          <w:szCs w:val="24"/>
        </w:rPr>
        <w:tab/>
        <w:t xml:space="preserve">The Startup </w:t>
      </w:r>
      <w:r w:rsidR="00494238">
        <w:rPr>
          <w:color w:val="000000"/>
          <w:szCs w:val="24"/>
        </w:rPr>
        <w:t>C</w:t>
      </w:r>
      <w:r w:rsidRPr="00B6651E">
        <w:rPr>
          <w:color w:val="000000"/>
          <w:szCs w:val="24"/>
        </w:rPr>
        <w:t xml:space="preserve">osts available for the Generation Resource will be based on the Resource’s Category Startup Offer Generic Cap unless ERCOT has approved verifiable unit-specific Startup Costs for the Resource.  If applicable, the calculated Verifiable Startup </w:t>
      </w:r>
      <w:r w:rsidR="00494238">
        <w:rPr>
          <w:color w:val="000000"/>
          <w:szCs w:val="24"/>
        </w:rPr>
        <w:t>C</w:t>
      </w:r>
      <w:r w:rsidRPr="00B6651E">
        <w:rPr>
          <w:color w:val="000000"/>
          <w:szCs w:val="24"/>
        </w:rPr>
        <w:t xml:space="preserve">osts will be based on </w:t>
      </w:r>
      <w:r w:rsidR="00D013D7">
        <w:rPr>
          <w:color w:val="000000"/>
          <w:szCs w:val="24"/>
        </w:rPr>
        <w:t>Fuel Index Price (</w:t>
      </w:r>
      <w:r w:rsidRPr="00B6651E">
        <w:rPr>
          <w:color w:val="000000"/>
          <w:szCs w:val="24"/>
        </w:rPr>
        <w:t>FIP</w:t>
      </w:r>
      <w:r w:rsidR="00D013D7">
        <w:rPr>
          <w:color w:val="000000"/>
          <w:szCs w:val="24"/>
        </w:rPr>
        <w:t>)</w:t>
      </w:r>
      <w:r w:rsidRPr="00B6651E">
        <w:rPr>
          <w:color w:val="000000"/>
          <w:szCs w:val="24"/>
        </w:rPr>
        <w:t xml:space="preserve"> or </w:t>
      </w:r>
      <w:r w:rsidR="00D013D7">
        <w:rPr>
          <w:color w:val="000000"/>
          <w:szCs w:val="24"/>
        </w:rPr>
        <w:t>Fuel Oil Price (</w:t>
      </w:r>
      <w:r w:rsidRPr="00B6651E">
        <w:rPr>
          <w:color w:val="000000"/>
          <w:szCs w:val="24"/>
        </w:rPr>
        <w:t>FOP</w:t>
      </w:r>
      <w:r w:rsidR="00D013D7">
        <w:rPr>
          <w:color w:val="000000"/>
          <w:szCs w:val="24"/>
        </w:rPr>
        <w:t>)</w:t>
      </w:r>
      <w:r w:rsidRPr="00B6651E">
        <w:rPr>
          <w:color w:val="000000"/>
          <w:szCs w:val="24"/>
        </w:rPr>
        <w:t xml:space="preserve"> fuel prices for the Operating Day when the Resource tripped Off-Line.</w:t>
      </w:r>
    </w:p>
    <w:p w14:paraId="7CC216F4" w14:textId="77777777" w:rsidR="00B6651E" w:rsidRPr="00B6651E" w:rsidRDefault="00B6651E" w:rsidP="00B6651E">
      <w:pPr>
        <w:spacing w:after="240"/>
        <w:ind w:left="720" w:hanging="720"/>
        <w:rPr>
          <w:color w:val="000000"/>
          <w:szCs w:val="24"/>
        </w:rPr>
      </w:pPr>
      <w:r w:rsidRPr="00B6651E">
        <w:rPr>
          <w:color w:val="000000"/>
          <w:szCs w:val="24"/>
        </w:rPr>
        <w:lastRenderedPageBreak/>
        <w:t>(7)</w:t>
      </w:r>
      <w:r w:rsidRPr="00B6651E">
        <w:rPr>
          <w:color w:val="000000"/>
          <w:szCs w:val="24"/>
        </w:rPr>
        <w:tab/>
        <w:t xml:space="preserve">The Constraint Management Plan Cost Recovery Payment shall be calculated for the period described in paragraph (4) above as follows:  </w:t>
      </w:r>
    </w:p>
    <w:p w14:paraId="3CF79955" w14:textId="79762E73" w:rsidR="00B6651E" w:rsidRPr="00494238" w:rsidRDefault="00B6651E" w:rsidP="00B6651E">
      <w:pPr>
        <w:spacing w:after="240"/>
        <w:ind w:left="2160" w:hanging="1440"/>
        <w:rPr>
          <w:b/>
          <w:bCs/>
          <w:color w:val="000000"/>
          <w:szCs w:val="24"/>
        </w:rPr>
      </w:pPr>
      <w:r w:rsidRPr="00494238">
        <w:rPr>
          <w:b/>
          <w:bCs/>
          <w:color w:val="000000"/>
          <w:szCs w:val="24"/>
        </w:rPr>
        <w:t>CMPCRAMT</w:t>
      </w:r>
      <w:r w:rsidRPr="00494238">
        <w:rPr>
          <w:b/>
          <w:bCs/>
          <w:i/>
          <w:iCs/>
          <w:kern w:val="2"/>
          <w:sz w:val="20"/>
          <w:szCs w:val="24"/>
          <w:vertAlign w:val="subscript"/>
        </w:rPr>
        <w:t xml:space="preserve"> q, r, p, i</w:t>
      </w:r>
      <w:r w:rsidRPr="00494238">
        <w:rPr>
          <w:b/>
          <w:bCs/>
          <w:color w:val="000000"/>
          <w:szCs w:val="24"/>
        </w:rPr>
        <w:t xml:space="preserve"> = (-1) * (</w:t>
      </w:r>
      <w:r w:rsidRPr="00494238">
        <w:rPr>
          <w:b/>
          <w:bCs/>
          <w:szCs w:val="24"/>
        </w:rPr>
        <w:t xml:space="preserve">CMPFALA </w:t>
      </w:r>
      <w:r w:rsidRPr="00494238">
        <w:rPr>
          <w:b/>
          <w:bCs/>
          <w:i/>
          <w:iCs/>
          <w:kern w:val="2"/>
          <w:sz w:val="20"/>
          <w:szCs w:val="24"/>
          <w:vertAlign w:val="subscript"/>
        </w:rPr>
        <w:t>q, r, p, i</w:t>
      </w:r>
      <w:r w:rsidRPr="00494238">
        <w:rPr>
          <w:b/>
          <w:bCs/>
          <w:i/>
          <w:iCs/>
          <w:color w:val="000000"/>
          <w:szCs w:val="24"/>
          <w:vertAlign w:val="subscript"/>
        </w:rPr>
        <w:t xml:space="preserve"> </w:t>
      </w:r>
      <w:r w:rsidRPr="00494238">
        <w:rPr>
          <w:b/>
          <w:bCs/>
          <w:color w:val="000000"/>
          <w:szCs w:val="24"/>
        </w:rPr>
        <w:t xml:space="preserve">+ </w:t>
      </w:r>
      <w:r w:rsidRPr="00494238">
        <w:rPr>
          <w:b/>
          <w:bCs/>
          <w:szCs w:val="24"/>
        </w:rPr>
        <w:t xml:space="preserve">CMPRALA </w:t>
      </w:r>
      <w:r w:rsidRPr="00494238">
        <w:rPr>
          <w:b/>
          <w:bCs/>
          <w:i/>
          <w:iCs/>
          <w:kern w:val="2"/>
          <w:sz w:val="20"/>
          <w:szCs w:val="24"/>
          <w:vertAlign w:val="subscript"/>
        </w:rPr>
        <w:t>q, r, p, i</w:t>
      </w:r>
      <w:r w:rsidRPr="00494238" w:rsidDel="00613720">
        <w:rPr>
          <w:b/>
          <w:bCs/>
          <w:i/>
          <w:iCs/>
          <w:color w:val="000000"/>
          <w:szCs w:val="24"/>
          <w:vertAlign w:val="subscript"/>
        </w:rPr>
        <w:t xml:space="preserve"> </w:t>
      </w:r>
      <w:r w:rsidRPr="00494238">
        <w:rPr>
          <w:b/>
          <w:bCs/>
          <w:color w:val="000000"/>
          <w:szCs w:val="24"/>
        </w:rPr>
        <w:t>+ CMPSUPR</w:t>
      </w:r>
      <w:r w:rsidRPr="00494238">
        <w:rPr>
          <w:b/>
          <w:bCs/>
          <w:color w:val="000000"/>
          <w:szCs w:val="24"/>
          <w:vertAlign w:val="subscript"/>
        </w:rPr>
        <w:t xml:space="preserve"> </w:t>
      </w:r>
      <w:r w:rsidRPr="00494238">
        <w:rPr>
          <w:b/>
          <w:bCs/>
          <w:i/>
          <w:iCs/>
          <w:kern w:val="2"/>
          <w:sz w:val="20"/>
          <w:szCs w:val="24"/>
          <w:vertAlign w:val="subscript"/>
        </w:rPr>
        <w:t>q, r, p, i</w:t>
      </w:r>
      <w:r w:rsidRPr="00494238">
        <w:rPr>
          <w:b/>
          <w:bCs/>
          <w:color w:val="000000"/>
          <w:szCs w:val="24"/>
        </w:rPr>
        <w:t>)</w:t>
      </w:r>
    </w:p>
    <w:p w14:paraId="01C2341D" w14:textId="77777777" w:rsidR="00B6651E" w:rsidRPr="00B6651E" w:rsidRDefault="00B6651E" w:rsidP="00494238">
      <w:pPr>
        <w:tabs>
          <w:tab w:val="left" w:pos="1440"/>
          <w:tab w:val="left" w:pos="2340"/>
        </w:tabs>
        <w:spacing w:after="240"/>
        <w:ind w:left="3420" w:hanging="2700"/>
        <w:rPr>
          <w:szCs w:val="24"/>
          <w:lang w:val="pt-BR"/>
        </w:rPr>
      </w:pPr>
      <w:r w:rsidRPr="00B6651E">
        <w:rPr>
          <w:szCs w:val="24"/>
          <w:lang w:val="pt-BR"/>
        </w:rPr>
        <w:t xml:space="preserve">Where: </w:t>
      </w:r>
    </w:p>
    <w:p w14:paraId="1255F509" w14:textId="48380F3A" w:rsidR="00B6651E" w:rsidRPr="00B6651E" w:rsidRDefault="00B6651E" w:rsidP="00494238">
      <w:pPr>
        <w:tabs>
          <w:tab w:val="left" w:pos="1440"/>
          <w:tab w:val="left" w:pos="2340"/>
        </w:tabs>
        <w:spacing w:after="240"/>
        <w:ind w:left="3420" w:hanging="2700"/>
        <w:rPr>
          <w:szCs w:val="24"/>
          <w:lang w:val="pt-BR"/>
        </w:rPr>
      </w:pPr>
      <w:r w:rsidRPr="00B6651E">
        <w:rPr>
          <w:szCs w:val="24"/>
          <w:lang w:val="pt-BR"/>
        </w:rPr>
        <w:t xml:space="preserve">CMPFALA </w:t>
      </w:r>
      <w:r w:rsidRPr="00B6651E">
        <w:rPr>
          <w:i/>
          <w:iCs/>
          <w:kern w:val="2"/>
          <w:sz w:val="20"/>
          <w:szCs w:val="24"/>
          <w:vertAlign w:val="subscript"/>
          <w:lang w:val="pt-BR"/>
        </w:rPr>
        <w:t>q, r, p, i</w:t>
      </w:r>
      <w:r w:rsidRPr="00B6651E">
        <w:rPr>
          <w:i/>
          <w:szCs w:val="24"/>
          <w:vertAlign w:val="subscript"/>
          <w:lang w:val="pt-BR"/>
        </w:rPr>
        <w:t xml:space="preserve"> </w:t>
      </w:r>
      <w:r w:rsidRPr="00B6651E">
        <w:rPr>
          <w:szCs w:val="24"/>
          <w:lang w:val="pt-BR"/>
        </w:rPr>
        <w:t xml:space="preserve">= Min (CMPFAL </w:t>
      </w:r>
      <w:r w:rsidRPr="00B6651E">
        <w:rPr>
          <w:i/>
          <w:iCs/>
          <w:kern w:val="2"/>
          <w:sz w:val="20"/>
          <w:szCs w:val="24"/>
          <w:vertAlign w:val="subscript"/>
          <w:lang w:val="pt-BR"/>
        </w:rPr>
        <w:t>q, r, p, i</w:t>
      </w:r>
      <w:r w:rsidRPr="00494238">
        <w:rPr>
          <w:i/>
          <w:iCs/>
          <w:sz w:val="20"/>
          <w:vertAlign w:val="subscript"/>
          <w:lang w:val="pt-BR"/>
        </w:rPr>
        <w:t>,</w:t>
      </w:r>
      <w:r w:rsidRPr="00B6651E">
        <w:rPr>
          <w:szCs w:val="24"/>
          <w:lang w:val="pt-BR"/>
        </w:rPr>
        <w:t xml:space="preserve"> Max (0, (RTSPP </w:t>
      </w:r>
      <w:r w:rsidRPr="00B6651E">
        <w:rPr>
          <w:i/>
          <w:iCs/>
          <w:kern w:val="2"/>
          <w:sz w:val="20"/>
          <w:szCs w:val="24"/>
          <w:vertAlign w:val="subscript"/>
          <w:lang w:val="pt-BR"/>
        </w:rPr>
        <w:t>p, i</w:t>
      </w:r>
      <w:r w:rsidRPr="00B6651E" w:rsidDel="00613720">
        <w:rPr>
          <w:i/>
          <w:szCs w:val="24"/>
          <w:vertAlign w:val="subscript"/>
          <w:lang w:val="pt-BR"/>
        </w:rPr>
        <w:t xml:space="preserve"> </w:t>
      </w:r>
      <w:r w:rsidRPr="00B6651E">
        <w:rPr>
          <w:szCs w:val="24"/>
          <w:lang w:val="pt-BR"/>
        </w:rPr>
        <w:t>– RTRSVPOR</w:t>
      </w:r>
      <w:r w:rsidRPr="00B6651E">
        <w:rPr>
          <w:i/>
          <w:szCs w:val="24"/>
          <w:vertAlign w:val="subscript"/>
          <w:lang w:val="pt-BR"/>
        </w:rPr>
        <w:t xml:space="preserve"> </w:t>
      </w:r>
      <w:r w:rsidRPr="00B6651E">
        <w:rPr>
          <w:i/>
          <w:iCs/>
          <w:kern w:val="2"/>
          <w:sz w:val="20"/>
          <w:szCs w:val="24"/>
          <w:vertAlign w:val="subscript"/>
          <w:lang w:val="pt-BR"/>
        </w:rPr>
        <w:t>i</w:t>
      </w:r>
      <w:r w:rsidRPr="00B6651E" w:rsidDel="00613720">
        <w:rPr>
          <w:i/>
          <w:szCs w:val="24"/>
          <w:vertAlign w:val="subscript"/>
          <w:lang w:val="pt-BR"/>
        </w:rPr>
        <w:t xml:space="preserve"> </w:t>
      </w:r>
      <w:r w:rsidRPr="00B6651E">
        <w:rPr>
          <w:szCs w:val="24"/>
          <w:lang w:val="pt-BR"/>
        </w:rPr>
        <w:t>– RTRDP</w:t>
      </w:r>
      <w:r w:rsidRPr="00B6651E">
        <w:rPr>
          <w:i/>
          <w:szCs w:val="24"/>
          <w:vertAlign w:val="subscript"/>
          <w:lang w:val="pt-BR"/>
        </w:rPr>
        <w:t xml:space="preserve"> </w:t>
      </w:r>
      <w:r w:rsidRPr="00B6651E">
        <w:rPr>
          <w:i/>
          <w:iCs/>
          <w:kern w:val="2"/>
          <w:sz w:val="20"/>
          <w:szCs w:val="24"/>
          <w:vertAlign w:val="subscript"/>
          <w:lang w:val="pt-BR"/>
        </w:rPr>
        <w:t>i</w:t>
      </w:r>
      <w:r w:rsidRPr="00B6651E" w:rsidDel="00613720">
        <w:rPr>
          <w:i/>
          <w:szCs w:val="24"/>
          <w:vertAlign w:val="subscript"/>
          <w:lang w:val="pt-BR"/>
        </w:rPr>
        <w:t xml:space="preserve"> </w:t>
      </w:r>
      <w:r w:rsidRPr="00B6651E">
        <w:rPr>
          <w:szCs w:val="24"/>
          <w:lang w:val="pt-BR"/>
        </w:rPr>
        <w:t xml:space="preserve">– RTEOCOST </w:t>
      </w:r>
      <w:r w:rsidRPr="00B6651E">
        <w:rPr>
          <w:i/>
          <w:iCs/>
          <w:kern w:val="2"/>
          <w:sz w:val="20"/>
          <w:szCs w:val="24"/>
          <w:vertAlign w:val="subscript"/>
          <w:lang w:val="pt-BR"/>
        </w:rPr>
        <w:t>q, r, p, i</w:t>
      </w:r>
      <w:r w:rsidRPr="00B6651E">
        <w:rPr>
          <w:szCs w:val="24"/>
          <w:lang w:val="pt-BR"/>
        </w:rPr>
        <w:t>) * (1/4) * CMPHSL</w:t>
      </w:r>
      <w:r w:rsidRPr="00B6651E">
        <w:rPr>
          <w:i/>
          <w:szCs w:val="24"/>
          <w:vertAlign w:val="subscript"/>
          <w:lang w:val="pt-BR"/>
        </w:rPr>
        <w:t xml:space="preserve"> </w:t>
      </w:r>
      <w:r w:rsidRPr="00B6651E">
        <w:rPr>
          <w:i/>
          <w:iCs/>
          <w:kern w:val="2"/>
          <w:sz w:val="20"/>
          <w:szCs w:val="24"/>
          <w:vertAlign w:val="subscript"/>
          <w:lang w:val="pt-BR"/>
        </w:rPr>
        <w:t>q, r, p, h</w:t>
      </w:r>
      <w:r w:rsidRPr="00B6651E">
        <w:rPr>
          <w:szCs w:val="24"/>
          <w:lang w:val="pt-BR"/>
        </w:rPr>
        <w:t>))</w:t>
      </w:r>
    </w:p>
    <w:p w14:paraId="06A60C1A" w14:textId="77777777" w:rsidR="00B6651E" w:rsidRPr="00B6651E" w:rsidRDefault="00B6651E" w:rsidP="00494238">
      <w:pPr>
        <w:tabs>
          <w:tab w:val="left" w:pos="1440"/>
          <w:tab w:val="left" w:pos="2340"/>
        </w:tabs>
        <w:spacing w:after="240"/>
        <w:ind w:left="3420" w:hanging="2700"/>
        <w:rPr>
          <w:szCs w:val="24"/>
        </w:rPr>
      </w:pPr>
      <w:r w:rsidRPr="00B6651E">
        <w:rPr>
          <w:szCs w:val="24"/>
        </w:rPr>
        <w:t xml:space="preserve">And, </w:t>
      </w:r>
    </w:p>
    <w:p w14:paraId="2B2B03E9" w14:textId="77777777" w:rsidR="00B6651E" w:rsidRPr="00B6651E" w:rsidRDefault="00B6651E" w:rsidP="00494238">
      <w:pPr>
        <w:tabs>
          <w:tab w:val="left" w:pos="1440"/>
          <w:tab w:val="left" w:pos="2340"/>
        </w:tabs>
        <w:spacing w:after="240"/>
        <w:ind w:left="720"/>
        <w:rPr>
          <w:color w:val="000000"/>
          <w:szCs w:val="24"/>
        </w:rPr>
      </w:pPr>
      <w:r w:rsidRPr="00B6651E">
        <w:rPr>
          <w:color w:val="000000"/>
          <w:szCs w:val="24"/>
        </w:rPr>
        <w:t>Where the repair costs are allocated equally over the intervals corresponding to the period determined in paragraph (4) above:</w:t>
      </w:r>
    </w:p>
    <w:p w14:paraId="2C41B98B" w14:textId="03E5855C" w:rsidR="00B6651E" w:rsidRPr="00B6651E" w:rsidRDefault="00B6651E" w:rsidP="00494238">
      <w:pPr>
        <w:tabs>
          <w:tab w:val="left" w:pos="1440"/>
          <w:tab w:val="left" w:pos="2340"/>
        </w:tabs>
        <w:spacing w:after="240"/>
        <w:ind w:left="3420" w:hanging="2700"/>
        <w:rPr>
          <w:szCs w:val="24"/>
        </w:rPr>
      </w:pPr>
      <w:r w:rsidRPr="00B6651E">
        <w:rPr>
          <w:szCs w:val="24"/>
        </w:rPr>
        <w:t xml:space="preserve">CMPRALA </w:t>
      </w:r>
      <w:r w:rsidRPr="00B6651E">
        <w:rPr>
          <w:i/>
          <w:iCs/>
          <w:kern w:val="2"/>
          <w:sz w:val="20"/>
          <w:szCs w:val="24"/>
          <w:vertAlign w:val="subscript"/>
        </w:rPr>
        <w:t>q, r, p, i</w:t>
      </w:r>
      <w:r w:rsidRPr="00B6651E">
        <w:rPr>
          <w:i/>
          <w:szCs w:val="24"/>
          <w:vertAlign w:val="subscript"/>
        </w:rPr>
        <w:t xml:space="preserve"> </w:t>
      </w:r>
      <w:r w:rsidRPr="00B6651E">
        <w:rPr>
          <w:szCs w:val="24"/>
          <w:lang w:val="pt-BR"/>
        </w:rPr>
        <w:t xml:space="preserve">= </w:t>
      </w:r>
      <w:r w:rsidRPr="00B6651E">
        <w:rPr>
          <w:szCs w:val="24"/>
        </w:rPr>
        <w:t>Min ($500,000</w:t>
      </w:r>
      <w:r w:rsidRPr="00B6651E">
        <w:rPr>
          <w:i/>
          <w:iCs/>
          <w:szCs w:val="24"/>
        </w:rPr>
        <w:t xml:space="preserve">, </w:t>
      </w:r>
      <w:r w:rsidRPr="00B6651E">
        <w:rPr>
          <w:szCs w:val="24"/>
        </w:rPr>
        <w:t xml:space="preserve">CMPRAL </w:t>
      </w:r>
      <w:r w:rsidRPr="00B6651E">
        <w:rPr>
          <w:i/>
          <w:iCs/>
          <w:kern w:val="2"/>
          <w:sz w:val="20"/>
          <w:szCs w:val="24"/>
          <w:vertAlign w:val="subscript"/>
        </w:rPr>
        <w:t>q, r, p</w:t>
      </w:r>
      <w:r w:rsidRPr="00B6651E">
        <w:rPr>
          <w:szCs w:val="24"/>
        </w:rPr>
        <w:t>) / Total number of intervals in CMP period</w:t>
      </w:r>
    </w:p>
    <w:p w14:paraId="7077D04D" w14:textId="77777777" w:rsidR="00B6651E" w:rsidRPr="00B6651E" w:rsidRDefault="00B6651E" w:rsidP="00494238">
      <w:pPr>
        <w:tabs>
          <w:tab w:val="left" w:pos="1440"/>
          <w:tab w:val="left" w:pos="2340"/>
        </w:tabs>
        <w:spacing w:after="240"/>
        <w:ind w:left="3420" w:hanging="2700"/>
        <w:rPr>
          <w:szCs w:val="24"/>
        </w:rPr>
      </w:pPr>
      <w:r w:rsidRPr="00B6651E">
        <w:rPr>
          <w:szCs w:val="24"/>
        </w:rPr>
        <w:t xml:space="preserve">And, </w:t>
      </w:r>
    </w:p>
    <w:p w14:paraId="3F7F0CC3" w14:textId="0867D879" w:rsidR="00B6651E" w:rsidRPr="00B6651E" w:rsidRDefault="00B6651E" w:rsidP="00494238">
      <w:pPr>
        <w:tabs>
          <w:tab w:val="left" w:pos="1440"/>
          <w:tab w:val="left" w:pos="2340"/>
        </w:tabs>
        <w:spacing w:after="240"/>
        <w:ind w:left="720"/>
        <w:rPr>
          <w:color w:val="000000"/>
          <w:szCs w:val="24"/>
        </w:rPr>
      </w:pPr>
      <w:r w:rsidRPr="00B6651E">
        <w:rPr>
          <w:color w:val="000000"/>
          <w:szCs w:val="24"/>
        </w:rPr>
        <w:t xml:space="preserve">Where on the first Operating Day of the period determined in paragraph (4) above, a cold </w:t>
      </w:r>
      <w:r w:rsidR="00494238">
        <w:rPr>
          <w:color w:val="000000"/>
          <w:szCs w:val="24"/>
        </w:rPr>
        <w:t>S</w:t>
      </w:r>
      <w:r w:rsidRPr="00B6651E">
        <w:rPr>
          <w:color w:val="000000"/>
          <w:szCs w:val="24"/>
        </w:rPr>
        <w:t xml:space="preserve">tartup </w:t>
      </w:r>
      <w:r w:rsidR="00494238">
        <w:rPr>
          <w:color w:val="000000"/>
          <w:szCs w:val="24"/>
        </w:rPr>
        <w:t>C</w:t>
      </w:r>
      <w:r w:rsidRPr="00B6651E">
        <w:rPr>
          <w:color w:val="000000"/>
          <w:szCs w:val="24"/>
        </w:rPr>
        <w:t xml:space="preserve">ost is allocated evenly across the CMP event intervals.  Subsequent Operating Days in the CMP event will not have </w:t>
      </w:r>
      <w:r w:rsidR="00494238">
        <w:rPr>
          <w:color w:val="000000"/>
          <w:szCs w:val="24"/>
        </w:rPr>
        <w:t>S</w:t>
      </w:r>
      <w:r w:rsidRPr="00B6651E">
        <w:rPr>
          <w:color w:val="000000"/>
          <w:szCs w:val="24"/>
        </w:rPr>
        <w:t xml:space="preserve">tartup </w:t>
      </w:r>
      <w:r w:rsidR="00494238">
        <w:rPr>
          <w:color w:val="000000"/>
          <w:szCs w:val="24"/>
        </w:rPr>
        <w:t>C</w:t>
      </w:r>
      <w:r w:rsidRPr="00B6651E">
        <w:rPr>
          <w:color w:val="000000"/>
          <w:szCs w:val="24"/>
        </w:rPr>
        <w:t>ost allocations.</w:t>
      </w:r>
    </w:p>
    <w:p w14:paraId="0819792C" w14:textId="249C7C70" w:rsidR="00B6651E" w:rsidRPr="00B6651E" w:rsidRDefault="00B6651E" w:rsidP="00494238">
      <w:pPr>
        <w:tabs>
          <w:tab w:val="left" w:pos="1440"/>
          <w:tab w:val="left" w:pos="2340"/>
        </w:tabs>
        <w:spacing w:after="240"/>
        <w:ind w:left="3420" w:hanging="2700"/>
        <w:rPr>
          <w:szCs w:val="24"/>
        </w:rPr>
      </w:pPr>
      <w:r w:rsidRPr="00B6651E">
        <w:rPr>
          <w:szCs w:val="24"/>
        </w:rPr>
        <w:t xml:space="preserve">CMPSUPR </w:t>
      </w:r>
      <w:r w:rsidRPr="00B6651E">
        <w:rPr>
          <w:i/>
          <w:iCs/>
          <w:kern w:val="2"/>
          <w:sz w:val="20"/>
          <w:szCs w:val="24"/>
          <w:vertAlign w:val="subscript"/>
        </w:rPr>
        <w:t>q, r, p, i</w:t>
      </w:r>
      <w:r w:rsidRPr="00B6651E">
        <w:rPr>
          <w:kern w:val="2"/>
          <w:sz w:val="20"/>
          <w:szCs w:val="24"/>
        </w:rPr>
        <w:t xml:space="preserve"> </w:t>
      </w:r>
      <w:r w:rsidRPr="00B6651E">
        <w:rPr>
          <w:szCs w:val="24"/>
          <w:lang w:val="pt-BR"/>
        </w:rPr>
        <w:t xml:space="preserve">= </w:t>
      </w:r>
      <w:r w:rsidRPr="00B6651E">
        <w:rPr>
          <w:szCs w:val="24"/>
        </w:rPr>
        <w:t>CMPSUCAP</w:t>
      </w:r>
      <w:r w:rsidRPr="00B6651E">
        <w:rPr>
          <w:bCs/>
          <w:iCs/>
          <w:szCs w:val="24"/>
        </w:rPr>
        <w:t xml:space="preserve"> </w:t>
      </w:r>
      <w:r w:rsidRPr="00B6651E">
        <w:rPr>
          <w:bCs/>
          <w:i/>
          <w:iCs/>
          <w:kern w:val="2"/>
          <w:sz w:val="20"/>
          <w:szCs w:val="24"/>
          <w:vertAlign w:val="subscript"/>
        </w:rPr>
        <w:t>q, r, p, cold</w:t>
      </w:r>
      <w:r w:rsidRPr="00B6651E">
        <w:rPr>
          <w:szCs w:val="24"/>
        </w:rPr>
        <w:t xml:space="preserve"> / Total number of CMP period intervals in the first Operating Day of the CMP event</w:t>
      </w:r>
    </w:p>
    <w:p w14:paraId="544A48C7" w14:textId="77777777" w:rsidR="00B6651E" w:rsidRPr="00B6651E" w:rsidRDefault="00B6651E" w:rsidP="00B6651E">
      <w:pPr>
        <w:rPr>
          <w:color w:val="000000"/>
          <w:szCs w:val="24"/>
        </w:rPr>
      </w:pPr>
      <w:r w:rsidRPr="00B6651E">
        <w:rPr>
          <w:color w:val="000000"/>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3"/>
        <w:gridCol w:w="860"/>
        <w:gridCol w:w="6627"/>
      </w:tblGrid>
      <w:tr w:rsidR="00B6651E" w:rsidRPr="00B6651E" w14:paraId="0A5FCAFF" w14:textId="77777777" w:rsidTr="00E844EE">
        <w:trPr>
          <w:cantSplit/>
          <w:trHeight w:val="146"/>
          <w:tblHeader/>
        </w:trPr>
        <w:tc>
          <w:tcPr>
            <w:tcW w:w="996" w:type="pct"/>
            <w:tcBorders>
              <w:top w:val="single" w:sz="4" w:space="0" w:color="auto"/>
              <w:left w:val="single" w:sz="4" w:space="0" w:color="auto"/>
              <w:bottom w:val="single" w:sz="4" w:space="0" w:color="auto"/>
              <w:right w:val="single" w:sz="4" w:space="0" w:color="auto"/>
            </w:tcBorders>
            <w:hideMark/>
          </w:tcPr>
          <w:p w14:paraId="40D6D22F" w14:textId="77777777" w:rsidR="00B6651E" w:rsidRPr="00B6651E" w:rsidRDefault="00B6651E" w:rsidP="00494238">
            <w:pPr>
              <w:spacing w:after="240"/>
              <w:rPr>
                <w:b/>
                <w:iCs/>
                <w:kern w:val="2"/>
                <w:sz w:val="20"/>
                <w:szCs w:val="24"/>
              </w:rPr>
            </w:pPr>
            <w:r w:rsidRPr="00B6651E">
              <w:rPr>
                <w:b/>
                <w:iCs/>
                <w:kern w:val="2"/>
                <w:sz w:val="20"/>
                <w:szCs w:val="24"/>
              </w:rPr>
              <w:t>Variable</w:t>
            </w:r>
          </w:p>
        </w:tc>
        <w:tc>
          <w:tcPr>
            <w:tcW w:w="460" w:type="pct"/>
            <w:tcBorders>
              <w:top w:val="single" w:sz="4" w:space="0" w:color="auto"/>
              <w:left w:val="single" w:sz="4" w:space="0" w:color="auto"/>
              <w:bottom w:val="single" w:sz="4" w:space="0" w:color="auto"/>
              <w:right w:val="single" w:sz="4" w:space="0" w:color="auto"/>
            </w:tcBorders>
            <w:hideMark/>
          </w:tcPr>
          <w:p w14:paraId="0C4A3164" w14:textId="77777777" w:rsidR="00B6651E" w:rsidRPr="00B6651E" w:rsidRDefault="00B6651E" w:rsidP="00494238">
            <w:pPr>
              <w:spacing w:after="240"/>
              <w:rPr>
                <w:b/>
                <w:iCs/>
                <w:kern w:val="2"/>
                <w:sz w:val="20"/>
                <w:szCs w:val="24"/>
              </w:rPr>
            </w:pPr>
            <w:r w:rsidRPr="00B6651E">
              <w:rPr>
                <w:b/>
                <w:iCs/>
                <w:kern w:val="2"/>
                <w:sz w:val="20"/>
                <w:szCs w:val="24"/>
              </w:rPr>
              <w:t>Unit</w:t>
            </w:r>
          </w:p>
        </w:tc>
        <w:tc>
          <w:tcPr>
            <w:tcW w:w="3544" w:type="pct"/>
            <w:tcBorders>
              <w:top w:val="single" w:sz="4" w:space="0" w:color="auto"/>
              <w:left w:val="single" w:sz="4" w:space="0" w:color="auto"/>
              <w:bottom w:val="single" w:sz="4" w:space="0" w:color="auto"/>
              <w:right w:val="single" w:sz="4" w:space="0" w:color="auto"/>
            </w:tcBorders>
            <w:hideMark/>
          </w:tcPr>
          <w:p w14:paraId="1555746A" w14:textId="77777777" w:rsidR="00B6651E" w:rsidRPr="00B6651E" w:rsidRDefault="00B6651E" w:rsidP="00494238">
            <w:pPr>
              <w:spacing w:after="240"/>
              <w:rPr>
                <w:b/>
                <w:iCs/>
                <w:kern w:val="2"/>
                <w:sz w:val="20"/>
                <w:szCs w:val="24"/>
              </w:rPr>
            </w:pPr>
            <w:r w:rsidRPr="00B6651E">
              <w:rPr>
                <w:b/>
                <w:iCs/>
                <w:kern w:val="2"/>
                <w:sz w:val="20"/>
                <w:szCs w:val="24"/>
              </w:rPr>
              <w:t>Definition</w:t>
            </w:r>
          </w:p>
        </w:tc>
      </w:tr>
      <w:tr w:rsidR="00B6651E" w:rsidRPr="00B6651E" w14:paraId="5A6E8231" w14:textId="77777777" w:rsidTr="00E844EE">
        <w:trPr>
          <w:cantSplit/>
          <w:trHeight w:val="146"/>
        </w:trPr>
        <w:tc>
          <w:tcPr>
            <w:tcW w:w="996" w:type="pct"/>
            <w:tcBorders>
              <w:top w:val="single" w:sz="4" w:space="0" w:color="auto"/>
              <w:left w:val="single" w:sz="4" w:space="0" w:color="auto"/>
              <w:bottom w:val="single" w:sz="4" w:space="0" w:color="auto"/>
              <w:right w:val="single" w:sz="4" w:space="0" w:color="auto"/>
            </w:tcBorders>
          </w:tcPr>
          <w:p w14:paraId="17FB4CDD" w14:textId="77777777" w:rsidR="00B6651E" w:rsidRPr="00B6651E" w:rsidRDefault="00B6651E" w:rsidP="00494238">
            <w:pPr>
              <w:spacing w:after="60"/>
              <w:rPr>
                <w:iCs/>
                <w:kern w:val="2"/>
                <w:sz w:val="20"/>
                <w:szCs w:val="24"/>
              </w:rPr>
            </w:pPr>
            <w:r w:rsidRPr="00B6651E">
              <w:rPr>
                <w:iCs/>
                <w:kern w:val="2"/>
                <w:sz w:val="20"/>
                <w:szCs w:val="24"/>
              </w:rPr>
              <w:t>CMPCRAMT</w:t>
            </w:r>
            <w:r w:rsidRPr="00B6651E">
              <w:rPr>
                <w:bCs/>
                <w:i/>
                <w:iCs/>
                <w:kern w:val="2"/>
                <w:sz w:val="20"/>
                <w:szCs w:val="24"/>
                <w:vertAlign w:val="subscript"/>
              </w:rPr>
              <w:t xml:space="preserve"> q, r, p, i</w:t>
            </w:r>
          </w:p>
        </w:tc>
        <w:tc>
          <w:tcPr>
            <w:tcW w:w="460" w:type="pct"/>
            <w:tcBorders>
              <w:top w:val="single" w:sz="4" w:space="0" w:color="auto"/>
              <w:left w:val="single" w:sz="4" w:space="0" w:color="auto"/>
              <w:bottom w:val="single" w:sz="4" w:space="0" w:color="auto"/>
              <w:right w:val="single" w:sz="4" w:space="0" w:color="auto"/>
            </w:tcBorders>
          </w:tcPr>
          <w:p w14:paraId="1EC084EB" w14:textId="77777777" w:rsidR="00B6651E" w:rsidRPr="00B6651E" w:rsidRDefault="00B6651E" w:rsidP="00494238">
            <w:pPr>
              <w:spacing w:after="60"/>
              <w:rPr>
                <w:iCs/>
                <w:kern w:val="2"/>
                <w:sz w:val="20"/>
                <w:szCs w:val="24"/>
              </w:rPr>
            </w:pPr>
            <w:r w:rsidRPr="00B6651E">
              <w:rPr>
                <w:szCs w:val="24"/>
              </w:rPr>
              <w:t>$</w:t>
            </w:r>
          </w:p>
        </w:tc>
        <w:tc>
          <w:tcPr>
            <w:tcW w:w="3544" w:type="pct"/>
            <w:tcBorders>
              <w:top w:val="single" w:sz="4" w:space="0" w:color="auto"/>
              <w:left w:val="single" w:sz="4" w:space="0" w:color="auto"/>
              <w:bottom w:val="single" w:sz="4" w:space="0" w:color="auto"/>
              <w:right w:val="single" w:sz="4" w:space="0" w:color="auto"/>
            </w:tcBorders>
          </w:tcPr>
          <w:p w14:paraId="5AB7DB8C" w14:textId="18FA64AE" w:rsidR="00B6651E" w:rsidRPr="00B6651E" w:rsidRDefault="00B6651E" w:rsidP="00494238">
            <w:pPr>
              <w:spacing w:after="60"/>
              <w:rPr>
                <w:i/>
                <w:iCs/>
                <w:kern w:val="2"/>
                <w:sz w:val="20"/>
                <w:szCs w:val="24"/>
              </w:rPr>
            </w:pPr>
            <w:r w:rsidRPr="00B6651E">
              <w:rPr>
                <w:i/>
                <w:iCs/>
                <w:kern w:val="2"/>
                <w:sz w:val="20"/>
              </w:rPr>
              <w:t>Constraint Management Plan Cost Recovery Amount</w:t>
            </w:r>
            <w:r w:rsidRPr="00B6651E">
              <w:rPr>
                <w:szCs w:val="24"/>
              </w:rPr>
              <w:t xml:space="preserve"> </w:t>
            </w:r>
            <w:r w:rsidRPr="00494238">
              <w:rPr>
                <w:i/>
                <w:iCs/>
                <w:sz w:val="20"/>
              </w:rPr>
              <w:t>per QSE per Generation Resource</w:t>
            </w:r>
            <w:r w:rsidRPr="00B6651E">
              <w:rPr>
                <w:sz w:val="20"/>
              </w:rPr>
              <w:t xml:space="preserve">—The payment to QSE </w:t>
            </w:r>
            <w:r w:rsidRPr="00B6651E">
              <w:rPr>
                <w:i/>
                <w:iCs/>
                <w:sz w:val="20"/>
              </w:rPr>
              <w:t>q</w:t>
            </w:r>
            <w:r w:rsidRPr="00B6651E">
              <w:rPr>
                <w:sz w:val="20"/>
              </w:rPr>
              <w:t xml:space="preserve"> during eligible intervals of a Resource</w:t>
            </w:r>
            <w:r w:rsidR="00891503" w:rsidRPr="00B6651E">
              <w:rPr>
                <w:sz w:val="20"/>
              </w:rPr>
              <w:t xml:space="preserve"> </w:t>
            </w:r>
            <w:r w:rsidRPr="00B6651E">
              <w:rPr>
                <w:sz w:val="20"/>
              </w:rPr>
              <w:t xml:space="preserve">trip offline from an </w:t>
            </w:r>
            <w:r w:rsidRPr="00B6651E">
              <w:rPr>
                <w:iCs/>
                <w:kern w:val="2"/>
                <w:sz w:val="20"/>
                <w:szCs w:val="24"/>
              </w:rPr>
              <w:t>ERCOT-issued</w:t>
            </w:r>
            <w:r w:rsidRPr="00B6651E">
              <w:rPr>
                <w:sz w:val="20"/>
              </w:rPr>
              <w:t xml:space="preserve"> CMP unit trip or equivalent VDI for Resource </w:t>
            </w:r>
            <w:r w:rsidRPr="00B6651E">
              <w:rPr>
                <w:i/>
                <w:iCs/>
                <w:sz w:val="20"/>
              </w:rPr>
              <w:t>r</w:t>
            </w:r>
            <w:r w:rsidRPr="00B6651E">
              <w:rPr>
                <w:sz w:val="20"/>
              </w:rPr>
              <w:t xml:space="preserve">, at Settlement Point </w:t>
            </w:r>
            <w:r w:rsidRPr="00B6651E">
              <w:rPr>
                <w:i/>
                <w:iCs/>
                <w:sz w:val="20"/>
              </w:rPr>
              <w:t>p</w:t>
            </w:r>
            <w:r w:rsidRPr="00B6651E">
              <w:rPr>
                <w:sz w:val="20"/>
              </w:rPr>
              <w:t xml:space="preserve"> for the 15-minute Settlement Interval </w:t>
            </w:r>
            <w:r w:rsidRPr="00B6651E">
              <w:rPr>
                <w:i/>
                <w:iCs/>
                <w:sz w:val="20"/>
              </w:rPr>
              <w:t>i</w:t>
            </w:r>
            <w:r w:rsidRPr="00B6651E">
              <w:rPr>
                <w:sz w:val="20"/>
              </w:rPr>
              <w:t xml:space="preserve">.  Where, for a Combined Cycle Resource, </w:t>
            </w:r>
            <w:r w:rsidRPr="00B6651E">
              <w:rPr>
                <w:i/>
                <w:iCs/>
                <w:sz w:val="20"/>
              </w:rPr>
              <w:t>r</w:t>
            </w:r>
            <w:r w:rsidRPr="00B6651E">
              <w:rPr>
                <w:sz w:val="20"/>
              </w:rPr>
              <w:t xml:space="preserve"> is a Combined Cycle Train.</w:t>
            </w:r>
          </w:p>
        </w:tc>
      </w:tr>
      <w:tr w:rsidR="00B6651E" w:rsidRPr="00B6651E" w14:paraId="00272005" w14:textId="77777777" w:rsidTr="00E844EE">
        <w:trPr>
          <w:cantSplit/>
          <w:trHeight w:val="146"/>
        </w:trPr>
        <w:tc>
          <w:tcPr>
            <w:tcW w:w="996" w:type="pct"/>
            <w:tcBorders>
              <w:top w:val="single" w:sz="4" w:space="0" w:color="auto"/>
              <w:left w:val="single" w:sz="4" w:space="0" w:color="auto"/>
              <w:bottom w:val="single" w:sz="4" w:space="0" w:color="auto"/>
              <w:right w:val="single" w:sz="4" w:space="0" w:color="auto"/>
            </w:tcBorders>
          </w:tcPr>
          <w:p w14:paraId="5C858710" w14:textId="77777777" w:rsidR="00B6651E" w:rsidRPr="00B6651E" w:rsidRDefault="00B6651E" w:rsidP="00494238">
            <w:pPr>
              <w:spacing w:after="60"/>
              <w:rPr>
                <w:iCs/>
                <w:kern w:val="2"/>
                <w:sz w:val="20"/>
                <w:szCs w:val="24"/>
              </w:rPr>
            </w:pPr>
            <w:r w:rsidRPr="00B6651E">
              <w:rPr>
                <w:iCs/>
                <w:kern w:val="2"/>
                <w:sz w:val="20"/>
                <w:szCs w:val="24"/>
              </w:rPr>
              <w:t>CMPFALA</w:t>
            </w:r>
            <w:r w:rsidRPr="00B6651E">
              <w:rPr>
                <w:szCs w:val="24"/>
              </w:rPr>
              <w:t xml:space="preserve"> </w:t>
            </w:r>
            <w:r w:rsidRPr="00B6651E">
              <w:rPr>
                <w:bCs/>
                <w:i/>
                <w:iCs/>
                <w:kern w:val="2"/>
                <w:sz w:val="20"/>
                <w:szCs w:val="24"/>
                <w:vertAlign w:val="subscript"/>
              </w:rPr>
              <w:t>q, r, p, i</w:t>
            </w:r>
          </w:p>
        </w:tc>
        <w:tc>
          <w:tcPr>
            <w:tcW w:w="460" w:type="pct"/>
            <w:tcBorders>
              <w:top w:val="single" w:sz="4" w:space="0" w:color="auto"/>
              <w:left w:val="single" w:sz="4" w:space="0" w:color="auto"/>
              <w:bottom w:val="single" w:sz="4" w:space="0" w:color="auto"/>
              <w:right w:val="single" w:sz="4" w:space="0" w:color="auto"/>
            </w:tcBorders>
          </w:tcPr>
          <w:p w14:paraId="099B54EC" w14:textId="77777777" w:rsidR="00B6651E" w:rsidRPr="00B6651E" w:rsidRDefault="00B6651E" w:rsidP="00494238">
            <w:pPr>
              <w:spacing w:after="60"/>
              <w:rPr>
                <w:szCs w:val="24"/>
              </w:rPr>
            </w:pPr>
            <w:r w:rsidRPr="00B6651E">
              <w:rPr>
                <w:szCs w:val="24"/>
              </w:rPr>
              <w:t>$</w:t>
            </w:r>
          </w:p>
        </w:tc>
        <w:tc>
          <w:tcPr>
            <w:tcW w:w="3544" w:type="pct"/>
            <w:tcBorders>
              <w:top w:val="single" w:sz="4" w:space="0" w:color="auto"/>
              <w:left w:val="single" w:sz="4" w:space="0" w:color="auto"/>
              <w:bottom w:val="single" w:sz="4" w:space="0" w:color="auto"/>
              <w:right w:val="single" w:sz="4" w:space="0" w:color="auto"/>
            </w:tcBorders>
          </w:tcPr>
          <w:p w14:paraId="271588A0" w14:textId="08B96210" w:rsidR="00B6651E" w:rsidRPr="00B6651E" w:rsidRDefault="00B6651E" w:rsidP="00494238">
            <w:pPr>
              <w:spacing w:after="60"/>
              <w:rPr>
                <w:i/>
                <w:iCs/>
                <w:kern w:val="2"/>
                <w:sz w:val="20"/>
              </w:rPr>
            </w:pPr>
            <w:r w:rsidRPr="00B6651E">
              <w:rPr>
                <w:i/>
                <w:iCs/>
                <w:sz w:val="20"/>
              </w:rPr>
              <w:t xml:space="preserve">Constraint Management Plan Financial </w:t>
            </w:r>
            <w:r w:rsidRPr="00B6651E">
              <w:rPr>
                <w:i/>
                <w:iCs/>
                <w:kern w:val="2"/>
                <w:sz w:val="20"/>
              </w:rPr>
              <w:t>Attested Losses</w:t>
            </w:r>
            <w:r w:rsidRPr="00B6651E">
              <w:rPr>
                <w:i/>
                <w:iCs/>
                <w:sz w:val="20"/>
              </w:rPr>
              <w:t xml:space="preserve"> Allowed per QSE per Generation Resource</w:t>
            </w:r>
            <w:r w:rsidRPr="00B6651E">
              <w:rPr>
                <w:sz w:val="20"/>
              </w:rPr>
              <w:t>—</w:t>
            </w:r>
            <w:r w:rsidRPr="00B6651E">
              <w:rPr>
                <w:iCs/>
                <w:sz w:val="20"/>
                <w:szCs w:val="24"/>
              </w:rPr>
              <w:t xml:space="preserve">The payment for financial attested losses to QSE </w:t>
            </w:r>
            <w:r w:rsidRPr="00B6651E">
              <w:rPr>
                <w:i/>
                <w:iCs/>
                <w:sz w:val="20"/>
                <w:szCs w:val="24"/>
              </w:rPr>
              <w:t>q</w:t>
            </w:r>
            <w:r w:rsidRPr="00B6651E">
              <w:rPr>
                <w:iCs/>
                <w:sz w:val="20"/>
                <w:szCs w:val="24"/>
              </w:rPr>
              <w:t xml:space="preserve"> for an </w:t>
            </w:r>
            <w:r w:rsidRPr="00B6651E">
              <w:rPr>
                <w:iCs/>
                <w:kern w:val="2"/>
                <w:sz w:val="20"/>
                <w:szCs w:val="24"/>
              </w:rPr>
              <w:t>ERCOT-issued</w:t>
            </w:r>
            <w:r w:rsidRPr="00B6651E">
              <w:rPr>
                <w:iCs/>
                <w:sz w:val="20"/>
                <w:szCs w:val="24"/>
              </w:rPr>
              <w:t xml:space="preserve"> CMP unit trip or equivalent VDI for Generation Resource </w:t>
            </w:r>
            <w:r w:rsidRPr="00B6651E">
              <w:rPr>
                <w:i/>
                <w:iCs/>
                <w:sz w:val="20"/>
                <w:szCs w:val="24"/>
              </w:rPr>
              <w:t>r,</w:t>
            </w:r>
            <w:r w:rsidRPr="00B6651E">
              <w:rPr>
                <w:iCs/>
                <w:sz w:val="20"/>
                <w:szCs w:val="24"/>
              </w:rPr>
              <w:t xml:space="preserve"> at Settlement Point </w:t>
            </w:r>
            <w:r w:rsidRPr="00B6651E">
              <w:rPr>
                <w:i/>
                <w:iCs/>
                <w:sz w:val="20"/>
                <w:szCs w:val="24"/>
              </w:rPr>
              <w:t xml:space="preserve">p </w:t>
            </w:r>
            <w:r w:rsidRPr="00B6651E">
              <w:rPr>
                <w:iCs/>
                <w:sz w:val="20"/>
                <w:szCs w:val="24"/>
              </w:rPr>
              <w:t xml:space="preserve">for the 15-minute Settlement Interval </w:t>
            </w:r>
            <w:r w:rsidRPr="00B6651E">
              <w:rPr>
                <w:i/>
                <w:iCs/>
                <w:sz w:val="20"/>
                <w:szCs w:val="24"/>
              </w:rPr>
              <w:t>i</w:t>
            </w:r>
            <w:r w:rsidRPr="00B6651E">
              <w:rPr>
                <w:iCs/>
                <w:sz w:val="20"/>
                <w:szCs w:val="24"/>
              </w:rPr>
              <w:t xml:space="preserve">.  Where, for a Combined Cycle Resource, </w:t>
            </w:r>
            <w:r w:rsidRPr="00B6651E">
              <w:rPr>
                <w:i/>
                <w:iCs/>
                <w:sz w:val="20"/>
                <w:szCs w:val="24"/>
              </w:rPr>
              <w:t>r</w:t>
            </w:r>
            <w:r w:rsidRPr="00B6651E">
              <w:rPr>
                <w:iCs/>
                <w:sz w:val="20"/>
                <w:szCs w:val="24"/>
              </w:rPr>
              <w:t xml:space="preserve"> is a Combined Cycle Train.</w:t>
            </w:r>
          </w:p>
        </w:tc>
      </w:tr>
      <w:tr w:rsidR="00B6651E" w:rsidRPr="00B6651E" w14:paraId="05AABEE3" w14:textId="77777777" w:rsidTr="00E844EE">
        <w:trPr>
          <w:cantSplit/>
          <w:trHeight w:val="146"/>
        </w:trPr>
        <w:tc>
          <w:tcPr>
            <w:tcW w:w="996" w:type="pct"/>
            <w:tcBorders>
              <w:top w:val="single" w:sz="4" w:space="0" w:color="auto"/>
              <w:left w:val="single" w:sz="4" w:space="0" w:color="auto"/>
              <w:bottom w:val="single" w:sz="4" w:space="0" w:color="auto"/>
              <w:right w:val="single" w:sz="4" w:space="0" w:color="auto"/>
            </w:tcBorders>
          </w:tcPr>
          <w:p w14:paraId="780414A3" w14:textId="77777777" w:rsidR="00B6651E" w:rsidRPr="00B6651E" w:rsidRDefault="00B6651E" w:rsidP="00494238">
            <w:pPr>
              <w:spacing w:after="60"/>
              <w:rPr>
                <w:iCs/>
                <w:kern w:val="2"/>
                <w:sz w:val="20"/>
                <w:szCs w:val="24"/>
              </w:rPr>
            </w:pPr>
            <w:r w:rsidRPr="00B6651E">
              <w:rPr>
                <w:sz w:val="20"/>
              </w:rPr>
              <w:t>CMPFAL</w:t>
            </w:r>
            <w:r w:rsidRPr="00B6651E">
              <w:rPr>
                <w:szCs w:val="24"/>
              </w:rPr>
              <w:t xml:space="preserve"> </w:t>
            </w:r>
            <w:r w:rsidRPr="00B6651E">
              <w:rPr>
                <w:bCs/>
                <w:i/>
                <w:iCs/>
                <w:kern w:val="2"/>
                <w:sz w:val="20"/>
                <w:szCs w:val="24"/>
                <w:vertAlign w:val="subscript"/>
              </w:rPr>
              <w:t>q, r, p, i</w:t>
            </w:r>
          </w:p>
        </w:tc>
        <w:tc>
          <w:tcPr>
            <w:tcW w:w="460" w:type="pct"/>
            <w:tcBorders>
              <w:top w:val="single" w:sz="4" w:space="0" w:color="auto"/>
              <w:left w:val="single" w:sz="4" w:space="0" w:color="auto"/>
              <w:bottom w:val="single" w:sz="4" w:space="0" w:color="auto"/>
              <w:right w:val="single" w:sz="4" w:space="0" w:color="auto"/>
            </w:tcBorders>
          </w:tcPr>
          <w:p w14:paraId="4F98B397" w14:textId="77777777" w:rsidR="00B6651E" w:rsidRPr="00B6651E" w:rsidRDefault="00B6651E" w:rsidP="00494238">
            <w:pPr>
              <w:spacing w:after="60"/>
              <w:rPr>
                <w:iCs/>
                <w:kern w:val="2"/>
                <w:sz w:val="20"/>
                <w:szCs w:val="24"/>
              </w:rPr>
            </w:pPr>
            <w:r w:rsidRPr="00B6651E">
              <w:rPr>
                <w:szCs w:val="24"/>
              </w:rPr>
              <w:t>$</w:t>
            </w:r>
          </w:p>
        </w:tc>
        <w:tc>
          <w:tcPr>
            <w:tcW w:w="3544" w:type="pct"/>
            <w:tcBorders>
              <w:top w:val="single" w:sz="4" w:space="0" w:color="auto"/>
              <w:left w:val="single" w:sz="4" w:space="0" w:color="auto"/>
              <w:bottom w:val="single" w:sz="4" w:space="0" w:color="auto"/>
              <w:right w:val="single" w:sz="4" w:space="0" w:color="auto"/>
            </w:tcBorders>
          </w:tcPr>
          <w:p w14:paraId="302E922E" w14:textId="044EF758" w:rsidR="00B6651E" w:rsidRPr="00B6651E" w:rsidRDefault="00B6651E" w:rsidP="00494238">
            <w:pPr>
              <w:spacing w:after="60"/>
              <w:rPr>
                <w:i/>
                <w:iCs/>
                <w:kern w:val="2"/>
                <w:sz w:val="20"/>
              </w:rPr>
            </w:pPr>
            <w:r w:rsidRPr="00B6651E">
              <w:rPr>
                <w:i/>
                <w:iCs/>
                <w:kern w:val="2"/>
                <w:sz w:val="20"/>
              </w:rPr>
              <w:t>Constraint Management Plan Demonstrable Financial Attested Losses</w:t>
            </w:r>
            <w:r w:rsidRPr="00B6651E">
              <w:rPr>
                <w:sz w:val="20"/>
              </w:rPr>
              <w:t xml:space="preserve">—The demonstrable financial loss to QSE </w:t>
            </w:r>
            <w:r w:rsidRPr="00B6651E">
              <w:rPr>
                <w:i/>
                <w:iCs/>
                <w:sz w:val="20"/>
              </w:rPr>
              <w:t>q</w:t>
            </w:r>
            <w:r w:rsidRPr="00B6651E">
              <w:rPr>
                <w:sz w:val="20"/>
              </w:rPr>
              <w:t xml:space="preserve"> for Resource </w:t>
            </w:r>
            <w:r w:rsidRPr="00B6651E">
              <w:rPr>
                <w:i/>
                <w:iCs/>
                <w:sz w:val="20"/>
              </w:rPr>
              <w:t xml:space="preserve">r, </w:t>
            </w:r>
            <w:r w:rsidRPr="00B6651E">
              <w:rPr>
                <w:sz w:val="20"/>
              </w:rPr>
              <w:t xml:space="preserve">at Settlement Point </w:t>
            </w:r>
            <w:r w:rsidRPr="00B6651E">
              <w:rPr>
                <w:i/>
                <w:iCs/>
                <w:sz w:val="20"/>
              </w:rPr>
              <w:t>p</w:t>
            </w:r>
            <w:r w:rsidRPr="00B6651E">
              <w:rPr>
                <w:sz w:val="20"/>
              </w:rPr>
              <w:t xml:space="preserve"> due to </w:t>
            </w:r>
            <w:r w:rsidRPr="00B6651E">
              <w:rPr>
                <w:iCs/>
                <w:sz w:val="20"/>
                <w:szCs w:val="24"/>
              </w:rPr>
              <w:t xml:space="preserve">an </w:t>
            </w:r>
            <w:r w:rsidRPr="00B6651E">
              <w:rPr>
                <w:iCs/>
                <w:kern w:val="2"/>
                <w:sz w:val="20"/>
                <w:szCs w:val="24"/>
              </w:rPr>
              <w:t>ERCOT-issued</w:t>
            </w:r>
            <w:r w:rsidRPr="00B6651E">
              <w:rPr>
                <w:iCs/>
                <w:sz w:val="20"/>
                <w:szCs w:val="24"/>
              </w:rPr>
              <w:t xml:space="preserve"> CMP unit trip or equivalent VDI, </w:t>
            </w:r>
            <w:r w:rsidRPr="00B6651E">
              <w:rPr>
                <w:sz w:val="20"/>
              </w:rPr>
              <w:t>as attested by the QSE</w:t>
            </w:r>
            <w:r w:rsidR="004E28B2">
              <w:rPr>
                <w:sz w:val="20"/>
              </w:rPr>
              <w:t xml:space="preserve"> </w:t>
            </w:r>
            <w:r w:rsidRPr="00B6651E">
              <w:rPr>
                <w:sz w:val="20"/>
              </w:rPr>
              <w:t xml:space="preserve">, and in accordance with costs described in paragraph (2)(c)(ii)(A) above, for the 15-minute Settlement Interval </w:t>
            </w:r>
            <w:r w:rsidRPr="00B6651E">
              <w:rPr>
                <w:i/>
                <w:iCs/>
                <w:sz w:val="20"/>
              </w:rPr>
              <w:t>i</w:t>
            </w:r>
            <w:r w:rsidRPr="00B6651E">
              <w:rPr>
                <w:sz w:val="20"/>
              </w:rPr>
              <w:t xml:space="preserve">. </w:t>
            </w:r>
            <w:r w:rsidR="00693022">
              <w:rPr>
                <w:sz w:val="20"/>
              </w:rPr>
              <w:t xml:space="preserve"> </w:t>
            </w:r>
            <w:r w:rsidRPr="00B6651E">
              <w:rPr>
                <w:iCs/>
                <w:sz w:val="20"/>
                <w:szCs w:val="24"/>
              </w:rPr>
              <w:t xml:space="preserve">Where, for a </w:t>
            </w:r>
            <w:r w:rsidR="00446DBD">
              <w:rPr>
                <w:iCs/>
                <w:sz w:val="20"/>
                <w:szCs w:val="24"/>
              </w:rPr>
              <w:t>c</w:t>
            </w:r>
            <w:r w:rsidRPr="00B6651E">
              <w:rPr>
                <w:iCs/>
                <w:sz w:val="20"/>
                <w:szCs w:val="24"/>
              </w:rPr>
              <w:t xml:space="preserve">ombined </w:t>
            </w:r>
            <w:r w:rsidR="00446DBD">
              <w:rPr>
                <w:iCs/>
                <w:sz w:val="20"/>
                <w:szCs w:val="24"/>
              </w:rPr>
              <w:t>c</w:t>
            </w:r>
            <w:r w:rsidRPr="00B6651E">
              <w:rPr>
                <w:iCs/>
                <w:sz w:val="20"/>
                <w:szCs w:val="24"/>
              </w:rPr>
              <w:t xml:space="preserve">ycle Resource </w:t>
            </w:r>
            <w:r w:rsidRPr="00B6651E">
              <w:rPr>
                <w:i/>
                <w:iCs/>
                <w:sz w:val="20"/>
                <w:szCs w:val="24"/>
              </w:rPr>
              <w:t>r</w:t>
            </w:r>
            <w:r w:rsidRPr="00B6651E">
              <w:rPr>
                <w:iCs/>
                <w:sz w:val="20"/>
                <w:szCs w:val="24"/>
              </w:rPr>
              <w:t xml:space="preserve"> is a Combined Cycle Train.</w:t>
            </w:r>
          </w:p>
        </w:tc>
      </w:tr>
      <w:tr w:rsidR="00B6651E" w:rsidRPr="00B6651E" w14:paraId="30865537" w14:textId="77777777" w:rsidTr="00E844EE">
        <w:trPr>
          <w:cantSplit/>
          <w:trHeight w:val="146"/>
        </w:trPr>
        <w:tc>
          <w:tcPr>
            <w:tcW w:w="996" w:type="pct"/>
            <w:tcBorders>
              <w:top w:val="single" w:sz="4" w:space="0" w:color="auto"/>
              <w:left w:val="single" w:sz="4" w:space="0" w:color="auto"/>
              <w:bottom w:val="single" w:sz="4" w:space="0" w:color="auto"/>
              <w:right w:val="single" w:sz="4" w:space="0" w:color="auto"/>
            </w:tcBorders>
          </w:tcPr>
          <w:p w14:paraId="0269CB95" w14:textId="77777777" w:rsidR="00B6651E" w:rsidRPr="00B6651E" w:rsidRDefault="00B6651E" w:rsidP="00494238">
            <w:pPr>
              <w:spacing w:after="60"/>
              <w:rPr>
                <w:sz w:val="20"/>
              </w:rPr>
            </w:pPr>
            <w:r w:rsidRPr="00B6651E">
              <w:rPr>
                <w:sz w:val="20"/>
              </w:rPr>
              <w:lastRenderedPageBreak/>
              <w:t>CMPRALA</w:t>
            </w:r>
            <w:r w:rsidRPr="00B6651E">
              <w:rPr>
                <w:szCs w:val="24"/>
              </w:rPr>
              <w:t xml:space="preserve"> </w:t>
            </w:r>
            <w:r w:rsidRPr="00B6651E">
              <w:rPr>
                <w:bCs/>
                <w:i/>
                <w:iCs/>
                <w:kern w:val="2"/>
                <w:sz w:val="20"/>
                <w:szCs w:val="24"/>
                <w:vertAlign w:val="subscript"/>
              </w:rPr>
              <w:t>q, r, p, i</w:t>
            </w:r>
          </w:p>
        </w:tc>
        <w:tc>
          <w:tcPr>
            <w:tcW w:w="460" w:type="pct"/>
            <w:tcBorders>
              <w:top w:val="single" w:sz="4" w:space="0" w:color="auto"/>
              <w:left w:val="single" w:sz="4" w:space="0" w:color="auto"/>
              <w:bottom w:val="single" w:sz="4" w:space="0" w:color="auto"/>
              <w:right w:val="single" w:sz="4" w:space="0" w:color="auto"/>
            </w:tcBorders>
          </w:tcPr>
          <w:p w14:paraId="2FB3C0B0" w14:textId="77777777" w:rsidR="00B6651E" w:rsidRPr="00B6651E" w:rsidRDefault="00B6651E" w:rsidP="00494238">
            <w:pPr>
              <w:spacing w:after="60"/>
              <w:rPr>
                <w:szCs w:val="24"/>
              </w:rPr>
            </w:pPr>
            <w:r w:rsidRPr="00B6651E">
              <w:rPr>
                <w:szCs w:val="24"/>
              </w:rPr>
              <w:t>$</w:t>
            </w:r>
          </w:p>
        </w:tc>
        <w:tc>
          <w:tcPr>
            <w:tcW w:w="3544" w:type="pct"/>
            <w:tcBorders>
              <w:top w:val="single" w:sz="4" w:space="0" w:color="auto"/>
              <w:left w:val="single" w:sz="4" w:space="0" w:color="auto"/>
              <w:bottom w:val="single" w:sz="4" w:space="0" w:color="auto"/>
              <w:right w:val="single" w:sz="4" w:space="0" w:color="auto"/>
            </w:tcBorders>
          </w:tcPr>
          <w:p w14:paraId="1DF3E434" w14:textId="6282C11F" w:rsidR="00B6651E" w:rsidRPr="00B6651E" w:rsidRDefault="00B6651E" w:rsidP="00494238">
            <w:pPr>
              <w:spacing w:after="60"/>
              <w:rPr>
                <w:i/>
                <w:iCs/>
                <w:kern w:val="2"/>
                <w:sz w:val="20"/>
              </w:rPr>
            </w:pPr>
            <w:r w:rsidRPr="00B6651E">
              <w:rPr>
                <w:i/>
                <w:iCs/>
                <w:kern w:val="2"/>
                <w:sz w:val="20"/>
              </w:rPr>
              <w:t>Constraint Management Plan Repair Cost Attested Losses Allowed per QSE per Generation Resource—</w:t>
            </w:r>
            <w:r w:rsidRPr="00B6651E">
              <w:rPr>
                <w:kern w:val="2"/>
                <w:sz w:val="20"/>
              </w:rPr>
              <w:t xml:space="preserve">The payment for repair costs attested losses to QSE </w:t>
            </w:r>
            <w:r w:rsidRPr="00B6651E">
              <w:rPr>
                <w:i/>
                <w:iCs/>
                <w:kern w:val="2"/>
                <w:sz w:val="20"/>
              </w:rPr>
              <w:t>q</w:t>
            </w:r>
            <w:r w:rsidRPr="00B6651E">
              <w:rPr>
                <w:kern w:val="2"/>
                <w:sz w:val="20"/>
              </w:rPr>
              <w:t xml:space="preserve"> for an ERCOT-issued CMP unit trip or equivalent VDI for Generation Resource </w:t>
            </w:r>
            <w:r w:rsidRPr="00B6651E">
              <w:rPr>
                <w:i/>
                <w:iCs/>
                <w:kern w:val="2"/>
                <w:sz w:val="20"/>
              </w:rPr>
              <w:t>r</w:t>
            </w:r>
            <w:r w:rsidRPr="00B6651E">
              <w:rPr>
                <w:kern w:val="2"/>
                <w:sz w:val="20"/>
              </w:rPr>
              <w:t xml:space="preserve">, at Settlement Point </w:t>
            </w:r>
            <w:r w:rsidRPr="00B6651E">
              <w:rPr>
                <w:i/>
                <w:iCs/>
                <w:kern w:val="2"/>
                <w:sz w:val="20"/>
              </w:rPr>
              <w:t>p</w:t>
            </w:r>
            <w:r w:rsidRPr="00B6651E">
              <w:rPr>
                <w:kern w:val="2"/>
                <w:sz w:val="20"/>
              </w:rPr>
              <w:t xml:space="preserve"> for the 15-minute Settlement Interval </w:t>
            </w:r>
            <w:r w:rsidRPr="00B6651E">
              <w:rPr>
                <w:i/>
                <w:iCs/>
                <w:kern w:val="2"/>
                <w:sz w:val="20"/>
              </w:rPr>
              <w:t>i</w:t>
            </w:r>
            <w:r w:rsidRPr="00B6651E">
              <w:rPr>
                <w:kern w:val="2"/>
                <w:sz w:val="20"/>
              </w:rPr>
              <w:t xml:space="preserve">.  Where for a </w:t>
            </w:r>
            <w:r w:rsidR="00446DBD">
              <w:rPr>
                <w:kern w:val="2"/>
                <w:sz w:val="20"/>
              </w:rPr>
              <w:t>c</w:t>
            </w:r>
            <w:r w:rsidRPr="00B6651E">
              <w:rPr>
                <w:kern w:val="2"/>
                <w:sz w:val="20"/>
              </w:rPr>
              <w:t xml:space="preserve">ombined </w:t>
            </w:r>
            <w:r w:rsidR="00446DBD">
              <w:rPr>
                <w:kern w:val="2"/>
                <w:sz w:val="20"/>
              </w:rPr>
              <w:t>c</w:t>
            </w:r>
            <w:r w:rsidRPr="00B6651E">
              <w:rPr>
                <w:kern w:val="2"/>
                <w:sz w:val="20"/>
              </w:rPr>
              <w:t xml:space="preserve">ycle Resource, </w:t>
            </w:r>
            <w:r w:rsidRPr="00B6651E">
              <w:rPr>
                <w:i/>
                <w:iCs/>
                <w:kern w:val="2"/>
                <w:sz w:val="20"/>
              </w:rPr>
              <w:t>r</w:t>
            </w:r>
            <w:r w:rsidRPr="00B6651E">
              <w:rPr>
                <w:kern w:val="2"/>
                <w:sz w:val="20"/>
              </w:rPr>
              <w:t xml:space="preserve"> is a Combined Cycle Train.</w:t>
            </w:r>
          </w:p>
        </w:tc>
      </w:tr>
      <w:tr w:rsidR="00B6651E" w:rsidRPr="00B6651E" w14:paraId="0FC15777" w14:textId="77777777" w:rsidTr="00E844EE">
        <w:trPr>
          <w:cantSplit/>
          <w:trHeight w:val="146"/>
        </w:trPr>
        <w:tc>
          <w:tcPr>
            <w:tcW w:w="996" w:type="pct"/>
            <w:tcBorders>
              <w:top w:val="single" w:sz="4" w:space="0" w:color="auto"/>
              <w:left w:val="single" w:sz="4" w:space="0" w:color="auto"/>
              <w:bottom w:val="single" w:sz="4" w:space="0" w:color="auto"/>
              <w:right w:val="single" w:sz="4" w:space="0" w:color="auto"/>
            </w:tcBorders>
          </w:tcPr>
          <w:p w14:paraId="2C7FECE8" w14:textId="77777777" w:rsidR="00B6651E" w:rsidRPr="00B6651E" w:rsidRDefault="00B6651E" w:rsidP="00494238">
            <w:pPr>
              <w:spacing w:after="60"/>
              <w:rPr>
                <w:sz w:val="20"/>
              </w:rPr>
            </w:pPr>
            <w:r w:rsidRPr="00B6651E">
              <w:rPr>
                <w:sz w:val="20"/>
              </w:rPr>
              <w:t>CMPRAL</w:t>
            </w:r>
            <w:r w:rsidRPr="00B6651E">
              <w:rPr>
                <w:szCs w:val="24"/>
              </w:rPr>
              <w:t xml:space="preserve"> </w:t>
            </w:r>
            <w:r w:rsidRPr="00B6651E">
              <w:rPr>
                <w:bCs/>
                <w:i/>
                <w:iCs/>
                <w:kern w:val="2"/>
                <w:sz w:val="20"/>
                <w:szCs w:val="24"/>
                <w:vertAlign w:val="subscript"/>
              </w:rPr>
              <w:t>q, r, p</w:t>
            </w:r>
          </w:p>
        </w:tc>
        <w:tc>
          <w:tcPr>
            <w:tcW w:w="460" w:type="pct"/>
            <w:tcBorders>
              <w:top w:val="single" w:sz="4" w:space="0" w:color="auto"/>
              <w:left w:val="single" w:sz="4" w:space="0" w:color="auto"/>
              <w:bottom w:val="single" w:sz="4" w:space="0" w:color="auto"/>
              <w:right w:val="single" w:sz="4" w:space="0" w:color="auto"/>
            </w:tcBorders>
          </w:tcPr>
          <w:p w14:paraId="42B05686" w14:textId="77777777" w:rsidR="00B6651E" w:rsidRPr="00B6651E" w:rsidRDefault="00B6651E" w:rsidP="00494238">
            <w:pPr>
              <w:spacing w:after="60"/>
              <w:rPr>
                <w:szCs w:val="24"/>
              </w:rPr>
            </w:pPr>
            <w:r w:rsidRPr="00B6651E">
              <w:rPr>
                <w:szCs w:val="24"/>
              </w:rPr>
              <w:t>$</w:t>
            </w:r>
          </w:p>
        </w:tc>
        <w:tc>
          <w:tcPr>
            <w:tcW w:w="3544" w:type="pct"/>
            <w:tcBorders>
              <w:top w:val="single" w:sz="4" w:space="0" w:color="auto"/>
              <w:left w:val="single" w:sz="4" w:space="0" w:color="auto"/>
              <w:bottom w:val="single" w:sz="4" w:space="0" w:color="auto"/>
              <w:right w:val="single" w:sz="4" w:space="0" w:color="auto"/>
            </w:tcBorders>
          </w:tcPr>
          <w:p w14:paraId="01F42F25" w14:textId="166A18DF" w:rsidR="00B6651E" w:rsidRPr="00B6651E" w:rsidRDefault="00B6651E" w:rsidP="00494238">
            <w:pPr>
              <w:spacing w:after="60"/>
              <w:rPr>
                <w:kern w:val="2"/>
                <w:sz w:val="20"/>
              </w:rPr>
            </w:pPr>
            <w:r w:rsidRPr="00B6651E">
              <w:rPr>
                <w:i/>
                <w:iCs/>
                <w:kern w:val="2"/>
                <w:sz w:val="20"/>
              </w:rPr>
              <w:t>Constraint Management Plan Repair Attested Losses</w:t>
            </w:r>
            <w:r w:rsidRPr="00B6651E">
              <w:rPr>
                <w:kern w:val="2"/>
                <w:sz w:val="20"/>
              </w:rPr>
              <w:t xml:space="preserve">—The total Generation Resource </w:t>
            </w:r>
            <w:r w:rsidR="00847330" w:rsidRPr="00B6651E">
              <w:rPr>
                <w:kern w:val="2"/>
                <w:sz w:val="20"/>
              </w:rPr>
              <w:t xml:space="preserve"> </w:t>
            </w:r>
            <w:r w:rsidRPr="00B6651E">
              <w:rPr>
                <w:kern w:val="2"/>
                <w:sz w:val="20"/>
              </w:rPr>
              <w:t xml:space="preserve">repair cost due to trip </w:t>
            </w:r>
            <w:r w:rsidR="00494238">
              <w:rPr>
                <w:kern w:val="2"/>
                <w:sz w:val="20"/>
              </w:rPr>
              <w:t>O</w:t>
            </w:r>
            <w:r w:rsidRPr="00B6651E">
              <w:rPr>
                <w:kern w:val="2"/>
                <w:sz w:val="20"/>
              </w:rPr>
              <w:t xml:space="preserve">ff-Line of Resource following implementation of an ERCOT-issued CMP or equivalent VDI as attested by the QSE </w:t>
            </w:r>
            <w:r w:rsidRPr="00B6651E">
              <w:rPr>
                <w:i/>
                <w:iCs/>
                <w:kern w:val="2"/>
                <w:sz w:val="20"/>
              </w:rPr>
              <w:t>q</w:t>
            </w:r>
            <w:r w:rsidRPr="00B6651E">
              <w:rPr>
                <w:kern w:val="2"/>
                <w:sz w:val="20"/>
              </w:rPr>
              <w:t xml:space="preserve"> and in accordance with costs described in paragraph (2)(c)(ii)(B) above.  For a </w:t>
            </w:r>
            <w:r w:rsidR="00683CF9">
              <w:rPr>
                <w:kern w:val="2"/>
                <w:sz w:val="20"/>
              </w:rPr>
              <w:t>C</w:t>
            </w:r>
            <w:r w:rsidRPr="00B6651E">
              <w:rPr>
                <w:kern w:val="2"/>
                <w:sz w:val="20"/>
              </w:rPr>
              <w:t xml:space="preserve">ombined </w:t>
            </w:r>
            <w:r w:rsidR="00683CF9">
              <w:rPr>
                <w:kern w:val="2"/>
                <w:sz w:val="20"/>
              </w:rPr>
              <w:t>C</w:t>
            </w:r>
            <w:r w:rsidRPr="00B6651E">
              <w:rPr>
                <w:kern w:val="2"/>
                <w:sz w:val="20"/>
              </w:rPr>
              <w:t xml:space="preserve">ycle Resource </w:t>
            </w:r>
            <w:r w:rsidRPr="00B6651E">
              <w:rPr>
                <w:i/>
                <w:iCs/>
                <w:kern w:val="2"/>
                <w:sz w:val="20"/>
              </w:rPr>
              <w:t>r</w:t>
            </w:r>
            <w:r w:rsidRPr="00B6651E">
              <w:rPr>
                <w:kern w:val="2"/>
                <w:sz w:val="20"/>
              </w:rPr>
              <w:t xml:space="preserve"> is a Combined Cycle Train.</w:t>
            </w:r>
          </w:p>
        </w:tc>
      </w:tr>
      <w:tr w:rsidR="00B6651E" w:rsidRPr="00B6651E" w14:paraId="28ECFA4B" w14:textId="77777777" w:rsidTr="00E844EE">
        <w:trPr>
          <w:cantSplit/>
          <w:trHeight w:val="146"/>
        </w:trPr>
        <w:tc>
          <w:tcPr>
            <w:tcW w:w="996" w:type="pct"/>
            <w:tcBorders>
              <w:top w:val="single" w:sz="4" w:space="0" w:color="auto"/>
              <w:left w:val="single" w:sz="4" w:space="0" w:color="auto"/>
              <w:bottom w:val="single" w:sz="4" w:space="0" w:color="auto"/>
              <w:right w:val="single" w:sz="4" w:space="0" w:color="auto"/>
            </w:tcBorders>
          </w:tcPr>
          <w:p w14:paraId="07452C7B" w14:textId="77777777" w:rsidR="00B6651E" w:rsidRPr="00B6651E" w:rsidRDefault="00B6651E" w:rsidP="00494238">
            <w:pPr>
              <w:spacing w:after="60"/>
              <w:rPr>
                <w:iCs/>
                <w:kern w:val="2"/>
                <w:sz w:val="20"/>
                <w:szCs w:val="24"/>
              </w:rPr>
            </w:pPr>
            <w:r w:rsidRPr="00B6651E">
              <w:rPr>
                <w:iCs/>
                <w:kern w:val="2"/>
                <w:sz w:val="20"/>
                <w:szCs w:val="24"/>
              </w:rPr>
              <w:t xml:space="preserve">CMPSUPR </w:t>
            </w:r>
            <w:r w:rsidRPr="00B6651E">
              <w:rPr>
                <w:bCs/>
                <w:i/>
                <w:iCs/>
                <w:kern w:val="2"/>
                <w:sz w:val="20"/>
                <w:szCs w:val="24"/>
                <w:vertAlign w:val="subscript"/>
              </w:rPr>
              <w:t>q, r, p, i</w:t>
            </w:r>
          </w:p>
        </w:tc>
        <w:tc>
          <w:tcPr>
            <w:tcW w:w="460" w:type="pct"/>
            <w:tcBorders>
              <w:top w:val="single" w:sz="4" w:space="0" w:color="auto"/>
              <w:left w:val="single" w:sz="4" w:space="0" w:color="auto"/>
              <w:bottom w:val="single" w:sz="4" w:space="0" w:color="auto"/>
              <w:right w:val="single" w:sz="4" w:space="0" w:color="auto"/>
            </w:tcBorders>
          </w:tcPr>
          <w:p w14:paraId="03C8104D" w14:textId="77777777" w:rsidR="00B6651E" w:rsidRPr="00B6651E" w:rsidRDefault="00B6651E" w:rsidP="00494238">
            <w:pPr>
              <w:spacing w:after="60"/>
              <w:rPr>
                <w:iCs/>
                <w:kern w:val="2"/>
                <w:sz w:val="20"/>
                <w:szCs w:val="24"/>
              </w:rPr>
            </w:pPr>
            <w:r w:rsidRPr="00B6651E">
              <w:rPr>
                <w:szCs w:val="24"/>
              </w:rPr>
              <w:t>$/Start</w:t>
            </w:r>
          </w:p>
        </w:tc>
        <w:tc>
          <w:tcPr>
            <w:tcW w:w="3544" w:type="pct"/>
            <w:tcBorders>
              <w:top w:val="single" w:sz="4" w:space="0" w:color="auto"/>
              <w:left w:val="single" w:sz="4" w:space="0" w:color="auto"/>
              <w:bottom w:val="single" w:sz="4" w:space="0" w:color="auto"/>
              <w:right w:val="single" w:sz="4" w:space="0" w:color="auto"/>
            </w:tcBorders>
          </w:tcPr>
          <w:p w14:paraId="2D26147E" w14:textId="67852F24" w:rsidR="00B6651E" w:rsidRPr="00B6651E" w:rsidRDefault="00B6651E" w:rsidP="00494238">
            <w:pPr>
              <w:spacing w:after="60"/>
              <w:rPr>
                <w:i/>
                <w:iCs/>
                <w:kern w:val="2"/>
                <w:sz w:val="20"/>
                <w:szCs w:val="24"/>
              </w:rPr>
            </w:pPr>
            <w:r w:rsidRPr="00B6651E">
              <w:rPr>
                <w:i/>
                <w:iCs/>
                <w:kern w:val="2"/>
                <w:sz w:val="20"/>
              </w:rPr>
              <w:t xml:space="preserve">Startup Price per </w:t>
            </w:r>
            <w:r w:rsidR="00D95082">
              <w:rPr>
                <w:i/>
                <w:iCs/>
                <w:kern w:val="2"/>
                <w:sz w:val="20"/>
              </w:rPr>
              <w:t>S</w:t>
            </w:r>
            <w:r w:rsidRPr="00B6651E">
              <w:rPr>
                <w:i/>
                <w:iCs/>
                <w:kern w:val="2"/>
                <w:sz w:val="20"/>
              </w:rPr>
              <w:t>tart</w:t>
            </w:r>
            <w:r w:rsidRPr="00B6651E">
              <w:rPr>
                <w:szCs w:val="24"/>
              </w:rPr>
              <w:t>—</w:t>
            </w:r>
            <w:r w:rsidRPr="00B6651E">
              <w:rPr>
                <w:kern w:val="2"/>
                <w:sz w:val="20"/>
              </w:rPr>
              <w:t xml:space="preserve">The Settlement price for Resource </w:t>
            </w:r>
            <w:r w:rsidRPr="00B6651E">
              <w:rPr>
                <w:i/>
                <w:iCs/>
                <w:kern w:val="2"/>
                <w:sz w:val="20"/>
              </w:rPr>
              <w:t>r</w:t>
            </w:r>
            <w:r w:rsidRPr="00B6651E">
              <w:rPr>
                <w:kern w:val="2"/>
                <w:sz w:val="20"/>
              </w:rPr>
              <w:t xml:space="preserve"> represented by QSE </w:t>
            </w:r>
            <w:r w:rsidRPr="00B6651E">
              <w:rPr>
                <w:i/>
                <w:iCs/>
                <w:kern w:val="2"/>
                <w:sz w:val="20"/>
              </w:rPr>
              <w:t>q</w:t>
            </w:r>
            <w:r w:rsidRPr="00B6651E">
              <w:rPr>
                <w:kern w:val="2"/>
                <w:sz w:val="20"/>
              </w:rPr>
              <w:t xml:space="preserve"> for the cold start, for the 15-minute Settlement Interval</w:t>
            </w:r>
            <w:r w:rsidR="00446DBD">
              <w:rPr>
                <w:kern w:val="2"/>
                <w:sz w:val="20"/>
              </w:rPr>
              <w:t>.</w:t>
            </w:r>
            <w:r w:rsidRPr="00B6651E">
              <w:rPr>
                <w:kern w:val="2"/>
                <w:sz w:val="20"/>
              </w:rPr>
              <w:t xml:space="preserve">  Where for a Combined Cycle Train, the Resource </w:t>
            </w:r>
            <w:r w:rsidRPr="00B6651E">
              <w:rPr>
                <w:i/>
                <w:iCs/>
                <w:kern w:val="2"/>
                <w:sz w:val="20"/>
              </w:rPr>
              <w:t>r</w:t>
            </w:r>
            <w:r w:rsidRPr="00B6651E">
              <w:rPr>
                <w:kern w:val="2"/>
                <w:sz w:val="20"/>
              </w:rPr>
              <w:t xml:space="preserve"> is a Combined Cycle Generation Resource within the Combined Cycle Train.</w:t>
            </w:r>
          </w:p>
        </w:tc>
      </w:tr>
      <w:tr w:rsidR="00B6651E" w:rsidRPr="00B6651E" w14:paraId="082D6DAE" w14:textId="77777777" w:rsidTr="00E844EE">
        <w:trPr>
          <w:cantSplit/>
          <w:trHeight w:val="146"/>
        </w:trPr>
        <w:tc>
          <w:tcPr>
            <w:tcW w:w="996" w:type="pct"/>
            <w:tcBorders>
              <w:top w:val="single" w:sz="4" w:space="0" w:color="auto"/>
              <w:left w:val="single" w:sz="4" w:space="0" w:color="auto"/>
              <w:bottom w:val="single" w:sz="4" w:space="0" w:color="auto"/>
              <w:right w:val="single" w:sz="4" w:space="0" w:color="auto"/>
            </w:tcBorders>
          </w:tcPr>
          <w:p w14:paraId="264AE4E4" w14:textId="77777777" w:rsidR="00B6651E" w:rsidRPr="00B6651E" w:rsidRDefault="00B6651E" w:rsidP="00494238">
            <w:pPr>
              <w:spacing w:after="60"/>
              <w:rPr>
                <w:iCs/>
                <w:kern w:val="2"/>
                <w:sz w:val="20"/>
                <w:szCs w:val="24"/>
              </w:rPr>
            </w:pPr>
            <w:r w:rsidRPr="00B6651E">
              <w:rPr>
                <w:iCs/>
                <w:kern w:val="2"/>
                <w:sz w:val="20"/>
                <w:szCs w:val="24"/>
              </w:rPr>
              <w:t xml:space="preserve">RTEOCOST </w:t>
            </w:r>
            <w:r w:rsidRPr="00B6651E">
              <w:rPr>
                <w:bCs/>
                <w:i/>
                <w:iCs/>
                <w:kern w:val="2"/>
                <w:sz w:val="20"/>
                <w:szCs w:val="24"/>
                <w:vertAlign w:val="subscript"/>
              </w:rPr>
              <w:t>q, r, p, i</w:t>
            </w:r>
          </w:p>
        </w:tc>
        <w:tc>
          <w:tcPr>
            <w:tcW w:w="460" w:type="pct"/>
            <w:tcBorders>
              <w:top w:val="single" w:sz="4" w:space="0" w:color="auto"/>
              <w:left w:val="single" w:sz="4" w:space="0" w:color="auto"/>
              <w:bottom w:val="single" w:sz="4" w:space="0" w:color="auto"/>
              <w:right w:val="single" w:sz="4" w:space="0" w:color="auto"/>
            </w:tcBorders>
          </w:tcPr>
          <w:p w14:paraId="223BC9E9" w14:textId="77777777" w:rsidR="00B6651E" w:rsidRPr="00B6651E" w:rsidRDefault="00B6651E" w:rsidP="00494238">
            <w:pPr>
              <w:spacing w:after="60"/>
              <w:rPr>
                <w:iCs/>
                <w:kern w:val="2"/>
                <w:sz w:val="20"/>
                <w:szCs w:val="24"/>
              </w:rPr>
            </w:pPr>
            <w:r w:rsidRPr="00B6651E">
              <w:rPr>
                <w:iCs/>
                <w:kern w:val="2"/>
                <w:sz w:val="20"/>
                <w:szCs w:val="24"/>
              </w:rPr>
              <w:t>$/MWh</w:t>
            </w:r>
          </w:p>
        </w:tc>
        <w:tc>
          <w:tcPr>
            <w:tcW w:w="3544" w:type="pct"/>
            <w:tcBorders>
              <w:top w:val="single" w:sz="4" w:space="0" w:color="auto"/>
              <w:left w:val="single" w:sz="4" w:space="0" w:color="auto"/>
              <w:bottom w:val="single" w:sz="4" w:space="0" w:color="auto"/>
              <w:right w:val="single" w:sz="4" w:space="0" w:color="auto"/>
            </w:tcBorders>
          </w:tcPr>
          <w:p w14:paraId="6ABDA345" w14:textId="4AA9D649" w:rsidR="00B6651E" w:rsidRPr="00B6651E" w:rsidRDefault="00B6651E" w:rsidP="00494238">
            <w:pPr>
              <w:spacing w:after="60"/>
              <w:rPr>
                <w:iCs/>
                <w:kern w:val="2"/>
                <w:sz w:val="20"/>
                <w:szCs w:val="24"/>
              </w:rPr>
            </w:pPr>
            <w:r w:rsidRPr="00B6651E">
              <w:rPr>
                <w:i/>
                <w:iCs/>
                <w:kern w:val="2"/>
                <w:sz w:val="20"/>
                <w:szCs w:val="24"/>
              </w:rPr>
              <w:t>Real-Time Energy Offer Curve Cost Cap</w:t>
            </w:r>
            <w:r w:rsidRPr="00B6651E">
              <w:rPr>
                <w:iCs/>
                <w:kern w:val="2"/>
                <w:sz w:val="20"/>
                <w:szCs w:val="24"/>
              </w:rPr>
              <w:t xml:space="preserve">—The Energy Offer Curve Cost Cap for Resource </w:t>
            </w:r>
            <w:r w:rsidRPr="00B6651E">
              <w:rPr>
                <w:i/>
                <w:kern w:val="2"/>
                <w:sz w:val="20"/>
                <w:szCs w:val="24"/>
              </w:rPr>
              <w:t>r</w:t>
            </w:r>
            <w:r w:rsidRPr="00B6651E">
              <w:rPr>
                <w:iCs/>
                <w:kern w:val="2"/>
                <w:sz w:val="20"/>
                <w:szCs w:val="24"/>
              </w:rPr>
              <w:t xml:space="preserve"> represented by QSE </w:t>
            </w:r>
            <w:r w:rsidRPr="00B6651E">
              <w:rPr>
                <w:i/>
                <w:kern w:val="2"/>
                <w:sz w:val="20"/>
                <w:szCs w:val="24"/>
              </w:rPr>
              <w:t>q</w:t>
            </w:r>
            <w:r w:rsidRPr="00B6651E">
              <w:rPr>
                <w:iCs/>
                <w:kern w:val="2"/>
                <w:sz w:val="20"/>
                <w:szCs w:val="24"/>
              </w:rPr>
              <w:t>, for the Resource’s</w:t>
            </w:r>
            <w:r w:rsidR="00B2483C" w:rsidRPr="00B6651E">
              <w:rPr>
                <w:iCs/>
                <w:kern w:val="2"/>
                <w:sz w:val="20"/>
                <w:szCs w:val="24"/>
              </w:rPr>
              <w:t xml:space="preserve"> </w:t>
            </w:r>
            <w:r w:rsidRPr="00B6651E">
              <w:rPr>
                <w:iCs/>
                <w:kern w:val="2"/>
                <w:sz w:val="20"/>
                <w:szCs w:val="24"/>
              </w:rPr>
              <w:t xml:space="preserve">generation above the LSL for the Settlement Interval </w:t>
            </w:r>
            <w:r w:rsidRPr="00B6651E">
              <w:rPr>
                <w:i/>
                <w:kern w:val="2"/>
                <w:sz w:val="20"/>
                <w:szCs w:val="24"/>
              </w:rPr>
              <w:t>i</w:t>
            </w:r>
            <w:r w:rsidRPr="00B6651E">
              <w:rPr>
                <w:iCs/>
                <w:kern w:val="2"/>
                <w:sz w:val="20"/>
                <w:szCs w:val="24"/>
              </w:rPr>
              <w:t xml:space="preserve">.  See Section 4.4.9.3.3, Energy Offer Curve Cost Caps.  Where for a Combined Cycle Train, the Resource </w:t>
            </w:r>
            <w:r w:rsidRPr="00B6651E">
              <w:rPr>
                <w:i/>
                <w:kern w:val="2"/>
                <w:sz w:val="20"/>
                <w:szCs w:val="24"/>
              </w:rPr>
              <w:t>r</w:t>
            </w:r>
            <w:r w:rsidRPr="00B6651E">
              <w:rPr>
                <w:iCs/>
                <w:kern w:val="2"/>
                <w:sz w:val="20"/>
                <w:szCs w:val="24"/>
              </w:rPr>
              <w:t xml:space="preserve"> is the Combined Cycle Train.</w:t>
            </w:r>
          </w:p>
        </w:tc>
      </w:tr>
      <w:tr w:rsidR="00B6651E" w:rsidRPr="00B6651E" w14:paraId="41954285" w14:textId="77777777" w:rsidTr="00E844EE">
        <w:trPr>
          <w:cantSplit/>
          <w:trHeight w:val="146"/>
        </w:trPr>
        <w:tc>
          <w:tcPr>
            <w:tcW w:w="996" w:type="pct"/>
            <w:tcBorders>
              <w:top w:val="single" w:sz="4" w:space="0" w:color="auto"/>
              <w:left w:val="single" w:sz="4" w:space="0" w:color="auto"/>
              <w:bottom w:val="single" w:sz="4" w:space="0" w:color="auto"/>
              <w:right w:val="single" w:sz="4" w:space="0" w:color="auto"/>
            </w:tcBorders>
          </w:tcPr>
          <w:p w14:paraId="51D556FF" w14:textId="77777777" w:rsidR="00B6651E" w:rsidRPr="00B6651E" w:rsidDel="0018361F" w:rsidRDefault="00B6651E" w:rsidP="00494238">
            <w:pPr>
              <w:spacing w:after="60"/>
              <w:rPr>
                <w:iCs/>
                <w:kern w:val="2"/>
                <w:sz w:val="20"/>
                <w:szCs w:val="24"/>
              </w:rPr>
            </w:pPr>
            <w:r w:rsidRPr="00B6651E">
              <w:rPr>
                <w:iCs/>
                <w:sz w:val="20"/>
                <w:szCs w:val="24"/>
              </w:rPr>
              <w:t xml:space="preserve">CMPHSL </w:t>
            </w:r>
            <w:r w:rsidRPr="00B6651E">
              <w:rPr>
                <w:i/>
                <w:iCs/>
                <w:sz w:val="20"/>
                <w:szCs w:val="24"/>
                <w:vertAlign w:val="subscript"/>
              </w:rPr>
              <w:t>q, r, p, h</w:t>
            </w:r>
          </w:p>
        </w:tc>
        <w:tc>
          <w:tcPr>
            <w:tcW w:w="460" w:type="pct"/>
            <w:tcBorders>
              <w:top w:val="single" w:sz="4" w:space="0" w:color="auto"/>
              <w:left w:val="single" w:sz="4" w:space="0" w:color="auto"/>
              <w:bottom w:val="single" w:sz="4" w:space="0" w:color="auto"/>
              <w:right w:val="single" w:sz="4" w:space="0" w:color="auto"/>
            </w:tcBorders>
          </w:tcPr>
          <w:p w14:paraId="0077439E" w14:textId="77777777" w:rsidR="00B6651E" w:rsidRPr="00B6651E" w:rsidDel="0018361F" w:rsidRDefault="00B6651E" w:rsidP="00494238">
            <w:pPr>
              <w:spacing w:after="60"/>
              <w:rPr>
                <w:iCs/>
                <w:kern w:val="2"/>
                <w:sz w:val="20"/>
                <w:szCs w:val="24"/>
              </w:rPr>
            </w:pPr>
            <w:r w:rsidRPr="00B6651E">
              <w:rPr>
                <w:iCs/>
                <w:sz w:val="20"/>
                <w:szCs w:val="24"/>
              </w:rPr>
              <w:t>MW</w:t>
            </w:r>
          </w:p>
        </w:tc>
        <w:tc>
          <w:tcPr>
            <w:tcW w:w="3544" w:type="pct"/>
            <w:tcBorders>
              <w:top w:val="single" w:sz="4" w:space="0" w:color="auto"/>
              <w:left w:val="single" w:sz="4" w:space="0" w:color="auto"/>
              <w:bottom w:val="single" w:sz="4" w:space="0" w:color="auto"/>
              <w:right w:val="single" w:sz="4" w:space="0" w:color="auto"/>
            </w:tcBorders>
          </w:tcPr>
          <w:p w14:paraId="7A69A2BE" w14:textId="73D5A142" w:rsidR="00B6651E" w:rsidRPr="00B6651E" w:rsidDel="0018361F" w:rsidRDefault="00B6651E" w:rsidP="00494238">
            <w:pPr>
              <w:spacing w:after="60"/>
              <w:rPr>
                <w:i/>
                <w:iCs/>
                <w:kern w:val="2"/>
                <w:sz w:val="20"/>
                <w:szCs w:val="24"/>
              </w:rPr>
            </w:pPr>
            <w:r w:rsidRPr="00B6651E">
              <w:rPr>
                <w:i/>
                <w:iCs/>
                <w:sz w:val="20"/>
              </w:rPr>
              <w:t xml:space="preserve">Constraint Management Plan </w:t>
            </w:r>
            <w:r w:rsidRPr="00B6651E">
              <w:rPr>
                <w:i/>
                <w:iCs/>
                <w:sz w:val="20"/>
                <w:szCs w:val="24"/>
              </w:rPr>
              <w:t>High Sustained Limit</w:t>
            </w:r>
            <w:r w:rsidRPr="00B6651E">
              <w:rPr>
                <w:iCs/>
                <w:sz w:val="20"/>
                <w:szCs w:val="24"/>
              </w:rPr>
              <w:t>—</w:t>
            </w:r>
            <w:r w:rsidRPr="00B6651E">
              <w:rPr>
                <w:iCs/>
                <w:kern w:val="2"/>
                <w:sz w:val="20"/>
                <w:szCs w:val="24"/>
              </w:rPr>
              <w:t xml:space="preserve">The High Sustained Limit (HSL) of Generation Resource </w:t>
            </w:r>
            <w:r w:rsidRPr="00B6651E">
              <w:rPr>
                <w:i/>
                <w:kern w:val="2"/>
                <w:sz w:val="20"/>
                <w:szCs w:val="24"/>
              </w:rPr>
              <w:t>r</w:t>
            </w:r>
            <w:r w:rsidRPr="00B6651E">
              <w:rPr>
                <w:iCs/>
                <w:kern w:val="2"/>
                <w:sz w:val="20"/>
                <w:szCs w:val="24"/>
              </w:rPr>
              <w:t xml:space="preserve"> represented by QSE </w:t>
            </w:r>
            <w:r w:rsidRPr="00B6651E">
              <w:rPr>
                <w:i/>
                <w:kern w:val="2"/>
                <w:sz w:val="20"/>
                <w:szCs w:val="24"/>
              </w:rPr>
              <w:t>q</w:t>
            </w:r>
            <w:r w:rsidRPr="00B6651E">
              <w:rPr>
                <w:iCs/>
                <w:kern w:val="2"/>
                <w:sz w:val="20"/>
                <w:szCs w:val="24"/>
              </w:rPr>
              <w:t xml:space="preserve">, as submitted in the Current Operating Plan (COP), for the hour </w:t>
            </w:r>
            <w:r w:rsidR="00494238" w:rsidRPr="00494238">
              <w:rPr>
                <w:i/>
                <w:kern w:val="2"/>
                <w:sz w:val="20"/>
                <w:szCs w:val="24"/>
              </w:rPr>
              <w:t>h</w:t>
            </w:r>
            <w:r w:rsidR="00494238">
              <w:rPr>
                <w:iCs/>
                <w:kern w:val="2"/>
                <w:sz w:val="20"/>
                <w:szCs w:val="24"/>
              </w:rPr>
              <w:t xml:space="preserve"> </w:t>
            </w:r>
            <w:r w:rsidRPr="00B6651E">
              <w:rPr>
                <w:iCs/>
                <w:kern w:val="2"/>
                <w:sz w:val="20"/>
                <w:szCs w:val="24"/>
              </w:rPr>
              <w:t>the Resource</w:t>
            </w:r>
            <w:r w:rsidR="00B2483C" w:rsidRPr="00B6651E">
              <w:rPr>
                <w:iCs/>
                <w:kern w:val="2"/>
                <w:sz w:val="20"/>
                <w:szCs w:val="24"/>
              </w:rPr>
              <w:t xml:space="preserve"> </w:t>
            </w:r>
            <w:r w:rsidRPr="00B6651E">
              <w:rPr>
                <w:iCs/>
                <w:kern w:val="2"/>
                <w:sz w:val="20"/>
                <w:szCs w:val="24"/>
              </w:rPr>
              <w:t xml:space="preserve">tripped </w:t>
            </w:r>
            <w:r w:rsidR="00494238">
              <w:rPr>
                <w:iCs/>
                <w:kern w:val="2"/>
                <w:sz w:val="20"/>
                <w:szCs w:val="24"/>
              </w:rPr>
              <w:t>O</w:t>
            </w:r>
            <w:r w:rsidRPr="00B6651E">
              <w:rPr>
                <w:iCs/>
                <w:kern w:val="2"/>
                <w:sz w:val="20"/>
                <w:szCs w:val="24"/>
              </w:rPr>
              <w:t>ff-</w:t>
            </w:r>
            <w:r w:rsidR="00494238">
              <w:rPr>
                <w:iCs/>
                <w:kern w:val="2"/>
                <w:sz w:val="20"/>
                <w:szCs w:val="24"/>
              </w:rPr>
              <w:t>L</w:t>
            </w:r>
            <w:r w:rsidRPr="00B6651E">
              <w:rPr>
                <w:iCs/>
                <w:kern w:val="2"/>
                <w:sz w:val="20"/>
                <w:szCs w:val="24"/>
              </w:rPr>
              <w:t xml:space="preserve">ine. </w:t>
            </w:r>
            <w:r w:rsidR="006D7B7D">
              <w:rPr>
                <w:iCs/>
                <w:kern w:val="2"/>
                <w:sz w:val="20"/>
                <w:szCs w:val="24"/>
              </w:rPr>
              <w:t xml:space="preserve"> </w:t>
            </w:r>
            <w:r w:rsidRPr="00B6651E">
              <w:rPr>
                <w:iCs/>
                <w:kern w:val="2"/>
                <w:sz w:val="20"/>
                <w:szCs w:val="24"/>
              </w:rPr>
              <w:t xml:space="preserve">Where for a </w:t>
            </w:r>
            <w:r w:rsidR="00446DBD">
              <w:rPr>
                <w:iCs/>
                <w:kern w:val="2"/>
                <w:sz w:val="20"/>
                <w:szCs w:val="24"/>
              </w:rPr>
              <w:t>c</w:t>
            </w:r>
            <w:r w:rsidRPr="00B6651E">
              <w:rPr>
                <w:iCs/>
                <w:kern w:val="2"/>
                <w:sz w:val="20"/>
                <w:szCs w:val="24"/>
              </w:rPr>
              <w:t xml:space="preserve">ombined </w:t>
            </w:r>
            <w:r w:rsidR="00446DBD">
              <w:rPr>
                <w:iCs/>
                <w:kern w:val="2"/>
                <w:sz w:val="20"/>
                <w:szCs w:val="24"/>
              </w:rPr>
              <w:t>c</w:t>
            </w:r>
            <w:r w:rsidRPr="00B6651E">
              <w:rPr>
                <w:iCs/>
                <w:kern w:val="2"/>
                <w:sz w:val="20"/>
                <w:szCs w:val="24"/>
              </w:rPr>
              <w:t xml:space="preserve">ycle Resource </w:t>
            </w:r>
            <w:r w:rsidRPr="00B6651E">
              <w:rPr>
                <w:i/>
                <w:kern w:val="2"/>
                <w:sz w:val="20"/>
                <w:szCs w:val="24"/>
              </w:rPr>
              <w:t>r</w:t>
            </w:r>
            <w:r w:rsidRPr="00B6651E">
              <w:rPr>
                <w:iCs/>
                <w:kern w:val="2"/>
                <w:sz w:val="20"/>
                <w:szCs w:val="24"/>
              </w:rPr>
              <w:t xml:space="preserve"> is the Combined Cycle Generation Resource within the Combined Cycle Train that was online when the Resource tripped Off-Line.</w:t>
            </w:r>
          </w:p>
        </w:tc>
      </w:tr>
      <w:tr w:rsidR="00B6651E" w:rsidRPr="00B6651E" w14:paraId="69C63AFD" w14:textId="77777777" w:rsidTr="00E844EE">
        <w:trPr>
          <w:cantSplit/>
          <w:trHeight w:val="146"/>
        </w:trPr>
        <w:tc>
          <w:tcPr>
            <w:tcW w:w="996" w:type="pct"/>
            <w:tcBorders>
              <w:top w:val="single" w:sz="4" w:space="0" w:color="auto"/>
              <w:left w:val="single" w:sz="4" w:space="0" w:color="auto"/>
              <w:bottom w:val="single" w:sz="4" w:space="0" w:color="auto"/>
              <w:right w:val="single" w:sz="4" w:space="0" w:color="auto"/>
            </w:tcBorders>
          </w:tcPr>
          <w:p w14:paraId="1625B220" w14:textId="77777777" w:rsidR="00B6651E" w:rsidRPr="00B6651E" w:rsidRDefault="00B6651E" w:rsidP="00494238">
            <w:pPr>
              <w:spacing w:after="60"/>
              <w:rPr>
                <w:iCs/>
                <w:kern w:val="2"/>
                <w:sz w:val="20"/>
                <w:szCs w:val="24"/>
              </w:rPr>
            </w:pPr>
            <w:r w:rsidRPr="00B6651E">
              <w:rPr>
                <w:iCs/>
                <w:kern w:val="2"/>
                <w:sz w:val="20"/>
                <w:szCs w:val="24"/>
              </w:rPr>
              <w:t xml:space="preserve">RTSPP </w:t>
            </w:r>
            <w:r w:rsidRPr="00B6651E">
              <w:rPr>
                <w:bCs/>
                <w:i/>
                <w:iCs/>
                <w:kern w:val="2"/>
                <w:sz w:val="20"/>
                <w:szCs w:val="24"/>
                <w:vertAlign w:val="subscript"/>
              </w:rPr>
              <w:t>p, i</w:t>
            </w:r>
          </w:p>
        </w:tc>
        <w:tc>
          <w:tcPr>
            <w:tcW w:w="460" w:type="pct"/>
            <w:tcBorders>
              <w:top w:val="single" w:sz="4" w:space="0" w:color="auto"/>
              <w:left w:val="single" w:sz="4" w:space="0" w:color="auto"/>
              <w:bottom w:val="single" w:sz="4" w:space="0" w:color="auto"/>
              <w:right w:val="single" w:sz="4" w:space="0" w:color="auto"/>
            </w:tcBorders>
          </w:tcPr>
          <w:p w14:paraId="3F2F25E1" w14:textId="77777777" w:rsidR="00B6651E" w:rsidRPr="00B6651E" w:rsidRDefault="00B6651E" w:rsidP="00494238">
            <w:pPr>
              <w:spacing w:after="60"/>
              <w:rPr>
                <w:iCs/>
                <w:kern w:val="2"/>
                <w:sz w:val="20"/>
                <w:szCs w:val="24"/>
              </w:rPr>
            </w:pPr>
            <w:r w:rsidRPr="00B6651E">
              <w:rPr>
                <w:iCs/>
                <w:kern w:val="2"/>
                <w:sz w:val="20"/>
                <w:szCs w:val="24"/>
              </w:rPr>
              <w:t>$/MWh</w:t>
            </w:r>
          </w:p>
        </w:tc>
        <w:tc>
          <w:tcPr>
            <w:tcW w:w="3544" w:type="pct"/>
            <w:tcBorders>
              <w:top w:val="single" w:sz="4" w:space="0" w:color="auto"/>
              <w:left w:val="single" w:sz="4" w:space="0" w:color="auto"/>
              <w:bottom w:val="single" w:sz="4" w:space="0" w:color="auto"/>
              <w:right w:val="single" w:sz="4" w:space="0" w:color="auto"/>
            </w:tcBorders>
          </w:tcPr>
          <w:p w14:paraId="0ECD01AE" w14:textId="77777777" w:rsidR="00B6651E" w:rsidRPr="00B6651E" w:rsidRDefault="00B6651E" w:rsidP="00494238">
            <w:pPr>
              <w:spacing w:after="60"/>
              <w:rPr>
                <w:iCs/>
                <w:kern w:val="2"/>
                <w:sz w:val="20"/>
                <w:szCs w:val="24"/>
              </w:rPr>
            </w:pPr>
            <w:r w:rsidRPr="00B6651E">
              <w:rPr>
                <w:i/>
                <w:kern w:val="2"/>
                <w:sz w:val="20"/>
                <w:szCs w:val="24"/>
              </w:rPr>
              <w:t>Real-Time Settlement Point Price per Settlement Point</w:t>
            </w:r>
            <w:r w:rsidRPr="00B6651E">
              <w:rPr>
                <w:iCs/>
                <w:kern w:val="2"/>
                <w:sz w:val="20"/>
                <w:szCs w:val="24"/>
              </w:rPr>
              <w:t xml:space="preserve">—The Real-Time Settlement Point Price at Settlement Point </w:t>
            </w:r>
            <w:r w:rsidRPr="00B6651E">
              <w:rPr>
                <w:i/>
                <w:kern w:val="2"/>
                <w:sz w:val="20"/>
                <w:szCs w:val="24"/>
              </w:rPr>
              <w:t>p</w:t>
            </w:r>
            <w:r w:rsidRPr="00B6651E">
              <w:rPr>
                <w:iCs/>
                <w:kern w:val="2"/>
                <w:sz w:val="20"/>
                <w:szCs w:val="24"/>
              </w:rPr>
              <w:t xml:space="preserve">, for the 15-minute Settlement Interval </w:t>
            </w:r>
            <w:r w:rsidRPr="00B6651E">
              <w:rPr>
                <w:i/>
                <w:kern w:val="2"/>
                <w:sz w:val="20"/>
                <w:szCs w:val="24"/>
              </w:rPr>
              <w:t>i</w:t>
            </w:r>
            <w:r w:rsidRPr="00B6651E">
              <w:rPr>
                <w:iCs/>
                <w:kern w:val="2"/>
                <w:sz w:val="20"/>
                <w:szCs w:val="24"/>
              </w:rPr>
              <w:t>.</w:t>
            </w:r>
          </w:p>
        </w:tc>
      </w:tr>
      <w:tr w:rsidR="00B6651E" w:rsidRPr="00B6651E" w14:paraId="0ED8E525" w14:textId="77777777" w:rsidTr="00E844EE">
        <w:trPr>
          <w:cantSplit/>
          <w:trHeight w:val="146"/>
        </w:trPr>
        <w:tc>
          <w:tcPr>
            <w:tcW w:w="996" w:type="pct"/>
            <w:tcBorders>
              <w:top w:val="single" w:sz="4" w:space="0" w:color="auto"/>
              <w:left w:val="single" w:sz="4" w:space="0" w:color="auto"/>
              <w:bottom w:val="single" w:sz="4" w:space="0" w:color="auto"/>
              <w:right w:val="single" w:sz="4" w:space="0" w:color="auto"/>
            </w:tcBorders>
          </w:tcPr>
          <w:p w14:paraId="74D1E063" w14:textId="77777777" w:rsidR="00B6651E" w:rsidRPr="00B6651E" w:rsidRDefault="00B6651E" w:rsidP="00494238">
            <w:pPr>
              <w:spacing w:after="60"/>
              <w:rPr>
                <w:iCs/>
                <w:kern w:val="2"/>
                <w:sz w:val="20"/>
                <w:szCs w:val="24"/>
              </w:rPr>
            </w:pPr>
            <w:r w:rsidRPr="00B6651E">
              <w:rPr>
                <w:iCs/>
                <w:kern w:val="2"/>
                <w:sz w:val="20"/>
                <w:szCs w:val="24"/>
              </w:rPr>
              <w:t xml:space="preserve">RTRSVPOR </w:t>
            </w:r>
            <w:r w:rsidRPr="00B6651E">
              <w:rPr>
                <w:bCs/>
                <w:i/>
                <w:iCs/>
                <w:kern w:val="2"/>
                <w:sz w:val="20"/>
                <w:szCs w:val="24"/>
                <w:vertAlign w:val="subscript"/>
              </w:rPr>
              <w:t>i</w:t>
            </w:r>
          </w:p>
        </w:tc>
        <w:tc>
          <w:tcPr>
            <w:tcW w:w="460" w:type="pct"/>
            <w:tcBorders>
              <w:top w:val="single" w:sz="4" w:space="0" w:color="auto"/>
              <w:left w:val="single" w:sz="4" w:space="0" w:color="auto"/>
              <w:bottom w:val="single" w:sz="4" w:space="0" w:color="auto"/>
              <w:right w:val="single" w:sz="4" w:space="0" w:color="auto"/>
            </w:tcBorders>
          </w:tcPr>
          <w:p w14:paraId="329A260F" w14:textId="77777777" w:rsidR="00B6651E" w:rsidRPr="00B6651E" w:rsidRDefault="00B6651E" w:rsidP="00494238">
            <w:pPr>
              <w:spacing w:after="60"/>
              <w:rPr>
                <w:iCs/>
                <w:kern w:val="2"/>
                <w:sz w:val="20"/>
                <w:szCs w:val="24"/>
              </w:rPr>
            </w:pPr>
            <w:r w:rsidRPr="00B6651E">
              <w:rPr>
                <w:iCs/>
                <w:kern w:val="2"/>
                <w:sz w:val="20"/>
                <w:szCs w:val="24"/>
              </w:rPr>
              <w:t>$/MWh</w:t>
            </w:r>
          </w:p>
        </w:tc>
        <w:tc>
          <w:tcPr>
            <w:tcW w:w="3544" w:type="pct"/>
            <w:tcBorders>
              <w:top w:val="single" w:sz="4" w:space="0" w:color="auto"/>
              <w:left w:val="single" w:sz="4" w:space="0" w:color="auto"/>
              <w:bottom w:val="single" w:sz="4" w:space="0" w:color="auto"/>
              <w:right w:val="single" w:sz="4" w:space="0" w:color="auto"/>
            </w:tcBorders>
          </w:tcPr>
          <w:p w14:paraId="5EB2DD19" w14:textId="61CBB11E" w:rsidR="00B6651E" w:rsidRPr="00B6651E" w:rsidRDefault="00B6651E" w:rsidP="00494238">
            <w:pPr>
              <w:spacing w:after="60"/>
              <w:rPr>
                <w:iCs/>
                <w:kern w:val="2"/>
                <w:sz w:val="20"/>
                <w:szCs w:val="24"/>
              </w:rPr>
            </w:pPr>
            <w:r w:rsidRPr="00B6651E">
              <w:rPr>
                <w:i/>
                <w:kern w:val="2"/>
                <w:sz w:val="20"/>
                <w:szCs w:val="24"/>
              </w:rPr>
              <w:t>Real-Time Reserve Price for On-Line Reserves</w:t>
            </w:r>
            <w:r w:rsidR="00384047" w:rsidRPr="00B6651E">
              <w:rPr>
                <w:iCs/>
                <w:kern w:val="2"/>
                <w:sz w:val="20"/>
                <w:szCs w:val="24"/>
              </w:rPr>
              <w:t>—</w:t>
            </w:r>
            <w:r w:rsidRPr="00B6651E">
              <w:rPr>
                <w:iCs/>
                <w:kern w:val="2"/>
                <w:sz w:val="20"/>
                <w:szCs w:val="24"/>
              </w:rPr>
              <w:t xml:space="preserve">The Real-Time Reserve Price for On-Line Reserves for the 15-minute Settlement Interval </w:t>
            </w:r>
            <w:r w:rsidRPr="00B6651E">
              <w:rPr>
                <w:i/>
                <w:kern w:val="2"/>
                <w:sz w:val="20"/>
                <w:szCs w:val="24"/>
              </w:rPr>
              <w:t>i</w:t>
            </w:r>
            <w:r w:rsidRPr="00B6651E">
              <w:rPr>
                <w:iCs/>
                <w:kern w:val="2"/>
                <w:sz w:val="20"/>
                <w:szCs w:val="24"/>
              </w:rPr>
              <w:t>.</w:t>
            </w:r>
          </w:p>
        </w:tc>
      </w:tr>
      <w:tr w:rsidR="00B6651E" w:rsidRPr="00B6651E" w14:paraId="72CEE13C" w14:textId="77777777" w:rsidTr="00E844EE">
        <w:trPr>
          <w:cantSplit/>
          <w:trHeight w:val="146"/>
        </w:trPr>
        <w:tc>
          <w:tcPr>
            <w:tcW w:w="996" w:type="pct"/>
            <w:tcBorders>
              <w:top w:val="single" w:sz="4" w:space="0" w:color="auto"/>
              <w:left w:val="single" w:sz="4" w:space="0" w:color="auto"/>
              <w:bottom w:val="single" w:sz="4" w:space="0" w:color="auto"/>
              <w:right w:val="single" w:sz="4" w:space="0" w:color="auto"/>
            </w:tcBorders>
          </w:tcPr>
          <w:p w14:paraId="31DB86D9" w14:textId="77777777" w:rsidR="00B6651E" w:rsidRPr="00B6651E" w:rsidRDefault="00B6651E" w:rsidP="00494238">
            <w:pPr>
              <w:spacing w:after="60"/>
              <w:rPr>
                <w:iCs/>
                <w:kern w:val="2"/>
                <w:sz w:val="20"/>
                <w:szCs w:val="24"/>
              </w:rPr>
            </w:pPr>
            <w:r w:rsidRPr="00B6651E">
              <w:rPr>
                <w:iCs/>
                <w:kern w:val="2"/>
                <w:sz w:val="20"/>
                <w:szCs w:val="24"/>
              </w:rPr>
              <w:t>RTRDP</w:t>
            </w:r>
            <w:r w:rsidRPr="00B6651E">
              <w:rPr>
                <w:bCs/>
                <w:i/>
                <w:iCs/>
                <w:kern w:val="2"/>
                <w:sz w:val="20"/>
                <w:szCs w:val="24"/>
                <w:vertAlign w:val="subscript"/>
              </w:rPr>
              <w:t xml:space="preserve"> i</w:t>
            </w:r>
          </w:p>
        </w:tc>
        <w:tc>
          <w:tcPr>
            <w:tcW w:w="460" w:type="pct"/>
            <w:tcBorders>
              <w:top w:val="single" w:sz="4" w:space="0" w:color="auto"/>
              <w:left w:val="single" w:sz="4" w:space="0" w:color="auto"/>
              <w:bottom w:val="single" w:sz="4" w:space="0" w:color="auto"/>
              <w:right w:val="single" w:sz="4" w:space="0" w:color="auto"/>
            </w:tcBorders>
          </w:tcPr>
          <w:p w14:paraId="4DD0F478" w14:textId="77777777" w:rsidR="00B6651E" w:rsidRPr="00B6651E" w:rsidRDefault="00B6651E" w:rsidP="00494238">
            <w:pPr>
              <w:spacing w:after="60"/>
              <w:rPr>
                <w:iCs/>
                <w:kern w:val="2"/>
                <w:sz w:val="20"/>
                <w:szCs w:val="24"/>
              </w:rPr>
            </w:pPr>
            <w:r w:rsidRPr="00B6651E">
              <w:rPr>
                <w:iCs/>
                <w:kern w:val="2"/>
                <w:sz w:val="20"/>
                <w:szCs w:val="24"/>
              </w:rPr>
              <w:t>$/MWh</w:t>
            </w:r>
          </w:p>
        </w:tc>
        <w:tc>
          <w:tcPr>
            <w:tcW w:w="3544" w:type="pct"/>
            <w:tcBorders>
              <w:top w:val="single" w:sz="4" w:space="0" w:color="auto"/>
              <w:left w:val="single" w:sz="4" w:space="0" w:color="auto"/>
              <w:bottom w:val="single" w:sz="4" w:space="0" w:color="auto"/>
              <w:right w:val="single" w:sz="4" w:space="0" w:color="auto"/>
            </w:tcBorders>
          </w:tcPr>
          <w:p w14:paraId="643F7DED" w14:textId="0D9951BD" w:rsidR="00B6651E" w:rsidRPr="00B6651E" w:rsidRDefault="00B6651E" w:rsidP="00494238">
            <w:pPr>
              <w:spacing w:after="60"/>
              <w:rPr>
                <w:iCs/>
                <w:kern w:val="2"/>
                <w:sz w:val="20"/>
                <w:szCs w:val="24"/>
              </w:rPr>
            </w:pPr>
            <w:r w:rsidRPr="00B6651E">
              <w:rPr>
                <w:i/>
                <w:kern w:val="2"/>
                <w:sz w:val="20"/>
                <w:szCs w:val="24"/>
              </w:rPr>
              <w:t>Real-Time On-Line Reliability Deployment Price</w:t>
            </w:r>
            <w:r w:rsidR="00D4102A" w:rsidRPr="00B6651E">
              <w:rPr>
                <w:iCs/>
                <w:kern w:val="2"/>
                <w:sz w:val="20"/>
                <w:szCs w:val="24"/>
              </w:rPr>
              <w:t>—</w:t>
            </w:r>
            <w:r w:rsidRPr="00B6651E">
              <w:rPr>
                <w:iCs/>
                <w:kern w:val="2"/>
                <w:sz w:val="20"/>
                <w:szCs w:val="24"/>
              </w:rPr>
              <w:t xml:space="preserve">The Real-Time price for the 15-minute Settlement Interval </w:t>
            </w:r>
            <w:r w:rsidRPr="00B6651E">
              <w:rPr>
                <w:i/>
                <w:kern w:val="2"/>
                <w:sz w:val="20"/>
                <w:szCs w:val="24"/>
              </w:rPr>
              <w:t>i</w:t>
            </w:r>
            <w:r w:rsidRPr="00B6651E">
              <w:rPr>
                <w:iCs/>
                <w:kern w:val="2"/>
                <w:sz w:val="20"/>
                <w:szCs w:val="24"/>
              </w:rPr>
              <w:t>, reflecting the impact of reliability deployments on energy prices that is calculated from the Real-Time On-Line Reliability Deployment Price Adder.</w:t>
            </w:r>
          </w:p>
        </w:tc>
      </w:tr>
      <w:tr w:rsidR="00B6651E" w:rsidRPr="00B6651E" w14:paraId="67FCFD0B" w14:textId="77777777" w:rsidTr="00E844EE">
        <w:trPr>
          <w:cantSplit/>
          <w:trHeight w:val="146"/>
        </w:trPr>
        <w:tc>
          <w:tcPr>
            <w:tcW w:w="996" w:type="pct"/>
            <w:tcBorders>
              <w:top w:val="single" w:sz="4" w:space="0" w:color="auto"/>
              <w:left w:val="single" w:sz="4" w:space="0" w:color="auto"/>
              <w:bottom w:val="single" w:sz="4" w:space="0" w:color="auto"/>
              <w:right w:val="single" w:sz="4" w:space="0" w:color="auto"/>
            </w:tcBorders>
          </w:tcPr>
          <w:p w14:paraId="05A3A978" w14:textId="77777777" w:rsidR="00B6651E" w:rsidRPr="00B6651E" w:rsidRDefault="00B6651E" w:rsidP="00494238">
            <w:pPr>
              <w:spacing w:after="60"/>
              <w:rPr>
                <w:iCs/>
                <w:kern w:val="2"/>
                <w:sz w:val="20"/>
                <w:szCs w:val="24"/>
              </w:rPr>
            </w:pPr>
            <w:r w:rsidRPr="00B6651E">
              <w:rPr>
                <w:iCs/>
                <w:kern w:val="2"/>
                <w:sz w:val="20"/>
                <w:szCs w:val="24"/>
              </w:rPr>
              <w:t xml:space="preserve">CMPSUCAP </w:t>
            </w:r>
            <w:r w:rsidRPr="00B6651E">
              <w:rPr>
                <w:bCs/>
                <w:i/>
                <w:iCs/>
                <w:kern w:val="2"/>
                <w:sz w:val="20"/>
                <w:szCs w:val="24"/>
                <w:vertAlign w:val="subscript"/>
              </w:rPr>
              <w:t>q, r, p, s</w:t>
            </w:r>
          </w:p>
        </w:tc>
        <w:tc>
          <w:tcPr>
            <w:tcW w:w="460" w:type="pct"/>
            <w:tcBorders>
              <w:top w:val="single" w:sz="4" w:space="0" w:color="auto"/>
              <w:left w:val="single" w:sz="4" w:space="0" w:color="auto"/>
              <w:bottom w:val="single" w:sz="4" w:space="0" w:color="auto"/>
              <w:right w:val="single" w:sz="4" w:space="0" w:color="auto"/>
            </w:tcBorders>
          </w:tcPr>
          <w:p w14:paraId="72A91F02" w14:textId="77777777" w:rsidR="00B6651E" w:rsidRPr="00B6651E" w:rsidRDefault="00B6651E" w:rsidP="00494238">
            <w:pPr>
              <w:spacing w:after="60"/>
              <w:rPr>
                <w:iCs/>
                <w:kern w:val="2"/>
                <w:sz w:val="20"/>
                <w:szCs w:val="24"/>
              </w:rPr>
            </w:pPr>
            <w:r w:rsidRPr="00B6651E">
              <w:rPr>
                <w:iCs/>
                <w:kern w:val="2"/>
                <w:sz w:val="20"/>
                <w:szCs w:val="24"/>
              </w:rPr>
              <w:t>$/Start</w:t>
            </w:r>
          </w:p>
        </w:tc>
        <w:tc>
          <w:tcPr>
            <w:tcW w:w="3544" w:type="pct"/>
            <w:tcBorders>
              <w:top w:val="single" w:sz="4" w:space="0" w:color="auto"/>
              <w:left w:val="single" w:sz="4" w:space="0" w:color="auto"/>
              <w:bottom w:val="single" w:sz="4" w:space="0" w:color="auto"/>
              <w:right w:val="single" w:sz="4" w:space="0" w:color="auto"/>
            </w:tcBorders>
          </w:tcPr>
          <w:p w14:paraId="5D177554" w14:textId="4C0F864C" w:rsidR="00B6651E" w:rsidRPr="00B6651E" w:rsidRDefault="00B6651E" w:rsidP="00494238">
            <w:pPr>
              <w:spacing w:after="60"/>
              <w:rPr>
                <w:iCs/>
                <w:kern w:val="2"/>
                <w:sz w:val="20"/>
                <w:szCs w:val="24"/>
              </w:rPr>
            </w:pPr>
            <w:r w:rsidRPr="00B6651E">
              <w:rPr>
                <w:i/>
                <w:iCs/>
                <w:sz w:val="20"/>
              </w:rPr>
              <w:t xml:space="preserve">Constraint Management Plan </w:t>
            </w:r>
            <w:r w:rsidRPr="00B6651E">
              <w:rPr>
                <w:i/>
                <w:kern w:val="2"/>
                <w:sz w:val="20"/>
                <w:szCs w:val="24"/>
              </w:rPr>
              <w:t>Startup Cap</w:t>
            </w:r>
            <w:r w:rsidRPr="00B6651E">
              <w:rPr>
                <w:iCs/>
                <w:kern w:val="2"/>
                <w:sz w:val="20"/>
                <w:szCs w:val="24"/>
              </w:rPr>
              <w:t>—The CMP cap is the Resource Category Startup Offer Generic Cap (RCGSC) unless ERCOT has approved verifiable unit-specific Startup Costs for that Resource, in which case the CMP startup cap will be verifiable unit-specific Startup Cost determined as described in Section 5.6.1</w:t>
            </w:r>
            <w:r w:rsidR="00C40597">
              <w:rPr>
                <w:iCs/>
                <w:kern w:val="2"/>
                <w:sz w:val="20"/>
                <w:szCs w:val="24"/>
              </w:rPr>
              <w:t>, Verifiable Costs</w:t>
            </w:r>
            <w:r w:rsidRPr="00B6651E">
              <w:rPr>
                <w:iCs/>
                <w:kern w:val="2"/>
                <w:sz w:val="20"/>
                <w:szCs w:val="24"/>
              </w:rPr>
              <w:t xml:space="preserve">.  Where for a Combined Cycle Train, the Resource </w:t>
            </w:r>
            <w:r w:rsidRPr="00B6651E">
              <w:rPr>
                <w:i/>
                <w:kern w:val="2"/>
                <w:sz w:val="20"/>
                <w:szCs w:val="24"/>
              </w:rPr>
              <w:t>r</w:t>
            </w:r>
            <w:r w:rsidRPr="00B6651E">
              <w:rPr>
                <w:iCs/>
                <w:kern w:val="2"/>
                <w:sz w:val="20"/>
                <w:szCs w:val="24"/>
              </w:rPr>
              <w:t xml:space="preserve"> is a Combined Cycle Generation Resource within the Combined Cycle Train.</w:t>
            </w:r>
          </w:p>
        </w:tc>
      </w:tr>
      <w:tr w:rsidR="00B6651E" w:rsidRPr="00B6651E" w14:paraId="35D7146D" w14:textId="77777777" w:rsidTr="00E844EE">
        <w:trPr>
          <w:cantSplit/>
          <w:trHeight w:val="289"/>
        </w:trPr>
        <w:tc>
          <w:tcPr>
            <w:tcW w:w="996" w:type="pct"/>
            <w:tcBorders>
              <w:top w:val="single" w:sz="4" w:space="0" w:color="auto"/>
              <w:left w:val="single" w:sz="4" w:space="0" w:color="auto"/>
              <w:bottom w:val="single" w:sz="4" w:space="0" w:color="auto"/>
              <w:right w:val="single" w:sz="4" w:space="0" w:color="auto"/>
            </w:tcBorders>
            <w:hideMark/>
          </w:tcPr>
          <w:p w14:paraId="6F846D8E" w14:textId="77777777" w:rsidR="00B6651E" w:rsidRPr="00B6651E" w:rsidRDefault="00B6651E" w:rsidP="00494238">
            <w:pPr>
              <w:spacing w:after="60"/>
              <w:rPr>
                <w:i/>
                <w:iCs/>
                <w:kern w:val="2"/>
                <w:sz w:val="20"/>
                <w:szCs w:val="24"/>
              </w:rPr>
            </w:pPr>
            <w:r w:rsidRPr="00B6651E">
              <w:rPr>
                <w:i/>
                <w:iCs/>
                <w:kern w:val="2"/>
                <w:sz w:val="20"/>
                <w:szCs w:val="24"/>
              </w:rPr>
              <w:t>q</w:t>
            </w:r>
          </w:p>
        </w:tc>
        <w:tc>
          <w:tcPr>
            <w:tcW w:w="460" w:type="pct"/>
            <w:tcBorders>
              <w:top w:val="single" w:sz="4" w:space="0" w:color="auto"/>
              <w:left w:val="single" w:sz="4" w:space="0" w:color="auto"/>
              <w:bottom w:val="single" w:sz="4" w:space="0" w:color="auto"/>
              <w:right w:val="single" w:sz="4" w:space="0" w:color="auto"/>
            </w:tcBorders>
            <w:hideMark/>
          </w:tcPr>
          <w:p w14:paraId="466BC344" w14:textId="77777777" w:rsidR="00B6651E" w:rsidRPr="00B6651E" w:rsidRDefault="00B6651E" w:rsidP="00494238">
            <w:pPr>
              <w:spacing w:after="60"/>
              <w:rPr>
                <w:iCs/>
                <w:kern w:val="2"/>
                <w:sz w:val="20"/>
                <w:szCs w:val="24"/>
              </w:rPr>
            </w:pPr>
            <w:r w:rsidRPr="00B6651E">
              <w:rPr>
                <w:iCs/>
                <w:kern w:val="2"/>
                <w:sz w:val="20"/>
                <w:szCs w:val="24"/>
              </w:rPr>
              <w:t>None</w:t>
            </w:r>
          </w:p>
        </w:tc>
        <w:tc>
          <w:tcPr>
            <w:tcW w:w="3544" w:type="pct"/>
            <w:tcBorders>
              <w:top w:val="single" w:sz="4" w:space="0" w:color="auto"/>
              <w:left w:val="single" w:sz="4" w:space="0" w:color="auto"/>
              <w:bottom w:val="single" w:sz="4" w:space="0" w:color="auto"/>
              <w:right w:val="single" w:sz="4" w:space="0" w:color="auto"/>
            </w:tcBorders>
            <w:hideMark/>
          </w:tcPr>
          <w:p w14:paraId="2F2EEA16" w14:textId="77777777" w:rsidR="00B6651E" w:rsidRPr="00B6651E" w:rsidRDefault="00B6651E" w:rsidP="00494238">
            <w:pPr>
              <w:spacing w:after="60"/>
              <w:rPr>
                <w:i/>
                <w:kern w:val="2"/>
                <w:sz w:val="20"/>
                <w:szCs w:val="24"/>
              </w:rPr>
            </w:pPr>
            <w:r w:rsidRPr="00B6651E">
              <w:rPr>
                <w:iCs/>
                <w:kern w:val="2"/>
                <w:sz w:val="20"/>
                <w:szCs w:val="24"/>
              </w:rPr>
              <w:t>A QSE.</w:t>
            </w:r>
          </w:p>
        </w:tc>
      </w:tr>
      <w:tr w:rsidR="00B6651E" w:rsidRPr="00B6651E" w14:paraId="4E68A206" w14:textId="77777777" w:rsidTr="00E844EE">
        <w:trPr>
          <w:cantSplit/>
          <w:trHeight w:val="289"/>
        </w:trPr>
        <w:tc>
          <w:tcPr>
            <w:tcW w:w="996" w:type="pct"/>
            <w:tcBorders>
              <w:top w:val="single" w:sz="4" w:space="0" w:color="auto"/>
              <w:left w:val="single" w:sz="4" w:space="0" w:color="auto"/>
              <w:bottom w:val="single" w:sz="4" w:space="0" w:color="auto"/>
              <w:right w:val="single" w:sz="4" w:space="0" w:color="auto"/>
            </w:tcBorders>
            <w:hideMark/>
          </w:tcPr>
          <w:p w14:paraId="1737698D" w14:textId="77777777" w:rsidR="00B6651E" w:rsidRPr="00B6651E" w:rsidRDefault="00B6651E" w:rsidP="00494238">
            <w:pPr>
              <w:spacing w:after="60"/>
              <w:rPr>
                <w:i/>
                <w:iCs/>
                <w:kern w:val="2"/>
                <w:sz w:val="20"/>
                <w:szCs w:val="24"/>
              </w:rPr>
            </w:pPr>
            <w:r w:rsidRPr="00B6651E">
              <w:rPr>
                <w:i/>
                <w:iCs/>
                <w:kern w:val="2"/>
                <w:sz w:val="20"/>
                <w:szCs w:val="24"/>
              </w:rPr>
              <w:t>r</w:t>
            </w:r>
          </w:p>
        </w:tc>
        <w:tc>
          <w:tcPr>
            <w:tcW w:w="460" w:type="pct"/>
            <w:tcBorders>
              <w:top w:val="single" w:sz="4" w:space="0" w:color="auto"/>
              <w:left w:val="single" w:sz="4" w:space="0" w:color="auto"/>
              <w:bottom w:val="single" w:sz="4" w:space="0" w:color="auto"/>
              <w:right w:val="single" w:sz="4" w:space="0" w:color="auto"/>
            </w:tcBorders>
            <w:hideMark/>
          </w:tcPr>
          <w:p w14:paraId="43D8F26E" w14:textId="77777777" w:rsidR="00B6651E" w:rsidRPr="00B6651E" w:rsidRDefault="00B6651E" w:rsidP="00494238">
            <w:pPr>
              <w:spacing w:after="60"/>
              <w:rPr>
                <w:iCs/>
                <w:kern w:val="2"/>
                <w:sz w:val="20"/>
                <w:szCs w:val="24"/>
              </w:rPr>
            </w:pPr>
            <w:r w:rsidRPr="00B6651E">
              <w:rPr>
                <w:iCs/>
                <w:kern w:val="2"/>
                <w:sz w:val="20"/>
                <w:szCs w:val="24"/>
              </w:rPr>
              <w:t>None</w:t>
            </w:r>
          </w:p>
        </w:tc>
        <w:tc>
          <w:tcPr>
            <w:tcW w:w="3544" w:type="pct"/>
            <w:tcBorders>
              <w:top w:val="single" w:sz="4" w:space="0" w:color="auto"/>
              <w:left w:val="single" w:sz="4" w:space="0" w:color="auto"/>
              <w:bottom w:val="single" w:sz="4" w:space="0" w:color="auto"/>
              <w:right w:val="single" w:sz="4" w:space="0" w:color="auto"/>
            </w:tcBorders>
            <w:hideMark/>
          </w:tcPr>
          <w:p w14:paraId="74D9463E" w14:textId="77777777" w:rsidR="00B6651E" w:rsidRPr="00B6651E" w:rsidRDefault="00B6651E" w:rsidP="00494238">
            <w:pPr>
              <w:spacing w:after="60"/>
              <w:rPr>
                <w:i/>
                <w:kern w:val="2"/>
                <w:sz w:val="20"/>
                <w:szCs w:val="24"/>
              </w:rPr>
            </w:pPr>
            <w:r w:rsidRPr="00B6651E">
              <w:rPr>
                <w:iCs/>
                <w:kern w:val="2"/>
                <w:sz w:val="20"/>
                <w:szCs w:val="24"/>
              </w:rPr>
              <w:t>A Generation Resource.</w:t>
            </w:r>
          </w:p>
        </w:tc>
      </w:tr>
      <w:tr w:rsidR="00B6651E" w:rsidRPr="00B6651E" w14:paraId="52070BBE" w14:textId="77777777" w:rsidTr="00E844EE">
        <w:trPr>
          <w:cantSplit/>
          <w:trHeight w:val="289"/>
        </w:trPr>
        <w:tc>
          <w:tcPr>
            <w:tcW w:w="996" w:type="pct"/>
            <w:tcBorders>
              <w:top w:val="single" w:sz="4" w:space="0" w:color="auto"/>
              <w:left w:val="single" w:sz="4" w:space="0" w:color="auto"/>
              <w:bottom w:val="single" w:sz="4" w:space="0" w:color="auto"/>
              <w:right w:val="single" w:sz="4" w:space="0" w:color="auto"/>
            </w:tcBorders>
            <w:hideMark/>
          </w:tcPr>
          <w:p w14:paraId="1F1C906E" w14:textId="77777777" w:rsidR="00B6651E" w:rsidRPr="00B6651E" w:rsidRDefault="00B6651E" w:rsidP="00494238">
            <w:pPr>
              <w:spacing w:after="60"/>
              <w:rPr>
                <w:i/>
                <w:iCs/>
                <w:kern w:val="2"/>
                <w:sz w:val="20"/>
                <w:szCs w:val="24"/>
              </w:rPr>
            </w:pPr>
            <w:r w:rsidRPr="00B6651E">
              <w:rPr>
                <w:i/>
                <w:iCs/>
                <w:kern w:val="2"/>
                <w:sz w:val="20"/>
                <w:szCs w:val="24"/>
              </w:rPr>
              <w:t>p</w:t>
            </w:r>
          </w:p>
        </w:tc>
        <w:tc>
          <w:tcPr>
            <w:tcW w:w="460" w:type="pct"/>
            <w:tcBorders>
              <w:top w:val="single" w:sz="4" w:space="0" w:color="auto"/>
              <w:left w:val="single" w:sz="4" w:space="0" w:color="auto"/>
              <w:bottom w:val="single" w:sz="4" w:space="0" w:color="auto"/>
              <w:right w:val="single" w:sz="4" w:space="0" w:color="auto"/>
            </w:tcBorders>
            <w:hideMark/>
          </w:tcPr>
          <w:p w14:paraId="25DD940B" w14:textId="77777777" w:rsidR="00B6651E" w:rsidRPr="00B6651E" w:rsidRDefault="00B6651E" w:rsidP="00494238">
            <w:pPr>
              <w:spacing w:after="60"/>
              <w:rPr>
                <w:iCs/>
                <w:kern w:val="2"/>
                <w:sz w:val="20"/>
                <w:szCs w:val="24"/>
              </w:rPr>
            </w:pPr>
            <w:r w:rsidRPr="00B6651E">
              <w:rPr>
                <w:iCs/>
                <w:kern w:val="2"/>
                <w:sz w:val="20"/>
                <w:szCs w:val="24"/>
              </w:rPr>
              <w:t>None</w:t>
            </w:r>
          </w:p>
        </w:tc>
        <w:tc>
          <w:tcPr>
            <w:tcW w:w="3544" w:type="pct"/>
            <w:tcBorders>
              <w:top w:val="single" w:sz="4" w:space="0" w:color="auto"/>
              <w:left w:val="single" w:sz="4" w:space="0" w:color="auto"/>
              <w:bottom w:val="single" w:sz="4" w:space="0" w:color="auto"/>
              <w:right w:val="single" w:sz="4" w:space="0" w:color="auto"/>
            </w:tcBorders>
            <w:hideMark/>
          </w:tcPr>
          <w:p w14:paraId="408539CC" w14:textId="77777777" w:rsidR="00B6651E" w:rsidRPr="00B6651E" w:rsidRDefault="00B6651E" w:rsidP="00494238">
            <w:pPr>
              <w:spacing w:after="60"/>
              <w:rPr>
                <w:iCs/>
                <w:kern w:val="2"/>
                <w:sz w:val="20"/>
                <w:szCs w:val="24"/>
              </w:rPr>
            </w:pPr>
            <w:r w:rsidRPr="00B6651E">
              <w:rPr>
                <w:iCs/>
                <w:kern w:val="2"/>
                <w:sz w:val="20"/>
                <w:szCs w:val="24"/>
              </w:rPr>
              <w:t>A Resource Node Settlement Point.</w:t>
            </w:r>
          </w:p>
        </w:tc>
      </w:tr>
      <w:tr w:rsidR="00B6651E" w:rsidRPr="00B6651E" w14:paraId="027FA47B" w14:textId="77777777" w:rsidTr="00E844EE">
        <w:trPr>
          <w:cantSplit/>
          <w:trHeight w:val="242"/>
        </w:trPr>
        <w:tc>
          <w:tcPr>
            <w:tcW w:w="996" w:type="pct"/>
            <w:tcBorders>
              <w:top w:val="single" w:sz="4" w:space="0" w:color="auto"/>
              <w:left w:val="single" w:sz="4" w:space="0" w:color="auto"/>
              <w:bottom w:val="single" w:sz="4" w:space="0" w:color="auto"/>
              <w:right w:val="single" w:sz="4" w:space="0" w:color="auto"/>
            </w:tcBorders>
            <w:hideMark/>
          </w:tcPr>
          <w:p w14:paraId="735A608C" w14:textId="77777777" w:rsidR="00B6651E" w:rsidRPr="00B6651E" w:rsidRDefault="00B6651E" w:rsidP="00494238">
            <w:pPr>
              <w:spacing w:after="60"/>
              <w:rPr>
                <w:i/>
                <w:iCs/>
                <w:kern w:val="2"/>
                <w:sz w:val="20"/>
                <w:szCs w:val="24"/>
              </w:rPr>
            </w:pPr>
            <w:r w:rsidRPr="00B6651E">
              <w:rPr>
                <w:i/>
                <w:iCs/>
                <w:kern w:val="2"/>
                <w:sz w:val="20"/>
                <w:szCs w:val="24"/>
              </w:rPr>
              <w:t>i</w:t>
            </w:r>
          </w:p>
        </w:tc>
        <w:tc>
          <w:tcPr>
            <w:tcW w:w="460" w:type="pct"/>
            <w:tcBorders>
              <w:top w:val="single" w:sz="4" w:space="0" w:color="auto"/>
              <w:left w:val="single" w:sz="4" w:space="0" w:color="auto"/>
              <w:bottom w:val="single" w:sz="4" w:space="0" w:color="auto"/>
              <w:right w:val="single" w:sz="4" w:space="0" w:color="auto"/>
            </w:tcBorders>
            <w:hideMark/>
          </w:tcPr>
          <w:p w14:paraId="6D36C39B" w14:textId="77777777" w:rsidR="00B6651E" w:rsidRPr="00B6651E" w:rsidRDefault="00B6651E" w:rsidP="00494238">
            <w:pPr>
              <w:spacing w:after="60"/>
              <w:rPr>
                <w:iCs/>
                <w:kern w:val="2"/>
                <w:sz w:val="20"/>
                <w:szCs w:val="24"/>
              </w:rPr>
            </w:pPr>
            <w:r w:rsidRPr="00B6651E">
              <w:rPr>
                <w:iCs/>
                <w:kern w:val="2"/>
                <w:sz w:val="20"/>
                <w:szCs w:val="24"/>
              </w:rPr>
              <w:t>None</w:t>
            </w:r>
          </w:p>
        </w:tc>
        <w:tc>
          <w:tcPr>
            <w:tcW w:w="3544" w:type="pct"/>
            <w:tcBorders>
              <w:top w:val="single" w:sz="4" w:space="0" w:color="auto"/>
              <w:left w:val="single" w:sz="4" w:space="0" w:color="auto"/>
              <w:bottom w:val="single" w:sz="4" w:space="0" w:color="auto"/>
              <w:right w:val="single" w:sz="4" w:space="0" w:color="auto"/>
            </w:tcBorders>
            <w:hideMark/>
          </w:tcPr>
          <w:p w14:paraId="68FB0F1C" w14:textId="77777777" w:rsidR="00B6651E" w:rsidRPr="00B6651E" w:rsidRDefault="00B6651E" w:rsidP="00494238">
            <w:pPr>
              <w:spacing w:after="60"/>
              <w:rPr>
                <w:iCs/>
                <w:kern w:val="2"/>
                <w:sz w:val="20"/>
                <w:szCs w:val="24"/>
              </w:rPr>
            </w:pPr>
            <w:r w:rsidRPr="00B6651E">
              <w:rPr>
                <w:iCs/>
                <w:kern w:val="2"/>
                <w:sz w:val="20"/>
                <w:szCs w:val="24"/>
              </w:rPr>
              <w:t>A 15-minute Settlement Interval.</w:t>
            </w:r>
          </w:p>
        </w:tc>
      </w:tr>
      <w:tr w:rsidR="00B6651E" w:rsidRPr="00B6651E" w14:paraId="15FC51F2" w14:textId="77777777" w:rsidTr="00E844EE">
        <w:trPr>
          <w:cantSplit/>
          <w:trHeight w:val="242"/>
        </w:trPr>
        <w:tc>
          <w:tcPr>
            <w:tcW w:w="996" w:type="pct"/>
            <w:tcBorders>
              <w:top w:val="single" w:sz="4" w:space="0" w:color="auto"/>
              <w:left w:val="single" w:sz="4" w:space="0" w:color="auto"/>
              <w:bottom w:val="single" w:sz="4" w:space="0" w:color="auto"/>
              <w:right w:val="single" w:sz="4" w:space="0" w:color="auto"/>
            </w:tcBorders>
            <w:hideMark/>
          </w:tcPr>
          <w:p w14:paraId="75D5A719" w14:textId="77777777" w:rsidR="00B6651E" w:rsidRPr="00B6651E" w:rsidRDefault="00B6651E" w:rsidP="00494238">
            <w:pPr>
              <w:spacing w:after="60"/>
              <w:rPr>
                <w:i/>
                <w:iCs/>
                <w:kern w:val="2"/>
                <w:sz w:val="20"/>
                <w:szCs w:val="24"/>
              </w:rPr>
            </w:pPr>
            <w:r w:rsidRPr="00B6651E">
              <w:rPr>
                <w:i/>
                <w:iCs/>
                <w:kern w:val="2"/>
                <w:sz w:val="20"/>
                <w:szCs w:val="24"/>
              </w:rPr>
              <w:t>h</w:t>
            </w:r>
          </w:p>
        </w:tc>
        <w:tc>
          <w:tcPr>
            <w:tcW w:w="460" w:type="pct"/>
            <w:tcBorders>
              <w:top w:val="single" w:sz="4" w:space="0" w:color="auto"/>
              <w:left w:val="single" w:sz="4" w:space="0" w:color="auto"/>
              <w:bottom w:val="single" w:sz="4" w:space="0" w:color="auto"/>
              <w:right w:val="single" w:sz="4" w:space="0" w:color="auto"/>
            </w:tcBorders>
            <w:hideMark/>
          </w:tcPr>
          <w:p w14:paraId="20784E91" w14:textId="77777777" w:rsidR="00B6651E" w:rsidRPr="00B6651E" w:rsidRDefault="00B6651E" w:rsidP="00494238">
            <w:pPr>
              <w:spacing w:after="60"/>
              <w:rPr>
                <w:iCs/>
                <w:kern w:val="2"/>
                <w:sz w:val="20"/>
                <w:szCs w:val="24"/>
              </w:rPr>
            </w:pPr>
            <w:r w:rsidRPr="00B6651E">
              <w:rPr>
                <w:iCs/>
                <w:kern w:val="2"/>
                <w:sz w:val="20"/>
                <w:szCs w:val="24"/>
              </w:rPr>
              <w:t>None</w:t>
            </w:r>
          </w:p>
        </w:tc>
        <w:tc>
          <w:tcPr>
            <w:tcW w:w="3544" w:type="pct"/>
            <w:tcBorders>
              <w:top w:val="single" w:sz="4" w:space="0" w:color="auto"/>
              <w:left w:val="single" w:sz="4" w:space="0" w:color="auto"/>
              <w:bottom w:val="single" w:sz="4" w:space="0" w:color="auto"/>
              <w:right w:val="single" w:sz="4" w:space="0" w:color="auto"/>
            </w:tcBorders>
            <w:hideMark/>
          </w:tcPr>
          <w:p w14:paraId="426ACB0C" w14:textId="77777777" w:rsidR="00B6651E" w:rsidRPr="00B6651E" w:rsidRDefault="00B6651E" w:rsidP="00494238">
            <w:pPr>
              <w:spacing w:after="60"/>
              <w:rPr>
                <w:iCs/>
                <w:kern w:val="2"/>
                <w:sz w:val="20"/>
                <w:szCs w:val="24"/>
              </w:rPr>
            </w:pPr>
            <w:r w:rsidRPr="00B6651E">
              <w:rPr>
                <w:iCs/>
                <w:kern w:val="2"/>
                <w:sz w:val="20"/>
                <w:szCs w:val="24"/>
              </w:rPr>
              <w:t>An Operating Hour.</w:t>
            </w:r>
          </w:p>
        </w:tc>
      </w:tr>
      <w:tr w:rsidR="00B6651E" w:rsidRPr="00B6651E" w14:paraId="00823C82" w14:textId="77777777" w:rsidTr="00E844EE">
        <w:trPr>
          <w:cantSplit/>
          <w:trHeight w:val="242"/>
        </w:trPr>
        <w:tc>
          <w:tcPr>
            <w:tcW w:w="996" w:type="pct"/>
            <w:tcBorders>
              <w:top w:val="single" w:sz="4" w:space="0" w:color="auto"/>
              <w:left w:val="single" w:sz="4" w:space="0" w:color="auto"/>
              <w:bottom w:val="single" w:sz="4" w:space="0" w:color="auto"/>
              <w:right w:val="single" w:sz="4" w:space="0" w:color="auto"/>
            </w:tcBorders>
          </w:tcPr>
          <w:p w14:paraId="0BE06870" w14:textId="77777777" w:rsidR="00B6651E" w:rsidRPr="00B6651E" w:rsidRDefault="00B6651E" w:rsidP="00494238">
            <w:pPr>
              <w:spacing w:after="60"/>
              <w:rPr>
                <w:i/>
                <w:iCs/>
                <w:kern w:val="2"/>
                <w:sz w:val="20"/>
                <w:szCs w:val="24"/>
              </w:rPr>
            </w:pPr>
            <w:r w:rsidRPr="00B6651E">
              <w:rPr>
                <w:i/>
                <w:iCs/>
                <w:kern w:val="2"/>
                <w:sz w:val="20"/>
                <w:szCs w:val="24"/>
              </w:rPr>
              <w:t>cold</w:t>
            </w:r>
          </w:p>
        </w:tc>
        <w:tc>
          <w:tcPr>
            <w:tcW w:w="460" w:type="pct"/>
            <w:tcBorders>
              <w:top w:val="single" w:sz="4" w:space="0" w:color="auto"/>
              <w:left w:val="single" w:sz="4" w:space="0" w:color="auto"/>
              <w:bottom w:val="single" w:sz="4" w:space="0" w:color="auto"/>
              <w:right w:val="single" w:sz="4" w:space="0" w:color="auto"/>
            </w:tcBorders>
          </w:tcPr>
          <w:p w14:paraId="3B135B04" w14:textId="77777777" w:rsidR="00B6651E" w:rsidRPr="00B6651E" w:rsidRDefault="00B6651E" w:rsidP="00494238">
            <w:pPr>
              <w:spacing w:after="60"/>
              <w:rPr>
                <w:iCs/>
                <w:kern w:val="2"/>
                <w:sz w:val="20"/>
                <w:szCs w:val="24"/>
              </w:rPr>
            </w:pPr>
            <w:r w:rsidRPr="00B6651E">
              <w:rPr>
                <w:iCs/>
                <w:kern w:val="2"/>
                <w:sz w:val="20"/>
                <w:szCs w:val="24"/>
              </w:rPr>
              <w:t>None</w:t>
            </w:r>
          </w:p>
        </w:tc>
        <w:tc>
          <w:tcPr>
            <w:tcW w:w="3544" w:type="pct"/>
            <w:tcBorders>
              <w:top w:val="single" w:sz="4" w:space="0" w:color="auto"/>
              <w:left w:val="single" w:sz="4" w:space="0" w:color="auto"/>
              <w:bottom w:val="single" w:sz="4" w:space="0" w:color="auto"/>
              <w:right w:val="single" w:sz="4" w:space="0" w:color="auto"/>
            </w:tcBorders>
          </w:tcPr>
          <w:p w14:paraId="7097897C" w14:textId="2F2B6933" w:rsidR="00B6651E" w:rsidRPr="00B6651E" w:rsidRDefault="00B6651E" w:rsidP="00494238">
            <w:pPr>
              <w:spacing w:after="60"/>
              <w:rPr>
                <w:iCs/>
                <w:kern w:val="2"/>
                <w:sz w:val="20"/>
                <w:szCs w:val="24"/>
              </w:rPr>
            </w:pPr>
            <w:r w:rsidRPr="00B6651E">
              <w:rPr>
                <w:sz w:val="20"/>
              </w:rPr>
              <w:t>A cold start</w:t>
            </w:r>
            <w:r w:rsidR="00B94C14">
              <w:rPr>
                <w:sz w:val="20"/>
              </w:rPr>
              <w:t>.</w:t>
            </w:r>
            <w:r w:rsidRPr="00B6651E">
              <w:rPr>
                <w:sz w:val="20"/>
              </w:rPr>
              <w:t xml:space="preserve"> </w:t>
            </w:r>
          </w:p>
        </w:tc>
      </w:tr>
    </w:tbl>
    <w:p w14:paraId="1F57EE6B" w14:textId="77777777" w:rsidR="00B6651E" w:rsidRPr="00B6651E" w:rsidRDefault="00B6651E" w:rsidP="00B6651E">
      <w:pPr>
        <w:spacing w:before="240" w:after="240"/>
        <w:ind w:left="720" w:hanging="720"/>
        <w:rPr>
          <w:szCs w:val="24"/>
        </w:rPr>
      </w:pPr>
      <w:r w:rsidRPr="00B6651E">
        <w:rPr>
          <w:szCs w:val="24"/>
        </w:rPr>
        <w:lastRenderedPageBreak/>
        <w:t>(8)</w:t>
      </w:r>
      <w:r w:rsidRPr="00B6651E">
        <w:rPr>
          <w:szCs w:val="24"/>
        </w:rPr>
        <w:tab/>
        <w:t>The total compensation to each QSE for a trip Off-Line due to ERCOT CMP or equivalent VDI for the 15-minute Settlement Interval is calculated as follows:</w:t>
      </w:r>
    </w:p>
    <w:p w14:paraId="0B623247" w14:textId="77777777" w:rsidR="00B6651E" w:rsidRPr="00B6651E" w:rsidRDefault="00B6651E" w:rsidP="00B6651E">
      <w:pPr>
        <w:spacing w:after="240"/>
        <w:ind w:left="720" w:firstLine="630"/>
        <w:rPr>
          <w:bCs/>
          <w:iCs/>
          <w:szCs w:val="24"/>
        </w:rPr>
      </w:pPr>
      <w:r w:rsidRPr="00B6651E">
        <w:rPr>
          <w:b/>
          <w:szCs w:val="24"/>
        </w:rPr>
        <w:t>CMPCRAMTQSETOT</w:t>
      </w:r>
      <w:r w:rsidRPr="00B6651E">
        <w:rPr>
          <w:b/>
          <w:i/>
          <w:szCs w:val="24"/>
          <w:vertAlign w:val="subscript"/>
        </w:rPr>
        <w:t xml:space="preserve"> q, i</w:t>
      </w:r>
      <w:r w:rsidRPr="00B6651E">
        <w:rPr>
          <w:b/>
          <w:szCs w:val="24"/>
        </w:rPr>
        <w:t xml:space="preserve"> = </w:t>
      </w:r>
      <w:r w:rsidRPr="00B6651E">
        <w:rPr>
          <w:b/>
          <w:noProof/>
          <w:position w:val="-28"/>
          <w:szCs w:val="24"/>
        </w:rPr>
        <w:drawing>
          <wp:inline distT="0" distB="0" distL="0" distR="0" wp14:anchorId="189847C3" wp14:editId="2505D1EB">
            <wp:extent cx="295275" cy="419100"/>
            <wp:effectExtent l="0" t="0" r="0" b="0"/>
            <wp:docPr id="1101301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Pr="00B6651E">
        <w:rPr>
          <w:b/>
          <w:noProof/>
          <w:position w:val="-30"/>
          <w:szCs w:val="24"/>
        </w:rPr>
        <w:drawing>
          <wp:inline distT="0" distB="0" distL="0" distR="0" wp14:anchorId="6B52E22F" wp14:editId="65BC1FA8">
            <wp:extent cx="295275" cy="457200"/>
            <wp:effectExtent l="0" t="0" r="0" b="0"/>
            <wp:docPr id="1939986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B6651E">
        <w:rPr>
          <w:b/>
          <w:szCs w:val="24"/>
        </w:rPr>
        <w:t>CMPCRAMT</w:t>
      </w:r>
      <w:r w:rsidRPr="00B6651E">
        <w:rPr>
          <w:b/>
          <w:i/>
          <w:szCs w:val="24"/>
          <w:vertAlign w:val="subscript"/>
        </w:rPr>
        <w:t xml:space="preserve"> q, r, p, i</w:t>
      </w:r>
    </w:p>
    <w:p w14:paraId="512F7DA2" w14:textId="77777777" w:rsidR="00B6651E" w:rsidRPr="00B6651E" w:rsidRDefault="00B6651E" w:rsidP="00B6651E">
      <w:pPr>
        <w:spacing w:before="120"/>
        <w:rPr>
          <w:szCs w:val="24"/>
        </w:rPr>
      </w:pPr>
      <w:r w:rsidRPr="00B6651E">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B6651E" w:rsidRPr="00B6651E" w14:paraId="4FA398B0" w14:textId="77777777" w:rsidTr="00E844EE">
        <w:trPr>
          <w:cantSplit/>
          <w:tblHeader/>
        </w:trPr>
        <w:tc>
          <w:tcPr>
            <w:tcW w:w="1231" w:type="pct"/>
            <w:tcBorders>
              <w:top w:val="single" w:sz="4" w:space="0" w:color="auto"/>
              <w:left w:val="single" w:sz="4" w:space="0" w:color="auto"/>
              <w:bottom w:val="single" w:sz="4" w:space="0" w:color="auto"/>
              <w:right w:val="single" w:sz="4" w:space="0" w:color="auto"/>
            </w:tcBorders>
            <w:hideMark/>
          </w:tcPr>
          <w:p w14:paraId="25F39C03" w14:textId="77777777" w:rsidR="00B6651E" w:rsidRPr="00B6651E" w:rsidRDefault="00B6651E" w:rsidP="00494238">
            <w:pPr>
              <w:spacing w:after="240"/>
              <w:rPr>
                <w:b/>
                <w:iCs/>
                <w:kern w:val="2"/>
                <w:sz w:val="20"/>
                <w:szCs w:val="24"/>
              </w:rPr>
            </w:pPr>
            <w:r w:rsidRPr="00B6651E">
              <w:rPr>
                <w:b/>
                <w:iCs/>
                <w:kern w:val="2"/>
                <w:sz w:val="20"/>
                <w:szCs w:val="24"/>
              </w:rPr>
              <w:t>Variable</w:t>
            </w:r>
          </w:p>
        </w:tc>
        <w:tc>
          <w:tcPr>
            <w:tcW w:w="474" w:type="pct"/>
            <w:tcBorders>
              <w:top w:val="single" w:sz="4" w:space="0" w:color="auto"/>
              <w:left w:val="single" w:sz="4" w:space="0" w:color="auto"/>
              <w:bottom w:val="single" w:sz="4" w:space="0" w:color="auto"/>
              <w:right w:val="single" w:sz="4" w:space="0" w:color="auto"/>
            </w:tcBorders>
            <w:hideMark/>
          </w:tcPr>
          <w:p w14:paraId="0DB4ED52" w14:textId="77777777" w:rsidR="00B6651E" w:rsidRPr="00B6651E" w:rsidRDefault="00B6651E" w:rsidP="00494238">
            <w:pPr>
              <w:spacing w:after="240"/>
              <w:rPr>
                <w:b/>
                <w:iCs/>
                <w:kern w:val="2"/>
                <w:sz w:val="20"/>
                <w:szCs w:val="24"/>
              </w:rPr>
            </w:pPr>
            <w:r w:rsidRPr="00B6651E">
              <w:rPr>
                <w:b/>
                <w:iCs/>
                <w:kern w:val="2"/>
                <w:sz w:val="20"/>
                <w:szCs w:val="24"/>
              </w:rPr>
              <w:t>Unit</w:t>
            </w:r>
          </w:p>
        </w:tc>
        <w:tc>
          <w:tcPr>
            <w:tcW w:w="3295" w:type="pct"/>
            <w:tcBorders>
              <w:top w:val="single" w:sz="4" w:space="0" w:color="auto"/>
              <w:left w:val="single" w:sz="4" w:space="0" w:color="auto"/>
              <w:bottom w:val="single" w:sz="4" w:space="0" w:color="auto"/>
              <w:right w:val="single" w:sz="4" w:space="0" w:color="auto"/>
            </w:tcBorders>
            <w:hideMark/>
          </w:tcPr>
          <w:p w14:paraId="7101082D" w14:textId="77777777" w:rsidR="00B6651E" w:rsidRPr="00B6651E" w:rsidRDefault="00B6651E" w:rsidP="00494238">
            <w:pPr>
              <w:spacing w:after="240"/>
              <w:rPr>
                <w:b/>
                <w:iCs/>
                <w:kern w:val="2"/>
                <w:sz w:val="20"/>
                <w:szCs w:val="24"/>
              </w:rPr>
            </w:pPr>
            <w:r w:rsidRPr="00B6651E">
              <w:rPr>
                <w:b/>
                <w:iCs/>
                <w:kern w:val="2"/>
                <w:sz w:val="20"/>
                <w:szCs w:val="24"/>
              </w:rPr>
              <w:t>Definition</w:t>
            </w:r>
          </w:p>
        </w:tc>
      </w:tr>
      <w:tr w:rsidR="00B6651E" w:rsidRPr="00B6651E" w14:paraId="096EFFF5" w14:textId="77777777" w:rsidTr="00E844EE">
        <w:trPr>
          <w:cantSplit/>
        </w:trPr>
        <w:tc>
          <w:tcPr>
            <w:tcW w:w="1231" w:type="pct"/>
            <w:tcBorders>
              <w:top w:val="single" w:sz="4" w:space="0" w:color="auto"/>
              <w:left w:val="single" w:sz="4" w:space="0" w:color="auto"/>
              <w:bottom w:val="single" w:sz="4" w:space="0" w:color="auto"/>
              <w:right w:val="single" w:sz="4" w:space="0" w:color="auto"/>
            </w:tcBorders>
            <w:hideMark/>
          </w:tcPr>
          <w:p w14:paraId="522578F8" w14:textId="77777777" w:rsidR="00B6651E" w:rsidRPr="00B6651E" w:rsidRDefault="00B6651E" w:rsidP="00494238">
            <w:pPr>
              <w:spacing w:after="60"/>
              <w:rPr>
                <w:iCs/>
                <w:kern w:val="2"/>
                <w:sz w:val="20"/>
                <w:szCs w:val="24"/>
              </w:rPr>
            </w:pPr>
            <w:r w:rsidRPr="00B6651E">
              <w:rPr>
                <w:iCs/>
                <w:kern w:val="2"/>
                <w:sz w:val="20"/>
                <w:szCs w:val="24"/>
              </w:rPr>
              <w:t xml:space="preserve">CMPCRAMT </w:t>
            </w:r>
            <w:r w:rsidRPr="00B6651E">
              <w:rPr>
                <w:i/>
                <w:iCs/>
                <w:kern w:val="2"/>
                <w:sz w:val="20"/>
                <w:szCs w:val="24"/>
                <w:vertAlign w:val="subscript"/>
              </w:rPr>
              <w:t>q, r, p, i</w:t>
            </w:r>
          </w:p>
        </w:tc>
        <w:tc>
          <w:tcPr>
            <w:tcW w:w="474" w:type="pct"/>
            <w:tcBorders>
              <w:top w:val="single" w:sz="4" w:space="0" w:color="auto"/>
              <w:left w:val="single" w:sz="4" w:space="0" w:color="auto"/>
              <w:bottom w:val="single" w:sz="4" w:space="0" w:color="auto"/>
              <w:right w:val="single" w:sz="4" w:space="0" w:color="auto"/>
            </w:tcBorders>
            <w:hideMark/>
          </w:tcPr>
          <w:p w14:paraId="029EA48E" w14:textId="77777777" w:rsidR="00B6651E" w:rsidRPr="00B6651E" w:rsidRDefault="00B6651E" w:rsidP="00494238">
            <w:pPr>
              <w:spacing w:after="60"/>
              <w:rPr>
                <w:iCs/>
                <w:kern w:val="2"/>
                <w:sz w:val="20"/>
                <w:szCs w:val="24"/>
              </w:rPr>
            </w:pPr>
            <w:r w:rsidRPr="00B6651E">
              <w:rPr>
                <w:iCs/>
                <w:kern w:val="2"/>
                <w:sz w:val="20"/>
                <w:szCs w:val="24"/>
              </w:rPr>
              <w:t>$</w:t>
            </w:r>
          </w:p>
        </w:tc>
        <w:tc>
          <w:tcPr>
            <w:tcW w:w="3295" w:type="pct"/>
            <w:tcBorders>
              <w:top w:val="single" w:sz="4" w:space="0" w:color="auto"/>
              <w:left w:val="single" w:sz="4" w:space="0" w:color="auto"/>
              <w:bottom w:val="single" w:sz="4" w:space="0" w:color="auto"/>
              <w:right w:val="single" w:sz="4" w:space="0" w:color="auto"/>
            </w:tcBorders>
            <w:hideMark/>
          </w:tcPr>
          <w:p w14:paraId="1B1B82A0" w14:textId="069CBFBF" w:rsidR="00B6651E" w:rsidRPr="00B6651E" w:rsidRDefault="00B6651E" w:rsidP="00494238">
            <w:pPr>
              <w:spacing w:after="60"/>
              <w:rPr>
                <w:iCs/>
                <w:kern w:val="2"/>
                <w:sz w:val="20"/>
                <w:szCs w:val="24"/>
              </w:rPr>
            </w:pPr>
            <w:r w:rsidRPr="00B6651E">
              <w:rPr>
                <w:i/>
                <w:iCs/>
                <w:kern w:val="2"/>
                <w:sz w:val="20"/>
                <w:szCs w:val="24"/>
              </w:rPr>
              <w:t>Constraint Management Plan Cost Recovery Amount per QSE per Generation Resource</w:t>
            </w:r>
            <w:r w:rsidRPr="00B6651E">
              <w:rPr>
                <w:iCs/>
                <w:kern w:val="2"/>
                <w:sz w:val="20"/>
                <w:szCs w:val="24"/>
              </w:rPr>
              <w:t xml:space="preserve">—The payment to QSE </w:t>
            </w:r>
            <w:r w:rsidRPr="00B6651E">
              <w:rPr>
                <w:i/>
                <w:iCs/>
                <w:kern w:val="2"/>
                <w:sz w:val="20"/>
                <w:szCs w:val="24"/>
              </w:rPr>
              <w:t>q</w:t>
            </w:r>
            <w:r w:rsidRPr="00B6651E">
              <w:rPr>
                <w:iCs/>
                <w:kern w:val="2"/>
                <w:sz w:val="20"/>
                <w:szCs w:val="24"/>
              </w:rPr>
              <w:t xml:space="preserve"> during eligible hours of a Resource trip Off-Line from an ERCOT-issued CMP unit trip or equivalent VDI for Generation Resource </w:t>
            </w:r>
            <w:r w:rsidRPr="00B6651E">
              <w:rPr>
                <w:i/>
                <w:iCs/>
                <w:kern w:val="2"/>
                <w:sz w:val="20"/>
                <w:szCs w:val="24"/>
              </w:rPr>
              <w:t>r</w:t>
            </w:r>
            <w:r w:rsidRPr="00B6651E">
              <w:rPr>
                <w:iCs/>
                <w:kern w:val="2"/>
                <w:sz w:val="20"/>
                <w:szCs w:val="24"/>
              </w:rPr>
              <w:t xml:space="preserve"> at Settlement Point </w:t>
            </w:r>
            <w:r w:rsidRPr="00B6651E">
              <w:rPr>
                <w:i/>
                <w:iCs/>
                <w:kern w:val="2"/>
                <w:sz w:val="20"/>
                <w:szCs w:val="24"/>
              </w:rPr>
              <w:t xml:space="preserve">p </w:t>
            </w:r>
            <w:r w:rsidRPr="00B6651E">
              <w:rPr>
                <w:iCs/>
                <w:kern w:val="2"/>
                <w:sz w:val="20"/>
                <w:szCs w:val="24"/>
              </w:rPr>
              <w:t xml:space="preserve">for the 15-minute Settlement Interval </w:t>
            </w:r>
            <w:r w:rsidRPr="00B6651E">
              <w:rPr>
                <w:i/>
                <w:iCs/>
                <w:kern w:val="2"/>
                <w:sz w:val="20"/>
                <w:szCs w:val="24"/>
              </w:rPr>
              <w:t>i</w:t>
            </w:r>
            <w:r w:rsidRPr="00B6651E">
              <w:rPr>
                <w:iCs/>
                <w:kern w:val="2"/>
                <w:sz w:val="20"/>
                <w:szCs w:val="24"/>
              </w:rPr>
              <w:t xml:space="preserve">.  For a </w:t>
            </w:r>
            <w:r w:rsidR="002A7971">
              <w:rPr>
                <w:iCs/>
                <w:kern w:val="2"/>
                <w:sz w:val="20"/>
                <w:szCs w:val="24"/>
              </w:rPr>
              <w:t>c</w:t>
            </w:r>
            <w:r w:rsidRPr="00B6651E">
              <w:rPr>
                <w:iCs/>
                <w:kern w:val="2"/>
                <w:sz w:val="20"/>
                <w:szCs w:val="24"/>
              </w:rPr>
              <w:t xml:space="preserve">ombined </w:t>
            </w:r>
            <w:r w:rsidR="002A7971">
              <w:rPr>
                <w:iCs/>
                <w:kern w:val="2"/>
                <w:sz w:val="20"/>
                <w:szCs w:val="24"/>
              </w:rPr>
              <w:t>c</w:t>
            </w:r>
            <w:r w:rsidRPr="00B6651E">
              <w:rPr>
                <w:iCs/>
                <w:kern w:val="2"/>
                <w:sz w:val="20"/>
                <w:szCs w:val="24"/>
              </w:rPr>
              <w:t xml:space="preserve">ycle Resource </w:t>
            </w:r>
            <w:r w:rsidRPr="00B6651E">
              <w:rPr>
                <w:i/>
                <w:iCs/>
                <w:kern w:val="2"/>
                <w:sz w:val="20"/>
                <w:szCs w:val="24"/>
              </w:rPr>
              <w:t>r</w:t>
            </w:r>
            <w:r w:rsidRPr="00B6651E">
              <w:rPr>
                <w:iCs/>
                <w:kern w:val="2"/>
                <w:sz w:val="20"/>
                <w:szCs w:val="24"/>
              </w:rPr>
              <w:t xml:space="preserve"> is a Combined Cycle Train.</w:t>
            </w:r>
          </w:p>
        </w:tc>
      </w:tr>
      <w:tr w:rsidR="00B6651E" w:rsidRPr="00B6651E" w14:paraId="020409AE" w14:textId="77777777" w:rsidTr="00E844EE">
        <w:trPr>
          <w:cantSplit/>
        </w:trPr>
        <w:tc>
          <w:tcPr>
            <w:tcW w:w="1231" w:type="pct"/>
            <w:tcBorders>
              <w:top w:val="single" w:sz="4" w:space="0" w:color="auto"/>
              <w:left w:val="single" w:sz="4" w:space="0" w:color="auto"/>
              <w:bottom w:val="single" w:sz="4" w:space="0" w:color="auto"/>
              <w:right w:val="single" w:sz="4" w:space="0" w:color="auto"/>
            </w:tcBorders>
            <w:hideMark/>
          </w:tcPr>
          <w:p w14:paraId="025E1D98" w14:textId="77777777" w:rsidR="00B6651E" w:rsidRPr="00B6651E" w:rsidRDefault="00B6651E" w:rsidP="00494238">
            <w:pPr>
              <w:spacing w:after="60"/>
              <w:rPr>
                <w:iCs/>
                <w:kern w:val="2"/>
                <w:sz w:val="20"/>
                <w:szCs w:val="24"/>
              </w:rPr>
            </w:pPr>
            <w:r w:rsidRPr="00B6651E">
              <w:rPr>
                <w:iCs/>
                <w:kern w:val="2"/>
                <w:sz w:val="20"/>
                <w:szCs w:val="24"/>
              </w:rPr>
              <w:t>CMPCRAMTQSETOT</w:t>
            </w:r>
            <w:r w:rsidRPr="00B6651E">
              <w:rPr>
                <w:iCs/>
                <w:kern w:val="2"/>
                <w:sz w:val="20"/>
                <w:szCs w:val="24"/>
                <w:vertAlign w:val="subscript"/>
              </w:rPr>
              <w:t xml:space="preserve"> </w:t>
            </w:r>
            <w:r w:rsidRPr="00B6651E">
              <w:rPr>
                <w:i/>
                <w:kern w:val="2"/>
                <w:sz w:val="20"/>
                <w:szCs w:val="24"/>
                <w:vertAlign w:val="subscript"/>
              </w:rPr>
              <w:t>q</w:t>
            </w:r>
            <w:r w:rsidRPr="00B6651E">
              <w:rPr>
                <w:rFonts w:ascii="Times New Roman Bold" w:hAnsi="Times New Roman Bold"/>
                <w:i/>
                <w:iCs/>
                <w:kern w:val="2"/>
                <w:sz w:val="20"/>
                <w:szCs w:val="24"/>
                <w:vertAlign w:val="subscript"/>
              </w:rPr>
              <w:t xml:space="preserve">, </w:t>
            </w:r>
            <w:r w:rsidRPr="00B6651E">
              <w:rPr>
                <w:i/>
                <w:iCs/>
                <w:kern w:val="2"/>
                <w:sz w:val="20"/>
                <w:szCs w:val="24"/>
                <w:vertAlign w:val="subscript"/>
              </w:rPr>
              <w:t>i</w:t>
            </w:r>
          </w:p>
        </w:tc>
        <w:tc>
          <w:tcPr>
            <w:tcW w:w="474" w:type="pct"/>
            <w:tcBorders>
              <w:top w:val="single" w:sz="4" w:space="0" w:color="auto"/>
              <w:left w:val="single" w:sz="4" w:space="0" w:color="auto"/>
              <w:bottom w:val="single" w:sz="4" w:space="0" w:color="auto"/>
              <w:right w:val="single" w:sz="4" w:space="0" w:color="auto"/>
            </w:tcBorders>
            <w:hideMark/>
          </w:tcPr>
          <w:p w14:paraId="6FA1FD8C" w14:textId="77777777" w:rsidR="00B6651E" w:rsidRPr="00B6651E" w:rsidRDefault="00B6651E" w:rsidP="00494238">
            <w:pPr>
              <w:spacing w:after="60"/>
              <w:rPr>
                <w:i/>
                <w:iCs/>
                <w:kern w:val="2"/>
                <w:sz w:val="20"/>
                <w:szCs w:val="24"/>
              </w:rPr>
            </w:pPr>
            <w:r w:rsidRPr="00B6651E">
              <w:rPr>
                <w:iCs/>
                <w:kern w:val="2"/>
                <w:sz w:val="20"/>
                <w:szCs w:val="24"/>
              </w:rPr>
              <w:t>$</w:t>
            </w:r>
          </w:p>
        </w:tc>
        <w:tc>
          <w:tcPr>
            <w:tcW w:w="3295" w:type="pct"/>
            <w:tcBorders>
              <w:top w:val="single" w:sz="4" w:space="0" w:color="auto"/>
              <w:left w:val="single" w:sz="4" w:space="0" w:color="auto"/>
              <w:bottom w:val="single" w:sz="4" w:space="0" w:color="auto"/>
              <w:right w:val="single" w:sz="4" w:space="0" w:color="auto"/>
            </w:tcBorders>
            <w:hideMark/>
          </w:tcPr>
          <w:p w14:paraId="3488DFF2" w14:textId="77777777" w:rsidR="00B6651E" w:rsidRPr="00B6651E" w:rsidRDefault="00B6651E" w:rsidP="00494238">
            <w:pPr>
              <w:spacing w:after="60"/>
              <w:rPr>
                <w:iCs/>
                <w:kern w:val="2"/>
                <w:sz w:val="20"/>
                <w:szCs w:val="24"/>
              </w:rPr>
            </w:pPr>
            <w:r w:rsidRPr="00B6651E">
              <w:rPr>
                <w:i/>
                <w:iCs/>
                <w:kern w:val="2"/>
                <w:sz w:val="20"/>
                <w:szCs w:val="24"/>
              </w:rPr>
              <w:t>Constraint Management Plan Cost Recovery Amount QSE Total per QSE</w:t>
            </w:r>
            <w:r w:rsidRPr="00B6651E">
              <w:rPr>
                <w:iCs/>
                <w:kern w:val="2"/>
                <w:sz w:val="20"/>
                <w:szCs w:val="24"/>
              </w:rPr>
              <w:t xml:space="preserve">—The total of the cost recovery payments to QSE </w:t>
            </w:r>
            <w:r w:rsidRPr="00B6651E">
              <w:rPr>
                <w:i/>
                <w:iCs/>
                <w:kern w:val="2"/>
                <w:sz w:val="20"/>
                <w:szCs w:val="24"/>
              </w:rPr>
              <w:t>q</w:t>
            </w:r>
            <w:r w:rsidRPr="00B6651E">
              <w:rPr>
                <w:iCs/>
                <w:kern w:val="2"/>
                <w:sz w:val="20"/>
                <w:szCs w:val="24"/>
              </w:rPr>
              <w:t xml:space="preserve"> due to an ERCOT-issued CMP or equivalent VDI for the 15-minute Settlement Interval </w:t>
            </w:r>
            <w:r w:rsidRPr="00B6651E">
              <w:rPr>
                <w:i/>
                <w:iCs/>
                <w:kern w:val="2"/>
                <w:sz w:val="20"/>
                <w:szCs w:val="24"/>
              </w:rPr>
              <w:t>i</w:t>
            </w:r>
            <w:r w:rsidRPr="00B6651E">
              <w:rPr>
                <w:iCs/>
                <w:kern w:val="2"/>
                <w:sz w:val="20"/>
                <w:szCs w:val="24"/>
              </w:rPr>
              <w:t>.</w:t>
            </w:r>
          </w:p>
        </w:tc>
      </w:tr>
      <w:tr w:rsidR="00B6651E" w:rsidRPr="00B6651E" w14:paraId="09700DFD" w14:textId="77777777" w:rsidTr="00E844EE">
        <w:trPr>
          <w:cantSplit/>
        </w:trPr>
        <w:tc>
          <w:tcPr>
            <w:tcW w:w="1231" w:type="pct"/>
            <w:tcBorders>
              <w:top w:val="single" w:sz="4" w:space="0" w:color="auto"/>
              <w:left w:val="single" w:sz="4" w:space="0" w:color="auto"/>
              <w:bottom w:val="single" w:sz="4" w:space="0" w:color="auto"/>
              <w:right w:val="single" w:sz="4" w:space="0" w:color="auto"/>
            </w:tcBorders>
            <w:hideMark/>
          </w:tcPr>
          <w:p w14:paraId="6FF4059D" w14:textId="77777777" w:rsidR="00B6651E" w:rsidRPr="00B6651E" w:rsidRDefault="00B6651E" w:rsidP="00494238">
            <w:pPr>
              <w:spacing w:after="60"/>
              <w:rPr>
                <w:i/>
                <w:iCs/>
                <w:kern w:val="2"/>
                <w:sz w:val="20"/>
                <w:szCs w:val="24"/>
              </w:rPr>
            </w:pPr>
            <w:r w:rsidRPr="00B6651E">
              <w:rPr>
                <w:i/>
                <w:iCs/>
                <w:kern w:val="2"/>
                <w:sz w:val="20"/>
                <w:szCs w:val="24"/>
              </w:rPr>
              <w:t>q</w:t>
            </w:r>
          </w:p>
        </w:tc>
        <w:tc>
          <w:tcPr>
            <w:tcW w:w="474" w:type="pct"/>
            <w:tcBorders>
              <w:top w:val="single" w:sz="4" w:space="0" w:color="auto"/>
              <w:left w:val="single" w:sz="4" w:space="0" w:color="auto"/>
              <w:bottom w:val="single" w:sz="4" w:space="0" w:color="auto"/>
              <w:right w:val="single" w:sz="4" w:space="0" w:color="auto"/>
            </w:tcBorders>
            <w:hideMark/>
          </w:tcPr>
          <w:p w14:paraId="7F885B15" w14:textId="77777777" w:rsidR="00B6651E" w:rsidRPr="00B6651E" w:rsidRDefault="00B6651E" w:rsidP="00494238">
            <w:pPr>
              <w:spacing w:after="60"/>
              <w:rPr>
                <w:iCs/>
                <w:kern w:val="2"/>
                <w:sz w:val="20"/>
                <w:szCs w:val="24"/>
              </w:rPr>
            </w:pPr>
            <w:r w:rsidRPr="00B6651E">
              <w:rPr>
                <w:iCs/>
                <w:kern w:val="2"/>
                <w:sz w:val="20"/>
                <w:szCs w:val="24"/>
              </w:rPr>
              <w:t>none</w:t>
            </w:r>
          </w:p>
        </w:tc>
        <w:tc>
          <w:tcPr>
            <w:tcW w:w="3295" w:type="pct"/>
            <w:tcBorders>
              <w:top w:val="single" w:sz="4" w:space="0" w:color="auto"/>
              <w:left w:val="single" w:sz="4" w:space="0" w:color="auto"/>
              <w:bottom w:val="single" w:sz="4" w:space="0" w:color="auto"/>
              <w:right w:val="single" w:sz="4" w:space="0" w:color="auto"/>
            </w:tcBorders>
            <w:hideMark/>
          </w:tcPr>
          <w:p w14:paraId="2D1B3FEC" w14:textId="77777777" w:rsidR="00B6651E" w:rsidRPr="00B6651E" w:rsidRDefault="00B6651E" w:rsidP="00494238">
            <w:pPr>
              <w:spacing w:after="60"/>
              <w:rPr>
                <w:iCs/>
                <w:kern w:val="2"/>
                <w:sz w:val="20"/>
                <w:szCs w:val="24"/>
              </w:rPr>
            </w:pPr>
            <w:r w:rsidRPr="00B6651E">
              <w:rPr>
                <w:iCs/>
                <w:kern w:val="2"/>
                <w:sz w:val="20"/>
                <w:szCs w:val="24"/>
              </w:rPr>
              <w:t>A QSE.</w:t>
            </w:r>
          </w:p>
        </w:tc>
      </w:tr>
      <w:tr w:rsidR="00B6651E" w:rsidRPr="00B6651E" w14:paraId="79DDCFB7" w14:textId="77777777" w:rsidTr="00E844EE">
        <w:trPr>
          <w:cantSplit/>
        </w:trPr>
        <w:tc>
          <w:tcPr>
            <w:tcW w:w="1231" w:type="pct"/>
            <w:tcBorders>
              <w:top w:val="single" w:sz="4" w:space="0" w:color="auto"/>
              <w:left w:val="single" w:sz="4" w:space="0" w:color="auto"/>
              <w:bottom w:val="single" w:sz="4" w:space="0" w:color="auto"/>
              <w:right w:val="single" w:sz="4" w:space="0" w:color="auto"/>
            </w:tcBorders>
            <w:hideMark/>
          </w:tcPr>
          <w:p w14:paraId="2AD560CD" w14:textId="77777777" w:rsidR="00B6651E" w:rsidRPr="00B6651E" w:rsidRDefault="00B6651E" w:rsidP="00494238">
            <w:pPr>
              <w:spacing w:after="60"/>
              <w:rPr>
                <w:i/>
                <w:iCs/>
                <w:kern w:val="2"/>
                <w:sz w:val="20"/>
                <w:szCs w:val="24"/>
              </w:rPr>
            </w:pPr>
            <w:r w:rsidRPr="00B6651E">
              <w:rPr>
                <w:i/>
                <w:iCs/>
                <w:kern w:val="2"/>
                <w:sz w:val="20"/>
                <w:szCs w:val="24"/>
              </w:rPr>
              <w:t>r</w:t>
            </w:r>
          </w:p>
        </w:tc>
        <w:tc>
          <w:tcPr>
            <w:tcW w:w="474" w:type="pct"/>
            <w:tcBorders>
              <w:top w:val="single" w:sz="4" w:space="0" w:color="auto"/>
              <w:left w:val="single" w:sz="4" w:space="0" w:color="auto"/>
              <w:bottom w:val="single" w:sz="4" w:space="0" w:color="auto"/>
              <w:right w:val="single" w:sz="4" w:space="0" w:color="auto"/>
            </w:tcBorders>
            <w:hideMark/>
          </w:tcPr>
          <w:p w14:paraId="56EF73A9" w14:textId="77777777" w:rsidR="00B6651E" w:rsidRPr="00B6651E" w:rsidRDefault="00B6651E" w:rsidP="00494238">
            <w:pPr>
              <w:spacing w:after="60"/>
              <w:rPr>
                <w:iCs/>
                <w:kern w:val="2"/>
                <w:sz w:val="20"/>
                <w:szCs w:val="24"/>
              </w:rPr>
            </w:pPr>
            <w:r w:rsidRPr="00B6651E">
              <w:rPr>
                <w:iCs/>
                <w:kern w:val="2"/>
                <w:sz w:val="20"/>
                <w:szCs w:val="24"/>
              </w:rPr>
              <w:t>none</w:t>
            </w:r>
          </w:p>
        </w:tc>
        <w:tc>
          <w:tcPr>
            <w:tcW w:w="3295" w:type="pct"/>
            <w:tcBorders>
              <w:top w:val="single" w:sz="4" w:space="0" w:color="auto"/>
              <w:left w:val="single" w:sz="4" w:space="0" w:color="auto"/>
              <w:bottom w:val="single" w:sz="4" w:space="0" w:color="auto"/>
              <w:right w:val="single" w:sz="4" w:space="0" w:color="auto"/>
            </w:tcBorders>
            <w:hideMark/>
          </w:tcPr>
          <w:p w14:paraId="3B34F668" w14:textId="77777777" w:rsidR="00B6651E" w:rsidRPr="00B6651E" w:rsidRDefault="00B6651E" w:rsidP="00494238">
            <w:pPr>
              <w:spacing w:after="60"/>
              <w:rPr>
                <w:iCs/>
                <w:kern w:val="2"/>
                <w:sz w:val="20"/>
                <w:szCs w:val="24"/>
              </w:rPr>
            </w:pPr>
            <w:r w:rsidRPr="00B6651E">
              <w:rPr>
                <w:iCs/>
                <w:kern w:val="2"/>
                <w:sz w:val="20"/>
                <w:szCs w:val="24"/>
              </w:rPr>
              <w:t>A Generation Resource.</w:t>
            </w:r>
          </w:p>
        </w:tc>
      </w:tr>
      <w:tr w:rsidR="00B6651E" w:rsidRPr="00B6651E" w14:paraId="5DA8889E" w14:textId="77777777" w:rsidTr="00E844EE">
        <w:trPr>
          <w:cantSplit/>
        </w:trPr>
        <w:tc>
          <w:tcPr>
            <w:tcW w:w="1231" w:type="pct"/>
            <w:tcBorders>
              <w:top w:val="single" w:sz="4" w:space="0" w:color="auto"/>
              <w:left w:val="single" w:sz="4" w:space="0" w:color="auto"/>
              <w:bottom w:val="single" w:sz="4" w:space="0" w:color="auto"/>
              <w:right w:val="single" w:sz="4" w:space="0" w:color="auto"/>
            </w:tcBorders>
            <w:hideMark/>
          </w:tcPr>
          <w:p w14:paraId="4D769AD0" w14:textId="77777777" w:rsidR="00B6651E" w:rsidRPr="00B6651E" w:rsidRDefault="00B6651E" w:rsidP="00494238">
            <w:pPr>
              <w:spacing w:after="60"/>
              <w:rPr>
                <w:i/>
                <w:iCs/>
                <w:kern w:val="2"/>
                <w:sz w:val="20"/>
                <w:szCs w:val="24"/>
              </w:rPr>
            </w:pPr>
            <w:r w:rsidRPr="00B6651E">
              <w:rPr>
                <w:i/>
                <w:iCs/>
                <w:kern w:val="2"/>
                <w:sz w:val="20"/>
                <w:szCs w:val="24"/>
              </w:rPr>
              <w:t>p</w:t>
            </w:r>
          </w:p>
        </w:tc>
        <w:tc>
          <w:tcPr>
            <w:tcW w:w="474" w:type="pct"/>
            <w:tcBorders>
              <w:top w:val="single" w:sz="4" w:space="0" w:color="auto"/>
              <w:left w:val="single" w:sz="4" w:space="0" w:color="auto"/>
              <w:bottom w:val="single" w:sz="4" w:space="0" w:color="auto"/>
              <w:right w:val="single" w:sz="4" w:space="0" w:color="auto"/>
            </w:tcBorders>
            <w:hideMark/>
          </w:tcPr>
          <w:p w14:paraId="5A1DF6CD" w14:textId="77777777" w:rsidR="00B6651E" w:rsidRPr="00B6651E" w:rsidRDefault="00B6651E" w:rsidP="00494238">
            <w:pPr>
              <w:spacing w:after="60"/>
              <w:rPr>
                <w:iCs/>
                <w:kern w:val="2"/>
                <w:sz w:val="20"/>
                <w:szCs w:val="24"/>
              </w:rPr>
            </w:pPr>
            <w:r w:rsidRPr="00B6651E">
              <w:rPr>
                <w:iCs/>
                <w:kern w:val="2"/>
                <w:sz w:val="20"/>
                <w:szCs w:val="24"/>
              </w:rPr>
              <w:t>none</w:t>
            </w:r>
          </w:p>
        </w:tc>
        <w:tc>
          <w:tcPr>
            <w:tcW w:w="3295" w:type="pct"/>
            <w:tcBorders>
              <w:top w:val="single" w:sz="4" w:space="0" w:color="auto"/>
              <w:left w:val="single" w:sz="4" w:space="0" w:color="auto"/>
              <w:bottom w:val="single" w:sz="4" w:space="0" w:color="auto"/>
              <w:right w:val="single" w:sz="4" w:space="0" w:color="auto"/>
            </w:tcBorders>
            <w:hideMark/>
          </w:tcPr>
          <w:p w14:paraId="4A91FD20" w14:textId="77777777" w:rsidR="00B6651E" w:rsidRPr="00B6651E" w:rsidRDefault="00B6651E" w:rsidP="00494238">
            <w:pPr>
              <w:spacing w:after="60"/>
              <w:rPr>
                <w:iCs/>
                <w:kern w:val="2"/>
                <w:sz w:val="18"/>
                <w:szCs w:val="18"/>
              </w:rPr>
            </w:pPr>
            <w:r w:rsidRPr="00B6651E">
              <w:rPr>
                <w:iCs/>
                <w:kern w:val="2"/>
                <w:sz w:val="20"/>
                <w:szCs w:val="24"/>
              </w:rPr>
              <w:t>A Resource Node Settlement Point.</w:t>
            </w:r>
          </w:p>
        </w:tc>
      </w:tr>
      <w:tr w:rsidR="00B6651E" w:rsidRPr="00B6651E" w14:paraId="15A0E012" w14:textId="77777777" w:rsidTr="00E844EE">
        <w:trPr>
          <w:cantSplit/>
        </w:trPr>
        <w:tc>
          <w:tcPr>
            <w:tcW w:w="1231" w:type="pct"/>
            <w:tcBorders>
              <w:top w:val="single" w:sz="4" w:space="0" w:color="auto"/>
              <w:left w:val="single" w:sz="4" w:space="0" w:color="auto"/>
              <w:bottom w:val="single" w:sz="4" w:space="0" w:color="auto"/>
              <w:right w:val="single" w:sz="4" w:space="0" w:color="auto"/>
            </w:tcBorders>
            <w:hideMark/>
          </w:tcPr>
          <w:p w14:paraId="258E06FE" w14:textId="77777777" w:rsidR="00B6651E" w:rsidRPr="00B6651E" w:rsidRDefault="00B6651E" w:rsidP="00494238">
            <w:pPr>
              <w:spacing w:after="60"/>
              <w:rPr>
                <w:i/>
                <w:iCs/>
                <w:kern w:val="2"/>
                <w:sz w:val="20"/>
                <w:szCs w:val="24"/>
              </w:rPr>
            </w:pPr>
            <w:r w:rsidRPr="00B6651E">
              <w:rPr>
                <w:i/>
                <w:iCs/>
                <w:kern w:val="2"/>
                <w:sz w:val="20"/>
                <w:szCs w:val="24"/>
              </w:rPr>
              <w:t>i</w:t>
            </w:r>
          </w:p>
        </w:tc>
        <w:tc>
          <w:tcPr>
            <w:tcW w:w="474" w:type="pct"/>
            <w:tcBorders>
              <w:top w:val="single" w:sz="4" w:space="0" w:color="auto"/>
              <w:left w:val="single" w:sz="4" w:space="0" w:color="auto"/>
              <w:bottom w:val="single" w:sz="4" w:space="0" w:color="auto"/>
              <w:right w:val="single" w:sz="4" w:space="0" w:color="auto"/>
            </w:tcBorders>
            <w:hideMark/>
          </w:tcPr>
          <w:p w14:paraId="54AEFFD6" w14:textId="77777777" w:rsidR="00B6651E" w:rsidRPr="00B6651E" w:rsidRDefault="00B6651E" w:rsidP="00494238">
            <w:pPr>
              <w:spacing w:after="60"/>
              <w:rPr>
                <w:iCs/>
                <w:kern w:val="2"/>
                <w:sz w:val="20"/>
                <w:szCs w:val="24"/>
              </w:rPr>
            </w:pPr>
            <w:r w:rsidRPr="00B6651E">
              <w:rPr>
                <w:iCs/>
                <w:kern w:val="2"/>
                <w:sz w:val="20"/>
                <w:szCs w:val="24"/>
              </w:rPr>
              <w:t>none</w:t>
            </w:r>
          </w:p>
        </w:tc>
        <w:tc>
          <w:tcPr>
            <w:tcW w:w="3295" w:type="pct"/>
            <w:tcBorders>
              <w:top w:val="single" w:sz="4" w:space="0" w:color="auto"/>
              <w:left w:val="single" w:sz="4" w:space="0" w:color="auto"/>
              <w:bottom w:val="single" w:sz="4" w:space="0" w:color="auto"/>
              <w:right w:val="single" w:sz="4" w:space="0" w:color="auto"/>
            </w:tcBorders>
            <w:hideMark/>
          </w:tcPr>
          <w:p w14:paraId="58998C1B" w14:textId="77777777" w:rsidR="00B6651E" w:rsidRPr="00B6651E" w:rsidRDefault="00B6651E" w:rsidP="00494238">
            <w:pPr>
              <w:spacing w:after="60"/>
              <w:rPr>
                <w:iCs/>
                <w:kern w:val="2"/>
                <w:sz w:val="20"/>
                <w:szCs w:val="24"/>
              </w:rPr>
            </w:pPr>
            <w:r w:rsidRPr="00B6651E">
              <w:rPr>
                <w:iCs/>
                <w:kern w:val="2"/>
                <w:sz w:val="20"/>
                <w:szCs w:val="24"/>
              </w:rPr>
              <w:t>A 15-minute Settlement Interval.</w:t>
            </w:r>
          </w:p>
        </w:tc>
      </w:tr>
    </w:tbl>
    <w:p w14:paraId="57C0DA78" w14:textId="77777777" w:rsidR="00B6651E" w:rsidRPr="00B6651E" w:rsidRDefault="00B6651E" w:rsidP="00B6651E">
      <w:pPr>
        <w:keepNext/>
        <w:widowControl w:val="0"/>
        <w:tabs>
          <w:tab w:val="left" w:pos="1260"/>
        </w:tabs>
        <w:spacing w:before="480" w:after="240"/>
        <w:ind w:left="1260" w:hanging="1260"/>
        <w:outlineLvl w:val="3"/>
        <w:rPr>
          <w:b/>
          <w:bCs/>
          <w:snapToGrid w:val="0"/>
        </w:rPr>
      </w:pPr>
      <w:bookmarkStart w:id="2001" w:name="_Toc204411676"/>
      <w:r w:rsidRPr="00B6651E">
        <w:rPr>
          <w:b/>
          <w:bCs/>
          <w:snapToGrid w:val="0"/>
        </w:rPr>
        <w:t>6.6.3.10</w:t>
      </w:r>
      <w:r w:rsidRPr="00B6651E">
        <w:rPr>
          <w:b/>
          <w:bCs/>
          <w:snapToGrid w:val="0"/>
        </w:rPr>
        <w:tab/>
        <w:t>Real-Time Constraint Management Plan Cost Recovery Charge</w:t>
      </w:r>
      <w:bookmarkEnd w:id="2001"/>
      <w:r w:rsidRPr="00B6651E">
        <w:rPr>
          <w:b/>
          <w:bCs/>
          <w:snapToGrid w:val="0"/>
        </w:rPr>
        <w:t xml:space="preserve"> </w:t>
      </w:r>
    </w:p>
    <w:p w14:paraId="1C8A15D2" w14:textId="546CD4EA" w:rsidR="00B6651E" w:rsidRPr="00B6651E" w:rsidRDefault="00B6651E" w:rsidP="00B6651E">
      <w:pPr>
        <w:spacing w:after="240"/>
        <w:ind w:left="720" w:hanging="720"/>
        <w:rPr>
          <w:szCs w:val="24"/>
        </w:rPr>
      </w:pPr>
      <w:r w:rsidRPr="00B6651E">
        <w:rPr>
          <w:szCs w:val="24"/>
        </w:rPr>
        <w:t>(1)</w:t>
      </w:r>
      <w:r w:rsidRPr="00B6651E">
        <w:rPr>
          <w:szCs w:val="24"/>
        </w:rPr>
        <w:tab/>
        <w:t>ERCOT shall allocate to QSEs on an LRS basis the total amount of the payment specified in Section 6.6.3.9, Real-Time Constraint Management Plan Cost Recovery Payment.  The charge to each QSE for a given 15-minute Settlement Interval is calculated as follows:</w:t>
      </w:r>
    </w:p>
    <w:p w14:paraId="7873E62A" w14:textId="3E53882A" w:rsidR="00B6651E" w:rsidRPr="00B6651E" w:rsidRDefault="00B6651E" w:rsidP="00B6651E">
      <w:pPr>
        <w:tabs>
          <w:tab w:val="left" w:pos="2340"/>
          <w:tab w:val="left" w:pos="3420"/>
        </w:tabs>
        <w:spacing w:after="240"/>
        <w:ind w:left="3420" w:hanging="2700"/>
        <w:rPr>
          <w:b/>
          <w:bCs/>
          <w:szCs w:val="24"/>
        </w:rPr>
      </w:pPr>
      <w:r w:rsidRPr="00B6651E">
        <w:rPr>
          <w:b/>
          <w:bCs/>
          <w:szCs w:val="24"/>
        </w:rPr>
        <w:t>LACMPCRAMT</w:t>
      </w:r>
      <w:r w:rsidRPr="00B6651E">
        <w:rPr>
          <w:b/>
          <w:bCs/>
          <w:i/>
          <w:szCs w:val="24"/>
          <w:vertAlign w:val="subscript"/>
        </w:rPr>
        <w:t xml:space="preserve"> q, i</w:t>
      </w:r>
      <w:r w:rsidRPr="00B6651E">
        <w:rPr>
          <w:b/>
          <w:bCs/>
          <w:szCs w:val="24"/>
        </w:rPr>
        <w:t xml:space="preserve"> =</w:t>
      </w:r>
      <w:r w:rsidRPr="00B6651E">
        <w:rPr>
          <w:b/>
          <w:bCs/>
          <w:szCs w:val="24"/>
        </w:rPr>
        <w:tab/>
        <w:t>(-1) * CMPCRAMTTOT</w:t>
      </w:r>
      <w:r w:rsidRPr="00B6651E">
        <w:rPr>
          <w:b/>
          <w:bCs/>
          <w:i/>
          <w:szCs w:val="24"/>
          <w:vertAlign w:val="subscript"/>
        </w:rPr>
        <w:t xml:space="preserve"> i</w:t>
      </w:r>
      <w:r w:rsidRPr="00B6651E">
        <w:rPr>
          <w:b/>
          <w:bCs/>
          <w:szCs w:val="24"/>
        </w:rPr>
        <w:t xml:space="preserve"> * LRS </w:t>
      </w:r>
      <w:r w:rsidRPr="00B6651E">
        <w:rPr>
          <w:b/>
          <w:bCs/>
          <w:i/>
          <w:szCs w:val="24"/>
          <w:vertAlign w:val="subscript"/>
        </w:rPr>
        <w:t xml:space="preserve">q, i </w:t>
      </w:r>
      <w:r w:rsidRPr="00B6651E">
        <w:rPr>
          <w:b/>
          <w:bCs/>
          <w:szCs w:val="24"/>
        </w:rPr>
        <w:t xml:space="preserve"> </w:t>
      </w:r>
    </w:p>
    <w:p w14:paraId="1151C109" w14:textId="77777777" w:rsidR="00B6651E" w:rsidRPr="00B6651E" w:rsidRDefault="00B6651E" w:rsidP="00B6651E">
      <w:pPr>
        <w:spacing w:before="120" w:after="120"/>
        <w:ind w:left="720"/>
        <w:rPr>
          <w:szCs w:val="24"/>
        </w:rPr>
      </w:pPr>
      <w:r w:rsidRPr="00B6651E">
        <w:rPr>
          <w:szCs w:val="24"/>
        </w:rPr>
        <w:t>Where:</w:t>
      </w:r>
    </w:p>
    <w:p w14:paraId="08673FC7" w14:textId="68767F12" w:rsidR="00B6651E" w:rsidRPr="00B6651E" w:rsidRDefault="00B6651E" w:rsidP="00B6651E">
      <w:pPr>
        <w:tabs>
          <w:tab w:val="left" w:pos="2340"/>
          <w:tab w:val="left" w:pos="3420"/>
        </w:tabs>
        <w:spacing w:after="240"/>
        <w:ind w:left="2160" w:hanging="1440"/>
        <w:rPr>
          <w:bCs/>
          <w:i/>
          <w:szCs w:val="24"/>
          <w:vertAlign w:val="subscript"/>
        </w:rPr>
      </w:pPr>
      <w:r w:rsidRPr="00B6651E">
        <w:rPr>
          <w:bCs/>
          <w:szCs w:val="24"/>
        </w:rPr>
        <w:t xml:space="preserve">CMPCRAMTTOT </w:t>
      </w:r>
      <w:r w:rsidRPr="00B6651E">
        <w:rPr>
          <w:bCs/>
          <w:i/>
          <w:szCs w:val="24"/>
          <w:vertAlign w:val="subscript"/>
        </w:rPr>
        <w:t>i</w:t>
      </w:r>
      <w:r w:rsidRPr="00B6651E">
        <w:rPr>
          <w:bCs/>
          <w:szCs w:val="24"/>
        </w:rPr>
        <w:t xml:space="preserve"> =</w:t>
      </w:r>
      <w:r w:rsidRPr="00B6651E">
        <w:rPr>
          <w:bCs/>
          <w:szCs w:val="24"/>
        </w:rPr>
        <w:tab/>
      </w:r>
      <w:r w:rsidRPr="00B6651E">
        <w:rPr>
          <w:bCs/>
          <w:position w:val="-22"/>
          <w:szCs w:val="24"/>
        </w:rPr>
        <w:object w:dxaOrig="120" w:dyaOrig="360" w14:anchorId="1A8EDC6D">
          <v:shape id="_x0000_i1178" type="#_x0000_t75" style="width:9.6pt;height:27.6pt" o:ole="">
            <v:imagedata r:id="rId187" o:title=""/>
          </v:shape>
          <o:OLEObject Type="Embed" ProgID="Equation.3" ShapeID="_x0000_i1178" DrawAspect="Content" ObjectID="_1815025368" r:id="rId206"/>
        </w:object>
      </w:r>
      <w:r w:rsidRPr="00B6651E">
        <w:rPr>
          <w:bCs/>
          <w:szCs w:val="24"/>
        </w:rPr>
        <w:t xml:space="preserve"> CMPCRAMTQSETOT</w:t>
      </w:r>
      <w:r w:rsidRPr="00B6651E">
        <w:rPr>
          <w:bCs/>
          <w:i/>
          <w:szCs w:val="24"/>
          <w:vertAlign w:val="subscript"/>
        </w:rPr>
        <w:t xml:space="preserve"> q, i</w:t>
      </w:r>
      <w:r w:rsidRPr="00B6651E">
        <w:rPr>
          <w:b/>
          <w:bCs/>
          <w:i/>
          <w:szCs w:val="24"/>
          <w:vertAlign w:val="subscript"/>
        </w:rPr>
        <w:t xml:space="preserve"> </w:t>
      </w:r>
      <w:r w:rsidRPr="00B6651E">
        <w:rPr>
          <w:b/>
          <w:bCs/>
          <w:szCs w:val="24"/>
        </w:rPr>
        <w:t xml:space="preserve"> </w:t>
      </w:r>
    </w:p>
    <w:p w14:paraId="7C067009" w14:textId="77777777" w:rsidR="00B6651E" w:rsidRPr="00B6651E" w:rsidRDefault="00B6651E" w:rsidP="00B6651E">
      <w:pPr>
        <w:rPr>
          <w:szCs w:val="24"/>
        </w:rPr>
      </w:pPr>
      <w:r w:rsidRPr="00B6651E">
        <w:rPr>
          <w:szCs w:val="24"/>
        </w:rPr>
        <w:t>The above variables are defined as follows:</w:t>
      </w: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737"/>
        <w:gridCol w:w="6425"/>
      </w:tblGrid>
      <w:tr w:rsidR="00B6651E" w:rsidRPr="00B6651E" w14:paraId="5A0F1F36" w14:textId="77777777" w:rsidTr="00E844EE">
        <w:trPr>
          <w:tblHeader/>
        </w:trPr>
        <w:tc>
          <w:tcPr>
            <w:tcW w:w="2414" w:type="dxa"/>
            <w:tcBorders>
              <w:top w:val="single" w:sz="4" w:space="0" w:color="auto"/>
              <w:left w:val="single" w:sz="4" w:space="0" w:color="auto"/>
              <w:bottom w:val="single" w:sz="4" w:space="0" w:color="auto"/>
              <w:right w:val="single" w:sz="4" w:space="0" w:color="auto"/>
            </w:tcBorders>
            <w:hideMark/>
          </w:tcPr>
          <w:p w14:paraId="1E04F2B2" w14:textId="77777777" w:rsidR="00B6651E" w:rsidRPr="00B6651E" w:rsidRDefault="00B6651E" w:rsidP="00B6651E">
            <w:pPr>
              <w:spacing w:after="120"/>
              <w:rPr>
                <w:b/>
                <w:iCs/>
                <w:sz w:val="20"/>
                <w:szCs w:val="24"/>
              </w:rPr>
            </w:pPr>
            <w:r w:rsidRPr="00B6651E">
              <w:rPr>
                <w:b/>
                <w:iCs/>
                <w:sz w:val="20"/>
                <w:szCs w:val="24"/>
              </w:rPr>
              <w:t>Variable</w:t>
            </w:r>
          </w:p>
        </w:tc>
        <w:tc>
          <w:tcPr>
            <w:tcW w:w="737" w:type="dxa"/>
            <w:tcBorders>
              <w:top w:val="single" w:sz="4" w:space="0" w:color="auto"/>
              <w:left w:val="single" w:sz="4" w:space="0" w:color="auto"/>
              <w:bottom w:val="single" w:sz="4" w:space="0" w:color="auto"/>
              <w:right w:val="single" w:sz="4" w:space="0" w:color="auto"/>
            </w:tcBorders>
            <w:hideMark/>
          </w:tcPr>
          <w:p w14:paraId="3EDF6005" w14:textId="77777777" w:rsidR="00B6651E" w:rsidRPr="00B6651E" w:rsidRDefault="00B6651E" w:rsidP="00B6651E">
            <w:pPr>
              <w:spacing w:after="120"/>
              <w:rPr>
                <w:b/>
                <w:iCs/>
                <w:sz w:val="20"/>
                <w:szCs w:val="24"/>
              </w:rPr>
            </w:pPr>
            <w:r w:rsidRPr="00B6651E">
              <w:rPr>
                <w:b/>
                <w:iCs/>
                <w:sz w:val="20"/>
                <w:szCs w:val="24"/>
              </w:rPr>
              <w:t>Unit</w:t>
            </w:r>
          </w:p>
        </w:tc>
        <w:tc>
          <w:tcPr>
            <w:tcW w:w="6425" w:type="dxa"/>
            <w:tcBorders>
              <w:top w:val="single" w:sz="4" w:space="0" w:color="auto"/>
              <w:left w:val="single" w:sz="4" w:space="0" w:color="auto"/>
              <w:bottom w:val="single" w:sz="4" w:space="0" w:color="auto"/>
              <w:right w:val="single" w:sz="4" w:space="0" w:color="auto"/>
            </w:tcBorders>
            <w:hideMark/>
          </w:tcPr>
          <w:p w14:paraId="1A7372FD" w14:textId="77777777" w:rsidR="00B6651E" w:rsidRPr="00B6651E" w:rsidRDefault="00B6651E" w:rsidP="00B6651E">
            <w:pPr>
              <w:spacing w:after="120"/>
              <w:rPr>
                <w:b/>
                <w:iCs/>
                <w:sz w:val="20"/>
                <w:szCs w:val="24"/>
              </w:rPr>
            </w:pPr>
            <w:r w:rsidRPr="00B6651E">
              <w:rPr>
                <w:b/>
                <w:iCs/>
                <w:sz w:val="20"/>
                <w:szCs w:val="24"/>
              </w:rPr>
              <w:t>Definition</w:t>
            </w:r>
          </w:p>
        </w:tc>
      </w:tr>
      <w:tr w:rsidR="00B6651E" w:rsidRPr="00B6651E" w14:paraId="543DB2DD" w14:textId="77777777" w:rsidTr="00E844EE">
        <w:trPr>
          <w:cantSplit/>
        </w:trPr>
        <w:tc>
          <w:tcPr>
            <w:tcW w:w="2414" w:type="dxa"/>
            <w:tcBorders>
              <w:top w:val="single" w:sz="4" w:space="0" w:color="auto"/>
              <w:left w:val="single" w:sz="4" w:space="0" w:color="auto"/>
              <w:bottom w:val="single" w:sz="4" w:space="0" w:color="auto"/>
              <w:right w:val="single" w:sz="4" w:space="0" w:color="auto"/>
            </w:tcBorders>
            <w:hideMark/>
          </w:tcPr>
          <w:p w14:paraId="112D4984" w14:textId="77777777" w:rsidR="00B6651E" w:rsidRPr="00B6651E" w:rsidRDefault="00B6651E" w:rsidP="00B6651E">
            <w:pPr>
              <w:spacing w:after="60"/>
              <w:rPr>
                <w:iCs/>
                <w:sz w:val="20"/>
                <w:szCs w:val="24"/>
              </w:rPr>
            </w:pPr>
            <w:r w:rsidRPr="00B6651E">
              <w:rPr>
                <w:iCs/>
                <w:sz w:val="20"/>
                <w:szCs w:val="24"/>
              </w:rPr>
              <w:t xml:space="preserve">LACMPCRAMT </w:t>
            </w:r>
            <w:r w:rsidRPr="00B6651E">
              <w:rPr>
                <w:i/>
                <w:iCs/>
                <w:sz w:val="20"/>
                <w:szCs w:val="24"/>
                <w:vertAlign w:val="subscript"/>
              </w:rPr>
              <w:t>q, i</w:t>
            </w:r>
            <w:r w:rsidRPr="00B6651E">
              <w:rPr>
                <w:iCs/>
                <w:sz w:val="20"/>
                <w:szCs w:val="24"/>
                <w:vertAlign w:val="subscript"/>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1169F9D7" w14:textId="77777777" w:rsidR="00B6651E" w:rsidRPr="00B6651E" w:rsidRDefault="00B6651E" w:rsidP="00B6651E">
            <w:pPr>
              <w:spacing w:after="60"/>
              <w:rPr>
                <w:iCs/>
                <w:sz w:val="20"/>
                <w:szCs w:val="24"/>
              </w:rPr>
            </w:pPr>
            <w:r w:rsidRPr="00B6651E">
              <w:rPr>
                <w:iCs/>
                <w:sz w:val="20"/>
                <w:szCs w:val="24"/>
              </w:rPr>
              <w:t>$</w:t>
            </w:r>
          </w:p>
        </w:tc>
        <w:tc>
          <w:tcPr>
            <w:tcW w:w="6425" w:type="dxa"/>
            <w:tcBorders>
              <w:top w:val="single" w:sz="4" w:space="0" w:color="auto"/>
              <w:left w:val="single" w:sz="4" w:space="0" w:color="auto"/>
              <w:bottom w:val="single" w:sz="4" w:space="0" w:color="auto"/>
              <w:right w:val="single" w:sz="4" w:space="0" w:color="auto"/>
            </w:tcBorders>
            <w:hideMark/>
          </w:tcPr>
          <w:p w14:paraId="29A25904" w14:textId="77777777" w:rsidR="00B6651E" w:rsidRPr="00B6651E" w:rsidRDefault="00B6651E" w:rsidP="00B6651E">
            <w:pPr>
              <w:spacing w:after="60"/>
              <w:rPr>
                <w:iCs/>
                <w:sz w:val="20"/>
                <w:szCs w:val="24"/>
              </w:rPr>
            </w:pPr>
            <w:r w:rsidRPr="00B6651E">
              <w:rPr>
                <w:i/>
                <w:iCs/>
                <w:sz w:val="20"/>
                <w:szCs w:val="24"/>
              </w:rPr>
              <w:t>Load-Allocated Constraint Management Plan Cost Recovery Amount per QSE</w:t>
            </w:r>
            <w:r w:rsidRPr="00B6651E">
              <w:rPr>
                <w:iCs/>
                <w:sz w:val="20"/>
                <w:szCs w:val="24"/>
              </w:rPr>
              <w:t xml:space="preserve">—The charge to QSE </w:t>
            </w:r>
            <w:r w:rsidRPr="00B6651E">
              <w:rPr>
                <w:i/>
                <w:iCs/>
                <w:sz w:val="20"/>
                <w:szCs w:val="24"/>
              </w:rPr>
              <w:t>q</w:t>
            </w:r>
            <w:r w:rsidRPr="00B6651E">
              <w:rPr>
                <w:iCs/>
                <w:sz w:val="20"/>
                <w:szCs w:val="24"/>
              </w:rPr>
              <w:t xml:space="preserve"> for Constraint Management Plan Cost Recovery Payment as identified in Section 6.6.3.9, for the 15-minute Settlement Interval </w:t>
            </w:r>
            <w:r w:rsidRPr="00B6651E">
              <w:rPr>
                <w:i/>
                <w:sz w:val="20"/>
                <w:szCs w:val="24"/>
              </w:rPr>
              <w:t>i</w:t>
            </w:r>
            <w:r w:rsidRPr="00B6651E">
              <w:rPr>
                <w:iCs/>
                <w:sz w:val="20"/>
                <w:szCs w:val="24"/>
              </w:rPr>
              <w:t>.</w:t>
            </w:r>
          </w:p>
        </w:tc>
      </w:tr>
      <w:tr w:rsidR="00B6651E" w:rsidRPr="00B6651E" w14:paraId="118A6566" w14:textId="77777777" w:rsidTr="00E844EE">
        <w:trPr>
          <w:cantSplit/>
        </w:trPr>
        <w:tc>
          <w:tcPr>
            <w:tcW w:w="2414" w:type="dxa"/>
            <w:tcBorders>
              <w:top w:val="single" w:sz="4" w:space="0" w:color="auto"/>
              <w:left w:val="single" w:sz="4" w:space="0" w:color="auto"/>
              <w:bottom w:val="single" w:sz="4" w:space="0" w:color="auto"/>
              <w:right w:val="single" w:sz="4" w:space="0" w:color="auto"/>
            </w:tcBorders>
            <w:hideMark/>
          </w:tcPr>
          <w:p w14:paraId="5E039BE7" w14:textId="77777777" w:rsidR="00B6651E" w:rsidRPr="00B6651E" w:rsidRDefault="00B6651E" w:rsidP="00B6651E">
            <w:pPr>
              <w:spacing w:after="60"/>
              <w:rPr>
                <w:iCs/>
                <w:sz w:val="20"/>
                <w:szCs w:val="24"/>
              </w:rPr>
            </w:pPr>
            <w:r w:rsidRPr="00B6651E">
              <w:rPr>
                <w:iCs/>
                <w:sz w:val="20"/>
                <w:szCs w:val="24"/>
              </w:rPr>
              <w:t>CMPCRAMTTOT</w:t>
            </w:r>
            <w:r w:rsidRPr="00B6651E">
              <w:rPr>
                <w:i/>
                <w:iCs/>
                <w:sz w:val="20"/>
                <w:szCs w:val="24"/>
                <w:vertAlign w:val="subscript"/>
                <w:lang w:val="es-ES"/>
              </w:rPr>
              <w:t xml:space="preserve"> i</w:t>
            </w:r>
            <w:r w:rsidRPr="00B6651E">
              <w:rPr>
                <w:b/>
                <w:i/>
                <w:iCs/>
                <w:sz w:val="20"/>
                <w:szCs w:val="24"/>
                <w:vertAlign w:val="subscript"/>
                <w:lang w:val="es-ES"/>
              </w:rPr>
              <w:t xml:space="preserve"> </w:t>
            </w:r>
            <w:r w:rsidRPr="00B6651E">
              <w:rPr>
                <w:b/>
                <w:iCs/>
                <w:sz w:val="20"/>
                <w:szCs w:val="24"/>
                <w:lang w:val="es-ES"/>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4B80E208" w14:textId="77777777" w:rsidR="00B6651E" w:rsidRPr="00B6651E" w:rsidRDefault="00B6651E" w:rsidP="00B6651E">
            <w:pPr>
              <w:spacing w:after="60"/>
              <w:rPr>
                <w:iCs/>
                <w:sz w:val="20"/>
                <w:szCs w:val="24"/>
              </w:rPr>
            </w:pPr>
            <w:r w:rsidRPr="00B6651E">
              <w:rPr>
                <w:iCs/>
                <w:sz w:val="20"/>
                <w:szCs w:val="24"/>
              </w:rPr>
              <w:t>$</w:t>
            </w:r>
          </w:p>
        </w:tc>
        <w:tc>
          <w:tcPr>
            <w:tcW w:w="6425" w:type="dxa"/>
            <w:tcBorders>
              <w:top w:val="single" w:sz="4" w:space="0" w:color="auto"/>
              <w:left w:val="single" w:sz="4" w:space="0" w:color="auto"/>
              <w:bottom w:val="single" w:sz="4" w:space="0" w:color="auto"/>
              <w:right w:val="single" w:sz="4" w:space="0" w:color="auto"/>
            </w:tcBorders>
            <w:hideMark/>
          </w:tcPr>
          <w:p w14:paraId="2A6C2313" w14:textId="53D2660E" w:rsidR="00B6651E" w:rsidRPr="00B6651E" w:rsidRDefault="00B6651E" w:rsidP="00B6651E">
            <w:pPr>
              <w:spacing w:after="60"/>
              <w:rPr>
                <w:i/>
                <w:iCs/>
                <w:sz w:val="20"/>
                <w:szCs w:val="24"/>
              </w:rPr>
            </w:pPr>
            <w:r w:rsidRPr="00B6651E">
              <w:rPr>
                <w:i/>
                <w:iCs/>
                <w:sz w:val="20"/>
                <w:szCs w:val="24"/>
              </w:rPr>
              <w:t xml:space="preserve">Constraint Management Plan Cost Recovery Amount </w:t>
            </w:r>
            <w:r w:rsidR="00C01872">
              <w:rPr>
                <w:i/>
                <w:iCs/>
                <w:sz w:val="20"/>
                <w:szCs w:val="24"/>
              </w:rPr>
              <w:t>T</w:t>
            </w:r>
            <w:r w:rsidRPr="00B6651E">
              <w:rPr>
                <w:i/>
                <w:iCs/>
                <w:sz w:val="20"/>
                <w:szCs w:val="24"/>
              </w:rPr>
              <w:t>otal</w:t>
            </w:r>
            <w:r w:rsidRPr="00B6651E">
              <w:rPr>
                <w:iCs/>
                <w:sz w:val="20"/>
                <w:szCs w:val="24"/>
              </w:rPr>
              <w:t>—The total of payments to all QSEs</w:t>
            </w:r>
            <w:r w:rsidR="00FF7091" w:rsidRPr="00FF7091">
              <w:rPr>
                <w:iCs/>
                <w:sz w:val="20"/>
                <w:szCs w:val="24"/>
              </w:rPr>
              <w:t xml:space="preserve"> </w:t>
            </w:r>
            <w:r w:rsidRPr="00B6651E">
              <w:rPr>
                <w:iCs/>
                <w:sz w:val="20"/>
                <w:szCs w:val="24"/>
              </w:rPr>
              <w:t xml:space="preserve">Constraint Management Plan Cost Recovery Payments, for the 15-minute Settlement Interval </w:t>
            </w:r>
            <w:r w:rsidRPr="00B6651E">
              <w:rPr>
                <w:i/>
                <w:iCs/>
                <w:sz w:val="20"/>
                <w:szCs w:val="24"/>
              </w:rPr>
              <w:t>i</w:t>
            </w:r>
            <w:r w:rsidRPr="00B6651E">
              <w:rPr>
                <w:iCs/>
                <w:sz w:val="20"/>
                <w:szCs w:val="24"/>
              </w:rPr>
              <w:t>.</w:t>
            </w:r>
          </w:p>
        </w:tc>
      </w:tr>
      <w:tr w:rsidR="00B6651E" w:rsidRPr="00B6651E" w14:paraId="092F496B" w14:textId="77777777" w:rsidTr="00E844EE">
        <w:trPr>
          <w:cantSplit/>
        </w:trPr>
        <w:tc>
          <w:tcPr>
            <w:tcW w:w="2414" w:type="dxa"/>
            <w:tcBorders>
              <w:top w:val="single" w:sz="4" w:space="0" w:color="auto"/>
              <w:left w:val="single" w:sz="4" w:space="0" w:color="auto"/>
              <w:bottom w:val="single" w:sz="4" w:space="0" w:color="auto"/>
              <w:right w:val="single" w:sz="4" w:space="0" w:color="auto"/>
            </w:tcBorders>
            <w:hideMark/>
          </w:tcPr>
          <w:p w14:paraId="0560B733" w14:textId="77777777" w:rsidR="00B6651E" w:rsidRPr="00B6651E" w:rsidRDefault="00B6651E" w:rsidP="00B6651E">
            <w:pPr>
              <w:spacing w:after="60"/>
              <w:rPr>
                <w:iCs/>
                <w:sz w:val="20"/>
                <w:szCs w:val="24"/>
              </w:rPr>
            </w:pPr>
            <w:r w:rsidRPr="00B6651E">
              <w:rPr>
                <w:iCs/>
                <w:sz w:val="20"/>
                <w:szCs w:val="24"/>
              </w:rPr>
              <w:lastRenderedPageBreak/>
              <w:t xml:space="preserve">CMPCRAMTQSETOT </w:t>
            </w:r>
            <w:r w:rsidRPr="00B6651E">
              <w:rPr>
                <w:i/>
                <w:iCs/>
                <w:sz w:val="20"/>
                <w:szCs w:val="24"/>
                <w:vertAlign w:val="subscript"/>
                <w:lang w:val="es-ES"/>
              </w:rPr>
              <w:t>q, i</w:t>
            </w:r>
            <w:r w:rsidRPr="00B6651E">
              <w:rPr>
                <w:b/>
                <w:i/>
                <w:iCs/>
                <w:sz w:val="20"/>
                <w:szCs w:val="24"/>
                <w:vertAlign w:val="subscript"/>
                <w:lang w:val="es-ES"/>
              </w:rPr>
              <w:t xml:space="preserve"> </w:t>
            </w:r>
            <w:r w:rsidRPr="00B6651E">
              <w:rPr>
                <w:b/>
                <w:iCs/>
                <w:sz w:val="20"/>
                <w:szCs w:val="24"/>
                <w:lang w:val="es-ES"/>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6A60DB65" w14:textId="77777777" w:rsidR="00B6651E" w:rsidRPr="00B6651E" w:rsidRDefault="00B6651E" w:rsidP="00B6651E">
            <w:pPr>
              <w:spacing w:after="60"/>
              <w:rPr>
                <w:iCs/>
                <w:sz w:val="20"/>
                <w:szCs w:val="24"/>
              </w:rPr>
            </w:pPr>
            <w:r w:rsidRPr="00B6651E">
              <w:rPr>
                <w:iCs/>
                <w:sz w:val="20"/>
                <w:szCs w:val="24"/>
              </w:rPr>
              <w:t>$</w:t>
            </w:r>
          </w:p>
        </w:tc>
        <w:tc>
          <w:tcPr>
            <w:tcW w:w="6425" w:type="dxa"/>
            <w:tcBorders>
              <w:top w:val="single" w:sz="4" w:space="0" w:color="auto"/>
              <w:left w:val="single" w:sz="4" w:space="0" w:color="auto"/>
              <w:bottom w:val="single" w:sz="4" w:space="0" w:color="auto"/>
              <w:right w:val="single" w:sz="4" w:space="0" w:color="auto"/>
            </w:tcBorders>
            <w:hideMark/>
          </w:tcPr>
          <w:p w14:paraId="20CD908E" w14:textId="7A675ECC" w:rsidR="00B6651E" w:rsidRPr="00B6651E" w:rsidRDefault="00B6651E" w:rsidP="00B6651E">
            <w:pPr>
              <w:spacing w:after="60"/>
              <w:rPr>
                <w:i/>
                <w:iCs/>
                <w:sz w:val="20"/>
                <w:szCs w:val="24"/>
              </w:rPr>
            </w:pPr>
            <w:r w:rsidRPr="00B6651E">
              <w:rPr>
                <w:i/>
                <w:iCs/>
                <w:sz w:val="20"/>
                <w:szCs w:val="24"/>
              </w:rPr>
              <w:t xml:space="preserve">Constraint Management Plan Cost Recovery Amount QSE </w:t>
            </w:r>
            <w:r w:rsidR="00C01872">
              <w:rPr>
                <w:i/>
                <w:iCs/>
                <w:sz w:val="20"/>
                <w:szCs w:val="24"/>
              </w:rPr>
              <w:t>T</w:t>
            </w:r>
            <w:r w:rsidRPr="00B6651E">
              <w:rPr>
                <w:i/>
                <w:iCs/>
                <w:sz w:val="20"/>
                <w:szCs w:val="24"/>
              </w:rPr>
              <w:t>otal per QSE</w:t>
            </w:r>
            <w:r w:rsidRPr="00B6651E">
              <w:rPr>
                <w:iCs/>
                <w:sz w:val="20"/>
                <w:szCs w:val="24"/>
              </w:rPr>
              <w:t xml:space="preserve">—The total of the Constraint Management Plan Cost Recovery Payments to QSE </w:t>
            </w:r>
            <w:r w:rsidRPr="00B6651E">
              <w:rPr>
                <w:i/>
                <w:iCs/>
                <w:sz w:val="20"/>
                <w:szCs w:val="24"/>
              </w:rPr>
              <w:t>q</w:t>
            </w:r>
            <w:r w:rsidRPr="00B6651E">
              <w:rPr>
                <w:iCs/>
                <w:sz w:val="20"/>
                <w:szCs w:val="24"/>
              </w:rPr>
              <w:t xml:space="preserve"> </w:t>
            </w:r>
            <w:r w:rsidRPr="00B6651E">
              <w:rPr>
                <w:iCs/>
                <w:kern w:val="2"/>
                <w:sz w:val="20"/>
                <w:szCs w:val="24"/>
              </w:rPr>
              <w:t>due to an ERCOT-issued CMP or equivalent VDI</w:t>
            </w:r>
            <w:r w:rsidRPr="00B6651E">
              <w:rPr>
                <w:iCs/>
                <w:sz w:val="20"/>
                <w:szCs w:val="24"/>
              </w:rPr>
              <w:t xml:space="preserve"> for the 15-minute Settlement Interval </w:t>
            </w:r>
            <w:r w:rsidRPr="00B6651E">
              <w:rPr>
                <w:i/>
                <w:iCs/>
                <w:sz w:val="20"/>
                <w:szCs w:val="24"/>
              </w:rPr>
              <w:t>i</w:t>
            </w:r>
            <w:r w:rsidRPr="00B6651E">
              <w:rPr>
                <w:iCs/>
                <w:sz w:val="20"/>
                <w:szCs w:val="24"/>
              </w:rPr>
              <w:t>.</w:t>
            </w:r>
          </w:p>
        </w:tc>
      </w:tr>
      <w:tr w:rsidR="00B6651E" w:rsidRPr="00B6651E" w14:paraId="7F546482" w14:textId="77777777" w:rsidTr="00E844EE">
        <w:trPr>
          <w:cantSplit/>
        </w:trPr>
        <w:tc>
          <w:tcPr>
            <w:tcW w:w="2414" w:type="dxa"/>
            <w:tcBorders>
              <w:top w:val="single" w:sz="4" w:space="0" w:color="auto"/>
              <w:left w:val="single" w:sz="4" w:space="0" w:color="auto"/>
              <w:bottom w:val="single" w:sz="4" w:space="0" w:color="auto"/>
              <w:right w:val="single" w:sz="4" w:space="0" w:color="auto"/>
            </w:tcBorders>
            <w:hideMark/>
          </w:tcPr>
          <w:p w14:paraId="76203954" w14:textId="77777777" w:rsidR="00B6651E" w:rsidRPr="00B6651E" w:rsidRDefault="00B6651E" w:rsidP="00B6651E">
            <w:pPr>
              <w:spacing w:after="60"/>
              <w:rPr>
                <w:iCs/>
                <w:sz w:val="20"/>
                <w:szCs w:val="24"/>
              </w:rPr>
            </w:pPr>
            <w:r w:rsidRPr="00B6651E">
              <w:rPr>
                <w:iCs/>
                <w:sz w:val="20"/>
                <w:szCs w:val="24"/>
              </w:rPr>
              <w:t xml:space="preserve">LRS </w:t>
            </w:r>
            <w:r w:rsidRPr="00B6651E">
              <w:rPr>
                <w:i/>
                <w:iCs/>
                <w:sz w:val="20"/>
                <w:szCs w:val="24"/>
                <w:vertAlign w:val="subscript"/>
                <w:lang w:val="es-ES"/>
              </w:rPr>
              <w:t>q, i</w:t>
            </w:r>
            <w:r w:rsidRPr="00B6651E">
              <w:rPr>
                <w:b/>
                <w:i/>
                <w:iCs/>
                <w:sz w:val="20"/>
                <w:szCs w:val="24"/>
                <w:vertAlign w:val="subscript"/>
                <w:lang w:val="es-ES"/>
              </w:rPr>
              <w:t xml:space="preserve"> </w:t>
            </w:r>
            <w:r w:rsidRPr="00B6651E">
              <w:rPr>
                <w:b/>
                <w:iCs/>
                <w:sz w:val="20"/>
                <w:szCs w:val="24"/>
                <w:lang w:val="es-ES"/>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4D4432D7" w14:textId="77777777" w:rsidR="00B6651E" w:rsidRPr="00B6651E" w:rsidRDefault="00B6651E" w:rsidP="00B6651E">
            <w:pPr>
              <w:spacing w:after="60"/>
              <w:rPr>
                <w:iCs/>
                <w:sz w:val="20"/>
                <w:szCs w:val="24"/>
              </w:rPr>
            </w:pPr>
            <w:r w:rsidRPr="00B6651E">
              <w:rPr>
                <w:iCs/>
                <w:sz w:val="20"/>
                <w:szCs w:val="24"/>
              </w:rPr>
              <w:t>none</w:t>
            </w:r>
          </w:p>
        </w:tc>
        <w:tc>
          <w:tcPr>
            <w:tcW w:w="6425" w:type="dxa"/>
            <w:tcBorders>
              <w:top w:val="single" w:sz="4" w:space="0" w:color="auto"/>
              <w:left w:val="single" w:sz="4" w:space="0" w:color="auto"/>
              <w:bottom w:val="single" w:sz="4" w:space="0" w:color="auto"/>
              <w:right w:val="single" w:sz="4" w:space="0" w:color="auto"/>
            </w:tcBorders>
            <w:hideMark/>
          </w:tcPr>
          <w:p w14:paraId="4C5F4E87" w14:textId="77777777" w:rsidR="00B6651E" w:rsidRPr="00B6651E" w:rsidRDefault="00B6651E" w:rsidP="00B6651E">
            <w:pPr>
              <w:spacing w:after="60"/>
              <w:rPr>
                <w:iCs/>
                <w:sz w:val="20"/>
                <w:szCs w:val="24"/>
              </w:rPr>
            </w:pPr>
            <w:r w:rsidRPr="00B6651E">
              <w:rPr>
                <w:i/>
                <w:iCs/>
                <w:sz w:val="20"/>
                <w:szCs w:val="24"/>
              </w:rPr>
              <w:t>The Load Ratio Share</w:t>
            </w:r>
            <w:r w:rsidRPr="00B6651E">
              <w:rPr>
                <w:iCs/>
                <w:sz w:val="20"/>
                <w:szCs w:val="24"/>
              </w:rPr>
              <w:t xml:space="preserve"> calculated for QSE </w:t>
            </w:r>
            <w:r w:rsidRPr="00B6651E">
              <w:rPr>
                <w:i/>
                <w:iCs/>
                <w:sz w:val="20"/>
                <w:szCs w:val="24"/>
              </w:rPr>
              <w:t>q</w:t>
            </w:r>
            <w:r w:rsidRPr="00B6651E">
              <w:rPr>
                <w:iCs/>
                <w:sz w:val="20"/>
                <w:szCs w:val="24"/>
              </w:rPr>
              <w:t xml:space="preserve"> for the 15-minute Settlement Interval </w:t>
            </w:r>
            <w:r w:rsidRPr="00B6651E">
              <w:rPr>
                <w:i/>
                <w:iCs/>
                <w:sz w:val="20"/>
                <w:szCs w:val="24"/>
              </w:rPr>
              <w:t>i</w:t>
            </w:r>
            <w:r w:rsidRPr="00B6651E">
              <w:rPr>
                <w:iCs/>
                <w:sz w:val="20"/>
                <w:szCs w:val="24"/>
              </w:rPr>
              <w:t>.  See Section 6.6.2.2, QSE Load Ratio Share for a 15-Minute Settlement Interval.</w:t>
            </w:r>
          </w:p>
        </w:tc>
      </w:tr>
      <w:tr w:rsidR="00B6651E" w:rsidRPr="00B6651E" w14:paraId="435F66BB" w14:textId="77777777" w:rsidTr="00E844EE">
        <w:trPr>
          <w:cantSplit/>
        </w:trPr>
        <w:tc>
          <w:tcPr>
            <w:tcW w:w="2414" w:type="dxa"/>
            <w:tcBorders>
              <w:top w:val="single" w:sz="4" w:space="0" w:color="auto"/>
              <w:left w:val="single" w:sz="4" w:space="0" w:color="auto"/>
              <w:bottom w:val="single" w:sz="4" w:space="0" w:color="auto"/>
              <w:right w:val="single" w:sz="4" w:space="0" w:color="auto"/>
            </w:tcBorders>
            <w:hideMark/>
          </w:tcPr>
          <w:p w14:paraId="63A0DCC4" w14:textId="77777777" w:rsidR="00B6651E" w:rsidRPr="00B6651E" w:rsidRDefault="00B6651E" w:rsidP="00B6651E">
            <w:pPr>
              <w:spacing w:after="60"/>
              <w:rPr>
                <w:i/>
                <w:iCs/>
                <w:sz w:val="20"/>
                <w:szCs w:val="24"/>
              </w:rPr>
            </w:pPr>
            <w:r w:rsidRPr="00B6651E">
              <w:rPr>
                <w:i/>
                <w:iCs/>
                <w:sz w:val="20"/>
                <w:szCs w:val="24"/>
              </w:rPr>
              <w:t>q</w:t>
            </w:r>
          </w:p>
        </w:tc>
        <w:tc>
          <w:tcPr>
            <w:tcW w:w="737" w:type="dxa"/>
            <w:tcBorders>
              <w:top w:val="single" w:sz="4" w:space="0" w:color="auto"/>
              <w:left w:val="single" w:sz="4" w:space="0" w:color="auto"/>
              <w:bottom w:val="single" w:sz="4" w:space="0" w:color="auto"/>
              <w:right w:val="single" w:sz="4" w:space="0" w:color="auto"/>
            </w:tcBorders>
            <w:hideMark/>
          </w:tcPr>
          <w:p w14:paraId="2D4229B0" w14:textId="77777777" w:rsidR="00B6651E" w:rsidRPr="00B6651E" w:rsidRDefault="00B6651E" w:rsidP="00B6651E">
            <w:pPr>
              <w:spacing w:after="60"/>
              <w:rPr>
                <w:iCs/>
                <w:sz w:val="20"/>
                <w:szCs w:val="24"/>
              </w:rPr>
            </w:pPr>
            <w:r w:rsidRPr="00B6651E">
              <w:rPr>
                <w:iCs/>
                <w:sz w:val="20"/>
                <w:szCs w:val="24"/>
              </w:rPr>
              <w:t>none</w:t>
            </w:r>
          </w:p>
        </w:tc>
        <w:tc>
          <w:tcPr>
            <w:tcW w:w="6425" w:type="dxa"/>
            <w:tcBorders>
              <w:top w:val="single" w:sz="4" w:space="0" w:color="auto"/>
              <w:left w:val="single" w:sz="4" w:space="0" w:color="auto"/>
              <w:bottom w:val="single" w:sz="4" w:space="0" w:color="auto"/>
              <w:right w:val="single" w:sz="4" w:space="0" w:color="auto"/>
            </w:tcBorders>
            <w:hideMark/>
          </w:tcPr>
          <w:p w14:paraId="5E4620A6" w14:textId="77777777" w:rsidR="00B6651E" w:rsidRPr="00B6651E" w:rsidRDefault="00B6651E" w:rsidP="00B6651E">
            <w:pPr>
              <w:spacing w:after="60"/>
              <w:rPr>
                <w:iCs/>
                <w:sz w:val="20"/>
                <w:szCs w:val="24"/>
              </w:rPr>
            </w:pPr>
            <w:r w:rsidRPr="00B6651E">
              <w:rPr>
                <w:iCs/>
                <w:sz w:val="20"/>
                <w:szCs w:val="24"/>
              </w:rPr>
              <w:t>A QSE.</w:t>
            </w:r>
          </w:p>
        </w:tc>
      </w:tr>
      <w:tr w:rsidR="00B6651E" w:rsidRPr="00B6651E" w14:paraId="271F1FE6" w14:textId="77777777" w:rsidTr="00E844EE">
        <w:trPr>
          <w:cantSplit/>
        </w:trPr>
        <w:tc>
          <w:tcPr>
            <w:tcW w:w="2414" w:type="dxa"/>
            <w:tcBorders>
              <w:top w:val="single" w:sz="4" w:space="0" w:color="auto"/>
              <w:left w:val="single" w:sz="4" w:space="0" w:color="auto"/>
              <w:bottom w:val="single" w:sz="4" w:space="0" w:color="auto"/>
              <w:right w:val="single" w:sz="4" w:space="0" w:color="auto"/>
            </w:tcBorders>
            <w:hideMark/>
          </w:tcPr>
          <w:p w14:paraId="3DF4F963" w14:textId="77777777" w:rsidR="00B6651E" w:rsidRPr="00B6651E" w:rsidRDefault="00B6651E" w:rsidP="00B6651E">
            <w:pPr>
              <w:spacing w:after="60"/>
              <w:rPr>
                <w:iCs/>
                <w:sz w:val="20"/>
                <w:szCs w:val="24"/>
              </w:rPr>
            </w:pPr>
            <w:r w:rsidRPr="00B6651E">
              <w:rPr>
                <w:i/>
                <w:iCs/>
                <w:sz w:val="20"/>
                <w:szCs w:val="24"/>
              </w:rPr>
              <w:t>i</w:t>
            </w:r>
          </w:p>
        </w:tc>
        <w:tc>
          <w:tcPr>
            <w:tcW w:w="737" w:type="dxa"/>
            <w:tcBorders>
              <w:top w:val="single" w:sz="4" w:space="0" w:color="auto"/>
              <w:left w:val="single" w:sz="4" w:space="0" w:color="auto"/>
              <w:bottom w:val="single" w:sz="4" w:space="0" w:color="auto"/>
              <w:right w:val="single" w:sz="4" w:space="0" w:color="auto"/>
            </w:tcBorders>
            <w:hideMark/>
          </w:tcPr>
          <w:p w14:paraId="7A10228E" w14:textId="77777777" w:rsidR="00B6651E" w:rsidRPr="00B6651E" w:rsidRDefault="00B6651E" w:rsidP="00B6651E">
            <w:pPr>
              <w:spacing w:after="60"/>
              <w:rPr>
                <w:iCs/>
                <w:sz w:val="20"/>
                <w:szCs w:val="24"/>
              </w:rPr>
            </w:pPr>
            <w:r w:rsidRPr="00B6651E">
              <w:rPr>
                <w:iCs/>
                <w:sz w:val="20"/>
                <w:szCs w:val="24"/>
              </w:rPr>
              <w:t>none</w:t>
            </w:r>
          </w:p>
        </w:tc>
        <w:tc>
          <w:tcPr>
            <w:tcW w:w="6425" w:type="dxa"/>
            <w:tcBorders>
              <w:top w:val="single" w:sz="4" w:space="0" w:color="auto"/>
              <w:left w:val="single" w:sz="4" w:space="0" w:color="auto"/>
              <w:bottom w:val="single" w:sz="4" w:space="0" w:color="auto"/>
              <w:right w:val="single" w:sz="4" w:space="0" w:color="auto"/>
            </w:tcBorders>
            <w:hideMark/>
          </w:tcPr>
          <w:p w14:paraId="580A8863" w14:textId="77777777" w:rsidR="00B6651E" w:rsidRPr="00B6651E" w:rsidRDefault="00B6651E" w:rsidP="00B6651E">
            <w:pPr>
              <w:spacing w:after="60"/>
              <w:rPr>
                <w:iCs/>
                <w:sz w:val="20"/>
                <w:szCs w:val="24"/>
              </w:rPr>
            </w:pPr>
            <w:r w:rsidRPr="00B6651E">
              <w:rPr>
                <w:iCs/>
                <w:sz w:val="20"/>
                <w:szCs w:val="24"/>
              </w:rPr>
              <w:t>A 15-minute Settlement Interval.</w:t>
            </w:r>
          </w:p>
        </w:tc>
      </w:tr>
    </w:tbl>
    <w:p w14:paraId="70177D8A" w14:textId="77777777" w:rsidR="00B6651E" w:rsidRPr="00B6651E" w:rsidRDefault="00B6651E" w:rsidP="00B6651E">
      <w:pPr>
        <w:keepNext/>
        <w:widowControl w:val="0"/>
        <w:tabs>
          <w:tab w:val="left" w:pos="1260"/>
        </w:tabs>
        <w:spacing w:before="480" w:after="240"/>
        <w:ind w:left="1260" w:hanging="1260"/>
        <w:outlineLvl w:val="3"/>
        <w:rPr>
          <w:b/>
          <w:bCs/>
          <w:snapToGrid w:val="0"/>
        </w:rPr>
      </w:pPr>
      <w:bookmarkStart w:id="2002" w:name="_Toc135992440"/>
      <w:bookmarkStart w:id="2003" w:name="_Toc204411677"/>
      <w:r w:rsidRPr="00B6651E">
        <w:rPr>
          <w:b/>
          <w:bCs/>
          <w:snapToGrid w:val="0"/>
        </w:rPr>
        <w:t>6.6.3.11</w:t>
      </w:r>
      <w:r w:rsidRPr="00B6651E">
        <w:rPr>
          <w:b/>
          <w:bCs/>
          <w:snapToGrid w:val="0"/>
        </w:rPr>
        <w:tab/>
        <w:t xml:space="preserve">Miscellaneous Invoice for Cost Recovery Payments and Charges for </w:t>
      </w:r>
      <w:bookmarkEnd w:id="2002"/>
      <w:r w:rsidRPr="00B6651E">
        <w:rPr>
          <w:b/>
          <w:bCs/>
          <w:snapToGrid w:val="0"/>
        </w:rPr>
        <w:t>a Real-Time Constraint Management Plan</w:t>
      </w:r>
      <w:bookmarkEnd w:id="2003"/>
      <w:r w:rsidRPr="00B6651E">
        <w:rPr>
          <w:b/>
          <w:bCs/>
          <w:snapToGrid w:val="0"/>
        </w:rPr>
        <w:t xml:space="preserve">   </w:t>
      </w:r>
    </w:p>
    <w:p w14:paraId="5037FFCF" w14:textId="77777777" w:rsidR="00B6651E" w:rsidRPr="00B6651E" w:rsidRDefault="00B6651E" w:rsidP="00B6651E">
      <w:pPr>
        <w:spacing w:after="240"/>
        <w:ind w:left="720" w:hanging="720"/>
        <w:rPr>
          <w:bCs/>
          <w:iCs/>
          <w:szCs w:val="24"/>
        </w:rPr>
      </w:pPr>
      <w:r w:rsidRPr="00B6651E">
        <w:rPr>
          <w:bCs/>
          <w:iCs/>
          <w:szCs w:val="24"/>
        </w:rPr>
        <w:t>(1)</w:t>
      </w:r>
      <w:r w:rsidRPr="00B6651E">
        <w:rPr>
          <w:bCs/>
          <w:iCs/>
          <w:szCs w:val="24"/>
        </w:rPr>
        <w:tab/>
        <w:t>Each</w:t>
      </w:r>
      <w:r w:rsidRPr="00B6651E">
        <w:rPr>
          <w:szCs w:val="24"/>
        </w:rPr>
        <w:t xml:space="preserve"> approved dispute shall be settled as described in Section 9.14.2, Notice of Dispute</w:t>
      </w:r>
      <w:r w:rsidRPr="00B6651E">
        <w:rPr>
          <w:bCs/>
          <w:iCs/>
          <w:szCs w:val="24"/>
        </w:rPr>
        <w:t>.</w:t>
      </w:r>
    </w:p>
    <w:p w14:paraId="0F5D789A" w14:textId="5618A7E2" w:rsidR="00B6651E" w:rsidRPr="00B6651E" w:rsidRDefault="00B6651E" w:rsidP="00B6651E">
      <w:pPr>
        <w:spacing w:after="240"/>
        <w:ind w:left="720" w:hanging="720"/>
        <w:rPr>
          <w:bCs/>
          <w:szCs w:val="24"/>
        </w:rPr>
      </w:pPr>
      <w:r w:rsidRPr="00B6651E">
        <w:rPr>
          <w:bCs/>
          <w:iCs/>
          <w:szCs w:val="24"/>
        </w:rPr>
        <w:t>(2)</w:t>
      </w:r>
      <w:r w:rsidRPr="00B6651E">
        <w:rPr>
          <w:bCs/>
          <w:iCs/>
          <w:szCs w:val="24"/>
        </w:rPr>
        <w:tab/>
        <w:t xml:space="preserve">ERCOT shall issue a miscellaneous Invoice to the </w:t>
      </w:r>
      <w:r w:rsidRPr="00B6651E">
        <w:rPr>
          <w:szCs w:val="24"/>
        </w:rPr>
        <w:t>QSE</w:t>
      </w:r>
      <w:r w:rsidRPr="00B6651E">
        <w:rPr>
          <w:bCs/>
          <w:iCs/>
          <w:szCs w:val="24"/>
        </w:rPr>
        <w:t xml:space="preserve"> representing the Resource that has received a </w:t>
      </w:r>
      <w:r w:rsidR="003D016F">
        <w:rPr>
          <w:bCs/>
          <w:iCs/>
          <w:szCs w:val="24"/>
        </w:rPr>
        <w:t xml:space="preserve">CMP </w:t>
      </w:r>
      <w:r w:rsidRPr="00B6651E">
        <w:rPr>
          <w:bCs/>
          <w:iCs/>
          <w:szCs w:val="24"/>
        </w:rPr>
        <w:t xml:space="preserve">payment, </w:t>
      </w:r>
      <w:r w:rsidRPr="00B6651E">
        <w:rPr>
          <w:bCs/>
          <w:szCs w:val="24"/>
        </w:rPr>
        <w:t xml:space="preserve">as described in Section 6.6.3.9, Real-Time Constraint Management Plan </w:t>
      </w:r>
      <w:r w:rsidRPr="00B6651E">
        <w:rPr>
          <w:bCs/>
          <w:iCs/>
          <w:szCs w:val="24"/>
        </w:rPr>
        <w:t>Cost Recovery</w:t>
      </w:r>
      <w:r w:rsidRPr="00B6651E">
        <w:rPr>
          <w:bCs/>
          <w:szCs w:val="24"/>
        </w:rPr>
        <w:t xml:space="preserve"> Payment.</w:t>
      </w:r>
    </w:p>
    <w:p w14:paraId="0FE85B9A" w14:textId="77777777" w:rsidR="00B6651E" w:rsidRPr="00B6651E" w:rsidRDefault="00B6651E" w:rsidP="00B6651E">
      <w:pPr>
        <w:spacing w:after="240"/>
        <w:ind w:left="720" w:hanging="720"/>
        <w:rPr>
          <w:bCs/>
          <w:iCs/>
          <w:szCs w:val="24"/>
        </w:rPr>
      </w:pPr>
      <w:r w:rsidRPr="00B6651E">
        <w:rPr>
          <w:bCs/>
          <w:iCs/>
          <w:szCs w:val="24"/>
        </w:rPr>
        <w:t>(3)</w:t>
      </w:r>
      <w:r w:rsidRPr="00B6651E">
        <w:rPr>
          <w:bCs/>
          <w:iCs/>
          <w:szCs w:val="24"/>
        </w:rPr>
        <w:tab/>
        <w:t xml:space="preserve">ERCOT shall issue a miscellaneous Invoice to the QSE representing Load based on the LRS as described in Section 6.6.3.10, Real-Time Constraint Management Plan Cost Recovery Charge. </w:t>
      </w:r>
    </w:p>
    <w:p w14:paraId="600EEA80" w14:textId="77777777" w:rsidR="00B6651E" w:rsidRPr="00B6651E" w:rsidRDefault="00B6651E" w:rsidP="00B6651E">
      <w:pPr>
        <w:spacing w:after="240"/>
        <w:ind w:left="720" w:hanging="720"/>
        <w:rPr>
          <w:bCs/>
          <w:iCs/>
          <w:szCs w:val="24"/>
        </w:rPr>
      </w:pPr>
      <w:r w:rsidRPr="00B6651E">
        <w:rPr>
          <w:bCs/>
          <w:iCs/>
          <w:szCs w:val="24"/>
        </w:rPr>
        <w:t>(4)</w:t>
      </w:r>
      <w:r w:rsidRPr="00B6651E">
        <w:rPr>
          <w:bCs/>
          <w:iCs/>
          <w:szCs w:val="24"/>
        </w:rPr>
        <w:tab/>
        <w:t xml:space="preserve">ERCOT shall issue a one-time miscellaneous Invoice encompassing all Operating Days in each approved dispute using the most recent available Settlement data at the time the Invoices were issued. </w:t>
      </w:r>
    </w:p>
    <w:p w14:paraId="37471C3F" w14:textId="77777777" w:rsidR="00B6651E" w:rsidRPr="00B6651E" w:rsidRDefault="00B6651E" w:rsidP="00B6651E">
      <w:pPr>
        <w:spacing w:after="240"/>
        <w:ind w:left="720" w:hanging="720"/>
        <w:rPr>
          <w:szCs w:val="24"/>
        </w:rPr>
      </w:pPr>
      <w:r w:rsidRPr="00B6651E">
        <w:rPr>
          <w:szCs w:val="24"/>
        </w:rPr>
        <w:t>(5)</w:t>
      </w:r>
      <w:r w:rsidRPr="00B6651E">
        <w:rPr>
          <w:szCs w:val="24"/>
        </w:rPr>
        <w:tab/>
        <w:t xml:space="preserve">ERCOT </w:t>
      </w:r>
      <w:r w:rsidRPr="00B6651E">
        <w:rPr>
          <w:bCs/>
          <w:szCs w:val="24"/>
        </w:rPr>
        <w:t>shall</w:t>
      </w:r>
      <w:r w:rsidRPr="00B6651E">
        <w:rPr>
          <w:szCs w:val="24"/>
        </w:rPr>
        <w:t xml:space="preserve"> issue a Market Notice in conjunction with the issuance of miscellaneous Invoices for payments or charges for Real-Time Constraint Management Plan Settlement.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6651E" w:rsidRPr="00B6651E" w14:paraId="0CE3C20E" w14:textId="77777777" w:rsidTr="00E844EE">
        <w:trPr>
          <w:trHeight w:val="386"/>
        </w:trPr>
        <w:tc>
          <w:tcPr>
            <w:tcW w:w="9350" w:type="dxa"/>
            <w:shd w:val="pct12" w:color="auto" w:fill="auto"/>
          </w:tcPr>
          <w:p w14:paraId="3E137E5E" w14:textId="77777777" w:rsidR="00B6651E" w:rsidRPr="00B6651E" w:rsidRDefault="00B6651E" w:rsidP="00B6651E">
            <w:pPr>
              <w:spacing w:before="120" w:after="240"/>
              <w:rPr>
                <w:b/>
                <w:i/>
                <w:iCs/>
                <w:szCs w:val="24"/>
              </w:rPr>
            </w:pPr>
            <w:r w:rsidRPr="00B6651E">
              <w:rPr>
                <w:b/>
                <w:i/>
                <w:iCs/>
                <w:szCs w:val="24"/>
              </w:rPr>
              <w:t>[NPRR1229:  Delete Section 6.6.3.11 above upon system implementation.]</w:t>
            </w:r>
          </w:p>
        </w:tc>
      </w:tr>
    </w:tbl>
    <w:p w14:paraId="1AB55D94" w14:textId="77777777" w:rsidR="001F04FD" w:rsidRDefault="001F04FD" w:rsidP="00020E00">
      <w:pPr>
        <w:pStyle w:val="H3"/>
        <w:spacing w:before="480"/>
      </w:pPr>
      <w:bookmarkStart w:id="2004" w:name="_Toc204411678"/>
      <w:bookmarkEnd w:id="1998"/>
      <w:r>
        <w:t>6.6.4</w:t>
      </w:r>
      <w:r>
        <w:tab/>
        <w:t>Real-Time Congestion Payment or Charge for Self-Schedules</w:t>
      </w:r>
      <w:bookmarkEnd w:id="1956"/>
      <w:bookmarkEnd w:id="1957"/>
      <w:bookmarkEnd w:id="1958"/>
      <w:bookmarkEnd w:id="1959"/>
      <w:bookmarkEnd w:id="1960"/>
      <w:bookmarkEnd w:id="1961"/>
      <w:bookmarkEnd w:id="1962"/>
      <w:bookmarkEnd w:id="1963"/>
      <w:bookmarkEnd w:id="1982"/>
      <w:bookmarkEnd w:id="1983"/>
      <w:bookmarkEnd w:id="1984"/>
      <w:bookmarkEnd w:id="1985"/>
      <w:bookmarkEnd w:id="1986"/>
      <w:bookmarkEnd w:id="1987"/>
      <w:bookmarkEnd w:id="1988"/>
      <w:bookmarkEnd w:id="1989"/>
      <w:bookmarkEnd w:id="2004"/>
      <w:r>
        <w:t xml:space="preserve"> </w:t>
      </w:r>
    </w:p>
    <w:p w14:paraId="3AD3B362" w14:textId="02633EC8" w:rsidR="001F04FD" w:rsidRDefault="001F04FD" w:rsidP="001F04FD">
      <w:pPr>
        <w:pStyle w:val="BodyTextNumbered"/>
      </w:pPr>
      <w:r>
        <w:t>(1)</w:t>
      </w:r>
      <w:r>
        <w:tab/>
        <w:t>The congestion payment or charge to each QSE submitting a Self-Schedule calculated based on the difference in Real-Time S</w:t>
      </w:r>
      <w:r w:rsidR="008B66B5">
        <w:t xml:space="preserve">ettlement </w:t>
      </w:r>
      <w:r>
        <w:t>P</w:t>
      </w:r>
      <w:r w:rsidR="008B66B5">
        <w:t xml:space="preserve">oint </w:t>
      </w:r>
      <w:r>
        <w:t>P</w:t>
      </w:r>
      <w:r w:rsidR="008B66B5">
        <w:t>rice</w:t>
      </w:r>
      <w:r>
        <w:t>s at the specified sink and the source of the Self-Schedule multiplied by the amount of the Self-Schedule.  The congestion charge to each QSE for each of its Self-Schedule for a given 15-minute Settlement Interval is calculated as follows:</w:t>
      </w:r>
    </w:p>
    <w:p w14:paraId="66958E6A" w14:textId="77777777" w:rsidR="001F04FD" w:rsidRDefault="001F04FD" w:rsidP="001F04FD">
      <w:pPr>
        <w:pStyle w:val="FormulaBold"/>
      </w:pPr>
      <w:r>
        <w:t xml:space="preserve">RTCCAMT </w:t>
      </w:r>
      <w:r>
        <w:rPr>
          <w:i/>
          <w:vertAlign w:val="subscript"/>
        </w:rPr>
        <w:t xml:space="preserve">q, s </w:t>
      </w:r>
      <w:r>
        <w:tab/>
        <w:t>=</w:t>
      </w:r>
      <w:r>
        <w:tab/>
        <w:t xml:space="preserve">(RTSPP </w:t>
      </w:r>
      <w:r>
        <w:rPr>
          <w:i/>
          <w:vertAlign w:val="subscript"/>
        </w:rPr>
        <w:t>sink, s</w:t>
      </w:r>
      <w:r>
        <w:t xml:space="preserve"> – RTSPP </w:t>
      </w:r>
      <w:r>
        <w:rPr>
          <w:i/>
          <w:vertAlign w:val="subscript"/>
        </w:rPr>
        <w:t>source, s</w:t>
      </w:r>
      <w:r>
        <w:t xml:space="preserve">) * (SSQ </w:t>
      </w:r>
      <w:r>
        <w:rPr>
          <w:i/>
          <w:vertAlign w:val="subscript"/>
        </w:rPr>
        <w:t>q, s</w:t>
      </w:r>
      <w:r>
        <w:t xml:space="preserve"> * ¼) </w:t>
      </w:r>
    </w:p>
    <w:p w14:paraId="12857438" w14:textId="77777777" w:rsidR="001F04FD" w:rsidRDefault="001F04FD" w:rsidP="001F04FD">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0"/>
        <w:gridCol w:w="853"/>
        <w:gridCol w:w="7357"/>
      </w:tblGrid>
      <w:tr w:rsidR="001F04FD" w14:paraId="66EA9B24" w14:textId="77777777" w:rsidTr="00AC4DEE">
        <w:tc>
          <w:tcPr>
            <w:tcW w:w="1630" w:type="dxa"/>
          </w:tcPr>
          <w:p w14:paraId="24C8378D" w14:textId="77777777" w:rsidR="001F04FD" w:rsidRDefault="001F04FD" w:rsidP="00AC4DEE">
            <w:pPr>
              <w:pStyle w:val="TableHead"/>
            </w:pPr>
            <w:r>
              <w:lastRenderedPageBreak/>
              <w:t>Variable</w:t>
            </w:r>
          </w:p>
        </w:tc>
        <w:tc>
          <w:tcPr>
            <w:tcW w:w="0" w:type="auto"/>
          </w:tcPr>
          <w:p w14:paraId="3007E055" w14:textId="77777777" w:rsidR="001F04FD" w:rsidRDefault="001F04FD" w:rsidP="00AC4DEE">
            <w:pPr>
              <w:pStyle w:val="TableHead"/>
            </w:pPr>
            <w:r>
              <w:t>Unit</w:t>
            </w:r>
          </w:p>
        </w:tc>
        <w:tc>
          <w:tcPr>
            <w:tcW w:w="0" w:type="auto"/>
          </w:tcPr>
          <w:p w14:paraId="3935FAFD" w14:textId="77777777" w:rsidR="001F04FD" w:rsidRDefault="001F04FD" w:rsidP="00AC4DEE">
            <w:pPr>
              <w:pStyle w:val="TableHead"/>
            </w:pPr>
            <w:r>
              <w:t>Description</w:t>
            </w:r>
          </w:p>
        </w:tc>
      </w:tr>
      <w:tr w:rsidR="001F04FD" w14:paraId="7D556303" w14:textId="77777777" w:rsidTr="00AC4DEE">
        <w:tc>
          <w:tcPr>
            <w:tcW w:w="1630" w:type="dxa"/>
          </w:tcPr>
          <w:p w14:paraId="514EAF1C" w14:textId="77777777" w:rsidR="001F04FD" w:rsidRDefault="001F04FD" w:rsidP="00AC4DEE">
            <w:pPr>
              <w:pStyle w:val="TableBody"/>
            </w:pPr>
            <w:r>
              <w:t xml:space="preserve">RTCCAMT </w:t>
            </w:r>
            <w:r w:rsidRPr="00107CC2">
              <w:rPr>
                <w:i/>
                <w:vertAlign w:val="subscript"/>
              </w:rPr>
              <w:t>q, s</w:t>
            </w:r>
          </w:p>
        </w:tc>
        <w:tc>
          <w:tcPr>
            <w:tcW w:w="0" w:type="auto"/>
          </w:tcPr>
          <w:p w14:paraId="52A0A8C0" w14:textId="77777777" w:rsidR="001F04FD" w:rsidRDefault="001F04FD" w:rsidP="00AC4DEE">
            <w:pPr>
              <w:pStyle w:val="TableBody"/>
            </w:pPr>
            <w:r>
              <w:t>$</w:t>
            </w:r>
          </w:p>
        </w:tc>
        <w:tc>
          <w:tcPr>
            <w:tcW w:w="0" w:type="auto"/>
          </w:tcPr>
          <w:p w14:paraId="7876B6F2" w14:textId="77777777" w:rsidR="001F04FD" w:rsidRDefault="001F04FD" w:rsidP="00AC4DEE">
            <w:pPr>
              <w:pStyle w:val="TableBody"/>
            </w:pPr>
            <w:r>
              <w:rPr>
                <w:i/>
              </w:rPr>
              <w:t>Real-Time Congestion Cost Amount per QSE per Self-Schedule</w:t>
            </w:r>
            <w:r>
              <w:t xml:space="preserve">—The congestion charge to QSE </w:t>
            </w:r>
            <w:r>
              <w:rPr>
                <w:i/>
              </w:rPr>
              <w:t>q</w:t>
            </w:r>
            <w:r>
              <w:t xml:space="preserve"> for its Self-Schedule </w:t>
            </w:r>
            <w:r>
              <w:rPr>
                <w:i/>
              </w:rPr>
              <w:t>s</w:t>
            </w:r>
            <w:r>
              <w:t>, for the 15-minute Settlement Interval.</w:t>
            </w:r>
          </w:p>
        </w:tc>
      </w:tr>
      <w:tr w:rsidR="001F04FD" w14:paraId="31604DB6" w14:textId="77777777" w:rsidTr="00AC4DEE">
        <w:tc>
          <w:tcPr>
            <w:tcW w:w="1630" w:type="dxa"/>
          </w:tcPr>
          <w:p w14:paraId="4FC46918" w14:textId="77777777" w:rsidR="001F04FD" w:rsidRDefault="001F04FD" w:rsidP="00AC4DEE">
            <w:pPr>
              <w:pStyle w:val="TableBody"/>
            </w:pPr>
            <w:r>
              <w:t xml:space="preserve">RTSPP </w:t>
            </w:r>
            <w:r w:rsidRPr="00107CC2">
              <w:rPr>
                <w:i/>
                <w:vertAlign w:val="subscript"/>
              </w:rPr>
              <w:t>sink, s</w:t>
            </w:r>
          </w:p>
        </w:tc>
        <w:tc>
          <w:tcPr>
            <w:tcW w:w="0" w:type="auto"/>
          </w:tcPr>
          <w:p w14:paraId="3D009310" w14:textId="77777777" w:rsidR="001F04FD" w:rsidRDefault="001F04FD" w:rsidP="00AC4DEE">
            <w:pPr>
              <w:pStyle w:val="TableBody"/>
            </w:pPr>
            <w:r>
              <w:t>$/MWh</w:t>
            </w:r>
          </w:p>
        </w:tc>
        <w:tc>
          <w:tcPr>
            <w:tcW w:w="0" w:type="auto"/>
          </w:tcPr>
          <w:p w14:paraId="5A16A261" w14:textId="29F9B40A" w:rsidR="001F04FD" w:rsidRDefault="001F04FD" w:rsidP="00AC4DEE">
            <w:pPr>
              <w:pStyle w:val="TableBody"/>
            </w:pPr>
            <w:r>
              <w:rPr>
                <w:i/>
              </w:rPr>
              <w:t>Real-Time Settlement Point Price at the Sink of Self-Schedule</w:t>
            </w:r>
            <w:r>
              <w:t>—The Real-Time S</w:t>
            </w:r>
            <w:r w:rsidR="008B66B5">
              <w:t xml:space="preserve">ettlement </w:t>
            </w:r>
            <w:r>
              <w:t>P</w:t>
            </w:r>
            <w:r w:rsidR="008B66B5">
              <w:t xml:space="preserve">oint </w:t>
            </w:r>
            <w:r>
              <w:t>P</w:t>
            </w:r>
            <w:r w:rsidR="008B66B5">
              <w:t>rice</w:t>
            </w:r>
            <w:r>
              <w:t xml:space="preserve"> at the sink of the Self-Schedule </w:t>
            </w:r>
            <w:r>
              <w:rPr>
                <w:i/>
              </w:rPr>
              <w:t>s</w:t>
            </w:r>
            <w:r>
              <w:t>, for the 15-minute Settlement Interval.</w:t>
            </w:r>
          </w:p>
        </w:tc>
      </w:tr>
      <w:tr w:rsidR="001F04FD" w14:paraId="7473FBF1" w14:textId="77777777" w:rsidTr="00AC4DEE">
        <w:tc>
          <w:tcPr>
            <w:tcW w:w="1630" w:type="dxa"/>
          </w:tcPr>
          <w:p w14:paraId="56921D3A" w14:textId="77777777" w:rsidR="001F04FD" w:rsidRDefault="001F04FD" w:rsidP="00AC4DEE">
            <w:pPr>
              <w:pStyle w:val="TableBody"/>
            </w:pPr>
            <w:r>
              <w:t xml:space="preserve">RTSPP </w:t>
            </w:r>
            <w:r w:rsidRPr="00107CC2">
              <w:rPr>
                <w:i/>
                <w:vertAlign w:val="subscript"/>
              </w:rPr>
              <w:t>source, s</w:t>
            </w:r>
          </w:p>
        </w:tc>
        <w:tc>
          <w:tcPr>
            <w:tcW w:w="0" w:type="auto"/>
          </w:tcPr>
          <w:p w14:paraId="3E78194E" w14:textId="77777777" w:rsidR="001F04FD" w:rsidRDefault="001F04FD" w:rsidP="00AC4DEE">
            <w:pPr>
              <w:pStyle w:val="TableBody"/>
            </w:pPr>
            <w:r>
              <w:t>$/MWh</w:t>
            </w:r>
          </w:p>
        </w:tc>
        <w:tc>
          <w:tcPr>
            <w:tcW w:w="0" w:type="auto"/>
          </w:tcPr>
          <w:p w14:paraId="206F9A02" w14:textId="44DC1805" w:rsidR="001F04FD" w:rsidRDefault="001F04FD" w:rsidP="00AC4DEE">
            <w:pPr>
              <w:pStyle w:val="TableBody"/>
            </w:pPr>
            <w:r>
              <w:rPr>
                <w:i/>
              </w:rPr>
              <w:t>Real-Time Settlement Point Price at the Source of Self-Schedule</w:t>
            </w:r>
            <w:r>
              <w:t>—The Real-Time S</w:t>
            </w:r>
            <w:r w:rsidR="008B66B5">
              <w:t xml:space="preserve">ettlement </w:t>
            </w:r>
            <w:r>
              <w:t>P</w:t>
            </w:r>
            <w:r w:rsidR="008B66B5">
              <w:t xml:space="preserve">oint </w:t>
            </w:r>
            <w:r>
              <w:t>P</w:t>
            </w:r>
            <w:r w:rsidR="008B66B5">
              <w:t>rice</w:t>
            </w:r>
            <w:r>
              <w:t xml:space="preserve"> at the source of the Self-Schedule </w:t>
            </w:r>
            <w:r>
              <w:rPr>
                <w:i/>
              </w:rPr>
              <w:t>s</w:t>
            </w:r>
            <w:r>
              <w:t>, for the 15-minute Settlement Interval.</w:t>
            </w:r>
          </w:p>
        </w:tc>
      </w:tr>
      <w:tr w:rsidR="001F04FD" w14:paraId="779D551E" w14:textId="77777777" w:rsidTr="00AC4DEE">
        <w:tc>
          <w:tcPr>
            <w:tcW w:w="1630" w:type="dxa"/>
          </w:tcPr>
          <w:p w14:paraId="209535C1" w14:textId="77777777" w:rsidR="001F04FD" w:rsidRDefault="001F04FD" w:rsidP="00AC4DEE">
            <w:pPr>
              <w:pStyle w:val="TableBody"/>
            </w:pPr>
            <w:r>
              <w:t xml:space="preserve">SSQ </w:t>
            </w:r>
            <w:r w:rsidRPr="00107CC2">
              <w:rPr>
                <w:i/>
                <w:vertAlign w:val="subscript"/>
              </w:rPr>
              <w:t>q,s</w:t>
            </w:r>
          </w:p>
        </w:tc>
        <w:tc>
          <w:tcPr>
            <w:tcW w:w="0" w:type="auto"/>
          </w:tcPr>
          <w:p w14:paraId="173BE17E" w14:textId="77777777" w:rsidR="001F04FD" w:rsidRDefault="001F04FD" w:rsidP="00AC4DEE">
            <w:pPr>
              <w:pStyle w:val="TableBody"/>
            </w:pPr>
            <w:r>
              <w:t>MW</w:t>
            </w:r>
          </w:p>
        </w:tc>
        <w:tc>
          <w:tcPr>
            <w:tcW w:w="0" w:type="auto"/>
          </w:tcPr>
          <w:p w14:paraId="6F4650F9" w14:textId="77777777" w:rsidR="001F04FD" w:rsidRDefault="001F04FD" w:rsidP="00AC4DEE">
            <w:pPr>
              <w:pStyle w:val="TableBody"/>
            </w:pPr>
            <w:r>
              <w:rPr>
                <w:i/>
              </w:rPr>
              <w:t>Self-Schedule Quantity per Self-Schedule</w:t>
            </w:r>
            <w:r>
              <w:t xml:space="preserve">—The QSE </w:t>
            </w:r>
            <w:r>
              <w:rPr>
                <w:i/>
              </w:rPr>
              <w:t>q</w:t>
            </w:r>
            <w:r>
              <w:t xml:space="preserve">’s Self Schedule MW quantity for Self-Schedule </w:t>
            </w:r>
            <w:r>
              <w:rPr>
                <w:i/>
              </w:rPr>
              <w:t>s</w:t>
            </w:r>
            <w:r>
              <w:t>, for the 15-minute Settlement Interval.</w:t>
            </w:r>
          </w:p>
        </w:tc>
      </w:tr>
      <w:tr w:rsidR="001F04FD" w14:paraId="502562F0" w14:textId="77777777" w:rsidTr="00AC4DEE">
        <w:tc>
          <w:tcPr>
            <w:tcW w:w="1630" w:type="dxa"/>
          </w:tcPr>
          <w:p w14:paraId="69D7590E" w14:textId="77777777" w:rsidR="001F04FD" w:rsidRPr="00107CC2" w:rsidRDefault="001F04FD" w:rsidP="00AC4DEE">
            <w:pPr>
              <w:pStyle w:val="TableBody"/>
              <w:rPr>
                <w:i/>
              </w:rPr>
            </w:pPr>
            <w:r w:rsidRPr="00107CC2">
              <w:rPr>
                <w:i/>
              </w:rPr>
              <w:t>q</w:t>
            </w:r>
          </w:p>
        </w:tc>
        <w:tc>
          <w:tcPr>
            <w:tcW w:w="0" w:type="auto"/>
          </w:tcPr>
          <w:p w14:paraId="0580635A" w14:textId="77777777" w:rsidR="001F04FD" w:rsidRDefault="001F04FD" w:rsidP="00AC4DEE">
            <w:pPr>
              <w:pStyle w:val="TableBody"/>
            </w:pPr>
            <w:r>
              <w:t>none</w:t>
            </w:r>
          </w:p>
        </w:tc>
        <w:tc>
          <w:tcPr>
            <w:tcW w:w="0" w:type="auto"/>
          </w:tcPr>
          <w:p w14:paraId="29703170" w14:textId="77777777" w:rsidR="001F04FD" w:rsidRDefault="001F04FD" w:rsidP="00AC4DEE">
            <w:pPr>
              <w:pStyle w:val="TableBody"/>
            </w:pPr>
            <w:r>
              <w:t>A QSE.</w:t>
            </w:r>
          </w:p>
        </w:tc>
      </w:tr>
      <w:tr w:rsidR="001F04FD" w14:paraId="219656EC" w14:textId="77777777" w:rsidTr="00AC4DEE">
        <w:tc>
          <w:tcPr>
            <w:tcW w:w="1630" w:type="dxa"/>
          </w:tcPr>
          <w:p w14:paraId="45517571" w14:textId="77777777" w:rsidR="001F04FD" w:rsidRPr="00107CC2" w:rsidRDefault="001F04FD" w:rsidP="00AC4DEE">
            <w:pPr>
              <w:pStyle w:val="TableBody"/>
              <w:rPr>
                <w:i/>
              </w:rPr>
            </w:pPr>
            <w:r w:rsidRPr="00107CC2">
              <w:rPr>
                <w:i/>
              </w:rPr>
              <w:t>s</w:t>
            </w:r>
          </w:p>
        </w:tc>
        <w:tc>
          <w:tcPr>
            <w:tcW w:w="0" w:type="auto"/>
          </w:tcPr>
          <w:p w14:paraId="61134B3D" w14:textId="77777777" w:rsidR="001F04FD" w:rsidRDefault="001F04FD" w:rsidP="00AC4DEE">
            <w:pPr>
              <w:pStyle w:val="TableBody"/>
            </w:pPr>
            <w:r>
              <w:t>none</w:t>
            </w:r>
          </w:p>
        </w:tc>
        <w:tc>
          <w:tcPr>
            <w:tcW w:w="0" w:type="auto"/>
          </w:tcPr>
          <w:p w14:paraId="3C3A3F2C" w14:textId="77777777" w:rsidR="001F04FD" w:rsidRDefault="001F04FD" w:rsidP="00AC4DEE">
            <w:pPr>
              <w:pStyle w:val="TableBody"/>
            </w:pPr>
            <w:r>
              <w:t>A Self-Schedule.</w:t>
            </w:r>
          </w:p>
        </w:tc>
      </w:tr>
      <w:tr w:rsidR="001F04FD" w14:paraId="0DA8024B" w14:textId="77777777" w:rsidTr="00AC4DEE">
        <w:tc>
          <w:tcPr>
            <w:tcW w:w="1630" w:type="dxa"/>
            <w:tcBorders>
              <w:top w:val="single" w:sz="4" w:space="0" w:color="auto"/>
              <w:left w:val="single" w:sz="4" w:space="0" w:color="auto"/>
              <w:bottom w:val="single" w:sz="4" w:space="0" w:color="auto"/>
              <w:right w:val="single" w:sz="4" w:space="0" w:color="auto"/>
            </w:tcBorders>
          </w:tcPr>
          <w:p w14:paraId="1F9170B5" w14:textId="77777777" w:rsidR="001F04FD" w:rsidRPr="00107CC2" w:rsidRDefault="001F04FD" w:rsidP="00AC4DEE">
            <w:pPr>
              <w:pStyle w:val="TableBody"/>
              <w:rPr>
                <w:i/>
              </w:rPr>
            </w:pPr>
            <w:r w:rsidRPr="00107CC2">
              <w:rPr>
                <w:i/>
              </w:rPr>
              <w:t>sink</w:t>
            </w:r>
          </w:p>
        </w:tc>
        <w:tc>
          <w:tcPr>
            <w:tcW w:w="0" w:type="auto"/>
            <w:tcBorders>
              <w:top w:val="single" w:sz="4" w:space="0" w:color="auto"/>
              <w:left w:val="single" w:sz="4" w:space="0" w:color="auto"/>
              <w:bottom w:val="single" w:sz="4" w:space="0" w:color="auto"/>
              <w:right w:val="single" w:sz="4" w:space="0" w:color="auto"/>
            </w:tcBorders>
          </w:tcPr>
          <w:p w14:paraId="299D827B"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1AA38167" w14:textId="77777777" w:rsidR="001F04FD" w:rsidRDefault="001F04FD" w:rsidP="00AC4DEE">
            <w:pPr>
              <w:pStyle w:val="TableBody"/>
            </w:pPr>
            <w:r>
              <w:t>Sink Settlement Point</w:t>
            </w:r>
          </w:p>
        </w:tc>
      </w:tr>
      <w:tr w:rsidR="001F04FD" w14:paraId="19AC52EE" w14:textId="77777777" w:rsidTr="00AC4DEE">
        <w:tc>
          <w:tcPr>
            <w:tcW w:w="1630" w:type="dxa"/>
            <w:tcBorders>
              <w:top w:val="single" w:sz="4" w:space="0" w:color="auto"/>
              <w:left w:val="single" w:sz="4" w:space="0" w:color="auto"/>
              <w:bottom w:val="single" w:sz="4" w:space="0" w:color="auto"/>
              <w:right w:val="single" w:sz="4" w:space="0" w:color="auto"/>
            </w:tcBorders>
          </w:tcPr>
          <w:p w14:paraId="016CC1BB" w14:textId="77777777" w:rsidR="001F04FD" w:rsidRPr="00107CC2" w:rsidRDefault="001F04FD" w:rsidP="00AC4DEE">
            <w:pPr>
              <w:pStyle w:val="TableBody"/>
              <w:rPr>
                <w:i/>
              </w:rPr>
            </w:pPr>
            <w:r w:rsidRPr="00107CC2">
              <w:rPr>
                <w:i/>
              </w:rPr>
              <w:t>source</w:t>
            </w:r>
          </w:p>
        </w:tc>
        <w:tc>
          <w:tcPr>
            <w:tcW w:w="0" w:type="auto"/>
            <w:tcBorders>
              <w:top w:val="single" w:sz="4" w:space="0" w:color="auto"/>
              <w:left w:val="single" w:sz="4" w:space="0" w:color="auto"/>
              <w:bottom w:val="single" w:sz="4" w:space="0" w:color="auto"/>
              <w:right w:val="single" w:sz="4" w:space="0" w:color="auto"/>
            </w:tcBorders>
          </w:tcPr>
          <w:p w14:paraId="4450C52D"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69A9298F" w14:textId="77777777" w:rsidR="001F04FD" w:rsidRDefault="001F04FD" w:rsidP="00AC4DEE">
            <w:pPr>
              <w:pStyle w:val="TableBody"/>
            </w:pPr>
            <w:r>
              <w:t>Source Settlement Point</w:t>
            </w:r>
          </w:p>
        </w:tc>
      </w:tr>
    </w:tbl>
    <w:p w14:paraId="02F6313B" w14:textId="77777777" w:rsidR="001F04FD" w:rsidRDefault="001F04FD" w:rsidP="001F04FD"/>
    <w:p w14:paraId="39CB63D3" w14:textId="77777777" w:rsidR="001F04FD" w:rsidRDefault="001F04FD" w:rsidP="001F04FD">
      <w:pPr>
        <w:pStyle w:val="BodyTextNumbered"/>
      </w:pPr>
      <w:r>
        <w:t>(2)</w:t>
      </w:r>
      <w:r>
        <w:tab/>
        <w:t>The total net congestion payments and charges to each QSE for all its Self-Schedules for the 15-minute Settlement Interval is calculated as follows:</w:t>
      </w:r>
    </w:p>
    <w:p w14:paraId="4AC162C1" w14:textId="77777777" w:rsidR="001F04FD" w:rsidRDefault="001F04FD" w:rsidP="001F04FD">
      <w:pPr>
        <w:pStyle w:val="FormulaBold"/>
      </w:pPr>
      <w:r>
        <w:t xml:space="preserve">RTCCAMTQSETOT </w:t>
      </w:r>
      <w:r>
        <w:rPr>
          <w:i/>
          <w:vertAlign w:val="subscript"/>
        </w:rPr>
        <w:t>q</w:t>
      </w:r>
      <w:r>
        <w:tab/>
        <w:t>=</w:t>
      </w:r>
      <w:r>
        <w:tab/>
      </w:r>
      <w:r w:rsidRPr="006F784F">
        <w:rPr>
          <w:position w:val="-20"/>
        </w:rPr>
        <w:object w:dxaOrig="225" w:dyaOrig="435" w14:anchorId="1C630257">
          <v:shape id="_x0000_i1179" type="#_x0000_t75" style="width:12pt;height:18pt" o:ole="">
            <v:imagedata r:id="rId207" o:title=""/>
          </v:shape>
          <o:OLEObject Type="Embed" ProgID="Equation.3" ShapeID="_x0000_i1179" DrawAspect="Content" ObjectID="_1815025369" r:id="rId208"/>
        </w:object>
      </w:r>
      <w:r>
        <w:t xml:space="preserve">RTCCAMT </w:t>
      </w:r>
      <w:r>
        <w:rPr>
          <w:i/>
          <w:vertAlign w:val="subscript"/>
        </w:rPr>
        <w:t>q, s</w:t>
      </w:r>
    </w:p>
    <w:p w14:paraId="77F6736E" w14:textId="77777777" w:rsidR="001F04FD" w:rsidRDefault="001F04FD" w:rsidP="001F04FD">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1F04FD" w14:paraId="217B60A0" w14:textId="77777777" w:rsidTr="00AC4DEE">
        <w:trPr>
          <w:tblHeader/>
        </w:trPr>
        <w:tc>
          <w:tcPr>
            <w:tcW w:w="2165" w:type="dxa"/>
          </w:tcPr>
          <w:p w14:paraId="44B743B0" w14:textId="77777777" w:rsidR="001F04FD" w:rsidRDefault="001F04FD" w:rsidP="00AC4DEE">
            <w:pPr>
              <w:pStyle w:val="TableHead"/>
            </w:pPr>
            <w:r>
              <w:t>Variable</w:t>
            </w:r>
          </w:p>
        </w:tc>
        <w:tc>
          <w:tcPr>
            <w:tcW w:w="832" w:type="dxa"/>
          </w:tcPr>
          <w:p w14:paraId="45AC932D" w14:textId="77777777" w:rsidR="001F04FD" w:rsidRDefault="001F04FD" w:rsidP="00AC4DEE">
            <w:pPr>
              <w:pStyle w:val="TableHead"/>
            </w:pPr>
            <w:r>
              <w:t>Unit</w:t>
            </w:r>
          </w:p>
        </w:tc>
        <w:tc>
          <w:tcPr>
            <w:tcW w:w="6074" w:type="dxa"/>
          </w:tcPr>
          <w:p w14:paraId="0896EFD5" w14:textId="77777777" w:rsidR="001F04FD" w:rsidRDefault="001F04FD" w:rsidP="00AC4DEE">
            <w:pPr>
              <w:pStyle w:val="TableHead"/>
            </w:pPr>
            <w:r>
              <w:t>Definition</w:t>
            </w:r>
          </w:p>
        </w:tc>
      </w:tr>
      <w:tr w:rsidR="001F04FD" w14:paraId="5D49E09F" w14:textId="77777777" w:rsidTr="00AC4DEE">
        <w:tc>
          <w:tcPr>
            <w:tcW w:w="2165" w:type="dxa"/>
          </w:tcPr>
          <w:p w14:paraId="15368DFA" w14:textId="77777777" w:rsidR="001F04FD" w:rsidRDefault="001F04FD" w:rsidP="00AC4DEE">
            <w:pPr>
              <w:pStyle w:val="TableBody"/>
            </w:pPr>
            <w:r>
              <w:t xml:space="preserve">RTCCAMTQSETOT </w:t>
            </w:r>
            <w:r w:rsidRPr="00107CC2">
              <w:rPr>
                <w:i/>
                <w:vertAlign w:val="subscript"/>
              </w:rPr>
              <w:t>q</w:t>
            </w:r>
          </w:p>
        </w:tc>
        <w:tc>
          <w:tcPr>
            <w:tcW w:w="832" w:type="dxa"/>
          </w:tcPr>
          <w:p w14:paraId="68F17DF8" w14:textId="77777777" w:rsidR="001F04FD" w:rsidRDefault="001F04FD" w:rsidP="00AC4DEE">
            <w:pPr>
              <w:pStyle w:val="TableBody"/>
            </w:pPr>
            <w:r>
              <w:t>$</w:t>
            </w:r>
          </w:p>
        </w:tc>
        <w:tc>
          <w:tcPr>
            <w:tcW w:w="6074" w:type="dxa"/>
          </w:tcPr>
          <w:p w14:paraId="137A7E3F" w14:textId="77777777" w:rsidR="001F04FD" w:rsidRDefault="001F04FD" w:rsidP="00AC4DEE">
            <w:pPr>
              <w:pStyle w:val="TableBody"/>
            </w:pPr>
            <w:r>
              <w:rPr>
                <w:i/>
              </w:rPr>
              <w:t>Real-Time Congestion Cost Amount QSE Total per QSE</w:t>
            </w:r>
            <w:r>
              <w:sym w:font="Symbol" w:char="F0BE"/>
            </w:r>
            <w:r>
              <w:t xml:space="preserve">The total net congestion payments and charges to QSE </w:t>
            </w:r>
            <w:r>
              <w:rPr>
                <w:i/>
              </w:rPr>
              <w:t>q</w:t>
            </w:r>
            <w:r>
              <w:t xml:space="preserve"> for its Self-Schedules for the 15-minute Settlement Interval.</w:t>
            </w:r>
          </w:p>
        </w:tc>
      </w:tr>
      <w:tr w:rsidR="001F04FD" w14:paraId="5B6D9186" w14:textId="77777777" w:rsidTr="00AC4DEE">
        <w:tc>
          <w:tcPr>
            <w:tcW w:w="2165" w:type="dxa"/>
          </w:tcPr>
          <w:p w14:paraId="763B1444" w14:textId="77777777" w:rsidR="001F04FD" w:rsidRDefault="001F04FD" w:rsidP="00AC4DEE">
            <w:pPr>
              <w:pStyle w:val="TableBody"/>
            </w:pPr>
            <w:r>
              <w:t xml:space="preserve">RTCCAMT </w:t>
            </w:r>
            <w:r w:rsidRPr="00107CC2">
              <w:rPr>
                <w:i/>
                <w:vertAlign w:val="subscript"/>
              </w:rPr>
              <w:t>q, s</w:t>
            </w:r>
          </w:p>
        </w:tc>
        <w:tc>
          <w:tcPr>
            <w:tcW w:w="832" w:type="dxa"/>
          </w:tcPr>
          <w:p w14:paraId="5385731B" w14:textId="77777777" w:rsidR="001F04FD" w:rsidRDefault="001F04FD" w:rsidP="00AC4DEE">
            <w:pPr>
              <w:pStyle w:val="TableBody"/>
            </w:pPr>
            <w:r>
              <w:t>$</w:t>
            </w:r>
          </w:p>
        </w:tc>
        <w:tc>
          <w:tcPr>
            <w:tcW w:w="6074" w:type="dxa"/>
          </w:tcPr>
          <w:p w14:paraId="419DBD22" w14:textId="77777777" w:rsidR="001F04FD" w:rsidRDefault="001F04FD" w:rsidP="00AC4DEE">
            <w:pPr>
              <w:pStyle w:val="TableBody"/>
            </w:pPr>
            <w:r>
              <w:rPr>
                <w:i/>
              </w:rPr>
              <w:t>Real-Time Congestion Cost Amount per QSE per Self-Schedule</w:t>
            </w:r>
            <w:r>
              <w:t xml:space="preserve">—The congestion payment or charge to QSE </w:t>
            </w:r>
            <w:r>
              <w:rPr>
                <w:i/>
              </w:rPr>
              <w:t>q</w:t>
            </w:r>
            <w:r>
              <w:t xml:space="preserve"> for its Self-Schedule </w:t>
            </w:r>
            <w:r>
              <w:rPr>
                <w:i/>
              </w:rPr>
              <w:t>s</w:t>
            </w:r>
            <w:r>
              <w:t>, for the 15-minute Settlement Interval.</w:t>
            </w:r>
          </w:p>
        </w:tc>
      </w:tr>
      <w:tr w:rsidR="001F04FD" w14:paraId="1DD4321B" w14:textId="77777777" w:rsidTr="00AC4DEE">
        <w:tc>
          <w:tcPr>
            <w:tcW w:w="2165" w:type="dxa"/>
            <w:tcBorders>
              <w:top w:val="single" w:sz="4" w:space="0" w:color="auto"/>
              <w:left w:val="single" w:sz="4" w:space="0" w:color="auto"/>
              <w:bottom w:val="single" w:sz="4" w:space="0" w:color="auto"/>
              <w:right w:val="single" w:sz="4" w:space="0" w:color="auto"/>
            </w:tcBorders>
          </w:tcPr>
          <w:p w14:paraId="1574A929" w14:textId="77777777" w:rsidR="001F04FD" w:rsidRPr="00107CC2" w:rsidRDefault="001F04FD" w:rsidP="00AC4DEE">
            <w:pPr>
              <w:pStyle w:val="TableBody"/>
              <w:rPr>
                <w:i/>
              </w:rPr>
            </w:pPr>
            <w:r w:rsidRPr="00107CC2">
              <w:rPr>
                <w:i/>
              </w:rPr>
              <w:t>q</w:t>
            </w:r>
          </w:p>
        </w:tc>
        <w:tc>
          <w:tcPr>
            <w:tcW w:w="832" w:type="dxa"/>
            <w:tcBorders>
              <w:top w:val="single" w:sz="4" w:space="0" w:color="auto"/>
              <w:left w:val="single" w:sz="4" w:space="0" w:color="auto"/>
              <w:bottom w:val="single" w:sz="4" w:space="0" w:color="auto"/>
              <w:right w:val="single" w:sz="4" w:space="0" w:color="auto"/>
            </w:tcBorders>
          </w:tcPr>
          <w:p w14:paraId="378A3774"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4C7E2166" w14:textId="77777777" w:rsidR="001F04FD" w:rsidRDefault="001F04FD" w:rsidP="00AC4DEE">
            <w:pPr>
              <w:pStyle w:val="TableBody"/>
            </w:pPr>
            <w:r>
              <w:t>A QSE.</w:t>
            </w:r>
          </w:p>
        </w:tc>
      </w:tr>
      <w:tr w:rsidR="001F04FD" w14:paraId="0523EA53" w14:textId="77777777" w:rsidTr="00AC4DEE">
        <w:tc>
          <w:tcPr>
            <w:tcW w:w="2165" w:type="dxa"/>
            <w:tcBorders>
              <w:top w:val="single" w:sz="4" w:space="0" w:color="auto"/>
              <w:left w:val="single" w:sz="4" w:space="0" w:color="auto"/>
              <w:bottom w:val="single" w:sz="4" w:space="0" w:color="auto"/>
              <w:right w:val="single" w:sz="4" w:space="0" w:color="auto"/>
            </w:tcBorders>
          </w:tcPr>
          <w:p w14:paraId="7092E66F" w14:textId="77777777" w:rsidR="001F04FD" w:rsidRPr="00107CC2" w:rsidRDefault="001F04FD" w:rsidP="00AC4DEE">
            <w:pPr>
              <w:pStyle w:val="TableBody"/>
              <w:rPr>
                <w:i/>
              </w:rPr>
            </w:pPr>
            <w:r w:rsidRPr="00107CC2">
              <w:rPr>
                <w:i/>
              </w:rPr>
              <w:t>s</w:t>
            </w:r>
          </w:p>
        </w:tc>
        <w:tc>
          <w:tcPr>
            <w:tcW w:w="832" w:type="dxa"/>
            <w:tcBorders>
              <w:top w:val="single" w:sz="4" w:space="0" w:color="auto"/>
              <w:left w:val="single" w:sz="4" w:space="0" w:color="auto"/>
              <w:bottom w:val="single" w:sz="4" w:space="0" w:color="auto"/>
              <w:right w:val="single" w:sz="4" w:space="0" w:color="auto"/>
            </w:tcBorders>
          </w:tcPr>
          <w:p w14:paraId="4E9F2C1B"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4B6BE458" w14:textId="77777777" w:rsidR="001F04FD" w:rsidRDefault="001F04FD" w:rsidP="00AC4DEE">
            <w:pPr>
              <w:pStyle w:val="TableBody"/>
            </w:pPr>
            <w:r>
              <w:t>A Self-Schedule.</w:t>
            </w:r>
          </w:p>
        </w:tc>
      </w:tr>
    </w:tbl>
    <w:p w14:paraId="4DE12A46" w14:textId="77777777" w:rsidR="001F04FD" w:rsidRDefault="001F04FD" w:rsidP="001F04FD">
      <w:pPr>
        <w:pStyle w:val="H3"/>
        <w:spacing w:before="480"/>
        <w:rPr>
          <w:lang w:val="fr-FR"/>
        </w:rPr>
      </w:pPr>
      <w:bookmarkStart w:id="2005" w:name="_Toc397505020"/>
      <w:bookmarkStart w:id="2006" w:name="_Toc402357148"/>
      <w:bookmarkStart w:id="2007" w:name="_Toc422486528"/>
      <w:bookmarkStart w:id="2008" w:name="_Toc433093381"/>
      <w:bookmarkStart w:id="2009" w:name="_Toc433093539"/>
      <w:bookmarkStart w:id="2010" w:name="_Toc440874769"/>
      <w:bookmarkStart w:id="2011" w:name="_Toc448142326"/>
      <w:bookmarkStart w:id="2012" w:name="_Toc448142483"/>
      <w:bookmarkStart w:id="2013" w:name="_Toc458770324"/>
      <w:bookmarkStart w:id="2014" w:name="_Toc459294292"/>
      <w:bookmarkStart w:id="2015" w:name="_Toc463262785"/>
      <w:bookmarkStart w:id="2016" w:name="_Toc468286858"/>
      <w:bookmarkStart w:id="2017" w:name="_Toc481502898"/>
      <w:bookmarkStart w:id="2018" w:name="_Toc496080066"/>
      <w:bookmarkStart w:id="2019" w:name="_Toc87951795"/>
      <w:bookmarkStart w:id="2020" w:name="_Toc109009401"/>
      <w:bookmarkStart w:id="2021" w:name="_Toc204411679"/>
      <w:bookmarkEnd w:id="1964"/>
      <w:bookmarkEnd w:id="1965"/>
      <w:r>
        <w:rPr>
          <w:lang w:val="fr-FR"/>
        </w:rPr>
        <w:t>6.6.5</w:t>
      </w:r>
      <w:r>
        <w:rPr>
          <w:lang w:val="fr-FR"/>
        </w:rPr>
        <w:tab/>
        <w:t>Base Point Deviation Charge</w:t>
      </w:r>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21"/>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8F4B78" w:rsidRPr="00DE2E54" w14:paraId="5F68F9EB" w14:textId="77777777" w:rsidTr="008F4B78">
        <w:tc>
          <w:tcPr>
            <w:tcW w:w="9350" w:type="dxa"/>
            <w:shd w:val="clear" w:color="auto" w:fill="E0E0E0"/>
          </w:tcPr>
          <w:p w14:paraId="10A00F75" w14:textId="08262FE1" w:rsidR="008F4B78" w:rsidRPr="00DE2E54" w:rsidRDefault="008F4B78" w:rsidP="00426634">
            <w:pPr>
              <w:spacing w:before="120" w:after="240"/>
              <w:rPr>
                <w:b/>
                <w:i/>
                <w:iCs/>
              </w:rPr>
            </w:pPr>
            <w:bookmarkStart w:id="2022" w:name="_Toc397505021"/>
            <w:bookmarkStart w:id="2023" w:name="_Toc402357149"/>
            <w:bookmarkStart w:id="2024" w:name="_Toc422486529"/>
            <w:bookmarkStart w:id="2025" w:name="_Toc433093382"/>
            <w:bookmarkStart w:id="2026" w:name="_Toc433093540"/>
            <w:bookmarkStart w:id="2027" w:name="_Toc440874770"/>
            <w:bookmarkStart w:id="2028" w:name="_Toc448142327"/>
            <w:bookmarkStart w:id="2029" w:name="_Toc448142484"/>
            <w:bookmarkStart w:id="2030" w:name="_Toc458770325"/>
            <w:bookmarkStart w:id="2031" w:name="_Toc459294293"/>
            <w:bookmarkStart w:id="2032" w:name="_Toc463262786"/>
            <w:bookmarkStart w:id="2033" w:name="_Toc468286859"/>
            <w:bookmarkStart w:id="2034" w:name="_Toc481502899"/>
            <w:bookmarkStart w:id="2035" w:name="_Toc496080067"/>
            <w:r>
              <w:rPr>
                <w:b/>
                <w:i/>
                <w:iCs/>
              </w:rPr>
              <w:t>[NPRR1029</w:t>
            </w:r>
            <w:r w:rsidRPr="00DE2E54">
              <w:rPr>
                <w:b/>
                <w:i/>
                <w:iCs/>
              </w:rPr>
              <w:t>:  Replace</w:t>
            </w:r>
            <w:r>
              <w:rPr>
                <w:b/>
                <w:i/>
                <w:iCs/>
              </w:rPr>
              <w:t xml:space="preserve"> the title for Section 6.6.5</w:t>
            </w:r>
            <w:r w:rsidRPr="00DE2E54">
              <w:rPr>
                <w:b/>
                <w:i/>
                <w:iCs/>
              </w:rPr>
              <w:t xml:space="preserve"> above with the following upon system implementation:]</w:t>
            </w:r>
          </w:p>
          <w:p w14:paraId="677DC7DB" w14:textId="72A080F8" w:rsidR="008F4B78" w:rsidRPr="008F4B78" w:rsidRDefault="008F4B78" w:rsidP="008F4B78">
            <w:pPr>
              <w:keepNext/>
              <w:tabs>
                <w:tab w:val="left" w:pos="1080"/>
              </w:tabs>
              <w:spacing w:before="240" w:after="240"/>
              <w:ind w:left="1080" w:hanging="1080"/>
              <w:outlineLvl w:val="2"/>
              <w:rPr>
                <w:b/>
                <w:bCs/>
                <w:i/>
                <w:lang w:val="fr-FR"/>
              </w:rPr>
            </w:pPr>
            <w:bookmarkStart w:id="2036" w:name="_Toc60040686"/>
            <w:bookmarkStart w:id="2037" w:name="_Toc65151745"/>
            <w:bookmarkStart w:id="2038" w:name="_Toc80174771"/>
            <w:bookmarkStart w:id="2039" w:name="_Toc112417651"/>
            <w:bookmarkStart w:id="2040" w:name="_Toc125966253"/>
            <w:bookmarkStart w:id="2041" w:name="_Toc135992351"/>
            <w:bookmarkStart w:id="2042" w:name="_Toc170303547"/>
            <w:bookmarkStart w:id="2043" w:name="_Toc175157451"/>
            <w:bookmarkStart w:id="2044" w:name="_Toc204411680"/>
            <w:r w:rsidRPr="00382816">
              <w:rPr>
                <w:b/>
                <w:bCs/>
                <w:i/>
                <w:lang w:val="fr-FR"/>
              </w:rPr>
              <w:t>6.6.5</w:t>
            </w:r>
            <w:r w:rsidRPr="00382816">
              <w:rPr>
                <w:b/>
                <w:bCs/>
                <w:i/>
                <w:lang w:val="fr-FR"/>
              </w:rPr>
              <w:tab/>
            </w:r>
            <w:r>
              <w:rPr>
                <w:b/>
                <w:bCs/>
                <w:i/>
                <w:lang w:val="fr-FR"/>
              </w:rPr>
              <w:t>Set</w:t>
            </w:r>
            <w:r w:rsidRPr="00382816">
              <w:rPr>
                <w:b/>
                <w:bCs/>
                <w:i/>
                <w:lang w:val="fr-FR"/>
              </w:rPr>
              <w:t xml:space="preserve"> </w:t>
            </w:r>
            <w:r>
              <w:rPr>
                <w:b/>
                <w:bCs/>
                <w:i/>
                <w:lang w:val="fr-FR"/>
              </w:rPr>
              <w:t>Point Deviation Charge</w:t>
            </w:r>
            <w:bookmarkEnd w:id="2036"/>
            <w:bookmarkEnd w:id="2037"/>
            <w:bookmarkEnd w:id="2038"/>
            <w:bookmarkEnd w:id="2039"/>
            <w:bookmarkEnd w:id="2040"/>
            <w:bookmarkEnd w:id="2041"/>
            <w:bookmarkEnd w:id="2042"/>
            <w:bookmarkEnd w:id="2043"/>
            <w:bookmarkEnd w:id="2044"/>
          </w:p>
        </w:tc>
      </w:tr>
    </w:tbl>
    <w:p w14:paraId="521F9B24" w14:textId="77777777" w:rsidR="001F04FD" w:rsidRPr="001A3201" w:rsidRDefault="001F04FD" w:rsidP="001F04FD">
      <w:pPr>
        <w:pStyle w:val="H3"/>
        <w:outlineLvl w:val="3"/>
        <w:rPr>
          <w:i w:val="0"/>
          <w:lang w:val="fr-FR"/>
        </w:rPr>
      </w:pPr>
      <w:bookmarkStart w:id="2045" w:name="_Toc204411681"/>
      <w:r w:rsidRPr="001A3201">
        <w:rPr>
          <w:i w:val="0"/>
          <w:lang w:val="fr-FR"/>
        </w:rPr>
        <w:t>6.6.5.1</w:t>
      </w:r>
      <w:r w:rsidRPr="001A3201">
        <w:rPr>
          <w:i w:val="0"/>
          <w:lang w:val="fr-FR"/>
        </w:rPr>
        <w:tab/>
        <w:t>Resource Base Point Deviation Charge</w:t>
      </w:r>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45"/>
    </w:p>
    <w:p w14:paraId="218F9A82" w14:textId="3DC727CD" w:rsidR="001F04FD" w:rsidRDefault="001F04FD" w:rsidP="001F04FD">
      <w:pPr>
        <w:pStyle w:val="List"/>
        <w:ind w:left="720"/>
      </w:pPr>
      <w:r>
        <w:t>(1)</w:t>
      </w:r>
      <w:r>
        <w:tab/>
        <w:t xml:space="preserve">A QSE for a Generation Resource or Controllable Load Resource shall pay a Base Point Deviation Charge if the Resource did not follow Dispatch Instructions and Ancillary Service deployments within defined tolerances, except when the Dispatch Instructions </w:t>
      </w:r>
      <w:r>
        <w:lastRenderedPageBreak/>
        <w:t xml:space="preserve">and Ancillary Service deployments violate the Resource Parameters.  The Base Point Deviation Charge does not apply to Generation Resources when Adjusted Aggregated Base Point (AABP) is less than the Resource’s average telemetered LSL, the QSE’s Generation Resources are operating in Constant Frequency Control (CFC) mode, or </w:t>
      </w:r>
      <w:r w:rsidRPr="00701CA1">
        <w:t>any time during the Settlement Interval when the telemetered Resource Status</w:t>
      </w:r>
      <w:r>
        <w:t xml:space="preserve"> is set to ONTEST or STARTUP.  </w:t>
      </w:r>
      <w:r w:rsidRPr="006A6281">
        <w:t xml:space="preserve">The Base Point Deviation Charge does not apply to a Controllable Load Resource if the computed Base Point is equal to the snapshot of its telemetered power consumption for all SCED runs during the Settlement Interval or any time during the Settlement Interval when the telemetered Resource Status is set to OUTL.  </w:t>
      </w:r>
      <w:r>
        <w:t xml:space="preserve">The desired output from a Generation Resource or desired consumption from a Controllable Load Resource during a 15-minute Settlement Interval is calculated as follows: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C0176" w14:paraId="48A0D85E" w14:textId="27C366E5" w:rsidTr="00F5593C">
        <w:trPr>
          <w:trHeight w:val="206"/>
        </w:trPr>
        <w:tc>
          <w:tcPr>
            <w:tcW w:w="9576" w:type="dxa"/>
            <w:shd w:val="pct12" w:color="auto" w:fill="auto"/>
          </w:tcPr>
          <w:p w14:paraId="29AC62AB" w14:textId="5AFAD2AC" w:rsidR="001C0176" w:rsidRDefault="001C0176" w:rsidP="00F5593C">
            <w:pPr>
              <w:pStyle w:val="Instructions"/>
              <w:spacing w:before="120"/>
            </w:pPr>
            <w:r>
              <w:t>[NPRR1188:  Replace paragraph (1) above with the following upon system implementation:]</w:t>
            </w:r>
          </w:p>
          <w:p w14:paraId="5552129C" w14:textId="18C3BA01" w:rsidR="001C0176" w:rsidRPr="008F39F7" w:rsidRDefault="001C0176" w:rsidP="001C0176">
            <w:pPr>
              <w:pStyle w:val="List"/>
              <w:ind w:left="720"/>
            </w:pPr>
            <w:r w:rsidRPr="00812ECB">
              <w:t>(1)</w:t>
            </w:r>
            <w:r w:rsidRPr="00812ECB">
              <w:tab/>
              <w:t>A QSE for a Generation Resource or Controllable Load Resource shall pay a Base Point Deviation Charge if the Resource did not follow Dispatch Instructions and Ancillary Service deployments within defined tolerances, except when the Dispatch Instructions and Ancillary Service deployments violate the Resource Parameters.  The Base Point Deviation Charge does not apply to Generation Resources when Adjusted Aggregated Base Point (AABP) is less than the Resource’s average telemetered LSL, the QSE’s Generation Resources are operating in Constant Frequency Control (CFC) mode, or any time during the Settlement Interval when the telemetered Resource Status is set to ONTEST or STARTUP.  The Base Point Deviation Charge does not apply to a Controllable Load Resource if the computed Base Point is equal to the snapshot of its telemetered power consumption for all SCED runs during the Settlement Interval or any time during the Settlement Interval when the telemetered Resource Status is set to OUTL or ONTEST.  The desired output from a Generation Resource or desired consumption from a Controllable Load Resource during a 15-minute Settlement Interval is calculated as follows:</w:t>
            </w:r>
          </w:p>
        </w:tc>
      </w:tr>
    </w:tbl>
    <w:p w14:paraId="1D272C52" w14:textId="77777777" w:rsidR="001F04FD" w:rsidRDefault="001F04FD" w:rsidP="000E5916">
      <w:pPr>
        <w:pStyle w:val="FormulaBold"/>
        <w:spacing w:before="240"/>
      </w:pPr>
      <w:r>
        <w:t>AABP</w:t>
      </w:r>
      <w:r w:rsidRPr="00547875">
        <w:rPr>
          <w:vertAlign w:val="subscript"/>
        </w:rPr>
        <w:t xml:space="preserve"> </w:t>
      </w:r>
      <w:r w:rsidRPr="006624C0">
        <w:rPr>
          <w:i/>
          <w:vertAlign w:val="subscript"/>
        </w:rPr>
        <w:t>q, r, p, i</w:t>
      </w:r>
      <w:r>
        <w:tab/>
        <w:t>=</w:t>
      </w:r>
      <w:r>
        <w:tab/>
        <w:t>AVG</w:t>
      </w:r>
      <w:r w:rsidRPr="00BC5C70">
        <w:t>BP</w:t>
      </w:r>
      <w:r w:rsidRPr="00BC5C70">
        <w:rPr>
          <w:vertAlign w:val="subscript"/>
        </w:rPr>
        <w:t xml:space="preserve"> </w:t>
      </w:r>
      <w:r w:rsidRPr="006624C0">
        <w:rPr>
          <w:i/>
          <w:vertAlign w:val="subscript"/>
        </w:rPr>
        <w:t>q, r, p, i</w:t>
      </w:r>
      <w:r>
        <w:rPr>
          <w:vertAlign w:val="subscript"/>
        </w:rPr>
        <w:t xml:space="preserve"> </w:t>
      </w:r>
      <w:r w:rsidRPr="00547875">
        <w:rPr>
          <w:vertAlign w:val="subscript"/>
        </w:rPr>
        <w:t>+</w:t>
      </w:r>
      <w:r>
        <w:rPr>
          <w:vertAlign w:val="subscript"/>
        </w:rPr>
        <w:t xml:space="preserve"> </w:t>
      </w:r>
      <w:r>
        <w:t>AVGREG</w:t>
      </w:r>
      <w:r w:rsidRPr="00BC5C70">
        <w:rPr>
          <w:vertAlign w:val="subscript"/>
        </w:rPr>
        <w:t xml:space="preserve"> </w:t>
      </w:r>
      <w:r w:rsidRPr="006624C0">
        <w:rPr>
          <w:i/>
          <w:vertAlign w:val="subscript"/>
        </w:rPr>
        <w:t>q, r, p, i</w:t>
      </w:r>
      <w:r w:rsidRPr="003C587D">
        <w:rPr>
          <w:vertAlign w:val="subscript"/>
        </w:rPr>
        <w:t xml:space="preserve"> </w:t>
      </w:r>
      <w:r w:rsidRPr="00BC5C70">
        <w:rPr>
          <w:vertAlign w:val="subscript"/>
        </w:rPr>
        <w:t xml:space="preserve"> </w:t>
      </w:r>
    </w:p>
    <w:p w14:paraId="02DBF705" w14:textId="77777777" w:rsidR="00E4028A" w:rsidRPr="009D0955" w:rsidRDefault="00E4028A" w:rsidP="00E4028A">
      <w:pPr>
        <w:pStyle w:val="FormulaBold"/>
        <w:tabs>
          <w:tab w:val="clear" w:pos="3960"/>
        </w:tabs>
        <w:ind w:left="3150" w:hanging="2430"/>
        <w:rPr>
          <w:b w:val="0"/>
          <w:lang w:val="es-MX"/>
        </w:rPr>
      </w:pPr>
      <w:r w:rsidRPr="00D661BC">
        <w:rPr>
          <w:b w:val="0"/>
          <w:lang w:val="es-MX"/>
        </w:rPr>
        <w:t>Where:</w:t>
      </w:r>
    </w:p>
    <w:p w14:paraId="4BA03B41" w14:textId="77777777" w:rsidR="001F04FD" w:rsidRPr="00D56BB3" w:rsidRDefault="001F04FD" w:rsidP="001F04FD">
      <w:pPr>
        <w:pStyle w:val="FormulaBold"/>
        <w:rPr>
          <w:b w:val="0"/>
        </w:rPr>
      </w:pPr>
      <w:r w:rsidRPr="00D56BB3">
        <w:rPr>
          <w:b w:val="0"/>
        </w:rPr>
        <w:t>AVGBP</w:t>
      </w:r>
      <w:r w:rsidRPr="00D56BB3">
        <w:rPr>
          <w:b w:val="0"/>
          <w:vertAlign w:val="subscript"/>
          <w:lang w:val="es-ES"/>
        </w:rPr>
        <w:t xml:space="preserve"> </w:t>
      </w:r>
      <w:r w:rsidRPr="00D56BB3">
        <w:rPr>
          <w:b w:val="0"/>
          <w:i/>
          <w:vertAlign w:val="subscript"/>
          <w:lang w:val="es-ES"/>
        </w:rPr>
        <w:t>q, r, p, i</w:t>
      </w:r>
      <w:r w:rsidRPr="00D56BB3">
        <w:rPr>
          <w:b w:val="0"/>
          <w:vertAlign w:val="subscript"/>
          <w:lang w:val="es-ES"/>
        </w:rPr>
        <w:t xml:space="preserve">  </w:t>
      </w:r>
      <w:r w:rsidRPr="00D56BB3">
        <w:rPr>
          <w:b w:val="0"/>
        </w:rPr>
        <w:tab/>
        <w:t>=</w:t>
      </w:r>
      <w:r w:rsidRPr="00D56BB3">
        <w:rPr>
          <w:b w:val="0"/>
        </w:rPr>
        <w:tab/>
      </w:r>
      <w:r w:rsidRPr="00D56BB3">
        <w:rPr>
          <w:b w:val="0"/>
          <w:position w:val="-22"/>
        </w:rPr>
        <w:object w:dxaOrig="210" w:dyaOrig="450" w14:anchorId="1D5D93EE">
          <v:shape id="_x0000_i1180" type="#_x0000_t75" style="width:5.4pt;height:24.6pt" o:ole="">
            <v:imagedata r:id="rId209" o:title=""/>
          </v:shape>
          <o:OLEObject Type="Embed" ProgID="Equation.3" ShapeID="_x0000_i1180" DrawAspect="Content" ObjectID="_1815025370" r:id="rId210"/>
        </w:object>
      </w:r>
      <w:r w:rsidRPr="00D56BB3">
        <w:rPr>
          <w:b w:val="0"/>
        </w:rPr>
        <w:t xml:space="preserve"> (</w:t>
      </w:r>
      <w:r w:rsidRPr="00D56BB3">
        <w:rPr>
          <w:b w:val="0"/>
          <w:lang w:val="es-ES"/>
        </w:rPr>
        <w:t xml:space="preserve">AVGBP5M </w:t>
      </w:r>
      <w:r w:rsidRPr="00D56BB3">
        <w:rPr>
          <w:b w:val="0"/>
          <w:i/>
          <w:vertAlign w:val="subscript"/>
          <w:lang w:val="es-ES"/>
        </w:rPr>
        <w:t>q, r, p, i, y</w:t>
      </w:r>
      <w:r w:rsidRPr="00D56BB3">
        <w:rPr>
          <w:b w:val="0"/>
        </w:rPr>
        <w:t>) / 3</w:t>
      </w:r>
    </w:p>
    <w:p w14:paraId="5D0E0E8C" w14:textId="77777777" w:rsidR="001F04FD" w:rsidRPr="00D56BB3" w:rsidRDefault="001F04FD" w:rsidP="001F04FD">
      <w:pPr>
        <w:pStyle w:val="FormulaBold"/>
        <w:tabs>
          <w:tab w:val="clear" w:pos="3960"/>
        </w:tabs>
        <w:ind w:left="3150" w:hanging="2430"/>
        <w:rPr>
          <w:b w:val="0"/>
          <w:lang w:val="es-MX"/>
        </w:rPr>
      </w:pPr>
      <w:r w:rsidRPr="00D56BB3">
        <w:rPr>
          <w:b w:val="0"/>
        </w:rPr>
        <w:t>AVGREG</w:t>
      </w:r>
      <w:r w:rsidRPr="00D56BB3">
        <w:rPr>
          <w:b w:val="0"/>
          <w:vertAlign w:val="subscript"/>
          <w:lang w:val="es-ES"/>
        </w:rPr>
        <w:t xml:space="preserve"> </w:t>
      </w:r>
      <w:r w:rsidRPr="00D56BB3">
        <w:rPr>
          <w:b w:val="0"/>
          <w:i/>
          <w:vertAlign w:val="subscript"/>
          <w:lang w:val="es-ES"/>
        </w:rPr>
        <w:t>q, r, p, i</w:t>
      </w:r>
      <w:r w:rsidRPr="00D56BB3">
        <w:rPr>
          <w:b w:val="0"/>
          <w:vertAlign w:val="subscript"/>
          <w:lang w:val="es-ES"/>
        </w:rPr>
        <w:t xml:space="preserve">  </w:t>
      </w:r>
      <w:r w:rsidRPr="00D56BB3">
        <w:rPr>
          <w:b w:val="0"/>
        </w:rPr>
        <w:tab/>
        <w:t>=</w:t>
      </w:r>
      <w:r w:rsidRPr="00D56BB3">
        <w:rPr>
          <w:b w:val="0"/>
        </w:rPr>
        <w:tab/>
      </w:r>
      <w:r w:rsidRPr="00D56BB3">
        <w:rPr>
          <w:b w:val="0"/>
          <w:position w:val="-22"/>
        </w:rPr>
        <w:object w:dxaOrig="210" w:dyaOrig="450" w14:anchorId="2A00E083">
          <v:shape id="_x0000_i1181" type="#_x0000_t75" style="width:5.4pt;height:24.6pt" o:ole="">
            <v:imagedata r:id="rId209" o:title=""/>
          </v:shape>
          <o:OLEObject Type="Embed" ProgID="Equation.3" ShapeID="_x0000_i1181" DrawAspect="Content" ObjectID="_1815025371" r:id="rId211"/>
        </w:object>
      </w:r>
      <w:r w:rsidRPr="00D56BB3">
        <w:rPr>
          <w:b w:val="0"/>
        </w:rPr>
        <w:t xml:space="preserve"> (</w:t>
      </w:r>
      <w:r w:rsidRPr="00D56BB3">
        <w:rPr>
          <w:b w:val="0"/>
          <w:lang w:val="es-ES"/>
        </w:rPr>
        <w:t xml:space="preserve">AVGREG5M </w:t>
      </w:r>
      <w:r w:rsidRPr="00D56BB3">
        <w:rPr>
          <w:b w:val="0"/>
          <w:i/>
          <w:vertAlign w:val="subscript"/>
          <w:lang w:val="es-ES"/>
        </w:rPr>
        <w:t>q, r, p, i, y</w:t>
      </w:r>
      <w:r w:rsidRPr="00D56BB3">
        <w:rPr>
          <w:b w:val="0"/>
        </w:rPr>
        <w:t>) / 3</w:t>
      </w:r>
    </w:p>
    <w:p w14:paraId="7F50EAD8" w14:textId="77777777" w:rsidR="001F04FD" w:rsidRPr="001A3201" w:rsidRDefault="001F04FD" w:rsidP="001F04FD">
      <w:pPr>
        <w:pStyle w:val="FormulaBold"/>
        <w:tabs>
          <w:tab w:val="clear" w:pos="3960"/>
        </w:tabs>
        <w:ind w:left="3150" w:hanging="2430"/>
        <w:rPr>
          <w:b w:val="0"/>
          <w:lang w:val="es-MX"/>
        </w:rPr>
      </w:pPr>
      <w:r w:rsidRPr="001A3201">
        <w:rPr>
          <w:b w:val="0"/>
        </w:rPr>
        <w:t>AVGREG5M</w:t>
      </w:r>
      <w:r w:rsidRPr="001A3201">
        <w:rPr>
          <w:b w:val="0"/>
          <w:lang w:val="es-MX"/>
        </w:rPr>
        <w:t xml:space="preserve"> </w:t>
      </w:r>
      <w:r w:rsidRPr="001A3201">
        <w:rPr>
          <w:b w:val="0"/>
          <w:i/>
          <w:vertAlign w:val="subscript"/>
          <w:lang w:val="es-ES"/>
        </w:rPr>
        <w:t>q, r, p, i, y</w:t>
      </w:r>
      <w:r w:rsidRPr="001A3201">
        <w:rPr>
          <w:b w:val="0"/>
          <w:vertAlign w:val="subscript"/>
          <w:lang w:val="es-MX"/>
        </w:rPr>
        <w:t xml:space="preserve">    </w:t>
      </w:r>
      <w:r w:rsidRPr="001A3201">
        <w:rPr>
          <w:b w:val="0"/>
          <w:vertAlign w:val="subscript"/>
          <w:lang w:val="es-MX"/>
        </w:rPr>
        <w:tab/>
      </w:r>
      <w:r w:rsidRPr="001A3201">
        <w:rPr>
          <w:b w:val="0"/>
          <w:lang w:val="es-MX"/>
        </w:rPr>
        <w:t>=</w:t>
      </w:r>
      <w:r w:rsidRPr="001A3201">
        <w:rPr>
          <w:b w:val="0"/>
          <w:vertAlign w:val="subscript"/>
          <w:lang w:val="es-MX"/>
        </w:rPr>
        <w:t xml:space="preserve"> </w:t>
      </w:r>
      <w:r w:rsidRPr="001A3201">
        <w:rPr>
          <w:b w:val="0"/>
          <w:vertAlign w:val="subscript"/>
          <w:lang w:val="es-MX"/>
        </w:rPr>
        <w:tab/>
      </w:r>
      <w:r w:rsidRPr="001A3201">
        <w:rPr>
          <w:b w:val="0"/>
          <w:lang w:val="es-MX"/>
        </w:rPr>
        <w:t>(AVGREGUP5M</w:t>
      </w:r>
      <w:r w:rsidRPr="001A3201">
        <w:rPr>
          <w:b w:val="0"/>
          <w:vertAlign w:val="subscript"/>
          <w:lang w:val="es-ES"/>
        </w:rPr>
        <w:t xml:space="preserve"> </w:t>
      </w:r>
      <w:r w:rsidRPr="001A3201">
        <w:rPr>
          <w:b w:val="0"/>
          <w:i/>
          <w:vertAlign w:val="subscript"/>
          <w:lang w:val="es-ES"/>
        </w:rPr>
        <w:t>q, r, p, i, y</w:t>
      </w:r>
      <w:r w:rsidRPr="001A3201">
        <w:rPr>
          <w:b w:val="0"/>
          <w:lang w:val="es-MX"/>
        </w:rPr>
        <w:t xml:space="preserve"> - AVGREGDN5M</w:t>
      </w:r>
      <w:r w:rsidRPr="001A3201">
        <w:rPr>
          <w:b w:val="0"/>
          <w:vertAlign w:val="subscript"/>
          <w:lang w:val="es-ES"/>
        </w:rPr>
        <w:t xml:space="preserve"> </w:t>
      </w:r>
      <w:r w:rsidRPr="001A3201">
        <w:rPr>
          <w:b w:val="0"/>
          <w:i/>
          <w:vertAlign w:val="subscript"/>
          <w:lang w:val="es-ES"/>
        </w:rPr>
        <w:t>q, r, p, i, y</w:t>
      </w:r>
      <w:r w:rsidRPr="001A3201">
        <w:rPr>
          <w:b w:val="0"/>
          <w:lang w:val="es-MX"/>
        </w:rPr>
        <w:t xml:space="preserve">) </w:t>
      </w:r>
    </w:p>
    <w:p w14:paraId="5E4E6670" w14:textId="77777777" w:rsidR="001F04FD" w:rsidRDefault="001F04FD" w:rsidP="001F04FD">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1F04FD" w14:paraId="311741FF" w14:textId="77777777" w:rsidTr="00FA433F">
        <w:trPr>
          <w:cantSplit/>
          <w:tblHeader/>
        </w:trPr>
        <w:tc>
          <w:tcPr>
            <w:tcW w:w="2155" w:type="dxa"/>
          </w:tcPr>
          <w:p w14:paraId="00BCCE34" w14:textId="77777777" w:rsidR="001F04FD" w:rsidRDefault="001F04FD" w:rsidP="00AC4DEE">
            <w:pPr>
              <w:pStyle w:val="TableHead"/>
            </w:pPr>
            <w:r>
              <w:lastRenderedPageBreak/>
              <w:t>Variable</w:t>
            </w:r>
          </w:p>
        </w:tc>
        <w:tc>
          <w:tcPr>
            <w:tcW w:w="720" w:type="dxa"/>
          </w:tcPr>
          <w:p w14:paraId="663F4980" w14:textId="77777777" w:rsidR="001F04FD" w:rsidRDefault="001F04FD" w:rsidP="00AC4DEE">
            <w:pPr>
              <w:pStyle w:val="TableHead"/>
            </w:pPr>
            <w:r>
              <w:t>Unit</w:t>
            </w:r>
          </w:p>
        </w:tc>
        <w:tc>
          <w:tcPr>
            <w:tcW w:w="6845" w:type="dxa"/>
          </w:tcPr>
          <w:p w14:paraId="24F39E93" w14:textId="77777777" w:rsidR="001F04FD" w:rsidRDefault="001F04FD" w:rsidP="00AC4DEE">
            <w:pPr>
              <w:pStyle w:val="TableHead"/>
            </w:pPr>
            <w:r>
              <w:t>Definition</w:t>
            </w:r>
          </w:p>
        </w:tc>
      </w:tr>
      <w:tr w:rsidR="001F04FD" w14:paraId="18C4867D" w14:textId="77777777" w:rsidTr="00FA433F">
        <w:trPr>
          <w:cantSplit/>
        </w:trPr>
        <w:tc>
          <w:tcPr>
            <w:tcW w:w="2155" w:type="dxa"/>
          </w:tcPr>
          <w:p w14:paraId="644BB03F" w14:textId="77777777" w:rsidR="001F04FD" w:rsidRPr="00D10ED6" w:rsidRDefault="001F04FD" w:rsidP="00AC4DEE">
            <w:pPr>
              <w:pStyle w:val="TableBody"/>
              <w:rPr>
                <w:i/>
                <w:vertAlign w:val="subscript"/>
              </w:rPr>
            </w:pPr>
            <w:r w:rsidRPr="00D10ED6">
              <w:t xml:space="preserve">AABP </w:t>
            </w:r>
            <w:r w:rsidRPr="00D10ED6">
              <w:rPr>
                <w:i/>
                <w:vertAlign w:val="subscript"/>
              </w:rPr>
              <w:t>q, r, p, i</w:t>
            </w:r>
          </w:p>
        </w:tc>
        <w:tc>
          <w:tcPr>
            <w:tcW w:w="720" w:type="dxa"/>
          </w:tcPr>
          <w:p w14:paraId="46B54E35" w14:textId="77777777" w:rsidR="001F04FD" w:rsidRPr="00D10ED6" w:rsidRDefault="001F04FD" w:rsidP="00AC4DEE">
            <w:pPr>
              <w:pStyle w:val="TableBody"/>
            </w:pPr>
            <w:r w:rsidRPr="00D10ED6">
              <w:t>MW</w:t>
            </w:r>
          </w:p>
        </w:tc>
        <w:tc>
          <w:tcPr>
            <w:tcW w:w="6845" w:type="dxa"/>
          </w:tcPr>
          <w:p w14:paraId="3486219E" w14:textId="77777777" w:rsidR="001F04FD" w:rsidRPr="00D10ED6" w:rsidRDefault="001F04FD" w:rsidP="00AC4DEE">
            <w:pPr>
              <w:pStyle w:val="TableBody"/>
            </w:pPr>
            <w:r w:rsidRPr="00D10ED6">
              <w:rPr>
                <w:i/>
              </w:rPr>
              <w:t>Adjusted Aggregated Base Point per QSE per Settlement Point per Resource</w:t>
            </w:r>
            <w:r w:rsidRPr="00D10ED6">
              <w:t xml:space="preserve">—The aggregated Base Point adjusted for Ancillary Service deployments of Generation </w:t>
            </w:r>
            <w:r>
              <w:t xml:space="preserve">Resource or 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Where for a Combined Cycle Train, AABP is calculated for the Combined Cycle Train considering all SCED Dispatch Instructions to any Combined Cycle Generation Resources within the Combined Cycle Train.</w:t>
            </w:r>
          </w:p>
        </w:tc>
      </w:tr>
      <w:tr w:rsidR="001F04FD" w14:paraId="0EF20C92" w14:textId="77777777" w:rsidTr="00FA433F">
        <w:trPr>
          <w:cantSplit/>
        </w:trPr>
        <w:tc>
          <w:tcPr>
            <w:tcW w:w="2155" w:type="dxa"/>
          </w:tcPr>
          <w:p w14:paraId="466825F4" w14:textId="77777777" w:rsidR="001F04FD" w:rsidRPr="00D10ED6" w:rsidRDefault="001F04FD" w:rsidP="00AC4DEE">
            <w:pPr>
              <w:pStyle w:val="TableBody"/>
              <w:rPr>
                <w:i/>
              </w:rPr>
            </w:pPr>
            <w:r w:rsidRPr="006624C0">
              <w:rPr>
                <w:lang w:val="es-MX"/>
              </w:rPr>
              <w:t xml:space="preserve">AVGBP </w:t>
            </w:r>
            <w:r w:rsidRPr="006624C0">
              <w:rPr>
                <w:i/>
                <w:iCs w:val="0"/>
                <w:vertAlign w:val="subscript"/>
                <w:lang w:val="es-ES"/>
              </w:rPr>
              <w:t>q, r, p, i</w:t>
            </w:r>
            <w:r w:rsidRPr="006624C0">
              <w:rPr>
                <w:i/>
                <w:iCs w:val="0"/>
                <w:vertAlign w:val="subscript"/>
                <w:lang w:val="es-MX"/>
              </w:rPr>
              <w:t xml:space="preserve"> </w:t>
            </w:r>
          </w:p>
        </w:tc>
        <w:tc>
          <w:tcPr>
            <w:tcW w:w="720" w:type="dxa"/>
          </w:tcPr>
          <w:p w14:paraId="2484D27E" w14:textId="77777777" w:rsidR="001F04FD" w:rsidRPr="00D10ED6" w:rsidRDefault="001F04FD" w:rsidP="00AC4DEE">
            <w:pPr>
              <w:pStyle w:val="TableBody"/>
            </w:pPr>
            <w:r w:rsidRPr="006624C0">
              <w:t>MW</w:t>
            </w:r>
          </w:p>
        </w:tc>
        <w:tc>
          <w:tcPr>
            <w:tcW w:w="6845" w:type="dxa"/>
          </w:tcPr>
          <w:p w14:paraId="168BDEE1" w14:textId="77777777" w:rsidR="001F04FD" w:rsidRDefault="001F04FD" w:rsidP="00AC4DEE">
            <w:pPr>
              <w:pStyle w:val="TableBody"/>
              <w:spacing w:after="0"/>
            </w:pPr>
            <w:r w:rsidRPr="006624C0">
              <w:rPr>
                <w:i/>
                <w:iCs w:val="0"/>
              </w:rPr>
              <w:t>Average Base Point per QSE per Settlement Point per Resource</w:t>
            </w:r>
            <w:r w:rsidRPr="006624C0">
              <w:rPr>
                <w:iCs w:val="0"/>
              </w:rPr>
              <w:t xml:space="preserve">—The average of the five-minute clock interval Base Points over the 15-minute Settlement Interval </w:t>
            </w:r>
            <w:r w:rsidRPr="006624C0">
              <w:rPr>
                <w:i/>
                <w:iCs w:val="0"/>
              </w:rPr>
              <w:t>i</w:t>
            </w:r>
            <w:r>
              <w:t xml:space="preserve"> </w:t>
            </w:r>
            <w:r w:rsidRPr="006624C0">
              <w:t xml:space="preserve">for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w:t>
            </w:r>
          </w:p>
        </w:tc>
      </w:tr>
      <w:tr w:rsidR="001F04FD" w14:paraId="085034AC" w14:textId="77777777" w:rsidTr="00FA433F">
        <w:trPr>
          <w:cantSplit/>
        </w:trPr>
        <w:tc>
          <w:tcPr>
            <w:tcW w:w="2155" w:type="dxa"/>
          </w:tcPr>
          <w:p w14:paraId="76D904AB" w14:textId="77777777" w:rsidR="001F04FD" w:rsidRPr="00D10ED6" w:rsidRDefault="001F04FD" w:rsidP="00AC4DEE">
            <w:pPr>
              <w:pStyle w:val="TableBody"/>
              <w:rPr>
                <w:i/>
              </w:rPr>
            </w:pPr>
            <w:r w:rsidRPr="006624C0">
              <w:rPr>
                <w:lang w:val="es-MX"/>
              </w:rPr>
              <w:t xml:space="preserve">AVGBP5M </w:t>
            </w:r>
            <w:r w:rsidRPr="006624C0">
              <w:rPr>
                <w:i/>
                <w:iCs w:val="0"/>
                <w:vertAlign w:val="subscript"/>
                <w:lang w:val="es-ES"/>
              </w:rPr>
              <w:t>q, r, p, i, y</w:t>
            </w:r>
            <w:r w:rsidRPr="006624C0">
              <w:rPr>
                <w:i/>
                <w:iCs w:val="0"/>
                <w:vertAlign w:val="subscript"/>
                <w:lang w:val="es-MX"/>
              </w:rPr>
              <w:t xml:space="preserve"> </w:t>
            </w:r>
          </w:p>
        </w:tc>
        <w:tc>
          <w:tcPr>
            <w:tcW w:w="720" w:type="dxa"/>
          </w:tcPr>
          <w:p w14:paraId="7E9506D5" w14:textId="77777777" w:rsidR="001F04FD" w:rsidRPr="00D10ED6" w:rsidRDefault="001F04FD" w:rsidP="00AC4DEE">
            <w:pPr>
              <w:pStyle w:val="TableBody"/>
            </w:pPr>
            <w:r w:rsidRPr="006624C0">
              <w:t>MW</w:t>
            </w:r>
          </w:p>
        </w:tc>
        <w:tc>
          <w:tcPr>
            <w:tcW w:w="6845" w:type="dxa"/>
          </w:tcPr>
          <w:p w14:paraId="36341D2E" w14:textId="4B89DA16" w:rsidR="001F04FD" w:rsidRPr="00D10ED6" w:rsidRDefault="001F04FD" w:rsidP="00AC4DEE">
            <w:pPr>
              <w:pStyle w:val="TableBody"/>
            </w:pPr>
            <w:r w:rsidRPr="006624C0">
              <w:rPr>
                <w:i/>
              </w:rPr>
              <w:t>Average five-minute clock interval Base Point per QSE per Settlement Point per Resource</w:t>
            </w:r>
            <w:r w:rsidRPr="006624C0">
              <w:t>—The average Base Point for the Generation Resource</w:t>
            </w:r>
            <w:r>
              <w:t xml:space="preserve"> or Controllable Load Resource</w:t>
            </w:r>
            <w:r w:rsidRPr="006624C0">
              <w:t xml:space="preserv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 xml:space="preserve">.  The time-weighted average of the linearly ramped Base Points in a five-minute clock interval </w:t>
            </w:r>
            <w:r w:rsidRPr="006624C0">
              <w:rPr>
                <w:i/>
              </w:rPr>
              <w:t>y</w:t>
            </w:r>
            <w:r w:rsidRPr="006624C0">
              <w:t>.  The linearly ramped Base Point is calculated every four seconds such that it ramps from its initial value to the SCED Base Point over a five-minute clock interval</w:t>
            </w:r>
            <w:r w:rsidRPr="006624C0">
              <w:rPr>
                <w:i/>
              </w:rPr>
              <w:t xml:space="preserve"> y</w:t>
            </w:r>
            <w:r w:rsidRPr="006624C0">
              <w: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w:t>
            </w:r>
            <w:r>
              <w:t>V</w:t>
            </w:r>
            <w:r w:rsidRPr="006624C0">
              <w:t>GBP5M is equal to the ABP value calculated for use in Generation Resource Energy Deployment Performance (GREDP)</w:t>
            </w:r>
            <w:r>
              <w:t xml:space="preserve"> </w:t>
            </w:r>
            <w:r w:rsidRPr="006A6281">
              <w:t>or the ABP value calculated for use in the Controllable Load Resource Energy Deployment Performance (CLREDP)</w:t>
            </w:r>
            <w:r w:rsidRPr="006624C0">
              <w:t>, as described in Section 8.1.1.4</w:t>
            </w:r>
            <w:r>
              <w:t>.1</w:t>
            </w:r>
            <w:r w:rsidRPr="006624C0">
              <w:t xml:space="preserve">, </w:t>
            </w:r>
            <w:r w:rsidRPr="006A6281">
              <w:t xml:space="preserve">Regulation Service and Generation Resource/Controllable Load Resource </w:t>
            </w:r>
            <w:r w:rsidRPr="006624C0">
              <w:t xml:space="preserve">Energy Deployment </w:t>
            </w:r>
            <w:r>
              <w:t>Performance</w:t>
            </w:r>
            <w:r w:rsidR="00AE7F72" w:rsidRPr="00AE7F72">
              <w:t>, and Ancillary Service Capacity Performance Metrics</w:t>
            </w:r>
            <w:r w:rsidRPr="006624C0">
              <w:t>.</w:t>
            </w:r>
          </w:p>
        </w:tc>
      </w:tr>
      <w:tr w:rsidR="001F04FD" w14:paraId="207472D4" w14:textId="77777777" w:rsidTr="00FA433F">
        <w:trPr>
          <w:cantSplit/>
        </w:trPr>
        <w:tc>
          <w:tcPr>
            <w:tcW w:w="2155" w:type="dxa"/>
          </w:tcPr>
          <w:p w14:paraId="08015E7D" w14:textId="77777777" w:rsidR="001F04FD" w:rsidRPr="00D10ED6" w:rsidRDefault="001F04FD" w:rsidP="00AC4DEE">
            <w:pPr>
              <w:pStyle w:val="TableBody"/>
              <w:rPr>
                <w:i/>
              </w:rPr>
            </w:pPr>
            <w:r w:rsidRPr="006624C0">
              <w:rPr>
                <w:lang w:val="es-MX"/>
              </w:rPr>
              <w:t xml:space="preserve">AVGREG </w:t>
            </w:r>
            <w:r w:rsidRPr="006624C0">
              <w:rPr>
                <w:i/>
                <w:iCs w:val="0"/>
                <w:vertAlign w:val="subscript"/>
                <w:lang w:val="es-ES"/>
              </w:rPr>
              <w:t>q, r, p, i</w:t>
            </w:r>
            <w:r w:rsidRPr="006624C0">
              <w:rPr>
                <w:i/>
                <w:iCs w:val="0"/>
                <w:vertAlign w:val="subscript"/>
                <w:lang w:val="es-MX"/>
              </w:rPr>
              <w:t xml:space="preserve"> </w:t>
            </w:r>
          </w:p>
        </w:tc>
        <w:tc>
          <w:tcPr>
            <w:tcW w:w="720" w:type="dxa"/>
          </w:tcPr>
          <w:p w14:paraId="37929722" w14:textId="77777777" w:rsidR="001F04FD" w:rsidRPr="00D10ED6" w:rsidRDefault="001F04FD" w:rsidP="00AC4DEE">
            <w:pPr>
              <w:pStyle w:val="TableBody"/>
            </w:pPr>
            <w:r w:rsidRPr="006624C0">
              <w:t>MW</w:t>
            </w:r>
          </w:p>
        </w:tc>
        <w:tc>
          <w:tcPr>
            <w:tcW w:w="6845" w:type="dxa"/>
          </w:tcPr>
          <w:p w14:paraId="0DBCD643" w14:textId="77777777" w:rsidR="001F04FD" w:rsidRPr="00D10ED6" w:rsidRDefault="001F04FD" w:rsidP="00AC4DEE">
            <w:pPr>
              <w:pStyle w:val="TableBody"/>
            </w:pPr>
            <w:r w:rsidRPr="006624C0">
              <w:rPr>
                <w:i/>
              </w:rPr>
              <w:t>Average Regulation Instruction per QSE per Settlement Point per Resource</w:t>
            </w:r>
            <w:r w:rsidRPr="006624C0">
              <w:t xml:space="preserve"> —The average of the five-minute clock interval </w:t>
            </w:r>
            <w:r w:rsidRPr="006624C0">
              <w:rPr>
                <w:i/>
              </w:rPr>
              <w:t>y</w:t>
            </w:r>
            <w:r w:rsidRPr="006624C0">
              <w:t xml:space="preserve"> Regulation Instruction Generation</w:t>
            </w:r>
            <w:r>
              <w:t xml:space="preserve"> Resource or Controllable Load</w:t>
            </w:r>
            <w:r w:rsidRPr="006624C0">
              <w:t xml:space="preserve"> 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over the 15-minute Settlement Interval </w:t>
            </w:r>
            <w:r w:rsidRPr="006624C0">
              <w:rPr>
                <w:i/>
              </w:rPr>
              <w:t>i</w:t>
            </w:r>
            <w:r w:rsidRPr="006624C0">
              <w:t xml:space="preserve">.  </w:t>
            </w:r>
          </w:p>
        </w:tc>
      </w:tr>
      <w:tr w:rsidR="001F04FD" w14:paraId="5C79870C" w14:textId="77777777" w:rsidTr="00FA433F">
        <w:trPr>
          <w:cantSplit/>
        </w:trPr>
        <w:tc>
          <w:tcPr>
            <w:tcW w:w="2155" w:type="dxa"/>
          </w:tcPr>
          <w:p w14:paraId="2E65E21E" w14:textId="11D10115" w:rsidR="001F04FD" w:rsidRPr="00D10ED6" w:rsidRDefault="001F04FD" w:rsidP="00AC4DEE">
            <w:pPr>
              <w:pStyle w:val="TableBody"/>
              <w:rPr>
                <w:i/>
              </w:rPr>
            </w:pPr>
            <w:r w:rsidRPr="006624C0">
              <w:rPr>
                <w:lang w:val="es-MX"/>
              </w:rPr>
              <w:t>AVGREG5M</w:t>
            </w:r>
            <w:r w:rsidRPr="006624C0">
              <w:rPr>
                <w:i/>
                <w:iCs w:val="0"/>
                <w:vertAlign w:val="subscript"/>
                <w:lang w:val="es-ES"/>
              </w:rPr>
              <w:t xml:space="preserve"> q, r, p, i, y</w:t>
            </w:r>
          </w:p>
        </w:tc>
        <w:tc>
          <w:tcPr>
            <w:tcW w:w="720" w:type="dxa"/>
          </w:tcPr>
          <w:p w14:paraId="15A06E18" w14:textId="77777777" w:rsidR="001F04FD" w:rsidRPr="00D10ED6" w:rsidRDefault="001F04FD" w:rsidP="00AC4DEE">
            <w:pPr>
              <w:pStyle w:val="TableBody"/>
            </w:pPr>
            <w:r w:rsidRPr="006624C0">
              <w:t>MW</w:t>
            </w:r>
          </w:p>
        </w:tc>
        <w:tc>
          <w:tcPr>
            <w:tcW w:w="6845" w:type="dxa"/>
          </w:tcPr>
          <w:p w14:paraId="46AC565A" w14:textId="77777777" w:rsidR="001F04FD" w:rsidRPr="00D10ED6" w:rsidRDefault="001F04FD" w:rsidP="00AC4DEE">
            <w:pPr>
              <w:pStyle w:val="TableBody"/>
            </w:pPr>
            <w:r w:rsidRPr="006624C0">
              <w:rPr>
                <w:i/>
              </w:rPr>
              <w:t>Total Average five-minute clock interval Regulation Instruction per QSE per Settlement Point per Resource</w:t>
            </w:r>
            <w:r w:rsidRPr="006624C0">
              <w:t xml:space="preserve">—The total amount of regulation that the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should have produced based on </w:t>
            </w:r>
            <w:r>
              <w:t>Load Frequency Control (</w:t>
            </w:r>
            <w:r w:rsidRPr="006624C0">
              <w:t>LFC</w:t>
            </w:r>
            <w:r>
              <w:t>)</w:t>
            </w:r>
            <w:r w:rsidRPr="006624C0">
              <w:t xml:space="preserve"> deployment signals over the five-minute clock interval </w:t>
            </w:r>
            <w:r w:rsidRPr="006624C0">
              <w:rPr>
                <w:i/>
              </w:rPr>
              <w:t xml:space="preserve">y </w:t>
            </w:r>
            <w:r w:rsidRPr="006624C0">
              <w:t>within the 15-minute Settlement Interval</w:t>
            </w:r>
            <w:r w:rsidRPr="006624C0">
              <w:rPr>
                <w:i/>
              </w:rPr>
              <w:t xml:space="preserve"> i</w:t>
            </w:r>
            <w:r w:rsidRPr="006624C0">
              <w:t>.</w:t>
            </w:r>
          </w:p>
        </w:tc>
      </w:tr>
      <w:tr w:rsidR="001F04FD" w14:paraId="0EE24321" w14:textId="77777777" w:rsidTr="00FA433F">
        <w:trPr>
          <w:cantSplit/>
        </w:trPr>
        <w:tc>
          <w:tcPr>
            <w:tcW w:w="2155" w:type="dxa"/>
          </w:tcPr>
          <w:p w14:paraId="3D3EB4B8" w14:textId="77777777" w:rsidR="001F04FD" w:rsidRPr="00D10ED6" w:rsidRDefault="001F04FD" w:rsidP="00AC4DEE">
            <w:pPr>
              <w:pStyle w:val="TableBody"/>
              <w:rPr>
                <w:i/>
              </w:rPr>
            </w:pPr>
            <w:r w:rsidRPr="006624C0">
              <w:rPr>
                <w:lang w:val="es-MX"/>
              </w:rPr>
              <w:t>AVGREGUP5M</w:t>
            </w:r>
            <w:r w:rsidRPr="006624C0">
              <w:rPr>
                <w:i/>
                <w:iCs w:val="0"/>
                <w:vertAlign w:val="subscript"/>
                <w:lang w:val="es-ES"/>
              </w:rPr>
              <w:t xml:space="preserve"> q, r, p, i, y</w:t>
            </w:r>
          </w:p>
        </w:tc>
        <w:tc>
          <w:tcPr>
            <w:tcW w:w="720" w:type="dxa"/>
          </w:tcPr>
          <w:p w14:paraId="29A7DD1F" w14:textId="77777777" w:rsidR="001F04FD" w:rsidRPr="00D10ED6" w:rsidRDefault="001F04FD" w:rsidP="00AC4DEE">
            <w:pPr>
              <w:pStyle w:val="TableBody"/>
            </w:pPr>
            <w:r w:rsidRPr="006624C0">
              <w:t>MW</w:t>
            </w:r>
          </w:p>
        </w:tc>
        <w:tc>
          <w:tcPr>
            <w:tcW w:w="6845" w:type="dxa"/>
          </w:tcPr>
          <w:p w14:paraId="27DAC5C8" w14:textId="2D5947AC" w:rsidR="001F04FD" w:rsidRPr="00D10ED6" w:rsidRDefault="001F04FD" w:rsidP="00AC4DEE">
            <w:pPr>
              <w:pStyle w:val="TableBody"/>
            </w:pPr>
            <w:r w:rsidRPr="006624C0">
              <w:rPr>
                <w:i/>
              </w:rPr>
              <w:t>Average Regulation Instruction Up per QSE per Settlement Point per Resource</w:t>
            </w:r>
            <w:r w:rsidRPr="006624C0">
              <w:t xml:space="preserve">—The amount of Regulation Up </w:t>
            </w:r>
            <w:r w:rsidR="00F510E2">
              <w:t xml:space="preserve">Service </w:t>
            </w:r>
            <w:r w:rsidRPr="006624C0">
              <w:t xml:space="preserve">(Reg-Up) that the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should have produced based on LFC deployment signals over the five-minute clock interval </w:t>
            </w:r>
            <w:r w:rsidRPr="006624C0">
              <w:rPr>
                <w:i/>
              </w:rPr>
              <w:t>y</w:t>
            </w:r>
            <w:r w:rsidRPr="006624C0">
              <w:t xml:space="preserve"> within the 15-minute Settlement Interval</w:t>
            </w:r>
            <w:r w:rsidRPr="006624C0">
              <w:rPr>
                <w:i/>
              </w:rPr>
              <w:t xml:space="preserve"> i</w:t>
            </w:r>
            <w:r w:rsidRPr="006624C0">
              <w:t>.</w:t>
            </w:r>
          </w:p>
        </w:tc>
      </w:tr>
      <w:tr w:rsidR="001F04FD" w14:paraId="452432FA" w14:textId="77777777" w:rsidTr="00FA433F">
        <w:trPr>
          <w:cantSplit/>
        </w:trPr>
        <w:tc>
          <w:tcPr>
            <w:tcW w:w="2155" w:type="dxa"/>
          </w:tcPr>
          <w:p w14:paraId="193608AE" w14:textId="77777777" w:rsidR="001F04FD" w:rsidRPr="00D10ED6" w:rsidRDefault="001F04FD" w:rsidP="00AC4DEE">
            <w:pPr>
              <w:pStyle w:val="TableBody"/>
              <w:rPr>
                <w:i/>
              </w:rPr>
            </w:pPr>
            <w:r w:rsidRPr="006624C0">
              <w:rPr>
                <w:lang w:val="es-MX"/>
              </w:rPr>
              <w:t>AVGREGDN5M</w:t>
            </w:r>
            <w:r w:rsidRPr="006624C0">
              <w:rPr>
                <w:i/>
                <w:iCs w:val="0"/>
                <w:vertAlign w:val="subscript"/>
                <w:lang w:val="es-ES"/>
              </w:rPr>
              <w:t xml:space="preserve"> q, r, p, i, y</w:t>
            </w:r>
          </w:p>
        </w:tc>
        <w:tc>
          <w:tcPr>
            <w:tcW w:w="720" w:type="dxa"/>
          </w:tcPr>
          <w:p w14:paraId="48F7BDD2" w14:textId="77777777" w:rsidR="001F04FD" w:rsidRPr="00D10ED6" w:rsidRDefault="001F04FD" w:rsidP="00AC4DEE">
            <w:pPr>
              <w:pStyle w:val="TableBody"/>
            </w:pPr>
            <w:r w:rsidRPr="006624C0">
              <w:t>MW</w:t>
            </w:r>
          </w:p>
        </w:tc>
        <w:tc>
          <w:tcPr>
            <w:tcW w:w="6845" w:type="dxa"/>
          </w:tcPr>
          <w:p w14:paraId="633A0D7C" w14:textId="0BA70DA4" w:rsidR="001F04FD" w:rsidRPr="00D10ED6" w:rsidRDefault="001F04FD" w:rsidP="00AC4DEE">
            <w:pPr>
              <w:pStyle w:val="TableBody"/>
            </w:pPr>
            <w:r w:rsidRPr="006624C0">
              <w:rPr>
                <w:i/>
              </w:rPr>
              <w:t xml:space="preserve">Average Regulation Instruction Down </w:t>
            </w:r>
            <w:r w:rsidRPr="00D10ED6">
              <w:rPr>
                <w:i/>
              </w:rPr>
              <w:t>per QSE per Settlement Point per Resource</w:t>
            </w:r>
            <w:r w:rsidRPr="006624C0">
              <w:t xml:space="preserve">—The amount of Regulation Down </w:t>
            </w:r>
            <w:r w:rsidR="00F510E2">
              <w:t xml:space="preserve">Service </w:t>
            </w:r>
            <w:r w:rsidRPr="006624C0">
              <w:t xml:space="preserve">(Reg-Down) that the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should have produced based on LFC deployment signals over the five-minute clock interval </w:t>
            </w:r>
            <w:r w:rsidRPr="006624C0">
              <w:rPr>
                <w:i/>
              </w:rPr>
              <w:t>y</w:t>
            </w:r>
            <w:r w:rsidRPr="006624C0">
              <w:t xml:space="preserve"> within the 15-minute Settlement Interval</w:t>
            </w:r>
            <w:r w:rsidRPr="006624C0">
              <w:rPr>
                <w:i/>
              </w:rPr>
              <w:t xml:space="preserve"> i</w:t>
            </w:r>
            <w:r w:rsidRPr="006624C0">
              <w:t>.</w:t>
            </w:r>
          </w:p>
        </w:tc>
      </w:tr>
      <w:tr w:rsidR="001F04FD" w14:paraId="29C1B6A3" w14:textId="77777777" w:rsidTr="00FA433F">
        <w:trPr>
          <w:cantSplit/>
        </w:trPr>
        <w:tc>
          <w:tcPr>
            <w:tcW w:w="2155" w:type="dxa"/>
          </w:tcPr>
          <w:p w14:paraId="18C46E00" w14:textId="77777777" w:rsidR="001F04FD" w:rsidRPr="00D10ED6" w:rsidRDefault="001F04FD" w:rsidP="00AC4DEE">
            <w:pPr>
              <w:pStyle w:val="TableBody"/>
              <w:rPr>
                <w:i/>
              </w:rPr>
            </w:pPr>
            <w:r w:rsidRPr="006624C0">
              <w:rPr>
                <w:i/>
              </w:rPr>
              <w:t>q</w:t>
            </w:r>
          </w:p>
        </w:tc>
        <w:tc>
          <w:tcPr>
            <w:tcW w:w="720" w:type="dxa"/>
          </w:tcPr>
          <w:p w14:paraId="42BCACEC" w14:textId="77777777" w:rsidR="001F04FD" w:rsidRPr="00D10ED6" w:rsidRDefault="001F04FD" w:rsidP="00AC4DEE">
            <w:pPr>
              <w:pStyle w:val="TableBody"/>
            </w:pPr>
            <w:r w:rsidRPr="006624C0">
              <w:t>none</w:t>
            </w:r>
          </w:p>
        </w:tc>
        <w:tc>
          <w:tcPr>
            <w:tcW w:w="6845" w:type="dxa"/>
          </w:tcPr>
          <w:p w14:paraId="5B42B90B" w14:textId="77777777" w:rsidR="001F04FD" w:rsidRPr="00D10ED6" w:rsidRDefault="001F04FD" w:rsidP="00AC4DEE">
            <w:pPr>
              <w:pStyle w:val="TableBody"/>
            </w:pPr>
            <w:r w:rsidRPr="006624C0">
              <w:t>A QSE.</w:t>
            </w:r>
          </w:p>
        </w:tc>
      </w:tr>
      <w:tr w:rsidR="001F04FD" w14:paraId="5C0F3C43" w14:textId="77777777" w:rsidTr="00FA433F">
        <w:trPr>
          <w:cantSplit/>
        </w:trPr>
        <w:tc>
          <w:tcPr>
            <w:tcW w:w="2155" w:type="dxa"/>
          </w:tcPr>
          <w:p w14:paraId="07884450" w14:textId="77777777" w:rsidR="001F04FD" w:rsidRPr="00D10ED6" w:rsidRDefault="001F04FD" w:rsidP="00AC4DEE">
            <w:pPr>
              <w:pStyle w:val="TableBody"/>
              <w:rPr>
                <w:i/>
              </w:rPr>
            </w:pPr>
            <w:r w:rsidRPr="006624C0">
              <w:rPr>
                <w:i/>
              </w:rPr>
              <w:t>p</w:t>
            </w:r>
          </w:p>
        </w:tc>
        <w:tc>
          <w:tcPr>
            <w:tcW w:w="720" w:type="dxa"/>
          </w:tcPr>
          <w:p w14:paraId="11B17447" w14:textId="77777777" w:rsidR="001F04FD" w:rsidRPr="00D10ED6" w:rsidRDefault="001F04FD" w:rsidP="00AC4DEE">
            <w:pPr>
              <w:pStyle w:val="TableBody"/>
            </w:pPr>
            <w:r w:rsidRPr="006624C0">
              <w:t>none</w:t>
            </w:r>
          </w:p>
        </w:tc>
        <w:tc>
          <w:tcPr>
            <w:tcW w:w="6845" w:type="dxa"/>
          </w:tcPr>
          <w:p w14:paraId="5FC678A5" w14:textId="77777777" w:rsidR="001F04FD" w:rsidRPr="00D10ED6" w:rsidRDefault="001F04FD" w:rsidP="00AC4DEE">
            <w:pPr>
              <w:pStyle w:val="TableBody"/>
            </w:pPr>
            <w:r w:rsidRPr="006624C0">
              <w:t>A Settlement Point.</w:t>
            </w:r>
          </w:p>
        </w:tc>
      </w:tr>
      <w:tr w:rsidR="001F04FD" w14:paraId="328D9A29" w14:textId="77777777" w:rsidTr="00FA433F">
        <w:trPr>
          <w:cantSplit/>
        </w:trPr>
        <w:tc>
          <w:tcPr>
            <w:tcW w:w="2155" w:type="dxa"/>
          </w:tcPr>
          <w:p w14:paraId="4F87CCE0" w14:textId="77777777" w:rsidR="001F04FD" w:rsidRPr="00D10ED6" w:rsidRDefault="001F04FD" w:rsidP="00AC4DEE">
            <w:pPr>
              <w:pStyle w:val="TableBody"/>
              <w:rPr>
                <w:i/>
              </w:rPr>
            </w:pPr>
            <w:r w:rsidRPr="006624C0">
              <w:rPr>
                <w:i/>
              </w:rPr>
              <w:t>r</w:t>
            </w:r>
          </w:p>
        </w:tc>
        <w:tc>
          <w:tcPr>
            <w:tcW w:w="720" w:type="dxa"/>
          </w:tcPr>
          <w:p w14:paraId="27CB94DA" w14:textId="77777777" w:rsidR="001F04FD" w:rsidRPr="00D10ED6" w:rsidRDefault="001F04FD" w:rsidP="00AC4DEE">
            <w:pPr>
              <w:pStyle w:val="TableBody"/>
            </w:pPr>
            <w:r w:rsidRPr="006624C0">
              <w:t>none</w:t>
            </w:r>
          </w:p>
        </w:tc>
        <w:tc>
          <w:tcPr>
            <w:tcW w:w="6845" w:type="dxa"/>
          </w:tcPr>
          <w:p w14:paraId="481A431D" w14:textId="77777777" w:rsidR="001F04FD" w:rsidRPr="00D10ED6" w:rsidRDefault="001F04FD" w:rsidP="00AC4DEE">
            <w:pPr>
              <w:pStyle w:val="TableBody"/>
            </w:pPr>
            <w:r w:rsidRPr="006624C0">
              <w:rPr>
                <w:lang w:val="fr-FR"/>
              </w:rPr>
              <w:t>A Generation Resource</w:t>
            </w:r>
            <w:r>
              <w:rPr>
                <w:lang w:val="fr-FR"/>
              </w:rPr>
              <w:t xml:space="preserve"> or Controllable Load Resource</w:t>
            </w:r>
            <w:r w:rsidRPr="006624C0">
              <w:rPr>
                <w:lang w:val="fr-FR"/>
              </w:rPr>
              <w:t>.</w:t>
            </w:r>
          </w:p>
        </w:tc>
      </w:tr>
      <w:tr w:rsidR="001F04FD" w14:paraId="00E6689A" w14:textId="77777777" w:rsidTr="00FA433F">
        <w:trPr>
          <w:cantSplit/>
        </w:trPr>
        <w:tc>
          <w:tcPr>
            <w:tcW w:w="2155" w:type="dxa"/>
          </w:tcPr>
          <w:p w14:paraId="7D5FDC93" w14:textId="77777777" w:rsidR="001F04FD" w:rsidRPr="00D10ED6" w:rsidRDefault="001F04FD" w:rsidP="00AC4DEE">
            <w:pPr>
              <w:pStyle w:val="TableBody"/>
              <w:rPr>
                <w:i/>
              </w:rPr>
            </w:pPr>
            <w:r w:rsidRPr="006624C0">
              <w:rPr>
                <w:i/>
              </w:rPr>
              <w:lastRenderedPageBreak/>
              <w:t>i</w:t>
            </w:r>
          </w:p>
        </w:tc>
        <w:tc>
          <w:tcPr>
            <w:tcW w:w="720" w:type="dxa"/>
          </w:tcPr>
          <w:p w14:paraId="619DF0C1" w14:textId="77777777" w:rsidR="001F04FD" w:rsidRPr="00D10ED6" w:rsidRDefault="001F04FD" w:rsidP="00AC4DEE">
            <w:pPr>
              <w:pStyle w:val="TableBody"/>
            </w:pPr>
            <w:r w:rsidRPr="006624C0">
              <w:t>None</w:t>
            </w:r>
          </w:p>
        </w:tc>
        <w:tc>
          <w:tcPr>
            <w:tcW w:w="6845" w:type="dxa"/>
          </w:tcPr>
          <w:p w14:paraId="032A17F9" w14:textId="77777777" w:rsidR="001F04FD" w:rsidRPr="00D10ED6" w:rsidRDefault="001F04FD" w:rsidP="00AC4DEE">
            <w:pPr>
              <w:pStyle w:val="TableBody"/>
            </w:pPr>
            <w:r w:rsidRPr="006624C0">
              <w:t xml:space="preserve"> A 15-minute Settlement Interval</w:t>
            </w:r>
          </w:p>
        </w:tc>
      </w:tr>
      <w:tr w:rsidR="001F04FD" w14:paraId="56D94F1C" w14:textId="77777777" w:rsidTr="00FA433F">
        <w:trPr>
          <w:cantSplit/>
        </w:trPr>
        <w:tc>
          <w:tcPr>
            <w:tcW w:w="2155" w:type="dxa"/>
          </w:tcPr>
          <w:p w14:paraId="224797D1" w14:textId="77777777" w:rsidR="001F04FD" w:rsidRPr="00D10ED6" w:rsidRDefault="001F04FD" w:rsidP="00AC4DEE">
            <w:pPr>
              <w:pStyle w:val="TableBody"/>
              <w:rPr>
                <w:i/>
              </w:rPr>
            </w:pPr>
            <w:r w:rsidRPr="00D10ED6">
              <w:rPr>
                <w:i/>
              </w:rPr>
              <w:t>y</w:t>
            </w:r>
          </w:p>
        </w:tc>
        <w:tc>
          <w:tcPr>
            <w:tcW w:w="720" w:type="dxa"/>
          </w:tcPr>
          <w:p w14:paraId="2F97FC6C" w14:textId="77777777" w:rsidR="001F04FD" w:rsidRPr="00D10ED6" w:rsidRDefault="001F04FD" w:rsidP="00AC4DEE">
            <w:pPr>
              <w:pStyle w:val="TableBody"/>
            </w:pPr>
            <w:r w:rsidRPr="00D10ED6">
              <w:t>none</w:t>
            </w:r>
          </w:p>
        </w:tc>
        <w:tc>
          <w:tcPr>
            <w:tcW w:w="6845" w:type="dxa"/>
          </w:tcPr>
          <w:p w14:paraId="74BB7736" w14:textId="77777777" w:rsidR="001F04FD" w:rsidRPr="00D10ED6" w:rsidRDefault="001F04FD" w:rsidP="00AC4DEE">
            <w:pPr>
              <w:pStyle w:val="TableBody"/>
            </w:pPr>
            <w:r w:rsidRPr="00D10ED6">
              <w:t xml:space="preserve">A five-minute clock interval in the Settlement Interval.  </w:t>
            </w:r>
          </w:p>
        </w:tc>
      </w:tr>
    </w:tbl>
    <w:p w14:paraId="13733D76" w14:textId="77777777" w:rsidR="00FA433F" w:rsidRDefault="00FA433F"/>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FA433F" w14:paraId="6384BF83" w14:textId="77777777" w:rsidTr="00FA433F">
        <w:trPr>
          <w:trHeight w:val="206"/>
        </w:trPr>
        <w:tc>
          <w:tcPr>
            <w:tcW w:w="9576" w:type="dxa"/>
            <w:shd w:val="pct12" w:color="auto" w:fill="auto"/>
          </w:tcPr>
          <w:p w14:paraId="24917961" w14:textId="3061EE61" w:rsidR="00FA433F" w:rsidRDefault="00FA433F" w:rsidP="003579EE">
            <w:pPr>
              <w:pStyle w:val="Instructions"/>
              <w:spacing w:before="120"/>
            </w:pPr>
            <w:bookmarkStart w:id="2046" w:name="_Toc397505022"/>
            <w:bookmarkStart w:id="2047" w:name="_Toc402357150"/>
            <w:bookmarkStart w:id="2048" w:name="_Toc422486530"/>
            <w:bookmarkStart w:id="2049" w:name="_Toc433093383"/>
            <w:bookmarkStart w:id="2050" w:name="_Toc433093541"/>
            <w:bookmarkStart w:id="2051" w:name="_Toc440874771"/>
            <w:bookmarkStart w:id="2052" w:name="_Toc448142328"/>
            <w:bookmarkStart w:id="2053" w:name="_Toc448142485"/>
            <w:bookmarkStart w:id="2054" w:name="_Toc458770326"/>
            <w:bookmarkStart w:id="2055" w:name="_Toc459294294"/>
            <w:bookmarkStart w:id="2056" w:name="_Toc463262787"/>
            <w:bookmarkStart w:id="2057" w:name="_Toc468286860"/>
            <w:bookmarkStart w:id="2058" w:name="_Toc481502900"/>
            <w:bookmarkStart w:id="2059" w:name="_Toc496080068"/>
            <w:bookmarkStart w:id="2060" w:name="_Toc367956602"/>
            <w:r>
              <w:t>[NPRR963</w:t>
            </w:r>
            <w:r w:rsidR="00BF224E">
              <w:t xml:space="preserve">, </w:t>
            </w:r>
            <w:r w:rsidR="00420FAF">
              <w:t>NPRR1010</w:t>
            </w:r>
            <w:r w:rsidR="00BF224E">
              <w:t>, and NPRR1014</w:t>
            </w:r>
            <w:r>
              <w:t xml:space="preserve">:  Replace </w:t>
            </w:r>
            <w:r w:rsidR="00420FAF">
              <w:t xml:space="preserve">applicable portions of </w:t>
            </w:r>
            <w:r>
              <w:t>Section 6.6.5.1 above with the following upon system implementation</w:t>
            </w:r>
            <w:r w:rsidR="00420FAF">
              <w:t xml:space="preserve"> for NPRR963</w:t>
            </w:r>
            <w:r w:rsidR="00BF224E">
              <w:t xml:space="preserve"> or NPRR1014</w:t>
            </w:r>
            <w:r w:rsidR="00420FAF">
              <w:t>; or upon system implementation of the Real-Time Co-Optimization (RTC) project for NPRR1010</w:t>
            </w:r>
            <w:r>
              <w:t>:]</w:t>
            </w:r>
          </w:p>
          <w:p w14:paraId="729B2011" w14:textId="40F1F302" w:rsidR="00FA433F" w:rsidRPr="00FA433F" w:rsidRDefault="00FA433F" w:rsidP="00FA433F">
            <w:pPr>
              <w:keepNext/>
              <w:tabs>
                <w:tab w:val="left" w:pos="1080"/>
              </w:tabs>
              <w:spacing w:before="240" w:after="240"/>
              <w:ind w:left="1080" w:hanging="1080"/>
              <w:outlineLvl w:val="3"/>
              <w:rPr>
                <w:b/>
                <w:bCs/>
                <w:lang w:val="fr-FR"/>
              </w:rPr>
            </w:pPr>
            <w:bookmarkStart w:id="2061" w:name="_Toc60040688"/>
            <w:bookmarkStart w:id="2062" w:name="_Toc65151747"/>
            <w:bookmarkStart w:id="2063" w:name="_Toc80174773"/>
            <w:bookmarkStart w:id="2064" w:name="_Toc112417653"/>
            <w:bookmarkStart w:id="2065" w:name="_Toc119310322"/>
            <w:bookmarkStart w:id="2066" w:name="_Toc125966255"/>
            <w:bookmarkStart w:id="2067" w:name="_Toc135992353"/>
            <w:bookmarkStart w:id="2068" w:name="_Toc170303549"/>
            <w:bookmarkStart w:id="2069" w:name="_Toc175157453"/>
            <w:bookmarkStart w:id="2070" w:name="_Toc204411682"/>
            <w:r w:rsidRPr="00FA433F">
              <w:rPr>
                <w:b/>
                <w:bCs/>
                <w:lang w:val="fr-FR"/>
              </w:rPr>
              <w:t>6.6.5.1</w:t>
            </w:r>
            <w:r w:rsidRPr="00FA433F">
              <w:rPr>
                <w:b/>
                <w:bCs/>
                <w:lang w:val="fr-FR"/>
              </w:rPr>
              <w:tab/>
              <w:t xml:space="preserve">Resource </w:t>
            </w:r>
            <w:r w:rsidR="00CC638A">
              <w:rPr>
                <w:b/>
                <w:bCs/>
                <w:lang w:val="fr-FR"/>
              </w:rPr>
              <w:t>Set</w:t>
            </w:r>
            <w:r w:rsidRPr="00FA433F">
              <w:rPr>
                <w:b/>
                <w:bCs/>
                <w:lang w:val="fr-FR"/>
              </w:rPr>
              <w:t xml:space="preserve"> Point Deviation Charge</w:t>
            </w:r>
            <w:bookmarkEnd w:id="2061"/>
            <w:bookmarkEnd w:id="2062"/>
            <w:bookmarkEnd w:id="2063"/>
            <w:bookmarkEnd w:id="2064"/>
            <w:bookmarkEnd w:id="2065"/>
            <w:bookmarkEnd w:id="2066"/>
            <w:bookmarkEnd w:id="2067"/>
            <w:bookmarkEnd w:id="2068"/>
            <w:bookmarkEnd w:id="2069"/>
            <w:bookmarkEnd w:id="2070"/>
          </w:p>
          <w:p w14:paraId="442A2C01" w14:textId="055C58D1" w:rsidR="00FA433F" w:rsidRPr="00FA433F" w:rsidRDefault="00FA433F" w:rsidP="00FA433F">
            <w:pPr>
              <w:spacing w:after="240"/>
              <w:ind w:left="720" w:hanging="720"/>
            </w:pPr>
            <w:r w:rsidRPr="00FA433F">
              <w:t>(1)</w:t>
            </w:r>
            <w:r w:rsidRPr="00FA433F">
              <w:tab/>
              <w:t>A QSE for a Generation Resource</w:t>
            </w:r>
            <w:r w:rsidR="009E7633">
              <w:t>, ESR,</w:t>
            </w:r>
            <w:r w:rsidRPr="00FA433F">
              <w:t xml:space="preserve"> or Controllable Load Resource shall pay a </w:t>
            </w:r>
            <w:r w:rsidR="00CC638A">
              <w:t>Set</w:t>
            </w:r>
            <w:r w:rsidRPr="00FA433F">
              <w:t xml:space="preserve"> Point Deviation Charge if the Resource did not follow </w:t>
            </w:r>
            <w:r w:rsidR="00CC638A">
              <w:t>UDSPs</w:t>
            </w:r>
            <w:r w:rsidRPr="00FA433F">
              <w:t xml:space="preserve"> within defined tolerances, except when the </w:t>
            </w:r>
            <w:r w:rsidR="00CC638A">
              <w:t>UDSPs</w:t>
            </w:r>
            <w:r w:rsidRPr="00FA433F">
              <w:t xml:space="preserve"> violate the Resource Parameters.  </w:t>
            </w:r>
          </w:p>
          <w:p w14:paraId="20E6F7B5" w14:textId="4CC3D554" w:rsidR="00FA433F" w:rsidRPr="00FA433F" w:rsidRDefault="00FA433F" w:rsidP="00FA433F">
            <w:pPr>
              <w:spacing w:after="240"/>
              <w:ind w:left="720" w:hanging="720"/>
            </w:pPr>
            <w:r w:rsidRPr="00FA433F">
              <w:t xml:space="preserve">(2) </w:t>
            </w:r>
            <w:r w:rsidRPr="00FA433F">
              <w:tab/>
              <w:t>The desired output from a Generation Resource</w:t>
            </w:r>
            <w:r w:rsidR="009E7633" w:rsidRPr="00A552C3">
              <w:t>, ESR, or Controllable Load Resource</w:t>
            </w:r>
            <w:r w:rsidRPr="00FA433F">
              <w:t xml:space="preserve"> during a 15-minute Settlement Interval is calculated as follows: </w:t>
            </w:r>
          </w:p>
          <w:p w14:paraId="57B9B052" w14:textId="37985253" w:rsidR="00FA433F" w:rsidRPr="00FA433F" w:rsidRDefault="00FA433F" w:rsidP="00FA433F">
            <w:pPr>
              <w:tabs>
                <w:tab w:val="left" w:pos="2250"/>
                <w:tab w:val="left" w:pos="3150"/>
                <w:tab w:val="left" w:pos="3960"/>
              </w:tabs>
              <w:spacing w:after="240"/>
              <w:ind w:left="3960" w:hanging="3240"/>
              <w:rPr>
                <w:b/>
                <w:bCs/>
                <w:szCs w:val="24"/>
              </w:rPr>
            </w:pPr>
            <w:r w:rsidRPr="00FA433F">
              <w:rPr>
                <w:b/>
                <w:bCs/>
                <w:szCs w:val="24"/>
              </w:rPr>
              <w:t>AA</w:t>
            </w:r>
            <w:r w:rsidR="00CC638A">
              <w:rPr>
                <w:b/>
                <w:bCs/>
                <w:szCs w:val="24"/>
              </w:rPr>
              <w:t>S</w:t>
            </w:r>
            <w:r w:rsidRPr="00FA433F">
              <w:rPr>
                <w:b/>
                <w:bCs/>
                <w:szCs w:val="24"/>
              </w:rPr>
              <w:t>P</w:t>
            </w:r>
            <w:r w:rsidRPr="00FA433F">
              <w:rPr>
                <w:b/>
                <w:bCs/>
                <w:szCs w:val="24"/>
                <w:vertAlign w:val="subscript"/>
              </w:rPr>
              <w:t xml:space="preserve"> </w:t>
            </w:r>
            <w:r w:rsidRPr="00FA433F">
              <w:rPr>
                <w:b/>
                <w:bCs/>
                <w:i/>
                <w:szCs w:val="24"/>
                <w:vertAlign w:val="subscript"/>
              </w:rPr>
              <w:t>q, r, p, i</w:t>
            </w:r>
            <w:r w:rsidRPr="00FA433F">
              <w:rPr>
                <w:b/>
                <w:bCs/>
                <w:szCs w:val="24"/>
              </w:rPr>
              <w:tab/>
              <w:t>=</w:t>
            </w:r>
            <w:r w:rsidRPr="00FA433F">
              <w:rPr>
                <w:b/>
                <w:bCs/>
                <w:szCs w:val="24"/>
              </w:rPr>
              <w:tab/>
            </w:r>
            <w:r w:rsidR="00CC638A">
              <w:rPr>
                <w:b/>
                <w:bCs/>
                <w:szCs w:val="24"/>
              </w:rPr>
              <w:object w:dxaOrig="150" w:dyaOrig="435" w14:anchorId="622787A1">
                <v:shape id="_x0000_i1182" type="#_x0000_t75" style="width:5.4pt;height:18pt" o:ole="">
                  <v:imagedata r:id="rId209" o:title=""/>
                </v:shape>
                <o:OLEObject Type="Embed" ProgID="Equation.3" ShapeID="_x0000_i1182" DrawAspect="Content" ObjectID="_1815025372" r:id="rId212"/>
              </w:object>
            </w:r>
            <w:r w:rsidR="00CC638A">
              <w:rPr>
                <w:b/>
                <w:bCs/>
              </w:rPr>
              <w:t xml:space="preserve"> (</w:t>
            </w:r>
            <w:r w:rsidR="00CC638A">
              <w:rPr>
                <w:b/>
                <w:bCs/>
                <w:lang w:val="es-ES"/>
              </w:rPr>
              <w:t xml:space="preserve">AVGSP5M </w:t>
            </w:r>
            <w:r w:rsidR="00CC638A">
              <w:rPr>
                <w:b/>
                <w:bCs/>
                <w:i/>
                <w:vertAlign w:val="subscript"/>
                <w:lang w:val="es-ES"/>
              </w:rPr>
              <w:t>q, r, p, i, y</w:t>
            </w:r>
            <w:r w:rsidR="00CC638A">
              <w:rPr>
                <w:b/>
                <w:bCs/>
              </w:rPr>
              <w:t>) / 3</w:t>
            </w:r>
            <w:r w:rsidRPr="00FA433F">
              <w:rPr>
                <w:b/>
                <w:bCs/>
                <w:szCs w:val="24"/>
                <w:vertAlign w:val="subscript"/>
              </w:rPr>
              <w:t xml:space="preserve">  </w:t>
            </w:r>
          </w:p>
          <w:p w14:paraId="5C5176DA" w14:textId="77777777" w:rsidR="00FA433F" w:rsidRPr="00FA433F" w:rsidRDefault="00FA433F" w:rsidP="00FA433F">
            <w:pPr>
              <w:rPr>
                <w:szCs w:val="24"/>
              </w:rPr>
            </w:pPr>
            <w:r w:rsidRPr="00FA433F">
              <w:rPr>
                <w:szCs w:val="24"/>
              </w:rP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0C0211" w14:paraId="04E6680D" w14:textId="77777777" w:rsidTr="003579EE">
              <w:trPr>
                <w:cantSplit/>
                <w:tblHeader/>
              </w:trPr>
              <w:tc>
                <w:tcPr>
                  <w:tcW w:w="2155" w:type="dxa"/>
                </w:tcPr>
                <w:p w14:paraId="1B69080B" w14:textId="77777777" w:rsidR="000C0211" w:rsidRDefault="000C0211" w:rsidP="000C0211">
                  <w:pPr>
                    <w:pStyle w:val="TableHead"/>
                  </w:pPr>
                  <w:r>
                    <w:t>Variable</w:t>
                  </w:r>
                </w:p>
              </w:tc>
              <w:tc>
                <w:tcPr>
                  <w:tcW w:w="720" w:type="dxa"/>
                </w:tcPr>
                <w:p w14:paraId="27665B66" w14:textId="77777777" w:rsidR="000C0211" w:rsidRDefault="000C0211" w:rsidP="000C0211">
                  <w:pPr>
                    <w:pStyle w:val="TableHead"/>
                  </w:pPr>
                  <w:r>
                    <w:t>Unit</w:t>
                  </w:r>
                </w:p>
              </w:tc>
              <w:tc>
                <w:tcPr>
                  <w:tcW w:w="6845" w:type="dxa"/>
                </w:tcPr>
                <w:p w14:paraId="1CCD23E2" w14:textId="77777777" w:rsidR="000C0211" w:rsidRDefault="000C0211" w:rsidP="000C0211">
                  <w:pPr>
                    <w:pStyle w:val="TableHead"/>
                  </w:pPr>
                  <w:r>
                    <w:t>Definition</w:t>
                  </w:r>
                </w:p>
              </w:tc>
            </w:tr>
            <w:tr w:rsidR="000C0211" w14:paraId="63EA7281" w14:textId="77777777" w:rsidTr="003579EE">
              <w:trPr>
                <w:cantSplit/>
              </w:trPr>
              <w:tc>
                <w:tcPr>
                  <w:tcW w:w="2155" w:type="dxa"/>
                </w:tcPr>
                <w:p w14:paraId="16327120" w14:textId="3742524B" w:rsidR="000C0211" w:rsidRPr="00D10ED6" w:rsidRDefault="000C0211" w:rsidP="00E942B8">
                  <w:pPr>
                    <w:pStyle w:val="TableBody"/>
                    <w:rPr>
                      <w:i/>
                      <w:vertAlign w:val="subscript"/>
                    </w:rPr>
                  </w:pPr>
                  <w:r w:rsidRPr="00D10ED6">
                    <w:t>AA</w:t>
                  </w:r>
                  <w:r w:rsidR="00E942B8">
                    <w:t>S</w:t>
                  </w:r>
                  <w:r w:rsidRPr="00D10ED6">
                    <w:t xml:space="preserve">P </w:t>
                  </w:r>
                  <w:r w:rsidRPr="00D10ED6">
                    <w:rPr>
                      <w:i/>
                      <w:vertAlign w:val="subscript"/>
                    </w:rPr>
                    <w:t>q, r, p, i</w:t>
                  </w:r>
                </w:p>
              </w:tc>
              <w:tc>
                <w:tcPr>
                  <w:tcW w:w="720" w:type="dxa"/>
                </w:tcPr>
                <w:p w14:paraId="282A8728" w14:textId="77777777" w:rsidR="000C0211" w:rsidRPr="00D10ED6" w:rsidRDefault="000C0211" w:rsidP="000C0211">
                  <w:pPr>
                    <w:pStyle w:val="TableBody"/>
                  </w:pPr>
                  <w:r w:rsidRPr="00D10ED6">
                    <w:t>MW</w:t>
                  </w:r>
                </w:p>
              </w:tc>
              <w:tc>
                <w:tcPr>
                  <w:tcW w:w="6845" w:type="dxa"/>
                </w:tcPr>
                <w:p w14:paraId="028FDBA8" w14:textId="03A0C8AA" w:rsidR="000C0211" w:rsidRPr="00D10ED6" w:rsidRDefault="00E942B8" w:rsidP="009E7633">
                  <w:pPr>
                    <w:pStyle w:val="TableBody"/>
                  </w:pPr>
                  <w:r>
                    <w:rPr>
                      <w:i/>
                    </w:rPr>
                    <w:t>Average</w:t>
                  </w:r>
                  <w:r w:rsidR="000C0211" w:rsidRPr="00D10ED6">
                    <w:rPr>
                      <w:i/>
                    </w:rPr>
                    <w:t xml:space="preserve"> Aggregated </w:t>
                  </w:r>
                  <w:r>
                    <w:rPr>
                      <w:i/>
                    </w:rPr>
                    <w:t>Set</w:t>
                  </w:r>
                  <w:r w:rsidR="000C0211" w:rsidRPr="00D10ED6">
                    <w:rPr>
                      <w:i/>
                    </w:rPr>
                    <w:t xml:space="preserve"> Point per QSE per Settlement Point per Resource</w:t>
                  </w:r>
                  <w:r w:rsidR="000C0211" w:rsidRPr="00D10ED6">
                    <w:t xml:space="preserve">—The </w:t>
                  </w:r>
                  <w:r>
                    <w:t>average of the Average Five Minute Clock Interval Set Point (AVGSP5M)</w:t>
                  </w:r>
                  <w:r w:rsidR="000C0211" w:rsidRPr="00D10ED6">
                    <w:t xml:space="preserve"> of </w:t>
                  </w:r>
                  <w:r w:rsidR="000C0211">
                    <w:t xml:space="preserve">Resource </w:t>
                  </w:r>
                  <w:r w:rsidR="000C0211" w:rsidRPr="00D10ED6">
                    <w:rPr>
                      <w:i/>
                    </w:rPr>
                    <w:t>r</w:t>
                  </w:r>
                  <w:r w:rsidR="000C0211" w:rsidRPr="00D10ED6">
                    <w:t xml:space="preserve"> represented by QSE </w:t>
                  </w:r>
                  <w:r w:rsidR="000C0211" w:rsidRPr="00D10ED6">
                    <w:rPr>
                      <w:i/>
                    </w:rPr>
                    <w:t xml:space="preserve">q </w:t>
                  </w:r>
                  <w:r w:rsidR="000C0211" w:rsidRPr="00D10ED6">
                    <w:t xml:space="preserve">at </w:t>
                  </w:r>
                  <w:r w:rsidR="000C0211">
                    <w:t>Settlement Point</w:t>
                  </w:r>
                  <w:r w:rsidR="000C0211" w:rsidRPr="00D10ED6">
                    <w:t xml:space="preserve"> </w:t>
                  </w:r>
                  <w:r w:rsidR="000C0211" w:rsidRPr="00D10ED6">
                    <w:rPr>
                      <w:i/>
                    </w:rPr>
                    <w:t>p</w:t>
                  </w:r>
                  <w:r w:rsidR="000C0211" w:rsidRPr="006624C0">
                    <w:t>,</w:t>
                  </w:r>
                  <w:r w:rsidR="000C0211" w:rsidRPr="00D10ED6">
                    <w:t xml:space="preserve"> for the 15-minute Settlement Interval </w:t>
                  </w:r>
                  <w:r w:rsidR="000C0211" w:rsidRPr="00D10ED6">
                    <w:rPr>
                      <w:i/>
                    </w:rPr>
                    <w:t>i</w:t>
                  </w:r>
                  <w:r w:rsidR="000C0211" w:rsidRPr="00D10ED6">
                    <w:t>.  Where for a Combined Cycle Train, AA</w:t>
                  </w:r>
                  <w:r>
                    <w:t>S</w:t>
                  </w:r>
                  <w:r w:rsidR="000C0211" w:rsidRPr="00D10ED6">
                    <w:t xml:space="preserve">P is calculated for the Combined Cycle Train considering all </w:t>
                  </w:r>
                  <w:r>
                    <w:t>UDSPs</w:t>
                  </w:r>
                  <w:r w:rsidR="000C0211" w:rsidRPr="00D10ED6">
                    <w:t xml:space="preserve"> to any Combined Cycle Generation Resources within the Combined Cycle Train.</w:t>
                  </w:r>
                </w:p>
              </w:tc>
            </w:tr>
            <w:tr w:rsidR="00E942B8" w14:paraId="6F170940" w14:textId="77777777" w:rsidTr="003579EE">
              <w:trPr>
                <w:cantSplit/>
              </w:trPr>
              <w:tc>
                <w:tcPr>
                  <w:tcW w:w="2155" w:type="dxa"/>
                </w:tcPr>
                <w:p w14:paraId="1416729F" w14:textId="459F24B0" w:rsidR="00E942B8" w:rsidRPr="00D10ED6" w:rsidRDefault="00E942B8" w:rsidP="00E942B8">
                  <w:pPr>
                    <w:pStyle w:val="TableBody"/>
                  </w:pPr>
                  <w:r>
                    <w:t>AVGSP5M</w:t>
                  </w:r>
                  <w:r>
                    <w:rPr>
                      <w:i/>
                      <w:vertAlign w:val="subscript"/>
                    </w:rPr>
                    <w:t xml:space="preserve"> q, r, p, i, y</w:t>
                  </w:r>
                </w:p>
              </w:tc>
              <w:tc>
                <w:tcPr>
                  <w:tcW w:w="720" w:type="dxa"/>
                </w:tcPr>
                <w:p w14:paraId="3C37EE2A" w14:textId="054F42D7" w:rsidR="00E942B8" w:rsidRPr="00D10ED6" w:rsidRDefault="00E942B8" w:rsidP="00E942B8">
                  <w:pPr>
                    <w:pStyle w:val="TableBody"/>
                  </w:pPr>
                  <w:r>
                    <w:t>MW</w:t>
                  </w:r>
                </w:p>
              </w:tc>
              <w:tc>
                <w:tcPr>
                  <w:tcW w:w="6845" w:type="dxa"/>
                </w:tcPr>
                <w:p w14:paraId="48B8A822" w14:textId="2190F779" w:rsidR="00E942B8" w:rsidRPr="00D10ED6" w:rsidRDefault="00E942B8" w:rsidP="00BA1412">
                  <w:pPr>
                    <w:pStyle w:val="TableBody"/>
                    <w:rPr>
                      <w:i/>
                    </w:rPr>
                  </w:pPr>
                  <w:r>
                    <w:rPr>
                      <w:i/>
                    </w:rPr>
                    <w:t>Average Five Minute Clock Interval Set Point per QSE per Settlement Point per Resource –</w:t>
                  </w:r>
                  <w:r>
                    <w:t xml:space="preserve">The time-weighted average of the Updated Desired Set Point (UDSP) that Resource </w:t>
                  </w:r>
                  <w:r>
                    <w:rPr>
                      <w:i/>
                    </w:rPr>
                    <w:t xml:space="preserve">r </w:t>
                  </w:r>
                  <w:r>
                    <w:t xml:space="preserve">for QSE </w:t>
                  </w:r>
                  <w:r>
                    <w:rPr>
                      <w:i/>
                    </w:rPr>
                    <w:t xml:space="preserve">q </w:t>
                  </w:r>
                  <w:r>
                    <w:t xml:space="preserve">at Settlement Point </w:t>
                  </w:r>
                  <w:r>
                    <w:rPr>
                      <w:i/>
                    </w:rPr>
                    <w:t xml:space="preserve">p </w:t>
                  </w:r>
                  <w:r>
                    <w:t xml:space="preserve">should have produced, for the five-minute clock interval </w:t>
                  </w:r>
                  <w:r>
                    <w:rPr>
                      <w:i/>
                    </w:rPr>
                    <w:t xml:space="preserve">y </w:t>
                  </w:r>
                  <w:r>
                    <w:t xml:space="preserve">within the 15-minute Settlement Interval </w:t>
                  </w:r>
                  <w:r>
                    <w:rPr>
                      <w:i/>
                    </w:rPr>
                    <w:t>i</w:t>
                  </w:r>
                  <w:r>
                    <w:t>.  AVGSP5M is equal to the ASP value calculated for use in Generation Resource Energy Deployment Performance (GREDP), Controllable Load Resource Energy Deployment Performance (CLREDP), or Energy Storage Resource Energy Deployment Performance (ESREDP), as described in Section 8.1.1.4.1, Regulation Service and Generation Resource/Controllable Load Resource/Energy Storage Resource Energy Deployment Performance</w:t>
                  </w:r>
                  <w:r w:rsidR="007C3AE6" w:rsidRPr="007C3AE6">
                    <w:t>, and Ancillary Service Capacity Performance Metrics</w:t>
                  </w:r>
                  <w:r>
                    <w:t>.</w:t>
                  </w:r>
                </w:p>
              </w:tc>
            </w:tr>
            <w:tr w:rsidR="000C0211" w14:paraId="577F5FC3" w14:textId="77777777" w:rsidTr="003579EE">
              <w:trPr>
                <w:cantSplit/>
              </w:trPr>
              <w:tc>
                <w:tcPr>
                  <w:tcW w:w="2155" w:type="dxa"/>
                </w:tcPr>
                <w:p w14:paraId="0CE815C4" w14:textId="77777777" w:rsidR="000C0211" w:rsidRPr="00D10ED6" w:rsidRDefault="000C0211" w:rsidP="000C0211">
                  <w:pPr>
                    <w:pStyle w:val="TableBody"/>
                    <w:rPr>
                      <w:i/>
                    </w:rPr>
                  </w:pPr>
                  <w:r w:rsidRPr="006624C0">
                    <w:rPr>
                      <w:i/>
                    </w:rPr>
                    <w:t>q</w:t>
                  </w:r>
                </w:p>
              </w:tc>
              <w:tc>
                <w:tcPr>
                  <w:tcW w:w="720" w:type="dxa"/>
                </w:tcPr>
                <w:p w14:paraId="3E97BF25" w14:textId="77777777" w:rsidR="000C0211" w:rsidRPr="00D10ED6" w:rsidRDefault="000C0211" w:rsidP="000C0211">
                  <w:pPr>
                    <w:pStyle w:val="TableBody"/>
                  </w:pPr>
                  <w:r w:rsidRPr="006624C0">
                    <w:t>none</w:t>
                  </w:r>
                </w:p>
              </w:tc>
              <w:tc>
                <w:tcPr>
                  <w:tcW w:w="6845" w:type="dxa"/>
                </w:tcPr>
                <w:p w14:paraId="5E8CB818" w14:textId="77777777" w:rsidR="000C0211" w:rsidRPr="00D10ED6" w:rsidRDefault="000C0211" w:rsidP="000C0211">
                  <w:pPr>
                    <w:pStyle w:val="TableBody"/>
                  </w:pPr>
                  <w:r w:rsidRPr="006624C0">
                    <w:t>A QSE.</w:t>
                  </w:r>
                </w:p>
              </w:tc>
            </w:tr>
            <w:tr w:rsidR="000C0211" w14:paraId="1B6DCBDF" w14:textId="77777777" w:rsidTr="003579EE">
              <w:trPr>
                <w:cantSplit/>
              </w:trPr>
              <w:tc>
                <w:tcPr>
                  <w:tcW w:w="2155" w:type="dxa"/>
                </w:tcPr>
                <w:p w14:paraId="4C899D05" w14:textId="77777777" w:rsidR="000C0211" w:rsidRPr="00D10ED6" w:rsidRDefault="000C0211" w:rsidP="000C0211">
                  <w:pPr>
                    <w:pStyle w:val="TableBody"/>
                    <w:rPr>
                      <w:i/>
                    </w:rPr>
                  </w:pPr>
                  <w:r w:rsidRPr="006624C0">
                    <w:rPr>
                      <w:i/>
                    </w:rPr>
                    <w:t>p</w:t>
                  </w:r>
                </w:p>
              </w:tc>
              <w:tc>
                <w:tcPr>
                  <w:tcW w:w="720" w:type="dxa"/>
                </w:tcPr>
                <w:p w14:paraId="5659B935" w14:textId="77777777" w:rsidR="000C0211" w:rsidRPr="00D10ED6" w:rsidRDefault="000C0211" w:rsidP="000C0211">
                  <w:pPr>
                    <w:pStyle w:val="TableBody"/>
                  </w:pPr>
                  <w:r w:rsidRPr="006624C0">
                    <w:t>none</w:t>
                  </w:r>
                </w:p>
              </w:tc>
              <w:tc>
                <w:tcPr>
                  <w:tcW w:w="6845" w:type="dxa"/>
                </w:tcPr>
                <w:p w14:paraId="4B2311C7" w14:textId="77777777" w:rsidR="000C0211" w:rsidRPr="00D10ED6" w:rsidRDefault="000C0211" w:rsidP="000C0211">
                  <w:pPr>
                    <w:pStyle w:val="TableBody"/>
                  </w:pPr>
                  <w:r w:rsidRPr="006624C0">
                    <w:t>A Settlement Point.</w:t>
                  </w:r>
                </w:p>
              </w:tc>
            </w:tr>
            <w:tr w:rsidR="000C0211" w14:paraId="076A5926" w14:textId="77777777" w:rsidTr="003579EE">
              <w:trPr>
                <w:cantSplit/>
              </w:trPr>
              <w:tc>
                <w:tcPr>
                  <w:tcW w:w="2155" w:type="dxa"/>
                </w:tcPr>
                <w:p w14:paraId="5E32F5EA" w14:textId="77777777" w:rsidR="000C0211" w:rsidRPr="00D10ED6" w:rsidRDefault="000C0211" w:rsidP="000C0211">
                  <w:pPr>
                    <w:pStyle w:val="TableBody"/>
                    <w:rPr>
                      <w:i/>
                    </w:rPr>
                  </w:pPr>
                  <w:r w:rsidRPr="006624C0">
                    <w:rPr>
                      <w:i/>
                    </w:rPr>
                    <w:t>r</w:t>
                  </w:r>
                </w:p>
              </w:tc>
              <w:tc>
                <w:tcPr>
                  <w:tcW w:w="720" w:type="dxa"/>
                </w:tcPr>
                <w:p w14:paraId="6410EBEB" w14:textId="77777777" w:rsidR="000C0211" w:rsidRPr="00D10ED6" w:rsidRDefault="000C0211" w:rsidP="000C0211">
                  <w:pPr>
                    <w:pStyle w:val="TableBody"/>
                  </w:pPr>
                  <w:r w:rsidRPr="006624C0">
                    <w:t>none</w:t>
                  </w:r>
                </w:p>
              </w:tc>
              <w:tc>
                <w:tcPr>
                  <w:tcW w:w="6845" w:type="dxa"/>
                </w:tcPr>
                <w:p w14:paraId="7837955F" w14:textId="7468926F" w:rsidR="000C0211" w:rsidRPr="00D10ED6" w:rsidRDefault="000C0211" w:rsidP="000C0211">
                  <w:pPr>
                    <w:pStyle w:val="TableBody"/>
                  </w:pPr>
                  <w:r w:rsidRPr="006624C0">
                    <w:rPr>
                      <w:lang w:val="fr-FR"/>
                    </w:rPr>
                    <w:t>A Generation Resource</w:t>
                  </w:r>
                  <w:r w:rsidR="009E7633">
                    <w:rPr>
                      <w:lang w:val="fr-FR"/>
                    </w:rPr>
                    <w:t>, ESR,</w:t>
                  </w:r>
                  <w:r>
                    <w:rPr>
                      <w:lang w:val="fr-FR"/>
                    </w:rPr>
                    <w:t xml:space="preserve"> or Controllable Load Resource</w:t>
                  </w:r>
                  <w:r w:rsidRPr="006624C0">
                    <w:rPr>
                      <w:lang w:val="fr-FR"/>
                    </w:rPr>
                    <w:t>.</w:t>
                  </w:r>
                </w:p>
              </w:tc>
            </w:tr>
            <w:tr w:rsidR="000C0211" w14:paraId="2684C100" w14:textId="77777777" w:rsidTr="003579EE">
              <w:trPr>
                <w:cantSplit/>
              </w:trPr>
              <w:tc>
                <w:tcPr>
                  <w:tcW w:w="2155" w:type="dxa"/>
                </w:tcPr>
                <w:p w14:paraId="15EAAF32" w14:textId="77777777" w:rsidR="000C0211" w:rsidRPr="00D10ED6" w:rsidRDefault="000C0211" w:rsidP="000C0211">
                  <w:pPr>
                    <w:pStyle w:val="TableBody"/>
                    <w:rPr>
                      <w:i/>
                    </w:rPr>
                  </w:pPr>
                  <w:r w:rsidRPr="006624C0">
                    <w:rPr>
                      <w:i/>
                    </w:rPr>
                    <w:t>i</w:t>
                  </w:r>
                </w:p>
              </w:tc>
              <w:tc>
                <w:tcPr>
                  <w:tcW w:w="720" w:type="dxa"/>
                </w:tcPr>
                <w:p w14:paraId="674FC0F7" w14:textId="54140AB1" w:rsidR="000C0211" w:rsidRPr="00D10ED6" w:rsidRDefault="0018785B" w:rsidP="0018785B">
                  <w:pPr>
                    <w:pStyle w:val="TableBody"/>
                  </w:pPr>
                  <w:r>
                    <w:t>n</w:t>
                  </w:r>
                  <w:r w:rsidR="000C0211" w:rsidRPr="006624C0">
                    <w:t>one</w:t>
                  </w:r>
                </w:p>
              </w:tc>
              <w:tc>
                <w:tcPr>
                  <w:tcW w:w="6845" w:type="dxa"/>
                </w:tcPr>
                <w:p w14:paraId="79AABF95" w14:textId="4DB289ED" w:rsidR="000C0211" w:rsidRPr="00D10ED6" w:rsidRDefault="000C0211" w:rsidP="000C0211">
                  <w:pPr>
                    <w:pStyle w:val="TableBody"/>
                  </w:pPr>
                  <w:r w:rsidRPr="006624C0">
                    <w:t>A 15-minute Settlement Interval</w:t>
                  </w:r>
                </w:p>
              </w:tc>
            </w:tr>
            <w:tr w:rsidR="000C0211" w14:paraId="5C9DB4B1" w14:textId="77777777" w:rsidTr="003579EE">
              <w:trPr>
                <w:cantSplit/>
              </w:trPr>
              <w:tc>
                <w:tcPr>
                  <w:tcW w:w="2155" w:type="dxa"/>
                </w:tcPr>
                <w:p w14:paraId="4DECD8DE" w14:textId="77777777" w:rsidR="000C0211" w:rsidRPr="00D10ED6" w:rsidRDefault="000C0211" w:rsidP="000C0211">
                  <w:pPr>
                    <w:pStyle w:val="TableBody"/>
                    <w:rPr>
                      <w:i/>
                    </w:rPr>
                  </w:pPr>
                  <w:r w:rsidRPr="00D10ED6">
                    <w:rPr>
                      <w:i/>
                    </w:rPr>
                    <w:t>y</w:t>
                  </w:r>
                </w:p>
              </w:tc>
              <w:tc>
                <w:tcPr>
                  <w:tcW w:w="720" w:type="dxa"/>
                </w:tcPr>
                <w:p w14:paraId="12489B83" w14:textId="77777777" w:rsidR="000C0211" w:rsidRPr="00D10ED6" w:rsidRDefault="000C0211" w:rsidP="000C0211">
                  <w:pPr>
                    <w:pStyle w:val="TableBody"/>
                  </w:pPr>
                  <w:r w:rsidRPr="00D10ED6">
                    <w:t>none</w:t>
                  </w:r>
                </w:p>
              </w:tc>
              <w:tc>
                <w:tcPr>
                  <w:tcW w:w="6845" w:type="dxa"/>
                </w:tcPr>
                <w:p w14:paraId="0682A26C" w14:textId="77777777" w:rsidR="000C0211" w:rsidRPr="00D10ED6" w:rsidRDefault="000C0211" w:rsidP="000C0211">
                  <w:pPr>
                    <w:pStyle w:val="TableBody"/>
                  </w:pPr>
                  <w:r w:rsidRPr="00D10ED6">
                    <w:t xml:space="preserve">A five-minute clock interval in the Settlement Interval.  </w:t>
                  </w:r>
                </w:p>
              </w:tc>
            </w:tr>
          </w:tbl>
          <w:p w14:paraId="7BEA3874" w14:textId="24B81689" w:rsidR="00FA433F" w:rsidRPr="00C3334D" w:rsidRDefault="00FA433F" w:rsidP="00FA433F">
            <w:pPr>
              <w:spacing w:after="240"/>
            </w:pPr>
          </w:p>
        </w:tc>
      </w:tr>
    </w:tbl>
    <w:p w14:paraId="69BCCA66" w14:textId="02D70EE7" w:rsidR="001F04FD" w:rsidRPr="005B7AC2" w:rsidRDefault="001F04FD" w:rsidP="001F04FD">
      <w:pPr>
        <w:pStyle w:val="H4"/>
        <w:tabs>
          <w:tab w:val="clear" w:pos="1260"/>
          <w:tab w:val="left" w:pos="1620"/>
        </w:tabs>
        <w:spacing w:before="480"/>
        <w:ind w:left="1627" w:hanging="1627"/>
        <w:outlineLvl w:val="4"/>
        <w:rPr>
          <w:i/>
        </w:rPr>
      </w:pPr>
      <w:bookmarkStart w:id="2071" w:name="_Toc204411683"/>
      <w:r w:rsidRPr="005B7AC2">
        <w:rPr>
          <w:i/>
        </w:rPr>
        <w:t>6.6.5.1.1</w:t>
      </w:r>
      <w:r w:rsidRPr="005B7AC2">
        <w:rPr>
          <w:i/>
        </w:rPr>
        <w:tab/>
        <w:t xml:space="preserve">General Generation Resource and Controllable Load Resource Base Point </w:t>
      </w:r>
      <w:r w:rsidRPr="005B7AC2">
        <w:rPr>
          <w:i/>
        </w:rPr>
        <w:lastRenderedPageBreak/>
        <w:t>Deviation Charge</w:t>
      </w:r>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71"/>
    </w:p>
    <w:p w14:paraId="0AAD941C" w14:textId="77777777" w:rsidR="001F04FD" w:rsidRDefault="001F04FD" w:rsidP="001F04FD">
      <w:pPr>
        <w:pStyle w:val="List"/>
        <w:ind w:left="720"/>
      </w:pPr>
      <w:r>
        <w:t>(1)</w:t>
      </w:r>
      <w:r>
        <w:tab/>
        <w:t xml:space="preserve">Unless one of the exceptions specified in paragraphs (2) and (3) below applies, ERCOT shall charge a Base Point Deviation Charge for a Resource other than those described in Section 6.6.5.2, IRR Generation Resource Base Point Deviation Charge, and Section 6.6.5.3, </w:t>
      </w:r>
      <w:r w:rsidR="00FC539A">
        <w:t>Resources</w:t>
      </w:r>
      <w:r>
        <w:t xml:space="preserve"> Exempt from Deviation Charges, when the telemetered generation of the Generation Resource or telemetered power consumption of the Controllable Load Resource over the 15-minute Settlement Interval is outside the tolerances defined later in this Section 6.6.5.1.1.</w:t>
      </w:r>
    </w:p>
    <w:p w14:paraId="40179C9C" w14:textId="77777777" w:rsidR="001F04FD" w:rsidRDefault="001F04FD" w:rsidP="001F04FD">
      <w:pPr>
        <w:pStyle w:val="BodyText"/>
        <w:ind w:left="720" w:hanging="720"/>
      </w:pPr>
      <w:r>
        <w:t>(2)</w:t>
      </w:r>
      <w:r>
        <w:tab/>
        <w:t>ERCOT may not charge a QSE a Base Point Deviation Charge under paragraph (1) above when both of the following apply:</w:t>
      </w:r>
    </w:p>
    <w:p w14:paraId="64DFED7A" w14:textId="77777777" w:rsidR="001F04FD" w:rsidRDefault="001F04FD" w:rsidP="001F04FD">
      <w:pPr>
        <w:pStyle w:val="List"/>
      </w:pPr>
      <w:r>
        <w:t>(a)</w:t>
      </w:r>
      <w:r>
        <w:tab/>
        <w:t>The deviation of the Resource over the 15-minute Settlement Interval is in a direction that contributes to frequency corrections that resolve an ERCOT System frequency deviation; and</w:t>
      </w:r>
    </w:p>
    <w:p w14:paraId="7DA6553B" w14:textId="77777777" w:rsidR="001F04FD" w:rsidRDefault="001F04FD" w:rsidP="001F04FD">
      <w:pPr>
        <w:pStyle w:val="List"/>
      </w:pPr>
      <w:r>
        <w:t>(b)</w:t>
      </w:r>
      <w:r>
        <w:tab/>
        <w:t>The ERCOT System frequency deviation is greater than +/-0.05 Hz at any time during the 15-minute Settlement Interval.</w:t>
      </w:r>
    </w:p>
    <w:p w14:paraId="70F13C75" w14:textId="42C89183" w:rsidR="008611B7" w:rsidRDefault="001F04FD" w:rsidP="008611B7">
      <w:pPr>
        <w:pStyle w:val="List"/>
        <w:ind w:left="720"/>
      </w:pPr>
      <w:r>
        <w:t>(3)</w:t>
      </w:r>
      <w:r>
        <w:tab/>
        <w:t>ERCOT may not charge a QSE a Base Point Deviation Charge under paragraph (1) above for any 15-minute Settlement Interval during which</w:t>
      </w:r>
      <w:bookmarkEnd w:id="2019"/>
      <w:bookmarkEnd w:id="2020"/>
      <w:bookmarkEnd w:id="2060"/>
      <w:r w:rsidR="008611B7">
        <w:t>:</w:t>
      </w:r>
    </w:p>
    <w:p w14:paraId="71A93921" w14:textId="77777777" w:rsidR="008611B7" w:rsidRDefault="008611B7" w:rsidP="008611B7">
      <w:pPr>
        <w:pStyle w:val="List"/>
      </w:pPr>
      <w:r>
        <w:t>(a)</w:t>
      </w:r>
      <w:r>
        <w:tab/>
        <w:t xml:space="preserve">ERCOT Contingency Reserve Service (ECRS) was deployed; or </w:t>
      </w:r>
    </w:p>
    <w:p w14:paraId="7120B88F" w14:textId="0401A519" w:rsidR="001F04FD" w:rsidRDefault="008611B7" w:rsidP="00F969DB">
      <w:pPr>
        <w:pStyle w:val="List"/>
      </w:pPr>
      <w:r>
        <w:t>(b)</w:t>
      </w:r>
      <w:r>
        <w:tab/>
        <w:t>Responsive Reserve (RRS) was manually deployed</w:t>
      </w:r>
      <w:r w:rsidRPr="005E06B4">
        <w:t xml:space="preserve"> </w:t>
      </w:r>
      <w:r>
        <w:t>by ERCOT.</w:t>
      </w:r>
      <w:r w:rsidR="001F04FD">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579EE" w14:paraId="3D21311A" w14:textId="77777777" w:rsidTr="003579EE">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tcPr>
          <w:p w14:paraId="5B4D3CC5" w14:textId="65C7F2C0" w:rsidR="003579EE" w:rsidRPr="00B37C4B" w:rsidRDefault="003579EE" w:rsidP="003579EE">
            <w:pPr>
              <w:pStyle w:val="Instructions"/>
              <w:spacing w:before="120"/>
            </w:pPr>
            <w:bookmarkStart w:id="2072" w:name="_Toc402357151"/>
            <w:bookmarkStart w:id="2073" w:name="_Toc422486531"/>
            <w:bookmarkStart w:id="2074" w:name="_Toc433093384"/>
            <w:bookmarkStart w:id="2075" w:name="_Toc433093542"/>
            <w:bookmarkStart w:id="2076" w:name="_Toc440874772"/>
            <w:bookmarkStart w:id="2077" w:name="_Toc448142329"/>
            <w:bookmarkStart w:id="2078" w:name="_Toc448142486"/>
            <w:bookmarkStart w:id="2079" w:name="_Toc458770327"/>
            <w:bookmarkStart w:id="2080" w:name="_Toc459294295"/>
            <w:bookmarkStart w:id="2081" w:name="_Toc463262788"/>
            <w:bookmarkStart w:id="2082" w:name="_Toc468286861"/>
            <w:bookmarkStart w:id="2083" w:name="_Toc481502901"/>
            <w:bookmarkStart w:id="2084" w:name="_Toc496080069"/>
            <w:r>
              <w:t>[NPRR963:  Delete Section 6.6.5.1.1 above upon system implementation</w:t>
            </w:r>
            <w:r w:rsidR="00C215CF">
              <w:t xml:space="preserve"> and renumber accordingly</w:t>
            </w:r>
            <w:r>
              <w:t xml:space="preserve">.] </w:t>
            </w:r>
          </w:p>
        </w:tc>
      </w:tr>
    </w:tbl>
    <w:p w14:paraId="3B111D31" w14:textId="77777777" w:rsidR="001F04FD" w:rsidRPr="002D385D" w:rsidRDefault="001F04FD" w:rsidP="001F04FD">
      <w:pPr>
        <w:pStyle w:val="H4"/>
        <w:tabs>
          <w:tab w:val="clear" w:pos="1260"/>
          <w:tab w:val="left" w:pos="1620"/>
        </w:tabs>
        <w:spacing w:before="480"/>
        <w:ind w:left="1627" w:hanging="1627"/>
        <w:outlineLvl w:val="4"/>
      </w:pPr>
      <w:bookmarkStart w:id="2085" w:name="_Toc204411684"/>
      <w:r w:rsidRPr="002D385D">
        <w:t>6.6.5.1.1.1</w:t>
      </w:r>
      <w:r w:rsidRPr="002D385D">
        <w:tab/>
        <w:t>Base Point Deviation Charge for Over Generation</w:t>
      </w:r>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p>
    <w:p w14:paraId="1A99B612" w14:textId="77777777" w:rsidR="001F04FD" w:rsidRDefault="001F04FD" w:rsidP="001F04FD">
      <w:pPr>
        <w:pStyle w:val="BodyTextNumbered"/>
      </w:pPr>
      <w:r>
        <w:t>(1)</w:t>
      </w:r>
      <w:r>
        <w:tab/>
        <w:t>ERCOT shall charge a QSE for a Generation Resource for over-generation that exceeds the following tolerance.  The tolerance is the greater of:</w:t>
      </w:r>
    </w:p>
    <w:p w14:paraId="241A5915" w14:textId="77777777" w:rsidR="001F04FD" w:rsidRDefault="001F04FD" w:rsidP="00BA3F0D">
      <w:pPr>
        <w:pStyle w:val="BodyTextNumbered"/>
        <w:ind w:left="1440"/>
      </w:pPr>
      <w:r>
        <w:t>(a)</w:t>
      </w:r>
      <w:r>
        <w:tab/>
        <w:t>5% of the average of the Base Points in the Settlement Interval adjusted for any Ancillary Service deployments; or</w:t>
      </w:r>
    </w:p>
    <w:p w14:paraId="21D83D8B" w14:textId="77777777" w:rsidR="001F04FD" w:rsidRDefault="001F04FD" w:rsidP="001F04FD">
      <w:pPr>
        <w:pStyle w:val="BodyTextNumbered"/>
        <w:ind w:left="1440"/>
      </w:pPr>
      <w:r>
        <w:t>(b)</w:t>
      </w:r>
      <w:r>
        <w:tab/>
        <w:t xml:space="preserve">Five MW for metered generation above the average of the Base Points in the Settlement Interval adjusted for any Ancillary Service deployments. </w:t>
      </w:r>
    </w:p>
    <w:p w14:paraId="6AAEFD9F" w14:textId="77777777" w:rsidR="001F04FD" w:rsidRPr="000149E5" w:rsidRDefault="001F04FD" w:rsidP="00BA3F0D">
      <w:pPr>
        <w:pStyle w:val="BodyTextNumbered"/>
        <w:rPr>
          <w:iCs/>
        </w:rPr>
      </w:pPr>
      <w:r w:rsidRPr="000149E5">
        <w:rPr>
          <w:iCs/>
        </w:rPr>
        <w:t>(2)</w:t>
      </w:r>
      <w:r w:rsidRPr="000149E5">
        <w:rPr>
          <w:iCs/>
        </w:rPr>
        <w:tab/>
        <w:t>The over-generation charge to each QSE for each Generation Resource at each Resource Node Settlement Point is calculated as follows:</w:t>
      </w:r>
    </w:p>
    <w:p w14:paraId="4D70B8AA" w14:textId="77777777" w:rsidR="001F04FD" w:rsidRDefault="001F04FD" w:rsidP="00BA3F0D">
      <w:pPr>
        <w:pStyle w:val="FormulaBold"/>
      </w:pPr>
      <w:r w:rsidRPr="00BC5C70">
        <w:t xml:space="preserve">BPDAMT </w:t>
      </w:r>
      <w:r w:rsidRPr="00BC5C70">
        <w:rPr>
          <w:i/>
          <w:iCs/>
          <w:vertAlign w:val="subscript"/>
          <w:lang w:val="es-ES"/>
        </w:rPr>
        <w:t>q, r, p</w:t>
      </w:r>
      <w:r>
        <w:rPr>
          <w:i/>
          <w:iCs/>
          <w:vertAlign w:val="subscript"/>
          <w:lang w:val="es-ES"/>
        </w:rPr>
        <w:t xml:space="preserve">, i </w:t>
      </w:r>
      <w:r w:rsidRPr="00BC5C70">
        <w:tab/>
        <w:t>=</w:t>
      </w:r>
      <w:r w:rsidRPr="00BC5C70">
        <w:tab/>
        <w:t>Max (PR1, RTSPP</w:t>
      </w:r>
      <w:r>
        <w:t xml:space="preserve"> </w:t>
      </w:r>
      <w:r w:rsidRPr="00BC5C70">
        <w:rPr>
          <w:i/>
          <w:vertAlign w:val="subscript"/>
        </w:rPr>
        <w:t>p</w:t>
      </w:r>
      <w:r>
        <w:rPr>
          <w:i/>
          <w:vertAlign w:val="subscript"/>
        </w:rPr>
        <w:t>, i</w:t>
      </w:r>
      <w:r w:rsidRPr="00BC5C70">
        <w:t>) * OGEN</w:t>
      </w:r>
      <w:r w:rsidRPr="00BC5C70">
        <w:rPr>
          <w:i/>
          <w:iCs/>
          <w:vertAlign w:val="subscript"/>
          <w:lang w:val="es-ES"/>
        </w:rPr>
        <w:t xml:space="preserve"> q, r, p</w:t>
      </w:r>
      <w:r>
        <w:rPr>
          <w:i/>
          <w:iCs/>
          <w:vertAlign w:val="subscript"/>
          <w:lang w:val="es-ES"/>
        </w:rPr>
        <w:t>, i</w:t>
      </w:r>
      <w:r w:rsidRPr="00BC5C70">
        <w:rPr>
          <w:i/>
          <w:iCs/>
          <w:vertAlign w:val="subscript"/>
          <w:lang w:val="es-ES"/>
        </w:rPr>
        <w:t xml:space="preserve"> </w:t>
      </w:r>
      <w:r w:rsidRPr="00BC5C70">
        <w:rPr>
          <w:rFonts w:ascii="Times New Roman Bold" w:hAnsi="Times New Roman Bold"/>
          <w:iCs/>
          <w:lang w:val="es-ES"/>
        </w:rPr>
        <w:t xml:space="preserve"> </w:t>
      </w:r>
    </w:p>
    <w:p w14:paraId="786929F2" w14:textId="77777777" w:rsidR="001F04FD" w:rsidRPr="00E05F10" w:rsidRDefault="001F04FD" w:rsidP="001F04FD">
      <w:pPr>
        <w:pStyle w:val="FormulaBold"/>
        <w:rPr>
          <w:b w:val="0"/>
        </w:rPr>
      </w:pPr>
      <w:r w:rsidRPr="007979BF">
        <w:rPr>
          <w:b w:val="0"/>
        </w:rPr>
        <w:lastRenderedPageBreak/>
        <w:t>Where:</w:t>
      </w:r>
    </w:p>
    <w:p w14:paraId="757B2119" w14:textId="77777777" w:rsidR="001F04FD" w:rsidRPr="001A3201" w:rsidRDefault="001F04FD" w:rsidP="001F04FD">
      <w:pPr>
        <w:pStyle w:val="FormulaBold"/>
        <w:rPr>
          <w:b w:val="0"/>
          <w:caps/>
        </w:rPr>
      </w:pPr>
      <w:r w:rsidRPr="001A3201">
        <w:rPr>
          <w:b w:val="0"/>
        </w:rPr>
        <w:t>OGEN</w:t>
      </w:r>
      <w:r w:rsidRPr="001A3201">
        <w:rPr>
          <w:b w:val="0"/>
          <w:i/>
          <w:iCs/>
          <w:vertAlign w:val="subscript"/>
          <w:lang w:val="es-ES"/>
        </w:rPr>
        <w:t xml:space="preserve"> q, r, p, i </w:t>
      </w:r>
      <w:r w:rsidRPr="001A3201">
        <w:rPr>
          <w:b w:val="0"/>
        </w:rPr>
        <w:t xml:space="preserve"> = Max [0, (TWTG</w:t>
      </w:r>
      <w:r w:rsidR="00967F3A">
        <w:rPr>
          <w:b w:val="0"/>
        </w:rPr>
        <w:t xml:space="preserve"> </w:t>
      </w:r>
      <w:r w:rsidRPr="001A3201">
        <w:rPr>
          <w:b w:val="0"/>
          <w:i/>
          <w:iCs/>
          <w:vertAlign w:val="subscript"/>
          <w:lang w:val="es-ES"/>
        </w:rPr>
        <w:t xml:space="preserve">q, r, p, i </w:t>
      </w:r>
      <w:r w:rsidRPr="001A3201">
        <w:rPr>
          <w:b w:val="0"/>
        </w:rPr>
        <w:t xml:space="preserve"> – ¼ * Max (((1 + K1) * AABP</w:t>
      </w:r>
      <w:r w:rsidRPr="001A3201">
        <w:rPr>
          <w:b w:val="0"/>
          <w:i/>
          <w:iCs/>
          <w:vertAlign w:val="subscript"/>
          <w:lang w:val="es-ES"/>
        </w:rPr>
        <w:t xml:space="preserve"> q, r, p, i</w:t>
      </w:r>
      <w:r w:rsidRPr="001A3201">
        <w:rPr>
          <w:rFonts w:ascii="Times New Roman Bold" w:hAnsi="Times New Roman Bold"/>
          <w:b w:val="0"/>
          <w:iCs/>
          <w:lang w:val="es-ES"/>
        </w:rPr>
        <w:t>)</w:t>
      </w:r>
      <w:r w:rsidRPr="001A3201">
        <w:rPr>
          <w:b w:val="0"/>
        </w:rPr>
        <w:t>, (AABP</w:t>
      </w:r>
      <w:r w:rsidRPr="001A3201">
        <w:rPr>
          <w:b w:val="0"/>
          <w:i/>
          <w:iCs/>
          <w:vertAlign w:val="subscript"/>
          <w:lang w:val="es-ES"/>
        </w:rPr>
        <w:t xml:space="preserve"> q, r, p, i </w:t>
      </w:r>
      <w:r w:rsidRPr="001A3201">
        <w:rPr>
          <w:b w:val="0"/>
        </w:rPr>
        <w:t>+ Q1)))]</w:t>
      </w:r>
    </w:p>
    <w:p w14:paraId="0FB1A369" w14:textId="77777777" w:rsidR="001F04FD" w:rsidRPr="0015675B" w:rsidRDefault="001F04FD" w:rsidP="001F04FD">
      <w:pPr>
        <w:pStyle w:val="BodyTextNumbered"/>
        <w:ind w:left="1440"/>
        <w:rPr>
          <w:rFonts w:ascii="Times New Roman Bold" w:hAnsi="Times New Roman Bold"/>
        </w:rPr>
      </w:pPr>
      <w:r w:rsidRPr="0015675B">
        <w:t>TWTG</w:t>
      </w:r>
      <w:r w:rsidRPr="0015675B">
        <w:rPr>
          <w:i/>
          <w:vertAlign w:val="subscript"/>
        </w:rPr>
        <w:t xml:space="preserve"> q, r, p, i</w:t>
      </w:r>
      <w:r w:rsidRPr="0015675B">
        <w:rPr>
          <w:i/>
          <w:vertAlign w:val="subscript"/>
        </w:rPr>
        <w:tab/>
        <w:t>=</w:t>
      </w:r>
      <w:r w:rsidRPr="0015675B">
        <w:rPr>
          <w:i/>
          <w:vertAlign w:val="subscript"/>
        </w:rPr>
        <w:tab/>
      </w:r>
      <w:r w:rsidRPr="002600B6">
        <w:t>(</w:t>
      </w:r>
      <w:r w:rsidRPr="0015675B">
        <w:rPr>
          <w:position w:val="-22"/>
        </w:rPr>
        <w:object w:dxaOrig="210" w:dyaOrig="450" w14:anchorId="7EB1CD44">
          <v:shape id="_x0000_i1183" type="#_x0000_t75" style="width:5.4pt;height:24.6pt" o:ole="">
            <v:imagedata r:id="rId209" o:title=""/>
          </v:shape>
          <o:OLEObject Type="Embed" ProgID="Equation.3" ShapeID="_x0000_i1183" DrawAspect="Content" ObjectID="_1815025373" r:id="rId213"/>
        </w:object>
      </w:r>
      <w:r w:rsidRPr="0015675B">
        <w:t xml:space="preserve"> (AVGTG5M</w:t>
      </w:r>
      <w:r w:rsidRPr="0015675B">
        <w:rPr>
          <w:i/>
          <w:vertAlign w:val="subscript"/>
        </w:rPr>
        <w:t xml:space="preserve"> q, r, p, i, y</w:t>
      </w:r>
      <w:r w:rsidRPr="002600B6">
        <w:t>)</w:t>
      </w:r>
      <w:r w:rsidRPr="0015675B">
        <w:rPr>
          <w:rFonts w:ascii="Times New Roman Bold" w:hAnsi="Times New Roman Bold"/>
        </w:rPr>
        <w:t xml:space="preserve"> / </w:t>
      </w:r>
      <w:r w:rsidRPr="002600B6">
        <w:t>3)</w:t>
      </w:r>
      <w:r w:rsidRPr="0015675B">
        <w:rPr>
          <w:rFonts w:ascii="Times New Roman Bold" w:hAnsi="Times New Roman Bold"/>
        </w:rPr>
        <w:t xml:space="preserve"> </w:t>
      </w:r>
      <w:r w:rsidRPr="002600B6">
        <w:t>*</w:t>
      </w:r>
      <w:r w:rsidRPr="0015675B">
        <w:rPr>
          <w:rFonts w:ascii="Times New Roman Bold" w:hAnsi="Times New Roman Bold"/>
        </w:rPr>
        <w:t xml:space="preserve"> </w:t>
      </w:r>
      <w:r w:rsidRPr="002600B6">
        <w:rPr>
          <w:rFonts w:hint="eastAsia"/>
        </w:rPr>
        <w:t>¼</w:t>
      </w:r>
    </w:p>
    <w:p w14:paraId="49DF2E37" w14:textId="77777777" w:rsidR="001F04FD" w:rsidRDefault="001F04FD" w:rsidP="00BA3F0D">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1255"/>
        <w:gridCol w:w="6421"/>
      </w:tblGrid>
      <w:tr w:rsidR="001F04FD" w:rsidRPr="00B2348D" w14:paraId="46216282" w14:textId="77777777" w:rsidTr="00E21852">
        <w:trPr>
          <w:cantSplit/>
          <w:tblHeader/>
        </w:trPr>
        <w:tc>
          <w:tcPr>
            <w:tcW w:w="2153" w:type="dxa"/>
          </w:tcPr>
          <w:p w14:paraId="11FCC894" w14:textId="77777777" w:rsidR="001F04FD" w:rsidRPr="00B2348D" w:rsidRDefault="001F04FD" w:rsidP="00AC4DEE">
            <w:pPr>
              <w:pStyle w:val="TableHead"/>
              <w:tabs>
                <w:tab w:val="right" w:pos="9360"/>
              </w:tabs>
            </w:pPr>
            <w:r w:rsidRPr="006624C0">
              <w:t>Variable</w:t>
            </w:r>
          </w:p>
        </w:tc>
        <w:tc>
          <w:tcPr>
            <w:tcW w:w="1255" w:type="dxa"/>
          </w:tcPr>
          <w:p w14:paraId="29A78C04" w14:textId="77777777" w:rsidR="001F04FD" w:rsidRPr="00B2348D" w:rsidRDefault="001F04FD" w:rsidP="00AC4DEE">
            <w:pPr>
              <w:pStyle w:val="TableHead"/>
              <w:tabs>
                <w:tab w:val="right" w:pos="9360"/>
              </w:tabs>
            </w:pPr>
            <w:r w:rsidRPr="006624C0">
              <w:t>Unit</w:t>
            </w:r>
          </w:p>
        </w:tc>
        <w:tc>
          <w:tcPr>
            <w:tcW w:w="6421" w:type="dxa"/>
          </w:tcPr>
          <w:p w14:paraId="1BB33C6A" w14:textId="77777777" w:rsidR="001F04FD" w:rsidRPr="00B2348D" w:rsidRDefault="001F04FD" w:rsidP="00AC4DEE">
            <w:pPr>
              <w:pStyle w:val="TableHead"/>
              <w:tabs>
                <w:tab w:val="right" w:pos="9360"/>
              </w:tabs>
            </w:pPr>
            <w:r w:rsidRPr="006624C0">
              <w:t>Definition</w:t>
            </w:r>
          </w:p>
        </w:tc>
      </w:tr>
      <w:tr w:rsidR="001F04FD" w:rsidRPr="00B2348D" w14:paraId="5BE79504" w14:textId="77777777" w:rsidTr="00E21852">
        <w:trPr>
          <w:cantSplit/>
        </w:trPr>
        <w:tc>
          <w:tcPr>
            <w:tcW w:w="2153" w:type="dxa"/>
          </w:tcPr>
          <w:p w14:paraId="09CCF151" w14:textId="77777777" w:rsidR="001F04FD" w:rsidRPr="00B2348D" w:rsidRDefault="001F04FD" w:rsidP="00AC4DEE">
            <w:pPr>
              <w:pStyle w:val="TableBody"/>
            </w:pPr>
            <w:r w:rsidRPr="006624C0">
              <w:t xml:space="preserve">BPDAMT </w:t>
            </w:r>
            <w:r w:rsidRPr="006624C0">
              <w:rPr>
                <w:i/>
                <w:vertAlign w:val="subscript"/>
              </w:rPr>
              <w:t>q, r, p, i</w:t>
            </w:r>
          </w:p>
        </w:tc>
        <w:tc>
          <w:tcPr>
            <w:tcW w:w="1255" w:type="dxa"/>
          </w:tcPr>
          <w:p w14:paraId="16526CF9" w14:textId="77777777" w:rsidR="001F04FD" w:rsidRPr="00B2348D" w:rsidRDefault="001F04FD" w:rsidP="00AC4DEE">
            <w:pPr>
              <w:pStyle w:val="TableBody"/>
            </w:pPr>
            <w:r w:rsidRPr="006624C0">
              <w:t>$</w:t>
            </w:r>
          </w:p>
        </w:tc>
        <w:tc>
          <w:tcPr>
            <w:tcW w:w="6421" w:type="dxa"/>
          </w:tcPr>
          <w:p w14:paraId="732B36F0" w14:textId="77777777" w:rsidR="001F04FD" w:rsidRPr="00B2348D" w:rsidRDefault="001F04FD" w:rsidP="00AC4DEE">
            <w:pPr>
              <w:pStyle w:val="TableBody"/>
            </w:pPr>
            <w:r w:rsidRPr="006624C0">
              <w:rPr>
                <w:i/>
              </w:rPr>
              <w:t>Base Point Deviation Charge per QSE per Settlement Point per Resource</w:t>
            </w:r>
            <w:r w:rsidRPr="006624C0">
              <w:t xml:space="preserve">—The charge to QSE </w:t>
            </w:r>
            <w:r w:rsidRPr="006624C0">
              <w:rPr>
                <w:i/>
              </w:rPr>
              <w:t>q</w:t>
            </w:r>
            <w:r w:rsidRPr="006624C0">
              <w:t xml:space="preserve"> for Generation Resource </w:t>
            </w:r>
            <w:r w:rsidRPr="006624C0">
              <w:rPr>
                <w:i/>
              </w:rPr>
              <w:t>r</w:t>
            </w:r>
            <w:r w:rsidRPr="006624C0">
              <w:t xml:space="preserve"> at Resource Node </w:t>
            </w:r>
            <w:r w:rsidRPr="006624C0">
              <w:rPr>
                <w:i/>
              </w:rPr>
              <w:t>p</w:t>
            </w:r>
            <w:r w:rsidRPr="006624C0">
              <w:t xml:space="preserve">, for its deviation from Base Point, for the 15-minute Settlement Interval </w:t>
            </w:r>
            <w:r w:rsidRPr="006624C0">
              <w:rPr>
                <w:i/>
              </w:rPr>
              <w:t>i</w:t>
            </w:r>
            <w:r w:rsidRPr="006624C0">
              <w:t>.  The Base Point Deviation Charge is charged to the Combined Cycle Train for all Combined Cycle Generation Resources.</w:t>
            </w:r>
          </w:p>
        </w:tc>
      </w:tr>
      <w:tr w:rsidR="001F04FD" w:rsidRPr="00B2348D" w14:paraId="7974ECE5" w14:textId="77777777" w:rsidTr="00E21852">
        <w:trPr>
          <w:cantSplit/>
        </w:trPr>
        <w:tc>
          <w:tcPr>
            <w:tcW w:w="2153" w:type="dxa"/>
          </w:tcPr>
          <w:p w14:paraId="5E4C8FCC" w14:textId="77777777" w:rsidR="001F04FD" w:rsidRPr="00B2348D" w:rsidRDefault="001F04FD" w:rsidP="00AC4DEE">
            <w:pPr>
              <w:pStyle w:val="TableBody"/>
            </w:pPr>
            <w:r w:rsidRPr="006624C0">
              <w:t xml:space="preserve">RTSPP </w:t>
            </w:r>
            <w:r w:rsidRPr="006624C0">
              <w:rPr>
                <w:i/>
                <w:vertAlign w:val="subscript"/>
              </w:rPr>
              <w:t>p, i</w:t>
            </w:r>
          </w:p>
        </w:tc>
        <w:tc>
          <w:tcPr>
            <w:tcW w:w="1255" w:type="dxa"/>
          </w:tcPr>
          <w:p w14:paraId="3A355AAE" w14:textId="77777777" w:rsidR="001F04FD" w:rsidRPr="00B2348D" w:rsidRDefault="001F04FD" w:rsidP="00AC4DEE">
            <w:pPr>
              <w:pStyle w:val="TableBody"/>
            </w:pPr>
            <w:r w:rsidRPr="006624C0">
              <w:t>$/MWh</w:t>
            </w:r>
          </w:p>
        </w:tc>
        <w:tc>
          <w:tcPr>
            <w:tcW w:w="6421" w:type="dxa"/>
          </w:tcPr>
          <w:p w14:paraId="2BE48953" w14:textId="77777777" w:rsidR="001F04FD" w:rsidRPr="00B2348D" w:rsidRDefault="001F04FD" w:rsidP="00AC4DEE">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1F04FD" w:rsidRPr="00B2348D" w14:paraId="37155F10" w14:textId="77777777" w:rsidTr="00E21852">
        <w:trPr>
          <w:cantSplit/>
        </w:trPr>
        <w:tc>
          <w:tcPr>
            <w:tcW w:w="2153" w:type="dxa"/>
          </w:tcPr>
          <w:p w14:paraId="15B112CB" w14:textId="77777777" w:rsidR="001F04FD" w:rsidRPr="00B2348D" w:rsidRDefault="001F04FD" w:rsidP="00AC4DEE">
            <w:pPr>
              <w:pStyle w:val="TableBody"/>
            </w:pPr>
            <w:r w:rsidRPr="00B2348D">
              <w:t xml:space="preserve">TWTG </w:t>
            </w:r>
            <w:r w:rsidRPr="006624C0">
              <w:rPr>
                <w:i/>
                <w:vertAlign w:val="subscript"/>
              </w:rPr>
              <w:t>q, r, p, i</w:t>
            </w:r>
          </w:p>
        </w:tc>
        <w:tc>
          <w:tcPr>
            <w:tcW w:w="1255" w:type="dxa"/>
          </w:tcPr>
          <w:p w14:paraId="452AA420" w14:textId="77777777" w:rsidR="001F04FD" w:rsidRPr="00B2348D" w:rsidRDefault="001F04FD" w:rsidP="00AC4DEE">
            <w:pPr>
              <w:pStyle w:val="TableBody"/>
            </w:pPr>
            <w:r w:rsidRPr="00B2348D">
              <w:t>MWh</w:t>
            </w:r>
          </w:p>
        </w:tc>
        <w:tc>
          <w:tcPr>
            <w:tcW w:w="6421" w:type="dxa"/>
          </w:tcPr>
          <w:p w14:paraId="0FE74A2D" w14:textId="77777777" w:rsidR="001F04FD" w:rsidRPr="00B2348D" w:rsidRDefault="001F04FD" w:rsidP="00AC4DEE">
            <w:pPr>
              <w:pStyle w:val="TableBody"/>
              <w:rPr>
                <w:i/>
              </w:rPr>
            </w:pPr>
            <w:r w:rsidRPr="00B2348D">
              <w:rPr>
                <w:i/>
              </w:rPr>
              <w:t>Time-Weighted Telemetered Generation per QSE per Settlement Point per Resource</w:t>
            </w:r>
            <w:r w:rsidRPr="00B2348D">
              <w:t xml:space="preserve">—The telemetered generation of Generation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Where for a Combined Cycle Train, the Resource </w:t>
            </w:r>
            <w:r w:rsidRPr="00B2348D">
              <w:rPr>
                <w:i/>
              </w:rPr>
              <w:t xml:space="preserve">r </w:t>
            </w:r>
            <w:r w:rsidRPr="00B2348D">
              <w:t>is the Combined Cycle Train.</w:t>
            </w:r>
          </w:p>
        </w:tc>
      </w:tr>
      <w:tr w:rsidR="001F04FD" w:rsidRPr="00B2348D" w14:paraId="3B95D44F" w14:textId="77777777" w:rsidTr="00E21852">
        <w:trPr>
          <w:cantSplit/>
        </w:trPr>
        <w:tc>
          <w:tcPr>
            <w:tcW w:w="2153" w:type="dxa"/>
          </w:tcPr>
          <w:p w14:paraId="49ECC3ED" w14:textId="77777777" w:rsidR="001F04FD" w:rsidRPr="00B2348D" w:rsidRDefault="001F04FD" w:rsidP="00AC4DEE">
            <w:pPr>
              <w:pStyle w:val="TableBody"/>
            </w:pPr>
            <w:r w:rsidRPr="00B2348D">
              <w:t>AABP</w:t>
            </w:r>
            <w:r w:rsidRPr="006624C0">
              <w:rPr>
                <w:i/>
                <w:vertAlign w:val="subscript"/>
              </w:rPr>
              <w:t xml:space="preserve"> q, r, p, i</w:t>
            </w:r>
          </w:p>
        </w:tc>
        <w:tc>
          <w:tcPr>
            <w:tcW w:w="1255" w:type="dxa"/>
          </w:tcPr>
          <w:p w14:paraId="1B253025" w14:textId="77777777" w:rsidR="001F04FD" w:rsidRPr="00B2348D" w:rsidRDefault="001F04FD" w:rsidP="00AC4DEE">
            <w:pPr>
              <w:pStyle w:val="TableBody"/>
            </w:pPr>
            <w:r w:rsidRPr="00B2348D">
              <w:t>MW</w:t>
            </w:r>
          </w:p>
        </w:tc>
        <w:tc>
          <w:tcPr>
            <w:tcW w:w="6421" w:type="dxa"/>
          </w:tcPr>
          <w:p w14:paraId="7CB4B522" w14:textId="77777777" w:rsidR="001F04FD" w:rsidRPr="00B2348D" w:rsidRDefault="001F04FD" w:rsidP="00AC4DEE">
            <w:pPr>
              <w:pStyle w:val="TableBody"/>
              <w:rPr>
                <w:i/>
              </w:rPr>
            </w:pPr>
            <w:r w:rsidRPr="00B2348D">
              <w:rPr>
                <w:i/>
              </w:rPr>
              <w:t>Adjusted Aggregated Base Point per QSE per Settlement Point per Resource</w:t>
            </w:r>
            <w:r w:rsidRPr="00B2348D">
              <w:t xml:space="preserve">—The aggregated Base Point adjusted for Ancillary Service deployments, of Generation </w:t>
            </w:r>
            <w:r>
              <w:t xml:space="preserve">Resource or Controllable Load </w:t>
            </w:r>
            <w:r w:rsidRPr="00B2348D">
              <w:t xml:space="preserve">Resource </w:t>
            </w:r>
            <w:r w:rsidRPr="00B2348D">
              <w:rPr>
                <w:i/>
              </w:rPr>
              <w:t>r</w:t>
            </w:r>
            <w:r w:rsidRPr="00B2348D">
              <w:t xml:space="preserve"> represented by QSE </w:t>
            </w:r>
            <w:r w:rsidRPr="00B2348D">
              <w:rPr>
                <w:i/>
              </w:rPr>
              <w:t>q</w:t>
            </w:r>
            <w:r w:rsidRPr="00B2348D">
              <w:t xml:space="preserve"> at </w:t>
            </w:r>
            <w:r>
              <w:t>Settlement Point</w:t>
            </w:r>
            <w:r w:rsidRPr="00B2348D">
              <w:t xml:space="preserve"> </w:t>
            </w:r>
            <w:r w:rsidRPr="00B2348D">
              <w:rPr>
                <w:i/>
              </w:rPr>
              <w:t>p,</w:t>
            </w:r>
            <w:r w:rsidRPr="00B2348D">
              <w:t xml:space="preserve"> for the 15-minute Settlement Interval</w:t>
            </w:r>
            <w:r w:rsidRPr="00B2348D">
              <w:rPr>
                <w:i/>
              </w:rPr>
              <w:t xml:space="preserve"> i</w:t>
            </w:r>
            <w:r w:rsidRPr="00B2348D">
              <w:t>.  Where for a Combined Cycle Train, AABP is calculated for the Combined Cycle Train considering all SCED Dispatch Instructions to any Combined Cycle Generation Resources within the Combined Cycle Train</w:t>
            </w:r>
            <w:r>
              <w:t>.</w:t>
            </w:r>
          </w:p>
        </w:tc>
      </w:tr>
      <w:tr w:rsidR="001F04FD" w:rsidRPr="00B2348D" w14:paraId="0C447A01" w14:textId="77777777" w:rsidTr="00E21852">
        <w:trPr>
          <w:cantSplit/>
        </w:trPr>
        <w:tc>
          <w:tcPr>
            <w:tcW w:w="2153" w:type="dxa"/>
          </w:tcPr>
          <w:p w14:paraId="7DFEB762" w14:textId="77777777" w:rsidR="001F04FD" w:rsidRPr="00B2348D" w:rsidRDefault="001F04FD" w:rsidP="00AC4DEE">
            <w:pPr>
              <w:pStyle w:val="TableBody"/>
            </w:pPr>
            <w:r w:rsidRPr="006624C0">
              <w:t>AVGTG5M</w:t>
            </w:r>
            <w:r w:rsidRPr="006624C0">
              <w:rPr>
                <w:i/>
                <w:vertAlign w:val="subscript"/>
                <w:lang w:val="fr-FR"/>
              </w:rPr>
              <w:t xml:space="preserve"> q, r, p, i, y</w:t>
            </w:r>
          </w:p>
        </w:tc>
        <w:tc>
          <w:tcPr>
            <w:tcW w:w="1255" w:type="dxa"/>
          </w:tcPr>
          <w:p w14:paraId="2FCE1EE4" w14:textId="77777777" w:rsidR="001F04FD" w:rsidRPr="00B2348D" w:rsidRDefault="001F04FD" w:rsidP="00AC4DEE">
            <w:pPr>
              <w:pStyle w:val="TableBody"/>
            </w:pPr>
            <w:r w:rsidRPr="006624C0">
              <w:t>MW</w:t>
            </w:r>
          </w:p>
        </w:tc>
        <w:tc>
          <w:tcPr>
            <w:tcW w:w="6421" w:type="dxa"/>
          </w:tcPr>
          <w:p w14:paraId="1183E713" w14:textId="77777777" w:rsidR="001F04FD" w:rsidRPr="00B2348D" w:rsidRDefault="001F04FD" w:rsidP="00AC4DEE">
            <w:pPr>
              <w:pStyle w:val="TableBody"/>
            </w:pPr>
            <w:r w:rsidRPr="006624C0">
              <w:rPr>
                <w:i/>
              </w:rPr>
              <w:t>Average Telemetered Generation for the 5 Minutes</w:t>
            </w:r>
            <w:r w:rsidRPr="006624C0">
              <w:t xml:space="preserve">—The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1F04FD" w:rsidRPr="00B2348D" w14:paraId="4CDF3DCE" w14:textId="77777777" w:rsidTr="00E21852">
        <w:trPr>
          <w:cantSplit/>
        </w:trPr>
        <w:tc>
          <w:tcPr>
            <w:tcW w:w="2153" w:type="dxa"/>
          </w:tcPr>
          <w:p w14:paraId="3A093162" w14:textId="77777777" w:rsidR="001F04FD" w:rsidRPr="00B2348D" w:rsidRDefault="001F04FD" w:rsidP="00AC4DEE">
            <w:pPr>
              <w:pStyle w:val="TableBody"/>
            </w:pPr>
            <w:r w:rsidRPr="006624C0">
              <w:t xml:space="preserve">OGEN </w:t>
            </w:r>
            <w:r w:rsidRPr="006624C0">
              <w:rPr>
                <w:i/>
                <w:vertAlign w:val="subscript"/>
              </w:rPr>
              <w:t>q, r, p, i</w:t>
            </w:r>
          </w:p>
        </w:tc>
        <w:tc>
          <w:tcPr>
            <w:tcW w:w="1255" w:type="dxa"/>
          </w:tcPr>
          <w:p w14:paraId="0DB85F36" w14:textId="77777777" w:rsidR="001F04FD" w:rsidRPr="00B2348D" w:rsidRDefault="001F04FD" w:rsidP="00AC4DEE">
            <w:pPr>
              <w:pStyle w:val="TableBody"/>
            </w:pPr>
            <w:r w:rsidRPr="006624C0">
              <w:t>MW</w:t>
            </w:r>
            <w:r w:rsidR="008F39F7">
              <w:t>h</w:t>
            </w:r>
          </w:p>
        </w:tc>
        <w:tc>
          <w:tcPr>
            <w:tcW w:w="6421" w:type="dxa"/>
          </w:tcPr>
          <w:p w14:paraId="75294F97" w14:textId="77777777" w:rsidR="001F04FD" w:rsidRPr="00B2348D" w:rsidRDefault="001F04FD" w:rsidP="00AC4DEE">
            <w:pPr>
              <w:pStyle w:val="TableBody"/>
            </w:pPr>
            <w:r w:rsidRPr="006624C0">
              <w:rPr>
                <w:i/>
              </w:rPr>
              <w:t>Over Generation Volumes per QSE per Settlement Point per Resource</w:t>
            </w:r>
            <w:r w:rsidRPr="006624C0">
              <w:t xml:space="preserve">—The amount over-generated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 minute Settlement Interval </w:t>
            </w:r>
            <w:r w:rsidRPr="006624C0">
              <w:rPr>
                <w:i/>
              </w:rPr>
              <w:t>i</w:t>
            </w:r>
            <w:r w:rsidRPr="006624C0">
              <w:t>.</w:t>
            </w:r>
          </w:p>
        </w:tc>
      </w:tr>
      <w:tr w:rsidR="001F04FD" w:rsidRPr="00B2348D" w14:paraId="04D8BBC3" w14:textId="77777777" w:rsidTr="00E21852">
        <w:trPr>
          <w:cantSplit/>
        </w:trPr>
        <w:tc>
          <w:tcPr>
            <w:tcW w:w="2153" w:type="dxa"/>
          </w:tcPr>
          <w:p w14:paraId="2B52DBAF" w14:textId="77777777" w:rsidR="001F04FD" w:rsidRPr="00B2348D" w:rsidRDefault="001F04FD" w:rsidP="00AC4DEE">
            <w:pPr>
              <w:pStyle w:val="TableBody"/>
            </w:pPr>
            <w:r w:rsidRPr="006624C0">
              <w:t>PR1</w:t>
            </w:r>
          </w:p>
        </w:tc>
        <w:tc>
          <w:tcPr>
            <w:tcW w:w="1255" w:type="dxa"/>
          </w:tcPr>
          <w:p w14:paraId="24C285DE" w14:textId="77777777" w:rsidR="001F04FD" w:rsidRPr="00B2348D" w:rsidRDefault="001F04FD" w:rsidP="00AC4DEE">
            <w:pPr>
              <w:pStyle w:val="TableBody"/>
            </w:pPr>
            <w:r w:rsidRPr="006624C0">
              <w:t>$/MWh</w:t>
            </w:r>
          </w:p>
        </w:tc>
        <w:tc>
          <w:tcPr>
            <w:tcW w:w="6421" w:type="dxa"/>
          </w:tcPr>
          <w:p w14:paraId="55965F74" w14:textId="77777777" w:rsidR="001F04FD" w:rsidRPr="00B2348D" w:rsidRDefault="001F04FD" w:rsidP="00AC4DEE">
            <w:pPr>
              <w:pStyle w:val="TableBody"/>
            </w:pPr>
            <w:r>
              <w:t xml:space="preserve">The </w:t>
            </w:r>
            <w:r w:rsidRPr="006624C0">
              <w:t>price to use for the Base Point Deviation Charge for over-generation when RTSPP is less than $20</w:t>
            </w:r>
            <w:r>
              <w:t>/MWh, $20/MWh</w:t>
            </w:r>
            <w:r w:rsidRPr="006624C0">
              <w:t xml:space="preserve">.  </w:t>
            </w:r>
          </w:p>
        </w:tc>
      </w:tr>
      <w:tr w:rsidR="001F04FD" w:rsidRPr="00B2348D" w14:paraId="11FB09C1" w14:textId="77777777" w:rsidTr="005755D9">
        <w:trPr>
          <w:cantSplit/>
        </w:trPr>
        <w:tc>
          <w:tcPr>
            <w:tcW w:w="2153" w:type="dxa"/>
            <w:tcBorders>
              <w:bottom w:val="single" w:sz="4" w:space="0" w:color="auto"/>
            </w:tcBorders>
          </w:tcPr>
          <w:p w14:paraId="09A7DA6C" w14:textId="77777777" w:rsidR="001F04FD" w:rsidRPr="00B2348D" w:rsidRDefault="001F04FD" w:rsidP="00AC4DEE">
            <w:pPr>
              <w:pStyle w:val="TableBody"/>
            </w:pPr>
            <w:r w:rsidRPr="006624C0">
              <w:t>K1</w:t>
            </w:r>
          </w:p>
        </w:tc>
        <w:tc>
          <w:tcPr>
            <w:tcW w:w="1255" w:type="dxa"/>
            <w:tcBorders>
              <w:bottom w:val="single" w:sz="4" w:space="0" w:color="auto"/>
            </w:tcBorders>
          </w:tcPr>
          <w:p w14:paraId="077305A7" w14:textId="77777777" w:rsidR="001F04FD" w:rsidRPr="00B2348D" w:rsidRDefault="001F04FD" w:rsidP="00AC4DEE">
            <w:pPr>
              <w:pStyle w:val="TableBody"/>
            </w:pPr>
            <w:r w:rsidRPr="006624C0">
              <w:t>none</w:t>
            </w:r>
          </w:p>
        </w:tc>
        <w:tc>
          <w:tcPr>
            <w:tcW w:w="6421" w:type="dxa"/>
            <w:tcBorders>
              <w:bottom w:val="single" w:sz="4" w:space="0" w:color="auto"/>
            </w:tcBorders>
          </w:tcPr>
          <w:p w14:paraId="62AC95C8" w14:textId="77777777" w:rsidR="001F04FD" w:rsidRPr="00B2348D" w:rsidRDefault="001F04FD" w:rsidP="00AC4DEE">
            <w:pPr>
              <w:pStyle w:val="TableBody"/>
            </w:pPr>
            <w:r w:rsidRPr="006624C0">
              <w:t xml:space="preserve">The percentage tolerance for over-generation, 5%.  </w:t>
            </w:r>
          </w:p>
        </w:tc>
      </w:tr>
      <w:tr w:rsidR="001F04FD" w:rsidRPr="00B2348D" w14:paraId="0E270EFA" w14:textId="77777777" w:rsidTr="005755D9">
        <w:trPr>
          <w:cantSplit/>
        </w:trPr>
        <w:tc>
          <w:tcPr>
            <w:tcW w:w="2153" w:type="dxa"/>
            <w:tcBorders>
              <w:bottom w:val="nil"/>
            </w:tcBorders>
          </w:tcPr>
          <w:p w14:paraId="66B1DA66" w14:textId="77777777" w:rsidR="001F04FD" w:rsidRPr="00B2348D" w:rsidRDefault="001F04FD" w:rsidP="00AC4DEE">
            <w:pPr>
              <w:pStyle w:val="TableBody"/>
            </w:pPr>
            <w:r w:rsidRPr="006624C0">
              <w:t>Q1</w:t>
            </w:r>
          </w:p>
        </w:tc>
        <w:tc>
          <w:tcPr>
            <w:tcW w:w="1255" w:type="dxa"/>
            <w:tcBorders>
              <w:bottom w:val="nil"/>
            </w:tcBorders>
          </w:tcPr>
          <w:p w14:paraId="5014581D" w14:textId="77777777" w:rsidR="001F04FD" w:rsidRPr="00B2348D" w:rsidRDefault="001F04FD" w:rsidP="00AC4DEE">
            <w:pPr>
              <w:pStyle w:val="TableBody"/>
            </w:pPr>
            <w:r w:rsidRPr="006624C0">
              <w:t>MW</w:t>
            </w:r>
          </w:p>
        </w:tc>
        <w:tc>
          <w:tcPr>
            <w:tcW w:w="6421" w:type="dxa"/>
            <w:tcBorders>
              <w:bottom w:val="nil"/>
            </w:tcBorders>
          </w:tcPr>
          <w:p w14:paraId="3785414E" w14:textId="77777777" w:rsidR="001F04FD" w:rsidRPr="00B2348D" w:rsidRDefault="001F04FD" w:rsidP="00AC4DEE">
            <w:pPr>
              <w:pStyle w:val="TableBody"/>
            </w:pPr>
            <w:r w:rsidRPr="006624C0">
              <w:t>The MW tolerance for over-generation, five MW.</w:t>
            </w:r>
          </w:p>
        </w:tc>
      </w:tr>
      <w:tr w:rsidR="008F39F7" w:rsidRPr="00B2348D" w14:paraId="0A6803E0" w14:textId="77777777" w:rsidTr="005755D9">
        <w:trPr>
          <w:cantSplit/>
        </w:trPr>
        <w:tc>
          <w:tcPr>
            <w:tcW w:w="9829" w:type="dxa"/>
            <w:gridSpan w:val="3"/>
            <w:tcBorders>
              <w:top w:val="nil"/>
            </w:tcBorders>
          </w:tcPr>
          <w:p w14:paraId="322D2EC5" w14:textId="77777777" w:rsidR="008F39F7" w:rsidRPr="006624C0" w:rsidRDefault="008F39F7" w:rsidP="00AC4DEE">
            <w:pPr>
              <w:pStyle w:val="TableBody"/>
            </w:pPr>
          </w:p>
        </w:tc>
      </w:tr>
      <w:tr w:rsidR="001F04FD" w:rsidRPr="00B2348D" w14:paraId="11E5C443" w14:textId="77777777" w:rsidTr="00E21852">
        <w:trPr>
          <w:cantSplit/>
        </w:trPr>
        <w:tc>
          <w:tcPr>
            <w:tcW w:w="2153" w:type="dxa"/>
          </w:tcPr>
          <w:p w14:paraId="536966B7" w14:textId="77777777" w:rsidR="001F04FD" w:rsidRPr="00B2348D" w:rsidRDefault="001F04FD" w:rsidP="00AC4DEE">
            <w:pPr>
              <w:pStyle w:val="TableBody"/>
              <w:rPr>
                <w:i/>
              </w:rPr>
            </w:pPr>
            <w:r>
              <w:rPr>
                <w:i/>
              </w:rPr>
              <w:t>q</w:t>
            </w:r>
          </w:p>
        </w:tc>
        <w:tc>
          <w:tcPr>
            <w:tcW w:w="1255" w:type="dxa"/>
          </w:tcPr>
          <w:p w14:paraId="0D96591E" w14:textId="77777777" w:rsidR="001F04FD" w:rsidRPr="00B2348D" w:rsidRDefault="001F04FD" w:rsidP="00AC4DEE">
            <w:pPr>
              <w:pStyle w:val="TableBody"/>
            </w:pPr>
            <w:r w:rsidRPr="006624C0">
              <w:t>none</w:t>
            </w:r>
          </w:p>
        </w:tc>
        <w:tc>
          <w:tcPr>
            <w:tcW w:w="6421" w:type="dxa"/>
          </w:tcPr>
          <w:p w14:paraId="5BE5972F" w14:textId="77777777" w:rsidR="001F04FD" w:rsidRPr="00B2348D" w:rsidRDefault="001F04FD" w:rsidP="00AC4DEE">
            <w:pPr>
              <w:pStyle w:val="TableBody"/>
            </w:pPr>
            <w:r w:rsidRPr="006624C0">
              <w:t>A QSE.</w:t>
            </w:r>
          </w:p>
        </w:tc>
      </w:tr>
      <w:tr w:rsidR="001F04FD" w:rsidRPr="00B2348D" w14:paraId="0FCDEE24" w14:textId="77777777" w:rsidTr="00E21852">
        <w:trPr>
          <w:cantSplit/>
        </w:trPr>
        <w:tc>
          <w:tcPr>
            <w:tcW w:w="2153" w:type="dxa"/>
          </w:tcPr>
          <w:p w14:paraId="36A6FE2E" w14:textId="77777777" w:rsidR="001F04FD" w:rsidRPr="00B2348D" w:rsidRDefault="001F04FD" w:rsidP="00AC4DEE">
            <w:pPr>
              <w:pStyle w:val="TableBody"/>
              <w:rPr>
                <w:i/>
              </w:rPr>
            </w:pPr>
            <w:r>
              <w:rPr>
                <w:i/>
              </w:rPr>
              <w:t>p</w:t>
            </w:r>
          </w:p>
        </w:tc>
        <w:tc>
          <w:tcPr>
            <w:tcW w:w="1255" w:type="dxa"/>
          </w:tcPr>
          <w:p w14:paraId="3F71FB42" w14:textId="77777777" w:rsidR="001F04FD" w:rsidRPr="00B2348D" w:rsidRDefault="001F04FD" w:rsidP="00AC4DEE">
            <w:pPr>
              <w:pStyle w:val="TableBody"/>
            </w:pPr>
            <w:r w:rsidRPr="006624C0">
              <w:t>none</w:t>
            </w:r>
          </w:p>
        </w:tc>
        <w:tc>
          <w:tcPr>
            <w:tcW w:w="6421" w:type="dxa"/>
          </w:tcPr>
          <w:p w14:paraId="12C0F6EF" w14:textId="77777777" w:rsidR="001F04FD" w:rsidRPr="00B2348D" w:rsidRDefault="001F04FD" w:rsidP="00AC4DEE">
            <w:pPr>
              <w:pStyle w:val="TableBody"/>
            </w:pPr>
            <w:r w:rsidRPr="006624C0">
              <w:t>A Settlement Point.</w:t>
            </w:r>
          </w:p>
        </w:tc>
      </w:tr>
      <w:tr w:rsidR="001F04FD" w:rsidRPr="00B2348D" w14:paraId="1E91E2E9" w14:textId="77777777" w:rsidTr="00E21852">
        <w:trPr>
          <w:cantSplit/>
        </w:trPr>
        <w:tc>
          <w:tcPr>
            <w:tcW w:w="2153" w:type="dxa"/>
          </w:tcPr>
          <w:p w14:paraId="6A35A135" w14:textId="77777777" w:rsidR="001F04FD" w:rsidRPr="00B2348D" w:rsidRDefault="001F04FD" w:rsidP="00AC4DEE">
            <w:pPr>
              <w:pStyle w:val="TableBody"/>
              <w:tabs>
                <w:tab w:val="right" w:pos="9360"/>
              </w:tabs>
              <w:rPr>
                <w:i/>
              </w:rPr>
            </w:pPr>
            <w:r>
              <w:rPr>
                <w:i/>
              </w:rPr>
              <w:t>r</w:t>
            </w:r>
          </w:p>
        </w:tc>
        <w:tc>
          <w:tcPr>
            <w:tcW w:w="1255" w:type="dxa"/>
          </w:tcPr>
          <w:p w14:paraId="26766F0F" w14:textId="77777777" w:rsidR="001F04FD" w:rsidRPr="00B2348D" w:rsidRDefault="001F04FD" w:rsidP="00AC4DEE">
            <w:pPr>
              <w:pStyle w:val="TableBody"/>
              <w:tabs>
                <w:tab w:val="right" w:pos="9360"/>
              </w:tabs>
            </w:pPr>
            <w:r w:rsidRPr="006624C0">
              <w:t>none</w:t>
            </w:r>
          </w:p>
        </w:tc>
        <w:tc>
          <w:tcPr>
            <w:tcW w:w="6421" w:type="dxa"/>
          </w:tcPr>
          <w:p w14:paraId="288F4F25" w14:textId="77777777" w:rsidR="00590838" w:rsidRPr="00B2348D" w:rsidRDefault="001F04FD" w:rsidP="00AC4DEE">
            <w:pPr>
              <w:pStyle w:val="TableBody"/>
              <w:tabs>
                <w:tab w:val="right" w:pos="9360"/>
              </w:tabs>
              <w:rPr>
                <w:lang w:val="fr-FR"/>
              </w:rPr>
            </w:pPr>
            <w:r w:rsidRPr="006624C0">
              <w:rPr>
                <w:lang w:val="fr-FR"/>
              </w:rPr>
              <w:t>A non-exempt, non-Intermittent Renewable Resource (IRR).</w:t>
            </w:r>
          </w:p>
          <w:p w14:paraId="7DD63A92" w14:textId="77777777" w:rsidR="001F04FD" w:rsidRPr="00B2348D" w:rsidRDefault="001F04FD" w:rsidP="00AC4DEE">
            <w:pPr>
              <w:pStyle w:val="TableBody"/>
              <w:tabs>
                <w:tab w:val="right" w:pos="9360"/>
              </w:tabs>
              <w:rPr>
                <w:lang w:val="fr-FR"/>
              </w:rPr>
            </w:pPr>
          </w:p>
        </w:tc>
      </w:tr>
      <w:tr w:rsidR="001F04FD" w:rsidRPr="00B2348D" w14:paraId="036EC015" w14:textId="77777777" w:rsidTr="005755D9">
        <w:trPr>
          <w:cantSplit/>
        </w:trPr>
        <w:tc>
          <w:tcPr>
            <w:tcW w:w="2153" w:type="dxa"/>
            <w:tcBorders>
              <w:top w:val="single" w:sz="4" w:space="0" w:color="auto"/>
              <w:left w:val="single" w:sz="4" w:space="0" w:color="auto"/>
              <w:bottom w:val="single" w:sz="4" w:space="0" w:color="auto"/>
              <w:right w:val="single" w:sz="4" w:space="0" w:color="auto"/>
            </w:tcBorders>
          </w:tcPr>
          <w:p w14:paraId="5DBABF76" w14:textId="77777777" w:rsidR="001F04FD" w:rsidRPr="00B2348D" w:rsidRDefault="001F04FD" w:rsidP="00AC4DEE">
            <w:pPr>
              <w:pStyle w:val="TableBody"/>
              <w:rPr>
                <w:i/>
              </w:rPr>
            </w:pPr>
            <w:r>
              <w:rPr>
                <w:i/>
              </w:rPr>
              <w:t xml:space="preserve">y </w:t>
            </w:r>
          </w:p>
        </w:tc>
        <w:tc>
          <w:tcPr>
            <w:tcW w:w="1255" w:type="dxa"/>
            <w:tcBorders>
              <w:top w:val="single" w:sz="4" w:space="0" w:color="auto"/>
              <w:left w:val="single" w:sz="4" w:space="0" w:color="auto"/>
              <w:bottom w:val="single" w:sz="4" w:space="0" w:color="auto"/>
              <w:right w:val="single" w:sz="4" w:space="0" w:color="auto"/>
            </w:tcBorders>
          </w:tcPr>
          <w:p w14:paraId="60500242" w14:textId="77777777" w:rsidR="001F04FD" w:rsidRPr="00B2348D" w:rsidRDefault="001F04FD" w:rsidP="00AC4DEE">
            <w:pPr>
              <w:pStyle w:val="TableBody"/>
            </w:pPr>
            <w:r w:rsidRPr="006624C0">
              <w:t>none</w:t>
            </w:r>
          </w:p>
        </w:tc>
        <w:tc>
          <w:tcPr>
            <w:tcW w:w="6421" w:type="dxa"/>
            <w:tcBorders>
              <w:top w:val="single" w:sz="4" w:space="0" w:color="auto"/>
              <w:left w:val="single" w:sz="4" w:space="0" w:color="auto"/>
              <w:bottom w:val="single" w:sz="4" w:space="0" w:color="auto"/>
              <w:right w:val="single" w:sz="4" w:space="0" w:color="auto"/>
            </w:tcBorders>
          </w:tcPr>
          <w:p w14:paraId="7873897F" w14:textId="77777777" w:rsidR="001F04FD" w:rsidRPr="00B2348D" w:rsidRDefault="001F04FD" w:rsidP="00AC4DEE">
            <w:pPr>
              <w:pStyle w:val="TableBody"/>
            </w:pPr>
            <w:r w:rsidRPr="006624C0">
              <w:t xml:space="preserve">A five-minute clock interval in the Settlement Interval. </w:t>
            </w:r>
          </w:p>
        </w:tc>
      </w:tr>
      <w:tr w:rsidR="001F04FD" w:rsidRPr="00B2348D" w14:paraId="722BABE4" w14:textId="77777777" w:rsidTr="005755D9">
        <w:trPr>
          <w:cantSplit/>
        </w:trPr>
        <w:tc>
          <w:tcPr>
            <w:tcW w:w="2153" w:type="dxa"/>
            <w:tcBorders>
              <w:top w:val="single" w:sz="4" w:space="0" w:color="auto"/>
              <w:left w:val="single" w:sz="4" w:space="0" w:color="auto"/>
              <w:bottom w:val="nil"/>
              <w:right w:val="single" w:sz="4" w:space="0" w:color="auto"/>
            </w:tcBorders>
          </w:tcPr>
          <w:p w14:paraId="4ACB8B51" w14:textId="77777777" w:rsidR="001F04FD" w:rsidRPr="00B2348D" w:rsidDel="00714336" w:rsidRDefault="001F04FD" w:rsidP="00AC4DEE">
            <w:pPr>
              <w:pStyle w:val="TableBody"/>
              <w:rPr>
                <w:i/>
              </w:rPr>
            </w:pPr>
            <w:r>
              <w:rPr>
                <w:i/>
              </w:rPr>
              <w:t>i</w:t>
            </w:r>
          </w:p>
        </w:tc>
        <w:tc>
          <w:tcPr>
            <w:tcW w:w="1255" w:type="dxa"/>
            <w:tcBorders>
              <w:top w:val="single" w:sz="4" w:space="0" w:color="auto"/>
              <w:left w:val="single" w:sz="4" w:space="0" w:color="auto"/>
              <w:bottom w:val="nil"/>
              <w:right w:val="single" w:sz="4" w:space="0" w:color="auto"/>
            </w:tcBorders>
          </w:tcPr>
          <w:p w14:paraId="7DAC8A46" w14:textId="77777777" w:rsidR="001F04FD" w:rsidRPr="00B2348D" w:rsidDel="00714336" w:rsidRDefault="001F04FD" w:rsidP="00AC4DEE">
            <w:pPr>
              <w:pStyle w:val="TableBody"/>
            </w:pPr>
            <w:r w:rsidRPr="006624C0">
              <w:t>none</w:t>
            </w:r>
          </w:p>
        </w:tc>
        <w:tc>
          <w:tcPr>
            <w:tcW w:w="6421" w:type="dxa"/>
            <w:tcBorders>
              <w:top w:val="single" w:sz="4" w:space="0" w:color="auto"/>
              <w:left w:val="single" w:sz="4" w:space="0" w:color="auto"/>
              <w:bottom w:val="nil"/>
              <w:right w:val="single" w:sz="4" w:space="0" w:color="auto"/>
            </w:tcBorders>
          </w:tcPr>
          <w:p w14:paraId="5F419630" w14:textId="77777777" w:rsidR="001F04FD" w:rsidRPr="00B2348D" w:rsidDel="00714336" w:rsidRDefault="001F04FD" w:rsidP="00AC4DEE">
            <w:pPr>
              <w:pStyle w:val="TableBody"/>
            </w:pPr>
            <w:r w:rsidRPr="006624C0">
              <w:t>A 15-minute Settlement Interval.</w:t>
            </w:r>
          </w:p>
        </w:tc>
      </w:tr>
      <w:tr w:rsidR="008F39F7" w:rsidRPr="00B2348D" w14:paraId="3142FCD2" w14:textId="77777777" w:rsidTr="005755D9">
        <w:trPr>
          <w:cantSplit/>
        </w:trPr>
        <w:tc>
          <w:tcPr>
            <w:tcW w:w="9829" w:type="dxa"/>
            <w:gridSpan w:val="3"/>
            <w:tcBorders>
              <w:top w:val="nil"/>
              <w:left w:val="single" w:sz="4" w:space="0" w:color="auto"/>
              <w:bottom w:val="single" w:sz="4" w:space="0" w:color="auto"/>
              <w:right w:val="single" w:sz="4" w:space="0" w:color="auto"/>
            </w:tcBorders>
          </w:tcPr>
          <w:p w14:paraId="36ECB0AF" w14:textId="77777777" w:rsidR="008F39F7" w:rsidRPr="006624C0" w:rsidRDefault="008F39F7" w:rsidP="00AC4DEE">
            <w:pPr>
              <w:pStyle w:val="TableBody"/>
            </w:pPr>
          </w:p>
        </w:tc>
      </w:tr>
    </w:tbl>
    <w:p w14:paraId="73FB311C" w14:textId="77777777" w:rsidR="00E21852" w:rsidRDefault="00E21852"/>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E21852" w14:paraId="58C8C9FF" w14:textId="77777777" w:rsidTr="005755D9">
        <w:tc>
          <w:tcPr>
            <w:tcW w:w="9829" w:type="dxa"/>
            <w:tcBorders>
              <w:top w:val="single" w:sz="4" w:space="0" w:color="auto"/>
              <w:left w:val="single" w:sz="4" w:space="0" w:color="auto"/>
              <w:bottom w:val="single" w:sz="4" w:space="0" w:color="auto"/>
              <w:right w:val="single" w:sz="4" w:space="0" w:color="auto"/>
            </w:tcBorders>
            <w:shd w:val="pct12" w:color="auto" w:fill="auto"/>
          </w:tcPr>
          <w:p w14:paraId="0A51A145" w14:textId="1605EC9B" w:rsidR="00E21852" w:rsidRDefault="00E21852" w:rsidP="00AB2BB6">
            <w:pPr>
              <w:pStyle w:val="Instructions"/>
              <w:spacing w:before="120"/>
            </w:pPr>
            <w:bookmarkStart w:id="2086" w:name="_Toc402357152"/>
            <w:bookmarkStart w:id="2087" w:name="_Toc422486532"/>
            <w:bookmarkStart w:id="2088" w:name="_Toc433093385"/>
            <w:bookmarkStart w:id="2089" w:name="_Toc433093543"/>
            <w:bookmarkStart w:id="2090" w:name="_Toc440874773"/>
            <w:bookmarkStart w:id="2091" w:name="_Toc448142330"/>
            <w:bookmarkStart w:id="2092" w:name="_Toc448142487"/>
            <w:bookmarkStart w:id="2093" w:name="_Toc458770328"/>
            <w:bookmarkStart w:id="2094" w:name="_Toc459294296"/>
            <w:bookmarkStart w:id="2095" w:name="_Toc463262789"/>
            <w:bookmarkStart w:id="2096" w:name="_Toc468286862"/>
            <w:bookmarkStart w:id="2097" w:name="_Toc481502902"/>
            <w:bookmarkStart w:id="2098" w:name="_Toc496080070"/>
            <w:r>
              <w:t>[NPRR879</w:t>
            </w:r>
            <w:r w:rsidR="005F232E">
              <w:t>,</w:t>
            </w:r>
            <w:r>
              <w:t xml:space="preserve"> NPRR963</w:t>
            </w:r>
            <w:r w:rsidR="005F232E">
              <w:t>, NPRR1010</w:t>
            </w:r>
            <w:r w:rsidR="008152FC">
              <w:t>, and NPRR1246</w:t>
            </w:r>
            <w:r>
              <w:t xml:space="preserve">:  Replace applicable portions of Section </w:t>
            </w:r>
            <w:r w:rsidRPr="002D385D">
              <w:t>6.6.5.1.1.1</w:t>
            </w:r>
            <w:r>
              <w:t xml:space="preserve"> above with the following upon system implementation</w:t>
            </w:r>
            <w:r w:rsidR="005F232E">
              <w:t xml:space="preserve"> for NPRR879 or NPRR963; or upon system implementation of the Real-Time Co-Optimization (RTC) project for NPRR1010</w:t>
            </w:r>
            <w:r w:rsidR="008152FC">
              <w:t xml:space="preserve"> and NPRR1246</w:t>
            </w:r>
            <w:r w:rsidR="005F232E">
              <w:t>;</w:t>
            </w:r>
            <w:r w:rsidR="00C215CF">
              <w:t xml:space="preserve"> and renumber accordingly</w:t>
            </w:r>
            <w:r>
              <w:t>:]</w:t>
            </w:r>
          </w:p>
          <w:p w14:paraId="61999CE9" w14:textId="6833A8B5" w:rsidR="00E21852" w:rsidRPr="002D385D" w:rsidRDefault="00E21852" w:rsidP="00E21852">
            <w:pPr>
              <w:pStyle w:val="H4"/>
              <w:tabs>
                <w:tab w:val="clear" w:pos="1260"/>
                <w:tab w:val="left" w:pos="1620"/>
              </w:tabs>
              <w:spacing w:before="480"/>
              <w:ind w:left="1627" w:hanging="1627"/>
              <w:outlineLvl w:val="4"/>
            </w:pPr>
            <w:bookmarkStart w:id="2099" w:name="_Toc60040691"/>
            <w:bookmarkStart w:id="2100" w:name="_Toc65151750"/>
            <w:bookmarkStart w:id="2101" w:name="_Toc80174776"/>
            <w:bookmarkStart w:id="2102" w:name="_Toc112417656"/>
            <w:bookmarkStart w:id="2103" w:name="_Toc119310325"/>
            <w:bookmarkStart w:id="2104" w:name="_Toc125966258"/>
            <w:bookmarkStart w:id="2105" w:name="_Toc135992356"/>
            <w:bookmarkStart w:id="2106" w:name="_Toc170303552"/>
            <w:bookmarkStart w:id="2107" w:name="_Toc175157456"/>
            <w:bookmarkStart w:id="2108" w:name="_Toc204411685"/>
            <w:r w:rsidRPr="002D385D">
              <w:t>6.6.5.</w:t>
            </w:r>
            <w:r>
              <w:t>2</w:t>
            </w:r>
            <w:r w:rsidRPr="002D385D">
              <w:tab/>
            </w:r>
            <w:r w:rsidR="005F232E">
              <w:t>Set</w:t>
            </w:r>
            <w:r w:rsidRPr="002D385D">
              <w:t xml:space="preserve"> Point Deviation Charge for Over Generation</w:t>
            </w:r>
            <w:bookmarkEnd w:id="2099"/>
            <w:bookmarkEnd w:id="2100"/>
            <w:bookmarkEnd w:id="2101"/>
            <w:bookmarkEnd w:id="2102"/>
            <w:bookmarkEnd w:id="2103"/>
            <w:bookmarkEnd w:id="2104"/>
            <w:bookmarkEnd w:id="2105"/>
            <w:bookmarkEnd w:id="2106"/>
            <w:bookmarkEnd w:id="2107"/>
            <w:bookmarkEnd w:id="2108"/>
          </w:p>
          <w:p w14:paraId="5D258C95" w14:textId="3609CD1A" w:rsidR="00E21852" w:rsidRDefault="00E21852" w:rsidP="00E21852">
            <w:pPr>
              <w:pStyle w:val="BodyTextNumbered"/>
            </w:pPr>
            <w:r>
              <w:t>(1)</w:t>
            </w:r>
            <w:r>
              <w:tab/>
            </w:r>
            <w:r w:rsidRPr="00AB1AD6">
              <w:t>ERCOT shall charge a QSE for a Generation Resource</w:t>
            </w:r>
            <w:r>
              <w:t xml:space="preserve">, including an Intermittent Renewable Resource (IRR) </w:t>
            </w:r>
            <w:r w:rsidR="005F232E">
              <w:t>with</w:t>
            </w:r>
            <w:r>
              <w:t xml:space="preserve"> an Ancillary Service </w:t>
            </w:r>
            <w:r w:rsidR="005F232E">
              <w:t>award</w:t>
            </w:r>
            <w:r>
              <w:t xml:space="preserve"> for at least one SCED interval within the 15-minute Settlement Interval,</w:t>
            </w:r>
            <w:r w:rsidRPr="00AB1AD6">
              <w:t xml:space="preserve"> for over-generation that exceeds the following tolerance.  T</w:t>
            </w:r>
            <w:r>
              <w:t>he tolerance is the greater of:</w:t>
            </w:r>
          </w:p>
          <w:p w14:paraId="048F063A" w14:textId="789E02D2" w:rsidR="00E21852" w:rsidRDefault="00E21852" w:rsidP="00E21852">
            <w:pPr>
              <w:pStyle w:val="BodyTextNumbered"/>
              <w:ind w:left="1440"/>
            </w:pPr>
            <w:r>
              <w:t>(a)</w:t>
            </w:r>
            <w:r>
              <w:tab/>
              <w:t xml:space="preserve">5% of the </w:t>
            </w:r>
            <w:r w:rsidR="005F232E">
              <w:t>AASP</w:t>
            </w:r>
            <w:r>
              <w:t xml:space="preserve"> in the Settlement Interval; or</w:t>
            </w:r>
          </w:p>
          <w:p w14:paraId="7DEE873A" w14:textId="60DF1BF0" w:rsidR="00E21852" w:rsidRDefault="00E21852" w:rsidP="00E21852">
            <w:pPr>
              <w:pStyle w:val="BodyTextNumbered"/>
              <w:ind w:left="1440"/>
            </w:pPr>
            <w:r>
              <w:t>(b)</w:t>
            </w:r>
            <w:r>
              <w:tab/>
              <w:t xml:space="preserve">Five MW above the </w:t>
            </w:r>
            <w:r w:rsidR="005F232E">
              <w:t>AASP</w:t>
            </w:r>
            <w:r>
              <w:t xml:space="preserve"> in the Settlement Interval. </w:t>
            </w:r>
          </w:p>
          <w:p w14:paraId="42C6CA0F" w14:textId="204C0C92" w:rsidR="00E21852" w:rsidRDefault="00E21852" w:rsidP="00E21852">
            <w:pPr>
              <w:pStyle w:val="BodyTextNumbered"/>
            </w:pPr>
            <w:r w:rsidRPr="00AB1AD6">
              <w:rPr>
                <w:iCs/>
              </w:rPr>
              <w:t>(2)</w:t>
            </w:r>
            <w:r w:rsidRPr="00AB1AD6">
              <w:rPr>
                <w:iCs/>
              </w:rPr>
              <w:tab/>
            </w:r>
            <w:r>
              <w:rPr>
                <w:iCs/>
              </w:rPr>
              <w:t xml:space="preserve">For instances in which an IRR </w:t>
            </w:r>
            <w:r w:rsidR="005F232E">
              <w:rPr>
                <w:iCs/>
              </w:rPr>
              <w:t>has not received</w:t>
            </w:r>
            <w:r>
              <w:rPr>
                <w:iCs/>
              </w:rPr>
              <w:t xml:space="preserve"> an Ancillary Service </w:t>
            </w:r>
            <w:r w:rsidR="005F232E">
              <w:rPr>
                <w:iCs/>
              </w:rPr>
              <w:t>award</w:t>
            </w:r>
            <w:r>
              <w:rPr>
                <w:iCs/>
              </w:rPr>
              <w:t xml:space="preserve"> or is </w:t>
            </w:r>
            <w:r w:rsidR="005F232E">
              <w:rPr>
                <w:iCs/>
              </w:rPr>
              <w:t xml:space="preserve">not </w:t>
            </w:r>
            <w:r>
              <w:rPr>
                <w:iCs/>
              </w:rPr>
              <w:t xml:space="preserve">part of an IRR Group in which </w:t>
            </w:r>
            <w:r w:rsidR="005F232E">
              <w:rPr>
                <w:iCs/>
              </w:rPr>
              <w:t>an</w:t>
            </w:r>
            <w:r>
              <w:rPr>
                <w:iCs/>
              </w:rPr>
              <w:t xml:space="preserve"> IRR </w:t>
            </w:r>
            <w:r w:rsidR="005F232E">
              <w:rPr>
                <w:iCs/>
              </w:rPr>
              <w:t>receives</w:t>
            </w:r>
            <w:r>
              <w:rPr>
                <w:iCs/>
              </w:rPr>
              <w:t xml:space="preserve"> an Ancillary </w:t>
            </w:r>
            <w:r w:rsidRPr="00C13275">
              <w:t>Service</w:t>
            </w:r>
            <w:r>
              <w:rPr>
                <w:iCs/>
              </w:rPr>
              <w:t xml:space="preserve"> </w:t>
            </w:r>
            <w:r w:rsidR="005F232E">
              <w:rPr>
                <w:iCs/>
              </w:rPr>
              <w:t>award</w:t>
            </w:r>
            <w:r>
              <w:rPr>
                <w:iCs/>
              </w:rPr>
              <w:t xml:space="preserve"> for </w:t>
            </w:r>
            <w:r w:rsidR="005F232E">
              <w:rPr>
                <w:iCs/>
              </w:rPr>
              <w:t>any</w:t>
            </w:r>
            <w:r>
              <w:rPr>
                <w:iCs/>
              </w:rPr>
              <w:t xml:space="preserve"> SCED interval within the 15-minute Settlement Interval, </w:t>
            </w:r>
            <w:r w:rsidR="005F232E">
              <w:rPr>
                <w:iCs/>
              </w:rPr>
              <w:t>Set</w:t>
            </w:r>
            <w:r>
              <w:rPr>
                <w:iCs/>
              </w:rPr>
              <w:t xml:space="preserve"> Point Deviation Charges will be determined per Section 6.6.5.4, IRR Generation Resource </w:t>
            </w:r>
            <w:r w:rsidR="005F232E">
              <w:rPr>
                <w:iCs/>
              </w:rPr>
              <w:t>Set</w:t>
            </w:r>
            <w:r>
              <w:rPr>
                <w:iCs/>
              </w:rPr>
              <w:t xml:space="preserve"> Point Deviation Charge.</w:t>
            </w:r>
          </w:p>
          <w:p w14:paraId="5F428361" w14:textId="0BEBEA88" w:rsidR="00E21852" w:rsidRPr="000149E5" w:rsidRDefault="00E21852" w:rsidP="00E21852">
            <w:pPr>
              <w:pStyle w:val="BodyTextNumbered"/>
              <w:rPr>
                <w:iCs/>
              </w:rPr>
            </w:pPr>
            <w:r>
              <w:rPr>
                <w:iCs/>
              </w:rPr>
              <w:t>(3</w:t>
            </w:r>
            <w:r w:rsidRPr="000149E5">
              <w:rPr>
                <w:iCs/>
              </w:rPr>
              <w:t>)</w:t>
            </w:r>
            <w:r w:rsidRPr="000149E5">
              <w:rPr>
                <w:iCs/>
              </w:rPr>
              <w:tab/>
            </w:r>
            <w:r w:rsidRPr="00AB1AD6">
              <w:rPr>
                <w:iCs/>
              </w:rPr>
              <w:t>The over-generation charge to each QSE for each Generation Resource</w:t>
            </w:r>
            <w:r>
              <w:rPr>
                <w:iCs/>
              </w:rPr>
              <w:t>, that is not part of an IRR Group,</w:t>
            </w:r>
            <w:r w:rsidRPr="00AB1AD6">
              <w:rPr>
                <w:iCs/>
              </w:rPr>
              <w:t xml:space="preserve"> at each Resource Node Settlement Point is calculated as follows:</w:t>
            </w:r>
          </w:p>
          <w:p w14:paraId="15B70997" w14:textId="208AF683" w:rsidR="00E21852" w:rsidRDefault="005F232E" w:rsidP="00E21852">
            <w:pPr>
              <w:pStyle w:val="FormulaBold"/>
            </w:pPr>
            <w:r>
              <w:t>S</w:t>
            </w:r>
            <w:r w:rsidR="00E21852" w:rsidRPr="00BC5C70">
              <w:t xml:space="preserve">PDAMT </w:t>
            </w:r>
            <w:r w:rsidR="00E21852" w:rsidRPr="00BC5C70">
              <w:rPr>
                <w:i/>
                <w:iCs/>
                <w:vertAlign w:val="subscript"/>
                <w:lang w:val="es-ES"/>
              </w:rPr>
              <w:t>q, r, p</w:t>
            </w:r>
            <w:r w:rsidR="00E21852">
              <w:rPr>
                <w:i/>
                <w:iCs/>
                <w:vertAlign w:val="subscript"/>
                <w:lang w:val="es-ES"/>
              </w:rPr>
              <w:t xml:space="preserve">, i </w:t>
            </w:r>
            <w:r w:rsidR="00E21852" w:rsidRPr="00BC5C70">
              <w:tab/>
              <w:t>=</w:t>
            </w:r>
            <w:r w:rsidR="00E21852" w:rsidRPr="00BC5C70">
              <w:tab/>
              <w:t>Max (PR1, RTSPP</w:t>
            </w:r>
            <w:r w:rsidR="00E21852">
              <w:t xml:space="preserve"> </w:t>
            </w:r>
            <w:r w:rsidR="00E21852" w:rsidRPr="00BC5C70">
              <w:rPr>
                <w:i/>
                <w:vertAlign w:val="subscript"/>
              </w:rPr>
              <w:t>p</w:t>
            </w:r>
            <w:r w:rsidR="00E21852">
              <w:rPr>
                <w:i/>
                <w:vertAlign w:val="subscript"/>
              </w:rPr>
              <w:t>, i</w:t>
            </w:r>
            <w:r w:rsidR="00E21852" w:rsidRPr="00BC5C70">
              <w:t>) * OGEN</w:t>
            </w:r>
            <w:r w:rsidR="00E21852" w:rsidRPr="00BC5C70">
              <w:rPr>
                <w:i/>
                <w:iCs/>
                <w:vertAlign w:val="subscript"/>
                <w:lang w:val="es-ES"/>
              </w:rPr>
              <w:t xml:space="preserve"> q, r, p</w:t>
            </w:r>
            <w:r w:rsidR="00E21852">
              <w:rPr>
                <w:i/>
                <w:iCs/>
                <w:vertAlign w:val="subscript"/>
                <w:lang w:val="es-ES"/>
              </w:rPr>
              <w:t>, i</w:t>
            </w:r>
            <w:r w:rsidR="00E21852" w:rsidRPr="00BC5C70">
              <w:rPr>
                <w:i/>
                <w:iCs/>
                <w:vertAlign w:val="subscript"/>
                <w:lang w:val="es-ES"/>
              </w:rPr>
              <w:t xml:space="preserve"> </w:t>
            </w:r>
            <w:r w:rsidR="00E21852" w:rsidRPr="00BC5C70">
              <w:rPr>
                <w:rFonts w:ascii="Times New Roman Bold" w:hAnsi="Times New Roman Bold"/>
                <w:iCs/>
                <w:lang w:val="es-ES"/>
              </w:rPr>
              <w:t xml:space="preserve"> </w:t>
            </w:r>
          </w:p>
          <w:p w14:paraId="29F7A82B" w14:textId="77777777" w:rsidR="00E21852" w:rsidRPr="00E05F10" w:rsidRDefault="00E21852" w:rsidP="00E21852">
            <w:pPr>
              <w:pStyle w:val="FormulaBold"/>
              <w:rPr>
                <w:b w:val="0"/>
              </w:rPr>
            </w:pPr>
            <w:r w:rsidRPr="007979BF">
              <w:rPr>
                <w:b w:val="0"/>
              </w:rPr>
              <w:t>Where:</w:t>
            </w:r>
          </w:p>
          <w:p w14:paraId="1CFB49F2" w14:textId="72F9EFC4" w:rsidR="00E21852" w:rsidRPr="001A3201" w:rsidRDefault="00E21852" w:rsidP="00E21852">
            <w:pPr>
              <w:pStyle w:val="FormulaBold"/>
              <w:rPr>
                <w:b w:val="0"/>
                <w:caps/>
              </w:rPr>
            </w:pPr>
            <w:r w:rsidRPr="001A3201">
              <w:rPr>
                <w:b w:val="0"/>
              </w:rPr>
              <w:t>OGEN</w:t>
            </w:r>
            <w:r w:rsidRPr="001A3201">
              <w:rPr>
                <w:b w:val="0"/>
                <w:i/>
                <w:iCs/>
                <w:vertAlign w:val="subscript"/>
                <w:lang w:val="es-ES"/>
              </w:rPr>
              <w:t xml:space="preserve"> q, r, p, i </w:t>
            </w:r>
            <w:r w:rsidRPr="001A3201">
              <w:rPr>
                <w:b w:val="0"/>
              </w:rPr>
              <w:t xml:space="preserve"> = Max [0, (TWTG</w:t>
            </w:r>
            <w:r>
              <w:rPr>
                <w:b w:val="0"/>
              </w:rPr>
              <w:t xml:space="preserve"> </w:t>
            </w:r>
            <w:r w:rsidRPr="001A3201">
              <w:rPr>
                <w:b w:val="0"/>
                <w:i/>
                <w:iCs/>
                <w:vertAlign w:val="subscript"/>
                <w:lang w:val="es-ES"/>
              </w:rPr>
              <w:t xml:space="preserve">q, r, p, i </w:t>
            </w:r>
            <w:r w:rsidRPr="001A3201">
              <w:rPr>
                <w:b w:val="0"/>
              </w:rPr>
              <w:t xml:space="preserve"> – ¼ * Max (((1 + K1) * AA</w:t>
            </w:r>
            <w:r w:rsidR="005F232E">
              <w:rPr>
                <w:b w:val="0"/>
              </w:rPr>
              <w:t>S</w:t>
            </w:r>
            <w:r w:rsidRPr="001A3201">
              <w:rPr>
                <w:b w:val="0"/>
              </w:rPr>
              <w:t>P</w:t>
            </w:r>
            <w:r w:rsidRPr="001A3201">
              <w:rPr>
                <w:b w:val="0"/>
                <w:i/>
                <w:iCs/>
                <w:vertAlign w:val="subscript"/>
                <w:lang w:val="es-ES"/>
              </w:rPr>
              <w:t xml:space="preserve"> q, r, p, i</w:t>
            </w:r>
            <w:r w:rsidRPr="001A3201">
              <w:rPr>
                <w:rFonts w:ascii="Times New Roman Bold" w:hAnsi="Times New Roman Bold"/>
                <w:b w:val="0"/>
                <w:iCs/>
                <w:lang w:val="es-ES"/>
              </w:rPr>
              <w:t>)</w:t>
            </w:r>
            <w:r w:rsidRPr="001A3201">
              <w:rPr>
                <w:b w:val="0"/>
              </w:rPr>
              <w:t>, (AA</w:t>
            </w:r>
            <w:r w:rsidR="005F232E">
              <w:rPr>
                <w:b w:val="0"/>
              </w:rPr>
              <w:t>S</w:t>
            </w:r>
            <w:r w:rsidRPr="001A3201">
              <w:rPr>
                <w:b w:val="0"/>
              </w:rPr>
              <w:t>P</w:t>
            </w:r>
            <w:r w:rsidRPr="001A3201">
              <w:rPr>
                <w:b w:val="0"/>
                <w:i/>
                <w:iCs/>
                <w:vertAlign w:val="subscript"/>
                <w:lang w:val="es-ES"/>
              </w:rPr>
              <w:t xml:space="preserve"> q, r, p, i </w:t>
            </w:r>
            <w:r w:rsidRPr="001A3201">
              <w:rPr>
                <w:b w:val="0"/>
              </w:rPr>
              <w:t>+ Q1)))]</w:t>
            </w:r>
          </w:p>
          <w:p w14:paraId="6F5097F6" w14:textId="77777777" w:rsidR="00E21852" w:rsidRDefault="00E21852" w:rsidP="00E21852">
            <w:pPr>
              <w:pStyle w:val="BodyTextNumbered"/>
              <w:ind w:left="1440"/>
            </w:pPr>
            <w:r w:rsidRPr="0015675B">
              <w:t>TWTG</w:t>
            </w:r>
            <w:r w:rsidRPr="0015675B">
              <w:rPr>
                <w:i/>
                <w:vertAlign w:val="subscript"/>
              </w:rPr>
              <w:t xml:space="preserve"> q, r, p, i</w:t>
            </w:r>
            <w:r w:rsidRPr="0015675B">
              <w:rPr>
                <w:i/>
                <w:vertAlign w:val="subscript"/>
              </w:rPr>
              <w:tab/>
              <w:t>=</w:t>
            </w:r>
            <w:r w:rsidRPr="0015675B">
              <w:rPr>
                <w:i/>
                <w:vertAlign w:val="subscript"/>
              </w:rPr>
              <w:tab/>
            </w:r>
            <w:r w:rsidRPr="002600B6">
              <w:t>(</w:t>
            </w:r>
            <w:r w:rsidRPr="0015675B">
              <w:rPr>
                <w:position w:val="-22"/>
              </w:rPr>
              <w:object w:dxaOrig="210" w:dyaOrig="450" w14:anchorId="65C0AF23">
                <v:shape id="_x0000_i1184" type="#_x0000_t75" style="width:5.4pt;height:24.6pt" o:ole="">
                  <v:imagedata r:id="rId209" o:title=""/>
                </v:shape>
                <o:OLEObject Type="Embed" ProgID="Equation.3" ShapeID="_x0000_i1184" DrawAspect="Content" ObjectID="_1815025374" r:id="rId214"/>
              </w:object>
            </w:r>
            <w:r w:rsidRPr="0015675B">
              <w:t xml:space="preserve"> (AVGTG5M</w:t>
            </w:r>
            <w:r w:rsidRPr="0015675B">
              <w:rPr>
                <w:i/>
                <w:vertAlign w:val="subscript"/>
              </w:rPr>
              <w:t xml:space="preserve"> q, r, p, i, y</w:t>
            </w:r>
            <w:r w:rsidRPr="002600B6">
              <w:t>)</w:t>
            </w:r>
            <w:r w:rsidRPr="0015675B">
              <w:rPr>
                <w:rFonts w:ascii="Times New Roman Bold" w:hAnsi="Times New Roman Bold"/>
              </w:rPr>
              <w:t xml:space="preserve"> / </w:t>
            </w:r>
            <w:r w:rsidRPr="002600B6">
              <w:t>3)</w:t>
            </w:r>
            <w:r w:rsidRPr="0015675B">
              <w:rPr>
                <w:rFonts w:ascii="Times New Roman Bold" w:hAnsi="Times New Roman Bold"/>
              </w:rPr>
              <w:t xml:space="preserve"> </w:t>
            </w:r>
            <w:r w:rsidRPr="002600B6">
              <w:t>*</w:t>
            </w:r>
            <w:r w:rsidRPr="0015675B">
              <w:rPr>
                <w:rFonts w:ascii="Times New Roman Bold" w:hAnsi="Times New Roman Bold"/>
              </w:rPr>
              <w:t xml:space="preserve"> </w:t>
            </w:r>
            <w:r w:rsidRPr="002600B6">
              <w:rPr>
                <w:rFonts w:hint="eastAsia"/>
              </w:rPr>
              <w:t>¼</w:t>
            </w:r>
          </w:p>
          <w:p w14:paraId="01E2AA6A" w14:textId="5D4B13FB" w:rsidR="00E21852" w:rsidRPr="00A261C3" w:rsidRDefault="00E21852" w:rsidP="00E21852">
            <w:pPr>
              <w:spacing w:after="240"/>
              <w:ind w:left="720" w:hanging="720"/>
              <w:rPr>
                <w:lang w:val="pt-BR"/>
              </w:rPr>
            </w:pPr>
            <w:r>
              <w:rPr>
                <w:iCs/>
              </w:rPr>
              <w:t>(4</w:t>
            </w:r>
            <w:r w:rsidRPr="000149E5">
              <w:rPr>
                <w:iCs/>
              </w:rPr>
              <w:t>)</w:t>
            </w:r>
            <w:r w:rsidRPr="000149E5">
              <w:rPr>
                <w:iCs/>
              </w:rPr>
              <w:tab/>
            </w:r>
            <w:r w:rsidRPr="00A261C3">
              <w:rPr>
                <w:lang w:val="pt-BR"/>
              </w:rPr>
              <w:t xml:space="preserve">If </w:t>
            </w:r>
            <w:r>
              <w:rPr>
                <w:lang w:val="pt-BR"/>
              </w:rPr>
              <w:t xml:space="preserve">any IRR in an IRR Group is </w:t>
            </w:r>
            <w:r w:rsidR="005F232E">
              <w:rPr>
                <w:lang w:val="pt-BR"/>
              </w:rPr>
              <w:t>awarded</w:t>
            </w:r>
            <w:r>
              <w:rPr>
                <w:lang w:val="pt-BR"/>
              </w:rPr>
              <w:t xml:space="preserve"> Ancillary Service</w:t>
            </w:r>
            <w:r w:rsidR="005F232E">
              <w:rPr>
                <w:lang w:val="pt-BR"/>
              </w:rPr>
              <w:t>s</w:t>
            </w:r>
            <w:r>
              <w:rPr>
                <w:lang w:val="pt-BR"/>
              </w:rPr>
              <w:t xml:space="preserve"> for at least one SCED interval within the 15-minute Settlement Interval, </w:t>
            </w:r>
            <w:r w:rsidRPr="00A261C3">
              <w:rPr>
                <w:lang w:val="pt-BR"/>
              </w:rPr>
              <w:t xml:space="preserve">then the deviation penalty is determined for the </w:t>
            </w:r>
            <w:r>
              <w:rPr>
                <w:lang w:val="pt-BR"/>
              </w:rPr>
              <w:t>IRR</w:t>
            </w:r>
            <w:r w:rsidRPr="00A261C3">
              <w:rPr>
                <w:lang w:val="pt-BR"/>
              </w:rPr>
              <w:t xml:space="preserve"> Group and evenly allocated and charged to each </w:t>
            </w:r>
            <w:r>
              <w:rPr>
                <w:lang w:val="pt-BR"/>
              </w:rPr>
              <w:t>IRR</w:t>
            </w:r>
            <w:r w:rsidRPr="00A261C3">
              <w:rPr>
                <w:lang w:val="pt-BR"/>
              </w:rPr>
              <w:t xml:space="preserve"> within that </w:t>
            </w:r>
            <w:r>
              <w:rPr>
                <w:lang w:val="pt-BR"/>
              </w:rPr>
              <w:t>IRR</w:t>
            </w:r>
            <w:r w:rsidRPr="00A261C3">
              <w:rPr>
                <w:lang w:val="pt-BR"/>
              </w:rPr>
              <w:t xml:space="preserve"> Group</w:t>
            </w:r>
            <w:r>
              <w:rPr>
                <w:lang w:val="pt-BR"/>
              </w:rPr>
              <w:t xml:space="preserve"> as follows</w:t>
            </w:r>
            <w:r w:rsidRPr="00A261C3">
              <w:rPr>
                <w:lang w:val="pt-BR"/>
              </w:rPr>
              <w:t>:</w:t>
            </w:r>
          </w:p>
          <w:p w14:paraId="6FB0434D" w14:textId="244A77CD" w:rsidR="00E21852" w:rsidRDefault="005F232E" w:rsidP="00E21852">
            <w:pPr>
              <w:pStyle w:val="FormulaBold"/>
            </w:pPr>
            <w:r>
              <w:t>S</w:t>
            </w:r>
            <w:r w:rsidR="00E21852" w:rsidRPr="00BC5C70">
              <w:t xml:space="preserve">PDAMT </w:t>
            </w:r>
            <w:r w:rsidR="00E21852" w:rsidRPr="00BC5C70">
              <w:rPr>
                <w:i/>
                <w:iCs/>
                <w:vertAlign w:val="subscript"/>
                <w:lang w:val="es-ES"/>
              </w:rPr>
              <w:t>q, r, p</w:t>
            </w:r>
            <w:r w:rsidR="00E21852">
              <w:rPr>
                <w:i/>
                <w:iCs/>
                <w:vertAlign w:val="subscript"/>
                <w:lang w:val="es-ES"/>
              </w:rPr>
              <w:t xml:space="preserve">, i        </w:t>
            </w:r>
            <w:r w:rsidR="00E21852" w:rsidRPr="00BC5C70">
              <w:t>=</w:t>
            </w:r>
            <w:r w:rsidR="00E21852">
              <w:t xml:space="preserve">      </w:t>
            </w:r>
            <w:r w:rsidR="00E21852" w:rsidRPr="00BC5C70">
              <w:t>Max (PR1, RTSPP</w:t>
            </w:r>
            <w:r w:rsidR="00E21852">
              <w:t xml:space="preserve"> </w:t>
            </w:r>
            <w:r w:rsidR="00E21852" w:rsidRPr="00BC5C70">
              <w:rPr>
                <w:i/>
                <w:vertAlign w:val="subscript"/>
              </w:rPr>
              <w:t>p</w:t>
            </w:r>
            <w:r w:rsidR="00E21852">
              <w:rPr>
                <w:i/>
                <w:vertAlign w:val="subscript"/>
              </w:rPr>
              <w:t>, i</w:t>
            </w:r>
            <w:r w:rsidR="00E21852" w:rsidRPr="00BC5C70">
              <w:t>) * OGEN</w:t>
            </w:r>
            <w:r w:rsidR="00E21852" w:rsidRPr="00BC5C70">
              <w:rPr>
                <w:i/>
                <w:iCs/>
                <w:vertAlign w:val="subscript"/>
                <w:lang w:val="es-ES"/>
              </w:rPr>
              <w:t xml:space="preserve"> q, </w:t>
            </w:r>
            <w:r w:rsidR="00E21852">
              <w:rPr>
                <w:i/>
                <w:iCs/>
                <w:vertAlign w:val="subscript"/>
                <w:lang w:val="es-ES"/>
              </w:rPr>
              <w:t>r</w:t>
            </w:r>
            <w:r w:rsidR="00E21852" w:rsidRPr="00BC5C70">
              <w:rPr>
                <w:i/>
                <w:iCs/>
                <w:vertAlign w:val="subscript"/>
                <w:lang w:val="es-ES"/>
              </w:rPr>
              <w:t>, p</w:t>
            </w:r>
            <w:r w:rsidR="00E21852">
              <w:rPr>
                <w:i/>
                <w:iCs/>
                <w:vertAlign w:val="subscript"/>
                <w:lang w:val="es-ES"/>
              </w:rPr>
              <w:t>, i</w:t>
            </w:r>
            <w:r w:rsidR="00E21852" w:rsidRPr="00BC5C70">
              <w:rPr>
                <w:i/>
                <w:iCs/>
                <w:vertAlign w:val="subscript"/>
                <w:lang w:val="es-ES"/>
              </w:rPr>
              <w:t xml:space="preserve"> </w:t>
            </w:r>
            <w:r w:rsidR="00E21852" w:rsidRPr="00BC5C70">
              <w:rPr>
                <w:rFonts w:ascii="Times New Roman Bold" w:hAnsi="Times New Roman Bold"/>
                <w:iCs/>
                <w:lang w:val="es-ES"/>
              </w:rPr>
              <w:t xml:space="preserve"> </w:t>
            </w:r>
          </w:p>
          <w:p w14:paraId="5812D3EA" w14:textId="77777777" w:rsidR="00E21852" w:rsidRPr="00E05F10" w:rsidRDefault="00E21852" w:rsidP="00E21852">
            <w:pPr>
              <w:pStyle w:val="FormulaBold"/>
              <w:rPr>
                <w:b w:val="0"/>
              </w:rPr>
            </w:pPr>
            <w:r w:rsidRPr="007979BF">
              <w:rPr>
                <w:b w:val="0"/>
              </w:rPr>
              <w:t>Where:</w:t>
            </w:r>
          </w:p>
          <w:p w14:paraId="65589AFC" w14:textId="57E2B15D" w:rsidR="00E21852" w:rsidRDefault="00E21852" w:rsidP="00E21852">
            <w:pPr>
              <w:pStyle w:val="FormulaBold"/>
              <w:spacing w:after="120"/>
              <w:rPr>
                <w:b w:val="0"/>
              </w:rPr>
            </w:pPr>
            <w:r w:rsidRPr="001A3201">
              <w:rPr>
                <w:b w:val="0"/>
              </w:rPr>
              <w:t>OGEN</w:t>
            </w:r>
            <w:r w:rsidRPr="001A3201">
              <w:rPr>
                <w:b w:val="0"/>
                <w:i/>
                <w:iCs/>
                <w:vertAlign w:val="subscript"/>
                <w:lang w:val="es-ES"/>
              </w:rPr>
              <w:t xml:space="preserve"> q, </w:t>
            </w:r>
            <w:r>
              <w:rPr>
                <w:b w:val="0"/>
                <w:i/>
                <w:iCs/>
                <w:vertAlign w:val="subscript"/>
                <w:lang w:val="es-ES"/>
              </w:rPr>
              <w:t>r</w:t>
            </w:r>
            <w:r w:rsidRPr="001A3201">
              <w:rPr>
                <w:b w:val="0"/>
                <w:i/>
                <w:iCs/>
                <w:vertAlign w:val="subscript"/>
                <w:lang w:val="es-ES"/>
              </w:rPr>
              <w:t xml:space="preserve">, p, i </w:t>
            </w:r>
            <w:r w:rsidRPr="001A3201">
              <w:rPr>
                <w:b w:val="0"/>
              </w:rPr>
              <w:t xml:space="preserve"> = Max [0, (TWTG</w:t>
            </w:r>
            <w:r>
              <w:rPr>
                <w:b w:val="0"/>
              </w:rPr>
              <w:t xml:space="preserve"> </w:t>
            </w:r>
            <w:r w:rsidRPr="001A3201">
              <w:rPr>
                <w:b w:val="0"/>
                <w:i/>
                <w:iCs/>
                <w:vertAlign w:val="subscript"/>
                <w:lang w:val="es-ES"/>
              </w:rPr>
              <w:t xml:space="preserve">q, </w:t>
            </w:r>
            <w:r>
              <w:rPr>
                <w:b w:val="0"/>
                <w:i/>
                <w:iCs/>
                <w:vertAlign w:val="subscript"/>
                <w:lang w:val="es-ES"/>
              </w:rPr>
              <w:t>wg</w:t>
            </w:r>
            <w:r w:rsidRPr="001A3201">
              <w:rPr>
                <w:b w:val="0"/>
                <w:i/>
                <w:iCs/>
                <w:vertAlign w:val="subscript"/>
                <w:lang w:val="es-ES"/>
              </w:rPr>
              <w:t xml:space="preserve">, p, i </w:t>
            </w:r>
            <w:r w:rsidRPr="001A3201">
              <w:rPr>
                <w:b w:val="0"/>
              </w:rPr>
              <w:t xml:space="preserve"> – ¼ * Max (((1 + K1) * AA</w:t>
            </w:r>
            <w:r w:rsidR="005F232E">
              <w:rPr>
                <w:b w:val="0"/>
              </w:rPr>
              <w:t>S</w:t>
            </w:r>
            <w:r w:rsidRPr="001A3201">
              <w:rPr>
                <w:b w:val="0"/>
              </w:rPr>
              <w:t>P</w:t>
            </w:r>
            <w:r w:rsidRPr="001A3201">
              <w:rPr>
                <w:b w:val="0"/>
                <w:i/>
                <w:iCs/>
                <w:vertAlign w:val="subscript"/>
                <w:lang w:val="es-ES"/>
              </w:rPr>
              <w:t xml:space="preserve"> q, </w:t>
            </w:r>
            <w:r>
              <w:rPr>
                <w:b w:val="0"/>
                <w:i/>
                <w:iCs/>
                <w:vertAlign w:val="subscript"/>
                <w:lang w:val="es-ES"/>
              </w:rPr>
              <w:t>wg</w:t>
            </w:r>
            <w:r w:rsidRPr="001A3201">
              <w:rPr>
                <w:b w:val="0"/>
                <w:i/>
                <w:iCs/>
                <w:vertAlign w:val="subscript"/>
                <w:lang w:val="es-ES"/>
              </w:rPr>
              <w:t>, p, i</w:t>
            </w:r>
            <w:r w:rsidRPr="001A3201">
              <w:rPr>
                <w:rFonts w:ascii="Times New Roman Bold" w:hAnsi="Times New Roman Bold"/>
                <w:b w:val="0"/>
                <w:iCs/>
                <w:lang w:val="es-ES"/>
              </w:rPr>
              <w:t>)</w:t>
            </w:r>
            <w:r w:rsidRPr="001A3201">
              <w:rPr>
                <w:b w:val="0"/>
              </w:rPr>
              <w:t xml:space="preserve">, </w:t>
            </w:r>
          </w:p>
          <w:p w14:paraId="133EB3BB" w14:textId="2EBB17F9" w:rsidR="00E21852" w:rsidRPr="001A3201" w:rsidRDefault="00E21852" w:rsidP="00E21852">
            <w:pPr>
              <w:pStyle w:val="FormulaBold"/>
              <w:rPr>
                <w:b w:val="0"/>
                <w:caps/>
              </w:rPr>
            </w:pPr>
            <w:r>
              <w:rPr>
                <w:b w:val="0"/>
              </w:rPr>
              <w:tab/>
            </w:r>
            <w:r w:rsidRPr="001A3201">
              <w:rPr>
                <w:b w:val="0"/>
              </w:rPr>
              <w:t>(AA</w:t>
            </w:r>
            <w:r w:rsidR="005F232E">
              <w:rPr>
                <w:b w:val="0"/>
              </w:rPr>
              <w:t>S</w:t>
            </w:r>
            <w:r w:rsidRPr="001A3201">
              <w:rPr>
                <w:b w:val="0"/>
              </w:rPr>
              <w:t>P</w:t>
            </w:r>
            <w:r w:rsidRPr="001A3201">
              <w:rPr>
                <w:b w:val="0"/>
                <w:i/>
                <w:iCs/>
                <w:vertAlign w:val="subscript"/>
                <w:lang w:val="es-ES"/>
              </w:rPr>
              <w:t xml:space="preserve"> q, </w:t>
            </w:r>
            <w:r>
              <w:rPr>
                <w:b w:val="0"/>
                <w:i/>
                <w:iCs/>
                <w:vertAlign w:val="subscript"/>
                <w:lang w:val="es-ES"/>
              </w:rPr>
              <w:t>wg</w:t>
            </w:r>
            <w:r w:rsidRPr="001A3201">
              <w:rPr>
                <w:b w:val="0"/>
                <w:i/>
                <w:iCs/>
                <w:vertAlign w:val="subscript"/>
                <w:lang w:val="es-ES"/>
              </w:rPr>
              <w:t xml:space="preserve">, p, i </w:t>
            </w:r>
            <w:r w:rsidRPr="001A3201">
              <w:rPr>
                <w:b w:val="0"/>
              </w:rPr>
              <w:t>+ Q1)))]</w:t>
            </w:r>
            <w:r>
              <w:rPr>
                <w:b w:val="0"/>
              </w:rPr>
              <w:t xml:space="preserve"> / N</w:t>
            </w:r>
          </w:p>
          <w:p w14:paraId="6781BBE9" w14:textId="4BC63B21" w:rsidR="00E21852" w:rsidRDefault="00E21852" w:rsidP="00E21852">
            <w:pPr>
              <w:pStyle w:val="BodyTextNumbered"/>
              <w:ind w:left="1440"/>
            </w:pPr>
            <w:r w:rsidRPr="0015675B">
              <w:lastRenderedPageBreak/>
              <w:t>TWTG</w:t>
            </w:r>
            <w:r w:rsidRPr="0015675B">
              <w:rPr>
                <w:i/>
                <w:vertAlign w:val="subscript"/>
              </w:rPr>
              <w:t xml:space="preserve"> q,</w:t>
            </w:r>
            <w:r>
              <w:rPr>
                <w:i/>
                <w:vertAlign w:val="subscript"/>
              </w:rPr>
              <w:t xml:space="preserve"> wg</w:t>
            </w:r>
            <w:r w:rsidRPr="0015675B">
              <w:rPr>
                <w:i/>
                <w:vertAlign w:val="subscript"/>
              </w:rPr>
              <w:t>, p, i</w:t>
            </w:r>
            <w:r w:rsidRPr="0015675B">
              <w:rPr>
                <w:i/>
                <w:vertAlign w:val="subscript"/>
              </w:rPr>
              <w:tab/>
            </w:r>
            <w:r w:rsidRPr="00A261C3">
              <w:rPr>
                <w:lang w:val="pt-BR"/>
              </w:rPr>
              <w:t xml:space="preserve">= </w:t>
            </w:r>
            <w:r>
              <w:rPr>
                <w:noProof/>
                <w:position w:val="-18"/>
              </w:rPr>
              <w:drawing>
                <wp:inline distT="0" distB="0" distL="0" distR="0" wp14:anchorId="2C0BBA2B" wp14:editId="5602FD8F">
                  <wp:extent cx="135255" cy="246380"/>
                  <wp:effectExtent l="0" t="0" r="0" b="1270"/>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2600B6">
              <w:t xml:space="preserve"> (</w:t>
            </w:r>
            <w:r w:rsidRPr="0015675B">
              <w:rPr>
                <w:position w:val="-22"/>
              </w:rPr>
              <w:object w:dxaOrig="210" w:dyaOrig="450" w14:anchorId="58F1BF0A">
                <v:shape id="_x0000_i1185" type="#_x0000_t75" style="width:5.4pt;height:24.6pt" o:ole="">
                  <v:imagedata r:id="rId209" o:title=""/>
                </v:shape>
                <o:OLEObject Type="Embed" ProgID="Equation.3" ShapeID="_x0000_i1185" DrawAspect="Content" ObjectID="_1815025375" r:id="rId216"/>
              </w:object>
            </w:r>
            <w:r w:rsidRPr="0015675B">
              <w:t xml:space="preserve"> (AVGTG5M</w:t>
            </w:r>
            <w:r w:rsidRPr="0015675B">
              <w:rPr>
                <w:i/>
                <w:vertAlign w:val="subscript"/>
              </w:rPr>
              <w:t xml:space="preserve"> q, r, p, i, y</w:t>
            </w:r>
            <w:r w:rsidRPr="002600B6">
              <w:t>)</w:t>
            </w:r>
            <w:r w:rsidRPr="0015675B">
              <w:rPr>
                <w:rFonts w:ascii="Times New Roman Bold" w:hAnsi="Times New Roman Bold"/>
              </w:rPr>
              <w:t xml:space="preserve"> / </w:t>
            </w:r>
            <w:r w:rsidRPr="002600B6">
              <w:t>3)</w:t>
            </w:r>
            <w:r w:rsidRPr="0015675B">
              <w:rPr>
                <w:rFonts w:ascii="Times New Roman Bold" w:hAnsi="Times New Roman Bold"/>
              </w:rPr>
              <w:t xml:space="preserve"> </w:t>
            </w:r>
            <w:r w:rsidRPr="002600B6">
              <w:t>*</w:t>
            </w:r>
            <w:r w:rsidRPr="0015675B">
              <w:rPr>
                <w:rFonts w:ascii="Times New Roman Bold" w:hAnsi="Times New Roman Bold"/>
              </w:rPr>
              <w:t xml:space="preserve"> </w:t>
            </w:r>
            <w:r w:rsidRPr="002600B6">
              <w:rPr>
                <w:rFonts w:hint="eastAsia"/>
              </w:rPr>
              <w:t>¼</w:t>
            </w:r>
          </w:p>
          <w:p w14:paraId="7712D593" w14:textId="68C0E287" w:rsidR="00E21852" w:rsidRPr="0015675B" w:rsidRDefault="00E21852" w:rsidP="00E21852">
            <w:pPr>
              <w:pStyle w:val="BodyTextNumbered"/>
              <w:ind w:left="1440"/>
              <w:rPr>
                <w:rFonts w:ascii="Times New Roman Bold" w:hAnsi="Times New Roman Bold"/>
              </w:rPr>
            </w:pPr>
            <w:r w:rsidRPr="00A261C3">
              <w:rPr>
                <w:lang w:val="es-ES"/>
              </w:rPr>
              <w:t>AA</w:t>
            </w:r>
            <w:r w:rsidR="005F232E">
              <w:rPr>
                <w:lang w:val="es-ES"/>
              </w:rPr>
              <w:t>S</w:t>
            </w:r>
            <w:r w:rsidRPr="00A261C3">
              <w:rPr>
                <w:lang w:val="es-ES"/>
              </w:rPr>
              <w:t>P</w:t>
            </w:r>
            <w:r w:rsidRPr="00A261C3">
              <w:rPr>
                <w:i/>
                <w:vertAlign w:val="subscript"/>
                <w:lang w:val="pt-BR"/>
              </w:rPr>
              <w:t xml:space="preserve"> q,</w:t>
            </w:r>
            <w:r>
              <w:rPr>
                <w:i/>
                <w:vertAlign w:val="subscript"/>
                <w:lang w:val="pt-BR"/>
              </w:rPr>
              <w:t xml:space="preserve"> </w:t>
            </w:r>
            <w:r w:rsidRPr="00A261C3">
              <w:rPr>
                <w:i/>
                <w:vertAlign w:val="subscript"/>
                <w:lang w:val="pt-BR"/>
              </w:rPr>
              <w:t>wg,</w:t>
            </w:r>
            <w:r>
              <w:rPr>
                <w:i/>
                <w:vertAlign w:val="subscript"/>
                <w:lang w:val="pt-BR"/>
              </w:rPr>
              <w:t xml:space="preserve"> p,</w:t>
            </w:r>
            <w:r w:rsidRPr="00A261C3">
              <w:rPr>
                <w:i/>
                <w:vertAlign w:val="subscript"/>
                <w:lang w:val="pt-BR"/>
              </w:rPr>
              <w:t xml:space="preserve"> i</w:t>
            </w:r>
            <w:r>
              <w:rPr>
                <w:i/>
                <w:vertAlign w:val="subscript"/>
                <w:lang w:val="pt-BR"/>
              </w:rPr>
              <w:t xml:space="preserve"> </w:t>
            </w:r>
            <w:r w:rsidRPr="00A261C3">
              <w:rPr>
                <w:i/>
                <w:vertAlign w:val="subscript"/>
                <w:lang w:val="pt-BR"/>
              </w:rPr>
              <w:t xml:space="preserve"> </w:t>
            </w:r>
            <w:r w:rsidRPr="00A261C3">
              <w:rPr>
                <w:lang w:val="pt-BR"/>
              </w:rPr>
              <w:t xml:space="preserve">= </w:t>
            </w:r>
            <w:r>
              <w:rPr>
                <w:noProof/>
                <w:position w:val="-18"/>
              </w:rPr>
              <w:drawing>
                <wp:inline distT="0" distB="0" distL="0" distR="0" wp14:anchorId="4D3ABE0B" wp14:editId="00D06970">
                  <wp:extent cx="135255" cy="246380"/>
                  <wp:effectExtent l="0" t="0" r="0" b="1270"/>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261C3">
              <w:rPr>
                <w:lang w:val="es-ES"/>
              </w:rPr>
              <w:t>(</w:t>
            </w:r>
            <w:r w:rsidRPr="00A261C3">
              <w:rPr>
                <w:lang w:val="pt-BR"/>
              </w:rPr>
              <w:t>AA</w:t>
            </w:r>
            <w:r w:rsidR="005F232E">
              <w:rPr>
                <w:lang w:val="pt-BR"/>
              </w:rPr>
              <w:t>S</w:t>
            </w:r>
            <w:r w:rsidRPr="00A261C3">
              <w:rPr>
                <w:lang w:val="pt-BR"/>
              </w:rPr>
              <w:t>P</w:t>
            </w:r>
            <w:r w:rsidRPr="00A261C3">
              <w:rPr>
                <w:i/>
                <w:vertAlign w:val="subscript"/>
                <w:lang w:val="pt-BR"/>
              </w:rPr>
              <w:t xml:space="preserve"> q,</w:t>
            </w:r>
            <w:r w:rsidR="0045796A">
              <w:rPr>
                <w:i/>
                <w:vertAlign w:val="subscript"/>
                <w:lang w:val="pt-BR"/>
              </w:rPr>
              <w:t xml:space="preserve"> </w:t>
            </w:r>
            <w:r w:rsidRPr="00A261C3">
              <w:rPr>
                <w:i/>
                <w:vertAlign w:val="subscript"/>
                <w:lang w:val="pt-BR"/>
              </w:rPr>
              <w:t>r, p, i</w:t>
            </w:r>
            <w:r w:rsidRPr="00A261C3">
              <w:rPr>
                <w:lang w:val="pt-BR"/>
              </w:rPr>
              <w:t>)</w:t>
            </w:r>
          </w:p>
          <w:p w14:paraId="289852E1" w14:textId="77777777" w:rsidR="00E21852" w:rsidRDefault="00E21852" w:rsidP="00E21852">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1459"/>
              <w:gridCol w:w="5942"/>
            </w:tblGrid>
            <w:tr w:rsidR="0045796A" w:rsidRPr="00B2348D" w14:paraId="0CED3DE2" w14:textId="77777777" w:rsidTr="00AB2BB6">
              <w:trPr>
                <w:cantSplit/>
                <w:tblHeader/>
              </w:trPr>
              <w:tc>
                <w:tcPr>
                  <w:tcW w:w="2428" w:type="dxa"/>
                </w:tcPr>
                <w:p w14:paraId="0C892B77" w14:textId="77777777" w:rsidR="0045796A" w:rsidRPr="00B2348D" w:rsidRDefault="0045796A" w:rsidP="0045796A">
                  <w:pPr>
                    <w:pStyle w:val="TableHead"/>
                    <w:tabs>
                      <w:tab w:val="right" w:pos="9360"/>
                    </w:tabs>
                  </w:pPr>
                  <w:r w:rsidRPr="006624C0">
                    <w:t>Variable</w:t>
                  </w:r>
                </w:p>
              </w:tc>
              <w:tc>
                <w:tcPr>
                  <w:tcW w:w="1459" w:type="dxa"/>
                </w:tcPr>
                <w:p w14:paraId="05552C95" w14:textId="77777777" w:rsidR="0045796A" w:rsidRPr="00B2348D" w:rsidRDefault="0045796A" w:rsidP="0045796A">
                  <w:pPr>
                    <w:pStyle w:val="TableHead"/>
                    <w:tabs>
                      <w:tab w:val="right" w:pos="9360"/>
                    </w:tabs>
                  </w:pPr>
                  <w:r w:rsidRPr="006624C0">
                    <w:t>Unit</w:t>
                  </w:r>
                </w:p>
              </w:tc>
              <w:tc>
                <w:tcPr>
                  <w:tcW w:w="5942" w:type="dxa"/>
                </w:tcPr>
                <w:p w14:paraId="2F9BF405" w14:textId="77777777" w:rsidR="0045796A" w:rsidRPr="00B2348D" w:rsidRDefault="0045796A" w:rsidP="0045796A">
                  <w:pPr>
                    <w:pStyle w:val="TableHead"/>
                    <w:tabs>
                      <w:tab w:val="right" w:pos="9360"/>
                    </w:tabs>
                  </w:pPr>
                  <w:r w:rsidRPr="006624C0">
                    <w:t>Definition</w:t>
                  </w:r>
                </w:p>
              </w:tc>
            </w:tr>
            <w:tr w:rsidR="0045796A" w:rsidRPr="00B2348D" w14:paraId="7EB4C2F5" w14:textId="77777777" w:rsidTr="00AB2BB6">
              <w:trPr>
                <w:cantSplit/>
              </w:trPr>
              <w:tc>
                <w:tcPr>
                  <w:tcW w:w="2428" w:type="dxa"/>
                </w:tcPr>
                <w:p w14:paraId="046BC752" w14:textId="4ABF5060" w:rsidR="0045796A" w:rsidRPr="00B2348D" w:rsidRDefault="005F232E" w:rsidP="0045796A">
                  <w:pPr>
                    <w:pStyle w:val="TableBody"/>
                  </w:pPr>
                  <w:r>
                    <w:t>S</w:t>
                  </w:r>
                  <w:r w:rsidR="0045796A" w:rsidRPr="006624C0">
                    <w:t xml:space="preserve">PDAMT </w:t>
                  </w:r>
                  <w:r w:rsidR="0045796A" w:rsidRPr="006624C0">
                    <w:rPr>
                      <w:i/>
                      <w:vertAlign w:val="subscript"/>
                    </w:rPr>
                    <w:t>q, r, p, i</w:t>
                  </w:r>
                </w:p>
              </w:tc>
              <w:tc>
                <w:tcPr>
                  <w:tcW w:w="1459" w:type="dxa"/>
                </w:tcPr>
                <w:p w14:paraId="35CA3B74" w14:textId="77777777" w:rsidR="0045796A" w:rsidRPr="00B2348D" w:rsidRDefault="0045796A" w:rsidP="0045796A">
                  <w:pPr>
                    <w:pStyle w:val="TableBody"/>
                  </w:pPr>
                  <w:r w:rsidRPr="006624C0">
                    <w:t>$</w:t>
                  </w:r>
                </w:p>
              </w:tc>
              <w:tc>
                <w:tcPr>
                  <w:tcW w:w="5942" w:type="dxa"/>
                </w:tcPr>
                <w:p w14:paraId="2A57A07E" w14:textId="225E9126" w:rsidR="0045796A" w:rsidRPr="00B2348D" w:rsidRDefault="005F232E" w:rsidP="005F232E">
                  <w:pPr>
                    <w:pStyle w:val="TableBody"/>
                  </w:pPr>
                  <w:r>
                    <w:rPr>
                      <w:i/>
                    </w:rPr>
                    <w:t>Set</w:t>
                  </w:r>
                  <w:r w:rsidR="0045796A" w:rsidRPr="006624C0">
                    <w:rPr>
                      <w:i/>
                    </w:rPr>
                    <w:t xml:space="preserve"> Point Deviation Charge per QSE per Settlement Point per Resource</w:t>
                  </w:r>
                  <w:r w:rsidR="0045796A" w:rsidRPr="006624C0">
                    <w:t xml:space="preserve">—The charge to QSE </w:t>
                  </w:r>
                  <w:r w:rsidR="0045796A" w:rsidRPr="006624C0">
                    <w:rPr>
                      <w:i/>
                    </w:rPr>
                    <w:t>q</w:t>
                  </w:r>
                  <w:r w:rsidR="0045796A" w:rsidRPr="006624C0">
                    <w:t xml:space="preserve"> for Generation Resource </w:t>
                  </w:r>
                  <w:r w:rsidR="0045796A" w:rsidRPr="006624C0">
                    <w:rPr>
                      <w:i/>
                    </w:rPr>
                    <w:t>r</w:t>
                  </w:r>
                  <w:r w:rsidR="0045796A" w:rsidRPr="006624C0">
                    <w:t xml:space="preserve"> at Resource Node </w:t>
                  </w:r>
                  <w:r w:rsidR="0045796A" w:rsidRPr="006624C0">
                    <w:rPr>
                      <w:i/>
                    </w:rPr>
                    <w:t>p</w:t>
                  </w:r>
                  <w:r w:rsidR="0045796A" w:rsidRPr="006624C0">
                    <w:t xml:space="preserve">, for its deviation from </w:t>
                  </w:r>
                  <w:r>
                    <w:t>AASP</w:t>
                  </w:r>
                  <w:r w:rsidR="0045796A" w:rsidRPr="006624C0">
                    <w:t xml:space="preserve">, for the 15-minute Settlement Interval </w:t>
                  </w:r>
                  <w:r w:rsidR="0045796A" w:rsidRPr="006624C0">
                    <w:rPr>
                      <w:i/>
                    </w:rPr>
                    <w:t>i</w:t>
                  </w:r>
                  <w:r w:rsidR="0045796A" w:rsidRPr="006624C0">
                    <w:t xml:space="preserve">.  The </w:t>
                  </w:r>
                  <w:r>
                    <w:t>Set</w:t>
                  </w:r>
                  <w:r w:rsidR="0045796A" w:rsidRPr="006624C0">
                    <w:t xml:space="preserve"> Point Deviation Charge is charged to the Combined Cycle Train for all Combined Cycle Generation Resources.</w:t>
                  </w:r>
                </w:p>
              </w:tc>
            </w:tr>
            <w:tr w:rsidR="0045796A" w:rsidRPr="00B2348D" w14:paraId="3A0C463C" w14:textId="77777777" w:rsidTr="00AB2BB6">
              <w:trPr>
                <w:cantSplit/>
              </w:trPr>
              <w:tc>
                <w:tcPr>
                  <w:tcW w:w="2428" w:type="dxa"/>
                </w:tcPr>
                <w:p w14:paraId="77A83241" w14:textId="77777777" w:rsidR="0045796A" w:rsidRPr="00B2348D" w:rsidRDefault="0045796A" w:rsidP="0045796A">
                  <w:pPr>
                    <w:pStyle w:val="TableBody"/>
                  </w:pPr>
                  <w:r w:rsidRPr="006624C0">
                    <w:t xml:space="preserve">RTSPP </w:t>
                  </w:r>
                  <w:r w:rsidRPr="006624C0">
                    <w:rPr>
                      <w:i/>
                      <w:vertAlign w:val="subscript"/>
                    </w:rPr>
                    <w:t>p, i</w:t>
                  </w:r>
                </w:p>
              </w:tc>
              <w:tc>
                <w:tcPr>
                  <w:tcW w:w="1459" w:type="dxa"/>
                </w:tcPr>
                <w:p w14:paraId="0A9CCE32" w14:textId="77777777" w:rsidR="0045796A" w:rsidRPr="00B2348D" w:rsidRDefault="0045796A" w:rsidP="0045796A">
                  <w:pPr>
                    <w:pStyle w:val="TableBody"/>
                  </w:pPr>
                  <w:r w:rsidRPr="006624C0">
                    <w:t>$/MWh</w:t>
                  </w:r>
                </w:p>
              </w:tc>
              <w:tc>
                <w:tcPr>
                  <w:tcW w:w="5942" w:type="dxa"/>
                </w:tcPr>
                <w:p w14:paraId="3C9EFAE7" w14:textId="77777777" w:rsidR="0045796A" w:rsidRPr="00B2348D" w:rsidRDefault="0045796A" w:rsidP="0045796A">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45796A" w:rsidRPr="00B2348D" w14:paraId="07C209BE" w14:textId="77777777" w:rsidTr="00AB2BB6">
              <w:trPr>
                <w:cantSplit/>
              </w:trPr>
              <w:tc>
                <w:tcPr>
                  <w:tcW w:w="2428" w:type="dxa"/>
                </w:tcPr>
                <w:p w14:paraId="03EF4F3B" w14:textId="77777777" w:rsidR="0045796A" w:rsidRPr="00B2348D" w:rsidRDefault="0045796A" w:rsidP="0045796A">
                  <w:pPr>
                    <w:pStyle w:val="TableBody"/>
                  </w:pPr>
                  <w:r w:rsidRPr="00B2348D">
                    <w:t xml:space="preserve">TWTG </w:t>
                  </w:r>
                  <w:r w:rsidRPr="006624C0">
                    <w:rPr>
                      <w:i/>
                      <w:vertAlign w:val="subscript"/>
                    </w:rPr>
                    <w:t>q, r, p, i</w:t>
                  </w:r>
                </w:p>
              </w:tc>
              <w:tc>
                <w:tcPr>
                  <w:tcW w:w="1459" w:type="dxa"/>
                </w:tcPr>
                <w:p w14:paraId="0EBF3F56" w14:textId="77777777" w:rsidR="0045796A" w:rsidRPr="00B2348D" w:rsidRDefault="0045796A" w:rsidP="0045796A">
                  <w:pPr>
                    <w:pStyle w:val="TableBody"/>
                  </w:pPr>
                  <w:r w:rsidRPr="00B2348D">
                    <w:t>MWh</w:t>
                  </w:r>
                </w:p>
              </w:tc>
              <w:tc>
                <w:tcPr>
                  <w:tcW w:w="5942" w:type="dxa"/>
                </w:tcPr>
                <w:p w14:paraId="59ED82DC" w14:textId="77777777" w:rsidR="0045796A" w:rsidRPr="00B2348D" w:rsidRDefault="0045796A" w:rsidP="0045796A">
                  <w:pPr>
                    <w:pStyle w:val="TableBody"/>
                    <w:rPr>
                      <w:i/>
                    </w:rPr>
                  </w:pPr>
                  <w:r w:rsidRPr="00B2348D">
                    <w:rPr>
                      <w:i/>
                    </w:rPr>
                    <w:t>Time-Weighted Telemetered Generation per QSE per Settlement Point per Resource</w:t>
                  </w:r>
                  <w:r w:rsidRPr="00B2348D">
                    <w:t xml:space="preserve">—The telemetered generation of Generation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Where for a Combined Cycle Train, the Resource </w:t>
                  </w:r>
                  <w:r w:rsidRPr="00B2348D">
                    <w:rPr>
                      <w:i/>
                    </w:rPr>
                    <w:t xml:space="preserve">r </w:t>
                  </w:r>
                  <w:r w:rsidRPr="00B2348D">
                    <w:t>is the Combined Cycle Train.</w:t>
                  </w:r>
                </w:p>
              </w:tc>
            </w:tr>
            <w:tr w:rsidR="0045796A" w:rsidRPr="00B2348D" w14:paraId="7764A6EE" w14:textId="77777777" w:rsidTr="00AB2BB6">
              <w:trPr>
                <w:cantSplit/>
              </w:trPr>
              <w:tc>
                <w:tcPr>
                  <w:tcW w:w="2428" w:type="dxa"/>
                </w:tcPr>
                <w:p w14:paraId="39FC6D01" w14:textId="20F3276A" w:rsidR="0045796A" w:rsidRPr="00B2348D" w:rsidRDefault="0045796A" w:rsidP="005F232E">
                  <w:pPr>
                    <w:pStyle w:val="TableBody"/>
                  </w:pPr>
                  <w:r w:rsidRPr="00B2348D">
                    <w:t>AA</w:t>
                  </w:r>
                  <w:r w:rsidR="005F232E">
                    <w:t>S</w:t>
                  </w:r>
                  <w:r w:rsidRPr="00B2348D">
                    <w:t>P</w:t>
                  </w:r>
                  <w:r w:rsidRPr="006624C0">
                    <w:rPr>
                      <w:i/>
                      <w:vertAlign w:val="subscript"/>
                    </w:rPr>
                    <w:t xml:space="preserve"> q, r, p, i</w:t>
                  </w:r>
                </w:p>
              </w:tc>
              <w:tc>
                <w:tcPr>
                  <w:tcW w:w="1459" w:type="dxa"/>
                </w:tcPr>
                <w:p w14:paraId="23EE94EF" w14:textId="77777777" w:rsidR="0045796A" w:rsidRPr="00B2348D" w:rsidRDefault="0045796A" w:rsidP="0045796A">
                  <w:pPr>
                    <w:pStyle w:val="TableBody"/>
                  </w:pPr>
                  <w:r w:rsidRPr="00B2348D">
                    <w:t>MW</w:t>
                  </w:r>
                </w:p>
              </w:tc>
              <w:tc>
                <w:tcPr>
                  <w:tcW w:w="5942" w:type="dxa"/>
                </w:tcPr>
                <w:p w14:paraId="12D458F0" w14:textId="2AFF76E6" w:rsidR="0045796A" w:rsidRPr="00B2348D" w:rsidRDefault="005F232E" w:rsidP="005F232E">
                  <w:pPr>
                    <w:pStyle w:val="TableBody"/>
                    <w:rPr>
                      <w:i/>
                    </w:rPr>
                  </w:pPr>
                  <w:r>
                    <w:rPr>
                      <w:i/>
                    </w:rPr>
                    <w:t>Average</w:t>
                  </w:r>
                  <w:r w:rsidR="0045796A" w:rsidRPr="00B2348D">
                    <w:rPr>
                      <w:i/>
                    </w:rPr>
                    <w:t xml:space="preserve"> Aggregated </w:t>
                  </w:r>
                  <w:r>
                    <w:rPr>
                      <w:i/>
                    </w:rPr>
                    <w:t>Set</w:t>
                  </w:r>
                  <w:r w:rsidR="0045796A" w:rsidRPr="00B2348D">
                    <w:rPr>
                      <w:i/>
                    </w:rPr>
                    <w:t xml:space="preserve"> Point per QSE per Settlement Point per Resource</w:t>
                  </w:r>
                  <w:r w:rsidR="0045796A" w:rsidRPr="00B2348D">
                    <w:t xml:space="preserve">—The </w:t>
                  </w:r>
                  <w:r>
                    <w:t>average of the Average Five Minute Clock Interval Set Point (AVGSP5M)</w:t>
                  </w:r>
                  <w:r w:rsidR="0045796A" w:rsidRPr="00B2348D">
                    <w:t xml:space="preserve"> of Generation </w:t>
                  </w:r>
                  <w:r w:rsidR="0045796A">
                    <w:t xml:space="preserve">Resource </w:t>
                  </w:r>
                  <w:r w:rsidR="0045796A" w:rsidRPr="00B2348D">
                    <w:rPr>
                      <w:i/>
                    </w:rPr>
                    <w:t>r</w:t>
                  </w:r>
                  <w:r w:rsidR="0045796A" w:rsidRPr="00B2348D">
                    <w:t xml:space="preserve"> represented by QSE </w:t>
                  </w:r>
                  <w:r w:rsidR="0045796A" w:rsidRPr="00B2348D">
                    <w:rPr>
                      <w:i/>
                    </w:rPr>
                    <w:t>q</w:t>
                  </w:r>
                  <w:r w:rsidR="0045796A" w:rsidRPr="00B2348D">
                    <w:t xml:space="preserve"> at </w:t>
                  </w:r>
                  <w:r w:rsidR="0045796A">
                    <w:t>Settlement Point</w:t>
                  </w:r>
                  <w:r w:rsidR="0045796A" w:rsidRPr="00B2348D">
                    <w:t xml:space="preserve"> </w:t>
                  </w:r>
                  <w:r w:rsidR="0045796A" w:rsidRPr="00B2348D">
                    <w:rPr>
                      <w:i/>
                    </w:rPr>
                    <w:t>p,</w:t>
                  </w:r>
                  <w:r w:rsidR="0045796A" w:rsidRPr="00B2348D">
                    <w:t xml:space="preserve"> for the 15-minute Settlement Interval</w:t>
                  </w:r>
                  <w:r w:rsidR="0045796A" w:rsidRPr="00B2348D">
                    <w:rPr>
                      <w:i/>
                    </w:rPr>
                    <w:t xml:space="preserve"> i</w:t>
                  </w:r>
                  <w:r w:rsidR="0045796A" w:rsidRPr="00B2348D">
                    <w:t>.  Where for a Combined Cycle Train, AA</w:t>
                  </w:r>
                  <w:r>
                    <w:t>S</w:t>
                  </w:r>
                  <w:r w:rsidR="0045796A" w:rsidRPr="00B2348D">
                    <w:t xml:space="preserve">P is calculated for the Combined Cycle Train considering all </w:t>
                  </w:r>
                  <w:r>
                    <w:t>UDSPs</w:t>
                  </w:r>
                  <w:r w:rsidR="0045796A" w:rsidRPr="00B2348D">
                    <w:t xml:space="preserve"> to any Combined Cycle Generation Resources within the Combined Cycle Train</w:t>
                  </w:r>
                  <w:r w:rsidR="0045796A">
                    <w:t>.</w:t>
                  </w:r>
                </w:p>
              </w:tc>
            </w:tr>
            <w:tr w:rsidR="0045796A" w:rsidRPr="00B2348D" w14:paraId="1948BF49" w14:textId="77777777" w:rsidTr="00AB2BB6">
              <w:trPr>
                <w:cantSplit/>
              </w:trPr>
              <w:tc>
                <w:tcPr>
                  <w:tcW w:w="2428" w:type="dxa"/>
                </w:tcPr>
                <w:p w14:paraId="6B64FE0E" w14:textId="77777777" w:rsidR="0045796A" w:rsidRPr="00B2348D" w:rsidRDefault="0045796A" w:rsidP="0045796A">
                  <w:pPr>
                    <w:pStyle w:val="TableBody"/>
                  </w:pPr>
                  <w:r w:rsidRPr="006624C0">
                    <w:t>AVGTG5M</w:t>
                  </w:r>
                  <w:r w:rsidRPr="006624C0">
                    <w:rPr>
                      <w:i/>
                      <w:vertAlign w:val="subscript"/>
                      <w:lang w:val="fr-FR"/>
                    </w:rPr>
                    <w:t xml:space="preserve"> q, r, p, i, y</w:t>
                  </w:r>
                </w:p>
              </w:tc>
              <w:tc>
                <w:tcPr>
                  <w:tcW w:w="1459" w:type="dxa"/>
                </w:tcPr>
                <w:p w14:paraId="1C735A32" w14:textId="77777777" w:rsidR="0045796A" w:rsidRPr="00B2348D" w:rsidRDefault="0045796A" w:rsidP="0045796A">
                  <w:pPr>
                    <w:pStyle w:val="TableBody"/>
                  </w:pPr>
                  <w:r w:rsidRPr="006624C0">
                    <w:t>MW</w:t>
                  </w:r>
                </w:p>
              </w:tc>
              <w:tc>
                <w:tcPr>
                  <w:tcW w:w="5942" w:type="dxa"/>
                </w:tcPr>
                <w:p w14:paraId="1057F46D" w14:textId="77777777" w:rsidR="0045796A" w:rsidRPr="00B2348D" w:rsidRDefault="0045796A" w:rsidP="0045796A">
                  <w:pPr>
                    <w:pStyle w:val="TableBody"/>
                  </w:pPr>
                  <w:r w:rsidRPr="006624C0">
                    <w:rPr>
                      <w:i/>
                    </w:rPr>
                    <w:t>Average Telemetered Generation for the 5 Minutes</w:t>
                  </w:r>
                  <w:r w:rsidRPr="006624C0">
                    <w:t xml:space="preserve">—The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45796A" w:rsidRPr="00B2348D" w14:paraId="40D8AEE0" w14:textId="77777777" w:rsidTr="00AB2BB6">
              <w:trPr>
                <w:cantSplit/>
              </w:trPr>
              <w:tc>
                <w:tcPr>
                  <w:tcW w:w="2428" w:type="dxa"/>
                </w:tcPr>
                <w:p w14:paraId="16DF0427" w14:textId="77777777" w:rsidR="0045796A" w:rsidRPr="00B2348D" w:rsidRDefault="0045796A" w:rsidP="0045796A">
                  <w:pPr>
                    <w:pStyle w:val="TableBody"/>
                  </w:pPr>
                  <w:r w:rsidRPr="006624C0">
                    <w:t xml:space="preserve">OGEN </w:t>
                  </w:r>
                  <w:r w:rsidRPr="006624C0">
                    <w:rPr>
                      <w:i/>
                      <w:vertAlign w:val="subscript"/>
                    </w:rPr>
                    <w:t>q, r, p, i</w:t>
                  </w:r>
                </w:p>
              </w:tc>
              <w:tc>
                <w:tcPr>
                  <w:tcW w:w="1459" w:type="dxa"/>
                </w:tcPr>
                <w:p w14:paraId="04AEFB3A" w14:textId="77777777" w:rsidR="0045796A" w:rsidRPr="00B2348D" w:rsidRDefault="0045796A" w:rsidP="0045796A">
                  <w:pPr>
                    <w:pStyle w:val="TableBody"/>
                  </w:pPr>
                  <w:r w:rsidRPr="006624C0">
                    <w:t>MW</w:t>
                  </w:r>
                  <w:r>
                    <w:t>h</w:t>
                  </w:r>
                </w:p>
              </w:tc>
              <w:tc>
                <w:tcPr>
                  <w:tcW w:w="5942" w:type="dxa"/>
                </w:tcPr>
                <w:p w14:paraId="47E8963E" w14:textId="1FEB19BF" w:rsidR="0045796A" w:rsidRPr="00B2348D" w:rsidRDefault="0045796A" w:rsidP="00523F79">
                  <w:pPr>
                    <w:pStyle w:val="TableBody"/>
                  </w:pPr>
                  <w:r w:rsidRPr="006624C0">
                    <w:rPr>
                      <w:i/>
                    </w:rPr>
                    <w:t>Over Generation Volumes per QSE per Settlement Point per Resource</w:t>
                  </w:r>
                  <w:r w:rsidRPr="006624C0">
                    <w:t xml:space="preserve">—The amount over-generated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 </w:t>
                  </w:r>
                  <w:r w:rsidRPr="006624C0">
                    <w:rPr>
                      <w:i/>
                    </w:rPr>
                    <w:t>i</w:t>
                  </w:r>
                  <w:r w:rsidRPr="006624C0">
                    <w:t>.</w:t>
                  </w:r>
                </w:p>
              </w:tc>
            </w:tr>
            <w:tr w:rsidR="0045796A" w:rsidRPr="00B2348D" w14:paraId="3F90C63F" w14:textId="77777777" w:rsidTr="00AB2BB6">
              <w:trPr>
                <w:cantSplit/>
              </w:trPr>
              <w:tc>
                <w:tcPr>
                  <w:tcW w:w="2428" w:type="dxa"/>
                </w:tcPr>
                <w:p w14:paraId="53B9A5DC" w14:textId="77777777" w:rsidR="0045796A" w:rsidRPr="00B2348D" w:rsidRDefault="0045796A" w:rsidP="0045796A">
                  <w:pPr>
                    <w:pStyle w:val="TableBody"/>
                  </w:pPr>
                  <w:r w:rsidRPr="006624C0">
                    <w:t>PR1</w:t>
                  </w:r>
                </w:p>
              </w:tc>
              <w:tc>
                <w:tcPr>
                  <w:tcW w:w="1459" w:type="dxa"/>
                </w:tcPr>
                <w:p w14:paraId="141CC4A3" w14:textId="77777777" w:rsidR="0045796A" w:rsidRPr="00B2348D" w:rsidRDefault="0045796A" w:rsidP="0045796A">
                  <w:pPr>
                    <w:pStyle w:val="TableBody"/>
                  </w:pPr>
                  <w:r w:rsidRPr="006624C0">
                    <w:t>$/MWh</w:t>
                  </w:r>
                </w:p>
              </w:tc>
              <w:tc>
                <w:tcPr>
                  <w:tcW w:w="5942" w:type="dxa"/>
                </w:tcPr>
                <w:p w14:paraId="2EB06148" w14:textId="25811745" w:rsidR="0045796A" w:rsidRPr="00B2348D" w:rsidRDefault="0045796A" w:rsidP="005F232E">
                  <w:pPr>
                    <w:pStyle w:val="TableBody"/>
                  </w:pPr>
                  <w:r>
                    <w:t xml:space="preserve">The </w:t>
                  </w:r>
                  <w:r w:rsidRPr="006624C0">
                    <w:t xml:space="preserve">price to use for the </w:t>
                  </w:r>
                  <w:r w:rsidR="005F232E">
                    <w:t>Set</w:t>
                  </w:r>
                  <w:r w:rsidRPr="006624C0">
                    <w:t xml:space="preserve"> Point Deviation Charge for over-generation when RTSPP is less than $20</w:t>
                  </w:r>
                  <w:r>
                    <w:t>/MWh, $20/MWh</w:t>
                  </w:r>
                  <w:r w:rsidRPr="006624C0">
                    <w:t xml:space="preserve">.  </w:t>
                  </w:r>
                </w:p>
              </w:tc>
            </w:tr>
            <w:tr w:rsidR="0045796A" w:rsidRPr="00B2348D" w14:paraId="19364127" w14:textId="77777777" w:rsidTr="00AB2BB6">
              <w:trPr>
                <w:cantSplit/>
              </w:trPr>
              <w:tc>
                <w:tcPr>
                  <w:tcW w:w="2428" w:type="dxa"/>
                </w:tcPr>
                <w:p w14:paraId="3012367B" w14:textId="77777777" w:rsidR="0045796A" w:rsidRPr="00B2348D" w:rsidRDefault="0045796A" w:rsidP="0045796A">
                  <w:pPr>
                    <w:pStyle w:val="TableBody"/>
                  </w:pPr>
                  <w:r w:rsidRPr="006624C0">
                    <w:t>K1</w:t>
                  </w:r>
                </w:p>
              </w:tc>
              <w:tc>
                <w:tcPr>
                  <w:tcW w:w="1459" w:type="dxa"/>
                </w:tcPr>
                <w:p w14:paraId="45C0CD1F" w14:textId="77777777" w:rsidR="0045796A" w:rsidRPr="00B2348D" w:rsidRDefault="0045796A" w:rsidP="0045796A">
                  <w:pPr>
                    <w:pStyle w:val="TableBody"/>
                  </w:pPr>
                  <w:r w:rsidRPr="006624C0">
                    <w:t>none</w:t>
                  </w:r>
                </w:p>
              </w:tc>
              <w:tc>
                <w:tcPr>
                  <w:tcW w:w="5942" w:type="dxa"/>
                </w:tcPr>
                <w:p w14:paraId="108A0032" w14:textId="77777777" w:rsidR="0045796A" w:rsidRPr="00B2348D" w:rsidRDefault="0045796A" w:rsidP="0045796A">
                  <w:pPr>
                    <w:pStyle w:val="TableBody"/>
                  </w:pPr>
                  <w:r w:rsidRPr="006624C0">
                    <w:t xml:space="preserve">The percentage tolerance for over-generation, 5%.  </w:t>
                  </w:r>
                </w:p>
              </w:tc>
            </w:tr>
            <w:tr w:rsidR="0045796A" w:rsidRPr="00B2348D" w14:paraId="4619F6F8" w14:textId="77777777" w:rsidTr="00AB2BB6">
              <w:trPr>
                <w:cantSplit/>
              </w:trPr>
              <w:tc>
                <w:tcPr>
                  <w:tcW w:w="2428" w:type="dxa"/>
                </w:tcPr>
                <w:p w14:paraId="516E377B" w14:textId="77777777" w:rsidR="0045796A" w:rsidRPr="00B2348D" w:rsidRDefault="0045796A" w:rsidP="0045796A">
                  <w:pPr>
                    <w:pStyle w:val="TableBody"/>
                  </w:pPr>
                  <w:r w:rsidRPr="006624C0">
                    <w:t>Q1</w:t>
                  </w:r>
                </w:p>
              </w:tc>
              <w:tc>
                <w:tcPr>
                  <w:tcW w:w="1459" w:type="dxa"/>
                </w:tcPr>
                <w:p w14:paraId="0C533A03" w14:textId="77777777" w:rsidR="0045796A" w:rsidRPr="00B2348D" w:rsidRDefault="0045796A" w:rsidP="0045796A">
                  <w:pPr>
                    <w:pStyle w:val="TableBody"/>
                  </w:pPr>
                  <w:r w:rsidRPr="006624C0">
                    <w:t>MW</w:t>
                  </w:r>
                </w:p>
              </w:tc>
              <w:tc>
                <w:tcPr>
                  <w:tcW w:w="5942" w:type="dxa"/>
                </w:tcPr>
                <w:p w14:paraId="6FE52DC6" w14:textId="77777777" w:rsidR="0045796A" w:rsidRPr="00B2348D" w:rsidRDefault="0045796A" w:rsidP="0045796A">
                  <w:pPr>
                    <w:pStyle w:val="TableBody"/>
                  </w:pPr>
                  <w:r w:rsidRPr="006624C0">
                    <w:t>The MW tolerance for over-generation, five MW.</w:t>
                  </w:r>
                </w:p>
              </w:tc>
            </w:tr>
            <w:tr w:rsidR="0045796A" w:rsidRPr="00B2348D" w14:paraId="5AC28CDC" w14:textId="77777777" w:rsidTr="00AB2BB6">
              <w:trPr>
                <w:cantSplit/>
              </w:trPr>
              <w:tc>
                <w:tcPr>
                  <w:tcW w:w="2428" w:type="dxa"/>
                </w:tcPr>
                <w:p w14:paraId="6D24739D" w14:textId="77777777" w:rsidR="0045796A" w:rsidRPr="00AB1AD6" w:rsidRDefault="0045796A" w:rsidP="0045796A">
                  <w:pPr>
                    <w:spacing w:after="60"/>
                    <w:rPr>
                      <w:iCs/>
                      <w:sz w:val="20"/>
                    </w:rPr>
                  </w:pPr>
                  <w:r>
                    <w:rPr>
                      <w:iCs/>
                      <w:sz w:val="20"/>
                    </w:rPr>
                    <w:t>N</w:t>
                  </w:r>
                </w:p>
              </w:tc>
              <w:tc>
                <w:tcPr>
                  <w:tcW w:w="1459" w:type="dxa"/>
                </w:tcPr>
                <w:p w14:paraId="2A7440FA" w14:textId="77777777" w:rsidR="0045796A" w:rsidRPr="00AB1AD6" w:rsidRDefault="0045796A" w:rsidP="0045796A">
                  <w:pPr>
                    <w:spacing w:after="60"/>
                    <w:rPr>
                      <w:iCs/>
                      <w:sz w:val="20"/>
                    </w:rPr>
                  </w:pPr>
                  <w:r>
                    <w:rPr>
                      <w:iCs/>
                      <w:sz w:val="20"/>
                    </w:rPr>
                    <w:t>none</w:t>
                  </w:r>
                </w:p>
              </w:tc>
              <w:tc>
                <w:tcPr>
                  <w:tcW w:w="5942" w:type="dxa"/>
                </w:tcPr>
                <w:p w14:paraId="48ED82DF" w14:textId="77777777" w:rsidR="0045796A" w:rsidRPr="00AB1AD6" w:rsidRDefault="0045796A" w:rsidP="0045796A">
                  <w:pPr>
                    <w:spacing w:after="60"/>
                    <w:rPr>
                      <w:iCs/>
                      <w:sz w:val="20"/>
                    </w:rPr>
                  </w:pPr>
                  <w:r>
                    <w:rPr>
                      <w:iCs/>
                      <w:sz w:val="20"/>
                    </w:rPr>
                    <w:t>The number of IRRs within an IRR Group.</w:t>
                  </w:r>
                </w:p>
              </w:tc>
            </w:tr>
            <w:tr w:rsidR="0045796A" w:rsidRPr="00B2348D" w14:paraId="09E4E6AE" w14:textId="77777777" w:rsidTr="00AB2BB6">
              <w:trPr>
                <w:cantSplit/>
              </w:trPr>
              <w:tc>
                <w:tcPr>
                  <w:tcW w:w="2428" w:type="dxa"/>
                </w:tcPr>
                <w:p w14:paraId="74A2CAAE" w14:textId="77777777" w:rsidR="0045796A" w:rsidRPr="00B2348D" w:rsidRDefault="0045796A" w:rsidP="0045796A">
                  <w:pPr>
                    <w:pStyle w:val="TableBody"/>
                    <w:rPr>
                      <w:i/>
                    </w:rPr>
                  </w:pPr>
                  <w:r>
                    <w:rPr>
                      <w:i/>
                    </w:rPr>
                    <w:t>q</w:t>
                  </w:r>
                </w:p>
              </w:tc>
              <w:tc>
                <w:tcPr>
                  <w:tcW w:w="1459" w:type="dxa"/>
                </w:tcPr>
                <w:p w14:paraId="24467198" w14:textId="77777777" w:rsidR="0045796A" w:rsidRPr="00B2348D" w:rsidRDefault="0045796A" w:rsidP="0045796A">
                  <w:pPr>
                    <w:pStyle w:val="TableBody"/>
                  </w:pPr>
                  <w:r w:rsidRPr="006624C0">
                    <w:t>none</w:t>
                  </w:r>
                </w:p>
              </w:tc>
              <w:tc>
                <w:tcPr>
                  <w:tcW w:w="5942" w:type="dxa"/>
                </w:tcPr>
                <w:p w14:paraId="3D809BC7" w14:textId="77777777" w:rsidR="0045796A" w:rsidRPr="00B2348D" w:rsidRDefault="0045796A" w:rsidP="0045796A">
                  <w:pPr>
                    <w:pStyle w:val="TableBody"/>
                  </w:pPr>
                  <w:r w:rsidRPr="006624C0">
                    <w:t>A QSE.</w:t>
                  </w:r>
                </w:p>
              </w:tc>
            </w:tr>
            <w:tr w:rsidR="0045796A" w:rsidRPr="00B2348D" w14:paraId="690A57B8" w14:textId="77777777" w:rsidTr="00AB2BB6">
              <w:trPr>
                <w:cantSplit/>
              </w:trPr>
              <w:tc>
                <w:tcPr>
                  <w:tcW w:w="2428" w:type="dxa"/>
                </w:tcPr>
                <w:p w14:paraId="2D725C55" w14:textId="77777777" w:rsidR="0045796A" w:rsidRPr="00B2348D" w:rsidRDefault="0045796A" w:rsidP="0045796A">
                  <w:pPr>
                    <w:pStyle w:val="TableBody"/>
                    <w:rPr>
                      <w:i/>
                    </w:rPr>
                  </w:pPr>
                  <w:r>
                    <w:rPr>
                      <w:i/>
                    </w:rPr>
                    <w:t>p</w:t>
                  </w:r>
                </w:p>
              </w:tc>
              <w:tc>
                <w:tcPr>
                  <w:tcW w:w="1459" w:type="dxa"/>
                </w:tcPr>
                <w:p w14:paraId="174CE86C" w14:textId="77777777" w:rsidR="0045796A" w:rsidRPr="00B2348D" w:rsidRDefault="0045796A" w:rsidP="0045796A">
                  <w:pPr>
                    <w:pStyle w:val="TableBody"/>
                  </w:pPr>
                  <w:r w:rsidRPr="006624C0">
                    <w:t>none</w:t>
                  </w:r>
                </w:p>
              </w:tc>
              <w:tc>
                <w:tcPr>
                  <w:tcW w:w="5942" w:type="dxa"/>
                </w:tcPr>
                <w:p w14:paraId="7C7D2BE8" w14:textId="77777777" w:rsidR="0045796A" w:rsidRPr="00B2348D" w:rsidRDefault="0045796A" w:rsidP="0045796A">
                  <w:pPr>
                    <w:pStyle w:val="TableBody"/>
                  </w:pPr>
                  <w:r w:rsidRPr="006624C0">
                    <w:t>A Settlement Point.</w:t>
                  </w:r>
                </w:p>
              </w:tc>
            </w:tr>
            <w:tr w:rsidR="0045796A" w:rsidRPr="00B2348D" w14:paraId="534AF67B" w14:textId="77777777" w:rsidTr="00AB2BB6">
              <w:trPr>
                <w:cantSplit/>
              </w:trPr>
              <w:tc>
                <w:tcPr>
                  <w:tcW w:w="2428" w:type="dxa"/>
                </w:tcPr>
                <w:p w14:paraId="4CD4122C" w14:textId="77777777" w:rsidR="0045796A" w:rsidRPr="00B2348D" w:rsidRDefault="0045796A" w:rsidP="0045796A">
                  <w:pPr>
                    <w:pStyle w:val="TableBody"/>
                    <w:tabs>
                      <w:tab w:val="right" w:pos="9360"/>
                    </w:tabs>
                    <w:rPr>
                      <w:i/>
                    </w:rPr>
                  </w:pPr>
                  <w:r>
                    <w:rPr>
                      <w:i/>
                    </w:rPr>
                    <w:t>r</w:t>
                  </w:r>
                </w:p>
              </w:tc>
              <w:tc>
                <w:tcPr>
                  <w:tcW w:w="1459" w:type="dxa"/>
                </w:tcPr>
                <w:p w14:paraId="7ECA0423" w14:textId="77777777" w:rsidR="0045796A" w:rsidRPr="00B2348D" w:rsidRDefault="0045796A" w:rsidP="0045796A">
                  <w:pPr>
                    <w:pStyle w:val="TableBody"/>
                    <w:tabs>
                      <w:tab w:val="right" w:pos="9360"/>
                    </w:tabs>
                  </w:pPr>
                  <w:r w:rsidRPr="006624C0">
                    <w:t>none</w:t>
                  </w:r>
                </w:p>
              </w:tc>
              <w:tc>
                <w:tcPr>
                  <w:tcW w:w="5942" w:type="dxa"/>
                </w:tcPr>
                <w:p w14:paraId="270DB0F9" w14:textId="08B7BC3B" w:rsidR="0045796A" w:rsidRPr="00B2348D" w:rsidRDefault="0045796A" w:rsidP="0045796A">
                  <w:pPr>
                    <w:pStyle w:val="TableBody"/>
                    <w:tabs>
                      <w:tab w:val="right" w:pos="9360"/>
                    </w:tabs>
                    <w:rPr>
                      <w:lang w:val="fr-FR"/>
                    </w:rPr>
                  </w:pPr>
                  <w:r w:rsidRPr="006624C0">
                    <w:rPr>
                      <w:lang w:val="fr-FR"/>
                    </w:rPr>
                    <w:t xml:space="preserve">A non-exempt </w:t>
                  </w:r>
                  <w:r w:rsidR="008152FC">
                    <w:rPr>
                      <w:lang w:val="fr-FR"/>
                    </w:rPr>
                    <w:t xml:space="preserve">Generation </w:t>
                  </w:r>
                  <w:r w:rsidRPr="006624C0">
                    <w:rPr>
                      <w:lang w:val="fr-FR"/>
                    </w:rPr>
                    <w:t>Resource.</w:t>
                  </w:r>
                </w:p>
              </w:tc>
            </w:tr>
            <w:tr w:rsidR="0045796A" w:rsidRPr="00B2348D" w14:paraId="076A183D" w14:textId="77777777" w:rsidTr="00AB2BB6">
              <w:trPr>
                <w:cantSplit/>
              </w:trPr>
              <w:tc>
                <w:tcPr>
                  <w:tcW w:w="2428" w:type="dxa"/>
                  <w:tcBorders>
                    <w:top w:val="single" w:sz="4" w:space="0" w:color="auto"/>
                    <w:left w:val="single" w:sz="4" w:space="0" w:color="auto"/>
                    <w:bottom w:val="single" w:sz="4" w:space="0" w:color="auto"/>
                    <w:right w:val="single" w:sz="4" w:space="0" w:color="auto"/>
                  </w:tcBorders>
                </w:tcPr>
                <w:p w14:paraId="7DDEA518" w14:textId="77777777" w:rsidR="0045796A" w:rsidRPr="00B2348D" w:rsidRDefault="0045796A" w:rsidP="0045796A">
                  <w:pPr>
                    <w:pStyle w:val="TableBody"/>
                    <w:rPr>
                      <w:i/>
                    </w:rPr>
                  </w:pPr>
                  <w:r>
                    <w:rPr>
                      <w:i/>
                    </w:rPr>
                    <w:t xml:space="preserve">y </w:t>
                  </w:r>
                </w:p>
              </w:tc>
              <w:tc>
                <w:tcPr>
                  <w:tcW w:w="1459" w:type="dxa"/>
                  <w:tcBorders>
                    <w:top w:val="single" w:sz="4" w:space="0" w:color="auto"/>
                    <w:left w:val="single" w:sz="4" w:space="0" w:color="auto"/>
                    <w:bottom w:val="single" w:sz="4" w:space="0" w:color="auto"/>
                    <w:right w:val="single" w:sz="4" w:space="0" w:color="auto"/>
                  </w:tcBorders>
                </w:tcPr>
                <w:p w14:paraId="617096CF" w14:textId="77777777" w:rsidR="0045796A" w:rsidRPr="00B2348D" w:rsidRDefault="0045796A" w:rsidP="0045796A">
                  <w:pPr>
                    <w:pStyle w:val="TableBody"/>
                  </w:pPr>
                  <w:r w:rsidRPr="006624C0">
                    <w:t>none</w:t>
                  </w:r>
                </w:p>
              </w:tc>
              <w:tc>
                <w:tcPr>
                  <w:tcW w:w="5942" w:type="dxa"/>
                  <w:tcBorders>
                    <w:top w:val="single" w:sz="4" w:space="0" w:color="auto"/>
                    <w:left w:val="single" w:sz="4" w:space="0" w:color="auto"/>
                    <w:bottom w:val="single" w:sz="4" w:space="0" w:color="auto"/>
                    <w:right w:val="single" w:sz="4" w:space="0" w:color="auto"/>
                  </w:tcBorders>
                </w:tcPr>
                <w:p w14:paraId="37565E3D" w14:textId="77777777" w:rsidR="0045796A" w:rsidRPr="00B2348D" w:rsidRDefault="0045796A" w:rsidP="0045796A">
                  <w:pPr>
                    <w:pStyle w:val="TableBody"/>
                  </w:pPr>
                  <w:r w:rsidRPr="006624C0">
                    <w:t xml:space="preserve">A five-minute clock interval in the Settlement Interval. </w:t>
                  </w:r>
                </w:p>
              </w:tc>
            </w:tr>
            <w:tr w:rsidR="0045796A" w:rsidRPr="00B2348D" w14:paraId="51D39DC4" w14:textId="77777777" w:rsidTr="00AB2BB6">
              <w:trPr>
                <w:cantSplit/>
              </w:trPr>
              <w:tc>
                <w:tcPr>
                  <w:tcW w:w="2428" w:type="dxa"/>
                  <w:tcBorders>
                    <w:top w:val="single" w:sz="4" w:space="0" w:color="auto"/>
                    <w:left w:val="single" w:sz="4" w:space="0" w:color="auto"/>
                    <w:bottom w:val="single" w:sz="4" w:space="0" w:color="auto"/>
                    <w:right w:val="single" w:sz="4" w:space="0" w:color="auto"/>
                  </w:tcBorders>
                </w:tcPr>
                <w:p w14:paraId="0C3099FB" w14:textId="77777777" w:rsidR="0045796A" w:rsidRPr="00B2348D" w:rsidDel="00714336" w:rsidRDefault="0045796A" w:rsidP="0045796A">
                  <w:pPr>
                    <w:pStyle w:val="TableBody"/>
                    <w:rPr>
                      <w:i/>
                    </w:rPr>
                  </w:pPr>
                  <w:r>
                    <w:rPr>
                      <w:i/>
                    </w:rPr>
                    <w:t>i</w:t>
                  </w:r>
                </w:p>
              </w:tc>
              <w:tc>
                <w:tcPr>
                  <w:tcW w:w="1459" w:type="dxa"/>
                  <w:tcBorders>
                    <w:top w:val="single" w:sz="4" w:space="0" w:color="auto"/>
                    <w:left w:val="single" w:sz="4" w:space="0" w:color="auto"/>
                    <w:bottom w:val="single" w:sz="4" w:space="0" w:color="auto"/>
                    <w:right w:val="single" w:sz="4" w:space="0" w:color="auto"/>
                  </w:tcBorders>
                </w:tcPr>
                <w:p w14:paraId="3F8FE00A" w14:textId="77777777" w:rsidR="0045796A" w:rsidRPr="00B2348D" w:rsidDel="00714336" w:rsidRDefault="0045796A" w:rsidP="0045796A">
                  <w:pPr>
                    <w:pStyle w:val="TableBody"/>
                  </w:pPr>
                  <w:r w:rsidRPr="006624C0">
                    <w:t>none</w:t>
                  </w:r>
                </w:p>
              </w:tc>
              <w:tc>
                <w:tcPr>
                  <w:tcW w:w="5942" w:type="dxa"/>
                  <w:tcBorders>
                    <w:top w:val="single" w:sz="4" w:space="0" w:color="auto"/>
                    <w:left w:val="single" w:sz="4" w:space="0" w:color="auto"/>
                    <w:bottom w:val="single" w:sz="4" w:space="0" w:color="auto"/>
                    <w:right w:val="single" w:sz="4" w:space="0" w:color="auto"/>
                  </w:tcBorders>
                </w:tcPr>
                <w:p w14:paraId="0D92BFC5" w14:textId="77777777" w:rsidR="0045796A" w:rsidRPr="00B2348D" w:rsidDel="00714336" w:rsidRDefault="0045796A" w:rsidP="0045796A">
                  <w:pPr>
                    <w:pStyle w:val="TableBody"/>
                  </w:pPr>
                  <w:r w:rsidRPr="006624C0">
                    <w:t>A 15-minute Settlement Interval.</w:t>
                  </w:r>
                </w:p>
              </w:tc>
            </w:tr>
            <w:tr w:rsidR="0045796A" w:rsidRPr="00B2348D" w14:paraId="39327A2A" w14:textId="77777777" w:rsidTr="00AB2BB6">
              <w:trPr>
                <w:cantSplit/>
              </w:trPr>
              <w:tc>
                <w:tcPr>
                  <w:tcW w:w="2428" w:type="dxa"/>
                  <w:tcBorders>
                    <w:top w:val="single" w:sz="4" w:space="0" w:color="auto"/>
                    <w:left w:val="single" w:sz="4" w:space="0" w:color="auto"/>
                    <w:bottom w:val="single" w:sz="4" w:space="0" w:color="auto"/>
                    <w:right w:val="single" w:sz="4" w:space="0" w:color="auto"/>
                  </w:tcBorders>
                </w:tcPr>
                <w:p w14:paraId="3E5840B2" w14:textId="77777777" w:rsidR="0045796A" w:rsidRPr="00AB1AD6" w:rsidRDefault="0045796A" w:rsidP="0045796A">
                  <w:pPr>
                    <w:spacing w:after="60"/>
                    <w:rPr>
                      <w:iCs/>
                      <w:sz w:val="20"/>
                    </w:rPr>
                  </w:pPr>
                  <w:r>
                    <w:rPr>
                      <w:i/>
                      <w:iCs/>
                      <w:sz w:val="20"/>
                    </w:rPr>
                    <w:t>wg</w:t>
                  </w:r>
                </w:p>
              </w:tc>
              <w:tc>
                <w:tcPr>
                  <w:tcW w:w="1459" w:type="dxa"/>
                  <w:tcBorders>
                    <w:top w:val="single" w:sz="4" w:space="0" w:color="auto"/>
                    <w:left w:val="single" w:sz="4" w:space="0" w:color="auto"/>
                    <w:bottom w:val="single" w:sz="4" w:space="0" w:color="auto"/>
                    <w:right w:val="single" w:sz="4" w:space="0" w:color="auto"/>
                  </w:tcBorders>
                </w:tcPr>
                <w:p w14:paraId="5AB6B3FF" w14:textId="77777777" w:rsidR="0045796A" w:rsidRPr="00AB1AD6" w:rsidRDefault="0045796A" w:rsidP="0045796A">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tcPr>
                <w:p w14:paraId="2E24147B" w14:textId="77777777" w:rsidR="0045796A" w:rsidRPr="00AB1AD6" w:rsidRDefault="0045796A" w:rsidP="0045796A">
                  <w:pPr>
                    <w:spacing w:after="60"/>
                    <w:rPr>
                      <w:iCs/>
                      <w:sz w:val="20"/>
                    </w:rPr>
                  </w:pPr>
                  <w:r>
                    <w:rPr>
                      <w:iCs/>
                      <w:sz w:val="20"/>
                    </w:rPr>
                    <w:t>An IRR Group.</w:t>
                  </w:r>
                </w:p>
              </w:tc>
            </w:tr>
          </w:tbl>
          <w:p w14:paraId="78A47927" w14:textId="5F0189B8" w:rsidR="00E21852" w:rsidRPr="00B37C4B" w:rsidRDefault="00E21852" w:rsidP="00AB2BB6">
            <w:pPr>
              <w:pStyle w:val="H3"/>
            </w:pPr>
          </w:p>
        </w:tc>
      </w:tr>
    </w:tbl>
    <w:p w14:paraId="71E9D68F" w14:textId="77777777" w:rsidR="001F04FD" w:rsidRPr="00503B4D" w:rsidRDefault="001F04FD" w:rsidP="001F04FD">
      <w:pPr>
        <w:pStyle w:val="H4"/>
        <w:tabs>
          <w:tab w:val="clear" w:pos="1260"/>
          <w:tab w:val="left" w:pos="1620"/>
        </w:tabs>
        <w:spacing w:before="480"/>
        <w:ind w:left="1627" w:hanging="1627"/>
        <w:outlineLvl w:val="4"/>
      </w:pPr>
      <w:bookmarkStart w:id="2109" w:name="_Toc204411686"/>
      <w:r w:rsidRPr="00503B4D">
        <w:lastRenderedPageBreak/>
        <w:t>6.6.5.1.1.2</w:t>
      </w:r>
      <w:r w:rsidRPr="00503B4D">
        <w:tab/>
        <w:t>Base Point Deviation Charge for Under Generation</w:t>
      </w:r>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109"/>
    </w:p>
    <w:p w14:paraId="32D916B9" w14:textId="77777777" w:rsidR="001F04FD" w:rsidRDefault="001F04FD" w:rsidP="005755D9">
      <w:pPr>
        <w:pStyle w:val="BodyTextNumbered"/>
      </w:pPr>
      <w:r>
        <w:t>(1)</w:t>
      </w:r>
      <w:r>
        <w:tab/>
        <w:t>ERCOT shall charge a QSE for a Generation Resource for under generation if the metered generation is below the lesser of:</w:t>
      </w:r>
    </w:p>
    <w:p w14:paraId="6060C035" w14:textId="77777777" w:rsidR="001F04FD" w:rsidRDefault="001F04FD" w:rsidP="00BA3F0D">
      <w:pPr>
        <w:pStyle w:val="BodyTextNumbered"/>
        <w:ind w:left="1440"/>
      </w:pPr>
      <w:r>
        <w:t>(a)</w:t>
      </w:r>
      <w:r>
        <w:tab/>
        <w:t>95% of the average of the Base Points in the Settlement Interval adjusted for any Ancillary Service deployments; or</w:t>
      </w:r>
    </w:p>
    <w:p w14:paraId="7ABA9162" w14:textId="77777777" w:rsidR="001F04FD" w:rsidRDefault="001F04FD" w:rsidP="001F04FD">
      <w:pPr>
        <w:pStyle w:val="BodyTextNumbered"/>
        <w:ind w:left="1440"/>
      </w:pPr>
      <w:r>
        <w:t>(b)</w:t>
      </w:r>
      <w:r>
        <w:tab/>
        <w:t>The average of the Base Points in the Settlement Interval adjusted for any Ancillary Service deployments minus five MW.</w:t>
      </w:r>
    </w:p>
    <w:p w14:paraId="18EA0412" w14:textId="77777777" w:rsidR="001F04FD" w:rsidRPr="000149E5" w:rsidRDefault="001F04FD" w:rsidP="00BA3F0D">
      <w:pPr>
        <w:pStyle w:val="BodyTextNumbered"/>
        <w:rPr>
          <w:iCs/>
        </w:rPr>
      </w:pPr>
      <w:r w:rsidRPr="000149E5">
        <w:rPr>
          <w:iCs/>
        </w:rPr>
        <w:t>(2)</w:t>
      </w:r>
      <w:r w:rsidRPr="000149E5">
        <w:rPr>
          <w:iCs/>
        </w:rPr>
        <w:tab/>
        <w:t>The under-generation charge to each QSE for each Generation Resource at each Resource Node Settlement Point for a given 15-minute Settlement Interval is calculated as follows:</w:t>
      </w:r>
    </w:p>
    <w:p w14:paraId="3AB565D8" w14:textId="77777777" w:rsidR="001F04FD" w:rsidRDefault="001F04FD" w:rsidP="00BA3F0D">
      <w:pPr>
        <w:pStyle w:val="Formula"/>
        <w:ind w:left="3611" w:hangingChars="1200" w:hanging="2891"/>
        <w:rPr>
          <w:b/>
        </w:rPr>
      </w:pPr>
      <w:r w:rsidRPr="006624C0">
        <w:rPr>
          <w:b/>
        </w:rPr>
        <w:t xml:space="preserve">BPDAMT </w:t>
      </w:r>
      <w:r w:rsidRPr="006624C0">
        <w:rPr>
          <w:b/>
          <w:i/>
          <w:iCs/>
          <w:vertAlign w:val="subscript"/>
          <w:lang w:val="es-ES"/>
        </w:rPr>
        <w:t>q, r, p, i</w:t>
      </w:r>
      <w:r w:rsidRPr="006624C0">
        <w:rPr>
          <w:b/>
        </w:rPr>
        <w:tab/>
        <w:t>=</w:t>
      </w:r>
      <w:r w:rsidRPr="006624C0">
        <w:rPr>
          <w:b/>
        </w:rPr>
        <w:tab/>
        <w:t>-1 * Min (PR2, RTSPP</w:t>
      </w:r>
      <w:r w:rsidR="00967F3A">
        <w:rPr>
          <w:b/>
        </w:rPr>
        <w:t xml:space="preserve"> </w:t>
      </w:r>
      <w:r w:rsidRPr="006624C0">
        <w:rPr>
          <w:b/>
          <w:i/>
          <w:vertAlign w:val="subscript"/>
        </w:rPr>
        <w:t>p,</w:t>
      </w:r>
      <w:r w:rsidR="00967F3A">
        <w:rPr>
          <w:b/>
          <w:i/>
          <w:vertAlign w:val="subscript"/>
        </w:rPr>
        <w:t xml:space="preserve"> </w:t>
      </w:r>
      <w:r w:rsidRPr="006624C0">
        <w:rPr>
          <w:b/>
          <w:i/>
          <w:vertAlign w:val="subscript"/>
        </w:rPr>
        <w:t>i</w:t>
      </w:r>
      <w:r w:rsidRPr="006624C0">
        <w:rPr>
          <w:b/>
        </w:rPr>
        <w:t>) * Min (1, KP) * UGEN</w:t>
      </w:r>
      <w:r w:rsidRPr="006624C0">
        <w:rPr>
          <w:b/>
          <w:i/>
          <w:iCs/>
          <w:vertAlign w:val="subscript"/>
          <w:lang w:val="es-ES"/>
        </w:rPr>
        <w:t xml:space="preserve"> q, r, p, i </w:t>
      </w:r>
      <w:r w:rsidRPr="006624C0">
        <w:rPr>
          <w:rFonts w:ascii="Times New Roman Bold" w:hAnsi="Times New Roman Bold"/>
          <w:b/>
          <w:iCs/>
          <w:lang w:val="es-ES"/>
        </w:rPr>
        <w:t xml:space="preserve"> </w:t>
      </w:r>
    </w:p>
    <w:p w14:paraId="5C10F12D" w14:textId="77777777" w:rsidR="001F04FD" w:rsidRPr="00A915FE" w:rsidRDefault="001F04FD" w:rsidP="001F04FD">
      <w:pPr>
        <w:pStyle w:val="FormulaBold"/>
        <w:rPr>
          <w:b w:val="0"/>
        </w:rPr>
      </w:pPr>
      <w:r w:rsidRPr="00A915FE">
        <w:rPr>
          <w:b w:val="0"/>
        </w:rPr>
        <w:t>Where:</w:t>
      </w:r>
    </w:p>
    <w:p w14:paraId="11011FCC" w14:textId="77777777" w:rsidR="001F04FD" w:rsidRPr="002600B6" w:rsidRDefault="001F04FD" w:rsidP="001F04FD">
      <w:pPr>
        <w:pStyle w:val="BodyTextNumbered"/>
        <w:ind w:firstLine="0"/>
        <w:rPr>
          <w:i/>
          <w:iCs/>
          <w:vertAlign w:val="subscript"/>
          <w:lang w:val="es-ES"/>
        </w:rPr>
      </w:pPr>
      <w:r w:rsidRPr="002600B6">
        <w:rPr>
          <w:iCs/>
        </w:rPr>
        <w:t>UGEN</w:t>
      </w:r>
      <w:r w:rsidRPr="002600B6">
        <w:rPr>
          <w:i/>
          <w:iCs/>
          <w:vertAlign w:val="subscript"/>
          <w:lang w:val="es-ES"/>
        </w:rPr>
        <w:t xml:space="preserve"> q, r, p, i</w:t>
      </w:r>
      <w:r w:rsidRPr="002600B6">
        <w:rPr>
          <w:iCs/>
        </w:rPr>
        <w:t xml:space="preserve">  =  Max [0, [Min ((1- K2) * ¼* AABP</w:t>
      </w:r>
      <w:r w:rsidRPr="002600B6">
        <w:rPr>
          <w:i/>
          <w:iCs/>
          <w:vertAlign w:val="subscript"/>
          <w:lang w:val="es-ES"/>
        </w:rPr>
        <w:t xml:space="preserve"> q, r, p, i </w:t>
      </w:r>
      <w:r w:rsidRPr="002600B6">
        <w:rPr>
          <w:iCs/>
        </w:rPr>
        <w:t>,</w:t>
      </w:r>
      <w:r w:rsidRPr="002600B6">
        <w:rPr>
          <w:i/>
          <w:iCs/>
          <w:vertAlign w:val="subscript"/>
          <w:lang w:val="es-ES"/>
        </w:rPr>
        <w:t xml:space="preserve">   </w:t>
      </w:r>
    </w:p>
    <w:p w14:paraId="732D7D6B" w14:textId="77777777" w:rsidR="001F04FD" w:rsidRPr="0096711A" w:rsidRDefault="001F04FD" w:rsidP="001F04FD">
      <w:pPr>
        <w:pStyle w:val="BodyTextNumbered"/>
        <w:rPr>
          <w:iCs/>
        </w:rPr>
      </w:pPr>
      <w:r w:rsidRPr="002600B6">
        <w:rPr>
          <w:iCs/>
          <w:lang w:val="es-MX"/>
        </w:rPr>
        <w:t xml:space="preserve">                                              ¼ * (AABP</w:t>
      </w:r>
      <w:r w:rsidRPr="002600B6">
        <w:rPr>
          <w:i/>
          <w:vertAlign w:val="subscript"/>
          <w:lang w:val="es-ES"/>
        </w:rPr>
        <w:t xml:space="preserve"> q, r, p, i  </w:t>
      </w:r>
      <w:r w:rsidRPr="002600B6">
        <w:rPr>
          <w:iCs/>
        </w:rPr>
        <w:t>- Q2)</w:t>
      </w:r>
      <w:r>
        <w:rPr>
          <w:iCs/>
        </w:rPr>
        <w:t>)</w:t>
      </w:r>
      <w:r w:rsidRPr="002600B6">
        <w:rPr>
          <w:iCs/>
        </w:rPr>
        <w:t xml:space="preserve"> - TWTG</w:t>
      </w:r>
      <w:r w:rsidR="00967F3A">
        <w:rPr>
          <w:iCs/>
        </w:rPr>
        <w:t xml:space="preserve"> </w:t>
      </w:r>
      <w:r w:rsidRPr="002600B6">
        <w:rPr>
          <w:i/>
          <w:vertAlign w:val="subscript"/>
          <w:lang w:val="es-ES"/>
        </w:rPr>
        <w:t>q, r, p, i</w:t>
      </w:r>
      <w:r w:rsidRPr="002600B6">
        <w:rPr>
          <w:iCs/>
        </w:rPr>
        <w:t>]]</w:t>
      </w:r>
    </w:p>
    <w:p w14:paraId="3331676F" w14:textId="77777777" w:rsidR="001F04FD" w:rsidRPr="002600B6" w:rsidRDefault="001F04FD" w:rsidP="005755D9">
      <w:pPr>
        <w:pStyle w:val="Formula"/>
        <w:ind w:left="2880" w:hanging="2160"/>
      </w:pPr>
      <w:r w:rsidRPr="002600B6">
        <w:t>TWTG</w:t>
      </w:r>
      <w:r w:rsidRPr="002600B6">
        <w:rPr>
          <w:i/>
          <w:vertAlign w:val="subscript"/>
        </w:rPr>
        <w:t xml:space="preserve"> q, r, p, i</w:t>
      </w:r>
      <w:r w:rsidRPr="002600B6">
        <w:rPr>
          <w:i/>
          <w:vertAlign w:val="subscript"/>
        </w:rPr>
        <w:tab/>
        <w:t>=</w:t>
      </w:r>
      <w:r w:rsidRPr="002600B6">
        <w:rPr>
          <w:i/>
          <w:vertAlign w:val="subscript"/>
        </w:rPr>
        <w:tab/>
      </w:r>
      <w:r w:rsidRPr="002600B6">
        <w:t>(</w:t>
      </w:r>
      <w:r w:rsidRPr="007D0F13">
        <w:rPr>
          <w:position w:val="-22"/>
        </w:rPr>
        <w:object w:dxaOrig="210" w:dyaOrig="450" w14:anchorId="1D191EA8">
          <v:shape id="_x0000_i1186" type="#_x0000_t75" style="width:5.4pt;height:24.6pt" o:ole="">
            <v:imagedata r:id="rId209" o:title=""/>
          </v:shape>
          <o:OLEObject Type="Embed" ProgID="Equation.3" ShapeID="_x0000_i1186" DrawAspect="Content" ObjectID="_1815025376" r:id="rId217"/>
        </w:object>
      </w:r>
      <w:r w:rsidRPr="002600B6">
        <w:t xml:space="preserve"> (AVGTG5M</w:t>
      </w:r>
      <w:r w:rsidRPr="002600B6">
        <w:rPr>
          <w:i/>
          <w:vertAlign w:val="subscript"/>
        </w:rPr>
        <w:t xml:space="preserve"> q, r, p, i, y</w:t>
      </w:r>
      <w:r w:rsidRPr="002600B6">
        <w:t xml:space="preserve">) / 3) * </w:t>
      </w:r>
      <w:r w:rsidRPr="002600B6">
        <w:rPr>
          <w:iCs/>
        </w:rPr>
        <w:t>¼</w:t>
      </w:r>
    </w:p>
    <w:p w14:paraId="11A8110D" w14:textId="77777777" w:rsidR="001F04FD" w:rsidRDefault="001F04FD" w:rsidP="00BA3F0D">
      <w:r>
        <w:t>The above variables are defined as follows:</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1"/>
        <w:gridCol w:w="1272"/>
        <w:gridCol w:w="6182"/>
      </w:tblGrid>
      <w:tr w:rsidR="001F04FD" w:rsidRPr="00901A46" w14:paraId="55E913B4" w14:textId="77777777" w:rsidTr="00BA3F0D">
        <w:tc>
          <w:tcPr>
            <w:tcW w:w="2601" w:type="dxa"/>
          </w:tcPr>
          <w:p w14:paraId="77A2C782" w14:textId="77777777" w:rsidR="001F04FD" w:rsidRPr="00901A46" w:rsidRDefault="001F04FD" w:rsidP="00AC4DEE">
            <w:pPr>
              <w:pStyle w:val="TableHead"/>
            </w:pPr>
            <w:r w:rsidRPr="006624C0">
              <w:t>Variable</w:t>
            </w:r>
          </w:p>
        </w:tc>
        <w:tc>
          <w:tcPr>
            <w:tcW w:w="1272" w:type="dxa"/>
          </w:tcPr>
          <w:p w14:paraId="3ACCB160" w14:textId="77777777" w:rsidR="001F04FD" w:rsidRPr="00901A46" w:rsidRDefault="001F04FD" w:rsidP="00AC4DEE">
            <w:pPr>
              <w:pStyle w:val="TableHead"/>
            </w:pPr>
            <w:r w:rsidRPr="006624C0">
              <w:t>Unit</w:t>
            </w:r>
          </w:p>
        </w:tc>
        <w:tc>
          <w:tcPr>
            <w:tcW w:w="6182" w:type="dxa"/>
          </w:tcPr>
          <w:p w14:paraId="59BD801F" w14:textId="77777777" w:rsidR="001F04FD" w:rsidRPr="00901A46" w:rsidRDefault="001F04FD" w:rsidP="00AC4DEE">
            <w:pPr>
              <w:pStyle w:val="TableHead"/>
            </w:pPr>
            <w:r w:rsidRPr="006624C0">
              <w:t>Definition</w:t>
            </w:r>
          </w:p>
        </w:tc>
      </w:tr>
      <w:tr w:rsidR="001F04FD" w:rsidRPr="00901A46" w14:paraId="01376367" w14:textId="77777777" w:rsidTr="00BA3F0D">
        <w:trPr>
          <w:cantSplit/>
        </w:trPr>
        <w:tc>
          <w:tcPr>
            <w:tcW w:w="2601" w:type="dxa"/>
          </w:tcPr>
          <w:p w14:paraId="69A5D68D" w14:textId="77777777" w:rsidR="001F04FD" w:rsidRPr="00901A46" w:rsidRDefault="001F04FD" w:rsidP="00AC4DEE">
            <w:pPr>
              <w:pStyle w:val="TableBody"/>
            </w:pPr>
            <w:r w:rsidRPr="006624C0">
              <w:t xml:space="preserve">BPDAMT </w:t>
            </w:r>
            <w:r w:rsidRPr="006624C0">
              <w:rPr>
                <w:i/>
                <w:vertAlign w:val="subscript"/>
              </w:rPr>
              <w:t>q, r, p, i</w:t>
            </w:r>
          </w:p>
        </w:tc>
        <w:tc>
          <w:tcPr>
            <w:tcW w:w="1272" w:type="dxa"/>
          </w:tcPr>
          <w:p w14:paraId="1A24CA39" w14:textId="77777777" w:rsidR="001F04FD" w:rsidRPr="00901A46" w:rsidRDefault="001F04FD" w:rsidP="00AC4DEE">
            <w:pPr>
              <w:pStyle w:val="TableBody"/>
            </w:pPr>
            <w:r w:rsidRPr="006624C0">
              <w:t>$</w:t>
            </w:r>
          </w:p>
        </w:tc>
        <w:tc>
          <w:tcPr>
            <w:tcW w:w="6182" w:type="dxa"/>
          </w:tcPr>
          <w:p w14:paraId="106EAEDF" w14:textId="77777777" w:rsidR="001F04FD" w:rsidRPr="00901A46" w:rsidRDefault="001F04FD" w:rsidP="00AC4DEE">
            <w:pPr>
              <w:pStyle w:val="TableBody"/>
            </w:pPr>
            <w:r w:rsidRPr="006624C0">
              <w:rPr>
                <w:i/>
              </w:rPr>
              <w:t>Base Point Deviation Charge per QSE per Settlement Point per Resource</w:t>
            </w:r>
            <w:r w:rsidRPr="006624C0">
              <w:t xml:space="preserve">—The charge to QSE </w:t>
            </w:r>
            <w:r w:rsidRPr="006624C0">
              <w:rPr>
                <w:i/>
              </w:rPr>
              <w:t>q</w:t>
            </w:r>
            <w:r w:rsidRPr="006624C0">
              <w:t xml:space="preserve"> for Generation Resource </w:t>
            </w:r>
            <w:r w:rsidRPr="006624C0">
              <w:rPr>
                <w:i/>
              </w:rPr>
              <w:t>r</w:t>
            </w:r>
            <w:r w:rsidRPr="006624C0">
              <w:t xml:space="preserve"> at Resource Node </w:t>
            </w:r>
            <w:r w:rsidRPr="006624C0">
              <w:rPr>
                <w:i/>
              </w:rPr>
              <w:t>p</w:t>
            </w:r>
            <w:r w:rsidRPr="006624C0">
              <w:t xml:space="preserve">, for its deviation from Base Point, for the 15-minute Settlement Interval </w:t>
            </w:r>
            <w:r w:rsidRPr="006624C0">
              <w:rPr>
                <w:i/>
              </w:rPr>
              <w:t>i</w:t>
            </w:r>
            <w:r w:rsidRPr="006624C0">
              <w:t>.  A Base Point Deviation Charge is charged to the Combined Cycle Train for all Combined Cycle Generation Resources.</w:t>
            </w:r>
          </w:p>
        </w:tc>
      </w:tr>
      <w:tr w:rsidR="001F04FD" w:rsidRPr="00901A46" w14:paraId="105DCA65" w14:textId="77777777" w:rsidTr="00BA3F0D">
        <w:trPr>
          <w:cantSplit/>
        </w:trPr>
        <w:tc>
          <w:tcPr>
            <w:tcW w:w="2601" w:type="dxa"/>
          </w:tcPr>
          <w:p w14:paraId="44ED1759" w14:textId="77777777" w:rsidR="001F04FD" w:rsidRPr="00901A46" w:rsidRDefault="001F04FD" w:rsidP="00AC4DEE">
            <w:pPr>
              <w:pStyle w:val="TableBody"/>
            </w:pPr>
            <w:r w:rsidRPr="006624C0">
              <w:t xml:space="preserve">RTSPP </w:t>
            </w:r>
            <w:r w:rsidRPr="006624C0">
              <w:rPr>
                <w:i/>
                <w:vertAlign w:val="subscript"/>
              </w:rPr>
              <w:t>p, i</w:t>
            </w:r>
          </w:p>
        </w:tc>
        <w:tc>
          <w:tcPr>
            <w:tcW w:w="1272" w:type="dxa"/>
          </w:tcPr>
          <w:p w14:paraId="56A57C43" w14:textId="77777777" w:rsidR="001F04FD" w:rsidRPr="00901A46" w:rsidRDefault="001F04FD" w:rsidP="00AC4DEE">
            <w:pPr>
              <w:pStyle w:val="TableBody"/>
            </w:pPr>
            <w:r w:rsidRPr="006624C0">
              <w:t>$/MWh</w:t>
            </w:r>
          </w:p>
        </w:tc>
        <w:tc>
          <w:tcPr>
            <w:tcW w:w="6182" w:type="dxa"/>
          </w:tcPr>
          <w:p w14:paraId="259CEDDC" w14:textId="77777777" w:rsidR="001F04FD" w:rsidRPr="00901A46" w:rsidRDefault="001F04FD" w:rsidP="00AC4DEE">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1F04FD" w:rsidRPr="00901A46" w14:paraId="18ECDD5D" w14:textId="77777777" w:rsidTr="00BA3F0D">
        <w:trPr>
          <w:cantSplit/>
        </w:trPr>
        <w:tc>
          <w:tcPr>
            <w:tcW w:w="2601" w:type="dxa"/>
          </w:tcPr>
          <w:p w14:paraId="792A4461" w14:textId="77777777" w:rsidR="001F04FD" w:rsidRPr="00901A46" w:rsidRDefault="001F04FD" w:rsidP="00AC4DEE">
            <w:pPr>
              <w:pStyle w:val="TableBody"/>
            </w:pPr>
            <w:r w:rsidRPr="00901A46">
              <w:t xml:space="preserve">TWTG </w:t>
            </w:r>
            <w:r w:rsidRPr="006624C0">
              <w:rPr>
                <w:i/>
                <w:vertAlign w:val="subscript"/>
              </w:rPr>
              <w:t>q, r, p, i</w:t>
            </w:r>
          </w:p>
        </w:tc>
        <w:tc>
          <w:tcPr>
            <w:tcW w:w="1272" w:type="dxa"/>
          </w:tcPr>
          <w:p w14:paraId="658E2636" w14:textId="77777777" w:rsidR="001F04FD" w:rsidRPr="00901A46" w:rsidRDefault="001F04FD" w:rsidP="00AC4DEE">
            <w:pPr>
              <w:pStyle w:val="TableBody"/>
            </w:pPr>
            <w:r w:rsidRPr="00901A46">
              <w:t>MWh</w:t>
            </w:r>
          </w:p>
        </w:tc>
        <w:tc>
          <w:tcPr>
            <w:tcW w:w="6182" w:type="dxa"/>
          </w:tcPr>
          <w:p w14:paraId="195CD1E4" w14:textId="77777777" w:rsidR="001F04FD" w:rsidRPr="00901A46" w:rsidRDefault="001F04FD" w:rsidP="00AC4DEE">
            <w:pPr>
              <w:pStyle w:val="TableBody"/>
              <w:rPr>
                <w:i/>
              </w:rPr>
            </w:pPr>
            <w:r w:rsidRPr="00901A46">
              <w:rPr>
                <w:i/>
              </w:rPr>
              <w:t>Time-Weighted Telemetered Generation per QSE per Settlement Point per Resource</w:t>
            </w:r>
            <w:r w:rsidRPr="00901A46">
              <w:t xml:space="preserve">—The telemetered generation of Generation Resource </w:t>
            </w:r>
            <w:r w:rsidRPr="00901A46">
              <w:rPr>
                <w:i/>
              </w:rPr>
              <w:t>r</w:t>
            </w:r>
            <w:r w:rsidRPr="00901A46">
              <w:t xml:space="preserve"> represented by QSE </w:t>
            </w:r>
            <w:r w:rsidRPr="00901A46">
              <w:rPr>
                <w:i/>
              </w:rPr>
              <w:t>q</w:t>
            </w:r>
            <w:r w:rsidRPr="00901A46">
              <w:t xml:space="preserve"> at Resource Node </w:t>
            </w:r>
            <w:r w:rsidRPr="00901A46">
              <w:rPr>
                <w:i/>
              </w:rPr>
              <w:t>p</w:t>
            </w:r>
            <w:r w:rsidRPr="00901A46">
              <w:t xml:space="preserve">, for the 15-minute Settlement Interval </w:t>
            </w:r>
            <w:r w:rsidRPr="006624C0">
              <w:rPr>
                <w:i/>
              </w:rPr>
              <w:t>i</w:t>
            </w:r>
            <w:r w:rsidRPr="00901A46">
              <w:t xml:space="preserve">.  Where for a Combined Cycle Train, the Resource </w:t>
            </w:r>
            <w:r w:rsidRPr="00901A46">
              <w:rPr>
                <w:i/>
              </w:rPr>
              <w:t xml:space="preserve">r </w:t>
            </w:r>
            <w:r w:rsidRPr="00901A46">
              <w:t>is the Combined Cycle Train</w:t>
            </w:r>
            <w:r>
              <w:t>.</w:t>
            </w:r>
          </w:p>
        </w:tc>
      </w:tr>
      <w:tr w:rsidR="001F04FD" w:rsidRPr="00901A46" w14:paraId="5D9D6B4E" w14:textId="77777777" w:rsidTr="00BA3F0D">
        <w:trPr>
          <w:cantSplit/>
        </w:trPr>
        <w:tc>
          <w:tcPr>
            <w:tcW w:w="2601" w:type="dxa"/>
          </w:tcPr>
          <w:p w14:paraId="51F501D7" w14:textId="77777777" w:rsidR="001F04FD" w:rsidRPr="00901A46" w:rsidRDefault="001F04FD" w:rsidP="00AC4DEE">
            <w:pPr>
              <w:pStyle w:val="TableBody"/>
            </w:pPr>
            <w:r w:rsidRPr="00901A46">
              <w:t>AABP</w:t>
            </w:r>
            <w:r w:rsidRPr="00901A46">
              <w:rPr>
                <w:vertAlign w:val="subscript"/>
              </w:rPr>
              <w:t xml:space="preserve"> </w:t>
            </w:r>
            <w:r w:rsidRPr="00901A46">
              <w:rPr>
                <w:i/>
                <w:vertAlign w:val="subscript"/>
              </w:rPr>
              <w:t>q, r, p, i</w:t>
            </w:r>
          </w:p>
        </w:tc>
        <w:tc>
          <w:tcPr>
            <w:tcW w:w="1272" w:type="dxa"/>
          </w:tcPr>
          <w:p w14:paraId="3F5472C4" w14:textId="77777777" w:rsidR="001F04FD" w:rsidRPr="00901A46" w:rsidRDefault="001F04FD" w:rsidP="00AC4DEE">
            <w:pPr>
              <w:pStyle w:val="TableBody"/>
            </w:pPr>
            <w:r w:rsidRPr="00901A46">
              <w:t>MW</w:t>
            </w:r>
          </w:p>
        </w:tc>
        <w:tc>
          <w:tcPr>
            <w:tcW w:w="6182" w:type="dxa"/>
          </w:tcPr>
          <w:p w14:paraId="25C3A4FE" w14:textId="77777777" w:rsidR="001F04FD" w:rsidRPr="00901A46" w:rsidRDefault="001F04FD" w:rsidP="00AC4DEE">
            <w:pPr>
              <w:pStyle w:val="TableBody"/>
              <w:rPr>
                <w:i/>
              </w:rPr>
            </w:pPr>
            <w:r w:rsidRPr="00901A46">
              <w:rPr>
                <w:i/>
              </w:rPr>
              <w:t>Adjusted Aggregated Base Point</w:t>
            </w:r>
            <w:r w:rsidRPr="00901A46">
              <w:t xml:space="preserve">—The aggregated Base Point adjusted for Ancillary Service deployments of Generation </w:t>
            </w:r>
            <w:r>
              <w:t xml:space="preserve">Resource or Controllable Load </w:t>
            </w:r>
            <w:r w:rsidRPr="00901A46">
              <w:t xml:space="preserve">Resource </w:t>
            </w:r>
            <w:r w:rsidRPr="00901A46">
              <w:rPr>
                <w:i/>
              </w:rPr>
              <w:t>r</w:t>
            </w:r>
            <w:r w:rsidRPr="00901A46">
              <w:t xml:space="preserve"> represented by QSE </w:t>
            </w:r>
            <w:r w:rsidRPr="00901A46">
              <w:rPr>
                <w:i/>
              </w:rPr>
              <w:t>q</w:t>
            </w:r>
            <w:r w:rsidRPr="00901A46">
              <w:t xml:space="preserve"> at </w:t>
            </w:r>
            <w:r>
              <w:t>Settlement Point</w:t>
            </w:r>
            <w:r w:rsidRPr="00901A46">
              <w:t xml:space="preserve"> </w:t>
            </w:r>
            <w:r w:rsidRPr="00901A46">
              <w:rPr>
                <w:i/>
              </w:rPr>
              <w:t>p</w:t>
            </w:r>
            <w:r w:rsidRPr="00901A46">
              <w:t xml:space="preserve">, for the 15-minute Settlement Interval </w:t>
            </w:r>
            <w:r w:rsidRPr="006624C0">
              <w:rPr>
                <w:i/>
              </w:rPr>
              <w:t>i</w:t>
            </w:r>
            <w:r w:rsidRPr="006624C0">
              <w:t>.</w:t>
            </w:r>
            <w:r w:rsidRPr="00901A46">
              <w:t xml:space="preserve">  Where for a Combined Cycle Train, AABP is calculated for the Combined Cycle Train considering all SCED Dispatch Instructions to any Combined Cycle Generation Resources within the Combined Cycle Train</w:t>
            </w:r>
            <w:r>
              <w:t>.</w:t>
            </w:r>
          </w:p>
        </w:tc>
      </w:tr>
      <w:tr w:rsidR="001F04FD" w:rsidRPr="00901A46" w14:paraId="7618857E" w14:textId="77777777" w:rsidTr="00BA3F0D">
        <w:trPr>
          <w:cantSplit/>
        </w:trPr>
        <w:tc>
          <w:tcPr>
            <w:tcW w:w="2601" w:type="dxa"/>
          </w:tcPr>
          <w:p w14:paraId="7B2A70AA" w14:textId="77777777" w:rsidR="001F04FD" w:rsidRPr="00901A46" w:rsidRDefault="001F04FD" w:rsidP="00AC4DEE">
            <w:pPr>
              <w:pStyle w:val="TableBody"/>
            </w:pPr>
            <w:r w:rsidRPr="006624C0">
              <w:lastRenderedPageBreak/>
              <w:t>AVGTG5M</w:t>
            </w:r>
            <w:r w:rsidRPr="006624C0">
              <w:rPr>
                <w:i/>
                <w:vertAlign w:val="subscript"/>
                <w:lang w:val="fr-FR"/>
              </w:rPr>
              <w:t xml:space="preserve"> </w:t>
            </w:r>
            <w:r>
              <w:rPr>
                <w:i/>
                <w:vertAlign w:val="subscript"/>
                <w:lang w:val="fr-FR"/>
              </w:rPr>
              <w:t xml:space="preserve"> </w:t>
            </w:r>
            <w:r w:rsidRPr="006624C0">
              <w:rPr>
                <w:i/>
                <w:vertAlign w:val="subscript"/>
                <w:lang w:val="fr-FR"/>
              </w:rPr>
              <w:t>q, r, p, i, y</w:t>
            </w:r>
          </w:p>
        </w:tc>
        <w:tc>
          <w:tcPr>
            <w:tcW w:w="1272" w:type="dxa"/>
          </w:tcPr>
          <w:p w14:paraId="26312817" w14:textId="77777777" w:rsidR="001F04FD" w:rsidRPr="00901A46" w:rsidRDefault="001F04FD" w:rsidP="00AC4DEE">
            <w:pPr>
              <w:pStyle w:val="TableBody"/>
            </w:pPr>
            <w:r w:rsidRPr="006624C0">
              <w:t>MW</w:t>
            </w:r>
          </w:p>
        </w:tc>
        <w:tc>
          <w:tcPr>
            <w:tcW w:w="6182" w:type="dxa"/>
          </w:tcPr>
          <w:p w14:paraId="46DBB76C" w14:textId="77777777" w:rsidR="001F04FD" w:rsidRPr="00901A46" w:rsidRDefault="001F04FD" w:rsidP="00AC4DEE">
            <w:pPr>
              <w:pStyle w:val="TableBody"/>
            </w:pPr>
            <w:r w:rsidRPr="006624C0">
              <w:rPr>
                <w:i/>
              </w:rPr>
              <w:t>Average Telemetered Generation for the 5 Minutes</w:t>
            </w:r>
            <w:r w:rsidRPr="006624C0">
              <w:t xml:space="preserve"> —The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1F04FD" w:rsidRPr="00901A46" w14:paraId="27922D1D" w14:textId="77777777" w:rsidTr="00BA3F0D">
        <w:trPr>
          <w:cantSplit/>
        </w:trPr>
        <w:tc>
          <w:tcPr>
            <w:tcW w:w="2601" w:type="dxa"/>
          </w:tcPr>
          <w:p w14:paraId="25C63C1E" w14:textId="77777777" w:rsidR="001F04FD" w:rsidRPr="00901A46" w:rsidRDefault="001F04FD" w:rsidP="00AC4DEE">
            <w:pPr>
              <w:pStyle w:val="TableBody"/>
            </w:pPr>
            <w:r w:rsidRPr="006624C0">
              <w:t xml:space="preserve">UGEN </w:t>
            </w:r>
            <w:r w:rsidRPr="006624C0">
              <w:rPr>
                <w:i/>
                <w:vertAlign w:val="subscript"/>
              </w:rPr>
              <w:t>q, r, p, i</w:t>
            </w:r>
          </w:p>
        </w:tc>
        <w:tc>
          <w:tcPr>
            <w:tcW w:w="1272" w:type="dxa"/>
          </w:tcPr>
          <w:p w14:paraId="40FD22CA" w14:textId="77777777" w:rsidR="001F04FD" w:rsidRPr="00901A46" w:rsidRDefault="001F04FD" w:rsidP="00AC4DEE">
            <w:pPr>
              <w:pStyle w:val="TableBody"/>
            </w:pPr>
            <w:r w:rsidRPr="006624C0">
              <w:t>MWh</w:t>
            </w:r>
          </w:p>
        </w:tc>
        <w:tc>
          <w:tcPr>
            <w:tcW w:w="6182" w:type="dxa"/>
          </w:tcPr>
          <w:p w14:paraId="4A2C7BB2" w14:textId="77777777" w:rsidR="001F04FD" w:rsidRPr="00901A46" w:rsidRDefault="001F04FD" w:rsidP="00AC4DEE">
            <w:pPr>
              <w:pStyle w:val="TableBody"/>
            </w:pPr>
            <w:r w:rsidRPr="006624C0">
              <w:rPr>
                <w:i/>
              </w:rPr>
              <w:t>Under Generation Volumes per QSE per Settlement Point per Resource</w:t>
            </w:r>
            <w:r w:rsidRPr="006624C0">
              <w:t xml:space="preserve">—The amount  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 </w:t>
            </w:r>
            <w:r w:rsidRPr="006624C0">
              <w:rPr>
                <w:i/>
              </w:rPr>
              <w:t>i</w:t>
            </w:r>
            <w:r w:rsidRPr="006624C0">
              <w:t>.</w:t>
            </w:r>
          </w:p>
        </w:tc>
      </w:tr>
      <w:tr w:rsidR="001F04FD" w:rsidRPr="00901A46" w14:paraId="647AAAAF" w14:textId="77777777" w:rsidTr="00BA3F0D">
        <w:trPr>
          <w:cantSplit/>
        </w:trPr>
        <w:tc>
          <w:tcPr>
            <w:tcW w:w="2601" w:type="dxa"/>
          </w:tcPr>
          <w:p w14:paraId="2DD97605" w14:textId="77777777" w:rsidR="001F04FD" w:rsidRPr="00901A46" w:rsidRDefault="001F04FD" w:rsidP="00AC4DEE">
            <w:pPr>
              <w:pStyle w:val="TableBody"/>
            </w:pPr>
            <w:r w:rsidRPr="006624C0">
              <w:t>KP</w:t>
            </w:r>
          </w:p>
        </w:tc>
        <w:tc>
          <w:tcPr>
            <w:tcW w:w="1272" w:type="dxa"/>
          </w:tcPr>
          <w:p w14:paraId="0A917869" w14:textId="77777777" w:rsidR="001F04FD" w:rsidRPr="00901A46" w:rsidRDefault="00091181" w:rsidP="00AC4DEE">
            <w:pPr>
              <w:pStyle w:val="TableBody"/>
            </w:pPr>
            <w:r>
              <w:t>n</w:t>
            </w:r>
            <w:r w:rsidR="001F04FD" w:rsidRPr="006624C0">
              <w:t>one</w:t>
            </w:r>
          </w:p>
        </w:tc>
        <w:tc>
          <w:tcPr>
            <w:tcW w:w="6182" w:type="dxa"/>
          </w:tcPr>
          <w:p w14:paraId="09C4F86A" w14:textId="77777777" w:rsidR="001F04FD" w:rsidRPr="00901A46" w:rsidRDefault="001F04FD" w:rsidP="00AC4DEE">
            <w:pPr>
              <w:pStyle w:val="TableBody"/>
            </w:pPr>
            <w:r w:rsidRPr="006624C0">
              <w:t>The coefficient applied to the Settlement Point Price for under-generation charge, 1.0.</w:t>
            </w:r>
          </w:p>
        </w:tc>
      </w:tr>
      <w:tr w:rsidR="001F04FD" w:rsidRPr="00901A46" w14:paraId="3E57B932" w14:textId="77777777" w:rsidTr="00BA3F0D">
        <w:trPr>
          <w:cantSplit/>
        </w:trPr>
        <w:tc>
          <w:tcPr>
            <w:tcW w:w="2601" w:type="dxa"/>
          </w:tcPr>
          <w:p w14:paraId="50F2F3E9" w14:textId="77777777" w:rsidR="001F04FD" w:rsidRPr="00901A46" w:rsidRDefault="001F04FD" w:rsidP="00AC4DEE">
            <w:pPr>
              <w:pStyle w:val="TableBody"/>
            </w:pPr>
            <w:r w:rsidRPr="006624C0">
              <w:t>PR2</w:t>
            </w:r>
          </w:p>
        </w:tc>
        <w:tc>
          <w:tcPr>
            <w:tcW w:w="1272" w:type="dxa"/>
          </w:tcPr>
          <w:p w14:paraId="1384008C" w14:textId="77777777" w:rsidR="001F04FD" w:rsidRPr="00901A46" w:rsidRDefault="001F04FD" w:rsidP="00AC4DEE">
            <w:pPr>
              <w:pStyle w:val="TableBody"/>
            </w:pPr>
            <w:r w:rsidRPr="006624C0">
              <w:t>$/MWh</w:t>
            </w:r>
          </w:p>
        </w:tc>
        <w:tc>
          <w:tcPr>
            <w:tcW w:w="6182" w:type="dxa"/>
          </w:tcPr>
          <w:p w14:paraId="4A15B89A" w14:textId="77777777" w:rsidR="001F04FD" w:rsidRPr="00901A46" w:rsidRDefault="001F04FD" w:rsidP="00AC4DEE">
            <w:pPr>
              <w:pStyle w:val="TableBody"/>
            </w:pPr>
            <w:r w:rsidRPr="006624C0">
              <w:t>The price to use for the Base Point Deviation Charge for under-generation calculation when RTSPP is greater than -$20</w:t>
            </w:r>
            <w:r>
              <w:t>/MWh, -$20/MWh</w:t>
            </w:r>
            <w:r w:rsidRPr="006624C0">
              <w:t xml:space="preserve">.  </w:t>
            </w:r>
          </w:p>
        </w:tc>
      </w:tr>
      <w:tr w:rsidR="001F04FD" w:rsidRPr="00901A46" w14:paraId="72A350CD" w14:textId="77777777" w:rsidTr="00BA3F0D">
        <w:trPr>
          <w:cantSplit/>
        </w:trPr>
        <w:tc>
          <w:tcPr>
            <w:tcW w:w="2601" w:type="dxa"/>
          </w:tcPr>
          <w:p w14:paraId="4668976B" w14:textId="77777777" w:rsidR="001F04FD" w:rsidRPr="00901A46" w:rsidRDefault="001F04FD" w:rsidP="00AC4DEE">
            <w:pPr>
              <w:pStyle w:val="TableBody"/>
            </w:pPr>
            <w:r w:rsidRPr="006624C0">
              <w:t>K2</w:t>
            </w:r>
          </w:p>
        </w:tc>
        <w:tc>
          <w:tcPr>
            <w:tcW w:w="1272" w:type="dxa"/>
          </w:tcPr>
          <w:p w14:paraId="3585BF0F" w14:textId="77777777" w:rsidR="001F04FD" w:rsidRPr="00901A46" w:rsidRDefault="00091181" w:rsidP="00AC4DEE">
            <w:pPr>
              <w:pStyle w:val="TableBody"/>
            </w:pPr>
            <w:r>
              <w:t>n</w:t>
            </w:r>
            <w:r w:rsidR="001F04FD" w:rsidRPr="006624C0">
              <w:t>one</w:t>
            </w:r>
          </w:p>
        </w:tc>
        <w:tc>
          <w:tcPr>
            <w:tcW w:w="6182" w:type="dxa"/>
          </w:tcPr>
          <w:p w14:paraId="66FF7E76" w14:textId="77777777" w:rsidR="001F04FD" w:rsidRPr="00901A46" w:rsidRDefault="001F04FD" w:rsidP="00AC4DEE">
            <w:pPr>
              <w:pStyle w:val="TableBody"/>
            </w:pPr>
            <w:r w:rsidRPr="006624C0">
              <w:t xml:space="preserve">The percentage tolerance for under-generation, 5%. </w:t>
            </w:r>
          </w:p>
        </w:tc>
      </w:tr>
      <w:tr w:rsidR="001F04FD" w:rsidRPr="00901A46" w14:paraId="2B99A574" w14:textId="77777777" w:rsidTr="00BA3F0D">
        <w:trPr>
          <w:cantSplit/>
        </w:trPr>
        <w:tc>
          <w:tcPr>
            <w:tcW w:w="2601" w:type="dxa"/>
          </w:tcPr>
          <w:p w14:paraId="7E5FC3CD" w14:textId="77777777" w:rsidR="001F04FD" w:rsidRPr="00901A46" w:rsidRDefault="001F04FD" w:rsidP="00AC4DEE">
            <w:pPr>
              <w:pStyle w:val="TableBody"/>
            </w:pPr>
            <w:r w:rsidRPr="006624C0">
              <w:t>Q2</w:t>
            </w:r>
          </w:p>
        </w:tc>
        <w:tc>
          <w:tcPr>
            <w:tcW w:w="1272" w:type="dxa"/>
          </w:tcPr>
          <w:p w14:paraId="3AE78F14" w14:textId="77777777" w:rsidR="001F04FD" w:rsidRPr="00901A46" w:rsidRDefault="001F04FD" w:rsidP="00AC4DEE">
            <w:pPr>
              <w:pStyle w:val="TableBody"/>
            </w:pPr>
            <w:r w:rsidRPr="006624C0">
              <w:t>MW</w:t>
            </w:r>
          </w:p>
        </w:tc>
        <w:tc>
          <w:tcPr>
            <w:tcW w:w="6182" w:type="dxa"/>
          </w:tcPr>
          <w:p w14:paraId="6068B2A1" w14:textId="77777777" w:rsidR="001F04FD" w:rsidRPr="00901A46" w:rsidRDefault="001F04FD" w:rsidP="00AC4DEE">
            <w:pPr>
              <w:pStyle w:val="TableBody"/>
            </w:pPr>
            <w:r w:rsidRPr="006624C0">
              <w:t>The MW tolerance for under-generation, five MW.</w:t>
            </w:r>
          </w:p>
        </w:tc>
      </w:tr>
      <w:tr w:rsidR="00091181" w:rsidRPr="00901A46" w14:paraId="0CA36942" w14:textId="05E467A9" w:rsidTr="00BA3F0D">
        <w:trPr>
          <w:cantSplit/>
        </w:trPr>
        <w:tc>
          <w:tcPr>
            <w:tcW w:w="10055" w:type="dxa"/>
            <w:gridSpan w:val="3"/>
          </w:tcPr>
          <w:p w14:paraId="3A69EC84" w14:textId="489E8F18" w:rsidR="00091181" w:rsidRPr="006624C0" w:rsidRDefault="00091181" w:rsidP="00AC4DEE">
            <w:pPr>
              <w:pStyle w:val="TableBody"/>
            </w:pPr>
          </w:p>
        </w:tc>
      </w:tr>
      <w:tr w:rsidR="001F04FD" w:rsidRPr="00901A46" w14:paraId="497705A0" w14:textId="77777777" w:rsidTr="00BA3F0D">
        <w:trPr>
          <w:cantSplit/>
        </w:trPr>
        <w:tc>
          <w:tcPr>
            <w:tcW w:w="2601" w:type="dxa"/>
          </w:tcPr>
          <w:p w14:paraId="7409D2A1" w14:textId="77777777" w:rsidR="001F04FD" w:rsidRPr="00901A46" w:rsidRDefault="001F04FD" w:rsidP="00AC4DEE">
            <w:pPr>
              <w:pStyle w:val="TableBody"/>
              <w:rPr>
                <w:i/>
              </w:rPr>
            </w:pPr>
            <w:r w:rsidRPr="006624C0">
              <w:rPr>
                <w:i/>
              </w:rPr>
              <w:t>q</w:t>
            </w:r>
          </w:p>
        </w:tc>
        <w:tc>
          <w:tcPr>
            <w:tcW w:w="1272" w:type="dxa"/>
          </w:tcPr>
          <w:p w14:paraId="37E25988" w14:textId="77777777" w:rsidR="001F04FD" w:rsidRPr="00901A46" w:rsidRDefault="001F04FD" w:rsidP="00AC4DEE">
            <w:pPr>
              <w:pStyle w:val="TableBody"/>
            </w:pPr>
            <w:r w:rsidRPr="006624C0">
              <w:t>none</w:t>
            </w:r>
          </w:p>
        </w:tc>
        <w:tc>
          <w:tcPr>
            <w:tcW w:w="6182" w:type="dxa"/>
          </w:tcPr>
          <w:p w14:paraId="019197BE" w14:textId="77777777" w:rsidR="001F04FD" w:rsidRPr="00901A46" w:rsidRDefault="001F04FD" w:rsidP="00AC4DEE">
            <w:pPr>
              <w:pStyle w:val="TableBody"/>
            </w:pPr>
            <w:r w:rsidRPr="006624C0">
              <w:t>A QSE.</w:t>
            </w:r>
          </w:p>
        </w:tc>
      </w:tr>
      <w:tr w:rsidR="001F04FD" w:rsidRPr="00901A46" w14:paraId="70E90F1D" w14:textId="77777777" w:rsidTr="00BA3F0D">
        <w:trPr>
          <w:cantSplit/>
        </w:trPr>
        <w:tc>
          <w:tcPr>
            <w:tcW w:w="2601" w:type="dxa"/>
          </w:tcPr>
          <w:p w14:paraId="761FAE67" w14:textId="77777777" w:rsidR="001F04FD" w:rsidRPr="00901A46" w:rsidRDefault="001F04FD" w:rsidP="00AC4DEE">
            <w:pPr>
              <w:pStyle w:val="TableBody"/>
              <w:rPr>
                <w:i/>
              </w:rPr>
            </w:pPr>
            <w:r w:rsidRPr="006624C0">
              <w:rPr>
                <w:i/>
              </w:rPr>
              <w:t>p</w:t>
            </w:r>
          </w:p>
        </w:tc>
        <w:tc>
          <w:tcPr>
            <w:tcW w:w="1272" w:type="dxa"/>
          </w:tcPr>
          <w:p w14:paraId="3872A492" w14:textId="77777777" w:rsidR="001F04FD" w:rsidRPr="00901A46" w:rsidRDefault="001F04FD" w:rsidP="00AC4DEE">
            <w:pPr>
              <w:pStyle w:val="TableBody"/>
            </w:pPr>
            <w:r w:rsidRPr="006624C0">
              <w:t>none</w:t>
            </w:r>
          </w:p>
        </w:tc>
        <w:tc>
          <w:tcPr>
            <w:tcW w:w="6182" w:type="dxa"/>
          </w:tcPr>
          <w:p w14:paraId="21205852" w14:textId="77777777" w:rsidR="001F04FD" w:rsidRPr="00901A46" w:rsidRDefault="001F04FD" w:rsidP="00AC4DEE">
            <w:pPr>
              <w:pStyle w:val="TableBody"/>
            </w:pPr>
            <w:r w:rsidRPr="006624C0">
              <w:t>A Settlement Point.</w:t>
            </w:r>
          </w:p>
        </w:tc>
      </w:tr>
      <w:tr w:rsidR="001F04FD" w:rsidRPr="00901A46" w14:paraId="5068D4BF" w14:textId="77777777" w:rsidTr="00BA3F0D">
        <w:trPr>
          <w:cantSplit/>
        </w:trPr>
        <w:tc>
          <w:tcPr>
            <w:tcW w:w="2601" w:type="dxa"/>
          </w:tcPr>
          <w:p w14:paraId="37F5B6C2" w14:textId="77777777" w:rsidR="001F04FD" w:rsidRPr="00901A46" w:rsidRDefault="001F04FD" w:rsidP="00AC4DEE">
            <w:pPr>
              <w:pStyle w:val="TableBody"/>
              <w:rPr>
                <w:i/>
              </w:rPr>
            </w:pPr>
            <w:r w:rsidRPr="006624C0">
              <w:rPr>
                <w:i/>
              </w:rPr>
              <w:t>r</w:t>
            </w:r>
          </w:p>
        </w:tc>
        <w:tc>
          <w:tcPr>
            <w:tcW w:w="1272" w:type="dxa"/>
          </w:tcPr>
          <w:p w14:paraId="6871079E" w14:textId="77777777" w:rsidR="001F04FD" w:rsidRPr="00901A46" w:rsidRDefault="001F04FD" w:rsidP="00AC4DEE">
            <w:pPr>
              <w:pStyle w:val="TableBody"/>
            </w:pPr>
            <w:r w:rsidRPr="006624C0">
              <w:t>none</w:t>
            </w:r>
          </w:p>
        </w:tc>
        <w:tc>
          <w:tcPr>
            <w:tcW w:w="6182" w:type="dxa"/>
          </w:tcPr>
          <w:p w14:paraId="533E1BC1" w14:textId="77777777" w:rsidR="00091181" w:rsidRPr="00901A46" w:rsidRDefault="001F04FD" w:rsidP="00AC4DEE">
            <w:pPr>
              <w:pStyle w:val="TableBody"/>
              <w:rPr>
                <w:lang w:val="fr-FR"/>
              </w:rPr>
            </w:pPr>
            <w:r w:rsidRPr="006624C0">
              <w:rPr>
                <w:lang w:val="fr-FR"/>
              </w:rPr>
              <w:t>A non-exempt, non-IRR.</w:t>
            </w:r>
          </w:p>
          <w:p w14:paraId="7742955C" w14:textId="77777777" w:rsidR="001F04FD" w:rsidRPr="00901A46" w:rsidRDefault="001F04FD" w:rsidP="00AC4DEE">
            <w:pPr>
              <w:pStyle w:val="TableBody"/>
              <w:rPr>
                <w:lang w:val="fr-FR"/>
              </w:rPr>
            </w:pPr>
          </w:p>
        </w:tc>
      </w:tr>
      <w:tr w:rsidR="001F04FD" w:rsidRPr="00901A46" w14:paraId="1438E3C8" w14:textId="77777777" w:rsidTr="00BA3F0D">
        <w:trPr>
          <w:cantSplit/>
        </w:trPr>
        <w:tc>
          <w:tcPr>
            <w:tcW w:w="2601" w:type="dxa"/>
          </w:tcPr>
          <w:p w14:paraId="60B673A2" w14:textId="77777777" w:rsidR="001F04FD" w:rsidRPr="00901A46" w:rsidRDefault="001F04FD" w:rsidP="00AC4DEE">
            <w:pPr>
              <w:pStyle w:val="TableBody"/>
              <w:rPr>
                <w:i/>
              </w:rPr>
            </w:pPr>
            <w:r w:rsidRPr="006624C0">
              <w:rPr>
                <w:i/>
              </w:rPr>
              <w:t>y</w:t>
            </w:r>
          </w:p>
        </w:tc>
        <w:tc>
          <w:tcPr>
            <w:tcW w:w="1272" w:type="dxa"/>
          </w:tcPr>
          <w:p w14:paraId="527EFC4C" w14:textId="77777777" w:rsidR="001F04FD" w:rsidRPr="00901A46" w:rsidRDefault="001F04FD" w:rsidP="00AC4DEE">
            <w:pPr>
              <w:pStyle w:val="TableBody"/>
            </w:pPr>
            <w:r w:rsidRPr="006624C0">
              <w:t>none</w:t>
            </w:r>
          </w:p>
        </w:tc>
        <w:tc>
          <w:tcPr>
            <w:tcW w:w="6182" w:type="dxa"/>
          </w:tcPr>
          <w:p w14:paraId="6CA1BF68" w14:textId="77777777" w:rsidR="001F04FD" w:rsidRPr="00901A46" w:rsidRDefault="001F04FD" w:rsidP="00AC4DEE">
            <w:pPr>
              <w:pStyle w:val="TableBody"/>
              <w:rPr>
                <w:lang w:val="fr-FR"/>
              </w:rPr>
            </w:pPr>
            <w:r w:rsidRPr="006624C0">
              <w:t xml:space="preserve">A five-minute clock interval in the Settlement Interval. </w:t>
            </w:r>
          </w:p>
        </w:tc>
      </w:tr>
      <w:tr w:rsidR="001F04FD" w:rsidRPr="00901A46" w14:paraId="78B6E301" w14:textId="77777777" w:rsidTr="00BA3F0D">
        <w:trPr>
          <w:cantSplit/>
        </w:trPr>
        <w:tc>
          <w:tcPr>
            <w:tcW w:w="2601" w:type="dxa"/>
          </w:tcPr>
          <w:p w14:paraId="658731D1" w14:textId="77777777" w:rsidR="001F04FD" w:rsidRPr="00901A46" w:rsidRDefault="001F04FD" w:rsidP="00AC4DEE">
            <w:pPr>
              <w:pStyle w:val="TableBody"/>
              <w:rPr>
                <w:i/>
              </w:rPr>
            </w:pPr>
            <w:r w:rsidRPr="006624C0">
              <w:rPr>
                <w:i/>
              </w:rPr>
              <w:t>i</w:t>
            </w:r>
          </w:p>
        </w:tc>
        <w:tc>
          <w:tcPr>
            <w:tcW w:w="1272" w:type="dxa"/>
          </w:tcPr>
          <w:p w14:paraId="0E8F07AE" w14:textId="77777777" w:rsidR="001F04FD" w:rsidRPr="00901A46" w:rsidRDefault="001F04FD" w:rsidP="00AC4DEE">
            <w:pPr>
              <w:pStyle w:val="TableBody"/>
            </w:pPr>
            <w:r w:rsidRPr="006624C0">
              <w:t>none</w:t>
            </w:r>
          </w:p>
        </w:tc>
        <w:tc>
          <w:tcPr>
            <w:tcW w:w="6182" w:type="dxa"/>
          </w:tcPr>
          <w:p w14:paraId="20264F24" w14:textId="77777777" w:rsidR="001F04FD" w:rsidRPr="00901A46" w:rsidRDefault="001F04FD" w:rsidP="00AC4DEE">
            <w:pPr>
              <w:pStyle w:val="TableBody"/>
            </w:pPr>
            <w:r w:rsidRPr="006624C0">
              <w:t>A 15-minute Settlement Interval.</w:t>
            </w:r>
          </w:p>
        </w:tc>
      </w:tr>
      <w:tr w:rsidR="00091181" w:rsidRPr="00901A46" w14:paraId="59438E1B" w14:textId="27B2ACCD" w:rsidTr="00BA3F0D">
        <w:trPr>
          <w:cantSplit/>
        </w:trPr>
        <w:tc>
          <w:tcPr>
            <w:tcW w:w="10055" w:type="dxa"/>
            <w:gridSpan w:val="3"/>
          </w:tcPr>
          <w:p w14:paraId="53149FCE" w14:textId="1C669D71" w:rsidR="00091181" w:rsidRPr="006624C0" w:rsidRDefault="00091181" w:rsidP="00AC4DEE">
            <w:pPr>
              <w:pStyle w:val="TableBody"/>
            </w:pPr>
          </w:p>
        </w:tc>
      </w:tr>
    </w:tbl>
    <w:p w14:paraId="4A5230EB" w14:textId="77777777" w:rsidR="00AC1609" w:rsidRDefault="00AC1609"/>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C1609" w14:paraId="40255D88" w14:textId="77777777" w:rsidTr="005755D9">
        <w:tc>
          <w:tcPr>
            <w:tcW w:w="10055" w:type="dxa"/>
            <w:tcBorders>
              <w:top w:val="single" w:sz="4" w:space="0" w:color="auto"/>
              <w:left w:val="single" w:sz="4" w:space="0" w:color="auto"/>
              <w:bottom w:val="single" w:sz="4" w:space="0" w:color="auto"/>
              <w:right w:val="single" w:sz="4" w:space="0" w:color="auto"/>
            </w:tcBorders>
            <w:shd w:val="pct12" w:color="auto" w:fill="auto"/>
          </w:tcPr>
          <w:p w14:paraId="5052EA9E" w14:textId="7A992F58" w:rsidR="00AC1609" w:rsidRDefault="00AC1609" w:rsidP="00AB2BB6">
            <w:pPr>
              <w:pStyle w:val="Instructions"/>
              <w:spacing w:before="120"/>
            </w:pPr>
            <w:bookmarkStart w:id="2110" w:name="_Toc402357153"/>
            <w:bookmarkStart w:id="2111" w:name="_Toc422486533"/>
            <w:bookmarkStart w:id="2112" w:name="_Toc433093386"/>
            <w:bookmarkStart w:id="2113" w:name="_Toc433093544"/>
            <w:bookmarkStart w:id="2114" w:name="_Toc440874774"/>
            <w:bookmarkStart w:id="2115" w:name="_Toc448142331"/>
            <w:bookmarkStart w:id="2116" w:name="_Toc448142488"/>
            <w:bookmarkStart w:id="2117" w:name="_Toc458770329"/>
            <w:bookmarkStart w:id="2118" w:name="_Toc459294297"/>
            <w:bookmarkStart w:id="2119" w:name="_Toc463262790"/>
            <w:bookmarkStart w:id="2120" w:name="_Toc468286863"/>
            <w:bookmarkStart w:id="2121" w:name="_Toc481502903"/>
            <w:bookmarkStart w:id="2122" w:name="_Toc496080071"/>
            <w:r>
              <w:t>[NPRR879</w:t>
            </w:r>
            <w:r w:rsidR="005F232E">
              <w:t>,</w:t>
            </w:r>
            <w:r>
              <w:t xml:space="preserve"> NPRR963</w:t>
            </w:r>
            <w:r w:rsidR="005F232E">
              <w:t>, NPRR1010</w:t>
            </w:r>
            <w:r w:rsidR="008152FC">
              <w:t>, and NPRR1246</w:t>
            </w:r>
            <w:r>
              <w:t>:  Replace applicable portions of Section 6.6.5.1.1.2 above with the following upon system implementation</w:t>
            </w:r>
            <w:r w:rsidR="005F232E">
              <w:t xml:space="preserve"> for NPRR879 or NPRR963; or upon system implementation of the Real-Time Co-Optimization (RTC) project for NPRR1010</w:t>
            </w:r>
            <w:r w:rsidR="008152FC">
              <w:t xml:space="preserve"> and NPRR1246</w:t>
            </w:r>
            <w:r>
              <w:t>:]</w:t>
            </w:r>
          </w:p>
          <w:p w14:paraId="568F2BBB" w14:textId="490A2361" w:rsidR="00AC1609" w:rsidRPr="00AC1609" w:rsidRDefault="00AC1609" w:rsidP="00AC1609">
            <w:pPr>
              <w:keepNext/>
              <w:widowControl w:val="0"/>
              <w:tabs>
                <w:tab w:val="left" w:pos="1620"/>
              </w:tabs>
              <w:spacing w:before="480" w:after="240"/>
              <w:ind w:left="1627" w:hanging="1627"/>
              <w:outlineLvl w:val="4"/>
              <w:rPr>
                <w:b/>
                <w:bCs/>
                <w:snapToGrid w:val="0"/>
              </w:rPr>
            </w:pPr>
            <w:bookmarkStart w:id="2123" w:name="_Toc60040693"/>
            <w:bookmarkStart w:id="2124" w:name="_Toc65151752"/>
            <w:bookmarkStart w:id="2125" w:name="_Toc80174778"/>
            <w:bookmarkStart w:id="2126" w:name="_Toc112417658"/>
            <w:bookmarkStart w:id="2127" w:name="_Toc119310327"/>
            <w:bookmarkStart w:id="2128" w:name="_Toc125966260"/>
            <w:bookmarkStart w:id="2129" w:name="_Toc135992358"/>
            <w:bookmarkStart w:id="2130" w:name="_Toc170303554"/>
            <w:bookmarkStart w:id="2131" w:name="_Toc175157458"/>
            <w:bookmarkStart w:id="2132" w:name="_Toc204411687"/>
            <w:r w:rsidRPr="00AC1609">
              <w:rPr>
                <w:b/>
                <w:bCs/>
                <w:snapToGrid w:val="0"/>
              </w:rPr>
              <w:t>6.6.5.2.1</w:t>
            </w:r>
            <w:r w:rsidRPr="00AC1609">
              <w:rPr>
                <w:b/>
                <w:bCs/>
                <w:snapToGrid w:val="0"/>
              </w:rPr>
              <w:tab/>
            </w:r>
            <w:r w:rsidR="00057FF4">
              <w:rPr>
                <w:b/>
                <w:bCs/>
                <w:snapToGrid w:val="0"/>
              </w:rPr>
              <w:t>Set</w:t>
            </w:r>
            <w:r w:rsidRPr="00AC1609">
              <w:rPr>
                <w:b/>
                <w:bCs/>
                <w:snapToGrid w:val="0"/>
              </w:rPr>
              <w:t xml:space="preserve"> Point Deviation Charge for Under Generation</w:t>
            </w:r>
            <w:bookmarkEnd w:id="2123"/>
            <w:bookmarkEnd w:id="2124"/>
            <w:bookmarkEnd w:id="2125"/>
            <w:bookmarkEnd w:id="2126"/>
            <w:bookmarkEnd w:id="2127"/>
            <w:bookmarkEnd w:id="2128"/>
            <w:bookmarkEnd w:id="2129"/>
            <w:bookmarkEnd w:id="2130"/>
            <w:bookmarkEnd w:id="2131"/>
            <w:bookmarkEnd w:id="2132"/>
          </w:p>
          <w:p w14:paraId="4D8D92B4" w14:textId="76725F2D" w:rsidR="00AC1609" w:rsidRPr="00AC1609" w:rsidRDefault="00AC1609" w:rsidP="00AC1609">
            <w:pPr>
              <w:spacing w:after="240"/>
              <w:ind w:left="720" w:hanging="720"/>
            </w:pPr>
            <w:r w:rsidRPr="00AC1609">
              <w:t>(1)</w:t>
            </w:r>
            <w:r w:rsidRPr="00AC1609">
              <w:tab/>
              <w:t xml:space="preserve">ERCOT shall charge a QSE for a Generation Resource, including an IRR </w:t>
            </w:r>
            <w:r w:rsidR="00E0443F">
              <w:t>awarded</w:t>
            </w:r>
            <w:r w:rsidRPr="00AC1609">
              <w:t xml:space="preserve"> Ancillary Service for at least one SCED interval within the 15-minute Settlement Interval, for under-generation if the telemetered generation is below the lesser of:</w:t>
            </w:r>
          </w:p>
          <w:p w14:paraId="4B41E133" w14:textId="3FC8D9A3" w:rsidR="00AC1609" w:rsidRPr="00AC1609" w:rsidRDefault="00AC1609" w:rsidP="00AC1609">
            <w:pPr>
              <w:spacing w:after="240"/>
              <w:ind w:left="1440" w:hanging="720"/>
            </w:pPr>
            <w:r w:rsidRPr="00AC1609">
              <w:t>(a)</w:t>
            </w:r>
            <w:r w:rsidRPr="00AC1609">
              <w:tab/>
              <w:t xml:space="preserve">95% of the </w:t>
            </w:r>
            <w:r w:rsidR="00E0443F">
              <w:t>AASP</w:t>
            </w:r>
            <w:r w:rsidRPr="00AC1609">
              <w:t xml:space="preserve"> in the Settlement Interval; or</w:t>
            </w:r>
          </w:p>
          <w:p w14:paraId="39694B40" w14:textId="17520760" w:rsidR="00AC1609" w:rsidRPr="00AC1609" w:rsidRDefault="00AC1609" w:rsidP="00AC1609">
            <w:pPr>
              <w:spacing w:after="240"/>
              <w:ind w:left="1440" w:hanging="720"/>
            </w:pPr>
            <w:r w:rsidRPr="00AC1609">
              <w:t>(b)</w:t>
            </w:r>
            <w:r w:rsidRPr="00AC1609">
              <w:tab/>
              <w:t xml:space="preserve">The </w:t>
            </w:r>
            <w:r w:rsidR="00E0443F">
              <w:t>AASP</w:t>
            </w:r>
            <w:r w:rsidRPr="00AC1609">
              <w:t xml:space="preserve"> in the Settlement Interval minus five MW.</w:t>
            </w:r>
          </w:p>
          <w:p w14:paraId="1778BB68" w14:textId="0F107908" w:rsidR="00AC1609" w:rsidRPr="00AC1609" w:rsidRDefault="00AC1609" w:rsidP="00AC1609">
            <w:pPr>
              <w:spacing w:after="240"/>
              <w:ind w:left="720" w:hanging="720"/>
            </w:pPr>
            <w:r w:rsidRPr="00AC1609">
              <w:rPr>
                <w:iCs/>
              </w:rPr>
              <w:t>(2)</w:t>
            </w:r>
            <w:r w:rsidRPr="00AC1609">
              <w:rPr>
                <w:iCs/>
              </w:rPr>
              <w:tab/>
              <w:t xml:space="preserve">For instances in which an IRR is not </w:t>
            </w:r>
            <w:r w:rsidR="00E0443F">
              <w:rPr>
                <w:iCs/>
              </w:rPr>
              <w:t>awarded</w:t>
            </w:r>
            <w:r w:rsidRPr="00AC1609">
              <w:rPr>
                <w:iCs/>
              </w:rPr>
              <w:t xml:space="preserve"> Ancillary Service or is </w:t>
            </w:r>
            <w:r w:rsidR="00E0443F">
              <w:rPr>
                <w:iCs/>
              </w:rPr>
              <w:t xml:space="preserve">not </w:t>
            </w:r>
            <w:r w:rsidRPr="00AC1609">
              <w:rPr>
                <w:iCs/>
              </w:rPr>
              <w:t xml:space="preserve">part of an IRR Group in which </w:t>
            </w:r>
            <w:r w:rsidR="00E0443F">
              <w:rPr>
                <w:iCs/>
              </w:rPr>
              <w:t>an</w:t>
            </w:r>
            <w:r w:rsidRPr="00AC1609">
              <w:rPr>
                <w:iCs/>
              </w:rPr>
              <w:t xml:space="preserve"> IRR is </w:t>
            </w:r>
            <w:r w:rsidR="00E0443F">
              <w:rPr>
                <w:iCs/>
              </w:rPr>
              <w:t>awarded</w:t>
            </w:r>
            <w:r w:rsidRPr="00AC1609">
              <w:rPr>
                <w:iCs/>
              </w:rPr>
              <w:t xml:space="preserve"> Ancillary </w:t>
            </w:r>
            <w:r w:rsidRPr="00AC1609">
              <w:t>Service</w:t>
            </w:r>
            <w:r w:rsidRPr="00AC1609">
              <w:rPr>
                <w:iCs/>
              </w:rPr>
              <w:t xml:space="preserve"> for </w:t>
            </w:r>
            <w:r w:rsidR="00E0443F">
              <w:rPr>
                <w:iCs/>
              </w:rPr>
              <w:t>any</w:t>
            </w:r>
            <w:r w:rsidRPr="00AC1609">
              <w:rPr>
                <w:iCs/>
              </w:rPr>
              <w:t xml:space="preserve"> SCED interval within the 15-minute Settlement Interval, </w:t>
            </w:r>
            <w:r w:rsidR="00E0443F">
              <w:rPr>
                <w:iCs/>
              </w:rPr>
              <w:t>Set</w:t>
            </w:r>
            <w:r w:rsidRPr="00AC1609">
              <w:rPr>
                <w:iCs/>
              </w:rPr>
              <w:t xml:space="preserve"> Point Deviation Charges will be determined per Section 6.6.5.4, IRR Generation Resource </w:t>
            </w:r>
            <w:r w:rsidR="00E0443F">
              <w:rPr>
                <w:iCs/>
              </w:rPr>
              <w:t>Set</w:t>
            </w:r>
            <w:r w:rsidRPr="00AC1609">
              <w:rPr>
                <w:iCs/>
              </w:rPr>
              <w:t xml:space="preserve"> Point Deviation Charge.</w:t>
            </w:r>
          </w:p>
          <w:p w14:paraId="0DBA4081" w14:textId="00DA19D8" w:rsidR="00AC1609" w:rsidRPr="00AC1609" w:rsidRDefault="00AC1609" w:rsidP="00AC1609">
            <w:pPr>
              <w:spacing w:after="240"/>
              <w:ind w:left="720" w:hanging="720"/>
              <w:rPr>
                <w:iCs/>
              </w:rPr>
            </w:pPr>
            <w:r w:rsidRPr="00AC1609">
              <w:rPr>
                <w:iCs/>
              </w:rPr>
              <w:t>(3)</w:t>
            </w:r>
            <w:r w:rsidRPr="00AC1609">
              <w:rPr>
                <w:iCs/>
              </w:rPr>
              <w:tab/>
              <w:t>The under-generation charge to each QSE for each Generation Resource, that is not part of an IRR Group, at each Resource Node Settlement Point for a given 15-minute Settlement Interval is calculated as follows:</w:t>
            </w:r>
          </w:p>
          <w:p w14:paraId="3D493F6C" w14:textId="05FFE461" w:rsidR="00AC1609" w:rsidRPr="00AC1609" w:rsidRDefault="00E0443F" w:rsidP="00AC1609">
            <w:pPr>
              <w:tabs>
                <w:tab w:val="left" w:pos="2160"/>
                <w:tab w:val="left" w:pos="2880"/>
              </w:tabs>
              <w:spacing w:after="240"/>
              <w:ind w:leftChars="300" w:left="3611" w:hangingChars="1200" w:hanging="2891"/>
              <w:rPr>
                <w:b/>
                <w:bCs/>
                <w:szCs w:val="24"/>
              </w:rPr>
            </w:pPr>
            <w:r>
              <w:rPr>
                <w:b/>
                <w:bCs/>
                <w:szCs w:val="24"/>
              </w:rPr>
              <w:lastRenderedPageBreak/>
              <w:t>S</w:t>
            </w:r>
            <w:r w:rsidR="00AC1609" w:rsidRPr="00AC1609">
              <w:rPr>
                <w:b/>
                <w:bCs/>
                <w:szCs w:val="24"/>
              </w:rPr>
              <w:t xml:space="preserve">PDAMT </w:t>
            </w:r>
            <w:r w:rsidR="00AC1609" w:rsidRPr="00AC1609">
              <w:rPr>
                <w:b/>
                <w:bCs/>
                <w:i/>
                <w:iCs/>
                <w:szCs w:val="24"/>
                <w:vertAlign w:val="subscript"/>
                <w:lang w:val="es-ES"/>
              </w:rPr>
              <w:t>q, r, p, i</w:t>
            </w:r>
            <w:r w:rsidR="00AC1609" w:rsidRPr="00AC1609">
              <w:rPr>
                <w:b/>
                <w:bCs/>
                <w:szCs w:val="24"/>
              </w:rPr>
              <w:tab/>
              <w:t>=</w:t>
            </w:r>
            <w:r w:rsidR="00AC1609" w:rsidRPr="00AC1609">
              <w:rPr>
                <w:b/>
                <w:bCs/>
                <w:szCs w:val="24"/>
              </w:rPr>
              <w:tab/>
              <w:t xml:space="preserve">-1 * Min (PR2, RTSPP </w:t>
            </w:r>
            <w:r w:rsidR="00AC1609" w:rsidRPr="00AC1609">
              <w:rPr>
                <w:b/>
                <w:bCs/>
                <w:i/>
                <w:szCs w:val="24"/>
                <w:vertAlign w:val="subscript"/>
              </w:rPr>
              <w:t>p, i</w:t>
            </w:r>
            <w:r w:rsidR="00AC1609" w:rsidRPr="00AC1609">
              <w:rPr>
                <w:b/>
                <w:bCs/>
                <w:szCs w:val="24"/>
              </w:rPr>
              <w:t>) * Min (1, KP) * UGEN</w:t>
            </w:r>
            <w:r w:rsidR="00AC1609" w:rsidRPr="00AC1609">
              <w:rPr>
                <w:b/>
                <w:bCs/>
                <w:i/>
                <w:iCs/>
                <w:szCs w:val="24"/>
                <w:vertAlign w:val="subscript"/>
                <w:lang w:val="es-ES"/>
              </w:rPr>
              <w:t xml:space="preserve"> q, r, p, i </w:t>
            </w:r>
            <w:r w:rsidR="00AC1609" w:rsidRPr="00AC1609">
              <w:rPr>
                <w:rFonts w:ascii="Times New Roman Bold" w:hAnsi="Times New Roman Bold"/>
                <w:b/>
                <w:bCs/>
                <w:iCs/>
                <w:szCs w:val="24"/>
                <w:lang w:val="es-ES"/>
              </w:rPr>
              <w:t xml:space="preserve"> </w:t>
            </w:r>
          </w:p>
          <w:p w14:paraId="3E12F2AB" w14:textId="77777777" w:rsidR="00AC1609" w:rsidRPr="00AC1609" w:rsidRDefault="00AC1609" w:rsidP="00AC1609">
            <w:pPr>
              <w:tabs>
                <w:tab w:val="left" w:pos="2250"/>
                <w:tab w:val="left" w:pos="3150"/>
                <w:tab w:val="left" w:pos="3960"/>
              </w:tabs>
              <w:spacing w:after="240"/>
              <w:ind w:left="3960" w:hanging="3240"/>
              <w:rPr>
                <w:bCs/>
                <w:szCs w:val="24"/>
              </w:rPr>
            </w:pPr>
            <w:r w:rsidRPr="00AC1609">
              <w:rPr>
                <w:bCs/>
                <w:szCs w:val="24"/>
              </w:rPr>
              <w:t>Where:</w:t>
            </w:r>
          </w:p>
          <w:p w14:paraId="77F45B31" w14:textId="44E900C1" w:rsidR="00AC1609" w:rsidRPr="00AC1609" w:rsidRDefault="00AC1609" w:rsidP="00AC1609">
            <w:pPr>
              <w:spacing w:after="240"/>
              <w:ind w:left="720"/>
              <w:rPr>
                <w:i/>
                <w:iCs/>
                <w:vertAlign w:val="subscript"/>
                <w:lang w:val="es-ES"/>
              </w:rPr>
            </w:pPr>
            <w:r w:rsidRPr="00AC1609">
              <w:rPr>
                <w:iCs/>
              </w:rPr>
              <w:t>UGEN</w:t>
            </w:r>
            <w:r w:rsidRPr="00AC1609">
              <w:rPr>
                <w:i/>
                <w:iCs/>
                <w:vertAlign w:val="subscript"/>
                <w:lang w:val="es-ES"/>
              </w:rPr>
              <w:t xml:space="preserve"> q, r, p, i</w:t>
            </w:r>
            <w:r w:rsidRPr="00AC1609">
              <w:rPr>
                <w:iCs/>
              </w:rPr>
              <w:t xml:space="preserve">  =  Max [0, [Min ((1- K2) * ¼* AA</w:t>
            </w:r>
            <w:r w:rsidR="00E0443F">
              <w:rPr>
                <w:iCs/>
              </w:rPr>
              <w:t>S</w:t>
            </w:r>
            <w:r w:rsidRPr="00AC1609">
              <w:rPr>
                <w:iCs/>
              </w:rPr>
              <w:t>P</w:t>
            </w:r>
            <w:r w:rsidRPr="00AC1609">
              <w:rPr>
                <w:i/>
                <w:iCs/>
                <w:vertAlign w:val="subscript"/>
                <w:lang w:val="es-ES"/>
              </w:rPr>
              <w:t xml:space="preserve"> q, r, p, i </w:t>
            </w:r>
            <w:r w:rsidRPr="00AC1609">
              <w:rPr>
                <w:iCs/>
              </w:rPr>
              <w:t>,</w:t>
            </w:r>
            <w:r w:rsidRPr="00AC1609">
              <w:rPr>
                <w:i/>
                <w:iCs/>
                <w:vertAlign w:val="subscript"/>
                <w:lang w:val="es-ES"/>
              </w:rPr>
              <w:t xml:space="preserve">   </w:t>
            </w:r>
          </w:p>
          <w:p w14:paraId="745B552B" w14:textId="39CEC9B3" w:rsidR="00AC1609" w:rsidRPr="00AC1609" w:rsidRDefault="00AC1609" w:rsidP="00AC1609">
            <w:pPr>
              <w:spacing w:after="240"/>
              <w:ind w:left="720" w:hanging="720"/>
              <w:rPr>
                <w:iCs/>
              </w:rPr>
            </w:pPr>
            <w:r w:rsidRPr="00AC1609">
              <w:rPr>
                <w:iCs/>
                <w:lang w:val="es-MX"/>
              </w:rPr>
              <w:t xml:space="preserve">                                              ¼ * (AA</w:t>
            </w:r>
            <w:r w:rsidR="00E0443F">
              <w:rPr>
                <w:iCs/>
                <w:lang w:val="es-MX"/>
              </w:rPr>
              <w:t>S</w:t>
            </w:r>
            <w:r w:rsidRPr="00AC1609">
              <w:rPr>
                <w:iCs/>
                <w:lang w:val="es-MX"/>
              </w:rPr>
              <w:t>P</w:t>
            </w:r>
            <w:r w:rsidRPr="00AC1609">
              <w:rPr>
                <w:i/>
                <w:vertAlign w:val="subscript"/>
                <w:lang w:val="es-ES"/>
              </w:rPr>
              <w:t xml:space="preserve"> q, r, p, i  </w:t>
            </w:r>
            <w:r w:rsidRPr="00AC1609">
              <w:rPr>
                <w:iCs/>
              </w:rPr>
              <w:t xml:space="preserve">- Q2)) - TWTG </w:t>
            </w:r>
            <w:r w:rsidRPr="00AC1609">
              <w:rPr>
                <w:i/>
                <w:vertAlign w:val="subscript"/>
                <w:lang w:val="es-ES"/>
              </w:rPr>
              <w:t>q, r, p, i</w:t>
            </w:r>
            <w:r w:rsidRPr="00AC1609">
              <w:rPr>
                <w:iCs/>
              </w:rPr>
              <w:t>]]</w:t>
            </w:r>
          </w:p>
          <w:p w14:paraId="6EDF41E3" w14:textId="77777777" w:rsidR="00AC1609" w:rsidRPr="00AC1609" w:rsidRDefault="00AC1609" w:rsidP="00AC1609">
            <w:pPr>
              <w:tabs>
                <w:tab w:val="left" w:pos="2160"/>
                <w:tab w:val="left" w:pos="2880"/>
              </w:tabs>
              <w:spacing w:after="240"/>
              <w:ind w:leftChars="300" w:left="2880" w:hangingChars="900" w:hanging="2160"/>
              <w:rPr>
                <w:bCs/>
                <w:iCs/>
                <w:szCs w:val="24"/>
              </w:rPr>
            </w:pPr>
            <w:r w:rsidRPr="00AC1609">
              <w:rPr>
                <w:bCs/>
                <w:szCs w:val="24"/>
              </w:rPr>
              <w:t>TWTG</w:t>
            </w:r>
            <w:r w:rsidRPr="00AC1609">
              <w:rPr>
                <w:bCs/>
                <w:i/>
                <w:szCs w:val="24"/>
                <w:vertAlign w:val="subscript"/>
              </w:rPr>
              <w:t xml:space="preserve"> q, r, p, i</w:t>
            </w:r>
            <w:r w:rsidRPr="00AC1609">
              <w:rPr>
                <w:bCs/>
                <w:i/>
                <w:szCs w:val="24"/>
                <w:vertAlign w:val="subscript"/>
              </w:rPr>
              <w:tab/>
              <w:t>=</w:t>
            </w:r>
            <w:r w:rsidRPr="00AC1609">
              <w:rPr>
                <w:bCs/>
                <w:i/>
                <w:szCs w:val="24"/>
                <w:vertAlign w:val="subscript"/>
              </w:rPr>
              <w:tab/>
            </w:r>
            <w:r w:rsidRPr="00AC1609">
              <w:rPr>
                <w:bCs/>
                <w:szCs w:val="24"/>
              </w:rPr>
              <w:t>(</w:t>
            </w:r>
            <w:r w:rsidRPr="00AC1609">
              <w:rPr>
                <w:bCs/>
                <w:position w:val="-22"/>
                <w:szCs w:val="24"/>
              </w:rPr>
              <w:object w:dxaOrig="210" w:dyaOrig="450" w14:anchorId="46B0428C">
                <v:shape id="_x0000_i1187" type="#_x0000_t75" style="width:5.4pt;height:24.6pt" o:ole="">
                  <v:imagedata r:id="rId209" o:title=""/>
                </v:shape>
                <o:OLEObject Type="Embed" ProgID="Equation.3" ShapeID="_x0000_i1187" DrawAspect="Content" ObjectID="_1815025377" r:id="rId218"/>
              </w:object>
            </w:r>
            <w:r w:rsidRPr="00AC1609">
              <w:rPr>
                <w:bCs/>
                <w:szCs w:val="24"/>
              </w:rPr>
              <w:t xml:space="preserve"> (AVGTG5M</w:t>
            </w:r>
            <w:r w:rsidRPr="00AC1609">
              <w:rPr>
                <w:bCs/>
                <w:i/>
                <w:szCs w:val="24"/>
                <w:vertAlign w:val="subscript"/>
              </w:rPr>
              <w:t xml:space="preserve"> q, r, p, i, y</w:t>
            </w:r>
            <w:r w:rsidRPr="00AC1609">
              <w:rPr>
                <w:bCs/>
                <w:szCs w:val="24"/>
              </w:rPr>
              <w:t xml:space="preserve">) / 3) * </w:t>
            </w:r>
            <w:r w:rsidRPr="00AC1609">
              <w:rPr>
                <w:bCs/>
                <w:iCs/>
                <w:szCs w:val="24"/>
              </w:rPr>
              <w:t>¼</w:t>
            </w:r>
          </w:p>
          <w:p w14:paraId="05EF97A1" w14:textId="601FCBFC" w:rsidR="00AC1609" w:rsidRPr="00AC1609" w:rsidRDefault="00AC1609" w:rsidP="00AC1609">
            <w:pPr>
              <w:spacing w:after="240"/>
              <w:ind w:left="720" w:hanging="720"/>
              <w:rPr>
                <w:szCs w:val="24"/>
                <w:lang w:val="pt-BR"/>
              </w:rPr>
            </w:pPr>
            <w:r w:rsidRPr="00AC1609">
              <w:rPr>
                <w:iCs/>
                <w:szCs w:val="24"/>
              </w:rPr>
              <w:t>(4)</w:t>
            </w:r>
            <w:r w:rsidRPr="00AC1609">
              <w:rPr>
                <w:iCs/>
                <w:szCs w:val="24"/>
              </w:rPr>
              <w:tab/>
            </w:r>
            <w:r w:rsidRPr="00AC1609">
              <w:rPr>
                <w:szCs w:val="24"/>
                <w:lang w:val="pt-BR"/>
              </w:rPr>
              <w:t xml:space="preserve">If any IRR in an IRR Group is </w:t>
            </w:r>
            <w:r w:rsidR="00E0443F">
              <w:rPr>
                <w:szCs w:val="24"/>
                <w:lang w:val="pt-BR"/>
              </w:rPr>
              <w:t>awarded</w:t>
            </w:r>
            <w:r w:rsidRPr="00AC1609">
              <w:rPr>
                <w:szCs w:val="24"/>
                <w:lang w:val="pt-BR"/>
              </w:rPr>
              <w:t xml:space="preserve"> Ancillary Service</w:t>
            </w:r>
            <w:r w:rsidRPr="00AC1609">
              <w:rPr>
                <w:szCs w:val="24"/>
              </w:rPr>
              <w:t xml:space="preserve"> for at least one SCED interval within the 15-minute Settlement Interval</w:t>
            </w:r>
            <w:r w:rsidRPr="00AC1609">
              <w:rPr>
                <w:szCs w:val="24"/>
                <w:lang w:val="pt-BR"/>
              </w:rPr>
              <w:t>, then the deviation penalty is determined for the IRR Group and evenly allocated and charged to each IRR within that IRR Group as follows:</w:t>
            </w:r>
          </w:p>
          <w:p w14:paraId="5398C032" w14:textId="3EE16381" w:rsidR="00AC1609" w:rsidRPr="00AC1609" w:rsidRDefault="00E0443F" w:rsidP="00AC1609">
            <w:pPr>
              <w:tabs>
                <w:tab w:val="left" w:pos="2340"/>
                <w:tab w:val="left" w:pos="3420"/>
              </w:tabs>
              <w:spacing w:after="240"/>
              <w:ind w:left="3420" w:hanging="2700"/>
              <w:rPr>
                <w:b/>
                <w:bCs/>
                <w:szCs w:val="24"/>
              </w:rPr>
            </w:pPr>
            <w:r>
              <w:rPr>
                <w:b/>
                <w:bCs/>
                <w:szCs w:val="24"/>
              </w:rPr>
              <w:t>S</w:t>
            </w:r>
            <w:r w:rsidR="00AC1609" w:rsidRPr="00AC1609">
              <w:rPr>
                <w:b/>
                <w:bCs/>
                <w:szCs w:val="24"/>
              </w:rPr>
              <w:t xml:space="preserve">PDAMT </w:t>
            </w:r>
            <w:r w:rsidR="00AC1609" w:rsidRPr="00AC1609">
              <w:rPr>
                <w:b/>
                <w:bCs/>
                <w:i/>
                <w:iCs/>
                <w:szCs w:val="24"/>
                <w:vertAlign w:val="subscript"/>
                <w:lang w:val="es-ES"/>
              </w:rPr>
              <w:t xml:space="preserve">q, r, p, i   </w:t>
            </w:r>
            <w:r w:rsidR="00AC1609" w:rsidRPr="00AC1609">
              <w:rPr>
                <w:b/>
                <w:bCs/>
                <w:szCs w:val="24"/>
              </w:rPr>
              <w:t xml:space="preserve">   =</w:t>
            </w:r>
            <w:r w:rsidR="00AC1609" w:rsidRPr="00AC1609">
              <w:rPr>
                <w:b/>
                <w:bCs/>
                <w:szCs w:val="24"/>
              </w:rPr>
              <w:tab/>
              <w:t xml:space="preserve">-1 * Min (PR2, RTSPP </w:t>
            </w:r>
            <w:r w:rsidR="00AC1609" w:rsidRPr="00AC1609">
              <w:rPr>
                <w:b/>
                <w:bCs/>
                <w:i/>
                <w:szCs w:val="24"/>
                <w:vertAlign w:val="subscript"/>
              </w:rPr>
              <w:t>p, i</w:t>
            </w:r>
            <w:r w:rsidR="00AC1609" w:rsidRPr="00AC1609">
              <w:rPr>
                <w:b/>
                <w:bCs/>
                <w:szCs w:val="24"/>
              </w:rPr>
              <w:t>) * Min (1, KP) * UGEN</w:t>
            </w:r>
            <w:r w:rsidR="00AC1609" w:rsidRPr="00AC1609">
              <w:rPr>
                <w:b/>
                <w:bCs/>
                <w:i/>
                <w:iCs/>
                <w:szCs w:val="24"/>
                <w:vertAlign w:val="subscript"/>
                <w:lang w:val="es-ES"/>
              </w:rPr>
              <w:t xml:space="preserve"> q, r, p, i </w:t>
            </w:r>
            <w:r w:rsidR="00AC1609" w:rsidRPr="00AC1609">
              <w:rPr>
                <w:rFonts w:ascii="Times New Roman Bold" w:hAnsi="Times New Roman Bold"/>
                <w:b/>
                <w:bCs/>
                <w:iCs/>
                <w:szCs w:val="24"/>
                <w:lang w:val="es-ES"/>
              </w:rPr>
              <w:t xml:space="preserve">  </w:t>
            </w:r>
          </w:p>
          <w:p w14:paraId="26122DA9" w14:textId="77777777" w:rsidR="00AC1609" w:rsidRPr="00AC1609" w:rsidRDefault="00AC1609" w:rsidP="00AC1609">
            <w:pPr>
              <w:tabs>
                <w:tab w:val="left" w:pos="2340"/>
                <w:tab w:val="left" w:pos="3420"/>
              </w:tabs>
              <w:spacing w:after="240"/>
              <w:ind w:left="3420" w:hanging="2700"/>
              <w:rPr>
                <w:bCs/>
                <w:szCs w:val="24"/>
              </w:rPr>
            </w:pPr>
            <w:r w:rsidRPr="00AC1609">
              <w:rPr>
                <w:bCs/>
                <w:szCs w:val="24"/>
              </w:rPr>
              <w:t>Where:</w:t>
            </w:r>
          </w:p>
          <w:p w14:paraId="226E6AA9" w14:textId="67B32759" w:rsidR="00AC1609" w:rsidRPr="00AC1609" w:rsidRDefault="00AC1609" w:rsidP="00AC1609">
            <w:pPr>
              <w:spacing w:after="240"/>
              <w:ind w:left="720"/>
              <w:rPr>
                <w:i/>
                <w:iCs/>
                <w:szCs w:val="24"/>
                <w:vertAlign w:val="subscript"/>
                <w:lang w:val="es-ES"/>
              </w:rPr>
            </w:pPr>
            <w:r w:rsidRPr="00AC1609">
              <w:rPr>
                <w:szCs w:val="24"/>
              </w:rPr>
              <w:t>UGEN</w:t>
            </w:r>
            <w:r w:rsidRPr="00AC1609">
              <w:rPr>
                <w:i/>
                <w:iCs/>
                <w:szCs w:val="24"/>
                <w:vertAlign w:val="subscript"/>
                <w:lang w:val="es-ES"/>
              </w:rPr>
              <w:t xml:space="preserve"> q, r, p, i </w:t>
            </w:r>
            <w:r w:rsidRPr="00AC1609">
              <w:rPr>
                <w:szCs w:val="24"/>
              </w:rPr>
              <w:t xml:space="preserve">    = </w:t>
            </w:r>
            <w:r w:rsidRPr="00AC1609">
              <w:rPr>
                <w:szCs w:val="24"/>
              </w:rPr>
              <w:tab/>
              <w:t xml:space="preserve">Max </w:t>
            </w:r>
            <w:r w:rsidRPr="00AC1609">
              <w:rPr>
                <w:iCs/>
                <w:szCs w:val="24"/>
              </w:rPr>
              <w:t>[0, [Min ((1 - K2) * ¼* AA</w:t>
            </w:r>
            <w:r w:rsidR="00E0443F">
              <w:rPr>
                <w:iCs/>
                <w:szCs w:val="24"/>
              </w:rPr>
              <w:t>S</w:t>
            </w:r>
            <w:r w:rsidRPr="00AC1609">
              <w:rPr>
                <w:iCs/>
                <w:szCs w:val="24"/>
              </w:rPr>
              <w:t>P</w:t>
            </w:r>
            <w:r w:rsidRPr="00AC1609">
              <w:rPr>
                <w:i/>
                <w:iCs/>
                <w:szCs w:val="24"/>
                <w:vertAlign w:val="subscript"/>
                <w:lang w:val="es-ES"/>
              </w:rPr>
              <w:t xml:space="preserve"> q, wg, p, i </w:t>
            </w:r>
            <w:r w:rsidRPr="00AC1609">
              <w:rPr>
                <w:iCs/>
                <w:szCs w:val="24"/>
              </w:rPr>
              <w:t>,</w:t>
            </w:r>
            <w:r w:rsidRPr="00AC1609">
              <w:rPr>
                <w:i/>
                <w:iCs/>
                <w:szCs w:val="24"/>
                <w:vertAlign w:val="subscript"/>
                <w:lang w:val="es-ES"/>
              </w:rPr>
              <w:t xml:space="preserve">   </w:t>
            </w:r>
          </w:p>
          <w:p w14:paraId="00FEAD11" w14:textId="5EF97937" w:rsidR="00AC1609" w:rsidRPr="00AC1609" w:rsidRDefault="00AC1609" w:rsidP="00AC1609">
            <w:pPr>
              <w:spacing w:after="240"/>
              <w:ind w:left="720" w:hanging="720"/>
              <w:rPr>
                <w:iCs/>
                <w:szCs w:val="24"/>
              </w:rPr>
            </w:pPr>
            <w:r w:rsidRPr="00AC1609">
              <w:rPr>
                <w:iCs/>
                <w:szCs w:val="24"/>
                <w:lang w:val="es-MX"/>
              </w:rPr>
              <w:t xml:space="preserve">                                             </w:t>
            </w:r>
            <w:r w:rsidRPr="00AC1609">
              <w:rPr>
                <w:iCs/>
                <w:szCs w:val="24"/>
                <w:lang w:val="es-MX"/>
              </w:rPr>
              <w:tab/>
              <w:t xml:space="preserve"> ¼ * (AA</w:t>
            </w:r>
            <w:r w:rsidR="00E0443F">
              <w:rPr>
                <w:iCs/>
                <w:szCs w:val="24"/>
                <w:lang w:val="es-MX"/>
              </w:rPr>
              <w:t>S</w:t>
            </w:r>
            <w:r w:rsidRPr="00AC1609">
              <w:rPr>
                <w:iCs/>
                <w:szCs w:val="24"/>
                <w:lang w:val="es-MX"/>
              </w:rPr>
              <w:t>P</w:t>
            </w:r>
            <w:r w:rsidRPr="00AC1609">
              <w:rPr>
                <w:i/>
                <w:szCs w:val="24"/>
                <w:vertAlign w:val="subscript"/>
                <w:lang w:val="es-ES"/>
              </w:rPr>
              <w:t xml:space="preserve"> q, wg, p, i  </w:t>
            </w:r>
            <w:r w:rsidRPr="00AC1609">
              <w:rPr>
                <w:iCs/>
                <w:szCs w:val="24"/>
              </w:rPr>
              <w:t xml:space="preserve">- Q2)) - TWTG </w:t>
            </w:r>
            <w:r w:rsidRPr="00AC1609">
              <w:rPr>
                <w:i/>
                <w:szCs w:val="24"/>
                <w:vertAlign w:val="subscript"/>
                <w:lang w:val="es-ES"/>
              </w:rPr>
              <w:t>q, wg, p, i</w:t>
            </w:r>
            <w:r w:rsidRPr="00AC1609">
              <w:rPr>
                <w:iCs/>
                <w:szCs w:val="24"/>
              </w:rPr>
              <w:t>]] / N</w:t>
            </w:r>
          </w:p>
          <w:p w14:paraId="45420638" w14:textId="56DAFE86" w:rsidR="00AC1609" w:rsidRPr="00AC1609" w:rsidRDefault="00AC1609" w:rsidP="00AC1609">
            <w:pPr>
              <w:spacing w:after="240"/>
              <w:ind w:left="720"/>
              <w:rPr>
                <w:szCs w:val="24"/>
              </w:rPr>
            </w:pPr>
            <w:r w:rsidRPr="00AC1609">
              <w:rPr>
                <w:szCs w:val="24"/>
              </w:rPr>
              <w:t>TWTG</w:t>
            </w:r>
            <w:r w:rsidRPr="00AC1609">
              <w:rPr>
                <w:i/>
                <w:szCs w:val="24"/>
                <w:vertAlign w:val="subscript"/>
              </w:rPr>
              <w:t xml:space="preserve"> q, wg, p, i</w:t>
            </w:r>
            <w:r w:rsidRPr="00AC1609">
              <w:rPr>
                <w:i/>
                <w:szCs w:val="24"/>
                <w:vertAlign w:val="subscript"/>
              </w:rPr>
              <w:tab/>
              <w:t xml:space="preserve">  </w:t>
            </w:r>
            <w:r w:rsidRPr="00AC1609">
              <w:rPr>
                <w:szCs w:val="24"/>
              </w:rPr>
              <w:t>=</w:t>
            </w:r>
            <w:r w:rsidRPr="00AC1609">
              <w:rPr>
                <w:i/>
                <w:szCs w:val="24"/>
                <w:vertAlign w:val="subscript"/>
              </w:rPr>
              <w:tab/>
            </w:r>
            <w:r w:rsidRPr="00AC1609">
              <w:rPr>
                <w:b/>
                <w:noProof/>
                <w:position w:val="-18"/>
                <w:szCs w:val="24"/>
              </w:rPr>
              <w:drawing>
                <wp:inline distT="0" distB="0" distL="0" distR="0" wp14:anchorId="72F5DFEE" wp14:editId="11E9F14E">
                  <wp:extent cx="135255" cy="246380"/>
                  <wp:effectExtent l="0" t="0" r="0" b="127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C1609">
              <w:rPr>
                <w:szCs w:val="24"/>
              </w:rPr>
              <w:t xml:space="preserve"> (</w:t>
            </w:r>
            <w:r w:rsidRPr="00AC1609">
              <w:rPr>
                <w:b/>
                <w:noProof/>
                <w:position w:val="-22"/>
                <w:szCs w:val="24"/>
              </w:rPr>
              <w:drawing>
                <wp:inline distT="0" distB="0" distL="0" distR="0" wp14:anchorId="5D9C9CF4" wp14:editId="27E3E92E">
                  <wp:extent cx="135255" cy="286385"/>
                  <wp:effectExtent l="0" t="0" r="0" b="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35255" cy="286385"/>
                          </a:xfrm>
                          <a:prstGeom prst="rect">
                            <a:avLst/>
                          </a:prstGeom>
                          <a:noFill/>
                          <a:ln>
                            <a:noFill/>
                          </a:ln>
                        </pic:spPr>
                      </pic:pic>
                    </a:graphicData>
                  </a:graphic>
                </wp:inline>
              </w:drawing>
            </w:r>
            <w:r w:rsidRPr="00AC1609">
              <w:rPr>
                <w:szCs w:val="24"/>
              </w:rPr>
              <w:t xml:space="preserve"> (AVGTG5M</w:t>
            </w:r>
            <w:r w:rsidRPr="00AC1609">
              <w:rPr>
                <w:i/>
                <w:szCs w:val="24"/>
                <w:vertAlign w:val="subscript"/>
              </w:rPr>
              <w:t xml:space="preserve"> q, r, p, i, y</w:t>
            </w:r>
            <w:r w:rsidRPr="00AC1609">
              <w:rPr>
                <w:szCs w:val="24"/>
              </w:rPr>
              <w:t>)</w:t>
            </w:r>
            <w:r w:rsidRPr="00AC1609">
              <w:rPr>
                <w:rFonts w:ascii="Times New Roman Bold" w:hAnsi="Times New Roman Bold"/>
                <w:szCs w:val="24"/>
              </w:rPr>
              <w:t xml:space="preserve"> / </w:t>
            </w:r>
            <w:r w:rsidRPr="00AC1609">
              <w:rPr>
                <w:szCs w:val="24"/>
              </w:rPr>
              <w:t>3)</w:t>
            </w:r>
            <w:r w:rsidRPr="00AC1609">
              <w:rPr>
                <w:rFonts w:ascii="Times New Roman Bold" w:hAnsi="Times New Roman Bold"/>
                <w:szCs w:val="24"/>
              </w:rPr>
              <w:t xml:space="preserve"> </w:t>
            </w:r>
            <w:r w:rsidRPr="00AC1609">
              <w:rPr>
                <w:szCs w:val="24"/>
              </w:rPr>
              <w:t>*</w:t>
            </w:r>
            <w:r w:rsidRPr="00AC1609">
              <w:rPr>
                <w:rFonts w:ascii="Times New Roman Bold" w:hAnsi="Times New Roman Bold"/>
                <w:szCs w:val="24"/>
              </w:rPr>
              <w:t xml:space="preserve"> </w:t>
            </w:r>
            <w:r w:rsidRPr="00AC1609">
              <w:rPr>
                <w:rFonts w:hint="eastAsia"/>
                <w:szCs w:val="24"/>
              </w:rPr>
              <w:t>¼</w:t>
            </w:r>
          </w:p>
          <w:p w14:paraId="10F57029" w14:textId="1E0C7C94" w:rsidR="00AC1609" w:rsidRPr="00AC1609" w:rsidRDefault="00AC1609" w:rsidP="00AC1609">
            <w:pPr>
              <w:tabs>
                <w:tab w:val="left" w:pos="2160"/>
                <w:tab w:val="left" w:pos="2880"/>
              </w:tabs>
              <w:spacing w:after="240"/>
              <w:ind w:leftChars="300" w:left="2880" w:hangingChars="900" w:hanging="2160"/>
              <w:rPr>
                <w:bCs/>
                <w:szCs w:val="24"/>
              </w:rPr>
            </w:pPr>
            <w:r w:rsidRPr="00AC1609">
              <w:rPr>
                <w:bCs/>
                <w:szCs w:val="24"/>
                <w:lang w:val="es-ES"/>
              </w:rPr>
              <w:t>AA</w:t>
            </w:r>
            <w:r w:rsidR="00E0443F">
              <w:rPr>
                <w:bCs/>
                <w:szCs w:val="24"/>
                <w:lang w:val="es-ES"/>
              </w:rPr>
              <w:t>S</w:t>
            </w:r>
            <w:r w:rsidRPr="00AC1609">
              <w:rPr>
                <w:bCs/>
                <w:szCs w:val="24"/>
                <w:lang w:val="es-ES"/>
              </w:rPr>
              <w:t>P</w:t>
            </w:r>
            <w:r w:rsidRPr="00AC1609">
              <w:rPr>
                <w:bCs/>
                <w:i/>
                <w:szCs w:val="24"/>
                <w:vertAlign w:val="subscript"/>
                <w:lang w:val="pt-BR"/>
              </w:rPr>
              <w:t xml:space="preserve"> q, wg, p, i       </w:t>
            </w:r>
            <w:r w:rsidRPr="00AC1609">
              <w:rPr>
                <w:bCs/>
                <w:szCs w:val="24"/>
                <w:lang w:val="pt-BR"/>
              </w:rPr>
              <w:t xml:space="preserve">= </w:t>
            </w:r>
            <w:r w:rsidRPr="00AC1609">
              <w:rPr>
                <w:bCs/>
                <w:szCs w:val="24"/>
                <w:lang w:val="pt-BR"/>
              </w:rPr>
              <w:tab/>
            </w:r>
            <w:r w:rsidRPr="00AC1609">
              <w:rPr>
                <w:bCs/>
                <w:noProof/>
                <w:position w:val="-18"/>
                <w:szCs w:val="24"/>
              </w:rPr>
              <w:drawing>
                <wp:inline distT="0" distB="0" distL="0" distR="0" wp14:anchorId="5C3E2145" wp14:editId="36423204">
                  <wp:extent cx="135255" cy="246380"/>
                  <wp:effectExtent l="0" t="0" r="0" b="127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C1609">
              <w:rPr>
                <w:bCs/>
                <w:szCs w:val="24"/>
                <w:lang w:val="es-ES"/>
              </w:rPr>
              <w:t>(</w:t>
            </w:r>
            <w:r w:rsidRPr="00AC1609">
              <w:rPr>
                <w:bCs/>
                <w:szCs w:val="24"/>
                <w:lang w:val="pt-BR"/>
              </w:rPr>
              <w:t>AA</w:t>
            </w:r>
            <w:r w:rsidR="00E0443F">
              <w:rPr>
                <w:bCs/>
                <w:szCs w:val="24"/>
                <w:lang w:val="pt-BR"/>
              </w:rPr>
              <w:t>S</w:t>
            </w:r>
            <w:r w:rsidRPr="00AC1609">
              <w:rPr>
                <w:bCs/>
                <w:szCs w:val="24"/>
                <w:lang w:val="pt-BR"/>
              </w:rPr>
              <w:t>P</w:t>
            </w:r>
            <w:r w:rsidRPr="00AC1609">
              <w:rPr>
                <w:bCs/>
                <w:i/>
                <w:szCs w:val="24"/>
                <w:vertAlign w:val="subscript"/>
                <w:lang w:val="pt-BR"/>
              </w:rPr>
              <w:t xml:space="preserve"> q, r, p, i</w:t>
            </w:r>
            <w:r w:rsidRPr="00AC1609">
              <w:rPr>
                <w:bCs/>
                <w:szCs w:val="24"/>
                <w:lang w:val="pt-BR"/>
              </w:rPr>
              <w:t>)</w:t>
            </w:r>
          </w:p>
          <w:p w14:paraId="32DC7D5B" w14:textId="77777777" w:rsidR="00AC1609" w:rsidRPr="00AC1609" w:rsidRDefault="00AC1609" w:rsidP="00AC1609">
            <w:pPr>
              <w:rPr>
                <w:szCs w:val="24"/>
              </w:rPr>
            </w:pPr>
            <w:r w:rsidRPr="00AC1609">
              <w:rPr>
                <w:szCs w:val="24"/>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1372"/>
              <w:gridCol w:w="5869"/>
            </w:tblGrid>
            <w:tr w:rsidR="00175930" w:rsidRPr="00901A46" w14:paraId="2602A569" w14:textId="77777777" w:rsidTr="00AB2BB6">
              <w:tc>
                <w:tcPr>
                  <w:tcW w:w="2588" w:type="dxa"/>
                </w:tcPr>
                <w:p w14:paraId="33D752AA" w14:textId="77777777" w:rsidR="00175930" w:rsidRPr="00901A46" w:rsidRDefault="00175930" w:rsidP="00175930">
                  <w:pPr>
                    <w:pStyle w:val="TableHead"/>
                  </w:pPr>
                  <w:r w:rsidRPr="006624C0">
                    <w:t>Variable</w:t>
                  </w:r>
                </w:p>
              </w:tc>
              <w:tc>
                <w:tcPr>
                  <w:tcW w:w="1372" w:type="dxa"/>
                </w:tcPr>
                <w:p w14:paraId="668B1BF2" w14:textId="77777777" w:rsidR="00175930" w:rsidRPr="00901A46" w:rsidRDefault="00175930" w:rsidP="00175930">
                  <w:pPr>
                    <w:pStyle w:val="TableHead"/>
                  </w:pPr>
                  <w:r w:rsidRPr="006624C0">
                    <w:t>Unit</w:t>
                  </w:r>
                </w:p>
              </w:tc>
              <w:tc>
                <w:tcPr>
                  <w:tcW w:w="5869" w:type="dxa"/>
                </w:tcPr>
                <w:p w14:paraId="01BC0B1A" w14:textId="77777777" w:rsidR="00175930" w:rsidRPr="00901A46" w:rsidRDefault="00175930" w:rsidP="00175930">
                  <w:pPr>
                    <w:pStyle w:val="TableHead"/>
                  </w:pPr>
                  <w:r w:rsidRPr="006624C0">
                    <w:t>Definition</w:t>
                  </w:r>
                </w:p>
              </w:tc>
            </w:tr>
            <w:tr w:rsidR="00175930" w:rsidRPr="00901A46" w14:paraId="2E9AB539" w14:textId="77777777" w:rsidTr="00AB2BB6">
              <w:trPr>
                <w:cantSplit/>
              </w:trPr>
              <w:tc>
                <w:tcPr>
                  <w:tcW w:w="2588" w:type="dxa"/>
                </w:tcPr>
                <w:p w14:paraId="4E907321" w14:textId="601404C4" w:rsidR="00175930" w:rsidRPr="00901A46" w:rsidRDefault="00E0443F" w:rsidP="00175930">
                  <w:pPr>
                    <w:pStyle w:val="TableBody"/>
                  </w:pPr>
                  <w:r>
                    <w:t>S</w:t>
                  </w:r>
                  <w:r w:rsidR="00175930" w:rsidRPr="006624C0">
                    <w:t xml:space="preserve">PDAMT </w:t>
                  </w:r>
                  <w:r w:rsidR="00175930" w:rsidRPr="006624C0">
                    <w:rPr>
                      <w:i/>
                      <w:vertAlign w:val="subscript"/>
                    </w:rPr>
                    <w:t>q, r, p, i</w:t>
                  </w:r>
                </w:p>
              </w:tc>
              <w:tc>
                <w:tcPr>
                  <w:tcW w:w="1372" w:type="dxa"/>
                </w:tcPr>
                <w:p w14:paraId="169D9C7F" w14:textId="77777777" w:rsidR="00175930" w:rsidRPr="00901A46" w:rsidRDefault="00175930" w:rsidP="00175930">
                  <w:pPr>
                    <w:pStyle w:val="TableBody"/>
                  </w:pPr>
                  <w:r w:rsidRPr="006624C0">
                    <w:t>$</w:t>
                  </w:r>
                </w:p>
              </w:tc>
              <w:tc>
                <w:tcPr>
                  <w:tcW w:w="5869" w:type="dxa"/>
                </w:tcPr>
                <w:p w14:paraId="37897001" w14:textId="459DAD8E" w:rsidR="00175930" w:rsidRPr="00901A46" w:rsidRDefault="00E0443F" w:rsidP="00E0443F">
                  <w:pPr>
                    <w:pStyle w:val="TableBody"/>
                  </w:pPr>
                  <w:r>
                    <w:rPr>
                      <w:i/>
                    </w:rPr>
                    <w:t>Set</w:t>
                  </w:r>
                  <w:r w:rsidR="00175930" w:rsidRPr="006624C0">
                    <w:rPr>
                      <w:i/>
                    </w:rPr>
                    <w:t xml:space="preserve"> Point Deviation Charge per QSE per Settlement Point per Resource</w:t>
                  </w:r>
                  <w:r w:rsidR="00175930" w:rsidRPr="006624C0">
                    <w:t xml:space="preserve">—The charge to QSE </w:t>
                  </w:r>
                  <w:r w:rsidR="00175930" w:rsidRPr="006624C0">
                    <w:rPr>
                      <w:i/>
                    </w:rPr>
                    <w:t>q</w:t>
                  </w:r>
                  <w:r w:rsidR="00175930" w:rsidRPr="006624C0">
                    <w:t xml:space="preserve"> for Generation Resource </w:t>
                  </w:r>
                  <w:r w:rsidR="00175930" w:rsidRPr="006624C0">
                    <w:rPr>
                      <w:i/>
                    </w:rPr>
                    <w:t>r</w:t>
                  </w:r>
                  <w:r w:rsidR="00175930" w:rsidRPr="006624C0">
                    <w:t xml:space="preserve"> at Resource Node </w:t>
                  </w:r>
                  <w:r w:rsidR="00175930" w:rsidRPr="006624C0">
                    <w:rPr>
                      <w:i/>
                    </w:rPr>
                    <w:t>p</w:t>
                  </w:r>
                  <w:r w:rsidR="00175930" w:rsidRPr="006624C0">
                    <w:t xml:space="preserve">, for its deviation from </w:t>
                  </w:r>
                  <w:r>
                    <w:t>AASP</w:t>
                  </w:r>
                  <w:r w:rsidR="00175930" w:rsidRPr="006624C0">
                    <w:t xml:space="preserve">, for the 15-minute Settlement Interval </w:t>
                  </w:r>
                  <w:r w:rsidR="00175930" w:rsidRPr="006624C0">
                    <w:rPr>
                      <w:i/>
                    </w:rPr>
                    <w:t>i</w:t>
                  </w:r>
                  <w:r w:rsidR="00175930" w:rsidRPr="006624C0">
                    <w:t xml:space="preserve">.  A </w:t>
                  </w:r>
                  <w:r>
                    <w:t>Set</w:t>
                  </w:r>
                  <w:r w:rsidR="00175930" w:rsidRPr="006624C0">
                    <w:t xml:space="preserve"> Point Deviation Charge is charged to the Combined Cycle Train for all Combined Cycle Generation Resources.</w:t>
                  </w:r>
                </w:p>
              </w:tc>
            </w:tr>
            <w:tr w:rsidR="00175930" w:rsidRPr="00901A46" w14:paraId="261B8156" w14:textId="77777777" w:rsidTr="00AB2BB6">
              <w:trPr>
                <w:cantSplit/>
              </w:trPr>
              <w:tc>
                <w:tcPr>
                  <w:tcW w:w="2588" w:type="dxa"/>
                </w:tcPr>
                <w:p w14:paraId="002723E7" w14:textId="77777777" w:rsidR="00175930" w:rsidRPr="00901A46" w:rsidRDefault="00175930" w:rsidP="00175930">
                  <w:pPr>
                    <w:pStyle w:val="TableBody"/>
                  </w:pPr>
                  <w:r w:rsidRPr="006624C0">
                    <w:t xml:space="preserve">RTSPP </w:t>
                  </w:r>
                  <w:r w:rsidRPr="006624C0">
                    <w:rPr>
                      <w:i/>
                      <w:vertAlign w:val="subscript"/>
                    </w:rPr>
                    <w:t>p, i</w:t>
                  </w:r>
                </w:p>
              </w:tc>
              <w:tc>
                <w:tcPr>
                  <w:tcW w:w="1372" w:type="dxa"/>
                </w:tcPr>
                <w:p w14:paraId="78990060" w14:textId="77777777" w:rsidR="00175930" w:rsidRPr="00901A46" w:rsidRDefault="00175930" w:rsidP="00175930">
                  <w:pPr>
                    <w:pStyle w:val="TableBody"/>
                  </w:pPr>
                  <w:r w:rsidRPr="006624C0">
                    <w:t>$/MWh</w:t>
                  </w:r>
                </w:p>
              </w:tc>
              <w:tc>
                <w:tcPr>
                  <w:tcW w:w="5869" w:type="dxa"/>
                </w:tcPr>
                <w:p w14:paraId="20B04A34" w14:textId="77777777" w:rsidR="00175930" w:rsidRPr="00901A46" w:rsidRDefault="00175930" w:rsidP="00175930">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175930" w:rsidRPr="00901A46" w14:paraId="2FA5F7CD" w14:textId="77777777" w:rsidTr="00AB2BB6">
              <w:trPr>
                <w:cantSplit/>
              </w:trPr>
              <w:tc>
                <w:tcPr>
                  <w:tcW w:w="2588" w:type="dxa"/>
                </w:tcPr>
                <w:p w14:paraId="083D8EEC" w14:textId="77777777" w:rsidR="00175930" w:rsidRPr="00901A46" w:rsidRDefault="00175930" w:rsidP="00175930">
                  <w:pPr>
                    <w:pStyle w:val="TableBody"/>
                  </w:pPr>
                  <w:r w:rsidRPr="00901A46">
                    <w:t xml:space="preserve">TWTG </w:t>
                  </w:r>
                  <w:r w:rsidRPr="006624C0">
                    <w:rPr>
                      <w:i/>
                      <w:vertAlign w:val="subscript"/>
                    </w:rPr>
                    <w:t>q, r, p, i</w:t>
                  </w:r>
                </w:p>
              </w:tc>
              <w:tc>
                <w:tcPr>
                  <w:tcW w:w="1372" w:type="dxa"/>
                </w:tcPr>
                <w:p w14:paraId="3CA09C92" w14:textId="77777777" w:rsidR="00175930" w:rsidRPr="00901A46" w:rsidRDefault="00175930" w:rsidP="00175930">
                  <w:pPr>
                    <w:pStyle w:val="TableBody"/>
                  </w:pPr>
                  <w:r w:rsidRPr="00901A46">
                    <w:t>MWh</w:t>
                  </w:r>
                </w:p>
              </w:tc>
              <w:tc>
                <w:tcPr>
                  <w:tcW w:w="5869" w:type="dxa"/>
                </w:tcPr>
                <w:p w14:paraId="78A366A6" w14:textId="77777777" w:rsidR="00175930" w:rsidRPr="00901A46" w:rsidRDefault="00175930" w:rsidP="00175930">
                  <w:pPr>
                    <w:pStyle w:val="TableBody"/>
                    <w:rPr>
                      <w:i/>
                    </w:rPr>
                  </w:pPr>
                  <w:r w:rsidRPr="00901A46">
                    <w:rPr>
                      <w:i/>
                    </w:rPr>
                    <w:t>Time-Weighted Telemetered Generation per QSE per Settlement Point per Resource</w:t>
                  </w:r>
                  <w:r w:rsidRPr="00901A46">
                    <w:t xml:space="preserve">—The telemetered generation of Generation Resource </w:t>
                  </w:r>
                  <w:r w:rsidRPr="00901A46">
                    <w:rPr>
                      <w:i/>
                    </w:rPr>
                    <w:t>r</w:t>
                  </w:r>
                  <w:r w:rsidRPr="00901A46">
                    <w:t xml:space="preserve"> represented by QSE </w:t>
                  </w:r>
                  <w:r w:rsidRPr="00901A46">
                    <w:rPr>
                      <w:i/>
                    </w:rPr>
                    <w:t>q</w:t>
                  </w:r>
                  <w:r w:rsidRPr="00901A46">
                    <w:t xml:space="preserve"> at Resource Node </w:t>
                  </w:r>
                  <w:r w:rsidRPr="00901A46">
                    <w:rPr>
                      <w:i/>
                    </w:rPr>
                    <w:t>p</w:t>
                  </w:r>
                  <w:r w:rsidRPr="00901A46">
                    <w:t xml:space="preserve">, for the 15-minute Settlement Interval </w:t>
                  </w:r>
                  <w:r w:rsidRPr="006624C0">
                    <w:rPr>
                      <w:i/>
                    </w:rPr>
                    <w:t>i</w:t>
                  </w:r>
                  <w:r w:rsidRPr="00901A46">
                    <w:t xml:space="preserve">.  Where for a Combined Cycle Train, the Resource </w:t>
                  </w:r>
                  <w:r w:rsidRPr="00901A46">
                    <w:rPr>
                      <w:i/>
                    </w:rPr>
                    <w:t xml:space="preserve">r </w:t>
                  </w:r>
                  <w:r w:rsidRPr="00901A46">
                    <w:t>is the Combined Cycle Train</w:t>
                  </w:r>
                  <w:r>
                    <w:t>.</w:t>
                  </w:r>
                </w:p>
              </w:tc>
            </w:tr>
            <w:tr w:rsidR="00175930" w:rsidRPr="00901A46" w14:paraId="4436F6CA" w14:textId="77777777" w:rsidTr="00AB2BB6">
              <w:trPr>
                <w:cantSplit/>
              </w:trPr>
              <w:tc>
                <w:tcPr>
                  <w:tcW w:w="2588" w:type="dxa"/>
                </w:tcPr>
                <w:p w14:paraId="0D2032F1" w14:textId="4D17FA20" w:rsidR="00175930" w:rsidRPr="00901A46" w:rsidRDefault="00175930" w:rsidP="00E0443F">
                  <w:pPr>
                    <w:pStyle w:val="TableBody"/>
                  </w:pPr>
                  <w:r w:rsidRPr="00901A46">
                    <w:t>AA</w:t>
                  </w:r>
                  <w:r w:rsidR="00E0443F">
                    <w:t>S</w:t>
                  </w:r>
                  <w:r w:rsidRPr="00901A46">
                    <w:t>P</w:t>
                  </w:r>
                  <w:r w:rsidRPr="00901A46">
                    <w:rPr>
                      <w:vertAlign w:val="subscript"/>
                    </w:rPr>
                    <w:t xml:space="preserve"> </w:t>
                  </w:r>
                  <w:r w:rsidRPr="00901A46">
                    <w:rPr>
                      <w:i/>
                      <w:vertAlign w:val="subscript"/>
                    </w:rPr>
                    <w:t>q, r, p, i</w:t>
                  </w:r>
                </w:p>
              </w:tc>
              <w:tc>
                <w:tcPr>
                  <w:tcW w:w="1372" w:type="dxa"/>
                </w:tcPr>
                <w:p w14:paraId="274EF542" w14:textId="77777777" w:rsidR="00175930" w:rsidRPr="00901A46" w:rsidRDefault="00175930" w:rsidP="00175930">
                  <w:pPr>
                    <w:pStyle w:val="TableBody"/>
                  </w:pPr>
                  <w:r w:rsidRPr="00901A46">
                    <w:t>MW</w:t>
                  </w:r>
                </w:p>
              </w:tc>
              <w:tc>
                <w:tcPr>
                  <w:tcW w:w="5869" w:type="dxa"/>
                </w:tcPr>
                <w:p w14:paraId="1B23B72D" w14:textId="06DCA3CA" w:rsidR="00175930" w:rsidRPr="00901A46" w:rsidRDefault="00E0443F" w:rsidP="00537E31">
                  <w:pPr>
                    <w:pStyle w:val="TableBody"/>
                    <w:rPr>
                      <w:i/>
                    </w:rPr>
                  </w:pPr>
                  <w:r>
                    <w:rPr>
                      <w:i/>
                    </w:rPr>
                    <w:t>Average</w:t>
                  </w:r>
                  <w:r w:rsidR="00175930" w:rsidRPr="00901A46">
                    <w:rPr>
                      <w:i/>
                    </w:rPr>
                    <w:t xml:space="preserve"> Aggregated </w:t>
                  </w:r>
                  <w:r>
                    <w:rPr>
                      <w:i/>
                    </w:rPr>
                    <w:t>Set</w:t>
                  </w:r>
                  <w:r w:rsidR="00175930" w:rsidRPr="00901A46">
                    <w:rPr>
                      <w:i/>
                    </w:rPr>
                    <w:t xml:space="preserve"> Point</w:t>
                  </w:r>
                  <w:r w:rsidR="00175930" w:rsidRPr="00901A46">
                    <w:t xml:space="preserve">—The </w:t>
                  </w:r>
                  <w:r>
                    <w:t>average of the Average Five Minute Clock Interval Set Point (AVGSP5M)</w:t>
                  </w:r>
                  <w:r w:rsidR="00175930" w:rsidRPr="00901A46">
                    <w:t xml:space="preserve"> of Generation </w:t>
                  </w:r>
                  <w:r w:rsidR="00175930">
                    <w:t>Resource</w:t>
                  </w:r>
                  <w:r w:rsidR="00175930" w:rsidRPr="00901A46">
                    <w:t xml:space="preserve"> </w:t>
                  </w:r>
                  <w:r w:rsidR="00175930" w:rsidRPr="00901A46">
                    <w:rPr>
                      <w:i/>
                    </w:rPr>
                    <w:t>r</w:t>
                  </w:r>
                  <w:r w:rsidR="00175930" w:rsidRPr="00901A46">
                    <w:t xml:space="preserve"> represented by QSE </w:t>
                  </w:r>
                  <w:r w:rsidR="00175930" w:rsidRPr="00901A46">
                    <w:rPr>
                      <w:i/>
                    </w:rPr>
                    <w:t>q</w:t>
                  </w:r>
                  <w:r w:rsidR="00175930" w:rsidRPr="00901A46">
                    <w:t xml:space="preserve"> at </w:t>
                  </w:r>
                  <w:r w:rsidR="00175930">
                    <w:t>Settlement Point</w:t>
                  </w:r>
                  <w:r w:rsidR="00175930" w:rsidRPr="00901A46">
                    <w:t xml:space="preserve"> </w:t>
                  </w:r>
                  <w:r w:rsidR="00175930" w:rsidRPr="00901A46">
                    <w:rPr>
                      <w:i/>
                    </w:rPr>
                    <w:t>p</w:t>
                  </w:r>
                  <w:r w:rsidR="00175930" w:rsidRPr="00901A46">
                    <w:t xml:space="preserve">, for the 15-minute Settlement Interval </w:t>
                  </w:r>
                  <w:r w:rsidR="00175930" w:rsidRPr="006624C0">
                    <w:rPr>
                      <w:i/>
                    </w:rPr>
                    <w:t>i</w:t>
                  </w:r>
                  <w:r w:rsidR="00175930" w:rsidRPr="006624C0">
                    <w:t>.</w:t>
                  </w:r>
                  <w:r w:rsidR="00175930" w:rsidRPr="00901A46">
                    <w:t xml:space="preserve">  Where for a Combined Cycle Train, AA</w:t>
                  </w:r>
                  <w:r w:rsidR="00537E31">
                    <w:t>S</w:t>
                  </w:r>
                  <w:r w:rsidR="00175930" w:rsidRPr="00901A46">
                    <w:t xml:space="preserve">P is calculated for the Combined Cycle Train considering all </w:t>
                  </w:r>
                  <w:r w:rsidR="00537E31">
                    <w:t>UDSPs</w:t>
                  </w:r>
                  <w:r w:rsidR="00175930" w:rsidRPr="00901A46">
                    <w:t xml:space="preserve"> to any Combined Cycle Generation Resources within the Combined Cycle Train</w:t>
                  </w:r>
                  <w:r w:rsidR="00175930">
                    <w:t>.</w:t>
                  </w:r>
                </w:p>
              </w:tc>
            </w:tr>
            <w:tr w:rsidR="00175930" w:rsidRPr="00901A46" w14:paraId="27E4700A" w14:textId="77777777" w:rsidTr="00AB2BB6">
              <w:trPr>
                <w:cantSplit/>
              </w:trPr>
              <w:tc>
                <w:tcPr>
                  <w:tcW w:w="2588" w:type="dxa"/>
                </w:tcPr>
                <w:p w14:paraId="0BA67B21" w14:textId="77777777" w:rsidR="00175930" w:rsidRPr="00901A46" w:rsidRDefault="00175930" w:rsidP="00175930">
                  <w:pPr>
                    <w:pStyle w:val="TableBody"/>
                  </w:pPr>
                  <w:r w:rsidRPr="006624C0">
                    <w:lastRenderedPageBreak/>
                    <w:t>AVGTG5M</w:t>
                  </w:r>
                  <w:r w:rsidRPr="006624C0">
                    <w:rPr>
                      <w:i/>
                      <w:vertAlign w:val="subscript"/>
                      <w:lang w:val="fr-FR"/>
                    </w:rPr>
                    <w:t xml:space="preserve"> </w:t>
                  </w:r>
                  <w:r>
                    <w:rPr>
                      <w:i/>
                      <w:vertAlign w:val="subscript"/>
                      <w:lang w:val="fr-FR"/>
                    </w:rPr>
                    <w:t xml:space="preserve"> </w:t>
                  </w:r>
                  <w:r w:rsidRPr="006624C0">
                    <w:rPr>
                      <w:i/>
                      <w:vertAlign w:val="subscript"/>
                      <w:lang w:val="fr-FR"/>
                    </w:rPr>
                    <w:t>q, r, p, i, y</w:t>
                  </w:r>
                </w:p>
              </w:tc>
              <w:tc>
                <w:tcPr>
                  <w:tcW w:w="1372" w:type="dxa"/>
                </w:tcPr>
                <w:p w14:paraId="0CCE4901" w14:textId="77777777" w:rsidR="00175930" w:rsidRPr="00901A46" w:rsidRDefault="00175930" w:rsidP="00175930">
                  <w:pPr>
                    <w:pStyle w:val="TableBody"/>
                  </w:pPr>
                  <w:r w:rsidRPr="006624C0">
                    <w:t>MW</w:t>
                  </w:r>
                </w:p>
              </w:tc>
              <w:tc>
                <w:tcPr>
                  <w:tcW w:w="5869" w:type="dxa"/>
                </w:tcPr>
                <w:p w14:paraId="60D35EB0" w14:textId="77777777" w:rsidR="00175930" w:rsidRPr="00901A46" w:rsidRDefault="00175930" w:rsidP="00175930">
                  <w:pPr>
                    <w:pStyle w:val="TableBody"/>
                  </w:pPr>
                  <w:r w:rsidRPr="006624C0">
                    <w:rPr>
                      <w:i/>
                    </w:rPr>
                    <w:t>Average Telemetered Generation for the 5 Minutes</w:t>
                  </w:r>
                  <w:r w:rsidRPr="006624C0">
                    <w:t xml:space="preserve"> —The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175930" w:rsidRPr="00901A46" w14:paraId="3706373D" w14:textId="77777777" w:rsidTr="00AB2BB6">
              <w:trPr>
                <w:cantSplit/>
              </w:trPr>
              <w:tc>
                <w:tcPr>
                  <w:tcW w:w="2588" w:type="dxa"/>
                </w:tcPr>
                <w:p w14:paraId="01AAEAE8" w14:textId="77777777" w:rsidR="00175930" w:rsidRPr="00901A46" w:rsidRDefault="00175930" w:rsidP="00175930">
                  <w:pPr>
                    <w:pStyle w:val="TableBody"/>
                  </w:pPr>
                  <w:r w:rsidRPr="006624C0">
                    <w:t xml:space="preserve">UGEN </w:t>
                  </w:r>
                  <w:r w:rsidRPr="006624C0">
                    <w:rPr>
                      <w:i/>
                      <w:vertAlign w:val="subscript"/>
                    </w:rPr>
                    <w:t>q, r, p, i</w:t>
                  </w:r>
                </w:p>
              </w:tc>
              <w:tc>
                <w:tcPr>
                  <w:tcW w:w="1372" w:type="dxa"/>
                </w:tcPr>
                <w:p w14:paraId="15026D66" w14:textId="77777777" w:rsidR="00175930" w:rsidRPr="00901A46" w:rsidRDefault="00175930" w:rsidP="00175930">
                  <w:pPr>
                    <w:pStyle w:val="TableBody"/>
                  </w:pPr>
                  <w:r w:rsidRPr="006624C0">
                    <w:t>MWh</w:t>
                  </w:r>
                </w:p>
              </w:tc>
              <w:tc>
                <w:tcPr>
                  <w:tcW w:w="5869" w:type="dxa"/>
                </w:tcPr>
                <w:p w14:paraId="192B8E7E" w14:textId="19476804" w:rsidR="00175930" w:rsidRPr="00901A46" w:rsidRDefault="00175930" w:rsidP="00754931">
                  <w:pPr>
                    <w:pStyle w:val="TableBody"/>
                  </w:pPr>
                  <w:r w:rsidRPr="006624C0">
                    <w:rPr>
                      <w:i/>
                    </w:rPr>
                    <w:t>Under</w:t>
                  </w:r>
                  <w:r>
                    <w:rPr>
                      <w:i/>
                    </w:rPr>
                    <w:t>-</w:t>
                  </w:r>
                  <w:r w:rsidRPr="006624C0">
                    <w:rPr>
                      <w:i/>
                    </w:rPr>
                    <w:t>Generation Volumes per QSE per Settlement Point per Resource</w:t>
                  </w:r>
                  <w:r w:rsidRPr="006624C0">
                    <w:t xml:space="preserve">—The amount 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 </w:t>
                  </w:r>
                  <w:r w:rsidRPr="006624C0">
                    <w:rPr>
                      <w:i/>
                    </w:rPr>
                    <w:t>i</w:t>
                  </w:r>
                  <w:r w:rsidRPr="006624C0">
                    <w:t>.</w:t>
                  </w:r>
                </w:p>
              </w:tc>
            </w:tr>
            <w:tr w:rsidR="00175930" w:rsidRPr="00901A46" w14:paraId="344AF8FD" w14:textId="77777777" w:rsidTr="00AB2BB6">
              <w:trPr>
                <w:cantSplit/>
              </w:trPr>
              <w:tc>
                <w:tcPr>
                  <w:tcW w:w="2588" w:type="dxa"/>
                </w:tcPr>
                <w:p w14:paraId="0481F33C" w14:textId="77777777" w:rsidR="00175930" w:rsidRPr="00901A46" w:rsidRDefault="00175930" w:rsidP="00175930">
                  <w:pPr>
                    <w:pStyle w:val="TableBody"/>
                  </w:pPr>
                  <w:r w:rsidRPr="006624C0">
                    <w:t>KP</w:t>
                  </w:r>
                </w:p>
              </w:tc>
              <w:tc>
                <w:tcPr>
                  <w:tcW w:w="1372" w:type="dxa"/>
                </w:tcPr>
                <w:p w14:paraId="085CF0A2" w14:textId="77777777" w:rsidR="00175930" w:rsidRPr="00901A46" w:rsidRDefault="00175930" w:rsidP="00175930">
                  <w:pPr>
                    <w:pStyle w:val="TableBody"/>
                  </w:pPr>
                  <w:r>
                    <w:t>n</w:t>
                  </w:r>
                  <w:r w:rsidRPr="006624C0">
                    <w:t>one</w:t>
                  </w:r>
                </w:p>
              </w:tc>
              <w:tc>
                <w:tcPr>
                  <w:tcW w:w="5869" w:type="dxa"/>
                </w:tcPr>
                <w:p w14:paraId="7088344A" w14:textId="77777777" w:rsidR="00175930" w:rsidRPr="00901A46" w:rsidRDefault="00175930" w:rsidP="00175930">
                  <w:pPr>
                    <w:pStyle w:val="TableBody"/>
                  </w:pPr>
                  <w:r w:rsidRPr="006624C0">
                    <w:t>The coefficient applied to the Settlement Point Price for under-generation charge, 1.0.</w:t>
                  </w:r>
                </w:p>
              </w:tc>
            </w:tr>
            <w:tr w:rsidR="00175930" w:rsidRPr="00901A46" w14:paraId="4405E79B" w14:textId="77777777" w:rsidTr="00AB2BB6">
              <w:trPr>
                <w:cantSplit/>
              </w:trPr>
              <w:tc>
                <w:tcPr>
                  <w:tcW w:w="2588" w:type="dxa"/>
                </w:tcPr>
                <w:p w14:paraId="3B3ED05C" w14:textId="77777777" w:rsidR="00175930" w:rsidRPr="00901A46" w:rsidRDefault="00175930" w:rsidP="00175930">
                  <w:pPr>
                    <w:pStyle w:val="TableBody"/>
                  </w:pPr>
                  <w:r w:rsidRPr="006624C0">
                    <w:t>PR2</w:t>
                  </w:r>
                </w:p>
              </w:tc>
              <w:tc>
                <w:tcPr>
                  <w:tcW w:w="1372" w:type="dxa"/>
                </w:tcPr>
                <w:p w14:paraId="73CC3A14" w14:textId="77777777" w:rsidR="00175930" w:rsidRPr="00901A46" w:rsidRDefault="00175930" w:rsidP="00175930">
                  <w:pPr>
                    <w:pStyle w:val="TableBody"/>
                  </w:pPr>
                  <w:r w:rsidRPr="006624C0">
                    <w:t>$/MWh</w:t>
                  </w:r>
                </w:p>
              </w:tc>
              <w:tc>
                <w:tcPr>
                  <w:tcW w:w="5869" w:type="dxa"/>
                </w:tcPr>
                <w:p w14:paraId="7CDCF73D" w14:textId="598421FF" w:rsidR="00175930" w:rsidRPr="00901A46" w:rsidRDefault="00175930" w:rsidP="00537E31">
                  <w:pPr>
                    <w:pStyle w:val="TableBody"/>
                  </w:pPr>
                  <w:r w:rsidRPr="006624C0">
                    <w:t xml:space="preserve">The price to use for the </w:t>
                  </w:r>
                  <w:r w:rsidR="00537E31">
                    <w:t>Set</w:t>
                  </w:r>
                  <w:r w:rsidRPr="006624C0">
                    <w:t xml:space="preserve"> Point Deviation Charge for under-generation calculation when RTSPP is greater than -$20</w:t>
                  </w:r>
                  <w:r>
                    <w:t>/MWh, -$20/MWh</w:t>
                  </w:r>
                  <w:r w:rsidRPr="006624C0">
                    <w:t xml:space="preserve">.  </w:t>
                  </w:r>
                </w:p>
              </w:tc>
            </w:tr>
            <w:tr w:rsidR="00175930" w:rsidRPr="00901A46" w14:paraId="3486EF7E" w14:textId="77777777" w:rsidTr="00AB2BB6">
              <w:trPr>
                <w:cantSplit/>
              </w:trPr>
              <w:tc>
                <w:tcPr>
                  <w:tcW w:w="2588" w:type="dxa"/>
                </w:tcPr>
                <w:p w14:paraId="3192F64F" w14:textId="77777777" w:rsidR="00175930" w:rsidRPr="00901A46" w:rsidRDefault="00175930" w:rsidP="00175930">
                  <w:pPr>
                    <w:pStyle w:val="TableBody"/>
                  </w:pPr>
                  <w:r w:rsidRPr="006624C0">
                    <w:t>K2</w:t>
                  </w:r>
                </w:p>
              </w:tc>
              <w:tc>
                <w:tcPr>
                  <w:tcW w:w="1372" w:type="dxa"/>
                </w:tcPr>
                <w:p w14:paraId="6DFFF5BC" w14:textId="77777777" w:rsidR="00175930" w:rsidRPr="00901A46" w:rsidRDefault="00175930" w:rsidP="00175930">
                  <w:pPr>
                    <w:pStyle w:val="TableBody"/>
                  </w:pPr>
                  <w:r>
                    <w:t>n</w:t>
                  </w:r>
                  <w:r w:rsidRPr="006624C0">
                    <w:t>one</w:t>
                  </w:r>
                </w:p>
              </w:tc>
              <w:tc>
                <w:tcPr>
                  <w:tcW w:w="5869" w:type="dxa"/>
                </w:tcPr>
                <w:p w14:paraId="0F83209D" w14:textId="77777777" w:rsidR="00175930" w:rsidRPr="00901A46" w:rsidRDefault="00175930" w:rsidP="00175930">
                  <w:pPr>
                    <w:pStyle w:val="TableBody"/>
                  </w:pPr>
                  <w:r w:rsidRPr="006624C0">
                    <w:t xml:space="preserve">The percentage tolerance for under-generation, 5%. </w:t>
                  </w:r>
                </w:p>
              </w:tc>
            </w:tr>
            <w:tr w:rsidR="00175930" w:rsidRPr="00901A46" w14:paraId="5E22F7F7" w14:textId="77777777" w:rsidTr="00AB2BB6">
              <w:trPr>
                <w:cantSplit/>
              </w:trPr>
              <w:tc>
                <w:tcPr>
                  <w:tcW w:w="2588" w:type="dxa"/>
                </w:tcPr>
                <w:p w14:paraId="379E810D" w14:textId="77777777" w:rsidR="00175930" w:rsidRPr="00901A46" w:rsidRDefault="00175930" w:rsidP="00175930">
                  <w:pPr>
                    <w:pStyle w:val="TableBody"/>
                  </w:pPr>
                  <w:r w:rsidRPr="006624C0">
                    <w:t>Q2</w:t>
                  </w:r>
                </w:p>
              </w:tc>
              <w:tc>
                <w:tcPr>
                  <w:tcW w:w="1372" w:type="dxa"/>
                </w:tcPr>
                <w:p w14:paraId="56C9A61D" w14:textId="77777777" w:rsidR="00175930" w:rsidRPr="00901A46" w:rsidRDefault="00175930" w:rsidP="00175930">
                  <w:pPr>
                    <w:pStyle w:val="TableBody"/>
                  </w:pPr>
                  <w:r w:rsidRPr="006624C0">
                    <w:t>MW</w:t>
                  </w:r>
                </w:p>
              </w:tc>
              <w:tc>
                <w:tcPr>
                  <w:tcW w:w="5869" w:type="dxa"/>
                </w:tcPr>
                <w:p w14:paraId="10F690F0" w14:textId="77777777" w:rsidR="00175930" w:rsidRPr="00901A46" w:rsidRDefault="00175930" w:rsidP="00175930">
                  <w:pPr>
                    <w:pStyle w:val="TableBody"/>
                  </w:pPr>
                  <w:r w:rsidRPr="006624C0">
                    <w:t>The MW tolerance for under-generation, five MW.</w:t>
                  </w:r>
                </w:p>
              </w:tc>
            </w:tr>
            <w:tr w:rsidR="00175930" w:rsidRPr="00901A46" w14:paraId="3961F013" w14:textId="77777777" w:rsidTr="00AB2BB6">
              <w:trPr>
                <w:cantSplit/>
              </w:trPr>
              <w:tc>
                <w:tcPr>
                  <w:tcW w:w="2588" w:type="dxa"/>
                </w:tcPr>
                <w:p w14:paraId="7E8FA215" w14:textId="77777777" w:rsidR="00175930" w:rsidRPr="00AB1AD6" w:rsidRDefault="00175930" w:rsidP="00175930">
                  <w:pPr>
                    <w:spacing w:after="60"/>
                    <w:rPr>
                      <w:iCs/>
                      <w:sz w:val="20"/>
                    </w:rPr>
                  </w:pPr>
                  <w:r>
                    <w:rPr>
                      <w:iCs/>
                      <w:sz w:val="20"/>
                    </w:rPr>
                    <w:t>N</w:t>
                  </w:r>
                </w:p>
              </w:tc>
              <w:tc>
                <w:tcPr>
                  <w:tcW w:w="1372" w:type="dxa"/>
                </w:tcPr>
                <w:p w14:paraId="6749FA49" w14:textId="77777777" w:rsidR="00175930" w:rsidRPr="00AB1AD6" w:rsidRDefault="00175930" w:rsidP="00175930">
                  <w:pPr>
                    <w:spacing w:after="60"/>
                    <w:rPr>
                      <w:iCs/>
                      <w:sz w:val="20"/>
                    </w:rPr>
                  </w:pPr>
                  <w:r>
                    <w:rPr>
                      <w:iCs/>
                      <w:sz w:val="20"/>
                    </w:rPr>
                    <w:t>none</w:t>
                  </w:r>
                </w:p>
              </w:tc>
              <w:tc>
                <w:tcPr>
                  <w:tcW w:w="5869" w:type="dxa"/>
                </w:tcPr>
                <w:p w14:paraId="1C13A9B3" w14:textId="77777777" w:rsidR="00175930" w:rsidRPr="00AB1AD6" w:rsidRDefault="00175930" w:rsidP="00175930">
                  <w:pPr>
                    <w:spacing w:after="60"/>
                    <w:rPr>
                      <w:iCs/>
                      <w:sz w:val="20"/>
                    </w:rPr>
                  </w:pPr>
                  <w:r>
                    <w:rPr>
                      <w:iCs/>
                      <w:sz w:val="20"/>
                    </w:rPr>
                    <w:t>The number of IRRs within an IRR Group.</w:t>
                  </w:r>
                </w:p>
              </w:tc>
            </w:tr>
            <w:tr w:rsidR="00175930" w:rsidRPr="00901A46" w14:paraId="3BFF8B44" w14:textId="77777777" w:rsidTr="00AB2BB6">
              <w:trPr>
                <w:cantSplit/>
              </w:trPr>
              <w:tc>
                <w:tcPr>
                  <w:tcW w:w="2588" w:type="dxa"/>
                </w:tcPr>
                <w:p w14:paraId="7D43DDA5" w14:textId="77777777" w:rsidR="00175930" w:rsidRPr="00901A46" w:rsidRDefault="00175930" w:rsidP="00175930">
                  <w:pPr>
                    <w:pStyle w:val="TableBody"/>
                    <w:rPr>
                      <w:i/>
                    </w:rPr>
                  </w:pPr>
                  <w:r w:rsidRPr="006624C0">
                    <w:rPr>
                      <w:i/>
                    </w:rPr>
                    <w:t>q</w:t>
                  </w:r>
                </w:p>
              </w:tc>
              <w:tc>
                <w:tcPr>
                  <w:tcW w:w="1372" w:type="dxa"/>
                </w:tcPr>
                <w:p w14:paraId="2F9AED7E" w14:textId="77777777" w:rsidR="00175930" w:rsidRPr="00901A46" w:rsidRDefault="00175930" w:rsidP="00175930">
                  <w:pPr>
                    <w:pStyle w:val="TableBody"/>
                  </w:pPr>
                  <w:r w:rsidRPr="006624C0">
                    <w:t>none</w:t>
                  </w:r>
                </w:p>
              </w:tc>
              <w:tc>
                <w:tcPr>
                  <w:tcW w:w="5869" w:type="dxa"/>
                </w:tcPr>
                <w:p w14:paraId="6595B9A3" w14:textId="77777777" w:rsidR="00175930" w:rsidRPr="00901A46" w:rsidRDefault="00175930" w:rsidP="00175930">
                  <w:pPr>
                    <w:pStyle w:val="TableBody"/>
                  </w:pPr>
                  <w:r w:rsidRPr="006624C0">
                    <w:t>A QSE.</w:t>
                  </w:r>
                </w:p>
              </w:tc>
            </w:tr>
            <w:tr w:rsidR="00175930" w:rsidRPr="00901A46" w14:paraId="011D000A" w14:textId="77777777" w:rsidTr="00AB2BB6">
              <w:trPr>
                <w:cantSplit/>
              </w:trPr>
              <w:tc>
                <w:tcPr>
                  <w:tcW w:w="2588" w:type="dxa"/>
                </w:tcPr>
                <w:p w14:paraId="558E7C81" w14:textId="77777777" w:rsidR="00175930" w:rsidRPr="00901A46" w:rsidRDefault="00175930" w:rsidP="00175930">
                  <w:pPr>
                    <w:pStyle w:val="TableBody"/>
                    <w:rPr>
                      <w:i/>
                    </w:rPr>
                  </w:pPr>
                  <w:r w:rsidRPr="006624C0">
                    <w:rPr>
                      <w:i/>
                    </w:rPr>
                    <w:t>p</w:t>
                  </w:r>
                </w:p>
              </w:tc>
              <w:tc>
                <w:tcPr>
                  <w:tcW w:w="1372" w:type="dxa"/>
                </w:tcPr>
                <w:p w14:paraId="564B41AB" w14:textId="77777777" w:rsidR="00175930" w:rsidRPr="00901A46" w:rsidRDefault="00175930" w:rsidP="00175930">
                  <w:pPr>
                    <w:pStyle w:val="TableBody"/>
                  </w:pPr>
                  <w:r w:rsidRPr="006624C0">
                    <w:t>none</w:t>
                  </w:r>
                </w:p>
              </w:tc>
              <w:tc>
                <w:tcPr>
                  <w:tcW w:w="5869" w:type="dxa"/>
                </w:tcPr>
                <w:p w14:paraId="2023310A" w14:textId="77777777" w:rsidR="00175930" w:rsidRPr="00901A46" w:rsidRDefault="00175930" w:rsidP="00175930">
                  <w:pPr>
                    <w:pStyle w:val="TableBody"/>
                  </w:pPr>
                  <w:r w:rsidRPr="006624C0">
                    <w:t>A Settlement Point.</w:t>
                  </w:r>
                </w:p>
              </w:tc>
            </w:tr>
            <w:tr w:rsidR="00175930" w:rsidRPr="00901A46" w14:paraId="60A39E66" w14:textId="77777777" w:rsidTr="00AB2BB6">
              <w:trPr>
                <w:cantSplit/>
              </w:trPr>
              <w:tc>
                <w:tcPr>
                  <w:tcW w:w="2588" w:type="dxa"/>
                </w:tcPr>
                <w:p w14:paraId="509723F9" w14:textId="77777777" w:rsidR="00175930" w:rsidRPr="00901A46" w:rsidRDefault="00175930" w:rsidP="00175930">
                  <w:pPr>
                    <w:pStyle w:val="TableBody"/>
                    <w:rPr>
                      <w:i/>
                    </w:rPr>
                  </w:pPr>
                  <w:r w:rsidRPr="006624C0">
                    <w:rPr>
                      <w:i/>
                    </w:rPr>
                    <w:t>r</w:t>
                  </w:r>
                </w:p>
              </w:tc>
              <w:tc>
                <w:tcPr>
                  <w:tcW w:w="1372" w:type="dxa"/>
                </w:tcPr>
                <w:p w14:paraId="514BE4F8" w14:textId="77777777" w:rsidR="00175930" w:rsidRPr="00901A46" w:rsidRDefault="00175930" w:rsidP="00175930">
                  <w:pPr>
                    <w:pStyle w:val="TableBody"/>
                  </w:pPr>
                  <w:r w:rsidRPr="006624C0">
                    <w:t>none</w:t>
                  </w:r>
                </w:p>
              </w:tc>
              <w:tc>
                <w:tcPr>
                  <w:tcW w:w="5869" w:type="dxa"/>
                </w:tcPr>
                <w:p w14:paraId="679BD768" w14:textId="251C5C88" w:rsidR="00175930" w:rsidRPr="00901A46" w:rsidRDefault="00175930" w:rsidP="00175930">
                  <w:pPr>
                    <w:pStyle w:val="TableBody"/>
                    <w:rPr>
                      <w:lang w:val="fr-FR"/>
                    </w:rPr>
                  </w:pPr>
                  <w:r w:rsidRPr="006624C0">
                    <w:rPr>
                      <w:lang w:val="fr-FR"/>
                    </w:rPr>
                    <w:t>A non-exempt</w:t>
                  </w:r>
                  <w:r>
                    <w:rPr>
                      <w:lang w:val="fr-FR"/>
                    </w:rPr>
                    <w:t xml:space="preserve"> </w:t>
                  </w:r>
                  <w:r w:rsidR="008152FC">
                    <w:rPr>
                      <w:lang w:val="fr-FR"/>
                    </w:rPr>
                    <w:t xml:space="preserve">Generation </w:t>
                  </w:r>
                  <w:r>
                    <w:rPr>
                      <w:lang w:val="fr-FR"/>
                    </w:rPr>
                    <w:t>Resource</w:t>
                  </w:r>
                  <w:r w:rsidRPr="006624C0">
                    <w:rPr>
                      <w:lang w:val="fr-FR"/>
                    </w:rPr>
                    <w:t>.</w:t>
                  </w:r>
                </w:p>
              </w:tc>
            </w:tr>
            <w:tr w:rsidR="00175930" w:rsidRPr="00901A46" w14:paraId="33DC9AB6" w14:textId="77777777" w:rsidTr="00AB2BB6">
              <w:trPr>
                <w:cantSplit/>
              </w:trPr>
              <w:tc>
                <w:tcPr>
                  <w:tcW w:w="2588" w:type="dxa"/>
                </w:tcPr>
                <w:p w14:paraId="0000A54C" w14:textId="77777777" w:rsidR="00175930" w:rsidRPr="00901A46" w:rsidRDefault="00175930" w:rsidP="00175930">
                  <w:pPr>
                    <w:pStyle w:val="TableBody"/>
                    <w:rPr>
                      <w:i/>
                    </w:rPr>
                  </w:pPr>
                  <w:r w:rsidRPr="006624C0">
                    <w:rPr>
                      <w:i/>
                    </w:rPr>
                    <w:t>y</w:t>
                  </w:r>
                </w:p>
              </w:tc>
              <w:tc>
                <w:tcPr>
                  <w:tcW w:w="1372" w:type="dxa"/>
                </w:tcPr>
                <w:p w14:paraId="33D1F9DA" w14:textId="77777777" w:rsidR="00175930" w:rsidRPr="00901A46" w:rsidRDefault="00175930" w:rsidP="00175930">
                  <w:pPr>
                    <w:pStyle w:val="TableBody"/>
                  </w:pPr>
                  <w:r w:rsidRPr="006624C0">
                    <w:t>none</w:t>
                  </w:r>
                </w:p>
              </w:tc>
              <w:tc>
                <w:tcPr>
                  <w:tcW w:w="5869" w:type="dxa"/>
                </w:tcPr>
                <w:p w14:paraId="196ADE3D" w14:textId="77777777" w:rsidR="00175930" w:rsidRPr="00901A46" w:rsidRDefault="00175930" w:rsidP="00175930">
                  <w:pPr>
                    <w:pStyle w:val="TableBody"/>
                    <w:rPr>
                      <w:lang w:val="fr-FR"/>
                    </w:rPr>
                  </w:pPr>
                  <w:r w:rsidRPr="006624C0">
                    <w:t xml:space="preserve">A five-minute clock interval in the Settlement Interval. </w:t>
                  </w:r>
                </w:p>
              </w:tc>
            </w:tr>
            <w:tr w:rsidR="00175930" w:rsidRPr="00901A46" w14:paraId="0789E0F2" w14:textId="77777777" w:rsidTr="00AB2BB6">
              <w:trPr>
                <w:cantSplit/>
              </w:trPr>
              <w:tc>
                <w:tcPr>
                  <w:tcW w:w="2588" w:type="dxa"/>
                </w:tcPr>
                <w:p w14:paraId="3127F5B6" w14:textId="77777777" w:rsidR="00175930" w:rsidRPr="00901A46" w:rsidRDefault="00175930" w:rsidP="00175930">
                  <w:pPr>
                    <w:pStyle w:val="TableBody"/>
                    <w:rPr>
                      <w:i/>
                    </w:rPr>
                  </w:pPr>
                  <w:r w:rsidRPr="006624C0">
                    <w:rPr>
                      <w:i/>
                    </w:rPr>
                    <w:t>i</w:t>
                  </w:r>
                </w:p>
              </w:tc>
              <w:tc>
                <w:tcPr>
                  <w:tcW w:w="1372" w:type="dxa"/>
                </w:tcPr>
                <w:p w14:paraId="650A066E" w14:textId="77777777" w:rsidR="00175930" w:rsidRPr="00901A46" w:rsidRDefault="00175930" w:rsidP="00175930">
                  <w:pPr>
                    <w:pStyle w:val="TableBody"/>
                  </w:pPr>
                  <w:r w:rsidRPr="006624C0">
                    <w:t>none</w:t>
                  </w:r>
                </w:p>
              </w:tc>
              <w:tc>
                <w:tcPr>
                  <w:tcW w:w="5869" w:type="dxa"/>
                </w:tcPr>
                <w:p w14:paraId="4CA59675" w14:textId="77777777" w:rsidR="00175930" w:rsidRPr="00901A46" w:rsidRDefault="00175930" w:rsidP="00175930">
                  <w:pPr>
                    <w:pStyle w:val="TableBody"/>
                  </w:pPr>
                  <w:r w:rsidRPr="006624C0">
                    <w:t>A 15-minute Settlement Interval.</w:t>
                  </w:r>
                </w:p>
              </w:tc>
            </w:tr>
            <w:tr w:rsidR="00175930" w:rsidRPr="00901A46" w14:paraId="6D2E997E" w14:textId="77777777" w:rsidTr="00AB2BB6">
              <w:trPr>
                <w:cantSplit/>
              </w:trPr>
              <w:tc>
                <w:tcPr>
                  <w:tcW w:w="2588" w:type="dxa"/>
                </w:tcPr>
                <w:p w14:paraId="4F87609B" w14:textId="77777777" w:rsidR="00175930" w:rsidRPr="00AB1AD6" w:rsidRDefault="00175930" w:rsidP="00175930">
                  <w:pPr>
                    <w:spacing w:after="60"/>
                    <w:rPr>
                      <w:iCs/>
                      <w:sz w:val="20"/>
                    </w:rPr>
                  </w:pPr>
                  <w:r>
                    <w:rPr>
                      <w:i/>
                      <w:iCs/>
                      <w:sz w:val="20"/>
                    </w:rPr>
                    <w:t>wg</w:t>
                  </w:r>
                </w:p>
              </w:tc>
              <w:tc>
                <w:tcPr>
                  <w:tcW w:w="1372" w:type="dxa"/>
                </w:tcPr>
                <w:p w14:paraId="1791F918" w14:textId="77777777" w:rsidR="00175930" w:rsidRPr="00AB1AD6" w:rsidRDefault="00175930" w:rsidP="00175930">
                  <w:pPr>
                    <w:spacing w:after="60"/>
                    <w:rPr>
                      <w:iCs/>
                      <w:sz w:val="20"/>
                    </w:rPr>
                  </w:pPr>
                  <w:r>
                    <w:rPr>
                      <w:iCs/>
                      <w:sz w:val="20"/>
                    </w:rPr>
                    <w:t>none</w:t>
                  </w:r>
                </w:p>
              </w:tc>
              <w:tc>
                <w:tcPr>
                  <w:tcW w:w="5869" w:type="dxa"/>
                </w:tcPr>
                <w:p w14:paraId="560DDEF1" w14:textId="77777777" w:rsidR="00175930" w:rsidRPr="00AB1AD6" w:rsidRDefault="00175930" w:rsidP="00175930">
                  <w:pPr>
                    <w:spacing w:after="60"/>
                    <w:rPr>
                      <w:iCs/>
                      <w:sz w:val="20"/>
                    </w:rPr>
                  </w:pPr>
                  <w:r>
                    <w:rPr>
                      <w:iCs/>
                      <w:sz w:val="20"/>
                    </w:rPr>
                    <w:t>An IRR Group.</w:t>
                  </w:r>
                </w:p>
              </w:tc>
            </w:tr>
          </w:tbl>
          <w:p w14:paraId="2DF8E2E6" w14:textId="77777777" w:rsidR="00AC1609" w:rsidRPr="00B37C4B" w:rsidRDefault="00AC1609" w:rsidP="00AB2BB6">
            <w:pPr>
              <w:pStyle w:val="H3"/>
            </w:pPr>
          </w:p>
        </w:tc>
      </w:tr>
    </w:tbl>
    <w:p w14:paraId="0FAF8DB5" w14:textId="77777777" w:rsidR="001F04FD" w:rsidRPr="002600B6" w:rsidRDefault="001F04FD" w:rsidP="001F04FD">
      <w:pPr>
        <w:pStyle w:val="H4"/>
        <w:tabs>
          <w:tab w:val="clear" w:pos="1260"/>
          <w:tab w:val="left" w:pos="1620"/>
        </w:tabs>
        <w:spacing w:before="480"/>
        <w:ind w:left="1627" w:hanging="1627"/>
        <w:outlineLvl w:val="4"/>
      </w:pPr>
      <w:bookmarkStart w:id="2133" w:name="_Toc204411688"/>
      <w:r w:rsidRPr="002600B6">
        <w:lastRenderedPageBreak/>
        <w:t>6.6.5.1.1.3</w:t>
      </w:r>
      <w:r w:rsidRPr="002600B6">
        <w:tab/>
        <w:t>Controllable Load Resource Base Point Deviation Charge for Over Consumption</w:t>
      </w:r>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33"/>
    </w:p>
    <w:p w14:paraId="5CDC21CF" w14:textId="77777777" w:rsidR="001F04FD" w:rsidRPr="006A6281" w:rsidRDefault="001F04FD" w:rsidP="001F04FD">
      <w:pPr>
        <w:pStyle w:val="BodyTextNumbered"/>
      </w:pPr>
      <w:r w:rsidRPr="006A6281">
        <w:t>(1)</w:t>
      </w:r>
      <w:r w:rsidRPr="006A6281">
        <w:tab/>
        <w:t>ERCOT shall charge a QSE for a Controllable Load Resource for over-consumption that exceeds the following tolerance.  The tolerance is the greater of:</w:t>
      </w:r>
    </w:p>
    <w:p w14:paraId="0409DFDD" w14:textId="77777777" w:rsidR="001F04FD" w:rsidRPr="006A6281" w:rsidRDefault="001F04FD" w:rsidP="001F04FD">
      <w:pPr>
        <w:pStyle w:val="BodyTextNumbered"/>
        <w:ind w:left="1440"/>
      </w:pPr>
      <w:r w:rsidRPr="006A6281">
        <w:t>(a)</w:t>
      </w:r>
      <w:r w:rsidRPr="006A6281">
        <w:tab/>
        <w:t>XO% of the average of the Base Points in the Settlement Interval adjusted for any Ancillary Service deployments; or</w:t>
      </w:r>
    </w:p>
    <w:p w14:paraId="09DDD6B6" w14:textId="77777777" w:rsidR="001F04FD" w:rsidRPr="006A6281" w:rsidRDefault="001F04FD" w:rsidP="001F04FD">
      <w:pPr>
        <w:pStyle w:val="BodyTextNumbered"/>
        <w:ind w:left="1440"/>
      </w:pPr>
      <w:r w:rsidRPr="006A6281">
        <w:t>(b)</w:t>
      </w:r>
      <w:r w:rsidRPr="006A6281">
        <w:tab/>
        <w:t xml:space="preserve">YO MW for power consumption above the average of the Base Points in the Settlement Interval adjusted for any Ancillary Service deployments. </w:t>
      </w:r>
    </w:p>
    <w:p w14:paraId="1E82CB27" w14:textId="686EA9CA" w:rsidR="001F04FD" w:rsidRPr="006A6281" w:rsidRDefault="001F04FD" w:rsidP="001F04FD">
      <w:pPr>
        <w:pStyle w:val="BodyTextNumbered"/>
        <w:rPr>
          <w:iCs/>
        </w:rPr>
      </w:pPr>
      <w:r w:rsidRPr="006A6281">
        <w:rPr>
          <w:iCs/>
        </w:rPr>
        <w:t>(2)</w:t>
      </w:r>
      <w:r w:rsidRPr="006A6281">
        <w:rPr>
          <w:iCs/>
        </w:rPr>
        <w:tab/>
      </w:r>
      <w:r w:rsidRPr="006A6281">
        <w:t xml:space="preserve">The Controllable Load Resource Base Point Deviation Charge for over-consumption variables XO and YO shall be subject to review and approval by </w:t>
      </w:r>
      <w:r>
        <w:t xml:space="preserve">the </w:t>
      </w:r>
      <w:r w:rsidRPr="006A6281">
        <w:t xml:space="preserve">TAC and shall be posted to the </w:t>
      </w:r>
      <w:r w:rsidR="0007207E">
        <w:t>ERCOT website</w:t>
      </w:r>
      <w:r w:rsidRPr="006A6281">
        <w:t xml:space="preserve"> no later than three Business Days after TAC approval.</w:t>
      </w:r>
    </w:p>
    <w:p w14:paraId="1AB85224" w14:textId="77777777" w:rsidR="001F04FD" w:rsidRPr="006A6281" w:rsidRDefault="001F04FD" w:rsidP="001F04FD">
      <w:pPr>
        <w:pStyle w:val="BodyTextNumbered"/>
        <w:rPr>
          <w:iCs/>
        </w:rPr>
      </w:pPr>
      <w:r w:rsidRPr="006A6281">
        <w:rPr>
          <w:iCs/>
        </w:rPr>
        <w:t>(3)</w:t>
      </w:r>
      <w:r w:rsidRPr="006A6281">
        <w:rPr>
          <w:iCs/>
        </w:rPr>
        <w:tab/>
        <w:t xml:space="preserve">The charge to each QSE for non-excused over-consumption for each </w:t>
      </w:r>
      <w:r w:rsidRPr="006A6281">
        <w:t>Controllable</w:t>
      </w:r>
      <w:r w:rsidRPr="006A6281">
        <w:rPr>
          <w:iCs/>
        </w:rPr>
        <w:t xml:space="preserve"> Load Resource during a 15-minute Settlement Interval in which the Controllable Load Resource has received a Base Point is calculated as follows:</w:t>
      </w:r>
    </w:p>
    <w:p w14:paraId="2C33E0AF" w14:textId="77777777" w:rsidR="001F04FD" w:rsidRPr="006A6281" w:rsidRDefault="001F04FD" w:rsidP="001F04FD">
      <w:pPr>
        <w:ind w:left="720"/>
        <w:rPr>
          <w:lang w:val="pt-BR"/>
        </w:rPr>
      </w:pPr>
    </w:p>
    <w:p w14:paraId="5D3F567D" w14:textId="77777777" w:rsidR="001F04FD" w:rsidRPr="006A6281" w:rsidRDefault="001F04FD" w:rsidP="001F04FD">
      <w:pPr>
        <w:pStyle w:val="FormulaBold"/>
        <w:tabs>
          <w:tab w:val="left" w:pos="720"/>
        </w:tabs>
        <w:ind w:left="2880" w:hanging="2880"/>
        <w:rPr>
          <w:lang w:val="pt-BR"/>
        </w:rPr>
      </w:pPr>
      <w:r w:rsidRPr="006A6281">
        <w:rPr>
          <w:lang w:val="pt-BR"/>
        </w:rPr>
        <w:tab/>
        <w:t>BPDAMT</w:t>
      </w:r>
      <w:r w:rsidRPr="006A6281">
        <w:rPr>
          <w:i/>
          <w:vertAlign w:val="subscript"/>
          <w:lang w:val="pt-BR"/>
        </w:rPr>
        <w:t xml:space="preserve"> q, r, p, i</w:t>
      </w:r>
      <w:r w:rsidRPr="006A6281">
        <w:rPr>
          <w:lang w:val="pt-BR"/>
        </w:rPr>
        <w:t xml:space="preserve"> =</w:t>
      </w:r>
      <w:r w:rsidRPr="006A6281">
        <w:rPr>
          <w:lang w:val="pt-BR"/>
        </w:rPr>
        <w:tab/>
      </w:r>
      <w:r w:rsidRPr="006A6281">
        <w:t>-1 * Min (PRZ1, RTSPP</w:t>
      </w:r>
      <w:r w:rsidR="00967F3A">
        <w:t xml:space="preserve"> </w:t>
      </w:r>
      <w:r w:rsidRPr="006A6281">
        <w:rPr>
          <w:i/>
          <w:vertAlign w:val="subscript"/>
        </w:rPr>
        <w:t>p,</w:t>
      </w:r>
      <w:r w:rsidR="00967F3A">
        <w:rPr>
          <w:i/>
          <w:vertAlign w:val="subscript"/>
        </w:rPr>
        <w:t xml:space="preserve"> </w:t>
      </w:r>
      <w:r w:rsidRPr="006A6281">
        <w:rPr>
          <w:i/>
          <w:vertAlign w:val="subscript"/>
        </w:rPr>
        <w:t>i</w:t>
      </w:r>
      <w:r w:rsidRPr="006A6281">
        <w:t>) * Min (1, KP1) * OCONSM</w:t>
      </w:r>
      <w:r w:rsidRPr="006A6281">
        <w:rPr>
          <w:sz w:val="18"/>
          <w:szCs w:val="18"/>
          <w:vertAlign w:val="subscript"/>
        </w:rPr>
        <w:t xml:space="preserve"> </w:t>
      </w:r>
      <w:r w:rsidRPr="006A6281">
        <w:rPr>
          <w:i/>
          <w:vertAlign w:val="subscript"/>
        </w:rPr>
        <w:t>q, r, p, i</w:t>
      </w:r>
    </w:p>
    <w:p w14:paraId="61E5ED19" w14:textId="77777777" w:rsidR="001F04FD" w:rsidRPr="006A6281" w:rsidRDefault="001F04FD" w:rsidP="001F04FD">
      <w:pPr>
        <w:pStyle w:val="FormulaBold"/>
        <w:rPr>
          <w:b w:val="0"/>
        </w:rPr>
      </w:pPr>
      <w:r w:rsidRPr="006A6281">
        <w:rPr>
          <w:b w:val="0"/>
        </w:rPr>
        <w:t>Where:</w:t>
      </w:r>
    </w:p>
    <w:p w14:paraId="4CC5C34E" w14:textId="77777777" w:rsidR="001F04FD" w:rsidRPr="002600B6" w:rsidRDefault="001F04FD" w:rsidP="001F04FD">
      <w:pPr>
        <w:pStyle w:val="BodyTextNumbered"/>
        <w:ind w:firstLine="0"/>
        <w:rPr>
          <w:iCs/>
        </w:rPr>
      </w:pPr>
      <w:r w:rsidRPr="002600B6">
        <w:lastRenderedPageBreak/>
        <w:t>OCONSM</w:t>
      </w:r>
      <w:r w:rsidRPr="002600B6">
        <w:rPr>
          <w:i/>
          <w:iCs/>
          <w:vertAlign w:val="subscript"/>
          <w:lang w:val="es-ES"/>
        </w:rPr>
        <w:t xml:space="preserve"> q, r, p, i  </w:t>
      </w:r>
      <w:r w:rsidRPr="002600B6">
        <w:t xml:space="preserve"> = </w:t>
      </w:r>
      <w:r w:rsidRPr="002600B6">
        <w:rPr>
          <w:iCs/>
        </w:rPr>
        <w:t xml:space="preserve">Max [0, </w:t>
      </w:r>
      <w:r>
        <w:rPr>
          <w:iCs/>
        </w:rPr>
        <w:t>(</w:t>
      </w:r>
      <w:r w:rsidRPr="002600B6">
        <w:rPr>
          <w:iCs/>
        </w:rPr>
        <w:t>ATPC</w:t>
      </w:r>
      <w:r w:rsidR="00967F3A">
        <w:rPr>
          <w:iCs/>
        </w:rPr>
        <w:t xml:space="preserve"> </w:t>
      </w:r>
      <w:r w:rsidRPr="002600B6">
        <w:rPr>
          <w:i/>
          <w:vertAlign w:val="subscript"/>
          <w:lang w:val="es-ES"/>
        </w:rPr>
        <w:t>q, r, p, i</w:t>
      </w:r>
      <w:r w:rsidRPr="002600B6">
        <w:rPr>
          <w:iCs/>
        </w:rPr>
        <w:t xml:space="preserve"> - ¼* </w:t>
      </w:r>
      <w:r w:rsidRPr="002600B6">
        <w:t>Max (((1 + KLR1) * AABP</w:t>
      </w:r>
      <w:r w:rsidRPr="002600B6">
        <w:rPr>
          <w:i/>
          <w:iCs/>
          <w:vertAlign w:val="subscript"/>
          <w:lang w:val="es-ES"/>
        </w:rPr>
        <w:t xml:space="preserve"> q, r, p, i</w:t>
      </w:r>
      <w:r w:rsidRPr="002600B6">
        <w:rPr>
          <w:rFonts w:ascii="Times New Roman Bold" w:hAnsi="Times New Roman Bold"/>
          <w:iCs/>
          <w:lang w:val="es-ES"/>
        </w:rPr>
        <w:t>)</w:t>
      </w:r>
      <w:r w:rsidRPr="002600B6">
        <w:t>, (AABP</w:t>
      </w:r>
      <w:r w:rsidRPr="002600B6">
        <w:rPr>
          <w:i/>
          <w:iCs/>
          <w:vertAlign w:val="subscript"/>
          <w:lang w:val="es-ES"/>
        </w:rPr>
        <w:t xml:space="preserve"> q, r, p, i </w:t>
      </w:r>
      <w:r w:rsidRPr="002600B6">
        <w:t>+ QLR1)))</w:t>
      </w:r>
      <w:r w:rsidRPr="002600B6">
        <w:rPr>
          <w:iCs/>
        </w:rPr>
        <w:t>]</w:t>
      </w:r>
    </w:p>
    <w:p w14:paraId="59E25E67" w14:textId="77777777" w:rsidR="001F04FD" w:rsidRPr="002600B6" w:rsidRDefault="001F04FD" w:rsidP="001F04FD">
      <w:pPr>
        <w:pStyle w:val="BodyTextNumbered"/>
        <w:ind w:left="1440"/>
      </w:pPr>
      <w:r w:rsidRPr="002600B6">
        <w:t>ATPC</w:t>
      </w:r>
      <w:r w:rsidRPr="002600B6">
        <w:rPr>
          <w:i/>
          <w:vertAlign w:val="subscript"/>
        </w:rPr>
        <w:t xml:space="preserve"> q, r, p, i</w:t>
      </w:r>
      <w:r w:rsidRPr="002600B6">
        <w:rPr>
          <w:i/>
          <w:vertAlign w:val="subscript"/>
        </w:rPr>
        <w:tab/>
      </w:r>
      <w:r w:rsidRPr="002600B6">
        <w:t>=</w:t>
      </w:r>
      <w:r w:rsidRPr="002600B6">
        <w:rPr>
          <w:i/>
          <w:vertAlign w:val="subscript"/>
        </w:rPr>
        <w:t xml:space="preserve">      </w:t>
      </w:r>
      <w:r w:rsidRPr="002600B6">
        <w:t xml:space="preserve"> (</w:t>
      </w:r>
      <w:r w:rsidRPr="00A33C4E">
        <w:rPr>
          <w:position w:val="-22"/>
        </w:rPr>
        <w:object w:dxaOrig="210" w:dyaOrig="450" w14:anchorId="46C7ACF8">
          <v:shape id="_x0000_i1188" type="#_x0000_t75" style="width:5.4pt;height:24.6pt" o:ole="">
            <v:imagedata r:id="rId209" o:title=""/>
          </v:shape>
          <o:OLEObject Type="Embed" ProgID="Equation.3" ShapeID="_x0000_i1188" DrawAspect="Content" ObjectID="_1815025378" r:id="rId220"/>
        </w:object>
      </w:r>
      <w:r w:rsidRPr="002600B6">
        <w:t xml:space="preserve"> (AVGTPC5M</w:t>
      </w:r>
      <w:r w:rsidRPr="002600B6">
        <w:rPr>
          <w:i/>
          <w:vertAlign w:val="subscript"/>
        </w:rPr>
        <w:t xml:space="preserve"> q, r, p</w:t>
      </w:r>
      <w:r w:rsidR="008D7D6C">
        <w:rPr>
          <w:i/>
          <w:vertAlign w:val="subscript"/>
        </w:rPr>
        <w:t>,</w:t>
      </w:r>
      <w:r w:rsidRPr="002600B6">
        <w:rPr>
          <w:i/>
          <w:iCs/>
          <w:vertAlign w:val="subscript"/>
          <w:lang w:val="es-ES"/>
        </w:rPr>
        <w:t xml:space="preserve"> i,</w:t>
      </w:r>
      <w:r w:rsidR="008D7D6C">
        <w:rPr>
          <w:i/>
          <w:iCs/>
          <w:vertAlign w:val="subscript"/>
          <w:lang w:val="es-ES"/>
        </w:rPr>
        <w:t xml:space="preserve"> </w:t>
      </w:r>
      <w:r w:rsidRPr="002600B6">
        <w:rPr>
          <w:i/>
          <w:vertAlign w:val="subscript"/>
        </w:rPr>
        <w:t>y</w:t>
      </w:r>
      <w:r w:rsidRPr="002600B6">
        <w:t>) / 3) * ¼</w:t>
      </w:r>
    </w:p>
    <w:p w14:paraId="5C4C71CE" w14:textId="77777777" w:rsidR="001F04FD" w:rsidRPr="006A6281" w:rsidRDefault="001F04FD" w:rsidP="001F04FD">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F04FD" w:rsidRPr="006A6281" w14:paraId="561E2BFF" w14:textId="77777777" w:rsidTr="00BA3F0D">
        <w:tc>
          <w:tcPr>
            <w:tcW w:w="1975" w:type="dxa"/>
          </w:tcPr>
          <w:p w14:paraId="7BB6C43F" w14:textId="77777777" w:rsidR="001F04FD" w:rsidRPr="006A6281" w:rsidRDefault="001F04FD" w:rsidP="00AC4DEE">
            <w:pPr>
              <w:pStyle w:val="TableHead"/>
              <w:rPr>
                <w:sz w:val="18"/>
                <w:szCs w:val="18"/>
              </w:rPr>
            </w:pPr>
            <w:r w:rsidRPr="006A6281">
              <w:rPr>
                <w:sz w:val="18"/>
                <w:szCs w:val="18"/>
              </w:rPr>
              <w:t>Variable</w:t>
            </w:r>
          </w:p>
        </w:tc>
        <w:tc>
          <w:tcPr>
            <w:tcW w:w="900" w:type="dxa"/>
          </w:tcPr>
          <w:p w14:paraId="2D93B1FA" w14:textId="77777777" w:rsidR="001F04FD" w:rsidRPr="006A6281" w:rsidRDefault="001F04FD" w:rsidP="00AC4DEE">
            <w:pPr>
              <w:pStyle w:val="TableHead"/>
              <w:rPr>
                <w:sz w:val="18"/>
                <w:szCs w:val="18"/>
              </w:rPr>
            </w:pPr>
            <w:r w:rsidRPr="006A6281">
              <w:rPr>
                <w:sz w:val="18"/>
                <w:szCs w:val="18"/>
              </w:rPr>
              <w:t>Unit</w:t>
            </w:r>
          </w:p>
        </w:tc>
        <w:tc>
          <w:tcPr>
            <w:tcW w:w="6942" w:type="dxa"/>
            <w:gridSpan w:val="2"/>
          </w:tcPr>
          <w:p w14:paraId="161F9EDC" w14:textId="77777777" w:rsidR="001F04FD" w:rsidRPr="006A6281" w:rsidRDefault="001F04FD" w:rsidP="00AC4DEE">
            <w:pPr>
              <w:pStyle w:val="TableHead"/>
              <w:rPr>
                <w:sz w:val="18"/>
                <w:szCs w:val="18"/>
              </w:rPr>
            </w:pPr>
            <w:r w:rsidRPr="006A6281">
              <w:rPr>
                <w:sz w:val="18"/>
                <w:szCs w:val="18"/>
              </w:rPr>
              <w:t>Definition</w:t>
            </w:r>
          </w:p>
        </w:tc>
      </w:tr>
      <w:tr w:rsidR="001F04FD" w:rsidRPr="006A6281" w14:paraId="28AB34F7" w14:textId="77777777" w:rsidTr="00BA3F0D">
        <w:trPr>
          <w:cantSplit/>
        </w:trPr>
        <w:tc>
          <w:tcPr>
            <w:tcW w:w="1975" w:type="dxa"/>
          </w:tcPr>
          <w:p w14:paraId="5E8AB9D0" w14:textId="77777777" w:rsidR="001F04FD" w:rsidRPr="006A6281" w:rsidRDefault="001F04FD" w:rsidP="00AC4DEE">
            <w:pPr>
              <w:pStyle w:val="TableBody"/>
            </w:pPr>
            <w:r w:rsidRPr="006A6281">
              <w:t xml:space="preserve">BPDAMT </w:t>
            </w:r>
            <w:r w:rsidRPr="00107CC2">
              <w:rPr>
                <w:i/>
                <w:vertAlign w:val="subscript"/>
              </w:rPr>
              <w:t>q, r, p, i</w:t>
            </w:r>
          </w:p>
        </w:tc>
        <w:tc>
          <w:tcPr>
            <w:tcW w:w="900" w:type="dxa"/>
          </w:tcPr>
          <w:p w14:paraId="0B075B26" w14:textId="77777777" w:rsidR="001F04FD" w:rsidRPr="006A6281" w:rsidRDefault="001F04FD" w:rsidP="00AC4DEE">
            <w:pPr>
              <w:pStyle w:val="TableBody"/>
            </w:pPr>
            <w:r w:rsidRPr="006A6281">
              <w:t>$</w:t>
            </w:r>
          </w:p>
        </w:tc>
        <w:tc>
          <w:tcPr>
            <w:tcW w:w="6942" w:type="dxa"/>
            <w:gridSpan w:val="2"/>
          </w:tcPr>
          <w:p w14:paraId="34407A93" w14:textId="77777777" w:rsidR="001F04FD" w:rsidRPr="006A6281" w:rsidRDefault="001F04FD" w:rsidP="00AC4DEE">
            <w:pPr>
              <w:pStyle w:val="TableBody"/>
            </w:pPr>
            <w:r w:rsidRPr="006A6281">
              <w:rPr>
                <w:i/>
              </w:rPr>
              <w:t>Base Point Deviation Charge per QSE per Settlement Point per Resource</w:t>
            </w:r>
            <w:r w:rsidRPr="006A6281">
              <w:t xml:space="preserve">—The charge to QSE </w:t>
            </w:r>
            <w:r w:rsidRPr="006A6281">
              <w:rPr>
                <w:i/>
              </w:rPr>
              <w:t>q</w:t>
            </w:r>
            <w:r w:rsidRPr="006A6281">
              <w:t xml:space="preserve"> for Generation Resource or Controllable Load Resource </w:t>
            </w:r>
            <w:r w:rsidRPr="006A6281">
              <w:rPr>
                <w:i/>
              </w:rPr>
              <w:t>r</w:t>
            </w:r>
            <w:r w:rsidRPr="006A6281">
              <w:t xml:space="preserve"> at Settlement Point </w:t>
            </w:r>
            <w:r w:rsidRPr="006A6281">
              <w:rPr>
                <w:i/>
              </w:rPr>
              <w:t>p</w:t>
            </w:r>
            <w:r w:rsidRPr="006A6281">
              <w:t xml:space="preserve">, for its deviation from Base Point, for the 15-minute Settlement Interval </w:t>
            </w:r>
            <w:r w:rsidRPr="006A6281">
              <w:rPr>
                <w:i/>
              </w:rPr>
              <w:t>i</w:t>
            </w:r>
            <w:r w:rsidRPr="006A6281">
              <w:t>.</w:t>
            </w:r>
          </w:p>
        </w:tc>
      </w:tr>
      <w:tr w:rsidR="001F04FD" w:rsidRPr="006A6281" w14:paraId="24EA6FCE" w14:textId="77777777" w:rsidTr="00BA3F0D">
        <w:trPr>
          <w:cantSplit/>
        </w:trPr>
        <w:tc>
          <w:tcPr>
            <w:tcW w:w="1975" w:type="dxa"/>
          </w:tcPr>
          <w:p w14:paraId="4B1BC038" w14:textId="77777777" w:rsidR="001F04FD" w:rsidRPr="006A6281" w:rsidRDefault="001F04FD" w:rsidP="00AC4DEE">
            <w:pPr>
              <w:pStyle w:val="TableBody"/>
            </w:pPr>
            <w:r w:rsidRPr="006A6281">
              <w:t xml:space="preserve">RTSPP </w:t>
            </w:r>
            <w:r w:rsidRPr="00107CC2">
              <w:rPr>
                <w:i/>
                <w:vertAlign w:val="subscript"/>
              </w:rPr>
              <w:t>p, i</w:t>
            </w:r>
          </w:p>
        </w:tc>
        <w:tc>
          <w:tcPr>
            <w:tcW w:w="900" w:type="dxa"/>
          </w:tcPr>
          <w:p w14:paraId="02AA120B" w14:textId="77777777" w:rsidR="001F04FD" w:rsidRPr="006A6281" w:rsidRDefault="001F04FD" w:rsidP="00AC4DEE">
            <w:pPr>
              <w:pStyle w:val="TableBody"/>
            </w:pPr>
            <w:r w:rsidRPr="006A6281">
              <w:t>$/MWh</w:t>
            </w:r>
          </w:p>
        </w:tc>
        <w:tc>
          <w:tcPr>
            <w:tcW w:w="6942" w:type="dxa"/>
            <w:gridSpan w:val="2"/>
          </w:tcPr>
          <w:p w14:paraId="5182E079" w14:textId="77777777" w:rsidR="001F04FD" w:rsidRPr="006A6281" w:rsidRDefault="001F04FD" w:rsidP="00AC4DEE">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1F04FD" w:rsidRPr="006A6281" w14:paraId="6C5D2203" w14:textId="77777777" w:rsidTr="00BA3F0D">
        <w:trPr>
          <w:gridAfter w:val="1"/>
          <w:wAfter w:w="12" w:type="dxa"/>
          <w:cantSplit/>
        </w:trPr>
        <w:tc>
          <w:tcPr>
            <w:tcW w:w="1975" w:type="dxa"/>
          </w:tcPr>
          <w:p w14:paraId="50D00741" w14:textId="77777777" w:rsidR="001F04FD" w:rsidRPr="006A6281" w:rsidRDefault="001F04FD" w:rsidP="00AC4DEE">
            <w:pPr>
              <w:pStyle w:val="TableBody"/>
            </w:pPr>
            <w:r w:rsidRPr="006A6281">
              <w:t xml:space="preserve">ATPC </w:t>
            </w:r>
            <w:r w:rsidRPr="00107CC2">
              <w:rPr>
                <w:i/>
                <w:vertAlign w:val="subscript"/>
              </w:rPr>
              <w:t>q, r, p, i</w:t>
            </w:r>
          </w:p>
        </w:tc>
        <w:tc>
          <w:tcPr>
            <w:tcW w:w="900" w:type="dxa"/>
          </w:tcPr>
          <w:p w14:paraId="57B32526" w14:textId="77777777" w:rsidR="001F04FD" w:rsidRPr="006A6281" w:rsidRDefault="001F04FD" w:rsidP="00AC4DEE">
            <w:pPr>
              <w:pStyle w:val="TableBody"/>
            </w:pPr>
            <w:r w:rsidRPr="006A6281">
              <w:t>MWh</w:t>
            </w:r>
          </w:p>
        </w:tc>
        <w:tc>
          <w:tcPr>
            <w:tcW w:w="6930" w:type="dxa"/>
          </w:tcPr>
          <w:p w14:paraId="0EA50929" w14:textId="77777777" w:rsidR="001F04FD" w:rsidRPr="006A6281" w:rsidRDefault="001F04FD" w:rsidP="00AC4DEE">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1F04FD" w:rsidRPr="006A6281" w14:paraId="6D7EAB22" w14:textId="77777777" w:rsidTr="00BA3F0D">
        <w:trPr>
          <w:gridAfter w:val="1"/>
          <w:wAfter w:w="12" w:type="dxa"/>
          <w:cantSplit/>
        </w:trPr>
        <w:tc>
          <w:tcPr>
            <w:tcW w:w="1975" w:type="dxa"/>
          </w:tcPr>
          <w:p w14:paraId="4BEECF2A" w14:textId="77777777" w:rsidR="001F04FD" w:rsidRPr="006A6281" w:rsidRDefault="001F04FD" w:rsidP="00AC4DEE">
            <w:pPr>
              <w:pStyle w:val="TableBody"/>
            </w:pPr>
            <w:r w:rsidRPr="006A6281">
              <w:t xml:space="preserve">AABP </w:t>
            </w:r>
            <w:r w:rsidRPr="00107CC2">
              <w:rPr>
                <w:i/>
                <w:vertAlign w:val="subscript"/>
              </w:rPr>
              <w:t>q, r, p, i</w:t>
            </w:r>
          </w:p>
        </w:tc>
        <w:tc>
          <w:tcPr>
            <w:tcW w:w="900" w:type="dxa"/>
          </w:tcPr>
          <w:p w14:paraId="238E64B0" w14:textId="77777777" w:rsidR="001F04FD" w:rsidRPr="006A6281" w:rsidRDefault="001F04FD" w:rsidP="00AC4DEE">
            <w:pPr>
              <w:pStyle w:val="TableBody"/>
            </w:pPr>
            <w:r w:rsidRPr="006A6281">
              <w:t>MW</w:t>
            </w:r>
          </w:p>
        </w:tc>
        <w:tc>
          <w:tcPr>
            <w:tcW w:w="6930" w:type="dxa"/>
          </w:tcPr>
          <w:p w14:paraId="28B97307" w14:textId="77777777" w:rsidR="001F04FD" w:rsidRPr="006A6281" w:rsidRDefault="001F04FD" w:rsidP="00AC4DEE">
            <w:pPr>
              <w:pStyle w:val="TableBody"/>
              <w:rPr>
                <w:i/>
              </w:rPr>
            </w:pPr>
            <w:r w:rsidRPr="006A6281">
              <w:rPr>
                <w:i/>
              </w:rPr>
              <w:t>Adjusted Aggregated Base Point per QSE per Settlement Point per Resource</w:t>
            </w:r>
            <w:r w:rsidRPr="006A6281">
              <w:t xml:space="preserve">—The aggregated Base Point adjusted for Ancillary Service deployments of Generation Resource or Controllable Load Resource </w:t>
            </w:r>
            <w:r w:rsidRPr="006A6281">
              <w:rPr>
                <w:i/>
              </w:rPr>
              <w:t>r</w:t>
            </w:r>
            <w:r w:rsidRPr="006A6281">
              <w:t xml:space="preserve"> represented by QSE </w:t>
            </w:r>
            <w:r w:rsidRPr="006A6281">
              <w:rPr>
                <w:i/>
              </w:rPr>
              <w:t xml:space="preserve">q </w:t>
            </w:r>
            <w:r w:rsidRPr="006A6281">
              <w:t xml:space="preserve">at Settlement Point </w:t>
            </w:r>
            <w:r w:rsidRPr="006A6281">
              <w:rPr>
                <w:i/>
              </w:rPr>
              <w:t>p</w:t>
            </w:r>
            <w:r w:rsidRPr="006A6281">
              <w:t xml:space="preserve">, for the 15-minute Settlement Interval </w:t>
            </w:r>
            <w:r w:rsidRPr="006A6281">
              <w:rPr>
                <w:i/>
              </w:rPr>
              <w:t>i</w:t>
            </w:r>
            <w:r w:rsidRPr="006A6281">
              <w:t xml:space="preserve">.  </w:t>
            </w:r>
          </w:p>
        </w:tc>
      </w:tr>
      <w:tr w:rsidR="001F04FD" w:rsidRPr="006A6281" w14:paraId="42E90CA3" w14:textId="77777777" w:rsidTr="00BA3F0D">
        <w:trPr>
          <w:cantSplit/>
        </w:trPr>
        <w:tc>
          <w:tcPr>
            <w:tcW w:w="1975" w:type="dxa"/>
          </w:tcPr>
          <w:p w14:paraId="2F781E28" w14:textId="77777777" w:rsidR="001F04FD" w:rsidRPr="006A6281" w:rsidRDefault="001F04FD" w:rsidP="00AC4DEE">
            <w:pPr>
              <w:pStyle w:val="TableBody"/>
            </w:pPr>
            <w:r w:rsidRPr="006A6281">
              <w:t>AVGTPC5M</w:t>
            </w:r>
            <w:r w:rsidRPr="006A6281">
              <w:rPr>
                <w:i/>
                <w:vertAlign w:val="subscript"/>
                <w:lang w:val="fr-FR"/>
              </w:rPr>
              <w:t xml:space="preserve"> </w:t>
            </w:r>
            <w:r w:rsidRPr="00107CC2">
              <w:rPr>
                <w:i/>
                <w:vertAlign w:val="subscript"/>
                <w:lang w:val="fr-FR"/>
              </w:rPr>
              <w:t>q, r, p, i, y</w:t>
            </w:r>
          </w:p>
        </w:tc>
        <w:tc>
          <w:tcPr>
            <w:tcW w:w="900" w:type="dxa"/>
          </w:tcPr>
          <w:p w14:paraId="2E29A01A" w14:textId="77777777" w:rsidR="001F04FD" w:rsidRPr="006A6281" w:rsidRDefault="001F04FD" w:rsidP="00AC4DEE">
            <w:pPr>
              <w:pStyle w:val="TableBody"/>
            </w:pPr>
            <w:r w:rsidRPr="006A6281">
              <w:t>MW</w:t>
            </w:r>
          </w:p>
        </w:tc>
        <w:tc>
          <w:tcPr>
            <w:tcW w:w="6942" w:type="dxa"/>
            <w:gridSpan w:val="2"/>
          </w:tcPr>
          <w:p w14:paraId="0DEFC86F" w14:textId="77777777" w:rsidR="001F04FD" w:rsidRPr="006A6281" w:rsidRDefault="001F04FD" w:rsidP="00AC4DEE">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1F04FD" w:rsidRPr="006A6281" w14:paraId="772F9C9F" w14:textId="77777777" w:rsidTr="00BA3F0D">
        <w:trPr>
          <w:cantSplit/>
        </w:trPr>
        <w:tc>
          <w:tcPr>
            <w:tcW w:w="1975" w:type="dxa"/>
          </w:tcPr>
          <w:p w14:paraId="0196998B" w14:textId="77777777" w:rsidR="001F04FD" w:rsidRPr="006A6281" w:rsidRDefault="001F04FD" w:rsidP="00AC4DEE">
            <w:pPr>
              <w:pStyle w:val="TableBody"/>
            </w:pPr>
            <w:r w:rsidRPr="006A6281">
              <w:t xml:space="preserve">OCONSM </w:t>
            </w:r>
            <w:r w:rsidRPr="00107CC2">
              <w:rPr>
                <w:i/>
                <w:vertAlign w:val="subscript"/>
              </w:rPr>
              <w:t>q, r, p, i</w:t>
            </w:r>
          </w:p>
        </w:tc>
        <w:tc>
          <w:tcPr>
            <w:tcW w:w="900" w:type="dxa"/>
          </w:tcPr>
          <w:p w14:paraId="098D1230" w14:textId="77777777" w:rsidR="001F04FD" w:rsidRPr="006A6281" w:rsidRDefault="001F04FD" w:rsidP="00AC4DEE">
            <w:pPr>
              <w:pStyle w:val="TableBody"/>
            </w:pPr>
            <w:r w:rsidRPr="006A6281">
              <w:t>MW</w:t>
            </w:r>
            <w:r w:rsidR="00091181">
              <w:t>h</w:t>
            </w:r>
          </w:p>
        </w:tc>
        <w:tc>
          <w:tcPr>
            <w:tcW w:w="6942" w:type="dxa"/>
            <w:gridSpan w:val="2"/>
          </w:tcPr>
          <w:p w14:paraId="03FF60C2" w14:textId="77777777" w:rsidR="001F04FD" w:rsidRPr="006A6281" w:rsidRDefault="001F04FD" w:rsidP="00AC4DEE">
            <w:pPr>
              <w:pStyle w:val="TableBody"/>
            </w:pPr>
            <w:r w:rsidRPr="006A6281">
              <w:rPr>
                <w:i/>
              </w:rPr>
              <w:t>Over-Consumption Volumes per QSE per Settlement Point per Controllable Load Resource</w:t>
            </w:r>
            <w:r w:rsidRPr="006A6281">
              <w:t xml:space="preserve">—The amount over-consumed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1F04FD" w:rsidRPr="006A6281" w14:paraId="306D4E47" w14:textId="77777777" w:rsidTr="00BA3F0D">
        <w:trPr>
          <w:cantSplit/>
        </w:trPr>
        <w:tc>
          <w:tcPr>
            <w:tcW w:w="1975" w:type="dxa"/>
          </w:tcPr>
          <w:p w14:paraId="78987369" w14:textId="77777777" w:rsidR="001F04FD" w:rsidRPr="006A6281" w:rsidRDefault="001F04FD" w:rsidP="00AC4DEE">
            <w:pPr>
              <w:pStyle w:val="TableBody"/>
            </w:pPr>
            <w:r w:rsidRPr="006A6281">
              <w:t>KP1</w:t>
            </w:r>
          </w:p>
        </w:tc>
        <w:tc>
          <w:tcPr>
            <w:tcW w:w="900" w:type="dxa"/>
          </w:tcPr>
          <w:p w14:paraId="0B907E1B" w14:textId="77777777" w:rsidR="001F04FD" w:rsidRPr="006A6281" w:rsidRDefault="00091181" w:rsidP="00AC4DEE">
            <w:pPr>
              <w:pStyle w:val="TableBody"/>
            </w:pPr>
            <w:r>
              <w:t>n</w:t>
            </w:r>
            <w:r w:rsidR="001F04FD" w:rsidRPr="006A6281">
              <w:t>one</w:t>
            </w:r>
          </w:p>
        </w:tc>
        <w:tc>
          <w:tcPr>
            <w:tcW w:w="6942" w:type="dxa"/>
            <w:gridSpan w:val="2"/>
          </w:tcPr>
          <w:p w14:paraId="41428822" w14:textId="77777777" w:rsidR="001F04FD" w:rsidRPr="006A6281" w:rsidRDefault="001F04FD" w:rsidP="00AC4DEE">
            <w:pPr>
              <w:pStyle w:val="TableBody"/>
            </w:pPr>
            <w:r w:rsidRPr="006A6281">
              <w:t>The coefficient applied to the Settlement Point Price for over-consumption charge, 1.0.</w:t>
            </w:r>
          </w:p>
        </w:tc>
      </w:tr>
      <w:tr w:rsidR="001F04FD" w:rsidRPr="006A6281" w14:paraId="01A4A3C7" w14:textId="77777777" w:rsidTr="00BA3F0D">
        <w:trPr>
          <w:cantSplit/>
        </w:trPr>
        <w:tc>
          <w:tcPr>
            <w:tcW w:w="1975" w:type="dxa"/>
          </w:tcPr>
          <w:p w14:paraId="6C60D008" w14:textId="77777777" w:rsidR="001F04FD" w:rsidRPr="006A6281" w:rsidRDefault="001F04FD" w:rsidP="00AC4DEE">
            <w:pPr>
              <w:pStyle w:val="TableBody"/>
            </w:pPr>
            <w:r w:rsidRPr="006A6281">
              <w:t>PRZ1</w:t>
            </w:r>
          </w:p>
        </w:tc>
        <w:tc>
          <w:tcPr>
            <w:tcW w:w="900" w:type="dxa"/>
          </w:tcPr>
          <w:p w14:paraId="5919C5BB" w14:textId="77777777" w:rsidR="001F04FD" w:rsidRPr="006A6281" w:rsidRDefault="001F04FD" w:rsidP="00AC4DEE">
            <w:pPr>
              <w:pStyle w:val="TableBody"/>
            </w:pPr>
            <w:r w:rsidRPr="006A6281">
              <w:t>$/MWh</w:t>
            </w:r>
          </w:p>
        </w:tc>
        <w:tc>
          <w:tcPr>
            <w:tcW w:w="6942" w:type="dxa"/>
            <w:gridSpan w:val="2"/>
          </w:tcPr>
          <w:p w14:paraId="4CC37677" w14:textId="77777777" w:rsidR="001F04FD" w:rsidRPr="006A6281" w:rsidRDefault="001F04FD" w:rsidP="00AC4DEE">
            <w:pPr>
              <w:pStyle w:val="TableBody"/>
            </w:pPr>
            <w:r w:rsidRPr="006A6281">
              <w:t xml:space="preserve">The price to use for the charge calculation when RTSPP is greater than -$20, -$20/MWh.  </w:t>
            </w:r>
          </w:p>
        </w:tc>
      </w:tr>
      <w:tr w:rsidR="001F04FD" w:rsidRPr="006A6281" w14:paraId="61C5DD62" w14:textId="77777777" w:rsidTr="00BA3F0D">
        <w:trPr>
          <w:cantSplit/>
        </w:trPr>
        <w:tc>
          <w:tcPr>
            <w:tcW w:w="1975" w:type="dxa"/>
          </w:tcPr>
          <w:p w14:paraId="242BB607" w14:textId="77777777" w:rsidR="001F04FD" w:rsidRPr="006A6281" w:rsidRDefault="001F04FD" w:rsidP="00AC4DEE">
            <w:pPr>
              <w:pStyle w:val="TableBody"/>
            </w:pPr>
            <w:r w:rsidRPr="006A6281">
              <w:t>KLR1</w:t>
            </w:r>
          </w:p>
        </w:tc>
        <w:tc>
          <w:tcPr>
            <w:tcW w:w="900" w:type="dxa"/>
          </w:tcPr>
          <w:p w14:paraId="3BF2EEE1" w14:textId="77777777" w:rsidR="001F04FD" w:rsidRPr="006A6281" w:rsidRDefault="00091181" w:rsidP="00AC4DEE">
            <w:pPr>
              <w:pStyle w:val="TableBody"/>
            </w:pPr>
            <w:r>
              <w:t>none</w:t>
            </w:r>
          </w:p>
        </w:tc>
        <w:tc>
          <w:tcPr>
            <w:tcW w:w="6942" w:type="dxa"/>
            <w:gridSpan w:val="2"/>
          </w:tcPr>
          <w:p w14:paraId="71C305E4" w14:textId="77777777" w:rsidR="001F04FD" w:rsidRPr="006A6281" w:rsidRDefault="001F04FD" w:rsidP="00AC4DEE">
            <w:pPr>
              <w:pStyle w:val="TableBody"/>
            </w:pPr>
            <w:r w:rsidRPr="006A6281">
              <w:t>The percentage tolerance for over-consumption of a Controllable Load Resource, XO%.</w:t>
            </w:r>
          </w:p>
        </w:tc>
      </w:tr>
      <w:tr w:rsidR="001F04FD" w:rsidRPr="006A6281" w14:paraId="50049375" w14:textId="77777777" w:rsidTr="00BA3F0D">
        <w:trPr>
          <w:cantSplit/>
        </w:trPr>
        <w:tc>
          <w:tcPr>
            <w:tcW w:w="1975" w:type="dxa"/>
          </w:tcPr>
          <w:p w14:paraId="7ECAE59E" w14:textId="77777777" w:rsidR="001F04FD" w:rsidRPr="006A6281" w:rsidRDefault="001F04FD" w:rsidP="00AC4DEE">
            <w:pPr>
              <w:pStyle w:val="TableBody"/>
              <w:rPr>
                <w:i/>
              </w:rPr>
            </w:pPr>
            <w:r w:rsidRPr="006A6281">
              <w:t>QLR1</w:t>
            </w:r>
          </w:p>
        </w:tc>
        <w:tc>
          <w:tcPr>
            <w:tcW w:w="900" w:type="dxa"/>
          </w:tcPr>
          <w:p w14:paraId="48D7E99D" w14:textId="77777777" w:rsidR="001F04FD" w:rsidRPr="006A6281" w:rsidRDefault="001F04FD" w:rsidP="00AC4DEE">
            <w:pPr>
              <w:pStyle w:val="TableBody"/>
            </w:pPr>
            <w:r w:rsidRPr="006A6281">
              <w:t>MW</w:t>
            </w:r>
          </w:p>
        </w:tc>
        <w:tc>
          <w:tcPr>
            <w:tcW w:w="6942" w:type="dxa"/>
            <w:gridSpan w:val="2"/>
          </w:tcPr>
          <w:p w14:paraId="1E2A18C2" w14:textId="77777777" w:rsidR="001F04FD" w:rsidRPr="006A6281" w:rsidRDefault="001F04FD" w:rsidP="00AC4DEE">
            <w:pPr>
              <w:pStyle w:val="TableBody"/>
            </w:pPr>
            <w:r w:rsidRPr="006A6281">
              <w:t>The MW tolerance for over-consumption of a Controllable Load Resource, YO MW.</w:t>
            </w:r>
          </w:p>
        </w:tc>
      </w:tr>
      <w:tr w:rsidR="001F04FD" w:rsidRPr="006A6281" w14:paraId="497DC1CD" w14:textId="77777777" w:rsidTr="00BA3F0D">
        <w:trPr>
          <w:cantSplit/>
        </w:trPr>
        <w:tc>
          <w:tcPr>
            <w:tcW w:w="1975" w:type="dxa"/>
          </w:tcPr>
          <w:p w14:paraId="5A99C632" w14:textId="77777777" w:rsidR="001F04FD" w:rsidRPr="006A6281" w:rsidRDefault="001F04FD" w:rsidP="00AC4DEE">
            <w:pPr>
              <w:pStyle w:val="TableBody"/>
              <w:rPr>
                <w:i/>
              </w:rPr>
            </w:pPr>
            <w:r w:rsidRPr="006A6281">
              <w:rPr>
                <w:i/>
              </w:rPr>
              <w:t>q</w:t>
            </w:r>
          </w:p>
        </w:tc>
        <w:tc>
          <w:tcPr>
            <w:tcW w:w="900" w:type="dxa"/>
          </w:tcPr>
          <w:p w14:paraId="58554C12" w14:textId="77777777" w:rsidR="001F04FD" w:rsidRPr="006A6281" w:rsidRDefault="001F04FD" w:rsidP="00AC4DEE">
            <w:pPr>
              <w:pStyle w:val="TableBody"/>
            </w:pPr>
            <w:r w:rsidRPr="006A6281">
              <w:t>none</w:t>
            </w:r>
          </w:p>
        </w:tc>
        <w:tc>
          <w:tcPr>
            <w:tcW w:w="6942" w:type="dxa"/>
            <w:gridSpan w:val="2"/>
          </w:tcPr>
          <w:p w14:paraId="5B543B8F" w14:textId="77777777" w:rsidR="001F04FD" w:rsidRPr="006A6281" w:rsidRDefault="001F04FD" w:rsidP="00AC4DEE">
            <w:pPr>
              <w:pStyle w:val="TableBody"/>
            </w:pPr>
            <w:r w:rsidRPr="006A6281">
              <w:t>A QSE.</w:t>
            </w:r>
          </w:p>
        </w:tc>
      </w:tr>
      <w:tr w:rsidR="001F04FD" w:rsidRPr="006A6281" w14:paraId="311D7AEE" w14:textId="77777777" w:rsidTr="00BA3F0D">
        <w:trPr>
          <w:cantSplit/>
        </w:trPr>
        <w:tc>
          <w:tcPr>
            <w:tcW w:w="1975" w:type="dxa"/>
          </w:tcPr>
          <w:p w14:paraId="7880C20A" w14:textId="77777777" w:rsidR="001F04FD" w:rsidRPr="006A6281" w:rsidRDefault="001F04FD" w:rsidP="00AC4DEE">
            <w:pPr>
              <w:pStyle w:val="TableBody"/>
              <w:rPr>
                <w:i/>
              </w:rPr>
            </w:pPr>
            <w:r w:rsidRPr="006A6281">
              <w:rPr>
                <w:i/>
              </w:rPr>
              <w:t>p</w:t>
            </w:r>
          </w:p>
        </w:tc>
        <w:tc>
          <w:tcPr>
            <w:tcW w:w="900" w:type="dxa"/>
          </w:tcPr>
          <w:p w14:paraId="7EA10166" w14:textId="77777777" w:rsidR="001F04FD" w:rsidRPr="006A6281" w:rsidRDefault="001F04FD" w:rsidP="00AC4DEE">
            <w:pPr>
              <w:pStyle w:val="TableBody"/>
            </w:pPr>
            <w:r w:rsidRPr="006A6281">
              <w:t>none</w:t>
            </w:r>
          </w:p>
        </w:tc>
        <w:tc>
          <w:tcPr>
            <w:tcW w:w="6942" w:type="dxa"/>
            <w:gridSpan w:val="2"/>
          </w:tcPr>
          <w:p w14:paraId="01BFAB5B" w14:textId="77777777" w:rsidR="001F04FD" w:rsidRPr="006A6281" w:rsidRDefault="001F04FD" w:rsidP="00AC4DEE">
            <w:pPr>
              <w:pStyle w:val="TableBody"/>
            </w:pPr>
            <w:r w:rsidRPr="006A6281">
              <w:t>A Settlement Point.</w:t>
            </w:r>
          </w:p>
        </w:tc>
      </w:tr>
      <w:tr w:rsidR="001F04FD" w:rsidRPr="006A6281" w14:paraId="7CF8F18B" w14:textId="77777777" w:rsidTr="00BA3F0D">
        <w:trPr>
          <w:cantSplit/>
        </w:trPr>
        <w:tc>
          <w:tcPr>
            <w:tcW w:w="1975" w:type="dxa"/>
          </w:tcPr>
          <w:p w14:paraId="5301D122" w14:textId="77777777" w:rsidR="001F04FD" w:rsidRPr="006A6281" w:rsidRDefault="001F04FD" w:rsidP="00AC4DEE">
            <w:pPr>
              <w:pStyle w:val="TableBody"/>
              <w:rPr>
                <w:i/>
              </w:rPr>
            </w:pPr>
            <w:r w:rsidRPr="006A6281">
              <w:rPr>
                <w:i/>
              </w:rPr>
              <w:t>r</w:t>
            </w:r>
          </w:p>
        </w:tc>
        <w:tc>
          <w:tcPr>
            <w:tcW w:w="900" w:type="dxa"/>
          </w:tcPr>
          <w:p w14:paraId="07C0D993" w14:textId="77777777" w:rsidR="001F04FD" w:rsidRPr="006A6281" w:rsidRDefault="00091181" w:rsidP="00AC4DEE">
            <w:pPr>
              <w:pStyle w:val="TableBody"/>
            </w:pPr>
            <w:r>
              <w:t>n</w:t>
            </w:r>
            <w:r w:rsidR="001F04FD" w:rsidRPr="006A6281">
              <w:t>one</w:t>
            </w:r>
          </w:p>
        </w:tc>
        <w:tc>
          <w:tcPr>
            <w:tcW w:w="6942" w:type="dxa"/>
            <w:gridSpan w:val="2"/>
          </w:tcPr>
          <w:p w14:paraId="0C67962D" w14:textId="77777777" w:rsidR="001F04FD" w:rsidRPr="006A6281" w:rsidRDefault="001F04FD" w:rsidP="00AC4DEE">
            <w:pPr>
              <w:pStyle w:val="TableBody"/>
            </w:pPr>
            <w:r w:rsidRPr="006A6281">
              <w:t>A Controllable Load Resource.</w:t>
            </w:r>
          </w:p>
        </w:tc>
      </w:tr>
      <w:tr w:rsidR="001F04FD" w:rsidRPr="006A6281" w14:paraId="02AAA236" w14:textId="77777777" w:rsidTr="00BA3F0D">
        <w:trPr>
          <w:cantSplit/>
          <w:trHeight w:val="152"/>
        </w:trPr>
        <w:tc>
          <w:tcPr>
            <w:tcW w:w="1975" w:type="dxa"/>
          </w:tcPr>
          <w:p w14:paraId="75576059" w14:textId="77777777" w:rsidR="001F04FD" w:rsidRPr="006A6281" w:rsidDel="00B33B6F" w:rsidRDefault="001F04FD" w:rsidP="00AC4DEE">
            <w:pPr>
              <w:pStyle w:val="TableBody"/>
              <w:rPr>
                <w:i/>
              </w:rPr>
            </w:pPr>
            <w:r w:rsidRPr="006A6281">
              <w:rPr>
                <w:i/>
              </w:rPr>
              <w:t>i</w:t>
            </w:r>
          </w:p>
        </w:tc>
        <w:tc>
          <w:tcPr>
            <w:tcW w:w="900" w:type="dxa"/>
          </w:tcPr>
          <w:p w14:paraId="3418241A" w14:textId="77777777" w:rsidR="001F04FD" w:rsidRPr="006A6281" w:rsidDel="00B33B6F" w:rsidRDefault="001F04FD" w:rsidP="00AC4DEE">
            <w:pPr>
              <w:pStyle w:val="TableBody"/>
            </w:pPr>
            <w:r w:rsidRPr="006A6281">
              <w:t>none</w:t>
            </w:r>
          </w:p>
        </w:tc>
        <w:tc>
          <w:tcPr>
            <w:tcW w:w="6942" w:type="dxa"/>
            <w:gridSpan w:val="2"/>
          </w:tcPr>
          <w:p w14:paraId="1D2DD755" w14:textId="77777777" w:rsidR="001F04FD" w:rsidRPr="006A6281" w:rsidDel="00B33B6F" w:rsidRDefault="001F04FD" w:rsidP="00AC4DEE">
            <w:pPr>
              <w:pStyle w:val="TableBody"/>
            </w:pPr>
            <w:r w:rsidRPr="006A6281">
              <w:t>A 15-minute Settlement Interval.</w:t>
            </w:r>
          </w:p>
        </w:tc>
      </w:tr>
      <w:tr w:rsidR="001F04FD" w:rsidRPr="006A6281" w14:paraId="7594C0D4" w14:textId="77777777" w:rsidTr="00BA3F0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71DAC49" w14:textId="77777777" w:rsidR="001F04FD" w:rsidRPr="006A6281" w:rsidRDefault="001F04FD" w:rsidP="00AC4DEE">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78674EF9" w14:textId="77777777" w:rsidR="001F04FD" w:rsidRPr="006A6281" w:rsidRDefault="001F04FD" w:rsidP="00AC4DEE">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2E4DB13A" w14:textId="77777777" w:rsidR="001F04FD" w:rsidRPr="006A6281" w:rsidRDefault="001F04FD" w:rsidP="00AC4DEE">
            <w:pPr>
              <w:pStyle w:val="TableBody"/>
            </w:pPr>
            <w:r w:rsidRPr="006A6281">
              <w:t xml:space="preserve">A five-minute clock interval in the Settlement Interval. </w:t>
            </w:r>
          </w:p>
        </w:tc>
      </w:tr>
    </w:tbl>
    <w:p w14:paraId="5A771FA1" w14:textId="77777777" w:rsidR="00BE3301" w:rsidRDefault="00BE3301"/>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BE3301" w14:paraId="0050772A"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29AF89FD" w14:textId="2DCBB3DD" w:rsidR="00BE3301" w:rsidRDefault="00BE3301" w:rsidP="00AB2BB6">
            <w:pPr>
              <w:pStyle w:val="Instructions"/>
              <w:spacing w:before="120"/>
            </w:pPr>
            <w:bookmarkStart w:id="2134" w:name="_Toc402357154"/>
            <w:bookmarkStart w:id="2135" w:name="_Toc422486534"/>
            <w:bookmarkStart w:id="2136" w:name="_Toc433093387"/>
            <w:bookmarkStart w:id="2137" w:name="_Toc433093545"/>
            <w:bookmarkStart w:id="2138" w:name="_Toc440874775"/>
            <w:bookmarkStart w:id="2139" w:name="_Toc448142332"/>
            <w:bookmarkStart w:id="2140" w:name="_Toc448142489"/>
            <w:bookmarkStart w:id="2141" w:name="_Toc458770330"/>
            <w:bookmarkStart w:id="2142" w:name="_Toc459294298"/>
            <w:bookmarkStart w:id="2143" w:name="_Toc463262791"/>
            <w:bookmarkStart w:id="2144" w:name="_Toc468286864"/>
            <w:bookmarkStart w:id="2145" w:name="_Toc481502904"/>
            <w:bookmarkStart w:id="2146" w:name="_Toc496080072"/>
            <w:bookmarkStart w:id="2147" w:name="_Toc109009404"/>
            <w:r>
              <w:t>[NPRR963</w:t>
            </w:r>
            <w:r w:rsidR="009E7633">
              <w:t>,</w:t>
            </w:r>
            <w:r w:rsidR="00537E31">
              <w:t xml:space="preserve"> NPRR1010</w:t>
            </w:r>
            <w:r w:rsidR="009E7633">
              <w:t>, and NPRR1014</w:t>
            </w:r>
            <w:r>
              <w:t xml:space="preserve">:  Replace </w:t>
            </w:r>
            <w:r w:rsidR="0018785B">
              <w:t xml:space="preserve">applicable portions of </w:t>
            </w:r>
            <w:r>
              <w:t>Section 6.6.5.1.1.3 above with the following upon system implementation</w:t>
            </w:r>
            <w:r w:rsidR="00537E31">
              <w:t xml:space="preserve"> for NPRR963</w:t>
            </w:r>
            <w:r w:rsidR="009E7633">
              <w:t xml:space="preserve"> or NPRR1014</w:t>
            </w:r>
            <w:r w:rsidR="00537E31">
              <w:t>; or upon system implementation of the Real-Time Co-Optimization (RTC) project for NPRR1010;</w:t>
            </w:r>
            <w:r w:rsidR="00C215CF">
              <w:t xml:space="preserve"> and renumber accordingly</w:t>
            </w:r>
            <w:r>
              <w:t>:]</w:t>
            </w:r>
          </w:p>
          <w:p w14:paraId="30FC7C52" w14:textId="063506D7" w:rsidR="00BE3301" w:rsidRPr="002600B6" w:rsidRDefault="00BE3301" w:rsidP="00636003">
            <w:pPr>
              <w:pStyle w:val="H4"/>
              <w:tabs>
                <w:tab w:val="clear" w:pos="1260"/>
                <w:tab w:val="left" w:pos="1620"/>
              </w:tabs>
              <w:ind w:left="1627" w:hanging="1627"/>
              <w:outlineLvl w:val="4"/>
            </w:pPr>
            <w:bookmarkStart w:id="2148" w:name="_Toc60040695"/>
            <w:bookmarkStart w:id="2149" w:name="_Toc65151754"/>
            <w:bookmarkStart w:id="2150" w:name="_Toc80174780"/>
            <w:bookmarkStart w:id="2151" w:name="_Toc112417660"/>
            <w:bookmarkStart w:id="2152" w:name="_Toc119310329"/>
            <w:bookmarkStart w:id="2153" w:name="_Toc125966262"/>
            <w:bookmarkStart w:id="2154" w:name="_Toc135992360"/>
            <w:bookmarkStart w:id="2155" w:name="_Toc170303556"/>
            <w:bookmarkStart w:id="2156" w:name="_Toc175157460"/>
            <w:bookmarkStart w:id="2157" w:name="_Toc204411689"/>
            <w:r w:rsidRPr="002600B6">
              <w:lastRenderedPageBreak/>
              <w:t>6.6.5.</w:t>
            </w:r>
            <w:r>
              <w:t>3</w:t>
            </w:r>
            <w:r w:rsidRPr="002600B6">
              <w:tab/>
              <w:t xml:space="preserve">Controllable Load Resource </w:t>
            </w:r>
            <w:r w:rsidR="00537E31">
              <w:t>Set</w:t>
            </w:r>
            <w:r w:rsidRPr="002600B6">
              <w:t xml:space="preserve"> Point Deviation Charge for Over Consumption</w:t>
            </w:r>
            <w:bookmarkEnd w:id="2148"/>
            <w:bookmarkEnd w:id="2149"/>
            <w:bookmarkEnd w:id="2150"/>
            <w:bookmarkEnd w:id="2151"/>
            <w:bookmarkEnd w:id="2152"/>
            <w:bookmarkEnd w:id="2153"/>
            <w:bookmarkEnd w:id="2154"/>
            <w:bookmarkEnd w:id="2155"/>
            <w:bookmarkEnd w:id="2156"/>
            <w:bookmarkEnd w:id="2157"/>
          </w:p>
          <w:p w14:paraId="613A3193" w14:textId="3B541563" w:rsidR="00BE3301" w:rsidRPr="006A6281" w:rsidRDefault="00BE3301" w:rsidP="00BE3301">
            <w:pPr>
              <w:pStyle w:val="BodyTextNumbered"/>
            </w:pPr>
            <w:r w:rsidRPr="006A6281">
              <w:t>(1)</w:t>
            </w:r>
            <w:r w:rsidRPr="006A6281">
              <w:tab/>
              <w:t xml:space="preserve">ERCOT shall charge a QSE </w:t>
            </w:r>
            <w:r>
              <w:t>of</w:t>
            </w:r>
            <w:r w:rsidRPr="006A6281">
              <w:t xml:space="preserve"> a Controllable Load Resource</w:t>
            </w:r>
            <w:r>
              <w:t xml:space="preserve">, </w:t>
            </w:r>
            <w:r w:rsidRPr="006A6281">
              <w:t>for over-consumption that exceeds the following tolerance.  The tolerance is the greater of:</w:t>
            </w:r>
          </w:p>
          <w:p w14:paraId="108CC1CD" w14:textId="618379FC" w:rsidR="00BE3301" w:rsidRPr="006A6281" w:rsidRDefault="00BE3301" w:rsidP="00BE3301">
            <w:pPr>
              <w:pStyle w:val="BodyTextNumbered"/>
              <w:ind w:left="1440"/>
            </w:pPr>
            <w:r w:rsidRPr="006A6281">
              <w:t>(a)</w:t>
            </w:r>
            <w:r w:rsidRPr="006A6281">
              <w:tab/>
              <w:t xml:space="preserve">XO% of the </w:t>
            </w:r>
            <w:r w:rsidR="00647F76">
              <w:t>AASP</w:t>
            </w:r>
            <w:r w:rsidRPr="006A6281">
              <w:t xml:space="preserve"> in the Settlement Interval; or</w:t>
            </w:r>
          </w:p>
          <w:p w14:paraId="02F39072" w14:textId="683907AD" w:rsidR="00BE3301" w:rsidRPr="006A6281" w:rsidRDefault="00BE3301" w:rsidP="00BE3301">
            <w:pPr>
              <w:pStyle w:val="BodyTextNumbered"/>
              <w:ind w:left="1440"/>
            </w:pPr>
            <w:r w:rsidRPr="006A6281">
              <w:t>(b)</w:t>
            </w:r>
            <w:r w:rsidRPr="006A6281">
              <w:tab/>
              <w:t xml:space="preserve">YO MW above the </w:t>
            </w:r>
            <w:r w:rsidR="00647F76">
              <w:t>AASP</w:t>
            </w:r>
            <w:r w:rsidRPr="006A6281">
              <w:t xml:space="preserve"> in the Settlement Interval</w:t>
            </w:r>
            <w:r>
              <w:t xml:space="preserve">. </w:t>
            </w:r>
            <w:r w:rsidRPr="006A6281">
              <w:t xml:space="preserve"> </w:t>
            </w:r>
          </w:p>
          <w:p w14:paraId="54F91704" w14:textId="65B18F25" w:rsidR="00BE3301" w:rsidRPr="006A6281" w:rsidRDefault="00BE3301" w:rsidP="00BE3301">
            <w:pPr>
              <w:pStyle w:val="BodyTextNumbered"/>
              <w:rPr>
                <w:iCs/>
              </w:rPr>
            </w:pPr>
            <w:r w:rsidRPr="006A6281">
              <w:rPr>
                <w:iCs/>
              </w:rPr>
              <w:t>(2)</w:t>
            </w:r>
            <w:r w:rsidRPr="006A6281">
              <w:rPr>
                <w:iCs/>
              </w:rPr>
              <w:tab/>
            </w:r>
            <w:r w:rsidRPr="006A6281">
              <w:t xml:space="preserve">The Controllable Load Resource </w:t>
            </w:r>
            <w:r w:rsidR="00647F76">
              <w:t>Set</w:t>
            </w:r>
            <w:r w:rsidRPr="006A6281">
              <w:t xml:space="preserve"> Point Deviation Charge for over-consumption variables XO and YO shall be subject to review and approval by </w:t>
            </w:r>
            <w:r>
              <w:t>the Technical Advisory Committee (</w:t>
            </w:r>
            <w:r w:rsidRPr="006A6281">
              <w:t>TAC</w:t>
            </w:r>
            <w:r>
              <w:t>)</w:t>
            </w:r>
            <w:r w:rsidRPr="006A6281">
              <w:t xml:space="preserve"> and shall be posted to the </w:t>
            </w:r>
            <w:r w:rsidR="0007207E">
              <w:t>ERCOT website</w:t>
            </w:r>
            <w:r w:rsidRPr="006A6281">
              <w:t xml:space="preserve"> no later than three Business Days after TAC approval.</w:t>
            </w:r>
          </w:p>
          <w:p w14:paraId="72F4D7BC" w14:textId="21B7F9B3" w:rsidR="00BE3301" w:rsidRPr="006A6281" w:rsidRDefault="00BE3301" w:rsidP="00BE3301">
            <w:pPr>
              <w:pStyle w:val="BodyTextNumbered"/>
              <w:rPr>
                <w:iCs/>
              </w:rPr>
            </w:pPr>
            <w:r w:rsidRPr="006A6281">
              <w:rPr>
                <w:iCs/>
              </w:rPr>
              <w:t>(3)</w:t>
            </w:r>
            <w:r w:rsidRPr="006A6281">
              <w:rPr>
                <w:iCs/>
              </w:rPr>
              <w:tab/>
              <w:t xml:space="preserve">The charge to each QSE for non-excused over-consumption for each </w:t>
            </w:r>
            <w:r w:rsidRPr="006A6281">
              <w:t>Controllable</w:t>
            </w:r>
            <w:r w:rsidRPr="006A6281">
              <w:rPr>
                <w:iCs/>
              </w:rPr>
              <w:t xml:space="preserve"> Load Resource</w:t>
            </w:r>
            <w:r>
              <w:t>,</w:t>
            </w:r>
            <w:r w:rsidRPr="006A6281">
              <w:rPr>
                <w:iCs/>
              </w:rPr>
              <w:t xml:space="preserve"> during a 15-minute Settlement Interval is calculated as follows:</w:t>
            </w:r>
          </w:p>
          <w:p w14:paraId="36052BA0" w14:textId="77777777" w:rsidR="00BE3301" w:rsidRPr="006A6281" w:rsidRDefault="00BE3301" w:rsidP="00BE3301">
            <w:pPr>
              <w:ind w:left="720"/>
              <w:rPr>
                <w:lang w:val="pt-BR"/>
              </w:rPr>
            </w:pPr>
          </w:p>
          <w:p w14:paraId="7F677B5A" w14:textId="29F30FCF" w:rsidR="00BE3301" w:rsidRPr="006A6281" w:rsidRDefault="00BE3301" w:rsidP="00BE3301">
            <w:pPr>
              <w:pStyle w:val="FormulaBold"/>
              <w:tabs>
                <w:tab w:val="left" w:pos="720"/>
              </w:tabs>
              <w:ind w:left="2880" w:hanging="2880"/>
              <w:rPr>
                <w:lang w:val="pt-BR"/>
              </w:rPr>
            </w:pPr>
            <w:r w:rsidRPr="006A6281">
              <w:rPr>
                <w:lang w:val="pt-BR"/>
              </w:rPr>
              <w:tab/>
            </w:r>
            <w:r w:rsidR="00647F76">
              <w:rPr>
                <w:lang w:val="pt-BR"/>
              </w:rPr>
              <w:t>S</w:t>
            </w:r>
            <w:r w:rsidRPr="006A6281">
              <w:rPr>
                <w:lang w:val="pt-BR"/>
              </w:rPr>
              <w:t>PDAMT</w:t>
            </w:r>
            <w:r w:rsidRPr="006A6281">
              <w:rPr>
                <w:i/>
                <w:vertAlign w:val="subscript"/>
                <w:lang w:val="pt-BR"/>
              </w:rPr>
              <w:t xml:space="preserve"> q, r, p, i</w:t>
            </w:r>
            <w:r w:rsidRPr="006A6281">
              <w:rPr>
                <w:lang w:val="pt-BR"/>
              </w:rPr>
              <w:t xml:space="preserve"> =</w:t>
            </w:r>
            <w:r w:rsidRPr="006A6281">
              <w:rPr>
                <w:lang w:val="pt-BR"/>
              </w:rPr>
              <w:tab/>
            </w:r>
            <w:r w:rsidRPr="006A6281">
              <w:t>-1 * Min (PRZ1, RTSPP</w:t>
            </w:r>
            <w:r>
              <w:t xml:space="preserve"> </w:t>
            </w:r>
            <w:r w:rsidRPr="006A6281">
              <w:rPr>
                <w:i/>
                <w:vertAlign w:val="subscript"/>
              </w:rPr>
              <w:t>p,</w:t>
            </w:r>
            <w:r>
              <w:rPr>
                <w:i/>
                <w:vertAlign w:val="subscript"/>
              </w:rPr>
              <w:t xml:space="preserve"> </w:t>
            </w:r>
            <w:r w:rsidRPr="006A6281">
              <w:rPr>
                <w:i/>
                <w:vertAlign w:val="subscript"/>
              </w:rPr>
              <w:t>i</w:t>
            </w:r>
            <w:r w:rsidRPr="006A6281">
              <w:t>) * Min (1, KP1) * OCONSM</w:t>
            </w:r>
            <w:r w:rsidRPr="006A6281">
              <w:rPr>
                <w:sz w:val="18"/>
                <w:szCs w:val="18"/>
                <w:vertAlign w:val="subscript"/>
              </w:rPr>
              <w:t xml:space="preserve"> </w:t>
            </w:r>
            <w:r w:rsidRPr="006A6281">
              <w:rPr>
                <w:i/>
                <w:vertAlign w:val="subscript"/>
              </w:rPr>
              <w:t>q, r, p, i</w:t>
            </w:r>
          </w:p>
          <w:p w14:paraId="3FF430EB" w14:textId="77777777" w:rsidR="00BE3301" w:rsidRPr="006A6281" w:rsidRDefault="00BE3301" w:rsidP="00BE3301">
            <w:pPr>
              <w:pStyle w:val="FormulaBold"/>
              <w:rPr>
                <w:b w:val="0"/>
              </w:rPr>
            </w:pPr>
            <w:r w:rsidRPr="006A6281">
              <w:rPr>
                <w:b w:val="0"/>
              </w:rPr>
              <w:t>Where:</w:t>
            </w:r>
          </w:p>
          <w:p w14:paraId="16057FB7" w14:textId="6FC88702" w:rsidR="00BE3301" w:rsidRPr="002600B6" w:rsidRDefault="00BE3301" w:rsidP="00BE3301">
            <w:pPr>
              <w:pStyle w:val="BodyTextNumbered"/>
              <w:ind w:firstLine="0"/>
              <w:rPr>
                <w:iCs/>
              </w:rPr>
            </w:pPr>
            <w:r w:rsidRPr="002600B6">
              <w:t>OCONSM</w:t>
            </w:r>
            <w:r w:rsidRPr="002600B6">
              <w:rPr>
                <w:i/>
                <w:iCs/>
                <w:vertAlign w:val="subscript"/>
                <w:lang w:val="es-ES"/>
              </w:rPr>
              <w:t xml:space="preserve"> q, r, p, i  </w:t>
            </w:r>
            <w:r w:rsidRPr="002600B6">
              <w:t xml:space="preserve"> = </w:t>
            </w:r>
            <w:r w:rsidRPr="002600B6">
              <w:rPr>
                <w:iCs/>
              </w:rPr>
              <w:t xml:space="preserve">Max [0, </w:t>
            </w:r>
            <w:r>
              <w:rPr>
                <w:iCs/>
              </w:rPr>
              <w:t>(</w:t>
            </w:r>
            <w:r w:rsidRPr="002600B6">
              <w:rPr>
                <w:iCs/>
              </w:rPr>
              <w:t>ATPC</w:t>
            </w:r>
            <w:r>
              <w:rPr>
                <w:iCs/>
              </w:rPr>
              <w:t xml:space="preserve"> </w:t>
            </w:r>
            <w:r w:rsidRPr="002600B6">
              <w:rPr>
                <w:i/>
                <w:vertAlign w:val="subscript"/>
                <w:lang w:val="es-ES"/>
              </w:rPr>
              <w:t>q, r, p, i</w:t>
            </w:r>
            <w:r w:rsidRPr="002600B6">
              <w:rPr>
                <w:iCs/>
              </w:rPr>
              <w:t xml:space="preserve"> - ¼* </w:t>
            </w:r>
            <w:r w:rsidRPr="002600B6">
              <w:t>Max (((1 + KLR1) * AA</w:t>
            </w:r>
            <w:r w:rsidR="00647F76">
              <w:t>S</w:t>
            </w:r>
            <w:r w:rsidRPr="002600B6">
              <w:t>P</w:t>
            </w:r>
            <w:r w:rsidRPr="002600B6">
              <w:rPr>
                <w:i/>
                <w:iCs/>
                <w:vertAlign w:val="subscript"/>
                <w:lang w:val="es-ES"/>
              </w:rPr>
              <w:t xml:space="preserve"> q, r, p, i</w:t>
            </w:r>
            <w:r w:rsidRPr="002600B6">
              <w:rPr>
                <w:rFonts w:ascii="Times New Roman Bold" w:hAnsi="Times New Roman Bold"/>
                <w:iCs/>
                <w:lang w:val="es-ES"/>
              </w:rPr>
              <w:t>)</w:t>
            </w:r>
            <w:r w:rsidRPr="002600B6">
              <w:t>, (AA</w:t>
            </w:r>
            <w:r w:rsidR="00647F76">
              <w:t>S</w:t>
            </w:r>
            <w:r w:rsidRPr="002600B6">
              <w:t>P</w:t>
            </w:r>
            <w:r w:rsidRPr="002600B6">
              <w:rPr>
                <w:i/>
                <w:iCs/>
                <w:vertAlign w:val="subscript"/>
                <w:lang w:val="es-ES"/>
              </w:rPr>
              <w:t xml:space="preserve"> q, r, p, i </w:t>
            </w:r>
            <w:r w:rsidRPr="002600B6">
              <w:t>+ QLR1)))</w:t>
            </w:r>
            <w:r w:rsidRPr="002600B6">
              <w:rPr>
                <w:iCs/>
              </w:rPr>
              <w:t>]</w:t>
            </w:r>
          </w:p>
          <w:p w14:paraId="6C0148E0" w14:textId="77777777" w:rsidR="00BE3301" w:rsidRPr="002600B6" w:rsidRDefault="00BE3301" w:rsidP="00BE3301">
            <w:pPr>
              <w:pStyle w:val="BodyTextNumbered"/>
              <w:ind w:left="1440"/>
            </w:pPr>
            <w:r w:rsidRPr="002600B6">
              <w:t>ATPC</w:t>
            </w:r>
            <w:r w:rsidRPr="002600B6">
              <w:rPr>
                <w:i/>
                <w:vertAlign w:val="subscript"/>
              </w:rPr>
              <w:t xml:space="preserve"> q, r, p, i</w:t>
            </w:r>
            <w:r w:rsidRPr="002600B6">
              <w:rPr>
                <w:i/>
                <w:vertAlign w:val="subscript"/>
              </w:rPr>
              <w:tab/>
            </w:r>
            <w:r w:rsidRPr="002600B6">
              <w:t>=</w:t>
            </w:r>
            <w:r w:rsidRPr="002600B6">
              <w:rPr>
                <w:i/>
                <w:vertAlign w:val="subscript"/>
              </w:rPr>
              <w:t xml:space="preserve">      </w:t>
            </w:r>
            <w:r w:rsidRPr="002600B6">
              <w:t xml:space="preserve"> (</w:t>
            </w:r>
            <w:r w:rsidRPr="00A33C4E">
              <w:rPr>
                <w:position w:val="-22"/>
              </w:rPr>
              <w:object w:dxaOrig="210" w:dyaOrig="450" w14:anchorId="17D3BCBE">
                <v:shape id="_x0000_i1189" type="#_x0000_t75" style="width:5.4pt;height:24.6pt" o:ole="">
                  <v:imagedata r:id="rId209" o:title=""/>
                </v:shape>
                <o:OLEObject Type="Embed" ProgID="Equation.3" ShapeID="_x0000_i1189" DrawAspect="Content" ObjectID="_1815025379" r:id="rId221"/>
              </w:object>
            </w:r>
            <w:r w:rsidRPr="002600B6">
              <w:t xml:space="preserve"> (AVGTPC5M</w:t>
            </w:r>
            <w:r w:rsidRPr="002600B6">
              <w:rPr>
                <w:i/>
                <w:vertAlign w:val="subscript"/>
              </w:rPr>
              <w:t xml:space="preserve"> q, r, p</w:t>
            </w:r>
            <w:r>
              <w:rPr>
                <w:i/>
                <w:vertAlign w:val="subscript"/>
              </w:rPr>
              <w:t>,</w:t>
            </w:r>
            <w:r w:rsidRPr="002600B6">
              <w:rPr>
                <w:i/>
                <w:iCs/>
                <w:vertAlign w:val="subscript"/>
                <w:lang w:val="es-ES"/>
              </w:rPr>
              <w:t xml:space="preserve"> i,</w:t>
            </w:r>
            <w:r>
              <w:rPr>
                <w:i/>
                <w:iCs/>
                <w:vertAlign w:val="subscript"/>
                <w:lang w:val="es-ES"/>
              </w:rPr>
              <w:t xml:space="preserve"> </w:t>
            </w:r>
            <w:r w:rsidRPr="002600B6">
              <w:rPr>
                <w:i/>
                <w:vertAlign w:val="subscript"/>
              </w:rPr>
              <w:t>y</w:t>
            </w:r>
            <w:r w:rsidRPr="002600B6">
              <w:t>) / 3) * ¼</w:t>
            </w:r>
          </w:p>
          <w:p w14:paraId="08559876" w14:textId="77777777" w:rsidR="00BE3301" w:rsidRPr="006A6281" w:rsidRDefault="00BE3301" w:rsidP="00BE3301">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636003" w:rsidRPr="006A6281" w14:paraId="042BF826" w14:textId="77777777" w:rsidTr="00AB2BB6">
              <w:tc>
                <w:tcPr>
                  <w:tcW w:w="1975" w:type="dxa"/>
                </w:tcPr>
                <w:p w14:paraId="39038BE0" w14:textId="77777777" w:rsidR="00636003" w:rsidRPr="006A6281" w:rsidRDefault="00636003" w:rsidP="00636003">
                  <w:pPr>
                    <w:pStyle w:val="TableHead"/>
                    <w:rPr>
                      <w:sz w:val="18"/>
                      <w:szCs w:val="18"/>
                    </w:rPr>
                  </w:pPr>
                  <w:r w:rsidRPr="006A6281">
                    <w:rPr>
                      <w:sz w:val="18"/>
                      <w:szCs w:val="18"/>
                    </w:rPr>
                    <w:t>Variable</w:t>
                  </w:r>
                </w:p>
              </w:tc>
              <w:tc>
                <w:tcPr>
                  <w:tcW w:w="900" w:type="dxa"/>
                </w:tcPr>
                <w:p w14:paraId="5819DFDF" w14:textId="77777777" w:rsidR="00636003" w:rsidRPr="006A6281" w:rsidRDefault="00636003" w:rsidP="00636003">
                  <w:pPr>
                    <w:pStyle w:val="TableHead"/>
                    <w:rPr>
                      <w:sz w:val="18"/>
                      <w:szCs w:val="18"/>
                    </w:rPr>
                  </w:pPr>
                  <w:r w:rsidRPr="006A6281">
                    <w:rPr>
                      <w:sz w:val="18"/>
                      <w:szCs w:val="18"/>
                    </w:rPr>
                    <w:t>Unit</w:t>
                  </w:r>
                </w:p>
              </w:tc>
              <w:tc>
                <w:tcPr>
                  <w:tcW w:w="6942" w:type="dxa"/>
                  <w:gridSpan w:val="2"/>
                </w:tcPr>
                <w:p w14:paraId="73AE637F" w14:textId="77777777" w:rsidR="00636003" w:rsidRPr="006A6281" w:rsidRDefault="00636003" w:rsidP="00636003">
                  <w:pPr>
                    <w:pStyle w:val="TableHead"/>
                    <w:rPr>
                      <w:sz w:val="18"/>
                      <w:szCs w:val="18"/>
                    </w:rPr>
                  </w:pPr>
                  <w:r w:rsidRPr="006A6281">
                    <w:rPr>
                      <w:sz w:val="18"/>
                      <w:szCs w:val="18"/>
                    </w:rPr>
                    <w:t>Definition</w:t>
                  </w:r>
                </w:p>
              </w:tc>
            </w:tr>
            <w:tr w:rsidR="00636003" w:rsidRPr="006A6281" w14:paraId="01575295" w14:textId="77777777" w:rsidTr="00AB2BB6">
              <w:trPr>
                <w:cantSplit/>
              </w:trPr>
              <w:tc>
                <w:tcPr>
                  <w:tcW w:w="1975" w:type="dxa"/>
                </w:tcPr>
                <w:p w14:paraId="25DB8AC5" w14:textId="7AF05B13" w:rsidR="00636003" w:rsidRPr="006A6281" w:rsidRDefault="00647F76" w:rsidP="00636003">
                  <w:pPr>
                    <w:pStyle w:val="TableBody"/>
                  </w:pPr>
                  <w:r>
                    <w:t>S</w:t>
                  </w:r>
                  <w:r w:rsidR="00636003" w:rsidRPr="006A6281">
                    <w:t xml:space="preserve">PDAMT </w:t>
                  </w:r>
                  <w:r w:rsidR="00636003" w:rsidRPr="00107CC2">
                    <w:rPr>
                      <w:i/>
                      <w:vertAlign w:val="subscript"/>
                    </w:rPr>
                    <w:t>q, r, p, i</w:t>
                  </w:r>
                </w:p>
              </w:tc>
              <w:tc>
                <w:tcPr>
                  <w:tcW w:w="900" w:type="dxa"/>
                </w:tcPr>
                <w:p w14:paraId="72676D8C" w14:textId="77777777" w:rsidR="00636003" w:rsidRPr="006A6281" w:rsidRDefault="00636003" w:rsidP="00636003">
                  <w:pPr>
                    <w:pStyle w:val="TableBody"/>
                  </w:pPr>
                  <w:r w:rsidRPr="006A6281">
                    <w:t>$</w:t>
                  </w:r>
                </w:p>
              </w:tc>
              <w:tc>
                <w:tcPr>
                  <w:tcW w:w="6942" w:type="dxa"/>
                  <w:gridSpan w:val="2"/>
                </w:tcPr>
                <w:p w14:paraId="04E286BA" w14:textId="25968C19" w:rsidR="00636003" w:rsidRPr="006A6281" w:rsidRDefault="00647F76" w:rsidP="00647F76">
                  <w:pPr>
                    <w:pStyle w:val="TableBody"/>
                  </w:pPr>
                  <w:r>
                    <w:rPr>
                      <w:i/>
                    </w:rPr>
                    <w:t>Set</w:t>
                  </w:r>
                  <w:r w:rsidR="00636003" w:rsidRPr="006A6281">
                    <w:rPr>
                      <w:i/>
                    </w:rPr>
                    <w:t xml:space="preserve"> Point Deviation Charge per QSE per Settlement Point per Resource</w:t>
                  </w:r>
                  <w:r w:rsidR="00636003" w:rsidRPr="006A6281">
                    <w:t xml:space="preserve">—The charge to QSE </w:t>
                  </w:r>
                  <w:r w:rsidR="00636003" w:rsidRPr="006A6281">
                    <w:rPr>
                      <w:i/>
                    </w:rPr>
                    <w:t>q</w:t>
                  </w:r>
                  <w:r w:rsidR="00636003" w:rsidRPr="006A6281">
                    <w:t xml:space="preserve"> for Controllable Load Resource </w:t>
                  </w:r>
                  <w:r w:rsidR="00636003" w:rsidRPr="006A6281">
                    <w:rPr>
                      <w:i/>
                    </w:rPr>
                    <w:t>r</w:t>
                  </w:r>
                  <w:r w:rsidR="00636003" w:rsidRPr="006A6281">
                    <w:t xml:space="preserve"> at Settlement Point </w:t>
                  </w:r>
                  <w:r w:rsidR="00636003" w:rsidRPr="006A6281">
                    <w:rPr>
                      <w:i/>
                    </w:rPr>
                    <w:t>p</w:t>
                  </w:r>
                  <w:r w:rsidR="00636003" w:rsidRPr="006A6281">
                    <w:t xml:space="preserve">, for its deviation from </w:t>
                  </w:r>
                  <w:r>
                    <w:t>AASP</w:t>
                  </w:r>
                  <w:r w:rsidR="00636003" w:rsidRPr="006A6281">
                    <w:t xml:space="preserve">, for the 15-minute Settlement Interval </w:t>
                  </w:r>
                  <w:r w:rsidR="00636003" w:rsidRPr="006A6281">
                    <w:rPr>
                      <w:i/>
                    </w:rPr>
                    <w:t>i</w:t>
                  </w:r>
                  <w:r w:rsidR="00636003" w:rsidRPr="006A6281">
                    <w:t>.</w:t>
                  </w:r>
                </w:p>
              </w:tc>
            </w:tr>
            <w:tr w:rsidR="00636003" w:rsidRPr="006A6281" w14:paraId="2BFA55F4" w14:textId="77777777" w:rsidTr="00AB2BB6">
              <w:trPr>
                <w:cantSplit/>
              </w:trPr>
              <w:tc>
                <w:tcPr>
                  <w:tcW w:w="1975" w:type="dxa"/>
                </w:tcPr>
                <w:p w14:paraId="0E07DCC6" w14:textId="77777777" w:rsidR="00636003" w:rsidRPr="006A6281" w:rsidRDefault="00636003" w:rsidP="00636003">
                  <w:pPr>
                    <w:pStyle w:val="TableBody"/>
                  </w:pPr>
                  <w:r w:rsidRPr="006A6281">
                    <w:t xml:space="preserve">RTSPP </w:t>
                  </w:r>
                  <w:r w:rsidRPr="00107CC2">
                    <w:rPr>
                      <w:i/>
                      <w:vertAlign w:val="subscript"/>
                    </w:rPr>
                    <w:t>p, i</w:t>
                  </w:r>
                </w:p>
              </w:tc>
              <w:tc>
                <w:tcPr>
                  <w:tcW w:w="900" w:type="dxa"/>
                </w:tcPr>
                <w:p w14:paraId="5EAD45B6" w14:textId="77777777" w:rsidR="00636003" w:rsidRPr="006A6281" w:rsidRDefault="00636003" w:rsidP="00636003">
                  <w:pPr>
                    <w:pStyle w:val="TableBody"/>
                  </w:pPr>
                  <w:r w:rsidRPr="006A6281">
                    <w:t>$/MWh</w:t>
                  </w:r>
                </w:p>
              </w:tc>
              <w:tc>
                <w:tcPr>
                  <w:tcW w:w="6942" w:type="dxa"/>
                  <w:gridSpan w:val="2"/>
                </w:tcPr>
                <w:p w14:paraId="38583BC9" w14:textId="77777777" w:rsidR="00636003" w:rsidRPr="006A6281" w:rsidRDefault="00636003" w:rsidP="00636003">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636003" w:rsidRPr="006A6281" w14:paraId="20E38C1F" w14:textId="77777777" w:rsidTr="00AB2BB6">
              <w:trPr>
                <w:gridAfter w:val="1"/>
                <w:wAfter w:w="12" w:type="dxa"/>
                <w:cantSplit/>
              </w:trPr>
              <w:tc>
                <w:tcPr>
                  <w:tcW w:w="1975" w:type="dxa"/>
                </w:tcPr>
                <w:p w14:paraId="3DC03381" w14:textId="77777777" w:rsidR="00636003" w:rsidRPr="006A6281" w:rsidRDefault="00636003" w:rsidP="00636003">
                  <w:pPr>
                    <w:pStyle w:val="TableBody"/>
                  </w:pPr>
                  <w:r w:rsidRPr="006A6281">
                    <w:t xml:space="preserve">ATPC </w:t>
                  </w:r>
                  <w:r w:rsidRPr="00107CC2">
                    <w:rPr>
                      <w:i/>
                      <w:vertAlign w:val="subscript"/>
                    </w:rPr>
                    <w:t>q, r, p, i</w:t>
                  </w:r>
                </w:p>
              </w:tc>
              <w:tc>
                <w:tcPr>
                  <w:tcW w:w="900" w:type="dxa"/>
                </w:tcPr>
                <w:p w14:paraId="1184A8BE" w14:textId="77777777" w:rsidR="00636003" w:rsidRPr="006A6281" w:rsidRDefault="00636003" w:rsidP="00636003">
                  <w:pPr>
                    <w:pStyle w:val="TableBody"/>
                  </w:pPr>
                  <w:r w:rsidRPr="006A6281">
                    <w:t>MWh</w:t>
                  </w:r>
                </w:p>
              </w:tc>
              <w:tc>
                <w:tcPr>
                  <w:tcW w:w="6930" w:type="dxa"/>
                </w:tcPr>
                <w:p w14:paraId="294A4270" w14:textId="77777777" w:rsidR="00636003" w:rsidRPr="006A6281" w:rsidRDefault="00636003" w:rsidP="00636003">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636003" w:rsidRPr="006A6281" w14:paraId="5EE92C1A" w14:textId="77777777" w:rsidTr="00AB2BB6">
              <w:trPr>
                <w:gridAfter w:val="1"/>
                <w:wAfter w:w="12" w:type="dxa"/>
                <w:cantSplit/>
              </w:trPr>
              <w:tc>
                <w:tcPr>
                  <w:tcW w:w="1975" w:type="dxa"/>
                </w:tcPr>
                <w:p w14:paraId="54833509" w14:textId="7EA5C976" w:rsidR="00636003" w:rsidRPr="006A6281" w:rsidRDefault="00636003" w:rsidP="00F64D00">
                  <w:pPr>
                    <w:pStyle w:val="TableBody"/>
                  </w:pPr>
                  <w:r w:rsidRPr="006A6281">
                    <w:t>AA</w:t>
                  </w:r>
                  <w:r w:rsidR="00647F76">
                    <w:t>S</w:t>
                  </w:r>
                  <w:r w:rsidRPr="006A6281">
                    <w:t xml:space="preserve">P </w:t>
                  </w:r>
                  <w:r w:rsidRPr="00107CC2">
                    <w:rPr>
                      <w:i/>
                      <w:vertAlign w:val="subscript"/>
                    </w:rPr>
                    <w:t>q, r, p, i</w:t>
                  </w:r>
                </w:p>
              </w:tc>
              <w:tc>
                <w:tcPr>
                  <w:tcW w:w="900" w:type="dxa"/>
                </w:tcPr>
                <w:p w14:paraId="489687D1" w14:textId="77777777" w:rsidR="00636003" w:rsidRPr="006A6281" w:rsidRDefault="00636003" w:rsidP="00636003">
                  <w:pPr>
                    <w:pStyle w:val="TableBody"/>
                  </w:pPr>
                  <w:r w:rsidRPr="006A6281">
                    <w:t>MW</w:t>
                  </w:r>
                </w:p>
              </w:tc>
              <w:tc>
                <w:tcPr>
                  <w:tcW w:w="6930" w:type="dxa"/>
                </w:tcPr>
                <w:p w14:paraId="51E525D5" w14:textId="0B589C11" w:rsidR="00636003" w:rsidRPr="006A6281" w:rsidRDefault="00647F76" w:rsidP="00F64D00">
                  <w:pPr>
                    <w:pStyle w:val="TableBody"/>
                    <w:rPr>
                      <w:i/>
                    </w:rPr>
                  </w:pPr>
                  <w:r>
                    <w:rPr>
                      <w:i/>
                    </w:rPr>
                    <w:t>Average</w:t>
                  </w:r>
                  <w:r w:rsidR="00636003" w:rsidRPr="006A6281">
                    <w:rPr>
                      <w:i/>
                    </w:rPr>
                    <w:t xml:space="preserve"> Aggregated </w:t>
                  </w:r>
                  <w:r>
                    <w:rPr>
                      <w:i/>
                    </w:rPr>
                    <w:t>Set</w:t>
                  </w:r>
                  <w:r w:rsidR="00636003" w:rsidRPr="006A6281">
                    <w:rPr>
                      <w:i/>
                    </w:rPr>
                    <w:t xml:space="preserve"> Point </w:t>
                  </w:r>
                  <w:r w:rsidR="00636003">
                    <w:rPr>
                      <w:i/>
                    </w:rPr>
                    <w:t xml:space="preserve">for the Resource </w:t>
                  </w:r>
                  <w:r w:rsidR="00636003" w:rsidRPr="006A6281">
                    <w:rPr>
                      <w:i/>
                    </w:rPr>
                    <w:t>per QSE per Settlement Point per Resource</w:t>
                  </w:r>
                  <w:r w:rsidR="00636003" w:rsidRPr="006A6281">
                    <w:t xml:space="preserve">—The </w:t>
                  </w:r>
                  <w:r>
                    <w:rPr>
                      <w:iCs w:val="0"/>
                    </w:rPr>
                    <w:t>average of the Average Five Minute Clock Interval Set Point (AVGSP5M)</w:t>
                  </w:r>
                  <w:r w:rsidR="00636003" w:rsidRPr="006A6281">
                    <w:t xml:space="preserve"> of Resource </w:t>
                  </w:r>
                  <w:r w:rsidR="00636003" w:rsidRPr="006A6281">
                    <w:rPr>
                      <w:i/>
                    </w:rPr>
                    <w:t>r</w:t>
                  </w:r>
                  <w:r w:rsidR="00636003" w:rsidRPr="006A6281">
                    <w:t xml:space="preserve"> represented by QSE </w:t>
                  </w:r>
                  <w:r w:rsidR="00636003" w:rsidRPr="006A6281">
                    <w:rPr>
                      <w:i/>
                    </w:rPr>
                    <w:t xml:space="preserve">q </w:t>
                  </w:r>
                  <w:r w:rsidR="00636003" w:rsidRPr="006A6281">
                    <w:t xml:space="preserve">at Settlement Point </w:t>
                  </w:r>
                  <w:r w:rsidR="00636003" w:rsidRPr="006A6281">
                    <w:rPr>
                      <w:i/>
                    </w:rPr>
                    <w:t>p</w:t>
                  </w:r>
                  <w:r w:rsidR="00636003" w:rsidRPr="006A6281">
                    <w:t xml:space="preserve">, for the 15-minute Settlement Interval </w:t>
                  </w:r>
                  <w:r w:rsidR="00636003" w:rsidRPr="006A6281">
                    <w:rPr>
                      <w:i/>
                    </w:rPr>
                    <w:t>i</w:t>
                  </w:r>
                  <w:r w:rsidR="00636003" w:rsidRPr="006A6281">
                    <w:t xml:space="preserve">.  </w:t>
                  </w:r>
                </w:p>
              </w:tc>
            </w:tr>
            <w:tr w:rsidR="00636003" w:rsidRPr="006A6281" w14:paraId="15B887AE" w14:textId="77777777" w:rsidTr="00AB2BB6">
              <w:trPr>
                <w:cantSplit/>
              </w:trPr>
              <w:tc>
                <w:tcPr>
                  <w:tcW w:w="1975" w:type="dxa"/>
                </w:tcPr>
                <w:p w14:paraId="324DC57A" w14:textId="77777777" w:rsidR="00636003" w:rsidRPr="006A6281" w:rsidRDefault="00636003" w:rsidP="00636003">
                  <w:pPr>
                    <w:pStyle w:val="TableBody"/>
                  </w:pPr>
                  <w:r w:rsidRPr="006A6281">
                    <w:t>AVGTPC5M</w:t>
                  </w:r>
                  <w:r w:rsidRPr="006A6281">
                    <w:rPr>
                      <w:i/>
                      <w:vertAlign w:val="subscript"/>
                      <w:lang w:val="fr-FR"/>
                    </w:rPr>
                    <w:t xml:space="preserve"> </w:t>
                  </w:r>
                  <w:r w:rsidRPr="00107CC2">
                    <w:rPr>
                      <w:i/>
                      <w:vertAlign w:val="subscript"/>
                      <w:lang w:val="fr-FR"/>
                    </w:rPr>
                    <w:t>q, r, p, i, y</w:t>
                  </w:r>
                </w:p>
              </w:tc>
              <w:tc>
                <w:tcPr>
                  <w:tcW w:w="900" w:type="dxa"/>
                </w:tcPr>
                <w:p w14:paraId="6C9D9F9A" w14:textId="77777777" w:rsidR="00636003" w:rsidRPr="006A6281" w:rsidRDefault="00636003" w:rsidP="00636003">
                  <w:pPr>
                    <w:pStyle w:val="TableBody"/>
                  </w:pPr>
                  <w:r w:rsidRPr="006A6281">
                    <w:t>MW</w:t>
                  </w:r>
                </w:p>
              </w:tc>
              <w:tc>
                <w:tcPr>
                  <w:tcW w:w="6942" w:type="dxa"/>
                  <w:gridSpan w:val="2"/>
                </w:tcPr>
                <w:p w14:paraId="7600BF51" w14:textId="77777777" w:rsidR="00636003" w:rsidRPr="006A6281" w:rsidRDefault="00636003" w:rsidP="00636003">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636003" w:rsidRPr="006A6281" w14:paraId="36DD1682" w14:textId="77777777" w:rsidTr="00AB2BB6">
              <w:trPr>
                <w:cantSplit/>
              </w:trPr>
              <w:tc>
                <w:tcPr>
                  <w:tcW w:w="1975" w:type="dxa"/>
                </w:tcPr>
                <w:p w14:paraId="6339DE6C" w14:textId="77777777" w:rsidR="00636003" w:rsidRPr="006A6281" w:rsidRDefault="00636003" w:rsidP="00636003">
                  <w:pPr>
                    <w:pStyle w:val="TableBody"/>
                  </w:pPr>
                  <w:r w:rsidRPr="006A6281">
                    <w:lastRenderedPageBreak/>
                    <w:t xml:space="preserve">OCONSM </w:t>
                  </w:r>
                  <w:r w:rsidRPr="00107CC2">
                    <w:rPr>
                      <w:i/>
                      <w:vertAlign w:val="subscript"/>
                    </w:rPr>
                    <w:t>q, r, p, i</w:t>
                  </w:r>
                </w:p>
              </w:tc>
              <w:tc>
                <w:tcPr>
                  <w:tcW w:w="900" w:type="dxa"/>
                </w:tcPr>
                <w:p w14:paraId="3E16C8A0" w14:textId="77777777" w:rsidR="00636003" w:rsidRPr="006A6281" w:rsidRDefault="00636003" w:rsidP="00636003">
                  <w:pPr>
                    <w:pStyle w:val="TableBody"/>
                  </w:pPr>
                  <w:r w:rsidRPr="006A6281">
                    <w:t>MW</w:t>
                  </w:r>
                  <w:r>
                    <w:t>h</w:t>
                  </w:r>
                </w:p>
              </w:tc>
              <w:tc>
                <w:tcPr>
                  <w:tcW w:w="6942" w:type="dxa"/>
                  <w:gridSpan w:val="2"/>
                </w:tcPr>
                <w:p w14:paraId="0B1B717A" w14:textId="77777777" w:rsidR="00636003" w:rsidRPr="006A6281" w:rsidRDefault="00636003" w:rsidP="00636003">
                  <w:pPr>
                    <w:pStyle w:val="TableBody"/>
                  </w:pPr>
                  <w:r w:rsidRPr="006A6281">
                    <w:rPr>
                      <w:i/>
                    </w:rPr>
                    <w:t>Over-Consumption Volumes per QSE per Settlement Point per Controllable Load Resource</w:t>
                  </w:r>
                  <w:r w:rsidRPr="006A6281">
                    <w:t xml:space="preserve">—The amount over-consumed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636003" w:rsidRPr="006A6281" w14:paraId="35CC85D9" w14:textId="77777777" w:rsidTr="00AB2BB6">
              <w:trPr>
                <w:cantSplit/>
              </w:trPr>
              <w:tc>
                <w:tcPr>
                  <w:tcW w:w="1975" w:type="dxa"/>
                </w:tcPr>
                <w:p w14:paraId="5AB5541D" w14:textId="77777777" w:rsidR="00636003" w:rsidRPr="006A6281" w:rsidRDefault="00636003" w:rsidP="00636003">
                  <w:pPr>
                    <w:pStyle w:val="TableBody"/>
                  </w:pPr>
                  <w:r w:rsidRPr="006A6281">
                    <w:t>KP1</w:t>
                  </w:r>
                </w:p>
              </w:tc>
              <w:tc>
                <w:tcPr>
                  <w:tcW w:w="900" w:type="dxa"/>
                </w:tcPr>
                <w:p w14:paraId="7968C309" w14:textId="77777777" w:rsidR="00636003" w:rsidRPr="006A6281" w:rsidRDefault="00636003" w:rsidP="00636003">
                  <w:pPr>
                    <w:pStyle w:val="TableBody"/>
                  </w:pPr>
                  <w:r>
                    <w:t>n</w:t>
                  </w:r>
                  <w:r w:rsidRPr="006A6281">
                    <w:t>one</w:t>
                  </w:r>
                </w:p>
              </w:tc>
              <w:tc>
                <w:tcPr>
                  <w:tcW w:w="6942" w:type="dxa"/>
                  <w:gridSpan w:val="2"/>
                </w:tcPr>
                <w:p w14:paraId="430F1CB1" w14:textId="77777777" w:rsidR="00636003" w:rsidRPr="006A6281" w:rsidRDefault="00636003" w:rsidP="00636003">
                  <w:pPr>
                    <w:pStyle w:val="TableBody"/>
                  </w:pPr>
                  <w:r w:rsidRPr="006A6281">
                    <w:t>The coefficient applied to the Settlement Point Price for over-consumption charge, 1.0.</w:t>
                  </w:r>
                </w:p>
              </w:tc>
            </w:tr>
            <w:tr w:rsidR="00636003" w:rsidRPr="006A6281" w14:paraId="226EA019" w14:textId="77777777" w:rsidTr="00AB2BB6">
              <w:trPr>
                <w:cantSplit/>
              </w:trPr>
              <w:tc>
                <w:tcPr>
                  <w:tcW w:w="1975" w:type="dxa"/>
                </w:tcPr>
                <w:p w14:paraId="02379D9E" w14:textId="77777777" w:rsidR="00636003" w:rsidRPr="006A6281" w:rsidRDefault="00636003" w:rsidP="00636003">
                  <w:pPr>
                    <w:pStyle w:val="TableBody"/>
                  </w:pPr>
                  <w:r w:rsidRPr="006A6281">
                    <w:t>PRZ1</w:t>
                  </w:r>
                </w:p>
              </w:tc>
              <w:tc>
                <w:tcPr>
                  <w:tcW w:w="900" w:type="dxa"/>
                </w:tcPr>
                <w:p w14:paraId="2AA66A53" w14:textId="77777777" w:rsidR="00636003" w:rsidRPr="006A6281" w:rsidRDefault="00636003" w:rsidP="00636003">
                  <w:pPr>
                    <w:pStyle w:val="TableBody"/>
                  </w:pPr>
                  <w:r w:rsidRPr="006A6281">
                    <w:t>$/MWh</w:t>
                  </w:r>
                </w:p>
              </w:tc>
              <w:tc>
                <w:tcPr>
                  <w:tcW w:w="6942" w:type="dxa"/>
                  <w:gridSpan w:val="2"/>
                </w:tcPr>
                <w:p w14:paraId="4D49C746" w14:textId="77777777" w:rsidR="00636003" w:rsidRPr="006A6281" w:rsidRDefault="00636003" w:rsidP="00636003">
                  <w:pPr>
                    <w:pStyle w:val="TableBody"/>
                  </w:pPr>
                  <w:r w:rsidRPr="006A6281">
                    <w:t xml:space="preserve">The price to use for the charge calculation when RTSPP is greater than -$20, -$20/MWh.  </w:t>
                  </w:r>
                </w:p>
              </w:tc>
            </w:tr>
            <w:tr w:rsidR="00636003" w:rsidRPr="006A6281" w14:paraId="62D82667" w14:textId="77777777" w:rsidTr="00AB2BB6">
              <w:trPr>
                <w:cantSplit/>
              </w:trPr>
              <w:tc>
                <w:tcPr>
                  <w:tcW w:w="1975" w:type="dxa"/>
                </w:tcPr>
                <w:p w14:paraId="0900A67E" w14:textId="77777777" w:rsidR="00636003" w:rsidRPr="006A6281" w:rsidRDefault="00636003" w:rsidP="00636003">
                  <w:pPr>
                    <w:pStyle w:val="TableBody"/>
                  </w:pPr>
                  <w:r w:rsidRPr="006A6281">
                    <w:t>KLR1</w:t>
                  </w:r>
                </w:p>
              </w:tc>
              <w:tc>
                <w:tcPr>
                  <w:tcW w:w="900" w:type="dxa"/>
                </w:tcPr>
                <w:p w14:paraId="78FFE738" w14:textId="77777777" w:rsidR="00636003" w:rsidRPr="006A6281" w:rsidRDefault="00636003" w:rsidP="00636003">
                  <w:pPr>
                    <w:pStyle w:val="TableBody"/>
                  </w:pPr>
                  <w:r>
                    <w:t>none</w:t>
                  </w:r>
                </w:p>
              </w:tc>
              <w:tc>
                <w:tcPr>
                  <w:tcW w:w="6942" w:type="dxa"/>
                  <w:gridSpan w:val="2"/>
                </w:tcPr>
                <w:p w14:paraId="0C563912" w14:textId="77777777" w:rsidR="00636003" w:rsidRPr="006A6281" w:rsidRDefault="00636003" w:rsidP="00636003">
                  <w:pPr>
                    <w:pStyle w:val="TableBody"/>
                  </w:pPr>
                  <w:r w:rsidRPr="006A6281">
                    <w:t>The percentage tolerance for over-consumption of a Controllable Load Resource, XO%.</w:t>
                  </w:r>
                </w:p>
              </w:tc>
            </w:tr>
            <w:tr w:rsidR="00636003" w:rsidRPr="006A6281" w14:paraId="77A0D90C" w14:textId="77777777" w:rsidTr="00AB2BB6">
              <w:trPr>
                <w:cantSplit/>
              </w:trPr>
              <w:tc>
                <w:tcPr>
                  <w:tcW w:w="1975" w:type="dxa"/>
                </w:tcPr>
                <w:p w14:paraId="19462678" w14:textId="77777777" w:rsidR="00636003" w:rsidRPr="006A6281" w:rsidRDefault="00636003" w:rsidP="00636003">
                  <w:pPr>
                    <w:pStyle w:val="TableBody"/>
                    <w:rPr>
                      <w:i/>
                    </w:rPr>
                  </w:pPr>
                  <w:r w:rsidRPr="006A6281">
                    <w:t>QLR1</w:t>
                  </w:r>
                </w:p>
              </w:tc>
              <w:tc>
                <w:tcPr>
                  <w:tcW w:w="900" w:type="dxa"/>
                </w:tcPr>
                <w:p w14:paraId="333E9665" w14:textId="77777777" w:rsidR="00636003" w:rsidRPr="006A6281" w:rsidRDefault="00636003" w:rsidP="00636003">
                  <w:pPr>
                    <w:pStyle w:val="TableBody"/>
                  </w:pPr>
                  <w:r w:rsidRPr="006A6281">
                    <w:t>MW</w:t>
                  </w:r>
                </w:p>
              </w:tc>
              <w:tc>
                <w:tcPr>
                  <w:tcW w:w="6942" w:type="dxa"/>
                  <w:gridSpan w:val="2"/>
                </w:tcPr>
                <w:p w14:paraId="031C8181" w14:textId="77777777" w:rsidR="00636003" w:rsidRPr="006A6281" w:rsidRDefault="00636003" w:rsidP="00636003">
                  <w:pPr>
                    <w:pStyle w:val="TableBody"/>
                  </w:pPr>
                  <w:r w:rsidRPr="006A6281">
                    <w:t>The MW tolerance for over-consumption of a Controllable Load Resource, YO MW.</w:t>
                  </w:r>
                </w:p>
              </w:tc>
            </w:tr>
            <w:tr w:rsidR="00636003" w:rsidRPr="006A6281" w14:paraId="7305D967" w14:textId="77777777" w:rsidTr="00AB2BB6">
              <w:trPr>
                <w:cantSplit/>
              </w:trPr>
              <w:tc>
                <w:tcPr>
                  <w:tcW w:w="1975" w:type="dxa"/>
                </w:tcPr>
                <w:p w14:paraId="70B3A17D" w14:textId="77777777" w:rsidR="00636003" w:rsidRPr="006A6281" w:rsidRDefault="00636003" w:rsidP="00636003">
                  <w:pPr>
                    <w:pStyle w:val="TableBody"/>
                    <w:rPr>
                      <w:i/>
                    </w:rPr>
                  </w:pPr>
                  <w:r w:rsidRPr="006A6281">
                    <w:rPr>
                      <w:i/>
                    </w:rPr>
                    <w:t>q</w:t>
                  </w:r>
                </w:p>
              </w:tc>
              <w:tc>
                <w:tcPr>
                  <w:tcW w:w="900" w:type="dxa"/>
                </w:tcPr>
                <w:p w14:paraId="36471A31" w14:textId="77777777" w:rsidR="00636003" w:rsidRPr="006A6281" w:rsidRDefault="00636003" w:rsidP="00636003">
                  <w:pPr>
                    <w:pStyle w:val="TableBody"/>
                  </w:pPr>
                  <w:r w:rsidRPr="006A6281">
                    <w:t>none</w:t>
                  </w:r>
                </w:p>
              </w:tc>
              <w:tc>
                <w:tcPr>
                  <w:tcW w:w="6942" w:type="dxa"/>
                  <w:gridSpan w:val="2"/>
                </w:tcPr>
                <w:p w14:paraId="60C4A549" w14:textId="77777777" w:rsidR="00636003" w:rsidRPr="006A6281" w:rsidRDefault="00636003" w:rsidP="00636003">
                  <w:pPr>
                    <w:pStyle w:val="TableBody"/>
                  </w:pPr>
                  <w:r w:rsidRPr="006A6281">
                    <w:t>A QSE.</w:t>
                  </w:r>
                </w:p>
              </w:tc>
            </w:tr>
            <w:tr w:rsidR="00636003" w:rsidRPr="006A6281" w14:paraId="601C0DAA" w14:textId="77777777" w:rsidTr="00AB2BB6">
              <w:trPr>
                <w:cantSplit/>
              </w:trPr>
              <w:tc>
                <w:tcPr>
                  <w:tcW w:w="1975" w:type="dxa"/>
                </w:tcPr>
                <w:p w14:paraId="4272363C" w14:textId="77777777" w:rsidR="00636003" w:rsidRPr="006A6281" w:rsidRDefault="00636003" w:rsidP="00636003">
                  <w:pPr>
                    <w:pStyle w:val="TableBody"/>
                    <w:rPr>
                      <w:i/>
                    </w:rPr>
                  </w:pPr>
                  <w:r w:rsidRPr="006A6281">
                    <w:rPr>
                      <w:i/>
                    </w:rPr>
                    <w:t>p</w:t>
                  </w:r>
                </w:p>
              </w:tc>
              <w:tc>
                <w:tcPr>
                  <w:tcW w:w="900" w:type="dxa"/>
                </w:tcPr>
                <w:p w14:paraId="32977257" w14:textId="77777777" w:rsidR="00636003" w:rsidRPr="006A6281" w:rsidRDefault="00636003" w:rsidP="00636003">
                  <w:pPr>
                    <w:pStyle w:val="TableBody"/>
                  </w:pPr>
                  <w:r w:rsidRPr="006A6281">
                    <w:t>none</w:t>
                  </w:r>
                </w:p>
              </w:tc>
              <w:tc>
                <w:tcPr>
                  <w:tcW w:w="6942" w:type="dxa"/>
                  <w:gridSpan w:val="2"/>
                </w:tcPr>
                <w:p w14:paraId="770A4593" w14:textId="77777777" w:rsidR="00636003" w:rsidRPr="006A6281" w:rsidRDefault="00636003" w:rsidP="00636003">
                  <w:pPr>
                    <w:pStyle w:val="TableBody"/>
                  </w:pPr>
                  <w:r w:rsidRPr="006A6281">
                    <w:t>A Settlement Point.</w:t>
                  </w:r>
                </w:p>
              </w:tc>
            </w:tr>
            <w:tr w:rsidR="00636003" w:rsidRPr="006A6281" w14:paraId="099C3E93" w14:textId="77777777" w:rsidTr="00AB2BB6">
              <w:trPr>
                <w:cantSplit/>
              </w:trPr>
              <w:tc>
                <w:tcPr>
                  <w:tcW w:w="1975" w:type="dxa"/>
                </w:tcPr>
                <w:p w14:paraId="2F4516F0" w14:textId="77777777" w:rsidR="00636003" w:rsidRPr="006A6281" w:rsidRDefault="00636003" w:rsidP="00636003">
                  <w:pPr>
                    <w:pStyle w:val="TableBody"/>
                    <w:rPr>
                      <w:i/>
                    </w:rPr>
                  </w:pPr>
                  <w:r w:rsidRPr="006A6281">
                    <w:rPr>
                      <w:i/>
                    </w:rPr>
                    <w:t>r</w:t>
                  </w:r>
                </w:p>
              </w:tc>
              <w:tc>
                <w:tcPr>
                  <w:tcW w:w="900" w:type="dxa"/>
                </w:tcPr>
                <w:p w14:paraId="088DC969" w14:textId="77777777" w:rsidR="00636003" w:rsidRPr="006A6281" w:rsidRDefault="00636003" w:rsidP="00636003">
                  <w:pPr>
                    <w:pStyle w:val="TableBody"/>
                  </w:pPr>
                  <w:r>
                    <w:t>n</w:t>
                  </w:r>
                  <w:r w:rsidRPr="006A6281">
                    <w:t>one</w:t>
                  </w:r>
                </w:p>
              </w:tc>
              <w:tc>
                <w:tcPr>
                  <w:tcW w:w="6942" w:type="dxa"/>
                  <w:gridSpan w:val="2"/>
                </w:tcPr>
                <w:p w14:paraId="42747AEA" w14:textId="77777777" w:rsidR="00636003" w:rsidRPr="006A6281" w:rsidRDefault="00636003" w:rsidP="00636003">
                  <w:pPr>
                    <w:pStyle w:val="TableBody"/>
                  </w:pPr>
                  <w:r w:rsidRPr="006A6281">
                    <w:t>A Controllable Load Resource.</w:t>
                  </w:r>
                </w:p>
              </w:tc>
            </w:tr>
            <w:tr w:rsidR="00636003" w:rsidRPr="006A6281" w14:paraId="4D70A458" w14:textId="77777777" w:rsidTr="00AB2BB6">
              <w:trPr>
                <w:cantSplit/>
                <w:trHeight w:val="152"/>
              </w:trPr>
              <w:tc>
                <w:tcPr>
                  <w:tcW w:w="1975" w:type="dxa"/>
                </w:tcPr>
                <w:p w14:paraId="4A193F87" w14:textId="77777777" w:rsidR="00636003" w:rsidRPr="006A6281" w:rsidDel="00B33B6F" w:rsidRDefault="00636003" w:rsidP="00636003">
                  <w:pPr>
                    <w:pStyle w:val="TableBody"/>
                    <w:rPr>
                      <w:i/>
                    </w:rPr>
                  </w:pPr>
                  <w:r w:rsidRPr="006A6281">
                    <w:rPr>
                      <w:i/>
                    </w:rPr>
                    <w:t>i</w:t>
                  </w:r>
                </w:p>
              </w:tc>
              <w:tc>
                <w:tcPr>
                  <w:tcW w:w="900" w:type="dxa"/>
                </w:tcPr>
                <w:p w14:paraId="45A70BBD" w14:textId="77777777" w:rsidR="00636003" w:rsidRPr="006A6281" w:rsidDel="00B33B6F" w:rsidRDefault="00636003" w:rsidP="00636003">
                  <w:pPr>
                    <w:pStyle w:val="TableBody"/>
                  </w:pPr>
                  <w:r w:rsidRPr="006A6281">
                    <w:t>none</w:t>
                  </w:r>
                </w:p>
              </w:tc>
              <w:tc>
                <w:tcPr>
                  <w:tcW w:w="6942" w:type="dxa"/>
                  <w:gridSpan w:val="2"/>
                </w:tcPr>
                <w:p w14:paraId="347A2881" w14:textId="77777777" w:rsidR="00636003" w:rsidRPr="006A6281" w:rsidDel="00B33B6F" w:rsidRDefault="00636003" w:rsidP="00636003">
                  <w:pPr>
                    <w:pStyle w:val="TableBody"/>
                  </w:pPr>
                  <w:r w:rsidRPr="006A6281">
                    <w:t>A 15-minute Settlement Interval.</w:t>
                  </w:r>
                </w:p>
              </w:tc>
            </w:tr>
            <w:tr w:rsidR="00636003" w:rsidRPr="006A6281" w14:paraId="6B6DC63F" w14:textId="77777777" w:rsidTr="00AB2BB6">
              <w:trPr>
                <w:cantSplit/>
                <w:trHeight w:val="152"/>
              </w:trPr>
              <w:tc>
                <w:tcPr>
                  <w:tcW w:w="1975" w:type="dxa"/>
                  <w:tcBorders>
                    <w:top w:val="single" w:sz="4" w:space="0" w:color="auto"/>
                    <w:left w:val="single" w:sz="4" w:space="0" w:color="auto"/>
                    <w:bottom w:val="single" w:sz="4" w:space="0" w:color="auto"/>
                    <w:right w:val="single" w:sz="4" w:space="0" w:color="auto"/>
                  </w:tcBorders>
                </w:tcPr>
                <w:p w14:paraId="755DA8BF" w14:textId="77777777" w:rsidR="00636003" w:rsidRPr="006A6281" w:rsidRDefault="00636003" w:rsidP="00636003">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251F8CFE" w14:textId="77777777" w:rsidR="00636003" w:rsidRPr="006A6281" w:rsidRDefault="00636003" w:rsidP="00636003">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4670AB70" w14:textId="77777777" w:rsidR="00636003" w:rsidRPr="006A6281" w:rsidRDefault="00636003" w:rsidP="00636003">
                  <w:pPr>
                    <w:pStyle w:val="TableBody"/>
                  </w:pPr>
                  <w:r w:rsidRPr="006A6281">
                    <w:t xml:space="preserve">A five-minute clock interval in the Settlement Interval. </w:t>
                  </w:r>
                </w:p>
              </w:tc>
            </w:tr>
          </w:tbl>
          <w:p w14:paraId="4508DE99" w14:textId="77777777" w:rsidR="00BE3301" w:rsidRPr="00B37C4B" w:rsidRDefault="00BE3301" w:rsidP="00AB2BB6">
            <w:pPr>
              <w:pStyle w:val="H3"/>
            </w:pPr>
          </w:p>
        </w:tc>
      </w:tr>
    </w:tbl>
    <w:p w14:paraId="66B67F26" w14:textId="77777777" w:rsidR="001F04FD" w:rsidRPr="002600B6" w:rsidRDefault="001F04FD" w:rsidP="001F04FD">
      <w:pPr>
        <w:pStyle w:val="H4"/>
        <w:tabs>
          <w:tab w:val="clear" w:pos="1260"/>
          <w:tab w:val="left" w:pos="1620"/>
        </w:tabs>
        <w:spacing w:before="480"/>
        <w:ind w:left="1627" w:hanging="1627"/>
        <w:outlineLvl w:val="4"/>
      </w:pPr>
      <w:bookmarkStart w:id="2158" w:name="_Toc204411690"/>
      <w:r w:rsidRPr="002600B6">
        <w:lastRenderedPageBreak/>
        <w:t>6.6.5.1.1.4</w:t>
      </w:r>
      <w:r w:rsidRPr="002600B6">
        <w:tab/>
        <w:t>Controllable Load Resource Base Point Deviation Charge for Under Consumption</w:t>
      </w:r>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58"/>
    </w:p>
    <w:p w14:paraId="0238B1A5" w14:textId="77777777" w:rsidR="001F04FD" w:rsidRPr="006A6281" w:rsidRDefault="001F04FD" w:rsidP="001F04FD">
      <w:pPr>
        <w:pStyle w:val="BodyTextNumbered"/>
      </w:pPr>
      <w:r w:rsidRPr="006A6281">
        <w:t>(1)</w:t>
      </w:r>
      <w:r w:rsidRPr="006A6281">
        <w:tab/>
        <w:t xml:space="preserve">ERCOT shall charge a QSE for a Controllable Load Resource for under-consumption if the average telemetered power consumption is below than the lesser of: </w:t>
      </w:r>
    </w:p>
    <w:p w14:paraId="5403BC70" w14:textId="77777777" w:rsidR="001F04FD" w:rsidRPr="006A6281" w:rsidRDefault="001F04FD" w:rsidP="001F04FD">
      <w:pPr>
        <w:pStyle w:val="List"/>
      </w:pPr>
      <w:r w:rsidRPr="006A6281">
        <w:t>(a)</w:t>
      </w:r>
      <w:r w:rsidRPr="006A6281">
        <w:tab/>
        <w:t>[100-XU]% of the average of the Base Points in the Settlement Interval adjusted for any Ancillary Service deployments; or</w:t>
      </w:r>
    </w:p>
    <w:p w14:paraId="2E61090E" w14:textId="77777777" w:rsidR="001F04FD" w:rsidRPr="006A6281" w:rsidRDefault="001F04FD" w:rsidP="001F04FD">
      <w:pPr>
        <w:pStyle w:val="List"/>
      </w:pPr>
      <w:r w:rsidRPr="006A6281">
        <w:t>(b)</w:t>
      </w:r>
      <w:r w:rsidRPr="006A6281">
        <w:tab/>
        <w:t>The average of the Base Points in the Settlement Interval adjusted for any Ancillary Service deployments minus YU MW.</w:t>
      </w:r>
    </w:p>
    <w:p w14:paraId="5BA52BEF" w14:textId="6167FC95" w:rsidR="001F04FD" w:rsidRPr="006A6281" w:rsidRDefault="001F04FD" w:rsidP="001F04FD">
      <w:pPr>
        <w:pStyle w:val="BodyTextNumbered"/>
        <w:rPr>
          <w:iCs/>
        </w:rPr>
      </w:pPr>
      <w:r w:rsidRPr="006A6281">
        <w:rPr>
          <w:iCs/>
        </w:rPr>
        <w:t>(2)</w:t>
      </w:r>
      <w:r w:rsidRPr="006A6281">
        <w:rPr>
          <w:iCs/>
        </w:rPr>
        <w:tab/>
      </w:r>
      <w:r w:rsidRPr="006A6281">
        <w:t xml:space="preserve">The Controllable Load Resource Base Point Deviation Charge for under-consumption variables XU and YU shall be subject to review and approval by TAC and shall be posted to the </w:t>
      </w:r>
      <w:r w:rsidR="0007207E">
        <w:t>ERCOT website</w:t>
      </w:r>
      <w:r w:rsidRPr="006A6281">
        <w:t xml:space="preserve"> no later than three Business Days after TAC approval.</w:t>
      </w:r>
    </w:p>
    <w:p w14:paraId="6A936576" w14:textId="77777777" w:rsidR="001F04FD" w:rsidRPr="006A6281" w:rsidRDefault="001F04FD" w:rsidP="001F04FD">
      <w:pPr>
        <w:pStyle w:val="BodyTextNumbered"/>
        <w:rPr>
          <w:iCs/>
        </w:rPr>
      </w:pPr>
      <w:r w:rsidRPr="006A6281">
        <w:rPr>
          <w:iCs/>
        </w:rPr>
        <w:t>(3)</w:t>
      </w:r>
      <w:r w:rsidRPr="006A6281">
        <w:rPr>
          <w:iCs/>
        </w:rPr>
        <w:tab/>
        <w:t xml:space="preserve">The charge to each QSE for non-excused under-consumption of each </w:t>
      </w:r>
      <w:r w:rsidRPr="006A6281">
        <w:t>Controllable</w:t>
      </w:r>
      <w:r w:rsidRPr="006A6281">
        <w:rPr>
          <w:iCs/>
        </w:rPr>
        <w:t xml:space="preserve"> Load Resource during a 15-minute Settlement Interval in which the Controllable Load Resource has received a Base Point is calculated as follows:</w:t>
      </w:r>
    </w:p>
    <w:p w14:paraId="33A84073" w14:textId="77777777" w:rsidR="001F04FD" w:rsidRPr="006A6281" w:rsidRDefault="001F04FD" w:rsidP="001F04FD">
      <w:pPr>
        <w:pStyle w:val="FormulaBold"/>
        <w:tabs>
          <w:tab w:val="left" w:pos="720"/>
        </w:tabs>
        <w:ind w:left="2880" w:hanging="2880"/>
        <w:rPr>
          <w:lang w:val="pt-BR"/>
        </w:rPr>
      </w:pPr>
      <w:r w:rsidRPr="006A6281">
        <w:rPr>
          <w:lang w:val="pt-BR"/>
        </w:rPr>
        <w:tab/>
        <w:t>BPDAMT</w:t>
      </w:r>
      <w:r w:rsidRPr="006A6281">
        <w:rPr>
          <w:i/>
          <w:vertAlign w:val="subscript"/>
          <w:lang w:val="pt-BR"/>
        </w:rPr>
        <w:t xml:space="preserve"> q, r, p, i</w:t>
      </w:r>
      <w:r w:rsidRPr="006A6281">
        <w:rPr>
          <w:lang w:val="pt-BR"/>
        </w:rPr>
        <w:t xml:space="preserve"> =</w:t>
      </w:r>
      <w:r w:rsidRPr="006A6281">
        <w:rPr>
          <w:lang w:val="pt-BR"/>
        </w:rPr>
        <w:tab/>
      </w:r>
      <w:r w:rsidRPr="006A6281">
        <w:t xml:space="preserve">Max (PRZ2, RTSPP </w:t>
      </w:r>
      <w:r w:rsidRPr="006A6281">
        <w:rPr>
          <w:i/>
          <w:vertAlign w:val="subscript"/>
        </w:rPr>
        <w:t>p, i</w:t>
      </w:r>
      <w:r w:rsidRPr="006A6281">
        <w:t>) * UCONSM</w:t>
      </w:r>
      <w:r w:rsidRPr="006A6281">
        <w:rPr>
          <w:sz w:val="18"/>
          <w:szCs w:val="18"/>
          <w:vertAlign w:val="subscript"/>
        </w:rPr>
        <w:t xml:space="preserve"> </w:t>
      </w:r>
      <w:r w:rsidRPr="006A6281">
        <w:rPr>
          <w:i/>
          <w:vertAlign w:val="subscript"/>
        </w:rPr>
        <w:t>q, r, p, i</w:t>
      </w:r>
    </w:p>
    <w:p w14:paraId="58BD5AC9" w14:textId="77777777" w:rsidR="001F04FD" w:rsidRPr="006A6281" w:rsidRDefault="001F04FD" w:rsidP="001F04FD">
      <w:pPr>
        <w:pStyle w:val="FormulaBold"/>
        <w:rPr>
          <w:b w:val="0"/>
        </w:rPr>
      </w:pPr>
      <w:r w:rsidRPr="006A6281">
        <w:rPr>
          <w:b w:val="0"/>
        </w:rPr>
        <w:t>Where:</w:t>
      </w:r>
    </w:p>
    <w:p w14:paraId="7350B725" w14:textId="77777777" w:rsidR="001F04FD" w:rsidRPr="002600B6" w:rsidRDefault="001F04FD" w:rsidP="001F04FD">
      <w:pPr>
        <w:pStyle w:val="BodyTextNumbered"/>
        <w:ind w:firstLine="0"/>
        <w:rPr>
          <w:iCs/>
        </w:rPr>
      </w:pPr>
      <w:r w:rsidRPr="002600B6">
        <w:t>UCONSM</w:t>
      </w:r>
      <w:r w:rsidRPr="002600B6">
        <w:rPr>
          <w:i/>
          <w:iCs/>
          <w:vertAlign w:val="subscript"/>
          <w:lang w:val="es-ES"/>
        </w:rPr>
        <w:t xml:space="preserve"> q, r, p, i  </w:t>
      </w:r>
      <w:r w:rsidRPr="002600B6">
        <w:t xml:space="preserve"> = </w:t>
      </w:r>
      <w:r w:rsidRPr="002600B6">
        <w:rPr>
          <w:iCs/>
        </w:rPr>
        <w:t>Max [0, [Min ((1 – KLR2) * ¼* AABP</w:t>
      </w:r>
      <w:r w:rsidRPr="002600B6">
        <w:rPr>
          <w:i/>
          <w:iCs/>
          <w:vertAlign w:val="subscript"/>
          <w:lang w:val="es-ES"/>
        </w:rPr>
        <w:t xml:space="preserve"> q, r, p, i </w:t>
      </w:r>
      <w:r w:rsidRPr="002600B6">
        <w:rPr>
          <w:iCs/>
        </w:rPr>
        <w:t>,</w:t>
      </w:r>
      <w:r w:rsidRPr="002600B6">
        <w:rPr>
          <w:i/>
          <w:iCs/>
          <w:vertAlign w:val="subscript"/>
          <w:lang w:val="es-ES"/>
        </w:rPr>
        <w:t xml:space="preserve"> </w:t>
      </w:r>
      <w:r w:rsidRPr="002600B6">
        <w:rPr>
          <w:iCs/>
          <w:lang w:val="es-MX"/>
        </w:rPr>
        <w:t>¼ * (AABP</w:t>
      </w:r>
      <w:r w:rsidRPr="002600B6">
        <w:rPr>
          <w:i/>
          <w:vertAlign w:val="subscript"/>
          <w:lang w:val="es-ES"/>
        </w:rPr>
        <w:t xml:space="preserve"> q, r, p, i</w:t>
      </w:r>
      <w:r w:rsidRPr="002600B6">
        <w:rPr>
          <w:iCs/>
        </w:rPr>
        <w:t xml:space="preserve"> – QLR2)</w:t>
      </w:r>
      <w:r>
        <w:rPr>
          <w:iCs/>
        </w:rPr>
        <w:t>)</w:t>
      </w:r>
      <w:r w:rsidRPr="002600B6">
        <w:rPr>
          <w:iCs/>
        </w:rPr>
        <w:t xml:space="preserve"> – ATPC</w:t>
      </w:r>
      <w:r w:rsidR="00967F3A">
        <w:rPr>
          <w:iCs/>
        </w:rPr>
        <w:t xml:space="preserve"> </w:t>
      </w:r>
      <w:r w:rsidRPr="002600B6">
        <w:rPr>
          <w:i/>
          <w:vertAlign w:val="subscript"/>
          <w:lang w:val="es-ES"/>
        </w:rPr>
        <w:t>q, r, p, i</w:t>
      </w:r>
      <w:r w:rsidRPr="002600B6">
        <w:rPr>
          <w:iCs/>
        </w:rPr>
        <w:t>]]</w:t>
      </w:r>
    </w:p>
    <w:p w14:paraId="7A8EF662" w14:textId="77777777" w:rsidR="001F04FD" w:rsidRPr="002600B6" w:rsidRDefault="001F04FD" w:rsidP="001F04FD">
      <w:pPr>
        <w:pStyle w:val="BodyTextNumbered"/>
        <w:ind w:left="1440"/>
      </w:pPr>
      <w:r w:rsidRPr="002600B6">
        <w:rPr>
          <w:iCs/>
        </w:rPr>
        <w:t>ATPC</w:t>
      </w:r>
      <w:r w:rsidRPr="002600B6">
        <w:rPr>
          <w:i/>
          <w:vertAlign w:val="subscript"/>
        </w:rPr>
        <w:t xml:space="preserve"> q, r, p, i</w:t>
      </w:r>
      <w:r w:rsidRPr="002600B6">
        <w:rPr>
          <w:i/>
          <w:vertAlign w:val="subscript"/>
        </w:rPr>
        <w:tab/>
        <w:t xml:space="preserve">=      </w:t>
      </w:r>
      <w:r w:rsidRPr="002600B6">
        <w:t xml:space="preserve"> (</w:t>
      </w:r>
      <w:r w:rsidRPr="00A33C4E">
        <w:rPr>
          <w:position w:val="-22"/>
        </w:rPr>
        <w:object w:dxaOrig="210" w:dyaOrig="450" w14:anchorId="75438074">
          <v:shape id="_x0000_i1190" type="#_x0000_t75" style="width:5.4pt;height:24.6pt" o:ole="">
            <v:imagedata r:id="rId209" o:title=""/>
          </v:shape>
          <o:OLEObject Type="Embed" ProgID="Equation.3" ShapeID="_x0000_i1190" DrawAspect="Content" ObjectID="_1815025380" r:id="rId222"/>
        </w:object>
      </w:r>
      <w:r w:rsidRPr="002600B6">
        <w:t xml:space="preserve"> (AVGTPC5M</w:t>
      </w:r>
      <w:r w:rsidRPr="002600B6">
        <w:rPr>
          <w:i/>
          <w:vertAlign w:val="subscript"/>
        </w:rPr>
        <w:t xml:space="preserve"> q, r, p</w:t>
      </w:r>
      <w:r w:rsidR="00967F3A">
        <w:rPr>
          <w:i/>
          <w:vertAlign w:val="subscript"/>
        </w:rPr>
        <w:t>,</w:t>
      </w:r>
      <w:r w:rsidRPr="002600B6">
        <w:rPr>
          <w:i/>
          <w:iCs/>
          <w:vertAlign w:val="subscript"/>
          <w:lang w:val="es-ES"/>
        </w:rPr>
        <w:t xml:space="preserve"> i,</w:t>
      </w:r>
      <w:r w:rsidR="00967F3A">
        <w:rPr>
          <w:i/>
          <w:iCs/>
          <w:vertAlign w:val="subscript"/>
          <w:lang w:val="es-ES"/>
        </w:rPr>
        <w:t xml:space="preserve"> </w:t>
      </w:r>
      <w:r w:rsidRPr="002600B6">
        <w:rPr>
          <w:i/>
          <w:vertAlign w:val="subscript"/>
        </w:rPr>
        <w:t>y</w:t>
      </w:r>
      <w:r w:rsidRPr="002600B6">
        <w:t>) / 3) * ¼</w:t>
      </w:r>
    </w:p>
    <w:p w14:paraId="598EF5D3" w14:textId="77777777" w:rsidR="001F04FD" w:rsidRPr="006A6281" w:rsidRDefault="001F04FD" w:rsidP="001F04FD">
      <w:r w:rsidRPr="006A6281">
        <w:lastRenderedPageBreak/>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F04FD" w:rsidRPr="006A6281" w14:paraId="77AB9000" w14:textId="77777777" w:rsidTr="00573B9E">
        <w:tc>
          <w:tcPr>
            <w:tcW w:w="1975" w:type="dxa"/>
          </w:tcPr>
          <w:p w14:paraId="5C7992F7" w14:textId="77777777" w:rsidR="001F04FD" w:rsidRPr="006A6281" w:rsidRDefault="001F04FD" w:rsidP="00AC4DEE">
            <w:pPr>
              <w:pStyle w:val="TableHead"/>
            </w:pPr>
            <w:r w:rsidRPr="006A6281">
              <w:t>Variable</w:t>
            </w:r>
          </w:p>
        </w:tc>
        <w:tc>
          <w:tcPr>
            <w:tcW w:w="900" w:type="dxa"/>
          </w:tcPr>
          <w:p w14:paraId="3F07FC7A" w14:textId="77777777" w:rsidR="001F04FD" w:rsidRPr="006A6281" w:rsidRDefault="001F04FD" w:rsidP="00AC4DEE">
            <w:pPr>
              <w:pStyle w:val="TableHead"/>
            </w:pPr>
            <w:r w:rsidRPr="006A6281">
              <w:t>Unit</w:t>
            </w:r>
          </w:p>
        </w:tc>
        <w:tc>
          <w:tcPr>
            <w:tcW w:w="6942" w:type="dxa"/>
            <w:gridSpan w:val="2"/>
          </w:tcPr>
          <w:p w14:paraId="306D99A1" w14:textId="77777777" w:rsidR="001F04FD" w:rsidRPr="006A6281" w:rsidRDefault="001F04FD" w:rsidP="00AC4DEE">
            <w:pPr>
              <w:pStyle w:val="TableHead"/>
            </w:pPr>
            <w:r w:rsidRPr="006A6281">
              <w:t>Definition</w:t>
            </w:r>
          </w:p>
        </w:tc>
      </w:tr>
      <w:tr w:rsidR="001F04FD" w:rsidRPr="006A6281" w14:paraId="787D1A7C" w14:textId="77777777" w:rsidTr="00573B9E">
        <w:trPr>
          <w:cantSplit/>
        </w:trPr>
        <w:tc>
          <w:tcPr>
            <w:tcW w:w="1975" w:type="dxa"/>
          </w:tcPr>
          <w:p w14:paraId="0BC03A07" w14:textId="77777777" w:rsidR="001F04FD" w:rsidRPr="006A6281" w:rsidRDefault="001F04FD" w:rsidP="00AC4DEE">
            <w:pPr>
              <w:pStyle w:val="TableBody"/>
            </w:pPr>
            <w:r w:rsidRPr="006A6281">
              <w:t xml:space="preserve">BPDAMT </w:t>
            </w:r>
            <w:r w:rsidRPr="00107CC2">
              <w:rPr>
                <w:i/>
                <w:vertAlign w:val="subscript"/>
              </w:rPr>
              <w:t>q, r, p, i</w:t>
            </w:r>
          </w:p>
        </w:tc>
        <w:tc>
          <w:tcPr>
            <w:tcW w:w="900" w:type="dxa"/>
          </w:tcPr>
          <w:p w14:paraId="687ED2EA" w14:textId="77777777" w:rsidR="001F04FD" w:rsidRPr="006A6281" w:rsidRDefault="001F04FD" w:rsidP="00AC4DEE">
            <w:pPr>
              <w:pStyle w:val="TableBody"/>
            </w:pPr>
            <w:r w:rsidRPr="006A6281">
              <w:t>$</w:t>
            </w:r>
          </w:p>
        </w:tc>
        <w:tc>
          <w:tcPr>
            <w:tcW w:w="6942" w:type="dxa"/>
            <w:gridSpan w:val="2"/>
          </w:tcPr>
          <w:p w14:paraId="646E59EF" w14:textId="77777777" w:rsidR="001F04FD" w:rsidRPr="006A6281" w:rsidRDefault="001F04FD" w:rsidP="00AC4DEE">
            <w:pPr>
              <w:pStyle w:val="TableBody"/>
            </w:pPr>
            <w:r w:rsidRPr="006A6281">
              <w:rPr>
                <w:i/>
              </w:rPr>
              <w:t>Base Point Deviation Charge per QSE per Settlement Point per Resource</w:t>
            </w:r>
            <w:r w:rsidRPr="006A6281">
              <w:t xml:space="preserve">—The charge to QSE </w:t>
            </w:r>
            <w:r w:rsidRPr="006A6281">
              <w:rPr>
                <w:i/>
              </w:rPr>
              <w:t>q</w:t>
            </w:r>
            <w:r w:rsidRPr="006A6281">
              <w:t xml:space="preserve"> for Generation Resource or Controllable Load Resource </w:t>
            </w:r>
            <w:r w:rsidRPr="006A6281">
              <w:rPr>
                <w:i/>
              </w:rPr>
              <w:t>r</w:t>
            </w:r>
            <w:r w:rsidRPr="006A6281">
              <w:t xml:space="preserve"> at Settlement Point </w:t>
            </w:r>
            <w:r w:rsidRPr="006A6281">
              <w:rPr>
                <w:i/>
              </w:rPr>
              <w:t>p</w:t>
            </w:r>
            <w:r w:rsidRPr="006A6281">
              <w:t xml:space="preserve">, for its deviation from Base Point, for the 15-minute Settlement Interval </w:t>
            </w:r>
            <w:r w:rsidRPr="006A6281">
              <w:rPr>
                <w:i/>
              </w:rPr>
              <w:t>i</w:t>
            </w:r>
            <w:r w:rsidRPr="006A6281">
              <w:t>.</w:t>
            </w:r>
          </w:p>
        </w:tc>
      </w:tr>
      <w:tr w:rsidR="001F04FD" w:rsidRPr="006A6281" w14:paraId="486E7C76" w14:textId="77777777" w:rsidTr="00573B9E">
        <w:trPr>
          <w:cantSplit/>
        </w:trPr>
        <w:tc>
          <w:tcPr>
            <w:tcW w:w="1975" w:type="dxa"/>
          </w:tcPr>
          <w:p w14:paraId="726E0021" w14:textId="77777777" w:rsidR="001F04FD" w:rsidRPr="006A6281" w:rsidRDefault="001F04FD" w:rsidP="00AC4DEE">
            <w:pPr>
              <w:pStyle w:val="TableBody"/>
            </w:pPr>
            <w:r w:rsidRPr="006A6281">
              <w:t xml:space="preserve">RTSPP </w:t>
            </w:r>
            <w:r w:rsidRPr="00107CC2">
              <w:rPr>
                <w:i/>
                <w:vertAlign w:val="subscript"/>
              </w:rPr>
              <w:t>p, i</w:t>
            </w:r>
          </w:p>
        </w:tc>
        <w:tc>
          <w:tcPr>
            <w:tcW w:w="900" w:type="dxa"/>
          </w:tcPr>
          <w:p w14:paraId="0107E036" w14:textId="77777777" w:rsidR="001F04FD" w:rsidRPr="006A6281" w:rsidRDefault="001F04FD" w:rsidP="00AC4DEE">
            <w:pPr>
              <w:pStyle w:val="TableBody"/>
            </w:pPr>
            <w:r w:rsidRPr="006A6281">
              <w:t>$/MWh</w:t>
            </w:r>
          </w:p>
        </w:tc>
        <w:tc>
          <w:tcPr>
            <w:tcW w:w="6942" w:type="dxa"/>
            <w:gridSpan w:val="2"/>
          </w:tcPr>
          <w:p w14:paraId="26313296" w14:textId="77777777" w:rsidR="001F04FD" w:rsidRPr="006A6281" w:rsidRDefault="001F04FD" w:rsidP="00AC4DEE">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1F04FD" w:rsidRPr="006A6281" w14:paraId="702DE902" w14:textId="77777777" w:rsidTr="00573B9E">
        <w:trPr>
          <w:gridAfter w:val="1"/>
          <w:wAfter w:w="12" w:type="dxa"/>
          <w:cantSplit/>
        </w:trPr>
        <w:tc>
          <w:tcPr>
            <w:tcW w:w="1975" w:type="dxa"/>
          </w:tcPr>
          <w:p w14:paraId="51A98349" w14:textId="77777777" w:rsidR="001F04FD" w:rsidRPr="006A6281" w:rsidRDefault="001F04FD" w:rsidP="00AC4DEE">
            <w:pPr>
              <w:pStyle w:val="TableBody"/>
            </w:pPr>
            <w:r w:rsidRPr="006A6281">
              <w:t xml:space="preserve">ATPC </w:t>
            </w:r>
            <w:r w:rsidRPr="00107CC2">
              <w:rPr>
                <w:i/>
                <w:vertAlign w:val="subscript"/>
              </w:rPr>
              <w:t>q, r, p, i</w:t>
            </w:r>
          </w:p>
        </w:tc>
        <w:tc>
          <w:tcPr>
            <w:tcW w:w="900" w:type="dxa"/>
          </w:tcPr>
          <w:p w14:paraId="6F1E6387" w14:textId="77777777" w:rsidR="001F04FD" w:rsidRPr="006A6281" w:rsidRDefault="001F04FD" w:rsidP="00AC4DEE">
            <w:pPr>
              <w:pStyle w:val="TableBody"/>
            </w:pPr>
            <w:r w:rsidRPr="006A6281">
              <w:t>MWh</w:t>
            </w:r>
          </w:p>
        </w:tc>
        <w:tc>
          <w:tcPr>
            <w:tcW w:w="6930" w:type="dxa"/>
          </w:tcPr>
          <w:p w14:paraId="7BDD3457" w14:textId="77777777" w:rsidR="001F04FD" w:rsidRPr="006A6281" w:rsidRDefault="001F04FD" w:rsidP="00AC4DEE">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1F04FD" w:rsidRPr="006A6281" w14:paraId="033EA02D" w14:textId="77777777" w:rsidTr="00573B9E">
        <w:trPr>
          <w:gridAfter w:val="1"/>
          <w:wAfter w:w="12" w:type="dxa"/>
          <w:cantSplit/>
        </w:trPr>
        <w:tc>
          <w:tcPr>
            <w:tcW w:w="1975" w:type="dxa"/>
          </w:tcPr>
          <w:p w14:paraId="2C50F839" w14:textId="77777777" w:rsidR="001F04FD" w:rsidRPr="006A6281" w:rsidRDefault="001F04FD" w:rsidP="00AC4DEE">
            <w:pPr>
              <w:pStyle w:val="TableBody"/>
            </w:pPr>
            <w:r w:rsidRPr="006A6281">
              <w:t xml:space="preserve">AABP </w:t>
            </w:r>
            <w:r w:rsidRPr="00107CC2">
              <w:rPr>
                <w:i/>
                <w:vertAlign w:val="subscript"/>
              </w:rPr>
              <w:t>q, r, p, i</w:t>
            </w:r>
          </w:p>
        </w:tc>
        <w:tc>
          <w:tcPr>
            <w:tcW w:w="900" w:type="dxa"/>
          </w:tcPr>
          <w:p w14:paraId="394F7E58" w14:textId="77777777" w:rsidR="001F04FD" w:rsidRPr="006A6281" w:rsidRDefault="001F04FD" w:rsidP="00AC4DEE">
            <w:pPr>
              <w:pStyle w:val="TableBody"/>
            </w:pPr>
            <w:r w:rsidRPr="006A6281">
              <w:t>MW</w:t>
            </w:r>
          </w:p>
        </w:tc>
        <w:tc>
          <w:tcPr>
            <w:tcW w:w="6930" w:type="dxa"/>
          </w:tcPr>
          <w:p w14:paraId="39AED56E" w14:textId="77777777" w:rsidR="001F04FD" w:rsidRPr="006A6281" w:rsidRDefault="001F04FD" w:rsidP="00AC4DEE">
            <w:pPr>
              <w:pStyle w:val="TableBody"/>
              <w:rPr>
                <w:i/>
              </w:rPr>
            </w:pPr>
            <w:r w:rsidRPr="006A6281">
              <w:rPr>
                <w:i/>
              </w:rPr>
              <w:t>Adjusted Aggregated Base Point per QSE per Settlement Point per Resource</w:t>
            </w:r>
            <w:r w:rsidRPr="006A6281">
              <w:t xml:space="preserve">—The aggregated Base Point adjusted for Ancillary Service deployments of Generation Resource or Controllable Load Resource </w:t>
            </w:r>
            <w:r w:rsidRPr="006A6281">
              <w:rPr>
                <w:i/>
              </w:rPr>
              <w:t>r</w:t>
            </w:r>
            <w:r w:rsidRPr="006A6281">
              <w:t xml:space="preserve"> represented by QSE </w:t>
            </w:r>
            <w:r w:rsidRPr="006A6281">
              <w:rPr>
                <w:i/>
              </w:rPr>
              <w:t xml:space="preserve">q </w:t>
            </w:r>
            <w:r w:rsidRPr="006A6281">
              <w:t xml:space="preserve">at Settlement Point </w:t>
            </w:r>
            <w:r w:rsidRPr="006A6281">
              <w:rPr>
                <w:i/>
              </w:rPr>
              <w:t>p</w:t>
            </w:r>
            <w:r w:rsidRPr="006A6281">
              <w:t xml:space="preserve">, for the 15-minute Settlement Interval </w:t>
            </w:r>
            <w:r w:rsidRPr="006A6281">
              <w:rPr>
                <w:i/>
              </w:rPr>
              <w:t>i</w:t>
            </w:r>
            <w:r w:rsidRPr="006A6281">
              <w:t xml:space="preserve">.  </w:t>
            </w:r>
          </w:p>
        </w:tc>
      </w:tr>
      <w:tr w:rsidR="001F04FD" w:rsidRPr="006A6281" w14:paraId="2BE86DFF" w14:textId="77777777" w:rsidTr="00573B9E">
        <w:trPr>
          <w:cantSplit/>
        </w:trPr>
        <w:tc>
          <w:tcPr>
            <w:tcW w:w="1975" w:type="dxa"/>
          </w:tcPr>
          <w:p w14:paraId="14938F34" w14:textId="77777777" w:rsidR="001F04FD" w:rsidRPr="006A6281" w:rsidRDefault="001F04FD" w:rsidP="00AC4DEE">
            <w:pPr>
              <w:pStyle w:val="TableBody"/>
            </w:pPr>
            <w:r w:rsidRPr="006A6281">
              <w:t>AVGTPC5M</w:t>
            </w:r>
            <w:r w:rsidRPr="006A6281">
              <w:rPr>
                <w:i/>
                <w:vertAlign w:val="subscript"/>
                <w:lang w:val="fr-FR"/>
              </w:rPr>
              <w:t xml:space="preserve"> </w:t>
            </w:r>
            <w:r w:rsidRPr="00107CC2">
              <w:rPr>
                <w:i/>
                <w:vertAlign w:val="subscript"/>
                <w:lang w:val="fr-FR"/>
              </w:rPr>
              <w:t>q, r, p, i, y</w:t>
            </w:r>
          </w:p>
        </w:tc>
        <w:tc>
          <w:tcPr>
            <w:tcW w:w="900" w:type="dxa"/>
          </w:tcPr>
          <w:p w14:paraId="7BE981D9" w14:textId="77777777" w:rsidR="001F04FD" w:rsidRPr="006A6281" w:rsidRDefault="001F04FD" w:rsidP="00AC4DEE">
            <w:pPr>
              <w:pStyle w:val="TableBody"/>
            </w:pPr>
            <w:r w:rsidRPr="006A6281">
              <w:t>MW</w:t>
            </w:r>
          </w:p>
        </w:tc>
        <w:tc>
          <w:tcPr>
            <w:tcW w:w="6942" w:type="dxa"/>
            <w:gridSpan w:val="2"/>
          </w:tcPr>
          <w:p w14:paraId="48276F5F" w14:textId="77777777" w:rsidR="001F04FD" w:rsidRPr="006A6281" w:rsidRDefault="001F04FD" w:rsidP="00AC4DEE">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1F04FD" w:rsidRPr="006A6281" w14:paraId="5EA9B033" w14:textId="77777777" w:rsidTr="00573B9E">
        <w:trPr>
          <w:cantSplit/>
        </w:trPr>
        <w:tc>
          <w:tcPr>
            <w:tcW w:w="1975" w:type="dxa"/>
          </w:tcPr>
          <w:p w14:paraId="0ED0AB5A" w14:textId="77777777" w:rsidR="001F04FD" w:rsidRPr="006A6281" w:rsidRDefault="001F04FD" w:rsidP="00AC4DEE">
            <w:pPr>
              <w:pStyle w:val="TableBody"/>
            </w:pPr>
            <w:r w:rsidRPr="006A6281">
              <w:t xml:space="preserve">UCONSM </w:t>
            </w:r>
            <w:r w:rsidRPr="00107CC2">
              <w:rPr>
                <w:i/>
                <w:vertAlign w:val="subscript"/>
              </w:rPr>
              <w:t>q, r, p, i</w:t>
            </w:r>
          </w:p>
        </w:tc>
        <w:tc>
          <w:tcPr>
            <w:tcW w:w="900" w:type="dxa"/>
          </w:tcPr>
          <w:p w14:paraId="764A5BC2" w14:textId="77777777" w:rsidR="001F04FD" w:rsidRPr="006A6281" w:rsidRDefault="001F04FD" w:rsidP="00AC4DEE">
            <w:pPr>
              <w:pStyle w:val="TableBody"/>
            </w:pPr>
            <w:r w:rsidRPr="006A6281">
              <w:t>MW</w:t>
            </w:r>
            <w:r w:rsidR="00091181">
              <w:t>h</w:t>
            </w:r>
          </w:p>
        </w:tc>
        <w:tc>
          <w:tcPr>
            <w:tcW w:w="6942" w:type="dxa"/>
            <w:gridSpan w:val="2"/>
          </w:tcPr>
          <w:p w14:paraId="1DAF06EF" w14:textId="77777777" w:rsidR="001F04FD" w:rsidRPr="006A6281" w:rsidRDefault="001F04FD" w:rsidP="00AC4DEE">
            <w:pPr>
              <w:pStyle w:val="TableBody"/>
            </w:pPr>
            <w:r w:rsidRPr="006A6281">
              <w:rPr>
                <w:i/>
              </w:rPr>
              <w:t>Under Consumption Volumes per QSE per Settlement Point per Controllable Load Resource</w:t>
            </w:r>
            <w:r w:rsidRPr="006A6281">
              <w:t xml:space="preserve">—The amount under-consumed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1F04FD" w:rsidRPr="006A6281" w14:paraId="1E244C3B" w14:textId="77777777" w:rsidTr="00573B9E">
        <w:trPr>
          <w:cantSplit/>
        </w:trPr>
        <w:tc>
          <w:tcPr>
            <w:tcW w:w="1975" w:type="dxa"/>
          </w:tcPr>
          <w:p w14:paraId="2ED98944" w14:textId="77777777" w:rsidR="001F04FD" w:rsidRPr="006A6281" w:rsidRDefault="001F04FD" w:rsidP="00AC4DEE">
            <w:pPr>
              <w:pStyle w:val="TableBody"/>
            </w:pPr>
            <w:r w:rsidRPr="006A6281">
              <w:t>PRZ2</w:t>
            </w:r>
          </w:p>
        </w:tc>
        <w:tc>
          <w:tcPr>
            <w:tcW w:w="900" w:type="dxa"/>
          </w:tcPr>
          <w:p w14:paraId="6A73CF64" w14:textId="77777777" w:rsidR="001F04FD" w:rsidRPr="006A6281" w:rsidRDefault="001F04FD" w:rsidP="00AC4DEE">
            <w:pPr>
              <w:pStyle w:val="TableBody"/>
            </w:pPr>
            <w:r w:rsidRPr="006A6281">
              <w:t>$/MWh</w:t>
            </w:r>
          </w:p>
        </w:tc>
        <w:tc>
          <w:tcPr>
            <w:tcW w:w="6942" w:type="dxa"/>
            <w:gridSpan w:val="2"/>
          </w:tcPr>
          <w:p w14:paraId="77E8196C" w14:textId="77777777" w:rsidR="001F04FD" w:rsidRPr="006A6281" w:rsidRDefault="001F04FD" w:rsidP="00AC4DEE">
            <w:pPr>
              <w:pStyle w:val="TableBody"/>
            </w:pPr>
            <w:r w:rsidRPr="006A6281">
              <w:t xml:space="preserve">The price to use for the Base Point Deviation Charge for under-consumption calculation when RTSPP is less than $20/MWh, $20/MWh.  </w:t>
            </w:r>
          </w:p>
        </w:tc>
      </w:tr>
      <w:tr w:rsidR="001F04FD" w:rsidRPr="006A6281" w14:paraId="4E22CC74" w14:textId="77777777" w:rsidTr="00573B9E">
        <w:trPr>
          <w:cantSplit/>
        </w:trPr>
        <w:tc>
          <w:tcPr>
            <w:tcW w:w="1975" w:type="dxa"/>
          </w:tcPr>
          <w:p w14:paraId="718D40FB" w14:textId="77777777" w:rsidR="001F04FD" w:rsidRPr="006A6281" w:rsidRDefault="001F04FD" w:rsidP="00AC4DEE">
            <w:pPr>
              <w:pStyle w:val="TableBody"/>
            </w:pPr>
            <w:r w:rsidRPr="006A6281">
              <w:t>KLR2</w:t>
            </w:r>
          </w:p>
        </w:tc>
        <w:tc>
          <w:tcPr>
            <w:tcW w:w="900" w:type="dxa"/>
          </w:tcPr>
          <w:p w14:paraId="5302DD4F" w14:textId="77777777" w:rsidR="001F04FD" w:rsidRPr="006A6281" w:rsidRDefault="001F04FD" w:rsidP="00AC4DEE">
            <w:pPr>
              <w:pStyle w:val="TableBody"/>
            </w:pPr>
          </w:p>
        </w:tc>
        <w:tc>
          <w:tcPr>
            <w:tcW w:w="6942" w:type="dxa"/>
            <w:gridSpan w:val="2"/>
          </w:tcPr>
          <w:p w14:paraId="2FF110EB" w14:textId="77777777" w:rsidR="001F04FD" w:rsidRPr="006A6281" w:rsidRDefault="001F04FD" w:rsidP="00AC4DEE">
            <w:pPr>
              <w:pStyle w:val="TableBody"/>
            </w:pPr>
            <w:r w:rsidRPr="006A6281">
              <w:t>The percentage tolerance for under-consumption of a Controllable Load Resource, XU%.</w:t>
            </w:r>
          </w:p>
        </w:tc>
      </w:tr>
      <w:tr w:rsidR="001F04FD" w:rsidRPr="006A6281" w14:paraId="1921DC93" w14:textId="77777777" w:rsidTr="00573B9E">
        <w:trPr>
          <w:cantSplit/>
        </w:trPr>
        <w:tc>
          <w:tcPr>
            <w:tcW w:w="1975" w:type="dxa"/>
          </w:tcPr>
          <w:p w14:paraId="280A6A1D" w14:textId="77777777" w:rsidR="001F04FD" w:rsidRPr="006A6281" w:rsidRDefault="001F04FD" w:rsidP="00AC4DEE">
            <w:pPr>
              <w:pStyle w:val="TableBody"/>
              <w:rPr>
                <w:i/>
              </w:rPr>
            </w:pPr>
            <w:r w:rsidRPr="006A6281">
              <w:t>QLR2</w:t>
            </w:r>
          </w:p>
        </w:tc>
        <w:tc>
          <w:tcPr>
            <w:tcW w:w="900" w:type="dxa"/>
          </w:tcPr>
          <w:p w14:paraId="3295AA8F" w14:textId="77777777" w:rsidR="001F04FD" w:rsidRPr="006A6281" w:rsidRDefault="001F04FD" w:rsidP="00AC4DEE">
            <w:pPr>
              <w:pStyle w:val="TableBody"/>
            </w:pPr>
            <w:r w:rsidRPr="006A6281">
              <w:t>MW</w:t>
            </w:r>
          </w:p>
        </w:tc>
        <w:tc>
          <w:tcPr>
            <w:tcW w:w="6942" w:type="dxa"/>
            <w:gridSpan w:val="2"/>
          </w:tcPr>
          <w:p w14:paraId="32BD097D" w14:textId="77777777" w:rsidR="001F04FD" w:rsidRPr="006A6281" w:rsidRDefault="001F04FD" w:rsidP="00AC4DEE">
            <w:pPr>
              <w:pStyle w:val="TableBody"/>
            </w:pPr>
            <w:r w:rsidRPr="006A6281">
              <w:t>The MW tolerance for under-consumption of a Controllable Load Resource, YU MW.</w:t>
            </w:r>
          </w:p>
        </w:tc>
      </w:tr>
      <w:tr w:rsidR="001F04FD" w:rsidRPr="006A6281" w14:paraId="79415175" w14:textId="77777777" w:rsidTr="00573B9E">
        <w:trPr>
          <w:cantSplit/>
        </w:trPr>
        <w:tc>
          <w:tcPr>
            <w:tcW w:w="1975" w:type="dxa"/>
          </w:tcPr>
          <w:p w14:paraId="4317B6EA" w14:textId="77777777" w:rsidR="001F04FD" w:rsidRPr="006A6281" w:rsidRDefault="001F04FD" w:rsidP="00AC4DEE">
            <w:pPr>
              <w:pStyle w:val="TableBody"/>
              <w:rPr>
                <w:i/>
              </w:rPr>
            </w:pPr>
            <w:r w:rsidRPr="006A6281">
              <w:rPr>
                <w:i/>
              </w:rPr>
              <w:t>q</w:t>
            </w:r>
          </w:p>
        </w:tc>
        <w:tc>
          <w:tcPr>
            <w:tcW w:w="900" w:type="dxa"/>
          </w:tcPr>
          <w:p w14:paraId="7FD0FBBB" w14:textId="77777777" w:rsidR="001F04FD" w:rsidRPr="006A6281" w:rsidRDefault="001F04FD" w:rsidP="00AC4DEE">
            <w:pPr>
              <w:pStyle w:val="TableBody"/>
            </w:pPr>
            <w:r w:rsidRPr="006A6281">
              <w:t>none</w:t>
            </w:r>
          </w:p>
        </w:tc>
        <w:tc>
          <w:tcPr>
            <w:tcW w:w="6942" w:type="dxa"/>
            <w:gridSpan w:val="2"/>
          </w:tcPr>
          <w:p w14:paraId="0F563524" w14:textId="77777777" w:rsidR="001F04FD" w:rsidRPr="006A6281" w:rsidRDefault="001F04FD" w:rsidP="00AC4DEE">
            <w:pPr>
              <w:pStyle w:val="TableBody"/>
            </w:pPr>
            <w:r w:rsidRPr="006A6281">
              <w:t>A QSE.</w:t>
            </w:r>
          </w:p>
        </w:tc>
      </w:tr>
      <w:tr w:rsidR="001F04FD" w:rsidRPr="006A6281" w14:paraId="4328858F" w14:textId="77777777" w:rsidTr="00573B9E">
        <w:trPr>
          <w:cantSplit/>
        </w:trPr>
        <w:tc>
          <w:tcPr>
            <w:tcW w:w="1975" w:type="dxa"/>
          </w:tcPr>
          <w:p w14:paraId="59DEFC39" w14:textId="77777777" w:rsidR="001F04FD" w:rsidRPr="006A6281" w:rsidRDefault="001F04FD" w:rsidP="00AC4DEE">
            <w:pPr>
              <w:pStyle w:val="TableBody"/>
              <w:rPr>
                <w:i/>
              </w:rPr>
            </w:pPr>
            <w:r w:rsidRPr="006A6281">
              <w:rPr>
                <w:i/>
              </w:rPr>
              <w:t>p</w:t>
            </w:r>
          </w:p>
        </w:tc>
        <w:tc>
          <w:tcPr>
            <w:tcW w:w="900" w:type="dxa"/>
          </w:tcPr>
          <w:p w14:paraId="5A7F0753" w14:textId="77777777" w:rsidR="001F04FD" w:rsidRPr="006A6281" w:rsidRDefault="001F04FD" w:rsidP="00AC4DEE">
            <w:pPr>
              <w:pStyle w:val="TableBody"/>
            </w:pPr>
            <w:r w:rsidRPr="006A6281">
              <w:t>none</w:t>
            </w:r>
          </w:p>
        </w:tc>
        <w:tc>
          <w:tcPr>
            <w:tcW w:w="6942" w:type="dxa"/>
            <w:gridSpan w:val="2"/>
          </w:tcPr>
          <w:p w14:paraId="5648D537" w14:textId="77777777" w:rsidR="001F04FD" w:rsidRPr="006A6281" w:rsidRDefault="001F04FD" w:rsidP="00AC4DEE">
            <w:pPr>
              <w:pStyle w:val="TableBody"/>
            </w:pPr>
            <w:r w:rsidRPr="006A6281">
              <w:t>A Settlement Point.</w:t>
            </w:r>
          </w:p>
        </w:tc>
      </w:tr>
      <w:tr w:rsidR="001F04FD" w:rsidRPr="006A6281" w14:paraId="570A7505" w14:textId="77777777" w:rsidTr="00573B9E">
        <w:trPr>
          <w:cantSplit/>
        </w:trPr>
        <w:tc>
          <w:tcPr>
            <w:tcW w:w="1975" w:type="dxa"/>
          </w:tcPr>
          <w:p w14:paraId="04988BFB" w14:textId="77777777" w:rsidR="001F04FD" w:rsidRPr="006A6281" w:rsidRDefault="001F04FD" w:rsidP="00AC4DEE">
            <w:pPr>
              <w:pStyle w:val="TableBody"/>
              <w:rPr>
                <w:i/>
              </w:rPr>
            </w:pPr>
            <w:r w:rsidRPr="006A6281">
              <w:rPr>
                <w:i/>
              </w:rPr>
              <w:t>r</w:t>
            </w:r>
          </w:p>
        </w:tc>
        <w:tc>
          <w:tcPr>
            <w:tcW w:w="900" w:type="dxa"/>
          </w:tcPr>
          <w:p w14:paraId="6B3EC52B" w14:textId="77777777" w:rsidR="001F04FD" w:rsidRPr="006A6281" w:rsidRDefault="00091181" w:rsidP="00AC4DEE">
            <w:pPr>
              <w:pStyle w:val="TableBody"/>
            </w:pPr>
            <w:r>
              <w:t>n</w:t>
            </w:r>
            <w:r w:rsidR="001F04FD" w:rsidRPr="006A6281">
              <w:t>one</w:t>
            </w:r>
          </w:p>
        </w:tc>
        <w:tc>
          <w:tcPr>
            <w:tcW w:w="6942" w:type="dxa"/>
            <w:gridSpan w:val="2"/>
          </w:tcPr>
          <w:p w14:paraId="621EEA2C" w14:textId="77777777" w:rsidR="001F04FD" w:rsidRPr="006A6281" w:rsidRDefault="001F04FD" w:rsidP="00AC4DEE">
            <w:pPr>
              <w:pStyle w:val="TableBody"/>
            </w:pPr>
            <w:r w:rsidRPr="006A6281">
              <w:t>A Controllable Load Resource.</w:t>
            </w:r>
          </w:p>
        </w:tc>
      </w:tr>
      <w:tr w:rsidR="001F04FD" w:rsidRPr="006A6281" w14:paraId="7A6438DC" w14:textId="77777777" w:rsidTr="00573B9E">
        <w:trPr>
          <w:cantSplit/>
          <w:trHeight w:val="152"/>
        </w:trPr>
        <w:tc>
          <w:tcPr>
            <w:tcW w:w="1975" w:type="dxa"/>
          </w:tcPr>
          <w:p w14:paraId="47383541" w14:textId="77777777" w:rsidR="001F04FD" w:rsidRPr="006A6281" w:rsidDel="00B33B6F" w:rsidRDefault="001F04FD" w:rsidP="00AC4DEE">
            <w:pPr>
              <w:pStyle w:val="TableBody"/>
              <w:rPr>
                <w:i/>
              </w:rPr>
            </w:pPr>
            <w:r w:rsidRPr="006A6281">
              <w:rPr>
                <w:i/>
              </w:rPr>
              <w:t>i</w:t>
            </w:r>
          </w:p>
        </w:tc>
        <w:tc>
          <w:tcPr>
            <w:tcW w:w="900" w:type="dxa"/>
          </w:tcPr>
          <w:p w14:paraId="525FE2CB" w14:textId="77777777" w:rsidR="001F04FD" w:rsidRPr="006A6281" w:rsidDel="00B33B6F" w:rsidRDefault="001F04FD" w:rsidP="00AC4DEE">
            <w:pPr>
              <w:pStyle w:val="TableBody"/>
            </w:pPr>
            <w:r w:rsidRPr="006A6281">
              <w:t>none</w:t>
            </w:r>
          </w:p>
        </w:tc>
        <w:tc>
          <w:tcPr>
            <w:tcW w:w="6942" w:type="dxa"/>
            <w:gridSpan w:val="2"/>
          </w:tcPr>
          <w:p w14:paraId="438C59F7" w14:textId="77777777" w:rsidR="001F04FD" w:rsidRPr="006A6281" w:rsidDel="00B33B6F" w:rsidRDefault="001F04FD" w:rsidP="00AC4DEE">
            <w:pPr>
              <w:pStyle w:val="TableBody"/>
            </w:pPr>
            <w:r w:rsidRPr="006A6281">
              <w:t>A 15-minute Settlement Interval.</w:t>
            </w:r>
          </w:p>
        </w:tc>
      </w:tr>
      <w:tr w:rsidR="001F04FD" w:rsidRPr="006A6281" w14:paraId="3110B48B" w14:textId="77777777" w:rsidTr="00573B9E">
        <w:trPr>
          <w:cantSplit/>
          <w:trHeight w:val="152"/>
        </w:trPr>
        <w:tc>
          <w:tcPr>
            <w:tcW w:w="1975" w:type="dxa"/>
            <w:tcBorders>
              <w:top w:val="single" w:sz="4" w:space="0" w:color="auto"/>
              <w:left w:val="single" w:sz="4" w:space="0" w:color="auto"/>
              <w:bottom w:val="single" w:sz="4" w:space="0" w:color="auto"/>
              <w:right w:val="single" w:sz="4" w:space="0" w:color="auto"/>
            </w:tcBorders>
          </w:tcPr>
          <w:p w14:paraId="71E651D8" w14:textId="77777777" w:rsidR="001F04FD" w:rsidRPr="006A6281" w:rsidRDefault="001F04FD" w:rsidP="00AC4DEE">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2BDECA79" w14:textId="77777777" w:rsidR="001F04FD" w:rsidRPr="006A6281" w:rsidRDefault="001F04FD" w:rsidP="00AC4DEE">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1D0A594E" w14:textId="77777777" w:rsidR="001F04FD" w:rsidRPr="006A6281" w:rsidRDefault="001F04FD" w:rsidP="00AC4DEE">
            <w:pPr>
              <w:pStyle w:val="TableBody"/>
            </w:pPr>
            <w:r w:rsidRPr="006A6281">
              <w:t xml:space="preserve">A five-minute clock interval in the Settlement Interval. </w:t>
            </w:r>
          </w:p>
        </w:tc>
      </w:tr>
    </w:tbl>
    <w:p w14:paraId="6227014A" w14:textId="77777777" w:rsidR="00636003" w:rsidRDefault="00636003"/>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636003" w14:paraId="3F35BD9D"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779EF029" w14:textId="030A674D" w:rsidR="00636003" w:rsidRDefault="00636003" w:rsidP="00AB2BB6">
            <w:pPr>
              <w:pStyle w:val="Instructions"/>
              <w:spacing w:before="120"/>
            </w:pPr>
            <w:bookmarkStart w:id="2159" w:name="_Toc397505023"/>
            <w:bookmarkStart w:id="2160" w:name="_Toc402357155"/>
            <w:bookmarkStart w:id="2161" w:name="_Toc422486535"/>
            <w:bookmarkStart w:id="2162" w:name="_Toc433093388"/>
            <w:bookmarkStart w:id="2163" w:name="_Toc433093546"/>
            <w:bookmarkStart w:id="2164" w:name="_Toc440874776"/>
            <w:bookmarkStart w:id="2165" w:name="_Toc448142333"/>
            <w:bookmarkStart w:id="2166" w:name="_Toc448142490"/>
            <w:bookmarkStart w:id="2167" w:name="_Toc458770331"/>
            <w:bookmarkStart w:id="2168" w:name="_Toc459294299"/>
            <w:bookmarkStart w:id="2169" w:name="_Toc463262792"/>
            <w:bookmarkStart w:id="2170" w:name="_Toc468286865"/>
            <w:bookmarkStart w:id="2171" w:name="_Toc481502905"/>
            <w:bookmarkStart w:id="2172" w:name="_Toc496080073"/>
            <w:r>
              <w:t>[NPRR963</w:t>
            </w:r>
            <w:r w:rsidR="00F64D00">
              <w:t xml:space="preserve">, </w:t>
            </w:r>
            <w:r w:rsidR="00647F76">
              <w:t>NPRR1010</w:t>
            </w:r>
            <w:r w:rsidR="00F64D00">
              <w:t>, and NPRR1014</w:t>
            </w:r>
            <w:r>
              <w:t xml:space="preserve">:  Replace </w:t>
            </w:r>
            <w:r w:rsidR="0018785B">
              <w:t xml:space="preserve">applicable portions of </w:t>
            </w:r>
            <w:r>
              <w:t>Section 6.6.5.1.1.4 above with the following upon system implementation</w:t>
            </w:r>
            <w:r w:rsidR="00647F76">
              <w:t xml:space="preserve"> for NPRR963</w:t>
            </w:r>
            <w:r w:rsidR="00F64D00">
              <w:t xml:space="preserve"> or NPRR1014</w:t>
            </w:r>
            <w:r w:rsidR="00647F76">
              <w:t>; or upon system implementation of the Real-Time Co-Optimization (RTC) project for NPRR1010</w:t>
            </w:r>
            <w:r>
              <w:t>:]</w:t>
            </w:r>
          </w:p>
          <w:p w14:paraId="1E76DD58" w14:textId="6D51DA1C" w:rsidR="00573B9E" w:rsidRPr="002600B6" w:rsidRDefault="00573B9E" w:rsidP="00A2294D">
            <w:pPr>
              <w:pStyle w:val="H4"/>
              <w:tabs>
                <w:tab w:val="clear" w:pos="1260"/>
                <w:tab w:val="left" w:pos="1620"/>
              </w:tabs>
              <w:ind w:left="1627" w:hanging="1627"/>
              <w:outlineLvl w:val="4"/>
            </w:pPr>
            <w:bookmarkStart w:id="2173" w:name="_Toc60040697"/>
            <w:bookmarkStart w:id="2174" w:name="_Toc65151756"/>
            <w:bookmarkStart w:id="2175" w:name="_Toc80174782"/>
            <w:bookmarkStart w:id="2176" w:name="_Toc112417662"/>
            <w:bookmarkStart w:id="2177" w:name="_Toc119310331"/>
            <w:bookmarkStart w:id="2178" w:name="_Toc125966264"/>
            <w:bookmarkStart w:id="2179" w:name="_Toc135992362"/>
            <w:bookmarkStart w:id="2180" w:name="_Toc170303558"/>
            <w:bookmarkStart w:id="2181" w:name="_Toc175157462"/>
            <w:bookmarkStart w:id="2182" w:name="_Toc204411691"/>
            <w:r w:rsidRPr="002600B6">
              <w:t>6.6.5.</w:t>
            </w:r>
            <w:r>
              <w:t>3.</w:t>
            </w:r>
            <w:r w:rsidRPr="002600B6">
              <w:t>1</w:t>
            </w:r>
            <w:r w:rsidRPr="002600B6">
              <w:tab/>
              <w:t xml:space="preserve">Controllable Load Resource </w:t>
            </w:r>
            <w:r w:rsidR="00D35483">
              <w:t>Set</w:t>
            </w:r>
            <w:r w:rsidRPr="002600B6">
              <w:t xml:space="preserve"> Point Deviation Charge for Under Consumption</w:t>
            </w:r>
            <w:bookmarkEnd w:id="2173"/>
            <w:bookmarkEnd w:id="2174"/>
            <w:bookmarkEnd w:id="2175"/>
            <w:bookmarkEnd w:id="2176"/>
            <w:bookmarkEnd w:id="2177"/>
            <w:bookmarkEnd w:id="2178"/>
            <w:bookmarkEnd w:id="2179"/>
            <w:bookmarkEnd w:id="2180"/>
            <w:bookmarkEnd w:id="2181"/>
            <w:bookmarkEnd w:id="2182"/>
          </w:p>
          <w:p w14:paraId="51163FA0" w14:textId="65531BC3" w:rsidR="00573B9E" w:rsidRPr="006A6281" w:rsidRDefault="00573B9E" w:rsidP="00573B9E">
            <w:pPr>
              <w:pStyle w:val="BodyTextNumbered"/>
            </w:pPr>
            <w:r w:rsidRPr="006A6281">
              <w:t>(1)</w:t>
            </w:r>
            <w:r w:rsidRPr="006A6281">
              <w:tab/>
              <w:t>ERCOT shall charge a QSE for a Controllable Load Resource</w:t>
            </w:r>
            <w:r>
              <w:t xml:space="preserve">, </w:t>
            </w:r>
            <w:r w:rsidRPr="006A6281">
              <w:t xml:space="preserve">for under-consumption if the average telemetered power consumption is below than the lesser of: </w:t>
            </w:r>
          </w:p>
          <w:p w14:paraId="5D93C1FA" w14:textId="46B21D3A" w:rsidR="00573B9E" w:rsidRPr="006A6281" w:rsidRDefault="00573B9E" w:rsidP="00573B9E">
            <w:pPr>
              <w:pStyle w:val="List"/>
            </w:pPr>
            <w:r w:rsidRPr="006A6281">
              <w:t>(a)</w:t>
            </w:r>
            <w:r w:rsidRPr="006A6281">
              <w:tab/>
              <w:t xml:space="preserve">[100-XU]% of the </w:t>
            </w:r>
            <w:r w:rsidR="00D35483">
              <w:t>AASP</w:t>
            </w:r>
            <w:r w:rsidRPr="006A6281">
              <w:t xml:space="preserve"> in the Settlement Interval; or</w:t>
            </w:r>
          </w:p>
          <w:p w14:paraId="08858065" w14:textId="4972DB4C" w:rsidR="00573B9E" w:rsidRPr="006A6281" w:rsidRDefault="00573B9E" w:rsidP="00573B9E">
            <w:pPr>
              <w:pStyle w:val="List"/>
            </w:pPr>
            <w:r w:rsidRPr="006A6281">
              <w:lastRenderedPageBreak/>
              <w:t>(b)</w:t>
            </w:r>
            <w:r w:rsidRPr="006A6281">
              <w:tab/>
              <w:t xml:space="preserve">The </w:t>
            </w:r>
            <w:r w:rsidR="00D35483">
              <w:t>AASP</w:t>
            </w:r>
            <w:r w:rsidRPr="006A6281">
              <w:t xml:space="preserve"> in the Settlement Interval minus YU MW.</w:t>
            </w:r>
          </w:p>
          <w:p w14:paraId="049B5DBD" w14:textId="69BA13B8" w:rsidR="00573B9E" w:rsidRPr="006A6281" w:rsidRDefault="00573B9E" w:rsidP="00573B9E">
            <w:pPr>
              <w:pStyle w:val="BodyTextNumbered"/>
              <w:rPr>
                <w:iCs/>
              </w:rPr>
            </w:pPr>
            <w:r w:rsidRPr="006A6281">
              <w:rPr>
                <w:iCs/>
              </w:rPr>
              <w:t>(2)</w:t>
            </w:r>
            <w:r w:rsidRPr="006A6281">
              <w:rPr>
                <w:iCs/>
              </w:rPr>
              <w:tab/>
            </w:r>
            <w:r w:rsidRPr="006A6281">
              <w:t xml:space="preserve">The Controllable Load Resource </w:t>
            </w:r>
            <w:r w:rsidR="00D35483">
              <w:t>Set</w:t>
            </w:r>
            <w:r w:rsidRPr="006A6281">
              <w:t xml:space="preserve"> Point Deviation Charge for under-consumption variables XU and YU shall be subject to review and approval by TAC and shall be posted to the </w:t>
            </w:r>
            <w:r w:rsidR="0007207E">
              <w:t>ERCOT website</w:t>
            </w:r>
            <w:r w:rsidRPr="006A6281">
              <w:t xml:space="preserve"> no later than three Business Days after TAC approval.</w:t>
            </w:r>
          </w:p>
          <w:p w14:paraId="5767D43B" w14:textId="3B6DD394" w:rsidR="00573B9E" w:rsidRPr="006A6281" w:rsidRDefault="00573B9E" w:rsidP="00573B9E">
            <w:pPr>
              <w:pStyle w:val="BodyTextNumbered"/>
              <w:rPr>
                <w:iCs/>
              </w:rPr>
            </w:pPr>
            <w:r w:rsidRPr="006A6281">
              <w:rPr>
                <w:iCs/>
              </w:rPr>
              <w:t>(3)</w:t>
            </w:r>
            <w:r w:rsidRPr="006A6281">
              <w:rPr>
                <w:iCs/>
              </w:rPr>
              <w:tab/>
              <w:t xml:space="preserve">The charge to each QSE for non-excused under-consumption of each </w:t>
            </w:r>
            <w:r w:rsidRPr="006A6281">
              <w:t>Controllable</w:t>
            </w:r>
            <w:r w:rsidRPr="006A6281">
              <w:rPr>
                <w:iCs/>
              </w:rPr>
              <w:t xml:space="preserve"> Load Resource</w:t>
            </w:r>
            <w:r>
              <w:t xml:space="preserve">, </w:t>
            </w:r>
            <w:r w:rsidRPr="006A6281">
              <w:rPr>
                <w:iCs/>
              </w:rPr>
              <w:t>during a 15-minute Settlement Interval is calculated as follows:</w:t>
            </w:r>
          </w:p>
          <w:p w14:paraId="4545BA98" w14:textId="7F5A97BF" w:rsidR="00573B9E" w:rsidRPr="006A6281" w:rsidRDefault="00573B9E" w:rsidP="00573B9E">
            <w:pPr>
              <w:pStyle w:val="FormulaBold"/>
              <w:tabs>
                <w:tab w:val="left" w:pos="720"/>
              </w:tabs>
              <w:ind w:left="2880" w:hanging="2880"/>
              <w:rPr>
                <w:lang w:val="pt-BR"/>
              </w:rPr>
            </w:pPr>
            <w:r w:rsidRPr="006A6281">
              <w:rPr>
                <w:lang w:val="pt-BR"/>
              </w:rPr>
              <w:tab/>
            </w:r>
            <w:r w:rsidR="00D35483">
              <w:rPr>
                <w:lang w:val="pt-BR"/>
              </w:rPr>
              <w:t>S</w:t>
            </w:r>
            <w:r w:rsidRPr="006A6281">
              <w:rPr>
                <w:lang w:val="pt-BR"/>
              </w:rPr>
              <w:t>PDAMT</w:t>
            </w:r>
            <w:r w:rsidRPr="006A6281">
              <w:rPr>
                <w:i/>
                <w:vertAlign w:val="subscript"/>
                <w:lang w:val="pt-BR"/>
              </w:rPr>
              <w:t xml:space="preserve"> q, r, p, i</w:t>
            </w:r>
            <w:r w:rsidRPr="006A6281">
              <w:rPr>
                <w:lang w:val="pt-BR"/>
              </w:rPr>
              <w:t xml:space="preserve"> =</w:t>
            </w:r>
            <w:r w:rsidRPr="006A6281">
              <w:rPr>
                <w:lang w:val="pt-BR"/>
              </w:rPr>
              <w:tab/>
            </w:r>
            <w:r w:rsidRPr="006A6281">
              <w:t xml:space="preserve">Max (PRZ2, RTSPP </w:t>
            </w:r>
            <w:r w:rsidRPr="006A6281">
              <w:rPr>
                <w:i/>
                <w:vertAlign w:val="subscript"/>
              </w:rPr>
              <w:t>p, i</w:t>
            </w:r>
            <w:r w:rsidRPr="006A6281">
              <w:t>) * UCONSM</w:t>
            </w:r>
            <w:r w:rsidRPr="006A6281">
              <w:rPr>
                <w:sz w:val="18"/>
                <w:szCs w:val="18"/>
                <w:vertAlign w:val="subscript"/>
              </w:rPr>
              <w:t xml:space="preserve"> </w:t>
            </w:r>
            <w:r w:rsidRPr="006A6281">
              <w:rPr>
                <w:i/>
                <w:vertAlign w:val="subscript"/>
              </w:rPr>
              <w:t>q, r, p, i</w:t>
            </w:r>
          </w:p>
          <w:p w14:paraId="1F1426EC" w14:textId="77777777" w:rsidR="00573B9E" w:rsidRPr="006A6281" w:rsidRDefault="00573B9E" w:rsidP="00573B9E">
            <w:pPr>
              <w:pStyle w:val="FormulaBold"/>
              <w:rPr>
                <w:b w:val="0"/>
              </w:rPr>
            </w:pPr>
            <w:r w:rsidRPr="006A6281">
              <w:rPr>
                <w:b w:val="0"/>
              </w:rPr>
              <w:t>Where:</w:t>
            </w:r>
          </w:p>
          <w:p w14:paraId="6325ED12" w14:textId="47230A96" w:rsidR="00573B9E" w:rsidRPr="002600B6" w:rsidRDefault="00573B9E" w:rsidP="00573B9E">
            <w:pPr>
              <w:pStyle w:val="BodyTextNumbered"/>
              <w:ind w:firstLine="0"/>
              <w:rPr>
                <w:iCs/>
              </w:rPr>
            </w:pPr>
            <w:r w:rsidRPr="002600B6">
              <w:t>UCONSM</w:t>
            </w:r>
            <w:r w:rsidRPr="002600B6">
              <w:rPr>
                <w:i/>
                <w:iCs/>
                <w:vertAlign w:val="subscript"/>
                <w:lang w:val="es-ES"/>
              </w:rPr>
              <w:t xml:space="preserve"> q, r, p, i  </w:t>
            </w:r>
            <w:r w:rsidRPr="002600B6">
              <w:t xml:space="preserve"> = </w:t>
            </w:r>
            <w:r w:rsidRPr="002600B6">
              <w:rPr>
                <w:iCs/>
              </w:rPr>
              <w:t>Max [0, [Min ((1 – KLR2) * ¼* AA</w:t>
            </w:r>
            <w:r w:rsidR="00D35483">
              <w:rPr>
                <w:iCs/>
              </w:rPr>
              <w:t>S</w:t>
            </w:r>
            <w:r w:rsidRPr="002600B6">
              <w:rPr>
                <w:iCs/>
              </w:rPr>
              <w:t>P</w:t>
            </w:r>
            <w:r w:rsidRPr="002600B6">
              <w:rPr>
                <w:i/>
                <w:iCs/>
                <w:vertAlign w:val="subscript"/>
                <w:lang w:val="es-ES"/>
              </w:rPr>
              <w:t xml:space="preserve"> q, r, p, i </w:t>
            </w:r>
            <w:r w:rsidRPr="002600B6">
              <w:rPr>
                <w:iCs/>
              </w:rPr>
              <w:t>,</w:t>
            </w:r>
            <w:r w:rsidRPr="002600B6">
              <w:rPr>
                <w:i/>
                <w:iCs/>
                <w:vertAlign w:val="subscript"/>
                <w:lang w:val="es-ES"/>
              </w:rPr>
              <w:t xml:space="preserve"> </w:t>
            </w:r>
            <w:r w:rsidRPr="002600B6">
              <w:rPr>
                <w:iCs/>
                <w:lang w:val="es-MX"/>
              </w:rPr>
              <w:t>¼ * (AA</w:t>
            </w:r>
            <w:r w:rsidR="00D35483">
              <w:rPr>
                <w:iCs/>
                <w:lang w:val="es-MX"/>
              </w:rPr>
              <w:t>S</w:t>
            </w:r>
            <w:r w:rsidRPr="002600B6">
              <w:rPr>
                <w:iCs/>
                <w:lang w:val="es-MX"/>
              </w:rPr>
              <w:t>P</w:t>
            </w:r>
            <w:r w:rsidRPr="002600B6">
              <w:rPr>
                <w:i/>
                <w:vertAlign w:val="subscript"/>
                <w:lang w:val="es-ES"/>
              </w:rPr>
              <w:t xml:space="preserve"> q, r, p, i</w:t>
            </w:r>
            <w:r w:rsidRPr="002600B6">
              <w:rPr>
                <w:iCs/>
              </w:rPr>
              <w:t xml:space="preserve"> – QLR2)</w:t>
            </w:r>
            <w:r>
              <w:rPr>
                <w:iCs/>
              </w:rPr>
              <w:t>)</w:t>
            </w:r>
            <w:r w:rsidRPr="002600B6">
              <w:rPr>
                <w:iCs/>
              </w:rPr>
              <w:t xml:space="preserve"> – ATPC</w:t>
            </w:r>
            <w:r>
              <w:rPr>
                <w:iCs/>
              </w:rPr>
              <w:t xml:space="preserve"> </w:t>
            </w:r>
            <w:r w:rsidRPr="002600B6">
              <w:rPr>
                <w:i/>
                <w:vertAlign w:val="subscript"/>
                <w:lang w:val="es-ES"/>
              </w:rPr>
              <w:t>q, r, p, i</w:t>
            </w:r>
            <w:r w:rsidRPr="002600B6">
              <w:rPr>
                <w:iCs/>
              </w:rPr>
              <w:t>]]</w:t>
            </w:r>
          </w:p>
          <w:p w14:paraId="4104B45D" w14:textId="77777777" w:rsidR="00573B9E" w:rsidRPr="002600B6" w:rsidRDefault="00573B9E" w:rsidP="00573B9E">
            <w:pPr>
              <w:pStyle w:val="BodyTextNumbered"/>
              <w:ind w:left="1440"/>
            </w:pPr>
            <w:r w:rsidRPr="002600B6">
              <w:rPr>
                <w:iCs/>
              </w:rPr>
              <w:t>ATPC</w:t>
            </w:r>
            <w:r w:rsidRPr="002600B6">
              <w:rPr>
                <w:i/>
                <w:vertAlign w:val="subscript"/>
              </w:rPr>
              <w:t xml:space="preserve"> q, r, p, i</w:t>
            </w:r>
            <w:r w:rsidRPr="002600B6">
              <w:rPr>
                <w:i/>
                <w:vertAlign w:val="subscript"/>
              </w:rPr>
              <w:tab/>
              <w:t xml:space="preserve">=      </w:t>
            </w:r>
            <w:r w:rsidRPr="002600B6">
              <w:t xml:space="preserve"> (</w:t>
            </w:r>
            <w:r w:rsidRPr="00A33C4E">
              <w:rPr>
                <w:position w:val="-22"/>
              </w:rPr>
              <w:object w:dxaOrig="210" w:dyaOrig="450" w14:anchorId="7FC75E3A">
                <v:shape id="_x0000_i1191" type="#_x0000_t75" style="width:5.4pt;height:24.6pt" o:ole="">
                  <v:imagedata r:id="rId209" o:title=""/>
                </v:shape>
                <o:OLEObject Type="Embed" ProgID="Equation.3" ShapeID="_x0000_i1191" DrawAspect="Content" ObjectID="_1815025381" r:id="rId223"/>
              </w:object>
            </w:r>
            <w:r w:rsidRPr="002600B6">
              <w:t xml:space="preserve"> (AVGTPC5M</w:t>
            </w:r>
            <w:r w:rsidRPr="002600B6">
              <w:rPr>
                <w:i/>
                <w:vertAlign w:val="subscript"/>
              </w:rPr>
              <w:t xml:space="preserve"> q, r, p</w:t>
            </w:r>
            <w:r>
              <w:rPr>
                <w:i/>
                <w:vertAlign w:val="subscript"/>
              </w:rPr>
              <w:t>,</w:t>
            </w:r>
            <w:r w:rsidRPr="002600B6">
              <w:rPr>
                <w:i/>
                <w:iCs/>
                <w:vertAlign w:val="subscript"/>
                <w:lang w:val="es-ES"/>
              </w:rPr>
              <w:t xml:space="preserve"> i,</w:t>
            </w:r>
            <w:r>
              <w:rPr>
                <w:i/>
                <w:iCs/>
                <w:vertAlign w:val="subscript"/>
                <w:lang w:val="es-ES"/>
              </w:rPr>
              <w:t xml:space="preserve"> </w:t>
            </w:r>
            <w:r w:rsidRPr="002600B6">
              <w:rPr>
                <w:i/>
                <w:vertAlign w:val="subscript"/>
              </w:rPr>
              <w:t>y</w:t>
            </w:r>
            <w:r w:rsidRPr="002600B6">
              <w:t>) / 3) * ¼</w:t>
            </w:r>
          </w:p>
          <w:p w14:paraId="6C88320B" w14:textId="77777777" w:rsidR="00573B9E" w:rsidRPr="006A6281" w:rsidRDefault="00573B9E" w:rsidP="00573B9E">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22690" w:rsidRPr="006A6281" w14:paraId="681D19CA" w14:textId="77777777" w:rsidTr="001B737D">
              <w:tc>
                <w:tcPr>
                  <w:tcW w:w="1975" w:type="dxa"/>
                </w:tcPr>
                <w:p w14:paraId="1970AFB9" w14:textId="77777777" w:rsidR="00C22690" w:rsidRPr="006A6281" w:rsidRDefault="00C22690" w:rsidP="00C22690">
                  <w:pPr>
                    <w:pStyle w:val="TableHead"/>
                  </w:pPr>
                  <w:r w:rsidRPr="006A6281">
                    <w:t>Variable</w:t>
                  </w:r>
                </w:p>
              </w:tc>
              <w:tc>
                <w:tcPr>
                  <w:tcW w:w="900" w:type="dxa"/>
                </w:tcPr>
                <w:p w14:paraId="13121A10" w14:textId="77777777" w:rsidR="00C22690" w:rsidRPr="006A6281" w:rsidRDefault="00C22690" w:rsidP="00C22690">
                  <w:pPr>
                    <w:pStyle w:val="TableHead"/>
                  </w:pPr>
                  <w:r w:rsidRPr="006A6281">
                    <w:t>Unit</w:t>
                  </w:r>
                </w:p>
              </w:tc>
              <w:tc>
                <w:tcPr>
                  <w:tcW w:w="6942" w:type="dxa"/>
                  <w:gridSpan w:val="2"/>
                </w:tcPr>
                <w:p w14:paraId="387E80B9" w14:textId="77777777" w:rsidR="00C22690" w:rsidRPr="006A6281" w:rsidRDefault="00C22690" w:rsidP="00C22690">
                  <w:pPr>
                    <w:pStyle w:val="TableHead"/>
                  </w:pPr>
                  <w:r w:rsidRPr="006A6281">
                    <w:t>Definition</w:t>
                  </w:r>
                </w:p>
              </w:tc>
            </w:tr>
            <w:tr w:rsidR="00C22690" w:rsidRPr="006A6281" w14:paraId="2EC666B5" w14:textId="77777777" w:rsidTr="001B737D">
              <w:trPr>
                <w:cantSplit/>
              </w:trPr>
              <w:tc>
                <w:tcPr>
                  <w:tcW w:w="1975" w:type="dxa"/>
                </w:tcPr>
                <w:p w14:paraId="3F733964" w14:textId="265A0851" w:rsidR="00C22690" w:rsidRPr="006A6281" w:rsidRDefault="00D35483" w:rsidP="00C22690">
                  <w:pPr>
                    <w:pStyle w:val="TableBody"/>
                  </w:pPr>
                  <w:r>
                    <w:t>S</w:t>
                  </w:r>
                  <w:r w:rsidR="00C22690" w:rsidRPr="006A6281">
                    <w:t xml:space="preserve">PDAMT </w:t>
                  </w:r>
                  <w:r w:rsidR="00C22690" w:rsidRPr="00107CC2">
                    <w:rPr>
                      <w:i/>
                      <w:vertAlign w:val="subscript"/>
                    </w:rPr>
                    <w:t>q, r, p, i</w:t>
                  </w:r>
                </w:p>
              </w:tc>
              <w:tc>
                <w:tcPr>
                  <w:tcW w:w="900" w:type="dxa"/>
                </w:tcPr>
                <w:p w14:paraId="426D9775" w14:textId="77777777" w:rsidR="00C22690" w:rsidRPr="006A6281" w:rsidRDefault="00C22690" w:rsidP="00C22690">
                  <w:pPr>
                    <w:pStyle w:val="TableBody"/>
                  </w:pPr>
                  <w:r w:rsidRPr="006A6281">
                    <w:t>$</w:t>
                  </w:r>
                </w:p>
              </w:tc>
              <w:tc>
                <w:tcPr>
                  <w:tcW w:w="6942" w:type="dxa"/>
                  <w:gridSpan w:val="2"/>
                </w:tcPr>
                <w:p w14:paraId="01582D16" w14:textId="31C1FC5F" w:rsidR="00C22690" w:rsidRPr="006A6281" w:rsidRDefault="00D35483" w:rsidP="00D35483">
                  <w:pPr>
                    <w:pStyle w:val="TableBody"/>
                  </w:pPr>
                  <w:r>
                    <w:rPr>
                      <w:i/>
                    </w:rPr>
                    <w:t>Set</w:t>
                  </w:r>
                  <w:r w:rsidR="00C22690" w:rsidRPr="006A6281">
                    <w:rPr>
                      <w:i/>
                    </w:rPr>
                    <w:t xml:space="preserve"> Point Deviation Charge per QSE per Settlement Point per Resource</w:t>
                  </w:r>
                  <w:r w:rsidR="00C22690" w:rsidRPr="006A6281">
                    <w:t xml:space="preserve">—The charge to QSE </w:t>
                  </w:r>
                  <w:r w:rsidR="00C22690" w:rsidRPr="006A6281">
                    <w:rPr>
                      <w:i/>
                    </w:rPr>
                    <w:t>q</w:t>
                  </w:r>
                  <w:r w:rsidR="00C22690" w:rsidRPr="006A6281">
                    <w:t xml:space="preserve"> for Controllable Load Resource </w:t>
                  </w:r>
                  <w:r w:rsidR="00C22690" w:rsidRPr="006A6281">
                    <w:rPr>
                      <w:i/>
                    </w:rPr>
                    <w:t>r</w:t>
                  </w:r>
                  <w:r w:rsidR="00C22690" w:rsidRPr="006A6281">
                    <w:t xml:space="preserve"> at Settlement Point </w:t>
                  </w:r>
                  <w:r w:rsidR="00C22690" w:rsidRPr="006A6281">
                    <w:rPr>
                      <w:i/>
                    </w:rPr>
                    <w:t>p</w:t>
                  </w:r>
                  <w:r w:rsidR="00C22690" w:rsidRPr="006A6281">
                    <w:t xml:space="preserve">, for its deviation from </w:t>
                  </w:r>
                  <w:r w:rsidR="0018785B">
                    <w:t>AASP</w:t>
                  </w:r>
                  <w:r w:rsidR="00C22690" w:rsidRPr="006A6281">
                    <w:t xml:space="preserve">, for the 15-minute Settlement Interval </w:t>
                  </w:r>
                  <w:r w:rsidR="00C22690" w:rsidRPr="006A6281">
                    <w:rPr>
                      <w:i/>
                    </w:rPr>
                    <w:t>i</w:t>
                  </w:r>
                  <w:r w:rsidR="00C22690" w:rsidRPr="006A6281">
                    <w:t>.</w:t>
                  </w:r>
                </w:p>
              </w:tc>
            </w:tr>
            <w:tr w:rsidR="00C22690" w:rsidRPr="006A6281" w14:paraId="337326FE" w14:textId="77777777" w:rsidTr="001B737D">
              <w:trPr>
                <w:cantSplit/>
              </w:trPr>
              <w:tc>
                <w:tcPr>
                  <w:tcW w:w="1975" w:type="dxa"/>
                </w:tcPr>
                <w:p w14:paraId="0C5EECB3" w14:textId="77777777" w:rsidR="00C22690" w:rsidRPr="006A6281" w:rsidRDefault="00C22690" w:rsidP="00C22690">
                  <w:pPr>
                    <w:pStyle w:val="TableBody"/>
                  </w:pPr>
                  <w:r w:rsidRPr="006A6281">
                    <w:t xml:space="preserve">RTSPP </w:t>
                  </w:r>
                  <w:r w:rsidRPr="00107CC2">
                    <w:rPr>
                      <w:i/>
                      <w:vertAlign w:val="subscript"/>
                    </w:rPr>
                    <w:t>p, i</w:t>
                  </w:r>
                </w:p>
              </w:tc>
              <w:tc>
                <w:tcPr>
                  <w:tcW w:w="900" w:type="dxa"/>
                </w:tcPr>
                <w:p w14:paraId="30AB3DD2" w14:textId="77777777" w:rsidR="00C22690" w:rsidRPr="006A6281" w:rsidRDefault="00C22690" w:rsidP="00C22690">
                  <w:pPr>
                    <w:pStyle w:val="TableBody"/>
                  </w:pPr>
                  <w:r w:rsidRPr="006A6281">
                    <w:t>$/MWh</w:t>
                  </w:r>
                </w:p>
              </w:tc>
              <w:tc>
                <w:tcPr>
                  <w:tcW w:w="6942" w:type="dxa"/>
                  <w:gridSpan w:val="2"/>
                </w:tcPr>
                <w:p w14:paraId="346F789E" w14:textId="77777777" w:rsidR="00C22690" w:rsidRPr="006A6281" w:rsidRDefault="00C22690" w:rsidP="00C22690">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C22690" w:rsidRPr="006A6281" w14:paraId="5F0ADD20" w14:textId="77777777" w:rsidTr="001B737D">
              <w:trPr>
                <w:gridAfter w:val="1"/>
                <w:wAfter w:w="12" w:type="dxa"/>
                <w:cantSplit/>
              </w:trPr>
              <w:tc>
                <w:tcPr>
                  <w:tcW w:w="1975" w:type="dxa"/>
                </w:tcPr>
                <w:p w14:paraId="63ABBB72" w14:textId="77777777" w:rsidR="00C22690" w:rsidRPr="006A6281" w:rsidRDefault="00C22690" w:rsidP="00C22690">
                  <w:pPr>
                    <w:pStyle w:val="TableBody"/>
                  </w:pPr>
                  <w:r w:rsidRPr="006A6281">
                    <w:t xml:space="preserve">ATPC </w:t>
                  </w:r>
                  <w:r w:rsidRPr="00107CC2">
                    <w:rPr>
                      <w:i/>
                      <w:vertAlign w:val="subscript"/>
                    </w:rPr>
                    <w:t>q, r, p, i</w:t>
                  </w:r>
                </w:p>
              </w:tc>
              <w:tc>
                <w:tcPr>
                  <w:tcW w:w="900" w:type="dxa"/>
                </w:tcPr>
                <w:p w14:paraId="4E42EC74" w14:textId="77777777" w:rsidR="00C22690" w:rsidRPr="006A6281" w:rsidRDefault="00C22690" w:rsidP="00C22690">
                  <w:pPr>
                    <w:pStyle w:val="TableBody"/>
                  </w:pPr>
                  <w:r w:rsidRPr="006A6281">
                    <w:t>MWh</w:t>
                  </w:r>
                </w:p>
              </w:tc>
              <w:tc>
                <w:tcPr>
                  <w:tcW w:w="6930" w:type="dxa"/>
                </w:tcPr>
                <w:p w14:paraId="7875ECD0" w14:textId="77777777" w:rsidR="00C22690" w:rsidRPr="006A6281" w:rsidRDefault="00C22690" w:rsidP="00C22690">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C22690" w:rsidRPr="006A6281" w14:paraId="2C103B85" w14:textId="77777777" w:rsidTr="001B737D">
              <w:trPr>
                <w:gridAfter w:val="1"/>
                <w:wAfter w:w="12" w:type="dxa"/>
                <w:cantSplit/>
              </w:trPr>
              <w:tc>
                <w:tcPr>
                  <w:tcW w:w="1975" w:type="dxa"/>
                </w:tcPr>
                <w:p w14:paraId="3ED1EE51" w14:textId="45CC85A7" w:rsidR="00C22690" w:rsidRPr="006A6281" w:rsidRDefault="00C22690" w:rsidP="00F64D00">
                  <w:pPr>
                    <w:pStyle w:val="TableBody"/>
                  </w:pPr>
                  <w:r w:rsidRPr="006A6281">
                    <w:t>AA</w:t>
                  </w:r>
                  <w:r w:rsidR="00D35483">
                    <w:t>S</w:t>
                  </w:r>
                  <w:r w:rsidRPr="006A6281">
                    <w:t xml:space="preserve">P </w:t>
                  </w:r>
                  <w:r w:rsidRPr="00107CC2">
                    <w:rPr>
                      <w:i/>
                      <w:vertAlign w:val="subscript"/>
                    </w:rPr>
                    <w:t>q, r, p, i</w:t>
                  </w:r>
                </w:p>
              </w:tc>
              <w:tc>
                <w:tcPr>
                  <w:tcW w:w="900" w:type="dxa"/>
                </w:tcPr>
                <w:p w14:paraId="16B05D2A" w14:textId="77777777" w:rsidR="00C22690" w:rsidRPr="006A6281" w:rsidRDefault="00C22690" w:rsidP="00C22690">
                  <w:pPr>
                    <w:pStyle w:val="TableBody"/>
                  </w:pPr>
                  <w:r w:rsidRPr="006A6281">
                    <w:t>MW</w:t>
                  </w:r>
                </w:p>
              </w:tc>
              <w:tc>
                <w:tcPr>
                  <w:tcW w:w="6930" w:type="dxa"/>
                </w:tcPr>
                <w:p w14:paraId="06F2CF88" w14:textId="29D77D88" w:rsidR="00C22690" w:rsidRPr="006A6281" w:rsidRDefault="00D35483" w:rsidP="00F64D00">
                  <w:pPr>
                    <w:pStyle w:val="TableBody"/>
                    <w:rPr>
                      <w:i/>
                    </w:rPr>
                  </w:pPr>
                  <w:r>
                    <w:rPr>
                      <w:i/>
                    </w:rPr>
                    <w:t>Average</w:t>
                  </w:r>
                  <w:r w:rsidR="00C22690" w:rsidRPr="006A6281">
                    <w:rPr>
                      <w:i/>
                    </w:rPr>
                    <w:t xml:space="preserve"> Aggregated </w:t>
                  </w:r>
                  <w:r>
                    <w:rPr>
                      <w:i/>
                    </w:rPr>
                    <w:t>Set</w:t>
                  </w:r>
                  <w:r w:rsidR="00C22690" w:rsidRPr="006A6281">
                    <w:rPr>
                      <w:i/>
                    </w:rPr>
                    <w:t xml:space="preserve"> Point </w:t>
                  </w:r>
                  <w:r w:rsidR="00C22690">
                    <w:rPr>
                      <w:i/>
                    </w:rPr>
                    <w:t xml:space="preserve">for the Resource </w:t>
                  </w:r>
                  <w:r w:rsidR="00C22690" w:rsidRPr="006A6281">
                    <w:rPr>
                      <w:i/>
                    </w:rPr>
                    <w:t>per QSE per Settlement Point per Resource</w:t>
                  </w:r>
                  <w:r w:rsidR="00C22690" w:rsidRPr="006A6281">
                    <w:t xml:space="preserve">—The </w:t>
                  </w:r>
                  <w:r>
                    <w:rPr>
                      <w:iCs w:val="0"/>
                    </w:rPr>
                    <w:t>average of the Average Five Minute Clock Interval Set Point (AVGSP5M)</w:t>
                  </w:r>
                  <w:r w:rsidR="00C22690" w:rsidRPr="006A6281">
                    <w:t xml:space="preserve"> of Resource </w:t>
                  </w:r>
                  <w:r w:rsidR="00C22690" w:rsidRPr="006A6281">
                    <w:rPr>
                      <w:i/>
                    </w:rPr>
                    <w:t>r</w:t>
                  </w:r>
                  <w:r w:rsidR="00C22690" w:rsidRPr="006A6281">
                    <w:t xml:space="preserve"> represented by QSE </w:t>
                  </w:r>
                  <w:r w:rsidR="00C22690" w:rsidRPr="006A6281">
                    <w:rPr>
                      <w:i/>
                    </w:rPr>
                    <w:t xml:space="preserve">q </w:t>
                  </w:r>
                  <w:r w:rsidR="00C22690" w:rsidRPr="006A6281">
                    <w:t xml:space="preserve">at Settlement Point </w:t>
                  </w:r>
                  <w:r w:rsidR="00C22690" w:rsidRPr="006A6281">
                    <w:rPr>
                      <w:i/>
                    </w:rPr>
                    <w:t>p</w:t>
                  </w:r>
                  <w:r w:rsidR="00C22690" w:rsidRPr="006A6281">
                    <w:t xml:space="preserve">, for the 15-minute Settlement Interval </w:t>
                  </w:r>
                  <w:r w:rsidR="00C22690" w:rsidRPr="006A6281">
                    <w:rPr>
                      <w:i/>
                    </w:rPr>
                    <w:t>i</w:t>
                  </w:r>
                  <w:r w:rsidR="00C22690" w:rsidRPr="006A6281">
                    <w:t xml:space="preserve">.  </w:t>
                  </w:r>
                </w:p>
              </w:tc>
            </w:tr>
            <w:tr w:rsidR="00C22690" w:rsidRPr="006A6281" w14:paraId="7E201C65" w14:textId="77777777" w:rsidTr="001B737D">
              <w:trPr>
                <w:cantSplit/>
              </w:trPr>
              <w:tc>
                <w:tcPr>
                  <w:tcW w:w="1975" w:type="dxa"/>
                </w:tcPr>
                <w:p w14:paraId="05C8301E" w14:textId="77777777" w:rsidR="00C22690" w:rsidRPr="006A6281" w:rsidRDefault="00C22690" w:rsidP="00C22690">
                  <w:pPr>
                    <w:pStyle w:val="TableBody"/>
                  </w:pPr>
                  <w:r w:rsidRPr="006A6281">
                    <w:t>AVGTPC5M</w:t>
                  </w:r>
                  <w:r w:rsidRPr="006A6281">
                    <w:rPr>
                      <w:i/>
                      <w:vertAlign w:val="subscript"/>
                      <w:lang w:val="fr-FR"/>
                    </w:rPr>
                    <w:t xml:space="preserve"> </w:t>
                  </w:r>
                  <w:r w:rsidRPr="00107CC2">
                    <w:rPr>
                      <w:i/>
                      <w:vertAlign w:val="subscript"/>
                      <w:lang w:val="fr-FR"/>
                    </w:rPr>
                    <w:t>q, r, p, i, y</w:t>
                  </w:r>
                </w:p>
              </w:tc>
              <w:tc>
                <w:tcPr>
                  <w:tcW w:w="900" w:type="dxa"/>
                </w:tcPr>
                <w:p w14:paraId="6BEA975B" w14:textId="77777777" w:rsidR="00C22690" w:rsidRPr="006A6281" w:rsidRDefault="00C22690" w:rsidP="00C22690">
                  <w:pPr>
                    <w:pStyle w:val="TableBody"/>
                  </w:pPr>
                  <w:r w:rsidRPr="006A6281">
                    <w:t>MW</w:t>
                  </w:r>
                </w:p>
              </w:tc>
              <w:tc>
                <w:tcPr>
                  <w:tcW w:w="6942" w:type="dxa"/>
                  <w:gridSpan w:val="2"/>
                </w:tcPr>
                <w:p w14:paraId="21BD818F" w14:textId="77777777" w:rsidR="00C22690" w:rsidRPr="006A6281" w:rsidRDefault="00C22690" w:rsidP="00C22690">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C22690" w:rsidRPr="006A6281" w14:paraId="6BCE3810" w14:textId="77777777" w:rsidTr="001B737D">
              <w:trPr>
                <w:cantSplit/>
              </w:trPr>
              <w:tc>
                <w:tcPr>
                  <w:tcW w:w="1975" w:type="dxa"/>
                </w:tcPr>
                <w:p w14:paraId="30EE398A" w14:textId="77777777" w:rsidR="00C22690" w:rsidRPr="006A6281" w:rsidRDefault="00C22690" w:rsidP="00C22690">
                  <w:pPr>
                    <w:pStyle w:val="TableBody"/>
                  </w:pPr>
                  <w:r w:rsidRPr="006A6281">
                    <w:t xml:space="preserve">UCONSM </w:t>
                  </w:r>
                  <w:r w:rsidRPr="00107CC2">
                    <w:rPr>
                      <w:i/>
                      <w:vertAlign w:val="subscript"/>
                    </w:rPr>
                    <w:t>q, r, p, i</w:t>
                  </w:r>
                </w:p>
              </w:tc>
              <w:tc>
                <w:tcPr>
                  <w:tcW w:w="900" w:type="dxa"/>
                </w:tcPr>
                <w:p w14:paraId="3E223DDF" w14:textId="77777777" w:rsidR="00C22690" w:rsidRPr="006A6281" w:rsidRDefault="00C22690" w:rsidP="00C22690">
                  <w:pPr>
                    <w:pStyle w:val="TableBody"/>
                  </w:pPr>
                  <w:r w:rsidRPr="006A6281">
                    <w:t>MW</w:t>
                  </w:r>
                  <w:r>
                    <w:t>h</w:t>
                  </w:r>
                </w:p>
              </w:tc>
              <w:tc>
                <w:tcPr>
                  <w:tcW w:w="6942" w:type="dxa"/>
                  <w:gridSpan w:val="2"/>
                </w:tcPr>
                <w:p w14:paraId="42AC6C94" w14:textId="77777777" w:rsidR="00C22690" w:rsidRPr="006A6281" w:rsidRDefault="00C22690" w:rsidP="00C22690">
                  <w:pPr>
                    <w:pStyle w:val="TableBody"/>
                  </w:pPr>
                  <w:r w:rsidRPr="006A6281">
                    <w:rPr>
                      <w:i/>
                    </w:rPr>
                    <w:t>Under</w:t>
                  </w:r>
                  <w:r>
                    <w:rPr>
                      <w:i/>
                    </w:rPr>
                    <w:t>-</w:t>
                  </w:r>
                  <w:r w:rsidRPr="006A6281">
                    <w:rPr>
                      <w:i/>
                    </w:rPr>
                    <w:t>Consumption Volumes per QSE per Settlement Point per Controllable Load Resource</w:t>
                  </w:r>
                  <w:r w:rsidRPr="006A6281">
                    <w:t xml:space="preserve">—The amount under-consumed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C22690" w:rsidRPr="006A6281" w14:paraId="6D0B4E6A" w14:textId="77777777" w:rsidTr="001B737D">
              <w:trPr>
                <w:cantSplit/>
              </w:trPr>
              <w:tc>
                <w:tcPr>
                  <w:tcW w:w="1975" w:type="dxa"/>
                </w:tcPr>
                <w:p w14:paraId="6149B6E5" w14:textId="77777777" w:rsidR="00C22690" w:rsidRPr="006A6281" w:rsidRDefault="00C22690" w:rsidP="00C22690">
                  <w:pPr>
                    <w:pStyle w:val="TableBody"/>
                  </w:pPr>
                  <w:r w:rsidRPr="006A6281">
                    <w:t>PRZ2</w:t>
                  </w:r>
                </w:p>
              </w:tc>
              <w:tc>
                <w:tcPr>
                  <w:tcW w:w="900" w:type="dxa"/>
                </w:tcPr>
                <w:p w14:paraId="63FA5D69" w14:textId="77777777" w:rsidR="00C22690" w:rsidRPr="006A6281" w:rsidRDefault="00C22690" w:rsidP="00C22690">
                  <w:pPr>
                    <w:pStyle w:val="TableBody"/>
                  </w:pPr>
                  <w:r w:rsidRPr="006A6281">
                    <w:t>$/MWh</w:t>
                  </w:r>
                </w:p>
              </w:tc>
              <w:tc>
                <w:tcPr>
                  <w:tcW w:w="6942" w:type="dxa"/>
                  <w:gridSpan w:val="2"/>
                </w:tcPr>
                <w:p w14:paraId="16DE6667" w14:textId="4AF782AD" w:rsidR="00C22690" w:rsidRPr="006A6281" w:rsidRDefault="00C22690" w:rsidP="00D35483">
                  <w:pPr>
                    <w:pStyle w:val="TableBody"/>
                  </w:pPr>
                  <w:r w:rsidRPr="006A6281">
                    <w:t xml:space="preserve">The price to use for the </w:t>
                  </w:r>
                  <w:r w:rsidR="00F779E8">
                    <w:t>Set</w:t>
                  </w:r>
                  <w:r w:rsidRPr="006A6281">
                    <w:t xml:space="preserve"> Point Deviation Charge for under-consumption calculation when RTSPP is less than $20/MWh, $20/MWh.  </w:t>
                  </w:r>
                </w:p>
              </w:tc>
            </w:tr>
            <w:tr w:rsidR="00C22690" w:rsidRPr="006A6281" w14:paraId="61CED40A" w14:textId="77777777" w:rsidTr="001B737D">
              <w:trPr>
                <w:cantSplit/>
              </w:trPr>
              <w:tc>
                <w:tcPr>
                  <w:tcW w:w="1975" w:type="dxa"/>
                </w:tcPr>
                <w:p w14:paraId="65CC1FE8" w14:textId="77777777" w:rsidR="00C22690" w:rsidRPr="006A6281" w:rsidRDefault="00C22690" w:rsidP="00C22690">
                  <w:pPr>
                    <w:pStyle w:val="TableBody"/>
                  </w:pPr>
                  <w:r w:rsidRPr="006A6281">
                    <w:t>KLR2</w:t>
                  </w:r>
                </w:p>
              </w:tc>
              <w:tc>
                <w:tcPr>
                  <w:tcW w:w="900" w:type="dxa"/>
                </w:tcPr>
                <w:p w14:paraId="62F0FA98" w14:textId="77777777" w:rsidR="00C22690" w:rsidRPr="006A6281" w:rsidRDefault="00C22690" w:rsidP="00C22690">
                  <w:pPr>
                    <w:pStyle w:val="TableBody"/>
                  </w:pPr>
                </w:p>
              </w:tc>
              <w:tc>
                <w:tcPr>
                  <w:tcW w:w="6942" w:type="dxa"/>
                  <w:gridSpan w:val="2"/>
                </w:tcPr>
                <w:p w14:paraId="51CA87F6" w14:textId="77777777" w:rsidR="00C22690" w:rsidRPr="006A6281" w:rsidRDefault="00C22690" w:rsidP="00C22690">
                  <w:pPr>
                    <w:pStyle w:val="TableBody"/>
                  </w:pPr>
                  <w:r w:rsidRPr="006A6281">
                    <w:t>The percentage tolerance for under-consumption of a Controllable Load Resource, XU%.</w:t>
                  </w:r>
                </w:p>
              </w:tc>
            </w:tr>
            <w:tr w:rsidR="00C22690" w:rsidRPr="006A6281" w14:paraId="2CEC68CA" w14:textId="77777777" w:rsidTr="001B737D">
              <w:trPr>
                <w:cantSplit/>
              </w:trPr>
              <w:tc>
                <w:tcPr>
                  <w:tcW w:w="1975" w:type="dxa"/>
                </w:tcPr>
                <w:p w14:paraId="56A95E25" w14:textId="77777777" w:rsidR="00C22690" w:rsidRPr="006A6281" w:rsidRDefault="00C22690" w:rsidP="00C22690">
                  <w:pPr>
                    <w:pStyle w:val="TableBody"/>
                    <w:rPr>
                      <w:i/>
                    </w:rPr>
                  </w:pPr>
                  <w:r w:rsidRPr="006A6281">
                    <w:t>QLR2</w:t>
                  </w:r>
                </w:p>
              </w:tc>
              <w:tc>
                <w:tcPr>
                  <w:tcW w:w="900" w:type="dxa"/>
                </w:tcPr>
                <w:p w14:paraId="3A8D9B77" w14:textId="77777777" w:rsidR="00C22690" w:rsidRPr="006A6281" w:rsidRDefault="00C22690" w:rsidP="00C22690">
                  <w:pPr>
                    <w:pStyle w:val="TableBody"/>
                  </w:pPr>
                  <w:r w:rsidRPr="006A6281">
                    <w:t>MW</w:t>
                  </w:r>
                </w:p>
              </w:tc>
              <w:tc>
                <w:tcPr>
                  <w:tcW w:w="6942" w:type="dxa"/>
                  <w:gridSpan w:val="2"/>
                </w:tcPr>
                <w:p w14:paraId="6591FEE4" w14:textId="77777777" w:rsidR="00C22690" w:rsidRPr="006A6281" w:rsidRDefault="00C22690" w:rsidP="00C22690">
                  <w:pPr>
                    <w:pStyle w:val="TableBody"/>
                  </w:pPr>
                  <w:r w:rsidRPr="006A6281">
                    <w:t>The MW tolerance for under-consumption of a Controllable Load Resource, YU MW.</w:t>
                  </w:r>
                </w:p>
              </w:tc>
            </w:tr>
            <w:tr w:rsidR="00C22690" w:rsidRPr="006A6281" w14:paraId="7ABA43A3" w14:textId="77777777" w:rsidTr="001B737D">
              <w:trPr>
                <w:cantSplit/>
              </w:trPr>
              <w:tc>
                <w:tcPr>
                  <w:tcW w:w="1975" w:type="dxa"/>
                </w:tcPr>
                <w:p w14:paraId="047CDFCF" w14:textId="77777777" w:rsidR="00C22690" w:rsidRPr="006A6281" w:rsidRDefault="00C22690" w:rsidP="00C22690">
                  <w:pPr>
                    <w:pStyle w:val="TableBody"/>
                    <w:rPr>
                      <w:i/>
                    </w:rPr>
                  </w:pPr>
                  <w:r w:rsidRPr="006A6281">
                    <w:rPr>
                      <w:i/>
                    </w:rPr>
                    <w:t>q</w:t>
                  </w:r>
                </w:p>
              </w:tc>
              <w:tc>
                <w:tcPr>
                  <w:tcW w:w="900" w:type="dxa"/>
                </w:tcPr>
                <w:p w14:paraId="45A2B42F" w14:textId="77777777" w:rsidR="00C22690" w:rsidRPr="006A6281" w:rsidRDefault="00C22690" w:rsidP="00C22690">
                  <w:pPr>
                    <w:pStyle w:val="TableBody"/>
                  </w:pPr>
                  <w:r w:rsidRPr="006A6281">
                    <w:t>none</w:t>
                  </w:r>
                </w:p>
              </w:tc>
              <w:tc>
                <w:tcPr>
                  <w:tcW w:w="6942" w:type="dxa"/>
                  <w:gridSpan w:val="2"/>
                </w:tcPr>
                <w:p w14:paraId="0DE73A75" w14:textId="77777777" w:rsidR="00C22690" w:rsidRPr="006A6281" w:rsidRDefault="00C22690" w:rsidP="00C22690">
                  <w:pPr>
                    <w:pStyle w:val="TableBody"/>
                  </w:pPr>
                  <w:r w:rsidRPr="006A6281">
                    <w:t>A QSE.</w:t>
                  </w:r>
                </w:p>
              </w:tc>
            </w:tr>
            <w:tr w:rsidR="00C22690" w:rsidRPr="006A6281" w14:paraId="79F9DCB1" w14:textId="77777777" w:rsidTr="001B737D">
              <w:trPr>
                <w:cantSplit/>
              </w:trPr>
              <w:tc>
                <w:tcPr>
                  <w:tcW w:w="1975" w:type="dxa"/>
                </w:tcPr>
                <w:p w14:paraId="56C1B9B4" w14:textId="77777777" w:rsidR="00C22690" w:rsidRPr="006A6281" w:rsidRDefault="00C22690" w:rsidP="00C22690">
                  <w:pPr>
                    <w:pStyle w:val="TableBody"/>
                    <w:rPr>
                      <w:i/>
                    </w:rPr>
                  </w:pPr>
                  <w:r w:rsidRPr="006A6281">
                    <w:rPr>
                      <w:i/>
                    </w:rPr>
                    <w:t>p</w:t>
                  </w:r>
                </w:p>
              </w:tc>
              <w:tc>
                <w:tcPr>
                  <w:tcW w:w="900" w:type="dxa"/>
                </w:tcPr>
                <w:p w14:paraId="60FE0109" w14:textId="77777777" w:rsidR="00C22690" w:rsidRPr="006A6281" w:rsidRDefault="00C22690" w:rsidP="00C22690">
                  <w:pPr>
                    <w:pStyle w:val="TableBody"/>
                  </w:pPr>
                  <w:r w:rsidRPr="006A6281">
                    <w:t>none</w:t>
                  </w:r>
                </w:p>
              </w:tc>
              <w:tc>
                <w:tcPr>
                  <w:tcW w:w="6942" w:type="dxa"/>
                  <w:gridSpan w:val="2"/>
                </w:tcPr>
                <w:p w14:paraId="0B7A9D86" w14:textId="77777777" w:rsidR="00C22690" w:rsidRPr="006A6281" w:rsidRDefault="00C22690" w:rsidP="00C22690">
                  <w:pPr>
                    <w:pStyle w:val="TableBody"/>
                  </w:pPr>
                  <w:r w:rsidRPr="006A6281">
                    <w:t>A Settlement Point.</w:t>
                  </w:r>
                </w:p>
              </w:tc>
            </w:tr>
            <w:tr w:rsidR="00C22690" w:rsidRPr="006A6281" w14:paraId="2E30C2A5" w14:textId="77777777" w:rsidTr="001B737D">
              <w:trPr>
                <w:cantSplit/>
              </w:trPr>
              <w:tc>
                <w:tcPr>
                  <w:tcW w:w="1975" w:type="dxa"/>
                </w:tcPr>
                <w:p w14:paraId="0194694B" w14:textId="77777777" w:rsidR="00C22690" w:rsidRPr="006A6281" w:rsidRDefault="00C22690" w:rsidP="00C22690">
                  <w:pPr>
                    <w:pStyle w:val="TableBody"/>
                    <w:rPr>
                      <w:i/>
                    </w:rPr>
                  </w:pPr>
                  <w:r w:rsidRPr="006A6281">
                    <w:rPr>
                      <w:i/>
                    </w:rPr>
                    <w:lastRenderedPageBreak/>
                    <w:t>r</w:t>
                  </w:r>
                </w:p>
              </w:tc>
              <w:tc>
                <w:tcPr>
                  <w:tcW w:w="900" w:type="dxa"/>
                </w:tcPr>
                <w:p w14:paraId="35980071" w14:textId="77777777" w:rsidR="00C22690" w:rsidRPr="006A6281" w:rsidRDefault="00C22690" w:rsidP="00C22690">
                  <w:pPr>
                    <w:pStyle w:val="TableBody"/>
                  </w:pPr>
                  <w:r>
                    <w:t>n</w:t>
                  </w:r>
                  <w:r w:rsidRPr="006A6281">
                    <w:t>one</w:t>
                  </w:r>
                </w:p>
              </w:tc>
              <w:tc>
                <w:tcPr>
                  <w:tcW w:w="6942" w:type="dxa"/>
                  <w:gridSpan w:val="2"/>
                </w:tcPr>
                <w:p w14:paraId="2355D09C" w14:textId="77777777" w:rsidR="00C22690" w:rsidRPr="006A6281" w:rsidRDefault="00C22690" w:rsidP="00C22690">
                  <w:pPr>
                    <w:pStyle w:val="TableBody"/>
                  </w:pPr>
                  <w:r w:rsidRPr="006A6281">
                    <w:t>A Controllable Load Resource.</w:t>
                  </w:r>
                </w:p>
              </w:tc>
            </w:tr>
            <w:tr w:rsidR="00C22690" w:rsidRPr="006A6281" w14:paraId="198C02E8" w14:textId="77777777" w:rsidTr="001B737D">
              <w:trPr>
                <w:cantSplit/>
                <w:trHeight w:val="152"/>
              </w:trPr>
              <w:tc>
                <w:tcPr>
                  <w:tcW w:w="1975" w:type="dxa"/>
                </w:tcPr>
                <w:p w14:paraId="1FA802D8" w14:textId="77777777" w:rsidR="00C22690" w:rsidRPr="006A6281" w:rsidDel="00B33B6F" w:rsidRDefault="00C22690" w:rsidP="00C22690">
                  <w:pPr>
                    <w:pStyle w:val="TableBody"/>
                    <w:rPr>
                      <w:i/>
                    </w:rPr>
                  </w:pPr>
                  <w:r w:rsidRPr="006A6281">
                    <w:rPr>
                      <w:i/>
                    </w:rPr>
                    <w:t>i</w:t>
                  </w:r>
                </w:p>
              </w:tc>
              <w:tc>
                <w:tcPr>
                  <w:tcW w:w="900" w:type="dxa"/>
                </w:tcPr>
                <w:p w14:paraId="0B81D637" w14:textId="77777777" w:rsidR="00C22690" w:rsidRPr="006A6281" w:rsidDel="00B33B6F" w:rsidRDefault="00C22690" w:rsidP="00C22690">
                  <w:pPr>
                    <w:pStyle w:val="TableBody"/>
                  </w:pPr>
                  <w:r w:rsidRPr="006A6281">
                    <w:t>none</w:t>
                  </w:r>
                </w:p>
              </w:tc>
              <w:tc>
                <w:tcPr>
                  <w:tcW w:w="6942" w:type="dxa"/>
                  <w:gridSpan w:val="2"/>
                </w:tcPr>
                <w:p w14:paraId="0F03A2DF" w14:textId="77777777" w:rsidR="00C22690" w:rsidRPr="006A6281" w:rsidDel="00B33B6F" w:rsidRDefault="00C22690" w:rsidP="00C22690">
                  <w:pPr>
                    <w:pStyle w:val="TableBody"/>
                  </w:pPr>
                  <w:r w:rsidRPr="006A6281">
                    <w:t>A 15-minute Settlement Interval.</w:t>
                  </w:r>
                </w:p>
              </w:tc>
            </w:tr>
            <w:tr w:rsidR="00C22690" w:rsidRPr="006A6281" w14:paraId="6C09681D" w14:textId="77777777" w:rsidTr="001B73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2B58331B" w14:textId="77777777" w:rsidR="00C22690" w:rsidRPr="006A6281" w:rsidRDefault="00C22690" w:rsidP="00C22690">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71AD6ED1" w14:textId="77777777" w:rsidR="00C22690" w:rsidRPr="006A6281" w:rsidRDefault="00C22690" w:rsidP="00C22690">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25814A3A" w14:textId="77777777" w:rsidR="00C22690" w:rsidRPr="006A6281" w:rsidRDefault="00C22690" w:rsidP="00C22690">
                  <w:pPr>
                    <w:pStyle w:val="TableBody"/>
                  </w:pPr>
                  <w:r w:rsidRPr="006A6281">
                    <w:t xml:space="preserve">A five-minute clock interval in the Settlement Interval. </w:t>
                  </w:r>
                </w:p>
              </w:tc>
            </w:tr>
          </w:tbl>
          <w:p w14:paraId="0D0CCD89" w14:textId="77777777" w:rsidR="00636003" w:rsidRPr="00B37C4B" w:rsidRDefault="00636003" w:rsidP="00573B9E"/>
        </w:tc>
      </w:tr>
    </w:tbl>
    <w:p w14:paraId="68EAFC9B" w14:textId="77777777" w:rsidR="001F04FD" w:rsidRDefault="001F04FD" w:rsidP="001F04FD">
      <w:pPr>
        <w:pStyle w:val="BodyText"/>
        <w:tabs>
          <w:tab w:val="left" w:pos="1230"/>
        </w:tabs>
        <w:spacing w:before="480"/>
        <w:outlineLvl w:val="3"/>
        <w:rPr>
          <w:b/>
          <w:lang w:val="fr-FR"/>
        </w:rPr>
      </w:pPr>
      <w:bookmarkStart w:id="2183" w:name="_Toc204411692"/>
      <w:r w:rsidRPr="00A87708">
        <w:rPr>
          <w:b/>
          <w:lang w:val="fr-FR"/>
        </w:rPr>
        <w:lastRenderedPageBreak/>
        <w:t>6.6.5.2</w:t>
      </w:r>
      <w:r w:rsidRPr="00A87708">
        <w:rPr>
          <w:b/>
          <w:lang w:val="fr-FR"/>
        </w:rPr>
        <w:tab/>
        <w:t xml:space="preserve">IRR </w:t>
      </w:r>
      <w:r w:rsidRPr="000468AC">
        <w:rPr>
          <w:b/>
          <w:lang w:val="fr-FR"/>
        </w:rPr>
        <w:t>Generation Resource Base Point Deviation</w:t>
      </w:r>
      <w:r w:rsidRPr="00A87708">
        <w:rPr>
          <w:b/>
          <w:lang w:val="fr-FR"/>
        </w:rPr>
        <w:t xml:space="preserve"> Charge</w:t>
      </w:r>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83"/>
    </w:p>
    <w:p w14:paraId="19E9A46C" w14:textId="4F9FBFC7" w:rsidR="001F04FD" w:rsidRDefault="001F04FD" w:rsidP="001F04FD">
      <w:pPr>
        <w:pStyle w:val="BodyTextNumbered"/>
      </w:pPr>
      <w:r>
        <w:t>(1)</w:t>
      </w:r>
      <w:r>
        <w:tab/>
        <w:t xml:space="preserve">ERCOT shall charge a QSE for an IRR a Base Point Deviation Charge if the IRR metered generation is more than </w:t>
      </w:r>
      <w:r w:rsidR="0030702F">
        <w:t>5</w:t>
      </w:r>
      <w:r>
        <w:t xml:space="preserve">% above its Adjusted Aggregated Base Point and the flag signifying that the IRR has received a Base Point below the HDL used by SCED </w:t>
      </w:r>
      <w:r w:rsidR="0030702F">
        <w:t xml:space="preserve">or the IRR has been instructed not to exceed its Base Point </w:t>
      </w:r>
      <w:r>
        <w:t xml:space="preserve">has been received. </w:t>
      </w:r>
    </w:p>
    <w:p w14:paraId="139E8E2C" w14:textId="77777777" w:rsidR="001F04FD" w:rsidRPr="000149E5" w:rsidRDefault="001F04FD" w:rsidP="00BA3F0D">
      <w:pPr>
        <w:pStyle w:val="BodyTextNumbered"/>
        <w:rPr>
          <w:iCs/>
        </w:rPr>
      </w:pPr>
      <w:r w:rsidRPr="000149E5">
        <w:rPr>
          <w:iCs/>
        </w:rPr>
        <w:t>(2)</w:t>
      </w:r>
      <w:r w:rsidRPr="000149E5">
        <w:rPr>
          <w:iCs/>
        </w:rPr>
        <w:tab/>
        <w:t xml:space="preserve">The charge to each QSE for non-excused over-generation of each IRR </w:t>
      </w:r>
      <w:r>
        <w:rPr>
          <w:iCs/>
        </w:rPr>
        <w:t xml:space="preserve">that is not included in an IRR Group </w:t>
      </w:r>
      <w:r w:rsidRPr="000149E5">
        <w:rPr>
          <w:iCs/>
        </w:rPr>
        <w:t>at each Resource Node Settlement Point during a 15-minute Settlement Interval, is calculated as follows:</w:t>
      </w:r>
    </w:p>
    <w:p w14:paraId="44C0E14F" w14:textId="5AD87552" w:rsidR="001F04FD" w:rsidRDefault="001F04FD" w:rsidP="001F04FD">
      <w:pPr>
        <w:ind w:left="720"/>
        <w:rPr>
          <w:lang w:val="pt-BR"/>
        </w:rPr>
      </w:pPr>
      <w:r>
        <w:rPr>
          <w:lang w:val="pt-BR"/>
        </w:rPr>
        <w:t xml:space="preserve">If </w:t>
      </w:r>
      <w:r>
        <w:t>the flag signifying that the IRR has received a Base Point below the HDL used by SCED</w:t>
      </w:r>
      <w:r w:rsidR="0030702F" w:rsidRPr="0030702F">
        <w:t xml:space="preserve"> </w:t>
      </w:r>
      <w:r w:rsidR="0030702F">
        <w:t>or the IRR has been instructed not to exceed its Base Point</w:t>
      </w:r>
      <w:r>
        <w:t xml:space="preserve"> is not set </w:t>
      </w:r>
      <w:r w:rsidRPr="00B74B5B">
        <w:rPr>
          <w:lang w:val="pt-BR"/>
        </w:rPr>
        <w:t>in all SCED intervals within the 15-minute Settlement Interval:</w:t>
      </w:r>
    </w:p>
    <w:p w14:paraId="36907DCC" w14:textId="77777777" w:rsidR="001F04FD" w:rsidRDefault="001F04FD" w:rsidP="001F04FD">
      <w:pPr>
        <w:pStyle w:val="FormulaBold"/>
        <w:spacing w:before="120"/>
        <w:ind w:left="720" w:firstLine="0"/>
        <w:rPr>
          <w:lang w:val="pt-BR"/>
        </w:rPr>
      </w:pPr>
      <w:r>
        <w:rPr>
          <w:lang w:val="pt-BR"/>
        </w:rPr>
        <w:t xml:space="preserve">BPDAMT </w:t>
      </w:r>
      <w:r>
        <w:rPr>
          <w:i/>
          <w:vertAlign w:val="subscript"/>
          <w:lang w:val="pt-BR"/>
        </w:rPr>
        <w:t>q, r, p, i</w:t>
      </w:r>
      <w:r>
        <w:rPr>
          <w:lang w:val="pt-BR"/>
        </w:rPr>
        <w:t xml:space="preserve"> =</w:t>
      </w:r>
      <w:r>
        <w:rPr>
          <w:lang w:val="pt-BR"/>
        </w:rPr>
        <w:tab/>
        <w:t>0</w:t>
      </w:r>
    </w:p>
    <w:p w14:paraId="6036DCBD" w14:textId="3D00DA5C" w:rsidR="001F04FD" w:rsidRDefault="001F04FD" w:rsidP="001F04FD">
      <w:pPr>
        <w:ind w:left="720"/>
        <w:rPr>
          <w:lang w:val="pt-BR"/>
        </w:rPr>
      </w:pPr>
      <w:r>
        <w:rPr>
          <w:lang w:val="pt-BR"/>
        </w:rPr>
        <w:t>Otherwise, i</w:t>
      </w:r>
      <w:r w:rsidRPr="00B74B5B">
        <w:rPr>
          <w:lang w:val="pt-BR"/>
        </w:rPr>
        <w:t xml:space="preserve">f </w:t>
      </w:r>
      <w:r w:rsidRPr="004950DA">
        <w:t>the</w:t>
      </w:r>
      <w:r>
        <w:t xml:space="preserve"> flag signifying that the IRR has received a Base Point below the HDL used by SCED</w:t>
      </w:r>
      <w:r w:rsidR="0030702F" w:rsidRPr="0030702F">
        <w:t xml:space="preserve"> </w:t>
      </w:r>
      <w:r w:rsidR="0030702F">
        <w:t>or the IRR has been instructed not to exceed its Base Point</w:t>
      </w:r>
      <w:r>
        <w:t xml:space="preserve"> is set </w:t>
      </w:r>
      <w:r w:rsidRPr="00B74B5B">
        <w:rPr>
          <w:lang w:val="pt-BR"/>
        </w:rPr>
        <w:t>in all SCED intervals within the 15-minute Settlement Interval</w:t>
      </w:r>
      <w:r>
        <w:rPr>
          <w:lang w:val="pt-BR"/>
        </w:rPr>
        <w:t>:</w:t>
      </w:r>
    </w:p>
    <w:p w14:paraId="33BF3280" w14:textId="77777777" w:rsidR="001F04FD" w:rsidRDefault="001F04FD" w:rsidP="001F04FD">
      <w:pPr>
        <w:ind w:left="720"/>
        <w:rPr>
          <w:lang w:val="pt-BR"/>
        </w:rPr>
      </w:pPr>
    </w:p>
    <w:p w14:paraId="49012B4C" w14:textId="77777777" w:rsidR="001F04FD" w:rsidRDefault="001F04FD" w:rsidP="001F04FD">
      <w:pPr>
        <w:pStyle w:val="FormulaBold"/>
        <w:tabs>
          <w:tab w:val="clear" w:pos="2250"/>
          <w:tab w:val="clear" w:pos="3150"/>
          <w:tab w:val="left" w:pos="720"/>
        </w:tabs>
        <w:ind w:left="2880" w:hanging="2880"/>
        <w:rPr>
          <w:lang w:val="pt-BR"/>
        </w:rPr>
      </w:pPr>
      <w:r>
        <w:rPr>
          <w:lang w:val="pt-BR"/>
        </w:rPr>
        <w:tab/>
        <w:t>BPDAMT</w:t>
      </w:r>
      <w:r>
        <w:rPr>
          <w:i/>
          <w:vertAlign w:val="subscript"/>
          <w:lang w:val="pt-BR"/>
        </w:rPr>
        <w:t xml:space="preserve"> q, r, p, i</w:t>
      </w:r>
      <w:r>
        <w:rPr>
          <w:lang w:val="pt-BR"/>
        </w:rPr>
        <w:t xml:space="preserve"> =</w:t>
      </w:r>
      <w:r>
        <w:rPr>
          <w:lang w:val="pt-BR"/>
        </w:rPr>
        <w:tab/>
      </w:r>
      <w:r w:rsidRPr="00D33FCA">
        <w:t xml:space="preserve">Max (PR1, RTSPP </w:t>
      </w:r>
      <w:r w:rsidRPr="006624C0">
        <w:rPr>
          <w:i/>
          <w:vertAlign w:val="subscript"/>
        </w:rPr>
        <w:t>p, i</w:t>
      </w:r>
      <w:r w:rsidRPr="00D33FCA">
        <w:t>) * OGENIRR</w:t>
      </w:r>
      <w:r w:rsidRPr="00D9273D">
        <w:rPr>
          <w:sz w:val="18"/>
          <w:szCs w:val="18"/>
          <w:vertAlign w:val="subscript"/>
        </w:rPr>
        <w:t xml:space="preserve"> </w:t>
      </w:r>
      <w:r w:rsidRPr="006624C0">
        <w:rPr>
          <w:i/>
          <w:vertAlign w:val="subscript"/>
        </w:rPr>
        <w:t>q, r, p, i</w:t>
      </w:r>
    </w:p>
    <w:p w14:paraId="4CE6D16F" w14:textId="77777777" w:rsidR="001F04FD" w:rsidRPr="002F5D3B" w:rsidRDefault="001F04FD" w:rsidP="001F04FD">
      <w:pPr>
        <w:pStyle w:val="FormulaBold"/>
        <w:rPr>
          <w:b w:val="0"/>
        </w:rPr>
      </w:pPr>
      <w:r w:rsidRPr="002F5D3B">
        <w:rPr>
          <w:b w:val="0"/>
        </w:rPr>
        <w:t>Where:</w:t>
      </w:r>
    </w:p>
    <w:p w14:paraId="4DFD6C76" w14:textId="77777777" w:rsidR="001F04FD" w:rsidRPr="009C51D8" w:rsidRDefault="001F04FD" w:rsidP="001F04FD">
      <w:pPr>
        <w:pStyle w:val="FormulaBold"/>
        <w:rPr>
          <w:b w:val="0"/>
        </w:rPr>
      </w:pPr>
      <w:r w:rsidRPr="009C51D8">
        <w:rPr>
          <w:b w:val="0"/>
        </w:rPr>
        <w:t>OGENIRR</w:t>
      </w:r>
      <w:r w:rsidRPr="009C51D8">
        <w:rPr>
          <w:b w:val="0"/>
          <w:i/>
          <w:iCs/>
          <w:vertAlign w:val="subscript"/>
          <w:lang w:val="es-ES"/>
        </w:rPr>
        <w:t xml:space="preserve"> q, r, p, i  </w:t>
      </w:r>
      <w:r w:rsidRPr="009C51D8">
        <w:rPr>
          <w:b w:val="0"/>
        </w:rPr>
        <w:t xml:space="preserve"> = Max [0, TWTG</w:t>
      </w:r>
      <w:r w:rsidRPr="009C51D8">
        <w:rPr>
          <w:b w:val="0"/>
          <w:i/>
          <w:iCs/>
          <w:vertAlign w:val="subscript"/>
          <w:lang w:val="es-ES"/>
        </w:rPr>
        <w:t xml:space="preserve"> q, r, p, i </w:t>
      </w:r>
      <w:r w:rsidRPr="009C51D8">
        <w:rPr>
          <w:b w:val="0"/>
        </w:rPr>
        <w:t xml:space="preserve"> – ¼ * AABP</w:t>
      </w:r>
      <w:r w:rsidRPr="009C51D8">
        <w:rPr>
          <w:b w:val="0"/>
          <w:i/>
          <w:iCs/>
          <w:vertAlign w:val="subscript"/>
          <w:lang w:val="es-ES"/>
        </w:rPr>
        <w:t xml:space="preserve"> q, r, p, i * </w:t>
      </w:r>
      <w:r w:rsidRPr="009C51D8">
        <w:rPr>
          <w:b w:val="0"/>
        </w:rPr>
        <w:t xml:space="preserve"> (1 + KIRR)]</w:t>
      </w:r>
    </w:p>
    <w:p w14:paraId="0E36BC3E" w14:textId="77777777" w:rsidR="001F04FD" w:rsidRDefault="001F04FD" w:rsidP="001F04FD">
      <w:pPr>
        <w:pStyle w:val="Formula"/>
        <w:ind w:left="2880" w:hanging="2160"/>
      </w:pPr>
      <w:r w:rsidRPr="009C51D8">
        <w:t>TWTG</w:t>
      </w:r>
      <w:r w:rsidRPr="009C51D8">
        <w:rPr>
          <w:i/>
          <w:vertAlign w:val="subscript"/>
        </w:rPr>
        <w:t xml:space="preserve"> q, r, p, i</w:t>
      </w:r>
      <w:r w:rsidRPr="009C51D8">
        <w:rPr>
          <w:i/>
          <w:vertAlign w:val="subscript"/>
        </w:rPr>
        <w:tab/>
        <w:t xml:space="preserve">=      </w:t>
      </w:r>
      <w:r w:rsidRPr="009C51D8">
        <w:t xml:space="preserve"> (</w:t>
      </w:r>
      <w:r w:rsidRPr="009C51D8">
        <w:rPr>
          <w:position w:val="-22"/>
        </w:rPr>
        <w:object w:dxaOrig="210" w:dyaOrig="450" w14:anchorId="39A3E497">
          <v:shape id="_x0000_i1192" type="#_x0000_t75" style="width:5.4pt;height:24.6pt" o:ole="">
            <v:imagedata r:id="rId209" o:title=""/>
          </v:shape>
          <o:OLEObject Type="Embed" ProgID="Equation.3" ShapeID="_x0000_i1192" DrawAspect="Content" ObjectID="_1815025382" r:id="rId224"/>
        </w:object>
      </w:r>
      <w:r w:rsidRPr="009C51D8">
        <w:t xml:space="preserve"> (AVGTG5M</w:t>
      </w:r>
      <w:r w:rsidRPr="009C51D8">
        <w:rPr>
          <w:i/>
          <w:vertAlign w:val="subscript"/>
        </w:rPr>
        <w:t xml:space="preserve"> q, r, p, i, y</w:t>
      </w:r>
      <w:r w:rsidRPr="009C51D8">
        <w:t>) / 3) * ¼</w:t>
      </w:r>
    </w:p>
    <w:p w14:paraId="64E0540A" w14:textId="77777777" w:rsidR="001F04FD" w:rsidRPr="00A261C3" w:rsidRDefault="001F04FD" w:rsidP="001F04FD">
      <w:pPr>
        <w:spacing w:after="240"/>
        <w:ind w:left="720" w:hanging="720"/>
        <w:rPr>
          <w:iCs/>
        </w:rPr>
      </w:pPr>
      <w:r w:rsidRPr="00A261C3">
        <w:rPr>
          <w:iCs/>
        </w:rPr>
        <w:t>(3)</w:t>
      </w:r>
      <w:r w:rsidRPr="00A261C3">
        <w:rPr>
          <w:iCs/>
        </w:rPr>
        <w:tab/>
        <w:t xml:space="preserve">The charge to each QSE for non-excused over-generation of each </w:t>
      </w:r>
      <w:r>
        <w:rPr>
          <w:iCs/>
        </w:rPr>
        <w:t>IRR</w:t>
      </w:r>
      <w:r w:rsidRPr="00A261C3">
        <w:rPr>
          <w:iCs/>
        </w:rPr>
        <w:t xml:space="preserve"> that is included in a</w:t>
      </w:r>
      <w:r>
        <w:rPr>
          <w:iCs/>
        </w:rPr>
        <w:t>n</w:t>
      </w:r>
      <w:r w:rsidRPr="00A261C3">
        <w:rPr>
          <w:iCs/>
        </w:rPr>
        <w:t xml:space="preserve"> </w:t>
      </w:r>
      <w:r>
        <w:rPr>
          <w:iCs/>
        </w:rPr>
        <w:t>IRR</w:t>
      </w:r>
      <w:r w:rsidRPr="00A261C3">
        <w:rPr>
          <w:iCs/>
        </w:rPr>
        <w:t xml:space="preserve"> Group, at each Resource Node Settlement Point, if the Real-Time metered generation is greater than the upper tolerance during a 15-minute Settlement Interval, is calculated as follows:</w:t>
      </w:r>
    </w:p>
    <w:p w14:paraId="0D04E258" w14:textId="7BA69C52" w:rsidR="001F04FD" w:rsidRPr="00A261C3" w:rsidRDefault="001F04FD" w:rsidP="001F04FD">
      <w:pPr>
        <w:ind w:left="720"/>
        <w:rPr>
          <w:lang w:val="pt-BR"/>
        </w:rPr>
      </w:pPr>
      <w:r w:rsidRPr="00A261C3">
        <w:rPr>
          <w:lang w:val="pt-BR"/>
        </w:rPr>
        <w:t xml:space="preserve">If </w:t>
      </w:r>
      <w:r w:rsidRPr="00A261C3">
        <w:t>the flag signifying that the IRR has received a Base Point below the HDL used by SCED</w:t>
      </w:r>
      <w:r w:rsidR="0030702F" w:rsidRPr="0030702F">
        <w:t xml:space="preserve"> </w:t>
      </w:r>
      <w:r w:rsidR="0030702F">
        <w:t>or the IRR has been instructed not to exceed its Base Point</w:t>
      </w:r>
      <w:r w:rsidRPr="00A261C3">
        <w:t xml:space="preserve"> is not set </w:t>
      </w:r>
      <w:r w:rsidRPr="00A261C3">
        <w:rPr>
          <w:lang w:val="pt-BR"/>
        </w:rPr>
        <w:t xml:space="preserve">in all SCED intervals within 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for all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w:t>
      </w:r>
    </w:p>
    <w:p w14:paraId="0F6C143A" w14:textId="77777777" w:rsidR="001F04FD" w:rsidRPr="00A261C3" w:rsidRDefault="001F04FD" w:rsidP="001F04FD">
      <w:pPr>
        <w:tabs>
          <w:tab w:val="left" w:pos="2340"/>
          <w:tab w:val="left" w:pos="3420"/>
        </w:tabs>
        <w:spacing w:before="120" w:after="240"/>
        <w:ind w:left="720"/>
        <w:rPr>
          <w:b/>
          <w:bCs/>
          <w:lang w:val="pt-BR"/>
        </w:rPr>
      </w:pPr>
      <w:r w:rsidRPr="00A261C3">
        <w:rPr>
          <w:b/>
          <w:bCs/>
          <w:lang w:val="pt-BR"/>
        </w:rPr>
        <w:t xml:space="preserve">BPDAMT </w:t>
      </w:r>
      <w:r w:rsidRPr="00A261C3">
        <w:rPr>
          <w:b/>
          <w:bCs/>
          <w:i/>
          <w:vertAlign w:val="subscript"/>
          <w:lang w:val="pt-BR"/>
        </w:rPr>
        <w:t>q, r, p</w:t>
      </w:r>
      <w:r w:rsidRPr="00A261C3">
        <w:rPr>
          <w:b/>
          <w:bCs/>
          <w:lang w:val="pt-BR"/>
        </w:rPr>
        <w:t xml:space="preserve"> =</w:t>
      </w:r>
      <w:r w:rsidRPr="00A261C3">
        <w:rPr>
          <w:b/>
          <w:bCs/>
          <w:lang w:val="pt-BR"/>
        </w:rPr>
        <w:tab/>
        <w:t>0</w:t>
      </w:r>
    </w:p>
    <w:p w14:paraId="4050A8C5" w14:textId="58DE6687" w:rsidR="001F04FD" w:rsidRPr="00A261C3" w:rsidRDefault="001F04FD" w:rsidP="001F04FD">
      <w:pPr>
        <w:ind w:left="720"/>
        <w:rPr>
          <w:lang w:val="pt-BR"/>
        </w:rPr>
      </w:pPr>
      <w:r w:rsidRPr="00A261C3">
        <w:rPr>
          <w:lang w:val="pt-BR"/>
        </w:rPr>
        <w:t xml:space="preserve">If </w:t>
      </w:r>
      <w:r w:rsidRPr="00A261C3">
        <w:t xml:space="preserve">the flag signifying that the </w:t>
      </w:r>
      <w:r>
        <w:t>IRR</w:t>
      </w:r>
      <w:r w:rsidRPr="00A261C3">
        <w:t xml:space="preserve"> has received a Base Point below the HDL used by SCED</w:t>
      </w:r>
      <w:r w:rsidR="0030702F" w:rsidRPr="0030702F">
        <w:t xml:space="preserve"> </w:t>
      </w:r>
      <w:r w:rsidR="0030702F">
        <w:t>or the IRR has been instructed not to exceed its Base Point</w:t>
      </w:r>
      <w:r w:rsidRPr="00A261C3">
        <w:t xml:space="preserve"> is set </w:t>
      </w:r>
      <w:r w:rsidRPr="00A261C3">
        <w:rPr>
          <w:lang w:val="pt-BR"/>
        </w:rPr>
        <w:t xml:space="preserve">in all SCED </w:t>
      </w:r>
      <w:r w:rsidRPr="00A261C3">
        <w:rPr>
          <w:lang w:val="pt-BR"/>
        </w:rPr>
        <w:lastRenderedPageBreak/>
        <w:t xml:space="preserve">intervals within 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the deviation penalty is determined for the </w:t>
      </w:r>
      <w:r>
        <w:rPr>
          <w:lang w:val="pt-BR"/>
        </w:rPr>
        <w:t>IRR</w:t>
      </w:r>
      <w:r w:rsidRPr="00A261C3">
        <w:rPr>
          <w:lang w:val="pt-BR"/>
        </w:rPr>
        <w:t xml:space="preserve"> Group and evenly allocated and charged to each </w:t>
      </w:r>
      <w:r>
        <w:rPr>
          <w:lang w:val="pt-BR"/>
        </w:rPr>
        <w:t>IRR</w:t>
      </w:r>
      <w:r w:rsidRPr="00A261C3">
        <w:rPr>
          <w:lang w:val="pt-BR"/>
        </w:rPr>
        <w:t xml:space="preserve"> within that </w:t>
      </w:r>
      <w:r>
        <w:rPr>
          <w:lang w:val="pt-BR"/>
        </w:rPr>
        <w:t>IRR</w:t>
      </w:r>
      <w:r w:rsidRPr="00A261C3">
        <w:rPr>
          <w:lang w:val="pt-BR"/>
        </w:rPr>
        <w:t xml:space="preserve"> Group:</w:t>
      </w:r>
    </w:p>
    <w:p w14:paraId="71677424" w14:textId="77777777" w:rsidR="001F04FD" w:rsidRPr="00A261C3" w:rsidRDefault="001F04FD" w:rsidP="001F04FD">
      <w:pPr>
        <w:rPr>
          <w:lang w:val="pt-BR"/>
        </w:rPr>
      </w:pPr>
    </w:p>
    <w:p w14:paraId="28DF7C78" w14:textId="77777777" w:rsidR="001F04FD" w:rsidRPr="00A261C3" w:rsidRDefault="001F04FD" w:rsidP="001F04FD">
      <w:pPr>
        <w:tabs>
          <w:tab w:val="left" w:pos="720"/>
          <w:tab w:val="left" w:pos="2340"/>
          <w:tab w:val="left" w:pos="3420"/>
        </w:tabs>
        <w:spacing w:after="240"/>
        <w:ind w:left="2880" w:hanging="2880"/>
        <w:rPr>
          <w:b/>
          <w:bCs/>
          <w:lang w:val="pt-BR"/>
        </w:rPr>
      </w:pPr>
      <w:r w:rsidRPr="00A261C3">
        <w:rPr>
          <w:b/>
          <w:bCs/>
          <w:lang w:val="pt-BR"/>
        </w:rPr>
        <w:tab/>
        <w:t>BPDAMT</w:t>
      </w:r>
      <w:r w:rsidRPr="00A261C3">
        <w:rPr>
          <w:b/>
          <w:bCs/>
          <w:i/>
          <w:vertAlign w:val="subscript"/>
          <w:lang w:val="pt-BR"/>
        </w:rPr>
        <w:t xml:space="preserve"> q, r, p</w:t>
      </w:r>
      <w:r w:rsidRPr="00A261C3">
        <w:rPr>
          <w:b/>
          <w:bCs/>
          <w:lang w:val="pt-BR"/>
        </w:rPr>
        <w:t xml:space="preserve"> = [Max (PR1, RTSPP</w:t>
      </w:r>
      <w:r w:rsidR="006D6523">
        <w:rPr>
          <w:b/>
          <w:bCs/>
          <w:lang w:val="pt-BR"/>
        </w:rPr>
        <w:t xml:space="preserve"> </w:t>
      </w:r>
      <w:r w:rsidRPr="00A261C3">
        <w:rPr>
          <w:b/>
          <w:bCs/>
          <w:i/>
          <w:vertAlign w:val="subscript"/>
          <w:lang w:val="pt-BR"/>
        </w:rPr>
        <w:t>p</w:t>
      </w:r>
      <w:r w:rsidRPr="00A261C3">
        <w:rPr>
          <w:b/>
          <w:bCs/>
          <w:lang w:val="pt-BR"/>
        </w:rPr>
        <w:t xml:space="preserve">) * OGENIRR </w:t>
      </w:r>
      <w:r w:rsidRPr="00A261C3">
        <w:rPr>
          <w:rFonts w:ascii="Times New Roman Bold" w:hAnsi="Times New Roman Bold"/>
          <w:b/>
          <w:bCs/>
          <w:i/>
          <w:vertAlign w:val="subscript"/>
          <w:lang w:val="pt-BR"/>
        </w:rPr>
        <w:t xml:space="preserve">q, wg, i </w:t>
      </w:r>
      <w:r w:rsidRPr="00A261C3">
        <w:rPr>
          <w:rFonts w:ascii="Times New Roman Bold" w:hAnsi="Times New Roman Bold"/>
          <w:b/>
          <w:bCs/>
          <w:lang w:val="pt-BR"/>
        </w:rPr>
        <w:t>] / N</w:t>
      </w:r>
    </w:p>
    <w:p w14:paraId="0E9F7E62" w14:textId="77777777" w:rsidR="001F04FD" w:rsidRPr="002A617F" w:rsidRDefault="001F04FD" w:rsidP="00BA3F0D">
      <w:pPr>
        <w:tabs>
          <w:tab w:val="left" w:pos="2340"/>
          <w:tab w:val="left" w:pos="3420"/>
          <w:tab w:val="right" w:pos="9360"/>
        </w:tabs>
        <w:spacing w:after="240"/>
        <w:ind w:left="3420" w:hanging="2700"/>
        <w:rPr>
          <w:bCs/>
        </w:rPr>
      </w:pPr>
      <w:r w:rsidRPr="00A261C3">
        <w:rPr>
          <w:bCs/>
        </w:rPr>
        <w:t>Where:</w:t>
      </w:r>
    </w:p>
    <w:p w14:paraId="17C03BAA" w14:textId="77777777" w:rsidR="001F04FD" w:rsidRPr="002A617F" w:rsidRDefault="001F04FD" w:rsidP="001F04FD">
      <w:pPr>
        <w:tabs>
          <w:tab w:val="left" w:pos="2340"/>
          <w:tab w:val="left" w:pos="3420"/>
          <w:tab w:val="right" w:pos="9360"/>
        </w:tabs>
        <w:spacing w:after="240"/>
        <w:ind w:left="3420" w:hanging="2700"/>
        <w:rPr>
          <w:bCs/>
        </w:rPr>
      </w:pPr>
      <w:r w:rsidRPr="00A261C3">
        <w:rPr>
          <w:bCs/>
        </w:rPr>
        <w:t>OGENIRR</w:t>
      </w:r>
      <w:r w:rsidRPr="00A261C3">
        <w:rPr>
          <w:bCs/>
          <w:i/>
          <w:iCs/>
          <w:vertAlign w:val="subscript"/>
          <w:lang w:val="es-ES"/>
        </w:rPr>
        <w:t xml:space="preserve"> q, wg, i  </w:t>
      </w:r>
      <w:r w:rsidRPr="00A261C3">
        <w:rPr>
          <w:bCs/>
        </w:rPr>
        <w:t xml:space="preserve"> = Max [0, TWTG</w:t>
      </w:r>
      <w:r w:rsidRPr="00A261C3">
        <w:rPr>
          <w:bCs/>
          <w:i/>
          <w:iCs/>
          <w:vertAlign w:val="subscript"/>
          <w:lang w:val="es-ES"/>
        </w:rPr>
        <w:t xml:space="preserve"> q, wg, i </w:t>
      </w:r>
      <w:r w:rsidRPr="00A261C3">
        <w:rPr>
          <w:bCs/>
        </w:rPr>
        <w:t xml:space="preserve"> – ¼ * AABP</w:t>
      </w:r>
      <w:r w:rsidRPr="00A261C3">
        <w:rPr>
          <w:bCs/>
          <w:i/>
          <w:iCs/>
          <w:vertAlign w:val="subscript"/>
          <w:lang w:val="es-ES"/>
        </w:rPr>
        <w:t xml:space="preserve"> q, wg, i * </w:t>
      </w:r>
      <w:r w:rsidRPr="00A261C3">
        <w:rPr>
          <w:bCs/>
        </w:rPr>
        <w:t xml:space="preserve"> (1 + KIRR)]</w:t>
      </w:r>
    </w:p>
    <w:p w14:paraId="4D0D8789" w14:textId="7F68FB72" w:rsidR="001F04FD" w:rsidRDefault="001F04FD" w:rsidP="00BA3F0D">
      <w:pPr>
        <w:pStyle w:val="Formula"/>
        <w:ind w:left="2880" w:hanging="2160"/>
      </w:pPr>
      <w:r w:rsidRPr="00A261C3">
        <w:t>TWTG</w:t>
      </w:r>
      <w:r w:rsidRPr="00A261C3">
        <w:rPr>
          <w:i/>
          <w:vertAlign w:val="subscript"/>
        </w:rPr>
        <w:t xml:space="preserve"> q, wg, i</w:t>
      </w:r>
      <w:r w:rsidRPr="00A261C3">
        <w:rPr>
          <w:i/>
          <w:vertAlign w:val="subscript"/>
        </w:rPr>
        <w:tab/>
        <w:t xml:space="preserve">=     </w:t>
      </w:r>
      <w:r w:rsidRPr="00A261C3">
        <w:t xml:space="preserve"> </w:t>
      </w:r>
      <w:r w:rsidR="00A94020">
        <w:rPr>
          <w:noProof/>
          <w:position w:val="-18"/>
        </w:rPr>
        <w:drawing>
          <wp:inline distT="0" distB="0" distL="0" distR="0" wp14:anchorId="5F8557D6" wp14:editId="5C3F31DE">
            <wp:extent cx="133350" cy="247650"/>
            <wp:effectExtent l="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A261C3">
        <w:rPr>
          <w:bCs w:val="0"/>
          <w:lang w:val="es-ES"/>
        </w:rPr>
        <w:t>(</w:t>
      </w:r>
      <w:r w:rsidRPr="00A261C3">
        <w:t>TWTG</w:t>
      </w:r>
      <w:r w:rsidRPr="00A261C3">
        <w:rPr>
          <w:i/>
          <w:iCs/>
          <w:vertAlign w:val="subscript"/>
          <w:lang w:val="es-ES"/>
        </w:rPr>
        <w:t xml:space="preserve"> q, r, p, i</w:t>
      </w:r>
      <w:r w:rsidRPr="00A261C3">
        <w:t>)</w:t>
      </w:r>
    </w:p>
    <w:p w14:paraId="1B157D52" w14:textId="4E20AA58" w:rsidR="001F04FD" w:rsidRPr="00A261C3" w:rsidRDefault="001F04FD" w:rsidP="001F04FD">
      <w:pPr>
        <w:tabs>
          <w:tab w:val="left" w:pos="2340"/>
          <w:tab w:val="left" w:pos="3420"/>
        </w:tabs>
        <w:spacing w:after="240"/>
        <w:ind w:leftChars="300" w:left="2880" w:hangingChars="900" w:hanging="2160"/>
        <w:rPr>
          <w:b/>
          <w:bCs/>
          <w:i/>
          <w:iCs/>
          <w:sz w:val="26"/>
          <w:szCs w:val="26"/>
        </w:rPr>
      </w:pPr>
      <w:r w:rsidRPr="00A261C3">
        <w:rPr>
          <w:lang w:val="es-ES"/>
        </w:rPr>
        <w:t>AABP</w:t>
      </w:r>
      <w:r w:rsidRPr="00A261C3">
        <w:rPr>
          <w:i/>
          <w:vertAlign w:val="subscript"/>
          <w:lang w:val="pt-BR"/>
        </w:rPr>
        <w:t xml:space="preserve"> q,</w:t>
      </w:r>
      <w:r w:rsidR="00967F3A">
        <w:rPr>
          <w:i/>
          <w:vertAlign w:val="subscript"/>
          <w:lang w:val="pt-BR"/>
        </w:rPr>
        <w:t xml:space="preserve"> </w:t>
      </w:r>
      <w:r w:rsidRPr="00A261C3">
        <w:rPr>
          <w:i/>
          <w:vertAlign w:val="subscript"/>
          <w:lang w:val="pt-BR"/>
        </w:rPr>
        <w:t xml:space="preserve">wg, i </w:t>
      </w:r>
      <w:r w:rsidRPr="00A261C3">
        <w:rPr>
          <w:lang w:val="pt-BR"/>
        </w:rPr>
        <w:t xml:space="preserve">= </w:t>
      </w:r>
      <w:r w:rsidR="00A94020">
        <w:rPr>
          <w:noProof/>
          <w:position w:val="-18"/>
        </w:rPr>
        <w:drawing>
          <wp:inline distT="0" distB="0" distL="0" distR="0" wp14:anchorId="19878490" wp14:editId="62E03366">
            <wp:extent cx="133350" cy="247650"/>
            <wp:effectExtent l="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A261C3">
        <w:rPr>
          <w:lang w:val="es-ES"/>
        </w:rPr>
        <w:t>(</w:t>
      </w:r>
      <w:r w:rsidRPr="00A261C3">
        <w:rPr>
          <w:lang w:val="pt-BR"/>
        </w:rPr>
        <w:t>AABP</w:t>
      </w:r>
      <w:r w:rsidRPr="00A261C3">
        <w:rPr>
          <w:i/>
          <w:vertAlign w:val="subscript"/>
          <w:lang w:val="pt-BR"/>
        </w:rPr>
        <w:t xml:space="preserve"> q, r, p, i</w:t>
      </w:r>
      <w:r w:rsidRPr="00A261C3">
        <w:rPr>
          <w:lang w:val="pt-BR"/>
        </w:rPr>
        <w:t>)</w:t>
      </w:r>
    </w:p>
    <w:p w14:paraId="22757182" w14:textId="77777777" w:rsidR="001F04FD" w:rsidRDefault="001F04FD" w:rsidP="001F04FD">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F04FD" w:rsidRPr="00763FB7" w14:paraId="2B105990" w14:textId="77777777" w:rsidTr="00C22690">
        <w:tc>
          <w:tcPr>
            <w:tcW w:w="1975" w:type="dxa"/>
          </w:tcPr>
          <w:p w14:paraId="0E903CFB" w14:textId="77777777" w:rsidR="001F04FD" w:rsidRPr="00763FB7" w:rsidRDefault="001F04FD" w:rsidP="00AC4DEE">
            <w:pPr>
              <w:pStyle w:val="TableHead"/>
              <w:rPr>
                <w:sz w:val="18"/>
                <w:szCs w:val="18"/>
              </w:rPr>
            </w:pPr>
            <w:r w:rsidRPr="00763FB7">
              <w:rPr>
                <w:sz w:val="18"/>
                <w:szCs w:val="18"/>
              </w:rPr>
              <w:t>Variable</w:t>
            </w:r>
          </w:p>
        </w:tc>
        <w:tc>
          <w:tcPr>
            <w:tcW w:w="900" w:type="dxa"/>
          </w:tcPr>
          <w:p w14:paraId="4E8017DD" w14:textId="77777777" w:rsidR="001F04FD" w:rsidRPr="00763FB7" w:rsidRDefault="001F04FD" w:rsidP="00AC4DEE">
            <w:pPr>
              <w:pStyle w:val="TableHead"/>
              <w:rPr>
                <w:sz w:val="18"/>
                <w:szCs w:val="18"/>
              </w:rPr>
            </w:pPr>
            <w:r w:rsidRPr="00763FB7">
              <w:rPr>
                <w:sz w:val="18"/>
                <w:szCs w:val="18"/>
              </w:rPr>
              <w:t>Unit</w:t>
            </w:r>
          </w:p>
        </w:tc>
        <w:tc>
          <w:tcPr>
            <w:tcW w:w="6942" w:type="dxa"/>
            <w:gridSpan w:val="2"/>
          </w:tcPr>
          <w:p w14:paraId="23205958" w14:textId="77777777" w:rsidR="001F04FD" w:rsidRPr="00763FB7" w:rsidRDefault="001F04FD" w:rsidP="00AC4DEE">
            <w:pPr>
              <w:pStyle w:val="TableHead"/>
              <w:rPr>
                <w:sz w:val="18"/>
                <w:szCs w:val="18"/>
              </w:rPr>
            </w:pPr>
            <w:r w:rsidRPr="00763FB7">
              <w:rPr>
                <w:sz w:val="18"/>
                <w:szCs w:val="18"/>
              </w:rPr>
              <w:t>Definition</w:t>
            </w:r>
          </w:p>
        </w:tc>
      </w:tr>
      <w:tr w:rsidR="001F04FD" w:rsidRPr="00763FB7" w14:paraId="383C1ADD" w14:textId="77777777" w:rsidTr="00C22690">
        <w:trPr>
          <w:cantSplit/>
        </w:trPr>
        <w:tc>
          <w:tcPr>
            <w:tcW w:w="1975" w:type="dxa"/>
          </w:tcPr>
          <w:p w14:paraId="2D48C5ED" w14:textId="77777777" w:rsidR="001F04FD" w:rsidRPr="00E15B17" w:rsidRDefault="001F04FD" w:rsidP="00AC4DEE">
            <w:pPr>
              <w:pStyle w:val="TableBody"/>
            </w:pPr>
            <w:r w:rsidRPr="00E15B17">
              <w:t xml:space="preserve">BPDAMT </w:t>
            </w:r>
            <w:r w:rsidRPr="00E15B17">
              <w:rPr>
                <w:i/>
                <w:vertAlign w:val="subscript"/>
              </w:rPr>
              <w:t>q, r, p, i</w:t>
            </w:r>
          </w:p>
        </w:tc>
        <w:tc>
          <w:tcPr>
            <w:tcW w:w="900" w:type="dxa"/>
          </w:tcPr>
          <w:p w14:paraId="5BDDDC0E" w14:textId="77777777" w:rsidR="001F04FD" w:rsidRPr="00763FB7" w:rsidRDefault="001F04FD" w:rsidP="00AC4DEE">
            <w:pPr>
              <w:pStyle w:val="TableBody"/>
              <w:rPr>
                <w:sz w:val="18"/>
                <w:szCs w:val="18"/>
              </w:rPr>
            </w:pPr>
            <w:r w:rsidRPr="00763FB7">
              <w:rPr>
                <w:sz w:val="18"/>
                <w:szCs w:val="18"/>
              </w:rPr>
              <w:t>$</w:t>
            </w:r>
          </w:p>
        </w:tc>
        <w:tc>
          <w:tcPr>
            <w:tcW w:w="6942" w:type="dxa"/>
            <w:gridSpan w:val="2"/>
          </w:tcPr>
          <w:p w14:paraId="694FDF72" w14:textId="77777777" w:rsidR="001F04FD" w:rsidRPr="00763FB7" w:rsidRDefault="001F04FD" w:rsidP="00AC4DEE">
            <w:pPr>
              <w:pStyle w:val="TableBody"/>
              <w:rPr>
                <w:sz w:val="18"/>
                <w:szCs w:val="18"/>
              </w:rPr>
            </w:pPr>
            <w:r w:rsidRPr="00763FB7">
              <w:rPr>
                <w:i/>
                <w:sz w:val="18"/>
                <w:szCs w:val="18"/>
              </w:rPr>
              <w:t>Base Point Deviation Charge per QSE per Settlement Point per Resource</w:t>
            </w:r>
            <w:r w:rsidRPr="00763FB7">
              <w:rPr>
                <w:sz w:val="18"/>
                <w:szCs w:val="18"/>
              </w:rPr>
              <w:t xml:space="preserve">—The charge to QSE </w:t>
            </w:r>
            <w:r w:rsidRPr="00763FB7">
              <w:rPr>
                <w:i/>
                <w:sz w:val="18"/>
                <w:szCs w:val="18"/>
              </w:rPr>
              <w:t>q</w:t>
            </w:r>
            <w:r w:rsidRPr="00763FB7">
              <w:rPr>
                <w:sz w:val="18"/>
                <w:szCs w:val="18"/>
              </w:rPr>
              <w:t xml:space="preserve"> for Generation Resource </w:t>
            </w:r>
            <w:r w:rsidRPr="00763FB7">
              <w:rPr>
                <w:i/>
                <w:sz w:val="18"/>
                <w:szCs w:val="18"/>
              </w:rPr>
              <w:t>r</w:t>
            </w:r>
            <w:r w:rsidRPr="00763FB7">
              <w:rPr>
                <w:sz w:val="18"/>
                <w:szCs w:val="18"/>
              </w:rPr>
              <w:t xml:space="preserve"> at Resource Node </w:t>
            </w:r>
            <w:r w:rsidRPr="00763FB7">
              <w:rPr>
                <w:i/>
                <w:sz w:val="18"/>
                <w:szCs w:val="18"/>
              </w:rPr>
              <w:t>p</w:t>
            </w:r>
            <w:r w:rsidRPr="00763FB7">
              <w:rPr>
                <w:sz w:val="18"/>
                <w:szCs w:val="18"/>
              </w:rPr>
              <w:t xml:space="preserve">, for its deviation from Base Point, for the 15-minute Settlement Interval </w:t>
            </w:r>
            <w:r w:rsidRPr="00763FB7">
              <w:rPr>
                <w:i/>
                <w:sz w:val="18"/>
                <w:szCs w:val="18"/>
              </w:rPr>
              <w:t>i</w:t>
            </w:r>
            <w:r w:rsidRPr="00763FB7">
              <w:rPr>
                <w:sz w:val="18"/>
                <w:szCs w:val="18"/>
              </w:rPr>
              <w:t>.</w:t>
            </w:r>
          </w:p>
        </w:tc>
      </w:tr>
      <w:tr w:rsidR="001F04FD" w:rsidRPr="00763FB7" w14:paraId="30E816A2" w14:textId="77777777" w:rsidTr="00C22690">
        <w:trPr>
          <w:cantSplit/>
        </w:trPr>
        <w:tc>
          <w:tcPr>
            <w:tcW w:w="1975" w:type="dxa"/>
          </w:tcPr>
          <w:p w14:paraId="74DF7330" w14:textId="77777777" w:rsidR="001F04FD" w:rsidRPr="00E15B17" w:rsidRDefault="001F04FD" w:rsidP="00AC4DEE">
            <w:pPr>
              <w:pStyle w:val="TableBody"/>
            </w:pPr>
            <w:r w:rsidRPr="00E15B17">
              <w:t xml:space="preserve">RTSPP </w:t>
            </w:r>
            <w:r w:rsidRPr="00E15B17">
              <w:rPr>
                <w:i/>
                <w:vertAlign w:val="subscript"/>
              </w:rPr>
              <w:t>p, i</w:t>
            </w:r>
          </w:p>
        </w:tc>
        <w:tc>
          <w:tcPr>
            <w:tcW w:w="900" w:type="dxa"/>
          </w:tcPr>
          <w:p w14:paraId="3B52EFA6" w14:textId="77777777" w:rsidR="001F04FD" w:rsidRPr="00763FB7" w:rsidRDefault="001F04FD" w:rsidP="00AC4DEE">
            <w:pPr>
              <w:pStyle w:val="TableBody"/>
              <w:rPr>
                <w:sz w:val="18"/>
                <w:szCs w:val="18"/>
              </w:rPr>
            </w:pPr>
            <w:r w:rsidRPr="00782FE7">
              <w:rPr>
                <w:sz w:val="18"/>
                <w:szCs w:val="18"/>
              </w:rPr>
              <w:t>$/MWh</w:t>
            </w:r>
          </w:p>
        </w:tc>
        <w:tc>
          <w:tcPr>
            <w:tcW w:w="6942" w:type="dxa"/>
            <w:gridSpan w:val="2"/>
          </w:tcPr>
          <w:p w14:paraId="77C08CD7" w14:textId="77777777" w:rsidR="001F04FD" w:rsidRPr="00763FB7" w:rsidRDefault="001F04FD" w:rsidP="00AC4DEE">
            <w:pPr>
              <w:pStyle w:val="TableBody"/>
              <w:rPr>
                <w:sz w:val="18"/>
                <w:szCs w:val="18"/>
              </w:rPr>
            </w:pPr>
            <w:r w:rsidRPr="00782FE7">
              <w:rPr>
                <w:i/>
                <w:sz w:val="18"/>
                <w:szCs w:val="18"/>
              </w:rPr>
              <w:t>Real-Time Settlement Point Price per Settlement Point</w:t>
            </w:r>
            <w:r w:rsidRPr="00782FE7">
              <w:rPr>
                <w:sz w:val="18"/>
                <w:szCs w:val="18"/>
              </w:rPr>
              <w:t xml:space="preserve">—The Real-Time Settlement Point Price at Resource Node </w:t>
            </w:r>
            <w:r w:rsidRPr="00782FE7">
              <w:rPr>
                <w:i/>
                <w:sz w:val="18"/>
                <w:szCs w:val="18"/>
              </w:rPr>
              <w:t>p</w:t>
            </w:r>
            <w:r w:rsidRPr="00782FE7">
              <w:rPr>
                <w:sz w:val="18"/>
                <w:szCs w:val="18"/>
              </w:rPr>
              <w:t xml:space="preserve">, for the 15-minute Settlement Interval </w:t>
            </w:r>
            <w:r w:rsidRPr="00763FB7">
              <w:rPr>
                <w:i/>
                <w:sz w:val="18"/>
                <w:szCs w:val="18"/>
              </w:rPr>
              <w:t>i</w:t>
            </w:r>
            <w:r w:rsidRPr="00763FB7">
              <w:rPr>
                <w:sz w:val="18"/>
                <w:szCs w:val="18"/>
              </w:rPr>
              <w:t>.</w:t>
            </w:r>
          </w:p>
        </w:tc>
      </w:tr>
      <w:tr w:rsidR="001F04FD" w:rsidRPr="00763FB7" w14:paraId="5B6B6109" w14:textId="77777777" w:rsidTr="00C22690">
        <w:trPr>
          <w:gridAfter w:val="1"/>
          <w:wAfter w:w="12" w:type="dxa"/>
          <w:cantSplit/>
        </w:trPr>
        <w:tc>
          <w:tcPr>
            <w:tcW w:w="1975" w:type="dxa"/>
          </w:tcPr>
          <w:p w14:paraId="52B90883" w14:textId="77777777" w:rsidR="001F04FD" w:rsidRPr="00E15B17" w:rsidRDefault="001F04FD" w:rsidP="00AC4DEE">
            <w:pPr>
              <w:pStyle w:val="TableBody"/>
            </w:pPr>
            <w:r w:rsidRPr="00E15B17">
              <w:t xml:space="preserve">TWTG </w:t>
            </w:r>
            <w:r w:rsidRPr="00E15B17">
              <w:rPr>
                <w:i/>
                <w:vertAlign w:val="subscript"/>
              </w:rPr>
              <w:t>q, r, p, i</w:t>
            </w:r>
          </w:p>
        </w:tc>
        <w:tc>
          <w:tcPr>
            <w:tcW w:w="900" w:type="dxa"/>
          </w:tcPr>
          <w:p w14:paraId="1F886441" w14:textId="77777777" w:rsidR="001F04FD" w:rsidRPr="00763FB7" w:rsidRDefault="001F04FD" w:rsidP="00AC4DEE">
            <w:pPr>
              <w:pStyle w:val="TableBody"/>
              <w:rPr>
                <w:sz w:val="18"/>
                <w:szCs w:val="18"/>
              </w:rPr>
            </w:pPr>
            <w:r>
              <w:t>MWh</w:t>
            </w:r>
          </w:p>
        </w:tc>
        <w:tc>
          <w:tcPr>
            <w:tcW w:w="6930" w:type="dxa"/>
          </w:tcPr>
          <w:p w14:paraId="4E7AE336" w14:textId="77777777" w:rsidR="001F04FD" w:rsidRPr="00D9273D" w:rsidRDefault="001F04FD" w:rsidP="00AC4DEE">
            <w:pPr>
              <w:pStyle w:val="TableBody"/>
              <w:rPr>
                <w:i/>
                <w:sz w:val="18"/>
                <w:szCs w:val="18"/>
              </w:rPr>
            </w:pPr>
            <w:r w:rsidRPr="00D9273D">
              <w:rPr>
                <w:i/>
              </w:rPr>
              <w:t>Time-Weighted Telemetered Generation per QSE per Settlement Point per Resource</w:t>
            </w:r>
            <w:r w:rsidRPr="00D9273D">
              <w:t xml:space="preserve">—The telemetered generation of Generation Resource </w:t>
            </w:r>
            <w:r w:rsidRPr="00D9273D">
              <w:rPr>
                <w:i/>
              </w:rPr>
              <w:t>r</w:t>
            </w:r>
            <w:r w:rsidRPr="00D9273D">
              <w:t xml:space="preserve"> represented by QSE </w:t>
            </w:r>
            <w:r w:rsidRPr="00D9273D">
              <w:rPr>
                <w:i/>
              </w:rPr>
              <w:t>q</w:t>
            </w:r>
            <w:r w:rsidRPr="00D9273D">
              <w:t xml:space="preserve"> at Resource Node </w:t>
            </w:r>
            <w:r w:rsidRPr="00D9273D">
              <w:rPr>
                <w:i/>
              </w:rPr>
              <w:t>p</w:t>
            </w:r>
            <w:r w:rsidRPr="00D9273D">
              <w:t xml:space="preserve">, for the 15-minute Settlement Interval </w:t>
            </w:r>
            <w:r w:rsidRPr="00D9273D">
              <w:rPr>
                <w:i/>
              </w:rPr>
              <w:t>i.</w:t>
            </w:r>
          </w:p>
        </w:tc>
      </w:tr>
      <w:tr w:rsidR="001F04FD" w:rsidRPr="00763FB7" w14:paraId="2AF85FC3" w14:textId="77777777" w:rsidTr="00C22690">
        <w:trPr>
          <w:gridAfter w:val="1"/>
          <w:wAfter w:w="12" w:type="dxa"/>
          <w:cantSplit/>
        </w:trPr>
        <w:tc>
          <w:tcPr>
            <w:tcW w:w="1975" w:type="dxa"/>
          </w:tcPr>
          <w:p w14:paraId="41768EFB" w14:textId="77777777" w:rsidR="001F04FD" w:rsidRPr="00E15B17" w:rsidRDefault="001F04FD" w:rsidP="00AC4DEE">
            <w:pPr>
              <w:pStyle w:val="TableBody"/>
            </w:pPr>
            <w:r w:rsidRPr="00E15B17">
              <w:t xml:space="preserve">AABP </w:t>
            </w:r>
            <w:r w:rsidRPr="00E15B17">
              <w:rPr>
                <w:i/>
                <w:vertAlign w:val="subscript"/>
              </w:rPr>
              <w:t>q, r, p, i</w:t>
            </w:r>
          </w:p>
        </w:tc>
        <w:tc>
          <w:tcPr>
            <w:tcW w:w="900" w:type="dxa"/>
          </w:tcPr>
          <w:p w14:paraId="7C57FE8F" w14:textId="77777777" w:rsidR="001F04FD" w:rsidRPr="00763FB7" w:rsidRDefault="001F04FD" w:rsidP="00AC4DEE">
            <w:pPr>
              <w:pStyle w:val="TableBody"/>
              <w:rPr>
                <w:sz w:val="18"/>
                <w:szCs w:val="18"/>
              </w:rPr>
            </w:pPr>
            <w:r>
              <w:t>MW</w:t>
            </w:r>
          </w:p>
        </w:tc>
        <w:tc>
          <w:tcPr>
            <w:tcW w:w="6930" w:type="dxa"/>
          </w:tcPr>
          <w:p w14:paraId="56CDA9CF" w14:textId="5DA0D0E3" w:rsidR="001F04FD" w:rsidRPr="00D9273D" w:rsidRDefault="001F04FD" w:rsidP="00AC4DEE">
            <w:pPr>
              <w:pStyle w:val="TableBody"/>
              <w:rPr>
                <w:i/>
                <w:sz w:val="18"/>
                <w:szCs w:val="18"/>
              </w:rPr>
            </w:pPr>
            <w:r w:rsidRPr="00D9273D">
              <w:rPr>
                <w:i/>
              </w:rPr>
              <w:t>Adjusted Aggregated Base Point Generation per QSE per Settlement Point per Resource</w:t>
            </w:r>
            <w:r w:rsidRPr="00D9273D">
              <w:t>—The aggregated Base Point adjusted for Ancillary Service deployments, of Generation Resource</w:t>
            </w:r>
            <w:r>
              <w:t xml:space="preserve"> or Controllable Load Resource</w:t>
            </w:r>
            <w:r w:rsidRPr="00D9273D">
              <w:t xml:space="preserve"> </w:t>
            </w:r>
            <w:r w:rsidRPr="00D9273D">
              <w:rPr>
                <w:i/>
              </w:rPr>
              <w:t>r</w:t>
            </w:r>
            <w:r w:rsidRPr="00D9273D">
              <w:t xml:space="preserve"> represented by QSE </w:t>
            </w:r>
            <w:r w:rsidRPr="00D9273D">
              <w:rPr>
                <w:i/>
              </w:rPr>
              <w:t>q</w:t>
            </w:r>
            <w:r w:rsidRPr="00D9273D">
              <w:t xml:space="preserve"> at </w:t>
            </w:r>
            <w:r>
              <w:t>Settlement Point</w:t>
            </w:r>
            <w:r w:rsidRPr="00D9273D">
              <w:t xml:space="preserve"> </w:t>
            </w:r>
            <w:r w:rsidRPr="00D9273D">
              <w:rPr>
                <w:i/>
              </w:rPr>
              <w:t>p</w:t>
            </w:r>
            <w:r w:rsidRPr="00D9273D">
              <w:t xml:space="preserve">, for the 15-minute Settlement Interval </w:t>
            </w:r>
            <w:r w:rsidRPr="00D9273D">
              <w:rPr>
                <w:i/>
              </w:rPr>
              <w:t>i.</w:t>
            </w:r>
          </w:p>
        </w:tc>
      </w:tr>
      <w:tr w:rsidR="001F04FD" w:rsidRPr="00763FB7" w14:paraId="231B2764" w14:textId="77777777" w:rsidTr="00C22690">
        <w:trPr>
          <w:cantSplit/>
        </w:trPr>
        <w:tc>
          <w:tcPr>
            <w:tcW w:w="1975" w:type="dxa"/>
          </w:tcPr>
          <w:p w14:paraId="157E9575" w14:textId="77777777" w:rsidR="001F04FD" w:rsidRPr="00E15B17" w:rsidRDefault="001F04FD" w:rsidP="00AC4DEE">
            <w:pPr>
              <w:pStyle w:val="TableBody"/>
            </w:pPr>
            <w:r w:rsidRPr="00E15B17">
              <w:t>AVGTG5M</w:t>
            </w:r>
            <w:r w:rsidRPr="00E15B17">
              <w:rPr>
                <w:i/>
                <w:vertAlign w:val="subscript"/>
                <w:lang w:val="fr-FR"/>
              </w:rPr>
              <w:t xml:space="preserve"> q, r, p, i, y</w:t>
            </w:r>
          </w:p>
        </w:tc>
        <w:tc>
          <w:tcPr>
            <w:tcW w:w="900" w:type="dxa"/>
          </w:tcPr>
          <w:p w14:paraId="34386646" w14:textId="77777777" w:rsidR="001F04FD" w:rsidRPr="00763FB7" w:rsidRDefault="001F04FD" w:rsidP="00AC4DEE">
            <w:pPr>
              <w:pStyle w:val="TableBody"/>
              <w:rPr>
                <w:sz w:val="18"/>
                <w:szCs w:val="18"/>
              </w:rPr>
            </w:pPr>
            <w:r w:rsidRPr="00782FE7">
              <w:rPr>
                <w:sz w:val="18"/>
                <w:szCs w:val="18"/>
              </w:rPr>
              <w:t>MW</w:t>
            </w:r>
          </w:p>
        </w:tc>
        <w:tc>
          <w:tcPr>
            <w:tcW w:w="6942" w:type="dxa"/>
            <w:gridSpan w:val="2"/>
          </w:tcPr>
          <w:p w14:paraId="72B84AD1" w14:textId="77777777" w:rsidR="001F04FD" w:rsidRPr="00763FB7" w:rsidRDefault="001F04FD" w:rsidP="00AC4DEE">
            <w:pPr>
              <w:pStyle w:val="TableBody"/>
              <w:rPr>
                <w:sz w:val="18"/>
                <w:szCs w:val="18"/>
              </w:rPr>
            </w:pPr>
            <w:r w:rsidRPr="00782FE7">
              <w:rPr>
                <w:i/>
                <w:sz w:val="18"/>
                <w:szCs w:val="18"/>
              </w:rPr>
              <w:t xml:space="preserve">Average Telemetered Generation </w:t>
            </w:r>
            <w:r w:rsidRPr="00763FB7">
              <w:rPr>
                <w:i/>
                <w:sz w:val="18"/>
                <w:szCs w:val="18"/>
              </w:rPr>
              <w:t>for the 5 Minutes</w:t>
            </w:r>
            <w:r w:rsidRPr="00763FB7">
              <w:rPr>
                <w:sz w:val="18"/>
                <w:szCs w:val="18"/>
              </w:rPr>
              <w:t xml:space="preserve">—The average telemetered generation of Generation Resource </w:t>
            </w:r>
            <w:r w:rsidRPr="00763FB7">
              <w:rPr>
                <w:i/>
                <w:sz w:val="18"/>
                <w:szCs w:val="18"/>
              </w:rPr>
              <w:t>r</w:t>
            </w:r>
            <w:r w:rsidRPr="00763FB7">
              <w:rPr>
                <w:sz w:val="18"/>
                <w:szCs w:val="18"/>
              </w:rPr>
              <w:t xml:space="preserve"> represented by QSE </w:t>
            </w:r>
            <w:r w:rsidRPr="00763FB7">
              <w:rPr>
                <w:i/>
                <w:sz w:val="18"/>
                <w:szCs w:val="18"/>
              </w:rPr>
              <w:t>q</w:t>
            </w:r>
            <w:r w:rsidRPr="00763FB7">
              <w:rPr>
                <w:sz w:val="18"/>
                <w:szCs w:val="18"/>
              </w:rPr>
              <w:t xml:space="preserve"> at Resource Node </w:t>
            </w:r>
            <w:r w:rsidRPr="00763FB7">
              <w:rPr>
                <w:i/>
                <w:sz w:val="18"/>
                <w:szCs w:val="18"/>
              </w:rPr>
              <w:t>p</w:t>
            </w:r>
            <w:r w:rsidRPr="00763FB7">
              <w:rPr>
                <w:sz w:val="18"/>
                <w:szCs w:val="18"/>
              </w:rPr>
              <w:t xml:space="preserve">, for the five-minute clock interval </w:t>
            </w:r>
            <w:r w:rsidRPr="00763FB7">
              <w:rPr>
                <w:i/>
                <w:sz w:val="18"/>
                <w:szCs w:val="18"/>
              </w:rPr>
              <w:t>y</w:t>
            </w:r>
            <w:r w:rsidRPr="00763FB7">
              <w:rPr>
                <w:sz w:val="18"/>
                <w:szCs w:val="18"/>
              </w:rPr>
              <w:t xml:space="preserve">, within the 15-minute Settlement Interval </w:t>
            </w:r>
            <w:r w:rsidRPr="00763FB7">
              <w:rPr>
                <w:i/>
                <w:sz w:val="18"/>
                <w:szCs w:val="18"/>
              </w:rPr>
              <w:t>i</w:t>
            </w:r>
            <w:r w:rsidRPr="00763FB7">
              <w:rPr>
                <w:sz w:val="18"/>
                <w:szCs w:val="18"/>
              </w:rPr>
              <w:t>.</w:t>
            </w:r>
          </w:p>
        </w:tc>
      </w:tr>
      <w:tr w:rsidR="001F04FD" w:rsidRPr="00763FB7" w14:paraId="04A0701E" w14:textId="77777777" w:rsidTr="00C22690">
        <w:trPr>
          <w:cantSplit/>
        </w:trPr>
        <w:tc>
          <w:tcPr>
            <w:tcW w:w="1975" w:type="dxa"/>
          </w:tcPr>
          <w:p w14:paraId="63C2FDB8" w14:textId="77777777" w:rsidR="001F04FD" w:rsidRPr="00E15B17" w:rsidRDefault="001F04FD" w:rsidP="00AC4DEE">
            <w:pPr>
              <w:pStyle w:val="TableBody"/>
            </w:pPr>
            <w:r w:rsidRPr="00E15B17">
              <w:t xml:space="preserve">OGENIRR </w:t>
            </w:r>
            <w:r w:rsidRPr="00E15B17">
              <w:rPr>
                <w:i/>
                <w:vertAlign w:val="subscript"/>
              </w:rPr>
              <w:t>q, r, p, i</w:t>
            </w:r>
          </w:p>
        </w:tc>
        <w:tc>
          <w:tcPr>
            <w:tcW w:w="900" w:type="dxa"/>
          </w:tcPr>
          <w:p w14:paraId="4A8C663E" w14:textId="77777777" w:rsidR="001F04FD" w:rsidRPr="00D9273D" w:rsidRDefault="001F04FD" w:rsidP="00AC4DEE">
            <w:pPr>
              <w:pStyle w:val="TableBody"/>
              <w:rPr>
                <w:sz w:val="18"/>
                <w:szCs w:val="18"/>
              </w:rPr>
            </w:pPr>
            <w:r w:rsidRPr="00D9273D">
              <w:rPr>
                <w:sz w:val="18"/>
                <w:szCs w:val="18"/>
              </w:rPr>
              <w:t>MW</w:t>
            </w:r>
            <w:r w:rsidR="006D6523">
              <w:rPr>
                <w:sz w:val="18"/>
                <w:szCs w:val="18"/>
              </w:rPr>
              <w:t>h</w:t>
            </w:r>
          </w:p>
        </w:tc>
        <w:tc>
          <w:tcPr>
            <w:tcW w:w="6942" w:type="dxa"/>
            <w:gridSpan w:val="2"/>
          </w:tcPr>
          <w:p w14:paraId="073B2FAB" w14:textId="77777777" w:rsidR="001F04FD" w:rsidRPr="00D9273D" w:rsidRDefault="001F04FD" w:rsidP="00AC4DEE">
            <w:pPr>
              <w:pStyle w:val="TableBody"/>
              <w:rPr>
                <w:sz w:val="18"/>
                <w:szCs w:val="18"/>
              </w:rPr>
            </w:pPr>
            <w:r w:rsidRPr="00D9273D">
              <w:rPr>
                <w:i/>
                <w:sz w:val="18"/>
                <w:szCs w:val="18"/>
              </w:rPr>
              <w:t>Over Generation Volumes per QSE per Settlement Point per IRR Generation Resource</w:t>
            </w:r>
            <w:r w:rsidRPr="00D9273D">
              <w:rPr>
                <w:sz w:val="18"/>
                <w:szCs w:val="18"/>
              </w:rPr>
              <w:t xml:space="preserve">—The amount over generated by the IRR </w:t>
            </w:r>
            <w:r w:rsidRPr="00D9273D">
              <w:rPr>
                <w:i/>
                <w:sz w:val="18"/>
                <w:szCs w:val="18"/>
              </w:rPr>
              <w:t>r</w:t>
            </w:r>
            <w:r w:rsidRPr="00D9273D">
              <w:rPr>
                <w:sz w:val="18"/>
                <w:szCs w:val="18"/>
              </w:rPr>
              <w:t xml:space="preserve"> represented by QSE </w:t>
            </w:r>
            <w:r w:rsidRPr="00D9273D">
              <w:rPr>
                <w:i/>
                <w:sz w:val="18"/>
                <w:szCs w:val="18"/>
              </w:rPr>
              <w:t>q</w:t>
            </w:r>
            <w:r w:rsidRPr="00D9273D">
              <w:rPr>
                <w:sz w:val="18"/>
                <w:szCs w:val="18"/>
              </w:rPr>
              <w:t xml:space="preserve"> at Resource Node </w:t>
            </w:r>
            <w:r w:rsidRPr="00D9273D">
              <w:rPr>
                <w:i/>
                <w:sz w:val="18"/>
                <w:szCs w:val="18"/>
              </w:rPr>
              <w:t>p</w:t>
            </w:r>
            <w:r w:rsidRPr="00D9273D">
              <w:rPr>
                <w:sz w:val="18"/>
                <w:szCs w:val="18"/>
              </w:rPr>
              <w:t xml:space="preserve"> for the 15-minute Settlement Interval </w:t>
            </w:r>
            <w:r w:rsidRPr="00D9273D">
              <w:rPr>
                <w:i/>
                <w:sz w:val="18"/>
                <w:szCs w:val="18"/>
              </w:rPr>
              <w:t>i</w:t>
            </w:r>
            <w:r>
              <w:rPr>
                <w:sz w:val="18"/>
                <w:szCs w:val="18"/>
              </w:rPr>
              <w:t>.</w:t>
            </w:r>
          </w:p>
        </w:tc>
      </w:tr>
      <w:tr w:rsidR="001F04FD" w:rsidRPr="00763FB7" w14:paraId="31FA7879" w14:textId="77777777" w:rsidTr="00C22690">
        <w:trPr>
          <w:cantSplit/>
        </w:trPr>
        <w:tc>
          <w:tcPr>
            <w:tcW w:w="1975" w:type="dxa"/>
          </w:tcPr>
          <w:p w14:paraId="19F9DCD5" w14:textId="77777777" w:rsidR="001F04FD" w:rsidRPr="00E15B17" w:rsidRDefault="001F04FD" w:rsidP="00AC4DEE">
            <w:pPr>
              <w:pStyle w:val="TableBody"/>
            </w:pPr>
            <w:r w:rsidRPr="00E15B17">
              <w:t>PR1</w:t>
            </w:r>
          </w:p>
        </w:tc>
        <w:tc>
          <w:tcPr>
            <w:tcW w:w="900" w:type="dxa"/>
          </w:tcPr>
          <w:p w14:paraId="2199981E" w14:textId="77777777" w:rsidR="001F04FD" w:rsidRPr="00763FB7" w:rsidRDefault="001F04FD" w:rsidP="00AC4DEE">
            <w:pPr>
              <w:pStyle w:val="TableBody"/>
              <w:rPr>
                <w:sz w:val="18"/>
                <w:szCs w:val="18"/>
              </w:rPr>
            </w:pPr>
            <w:r w:rsidRPr="00763FB7">
              <w:rPr>
                <w:sz w:val="18"/>
                <w:szCs w:val="18"/>
              </w:rPr>
              <w:t>$/MWh</w:t>
            </w:r>
          </w:p>
        </w:tc>
        <w:tc>
          <w:tcPr>
            <w:tcW w:w="6942" w:type="dxa"/>
            <w:gridSpan w:val="2"/>
          </w:tcPr>
          <w:p w14:paraId="1C6D8E58" w14:textId="77777777" w:rsidR="001F04FD" w:rsidRPr="00763FB7" w:rsidRDefault="001F04FD" w:rsidP="00AC4DEE">
            <w:pPr>
              <w:pStyle w:val="TableBody"/>
              <w:rPr>
                <w:sz w:val="18"/>
                <w:szCs w:val="18"/>
              </w:rPr>
            </w:pPr>
            <w:r w:rsidRPr="00763FB7">
              <w:rPr>
                <w:sz w:val="18"/>
                <w:szCs w:val="18"/>
              </w:rPr>
              <w:t>The price to use for the charge calculation when RTSPP is less than</w:t>
            </w:r>
            <w:r>
              <w:rPr>
                <w:sz w:val="18"/>
                <w:szCs w:val="18"/>
              </w:rPr>
              <w:t xml:space="preserve"> </w:t>
            </w:r>
            <w:r w:rsidRPr="00763FB7">
              <w:rPr>
                <w:sz w:val="18"/>
                <w:szCs w:val="18"/>
              </w:rPr>
              <w:t>$20</w:t>
            </w:r>
            <w:r>
              <w:rPr>
                <w:sz w:val="18"/>
                <w:szCs w:val="18"/>
              </w:rPr>
              <w:t>/MWh, $20/MWh</w:t>
            </w:r>
            <w:r w:rsidRPr="00763FB7">
              <w:rPr>
                <w:sz w:val="18"/>
                <w:szCs w:val="18"/>
              </w:rPr>
              <w:t xml:space="preserve">.  </w:t>
            </w:r>
          </w:p>
        </w:tc>
      </w:tr>
      <w:tr w:rsidR="001F04FD" w:rsidRPr="00763FB7" w14:paraId="75C362F8" w14:textId="77777777" w:rsidTr="00C22690">
        <w:trPr>
          <w:cantSplit/>
        </w:trPr>
        <w:tc>
          <w:tcPr>
            <w:tcW w:w="1975" w:type="dxa"/>
          </w:tcPr>
          <w:p w14:paraId="70EC7DC4" w14:textId="77777777" w:rsidR="001F04FD" w:rsidRPr="00E15B17" w:rsidRDefault="001F04FD" w:rsidP="00AC4DEE">
            <w:pPr>
              <w:pStyle w:val="TableBody"/>
            </w:pPr>
            <w:r w:rsidRPr="00E15B17">
              <w:t>KIRR</w:t>
            </w:r>
          </w:p>
        </w:tc>
        <w:tc>
          <w:tcPr>
            <w:tcW w:w="900" w:type="dxa"/>
          </w:tcPr>
          <w:p w14:paraId="3BA1B0CE" w14:textId="77777777" w:rsidR="001F04FD" w:rsidRPr="00763FB7" w:rsidRDefault="006D6523" w:rsidP="00AC4DEE">
            <w:pPr>
              <w:pStyle w:val="TableBody"/>
              <w:rPr>
                <w:sz w:val="18"/>
                <w:szCs w:val="18"/>
              </w:rPr>
            </w:pPr>
            <w:r>
              <w:rPr>
                <w:sz w:val="18"/>
                <w:szCs w:val="18"/>
              </w:rPr>
              <w:t>none</w:t>
            </w:r>
          </w:p>
        </w:tc>
        <w:tc>
          <w:tcPr>
            <w:tcW w:w="6942" w:type="dxa"/>
            <w:gridSpan w:val="2"/>
          </w:tcPr>
          <w:p w14:paraId="45089831" w14:textId="6344A254" w:rsidR="001F04FD" w:rsidRPr="00763FB7" w:rsidRDefault="001F04FD" w:rsidP="00AC4DEE">
            <w:pPr>
              <w:pStyle w:val="TableBody"/>
              <w:rPr>
                <w:sz w:val="18"/>
                <w:szCs w:val="18"/>
              </w:rPr>
            </w:pPr>
            <w:r w:rsidRPr="00763FB7">
              <w:rPr>
                <w:sz w:val="18"/>
                <w:szCs w:val="18"/>
              </w:rPr>
              <w:t xml:space="preserve">The percentage tolerance for over-generation of an IRR, </w:t>
            </w:r>
            <w:r w:rsidR="0030702F">
              <w:rPr>
                <w:sz w:val="18"/>
                <w:szCs w:val="18"/>
              </w:rPr>
              <w:t>5</w:t>
            </w:r>
            <w:r w:rsidRPr="00763FB7">
              <w:rPr>
                <w:sz w:val="18"/>
                <w:szCs w:val="18"/>
              </w:rPr>
              <w:t>%.</w:t>
            </w:r>
          </w:p>
        </w:tc>
      </w:tr>
      <w:tr w:rsidR="001F04FD" w:rsidRPr="00763FB7" w14:paraId="6B3A13A3" w14:textId="77777777" w:rsidTr="00C22690">
        <w:trPr>
          <w:cantSplit/>
        </w:trPr>
        <w:tc>
          <w:tcPr>
            <w:tcW w:w="1975" w:type="dxa"/>
          </w:tcPr>
          <w:p w14:paraId="63B8B5C2" w14:textId="77777777" w:rsidR="001F04FD" w:rsidRPr="00E15B17" w:rsidRDefault="001F04FD" w:rsidP="00AC4DEE">
            <w:pPr>
              <w:pStyle w:val="TableBody"/>
            </w:pPr>
            <w:r w:rsidRPr="00E15B17">
              <w:t>N</w:t>
            </w:r>
          </w:p>
        </w:tc>
        <w:tc>
          <w:tcPr>
            <w:tcW w:w="900" w:type="dxa"/>
          </w:tcPr>
          <w:p w14:paraId="4021C272" w14:textId="77777777" w:rsidR="001F04FD" w:rsidRPr="00763FB7" w:rsidRDefault="001F04FD" w:rsidP="00AC4DEE">
            <w:pPr>
              <w:pStyle w:val="TableBody"/>
              <w:rPr>
                <w:sz w:val="18"/>
                <w:szCs w:val="18"/>
              </w:rPr>
            </w:pPr>
            <w:r>
              <w:rPr>
                <w:sz w:val="18"/>
                <w:szCs w:val="18"/>
              </w:rPr>
              <w:t>none</w:t>
            </w:r>
          </w:p>
        </w:tc>
        <w:tc>
          <w:tcPr>
            <w:tcW w:w="6942" w:type="dxa"/>
            <w:gridSpan w:val="2"/>
          </w:tcPr>
          <w:p w14:paraId="6A2D69A0" w14:textId="77777777" w:rsidR="001F04FD" w:rsidRPr="00763FB7" w:rsidRDefault="001F04FD" w:rsidP="00AC4DEE">
            <w:pPr>
              <w:pStyle w:val="TableBody"/>
              <w:rPr>
                <w:sz w:val="18"/>
                <w:szCs w:val="18"/>
              </w:rPr>
            </w:pPr>
            <w:r>
              <w:rPr>
                <w:sz w:val="18"/>
                <w:szCs w:val="18"/>
              </w:rPr>
              <w:t>The number of IRRs within an IRR Group.</w:t>
            </w:r>
          </w:p>
        </w:tc>
      </w:tr>
      <w:tr w:rsidR="001F04FD" w:rsidRPr="00763FB7" w14:paraId="546C447E" w14:textId="77777777" w:rsidTr="00C22690">
        <w:trPr>
          <w:cantSplit/>
        </w:trPr>
        <w:tc>
          <w:tcPr>
            <w:tcW w:w="1975" w:type="dxa"/>
          </w:tcPr>
          <w:p w14:paraId="2E103F5D" w14:textId="77777777" w:rsidR="001F04FD" w:rsidRPr="00E15B17" w:rsidRDefault="001F04FD" w:rsidP="00AC4DEE">
            <w:pPr>
              <w:pStyle w:val="TableBody"/>
              <w:rPr>
                <w:i/>
              </w:rPr>
            </w:pPr>
            <w:r w:rsidRPr="00E15B17">
              <w:rPr>
                <w:i/>
              </w:rPr>
              <w:t>q</w:t>
            </w:r>
          </w:p>
        </w:tc>
        <w:tc>
          <w:tcPr>
            <w:tcW w:w="900" w:type="dxa"/>
          </w:tcPr>
          <w:p w14:paraId="405BA309" w14:textId="77777777" w:rsidR="001F04FD" w:rsidRPr="00763FB7" w:rsidRDefault="001F04FD" w:rsidP="00AC4DEE">
            <w:pPr>
              <w:pStyle w:val="TableBody"/>
              <w:rPr>
                <w:sz w:val="18"/>
                <w:szCs w:val="18"/>
              </w:rPr>
            </w:pPr>
            <w:r w:rsidRPr="00763FB7">
              <w:rPr>
                <w:sz w:val="18"/>
                <w:szCs w:val="18"/>
              </w:rPr>
              <w:t>none</w:t>
            </w:r>
          </w:p>
        </w:tc>
        <w:tc>
          <w:tcPr>
            <w:tcW w:w="6942" w:type="dxa"/>
            <w:gridSpan w:val="2"/>
          </w:tcPr>
          <w:p w14:paraId="168A585A" w14:textId="77777777" w:rsidR="001F04FD" w:rsidRPr="00763FB7" w:rsidRDefault="001F04FD" w:rsidP="00AC4DEE">
            <w:pPr>
              <w:pStyle w:val="TableBody"/>
              <w:rPr>
                <w:sz w:val="18"/>
                <w:szCs w:val="18"/>
              </w:rPr>
            </w:pPr>
            <w:r w:rsidRPr="00763FB7">
              <w:rPr>
                <w:sz w:val="18"/>
                <w:szCs w:val="18"/>
              </w:rPr>
              <w:t>A QSE.</w:t>
            </w:r>
          </w:p>
        </w:tc>
      </w:tr>
      <w:tr w:rsidR="001F04FD" w:rsidRPr="00763FB7" w14:paraId="15C8D01A" w14:textId="77777777" w:rsidTr="00C22690">
        <w:trPr>
          <w:cantSplit/>
        </w:trPr>
        <w:tc>
          <w:tcPr>
            <w:tcW w:w="1975" w:type="dxa"/>
          </w:tcPr>
          <w:p w14:paraId="588C80C5" w14:textId="77777777" w:rsidR="001F04FD" w:rsidRPr="00E15B17" w:rsidRDefault="001F04FD" w:rsidP="00AC4DEE">
            <w:pPr>
              <w:pStyle w:val="TableBody"/>
              <w:rPr>
                <w:i/>
              </w:rPr>
            </w:pPr>
            <w:r w:rsidRPr="00E15B17">
              <w:rPr>
                <w:i/>
              </w:rPr>
              <w:t>p</w:t>
            </w:r>
          </w:p>
        </w:tc>
        <w:tc>
          <w:tcPr>
            <w:tcW w:w="900" w:type="dxa"/>
          </w:tcPr>
          <w:p w14:paraId="2134EE18" w14:textId="77777777" w:rsidR="001F04FD" w:rsidRPr="00763FB7" w:rsidRDefault="001F04FD" w:rsidP="00AC4DEE">
            <w:pPr>
              <w:pStyle w:val="TableBody"/>
              <w:rPr>
                <w:sz w:val="18"/>
                <w:szCs w:val="18"/>
              </w:rPr>
            </w:pPr>
            <w:r w:rsidRPr="00763FB7">
              <w:rPr>
                <w:sz w:val="18"/>
                <w:szCs w:val="18"/>
              </w:rPr>
              <w:t>none</w:t>
            </w:r>
          </w:p>
        </w:tc>
        <w:tc>
          <w:tcPr>
            <w:tcW w:w="6942" w:type="dxa"/>
            <w:gridSpan w:val="2"/>
          </w:tcPr>
          <w:p w14:paraId="069ED11C" w14:textId="77777777" w:rsidR="001F04FD" w:rsidRPr="00763FB7" w:rsidRDefault="001F04FD" w:rsidP="00AC4DEE">
            <w:pPr>
              <w:pStyle w:val="TableBody"/>
              <w:rPr>
                <w:sz w:val="18"/>
                <w:szCs w:val="18"/>
              </w:rPr>
            </w:pPr>
            <w:r w:rsidRPr="00763FB7">
              <w:rPr>
                <w:sz w:val="18"/>
                <w:szCs w:val="18"/>
              </w:rPr>
              <w:t>A Settlement Point.</w:t>
            </w:r>
          </w:p>
        </w:tc>
      </w:tr>
      <w:tr w:rsidR="001F04FD" w:rsidRPr="00763FB7" w14:paraId="39B4786F" w14:textId="77777777" w:rsidTr="00C22690">
        <w:trPr>
          <w:cantSplit/>
        </w:trPr>
        <w:tc>
          <w:tcPr>
            <w:tcW w:w="1975" w:type="dxa"/>
          </w:tcPr>
          <w:p w14:paraId="53E4405F" w14:textId="77777777" w:rsidR="001F04FD" w:rsidRPr="00E15B17" w:rsidRDefault="001F04FD" w:rsidP="00AC4DEE">
            <w:pPr>
              <w:pStyle w:val="TableBody"/>
              <w:rPr>
                <w:i/>
              </w:rPr>
            </w:pPr>
            <w:r w:rsidRPr="00E15B17">
              <w:rPr>
                <w:i/>
              </w:rPr>
              <w:t>r</w:t>
            </w:r>
          </w:p>
        </w:tc>
        <w:tc>
          <w:tcPr>
            <w:tcW w:w="900" w:type="dxa"/>
          </w:tcPr>
          <w:p w14:paraId="76866EED" w14:textId="77777777" w:rsidR="001F04FD" w:rsidRPr="00763FB7" w:rsidRDefault="001F04FD" w:rsidP="00AC4DEE">
            <w:pPr>
              <w:pStyle w:val="TableBody"/>
              <w:rPr>
                <w:sz w:val="18"/>
                <w:szCs w:val="18"/>
              </w:rPr>
            </w:pPr>
            <w:r w:rsidRPr="00763FB7">
              <w:rPr>
                <w:sz w:val="18"/>
                <w:szCs w:val="18"/>
              </w:rPr>
              <w:t>none</w:t>
            </w:r>
          </w:p>
        </w:tc>
        <w:tc>
          <w:tcPr>
            <w:tcW w:w="6942" w:type="dxa"/>
            <w:gridSpan w:val="2"/>
          </w:tcPr>
          <w:p w14:paraId="1E5A61F3" w14:textId="77777777" w:rsidR="006D6523" w:rsidRPr="00763FB7" w:rsidRDefault="001F04FD" w:rsidP="00AC4DEE">
            <w:pPr>
              <w:pStyle w:val="TableBody"/>
              <w:rPr>
                <w:sz w:val="18"/>
                <w:szCs w:val="18"/>
              </w:rPr>
            </w:pPr>
            <w:r w:rsidRPr="00763FB7">
              <w:rPr>
                <w:sz w:val="18"/>
                <w:szCs w:val="18"/>
              </w:rPr>
              <w:t>An IRR</w:t>
            </w:r>
            <w:r>
              <w:rPr>
                <w:sz w:val="18"/>
                <w:szCs w:val="18"/>
              </w:rPr>
              <w:t xml:space="preserve"> Generation Resource or an IRR within an IRR Group</w:t>
            </w:r>
            <w:r w:rsidRPr="00763FB7">
              <w:rPr>
                <w:sz w:val="18"/>
                <w:szCs w:val="18"/>
              </w:rPr>
              <w:t>.</w:t>
            </w:r>
          </w:p>
          <w:p w14:paraId="13EE580C" w14:textId="77777777" w:rsidR="001F04FD" w:rsidRPr="00763FB7" w:rsidRDefault="001F04FD" w:rsidP="00AC4DEE">
            <w:pPr>
              <w:pStyle w:val="TableBody"/>
              <w:rPr>
                <w:sz w:val="18"/>
                <w:szCs w:val="18"/>
              </w:rPr>
            </w:pPr>
          </w:p>
        </w:tc>
      </w:tr>
      <w:tr w:rsidR="001F04FD" w:rsidRPr="00763FB7" w14:paraId="03A7F95D" w14:textId="77777777" w:rsidTr="00C22690">
        <w:trPr>
          <w:cantSplit/>
          <w:trHeight w:val="152"/>
        </w:trPr>
        <w:tc>
          <w:tcPr>
            <w:tcW w:w="1975" w:type="dxa"/>
          </w:tcPr>
          <w:p w14:paraId="5B7D1D61" w14:textId="77777777" w:rsidR="001F04FD" w:rsidRPr="00E15B17" w:rsidDel="00B33B6F" w:rsidRDefault="001F04FD" w:rsidP="00AC4DEE">
            <w:pPr>
              <w:pStyle w:val="TableBody"/>
              <w:rPr>
                <w:i/>
              </w:rPr>
            </w:pPr>
            <w:r w:rsidRPr="00E15B17">
              <w:rPr>
                <w:i/>
              </w:rPr>
              <w:t>i</w:t>
            </w:r>
          </w:p>
        </w:tc>
        <w:tc>
          <w:tcPr>
            <w:tcW w:w="900" w:type="dxa"/>
          </w:tcPr>
          <w:p w14:paraId="69DCF105" w14:textId="77777777" w:rsidR="001F04FD" w:rsidRPr="00763FB7" w:rsidDel="00B33B6F" w:rsidRDefault="001F04FD" w:rsidP="00AC4DEE">
            <w:pPr>
              <w:pStyle w:val="TableBody"/>
              <w:rPr>
                <w:sz w:val="18"/>
                <w:szCs w:val="18"/>
              </w:rPr>
            </w:pPr>
            <w:r w:rsidRPr="00763FB7">
              <w:rPr>
                <w:sz w:val="18"/>
                <w:szCs w:val="18"/>
              </w:rPr>
              <w:t>none</w:t>
            </w:r>
          </w:p>
        </w:tc>
        <w:tc>
          <w:tcPr>
            <w:tcW w:w="6942" w:type="dxa"/>
            <w:gridSpan w:val="2"/>
          </w:tcPr>
          <w:p w14:paraId="5C174467" w14:textId="77777777" w:rsidR="001F04FD" w:rsidRPr="00763FB7" w:rsidDel="00B33B6F" w:rsidRDefault="001F04FD" w:rsidP="00AC4DEE">
            <w:pPr>
              <w:pStyle w:val="TableBody"/>
              <w:rPr>
                <w:sz w:val="18"/>
                <w:szCs w:val="18"/>
              </w:rPr>
            </w:pPr>
            <w:r w:rsidRPr="00763FB7">
              <w:rPr>
                <w:sz w:val="18"/>
                <w:szCs w:val="18"/>
              </w:rPr>
              <w:t xml:space="preserve">A 15-minute </w:t>
            </w:r>
            <w:r>
              <w:rPr>
                <w:sz w:val="18"/>
                <w:szCs w:val="18"/>
              </w:rPr>
              <w:t>Settlement I</w:t>
            </w:r>
            <w:r w:rsidRPr="00763FB7">
              <w:rPr>
                <w:sz w:val="18"/>
                <w:szCs w:val="18"/>
              </w:rPr>
              <w:t>nterval.</w:t>
            </w:r>
          </w:p>
        </w:tc>
      </w:tr>
      <w:tr w:rsidR="001F04FD" w:rsidRPr="00763FB7" w14:paraId="53F3E064" w14:textId="77777777" w:rsidTr="00C22690">
        <w:trPr>
          <w:cantSplit/>
          <w:trHeight w:val="152"/>
        </w:trPr>
        <w:tc>
          <w:tcPr>
            <w:tcW w:w="1975" w:type="dxa"/>
            <w:tcBorders>
              <w:top w:val="single" w:sz="4" w:space="0" w:color="auto"/>
              <w:left w:val="single" w:sz="4" w:space="0" w:color="auto"/>
              <w:bottom w:val="single" w:sz="4" w:space="0" w:color="auto"/>
              <w:right w:val="single" w:sz="4" w:space="0" w:color="auto"/>
            </w:tcBorders>
          </w:tcPr>
          <w:p w14:paraId="5E16255F" w14:textId="77777777" w:rsidR="001F04FD" w:rsidRPr="00E15B17" w:rsidRDefault="001F04FD" w:rsidP="00AC4DEE">
            <w:pPr>
              <w:pStyle w:val="TableBody"/>
              <w:rPr>
                <w:i/>
              </w:rPr>
            </w:pPr>
            <w:r w:rsidRPr="00E15B17">
              <w:rPr>
                <w:i/>
              </w:rPr>
              <w:t>y</w:t>
            </w:r>
          </w:p>
        </w:tc>
        <w:tc>
          <w:tcPr>
            <w:tcW w:w="900" w:type="dxa"/>
            <w:tcBorders>
              <w:top w:val="single" w:sz="4" w:space="0" w:color="auto"/>
              <w:left w:val="single" w:sz="4" w:space="0" w:color="auto"/>
              <w:bottom w:val="single" w:sz="4" w:space="0" w:color="auto"/>
              <w:right w:val="single" w:sz="4" w:space="0" w:color="auto"/>
            </w:tcBorders>
          </w:tcPr>
          <w:p w14:paraId="12A49D62" w14:textId="77777777" w:rsidR="001F04FD" w:rsidRPr="00763FB7" w:rsidRDefault="001F04FD" w:rsidP="00AC4DEE">
            <w:pPr>
              <w:pStyle w:val="TableBody"/>
              <w:rPr>
                <w:sz w:val="18"/>
                <w:szCs w:val="18"/>
              </w:rPr>
            </w:pPr>
            <w:r w:rsidRPr="00763FB7">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50367358" w14:textId="77777777" w:rsidR="001F04FD" w:rsidRPr="00763FB7" w:rsidRDefault="001F04FD" w:rsidP="00AC4DEE">
            <w:pPr>
              <w:pStyle w:val="TableBody"/>
              <w:rPr>
                <w:sz w:val="18"/>
                <w:szCs w:val="18"/>
              </w:rPr>
            </w:pPr>
            <w:r w:rsidRPr="00763FB7">
              <w:rPr>
                <w:sz w:val="18"/>
                <w:szCs w:val="18"/>
              </w:rPr>
              <w:t>A five-minute clock interval</w:t>
            </w:r>
            <w:r>
              <w:rPr>
                <w:sz w:val="18"/>
                <w:szCs w:val="18"/>
              </w:rPr>
              <w:t xml:space="preserve"> </w:t>
            </w:r>
            <w:r w:rsidRPr="00763FB7">
              <w:rPr>
                <w:sz w:val="18"/>
                <w:szCs w:val="18"/>
              </w:rPr>
              <w:t xml:space="preserve">in the Settlement Interval. </w:t>
            </w:r>
          </w:p>
        </w:tc>
      </w:tr>
      <w:tr w:rsidR="001F04FD" w:rsidRPr="00763FB7" w14:paraId="0F740D73" w14:textId="77777777" w:rsidTr="00C22690">
        <w:trPr>
          <w:cantSplit/>
          <w:trHeight w:val="152"/>
        </w:trPr>
        <w:tc>
          <w:tcPr>
            <w:tcW w:w="1975" w:type="dxa"/>
            <w:tcBorders>
              <w:top w:val="single" w:sz="4" w:space="0" w:color="auto"/>
              <w:left w:val="single" w:sz="4" w:space="0" w:color="auto"/>
              <w:bottom w:val="single" w:sz="4" w:space="0" w:color="auto"/>
              <w:right w:val="single" w:sz="4" w:space="0" w:color="auto"/>
            </w:tcBorders>
          </w:tcPr>
          <w:p w14:paraId="4DF44BF9" w14:textId="77777777" w:rsidR="001F04FD" w:rsidRPr="00E15B17" w:rsidRDefault="001F04FD" w:rsidP="00AC4DEE">
            <w:pPr>
              <w:pStyle w:val="TableBody"/>
              <w:rPr>
                <w:i/>
              </w:rPr>
            </w:pPr>
            <w:r w:rsidRPr="00E15B17">
              <w:rPr>
                <w:i/>
              </w:rPr>
              <w:t>wg</w:t>
            </w:r>
          </w:p>
        </w:tc>
        <w:tc>
          <w:tcPr>
            <w:tcW w:w="900" w:type="dxa"/>
            <w:tcBorders>
              <w:top w:val="single" w:sz="4" w:space="0" w:color="auto"/>
              <w:left w:val="single" w:sz="4" w:space="0" w:color="auto"/>
              <w:bottom w:val="single" w:sz="4" w:space="0" w:color="auto"/>
              <w:right w:val="single" w:sz="4" w:space="0" w:color="auto"/>
            </w:tcBorders>
          </w:tcPr>
          <w:p w14:paraId="30135BA9" w14:textId="77777777" w:rsidR="001F04FD" w:rsidRPr="00763FB7" w:rsidRDefault="001F04FD" w:rsidP="00AC4DEE">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71B031D1" w14:textId="77777777" w:rsidR="001F04FD" w:rsidRPr="00763FB7" w:rsidRDefault="001F04FD" w:rsidP="00AC4DEE">
            <w:pPr>
              <w:pStyle w:val="TableBody"/>
              <w:rPr>
                <w:sz w:val="18"/>
                <w:szCs w:val="18"/>
              </w:rPr>
            </w:pPr>
            <w:r>
              <w:rPr>
                <w:sz w:val="18"/>
                <w:szCs w:val="18"/>
              </w:rPr>
              <w:t>An IRR Group.</w:t>
            </w:r>
          </w:p>
        </w:tc>
      </w:tr>
    </w:tbl>
    <w:p w14:paraId="1AD3B0E7" w14:textId="77777777" w:rsidR="00C22690" w:rsidRDefault="00C22690"/>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22690" w14:paraId="5247AA1C"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68302B46" w14:textId="40755BC2" w:rsidR="00C22690" w:rsidRDefault="00C22690" w:rsidP="001B737D">
            <w:pPr>
              <w:pStyle w:val="Instructions"/>
              <w:spacing w:before="120"/>
            </w:pPr>
            <w:bookmarkStart w:id="2184" w:name="_Toc109009405"/>
            <w:bookmarkStart w:id="2185" w:name="_Toc397505024"/>
            <w:bookmarkStart w:id="2186" w:name="_Toc402357156"/>
            <w:bookmarkStart w:id="2187" w:name="_Toc422486536"/>
            <w:bookmarkStart w:id="2188" w:name="_Toc433093389"/>
            <w:bookmarkStart w:id="2189" w:name="_Toc433093547"/>
            <w:bookmarkStart w:id="2190" w:name="_Toc440874777"/>
            <w:bookmarkStart w:id="2191" w:name="_Toc448142334"/>
            <w:bookmarkStart w:id="2192" w:name="_Toc448142491"/>
            <w:bookmarkStart w:id="2193" w:name="_Toc458770332"/>
            <w:bookmarkStart w:id="2194" w:name="_Toc459294300"/>
            <w:bookmarkStart w:id="2195" w:name="_Toc463262793"/>
            <w:bookmarkStart w:id="2196" w:name="_Toc468286866"/>
            <w:bookmarkStart w:id="2197" w:name="_Toc481502906"/>
            <w:bookmarkStart w:id="2198" w:name="_Toc496080074"/>
            <w:bookmarkEnd w:id="2147"/>
            <w:r>
              <w:t>[NPRR879</w:t>
            </w:r>
            <w:r w:rsidR="008844A7">
              <w:t>,</w:t>
            </w:r>
            <w:r>
              <w:t xml:space="preserve"> NPRR963</w:t>
            </w:r>
            <w:r w:rsidR="008844A7">
              <w:t xml:space="preserve">, </w:t>
            </w:r>
            <w:r w:rsidR="0030702F">
              <w:t xml:space="preserve">and </w:t>
            </w:r>
            <w:r w:rsidR="008844A7">
              <w:t>NPRR1010</w:t>
            </w:r>
            <w:r>
              <w:t>:  Replace applicable portions of Section 6.6.5.2 above with the following upon system implementation</w:t>
            </w:r>
            <w:r w:rsidR="008844A7">
              <w:t xml:space="preserve"> for NPRR879 or NPRR963;</w:t>
            </w:r>
            <w:r w:rsidR="0030702F">
              <w:t xml:space="preserve"> or</w:t>
            </w:r>
            <w:r w:rsidR="008844A7">
              <w:t xml:space="preserve"> upon system </w:t>
            </w:r>
            <w:r w:rsidR="008844A7">
              <w:lastRenderedPageBreak/>
              <w:t>implementation of the Real-Time Co-Optimization (RTC) project for NPRR1010</w:t>
            </w:r>
            <w:r w:rsidR="00C4333E">
              <w:t xml:space="preserve">; </w:t>
            </w:r>
            <w:r w:rsidR="00C215CF">
              <w:t>and renumber accordingly</w:t>
            </w:r>
            <w:r>
              <w:t>:]</w:t>
            </w:r>
          </w:p>
          <w:p w14:paraId="41624720" w14:textId="514EB652" w:rsidR="00C22690" w:rsidRDefault="00C22690" w:rsidP="00C22690">
            <w:pPr>
              <w:pStyle w:val="BodyText"/>
              <w:tabs>
                <w:tab w:val="left" w:pos="1230"/>
              </w:tabs>
              <w:spacing w:before="480"/>
              <w:outlineLvl w:val="3"/>
              <w:rPr>
                <w:b/>
                <w:lang w:val="fr-FR"/>
              </w:rPr>
            </w:pPr>
            <w:bookmarkStart w:id="2199" w:name="_Toc60040699"/>
            <w:bookmarkStart w:id="2200" w:name="_Toc65151758"/>
            <w:bookmarkStart w:id="2201" w:name="_Toc80174784"/>
            <w:bookmarkStart w:id="2202" w:name="_Toc112417664"/>
            <w:bookmarkStart w:id="2203" w:name="_Toc119310333"/>
            <w:bookmarkStart w:id="2204" w:name="_Toc125966266"/>
            <w:bookmarkStart w:id="2205" w:name="_Toc135992364"/>
            <w:bookmarkStart w:id="2206" w:name="_Toc170303560"/>
            <w:bookmarkStart w:id="2207" w:name="_Toc175157464"/>
            <w:bookmarkStart w:id="2208" w:name="_Toc204411693"/>
            <w:r w:rsidRPr="00A87708">
              <w:rPr>
                <w:b/>
                <w:lang w:val="fr-FR"/>
              </w:rPr>
              <w:t>6.6.5.</w:t>
            </w:r>
            <w:r>
              <w:rPr>
                <w:b/>
                <w:lang w:val="fr-FR"/>
              </w:rPr>
              <w:t>4</w:t>
            </w:r>
            <w:r w:rsidRPr="00A87708">
              <w:rPr>
                <w:b/>
                <w:lang w:val="fr-FR"/>
              </w:rPr>
              <w:tab/>
              <w:t xml:space="preserve">IRR </w:t>
            </w:r>
            <w:r w:rsidRPr="000468AC">
              <w:rPr>
                <w:b/>
                <w:lang w:val="fr-FR"/>
              </w:rPr>
              <w:t xml:space="preserve">Generation Resource </w:t>
            </w:r>
            <w:r w:rsidR="008844A7">
              <w:rPr>
                <w:b/>
                <w:lang w:val="fr-FR"/>
              </w:rPr>
              <w:t>Set</w:t>
            </w:r>
            <w:r w:rsidRPr="000468AC">
              <w:rPr>
                <w:b/>
                <w:lang w:val="fr-FR"/>
              </w:rPr>
              <w:t xml:space="preserve"> Point Deviation</w:t>
            </w:r>
            <w:r w:rsidRPr="00A87708">
              <w:rPr>
                <w:b/>
                <w:lang w:val="fr-FR"/>
              </w:rPr>
              <w:t xml:space="preserve"> Charge</w:t>
            </w:r>
            <w:bookmarkEnd w:id="2199"/>
            <w:bookmarkEnd w:id="2200"/>
            <w:bookmarkEnd w:id="2201"/>
            <w:bookmarkEnd w:id="2202"/>
            <w:bookmarkEnd w:id="2203"/>
            <w:bookmarkEnd w:id="2204"/>
            <w:bookmarkEnd w:id="2205"/>
            <w:bookmarkEnd w:id="2206"/>
            <w:bookmarkEnd w:id="2207"/>
            <w:bookmarkEnd w:id="2208"/>
          </w:p>
          <w:p w14:paraId="724F6C1E" w14:textId="27C6A75B" w:rsidR="00C22690" w:rsidRDefault="00C22690" w:rsidP="00C22690">
            <w:pPr>
              <w:pStyle w:val="BodyTextNumbered"/>
            </w:pPr>
            <w:r>
              <w:t>(1)</w:t>
            </w:r>
            <w:r>
              <w:tab/>
            </w:r>
            <w:r w:rsidRPr="00AB1AD6">
              <w:t xml:space="preserve">ERCOT shall charge a QSE for an IRR a </w:t>
            </w:r>
            <w:r w:rsidR="008844A7">
              <w:t>Set</w:t>
            </w:r>
            <w:r w:rsidRPr="00AB1AD6">
              <w:t xml:space="preserve"> Point Deviation Charge if the IRR </w:t>
            </w:r>
            <w:r>
              <w:t>tele</w:t>
            </w:r>
            <w:r w:rsidRPr="00AB1AD6">
              <w:t xml:space="preserve">metered generation is more than </w:t>
            </w:r>
            <w:r w:rsidR="00C4333E">
              <w:t>5</w:t>
            </w:r>
            <w:r w:rsidRPr="00AB1AD6">
              <w:t xml:space="preserve">% above its </w:t>
            </w:r>
            <w:r w:rsidR="008844A7">
              <w:t>AASP</w:t>
            </w:r>
            <w:r>
              <w:t>,</w:t>
            </w:r>
            <w:r w:rsidRPr="00AB1AD6">
              <w:t xml:space="preserve"> the flag signifying that the IRR has received a Base Point below the HDL used by SCED has been received</w:t>
            </w:r>
            <w:r w:rsidR="00C4333E">
              <w:t xml:space="preserve"> or the IRR has been instructed not to exceed its Base Point</w:t>
            </w:r>
            <w:r>
              <w:t xml:space="preserve">, and the IRR is not </w:t>
            </w:r>
            <w:r w:rsidR="008844A7">
              <w:t>awarded</w:t>
            </w:r>
            <w:r>
              <w:t xml:space="preserve"> Ancillary Service and is not part of an IRR Group in which at least one IRR is </w:t>
            </w:r>
            <w:r w:rsidR="008844A7">
              <w:t>awarded</w:t>
            </w:r>
            <w:r>
              <w:t xml:space="preserve"> Ancillary Service for at least one SCED interval within the 15-minute Settlement Interval.</w:t>
            </w:r>
          </w:p>
          <w:p w14:paraId="6BF39E67" w14:textId="43E831F7" w:rsidR="00C22690" w:rsidRDefault="00C22690" w:rsidP="00C22690">
            <w:pPr>
              <w:pStyle w:val="BodyTextNumbered"/>
            </w:pPr>
            <w:r>
              <w:t>(2)</w:t>
            </w:r>
            <w:r>
              <w:tab/>
              <w:t xml:space="preserve">For instances in which an IRR is </w:t>
            </w:r>
            <w:r w:rsidR="008844A7">
              <w:t>awarded</w:t>
            </w:r>
            <w:r>
              <w:t xml:space="preserve"> Ancillary Service or is part of an IRR Group in which at least one IRR is </w:t>
            </w:r>
            <w:r w:rsidR="008844A7">
              <w:t>awarded</w:t>
            </w:r>
            <w:r>
              <w:t xml:space="preserve"> Ancillary Service for at least one SCED interval within the 15-minute Settlement Interval, </w:t>
            </w:r>
            <w:r w:rsidR="008844A7">
              <w:t>Set</w:t>
            </w:r>
            <w:r>
              <w:t xml:space="preserve"> Point Deviation Charges will be determined per Section 6.6.5.2, </w:t>
            </w:r>
            <w:r w:rsidR="008844A7">
              <w:t>Set</w:t>
            </w:r>
            <w:r w:rsidRPr="00195E73">
              <w:t xml:space="preserve"> Point Deviation Charge for Over Generation</w:t>
            </w:r>
            <w:r>
              <w:t xml:space="preserve">, and Section 6.6.5.2.1, </w:t>
            </w:r>
            <w:r w:rsidR="008844A7">
              <w:t>Set</w:t>
            </w:r>
            <w:r w:rsidRPr="00195E73">
              <w:t xml:space="preserve"> Point Deviation Charge for Under Generation</w:t>
            </w:r>
            <w:r>
              <w:t>.</w:t>
            </w:r>
          </w:p>
          <w:p w14:paraId="7C10B7A5" w14:textId="77777777" w:rsidR="00C22690" w:rsidRPr="000149E5" w:rsidRDefault="00C22690" w:rsidP="00C22690">
            <w:pPr>
              <w:pStyle w:val="BodyTextNumbered"/>
              <w:rPr>
                <w:iCs/>
              </w:rPr>
            </w:pPr>
            <w:r w:rsidRPr="000149E5">
              <w:rPr>
                <w:iCs/>
              </w:rPr>
              <w:t>(</w:t>
            </w:r>
            <w:r>
              <w:rPr>
                <w:iCs/>
              </w:rPr>
              <w:t>3</w:t>
            </w:r>
            <w:r w:rsidRPr="000149E5">
              <w:rPr>
                <w:iCs/>
              </w:rPr>
              <w:t>)</w:t>
            </w:r>
            <w:r w:rsidRPr="000149E5">
              <w:rPr>
                <w:iCs/>
              </w:rPr>
              <w:tab/>
              <w:t xml:space="preserve">The charge to each QSE for non-excused over-generation of each IRR </w:t>
            </w:r>
            <w:r>
              <w:rPr>
                <w:iCs/>
              </w:rPr>
              <w:t xml:space="preserve">that is not included in an IRR Group </w:t>
            </w:r>
            <w:r w:rsidRPr="000149E5">
              <w:rPr>
                <w:iCs/>
              </w:rPr>
              <w:t>at each Resource Node Settlement Point during a 15-minute Settlement Interval, is calculated as follows:</w:t>
            </w:r>
          </w:p>
          <w:p w14:paraId="28623A3E" w14:textId="25D14D02" w:rsidR="00C22690" w:rsidRDefault="00C22690" w:rsidP="00C22690">
            <w:pPr>
              <w:ind w:left="720"/>
              <w:rPr>
                <w:lang w:val="pt-BR"/>
              </w:rPr>
            </w:pPr>
            <w:r>
              <w:rPr>
                <w:lang w:val="pt-BR"/>
              </w:rPr>
              <w:t xml:space="preserve">If </w:t>
            </w:r>
            <w:r>
              <w:t>the flag signifying that the IRR has received a Base Point below the HDL used by SCED</w:t>
            </w:r>
            <w:r w:rsidR="00C4333E">
              <w:t xml:space="preserve"> or the IRR has been instructed not to exceed its Base Point</w:t>
            </w:r>
            <w:r>
              <w:t xml:space="preserve"> is not set </w:t>
            </w:r>
            <w:r w:rsidRPr="00B74B5B">
              <w:rPr>
                <w:lang w:val="pt-BR"/>
              </w:rPr>
              <w:t>in all SCED intervals within the 15-minute Settlement Interval:</w:t>
            </w:r>
          </w:p>
          <w:p w14:paraId="5B611565" w14:textId="3DD19F8E" w:rsidR="00C22690" w:rsidRDefault="008844A7" w:rsidP="00C22690">
            <w:pPr>
              <w:pStyle w:val="FormulaBold"/>
              <w:spacing w:before="120"/>
              <w:ind w:left="720" w:firstLine="0"/>
              <w:rPr>
                <w:lang w:val="pt-BR"/>
              </w:rPr>
            </w:pPr>
            <w:r>
              <w:rPr>
                <w:lang w:val="pt-BR"/>
              </w:rPr>
              <w:t>S</w:t>
            </w:r>
            <w:r w:rsidR="00C22690">
              <w:rPr>
                <w:lang w:val="pt-BR"/>
              </w:rPr>
              <w:t xml:space="preserve">PDAMT </w:t>
            </w:r>
            <w:r w:rsidR="00C22690">
              <w:rPr>
                <w:i/>
                <w:vertAlign w:val="subscript"/>
                <w:lang w:val="pt-BR"/>
              </w:rPr>
              <w:t>q, r, p, i</w:t>
            </w:r>
            <w:r w:rsidR="00C22690">
              <w:rPr>
                <w:lang w:val="pt-BR"/>
              </w:rPr>
              <w:t xml:space="preserve"> =</w:t>
            </w:r>
            <w:r w:rsidR="00C22690">
              <w:rPr>
                <w:lang w:val="pt-BR"/>
              </w:rPr>
              <w:tab/>
              <w:t>0</w:t>
            </w:r>
          </w:p>
          <w:p w14:paraId="367E985C" w14:textId="44417696" w:rsidR="00C22690" w:rsidRDefault="00C22690" w:rsidP="00C22690">
            <w:pPr>
              <w:ind w:left="720"/>
              <w:rPr>
                <w:lang w:val="pt-BR"/>
              </w:rPr>
            </w:pPr>
            <w:r>
              <w:rPr>
                <w:lang w:val="pt-BR"/>
              </w:rPr>
              <w:t>Otherwise, i</w:t>
            </w:r>
            <w:r w:rsidRPr="00B74B5B">
              <w:rPr>
                <w:lang w:val="pt-BR"/>
              </w:rPr>
              <w:t xml:space="preserve">f </w:t>
            </w:r>
            <w:r w:rsidRPr="004950DA">
              <w:t>the</w:t>
            </w:r>
            <w:r>
              <w:t xml:space="preserve"> flag signifying that the IRR has received a Base Point below the HDL used by SCED </w:t>
            </w:r>
            <w:r w:rsidR="00C4333E">
              <w:t xml:space="preserve">or the IRR has been instructed not to exceed its Base Point </w:t>
            </w:r>
            <w:r>
              <w:t xml:space="preserve">is set </w:t>
            </w:r>
            <w:r w:rsidRPr="00B74B5B">
              <w:rPr>
                <w:lang w:val="pt-BR"/>
              </w:rPr>
              <w:t>in all SCED intervals within the 15-minute Settlement Interval</w:t>
            </w:r>
            <w:r>
              <w:rPr>
                <w:lang w:val="pt-BR"/>
              </w:rPr>
              <w:t>:</w:t>
            </w:r>
          </w:p>
          <w:p w14:paraId="31A7E501" w14:textId="77777777" w:rsidR="00C22690" w:rsidRDefault="00C22690" w:rsidP="00C22690">
            <w:pPr>
              <w:ind w:left="720"/>
              <w:rPr>
                <w:lang w:val="pt-BR"/>
              </w:rPr>
            </w:pPr>
          </w:p>
          <w:p w14:paraId="11091A34" w14:textId="2DE2E7B9" w:rsidR="00C22690" w:rsidRDefault="00C22690" w:rsidP="00C22690">
            <w:pPr>
              <w:pStyle w:val="FormulaBold"/>
              <w:tabs>
                <w:tab w:val="clear" w:pos="2250"/>
                <w:tab w:val="clear" w:pos="3150"/>
                <w:tab w:val="left" w:pos="720"/>
              </w:tabs>
              <w:ind w:left="2880" w:hanging="2880"/>
              <w:rPr>
                <w:lang w:val="pt-BR"/>
              </w:rPr>
            </w:pPr>
            <w:r>
              <w:rPr>
                <w:lang w:val="pt-BR"/>
              </w:rPr>
              <w:tab/>
            </w:r>
            <w:r w:rsidR="008844A7">
              <w:rPr>
                <w:lang w:val="pt-BR"/>
              </w:rPr>
              <w:t>S</w:t>
            </w:r>
            <w:r>
              <w:rPr>
                <w:lang w:val="pt-BR"/>
              </w:rPr>
              <w:t>PDAMT</w:t>
            </w:r>
            <w:r>
              <w:rPr>
                <w:i/>
                <w:vertAlign w:val="subscript"/>
                <w:lang w:val="pt-BR"/>
              </w:rPr>
              <w:t xml:space="preserve"> q, r, p, i</w:t>
            </w:r>
            <w:r>
              <w:rPr>
                <w:lang w:val="pt-BR"/>
              </w:rPr>
              <w:t xml:space="preserve"> =</w:t>
            </w:r>
            <w:r>
              <w:rPr>
                <w:lang w:val="pt-BR"/>
              </w:rPr>
              <w:tab/>
            </w:r>
            <w:r w:rsidRPr="00D33FCA">
              <w:t xml:space="preserve">Max (PR1, RTSPP </w:t>
            </w:r>
            <w:r w:rsidRPr="006624C0">
              <w:rPr>
                <w:i/>
                <w:vertAlign w:val="subscript"/>
              </w:rPr>
              <w:t>p, i</w:t>
            </w:r>
            <w:r w:rsidRPr="00D33FCA">
              <w:t>) * OGENIRR</w:t>
            </w:r>
            <w:r w:rsidRPr="00D9273D">
              <w:rPr>
                <w:sz w:val="18"/>
                <w:szCs w:val="18"/>
                <w:vertAlign w:val="subscript"/>
              </w:rPr>
              <w:t xml:space="preserve"> </w:t>
            </w:r>
            <w:r w:rsidRPr="006624C0">
              <w:rPr>
                <w:i/>
                <w:vertAlign w:val="subscript"/>
              </w:rPr>
              <w:t>q, r, p, i</w:t>
            </w:r>
          </w:p>
          <w:p w14:paraId="253EF144" w14:textId="77777777" w:rsidR="00C22690" w:rsidRPr="002F5D3B" w:rsidRDefault="00C22690" w:rsidP="00C22690">
            <w:pPr>
              <w:pStyle w:val="FormulaBold"/>
              <w:rPr>
                <w:b w:val="0"/>
              </w:rPr>
            </w:pPr>
            <w:r w:rsidRPr="002F5D3B">
              <w:rPr>
                <w:b w:val="0"/>
              </w:rPr>
              <w:t>Where:</w:t>
            </w:r>
          </w:p>
          <w:p w14:paraId="7ABA9644" w14:textId="74E07594" w:rsidR="00C22690" w:rsidRPr="009C51D8" w:rsidRDefault="00C22690" w:rsidP="00C22690">
            <w:pPr>
              <w:pStyle w:val="FormulaBold"/>
              <w:rPr>
                <w:b w:val="0"/>
              </w:rPr>
            </w:pPr>
            <w:r w:rsidRPr="009C51D8">
              <w:rPr>
                <w:b w:val="0"/>
              </w:rPr>
              <w:t>OGENIRR</w:t>
            </w:r>
            <w:r w:rsidRPr="009C51D8">
              <w:rPr>
                <w:b w:val="0"/>
                <w:i/>
                <w:iCs/>
                <w:vertAlign w:val="subscript"/>
                <w:lang w:val="es-ES"/>
              </w:rPr>
              <w:t xml:space="preserve"> q, r, p, i  </w:t>
            </w:r>
            <w:r w:rsidRPr="009C51D8">
              <w:rPr>
                <w:b w:val="0"/>
              </w:rPr>
              <w:t xml:space="preserve"> = Max [0, TWTG</w:t>
            </w:r>
            <w:r w:rsidRPr="009C51D8">
              <w:rPr>
                <w:b w:val="0"/>
                <w:i/>
                <w:iCs/>
                <w:vertAlign w:val="subscript"/>
                <w:lang w:val="es-ES"/>
              </w:rPr>
              <w:t xml:space="preserve"> q, r, p, i </w:t>
            </w:r>
            <w:r w:rsidRPr="009C51D8">
              <w:rPr>
                <w:b w:val="0"/>
              </w:rPr>
              <w:t xml:space="preserve"> – ¼ * AA</w:t>
            </w:r>
            <w:r w:rsidR="008844A7">
              <w:rPr>
                <w:b w:val="0"/>
              </w:rPr>
              <w:t>S</w:t>
            </w:r>
            <w:r w:rsidRPr="009C51D8">
              <w:rPr>
                <w:b w:val="0"/>
              </w:rPr>
              <w:t>P</w:t>
            </w:r>
            <w:r w:rsidRPr="009C51D8">
              <w:rPr>
                <w:b w:val="0"/>
                <w:i/>
                <w:iCs/>
                <w:vertAlign w:val="subscript"/>
                <w:lang w:val="es-ES"/>
              </w:rPr>
              <w:t xml:space="preserve"> q, r, p, i * </w:t>
            </w:r>
            <w:r w:rsidRPr="009C51D8">
              <w:rPr>
                <w:b w:val="0"/>
              </w:rPr>
              <w:t xml:space="preserve"> (1 + KIRR)]</w:t>
            </w:r>
          </w:p>
          <w:p w14:paraId="6323A35D" w14:textId="77777777" w:rsidR="00C22690" w:rsidRDefault="00C22690" w:rsidP="00C22690">
            <w:pPr>
              <w:pStyle w:val="Formula"/>
              <w:ind w:left="2880" w:hanging="2160"/>
            </w:pPr>
            <w:r w:rsidRPr="009C51D8">
              <w:t>TWTG</w:t>
            </w:r>
            <w:r w:rsidRPr="009C51D8">
              <w:rPr>
                <w:i/>
                <w:vertAlign w:val="subscript"/>
              </w:rPr>
              <w:t xml:space="preserve"> q, r, p, i</w:t>
            </w:r>
            <w:r w:rsidRPr="009C51D8">
              <w:rPr>
                <w:i/>
                <w:vertAlign w:val="subscript"/>
              </w:rPr>
              <w:tab/>
              <w:t xml:space="preserve">=      </w:t>
            </w:r>
            <w:r w:rsidRPr="009C51D8">
              <w:t xml:space="preserve"> (</w:t>
            </w:r>
            <w:r w:rsidRPr="009C51D8">
              <w:rPr>
                <w:position w:val="-22"/>
              </w:rPr>
              <w:object w:dxaOrig="210" w:dyaOrig="450" w14:anchorId="7E3F8545">
                <v:shape id="_x0000_i1193" type="#_x0000_t75" style="width:5.4pt;height:24.6pt" o:ole="">
                  <v:imagedata r:id="rId209" o:title=""/>
                </v:shape>
                <o:OLEObject Type="Embed" ProgID="Equation.3" ShapeID="_x0000_i1193" DrawAspect="Content" ObjectID="_1815025383" r:id="rId225"/>
              </w:object>
            </w:r>
            <w:r w:rsidRPr="009C51D8">
              <w:t xml:space="preserve"> (AVGTG5M</w:t>
            </w:r>
            <w:r w:rsidRPr="009C51D8">
              <w:rPr>
                <w:i/>
                <w:vertAlign w:val="subscript"/>
              </w:rPr>
              <w:t xml:space="preserve"> q, r, p, i, y</w:t>
            </w:r>
            <w:r w:rsidRPr="009C51D8">
              <w:t>) / 3) * ¼</w:t>
            </w:r>
          </w:p>
          <w:p w14:paraId="693F1FF1" w14:textId="77777777" w:rsidR="00C22690" w:rsidRPr="00A261C3" w:rsidRDefault="00C22690" w:rsidP="00C22690">
            <w:pPr>
              <w:spacing w:after="240"/>
              <w:ind w:left="720" w:hanging="720"/>
              <w:rPr>
                <w:iCs/>
              </w:rPr>
            </w:pPr>
            <w:r w:rsidRPr="00A261C3">
              <w:rPr>
                <w:iCs/>
              </w:rPr>
              <w:t>(</w:t>
            </w:r>
            <w:r>
              <w:rPr>
                <w:iCs/>
              </w:rPr>
              <w:t>4</w:t>
            </w:r>
            <w:r w:rsidRPr="00A261C3">
              <w:rPr>
                <w:iCs/>
              </w:rPr>
              <w:t>)</w:t>
            </w:r>
            <w:r w:rsidRPr="00A261C3">
              <w:rPr>
                <w:iCs/>
              </w:rPr>
              <w:tab/>
              <w:t xml:space="preserve">The charge to each QSE for non-excused over-generation of each </w:t>
            </w:r>
            <w:r>
              <w:rPr>
                <w:iCs/>
              </w:rPr>
              <w:t>IRR</w:t>
            </w:r>
            <w:r w:rsidRPr="00A261C3">
              <w:rPr>
                <w:iCs/>
              </w:rPr>
              <w:t xml:space="preserve"> that is included in a</w:t>
            </w:r>
            <w:r>
              <w:rPr>
                <w:iCs/>
              </w:rPr>
              <w:t>n</w:t>
            </w:r>
            <w:r w:rsidRPr="00A261C3">
              <w:rPr>
                <w:iCs/>
              </w:rPr>
              <w:t xml:space="preserve"> </w:t>
            </w:r>
            <w:r>
              <w:rPr>
                <w:iCs/>
              </w:rPr>
              <w:t>IRR</w:t>
            </w:r>
            <w:r w:rsidRPr="00A261C3">
              <w:rPr>
                <w:iCs/>
              </w:rPr>
              <w:t xml:space="preserve"> Group, at each Resource Node Settlement Point, if the </w:t>
            </w:r>
            <w:r>
              <w:rPr>
                <w:iCs/>
              </w:rPr>
              <w:t>tele</w:t>
            </w:r>
            <w:r w:rsidRPr="00A261C3">
              <w:rPr>
                <w:iCs/>
              </w:rPr>
              <w:t>metered generation is greater than the upper tolerance during a 15-minute Settlement Interval, is calculated as follows:</w:t>
            </w:r>
          </w:p>
          <w:p w14:paraId="35B955BD" w14:textId="0EC03930" w:rsidR="00C22690" w:rsidRPr="00A261C3" w:rsidRDefault="00C22690" w:rsidP="00C22690">
            <w:pPr>
              <w:ind w:left="720"/>
              <w:rPr>
                <w:lang w:val="pt-BR"/>
              </w:rPr>
            </w:pPr>
            <w:r w:rsidRPr="00A261C3">
              <w:rPr>
                <w:lang w:val="pt-BR"/>
              </w:rPr>
              <w:t xml:space="preserve">If </w:t>
            </w:r>
            <w:r w:rsidRPr="00A261C3">
              <w:t>the flag signifying that the IRR has received a Base Point below the HDL used by SCED</w:t>
            </w:r>
            <w:r w:rsidR="00C4333E">
              <w:t xml:space="preserve"> or the IRR has been instructed not to exceed its Base Point</w:t>
            </w:r>
            <w:r w:rsidRPr="00A261C3">
              <w:t xml:space="preserve"> is not set </w:t>
            </w:r>
            <w:r w:rsidRPr="00A261C3">
              <w:rPr>
                <w:lang w:val="pt-BR"/>
              </w:rPr>
              <w:t xml:space="preserve">in all SCED intervals within </w:t>
            </w:r>
            <w:r w:rsidRPr="00A261C3">
              <w:rPr>
                <w:lang w:val="pt-BR"/>
              </w:rPr>
              <w:lastRenderedPageBreak/>
              <w:t xml:space="preserve">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for all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w:t>
            </w:r>
          </w:p>
          <w:p w14:paraId="221B10CC" w14:textId="620B92A5" w:rsidR="00C22690" w:rsidRPr="00A261C3" w:rsidRDefault="008844A7" w:rsidP="00C22690">
            <w:pPr>
              <w:tabs>
                <w:tab w:val="left" w:pos="2340"/>
                <w:tab w:val="left" w:pos="3420"/>
              </w:tabs>
              <w:spacing w:before="120" w:after="240"/>
              <w:ind w:left="720"/>
              <w:rPr>
                <w:b/>
                <w:bCs/>
                <w:lang w:val="pt-BR"/>
              </w:rPr>
            </w:pPr>
            <w:r>
              <w:rPr>
                <w:b/>
                <w:bCs/>
                <w:lang w:val="pt-BR"/>
              </w:rPr>
              <w:t>S</w:t>
            </w:r>
            <w:r w:rsidR="00C22690" w:rsidRPr="00A261C3">
              <w:rPr>
                <w:b/>
                <w:bCs/>
                <w:lang w:val="pt-BR"/>
              </w:rPr>
              <w:t xml:space="preserve">PDAMT </w:t>
            </w:r>
            <w:r w:rsidR="00C22690" w:rsidRPr="00A261C3">
              <w:rPr>
                <w:b/>
                <w:bCs/>
                <w:i/>
                <w:vertAlign w:val="subscript"/>
                <w:lang w:val="pt-BR"/>
              </w:rPr>
              <w:t>q, r, p</w:t>
            </w:r>
            <w:r w:rsidR="00C22690" w:rsidRPr="00A261C3">
              <w:rPr>
                <w:b/>
                <w:bCs/>
                <w:lang w:val="pt-BR"/>
              </w:rPr>
              <w:t xml:space="preserve"> =</w:t>
            </w:r>
            <w:r w:rsidR="00C22690" w:rsidRPr="00A261C3">
              <w:rPr>
                <w:b/>
                <w:bCs/>
                <w:lang w:val="pt-BR"/>
              </w:rPr>
              <w:tab/>
              <w:t>0</w:t>
            </w:r>
          </w:p>
          <w:p w14:paraId="0360337C" w14:textId="078C5FB3" w:rsidR="00C22690" w:rsidRPr="00A261C3" w:rsidRDefault="00C22690" w:rsidP="00C22690">
            <w:pPr>
              <w:ind w:left="720"/>
              <w:rPr>
                <w:lang w:val="pt-BR"/>
              </w:rPr>
            </w:pPr>
            <w:r w:rsidRPr="00A261C3">
              <w:rPr>
                <w:lang w:val="pt-BR"/>
              </w:rPr>
              <w:t xml:space="preserve">If </w:t>
            </w:r>
            <w:r w:rsidRPr="00A261C3">
              <w:t xml:space="preserve">the flag signifying that the </w:t>
            </w:r>
            <w:r>
              <w:t>IRR</w:t>
            </w:r>
            <w:r w:rsidRPr="00A261C3">
              <w:t xml:space="preserve"> has received a Base Point below the HDL used by SCED</w:t>
            </w:r>
            <w:r w:rsidR="00045FBB">
              <w:t xml:space="preserve"> or the IRR has been instructed not to exceed its Base Point</w:t>
            </w:r>
            <w:r w:rsidRPr="00A261C3">
              <w:t xml:space="preserve"> is set </w:t>
            </w:r>
            <w:r w:rsidRPr="00A261C3">
              <w:rPr>
                <w:lang w:val="pt-BR"/>
              </w:rPr>
              <w:t xml:space="preserve">in all SCED intervals within 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the deviation penalty is determined for the </w:t>
            </w:r>
            <w:r>
              <w:rPr>
                <w:lang w:val="pt-BR"/>
              </w:rPr>
              <w:t>IRR</w:t>
            </w:r>
            <w:r w:rsidRPr="00A261C3">
              <w:rPr>
                <w:lang w:val="pt-BR"/>
              </w:rPr>
              <w:t xml:space="preserve"> Group and evenly allocated and charged to each </w:t>
            </w:r>
            <w:r>
              <w:rPr>
                <w:lang w:val="pt-BR"/>
              </w:rPr>
              <w:t>IRR</w:t>
            </w:r>
            <w:r w:rsidRPr="00A261C3">
              <w:rPr>
                <w:lang w:val="pt-BR"/>
              </w:rPr>
              <w:t xml:space="preserve"> within that </w:t>
            </w:r>
            <w:r>
              <w:rPr>
                <w:lang w:val="pt-BR"/>
              </w:rPr>
              <w:t>IRR</w:t>
            </w:r>
            <w:r w:rsidRPr="00A261C3">
              <w:rPr>
                <w:lang w:val="pt-BR"/>
              </w:rPr>
              <w:t xml:space="preserve"> Group:</w:t>
            </w:r>
          </w:p>
          <w:p w14:paraId="1CA3D991" w14:textId="77777777" w:rsidR="00C22690" w:rsidRPr="00A261C3" w:rsidRDefault="00C22690" w:rsidP="00C22690">
            <w:pPr>
              <w:rPr>
                <w:lang w:val="pt-BR"/>
              </w:rPr>
            </w:pPr>
          </w:p>
          <w:p w14:paraId="54DE4805" w14:textId="7105A2B9" w:rsidR="00C22690" w:rsidRPr="00A261C3" w:rsidRDefault="00C22690" w:rsidP="00C22690">
            <w:pPr>
              <w:tabs>
                <w:tab w:val="left" w:pos="720"/>
                <w:tab w:val="left" w:pos="2340"/>
                <w:tab w:val="left" w:pos="3420"/>
              </w:tabs>
              <w:spacing w:after="240"/>
              <w:ind w:left="2880" w:hanging="2880"/>
              <w:rPr>
                <w:b/>
                <w:bCs/>
                <w:lang w:val="pt-BR"/>
              </w:rPr>
            </w:pPr>
            <w:r w:rsidRPr="00A261C3">
              <w:rPr>
                <w:b/>
                <w:bCs/>
                <w:lang w:val="pt-BR"/>
              </w:rPr>
              <w:tab/>
            </w:r>
            <w:r w:rsidR="008844A7">
              <w:rPr>
                <w:b/>
                <w:bCs/>
                <w:lang w:val="pt-BR"/>
              </w:rPr>
              <w:t>S</w:t>
            </w:r>
            <w:r w:rsidRPr="00A261C3">
              <w:rPr>
                <w:b/>
                <w:bCs/>
                <w:lang w:val="pt-BR"/>
              </w:rPr>
              <w:t>PDAMT</w:t>
            </w:r>
            <w:r w:rsidRPr="00A261C3">
              <w:rPr>
                <w:b/>
                <w:bCs/>
                <w:i/>
                <w:vertAlign w:val="subscript"/>
                <w:lang w:val="pt-BR"/>
              </w:rPr>
              <w:t xml:space="preserve"> q, r, p</w:t>
            </w:r>
            <w:r>
              <w:rPr>
                <w:b/>
                <w:bCs/>
                <w:lang w:val="pt-BR"/>
              </w:rPr>
              <w:t xml:space="preserve"> = </w:t>
            </w:r>
            <w:r w:rsidRPr="00A261C3">
              <w:rPr>
                <w:b/>
                <w:bCs/>
                <w:lang w:val="pt-BR"/>
              </w:rPr>
              <w:t>Max (PR1, RTSPP</w:t>
            </w:r>
            <w:r>
              <w:rPr>
                <w:b/>
                <w:bCs/>
                <w:lang w:val="pt-BR"/>
              </w:rPr>
              <w:t xml:space="preserve"> </w:t>
            </w:r>
            <w:r w:rsidRPr="00A261C3">
              <w:rPr>
                <w:b/>
                <w:bCs/>
                <w:i/>
                <w:vertAlign w:val="subscript"/>
                <w:lang w:val="pt-BR"/>
              </w:rPr>
              <w:t>p</w:t>
            </w:r>
            <w:r w:rsidRPr="00A261C3">
              <w:rPr>
                <w:b/>
                <w:bCs/>
                <w:lang w:val="pt-BR"/>
              </w:rPr>
              <w:t xml:space="preserve">) * OGENIRR </w:t>
            </w:r>
            <w:r w:rsidRPr="00A261C3">
              <w:rPr>
                <w:rFonts w:ascii="Times New Roman Bold" w:hAnsi="Times New Roman Bold"/>
                <w:b/>
                <w:bCs/>
                <w:i/>
                <w:vertAlign w:val="subscript"/>
                <w:lang w:val="pt-BR"/>
              </w:rPr>
              <w:t xml:space="preserve">q, </w:t>
            </w:r>
            <w:r>
              <w:rPr>
                <w:rFonts w:ascii="Times New Roman Bold" w:hAnsi="Times New Roman Bold"/>
                <w:b/>
                <w:bCs/>
                <w:i/>
                <w:vertAlign w:val="subscript"/>
                <w:lang w:val="pt-BR"/>
              </w:rPr>
              <w:t>r</w:t>
            </w:r>
            <w:r w:rsidRPr="00A261C3">
              <w:rPr>
                <w:rFonts w:ascii="Times New Roman Bold" w:hAnsi="Times New Roman Bold"/>
                <w:b/>
                <w:bCs/>
                <w:i/>
                <w:vertAlign w:val="subscript"/>
                <w:lang w:val="pt-BR"/>
              </w:rPr>
              <w:t xml:space="preserve">, i </w:t>
            </w:r>
          </w:p>
          <w:p w14:paraId="6E7DD86E" w14:textId="77777777" w:rsidR="00C22690" w:rsidRPr="002A617F" w:rsidRDefault="00C22690" w:rsidP="00C22690">
            <w:pPr>
              <w:tabs>
                <w:tab w:val="left" w:pos="2340"/>
                <w:tab w:val="left" w:pos="3420"/>
                <w:tab w:val="right" w:pos="9360"/>
              </w:tabs>
              <w:spacing w:after="240"/>
              <w:ind w:left="3420" w:hanging="2700"/>
              <w:rPr>
                <w:bCs/>
              </w:rPr>
            </w:pPr>
            <w:r w:rsidRPr="00A261C3">
              <w:rPr>
                <w:bCs/>
              </w:rPr>
              <w:t>Where:</w:t>
            </w:r>
          </w:p>
          <w:p w14:paraId="6CE4F463" w14:textId="00408ACC" w:rsidR="00C22690" w:rsidRPr="002A617F" w:rsidRDefault="00C22690" w:rsidP="00C22690">
            <w:pPr>
              <w:tabs>
                <w:tab w:val="left" w:pos="2340"/>
                <w:tab w:val="left" w:pos="3420"/>
                <w:tab w:val="right" w:pos="9360"/>
              </w:tabs>
              <w:spacing w:after="240"/>
              <w:ind w:left="3420" w:hanging="2700"/>
              <w:rPr>
                <w:bCs/>
              </w:rPr>
            </w:pPr>
            <w:r w:rsidRPr="00A261C3">
              <w:rPr>
                <w:bCs/>
              </w:rPr>
              <w:t>OGENIRR</w:t>
            </w:r>
            <w:r w:rsidRPr="00A261C3">
              <w:rPr>
                <w:bCs/>
                <w:i/>
                <w:iCs/>
                <w:vertAlign w:val="subscript"/>
                <w:lang w:val="es-ES"/>
              </w:rPr>
              <w:t xml:space="preserve"> q, </w:t>
            </w:r>
            <w:r>
              <w:rPr>
                <w:bCs/>
                <w:i/>
                <w:iCs/>
                <w:vertAlign w:val="subscript"/>
                <w:lang w:val="es-ES"/>
              </w:rPr>
              <w:t>r</w:t>
            </w:r>
            <w:r w:rsidRPr="00A261C3">
              <w:rPr>
                <w:bCs/>
                <w:i/>
                <w:iCs/>
                <w:vertAlign w:val="subscript"/>
                <w:lang w:val="es-ES"/>
              </w:rPr>
              <w:t xml:space="preserve">, i  </w:t>
            </w:r>
            <w:r w:rsidRPr="00A261C3">
              <w:rPr>
                <w:bCs/>
              </w:rPr>
              <w:t xml:space="preserve"> = Max [0, TWTG</w:t>
            </w:r>
            <w:r w:rsidRPr="00A261C3">
              <w:rPr>
                <w:bCs/>
                <w:i/>
                <w:iCs/>
                <w:vertAlign w:val="subscript"/>
                <w:lang w:val="es-ES"/>
              </w:rPr>
              <w:t xml:space="preserve"> q, wg, i </w:t>
            </w:r>
            <w:r w:rsidRPr="00A261C3">
              <w:rPr>
                <w:bCs/>
              </w:rPr>
              <w:t xml:space="preserve"> – ¼ * AA</w:t>
            </w:r>
            <w:r w:rsidR="008844A7">
              <w:rPr>
                <w:bCs/>
              </w:rPr>
              <w:t>S</w:t>
            </w:r>
            <w:r w:rsidRPr="00A261C3">
              <w:rPr>
                <w:bCs/>
              </w:rPr>
              <w:t>P</w:t>
            </w:r>
            <w:r w:rsidRPr="00A261C3">
              <w:rPr>
                <w:bCs/>
                <w:i/>
                <w:iCs/>
                <w:vertAlign w:val="subscript"/>
                <w:lang w:val="es-ES"/>
              </w:rPr>
              <w:t xml:space="preserve"> q, wg, i * </w:t>
            </w:r>
            <w:r w:rsidRPr="00A261C3">
              <w:rPr>
                <w:bCs/>
              </w:rPr>
              <w:t xml:space="preserve"> (1 + KIRR)]</w:t>
            </w:r>
            <w:r>
              <w:rPr>
                <w:bCs/>
              </w:rPr>
              <w:t xml:space="preserve"> / N</w:t>
            </w:r>
          </w:p>
          <w:p w14:paraId="268060B2" w14:textId="7840CFB4" w:rsidR="00C22690" w:rsidRDefault="00C22690" w:rsidP="00C22690">
            <w:pPr>
              <w:pStyle w:val="Formula"/>
              <w:ind w:left="2880" w:hanging="2160"/>
            </w:pPr>
            <w:r w:rsidRPr="00A261C3">
              <w:t>TWTG</w:t>
            </w:r>
            <w:r w:rsidRPr="00A261C3">
              <w:rPr>
                <w:i/>
                <w:vertAlign w:val="subscript"/>
              </w:rPr>
              <w:t xml:space="preserve"> q, wg, i</w:t>
            </w:r>
            <w:r w:rsidRPr="00A261C3">
              <w:rPr>
                <w:i/>
                <w:vertAlign w:val="subscript"/>
              </w:rPr>
              <w:tab/>
              <w:t xml:space="preserve">=     </w:t>
            </w:r>
            <w:r w:rsidRPr="00A261C3">
              <w:t xml:space="preserve"> </w:t>
            </w:r>
            <w:r>
              <w:rPr>
                <w:noProof/>
                <w:position w:val="-18"/>
              </w:rPr>
              <w:drawing>
                <wp:inline distT="0" distB="0" distL="0" distR="0" wp14:anchorId="65E8A20C" wp14:editId="2FA56C84">
                  <wp:extent cx="135255" cy="246380"/>
                  <wp:effectExtent l="0" t="0" r="0" b="127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261C3">
              <w:rPr>
                <w:bCs w:val="0"/>
                <w:lang w:val="es-ES"/>
              </w:rPr>
              <w:t>(</w:t>
            </w:r>
            <w:r w:rsidRPr="00A261C3">
              <w:t>TWTG</w:t>
            </w:r>
            <w:r w:rsidRPr="00A261C3">
              <w:rPr>
                <w:i/>
                <w:iCs/>
                <w:vertAlign w:val="subscript"/>
                <w:lang w:val="es-ES"/>
              </w:rPr>
              <w:t xml:space="preserve"> q, r, p, i</w:t>
            </w:r>
            <w:r w:rsidRPr="00A261C3">
              <w:t>)</w:t>
            </w:r>
          </w:p>
          <w:p w14:paraId="260A4157" w14:textId="34123DE4" w:rsidR="00C22690" w:rsidRPr="00A261C3" w:rsidRDefault="00C22690" w:rsidP="00C22690">
            <w:pPr>
              <w:tabs>
                <w:tab w:val="left" w:pos="2340"/>
                <w:tab w:val="left" w:pos="3420"/>
              </w:tabs>
              <w:spacing w:after="240"/>
              <w:ind w:leftChars="300" w:left="2880" w:hangingChars="900" w:hanging="2160"/>
              <w:rPr>
                <w:b/>
                <w:bCs/>
                <w:i/>
                <w:iCs/>
                <w:sz w:val="26"/>
                <w:szCs w:val="26"/>
              </w:rPr>
            </w:pPr>
            <w:r w:rsidRPr="00A261C3">
              <w:rPr>
                <w:lang w:val="es-ES"/>
              </w:rPr>
              <w:t>AA</w:t>
            </w:r>
            <w:r w:rsidR="008844A7">
              <w:rPr>
                <w:lang w:val="es-ES"/>
              </w:rPr>
              <w:t>S</w:t>
            </w:r>
            <w:r w:rsidRPr="00A261C3">
              <w:rPr>
                <w:lang w:val="es-ES"/>
              </w:rPr>
              <w:t>P</w:t>
            </w:r>
            <w:r w:rsidRPr="00A261C3">
              <w:rPr>
                <w:i/>
                <w:vertAlign w:val="subscript"/>
                <w:lang w:val="pt-BR"/>
              </w:rPr>
              <w:t xml:space="preserve"> q,</w:t>
            </w:r>
            <w:r>
              <w:rPr>
                <w:i/>
                <w:vertAlign w:val="subscript"/>
                <w:lang w:val="pt-BR"/>
              </w:rPr>
              <w:t xml:space="preserve"> </w:t>
            </w:r>
            <w:r w:rsidRPr="00A261C3">
              <w:rPr>
                <w:i/>
                <w:vertAlign w:val="subscript"/>
                <w:lang w:val="pt-BR"/>
              </w:rPr>
              <w:t xml:space="preserve">wg, i </w:t>
            </w:r>
            <w:r w:rsidRPr="00A261C3">
              <w:rPr>
                <w:lang w:val="pt-BR"/>
              </w:rPr>
              <w:t xml:space="preserve">= </w:t>
            </w:r>
            <w:r>
              <w:rPr>
                <w:noProof/>
                <w:position w:val="-18"/>
              </w:rPr>
              <w:drawing>
                <wp:inline distT="0" distB="0" distL="0" distR="0" wp14:anchorId="289D9B79" wp14:editId="4D165EBA">
                  <wp:extent cx="135255" cy="246380"/>
                  <wp:effectExtent l="0" t="0" r="0" b="1270"/>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261C3">
              <w:rPr>
                <w:lang w:val="es-ES"/>
              </w:rPr>
              <w:t>(</w:t>
            </w:r>
            <w:r w:rsidRPr="00A261C3">
              <w:rPr>
                <w:lang w:val="pt-BR"/>
              </w:rPr>
              <w:t>AA</w:t>
            </w:r>
            <w:r w:rsidR="008844A7">
              <w:rPr>
                <w:lang w:val="pt-BR"/>
              </w:rPr>
              <w:t>S</w:t>
            </w:r>
            <w:r w:rsidRPr="00A261C3">
              <w:rPr>
                <w:lang w:val="pt-BR"/>
              </w:rPr>
              <w:t>P</w:t>
            </w:r>
            <w:r w:rsidRPr="00A261C3">
              <w:rPr>
                <w:i/>
                <w:vertAlign w:val="subscript"/>
                <w:lang w:val="pt-BR"/>
              </w:rPr>
              <w:t xml:space="preserve"> q, r, p, i</w:t>
            </w:r>
            <w:r w:rsidRPr="00A261C3">
              <w:rPr>
                <w:lang w:val="pt-BR"/>
              </w:rPr>
              <w:t>)</w:t>
            </w:r>
          </w:p>
          <w:p w14:paraId="727974AE" w14:textId="77777777" w:rsidR="00C22690" w:rsidRDefault="00C22690" w:rsidP="00C22690">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56A02" w:rsidRPr="00763FB7" w14:paraId="62017E6B" w14:textId="77777777" w:rsidTr="001B737D">
              <w:tc>
                <w:tcPr>
                  <w:tcW w:w="1975" w:type="dxa"/>
                </w:tcPr>
                <w:p w14:paraId="0FF43FCF" w14:textId="77777777" w:rsidR="00C56A02" w:rsidRPr="00763FB7" w:rsidRDefault="00C56A02" w:rsidP="00C56A02">
                  <w:pPr>
                    <w:pStyle w:val="TableHead"/>
                    <w:rPr>
                      <w:sz w:val="18"/>
                      <w:szCs w:val="18"/>
                    </w:rPr>
                  </w:pPr>
                  <w:r w:rsidRPr="00763FB7">
                    <w:rPr>
                      <w:sz w:val="18"/>
                      <w:szCs w:val="18"/>
                    </w:rPr>
                    <w:t>Variable</w:t>
                  </w:r>
                </w:p>
              </w:tc>
              <w:tc>
                <w:tcPr>
                  <w:tcW w:w="900" w:type="dxa"/>
                </w:tcPr>
                <w:p w14:paraId="28408F8A" w14:textId="77777777" w:rsidR="00C56A02" w:rsidRPr="00763FB7" w:rsidRDefault="00C56A02" w:rsidP="00C56A02">
                  <w:pPr>
                    <w:pStyle w:val="TableHead"/>
                    <w:rPr>
                      <w:sz w:val="18"/>
                      <w:szCs w:val="18"/>
                    </w:rPr>
                  </w:pPr>
                  <w:r w:rsidRPr="00763FB7">
                    <w:rPr>
                      <w:sz w:val="18"/>
                      <w:szCs w:val="18"/>
                    </w:rPr>
                    <w:t>Unit</w:t>
                  </w:r>
                </w:p>
              </w:tc>
              <w:tc>
                <w:tcPr>
                  <w:tcW w:w="6942" w:type="dxa"/>
                  <w:gridSpan w:val="2"/>
                </w:tcPr>
                <w:p w14:paraId="4FCF6278" w14:textId="77777777" w:rsidR="00C56A02" w:rsidRPr="00763FB7" w:rsidRDefault="00C56A02" w:rsidP="00C56A02">
                  <w:pPr>
                    <w:pStyle w:val="TableHead"/>
                    <w:rPr>
                      <w:sz w:val="18"/>
                      <w:szCs w:val="18"/>
                    </w:rPr>
                  </w:pPr>
                  <w:r w:rsidRPr="00763FB7">
                    <w:rPr>
                      <w:sz w:val="18"/>
                      <w:szCs w:val="18"/>
                    </w:rPr>
                    <w:t>Definition</w:t>
                  </w:r>
                </w:p>
              </w:tc>
            </w:tr>
            <w:tr w:rsidR="00C56A02" w:rsidRPr="00763FB7" w14:paraId="726112FC" w14:textId="77777777" w:rsidTr="001B737D">
              <w:trPr>
                <w:cantSplit/>
              </w:trPr>
              <w:tc>
                <w:tcPr>
                  <w:tcW w:w="1975" w:type="dxa"/>
                </w:tcPr>
                <w:p w14:paraId="6E5BAD21" w14:textId="3ADD2BB8" w:rsidR="00C56A02" w:rsidRPr="008844A7" w:rsidRDefault="008844A7" w:rsidP="00C56A02">
                  <w:pPr>
                    <w:pStyle w:val="TableBody"/>
                  </w:pPr>
                  <w:r w:rsidRPr="008844A7">
                    <w:t>S</w:t>
                  </w:r>
                  <w:r w:rsidR="00C56A02" w:rsidRPr="008844A7">
                    <w:t xml:space="preserve">PDAMT </w:t>
                  </w:r>
                  <w:r w:rsidR="00C56A02" w:rsidRPr="008844A7">
                    <w:rPr>
                      <w:i/>
                      <w:vertAlign w:val="subscript"/>
                    </w:rPr>
                    <w:t>q, r, p, i</w:t>
                  </w:r>
                </w:p>
              </w:tc>
              <w:tc>
                <w:tcPr>
                  <w:tcW w:w="900" w:type="dxa"/>
                </w:tcPr>
                <w:p w14:paraId="4E0DB829" w14:textId="77777777" w:rsidR="00C56A02" w:rsidRPr="008844A7" w:rsidRDefault="00C56A02" w:rsidP="00C56A02">
                  <w:pPr>
                    <w:pStyle w:val="TableBody"/>
                  </w:pPr>
                  <w:r w:rsidRPr="008844A7">
                    <w:t>$</w:t>
                  </w:r>
                </w:p>
              </w:tc>
              <w:tc>
                <w:tcPr>
                  <w:tcW w:w="6942" w:type="dxa"/>
                  <w:gridSpan w:val="2"/>
                </w:tcPr>
                <w:p w14:paraId="7F5EC965" w14:textId="1A5D92AC" w:rsidR="00C56A02" w:rsidRPr="008844A7" w:rsidRDefault="008844A7" w:rsidP="008844A7">
                  <w:pPr>
                    <w:pStyle w:val="TableBody"/>
                  </w:pPr>
                  <w:r w:rsidRPr="008844A7">
                    <w:rPr>
                      <w:i/>
                    </w:rPr>
                    <w:t>Set</w:t>
                  </w:r>
                  <w:r w:rsidR="00C56A02" w:rsidRPr="008844A7">
                    <w:rPr>
                      <w:i/>
                    </w:rPr>
                    <w:t xml:space="preserve"> Point Deviation Charge per QSE per Settlement Point per Resource</w:t>
                  </w:r>
                  <w:r w:rsidR="00C56A02" w:rsidRPr="008844A7">
                    <w:t xml:space="preserve">—The charge to QSE </w:t>
                  </w:r>
                  <w:r w:rsidR="00C56A02" w:rsidRPr="008844A7">
                    <w:rPr>
                      <w:i/>
                    </w:rPr>
                    <w:t>q</w:t>
                  </w:r>
                  <w:r w:rsidR="00C56A02" w:rsidRPr="008844A7">
                    <w:t xml:space="preserve"> for Generation Resource </w:t>
                  </w:r>
                  <w:r w:rsidR="00C56A02" w:rsidRPr="008844A7">
                    <w:rPr>
                      <w:i/>
                    </w:rPr>
                    <w:t>r</w:t>
                  </w:r>
                  <w:r w:rsidR="00C56A02" w:rsidRPr="008844A7">
                    <w:t xml:space="preserve"> at Resource Node </w:t>
                  </w:r>
                  <w:r w:rsidR="00C56A02" w:rsidRPr="008844A7">
                    <w:rPr>
                      <w:i/>
                    </w:rPr>
                    <w:t>p</w:t>
                  </w:r>
                  <w:r w:rsidR="00C56A02" w:rsidRPr="008844A7">
                    <w:t xml:space="preserve">, for its deviation from </w:t>
                  </w:r>
                  <w:r w:rsidRPr="008844A7">
                    <w:t>AASP</w:t>
                  </w:r>
                  <w:r w:rsidR="00C56A02" w:rsidRPr="008844A7">
                    <w:t xml:space="preserve">, for the 15-minute Settlement Interval </w:t>
                  </w:r>
                  <w:r w:rsidR="00C56A02" w:rsidRPr="008844A7">
                    <w:rPr>
                      <w:i/>
                    </w:rPr>
                    <w:t>i</w:t>
                  </w:r>
                  <w:r w:rsidR="00C56A02" w:rsidRPr="008844A7">
                    <w:t>.</w:t>
                  </w:r>
                </w:p>
              </w:tc>
            </w:tr>
            <w:tr w:rsidR="00C56A02" w:rsidRPr="00763FB7" w14:paraId="34CEB5BF" w14:textId="77777777" w:rsidTr="001B737D">
              <w:trPr>
                <w:cantSplit/>
              </w:trPr>
              <w:tc>
                <w:tcPr>
                  <w:tcW w:w="1975" w:type="dxa"/>
                </w:tcPr>
                <w:p w14:paraId="112251F3" w14:textId="77777777" w:rsidR="00C56A02" w:rsidRPr="008844A7" w:rsidRDefault="00C56A02" w:rsidP="00C56A02">
                  <w:pPr>
                    <w:pStyle w:val="TableBody"/>
                  </w:pPr>
                  <w:r w:rsidRPr="008844A7">
                    <w:t xml:space="preserve">RTSPP </w:t>
                  </w:r>
                  <w:r w:rsidRPr="008844A7">
                    <w:rPr>
                      <w:i/>
                      <w:vertAlign w:val="subscript"/>
                    </w:rPr>
                    <w:t>p, i</w:t>
                  </w:r>
                </w:p>
              </w:tc>
              <w:tc>
                <w:tcPr>
                  <w:tcW w:w="900" w:type="dxa"/>
                </w:tcPr>
                <w:p w14:paraId="6CAE8941" w14:textId="77777777" w:rsidR="00C56A02" w:rsidRPr="008844A7" w:rsidRDefault="00C56A02" w:rsidP="00C56A02">
                  <w:pPr>
                    <w:pStyle w:val="TableBody"/>
                  </w:pPr>
                  <w:r w:rsidRPr="008844A7">
                    <w:t>$/MWh</w:t>
                  </w:r>
                </w:p>
              </w:tc>
              <w:tc>
                <w:tcPr>
                  <w:tcW w:w="6942" w:type="dxa"/>
                  <w:gridSpan w:val="2"/>
                </w:tcPr>
                <w:p w14:paraId="7ED4625E" w14:textId="77777777" w:rsidR="00C56A02" w:rsidRPr="008844A7" w:rsidRDefault="00C56A02" w:rsidP="00C56A02">
                  <w:pPr>
                    <w:pStyle w:val="TableBody"/>
                  </w:pPr>
                  <w:r w:rsidRPr="008844A7">
                    <w:rPr>
                      <w:i/>
                    </w:rPr>
                    <w:t>Real-Time Settlement Point Price per Settlement Point</w:t>
                  </w:r>
                  <w:r w:rsidRPr="008844A7">
                    <w:t xml:space="preserve">—The Real-Time Settlement Point Price at Resource Node </w:t>
                  </w:r>
                  <w:r w:rsidRPr="008844A7">
                    <w:rPr>
                      <w:i/>
                    </w:rPr>
                    <w:t>p</w:t>
                  </w:r>
                  <w:r w:rsidRPr="008844A7">
                    <w:t xml:space="preserve">, for the 15-minute Settlement Interval </w:t>
                  </w:r>
                  <w:r w:rsidRPr="008844A7">
                    <w:rPr>
                      <w:i/>
                    </w:rPr>
                    <w:t>i</w:t>
                  </w:r>
                  <w:r w:rsidRPr="008844A7">
                    <w:t>.</w:t>
                  </w:r>
                </w:p>
              </w:tc>
            </w:tr>
            <w:tr w:rsidR="00C56A02" w:rsidRPr="008844A7" w14:paraId="6ED520AF" w14:textId="77777777" w:rsidTr="001B737D">
              <w:trPr>
                <w:gridAfter w:val="1"/>
                <w:wAfter w:w="12" w:type="dxa"/>
                <w:cantSplit/>
              </w:trPr>
              <w:tc>
                <w:tcPr>
                  <w:tcW w:w="1975" w:type="dxa"/>
                </w:tcPr>
                <w:p w14:paraId="791F3521" w14:textId="77777777" w:rsidR="00C56A02" w:rsidRPr="008844A7" w:rsidRDefault="00C56A02" w:rsidP="00C56A02">
                  <w:pPr>
                    <w:pStyle w:val="TableBody"/>
                  </w:pPr>
                  <w:r w:rsidRPr="008844A7">
                    <w:t xml:space="preserve">TWTG </w:t>
                  </w:r>
                  <w:r w:rsidRPr="008844A7">
                    <w:rPr>
                      <w:i/>
                      <w:vertAlign w:val="subscript"/>
                    </w:rPr>
                    <w:t>q, r, p, i</w:t>
                  </w:r>
                </w:p>
              </w:tc>
              <w:tc>
                <w:tcPr>
                  <w:tcW w:w="900" w:type="dxa"/>
                </w:tcPr>
                <w:p w14:paraId="3D461D89" w14:textId="77777777" w:rsidR="00C56A02" w:rsidRPr="008844A7" w:rsidRDefault="00C56A02" w:rsidP="00C56A02">
                  <w:pPr>
                    <w:pStyle w:val="TableBody"/>
                  </w:pPr>
                  <w:r w:rsidRPr="008844A7">
                    <w:t>MWh</w:t>
                  </w:r>
                </w:p>
              </w:tc>
              <w:tc>
                <w:tcPr>
                  <w:tcW w:w="6930" w:type="dxa"/>
                </w:tcPr>
                <w:p w14:paraId="45E7F5FF" w14:textId="77777777" w:rsidR="00C56A02" w:rsidRPr="008844A7" w:rsidRDefault="00C56A02" w:rsidP="00C56A02">
                  <w:pPr>
                    <w:pStyle w:val="TableBody"/>
                    <w:rPr>
                      <w:i/>
                    </w:rPr>
                  </w:pPr>
                  <w:r w:rsidRPr="008844A7">
                    <w:rPr>
                      <w:i/>
                    </w:rPr>
                    <w:t>Time-Weighted Telemetered Generation per QSE per Settlement Point per Resource</w:t>
                  </w:r>
                  <w:r w:rsidRPr="008844A7">
                    <w:t xml:space="preserve">—The telemetered generation of Generation Resource </w:t>
                  </w:r>
                  <w:r w:rsidRPr="008844A7">
                    <w:rPr>
                      <w:i/>
                    </w:rPr>
                    <w:t>r</w:t>
                  </w:r>
                  <w:r w:rsidRPr="008844A7">
                    <w:t xml:space="preserve"> represented by QSE </w:t>
                  </w:r>
                  <w:r w:rsidRPr="008844A7">
                    <w:rPr>
                      <w:i/>
                    </w:rPr>
                    <w:t>q</w:t>
                  </w:r>
                  <w:r w:rsidRPr="008844A7">
                    <w:t xml:space="preserve"> at Resource Node </w:t>
                  </w:r>
                  <w:r w:rsidRPr="008844A7">
                    <w:rPr>
                      <w:i/>
                    </w:rPr>
                    <w:t>p</w:t>
                  </w:r>
                  <w:r w:rsidRPr="008844A7">
                    <w:t xml:space="preserve">, for the 15-minute Settlement Interval </w:t>
                  </w:r>
                  <w:r w:rsidRPr="008844A7">
                    <w:rPr>
                      <w:i/>
                    </w:rPr>
                    <w:t>i.</w:t>
                  </w:r>
                </w:p>
              </w:tc>
            </w:tr>
            <w:tr w:rsidR="00C56A02" w:rsidRPr="008844A7" w14:paraId="6260E699" w14:textId="77777777" w:rsidTr="001B737D">
              <w:trPr>
                <w:gridAfter w:val="1"/>
                <w:wAfter w:w="12" w:type="dxa"/>
                <w:cantSplit/>
              </w:trPr>
              <w:tc>
                <w:tcPr>
                  <w:tcW w:w="1975" w:type="dxa"/>
                </w:tcPr>
                <w:p w14:paraId="0153CCBE" w14:textId="12D084B6" w:rsidR="00C56A02" w:rsidRPr="008844A7" w:rsidRDefault="00C56A02" w:rsidP="008844A7">
                  <w:pPr>
                    <w:pStyle w:val="TableBody"/>
                  </w:pPr>
                  <w:r w:rsidRPr="008844A7">
                    <w:t>AA</w:t>
                  </w:r>
                  <w:r w:rsidR="008844A7">
                    <w:t>S</w:t>
                  </w:r>
                  <w:r w:rsidRPr="008844A7">
                    <w:t xml:space="preserve">P </w:t>
                  </w:r>
                  <w:r w:rsidRPr="008844A7">
                    <w:rPr>
                      <w:i/>
                      <w:vertAlign w:val="subscript"/>
                    </w:rPr>
                    <w:t>q, r, p, i</w:t>
                  </w:r>
                </w:p>
              </w:tc>
              <w:tc>
                <w:tcPr>
                  <w:tcW w:w="900" w:type="dxa"/>
                </w:tcPr>
                <w:p w14:paraId="06E24F8C" w14:textId="77777777" w:rsidR="00C56A02" w:rsidRPr="008844A7" w:rsidRDefault="00C56A02" w:rsidP="00C56A02">
                  <w:pPr>
                    <w:pStyle w:val="TableBody"/>
                  </w:pPr>
                  <w:r w:rsidRPr="008844A7">
                    <w:t>MW</w:t>
                  </w:r>
                </w:p>
              </w:tc>
              <w:tc>
                <w:tcPr>
                  <w:tcW w:w="6930" w:type="dxa"/>
                </w:tcPr>
                <w:p w14:paraId="33125C04" w14:textId="08152170" w:rsidR="00C56A02" w:rsidRPr="008844A7" w:rsidRDefault="008844A7" w:rsidP="008844A7">
                  <w:pPr>
                    <w:pStyle w:val="TableBody"/>
                    <w:rPr>
                      <w:i/>
                    </w:rPr>
                  </w:pPr>
                  <w:r>
                    <w:rPr>
                      <w:i/>
                    </w:rPr>
                    <w:t>Average</w:t>
                  </w:r>
                  <w:r w:rsidR="00C56A02" w:rsidRPr="008844A7">
                    <w:rPr>
                      <w:i/>
                    </w:rPr>
                    <w:t xml:space="preserve"> Aggregated </w:t>
                  </w:r>
                  <w:r>
                    <w:rPr>
                      <w:i/>
                    </w:rPr>
                    <w:t>Set</w:t>
                  </w:r>
                  <w:r w:rsidR="00C56A02" w:rsidRPr="008844A7">
                    <w:rPr>
                      <w:i/>
                    </w:rPr>
                    <w:t xml:space="preserve"> Point Generation per QSE per Settlement Point per Resource</w:t>
                  </w:r>
                  <w:r w:rsidR="00C56A02" w:rsidRPr="008844A7">
                    <w:t xml:space="preserve">—The </w:t>
                  </w:r>
                  <w:r>
                    <w:t>average of the Average Five Minute Clock Interval Set Point (AVGSP5M)</w:t>
                  </w:r>
                  <w:r w:rsidR="00C56A02" w:rsidRPr="008844A7">
                    <w:t xml:space="preserve"> of Generation Resource </w:t>
                  </w:r>
                  <w:r w:rsidR="00C56A02" w:rsidRPr="008844A7">
                    <w:rPr>
                      <w:i/>
                    </w:rPr>
                    <w:t>r</w:t>
                  </w:r>
                  <w:r w:rsidR="00C56A02" w:rsidRPr="008844A7">
                    <w:t xml:space="preserve"> represented by QSE </w:t>
                  </w:r>
                  <w:r w:rsidR="00C56A02" w:rsidRPr="008844A7">
                    <w:rPr>
                      <w:i/>
                    </w:rPr>
                    <w:t>q</w:t>
                  </w:r>
                  <w:r w:rsidR="00C56A02" w:rsidRPr="008844A7">
                    <w:t xml:space="preserve"> at Settlement Point </w:t>
                  </w:r>
                  <w:r w:rsidR="00C56A02" w:rsidRPr="008844A7">
                    <w:rPr>
                      <w:i/>
                    </w:rPr>
                    <w:t>p</w:t>
                  </w:r>
                  <w:r w:rsidR="00C56A02" w:rsidRPr="008844A7">
                    <w:t xml:space="preserve">, for the 15-minute Settlement Interval </w:t>
                  </w:r>
                  <w:r w:rsidR="00C56A02" w:rsidRPr="008844A7">
                    <w:rPr>
                      <w:i/>
                    </w:rPr>
                    <w:t>i.</w:t>
                  </w:r>
                </w:p>
              </w:tc>
            </w:tr>
            <w:tr w:rsidR="00C56A02" w:rsidRPr="00763FB7" w14:paraId="51409976" w14:textId="77777777" w:rsidTr="001B737D">
              <w:trPr>
                <w:cantSplit/>
              </w:trPr>
              <w:tc>
                <w:tcPr>
                  <w:tcW w:w="1975" w:type="dxa"/>
                </w:tcPr>
                <w:p w14:paraId="3A7B554F" w14:textId="77777777" w:rsidR="00C56A02" w:rsidRPr="008844A7" w:rsidRDefault="00C56A02" w:rsidP="00C56A02">
                  <w:pPr>
                    <w:pStyle w:val="TableBody"/>
                  </w:pPr>
                  <w:r w:rsidRPr="008844A7">
                    <w:t>AVGTG5M</w:t>
                  </w:r>
                  <w:r w:rsidRPr="008844A7">
                    <w:rPr>
                      <w:i/>
                      <w:vertAlign w:val="subscript"/>
                      <w:lang w:val="fr-FR"/>
                    </w:rPr>
                    <w:t xml:space="preserve"> q, r, p, i, y</w:t>
                  </w:r>
                </w:p>
              </w:tc>
              <w:tc>
                <w:tcPr>
                  <w:tcW w:w="900" w:type="dxa"/>
                </w:tcPr>
                <w:p w14:paraId="28849211" w14:textId="77777777" w:rsidR="00C56A02" w:rsidRPr="008844A7" w:rsidRDefault="00C56A02" w:rsidP="00C56A02">
                  <w:pPr>
                    <w:pStyle w:val="TableBody"/>
                  </w:pPr>
                  <w:r w:rsidRPr="008844A7">
                    <w:t>MW</w:t>
                  </w:r>
                </w:p>
              </w:tc>
              <w:tc>
                <w:tcPr>
                  <w:tcW w:w="6942" w:type="dxa"/>
                  <w:gridSpan w:val="2"/>
                </w:tcPr>
                <w:p w14:paraId="00E44BE7" w14:textId="77777777" w:rsidR="00C56A02" w:rsidRPr="008844A7" w:rsidRDefault="00C56A02" w:rsidP="00C56A02">
                  <w:pPr>
                    <w:pStyle w:val="TableBody"/>
                  </w:pPr>
                  <w:r w:rsidRPr="008844A7">
                    <w:rPr>
                      <w:i/>
                    </w:rPr>
                    <w:t>Average Telemetered Generation for the 5 Minutes</w:t>
                  </w:r>
                  <w:r w:rsidRPr="008844A7">
                    <w:t xml:space="preserve">—The average telemetered generation of Generation Resource </w:t>
                  </w:r>
                  <w:r w:rsidRPr="008844A7">
                    <w:rPr>
                      <w:i/>
                    </w:rPr>
                    <w:t>r</w:t>
                  </w:r>
                  <w:r w:rsidRPr="008844A7">
                    <w:t xml:space="preserve"> represented by QSE </w:t>
                  </w:r>
                  <w:r w:rsidRPr="008844A7">
                    <w:rPr>
                      <w:i/>
                    </w:rPr>
                    <w:t>q</w:t>
                  </w:r>
                  <w:r w:rsidRPr="008844A7">
                    <w:t xml:space="preserve"> at Resource Node </w:t>
                  </w:r>
                  <w:r w:rsidRPr="008844A7">
                    <w:rPr>
                      <w:i/>
                    </w:rPr>
                    <w:t>p</w:t>
                  </w:r>
                  <w:r w:rsidRPr="008844A7">
                    <w:t xml:space="preserve">, for the five-minute clock interval </w:t>
                  </w:r>
                  <w:r w:rsidRPr="008844A7">
                    <w:rPr>
                      <w:i/>
                    </w:rPr>
                    <w:t>y</w:t>
                  </w:r>
                  <w:r w:rsidRPr="008844A7">
                    <w:t xml:space="preserve">, within the 15-minute Settlement Interval </w:t>
                  </w:r>
                  <w:r w:rsidRPr="008844A7">
                    <w:rPr>
                      <w:i/>
                    </w:rPr>
                    <w:t>i</w:t>
                  </w:r>
                  <w:r w:rsidRPr="008844A7">
                    <w:t>.</w:t>
                  </w:r>
                </w:p>
              </w:tc>
            </w:tr>
            <w:tr w:rsidR="00C56A02" w:rsidRPr="00763FB7" w14:paraId="315DE913" w14:textId="77777777" w:rsidTr="001B737D">
              <w:trPr>
                <w:cantSplit/>
              </w:trPr>
              <w:tc>
                <w:tcPr>
                  <w:tcW w:w="1975" w:type="dxa"/>
                </w:tcPr>
                <w:p w14:paraId="364C14B8" w14:textId="77777777" w:rsidR="00C56A02" w:rsidRPr="008844A7" w:rsidRDefault="00C56A02" w:rsidP="00C56A02">
                  <w:pPr>
                    <w:pStyle w:val="TableBody"/>
                  </w:pPr>
                  <w:r w:rsidRPr="008844A7">
                    <w:t xml:space="preserve">OGENIRR </w:t>
                  </w:r>
                  <w:r w:rsidRPr="008844A7">
                    <w:rPr>
                      <w:i/>
                      <w:vertAlign w:val="subscript"/>
                    </w:rPr>
                    <w:t>q, r, p, i</w:t>
                  </w:r>
                </w:p>
              </w:tc>
              <w:tc>
                <w:tcPr>
                  <w:tcW w:w="900" w:type="dxa"/>
                </w:tcPr>
                <w:p w14:paraId="1FC39569" w14:textId="77777777" w:rsidR="00C56A02" w:rsidRPr="008844A7" w:rsidRDefault="00C56A02" w:rsidP="00C56A02">
                  <w:pPr>
                    <w:pStyle w:val="TableBody"/>
                  </w:pPr>
                  <w:r w:rsidRPr="008844A7">
                    <w:t>MWh</w:t>
                  </w:r>
                </w:p>
              </w:tc>
              <w:tc>
                <w:tcPr>
                  <w:tcW w:w="6942" w:type="dxa"/>
                  <w:gridSpan w:val="2"/>
                </w:tcPr>
                <w:p w14:paraId="2D47AA52" w14:textId="77777777" w:rsidR="00C56A02" w:rsidRPr="008844A7" w:rsidRDefault="00C56A02" w:rsidP="00C56A02">
                  <w:pPr>
                    <w:pStyle w:val="TableBody"/>
                  </w:pPr>
                  <w:r w:rsidRPr="008844A7">
                    <w:rPr>
                      <w:i/>
                    </w:rPr>
                    <w:t>Over Generation Volumes per QSE per Settlement Point per IRR Generation Resource</w:t>
                  </w:r>
                  <w:r w:rsidRPr="008844A7">
                    <w:t xml:space="preserve">—The amount over generated by the IRR </w:t>
                  </w:r>
                  <w:r w:rsidRPr="008844A7">
                    <w:rPr>
                      <w:i/>
                    </w:rPr>
                    <w:t>r</w:t>
                  </w:r>
                  <w:r w:rsidRPr="008844A7">
                    <w:t xml:space="preserve"> represented by QSE </w:t>
                  </w:r>
                  <w:r w:rsidRPr="008844A7">
                    <w:rPr>
                      <w:i/>
                    </w:rPr>
                    <w:t>q</w:t>
                  </w:r>
                  <w:r w:rsidRPr="008844A7">
                    <w:t xml:space="preserve"> at Resource Node </w:t>
                  </w:r>
                  <w:r w:rsidRPr="008844A7">
                    <w:rPr>
                      <w:i/>
                    </w:rPr>
                    <w:t>p</w:t>
                  </w:r>
                  <w:r w:rsidRPr="008844A7">
                    <w:t xml:space="preserve"> for the 15-minute Settlement Interval </w:t>
                  </w:r>
                  <w:r w:rsidRPr="008844A7">
                    <w:rPr>
                      <w:i/>
                    </w:rPr>
                    <w:t>i</w:t>
                  </w:r>
                  <w:r w:rsidRPr="008844A7">
                    <w:t>.</w:t>
                  </w:r>
                </w:p>
              </w:tc>
            </w:tr>
            <w:tr w:rsidR="00C56A02" w:rsidRPr="00763FB7" w14:paraId="02EA20FD" w14:textId="77777777" w:rsidTr="001B737D">
              <w:trPr>
                <w:cantSplit/>
              </w:trPr>
              <w:tc>
                <w:tcPr>
                  <w:tcW w:w="1975" w:type="dxa"/>
                </w:tcPr>
                <w:p w14:paraId="7AC35D35" w14:textId="77777777" w:rsidR="00C56A02" w:rsidRPr="008844A7" w:rsidRDefault="00C56A02" w:rsidP="00C56A02">
                  <w:pPr>
                    <w:pStyle w:val="TableBody"/>
                  </w:pPr>
                  <w:r w:rsidRPr="008844A7">
                    <w:t>PR1</w:t>
                  </w:r>
                </w:p>
              </w:tc>
              <w:tc>
                <w:tcPr>
                  <w:tcW w:w="900" w:type="dxa"/>
                </w:tcPr>
                <w:p w14:paraId="33DBBC41" w14:textId="77777777" w:rsidR="00C56A02" w:rsidRPr="008844A7" w:rsidRDefault="00C56A02" w:rsidP="00C56A02">
                  <w:pPr>
                    <w:pStyle w:val="TableBody"/>
                  </w:pPr>
                  <w:r w:rsidRPr="008844A7">
                    <w:t>$/MWh</w:t>
                  </w:r>
                </w:p>
              </w:tc>
              <w:tc>
                <w:tcPr>
                  <w:tcW w:w="6942" w:type="dxa"/>
                  <w:gridSpan w:val="2"/>
                </w:tcPr>
                <w:p w14:paraId="0FD1E926" w14:textId="77777777" w:rsidR="00C56A02" w:rsidRPr="008844A7" w:rsidRDefault="00C56A02" w:rsidP="00C56A02">
                  <w:pPr>
                    <w:pStyle w:val="TableBody"/>
                  </w:pPr>
                  <w:r w:rsidRPr="008844A7">
                    <w:t xml:space="preserve">The price to use for the charge calculation when RTSPP is less than $20/MWh, $20/MWh.  </w:t>
                  </w:r>
                </w:p>
              </w:tc>
            </w:tr>
            <w:tr w:rsidR="00C56A02" w:rsidRPr="00763FB7" w14:paraId="345DEC75" w14:textId="77777777" w:rsidTr="001B737D">
              <w:trPr>
                <w:cantSplit/>
              </w:trPr>
              <w:tc>
                <w:tcPr>
                  <w:tcW w:w="1975" w:type="dxa"/>
                </w:tcPr>
                <w:p w14:paraId="6B0036A4" w14:textId="77777777" w:rsidR="00C56A02" w:rsidRPr="008844A7" w:rsidRDefault="00C56A02" w:rsidP="00C56A02">
                  <w:pPr>
                    <w:pStyle w:val="TableBody"/>
                  </w:pPr>
                  <w:r w:rsidRPr="008844A7">
                    <w:t>KIRR</w:t>
                  </w:r>
                </w:p>
              </w:tc>
              <w:tc>
                <w:tcPr>
                  <w:tcW w:w="900" w:type="dxa"/>
                </w:tcPr>
                <w:p w14:paraId="023D1C48" w14:textId="77777777" w:rsidR="00C56A02" w:rsidRPr="008844A7" w:rsidRDefault="00C56A02" w:rsidP="00C56A02">
                  <w:pPr>
                    <w:pStyle w:val="TableBody"/>
                  </w:pPr>
                  <w:r w:rsidRPr="008844A7">
                    <w:t>none</w:t>
                  </w:r>
                </w:p>
              </w:tc>
              <w:tc>
                <w:tcPr>
                  <w:tcW w:w="6942" w:type="dxa"/>
                  <w:gridSpan w:val="2"/>
                </w:tcPr>
                <w:p w14:paraId="7D72B385" w14:textId="0B0F1E03" w:rsidR="00C56A02" w:rsidRPr="008844A7" w:rsidRDefault="00C56A02" w:rsidP="00C56A02">
                  <w:pPr>
                    <w:pStyle w:val="TableBody"/>
                  </w:pPr>
                  <w:r w:rsidRPr="008844A7">
                    <w:t xml:space="preserve">The percentage tolerance for over-generation of an IRR, </w:t>
                  </w:r>
                  <w:r w:rsidR="00045FBB">
                    <w:t>5</w:t>
                  </w:r>
                  <w:r w:rsidRPr="008844A7">
                    <w:t>%.</w:t>
                  </w:r>
                </w:p>
              </w:tc>
            </w:tr>
            <w:tr w:rsidR="00C56A02" w:rsidRPr="00763FB7" w14:paraId="6FBCF628" w14:textId="77777777" w:rsidTr="001B737D">
              <w:trPr>
                <w:cantSplit/>
              </w:trPr>
              <w:tc>
                <w:tcPr>
                  <w:tcW w:w="1975" w:type="dxa"/>
                </w:tcPr>
                <w:p w14:paraId="124507B8" w14:textId="77777777" w:rsidR="00C56A02" w:rsidRPr="008844A7" w:rsidRDefault="00C56A02" w:rsidP="00C56A02">
                  <w:pPr>
                    <w:pStyle w:val="TableBody"/>
                  </w:pPr>
                  <w:r w:rsidRPr="008844A7">
                    <w:t>N</w:t>
                  </w:r>
                </w:p>
              </w:tc>
              <w:tc>
                <w:tcPr>
                  <w:tcW w:w="900" w:type="dxa"/>
                </w:tcPr>
                <w:p w14:paraId="7D45CEB2" w14:textId="77777777" w:rsidR="00C56A02" w:rsidRPr="008844A7" w:rsidRDefault="00C56A02" w:rsidP="00C56A02">
                  <w:pPr>
                    <w:pStyle w:val="TableBody"/>
                  </w:pPr>
                  <w:r w:rsidRPr="008844A7">
                    <w:t>none</w:t>
                  </w:r>
                </w:p>
              </w:tc>
              <w:tc>
                <w:tcPr>
                  <w:tcW w:w="6942" w:type="dxa"/>
                  <w:gridSpan w:val="2"/>
                </w:tcPr>
                <w:p w14:paraId="7A176CFC" w14:textId="77777777" w:rsidR="00C56A02" w:rsidRPr="008844A7" w:rsidRDefault="00C56A02" w:rsidP="00C56A02">
                  <w:pPr>
                    <w:pStyle w:val="TableBody"/>
                  </w:pPr>
                  <w:r w:rsidRPr="008844A7">
                    <w:t>The number of IRRs within an IRR Group.</w:t>
                  </w:r>
                </w:p>
              </w:tc>
            </w:tr>
            <w:tr w:rsidR="00C56A02" w:rsidRPr="00763FB7" w14:paraId="5DAE654F" w14:textId="77777777" w:rsidTr="001B737D">
              <w:trPr>
                <w:cantSplit/>
              </w:trPr>
              <w:tc>
                <w:tcPr>
                  <w:tcW w:w="1975" w:type="dxa"/>
                </w:tcPr>
                <w:p w14:paraId="3F3C4B0D" w14:textId="77777777" w:rsidR="00C56A02" w:rsidRPr="008844A7" w:rsidRDefault="00C56A02" w:rsidP="00C56A02">
                  <w:pPr>
                    <w:pStyle w:val="TableBody"/>
                    <w:rPr>
                      <w:i/>
                    </w:rPr>
                  </w:pPr>
                  <w:r w:rsidRPr="008844A7">
                    <w:rPr>
                      <w:i/>
                    </w:rPr>
                    <w:t>q</w:t>
                  </w:r>
                </w:p>
              </w:tc>
              <w:tc>
                <w:tcPr>
                  <w:tcW w:w="900" w:type="dxa"/>
                </w:tcPr>
                <w:p w14:paraId="07180891" w14:textId="77777777" w:rsidR="00C56A02" w:rsidRPr="008844A7" w:rsidRDefault="00C56A02" w:rsidP="00C56A02">
                  <w:pPr>
                    <w:pStyle w:val="TableBody"/>
                  </w:pPr>
                  <w:r w:rsidRPr="008844A7">
                    <w:t>none</w:t>
                  </w:r>
                </w:p>
              </w:tc>
              <w:tc>
                <w:tcPr>
                  <w:tcW w:w="6942" w:type="dxa"/>
                  <w:gridSpan w:val="2"/>
                </w:tcPr>
                <w:p w14:paraId="400D6A28" w14:textId="77777777" w:rsidR="00C56A02" w:rsidRPr="008844A7" w:rsidRDefault="00C56A02" w:rsidP="00C56A02">
                  <w:pPr>
                    <w:pStyle w:val="TableBody"/>
                  </w:pPr>
                  <w:r w:rsidRPr="008844A7">
                    <w:t>A QSE.</w:t>
                  </w:r>
                </w:p>
              </w:tc>
            </w:tr>
            <w:tr w:rsidR="00C56A02" w:rsidRPr="00763FB7" w14:paraId="6D232321" w14:textId="77777777" w:rsidTr="001B737D">
              <w:trPr>
                <w:cantSplit/>
              </w:trPr>
              <w:tc>
                <w:tcPr>
                  <w:tcW w:w="1975" w:type="dxa"/>
                </w:tcPr>
                <w:p w14:paraId="06716D4E" w14:textId="77777777" w:rsidR="00C56A02" w:rsidRPr="008844A7" w:rsidRDefault="00C56A02" w:rsidP="00C56A02">
                  <w:pPr>
                    <w:pStyle w:val="TableBody"/>
                    <w:rPr>
                      <w:i/>
                    </w:rPr>
                  </w:pPr>
                  <w:r w:rsidRPr="008844A7">
                    <w:rPr>
                      <w:i/>
                    </w:rPr>
                    <w:t>p</w:t>
                  </w:r>
                </w:p>
              </w:tc>
              <w:tc>
                <w:tcPr>
                  <w:tcW w:w="900" w:type="dxa"/>
                </w:tcPr>
                <w:p w14:paraId="487B0880" w14:textId="77777777" w:rsidR="00C56A02" w:rsidRPr="008844A7" w:rsidRDefault="00C56A02" w:rsidP="00C56A02">
                  <w:pPr>
                    <w:pStyle w:val="TableBody"/>
                  </w:pPr>
                  <w:r w:rsidRPr="008844A7">
                    <w:t>none</w:t>
                  </w:r>
                </w:p>
              </w:tc>
              <w:tc>
                <w:tcPr>
                  <w:tcW w:w="6942" w:type="dxa"/>
                  <w:gridSpan w:val="2"/>
                </w:tcPr>
                <w:p w14:paraId="3301F510" w14:textId="77777777" w:rsidR="00C56A02" w:rsidRPr="008844A7" w:rsidRDefault="00C56A02" w:rsidP="00C56A02">
                  <w:pPr>
                    <w:pStyle w:val="TableBody"/>
                  </w:pPr>
                  <w:r w:rsidRPr="008844A7">
                    <w:t>A Settlement Point.</w:t>
                  </w:r>
                </w:p>
              </w:tc>
            </w:tr>
            <w:tr w:rsidR="00C56A02" w:rsidRPr="00763FB7" w14:paraId="45F6B086" w14:textId="77777777" w:rsidTr="001B737D">
              <w:trPr>
                <w:cantSplit/>
              </w:trPr>
              <w:tc>
                <w:tcPr>
                  <w:tcW w:w="1975" w:type="dxa"/>
                </w:tcPr>
                <w:p w14:paraId="78078B4B" w14:textId="77777777" w:rsidR="00C56A02" w:rsidRPr="008844A7" w:rsidRDefault="00C56A02" w:rsidP="00C56A02">
                  <w:pPr>
                    <w:pStyle w:val="TableBody"/>
                    <w:rPr>
                      <w:i/>
                    </w:rPr>
                  </w:pPr>
                  <w:r w:rsidRPr="008844A7">
                    <w:rPr>
                      <w:i/>
                    </w:rPr>
                    <w:lastRenderedPageBreak/>
                    <w:t>r</w:t>
                  </w:r>
                </w:p>
              </w:tc>
              <w:tc>
                <w:tcPr>
                  <w:tcW w:w="900" w:type="dxa"/>
                </w:tcPr>
                <w:p w14:paraId="5477A213" w14:textId="77777777" w:rsidR="00C56A02" w:rsidRPr="008844A7" w:rsidRDefault="00C56A02" w:rsidP="00C56A02">
                  <w:pPr>
                    <w:pStyle w:val="TableBody"/>
                  </w:pPr>
                  <w:r w:rsidRPr="008844A7">
                    <w:t>none</w:t>
                  </w:r>
                </w:p>
              </w:tc>
              <w:tc>
                <w:tcPr>
                  <w:tcW w:w="6942" w:type="dxa"/>
                  <w:gridSpan w:val="2"/>
                </w:tcPr>
                <w:p w14:paraId="0C91870D" w14:textId="50AC4C1D" w:rsidR="00C56A02" w:rsidRPr="008844A7" w:rsidRDefault="00C56A02" w:rsidP="008844A7">
                  <w:pPr>
                    <w:pStyle w:val="TableBody"/>
                  </w:pPr>
                  <w:r w:rsidRPr="008844A7">
                    <w:rPr>
                      <w:iCs w:val="0"/>
                    </w:rPr>
                    <w:t>An IRR Generation Resource</w:t>
                  </w:r>
                  <w:r w:rsidRPr="008844A7">
                    <w:t xml:space="preserve"> not </w:t>
                  </w:r>
                  <w:r w:rsidR="008844A7">
                    <w:t>awarded</w:t>
                  </w:r>
                  <w:r w:rsidRPr="008844A7">
                    <w:t xml:space="preserve"> Ancillary Service</w:t>
                  </w:r>
                  <w:r w:rsidRPr="008844A7">
                    <w:rPr>
                      <w:iCs w:val="0"/>
                    </w:rPr>
                    <w:t xml:space="preserve"> or an IRR within an IRR Group</w:t>
                  </w:r>
                  <w:r w:rsidRPr="008844A7">
                    <w:t xml:space="preserve"> where no member of the IRR Group </w:t>
                  </w:r>
                  <w:r w:rsidR="008844A7">
                    <w:t>was awarded</w:t>
                  </w:r>
                  <w:r w:rsidRPr="008844A7">
                    <w:t xml:space="preserve"> Ancillary Service</w:t>
                  </w:r>
                  <w:r w:rsidRPr="008844A7">
                    <w:rPr>
                      <w:iCs w:val="0"/>
                    </w:rPr>
                    <w:t>.</w:t>
                  </w:r>
                </w:p>
              </w:tc>
            </w:tr>
            <w:tr w:rsidR="00C56A02" w:rsidRPr="00763FB7" w14:paraId="4C3EEC03" w14:textId="77777777" w:rsidTr="001B737D">
              <w:trPr>
                <w:cantSplit/>
                <w:trHeight w:val="152"/>
              </w:trPr>
              <w:tc>
                <w:tcPr>
                  <w:tcW w:w="1975" w:type="dxa"/>
                </w:tcPr>
                <w:p w14:paraId="23DEE45D" w14:textId="77777777" w:rsidR="00C56A02" w:rsidRPr="008844A7" w:rsidDel="00B33B6F" w:rsidRDefault="00C56A02" w:rsidP="00C56A02">
                  <w:pPr>
                    <w:pStyle w:val="TableBody"/>
                    <w:rPr>
                      <w:i/>
                    </w:rPr>
                  </w:pPr>
                  <w:r w:rsidRPr="008844A7">
                    <w:rPr>
                      <w:i/>
                    </w:rPr>
                    <w:t>i</w:t>
                  </w:r>
                </w:p>
              </w:tc>
              <w:tc>
                <w:tcPr>
                  <w:tcW w:w="900" w:type="dxa"/>
                </w:tcPr>
                <w:p w14:paraId="38EB9BE7" w14:textId="77777777" w:rsidR="00C56A02" w:rsidRPr="008844A7" w:rsidDel="00B33B6F" w:rsidRDefault="00C56A02" w:rsidP="00C56A02">
                  <w:pPr>
                    <w:pStyle w:val="TableBody"/>
                  </w:pPr>
                  <w:r w:rsidRPr="008844A7">
                    <w:t>none</w:t>
                  </w:r>
                </w:p>
              </w:tc>
              <w:tc>
                <w:tcPr>
                  <w:tcW w:w="6942" w:type="dxa"/>
                  <w:gridSpan w:val="2"/>
                </w:tcPr>
                <w:p w14:paraId="41C8B7C6" w14:textId="77777777" w:rsidR="00C56A02" w:rsidRPr="008844A7" w:rsidDel="00B33B6F" w:rsidRDefault="00C56A02" w:rsidP="00C56A02">
                  <w:pPr>
                    <w:pStyle w:val="TableBody"/>
                  </w:pPr>
                  <w:r w:rsidRPr="008844A7">
                    <w:t>A 15-minute Settlement Interval.</w:t>
                  </w:r>
                </w:p>
              </w:tc>
            </w:tr>
            <w:tr w:rsidR="00C56A02" w:rsidRPr="00763FB7" w14:paraId="002A2953" w14:textId="77777777" w:rsidTr="001B73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24F11B10" w14:textId="77777777" w:rsidR="00C56A02" w:rsidRPr="008844A7" w:rsidRDefault="00C56A02" w:rsidP="00C56A02">
                  <w:pPr>
                    <w:pStyle w:val="TableBody"/>
                    <w:rPr>
                      <w:i/>
                    </w:rPr>
                  </w:pPr>
                  <w:r w:rsidRPr="008844A7">
                    <w:rPr>
                      <w:i/>
                    </w:rPr>
                    <w:t>y</w:t>
                  </w:r>
                </w:p>
              </w:tc>
              <w:tc>
                <w:tcPr>
                  <w:tcW w:w="900" w:type="dxa"/>
                  <w:tcBorders>
                    <w:top w:val="single" w:sz="4" w:space="0" w:color="auto"/>
                    <w:left w:val="single" w:sz="4" w:space="0" w:color="auto"/>
                    <w:bottom w:val="single" w:sz="4" w:space="0" w:color="auto"/>
                    <w:right w:val="single" w:sz="4" w:space="0" w:color="auto"/>
                  </w:tcBorders>
                </w:tcPr>
                <w:p w14:paraId="50A804D6" w14:textId="77777777" w:rsidR="00C56A02" w:rsidRPr="008844A7" w:rsidRDefault="00C56A02" w:rsidP="00C56A02">
                  <w:pPr>
                    <w:pStyle w:val="TableBody"/>
                  </w:pPr>
                  <w:r w:rsidRPr="008844A7">
                    <w:t>none</w:t>
                  </w:r>
                </w:p>
              </w:tc>
              <w:tc>
                <w:tcPr>
                  <w:tcW w:w="6942" w:type="dxa"/>
                  <w:gridSpan w:val="2"/>
                  <w:tcBorders>
                    <w:top w:val="single" w:sz="4" w:space="0" w:color="auto"/>
                    <w:left w:val="single" w:sz="4" w:space="0" w:color="auto"/>
                    <w:bottom w:val="single" w:sz="4" w:space="0" w:color="auto"/>
                    <w:right w:val="single" w:sz="4" w:space="0" w:color="auto"/>
                  </w:tcBorders>
                </w:tcPr>
                <w:p w14:paraId="58CE5F48" w14:textId="77777777" w:rsidR="00C56A02" w:rsidRPr="008844A7" w:rsidRDefault="00C56A02" w:rsidP="00C56A02">
                  <w:pPr>
                    <w:pStyle w:val="TableBody"/>
                  </w:pPr>
                  <w:r w:rsidRPr="008844A7">
                    <w:t xml:space="preserve">A five-minute clock interval in the Settlement Interval. </w:t>
                  </w:r>
                </w:p>
              </w:tc>
            </w:tr>
            <w:tr w:rsidR="00C56A02" w:rsidRPr="00763FB7" w14:paraId="4F70B97D" w14:textId="77777777" w:rsidTr="001B73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C7FF24C" w14:textId="77777777" w:rsidR="00C56A02" w:rsidRPr="008844A7" w:rsidRDefault="00C56A02" w:rsidP="00C56A02">
                  <w:pPr>
                    <w:pStyle w:val="TableBody"/>
                    <w:rPr>
                      <w:i/>
                    </w:rPr>
                  </w:pPr>
                  <w:r w:rsidRPr="008844A7">
                    <w:rPr>
                      <w:i/>
                    </w:rPr>
                    <w:t>wg</w:t>
                  </w:r>
                </w:p>
              </w:tc>
              <w:tc>
                <w:tcPr>
                  <w:tcW w:w="900" w:type="dxa"/>
                  <w:tcBorders>
                    <w:top w:val="single" w:sz="4" w:space="0" w:color="auto"/>
                    <w:left w:val="single" w:sz="4" w:space="0" w:color="auto"/>
                    <w:bottom w:val="single" w:sz="4" w:space="0" w:color="auto"/>
                    <w:right w:val="single" w:sz="4" w:space="0" w:color="auto"/>
                  </w:tcBorders>
                </w:tcPr>
                <w:p w14:paraId="037F40B4" w14:textId="77777777" w:rsidR="00C56A02" w:rsidRPr="008844A7" w:rsidRDefault="00C56A02" w:rsidP="00C56A02">
                  <w:pPr>
                    <w:pStyle w:val="TableBody"/>
                  </w:pPr>
                  <w:r w:rsidRPr="008844A7">
                    <w:t>none</w:t>
                  </w:r>
                </w:p>
              </w:tc>
              <w:tc>
                <w:tcPr>
                  <w:tcW w:w="6942" w:type="dxa"/>
                  <w:gridSpan w:val="2"/>
                  <w:tcBorders>
                    <w:top w:val="single" w:sz="4" w:space="0" w:color="auto"/>
                    <w:left w:val="single" w:sz="4" w:space="0" w:color="auto"/>
                    <w:bottom w:val="single" w:sz="4" w:space="0" w:color="auto"/>
                    <w:right w:val="single" w:sz="4" w:space="0" w:color="auto"/>
                  </w:tcBorders>
                </w:tcPr>
                <w:p w14:paraId="43E1FB41" w14:textId="77777777" w:rsidR="00C56A02" w:rsidRPr="008844A7" w:rsidRDefault="00C56A02" w:rsidP="00C56A02">
                  <w:pPr>
                    <w:pStyle w:val="TableBody"/>
                  </w:pPr>
                  <w:r w:rsidRPr="008844A7">
                    <w:t>An IRR Group.</w:t>
                  </w:r>
                </w:p>
              </w:tc>
            </w:tr>
          </w:tbl>
          <w:p w14:paraId="747F4A05" w14:textId="77777777" w:rsidR="00C22690" w:rsidRPr="00B37C4B" w:rsidRDefault="00C22690" w:rsidP="001B737D"/>
        </w:tc>
      </w:tr>
    </w:tbl>
    <w:p w14:paraId="5F5AD88D" w14:textId="77777777" w:rsidR="002704CF" w:rsidRDefault="002704CF"/>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2704CF" w14:paraId="132075FB"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481795E0" w14:textId="794DDD10" w:rsidR="002704CF" w:rsidRDefault="002704CF" w:rsidP="001B737D">
            <w:pPr>
              <w:pStyle w:val="Instructions"/>
              <w:spacing w:before="120"/>
            </w:pPr>
            <w:r>
              <w:t>[NPRR963</w:t>
            </w:r>
            <w:r w:rsidR="00F64D00">
              <w:t>,</w:t>
            </w:r>
            <w:r w:rsidR="008844A7">
              <w:t xml:space="preserve"> NPRR1010</w:t>
            </w:r>
            <w:r w:rsidR="008F4B78">
              <w:t xml:space="preserve">, </w:t>
            </w:r>
            <w:r w:rsidR="00F64D00">
              <w:t>NPRR1014</w:t>
            </w:r>
            <w:r w:rsidR="008F4B78">
              <w:t xml:space="preserve">, </w:t>
            </w:r>
            <w:r w:rsidR="0030702F">
              <w:t xml:space="preserve">and </w:t>
            </w:r>
            <w:r w:rsidR="008F4B78">
              <w:t>NPRR1029</w:t>
            </w:r>
            <w:r>
              <w:t xml:space="preserve">:  Insert </w:t>
            </w:r>
            <w:r w:rsidR="008844A7">
              <w:t xml:space="preserve">applicable portions of </w:t>
            </w:r>
            <w:r>
              <w:t>Section 6.6.5.5 below upon system implementation</w:t>
            </w:r>
            <w:r w:rsidR="008844A7">
              <w:t xml:space="preserve"> for NPRR963</w:t>
            </w:r>
            <w:r w:rsidR="008F4B78">
              <w:t>,</w:t>
            </w:r>
            <w:r w:rsidR="00F64D00">
              <w:t xml:space="preserve"> NPRR1014</w:t>
            </w:r>
            <w:r w:rsidR="008F4B78">
              <w:t>, and NPRR1029</w:t>
            </w:r>
            <w:r w:rsidR="008844A7">
              <w:t xml:space="preserve">; </w:t>
            </w:r>
            <w:r w:rsidR="0030702F">
              <w:t xml:space="preserve">or </w:t>
            </w:r>
            <w:r w:rsidR="008844A7">
              <w:t>upon sy</w:t>
            </w:r>
            <w:r w:rsidR="0018785B">
              <w:t>s</w:t>
            </w:r>
            <w:r w:rsidR="008844A7">
              <w:t>tem implementation of the Real-Time Co-Optimization (RTC) project for NPRR1010</w:t>
            </w:r>
            <w:r w:rsidR="00045FBB">
              <w:t xml:space="preserve">; </w:t>
            </w:r>
            <w:r w:rsidR="00C215CF">
              <w:t>and renumber accordingly</w:t>
            </w:r>
            <w:r>
              <w:t>:]</w:t>
            </w:r>
          </w:p>
          <w:p w14:paraId="51BFD561" w14:textId="7CF0D08B" w:rsidR="00684DEF" w:rsidRDefault="00684DEF" w:rsidP="00684DEF">
            <w:pPr>
              <w:pStyle w:val="BodyText"/>
              <w:tabs>
                <w:tab w:val="left" w:pos="1230"/>
              </w:tabs>
              <w:spacing w:before="240"/>
              <w:ind w:left="1166" w:hanging="1166"/>
              <w:outlineLvl w:val="3"/>
              <w:rPr>
                <w:b/>
                <w:lang w:val="fr-FR"/>
              </w:rPr>
            </w:pPr>
            <w:bookmarkStart w:id="2209" w:name="_Toc60040700"/>
            <w:bookmarkStart w:id="2210" w:name="_Toc65151759"/>
            <w:bookmarkStart w:id="2211" w:name="_Toc80174785"/>
            <w:bookmarkStart w:id="2212" w:name="_Toc112417665"/>
            <w:bookmarkStart w:id="2213" w:name="_Toc119310334"/>
            <w:bookmarkStart w:id="2214" w:name="_Toc125966267"/>
            <w:bookmarkStart w:id="2215" w:name="_Toc135992365"/>
            <w:bookmarkStart w:id="2216" w:name="_Toc170303561"/>
            <w:bookmarkStart w:id="2217" w:name="_Toc175157465"/>
            <w:bookmarkStart w:id="2218" w:name="_Toc204411694"/>
            <w:r>
              <w:rPr>
                <w:b/>
                <w:lang w:val="fr-FR"/>
              </w:rPr>
              <w:t>6.6.5.5</w:t>
            </w:r>
            <w:r w:rsidRPr="00A87708">
              <w:rPr>
                <w:b/>
                <w:lang w:val="fr-FR"/>
              </w:rPr>
              <w:tab/>
            </w:r>
            <w:r>
              <w:rPr>
                <w:b/>
                <w:lang w:val="fr-FR"/>
              </w:rPr>
              <w:t xml:space="preserve">Energy Storage Resource </w:t>
            </w:r>
            <w:r w:rsidR="008844A7">
              <w:rPr>
                <w:b/>
                <w:lang w:val="fr-FR"/>
              </w:rPr>
              <w:t>Set</w:t>
            </w:r>
            <w:r w:rsidRPr="000468AC">
              <w:rPr>
                <w:b/>
                <w:lang w:val="fr-FR"/>
              </w:rPr>
              <w:t xml:space="preserve"> Point Deviation</w:t>
            </w:r>
            <w:r w:rsidRPr="00A87708">
              <w:rPr>
                <w:b/>
                <w:lang w:val="fr-FR"/>
              </w:rPr>
              <w:t xml:space="preserve"> Charge</w:t>
            </w:r>
            <w:r>
              <w:rPr>
                <w:b/>
                <w:lang w:val="fr-FR"/>
              </w:rPr>
              <w:t xml:space="preserve"> for Over Performance</w:t>
            </w:r>
            <w:bookmarkEnd w:id="2209"/>
            <w:bookmarkEnd w:id="2210"/>
            <w:bookmarkEnd w:id="2211"/>
            <w:bookmarkEnd w:id="2212"/>
            <w:bookmarkEnd w:id="2213"/>
            <w:bookmarkEnd w:id="2214"/>
            <w:bookmarkEnd w:id="2215"/>
            <w:bookmarkEnd w:id="2216"/>
            <w:bookmarkEnd w:id="2217"/>
            <w:bookmarkEnd w:id="2218"/>
          </w:p>
          <w:p w14:paraId="6DFE8C9F" w14:textId="3BFB685F" w:rsidR="0018223C" w:rsidRDefault="00684DEF" w:rsidP="00684DEF">
            <w:pPr>
              <w:pStyle w:val="BodyTextNumbered"/>
            </w:pPr>
            <w:r>
              <w:t>(1)</w:t>
            </w:r>
            <w:r>
              <w:tab/>
              <w:t xml:space="preserve">ERCOT shall charge a QSE for an ESR a </w:t>
            </w:r>
            <w:r w:rsidR="008844A7">
              <w:t>Set</w:t>
            </w:r>
            <w:r>
              <w:t xml:space="preserve"> Point Deviation Charge for over-performance if the telemetered generation </w:t>
            </w:r>
            <w:r w:rsidR="0018223C">
              <w:t>or</w:t>
            </w:r>
            <w:r>
              <w:t xml:space="preserve"> consumption exceeds the </w:t>
            </w:r>
            <w:r w:rsidR="0018223C">
              <w:t>specified</w:t>
            </w:r>
            <w:r>
              <w:t xml:space="preserve"> tolerance.  </w:t>
            </w:r>
          </w:p>
          <w:p w14:paraId="417C784F" w14:textId="241EFCDC" w:rsidR="0018223C" w:rsidRPr="00A552C3" w:rsidRDefault="0018223C" w:rsidP="0018223C">
            <w:pPr>
              <w:pStyle w:val="BodyTextNumbered"/>
            </w:pPr>
            <w:r>
              <w:t>(2)</w:t>
            </w:r>
            <w:r>
              <w:tab/>
            </w:r>
            <w:r w:rsidR="00684DEF">
              <w:t>The tolerance is the greater of</w:t>
            </w:r>
            <w:r>
              <w:t xml:space="preserve"> </w:t>
            </w:r>
            <w:r w:rsidR="00684DEF">
              <w:t xml:space="preserve">3% of the </w:t>
            </w:r>
            <w:r w:rsidR="00757111">
              <w:t>AASP</w:t>
            </w:r>
            <w:r w:rsidR="00684DEF">
              <w:t xml:space="preserve"> for the ESR in the Settlement Interval</w:t>
            </w:r>
            <w:r w:rsidR="008F4B78">
              <w:t>,</w:t>
            </w:r>
            <w:r w:rsidR="00684DEF">
              <w:t xml:space="preserve"> or</w:t>
            </w:r>
            <w:r>
              <w:t xml:space="preserve"> t</w:t>
            </w:r>
            <w:r w:rsidR="00684DEF">
              <w:t xml:space="preserve">hree MW above the </w:t>
            </w:r>
            <w:r w:rsidR="00757111">
              <w:t>AASP</w:t>
            </w:r>
            <w:r w:rsidR="00684DEF">
              <w:t xml:space="preserve"> for the ESR in the Settlement Interval</w:t>
            </w:r>
            <w:r w:rsidRPr="00A552C3">
              <w:t xml:space="preserve"> if the Resource meets the following conditions:</w:t>
            </w:r>
          </w:p>
          <w:p w14:paraId="5F203894" w14:textId="53D74BC7" w:rsidR="0018223C" w:rsidRPr="00A552C3" w:rsidRDefault="0018223C" w:rsidP="0018223C">
            <w:pPr>
              <w:pStyle w:val="BodyTextNumbered"/>
              <w:ind w:left="1440"/>
            </w:pPr>
            <w:r w:rsidRPr="00A552C3">
              <w:t>(a)</w:t>
            </w:r>
            <w:r w:rsidRPr="00A552C3">
              <w:rPr>
                <w:iCs/>
              </w:rPr>
              <w:tab/>
            </w:r>
            <w:r w:rsidRPr="00A552C3">
              <w:t xml:space="preserve">The ESR is not a DC-Coupled Resource; or </w:t>
            </w:r>
          </w:p>
          <w:p w14:paraId="72276359" w14:textId="0582F28E" w:rsidR="0018223C" w:rsidRPr="00A552C3" w:rsidRDefault="0018223C" w:rsidP="0018223C">
            <w:pPr>
              <w:pStyle w:val="BodyTextNumbered"/>
              <w:ind w:left="1440"/>
              <w:rPr>
                <w:iCs/>
              </w:rPr>
            </w:pPr>
            <w:r w:rsidRPr="00A552C3">
              <w:t>(b)</w:t>
            </w:r>
            <w:r w:rsidRPr="00A552C3">
              <w:rPr>
                <w:iCs/>
              </w:rPr>
              <w:tab/>
            </w:r>
            <w:r w:rsidRPr="00A552C3">
              <w:t>The ESR is a DC-</w:t>
            </w:r>
            <w:r w:rsidRPr="00A552C3">
              <w:rPr>
                <w:iCs/>
              </w:rPr>
              <w:t>Coupled</w:t>
            </w:r>
            <w:r w:rsidRPr="00A552C3">
              <w:t xml:space="preserve"> Resource and meets the conditions to be treated in the same manner as an ESR as specified in paragraph (1) of Section 3.8.7, DC-Coupled Resources, anytime during the Settlement Interval. </w:t>
            </w:r>
          </w:p>
          <w:p w14:paraId="1706E658" w14:textId="5BDD5853" w:rsidR="00684DEF" w:rsidRDefault="0018223C" w:rsidP="00FB599C">
            <w:pPr>
              <w:pStyle w:val="BodyTextNumbered"/>
            </w:pPr>
            <w:r w:rsidRPr="00A552C3">
              <w:t>(3)</w:t>
            </w:r>
            <w:r w:rsidRPr="00A552C3">
              <w:rPr>
                <w:iCs/>
              </w:rPr>
              <w:tab/>
            </w:r>
            <w:r w:rsidRPr="00A552C3">
              <w:t>The tolerance</w:t>
            </w:r>
            <w:r w:rsidR="00BA1412">
              <w:t xml:space="preserve"> will be </w:t>
            </w:r>
            <w:r w:rsidR="00045FBB">
              <w:t>5</w:t>
            </w:r>
            <w:r w:rsidR="00BA1412">
              <w:t>% of the AASP for a</w:t>
            </w:r>
            <w:r w:rsidRPr="00A552C3">
              <w:t xml:space="preserve"> DC-Coupled Resource in the Settlement Interval if the ESR meets the conditions </w:t>
            </w:r>
            <w:r w:rsidRPr="00A552C3">
              <w:rPr>
                <w:iCs/>
              </w:rPr>
              <w:t xml:space="preserve">to be treated in the same manner as an IRR as </w:t>
            </w:r>
            <w:r w:rsidRPr="00A552C3">
              <w:t>specified in paragraph (2) of Section 3.8.7</w:t>
            </w:r>
            <w:r w:rsidR="00684DEF">
              <w:t xml:space="preserve">. </w:t>
            </w:r>
          </w:p>
          <w:p w14:paraId="359ED99E" w14:textId="392276BD" w:rsidR="0018223C" w:rsidRPr="00A552C3" w:rsidRDefault="00684DEF" w:rsidP="0018223C">
            <w:pPr>
              <w:pStyle w:val="BodyTextNumbered"/>
              <w:rPr>
                <w:iCs/>
              </w:rPr>
            </w:pPr>
            <w:r w:rsidRPr="000149E5">
              <w:rPr>
                <w:iCs/>
              </w:rPr>
              <w:t>(</w:t>
            </w:r>
            <w:r w:rsidR="0018223C">
              <w:rPr>
                <w:iCs/>
              </w:rPr>
              <w:t>4</w:t>
            </w:r>
            <w:r w:rsidRPr="000149E5">
              <w:rPr>
                <w:iCs/>
              </w:rPr>
              <w:t>)</w:t>
            </w:r>
            <w:r w:rsidRPr="000149E5">
              <w:rPr>
                <w:iCs/>
              </w:rPr>
              <w:tab/>
            </w:r>
            <w:r>
              <w:rPr>
                <w:iCs/>
              </w:rPr>
              <w:t xml:space="preserve">The deviation </w:t>
            </w:r>
            <w:r w:rsidR="0018223C">
              <w:rPr>
                <w:iCs/>
              </w:rPr>
              <w:t>charge</w:t>
            </w:r>
            <w:r>
              <w:rPr>
                <w:iCs/>
              </w:rPr>
              <w:t xml:space="preserve"> for over-performance for each </w:t>
            </w:r>
            <w:r w:rsidR="0018223C">
              <w:rPr>
                <w:iCs/>
              </w:rPr>
              <w:t>QSE</w:t>
            </w:r>
            <w:r>
              <w:rPr>
                <w:iCs/>
              </w:rPr>
              <w:t xml:space="preserve"> for </w:t>
            </w:r>
            <w:r w:rsidR="0018223C">
              <w:rPr>
                <w:iCs/>
              </w:rPr>
              <w:t>each</w:t>
            </w:r>
            <w:r>
              <w:rPr>
                <w:iCs/>
              </w:rPr>
              <w:t xml:space="preserve"> ESR </w:t>
            </w:r>
            <w:r w:rsidR="0018223C" w:rsidRPr="00A552C3">
              <w:rPr>
                <w:iCs/>
              </w:rPr>
              <w:t>at each Resource Node Settlement Point will be calculated</w:t>
            </w:r>
            <w:r w:rsidR="0018223C">
              <w:rPr>
                <w:iCs/>
              </w:rPr>
              <w:t xml:space="preserve"> </w:t>
            </w:r>
            <w:r>
              <w:rPr>
                <w:iCs/>
              </w:rPr>
              <w:t xml:space="preserve">as follows: </w:t>
            </w:r>
          </w:p>
          <w:p w14:paraId="2A0F5AE4" w14:textId="4DF31CB7" w:rsidR="0018223C" w:rsidRPr="00A552C3" w:rsidRDefault="0018223C" w:rsidP="0018223C">
            <w:pPr>
              <w:pStyle w:val="BodyTextNumbered"/>
              <w:rPr>
                <w:b/>
                <w:iCs/>
                <w:lang w:val="pt-BR"/>
              </w:rPr>
            </w:pPr>
            <w:r w:rsidRPr="00A552C3">
              <w:rPr>
                <w:iCs/>
              </w:rPr>
              <w:tab/>
              <w:t xml:space="preserve">If the ESR meets the conditions of paragraph (3) above and </w:t>
            </w:r>
            <w:r w:rsidR="00BA1412">
              <w:rPr>
                <w:iCs/>
              </w:rPr>
              <w:t>a</w:t>
            </w:r>
            <w:r w:rsidRPr="00A552C3">
              <w:rPr>
                <w:iCs/>
              </w:rPr>
              <w:t xml:space="preserve"> flag signifying that the DC-Coupled Resource has received a Base Point below the HDL used by SCED</w:t>
            </w:r>
            <w:r w:rsidR="00045FBB">
              <w:t xml:space="preserve"> or it has been instructed not to exceed its Base Point</w:t>
            </w:r>
            <w:r w:rsidRPr="00A552C3">
              <w:rPr>
                <w:iCs/>
              </w:rPr>
              <w:t xml:space="preserve"> is not set in all SCED intervals within the 15-minute Settlement Interval, then:</w:t>
            </w:r>
            <w:r w:rsidRPr="00A552C3">
              <w:rPr>
                <w:b/>
                <w:iCs/>
                <w:lang w:val="pt-BR"/>
              </w:rPr>
              <w:t xml:space="preserve"> </w:t>
            </w:r>
          </w:p>
          <w:p w14:paraId="2DA80933" w14:textId="77777777" w:rsidR="0018223C" w:rsidRPr="00A552C3" w:rsidRDefault="0018223C" w:rsidP="0018223C">
            <w:pPr>
              <w:spacing w:after="240"/>
              <w:ind w:left="697" w:firstLine="23"/>
              <w:rPr>
                <w:b/>
                <w:iCs/>
              </w:rPr>
            </w:pPr>
            <w:r w:rsidRPr="00A552C3">
              <w:rPr>
                <w:b/>
                <w:iCs/>
                <w:lang w:val="pt-BR"/>
              </w:rPr>
              <w:t>SPDAMT</w:t>
            </w:r>
            <w:r w:rsidRPr="00A552C3">
              <w:rPr>
                <w:b/>
                <w:i/>
                <w:iCs/>
                <w:vertAlign w:val="subscript"/>
                <w:lang w:val="pt-BR"/>
              </w:rPr>
              <w:t xml:space="preserve"> q, r, p, i</w:t>
            </w:r>
            <w:r w:rsidRPr="00A552C3">
              <w:rPr>
                <w:b/>
                <w:iCs/>
                <w:lang w:val="pt-BR"/>
              </w:rPr>
              <w:t xml:space="preserve"> =</w:t>
            </w:r>
            <w:r w:rsidRPr="00A552C3">
              <w:rPr>
                <w:b/>
                <w:iCs/>
                <w:lang w:val="pt-BR"/>
              </w:rPr>
              <w:tab/>
            </w:r>
            <w:r w:rsidRPr="00A552C3">
              <w:rPr>
                <w:b/>
                <w:iCs/>
              </w:rPr>
              <w:t>0</w:t>
            </w:r>
          </w:p>
          <w:p w14:paraId="2275C52B" w14:textId="77777777" w:rsidR="0018223C" w:rsidRPr="00A552C3" w:rsidRDefault="0018223C" w:rsidP="0018223C">
            <w:pPr>
              <w:spacing w:after="240"/>
              <w:ind w:left="697" w:firstLine="23"/>
              <w:rPr>
                <w:i/>
                <w:iCs/>
                <w:vertAlign w:val="subscript"/>
              </w:rPr>
            </w:pPr>
            <w:r w:rsidRPr="00A552C3">
              <w:rPr>
                <w:iCs/>
              </w:rPr>
              <w:t xml:space="preserve">Otherwise: </w:t>
            </w:r>
          </w:p>
          <w:p w14:paraId="1175B3D5" w14:textId="7A31F48B" w:rsidR="00684DEF" w:rsidRPr="002401F7" w:rsidRDefault="0018223C" w:rsidP="00684DEF">
            <w:pPr>
              <w:pStyle w:val="BodyTextNumbered"/>
              <w:ind w:left="1440"/>
              <w:rPr>
                <w:b/>
                <w:i/>
                <w:vertAlign w:val="subscript"/>
              </w:rPr>
            </w:pPr>
            <w:r>
              <w:rPr>
                <w:b/>
                <w:lang w:val="pt-BR"/>
              </w:rPr>
              <w:t>S</w:t>
            </w:r>
            <w:r w:rsidR="00684DEF" w:rsidRPr="002401F7">
              <w:rPr>
                <w:b/>
                <w:lang w:val="pt-BR"/>
              </w:rPr>
              <w:t>PDAMT</w:t>
            </w:r>
            <w:r w:rsidR="00684DEF" w:rsidRPr="00AF0A36">
              <w:rPr>
                <w:b/>
                <w:i/>
                <w:vertAlign w:val="subscript"/>
                <w:lang w:val="pt-BR"/>
              </w:rPr>
              <w:t xml:space="preserve"> q, r, p, i</w:t>
            </w:r>
            <w:r w:rsidR="00684DEF" w:rsidRPr="002401F7">
              <w:rPr>
                <w:b/>
                <w:lang w:val="pt-BR"/>
              </w:rPr>
              <w:t xml:space="preserve"> =</w:t>
            </w:r>
            <w:r w:rsidR="00684DEF" w:rsidRPr="002401F7">
              <w:rPr>
                <w:b/>
                <w:lang w:val="pt-BR"/>
              </w:rPr>
              <w:tab/>
            </w:r>
            <w:r w:rsidR="00684DEF" w:rsidRPr="002401F7">
              <w:rPr>
                <w:b/>
              </w:rPr>
              <w:t xml:space="preserve">Max (PR3, RTSPP </w:t>
            </w:r>
            <w:r w:rsidR="00684DEF" w:rsidRPr="002401F7">
              <w:rPr>
                <w:b/>
                <w:i/>
                <w:vertAlign w:val="subscript"/>
              </w:rPr>
              <w:t>p, i</w:t>
            </w:r>
            <w:r w:rsidR="00684DEF" w:rsidRPr="002401F7">
              <w:rPr>
                <w:b/>
              </w:rPr>
              <w:t>) * OPESR</w:t>
            </w:r>
            <w:r w:rsidR="00684DEF" w:rsidRPr="002401F7">
              <w:rPr>
                <w:b/>
                <w:sz w:val="18"/>
                <w:szCs w:val="18"/>
                <w:vertAlign w:val="subscript"/>
              </w:rPr>
              <w:t xml:space="preserve"> </w:t>
            </w:r>
            <w:r w:rsidR="00684DEF" w:rsidRPr="002401F7">
              <w:rPr>
                <w:b/>
                <w:i/>
                <w:vertAlign w:val="subscript"/>
              </w:rPr>
              <w:t>q, r, p, i</w:t>
            </w:r>
          </w:p>
          <w:p w14:paraId="6B809D29" w14:textId="77777777" w:rsidR="00684DEF" w:rsidRDefault="00684DEF" w:rsidP="00684DEF">
            <w:pPr>
              <w:pStyle w:val="BodyTextNumbered"/>
              <w:ind w:left="1440"/>
              <w:rPr>
                <w:lang w:val="pt-BR"/>
              </w:rPr>
            </w:pPr>
            <w:r>
              <w:rPr>
                <w:lang w:val="pt-BR"/>
              </w:rPr>
              <w:t xml:space="preserve">Where: </w:t>
            </w:r>
          </w:p>
          <w:p w14:paraId="4543450E" w14:textId="77777777" w:rsidR="0018223C" w:rsidRPr="00A552C3" w:rsidRDefault="0018223C" w:rsidP="0018223C">
            <w:pPr>
              <w:spacing w:after="240"/>
              <w:ind w:left="1440" w:hanging="720"/>
              <w:rPr>
                <w:lang w:val="pt-BR"/>
              </w:rPr>
            </w:pPr>
            <w:r w:rsidRPr="00A552C3">
              <w:rPr>
                <w:iCs/>
                <w:lang w:val="pt-BR"/>
              </w:rPr>
              <w:lastRenderedPageBreak/>
              <w:t xml:space="preserve">If the ESR meets the conditions of paragraph (2) above, then: </w:t>
            </w:r>
          </w:p>
          <w:p w14:paraId="401A233C" w14:textId="02443CFE" w:rsidR="00684DEF" w:rsidRPr="00507A9C" w:rsidRDefault="00684DEF" w:rsidP="00684DEF">
            <w:pPr>
              <w:pStyle w:val="BodyTextNumbered"/>
              <w:ind w:left="2880" w:hanging="2160"/>
              <w:rPr>
                <w:lang w:val="pt-BR"/>
              </w:rPr>
            </w:pPr>
            <w:r>
              <w:t>OPESR</w:t>
            </w:r>
            <w:r w:rsidRPr="005E75FD">
              <w:rPr>
                <w:i/>
                <w:vertAlign w:val="subscript"/>
              </w:rPr>
              <w:t xml:space="preserve"> </w:t>
            </w:r>
            <w:r w:rsidRPr="006624C0">
              <w:rPr>
                <w:i/>
                <w:vertAlign w:val="subscript"/>
              </w:rPr>
              <w:t xml:space="preserve">q, r, p, </w:t>
            </w:r>
            <w:r>
              <w:rPr>
                <w:i/>
                <w:vertAlign w:val="subscript"/>
              </w:rPr>
              <w:t xml:space="preserve">i </w:t>
            </w:r>
            <w:r>
              <w:t xml:space="preserve">    = </w:t>
            </w:r>
            <w:r>
              <w:tab/>
              <w:t>Max [0, (</w:t>
            </w:r>
            <w:r w:rsidR="0018223C">
              <w:t xml:space="preserve">TWTG </w:t>
            </w:r>
            <w:r>
              <w:rPr>
                <w:i/>
                <w:vertAlign w:val="subscript"/>
              </w:rPr>
              <w:t xml:space="preserve">q, </w:t>
            </w:r>
            <w:r w:rsidR="0018223C">
              <w:rPr>
                <w:i/>
                <w:vertAlign w:val="subscript"/>
              </w:rPr>
              <w:t>r</w:t>
            </w:r>
            <w:r w:rsidRPr="00A261C3">
              <w:rPr>
                <w:i/>
                <w:vertAlign w:val="subscript"/>
              </w:rPr>
              <w:t>,</w:t>
            </w:r>
            <w:r w:rsidR="0018223C">
              <w:rPr>
                <w:i/>
                <w:vertAlign w:val="subscript"/>
              </w:rPr>
              <w:t xml:space="preserve"> p,</w:t>
            </w:r>
            <w:r w:rsidRPr="00A261C3">
              <w:rPr>
                <w:i/>
                <w:vertAlign w:val="subscript"/>
              </w:rPr>
              <w:t xml:space="preserve"> i</w:t>
            </w:r>
            <w:r>
              <w:rPr>
                <w:i/>
                <w:vertAlign w:val="subscript"/>
              </w:rPr>
              <w:t xml:space="preserve"> </w:t>
            </w:r>
            <w:r>
              <w:t>– ¼ * Max [(AA</w:t>
            </w:r>
            <w:r w:rsidR="00757111">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18223C">
              <w:rPr>
                <w:i/>
                <w:vertAlign w:val="subscript"/>
                <w:lang w:val="pt-BR"/>
              </w:rPr>
              <w:t>r</w:t>
            </w:r>
            <w:r w:rsidRPr="00A261C3">
              <w:rPr>
                <w:i/>
                <w:vertAlign w:val="subscript"/>
                <w:lang w:val="pt-BR"/>
              </w:rPr>
              <w:t xml:space="preserve">, </w:t>
            </w:r>
            <w:r>
              <w:rPr>
                <w:i/>
                <w:vertAlign w:val="subscript"/>
                <w:lang w:val="pt-BR"/>
              </w:rPr>
              <w:t>p,</w:t>
            </w:r>
            <w:r w:rsidR="00135A7D">
              <w:rPr>
                <w:i/>
                <w:vertAlign w:val="subscript"/>
                <w:lang w:val="pt-BR"/>
              </w:rPr>
              <w:t xml:space="preserve"> </w:t>
            </w:r>
            <w:r w:rsidRPr="00A261C3">
              <w:rPr>
                <w:i/>
                <w:vertAlign w:val="subscript"/>
                <w:lang w:val="pt-BR"/>
              </w:rPr>
              <w:t>i</w:t>
            </w:r>
            <w:r>
              <w:rPr>
                <w:i/>
                <w:vertAlign w:val="subscript"/>
                <w:lang w:val="pt-BR"/>
              </w:rPr>
              <w:t xml:space="preserve">  </w:t>
            </w:r>
            <w:r w:rsidRPr="00507A9C">
              <w:rPr>
                <w:i/>
                <w:lang w:val="pt-BR"/>
              </w:rPr>
              <w:t>+</w:t>
            </w:r>
            <w:r>
              <w:rPr>
                <w:lang w:val="pt-BR"/>
              </w:rPr>
              <w:t xml:space="preserve"> ABS </w:t>
            </w:r>
            <w:r>
              <w:t>(K3* AA</w:t>
            </w:r>
            <w:r w:rsidR="00757111">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18223C">
              <w:rPr>
                <w:i/>
                <w:vertAlign w:val="subscript"/>
                <w:lang w:val="pt-BR"/>
              </w:rPr>
              <w:t>r</w:t>
            </w:r>
            <w:r w:rsidRPr="00A261C3">
              <w:rPr>
                <w:i/>
                <w:vertAlign w:val="subscript"/>
                <w:lang w:val="pt-BR"/>
              </w:rPr>
              <w:t>,</w:t>
            </w:r>
            <w:r w:rsidR="0018223C">
              <w:rPr>
                <w:i/>
                <w:vertAlign w:val="subscript"/>
                <w:lang w:val="pt-BR"/>
              </w:rPr>
              <w:t xml:space="preserve"> </w:t>
            </w:r>
            <w:r>
              <w:rPr>
                <w:i/>
                <w:vertAlign w:val="subscript"/>
                <w:lang w:val="pt-BR"/>
              </w:rPr>
              <w:t>p,</w:t>
            </w:r>
            <w:r w:rsidRPr="00A261C3">
              <w:rPr>
                <w:i/>
                <w:vertAlign w:val="subscript"/>
                <w:lang w:val="pt-BR"/>
              </w:rPr>
              <w:t xml:space="preserve"> i</w:t>
            </w:r>
            <w:r w:rsidRPr="00507A9C">
              <w:rPr>
                <w:lang w:val="pt-BR"/>
              </w:rPr>
              <w:t>)</w:t>
            </w:r>
            <w:r>
              <w:rPr>
                <w:lang w:val="pt-BR"/>
              </w:rPr>
              <w:t>)</w:t>
            </w:r>
            <w:r w:rsidRPr="00507A9C">
              <w:rPr>
                <w:i/>
                <w:lang w:val="pt-BR"/>
              </w:rPr>
              <w:t>,</w:t>
            </w:r>
            <w:r>
              <w:t xml:space="preserve"> (AA</w:t>
            </w:r>
            <w:r w:rsidR="00757111">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18223C">
              <w:rPr>
                <w:i/>
                <w:vertAlign w:val="subscript"/>
                <w:lang w:val="pt-BR"/>
              </w:rPr>
              <w:t>r</w:t>
            </w:r>
            <w:r w:rsidRPr="00A261C3">
              <w:rPr>
                <w:i/>
                <w:vertAlign w:val="subscript"/>
                <w:lang w:val="pt-BR"/>
              </w:rPr>
              <w:t>,</w:t>
            </w:r>
            <w:r w:rsidR="0018223C">
              <w:rPr>
                <w:i/>
                <w:vertAlign w:val="subscript"/>
                <w:lang w:val="pt-BR"/>
              </w:rPr>
              <w:t xml:space="preserve"> </w:t>
            </w:r>
            <w:r>
              <w:rPr>
                <w:i/>
                <w:vertAlign w:val="subscript"/>
                <w:lang w:val="pt-BR"/>
              </w:rPr>
              <w:t>p,</w:t>
            </w:r>
            <w:r w:rsidRPr="00A261C3">
              <w:rPr>
                <w:i/>
                <w:vertAlign w:val="subscript"/>
                <w:lang w:val="pt-BR"/>
              </w:rPr>
              <w:t xml:space="preserve"> i</w:t>
            </w:r>
            <w:r>
              <w:rPr>
                <w:i/>
                <w:vertAlign w:val="subscript"/>
                <w:lang w:val="pt-BR"/>
              </w:rPr>
              <w:t xml:space="preserve"> </w:t>
            </w:r>
            <w:r>
              <w:rPr>
                <w:lang w:val="pt-BR"/>
              </w:rPr>
              <w:t xml:space="preserve">+ Q3)])] </w:t>
            </w:r>
          </w:p>
          <w:p w14:paraId="6B7673E1" w14:textId="2903C47B" w:rsidR="0018223C" w:rsidRPr="00A552C3" w:rsidRDefault="00AF0A36" w:rsidP="00FB599C">
            <w:pPr>
              <w:tabs>
                <w:tab w:val="left" w:pos="2340"/>
                <w:tab w:val="left" w:pos="3420"/>
              </w:tabs>
              <w:spacing w:after="240"/>
              <w:ind w:left="2340" w:hangingChars="975" w:hanging="2340"/>
              <w:rPr>
                <w:iCs/>
                <w:lang w:val="es-ES"/>
              </w:rPr>
            </w:pPr>
            <w:r>
              <w:rPr>
                <w:lang w:val="es-ES"/>
              </w:rPr>
              <w:t xml:space="preserve">          </w:t>
            </w:r>
            <w:r w:rsidR="0018223C" w:rsidRPr="00A552C3">
              <w:rPr>
                <w:iCs/>
                <w:lang w:val="es-ES"/>
              </w:rPr>
              <w:t>If the ESR meets the conditions of paragraph (3) above,</w:t>
            </w:r>
            <w:r w:rsidR="0018223C" w:rsidRPr="00A552C3">
              <w:rPr>
                <w:iCs/>
              </w:rPr>
              <w:t xml:space="preserve"> </w:t>
            </w:r>
            <w:r w:rsidR="0018223C" w:rsidRPr="00A552C3">
              <w:rPr>
                <w:iCs/>
                <w:lang w:val="es-ES"/>
              </w:rPr>
              <w:t xml:space="preserve">then: </w:t>
            </w:r>
          </w:p>
          <w:p w14:paraId="3A487593" w14:textId="2318186E" w:rsidR="0018223C" w:rsidRPr="00A552C3" w:rsidRDefault="0018223C" w:rsidP="0018223C">
            <w:pPr>
              <w:spacing w:after="240"/>
              <w:ind w:left="2880" w:hanging="2160"/>
              <w:rPr>
                <w:iCs/>
                <w:lang w:val="pt-BR"/>
              </w:rPr>
            </w:pPr>
            <w:r w:rsidRPr="00A552C3">
              <w:rPr>
                <w:iCs/>
              </w:rPr>
              <w:t>OPESR</w:t>
            </w:r>
            <w:r w:rsidRPr="00A552C3">
              <w:rPr>
                <w:i/>
                <w:iCs/>
                <w:vertAlign w:val="subscript"/>
              </w:rPr>
              <w:t xml:space="preserve"> q, r, p, i </w:t>
            </w:r>
            <w:r w:rsidRPr="00A552C3">
              <w:rPr>
                <w:iCs/>
              </w:rPr>
              <w:t xml:space="preserve">    = </w:t>
            </w:r>
            <w:r w:rsidRPr="00A552C3">
              <w:rPr>
                <w:iCs/>
              </w:rPr>
              <w:tab/>
              <w:t xml:space="preserve">Max [0, (TWTG </w:t>
            </w:r>
            <w:r w:rsidRPr="00A552C3">
              <w:rPr>
                <w:i/>
                <w:iCs/>
                <w:vertAlign w:val="subscript"/>
              </w:rPr>
              <w:t>q, r,</w:t>
            </w:r>
            <w:r>
              <w:rPr>
                <w:i/>
                <w:iCs/>
                <w:vertAlign w:val="subscript"/>
              </w:rPr>
              <w:t xml:space="preserve"> </w:t>
            </w:r>
            <w:r w:rsidRPr="00A552C3">
              <w:rPr>
                <w:i/>
                <w:iCs/>
                <w:vertAlign w:val="subscript"/>
              </w:rPr>
              <w:t xml:space="preserve">p, i </w:t>
            </w:r>
            <w:r w:rsidRPr="00A552C3">
              <w:rPr>
                <w:iCs/>
              </w:rPr>
              <w:t>– ¼ * (AASP</w:t>
            </w:r>
            <w:r w:rsidRPr="00A552C3">
              <w:rPr>
                <w:i/>
                <w:iCs/>
                <w:vertAlign w:val="subscript"/>
                <w:lang w:val="pt-BR"/>
              </w:rPr>
              <w:t xml:space="preserve"> q, r, p,</w:t>
            </w:r>
            <w:r w:rsidR="0018785B">
              <w:rPr>
                <w:i/>
                <w:iCs/>
                <w:vertAlign w:val="subscript"/>
                <w:lang w:val="pt-BR"/>
              </w:rPr>
              <w:t xml:space="preserve"> </w:t>
            </w:r>
            <w:r w:rsidRPr="00A552C3">
              <w:rPr>
                <w:i/>
                <w:iCs/>
                <w:vertAlign w:val="subscript"/>
                <w:lang w:val="pt-BR"/>
              </w:rPr>
              <w:t xml:space="preserve">i  </w:t>
            </w:r>
            <w:r w:rsidRPr="00A552C3">
              <w:rPr>
                <w:i/>
                <w:iCs/>
                <w:lang w:val="pt-BR"/>
              </w:rPr>
              <w:t>+</w:t>
            </w:r>
            <w:r w:rsidRPr="00A552C3">
              <w:rPr>
                <w:iCs/>
                <w:lang w:val="pt-BR"/>
              </w:rPr>
              <w:t xml:space="preserve"> ABS </w:t>
            </w:r>
            <w:r w:rsidRPr="00A552C3">
              <w:rPr>
                <w:iCs/>
              </w:rPr>
              <w:t>(K5* AASP</w:t>
            </w:r>
            <w:r w:rsidRPr="00A552C3">
              <w:rPr>
                <w:i/>
                <w:iCs/>
                <w:vertAlign w:val="subscript"/>
                <w:lang w:val="pt-BR"/>
              </w:rPr>
              <w:t xml:space="preserve"> q, r,</w:t>
            </w:r>
            <w:r>
              <w:rPr>
                <w:i/>
                <w:iCs/>
                <w:vertAlign w:val="subscript"/>
                <w:lang w:val="pt-BR"/>
              </w:rPr>
              <w:t xml:space="preserve"> </w:t>
            </w:r>
            <w:r w:rsidRPr="00A552C3">
              <w:rPr>
                <w:i/>
                <w:iCs/>
                <w:vertAlign w:val="subscript"/>
                <w:lang w:val="pt-BR"/>
              </w:rPr>
              <w:t>p, i</w:t>
            </w:r>
            <w:r w:rsidRPr="00A552C3">
              <w:rPr>
                <w:iCs/>
                <w:lang w:val="pt-BR"/>
              </w:rPr>
              <w:t>)))]</w:t>
            </w:r>
          </w:p>
          <w:p w14:paraId="08D3658B" w14:textId="77777777" w:rsidR="0018223C" w:rsidRPr="00A552C3" w:rsidRDefault="0018223C" w:rsidP="0018223C">
            <w:pPr>
              <w:tabs>
                <w:tab w:val="left" w:pos="2340"/>
                <w:tab w:val="left" w:pos="3420"/>
              </w:tabs>
              <w:spacing w:after="240"/>
              <w:ind w:left="2340" w:hangingChars="975" w:hanging="2340"/>
              <w:rPr>
                <w:lang w:val="es-ES"/>
              </w:rPr>
            </w:pPr>
            <w:r w:rsidRPr="00A552C3">
              <w:rPr>
                <w:lang w:val="es-ES"/>
              </w:rPr>
              <w:t xml:space="preserve">           Where:</w:t>
            </w:r>
          </w:p>
          <w:p w14:paraId="6B5EA402" w14:textId="77777777" w:rsidR="00684DEF" w:rsidRPr="00507A9C" w:rsidRDefault="00684DEF" w:rsidP="00684DEF">
            <w:pPr>
              <w:pStyle w:val="Formula"/>
              <w:tabs>
                <w:tab w:val="clear" w:pos="2160"/>
                <w:tab w:val="left" w:pos="2340"/>
              </w:tabs>
              <w:ind w:left="2880" w:hanging="2160"/>
            </w:pPr>
            <w:r w:rsidRPr="009C51D8">
              <w:t>TWTG</w:t>
            </w:r>
            <w:r>
              <w:rPr>
                <w:i/>
                <w:vertAlign w:val="subscript"/>
              </w:rPr>
              <w:t xml:space="preserve"> q, r, p, i</w:t>
            </w:r>
            <w:r>
              <w:rPr>
                <w:i/>
                <w:vertAlign w:val="subscript"/>
              </w:rPr>
              <w:tab/>
            </w:r>
            <w:r w:rsidRPr="00507A9C">
              <w:rPr>
                <w:i/>
              </w:rPr>
              <w:t xml:space="preserve">= </w:t>
            </w:r>
            <w:r w:rsidRPr="009C51D8">
              <w:rPr>
                <w:i/>
                <w:vertAlign w:val="subscript"/>
              </w:rPr>
              <w:t xml:space="preserve">     </w:t>
            </w:r>
            <w:r w:rsidRPr="009C51D8">
              <w:t xml:space="preserve"> (</w:t>
            </w:r>
            <w:r w:rsidRPr="009C51D8">
              <w:rPr>
                <w:position w:val="-22"/>
              </w:rPr>
              <w:object w:dxaOrig="210" w:dyaOrig="450" w14:anchorId="66F4A08B">
                <v:shape id="_x0000_i1194" type="#_x0000_t75" style="width:5.4pt;height:24.6pt" o:ole="">
                  <v:imagedata r:id="rId209" o:title=""/>
                </v:shape>
                <o:OLEObject Type="Embed" ProgID="Equation.3" ShapeID="_x0000_i1194" DrawAspect="Content" ObjectID="_1815025384" r:id="rId226"/>
              </w:object>
            </w:r>
            <w:r w:rsidRPr="009C51D8">
              <w:t xml:space="preserve"> (AVGTG5M</w:t>
            </w:r>
            <w:r w:rsidRPr="009C51D8">
              <w:rPr>
                <w:i/>
                <w:vertAlign w:val="subscript"/>
              </w:rPr>
              <w:t xml:space="preserve"> q, r, p, i, y</w:t>
            </w:r>
            <w:r w:rsidRPr="009C51D8">
              <w:t>) / 3) * ¼</w:t>
            </w:r>
          </w:p>
          <w:p w14:paraId="28C6C774" w14:textId="77777777" w:rsidR="00684DEF" w:rsidRDefault="00684DEF" w:rsidP="00684DEF">
            <w: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8C5B01" w:rsidRPr="00B2348D" w14:paraId="372B2362" w14:textId="77777777" w:rsidTr="001B737D">
              <w:trPr>
                <w:cantSplit/>
                <w:tblHeader/>
              </w:trPr>
              <w:tc>
                <w:tcPr>
                  <w:tcW w:w="1776" w:type="dxa"/>
                </w:tcPr>
                <w:p w14:paraId="6427EAFB" w14:textId="77777777" w:rsidR="008C5B01" w:rsidRPr="00B2348D" w:rsidRDefault="008C5B01" w:rsidP="008C5B01">
                  <w:pPr>
                    <w:pStyle w:val="TableHead"/>
                    <w:tabs>
                      <w:tab w:val="right" w:pos="9360"/>
                    </w:tabs>
                  </w:pPr>
                  <w:r w:rsidRPr="006624C0">
                    <w:t>Variable</w:t>
                  </w:r>
                </w:p>
              </w:tc>
              <w:tc>
                <w:tcPr>
                  <w:tcW w:w="892" w:type="dxa"/>
                </w:tcPr>
                <w:p w14:paraId="6A6E9ABD" w14:textId="77777777" w:rsidR="008C5B01" w:rsidRPr="00B2348D" w:rsidRDefault="008C5B01" w:rsidP="008C5B01">
                  <w:pPr>
                    <w:pStyle w:val="TableHead"/>
                    <w:tabs>
                      <w:tab w:val="right" w:pos="9360"/>
                    </w:tabs>
                  </w:pPr>
                  <w:r w:rsidRPr="006624C0">
                    <w:t>Unit</w:t>
                  </w:r>
                </w:p>
              </w:tc>
              <w:tc>
                <w:tcPr>
                  <w:tcW w:w="6695" w:type="dxa"/>
                </w:tcPr>
                <w:p w14:paraId="303332A8" w14:textId="77777777" w:rsidR="008C5B01" w:rsidRPr="00B2348D" w:rsidRDefault="008C5B01" w:rsidP="008C5B01">
                  <w:pPr>
                    <w:pStyle w:val="TableHead"/>
                    <w:tabs>
                      <w:tab w:val="right" w:pos="9360"/>
                    </w:tabs>
                  </w:pPr>
                  <w:r w:rsidRPr="006624C0">
                    <w:t>Definition</w:t>
                  </w:r>
                </w:p>
              </w:tc>
            </w:tr>
            <w:tr w:rsidR="008C5B01" w:rsidRPr="00B2348D" w14:paraId="55897F56" w14:textId="77777777" w:rsidTr="001B737D">
              <w:trPr>
                <w:cantSplit/>
              </w:trPr>
              <w:tc>
                <w:tcPr>
                  <w:tcW w:w="1776" w:type="dxa"/>
                </w:tcPr>
                <w:p w14:paraId="0CF943F7" w14:textId="1095769B" w:rsidR="008C5B01" w:rsidRPr="00B2348D" w:rsidRDefault="00757111" w:rsidP="008C5B01">
                  <w:pPr>
                    <w:pStyle w:val="TableBody"/>
                  </w:pPr>
                  <w:r>
                    <w:t>S</w:t>
                  </w:r>
                  <w:r w:rsidR="008C5B01" w:rsidRPr="006624C0">
                    <w:t xml:space="preserve">PDAMT </w:t>
                  </w:r>
                  <w:r w:rsidR="008C5B01" w:rsidRPr="006624C0">
                    <w:rPr>
                      <w:i/>
                      <w:vertAlign w:val="subscript"/>
                    </w:rPr>
                    <w:t>q, r, p, i</w:t>
                  </w:r>
                </w:p>
              </w:tc>
              <w:tc>
                <w:tcPr>
                  <w:tcW w:w="892" w:type="dxa"/>
                </w:tcPr>
                <w:p w14:paraId="51B11AA5" w14:textId="77777777" w:rsidR="008C5B01" w:rsidRPr="00B2348D" w:rsidRDefault="008C5B01" w:rsidP="008C5B01">
                  <w:pPr>
                    <w:pStyle w:val="TableBody"/>
                  </w:pPr>
                  <w:r w:rsidRPr="006624C0">
                    <w:t>$</w:t>
                  </w:r>
                </w:p>
              </w:tc>
              <w:tc>
                <w:tcPr>
                  <w:tcW w:w="6695" w:type="dxa"/>
                </w:tcPr>
                <w:p w14:paraId="12580376" w14:textId="27966BF3" w:rsidR="008C5B01" w:rsidRPr="00B2348D" w:rsidRDefault="00757111" w:rsidP="00D24997">
                  <w:pPr>
                    <w:pStyle w:val="TableBody"/>
                  </w:pPr>
                  <w:r>
                    <w:rPr>
                      <w:i/>
                    </w:rPr>
                    <w:t>Set</w:t>
                  </w:r>
                  <w:r w:rsidR="008C5B01" w:rsidRPr="006624C0">
                    <w:rPr>
                      <w:i/>
                    </w:rPr>
                    <w:t xml:space="preserve"> Point Deviation Charge per QSE per Settlement Point per Resource</w:t>
                  </w:r>
                  <w:r w:rsidR="008C5B01" w:rsidRPr="006624C0">
                    <w:t xml:space="preserve">—The charge to QSE </w:t>
                  </w:r>
                  <w:r w:rsidR="008C5B01" w:rsidRPr="006624C0">
                    <w:rPr>
                      <w:i/>
                    </w:rPr>
                    <w:t>q</w:t>
                  </w:r>
                  <w:r w:rsidR="008C5B01" w:rsidRPr="006624C0">
                    <w:t xml:space="preserve"> for </w:t>
                  </w:r>
                  <w:r w:rsidR="008C5B01">
                    <w:t xml:space="preserve">Resource </w:t>
                  </w:r>
                  <w:r w:rsidR="008C5B01">
                    <w:rPr>
                      <w:i/>
                    </w:rPr>
                    <w:t xml:space="preserve">r </w:t>
                  </w:r>
                  <w:r w:rsidR="008C5B01" w:rsidRPr="006624C0">
                    <w:t xml:space="preserve">at Resource Node </w:t>
                  </w:r>
                  <w:r w:rsidR="008C5B01" w:rsidRPr="006624C0">
                    <w:rPr>
                      <w:i/>
                    </w:rPr>
                    <w:t>p</w:t>
                  </w:r>
                  <w:r w:rsidR="008C5B01" w:rsidRPr="006624C0">
                    <w:t xml:space="preserve">, for its deviation from </w:t>
                  </w:r>
                  <w:r>
                    <w:t>AASP</w:t>
                  </w:r>
                  <w:r w:rsidR="008C5B01" w:rsidRPr="006624C0">
                    <w:t xml:space="preserve">, for the 15-minute Settlement Interval </w:t>
                  </w:r>
                  <w:r w:rsidR="008C5B01" w:rsidRPr="006624C0">
                    <w:rPr>
                      <w:i/>
                    </w:rPr>
                    <w:t>i</w:t>
                  </w:r>
                  <w:r w:rsidR="008C5B01" w:rsidRPr="006624C0">
                    <w:t xml:space="preserve">.  </w:t>
                  </w:r>
                </w:p>
              </w:tc>
            </w:tr>
            <w:tr w:rsidR="008C5B01" w:rsidRPr="00B2348D" w14:paraId="6EA6150F" w14:textId="77777777" w:rsidTr="001B737D">
              <w:trPr>
                <w:cantSplit/>
              </w:trPr>
              <w:tc>
                <w:tcPr>
                  <w:tcW w:w="1776" w:type="dxa"/>
                </w:tcPr>
                <w:p w14:paraId="16E6EC4C" w14:textId="77777777" w:rsidR="008C5B01" w:rsidRPr="00B2348D" w:rsidRDefault="008C5B01" w:rsidP="008C5B01">
                  <w:pPr>
                    <w:pStyle w:val="TableBody"/>
                  </w:pPr>
                  <w:r w:rsidRPr="006624C0">
                    <w:t xml:space="preserve">RTSPP </w:t>
                  </w:r>
                  <w:r w:rsidRPr="006624C0">
                    <w:rPr>
                      <w:i/>
                      <w:vertAlign w:val="subscript"/>
                    </w:rPr>
                    <w:t>p, i</w:t>
                  </w:r>
                </w:p>
              </w:tc>
              <w:tc>
                <w:tcPr>
                  <w:tcW w:w="892" w:type="dxa"/>
                </w:tcPr>
                <w:p w14:paraId="3403E239" w14:textId="77777777" w:rsidR="008C5B01" w:rsidRPr="00B2348D" w:rsidRDefault="008C5B01" w:rsidP="008C5B01">
                  <w:pPr>
                    <w:pStyle w:val="TableBody"/>
                  </w:pPr>
                  <w:r w:rsidRPr="006624C0">
                    <w:t>$/MWh</w:t>
                  </w:r>
                </w:p>
              </w:tc>
              <w:tc>
                <w:tcPr>
                  <w:tcW w:w="6695" w:type="dxa"/>
                </w:tcPr>
                <w:p w14:paraId="140A6A8B" w14:textId="77777777" w:rsidR="008C5B01" w:rsidRPr="00B2348D" w:rsidRDefault="008C5B01" w:rsidP="008C5B01">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8C5B01" w:rsidRPr="00B2348D" w14:paraId="0FB6BF52" w14:textId="77777777" w:rsidTr="001B737D">
              <w:trPr>
                <w:cantSplit/>
              </w:trPr>
              <w:tc>
                <w:tcPr>
                  <w:tcW w:w="1776" w:type="dxa"/>
                </w:tcPr>
                <w:p w14:paraId="0CA1C4FA" w14:textId="77777777" w:rsidR="008C5B01" w:rsidRPr="00B2348D" w:rsidRDefault="008C5B01" w:rsidP="008C5B01">
                  <w:pPr>
                    <w:pStyle w:val="TableBody"/>
                  </w:pPr>
                  <w:r w:rsidRPr="00B2348D">
                    <w:t xml:space="preserve">TWTG </w:t>
                  </w:r>
                  <w:r w:rsidRPr="006624C0">
                    <w:rPr>
                      <w:i/>
                      <w:vertAlign w:val="subscript"/>
                    </w:rPr>
                    <w:t>q, r, p, i</w:t>
                  </w:r>
                </w:p>
              </w:tc>
              <w:tc>
                <w:tcPr>
                  <w:tcW w:w="892" w:type="dxa"/>
                </w:tcPr>
                <w:p w14:paraId="350E675D" w14:textId="77777777" w:rsidR="008C5B01" w:rsidRPr="00B2348D" w:rsidRDefault="008C5B01" w:rsidP="008C5B01">
                  <w:pPr>
                    <w:pStyle w:val="TableBody"/>
                  </w:pPr>
                  <w:r w:rsidRPr="00B2348D">
                    <w:t>MWh</w:t>
                  </w:r>
                </w:p>
              </w:tc>
              <w:tc>
                <w:tcPr>
                  <w:tcW w:w="6695" w:type="dxa"/>
                </w:tcPr>
                <w:p w14:paraId="04A02BA3" w14:textId="50B7FF73" w:rsidR="008C5B01" w:rsidRPr="00B2348D" w:rsidRDefault="008C5B01" w:rsidP="00D24997">
                  <w:pPr>
                    <w:pStyle w:val="TableBody"/>
                    <w:rPr>
                      <w:i/>
                    </w:rPr>
                  </w:pPr>
                  <w:r w:rsidRPr="00B2348D">
                    <w:rPr>
                      <w:i/>
                    </w:rPr>
                    <w:t>Time-Weighted Telemetered Generation per QSE per Settlement Point per Resource</w:t>
                  </w:r>
                  <w:r w:rsidRPr="00B2348D">
                    <w:t xml:space="preserve">—The telemetered generation </w:t>
                  </w:r>
                  <w:r w:rsidR="0018223C">
                    <w:t xml:space="preserve">or consumption </w:t>
                  </w:r>
                  <w:r w:rsidRPr="00B2348D">
                    <w:t xml:space="preserve">of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t>
                  </w:r>
                </w:p>
              </w:tc>
            </w:tr>
            <w:tr w:rsidR="008C5B01" w:rsidRPr="00B2348D" w14:paraId="4122D05B" w14:textId="77777777" w:rsidTr="001B737D">
              <w:trPr>
                <w:cantSplit/>
              </w:trPr>
              <w:tc>
                <w:tcPr>
                  <w:tcW w:w="1776" w:type="dxa"/>
                </w:tcPr>
                <w:p w14:paraId="70D65B9E" w14:textId="3DCFC521" w:rsidR="008C5B01" w:rsidRPr="00B2348D" w:rsidRDefault="008C5B01" w:rsidP="00757111">
                  <w:pPr>
                    <w:pStyle w:val="TableBody"/>
                  </w:pPr>
                  <w:r w:rsidRPr="00B2348D">
                    <w:t>AA</w:t>
                  </w:r>
                  <w:r w:rsidR="00757111">
                    <w:t>S</w:t>
                  </w:r>
                  <w:r w:rsidRPr="00B2348D">
                    <w:t>P</w:t>
                  </w:r>
                  <w:r>
                    <w:t xml:space="preserve"> </w:t>
                  </w:r>
                  <w:r w:rsidRPr="006624C0">
                    <w:rPr>
                      <w:i/>
                      <w:vertAlign w:val="subscript"/>
                    </w:rPr>
                    <w:t>q, r, p, i</w:t>
                  </w:r>
                </w:p>
              </w:tc>
              <w:tc>
                <w:tcPr>
                  <w:tcW w:w="892" w:type="dxa"/>
                </w:tcPr>
                <w:p w14:paraId="6A85AA64" w14:textId="77777777" w:rsidR="008C5B01" w:rsidRPr="00B2348D" w:rsidRDefault="008C5B01" w:rsidP="008C5B01">
                  <w:pPr>
                    <w:pStyle w:val="TableBody"/>
                  </w:pPr>
                  <w:r w:rsidRPr="00B2348D">
                    <w:t>MW</w:t>
                  </w:r>
                </w:p>
              </w:tc>
              <w:tc>
                <w:tcPr>
                  <w:tcW w:w="6695" w:type="dxa"/>
                </w:tcPr>
                <w:p w14:paraId="24E6B10C" w14:textId="15C0AC77" w:rsidR="008C5B01" w:rsidRPr="00B2348D" w:rsidRDefault="00757111" w:rsidP="00D24997">
                  <w:pPr>
                    <w:pStyle w:val="TableBody"/>
                    <w:rPr>
                      <w:i/>
                    </w:rPr>
                  </w:pPr>
                  <w:r>
                    <w:rPr>
                      <w:i/>
                    </w:rPr>
                    <w:t>Average</w:t>
                  </w:r>
                  <w:r w:rsidR="008C5B01" w:rsidRPr="00B2348D">
                    <w:rPr>
                      <w:i/>
                    </w:rPr>
                    <w:t xml:space="preserve"> Aggregated </w:t>
                  </w:r>
                  <w:r>
                    <w:rPr>
                      <w:i/>
                    </w:rPr>
                    <w:t>Set</w:t>
                  </w:r>
                  <w:r w:rsidR="008C5B01" w:rsidRPr="00B2348D">
                    <w:rPr>
                      <w:i/>
                    </w:rPr>
                    <w:t xml:space="preserve"> Point per QSE per Settlement Point per Resource</w:t>
                  </w:r>
                  <w:r w:rsidR="008C5B01" w:rsidRPr="00B2348D">
                    <w:t xml:space="preserve">—The </w:t>
                  </w:r>
                  <w:r>
                    <w:rPr>
                      <w:iCs w:val="0"/>
                    </w:rPr>
                    <w:t>average of the Average Five Minute Clock Interval Set Point (AVGSP5M)</w:t>
                  </w:r>
                  <w:r w:rsidR="008C5B01" w:rsidRPr="00B2348D">
                    <w:t xml:space="preserve"> of </w:t>
                  </w:r>
                  <w:r w:rsidR="008C5B01">
                    <w:t xml:space="preserve">Resource </w:t>
                  </w:r>
                  <w:r w:rsidR="008C5B01" w:rsidRPr="00B2348D">
                    <w:rPr>
                      <w:i/>
                    </w:rPr>
                    <w:t>r</w:t>
                  </w:r>
                  <w:r w:rsidR="008C5B01" w:rsidRPr="00B2348D">
                    <w:t xml:space="preserve"> represented by QSE </w:t>
                  </w:r>
                  <w:r w:rsidR="008C5B01" w:rsidRPr="00B2348D">
                    <w:rPr>
                      <w:i/>
                    </w:rPr>
                    <w:t>q</w:t>
                  </w:r>
                  <w:r w:rsidR="008C5B01" w:rsidRPr="00B2348D">
                    <w:t xml:space="preserve"> at </w:t>
                  </w:r>
                  <w:r w:rsidR="008C5B01">
                    <w:t>Settlement Point</w:t>
                  </w:r>
                  <w:r w:rsidR="008C5B01" w:rsidRPr="00B2348D">
                    <w:t xml:space="preserve"> </w:t>
                  </w:r>
                  <w:r w:rsidR="008C5B01" w:rsidRPr="00B2348D">
                    <w:rPr>
                      <w:i/>
                    </w:rPr>
                    <w:t>p,</w:t>
                  </w:r>
                  <w:r w:rsidR="008C5B01" w:rsidRPr="00B2348D">
                    <w:t xml:space="preserve"> for the 15-minute Settlement Interval</w:t>
                  </w:r>
                  <w:r w:rsidR="008C5B01" w:rsidRPr="00B2348D">
                    <w:rPr>
                      <w:i/>
                    </w:rPr>
                    <w:t xml:space="preserve"> i</w:t>
                  </w:r>
                  <w:r w:rsidR="008C5B01" w:rsidRPr="00B2348D">
                    <w:t xml:space="preserve">.  </w:t>
                  </w:r>
                </w:p>
              </w:tc>
            </w:tr>
            <w:tr w:rsidR="008C5B01" w:rsidRPr="00B2348D" w14:paraId="7104D342" w14:textId="77777777" w:rsidTr="001B737D">
              <w:trPr>
                <w:cantSplit/>
              </w:trPr>
              <w:tc>
                <w:tcPr>
                  <w:tcW w:w="1776" w:type="dxa"/>
                </w:tcPr>
                <w:p w14:paraId="172E367F" w14:textId="77777777" w:rsidR="008C5B01" w:rsidRPr="00B2348D" w:rsidRDefault="008C5B01" w:rsidP="008C5B01">
                  <w:pPr>
                    <w:pStyle w:val="TableBody"/>
                  </w:pPr>
                  <w:r w:rsidRPr="006624C0">
                    <w:t>AVGTG5M</w:t>
                  </w:r>
                  <w:r>
                    <w:t xml:space="preserve"> </w:t>
                  </w:r>
                  <w:r w:rsidRPr="006624C0">
                    <w:rPr>
                      <w:i/>
                      <w:vertAlign w:val="subscript"/>
                      <w:lang w:val="fr-FR"/>
                    </w:rPr>
                    <w:t>q, r, p, i, y</w:t>
                  </w:r>
                </w:p>
              </w:tc>
              <w:tc>
                <w:tcPr>
                  <w:tcW w:w="892" w:type="dxa"/>
                </w:tcPr>
                <w:p w14:paraId="62ED67EC" w14:textId="77777777" w:rsidR="008C5B01" w:rsidRPr="00B2348D" w:rsidRDefault="008C5B01" w:rsidP="008C5B01">
                  <w:pPr>
                    <w:pStyle w:val="TableBody"/>
                  </w:pPr>
                  <w:r w:rsidRPr="006624C0">
                    <w:t>MW</w:t>
                  </w:r>
                </w:p>
              </w:tc>
              <w:tc>
                <w:tcPr>
                  <w:tcW w:w="6695" w:type="dxa"/>
                </w:tcPr>
                <w:p w14:paraId="48B8B501" w14:textId="1BA5145E" w:rsidR="008C5B01" w:rsidRPr="00B2348D" w:rsidRDefault="008C5B01" w:rsidP="0018785B">
                  <w:pPr>
                    <w:pStyle w:val="TableBody"/>
                  </w:pPr>
                  <w:r w:rsidRPr="006624C0">
                    <w:rPr>
                      <w:i/>
                    </w:rPr>
                    <w:t>Average Telemetered Generation for the 5 Minutes</w:t>
                  </w:r>
                  <w:r w:rsidRPr="006624C0">
                    <w:t xml:space="preserve">—The average telemetered generation </w:t>
                  </w:r>
                  <w:r w:rsidR="0018785B">
                    <w:t xml:space="preserve">or consumption </w:t>
                  </w:r>
                  <w:r w:rsidRPr="006624C0">
                    <w:t xml:space="preserve">of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8C5B01" w:rsidRPr="00B2348D" w14:paraId="09B9FD25" w14:textId="77777777" w:rsidTr="001B737D">
              <w:trPr>
                <w:cantSplit/>
              </w:trPr>
              <w:tc>
                <w:tcPr>
                  <w:tcW w:w="1776" w:type="dxa"/>
                </w:tcPr>
                <w:p w14:paraId="055EB6A4" w14:textId="77777777" w:rsidR="008C5B01" w:rsidRPr="00B2348D" w:rsidRDefault="008C5B01" w:rsidP="008C5B01">
                  <w:pPr>
                    <w:pStyle w:val="TableBody"/>
                  </w:pPr>
                  <w:r>
                    <w:t>OPESR</w:t>
                  </w:r>
                  <w:r w:rsidRPr="006624C0">
                    <w:t xml:space="preserve"> </w:t>
                  </w:r>
                  <w:r w:rsidRPr="006624C0">
                    <w:rPr>
                      <w:i/>
                      <w:vertAlign w:val="subscript"/>
                    </w:rPr>
                    <w:t>q, r, p, i</w:t>
                  </w:r>
                </w:p>
              </w:tc>
              <w:tc>
                <w:tcPr>
                  <w:tcW w:w="892" w:type="dxa"/>
                </w:tcPr>
                <w:p w14:paraId="1D917551" w14:textId="77777777" w:rsidR="008C5B01" w:rsidRPr="00B2348D" w:rsidRDefault="008C5B01" w:rsidP="008C5B01">
                  <w:pPr>
                    <w:pStyle w:val="TableBody"/>
                  </w:pPr>
                  <w:r w:rsidRPr="006624C0">
                    <w:t>MW</w:t>
                  </w:r>
                  <w:r>
                    <w:t>h</w:t>
                  </w:r>
                </w:p>
              </w:tc>
              <w:tc>
                <w:tcPr>
                  <w:tcW w:w="6695" w:type="dxa"/>
                </w:tcPr>
                <w:p w14:paraId="704E5FB1" w14:textId="6961CDA9" w:rsidR="008C5B01" w:rsidRPr="00B2348D" w:rsidRDefault="008C5B01" w:rsidP="00D24997">
                  <w:pPr>
                    <w:pStyle w:val="TableBody"/>
                  </w:pPr>
                  <w:r w:rsidRPr="006624C0">
                    <w:rPr>
                      <w:i/>
                    </w:rPr>
                    <w:t>Over</w:t>
                  </w:r>
                  <w:r>
                    <w:rPr>
                      <w:i/>
                    </w:rPr>
                    <w:t>-Performance</w:t>
                  </w:r>
                  <w:r w:rsidRPr="006624C0">
                    <w:rPr>
                      <w:i/>
                    </w:rPr>
                    <w:t xml:space="preserve"> Volumes per QSE per Settlement Point per Resource</w:t>
                  </w:r>
                  <w:r w:rsidRPr="006624C0">
                    <w:t xml:space="preserve">—The amount </w:t>
                  </w:r>
                  <w:r>
                    <w:t xml:space="preserve">the ESR </w:t>
                  </w:r>
                  <w:r w:rsidR="0018223C" w:rsidRPr="006624C0">
                    <w:rPr>
                      <w:i/>
                    </w:rPr>
                    <w:t>r</w:t>
                  </w:r>
                  <w:r w:rsidR="0018223C">
                    <w:t xml:space="preserve"> </w:t>
                  </w:r>
                  <w:r>
                    <w:t>over-performed</w:t>
                  </w:r>
                  <w:r>
                    <w:rPr>
                      <w:i/>
                    </w:rPr>
                    <w:t xml:space="preserve">, </w:t>
                  </w:r>
                  <w:r>
                    <w:t>represented</w:t>
                  </w:r>
                  <w:r w:rsidRPr="006624C0">
                    <w:t xml:space="preserve"> by QSE </w:t>
                  </w:r>
                  <w:r w:rsidRPr="006624C0">
                    <w:rPr>
                      <w:i/>
                    </w:rPr>
                    <w:t>q</w:t>
                  </w:r>
                  <w:r w:rsidRPr="006624C0">
                    <w:t xml:space="preserve"> at Resource Node </w:t>
                  </w:r>
                  <w:r w:rsidRPr="006624C0">
                    <w:rPr>
                      <w:i/>
                    </w:rPr>
                    <w:t>p</w:t>
                  </w:r>
                  <w:r>
                    <w:rPr>
                      <w:i/>
                    </w:rPr>
                    <w:t xml:space="preserve">, </w:t>
                  </w:r>
                  <w:r w:rsidRPr="006624C0">
                    <w:t xml:space="preserve">for the 15-minute Settlement Interval </w:t>
                  </w:r>
                  <w:r w:rsidRPr="006624C0">
                    <w:rPr>
                      <w:i/>
                    </w:rPr>
                    <w:t>i</w:t>
                  </w:r>
                  <w:r>
                    <w:t>.</w:t>
                  </w:r>
                </w:p>
              </w:tc>
            </w:tr>
            <w:tr w:rsidR="008C5B01" w:rsidRPr="00B2348D" w14:paraId="5327D3C2" w14:textId="77777777" w:rsidTr="001B737D">
              <w:trPr>
                <w:cantSplit/>
              </w:trPr>
              <w:tc>
                <w:tcPr>
                  <w:tcW w:w="1776" w:type="dxa"/>
                </w:tcPr>
                <w:p w14:paraId="17980C9C" w14:textId="77777777" w:rsidR="008C5B01" w:rsidRPr="00B2348D" w:rsidRDefault="008C5B01" w:rsidP="008C5B01">
                  <w:pPr>
                    <w:pStyle w:val="TableBody"/>
                  </w:pPr>
                  <w:r w:rsidRPr="006624C0">
                    <w:t>PR</w:t>
                  </w:r>
                  <w:r>
                    <w:t>3</w:t>
                  </w:r>
                </w:p>
              </w:tc>
              <w:tc>
                <w:tcPr>
                  <w:tcW w:w="892" w:type="dxa"/>
                </w:tcPr>
                <w:p w14:paraId="3F28722C" w14:textId="77777777" w:rsidR="008C5B01" w:rsidRPr="00B2348D" w:rsidRDefault="008C5B01" w:rsidP="008C5B01">
                  <w:pPr>
                    <w:pStyle w:val="TableBody"/>
                  </w:pPr>
                  <w:r w:rsidRPr="006624C0">
                    <w:t>$/MWh</w:t>
                  </w:r>
                </w:p>
              </w:tc>
              <w:tc>
                <w:tcPr>
                  <w:tcW w:w="6695" w:type="dxa"/>
                </w:tcPr>
                <w:p w14:paraId="0DB0CFFD" w14:textId="681BBBE3" w:rsidR="008C5B01" w:rsidRPr="00B2348D" w:rsidRDefault="008C5B01" w:rsidP="00EA6FD7">
                  <w:pPr>
                    <w:pStyle w:val="TableBody"/>
                  </w:pPr>
                  <w:r>
                    <w:t xml:space="preserve">The </w:t>
                  </w:r>
                  <w:r w:rsidRPr="006624C0">
                    <w:t xml:space="preserve">price to use for the </w:t>
                  </w:r>
                  <w:r w:rsidR="00EA6FD7">
                    <w:t>Set</w:t>
                  </w:r>
                  <w:r w:rsidRPr="006624C0">
                    <w:t xml:space="preserve"> P</w:t>
                  </w:r>
                  <w:r>
                    <w:t>oint Deviation Charge for over-performance</w:t>
                  </w:r>
                  <w:r w:rsidRPr="006624C0">
                    <w:t xml:space="preserve"> when RTSPP is </w:t>
                  </w:r>
                  <w:r>
                    <w:t>less</w:t>
                  </w:r>
                  <w:r w:rsidRPr="006624C0">
                    <w:t xml:space="preserve"> than $20</w:t>
                  </w:r>
                  <w:r>
                    <w:t>/MWh, $20/MWh</w:t>
                  </w:r>
                  <w:r w:rsidRPr="006624C0">
                    <w:t xml:space="preserve">.  </w:t>
                  </w:r>
                </w:p>
              </w:tc>
            </w:tr>
            <w:tr w:rsidR="008C5B01" w:rsidRPr="00B2348D" w14:paraId="38D32021" w14:textId="77777777" w:rsidTr="001B737D">
              <w:trPr>
                <w:cantSplit/>
              </w:trPr>
              <w:tc>
                <w:tcPr>
                  <w:tcW w:w="1776" w:type="dxa"/>
                </w:tcPr>
                <w:p w14:paraId="39F391D1" w14:textId="77777777" w:rsidR="008C5B01" w:rsidRPr="00B2348D" w:rsidRDefault="008C5B01" w:rsidP="008C5B01">
                  <w:pPr>
                    <w:pStyle w:val="TableBody"/>
                  </w:pPr>
                  <w:r w:rsidRPr="006624C0">
                    <w:t>K</w:t>
                  </w:r>
                  <w:r>
                    <w:t>3</w:t>
                  </w:r>
                </w:p>
              </w:tc>
              <w:tc>
                <w:tcPr>
                  <w:tcW w:w="892" w:type="dxa"/>
                </w:tcPr>
                <w:p w14:paraId="502DDEAF" w14:textId="77777777" w:rsidR="008C5B01" w:rsidRPr="00B2348D" w:rsidRDefault="008C5B01" w:rsidP="008C5B01">
                  <w:pPr>
                    <w:pStyle w:val="TableBody"/>
                  </w:pPr>
                  <w:r w:rsidRPr="006624C0">
                    <w:t>none</w:t>
                  </w:r>
                </w:p>
              </w:tc>
              <w:tc>
                <w:tcPr>
                  <w:tcW w:w="6695" w:type="dxa"/>
                </w:tcPr>
                <w:p w14:paraId="0AC4BEA9" w14:textId="6B68679E" w:rsidR="008C5B01" w:rsidRPr="00B2348D" w:rsidRDefault="008C5B01" w:rsidP="008C5B01">
                  <w:pPr>
                    <w:pStyle w:val="TableBody"/>
                  </w:pPr>
                  <w:r w:rsidRPr="006624C0">
                    <w:t>Th</w:t>
                  </w:r>
                  <w:r>
                    <w:t>e percentage tolerance for over-performance</w:t>
                  </w:r>
                  <w:r w:rsidR="00D24997">
                    <w:t xml:space="preserve"> per paragraph (2) above</w:t>
                  </w:r>
                  <w:r w:rsidRPr="006624C0">
                    <w:t xml:space="preserve">, </w:t>
                  </w:r>
                  <w:r>
                    <w:t>3</w:t>
                  </w:r>
                  <w:r w:rsidRPr="006624C0">
                    <w:t xml:space="preserve">%.  </w:t>
                  </w:r>
                </w:p>
              </w:tc>
            </w:tr>
            <w:tr w:rsidR="00D24997" w:rsidRPr="00B2348D" w14:paraId="569D4F62" w14:textId="77777777" w:rsidTr="001B737D">
              <w:trPr>
                <w:cantSplit/>
              </w:trPr>
              <w:tc>
                <w:tcPr>
                  <w:tcW w:w="1776" w:type="dxa"/>
                </w:tcPr>
                <w:p w14:paraId="47A542E3" w14:textId="0B29FF54" w:rsidR="00D24997" w:rsidRPr="006624C0" w:rsidRDefault="00D24997" w:rsidP="00D24997">
                  <w:pPr>
                    <w:pStyle w:val="TableBody"/>
                  </w:pPr>
                  <w:r w:rsidRPr="00A552C3">
                    <w:t>K5</w:t>
                  </w:r>
                </w:p>
              </w:tc>
              <w:tc>
                <w:tcPr>
                  <w:tcW w:w="892" w:type="dxa"/>
                </w:tcPr>
                <w:p w14:paraId="2A03DA2E" w14:textId="6534F3E2" w:rsidR="00D24997" w:rsidRPr="006624C0" w:rsidRDefault="00D24997" w:rsidP="00D24997">
                  <w:pPr>
                    <w:pStyle w:val="TableBody"/>
                  </w:pPr>
                  <w:r w:rsidRPr="00A552C3">
                    <w:t>none</w:t>
                  </w:r>
                </w:p>
              </w:tc>
              <w:tc>
                <w:tcPr>
                  <w:tcW w:w="6695" w:type="dxa"/>
                </w:tcPr>
                <w:p w14:paraId="70D5D6C6" w14:textId="55925EC3" w:rsidR="00D24997" w:rsidRDefault="00D24997" w:rsidP="00D24997">
                  <w:pPr>
                    <w:pStyle w:val="TableBody"/>
                  </w:pPr>
                  <w:r w:rsidRPr="00A552C3">
                    <w:t xml:space="preserve">The percentage tolerance for over-performance per paragraph (3) above, </w:t>
                  </w:r>
                  <w:r w:rsidR="00045FBB">
                    <w:t>5</w:t>
                  </w:r>
                  <w:r w:rsidRPr="00A552C3">
                    <w:t>%.</w:t>
                  </w:r>
                </w:p>
              </w:tc>
            </w:tr>
            <w:tr w:rsidR="008C5B01" w:rsidRPr="00B2348D" w14:paraId="09A7BFAB" w14:textId="77777777" w:rsidTr="001B737D">
              <w:trPr>
                <w:cantSplit/>
              </w:trPr>
              <w:tc>
                <w:tcPr>
                  <w:tcW w:w="1776" w:type="dxa"/>
                </w:tcPr>
                <w:p w14:paraId="16845773" w14:textId="77777777" w:rsidR="008C5B01" w:rsidRPr="00B2348D" w:rsidRDefault="008C5B01" w:rsidP="008C5B01">
                  <w:pPr>
                    <w:pStyle w:val="TableBody"/>
                  </w:pPr>
                  <w:r w:rsidRPr="006624C0">
                    <w:t>Q</w:t>
                  </w:r>
                  <w:r>
                    <w:t>3</w:t>
                  </w:r>
                </w:p>
              </w:tc>
              <w:tc>
                <w:tcPr>
                  <w:tcW w:w="892" w:type="dxa"/>
                </w:tcPr>
                <w:p w14:paraId="6E1B98DD" w14:textId="77777777" w:rsidR="008C5B01" w:rsidRPr="00B2348D" w:rsidRDefault="008C5B01" w:rsidP="008C5B01">
                  <w:pPr>
                    <w:pStyle w:val="TableBody"/>
                  </w:pPr>
                  <w:r w:rsidRPr="006624C0">
                    <w:t>MW</w:t>
                  </w:r>
                </w:p>
              </w:tc>
              <w:tc>
                <w:tcPr>
                  <w:tcW w:w="6695" w:type="dxa"/>
                </w:tcPr>
                <w:p w14:paraId="33C43811" w14:textId="77777777" w:rsidR="008C5B01" w:rsidRPr="00B2348D" w:rsidRDefault="008C5B01" w:rsidP="008C5B01">
                  <w:pPr>
                    <w:pStyle w:val="TableBody"/>
                  </w:pPr>
                  <w:r>
                    <w:t>The MW tolerance for over-performance</w:t>
                  </w:r>
                  <w:r w:rsidRPr="006624C0">
                    <w:t xml:space="preserve">, </w:t>
                  </w:r>
                  <w:r>
                    <w:t>three</w:t>
                  </w:r>
                  <w:r w:rsidRPr="006624C0">
                    <w:t xml:space="preserve"> MW.</w:t>
                  </w:r>
                </w:p>
              </w:tc>
            </w:tr>
            <w:tr w:rsidR="008C5B01" w:rsidRPr="00B2348D" w14:paraId="340C8E15" w14:textId="77777777" w:rsidTr="001B737D">
              <w:trPr>
                <w:cantSplit/>
              </w:trPr>
              <w:tc>
                <w:tcPr>
                  <w:tcW w:w="1776" w:type="dxa"/>
                </w:tcPr>
                <w:p w14:paraId="0370AE49" w14:textId="77777777" w:rsidR="008C5B01" w:rsidRPr="00B2348D" w:rsidRDefault="008C5B01" w:rsidP="008C5B01">
                  <w:pPr>
                    <w:pStyle w:val="TableBody"/>
                    <w:rPr>
                      <w:i/>
                    </w:rPr>
                  </w:pPr>
                  <w:r>
                    <w:rPr>
                      <w:i/>
                    </w:rPr>
                    <w:t>q</w:t>
                  </w:r>
                </w:p>
              </w:tc>
              <w:tc>
                <w:tcPr>
                  <w:tcW w:w="892" w:type="dxa"/>
                </w:tcPr>
                <w:p w14:paraId="14DACB9D" w14:textId="77777777" w:rsidR="008C5B01" w:rsidRPr="00B2348D" w:rsidRDefault="008C5B01" w:rsidP="008C5B01">
                  <w:pPr>
                    <w:pStyle w:val="TableBody"/>
                  </w:pPr>
                  <w:r w:rsidRPr="006624C0">
                    <w:t>none</w:t>
                  </w:r>
                </w:p>
              </w:tc>
              <w:tc>
                <w:tcPr>
                  <w:tcW w:w="6695" w:type="dxa"/>
                </w:tcPr>
                <w:p w14:paraId="28C1F624" w14:textId="77777777" w:rsidR="008C5B01" w:rsidRPr="00B2348D" w:rsidRDefault="008C5B01" w:rsidP="008C5B01">
                  <w:pPr>
                    <w:pStyle w:val="TableBody"/>
                  </w:pPr>
                  <w:r w:rsidRPr="006624C0">
                    <w:t>A QSE.</w:t>
                  </w:r>
                </w:p>
              </w:tc>
            </w:tr>
            <w:tr w:rsidR="008C5B01" w:rsidRPr="00B2348D" w14:paraId="2C3C647E" w14:textId="77777777" w:rsidTr="001B737D">
              <w:trPr>
                <w:cantSplit/>
              </w:trPr>
              <w:tc>
                <w:tcPr>
                  <w:tcW w:w="1776" w:type="dxa"/>
                </w:tcPr>
                <w:p w14:paraId="60B38EA6" w14:textId="77777777" w:rsidR="008C5B01" w:rsidRPr="00B2348D" w:rsidRDefault="008C5B01" w:rsidP="008C5B01">
                  <w:pPr>
                    <w:pStyle w:val="TableBody"/>
                    <w:rPr>
                      <w:i/>
                    </w:rPr>
                  </w:pPr>
                  <w:r>
                    <w:rPr>
                      <w:i/>
                    </w:rPr>
                    <w:t>p</w:t>
                  </w:r>
                </w:p>
              </w:tc>
              <w:tc>
                <w:tcPr>
                  <w:tcW w:w="892" w:type="dxa"/>
                </w:tcPr>
                <w:p w14:paraId="63745A08" w14:textId="77777777" w:rsidR="008C5B01" w:rsidRPr="00B2348D" w:rsidRDefault="008C5B01" w:rsidP="008C5B01">
                  <w:pPr>
                    <w:pStyle w:val="TableBody"/>
                  </w:pPr>
                  <w:r w:rsidRPr="006624C0">
                    <w:t>none</w:t>
                  </w:r>
                </w:p>
              </w:tc>
              <w:tc>
                <w:tcPr>
                  <w:tcW w:w="6695" w:type="dxa"/>
                </w:tcPr>
                <w:p w14:paraId="01AEDC0C" w14:textId="77777777" w:rsidR="008C5B01" w:rsidRPr="00B2348D" w:rsidRDefault="008C5B01" w:rsidP="008C5B01">
                  <w:pPr>
                    <w:pStyle w:val="TableBody"/>
                  </w:pPr>
                  <w:r w:rsidRPr="006624C0">
                    <w:t>A Settlement Point.</w:t>
                  </w:r>
                </w:p>
              </w:tc>
            </w:tr>
            <w:tr w:rsidR="008C5B01" w:rsidRPr="00B2348D" w14:paraId="37A9FCAE" w14:textId="77777777" w:rsidTr="001B737D">
              <w:trPr>
                <w:cantSplit/>
              </w:trPr>
              <w:tc>
                <w:tcPr>
                  <w:tcW w:w="1776" w:type="dxa"/>
                </w:tcPr>
                <w:p w14:paraId="23E80F18" w14:textId="77777777" w:rsidR="008C5B01" w:rsidRPr="00B2348D" w:rsidRDefault="008C5B01" w:rsidP="008C5B01">
                  <w:pPr>
                    <w:pStyle w:val="TableBody"/>
                    <w:tabs>
                      <w:tab w:val="right" w:pos="9360"/>
                    </w:tabs>
                    <w:rPr>
                      <w:i/>
                    </w:rPr>
                  </w:pPr>
                  <w:r>
                    <w:rPr>
                      <w:i/>
                    </w:rPr>
                    <w:t>r</w:t>
                  </w:r>
                </w:p>
              </w:tc>
              <w:tc>
                <w:tcPr>
                  <w:tcW w:w="892" w:type="dxa"/>
                </w:tcPr>
                <w:p w14:paraId="1897C39E" w14:textId="77777777" w:rsidR="008C5B01" w:rsidRPr="00B2348D" w:rsidRDefault="008C5B01" w:rsidP="008C5B01">
                  <w:pPr>
                    <w:pStyle w:val="TableBody"/>
                    <w:tabs>
                      <w:tab w:val="right" w:pos="9360"/>
                    </w:tabs>
                  </w:pPr>
                  <w:r w:rsidRPr="006624C0">
                    <w:t>none</w:t>
                  </w:r>
                </w:p>
              </w:tc>
              <w:tc>
                <w:tcPr>
                  <w:tcW w:w="6695" w:type="dxa"/>
                </w:tcPr>
                <w:p w14:paraId="11384B35" w14:textId="0B03D819" w:rsidR="008C5B01" w:rsidRPr="00B2348D" w:rsidRDefault="008C5B01" w:rsidP="00D24997">
                  <w:pPr>
                    <w:pStyle w:val="TableBody"/>
                    <w:tabs>
                      <w:tab w:val="right" w:pos="9360"/>
                    </w:tabs>
                    <w:rPr>
                      <w:lang w:val="fr-FR"/>
                    </w:rPr>
                  </w:pPr>
                  <w:r>
                    <w:rPr>
                      <w:lang w:val="fr-FR"/>
                    </w:rPr>
                    <w:t>A</w:t>
                  </w:r>
                  <w:r w:rsidR="00D24997">
                    <w:rPr>
                      <w:lang w:val="fr-FR"/>
                    </w:rPr>
                    <w:t>n</w:t>
                  </w:r>
                  <w:r>
                    <w:rPr>
                      <w:lang w:val="fr-FR"/>
                    </w:rPr>
                    <w:t xml:space="preserve"> ESR. </w:t>
                  </w:r>
                </w:p>
              </w:tc>
            </w:tr>
            <w:tr w:rsidR="008C5B01" w:rsidRPr="00B2348D" w14:paraId="50838714"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1A0304D8" w14:textId="77777777" w:rsidR="008C5B01" w:rsidRPr="00B2348D" w:rsidRDefault="008C5B01" w:rsidP="008C5B01">
                  <w:pPr>
                    <w:pStyle w:val="TableBody"/>
                    <w:rPr>
                      <w:i/>
                    </w:rPr>
                  </w:pPr>
                  <w:r>
                    <w:rPr>
                      <w:i/>
                    </w:rPr>
                    <w:t xml:space="preserve">y </w:t>
                  </w:r>
                </w:p>
              </w:tc>
              <w:tc>
                <w:tcPr>
                  <w:tcW w:w="892" w:type="dxa"/>
                  <w:tcBorders>
                    <w:top w:val="single" w:sz="4" w:space="0" w:color="auto"/>
                    <w:left w:val="single" w:sz="4" w:space="0" w:color="auto"/>
                    <w:bottom w:val="single" w:sz="4" w:space="0" w:color="auto"/>
                    <w:right w:val="single" w:sz="4" w:space="0" w:color="auto"/>
                  </w:tcBorders>
                </w:tcPr>
                <w:p w14:paraId="00DD92D6" w14:textId="77777777" w:rsidR="008C5B01" w:rsidRPr="00B2348D" w:rsidRDefault="008C5B01" w:rsidP="008C5B01">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4F56D057" w14:textId="77777777" w:rsidR="008C5B01" w:rsidRPr="00B2348D" w:rsidRDefault="008C5B01" w:rsidP="008C5B01">
                  <w:pPr>
                    <w:pStyle w:val="TableBody"/>
                  </w:pPr>
                  <w:r w:rsidRPr="006624C0">
                    <w:t xml:space="preserve">A five-minute clock interval in the Settlement Interval. </w:t>
                  </w:r>
                </w:p>
              </w:tc>
            </w:tr>
            <w:tr w:rsidR="008C5B01" w:rsidRPr="00B2348D" w14:paraId="5790C678"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60E1D7AA" w14:textId="77777777" w:rsidR="008C5B01" w:rsidRPr="00B2348D" w:rsidDel="00714336" w:rsidRDefault="008C5B01" w:rsidP="008C5B01">
                  <w:pPr>
                    <w:pStyle w:val="TableBody"/>
                    <w:rPr>
                      <w:i/>
                    </w:rPr>
                  </w:pPr>
                  <w:r>
                    <w:rPr>
                      <w:i/>
                    </w:rPr>
                    <w:t>i</w:t>
                  </w:r>
                </w:p>
              </w:tc>
              <w:tc>
                <w:tcPr>
                  <w:tcW w:w="892" w:type="dxa"/>
                  <w:tcBorders>
                    <w:top w:val="single" w:sz="4" w:space="0" w:color="auto"/>
                    <w:left w:val="single" w:sz="4" w:space="0" w:color="auto"/>
                    <w:bottom w:val="single" w:sz="4" w:space="0" w:color="auto"/>
                    <w:right w:val="single" w:sz="4" w:space="0" w:color="auto"/>
                  </w:tcBorders>
                </w:tcPr>
                <w:p w14:paraId="531B86F3" w14:textId="77777777" w:rsidR="008C5B01" w:rsidRPr="00B2348D" w:rsidDel="00714336" w:rsidRDefault="008C5B01" w:rsidP="008C5B01">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6214EB39" w14:textId="77777777" w:rsidR="008C5B01" w:rsidRPr="00B2348D" w:rsidDel="00714336" w:rsidRDefault="008C5B01" w:rsidP="008C5B01">
                  <w:pPr>
                    <w:pStyle w:val="TableBody"/>
                  </w:pPr>
                  <w:r w:rsidRPr="006624C0">
                    <w:t>A 15-minute Settlement Interval.</w:t>
                  </w:r>
                </w:p>
              </w:tc>
            </w:tr>
          </w:tbl>
          <w:p w14:paraId="083FD023" w14:textId="77777777" w:rsidR="002704CF" w:rsidRPr="00B37C4B" w:rsidRDefault="002704CF" w:rsidP="002704CF">
            <w:pPr>
              <w:pStyle w:val="Instructions"/>
              <w:spacing w:before="120"/>
            </w:pPr>
          </w:p>
        </w:tc>
      </w:tr>
    </w:tbl>
    <w:p w14:paraId="4C2010B9" w14:textId="77777777" w:rsidR="002704CF" w:rsidRDefault="002704CF" w:rsidP="002704CF"/>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2704CF" w14:paraId="150E4F09" w14:textId="77777777" w:rsidTr="00135A7D">
        <w:tc>
          <w:tcPr>
            <w:tcW w:w="10055" w:type="dxa"/>
            <w:tcBorders>
              <w:top w:val="single" w:sz="4" w:space="0" w:color="auto"/>
              <w:left w:val="single" w:sz="4" w:space="0" w:color="auto"/>
              <w:bottom w:val="single" w:sz="4" w:space="0" w:color="auto"/>
              <w:right w:val="single" w:sz="4" w:space="0" w:color="auto"/>
            </w:tcBorders>
            <w:shd w:val="pct12" w:color="auto" w:fill="auto"/>
          </w:tcPr>
          <w:p w14:paraId="052E65F9" w14:textId="4846839E" w:rsidR="002704CF" w:rsidRDefault="002704CF" w:rsidP="001B737D">
            <w:pPr>
              <w:pStyle w:val="Instructions"/>
              <w:spacing w:before="120"/>
            </w:pPr>
            <w:r>
              <w:lastRenderedPageBreak/>
              <w:t>[NPRR963</w:t>
            </w:r>
            <w:r w:rsidR="00D24997">
              <w:t xml:space="preserve">, </w:t>
            </w:r>
            <w:r w:rsidR="00EA6FD7">
              <w:t>NPRR1010</w:t>
            </w:r>
            <w:r w:rsidR="008F4B78">
              <w:t xml:space="preserve">, </w:t>
            </w:r>
            <w:r w:rsidR="00D24997">
              <w:t>NPRR1014</w:t>
            </w:r>
            <w:r w:rsidR="008F4B78">
              <w:t>, and NPRR1029</w:t>
            </w:r>
            <w:r>
              <w:t xml:space="preserve">:  Insert </w:t>
            </w:r>
            <w:r w:rsidR="00EA6FD7">
              <w:t xml:space="preserve">applicable portions of </w:t>
            </w:r>
            <w:r>
              <w:t>Section 6.6.5.5.1 below upon system implementation</w:t>
            </w:r>
            <w:r w:rsidR="00EA6FD7">
              <w:t xml:space="preserve"> for NPRR963</w:t>
            </w:r>
            <w:r w:rsidR="008F4B78">
              <w:t>,</w:t>
            </w:r>
            <w:r w:rsidR="00D24997">
              <w:t xml:space="preserve"> NPRR1014</w:t>
            </w:r>
            <w:r w:rsidR="008F4B78">
              <w:t>, or NPRR1029</w:t>
            </w:r>
            <w:r w:rsidR="00EA6FD7">
              <w:t>; or upon system implementation of the Real-Time Co-Optimization (RTC) project for NPRR1010</w:t>
            </w:r>
            <w:r>
              <w:t>:]</w:t>
            </w:r>
          </w:p>
          <w:p w14:paraId="506D59F6" w14:textId="2D85E863" w:rsidR="008C5B01" w:rsidRDefault="008C5B01" w:rsidP="008C5B01">
            <w:pPr>
              <w:pStyle w:val="BodyText"/>
              <w:tabs>
                <w:tab w:val="left" w:pos="1230"/>
              </w:tabs>
              <w:spacing w:before="480"/>
              <w:ind w:left="1166" w:hanging="1166"/>
              <w:outlineLvl w:val="3"/>
              <w:rPr>
                <w:b/>
                <w:lang w:val="fr-FR"/>
              </w:rPr>
            </w:pPr>
            <w:bookmarkStart w:id="2219" w:name="_Toc60040701"/>
            <w:bookmarkStart w:id="2220" w:name="_Toc65151760"/>
            <w:bookmarkStart w:id="2221" w:name="_Toc80174786"/>
            <w:bookmarkStart w:id="2222" w:name="_Toc112417666"/>
            <w:bookmarkStart w:id="2223" w:name="_Toc119310335"/>
            <w:bookmarkStart w:id="2224" w:name="_Toc125966268"/>
            <w:bookmarkStart w:id="2225" w:name="_Toc135992366"/>
            <w:bookmarkStart w:id="2226" w:name="_Toc170303562"/>
            <w:bookmarkStart w:id="2227" w:name="_Toc175157466"/>
            <w:bookmarkStart w:id="2228" w:name="_Toc204411695"/>
            <w:r>
              <w:rPr>
                <w:b/>
                <w:lang w:val="fr-FR"/>
              </w:rPr>
              <w:t>6.6.5.5.1</w:t>
            </w:r>
            <w:r w:rsidRPr="00A87708">
              <w:rPr>
                <w:b/>
                <w:lang w:val="fr-FR"/>
              </w:rPr>
              <w:tab/>
            </w:r>
            <w:r>
              <w:rPr>
                <w:b/>
                <w:lang w:val="fr-FR"/>
              </w:rPr>
              <w:t xml:space="preserve">Energy Storage Resource </w:t>
            </w:r>
            <w:r w:rsidR="00EA6FD7">
              <w:rPr>
                <w:b/>
                <w:lang w:val="fr-FR"/>
              </w:rPr>
              <w:t>Set</w:t>
            </w:r>
            <w:r w:rsidRPr="000468AC">
              <w:rPr>
                <w:b/>
                <w:lang w:val="fr-FR"/>
              </w:rPr>
              <w:t xml:space="preserve"> Point Deviation</w:t>
            </w:r>
            <w:r w:rsidRPr="00A87708">
              <w:rPr>
                <w:b/>
                <w:lang w:val="fr-FR"/>
              </w:rPr>
              <w:t xml:space="preserve"> Charge</w:t>
            </w:r>
            <w:r>
              <w:rPr>
                <w:b/>
                <w:lang w:val="fr-FR"/>
              </w:rPr>
              <w:t xml:space="preserve"> for Under Performance</w:t>
            </w:r>
            <w:bookmarkEnd w:id="2219"/>
            <w:bookmarkEnd w:id="2220"/>
            <w:bookmarkEnd w:id="2221"/>
            <w:bookmarkEnd w:id="2222"/>
            <w:bookmarkEnd w:id="2223"/>
            <w:bookmarkEnd w:id="2224"/>
            <w:bookmarkEnd w:id="2225"/>
            <w:bookmarkEnd w:id="2226"/>
            <w:bookmarkEnd w:id="2227"/>
            <w:bookmarkEnd w:id="2228"/>
          </w:p>
          <w:p w14:paraId="5C56B2E3" w14:textId="6D2FF0BE" w:rsidR="00667495" w:rsidRDefault="008C5B01" w:rsidP="008C5B01">
            <w:pPr>
              <w:pStyle w:val="BodyTextNumbered"/>
            </w:pPr>
            <w:r>
              <w:t>(1)</w:t>
            </w:r>
            <w:r>
              <w:tab/>
              <w:t xml:space="preserve">ERCOT shall charge a QSE for an ESR a </w:t>
            </w:r>
            <w:r w:rsidR="0018785B">
              <w:t>Set</w:t>
            </w:r>
            <w:r>
              <w:t xml:space="preserve"> Point Deviation Charge for under-performance if the telemetered generation </w:t>
            </w:r>
            <w:r w:rsidR="00667495">
              <w:t>or</w:t>
            </w:r>
            <w:r>
              <w:t xml:space="preserve"> consumption is below the </w:t>
            </w:r>
            <w:r w:rsidR="00667495">
              <w:t>specified</w:t>
            </w:r>
            <w:r>
              <w:t xml:space="preserve"> tolerance.  </w:t>
            </w:r>
          </w:p>
          <w:p w14:paraId="6126128E" w14:textId="7C58C203" w:rsidR="00667495" w:rsidRPr="00A552C3" w:rsidRDefault="00667495" w:rsidP="00667495">
            <w:pPr>
              <w:pStyle w:val="BodyTextNumbered"/>
            </w:pPr>
            <w:r>
              <w:t xml:space="preserve">(2) </w:t>
            </w:r>
            <w:r>
              <w:tab/>
            </w:r>
            <w:r w:rsidR="008C5B01">
              <w:t>The tolerance is the lesser of</w:t>
            </w:r>
            <w:r>
              <w:t xml:space="preserve"> </w:t>
            </w:r>
            <w:r w:rsidR="008C5B01">
              <w:t xml:space="preserve">3% of the </w:t>
            </w:r>
            <w:r w:rsidR="00EA6FD7">
              <w:t>AASP</w:t>
            </w:r>
            <w:r w:rsidR="008C5B01">
              <w:t xml:space="preserve"> for the ESR in the Settlement Interval</w:t>
            </w:r>
            <w:r>
              <w:t>,</w:t>
            </w:r>
            <w:r w:rsidR="008C5B01">
              <w:t xml:space="preserve"> or</w:t>
            </w:r>
            <w:r>
              <w:t xml:space="preserve"> t</w:t>
            </w:r>
            <w:r w:rsidR="008C5B01">
              <w:t xml:space="preserve">hree MW below the </w:t>
            </w:r>
            <w:r w:rsidR="00EA6FD7">
              <w:t>AASP</w:t>
            </w:r>
            <w:r w:rsidR="008C5B01">
              <w:t xml:space="preserve"> for the ESR in the Settlement Interval</w:t>
            </w:r>
            <w:r w:rsidRPr="00A552C3">
              <w:t>, if the Resource meets the following conditions:</w:t>
            </w:r>
          </w:p>
          <w:p w14:paraId="0CA2AD00" w14:textId="77777777" w:rsidR="00667495" w:rsidRPr="00A552C3" w:rsidRDefault="00667495" w:rsidP="00667495">
            <w:pPr>
              <w:pStyle w:val="BodyTextNumbered"/>
              <w:ind w:left="1440"/>
            </w:pPr>
            <w:r w:rsidRPr="00A552C3">
              <w:t>(a)</w:t>
            </w:r>
            <w:r w:rsidRPr="00A552C3">
              <w:rPr>
                <w:iCs/>
              </w:rPr>
              <w:tab/>
            </w:r>
            <w:r w:rsidRPr="00A552C3">
              <w:t xml:space="preserve">The ESR is not a DC-Coupled Resource; or </w:t>
            </w:r>
          </w:p>
          <w:p w14:paraId="5AD4FDAC" w14:textId="57D3A38D" w:rsidR="008C5B01" w:rsidRDefault="00667495" w:rsidP="00986DDA">
            <w:pPr>
              <w:pStyle w:val="BodyTextNumbered"/>
              <w:ind w:left="1440"/>
            </w:pPr>
            <w:r w:rsidRPr="00A552C3">
              <w:t>(b)</w:t>
            </w:r>
            <w:r w:rsidRPr="00A552C3">
              <w:rPr>
                <w:iCs/>
              </w:rPr>
              <w:tab/>
            </w:r>
            <w:r w:rsidRPr="00A552C3">
              <w:t>The ESR is a DC-Coupled Resource and meets the conditions to be treated in the same manner as an ESR as specified in paragraph (1) of Section 3.8.7, DC-Coupled Resources, anytime during the Settlement Interval</w:t>
            </w:r>
            <w:r w:rsidR="008C5B01">
              <w:t xml:space="preserve">. </w:t>
            </w:r>
          </w:p>
          <w:p w14:paraId="38149C95" w14:textId="482E2AA8" w:rsidR="008C5B01" w:rsidRPr="000149E5" w:rsidRDefault="008C5B01" w:rsidP="008C5B01">
            <w:pPr>
              <w:pStyle w:val="BodyTextNumbered"/>
              <w:rPr>
                <w:iCs/>
              </w:rPr>
            </w:pPr>
            <w:r w:rsidRPr="000149E5">
              <w:rPr>
                <w:iCs/>
              </w:rPr>
              <w:t>(</w:t>
            </w:r>
            <w:r w:rsidR="00667495">
              <w:rPr>
                <w:iCs/>
              </w:rPr>
              <w:t>3</w:t>
            </w:r>
            <w:r w:rsidRPr="000149E5">
              <w:rPr>
                <w:iCs/>
              </w:rPr>
              <w:t>)</w:t>
            </w:r>
            <w:r w:rsidRPr="000149E5">
              <w:rPr>
                <w:iCs/>
              </w:rPr>
              <w:tab/>
            </w:r>
            <w:r>
              <w:rPr>
                <w:iCs/>
              </w:rPr>
              <w:t xml:space="preserve">The deviation </w:t>
            </w:r>
            <w:r w:rsidR="00667495">
              <w:rPr>
                <w:iCs/>
              </w:rPr>
              <w:t>charge</w:t>
            </w:r>
            <w:r>
              <w:rPr>
                <w:iCs/>
              </w:rPr>
              <w:t xml:space="preserve"> for under-performance for each </w:t>
            </w:r>
            <w:r w:rsidR="00667495">
              <w:rPr>
                <w:iCs/>
              </w:rPr>
              <w:t>QSE for each</w:t>
            </w:r>
            <w:r>
              <w:rPr>
                <w:iCs/>
              </w:rPr>
              <w:t xml:space="preserve"> ESR</w:t>
            </w:r>
            <w:r w:rsidR="00667495" w:rsidRPr="00A552C3">
              <w:rPr>
                <w:iCs/>
              </w:rPr>
              <w:t xml:space="preserve"> at each Resource Node Settlement Point will be calculated</w:t>
            </w:r>
            <w:r>
              <w:rPr>
                <w:iCs/>
              </w:rPr>
              <w:t xml:space="preserve"> as follows:</w:t>
            </w:r>
          </w:p>
          <w:p w14:paraId="09C7C597" w14:textId="2E273E75" w:rsidR="008C5B01" w:rsidRPr="002401F7" w:rsidRDefault="00EA6FD7" w:rsidP="008C5B01">
            <w:pPr>
              <w:pStyle w:val="BodyTextNumbered"/>
              <w:ind w:left="1440"/>
              <w:rPr>
                <w:b/>
                <w:i/>
                <w:vertAlign w:val="subscript"/>
              </w:rPr>
            </w:pPr>
            <w:r>
              <w:rPr>
                <w:b/>
                <w:lang w:val="pt-BR"/>
              </w:rPr>
              <w:t>S</w:t>
            </w:r>
            <w:r w:rsidR="008C5B01" w:rsidRPr="002401F7">
              <w:rPr>
                <w:b/>
                <w:lang w:val="pt-BR"/>
              </w:rPr>
              <w:t>PDAMT</w:t>
            </w:r>
            <w:r w:rsidR="008C5B01" w:rsidRPr="00AF0A36">
              <w:rPr>
                <w:b/>
                <w:i/>
                <w:vertAlign w:val="subscript"/>
                <w:lang w:val="pt-BR"/>
              </w:rPr>
              <w:t xml:space="preserve"> q, r, p, i</w:t>
            </w:r>
            <w:r w:rsidR="008C5B01" w:rsidRPr="002401F7">
              <w:rPr>
                <w:b/>
                <w:lang w:val="pt-BR"/>
              </w:rPr>
              <w:t xml:space="preserve"> =</w:t>
            </w:r>
            <w:r w:rsidR="008C5B01" w:rsidRPr="002401F7">
              <w:rPr>
                <w:b/>
                <w:lang w:val="pt-BR"/>
              </w:rPr>
              <w:tab/>
              <w:t xml:space="preserve">(-1) * </w:t>
            </w:r>
            <w:r w:rsidR="008C5B01" w:rsidRPr="002401F7">
              <w:rPr>
                <w:b/>
              </w:rPr>
              <w:t xml:space="preserve">Min (PR4, RTSPP </w:t>
            </w:r>
            <w:r w:rsidR="008C5B01" w:rsidRPr="002401F7">
              <w:rPr>
                <w:b/>
                <w:i/>
                <w:vertAlign w:val="subscript"/>
              </w:rPr>
              <w:t>p, i</w:t>
            </w:r>
            <w:r w:rsidR="008C5B01" w:rsidRPr="002401F7">
              <w:rPr>
                <w:b/>
              </w:rPr>
              <w:t>) * Min (1, KP2) * UPESR</w:t>
            </w:r>
            <w:r w:rsidR="008C5B01" w:rsidRPr="002401F7">
              <w:rPr>
                <w:b/>
                <w:sz w:val="18"/>
                <w:szCs w:val="18"/>
                <w:vertAlign w:val="subscript"/>
              </w:rPr>
              <w:t xml:space="preserve"> </w:t>
            </w:r>
            <w:r w:rsidR="008C5B01" w:rsidRPr="002401F7">
              <w:rPr>
                <w:b/>
                <w:i/>
                <w:vertAlign w:val="subscript"/>
              </w:rPr>
              <w:t>q, r, p, i</w:t>
            </w:r>
          </w:p>
          <w:p w14:paraId="4FF3F3F1" w14:textId="77777777" w:rsidR="008C5B01" w:rsidRDefault="008C5B01" w:rsidP="008C5B01">
            <w:pPr>
              <w:pStyle w:val="BodyTextNumbered"/>
              <w:ind w:left="1440"/>
              <w:rPr>
                <w:lang w:val="pt-BR"/>
              </w:rPr>
            </w:pPr>
            <w:r>
              <w:rPr>
                <w:lang w:val="pt-BR"/>
              </w:rPr>
              <w:t xml:space="preserve">Where: </w:t>
            </w:r>
          </w:p>
          <w:p w14:paraId="2C8FFE4D" w14:textId="77777777" w:rsidR="00667495" w:rsidRPr="00A552C3" w:rsidRDefault="00667495" w:rsidP="00667495">
            <w:pPr>
              <w:spacing w:after="240"/>
              <w:ind w:left="1440" w:hanging="720"/>
              <w:rPr>
                <w:lang w:val="pt-BR"/>
              </w:rPr>
            </w:pPr>
            <w:r w:rsidRPr="00A552C3">
              <w:rPr>
                <w:iCs/>
                <w:lang w:val="pt-BR"/>
              </w:rPr>
              <w:t xml:space="preserve">If the ESR meets the conditions of paragraph (2) above, then: </w:t>
            </w:r>
          </w:p>
          <w:p w14:paraId="5CE24655" w14:textId="4B51CD3B" w:rsidR="008C5B01" w:rsidRPr="00E87187" w:rsidRDefault="008C5B01" w:rsidP="008C5B01">
            <w:pPr>
              <w:pStyle w:val="BodyTextNumbered"/>
              <w:ind w:left="2880" w:hanging="2160"/>
              <w:rPr>
                <w:lang w:val="pt-BR"/>
              </w:rPr>
            </w:pPr>
            <w:r>
              <w:t>UPESR</w:t>
            </w:r>
            <w:r w:rsidRPr="005E75FD">
              <w:rPr>
                <w:i/>
                <w:vertAlign w:val="subscript"/>
              </w:rPr>
              <w:t xml:space="preserve"> </w:t>
            </w:r>
            <w:r w:rsidRPr="006624C0">
              <w:rPr>
                <w:i/>
                <w:vertAlign w:val="subscript"/>
              </w:rPr>
              <w:t xml:space="preserve">q, r, p, </w:t>
            </w:r>
            <w:r>
              <w:rPr>
                <w:i/>
                <w:vertAlign w:val="subscript"/>
              </w:rPr>
              <w:t xml:space="preserve">i </w:t>
            </w:r>
            <w:r>
              <w:t xml:space="preserve">    = </w:t>
            </w:r>
            <w:r>
              <w:tab/>
              <w:t>Max [0, ¼ * Min [(AA</w:t>
            </w:r>
            <w:r w:rsidR="00EA6FD7">
              <w:t>S</w:t>
            </w:r>
            <w:r>
              <w:t>P</w:t>
            </w:r>
            <w:r w:rsidRPr="003B26B2">
              <w:rPr>
                <w:i/>
                <w:vertAlign w:val="subscript"/>
                <w:lang w:val="pt-BR"/>
              </w:rPr>
              <w:t xml:space="preserve"> </w:t>
            </w:r>
            <w:r w:rsidRPr="00A261C3">
              <w:rPr>
                <w:i/>
                <w:vertAlign w:val="subscript"/>
                <w:lang w:val="pt-BR"/>
              </w:rPr>
              <w:t>q,</w:t>
            </w:r>
            <w:r>
              <w:rPr>
                <w:i/>
                <w:vertAlign w:val="subscript"/>
                <w:lang w:val="pt-BR"/>
              </w:rPr>
              <w:t xml:space="preserve"> </w:t>
            </w:r>
            <w:r w:rsidR="00986DDA">
              <w:rPr>
                <w:i/>
                <w:vertAlign w:val="subscript"/>
                <w:lang w:val="pt-BR"/>
              </w:rPr>
              <w:t>r</w:t>
            </w:r>
            <w:r w:rsidRPr="00A261C3">
              <w:rPr>
                <w:i/>
                <w:vertAlign w:val="subscript"/>
                <w:lang w:val="pt-BR"/>
              </w:rPr>
              <w:t>,</w:t>
            </w:r>
            <w:r>
              <w:rPr>
                <w:i/>
                <w:vertAlign w:val="subscript"/>
                <w:lang w:val="pt-BR"/>
              </w:rPr>
              <w:t xml:space="preserve"> p,</w:t>
            </w:r>
            <w:r w:rsidRPr="00A261C3">
              <w:rPr>
                <w:i/>
                <w:vertAlign w:val="subscript"/>
                <w:lang w:val="pt-BR"/>
              </w:rPr>
              <w:t xml:space="preserve"> i</w:t>
            </w:r>
            <w:r>
              <w:t xml:space="preserve"> - ABS (K4 * AA</w:t>
            </w:r>
            <w:r w:rsidR="00EA6FD7">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986DDA">
              <w:rPr>
                <w:i/>
                <w:vertAlign w:val="subscript"/>
                <w:lang w:val="pt-BR"/>
              </w:rPr>
              <w:t>r</w:t>
            </w:r>
            <w:r w:rsidRPr="00A261C3">
              <w:rPr>
                <w:i/>
                <w:vertAlign w:val="subscript"/>
                <w:lang w:val="pt-BR"/>
              </w:rPr>
              <w:t xml:space="preserve">, </w:t>
            </w:r>
            <w:r>
              <w:rPr>
                <w:i/>
                <w:vertAlign w:val="subscript"/>
                <w:lang w:val="pt-BR"/>
              </w:rPr>
              <w:t xml:space="preserve">p, </w:t>
            </w:r>
            <w:r w:rsidRPr="00A261C3">
              <w:rPr>
                <w:i/>
                <w:vertAlign w:val="subscript"/>
                <w:lang w:val="pt-BR"/>
              </w:rPr>
              <w:t>i</w:t>
            </w:r>
            <w:r>
              <w:rPr>
                <w:lang w:val="pt-BR"/>
              </w:rPr>
              <w:t>))</w:t>
            </w:r>
            <w:r>
              <w:t>, (AA</w:t>
            </w:r>
            <w:r w:rsidR="00EA6FD7">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986DDA">
              <w:rPr>
                <w:i/>
                <w:vertAlign w:val="subscript"/>
                <w:lang w:val="pt-BR"/>
              </w:rPr>
              <w:t>r</w:t>
            </w:r>
            <w:r w:rsidRPr="00A261C3">
              <w:rPr>
                <w:i/>
                <w:vertAlign w:val="subscript"/>
                <w:lang w:val="pt-BR"/>
              </w:rPr>
              <w:t>,</w:t>
            </w:r>
            <w:r>
              <w:rPr>
                <w:i/>
                <w:vertAlign w:val="subscript"/>
                <w:lang w:val="pt-BR"/>
              </w:rPr>
              <w:t xml:space="preserve"> p,</w:t>
            </w:r>
            <w:r w:rsidRPr="00A261C3">
              <w:rPr>
                <w:i/>
                <w:vertAlign w:val="subscript"/>
                <w:lang w:val="pt-BR"/>
              </w:rPr>
              <w:t xml:space="preserve"> i</w:t>
            </w:r>
            <w:r>
              <w:rPr>
                <w:i/>
                <w:vertAlign w:val="subscript"/>
                <w:lang w:val="pt-BR"/>
              </w:rPr>
              <w:t xml:space="preserve"> </w:t>
            </w:r>
            <w:r>
              <w:rPr>
                <w:lang w:val="pt-BR"/>
              </w:rPr>
              <w:t>- Q4)] -</w:t>
            </w:r>
            <w:r w:rsidRPr="009860B0">
              <w:t xml:space="preserve"> </w:t>
            </w:r>
            <w:r w:rsidR="00986DDA">
              <w:t>TWTG</w:t>
            </w:r>
            <w:r>
              <w:rPr>
                <w:i/>
                <w:vertAlign w:val="subscript"/>
              </w:rPr>
              <w:t xml:space="preserve"> q, </w:t>
            </w:r>
            <w:r w:rsidR="00986DDA">
              <w:rPr>
                <w:i/>
                <w:vertAlign w:val="subscript"/>
              </w:rPr>
              <w:t>r</w:t>
            </w:r>
            <w:r w:rsidRPr="00A261C3">
              <w:rPr>
                <w:i/>
                <w:vertAlign w:val="subscript"/>
              </w:rPr>
              <w:t>,</w:t>
            </w:r>
            <w:r w:rsidR="00986DDA">
              <w:rPr>
                <w:i/>
                <w:vertAlign w:val="subscript"/>
              </w:rPr>
              <w:t xml:space="preserve"> p,</w:t>
            </w:r>
            <w:r w:rsidRPr="00A261C3">
              <w:rPr>
                <w:i/>
                <w:vertAlign w:val="subscript"/>
              </w:rPr>
              <w:t xml:space="preserve"> i</w:t>
            </w:r>
            <w:r>
              <w:t>]</w:t>
            </w:r>
            <w:r>
              <w:rPr>
                <w:lang w:val="pt-BR"/>
              </w:rPr>
              <w:t xml:space="preserve"> </w:t>
            </w:r>
          </w:p>
          <w:p w14:paraId="711359C7" w14:textId="77777777" w:rsidR="00986DDA" w:rsidRPr="00A552C3" w:rsidRDefault="00986DDA" w:rsidP="00986DDA">
            <w:pPr>
              <w:tabs>
                <w:tab w:val="left" w:pos="2340"/>
                <w:tab w:val="left" w:pos="3420"/>
              </w:tabs>
              <w:spacing w:after="240"/>
              <w:ind w:left="2880" w:hanging="2160"/>
              <w:rPr>
                <w:bCs/>
              </w:rPr>
            </w:pPr>
            <w:r w:rsidRPr="00A552C3">
              <w:rPr>
                <w:bCs/>
              </w:rPr>
              <w:t xml:space="preserve">Else: </w:t>
            </w:r>
          </w:p>
          <w:p w14:paraId="0E681F68" w14:textId="77777777" w:rsidR="00986DDA" w:rsidRPr="00A552C3" w:rsidRDefault="00986DDA" w:rsidP="00986DDA">
            <w:pPr>
              <w:spacing w:after="240"/>
              <w:ind w:left="1440" w:hanging="720"/>
              <w:rPr>
                <w:iCs/>
                <w:lang w:val="pt-BR"/>
              </w:rPr>
            </w:pPr>
            <w:r w:rsidRPr="00A552C3">
              <w:rPr>
                <w:iCs/>
                <w:lang w:val="pt-BR"/>
              </w:rPr>
              <w:t>UPESR</w:t>
            </w:r>
            <w:r w:rsidRPr="00A552C3">
              <w:rPr>
                <w:i/>
                <w:iCs/>
                <w:vertAlign w:val="subscript"/>
              </w:rPr>
              <w:t xml:space="preserve"> q, r, p, i  </w:t>
            </w:r>
            <w:r w:rsidRPr="00A552C3">
              <w:rPr>
                <w:iCs/>
                <w:lang w:val="pt-BR"/>
              </w:rPr>
              <w:t>=</w:t>
            </w:r>
            <w:r w:rsidRPr="00A552C3">
              <w:rPr>
                <w:iCs/>
                <w:lang w:val="pt-BR"/>
              </w:rPr>
              <w:tab/>
              <w:t>0</w:t>
            </w:r>
          </w:p>
          <w:p w14:paraId="4B8992DA" w14:textId="77777777" w:rsidR="00986DDA" w:rsidRPr="00A552C3" w:rsidRDefault="00986DDA" w:rsidP="00986DDA">
            <w:pPr>
              <w:spacing w:after="240"/>
              <w:ind w:left="2880" w:hanging="2160"/>
              <w:rPr>
                <w:lang w:val="pt-BR"/>
              </w:rPr>
            </w:pPr>
            <w:r w:rsidRPr="00A552C3">
              <w:rPr>
                <w:iCs/>
                <w:lang w:val="pt-BR"/>
              </w:rPr>
              <w:t xml:space="preserve">Where: </w:t>
            </w:r>
          </w:p>
          <w:p w14:paraId="193F8766" w14:textId="77777777" w:rsidR="008C5B01" w:rsidRPr="00E87187" w:rsidRDefault="008C5B01" w:rsidP="008C5B01">
            <w:pPr>
              <w:pStyle w:val="Formula"/>
              <w:tabs>
                <w:tab w:val="clear" w:pos="2160"/>
                <w:tab w:val="left" w:pos="2340"/>
              </w:tabs>
              <w:ind w:left="2880" w:hanging="2160"/>
            </w:pPr>
            <w:r w:rsidRPr="009C51D8">
              <w:t>TWTG</w:t>
            </w:r>
            <w:r>
              <w:rPr>
                <w:i/>
                <w:vertAlign w:val="subscript"/>
              </w:rPr>
              <w:t xml:space="preserve"> q, r, p, i</w:t>
            </w:r>
            <w:r>
              <w:rPr>
                <w:i/>
                <w:vertAlign w:val="subscript"/>
              </w:rPr>
              <w:tab/>
            </w:r>
            <w:r w:rsidRPr="00E87187">
              <w:rPr>
                <w:i/>
              </w:rPr>
              <w:t xml:space="preserve">= </w:t>
            </w:r>
            <w:r w:rsidRPr="009C51D8">
              <w:rPr>
                <w:i/>
                <w:vertAlign w:val="subscript"/>
              </w:rPr>
              <w:t xml:space="preserve">     </w:t>
            </w:r>
            <w:r w:rsidRPr="009C51D8">
              <w:t xml:space="preserve"> (</w:t>
            </w:r>
            <w:r w:rsidRPr="009C51D8">
              <w:rPr>
                <w:position w:val="-22"/>
              </w:rPr>
              <w:object w:dxaOrig="210" w:dyaOrig="450" w14:anchorId="7F7541E1">
                <v:shape id="_x0000_i1195" type="#_x0000_t75" style="width:5.4pt;height:24.6pt" o:ole="">
                  <v:imagedata r:id="rId209" o:title=""/>
                </v:shape>
                <o:OLEObject Type="Embed" ProgID="Equation.3" ShapeID="_x0000_i1195" DrawAspect="Content" ObjectID="_1815025385" r:id="rId227"/>
              </w:object>
            </w:r>
            <w:r w:rsidRPr="009C51D8">
              <w:t xml:space="preserve"> (AVGTG5M</w:t>
            </w:r>
            <w:r w:rsidRPr="009C51D8">
              <w:rPr>
                <w:i/>
                <w:vertAlign w:val="subscript"/>
              </w:rPr>
              <w:t xml:space="preserve"> q, r, p, i, y</w:t>
            </w:r>
            <w:r w:rsidRPr="009C51D8">
              <w:t>) / 3) * ¼</w:t>
            </w:r>
          </w:p>
          <w:p w14:paraId="353A256E" w14:textId="77777777" w:rsidR="008C5B01" w:rsidRDefault="008C5B01" w:rsidP="008C5B01">
            <w: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482FEB" w:rsidRPr="00B2348D" w14:paraId="00521888" w14:textId="77777777" w:rsidTr="001B737D">
              <w:trPr>
                <w:cantSplit/>
                <w:tblHeader/>
              </w:trPr>
              <w:tc>
                <w:tcPr>
                  <w:tcW w:w="1776" w:type="dxa"/>
                </w:tcPr>
                <w:p w14:paraId="1BB96BF0" w14:textId="77777777" w:rsidR="00482FEB" w:rsidRPr="00B2348D" w:rsidRDefault="00482FEB" w:rsidP="00482FEB">
                  <w:pPr>
                    <w:pStyle w:val="TableHead"/>
                    <w:tabs>
                      <w:tab w:val="right" w:pos="9360"/>
                    </w:tabs>
                  </w:pPr>
                  <w:r w:rsidRPr="006624C0">
                    <w:t>Variable</w:t>
                  </w:r>
                </w:p>
              </w:tc>
              <w:tc>
                <w:tcPr>
                  <w:tcW w:w="892" w:type="dxa"/>
                </w:tcPr>
                <w:p w14:paraId="336E9115" w14:textId="77777777" w:rsidR="00482FEB" w:rsidRPr="00B2348D" w:rsidRDefault="00482FEB" w:rsidP="00482FEB">
                  <w:pPr>
                    <w:pStyle w:val="TableHead"/>
                    <w:tabs>
                      <w:tab w:val="right" w:pos="9360"/>
                    </w:tabs>
                  </w:pPr>
                  <w:r w:rsidRPr="006624C0">
                    <w:t>Unit</w:t>
                  </w:r>
                </w:p>
              </w:tc>
              <w:tc>
                <w:tcPr>
                  <w:tcW w:w="6695" w:type="dxa"/>
                </w:tcPr>
                <w:p w14:paraId="33C0A3A1" w14:textId="77777777" w:rsidR="00482FEB" w:rsidRPr="00B2348D" w:rsidRDefault="00482FEB" w:rsidP="00482FEB">
                  <w:pPr>
                    <w:pStyle w:val="TableHead"/>
                    <w:tabs>
                      <w:tab w:val="right" w:pos="9360"/>
                    </w:tabs>
                  </w:pPr>
                  <w:r w:rsidRPr="006624C0">
                    <w:t>Definition</w:t>
                  </w:r>
                </w:p>
              </w:tc>
            </w:tr>
            <w:tr w:rsidR="00482FEB" w:rsidRPr="00B2348D" w14:paraId="19F8D04F" w14:textId="77777777" w:rsidTr="001B737D">
              <w:trPr>
                <w:cantSplit/>
              </w:trPr>
              <w:tc>
                <w:tcPr>
                  <w:tcW w:w="1776" w:type="dxa"/>
                </w:tcPr>
                <w:p w14:paraId="6883BFFE" w14:textId="2E5870D2" w:rsidR="00482FEB" w:rsidRPr="00B2348D" w:rsidRDefault="00EA6FD7" w:rsidP="00482FEB">
                  <w:pPr>
                    <w:pStyle w:val="TableBody"/>
                  </w:pPr>
                  <w:r>
                    <w:t>S</w:t>
                  </w:r>
                  <w:r w:rsidR="00482FEB" w:rsidRPr="006624C0">
                    <w:t xml:space="preserve">PDAMT </w:t>
                  </w:r>
                  <w:r w:rsidR="00482FEB" w:rsidRPr="006624C0">
                    <w:rPr>
                      <w:i/>
                      <w:vertAlign w:val="subscript"/>
                    </w:rPr>
                    <w:t>q, r, p, i</w:t>
                  </w:r>
                </w:p>
              </w:tc>
              <w:tc>
                <w:tcPr>
                  <w:tcW w:w="892" w:type="dxa"/>
                </w:tcPr>
                <w:p w14:paraId="21696205" w14:textId="77777777" w:rsidR="00482FEB" w:rsidRPr="00B2348D" w:rsidRDefault="00482FEB" w:rsidP="00482FEB">
                  <w:pPr>
                    <w:pStyle w:val="TableBody"/>
                  </w:pPr>
                  <w:r w:rsidRPr="006624C0">
                    <w:t>$</w:t>
                  </w:r>
                </w:p>
              </w:tc>
              <w:tc>
                <w:tcPr>
                  <w:tcW w:w="6695" w:type="dxa"/>
                </w:tcPr>
                <w:p w14:paraId="62E22D82" w14:textId="22E9BECD" w:rsidR="00482FEB" w:rsidRPr="00B2348D" w:rsidRDefault="00EA6FD7" w:rsidP="00986DDA">
                  <w:pPr>
                    <w:pStyle w:val="TableBody"/>
                  </w:pPr>
                  <w:r>
                    <w:rPr>
                      <w:i/>
                    </w:rPr>
                    <w:t>Set</w:t>
                  </w:r>
                  <w:r w:rsidR="00482FEB" w:rsidRPr="006624C0">
                    <w:rPr>
                      <w:i/>
                    </w:rPr>
                    <w:t xml:space="preserve"> Point Deviation Charge per QSE per Settlement Point per Resource</w:t>
                  </w:r>
                  <w:r w:rsidR="00482FEB" w:rsidRPr="006624C0">
                    <w:t xml:space="preserve">—The charge to QSE </w:t>
                  </w:r>
                  <w:r w:rsidR="00482FEB" w:rsidRPr="006624C0">
                    <w:rPr>
                      <w:i/>
                    </w:rPr>
                    <w:t>q</w:t>
                  </w:r>
                  <w:r w:rsidR="00482FEB" w:rsidRPr="006624C0">
                    <w:t xml:space="preserve"> for </w:t>
                  </w:r>
                  <w:r w:rsidR="00482FEB">
                    <w:t xml:space="preserve">Resource </w:t>
                  </w:r>
                  <w:r w:rsidR="00482FEB">
                    <w:rPr>
                      <w:i/>
                    </w:rPr>
                    <w:t xml:space="preserve">r </w:t>
                  </w:r>
                  <w:r w:rsidR="00482FEB" w:rsidRPr="006624C0">
                    <w:t xml:space="preserve">at Resource Node </w:t>
                  </w:r>
                  <w:r w:rsidR="00482FEB" w:rsidRPr="006624C0">
                    <w:rPr>
                      <w:i/>
                    </w:rPr>
                    <w:t>p</w:t>
                  </w:r>
                  <w:r w:rsidR="00482FEB" w:rsidRPr="006624C0">
                    <w:t xml:space="preserve">, for its deviation from </w:t>
                  </w:r>
                  <w:r>
                    <w:t>AASP</w:t>
                  </w:r>
                  <w:r w:rsidR="00482FEB" w:rsidRPr="006624C0">
                    <w:t xml:space="preserve">, for the 15-minute Settlement Interval </w:t>
                  </w:r>
                  <w:r w:rsidR="00482FEB" w:rsidRPr="006624C0">
                    <w:rPr>
                      <w:i/>
                    </w:rPr>
                    <w:t>i</w:t>
                  </w:r>
                  <w:r w:rsidR="00482FEB" w:rsidRPr="006624C0">
                    <w:t xml:space="preserve">.  </w:t>
                  </w:r>
                </w:p>
              </w:tc>
            </w:tr>
            <w:tr w:rsidR="00482FEB" w:rsidRPr="00B2348D" w14:paraId="1A2978F4" w14:textId="77777777" w:rsidTr="001B737D">
              <w:trPr>
                <w:cantSplit/>
              </w:trPr>
              <w:tc>
                <w:tcPr>
                  <w:tcW w:w="1776" w:type="dxa"/>
                </w:tcPr>
                <w:p w14:paraId="795C38BE" w14:textId="77777777" w:rsidR="00482FEB" w:rsidRPr="00B2348D" w:rsidRDefault="00482FEB" w:rsidP="00482FEB">
                  <w:pPr>
                    <w:pStyle w:val="TableBody"/>
                  </w:pPr>
                  <w:r w:rsidRPr="006624C0">
                    <w:lastRenderedPageBreak/>
                    <w:t xml:space="preserve">RTSPP </w:t>
                  </w:r>
                  <w:r w:rsidRPr="006624C0">
                    <w:rPr>
                      <w:i/>
                      <w:vertAlign w:val="subscript"/>
                    </w:rPr>
                    <w:t>p, i</w:t>
                  </w:r>
                </w:p>
              </w:tc>
              <w:tc>
                <w:tcPr>
                  <w:tcW w:w="892" w:type="dxa"/>
                </w:tcPr>
                <w:p w14:paraId="61F9CD41" w14:textId="77777777" w:rsidR="00482FEB" w:rsidRPr="00B2348D" w:rsidRDefault="00482FEB" w:rsidP="00482FEB">
                  <w:pPr>
                    <w:pStyle w:val="TableBody"/>
                  </w:pPr>
                  <w:r w:rsidRPr="006624C0">
                    <w:t>$/MWh</w:t>
                  </w:r>
                </w:p>
              </w:tc>
              <w:tc>
                <w:tcPr>
                  <w:tcW w:w="6695" w:type="dxa"/>
                </w:tcPr>
                <w:p w14:paraId="474416BF" w14:textId="77777777" w:rsidR="00482FEB" w:rsidRPr="00B2348D" w:rsidRDefault="00482FEB" w:rsidP="00482FEB">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482FEB" w:rsidRPr="00B2348D" w14:paraId="0EDB2CA0" w14:textId="77777777" w:rsidTr="001B737D">
              <w:trPr>
                <w:cantSplit/>
              </w:trPr>
              <w:tc>
                <w:tcPr>
                  <w:tcW w:w="1776" w:type="dxa"/>
                </w:tcPr>
                <w:p w14:paraId="4DECD06B" w14:textId="77777777" w:rsidR="00482FEB" w:rsidRPr="00B2348D" w:rsidRDefault="00482FEB" w:rsidP="00482FEB">
                  <w:pPr>
                    <w:pStyle w:val="TableBody"/>
                  </w:pPr>
                  <w:r w:rsidRPr="00B2348D">
                    <w:t xml:space="preserve">TWTG </w:t>
                  </w:r>
                  <w:r w:rsidRPr="006624C0">
                    <w:rPr>
                      <w:i/>
                      <w:vertAlign w:val="subscript"/>
                    </w:rPr>
                    <w:t>q, r, p, i</w:t>
                  </w:r>
                </w:p>
              </w:tc>
              <w:tc>
                <w:tcPr>
                  <w:tcW w:w="892" w:type="dxa"/>
                </w:tcPr>
                <w:p w14:paraId="11047A5B" w14:textId="77777777" w:rsidR="00482FEB" w:rsidRPr="00B2348D" w:rsidRDefault="00482FEB" w:rsidP="00482FEB">
                  <w:pPr>
                    <w:pStyle w:val="TableBody"/>
                  </w:pPr>
                  <w:r w:rsidRPr="00B2348D">
                    <w:t>MWh</w:t>
                  </w:r>
                </w:p>
              </w:tc>
              <w:tc>
                <w:tcPr>
                  <w:tcW w:w="6695" w:type="dxa"/>
                </w:tcPr>
                <w:p w14:paraId="73D6B498" w14:textId="7C49764A" w:rsidR="00482FEB" w:rsidRPr="00B2348D" w:rsidRDefault="00482FEB" w:rsidP="00986DDA">
                  <w:pPr>
                    <w:pStyle w:val="TableBody"/>
                    <w:rPr>
                      <w:i/>
                    </w:rPr>
                  </w:pPr>
                  <w:r w:rsidRPr="00B2348D">
                    <w:rPr>
                      <w:i/>
                    </w:rPr>
                    <w:t>Time-Weighted Telemetered Generation per QSE per Settlement Point per Resource</w:t>
                  </w:r>
                  <w:r w:rsidRPr="00B2348D">
                    <w:t xml:space="preserve">—The telemetered generation </w:t>
                  </w:r>
                  <w:r w:rsidR="00986DDA">
                    <w:t xml:space="preserve">or consumption </w:t>
                  </w:r>
                  <w:r w:rsidRPr="00B2348D">
                    <w:t xml:space="preserve">of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t>
                  </w:r>
                </w:p>
              </w:tc>
            </w:tr>
            <w:tr w:rsidR="00482FEB" w:rsidRPr="00B2348D" w14:paraId="2094FBFB" w14:textId="77777777" w:rsidTr="001B737D">
              <w:trPr>
                <w:cantSplit/>
              </w:trPr>
              <w:tc>
                <w:tcPr>
                  <w:tcW w:w="1776" w:type="dxa"/>
                </w:tcPr>
                <w:p w14:paraId="094B9DEA" w14:textId="294C0173" w:rsidR="00482FEB" w:rsidRPr="00B2348D" w:rsidRDefault="00482FEB" w:rsidP="00EA6FD7">
                  <w:pPr>
                    <w:pStyle w:val="TableBody"/>
                  </w:pPr>
                  <w:r w:rsidRPr="00B2348D">
                    <w:t>AA</w:t>
                  </w:r>
                  <w:r w:rsidR="00EA6FD7">
                    <w:t>S</w:t>
                  </w:r>
                  <w:r w:rsidRPr="00B2348D">
                    <w:t>P</w:t>
                  </w:r>
                  <w:r>
                    <w:t xml:space="preserve"> </w:t>
                  </w:r>
                  <w:r w:rsidRPr="006624C0">
                    <w:rPr>
                      <w:i/>
                      <w:vertAlign w:val="subscript"/>
                    </w:rPr>
                    <w:t>q, r, p, i</w:t>
                  </w:r>
                </w:p>
              </w:tc>
              <w:tc>
                <w:tcPr>
                  <w:tcW w:w="892" w:type="dxa"/>
                </w:tcPr>
                <w:p w14:paraId="34F5DECB" w14:textId="77777777" w:rsidR="00482FEB" w:rsidRPr="00B2348D" w:rsidRDefault="00482FEB" w:rsidP="00482FEB">
                  <w:pPr>
                    <w:pStyle w:val="TableBody"/>
                  </w:pPr>
                  <w:r w:rsidRPr="00B2348D">
                    <w:t>MW</w:t>
                  </w:r>
                </w:p>
              </w:tc>
              <w:tc>
                <w:tcPr>
                  <w:tcW w:w="6695" w:type="dxa"/>
                </w:tcPr>
                <w:p w14:paraId="5770E1D8" w14:textId="636F2AE1" w:rsidR="00482FEB" w:rsidRPr="00B2348D" w:rsidRDefault="00EA6FD7" w:rsidP="00986DDA">
                  <w:pPr>
                    <w:pStyle w:val="TableBody"/>
                    <w:rPr>
                      <w:i/>
                    </w:rPr>
                  </w:pPr>
                  <w:r>
                    <w:rPr>
                      <w:i/>
                    </w:rPr>
                    <w:t>Average</w:t>
                  </w:r>
                  <w:r w:rsidR="00482FEB" w:rsidRPr="00B2348D">
                    <w:rPr>
                      <w:i/>
                    </w:rPr>
                    <w:t xml:space="preserve"> Aggregated </w:t>
                  </w:r>
                  <w:r>
                    <w:rPr>
                      <w:i/>
                    </w:rPr>
                    <w:t>Set</w:t>
                  </w:r>
                  <w:r w:rsidR="00482FEB" w:rsidRPr="00B2348D">
                    <w:rPr>
                      <w:i/>
                    </w:rPr>
                    <w:t xml:space="preserve"> Point per QSE per Settlement Point per Resource</w:t>
                  </w:r>
                  <w:r w:rsidR="00482FEB" w:rsidRPr="00B2348D">
                    <w:t xml:space="preserve">—The </w:t>
                  </w:r>
                  <w:r>
                    <w:rPr>
                      <w:iCs w:val="0"/>
                    </w:rPr>
                    <w:t>average of the Average Five Minute Clock Interval Set Point (AVGSP5M)</w:t>
                  </w:r>
                  <w:r w:rsidR="00482FEB" w:rsidRPr="00B2348D">
                    <w:t xml:space="preserve"> of </w:t>
                  </w:r>
                  <w:r w:rsidR="00482FEB">
                    <w:t xml:space="preserve">Resource </w:t>
                  </w:r>
                  <w:r w:rsidR="00482FEB" w:rsidRPr="00B2348D">
                    <w:rPr>
                      <w:i/>
                    </w:rPr>
                    <w:t>r</w:t>
                  </w:r>
                  <w:r w:rsidR="00482FEB" w:rsidRPr="00B2348D">
                    <w:t xml:space="preserve"> represented by QSE </w:t>
                  </w:r>
                  <w:r w:rsidR="00482FEB" w:rsidRPr="00B2348D">
                    <w:rPr>
                      <w:i/>
                    </w:rPr>
                    <w:t>q</w:t>
                  </w:r>
                  <w:r w:rsidR="00482FEB" w:rsidRPr="00B2348D">
                    <w:t xml:space="preserve"> at </w:t>
                  </w:r>
                  <w:r w:rsidR="00482FEB">
                    <w:t>Settlement Point</w:t>
                  </w:r>
                  <w:r w:rsidR="00482FEB" w:rsidRPr="00B2348D">
                    <w:t xml:space="preserve"> </w:t>
                  </w:r>
                  <w:r w:rsidR="00482FEB" w:rsidRPr="00B2348D">
                    <w:rPr>
                      <w:i/>
                    </w:rPr>
                    <w:t>p,</w:t>
                  </w:r>
                  <w:r w:rsidR="00482FEB" w:rsidRPr="00B2348D">
                    <w:t xml:space="preserve"> for the 15-minute Settlement Interval</w:t>
                  </w:r>
                  <w:r w:rsidR="00482FEB" w:rsidRPr="00B2348D">
                    <w:rPr>
                      <w:i/>
                    </w:rPr>
                    <w:t xml:space="preserve"> i</w:t>
                  </w:r>
                  <w:r w:rsidR="00482FEB" w:rsidRPr="00B2348D">
                    <w:t xml:space="preserve">.  </w:t>
                  </w:r>
                </w:p>
              </w:tc>
            </w:tr>
            <w:tr w:rsidR="00482FEB" w:rsidRPr="00B2348D" w14:paraId="284E0C0E" w14:textId="77777777" w:rsidTr="001B737D">
              <w:trPr>
                <w:cantSplit/>
              </w:trPr>
              <w:tc>
                <w:tcPr>
                  <w:tcW w:w="1776" w:type="dxa"/>
                </w:tcPr>
                <w:p w14:paraId="1C901A90" w14:textId="77777777" w:rsidR="00482FEB" w:rsidRPr="00B2348D" w:rsidRDefault="00482FEB" w:rsidP="00482FEB">
                  <w:pPr>
                    <w:pStyle w:val="TableBody"/>
                  </w:pPr>
                  <w:r w:rsidRPr="006624C0">
                    <w:t>AVGTG5M</w:t>
                  </w:r>
                  <w:r>
                    <w:t xml:space="preserve"> </w:t>
                  </w:r>
                  <w:r w:rsidRPr="006624C0">
                    <w:rPr>
                      <w:i/>
                      <w:vertAlign w:val="subscript"/>
                      <w:lang w:val="fr-FR"/>
                    </w:rPr>
                    <w:t>q, r, p, i, y</w:t>
                  </w:r>
                </w:p>
              </w:tc>
              <w:tc>
                <w:tcPr>
                  <w:tcW w:w="892" w:type="dxa"/>
                </w:tcPr>
                <w:p w14:paraId="5F57D6DC" w14:textId="77777777" w:rsidR="00482FEB" w:rsidRPr="00B2348D" w:rsidRDefault="00482FEB" w:rsidP="00482FEB">
                  <w:pPr>
                    <w:pStyle w:val="TableBody"/>
                  </w:pPr>
                  <w:r w:rsidRPr="006624C0">
                    <w:t>MW</w:t>
                  </w:r>
                </w:p>
              </w:tc>
              <w:tc>
                <w:tcPr>
                  <w:tcW w:w="6695" w:type="dxa"/>
                </w:tcPr>
                <w:p w14:paraId="47DA99E0" w14:textId="3ACCDAD9" w:rsidR="00482FEB" w:rsidRPr="00B2348D" w:rsidRDefault="00482FEB" w:rsidP="00986DDA">
                  <w:pPr>
                    <w:pStyle w:val="TableBody"/>
                  </w:pPr>
                  <w:r w:rsidRPr="006624C0">
                    <w:rPr>
                      <w:i/>
                    </w:rPr>
                    <w:t>Average Telemetered Generation for the 5 Minutes</w:t>
                  </w:r>
                  <w:r w:rsidRPr="006624C0">
                    <w:t xml:space="preserve">—The average telemetered generation </w:t>
                  </w:r>
                  <w:r w:rsidR="00986DDA">
                    <w:t xml:space="preserve">or consumption </w:t>
                  </w:r>
                  <w:r w:rsidRPr="006624C0">
                    <w:t xml:space="preserve">of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482FEB" w:rsidRPr="00B2348D" w14:paraId="4DFE085E" w14:textId="77777777" w:rsidTr="001B737D">
              <w:trPr>
                <w:cantSplit/>
              </w:trPr>
              <w:tc>
                <w:tcPr>
                  <w:tcW w:w="1776" w:type="dxa"/>
                </w:tcPr>
                <w:p w14:paraId="389A4AB9" w14:textId="77777777" w:rsidR="00482FEB" w:rsidRPr="00B2348D" w:rsidRDefault="00482FEB" w:rsidP="00482FEB">
                  <w:pPr>
                    <w:pStyle w:val="TableBody"/>
                  </w:pPr>
                  <w:r>
                    <w:t>UPESR</w:t>
                  </w:r>
                  <w:r w:rsidRPr="006624C0">
                    <w:t xml:space="preserve"> </w:t>
                  </w:r>
                  <w:r w:rsidRPr="006624C0">
                    <w:rPr>
                      <w:i/>
                      <w:vertAlign w:val="subscript"/>
                    </w:rPr>
                    <w:t>q, r, p, i</w:t>
                  </w:r>
                </w:p>
              </w:tc>
              <w:tc>
                <w:tcPr>
                  <w:tcW w:w="892" w:type="dxa"/>
                </w:tcPr>
                <w:p w14:paraId="1231653D" w14:textId="77777777" w:rsidR="00482FEB" w:rsidRPr="00B2348D" w:rsidRDefault="00482FEB" w:rsidP="00482FEB">
                  <w:pPr>
                    <w:pStyle w:val="TableBody"/>
                  </w:pPr>
                  <w:r w:rsidRPr="006624C0">
                    <w:t>MW</w:t>
                  </w:r>
                  <w:r>
                    <w:t>h</w:t>
                  </w:r>
                </w:p>
              </w:tc>
              <w:tc>
                <w:tcPr>
                  <w:tcW w:w="6695" w:type="dxa"/>
                </w:tcPr>
                <w:p w14:paraId="0C059A53" w14:textId="2A1F3152" w:rsidR="00482FEB" w:rsidRPr="00B2348D" w:rsidRDefault="00482FEB" w:rsidP="00986DDA">
                  <w:pPr>
                    <w:pStyle w:val="TableBody"/>
                  </w:pPr>
                  <w:r>
                    <w:rPr>
                      <w:i/>
                    </w:rPr>
                    <w:t>Under-Performance</w:t>
                  </w:r>
                  <w:r w:rsidRPr="006624C0">
                    <w:rPr>
                      <w:i/>
                    </w:rPr>
                    <w:t xml:space="preserve"> Volumes per QSE per Settlement Point per Resource</w:t>
                  </w:r>
                  <w:r w:rsidRPr="006624C0">
                    <w:t xml:space="preserve">—The amount </w:t>
                  </w:r>
                  <w:r>
                    <w:t xml:space="preserve">the ESR </w:t>
                  </w:r>
                  <w:r w:rsidR="00986DDA">
                    <w:rPr>
                      <w:i/>
                    </w:rPr>
                    <w:t>r</w:t>
                  </w:r>
                  <w:r w:rsidR="00986DDA">
                    <w:t xml:space="preserve"> </w:t>
                  </w:r>
                  <w:r>
                    <w:t>under-performed represented</w:t>
                  </w:r>
                  <w:r w:rsidRPr="006624C0">
                    <w:t xml:space="preserve"> by QSE </w:t>
                  </w:r>
                  <w:r w:rsidRPr="006624C0">
                    <w:rPr>
                      <w:i/>
                    </w:rPr>
                    <w:t>q</w:t>
                  </w:r>
                  <w:r w:rsidRPr="006624C0">
                    <w:t xml:space="preserve"> at Resource Node </w:t>
                  </w:r>
                  <w:r w:rsidRPr="006624C0">
                    <w:rPr>
                      <w:i/>
                    </w:rPr>
                    <w:t>p</w:t>
                  </w:r>
                  <w:r>
                    <w:rPr>
                      <w:i/>
                    </w:rPr>
                    <w:t xml:space="preserve">, </w:t>
                  </w:r>
                  <w:r w:rsidRPr="006624C0">
                    <w:t xml:space="preserve">for the 15-minute Settlement Interval </w:t>
                  </w:r>
                  <w:r w:rsidRPr="006624C0">
                    <w:rPr>
                      <w:i/>
                    </w:rPr>
                    <w:t>i</w:t>
                  </w:r>
                  <w:r>
                    <w:t>.</w:t>
                  </w:r>
                </w:p>
              </w:tc>
            </w:tr>
            <w:tr w:rsidR="00482FEB" w:rsidRPr="00B2348D" w14:paraId="0F6CF4DF" w14:textId="77777777" w:rsidTr="001B737D">
              <w:trPr>
                <w:cantSplit/>
              </w:trPr>
              <w:tc>
                <w:tcPr>
                  <w:tcW w:w="1776" w:type="dxa"/>
                </w:tcPr>
                <w:p w14:paraId="2F31F4C4" w14:textId="77777777" w:rsidR="00482FEB" w:rsidRPr="00B2348D" w:rsidRDefault="00482FEB" w:rsidP="00482FEB">
                  <w:pPr>
                    <w:pStyle w:val="TableBody"/>
                  </w:pPr>
                  <w:r w:rsidRPr="006624C0">
                    <w:t>PR</w:t>
                  </w:r>
                  <w:r>
                    <w:t>4</w:t>
                  </w:r>
                </w:p>
              </w:tc>
              <w:tc>
                <w:tcPr>
                  <w:tcW w:w="892" w:type="dxa"/>
                </w:tcPr>
                <w:p w14:paraId="2A87D95F" w14:textId="77777777" w:rsidR="00482FEB" w:rsidRPr="00B2348D" w:rsidRDefault="00482FEB" w:rsidP="00482FEB">
                  <w:pPr>
                    <w:pStyle w:val="TableBody"/>
                  </w:pPr>
                  <w:r w:rsidRPr="006624C0">
                    <w:t>$/MWh</w:t>
                  </w:r>
                </w:p>
              </w:tc>
              <w:tc>
                <w:tcPr>
                  <w:tcW w:w="6695" w:type="dxa"/>
                </w:tcPr>
                <w:p w14:paraId="38AAE701" w14:textId="09B3DEF3" w:rsidR="00482FEB" w:rsidRPr="00B2348D" w:rsidRDefault="00482FEB" w:rsidP="00EA6FD7">
                  <w:pPr>
                    <w:pStyle w:val="TableBody"/>
                  </w:pPr>
                  <w:r>
                    <w:t xml:space="preserve">The </w:t>
                  </w:r>
                  <w:r w:rsidRPr="006624C0">
                    <w:t xml:space="preserve">price to use for the </w:t>
                  </w:r>
                  <w:r w:rsidR="00EA6FD7">
                    <w:t>Set</w:t>
                  </w:r>
                  <w:r w:rsidRPr="006624C0">
                    <w:t xml:space="preserve"> P</w:t>
                  </w:r>
                  <w:r>
                    <w:t>oint Deviation Charge for under-performance</w:t>
                  </w:r>
                  <w:r w:rsidRPr="006624C0">
                    <w:t xml:space="preserve"> when RTSPP is </w:t>
                  </w:r>
                  <w:r>
                    <w:t>greater</w:t>
                  </w:r>
                  <w:r w:rsidRPr="006624C0">
                    <w:t xml:space="preserve"> than </w:t>
                  </w:r>
                  <w:r>
                    <w:t>-</w:t>
                  </w:r>
                  <w:r w:rsidRPr="006624C0">
                    <w:t>$20</w:t>
                  </w:r>
                  <w:r>
                    <w:t>/MWh, -$20/MWh</w:t>
                  </w:r>
                  <w:r w:rsidRPr="006624C0">
                    <w:t xml:space="preserve">.  </w:t>
                  </w:r>
                </w:p>
              </w:tc>
            </w:tr>
            <w:tr w:rsidR="00482FEB" w:rsidRPr="00B2348D" w14:paraId="426EC6D4" w14:textId="77777777" w:rsidTr="001B737D">
              <w:trPr>
                <w:cantSplit/>
              </w:trPr>
              <w:tc>
                <w:tcPr>
                  <w:tcW w:w="1776" w:type="dxa"/>
                </w:tcPr>
                <w:p w14:paraId="61FACAE1" w14:textId="77777777" w:rsidR="00482FEB" w:rsidRPr="00B2348D" w:rsidRDefault="00482FEB" w:rsidP="00482FEB">
                  <w:pPr>
                    <w:pStyle w:val="TableBody"/>
                  </w:pPr>
                  <w:r w:rsidRPr="006624C0">
                    <w:t>K</w:t>
                  </w:r>
                  <w:r>
                    <w:t>4</w:t>
                  </w:r>
                </w:p>
              </w:tc>
              <w:tc>
                <w:tcPr>
                  <w:tcW w:w="892" w:type="dxa"/>
                </w:tcPr>
                <w:p w14:paraId="6D45F898" w14:textId="77777777" w:rsidR="00482FEB" w:rsidRPr="00B2348D" w:rsidRDefault="00482FEB" w:rsidP="00482FEB">
                  <w:pPr>
                    <w:pStyle w:val="TableBody"/>
                  </w:pPr>
                  <w:r w:rsidRPr="006624C0">
                    <w:t>none</w:t>
                  </w:r>
                </w:p>
              </w:tc>
              <w:tc>
                <w:tcPr>
                  <w:tcW w:w="6695" w:type="dxa"/>
                </w:tcPr>
                <w:p w14:paraId="305EDDC6" w14:textId="77777777" w:rsidR="00482FEB" w:rsidRPr="00B2348D" w:rsidRDefault="00482FEB" w:rsidP="00482FEB">
                  <w:pPr>
                    <w:pStyle w:val="TableBody"/>
                  </w:pPr>
                  <w:r w:rsidRPr="006624C0">
                    <w:t>Th</w:t>
                  </w:r>
                  <w:r>
                    <w:t>e percentage tolerance for under-performance</w:t>
                  </w:r>
                  <w:r w:rsidRPr="006624C0">
                    <w:t xml:space="preserve">, </w:t>
                  </w:r>
                  <w:r>
                    <w:t>3</w:t>
                  </w:r>
                  <w:r w:rsidRPr="006624C0">
                    <w:t xml:space="preserve">%.  </w:t>
                  </w:r>
                </w:p>
              </w:tc>
            </w:tr>
            <w:tr w:rsidR="00482FEB" w:rsidRPr="00B2348D" w14:paraId="6683336A" w14:textId="77777777" w:rsidTr="001B737D">
              <w:trPr>
                <w:cantSplit/>
              </w:trPr>
              <w:tc>
                <w:tcPr>
                  <w:tcW w:w="1776" w:type="dxa"/>
                </w:tcPr>
                <w:p w14:paraId="2ECE7AF3" w14:textId="77777777" w:rsidR="00482FEB" w:rsidRPr="00B2348D" w:rsidRDefault="00482FEB" w:rsidP="00482FEB">
                  <w:pPr>
                    <w:pStyle w:val="TableBody"/>
                  </w:pPr>
                  <w:r w:rsidRPr="006624C0">
                    <w:t>Q</w:t>
                  </w:r>
                  <w:r>
                    <w:t>4</w:t>
                  </w:r>
                </w:p>
              </w:tc>
              <w:tc>
                <w:tcPr>
                  <w:tcW w:w="892" w:type="dxa"/>
                </w:tcPr>
                <w:p w14:paraId="424F7E24" w14:textId="77777777" w:rsidR="00482FEB" w:rsidRPr="00B2348D" w:rsidRDefault="00482FEB" w:rsidP="00482FEB">
                  <w:pPr>
                    <w:pStyle w:val="TableBody"/>
                  </w:pPr>
                  <w:r w:rsidRPr="006624C0">
                    <w:t>MW</w:t>
                  </w:r>
                </w:p>
              </w:tc>
              <w:tc>
                <w:tcPr>
                  <w:tcW w:w="6695" w:type="dxa"/>
                </w:tcPr>
                <w:p w14:paraId="7EA6F7F3" w14:textId="77777777" w:rsidR="00482FEB" w:rsidRPr="00B2348D" w:rsidRDefault="00482FEB" w:rsidP="00482FEB">
                  <w:pPr>
                    <w:pStyle w:val="TableBody"/>
                  </w:pPr>
                  <w:r>
                    <w:t>The MW tolerance for under-performance</w:t>
                  </w:r>
                  <w:r w:rsidRPr="006624C0">
                    <w:t xml:space="preserve">, </w:t>
                  </w:r>
                  <w:r>
                    <w:t xml:space="preserve">three </w:t>
                  </w:r>
                  <w:r w:rsidRPr="006624C0">
                    <w:t>MW.</w:t>
                  </w:r>
                </w:p>
              </w:tc>
            </w:tr>
            <w:tr w:rsidR="00482FEB" w:rsidRPr="00B2348D" w14:paraId="5E832FF3" w14:textId="77777777" w:rsidTr="001B737D">
              <w:trPr>
                <w:cantSplit/>
              </w:trPr>
              <w:tc>
                <w:tcPr>
                  <w:tcW w:w="1776" w:type="dxa"/>
                </w:tcPr>
                <w:p w14:paraId="52585960" w14:textId="77777777" w:rsidR="00482FEB" w:rsidRPr="006624C0" w:rsidRDefault="00482FEB" w:rsidP="00482FEB">
                  <w:pPr>
                    <w:pStyle w:val="TableBody"/>
                  </w:pPr>
                  <w:r>
                    <w:t>KP2</w:t>
                  </w:r>
                </w:p>
              </w:tc>
              <w:tc>
                <w:tcPr>
                  <w:tcW w:w="892" w:type="dxa"/>
                </w:tcPr>
                <w:p w14:paraId="226998FC" w14:textId="77777777" w:rsidR="00482FEB" w:rsidRPr="006624C0" w:rsidRDefault="00482FEB" w:rsidP="00482FEB">
                  <w:pPr>
                    <w:pStyle w:val="TableBody"/>
                  </w:pPr>
                  <w:r>
                    <w:t>none</w:t>
                  </w:r>
                </w:p>
              </w:tc>
              <w:tc>
                <w:tcPr>
                  <w:tcW w:w="6695" w:type="dxa"/>
                </w:tcPr>
                <w:p w14:paraId="481EBE9C" w14:textId="77777777" w:rsidR="00482FEB" w:rsidRDefault="00482FEB" w:rsidP="00482FEB">
                  <w:pPr>
                    <w:pStyle w:val="TableBody"/>
                  </w:pPr>
                  <w:r w:rsidRPr="00561EC3">
                    <w:t>The coefficient applied to the S</w:t>
                  </w:r>
                  <w:r>
                    <w:t xml:space="preserve">ettlement Point Price for under-performance </w:t>
                  </w:r>
                  <w:r w:rsidRPr="00561EC3">
                    <w:t>charge, 1.0.</w:t>
                  </w:r>
                </w:p>
              </w:tc>
            </w:tr>
            <w:tr w:rsidR="00482FEB" w:rsidRPr="00B2348D" w14:paraId="7976C22C" w14:textId="77777777" w:rsidTr="001B737D">
              <w:trPr>
                <w:cantSplit/>
              </w:trPr>
              <w:tc>
                <w:tcPr>
                  <w:tcW w:w="1776" w:type="dxa"/>
                </w:tcPr>
                <w:p w14:paraId="69D36FD7" w14:textId="77777777" w:rsidR="00482FEB" w:rsidRPr="00B2348D" w:rsidRDefault="00482FEB" w:rsidP="00482FEB">
                  <w:pPr>
                    <w:pStyle w:val="TableBody"/>
                    <w:rPr>
                      <w:i/>
                    </w:rPr>
                  </w:pPr>
                  <w:r>
                    <w:rPr>
                      <w:i/>
                    </w:rPr>
                    <w:t>q</w:t>
                  </w:r>
                </w:p>
              </w:tc>
              <w:tc>
                <w:tcPr>
                  <w:tcW w:w="892" w:type="dxa"/>
                </w:tcPr>
                <w:p w14:paraId="6F7680E4" w14:textId="77777777" w:rsidR="00482FEB" w:rsidRPr="00B2348D" w:rsidRDefault="00482FEB" w:rsidP="00482FEB">
                  <w:pPr>
                    <w:pStyle w:val="TableBody"/>
                  </w:pPr>
                  <w:r w:rsidRPr="006624C0">
                    <w:t>none</w:t>
                  </w:r>
                </w:p>
              </w:tc>
              <w:tc>
                <w:tcPr>
                  <w:tcW w:w="6695" w:type="dxa"/>
                </w:tcPr>
                <w:p w14:paraId="303B9959" w14:textId="77777777" w:rsidR="00482FEB" w:rsidRPr="00B2348D" w:rsidRDefault="00482FEB" w:rsidP="00482FEB">
                  <w:pPr>
                    <w:pStyle w:val="TableBody"/>
                  </w:pPr>
                  <w:r w:rsidRPr="006624C0">
                    <w:t>A QSE.</w:t>
                  </w:r>
                </w:p>
              </w:tc>
            </w:tr>
            <w:tr w:rsidR="00482FEB" w:rsidRPr="00B2348D" w14:paraId="428B28A4" w14:textId="77777777" w:rsidTr="001B737D">
              <w:trPr>
                <w:cantSplit/>
              </w:trPr>
              <w:tc>
                <w:tcPr>
                  <w:tcW w:w="1776" w:type="dxa"/>
                </w:tcPr>
                <w:p w14:paraId="5C03FFD4" w14:textId="77777777" w:rsidR="00482FEB" w:rsidRPr="00B2348D" w:rsidRDefault="00482FEB" w:rsidP="00482FEB">
                  <w:pPr>
                    <w:pStyle w:val="TableBody"/>
                    <w:rPr>
                      <w:i/>
                    </w:rPr>
                  </w:pPr>
                  <w:r>
                    <w:rPr>
                      <w:i/>
                    </w:rPr>
                    <w:t>p</w:t>
                  </w:r>
                </w:p>
              </w:tc>
              <w:tc>
                <w:tcPr>
                  <w:tcW w:w="892" w:type="dxa"/>
                </w:tcPr>
                <w:p w14:paraId="207A4CF2" w14:textId="77777777" w:rsidR="00482FEB" w:rsidRPr="00B2348D" w:rsidRDefault="00482FEB" w:rsidP="00482FEB">
                  <w:pPr>
                    <w:pStyle w:val="TableBody"/>
                  </w:pPr>
                  <w:r w:rsidRPr="006624C0">
                    <w:t>none</w:t>
                  </w:r>
                </w:p>
              </w:tc>
              <w:tc>
                <w:tcPr>
                  <w:tcW w:w="6695" w:type="dxa"/>
                </w:tcPr>
                <w:p w14:paraId="0EE6AD18" w14:textId="77777777" w:rsidR="00482FEB" w:rsidRPr="00B2348D" w:rsidRDefault="00482FEB" w:rsidP="00482FEB">
                  <w:pPr>
                    <w:pStyle w:val="TableBody"/>
                  </w:pPr>
                  <w:r w:rsidRPr="006624C0">
                    <w:t>A Settlement Point.</w:t>
                  </w:r>
                </w:p>
              </w:tc>
            </w:tr>
            <w:tr w:rsidR="00482FEB" w:rsidRPr="00B2348D" w14:paraId="100E5D5E" w14:textId="77777777" w:rsidTr="001B737D">
              <w:trPr>
                <w:cantSplit/>
              </w:trPr>
              <w:tc>
                <w:tcPr>
                  <w:tcW w:w="1776" w:type="dxa"/>
                </w:tcPr>
                <w:p w14:paraId="6FA2FAE2" w14:textId="77777777" w:rsidR="00482FEB" w:rsidRPr="00B2348D" w:rsidRDefault="00482FEB" w:rsidP="00482FEB">
                  <w:pPr>
                    <w:pStyle w:val="TableBody"/>
                    <w:tabs>
                      <w:tab w:val="right" w:pos="9360"/>
                    </w:tabs>
                    <w:rPr>
                      <w:i/>
                    </w:rPr>
                  </w:pPr>
                  <w:r>
                    <w:rPr>
                      <w:i/>
                    </w:rPr>
                    <w:t>r</w:t>
                  </w:r>
                </w:p>
              </w:tc>
              <w:tc>
                <w:tcPr>
                  <w:tcW w:w="892" w:type="dxa"/>
                </w:tcPr>
                <w:p w14:paraId="5A7FB21A" w14:textId="77777777" w:rsidR="00482FEB" w:rsidRPr="00B2348D" w:rsidRDefault="00482FEB" w:rsidP="00482FEB">
                  <w:pPr>
                    <w:pStyle w:val="TableBody"/>
                    <w:tabs>
                      <w:tab w:val="right" w:pos="9360"/>
                    </w:tabs>
                  </w:pPr>
                  <w:r w:rsidRPr="006624C0">
                    <w:t>none</w:t>
                  </w:r>
                </w:p>
              </w:tc>
              <w:tc>
                <w:tcPr>
                  <w:tcW w:w="6695" w:type="dxa"/>
                </w:tcPr>
                <w:p w14:paraId="6FE06EFA" w14:textId="547CC0AE" w:rsidR="00482FEB" w:rsidRPr="00B2348D" w:rsidRDefault="00482FEB" w:rsidP="00986DDA">
                  <w:pPr>
                    <w:pStyle w:val="TableBody"/>
                    <w:tabs>
                      <w:tab w:val="right" w:pos="9360"/>
                    </w:tabs>
                    <w:rPr>
                      <w:lang w:val="fr-FR"/>
                    </w:rPr>
                  </w:pPr>
                  <w:r>
                    <w:rPr>
                      <w:lang w:val="fr-FR"/>
                    </w:rPr>
                    <w:t>A</w:t>
                  </w:r>
                  <w:r w:rsidR="00986DDA">
                    <w:rPr>
                      <w:lang w:val="fr-FR"/>
                    </w:rPr>
                    <w:t xml:space="preserve">n </w:t>
                  </w:r>
                  <w:r>
                    <w:rPr>
                      <w:lang w:val="fr-FR"/>
                    </w:rPr>
                    <w:t xml:space="preserve">ESR. </w:t>
                  </w:r>
                </w:p>
              </w:tc>
            </w:tr>
            <w:tr w:rsidR="00482FEB" w:rsidRPr="00B2348D" w14:paraId="06782360"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64A05AD9" w14:textId="77777777" w:rsidR="00482FEB" w:rsidRPr="00B2348D" w:rsidRDefault="00482FEB" w:rsidP="00482FEB">
                  <w:pPr>
                    <w:pStyle w:val="TableBody"/>
                    <w:rPr>
                      <w:i/>
                    </w:rPr>
                  </w:pPr>
                  <w:r>
                    <w:rPr>
                      <w:i/>
                    </w:rPr>
                    <w:t xml:space="preserve">y </w:t>
                  </w:r>
                </w:p>
              </w:tc>
              <w:tc>
                <w:tcPr>
                  <w:tcW w:w="892" w:type="dxa"/>
                  <w:tcBorders>
                    <w:top w:val="single" w:sz="4" w:space="0" w:color="auto"/>
                    <w:left w:val="single" w:sz="4" w:space="0" w:color="auto"/>
                    <w:bottom w:val="single" w:sz="4" w:space="0" w:color="auto"/>
                    <w:right w:val="single" w:sz="4" w:space="0" w:color="auto"/>
                  </w:tcBorders>
                </w:tcPr>
                <w:p w14:paraId="76CA335C" w14:textId="77777777" w:rsidR="00482FEB" w:rsidRPr="00B2348D" w:rsidRDefault="00482FEB" w:rsidP="00482FEB">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46214C47" w14:textId="77777777" w:rsidR="00482FEB" w:rsidRPr="00B2348D" w:rsidRDefault="00482FEB" w:rsidP="00482FEB">
                  <w:pPr>
                    <w:pStyle w:val="TableBody"/>
                  </w:pPr>
                  <w:r w:rsidRPr="006624C0">
                    <w:t xml:space="preserve">A five-minute clock interval in the Settlement Interval. </w:t>
                  </w:r>
                </w:p>
              </w:tc>
            </w:tr>
            <w:tr w:rsidR="00482FEB" w:rsidRPr="00B2348D" w14:paraId="4D9EC7ED"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49F1DCB6" w14:textId="77777777" w:rsidR="00482FEB" w:rsidRPr="00B2348D" w:rsidDel="00714336" w:rsidRDefault="00482FEB" w:rsidP="00482FEB">
                  <w:pPr>
                    <w:pStyle w:val="TableBody"/>
                    <w:rPr>
                      <w:i/>
                    </w:rPr>
                  </w:pPr>
                  <w:r>
                    <w:rPr>
                      <w:i/>
                    </w:rPr>
                    <w:t>i</w:t>
                  </w:r>
                </w:p>
              </w:tc>
              <w:tc>
                <w:tcPr>
                  <w:tcW w:w="892" w:type="dxa"/>
                  <w:tcBorders>
                    <w:top w:val="single" w:sz="4" w:space="0" w:color="auto"/>
                    <w:left w:val="single" w:sz="4" w:space="0" w:color="auto"/>
                    <w:bottom w:val="single" w:sz="4" w:space="0" w:color="auto"/>
                    <w:right w:val="single" w:sz="4" w:space="0" w:color="auto"/>
                  </w:tcBorders>
                </w:tcPr>
                <w:p w14:paraId="5EAD0CDB" w14:textId="77777777" w:rsidR="00482FEB" w:rsidRPr="00B2348D" w:rsidDel="00714336" w:rsidRDefault="00482FEB" w:rsidP="00482FEB">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2FD30620" w14:textId="77777777" w:rsidR="00482FEB" w:rsidRPr="00B2348D" w:rsidDel="00714336" w:rsidRDefault="00482FEB" w:rsidP="00482FEB">
                  <w:pPr>
                    <w:pStyle w:val="TableBody"/>
                  </w:pPr>
                  <w:r w:rsidRPr="006624C0">
                    <w:t>A 15-minute Settlement Interval.</w:t>
                  </w:r>
                </w:p>
              </w:tc>
            </w:tr>
          </w:tbl>
          <w:p w14:paraId="600AAFFC" w14:textId="77777777" w:rsidR="002704CF" w:rsidRPr="00B37C4B" w:rsidRDefault="002704CF" w:rsidP="001B737D">
            <w:pPr>
              <w:pStyle w:val="Instructions"/>
              <w:spacing w:before="120"/>
            </w:pPr>
          </w:p>
        </w:tc>
      </w:tr>
    </w:tbl>
    <w:p w14:paraId="7234A541" w14:textId="77777777" w:rsidR="001F04FD" w:rsidRDefault="001F04FD" w:rsidP="001F04FD">
      <w:pPr>
        <w:pStyle w:val="H4"/>
        <w:spacing w:before="480"/>
        <w:ind w:left="0" w:firstLine="0"/>
      </w:pPr>
      <w:bookmarkStart w:id="2229" w:name="_Toc175157467"/>
      <w:bookmarkStart w:id="2230" w:name="_Toc204411696"/>
      <w:r>
        <w:lastRenderedPageBreak/>
        <w:t>6.6.5.3</w:t>
      </w:r>
      <w:r>
        <w:tab/>
      </w:r>
      <w:r w:rsidR="00FC539A">
        <w:t>Resources</w:t>
      </w:r>
      <w:r>
        <w:t xml:space="preserve"> Exempt from Deviation Charges</w:t>
      </w:r>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229"/>
      <w:bookmarkEnd w:id="2230"/>
    </w:p>
    <w:p w14:paraId="68B49C75" w14:textId="77777777" w:rsidR="001F04FD" w:rsidRDefault="001F04FD" w:rsidP="001F04FD">
      <w:pPr>
        <w:pStyle w:val="BodyText"/>
      </w:pPr>
      <w:r>
        <w:t>(1)</w:t>
      </w:r>
      <w:r>
        <w:tab/>
        <w:t>Resource Base Point Deviation Charges do not apply to the following:</w:t>
      </w:r>
    </w:p>
    <w:p w14:paraId="73E3196E" w14:textId="77777777" w:rsidR="001F04FD" w:rsidRDefault="001F04FD" w:rsidP="001F04FD">
      <w:pPr>
        <w:pStyle w:val="BodyText"/>
        <w:ind w:left="1440" w:hanging="720"/>
      </w:pPr>
      <w:r>
        <w:t>(a)</w:t>
      </w:r>
      <w:r>
        <w:tab/>
        <w:t xml:space="preserve">Reliability Must-Run (RMR) Units; </w:t>
      </w:r>
    </w:p>
    <w:p w14:paraId="6A538480" w14:textId="77777777" w:rsidR="001F04FD" w:rsidRDefault="001F04FD" w:rsidP="001F04FD">
      <w:pPr>
        <w:pStyle w:val="BodyText"/>
        <w:ind w:left="1440" w:hanging="720"/>
      </w:pPr>
      <w:r>
        <w:t>(b)</w:t>
      </w:r>
      <w:r>
        <w:tab/>
        <w:t>Dynamically Scheduled Resources (DSRs) (except as described in Section 6.4.2.2, Output Schedules for Dynamically Scheduled Resources);</w:t>
      </w:r>
    </w:p>
    <w:p w14:paraId="210EFFF0" w14:textId="30789D2F" w:rsidR="001F04FD" w:rsidRDefault="001F04FD" w:rsidP="00FB599C">
      <w:pPr>
        <w:pStyle w:val="BodyText"/>
        <w:ind w:left="1440" w:hanging="720"/>
      </w:pPr>
      <w:r>
        <w:t>(c)</w:t>
      </w:r>
      <w:r>
        <w:tab/>
        <w:t>Qualifying Facilities (QFs) that do not submit an Energy Offer Curve</w:t>
      </w:r>
      <w:r w:rsidR="00F17687">
        <w:t xml:space="preserve"> prior to the end of the Adjustment Period</w:t>
      </w:r>
      <w:r>
        <w:t xml:space="preserve"> for the Settlement Interval;</w:t>
      </w:r>
    </w:p>
    <w:p w14:paraId="577D6112" w14:textId="77777777" w:rsidR="00FC539A" w:rsidRDefault="001F04FD" w:rsidP="00FC539A">
      <w:pPr>
        <w:pStyle w:val="BodyText"/>
        <w:ind w:left="1440" w:hanging="720"/>
      </w:pPr>
      <w:r>
        <w:t>(d)</w:t>
      </w:r>
      <w:r>
        <w:tab/>
        <w:t xml:space="preserve">Quick Start Generation </w:t>
      </w:r>
      <w:r w:rsidRPr="00D9273D">
        <w:t>Resources (QSGRs) during the 15-minute Settlement Interval after the start of the first SCED interval in which the QSGR is deployed</w:t>
      </w:r>
      <w:r w:rsidR="00FC539A">
        <w:t>; or</w:t>
      </w:r>
      <w:r w:rsidR="00FC539A" w:rsidRPr="00D9273D">
        <w:t xml:space="preserve"> </w:t>
      </w:r>
      <w:r w:rsidR="00FC539A">
        <w:t xml:space="preserve"> </w:t>
      </w:r>
    </w:p>
    <w:p w14:paraId="0001C2F0" w14:textId="77777777" w:rsidR="001F04FD" w:rsidRDefault="00FC539A" w:rsidP="00FC539A">
      <w:pPr>
        <w:pStyle w:val="BodyText"/>
        <w:ind w:left="1440" w:hanging="720"/>
      </w:pPr>
      <w:r>
        <w:t>(e)</w:t>
      </w:r>
      <w:r>
        <w:tab/>
        <w:t>Settlement Intervals in which Emergency Base Points were issued to the Resource.</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2294D" w14:paraId="770218B5"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79057B1F" w14:textId="4CE701D5" w:rsidR="00A2294D" w:rsidRDefault="00A2294D" w:rsidP="001B737D">
            <w:pPr>
              <w:pStyle w:val="Instructions"/>
              <w:spacing w:before="120"/>
            </w:pPr>
            <w:bookmarkStart w:id="2231" w:name="_Toc87951796"/>
            <w:bookmarkStart w:id="2232" w:name="_Toc109009406"/>
            <w:bookmarkStart w:id="2233" w:name="_Toc397505025"/>
            <w:bookmarkStart w:id="2234" w:name="_Toc402357157"/>
            <w:bookmarkStart w:id="2235" w:name="_Toc422486537"/>
            <w:bookmarkStart w:id="2236" w:name="_Toc433093390"/>
            <w:bookmarkStart w:id="2237" w:name="_Toc433093548"/>
            <w:bookmarkStart w:id="2238" w:name="_Toc440874778"/>
            <w:bookmarkStart w:id="2239" w:name="_Toc448142335"/>
            <w:bookmarkStart w:id="2240" w:name="_Toc448142492"/>
            <w:bookmarkStart w:id="2241" w:name="_Toc458770333"/>
            <w:bookmarkStart w:id="2242" w:name="_Toc459294301"/>
            <w:bookmarkStart w:id="2243" w:name="_Toc463262794"/>
            <w:bookmarkStart w:id="2244" w:name="_Toc468286867"/>
            <w:bookmarkStart w:id="2245" w:name="_Toc481502907"/>
            <w:bookmarkStart w:id="2246" w:name="_Toc496080075"/>
            <w:r>
              <w:lastRenderedPageBreak/>
              <w:t>[</w:t>
            </w:r>
            <w:r w:rsidR="004F4AC1">
              <w:t>NPRR863</w:t>
            </w:r>
            <w:r w:rsidR="00EA6FD7">
              <w:t>,</w:t>
            </w:r>
            <w:r w:rsidR="004F4AC1">
              <w:t xml:space="preserve"> </w:t>
            </w:r>
            <w:r>
              <w:t>NPRR963</w:t>
            </w:r>
            <w:r w:rsidR="00EA6FD7">
              <w:t xml:space="preserve">, </w:t>
            </w:r>
            <w:r w:rsidR="00986DDA">
              <w:t>NPRR1000,</w:t>
            </w:r>
            <w:r w:rsidR="00EA6FD7">
              <w:t xml:space="preserve"> NPRR1010</w:t>
            </w:r>
            <w:r w:rsidR="001C7293">
              <w:t>,</w:t>
            </w:r>
            <w:r w:rsidR="00986DDA">
              <w:t xml:space="preserve"> NPRR1014</w:t>
            </w:r>
            <w:r w:rsidR="001C7293">
              <w:t>, NPRR1046</w:t>
            </w:r>
            <w:r w:rsidR="001C0176">
              <w:t>, NPRR1188</w:t>
            </w:r>
            <w:r w:rsidR="00BD19E2">
              <w:t>, and NPRR1245</w:t>
            </w:r>
            <w:r>
              <w:t xml:space="preserve">:  Replace </w:t>
            </w:r>
            <w:r w:rsidR="004F4AC1">
              <w:t xml:space="preserve">applicable portions of </w:t>
            </w:r>
            <w:r>
              <w:t>Section 6.6.5.3 above with the following upon system implementation</w:t>
            </w:r>
            <w:r w:rsidR="00EA6FD7">
              <w:t xml:space="preserve"> for NPRR863</w:t>
            </w:r>
            <w:r w:rsidR="00986DDA">
              <w:t>,</w:t>
            </w:r>
            <w:r w:rsidR="00EA6FD7">
              <w:t xml:space="preserve"> NPRR963</w:t>
            </w:r>
            <w:r w:rsidR="00986DDA">
              <w:t>, NPRR1014</w:t>
            </w:r>
            <w:r w:rsidR="001C0176">
              <w:t>, or NPRR1188</w:t>
            </w:r>
            <w:r w:rsidR="00EA6FD7">
              <w:t xml:space="preserve">; </w:t>
            </w:r>
            <w:r w:rsidR="001C7293">
              <w:t xml:space="preserve">upon system implementation of NPRR1000 for NPRR1000 and NPRR1046; </w:t>
            </w:r>
            <w:r w:rsidR="0030702F">
              <w:t xml:space="preserve">or </w:t>
            </w:r>
            <w:r w:rsidR="00EA6FD7">
              <w:t>upon system implementation of the Real-Time Co-Optimization (RTC) project for NPRR1010</w:t>
            </w:r>
            <w:r w:rsidR="00BD19E2">
              <w:t xml:space="preserve"> and NPRR1245</w:t>
            </w:r>
            <w:r>
              <w:t>:]</w:t>
            </w:r>
          </w:p>
          <w:p w14:paraId="45D474AF" w14:textId="0C98BDE4" w:rsidR="004F4AC1" w:rsidRDefault="004F4AC1" w:rsidP="004F4AC1">
            <w:pPr>
              <w:pStyle w:val="H4"/>
              <w:spacing w:before="480"/>
              <w:ind w:left="0" w:firstLine="0"/>
            </w:pPr>
            <w:bookmarkStart w:id="2247" w:name="_Toc60040703"/>
            <w:bookmarkStart w:id="2248" w:name="_Toc65151762"/>
            <w:bookmarkStart w:id="2249" w:name="_Toc80174788"/>
            <w:bookmarkStart w:id="2250" w:name="_Toc112417668"/>
            <w:bookmarkStart w:id="2251" w:name="_Toc119310337"/>
            <w:bookmarkStart w:id="2252" w:name="_Toc125966270"/>
            <w:bookmarkStart w:id="2253" w:name="_Toc135992368"/>
            <w:bookmarkStart w:id="2254" w:name="_Toc170303564"/>
            <w:bookmarkStart w:id="2255" w:name="_Toc175157468"/>
            <w:bookmarkStart w:id="2256" w:name="_Toc204411697"/>
            <w:r>
              <w:t>6.6.5.6</w:t>
            </w:r>
            <w:r>
              <w:tab/>
              <w:t>Resources Exempt from Deviation Charges</w:t>
            </w:r>
            <w:bookmarkEnd w:id="2247"/>
            <w:bookmarkEnd w:id="2248"/>
            <w:bookmarkEnd w:id="2249"/>
            <w:bookmarkEnd w:id="2250"/>
            <w:bookmarkEnd w:id="2251"/>
            <w:bookmarkEnd w:id="2252"/>
            <w:bookmarkEnd w:id="2253"/>
            <w:bookmarkEnd w:id="2254"/>
            <w:bookmarkEnd w:id="2255"/>
            <w:bookmarkEnd w:id="2256"/>
          </w:p>
          <w:p w14:paraId="028D4474" w14:textId="7107C6E4" w:rsidR="004F4AC1" w:rsidRDefault="004F4AC1" w:rsidP="00EA6FD7">
            <w:pPr>
              <w:pStyle w:val="List"/>
              <w:ind w:left="720"/>
            </w:pPr>
            <w:r>
              <w:t>(1)</w:t>
            </w:r>
            <w:r>
              <w:tab/>
            </w:r>
            <w:r w:rsidR="00EA6FD7">
              <w:t>Set</w:t>
            </w:r>
            <w:r>
              <w:t xml:space="preserve"> Point Deviation Charges do not apply to any QSE for the 15-minute Settlement Interval during the following events: </w:t>
            </w:r>
          </w:p>
          <w:p w14:paraId="0087D8AE" w14:textId="20CBF7FF" w:rsidR="004F4AC1" w:rsidRDefault="004F4AC1" w:rsidP="004F4AC1">
            <w:pPr>
              <w:pStyle w:val="List"/>
            </w:pPr>
            <w:r>
              <w:t>(a)</w:t>
            </w:r>
            <w:r>
              <w:tab/>
              <w:t>Responsive Reserve (RRS) was manually deployed</w:t>
            </w:r>
            <w:r w:rsidRPr="005E06B4">
              <w:t xml:space="preserve"> </w:t>
            </w:r>
            <w:r>
              <w:t>by ERCOT;</w:t>
            </w:r>
          </w:p>
          <w:p w14:paraId="3DEFE0D9" w14:textId="3691AB1E" w:rsidR="004F4AC1" w:rsidRDefault="004F4AC1" w:rsidP="004F4AC1">
            <w:pPr>
              <w:pStyle w:val="List"/>
            </w:pPr>
            <w:r>
              <w:t>(b)</w:t>
            </w:r>
            <w:r>
              <w:tab/>
              <w:t>ERCOT Contingency Reserve Service (ECRS) was deployed; or</w:t>
            </w:r>
          </w:p>
          <w:p w14:paraId="4E32B239" w14:textId="7538C0F3" w:rsidR="004F4AC1" w:rsidRDefault="004F4AC1" w:rsidP="004F4AC1">
            <w:pPr>
              <w:pStyle w:val="List"/>
              <w:spacing w:before="240"/>
            </w:pPr>
            <w:r>
              <w:t>(c)</w:t>
            </w:r>
            <w:r>
              <w:tab/>
              <w:t xml:space="preserve">ERCOT System Frequency deviation is both greater than +0.05 Hz and less than -0.05 Hz within the same Settlement Interval. </w:t>
            </w:r>
          </w:p>
          <w:p w14:paraId="09EC1B83" w14:textId="0EE47B39" w:rsidR="004F4AC1" w:rsidRDefault="004F4AC1" w:rsidP="004F4AC1">
            <w:pPr>
              <w:pStyle w:val="List"/>
              <w:ind w:left="720"/>
            </w:pPr>
            <w:r>
              <w:t>(2)</w:t>
            </w:r>
            <w:r>
              <w:tab/>
            </w:r>
            <w:r w:rsidR="00EA6FD7">
              <w:t>Set</w:t>
            </w:r>
            <w:r>
              <w:t xml:space="preserve"> Point Deviation Charges </w:t>
            </w:r>
            <w:r w:rsidR="00EA6FD7">
              <w:t>d</w:t>
            </w:r>
            <w:r>
              <w:t xml:space="preserve">o not apply to the QSE for the Resource for the 15-minute Interval for the following: </w:t>
            </w:r>
          </w:p>
          <w:p w14:paraId="41E82C28" w14:textId="77777777" w:rsidR="004F4AC1" w:rsidRDefault="004F4AC1" w:rsidP="004F4AC1">
            <w:pPr>
              <w:pStyle w:val="List"/>
            </w:pPr>
            <w:r>
              <w:t>(a)</w:t>
            </w:r>
            <w:r>
              <w:tab/>
              <w:t>The deviation of the Resource over the 15-minute Settlement Interval is in a direction that contributes to frequency corrections that resolve an ERCOT System frequency deviation and ERCOT System frequency deviation is greater than +/-0.05 Hz at any time during the 15-minute Settlement Interval;</w:t>
            </w:r>
          </w:p>
          <w:p w14:paraId="02F2E3E2" w14:textId="77777777" w:rsidR="004F4AC1" w:rsidRDefault="004F4AC1" w:rsidP="004F4AC1">
            <w:pPr>
              <w:pStyle w:val="BodyText"/>
              <w:ind w:left="1440" w:hanging="720"/>
            </w:pPr>
            <w:r>
              <w:t>(b)</w:t>
            </w:r>
            <w:r>
              <w:tab/>
              <w:t xml:space="preserve">The Resource is a Reliability Must-Run (RMR) Unit; </w:t>
            </w:r>
          </w:p>
          <w:p w14:paraId="3B1D176A" w14:textId="77777777" w:rsidR="004F4AC1" w:rsidRDefault="004F4AC1" w:rsidP="004F4AC1">
            <w:pPr>
              <w:pStyle w:val="BodyText"/>
              <w:ind w:left="1440" w:hanging="720"/>
            </w:pPr>
            <w:r>
              <w:t>(c)</w:t>
            </w:r>
            <w:r>
              <w:tab/>
              <w:t>Emergency Base Points were issued to the Resource; or</w:t>
            </w:r>
          </w:p>
          <w:p w14:paraId="66180DD5" w14:textId="2A6F1363" w:rsidR="004F4AC1" w:rsidRDefault="004F4AC1" w:rsidP="004F4AC1">
            <w:pPr>
              <w:pStyle w:val="List"/>
            </w:pPr>
            <w:r>
              <w:t>(d)</w:t>
            </w:r>
            <w:r>
              <w:tab/>
              <w:t xml:space="preserve">Resource is operating in Constant Frequency Control (CFC) mode. </w:t>
            </w:r>
          </w:p>
          <w:p w14:paraId="43D78A6E" w14:textId="40821C55" w:rsidR="004F4AC1" w:rsidRDefault="004F4AC1" w:rsidP="004F4AC1">
            <w:pPr>
              <w:pStyle w:val="List"/>
              <w:ind w:left="720"/>
            </w:pPr>
            <w:r>
              <w:t>(3)</w:t>
            </w:r>
            <w:r>
              <w:tab/>
              <w:t xml:space="preserve">In addition to the exemptions listed in paragraph (1) and (2) of this Section, </w:t>
            </w:r>
            <w:r w:rsidR="00EA6FD7">
              <w:t>Set</w:t>
            </w:r>
            <w:r>
              <w:t xml:space="preserve"> Point Deviation Charges do not apply to the QSE for a Generation Resource for the 15-minute Settlement Interval for the following: </w:t>
            </w:r>
          </w:p>
          <w:p w14:paraId="3EE686F0" w14:textId="5A85BF32" w:rsidR="004F4AC1" w:rsidRDefault="004F4AC1" w:rsidP="004F4AC1">
            <w:pPr>
              <w:pStyle w:val="List"/>
            </w:pPr>
            <w:r>
              <w:t>(a)</w:t>
            </w:r>
            <w:r>
              <w:tab/>
              <w:t>AA</w:t>
            </w:r>
            <w:r w:rsidR="00EA6FD7">
              <w:t>S</w:t>
            </w:r>
            <w:r>
              <w:t xml:space="preserve">P is less than the Resource’s average telemetered LSL; </w:t>
            </w:r>
          </w:p>
          <w:p w14:paraId="2CD36B06" w14:textId="423E9304" w:rsidR="004F4AC1" w:rsidRDefault="004F4AC1" w:rsidP="004F4AC1">
            <w:pPr>
              <w:pStyle w:val="List"/>
            </w:pPr>
            <w:r>
              <w:t>(b)</w:t>
            </w:r>
            <w:r>
              <w:tab/>
              <w:t>The Generation Resource is telemetering a status of ONTEST or STARTUP</w:t>
            </w:r>
            <w:r w:rsidR="001754D0" w:rsidRPr="00A552C3">
              <w:t xml:space="preserve"> anytime during the Settlement Interval</w:t>
            </w:r>
            <w:r>
              <w:t xml:space="preserve">; </w:t>
            </w:r>
          </w:p>
          <w:p w14:paraId="45BD83BF" w14:textId="058579D0" w:rsidR="004F4AC1" w:rsidRDefault="004F4AC1" w:rsidP="004F4AC1">
            <w:pPr>
              <w:pStyle w:val="BodyText"/>
              <w:ind w:left="1440" w:hanging="720"/>
            </w:pPr>
            <w:r>
              <w:t>(c)</w:t>
            </w:r>
            <w:r>
              <w:tab/>
              <w:t>Qualifying Facilities (QFs) that do not submit an Energy Offer Curve</w:t>
            </w:r>
            <w:r w:rsidR="00BD7CC8" w:rsidRPr="00221D04">
              <w:t xml:space="preserve"> prior to the end of the Adjustment Period</w:t>
            </w:r>
            <w:r>
              <w:t xml:space="preserve"> for the Settlement Interval;</w:t>
            </w:r>
          </w:p>
          <w:p w14:paraId="12740391" w14:textId="0530687E" w:rsidR="004F4AC1" w:rsidRDefault="004F4AC1" w:rsidP="004F4AC1">
            <w:pPr>
              <w:pStyle w:val="BodyText"/>
              <w:ind w:left="1440" w:hanging="720"/>
            </w:pPr>
            <w:r>
              <w:t>(d)</w:t>
            </w:r>
            <w:r>
              <w:tab/>
              <w:t xml:space="preserve">Quick Start Generation </w:t>
            </w:r>
            <w:r w:rsidRPr="00D9273D">
              <w:t>Resources (QSGRs) during the 15-minute Settlement Interval after the start of the first SCED interval in which the QSGR is deployed</w:t>
            </w:r>
            <w:r>
              <w:t xml:space="preserve">; </w:t>
            </w:r>
            <w:r w:rsidR="001C7293">
              <w:t>or</w:t>
            </w:r>
          </w:p>
          <w:p w14:paraId="73BA34E3" w14:textId="4AD6B1DD" w:rsidR="004F4AC1" w:rsidRDefault="004F4AC1" w:rsidP="004F4AC1">
            <w:pPr>
              <w:pStyle w:val="BodyText"/>
              <w:ind w:left="1440" w:hanging="720"/>
            </w:pPr>
            <w:r>
              <w:lastRenderedPageBreak/>
              <w:t>(</w:t>
            </w:r>
            <w:r w:rsidR="001C7293">
              <w:t>e</w:t>
            </w:r>
            <w:r>
              <w:t>)</w:t>
            </w:r>
            <w:r>
              <w:tab/>
              <w:t>The flag signifying that an IRR has received a Base Point below the HDL used by SCED</w:t>
            </w:r>
            <w:r w:rsidR="00045FBB">
              <w:t xml:space="preserve"> or the IRR has been instructed not to exceed its Base Point</w:t>
            </w:r>
            <w:r>
              <w:t xml:space="preserve"> is not set in all SCED intervals within the 15-minute Settlement Interval.  For IRR Groups, the flag signifying that an IRR has received a Base Point below the HDL used by SCED </w:t>
            </w:r>
            <w:r w:rsidR="00045FBB">
              <w:t>or the IRR has been instructed not to exceed its Base Point</w:t>
            </w:r>
            <w:r w:rsidR="00045FBB" w:rsidRPr="00A261C3">
              <w:t xml:space="preserve"> </w:t>
            </w:r>
            <w:r>
              <w:t xml:space="preserve">is not set in all SCED intervals within the 15-minute Settlement Interval for any of the IRRs within the IRR Group. </w:t>
            </w:r>
          </w:p>
          <w:p w14:paraId="498BEA77" w14:textId="6E57EDDB" w:rsidR="004F4AC1" w:rsidRDefault="004F4AC1" w:rsidP="004F4AC1">
            <w:pPr>
              <w:pStyle w:val="List"/>
              <w:ind w:left="720"/>
            </w:pPr>
            <w:r>
              <w:t>(4)</w:t>
            </w:r>
            <w:r>
              <w:tab/>
              <w:t xml:space="preserve">In addition to the exemptions listed in paragraph (1) and (2) of this Section, </w:t>
            </w:r>
            <w:r w:rsidR="00EA6FD7">
              <w:t>Set</w:t>
            </w:r>
            <w:r>
              <w:t xml:space="preserve"> Point Deviation Charges do not apply to the QSE for the Controllable Load Resource for the 15-minute Settlement Interval if the following occur: </w:t>
            </w:r>
          </w:p>
          <w:p w14:paraId="17AEB6C4" w14:textId="474D3C86" w:rsidR="004F4AC1" w:rsidRDefault="004F4AC1" w:rsidP="004F4AC1">
            <w:pPr>
              <w:pStyle w:val="List"/>
            </w:pPr>
            <w:r>
              <w:t>(a)</w:t>
            </w:r>
            <w:r>
              <w:tab/>
              <w:t>T</w:t>
            </w:r>
            <w:r w:rsidRPr="006A6281">
              <w:t xml:space="preserve">he </w:t>
            </w:r>
            <w:r w:rsidR="00BD19E2">
              <w:t>computed Base Point</w:t>
            </w:r>
            <w:r w:rsidRPr="006A6281">
              <w:t xml:space="preserve"> is equal to the snapshot of its telemetered power consumption for all SCED runs during the Settlement Interval</w:t>
            </w:r>
            <w:r>
              <w:t>; or</w:t>
            </w:r>
          </w:p>
          <w:p w14:paraId="24A64762" w14:textId="224D58F5" w:rsidR="004F4AC1" w:rsidRDefault="004F4AC1" w:rsidP="004F4AC1">
            <w:pPr>
              <w:pStyle w:val="List"/>
            </w:pPr>
            <w:r>
              <w:t>(b)</w:t>
            </w:r>
            <w:r>
              <w:tab/>
              <w:t>The Controllable Load Resource is telemetering a status of OUTL</w:t>
            </w:r>
            <w:r w:rsidR="001754D0" w:rsidRPr="00A552C3">
              <w:t xml:space="preserve"> </w:t>
            </w:r>
            <w:r w:rsidR="001C0176">
              <w:t xml:space="preserve">or ONTEST </w:t>
            </w:r>
            <w:r w:rsidR="001754D0" w:rsidRPr="00A552C3">
              <w:t>anytime during the Settlement Interval</w:t>
            </w:r>
            <w:r>
              <w:t>.</w:t>
            </w:r>
          </w:p>
          <w:p w14:paraId="1A0D4DB3" w14:textId="2C7A10BF" w:rsidR="004F4AC1" w:rsidRDefault="004F4AC1" w:rsidP="004F4AC1">
            <w:pPr>
              <w:pStyle w:val="List"/>
              <w:ind w:left="720"/>
            </w:pPr>
            <w:r>
              <w:t>(5)</w:t>
            </w:r>
            <w:r>
              <w:tab/>
              <w:t xml:space="preserve">In addition to the exemptions listed in paragraph (1) and (2) of this Section, </w:t>
            </w:r>
            <w:r w:rsidR="00EA6FD7">
              <w:t>Set</w:t>
            </w:r>
            <w:r>
              <w:t xml:space="preserve"> Point Deviation Charges do not apply to the QSE for the ESR for the 15-minute Settlement Interval if the following occur: </w:t>
            </w:r>
          </w:p>
          <w:p w14:paraId="0B6A905E" w14:textId="1A1F2F1E" w:rsidR="004F4AC1" w:rsidRDefault="004F4AC1" w:rsidP="004F4AC1">
            <w:pPr>
              <w:pStyle w:val="List"/>
            </w:pPr>
            <w:r>
              <w:t>(a)</w:t>
            </w:r>
            <w:r>
              <w:tab/>
              <w:t xml:space="preserve">The ESR is telemetering a status of ONTEST </w:t>
            </w:r>
            <w:r w:rsidR="001754D0" w:rsidRPr="00A552C3">
              <w:t>anytime during the Settlement Interval</w:t>
            </w:r>
            <w:r>
              <w:t xml:space="preserve">; </w:t>
            </w:r>
            <w:r w:rsidR="001754D0">
              <w:t>or</w:t>
            </w:r>
          </w:p>
          <w:p w14:paraId="7105650A" w14:textId="4D5A7208" w:rsidR="00A2294D" w:rsidRPr="00B37C4B" w:rsidRDefault="004F4AC1" w:rsidP="001754D0">
            <w:pPr>
              <w:pStyle w:val="List"/>
            </w:pPr>
            <w:r>
              <w:t>(</w:t>
            </w:r>
            <w:r w:rsidR="001754D0">
              <w:t>b</w:t>
            </w:r>
            <w:r>
              <w:t>)</w:t>
            </w:r>
            <w:r>
              <w:tab/>
              <w:t>The AA</w:t>
            </w:r>
            <w:r w:rsidR="00EA6FD7">
              <w:t>S</w:t>
            </w:r>
            <w:r>
              <w:t>P is less than its average telemetered LSL.</w:t>
            </w:r>
          </w:p>
        </w:tc>
      </w:tr>
    </w:tbl>
    <w:p w14:paraId="5EA02B08" w14:textId="77777777" w:rsidR="001F04FD" w:rsidRDefault="001F04FD" w:rsidP="001F04FD">
      <w:pPr>
        <w:pStyle w:val="H4"/>
        <w:spacing w:before="480"/>
        <w:ind w:left="1267" w:hanging="1267"/>
      </w:pPr>
      <w:bookmarkStart w:id="2257" w:name="_Toc175157469"/>
      <w:bookmarkStart w:id="2258" w:name="_Toc204411698"/>
      <w:r>
        <w:lastRenderedPageBreak/>
        <w:t>6.6.5.4</w:t>
      </w:r>
      <w:r>
        <w:tab/>
        <w:t xml:space="preserve">Base Point Deviation </w:t>
      </w:r>
      <w:bookmarkEnd w:id="2231"/>
      <w:bookmarkEnd w:id="2232"/>
      <w:r>
        <w:t>Payment</w:t>
      </w:r>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57"/>
      <w:bookmarkEnd w:id="2258"/>
    </w:p>
    <w:p w14:paraId="419FB470" w14:textId="77777777" w:rsidR="001F04FD" w:rsidRDefault="001F04FD" w:rsidP="001F04FD">
      <w:pPr>
        <w:pStyle w:val="BodyTextNumbered"/>
      </w:pPr>
      <w:r>
        <w:t>(1)</w:t>
      </w:r>
      <w:r>
        <w:tab/>
        <w:t>ERCOT shall pay the Base Point Deviation Charges collected from the QSEs representing Resources to the QSEs representing Load based on LRS.  The payment to each QSE for a given 15-minute Settlement Interval is calculated as follows:</w:t>
      </w:r>
    </w:p>
    <w:p w14:paraId="26DA0EEC" w14:textId="77777777" w:rsidR="001F04FD" w:rsidRDefault="001F04FD" w:rsidP="001F04FD">
      <w:pPr>
        <w:pStyle w:val="FormulaBold"/>
      </w:pPr>
      <w:r>
        <w:t xml:space="preserve">LABPDAMT </w:t>
      </w:r>
      <w:r>
        <w:rPr>
          <w:i/>
          <w:vertAlign w:val="subscript"/>
        </w:rPr>
        <w:t>q</w:t>
      </w:r>
      <w:r>
        <w:tab/>
        <w:t>=</w:t>
      </w:r>
      <w:r>
        <w:tab/>
        <w:t xml:space="preserve">(-1) * BPDAMTTOT * LRS </w:t>
      </w:r>
      <w:r>
        <w:rPr>
          <w:i/>
          <w:vertAlign w:val="subscript"/>
        </w:rPr>
        <w:t>q</w:t>
      </w:r>
    </w:p>
    <w:p w14:paraId="167B2C3C" w14:textId="77777777" w:rsidR="001F04FD" w:rsidRDefault="001F04FD" w:rsidP="001F04FD">
      <w:pPr>
        <w:pStyle w:val="BodyText"/>
        <w:rPr>
          <w:vertAlign w:val="subscript"/>
        </w:rPr>
      </w:pPr>
      <w:r>
        <w:t>Where:</w:t>
      </w:r>
    </w:p>
    <w:p w14:paraId="0E5CABA1" w14:textId="77777777" w:rsidR="001F04FD" w:rsidRDefault="001F04FD" w:rsidP="001F04FD">
      <w:pPr>
        <w:pStyle w:val="Formula"/>
        <w:ind w:left="2880" w:hanging="2160"/>
      </w:pPr>
      <w:r>
        <w:t>BPDAMTTOT</w:t>
      </w:r>
      <w:r>
        <w:tab/>
        <w:t>=</w:t>
      </w:r>
      <w:r>
        <w:tab/>
      </w:r>
      <w:r w:rsidRPr="006F784F">
        <w:rPr>
          <w:position w:val="-22"/>
        </w:rPr>
        <w:object w:dxaOrig="210" w:dyaOrig="465" w14:anchorId="7EF5374A">
          <v:shape id="_x0000_i1196" type="#_x0000_t75" style="width:5.4pt;height:24.6pt" o:ole="">
            <v:imagedata r:id="rId228" o:title=""/>
          </v:shape>
          <o:OLEObject Type="Embed" ProgID="Equation.3" ShapeID="_x0000_i1196" DrawAspect="Content" ObjectID="_1815025386" r:id="rId229"/>
        </w:object>
      </w:r>
      <w:r>
        <w:t xml:space="preserve">BPDAMTQSETOT </w:t>
      </w:r>
      <w:r>
        <w:rPr>
          <w:i/>
          <w:vertAlign w:val="subscript"/>
        </w:rPr>
        <w:t>q</w:t>
      </w:r>
    </w:p>
    <w:p w14:paraId="1430EAF3" w14:textId="77777777" w:rsidR="001F04FD" w:rsidRDefault="001F04FD" w:rsidP="001F04FD">
      <w:pPr>
        <w:pStyle w:val="Formula"/>
        <w:ind w:left="2880" w:hanging="2160"/>
      </w:pPr>
      <w:r>
        <w:t xml:space="preserve">BPDAMTQSETOT </w:t>
      </w:r>
      <w:r>
        <w:rPr>
          <w:i/>
          <w:vertAlign w:val="subscript"/>
        </w:rPr>
        <w:t>q</w:t>
      </w:r>
      <w:r>
        <w:tab/>
        <w:t>=</w:t>
      </w:r>
      <w:r>
        <w:tab/>
      </w:r>
      <w:r w:rsidRPr="006F784F">
        <w:rPr>
          <w:position w:val="-22"/>
        </w:rPr>
        <w:object w:dxaOrig="210" w:dyaOrig="465" w14:anchorId="20570DD1">
          <v:shape id="_x0000_i1197" type="#_x0000_t75" style="width:5.4pt;height:24.6pt" o:ole="">
            <v:imagedata r:id="rId230" o:title=""/>
          </v:shape>
          <o:OLEObject Type="Embed" ProgID="Equation.3" ShapeID="_x0000_i1197" DrawAspect="Content" ObjectID="_1815025387" r:id="rId231"/>
        </w:object>
      </w:r>
      <w:r w:rsidRPr="006F784F">
        <w:rPr>
          <w:position w:val="-18"/>
        </w:rPr>
        <w:object w:dxaOrig="210" w:dyaOrig="420" w14:anchorId="46B9CF2F">
          <v:shape id="_x0000_i1198" type="#_x0000_t75" style="width:5.4pt;height:24pt" o:ole="">
            <v:imagedata r:id="rId232" o:title=""/>
          </v:shape>
          <o:OLEObject Type="Embed" ProgID="Equation.3" ShapeID="_x0000_i1198" DrawAspect="Content" ObjectID="_1815025388" r:id="rId233"/>
        </w:object>
      </w:r>
      <w:r>
        <w:t xml:space="preserve">BPDAMT </w:t>
      </w:r>
      <w:r>
        <w:rPr>
          <w:i/>
          <w:vertAlign w:val="subscript"/>
        </w:rPr>
        <w:t>q, r, p</w:t>
      </w:r>
    </w:p>
    <w:p w14:paraId="33B22D3E" w14:textId="77777777" w:rsidR="001F04FD" w:rsidRDefault="001F04FD" w:rsidP="001F04FD">
      <w:r>
        <w:t>The above variables are defined as follows:</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605"/>
        <w:gridCol w:w="7112"/>
      </w:tblGrid>
      <w:tr w:rsidR="001F04FD" w14:paraId="193E50B0" w14:textId="77777777" w:rsidTr="00AC4DEE">
        <w:trPr>
          <w:cantSplit/>
          <w:tblHeader/>
        </w:trPr>
        <w:tc>
          <w:tcPr>
            <w:tcW w:w="2032" w:type="dxa"/>
          </w:tcPr>
          <w:p w14:paraId="557E6981" w14:textId="77777777" w:rsidR="001F04FD" w:rsidRDefault="001F04FD" w:rsidP="00AC4DEE">
            <w:pPr>
              <w:pStyle w:val="TableHead"/>
            </w:pPr>
            <w:r>
              <w:t>Variable</w:t>
            </w:r>
          </w:p>
        </w:tc>
        <w:tc>
          <w:tcPr>
            <w:tcW w:w="0" w:type="auto"/>
          </w:tcPr>
          <w:p w14:paraId="6DA26CBA" w14:textId="77777777" w:rsidR="001F04FD" w:rsidRDefault="001F04FD" w:rsidP="00AC4DEE">
            <w:pPr>
              <w:pStyle w:val="TableHead"/>
            </w:pPr>
            <w:r>
              <w:t>Unit</w:t>
            </w:r>
          </w:p>
        </w:tc>
        <w:tc>
          <w:tcPr>
            <w:tcW w:w="0" w:type="auto"/>
          </w:tcPr>
          <w:p w14:paraId="0B3206DF" w14:textId="77777777" w:rsidR="001F04FD" w:rsidRDefault="001F04FD" w:rsidP="00AC4DEE">
            <w:pPr>
              <w:pStyle w:val="TableHead"/>
            </w:pPr>
            <w:r>
              <w:t>Definition</w:t>
            </w:r>
          </w:p>
        </w:tc>
      </w:tr>
      <w:tr w:rsidR="001F04FD" w14:paraId="4646286A" w14:textId="77777777" w:rsidTr="00AC4DEE">
        <w:trPr>
          <w:cantSplit/>
        </w:trPr>
        <w:tc>
          <w:tcPr>
            <w:tcW w:w="2032" w:type="dxa"/>
          </w:tcPr>
          <w:p w14:paraId="06AA21D8" w14:textId="77777777" w:rsidR="001F04FD" w:rsidRDefault="001F04FD" w:rsidP="00AC4DEE">
            <w:pPr>
              <w:pStyle w:val="TableBody"/>
            </w:pPr>
            <w:r>
              <w:t xml:space="preserve">LABPDAMT </w:t>
            </w:r>
            <w:r w:rsidRPr="00E15B17">
              <w:rPr>
                <w:i/>
                <w:vertAlign w:val="subscript"/>
              </w:rPr>
              <w:t>q</w:t>
            </w:r>
          </w:p>
        </w:tc>
        <w:tc>
          <w:tcPr>
            <w:tcW w:w="0" w:type="auto"/>
          </w:tcPr>
          <w:p w14:paraId="47E10DE5" w14:textId="77777777" w:rsidR="001F04FD" w:rsidRDefault="001F04FD" w:rsidP="00AC4DEE">
            <w:pPr>
              <w:pStyle w:val="TableBody"/>
            </w:pPr>
            <w:r>
              <w:t>$</w:t>
            </w:r>
          </w:p>
        </w:tc>
        <w:tc>
          <w:tcPr>
            <w:tcW w:w="0" w:type="auto"/>
          </w:tcPr>
          <w:p w14:paraId="1FDEED66" w14:textId="77777777" w:rsidR="001F04FD" w:rsidRDefault="001F04FD" w:rsidP="00AC4DEE">
            <w:pPr>
              <w:pStyle w:val="TableBody"/>
            </w:pPr>
            <w:r>
              <w:rPr>
                <w:i/>
              </w:rPr>
              <w:t>Load-Allocated Base Point Deviation Amount per QSE</w:t>
            </w:r>
            <w:r>
              <w:t xml:space="preserve">—QSE </w:t>
            </w:r>
            <w:r>
              <w:rPr>
                <w:i/>
              </w:rPr>
              <w:t>q</w:t>
            </w:r>
            <w:r>
              <w:t>’s share of the total charge for all Resources’ Base Point deviations, based on LRS for the 15-minute Settlement Interval.</w:t>
            </w:r>
          </w:p>
        </w:tc>
      </w:tr>
      <w:tr w:rsidR="001F04FD" w14:paraId="6D899BB7" w14:textId="77777777" w:rsidTr="00AC4DEE">
        <w:trPr>
          <w:cantSplit/>
        </w:trPr>
        <w:tc>
          <w:tcPr>
            <w:tcW w:w="2032" w:type="dxa"/>
          </w:tcPr>
          <w:p w14:paraId="0C89337E" w14:textId="77777777" w:rsidR="001F04FD" w:rsidRDefault="001F04FD" w:rsidP="00AC4DEE">
            <w:pPr>
              <w:pStyle w:val="TableBody"/>
            </w:pPr>
            <w:r>
              <w:lastRenderedPageBreak/>
              <w:t>BPDAMTTOT</w:t>
            </w:r>
          </w:p>
        </w:tc>
        <w:tc>
          <w:tcPr>
            <w:tcW w:w="0" w:type="auto"/>
          </w:tcPr>
          <w:p w14:paraId="0689191B" w14:textId="77777777" w:rsidR="001F04FD" w:rsidRDefault="001F04FD" w:rsidP="00AC4DEE">
            <w:pPr>
              <w:pStyle w:val="TableBody"/>
            </w:pPr>
            <w:r>
              <w:t>$</w:t>
            </w:r>
          </w:p>
        </w:tc>
        <w:tc>
          <w:tcPr>
            <w:tcW w:w="0" w:type="auto"/>
          </w:tcPr>
          <w:p w14:paraId="5494DA5A" w14:textId="77777777" w:rsidR="001F04FD" w:rsidRDefault="001F04FD" w:rsidP="00AC4DEE">
            <w:pPr>
              <w:pStyle w:val="TableBody"/>
              <w:rPr>
                <w:i/>
              </w:rPr>
            </w:pPr>
            <w:r>
              <w:rPr>
                <w:i/>
              </w:rPr>
              <w:t>Base Point Deviation Amount Total</w:t>
            </w:r>
            <w:r>
              <w:t>—The total of Base Point Deviation Charges to all QSEs for all Resources, for the 15-minute Settlement Interval.</w:t>
            </w:r>
          </w:p>
        </w:tc>
      </w:tr>
      <w:tr w:rsidR="001F04FD" w14:paraId="0E9017CB" w14:textId="77777777" w:rsidTr="00AC4DEE">
        <w:trPr>
          <w:cantSplit/>
        </w:trPr>
        <w:tc>
          <w:tcPr>
            <w:tcW w:w="2032" w:type="dxa"/>
          </w:tcPr>
          <w:p w14:paraId="5327A055" w14:textId="77777777" w:rsidR="001F04FD" w:rsidRDefault="001F04FD" w:rsidP="00AC4DEE">
            <w:pPr>
              <w:pStyle w:val="TableBody"/>
            </w:pPr>
            <w:r>
              <w:t xml:space="preserve">BPDAMTQSETOT </w:t>
            </w:r>
            <w:r w:rsidRPr="00E15B17">
              <w:rPr>
                <w:i/>
                <w:vertAlign w:val="subscript"/>
              </w:rPr>
              <w:t>q</w:t>
            </w:r>
          </w:p>
        </w:tc>
        <w:tc>
          <w:tcPr>
            <w:tcW w:w="0" w:type="auto"/>
          </w:tcPr>
          <w:p w14:paraId="323EC99A" w14:textId="77777777" w:rsidR="001F04FD" w:rsidRDefault="001F04FD" w:rsidP="00AC4DEE">
            <w:pPr>
              <w:pStyle w:val="TableBody"/>
            </w:pPr>
            <w:r>
              <w:t>$</w:t>
            </w:r>
          </w:p>
        </w:tc>
        <w:tc>
          <w:tcPr>
            <w:tcW w:w="0" w:type="auto"/>
          </w:tcPr>
          <w:p w14:paraId="2DC8E1ED" w14:textId="77777777" w:rsidR="001F04FD" w:rsidRDefault="001F04FD" w:rsidP="00AC4DEE">
            <w:pPr>
              <w:pStyle w:val="TableBody"/>
              <w:rPr>
                <w:i/>
              </w:rPr>
            </w:pPr>
            <w:r>
              <w:rPr>
                <w:i/>
              </w:rPr>
              <w:t>Base Point Deviation Amount QSE Total per QSE</w:t>
            </w:r>
            <w:r>
              <w:t xml:space="preserve">—The total of Base Point Deviation Charges to QSE </w:t>
            </w:r>
            <w:r>
              <w:rPr>
                <w:i/>
              </w:rPr>
              <w:t>q</w:t>
            </w:r>
            <w:r>
              <w:t xml:space="preserve"> for all Resources represented by this QSE, for the 15-minute Settlement Interval.</w:t>
            </w:r>
          </w:p>
        </w:tc>
      </w:tr>
      <w:tr w:rsidR="001F04FD" w14:paraId="3E6D8723" w14:textId="77777777" w:rsidTr="00AC4DEE">
        <w:trPr>
          <w:cantSplit/>
        </w:trPr>
        <w:tc>
          <w:tcPr>
            <w:tcW w:w="2032" w:type="dxa"/>
          </w:tcPr>
          <w:p w14:paraId="48ED804A" w14:textId="77777777" w:rsidR="001F04FD" w:rsidRDefault="001F04FD" w:rsidP="00AC4DEE">
            <w:pPr>
              <w:pStyle w:val="TableBody"/>
            </w:pPr>
            <w:r>
              <w:t xml:space="preserve">BPDAMT </w:t>
            </w:r>
            <w:r w:rsidRPr="00E15B17">
              <w:rPr>
                <w:i/>
                <w:vertAlign w:val="subscript"/>
              </w:rPr>
              <w:t>q, r, p</w:t>
            </w:r>
          </w:p>
        </w:tc>
        <w:tc>
          <w:tcPr>
            <w:tcW w:w="0" w:type="auto"/>
          </w:tcPr>
          <w:p w14:paraId="5A5F83E7" w14:textId="77777777" w:rsidR="001F04FD" w:rsidRDefault="001F04FD" w:rsidP="00AC4DEE">
            <w:pPr>
              <w:pStyle w:val="TableBody"/>
            </w:pPr>
            <w:r>
              <w:t>$</w:t>
            </w:r>
          </w:p>
        </w:tc>
        <w:tc>
          <w:tcPr>
            <w:tcW w:w="0" w:type="auto"/>
          </w:tcPr>
          <w:p w14:paraId="1D5419C6" w14:textId="75F25806" w:rsidR="001F04FD" w:rsidRDefault="001F04FD" w:rsidP="00AC4DEE">
            <w:pPr>
              <w:pStyle w:val="TableBody"/>
            </w:pPr>
            <w:r>
              <w:rPr>
                <w:i/>
              </w:rPr>
              <w:t>Base Point Deviation Charge per QSE per Settlement Point per Resource</w:t>
            </w:r>
            <w:r>
              <w:t xml:space="preserve">—The charge to QSE </w:t>
            </w:r>
            <w:r>
              <w:rPr>
                <w:i/>
              </w:rPr>
              <w:t>q</w:t>
            </w:r>
            <w:r>
              <w:t xml:space="preserve"> for Generation Resource or </w:t>
            </w:r>
            <w:r w:rsidR="00F144CE">
              <w:t>CLR</w:t>
            </w:r>
            <w:r>
              <w:t xml:space="preserve"> </w:t>
            </w:r>
            <w:r>
              <w:rPr>
                <w:i/>
              </w:rPr>
              <w:t>r</w:t>
            </w:r>
            <w:r>
              <w:t xml:space="preserve"> at Settlement Node </w:t>
            </w:r>
            <w:r>
              <w:rPr>
                <w:i/>
              </w:rPr>
              <w:t>p</w:t>
            </w:r>
            <w:r>
              <w:t>, for its deviation from Base Point, for the 15-minute Settlement Interval.  A Base Point Deviation Charge is charged to the Combined Cycle Train for all Combined Cycle Generation Resources.</w:t>
            </w:r>
          </w:p>
        </w:tc>
      </w:tr>
      <w:tr w:rsidR="001F04FD" w14:paraId="1B9881DB" w14:textId="77777777" w:rsidTr="00AC4DEE">
        <w:trPr>
          <w:cantSplit/>
        </w:trPr>
        <w:tc>
          <w:tcPr>
            <w:tcW w:w="2032" w:type="dxa"/>
          </w:tcPr>
          <w:p w14:paraId="0AE62B20" w14:textId="77777777" w:rsidR="001F04FD" w:rsidRDefault="001F04FD" w:rsidP="00AC4DEE">
            <w:pPr>
              <w:pStyle w:val="TableBody"/>
            </w:pPr>
            <w:r>
              <w:t xml:space="preserve">LRS </w:t>
            </w:r>
            <w:r w:rsidRPr="00E15B17">
              <w:rPr>
                <w:i/>
                <w:vertAlign w:val="subscript"/>
              </w:rPr>
              <w:t>q</w:t>
            </w:r>
          </w:p>
        </w:tc>
        <w:tc>
          <w:tcPr>
            <w:tcW w:w="0" w:type="auto"/>
          </w:tcPr>
          <w:p w14:paraId="3B112332" w14:textId="77777777" w:rsidR="001F04FD" w:rsidRDefault="001F04FD" w:rsidP="00AC4DEE">
            <w:pPr>
              <w:pStyle w:val="TableBody"/>
            </w:pPr>
            <w:r>
              <w:t>none</w:t>
            </w:r>
          </w:p>
        </w:tc>
        <w:tc>
          <w:tcPr>
            <w:tcW w:w="0" w:type="auto"/>
          </w:tcPr>
          <w:p w14:paraId="1B801453" w14:textId="77777777" w:rsidR="001F04FD" w:rsidRDefault="001F04FD" w:rsidP="00AC4DEE">
            <w:pPr>
              <w:pStyle w:val="TableBody"/>
            </w:pPr>
            <w:r>
              <w:t xml:space="preserve">The LRS calculated for QSE </w:t>
            </w:r>
            <w:r>
              <w:rPr>
                <w:i/>
              </w:rPr>
              <w:t>q</w:t>
            </w:r>
            <w:r>
              <w:t xml:space="preserve"> for the 15-minute Settlement Interval.  See Section 6.6.2.2, QSE Load Ratio Share for a 15-Minute Settlement Interval.</w:t>
            </w:r>
          </w:p>
        </w:tc>
      </w:tr>
      <w:tr w:rsidR="001F04FD" w14:paraId="65F92349" w14:textId="77777777" w:rsidTr="00AC4DEE">
        <w:trPr>
          <w:cantSplit/>
        </w:trPr>
        <w:tc>
          <w:tcPr>
            <w:tcW w:w="2032" w:type="dxa"/>
          </w:tcPr>
          <w:p w14:paraId="44BA6FE5" w14:textId="77777777" w:rsidR="001F04FD" w:rsidRPr="0032251F" w:rsidRDefault="001F04FD" w:rsidP="00AC4DEE">
            <w:pPr>
              <w:pStyle w:val="TableBody"/>
              <w:rPr>
                <w:i/>
              </w:rPr>
            </w:pPr>
            <w:r w:rsidRPr="00D661BC">
              <w:rPr>
                <w:i/>
              </w:rPr>
              <w:t>q</w:t>
            </w:r>
          </w:p>
        </w:tc>
        <w:tc>
          <w:tcPr>
            <w:tcW w:w="0" w:type="auto"/>
          </w:tcPr>
          <w:p w14:paraId="3F638D04" w14:textId="77777777" w:rsidR="001F04FD" w:rsidRDefault="001F04FD" w:rsidP="00AC4DEE">
            <w:pPr>
              <w:pStyle w:val="TableBody"/>
            </w:pPr>
            <w:r>
              <w:t>none</w:t>
            </w:r>
          </w:p>
        </w:tc>
        <w:tc>
          <w:tcPr>
            <w:tcW w:w="0" w:type="auto"/>
          </w:tcPr>
          <w:p w14:paraId="6925B0B6" w14:textId="77777777" w:rsidR="001F04FD" w:rsidRDefault="001F04FD" w:rsidP="00AC4DEE">
            <w:pPr>
              <w:pStyle w:val="TableBody"/>
            </w:pPr>
            <w:r>
              <w:t>A QSE.</w:t>
            </w:r>
          </w:p>
        </w:tc>
      </w:tr>
      <w:tr w:rsidR="001F04FD" w14:paraId="354EF5EB" w14:textId="77777777" w:rsidTr="00AC4DEE">
        <w:trPr>
          <w:cantSplit/>
        </w:trPr>
        <w:tc>
          <w:tcPr>
            <w:tcW w:w="2032" w:type="dxa"/>
          </w:tcPr>
          <w:p w14:paraId="21CB9A50" w14:textId="77777777" w:rsidR="001F04FD" w:rsidRPr="0032251F" w:rsidRDefault="001F04FD" w:rsidP="00AC4DEE">
            <w:pPr>
              <w:pStyle w:val="TableBody"/>
              <w:rPr>
                <w:i/>
              </w:rPr>
            </w:pPr>
            <w:r w:rsidRPr="00D661BC">
              <w:rPr>
                <w:i/>
              </w:rPr>
              <w:t>p</w:t>
            </w:r>
          </w:p>
        </w:tc>
        <w:tc>
          <w:tcPr>
            <w:tcW w:w="0" w:type="auto"/>
          </w:tcPr>
          <w:p w14:paraId="1AEBAD08" w14:textId="77777777" w:rsidR="001F04FD" w:rsidRDefault="001F04FD" w:rsidP="00AC4DEE">
            <w:pPr>
              <w:pStyle w:val="TableBody"/>
            </w:pPr>
            <w:r>
              <w:t>none</w:t>
            </w:r>
          </w:p>
        </w:tc>
        <w:tc>
          <w:tcPr>
            <w:tcW w:w="0" w:type="auto"/>
          </w:tcPr>
          <w:p w14:paraId="5E59C7B3" w14:textId="77777777" w:rsidR="001F04FD" w:rsidRDefault="001F04FD" w:rsidP="00AC4DEE">
            <w:pPr>
              <w:pStyle w:val="TableBody"/>
            </w:pPr>
            <w:r>
              <w:t>A Settlement Point.</w:t>
            </w:r>
          </w:p>
        </w:tc>
      </w:tr>
      <w:tr w:rsidR="001F04FD" w14:paraId="79F11D58" w14:textId="77777777" w:rsidTr="00AC4DEE">
        <w:trPr>
          <w:cantSplit/>
        </w:trPr>
        <w:tc>
          <w:tcPr>
            <w:tcW w:w="2032" w:type="dxa"/>
          </w:tcPr>
          <w:p w14:paraId="313D14AF" w14:textId="520320BD" w:rsidR="001F04FD" w:rsidRPr="0032251F" w:rsidRDefault="00EA6FD7" w:rsidP="00AC4DEE">
            <w:pPr>
              <w:pStyle w:val="TableBody"/>
              <w:rPr>
                <w:i/>
              </w:rPr>
            </w:pPr>
            <w:r>
              <w:rPr>
                <w:i/>
              </w:rPr>
              <w:t>r</w:t>
            </w:r>
          </w:p>
        </w:tc>
        <w:tc>
          <w:tcPr>
            <w:tcW w:w="0" w:type="auto"/>
          </w:tcPr>
          <w:p w14:paraId="0F4F4F06" w14:textId="77777777" w:rsidR="001F04FD" w:rsidRDefault="001F04FD" w:rsidP="00AC4DEE">
            <w:pPr>
              <w:pStyle w:val="TableBody"/>
            </w:pPr>
            <w:r>
              <w:t>none</w:t>
            </w:r>
          </w:p>
        </w:tc>
        <w:tc>
          <w:tcPr>
            <w:tcW w:w="0" w:type="auto"/>
          </w:tcPr>
          <w:p w14:paraId="70975DA9" w14:textId="77777777" w:rsidR="001F04FD" w:rsidRDefault="001F04FD" w:rsidP="00AC4DEE">
            <w:pPr>
              <w:pStyle w:val="TableBody"/>
            </w:pPr>
            <w:r>
              <w:t>A Generation Resource or Controllable Load Resource.</w:t>
            </w:r>
          </w:p>
        </w:tc>
      </w:tr>
    </w:tbl>
    <w:p w14:paraId="6F8DC97A" w14:textId="77777777" w:rsidR="00EA6FD7" w:rsidRPr="00EA6FD7" w:rsidRDefault="00EA6FD7" w:rsidP="00EA6FD7">
      <w:pPr>
        <w:pStyle w:val="BodyText"/>
        <w:spacing w:after="0"/>
      </w:pPr>
      <w:bookmarkStart w:id="2259" w:name="_Toc87951797"/>
      <w:bookmarkStart w:id="2260" w:name="_Toc109009407"/>
      <w:bookmarkStart w:id="2261" w:name="_Toc397505026"/>
      <w:bookmarkStart w:id="2262" w:name="_Toc402357158"/>
      <w:bookmarkStart w:id="2263" w:name="_Toc422486538"/>
      <w:bookmarkStart w:id="2264" w:name="_Toc433093391"/>
      <w:bookmarkStart w:id="2265" w:name="_Toc433093549"/>
      <w:bookmarkStart w:id="2266" w:name="_Toc440874779"/>
      <w:bookmarkStart w:id="2267" w:name="_Toc448142336"/>
      <w:bookmarkStart w:id="2268" w:name="_Toc448142493"/>
      <w:bookmarkStart w:id="2269" w:name="_Toc458770334"/>
      <w:bookmarkStart w:id="2270" w:name="_Toc459294302"/>
      <w:bookmarkStart w:id="2271" w:name="_Toc463262795"/>
      <w:bookmarkStart w:id="2272" w:name="_Toc468286868"/>
      <w:bookmarkStart w:id="2273" w:name="_Toc481502908"/>
      <w:bookmarkStart w:id="2274" w:name="_Toc496080076"/>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EA6FD7" w14:paraId="33F01ACF" w14:textId="77777777" w:rsidTr="00BE571E">
        <w:trPr>
          <w:trHeight w:val="206"/>
        </w:trPr>
        <w:tc>
          <w:tcPr>
            <w:tcW w:w="9350" w:type="dxa"/>
            <w:shd w:val="pct12" w:color="auto" w:fill="auto"/>
          </w:tcPr>
          <w:p w14:paraId="144F6479" w14:textId="14D5319A" w:rsidR="00EA6FD7" w:rsidRDefault="00EA6FD7" w:rsidP="00BE571E">
            <w:pPr>
              <w:pStyle w:val="Instructions"/>
              <w:spacing w:before="120"/>
            </w:pPr>
            <w:r>
              <w:t>[NPRR1010</w:t>
            </w:r>
            <w:r w:rsidR="008152FC">
              <w:t xml:space="preserve"> and NPRR1246</w:t>
            </w:r>
            <w:r>
              <w:t>:  Replace Section 6.6.5.4 above with the following upon system implementation of the Real-Time Co-Optimization (RTC) project:]</w:t>
            </w:r>
          </w:p>
          <w:p w14:paraId="0C119EE7" w14:textId="77777777" w:rsidR="00EA6FD7" w:rsidRDefault="00EA6FD7" w:rsidP="00EA6FD7">
            <w:pPr>
              <w:keepNext/>
              <w:widowControl w:val="0"/>
              <w:tabs>
                <w:tab w:val="left" w:pos="1260"/>
              </w:tabs>
              <w:spacing w:before="480" w:after="240"/>
              <w:ind w:left="1267" w:hanging="1267"/>
              <w:outlineLvl w:val="3"/>
              <w:rPr>
                <w:b/>
                <w:bCs/>
                <w:snapToGrid w:val="0"/>
              </w:rPr>
            </w:pPr>
            <w:bookmarkStart w:id="2275" w:name="_Toc60040705"/>
            <w:bookmarkStart w:id="2276" w:name="_Toc65151764"/>
            <w:bookmarkStart w:id="2277" w:name="_Toc80174790"/>
            <w:bookmarkStart w:id="2278" w:name="_Toc112417670"/>
            <w:bookmarkStart w:id="2279" w:name="_Toc119310339"/>
            <w:bookmarkStart w:id="2280" w:name="_Toc125966272"/>
            <w:bookmarkStart w:id="2281" w:name="_Toc135992370"/>
            <w:bookmarkStart w:id="2282" w:name="_Toc170303566"/>
            <w:bookmarkStart w:id="2283" w:name="_Toc175157470"/>
            <w:bookmarkStart w:id="2284" w:name="_Toc204411699"/>
            <w:r>
              <w:rPr>
                <w:b/>
                <w:bCs/>
                <w:snapToGrid w:val="0"/>
              </w:rPr>
              <w:t>6.6.5.4</w:t>
            </w:r>
            <w:r>
              <w:rPr>
                <w:b/>
                <w:bCs/>
                <w:snapToGrid w:val="0"/>
              </w:rPr>
              <w:tab/>
              <w:t>Set Point Deviation Payment</w:t>
            </w:r>
            <w:bookmarkEnd w:id="2275"/>
            <w:bookmarkEnd w:id="2276"/>
            <w:bookmarkEnd w:id="2277"/>
            <w:bookmarkEnd w:id="2278"/>
            <w:bookmarkEnd w:id="2279"/>
            <w:bookmarkEnd w:id="2280"/>
            <w:bookmarkEnd w:id="2281"/>
            <w:bookmarkEnd w:id="2282"/>
            <w:bookmarkEnd w:id="2283"/>
            <w:bookmarkEnd w:id="2284"/>
          </w:p>
          <w:p w14:paraId="1B09C230" w14:textId="77777777" w:rsidR="00EA6FD7" w:rsidRDefault="00EA6FD7" w:rsidP="00EA6FD7">
            <w:pPr>
              <w:spacing w:after="240"/>
              <w:ind w:left="720" w:hanging="720"/>
            </w:pPr>
            <w:r>
              <w:t>(1)</w:t>
            </w:r>
            <w:r>
              <w:tab/>
              <w:t>ERCOT shall pay the Set Point Deviation Charges collected from the QSEs representing Resources to the QSEs representing Load based on LRS.  The payment to each QSE for a given 15-minute Settlement Interval is calculated as follows:</w:t>
            </w:r>
          </w:p>
          <w:p w14:paraId="606B5CBD" w14:textId="77777777" w:rsidR="00EA6FD7" w:rsidRDefault="00EA6FD7" w:rsidP="00EA6FD7">
            <w:pPr>
              <w:tabs>
                <w:tab w:val="left" w:pos="2250"/>
                <w:tab w:val="left" w:pos="3150"/>
                <w:tab w:val="left" w:pos="3960"/>
              </w:tabs>
              <w:spacing w:after="240"/>
              <w:ind w:left="3960" w:hanging="3240"/>
              <w:rPr>
                <w:b/>
                <w:bCs/>
                <w:szCs w:val="24"/>
              </w:rPr>
            </w:pPr>
            <w:r>
              <w:rPr>
                <w:b/>
                <w:bCs/>
              </w:rPr>
              <w:t xml:space="preserve">LASPDAMT </w:t>
            </w:r>
            <w:r>
              <w:rPr>
                <w:b/>
                <w:bCs/>
                <w:i/>
                <w:vertAlign w:val="subscript"/>
              </w:rPr>
              <w:t>q</w:t>
            </w:r>
            <w:r>
              <w:rPr>
                <w:b/>
                <w:bCs/>
              </w:rPr>
              <w:tab/>
              <w:t>=</w:t>
            </w:r>
            <w:r>
              <w:rPr>
                <w:b/>
                <w:bCs/>
              </w:rPr>
              <w:tab/>
              <w:t xml:space="preserve">(-1) * SPDAMTTOT * LRS </w:t>
            </w:r>
            <w:r>
              <w:rPr>
                <w:b/>
                <w:bCs/>
                <w:i/>
                <w:vertAlign w:val="subscript"/>
              </w:rPr>
              <w:t>q</w:t>
            </w:r>
          </w:p>
          <w:p w14:paraId="11D1AC6F" w14:textId="77777777" w:rsidR="00EA6FD7" w:rsidRDefault="00EA6FD7" w:rsidP="00EA6FD7">
            <w:pPr>
              <w:spacing w:after="240"/>
              <w:rPr>
                <w:iCs/>
                <w:vertAlign w:val="subscript"/>
              </w:rPr>
            </w:pPr>
            <w:r>
              <w:rPr>
                <w:iCs/>
              </w:rPr>
              <w:t>Where:</w:t>
            </w:r>
          </w:p>
          <w:p w14:paraId="33D0D5C6" w14:textId="5940A8C4" w:rsidR="00EA6FD7" w:rsidRDefault="00EA6FD7" w:rsidP="00EA6FD7">
            <w:pPr>
              <w:tabs>
                <w:tab w:val="left" w:pos="2160"/>
                <w:tab w:val="left" w:pos="2880"/>
              </w:tabs>
              <w:spacing w:after="240"/>
              <w:ind w:leftChars="300" w:left="2880" w:hangingChars="900" w:hanging="2160"/>
              <w:rPr>
                <w:bCs/>
                <w:szCs w:val="24"/>
              </w:rPr>
            </w:pPr>
            <w:r>
              <w:rPr>
                <w:bCs/>
              </w:rPr>
              <w:t>SPDAMTTOT</w:t>
            </w:r>
            <w:r>
              <w:rPr>
                <w:bCs/>
              </w:rPr>
              <w:tab/>
              <w:t>=</w:t>
            </w:r>
            <w:r>
              <w:rPr>
                <w:bCs/>
              </w:rPr>
              <w:tab/>
            </w:r>
            <w:r>
              <w:rPr>
                <w:bCs/>
                <w:position w:val="-22"/>
                <w:szCs w:val="24"/>
              </w:rPr>
              <w:object w:dxaOrig="150" w:dyaOrig="435" w14:anchorId="5B085978">
                <v:shape id="_x0000_i1199" type="#_x0000_t75" style="width:5.4pt;height:30pt" o:ole="">
                  <v:imagedata r:id="rId228" o:title=""/>
                </v:shape>
                <o:OLEObject Type="Embed" ProgID="Equation.3" ShapeID="_x0000_i1199" DrawAspect="Content" ObjectID="_1815025389" r:id="rId234"/>
              </w:object>
            </w:r>
            <w:r>
              <w:rPr>
                <w:bCs/>
              </w:rPr>
              <w:t xml:space="preserve">SPDAMTQSETOT </w:t>
            </w:r>
            <w:r>
              <w:rPr>
                <w:bCs/>
                <w:i/>
                <w:vertAlign w:val="subscript"/>
              </w:rPr>
              <w:t>q</w:t>
            </w:r>
          </w:p>
          <w:p w14:paraId="6DA5D04A" w14:textId="6AF6A357" w:rsidR="00EA6FD7" w:rsidRDefault="00EA6FD7" w:rsidP="00EA6FD7">
            <w:pPr>
              <w:tabs>
                <w:tab w:val="left" w:pos="2160"/>
                <w:tab w:val="left" w:pos="2880"/>
              </w:tabs>
              <w:spacing w:after="240"/>
              <w:ind w:leftChars="300" w:left="2880" w:hangingChars="900" w:hanging="2160"/>
              <w:rPr>
                <w:bCs/>
              </w:rPr>
            </w:pPr>
            <w:r>
              <w:rPr>
                <w:bCs/>
              </w:rPr>
              <w:t xml:space="preserve">SPDAMTQSETOT </w:t>
            </w:r>
            <w:r>
              <w:rPr>
                <w:bCs/>
                <w:i/>
                <w:vertAlign w:val="subscript"/>
              </w:rPr>
              <w:t>q</w:t>
            </w:r>
            <w:r>
              <w:rPr>
                <w:bCs/>
              </w:rPr>
              <w:tab/>
              <w:t>=</w:t>
            </w:r>
            <w:r>
              <w:rPr>
                <w:bCs/>
              </w:rPr>
              <w:tab/>
            </w:r>
            <w:r>
              <w:rPr>
                <w:bCs/>
                <w:position w:val="-22"/>
                <w:szCs w:val="24"/>
              </w:rPr>
              <w:object w:dxaOrig="150" w:dyaOrig="435" w14:anchorId="6A5D45EE">
                <v:shape id="_x0000_i1200" type="#_x0000_t75" style="width:5.4pt;height:30pt" o:ole="">
                  <v:imagedata r:id="rId230" o:title=""/>
                </v:shape>
                <o:OLEObject Type="Embed" ProgID="Equation.3" ShapeID="_x0000_i1200" DrawAspect="Content" ObjectID="_1815025390" r:id="rId235"/>
              </w:object>
            </w:r>
            <w:r>
              <w:rPr>
                <w:bCs/>
                <w:position w:val="-18"/>
                <w:szCs w:val="24"/>
              </w:rPr>
              <w:object w:dxaOrig="150" w:dyaOrig="435" w14:anchorId="1750A689">
                <v:shape id="_x0000_i1201" type="#_x0000_t75" style="width:5.4pt;height:30pt" o:ole="">
                  <v:imagedata r:id="rId232" o:title=""/>
                </v:shape>
                <o:OLEObject Type="Embed" ProgID="Equation.3" ShapeID="_x0000_i1201" DrawAspect="Content" ObjectID="_1815025391" r:id="rId236"/>
              </w:object>
            </w:r>
            <w:r>
              <w:rPr>
                <w:bCs/>
              </w:rPr>
              <w:t xml:space="preserve">SPDAMT </w:t>
            </w:r>
            <w:r>
              <w:rPr>
                <w:bCs/>
                <w:i/>
                <w:vertAlign w:val="subscript"/>
              </w:rPr>
              <w:t>q, r, p</w:t>
            </w:r>
          </w:p>
          <w:p w14:paraId="0D348C0A" w14:textId="77777777" w:rsidR="00EA6FD7" w:rsidRDefault="00EA6FD7" w:rsidP="00EA6FD7">
            <w:r>
              <w:t>The above variables are defined as follows: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605"/>
              <w:gridCol w:w="6603"/>
            </w:tblGrid>
            <w:tr w:rsidR="00EA6FD7" w14:paraId="43137DDB" w14:textId="77777777" w:rsidTr="00EA6FD7">
              <w:trPr>
                <w:cantSplit/>
                <w:tblHeader/>
              </w:trPr>
              <w:tc>
                <w:tcPr>
                  <w:tcW w:w="2032" w:type="dxa"/>
                  <w:tcBorders>
                    <w:top w:val="single" w:sz="4" w:space="0" w:color="auto"/>
                    <w:left w:val="single" w:sz="4" w:space="0" w:color="auto"/>
                    <w:bottom w:val="single" w:sz="4" w:space="0" w:color="auto"/>
                    <w:right w:val="single" w:sz="4" w:space="0" w:color="auto"/>
                  </w:tcBorders>
                  <w:hideMark/>
                </w:tcPr>
                <w:p w14:paraId="33ED1780" w14:textId="77777777" w:rsidR="00EA6FD7" w:rsidRDefault="00EA6FD7" w:rsidP="00EA6FD7">
                  <w:pPr>
                    <w:spacing w:after="120"/>
                    <w:rPr>
                      <w:b/>
                      <w:iCs/>
                      <w:sz w:val="20"/>
                    </w:rPr>
                  </w:pPr>
                  <w:r>
                    <w:rPr>
                      <w:b/>
                      <w:iCs/>
                      <w:sz w:val="20"/>
                    </w:rPr>
                    <w:t>Variable</w:t>
                  </w:r>
                </w:p>
              </w:tc>
              <w:tc>
                <w:tcPr>
                  <w:tcW w:w="0" w:type="auto"/>
                  <w:tcBorders>
                    <w:top w:val="single" w:sz="4" w:space="0" w:color="auto"/>
                    <w:left w:val="single" w:sz="4" w:space="0" w:color="auto"/>
                    <w:bottom w:val="single" w:sz="4" w:space="0" w:color="auto"/>
                    <w:right w:val="single" w:sz="4" w:space="0" w:color="auto"/>
                  </w:tcBorders>
                  <w:hideMark/>
                </w:tcPr>
                <w:p w14:paraId="29AB685C" w14:textId="77777777" w:rsidR="00EA6FD7" w:rsidRDefault="00EA6FD7" w:rsidP="00EA6FD7">
                  <w:pPr>
                    <w:spacing w:after="120"/>
                    <w:rPr>
                      <w:b/>
                      <w:iCs/>
                      <w:sz w:val="20"/>
                    </w:rPr>
                  </w:pPr>
                  <w:r>
                    <w:rPr>
                      <w:b/>
                      <w:iCs/>
                      <w:sz w:val="20"/>
                    </w:rPr>
                    <w:t>Unit</w:t>
                  </w:r>
                </w:p>
              </w:tc>
              <w:tc>
                <w:tcPr>
                  <w:tcW w:w="6603" w:type="dxa"/>
                  <w:tcBorders>
                    <w:top w:val="single" w:sz="4" w:space="0" w:color="auto"/>
                    <w:left w:val="single" w:sz="4" w:space="0" w:color="auto"/>
                    <w:bottom w:val="single" w:sz="4" w:space="0" w:color="auto"/>
                    <w:right w:val="single" w:sz="4" w:space="0" w:color="auto"/>
                  </w:tcBorders>
                  <w:hideMark/>
                </w:tcPr>
                <w:p w14:paraId="2FCF699D" w14:textId="77777777" w:rsidR="00EA6FD7" w:rsidRDefault="00EA6FD7" w:rsidP="00EA6FD7">
                  <w:pPr>
                    <w:spacing w:after="120"/>
                    <w:rPr>
                      <w:b/>
                      <w:iCs/>
                      <w:sz w:val="20"/>
                    </w:rPr>
                  </w:pPr>
                  <w:r>
                    <w:rPr>
                      <w:b/>
                      <w:iCs/>
                      <w:sz w:val="20"/>
                    </w:rPr>
                    <w:t>Definition</w:t>
                  </w:r>
                </w:p>
              </w:tc>
            </w:tr>
            <w:tr w:rsidR="00EA6FD7" w14:paraId="24E7B618"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5DD021E2" w14:textId="77777777" w:rsidR="00EA6FD7" w:rsidRDefault="00EA6FD7" w:rsidP="00EA6FD7">
                  <w:pPr>
                    <w:spacing w:after="60"/>
                    <w:rPr>
                      <w:iCs/>
                      <w:sz w:val="20"/>
                    </w:rPr>
                  </w:pPr>
                  <w:r>
                    <w:rPr>
                      <w:iCs/>
                      <w:sz w:val="20"/>
                    </w:rPr>
                    <w:t xml:space="preserve">LASPDAMT </w:t>
                  </w:r>
                  <w:r>
                    <w:rPr>
                      <w:i/>
                      <w:iCs/>
                      <w:sz w:val="20"/>
                      <w:vertAlign w:val="subscript"/>
                    </w:rPr>
                    <w:t>q</w:t>
                  </w:r>
                </w:p>
              </w:tc>
              <w:tc>
                <w:tcPr>
                  <w:tcW w:w="0" w:type="auto"/>
                  <w:tcBorders>
                    <w:top w:val="single" w:sz="4" w:space="0" w:color="auto"/>
                    <w:left w:val="single" w:sz="4" w:space="0" w:color="auto"/>
                    <w:bottom w:val="single" w:sz="4" w:space="0" w:color="auto"/>
                    <w:right w:val="single" w:sz="4" w:space="0" w:color="auto"/>
                  </w:tcBorders>
                  <w:hideMark/>
                </w:tcPr>
                <w:p w14:paraId="14B0C773"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5CE05347" w14:textId="77777777" w:rsidR="00EA6FD7" w:rsidRDefault="00EA6FD7" w:rsidP="00EA6FD7">
                  <w:pPr>
                    <w:spacing w:after="60"/>
                    <w:rPr>
                      <w:iCs/>
                      <w:sz w:val="20"/>
                    </w:rPr>
                  </w:pPr>
                  <w:r>
                    <w:rPr>
                      <w:i/>
                      <w:iCs/>
                      <w:sz w:val="20"/>
                    </w:rPr>
                    <w:t>Load-Allocated Set Point Deviation Amount per QSE</w:t>
                  </w:r>
                  <w:r>
                    <w:rPr>
                      <w:iCs/>
                      <w:sz w:val="20"/>
                    </w:rPr>
                    <w:t xml:space="preserve">—QSE </w:t>
                  </w:r>
                  <w:r>
                    <w:rPr>
                      <w:i/>
                      <w:iCs/>
                      <w:sz w:val="20"/>
                    </w:rPr>
                    <w:t>q</w:t>
                  </w:r>
                  <w:r>
                    <w:rPr>
                      <w:iCs/>
                      <w:sz w:val="20"/>
                    </w:rPr>
                    <w:t>’s share of the total charge for all Resources’ Set Point deviations, based on LRS for the 15-minute Settlement Interval.</w:t>
                  </w:r>
                </w:p>
              </w:tc>
            </w:tr>
            <w:tr w:rsidR="00EA6FD7" w14:paraId="1252E9EF"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68416E63" w14:textId="77777777" w:rsidR="00EA6FD7" w:rsidRDefault="00EA6FD7" w:rsidP="00EA6FD7">
                  <w:pPr>
                    <w:spacing w:after="60"/>
                    <w:rPr>
                      <w:iCs/>
                      <w:sz w:val="20"/>
                    </w:rPr>
                  </w:pPr>
                  <w:r>
                    <w:rPr>
                      <w:iCs/>
                      <w:sz w:val="20"/>
                    </w:rPr>
                    <w:t>SPDAMTTOT</w:t>
                  </w:r>
                </w:p>
              </w:tc>
              <w:tc>
                <w:tcPr>
                  <w:tcW w:w="0" w:type="auto"/>
                  <w:tcBorders>
                    <w:top w:val="single" w:sz="4" w:space="0" w:color="auto"/>
                    <w:left w:val="single" w:sz="4" w:space="0" w:color="auto"/>
                    <w:bottom w:val="single" w:sz="4" w:space="0" w:color="auto"/>
                    <w:right w:val="single" w:sz="4" w:space="0" w:color="auto"/>
                  </w:tcBorders>
                  <w:hideMark/>
                </w:tcPr>
                <w:p w14:paraId="3134CA98"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514D0202" w14:textId="77777777" w:rsidR="00EA6FD7" w:rsidRDefault="00EA6FD7" w:rsidP="00EA6FD7">
                  <w:pPr>
                    <w:spacing w:after="60"/>
                    <w:rPr>
                      <w:i/>
                      <w:iCs/>
                      <w:sz w:val="20"/>
                    </w:rPr>
                  </w:pPr>
                  <w:r>
                    <w:rPr>
                      <w:i/>
                      <w:iCs/>
                      <w:sz w:val="20"/>
                    </w:rPr>
                    <w:t>Set Point Deviation Amount Total</w:t>
                  </w:r>
                  <w:r>
                    <w:rPr>
                      <w:iCs/>
                      <w:sz w:val="20"/>
                    </w:rPr>
                    <w:t>—The total of Set Point Deviation Charges to all QSEs for all Resources, for the 15-minute Settlement Interval.</w:t>
                  </w:r>
                </w:p>
              </w:tc>
            </w:tr>
            <w:tr w:rsidR="00EA6FD7" w14:paraId="1D812534"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11E53C2F" w14:textId="77777777" w:rsidR="00EA6FD7" w:rsidRDefault="00EA6FD7" w:rsidP="00EA6FD7">
                  <w:pPr>
                    <w:spacing w:after="60"/>
                    <w:rPr>
                      <w:iCs/>
                      <w:sz w:val="20"/>
                    </w:rPr>
                  </w:pPr>
                  <w:r>
                    <w:rPr>
                      <w:iCs/>
                      <w:sz w:val="20"/>
                    </w:rPr>
                    <w:t xml:space="preserve">SPDAMTQSETOT </w:t>
                  </w:r>
                  <w:r>
                    <w:rPr>
                      <w:i/>
                      <w:iCs/>
                      <w:sz w:val="20"/>
                      <w:vertAlign w:val="subscript"/>
                    </w:rPr>
                    <w:t>q</w:t>
                  </w:r>
                </w:p>
              </w:tc>
              <w:tc>
                <w:tcPr>
                  <w:tcW w:w="0" w:type="auto"/>
                  <w:tcBorders>
                    <w:top w:val="single" w:sz="4" w:space="0" w:color="auto"/>
                    <w:left w:val="single" w:sz="4" w:space="0" w:color="auto"/>
                    <w:bottom w:val="single" w:sz="4" w:space="0" w:color="auto"/>
                    <w:right w:val="single" w:sz="4" w:space="0" w:color="auto"/>
                  </w:tcBorders>
                  <w:hideMark/>
                </w:tcPr>
                <w:p w14:paraId="2242A00E"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71030FC6" w14:textId="77777777" w:rsidR="00EA6FD7" w:rsidRDefault="00EA6FD7" w:rsidP="00EA6FD7">
                  <w:pPr>
                    <w:spacing w:after="60"/>
                    <w:rPr>
                      <w:i/>
                      <w:iCs/>
                      <w:sz w:val="20"/>
                    </w:rPr>
                  </w:pPr>
                  <w:r>
                    <w:rPr>
                      <w:i/>
                      <w:iCs/>
                      <w:sz w:val="20"/>
                    </w:rPr>
                    <w:t>Set Point Deviation Amount QSE Total per QSE</w:t>
                  </w:r>
                  <w:r>
                    <w:rPr>
                      <w:iCs/>
                      <w:sz w:val="20"/>
                    </w:rPr>
                    <w:t xml:space="preserve">—The total of Set Point Deviation Charges to QSE </w:t>
                  </w:r>
                  <w:r>
                    <w:rPr>
                      <w:i/>
                      <w:iCs/>
                      <w:sz w:val="20"/>
                    </w:rPr>
                    <w:t>q</w:t>
                  </w:r>
                  <w:r>
                    <w:rPr>
                      <w:iCs/>
                      <w:sz w:val="20"/>
                    </w:rPr>
                    <w:t xml:space="preserve"> for all Resources represented by this QSE, for the 15-minute Settlement Interval.</w:t>
                  </w:r>
                </w:p>
              </w:tc>
            </w:tr>
            <w:tr w:rsidR="00EA6FD7" w14:paraId="686F4C15"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7E7D028B" w14:textId="77777777" w:rsidR="00EA6FD7" w:rsidRDefault="00EA6FD7" w:rsidP="00EA6FD7">
                  <w:pPr>
                    <w:spacing w:after="60"/>
                    <w:rPr>
                      <w:iCs/>
                      <w:sz w:val="20"/>
                    </w:rPr>
                  </w:pPr>
                  <w:r>
                    <w:rPr>
                      <w:iCs/>
                      <w:sz w:val="20"/>
                    </w:rPr>
                    <w:lastRenderedPageBreak/>
                    <w:t xml:space="preserve">SPDAMT </w:t>
                  </w:r>
                  <w:r>
                    <w:rPr>
                      <w:i/>
                      <w:iCs/>
                      <w:sz w:val="20"/>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1CD799B7"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1630C7D7" w14:textId="16AB1758" w:rsidR="00EA6FD7" w:rsidRDefault="00EA6FD7" w:rsidP="00EA6FD7">
                  <w:pPr>
                    <w:spacing w:after="60"/>
                    <w:ind w:right="-108"/>
                    <w:rPr>
                      <w:iCs/>
                      <w:sz w:val="20"/>
                    </w:rPr>
                  </w:pPr>
                  <w:r>
                    <w:rPr>
                      <w:i/>
                      <w:iCs/>
                      <w:sz w:val="20"/>
                    </w:rPr>
                    <w:t>Set Point Deviation Charge per QSE per Settlement Point per Resource</w:t>
                  </w:r>
                  <w:r>
                    <w:rPr>
                      <w:iCs/>
                      <w:sz w:val="20"/>
                    </w:rPr>
                    <w:t xml:space="preserve">—The charge to QSE </w:t>
                  </w:r>
                  <w:r>
                    <w:rPr>
                      <w:i/>
                      <w:iCs/>
                      <w:sz w:val="20"/>
                    </w:rPr>
                    <w:t>q</w:t>
                  </w:r>
                  <w:r>
                    <w:rPr>
                      <w:iCs/>
                      <w:sz w:val="20"/>
                    </w:rPr>
                    <w:t xml:space="preserve"> for Resource </w:t>
                  </w:r>
                  <w:r>
                    <w:rPr>
                      <w:i/>
                      <w:iCs/>
                      <w:sz w:val="20"/>
                    </w:rPr>
                    <w:t>r</w:t>
                  </w:r>
                  <w:r>
                    <w:rPr>
                      <w:iCs/>
                      <w:sz w:val="20"/>
                    </w:rPr>
                    <w:t xml:space="preserve"> at Settlement Node </w:t>
                  </w:r>
                  <w:r>
                    <w:rPr>
                      <w:i/>
                      <w:iCs/>
                      <w:sz w:val="20"/>
                    </w:rPr>
                    <w:t>p</w:t>
                  </w:r>
                  <w:r>
                    <w:rPr>
                      <w:iCs/>
                      <w:sz w:val="20"/>
                    </w:rPr>
                    <w:t>, for its deviation from AASP, for the 15-minute Settlement Interval.  A Set Point Deviation Charge is charged to the Combined Cycle Train for all Combined Cycle Generation Resources.</w:t>
                  </w:r>
                </w:p>
              </w:tc>
            </w:tr>
            <w:tr w:rsidR="00EA6FD7" w14:paraId="2587443F"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10C6BEB0" w14:textId="77777777" w:rsidR="00EA6FD7" w:rsidRDefault="00EA6FD7" w:rsidP="00EA6FD7">
                  <w:pPr>
                    <w:spacing w:after="60"/>
                    <w:rPr>
                      <w:iCs/>
                      <w:sz w:val="20"/>
                    </w:rPr>
                  </w:pPr>
                  <w:r>
                    <w:rPr>
                      <w:iCs/>
                      <w:sz w:val="20"/>
                    </w:rPr>
                    <w:t xml:space="preserve">LRS </w:t>
                  </w:r>
                  <w:r>
                    <w:rPr>
                      <w:i/>
                      <w:iCs/>
                      <w:sz w:val="20"/>
                      <w:vertAlign w:val="subscript"/>
                    </w:rPr>
                    <w:t>q</w:t>
                  </w:r>
                </w:p>
              </w:tc>
              <w:tc>
                <w:tcPr>
                  <w:tcW w:w="0" w:type="auto"/>
                  <w:tcBorders>
                    <w:top w:val="single" w:sz="4" w:space="0" w:color="auto"/>
                    <w:left w:val="single" w:sz="4" w:space="0" w:color="auto"/>
                    <w:bottom w:val="single" w:sz="4" w:space="0" w:color="auto"/>
                    <w:right w:val="single" w:sz="4" w:space="0" w:color="auto"/>
                  </w:tcBorders>
                  <w:hideMark/>
                </w:tcPr>
                <w:p w14:paraId="338E1F7C"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6E5A9EB4" w14:textId="77777777" w:rsidR="00EA6FD7" w:rsidRDefault="00EA6FD7" w:rsidP="00EA6FD7">
                  <w:pPr>
                    <w:spacing w:after="60"/>
                    <w:rPr>
                      <w:iCs/>
                      <w:sz w:val="20"/>
                    </w:rPr>
                  </w:pPr>
                  <w:r>
                    <w:rPr>
                      <w:iCs/>
                      <w:sz w:val="20"/>
                    </w:rPr>
                    <w:t xml:space="preserve">The LRS calculated for QSE </w:t>
                  </w:r>
                  <w:r>
                    <w:rPr>
                      <w:i/>
                      <w:iCs/>
                      <w:sz w:val="20"/>
                    </w:rPr>
                    <w:t>q</w:t>
                  </w:r>
                  <w:r>
                    <w:rPr>
                      <w:iCs/>
                      <w:sz w:val="20"/>
                    </w:rPr>
                    <w:t xml:space="preserve"> for the 15-minute Settlement Interval.  See Section 6.6.2.2, QSE Load Ratio Share for a 15-Minute Settlement Interval.</w:t>
                  </w:r>
                </w:p>
              </w:tc>
            </w:tr>
            <w:tr w:rsidR="00EA6FD7" w14:paraId="4D951083"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5151EB3E" w14:textId="77777777" w:rsidR="00EA6FD7" w:rsidRDefault="00EA6FD7" w:rsidP="00EA6FD7">
                  <w:pPr>
                    <w:spacing w:after="60"/>
                    <w:rPr>
                      <w:i/>
                      <w:iCs/>
                      <w:sz w:val="20"/>
                    </w:rPr>
                  </w:pPr>
                  <w:r>
                    <w:rPr>
                      <w:i/>
                      <w:iCs/>
                      <w:sz w:val="20"/>
                    </w:rPr>
                    <w:t>q</w:t>
                  </w:r>
                </w:p>
              </w:tc>
              <w:tc>
                <w:tcPr>
                  <w:tcW w:w="0" w:type="auto"/>
                  <w:tcBorders>
                    <w:top w:val="single" w:sz="4" w:space="0" w:color="auto"/>
                    <w:left w:val="single" w:sz="4" w:space="0" w:color="auto"/>
                    <w:bottom w:val="single" w:sz="4" w:space="0" w:color="auto"/>
                    <w:right w:val="single" w:sz="4" w:space="0" w:color="auto"/>
                  </w:tcBorders>
                  <w:hideMark/>
                </w:tcPr>
                <w:p w14:paraId="4EBA98DE"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67875357" w14:textId="77777777" w:rsidR="00EA6FD7" w:rsidRDefault="00EA6FD7" w:rsidP="00EA6FD7">
                  <w:pPr>
                    <w:spacing w:after="60"/>
                    <w:rPr>
                      <w:iCs/>
                      <w:sz w:val="20"/>
                    </w:rPr>
                  </w:pPr>
                  <w:r>
                    <w:rPr>
                      <w:iCs/>
                      <w:sz w:val="20"/>
                    </w:rPr>
                    <w:t>A QSE.</w:t>
                  </w:r>
                </w:p>
              </w:tc>
            </w:tr>
            <w:tr w:rsidR="00EA6FD7" w14:paraId="3E59D8A8"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6AA75E9C" w14:textId="77777777" w:rsidR="00EA6FD7" w:rsidRDefault="00EA6FD7" w:rsidP="00EA6FD7">
                  <w:pPr>
                    <w:spacing w:after="60"/>
                    <w:rPr>
                      <w:i/>
                      <w:iCs/>
                      <w:sz w:val="20"/>
                    </w:rPr>
                  </w:pPr>
                  <w:r>
                    <w:rPr>
                      <w:i/>
                      <w:iCs/>
                      <w:sz w:val="20"/>
                    </w:rPr>
                    <w:t>p</w:t>
                  </w:r>
                </w:p>
              </w:tc>
              <w:tc>
                <w:tcPr>
                  <w:tcW w:w="0" w:type="auto"/>
                  <w:tcBorders>
                    <w:top w:val="single" w:sz="4" w:space="0" w:color="auto"/>
                    <w:left w:val="single" w:sz="4" w:space="0" w:color="auto"/>
                    <w:bottom w:val="single" w:sz="4" w:space="0" w:color="auto"/>
                    <w:right w:val="single" w:sz="4" w:space="0" w:color="auto"/>
                  </w:tcBorders>
                  <w:hideMark/>
                </w:tcPr>
                <w:p w14:paraId="31E56B87"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495AE040" w14:textId="77777777" w:rsidR="00EA6FD7" w:rsidRDefault="00EA6FD7" w:rsidP="00EA6FD7">
                  <w:pPr>
                    <w:spacing w:after="60"/>
                    <w:rPr>
                      <w:iCs/>
                      <w:sz w:val="20"/>
                    </w:rPr>
                  </w:pPr>
                  <w:r>
                    <w:rPr>
                      <w:iCs/>
                      <w:sz w:val="20"/>
                    </w:rPr>
                    <w:t>A Settlement Point.</w:t>
                  </w:r>
                </w:p>
              </w:tc>
            </w:tr>
            <w:tr w:rsidR="00EA6FD7" w14:paraId="1E9D3BBF"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17D983F8" w14:textId="77777777" w:rsidR="00EA6FD7" w:rsidRDefault="00EA6FD7" w:rsidP="00EA6FD7">
                  <w:pPr>
                    <w:spacing w:after="60"/>
                    <w:rPr>
                      <w:i/>
                      <w:iCs/>
                      <w:sz w:val="20"/>
                    </w:rPr>
                  </w:pPr>
                  <w:r>
                    <w:rPr>
                      <w:i/>
                      <w:iCs/>
                      <w:sz w:val="20"/>
                    </w:rPr>
                    <w:t>r</w:t>
                  </w:r>
                </w:p>
              </w:tc>
              <w:tc>
                <w:tcPr>
                  <w:tcW w:w="0" w:type="auto"/>
                  <w:tcBorders>
                    <w:top w:val="single" w:sz="4" w:space="0" w:color="auto"/>
                    <w:left w:val="single" w:sz="4" w:space="0" w:color="auto"/>
                    <w:bottom w:val="single" w:sz="4" w:space="0" w:color="auto"/>
                    <w:right w:val="single" w:sz="4" w:space="0" w:color="auto"/>
                  </w:tcBorders>
                  <w:hideMark/>
                </w:tcPr>
                <w:p w14:paraId="0EA879E5"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7058ED87" w14:textId="4A0E9179" w:rsidR="00EA6FD7" w:rsidRDefault="00EA6FD7" w:rsidP="00EA6FD7">
                  <w:pPr>
                    <w:spacing w:after="60"/>
                    <w:rPr>
                      <w:iCs/>
                      <w:sz w:val="20"/>
                    </w:rPr>
                  </w:pPr>
                  <w:r>
                    <w:rPr>
                      <w:iCs/>
                      <w:sz w:val="20"/>
                    </w:rPr>
                    <w:t>A Generation Resource</w:t>
                  </w:r>
                  <w:r w:rsidR="008152FC">
                    <w:rPr>
                      <w:iCs/>
                      <w:sz w:val="20"/>
                    </w:rPr>
                    <w:t>, ESR,</w:t>
                  </w:r>
                  <w:r>
                    <w:rPr>
                      <w:iCs/>
                      <w:sz w:val="20"/>
                    </w:rPr>
                    <w:t xml:space="preserve"> or Controllable Load Resource.</w:t>
                  </w:r>
                </w:p>
              </w:tc>
            </w:tr>
          </w:tbl>
          <w:p w14:paraId="44CE2862" w14:textId="37BA4486" w:rsidR="00EA6FD7" w:rsidRPr="00B37C4B" w:rsidRDefault="00EA6FD7" w:rsidP="00BE571E">
            <w:pPr>
              <w:pStyle w:val="H3"/>
            </w:pPr>
          </w:p>
        </w:tc>
      </w:tr>
    </w:tbl>
    <w:p w14:paraId="31FFAA09" w14:textId="69FCA2BB" w:rsidR="001F04FD" w:rsidRDefault="001F04FD" w:rsidP="001F04FD">
      <w:pPr>
        <w:pStyle w:val="H3"/>
        <w:spacing w:before="480"/>
      </w:pPr>
      <w:bookmarkStart w:id="2285" w:name="_Toc204411700"/>
      <w:r>
        <w:lastRenderedPageBreak/>
        <w:t>6.6.6</w:t>
      </w:r>
      <w:r>
        <w:tab/>
        <w:t>Reliability Must-Run Settlement</w:t>
      </w:r>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85"/>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C6D56" w14:paraId="1C295A65" w14:textId="77777777" w:rsidTr="00EA6FD7">
        <w:trPr>
          <w:trHeight w:val="206"/>
        </w:trPr>
        <w:tc>
          <w:tcPr>
            <w:tcW w:w="9350" w:type="dxa"/>
            <w:shd w:val="pct12" w:color="auto" w:fill="auto"/>
          </w:tcPr>
          <w:p w14:paraId="382AF8DB" w14:textId="64AE891E" w:rsidR="005C6D56" w:rsidRDefault="005C6D56" w:rsidP="00CE1011">
            <w:pPr>
              <w:pStyle w:val="Instructions"/>
              <w:spacing w:before="120"/>
            </w:pPr>
            <w:bookmarkStart w:id="2286" w:name="_Toc87951798"/>
            <w:bookmarkStart w:id="2287" w:name="_Toc109009408"/>
            <w:bookmarkStart w:id="2288" w:name="_Toc397505027"/>
            <w:bookmarkStart w:id="2289" w:name="_Toc402357159"/>
            <w:bookmarkStart w:id="2290" w:name="_Toc422486539"/>
            <w:bookmarkStart w:id="2291" w:name="_Toc433093392"/>
            <w:bookmarkStart w:id="2292" w:name="_Toc433093550"/>
            <w:bookmarkStart w:id="2293" w:name="_Toc440874780"/>
            <w:bookmarkStart w:id="2294" w:name="_Toc448142337"/>
            <w:bookmarkStart w:id="2295" w:name="_Toc448142494"/>
            <w:bookmarkStart w:id="2296" w:name="_Toc458770335"/>
            <w:bookmarkStart w:id="2297" w:name="_Toc459294303"/>
            <w:bookmarkStart w:id="2298" w:name="_Toc463262796"/>
            <w:bookmarkStart w:id="2299" w:name="_Toc468286869"/>
            <w:bookmarkStart w:id="2300" w:name="_Toc481502909"/>
            <w:bookmarkStart w:id="2301" w:name="_Toc496080077"/>
            <w:r>
              <w:t>[NPRR885:  Replace Section 6.6.6 above with the following upon system implementation:]</w:t>
            </w:r>
          </w:p>
          <w:p w14:paraId="6399BE60" w14:textId="77777777" w:rsidR="005C6D56" w:rsidRPr="00B37C4B" w:rsidRDefault="005C6D56" w:rsidP="005C6D56">
            <w:pPr>
              <w:pStyle w:val="H3"/>
            </w:pPr>
            <w:bookmarkStart w:id="2302" w:name="_Toc17798747"/>
            <w:bookmarkStart w:id="2303" w:name="_Toc60040707"/>
            <w:bookmarkStart w:id="2304" w:name="_Toc65151766"/>
            <w:bookmarkStart w:id="2305" w:name="_Toc80174792"/>
            <w:bookmarkStart w:id="2306" w:name="_Toc112417672"/>
            <w:bookmarkStart w:id="2307" w:name="_Toc119310341"/>
            <w:bookmarkStart w:id="2308" w:name="_Toc125966274"/>
            <w:bookmarkStart w:id="2309" w:name="_Toc135992372"/>
            <w:bookmarkStart w:id="2310" w:name="_Toc170303568"/>
            <w:bookmarkStart w:id="2311" w:name="_Toc175157472"/>
            <w:bookmarkStart w:id="2312" w:name="_Toc204411701"/>
            <w:r w:rsidRPr="00B715B4">
              <w:t>6.6.6</w:t>
            </w:r>
            <w:r w:rsidRPr="00B715B4">
              <w:tab/>
              <w:t>Reliability Must-Run and Must-Run Alternative Settlement</w:t>
            </w:r>
            <w:bookmarkEnd w:id="2302"/>
            <w:bookmarkEnd w:id="2303"/>
            <w:bookmarkEnd w:id="2304"/>
            <w:bookmarkEnd w:id="2305"/>
            <w:bookmarkEnd w:id="2306"/>
            <w:bookmarkEnd w:id="2307"/>
            <w:bookmarkEnd w:id="2308"/>
            <w:bookmarkEnd w:id="2309"/>
            <w:bookmarkEnd w:id="2310"/>
            <w:bookmarkEnd w:id="2311"/>
            <w:bookmarkEnd w:id="2312"/>
            <w:r>
              <w:t xml:space="preserve"> </w:t>
            </w:r>
          </w:p>
        </w:tc>
      </w:tr>
    </w:tbl>
    <w:p w14:paraId="797D8F48" w14:textId="77777777" w:rsidR="001F04FD" w:rsidRDefault="001F04FD" w:rsidP="001F04FD">
      <w:pPr>
        <w:pStyle w:val="H4"/>
      </w:pPr>
      <w:bookmarkStart w:id="2313" w:name="_Toc204411702"/>
      <w:r>
        <w:t>6.6.6.1</w:t>
      </w:r>
      <w:r>
        <w:tab/>
        <w:t>RMR Standby Payment</w:t>
      </w:r>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13"/>
    </w:p>
    <w:p w14:paraId="60EEBF01" w14:textId="77777777" w:rsidR="001F04FD" w:rsidRDefault="001F04FD" w:rsidP="001F04FD">
      <w:pPr>
        <w:pStyle w:val="BodyTextNumbered"/>
      </w:pPr>
      <w:r>
        <w:t>(1)</w:t>
      </w:r>
      <w:r>
        <w:tab/>
      </w:r>
      <w:r w:rsidR="00326E23" w:rsidRPr="00AF0BBA">
        <w:rPr>
          <w:iCs/>
        </w:rPr>
        <w:t>The Standby Payment for RMR Service is paid to each QSE representing an RMR Unit for each RMR Unit for each contracted hour under performance requirements set forth in Section 22, Attachment B, Standard Form Reliability Must-Run Agreement, and other performance requirements in these Protocols.  For Initial Settlement, the Standby Payment is either the “</w:t>
      </w:r>
      <w:r w:rsidR="00326E23">
        <w:rPr>
          <w:iCs/>
        </w:rPr>
        <w:t>Initial</w:t>
      </w:r>
      <w:r w:rsidR="00326E23" w:rsidRPr="00AF0BBA">
        <w:rPr>
          <w:iCs/>
        </w:rPr>
        <w:t xml:space="preserve"> Standby Cost” stated in the RMR Agreement or the revised Standby Cost calculated in accordance with paragraph (2) of Section 3.14.1.13, Updated Budgets During the Term of an RMR Agreement.  For Final and True-Up Settlements, the Standby Payment is based on the RMR Unit’s actual Eligible Cost, if available</w:t>
      </w:r>
      <w:r w:rsidR="00326E23">
        <w:rPr>
          <w:iCs/>
        </w:rPr>
        <w:t>.</w:t>
      </w:r>
    </w:p>
    <w:p w14:paraId="42228153" w14:textId="77777777" w:rsidR="001F04FD" w:rsidRDefault="001F04FD" w:rsidP="007C7690">
      <w:pPr>
        <w:pStyle w:val="BodyTextNumbered"/>
      </w:pPr>
      <w:r>
        <w:t>(2)</w:t>
      </w:r>
      <w:r>
        <w:tab/>
        <w:t xml:space="preserve">The Standby Payment to each QSE for each RMR Unit for each hour is calculated as follows:  </w:t>
      </w:r>
    </w:p>
    <w:p w14:paraId="40C81F93" w14:textId="77777777" w:rsidR="001F04FD" w:rsidRDefault="001F04FD" w:rsidP="001F04FD">
      <w:pPr>
        <w:pStyle w:val="FormulaBold"/>
        <w:rPr>
          <w:lang w:val="pt-BR"/>
        </w:rPr>
      </w:pPr>
      <w:r>
        <w:rPr>
          <w:lang w:val="pt-BR"/>
        </w:rPr>
        <w:t xml:space="preserve">RMRSBAMT </w:t>
      </w:r>
      <w:r>
        <w:rPr>
          <w:i/>
          <w:vertAlign w:val="subscript"/>
          <w:lang w:val="pt-BR"/>
        </w:rPr>
        <w:t>q, r</w:t>
      </w:r>
      <w:r>
        <w:rPr>
          <w:lang w:val="pt-BR"/>
        </w:rPr>
        <w:tab/>
        <w:t>=</w:t>
      </w:r>
      <w:r>
        <w:rPr>
          <w:lang w:val="pt-BR"/>
        </w:rPr>
        <w:tab/>
        <w:t xml:space="preserve">(-1) * RMRSBPR </w:t>
      </w:r>
      <w:r>
        <w:rPr>
          <w:i/>
          <w:vertAlign w:val="subscript"/>
          <w:lang w:val="pt-BR"/>
        </w:rPr>
        <w:t>q, r</w:t>
      </w:r>
    </w:p>
    <w:p w14:paraId="58701CBF"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65"/>
        <w:gridCol w:w="6889"/>
      </w:tblGrid>
      <w:tr w:rsidR="001F04FD" w14:paraId="5262B66A" w14:textId="77777777" w:rsidTr="00AC4DEE">
        <w:trPr>
          <w:cantSplit/>
          <w:tblHeader/>
        </w:trPr>
        <w:tc>
          <w:tcPr>
            <w:tcW w:w="907" w:type="pct"/>
          </w:tcPr>
          <w:p w14:paraId="600BBD20" w14:textId="77777777" w:rsidR="001F04FD" w:rsidRDefault="001F04FD" w:rsidP="00AC4DEE">
            <w:pPr>
              <w:pStyle w:val="TableHead"/>
            </w:pPr>
            <w:r>
              <w:t>Variable</w:t>
            </w:r>
          </w:p>
        </w:tc>
        <w:tc>
          <w:tcPr>
            <w:tcW w:w="409" w:type="pct"/>
          </w:tcPr>
          <w:p w14:paraId="3D636A7D" w14:textId="77777777" w:rsidR="001F04FD" w:rsidRDefault="001F04FD" w:rsidP="00AC4DEE">
            <w:pPr>
              <w:pStyle w:val="TableHead"/>
            </w:pPr>
            <w:r>
              <w:t>Unit</w:t>
            </w:r>
          </w:p>
        </w:tc>
        <w:tc>
          <w:tcPr>
            <w:tcW w:w="3684" w:type="pct"/>
          </w:tcPr>
          <w:p w14:paraId="29F90C89" w14:textId="77777777" w:rsidR="001F04FD" w:rsidRDefault="001F04FD" w:rsidP="00AC4DEE">
            <w:pPr>
              <w:pStyle w:val="TableHead"/>
            </w:pPr>
            <w:r>
              <w:t>Definition</w:t>
            </w:r>
          </w:p>
        </w:tc>
      </w:tr>
      <w:tr w:rsidR="001F04FD" w14:paraId="426A1BA2" w14:textId="77777777" w:rsidTr="00AC4DEE">
        <w:trPr>
          <w:cantSplit/>
        </w:trPr>
        <w:tc>
          <w:tcPr>
            <w:tcW w:w="907" w:type="pct"/>
          </w:tcPr>
          <w:p w14:paraId="2FFCE7C3" w14:textId="77777777" w:rsidR="001F04FD" w:rsidRDefault="001F04FD" w:rsidP="00AC4DEE">
            <w:pPr>
              <w:pStyle w:val="TableBody"/>
              <w:rPr>
                <w:lang w:val="pt-BR"/>
              </w:rPr>
            </w:pPr>
            <w:r>
              <w:rPr>
                <w:lang w:val="pt-BR"/>
              </w:rPr>
              <w:t xml:space="preserve">RMRSBAMT </w:t>
            </w:r>
            <w:r w:rsidRPr="00E15B17">
              <w:rPr>
                <w:i/>
                <w:vertAlign w:val="subscript"/>
                <w:lang w:val="pt-BR"/>
              </w:rPr>
              <w:t>q, r</w:t>
            </w:r>
          </w:p>
        </w:tc>
        <w:tc>
          <w:tcPr>
            <w:tcW w:w="409" w:type="pct"/>
          </w:tcPr>
          <w:p w14:paraId="1453E2DC" w14:textId="77777777" w:rsidR="001F04FD" w:rsidRDefault="001F04FD" w:rsidP="00AC4DEE">
            <w:pPr>
              <w:pStyle w:val="TableBody"/>
            </w:pPr>
            <w:r>
              <w:t>$</w:t>
            </w:r>
          </w:p>
        </w:tc>
        <w:tc>
          <w:tcPr>
            <w:tcW w:w="3684" w:type="pct"/>
          </w:tcPr>
          <w:p w14:paraId="7132BC2E" w14:textId="77777777" w:rsidR="001F04FD" w:rsidRDefault="001F04FD" w:rsidP="00AC4DEE">
            <w:pPr>
              <w:pStyle w:val="TableBody"/>
            </w:pPr>
            <w:r>
              <w:rPr>
                <w:i/>
              </w:rPr>
              <w:t>Reliability Must Run Standby Payment per QSE per Resource by hour</w:t>
            </w:r>
            <w:r>
              <w:t xml:space="preserve">—The Standby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 xml:space="preserve">is the Combined Cycle Train. </w:t>
            </w:r>
          </w:p>
        </w:tc>
      </w:tr>
      <w:tr w:rsidR="001F04FD" w14:paraId="3DD786E3" w14:textId="77777777" w:rsidTr="00AC4DEE">
        <w:trPr>
          <w:cantSplit/>
        </w:trPr>
        <w:tc>
          <w:tcPr>
            <w:tcW w:w="907" w:type="pct"/>
          </w:tcPr>
          <w:p w14:paraId="7BB2F77B" w14:textId="77777777" w:rsidR="001F04FD" w:rsidRDefault="001F04FD" w:rsidP="00AC4DEE">
            <w:pPr>
              <w:pStyle w:val="TableBody"/>
            </w:pPr>
            <w:r>
              <w:t xml:space="preserve">RMRSBPR </w:t>
            </w:r>
            <w:r w:rsidRPr="00E15B17">
              <w:rPr>
                <w:i/>
                <w:vertAlign w:val="subscript"/>
              </w:rPr>
              <w:t>q, r</w:t>
            </w:r>
          </w:p>
        </w:tc>
        <w:tc>
          <w:tcPr>
            <w:tcW w:w="409" w:type="pct"/>
          </w:tcPr>
          <w:p w14:paraId="1BCD1D86" w14:textId="77777777" w:rsidR="001F04FD" w:rsidRDefault="001F04FD" w:rsidP="00AC4DEE">
            <w:pPr>
              <w:pStyle w:val="TableBody"/>
            </w:pPr>
            <w:r>
              <w:t>$ per hour</w:t>
            </w:r>
          </w:p>
        </w:tc>
        <w:tc>
          <w:tcPr>
            <w:tcW w:w="3684" w:type="pct"/>
          </w:tcPr>
          <w:p w14:paraId="26F270A1" w14:textId="77777777" w:rsidR="001F04FD" w:rsidRDefault="001F04FD" w:rsidP="00AC4DEE">
            <w:pPr>
              <w:pStyle w:val="TableBody"/>
            </w:pPr>
            <w:r>
              <w:rPr>
                <w:i/>
              </w:rPr>
              <w:t>Reliability Must Run Standby Price per QSE per Resource by hour</w:t>
            </w:r>
            <w:r>
              <w:t xml:space="preserve">—The hourly standby cost for RMR Unit </w:t>
            </w:r>
            <w:r>
              <w:rPr>
                <w:i/>
              </w:rPr>
              <w:t>r</w:t>
            </w:r>
            <w:r>
              <w:t xml:space="preserve"> represented by QSE </w:t>
            </w:r>
            <w:r>
              <w:rPr>
                <w:i/>
              </w:rPr>
              <w:t>q</w:t>
            </w:r>
            <w:r>
              <w:t xml:space="preserve">, for the hour.  See item (3) below.  Where for a Combined Cycle Train, the Resource </w:t>
            </w:r>
            <w:r w:rsidRPr="00B34C5D">
              <w:rPr>
                <w:i/>
              </w:rPr>
              <w:t>r</w:t>
            </w:r>
            <w:r>
              <w:rPr>
                <w:i/>
              </w:rPr>
              <w:t xml:space="preserve"> </w:t>
            </w:r>
            <w:r>
              <w:t xml:space="preserve">is the Combined Cycle Train.   </w:t>
            </w:r>
          </w:p>
        </w:tc>
      </w:tr>
      <w:tr w:rsidR="001F04FD" w14:paraId="78403BBD" w14:textId="77777777" w:rsidTr="00AC4DEE">
        <w:trPr>
          <w:cantSplit/>
        </w:trPr>
        <w:tc>
          <w:tcPr>
            <w:tcW w:w="907" w:type="pct"/>
          </w:tcPr>
          <w:p w14:paraId="105E875D" w14:textId="77777777" w:rsidR="001F04FD" w:rsidRPr="00A9442A" w:rsidRDefault="001F04FD" w:rsidP="00AC4DEE">
            <w:pPr>
              <w:pStyle w:val="TableBody"/>
              <w:rPr>
                <w:i/>
              </w:rPr>
            </w:pPr>
            <w:r w:rsidRPr="00D661BC">
              <w:rPr>
                <w:i/>
              </w:rPr>
              <w:t>q</w:t>
            </w:r>
          </w:p>
        </w:tc>
        <w:tc>
          <w:tcPr>
            <w:tcW w:w="409" w:type="pct"/>
          </w:tcPr>
          <w:p w14:paraId="157BA68C" w14:textId="77777777" w:rsidR="001F04FD" w:rsidRDefault="001F04FD" w:rsidP="00AC4DEE">
            <w:pPr>
              <w:pStyle w:val="TableBody"/>
            </w:pPr>
            <w:r>
              <w:t>none</w:t>
            </w:r>
          </w:p>
        </w:tc>
        <w:tc>
          <w:tcPr>
            <w:tcW w:w="3684" w:type="pct"/>
          </w:tcPr>
          <w:p w14:paraId="43B0FF55" w14:textId="77777777" w:rsidR="001F04FD" w:rsidRDefault="001F04FD" w:rsidP="00AC4DEE">
            <w:pPr>
              <w:pStyle w:val="TableBody"/>
            </w:pPr>
            <w:r>
              <w:t>A QSE.</w:t>
            </w:r>
          </w:p>
        </w:tc>
      </w:tr>
      <w:tr w:rsidR="001F04FD" w14:paraId="183996C6" w14:textId="77777777" w:rsidTr="00AC4DEE">
        <w:trPr>
          <w:cantSplit/>
        </w:trPr>
        <w:tc>
          <w:tcPr>
            <w:tcW w:w="907" w:type="pct"/>
          </w:tcPr>
          <w:p w14:paraId="5340B606" w14:textId="77777777" w:rsidR="001F04FD" w:rsidRPr="00A9442A" w:rsidRDefault="00F74586" w:rsidP="00AC4DEE">
            <w:pPr>
              <w:pStyle w:val="TableBody"/>
              <w:rPr>
                <w:i/>
              </w:rPr>
            </w:pPr>
            <w:r>
              <w:rPr>
                <w:i/>
              </w:rPr>
              <w:t>r</w:t>
            </w:r>
          </w:p>
        </w:tc>
        <w:tc>
          <w:tcPr>
            <w:tcW w:w="409" w:type="pct"/>
          </w:tcPr>
          <w:p w14:paraId="7493E176" w14:textId="77777777" w:rsidR="001F04FD" w:rsidRDefault="001F04FD" w:rsidP="00AC4DEE">
            <w:pPr>
              <w:pStyle w:val="TableBody"/>
            </w:pPr>
            <w:r>
              <w:t>none</w:t>
            </w:r>
          </w:p>
        </w:tc>
        <w:tc>
          <w:tcPr>
            <w:tcW w:w="3684" w:type="pct"/>
          </w:tcPr>
          <w:p w14:paraId="683D718A" w14:textId="77777777" w:rsidR="001F04FD" w:rsidRDefault="001F04FD" w:rsidP="00AC4DEE">
            <w:pPr>
              <w:pStyle w:val="TableBody"/>
            </w:pPr>
            <w:r>
              <w:t>An RMR Unit.</w:t>
            </w:r>
          </w:p>
        </w:tc>
      </w:tr>
    </w:tbl>
    <w:p w14:paraId="7459E306" w14:textId="77777777" w:rsidR="00326E23" w:rsidRPr="00AF0BBA" w:rsidRDefault="00326E23" w:rsidP="00326E23">
      <w:pPr>
        <w:spacing w:before="240" w:after="240"/>
        <w:ind w:left="720" w:hanging="720"/>
        <w:rPr>
          <w:iCs/>
        </w:rPr>
      </w:pPr>
      <w:r w:rsidRPr="00AF0BBA">
        <w:rPr>
          <w:iCs/>
        </w:rPr>
        <w:lastRenderedPageBreak/>
        <w:t>(3)</w:t>
      </w:r>
      <w:r w:rsidRPr="00AF0BBA">
        <w:rPr>
          <w:iCs/>
        </w:rPr>
        <w:tab/>
        <w:t>For the Initial Settlement and resettlements executed before true-up and before actual cost data is submitted, the standby price of an RMR Unit is either the “</w:t>
      </w:r>
      <w:r>
        <w:rPr>
          <w:iCs/>
        </w:rPr>
        <w:t>Initial</w:t>
      </w:r>
      <w:r w:rsidRPr="00AF0BBA">
        <w:rPr>
          <w:iCs/>
        </w:rPr>
        <w:t xml:space="preserve"> Standby Cost” stated in the RMR Agreement or the revised Standby Cost calculated in accordance with paragraph (2) of Section 3.14.1.13.  For other resettlements, the standby price of an RMR Unit for each hour is calculated as follows:</w:t>
      </w:r>
    </w:p>
    <w:p w14:paraId="376746C1" w14:textId="77777777" w:rsidR="00326E23" w:rsidRPr="00AF0BBA" w:rsidRDefault="00326E23" w:rsidP="00326E23">
      <w:pPr>
        <w:tabs>
          <w:tab w:val="left" w:pos="2340"/>
          <w:tab w:val="left" w:pos="3420"/>
        </w:tabs>
        <w:spacing w:after="240"/>
        <w:ind w:left="3150" w:hanging="2430"/>
        <w:rPr>
          <w:b/>
          <w:bCs/>
          <w:lang w:val="pt-BR"/>
        </w:rPr>
      </w:pPr>
      <w:r w:rsidRPr="00AF0BBA">
        <w:rPr>
          <w:b/>
          <w:bCs/>
          <w:lang w:val="pt-BR"/>
        </w:rPr>
        <w:t xml:space="preserve">RMRSBPR </w:t>
      </w:r>
      <w:r w:rsidRPr="00AF0BBA">
        <w:rPr>
          <w:b/>
          <w:bCs/>
          <w:i/>
          <w:vertAlign w:val="subscript"/>
          <w:lang w:val="pt-BR"/>
        </w:rPr>
        <w:t>q, r</w:t>
      </w:r>
      <w:r w:rsidRPr="00AF0BBA">
        <w:rPr>
          <w:b/>
          <w:bCs/>
          <w:lang w:val="pt-BR"/>
        </w:rPr>
        <w:tab/>
        <w:t>=</w:t>
      </w:r>
      <w:r w:rsidRPr="00AF0BBA">
        <w:rPr>
          <w:b/>
          <w:bCs/>
          <w:lang w:val="pt-BR"/>
        </w:rPr>
        <w:tab/>
        <w:t xml:space="preserve">(RMRMNFNCC </w:t>
      </w:r>
      <w:r w:rsidRPr="00AF0BBA">
        <w:rPr>
          <w:b/>
          <w:bCs/>
          <w:i/>
          <w:vertAlign w:val="subscript"/>
          <w:lang w:val="pt-BR"/>
        </w:rPr>
        <w:t>q, r</w:t>
      </w:r>
      <w:r w:rsidRPr="00AF0BBA">
        <w:rPr>
          <w:b/>
          <w:bCs/>
          <w:lang w:val="pt-BR"/>
        </w:rPr>
        <w:t xml:space="preserve"> * (1 + RMRIF * RMRCRF </w:t>
      </w:r>
      <w:r w:rsidRPr="00AF0BBA">
        <w:rPr>
          <w:b/>
          <w:bCs/>
          <w:i/>
          <w:vertAlign w:val="subscript"/>
          <w:lang w:val="pt-BR"/>
        </w:rPr>
        <w:t>q, r</w:t>
      </w:r>
      <w:r w:rsidRPr="00AF0BBA">
        <w:rPr>
          <w:b/>
          <w:bCs/>
          <w:lang w:val="pt-BR"/>
        </w:rPr>
        <w:t xml:space="preserve"> * RMRARF </w:t>
      </w:r>
      <w:r w:rsidRPr="00AF0BBA">
        <w:rPr>
          <w:b/>
          <w:bCs/>
          <w:i/>
          <w:vertAlign w:val="subscript"/>
          <w:lang w:val="pt-BR"/>
        </w:rPr>
        <w:t>q, r</w:t>
      </w:r>
      <w:r w:rsidRPr="00AF0BBA">
        <w:rPr>
          <w:b/>
          <w:bCs/>
          <w:lang w:val="pt-BR"/>
        </w:rPr>
        <w:t xml:space="preserve">) + RMRMNFCC </w:t>
      </w:r>
      <w:r w:rsidRPr="00AF0BBA">
        <w:rPr>
          <w:b/>
          <w:bCs/>
          <w:i/>
          <w:vertAlign w:val="subscript"/>
          <w:lang w:val="pt-BR"/>
        </w:rPr>
        <w:t>q, r</w:t>
      </w:r>
      <w:r w:rsidRPr="00AF0BBA">
        <w:rPr>
          <w:b/>
          <w:bCs/>
          <w:lang w:val="pt-BR"/>
        </w:rPr>
        <w:t xml:space="preserve">) / MH </w:t>
      </w:r>
      <w:r w:rsidRPr="00AF0BBA">
        <w:rPr>
          <w:b/>
          <w:bCs/>
          <w:i/>
          <w:vertAlign w:val="subscript"/>
          <w:lang w:val="pt-BR"/>
        </w:rPr>
        <w:t>q, r</w:t>
      </w:r>
    </w:p>
    <w:p w14:paraId="10123168" w14:textId="77777777" w:rsidR="00326E23" w:rsidRPr="00AF0BBA" w:rsidRDefault="00326E23" w:rsidP="00326E23">
      <w:pPr>
        <w:spacing w:before="240" w:after="240"/>
      </w:pPr>
      <w:r w:rsidRPr="00AF0BBA">
        <w:t xml:space="preserve">Where: </w:t>
      </w:r>
    </w:p>
    <w:p w14:paraId="24FE2DB6" w14:textId="77777777" w:rsidR="00326E23" w:rsidRPr="00AF0BBA" w:rsidRDefault="00326E23" w:rsidP="00326E23">
      <w:r w:rsidRPr="00AF0BBA">
        <w:t>RMR Capacity Reduction Factor</w:t>
      </w:r>
    </w:p>
    <w:p w14:paraId="462C6B2B" w14:textId="77777777" w:rsidR="00326E23" w:rsidRPr="00AF0BBA" w:rsidRDefault="00326E23" w:rsidP="00326E23">
      <w:pPr>
        <w:tabs>
          <w:tab w:val="left" w:pos="5940"/>
          <w:tab w:val="left" w:pos="6300"/>
          <w:tab w:val="left" w:pos="6840"/>
        </w:tabs>
        <w:ind w:firstLine="360"/>
        <w:rPr>
          <w:lang w:val="pt-BR"/>
        </w:rPr>
      </w:pPr>
      <w:r w:rsidRPr="00AF0BBA">
        <w:t>If (</w:t>
      </w:r>
      <w:r w:rsidRPr="00AF0BBA">
        <w:rPr>
          <w:lang w:val="pt-BR"/>
        </w:rPr>
        <w:t>RMRTCAPA</w:t>
      </w:r>
      <w:r w:rsidRPr="00AF0BBA">
        <w:rPr>
          <w:i/>
          <w:vertAlign w:val="subscript"/>
          <w:lang w:val="pt-BR"/>
        </w:rPr>
        <w:t xml:space="preserve"> q, r</w:t>
      </w:r>
      <w:r w:rsidRPr="00AF0BBA">
        <w:rPr>
          <w:lang w:val="pt-BR"/>
        </w:rPr>
        <w:t xml:space="preserve"> + </w:t>
      </w:r>
      <w:r w:rsidRPr="00AF0BBA">
        <w:t xml:space="preserve">RMRTCAP </w:t>
      </w:r>
      <w:r w:rsidRPr="00AF0BBA">
        <w:rPr>
          <w:i/>
          <w:vertAlign w:val="subscript"/>
        </w:rPr>
        <w:t>q, r</w:t>
      </w:r>
      <w:r w:rsidRPr="00AF0BBA">
        <w:t xml:space="preserve"> ≥ RMRCCAP </w:t>
      </w:r>
      <w:r w:rsidRPr="00AF0BBA">
        <w:rPr>
          <w:i/>
          <w:vertAlign w:val="subscript"/>
        </w:rPr>
        <w:t>q, r</w:t>
      </w:r>
      <w:r w:rsidRPr="00AF0BBA">
        <w:t xml:space="preserve">), then </w:t>
      </w:r>
      <w:r w:rsidRPr="00AF0BBA">
        <w:rPr>
          <w:lang w:val="pt-BR"/>
        </w:rPr>
        <w:t xml:space="preserve">RMRCRF </w:t>
      </w:r>
      <w:r w:rsidRPr="00AF0BBA">
        <w:rPr>
          <w:i/>
          <w:vertAlign w:val="subscript"/>
          <w:lang w:val="pt-BR"/>
        </w:rPr>
        <w:t xml:space="preserve">q, r  </w:t>
      </w:r>
      <w:r w:rsidRPr="00AF0BBA">
        <w:rPr>
          <w:lang w:val="pt-BR"/>
        </w:rPr>
        <w:t>= 1</w:t>
      </w:r>
    </w:p>
    <w:p w14:paraId="31183879" w14:textId="77777777" w:rsidR="00326E23" w:rsidRPr="00AF0BBA" w:rsidRDefault="00326E23" w:rsidP="00326E23">
      <w:pPr>
        <w:ind w:firstLine="360"/>
        <w:rPr>
          <w:lang w:val="pt-BR"/>
        </w:rPr>
      </w:pPr>
    </w:p>
    <w:p w14:paraId="093B4A5C" w14:textId="77777777" w:rsidR="00326E23" w:rsidRPr="00AF0BBA" w:rsidRDefault="00326E23" w:rsidP="00326E23">
      <w:pPr>
        <w:ind w:firstLine="360"/>
        <w:rPr>
          <w:lang w:val="pt-BR"/>
        </w:rPr>
      </w:pPr>
      <w:r w:rsidRPr="00AF0BBA">
        <w:rPr>
          <w:lang w:val="pt-BR"/>
        </w:rPr>
        <w:t>Otherwise</w:t>
      </w:r>
    </w:p>
    <w:p w14:paraId="42A05B14" w14:textId="77777777" w:rsidR="00326E23" w:rsidRPr="00AF0BBA" w:rsidRDefault="00326E23" w:rsidP="00326E23">
      <w:pPr>
        <w:tabs>
          <w:tab w:val="left" w:pos="2700"/>
        </w:tabs>
        <w:ind w:left="2430" w:hanging="1620"/>
        <w:rPr>
          <w:lang w:val="pt-BR"/>
        </w:rPr>
      </w:pPr>
      <w:r w:rsidRPr="00AF0BBA">
        <w:rPr>
          <w:lang w:val="pt-BR"/>
        </w:rPr>
        <w:t xml:space="preserve">RMRCRF </w:t>
      </w:r>
      <w:r w:rsidRPr="00AF0BBA">
        <w:rPr>
          <w:i/>
          <w:vertAlign w:val="subscript"/>
          <w:lang w:val="pt-BR"/>
        </w:rPr>
        <w:t>q, r</w:t>
      </w:r>
      <w:r w:rsidRPr="00AF0BBA">
        <w:rPr>
          <w:lang w:val="pt-BR"/>
        </w:rPr>
        <w:tab/>
        <w:t>=</w:t>
      </w:r>
      <w:r w:rsidRPr="00AF0BBA">
        <w:rPr>
          <w:lang w:val="pt-BR"/>
        </w:rPr>
        <w:tab/>
        <w:t xml:space="preserve">Max (0, 1 – 2 * (RMRCCAP </w:t>
      </w:r>
      <w:r w:rsidRPr="00AF0BBA">
        <w:rPr>
          <w:i/>
          <w:vertAlign w:val="subscript"/>
          <w:lang w:val="pt-BR"/>
        </w:rPr>
        <w:t xml:space="preserve">q, r </w:t>
      </w:r>
      <w:r w:rsidRPr="00AF0BBA">
        <w:rPr>
          <w:lang w:val="pt-BR"/>
        </w:rPr>
        <w:t xml:space="preserve">– RMRTCAP </w:t>
      </w:r>
      <w:r w:rsidRPr="00AF0BBA">
        <w:rPr>
          <w:i/>
          <w:vertAlign w:val="subscript"/>
          <w:lang w:val="pt-BR"/>
        </w:rPr>
        <w:t>q, r</w:t>
      </w:r>
      <w:r w:rsidRPr="00AF0BBA">
        <w:rPr>
          <w:lang w:val="pt-BR"/>
        </w:rPr>
        <w:t xml:space="preserve">) </w:t>
      </w:r>
      <w:r w:rsidRPr="00AF0BBA">
        <w:rPr>
          <w:b/>
          <w:sz w:val="32"/>
          <w:szCs w:val="32"/>
          <w:lang w:val="pt-BR"/>
        </w:rPr>
        <w:t>/</w:t>
      </w:r>
      <w:r w:rsidRPr="00AF0BBA">
        <w:rPr>
          <w:sz w:val="32"/>
          <w:szCs w:val="32"/>
          <w:lang w:val="pt-BR"/>
        </w:rPr>
        <w:t xml:space="preserve"> </w:t>
      </w:r>
      <w:r w:rsidRPr="00AF0BBA">
        <w:rPr>
          <w:lang w:val="pt-BR"/>
        </w:rPr>
        <w:t xml:space="preserve">RMRCCAP </w:t>
      </w:r>
      <w:r w:rsidRPr="00AF0BBA">
        <w:rPr>
          <w:i/>
          <w:vertAlign w:val="subscript"/>
          <w:lang w:val="pt-BR"/>
        </w:rPr>
        <w:t>q, r</w:t>
      </w:r>
      <w:r w:rsidRPr="00AF0BBA">
        <w:rPr>
          <w:lang w:val="pt-BR"/>
        </w:rPr>
        <w:t>)</w:t>
      </w:r>
    </w:p>
    <w:p w14:paraId="1CD2D5D3" w14:textId="77777777" w:rsidR="00326E23" w:rsidRPr="00AF0BBA" w:rsidRDefault="00326E23" w:rsidP="00326E23">
      <w:pPr>
        <w:rPr>
          <w:lang w:val="pt-BR"/>
        </w:rPr>
      </w:pPr>
    </w:p>
    <w:p w14:paraId="5F61C509" w14:textId="77777777" w:rsidR="00326E23" w:rsidRPr="00AF0BBA" w:rsidRDefault="00326E23" w:rsidP="00326E23">
      <w:r w:rsidRPr="00AF0BBA">
        <w:t>RMR Availability Reduction Factor</w:t>
      </w:r>
    </w:p>
    <w:p w14:paraId="44D0CBC0" w14:textId="77777777" w:rsidR="00326E23" w:rsidRPr="00AF0BBA" w:rsidRDefault="00326E23" w:rsidP="00326E23">
      <w:pPr>
        <w:ind w:firstLine="720"/>
        <w:rPr>
          <w:lang w:val="pt-BR"/>
        </w:rPr>
      </w:pPr>
      <w:r w:rsidRPr="00AF0BBA">
        <w:t xml:space="preserve">If (RMRHREAF </w:t>
      </w:r>
      <w:r w:rsidRPr="00AF0BBA">
        <w:rPr>
          <w:i/>
          <w:vertAlign w:val="subscript"/>
        </w:rPr>
        <w:t>q, r</w:t>
      </w:r>
      <w:r w:rsidRPr="00AF0BBA">
        <w:t xml:space="preserve"> ≥ RMRTA </w:t>
      </w:r>
      <w:r w:rsidRPr="00AF0BBA">
        <w:rPr>
          <w:i/>
          <w:vertAlign w:val="subscript"/>
        </w:rPr>
        <w:t>q, r</w:t>
      </w:r>
      <w:r w:rsidRPr="00AF0BBA">
        <w:t xml:space="preserve">), then </w:t>
      </w:r>
      <w:r w:rsidRPr="00AF0BBA">
        <w:rPr>
          <w:lang w:val="pt-BR"/>
        </w:rPr>
        <w:t xml:space="preserve">RMRARF </w:t>
      </w:r>
      <w:r w:rsidRPr="00AF0BBA">
        <w:rPr>
          <w:i/>
          <w:vertAlign w:val="subscript"/>
          <w:lang w:val="pt-BR"/>
        </w:rPr>
        <w:t>q, r</w:t>
      </w:r>
      <w:r w:rsidRPr="00AF0BBA">
        <w:rPr>
          <w:lang w:val="pt-BR"/>
        </w:rPr>
        <w:t xml:space="preserve"> = 1 </w:t>
      </w:r>
    </w:p>
    <w:p w14:paraId="19256AA8" w14:textId="77777777" w:rsidR="00326E23" w:rsidRPr="00AF0BBA" w:rsidRDefault="00326E23" w:rsidP="00326E23">
      <w:pPr>
        <w:ind w:firstLine="720"/>
        <w:rPr>
          <w:lang w:val="pt-BR"/>
        </w:rPr>
      </w:pPr>
    </w:p>
    <w:p w14:paraId="4B7963B5" w14:textId="77777777" w:rsidR="00326E23" w:rsidRPr="00AF0BBA" w:rsidRDefault="00326E23" w:rsidP="00326E23">
      <w:pPr>
        <w:ind w:firstLine="720"/>
        <w:rPr>
          <w:lang w:val="pt-BR"/>
        </w:rPr>
      </w:pPr>
      <w:r w:rsidRPr="00AF0BBA">
        <w:rPr>
          <w:lang w:val="pt-BR"/>
        </w:rPr>
        <w:t>Otherwise</w:t>
      </w:r>
    </w:p>
    <w:p w14:paraId="0AF2E4D5" w14:textId="77777777" w:rsidR="00326E23" w:rsidRPr="00AF0BBA" w:rsidRDefault="00326E23" w:rsidP="00326E23">
      <w:pPr>
        <w:ind w:left="720" w:firstLine="720"/>
        <w:rPr>
          <w:lang w:val="pt-BR"/>
        </w:rPr>
      </w:pPr>
      <w:r w:rsidRPr="00AF0BBA">
        <w:rPr>
          <w:lang w:val="pt-BR"/>
        </w:rPr>
        <w:t xml:space="preserve">RMRARF </w:t>
      </w:r>
      <w:r w:rsidRPr="00AF0BBA">
        <w:rPr>
          <w:i/>
          <w:vertAlign w:val="subscript"/>
          <w:lang w:val="pt-BR"/>
        </w:rPr>
        <w:t>q, r</w:t>
      </w:r>
      <w:r w:rsidRPr="00AF0BBA">
        <w:rPr>
          <w:lang w:val="pt-BR"/>
        </w:rPr>
        <w:tab/>
        <w:t>=</w:t>
      </w:r>
      <w:r w:rsidRPr="00AF0BBA">
        <w:rPr>
          <w:lang w:val="pt-BR"/>
        </w:rPr>
        <w:tab/>
        <w:t xml:space="preserve">Max (0, 1 - (RMRTA </w:t>
      </w:r>
      <w:r w:rsidRPr="00AF0BBA">
        <w:rPr>
          <w:i/>
          <w:vertAlign w:val="subscript"/>
          <w:lang w:val="pt-BR"/>
        </w:rPr>
        <w:t>q, r</w:t>
      </w:r>
      <w:r w:rsidRPr="00AF0BBA">
        <w:rPr>
          <w:lang w:val="pt-BR"/>
        </w:rPr>
        <w:t xml:space="preserve"> – RMRHREAF </w:t>
      </w:r>
      <w:r w:rsidRPr="00AF0BBA">
        <w:rPr>
          <w:i/>
          <w:vertAlign w:val="subscript"/>
          <w:lang w:val="pt-BR"/>
        </w:rPr>
        <w:t>q, r</w:t>
      </w:r>
      <w:r w:rsidRPr="00AF0BBA">
        <w:rPr>
          <w:lang w:val="pt-BR"/>
        </w:rPr>
        <w:t>) * 2)</w:t>
      </w:r>
    </w:p>
    <w:p w14:paraId="23417D32" w14:textId="77777777" w:rsidR="00326E23" w:rsidRPr="00AF0BBA" w:rsidRDefault="00326E23" w:rsidP="00326E23">
      <w:pPr>
        <w:rPr>
          <w:lang w:val="pt-BR"/>
        </w:rPr>
      </w:pPr>
    </w:p>
    <w:p w14:paraId="226CBB63" w14:textId="77777777" w:rsidR="00326E23" w:rsidRPr="00AF0BBA" w:rsidRDefault="00326E23" w:rsidP="00326E23">
      <w:r w:rsidRPr="00AF0BBA">
        <w:t>RMR Hourly Rolling Equivalent Availability Factor</w:t>
      </w:r>
    </w:p>
    <w:p w14:paraId="405D7EBC" w14:textId="551D260C" w:rsidR="00326E23" w:rsidRPr="00AF0BBA" w:rsidRDefault="00326E23" w:rsidP="00326E23">
      <w:pPr>
        <w:ind w:left="2790" w:hanging="2070"/>
        <w:rPr>
          <w:lang w:val="pt-BR"/>
        </w:rPr>
      </w:pPr>
      <w:r w:rsidRPr="00AF0BBA">
        <w:rPr>
          <w:lang w:val="pt-BR"/>
        </w:rPr>
        <w:t xml:space="preserve">RMRHREAF </w:t>
      </w:r>
      <w:r w:rsidRPr="00AF0BBA">
        <w:rPr>
          <w:i/>
          <w:vertAlign w:val="subscript"/>
          <w:lang w:val="pt-BR"/>
        </w:rPr>
        <w:t>q, r</w:t>
      </w:r>
      <w:r w:rsidRPr="00AF0BBA">
        <w:rPr>
          <w:lang w:val="pt-BR"/>
        </w:rPr>
        <w:t xml:space="preserve"> = Min (1, </w:t>
      </w:r>
      <w:r w:rsidR="00A94020">
        <w:rPr>
          <w:noProof/>
          <w:position w:val="-20"/>
        </w:rPr>
        <w:drawing>
          <wp:inline distT="0" distB="0" distL="0" distR="0" wp14:anchorId="614E2A1E" wp14:editId="1B563432">
            <wp:extent cx="457200" cy="3619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r w:rsidRPr="00AF0BBA">
        <w:rPr>
          <w:lang w:val="pt-BR"/>
        </w:rPr>
        <w:t xml:space="preserve"> </w:t>
      </w:r>
      <w:r>
        <w:rPr>
          <w:lang w:val="pt-BR"/>
        </w:rPr>
        <w:t>(</w:t>
      </w:r>
      <w:r w:rsidRPr="00AF0BBA">
        <w:rPr>
          <w:lang w:val="pt-BR"/>
        </w:rPr>
        <w:t>RMRAFLAG</w:t>
      </w:r>
      <w:r w:rsidRPr="00AF0BBA">
        <w:rPr>
          <w:i/>
          <w:vertAlign w:val="subscript"/>
          <w:lang w:val="pt-BR"/>
        </w:rPr>
        <w:t xml:space="preserve"> q, r, hr</w:t>
      </w:r>
      <w:r w:rsidRPr="00AF0BBA">
        <w:rPr>
          <w:lang w:val="pt-BR"/>
        </w:rPr>
        <w:t xml:space="preserve"> *  HSL</w:t>
      </w:r>
      <w:r w:rsidRPr="00AF0BBA">
        <w:rPr>
          <w:i/>
          <w:vertAlign w:val="subscript"/>
          <w:lang w:val="pt-BR"/>
        </w:rPr>
        <w:t>q, r, hr</w:t>
      </w:r>
      <w:r w:rsidRPr="00AF0BBA">
        <w:rPr>
          <w:lang w:val="pt-BR"/>
        </w:rPr>
        <w:t xml:space="preserve">)  / </w:t>
      </w:r>
      <w:r w:rsidR="00A94020">
        <w:rPr>
          <w:noProof/>
          <w:position w:val="-20"/>
        </w:rPr>
        <w:drawing>
          <wp:inline distT="0" distB="0" distL="0" distR="0" wp14:anchorId="0EB2BE42" wp14:editId="6BB3C842">
            <wp:extent cx="457200" cy="3619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r w:rsidRPr="00AF0BBA">
        <w:rPr>
          <w:lang w:val="pt-BR"/>
        </w:rPr>
        <w:t xml:space="preserve"> </w:t>
      </w:r>
      <w:r w:rsidRPr="00AF0BBA">
        <w:t xml:space="preserve">RMRCCAP </w:t>
      </w:r>
      <w:r w:rsidRPr="00AF0BBA">
        <w:rPr>
          <w:i/>
          <w:vertAlign w:val="subscript"/>
          <w:lang w:val="pt-BR"/>
        </w:rPr>
        <w:t>q, r</w:t>
      </w:r>
      <w:r w:rsidRPr="00AF0BBA">
        <w:rPr>
          <w:lang w:val="pt-BR"/>
        </w:rPr>
        <w:t>)</w:t>
      </w:r>
    </w:p>
    <w:p w14:paraId="5DD3CDDC" w14:textId="77777777" w:rsidR="00326E23" w:rsidRPr="00AF0BBA" w:rsidRDefault="00326E23" w:rsidP="00326E23">
      <w:pPr>
        <w:spacing w:after="240"/>
        <w:rPr>
          <w:iCs/>
        </w:rPr>
      </w:pPr>
    </w:p>
    <w:p w14:paraId="218D496A" w14:textId="77777777" w:rsidR="00326E23" w:rsidRPr="00AF0BBA" w:rsidRDefault="00326E23" w:rsidP="00326E23">
      <w:pPr>
        <w:spacing w:after="240"/>
        <w:rPr>
          <w:lang w:val="pt-BR"/>
        </w:rPr>
      </w:pPr>
      <w:r w:rsidRPr="00AF0BBA">
        <w:rPr>
          <w:iCs/>
        </w:rPr>
        <w:t>Availability</w:t>
      </w:r>
      <w:r w:rsidRPr="00AF0BBA">
        <w:t xml:space="preserve"> for a Combined Cycle Train will be determined pursuant to contractual terms but no more than once per hour.</w:t>
      </w:r>
    </w:p>
    <w:p w14:paraId="44462ED7" w14:textId="77777777" w:rsidR="00326E23" w:rsidRPr="00AF0BBA" w:rsidRDefault="00326E23" w:rsidP="00326E23">
      <w:r w:rsidRPr="00AF0BB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5"/>
        <w:gridCol w:w="780"/>
        <w:gridCol w:w="6865"/>
      </w:tblGrid>
      <w:tr w:rsidR="00326E23" w:rsidRPr="00AF0BBA" w14:paraId="6C6AAB37" w14:textId="77777777" w:rsidTr="009B2773">
        <w:trPr>
          <w:cantSplit/>
          <w:tblHeader/>
        </w:trPr>
        <w:tc>
          <w:tcPr>
            <w:tcW w:w="912" w:type="pct"/>
          </w:tcPr>
          <w:p w14:paraId="537FC4F2" w14:textId="77777777" w:rsidR="00326E23" w:rsidRPr="00AF0BBA" w:rsidRDefault="00326E23" w:rsidP="009B2773">
            <w:pPr>
              <w:spacing w:after="240"/>
              <w:rPr>
                <w:b/>
                <w:iCs/>
                <w:sz w:val="20"/>
              </w:rPr>
            </w:pPr>
            <w:r w:rsidRPr="00AF0BBA">
              <w:rPr>
                <w:b/>
                <w:iCs/>
                <w:sz w:val="20"/>
              </w:rPr>
              <w:t>Variable</w:t>
            </w:r>
          </w:p>
        </w:tc>
        <w:tc>
          <w:tcPr>
            <w:tcW w:w="417" w:type="pct"/>
          </w:tcPr>
          <w:p w14:paraId="67B365C2" w14:textId="77777777" w:rsidR="00326E23" w:rsidRPr="00AF0BBA" w:rsidRDefault="00326E23" w:rsidP="009B2773">
            <w:pPr>
              <w:spacing w:after="240"/>
              <w:rPr>
                <w:b/>
                <w:iCs/>
                <w:sz w:val="20"/>
              </w:rPr>
            </w:pPr>
            <w:r w:rsidRPr="00AF0BBA">
              <w:rPr>
                <w:b/>
                <w:iCs/>
                <w:sz w:val="20"/>
              </w:rPr>
              <w:t>Unit</w:t>
            </w:r>
          </w:p>
        </w:tc>
        <w:tc>
          <w:tcPr>
            <w:tcW w:w="3671" w:type="pct"/>
          </w:tcPr>
          <w:p w14:paraId="6853A841" w14:textId="77777777" w:rsidR="00326E23" w:rsidRPr="00AF0BBA" w:rsidRDefault="00326E23" w:rsidP="009B2773">
            <w:pPr>
              <w:spacing w:after="240"/>
              <w:rPr>
                <w:b/>
                <w:iCs/>
                <w:sz w:val="20"/>
              </w:rPr>
            </w:pPr>
            <w:r w:rsidRPr="00AF0BBA">
              <w:rPr>
                <w:b/>
                <w:iCs/>
                <w:sz w:val="20"/>
              </w:rPr>
              <w:t>Definition</w:t>
            </w:r>
          </w:p>
        </w:tc>
      </w:tr>
      <w:tr w:rsidR="00326E23" w:rsidRPr="00AF0BBA" w14:paraId="10F2A73A" w14:textId="77777777" w:rsidTr="009B2773">
        <w:trPr>
          <w:cantSplit/>
        </w:trPr>
        <w:tc>
          <w:tcPr>
            <w:tcW w:w="912" w:type="pct"/>
          </w:tcPr>
          <w:p w14:paraId="53374282" w14:textId="77777777" w:rsidR="00326E23" w:rsidRPr="00AF0BBA" w:rsidRDefault="00326E23" w:rsidP="009B2773">
            <w:pPr>
              <w:spacing w:after="60"/>
              <w:rPr>
                <w:iCs/>
                <w:sz w:val="20"/>
              </w:rPr>
            </w:pPr>
            <w:r w:rsidRPr="00AF0BBA">
              <w:rPr>
                <w:iCs/>
                <w:sz w:val="20"/>
              </w:rPr>
              <w:t xml:space="preserve">RMRSBPR </w:t>
            </w:r>
            <w:r w:rsidRPr="00AF0BBA">
              <w:rPr>
                <w:i/>
                <w:iCs/>
                <w:sz w:val="20"/>
                <w:vertAlign w:val="subscript"/>
              </w:rPr>
              <w:t>q, r</w:t>
            </w:r>
          </w:p>
        </w:tc>
        <w:tc>
          <w:tcPr>
            <w:tcW w:w="417" w:type="pct"/>
          </w:tcPr>
          <w:p w14:paraId="09FF53DD" w14:textId="77777777" w:rsidR="00326E23" w:rsidRPr="00AF0BBA" w:rsidRDefault="00326E23" w:rsidP="009B2773">
            <w:pPr>
              <w:spacing w:after="60"/>
              <w:rPr>
                <w:i/>
                <w:iCs/>
                <w:sz w:val="20"/>
              </w:rPr>
            </w:pPr>
            <w:r w:rsidRPr="00AF0BBA">
              <w:rPr>
                <w:iCs/>
                <w:sz w:val="20"/>
              </w:rPr>
              <w:t>$ per hour</w:t>
            </w:r>
          </w:p>
        </w:tc>
        <w:tc>
          <w:tcPr>
            <w:tcW w:w="3671" w:type="pct"/>
          </w:tcPr>
          <w:p w14:paraId="23410893" w14:textId="77777777" w:rsidR="00326E23" w:rsidRPr="00AF0BBA" w:rsidRDefault="00326E23" w:rsidP="009B2773">
            <w:pPr>
              <w:spacing w:after="60"/>
              <w:rPr>
                <w:iCs/>
                <w:sz w:val="20"/>
              </w:rPr>
            </w:pPr>
            <w:r w:rsidRPr="00AF0BBA">
              <w:rPr>
                <w:i/>
                <w:iCs/>
                <w:sz w:val="20"/>
              </w:rPr>
              <w:t>Reliability Must-Run Standby Price per QSE per Resource by hour</w:t>
            </w:r>
            <w:r w:rsidRPr="00AF0BBA">
              <w:rPr>
                <w:iCs/>
                <w:sz w:val="20"/>
              </w:rPr>
              <w:t xml:space="preserve">—The hourly standby cost for RMR Unit </w:t>
            </w:r>
            <w:r w:rsidRPr="00AF0BBA">
              <w:rPr>
                <w:i/>
                <w:iCs/>
                <w:sz w:val="20"/>
              </w:rPr>
              <w:t xml:space="preserve">r </w:t>
            </w:r>
            <w:r w:rsidRPr="00AF0BBA">
              <w:rPr>
                <w:iCs/>
                <w:sz w:val="20"/>
              </w:rPr>
              <w:t xml:space="preserve">represented by QSE </w:t>
            </w:r>
            <w:r w:rsidRPr="00AF0BBA">
              <w:rPr>
                <w:i/>
                <w:iCs/>
                <w:sz w:val="20"/>
              </w:rPr>
              <w:t xml:space="preserve">q, </w:t>
            </w:r>
            <w:r w:rsidRPr="00AF0BBA">
              <w:rPr>
                <w:iCs/>
                <w:sz w:val="20"/>
              </w:rPr>
              <w:t xml:space="preserve">for the hour.  Where for a Combined Cycle Train, the Resource </w:t>
            </w:r>
            <w:r w:rsidRPr="00AF0BBA">
              <w:rPr>
                <w:i/>
                <w:iCs/>
                <w:sz w:val="20"/>
              </w:rPr>
              <w:t>r</w:t>
            </w:r>
            <w:r w:rsidRPr="00AF0BBA">
              <w:rPr>
                <w:iCs/>
                <w:sz w:val="20"/>
              </w:rPr>
              <w:t xml:space="preserve"> is the Combined Cycle Train.</w:t>
            </w:r>
          </w:p>
        </w:tc>
      </w:tr>
      <w:tr w:rsidR="00326E23" w:rsidRPr="00AF0BBA" w14:paraId="7B049ACA" w14:textId="77777777" w:rsidTr="009B2773">
        <w:trPr>
          <w:cantSplit/>
        </w:trPr>
        <w:tc>
          <w:tcPr>
            <w:tcW w:w="912" w:type="pct"/>
          </w:tcPr>
          <w:p w14:paraId="48061BE9" w14:textId="77777777" w:rsidR="00326E23" w:rsidRPr="00AF0BBA" w:rsidRDefault="00326E23" w:rsidP="009B2773">
            <w:pPr>
              <w:spacing w:after="60"/>
              <w:rPr>
                <w:iCs/>
                <w:sz w:val="20"/>
              </w:rPr>
            </w:pPr>
            <w:r w:rsidRPr="00AF0BBA">
              <w:rPr>
                <w:iCs/>
                <w:sz w:val="20"/>
              </w:rPr>
              <w:t xml:space="preserve">RMRARF </w:t>
            </w:r>
            <w:r w:rsidRPr="00AF0BBA">
              <w:rPr>
                <w:i/>
                <w:iCs/>
                <w:sz w:val="20"/>
                <w:vertAlign w:val="subscript"/>
              </w:rPr>
              <w:t>q, r</w:t>
            </w:r>
          </w:p>
        </w:tc>
        <w:tc>
          <w:tcPr>
            <w:tcW w:w="417" w:type="pct"/>
          </w:tcPr>
          <w:p w14:paraId="2D698A32" w14:textId="77777777" w:rsidR="00326E23" w:rsidRPr="00AF0BBA" w:rsidRDefault="00326E23" w:rsidP="009B2773">
            <w:pPr>
              <w:spacing w:after="60"/>
              <w:rPr>
                <w:iCs/>
                <w:sz w:val="20"/>
              </w:rPr>
            </w:pPr>
            <w:r w:rsidRPr="00AF0BBA">
              <w:rPr>
                <w:iCs/>
                <w:sz w:val="20"/>
              </w:rPr>
              <w:t>none</w:t>
            </w:r>
          </w:p>
        </w:tc>
        <w:tc>
          <w:tcPr>
            <w:tcW w:w="3671" w:type="pct"/>
          </w:tcPr>
          <w:p w14:paraId="44E75DC1" w14:textId="77777777" w:rsidR="00326E23" w:rsidRPr="00AF0BBA" w:rsidRDefault="00326E23" w:rsidP="009B2773">
            <w:pPr>
              <w:spacing w:after="60"/>
              <w:rPr>
                <w:iCs/>
                <w:sz w:val="20"/>
              </w:rPr>
            </w:pPr>
            <w:r w:rsidRPr="00AF0BBA">
              <w:rPr>
                <w:i/>
                <w:iCs/>
                <w:sz w:val="20"/>
              </w:rPr>
              <w:t>Reliability Must-Run Availability Reduction Factor per QSE per Resource by hour</w:t>
            </w:r>
            <w:r w:rsidRPr="00AF0BBA">
              <w:rPr>
                <w:iCs/>
                <w:sz w:val="20"/>
              </w:rPr>
              <w:t xml:space="preserve">—The availability reduction factor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for the hour.  Where for a Combined Cycle Train, the Resource </w:t>
            </w:r>
            <w:r w:rsidRPr="00AF0BBA">
              <w:rPr>
                <w:i/>
                <w:iCs/>
                <w:sz w:val="20"/>
              </w:rPr>
              <w:t xml:space="preserve">r </w:t>
            </w:r>
            <w:r w:rsidRPr="00AF0BBA">
              <w:rPr>
                <w:iCs/>
                <w:sz w:val="20"/>
              </w:rPr>
              <w:t>is the Combined Cycle Train.</w:t>
            </w:r>
          </w:p>
        </w:tc>
      </w:tr>
      <w:tr w:rsidR="00326E23" w:rsidRPr="00AF0BBA" w14:paraId="3458FC13" w14:textId="77777777" w:rsidTr="009B2773">
        <w:trPr>
          <w:cantSplit/>
        </w:trPr>
        <w:tc>
          <w:tcPr>
            <w:tcW w:w="912" w:type="pct"/>
          </w:tcPr>
          <w:p w14:paraId="7AB323E0" w14:textId="77777777" w:rsidR="00326E23" w:rsidRPr="00AF0BBA" w:rsidRDefault="00326E23" w:rsidP="009B2773">
            <w:pPr>
              <w:spacing w:after="60"/>
              <w:rPr>
                <w:iCs/>
                <w:sz w:val="20"/>
              </w:rPr>
            </w:pPr>
            <w:r w:rsidRPr="00AF0BBA">
              <w:rPr>
                <w:iCs/>
                <w:sz w:val="20"/>
              </w:rPr>
              <w:t xml:space="preserve">RMRCRF </w:t>
            </w:r>
            <w:r w:rsidRPr="00AF0BBA">
              <w:rPr>
                <w:i/>
                <w:iCs/>
                <w:sz w:val="20"/>
                <w:vertAlign w:val="subscript"/>
              </w:rPr>
              <w:t>q, r</w:t>
            </w:r>
          </w:p>
        </w:tc>
        <w:tc>
          <w:tcPr>
            <w:tcW w:w="417" w:type="pct"/>
          </w:tcPr>
          <w:p w14:paraId="4574492D" w14:textId="77777777" w:rsidR="00326E23" w:rsidRPr="00AF0BBA" w:rsidRDefault="00326E23" w:rsidP="009B2773">
            <w:pPr>
              <w:spacing w:after="60"/>
              <w:rPr>
                <w:iCs/>
                <w:sz w:val="20"/>
              </w:rPr>
            </w:pPr>
            <w:r w:rsidRPr="00AF0BBA">
              <w:rPr>
                <w:iCs/>
                <w:sz w:val="20"/>
              </w:rPr>
              <w:t>none</w:t>
            </w:r>
          </w:p>
        </w:tc>
        <w:tc>
          <w:tcPr>
            <w:tcW w:w="3671" w:type="pct"/>
          </w:tcPr>
          <w:p w14:paraId="1928267B" w14:textId="77777777" w:rsidR="00326E23" w:rsidRPr="00AF0BBA" w:rsidRDefault="00326E23" w:rsidP="009B2773">
            <w:pPr>
              <w:spacing w:after="60"/>
              <w:rPr>
                <w:i/>
                <w:iCs/>
                <w:sz w:val="20"/>
              </w:rPr>
            </w:pPr>
            <w:r w:rsidRPr="00AF0BBA">
              <w:rPr>
                <w:i/>
                <w:iCs/>
                <w:sz w:val="20"/>
              </w:rPr>
              <w:t>Reliability Must-Run Capacity Reduction Factor per QSE per Resource by hour</w:t>
            </w:r>
            <w:r w:rsidRPr="00AF0BBA">
              <w:rPr>
                <w:iCs/>
                <w:sz w:val="20"/>
              </w:rPr>
              <w:t>—The capacity reduction factor of the RMR Unit</w:t>
            </w:r>
            <w:r w:rsidRPr="00AF0BBA">
              <w:rPr>
                <w:i/>
                <w:sz w:val="20"/>
              </w:rPr>
              <w:t xml:space="preserve"> r </w:t>
            </w:r>
            <w:r w:rsidRPr="00AF0BBA">
              <w:rPr>
                <w:sz w:val="20"/>
              </w:rPr>
              <w:t xml:space="preserve">represented by QSE </w:t>
            </w:r>
            <w:r w:rsidRPr="00AF0BBA">
              <w:rPr>
                <w:i/>
                <w:sz w:val="20"/>
              </w:rPr>
              <w:t>q</w:t>
            </w:r>
            <w:r w:rsidRPr="00AF0BBA">
              <w:rPr>
                <w:iCs/>
                <w:sz w:val="20"/>
              </w:rPr>
              <w:t>, for the hour.  See paragraph (2) of Section 3.14.1.1</w:t>
            </w:r>
            <w:r>
              <w:rPr>
                <w:iCs/>
                <w:sz w:val="20"/>
              </w:rPr>
              <w:t>7</w:t>
            </w:r>
            <w:r w:rsidRPr="00AF0BBA">
              <w:rPr>
                <w:iCs/>
                <w:sz w:val="20"/>
              </w:rPr>
              <w:t xml:space="preserve">, Incentive Factor.  Where for a Combined Cycle Train, the Resource </w:t>
            </w:r>
            <w:r w:rsidRPr="00AF0BBA">
              <w:rPr>
                <w:i/>
                <w:iCs/>
                <w:sz w:val="20"/>
              </w:rPr>
              <w:t xml:space="preserve">r </w:t>
            </w:r>
            <w:r w:rsidRPr="00AF0BBA">
              <w:rPr>
                <w:iCs/>
                <w:sz w:val="20"/>
              </w:rPr>
              <w:t>is the Combined Cycle Train.</w:t>
            </w:r>
          </w:p>
        </w:tc>
      </w:tr>
      <w:tr w:rsidR="00326E23" w:rsidRPr="00AF0BBA" w14:paraId="3516A2D7" w14:textId="77777777" w:rsidTr="009B2773">
        <w:trPr>
          <w:cantSplit/>
        </w:trPr>
        <w:tc>
          <w:tcPr>
            <w:tcW w:w="912" w:type="pct"/>
          </w:tcPr>
          <w:p w14:paraId="54CB3201" w14:textId="77777777" w:rsidR="00326E23" w:rsidRPr="00AF0BBA" w:rsidRDefault="00326E23" w:rsidP="009B2773">
            <w:pPr>
              <w:spacing w:after="60"/>
              <w:rPr>
                <w:iCs/>
                <w:sz w:val="20"/>
              </w:rPr>
            </w:pPr>
            <w:r w:rsidRPr="00AF0BBA">
              <w:rPr>
                <w:iCs/>
                <w:sz w:val="20"/>
              </w:rPr>
              <w:lastRenderedPageBreak/>
              <w:t xml:space="preserve">RMRCCAP </w:t>
            </w:r>
            <w:r w:rsidRPr="00AF0BBA">
              <w:rPr>
                <w:i/>
                <w:iCs/>
                <w:sz w:val="20"/>
                <w:vertAlign w:val="subscript"/>
              </w:rPr>
              <w:t>q, r</w:t>
            </w:r>
          </w:p>
        </w:tc>
        <w:tc>
          <w:tcPr>
            <w:tcW w:w="417" w:type="pct"/>
          </w:tcPr>
          <w:p w14:paraId="124A26AF" w14:textId="77777777" w:rsidR="00326E23" w:rsidRPr="00AF0BBA" w:rsidRDefault="00326E23" w:rsidP="009B2773">
            <w:pPr>
              <w:spacing w:after="60"/>
              <w:rPr>
                <w:iCs/>
                <w:sz w:val="20"/>
              </w:rPr>
            </w:pPr>
            <w:r w:rsidRPr="00AF0BBA">
              <w:rPr>
                <w:iCs/>
                <w:sz w:val="20"/>
              </w:rPr>
              <w:t>MW</w:t>
            </w:r>
          </w:p>
        </w:tc>
        <w:tc>
          <w:tcPr>
            <w:tcW w:w="3671" w:type="pct"/>
          </w:tcPr>
          <w:p w14:paraId="41BAC4A4" w14:textId="77777777" w:rsidR="00326E23" w:rsidRPr="00AF0BBA" w:rsidRDefault="00326E23" w:rsidP="009B2773">
            <w:pPr>
              <w:spacing w:after="60"/>
              <w:rPr>
                <w:iCs/>
                <w:sz w:val="20"/>
              </w:rPr>
            </w:pPr>
            <w:r w:rsidRPr="00AF0BBA">
              <w:rPr>
                <w:i/>
                <w:iCs/>
                <w:sz w:val="20"/>
              </w:rPr>
              <w:t>Reliability Must-Run Contractual Capacity per QSE per Resource</w:t>
            </w:r>
            <w:r w:rsidRPr="00AF0BBA">
              <w:rPr>
                <w:iCs/>
                <w:sz w:val="20"/>
              </w:rPr>
              <w:t xml:space="preserve">—The seasonal capacity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as specified in the RMR Agreement.  The monthly value is allocated evenly across all hours for all days in the month.  Where for a Combined Cycle Train, the Resource </w:t>
            </w:r>
            <w:r w:rsidRPr="00AF0BBA">
              <w:rPr>
                <w:i/>
                <w:iCs/>
                <w:sz w:val="20"/>
              </w:rPr>
              <w:t xml:space="preserve">r </w:t>
            </w:r>
            <w:r w:rsidRPr="00AF0BBA">
              <w:rPr>
                <w:iCs/>
                <w:sz w:val="20"/>
              </w:rPr>
              <w:t>is the Combined Cycle Train.</w:t>
            </w:r>
          </w:p>
        </w:tc>
      </w:tr>
      <w:tr w:rsidR="00326E23" w:rsidRPr="00AF0BBA" w14:paraId="7B902023" w14:textId="77777777" w:rsidTr="009B2773">
        <w:trPr>
          <w:cantSplit/>
        </w:trPr>
        <w:tc>
          <w:tcPr>
            <w:tcW w:w="912" w:type="pct"/>
          </w:tcPr>
          <w:p w14:paraId="4071F516" w14:textId="77777777" w:rsidR="00326E23" w:rsidRPr="00AF0BBA" w:rsidRDefault="00326E23" w:rsidP="009B2773">
            <w:pPr>
              <w:spacing w:after="60"/>
              <w:rPr>
                <w:iCs/>
                <w:sz w:val="20"/>
              </w:rPr>
            </w:pPr>
            <w:r w:rsidRPr="00AF0BBA">
              <w:rPr>
                <w:iCs/>
                <w:sz w:val="20"/>
              </w:rPr>
              <w:t xml:space="preserve">RMRTCAP </w:t>
            </w:r>
            <w:r w:rsidRPr="00AF0BBA">
              <w:rPr>
                <w:i/>
                <w:iCs/>
                <w:sz w:val="20"/>
                <w:vertAlign w:val="subscript"/>
              </w:rPr>
              <w:t>q, r</w:t>
            </w:r>
          </w:p>
        </w:tc>
        <w:tc>
          <w:tcPr>
            <w:tcW w:w="417" w:type="pct"/>
          </w:tcPr>
          <w:p w14:paraId="6ED424CE" w14:textId="77777777" w:rsidR="00326E23" w:rsidRPr="00AF0BBA" w:rsidRDefault="00326E23" w:rsidP="009B2773">
            <w:pPr>
              <w:spacing w:after="60"/>
              <w:rPr>
                <w:iCs/>
                <w:sz w:val="20"/>
              </w:rPr>
            </w:pPr>
            <w:r w:rsidRPr="00AF0BBA">
              <w:rPr>
                <w:iCs/>
                <w:sz w:val="20"/>
              </w:rPr>
              <w:t>MW</w:t>
            </w:r>
          </w:p>
        </w:tc>
        <w:tc>
          <w:tcPr>
            <w:tcW w:w="3671" w:type="pct"/>
          </w:tcPr>
          <w:p w14:paraId="5B94EE8B" w14:textId="77777777" w:rsidR="00326E23" w:rsidRPr="00AF0BBA" w:rsidRDefault="00326E23" w:rsidP="009B2773">
            <w:pPr>
              <w:spacing w:after="60"/>
              <w:rPr>
                <w:iCs/>
                <w:sz w:val="20"/>
              </w:rPr>
            </w:pPr>
            <w:r w:rsidRPr="00AF0BBA">
              <w:rPr>
                <w:i/>
                <w:iCs/>
                <w:sz w:val="20"/>
              </w:rPr>
              <w:t>Reliability Must-Run Testing Capacity by hour</w:t>
            </w:r>
            <w:r w:rsidRPr="00AF0BBA">
              <w:rPr>
                <w:iCs/>
                <w:sz w:val="20"/>
              </w:rPr>
              <w:t>—The testing capacity of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xml:space="preserve">, for the hour.  Where for a Combined Cycle Train, the Resource </w:t>
            </w:r>
            <w:r w:rsidRPr="00AF0BBA">
              <w:rPr>
                <w:i/>
                <w:iCs/>
                <w:sz w:val="20"/>
              </w:rPr>
              <w:t xml:space="preserve">r </w:t>
            </w:r>
            <w:r w:rsidRPr="00AF0BBA">
              <w:rPr>
                <w:iCs/>
                <w:sz w:val="20"/>
              </w:rPr>
              <w:t>is the Combined Cycle Train.</w:t>
            </w:r>
          </w:p>
        </w:tc>
      </w:tr>
      <w:tr w:rsidR="00326E23" w:rsidRPr="00AF0BBA" w14:paraId="2EBE4A2D" w14:textId="77777777" w:rsidTr="009B2773">
        <w:trPr>
          <w:cantSplit/>
        </w:trPr>
        <w:tc>
          <w:tcPr>
            <w:tcW w:w="912" w:type="pct"/>
          </w:tcPr>
          <w:p w14:paraId="632DD028" w14:textId="77777777" w:rsidR="00326E23" w:rsidRPr="00AF0BBA" w:rsidRDefault="00326E23" w:rsidP="009B2773">
            <w:pPr>
              <w:spacing w:after="60"/>
              <w:rPr>
                <w:iCs/>
                <w:sz w:val="20"/>
              </w:rPr>
            </w:pPr>
            <w:r w:rsidRPr="00AF0BBA">
              <w:rPr>
                <w:iCs/>
                <w:sz w:val="20"/>
              </w:rPr>
              <w:t xml:space="preserve">RMRTA </w:t>
            </w:r>
            <w:r w:rsidRPr="00AF0BBA">
              <w:rPr>
                <w:i/>
                <w:iCs/>
                <w:sz w:val="20"/>
                <w:vertAlign w:val="subscript"/>
              </w:rPr>
              <w:t>q, r</w:t>
            </w:r>
          </w:p>
        </w:tc>
        <w:tc>
          <w:tcPr>
            <w:tcW w:w="417" w:type="pct"/>
          </w:tcPr>
          <w:p w14:paraId="6F9768AB" w14:textId="77777777" w:rsidR="00326E23" w:rsidRPr="00AF0BBA" w:rsidRDefault="00326E23" w:rsidP="009B2773">
            <w:pPr>
              <w:spacing w:after="60"/>
              <w:rPr>
                <w:iCs/>
                <w:sz w:val="20"/>
              </w:rPr>
            </w:pPr>
            <w:r w:rsidRPr="00AF0BBA">
              <w:rPr>
                <w:iCs/>
                <w:sz w:val="20"/>
              </w:rPr>
              <w:t>none</w:t>
            </w:r>
          </w:p>
        </w:tc>
        <w:tc>
          <w:tcPr>
            <w:tcW w:w="3671" w:type="pct"/>
          </w:tcPr>
          <w:p w14:paraId="1E9755AB" w14:textId="77777777" w:rsidR="00326E23" w:rsidRPr="00AF0BBA" w:rsidRDefault="00326E23" w:rsidP="009B2773">
            <w:pPr>
              <w:spacing w:after="60"/>
              <w:rPr>
                <w:iCs/>
                <w:sz w:val="20"/>
              </w:rPr>
            </w:pPr>
            <w:r w:rsidRPr="00AF0BBA">
              <w:rPr>
                <w:i/>
                <w:iCs/>
                <w:sz w:val="20"/>
              </w:rPr>
              <w:t>Reliability Must-Run Target Availability per QSE per Resource</w:t>
            </w:r>
            <w:r w:rsidRPr="00AF0BBA">
              <w:rPr>
                <w:iCs/>
                <w:sz w:val="20"/>
              </w:rPr>
              <w:t>—The Target Availability of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xml:space="preserve">, as specified in the RMR Agreement and divided by 100 to convert a percentage to a fraction.  Where for a Combined Cycle Train, the Resource </w:t>
            </w:r>
            <w:r w:rsidRPr="00AF0BBA">
              <w:rPr>
                <w:i/>
                <w:iCs/>
                <w:sz w:val="20"/>
              </w:rPr>
              <w:t xml:space="preserve">r </w:t>
            </w:r>
            <w:r w:rsidRPr="00AF0BBA">
              <w:rPr>
                <w:iCs/>
                <w:sz w:val="20"/>
              </w:rPr>
              <w:t>is the Combined Cycle Train.</w:t>
            </w:r>
          </w:p>
        </w:tc>
      </w:tr>
      <w:tr w:rsidR="00326E23" w:rsidRPr="00AF0BBA" w14:paraId="7D5918E0" w14:textId="77777777" w:rsidTr="009B2773">
        <w:trPr>
          <w:cantSplit/>
        </w:trPr>
        <w:tc>
          <w:tcPr>
            <w:tcW w:w="912" w:type="pct"/>
          </w:tcPr>
          <w:p w14:paraId="55307E02" w14:textId="77777777" w:rsidR="00326E23" w:rsidRPr="00AF0BBA" w:rsidRDefault="00326E23" w:rsidP="009B2773">
            <w:pPr>
              <w:spacing w:after="60"/>
              <w:rPr>
                <w:iCs/>
                <w:sz w:val="20"/>
              </w:rPr>
            </w:pPr>
            <w:r w:rsidRPr="00AF0BBA">
              <w:rPr>
                <w:iCs/>
                <w:sz w:val="20"/>
              </w:rPr>
              <w:t xml:space="preserve">RMRHREAF </w:t>
            </w:r>
            <w:r w:rsidRPr="00AF0BBA">
              <w:rPr>
                <w:i/>
                <w:iCs/>
                <w:sz w:val="20"/>
                <w:vertAlign w:val="subscript"/>
              </w:rPr>
              <w:t>q, r</w:t>
            </w:r>
          </w:p>
        </w:tc>
        <w:tc>
          <w:tcPr>
            <w:tcW w:w="417" w:type="pct"/>
          </w:tcPr>
          <w:p w14:paraId="405EEE84" w14:textId="77777777" w:rsidR="00326E23" w:rsidRPr="00AF0BBA" w:rsidRDefault="00326E23" w:rsidP="009B2773">
            <w:pPr>
              <w:spacing w:after="60"/>
              <w:rPr>
                <w:iCs/>
                <w:sz w:val="20"/>
              </w:rPr>
            </w:pPr>
            <w:r w:rsidRPr="00AF0BBA">
              <w:rPr>
                <w:iCs/>
                <w:sz w:val="20"/>
              </w:rPr>
              <w:t>none</w:t>
            </w:r>
          </w:p>
        </w:tc>
        <w:tc>
          <w:tcPr>
            <w:tcW w:w="3671" w:type="pct"/>
          </w:tcPr>
          <w:p w14:paraId="14F104FD" w14:textId="77777777" w:rsidR="00326E23" w:rsidRPr="00AF0BBA" w:rsidRDefault="00326E23" w:rsidP="009B2773">
            <w:pPr>
              <w:spacing w:after="60"/>
              <w:rPr>
                <w:iCs/>
                <w:sz w:val="20"/>
              </w:rPr>
            </w:pPr>
            <w:r w:rsidRPr="00AF0BBA">
              <w:rPr>
                <w:i/>
                <w:iCs/>
                <w:sz w:val="20"/>
              </w:rPr>
              <w:t>Reliability Must-Run Hourly Rolling Equivalent Availability Factor per QSE per Resource by hour</w:t>
            </w:r>
            <w:r w:rsidRPr="00AF0BBA">
              <w:rPr>
                <w:iCs/>
                <w:sz w:val="20"/>
              </w:rPr>
              <w:t xml:space="preserve">—The equivalent availability factor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over the current hour plus the prior 4379 hours</w:t>
            </w:r>
            <w:r w:rsidRPr="00AF0BBA">
              <w:rPr>
                <w:sz w:val="20"/>
              </w:rPr>
              <w:t xml:space="preserve"> for which availability is required under the RMR Agreement</w:t>
            </w:r>
            <w:r w:rsidRPr="00AF0BBA">
              <w:rPr>
                <w:iCs/>
                <w:sz w:val="20"/>
              </w:rPr>
              <w:t xml:space="preserve">, for the hour.  Where for a Combined Cycle Train, the Resource </w:t>
            </w:r>
            <w:r w:rsidRPr="00AF0BBA">
              <w:rPr>
                <w:i/>
                <w:iCs/>
                <w:sz w:val="20"/>
              </w:rPr>
              <w:t xml:space="preserve">r </w:t>
            </w:r>
            <w:r w:rsidRPr="00AF0BBA">
              <w:rPr>
                <w:iCs/>
                <w:sz w:val="20"/>
              </w:rPr>
              <w:t xml:space="preserve">is the Combined Cycle Train. The available capacity is calculated in accordance with paragraph (3) of Section </w:t>
            </w:r>
            <w:r>
              <w:rPr>
                <w:iCs/>
                <w:sz w:val="20"/>
              </w:rPr>
              <w:t>3.14.1.17</w:t>
            </w:r>
            <w:r w:rsidRPr="00AF0BBA">
              <w:rPr>
                <w:iCs/>
                <w:sz w:val="20"/>
              </w:rPr>
              <w:t>.</w:t>
            </w:r>
          </w:p>
        </w:tc>
      </w:tr>
      <w:tr w:rsidR="00326E23" w:rsidRPr="00AF0BBA" w14:paraId="654B4A5A" w14:textId="77777777" w:rsidTr="009B2773">
        <w:trPr>
          <w:cantSplit/>
        </w:trPr>
        <w:tc>
          <w:tcPr>
            <w:tcW w:w="912" w:type="pct"/>
          </w:tcPr>
          <w:p w14:paraId="5E1C47B4" w14:textId="77777777" w:rsidR="00326E23" w:rsidRPr="00B17C2D" w:rsidRDefault="00326E23" w:rsidP="009B2773">
            <w:pPr>
              <w:pStyle w:val="Default"/>
              <w:rPr>
                <w:rFonts w:ascii="Times New Roman" w:hAnsi="Times New Roman" w:cs="Times New Roman"/>
                <w:sz w:val="13"/>
                <w:szCs w:val="13"/>
              </w:rPr>
            </w:pPr>
            <w:r w:rsidRPr="00B17C2D">
              <w:rPr>
                <w:rFonts w:ascii="Times New Roman" w:hAnsi="Times New Roman" w:cs="Times New Roman"/>
                <w:sz w:val="20"/>
                <w:szCs w:val="20"/>
              </w:rPr>
              <w:t xml:space="preserve">RMRMNFNCC </w:t>
            </w:r>
            <w:r w:rsidRPr="00B17C2D">
              <w:rPr>
                <w:rFonts w:ascii="Times New Roman" w:hAnsi="Times New Roman" w:cs="Times New Roman"/>
                <w:i/>
                <w:iCs/>
                <w:sz w:val="13"/>
                <w:szCs w:val="13"/>
              </w:rPr>
              <w:t xml:space="preserve">q, r </w:t>
            </w:r>
          </w:p>
        </w:tc>
        <w:tc>
          <w:tcPr>
            <w:tcW w:w="417" w:type="pct"/>
          </w:tcPr>
          <w:p w14:paraId="7DF7A7D1" w14:textId="77777777" w:rsidR="00326E23" w:rsidRDefault="00326E23" w:rsidP="009B2773">
            <w:pPr>
              <w:pStyle w:val="Default"/>
              <w:rPr>
                <w:sz w:val="20"/>
                <w:szCs w:val="20"/>
              </w:rPr>
            </w:pPr>
            <w:r>
              <w:rPr>
                <w:sz w:val="20"/>
                <w:szCs w:val="20"/>
              </w:rPr>
              <w:t xml:space="preserve">$ </w:t>
            </w:r>
          </w:p>
        </w:tc>
        <w:tc>
          <w:tcPr>
            <w:tcW w:w="3671" w:type="pct"/>
          </w:tcPr>
          <w:p w14:paraId="20EDFE8E" w14:textId="77777777" w:rsidR="00326E23" w:rsidRPr="00B17C2D" w:rsidRDefault="00326E23" w:rsidP="009B2773">
            <w:pPr>
              <w:pStyle w:val="Default"/>
              <w:rPr>
                <w:rFonts w:ascii="Times New Roman" w:hAnsi="Times New Roman" w:cs="Times New Roman"/>
                <w:sz w:val="20"/>
                <w:szCs w:val="20"/>
              </w:rPr>
            </w:pPr>
            <w:r w:rsidRPr="00B17C2D">
              <w:rPr>
                <w:rFonts w:ascii="Times New Roman" w:hAnsi="Times New Roman" w:cs="Times New Roman"/>
                <w:i/>
                <w:iCs/>
                <w:sz w:val="20"/>
                <w:szCs w:val="20"/>
              </w:rPr>
              <w:t>Reliability Must-Run Monthly Non-Fuel Non-Capital Cost per QSE per Resource</w:t>
            </w:r>
            <w:r w:rsidRPr="00B17C2D">
              <w:rPr>
                <w:rFonts w:ascii="Times New Roman" w:hAnsi="Times New Roman" w:cs="Times New Roman"/>
                <w:sz w:val="20"/>
                <w:szCs w:val="20"/>
              </w:rPr>
              <w:t xml:space="preserve">—The actual non-capital and non-fuel Eligible Cost of RMR Unit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 xml:space="preserve">represented by QSE </w:t>
            </w:r>
            <w:r w:rsidRPr="00B17C2D">
              <w:rPr>
                <w:rFonts w:ascii="Times New Roman" w:hAnsi="Times New Roman" w:cs="Times New Roman"/>
                <w:i/>
                <w:iCs/>
                <w:sz w:val="20"/>
                <w:szCs w:val="20"/>
              </w:rPr>
              <w:t>q</w:t>
            </w:r>
            <w:r w:rsidRPr="00B17C2D">
              <w:rPr>
                <w:rFonts w:ascii="Times New Roman" w:hAnsi="Times New Roman" w:cs="Times New Roman"/>
                <w:sz w:val="20"/>
                <w:szCs w:val="20"/>
              </w:rPr>
              <w:t xml:space="preserve">, for the month. Where for a Combined Cycle Train, the Resource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 xml:space="preserve">is the Combined Cycle Train. </w:t>
            </w:r>
          </w:p>
        </w:tc>
      </w:tr>
      <w:tr w:rsidR="00326E23" w:rsidRPr="00AF0BBA" w14:paraId="79DA2E83" w14:textId="77777777" w:rsidTr="009B2773">
        <w:trPr>
          <w:cantSplit/>
        </w:trPr>
        <w:tc>
          <w:tcPr>
            <w:tcW w:w="912" w:type="pct"/>
          </w:tcPr>
          <w:p w14:paraId="14704473" w14:textId="77777777" w:rsidR="00326E23" w:rsidRPr="00B17C2D" w:rsidRDefault="00326E23" w:rsidP="009B2773">
            <w:pPr>
              <w:pStyle w:val="Default"/>
              <w:rPr>
                <w:rFonts w:ascii="Times New Roman" w:hAnsi="Times New Roman" w:cs="Times New Roman"/>
                <w:sz w:val="13"/>
                <w:szCs w:val="13"/>
              </w:rPr>
            </w:pPr>
            <w:r w:rsidRPr="00B17C2D">
              <w:rPr>
                <w:rFonts w:ascii="Times New Roman" w:hAnsi="Times New Roman" w:cs="Times New Roman"/>
                <w:sz w:val="20"/>
                <w:szCs w:val="20"/>
              </w:rPr>
              <w:t xml:space="preserve">RMRMNFCC </w:t>
            </w:r>
            <w:r w:rsidRPr="00B17C2D">
              <w:rPr>
                <w:rFonts w:ascii="Times New Roman" w:hAnsi="Times New Roman" w:cs="Times New Roman"/>
                <w:i/>
                <w:iCs/>
                <w:sz w:val="13"/>
                <w:szCs w:val="13"/>
              </w:rPr>
              <w:t xml:space="preserve">q, r </w:t>
            </w:r>
          </w:p>
        </w:tc>
        <w:tc>
          <w:tcPr>
            <w:tcW w:w="417" w:type="pct"/>
          </w:tcPr>
          <w:p w14:paraId="31FEBCE1" w14:textId="77777777" w:rsidR="00326E23" w:rsidRDefault="00326E23" w:rsidP="009B2773">
            <w:pPr>
              <w:pStyle w:val="Default"/>
              <w:rPr>
                <w:sz w:val="20"/>
                <w:szCs w:val="20"/>
              </w:rPr>
            </w:pPr>
            <w:r>
              <w:rPr>
                <w:sz w:val="20"/>
                <w:szCs w:val="20"/>
              </w:rPr>
              <w:t xml:space="preserve">$ </w:t>
            </w:r>
          </w:p>
        </w:tc>
        <w:tc>
          <w:tcPr>
            <w:tcW w:w="3671" w:type="pct"/>
          </w:tcPr>
          <w:p w14:paraId="14A0DA0F" w14:textId="77777777" w:rsidR="00326E23" w:rsidRPr="00B17C2D" w:rsidRDefault="00326E23" w:rsidP="009B2773">
            <w:pPr>
              <w:pStyle w:val="Default"/>
              <w:rPr>
                <w:rFonts w:ascii="Times New Roman" w:hAnsi="Times New Roman" w:cs="Times New Roman"/>
                <w:sz w:val="20"/>
                <w:szCs w:val="20"/>
              </w:rPr>
            </w:pPr>
            <w:r w:rsidRPr="00B17C2D">
              <w:rPr>
                <w:rFonts w:ascii="Times New Roman" w:hAnsi="Times New Roman" w:cs="Times New Roman"/>
                <w:i/>
                <w:iCs/>
                <w:sz w:val="20"/>
                <w:szCs w:val="20"/>
              </w:rPr>
              <w:t>Reliability Must-Run Monthly Non-Fuel Capital Cost per QSE per Resource</w:t>
            </w:r>
            <w:r w:rsidRPr="00B17C2D">
              <w:rPr>
                <w:rFonts w:ascii="Times New Roman" w:hAnsi="Times New Roman" w:cs="Times New Roman"/>
                <w:sz w:val="20"/>
                <w:szCs w:val="20"/>
              </w:rPr>
              <w:t xml:space="preserve">—The actual non-fuel and capital Eligible Cost of RMR Unit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 xml:space="preserve">represented by QSE </w:t>
            </w:r>
            <w:r w:rsidRPr="00B17C2D">
              <w:rPr>
                <w:rFonts w:ascii="Times New Roman" w:hAnsi="Times New Roman" w:cs="Times New Roman"/>
                <w:i/>
                <w:iCs/>
                <w:sz w:val="20"/>
                <w:szCs w:val="20"/>
              </w:rPr>
              <w:t>q</w:t>
            </w:r>
            <w:r w:rsidRPr="00B17C2D">
              <w:rPr>
                <w:rFonts w:ascii="Times New Roman" w:hAnsi="Times New Roman" w:cs="Times New Roman"/>
                <w:sz w:val="20"/>
                <w:szCs w:val="20"/>
              </w:rPr>
              <w:t xml:space="preserve">, for the month. Where for a Combined Cycle Train, the Resource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is the Combined Cycle Train. Notwithstanding the above, reservation and transportation costs associated with firm fuel supplies as described in paragraph (1)(a)(vi) of Section 3.14.1.10, Eligible Costs, shall be included herein.</w:t>
            </w:r>
          </w:p>
        </w:tc>
      </w:tr>
      <w:tr w:rsidR="00326E23" w:rsidRPr="00AF0BBA" w14:paraId="59605233" w14:textId="77777777" w:rsidTr="009B2773">
        <w:trPr>
          <w:cantSplit/>
        </w:trPr>
        <w:tc>
          <w:tcPr>
            <w:tcW w:w="912" w:type="pct"/>
            <w:tcBorders>
              <w:top w:val="single" w:sz="4" w:space="0" w:color="auto"/>
              <w:left w:val="single" w:sz="4" w:space="0" w:color="auto"/>
              <w:bottom w:val="single" w:sz="4" w:space="0" w:color="auto"/>
              <w:right w:val="single" w:sz="4" w:space="0" w:color="auto"/>
            </w:tcBorders>
          </w:tcPr>
          <w:p w14:paraId="42375937" w14:textId="77777777" w:rsidR="00326E23" w:rsidRPr="00AF0BBA" w:rsidRDefault="00326E23" w:rsidP="009B2773">
            <w:pPr>
              <w:spacing w:after="60"/>
              <w:rPr>
                <w:iCs/>
                <w:sz w:val="20"/>
              </w:rPr>
            </w:pPr>
            <w:r w:rsidRPr="00AF0BBA">
              <w:rPr>
                <w:iCs/>
                <w:sz w:val="20"/>
              </w:rPr>
              <w:t xml:space="preserve">MH </w:t>
            </w:r>
            <w:r w:rsidRPr="00AF0BBA">
              <w:rPr>
                <w:i/>
                <w:iCs/>
                <w:sz w:val="20"/>
                <w:vertAlign w:val="subscript"/>
              </w:rPr>
              <w:t>q, r</w:t>
            </w:r>
          </w:p>
        </w:tc>
        <w:tc>
          <w:tcPr>
            <w:tcW w:w="417" w:type="pct"/>
            <w:tcBorders>
              <w:top w:val="single" w:sz="4" w:space="0" w:color="auto"/>
              <w:left w:val="single" w:sz="4" w:space="0" w:color="auto"/>
              <w:bottom w:val="single" w:sz="4" w:space="0" w:color="auto"/>
              <w:right w:val="single" w:sz="4" w:space="0" w:color="auto"/>
            </w:tcBorders>
          </w:tcPr>
          <w:p w14:paraId="6066761C" w14:textId="77777777" w:rsidR="00326E23" w:rsidRPr="00AF0BBA" w:rsidRDefault="00326E23" w:rsidP="009B2773">
            <w:pPr>
              <w:spacing w:after="60"/>
              <w:rPr>
                <w:iCs/>
                <w:sz w:val="20"/>
              </w:rPr>
            </w:pPr>
            <w:r w:rsidRPr="00AF0BBA">
              <w:rPr>
                <w:iCs/>
                <w:sz w:val="20"/>
              </w:rPr>
              <w:t>hour</w:t>
            </w:r>
          </w:p>
        </w:tc>
        <w:tc>
          <w:tcPr>
            <w:tcW w:w="3671" w:type="pct"/>
            <w:tcBorders>
              <w:top w:val="single" w:sz="4" w:space="0" w:color="auto"/>
              <w:left w:val="single" w:sz="4" w:space="0" w:color="auto"/>
              <w:bottom w:val="single" w:sz="4" w:space="0" w:color="auto"/>
              <w:right w:val="single" w:sz="4" w:space="0" w:color="auto"/>
            </w:tcBorders>
          </w:tcPr>
          <w:p w14:paraId="55CDF5EC" w14:textId="77777777" w:rsidR="00326E23" w:rsidRPr="00AF0BBA" w:rsidRDefault="00326E23" w:rsidP="009B2773">
            <w:pPr>
              <w:spacing w:after="60"/>
              <w:rPr>
                <w:iCs/>
                <w:sz w:val="20"/>
              </w:rPr>
            </w:pPr>
            <w:r w:rsidRPr="00AF0BBA">
              <w:rPr>
                <w:i/>
                <w:iCs/>
                <w:sz w:val="20"/>
              </w:rPr>
              <w:t>Number of Hours in the Month per QSE per Resource</w:t>
            </w:r>
            <w:r w:rsidRPr="00AF0BBA">
              <w:rPr>
                <w:iCs/>
                <w:sz w:val="20"/>
              </w:rPr>
              <w:t>—The total number of hours of the month, when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xml:space="preserve"> is under an RMR Agreement.  Where for a Combined Cycle Train, the Resource </w:t>
            </w:r>
            <w:r w:rsidRPr="00AF0BBA">
              <w:rPr>
                <w:i/>
                <w:iCs/>
                <w:sz w:val="20"/>
              </w:rPr>
              <w:t xml:space="preserve">r </w:t>
            </w:r>
            <w:r w:rsidRPr="00AF0BBA">
              <w:rPr>
                <w:iCs/>
                <w:sz w:val="20"/>
              </w:rPr>
              <w:t>is the Combined Cycle Train.</w:t>
            </w:r>
          </w:p>
        </w:tc>
      </w:tr>
      <w:tr w:rsidR="00326E23" w:rsidRPr="00AF0BBA" w14:paraId="4D655C0E" w14:textId="77777777" w:rsidTr="009B2773">
        <w:trPr>
          <w:cantSplit/>
        </w:trPr>
        <w:tc>
          <w:tcPr>
            <w:tcW w:w="912" w:type="pct"/>
          </w:tcPr>
          <w:p w14:paraId="5F3E44D8" w14:textId="77777777" w:rsidR="00326E23" w:rsidRPr="00AF0BBA" w:rsidRDefault="00326E23" w:rsidP="009B2773">
            <w:pPr>
              <w:spacing w:after="60"/>
              <w:rPr>
                <w:iCs/>
                <w:sz w:val="20"/>
              </w:rPr>
            </w:pPr>
            <w:r w:rsidRPr="00AF0BBA">
              <w:rPr>
                <w:iCs/>
                <w:sz w:val="20"/>
              </w:rPr>
              <w:t>RMRIF</w:t>
            </w:r>
          </w:p>
        </w:tc>
        <w:tc>
          <w:tcPr>
            <w:tcW w:w="417" w:type="pct"/>
          </w:tcPr>
          <w:p w14:paraId="72E3F5E5" w14:textId="77777777" w:rsidR="00326E23" w:rsidRPr="00AF0BBA" w:rsidRDefault="00326E23" w:rsidP="009B2773">
            <w:pPr>
              <w:spacing w:after="60"/>
              <w:rPr>
                <w:iCs/>
                <w:sz w:val="20"/>
              </w:rPr>
            </w:pPr>
            <w:r w:rsidRPr="00AF0BBA">
              <w:rPr>
                <w:iCs/>
                <w:sz w:val="20"/>
              </w:rPr>
              <w:t>none</w:t>
            </w:r>
          </w:p>
        </w:tc>
        <w:tc>
          <w:tcPr>
            <w:tcW w:w="3671" w:type="pct"/>
          </w:tcPr>
          <w:p w14:paraId="2E5D53D2" w14:textId="77777777" w:rsidR="00326E23" w:rsidRPr="00AF0BBA" w:rsidRDefault="00326E23" w:rsidP="009B2773">
            <w:pPr>
              <w:spacing w:after="60"/>
              <w:rPr>
                <w:iCs/>
                <w:sz w:val="20"/>
              </w:rPr>
            </w:pPr>
            <w:r w:rsidRPr="00AF0BBA">
              <w:rPr>
                <w:i/>
                <w:iCs/>
                <w:sz w:val="20"/>
              </w:rPr>
              <w:t>Reliability Must Run Incentive Factor</w:t>
            </w:r>
            <w:r w:rsidRPr="00AF0BBA">
              <w:rPr>
                <w:iCs/>
                <w:sz w:val="20"/>
              </w:rPr>
              <w:t>—The Incentive Factor of RMR Units under RMR Agreement.</w:t>
            </w:r>
          </w:p>
        </w:tc>
      </w:tr>
      <w:tr w:rsidR="00326E23" w:rsidRPr="00AF0BBA" w14:paraId="64C20E78" w14:textId="77777777" w:rsidTr="009B2773">
        <w:trPr>
          <w:cantSplit/>
        </w:trPr>
        <w:tc>
          <w:tcPr>
            <w:tcW w:w="912" w:type="pct"/>
          </w:tcPr>
          <w:p w14:paraId="44896AD7" w14:textId="77777777" w:rsidR="00326E23" w:rsidRPr="00AF0BBA" w:rsidRDefault="00326E23" w:rsidP="009B2773">
            <w:pPr>
              <w:spacing w:after="60"/>
              <w:rPr>
                <w:iCs/>
                <w:sz w:val="20"/>
              </w:rPr>
            </w:pPr>
            <w:r w:rsidRPr="00AF0BBA">
              <w:rPr>
                <w:iCs/>
                <w:sz w:val="20"/>
              </w:rPr>
              <w:t xml:space="preserve">RMRARF </w:t>
            </w:r>
            <w:r w:rsidRPr="00AF0BBA">
              <w:rPr>
                <w:i/>
                <w:iCs/>
                <w:sz w:val="20"/>
                <w:vertAlign w:val="subscript"/>
              </w:rPr>
              <w:t>q, r</w:t>
            </w:r>
          </w:p>
        </w:tc>
        <w:tc>
          <w:tcPr>
            <w:tcW w:w="417" w:type="pct"/>
          </w:tcPr>
          <w:p w14:paraId="66D48734" w14:textId="77777777" w:rsidR="00326E23" w:rsidRPr="00AF0BBA" w:rsidRDefault="00326E23" w:rsidP="009B2773">
            <w:pPr>
              <w:spacing w:after="60"/>
              <w:rPr>
                <w:iCs/>
                <w:sz w:val="20"/>
              </w:rPr>
            </w:pPr>
            <w:r w:rsidRPr="00AF0BBA">
              <w:rPr>
                <w:iCs/>
                <w:sz w:val="20"/>
              </w:rPr>
              <w:t>none</w:t>
            </w:r>
          </w:p>
        </w:tc>
        <w:tc>
          <w:tcPr>
            <w:tcW w:w="3671" w:type="pct"/>
          </w:tcPr>
          <w:p w14:paraId="0253D293" w14:textId="77777777" w:rsidR="00326E23" w:rsidRPr="00AF0BBA" w:rsidRDefault="00326E23" w:rsidP="009B2773">
            <w:pPr>
              <w:spacing w:after="60"/>
              <w:rPr>
                <w:iCs/>
                <w:sz w:val="20"/>
              </w:rPr>
            </w:pPr>
            <w:r w:rsidRPr="00AF0BBA">
              <w:rPr>
                <w:i/>
                <w:iCs/>
                <w:sz w:val="20"/>
              </w:rPr>
              <w:t>Reliability Must-Run Availability Reduction Factor per QSE per Resource by hour</w:t>
            </w:r>
            <w:r w:rsidRPr="00AF0BBA">
              <w:rPr>
                <w:iCs/>
                <w:sz w:val="20"/>
              </w:rPr>
              <w:t xml:space="preserve">—The availability reduction factor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as calculated for the hour.  Where for a Combined Cycle Train, the Resource </w:t>
            </w:r>
            <w:r w:rsidRPr="00AF0BBA">
              <w:rPr>
                <w:i/>
                <w:iCs/>
                <w:sz w:val="20"/>
              </w:rPr>
              <w:t xml:space="preserve">r </w:t>
            </w:r>
            <w:r w:rsidRPr="00AF0BBA">
              <w:rPr>
                <w:iCs/>
                <w:sz w:val="20"/>
              </w:rPr>
              <w:t>is the Combined Cycle Train.</w:t>
            </w:r>
          </w:p>
        </w:tc>
      </w:tr>
      <w:tr w:rsidR="00326E23" w:rsidRPr="00AF0BBA" w14:paraId="262D7D0E" w14:textId="77777777" w:rsidTr="009B2773">
        <w:trPr>
          <w:cantSplit/>
        </w:trPr>
        <w:tc>
          <w:tcPr>
            <w:tcW w:w="912" w:type="pct"/>
          </w:tcPr>
          <w:p w14:paraId="03B1ECDD" w14:textId="77777777" w:rsidR="00326E23" w:rsidRPr="00AF0BBA" w:rsidRDefault="00326E23" w:rsidP="009B2773">
            <w:pPr>
              <w:spacing w:after="60"/>
              <w:rPr>
                <w:iCs/>
                <w:sz w:val="20"/>
              </w:rPr>
            </w:pPr>
            <w:r w:rsidRPr="00AF0BBA">
              <w:rPr>
                <w:iCs/>
                <w:sz w:val="20"/>
              </w:rPr>
              <w:t xml:space="preserve">HSL </w:t>
            </w:r>
            <w:r w:rsidRPr="00AF0BBA">
              <w:rPr>
                <w:i/>
                <w:iCs/>
                <w:sz w:val="20"/>
                <w:vertAlign w:val="subscript"/>
              </w:rPr>
              <w:t>q, r, hr</w:t>
            </w:r>
          </w:p>
        </w:tc>
        <w:tc>
          <w:tcPr>
            <w:tcW w:w="417" w:type="pct"/>
          </w:tcPr>
          <w:p w14:paraId="5BD8878A" w14:textId="77777777" w:rsidR="00326E23" w:rsidRPr="00AF0BBA" w:rsidRDefault="00326E23" w:rsidP="009B2773">
            <w:pPr>
              <w:spacing w:after="60"/>
              <w:rPr>
                <w:iCs/>
                <w:sz w:val="20"/>
              </w:rPr>
            </w:pPr>
            <w:r w:rsidRPr="00AF0BBA">
              <w:rPr>
                <w:iCs/>
                <w:sz w:val="20"/>
              </w:rPr>
              <w:t>MW</w:t>
            </w:r>
          </w:p>
        </w:tc>
        <w:tc>
          <w:tcPr>
            <w:tcW w:w="3671" w:type="pct"/>
          </w:tcPr>
          <w:p w14:paraId="1CD4AE40" w14:textId="1D4ECFC3" w:rsidR="00326E23" w:rsidRPr="00AF0BBA" w:rsidRDefault="00326E23" w:rsidP="009B2773">
            <w:pPr>
              <w:spacing w:after="60"/>
              <w:rPr>
                <w:i/>
                <w:iCs/>
                <w:sz w:val="20"/>
              </w:rPr>
            </w:pPr>
            <w:r w:rsidRPr="00AF0BBA">
              <w:rPr>
                <w:i/>
                <w:iCs/>
                <w:sz w:val="20"/>
              </w:rPr>
              <w:t>High Sustained Limit</w:t>
            </w:r>
            <w:r w:rsidRPr="00AF0BBA">
              <w:rPr>
                <w:iCs/>
                <w:sz w:val="20"/>
              </w:rPr>
              <w:t xml:space="preserve">—The HSL of a Generation Resource as defined in Section 2.1, Definitions, for the hour that includes the Settlement Interval </w:t>
            </w:r>
            <w:r w:rsidRPr="00AF0BBA">
              <w:rPr>
                <w:i/>
                <w:iCs/>
                <w:sz w:val="20"/>
              </w:rPr>
              <w:t>i</w:t>
            </w:r>
            <w:r w:rsidRPr="00AF0BBA">
              <w:rPr>
                <w:iCs/>
                <w:sz w:val="20"/>
              </w:rPr>
              <w:t xml:space="preserve">.  Where for a combined cycle Resource, </w:t>
            </w:r>
            <w:r w:rsidRPr="00AF0BBA">
              <w:rPr>
                <w:i/>
                <w:iCs/>
                <w:sz w:val="20"/>
              </w:rPr>
              <w:t>r</w:t>
            </w:r>
            <w:r w:rsidRPr="00AF0BBA">
              <w:rPr>
                <w:iCs/>
                <w:sz w:val="20"/>
              </w:rPr>
              <w:t xml:space="preserve"> is a Combined Cycle Generation Resource.</w:t>
            </w:r>
          </w:p>
        </w:tc>
      </w:tr>
      <w:tr w:rsidR="00326E23" w:rsidRPr="00AF0BBA" w14:paraId="39BC038B" w14:textId="77777777" w:rsidTr="009B2773">
        <w:trPr>
          <w:cantSplit/>
        </w:trPr>
        <w:tc>
          <w:tcPr>
            <w:tcW w:w="912" w:type="pct"/>
          </w:tcPr>
          <w:p w14:paraId="3A235794" w14:textId="77777777" w:rsidR="00326E23" w:rsidRPr="00AF0BBA" w:rsidRDefault="00326E23" w:rsidP="009B2773">
            <w:pPr>
              <w:spacing w:after="60"/>
              <w:rPr>
                <w:iCs/>
                <w:sz w:val="20"/>
              </w:rPr>
            </w:pPr>
            <w:r w:rsidRPr="00AF0BBA">
              <w:rPr>
                <w:iCs/>
                <w:sz w:val="20"/>
              </w:rPr>
              <w:t xml:space="preserve">RMRAFLAG </w:t>
            </w:r>
            <w:r w:rsidRPr="00AF0BBA">
              <w:rPr>
                <w:i/>
                <w:iCs/>
                <w:sz w:val="20"/>
                <w:vertAlign w:val="subscript"/>
              </w:rPr>
              <w:t>q, r, hr</w:t>
            </w:r>
          </w:p>
        </w:tc>
        <w:tc>
          <w:tcPr>
            <w:tcW w:w="417" w:type="pct"/>
          </w:tcPr>
          <w:p w14:paraId="78E3AC44" w14:textId="77777777" w:rsidR="00326E23" w:rsidRPr="00AF0BBA" w:rsidRDefault="00326E23" w:rsidP="009B2773">
            <w:pPr>
              <w:spacing w:after="60"/>
              <w:rPr>
                <w:iCs/>
                <w:sz w:val="20"/>
              </w:rPr>
            </w:pPr>
            <w:r w:rsidRPr="00AF0BBA">
              <w:rPr>
                <w:iCs/>
                <w:sz w:val="20"/>
              </w:rPr>
              <w:t>none</w:t>
            </w:r>
          </w:p>
        </w:tc>
        <w:tc>
          <w:tcPr>
            <w:tcW w:w="3671" w:type="pct"/>
          </w:tcPr>
          <w:p w14:paraId="5154B54C" w14:textId="7CAE669A" w:rsidR="00326E23" w:rsidRPr="00AF0BBA" w:rsidRDefault="00326E23" w:rsidP="009B2773">
            <w:pPr>
              <w:spacing w:after="60"/>
              <w:rPr>
                <w:i/>
                <w:sz w:val="20"/>
              </w:rPr>
            </w:pPr>
            <w:r w:rsidRPr="00AF0BBA">
              <w:rPr>
                <w:i/>
                <w:iCs/>
                <w:sz w:val="20"/>
              </w:rPr>
              <w:t>RMR Availability Flag per QSE per Resource by hour</w:t>
            </w:r>
            <w:r w:rsidRPr="00AF0BBA">
              <w:rPr>
                <w:iCs/>
                <w:sz w:val="20"/>
              </w:rPr>
              <w:t>—The flag of the availability of RMR Unit</w:t>
            </w:r>
            <w:r w:rsidRPr="00AF0BBA">
              <w:rPr>
                <w:i/>
                <w:iCs/>
                <w:sz w:val="20"/>
              </w:rPr>
              <w:t xml:space="preserve"> r</w:t>
            </w:r>
            <w:r w:rsidRPr="00AF0BBA">
              <w:rPr>
                <w:iCs/>
                <w:sz w:val="20"/>
              </w:rPr>
              <w:t xml:space="preserve"> represented by QSE </w:t>
            </w:r>
            <w:r w:rsidRPr="00AF0BBA">
              <w:rPr>
                <w:i/>
                <w:iCs/>
                <w:sz w:val="20"/>
              </w:rPr>
              <w:t xml:space="preserve">q </w:t>
            </w:r>
            <w:r w:rsidRPr="00AF0BBA">
              <w:rPr>
                <w:iCs/>
                <w:sz w:val="20"/>
              </w:rPr>
              <w:t xml:space="preserve">as determined by the COP, 1 for available and 0 for unavailable, for the hour.  Where for a Combined Cycle Train, the Resource </w:t>
            </w:r>
            <w:r w:rsidRPr="00AF0BBA">
              <w:rPr>
                <w:i/>
                <w:iCs/>
                <w:sz w:val="20"/>
              </w:rPr>
              <w:t xml:space="preserve">r </w:t>
            </w:r>
            <w:r w:rsidRPr="00AF0BBA">
              <w:rPr>
                <w:iCs/>
                <w:sz w:val="20"/>
              </w:rPr>
              <w:t>is a Combined Cycle Generation Resource within the Combined Cycle Train.</w:t>
            </w:r>
          </w:p>
        </w:tc>
      </w:tr>
      <w:tr w:rsidR="00326E23" w:rsidRPr="00AF0BBA" w14:paraId="78CB648B" w14:textId="77777777" w:rsidTr="009B2773">
        <w:trPr>
          <w:cantSplit/>
        </w:trPr>
        <w:tc>
          <w:tcPr>
            <w:tcW w:w="912" w:type="pct"/>
          </w:tcPr>
          <w:p w14:paraId="7CE0CAA7" w14:textId="77777777" w:rsidR="00326E23" w:rsidRPr="00AF0BBA" w:rsidRDefault="00326E23" w:rsidP="009B2773">
            <w:pPr>
              <w:spacing w:after="60"/>
              <w:rPr>
                <w:iCs/>
                <w:sz w:val="20"/>
              </w:rPr>
            </w:pPr>
            <w:r w:rsidRPr="00AF0BBA">
              <w:rPr>
                <w:iCs/>
                <w:sz w:val="20"/>
              </w:rPr>
              <w:lastRenderedPageBreak/>
              <w:t>RMRTCAPA</w:t>
            </w:r>
            <w:r w:rsidRPr="00AF0BBA">
              <w:rPr>
                <w:iCs/>
                <w:sz w:val="20"/>
                <w:vertAlign w:val="subscript"/>
              </w:rPr>
              <w:t xml:space="preserve"> </w:t>
            </w:r>
            <w:r w:rsidRPr="00AF0BBA">
              <w:rPr>
                <w:i/>
                <w:iCs/>
                <w:sz w:val="20"/>
                <w:vertAlign w:val="subscript"/>
              </w:rPr>
              <w:t>q, r</w:t>
            </w:r>
          </w:p>
        </w:tc>
        <w:tc>
          <w:tcPr>
            <w:tcW w:w="417" w:type="pct"/>
          </w:tcPr>
          <w:p w14:paraId="56CB5CBB" w14:textId="77777777" w:rsidR="00326E23" w:rsidRPr="00AF0BBA" w:rsidRDefault="00326E23" w:rsidP="009B2773">
            <w:pPr>
              <w:spacing w:after="60"/>
              <w:rPr>
                <w:iCs/>
                <w:sz w:val="20"/>
              </w:rPr>
            </w:pPr>
            <w:r w:rsidRPr="00AF0BBA">
              <w:rPr>
                <w:iCs/>
                <w:sz w:val="20"/>
              </w:rPr>
              <w:t>MW</w:t>
            </w:r>
          </w:p>
        </w:tc>
        <w:tc>
          <w:tcPr>
            <w:tcW w:w="3671" w:type="pct"/>
          </w:tcPr>
          <w:p w14:paraId="52B159B5" w14:textId="77777777" w:rsidR="00326E23" w:rsidRPr="00AF0BBA" w:rsidRDefault="00326E23" w:rsidP="009B2773">
            <w:pPr>
              <w:spacing w:after="60"/>
              <w:rPr>
                <w:iCs/>
                <w:sz w:val="20"/>
              </w:rPr>
            </w:pPr>
            <w:r w:rsidRPr="00AF0BBA">
              <w:rPr>
                <w:i/>
                <w:iCs/>
                <w:sz w:val="20"/>
              </w:rPr>
              <w:t>Reliability Must-Run Testing Capacity Adjustment by hour</w:t>
            </w:r>
            <w:r w:rsidRPr="00AF0BBA">
              <w:rPr>
                <w:iCs/>
                <w:sz w:val="20"/>
              </w:rPr>
              <w:t>—The testing capacity adjustment factor, in the event an ERCOT Operator has deemed that a RMR Unit’s Tested Capacity did not materially affect the reliability of the ERCOT System, of an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for the hour.  See paragraph (2) of Section 3.14.1.1</w:t>
            </w:r>
            <w:r>
              <w:rPr>
                <w:iCs/>
                <w:sz w:val="20"/>
              </w:rPr>
              <w:t>7</w:t>
            </w:r>
            <w:r w:rsidRPr="00AF0BBA">
              <w:rPr>
                <w:iCs/>
                <w:sz w:val="20"/>
              </w:rPr>
              <w:t xml:space="preserve">.  Where for a Combined Cycle Train, the Resource </w:t>
            </w:r>
            <w:r w:rsidRPr="00AF0BBA">
              <w:rPr>
                <w:i/>
                <w:iCs/>
                <w:sz w:val="20"/>
              </w:rPr>
              <w:t xml:space="preserve">r </w:t>
            </w:r>
            <w:r w:rsidRPr="00AF0BBA">
              <w:rPr>
                <w:iCs/>
                <w:sz w:val="20"/>
              </w:rPr>
              <w:t>is the Combined Cycle Train.</w:t>
            </w:r>
          </w:p>
        </w:tc>
      </w:tr>
      <w:tr w:rsidR="00326E23" w:rsidRPr="00AF0BBA" w14:paraId="6E4B89CC" w14:textId="77777777" w:rsidTr="009B2773">
        <w:trPr>
          <w:cantSplit/>
        </w:trPr>
        <w:tc>
          <w:tcPr>
            <w:tcW w:w="912" w:type="pct"/>
          </w:tcPr>
          <w:p w14:paraId="2DDD2900" w14:textId="77777777" w:rsidR="00326E23" w:rsidRPr="00AF0BBA" w:rsidRDefault="00326E23" w:rsidP="009B2773">
            <w:pPr>
              <w:spacing w:after="60"/>
              <w:rPr>
                <w:i/>
                <w:iCs/>
                <w:sz w:val="20"/>
              </w:rPr>
            </w:pPr>
            <w:r w:rsidRPr="00AF0BBA">
              <w:rPr>
                <w:i/>
                <w:iCs/>
                <w:sz w:val="20"/>
              </w:rPr>
              <w:t>q</w:t>
            </w:r>
          </w:p>
        </w:tc>
        <w:tc>
          <w:tcPr>
            <w:tcW w:w="417" w:type="pct"/>
          </w:tcPr>
          <w:p w14:paraId="187AAC42" w14:textId="77777777" w:rsidR="00326E23" w:rsidRPr="00AF0BBA" w:rsidRDefault="00326E23" w:rsidP="009B2773">
            <w:pPr>
              <w:spacing w:after="60"/>
              <w:rPr>
                <w:iCs/>
                <w:sz w:val="20"/>
              </w:rPr>
            </w:pPr>
            <w:r w:rsidRPr="00AF0BBA">
              <w:rPr>
                <w:iCs/>
                <w:sz w:val="20"/>
              </w:rPr>
              <w:t>none</w:t>
            </w:r>
          </w:p>
        </w:tc>
        <w:tc>
          <w:tcPr>
            <w:tcW w:w="3671" w:type="pct"/>
          </w:tcPr>
          <w:p w14:paraId="352F2FDA" w14:textId="77777777" w:rsidR="00326E23" w:rsidRPr="00AF0BBA" w:rsidRDefault="00326E23" w:rsidP="009B2773">
            <w:pPr>
              <w:spacing w:after="60"/>
              <w:rPr>
                <w:iCs/>
                <w:sz w:val="20"/>
              </w:rPr>
            </w:pPr>
            <w:r w:rsidRPr="00AF0BBA">
              <w:rPr>
                <w:iCs/>
                <w:sz w:val="20"/>
              </w:rPr>
              <w:t>A QSE.</w:t>
            </w:r>
          </w:p>
        </w:tc>
      </w:tr>
      <w:tr w:rsidR="00326E23" w:rsidRPr="00AF0BBA" w14:paraId="087734F1" w14:textId="77777777" w:rsidTr="009B2773">
        <w:trPr>
          <w:cantSplit/>
        </w:trPr>
        <w:tc>
          <w:tcPr>
            <w:tcW w:w="912" w:type="pct"/>
          </w:tcPr>
          <w:p w14:paraId="62F23B83" w14:textId="77777777" w:rsidR="00326E23" w:rsidRPr="00AF0BBA" w:rsidRDefault="00326E23" w:rsidP="009B2773">
            <w:pPr>
              <w:spacing w:after="60"/>
              <w:rPr>
                <w:i/>
                <w:iCs/>
                <w:sz w:val="20"/>
              </w:rPr>
            </w:pPr>
            <w:r w:rsidRPr="00AF0BBA">
              <w:rPr>
                <w:i/>
                <w:iCs/>
                <w:sz w:val="20"/>
              </w:rPr>
              <w:t>r</w:t>
            </w:r>
          </w:p>
        </w:tc>
        <w:tc>
          <w:tcPr>
            <w:tcW w:w="417" w:type="pct"/>
          </w:tcPr>
          <w:p w14:paraId="01E1F9B8" w14:textId="77777777" w:rsidR="00326E23" w:rsidRPr="00AF0BBA" w:rsidRDefault="00326E23" w:rsidP="009B2773">
            <w:pPr>
              <w:spacing w:after="60"/>
              <w:rPr>
                <w:iCs/>
                <w:sz w:val="20"/>
              </w:rPr>
            </w:pPr>
            <w:r w:rsidRPr="00AF0BBA">
              <w:rPr>
                <w:iCs/>
                <w:sz w:val="20"/>
              </w:rPr>
              <w:t>none</w:t>
            </w:r>
          </w:p>
        </w:tc>
        <w:tc>
          <w:tcPr>
            <w:tcW w:w="3671" w:type="pct"/>
          </w:tcPr>
          <w:p w14:paraId="5535B540" w14:textId="77777777" w:rsidR="00326E23" w:rsidRPr="00AF0BBA" w:rsidRDefault="00326E23" w:rsidP="009B2773">
            <w:pPr>
              <w:spacing w:after="60"/>
              <w:rPr>
                <w:iCs/>
                <w:sz w:val="20"/>
              </w:rPr>
            </w:pPr>
            <w:r w:rsidRPr="00AF0BBA">
              <w:rPr>
                <w:iCs/>
                <w:sz w:val="20"/>
              </w:rPr>
              <w:t>An RMR Unit.</w:t>
            </w:r>
          </w:p>
        </w:tc>
      </w:tr>
      <w:tr w:rsidR="00326E23" w:rsidRPr="00AF0BBA" w14:paraId="658F9ABF" w14:textId="77777777" w:rsidTr="009B2773">
        <w:trPr>
          <w:cantSplit/>
        </w:trPr>
        <w:tc>
          <w:tcPr>
            <w:tcW w:w="912" w:type="pct"/>
          </w:tcPr>
          <w:p w14:paraId="6036C01D" w14:textId="77777777" w:rsidR="00326E23" w:rsidRPr="00AF0BBA" w:rsidRDefault="00326E23" w:rsidP="009B2773">
            <w:pPr>
              <w:spacing w:after="60"/>
              <w:rPr>
                <w:i/>
                <w:iCs/>
                <w:sz w:val="20"/>
              </w:rPr>
            </w:pPr>
            <w:r w:rsidRPr="00AF0BBA">
              <w:rPr>
                <w:i/>
                <w:iCs/>
                <w:sz w:val="20"/>
              </w:rPr>
              <w:t>hr</w:t>
            </w:r>
          </w:p>
        </w:tc>
        <w:tc>
          <w:tcPr>
            <w:tcW w:w="417" w:type="pct"/>
          </w:tcPr>
          <w:p w14:paraId="2F750C13" w14:textId="77777777" w:rsidR="00326E23" w:rsidRPr="00AF0BBA" w:rsidRDefault="00326E23" w:rsidP="009B2773">
            <w:pPr>
              <w:spacing w:after="60"/>
              <w:rPr>
                <w:iCs/>
                <w:sz w:val="20"/>
              </w:rPr>
            </w:pPr>
            <w:r w:rsidRPr="00AF0BBA">
              <w:rPr>
                <w:iCs/>
                <w:sz w:val="20"/>
              </w:rPr>
              <w:t>none</w:t>
            </w:r>
          </w:p>
        </w:tc>
        <w:tc>
          <w:tcPr>
            <w:tcW w:w="3671" w:type="pct"/>
          </w:tcPr>
          <w:p w14:paraId="385D1230" w14:textId="77777777" w:rsidR="00326E23" w:rsidRPr="00AF0BBA" w:rsidRDefault="00326E23" w:rsidP="009B2773">
            <w:pPr>
              <w:spacing w:after="60"/>
              <w:rPr>
                <w:iCs/>
                <w:sz w:val="20"/>
              </w:rPr>
            </w:pPr>
            <w:r w:rsidRPr="00AF0BBA">
              <w:rPr>
                <w:iCs/>
                <w:sz w:val="20"/>
              </w:rPr>
              <w:t>The index for a given hour and all the previous 4379 hours</w:t>
            </w:r>
            <w:r w:rsidRPr="00AF0BBA">
              <w:rPr>
                <w:sz w:val="20"/>
              </w:rPr>
              <w:t xml:space="preserve"> for which availability is required under the RMR Agreement</w:t>
            </w:r>
            <w:r w:rsidRPr="00AF0BBA">
              <w:rPr>
                <w:iCs/>
                <w:sz w:val="20"/>
              </w:rPr>
              <w:t>.</w:t>
            </w:r>
          </w:p>
        </w:tc>
      </w:tr>
      <w:tr w:rsidR="00326E23" w:rsidRPr="00AF0BBA" w14:paraId="27DA289A" w14:textId="77777777" w:rsidTr="009B2773">
        <w:trPr>
          <w:cantSplit/>
        </w:trPr>
        <w:tc>
          <w:tcPr>
            <w:tcW w:w="912" w:type="pct"/>
          </w:tcPr>
          <w:p w14:paraId="51306D06" w14:textId="77777777" w:rsidR="00326E23" w:rsidRPr="00AF0BBA" w:rsidRDefault="00326E23" w:rsidP="009B2773">
            <w:pPr>
              <w:spacing w:after="60"/>
              <w:rPr>
                <w:iCs/>
                <w:sz w:val="20"/>
              </w:rPr>
            </w:pPr>
            <w:r w:rsidRPr="00AF0BBA">
              <w:rPr>
                <w:iCs/>
                <w:sz w:val="20"/>
              </w:rPr>
              <w:t>4380</w:t>
            </w:r>
          </w:p>
        </w:tc>
        <w:tc>
          <w:tcPr>
            <w:tcW w:w="417" w:type="pct"/>
          </w:tcPr>
          <w:p w14:paraId="49D35EA3" w14:textId="77777777" w:rsidR="00326E23" w:rsidRPr="00AF0BBA" w:rsidRDefault="00326E23" w:rsidP="009B2773">
            <w:pPr>
              <w:spacing w:after="60"/>
              <w:rPr>
                <w:iCs/>
                <w:sz w:val="20"/>
              </w:rPr>
            </w:pPr>
            <w:r w:rsidRPr="00AF0BBA">
              <w:rPr>
                <w:iCs/>
                <w:sz w:val="20"/>
              </w:rPr>
              <w:t>none</w:t>
            </w:r>
          </w:p>
        </w:tc>
        <w:tc>
          <w:tcPr>
            <w:tcW w:w="3671" w:type="pct"/>
          </w:tcPr>
          <w:p w14:paraId="4CE27CCA" w14:textId="77777777" w:rsidR="00326E23" w:rsidRPr="00AF0BBA" w:rsidRDefault="00326E23" w:rsidP="009B2773">
            <w:pPr>
              <w:spacing w:after="60"/>
              <w:rPr>
                <w:iCs/>
                <w:sz w:val="20"/>
              </w:rPr>
            </w:pPr>
            <w:r w:rsidRPr="00AF0BBA">
              <w:rPr>
                <w:iCs/>
                <w:sz w:val="20"/>
              </w:rPr>
              <w:t>The number of hours in a six-month period.</w:t>
            </w:r>
          </w:p>
        </w:tc>
      </w:tr>
    </w:tbl>
    <w:p w14:paraId="77545FE7" w14:textId="77777777" w:rsidR="001F04FD" w:rsidRDefault="001F04FD" w:rsidP="0099247E">
      <w:pPr>
        <w:pStyle w:val="BodyTextNumbered"/>
        <w:spacing w:before="240"/>
      </w:pPr>
      <w:bookmarkStart w:id="2314" w:name="_Toc87951799"/>
      <w:bookmarkStart w:id="2315" w:name="_Toc109009409"/>
      <w:r>
        <w:t>(4)</w:t>
      </w:r>
      <w:r>
        <w:tab/>
        <w:t>The total of the Standby Payments to each QSE for all RMR Units represented by this QSE for a given hour is calculated as follows:</w:t>
      </w:r>
    </w:p>
    <w:p w14:paraId="7AF01774" w14:textId="77777777" w:rsidR="001F04FD" w:rsidRDefault="001F04FD" w:rsidP="001F04FD">
      <w:pPr>
        <w:pStyle w:val="FormulaBold"/>
      </w:pPr>
      <w:r>
        <w:t xml:space="preserve">RMRSBAMTQSETOT </w:t>
      </w:r>
      <w:r>
        <w:rPr>
          <w:i/>
          <w:vertAlign w:val="subscript"/>
        </w:rPr>
        <w:t>q</w:t>
      </w:r>
      <w:r>
        <w:tab/>
        <w:t>=</w:t>
      </w:r>
      <w:r>
        <w:tab/>
      </w:r>
      <w:r w:rsidRPr="006F784F">
        <w:rPr>
          <w:position w:val="-18"/>
        </w:rPr>
        <w:object w:dxaOrig="225" w:dyaOrig="420" w14:anchorId="7A399907">
          <v:shape id="_x0000_i1202" type="#_x0000_t75" style="width:12pt;height:24pt" o:ole="">
            <v:imagedata r:id="rId238" o:title=""/>
          </v:shape>
          <o:OLEObject Type="Embed" ProgID="Equation.3" ShapeID="_x0000_i1202" DrawAspect="Content" ObjectID="_1815025392" r:id="rId239"/>
        </w:object>
      </w:r>
      <w:r>
        <w:t xml:space="preserve">RMRSBAMT </w:t>
      </w:r>
      <w:r>
        <w:rPr>
          <w:i/>
          <w:vertAlign w:val="subscript"/>
        </w:rPr>
        <w:t>q, r</w:t>
      </w:r>
    </w:p>
    <w:p w14:paraId="67C0A4C4"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1"/>
        <w:gridCol w:w="605"/>
        <w:gridCol w:w="6524"/>
      </w:tblGrid>
      <w:tr w:rsidR="001F04FD" w14:paraId="7D15AAB6" w14:textId="77777777" w:rsidTr="00AC4DEE">
        <w:trPr>
          <w:cantSplit/>
          <w:tblHeader/>
        </w:trPr>
        <w:tc>
          <w:tcPr>
            <w:tcW w:w="1197" w:type="pct"/>
          </w:tcPr>
          <w:p w14:paraId="647DD522" w14:textId="77777777" w:rsidR="001F04FD" w:rsidRDefault="001F04FD" w:rsidP="00AC4DEE">
            <w:pPr>
              <w:pStyle w:val="TableHead"/>
            </w:pPr>
            <w:r>
              <w:t>Variable</w:t>
            </w:r>
          </w:p>
        </w:tc>
        <w:tc>
          <w:tcPr>
            <w:tcW w:w="305" w:type="pct"/>
          </w:tcPr>
          <w:p w14:paraId="4A6662B3" w14:textId="77777777" w:rsidR="001F04FD" w:rsidRDefault="001F04FD" w:rsidP="00AC4DEE">
            <w:pPr>
              <w:pStyle w:val="TableHead"/>
            </w:pPr>
            <w:r>
              <w:t>Unit</w:t>
            </w:r>
          </w:p>
        </w:tc>
        <w:tc>
          <w:tcPr>
            <w:tcW w:w="3497" w:type="pct"/>
          </w:tcPr>
          <w:p w14:paraId="54E555B4" w14:textId="77777777" w:rsidR="001F04FD" w:rsidRDefault="001F04FD" w:rsidP="00AC4DEE">
            <w:pPr>
              <w:pStyle w:val="TableHead"/>
            </w:pPr>
            <w:r>
              <w:t>Definition</w:t>
            </w:r>
          </w:p>
        </w:tc>
      </w:tr>
      <w:tr w:rsidR="001F04FD" w14:paraId="4BEBC20B" w14:textId="77777777" w:rsidTr="00AC4DEE">
        <w:trPr>
          <w:cantSplit/>
        </w:trPr>
        <w:tc>
          <w:tcPr>
            <w:tcW w:w="1197" w:type="pct"/>
          </w:tcPr>
          <w:p w14:paraId="4342FD88" w14:textId="77777777" w:rsidR="001F04FD" w:rsidRDefault="001F04FD" w:rsidP="00AC4DEE">
            <w:pPr>
              <w:pStyle w:val="TableBody"/>
            </w:pPr>
            <w:r>
              <w:t xml:space="preserve">RMRSBAMTQSETOT </w:t>
            </w:r>
            <w:r>
              <w:rPr>
                <w:vertAlign w:val="subscript"/>
              </w:rPr>
              <w:t>q</w:t>
            </w:r>
          </w:p>
        </w:tc>
        <w:tc>
          <w:tcPr>
            <w:tcW w:w="305" w:type="pct"/>
          </w:tcPr>
          <w:p w14:paraId="7C051628" w14:textId="77777777" w:rsidR="001F04FD" w:rsidRDefault="001F04FD" w:rsidP="00AC4DEE">
            <w:pPr>
              <w:pStyle w:val="TableBody"/>
            </w:pPr>
            <w:r>
              <w:t>$</w:t>
            </w:r>
          </w:p>
        </w:tc>
        <w:tc>
          <w:tcPr>
            <w:tcW w:w="3497" w:type="pct"/>
          </w:tcPr>
          <w:p w14:paraId="6A2FEEDF" w14:textId="77777777" w:rsidR="001F04FD" w:rsidRDefault="001F04FD" w:rsidP="00AC4DEE">
            <w:pPr>
              <w:pStyle w:val="TableBody"/>
            </w:pPr>
            <w:r>
              <w:rPr>
                <w:i/>
              </w:rPr>
              <w:t>Reliability Must-Run Standby Amount QSE Total per QSE</w:t>
            </w:r>
            <w:r>
              <w:sym w:font="Symbol" w:char="F0BE"/>
            </w:r>
            <w:r>
              <w:t xml:space="preserve">The total of the Standby Payments to QSE </w:t>
            </w:r>
            <w:r>
              <w:rPr>
                <w:i/>
              </w:rPr>
              <w:t>q</w:t>
            </w:r>
            <w:r>
              <w:t xml:space="preserve"> for all RMR Units represented by this QSE for the hour.</w:t>
            </w:r>
          </w:p>
        </w:tc>
      </w:tr>
      <w:tr w:rsidR="001F04FD" w14:paraId="2886541A" w14:textId="77777777" w:rsidTr="00AC4DEE">
        <w:trPr>
          <w:cantSplit/>
        </w:trPr>
        <w:tc>
          <w:tcPr>
            <w:tcW w:w="1197" w:type="pct"/>
          </w:tcPr>
          <w:p w14:paraId="2E800274" w14:textId="77777777" w:rsidR="001F04FD" w:rsidRDefault="001F04FD" w:rsidP="00AC4DEE">
            <w:pPr>
              <w:pStyle w:val="TableBody"/>
            </w:pPr>
            <w:r>
              <w:t xml:space="preserve">RMRSBAMT </w:t>
            </w:r>
            <w:r>
              <w:rPr>
                <w:vertAlign w:val="subscript"/>
              </w:rPr>
              <w:t>q, r</w:t>
            </w:r>
          </w:p>
        </w:tc>
        <w:tc>
          <w:tcPr>
            <w:tcW w:w="305" w:type="pct"/>
          </w:tcPr>
          <w:p w14:paraId="7FEAE98A" w14:textId="77777777" w:rsidR="001F04FD" w:rsidRDefault="001F04FD" w:rsidP="00AC4DEE">
            <w:pPr>
              <w:pStyle w:val="TableBody"/>
            </w:pPr>
            <w:r>
              <w:t>$</w:t>
            </w:r>
          </w:p>
        </w:tc>
        <w:tc>
          <w:tcPr>
            <w:tcW w:w="3497" w:type="pct"/>
          </w:tcPr>
          <w:p w14:paraId="720E4552" w14:textId="77777777" w:rsidR="001F04FD" w:rsidRDefault="001F04FD" w:rsidP="00AC4DEE">
            <w:pPr>
              <w:pStyle w:val="TableBody"/>
            </w:pPr>
            <w:r>
              <w:rPr>
                <w:i/>
              </w:rPr>
              <w:t>Reliability Must-Run Standby Payment per QSE per Resource</w:t>
            </w:r>
            <w:r>
              <w:t xml:space="preserve">—The Standby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 xml:space="preserve">is the Combined Cycle Train.  </w:t>
            </w:r>
          </w:p>
        </w:tc>
      </w:tr>
      <w:tr w:rsidR="001F04FD" w14:paraId="14DFB453" w14:textId="77777777" w:rsidTr="00AC4DEE">
        <w:trPr>
          <w:cantSplit/>
        </w:trPr>
        <w:tc>
          <w:tcPr>
            <w:tcW w:w="1197" w:type="pct"/>
            <w:tcBorders>
              <w:top w:val="single" w:sz="4" w:space="0" w:color="auto"/>
              <w:left w:val="single" w:sz="4" w:space="0" w:color="auto"/>
              <w:bottom w:val="single" w:sz="4" w:space="0" w:color="auto"/>
              <w:right w:val="single" w:sz="4" w:space="0" w:color="auto"/>
            </w:tcBorders>
          </w:tcPr>
          <w:p w14:paraId="44551FEB" w14:textId="77777777" w:rsidR="001F04FD" w:rsidRPr="00A24281" w:rsidRDefault="001F04FD" w:rsidP="00AC4DEE">
            <w:pPr>
              <w:pStyle w:val="TableBody"/>
              <w:rPr>
                <w:i/>
              </w:rPr>
            </w:pPr>
            <w:r w:rsidRPr="00D661BC">
              <w:rPr>
                <w:i/>
              </w:rPr>
              <w:t>q</w:t>
            </w:r>
          </w:p>
        </w:tc>
        <w:tc>
          <w:tcPr>
            <w:tcW w:w="305" w:type="pct"/>
            <w:tcBorders>
              <w:top w:val="single" w:sz="4" w:space="0" w:color="auto"/>
              <w:left w:val="single" w:sz="4" w:space="0" w:color="auto"/>
              <w:bottom w:val="single" w:sz="4" w:space="0" w:color="auto"/>
              <w:right w:val="single" w:sz="4" w:space="0" w:color="auto"/>
            </w:tcBorders>
          </w:tcPr>
          <w:p w14:paraId="10B6563D" w14:textId="77777777" w:rsidR="001F04FD" w:rsidRDefault="001F04FD" w:rsidP="00AC4DEE">
            <w:pPr>
              <w:pStyle w:val="TableBody"/>
            </w:pPr>
            <w:r>
              <w:t>none</w:t>
            </w:r>
          </w:p>
        </w:tc>
        <w:tc>
          <w:tcPr>
            <w:tcW w:w="3497" w:type="pct"/>
            <w:tcBorders>
              <w:top w:val="single" w:sz="4" w:space="0" w:color="auto"/>
              <w:left w:val="single" w:sz="4" w:space="0" w:color="auto"/>
              <w:bottom w:val="single" w:sz="4" w:space="0" w:color="auto"/>
              <w:right w:val="single" w:sz="4" w:space="0" w:color="auto"/>
            </w:tcBorders>
          </w:tcPr>
          <w:p w14:paraId="3E1709CC" w14:textId="77777777" w:rsidR="001F04FD" w:rsidRDefault="001F04FD" w:rsidP="00AC4DEE">
            <w:pPr>
              <w:pStyle w:val="TableBody"/>
            </w:pPr>
            <w:r>
              <w:t>A QSE.</w:t>
            </w:r>
          </w:p>
        </w:tc>
      </w:tr>
      <w:tr w:rsidR="001F04FD" w14:paraId="354B65B1" w14:textId="77777777" w:rsidTr="00AC4DEE">
        <w:trPr>
          <w:cantSplit/>
        </w:trPr>
        <w:tc>
          <w:tcPr>
            <w:tcW w:w="1197" w:type="pct"/>
            <w:tcBorders>
              <w:top w:val="single" w:sz="4" w:space="0" w:color="auto"/>
              <w:left w:val="single" w:sz="4" w:space="0" w:color="auto"/>
              <w:bottom w:val="single" w:sz="4" w:space="0" w:color="auto"/>
              <w:right w:val="single" w:sz="4" w:space="0" w:color="auto"/>
            </w:tcBorders>
          </w:tcPr>
          <w:p w14:paraId="65158621" w14:textId="77777777" w:rsidR="001F04FD" w:rsidRPr="00A24281" w:rsidRDefault="001F04FD" w:rsidP="00AC4DEE">
            <w:pPr>
              <w:pStyle w:val="TableBody"/>
              <w:rPr>
                <w:i/>
              </w:rPr>
            </w:pPr>
            <w:r w:rsidRPr="00D661BC">
              <w:rPr>
                <w:i/>
              </w:rPr>
              <w:t>r</w:t>
            </w:r>
          </w:p>
        </w:tc>
        <w:tc>
          <w:tcPr>
            <w:tcW w:w="305" w:type="pct"/>
            <w:tcBorders>
              <w:top w:val="single" w:sz="4" w:space="0" w:color="auto"/>
              <w:left w:val="single" w:sz="4" w:space="0" w:color="auto"/>
              <w:bottom w:val="single" w:sz="4" w:space="0" w:color="auto"/>
              <w:right w:val="single" w:sz="4" w:space="0" w:color="auto"/>
            </w:tcBorders>
          </w:tcPr>
          <w:p w14:paraId="05C77FC0" w14:textId="77777777" w:rsidR="001F04FD" w:rsidRDefault="001F04FD" w:rsidP="00AC4DEE">
            <w:pPr>
              <w:pStyle w:val="TableBody"/>
            </w:pPr>
            <w:r>
              <w:t>none</w:t>
            </w:r>
          </w:p>
        </w:tc>
        <w:tc>
          <w:tcPr>
            <w:tcW w:w="3497" w:type="pct"/>
            <w:tcBorders>
              <w:top w:val="single" w:sz="4" w:space="0" w:color="auto"/>
              <w:left w:val="single" w:sz="4" w:space="0" w:color="auto"/>
              <w:bottom w:val="single" w:sz="4" w:space="0" w:color="auto"/>
              <w:right w:val="single" w:sz="4" w:space="0" w:color="auto"/>
            </w:tcBorders>
          </w:tcPr>
          <w:p w14:paraId="517CA178" w14:textId="77777777" w:rsidR="001F04FD" w:rsidRDefault="001F04FD" w:rsidP="00AC4DEE">
            <w:pPr>
              <w:pStyle w:val="TableBody"/>
            </w:pPr>
            <w:r>
              <w:t>An RMR Unit.</w:t>
            </w:r>
          </w:p>
        </w:tc>
      </w:tr>
    </w:tbl>
    <w:p w14:paraId="2888FCC3" w14:textId="77777777" w:rsidR="001F04FD" w:rsidRDefault="001F04FD" w:rsidP="001F04FD">
      <w:pPr>
        <w:pStyle w:val="H4"/>
        <w:spacing w:before="480"/>
        <w:ind w:left="1267" w:hanging="1267"/>
      </w:pPr>
      <w:bookmarkStart w:id="2316" w:name="_Toc397505028"/>
      <w:bookmarkStart w:id="2317" w:name="_Toc402357160"/>
      <w:bookmarkStart w:id="2318" w:name="_Toc422486540"/>
      <w:bookmarkStart w:id="2319" w:name="_Toc433093393"/>
      <w:bookmarkStart w:id="2320" w:name="_Toc433093551"/>
      <w:bookmarkStart w:id="2321" w:name="_Toc440874781"/>
      <w:bookmarkStart w:id="2322" w:name="_Toc448142338"/>
      <w:bookmarkStart w:id="2323" w:name="_Toc448142495"/>
      <w:bookmarkStart w:id="2324" w:name="_Toc458770336"/>
      <w:bookmarkStart w:id="2325" w:name="_Toc459294304"/>
      <w:bookmarkStart w:id="2326" w:name="_Toc463262797"/>
      <w:bookmarkStart w:id="2327" w:name="_Toc468286870"/>
      <w:bookmarkStart w:id="2328" w:name="_Toc481502910"/>
      <w:bookmarkStart w:id="2329" w:name="_Toc496080078"/>
      <w:bookmarkStart w:id="2330" w:name="_Toc204411703"/>
      <w:r>
        <w:t>6.6.6.2</w:t>
      </w:r>
      <w:r>
        <w:tab/>
        <w:t>RMR Payment for Energy</w:t>
      </w:r>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p>
    <w:p w14:paraId="2A5586EE" w14:textId="77777777" w:rsidR="001F04FD" w:rsidRDefault="001F04FD" w:rsidP="001F04FD">
      <w:pPr>
        <w:pStyle w:val="BodyTextNumbered"/>
      </w:pPr>
      <w:r>
        <w:t>(1)</w:t>
      </w:r>
      <w:r>
        <w:tab/>
        <w:t>Payment for energy on the Initial Settlement and settlements executed before true-up and before actual cost data is submitted must be calculated using the estimated input/output curve and startup fuel as specified in the RMR Agreement, the actual energy produced and the FIP.  The payment for energy for all other settlements must be based on actual fuel costs for the RMR Unit.  The payment for energy for each hour is calculated as follows:</w:t>
      </w:r>
    </w:p>
    <w:p w14:paraId="2E2613E1" w14:textId="77777777" w:rsidR="001F04FD" w:rsidRDefault="001F04FD" w:rsidP="001F04FD">
      <w:pPr>
        <w:pStyle w:val="FormulaBold"/>
        <w:tabs>
          <w:tab w:val="clear" w:pos="2250"/>
          <w:tab w:val="clear" w:pos="3960"/>
          <w:tab w:val="left" w:pos="2700"/>
        </w:tabs>
        <w:ind w:left="3150" w:hanging="2430"/>
        <w:rPr>
          <w:lang w:val="pt-BR"/>
        </w:rPr>
      </w:pPr>
      <w:r>
        <w:rPr>
          <w:lang w:val="pt-BR"/>
        </w:rPr>
        <w:t xml:space="preserve">RMREAMT </w:t>
      </w:r>
      <w:r>
        <w:rPr>
          <w:i/>
          <w:vertAlign w:val="subscript"/>
          <w:lang w:val="pt-BR"/>
        </w:rPr>
        <w:t>q, r</w:t>
      </w:r>
      <w:r>
        <w:rPr>
          <w:vertAlign w:val="subscript"/>
          <w:lang w:val="pt-BR"/>
        </w:rPr>
        <w:tab/>
      </w:r>
      <w:r>
        <w:rPr>
          <w:lang w:val="pt-BR"/>
        </w:rPr>
        <w:t>=</w:t>
      </w:r>
      <w:r>
        <w:rPr>
          <w:lang w:val="pt-BR"/>
        </w:rPr>
        <w:tab/>
        <w:t>(-1) * (((FIP + RMRCEFA</w:t>
      </w:r>
      <w:r>
        <w:rPr>
          <w:i/>
          <w:vertAlign w:val="subscript"/>
          <w:lang w:val="pt-BR"/>
        </w:rPr>
        <w:t xml:space="preserve"> q, r</w:t>
      </w:r>
      <w:r>
        <w:rPr>
          <w:lang w:val="pt-BR"/>
        </w:rPr>
        <w:t xml:space="preserve">) * RMRSUFQ </w:t>
      </w:r>
      <w:r>
        <w:rPr>
          <w:i/>
          <w:vertAlign w:val="subscript"/>
          <w:lang w:val="pt-BR"/>
        </w:rPr>
        <w:t>q, r</w:t>
      </w:r>
      <w:r>
        <w:rPr>
          <w:lang w:val="pt-BR"/>
        </w:rPr>
        <w:t xml:space="preserve"> </w:t>
      </w:r>
      <w:r>
        <w:rPr>
          <w:sz w:val="32"/>
          <w:szCs w:val="32"/>
          <w:lang w:val="pt-BR"/>
        </w:rPr>
        <w:t>/</w:t>
      </w:r>
      <w:r>
        <w:rPr>
          <w:lang w:val="pt-BR"/>
        </w:rPr>
        <w:t xml:space="preserve"> RMRH </w:t>
      </w:r>
      <w:r>
        <w:rPr>
          <w:i/>
          <w:vertAlign w:val="subscript"/>
          <w:lang w:val="pt-BR"/>
        </w:rPr>
        <w:t>q, r</w:t>
      </w:r>
      <w:r>
        <w:rPr>
          <w:lang w:val="pt-BR"/>
        </w:rPr>
        <w:t xml:space="preserve">) * RMRALLOCFLAG </w:t>
      </w:r>
      <w:r>
        <w:rPr>
          <w:i/>
          <w:vertAlign w:val="subscript"/>
          <w:lang w:val="pt-BR"/>
        </w:rPr>
        <w:t>q, r</w:t>
      </w:r>
      <w:r>
        <w:rPr>
          <w:lang w:val="pt-BR"/>
        </w:rPr>
        <w:t xml:space="preserve"> + </w:t>
      </w:r>
      <w:r w:rsidRPr="006F784F">
        <w:rPr>
          <w:position w:val="-20"/>
        </w:rPr>
        <w:object w:dxaOrig="255" w:dyaOrig="585" w14:anchorId="0EB0A472">
          <v:shape id="_x0000_i1203" type="#_x0000_t75" style="width:12pt;height:30pt" o:ole="">
            <v:imagedata r:id="rId240" o:title=""/>
          </v:shape>
          <o:OLEObject Type="Embed" ProgID="Equation.3" ShapeID="_x0000_i1203" DrawAspect="Content" ObjectID="_1815025393" r:id="rId241"/>
        </w:object>
      </w:r>
      <w:r>
        <w:rPr>
          <w:lang w:val="pt-BR"/>
        </w:rPr>
        <w:t>(((FIP + RMRCEFA</w:t>
      </w:r>
      <w:r>
        <w:rPr>
          <w:i/>
          <w:vertAlign w:val="subscript"/>
          <w:lang w:val="pt-BR"/>
        </w:rPr>
        <w:t xml:space="preserve"> q, r</w:t>
      </w:r>
      <w:r>
        <w:rPr>
          <w:lang w:val="pt-BR"/>
        </w:rPr>
        <w:t xml:space="preserve">) * RMRHR </w:t>
      </w:r>
      <w:r>
        <w:rPr>
          <w:i/>
          <w:vertAlign w:val="subscript"/>
          <w:lang w:val="pt-BR"/>
        </w:rPr>
        <w:t>q, r, i</w:t>
      </w:r>
      <w:r>
        <w:rPr>
          <w:lang w:val="pt-BR"/>
        </w:rPr>
        <w:t xml:space="preserve"> + RMRVCC </w:t>
      </w:r>
      <w:r>
        <w:rPr>
          <w:i/>
          <w:vertAlign w:val="subscript"/>
          <w:lang w:val="pt-BR"/>
        </w:rPr>
        <w:t>q, r</w:t>
      </w:r>
      <w:r>
        <w:rPr>
          <w:lang w:val="pt-BR"/>
        </w:rPr>
        <w:t xml:space="preserve">) * RTMG </w:t>
      </w:r>
      <w:r>
        <w:rPr>
          <w:i/>
          <w:vertAlign w:val="subscript"/>
          <w:lang w:val="pt-BR"/>
        </w:rPr>
        <w:t>q, r, i</w:t>
      </w:r>
      <w:r>
        <w:rPr>
          <w:lang w:val="pt-BR"/>
        </w:rPr>
        <w:t>))</w:t>
      </w:r>
    </w:p>
    <w:p w14:paraId="05D57A28" w14:textId="77777777" w:rsidR="001F04FD" w:rsidRDefault="001F04FD" w:rsidP="001F04FD">
      <w:r>
        <w:t>The above variables are defined as follows:</w:t>
      </w:r>
    </w:p>
    <w:tbl>
      <w:tblPr>
        <w:tblW w:w="9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080"/>
        <w:gridCol w:w="6775"/>
      </w:tblGrid>
      <w:tr w:rsidR="001F04FD" w14:paraId="0ED0F647" w14:textId="77777777" w:rsidTr="00AC4DEE">
        <w:trPr>
          <w:cantSplit/>
          <w:tblHeader/>
        </w:trPr>
        <w:tc>
          <w:tcPr>
            <w:tcW w:w="2088" w:type="dxa"/>
          </w:tcPr>
          <w:p w14:paraId="69BBF4B8" w14:textId="77777777" w:rsidR="001F04FD" w:rsidRDefault="001F04FD" w:rsidP="00AC4DEE">
            <w:pPr>
              <w:pStyle w:val="TableHead"/>
            </w:pPr>
            <w:r>
              <w:lastRenderedPageBreak/>
              <w:t>Variable</w:t>
            </w:r>
          </w:p>
        </w:tc>
        <w:tc>
          <w:tcPr>
            <w:tcW w:w="1080" w:type="dxa"/>
          </w:tcPr>
          <w:p w14:paraId="6AA82CC7" w14:textId="77777777" w:rsidR="001F04FD" w:rsidRDefault="001F04FD" w:rsidP="00AC4DEE">
            <w:pPr>
              <w:pStyle w:val="TableHead"/>
            </w:pPr>
            <w:r>
              <w:t>Unit</w:t>
            </w:r>
          </w:p>
        </w:tc>
        <w:tc>
          <w:tcPr>
            <w:tcW w:w="6775" w:type="dxa"/>
          </w:tcPr>
          <w:p w14:paraId="50CACAC0" w14:textId="77777777" w:rsidR="001F04FD" w:rsidRDefault="001F04FD" w:rsidP="00AC4DEE">
            <w:pPr>
              <w:pStyle w:val="TableHead"/>
            </w:pPr>
            <w:r>
              <w:t>Definition</w:t>
            </w:r>
          </w:p>
        </w:tc>
      </w:tr>
      <w:tr w:rsidR="001F04FD" w14:paraId="0E1B5EB9" w14:textId="77777777" w:rsidTr="00AC4DEE">
        <w:trPr>
          <w:cantSplit/>
        </w:trPr>
        <w:tc>
          <w:tcPr>
            <w:tcW w:w="2088" w:type="dxa"/>
          </w:tcPr>
          <w:p w14:paraId="0184C30F" w14:textId="77777777" w:rsidR="001F04FD" w:rsidRDefault="001F04FD" w:rsidP="00AC4DEE">
            <w:pPr>
              <w:pStyle w:val="TableBody"/>
            </w:pPr>
            <w:r>
              <w:t xml:space="preserve">RMREAMT </w:t>
            </w:r>
            <w:r w:rsidRPr="00E15B17">
              <w:rPr>
                <w:i/>
                <w:vertAlign w:val="subscript"/>
              </w:rPr>
              <w:t>q, r</w:t>
            </w:r>
          </w:p>
        </w:tc>
        <w:tc>
          <w:tcPr>
            <w:tcW w:w="1080" w:type="dxa"/>
          </w:tcPr>
          <w:p w14:paraId="5D3BD1F1" w14:textId="77777777" w:rsidR="001F04FD" w:rsidRDefault="001F04FD" w:rsidP="00AC4DEE">
            <w:pPr>
              <w:pStyle w:val="TableBody"/>
            </w:pPr>
            <w:r>
              <w:t>$</w:t>
            </w:r>
          </w:p>
        </w:tc>
        <w:tc>
          <w:tcPr>
            <w:tcW w:w="6775" w:type="dxa"/>
          </w:tcPr>
          <w:p w14:paraId="5AF1ECEE" w14:textId="77777777" w:rsidR="001F04FD" w:rsidRDefault="001F04FD" w:rsidP="00AC4DEE">
            <w:pPr>
              <w:pStyle w:val="TableBody"/>
            </w:pPr>
            <w:r>
              <w:rPr>
                <w:i/>
              </w:rPr>
              <w:t>Reliability Must-Run Energy Amount per QSE per Resource by hour</w:t>
            </w:r>
            <w:r>
              <w:t xml:space="preserve">—The energy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06A85861" w14:textId="77777777" w:rsidTr="00AC4DEE">
        <w:trPr>
          <w:cantSplit/>
        </w:trPr>
        <w:tc>
          <w:tcPr>
            <w:tcW w:w="2088" w:type="dxa"/>
          </w:tcPr>
          <w:p w14:paraId="4B0DA723" w14:textId="77777777" w:rsidR="001F04FD" w:rsidRDefault="001F04FD" w:rsidP="00AC4DEE">
            <w:pPr>
              <w:pStyle w:val="TableBody"/>
            </w:pPr>
            <w:r>
              <w:t>FIP</w:t>
            </w:r>
          </w:p>
        </w:tc>
        <w:tc>
          <w:tcPr>
            <w:tcW w:w="1080" w:type="dxa"/>
          </w:tcPr>
          <w:p w14:paraId="65D1D1F0" w14:textId="77777777" w:rsidR="001F04FD" w:rsidRDefault="001F04FD" w:rsidP="00AC4DEE">
            <w:pPr>
              <w:pStyle w:val="TableBody"/>
            </w:pPr>
            <w:r>
              <w:t>$/MMBtu</w:t>
            </w:r>
          </w:p>
        </w:tc>
        <w:tc>
          <w:tcPr>
            <w:tcW w:w="6775" w:type="dxa"/>
          </w:tcPr>
          <w:p w14:paraId="3D6FD76D" w14:textId="77777777" w:rsidR="001F04FD" w:rsidRDefault="001F04FD" w:rsidP="00AC4DEE">
            <w:pPr>
              <w:pStyle w:val="TableBody"/>
            </w:pPr>
            <w:r>
              <w:rPr>
                <w:i/>
              </w:rPr>
              <w:t>Fuel Index Price</w:t>
            </w:r>
            <w:r>
              <w:t>—The FIP for the Operating Day.</w:t>
            </w:r>
          </w:p>
        </w:tc>
      </w:tr>
      <w:tr w:rsidR="001F04FD" w14:paraId="1C88B5C6" w14:textId="77777777" w:rsidTr="00AC4DEE">
        <w:trPr>
          <w:cantSplit/>
        </w:trPr>
        <w:tc>
          <w:tcPr>
            <w:tcW w:w="2088" w:type="dxa"/>
          </w:tcPr>
          <w:p w14:paraId="0353244F" w14:textId="77777777" w:rsidR="001F04FD" w:rsidRDefault="001F04FD" w:rsidP="00AC4DEE">
            <w:pPr>
              <w:pStyle w:val="TableBody"/>
            </w:pPr>
            <w:r>
              <w:t xml:space="preserve">RMRSUFQ </w:t>
            </w:r>
            <w:r w:rsidRPr="00E15B17">
              <w:rPr>
                <w:i/>
                <w:vertAlign w:val="subscript"/>
              </w:rPr>
              <w:t>q, r</w:t>
            </w:r>
          </w:p>
        </w:tc>
        <w:tc>
          <w:tcPr>
            <w:tcW w:w="1080" w:type="dxa"/>
          </w:tcPr>
          <w:p w14:paraId="27A49E7A" w14:textId="77777777" w:rsidR="001F04FD" w:rsidRDefault="001F04FD" w:rsidP="00AC4DEE">
            <w:pPr>
              <w:pStyle w:val="TableBody"/>
            </w:pPr>
            <w:r>
              <w:t>MMBtu</w:t>
            </w:r>
          </w:p>
        </w:tc>
        <w:tc>
          <w:tcPr>
            <w:tcW w:w="6775" w:type="dxa"/>
          </w:tcPr>
          <w:p w14:paraId="71607580" w14:textId="77777777" w:rsidR="001F04FD" w:rsidRDefault="001F04FD" w:rsidP="00AC4DEE">
            <w:pPr>
              <w:pStyle w:val="TableBody"/>
            </w:pPr>
            <w:r>
              <w:rPr>
                <w:i/>
              </w:rPr>
              <w:t>Reliability Must-Run Startup Fuel Quantity per QSE per Resource</w:t>
            </w:r>
            <w:r>
              <w:sym w:font="Symbol" w:char="F0BE"/>
            </w:r>
            <w:r>
              <w:t xml:space="preserve">The Estimated Start Up Fuel specified in the RMR Agreement for RMR Unit </w:t>
            </w:r>
            <w:r>
              <w:rPr>
                <w:i/>
              </w:rPr>
              <w:t>r</w:t>
            </w:r>
            <w:r>
              <w:t xml:space="preserve"> represented by QSE </w:t>
            </w:r>
            <w:r>
              <w:rPr>
                <w:i/>
              </w:rPr>
              <w:t>q</w:t>
            </w:r>
            <w:r>
              <w:t xml:space="preserve">.  Where for a Combined Cycle Train, the Resource </w:t>
            </w:r>
            <w:r w:rsidRPr="00B34C5D">
              <w:rPr>
                <w:i/>
              </w:rPr>
              <w:t>r</w:t>
            </w:r>
            <w:r>
              <w:rPr>
                <w:i/>
              </w:rPr>
              <w:t xml:space="preserve"> </w:t>
            </w:r>
            <w:r>
              <w:t>is the Combined Cycle Train.</w:t>
            </w:r>
          </w:p>
        </w:tc>
      </w:tr>
      <w:tr w:rsidR="001F04FD" w14:paraId="3401518A" w14:textId="77777777" w:rsidTr="00AC4DEE">
        <w:trPr>
          <w:cantSplit/>
        </w:trPr>
        <w:tc>
          <w:tcPr>
            <w:tcW w:w="2088" w:type="dxa"/>
          </w:tcPr>
          <w:p w14:paraId="43B23396" w14:textId="77777777" w:rsidR="001F04FD" w:rsidRDefault="001F04FD" w:rsidP="00AC4DEE">
            <w:pPr>
              <w:pStyle w:val="TableBody"/>
            </w:pPr>
            <w:r>
              <w:t xml:space="preserve">RMRH </w:t>
            </w:r>
            <w:r w:rsidRPr="00E15B17">
              <w:rPr>
                <w:i/>
                <w:vertAlign w:val="subscript"/>
              </w:rPr>
              <w:t>q, r,h</w:t>
            </w:r>
          </w:p>
        </w:tc>
        <w:tc>
          <w:tcPr>
            <w:tcW w:w="1080" w:type="dxa"/>
          </w:tcPr>
          <w:p w14:paraId="2671E659" w14:textId="77777777" w:rsidR="001F04FD" w:rsidRDefault="001F04FD" w:rsidP="00AC4DEE">
            <w:pPr>
              <w:pStyle w:val="TableBody"/>
            </w:pPr>
            <w:r>
              <w:t>hour</w:t>
            </w:r>
          </w:p>
        </w:tc>
        <w:tc>
          <w:tcPr>
            <w:tcW w:w="6775" w:type="dxa"/>
          </w:tcPr>
          <w:p w14:paraId="7A9EAA89" w14:textId="77777777" w:rsidR="001F04FD" w:rsidRDefault="001F04FD" w:rsidP="00AC4DEE">
            <w:pPr>
              <w:pStyle w:val="TableBody"/>
            </w:pPr>
            <w:r>
              <w:rPr>
                <w:i/>
              </w:rPr>
              <w:t>Reliability Must-Run Hours</w:t>
            </w:r>
            <w:r>
              <w:t xml:space="preserve">—The number of hours during which RMR Unit </w:t>
            </w:r>
            <w:r>
              <w:rPr>
                <w:i/>
              </w:rPr>
              <w:t>r</w:t>
            </w:r>
            <w:r>
              <w:t xml:space="preserve"> represented by QSE </w:t>
            </w:r>
            <w:r>
              <w:rPr>
                <w:i/>
              </w:rPr>
              <w:t>q</w:t>
            </w:r>
            <w:r>
              <w:t xml:space="preserve"> is instructed On-Line for the Operating Day.  Where for a Combined Cycle Train, the Resource </w:t>
            </w:r>
            <w:r w:rsidRPr="00B34C5D">
              <w:rPr>
                <w:i/>
              </w:rPr>
              <w:t>r</w:t>
            </w:r>
            <w:r>
              <w:rPr>
                <w:i/>
              </w:rPr>
              <w:t xml:space="preserve"> </w:t>
            </w:r>
            <w:r>
              <w:t>is the Combined Cycle Train.</w:t>
            </w:r>
          </w:p>
        </w:tc>
      </w:tr>
      <w:tr w:rsidR="001F04FD" w14:paraId="0576B214" w14:textId="77777777" w:rsidTr="00AC4DEE">
        <w:trPr>
          <w:cantSplit/>
        </w:trPr>
        <w:tc>
          <w:tcPr>
            <w:tcW w:w="2088" w:type="dxa"/>
          </w:tcPr>
          <w:p w14:paraId="31A1FA11" w14:textId="77777777" w:rsidR="001F04FD" w:rsidRDefault="001F04FD" w:rsidP="00AC4DEE">
            <w:pPr>
              <w:pStyle w:val="TableBody"/>
            </w:pPr>
            <w:r>
              <w:t xml:space="preserve">RMRALLOCFLAG </w:t>
            </w:r>
            <w:r w:rsidRPr="00E15B17">
              <w:rPr>
                <w:i/>
                <w:vertAlign w:val="subscript"/>
              </w:rPr>
              <w:t>q, r</w:t>
            </w:r>
          </w:p>
        </w:tc>
        <w:tc>
          <w:tcPr>
            <w:tcW w:w="1080" w:type="dxa"/>
          </w:tcPr>
          <w:p w14:paraId="2E033D56" w14:textId="77777777" w:rsidR="001F04FD" w:rsidRDefault="001F04FD" w:rsidP="00AC4DEE">
            <w:pPr>
              <w:pStyle w:val="TableBody"/>
            </w:pPr>
            <w:r>
              <w:t>none</w:t>
            </w:r>
          </w:p>
        </w:tc>
        <w:tc>
          <w:tcPr>
            <w:tcW w:w="6775" w:type="dxa"/>
          </w:tcPr>
          <w:p w14:paraId="4D54D9F1" w14:textId="77777777" w:rsidR="001F04FD" w:rsidRDefault="001F04FD" w:rsidP="00AC4DEE">
            <w:pPr>
              <w:pStyle w:val="TableBody"/>
            </w:pPr>
            <w:r>
              <w:rPr>
                <w:i/>
              </w:rPr>
              <w:t>Reliability Must-Run Startup Flag per QSE per Resource by hour</w:t>
            </w:r>
            <w:r>
              <w:t xml:space="preserve">—The number that indicates whether or not the startup fuel cost of RMR Unit </w:t>
            </w:r>
            <w:r>
              <w:rPr>
                <w:i/>
              </w:rPr>
              <w:t>r</w:t>
            </w:r>
            <w:r>
              <w:t xml:space="preserve"> represented by QSE </w:t>
            </w:r>
            <w:r>
              <w:rPr>
                <w:i/>
              </w:rPr>
              <w:t>q</w:t>
            </w:r>
            <w:r>
              <w:t xml:space="preserve"> is allocated to the hour.  Where for a Combined Cycle Train, the Resource </w:t>
            </w:r>
            <w:r w:rsidRPr="00B34C5D">
              <w:rPr>
                <w:i/>
              </w:rPr>
              <w:t>r</w:t>
            </w:r>
            <w:r>
              <w:rPr>
                <w:i/>
              </w:rPr>
              <w:t xml:space="preserve"> </w:t>
            </w:r>
            <w:r>
              <w:t xml:space="preserve">is the Combined Cycle Train.  The startup fuel cost will be allocated equally to all contiguous intervals for which there is an eligible start.  The RMRALLOCFLAG </w:t>
            </w:r>
            <w:r>
              <w:rPr>
                <w:vertAlign w:val="subscript"/>
              </w:rPr>
              <w:t xml:space="preserve">q, r </w:t>
            </w:r>
            <w:r>
              <w:t>value is 1 if the startup fuel cost is allocated; otherwise, its value is 0.</w:t>
            </w:r>
          </w:p>
          <w:p w14:paraId="4B39DA40" w14:textId="2B6D43BB" w:rsidR="001F04FD" w:rsidRDefault="001F04FD" w:rsidP="00F602B7">
            <w:pPr>
              <w:pStyle w:val="TableBody"/>
              <w:rPr>
                <w:i/>
              </w:rPr>
            </w:pPr>
            <w:r>
              <w:t>The RMRALLOCFLAG</w:t>
            </w:r>
            <w:r>
              <w:rPr>
                <w:vertAlign w:val="subscript"/>
              </w:rPr>
              <w:t xml:space="preserve"> q, r</w:t>
            </w:r>
            <w:r>
              <w:t xml:space="preserve"> for eligibility is determined in Sections 5.6.2</w:t>
            </w:r>
            <w:r>
              <w:rPr>
                <w:iCs w:val="0"/>
              </w:rPr>
              <w:t>, RUC Startup Cost Eligibility,</w:t>
            </w:r>
            <w:r>
              <w:t xml:space="preserve"> and 5.6.3</w:t>
            </w:r>
            <w:r>
              <w:rPr>
                <w:iCs w:val="0"/>
              </w:rPr>
              <w:t>, Forced Outage of a RUC-Committed Resource,</w:t>
            </w:r>
            <w:r>
              <w:t xml:space="preserve"> for start-up payments and commitments in either the </w:t>
            </w:r>
            <w:r w:rsidR="00F602B7">
              <w:t>Reliability Unit Commitment (</w:t>
            </w:r>
            <w:r>
              <w:t>RUC</w:t>
            </w:r>
            <w:r w:rsidR="00F602B7">
              <w:t>)</w:t>
            </w:r>
            <w:r>
              <w:t xml:space="preserve"> or DAM.</w:t>
            </w:r>
          </w:p>
        </w:tc>
      </w:tr>
      <w:tr w:rsidR="001F04FD" w14:paraId="15D5F747" w14:textId="77777777" w:rsidTr="00AC4DEE">
        <w:trPr>
          <w:cantSplit/>
        </w:trPr>
        <w:tc>
          <w:tcPr>
            <w:tcW w:w="2088" w:type="dxa"/>
          </w:tcPr>
          <w:p w14:paraId="359A612A" w14:textId="77777777" w:rsidR="001F04FD" w:rsidRDefault="001F04FD" w:rsidP="00AC4DEE">
            <w:pPr>
              <w:pStyle w:val="TableBody"/>
            </w:pPr>
            <w:r>
              <w:t xml:space="preserve">RMRHR </w:t>
            </w:r>
            <w:r w:rsidRPr="00E15B17">
              <w:rPr>
                <w:i/>
                <w:vertAlign w:val="subscript"/>
              </w:rPr>
              <w:t>q, r, i</w:t>
            </w:r>
          </w:p>
        </w:tc>
        <w:tc>
          <w:tcPr>
            <w:tcW w:w="1080" w:type="dxa"/>
          </w:tcPr>
          <w:p w14:paraId="7E8E4F10" w14:textId="77777777" w:rsidR="001F04FD" w:rsidRDefault="001F04FD" w:rsidP="00AC4DEE">
            <w:pPr>
              <w:pStyle w:val="TableBody"/>
            </w:pPr>
            <w:r>
              <w:t>MMBtu /MWh</w:t>
            </w:r>
          </w:p>
        </w:tc>
        <w:tc>
          <w:tcPr>
            <w:tcW w:w="6775" w:type="dxa"/>
          </w:tcPr>
          <w:p w14:paraId="347C0B9B" w14:textId="77777777" w:rsidR="001F04FD" w:rsidRDefault="001F04FD" w:rsidP="00AC4DEE">
            <w:pPr>
              <w:pStyle w:val="TableBody"/>
              <w:rPr>
                <w:i/>
              </w:rPr>
            </w:pPr>
            <w:r>
              <w:rPr>
                <w:i/>
              </w:rPr>
              <w:t>Reliability Must-Run Heat Rate per QSE per Resource by Settlement Interval by hour</w:t>
            </w:r>
            <w:r>
              <w:t>—The multiplier determined based on the input/output curve and the Real-Time generation of RMR Unit</w:t>
            </w:r>
            <w:r>
              <w:rPr>
                <w:i/>
              </w:rPr>
              <w:t xml:space="preserve"> r</w:t>
            </w:r>
            <w:r>
              <w:t xml:space="preserve"> represented by QSE </w:t>
            </w:r>
            <w:r>
              <w:rPr>
                <w:i/>
              </w:rPr>
              <w:t>q</w:t>
            </w:r>
            <w:r>
              <w:t xml:space="preserve">, for the 15-minute Settlement Interval </w:t>
            </w:r>
            <w:r>
              <w:rPr>
                <w:i/>
              </w:rPr>
              <w:t>i</w:t>
            </w:r>
            <w:r>
              <w:t xml:space="preserve"> in the hour.  Where for a Combined Cycle Train, the Resource </w:t>
            </w:r>
            <w:r w:rsidRPr="00B34C5D">
              <w:rPr>
                <w:i/>
              </w:rPr>
              <w:t>r</w:t>
            </w:r>
            <w:r>
              <w:rPr>
                <w:i/>
              </w:rPr>
              <w:t xml:space="preserve"> </w:t>
            </w:r>
            <w:r>
              <w:t>is the Combined Cycle Train.</w:t>
            </w:r>
          </w:p>
        </w:tc>
      </w:tr>
      <w:tr w:rsidR="001F04FD" w14:paraId="7BD54574" w14:textId="77777777" w:rsidTr="00AC4DEE">
        <w:trPr>
          <w:cantSplit/>
        </w:trPr>
        <w:tc>
          <w:tcPr>
            <w:tcW w:w="2088" w:type="dxa"/>
          </w:tcPr>
          <w:p w14:paraId="4C7C1A96" w14:textId="77777777" w:rsidR="001F04FD" w:rsidRDefault="001F04FD" w:rsidP="00AC4DEE">
            <w:pPr>
              <w:pStyle w:val="TableBody"/>
            </w:pPr>
            <w:r>
              <w:t xml:space="preserve">RMRVCC </w:t>
            </w:r>
            <w:r w:rsidRPr="00E15B17">
              <w:rPr>
                <w:i/>
                <w:vertAlign w:val="subscript"/>
              </w:rPr>
              <w:t>q, r</w:t>
            </w:r>
          </w:p>
        </w:tc>
        <w:tc>
          <w:tcPr>
            <w:tcW w:w="1080" w:type="dxa"/>
          </w:tcPr>
          <w:p w14:paraId="5014C462" w14:textId="77777777" w:rsidR="001F04FD" w:rsidRDefault="001F04FD" w:rsidP="00AC4DEE">
            <w:pPr>
              <w:pStyle w:val="TableBody"/>
            </w:pPr>
            <w:r>
              <w:t>$/MWh</w:t>
            </w:r>
          </w:p>
        </w:tc>
        <w:tc>
          <w:tcPr>
            <w:tcW w:w="6775" w:type="dxa"/>
          </w:tcPr>
          <w:p w14:paraId="47BEBFEA" w14:textId="77777777" w:rsidR="001F04FD" w:rsidRDefault="001F04FD" w:rsidP="00AC4DEE">
            <w:pPr>
              <w:pStyle w:val="TableBody"/>
              <w:rPr>
                <w:i/>
              </w:rPr>
            </w:pPr>
            <w:r>
              <w:rPr>
                <w:i/>
              </w:rPr>
              <w:t>Reliability Must-Run Variable Cost Component per QSE per Resource</w:t>
            </w:r>
            <w:r>
              <w:t xml:space="preserve">—The monthly cost component that is used to adjust the energy cost calculation to reflect the actual fuel costs of RMR Unit </w:t>
            </w:r>
            <w:r>
              <w:rPr>
                <w:i/>
              </w:rPr>
              <w:t>r</w:t>
            </w:r>
            <w:r>
              <w:t xml:space="preserve"> represented by QSE </w:t>
            </w:r>
            <w:r>
              <w:rPr>
                <w:i/>
              </w:rPr>
              <w:t>q</w:t>
            </w:r>
            <w:r>
              <w:t xml:space="preserve">.  The value is initially set to zero.  For resettlements, see item (2) below.  Where for a Combined Cycle Train, the Resource </w:t>
            </w:r>
            <w:r w:rsidRPr="00B34C5D">
              <w:rPr>
                <w:i/>
              </w:rPr>
              <w:t>r</w:t>
            </w:r>
            <w:r>
              <w:rPr>
                <w:i/>
              </w:rPr>
              <w:t xml:space="preserve"> </w:t>
            </w:r>
            <w:r>
              <w:t>is the Combined Cycle Train.</w:t>
            </w:r>
          </w:p>
        </w:tc>
      </w:tr>
      <w:tr w:rsidR="001F04FD" w14:paraId="0199C651" w14:textId="77777777" w:rsidTr="00AC4DEE">
        <w:trPr>
          <w:cantSplit/>
        </w:trPr>
        <w:tc>
          <w:tcPr>
            <w:tcW w:w="2088" w:type="dxa"/>
          </w:tcPr>
          <w:p w14:paraId="3FD65DFD" w14:textId="77777777" w:rsidR="001F04FD" w:rsidRDefault="001F04FD" w:rsidP="00AC4DEE">
            <w:pPr>
              <w:pStyle w:val="TableBody"/>
            </w:pPr>
            <w:r>
              <w:t xml:space="preserve">RTMG </w:t>
            </w:r>
            <w:r w:rsidRPr="00E15B17">
              <w:rPr>
                <w:i/>
                <w:vertAlign w:val="subscript"/>
              </w:rPr>
              <w:t>q, r, i,</w:t>
            </w:r>
          </w:p>
        </w:tc>
        <w:tc>
          <w:tcPr>
            <w:tcW w:w="1080" w:type="dxa"/>
          </w:tcPr>
          <w:p w14:paraId="1DE08DA7" w14:textId="77777777" w:rsidR="001F04FD" w:rsidRDefault="001F04FD" w:rsidP="00AC4DEE">
            <w:pPr>
              <w:pStyle w:val="TableBody"/>
            </w:pPr>
            <w:r>
              <w:t>MWh</w:t>
            </w:r>
          </w:p>
        </w:tc>
        <w:tc>
          <w:tcPr>
            <w:tcW w:w="6775" w:type="dxa"/>
          </w:tcPr>
          <w:p w14:paraId="4AA6F1DF" w14:textId="77777777" w:rsidR="001F04FD" w:rsidRDefault="001F04FD" w:rsidP="00AC4DEE">
            <w:pPr>
              <w:pStyle w:val="TableBody"/>
              <w:rPr>
                <w:i/>
              </w:rPr>
            </w:pPr>
            <w:r>
              <w:rPr>
                <w:i/>
              </w:rPr>
              <w:t>Real-Time Metered Generation per QSE per Resource by Settlement Interval by hour</w:t>
            </w:r>
            <w:r>
              <w:t>—The Real-Time energy from RMR Unit</w:t>
            </w:r>
            <w:r>
              <w:rPr>
                <w:i/>
              </w:rPr>
              <w:t xml:space="preserve"> r</w:t>
            </w:r>
            <w:r>
              <w:t xml:space="preserve"> represented by QSE </w:t>
            </w:r>
            <w:r>
              <w:rPr>
                <w:i/>
              </w:rPr>
              <w:t>q</w:t>
            </w:r>
            <w:r>
              <w:t xml:space="preserve">, for the 15-minute Settlement Interval </w:t>
            </w:r>
            <w:r>
              <w:rPr>
                <w:i/>
              </w:rPr>
              <w:t xml:space="preserve">i </w:t>
            </w:r>
            <w:r w:rsidRPr="00D661BC">
              <w:t>in the hour</w:t>
            </w:r>
            <w:r>
              <w:rPr>
                <w:i/>
              </w:rPr>
              <w:t xml:space="preserve"> h</w:t>
            </w:r>
            <w:r>
              <w:t xml:space="preserve">.  Where for a Combined Cycle Train, the Resource </w:t>
            </w:r>
            <w:r w:rsidRPr="00B34C5D">
              <w:rPr>
                <w:i/>
              </w:rPr>
              <w:t>r</w:t>
            </w:r>
            <w:r>
              <w:rPr>
                <w:i/>
              </w:rPr>
              <w:t xml:space="preserve"> </w:t>
            </w:r>
            <w:r>
              <w:t>is the Combined Cycle Train.</w:t>
            </w:r>
          </w:p>
        </w:tc>
      </w:tr>
      <w:tr w:rsidR="001F04FD" w14:paraId="6F8ED6FD" w14:textId="77777777" w:rsidTr="00AC4DEE">
        <w:trPr>
          <w:cantSplit/>
        </w:trPr>
        <w:tc>
          <w:tcPr>
            <w:tcW w:w="2088" w:type="dxa"/>
          </w:tcPr>
          <w:p w14:paraId="0359BDCA" w14:textId="77777777" w:rsidR="001F04FD" w:rsidRDefault="001F04FD" w:rsidP="00AC4DEE">
            <w:pPr>
              <w:pStyle w:val="TableBody"/>
            </w:pPr>
            <w:r>
              <w:t>RMRCEFA</w:t>
            </w:r>
            <w:r>
              <w:rPr>
                <w:vertAlign w:val="subscript"/>
              </w:rPr>
              <w:t xml:space="preserve"> </w:t>
            </w:r>
            <w:r w:rsidRPr="00E15B17">
              <w:rPr>
                <w:i/>
                <w:vertAlign w:val="subscript"/>
              </w:rPr>
              <w:t>q, r</w:t>
            </w:r>
          </w:p>
        </w:tc>
        <w:tc>
          <w:tcPr>
            <w:tcW w:w="1080" w:type="dxa"/>
          </w:tcPr>
          <w:p w14:paraId="24D28FE1" w14:textId="77777777" w:rsidR="001F04FD" w:rsidRDefault="001F04FD" w:rsidP="00AC4DEE">
            <w:pPr>
              <w:pStyle w:val="TableBody"/>
            </w:pPr>
            <w:r>
              <w:t>$/MMBtu</w:t>
            </w:r>
          </w:p>
        </w:tc>
        <w:tc>
          <w:tcPr>
            <w:tcW w:w="6775" w:type="dxa"/>
          </w:tcPr>
          <w:p w14:paraId="3CE67121" w14:textId="77777777" w:rsidR="001F04FD" w:rsidRDefault="001F04FD" w:rsidP="00AC4DEE">
            <w:pPr>
              <w:pStyle w:val="TableBody"/>
            </w:pPr>
            <w:r>
              <w:rPr>
                <w:i/>
              </w:rPr>
              <w:t>Reliability Must-Run Contractual Estimated Fuel Adder</w:t>
            </w:r>
            <w:r>
              <w:t xml:space="preserve">—The Estimated Fuel Adder that is contractually agreed upon in Section 22, Attachment B, Standard Form Reliability Must-Run Agreement.  Where for a Combined Cycle Train, the Resource </w:t>
            </w:r>
            <w:r w:rsidRPr="00B34C5D">
              <w:rPr>
                <w:i/>
              </w:rPr>
              <w:t>r</w:t>
            </w:r>
            <w:r>
              <w:rPr>
                <w:i/>
              </w:rPr>
              <w:t xml:space="preserve"> </w:t>
            </w:r>
            <w:r>
              <w:t>is the Combined Cycle Train.  The fuel adder will be subsequently trued up to reflect actual fuel costs as set forth in item (1) above.</w:t>
            </w:r>
          </w:p>
        </w:tc>
      </w:tr>
      <w:tr w:rsidR="001F04FD" w14:paraId="30F22B57" w14:textId="77777777" w:rsidTr="00AC4DEE">
        <w:trPr>
          <w:cantSplit/>
        </w:trPr>
        <w:tc>
          <w:tcPr>
            <w:tcW w:w="2088" w:type="dxa"/>
          </w:tcPr>
          <w:p w14:paraId="55DAA1E4" w14:textId="77777777" w:rsidR="001F04FD" w:rsidRPr="00EF4122" w:rsidRDefault="001F04FD" w:rsidP="00AC4DEE">
            <w:pPr>
              <w:pStyle w:val="TableBody"/>
              <w:rPr>
                <w:i/>
              </w:rPr>
            </w:pPr>
            <w:r w:rsidRPr="00D661BC">
              <w:rPr>
                <w:i/>
              </w:rPr>
              <w:t>q</w:t>
            </w:r>
          </w:p>
        </w:tc>
        <w:tc>
          <w:tcPr>
            <w:tcW w:w="1080" w:type="dxa"/>
          </w:tcPr>
          <w:p w14:paraId="3F819CF1" w14:textId="77777777" w:rsidR="001F04FD" w:rsidRDefault="001F04FD" w:rsidP="00AC4DEE">
            <w:pPr>
              <w:pStyle w:val="TableBody"/>
            </w:pPr>
            <w:r>
              <w:t>none</w:t>
            </w:r>
          </w:p>
        </w:tc>
        <w:tc>
          <w:tcPr>
            <w:tcW w:w="6775" w:type="dxa"/>
          </w:tcPr>
          <w:p w14:paraId="6A6E9FB7" w14:textId="77777777" w:rsidR="001F04FD" w:rsidRDefault="001F04FD" w:rsidP="00AC4DEE">
            <w:pPr>
              <w:pStyle w:val="TableBody"/>
            </w:pPr>
            <w:r>
              <w:t>A QSE.</w:t>
            </w:r>
          </w:p>
        </w:tc>
      </w:tr>
      <w:tr w:rsidR="001F04FD" w14:paraId="3C2BDA2B" w14:textId="77777777" w:rsidTr="00AC4DEE">
        <w:trPr>
          <w:cantSplit/>
        </w:trPr>
        <w:tc>
          <w:tcPr>
            <w:tcW w:w="2088" w:type="dxa"/>
          </w:tcPr>
          <w:p w14:paraId="557565BF" w14:textId="77777777" w:rsidR="001F04FD" w:rsidRPr="00EF4122" w:rsidRDefault="001F04FD" w:rsidP="00AC4DEE">
            <w:pPr>
              <w:pStyle w:val="TableBody"/>
              <w:rPr>
                <w:i/>
              </w:rPr>
            </w:pPr>
            <w:r w:rsidRPr="00D661BC">
              <w:rPr>
                <w:i/>
              </w:rPr>
              <w:t>r</w:t>
            </w:r>
          </w:p>
        </w:tc>
        <w:tc>
          <w:tcPr>
            <w:tcW w:w="1080" w:type="dxa"/>
          </w:tcPr>
          <w:p w14:paraId="13CD329F" w14:textId="77777777" w:rsidR="001F04FD" w:rsidRDefault="001F04FD" w:rsidP="00AC4DEE">
            <w:pPr>
              <w:pStyle w:val="TableBody"/>
            </w:pPr>
            <w:r>
              <w:t>none</w:t>
            </w:r>
          </w:p>
        </w:tc>
        <w:tc>
          <w:tcPr>
            <w:tcW w:w="6775" w:type="dxa"/>
          </w:tcPr>
          <w:p w14:paraId="421BB642" w14:textId="77777777" w:rsidR="001F04FD" w:rsidRDefault="001F04FD" w:rsidP="00AC4DEE">
            <w:pPr>
              <w:pStyle w:val="TableBody"/>
            </w:pPr>
            <w:r>
              <w:t>An RMR Unit.</w:t>
            </w:r>
          </w:p>
        </w:tc>
      </w:tr>
      <w:tr w:rsidR="001F04FD" w14:paraId="4E643914" w14:textId="77777777" w:rsidTr="00AC4DEE">
        <w:trPr>
          <w:cantSplit/>
        </w:trPr>
        <w:tc>
          <w:tcPr>
            <w:tcW w:w="2088" w:type="dxa"/>
          </w:tcPr>
          <w:p w14:paraId="795D7571" w14:textId="77777777" w:rsidR="001F04FD" w:rsidRPr="00EF4122" w:rsidRDefault="001F04FD" w:rsidP="00AC4DEE">
            <w:pPr>
              <w:pStyle w:val="TableBody"/>
              <w:rPr>
                <w:i/>
              </w:rPr>
            </w:pPr>
            <w:r w:rsidRPr="00D661BC">
              <w:rPr>
                <w:i/>
              </w:rPr>
              <w:t>i</w:t>
            </w:r>
          </w:p>
        </w:tc>
        <w:tc>
          <w:tcPr>
            <w:tcW w:w="1080" w:type="dxa"/>
          </w:tcPr>
          <w:p w14:paraId="116F5761" w14:textId="77777777" w:rsidR="001F04FD" w:rsidRDefault="001F04FD" w:rsidP="00AC4DEE">
            <w:pPr>
              <w:pStyle w:val="TableBody"/>
            </w:pPr>
            <w:r>
              <w:t>none</w:t>
            </w:r>
          </w:p>
        </w:tc>
        <w:tc>
          <w:tcPr>
            <w:tcW w:w="6775" w:type="dxa"/>
          </w:tcPr>
          <w:p w14:paraId="7777EA4B" w14:textId="77777777" w:rsidR="001F04FD" w:rsidRDefault="001F04FD" w:rsidP="00AC4DEE">
            <w:pPr>
              <w:pStyle w:val="TableBody"/>
            </w:pPr>
            <w:r>
              <w:t>A 15-minute Settlement Interval.</w:t>
            </w:r>
          </w:p>
        </w:tc>
      </w:tr>
    </w:tbl>
    <w:p w14:paraId="29B531B8" w14:textId="77777777" w:rsidR="001F04FD" w:rsidRDefault="001F04FD" w:rsidP="001F04FD">
      <w:pPr>
        <w:pStyle w:val="BodyTextNumbered"/>
        <w:spacing w:before="240"/>
      </w:pPr>
      <w:r>
        <w:t>(2)</w:t>
      </w:r>
      <w:r>
        <w:tab/>
        <w:t>If the RMR actual fuel cost is filed in accordance with the timeline in these Protocols, the monthly RMR variable cost component is calculated for the subsequent resettlements as follows:</w:t>
      </w:r>
    </w:p>
    <w:p w14:paraId="274131D1" w14:textId="77777777" w:rsidR="001F04FD" w:rsidRDefault="001F04FD" w:rsidP="001F04FD">
      <w:pPr>
        <w:pStyle w:val="FormulaBold"/>
        <w:tabs>
          <w:tab w:val="left" w:pos="2610"/>
        </w:tabs>
        <w:spacing w:after="0"/>
        <w:rPr>
          <w:lang w:val="pt-BR"/>
        </w:rPr>
      </w:pPr>
      <w:r>
        <w:rPr>
          <w:lang w:val="pt-BR"/>
        </w:rPr>
        <w:lastRenderedPageBreak/>
        <w:t xml:space="preserve">RMRVCC </w:t>
      </w:r>
      <w:r>
        <w:rPr>
          <w:i/>
          <w:vertAlign w:val="subscript"/>
          <w:lang w:val="pt-BR"/>
        </w:rPr>
        <w:t>q, r</w:t>
      </w:r>
      <w:r>
        <w:rPr>
          <w:vertAlign w:val="subscript"/>
          <w:lang w:val="pt-BR"/>
        </w:rPr>
        <w:tab/>
      </w:r>
      <w:r>
        <w:rPr>
          <w:lang w:val="pt-BR"/>
        </w:rPr>
        <w:t>=</w:t>
      </w:r>
      <w:r>
        <w:rPr>
          <w:lang w:val="pt-BR"/>
        </w:rPr>
        <w:tab/>
        <w:t xml:space="preserve">(RMRMFCOST </w:t>
      </w:r>
      <w:r>
        <w:rPr>
          <w:i/>
          <w:vertAlign w:val="subscript"/>
          <w:lang w:val="pt-BR"/>
        </w:rPr>
        <w:t>q, r</w:t>
      </w:r>
      <w:r>
        <w:rPr>
          <w:lang w:val="pt-BR"/>
        </w:rPr>
        <w:t xml:space="preserve"> + </w:t>
      </w:r>
      <w:r w:rsidRPr="006F784F">
        <w:rPr>
          <w:position w:val="-20"/>
        </w:rPr>
        <w:object w:dxaOrig="225" w:dyaOrig="435" w14:anchorId="305852C6">
          <v:shape id="_x0000_i1204" type="#_x0000_t75" style="width:12pt;height:24pt" o:ole="">
            <v:imagedata r:id="rId242" o:title=""/>
          </v:shape>
          <o:OLEObject Type="Embed" ProgID="Equation.3" ShapeID="_x0000_i1204" DrawAspect="Content" ObjectID="_1815025394" r:id="rId243"/>
        </w:object>
      </w:r>
      <w:r>
        <w:rPr>
          <w:lang w:val="pt-BR"/>
        </w:rPr>
        <w:t xml:space="preserve">RMREAMT </w:t>
      </w:r>
      <w:r>
        <w:rPr>
          <w:i/>
          <w:vertAlign w:val="subscript"/>
          <w:lang w:val="pt-BR"/>
        </w:rPr>
        <w:t>q, r, f, h</w:t>
      </w:r>
      <w:r>
        <w:rPr>
          <w:lang w:val="pt-BR"/>
        </w:rPr>
        <w:t xml:space="preserve">) / </w:t>
      </w:r>
    </w:p>
    <w:p w14:paraId="0B20EDD4" w14:textId="77777777" w:rsidR="001F04FD" w:rsidRDefault="001F04FD" w:rsidP="001F04FD">
      <w:pPr>
        <w:pStyle w:val="FormulaBold"/>
        <w:tabs>
          <w:tab w:val="left" w:pos="2610"/>
        </w:tabs>
        <w:ind w:hanging="1350"/>
        <w:rPr>
          <w:lang w:val="pt-BR"/>
        </w:rPr>
      </w:pPr>
      <w:r>
        <w:rPr>
          <w:lang w:val="pt-BR"/>
        </w:rPr>
        <w:t>(</w:t>
      </w:r>
      <w:r w:rsidRPr="006F784F">
        <w:rPr>
          <w:position w:val="-20"/>
        </w:rPr>
        <w:object w:dxaOrig="225" w:dyaOrig="435" w14:anchorId="476C4D85">
          <v:shape id="_x0000_i1205" type="#_x0000_t75" style="width:12pt;height:24pt" o:ole="">
            <v:imagedata r:id="rId244" o:title=""/>
          </v:shape>
          <o:OLEObject Type="Embed" ProgID="Equation.3" ShapeID="_x0000_i1205" DrawAspect="Content" ObjectID="_1815025395" r:id="rId245"/>
        </w:object>
      </w:r>
      <w:r>
        <w:rPr>
          <w:lang w:val="pt-BR"/>
        </w:rPr>
        <w:t xml:space="preserve">RTMG </w:t>
      </w:r>
      <w:r>
        <w:rPr>
          <w:i/>
          <w:vertAlign w:val="subscript"/>
          <w:lang w:val="pt-BR"/>
        </w:rPr>
        <w:t>q, r, i</w:t>
      </w:r>
      <w:r>
        <w:rPr>
          <w:lang w:val="pt-BR"/>
        </w:rPr>
        <w:t>)</w:t>
      </w:r>
    </w:p>
    <w:p w14:paraId="09509BC3" w14:textId="77777777" w:rsidR="001F04FD" w:rsidRDefault="001F04FD" w:rsidP="001F04FD">
      <w:r>
        <w:t>The above variables are defined as follows:</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8"/>
        <w:gridCol w:w="776"/>
        <w:gridCol w:w="7038"/>
      </w:tblGrid>
      <w:tr w:rsidR="001F04FD" w14:paraId="707DC9DB" w14:textId="77777777" w:rsidTr="00AC4DEE">
        <w:trPr>
          <w:cantSplit/>
          <w:tblHeader/>
        </w:trPr>
        <w:tc>
          <w:tcPr>
            <w:tcW w:w="1998" w:type="dxa"/>
          </w:tcPr>
          <w:p w14:paraId="74742EBA" w14:textId="77777777" w:rsidR="001F04FD" w:rsidRDefault="001F04FD" w:rsidP="00AC4DEE">
            <w:pPr>
              <w:pStyle w:val="TableHead"/>
            </w:pPr>
            <w:r>
              <w:t>Variable</w:t>
            </w:r>
          </w:p>
        </w:tc>
        <w:tc>
          <w:tcPr>
            <w:tcW w:w="776" w:type="dxa"/>
          </w:tcPr>
          <w:p w14:paraId="283179D3" w14:textId="77777777" w:rsidR="001F04FD" w:rsidRDefault="001F04FD" w:rsidP="00AC4DEE">
            <w:pPr>
              <w:pStyle w:val="TableHead"/>
            </w:pPr>
            <w:r>
              <w:t>Unit</w:t>
            </w:r>
          </w:p>
        </w:tc>
        <w:tc>
          <w:tcPr>
            <w:tcW w:w="7038" w:type="dxa"/>
          </w:tcPr>
          <w:p w14:paraId="0D1B6EFE" w14:textId="77777777" w:rsidR="001F04FD" w:rsidRDefault="001F04FD" w:rsidP="00AC4DEE">
            <w:pPr>
              <w:pStyle w:val="TableHead"/>
            </w:pPr>
            <w:r>
              <w:t>Definition</w:t>
            </w:r>
          </w:p>
        </w:tc>
      </w:tr>
      <w:tr w:rsidR="001F04FD" w14:paraId="24107EAD" w14:textId="77777777" w:rsidTr="00AC4DEE">
        <w:trPr>
          <w:cantSplit/>
        </w:trPr>
        <w:tc>
          <w:tcPr>
            <w:tcW w:w="1998" w:type="dxa"/>
          </w:tcPr>
          <w:p w14:paraId="24B5D09E" w14:textId="77777777" w:rsidR="001F04FD" w:rsidRDefault="001F04FD" w:rsidP="00AC4DEE">
            <w:pPr>
              <w:pStyle w:val="TableBody"/>
            </w:pPr>
            <w:r>
              <w:t xml:space="preserve">RMRVCC </w:t>
            </w:r>
            <w:r w:rsidRPr="00E15B17">
              <w:rPr>
                <w:i/>
                <w:vertAlign w:val="subscript"/>
              </w:rPr>
              <w:t>q, r</w:t>
            </w:r>
          </w:p>
        </w:tc>
        <w:tc>
          <w:tcPr>
            <w:tcW w:w="776" w:type="dxa"/>
          </w:tcPr>
          <w:p w14:paraId="6E111330" w14:textId="77777777" w:rsidR="001F04FD" w:rsidRDefault="001F04FD" w:rsidP="00AC4DEE">
            <w:pPr>
              <w:pStyle w:val="TableBody"/>
            </w:pPr>
            <w:r>
              <w:t>$/MWh</w:t>
            </w:r>
          </w:p>
        </w:tc>
        <w:tc>
          <w:tcPr>
            <w:tcW w:w="7038" w:type="dxa"/>
          </w:tcPr>
          <w:p w14:paraId="201A17D1" w14:textId="77777777" w:rsidR="001F04FD" w:rsidRDefault="001F04FD" w:rsidP="00AC4DEE">
            <w:pPr>
              <w:pStyle w:val="TableBody"/>
            </w:pPr>
            <w:r>
              <w:rPr>
                <w:i/>
              </w:rPr>
              <w:t>Reliability Must-Run Variable Cost Component per QSE per Resource</w:t>
            </w:r>
            <w:r>
              <w:t xml:space="preserve">—The monthly cost component that is used to adjust the energy cost calculation to reflect the actual fuel costs of RMR Unit </w:t>
            </w:r>
            <w:r>
              <w:rPr>
                <w:i/>
              </w:rPr>
              <w:t>r</w:t>
            </w:r>
            <w:r>
              <w:t xml:space="preserve"> represented by QSE </w:t>
            </w:r>
            <w:r>
              <w:rPr>
                <w:i/>
              </w:rPr>
              <w:t>q</w:t>
            </w:r>
            <w:r>
              <w:t xml:space="preserve">.  Where for a Combined Cycle Train, the Resource </w:t>
            </w:r>
            <w:r w:rsidRPr="00B34C5D">
              <w:rPr>
                <w:i/>
              </w:rPr>
              <w:t>r</w:t>
            </w:r>
            <w:r>
              <w:rPr>
                <w:i/>
              </w:rPr>
              <w:t xml:space="preserve"> </w:t>
            </w:r>
            <w:r>
              <w:t>is the Combined Cycle Train.</w:t>
            </w:r>
          </w:p>
        </w:tc>
      </w:tr>
      <w:tr w:rsidR="001F04FD" w14:paraId="06B054DE" w14:textId="77777777" w:rsidTr="00AC4DEE">
        <w:trPr>
          <w:cantSplit/>
        </w:trPr>
        <w:tc>
          <w:tcPr>
            <w:tcW w:w="1998" w:type="dxa"/>
          </w:tcPr>
          <w:p w14:paraId="27D86CD8" w14:textId="77777777" w:rsidR="001F04FD" w:rsidRDefault="001F04FD" w:rsidP="00AC4DEE">
            <w:pPr>
              <w:pStyle w:val="TableBody"/>
            </w:pPr>
            <w:r>
              <w:t xml:space="preserve">RMRMFCOST </w:t>
            </w:r>
            <w:r w:rsidRPr="00E15B17">
              <w:rPr>
                <w:i/>
                <w:vertAlign w:val="subscript"/>
              </w:rPr>
              <w:t>q, r</w:t>
            </w:r>
          </w:p>
        </w:tc>
        <w:tc>
          <w:tcPr>
            <w:tcW w:w="776" w:type="dxa"/>
          </w:tcPr>
          <w:p w14:paraId="34D46493" w14:textId="77777777" w:rsidR="001F04FD" w:rsidRDefault="001F04FD" w:rsidP="00AC4DEE">
            <w:pPr>
              <w:pStyle w:val="TableBody"/>
            </w:pPr>
            <w:r>
              <w:t>$</w:t>
            </w:r>
          </w:p>
        </w:tc>
        <w:tc>
          <w:tcPr>
            <w:tcW w:w="7038" w:type="dxa"/>
          </w:tcPr>
          <w:p w14:paraId="53232787" w14:textId="77777777" w:rsidR="001F04FD" w:rsidRDefault="001F04FD" w:rsidP="00AC4DEE">
            <w:pPr>
              <w:pStyle w:val="TableBody"/>
            </w:pPr>
            <w:r>
              <w:rPr>
                <w:i/>
              </w:rPr>
              <w:t>Reliability Must-Run Monthly actual Fuel Cost per QSE per Resource</w:t>
            </w:r>
            <w:r>
              <w:t xml:space="preserve">—The monthly actual fuel cost of RMR Unit </w:t>
            </w:r>
            <w:r>
              <w:rPr>
                <w:i/>
              </w:rPr>
              <w:t>r</w:t>
            </w:r>
            <w:r>
              <w:t xml:space="preserve"> represented by QSE </w:t>
            </w:r>
            <w:r>
              <w:rPr>
                <w:i/>
              </w:rPr>
              <w:t>q</w:t>
            </w:r>
            <w:r>
              <w:t xml:space="preserve">, for the month.  Where for a Combined Cycle Train, the Resource </w:t>
            </w:r>
            <w:r w:rsidRPr="00B34C5D">
              <w:rPr>
                <w:i/>
              </w:rPr>
              <w:t>r</w:t>
            </w:r>
            <w:r>
              <w:rPr>
                <w:i/>
              </w:rPr>
              <w:t xml:space="preserve"> </w:t>
            </w:r>
            <w:r>
              <w:t>is the Combined Cycle Train.</w:t>
            </w:r>
          </w:p>
        </w:tc>
      </w:tr>
      <w:tr w:rsidR="001F04FD" w14:paraId="5D17F386" w14:textId="77777777" w:rsidTr="00AC4DEE">
        <w:trPr>
          <w:cantSplit/>
        </w:trPr>
        <w:tc>
          <w:tcPr>
            <w:tcW w:w="1998" w:type="dxa"/>
          </w:tcPr>
          <w:p w14:paraId="35B46E90" w14:textId="77777777" w:rsidR="001F04FD" w:rsidRDefault="001F04FD" w:rsidP="00AC4DEE">
            <w:pPr>
              <w:pStyle w:val="TableBody"/>
            </w:pPr>
            <w:r>
              <w:t xml:space="preserve">RTMG </w:t>
            </w:r>
            <w:r w:rsidRPr="00E15B17">
              <w:rPr>
                <w:i/>
                <w:vertAlign w:val="subscript"/>
                <w:lang w:val="pt-BR"/>
              </w:rPr>
              <w:t xml:space="preserve">q, r, </w:t>
            </w:r>
            <w:r w:rsidRPr="00E15B17">
              <w:rPr>
                <w:i/>
                <w:vertAlign w:val="subscript"/>
              </w:rPr>
              <w:t>i</w:t>
            </w:r>
          </w:p>
        </w:tc>
        <w:tc>
          <w:tcPr>
            <w:tcW w:w="776" w:type="dxa"/>
          </w:tcPr>
          <w:p w14:paraId="660260B4" w14:textId="77777777" w:rsidR="001F04FD" w:rsidRDefault="001F04FD" w:rsidP="00AC4DEE">
            <w:pPr>
              <w:pStyle w:val="TableBody"/>
            </w:pPr>
            <w:r>
              <w:t>MWh</w:t>
            </w:r>
          </w:p>
        </w:tc>
        <w:tc>
          <w:tcPr>
            <w:tcW w:w="7038" w:type="dxa"/>
          </w:tcPr>
          <w:p w14:paraId="0444C3CB" w14:textId="77777777" w:rsidR="001F04FD" w:rsidRDefault="001F04FD" w:rsidP="00AC4DEE">
            <w:pPr>
              <w:pStyle w:val="TableBody"/>
            </w:pPr>
            <w:r>
              <w:rPr>
                <w:i/>
              </w:rPr>
              <w:t>Real-Time Metered Generation per QSE per Resource by Settlement Interval</w:t>
            </w:r>
            <w:r>
              <w:t xml:space="preserve">—The Real-Time energy from RMR Unit </w:t>
            </w:r>
            <w:r>
              <w:rPr>
                <w:i/>
              </w:rPr>
              <w:t>r</w:t>
            </w:r>
            <w:r>
              <w:t xml:space="preserve"> represented by QSE </w:t>
            </w:r>
            <w:r>
              <w:rPr>
                <w:i/>
              </w:rPr>
              <w:t>q</w:t>
            </w:r>
            <w:r>
              <w:t xml:space="preserve"> for the 15-minute Settlement Interval </w:t>
            </w:r>
            <w:r>
              <w:rPr>
                <w:i/>
              </w:rPr>
              <w:t>i</w:t>
            </w:r>
            <w:r>
              <w:t xml:space="preserve">.  Where for a Combined Cycle Train, the Resource </w:t>
            </w:r>
            <w:r w:rsidRPr="00B34C5D">
              <w:rPr>
                <w:i/>
              </w:rPr>
              <w:t>r</w:t>
            </w:r>
            <w:r>
              <w:rPr>
                <w:i/>
              </w:rPr>
              <w:t xml:space="preserve"> </w:t>
            </w:r>
            <w:r>
              <w:t>is the Combined Cycle Train.</w:t>
            </w:r>
          </w:p>
        </w:tc>
      </w:tr>
      <w:tr w:rsidR="001F04FD" w14:paraId="11F9D8E6"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7AE63F08" w14:textId="77777777" w:rsidR="001F04FD" w:rsidRDefault="001F04FD" w:rsidP="00AC4DEE">
            <w:pPr>
              <w:pStyle w:val="TableBody"/>
              <w:rPr>
                <w:lang w:val="de-DE"/>
              </w:rPr>
            </w:pPr>
            <w:r>
              <w:rPr>
                <w:lang w:val="de-DE"/>
              </w:rPr>
              <w:t xml:space="preserve">RMREAMT </w:t>
            </w:r>
            <w:r w:rsidRPr="00E15B17">
              <w:rPr>
                <w:i/>
                <w:vertAlign w:val="subscript"/>
                <w:lang w:val="de-DE"/>
              </w:rPr>
              <w:t>q, r, f, h</w:t>
            </w:r>
          </w:p>
        </w:tc>
        <w:tc>
          <w:tcPr>
            <w:tcW w:w="776" w:type="dxa"/>
            <w:tcBorders>
              <w:top w:val="single" w:sz="4" w:space="0" w:color="auto"/>
              <w:left w:val="single" w:sz="4" w:space="0" w:color="auto"/>
              <w:bottom w:val="single" w:sz="4" w:space="0" w:color="auto"/>
              <w:right w:val="single" w:sz="4" w:space="0" w:color="auto"/>
            </w:tcBorders>
          </w:tcPr>
          <w:p w14:paraId="6E0D1090" w14:textId="77777777" w:rsidR="001F04FD" w:rsidRDefault="001F04FD" w:rsidP="00AC4DEE">
            <w:pPr>
              <w:pStyle w:val="TableBody"/>
            </w:pPr>
            <w:r>
              <w:t>$</w:t>
            </w:r>
          </w:p>
        </w:tc>
        <w:tc>
          <w:tcPr>
            <w:tcW w:w="7038" w:type="dxa"/>
            <w:tcBorders>
              <w:top w:val="single" w:sz="4" w:space="0" w:color="auto"/>
              <w:left w:val="single" w:sz="4" w:space="0" w:color="auto"/>
              <w:bottom w:val="single" w:sz="4" w:space="0" w:color="auto"/>
              <w:right w:val="single" w:sz="4" w:space="0" w:color="auto"/>
            </w:tcBorders>
          </w:tcPr>
          <w:p w14:paraId="06414B7E" w14:textId="77777777" w:rsidR="001F04FD" w:rsidRDefault="001F04FD" w:rsidP="00AC4DEE">
            <w:pPr>
              <w:pStyle w:val="TableBody"/>
            </w:pPr>
            <w:r>
              <w:rPr>
                <w:i/>
              </w:rPr>
              <w:t>Reliability Must-Run Energy Amount per QSE per Resource by hour</w:t>
            </w:r>
            <w:r>
              <w:t xml:space="preserve">—The energy payment to QSE </w:t>
            </w:r>
            <w:r w:rsidRPr="009115FC">
              <w:rPr>
                <w:i/>
              </w:rPr>
              <w:t>q</w:t>
            </w:r>
            <w:r>
              <w:t xml:space="preserve"> for RMR Unit </w:t>
            </w:r>
            <w:r w:rsidRPr="009115FC">
              <w:rPr>
                <w:i/>
              </w:rPr>
              <w:t>r</w:t>
            </w:r>
            <w:r>
              <w:t xml:space="preserve">, for the hour </w:t>
            </w:r>
            <w:r w:rsidRPr="009115FC">
              <w:rPr>
                <w:i/>
              </w:rPr>
              <w:t>h</w:t>
            </w:r>
            <w:r>
              <w:rPr>
                <w:i/>
              </w:rPr>
              <w:t>,</w:t>
            </w:r>
            <w:r>
              <w:t xml:space="preserve"> from the former Settlement Statement </w:t>
            </w:r>
            <w:r w:rsidRPr="009115FC">
              <w:rPr>
                <w:i/>
              </w:rPr>
              <w:t>f</w:t>
            </w:r>
            <w:r>
              <w:t xml:space="preserve">.  Where for a Combined Cycle Train, the Resource </w:t>
            </w:r>
            <w:r w:rsidRPr="00B34C5D">
              <w:rPr>
                <w:i/>
              </w:rPr>
              <w:t>r</w:t>
            </w:r>
            <w:r>
              <w:rPr>
                <w:i/>
              </w:rPr>
              <w:t xml:space="preserve"> </w:t>
            </w:r>
            <w:r>
              <w:t>is the Combined Cycle Train.</w:t>
            </w:r>
          </w:p>
        </w:tc>
      </w:tr>
      <w:tr w:rsidR="001F04FD" w14:paraId="14A47FD4" w14:textId="77777777" w:rsidTr="00AC4DEE">
        <w:trPr>
          <w:cantSplit/>
        </w:trPr>
        <w:tc>
          <w:tcPr>
            <w:tcW w:w="1998" w:type="dxa"/>
          </w:tcPr>
          <w:p w14:paraId="3902A4E8" w14:textId="77777777" w:rsidR="001F04FD" w:rsidRPr="00696B95" w:rsidRDefault="001F04FD" w:rsidP="00AC4DEE">
            <w:pPr>
              <w:pStyle w:val="TableBody"/>
              <w:rPr>
                <w:i/>
              </w:rPr>
            </w:pPr>
            <w:r w:rsidRPr="00D661BC">
              <w:rPr>
                <w:i/>
              </w:rPr>
              <w:t>q</w:t>
            </w:r>
          </w:p>
        </w:tc>
        <w:tc>
          <w:tcPr>
            <w:tcW w:w="776" w:type="dxa"/>
          </w:tcPr>
          <w:p w14:paraId="357D1859" w14:textId="77777777" w:rsidR="001F04FD" w:rsidRDefault="001F04FD" w:rsidP="00AC4DEE">
            <w:pPr>
              <w:pStyle w:val="TableBody"/>
            </w:pPr>
            <w:r>
              <w:t>none</w:t>
            </w:r>
          </w:p>
        </w:tc>
        <w:tc>
          <w:tcPr>
            <w:tcW w:w="7038" w:type="dxa"/>
          </w:tcPr>
          <w:p w14:paraId="1B1BCD6D" w14:textId="77777777" w:rsidR="001F04FD" w:rsidRDefault="001F04FD" w:rsidP="00AC4DEE">
            <w:pPr>
              <w:pStyle w:val="TableBody"/>
            </w:pPr>
            <w:r>
              <w:t>A QSE.</w:t>
            </w:r>
          </w:p>
        </w:tc>
      </w:tr>
      <w:tr w:rsidR="001F04FD" w14:paraId="77FEE849" w14:textId="77777777" w:rsidTr="00AC4DEE">
        <w:trPr>
          <w:cantSplit/>
        </w:trPr>
        <w:tc>
          <w:tcPr>
            <w:tcW w:w="1998" w:type="dxa"/>
          </w:tcPr>
          <w:p w14:paraId="05C8A875" w14:textId="77777777" w:rsidR="001F04FD" w:rsidRPr="00696B95" w:rsidRDefault="001F04FD" w:rsidP="00AC4DEE">
            <w:pPr>
              <w:pStyle w:val="TableBody"/>
              <w:rPr>
                <w:i/>
              </w:rPr>
            </w:pPr>
            <w:r w:rsidRPr="00D661BC">
              <w:rPr>
                <w:i/>
              </w:rPr>
              <w:t>r</w:t>
            </w:r>
          </w:p>
        </w:tc>
        <w:tc>
          <w:tcPr>
            <w:tcW w:w="776" w:type="dxa"/>
          </w:tcPr>
          <w:p w14:paraId="7DF34C12" w14:textId="77777777" w:rsidR="001F04FD" w:rsidRDefault="001F04FD" w:rsidP="00AC4DEE">
            <w:pPr>
              <w:pStyle w:val="TableBody"/>
            </w:pPr>
            <w:r>
              <w:t>none</w:t>
            </w:r>
          </w:p>
        </w:tc>
        <w:tc>
          <w:tcPr>
            <w:tcW w:w="7038" w:type="dxa"/>
          </w:tcPr>
          <w:p w14:paraId="79BA37E3" w14:textId="77777777" w:rsidR="001F04FD" w:rsidRDefault="001F04FD" w:rsidP="00AC4DEE">
            <w:pPr>
              <w:pStyle w:val="TableBody"/>
            </w:pPr>
            <w:r>
              <w:t>An RMR Unit.</w:t>
            </w:r>
          </w:p>
        </w:tc>
      </w:tr>
      <w:tr w:rsidR="001F04FD" w14:paraId="60CD1545" w14:textId="77777777" w:rsidTr="00AC4DEE">
        <w:trPr>
          <w:cantSplit/>
        </w:trPr>
        <w:tc>
          <w:tcPr>
            <w:tcW w:w="1998" w:type="dxa"/>
          </w:tcPr>
          <w:p w14:paraId="09223D39" w14:textId="77777777" w:rsidR="001F04FD" w:rsidRPr="00696B95" w:rsidRDefault="001F04FD" w:rsidP="00AC4DEE">
            <w:pPr>
              <w:pStyle w:val="TableBody"/>
              <w:rPr>
                <w:i/>
              </w:rPr>
            </w:pPr>
            <w:r w:rsidRPr="00D661BC">
              <w:rPr>
                <w:i/>
              </w:rPr>
              <w:t>h</w:t>
            </w:r>
          </w:p>
        </w:tc>
        <w:tc>
          <w:tcPr>
            <w:tcW w:w="776" w:type="dxa"/>
          </w:tcPr>
          <w:p w14:paraId="01935B33" w14:textId="77777777" w:rsidR="001F04FD" w:rsidRDefault="001F04FD" w:rsidP="00AC4DEE">
            <w:pPr>
              <w:pStyle w:val="TableBody"/>
            </w:pPr>
            <w:r>
              <w:t>none</w:t>
            </w:r>
          </w:p>
        </w:tc>
        <w:tc>
          <w:tcPr>
            <w:tcW w:w="7038" w:type="dxa"/>
          </w:tcPr>
          <w:p w14:paraId="0D1E5C71" w14:textId="77777777" w:rsidR="001F04FD" w:rsidRDefault="001F04FD" w:rsidP="00AC4DEE">
            <w:pPr>
              <w:pStyle w:val="TableBody"/>
              <w:rPr>
                <w:i/>
              </w:rPr>
            </w:pPr>
            <w:r>
              <w:t>An hour in the month.</w:t>
            </w:r>
          </w:p>
        </w:tc>
      </w:tr>
      <w:tr w:rsidR="001F04FD" w14:paraId="3CA01561" w14:textId="77777777" w:rsidTr="00AC4DEE">
        <w:trPr>
          <w:cantSplit/>
        </w:trPr>
        <w:tc>
          <w:tcPr>
            <w:tcW w:w="1998" w:type="dxa"/>
          </w:tcPr>
          <w:p w14:paraId="36B5E294" w14:textId="77777777" w:rsidR="001F04FD" w:rsidRPr="00696B95" w:rsidRDefault="001F04FD" w:rsidP="00AC4DEE">
            <w:pPr>
              <w:pStyle w:val="TableBody"/>
              <w:rPr>
                <w:i/>
              </w:rPr>
            </w:pPr>
            <w:r w:rsidRPr="00D661BC">
              <w:rPr>
                <w:i/>
              </w:rPr>
              <w:t>i</w:t>
            </w:r>
          </w:p>
        </w:tc>
        <w:tc>
          <w:tcPr>
            <w:tcW w:w="776" w:type="dxa"/>
          </w:tcPr>
          <w:p w14:paraId="7AC21623" w14:textId="77777777" w:rsidR="001F04FD" w:rsidRDefault="001F04FD" w:rsidP="00AC4DEE">
            <w:pPr>
              <w:pStyle w:val="TableBody"/>
            </w:pPr>
            <w:r>
              <w:t>none</w:t>
            </w:r>
          </w:p>
        </w:tc>
        <w:tc>
          <w:tcPr>
            <w:tcW w:w="7038" w:type="dxa"/>
          </w:tcPr>
          <w:p w14:paraId="02D83CC5" w14:textId="77777777" w:rsidR="001F04FD" w:rsidRDefault="001F04FD" w:rsidP="00AC4DEE">
            <w:pPr>
              <w:pStyle w:val="TableBody"/>
              <w:rPr>
                <w:i/>
              </w:rPr>
            </w:pPr>
            <w:r>
              <w:t>A 15-minute Settlement Interval in the month.</w:t>
            </w:r>
          </w:p>
        </w:tc>
      </w:tr>
      <w:tr w:rsidR="001F04FD" w14:paraId="13483CA2"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6460EC7A" w14:textId="77777777" w:rsidR="001F04FD" w:rsidRPr="00696B95" w:rsidRDefault="001F04FD" w:rsidP="00AC4DEE">
            <w:pPr>
              <w:pStyle w:val="TableBody"/>
              <w:rPr>
                <w:i/>
              </w:rPr>
            </w:pPr>
            <w:r w:rsidRPr="00D661BC">
              <w:rPr>
                <w:i/>
              </w:rPr>
              <w:t>f</w:t>
            </w:r>
          </w:p>
        </w:tc>
        <w:tc>
          <w:tcPr>
            <w:tcW w:w="776" w:type="dxa"/>
            <w:tcBorders>
              <w:top w:val="single" w:sz="4" w:space="0" w:color="auto"/>
              <w:left w:val="single" w:sz="4" w:space="0" w:color="auto"/>
              <w:bottom w:val="single" w:sz="4" w:space="0" w:color="auto"/>
              <w:right w:val="single" w:sz="4" w:space="0" w:color="auto"/>
            </w:tcBorders>
          </w:tcPr>
          <w:p w14:paraId="755CE4AD" w14:textId="77777777" w:rsidR="001F04FD" w:rsidRDefault="001F04FD" w:rsidP="00AC4DEE">
            <w:pPr>
              <w:pStyle w:val="TableBody"/>
            </w:pPr>
            <w:r>
              <w:t>none</w:t>
            </w:r>
          </w:p>
        </w:tc>
        <w:tc>
          <w:tcPr>
            <w:tcW w:w="7038" w:type="dxa"/>
            <w:tcBorders>
              <w:top w:val="single" w:sz="4" w:space="0" w:color="auto"/>
              <w:left w:val="single" w:sz="4" w:space="0" w:color="auto"/>
              <w:bottom w:val="single" w:sz="4" w:space="0" w:color="auto"/>
              <w:right w:val="single" w:sz="4" w:space="0" w:color="auto"/>
            </w:tcBorders>
          </w:tcPr>
          <w:p w14:paraId="07BDB152" w14:textId="77777777" w:rsidR="001F04FD" w:rsidRDefault="001F04FD" w:rsidP="00AC4DEE">
            <w:pPr>
              <w:pStyle w:val="TableBody"/>
            </w:pPr>
            <w:r>
              <w:t>Amount from former settlement run.</w:t>
            </w:r>
          </w:p>
        </w:tc>
      </w:tr>
    </w:tbl>
    <w:p w14:paraId="554ABBE9" w14:textId="77777777" w:rsidR="001F04FD" w:rsidRDefault="001F04FD" w:rsidP="001F04FD"/>
    <w:p w14:paraId="2F17C82A" w14:textId="77777777" w:rsidR="001F04FD" w:rsidRDefault="001F04FD" w:rsidP="001F04FD">
      <w:pPr>
        <w:pStyle w:val="BodyTextNumbered"/>
      </w:pPr>
      <w:bookmarkStart w:id="2331" w:name="_Toc87951800"/>
      <w:bookmarkStart w:id="2332" w:name="_Toc109009410"/>
      <w:r>
        <w:t>(3)</w:t>
      </w:r>
      <w:r>
        <w:tab/>
        <w:t>The total of the payments for energy to each QSE for all RMR Units represented by this QSE for a given hour is calculated as follows:</w:t>
      </w:r>
    </w:p>
    <w:p w14:paraId="3E66CA06" w14:textId="77777777" w:rsidR="001F04FD" w:rsidRDefault="001F04FD" w:rsidP="001F04FD">
      <w:pPr>
        <w:pStyle w:val="FormulaBold"/>
      </w:pPr>
      <w:r>
        <w:t xml:space="preserve">RMREAMTQSETOT </w:t>
      </w:r>
      <w:r>
        <w:rPr>
          <w:i/>
          <w:vertAlign w:val="subscript"/>
        </w:rPr>
        <w:t>q</w:t>
      </w:r>
      <w:r>
        <w:tab/>
        <w:t>=</w:t>
      </w:r>
      <w:r>
        <w:tab/>
      </w:r>
      <w:r w:rsidRPr="006F784F">
        <w:rPr>
          <w:position w:val="-18"/>
        </w:rPr>
        <w:object w:dxaOrig="225" w:dyaOrig="420" w14:anchorId="20E6CE1F">
          <v:shape id="_x0000_i1206" type="#_x0000_t75" style="width:12pt;height:24pt" o:ole="">
            <v:imagedata r:id="rId246" o:title=""/>
          </v:shape>
          <o:OLEObject Type="Embed" ProgID="Equation.3" ShapeID="_x0000_i1206" DrawAspect="Content" ObjectID="_1815025396" r:id="rId247"/>
        </w:object>
      </w:r>
      <w:r>
        <w:t xml:space="preserve">RMREAMT </w:t>
      </w:r>
      <w:r>
        <w:rPr>
          <w:i/>
          <w:vertAlign w:val="subscript"/>
        </w:rPr>
        <w:t>q, r</w:t>
      </w:r>
    </w:p>
    <w:p w14:paraId="08612F0F" w14:textId="77777777" w:rsidR="001F04FD" w:rsidRDefault="001F04FD" w:rsidP="001F04FD">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1F04FD" w14:paraId="48C379FC" w14:textId="77777777" w:rsidTr="00AC4DEE">
        <w:tc>
          <w:tcPr>
            <w:tcW w:w="2165" w:type="dxa"/>
          </w:tcPr>
          <w:p w14:paraId="135714FD" w14:textId="77777777" w:rsidR="001F04FD" w:rsidRDefault="001F04FD" w:rsidP="00AC4DEE">
            <w:pPr>
              <w:pStyle w:val="TableHead"/>
            </w:pPr>
            <w:r>
              <w:t>Variable</w:t>
            </w:r>
          </w:p>
        </w:tc>
        <w:tc>
          <w:tcPr>
            <w:tcW w:w="832" w:type="dxa"/>
          </w:tcPr>
          <w:p w14:paraId="0ECCECC7" w14:textId="77777777" w:rsidR="001F04FD" w:rsidRDefault="001F04FD" w:rsidP="00AC4DEE">
            <w:pPr>
              <w:pStyle w:val="TableHead"/>
            </w:pPr>
            <w:r>
              <w:t>Unit</w:t>
            </w:r>
          </w:p>
        </w:tc>
        <w:tc>
          <w:tcPr>
            <w:tcW w:w="6074" w:type="dxa"/>
          </w:tcPr>
          <w:p w14:paraId="66A450FA" w14:textId="77777777" w:rsidR="001F04FD" w:rsidRDefault="001F04FD" w:rsidP="00AC4DEE">
            <w:pPr>
              <w:pStyle w:val="TableHead"/>
            </w:pPr>
            <w:r>
              <w:t>Definition</w:t>
            </w:r>
          </w:p>
        </w:tc>
      </w:tr>
      <w:tr w:rsidR="001F04FD" w14:paraId="25B69265" w14:textId="77777777" w:rsidTr="00AC4DEE">
        <w:tc>
          <w:tcPr>
            <w:tcW w:w="2165" w:type="dxa"/>
          </w:tcPr>
          <w:p w14:paraId="0E2B995C" w14:textId="77777777" w:rsidR="001F04FD" w:rsidRDefault="001F04FD" w:rsidP="00AC4DEE">
            <w:pPr>
              <w:pStyle w:val="TableBody"/>
            </w:pPr>
            <w:r>
              <w:t xml:space="preserve">RMREAMTQSETOT </w:t>
            </w:r>
            <w:r w:rsidRPr="00E15B17">
              <w:rPr>
                <w:i/>
                <w:vertAlign w:val="subscript"/>
              </w:rPr>
              <w:t>q</w:t>
            </w:r>
          </w:p>
        </w:tc>
        <w:tc>
          <w:tcPr>
            <w:tcW w:w="832" w:type="dxa"/>
          </w:tcPr>
          <w:p w14:paraId="39A7059C" w14:textId="77777777" w:rsidR="001F04FD" w:rsidRDefault="001F04FD" w:rsidP="00AC4DEE">
            <w:pPr>
              <w:pStyle w:val="TableBody"/>
            </w:pPr>
            <w:r>
              <w:t>$</w:t>
            </w:r>
          </w:p>
        </w:tc>
        <w:tc>
          <w:tcPr>
            <w:tcW w:w="6074" w:type="dxa"/>
          </w:tcPr>
          <w:p w14:paraId="578F0B6F" w14:textId="77777777" w:rsidR="001F04FD" w:rsidRDefault="001F04FD" w:rsidP="00AC4DEE">
            <w:pPr>
              <w:pStyle w:val="TableBody"/>
            </w:pPr>
            <w:r>
              <w:rPr>
                <w:i/>
              </w:rPr>
              <w:t>Reliability Must-Run Energy Amount QSE Total per QSE</w:t>
            </w:r>
            <w:r>
              <w:sym w:font="Symbol" w:char="F0BE"/>
            </w:r>
            <w:r>
              <w:t xml:space="preserve">The total of the energy payments to QSE </w:t>
            </w:r>
            <w:r>
              <w:rPr>
                <w:i/>
              </w:rPr>
              <w:t>q</w:t>
            </w:r>
            <w:r>
              <w:t xml:space="preserve"> for all RMR Units represented by this QSE for the hour.</w:t>
            </w:r>
          </w:p>
        </w:tc>
      </w:tr>
      <w:tr w:rsidR="001F04FD" w14:paraId="46E18E60" w14:textId="77777777" w:rsidTr="00AC4DEE">
        <w:tc>
          <w:tcPr>
            <w:tcW w:w="2165" w:type="dxa"/>
          </w:tcPr>
          <w:p w14:paraId="681AE3D6" w14:textId="77777777" w:rsidR="001F04FD" w:rsidRDefault="001F04FD" w:rsidP="00AC4DEE">
            <w:pPr>
              <w:pStyle w:val="TableBody"/>
            </w:pPr>
            <w:r>
              <w:t xml:space="preserve">RMREAMT </w:t>
            </w:r>
            <w:r w:rsidRPr="00E15B17">
              <w:rPr>
                <w:i/>
                <w:vertAlign w:val="subscript"/>
              </w:rPr>
              <w:t>q, r</w:t>
            </w:r>
          </w:p>
        </w:tc>
        <w:tc>
          <w:tcPr>
            <w:tcW w:w="832" w:type="dxa"/>
          </w:tcPr>
          <w:p w14:paraId="6AA37CF4" w14:textId="77777777" w:rsidR="001F04FD" w:rsidRDefault="001F04FD" w:rsidP="00AC4DEE">
            <w:pPr>
              <w:pStyle w:val="TableBody"/>
            </w:pPr>
            <w:r>
              <w:t>$</w:t>
            </w:r>
          </w:p>
        </w:tc>
        <w:tc>
          <w:tcPr>
            <w:tcW w:w="6074" w:type="dxa"/>
          </w:tcPr>
          <w:p w14:paraId="1CFD9248" w14:textId="77777777" w:rsidR="001F04FD" w:rsidRDefault="001F04FD" w:rsidP="00AC4DEE">
            <w:pPr>
              <w:pStyle w:val="TableBody"/>
            </w:pPr>
            <w:r>
              <w:rPr>
                <w:i/>
              </w:rPr>
              <w:t>Reliability Must-Run Energy Amount per QSE per Resource by hour</w:t>
            </w:r>
            <w:r>
              <w:t xml:space="preserve">—The energy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05D1EF2B" w14:textId="77777777" w:rsidTr="00AC4DEE">
        <w:tc>
          <w:tcPr>
            <w:tcW w:w="2165" w:type="dxa"/>
            <w:tcBorders>
              <w:top w:val="single" w:sz="4" w:space="0" w:color="auto"/>
              <w:left w:val="single" w:sz="4" w:space="0" w:color="auto"/>
              <w:bottom w:val="single" w:sz="4" w:space="0" w:color="auto"/>
              <w:right w:val="single" w:sz="4" w:space="0" w:color="auto"/>
            </w:tcBorders>
          </w:tcPr>
          <w:p w14:paraId="561FD7E2" w14:textId="77777777" w:rsidR="001F04FD" w:rsidRPr="00EF4122" w:rsidRDefault="001F04FD" w:rsidP="00AC4DEE">
            <w:pPr>
              <w:pStyle w:val="TableBody"/>
              <w:rPr>
                <w:i/>
              </w:rPr>
            </w:pPr>
            <w:r w:rsidRPr="00D661BC">
              <w:rPr>
                <w:i/>
              </w:rPr>
              <w:t>q</w:t>
            </w:r>
          </w:p>
        </w:tc>
        <w:tc>
          <w:tcPr>
            <w:tcW w:w="832" w:type="dxa"/>
            <w:tcBorders>
              <w:top w:val="single" w:sz="4" w:space="0" w:color="auto"/>
              <w:left w:val="single" w:sz="4" w:space="0" w:color="auto"/>
              <w:bottom w:val="single" w:sz="4" w:space="0" w:color="auto"/>
              <w:right w:val="single" w:sz="4" w:space="0" w:color="auto"/>
            </w:tcBorders>
          </w:tcPr>
          <w:p w14:paraId="1EA9DF3B"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75E5A403" w14:textId="77777777" w:rsidR="001F04FD" w:rsidRDefault="001F04FD" w:rsidP="00AC4DEE">
            <w:pPr>
              <w:pStyle w:val="TableBody"/>
            </w:pPr>
            <w:r>
              <w:t>A QSE.</w:t>
            </w:r>
          </w:p>
        </w:tc>
      </w:tr>
      <w:tr w:rsidR="001F04FD" w14:paraId="2598DB51" w14:textId="77777777" w:rsidTr="00AC4DEE">
        <w:tc>
          <w:tcPr>
            <w:tcW w:w="2165" w:type="dxa"/>
            <w:tcBorders>
              <w:top w:val="single" w:sz="4" w:space="0" w:color="auto"/>
              <w:left w:val="single" w:sz="4" w:space="0" w:color="auto"/>
              <w:bottom w:val="single" w:sz="4" w:space="0" w:color="auto"/>
              <w:right w:val="single" w:sz="4" w:space="0" w:color="auto"/>
            </w:tcBorders>
          </w:tcPr>
          <w:p w14:paraId="61D103A2" w14:textId="77777777" w:rsidR="001F04FD" w:rsidRPr="00EF4122" w:rsidRDefault="001F04FD" w:rsidP="00AC4DEE">
            <w:pPr>
              <w:pStyle w:val="TableBody"/>
              <w:rPr>
                <w:i/>
              </w:rPr>
            </w:pPr>
            <w:r w:rsidRPr="00D661BC">
              <w:rPr>
                <w:i/>
              </w:rPr>
              <w:t>r</w:t>
            </w:r>
          </w:p>
        </w:tc>
        <w:tc>
          <w:tcPr>
            <w:tcW w:w="832" w:type="dxa"/>
            <w:tcBorders>
              <w:top w:val="single" w:sz="4" w:space="0" w:color="auto"/>
              <w:left w:val="single" w:sz="4" w:space="0" w:color="auto"/>
              <w:bottom w:val="single" w:sz="4" w:space="0" w:color="auto"/>
              <w:right w:val="single" w:sz="4" w:space="0" w:color="auto"/>
            </w:tcBorders>
          </w:tcPr>
          <w:p w14:paraId="2A8554D7"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581480AA" w14:textId="77777777" w:rsidR="001F04FD" w:rsidRDefault="001F04FD" w:rsidP="00AC4DEE">
            <w:pPr>
              <w:pStyle w:val="TableBody"/>
            </w:pPr>
            <w:r>
              <w:t>An RMR Unit.</w:t>
            </w:r>
          </w:p>
        </w:tc>
      </w:tr>
    </w:tbl>
    <w:p w14:paraId="742278EE" w14:textId="77777777" w:rsidR="001F04FD" w:rsidRDefault="001F04FD" w:rsidP="001F04FD">
      <w:pPr>
        <w:pStyle w:val="H4"/>
        <w:spacing w:before="480"/>
        <w:ind w:left="1267" w:hanging="1267"/>
      </w:pPr>
      <w:bookmarkStart w:id="2333" w:name="_Toc397505029"/>
      <w:bookmarkStart w:id="2334" w:name="_Toc402357161"/>
      <w:bookmarkStart w:id="2335" w:name="_Toc422486541"/>
      <w:bookmarkStart w:id="2336" w:name="_Toc433093394"/>
      <w:bookmarkStart w:id="2337" w:name="_Toc433093552"/>
      <w:bookmarkStart w:id="2338" w:name="_Toc440874782"/>
      <w:bookmarkStart w:id="2339" w:name="_Toc448142339"/>
      <w:bookmarkStart w:id="2340" w:name="_Toc448142496"/>
      <w:bookmarkStart w:id="2341" w:name="_Toc458770337"/>
      <w:bookmarkStart w:id="2342" w:name="_Toc459294305"/>
      <w:bookmarkStart w:id="2343" w:name="_Toc463262798"/>
      <w:bookmarkStart w:id="2344" w:name="_Toc468286871"/>
      <w:bookmarkStart w:id="2345" w:name="_Toc481502911"/>
      <w:bookmarkStart w:id="2346" w:name="_Toc496080079"/>
      <w:bookmarkStart w:id="2347" w:name="_Toc204411704"/>
      <w:r>
        <w:lastRenderedPageBreak/>
        <w:t>6.6.6.3</w:t>
      </w:r>
      <w:r>
        <w:tab/>
        <w:t>RMR Adjustment Charge</w:t>
      </w:r>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p>
    <w:p w14:paraId="69863FBD" w14:textId="77777777" w:rsidR="001F04FD" w:rsidRDefault="001F04FD" w:rsidP="001F04FD">
      <w:pPr>
        <w:pStyle w:val="BodyTextNumbered"/>
      </w:pPr>
      <w:r>
        <w:t>(1)</w:t>
      </w:r>
      <w:r>
        <w:tab/>
        <w:t>Each QSE that represents an RMR Unit shall pay a charge designed to recover the net total revenues from RUC settlements, and from Real-Time settlements received by that QSE for all RMR Units that it represents, except that the charge does not include net revenues received by the QSE for the RMR Standby Payments calculated under Section 6.6.6.1, RMR Standby Payment, and the RMR energy payments calculated under Section 6.6.6.2, RMR Payment for Energy.</w:t>
      </w:r>
    </w:p>
    <w:p w14:paraId="5E482A79" w14:textId="77777777" w:rsidR="001F04FD" w:rsidRPr="000149E5" w:rsidRDefault="001F04FD" w:rsidP="001F04FD">
      <w:pPr>
        <w:pStyle w:val="BodyTextNumbered"/>
        <w:rPr>
          <w:iCs/>
        </w:rPr>
      </w:pPr>
      <w:r w:rsidRPr="000149E5">
        <w:rPr>
          <w:iCs/>
        </w:rPr>
        <w:t>(2)</w:t>
      </w:r>
      <w:r w:rsidRPr="000149E5">
        <w:rPr>
          <w:iCs/>
        </w:rPr>
        <w:tab/>
        <w:t>The charge for each QSE representing an RMR Unit for a given Operating Hour is calculated as follows:</w:t>
      </w:r>
    </w:p>
    <w:p w14:paraId="1192449E" w14:textId="77777777" w:rsidR="001F04FD" w:rsidRDefault="001F04FD" w:rsidP="001F04FD">
      <w:pPr>
        <w:pStyle w:val="FormulaBold"/>
        <w:tabs>
          <w:tab w:val="clear" w:pos="2250"/>
          <w:tab w:val="clear" w:pos="3150"/>
          <w:tab w:val="clear" w:pos="3960"/>
          <w:tab w:val="left" w:pos="2790"/>
          <w:tab w:val="left" w:pos="3240"/>
        </w:tabs>
        <w:ind w:left="3240" w:hanging="2520"/>
      </w:pPr>
      <w:r>
        <w:t xml:space="preserve">RMRAAMT </w:t>
      </w:r>
      <w:r>
        <w:rPr>
          <w:i/>
          <w:vertAlign w:val="subscript"/>
        </w:rPr>
        <w:t>q</w:t>
      </w:r>
      <w:r>
        <w:tab/>
        <w:t>=</w:t>
      </w:r>
      <w:r>
        <w:tab/>
        <w:t>(-1) * [</w:t>
      </w:r>
      <w:r w:rsidRPr="006F784F">
        <w:rPr>
          <w:position w:val="-22"/>
        </w:rPr>
        <w:object w:dxaOrig="225" w:dyaOrig="465" w14:anchorId="517E36D4">
          <v:shape id="_x0000_i1207" type="#_x0000_t75" style="width:12pt;height:24.6pt" o:ole="">
            <v:imagedata r:id="rId248" o:title=""/>
          </v:shape>
          <o:OLEObject Type="Embed" ProgID="Equation.3" ShapeID="_x0000_i1207" DrawAspect="Content" ObjectID="_1815025397" r:id="rId249"/>
        </w:object>
      </w:r>
      <w:r w:rsidRPr="006F784F">
        <w:rPr>
          <w:position w:val="-18"/>
        </w:rPr>
        <w:object w:dxaOrig="225" w:dyaOrig="420" w14:anchorId="720A4C5D">
          <v:shape id="_x0000_i1208" type="#_x0000_t75" style="width:12pt;height:24pt" o:ole="">
            <v:imagedata r:id="rId250" o:title=""/>
          </v:shape>
          <o:OLEObject Type="Embed" ProgID="Equation.3" ShapeID="_x0000_i1208" DrawAspect="Content" ObjectID="_1815025398" r:id="rId251"/>
        </w:object>
      </w:r>
      <w:r>
        <w:t xml:space="preserve">((-1) * </w:t>
      </w:r>
      <w:r w:rsidRPr="006F784F">
        <w:rPr>
          <w:position w:val="-20"/>
        </w:rPr>
        <w:object w:dxaOrig="255" w:dyaOrig="585" w14:anchorId="10207477">
          <v:shape id="_x0000_i1209" type="#_x0000_t75" style="width:12pt;height:30pt" o:ole="">
            <v:imagedata r:id="rId240" o:title=""/>
          </v:shape>
          <o:OLEObject Type="Embed" ProgID="Equation.3" ShapeID="_x0000_i1209" DrawAspect="Content" ObjectID="_1815025399" r:id="rId252"/>
        </w:object>
      </w:r>
      <w:r>
        <w:t xml:space="preserve">RESREV </w:t>
      </w:r>
      <w:r w:rsidRPr="009E6788">
        <w:rPr>
          <w:i/>
          <w:vertAlign w:val="subscript"/>
        </w:rPr>
        <w:t>q, r, gsc, p</w:t>
      </w:r>
      <w:r>
        <w:t xml:space="preserve"> + </w:t>
      </w:r>
      <w:r w:rsidRPr="006F784F">
        <w:rPr>
          <w:position w:val="-20"/>
        </w:rPr>
        <w:object w:dxaOrig="255" w:dyaOrig="585" w14:anchorId="4820A344">
          <v:shape id="_x0000_i1210" type="#_x0000_t75" style="width:12pt;height:30pt" o:ole="">
            <v:imagedata r:id="rId240" o:title=""/>
          </v:shape>
          <o:OLEObject Type="Embed" ProgID="Equation.3" ShapeID="_x0000_i1210" DrawAspect="Content" ObjectID="_1815025400" r:id="rId253"/>
        </w:object>
      </w:r>
      <w:r>
        <w:t xml:space="preserve">EMREAMT </w:t>
      </w:r>
      <w:r>
        <w:rPr>
          <w:i/>
          <w:vertAlign w:val="subscript"/>
        </w:rPr>
        <w:t>q, r, p, i</w:t>
      </w:r>
      <w:r>
        <w:t xml:space="preserve"> + RUCMWAMT </w:t>
      </w:r>
      <w:r>
        <w:rPr>
          <w:i/>
          <w:vertAlign w:val="subscript"/>
        </w:rPr>
        <w:t>q, r, p</w:t>
      </w:r>
      <w:r>
        <w:t xml:space="preserve"> + RUCCBAMT </w:t>
      </w:r>
      <w:r>
        <w:rPr>
          <w:i/>
          <w:vertAlign w:val="subscript"/>
        </w:rPr>
        <w:t>q, r, p</w:t>
      </w:r>
      <w:r>
        <w:t xml:space="preserve"> + RUCDCAMT </w:t>
      </w:r>
      <w:r>
        <w:rPr>
          <w:i/>
          <w:vertAlign w:val="subscript"/>
        </w:rPr>
        <w:t>q, r, p</w:t>
      </w:r>
      <w:r>
        <w:t xml:space="preserve"> + </w:t>
      </w:r>
      <w:r w:rsidRPr="006F784F">
        <w:rPr>
          <w:position w:val="-20"/>
        </w:rPr>
        <w:object w:dxaOrig="255" w:dyaOrig="585" w14:anchorId="27243DB9">
          <v:shape id="_x0000_i1211" type="#_x0000_t75" style="width:12pt;height:30pt" o:ole="">
            <v:imagedata r:id="rId240" o:title=""/>
          </v:shape>
          <o:OLEObject Type="Embed" ProgID="Equation.3" ShapeID="_x0000_i1211" DrawAspect="Content" ObjectID="_1815025401" r:id="rId254"/>
        </w:object>
      </w:r>
      <w:r>
        <w:t xml:space="preserve">VSSEAMT </w:t>
      </w:r>
      <w:r>
        <w:rPr>
          <w:i/>
          <w:vertAlign w:val="subscript"/>
        </w:rPr>
        <w:t>q, r, p, i</w:t>
      </w:r>
      <w:r>
        <w:t xml:space="preserve"> + </w:t>
      </w:r>
      <w:r w:rsidRPr="006F784F">
        <w:rPr>
          <w:position w:val="-20"/>
        </w:rPr>
        <w:object w:dxaOrig="255" w:dyaOrig="585" w14:anchorId="3460A9C4">
          <v:shape id="_x0000_i1212" type="#_x0000_t75" style="width:12pt;height:30pt" o:ole="">
            <v:imagedata r:id="rId240" o:title=""/>
          </v:shape>
          <o:OLEObject Type="Embed" ProgID="Equation.3" ShapeID="_x0000_i1212" DrawAspect="Content" ObjectID="_1815025402" r:id="rId255"/>
        </w:object>
      </w:r>
      <w:r>
        <w:t xml:space="preserve">VSSVARAMT </w:t>
      </w:r>
      <w:r>
        <w:rPr>
          <w:i/>
          <w:vertAlign w:val="subscript"/>
        </w:rPr>
        <w:t>q, r, i</w:t>
      </w:r>
      <w:r>
        <w:rPr>
          <w:rFonts w:ascii="Times New Roman Bold" w:hAnsi="Times New Roman Bold"/>
        </w:rPr>
        <w:t>)]</w:t>
      </w:r>
    </w:p>
    <w:p w14:paraId="335F2103" w14:textId="77777777" w:rsidR="001F04FD" w:rsidRDefault="001F04FD" w:rsidP="001F04FD">
      <w:r>
        <w:t>The above variables are defined as follows:</w:t>
      </w:r>
    </w:p>
    <w:tbl>
      <w:tblPr>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840"/>
        <w:gridCol w:w="6399"/>
      </w:tblGrid>
      <w:tr w:rsidR="001F04FD" w14:paraId="1022C35A" w14:textId="77777777" w:rsidTr="00AC4DEE">
        <w:trPr>
          <w:cantSplit/>
          <w:tblHeader/>
        </w:trPr>
        <w:tc>
          <w:tcPr>
            <w:tcW w:w="1207" w:type="pct"/>
          </w:tcPr>
          <w:p w14:paraId="63825218" w14:textId="77777777" w:rsidR="001F04FD" w:rsidRDefault="001F04FD" w:rsidP="00AC4DEE">
            <w:pPr>
              <w:pStyle w:val="TableHead"/>
            </w:pPr>
            <w:r>
              <w:t>Variable</w:t>
            </w:r>
          </w:p>
        </w:tc>
        <w:tc>
          <w:tcPr>
            <w:tcW w:w="440" w:type="pct"/>
          </w:tcPr>
          <w:p w14:paraId="1994530A" w14:textId="77777777" w:rsidR="001F04FD" w:rsidRDefault="001F04FD" w:rsidP="00AC4DEE">
            <w:pPr>
              <w:pStyle w:val="TableHead"/>
            </w:pPr>
            <w:r>
              <w:t>Unit</w:t>
            </w:r>
          </w:p>
        </w:tc>
        <w:tc>
          <w:tcPr>
            <w:tcW w:w="3353" w:type="pct"/>
          </w:tcPr>
          <w:p w14:paraId="6A4264D2" w14:textId="77777777" w:rsidR="001F04FD" w:rsidRDefault="001F04FD" w:rsidP="00AC4DEE">
            <w:pPr>
              <w:pStyle w:val="TableHead"/>
            </w:pPr>
            <w:r>
              <w:t>Definition</w:t>
            </w:r>
          </w:p>
        </w:tc>
      </w:tr>
      <w:tr w:rsidR="001F04FD" w14:paraId="431D508C" w14:textId="77777777" w:rsidTr="00AC4DEE">
        <w:trPr>
          <w:cantSplit/>
        </w:trPr>
        <w:tc>
          <w:tcPr>
            <w:tcW w:w="1207" w:type="pct"/>
          </w:tcPr>
          <w:p w14:paraId="20AD1F3A" w14:textId="77777777" w:rsidR="001F04FD" w:rsidRDefault="001F04FD" w:rsidP="00AC4DEE">
            <w:pPr>
              <w:pStyle w:val="TableBody"/>
            </w:pPr>
            <w:r>
              <w:t xml:space="preserve">RMRAAMT </w:t>
            </w:r>
            <w:r w:rsidRPr="00E15B17">
              <w:rPr>
                <w:i/>
                <w:vertAlign w:val="subscript"/>
              </w:rPr>
              <w:t>q</w:t>
            </w:r>
          </w:p>
        </w:tc>
        <w:tc>
          <w:tcPr>
            <w:tcW w:w="440" w:type="pct"/>
          </w:tcPr>
          <w:p w14:paraId="2C93AB25" w14:textId="77777777" w:rsidR="001F04FD" w:rsidRDefault="001F04FD" w:rsidP="00AC4DEE">
            <w:pPr>
              <w:pStyle w:val="TableBody"/>
            </w:pPr>
            <w:r>
              <w:t>$</w:t>
            </w:r>
          </w:p>
        </w:tc>
        <w:tc>
          <w:tcPr>
            <w:tcW w:w="3353" w:type="pct"/>
          </w:tcPr>
          <w:p w14:paraId="38197153" w14:textId="77777777" w:rsidR="001F04FD" w:rsidRDefault="001F04FD" w:rsidP="00AC4DEE">
            <w:pPr>
              <w:pStyle w:val="TableBody"/>
              <w:rPr>
                <w:i/>
              </w:rPr>
            </w:pPr>
            <w:r>
              <w:rPr>
                <w:i/>
              </w:rPr>
              <w:t>RMR Adjustment Charge per QSE</w:t>
            </w:r>
            <w:r>
              <w:t xml:space="preserve">—The adjustment from QSE </w:t>
            </w:r>
            <w:r>
              <w:rPr>
                <w:i/>
              </w:rPr>
              <w:t>q</w:t>
            </w:r>
            <w:r>
              <w:t xml:space="preserve"> Standby Payments and energy payments for all RMR Units represented by this QSE, for the revenues received for the same RMR Units from RUC and Real-Time operations, for the hour.</w:t>
            </w:r>
          </w:p>
        </w:tc>
      </w:tr>
      <w:tr w:rsidR="001F04FD" w14:paraId="2E002C56" w14:textId="77777777" w:rsidTr="00AC4DEE">
        <w:trPr>
          <w:cantSplit/>
        </w:trPr>
        <w:tc>
          <w:tcPr>
            <w:tcW w:w="1207" w:type="pct"/>
          </w:tcPr>
          <w:p w14:paraId="56A7EB11" w14:textId="77777777" w:rsidR="001F04FD" w:rsidRDefault="001F04FD" w:rsidP="00AC4DEE">
            <w:pPr>
              <w:pStyle w:val="TableBody"/>
              <w:rPr>
                <w:lang w:val="pt-BR"/>
              </w:rPr>
            </w:pPr>
            <w:r>
              <w:rPr>
                <w:lang w:val="pt-BR"/>
              </w:rPr>
              <w:t xml:space="preserve">EMREAMT </w:t>
            </w:r>
            <w:r w:rsidRPr="00E15B17">
              <w:rPr>
                <w:i/>
                <w:vertAlign w:val="subscript"/>
                <w:lang w:val="pt-BR"/>
              </w:rPr>
              <w:t>q, r, p, i</w:t>
            </w:r>
          </w:p>
        </w:tc>
        <w:tc>
          <w:tcPr>
            <w:tcW w:w="440" w:type="pct"/>
          </w:tcPr>
          <w:p w14:paraId="02F1CDB6" w14:textId="77777777" w:rsidR="001F04FD" w:rsidRDefault="001F04FD" w:rsidP="00AC4DEE">
            <w:pPr>
              <w:pStyle w:val="TableBody"/>
            </w:pPr>
            <w:r>
              <w:t>$</w:t>
            </w:r>
          </w:p>
        </w:tc>
        <w:tc>
          <w:tcPr>
            <w:tcW w:w="3353" w:type="pct"/>
          </w:tcPr>
          <w:p w14:paraId="1CCCAB95" w14:textId="77777777" w:rsidR="00537026" w:rsidRDefault="001F04FD" w:rsidP="00AC4DEE">
            <w:pPr>
              <w:pStyle w:val="TableBody"/>
              <w:rPr>
                <w:i/>
              </w:rPr>
            </w:pPr>
            <w:r>
              <w:rPr>
                <w:i/>
              </w:rPr>
              <w:t>Emergency Energy Amount per QSE per Settlement Point per unit per interval</w:t>
            </w:r>
            <w:r>
              <w:t xml:space="preserve">—The payment to QSE </w:t>
            </w:r>
            <w:r w:rsidRPr="00D661BC">
              <w:rPr>
                <w:i/>
              </w:rPr>
              <w:t>q</w:t>
            </w:r>
            <w:r>
              <w:t xml:space="preserve"> for the additional energy produced by RMR Unit </w:t>
            </w:r>
            <w:r w:rsidRPr="00D661BC">
              <w:rPr>
                <w:i/>
              </w:rPr>
              <w:t>r</w:t>
            </w:r>
            <w:r>
              <w:t xml:space="preserve"> at Resource Node </w:t>
            </w:r>
            <w:r w:rsidRPr="00D661BC">
              <w:rPr>
                <w:i/>
              </w:rPr>
              <w:t>p</w:t>
            </w:r>
            <w:r>
              <w:t xml:space="preserve"> in Real-Time during the Emergency Condition, for the 15-minute Settlement Interval </w:t>
            </w:r>
            <w:r>
              <w:rPr>
                <w:i/>
              </w:rPr>
              <w:t>i</w:t>
            </w:r>
            <w:r>
              <w:t>.  Payment for emergency energy is made to the Combined Cycle Train.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173"/>
            </w:tblGrid>
            <w:tr w:rsidR="00537026" w14:paraId="40895BDB" w14:textId="77777777" w:rsidTr="00BE571E">
              <w:trPr>
                <w:trHeight w:val="206"/>
              </w:trPr>
              <w:tc>
                <w:tcPr>
                  <w:tcW w:w="9350" w:type="dxa"/>
                  <w:shd w:val="pct12" w:color="auto" w:fill="auto"/>
                </w:tcPr>
                <w:p w14:paraId="72DF2926" w14:textId="5CA30C2A" w:rsidR="00537026" w:rsidRDefault="00537026" w:rsidP="00537026">
                  <w:pPr>
                    <w:pStyle w:val="Instructions"/>
                    <w:spacing w:before="120"/>
                  </w:pPr>
                  <w:r>
                    <w:t>[NPRR1010</w:t>
                  </w:r>
                  <w:r w:rsidR="001754D0">
                    <w:t xml:space="preserve"> and NPRR1014</w:t>
                  </w:r>
                  <w:r>
                    <w:t xml:space="preserve">:  Replace </w:t>
                  </w:r>
                  <w:r w:rsidR="001754D0">
                    <w:t xml:space="preserve">applicable portions of the </w:t>
                  </w:r>
                  <w:r>
                    <w:t>definition above with the following upon system implementation of the Real-Time Co-Optimization (RTC) project</w:t>
                  </w:r>
                  <w:r w:rsidR="001754D0">
                    <w:t xml:space="preserve"> for NPRR1010; or upon system implementation for NPRR1014</w:t>
                  </w:r>
                  <w:r>
                    <w:t>:]</w:t>
                  </w:r>
                </w:p>
                <w:p w14:paraId="763A9595" w14:textId="36E189AB" w:rsidR="00537026" w:rsidRPr="00537026" w:rsidRDefault="001754D0" w:rsidP="00537026">
                  <w:pPr>
                    <w:pStyle w:val="TableBody"/>
                  </w:pPr>
                  <w:r w:rsidRPr="00A552C3">
                    <w:rPr>
                      <w:i/>
                      <w:iCs w:val="0"/>
                    </w:rPr>
                    <w:t>Emergency Energy Amount per QSE per Settlement Point per unit per interval</w:t>
                  </w:r>
                  <w:r w:rsidRPr="00A552C3">
                    <w:rPr>
                      <w:iCs w:val="0"/>
                    </w:rPr>
                    <w:t xml:space="preserve">—The payment to QSE </w:t>
                  </w:r>
                  <w:r w:rsidRPr="00A552C3">
                    <w:rPr>
                      <w:i/>
                      <w:iCs w:val="0"/>
                    </w:rPr>
                    <w:t>q</w:t>
                  </w:r>
                  <w:r w:rsidRPr="00A552C3">
                    <w:rPr>
                      <w:iCs w:val="0"/>
                    </w:rPr>
                    <w:t xml:space="preserve"> as additional compensation for the additional energy or Ancillary Services produced or consumed by Resource </w:t>
                  </w:r>
                  <w:r w:rsidRPr="00A552C3">
                    <w:rPr>
                      <w:i/>
                      <w:iCs w:val="0"/>
                    </w:rPr>
                    <w:t>r</w:t>
                  </w:r>
                  <w:r w:rsidRPr="00A552C3">
                    <w:rPr>
                      <w:iCs w:val="0"/>
                    </w:rPr>
                    <w:t xml:space="preserve"> at Resource Node </w:t>
                  </w:r>
                  <w:r w:rsidRPr="00A552C3">
                    <w:rPr>
                      <w:i/>
                      <w:iCs w:val="0"/>
                    </w:rPr>
                    <w:t>p</w:t>
                  </w:r>
                  <w:r w:rsidRPr="00A552C3">
                    <w:rPr>
                      <w:iCs w:val="0"/>
                    </w:rPr>
                    <w:t xml:space="preserve"> in Real-Time during the Emergency Condition, for the 15-minute Settlement Interval </w:t>
                  </w:r>
                  <w:r w:rsidRPr="00A552C3">
                    <w:rPr>
                      <w:i/>
                      <w:iCs w:val="0"/>
                    </w:rPr>
                    <w:t>i</w:t>
                  </w:r>
                  <w:r w:rsidRPr="00A552C3">
                    <w:rPr>
                      <w:iCs w:val="0"/>
                    </w:rPr>
                    <w:t>.  Payment for emergency energy is made to the Combined Cycle Train.</w:t>
                  </w:r>
                </w:p>
              </w:tc>
            </w:tr>
          </w:tbl>
          <w:p w14:paraId="116D6D20" w14:textId="072E7860" w:rsidR="001F04FD" w:rsidRDefault="001F04FD" w:rsidP="00AC4DEE">
            <w:pPr>
              <w:pStyle w:val="TableBody"/>
              <w:rPr>
                <w:i/>
              </w:rPr>
            </w:pPr>
          </w:p>
        </w:tc>
      </w:tr>
      <w:tr w:rsidR="001F04FD" w14:paraId="2A81C5CE" w14:textId="77777777" w:rsidTr="00AC4DEE">
        <w:trPr>
          <w:cantSplit/>
        </w:trPr>
        <w:tc>
          <w:tcPr>
            <w:tcW w:w="1207" w:type="pct"/>
          </w:tcPr>
          <w:p w14:paraId="57B1A333" w14:textId="77777777" w:rsidR="001F04FD" w:rsidRDefault="001F04FD" w:rsidP="00AC4DEE">
            <w:pPr>
              <w:pStyle w:val="TableBody"/>
            </w:pPr>
            <w:r>
              <w:t xml:space="preserve">RESREV </w:t>
            </w:r>
            <w:r w:rsidRPr="00E15B17">
              <w:rPr>
                <w:i/>
                <w:vertAlign w:val="subscript"/>
              </w:rPr>
              <w:t>q, r, gsc, p</w:t>
            </w:r>
          </w:p>
        </w:tc>
        <w:tc>
          <w:tcPr>
            <w:tcW w:w="440" w:type="pct"/>
          </w:tcPr>
          <w:p w14:paraId="54CED210" w14:textId="77777777" w:rsidR="001F04FD" w:rsidRDefault="001F04FD" w:rsidP="00AC4DEE">
            <w:pPr>
              <w:pStyle w:val="TableBody"/>
            </w:pPr>
            <w:r>
              <w:t>$</w:t>
            </w:r>
          </w:p>
        </w:tc>
        <w:tc>
          <w:tcPr>
            <w:tcW w:w="3353" w:type="pct"/>
          </w:tcPr>
          <w:p w14:paraId="1D5D974A" w14:textId="77777777" w:rsidR="001F04FD" w:rsidRDefault="001F04FD" w:rsidP="00AC4DEE">
            <w:pPr>
              <w:pStyle w:val="TableBody"/>
              <w:rPr>
                <w:i/>
              </w:rPr>
            </w:pPr>
            <w:r>
              <w:rPr>
                <w:i/>
              </w:rPr>
              <w:t>Resource Share Revenue Settlement Payment</w:t>
            </w:r>
            <w:r>
              <w:t xml:space="preserve">—The RMR Resource share of the total payment to the entire Facility with a net metering arrangement attributed to Resource </w:t>
            </w:r>
            <w:r>
              <w:rPr>
                <w:i/>
              </w:rPr>
              <w:t>r</w:t>
            </w:r>
            <w:r>
              <w:t xml:space="preserve"> that is part of a generation site code </w:t>
            </w:r>
            <w:r>
              <w:rPr>
                <w:i/>
              </w:rPr>
              <w:t>gsc</w:t>
            </w:r>
            <w:r>
              <w:t xml:space="preserve"> for the QSE </w:t>
            </w:r>
            <w:r>
              <w:rPr>
                <w:i/>
              </w:rPr>
              <w:t>q</w:t>
            </w:r>
            <w:r>
              <w:t xml:space="preserve"> at Settlement Point </w:t>
            </w:r>
            <w:r>
              <w:rPr>
                <w:i/>
              </w:rPr>
              <w:t>p</w:t>
            </w:r>
            <w:r>
              <w:t>.</w:t>
            </w:r>
          </w:p>
        </w:tc>
      </w:tr>
      <w:tr w:rsidR="001F04FD" w14:paraId="2D409995" w14:textId="77777777" w:rsidTr="00AC4DEE">
        <w:trPr>
          <w:cantSplit/>
        </w:trPr>
        <w:tc>
          <w:tcPr>
            <w:tcW w:w="1207" w:type="pct"/>
          </w:tcPr>
          <w:p w14:paraId="4F8E3418" w14:textId="77777777" w:rsidR="001F04FD" w:rsidRDefault="001F04FD" w:rsidP="00AC4DEE">
            <w:pPr>
              <w:pStyle w:val="TableBody"/>
            </w:pPr>
            <w:r>
              <w:lastRenderedPageBreak/>
              <w:t xml:space="preserve">RUCMWAMT </w:t>
            </w:r>
            <w:r w:rsidRPr="00E15B17">
              <w:rPr>
                <w:i/>
                <w:vertAlign w:val="subscript"/>
              </w:rPr>
              <w:t>q, r, p</w:t>
            </w:r>
          </w:p>
        </w:tc>
        <w:tc>
          <w:tcPr>
            <w:tcW w:w="440" w:type="pct"/>
          </w:tcPr>
          <w:p w14:paraId="1D7168C5" w14:textId="77777777" w:rsidR="001F04FD" w:rsidRDefault="001F04FD" w:rsidP="00AC4DEE">
            <w:pPr>
              <w:pStyle w:val="TableBody"/>
            </w:pPr>
            <w:r>
              <w:t>$</w:t>
            </w:r>
          </w:p>
        </w:tc>
        <w:tc>
          <w:tcPr>
            <w:tcW w:w="3353" w:type="pct"/>
          </w:tcPr>
          <w:p w14:paraId="22CCFE32" w14:textId="77777777" w:rsidR="001F04FD" w:rsidRDefault="001F04FD" w:rsidP="00AC4DEE">
            <w:pPr>
              <w:pStyle w:val="TableBody"/>
              <w:rPr>
                <w:i/>
              </w:rPr>
            </w:pPr>
            <w:r>
              <w:rPr>
                <w:i/>
              </w:rPr>
              <w:t>RUC Make-Whole Amount per QSE per Settlement Point per unit</w:t>
            </w:r>
            <w:r>
              <w:t xml:space="preserve">—The amount calculated for RMR Unit </w:t>
            </w:r>
            <w:r>
              <w:rPr>
                <w:i/>
              </w:rPr>
              <w:t>r</w:t>
            </w:r>
            <w:r>
              <w:t xml:space="preserve"> committed in RUC at Resource Node </w:t>
            </w:r>
            <w:r>
              <w:rPr>
                <w:i/>
              </w:rPr>
              <w:t>p</w:t>
            </w:r>
            <w:r>
              <w:t xml:space="preserve"> to make whole the Startup Cost and minimum-energy cost of this unit, for the hour.  See Section 5.7.1, RUC Make-Whole Payment.  When one or more Combined Cycle Generation Resources are committed by RUC, payment is made to the Combined Cycle Train for all RUC-committed Combined Cycle Generation Resources.</w:t>
            </w:r>
          </w:p>
        </w:tc>
      </w:tr>
      <w:tr w:rsidR="001F04FD" w14:paraId="633611BE" w14:textId="77777777" w:rsidTr="00AC4DEE">
        <w:trPr>
          <w:cantSplit/>
        </w:trPr>
        <w:tc>
          <w:tcPr>
            <w:tcW w:w="1207" w:type="pct"/>
          </w:tcPr>
          <w:p w14:paraId="2250C5AB" w14:textId="77777777" w:rsidR="001F04FD" w:rsidRDefault="001F04FD" w:rsidP="00AC4DEE">
            <w:pPr>
              <w:pStyle w:val="TableBody"/>
            </w:pPr>
            <w:r>
              <w:t xml:space="preserve">RUCCBAMT </w:t>
            </w:r>
            <w:r w:rsidRPr="00E15B17">
              <w:rPr>
                <w:i/>
                <w:vertAlign w:val="subscript"/>
              </w:rPr>
              <w:t>q, r</w:t>
            </w:r>
          </w:p>
        </w:tc>
        <w:tc>
          <w:tcPr>
            <w:tcW w:w="440" w:type="pct"/>
          </w:tcPr>
          <w:p w14:paraId="0FBBF11D" w14:textId="77777777" w:rsidR="001F04FD" w:rsidRDefault="001F04FD" w:rsidP="00AC4DEE">
            <w:pPr>
              <w:pStyle w:val="TableBody"/>
            </w:pPr>
            <w:r>
              <w:t>$</w:t>
            </w:r>
          </w:p>
        </w:tc>
        <w:tc>
          <w:tcPr>
            <w:tcW w:w="3353" w:type="pct"/>
          </w:tcPr>
          <w:p w14:paraId="381D9DA8" w14:textId="77777777" w:rsidR="001F04FD" w:rsidRDefault="001F04FD" w:rsidP="00AC4DEE">
            <w:pPr>
              <w:pStyle w:val="TableBody"/>
              <w:rPr>
                <w:i/>
              </w:rPr>
            </w:pPr>
            <w:r>
              <w:rPr>
                <w:i/>
              </w:rPr>
              <w:t>RUC Clawback Charge per QSE per unit</w:t>
            </w:r>
            <w:r>
              <w:t xml:space="preserve">—The RUC Clawback Charge to QSE </w:t>
            </w:r>
            <w:r>
              <w:rPr>
                <w:i/>
              </w:rPr>
              <w:t>q</w:t>
            </w:r>
            <w:r>
              <w:t xml:space="preserve"> for RMR Unit </w:t>
            </w:r>
            <w:r>
              <w:rPr>
                <w:i/>
              </w:rPr>
              <w:t>r</w:t>
            </w:r>
            <w:r>
              <w:t>, for the hour.  See Section 5.7.2, RUC Clawback Charge.  When one or more Combined Cycle Generation Resources are committed by RUC, a charge is made to the Combined Cycle Train for all RUC-committed Combined Cycle Generation Resources.</w:t>
            </w:r>
          </w:p>
        </w:tc>
      </w:tr>
      <w:tr w:rsidR="001F04FD" w14:paraId="58EF04FB" w14:textId="77777777" w:rsidTr="00AC4DEE">
        <w:trPr>
          <w:cantSplit/>
          <w:trHeight w:val="1538"/>
        </w:trPr>
        <w:tc>
          <w:tcPr>
            <w:tcW w:w="1207" w:type="pct"/>
          </w:tcPr>
          <w:p w14:paraId="2C538C74" w14:textId="77777777" w:rsidR="001F04FD" w:rsidRDefault="001F04FD" w:rsidP="00AC4DEE">
            <w:pPr>
              <w:pStyle w:val="TableBody"/>
            </w:pPr>
            <w:r>
              <w:t xml:space="preserve">RUCDCAMT </w:t>
            </w:r>
            <w:r w:rsidRPr="00E15B17">
              <w:rPr>
                <w:i/>
                <w:vertAlign w:val="subscript"/>
              </w:rPr>
              <w:t>q, r, p</w:t>
            </w:r>
          </w:p>
        </w:tc>
        <w:tc>
          <w:tcPr>
            <w:tcW w:w="440" w:type="pct"/>
          </w:tcPr>
          <w:p w14:paraId="1C3FFD3C" w14:textId="77777777" w:rsidR="001F04FD" w:rsidRDefault="001F04FD" w:rsidP="00AC4DEE">
            <w:pPr>
              <w:pStyle w:val="TableBody"/>
            </w:pPr>
            <w:r>
              <w:t>$</w:t>
            </w:r>
          </w:p>
        </w:tc>
        <w:tc>
          <w:tcPr>
            <w:tcW w:w="3353" w:type="pct"/>
          </w:tcPr>
          <w:p w14:paraId="5DE29806" w14:textId="77777777" w:rsidR="001F04FD" w:rsidRDefault="001F04FD" w:rsidP="00AC4DEE">
            <w:pPr>
              <w:pStyle w:val="TableBody"/>
              <w:rPr>
                <w:i/>
              </w:rPr>
            </w:pPr>
            <w:r>
              <w:rPr>
                <w:i/>
              </w:rPr>
              <w:t>RUC Decommitment Amount per QSE per Settlement Point per unit</w:t>
            </w:r>
            <w:r>
              <w:t xml:space="preserve">—The amount calculated for RMR Unit </w:t>
            </w:r>
            <w:r>
              <w:rPr>
                <w:i/>
              </w:rPr>
              <w:t>r</w:t>
            </w:r>
            <w:r>
              <w:t xml:space="preserve"> at Resource Node </w:t>
            </w:r>
            <w:r>
              <w:rPr>
                <w:i/>
              </w:rPr>
              <w:t>p</w:t>
            </w:r>
            <w:r>
              <w:t xml:space="preserve"> represented by QSE </w:t>
            </w:r>
            <w:r>
              <w:rPr>
                <w:i/>
              </w:rPr>
              <w:t>q</w:t>
            </w:r>
            <w:r>
              <w:t xml:space="preserve"> due to ERCOT de-commitment, for the hour.  When one or more Combined Cycle Generation Resources are decommitted by RUC, payment is made to the Combined Cycle Train for all RUC-decommitted Combined Cycle Generation Resources.</w:t>
            </w:r>
          </w:p>
        </w:tc>
      </w:tr>
      <w:tr w:rsidR="001F04FD" w14:paraId="5708589D" w14:textId="77777777" w:rsidTr="00AC4DEE">
        <w:trPr>
          <w:cantSplit/>
        </w:trPr>
        <w:tc>
          <w:tcPr>
            <w:tcW w:w="1207" w:type="pct"/>
          </w:tcPr>
          <w:p w14:paraId="649EF31D" w14:textId="77777777" w:rsidR="001F04FD" w:rsidRDefault="001F04FD" w:rsidP="00AC4DEE">
            <w:pPr>
              <w:pStyle w:val="TableBody"/>
              <w:rPr>
                <w:lang w:val="pt-BR"/>
              </w:rPr>
            </w:pPr>
            <w:r>
              <w:rPr>
                <w:lang w:val="pt-BR"/>
              </w:rPr>
              <w:t xml:space="preserve">VSSEAMT </w:t>
            </w:r>
            <w:r w:rsidRPr="00E15B17">
              <w:rPr>
                <w:i/>
                <w:vertAlign w:val="subscript"/>
                <w:lang w:val="pt-BR"/>
              </w:rPr>
              <w:t>q, r, p, i</w:t>
            </w:r>
          </w:p>
        </w:tc>
        <w:tc>
          <w:tcPr>
            <w:tcW w:w="440" w:type="pct"/>
          </w:tcPr>
          <w:p w14:paraId="40E188E2" w14:textId="77777777" w:rsidR="001F04FD" w:rsidRDefault="001F04FD" w:rsidP="00AC4DEE">
            <w:pPr>
              <w:pStyle w:val="TableBody"/>
            </w:pPr>
            <w:r>
              <w:t>$</w:t>
            </w:r>
          </w:p>
        </w:tc>
        <w:tc>
          <w:tcPr>
            <w:tcW w:w="3353" w:type="pct"/>
          </w:tcPr>
          <w:p w14:paraId="274D2EC7" w14:textId="77777777" w:rsidR="001F04FD" w:rsidRDefault="001F04FD" w:rsidP="00AC4DEE">
            <w:pPr>
              <w:pStyle w:val="TableBody"/>
              <w:rPr>
                <w:i/>
              </w:rPr>
            </w:pPr>
            <w:r>
              <w:rPr>
                <w:i/>
              </w:rPr>
              <w:t xml:space="preserve">Voltage Support Service Energy Amount per QSE per Settlement Point per unit per interval </w:t>
            </w:r>
            <w:r>
              <w:t xml:space="preserve">—The compensation to QSE </w:t>
            </w:r>
            <w:r>
              <w:rPr>
                <w:i/>
              </w:rPr>
              <w:t>q</w:t>
            </w:r>
            <w:r>
              <w:t xml:space="preserve"> for ERCOT-directed power reduction from RMR Unit </w:t>
            </w:r>
            <w:r>
              <w:rPr>
                <w:i/>
              </w:rPr>
              <w:t>r</w:t>
            </w:r>
            <w:r>
              <w:t xml:space="preserve"> at Resource Node </w:t>
            </w:r>
            <w:r>
              <w:rPr>
                <w:i/>
              </w:rPr>
              <w:t>p</w:t>
            </w:r>
            <w:r>
              <w:t xml:space="preserve"> to provide Voltage Support Service (VSS), for the 15-minute Settlement Interval </w:t>
            </w:r>
            <w:r>
              <w:rPr>
                <w:i/>
              </w:rPr>
              <w:t>i</w:t>
            </w:r>
            <w:r>
              <w:t>.  Payment for VSS is made to the Combined Cycle Train.</w:t>
            </w:r>
          </w:p>
        </w:tc>
      </w:tr>
      <w:tr w:rsidR="001F04FD" w14:paraId="49230256" w14:textId="77777777" w:rsidTr="00AC4DEE">
        <w:trPr>
          <w:cantSplit/>
        </w:trPr>
        <w:tc>
          <w:tcPr>
            <w:tcW w:w="1207" w:type="pct"/>
          </w:tcPr>
          <w:p w14:paraId="763C7472" w14:textId="77777777" w:rsidR="001F04FD" w:rsidRDefault="001F04FD" w:rsidP="00AC4DEE">
            <w:pPr>
              <w:pStyle w:val="TableBody"/>
            </w:pPr>
            <w:r>
              <w:t xml:space="preserve">VSSVARAMT </w:t>
            </w:r>
            <w:r w:rsidRPr="00E15B17">
              <w:rPr>
                <w:i/>
                <w:vertAlign w:val="subscript"/>
              </w:rPr>
              <w:t>q, r, i</w:t>
            </w:r>
          </w:p>
        </w:tc>
        <w:tc>
          <w:tcPr>
            <w:tcW w:w="440" w:type="pct"/>
          </w:tcPr>
          <w:p w14:paraId="084C2B75" w14:textId="77777777" w:rsidR="001F04FD" w:rsidRDefault="001F04FD" w:rsidP="00AC4DEE">
            <w:pPr>
              <w:pStyle w:val="TableBody"/>
            </w:pPr>
            <w:r>
              <w:t>$</w:t>
            </w:r>
          </w:p>
        </w:tc>
        <w:tc>
          <w:tcPr>
            <w:tcW w:w="3353" w:type="pct"/>
          </w:tcPr>
          <w:p w14:paraId="6D2BECA9" w14:textId="77777777" w:rsidR="001F04FD" w:rsidRDefault="001F04FD" w:rsidP="00AC4DEE">
            <w:pPr>
              <w:pStyle w:val="TableBody"/>
              <w:rPr>
                <w:i/>
              </w:rPr>
            </w:pPr>
            <w:r>
              <w:rPr>
                <w:i/>
              </w:rPr>
              <w:t>Voltage Support Service VAr Amount per QSE per Unit</w:t>
            </w:r>
            <w:r>
              <w:t xml:space="preserve">—The payment to QSE </w:t>
            </w:r>
            <w:r>
              <w:rPr>
                <w:i/>
              </w:rPr>
              <w:t>q</w:t>
            </w:r>
            <w:r>
              <w:t xml:space="preserve"> for the VSS provided by RMR Unit </w:t>
            </w:r>
            <w:r w:rsidRPr="00D661BC">
              <w:rPr>
                <w:i/>
              </w:rPr>
              <w:t>r</w:t>
            </w:r>
            <w:r>
              <w:t xml:space="preserve">, for the 15-minute Settlement Interval </w:t>
            </w:r>
            <w:r>
              <w:rPr>
                <w:i/>
              </w:rPr>
              <w:t>i</w:t>
            </w:r>
            <w:r>
              <w:t>.  Payment for VSS is made to the Combined Cycle Train.</w:t>
            </w:r>
          </w:p>
        </w:tc>
      </w:tr>
      <w:tr w:rsidR="001F04FD" w14:paraId="7A3E51B3" w14:textId="77777777" w:rsidTr="00AC4DEE">
        <w:trPr>
          <w:cantSplit/>
        </w:trPr>
        <w:tc>
          <w:tcPr>
            <w:tcW w:w="1207" w:type="pct"/>
          </w:tcPr>
          <w:p w14:paraId="5F1D694B" w14:textId="77777777" w:rsidR="001F04FD" w:rsidRPr="00EF4122" w:rsidRDefault="001F04FD" w:rsidP="00AC4DEE">
            <w:pPr>
              <w:pStyle w:val="TableBody"/>
              <w:rPr>
                <w:i/>
              </w:rPr>
            </w:pPr>
            <w:r w:rsidRPr="00D661BC">
              <w:rPr>
                <w:i/>
              </w:rPr>
              <w:t>q</w:t>
            </w:r>
          </w:p>
        </w:tc>
        <w:tc>
          <w:tcPr>
            <w:tcW w:w="440" w:type="pct"/>
          </w:tcPr>
          <w:p w14:paraId="065D4A1A" w14:textId="77777777" w:rsidR="001F04FD" w:rsidRDefault="001F04FD" w:rsidP="00AC4DEE">
            <w:pPr>
              <w:pStyle w:val="TableBody"/>
            </w:pPr>
            <w:r>
              <w:t>none</w:t>
            </w:r>
          </w:p>
        </w:tc>
        <w:tc>
          <w:tcPr>
            <w:tcW w:w="3353" w:type="pct"/>
          </w:tcPr>
          <w:p w14:paraId="43F0717B" w14:textId="77777777" w:rsidR="001F04FD" w:rsidRDefault="001F04FD" w:rsidP="00AC4DEE">
            <w:pPr>
              <w:pStyle w:val="TableBody"/>
              <w:rPr>
                <w:i/>
              </w:rPr>
            </w:pPr>
            <w:r>
              <w:t>A QSE.</w:t>
            </w:r>
          </w:p>
        </w:tc>
      </w:tr>
      <w:tr w:rsidR="001F04FD" w14:paraId="219C8D2C" w14:textId="77777777" w:rsidTr="00AC4DEE">
        <w:trPr>
          <w:cantSplit/>
        </w:trPr>
        <w:tc>
          <w:tcPr>
            <w:tcW w:w="1207" w:type="pct"/>
          </w:tcPr>
          <w:p w14:paraId="43D12DF2" w14:textId="77777777" w:rsidR="001F04FD" w:rsidRPr="00D661BC" w:rsidRDefault="001F04FD" w:rsidP="00AC4DEE">
            <w:pPr>
              <w:pStyle w:val="TableBody"/>
              <w:rPr>
                <w:i/>
              </w:rPr>
            </w:pPr>
            <w:r w:rsidRPr="009E6788">
              <w:rPr>
                <w:i/>
              </w:rPr>
              <w:t>gsc</w:t>
            </w:r>
          </w:p>
        </w:tc>
        <w:tc>
          <w:tcPr>
            <w:tcW w:w="440" w:type="pct"/>
          </w:tcPr>
          <w:p w14:paraId="4ADC88BC" w14:textId="77777777" w:rsidR="001F04FD" w:rsidRDefault="001F04FD" w:rsidP="00AC4DEE">
            <w:pPr>
              <w:pStyle w:val="TableBody"/>
            </w:pPr>
            <w:r>
              <w:t>none</w:t>
            </w:r>
          </w:p>
        </w:tc>
        <w:tc>
          <w:tcPr>
            <w:tcW w:w="3353" w:type="pct"/>
          </w:tcPr>
          <w:p w14:paraId="09767CC0" w14:textId="77777777" w:rsidR="001F04FD" w:rsidRDefault="001F04FD" w:rsidP="00AC4DEE">
            <w:pPr>
              <w:pStyle w:val="TableBody"/>
            </w:pPr>
            <w:r>
              <w:t>A generation site code.</w:t>
            </w:r>
          </w:p>
        </w:tc>
      </w:tr>
      <w:tr w:rsidR="001F04FD" w14:paraId="7D90964F" w14:textId="77777777" w:rsidTr="00AC4DEE">
        <w:trPr>
          <w:cantSplit/>
        </w:trPr>
        <w:tc>
          <w:tcPr>
            <w:tcW w:w="1207" w:type="pct"/>
          </w:tcPr>
          <w:p w14:paraId="0DE08609" w14:textId="77777777" w:rsidR="001F04FD" w:rsidRPr="00EF4122" w:rsidRDefault="001F04FD" w:rsidP="00AC4DEE">
            <w:pPr>
              <w:pStyle w:val="TableBody"/>
              <w:rPr>
                <w:i/>
              </w:rPr>
            </w:pPr>
            <w:r w:rsidRPr="00D661BC">
              <w:rPr>
                <w:i/>
              </w:rPr>
              <w:t>p</w:t>
            </w:r>
          </w:p>
        </w:tc>
        <w:tc>
          <w:tcPr>
            <w:tcW w:w="440" w:type="pct"/>
          </w:tcPr>
          <w:p w14:paraId="7982D1D2" w14:textId="77777777" w:rsidR="001F04FD" w:rsidRDefault="001F04FD" w:rsidP="00AC4DEE">
            <w:pPr>
              <w:pStyle w:val="TableBody"/>
            </w:pPr>
            <w:r>
              <w:t>none</w:t>
            </w:r>
          </w:p>
        </w:tc>
        <w:tc>
          <w:tcPr>
            <w:tcW w:w="3353" w:type="pct"/>
          </w:tcPr>
          <w:p w14:paraId="2AB85B3A" w14:textId="77777777" w:rsidR="001F04FD" w:rsidRDefault="001F04FD" w:rsidP="00AC4DEE">
            <w:pPr>
              <w:pStyle w:val="TableBody"/>
            </w:pPr>
            <w:r>
              <w:t>A Resource Node Settlement Point.</w:t>
            </w:r>
          </w:p>
        </w:tc>
      </w:tr>
      <w:tr w:rsidR="001F04FD" w14:paraId="795326FD" w14:textId="77777777" w:rsidTr="00AC4DEE">
        <w:trPr>
          <w:cantSplit/>
        </w:trPr>
        <w:tc>
          <w:tcPr>
            <w:tcW w:w="1207" w:type="pct"/>
          </w:tcPr>
          <w:p w14:paraId="2EE35787" w14:textId="77777777" w:rsidR="001F04FD" w:rsidRPr="00EF4122" w:rsidRDefault="001F04FD" w:rsidP="00AC4DEE">
            <w:pPr>
              <w:pStyle w:val="TableBody"/>
              <w:rPr>
                <w:i/>
              </w:rPr>
            </w:pPr>
            <w:r w:rsidRPr="00D661BC">
              <w:rPr>
                <w:i/>
              </w:rPr>
              <w:t>r</w:t>
            </w:r>
          </w:p>
        </w:tc>
        <w:tc>
          <w:tcPr>
            <w:tcW w:w="440" w:type="pct"/>
          </w:tcPr>
          <w:p w14:paraId="62A18F36" w14:textId="77777777" w:rsidR="001F04FD" w:rsidRDefault="001F04FD" w:rsidP="00AC4DEE">
            <w:pPr>
              <w:pStyle w:val="TableBody"/>
            </w:pPr>
            <w:r>
              <w:t>none</w:t>
            </w:r>
          </w:p>
        </w:tc>
        <w:tc>
          <w:tcPr>
            <w:tcW w:w="3353" w:type="pct"/>
          </w:tcPr>
          <w:p w14:paraId="6AFFFB28" w14:textId="77777777" w:rsidR="001F04FD" w:rsidRDefault="001F04FD" w:rsidP="00AC4DEE">
            <w:pPr>
              <w:pStyle w:val="TableBody"/>
              <w:rPr>
                <w:i/>
              </w:rPr>
            </w:pPr>
            <w:r>
              <w:t>An RMR Unit.</w:t>
            </w:r>
          </w:p>
        </w:tc>
      </w:tr>
      <w:tr w:rsidR="001F04FD" w14:paraId="772A4C10" w14:textId="77777777" w:rsidTr="00AC4DEE">
        <w:trPr>
          <w:cantSplit/>
        </w:trPr>
        <w:tc>
          <w:tcPr>
            <w:tcW w:w="1207" w:type="pct"/>
          </w:tcPr>
          <w:p w14:paraId="060BA2B0" w14:textId="77777777" w:rsidR="001F04FD" w:rsidRPr="00EF4122" w:rsidRDefault="001F04FD" w:rsidP="00AC4DEE">
            <w:pPr>
              <w:pStyle w:val="TableBody"/>
              <w:rPr>
                <w:i/>
              </w:rPr>
            </w:pPr>
            <w:r w:rsidRPr="00D661BC">
              <w:rPr>
                <w:i/>
              </w:rPr>
              <w:t>i</w:t>
            </w:r>
          </w:p>
        </w:tc>
        <w:tc>
          <w:tcPr>
            <w:tcW w:w="440" w:type="pct"/>
          </w:tcPr>
          <w:p w14:paraId="076CE746" w14:textId="77777777" w:rsidR="001F04FD" w:rsidRDefault="001F04FD" w:rsidP="00AC4DEE">
            <w:pPr>
              <w:pStyle w:val="TableBody"/>
            </w:pPr>
            <w:r>
              <w:t>none</w:t>
            </w:r>
          </w:p>
        </w:tc>
        <w:tc>
          <w:tcPr>
            <w:tcW w:w="3353" w:type="pct"/>
          </w:tcPr>
          <w:p w14:paraId="77F117C8" w14:textId="77777777" w:rsidR="001F04FD" w:rsidRDefault="001F04FD" w:rsidP="00AC4DEE">
            <w:pPr>
              <w:pStyle w:val="TableBody"/>
              <w:rPr>
                <w:i/>
              </w:rPr>
            </w:pPr>
            <w:r>
              <w:t>A 15-minute Settlement Interval in the hour.</w:t>
            </w:r>
          </w:p>
        </w:tc>
      </w:tr>
    </w:tbl>
    <w:p w14:paraId="2CB4FE1F" w14:textId="77777777" w:rsidR="001F04FD" w:rsidRDefault="001F04FD" w:rsidP="001F04FD">
      <w:pPr>
        <w:pStyle w:val="H4"/>
        <w:spacing w:before="480"/>
        <w:ind w:left="1267" w:hanging="1267"/>
      </w:pPr>
      <w:bookmarkStart w:id="2348" w:name="_Toc397505030"/>
      <w:bookmarkStart w:id="2349" w:name="_Toc402357162"/>
      <w:bookmarkStart w:id="2350" w:name="_Toc422486542"/>
      <w:bookmarkStart w:id="2351" w:name="_Toc433093395"/>
      <w:bookmarkStart w:id="2352" w:name="_Toc433093553"/>
      <w:bookmarkStart w:id="2353" w:name="_Toc440874783"/>
      <w:bookmarkStart w:id="2354" w:name="_Toc448142340"/>
      <w:bookmarkStart w:id="2355" w:name="_Toc448142497"/>
      <w:bookmarkStart w:id="2356" w:name="_Toc458770338"/>
      <w:bookmarkStart w:id="2357" w:name="_Toc459294306"/>
      <w:bookmarkStart w:id="2358" w:name="_Toc463262799"/>
      <w:bookmarkStart w:id="2359" w:name="_Toc468286872"/>
      <w:bookmarkStart w:id="2360" w:name="_Toc481502912"/>
      <w:bookmarkStart w:id="2361" w:name="_Toc496080080"/>
      <w:bookmarkStart w:id="2362" w:name="_Toc204411705"/>
      <w:r>
        <w:t>6.6.6.4</w:t>
      </w:r>
      <w:r>
        <w:tab/>
        <w:t>RMR Charge for Unexcused Misconduct</w:t>
      </w:r>
      <w:bookmarkEnd w:id="2331"/>
      <w:bookmarkEnd w:id="2332"/>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r>
        <w:t xml:space="preserve"> </w:t>
      </w:r>
    </w:p>
    <w:p w14:paraId="3685ABED" w14:textId="77777777" w:rsidR="001F04FD" w:rsidRDefault="001F04FD" w:rsidP="001F04FD">
      <w:pPr>
        <w:pStyle w:val="BodyTextNumbered"/>
      </w:pPr>
      <w:r>
        <w:t>(1)</w:t>
      </w:r>
      <w:r>
        <w:tab/>
        <w:t xml:space="preserve">If a Misconduct Event, as defined in the RMR Agreement, is not excused as provided in the RMR Agreement, then ERCOT shall charge the QSE that represents the RMR Unit an unexcused misconduct amount of $10,000 for each unexcused Misconduct Event as follows:  </w:t>
      </w:r>
    </w:p>
    <w:p w14:paraId="41217392" w14:textId="77777777" w:rsidR="001F04FD" w:rsidRDefault="001F04FD" w:rsidP="001F04FD">
      <w:pPr>
        <w:pStyle w:val="FormulaBold"/>
      </w:pPr>
      <w:r>
        <w:t xml:space="preserve">RMRNPAMT </w:t>
      </w:r>
      <w:r>
        <w:rPr>
          <w:i/>
          <w:vertAlign w:val="subscript"/>
        </w:rPr>
        <w:t>q, r</w:t>
      </w:r>
      <w:r>
        <w:tab/>
        <w:t>=</w:t>
      </w:r>
      <w:r>
        <w:tab/>
        <w:t>$10,000 * RMRNPFLAG</w:t>
      </w:r>
      <w:r w:rsidRPr="00D661BC">
        <w:rPr>
          <w:rFonts w:ascii="Times New Roman Bold" w:hAnsi="Times New Roman Bold"/>
          <w:i/>
          <w:vertAlign w:val="subscript"/>
        </w:rPr>
        <w:t>q,r</w:t>
      </w:r>
    </w:p>
    <w:p w14:paraId="3B5B8507" w14:textId="77777777" w:rsidR="001F04FD" w:rsidRDefault="001F04FD" w:rsidP="001F04FD">
      <w:r>
        <w:t>The above variable is defined as follows:</w:t>
      </w:r>
    </w:p>
    <w:tbl>
      <w:tblPr>
        <w:tblW w:w="9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605"/>
        <w:gridCol w:w="7506"/>
      </w:tblGrid>
      <w:tr w:rsidR="001F04FD" w14:paraId="424E33E3" w14:textId="77777777" w:rsidTr="00AC4DEE">
        <w:trPr>
          <w:cantSplit/>
          <w:tblHeader/>
        </w:trPr>
        <w:tc>
          <w:tcPr>
            <w:tcW w:w="1685" w:type="dxa"/>
          </w:tcPr>
          <w:p w14:paraId="410B20FB" w14:textId="77777777" w:rsidR="001F04FD" w:rsidRDefault="001F04FD" w:rsidP="00AC4DEE">
            <w:pPr>
              <w:pStyle w:val="TableHead"/>
            </w:pPr>
            <w:r>
              <w:t>Variable</w:t>
            </w:r>
          </w:p>
        </w:tc>
        <w:tc>
          <w:tcPr>
            <w:tcW w:w="0" w:type="auto"/>
          </w:tcPr>
          <w:p w14:paraId="62FD02F1" w14:textId="77777777" w:rsidR="001F04FD" w:rsidRDefault="001F04FD" w:rsidP="00AC4DEE">
            <w:pPr>
              <w:pStyle w:val="TableHead"/>
            </w:pPr>
            <w:r>
              <w:t>Unit</w:t>
            </w:r>
          </w:p>
        </w:tc>
        <w:tc>
          <w:tcPr>
            <w:tcW w:w="0" w:type="auto"/>
          </w:tcPr>
          <w:p w14:paraId="1F66B583" w14:textId="77777777" w:rsidR="001F04FD" w:rsidRDefault="001F04FD" w:rsidP="00AC4DEE">
            <w:pPr>
              <w:pStyle w:val="TableHead"/>
            </w:pPr>
            <w:r>
              <w:t>Definition</w:t>
            </w:r>
          </w:p>
        </w:tc>
      </w:tr>
      <w:tr w:rsidR="001F04FD" w14:paraId="5DA3FE6F" w14:textId="77777777" w:rsidTr="00AC4DEE">
        <w:trPr>
          <w:cantSplit/>
        </w:trPr>
        <w:tc>
          <w:tcPr>
            <w:tcW w:w="1685" w:type="dxa"/>
          </w:tcPr>
          <w:p w14:paraId="4D296860" w14:textId="77777777" w:rsidR="001F04FD" w:rsidRDefault="001F04FD" w:rsidP="00AC4DEE">
            <w:pPr>
              <w:pStyle w:val="TableBody"/>
            </w:pPr>
            <w:r>
              <w:t xml:space="preserve">RMRNPAMT </w:t>
            </w:r>
            <w:r w:rsidRPr="00E15B17">
              <w:rPr>
                <w:i/>
                <w:vertAlign w:val="subscript"/>
              </w:rPr>
              <w:t>q, r</w:t>
            </w:r>
          </w:p>
        </w:tc>
        <w:tc>
          <w:tcPr>
            <w:tcW w:w="0" w:type="auto"/>
          </w:tcPr>
          <w:p w14:paraId="48960DB5" w14:textId="77777777" w:rsidR="001F04FD" w:rsidRDefault="001F04FD" w:rsidP="00AC4DEE">
            <w:pPr>
              <w:pStyle w:val="TableBody"/>
            </w:pPr>
            <w:r>
              <w:t>$</w:t>
            </w:r>
          </w:p>
        </w:tc>
        <w:tc>
          <w:tcPr>
            <w:tcW w:w="0" w:type="auto"/>
          </w:tcPr>
          <w:p w14:paraId="3F98A2A2" w14:textId="77777777" w:rsidR="001F04FD" w:rsidRDefault="001F04FD" w:rsidP="00AC4DEE">
            <w:pPr>
              <w:pStyle w:val="TableBody"/>
            </w:pPr>
            <w:r>
              <w:rPr>
                <w:i/>
              </w:rPr>
              <w:t>Reliability Must-Run Unexcused Misconduct Charge per QSE per Resource</w:t>
            </w:r>
            <w:r>
              <w:t xml:space="preserve">—The charge to QSE </w:t>
            </w:r>
            <w:r>
              <w:rPr>
                <w:i/>
              </w:rPr>
              <w:t>q</w:t>
            </w:r>
            <w:r>
              <w:t xml:space="preserve"> for the unexcused Misconduct Event of RMR Unit </w:t>
            </w:r>
            <w:r>
              <w:rPr>
                <w:i/>
              </w:rPr>
              <w:t>r</w:t>
            </w:r>
            <w:r>
              <w:t xml:space="preserve"> for an Operating Day.  Where for a Combined Cycle Train, the Resource </w:t>
            </w:r>
            <w:r w:rsidRPr="00B34C5D">
              <w:rPr>
                <w:i/>
              </w:rPr>
              <w:t>r</w:t>
            </w:r>
            <w:r>
              <w:rPr>
                <w:i/>
              </w:rPr>
              <w:t xml:space="preserve"> </w:t>
            </w:r>
            <w:r>
              <w:t xml:space="preserve">is the Combined Cycle Train. </w:t>
            </w:r>
          </w:p>
        </w:tc>
      </w:tr>
      <w:tr w:rsidR="001F04FD" w14:paraId="1F1E2099" w14:textId="77777777" w:rsidTr="00AC4DEE">
        <w:trPr>
          <w:cantSplit/>
        </w:trPr>
        <w:tc>
          <w:tcPr>
            <w:tcW w:w="1685" w:type="dxa"/>
            <w:tcBorders>
              <w:top w:val="single" w:sz="4" w:space="0" w:color="auto"/>
              <w:left w:val="single" w:sz="4" w:space="0" w:color="auto"/>
              <w:bottom w:val="single" w:sz="4" w:space="0" w:color="auto"/>
              <w:right w:val="single" w:sz="4" w:space="0" w:color="auto"/>
            </w:tcBorders>
          </w:tcPr>
          <w:p w14:paraId="7764E381" w14:textId="77777777" w:rsidR="001F04FD" w:rsidRDefault="001F04FD" w:rsidP="00AC4DEE">
            <w:pPr>
              <w:pStyle w:val="TableBody"/>
            </w:pPr>
            <w:r>
              <w:lastRenderedPageBreak/>
              <w:t xml:space="preserve">RMRNPFLAG </w:t>
            </w:r>
            <w:r w:rsidRPr="00E15B17">
              <w:rPr>
                <w:i/>
                <w:vertAlign w:val="subscript"/>
              </w:rPr>
              <w:t>q, r</w:t>
            </w:r>
          </w:p>
        </w:tc>
        <w:tc>
          <w:tcPr>
            <w:tcW w:w="0" w:type="auto"/>
            <w:tcBorders>
              <w:top w:val="single" w:sz="4" w:space="0" w:color="auto"/>
              <w:left w:val="single" w:sz="4" w:space="0" w:color="auto"/>
              <w:bottom w:val="single" w:sz="4" w:space="0" w:color="auto"/>
              <w:right w:val="single" w:sz="4" w:space="0" w:color="auto"/>
            </w:tcBorders>
          </w:tcPr>
          <w:p w14:paraId="7478BD60" w14:textId="77777777" w:rsidR="001F04FD" w:rsidRDefault="001F04FD" w:rsidP="00AC4DEE">
            <w:pPr>
              <w:pStyle w:val="TableBody"/>
            </w:pPr>
            <w:r>
              <w:t>$</w:t>
            </w:r>
          </w:p>
        </w:tc>
        <w:tc>
          <w:tcPr>
            <w:tcW w:w="0" w:type="auto"/>
            <w:tcBorders>
              <w:top w:val="single" w:sz="4" w:space="0" w:color="auto"/>
              <w:left w:val="single" w:sz="4" w:space="0" w:color="auto"/>
              <w:bottom w:val="single" w:sz="4" w:space="0" w:color="auto"/>
              <w:right w:val="single" w:sz="4" w:space="0" w:color="auto"/>
            </w:tcBorders>
          </w:tcPr>
          <w:p w14:paraId="57061345" w14:textId="77777777" w:rsidR="001F04FD" w:rsidRDefault="001F04FD" w:rsidP="00AC4DEE">
            <w:pPr>
              <w:pStyle w:val="TableBody"/>
            </w:pPr>
            <w:r>
              <w:rPr>
                <w:i/>
              </w:rPr>
              <w:t>Reliability Must-Run Non-Performance Flag per QSE per Resource</w:t>
            </w:r>
            <w:r>
              <w:t xml:space="preserve">—A flag for the QSE </w:t>
            </w:r>
            <w:r w:rsidRPr="00D661BC">
              <w:rPr>
                <w:i/>
              </w:rPr>
              <w:t xml:space="preserve">q </w:t>
            </w:r>
            <w:r>
              <w:t xml:space="preserve">for the unexcused Misconduct Event of RMR Unit </w:t>
            </w:r>
            <w:r w:rsidRPr="00D661BC">
              <w:rPr>
                <w:i/>
              </w:rPr>
              <w:t>r</w:t>
            </w:r>
            <w:r>
              <w:t xml:space="preserve"> for an Operating Day.  Where for a Combined Cycle Train, the Resource </w:t>
            </w:r>
            <w:r w:rsidRPr="00B34C5D">
              <w:rPr>
                <w:i/>
              </w:rPr>
              <w:t>r</w:t>
            </w:r>
            <w:r>
              <w:rPr>
                <w:i/>
              </w:rPr>
              <w:t xml:space="preserve"> </w:t>
            </w:r>
            <w:r>
              <w:t xml:space="preserve">is the Combined Cycle Train. </w:t>
            </w:r>
          </w:p>
        </w:tc>
      </w:tr>
      <w:tr w:rsidR="001F04FD" w14:paraId="5565C1E8" w14:textId="77777777" w:rsidTr="00AC4DEE">
        <w:trPr>
          <w:cantSplit/>
        </w:trPr>
        <w:tc>
          <w:tcPr>
            <w:tcW w:w="1685" w:type="dxa"/>
          </w:tcPr>
          <w:p w14:paraId="61D561F3" w14:textId="77777777" w:rsidR="001F04FD" w:rsidRPr="0072643D" w:rsidRDefault="001F04FD" w:rsidP="00AC4DEE">
            <w:pPr>
              <w:pStyle w:val="TableBody"/>
              <w:rPr>
                <w:i/>
              </w:rPr>
            </w:pPr>
            <w:r w:rsidRPr="00D661BC">
              <w:rPr>
                <w:i/>
              </w:rPr>
              <w:t>q</w:t>
            </w:r>
          </w:p>
        </w:tc>
        <w:tc>
          <w:tcPr>
            <w:tcW w:w="0" w:type="auto"/>
          </w:tcPr>
          <w:p w14:paraId="521B9559" w14:textId="77777777" w:rsidR="001F04FD" w:rsidRDefault="001F04FD" w:rsidP="00AC4DEE">
            <w:pPr>
              <w:pStyle w:val="TableBody"/>
            </w:pPr>
            <w:r>
              <w:t>none</w:t>
            </w:r>
          </w:p>
        </w:tc>
        <w:tc>
          <w:tcPr>
            <w:tcW w:w="0" w:type="auto"/>
          </w:tcPr>
          <w:p w14:paraId="073D4AA8" w14:textId="77777777" w:rsidR="001F04FD" w:rsidRDefault="001F04FD" w:rsidP="00AC4DEE">
            <w:pPr>
              <w:pStyle w:val="TableBody"/>
              <w:rPr>
                <w:i/>
              </w:rPr>
            </w:pPr>
            <w:r>
              <w:t>A QSE.</w:t>
            </w:r>
          </w:p>
        </w:tc>
      </w:tr>
      <w:tr w:rsidR="001F04FD" w14:paraId="55E3ADE1" w14:textId="77777777" w:rsidTr="00AC4DEE">
        <w:trPr>
          <w:cantSplit/>
        </w:trPr>
        <w:tc>
          <w:tcPr>
            <w:tcW w:w="1685" w:type="dxa"/>
          </w:tcPr>
          <w:p w14:paraId="3BCCC7EF" w14:textId="77777777" w:rsidR="001F04FD" w:rsidRPr="0072643D" w:rsidRDefault="001F04FD" w:rsidP="00AC4DEE">
            <w:pPr>
              <w:pStyle w:val="TableBody"/>
              <w:rPr>
                <w:i/>
              </w:rPr>
            </w:pPr>
            <w:r w:rsidRPr="00D661BC">
              <w:rPr>
                <w:i/>
              </w:rPr>
              <w:t>r</w:t>
            </w:r>
          </w:p>
        </w:tc>
        <w:tc>
          <w:tcPr>
            <w:tcW w:w="0" w:type="auto"/>
          </w:tcPr>
          <w:p w14:paraId="3A1EEFD2" w14:textId="77777777" w:rsidR="001F04FD" w:rsidRDefault="001F04FD" w:rsidP="00AC4DEE">
            <w:pPr>
              <w:pStyle w:val="TableBody"/>
            </w:pPr>
            <w:r>
              <w:t>none</w:t>
            </w:r>
          </w:p>
        </w:tc>
        <w:tc>
          <w:tcPr>
            <w:tcW w:w="0" w:type="auto"/>
          </w:tcPr>
          <w:p w14:paraId="4FE31684" w14:textId="77777777" w:rsidR="001F04FD" w:rsidRDefault="001F04FD" w:rsidP="00AC4DEE">
            <w:pPr>
              <w:pStyle w:val="TableBody"/>
              <w:rPr>
                <w:i/>
              </w:rPr>
            </w:pPr>
            <w:r>
              <w:t>An RMR Unit.</w:t>
            </w:r>
          </w:p>
        </w:tc>
      </w:tr>
    </w:tbl>
    <w:p w14:paraId="1A92681B" w14:textId="77777777" w:rsidR="001F04FD" w:rsidRDefault="001F04FD" w:rsidP="001F04FD"/>
    <w:p w14:paraId="7DB0A5B4" w14:textId="77777777" w:rsidR="001F04FD" w:rsidRDefault="001F04FD" w:rsidP="001F04FD">
      <w:pPr>
        <w:pStyle w:val="BodyTextNumbered"/>
      </w:pPr>
      <w:bookmarkStart w:id="2363" w:name="_Toc87951801"/>
      <w:bookmarkStart w:id="2364" w:name="_Toc109009411"/>
      <w:r>
        <w:t>(2)</w:t>
      </w:r>
      <w:r>
        <w:tab/>
        <w:t>The total of the charges to each QSE for unexcused Misconduct Events of all RMR Units represented by this QSE for a given Operating Day is calculated as follows:</w:t>
      </w:r>
    </w:p>
    <w:p w14:paraId="7CD1D8AF" w14:textId="77777777" w:rsidR="001F04FD" w:rsidRDefault="001F04FD" w:rsidP="001F04FD">
      <w:pPr>
        <w:pStyle w:val="FormulaBold"/>
      </w:pPr>
      <w:r>
        <w:t xml:space="preserve">RMRNPAMTQSETOT </w:t>
      </w:r>
      <w:r>
        <w:rPr>
          <w:i/>
          <w:vertAlign w:val="subscript"/>
        </w:rPr>
        <w:t>q</w:t>
      </w:r>
      <w:r>
        <w:tab/>
        <w:t>=</w:t>
      </w:r>
      <w:r>
        <w:tab/>
      </w:r>
      <w:r w:rsidRPr="006F784F">
        <w:rPr>
          <w:position w:val="-18"/>
        </w:rPr>
        <w:object w:dxaOrig="225" w:dyaOrig="420" w14:anchorId="7B5D8995">
          <v:shape id="_x0000_i1213" type="#_x0000_t75" style="width:12pt;height:24pt" o:ole="">
            <v:imagedata r:id="rId246" o:title=""/>
          </v:shape>
          <o:OLEObject Type="Embed" ProgID="Equation.3" ShapeID="_x0000_i1213" DrawAspect="Content" ObjectID="_1815025403" r:id="rId256"/>
        </w:object>
      </w:r>
      <w:r>
        <w:t xml:space="preserve">RMRNPAMT </w:t>
      </w:r>
      <w:r>
        <w:rPr>
          <w:i/>
          <w:vertAlign w:val="subscript"/>
        </w:rPr>
        <w:t>q, r</w:t>
      </w:r>
    </w:p>
    <w:p w14:paraId="197299CD" w14:textId="77777777" w:rsidR="001F04FD" w:rsidRDefault="001F04FD" w:rsidP="001F04FD">
      <w:r>
        <w:t>The above variables are defined as follows:</w:t>
      </w:r>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3"/>
        <w:gridCol w:w="832"/>
        <w:gridCol w:w="6074"/>
      </w:tblGrid>
      <w:tr w:rsidR="001F04FD" w14:paraId="0B1D9D4A" w14:textId="77777777" w:rsidTr="00AC4DEE">
        <w:trPr>
          <w:cantSplit/>
          <w:tblHeader/>
        </w:trPr>
        <w:tc>
          <w:tcPr>
            <w:tcW w:w="2343" w:type="dxa"/>
          </w:tcPr>
          <w:p w14:paraId="5C831A6C" w14:textId="77777777" w:rsidR="001F04FD" w:rsidRDefault="001F04FD" w:rsidP="00AC4DEE">
            <w:pPr>
              <w:pStyle w:val="TableHead"/>
            </w:pPr>
            <w:r>
              <w:t>Variable</w:t>
            </w:r>
          </w:p>
        </w:tc>
        <w:tc>
          <w:tcPr>
            <w:tcW w:w="832" w:type="dxa"/>
          </w:tcPr>
          <w:p w14:paraId="2C998FFB" w14:textId="77777777" w:rsidR="001F04FD" w:rsidRDefault="001F04FD" w:rsidP="00AC4DEE">
            <w:pPr>
              <w:pStyle w:val="TableHead"/>
            </w:pPr>
            <w:r>
              <w:t>Unit</w:t>
            </w:r>
          </w:p>
        </w:tc>
        <w:tc>
          <w:tcPr>
            <w:tcW w:w="6074" w:type="dxa"/>
          </w:tcPr>
          <w:p w14:paraId="1A35557F" w14:textId="77777777" w:rsidR="001F04FD" w:rsidRDefault="001F04FD" w:rsidP="00AC4DEE">
            <w:pPr>
              <w:pStyle w:val="TableHead"/>
            </w:pPr>
            <w:r>
              <w:t>Definition</w:t>
            </w:r>
          </w:p>
        </w:tc>
      </w:tr>
      <w:tr w:rsidR="001F04FD" w14:paraId="734BE831" w14:textId="77777777" w:rsidTr="00AC4DEE">
        <w:trPr>
          <w:cantSplit/>
        </w:trPr>
        <w:tc>
          <w:tcPr>
            <w:tcW w:w="2343" w:type="dxa"/>
          </w:tcPr>
          <w:p w14:paraId="0A27E38C" w14:textId="77777777" w:rsidR="001F04FD" w:rsidRDefault="001F04FD" w:rsidP="00AC4DEE">
            <w:pPr>
              <w:pStyle w:val="TableBody"/>
            </w:pPr>
            <w:r>
              <w:t xml:space="preserve">RMRNPAMTQSETOT </w:t>
            </w:r>
            <w:r w:rsidRPr="00E15B17">
              <w:rPr>
                <w:i/>
                <w:vertAlign w:val="subscript"/>
              </w:rPr>
              <w:t>q</w:t>
            </w:r>
          </w:p>
        </w:tc>
        <w:tc>
          <w:tcPr>
            <w:tcW w:w="832" w:type="dxa"/>
          </w:tcPr>
          <w:p w14:paraId="37512629" w14:textId="77777777" w:rsidR="001F04FD" w:rsidRDefault="001F04FD" w:rsidP="00AC4DEE">
            <w:pPr>
              <w:pStyle w:val="TableBody"/>
            </w:pPr>
            <w:r>
              <w:t>$</w:t>
            </w:r>
          </w:p>
        </w:tc>
        <w:tc>
          <w:tcPr>
            <w:tcW w:w="6074" w:type="dxa"/>
          </w:tcPr>
          <w:p w14:paraId="3F31C47E" w14:textId="77777777" w:rsidR="001F04FD" w:rsidRDefault="001F04FD" w:rsidP="00AC4DEE">
            <w:pPr>
              <w:pStyle w:val="TableBody"/>
            </w:pPr>
            <w:r>
              <w:rPr>
                <w:i/>
              </w:rPr>
              <w:t>Reliability Must-Run Unexcused Misconduct Amount QSE Total per QSE</w:t>
            </w:r>
            <w:r>
              <w:sym w:font="Symbol" w:char="F0BE"/>
            </w:r>
            <w:r>
              <w:t xml:space="preserve">The total of the charges to QSE </w:t>
            </w:r>
            <w:r>
              <w:rPr>
                <w:i/>
              </w:rPr>
              <w:t>q</w:t>
            </w:r>
            <w:r>
              <w:t xml:space="preserve"> for unexcused Misconduct Events of the RMR Units represented by this QSE for the Operating Day.</w:t>
            </w:r>
          </w:p>
        </w:tc>
      </w:tr>
      <w:tr w:rsidR="001F04FD" w14:paraId="26EE393C" w14:textId="77777777" w:rsidTr="00AC4DEE">
        <w:trPr>
          <w:cantSplit/>
        </w:trPr>
        <w:tc>
          <w:tcPr>
            <w:tcW w:w="2343" w:type="dxa"/>
          </w:tcPr>
          <w:p w14:paraId="42179883" w14:textId="77777777" w:rsidR="001F04FD" w:rsidRDefault="001F04FD" w:rsidP="00AC4DEE">
            <w:pPr>
              <w:pStyle w:val="TableBody"/>
            </w:pPr>
            <w:r>
              <w:t xml:space="preserve">RMRNPAMT </w:t>
            </w:r>
            <w:r w:rsidRPr="00E15B17">
              <w:rPr>
                <w:i/>
                <w:vertAlign w:val="subscript"/>
              </w:rPr>
              <w:t>q, r</w:t>
            </w:r>
          </w:p>
        </w:tc>
        <w:tc>
          <w:tcPr>
            <w:tcW w:w="832" w:type="dxa"/>
          </w:tcPr>
          <w:p w14:paraId="1E42A50C" w14:textId="77777777" w:rsidR="001F04FD" w:rsidRDefault="001F04FD" w:rsidP="00AC4DEE">
            <w:pPr>
              <w:pStyle w:val="TableBody"/>
            </w:pPr>
            <w:r>
              <w:t>$</w:t>
            </w:r>
          </w:p>
        </w:tc>
        <w:tc>
          <w:tcPr>
            <w:tcW w:w="6074" w:type="dxa"/>
          </w:tcPr>
          <w:p w14:paraId="7DC26D76" w14:textId="77777777" w:rsidR="001F04FD" w:rsidRDefault="001F04FD" w:rsidP="00AC4DEE">
            <w:pPr>
              <w:pStyle w:val="TableBody"/>
            </w:pPr>
            <w:r>
              <w:rPr>
                <w:i/>
              </w:rPr>
              <w:t>Reliability Must-Run Unexcused Misconduct Charge per QSE per Resource</w:t>
            </w:r>
            <w:r>
              <w:t xml:space="preserve">—The charge to QSE </w:t>
            </w:r>
            <w:r>
              <w:rPr>
                <w:i/>
              </w:rPr>
              <w:t>q</w:t>
            </w:r>
            <w:r>
              <w:t xml:space="preserve"> for the unexcused Misconduct Event of RMR Unit </w:t>
            </w:r>
            <w:r>
              <w:rPr>
                <w:i/>
              </w:rPr>
              <w:t>r</w:t>
            </w:r>
            <w:r>
              <w:t xml:space="preserve"> for the Operating Day.  Where for a Combined Cycle Train, the Resource </w:t>
            </w:r>
            <w:r w:rsidRPr="00B34C5D">
              <w:rPr>
                <w:i/>
              </w:rPr>
              <w:t>r</w:t>
            </w:r>
            <w:r>
              <w:rPr>
                <w:i/>
              </w:rPr>
              <w:t xml:space="preserve"> </w:t>
            </w:r>
            <w:r>
              <w:t xml:space="preserve">is the Combined Cycle Train. </w:t>
            </w:r>
          </w:p>
        </w:tc>
      </w:tr>
      <w:tr w:rsidR="001F04FD" w14:paraId="66022088" w14:textId="77777777" w:rsidTr="00AC4DEE">
        <w:trPr>
          <w:cantSplit/>
        </w:trPr>
        <w:tc>
          <w:tcPr>
            <w:tcW w:w="2343" w:type="dxa"/>
            <w:tcBorders>
              <w:top w:val="single" w:sz="4" w:space="0" w:color="auto"/>
              <w:left w:val="single" w:sz="4" w:space="0" w:color="auto"/>
              <w:bottom w:val="single" w:sz="4" w:space="0" w:color="auto"/>
              <w:right w:val="single" w:sz="4" w:space="0" w:color="auto"/>
            </w:tcBorders>
          </w:tcPr>
          <w:p w14:paraId="1C1685E5" w14:textId="77777777" w:rsidR="001F04FD" w:rsidRPr="0072643D" w:rsidRDefault="001F04FD" w:rsidP="00AC4DEE">
            <w:pPr>
              <w:pStyle w:val="TableBody"/>
              <w:rPr>
                <w:i/>
              </w:rPr>
            </w:pPr>
            <w:r w:rsidRPr="00D661BC">
              <w:rPr>
                <w:i/>
              </w:rPr>
              <w:t>q</w:t>
            </w:r>
          </w:p>
        </w:tc>
        <w:tc>
          <w:tcPr>
            <w:tcW w:w="832" w:type="dxa"/>
            <w:tcBorders>
              <w:top w:val="single" w:sz="4" w:space="0" w:color="auto"/>
              <w:left w:val="single" w:sz="4" w:space="0" w:color="auto"/>
              <w:bottom w:val="single" w:sz="4" w:space="0" w:color="auto"/>
              <w:right w:val="single" w:sz="4" w:space="0" w:color="auto"/>
            </w:tcBorders>
          </w:tcPr>
          <w:p w14:paraId="271B6687"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613915B1" w14:textId="77777777" w:rsidR="001F04FD" w:rsidRDefault="001F04FD" w:rsidP="00AC4DEE">
            <w:pPr>
              <w:pStyle w:val="TableBody"/>
            </w:pPr>
            <w:r>
              <w:t>A QSE.</w:t>
            </w:r>
          </w:p>
        </w:tc>
      </w:tr>
      <w:tr w:rsidR="001F04FD" w14:paraId="262D38C6" w14:textId="77777777" w:rsidTr="00AC4DEE">
        <w:trPr>
          <w:cantSplit/>
        </w:trPr>
        <w:tc>
          <w:tcPr>
            <w:tcW w:w="2343" w:type="dxa"/>
            <w:tcBorders>
              <w:top w:val="single" w:sz="4" w:space="0" w:color="auto"/>
              <w:left w:val="single" w:sz="4" w:space="0" w:color="auto"/>
              <w:bottom w:val="single" w:sz="4" w:space="0" w:color="auto"/>
              <w:right w:val="single" w:sz="4" w:space="0" w:color="auto"/>
            </w:tcBorders>
          </w:tcPr>
          <w:p w14:paraId="7AA6FD8F" w14:textId="77777777" w:rsidR="001F04FD" w:rsidRPr="0072643D" w:rsidRDefault="001F04FD" w:rsidP="00AC4DEE">
            <w:pPr>
              <w:pStyle w:val="TableBody"/>
              <w:rPr>
                <w:i/>
              </w:rPr>
            </w:pPr>
            <w:r w:rsidRPr="00D661BC">
              <w:rPr>
                <w:i/>
              </w:rPr>
              <w:t>r</w:t>
            </w:r>
          </w:p>
        </w:tc>
        <w:tc>
          <w:tcPr>
            <w:tcW w:w="832" w:type="dxa"/>
            <w:tcBorders>
              <w:top w:val="single" w:sz="4" w:space="0" w:color="auto"/>
              <w:left w:val="single" w:sz="4" w:space="0" w:color="auto"/>
              <w:bottom w:val="single" w:sz="4" w:space="0" w:color="auto"/>
              <w:right w:val="single" w:sz="4" w:space="0" w:color="auto"/>
            </w:tcBorders>
          </w:tcPr>
          <w:p w14:paraId="735A5653"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6BAEA643" w14:textId="77777777" w:rsidR="001F04FD" w:rsidRDefault="001F04FD" w:rsidP="00AC4DEE">
            <w:pPr>
              <w:pStyle w:val="TableBody"/>
            </w:pPr>
            <w:r>
              <w:t>An RMR Unit.</w:t>
            </w:r>
          </w:p>
        </w:tc>
      </w:tr>
    </w:tbl>
    <w:p w14:paraId="2FE7D514" w14:textId="77777777" w:rsidR="001F04FD" w:rsidRDefault="001F04FD" w:rsidP="001F04FD">
      <w:pPr>
        <w:pStyle w:val="H4"/>
        <w:spacing w:before="480"/>
        <w:ind w:left="1267" w:hanging="1267"/>
      </w:pPr>
      <w:bookmarkStart w:id="2365" w:name="_Toc397505031"/>
      <w:bookmarkStart w:id="2366" w:name="_Toc402357163"/>
      <w:bookmarkStart w:id="2367" w:name="_Toc422486543"/>
      <w:bookmarkStart w:id="2368" w:name="_Toc433093396"/>
      <w:bookmarkStart w:id="2369" w:name="_Toc433093554"/>
      <w:bookmarkStart w:id="2370" w:name="_Toc440874784"/>
      <w:bookmarkStart w:id="2371" w:name="_Toc448142341"/>
      <w:bookmarkStart w:id="2372" w:name="_Toc448142498"/>
      <w:bookmarkStart w:id="2373" w:name="_Toc458770339"/>
      <w:bookmarkStart w:id="2374" w:name="_Toc459294307"/>
      <w:bookmarkStart w:id="2375" w:name="_Toc463262800"/>
      <w:bookmarkStart w:id="2376" w:name="_Toc468286873"/>
      <w:bookmarkStart w:id="2377" w:name="_Toc481502913"/>
      <w:bookmarkStart w:id="2378" w:name="_Toc496080081"/>
      <w:bookmarkStart w:id="2379" w:name="_Toc87951808"/>
      <w:bookmarkStart w:id="2380" w:name="_Toc109009412"/>
      <w:bookmarkStart w:id="2381" w:name="_Toc204411706"/>
      <w:bookmarkEnd w:id="2363"/>
      <w:bookmarkEnd w:id="2364"/>
      <w:r>
        <w:t>6.6.6.5</w:t>
      </w:r>
      <w:r>
        <w:tab/>
        <w:t>RMR Service Charge</w:t>
      </w:r>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81"/>
    </w:p>
    <w:p w14:paraId="6BE62F3D" w14:textId="77777777" w:rsidR="001F04FD" w:rsidRDefault="001F04FD" w:rsidP="001F04FD">
      <w:pPr>
        <w:pStyle w:val="BodyTextNumbered"/>
      </w:pPr>
      <w:r>
        <w:t>(1)</w:t>
      </w:r>
      <w:r>
        <w:tab/>
        <w:t>The total RMR cost for all RMR Units is allocated to the QSEs representing Loads based on LRS.  The RMR Service charge to each QSE for a given hour is calculated as follows:</w:t>
      </w:r>
    </w:p>
    <w:p w14:paraId="78AF223B" w14:textId="77777777" w:rsidR="001F04FD" w:rsidRDefault="001F04FD" w:rsidP="001F04FD">
      <w:pPr>
        <w:pStyle w:val="FormulaBold"/>
        <w:tabs>
          <w:tab w:val="clear" w:pos="2250"/>
          <w:tab w:val="clear" w:pos="3150"/>
          <w:tab w:val="clear" w:pos="3960"/>
          <w:tab w:val="left" w:pos="2610"/>
          <w:tab w:val="left" w:pos="3060"/>
        </w:tabs>
        <w:ind w:left="3060" w:hanging="2340"/>
        <w:rPr>
          <w:i/>
          <w:vertAlign w:val="subscript"/>
        </w:rPr>
      </w:pPr>
      <w:r>
        <w:t xml:space="preserve">LARMRAMT </w:t>
      </w:r>
      <w:r>
        <w:rPr>
          <w:i/>
          <w:vertAlign w:val="subscript"/>
        </w:rPr>
        <w:t>q</w:t>
      </w:r>
      <w:r>
        <w:tab/>
        <w:t>=</w:t>
      </w:r>
      <w:r>
        <w:tab/>
        <w:t xml:space="preserve">(-1) * (RMRSBAMTTOT + RMREAMTTOT </w:t>
      </w:r>
      <w:r>
        <w:br/>
        <w:t xml:space="preserve">+ RMRAAMTTOT + RMRNPAMTTOT / H) * HLRS </w:t>
      </w:r>
      <w:r>
        <w:rPr>
          <w:i/>
          <w:vertAlign w:val="subscript"/>
        </w:rPr>
        <w:t>q</w:t>
      </w:r>
    </w:p>
    <w:p w14:paraId="71C12100" w14:textId="77777777" w:rsidR="001F04FD" w:rsidRDefault="001F04FD" w:rsidP="001F04FD">
      <w:pPr>
        <w:pStyle w:val="BodyText"/>
        <w:ind w:firstLine="720"/>
      </w:pPr>
      <w:r>
        <w:t>Where:</w:t>
      </w:r>
    </w:p>
    <w:p w14:paraId="191BE8AD" w14:textId="77777777" w:rsidR="001F04FD" w:rsidRDefault="001F04FD" w:rsidP="001F04FD">
      <w:pPr>
        <w:ind w:firstLine="720"/>
      </w:pPr>
      <w:r>
        <w:t>RMR Standby Amount Total</w:t>
      </w:r>
    </w:p>
    <w:p w14:paraId="5EB9E912" w14:textId="77777777" w:rsidR="001F04FD" w:rsidRDefault="001F04FD" w:rsidP="001F04FD">
      <w:pPr>
        <w:pStyle w:val="Formula"/>
        <w:ind w:left="2880" w:hanging="2160"/>
        <w:rPr>
          <w:i/>
          <w:vertAlign w:val="subscript"/>
        </w:rPr>
      </w:pPr>
      <w:r>
        <w:t>RMRSBAMTTOT</w:t>
      </w:r>
      <w:r>
        <w:tab/>
        <w:t>=</w:t>
      </w:r>
      <w:r>
        <w:tab/>
      </w:r>
      <w:r w:rsidRPr="006F784F">
        <w:rPr>
          <w:position w:val="-22"/>
        </w:rPr>
        <w:object w:dxaOrig="210" w:dyaOrig="465" w14:anchorId="4E7420F9">
          <v:shape id="_x0000_i1214" type="#_x0000_t75" style="width:5.4pt;height:24.6pt" o:ole="">
            <v:imagedata r:id="rId257" o:title=""/>
          </v:shape>
          <o:OLEObject Type="Embed" ProgID="Equation.3" ShapeID="_x0000_i1214" DrawAspect="Content" ObjectID="_1815025404" r:id="rId258"/>
        </w:object>
      </w:r>
      <w:r>
        <w:t xml:space="preserve">RMRSBAMTQSETOT </w:t>
      </w:r>
      <w:r>
        <w:rPr>
          <w:i/>
          <w:vertAlign w:val="subscript"/>
        </w:rPr>
        <w:t>q</w:t>
      </w:r>
    </w:p>
    <w:p w14:paraId="1D2F4889" w14:textId="77777777" w:rsidR="001F04FD" w:rsidRDefault="001F04FD" w:rsidP="001F04FD">
      <w:pPr>
        <w:ind w:firstLine="720"/>
      </w:pPr>
      <w:r>
        <w:t>RMR Energy Amount Total</w:t>
      </w:r>
    </w:p>
    <w:p w14:paraId="39FE5FF3" w14:textId="77777777" w:rsidR="001F04FD" w:rsidRDefault="001F04FD" w:rsidP="001F04FD">
      <w:pPr>
        <w:pStyle w:val="Formula"/>
        <w:ind w:left="2880" w:hanging="2160"/>
        <w:rPr>
          <w:i/>
          <w:vertAlign w:val="subscript"/>
        </w:rPr>
      </w:pPr>
      <w:r>
        <w:t>RMREAMTTOT</w:t>
      </w:r>
      <w:r>
        <w:tab/>
        <w:t>=</w:t>
      </w:r>
      <w:r>
        <w:tab/>
      </w:r>
      <w:r w:rsidRPr="006F784F">
        <w:rPr>
          <w:position w:val="-22"/>
        </w:rPr>
        <w:object w:dxaOrig="210" w:dyaOrig="465" w14:anchorId="5821D66F">
          <v:shape id="_x0000_i1215" type="#_x0000_t75" style="width:5.4pt;height:24.6pt" o:ole="">
            <v:imagedata r:id="rId259" o:title=""/>
          </v:shape>
          <o:OLEObject Type="Embed" ProgID="Equation.3" ShapeID="_x0000_i1215" DrawAspect="Content" ObjectID="_1815025405" r:id="rId260"/>
        </w:object>
      </w:r>
      <w:r>
        <w:t xml:space="preserve">RMREAMTQSETOT </w:t>
      </w:r>
      <w:r>
        <w:rPr>
          <w:i/>
          <w:vertAlign w:val="subscript"/>
        </w:rPr>
        <w:t>q</w:t>
      </w:r>
    </w:p>
    <w:p w14:paraId="6EB3BF3F" w14:textId="77777777" w:rsidR="001F04FD" w:rsidRDefault="001F04FD" w:rsidP="001F04FD">
      <w:pPr>
        <w:ind w:firstLine="720"/>
      </w:pPr>
      <w:r>
        <w:t>RMR Adjustment Charge Total</w:t>
      </w:r>
    </w:p>
    <w:p w14:paraId="00BCC927" w14:textId="77777777" w:rsidR="001F04FD" w:rsidRDefault="001F04FD" w:rsidP="001F04FD">
      <w:pPr>
        <w:pStyle w:val="Formula"/>
        <w:ind w:left="2880" w:hanging="2160"/>
      </w:pPr>
      <w:r>
        <w:t>RMRAAMTTOT</w:t>
      </w:r>
      <w:r>
        <w:tab/>
        <w:t>=</w:t>
      </w:r>
      <w:r>
        <w:tab/>
      </w:r>
      <w:r w:rsidRPr="006F784F">
        <w:rPr>
          <w:position w:val="-22"/>
        </w:rPr>
        <w:object w:dxaOrig="210" w:dyaOrig="465" w14:anchorId="252C4255">
          <v:shape id="_x0000_i1216" type="#_x0000_t75" style="width:5.4pt;height:24.6pt" o:ole="">
            <v:imagedata r:id="rId259" o:title=""/>
          </v:shape>
          <o:OLEObject Type="Embed" ProgID="Equation.3" ShapeID="_x0000_i1216" DrawAspect="Content" ObjectID="_1815025406" r:id="rId261"/>
        </w:object>
      </w:r>
      <w:r>
        <w:t xml:space="preserve">RMRAAMT </w:t>
      </w:r>
      <w:r>
        <w:rPr>
          <w:i/>
          <w:vertAlign w:val="subscript"/>
        </w:rPr>
        <w:t>q</w:t>
      </w:r>
    </w:p>
    <w:p w14:paraId="657D9AFB" w14:textId="77777777" w:rsidR="001F04FD" w:rsidRDefault="001F04FD" w:rsidP="001F04FD">
      <w:pPr>
        <w:ind w:firstLine="720"/>
      </w:pPr>
      <w:r>
        <w:lastRenderedPageBreak/>
        <w:t>RMR Non-Performance Amount Total</w:t>
      </w:r>
    </w:p>
    <w:p w14:paraId="1EAF89C5" w14:textId="77777777" w:rsidR="001F04FD" w:rsidRDefault="001F04FD" w:rsidP="001F04FD">
      <w:pPr>
        <w:pStyle w:val="Formula"/>
        <w:ind w:left="2880" w:hanging="2160"/>
      </w:pPr>
      <w:r>
        <w:t>RMRNPAMTTOT</w:t>
      </w:r>
      <w:r>
        <w:tab/>
        <w:t>=</w:t>
      </w:r>
      <w:r>
        <w:tab/>
      </w:r>
      <w:r w:rsidRPr="006F784F">
        <w:rPr>
          <w:position w:val="-22"/>
        </w:rPr>
        <w:object w:dxaOrig="210" w:dyaOrig="465" w14:anchorId="2DF980D6">
          <v:shape id="_x0000_i1217" type="#_x0000_t75" style="width:5.4pt;height:24.6pt" o:ole="">
            <v:imagedata r:id="rId262" o:title=""/>
          </v:shape>
          <o:OLEObject Type="Embed" ProgID="Equation.3" ShapeID="_x0000_i1217" DrawAspect="Content" ObjectID="_1815025407" r:id="rId263"/>
        </w:object>
      </w:r>
      <w:r>
        <w:t xml:space="preserve">RMRNPAMTQSETOT </w:t>
      </w:r>
      <w:r>
        <w:rPr>
          <w:i/>
          <w:vertAlign w:val="subscript"/>
        </w:rPr>
        <w:t>q</w:t>
      </w:r>
    </w:p>
    <w:p w14:paraId="4F450FCD" w14:textId="77777777" w:rsidR="001F04FD" w:rsidRDefault="001F04FD" w:rsidP="001F04FD">
      <w:r>
        <w:t>The above variables are defined as follows:</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6"/>
        <w:gridCol w:w="879"/>
        <w:gridCol w:w="6004"/>
      </w:tblGrid>
      <w:tr w:rsidR="001F04FD" w14:paraId="0BA58522" w14:textId="77777777" w:rsidTr="00AC4DEE">
        <w:trPr>
          <w:cantSplit/>
          <w:tblHeader/>
        </w:trPr>
        <w:tc>
          <w:tcPr>
            <w:tcW w:w="1358" w:type="pct"/>
          </w:tcPr>
          <w:p w14:paraId="277BFF05" w14:textId="77777777" w:rsidR="001F04FD" w:rsidRDefault="001F04FD" w:rsidP="00AC4DEE">
            <w:pPr>
              <w:pStyle w:val="TableHead"/>
            </w:pPr>
            <w:r>
              <w:t>Variable</w:t>
            </w:r>
          </w:p>
        </w:tc>
        <w:tc>
          <w:tcPr>
            <w:tcW w:w="465" w:type="pct"/>
          </w:tcPr>
          <w:p w14:paraId="5AF32A99" w14:textId="77777777" w:rsidR="001F04FD" w:rsidRDefault="001F04FD" w:rsidP="00AC4DEE">
            <w:pPr>
              <w:pStyle w:val="TableHead"/>
            </w:pPr>
            <w:r>
              <w:t>Unit</w:t>
            </w:r>
          </w:p>
        </w:tc>
        <w:tc>
          <w:tcPr>
            <w:tcW w:w="3177" w:type="pct"/>
          </w:tcPr>
          <w:p w14:paraId="3DB609DF" w14:textId="77777777" w:rsidR="001F04FD" w:rsidRDefault="001F04FD" w:rsidP="00AC4DEE">
            <w:pPr>
              <w:pStyle w:val="TableHead"/>
            </w:pPr>
            <w:r>
              <w:t>Definition</w:t>
            </w:r>
          </w:p>
        </w:tc>
      </w:tr>
      <w:tr w:rsidR="001F04FD" w14:paraId="339B8F6E" w14:textId="77777777" w:rsidTr="00AC4DEE">
        <w:trPr>
          <w:cantSplit/>
        </w:trPr>
        <w:tc>
          <w:tcPr>
            <w:tcW w:w="1358" w:type="pct"/>
          </w:tcPr>
          <w:p w14:paraId="67F12A03" w14:textId="77777777" w:rsidR="001F04FD" w:rsidRDefault="001F04FD" w:rsidP="00AC4DEE">
            <w:pPr>
              <w:pStyle w:val="TableBody"/>
            </w:pPr>
            <w:r>
              <w:t xml:space="preserve">LARMRAMT </w:t>
            </w:r>
            <w:r w:rsidRPr="00E15B17">
              <w:rPr>
                <w:i/>
                <w:vertAlign w:val="subscript"/>
              </w:rPr>
              <w:t>q</w:t>
            </w:r>
          </w:p>
        </w:tc>
        <w:tc>
          <w:tcPr>
            <w:tcW w:w="465" w:type="pct"/>
          </w:tcPr>
          <w:p w14:paraId="29E5ABEE" w14:textId="77777777" w:rsidR="001F04FD" w:rsidRDefault="001F04FD" w:rsidP="00AC4DEE">
            <w:pPr>
              <w:pStyle w:val="TableBody"/>
            </w:pPr>
            <w:r>
              <w:t>$</w:t>
            </w:r>
          </w:p>
        </w:tc>
        <w:tc>
          <w:tcPr>
            <w:tcW w:w="3177" w:type="pct"/>
          </w:tcPr>
          <w:p w14:paraId="6B018015" w14:textId="77777777" w:rsidR="001F04FD" w:rsidRDefault="001F04FD" w:rsidP="00AC4DEE">
            <w:pPr>
              <w:pStyle w:val="TableBody"/>
            </w:pPr>
            <w:r w:rsidRPr="00EB4BCC">
              <w:rPr>
                <w:i/>
              </w:rPr>
              <w:t>Load-Allocated Reliability Must</w:t>
            </w:r>
            <w:r>
              <w:rPr>
                <w:i/>
              </w:rPr>
              <w:t>-</w:t>
            </w:r>
            <w:r w:rsidRPr="00EB4BCC">
              <w:rPr>
                <w:i/>
              </w:rPr>
              <w:t>Run Amount per QSE</w:t>
            </w:r>
            <w:r>
              <w:t xml:space="preserve">—The amount charged to QSE </w:t>
            </w:r>
            <w:r w:rsidRPr="00EB4BCC">
              <w:rPr>
                <w:i/>
              </w:rPr>
              <w:t>q</w:t>
            </w:r>
            <w:r>
              <w:t xml:space="preserve"> based on its LRS of the difference between the amount paid to all QSEs for RMR Service under Section 6.6.6, Reliability Must-Run Settlement, and the amount that would have been paid to the QSEs for the same RMR Units if they were not providing RMR Service under the other parts of this Section 6, Adjustment Period and Real-Time Operations, and Section 5, Transmission Security Analysis and Reliability Unit Commitment. </w:t>
            </w:r>
          </w:p>
        </w:tc>
      </w:tr>
      <w:tr w:rsidR="001F04FD" w14:paraId="41699901" w14:textId="77777777" w:rsidTr="00AC4DEE">
        <w:trPr>
          <w:cantSplit/>
        </w:trPr>
        <w:tc>
          <w:tcPr>
            <w:tcW w:w="1358" w:type="pct"/>
          </w:tcPr>
          <w:p w14:paraId="71DA34B7" w14:textId="77777777" w:rsidR="001F04FD" w:rsidRDefault="001F04FD" w:rsidP="00AC4DEE">
            <w:pPr>
              <w:pStyle w:val="TableBody"/>
            </w:pPr>
            <w:r>
              <w:t>RMRSBAMTTOT</w:t>
            </w:r>
          </w:p>
        </w:tc>
        <w:tc>
          <w:tcPr>
            <w:tcW w:w="465" w:type="pct"/>
          </w:tcPr>
          <w:p w14:paraId="5B2554CD" w14:textId="77777777" w:rsidR="001F04FD" w:rsidRDefault="001F04FD" w:rsidP="00AC4DEE">
            <w:pPr>
              <w:pStyle w:val="TableBody"/>
            </w:pPr>
            <w:r>
              <w:t>$</w:t>
            </w:r>
          </w:p>
        </w:tc>
        <w:tc>
          <w:tcPr>
            <w:tcW w:w="3177" w:type="pct"/>
          </w:tcPr>
          <w:p w14:paraId="42333448" w14:textId="77777777" w:rsidR="001F04FD" w:rsidRPr="00EB4BCC" w:rsidRDefault="001F04FD" w:rsidP="00AC4DEE">
            <w:pPr>
              <w:pStyle w:val="TableBody"/>
              <w:rPr>
                <w:i/>
              </w:rPr>
            </w:pPr>
            <w:r w:rsidRPr="00EB4BCC">
              <w:rPr>
                <w:i/>
              </w:rPr>
              <w:t>RMR Standby Amount Total</w:t>
            </w:r>
            <w:r>
              <w:t>—The total of the Standby Payments to all QSEs for all RMR Units, for the hour.</w:t>
            </w:r>
          </w:p>
        </w:tc>
      </w:tr>
      <w:tr w:rsidR="001F04FD" w14:paraId="4532E7A5" w14:textId="77777777" w:rsidTr="00AC4DEE">
        <w:trPr>
          <w:cantSplit/>
        </w:trPr>
        <w:tc>
          <w:tcPr>
            <w:tcW w:w="1358" w:type="pct"/>
          </w:tcPr>
          <w:p w14:paraId="0B1F95F5" w14:textId="77777777" w:rsidR="001F04FD" w:rsidRDefault="001F04FD" w:rsidP="00AC4DEE">
            <w:pPr>
              <w:pStyle w:val="TableBody"/>
            </w:pPr>
            <w:r>
              <w:t>RMREAMTTOT</w:t>
            </w:r>
          </w:p>
        </w:tc>
        <w:tc>
          <w:tcPr>
            <w:tcW w:w="465" w:type="pct"/>
          </w:tcPr>
          <w:p w14:paraId="55C87C45" w14:textId="77777777" w:rsidR="001F04FD" w:rsidRDefault="001F04FD" w:rsidP="00AC4DEE">
            <w:pPr>
              <w:pStyle w:val="TableBody"/>
            </w:pPr>
            <w:r>
              <w:t>$</w:t>
            </w:r>
          </w:p>
        </w:tc>
        <w:tc>
          <w:tcPr>
            <w:tcW w:w="3177" w:type="pct"/>
          </w:tcPr>
          <w:p w14:paraId="0754399D" w14:textId="77777777" w:rsidR="001F04FD" w:rsidRPr="00EB4BCC" w:rsidRDefault="001F04FD" w:rsidP="00AC4DEE">
            <w:pPr>
              <w:pStyle w:val="TableBody"/>
              <w:rPr>
                <w:i/>
              </w:rPr>
            </w:pPr>
            <w:r w:rsidRPr="00EB4BCC">
              <w:rPr>
                <w:i/>
              </w:rPr>
              <w:t>RMR Energy Amount Total</w:t>
            </w:r>
            <w:r>
              <w:t>—The total of the energy cost payments to all QSEs for all RMR Units, for the hour.</w:t>
            </w:r>
          </w:p>
        </w:tc>
      </w:tr>
      <w:tr w:rsidR="001F04FD" w14:paraId="5F2F37E7" w14:textId="77777777" w:rsidTr="00AC4DEE">
        <w:trPr>
          <w:cantSplit/>
        </w:trPr>
        <w:tc>
          <w:tcPr>
            <w:tcW w:w="1358" w:type="pct"/>
          </w:tcPr>
          <w:p w14:paraId="4CED73D7" w14:textId="77777777" w:rsidR="001F04FD" w:rsidRDefault="001F04FD" w:rsidP="00AC4DEE">
            <w:pPr>
              <w:pStyle w:val="TableBody"/>
            </w:pPr>
            <w:r>
              <w:t>RMRAAMTTOT</w:t>
            </w:r>
          </w:p>
        </w:tc>
        <w:tc>
          <w:tcPr>
            <w:tcW w:w="465" w:type="pct"/>
          </w:tcPr>
          <w:p w14:paraId="4C81E336" w14:textId="77777777" w:rsidR="001F04FD" w:rsidRDefault="001F04FD" w:rsidP="00AC4DEE">
            <w:pPr>
              <w:pStyle w:val="TableBody"/>
            </w:pPr>
            <w:r>
              <w:t>$</w:t>
            </w:r>
          </w:p>
        </w:tc>
        <w:tc>
          <w:tcPr>
            <w:tcW w:w="3177" w:type="pct"/>
          </w:tcPr>
          <w:p w14:paraId="2DF65BDF" w14:textId="77777777" w:rsidR="001F04FD" w:rsidRPr="00EB4BCC" w:rsidRDefault="001F04FD" w:rsidP="00AC4DEE">
            <w:pPr>
              <w:pStyle w:val="TableBody"/>
              <w:rPr>
                <w:i/>
              </w:rPr>
            </w:pPr>
            <w:r w:rsidRPr="00EB4BCC">
              <w:rPr>
                <w:i/>
              </w:rPr>
              <w:t>RMR Adjusted Amount Total</w:t>
            </w:r>
            <w:r>
              <w:t>—The total of the adjusted amounts from all QSEs representing RMR Units for the revenues received for these units from RUC, Real-Time operations and Ancillary Service markets, for the hour.</w:t>
            </w:r>
          </w:p>
        </w:tc>
      </w:tr>
      <w:tr w:rsidR="001F04FD" w14:paraId="109AAD0B" w14:textId="77777777" w:rsidTr="00AC4DEE">
        <w:trPr>
          <w:cantSplit/>
        </w:trPr>
        <w:tc>
          <w:tcPr>
            <w:tcW w:w="1358" w:type="pct"/>
          </w:tcPr>
          <w:p w14:paraId="3180741B" w14:textId="77777777" w:rsidR="001F04FD" w:rsidRDefault="001F04FD" w:rsidP="00AC4DEE">
            <w:pPr>
              <w:pStyle w:val="TableBody"/>
            </w:pPr>
            <w:r>
              <w:t>RMRNPAMTTOT</w:t>
            </w:r>
          </w:p>
        </w:tc>
        <w:tc>
          <w:tcPr>
            <w:tcW w:w="465" w:type="pct"/>
          </w:tcPr>
          <w:p w14:paraId="27F30BD3" w14:textId="77777777" w:rsidR="001F04FD" w:rsidRDefault="001F04FD" w:rsidP="00AC4DEE">
            <w:pPr>
              <w:pStyle w:val="TableBody"/>
            </w:pPr>
            <w:r>
              <w:t>$</w:t>
            </w:r>
          </w:p>
        </w:tc>
        <w:tc>
          <w:tcPr>
            <w:tcW w:w="3177" w:type="pct"/>
          </w:tcPr>
          <w:p w14:paraId="3219533A" w14:textId="77777777" w:rsidR="001F04FD" w:rsidRPr="00EB4BCC" w:rsidRDefault="001F04FD" w:rsidP="00AC4DEE">
            <w:pPr>
              <w:pStyle w:val="TableBody"/>
              <w:rPr>
                <w:i/>
              </w:rPr>
            </w:pPr>
            <w:r w:rsidRPr="00EB4BCC">
              <w:rPr>
                <w:i/>
              </w:rPr>
              <w:t>RMR Non-Performance Amount Total</w:t>
            </w:r>
            <w:r>
              <w:t>—The total of the charges to all QSEs for unexcused Misconduct Events of all RMR Units, for the Operating Day.</w:t>
            </w:r>
          </w:p>
        </w:tc>
      </w:tr>
      <w:tr w:rsidR="001F04FD" w14:paraId="46FD9DF0" w14:textId="77777777" w:rsidTr="00AC4DEE">
        <w:trPr>
          <w:cantSplit/>
        </w:trPr>
        <w:tc>
          <w:tcPr>
            <w:tcW w:w="1358" w:type="pct"/>
          </w:tcPr>
          <w:p w14:paraId="18ED31BA" w14:textId="77777777" w:rsidR="001F04FD" w:rsidRDefault="001F04FD" w:rsidP="00AC4DEE">
            <w:pPr>
              <w:pStyle w:val="TableBody"/>
            </w:pPr>
            <w:r>
              <w:t xml:space="preserve">HLRS </w:t>
            </w:r>
            <w:r w:rsidRPr="00E15B17">
              <w:rPr>
                <w:i/>
                <w:vertAlign w:val="subscript"/>
              </w:rPr>
              <w:t>q</w:t>
            </w:r>
          </w:p>
        </w:tc>
        <w:tc>
          <w:tcPr>
            <w:tcW w:w="465" w:type="pct"/>
          </w:tcPr>
          <w:p w14:paraId="5E995EEC" w14:textId="77777777" w:rsidR="001F04FD" w:rsidRDefault="001F04FD" w:rsidP="00AC4DEE">
            <w:pPr>
              <w:pStyle w:val="TableBody"/>
            </w:pPr>
            <w:r>
              <w:t>none</w:t>
            </w:r>
          </w:p>
        </w:tc>
        <w:tc>
          <w:tcPr>
            <w:tcW w:w="3177" w:type="pct"/>
          </w:tcPr>
          <w:p w14:paraId="3CDB5FF9" w14:textId="77777777" w:rsidR="001F04FD" w:rsidRDefault="001F04FD" w:rsidP="00BD4C7C">
            <w:pPr>
              <w:pStyle w:val="TableBody"/>
            </w:pPr>
            <w:r>
              <w:t xml:space="preserve">The hourly LRS calculated for QSE </w:t>
            </w:r>
            <w:r w:rsidRPr="00EB4BCC">
              <w:rPr>
                <w:i/>
              </w:rPr>
              <w:t>q</w:t>
            </w:r>
            <w:r>
              <w:t xml:space="preserve"> for the hour.  See Section 6.6.2.</w:t>
            </w:r>
            <w:r w:rsidR="00BD4C7C">
              <w:t>4</w:t>
            </w:r>
            <w:r>
              <w:t>, QSE Load Ratio Share for an Operating Hour.</w:t>
            </w:r>
          </w:p>
        </w:tc>
      </w:tr>
      <w:tr w:rsidR="001F04FD" w14:paraId="46DBE71A" w14:textId="77777777" w:rsidTr="00AC4DEE">
        <w:trPr>
          <w:cantSplit/>
        </w:trPr>
        <w:tc>
          <w:tcPr>
            <w:tcW w:w="1358" w:type="pct"/>
          </w:tcPr>
          <w:p w14:paraId="0AA0C8CC" w14:textId="77777777" w:rsidR="001F04FD" w:rsidRDefault="001F04FD" w:rsidP="00AC4DEE">
            <w:pPr>
              <w:pStyle w:val="TableBody"/>
            </w:pPr>
            <w:r>
              <w:t xml:space="preserve">RMRSBAMTQSETOT </w:t>
            </w:r>
            <w:r w:rsidRPr="00E15B17">
              <w:rPr>
                <w:i/>
                <w:vertAlign w:val="subscript"/>
              </w:rPr>
              <w:t>q</w:t>
            </w:r>
          </w:p>
        </w:tc>
        <w:tc>
          <w:tcPr>
            <w:tcW w:w="465" w:type="pct"/>
          </w:tcPr>
          <w:p w14:paraId="5543EDF5" w14:textId="77777777" w:rsidR="001F04FD" w:rsidRDefault="001F04FD" w:rsidP="00AC4DEE">
            <w:pPr>
              <w:pStyle w:val="TableBody"/>
            </w:pPr>
            <w:r>
              <w:t>$</w:t>
            </w:r>
          </w:p>
        </w:tc>
        <w:tc>
          <w:tcPr>
            <w:tcW w:w="3177" w:type="pct"/>
          </w:tcPr>
          <w:p w14:paraId="2A0CC485" w14:textId="77777777" w:rsidR="001F04FD" w:rsidRDefault="001F04FD" w:rsidP="00AC4DEE">
            <w:pPr>
              <w:pStyle w:val="TableBody"/>
            </w:pPr>
            <w:r w:rsidRPr="00EB4BCC">
              <w:rPr>
                <w:i/>
              </w:rPr>
              <w:t>Reliability Must</w:t>
            </w:r>
            <w:r>
              <w:rPr>
                <w:i/>
              </w:rPr>
              <w:t>-</w:t>
            </w:r>
            <w:r w:rsidRPr="00EB4BCC">
              <w:rPr>
                <w:i/>
              </w:rPr>
              <w:t>Run Standby Amount QSE Total per QSE</w:t>
            </w:r>
            <w:r w:rsidRPr="00EB4BCC">
              <w:sym w:font="Symbol" w:char="F0BE"/>
            </w:r>
            <w:r>
              <w:t xml:space="preserve">The total of the Standby Payments to QSE </w:t>
            </w:r>
            <w:r w:rsidRPr="00EB4BCC">
              <w:rPr>
                <w:i/>
              </w:rPr>
              <w:t>q</w:t>
            </w:r>
            <w:r>
              <w:t xml:space="preserve"> for the RMR Units represented by the same QSE for the hour.</w:t>
            </w:r>
          </w:p>
        </w:tc>
      </w:tr>
      <w:tr w:rsidR="001F04FD" w14:paraId="0ED4DCAB" w14:textId="77777777" w:rsidTr="00AC4DEE">
        <w:trPr>
          <w:cantSplit/>
        </w:trPr>
        <w:tc>
          <w:tcPr>
            <w:tcW w:w="1358" w:type="pct"/>
          </w:tcPr>
          <w:p w14:paraId="7D3DA08A" w14:textId="77777777" w:rsidR="001F04FD" w:rsidRDefault="001F04FD" w:rsidP="00AC4DEE">
            <w:pPr>
              <w:pStyle w:val="TableBody"/>
            </w:pPr>
            <w:r>
              <w:t xml:space="preserve">RMREAMTQSETOT </w:t>
            </w:r>
            <w:r w:rsidRPr="00E15B17">
              <w:rPr>
                <w:i/>
                <w:vertAlign w:val="subscript"/>
              </w:rPr>
              <w:t>q</w:t>
            </w:r>
          </w:p>
        </w:tc>
        <w:tc>
          <w:tcPr>
            <w:tcW w:w="465" w:type="pct"/>
          </w:tcPr>
          <w:p w14:paraId="4044D501" w14:textId="77777777" w:rsidR="001F04FD" w:rsidRDefault="001F04FD" w:rsidP="00AC4DEE">
            <w:pPr>
              <w:pStyle w:val="TableBody"/>
            </w:pPr>
            <w:r>
              <w:t>$</w:t>
            </w:r>
          </w:p>
        </w:tc>
        <w:tc>
          <w:tcPr>
            <w:tcW w:w="3177" w:type="pct"/>
          </w:tcPr>
          <w:p w14:paraId="2BAC5F68" w14:textId="77777777" w:rsidR="001F04FD" w:rsidRDefault="001F04FD" w:rsidP="00AC4DEE">
            <w:pPr>
              <w:pStyle w:val="TableBody"/>
            </w:pPr>
            <w:r w:rsidRPr="00EB4BCC">
              <w:rPr>
                <w:i/>
              </w:rPr>
              <w:t>Reliability Must</w:t>
            </w:r>
            <w:r>
              <w:rPr>
                <w:i/>
              </w:rPr>
              <w:t>-</w:t>
            </w:r>
            <w:r w:rsidRPr="00EB4BCC">
              <w:rPr>
                <w:i/>
              </w:rPr>
              <w:t>Run Energy Amount QSE Total per QSE</w:t>
            </w:r>
            <w:r w:rsidRPr="00EB4BCC">
              <w:sym w:font="Symbol" w:char="F0BE"/>
            </w:r>
            <w:r>
              <w:t xml:space="preserve">The total of the energy payments to QSE </w:t>
            </w:r>
            <w:r w:rsidRPr="00EB4BCC">
              <w:rPr>
                <w:i/>
              </w:rPr>
              <w:t>q</w:t>
            </w:r>
            <w:r>
              <w:t xml:space="preserve"> for the RMR Units represented by the same QSE for the hour.</w:t>
            </w:r>
          </w:p>
        </w:tc>
      </w:tr>
      <w:tr w:rsidR="001F04FD" w14:paraId="5F15DC64" w14:textId="77777777" w:rsidTr="00AC4DEE">
        <w:trPr>
          <w:cantSplit/>
        </w:trPr>
        <w:tc>
          <w:tcPr>
            <w:tcW w:w="1358" w:type="pct"/>
          </w:tcPr>
          <w:p w14:paraId="17225554" w14:textId="77777777" w:rsidR="001F04FD" w:rsidRDefault="001F04FD" w:rsidP="00AC4DEE">
            <w:pPr>
              <w:pStyle w:val="TableBody"/>
            </w:pPr>
            <w:r>
              <w:t xml:space="preserve">RMRAAMT </w:t>
            </w:r>
            <w:r w:rsidRPr="00E15B17">
              <w:rPr>
                <w:i/>
                <w:vertAlign w:val="subscript"/>
              </w:rPr>
              <w:t>q</w:t>
            </w:r>
          </w:p>
        </w:tc>
        <w:tc>
          <w:tcPr>
            <w:tcW w:w="465" w:type="pct"/>
          </w:tcPr>
          <w:p w14:paraId="1B303CC0" w14:textId="77777777" w:rsidR="001F04FD" w:rsidRDefault="001F04FD" w:rsidP="00AC4DEE">
            <w:pPr>
              <w:pStyle w:val="TableBody"/>
            </w:pPr>
            <w:r>
              <w:t>$</w:t>
            </w:r>
          </w:p>
        </w:tc>
        <w:tc>
          <w:tcPr>
            <w:tcW w:w="3177" w:type="pct"/>
          </w:tcPr>
          <w:p w14:paraId="2497654C" w14:textId="77777777" w:rsidR="001F04FD" w:rsidRPr="00EB4BCC" w:rsidRDefault="001F04FD" w:rsidP="00AC4DEE">
            <w:pPr>
              <w:pStyle w:val="TableBody"/>
              <w:rPr>
                <w:i/>
              </w:rPr>
            </w:pPr>
            <w:r w:rsidRPr="00EB4BCC">
              <w:rPr>
                <w:i/>
              </w:rPr>
              <w:t>RMR Adjusted Amount per QSE</w:t>
            </w:r>
            <w:r>
              <w:t xml:space="preserve">—The adjustment from QSE </w:t>
            </w:r>
            <w:r w:rsidRPr="00EB4BCC">
              <w:rPr>
                <w:i/>
              </w:rPr>
              <w:t>q</w:t>
            </w:r>
            <w:r>
              <w:t xml:space="preserve"> Standby Payments and energy payments for all RMR Units represented by this QSE, for the revenues received for the same RMR Units from RUC and Real-Time operations, for the hour.</w:t>
            </w:r>
          </w:p>
        </w:tc>
      </w:tr>
      <w:tr w:rsidR="001F04FD" w14:paraId="26A17FA9" w14:textId="77777777" w:rsidTr="00AC4DEE">
        <w:trPr>
          <w:cantSplit/>
        </w:trPr>
        <w:tc>
          <w:tcPr>
            <w:tcW w:w="1358" w:type="pct"/>
          </w:tcPr>
          <w:p w14:paraId="64B4C29D" w14:textId="77777777" w:rsidR="001F04FD" w:rsidRDefault="001F04FD" w:rsidP="00AC4DEE">
            <w:pPr>
              <w:pStyle w:val="TableBody"/>
            </w:pPr>
            <w:r>
              <w:t>RMRNPAMTQSETOT</w:t>
            </w:r>
            <w:r w:rsidRPr="00E15B17">
              <w:rPr>
                <w:i/>
              </w:rPr>
              <w:t xml:space="preserve"> </w:t>
            </w:r>
            <w:r w:rsidRPr="00E15B17">
              <w:rPr>
                <w:i/>
                <w:vertAlign w:val="subscript"/>
              </w:rPr>
              <w:t>q</w:t>
            </w:r>
          </w:p>
        </w:tc>
        <w:tc>
          <w:tcPr>
            <w:tcW w:w="465" w:type="pct"/>
          </w:tcPr>
          <w:p w14:paraId="059AFC85" w14:textId="77777777" w:rsidR="001F04FD" w:rsidRDefault="001F04FD" w:rsidP="00AC4DEE">
            <w:pPr>
              <w:pStyle w:val="TableBody"/>
            </w:pPr>
            <w:r>
              <w:t>$</w:t>
            </w:r>
          </w:p>
        </w:tc>
        <w:tc>
          <w:tcPr>
            <w:tcW w:w="3177" w:type="pct"/>
          </w:tcPr>
          <w:p w14:paraId="25D63AFB" w14:textId="77777777" w:rsidR="001F04FD" w:rsidRDefault="001F04FD" w:rsidP="00AC4DEE">
            <w:pPr>
              <w:pStyle w:val="TableBody"/>
            </w:pPr>
            <w:r w:rsidRPr="00EB4BCC">
              <w:rPr>
                <w:i/>
              </w:rPr>
              <w:t>Reliability Must</w:t>
            </w:r>
            <w:r>
              <w:rPr>
                <w:i/>
              </w:rPr>
              <w:t>-</w:t>
            </w:r>
            <w:r w:rsidRPr="00EB4BCC">
              <w:rPr>
                <w:i/>
              </w:rPr>
              <w:t>Run Unexcused Misconduct Amount QSE Total per QSE</w:t>
            </w:r>
            <w:r w:rsidRPr="00EB4BCC">
              <w:sym w:font="Symbol" w:char="F0BE"/>
            </w:r>
            <w:r>
              <w:t xml:space="preserve">The total of the charges to QSE </w:t>
            </w:r>
            <w:r w:rsidRPr="00EB4BCC">
              <w:rPr>
                <w:i/>
              </w:rPr>
              <w:t>q</w:t>
            </w:r>
            <w:r>
              <w:t xml:space="preserve"> for unexcused Misconduct Events of the RMR Units represented by the same QSE for the Operating Day.</w:t>
            </w:r>
          </w:p>
        </w:tc>
      </w:tr>
      <w:tr w:rsidR="001F04FD" w14:paraId="1F8D6D8D" w14:textId="77777777" w:rsidTr="00AC4DEE">
        <w:trPr>
          <w:cantSplit/>
        </w:trPr>
        <w:tc>
          <w:tcPr>
            <w:tcW w:w="1358" w:type="pct"/>
          </w:tcPr>
          <w:p w14:paraId="1CAB2D05" w14:textId="77777777" w:rsidR="001F04FD" w:rsidRPr="0072643D" w:rsidRDefault="001F04FD" w:rsidP="00AC4DEE">
            <w:pPr>
              <w:pStyle w:val="TableBody"/>
              <w:rPr>
                <w:i/>
              </w:rPr>
            </w:pPr>
            <w:r w:rsidRPr="00D661BC">
              <w:rPr>
                <w:i/>
              </w:rPr>
              <w:t>q</w:t>
            </w:r>
          </w:p>
        </w:tc>
        <w:tc>
          <w:tcPr>
            <w:tcW w:w="465" w:type="pct"/>
          </w:tcPr>
          <w:p w14:paraId="6DEADC40" w14:textId="77777777" w:rsidR="001F04FD" w:rsidRDefault="001F04FD" w:rsidP="00AC4DEE">
            <w:pPr>
              <w:pStyle w:val="TableBody"/>
            </w:pPr>
            <w:r>
              <w:t>none</w:t>
            </w:r>
          </w:p>
        </w:tc>
        <w:tc>
          <w:tcPr>
            <w:tcW w:w="3177" w:type="pct"/>
          </w:tcPr>
          <w:p w14:paraId="66106F5F" w14:textId="77777777" w:rsidR="001F04FD" w:rsidRPr="00EB4BCC" w:rsidRDefault="001F04FD" w:rsidP="00AC4DEE">
            <w:pPr>
              <w:pStyle w:val="TableBody"/>
              <w:rPr>
                <w:i/>
              </w:rPr>
            </w:pPr>
            <w:r>
              <w:t>A QSE.</w:t>
            </w:r>
          </w:p>
        </w:tc>
      </w:tr>
      <w:tr w:rsidR="001F04FD" w14:paraId="0399A3D8" w14:textId="77777777" w:rsidTr="00AC4DEE">
        <w:trPr>
          <w:cantSplit/>
        </w:trPr>
        <w:tc>
          <w:tcPr>
            <w:tcW w:w="1358" w:type="pct"/>
          </w:tcPr>
          <w:p w14:paraId="0FB06C21" w14:textId="77777777" w:rsidR="001F04FD" w:rsidRDefault="001F04FD" w:rsidP="00AC4DEE">
            <w:pPr>
              <w:pStyle w:val="TableBody"/>
            </w:pPr>
            <w:r>
              <w:t>H</w:t>
            </w:r>
          </w:p>
        </w:tc>
        <w:tc>
          <w:tcPr>
            <w:tcW w:w="465" w:type="pct"/>
          </w:tcPr>
          <w:p w14:paraId="7E30E069" w14:textId="77777777" w:rsidR="001F04FD" w:rsidRDefault="001F04FD" w:rsidP="00AC4DEE">
            <w:pPr>
              <w:pStyle w:val="TableBody"/>
            </w:pPr>
            <w:r>
              <w:t>none</w:t>
            </w:r>
          </w:p>
        </w:tc>
        <w:tc>
          <w:tcPr>
            <w:tcW w:w="3177" w:type="pct"/>
          </w:tcPr>
          <w:p w14:paraId="341E25B7" w14:textId="77777777" w:rsidR="001F04FD" w:rsidRDefault="001F04FD" w:rsidP="00AC4DEE">
            <w:pPr>
              <w:pStyle w:val="TableBody"/>
            </w:pPr>
            <w:r>
              <w:t>The number of hours of the Operating Day.</w:t>
            </w:r>
          </w:p>
        </w:tc>
      </w:tr>
    </w:tbl>
    <w:p w14:paraId="382F3816" w14:textId="77777777" w:rsidR="001F04FD" w:rsidRPr="00F1527F" w:rsidRDefault="001F04FD" w:rsidP="001F04FD">
      <w:pPr>
        <w:pStyle w:val="H4"/>
        <w:spacing w:before="480"/>
        <w:ind w:left="1267" w:hanging="1267"/>
        <w:rPr>
          <w:szCs w:val="24"/>
        </w:rPr>
      </w:pPr>
      <w:bookmarkStart w:id="2382" w:name="_Toc463262801"/>
      <w:bookmarkStart w:id="2383" w:name="_Toc468286874"/>
      <w:bookmarkStart w:id="2384" w:name="_Toc481502914"/>
      <w:bookmarkStart w:id="2385" w:name="_Toc496080082"/>
      <w:bookmarkStart w:id="2386" w:name="_Toc397505032"/>
      <w:bookmarkStart w:id="2387" w:name="_Toc402357164"/>
      <w:bookmarkStart w:id="2388" w:name="_Toc422486544"/>
      <w:bookmarkStart w:id="2389" w:name="_Toc433093397"/>
      <w:bookmarkStart w:id="2390" w:name="_Toc433093555"/>
      <w:bookmarkStart w:id="2391" w:name="_Toc440874785"/>
      <w:bookmarkStart w:id="2392" w:name="_Toc448142342"/>
      <w:bookmarkStart w:id="2393" w:name="_Toc448142499"/>
      <w:bookmarkStart w:id="2394" w:name="_Toc458770340"/>
      <w:bookmarkStart w:id="2395" w:name="_Toc459294308"/>
      <w:bookmarkStart w:id="2396" w:name="_Toc204411707"/>
      <w:r w:rsidRPr="00F1527F">
        <w:rPr>
          <w:szCs w:val="24"/>
        </w:rPr>
        <w:t>6.6.6.6</w:t>
      </w:r>
      <w:r w:rsidRPr="00F1527F">
        <w:rPr>
          <w:szCs w:val="24"/>
        </w:rPr>
        <w:tab/>
      </w:r>
      <w:r w:rsidR="00326E23" w:rsidRPr="00326E23">
        <w:t xml:space="preserve">Method for Reconciling RMR Actual Eligible Costs, RMR and MRA Contributed Capital Expenditures, and Miscellaneous RMR Incurred </w:t>
      </w:r>
      <w:r w:rsidR="00326E23" w:rsidRPr="00326E23">
        <w:lastRenderedPageBreak/>
        <w:t>Expenses</w:t>
      </w:r>
      <w:bookmarkEnd w:id="2382"/>
      <w:bookmarkEnd w:id="2383"/>
      <w:bookmarkEnd w:id="2384"/>
      <w:bookmarkEnd w:id="2385"/>
      <w:bookmarkEnd w:id="2396"/>
    </w:p>
    <w:p w14:paraId="06877AB0" w14:textId="10E7E7B5" w:rsidR="00326E23" w:rsidRPr="00AF0BBA" w:rsidRDefault="00326E23" w:rsidP="00326E23">
      <w:pPr>
        <w:spacing w:after="240"/>
        <w:ind w:left="720" w:hanging="720"/>
      </w:pPr>
      <w:r w:rsidRPr="00AF0BBA">
        <w:rPr>
          <w:bCs/>
        </w:rPr>
        <w:t>(1)</w:t>
      </w:r>
      <w:r w:rsidRPr="00AF0BBA">
        <w:rPr>
          <w:bCs/>
        </w:rPr>
        <w:tab/>
      </w:r>
      <w:r w:rsidRPr="00AF0BBA">
        <w:rPr>
          <w:bCs/>
          <w:iCs/>
        </w:rPr>
        <w:t xml:space="preserve">No later than 30 days after the RTM True-Up Statement is issued for the termination date of the RMR Agreement, ERCOT shall issue a miscellaneous Invoice to charge the </w:t>
      </w:r>
      <w:r w:rsidRPr="00AF0BBA">
        <w:t>QSE</w:t>
      </w:r>
      <w:r w:rsidRPr="00AF0BBA">
        <w:rPr>
          <w:bCs/>
          <w:iCs/>
        </w:rPr>
        <w:t xml:space="preserve"> representing the RMR Unit for </w:t>
      </w:r>
      <w:r w:rsidRPr="00AF0BBA">
        <w:rPr>
          <w:bCs/>
        </w:rPr>
        <w:t>any overpayments to the QSE representing the RMR Unit as described in Section 3.14.1.1</w:t>
      </w:r>
      <w:r>
        <w:rPr>
          <w:bCs/>
        </w:rPr>
        <w:t>6</w:t>
      </w:r>
      <w:r w:rsidRPr="00AF0BBA">
        <w:rPr>
          <w:bCs/>
        </w:rPr>
        <w:t>, Reconciliation of Actual Eligible Costs, and contributed capital expenditures described in Section 3.14.1.1</w:t>
      </w:r>
      <w:r>
        <w:rPr>
          <w:bCs/>
        </w:rPr>
        <w:t>9</w:t>
      </w:r>
      <w:r w:rsidRPr="00AF0BBA">
        <w:rPr>
          <w:bCs/>
        </w:rPr>
        <w:t xml:space="preserve">, </w:t>
      </w:r>
      <w:r w:rsidRPr="00AF0BBA">
        <w:t>Charge</w:t>
      </w:r>
      <w:r w:rsidRPr="00AF0BBA">
        <w:rPr>
          <w:bCs/>
        </w:rPr>
        <w:t xml:space="preserve"> for Contributed Capital Expenditures.  Refunded contributed capital expenditures are prorated evenly and on a monthly basis over the RMR Agreement period before being allocated to Load on an hourly LRS basis.  Refunded overpayments </w:t>
      </w:r>
      <w:r w:rsidRPr="000D5111">
        <w:rPr>
          <w:bCs/>
        </w:rPr>
        <w:t>described in Section 3.14.1.1</w:t>
      </w:r>
      <w:r>
        <w:rPr>
          <w:bCs/>
        </w:rPr>
        <w:t xml:space="preserve">6 </w:t>
      </w:r>
      <w:r w:rsidRPr="00AF0BBA">
        <w:rPr>
          <w:bCs/>
        </w:rPr>
        <w:t>are allocated directly to the month in which the overpayment occurred before being allocated to Load on an hourly LRS basis.  A separate Invoice will be sent for each RMR Agreement.</w:t>
      </w:r>
    </w:p>
    <w:p w14:paraId="167A6B7C" w14:textId="77777777" w:rsidR="00326E23" w:rsidRPr="00AF0BBA" w:rsidRDefault="00326E23" w:rsidP="00326E23">
      <w:pPr>
        <w:spacing w:after="240"/>
        <w:ind w:left="1440" w:hanging="720"/>
      </w:pPr>
      <w:r w:rsidRPr="00AF0BBA">
        <w:t>(a)</w:t>
      </w:r>
      <w:r w:rsidRPr="00AF0BBA">
        <w:tab/>
        <w:t xml:space="preserve">The one-time charge to the QSE to collect the lump sum of over-payments and contributed capital </w:t>
      </w:r>
      <w:r w:rsidRPr="00AF0BBA">
        <w:rPr>
          <w:iCs/>
        </w:rPr>
        <w:t>expenditures</w:t>
      </w:r>
      <w:r w:rsidRPr="00AF0BBA">
        <w:t xml:space="preserve"> is calculated as follows:</w:t>
      </w:r>
    </w:p>
    <w:p w14:paraId="717A3AB4" w14:textId="4AC3CE37" w:rsidR="00326E23" w:rsidRPr="00AF0BBA" w:rsidRDefault="00326E23" w:rsidP="00326E23">
      <w:pPr>
        <w:spacing w:after="240"/>
        <w:ind w:left="1440" w:hanging="720"/>
        <w:rPr>
          <w:i/>
          <w:vertAlign w:val="subscript"/>
        </w:rPr>
      </w:pPr>
      <w:r w:rsidRPr="00AF0BBA">
        <w:tab/>
        <w:t xml:space="preserve">RMRRAMT </w:t>
      </w:r>
      <w:r w:rsidRPr="00AF0BBA">
        <w:rPr>
          <w:i/>
          <w:vertAlign w:val="subscript"/>
        </w:rPr>
        <w:t xml:space="preserve">q, r, c   </w:t>
      </w:r>
      <w:r w:rsidRPr="00AF0BBA">
        <w:rPr>
          <w:lang w:val="pt-BR"/>
        </w:rPr>
        <w:t xml:space="preserve">= RMRCE </w:t>
      </w:r>
      <w:r w:rsidRPr="00AF0BBA">
        <w:rPr>
          <w:i/>
          <w:vertAlign w:val="subscript"/>
          <w:lang w:val="pt-BR"/>
        </w:rPr>
        <w:t xml:space="preserve">q, r, c </w:t>
      </w:r>
      <w:r w:rsidRPr="00AF0BBA">
        <w:rPr>
          <w:lang w:val="pt-BR"/>
        </w:rPr>
        <w:t xml:space="preserve">+ </w:t>
      </w:r>
      <w:r w:rsidR="00A94020">
        <w:rPr>
          <w:noProof/>
          <w:position w:val="-28"/>
        </w:rPr>
        <w:drawing>
          <wp:inline distT="0" distB="0" distL="0" distR="0" wp14:anchorId="57D04FEE" wp14:editId="7C044479">
            <wp:extent cx="276225" cy="4572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rPr>
          <w:lang w:val="pt-BR"/>
        </w:rPr>
        <w:t xml:space="preserve">RMROP </w:t>
      </w:r>
      <w:r w:rsidRPr="00AF0BBA">
        <w:rPr>
          <w:i/>
          <w:vertAlign w:val="subscript"/>
          <w:lang w:val="pt-BR"/>
        </w:rPr>
        <w:t>q, r, c, m</w:t>
      </w:r>
    </w:p>
    <w:p w14:paraId="792AF03E" w14:textId="77777777" w:rsidR="00326E23" w:rsidRPr="00AF0BBA" w:rsidRDefault="00326E23" w:rsidP="00326E23">
      <w:pPr>
        <w:spacing w:after="240"/>
        <w:ind w:left="1440" w:hanging="720"/>
      </w:pPr>
      <w:r w:rsidRPr="00AF0BBA">
        <w:t>(b)</w:t>
      </w:r>
      <w:r w:rsidRPr="00AF0BBA">
        <w:tab/>
        <w:t>The one-</w:t>
      </w:r>
      <w:r w:rsidRPr="00AF0BBA">
        <w:rPr>
          <w:iCs/>
        </w:rPr>
        <w:t>time</w:t>
      </w:r>
      <w:r w:rsidRPr="00AF0BBA">
        <w:t xml:space="preserve"> payment is calculated as follows:</w:t>
      </w:r>
    </w:p>
    <w:p w14:paraId="7F4F673E" w14:textId="5D6F051D" w:rsidR="00326E23" w:rsidRDefault="00326E23" w:rsidP="00326E23">
      <w:pPr>
        <w:ind w:left="2160" w:hanging="720"/>
        <w:rPr>
          <w:lang w:val="pt-BR"/>
        </w:rPr>
      </w:pPr>
      <w:r w:rsidRPr="00AF0BBA">
        <w:t>LARMRRAMT</w:t>
      </w:r>
      <w:r w:rsidRPr="00AF0BBA">
        <w:rPr>
          <w:i/>
          <w:vertAlign w:val="subscript"/>
        </w:rPr>
        <w:t xml:space="preserve"> q</w:t>
      </w:r>
      <w:r w:rsidRPr="00AF0BBA">
        <w:t xml:space="preserve">  =   (-1) * </w:t>
      </w:r>
      <w:r w:rsidR="00A94020">
        <w:rPr>
          <w:noProof/>
          <w:position w:val="-28"/>
        </w:rPr>
        <w:drawing>
          <wp:inline distT="0" distB="0" distL="0" distR="0" wp14:anchorId="6D975485" wp14:editId="17CAE2E4">
            <wp:extent cx="276225" cy="4572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t xml:space="preserve"> (</w:t>
      </w:r>
      <w:r>
        <w:rPr>
          <w:lang w:val="pt-BR"/>
        </w:rPr>
        <w:t>M</w:t>
      </w:r>
      <w:r w:rsidRPr="00AF0BBA">
        <w:rPr>
          <w:lang w:val="pt-BR"/>
        </w:rPr>
        <w:t xml:space="preserve">RMRCE </w:t>
      </w:r>
      <w:r w:rsidRPr="00AF0BBA">
        <w:rPr>
          <w:i/>
          <w:vertAlign w:val="subscript"/>
        </w:rPr>
        <w:t>m</w:t>
      </w:r>
      <w:r>
        <w:rPr>
          <w:i/>
          <w:vertAlign w:val="subscript"/>
        </w:rPr>
        <w:t xml:space="preserve"> </w:t>
      </w:r>
      <w:r w:rsidRPr="00AF0BBA">
        <w:rPr>
          <w:i/>
        </w:rPr>
        <w:t>+</w:t>
      </w:r>
      <w:r w:rsidRPr="00AF0BBA">
        <w:rPr>
          <w:lang w:val="pt-BR"/>
        </w:rPr>
        <w:t xml:space="preserve"> RMROP</w:t>
      </w:r>
      <w:r w:rsidRPr="00AF0BBA">
        <w:rPr>
          <w:i/>
          <w:vertAlign w:val="subscript"/>
        </w:rPr>
        <w:t xml:space="preserve"> q, r, c, m</w:t>
      </w:r>
      <w:r w:rsidRPr="00AF0BBA">
        <w:rPr>
          <w:lang w:val="pt-BR"/>
        </w:rPr>
        <w:t>)</w:t>
      </w:r>
      <w:r w:rsidRPr="00AF0BBA">
        <w:rPr>
          <w:i/>
          <w:vertAlign w:val="subscript"/>
        </w:rPr>
        <w:t xml:space="preserve"> </w:t>
      </w:r>
      <w:r w:rsidRPr="00AF0BBA">
        <w:rPr>
          <w:lang w:val="pt-BR"/>
        </w:rPr>
        <w:t xml:space="preserve">/ MH </w:t>
      </w:r>
      <w:r w:rsidRPr="00AF0BBA">
        <w:rPr>
          <w:i/>
          <w:vertAlign w:val="subscript"/>
        </w:rPr>
        <w:t>m</w:t>
      </w:r>
      <w:r w:rsidRPr="00AF0BBA">
        <w:rPr>
          <w:lang w:val="pt-BR"/>
        </w:rPr>
        <w:t xml:space="preserve"> * </w:t>
      </w:r>
    </w:p>
    <w:p w14:paraId="2438A4F2" w14:textId="77777777" w:rsidR="00326E23" w:rsidRPr="00AF0BBA" w:rsidRDefault="00326E23" w:rsidP="00326E23">
      <w:pPr>
        <w:spacing w:after="240"/>
        <w:ind w:left="2160" w:hanging="720"/>
        <w:rPr>
          <w:i/>
          <w:vertAlign w:val="subscript"/>
        </w:rPr>
      </w:pPr>
      <w:r w:rsidRPr="00AF0BBA">
        <w:tab/>
      </w:r>
      <w:r w:rsidRPr="00AF0BBA">
        <w:tab/>
      </w:r>
      <w:r w:rsidRPr="00AF0BBA">
        <w:tab/>
      </w:r>
      <w:r w:rsidRPr="00AF0BBA">
        <w:rPr>
          <w:lang w:val="pt-BR"/>
        </w:rPr>
        <w:t>HLRS</w:t>
      </w:r>
      <w:r w:rsidRPr="00AF0BBA">
        <w:rPr>
          <w:i/>
          <w:vertAlign w:val="subscript"/>
        </w:rPr>
        <w:t xml:space="preserve"> q, m</w:t>
      </w:r>
    </w:p>
    <w:p w14:paraId="2C1C8F4A" w14:textId="77777777" w:rsidR="00326E23" w:rsidRPr="00AF0BBA" w:rsidRDefault="00326E23" w:rsidP="00326E23">
      <w:pPr>
        <w:spacing w:after="240"/>
        <w:ind w:left="720" w:firstLine="720"/>
        <w:rPr>
          <w:i/>
          <w:vertAlign w:val="subscript"/>
        </w:rPr>
      </w:pPr>
      <w:r w:rsidRPr="00AF0BBA">
        <w:t xml:space="preserve">Where: </w:t>
      </w:r>
    </w:p>
    <w:p w14:paraId="5EB1C646" w14:textId="31D9DBA4" w:rsidR="00326E23" w:rsidRPr="00AF0BBA" w:rsidRDefault="00326E23" w:rsidP="00326E23">
      <w:pPr>
        <w:spacing w:after="240"/>
        <w:ind w:left="1440"/>
        <w:rPr>
          <w:i/>
          <w:vertAlign w:val="subscript"/>
        </w:rPr>
      </w:pPr>
      <w:r w:rsidRPr="00AF0BBA" w:rsidDel="005E3B3E">
        <w:rPr>
          <w:lang w:val="pt-BR"/>
        </w:rPr>
        <w:t>M</w:t>
      </w:r>
      <w:r w:rsidRPr="00AF0BBA">
        <w:rPr>
          <w:lang w:val="pt-BR"/>
        </w:rPr>
        <w:t>RMRCE</w:t>
      </w:r>
      <w:r w:rsidRPr="00AF0BBA">
        <w:rPr>
          <w:i/>
          <w:vertAlign w:val="subscript"/>
        </w:rPr>
        <w:t xml:space="preserve"> m</w:t>
      </w:r>
      <w:r w:rsidRPr="00AF0BBA">
        <w:rPr>
          <w:lang w:val="pt-BR"/>
        </w:rPr>
        <w:t xml:space="preserve">   =    </w:t>
      </w:r>
      <w:r w:rsidR="00A94020">
        <w:rPr>
          <w:noProof/>
          <w:position w:val="-30"/>
        </w:rPr>
        <w:drawing>
          <wp:inline distT="0" distB="0" distL="0" distR="0" wp14:anchorId="61926435" wp14:editId="4AD393CC">
            <wp:extent cx="276225" cy="4572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00A94020">
        <w:rPr>
          <w:noProof/>
          <w:position w:val="-28"/>
        </w:rPr>
        <w:drawing>
          <wp:inline distT="0" distB="0" distL="0" distR="0" wp14:anchorId="481B22B0" wp14:editId="7A1DC1B1">
            <wp:extent cx="276225" cy="4572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rPr>
          <w:lang w:val="pt-BR"/>
        </w:rPr>
        <w:t>RMRCE</w:t>
      </w:r>
      <w:r w:rsidRPr="00AF0BBA">
        <w:rPr>
          <w:i/>
          <w:vertAlign w:val="subscript"/>
        </w:rPr>
        <w:t xml:space="preserve"> q, r, c</w:t>
      </w:r>
      <w:r w:rsidRPr="00AF0BBA">
        <w:rPr>
          <w:lang w:val="pt-BR"/>
        </w:rPr>
        <w:t xml:space="preserve"> / CM</w:t>
      </w:r>
      <w:r w:rsidRPr="00AF0BBA">
        <w:rPr>
          <w:i/>
          <w:vertAlign w:val="subscript"/>
        </w:rPr>
        <w:t xml:space="preserve"> q, r, c</w:t>
      </w:r>
    </w:p>
    <w:p w14:paraId="651054B4" w14:textId="77777777" w:rsidR="00326E23" w:rsidRPr="00AF0BBA" w:rsidRDefault="00326E23" w:rsidP="00326E23">
      <w:pPr>
        <w:spacing w:after="240"/>
        <w:ind w:left="1440"/>
      </w:pPr>
      <w:r w:rsidRPr="00AF0BBA">
        <w:t xml:space="preserve">The HLRS used will be the HLRS for each day within the contracted month </w:t>
      </w:r>
      <w:r w:rsidRPr="00AF0BBA">
        <w:rPr>
          <w:i/>
        </w:rPr>
        <w:t>m</w:t>
      </w:r>
      <w:r w:rsidRPr="00AF0BBA">
        <w:t>.  The most recent approved HLRS available at time the miscellaneous Invoice is posted will be used.  The miscellaneous Invoice will not be re-calculated with subsequent Settlement runs unless required by a dispute or Alternative Dispute Resolution (ADR).  If a dispute or ADR requires ERCOT to re-issue the miscellaneous Invoice, the most recent approved HLRS values will be used.</w:t>
      </w:r>
    </w:p>
    <w:p w14:paraId="3E8E5F19" w14:textId="77777777" w:rsidR="00326E23" w:rsidRPr="00AF0BBA" w:rsidRDefault="00326E23" w:rsidP="00326E23">
      <w:pPr>
        <w:spacing w:after="240"/>
        <w:ind w:left="1440" w:hanging="720"/>
      </w:pPr>
      <w:r w:rsidRPr="00AF0BBA">
        <w:t xml:space="preserve">(c) </w:t>
      </w:r>
      <w:r w:rsidRPr="00AF0BBA">
        <w:tab/>
        <w:t>Upon issuance of the miscellaneous Invoice, ERCOT shall issue a Market Notice containing the values of RMROP, RMRCE, and the Settlement run containing the HLRS that was used in the Settlement.</w:t>
      </w:r>
    </w:p>
    <w:p w14:paraId="76E31686" w14:textId="77777777" w:rsidR="00326E23" w:rsidRPr="00AF0BBA" w:rsidRDefault="00326E23" w:rsidP="00326E23">
      <w:pPr>
        <w:tabs>
          <w:tab w:val="left" w:pos="2250"/>
          <w:tab w:val="left" w:pos="3150"/>
          <w:tab w:val="left" w:pos="3960"/>
        </w:tabs>
      </w:pPr>
      <w:r w:rsidRPr="00AF0BBA">
        <w:t>The above variables are defined as follows: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6"/>
        <w:gridCol w:w="898"/>
        <w:gridCol w:w="6121"/>
      </w:tblGrid>
      <w:tr w:rsidR="00326E23" w:rsidRPr="00AF0BBA" w14:paraId="22CA5B0D" w14:textId="77777777" w:rsidTr="009B2773">
        <w:tc>
          <w:tcPr>
            <w:tcW w:w="1296" w:type="pct"/>
          </w:tcPr>
          <w:p w14:paraId="00E407B9" w14:textId="77777777" w:rsidR="00326E23" w:rsidRPr="00AF0BBA" w:rsidRDefault="00326E23" w:rsidP="009B2773">
            <w:pPr>
              <w:spacing w:after="240"/>
              <w:rPr>
                <w:b/>
                <w:iCs/>
                <w:sz w:val="20"/>
              </w:rPr>
            </w:pPr>
            <w:r w:rsidRPr="00AF0BBA">
              <w:rPr>
                <w:b/>
                <w:iCs/>
                <w:sz w:val="20"/>
              </w:rPr>
              <w:t>Variable</w:t>
            </w:r>
          </w:p>
        </w:tc>
        <w:tc>
          <w:tcPr>
            <w:tcW w:w="474" w:type="pct"/>
          </w:tcPr>
          <w:p w14:paraId="4708ED31" w14:textId="77777777" w:rsidR="00326E23" w:rsidRPr="00AF0BBA" w:rsidRDefault="00326E23" w:rsidP="009B2773">
            <w:pPr>
              <w:spacing w:after="240"/>
              <w:rPr>
                <w:b/>
                <w:iCs/>
                <w:sz w:val="20"/>
              </w:rPr>
            </w:pPr>
            <w:r w:rsidRPr="00AF0BBA">
              <w:rPr>
                <w:b/>
                <w:iCs/>
                <w:sz w:val="20"/>
              </w:rPr>
              <w:t>Unit</w:t>
            </w:r>
          </w:p>
        </w:tc>
        <w:tc>
          <w:tcPr>
            <w:tcW w:w="3230" w:type="pct"/>
          </w:tcPr>
          <w:p w14:paraId="3C80585A" w14:textId="77777777" w:rsidR="00326E23" w:rsidRPr="00AF0BBA" w:rsidRDefault="00326E23" w:rsidP="009B2773">
            <w:pPr>
              <w:spacing w:after="240"/>
              <w:rPr>
                <w:b/>
                <w:iCs/>
                <w:sz w:val="20"/>
              </w:rPr>
            </w:pPr>
            <w:r w:rsidRPr="00AF0BBA">
              <w:rPr>
                <w:b/>
                <w:iCs/>
                <w:sz w:val="20"/>
              </w:rPr>
              <w:t>Description</w:t>
            </w:r>
          </w:p>
        </w:tc>
      </w:tr>
      <w:tr w:rsidR="00326E23" w:rsidRPr="00AF0BBA" w14:paraId="2DA40A2B" w14:textId="77777777" w:rsidTr="009B2773">
        <w:tc>
          <w:tcPr>
            <w:tcW w:w="1296" w:type="pct"/>
          </w:tcPr>
          <w:p w14:paraId="4813B9D8" w14:textId="77777777" w:rsidR="00326E23" w:rsidRPr="00AF0BBA" w:rsidRDefault="00326E23" w:rsidP="009B2773">
            <w:pPr>
              <w:spacing w:after="240"/>
              <w:rPr>
                <w:b/>
                <w:iCs/>
                <w:sz w:val="20"/>
              </w:rPr>
            </w:pPr>
            <w:r w:rsidRPr="00AF0BBA">
              <w:rPr>
                <w:iCs/>
                <w:sz w:val="20"/>
                <w:lang w:val="pt-BR"/>
              </w:rPr>
              <w:t>RMRRAMT</w:t>
            </w:r>
            <w:r w:rsidRPr="00AF0BBA">
              <w:rPr>
                <w:i/>
                <w:vertAlign w:val="subscript"/>
              </w:rPr>
              <w:t xml:space="preserve"> </w:t>
            </w:r>
            <w:r w:rsidRPr="00AF0BBA">
              <w:rPr>
                <w:i/>
                <w:iCs/>
                <w:sz w:val="20"/>
                <w:vertAlign w:val="subscript"/>
              </w:rPr>
              <w:t>q, r, c</w:t>
            </w:r>
            <w:r w:rsidRPr="00AF0BBA">
              <w:rPr>
                <w:i/>
                <w:vertAlign w:val="subscript"/>
              </w:rPr>
              <w:t xml:space="preserve">  </w:t>
            </w:r>
          </w:p>
        </w:tc>
        <w:tc>
          <w:tcPr>
            <w:tcW w:w="474" w:type="pct"/>
          </w:tcPr>
          <w:p w14:paraId="37CD6F2F" w14:textId="77777777" w:rsidR="00326E23" w:rsidRPr="00AF0BBA" w:rsidRDefault="00326E23" w:rsidP="009B2773">
            <w:pPr>
              <w:spacing w:after="240"/>
              <w:rPr>
                <w:b/>
                <w:iCs/>
                <w:sz w:val="20"/>
              </w:rPr>
            </w:pPr>
            <w:r w:rsidRPr="00AF0BBA">
              <w:rPr>
                <w:b/>
                <w:iCs/>
                <w:sz w:val="20"/>
              </w:rPr>
              <w:t>$</w:t>
            </w:r>
          </w:p>
        </w:tc>
        <w:tc>
          <w:tcPr>
            <w:tcW w:w="3230" w:type="pct"/>
          </w:tcPr>
          <w:p w14:paraId="5F2F1E23" w14:textId="77777777" w:rsidR="00326E23" w:rsidRPr="00AF0BBA" w:rsidRDefault="00326E23" w:rsidP="009B2773">
            <w:pPr>
              <w:spacing w:after="60"/>
              <w:rPr>
                <w:iCs/>
                <w:sz w:val="20"/>
              </w:rPr>
            </w:pPr>
            <w:r w:rsidRPr="00AF0BBA">
              <w:rPr>
                <w:i/>
                <w:iCs/>
                <w:sz w:val="20"/>
              </w:rPr>
              <w:t>Reliability Must-Run Reconciled Amount –</w:t>
            </w:r>
            <w:r w:rsidRPr="00AF0BBA">
              <w:rPr>
                <w:b/>
                <w:iCs/>
                <w:sz w:val="20"/>
              </w:rPr>
              <w:t xml:space="preserve"> </w:t>
            </w:r>
            <w:r w:rsidRPr="00AF0BBA">
              <w:rPr>
                <w:iCs/>
                <w:sz w:val="20"/>
              </w:rPr>
              <w:t xml:space="preserve">The lump sum charge to the QSE </w:t>
            </w:r>
            <w:r w:rsidRPr="00AF0BBA">
              <w:rPr>
                <w:i/>
                <w:iCs/>
                <w:sz w:val="20"/>
              </w:rPr>
              <w:t>q</w:t>
            </w:r>
            <w:r w:rsidRPr="00AF0BBA">
              <w:rPr>
                <w:iCs/>
                <w:sz w:val="20"/>
              </w:rPr>
              <w:t xml:space="preserve"> representing the RMR Unit </w:t>
            </w:r>
            <w:r w:rsidRPr="00AF0BBA">
              <w:rPr>
                <w:i/>
                <w:iCs/>
                <w:sz w:val="20"/>
              </w:rPr>
              <w:t>r</w:t>
            </w:r>
            <w:r w:rsidRPr="00AF0BBA">
              <w:rPr>
                <w:iCs/>
                <w:sz w:val="20"/>
              </w:rPr>
              <w:t xml:space="preserve"> that reconciles any contributed </w:t>
            </w:r>
            <w:r w:rsidRPr="00AF0BBA">
              <w:rPr>
                <w:iCs/>
                <w:sz w:val="20"/>
              </w:rPr>
              <w:lastRenderedPageBreak/>
              <w:t xml:space="preserve">capital expenditure amounts and any over-payments to the QSE during the period of the RMR Agreement </w:t>
            </w:r>
            <w:r w:rsidRPr="00AF0BBA">
              <w:rPr>
                <w:i/>
                <w:iCs/>
                <w:sz w:val="20"/>
              </w:rPr>
              <w:t>c</w:t>
            </w:r>
            <w:r w:rsidRPr="00AF0BBA">
              <w:rPr>
                <w:iCs/>
                <w:sz w:val="20"/>
              </w:rPr>
              <w:t>.</w:t>
            </w:r>
          </w:p>
        </w:tc>
      </w:tr>
      <w:tr w:rsidR="00326E23" w:rsidRPr="00AF0BBA" w14:paraId="4AC4A8D2" w14:textId="77777777" w:rsidTr="009B2773">
        <w:trPr>
          <w:cantSplit/>
          <w:trHeight w:val="692"/>
        </w:trPr>
        <w:tc>
          <w:tcPr>
            <w:tcW w:w="1296" w:type="pct"/>
          </w:tcPr>
          <w:p w14:paraId="0926EB37" w14:textId="77777777" w:rsidR="00326E23" w:rsidRPr="00AF0BBA" w:rsidRDefault="00326E23" w:rsidP="009B2773">
            <w:pPr>
              <w:spacing w:after="60"/>
              <w:rPr>
                <w:iCs/>
                <w:sz w:val="20"/>
              </w:rPr>
            </w:pPr>
            <w:r w:rsidRPr="00AF0BBA">
              <w:rPr>
                <w:iCs/>
                <w:sz w:val="20"/>
                <w:lang w:val="pt-BR"/>
              </w:rPr>
              <w:lastRenderedPageBreak/>
              <w:t>RMRCE</w:t>
            </w:r>
            <w:r w:rsidRPr="00AF0BBA">
              <w:rPr>
                <w:i/>
                <w:iCs/>
                <w:sz w:val="20"/>
                <w:vertAlign w:val="subscript"/>
              </w:rPr>
              <w:t xml:space="preserve"> q, r, c</w:t>
            </w:r>
          </w:p>
        </w:tc>
        <w:tc>
          <w:tcPr>
            <w:tcW w:w="474" w:type="pct"/>
          </w:tcPr>
          <w:p w14:paraId="351A5D6B" w14:textId="77777777" w:rsidR="00326E23" w:rsidRPr="00AF0BBA" w:rsidRDefault="00326E23" w:rsidP="009B2773">
            <w:pPr>
              <w:spacing w:after="60"/>
              <w:rPr>
                <w:iCs/>
                <w:sz w:val="20"/>
              </w:rPr>
            </w:pPr>
            <w:r w:rsidRPr="00AF0BBA">
              <w:rPr>
                <w:iCs/>
                <w:sz w:val="20"/>
              </w:rPr>
              <w:t>$</w:t>
            </w:r>
          </w:p>
        </w:tc>
        <w:tc>
          <w:tcPr>
            <w:tcW w:w="3230" w:type="pct"/>
          </w:tcPr>
          <w:p w14:paraId="4F7EB3CD" w14:textId="77777777" w:rsidR="00326E23" w:rsidRPr="00AF0BBA" w:rsidRDefault="00326E23" w:rsidP="009B2773">
            <w:pPr>
              <w:spacing w:after="60"/>
              <w:rPr>
                <w:iCs/>
                <w:sz w:val="20"/>
              </w:rPr>
            </w:pPr>
            <w:r w:rsidRPr="00AF0BBA">
              <w:rPr>
                <w:i/>
                <w:iCs/>
                <w:sz w:val="20"/>
              </w:rPr>
              <w:t>Reliability Must-Run Capital Expenditure Refund</w:t>
            </w:r>
            <w:r w:rsidRPr="00AF0BBA">
              <w:rPr>
                <w:iCs/>
                <w:sz w:val="20"/>
              </w:rPr>
              <w:t>– The lump sum amount of contributed capital expenditures for the QSE</w:t>
            </w:r>
            <w:r w:rsidRPr="00AF0BBA">
              <w:rPr>
                <w:i/>
                <w:iCs/>
                <w:sz w:val="20"/>
              </w:rPr>
              <w:t xml:space="preserve"> q</w:t>
            </w:r>
            <w:r w:rsidRPr="00AF0BBA">
              <w:rPr>
                <w:iCs/>
                <w:sz w:val="20"/>
              </w:rPr>
              <w:t xml:space="preserve"> representing the RMR Unit </w:t>
            </w:r>
            <w:r w:rsidRPr="00AF0BBA">
              <w:rPr>
                <w:i/>
                <w:iCs/>
                <w:sz w:val="20"/>
              </w:rPr>
              <w:t>r</w:t>
            </w:r>
            <w:r w:rsidRPr="00AF0BBA">
              <w:rPr>
                <w:iCs/>
                <w:sz w:val="20"/>
              </w:rPr>
              <w:t xml:space="preserve"> for the period of the RMR Agreement </w:t>
            </w:r>
            <w:r w:rsidRPr="00AF0BBA">
              <w:rPr>
                <w:i/>
                <w:iCs/>
                <w:sz w:val="20"/>
              </w:rPr>
              <w:t xml:space="preserve">c </w:t>
            </w:r>
            <w:r w:rsidRPr="00AF0BBA">
              <w:rPr>
                <w:iCs/>
                <w:sz w:val="20"/>
              </w:rPr>
              <w:t>to be</w:t>
            </w:r>
            <w:r>
              <w:rPr>
                <w:iCs/>
                <w:sz w:val="20"/>
              </w:rPr>
              <w:t xml:space="preserve"> </w:t>
            </w:r>
            <w:r w:rsidRPr="00AF0BBA">
              <w:rPr>
                <w:iCs/>
                <w:sz w:val="20"/>
              </w:rPr>
              <w:t xml:space="preserve">refunded to ERCOT per Section </w:t>
            </w:r>
            <w:r w:rsidRPr="00AF0BBA">
              <w:rPr>
                <w:bCs/>
                <w:iCs/>
                <w:sz w:val="20"/>
              </w:rPr>
              <w:t>3.14.1.1</w:t>
            </w:r>
            <w:r>
              <w:rPr>
                <w:bCs/>
                <w:iCs/>
                <w:sz w:val="20"/>
              </w:rPr>
              <w:t>9</w:t>
            </w:r>
            <w:r w:rsidRPr="00AF0BBA">
              <w:rPr>
                <w:iCs/>
                <w:sz w:val="20"/>
              </w:rPr>
              <w:t xml:space="preserve">. </w:t>
            </w:r>
          </w:p>
        </w:tc>
      </w:tr>
      <w:tr w:rsidR="00326E23" w:rsidRPr="00AF0BBA" w14:paraId="7292CE64" w14:textId="77777777" w:rsidTr="009B2773">
        <w:trPr>
          <w:cantSplit/>
          <w:trHeight w:val="692"/>
        </w:trPr>
        <w:tc>
          <w:tcPr>
            <w:tcW w:w="1296" w:type="pct"/>
          </w:tcPr>
          <w:p w14:paraId="758D68F6" w14:textId="77777777" w:rsidR="00326E23" w:rsidRPr="00AF0BBA" w:rsidRDefault="00326E23" w:rsidP="009B2773">
            <w:pPr>
              <w:spacing w:after="60"/>
              <w:rPr>
                <w:iCs/>
                <w:sz w:val="20"/>
                <w:lang w:val="pt-BR"/>
              </w:rPr>
            </w:pPr>
            <w:r w:rsidRPr="00AF0BBA">
              <w:rPr>
                <w:iCs/>
                <w:sz w:val="20"/>
                <w:lang w:val="pt-BR"/>
              </w:rPr>
              <w:t xml:space="preserve">RMROP </w:t>
            </w:r>
            <w:r w:rsidRPr="00AF0BBA">
              <w:rPr>
                <w:i/>
                <w:iCs/>
                <w:sz w:val="20"/>
                <w:vertAlign w:val="subscript"/>
              </w:rPr>
              <w:t>q, r, c, m</w:t>
            </w:r>
          </w:p>
        </w:tc>
        <w:tc>
          <w:tcPr>
            <w:tcW w:w="474" w:type="pct"/>
          </w:tcPr>
          <w:p w14:paraId="4D009C0E" w14:textId="77777777" w:rsidR="00326E23" w:rsidRPr="00AF0BBA" w:rsidRDefault="00326E23" w:rsidP="009B2773">
            <w:pPr>
              <w:spacing w:after="60"/>
              <w:rPr>
                <w:iCs/>
                <w:sz w:val="20"/>
              </w:rPr>
            </w:pPr>
            <w:r w:rsidRPr="00AF0BBA">
              <w:rPr>
                <w:iCs/>
                <w:sz w:val="20"/>
              </w:rPr>
              <w:t>$</w:t>
            </w:r>
          </w:p>
        </w:tc>
        <w:tc>
          <w:tcPr>
            <w:tcW w:w="3230" w:type="pct"/>
          </w:tcPr>
          <w:p w14:paraId="2B6F9423" w14:textId="77777777" w:rsidR="00326E23" w:rsidRPr="00AF0BBA" w:rsidRDefault="00326E23" w:rsidP="009B2773">
            <w:pPr>
              <w:spacing w:after="60"/>
              <w:rPr>
                <w:i/>
                <w:iCs/>
                <w:sz w:val="20"/>
              </w:rPr>
            </w:pPr>
            <w:r w:rsidRPr="00AF0BBA">
              <w:rPr>
                <w:i/>
                <w:iCs/>
                <w:sz w:val="20"/>
              </w:rPr>
              <w:t>Reliability Must-Run Over-Payment –</w:t>
            </w:r>
            <w:r w:rsidRPr="00AF0BBA">
              <w:rPr>
                <w:iCs/>
                <w:sz w:val="20"/>
              </w:rPr>
              <w:t xml:space="preserve"> The amount of overpayments to the QSE </w:t>
            </w:r>
            <w:r w:rsidRPr="00AF0BBA">
              <w:rPr>
                <w:i/>
                <w:iCs/>
                <w:sz w:val="20"/>
              </w:rPr>
              <w:t>q</w:t>
            </w:r>
            <w:r w:rsidRPr="00AF0BBA">
              <w:rPr>
                <w:iCs/>
                <w:sz w:val="20"/>
              </w:rPr>
              <w:t xml:space="preserve"> representing the RMR Unit </w:t>
            </w:r>
            <w:r w:rsidRPr="00AF0BBA">
              <w:rPr>
                <w:i/>
                <w:iCs/>
                <w:sz w:val="20"/>
              </w:rPr>
              <w:t>r</w:t>
            </w:r>
            <w:r w:rsidRPr="00AF0BBA">
              <w:rPr>
                <w:iCs/>
                <w:sz w:val="20"/>
              </w:rPr>
              <w:t xml:space="preserve"> for the month </w:t>
            </w:r>
            <w:r w:rsidRPr="00AF0BBA">
              <w:rPr>
                <w:i/>
                <w:iCs/>
                <w:sz w:val="20"/>
              </w:rPr>
              <w:t>m</w:t>
            </w:r>
            <w:r w:rsidRPr="00AF0BBA">
              <w:rPr>
                <w:iCs/>
                <w:sz w:val="20"/>
              </w:rPr>
              <w:t xml:space="preserve"> during the period of the RMR Agreement </w:t>
            </w:r>
            <w:r w:rsidRPr="00AF0BBA">
              <w:rPr>
                <w:i/>
                <w:iCs/>
                <w:sz w:val="20"/>
              </w:rPr>
              <w:t>c</w:t>
            </w:r>
            <w:r w:rsidRPr="00AF0BBA">
              <w:rPr>
                <w:iCs/>
                <w:sz w:val="20"/>
              </w:rPr>
              <w:t xml:space="preserve"> to be refunded to ERCOT per Section 3.14.1.1</w:t>
            </w:r>
            <w:r>
              <w:rPr>
                <w:iCs/>
                <w:sz w:val="20"/>
              </w:rPr>
              <w:t>9</w:t>
            </w:r>
            <w:r w:rsidRPr="00AF0BBA">
              <w:rPr>
                <w:iCs/>
                <w:sz w:val="20"/>
              </w:rPr>
              <w:t>. This amount cannot be negative.</w:t>
            </w:r>
          </w:p>
        </w:tc>
      </w:tr>
      <w:tr w:rsidR="00326E23" w:rsidRPr="00AF0BBA" w14:paraId="733EE9C6" w14:textId="77777777" w:rsidTr="009B2773">
        <w:trPr>
          <w:cantSplit/>
        </w:trPr>
        <w:tc>
          <w:tcPr>
            <w:tcW w:w="1296" w:type="pct"/>
          </w:tcPr>
          <w:p w14:paraId="0504BDB4" w14:textId="77777777" w:rsidR="00326E23" w:rsidRPr="00AF0BBA" w:rsidRDefault="00326E23" w:rsidP="009B2773">
            <w:pPr>
              <w:spacing w:after="60"/>
              <w:rPr>
                <w:iCs/>
                <w:sz w:val="20"/>
              </w:rPr>
            </w:pPr>
            <w:r w:rsidRPr="00AF0BBA" w:rsidDel="00584004">
              <w:rPr>
                <w:iCs/>
                <w:sz w:val="20"/>
                <w:lang w:val="pt-BR"/>
              </w:rPr>
              <w:t>M</w:t>
            </w:r>
            <w:r w:rsidRPr="00AF0BBA">
              <w:rPr>
                <w:iCs/>
                <w:sz w:val="20"/>
                <w:lang w:val="pt-BR"/>
              </w:rPr>
              <w:t>RMRCE</w:t>
            </w:r>
            <w:r w:rsidRPr="00AF0BBA">
              <w:rPr>
                <w:i/>
                <w:iCs/>
                <w:sz w:val="20"/>
                <w:vertAlign w:val="subscript"/>
              </w:rPr>
              <w:t xml:space="preserve"> m</w:t>
            </w:r>
          </w:p>
        </w:tc>
        <w:tc>
          <w:tcPr>
            <w:tcW w:w="474" w:type="pct"/>
          </w:tcPr>
          <w:p w14:paraId="21EE611C" w14:textId="77777777" w:rsidR="00326E23" w:rsidRPr="00AF0BBA" w:rsidRDefault="00326E23" w:rsidP="009B2773">
            <w:pPr>
              <w:tabs>
                <w:tab w:val="left" w:pos="2160"/>
              </w:tabs>
              <w:spacing w:after="60"/>
              <w:contextualSpacing/>
              <w:rPr>
                <w:iCs/>
                <w:sz w:val="20"/>
              </w:rPr>
            </w:pPr>
            <w:r w:rsidRPr="00AF0BBA">
              <w:rPr>
                <w:sz w:val="20"/>
              </w:rPr>
              <w:t>$</w:t>
            </w:r>
          </w:p>
        </w:tc>
        <w:tc>
          <w:tcPr>
            <w:tcW w:w="3230" w:type="pct"/>
          </w:tcPr>
          <w:p w14:paraId="511023EC" w14:textId="77777777" w:rsidR="00326E23" w:rsidRPr="00AF0BBA" w:rsidRDefault="00326E23" w:rsidP="009B2773">
            <w:pPr>
              <w:spacing w:after="60"/>
              <w:rPr>
                <w:iCs/>
                <w:sz w:val="20"/>
              </w:rPr>
            </w:pPr>
            <w:r w:rsidRPr="00AF0BBA">
              <w:rPr>
                <w:i/>
                <w:iCs/>
                <w:sz w:val="20"/>
              </w:rPr>
              <w:t xml:space="preserve">Monthly Reliability Must-Run Capital Expenditure Refund </w:t>
            </w:r>
            <w:r w:rsidRPr="00AF0BBA">
              <w:rPr>
                <w:iCs/>
                <w:sz w:val="20"/>
              </w:rPr>
              <w:t xml:space="preserve">– The lump sum amount of contributed capital expenditures for the month </w:t>
            </w:r>
            <w:r w:rsidRPr="00AF0BBA">
              <w:rPr>
                <w:i/>
                <w:iCs/>
                <w:sz w:val="20"/>
              </w:rPr>
              <w:t>m</w:t>
            </w:r>
            <w:r w:rsidRPr="00AF0BBA">
              <w:rPr>
                <w:iCs/>
                <w:sz w:val="20"/>
              </w:rPr>
              <w:t xml:space="preserve"> refunded to ERCOT per Section </w:t>
            </w:r>
            <w:r w:rsidRPr="00AF0BBA">
              <w:rPr>
                <w:bCs/>
                <w:iCs/>
                <w:sz w:val="20"/>
              </w:rPr>
              <w:t>3.14.1.1</w:t>
            </w:r>
            <w:r>
              <w:rPr>
                <w:bCs/>
                <w:iCs/>
                <w:sz w:val="20"/>
              </w:rPr>
              <w:t>9</w:t>
            </w:r>
            <w:r w:rsidRPr="00AF0BBA">
              <w:rPr>
                <w:iCs/>
                <w:sz w:val="20"/>
              </w:rPr>
              <w:t xml:space="preserve"> pro-rated over the number of months of the RMR Agreement.</w:t>
            </w:r>
          </w:p>
        </w:tc>
      </w:tr>
      <w:tr w:rsidR="00326E23" w:rsidRPr="00AF0BBA" w14:paraId="20E935E1" w14:textId="77777777" w:rsidTr="009B2773">
        <w:trPr>
          <w:cantSplit/>
        </w:trPr>
        <w:tc>
          <w:tcPr>
            <w:tcW w:w="1296" w:type="pct"/>
          </w:tcPr>
          <w:p w14:paraId="4F9B575A" w14:textId="77777777" w:rsidR="00326E23" w:rsidRPr="00AF0BBA" w:rsidRDefault="00326E23" w:rsidP="009B2773">
            <w:pPr>
              <w:spacing w:after="60"/>
              <w:rPr>
                <w:iCs/>
                <w:sz w:val="20"/>
              </w:rPr>
            </w:pPr>
            <w:r w:rsidRPr="00AF0BBA">
              <w:rPr>
                <w:iCs/>
                <w:sz w:val="20"/>
              </w:rPr>
              <w:t>LARMRRAMT</w:t>
            </w:r>
            <w:r w:rsidRPr="00AF0BBA">
              <w:rPr>
                <w:i/>
                <w:iCs/>
                <w:sz w:val="20"/>
                <w:vertAlign w:val="subscript"/>
              </w:rPr>
              <w:t xml:space="preserve"> q</w:t>
            </w:r>
          </w:p>
        </w:tc>
        <w:tc>
          <w:tcPr>
            <w:tcW w:w="474" w:type="pct"/>
          </w:tcPr>
          <w:p w14:paraId="1572EC71" w14:textId="77777777" w:rsidR="00326E23" w:rsidRPr="00AF0BBA" w:rsidRDefault="00326E23" w:rsidP="009B2773">
            <w:pPr>
              <w:tabs>
                <w:tab w:val="left" w:pos="2880"/>
              </w:tabs>
              <w:spacing w:after="60"/>
              <w:contextualSpacing/>
              <w:rPr>
                <w:iCs/>
                <w:sz w:val="20"/>
              </w:rPr>
            </w:pPr>
            <w:r w:rsidRPr="00AF0BBA">
              <w:rPr>
                <w:iCs/>
                <w:sz w:val="20"/>
              </w:rPr>
              <w:t>$</w:t>
            </w:r>
          </w:p>
        </w:tc>
        <w:tc>
          <w:tcPr>
            <w:tcW w:w="3230" w:type="pct"/>
          </w:tcPr>
          <w:p w14:paraId="74E56F3C" w14:textId="77777777" w:rsidR="00326E23" w:rsidRPr="00AF0BBA" w:rsidRDefault="00326E23" w:rsidP="009B2773">
            <w:pPr>
              <w:tabs>
                <w:tab w:val="left" w:pos="2880"/>
              </w:tabs>
              <w:spacing w:after="60"/>
              <w:contextualSpacing/>
              <w:rPr>
                <w:iCs/>
                <w:sz w:val="20"/>
              </w:rPr>
            </w:pPr>
            <w:r w:rsidRPr="00AF0BBA">
              <w:rPr>
                <w:i/>
                <w:iCs/>
                <w:sz w:val="20"/>
              </w:rPr>
              <w:t xml:space="preserve">Load Allocated Reliability Must-Run Reconciled Amount </w:t>
            </w:r>
            <w:r w:rsidRPr="00AF0BBA">
              <w:rPr>
                <w:iCs/>
                <w:sz w:val="20"/>
              </w:rPr>
              <w:t>– The amount of refunded capital expenditures paid to QSE</w:t>
            </w:r>
            <w:r w:rsidRPr="00AF0BBA">
              <w:rPr>
                <w:i/>
                <w:iCs/>
                <w:sz w:val="20"/>
              </w:rPr>
              <w:t xml:space="preserve"> q</w:t>
            </w:r>
            <w:r w:rsidRPr="00AF0BBA">
              <w:rPr>
                <w:iCs/>
                <w:sz w:val="20"/>
              </w:rPr>
              <w:t xml:space="preserve"> based on its HLRS.</w:t>
            </w:r>
          </w:p>
        </w:tc>
      </w:tr>
      <w:tr w:rsidR="00326E23" w:rsidRPr="00AF0BBA" w14:paraId="22423467" w14:textId="77777777" w:rsidTr="009B2773">
        <w:trPr>
          <w:cantSplit/>
        </w:trPr>
        <w:tc>
          <w:tcPr>
            <w:tcW w:w="1296" w:type="pct"/>
          </w:tcPr>
          <w:p w14:paraId="2DC4AD90" w14:textId="77777777" w:rsidR="00326E23" w:rsidRPr="00AF0BBA" w:rsidRDefault="00326E23" w:rsidP="009B2773">
            <w:pPr>
              <w:spacing w:after="60"/>
              <w:rPr>
                <w:iCs/>
                <w:sz w:val="20"/>
              </w:rPr>
            </w:pPr>
            <w:r w:rsidRPr="00AF0BBA">
              <w:rPr>
                <w:iCs/>
                <w:sz w:val="20"/>
              </w:rPr>
              <w:t xml:space="preserve">HLRS </w:t>
            </w:r>
            <w:r w:rsidRPr="00AF0BBA">
              <w:rPr>
                <w:i/>
                <w:iCs/>
                <w:sz w:val="20"/>
                <w:vertAlign w:val="subscript"/>
              </w:rPr>
              <w:t xml:space="preserve">q, m </w:t>
            </w:r>
          </w:p>
        </w:tc>
        <w:tc>
          <w:tcPr>
            <w:tcW w:w="474" w:type="pct"/>
          </w:tcPr>
          <w:p w14:paraId="6D43495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4960D117" w14:textId="77777777" w:rsidR="00326E23" w:rsidRPr="00AF0BBA" w:rsidRDefault="00326E23" w:rsidP="009B2773">
            <w:pPr>
              <w:autoSpaceDE w:val="0"/>
              <w:autoSpaceDN w:val="0"/>
              <w:adjustRightInd w:val="0"/>
              <w:spacing w:after="60"/>
              <w:rPr>
                <w:color w:val="000000"/>
                <w:sz w:val="20"/>
              </w:rPr>
            </w:pPr>
            <w:r w:rsidRPr="00AF0BBA">
              <w:rPr>
                <w:i/>
                <w:iCs/>
                <w:color w:val="000000"/>
                <w:sz w:val="20"/>
              </w:rPr>
              <w:t>Hourly Load Ratio Share per QSE</w:t>
            </w:r>
            <w:r w:rsidRPr="00AF0BBA">
              <w:rPr>
                <w:i/>
                <w:color w:val="000000"/>
                <w:sz w:val="20"/>
              </w:rPr>
              <w:t xml:space="preserve"> </w:t>
            </w:r>
            <w:r w:rsidRPr="00AF0BBA">
              <w:rPr>
                <w:color w:val="000000"/>
                <w:sz w:val="20"/>
              </w:rPr>
              <w:t xml:space="preserve">– The hourly LRS calculated for QSE </w:t>
            </w:r>
            <w:r w:rsidRPr="00AF0BBA">
              <w:rPr>
                <w:i/>
                <w:color w:val="000000"/>
                <w:sz w:val="20"/>
              </w:rPr>
              <w:t>q</w:t>
            </w:r>
            <w:r w:rsidRPr="00AF0BBA">
              <w:rPr>
                <w:color w:val="000000"/>
                <w:sz w:val="20"/>
              </w:rPr>
              <w:t xml:space="preserve"> for the hour for month </w:t>
            </w:r>
            <w:r w:rsidRPr="00AF0BBA">
              <w:rPr>
                <w:i/>
                <w:color w:val="000000"/>
                <w:sz w:val="20"/>
              </w:rPr>
              <w:t>m</w:t>
            </w:r>
            <w:r w:rsidRPr="00AF0BBA">
              <w:rPr>
                <w:color w:val="000000"/>
                <w:sz w:val="20"/>
              </w:rPr>
              <w:t xml:space="preserve">.  See Section 6.6.2.4, QSE Load Ratio Share for an Operating Hour. </w:t>
            </w:r>
          </w:p>
        </w:tc>
      </w:tr>
      <w:tr w:rsidR="00326E23" w:rsidRPr="00AF0BBA" w14:paraId="047246E8" w14:textId="77777777" w:rsidTr="009B2773">
        <w:trPr>
          <w:cantSplit/>
        </w:trPr>
        <w:tc>
          <w:tcPr>
            <w:tcW w:w="1296" w:type="pct"/>
          </w:tcPr>
          <w:p w14:paraId="60E10D1C" w14:textId="77777777" w:rsidR="00326E23" w:rsidRPr="00AF0BBA" w:rsidRDefault="00326E23" w:rsidP="009B2773">
            <w:pPr>
              <w:spacing w:after="60"/>
              <w:rPr>
                <w:iCs/>
                <w:sz w:val="20"/>
              </w:rPr>
            </w:pPr>
            <w:r w:rsidRPr="00AF0BBA">
              <w:rPr>
                <w:iCs/>
                <w:sz w:val="20"/>
              </w:rPr>
              <w:t xml:space="preserve">MH </w:t>
            </w:r>
            <w:r w:rsidRPr="00AF0BBA">
              <w:rPr>
                <w:i/>
                <w:iCs/>
                <w:sz w:val="20"/>
                <w:vertAlign w:val="subscript"/>
              </w:rPr>
              <w:t>m</w:t>
            </w:r>
          </w:p>
        </w:tc>
        <w:tc>
          <w:tcPr>
            <w:tcW w:w="474" w:type="pct"/>
          </w:tcPr>
          <w:p w14:paraId="34C0E621" w14:textId="77777777" w:rsidR="00326E23" w:rsidRPr="00AF0BBA" w:rsidRDefault="00326E23" w:rsidP="009B2773">
            <w:pPr>
              <w:tabs>
                <w:tab w:val="left" w:pos="2880"/>
              </w:tabs>
              <w:spacing w:after="60"/>
              <w:contextualSpacing/>
              <w:rPr>
                <w:iCs/>
                <w:sz w:val="20"/>
              </w:rPr>
            </w:pPr>
            <w:r w:rsidRPr="00AF0BBA">
              <w:rPr>
                <w:iCs/>
                <w:sz w:val="20"/>
              </w:rPr>
              <w:t>hour</w:t>
            </w:r>
          </w:p>
        </w:tc>
        <w:tc>
          <w:tcPr>
            <w:tcW w:w="3230" w:type="pct"/>
          </w:tcPr>
          <w:p w14:paraId="67495C99" w14:textId="77777777" w:rsidR="00326E23" w:rsidRPr="00AF0BBA" w:rsidRDefault="00326E23" w:rsidP="009B2773">
            <w:pPr>
              <w:tabs>
                <w:tab w:val="left" w:pos="2880"/>
              </w:tabs>
              <w:spacing w:after="60"/>
              <w:contextualSpacing/>
              <w:rPr>
                <w:i/>
                <w:iCs/>
                <w:sz w:val="20"/>
              </w:rPr>
            </w:pPr>
            <w:r w:rsidRPr="00AF0BBA">
              <w:rPr>
                <w:i/>
                <w:iCs/>
                <w:sz w:val="20"/>
              </w:rPr>
              <w:t xml:space="preserve">Number of Hours in the Month </w:t>
            </w:r>
            <w:r w:rsidRPr="00AF0BBA">
              <w:rPr>
                <w:iCs/>
                <w:sz w:val="20"/>
              </w:rPr>
              <w:t xml:space="preserve">—The total number of hours in the month </w:t>
            </w:r>
            <w:r w:rsidRPr="00AF0BBA">
              <w:rPr>
                <w:i/>
                <w:iCs/>
                <w:sz w:val="20"/>
              </w:rPr>
              <w:t>m</w:t>
            </w:r>
            <w:r w:rsidRPr="00AF0BBA">
              <w:rPr>
                <w:iCs/>
                <w:sz w:val="20"/>
              </w:rPr>
              <w:t xml:space="preserve">, which overlaps a month in which an RMR Agreement was effective.  Where for a Combined Cycle Train, the Resource </w:t>
            </w:r>
            <w:r w:rsidRPr="00AF0BBA">
              <w:rPr>
                <w:i/>
                <w:iCs/>
                <w:sz w:val="20"/>
              </w:rPr>
              <w:t xml:space="preserve">r </w:t>
            </w:r>
            <w:r w:rsidRPr="00AF0BBA">
              <w:rPr>
                <w:iCs/>
                <w:sz w:val="20"/>
              </w:rPr>
              <w:t>is the Combined Cycle Train.</w:t>
            </w:r>
          </w:p>
        </w:tc>
      </w:tr>
      <w:tr w:rsidR="00326E23" w:rsidRPr="00AF0BBA" w14:paraId="331B79CF" w14:textId="77777777" w:rsidTr="009B2773">
        <w:trPr>
          <w:cantSplit/>
          <w:trHeight w:val="251"/>
        </w:trPr>
        <w:tc>
          <w:tcPr>
            <w:tcW w:w="1296" w:type="pct"/>
          </w:tcPr>
          <w:p w14:paraId="2F16E648" w14:textId="77777777" w:rsidR="00326E23" w:rsidRPr="00AF0BBA" w:rsidRDefault="00326E23" w:rsidP="009B2773">
            <w:pPr>
              <w:spacing w:after="60"/>
              <w:ind w:left="720" w:hanging="720"/>
              <w:rPr>
                <w:sz w:val="20"/>
              </w:rPr>
            </w:pPr>
            <w:r w:rsidRPr="00AF0BBA">
              <w:rPr>
                <w:sz w:val="20"/>
              </w:rPr>
              <w:t xml:space="preserve">CM </w:t>
            </w:r>
            <w:r w:rsidRPr="00AF0BBA">
              <w:rPr>
                <w:i/>
                <w:sz w:val="20"/>
                <w:vertAlign w:val="subscript"/>
              </w:rPr>
              <w:t>q, r, c</w:t>
            </w:r>
          </w:p>
        </w:tc>
        <w:tc>
          <w:tcPr>
            <w:tcW w:w="474" w:type="pct"/>
          </w:tcPr>
          <w:p w14:paraId="1C8D343F"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701A116D" w14:textId="77777777" w:rsidR="00326E23" w:rsidRPr="00AF0BBA" w:rsidRDefault="00326E23" w:rsidP="009B2773">
            <w:pPr>
              <w:tabs>
                <w:tab w:val="left" w:pos="2880"/>
              </w:tabs>
              <w:spacing w:after="60"/>
              <w:contextualSpacing/>
              <w:rPr>
                <w:i/>
                <w:iCs/>
                <w:sz w:val="20"/>
              </w:rPr>
            </w:pPr>
            <w:r w:rsidRPr="00AF0BBA">
              <w:rPr>
                <w:iCs/>
                <w:sz w:val="20"/>
              </w:rPr>
              <w:t>The number of months of the RMR Agreement period.</w:t>
            </w:r>
          </w:p>
        </w:tc>
      </w:tr>
      <w:tr w:rsidR="00326E23" w:rsidRPr="00AF0BBA" w14:paraId="4B71EEFC" w14:textId="77777777" w:rsidTr="009B2773">
        <w:trPr>
          <w:cantSplit/>
          <w:trHeight w:val="323"/>
        </w:trPr>
        <w:tc>
          <w:tcPr>
            <w:tcW w:w="1296" w:type="pct"/>
          </w:tcPr>
          <w:p w14:paraId="401CD3BD" w14:textId="77777777" w:rsidR="00326E23" w:rsidRPr="00AF0BBA" w:rsidRDefault="00326E23" w:rsidP="009B2773">
            <w:pPr>
              <w:spacing w:after="60"/>
              <w:rPr>
                <w:iCs/>
                <w:sz w:val="20"/>
              </w:rPr>
            </w:pPr>
            <w:r w:rsidRPr="00F8432E">
              <w:rPr>
                <w:i/>
                <w:iCs/>
                <w:sz w:val="20"/>
              </w:rPr>
              <w:t>m</w:t>
            </w:r>
          </w:p>
        </w:tc>
        <w:tc>
          <w:tcPr>
            <w:tcW w:w="474" w:type="pct"/>
          </w:tcPr>
          <w:p w14:paraId="2CF3D5D3"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215EC32A" w14:textId="77777777" w:rsidR="00326E23" w:rsidRPr="00AF0BBA" w:rsidRDefault="00326E23" w:rsidP="009B2773">
            <w:pPr>
              <w:tabs>
                <w:tab w:val="left" w:pos="2880"/>
              </w:tabs>
              <w:spacing w:after="60"/>
              <w:contextualSpacing/>
              <w:rPr>
                <w:iCs/>
                <w:sz w:val="20"/>
              </w:rPr>
            </w:pPr>
            <w:r w:rsidRPr="00AF0BBA">
              <w:rPr>
                <w:iCs/>
                <w:sz w:val="20"/>
              </w:rPr>
              <w:t>A month in the RMR Agreement period.</w:t>
            </w:r>
          </w:p>
        </w:tc>
      </w:tr>
      <w:tr w:rsidR="00326E23" w:rsidRPr="00AF0BBA" w14:paraId="7483B459" w14:textId="77777777" w:rsidTr="009B2773">
        <w:trPr>
          <w:cantSplit/>
          <w:trHeight w:val="323"/>
        </w:trPr>
        <w:tc>
          <w:tcPr>
            <w:tcW w:w="1296" w:type="pct"/>
          </w:tcPr>
          <w:p w14:paraId="6CEA1362" w14:textId="77777777" w:rsidR="00326E23" w:rsidRPr="00AF0BBA" w:rsidRDefault="00326E23" w:rsidP="009B2773">
            <w:pPr>
              <w:spacing w:after="60"/>
              <w:rPr>
                <w:i/>
                <w:iCs/>
                <w:sz w:val="20"/>
              </w:rPr>
            </w:pPr>
            <w:r w:rsidRPr="00AF0BBA">
              <w:rPr>
                <w:i/>
                <w:iCs/>
                <w:sz w:val="20"/>
              </w:rPr>
              <w:t>q</w:t>
            </w:r>
          </w:p>
        </w:tc>
        <w:tc>
          <w:tcPr>
            <w:tcW w:w="474" w:type="pct"/>
          </w:tcPr>
          <w:p w14:paraId="6AF68EA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0FCADCC2" w14:textId="77777777" w:rsidR="00326E23" w:rsidRPr="00AF0BBA" w:rsidRDefault="00326E23" w:rsidP="009B2773">
            <w:pPr>
              <w:tabs>
                <w:tab w:val="left" w:pos="2880"/>
              </w:tabs>
              <w:spacing w:after="60"/>
              <w:contextualSpacing/>
              <w:rPr>
                <w:iCs/>
                <w:sz w:val="20"/>
              </w:rPr>
            </w:pPr>
            <w:r w:rsidRPr="00AF0BBA">
              <w:rPr>
                <w:iCs/>
                <w:sz w:val="20"/>
              </w:rPr>
              <w:t>A QSE.</w:t>
            </w:r>
          </w:p>
        </w:tc>
      </w:tr>
      <w:tr w:rsidR="00326E23" w:rsidRPr="00AF0BBA" w14:paraId="059C625D" w14:textId="77777777" w:rsidTr="009B2773">
        <w:trPr>
          <w:cantSplit/>
          <w:trHeight w:val="323"/>
        </w:trPr>
        <w:tc>
          <w:tcPr>
            <w:tcW w:w="1296" w:type="pct"/>
          </w:tcPr>
          <w:p w14:paraId="7BAAAB2C" w14:textId="77777777" w:rsidR="00326E23" w:rsidRPr="00AF0BBA" w:rsidRDefault="00326E23" w:rsidP="009B2773">
            <w:pPr>
              <w:spacing w:after="60"/>
              <w:rPr>
                <w:i/>
                <w:iCs/>
                <w:sz w:val="20"/>
              </w:rPr>
            </w:pPr>
            <w:r w:rsidRPr="00AF0BBA">
              <w:rPr>
                <w:i/>
                <w:iCs/>
                <w:sz w:val="20"/>
              </w:rPr>
              <w:t>c</w:t>
            </w:r>
          </w:p>
        </w:tc>
        <w:tc>
          <w:tcPr>
            <w:tcW w:w="474" w:type="pct"/>
          </w:tcPr>
          <w:p w14:paraId="5D75A61A"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05721BAD" w14:textId="77777777" w:rsidR="00326E23" w:rsidRPr="00AF0BBA" w:rsidRDefault="00326E23" w:rsidP="009B2773">
            <w:pPr>
              <w:tabs>
                <w:tab w:val="left" w:pos="2880"/>
              </w:tabs>
              <w:spacing w:after="60"/>
              <w:contextualSpacing/>
              <w:rPr>
                <w:iCs/>
                <w:sz w:val="20"/>
              </w:rPr>
            </w:pPr>
            <w:r w:rsidRPr="00AF0BBA">
              <w:rPr>
                <w:iCs/>
                <w:sz w:val="20"/>
              </w:rPr>
              <w:t>An RMR Agreement.</w:t>
            </w:r>
          </w:p>
        </w:tc>
      </w:tr>
      <w:tr w:rsidR="00326E23" w:rsidRPr="00AF0BBA" w14:paraId="07040BA1" w14:textId="77777777" w:rsidTr="009B2773">
        <w:trPr>
          <w:cantSplit/>
          <w:trHeight w:val="323"/>
        </w:trPr>
        <w:tc>
          <w:tcPr>
            <w:tcW w:w="1296" w:type="pct"/>
          </w:tcPr>
          <w:p w14:paraId="5B764B32" w14:textId="77777777" w:rsidR="00326E23" w:rsidRPr="00AF0BBA" w:rsidRDefault="00326E23" w:rsidP="009B2773">
            <w:pPr>
              <w:spacing w:after="60"/>
              <w:rPr>
                <w:i/>
                <w:iCs/>
                <w:sz w:val="20"/>
              </w:rPr>
            </w:pPr>
            <w:r w:rsidRPr="00AF0BBA">
              <w:rPr>
                <w:i/>
                <w:iCs/>
                <w:sz w:val="20"/>
              </w:rPr>
              <w:t>r</w:t>
            </w:r>
          </w:p>
        </w:tc>
        <w:tc>
          <w:tcPr>
            <w:tcW w:w="474" w:type="pct"/>
          </w:tcPr>
          <w:p w14:paraId="642FACF5"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140B0D25" w14:textId="77777777" w:rsidR="00326E23" w:rsidRPr="00AF0BBA" w:rsidRDefault="00326E23" w:rsidP="009B2773">
            <w:pPr>
              <w:tabs>
                <w:tab w:val="left" w:pos="2880"/>
              </w:tabs>
              <w:spacing w:after="60"/>
              <w:contextualSpacing/>
              <w:rPr>
                <w:iCs/>
                <w:sz w:val="20"/>
              </w:rPr>
            </w:pPr>
            <w:r w:rsidRPr="00AF0BBA">
              <w:rPr>
                <w:iCs/>
                <w:sz w:val="20"/>
              </w:rPr>
              <w:t>An RMR Unit.</w:t>
            </w:r>
          </w:p>
        </w:tc>
      </w:tr>
    </w:tbl>
    <w:p w14:paraId="413EC208" w14:textId="77777777" w:rsidR="00326E23" w:rsidRPr="00AF0BBA" w:rsidRDefault="00326E23" w:rsidP="00326E23">
      <w:pPr>
        <w:spacing w:before="240" w:after="240"/>
        <w:ind w:left="720" w:hanging="720"/>
        <w:rPr>
          <w:iCs/>
        </w:rPr>
      </w:pPr>
      <w:r w:rsidRPr="00AF0BBA">
        <w:rPr>
          <w:iCs/>
        </w:rPr>
        <w:t>(2)</w:t>
      </w:r>
      <w:r w:rsidRPr="00AF0BBA">
        <w:rPr>
          <w:iCs/>
        </w:rPr>
        <w:tab/>
        <w:t>ERCOT shall issue a miscellaneous Invoice allocating expenses incurred related to the processing of an RMR Agreement or validation and/or processing of RMR budgets on an LRS basis.  ERCOT shall issue the miscellaneous Invoice no later than 30 days after the RTM True-Up Statement is issued for the last day of the calendar month in which ERCOT incurred the expense.</w:t>
      </w:r>
      <w:r w:rsidRPr="00AF0BBA" w:rsidDel="00684213">
        <w:rPr>
          <w:iCs/>
        </w:rPr>
        <w:t xml:space="preserve"> </w:t>
      </w:r>
      <w:r w:rsidRPr="00AF0BBA">
        <w:rPr>
          <w:iCs/>
        </w:rPr>
        <w:t xml:space="preserve"> A separate Invoice will be sent for each RMR Agreement.</w:t>
      </w:r>
    </w:p>
    <w:p w14:paraId="1FA67CA2" w14:textId="77777777" w:rsidR="00326E23" w:rsidRPr="00AF0BBA" w:rsidRDefault="00326E23" w:rsidP="00326E23">
      <w:pPr>
        <w:spacing w:after="240"/>
        <w:ind w:left="1440" w:hanging="720"/>
        <w:jc w:val="both"/>
      </w:pPr>
      <w:r w:rsidRPr="00AF0BBA">
        <w:t>(a)</w:t>
      </w:r>
      <w:r w:rsidRPr="00AF0BBA">
        <w:tab/>
        <w:t>The one-</w:t>
      </w:r>
      <w:r w:rsidRPr="00AF0BBA">
        <w:rPr>
          <w:iCs/>
        </w:rPr>
        <w:t>time</w:t>
      </w:r>
      <w:r w:rsidRPr="00AF0BBA">
        <w:t xml:space="preserve"> charge is calculated as follows:</w:t>
      </w:r>
    </w:p>
    <w:p w14:paraId="51081084" w14:textId="63713A19" w:rsidR="00326E23" w:rsidRPr="00AF0BBA" w:rsidRDefault="00326E23" w:rsidP="00326E23">
      <w:pPr>
        <w:spacing w:after="240"/>
        <w:ind w:left="720" w:firstLine="720"/>
        <w:rPr>
          <w:i/>
          <w:vertAlign w:val="subscript"/>
        </w:rPr>
      </w:pPr>
      <w:r w:rsidRPr="00AF0BBA">
        <w:t>LARMROEIAMT</w:t>
      </w:r>
      <w:r w:rsidRPr="00AF0BBA">
        <w:rPr>
          <w:i/>
          <w:vertAlign w:val="subscript"/>
        </w:rPr>
        <w:t xml:space="preserve"> q</w:t>
      </w:r>
      <w:r w:rsidRPr="00AF0BBA">
        <w:t xml:space="preserve">   =  (-1) * </w:t>
      </w:r>
      <w:r w:rsidR="00A94020">
        <w:rPr>
          <w:noProof/>
          <w:position w:val="-28"/>
        </w:rPr>
        <w:drawing>
          <wp:inline distT="0" distB="0" distL="0" distR="0" wp14:anchorId="540EA72F" wp14:editId="403F9CDA">
            <wp:extent cx="276225" cy="4572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t xml:space="preserve"> </w:t>
      </w:r>
      <w:r w:rsidRPr="00AF0BBA">
        <w:rPr>
          <w:lang w:val="pt-BR"/>
        </w:rPr>
        <w:t xml:space="preserve">RMROEIAMT </w:t>
      </w:r>
      <w:r w:rsidRPr="00AF0BBA">
        <w:rPr>
          <w:i/>
          <w:vertAlign w:val="subscript"/>
        </w:rPr>
        <w:t xml:space="preserve">m </w:t>
      </w:r>
      <w:r w:rsidRPr="00AF0BBA">
        <w:rPr>
          <w:lang w:val="pt-BR"/>
        </w:rPr>
        <w:t xml:space="preserve">/ MH </w:t>
      </w:r>
      <w:r w:rsidRPr="00AF0BBA">
        <w:rPr>
          <w:i/>
          <w:iCs/>
          <w:sz w:val="20"/>
          <w:vertAlign w:val="subscript"/>
        </w:rPr>
        <w:t>m</w:t>
      </w:r>
      <w:r w:rsidRPr="00AF0BBA">
        <w:rPr>
          <w:lang w:val="pt-BR"/>
        </w:rPr>
        <w:t xml:space="preserve"> * HLRS</w:t>
      </w:r>
      <w:r w:rsidRPr="00AF0BBA">
        <w:rPr>
          <w:i/>
          <w:vertAlign w:val="subscript"/>
        </w:rPr>
        <w:t xml:space="preserve"> q,</w:t>
      </w:r>
      <w:r w:rsidRPr="00AF0BBA">
        <w:rPr>
          <w:i/>
          <w:iCs/>
          <w:sz w:val="20"/>
          <w:vertAlign w:val="subscript"/>
        </w:rPr>
        <w:t xml:space="preserve"> m</w:t>
      </w:r>
    </w:p>
    <w:p w14:paraId="3D6E849A" w14:textId="77777777" w:rsidR="00326E23" w:rsidRPr="00AF0BBA" w:rsidRDefault="00326E23" w:rsidP="00326E23">
      <w:pPr>
        <w:spacing w:after="240"/>
        <w:ind w:left="1440"/>
        <w:jc w:val="both"/>
      </w:pPr>
      <w:r w:rsidRPr="00AF0BBA">
        <w:t xml:space="preserve">The HLRS used will be the HLRS for each day within the contracted month </w:t>
      </w:r>
      <w:r w:rsidRPr="00AF0BBA">
        <w:rPr>
          <w:i/>
        </w:rPr>
        <w:t>m</w:t>
      </w:r>
      <w:r w:rsidRPr="00AF0BBA">
        <w:t>.  The most recent approved HLRS available at the time the miscellaneous Invoice is posted will be used.  The miscellaneous Invoice will not be re-calculated with subsequent Settlement runs unless required by a dispute or ADR.  If a dispute or ADR requires ERCOT to re-issue the miscellaneous Invoice, the most recent approved HLRS values will be used.</w:t>
      </w:r>
    </w:p>
    <w:p w14:paraId="53E1C9F5" w14:textId="77777777" w:rsidR="00326E23" w:rsidRPr="00AF0BBA" w:rsidRDefault="00326E23" w:rsidP="00326E23">
      <w:pPr>
        <w:spacing w:after="240"/>
        <w:ind w:left="1440" w:hanging="720"/>
        <w:jc w:val="both"/>
      </w:pPr>
      <w:r w:rsidRPr="00AF0BBA">
        <w:lastRenderedPageBreak/>
        <w:t xml:space="preserve">(b) </w:t>
      </w:r>
      <w:r w:rsidRPr="00AF0BBA">
        <w:tab/>
        <w:t>Upon issuance of the miscellaneous Invoice, ERCOT shall issue a Market Notice containing the value of RMROEIAMT and the Settlement run containing the HLRS that was used in the Settlement.</w:t>
      </w:r>
    </w:p>
    <w:p w14:paraId="180D96D2" w14:textId="77777777" w:rsidR="00326E23" w:rsidRPr="00AF0BBA" w:rsidRDefault="00326E23" w:rsidP="00326E23">
      <w:pPr>
        <w:tabs>
          <w:tab w:val="left" w:pos="2250"/>
          <w:tab w:val="left" w:pos="3150"/>
          <w:tab w:val="left" w:pos="3960"/>
        </w:tabs>
      </w:pPr>
      <w:r w:rsidRPr="00AF0BBA">
        <w:t>The above variables are defined as follows: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6"/>
        <w:gridCol w:w="898"/>
        <w:gridCol w:w="6121"/>
      </w:tblGrid>
      <w:tr w:rsidR="00326E23" w:rsidRPr="00AF0BBA" w14:paraId="77E07BD6" w14:textId="77777777" w:rsidTr="009B2773">
        <w:tc>
          <w:tcPr>
            <w:tcW w:w="1296" w:type="pct"/>
          </w:tcPr>
          <w:p w14:paraId="5C5FAF75" w14:textId="77777777" w:rsidR="00326E23" w:rsidRPr="00AF0BBA" w:rsidRDefault="00326E23" w:rsidP="009B2773">
            <w:pPr>
              <w:spacing w:after="240"/>
              <w:rPr>
                <w:b/>
                <w:iCs/>
                <w:sz w:val="20"/>
              </w:rPr>
            </w:pPr>
            <w:r w:rsidRPr="00AF0BBA">
              <w:rPr>
                <w:b/>
                <w:iCs/>
                <w:sz w:val="20"/>
              </w:rPr>
              <w:t>Variable</w:t>
            </w:r>
          </w:p>
        </w:tc>
        <w:tc>
          <w:tcPr>
            <w:tcW w:w="474" w:type="pct"/>
          </w:tcPr>
          <w:p w14:paraId="5DDB0C0B" w14:textId="77777777" w:rsidR="00326E23" w:rsidRPr="00AF0BBA" w:rsidRDefault="00326E23" w:rsidP="009B2773">
            <w:pPr>
              <w:spacing w:after="240"/>
              <w:rPr>
                <w:b/>
                <w:iCs/>
                <w:sz w:val="20"/>
              </w:rPr>
            </w:pPr>
            <w:r w:rsidRPr="00AF0BBA">
              <w:rPr>
                <w:b/>
                <w:iCs/>
                <w:sz w:val="20"/>
              </w:rPr>
              <w:t>Unit</w:t>
            </w:r>
          </w:p>
        </w:tc>
        <w:tc>
          <w:tcPr>
            <w:tcW w:w="3230" w:type="pct"/>
          </w:tcPr>
          <w:p w14:paraId="3769FB75" w14:textId="77777777" w:rsidR="00326E23" w:rsidRPr="00AF0BBA" w:rsidRDefault="00326E23" w:rsidP="009B2773">
            <w:pPr>
              <w:spacing w:after="240"/>
              <w:rPr>
                <w:b/>
                <w:iCs/>
                <w:sz w:val="20"/>
              </w:rPr>
            </w:pPr>
            <w:r w:rsidRPr="00AF0BBA">
              <w:rPr>
                <w:b/>
                <w:iCs/>
                <w:sz w:val="20"/>
              </w:rPr>
              <w:t>Description</w:t>
            </w:r>
          </w:p>
        </w:tc>
      </w:tr>
      <w:tr w:rsidR="00326E23" w:rsidRPr="00AF0BBA" w14:paraId="701D3666" w14:textId="77777777" w:rsidTr="009B2773">
        <w:trPr>
          <w:cantSplit/>
          <w:trHeight w:val="692"/>
        </w:trPr>
        <w:tc>
          <w:tcPr>
            <w:tcW w:w="1296" w:type="pct"/>
          </w:tcPr>
          <w:p w14:paraId="79FBB3C1" w14:textId="77777777" w:rsidR="00326E23" w:rsidRPr="00AF0BBA" w:rsidRDefault="00326E23" w:rsidP="009B2773">
            <w:pPr>
              <w:spacing w:after="60"/>
              <w:rPr>
                <w:iCs/>
                <w:sz w:val="20"/>
              </w:rPr>
            </w:pPr>
            <w:r w:rsidRPr="00AF0BBA">
              <w:rPr>
                <w:iCs/>
                <w:sz w:val="20"/>
                <w:lang w:val="pt-BR"/>
              </w:rPr>
              <w:t xml:space="preserve">RMROEIAMT </w:t>
            </w:r>
            <w:r w:rsidRPr="00AF0BBA">
              <w:rPr>
                <w:i/>
                <w:iCs/>
                <w:sz w:val="20"/>
                <w:vertAlign w:val="subscript"/>
              </w:rPr>
              <w:t>m</w:t>
            </w:r>
          </w:p>
        </w:tc>
        <w:tc>
          <w:tcPr>
            <w:tcW w:w="474" w:type="pct"/>
          </w:tcPr>
          <w:p w14:paraId="482BEC6C" w14:textId="77777777" w:rsidR="00326E23" w:rsidRPr="00AF0BBA" w:rsidRDefault="00326E23" w:rsidP="009B2773">
            <w:pPr>
              <w:spacing w:after="60"/>
              <w:rPr>
                <w:iCs/>
                <w:sz w:val="20"/>
              </w:rPr>
            </w:pPr>
            <w:r w:rsidRPr="00AF0BBA">
              <w:rPr>
                <w:iCs/>
                <w:sz w:val="20"/>
              </w:rPr>
              <w:t>$</w:t>
            </w:r>
          </w:p>
        </w:tc>
        <w:tc>
          <w:tcPr>
            <w:tcW w:w="3230" w:type="pct"/>
          </w:tcPr>
          <w:p w14:paraId="5819C812" w14:textId="77777777" w:rsidR="00326E23" w:rsidRPr="00AF0BBA" w:rsidRDefault="00326E23" w:rsidP="009B2773">
            <w:pPr>
              <w:spacing w:after="60"/>
              <w:rPr>
                <w:iCs/>
                <w:sz w:val="20"/>
              </w:rPr>
            </w:pPr>
            <w:r w:rsidRPr="00AF0BBA">
              <w:rPr>
                <w:i/>
                <w:iCs/>
                <w:sz w:val="20"/>
              </w:rPr>
              <w:t>RMR Other Expense Incurred Amount –</w:t>
            </w:r>
            <w:r w:rsidRPr="00AF0BBA">
              <w:rPr>
                <w:iCs/>
                <w:sz w:val="20"/>
              </w:rPr>
              <w:t xml:space="preserve"> The amount of expenses incurred in the validation and processing of an RMR Agreement, for the month </w:t>
            </w:r>
            <w:r w:rsidRPr="00AF0BBA">
              <w:rPr>
                <w:i/>
                <w:iCs/>
                <w:sz w:val="20"/>
              </w:rPr>
              <w:t>m</w:t>
            </w:r>
            <w:r w:rsidRPr="00AF0BBA">
              <w:rPr>
                <w:iCs/>
                <w:sz w:val="20"/>
              </w:rPr>
              <w:t>, that are not paid to the QSE representing the RMR Unit e.g. third-party expenses incurred in the evaluation and validation of submitted RMR budgets.</w:t>
            </w:r>
          </w:p>
        </w:tc>
      </w:tr>
      <w:tr w:rsidR="00326E23" w:rsidRPr="00AF0BBA" w14:paraId="5E1C39BE" w14:textId="77777777" w:rsidTr="009B2773">
        <w:trPr>
          <w:cantSplit/>
        </w:trPr>
        <w:tc>
          <w:tcPr>
            <w:tcW w:w="1296" w:type="pct"/>
          </w:tcPr>
          <w:p w14:paraId="2BBCDB6B" w14:textId="77777777" w:rsidR="00326E23" w:rsidRPr="00AF0BBA" w:rsidRDefault="00326E23" w:rsidP="009B2773">
            <w:pPr>
              <w:spacing w:after="60"/>
              <w:rPr>
                <w:iCs/>
                <w:sz w:val="20"/>
              </w:rPr>
            </w:pPr>
            <w:r w:rsidRPr="00AF0BBA">
              <w:rPr>
                <w:iCs/>
                <w:sz w:val="20"/>
              </w:rPr>
              <w:t>LARMROEIAMT</w:t>
            </w:r>
            <w:r w:rsidRPr="00AF0BBA">
              <w:rPr>
                <w:i/>
                <w:iCs/>
                <w:sz w:val="20"/>
                <w:vertAlign w:val="subscript"/>
              </w:rPr>
              <w:t xml:space="preserve"> q</w:t>
            </w:r>
          </w:p>
        </w:tc>
        <w:tc>
          <w:tcPr>
            <w:tcW w:w="474" w:type="pct"/>
          </w:tcPr>
          <w:p w14:paraId="073A7529" w14:textId="77777777" w:rsidR="00326E23" w:rsidRPr="00AF0BBA" w:rsidRDefault="00326E23" w:rsidP="009B2773">
            <w:pPr>
              <w:tabs>
                <w:tab w:val="left" w:pos="2880"/>
              </w:tabs>
              <w:spacing w:after="60"/>
              <w:contextualSpacing/>
              <w:rPr>
                <w:iCs/>
                <w:sz w:val="20"/>
              </w:rPr>
            </w:pPr>
            <w:r w:rsidRPr="00AF0BBA">
              <w:rPr>
                <w:iCs/>
                <w:sz w:val="20"/>
              </w:rPr>
              <w:t>$</w:t>
            </w:r>
          </w:p>
        </w:tc>
        <w:tc>
          <w:tcPr>
            <w:tcW w:w="3230" w:type="pct"/>
          </w:tcPr>
          <w:p w14:paraId="68AD5ED6" w14:textId="77777777" w:rsidR="00326E23" w:rsidRPr="00AF0BBA" w:rsidRDefault="00326E23" w:rsidP="009B2773">
            <w:pPr>
              <w:tabs>
                <w:tab w:val="left" w:pos="2880"/>
              </w:tabs>
              <w:spacing w:after="60"/>
              <w:contextualSpacing/>
              <w:rPr>
                <w:iCs/>
                <w:sz w:val="20"/>
              </w:rPr>
            </w:pPr>
            <w:r w:rsidRPr="00AF0BBA">
              <w:rPr>
                <w:i/>
                <w:iCs/>
                <w:sz w:val="20"/>
              </w:rPr>
              <w:t xml:space="preserve">Load Allocated RMR Other Expense Incurred Amount </w:t>
            </w:r>
            <w:r w:rsidRPr="00AF0BBA">
              <w:rPr>
                <w:iCs/>
                <w:sz w:val="20"/>
              </w:rPr>
              <w:t>– The amount of other expenses incurred charged to QSE</w:t>
            </w:r>
            <w:r w:rsidRPr="00AF0BBA">
              <w:rPr>
                <w:i/>
                <w:iCs/>
                <w:sz w:val="20"/>
              </w:rPr>
              <w:t xml:space="preserve"> q</w:t>
            </w:r>
            <w:r w:rsidRPr="00AF0BBA">
              <w:rPr>
                <w:iCs/>
                <w:sz w:val="20"/>
              </w:rPr>
              <w:t xml:space="preserve"> based on its HLRS.</w:t>
            </w:r>
          </w:p>
        </w:tc>
      </w:tr>
      <w:tr w:rsidR="00326E23" w:rsidRPr="00AF0BBA" w14:paraId="163769FF" w14:textId="77777777" w:rsidTr="009B2773">
        <w:trPr>
          <w:cantSplit/>
        </w:trPr>
        <w:tc>
          <w:tcPr>
            <w:tcW w:w="1296" w:type="pct"/>
          </w:tcPr>
          <w:p w14:paraId="7BE00D7B" w14:textId="77777777" w:rsidR="00326E23" w:rsidRPr="00AF0BBA" w:rsidRDefault="00326E23" w:rsidP="009B2773">
            <w:pPr>
              <w:spacing w:after="60"/>
              <w:rPr>
                <w:iCs/>
                <w:sz w:val="20"/>
              </w:rPr>
            </w:pPr>
            <w:r w:rsidRPr="00AF0BBA">
              <w:rPr>
                <w:iCs/>
                <w:sz w:val="20"/>
              </w:rPr>
              <w:t xml:space="preserve">HLRS </w:t>
            </w:r>
            <w:r w:rsidRPr="00AF0BBA">
              <w:rPr>
                <w:i/>
                <w:iCs/>
                <w:sz w:val="20"/>
                <w:vertAlign w:val="subscript"/>
              </w:rPr>
              <w:t>q, m</w:t>
            </w:r>
          </w:p>
        </w:tc>
        <w:tc>
          <w:tcPr>
            <w:tcW w:w="474" w:type="pct"/>
          </w:tcPr>
          <w:p w14:paraId="5D72114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7C0CE844" w14:textId="77777777" w:rsidR="00326E23" w:rsidRPr="00AF0BBA" w:rsidRDefault="00326E23" w:rsidP="009B2773">
            <w:pPr>
              <w:autoSpaceDE w:val="0"/>
              <w:autoSpaceDN w:val="0"/>
              <w:adjustRightInd w:val="0"/>
              <w:spacing w:after="60"/>
              <w:rPr>
                <w:color w:val="000000"/>
                <w:sz w:val="20"/>
              </w:rPr>
            </w:pPr>
            <w:r w:rsidRPr="00AF0BBA">
              <w:rPr>
                <w:i/>
                <w:iCs/>
                <w:color w:val="000000"/>
                <w:sz w:val="20"/>
              </w:rPr>
              <w:t>Hourly Load Ratio Share per QSE</w:t>
            </w:r>
            <w:r w:rsidRPr="00AF0BBA">
              <w:rPr>
                <w:i/>
                <w:color w:val="000000"/>
                <w:sz w:val="20"/>
              </w:rPr>
              <w:t xml:space="preserve"> </w:t>
            </w:r>
            <w:r w:rsidRPr="00AF0BBA">
              <w:rPr>
                <w:color w:val="000000"/>
                <w:sz w:val="20"/>
              </w:rPr>
              <w:t xml:space="preserve">– The hourly LRS calculated for QSE </w:t>
            </w:r>
            <w:r w:rsidRPr="00AF0BBA">
              <w:rPr>
                <w:i/>
                <w:color w:val="000000"/>
                <w:sz w:val="20"/>
              </w:rPr>
              <w:t>q</w:t>
            </w:r>
            <w:r w:rsidRPr="00AF0BBA">
              <w:rPr>
                <w:color w:val="000000"/>
                <w:sz w:val="20"/>
              </w:rPr>
              <w:t xml:space="preserve"> for the hour for month </w:t>
            </w:r>
            <w:r w:rsidRPr="00AF0BBA">
              <w:rPr>
                <w:i/>
                <w:iCs/>
                <w:sz w:val="20"/>
              </w:rPr>
              <w:t>m</w:t>
            </w:r>
            <w:r w:rsidRPr="00AF0BBA">
              <w:rPr>
                <w:color w:val="000000"/>
                <w:sz w:val="20"/>
              </w:rPr>
              <w:t xml:space="preserve">.  See Section 6.6.2.4, QSE Load Ratio Share for an Operating Hour. </w:t>
            </w:r>
          </w:p>
        </w:tc>
      </w:tr>
      <w:tr w:rsidR="00326E23" w:rsidRPr="00AF0BBA" w14:paraId="3F3BF1AD" w14:textId="77777777" w:rsidTr="009B2773">
        <w:trPr>
          <w:cantSplit/>
        </w:trPr>
        <w:tc>
          <w:tcPr>
            <w:tcW w:w="1296" w:type="pct"/>
          </w:tcPr>
          <w:p w14:paraId="66EA27B0" w14:textId="77777777" w:rsidR="00326E23" w:rsidRPr="00AF0BBA" w:rsidRDefault="00326E23" w:rsidP="009B2773">
            <w:pPr>
              <w:spacing w:after="60"/>
              <w:rPr>
                <w:iCs/>
                <w:sz w:val="20"/>
              </w:rPr>
            </w:pPr>
            <w:r w:rsidRPr="00AF0BBA">
              <w:rPr>
                <w:iCs/>
                <w:sz w:val="20"/>
              </w:rPr>
              <w:t>MH</w:t>
            </w:r>
            <w:r w:rsidRPr="00AF0BBA">
              <w:rPr>
                <w:i/>
                <w:iCs/>
                <w:sz w:val="20"/>
                <w:vertAlign w:val="subscript"/>
              </w:rPr>
              <w:t xml:space="preserve"> m</w:t>
            </w:r>
            <w:r w:rsidRPr="00AF0BBA">
              <w:rPr>
                <w:iCs/>
                <w:sz w:val="20"/>
              </w:rPr>
              <w:t xml:space="preserve"> </w:t>
            </w:r>
          </w:p>
        </w:tc>
        <w:tc>
          <w:tcPr>
            <w:tcW w:w="474" w:type="pct"/>
          </w:tcPr>
          <w:p w14:paraId="400172CA" w14:textId="77777777" w:rsidR="00326E23" w:rsidRPr="00AF0BBA" w:rsidRDefault="00326E23" w:rsidP="009B2773">
            <w:pPr>
              <w:tabs>
                <w:tab w:val="left" w:pos="2880"/>
              </w:tabs>
              <w:spacing w:after="60"/>
              <w:contextualSpacing/>
              <w:rPr>
                <w:iCs/>
                <w:sz w:val="20"/>
              </w:rPr>
            </w:pPr>
            <w:r w:rsidRPr="00AF0BBA">
              <w:rPr>
                <w:iCs/>
                <w:sz w:val="20"/>
              </w:rPr>
              <w:t>hour</w:t>
            </w:r>
          </w:p>
        </w:tc>
        <w:tc>
          <w:tcPr>
            <w:tcW w:w="3230" w:type="pct"/>
          </w:tcPr>
          <w:p w14:paraId="129D7FC9" w14:textId="77777777" w:rsidR="00326E23" w:rsidRPr="00AF0BBA" w:rsidRDefault="00326E23" w:rsidP="009B2773">
            <w:pPr>
              <w:tabs>
                <w:tab w:val="left" w:pos="2880"/>
              </w:tabs>
              <w:spacing w:after="60"/>
              <w:contextualSpacing/>
              <w:rPr>
                <w:i/>
                <w:iCs/>
                <w:sz w:val="20"/>
              </w:rPr>
            </w:pPr>
            <w:r w:rsidRPr="00AF0BBA">
              <w:rPr>
                <w:i/>
                <w:iCs/>
                <w:sz w:val="20"/>
              </w:rPr>
              <w:t xml:space="preserve">Number of Hours in the Month </w:t>
            </w:r>
            <w:r w:rsidRPr="00AF0BBA">
              <w:rPr>
                <w:iCs/>
                <w:sz w:val="20"/>
              </w:rPr>
              <w:t xml:space="preserve">—The total number of hours in the month </w:t>
            </w:r>
            <w:r w:rsidRPr="00AF0BBA">
              <w:rPr>
                <w:i/>
                <w:iCs/>
                <w:sz w:val="20"/>
              </w:rPr>
              <w:t>m</w:t>
            </w:r>
            <w:r w:rsidRPr="00AF0BBA">
              <w:rPr>
                <w:iCs/>
                <w:sz w:val="20"/>
              </w:rPr>
              <w:t>, which overlaps a month in which an RMR Agreement was effective.</w:t>
            </w:r>
          </w:p>
        </w:tc>
      </w:tr>
      <w:tr w:rsidR="00326E23" w:rsidRPr="00AF0BBA" w14:paraId="6568AC60" w14:textId="77777777" w:rsidTr="009B2773">
        <w:trPr>
          <w:cantSplit/>
          <w:trHeight w:val="323"/>
        </w:trPr>
        <w:tc>
          <w:tcPr>
            <w:tcW w:w="1296" w:type="pct"/>
          </w:tcPr>
          <w:p w14:paraId="79B34167" w14:textId="77777777" w:rsidR="00326E23" w:rsidRPr="00AF0BBA" w:rsidRDefault="00326E23" w:rsidP="009B2773">
            <w:pPr>
              <w:spacing w:after="60"/>
              <w:rPr>
                <w:iCs/>
                <w:sz w:val="20"/>
              </w:rPr>
            </w:pPr>
            <w:r w:rsidRPr="00AF0BBA">
              <w:rPr>
                <w:i/>
                <w:iCs/>
                <w:sz w:val="20"/>
              </w:rPr>
              <w:t>m</w:t>
            </w:r>
          </w:p>
        </w:tc>
        <w:tc>
          <w:tcPr>
            <w:tcW w:w="474" w:type="pct"/>
          </w:tcPr>
          <w:p w14:paraId="6CE0F82A"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0D9D44E5" w14:textId="77777777" w:rsidR="00326E23" w:rsidRPr="00AF0BBA" w:rsidRDefault="00326E23" w:rsidP="009B2773">
            <w:pPr>
              <w:tabs>
                <w:tab w:val="left" w:pos="2880"/>
              </w:tabs>
              <w:spacing w:after="60"/>
              <w:contextualSpacing/>
              <w:rPr>
                <w:iCs/>
                <w:sz w:val="20"/>
              </w:rPr>
            </w:pPr>
            <w:r w:rsidRPr="00AF0BBA">
              <w:rPr>
                <w:iCs/>
                <w:sz w:val="20"/>
              </w:rPr>
              <w:t>A month in the RMR Agreement period.</w:t>
            </w:r>
          </w:p>
        </w:tc>
      </w:tr>
      <w:tr w:rsidR="00326E23" w:rsidRPr="00AF0BBA" w14:paraId="40F8C6A9" w14:textId="77777777" w:rsidTr="009B2773">
        <w:trPr>
          <w:cantSplit/>
          <w:trHeight w:val="323"/>
        </w:trPr>
        <w:tc>
          <w:tcPr>
            <w:tcW w:w="1296" w:type="pct"/>
          </w:tcPr>
          <w:p w14:paraId="7BA9DF00" w14:textId="77777777" w:rsidR="00326E23" w:rsidRPr="00AF0BBA" w:rsidRDefault="00326E23" w:rsidP="009B2773">
            <w:pPr>
              <w:spacing w:after="60"/>
              <w:rPr>
                <w:i/>
                <w:iCs/>
                <w:sz w:val="20"/>
              </w:rPr>
            </w:pPr>
            <w:r w:rsidRPr="00AF0BBA">
              <w:rPr>
                <w:i/>
                <w:iCs/>
                <w:sz w:val="20"/>
              </w:rPr>
              <w:t>q</w:t>
            </w:r>
          </w:p>
        </w:tc>
        <w:tc>
          <w:tcPr>
            <w:tcW w:w="474" w:type="pct"/>
          </w:tcPr>
          <w:p w14:paraId="3EDCF411"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3D8C0DC3" w14:textId="77777777" w:rsidR="00326E23" w:rsidRPr="00AF0BBA" w:rsidRDefault="00326E23" w:rsidP="009B2773">
            <w:pPr>
              <w:tabs>
                <w:tab w:val="left" w:pos="2880"/>
              </w:tabs>
              <w:spacing w:after="60"/>
              <w:contextualSpacing/>
              <w:rPr>
                <w:iCs/>
                <w:sz w:val="20"/>
              </w:rPr>
            </w:pPr>
            <w:r w:rsidRPr="00AF0BBA">
              <w:rPr>
                <w:iCs/>
                <w:sz w:val="20"/>
              </w:rPr>
              <w:t>A QSE.</w:t>
            </w:r>
          </w:p>
        </w:tc>
      </w:tr>
      <w:tr w:rsidR="00326E23" w:rsidRPr="00AF0BBA" w14:paraId="260D3C08" w14:textId="77777777" w:rsidTr="009B2773">
        <w:trPr>
          <w:cantSplit/>
          <w:trHeight w:val="323"/>
        </w:trPr>
        <w:tc>
          <w:tcPr>
            <w:tcW w:w="1296" w:type="pct"/>
          </w:tcPr>
          <w:p w14:paraId="22EA0C8D" w14:textId="77777777" w:rsidR="00326E23" w:rsidRPr="00AF0BBA" w:rsidRDefault="00326E23" w:rsidP="009B2773">
            <w:pPr>
              <w:spacing w:after="60"/>
              <w:rPr>
                <w:i/>
                <w:iCs/>
                <w:sz w:val="20"/>
              </w:rPr>
            </w:pPr>
            <w:r w:rsidRPr="00AF0BBA">
              <w:rPr>
                <w:i/>
                <w:iCs/>
                <w:sz w:val="20"/>
              </w:rPr>
              <w:t>r</w:t>
            </w:r>
          </w:p>
        </w:tc>
        <w:tc>
          <w:tcPr>
            <w:tcW w:w="474" w:type="pct"/>
          </w:tcPr>
          <w:p w14:paraId="07F037D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259A286A" w14:textId="77777777" w:rsidR="00326E23" w:rsidRPr="00AF0BBA" w:rsidRDefault="00326E23" w:rsidP="009B2773">
            <w:pPr>
              <w:tabs>
                <w:tab w:val="left" w:pos="2880"/>
              </w:tabs>
              <w:spacing w:after="60"/>
              <w:contextualSpacing/>
              <w:rPr>
                <w:iCs/>
                <w:sz w:val="20"/>
              </w:rPr>
            </w:pPr>
            <w:r w:rsidRPr="00AF0BBA">
              <w:rPr>
                <w:iCs/>
                <w:sz w:val="20"/>
              </w:rPr>
              <w:t>An RMR Unit.</w:t>
            </w:r>
          </w:p>
        </w:tc>
      </w:tr>
    </w:tbl>
    <w:p w14:paraId="64C4CA5B" w14:textId="77777777" w:rsidR="00326E23" w:rsidRPr="006459E7" w:rsidRDefault="00326E23" w:rsidP="00326E23">
      <w:pPr>
        <w:spacing w:before="240" w:after="240"/>
        <w:ind w:left="720" w:hanging="720"/>
      </w:pPr>
      <w:r w:rsidRPr="006459E7">
        <w:rPr>
          <w:bCs/>
        </w:rPr>
        <w:t>(</w:t>
      </w:r>
      <w:r>
        <w:rPr>
          <w:bCs/>
        </w:rPr>
        <w:t>3</w:t>
      </w:r>
      <w:r w:rsidRPr="006459E7">
        <w:rPr>
          <w:bCs/>
        </w:rPr>
        <w:t>)</w:t>
      </w:r>
      <w:r w:rsidRPr="006459E7">
        <w:rPr>
          <w:bCs/>
        </w:rPr>
        <w:tab/>
        <w:t>ERCOT shall collect and distribute Must-Run Alternative (MRA) contributed capital expenditures described in Section 3.14.1.1</w:t>
      </w:r>
      <w:r>
        <w:rPr>
          <w:bCs/>
        </w:rPr>
        <w:t>9</w:t>
      </w:r>
      <w:r w:rsidRPr="006459E7">
        <w:rPr>
          <w:bCs/>
        </w:rPr>
        <w:t xml:space="preserve"> as follows:</w:t>
      </w:r>
    </w:p>
    <w:p w14:paraId="6C9401E3" w14:textId="77777777" w:rsidR="00326E23" w:rsidRPr="006459E7" w:rsidRDefault="00326E23" w:rsidP="00326E23">
      <w:pPr>
        <w:spacing w:after="240"/>
        <w:ind w:left="1440" w:hanging="720"/>
      </w:pPr>
      <w:r w:rsidRPr="006459E7">
        <w:t>(a)</w:t>
      </w:r>
      <w:r w:rsidRPr="006459E7">
        <w:tab/>
        <w:t xml:space="preserve">The one-time charge to the QSE to collect the lump sum of contributed capital </w:t>
      </w:r>
      <w:r w:rsidRPr="006459E7">
        <w:rPr>
          <w:iCs/>
        </w:rPr>
        <w:t>expenditures</w:t>
      </w:r>
      <w:r w:rsidRPr="006459E7">
        <w:t xml:space="preserve"> will be reflected as:</w:t>
      </w:r>
    </w:p>
    <w:p w14:paraId="051952D6" w14:textId="77777777" w:rsidR="00326E23" w:rsidRPr="006459E7" w:rsidRDefault="00326E23" w:rsidP="00326E23">
      <w:pPr>
        <w:spacing w:before="240" w:after="240"/>
        <w:ind w:left="720" w:firstLine="720"/>
      </w:pPr>
      <w:r w:rsidRPr="006459E7">
        <w:rPr>
          <w:lang w:val="pt-BR"/>
        </w:rPr>
        <w:t>MRACERAMT</w:t>
      </w:r>
      <w:r w:rsidRPr="006459E7">
        <w:rPr>
          <w:i/>
          <w:vertAlign w:val="subscript"/>
        </w:rPr>
        <w:t xml:space="preserve"> q, r, c</w:t>
      </w:r>
    </w:p>
    <w:p w14:paraId="378B887A" w14:textId="77777777" w:rsidR="00326E23" w:rsidRPr="006459E7" w:rsidRDefault="00326E23" w:rsidP="00326E23">
      <w:pPr>
        <w:spacing w:after="240"/>
        <w:ind w:left="1440" w:hanging="720"/>
      </w:pPr>
      <w:r w:rsidRPr="006459E7">
        <w:t>(b)</w:t>
      </w:r>
      <w:r w:rsidRPr="006459E7">
        <w:tab/>
        <w:t>The one-</w:t>
      </w:r>
      <w:r w:rsidRPr="006459E7">
        <w:rPr>
          <w:iCs/>
        </w:rPr>
        <w:t>time</w:t>
      </w:r>
      <w:r w:rsidRPr="006459E7">
        <w:t xml:space="preserve"> payment is calculated as follows:</w:t>
      </w:r>
    </w:p>
    <w:p w14:paraId="7EFF74A7" w14:textId="52D447FD" w:rsidR="00326E23" w:rsidRPr="006459E7" w:rsidRDefault="00326E23" w:rsidP="00326E23">
      <w:pPr>
        <w:spacing w:after="240"/>
        <w:ind w:left="720" w:firstLine="720"/>
        <w:rPr>
          <w:i/>
          <w:vertAlign w:val="subscript"/>
        </w:rPr>
      </w:pPr>
      <w:r w:rsidRPr="006459E7">
        <w:t>LAMRACERAMT</w:t>
      </w:r>
      <w:r w:rsidRPr="006459E7">
        <w:rPr>
          <w:i/>
          <w:vertAlign w:val="subscript"/>
        </w:rPr>
        <w:t xml:space="preserve"> q</w:t>
      </w:r>
      <w:r w:rsidRPr="006459E7">
        <w:t xml:space="preserve">   =   (-1) * </w:t>
      </w:r>
      <w:r w:rsidR="00A94020">
        <w:rPr>
          <w:noProof/>
          <w:position w:val="-18"/>
        </w:rPr>
        <w:drawing>
          <wp:inline distT="0" distB="0" distL="0" distR="0" wp14:anchorId="51308978" wp14:editId="3B44A0A9">
            <wp:extent cx="133350" cy="257175"/>
            <wp:effectExtent l="0" t="0" r="0" b="9525"/>
            <wp:docPr id="1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33350" cy="257175"/>
                    </a:xfrm>
                    <a:prstGeom prst="rect">
                      <a:avLst/>
                    </a:prstGeom>
                    <a:noFill/>
                    <a:ln>
                      <a:noFill/>
                    </a:ln>
                  </pic:spPr>
                </pic:pic>
              </a:graphicData>
            </a:graphic>
          </wp:inline>
        </w:drawing>
      </w:r>
      <w:r w:rsidR="00A94020">
        <w:rPr>
          <w:noProof/>
          <w:position w:val="-18"/>
        </w:rPr>
        <w:drawing>
          <wp:inline distT="0" distB="0" distL="0" distR="0" wp14:anchorId="4E16A0CD" wp14:editId="676652FE">
            <wp:extent cx="133350" cy="257175"/>
            <wp:effectExtent l="0" t="0" r="0" b="9525"/>
            <wp:docPr id="1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33350" cy="257175"/>
                    </a:xfrm>
                    <a:prstGeom prst="rect">
                      <a:avLst/>
                    </a:prstGeom>
                    <a:noFill/>
                    <a:ln>
                      <a:noFill/>
                    </a:ln>
                  </pic:spPr>
                </pic:pic>
              </a:graphicData>
            </a:graphic>
          </wp:inline>
        </w:drawing>
      </w:r>
      <w:r w:rsidRPr="006459E7">
        <w:t xml:space="preserve"> </w:t>
      </w:r>
      <w:r w:rsidRPr="006459E7">
        <w:rPr>
          <w:lang w:val="pt-BR"/>
        </w:rPr>
        <w:t>MMRACER / MH</w:t>
      </w:r>
      <w:r w:rsidRPr="006459E7">
        <w:rPr>
          <w:i/>
          <w:vertAlign w:val="subscript"/>
        </w:rPr>
        <w:t xml:space="preserve"> q, r</w:t>
      </w:r>
      <w:r w:rsidRPr="006459E7">
        <w:rPr>
          <w:lang w:val="pt-BR"/>
        </w:rPr>
        <w:t xml:space="preserve"> * HLRS</w:t>
      </w:r>
      <w:r w:rsidRPr="006459E7">
        <w:rPr>
          <w:i/>
          <w:vertAlign w:val="subscript"/>
        </w:rPr>
        <w:t xml:space="preserve"> q</w:t>
      </w:r>
    </w:p>
    <w:p w14:paraId="292B1DAF" w14:textId="77777777" w:rsidR="00326E23" w:rsidRPr="006459E7" w:rsidRDefault="00326E23" w:rsidP="00326E23">
      <w:pPr>
        <w:spacing w:after="240"/>
        <w:ind w:left="720" w:firstLine="720"/>
        <w:rPr>
          <w:i/>
          <w:vertAlign w:val="subscript"/>
        </w:rPr>
      </w:pPr>
      <w:r w:rsidRPr="006459E7">
        <w:t>Where:</w:t>
      </w:r>
    </w:p>
    <w:p w14:paraId="761E9584" w14:textId="77777777" w:rsidR="00326E23" w:rsidRPr="006459E7" w:rsidRDefault="00326E23" w:rsidP="00326E23">
      <w:pPr>
        <w:spacing w:after="240"/>
        <w:ind w:left="1440"/>
        <w:rPr>
          <w:i/>
          <w:vertAlign w:val="subscript"/>
        </w:rPr>
      </w:pPr>
      <w:r w:rsidRPr="006459E7">
        <w:rPr>
          <w:lang w:val="pt-BR"/>
        </w:rPr>
        <w:t>MMRACER =    MRACERAMT</w:t>
      </w:r>
      <w:r w:rsidRPr="006459E7">
        <w:rPr>
          <w:i/>
          <w:vertAlign w:val="subscript"/>
        </w:rPr>
        <w:t xml:space="preserve"> q, r, c</w:t>
      </w:r>
      <w:r w:rsidRPr="006459E7">
        <w:rPr>
          <w:lang w:val="pt-BR"/>
        </w:rPr>
        <w:t xml:space="preserve"> / CM</w:t>
      </w:r>
      <w:r w:rsidRPr="006459E7">
        <w:rPr>
          <w:i/>
          <w:vertAlign w:val="subscript"/>
        </w:rPr>
        <w:t xml:space="preserve"> q, r, c</w:t>
      </w:r>
    </w:p>
    <w:p w14:paraId="0E5AEC15" w14:textId="77777777" w:rsidR="00326E23" w:rsidRPr="006459E7" w:rsidRDefault="00326E23" w:rsidP="00326E23">
      <w:pPr>
        <w:spacing w:after="240"/>
        <w:ind w:left="1440"/>
        <w:jc w:val="both"/>
      </w:pPr>
      <w:r w:rsidRPr="006459E7">
        <w:t xml:space="preserve">The HLRS used will be the HLRS for each day within the contracted month M.  The most recent approved HLRS available at time the miscellaneous Invoice is posted will be used.  The miscellaneous Invoice will not be re-calculated with subsequent Settlement runs unless required by a dispute or ADR. </w:t>
      </w:r>
      <w:r>
        <w:t xml:space="preserve"> </w:t>
      </w:r>
      <w:r w:rsidRPr="006459E7">
        <w:t>If a dispute or ADR requires ERCOT to re-issue the miscellaneous Invoice, the most recent approved HLRS values will be used.</w:t>
      </w:r>
    </w:p>
    <w:p w14:paraId="511F904F" w14:textId="77777777" w:rsidR="00326E23" w:rsidRPr="006459E7" w:rsidRDefault="00326E23" w:rsidP="00326E23">
      <w:pPr>
        <w:tabs>
          <w:tab w:val="left" w:pos="2250"/>
          <w:tab w:val="left" w:pos="3150"/>
          <w:tab w:val="left" w:pos="3960"/>
        </w:tabs>
      </w:pPr>
      <w:r w:rsidRPr="006459E7">
        <w:t>The above variables are defined as follows:</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6"/>
        <w:gridCol w:w="898"/>
        <w:gridCol w:w="6120"/>
      </w:tblGrid>
      <w:tr w:rsidR="00326E23" w:rsidRPr="006459E7" w14:paraId="20C50F21" w14:textId="77777777" w:rsidTr="00E15B46">
        <w:tc>
          <w:tcPr>
            <w:tcW w:w="1296" w:type="pct"/>
          </w:tcPr>
          <w:p w14:paraId="42F006C2" w14:textId="77777777" w:rsidR="00326E23" w:rsidRPr="006459E7" w:rsidRDefault="00326E23" w:rsidP="009B2773">
            <w:pPr>
              <w:spacing w:after="240"/>
              <w:rPr>
                <w:b/>
                <w:iCs/>
                <w:sz w:val="20"/>
              </w:rPr>
            </w:pPr>
            <w:r w:rsidRPr="006459E7">
              <w:rPr>
                <w:b/>
                <w:iCs/>
                <w:sz w:val="20"/>
              </w:rPr>
              <w:lastRenderedPageBreak/>
              <w:t>Variable</w:t>
            </w:r>
          </w:p>
        </w:tc>
        <w:tc>
          <w:tcPr>
            <w:tcW w:w="474" w:type="pct"/>
          </w:tcPr>
          <w:p w14:paraId="0D401513" w14:textId="77777777" w:rsidR="00326E23" w:rsidRPr="006459E7" w:rsidRDefault="00326E23" w:rsidP="009B2773">
            <w:pPr>
              <w:spacing w:after="240"/>
              <w:rPr>
                <w:b/>
                <w:iCs/>
                <w:sz w:val="20"/>
              </w:rPr>
            </w:pPr>
            <w:r w:rsidRPr="006459E7">
              <w:rPr>
                <w:b/>
                <w:iCs/>
                <w:sz w:val="20"/>
              </w:rPr>
              <w:t>Unit</w:t>
            </w:r>
          </w:p>
        </w:tc>
        <w:tc>
          <w:tcPr>
            <w:tcW w:w="3230" w:type="pct"/>
          </w:tcPr>
          <w:p w14:paraId="6E753026" w14:textId="77777777" w:rsidR="00326E23" w:rsidRPr="006459E7" w:rsidRDefault="00326E23" w:rsidP="009B2773">
            <w:pPr>
              <w:spacing w:after="240"/>
              <w:rPr>
                <w:b/>
                <w:iCs/>
                <w:sz w:val="20"/>
              </w:rPr>
            </w:pPr>
            <w:r w:rsidRPr="006459E7">
              <w:rPr>
                <w:b/>
                <w:iCs/>
                <w:sz w:val="20"/>
              </w:rPr>
              <w:t>Description</w:t>
            </w:r>
          </w:p>
        </w:tc>
      </w:tr>
      <w:tr w:rsidR="00326E23" w:rsidRPr="006459E7" w14:paraId="202C2FA0" w14:textId="77777777" w:rsidTr="00E15B46">
        <w:trPr>
          <w:cantSplit/>
          <w:trHeight w:val="692"/>
        </w:trPr>
        <w:tc>
          <w:tcPr>
            <w:tcW w:w="1296" w:type="pct"/>
          </w:tcPr>
          <w:p w14:paraId="42E21910" w14:textId="77777777" w:rsidR="00326E23" w:rsidRPr="006459E7" w:rsidRDefault="00326E23" w:rsidP="009B2773">
            <w:pPr>
              <w:spacing w:after="60"/>
              <w:rPr>
                <w:iCs/>
                <w:sz w:val="20"/>
              </w:rPr>
            </w:pPr>
            <w:r w:rsidRPr="006459E7">
              <w:rPr>
                <w:iCs/>
                <w:sz w:val="20"/>
                <w:lang w:val="pt-BR"/>
              </w:rPr>
              <w:t>MRACERAMT</w:t>
            </w:r>
            <w:r w:rsidRPr="006459E7">
              <w:rPr>
                <w:i/>
                <w:iCs/>
                <w:sz w:val="20"/>
                <w:vertAlign w:val="subscript"/>
              </w:rPr>
              <w:t xml:space="preserve"> q, r, c</w:t>
            </w:r>
          </w:p>
        </w:tc>
        <w:tc>
          <w:tcPr>
            <w:tcW w:w="474" w:type="pct"/>
          </w:tcPr>
          <w:p w14:paraId="76E85DDD" w14:textId="77777777" w:rsidR="00326E23" w:rsidRPr="006459E7" w:rsidRDefault="00326E23" w:rsidP="009B2773">
            <w:pPr>
              <w:spacing w:after="60"/>
              <w:rPr>
                <w:iCs/>
                <w:sz w:val="20"/>
              </w:rPr>
            </w:pPr>
            <w:r w:rsidRPr="006459E7">
              <w:rPr>
                <w:iCs/>
                <w:sz w:val="20"/>
              </w:rPr>
              <w:t>$</w:t>
            </w:r>
          </w:p>
        </w:tc>
        <w:tc>
          <w:tcPr>
            <w:tcW w:w="3230" w:type="pct"/>
          </w:tcPr>
          <w:p w14:paraId="4B65EC6F" w14:textId="77777777" w:rsidR="00326E23" w:rsidRPr="006459E7" w:rsidRDefault="00326E23" w:rsidP="009B2773">
            <w:pPr>
              <w:spacing w:after="60"/>
              <w:rPr>
                <w:iCs/>
                <w:sz w:val="20"/>
              </w:rPr>
            </w:pPr>
            <w:r w:rsidRPr="006459E7">
              <w:rPr>
                <w:i/>
                <w:iCs/>
                <w:sz w:val="20"/>
              </w:rPr>
              <w:t>Must-Run Alternative Capital Expenditure Refund Amount</w:t>
            </w:r>
            <w:r w:rsidRPr="006459E7">
              <w:rPr>
                <w:iCs/>
                <w:sz w:val="20"/>
              </w:rPr>
              <w:t xml:space="preserve"> – The lump sum amount of contributed capital expenditures refunded to ERCOT per Section </w:t>
            </w:r>
            <w:r w:rsidRPr="006459E7">
              <w:rPr>
                <w:bCs/>
                <w:iCs/>
                <w:sz w:val="20"/>
              </w:rPr>
              <w:t>3.14.1.1</w:t>
            </w:r>
            <w:r>
              <w:rPr>
                <w:bCs/>
                <w:iCs/>
                <w:sz w:val="20"/>
              </w:rPr>
              <w:t>9</w:t>
            </w:r>
            <w:r w:rsidRPr="006459E7">
              <w:rPr>
                <w:iCs/>
                <w:sz w:val="20"/>
              </w:rPr>
              <w:t xml:space="preserve">. </w:t>
            </w:r>
          </w:p>
        </w:tc>
      </w:tr>
      <w:tr w:rsidR="00326E23" w:rsidRPr="006459E7" w14:paraId="45A726EC" w14:textId="77777777" w:rsidTr="00E15B46">
        <w:trPr>
          <w:cantSplit/>
        </w:trPr>
        <w:tc>
          <w:tcPr>
            <w:tcW w:w="1296" w:type="pct"/>
          </w:tcPr>
          <w:p w14:paraId="5A2BC3AC" w14:textId="77777777" w:rsidR="00326E23" w:rsidRPr="006459E7" w:rsidRDefault="00326E23" w:rsidP="009B2773">
            <w:pPr>
              <w:spacing w:after="60"/>
              <w:rPr>
                <w:iCs/>
                <w:sz w:val="20"/>
              </w:rPr>
            </w:pPr>
            <w:r w:rsidRPr="006459E7">
              <w:rPr>
                <w:iCs/>
                <w:sz w:val="20"/>
                <w:lang w:val="pt-BR"/>
              </w:rPr>
              <w:t>MMRACER</w:t>
            </w:r>
          </w:p>
        </w:tc>
        <w:tc>
          <w:tcPr>
            <w:tcW w:w="474" w:type="pct"/>
          </w:tcPr>
          <w:p w14:paraId="5BFE8050" w14:textId="77777777" w:rsidR="00326E23" w:rsidRPr="006459E7" w:rsidRDefault="00326E23" w:rsidP="009B2773">
            <w:pPr>
              <w:tabs>
                <w:tab w:val="left" w:pos="2160"/>
              </w:tabs>
              <w:spacing w:after="60"/>
              <w:contextualSpacing/>
              <w:rPr>
                <w:iCs/>
                <w:sz w:val="20"/>
              </w:rPr>
            </w:pPr>
            <w:r w:rsidRPr="006459E7">
              <w:rPr>
                <w:sz w:val="20"/>
              </w:rPr>
              <w:t>$</w:t>
            </w:r>
          </w:p>
        </w:tc>
        <w:tc>
          <w:tcPr>
            <w:tcW w:w="3230" w:type="pct"/>
          </w:tcPr>
          <w:p w14:paraId="4D8D6D4E" w14:textId="77777777" w:rsidR="00326E23" w:rsidRPr="006459E7" w:rsidRDefault="00326E23" w:rsidP="009B2773">
            <w:pPr>
              <w:spacing w:after="60"/>
              <w:rPr>
                <w:iCs/>
                <w:sz w:val="20"/>
              </w:rPr>
            </w:pPr>
            <w:r w:rsidRPr="006459E7">
              <w:rPr>
                <w:i/>
                <w:iCs/>
                <w:sz w:val="20"/>
              </w:rPr>
              <w:t xml:space="preserve">Monthly Must-Run Alternative Capital Expenditure Refund </w:t>
            </w:r>
            <w:r w:rsidRPr="006459E7">
              <w:rPr>
                <w:iCs/>
                <w:sz w:val="20"/>
              </w:rPr>
              <w:t xml:space="preserve">– The lump sum amount of contributed capital expenditures refunded to ERCOT per Section </w:t>
            </w:r>
            <w:r w:rsidRPr="006459E7">
              <w:rPr>
                <w:bCs/>
                <w:iCs/>
                <w:sz w:val="20"/>
              </w:rPr>
              <w:t>3.14.1.1</w:t>
            </w:r>
            <w:r>
              <w:rPr>
                <w:bCs/>
                <w:iCs/>
                <w:sz w:val="20"/>
              </w:rPr>
              <w:t>9</w:t>
            </w:r>
            <w:r w:rsidRPr="006459E7">
              <w:rPr>
                <w:iCs/>
                <w:sz w:val="20"/>
              </w:rPr>
              <w:t xml:space="preserve"> pro-rated over the number of months of the MRA Agreement.</w:t>
            </w:r>
          </w:p>
        </w:tc>
      </w:tr>
      <w:tr w:rsidR="00326E23" w:rsidRPr="006459E7" w14:paraId="3C7931E3" w14:textId="77777777" w:rsidTr="00E15B46">
        <w:trPr>
          <w:cantSplit/>
        </w:trPr>
        <w:tc>
          <w:tcPr>
            <w:tcW w:w="1296" w:type="pct"/>
          </w:tcPr>
          <w:p w14:paraId="388D008E" w14:textId="77777777" w:rsidR="00326E23" w:rsidRPr="006459E7" w:rsidRDefault="00326E23" w:rsidP="009B2773">
            <w:pPr>
              <w:spacing w:after="60"/>
              <w:rPr>
                <w:iCs/>
                <w:sz w:val="20"/>
              </w:rPr>
            </w:pPr>
            <w:r w:rsidRPr="006459E7">
              <w:rPr>
                <w:iCs/>
                <w:sz w:val="20"/>
              </w:rPr>
              <w:t>LAMRACERAMT</w:t>
            </w:r>
            <w:r w:rsidRPr="006459E7">
              <w:rPr>
                <w:i/>
                <w:iCs/>
                <w:sz w:val="20"/>
                <w:vertAlign w:val="subscript"/>
              </w:rPr>
              <w:t xml:space="preserve"> q</w:t>
            </w:r>
          </w:p>
        </w:tc>
        <w:tc>
          <w:tcPr>
            <w:tcW w:w="474" w:type="pct"/>
          </w:tcPr>
          <w:p w14:paraId="145B12BE" w14:textId="77777777" w:rsidR="00326E23" w:rsidRPr="006459E7" w:rsidRDefault="00326E23" w:rsidP="009B2773">
            <w:pPr>
              <w:tabs>
                <w:tab w:val="left" w:pos="2880"/>
              </w:tabs>
              <w:spacing w:after="60"/>
              <w:contextualSpacing/>
              <w:rPr>
                <w:iCs/>
                <w:sz w:val="20"/>
              </w:rPr>
            </w:pPr>
            <w:r w:rsidRPr="006459E7">
              <w:rPr>
                <w:iCs/>
                <w:sz w:val="20"/>
              </w:rPr>
              <w:t>$</w:t>
            </w:r>
          </w:p>
        </w:tc>
        <w:tc>
          <w:tcPr>
            <w:tcW w:w="3230" w:type="pct"/>
          </w:tcPr>
          <w:p w14:paraId="04EABD9F" w14:textId="77777777" w:rsidR="00326E23" w:rsidRPr="006459E7" w:rsidRDefault="00326E23" w:rsidP="009B2773">
            <w:pPr>
              <w:tabs>
                <w:tab w:val="left" w:pos="2880"/>
              </w:tabs>
              <w:spacing w:after="60"/>
              <w:contextualSpacing/>
              <w:rPr>
                <w:iCs/>
                <w:sz w:val="20"/>
              </w:rPr>
            </w:pPr>
            <w:r w:rsidRPr="006459E7">
              <w:rPr>
                <w:i/>
                <w:iCs/>
                <w:sz w:val="20"/>
              </w:rPr>
              <w:t xml:space="preserve">Load Allocated Must-Run Alternative Capital Expenditure Refund Amount </w:t>
            </w:r>
            <w:r w:rsidRPr="006459E7">
              <w:rPr>
                <w:iCs/>
                <w:sz w:val="20"/>
              </w:rPr>
              <w:t>– The amount of refunded capital expenditures paid to QSE</w:t>
            </w:r>
            <w:r w:rsidRPr="006459E7">
              <w:rPr>
                <w:i/>
                <w:iCs/>
                <w:sz w:val="20"/>
              </w:rPr>
              <w:t xml:space="preserve"> q</w:t>
            </w:r>
            <w:r w:rsidRPr="006459E7">
              <w:rPr>
                <w:iCs/>
                <w:sz w:val="20"/>
              </w:rPr>
              <w:t xml:space="preserve"> based on its HLRS.</w:t>
            </w:r>
          </w:p>
        </w:tc>
      </w:tr>
      <w:tr w:rsidR="00326E23" w:rsidRPr="006459E7" w14:paraId="319FBDC4" w14:textId="77777777" w:rsidTr="00E15B46">
        <w:trPr>
          <w:cantSplit/>
        </w:trPr>
        <w:tc>
          <w:tcPr>
            <w:tcW w:w="1296" w:type="pct"/>
          </w:tcPr>
          <w:p w14:paraId="107BA2FD" w14:textId="77777777" w:rsidR="00326E23" w:rsidRPr="006459E7" w:rsidRDefault="00326E23" w:rsidP="009B2773">
            <w:pPr>
              <w:spacing w:after="60"/>
              <w:rPr>
                <w:iCs/>
                <w:sz w:val="20"/>
              </w:rPr>
            </w:pPr>
            <w:r w:rsidRPr="006459E7">
              <w:rPr>
                <w:iCs/>
                <w:sz w:val="20"/>
              </w:rPr>
              <w:t xml:space="preserve">HLRS </w:t>
            </w:r>
            <w:r w:rsidRPr="006459E7">
              <w:rPr>
                <w:i/>
                <w:iCs/>
                <w:sz w:val="20"/>
                <w:vertAlign w:val="subscript"/>
              </w:rPr>
              <w:t>q</w:t>
            </w:r>
          </w:p>
        </w:tc>
        <w:tc>
          <w:tcPr>
            <w:tcW w:w="474" w:type="pct"/>
          </w:tcPr>
          <w:p w14:paraId="72288F5C"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1910B941" w14:textId="77777777" w:rsidR="00326E23" w:rsidRPr="006459E7" w:rsidRDefault="00326E23" w:rsidP="009B2773">
            <w:pPr>
              <w:autoSpaceDE w:val="0"/>
              <w:autoSpaceDN w:val="0"/>
              <w:adjustRightInd w:val="0"/>
              <w:spacing w:after="60"/>
              <w:rPr>
                <w:color w:val="000000"/>
                <w:sz w:val="20"/>
              </w:rPr>
            </w:pPr>
            <w:r w:rsidRPr="006459E7">
              <w:rPr>
                <w:i/>
                <w:iCs/>
                <w:color w:val="000000"/>
                <w:sz w:val="20"/>
              </w:rPr>
              <w:t>Hourly Load Ratio Share per QSE</w:t>
            </w:r>
            <w:r w:rsidRPr="006459E7">
              <w:rPr>
                <w:i/>
                <w:color w:val="000000"/>
                <w:sz w:val="20"/>
              </w:rPr>
              <w:t xml:space="preserve"> </w:t>
            </w:r>
            <w:r w:rsidRPr="006459E7">
              <w:rPr>
                <w:color w:val="000000"/>
                <w:sz w:val="20"/>
              </w:rPr>
              <w:t xml:space="preserve">– The hourly LRS calculated for QSE </w:t>
            </w:r>
            <w:r w:rsidRPr="006459E7">
              <w:rPr>
                <w:i/>
                <w:color w:val="000000"/>
                <w:sz w:val="20"/>
              </w:rPr>
              <w:t>q</w:t>
            </w:r>
            <w:r w:rsidRPr="006459E7">
              <w:rPr>
                <w:color w:val="000000"/>
                <w:sz w:val="20"/>
              </w:rPr>
              <w:t xml:space="preserve"> for the hour for month M.  See Section 6.6.2.4, QSE Load Ratio Share for an Operating Hour. </w:t>
            </w:r>
          </w:p>
        </w:tc>
      </w:tr>
      <w:tr w:rsidR="00326E23" w:rsidRPr="006459E7" w14:paraId="04680115" w14:textId="77777777" w:rsidTr="00E15B46">
        <w:trPr>
          <w:cantSplit/>
        </w:trPr>
        <w:tc>
          <w:tcPr>
            <w:tcW w:w="1296" w:type="pct"/>
          </w:tcPr>
          <w:p w14:paraId="583FE929" w14:textId="77777777" w:rsidR="00326E23" w:rsidRPr="006459E7" w:rsidRDefault="00326E23" w:rsidP="009B2773">
            <w:pPr>
              <w:spacing w:after="60"/>
              <w:rPr>
                <w:iCs/>
                <w:sz w:val="20"/>
              </w:rPr>
            </w:pPr>
            <w:r w:rsidRPr="006459E7">
              <w:rPr>
                <w:iCs/>
                <w:sz w:val="20"/>
              </w:rPr>
              <w:t xml:space="preserve">MH </w:t>
            </w:r>
            <w:r w:rsidRPr="006459E7">
              <w:rPr>
                <w:i/>
                <w:iCs/>
                <w:sz w:val="20"/>
                <w:vertAlign w:val="subscript"/>
              </w:rPr>
              <w:t>q, r</w:t>
            </w:r>
          </w:p>
        </w:tc>
        <w:tc>
          <w:tcPr>
            <w:tcW w:w="474" w:type="pct"/>
          </w:tcPr>
          <w:p w14:paraId="26E0A562" w14:textId="77777777" w:rsidR="00326E23" w:rsidRPr="006459E7" w:rsidRDefault="00326E23" w:rsidP="009B2773">
            <w:pPr>
              <w:tabs>
                <w:tab w:val="left" w:pos="2880"/>
              </w:tabs>
              <w:spacing w:after="60"/>
              <w:contextualSpacing/>
              <w:rPr>
                <w:iCs/>
                <w:sz w:val="20"/>
              </w:rPr>
            </w:pPr>
            <w:r w:rsidRPr="006459E7">
              <w:rPr>
                <w:iCs/>
                <w:sz w:val="20"/>
              </w:rPr>
              <w:t>hour</w:t>
            </w:r>
          </w:p>
        </w:tc>
        <w:tc>
          <w:tcPr>
            <w:tcW w:w="3230" w:type="pct"/>
          </w:tcPr>
          <w:p w14:paraId="13357220" w14:textId="77777777" w:rsidR="00326E23" w:rsidRPr="006459E7" w:rsidRDefault="00326E23" w:rsidP="009B2773">
            <w:pPr>
              <w:tabs>
                <w:tab w:val="left" w:pos="2880"/>
              </w:tabs>
              <w:spacing w:after="60"/>
              <w:contextualSpacing/>
              <w:rPr>
                <w:i/>
                <w:iCs/>
                <w:sz w:val="20"/>
              </w:rPr>
            </w:pPr>
            <w:r w:rsidRPr="006459E7">
              <w:rPr>
                <w:i/>
                <w:iCs/>
                <w:sz w:val="20"/>
              </w:rPr>
              <w:t>Number of Hours in the Month per QSE per Resource</w:t>
            </w:r>
            <w:r w:rsidRPr="006459E7">
              <w:rPr>
                <w:iCs/>
                <w:sz w:val="20"/>
              </w:rPr>
              <w:t xml:space="preserve">—The total number of hours in the month, when MRA </w:t>
            </w:r>
            <w:r w:rsidRPr="006459E7">
              <w:rPr>
                <w:i/>
                <w:iCs/>
                <w:sz w:val="20"/>
              </w:rPr>
              <w:t>r</w:t>
            </w:r>
            <w:r w:rsidRPr="006459E7">
              <w:rPr>
                <w:iCs/>
                <w:sz w:val="20"/>
              </w:rPr>
              <w:t xml:space="preserve"> represented by QSE </w:t>
            </w:r>
            <w:r w:rsidRPr="006459E7">
              <w:rPr>
                <w:i/>
                <w:iCs/>
                <w:sz w:val="20"/>
              </w:rPr>
              <w:t>q</w:t>
            </w:r>
            <w:r w:rsidRPr="006459E7">
              <w:rPr>
                <w:iCs/>
                <w:sz w:val="20"/>
              </w:rPr>
              <w:t xml:space="preserve"> is under an MRA Agreement.  Where for a Combined Cycle Train, the Resource </w:t>
            </w:r>
            <w:r w:rsidRPr="006459E7">
              <w:rPr>
                <w:i/>
                <w:iCs/>
                <w:sz w:val="20"/>
              </w:rPr>
              <w:t xml:space="preserve">r </w:t>
            </w:r>
            <w:r w:rsidRPr="006459E7">
              <w:rPr>
                <w:iCs/>
                <w:sz w:val="20"/>
              </w:rPr>
              <w:t>is a Combined Cycle Train.</w:t>
            </w:r>
          </w:p>
        </w:tc>
      </w:tr>
      <w:tr w:rsidR="00326E23" w:rsidRPr="006459E7" w14:paraId="71404900" w14:textId="77777777" w:rsidTr="00E15B46">
        <w:trPr>
          <w:cantSplit/>
          <w:trHeight w:val="251"/>
        </w:trPr>
        <w:tc>
          <w:tcPr>
            <w:tcW w:w="1296" w:type="pct"/>
          </w:tcPr>
          <w:p w14:paraId="24FE32BC" w14:textId="77777777" w:rsidR="00326E23" w:rsidRPr="006459E7" w:rsidRDefault="00326E23" w:rsidP="009B2773">
            <w:pPr>
              <w:spacing w:after="60"/>
              <w:ind w:left="720" w:hanging="720"/>
              <w:rPr>
                <w:sz w:val="20"/>
              </w:rPr>
            </w:pPr>
            <w:r w:rsidRPr="006459E7">
              <w:rPr>
                <w:sz w:val="20"/>
              </w:rPr>
              <w:t xml:space="preserve">CM </w:t>
            </w:r>
            <w:r w:rsidRPr="006459E7">
              <w:rPr>
                <w:i/>
                <w:sz w:val="20"/>
                <w:vertAlign w:val="subscript"/>
              </w:rPr>
              <w:t>q, r, c</w:t>
            </w:r>
          </w:p>
        </w:tc>
        <w:tc>
          <w:tcPr>
            <w:tcW w:w="474" w:type="pct"/>
          </w:tcPr>
          <w:p w14:paraId="46ED214D"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122359FF" w14:textId="77777777" w:rsidR="00326E23" w:rsidRPr="006459E7" w:rsidRDefault="00326E23" w:rsidP="009B2773">
            <w:pPr>
              <w:tabs>
                <w:tab w:val="left" w:pos="2880"/>
              </w:tabs>
              <w:spacing w:after="60"/>
              <w:contextualSpacing/>
              <w:rPr>
                <w:i/>
                <w:iCs/>
                <w:sz w:val="20"/>
              </w:rPr>
            </w:pPr>
            <w:r w:rsidRPr="006459E7">
              <w:rPr>
                <w:iCs/>
                <w:sz w:val="20"/>
              </w:rPr>
              <w:t>The number of months of the MRA Agreement period.</w:t>
            </w:r>
          </w:p>
        </w:tc>
      </w:tr>
      <w:tr w:rsidR="00326E23" w:rsidRPr="006459E7" w14:paraId="60C860DC" w14:textId="77777777" w:rsidTr="00E15B46">
        <w:trPr>
          <w:cantSplit/>
          <w:trHeight w:val="323"/>
        </w:trPr>
        <w:tc>
          <w:tcPr>
            <w:tcW w:w="1296" w:type="pct"/>
          </w:tcPr>
          <w:p w14:paraId="4A3D7C23" w14:textId="77777777" w:rsidR="00326E23" w:rsidRPr="006459E7" w:rsidRDefault="00326E23" w:rsidP="009B2773">
            <w:pPr>
              <w:spacing w:after="60"/>
              <w:rPr>
                <w:iCs/>
                <w:sz w:val="20"/>
              </w:rPr>
            </w:pPr>
            <w:r w:rsidRPr="006459E7">
              <w:rPr>
                <w:iCs/>
                <w:sz w:val="20"/>
              </w:rPr>
              <w:t>M</w:t>
            </w:r>
          </w:p>
        </w:tc>
        <w:tc>
          <w:tcPr>
            <w:tcW w:w="474" w:type="pct"/>
          </w:tcPr>
          <w:p w14:paraId="33D01D5D"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520339AC" w14:textId="77777777" w:rsidR="00326E23" w:rsidRPr="006459E7" w:rsidRDefault="00326E23" w:rsidP="009B2773">
            <w:pPr>
              <w:tabs>
                <w:tab w:val="left" w:pos="2880"/>
              </w:tabs>
              <w:spacing w:after="60"/>
              <w:contextualSpacing/>
              <w:rPr>
                <w:iCs/>
                <w:sz w:val="20"/>
              </w:rPr>
            </w:pPr>
            <w:r w:rsidRPr="006459E7">
              <w:rPr>
                <w:iCs/>
                <w:sz w:val="20"/>
              </w:rPr>
              <w:t>A month in the MRA Agreement period.</w:t>
            </w:r>
          </w:p>
        </w:tc>
      </w:tr>
      <w:tr w:rsidR="00326E23" w:rsidRPr="006459E7" w14:paraId="56D80249" w14:textId="77777777" w:rsidTr="00E15B46">
        <w:trPr>
          <w:cantSplit/>
          <w:trHeight w:val="323"/>
        </w:trPr>
        <w:tc>
          <w:tcPr>
            <w:tcW w:w="1296" w:type="pct"/>
          </w:tcPr>
          <w:p w14:paraId="0238CEE9" w14:textId="77777777" w:rsidR="00326E23" w:rsidRPr="006459E7" w:rsidRDefault="00326E23" w:rsidP="009B2773">
            <w:pPr>
              <w:spacing w:after="60"/>
              <w:rPr>
                <w:iCs/>
                <w:sz w:val="20"/>
              </w:rPr>
            </w:pPr>
            <w:r w:rsidRPr="006459E7">
              <w:rPr>
                <w:iCs/>
                <w:sz w:val="20"/>
              </w:rPr>
              <w:t>D</w:t>
            </w:r>
          </w:p>
        </w:tc>
        <w:tc>
          <w:tcPr>
            <w:tcW w:w="474" w:type="pct"/>
          </w:tcPr>
          <w:p w14:paraId="58668534"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7010FD72" w14:textId="77777777" w:rsidR="00326E23" w:rsidRPr="006459E7" w:rsidRDefault="00326E23" w:rsidP="009B2773">
            <w:pPr>
              <w:tabs>
                <w:tab w:val="left" w:pos="2880"/>
              </w:tabs>
              <w:spacing w:after="60"/>
              <w:contextualSpacing/>
              <w:rPr>
                <w:iCs/>
                <w:sz w:val="20"/>
              </w:rPr>
            </w:pPr>
            <w:r w:rsidRPr="006459E7">
              <w:rPr>
                <w:iCs/>
                <w:sz w:val="20"/>
              </w:rPr>
              <w:t>The number of days in the month.</w:t>
            </w:r>
          </w:p>
        </w:tc>
      </w:tr>
      <w:tr w:rsidR="00326E23" w:rsidRPr="006459E7" w14:paraId="25A5F8C6" w14:textId="77777777" w:rsidTr="00E15B46">
        <w:trPr>
          <w:cantSplit/>
          <w:trHeight w:val="323"/>
        </w:trPr>
        <w:tc>
          <w:tcPr>
            <w:tcW w:w="1296" w:type="pct"/>
          </w:tcPr>
          <w:p w14:paraId="37DC9EBC" w14:textId="77777777" w:rsidR="00326E23" w:rsidRPr="006459E7" w:rsidRDefault="00326E23" w:rsidP="009B2773">
            <w:pPr>
              <w:spacing w:after="60"/>
              <w:rPr>
                <w:i/>
                <w:iCs/>
                <w:sz w:val="20"/>
              </w:rPr>
            </w:pPr>
            <w:r w:rsidRPr="006459E7">
              <w:rPr>
                <w:i/>
                <w:iCs/>
                <w:sz w:val="20"/>
              </w:rPr>
              <w:t>q</w:t>
            </w:r>
          </w:p>
        </w:tc>
        <w:tc>
          <w:tcPr>
            <w:tcW w:w="474" w:type="pct"/>
          </w:tcPr>
          <w:p w14:paraId="25C26193"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2D25FEA0" w14:textId="77777777" w:rsidR="00326E23" w:rsidRPr="006459E7" w:rsidRDefault="00326E23" w:rsidP="009B2773">
            <w:pPr>
              <w:tabs>
                <w:tab w:val="left" w:pos="2880"/>
              </w:tabs>
              <w:spacing w:after="60"/>
              <w:contextualSpacing/>
              <w:rPr>
                <w:iCs/>
                <w:sz w:val="20"/>
              </w:rPr>
            </w:pPr>
            <w:r w:rsidRPr="006459E7">
              <w:rPr>
                <w:iCs/>
                <w:sz w:val="20"/>
              </w:rPr>
              <w:t>A QSE.</w:t>
            </w:r>
          </w:p>
        </w:tc>
      </w:tr>
      <w:tr w:rsidR="00326E23" w:rsidRPr="006459E7" w14:paraId="1B72F1A1" w14:textId="77777777" w:rsidTr="00E15B46">
        <w:trPr>
          <w:cantSplit/>
          <w:trHeight w:val="323"/>
        </w:trPr>
        <w:tc>
          <w:tcPr>
            <w:tcW w:w="1296" w:type="pct"/>
          </w:tcPr>
          <w:p w14:paraId="6B4583B1" w14:textId="77777777" w:rsidR="00326E23" w:rsidRPr="006459E7" w:rsidRDefault="00326E23" w:rsidP="009B2773">
            <w:pPr>
              <w:spacing w:after="60"/>
              <w:rPr>
                <w:i/>
                <w:iCs/>
                <w:sz w:val="20"/>
              </w:rPr>
            </w:pPr>
            <w:r w:rsidRPr="006459E7">
              <w:rPr>
                <w:i/>
                <w:iCs/>
                <w:sz w:val="20"/>
              </w:rPr>
              <w:t>c</w:t>
            </w:r>
          </w:p>
        </w:tc>
        <w:tc>
          <w:tcPr>
            <w:tcW w:w="474" w:type="pct"/>
          </w:tcPr>
          <w:p w14:paraId="64DA0D3E"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1C3AEBC0" w14:textId="77777777" w:rsidR="00326E23" w:rsidRPr="006459E7" w:rsidRDefault="00326E23" w:rsidP="009B2773">
            <w:pPr>
              <w:tabs>
                <w:tab w:val="left" w:pos="2880"/>
              </w:tabs>
              <w:spacing w:after="60"/>
              <w:contextualSpacing/>
              <w:rPr>
                <w:iCs/>
                <w:sz w:val="20"/>
              </w:rPr>
            </w:pPr>
            <w:r w:rsidRPr="006459E7">
              <w:rPr>
                <w:iCs/>
                <w:sz w:val="20"/>
              </w:rPr>
              <w:t>An MRA Agreement.</w:t>
            </w:r>
          </w:p>
        </w:tc>
      </w:tr>
      <w:tr w:rsidR="00326E23" w:rsidRPr="006459E7" w14:paraId="19535E24" w14:textId="77777777" w:rsidTr="00E15B46">
        <w:trPr>
          <w:cantSplit/>
          <w:trHeight w:val="323"/>
        </w:trPr>
        <w:tc>
          <w:tcPr>
            <w:tcW w:w="1296" w:type="pct"/>
          </w:tcPr>
          <w:p w14:paraId="23AC6EE7" w14:textId="77777777" w:rsidR="00326E23" w:rsidRPr="006459E7" w:rsidRDefault="00326E23" w:rsidP="009B2773">
            <w:pPr>
              <w:spacing w:after="60"/>
              <w:rPr>
                <w:i/>
                <w:iCs/>
                <w:sz w:val="20"/>
              </w:rPr>
            </w:pPr>
            <w:r w:rsidRPr="006459E7">
              <w:rPr>
                <w:i/>
                <w:iCs/>
                <w:sz w:val="20"/>
              </w:rPr>
              <w:t>r</w:t>
            </w:r>
          </w:p>
        </w:tc>
        <w:tc>
          <w:tcPr>
            <w:tcW w:w="474" w:type="pct"/>
          </w:tcPr>
          <w:p w14:paraId="29275D59"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6634F978" w14:textId="77777777" w:rsidR="00326E23" w:rsidRPr="006459E7" w:rsidRDefault="00326E23" w:rsidP="009B2773">
            <w:pPr>
              <w:tabs>
                <w:tab w:val="left" w:pos="2880"/>
              </w:tabs>
              <w:spacing w:after="60"/>
              <w:contextualSpacing/>
              <w:rPr>
                <w:iCs/>
                <w:sz w:val="20"/>
              </w:rPr>
            </w:pPr>
            <w:r w:rsidRPr="006459E7">
              <w:rPr>
                <w:iCs/>
                <w:sz w:val="20"/>
              </w:rPr>
              <w:t>An MRA.</w:t>
            </w:r>
          </w:p>
        </w:tc>
      </w:tr>
    </w:tbl>
    <w:p w14:paraId="2E4F53FC" w14:textId="77777777" w:rsidR="005C6D56" w:rsidRDefault="005C6D56"/>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82"/>
      </w:tblGrid>
      <w:tr w:rsidR="005C6D56" w14:paraId="10D58557" w14:textId="77777777" w:rsidTr="005C6D56">
        <w:trPr>
          <w:trHeight w:val="206"/>
        </w:trPr>
        <w:tc>
          <w:tcPr>
            <w:tcW w:w="5000" w:type="pct"/>
            <w:shd w:val="pct12" w:color="auto" w:fill="auto"/>
          </w:tcPr>
          <w:p w14:paraId="3455BA46" w14:textId="6B54341A" w:rsidR="005C6D56" w:rsidRDefault="005C6D56" w:rsidP="00CE1011">
            <w:pPr>
              <w:pStyle w:val="Instructions"/>
              <w:spacing w:before="120"/>
            </w:pPr>
            <w:bookmarkStart w:id="2397" w:name="_Toc463262802"/>
            <w:bookmarkStart w:id="2398" w:name="_Toc468286875"/>
            <w:bookmarkStart w:id="2399" w:name="_Toc481502915"/>
            <w:bookmarkStart w:id="2400" w:name="_Toc496080083"/>
            <w:r>
              <w:t>[NPRR885</w:t>
            </w:r>
            <w:r w:rsidR="00086215">
              <w:t xml:space="preserve"> and NPRR1256</w:t>
            </w:r>
            <w:r>
              <w:t xml:space="preserve">:  Insert </w:t>
            </w:r>
            <w:r w:rsidR="00086215">
              <w:t xml:space="preserve">applicable portions of </w:t>
            </w:r>
            <w:r>
              <w:t>Section 6.6.6.7 below upon system implementation</w:t>
            </w:r>
            <w:r w:rsidR="00086215">
              <w:t xml:space="preserve"> for NPRR885; or upon system implementation of NPRR885 and upon system implementation for NPRR1256</w:t>
            </w:r>
            <w:r>
              <w:t>:]</w:t>
            </w:r>
          </w:p>
          <w:p w14:paraId="57D7CD18" w14:textId="77777777" w:rsidR="005C6D56" w:rsidRPr="005C6D56" w:rsidRDefault="005C6D56" w:rsidP="005C6D56">
            <w:pPr>
              <w:keepNext/>
              <w:widowControl w:val="0"/>
              <w:tabs>
                <w:tab w:val="left" w:pos="1260"/>
              </w:tabs>
              <w:spacing w:before="240" w:after="240"/>
              <w:ind w:left="1260" w:hanging="1260"/>
              <w:outlineLvl w:val="3"/>
              <w:rPr>
                <w:b/>
                <w:bCs/>
                <w:snapToGrid w:val="0"/>
                <w:color w:val="000000"/>
              </w:rPr>
            </w:pPr>
            <w:bookmarkStart w:id="2401" w:name="_Toc17798754"/>
            <w:bookmarkStart w:id="2402" w:name="_Toc204411708"/>
            <w:r w:rsidRPr="005C6D56">
              <w:rPr>
                <w:b/>
                <w:bCs/>
                <w:snapToGrid w:val="0"/>
                <w:color w:val="000000"/>
              </w:rPr>
              <w:t>6.6.6.7</w:t>
            </w:r>
            <w:r w:rsidRPr="005C6D56">
              <w:rPr>
                <w:b/>
                <w:bCs/>
                <w:snapToGrid w:val="0"/>
                <w:color w:val="000000"/>
              </w:rPr>
              <w:tab/>
              <w:t>MRA Standby Payment</w:t>
            </w:r>
            <w:bookmarkEnd w:id="2401"/>
            <w:bookmarkEnd w:id="2402"/>
          </w:p>
          <w:p w14:paraId="0CE3FE5E" w14:textId="77777777" w:rsidR="005C6D56" w:rsidRPr="005C6D56" w:rsidRDefault="005C6D56" w:rsidP="005C6D56">
            <w:pPr>
              <w:spacing w:after="240"/>
              <w:ind w:left="720" w:hanging="720"/>
              <w:rPr>
                <w:iCs/>
              </w:rPr>
            </w:pPr>
            <w:r w:rsidRPr="005C6D56">
              <w:rPr>
                <w:iCs/>
              </w:rPr>
              <w:t>(1)</w:t>
            </w:r>
            <w:r w:rsidRPr="005C6D56">
              <w:rPr>
                <w:iCs/>
              </w:rPr>
              <w:tab/>
              <w:t xml:space="preserve">The Standby Payment for MRA Service is paid to each QSE representing an MRA for each MRA Contracted Hour under performance requirements set forth in Section 22, Attachment </w:t>
            </w:r>
            <w:r w:rsidR="00D56763">
              <w:rPr>
                <w:iCs/>
              </w:rPr>
              <w:t>N</w:t>
            </w:r>
            <w:r w:rsidRPr="005C6D56">
              <w:rPr>
                <w:iCs/>
              </w:rPr>
              <w:t xml:space="preserve">, Standard Form Must-Run Alternative Agreement, the MRA Request for Proposal (RFP), and the Protocols.  </w:t>
            </w:r>
          </w:p>
          <w:p w14:paraId="21A21E2A" w14:textId="77777777" w:rsidR="005C6D56" w:rsidRPr="005C6D56" w:rsidRDefault="005C6D56" w:rsidP="005C6D56">
            <w:pPr>
              <w:spacing w:after="240"/>
              <w:ind w:left="720" w:hanging="720"/>
              <w:rPr>
                <w:iCs/>
              </w:rPr>
            </w:pPr>
            <w:r w:rsidRPr="005C6D56">
              <w:rPr>
                <w:bCs/>
                <w:iCs/>
                <w:color w:val="000000"/>
                <w:lang w:val="pt-BR"/>
              </w:rPr>
              <w:t>(2)</w:t>
            </w:r>
            <w:r w:rsidRPr="005C6D56">
              <w:rPr>
                <w:bCs/>
                <w:iCs/>
                <w:color w:val="000000"/>
                <w:lang w:val="pt-BR"/>
              </w:rPr>
              <w:tab/>
              <w:t>The standby payment to each QSE representing a Generation Resource MRA registered is calculated as follows for each hour:</w:t>
            </w:r>
          </w:p>
          <w:p w14:paraId="636BE5B5" w14:textId="2C316ADA" w:rsidR="005C6D56" w:rsidRPr="005C6D56" w:rsidRDefault="005C6D56" w:rsidP="005C6D56">
            <w:pPr>
              <w:tabs>
                <w:tab w:val="left" w:pos="2340"/>
                <w:tab w:val="left" w:pos="3420"/>
              </w:tabs>
              <w:spacing w:after="240"/>
              <w:ind w:left="2880" w:hanging="2160"/>
              <w:rPr>
                <w:bCs/>
                <w:i/>
                <w:szCs w:val="24"/>
                <w:vertAlign w:val="subscript"/>
                <w:lang w:val="pt-BR"/>
              </w:rPr>
            </w:pPr>
            <w:r w:rsidRPr="005C6D56">
              <w:rPr>
                <w:bCs/>
                <w:szCs w:val="24"/>
                <w:lang w:val="pt-BR"/>
              </w:rPr>
              <w:t xml:space="preserve">MRASBAMT </w:t>
            </w:r>
            <w:r w:rsidRPr="005C6D56">
              <w:rPr>
                <w:bCs/>
                <w:i/>
                <w:szCs w:val="24"/>
                <w:vertAlign w:val="subscript"/>
                <w:lang w:val="pt-BR"/>
              </w:rPr>
              <w:t xml:space="preserve">q, r, h  </w:t>
            </w:r>
            <w:r w:rsidRPr="005C6D56">
              <w:rPr>
                <w:bCs/>
                <w:szCs w:val="24"/>
                <w:lang w:val="pt-BR"/>
              </w:rPr>
              <w:t xml:space="preserve">=  (-1) * MRASBPR </w:t>
            </w:r>
            <w:r w:rsidRPr="005C6D56">
              <w:rPr>
                <w:bCs/>
                <w:i/>
                <w:szCs w:val="24"/>
                <w:vertAlign w:val="subscript"/>
                <w:lang w:val="pt-BR"/>
              </w:rPr>
              <w:t xml:space="preserve">q, r, m </w:t>
            </w:r>
            <w:r w:rsidRPr="005C6D56">
              <w:rPr>
                <w:bCs/>
                <w:szCs w:val="24"/>
                <w:lang w:val="pt-BR"/>
              </w:rPr>
              <w:t>* MRACCAP</w:t>
            </w:r>
            <w:r w:rsidRPr="005C6D56">
              <w:rPr>
                <w:bCs/>
                <w:i/>
                <w:szCs w:val="24"/>
                <w:vertAlign w:val="subscript"/>
                <w:lang w:val="pt-BR"/>
              </w:rPr>
              <w:t xml:space="preserve"> q, r, m </w:t>
            </w:r>
            <w:r w:rsidRPr="005C6D56">
              <w:rPr>
                <w:bCs/>
                <w:szCs w:val="24"/>
                <w:lang w:val="pt-BR"/>
              </w:rPr>
              <w:t xml:space="preserve">* MRACRF </w:t>
            </w:r>
            <w:r w:rsidRPr="005C6D56">
              <w:rPr>
                <w:bCs/>
                <w:i/>
                <w:szCs w:val="24"/>
                <w:vertAlign w:val="subscript"/>
                <w:lang w:val="pt-BR"/>
              </w:rPr>
              <w:t xml:space="preserve">q, r, m </w:t>
            </w:r>
            <w:r w:rsidRPr="005C6D56">
              <w:rPr>
                <w:bCs/>
                <w:szCs w:val="24"/>
                <w:lang w:val="pt-BR"/>
              </w:rPr>
              <w:t>* MRAARF</w:t>
            </w:r>
            <w:r w:rsidRPr="005C6D56">
              <w:rPr>
                <w:bCs/>
                <w:i/>
                <w:szCs w:val="24"/>
                <w:vertAlign w:val="subscript"/>
                <w:lang w:val="pt-BR"/>
              </w:rPr>
              <w:t xml:space="preserve"> q, r, m</w:t>
            </w:r>
          </w:p>
          <w:p w14:paraId="3D58304A" w14:textId="77777777" w:rsidR="005C6D56" w:rsidRPr="005C6D56" w:rsidRDefault="005C6D56" w:rsidP="005C6D56">
            <w:pPr>
              <w:tabs>
                <w:tab w:val="left" w:pos="2340"/>
                <w:tab w:val="left" w:pos="3420"/>
              </w:tabs>
              <w:spacing w:after="240"/>
              <w:rPr>
                <w:bCs/>
                <w:szCs w:val="24"/>
                <w:lang w:val="pt-BR"/>
              </w:rPr>
            </w:pPr>
            <w:r w:rsidRPr="005C6D56">
              <w:rPr>
                <w:bCs/>
                <w:szCs w:val="24"/>
                <w:lang w:val="pt-BR"/>
              </w:rPr>
              <w:t>Where:</w:t>
            </w:r>
          </w:p>
          <w:p w14:paraId="7B41510F" w14:textId="776A5AB8"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 xml:space="preserve">MRACRF </w:t>
            </w:r>
            <w:r w:rsidRPr="005C6D56">
              <w:rPr>
                <w:bCs/>
                <w:i/>
                <w:szCs w:val="24"/>
                <w:vertAlign w:val="subscript"/>
                <w:lang w:val="pt-BR"/>
              </w:rPr>
              <w:t>q, r, m</w:t>
            </w:r>
            <w:r w:rsidRPr="005C6D56">
              <w:rPr>
                <w:bCs/>
                <w:szCs w:val="24"/>
                <w:lang w:val="pt-BR"/>
              </w:rPr>
              <w:t xml:space="preserve">  = (MRATCAP </w:t>
            </w:r>
            <w:r w:rsidRPr="005C6D56">
              <w:rPr>
                <w:bCs/>
                <w:i/>
                <w:szCs w:val="24"/>
                <w:vertAlign w:val="subscript"/>
                <w:lang w:val="pt-BR"/>
              </w:rPr>
              <w:t>q, r, m</w:t>
            </w:r>
            <w:r w:rsidRPr="005C6D56">
              <w:rPr>
                <w:bCs/>
                <w:szCs w:val="24"/>
                <w:lang w:val="pt-BR"/>
              </w:rPr>
              <w:t xml:space="preserve">  + MRATCAPA </w:t>
            </w:r>
            <w:r w:rsidRPr="005C6D56">
              <w:rPr>
                <w:bCs/>
                <w:i/>
                <w:szCs w:val="24"/>
                <w:vertAlign w:val="subscript"/>
                <w:lang w:val="pt-BR"/>
              </w:rPr>
              <w:t>q, r, m</w:t>
            </w:r>
            <w:r w:rsidRPr="005C6D56">
              <w:rPr>
                <w:bCs/>
                <w:szCs w:val="24"/>
                <w:lang w:val="pt-BR"/>
              </w:rPr>
              <w:t xml:space="preserve">) /MRACCAP </w:t>
            </w:r>
            <w:r w:rsidRPr="005C6D56">
              <w:rPr>
                <w:bCs/>
                <w:i/>
                <w:szCs w:val="24"/>
                <w:vertAlign w:val="subscript"/>
                <w:lang w:val="pt-BR"/>
              </w:rPr>
              <w:t>q, r, m</w:t>
            </w:r>
          </w:p>
          <w:p w14:paraId="34092A97" w14:textId="77777777" w:rsidR="00086215" w:rsidRPr="009C73FA" w:rsidRDefault="00086215" w:rsidP="00086215">
            <w:pPr>
              <w:spacing w:after="240"/>
              <w:ind w:left="720" w:hanging="720"/>
              <w:rPr>
                <w:iCs/>
              </w:rPr>
            </w:pPr>
            <w:r w:rsidRPr="009C73FA">
              <w:rPr>
                <w:bCs/>
                <w:iCs/>
                <w:color w:val="000000"/>
                <w:lang w:val="pt-BR"/>
              </w:rPr>
              <w:lastRenderedPageBreak/>
              <w:t>(3)</w:t>
            </w:r>
            <w:r w:rsidRPr="009C73FA">
              <w:rPr>
                <w:bCs/>
                <w:iCs/>
                <w:color w:val="000000"/>
                <w:lang w:val="pt-BR"/>
              </w:rPr>
              <w:tab/>
              <w:t>The standby payment to each QSE representing an Energy Storage Resource (ESR) MRA registered is calculated as follows for each hour:</w:t>
            </w:r>
          </w:p>
          <w:p w14:paraId="5EB3A1B8" w14:textId="77777777" w:rsidR="00086215" w:rsidRPr="009C73FA" w:rsidRDefault="00086215" w:rsidP="00086215">
            <w:pPr>
              <w:tabs>
                <w:tab w:val="left" w:pos="2340"/>
                <w:tab w:val="left" w:pos="3420"/>
              </w:tabs>
              <w:spacing w:after="240"/>
              <w:ind w:left="2880" w:hanging="2160"/>
              <w:rPr>
                <w:bCs/>
                <w:i/>
                <w:vertAlign w:val="subscript"/>
                <w:lang w:val="pt-BR"/>
              </w:rPr>
            </w:pPr>
            <w:r w:rsidRPr="009C73FA">
              <w:rPr>
                <w:bCs/>
                <w:lang w:val="pt-BR"/>
              </w:rPr>
              <w:t xml:space="preserve">MRASBAMT </w:t>
            </w:r>
            <w:r w:rsidRPr="009C73FA">
              <w:rPr>
                <w:bCs/>
                <w:i/>
                <w:vertAlign w:val="subscript"/>
                <w:lang w:val="pt-BR"/>
              </w:rPr>
              <w:t xml:space="preserve">q, r, h  </w:t>
            </w:r>
            <w:r w:rsidRPr="009C73FA">
              <w:rPr>
                <w:bCs/>
                <w:lang w:val="pt-BR"/>
              </w:rPr>
              <w:t xml:space="preserve">=  (-1) * MRASBPR </w:t>
            </w:r>
            <w:r w:rsidRPr="009C73FA">
              <w:rPr>
                <w:bCs/>
                <w:i/>
                <w:vertAlign w:val="subscript"/>
                <w:lang w:val="pt-BR"/>
              </w:rPr>
              <w:t xml:space="preserve">q, r, m </w:t>
            </w:r>
            <w:r w:rsidRPr="009C73FA">
              <w:rPr>
                <w:bCs/>
                <w:lang w:val="pt-BR"/>
              </w:rPr>
              <w:t>* MRACCAP</w:t>
            </w:r>
            <w:r w:rsidRPr="009C73FA">
              <w:rPr>
                <w:bCs/>
                <w:i/>
                <w:vertAlign w:val="subscript"/>
                <w:lang w:val="pt-BR"/>
              </w:rPr>
              <w:t xml:space="preserve"> q, r, m </w:t>
            </w:r>
            <w:r w:rsidRPr="009C73FA">
              <w:rPr>
                <w:bCs/>
                <w:lang w:val="pt-BR"/>
              </w:rPr>
              <w:t xml:space="preserve">* MRACRF </w:t>
            </w:r>
            <w:r w:rsidRPr="009C73FA">
              <w:rPr>
                <w:bCs/>
                <w:i/>
                <w:vertAlign w:val="subscript"/>
                <w:lang w:val="pt-BR"/>
              </w:rPr>
              <w:t xml:space="preserve">q, r, m </w:t>
            </w:r>
            <w:r w:rsidRPr="009C73FA">
              <w:rPr>
                <w:bCs/>
                <w:lang w:val="pt-BR"/>
              </w:rPr>
              <w:t>* MRAARF</w:t>
            </w:r>
            <w:r w:rsidRPr="009C73FA">
              <w:rPr>
                <w:bCs/>
                <w:i/>
                <w:vertAlign w:val="subscript"/>
                <w:lang w:val="pt-BR"/>
              </w:rPr>
              <w:t xml:space="preserve"> q, r, m </w:t>
            </w:r>
            <w:r w:rsidRPr="009C73FA">
              <w:rPr>
                <w:bCs/>
                <w:lang w:val="pt-BR"/>
              </w:rPr>
              <w:t xml:space="preserve">* MRAESRERF </w:t>
            </w:r>
            <w:r w:rsidRPr="009C73FA">
              <w:rPr>
                <w:bCs/>
                <w:i/>
                <w:vertAlign w:val="subscript"/>
                <w:lang w:val="pt-BR"/>
              </w:rPr>
              <w:t>q, r, h</w:t>
            </w:r>
          </w:p>
          <w:p w14:paraId="2C4FF8E5" w14:textId="77777777" w:rsidR="00086215" w:rsidRPr="009C73FA" w:rsidRDefault="00086215" w:rsidP="00086215">
            <w:pPr>
              <w:tabs>
                <w:tab w:val="left" w:pos="2340"/>
                <w:tab w:val="left" w:pos="3420"/>
              </w:tabs>
              <w:spacing w:after="240"/>
              <w:rPr>
                <w:bCs/>
                <w:lang w:val="pt-BR"/>
              </w:rPr>
            </w:pPr>
            <w:r w:rsidRPr="009C73FA">
              <w:rPr>
                <w:bCs/>
                <w:lang w:val="pt-BR"/>
              </w:rPr>
              <w:t>Where:</w:t>
            </w:r>
          </w:p>
          <w:p w14:paraId="130C35FF" w14:textId="77777777" w:rsidR="00086215" w:rsidRPr="009C73FA" w:rsidRDefault="00086215" w:rsidP="00086215">
            <w:pPr>
              <w:tabs>
                <w:tab w:val="left" w:pos="2340"/>
                <w:tab w:val="left" w:pos="3420"/>
              </w:tabs>
              <w:spacing w:after="240"/>
              <w:ind w:left="2880" w:hanging="2160"/>
              <w:rPr>
                <w:bCs/>
                <w:lang w:val="pt-BR"/>
              </w:rPr>
            </w:pPr>
            <w:r w:rsidRPr="009C73FA">
              <w:rPr>
                <w:bCs/>
                <w:lang w:val="pt-BR"/>
              </w:rPr>
              <w:t xml:space="preserve">MRACRF </w:t>
            </w:r>
            <w:r w:rsidRPr="009C73FA">
              <w:rPr>
                <w:bCs/>
                <w:i/>
                <w:vertAlign w:val="subscript"/>
                <w:lang w:val="pt-BR"/>
              </w:rPr>
              <w:t>q, r, m</w:t>
            </w:r>
            <w:r w:rsidRPr="009C73FA">
              <w:rPr>
                <w:bCs/>
                <w:lang w:val="pt-BR"/>
              </w:rPr>
              <w:t xml:space="preserve">  = (MRATCAP </w:t>
            </w:r>
            <w:r w:rsidRPr="009C73FA">
              <w:rPr>
                <w:bCs/>
                <w:i/>
                <w:vertAlign w:val="subscript"/>
                <w:lang w:val="pt-BR"/>
              </w:rPr>
              <w:t>q, r, m</w:t>
            </w:r>
            <w:r w:rsidRPr="009C73FA">
              <w:rPr>
                <w:bCs/>
                <w:lang w:val="pt-BR"/>
              </w:rPr>
              <w:t xml:space="preserve"> + MRATCAPA </w:t>
            </w:r>
            <w:r w:rsidRPr="009C73FA">
              <w:rPr>
                <w:bCs/>
                <w:i/>
                <w:vertAlign w:val="subscript"/>
                <w:lang w:val="pt-BR"/>
              </w:rPr>
              <w:t>q, r, m</w:t>
            </w:r>
            <w:r w:rsidRPr="009C73FA">
              <w:rPr>
                <w:bCs/>
                <w:lang w:val="pt-BR"/>
              </w:rPr>
              <w:t xml:space="preserve">) / MRACCAP </w:t>
            </w:r>
            <w:r w:rsidRPr="009C73FA">
              <w:rPr>
                <w:bCs/>
                <w:i/>
                <w:vertAlign w:val="subscript"/>
                <w:lang w:val="pt-BR"/>
              </w:rPr>
              <w:t>q, r, m</w:t>
            </w:r>
            <w:r w:rsidRPr="009C73FA">
              <w:rPr>
                <w:bCs/>
                <w:lang w:val="pt-BR"/>
              </w:rPr>
              <w:t xml:space="preserve"> </w:t>
            </w:r>
          </w:p>
          <w:p w14:paraId="56803214" w14:textId="77777777" w:rsidR="00086215" w:rsidRPr="009C73FA" w:rsidRDefault="00086215" w:rsidP="00086215">
            <w:pPr>
              <w:tabs>
                <w:tab w:val="left" w:pos="2340"/>
                <w:tab w:val="left" w:pos="3420"/>
              </w:tabs>
              <w:spacing w:after="240"/>
              <w:rPr>
                <w:lang w:val="pt-BR"/>
              </w:rPr>
            </w:pPr>
            <w:r w:rsidRPr="009C73FA">
              <w:rPr>
                <w:lang w:val="pt-BR"/>
              </w:rPr>
              <w:t>And,</w:t>
            </w:r>
          </w:p>
          <w:p w14:paraId="0F0E1D2F" w14:textId="77777777" w:rsidR="00086215" w:rsidRPr="009C73FA" w:rsidRDefault="00086215" w:rsidP="00086215">
            <w:pPr>
              <w:tabs>
                <w:tab w:val="left" w:pos="2340"/>
                <w:tab w:val="left" w:pos="3420"/>
              </w:tabs>
              <w:spacing w:after="240"/>
              <w:ind w:left="2880" w:hanging="2160"/>
              <w:rPr>
                <w:bCs/>
                <w:lang w:val="pt-BR"/>
              </w:rPr>
            </w:pPr>
            <w:r w:rsidRPr="009C73FA">
              <w:rPr>
                <w:bCs/>
                <w:lang w:val="pt-BR"/>
              </w:rPr>
              <w:t xml:space="preserve">MRAESRERF </w:t>
            </w:r>
            <w:r w:rsidRPr="009C73FA">
              <w:rPr>
                <w:bCs/>
                <w:i/>
                <w:vertAlign w:val="subscript"/>
                <w:lang w:val="pt-BR"/>
              </w:rPr>
              <w:t>q, r, h</w:t>
            </w:r>
            <w:r w:rsidRPr="009C73FA">
              <w:rPr>
                <w:bCs/>
                <w:lang w:val="pt-BR"/>
              </w:rPr>
              <w:t xml:space="preserve">  = Min [1, (MRAHOSOC</w:t>
            </w:r>
            <w:r w:rsidRPr="009C73FA">
              <w:rPr>
                <w:bCs/>
                <w:i/>
                <w:vertAlign w:val="subscript"/>
                <w:lang w:val="pt-BR"/>
              </w:rPr>
              <w:t xml:space="preserve"> q, r, b, m</w:t>
            </w:r>
            <w:r w:rsidRPr="009C73FA">
              <w:rPr>
                <w:bCs/>
                <w:lang w:val="pt-BR"/>
              </w:rPr>
              <w:t xml:space="preserve">) / (MRACCAP </w:t>
            </w:r>
            <w:r w:rsidRPr="009C73FA">
              <w:rPr>
                <w:bCs/>
                <w:i/>
                <w:vertAlign w:val="subscript"/>
                <w:lang w:val="pt-BR"/>
              </w:rPr>
              <w:t xml:space="preserve">q, r, m  </w:t>
            </w:r>
            <w:r w:rsidRPr="009C73FA">
              <w:rPr>
                <w:bCs/>
                <w:lang w:val="pt-BR"/>
              </w:rPr>
              <w:t>* MRABHO</w:t>
            </w:r>
            <w:r w:rsidRPr="009C73FA">
              <w:rPr>
                <w:bCs/>
                <w:i/>
                <w:vertAlign w:val="subscript"/>
                <w:lang w:val="pt-BR"/>
              </w:rPr>
              <w:t xml:space="preserve"> q, r, b, m</w:t>
            </w:r>
            <w:r w:rsidRPr="009C73FA">
              <w:rPr>
                <w:bCs/>
                <w:lang w:val="pt-BR"/>
              </w:rPr>
              <w:t>)]</w:t>
            </w:r>
          </w:p>
          <w:p w14:paraId="13CFA5E9" w14:textId="632B2653" w:rsidR="005C6D56" w:rsidRPr="005C6D56" w:rsidRDefault="005C6D56" w:rsidP="005C6D56">
            <w:pPr>
              <w:spacing w:after="240"/>
              <w:ind w:left="720" w:hanging="720"/>
              <w:rPr>
                <w:iCs/>
              </w:rPr>
            </w:pPr>
            <w:r w:rsidRPr="005C6D56">
              <w:rPr>
                <w:iCs/>
              </w:rPr>
              <w:t>(</w:t>
            </w:r>
            <w:r w:rsidR="00086215">
              <w:rPr>
                <w:iCs/>
              </w:rPr>
              <w:t>4</w:t>
            </w:r>
            <w:r w:rsidRPr="005C6D56">
              <w:rPr>
                <w:iCs/>
              </w:rPr>
              <w:t>)</w:t>
            </w:r>
            <w:r w:rsidRPr="005C6D56">
              <w:rPr>
                <w:iCs/>
              </w:rPr>
              <w:tab/>
              <w:t>The standby payment to each QSE representing an Other Generation MRA or Demand Response MRA is calculated as follows for each hour:</w:t>
            </w:r>
          </w:p>
          <w:p w14:paraId="201CA00E" w14:textId="77777777" w:rsidR="005C6D56" w:rsidRPr="005C6D56" w:rsidRDefault="005C6D56" w:rsidP="005C6D56">
            <w:pPr>
              <w:tabs>
                <w:tab w:val="left" w:pos="2340"/>
                <w:tab w:val="left" w:pos="3420"/>
              </w:tabs>
              <w:spacing w:after="240"/>
              <w:ind w:left="2880" w:hanging="2160"/>
              <w:rPr>
                <w:bCs/>
                <w:i/>
                <w:szCs w:val="24"/>
                <w:vertAlign w:val="subscript"/>
                <w:lang w:val="pt-BR"/>
              </w:rPr>
            </w:pPr>
            <w:r w:rsidRPr="005C6D56">
              <w:rPr>
                <w:bCs/>
                <w:szCs w:val="24"/>
                <w:lang w:val="pt-BR"/>
              </w:rPr>
              <w:t xml:space="preserve">MRASBAMT </w:t>
            </w:r>
            <w:r w:rsidRPr="005C6D56">
              <w:rPr>
                <w:bCs/>
                <w:i/>
                <w:szCs w:val="24"/>
                <w:vertAlign w:val="subscript"/>
                <w:lang w:val="pt-BR"/>
              </w:rPr>
              <w:t xml:space="preserve">q, r, h  </w:t>
            </w:r>
            <w:r w:rsidRPr="005C6D56">
              <w:rPr>
                <w:bCs/>
                <w:szCs w:val="24"/>
                <w:lang w:val="pt-BR"/>
              </w:rPr>
              <w:t xml:space="preserve">=  (-1) * MRASBPR </w:t>
            </w:r>
            <w:r w:rsidRPr="005C6D56">
              <w:rPr>
                <w:bCs/>
                <w:i/>
                <w:szCs w:val="24"/>
                <w:vertAlign w:val="subscript"/>
                <w:lang w:val="pt-BR"/>
              </w:rPr>
              <w:t xml:space="preserve">q, r, m </w:t>
            </w:r>
            <w:r w:rsidRPr="005C6D56">
              <w:rPr>
                <w:bCs/>
                <w:szCs w:val="24"/>
                <w:lang w:val="pt-BR"/>
              </w:rPr>
              <w:t>* MRACCAP</w:t>
            </w:r>
            <w:r w:rsidRPr="005C6D56">
              <w:rPr>
                <w:bCs/>
                <w:i/>
                <w:szCs w:val="24"/>
                <w:vertAlign w:val="subscript"/>
                <w:lang w:val="pt-BR"/>
              </w:rPr>
              <w:t xml:space="preserve"> q, r, m  </w:t>
            </w:r>
            <w:r w:rsidRPr="005C6D56">
              <w:rPr>
                <w:bCs/>
                <w:szCs w:val="24"/>
                <w:lang w:val="pt-BR"/>
              </w:rPr>
              <w:t>* MRAEPRF</w:t>
            </w:r>
            <w:r w:rsidRPr="005C6D56">
              <w:rPr>
                <w:bCs/>
                <w:szCs w:val="24"/>
                <w:vertAlign w:val="subscript"/>
                <w:lang w:val="pt-BR"/>
              </w:rPr>
              <w:t xml:space="preserve"> </w:t>
            </w:r>
            <w:r w:rsidRPr="005C6D56">
              <w:rPr>
                <w:bCs/>
                <w:i/>
                <w:szCs w:val="24"/>
                <w:vertAlign w:val="subscript"/>
                <w:lang w:val="pt-BR"/>
              </w:rPr>
              <w:t>q, r, m</w:t>
            </w:r>
            <w:r w:rsidRPr="005C6D56">
              <w:rPr>
                <w:bCs/>
                <w:szCs w:val="24"/>
                <w:lang w:val="pt-BR"/>
              </w:rPr>
              <w:t xml:space="preserve">  * MRAARF</w:t>
            </w:r>
            <w:r w:rsidRPr="005C6D56">
              <w:rPr>
                <w:bCs/>
                <w:i/>
                <w:szCs w:val="24"/>
                <w:vertAlign w:val="subscript"/>
                <w:lang w:val="pt-BR"/>
              </w:rPr>
              <w:t xml:space="preserve"> q, r, m</w:t>
            </w:r>
          </w:p>
          <w:p w14:paraId="05350CB6" w14:textId="5B7983F2" w:rsidR="005C6D56" w:rsidRPr="005C6D56" w:rsidRDefault="005C6D56" w:rsidP="005C6D56">
            <w:pPr>
              <w:spacing w:after="240"/>
              <w:ind w:left="720" w:hanging="720"/>
              <w:rPr>
                <w:iCs/>
              </w:rPr>
            </w:pPr>
            <w:r w:rsidRPr="005C6D56">
              <w:rPr>
                <w:iCs/>
              </w:rPr>
              <w:t>(</w:t>
            </w:r>
            <w:r w:rsidR="00086215">
              <w:rPr>
                <w:iCs/>
              </w:rPr>
              <w:t>5</w:t>
            </w:r>
            <w:r w:rsidRPr="005C6D56">
              <w:rPr>
                <w:iCs/>
              </w:rPr>
              <w:t>)</w:t>
            </w:r>
            <w:r w:rsidRPr="005C6D56">
              <w:rPr>
                <w:iCs/>
              </w:rPr>
              <w:tab/>
              <w:t>The MRA Capacity Availability Reduction Factor (MRAARF) is calculated as:</w:t>
            </w:r>
          </w:p>
          <w:p w14:paraId="5F354A81" w14:textId="77777777"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For initial Settlement</w:t>
            </w:r>
          </w:p>
          <w:p w14:paraId="1A780D09" w14:textId="77777777"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MRAARF</w:t>
            </w:r>
            <w:r w:rsidRPr="005C6D56">
              <w:rPr>
                <w:bCs/>
                <w:i/>
                <w:szCs w:val="24"/>
                <w:vertAlign w:val="subscript"/>
                <w:lang w:val="pt-BR"/>
              </w:rPr>
              <w:t xml:space="preserve"> q, r, m</w:t>
            </w:r>
            <w:r w:rsidRPr="005C6D56">
              <w:rPr>
                <w:bCs/>
                <w:szCs w:val="24"/>
                <w:lang w:val="pt-BR"/>
              </w:rPr>
              <w:t xml:space="preserve"> = 1</w:t>
            </w:r>
          </w:p>
          <w:p w14:paraId="0A98C167" w14:textId="77777777"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For all other resettlements</w:t>
            </w:r>
          </w:p>
          <w:p w14:paraId="21404990" w14:textId="77777777" w:rsidR="005C6D56" w:rsidRPr="005C6D56" w:rsidRDefault="005C6D56" w:rsidP="005C6D56">
            <w:pPr>
              <w:spacing w:after="240"/>
              <w:ind w:firstLine="720"/>
              <w:rPr>
                <w:szCs w:val="24"/>
                <w:lang w:val="pt-BR"/>
              </w:rPr>
            </w:pPr>
            <w:r w:rsidRPr="005C6D56">
              <w:rPr>
                <w:szCs w:val="24"/>
                <w:lang w:val="pt-BR"/>
              </w:rPr>
              <w:t xml:space="preserve">If MRACMAF </w:t>
            </w:r>
            <w:r w:rsidRPr="005C6D56">
              <w:rPr>
                <w:i/>
                <w:szCs w:val="24"/>
                <w:vertAlign w:val="subscript"/>
                <w:lang w:val="pt-BR"/>
              </w:rPr>
              <w:t xml:space="preserve">q, r, m </w:t>
            </w:r>
            <w:r w:rsidRPr="005C6D56">
              <w:rPr>
                <w:szCs w:val="24"/>
              </w:rPr>
              <w:t xml:space="preserve"> ≥ 95% * MRATA </w:t>
            </w:r>
            <w:r w:rsidRPr="005C6D56">
              <w:rPr>
                <w:i/>
                <w:szCs w:val="24"/>
                <w:vertAlign w:val="subscript"/>
              </w:rPr>
              <w:t>q, r, m</w:t>
            </w:r>
            <w:r w:rsidRPr="005C6D56">
              <w:rPr>
                <w:szCs w:val="24"/>
              </w:rPr>
              <w:t xml:space="preserve"> </w:t>
            </w:r>
          </w:p>
          <w:p w14:paraId="3A52D52E" w14:textId="77777777" w:rsidR="005C6D56" w:rsidRPr="005C6D56" w:rsidRDefault="005C6D56" w:rsidP="005C6D56">
            <w:pPr>
              <w:spacing w:after="240"/>
              <w:ind w:left="1440"/>
              <w:rPr>
                <w:szCs w:val="24"/>
                <w:lang w:val="pt-BR"/>
              </w:rPr>
            </w:pPr>
            <w:r w:rsidRPr="005C6D56">
              <w:rPr>
                <w:szCs w:val="24"/>
              </w:rPr>
              <w:t>MRAARF</w:t>
            </w:r>
            <w:r w:rsidRPr="005C6D56">
              <w:rPr>
                <w:i/>
                <w:szCs w:val="24"/>
                <w:vertAlign w:val="subscript"/>
              </w:rPr>
              <w:t xml:space="preserve">q, r, m </w:t>
            </w:r>
            <w:r w:rsidRPr="005C6D56">
              <w:rPr>
                <w:szCs w:val="24"/>
                <w:lang w:val="pt-BR"/>
              </w:rPr>
              <w:t xml:space="preserve">= 1 </w:t>
            </w:r>
          </w:p>
          <w:p w14:paraId="16C92493" w14:textId="77777777" w:rsidR="005C6D56" w:rsidRPr="005C6D56" w:rsidRDefault="005C6D56" w:rsidP="005C6D56">
            <w:pPr>
              <w:spacing w:after="240"/>
              <w:ind w:firstLine="720"/>
              <w:rPr>
                <w:szCs w:val="24"/>
                <w:lang w:val="pt-BR"/>
              </w:rPr>
            </w:pPr>
            <w:r w:rsidRPr="005C6D56">
              <w:rPr>
                <w:szCs w:val="24"/>
                <w:lang w:val="pt-BR"/>
              </w:rPr>
              <w:t>If 85% *</w:t>
            </w:r>
            <w:r w:rsidRPr="005C6D56">
              <w:rPr>
                <w:szCs w:val="24"/>
              </w:rPr>
              <w:t xml:space="preserve"> </w:t>
            </w:r>
            <w:r w:rsidRPr="005C6D56">
              <w:rPr>
                <w:szCs w:val="24"/>
                <w:lang w:val="pt-BR"/>
              </w:rPr>
              <w:t>MRATA</w:t>
            </w:r>
            <w:r w:rsidRPr="005C6D56">
              <w:rPr>
                <w:szCs w:val="24"/>
              </w:rPr>
              <w:t xml:space="preserve"> </w:t>
            </w:r>
            <w:r w:rsidRPr="005C6D56">
              <w:rPr>
                <w:i/>
                <w:szCs w:val="24"/>
                <w:vertAlign w:val="subscript"/>
              </w:rPr>
              <w:t>q, r, m</w:t>
            </w:r>
            <w:r w:rsidRPr="005C6D56">
              <w:rPr>
                <w:szCs w:val="24"/>
              </w:rPr>
              <w:t xml:space="preserve"> </w:t>
            </w:r>
            <w:r w:rsidRPr="005C6D56">
              <w:rPr>
                <w:szCs w:val="24"/>
                <w:lang w:val="pt-BR"/>
              </w:rPr>
              <w:t xml:space="preserve">≤ MRACMAF </w:t>
            </w:r>
            <w:r w:rsidRPr="005C6D56">
              <w:rPr>
                <w:i/>
                <w:szCs w:val="24"/>
                <w:vertAlign w:val="subscript"/>
                <w:lang w:val="pt-BR"/>
              </w:rPr>
              <w:t xml:space="preserve">q, r,m </w:t>
            </w:r>
            <w:r w:rsidRPr="005C6D56">
              <w:rPr>
                <w:szCs w:val="24"/>
              </w:rPr>
              <w:t xml:space="preserve"> </w:t>
            </w:r>
            <w:r w:rsidRPr="005C6D56">
              <w:rPr>
                <w:szCs w:val="24"/>
                <w:lang w:val="pt-BR"/>
              </w:rPr>
              <w:t>&lt;</w:t>
            </w:r>
            <w:r w:rsidRPr="005C6D56">
              <w:rPr>
                <w:szCs w:val="24"/>
              </w:rPr>
              <w:t xml:space="preserve"> 95%* MRATA </w:t>
            </w:r>
            <w:r w:rsidRPr="005C6D56">
              <w:rPr>
                <w:i/>
                <w:szCs w:val="24"/>
                <w:vertAlign w:val="subscript"/>
              </w:rPr>
              <w:t>q, r, m</w:t>
            </w:r>
            <w:r w:rsidRPr="005C6D56">
              <w:rPr>
                <w:szCs w:val="24"/>
              </w:rPr>
              <w:t xml:space="preserve"> </w:t>
            </w:r>
          </w:p>
          <w:p w14:paraId="3D8CCD3B" w14:textId="77777777" w:rsidR="005C6D56" w:rsidRPr="005C6D56" w:rsidRDefault="005C6D56" w:rsidP="005C6D56">
            <w:pPr>
              <w:spacing w:after="240"/>
              <w:ind w:left="1440"/>
              <w:rPr>
                <w:szCs w:val="24"/>
                <w:lang w:val="pt-BR"/>
              </w:rPr>
            </w:pPr>
            <w:r w:rsidRPr="005C6D56">
              <w:rPr>
                <w:szCs w:val="24"/>
              </w:rPr>
              <w:t>MRAARF</w:t>
            </w:r>
            <w:r w:rsidRPr="005C6D56">
              <w:rPr>
                <w:i/>
                <w:szCs w:val="24"/>
                <w:vertAlign w:val="subscript"/>
              </w:rPr>
              <w:t xml:space="preserve">q, r, m </w:t>
            </w:r>
            <w:r w:rsidRPr="005C6D56">
              <w:rPr>
                <w:szCs w:val="24"/>
                <w:lang w:val="pt-BR"/>
              </w:rPr>
              <w:t xml:space="preserve">= MRACMAF </w:t>
            </w:r>
            <w:r w:rsidRPr="005C6D56">
              <w:rPr>
                <w:i/>
                <w:szCs w:val="24"/>
                <w:vertAlign w:val="subscript"/>
                <w:lang w:val="pt-BR"/>
              </w:rPr>
              <w:t xml:space="preserve">q, r, m </w:t>
            </w:r>
            <w:r w:rsidRPr="005C6D56">
              <w:rPr>
                <w:szCs w:val="24"/>
              </w:rPr>
              <w:t xml:space="preserve"> </w:t>
            </w:r>
            <w:r w:rsidRPr="005C6D56">
              <w:rPr>
                <w:i/>
                <w:szCs w:val="24"/>
                <w:vertAlign w:val="subscript"/>
              </w:rPr>
              <w:t xml:space="preserve"> </w:t>
            </w:r>
          </w:p>
          <w:p w14:paraId="5DAA2241" w14:textId="77777777" w:rsidR="005C6D56" w:rsidRPr="005C6D56" w:rsidRDefault="005C6D56" w:rsidP="005C6D56">
            <w:pPr>
              <w:spacing w:after="240"/>
              <w:ind w:firstLine="720"/>
              <w:rPr>
                <w:szCs w:val="24"/>
                <w:lang w:val="pt-BR"/>
              </w:rPr>
            </w:pPr>
            <w:r w:rsidRPr="005C6D56">
              <w:rPr>
                <w:szCs w:val="24"/>
                <w:lang w:val="pt-BR"/>
              </w:rPr>
              <w:t xml:space="preserve">If MRACMAF </w:t>
            </w:r>
            <w:r w:rsidRPr="005C6D56">
              <w:rPr>
                <w:i/>
                <w:szCs w:val="24"/>
                <w:vertAlign w:val="subscript"/>
                <w:lang w:val="pt-BR"/>
              </w:rPr>
              <w:t xml:space="preserve">q, r, m </w:t>
            </w:r>
            <w:r w:rsidRPr="005C6D56">
              <w:rPr>
                <w:szCs w:val="24"/>
              </w:rPr>
              <w:t xml:space="preserve"> </w:t>
            </w:r>
            <w:r w:rsidRPr="005C6D56">
              <w:rPr>
                <w:szCs w:val="24"/>
                <w:lang w:val="pt-BR"/>
              </w:rPr>
              <w:t>&lt;</w:t>
            </w:r>
            <w:r w:rsidRPr="005C6D56">
              <w:rPr>
                <w:szCs w:val="24"/>
              </w:rPr>
              <w:t xml:space="preserve"> 85% * MRATA </w:t>
            </w:r>
            <w:r w:rsidRPr="005C6D56">
              <w:rPr>
                <w:i/>
                <w:szCs w:val="24"/>
                <w:vertAlign w:val="subscript"/>
              </w:rPr>
              <w:t>q, r, m</w:t>
            </w:r>
          </w:p>
          <w:p w14:paraId="62F0FEF0" w14:textId="77777777" w:rsidR="005C6D56" w:rsidRPr="005C6D56" w:rsidRDefault="005C6D56" w:rsidP="005C6D56">
            <w:pPr>
              <w:spacing w:after="240"/>
              <w:ind w:left="1440"/>
              <w:rPr>
                <w:szCs w:val="24"/>
                <w:lang w:val="pt-BR"/>
              </w:rPr>
            </w:pPr>
            <w:r w:rsidRPr="005C6D56">
              <w:rPr>
                <w:szCs w:val="24"/>
              </w:rPr>
              <w:t>MRAARF</w:t>
            </w:r>
            <w:r w:rsidRPr="005C6D56">
              <w:rPr>
                <w:i/>
                <w:szCs w:val="24"/>
                <w:vertAlign w:val="subscript"/>
              </w:rPr>
              <w:t xml:space="preserve">q, r, m </w:t>
            </w:r>
            <w:r w:rsidRPr="005C6D56">
              <w:rPr>
                <w:szCs w:val="24"/>
                <w:lang w:val="pt-BR"/>
              </w:rPr>
              <w:t xml:space="preserve">= (MRACMAF </w:t>
            </w:r>
            <w:r w:rsidRPr="005C6D56">
              <w:rPr>
                <w:i/>
                <w:szCs w:val="24"/>
                <w:vertAlign w:val="subscript"/>
                <w:lang w:val="pt-BR"/>
              </w:rPr>
              <w:t xml:space="preserve">q, r, m </w:t>
            </w:r>
            <w:r w:rsidRPr="005C6D56">
              <w:rPr>
                <w:i/>
                <w:szCs w:val="24"/>
                <w:lang w:val="pt-BR"/>
              </w:rPr>
              <w:t>)</w:t>
            </w:r>
            <w:r w:rsidRPr="005C6D56">
              <w:rPr>
                <w:i/>
                <w:color w:val="000000"/>
                <w:szCs w:val="24"/>
                <w:vertAlign w:val="superscript"/>
                <w:lang w:val="pt-BR"/>
              </w:rPr>
              <w:t>2</w:t>
            </w:r>
          </w:p>
          <w:p w14:paraId="52712988" w14:textId="77777777" w:rsidR="005C6D56" w:rsidRPr="005C6D56" w:rsidRDefault="005C6D56" w:rsidP="005C6D56">
            <w:pPr>
              <w:spacing w:after="240"/>
              <w:ind w:firstLine="720"/>
              <w:rPr>
                <w:szCs w:val="24"/>
                <w:lang w:val="pt-BR"/>
              </w:rPr>
            </w:pPr>
            <w:r w:rsidRPr="005C6D56">
              <w:rPr>
                <w:szCs w:val="24"/>
                <w:lang w:val="pt-BR"/>
              </w:rPr>
              <w:t>Where:</w:t>
            </w:r>
          </w:p>
          <w:p w14:paraId="5A533945" w14:textId="7EB6A170" w:rsidR="005C6D56" w:rsidRPr="005C6D56" w:rsidRDefault="005C6D56" w:rsidP="005C6D56">
            <w:pPr>
              <w:spacing w:after="240"/>
              <w:ind w:left="720" w:firstLine="720"/>
              <w:rPr>
                <w:szCs w:val="24"/>
                <w:lang w:val="pt-BR"/>
              </w:rPr>
            </w:pPr>
            <w:r w:rsidRPr="005C6D56">
              <w:rPr>
                <w:szCs w:val="24"/>
              </w:rPr>
              <w:t xml:space="preserve">For </w:t>
            </w:r>
            <w:r w:rsidRPr="005C6D56">
              <w:rPr>
                <w:bCs/>
                <w:color w:val="000000"/>
                <w:szCs w:val="24"/>
                <w:lang w:val="pt-BR"/>
              </w:rPr>
              <w:t>an MRA registered as a Generation Resource</w:t>
            </w:r>
            <w:r w:rsidR="00086215">
              <w:rPr>
                <w:bCs/>
                <w:color w:val="000000"/>
                <w:szCs w:val="24"/>
                <w:lang w:val="pt-BR"/>
              </w:rPr>
              <w:t xml:space="preserve"> or ESR</w:t>
            </w:r>
            <w:r w:rsidRPr="005C6D56">
              <w:rPr>
                <w:bCs/>
                <w:color w:val="000000"/>
                <w:szCs w:val="24"/>
                <w:lang w:val="pt-BR"/>
              </w:rPr>
              <w:t xml:space="preserve">, </w:t>
            </w:r>
          </w:p>
          <w:p w14:paraId="45C8F75D" w14:textId="127E320F" w:rsidR="005C6D56" w:rsidRPr="005C6D56" w:rsidRDefault="005C6D56" w:rsidP="005C6D56">
            <w:pPr>
              <w:spacing w:after="240"/>
              <w:ind w:left="1440" w:firstLine="720"/>
              <w:rPr>
                <w:i/>
                <w:szCs w:val="24"/>
                <w:lang w:val="pt-BR"/>
              </w:rPr>
            </w:pPr>
            <w:r w:rsidRPr="005C6D56">
              <w:rPr>
                <w:szCs w:val="24"/>
                <w:lang w:val="pt-BR"/>
              </w:rPr>
              <w:t xml:space="preserve">MRACMAF </w:t>
            </w:r>
            <w:r w:rsidRPr="005C6D56">
              <w:rPr>
                <w:i/>
                <w:szCs w:val="24"/>
                <w:vertAlign w:val="subscript"/>
                <w:lang w:val="pt-BR"/>
              </w:rPr>
              <w:t xml:space="preserve">q, r, m </w:t>
            </w:r>
            <w:r w:rsidRPr="005C6D56">
              <w:rPr>
                <w:szCs w:val="24"/>
              </w:rPr>
              <w:t xml:space="preserve"> </w:t>
            </w:r>
            <w:r w:rsidRPr="005C6D56">
              <w:rPr>
                <w:szCs w:val="24"/>
                <w:lang w:val="pt-BR"/>
              </w:rPr>
              <w:t xml:space="preserve">= </w:t>
            </w:r>
            <w:r w:rsidRPr="005C6D56">
              <w:rPr>
                <w:szCs w:val="24"/>
              </w:rPr>
              <w:t xml:space="preserve"> </w:t>
            </w:r>
            <w:r w:rsidR="00A94020" w:rsidRPr="005C6D56">
              <w:rPr>
                <w:b/>
                <w:noProof/>
                <w:position w:val="-20"/>
                <w:szCs w:val="24"/>
              </w:rPr>
              <w:drawing>
                <wp:inline distT="0" distB="0" distL="0" distR="0" wp14:anchorId="5523BB01" wp14:editId="51E67E0A">
                  <wp:extent cx="142875" cy="276225"/>
                  <wp:effectExtent l="0" t="0" r="9525" b="9525"/>
                  <wp:docPr id="1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5C6D56">
              <w:rPr>
                <w:szCs w:val="24"/>
              </w:rPr>
              <w:t xml:space="preserve"> (</w:t>
            </w:r>
            <w:r w:rsidRPr="005C6D56">
              <w:rPr>
                <w:szCs w:val="24"/>
                <w:lang w:val="pt-BR"/>
              </w:rPr>
              <w:t>MRAMAH</w:t>
            </w:r>
            <w:r w:rsidRPr="005C6D56">
              <w:rPr>
                <w:i/>
                <w:szCs w:val="24"/>
                <w:vertAlign w:val="subscript"/>
                <w:lang w:val="pt-BR"/>
              </w:rPr>
              <w:t xml:space="preserve"> q, r, h</w:t>
            </w:r>
            <w:r w:rsidRPr="005C6D56">
              <w:rPr>
                <w:szCs w:val="24"/>
                <w:lang w:val="pt-BR"/>
              </w:rPr>
              <w:t xml:space="preserve"> ) / </w:t>
            </w:r>
            <w:r w:rsidRPr="005C6D56">
              <w:rPr>
                <w:szCs w:val="24"/>
              </w:rPr>
              <w:t xml:space="preserve"> (</w:t>
            </w:r>
            <w:r w:rsidRPr="005C6D56">
              <w:rPr>
                <w:szCs w:val="24"/>
                <w:lang w:val="pt-BR"/>
              </w:rPr>
              <w:t>MH</w:t>
            </w:r>
            <w:r w:rsidRPr="005C6D56">
              <w:rPr>
                <w:i/>
                <w:szCs w:val="24"/>
                <w:vertAlign w:val="subscript"/>
                <w:lang w:val="pt-BR"/>
              </w:rPr>
              <w:t xml:space="preserve"> q, r, m</w:t>
            </w:r>
            <w:r w:rsidRPr="005C6D56">
              <w:rPr>
                <w:i/>
                <w:szCs w:val="24"/>
                <w:lang w:val="pt-BR"/>
              </w:rPr>
              <w:t>)</w:t>
            </w:r>
          </w:p>
          <w:p w14:paraId="49C688D2" w14:textId="77777777" w:rsidR="005C6D56" w:rsidRPr="005C6D56" w:rsidRDefault="005C6D56" w:rsidP="004A39F9">
            <w:pPr>
              <w:spacing w:after="240"/>
              <w:ind w:firstLine="720"/>
              <w:rPr>
                <w:szCs w:val="24"/>
              </w:rPr>
            </w:pPr>
            <w:r w:rsidRPr="005C6D56">
              <w:rPr>
                <w:szCs w:val="24"/>
              </w:rPr>
              <w:lastRenderedPageBreak/>
              <w:t xml:space="preserve">And, </w:t>
            </w:r>
          </w:p>
          <w:p w14:paraId="607BB88E" w14:textId="7BCE8846" w:rsidR="005C6D56" w:rsidRPr="005C6D56" w:rsidRDefault="005C6D56" w:rsidP="004A39F9">
            <w:pPr>
              <w:spacing w:after="240"/>
              <w:ind w:left="1440"/>
              <w:rPr>
                <w:szCs w:val="24"/>
              </w:rPr>
            </w:pPr>
            <w:r w:rsidRPr="005C6D56">
              <w:rPr>
                <w:szCs w:val="24"/>
              </w:rPr>
              <w:t xml:space="preserve">For an </w:t>
            </w:r>
            <w:r w:rsidRPr="005C6D56">
              <w:rPr>
                <w:bCs/>
                <w:snapToGrid w:val="0"/>
              </w:rPr>
              <w:t>MRA not registered as a Generation Resource</w:t>
            </w:r>
            <w:r w:rsidR="00086215">
              <w:rPr>
                <w:bCs/>
                <w:snapToGrid w:val="0"/>
              </w:rPr>
              <w:t xml:space="preserve"> or ESR</w:t>
            </w:r>
            <w:r w:rsidRPr="005C6D56">
              <w:rPr>
                <w:bCs/>
                <w:snapToGrid w:val="0"/>
              </w:rPr>
              <w:t>,</w:t>
            </w:r>
            <w:r w:rsidRPr="005C6D56">
              <w:rPr>
                <w:szCs w:val="24"/>
              </w:rPr>
              <w:t xml:space="preserve"> the availability factor is calculated pursuant to Section 3.14.4.6.4, MRA Availability Measurement and Verification.</w:t>
            </w:r>
          </w:p>
          <w:p w14:paraId="0563F861" w14:textId="77777777" w:rsidR="005C6D56" w:rsidRPr="005C6D56" w:rsidRDefault="005C6D56" w:rsidP="005C6D56">
            <w:pPr>
              <w:rPr>
                <w:szCs w:val="24"/>
              </w:rPr>
            </w:pPr>
            <w:r w:rsidRPr="005C6D56">
              <w:rPr>
                <w:szCs w:val="24"/>
              </w:rPr>
              <w:t>The above variables are defined as follows:</w:t>
            </w: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4"/>
              <w:gridCol w:w="788"/>
              <w:gridCol w:w="6780"/>
            </w:tblGrid>
            <w:tr w:rsidR="0057461A" w:rsidRPr="00027F85" w14:paraId="7FA20484" w14:textId="77777777" w:rsidTr="00086215">
              <w:trPr>
                <w:cantSplit/>
                <w:tblHeader/>
              </w:trPr>
              <w:tc>
                <w:tcPr>
                  <w:tcW w:w="949" w:type="pct"/>
                </w:tcPr>
                <w:p w14:paraId="673C5E14" w14:textId="77777777" w:rsidR="0057461A" w:rsidRPr="00027F85" w:rsidRDefault="0057461A" w:rsidP="0057461A">
                  <w:pPr>
                    <w:spacing w:after="120"/>
                    <w:rPr>
                      <w:b/>
                      <w:iCs/>
                      <w:sz w:val="20"/>
                    </w:rPr>
                  </w:pPr>
                  <w:r w:rsidRPr="00027F85">
                    <w:rPr>
                      <w:b/>
                      <w:iCs/>
                      <w:sz w:val="20"/>
                    </w:rPr>
                    <w:t>Variable</w:t>
                  </w:r>
                </w:p>
              </w:tc>
              <w:tc>
                <w:tcPr>
                  <w:tcW w:w="422" w:type="pct"/>
                </w:tcPr>
                <w:p w14:paraId="11F211FD" w14:textId="77777777" w:rsidR="0057461A" w:rsidRPr="00027F85" w:rsidRDefault="0057461A" w:rsidP="0057461A">
                  <w:pPr>
                    <w:spacing w:after="120"/>
                    <w:rPr>
                      <w:b/>
                      <w:iCs/>
                      <w:sz w:val="20"/>
                    </w:rPr>
                  </w:pPr>
                  <w:r w:rsidRPr="00027F85">
                    <w:rPr>
                      <w:b/>
                      <w:iCs/>
                      <w:sz w:val="20"/>
                    </w:rPr>
                    <w:t>Unit</w:t>
                  </w:r>
                </w:p>
              </w:tc>
              <w:tc>
                <w:tcPr>
                  <w:tcW w:w="3629" w:type="pct"/>
                </w:tcPr>
                <w:p w14:paraId="0EA8DFE5" w14:textId="77777777" w:rsidR="0057461A" w:rsidRPr="00027F85" w:rsidRDefault="0057461A" w:rsidP="0057461A">
                  <w:pPr>
                    <w:spacing w:after="120"/>
                    <w:rPr>
                      <w:b/>
                      <w:iCs/>
                      <w:sz w:val="20"/>
                    </w:rPr>
                  </w:pPr>
                  <w:r w:rsidRPr="00027F85">
                    <w:rPr>
                      <w:b/>
                      <w:iCs/>
                      <w:sz w:val="20"/>
                    </w:rPr>
                    <w:t>Definition</w:t>
                  </w:r>
                </w:p>
              </w:tc>
            </w:tr>
            <w:tr w:rsidR="0057461A" w:rsidRPr="00027F85" w14:paraId="412F08CE" w14:textId="77777777" w:rsidTr="00086215">
              <w:trPr>
                <w:cantSplit/>
              </w:trPr>
              <w:tc>
                <w:tcPr>
                  <w:tcW w:w="949" w:type="pct"/>
                </w:tcPr>
                <w:p w14:paraId="0594423A" w14:textId="77777777" w:rsidR="0057461A" w:rsidRPr="00027F85" w:rsidRDefault="0057461A" w:rsidP="0057461A">
                  <w:pPr>
                    <w:spacing w:after="60"/>
                    <w:rPr>
                      <w:iCs/>
                      <w:sz w:val="20"/>
                    </w:rPr>
                  </w:pPr>
                  <w:r w:rsidRPr="00027F85">
                    <w:rPr>
                      <w:iCs/>
                      <w:sz w:val="20"/>
                    </w:rPr>
                    <w:t>MRASBAMT</w:t>
                  </w:r>
                  <w:r>
                    <w:rPr>
                      <w:iCs/>
                      <w:sz w:val="20"/>
                    </w:rPr>
                    <w:t xml:space="preserve"> </w:t>
                  </w:r>
                  <w:r w:rsidRPr="00027F85">
                    <w:rPr>
                      <w:i/>
                      <w:iCs/>
                      <w:sz w:val="20"/>
                      <w:vertAlign w:val="subscript"/>
                    </w:rPr>
                    <w:t>q, r,</w:t>
                  </w:r>
                  <w:r>
                    <w:rPr>
                      <w:i/>
                      <w:iCs/>
                      <w:sz w:val="20"/>
                      <w:vertAlign w:val="subscript"/>
                    </w:rPr>
                    <w:t xml:space="preserve"> </w:t>
                  </w:r>
                  <w:r w:rsidRPr="00027F85">
                    <w:rPr>
                      <w:i/>
                      <w:iCs/>
                      <w:sz w:val="20"/>
                      <w:vertAlign w:val="subscript"/>
                    </w:rPr>
                    <w:t>h</w:t>
                  </w:r>
                </w:p>
              </w:tc>
              <w:tc>
                <w:tcPr>
                  <w:tcW w:w="422" w:type="pct"/>
                </w:tcPr>
                <w:p w14:paraId="23BD71BB" w14:textId="77777777" w:rsidR="0057461A" w:rsidRPr="00027F85" w:rsidRDefault="0057461A" w:rsidP="0057461A">
                  <w:pPr>
                    <w:spacing w:after="60"/>
                    <w:rPr>
                      <w:iCs/>
                      <w:sz w:val="20"/>
                    </w:rPr>
                  </w:pPr>
                  <w:r w:rsidRPr="00027F85">
                    <w:rPr>
                      <w:iCs/>
                      <w:sz w:val="20"/>
                    </w:rPr>
                    <w:t xml:space="preserve">$ </w:t>
                  </w:r>
                </w:p>
              </w:tc>
              <w:tc>
                <w:tcPr>
                  <w:tcW w:w="3629" w:type="pct"/>
                </w:tcPr>
                <w:p w14:paraId="35C0D16D" w14:textId="77777777" w:rsidR="0057461A" w:rsidRPr="00027F85" w:rsidRDefault="0057461A" w:rsidP="0057461A">
                  <w:pPr>
                    <w:spacing w:after="60"/>
                    <w:rPr>
                      <w:i/>
                      <w:iCs/>
                      <w:sz w:val="20"/>
                    </w:rPr>
                  </w:pPr>
                  <w:r w:rsidRPr="00027F85">
                    <w:rPr>
                      <w:i/>
                      <w:iCs/>
                      <w:sz w:val="20"/>
                    </w:rPr>
                    <w:t>Must-Run Alternative Standby Amount per QSE per Resource by hour</w:t>
                  </w:r>
                  <w:r w:rsidRPr="00027F85">
                    <w:rPr>
                      <w:iCs/>
                      <w:sz w:val="20"/>
                    </w:rPr>
                    <w:t xml:space="preserve">—The hourly standby payment amount for </w:t>
                  </w:r>
                  <w:r>
                    <w:rPr>
                      <w:iCs/>
                      <w:sz w:val="20"/>
                    </w:rPr>
                    <w:t>MRA</w:t>
                  </w:r>
                  <w:r w:rsidRPr="00027F85">
                    <w:rPr>
                      <w:iCs/>
                      <w:sz w:val="20"/>
                    </w:rPr>
                    <w:t xml:space="preserve"> </w:t>
                  </w:r>
                  <w:r w:rsidRPr="00027F85">
                    <w:rPr>
                      <w:i/>
                      <w:iCs/>
                      <w:sz w:val="20"/>
                    </w:rPr>
                    <w:t xml:space="preserve">r </w:t>
                  </w:r>
                  <w:r w:rsidRPr="00027F85">
                    <w:rPr>
                      <w:iCs/>
                      <w:sz w:val="20"/>
                    </w:rPr>
                    <w:t xml:space="preserve">represented by QSE </w:t>
                  </w:r>
                  <w:r w:rsidRPr="00027F85">
                    <w:rPr>
                      <w:i/>
                      <w:iCs/>
                      <w:sz w:val="20"/>
                    </w:rPr>
                    <w:t>q</w:t>
                  </w:r>
                  <w:r w:rsidRPr="00027F85">
                    <w:rPr>
                      <w:sz w:val="20"/>
                    </w:rPr>
                    <w:t>, for the hour</w:t>
                  </w:r>
                  <w:r>
                    <w:rPr>
                      <w:sz w:val="20"/>
                    </w:rPr>
                    <w:t xml:space="preserve"> </w:t>
                  </w:r>
                  <w:r w:rsidRPr="002E75F3">
                    <w:rPr>
                      <w:i/>
                      <w:sz w:val="20"/>
                    </w:rPr>
                    <w:t>h</w:t>
                  </w:r>
                  <w:r w:rsidRPr="00027F85">
                    <w:rPr>
                      <w:iCs/>
                      <w:sz w:val="20"/>
                    </w:rPr>
                    <w:t>.</w:t>
                  </w:r>
                  <w:r>
                    <w:rPr>
                      <w:iCs/>
                      <w:sz w:val="20"/>
                    </w:rPr>
                    <w:t xml:space="preserve">  </w:t>
                  </w:r>
                  <w:r w:rsidRPr="00027F85">
                    <w:rPr>
                      <w:iCs/>
                      <w:sz w:val="20"/>
                    </w:rPr>
                    <w:t xml:space="preserve">Where for a Combined Cycle Train, the Resource </w:t>
                  </w:r>
                  <w:r w:rsidRPr="00027F85">
                    <w:rPr>
                      <w:i/>
                      <w:iCs/>
                      <w:sz w:val="20"/>
                    </w:rPr>
                    <w:t xml:space="preserve">r </w:t>
                  </w:r>
                  <w:r w:rsidRPr="00027F85">
                    <w:rPr>
                      <w:iCs/>
                      <w:sz w:val="20"/>
                    </w:rPr>
                    <w:t>is a Combined Cycle Train.</w:t>
                  </w:r>
                </w:p>
              </w:tc>
            </w:tr>
            <w:tr w:rsidR="0057461A" w:rsidRPr="00027F85" w14:paraId="499F2B75" w14:textId="77777777" w:rsidTr="00086215">
              <w:trPr>
                <w:cantSplit/>
              </w:trPr>
              <w:tc>
                <w:tcPr>
                  <w:tcW w:w="949" w:type="pct"/>
                </w:tcPr>
                <w:p w14:paraId="4471A83E" w14:textId="77777777" w:rsidR="0057461A" w:rsidRPr="00027F85" w:rsidRDefault="0057461A" w:rsidP="0057461A">
                  <w:pPr>
                    <w:spacing w:after="60"/>
                    <w:rPr>
                      <w:iCs/>
                      <w:sz w:val="20"/>
                    </w:rPr>
                  </w:pPr>
                  <w:r w:rsidRPr="00027F85">
                    <w:rPr>
                      <w:iCs/>
                      <w:sz w:val="20"/>
                    </w:rPr>
                    <w:t xml:space="preserve">MRASBPR </w:t>
                  </w:r>
                  <w:r w:rsidRPr="00027F85">
                    <w:rPr>
                      <w:i/>
                      <w:iCs/>
                      <w:sz w:val="20"/>
                      <w:vertAlign w:val="subscript"/>
                    </w:rPr>
                    <w:t>q, r</w:t>
                  </w:r>
                  <w:r>
                    <w:rPr>
                      <w:i/>
                      <w:iCs/>
                      <w:sz w:val="20"/>
                      <w:vertAlign w:val="subscript"/>
                    </w:rPr>
                    <w:t>, m</w:t>
                  </w:r>
                </w:p>
              </w:tc>
              <w:tc>
                <w:tcPr>
                  <w:tcW w:w="422" w:type="pct"/>
                </w:tcPr>
                <w:p w14:paraId="57503175" w14:textId="77777777" w:rsidR="0057461A" w:rsidRPr="00027F85" w:rsidRDefault="0057461A" w:rsidP="0057461A">
                  <w:pPr>
                    <w:spacing w:after="60"/>
                    <w:rPr>
                      <w:iCs/>
                      <w:sz w:val="20"/>
                    </w:rPr>
                  </w:pPr>
                  <w:r w:rsidRPr="00027F85">
                    <w:rPr>
                      <w:iCs/>
                      <w:sz w:val="20"/>
                    </w:rPr>
                    <w:t>$/MW per hour</w:t>
                  </w:r>
                </w:p>
              </w:tc>
              <w:tc>
                <w:tcPr>
                  <w:tcW w:w="3629" w:type="pct"/>
                </w:tcPr>
                <w:p w14:paraId="3A8634AA" w14:textId="77777777" w:rsidR="0057461A" w:rsidRPr="00027F85" w:rsidRDefault="0057461A" w:rsidP="0057461A">
                  <w:pPr>
                    <w:spacing w:after="60"/>
                    <w:rPr>
                      <w:i/>
                      <w:iCs/>
                      <w:sz w:val="20"/>
                    </w:rPr>
                  </w:pPr>
                  <w:r w:rsidRPr="00027F85">
                    <w:rPr>
                      <w:i/>
                      <w:iCs/>
                      <w:sz w:val="20"/>
                    </w:rPr>
                    <w:t>Must-Run Alternative Standby Price per QSE per Resource per MW per hour</w:t>
                  </w:r>
                  <w:r w:rsidRPr="00027F85">
                    <w:rPr>
                      <w:iCs/>
                      <w:sz w:val="20"/>
                    </w:rPr>
                    <w:t xml:space="preserve">—The hourly standby price per MW for </w:t>
                  </w:r>
                  <w:r>
                    <w:rPr>
                      <w:iCs/>
                      <w:sz w:val="20"/>
                    </w:rPr>
                    <w:t>MRA</w:t>
                  </w:r>
                  <w:r w:rsidRPr="00027F85">
                    <w:rPr>
                      <w:iCs/>
                      <w:sz w:val="20"/>
                    </w:rPr>
                    <w:t xml:space="preserve"> </w:t>
                  </w:r>
                  <w:r w:rsidRPr="00027F85">
                    <w:rPr>
                      <w:i/>
                      <w:iCs/>
                      <w:sz w:val="20"/>
                    </w:rPr>
                    <w:t xml:space="preserve">r </w:t>
                  </w:r>
                  <w:r w:rsidRPr="00027F85">
                    <w:rPr>
                      <w:iCs/>
                      <w:sz w:val="20"/>
                    </w:rPr>
                    <w:t xml:space="preserve">represented by QSE </w:t>
                  </w:r>
                  <w:r w:rsidRPr="00027F85">
                    <w:rPr>
                      <w:i/>
                      <w:iCs/>
                      <w:sz w:val="20"/>
                    </w:rPr>
                    <w:t>q</w:t>
                  </w:r>
                  <w:r w:rsidRPr="00027F85">
                    <w:rPr>
                      <w:sz w:val="20"/>
                    </w:rPr>
                    <w:t xml:space="preserve">, for the </w:t>
                  </w:r>
                  <w:r>
                    <w:rPr>
                      <w:sz w:val="20"/>
                    </w:rPr>
                    <w:t>month</w:t>
                  </w:r>
                  <w:r w:rsidRPr="00027F85">
                    <w:rPr>
                      <w:sz w:val="20"/>
                    </w:rPr>
                    <w:t xml:space="preserve"> </w:t>
                  </w:r>
                  <w:r w:rsidRPr="002E75F3">
                    <w:rPr>
                      <w:i/>
                      <w:sz w:val="20"/>
                    </w:rPr>
                    <w:t>m</w:t>
                  </w:r>
                  <w:r w:rsidRPr="00027F85">
                    <w:rPr>
                      <w:iCs/>
                      <w:sz w:val="20"/>
                    </w:rPr>
                    <w:t xml:space="preserve">.  Where for a Combined Cycle Train, the Resource </w:t>
                  </w:r>
                  <w:r w:rsidRPr="00027F85">
                    <w:rPr>
                      <w:i/>
                      <w:iCs/>
                      <w:sz w:val="20"/>
                    </w:rPr>
                    <w:t xml:space="preserve">r </w:t>
                  </w:r>
                  <w:r w:rsidRPr="00027F85">
                    <w:rPr>
                      <w:iCs/>
                      <w:sz w:val="20"/>
                    </w:rPr>
                    <w:t>is a Combined Cycle Train.</w:t>
                  </w:r>
                </w:p>
              </w:tc>
            </w:tr>
            <w:tr w:rsidR="0057461A" w:rsidRPr="00027F85" w14:paraId="3089D7B4" w14:textId="77777777" w:rsidTr="00086215">
              <w:trPr>
                <w:cantSplit/>
              </w:trPr>
              <w:tc>
                <w:tcPr>
                  <w:tcW w:w="949" w:type="pct"/>
                </w:tcPr>
                <w:p w14:paraId="7A530F34" w14:textId="77777777" w:rsidR="0057461A" w:rsidRPr="00845E5C" w:rsidRDefault="0057461A" w:rsidP="0057461A">
                  <w:pPr>
                    <w:spacing w:after="60"/>
                    <w:rPr>
                      <w:iCs/>
                      <w:sz w:val="20"/>
                    </w:rPr>
                  </w:pPr>
                  <w:r w:rsidRPr="00590FA9">
                    <w:rPr>
                      <w:sz w:val="20"/>
                    </w:rPr>
                    <w:t>MRAEPRF</w:t>
                  </w:r>
                  <w:r w:rsidRPr="00590FA9">
                    <w:rPr>
                      <w:i/>
                      <w:sz w:val="20"/>
                      <w:vertAlign w:val="subscript"/>
                    </w:rPr>
                    <w:t xml:space="preserve"> q, r, m</w:t>
                  </w:r>
                </w:p>
              </w:tc>
              <w:tc>
                <w:tcPr>
                  <w:tcW w:w="422" w:type="pct"/>
                </w:tcPr>
                <w:p w14:paraId="5F7B26B7" w14:textId="77777777" w:rsidR="0057461A" w:rsidRPr="00027F85" w:rsidRDefault="0057461A" w:rsidP="0057461A">
                  <w:pPr>
                    <w:spacing w:after="60"/>
                    <w:rPr>
                      <w:iCs/>
                      <w:sz w:val="20"/>
                    </w:rPr>
                  </w:pPr>
                  <w:r>
                    <w:rPr>
                      <w:iCs/>
                      <w:sz w:val="20"/>
                    </w:rPr>
                    <w:t>N</w:t>
                  </w:r>
                  <w:r w:rsidRPr="00027F85">
                    <w:rPr>
                      <w:iCs/>
                      <w:sz w:val="20"/>
                    </w:rPr>
                    <w:t>one</w:t>
                  </w:r>
                </w:p>
              </w:tc>
              <w:tc>
                <w:tcPr>
                  <w:tcW w:w="3629" w:type="pct"/>
                </w:tcPr>
                <w:p w14:paraId="128918D1" w14:textId="77777777" w:rsidR="0057461A" w:rsidRPr="00590FA9" w:rsidRDefault="0057461A" w:rsidP="0057461A">
                  <w:pPr>
                    <w:tabs>
                      <w:tab w:val="left" w:pos="1080"/>
                      <w:tab w:val="left" w:pos="5940"/>
                      <w:tab w:val="left" w:pos="6300"/>
                      <w:tab w:val="left" w:pos="6840"/>
                    </w:tabs>
                    <w:rPr>
                      <w:lang w:val="pt-BR"/>
                    </w:rPr>
                  </w:pPr>
                  <w:r w:rsidRPr="00F60B02">
                    <w:rPr>
                      <w:i/>
                      <w:iCs/>
                      <w:sz w:val="20"/>
                    </w:rPr>
                    <w:t xml:space="preserve">Must-Run Alternative Event Performance Reduction </w:t>
                  </w:r>
                  <w:r w:rsidRPr="00F60B02">
                    <w:rPr>
                      <w:i/>
                      <w:sz w:val="20"/>
                    </w:rPr>
                    <w:t>Factor per QSE</w:t>
                  </w:r>
                  <w:r>
                    <w:rPr>
                      <w:i/>
                      <w:sz w:val="20"/>
                    </w:rPr>
                    <w:t xml:space="preserve"> per Resource</w:t>
                  </w:r>
                  <w:r w:rsidRPr="00F60B02">
                    <w:rPr>
                      <w:sz w:val="20"/>
                    </w:rPr>
                    <w:t xml:space="preserve">—The </w:t>
                  </w:r>
                  <w:r>
                    <w:rPr>
                      <w:sz w:val="20"/>
                    </w:rPr>
                    <w:t>E</w:t>
                  </w:r>
                  <w:r w:rsidRPr="00F60B02">
                    <w:rPr>
                      <w:sz w:val="20"/>
                    </w:rPr>
                    <w:t xml:space="preserve">vent </w:t>
                  </w:r>
                  <w:r>
                    <w:rPr>
                      <w:sz w:val="20"/>
                    </w:rPr>
                    <w:t>P</w:t>
                  </w:r>
                  <w:r w:rsidRPr="00F60B02">
                    <w:rPr>
                      <w:sz w:val="20"/>
                    </w:rPr>
                    <w:t xml:space="preserve">erformance </w:t>
                  </w:r>
                  <w:r>
                    <w:rPr>
                      <w:sz w:val="20"/>
                    </w:rPr>
                    <w:t>R</w:t>
                  </w:r>
                  <w:r w:rsidRPr="00F60B02">
                    <w:rPr>
                      <w:sz w:val="20"/>
                    </w:rPr>
                    <w:t xml:space="preserve">eduction </w:t>
                  </w:r>
                  <w:r>
                    <w:rPr>
                      <w:sz w:val="20"/>
                    </w:rPr>
                    <w:t>F</w:t>
                  </w:r>
                  <w:r w:rsidRPr="00F60B02">
                    <w:rPr>
                      <w:sz w:val="20"/>
                    </w:rPr>
                    <w:t xml:space="preserve">actor of the </w:t>
                  </w:r>
                  <w:r>
                    <w:rPr>
                      <w:sz w:val="20"/>
                    </w:rPr>
                    <w:t>MRA</w:t>
                  </w:r>
                  <w:r w:rsidRPr="00F60B02">
                    <w:rPr>
                      <w:i/>
                      <w:iCs/>
                      <w:sz w:val="20"/>
                    </w:rPr>
                    <w:t xml:space="preserve"> r </w:t>
                  </w:r>
                  <w:r w:rsidRPr="00F60B02">
                    <w:rPr>
                      <w:iCs/>
                      <w:sz w:val="20"/>
                    </w:rPr>
                    <w:t xml:space="preserve">represented by QSE </w:t>
                  </w:r>
                  <w:r w:rsidRPr="00F60B02">
                    <w:rPr>
                      <w:i/>
                      <w:iCs/>
                      <w:sz w:val="20"/>
                    </w:rPr>
                    <w:t>q</w:t>
                  </w:r>
                  <w:r w:rsidRPr="00F60B02">
                    <w:rPr>
                      <w:sz w:val="20"/>
                    </w:rPr>
                    <w:t>, for each hour of the month m</w:t>
                  </w:r>
                  <w:r>
                    <w:rPr>
                      <w:sz w:val="20"/>
                    </w:rPr>
                    <w:t>, as</w:t>
                  </w:r>
                  <w:r w:rsidRPr="00F60B02">
                    <w:rPr>
                      <w:sz w:val="20"/>
                    </w:rPr>
                    <w:t xml:space="preserve"> calculated per </w:t>
                  </w:r>
                  <w:r>
                    <w:rPr>
                      <w:sz w:val="20"/>
                    </w:rPr>
                    <w:t>S</w:t>
                  </w:r>
                  <w:r w:rsidRPr="00F60B02">
                    <w:rPr>
                      <w:sz w:val="20"/>
                    </w:rPr>
                    <w:t>ection 3.14.</w:t>
                  </w:r>
                  <w:r>
                    <w:rPr>
                      <w:sz w:val="20"/>
                    </w:rPr>
                    <w:t>4.6.5,</w:t>
                  </w:r>
                  <w:r w:rsidRPr="00F60B02">
                    <w:rPr>
                      <w:sz w:val="20"/>
                    </w:rPr>
                    <w:t xml:space="preserve"> </w:t>
                  </w:r>
                  <w:r>
                    <w:rPr>
                      <w:sz w:val="20"/>
                    </w:rPr>
                    <w:t xml:space="preserve">MRA </w:t>
                  </w:r>
                  <w:r w:rsidRPr="00F60B02">
                    <w:rPr>
                      <w:sz w:val="20"/>
                    </w:rPr>
                    <w:t>Event Performance Measurement and Verification</w:t>
                  </w:r>
                  <w:r>
                    <w:rPr>
                      <w:sz w:val="20"/>
                    </w:rPr>
                    <w:t xml:space="preserve">.  </w:t>
                  </w:r>
                  <w:r w:rsidRPr="00F60B02">
                    <w:rPr>
                      <w:sz w:val="20"/>
                    </w:rPr>
                    <w:t xml:space="preserve">If the MRAEPRF </w:t>
                  </w:r>
                  <w:r>
                    <w:rPr>
                      <w:sz w:val="20"/>
                    </w:rPr>
                    <w:t xml:space="preserve">for </w:t>
                  </w:r>
                  <w:r w:rsidRPr="00F60B02">
                    <w:rPr>
                      <w:sz w:val="20"/>
                    </w:rPr>
                    <w:t xml:space="preserve">the month is not available then the most recent MRAEPRF prior to month of the Operating Day shall be used. </w:t>
                  </w:r>
                  <w:r>
                    <w:rPr>
                      <w:sz w:val="20"/>
                    </w:rPr>
                    <w:t xml:space="preserve"> </w:t>
                  </w:r>
                  <w:r w:rsidRPr="00F60B02">
                    <w:rPr>
                      <w:sz w:val="20"/>
                    </w:rPr>
                    <w:t>If no previous MRAEPRF is available then MRAEPRF shall be set to 1</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4AE3AB4E" w14:textId="77777777" w:rsidTr="00086215">
              <w:trPr>
                <w:cantSplit/>
              </w:trPr>
              <w:tc>
                <w:tcPr>
                  <w:tcW w:w="949" w:type="pct"/>
                </w:tcPr>
                <w:p w14:paraId="3324DCB3" w14:textId="0ED00667" w:rsidR="0057461A" w:rsidRPr="00027F85" w:rsidRDefault="0057461A" w:rsidP="0057461A">
                  <w:pPr>
                    <w:spacing w:after="60"/>
                    <w:rPr>
                      <w:sz w:val="20"/>
                    </w:rPr>
                  </w:pPr>
                  <w:r w:rsidRPr="00027F85">
                    <w:rPr>
                      <w:sz w:val="20"/>
                    </w:rPr>
                    <w:t>MRA</w:t>
                  </w:r>
                  <w:r w:rsidRPr="00845E5C">
                    <w:rPr>
                      <w:sz w:val="20"/>
                    </w:rPr>
                    <w:t xml:space="preserve">CRF </w:t>
                  </w:r>
                  <w:r w:rsidRPr="007B68C7">
                    <w:rPr>
                      <w:i/>
                      <w:sz w:val="20"/>
                      <w:vertAlign w:val="subscript"/>
                    </w:rPr>
                    <w:t>q, r, m</w:t>
                  </w:r>
                </w:p>
              </w:tc>
              <w:tc>
                <w:tcPr>
                  <w:tcW w:w="422" w:type="pct"/>
                </w:tcPr>
                <w:p w14:paraId="28337D5F" w14:textId="77777777" w:rsidR="0057461A" w:rsidRPr="00027F85" w:rsidRDefault="0057461A" w:rsidP="0057461A">
                  <w:pPr>
                    <w:spacing w:after="60"/>
                    <w:rPr>
                      <w:iCs/>
                      <w:sz w:val="20"/>
                    </w:rPr>
                  </w:pPr>
                  <w:r w:rsidRPr="00027F85">
                    <w:rPr>
                      <w:iCs/>
                      <w:sz w:val="20"/>
                    </w:rPr>
                    <w:t>None</w:t>
                  </w:r>
                </w:p>
              </w:tc>
              <w:tc>
                <w:tcPr>
                  <w:tcW w:w="3629" w:type="pct"/>
                </w:tcPr>
                <w:p w14:paraId="5A5D5DC8" w14:textId="67738693" w:rsidR="0057461A" w:rsidRPr="00027F85" w:rsidRDefault="0057461A" w:rsidP="0057461A">
                  <w:pPr>
                    <w:spacing w:after="60"/>
                    <w:rPr>
                      <w:i/>
                      <w:sz w:val="20"/>
                    </w:rPr>
                  </w:pPr>
                  <w:r w:rsidRPr="00027F85">
                    <w:rPr>
                      <w:i/>
                      <w:iCs/>
                      <w:sz w:val="20"/>
                    </w:rPr>
                    <w:t xml:space="preserve">Must-Run Alternative </w:t>
                  </w:r>
                  <w:r>
                    <w:rPr>
                      <w:i/>
                      <w:iCs/>
                      <w:sz w:val="20"/>
                    </w:rPr>
                    <w:t xml:space="preserve">Generation </w:t>
                  </w:r>
                  <w:r w:rsidRPr="00027F85">
                    <w:rPr>
                      <w:i/>
                      <w:iCs/>
                      <w:sz w:val="20"/>
                    </w:rPr>
                    <w:t>Resource</w:t>
                  </w:r>
                  <w:r w:rsidR="00086215">
                    <w:rPr>
                      <w:i/>
                      <w:iCs/>
                      <w:sz w:val="20"/>
                    </w:rPr>
                    <w:t xml:space="preserve"> or ESR</w:t>
                  </w:r>
                  <w:r w:rsidRPr="00027F85">
                    <w:rPr>
                      <w:i/>
                      <w:iCs/>
                      <w:sz w:val="20"/>
                    </w:rPr>
                    <w:t xml:space="preserve"> </w:t>
                  </w:r>
                  <w:r w:rsidRPr="00027F85">
                    <w:rPr>
                      <w:i/>
                      <w:sz w:val="20"/>
                    </w:rPr>
                    <w:t xml:space="preserve">Capacity Reduction Factor per QSE per Resource per month </w:t>
                  </w:r>
                  <w:r w:rsidRPr="00027F85">
                    <w:rPr>
                      <w:sz w:val="20"/>
                    </w:rPr>
                    <w:t xml:space="preserve">—The capacity reduction factor of the </w:t>
                  </w:r>
                  <w:r>
                    <w:rPr>
                      <w:sz w:val="20"/>
                    </w:rPr>
                    <w:t>Generation Resource</w:t>
                  </w:r>
                  <w:r w:rsidR="00086215">
                    <w:rPr>
                      <w:sz w:val="20"/>
                    </w:rPr>
                    <w:t xml:space="preserve"> or ESR</w:t>
                  </w:r>
                  <w:r w:rsidRPr="00027F85">
                    <w:rPr>
                      <w:sz w:val="20"/>
                    </w:rPr>
                    <w:t xml:space="preserve"> </w:t>
                  </w:r>
                  <w:r>
                    <w:rPr>
                      <w:sz w:val="20"/>
                    </w:rPr>
                    <w:t>MRA</w:t>
                  </w:r>
                  <w:r w:rsidRPr="00027F85">
                    <w:rPr>
                      <w:i/>
                      <w:iCs/>
                      <w:sz w:val="20"/>
                    </w:rPr>
                    <w:t xml:space="preserve"> r </w:t>
                  </w:r>
                  <w:r w:rsidRPr="00027F85">
                    <w:rPr>
                      <w:iCs/>
                      <w:sz w:val="20"/>
                    </w:rPr>
                    <w:t xml:space="preserve">represented by QSE </w:t>
                  </w:r>
                  <w:r w:rsidRPr="00027F85">
                    <w:rPr>
                      <w:i/>
                      <w:iCs/>
                      <w:sz w:val="20"/>
                    </w:rPr>
                    <w:t>q</w:t>
                  </w:r>
                  <w:r w:rsidRPr="00027F85">
                    <w:rPr>
                      <w:sz w:val="20"/>
                    </w:rPr>
                    <w:t xml:space="preserve">, for each hour of the month </w:t>
                  </w:r>
                  <w:r w:rsidRPr="002E75F3">
                    <w:rPr>
                      <w:i/>
                      <w:sz w:val="20"/>
                    </w:rPr>
                    <w:t>m</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086215" w:rsidRPr="00027F85" w14:paraId="5C4BC205" w14:textId="77777777" w:rsidTr="00086215">
              <w:trPr>
                <w:cantSplit/>
              </w:trPr>
              <w:tc>
                <w:tcPr>
                  <w:tcW w:w="949" w:type="pct"/>
                </w:tcPr>
                <w:p w14:paraId="22BDAFAB" w14:textId="45DD60BA" w:rsidR="00086215" w:rsidRPr="00027F85" w:rsidRDefault="00086215" w:rsidP="00086215">
                  <w:pPr>
                    <w:spacing w:after="60"/>
                    <w:rPr>
                      <w:sz w:val="20"/>
                    </w:rPr>
                  </w:pPr>
                  <w:r w:rsidRPr="009C73FA">
                    <w:rPr>
                      <w:sz w:val="20"/>
                    </w:rPr>
                    <w:t>MRAESRERF</w:t>
                  </w:r>
                  <w:r w:rsidRPr="009C73FA">
                    <w:rPr>
                      <w:i/>
                      <w:sz w:val="20"/>
                    </w:rPr>
                    <w:t xml:space="preserve"> </w:t>
                  </w:r>
                  <w:r w:rsidRPr="009C73FA">
                    <w:rPr>
                      <w:i/>
                      <w:sz w:val="20"/>
                      <w:vertAlign w:val="subscript"/>
                    </w:rPr>
                    <w:t xml:space="preserve">q, r, h  </w:t>
                  </w:r>
                </w:p>
              </w:tc>
              <w:tc>
                <w:tcPr>
                  <w:tcW w:w="422" w:type="pct"/>
                </w:tcPr>
                <w:p w14:paraId="6208EC11" w14:textId="58D49895" w:rsidR="00086215" w:rsidRPr="00027F85" w:rsidRDefault="00086215" w:rsidP="00086215">
                  <w:pPr>
                    <w:spacing w:after="60"/>
                    <w:rPr>
                      <w:iCs/>
                      <w:sz w:val="20"/>
                    </w:rPr>
                  </w:pPr>
                  <w:r w:rsidRPr="009C73FA">
                    <w:rPr>
                      <w:iCs/>
                      <w:sz w:val="20"/>
                    </w:rPr>
                    <w:t>None</w:t>
                  </w:r>
                </w:p>
              </w:tc>
              <w:tc>
                <w:tcPr>
                  <w:tcW w:w="3629" w:type="pct"/>
                </w:tcPr>
                <w:p w14:paraId="0B5523D1" w14:textId="6EEE843D" w:rsidR="00086215" w:rsidRPr="00027F85" w:rsidRDefault="00086215" w:rsidP="00086215">
                  <w:pPr>
                    <w:spacing w:after="60"/>
                    <w:rPr>
                      <w:i/>
                      <w:iCs/>
                      <w:sz w:val="20"/>
                    </w:rPr>
                  </w:pPr>
                  <w:r w:rsidRPr="009C73FA">
                    <w:rPr>
                      <w:i/>
                      <w:iCs/>
                      <w:sz w:val="20"/>
                    </w:rPr>
                    <w:t xml:space="preserve">Must-Run Alternative Energy Storage Resource Energy </w:t>
                  </w:r>
                  <w:r w:rsidRPr="009C73FA">
                    <w:rPr>
                      <w:i/>
                      <w:sz w:val="20"/>
                    </w:rPr>
                    <w:t>Reduction Factor per QSE per Resource per hour</w:t>
                  </w:r>
                  <w:r w:rsidRPr="009C73FA">
                    <w:rPr>
                      <w:sz w:val="20"/>
                    </w:rPr>
                    <w:t>—The energy reduction factor of the MRA ESR</w:t>
                  </w:r>
                  <w:r w:rsidRPr="009C73FA">
                    <w:rPr>
                      <w:i/>
                      <w:iCs/>
                      <w:sz w:val="20"/>
                    </w:rPr>
                    <w:t xml:space="preserve"> r </w:t>
                  </w:r>
                  <w:r w:rsidRPr="009C73FA">
                    <w:rPr>
                      <w:iCs/>
                      <w:sz w:val="20"/>
                    </w:rPr>
                    <w:t xml:space="preserve">represented by QSE </w:t>
                  </w:r>
                  <w:r w:rsidRPr="009C73FA">
                    <w:rPr>
                      <w:i/>
                      <w:iCs/>
                      <w:sz w:val="20"/>
                    </w:rPr>
                    <w:t>q</w:t>
                  </w:r>
                  <w:r w:rsidRPr="009C73FA">
                    <w:rPr>
                      <w:sz w:val="20"/>
                    </w:rPr>
                    <w:t xml:space="preserve">, for each hour </w:t>
                  </w:r>
                  <w:r w:rsidRPr="009C73FA">
                    <w:rPr>
                      <w:i/>
                      <w:iCs/>
                      <w:sz w:val="20"/>
                    </w:rPr>
                    <w:t xml:space="preserve">h </w:t>
                  </w:r>
                  <w:r w:rsidRPr="009C73FA">
                    <w:rPr>
                      <w:sz w:val="20"/>
                    </w:rPr>
                    <w:t xml:space="preserve">of the obligation block(s) of the month.  </w:t>
                  </w:r>
                </w:p>
              </w:tc>
            </w:tr>
            <w:tr w:rsidR="00086215" w:rsidRPr="00027F85" w14:paraId="7AED8052" w14:textId="77777777" w:rsidTr="00086215">
              <w:trPr>
                <w:cantSplit/>
              </w:trPr>
              <w:tc>
                <w:tcPr>
                  <w:tcW w:w="949" w:type="pct"/>
                </w:tcPr>
                <w:p w14:paraId="078859BD" w14:textId="4F53F884" w:rsidR="00086215" w:rsidRPr="00027F85" w:rsidRDefault="00086215" w:rsidP="00086215">
                  <w:pPr>
                    <w:spacing w:after="60"/>
                    <w:rPr>
                      <w:sz w:val="20"/>
                    </w:rPr>
                  </w:pPr>
                  <w:r w:rsidRPr="009C73FA">
                    <w:rPr>
                      <w:iCs/>
                      <w:sz w:val="20"/>
                    </w:rPr>
                    <w:t>MRAHOSO</w:t>
                  </w:r>
                  <w:r w:rsidRPr="005E62C6">
                    <w:rPr>
                      <w:iCs/>
                      <w:sz w:val="20"/>
                    </w:rPr>
                    <w:t>C</w:t>
                  </w:r>
                  <w:r w:rsidRPr="009C73FA">
                    <w:rPr>
                      <w:i/>
                      <w:sz w:val="20"/>
                    </w:rPr>
                    <w:t xml:space="preserve"> </w:t>
                  </w:r>
                  <w:r w:rsidRPr="009C73FA">
                    <w:rPr>
                      <w:i/>
                      <w:sz w:val="20"/>
                      <w:vertAlign w:val="subscript"/>
                    </w:rPr>
                    <w:t>q, r, b, m</w:t>
                  </w:r>
                </w:p>
              </w:tc>
              <w:tc>
                <w:tcPr>
                  <w:tcW w:w="422" w:type="pct"/>
                </w:tcPr>
                <w:p w14:paraId="14E759CA" w14:textId="6371D092" w:rsidR="00086215" w:rsidRPr="00027F85" w:rsidRDefault="00086215" w:rsidP="00086215">
                  <w:pPr>
                    <w:spacing w:after="60"/>
                    <w:rPr>
                      <w:iCs/>
                      <w:sz w:val="20"/>
                    </w:rPr>
                  </w:pPr>
                  <w:r w:rsidRPr="009C73FA">
                    <w:rPr>
                      <w:iCs/>
                      <w:sz w:val="20"/>
                    </w:rPr>
                    <w:t>MWh</w:t>
                  </w:r>
                </w:p>
              </w:tc>
              <w:tc>
                <w:tcPr>
                  <w:tcW w:w="3629" w:type="pct"/>
                </w:tcPr>
                <w:p w14:paraId="0A6C61B8" w14:textId="205B4B1B" w:rsidR="00086215" w:rsidRPr="00027F85" w:rsidRDefault="00086215" w:rsidP="00086215">
                  <w:pPr>
                    <w:spacing w:after="60"/>
                    <w:rPr>
                      <w:i/>
                      <w:iCs/>
                      <w:sz w:val="20"/>
                    </w:rPr>
                  </w:pPr>
                  <w:r w:rsidRPr="009C73FA">
                    <w:rPr>
                      <w:i/>
                      <w:sz w:val="20"/>
                    </w:rPr>
                    <w:t>Must-Run Alternative Hour of Obligation Block State of Charge per QSE per Resource—</w:t>
                  </w:r>
                  <w:r w:rsidRPr="009C73FA">
                    <w:rPr>
                      <w:sz w:val="20"/>
                    </w:rPr>
                    <w:t xml:space="preserve">The most recent telemetered state-of-charge prior to or at the start of the obligation block </w:t>
                  </w:r>
                  <w:r w:rsidRPr="009C73FA">
                    <w:rPr>
                      <w:i/>
                      <w:iCs/>
                      <w:sz w:val="20"/>
                    </w:rPr>
                    <w:t>b</w:t>
                  </w:r>
                  <w:r w:rsidRPr="009C73FA">
                    <w:rPr>
                      <w:sz w:val="20"/>
                    </w:rPr>
                    <w:t xml:space="preserve"> for MRA ESR </w:t>
                  </w:r>
                  <w:r w:rsidRPr="009C73FA">
                    <w:rPr>
                      <w:i/>
                      <w:iCs/>
                      <w:sz w:val="20"/>
                    </w:rPr>
                    <w:t>r</w:t>
                  </w:r>
                  <w:r w:rsidRPr="009C73FA">
                    <w:rPr>
                      <w:sz w:val="20"/>
                    </w:rPr>
                    <w:t xml:space="preserve"> represented by QSE </w:t>
                  </w:r>
                  <w:r w:rsidRPr="009C73FA">
                    <w:rPr>
                      <w:i/>
                      <w:iCs/>
                      <w:sz w:val="20"/>
                    </w:rPr>
                    <w:t>q</w:t>
                  </w:r>
                  <w:r w:rsidRPr="009C73FA">
                    <w:rPr>
                      <w:sz w:val="20"/>
                    </w:rPr>
                    <w:t xml:space="preserve"> as specified in the MRA Agreement, for the MRA Contracted Month </w:t>
                  </w:r>
                  <w:r w:rsidRPr="009C73FA">
                    <w:rPr>
                      <w:i/>
                      <w:iCs/>
                      <w:sz w:val="20"/>
                    </w:rPr>
                    <w:t>m</w:t>
                  </w:r>
                  <w:r w:rsidRPr="009C73FA">
                    <w:rPr>
                      <w:sz w:val="20"/>
                    </w:rPr>
                    <w:t xml:space="preserve">.  </w:t>
                  </w:r>
                </w:p>
              </w:tc>
            </w:tr>
            <w:tr w:rsidR="00086215" w:rsidRPr="00027F85" w14:paraId="56D91348" w14:textId="77777777" w:rsidTr="00086215">
              <w:trPr>
                <w:cantSplit/>
              </w:trPr>
              <w:tc>
                <w:tcPr>
                  <w:tcW w:w="949" w:type="pct"/>
                </w:tcPr>
                <w:p w14:paraId="3BF715CA" w14:textId="695D0B05" w:rsidR="00086215" w:rsidRPr="00027F85" w:rsidRDefault="00086215" w:rsidP="00086215">
                  <w:pPr>
                    <w:spacing w:after="60"/>
                    <w:rPr>
                      <w:sz w:val="20"/>
                    </w:rPr>
                  </w:pPr>
                  <w:r w:rsidRPr="009C73FA">
                    <w:rPr>
                      <w:iCs/>
                      <w:sz w:val="20"/>
                    </w:rPr>
                    <w:t>MRABHO</w:t>
                  </w:r>
                  <w:r w:rsidRPr="009C73FA">
                    <w:rPr>
                      <w:sz w:val="20"/>
                    </w:rPr>
                    <w:t xml:space="preserve"> </w:t>
                  </w:r>
                  <w:r w:rsidRPr="009C73FA">
                    <w:rPr>
                      <w:i/>
                      <w:sz w:val="20"/>
                      <w:vertAlign w:val="subscript"/>
                    </w:rPr>
                    <w:t>q, r, b, m</w:t>
                  </w:r>
                </w:p>
              </w:tc>
              <w:tc>
                <w:tcPr>
                  <w:tcW w:w="422" w:type="pct"/>
                </w:tcPr>
                <w:p w14:paraId="110BBFC7" w14:textId="317CB235" w:rsidR="00086215" w:rsidRPr="00027F85" w:rsidRDefault="00086215" w:rsidP="00086215">
                  <w:pPr>
                    <w:spacing w:after="60"/>
                    <w:rPr>
                      <w:iCs/>
                      <w:sz w:val="20"/>
                    </w:rPr>
                  </w:pPr>
                  <w:r w:rsidRPr="009C73FA">
                    <w:rPr>
                      <w:iCs/>
                      <w:sz w:val="20"/>
                    </w:rPr>
                    <w:t>Hours</w:t>
                  </w:r>
                </w:p>
              </w:tc>
              <w:tc>
                <w:tcPr>
                  <w:tcW w:w="3629" w:type="pct"/>
                </w:tcPr>
                <w:p w14:paraId="0AC8DD29" w14:textId="17CD6A9B" w:rsidR="00086215" w:rsidRPr="00027F85" w:rsidRDefault="00086215" w:rsidP="00086215">
                  <w:pPr>
                    <w:spacing w:after="60"/>
                    <w:rPr>
                      <w:i/>
                      <w:iCs/>
                      <w:sz w:val="20"/>
                    </w:rPr>
                  </w:pPr>
                  <w:r w:rsidRPr="009C73FA">
                    <w:rPr>
                      <w:i/>
                      <w:iCs/>
                      <w:sz w:val="20"/>
                    </w:rPr>
                    <w:t xml:space="preserve">Must-Run Alternative </w:t>
                  </w:r>
                  <w:r w:rsidRPr="009C73FA">
                    <w:rPr>
                      <w:i/>
                      <w:sz w:val="20"/>
                    </w:rPr>
                    <w:t>Hours of Obligation Block per QSE per Resource—</w:t>
                  </w:r>
                  <w:r w:rsidRPr="009C73FA">
                    <w:rPr>
                      <w:iCs/>
                      <w:sz w:val="20"/>
                    </w:rPr>
                    <w:t xml:space="preserve">The number of hours per block </w:t>
                  </w:r>
                  <w:r w:rsidRPr="009C73FA">
                    <w:rPr>
                      <w:i/>
                      <w:sz w:val="20"/>
                    </w:rPr>
                    <w:t xml:space="preserve">b </w:t>
                  </w:r>
                  <w:r w:rsidRPr="009C73FA">
                    <w:rPr>
                      <w:iCs/>
                      <w:sz w:val="20"/>
                    </w:rPr>
                    <w:t xml:space="preserve">of hours of obligation for </w:t>
                  </w:r>
                  <w:r w:rsidRPr="009C73FA">
                    <w:rPr>
                      <w:sz w:val="20"/>
                    </w:rPr>
                    <w:t xml:space="preserve">a registered MRA ESR </w:t>
                  </w:r>
                  <w:r w:rsidRPr="009C73FA">
                    <w:rPr>
                      <w:i/>
                      <w:iCs/>
                      <w:sz w:val="20"/>
                    </w:rPr>
                    <w:t>r,</w:t>
                  </w:r>
                  <w:r w:rsidRPr="009C73FA">
                    <w:rPr>
                      <w:sz w:val="20"/>
                    </w:rPr>
                    <w:t xml:space="preserve"> represented by QSE </w:t>
                  </w:r>
                  <w:r w:rsidRPr="009C73FA">
                    <w:rPr>
                      <w:i/>
                      <w:iCs/>
                      <w:sz w:val="20"/>
                    </w:rPr>
                    <w:t>q,</w:t>
                  </w:r>
                  <w:r w:rsidRPr="009C73FA">
                    <w:rPr>
                      <w:sz w:val="20"/>
                    </w:rPr>
                    <w:t xml:space="preserve"> as specified in the MRA Agreement, for the MRA Contracted Month </w:t>
                  </w:r>
                  <w:r w:rsidRPr="009C73FA">
                    <w:rPr>
                      <w:i/>
                      <w:iCs/>
                      <w:sz w:val="20"/>
                    </w:rPr>
                    <w:t>m.</w:t>
                  </w:r>
                  <w:r w:rsidRPr="009C73FA">
                    <w:rPr>
                      <w:sz w:val="20"/>
                    </w:rPr>
                    <w:t xml:space="preserve">  </w:t>
                  </w:r>
                </w:p>
              </w:tc>
            </w:tr>
            <w:tr w:rsidR="0057461A" w:rsidRPr="00027F85" w14:paraId="65A7DD3D" w14:textId="77777777" w:rsidTr="00086215">
              <w:trPr>
                <w:cantSplit/>
              </w:trPr>
              <w:tc>
                <w:tcPr>
                  <w:tcW w:w="949" w:type="pct"/>
                </w:tcPr>
                <w:p w14:paraId="1B2FAD86" w14:textId="77777777" w:rsidR="0057461A" w:rsidRPr="00027F85" w:rsidRDefault="0057461A" w:rsidP="0057461A">
                  <w:pPr>
                    <w:spacing w:after="60"/>
                    <w:rPr>
                      <w:iCs/>
                      <w:sz w:val="20"/>
                    </w:rPr>
                  </w:pPr>
                  <w:r w:rsidRPr="00027F85">
                    <w:rPr>
                      <w:sz w:val="20"/>
                    </w:rPr>
                    <w:t>MRACCAP</w:t>
                  </w:r>
                  <w:r w:rsidRPr="00027F85">
                    <w:rPr>
                      <w:sz w:val="20"/>
                      <w:vertAlign w:val="subscript"/>
                    </w:rPr>
                    <w:t xml:space="preserve"> </w:t>
                  </w:r>
                  <w:r w:rsidRPr="00027F85">
                    <w:rPr>
                      <w:i/>
                      <w:sz w:val="20"/>
                      <w:vertAlign w:val="subscript"/>
                    </w:rPr>
                    <w:t>q, r</w:t>
                  </w:r>
                  <w:r>
                    <w:rPr>
                      <w:i/>
                      <w:sz w:val="20"/>
                      <w:vertAlign w:val="subscript"/>
                    </w:rPr>
                    <w:t>,</w:t>
                  </w:r>
                  <w:r w:rsidRPr="00BC5190">
                    <w:rPr>
                      <w:i/>
                      <w:sz w:val="20"/>
                      <w:vertAlign w:val="subscript"/>
                    </w:rPr>
                    <w:t xml:space="preserve"> </w:t>
                  </w:r>
                  <w:r w:rsidRPr="00590FA9">
                    <w:rPr>
                      <w:i/>
                      <w:iCs/>
                      <w:sz w:val="20"/>
                      <w:vertAlign w:val="subscript"/>
                    </w:rPr>
                    <w:t>m</w:t>
                  </w:r>
                </w:p>
              </w:tc>
              <w:tc>
                <w:tcPr>
                  <w:tcW w:w="422" w:type="pct"/>
                </w:tcPr>
                <w:p w14:paraId="0F20AD86" w14:textId="77777777" w:rsidR="0057461A" w:rsidRPr="00027F85" w:rsidRDefault="0057461A" w:rsidP="0057461A">
                  <w:pPr>
                    <w:spacing w:after="60"/>
                    <w:rPr>
                      <w:iCs/>
                      <w:sz w:val="20"/>
                    </w:rPr>
                  </w:pPr>
                  <w:r w:rsidRPr="00027F85">
                    <w:rPr>
                      <w:iCs/>
                      <w:sz w:val="20"/>
                    </w:rPr>
                    <w:t>MW</w:t>
                  </w:r>
                </w:p>
              </w:tc>
              <w:tc>
                <w:tcPr>
                  <w:tcW w:w="3629" w:type="pct"/>
                </w:tcPr>
                <w:p w14:paraId="73AD97DD" w14:textId="77777777" w:rsidR="0057461A" w:rsidRPr="00027F85" w:rsidRDefault="0057461A" w:rsidP="0057461A">
                  <w:pPr>
                    <w:spacing w:after="60"/>
                    <w:rPr>
                      <w:i/>
                      <w:iCs/>
                      <w:sz w:val="20"/>
                    </w:rPr>
                  </w:pPr>
                  <w:r w:rsidRPr="00027F85">
                    <w:rPr>
                      <w:i/>
                      <w:sz w:val="20"/>
                    </w:rPr>
                    <w:t>Must-Run Alternative Contrac</w:t>
                  </w:r>
                  <w:r>
                    <w:rPr>
                      <w:i/>
                      <w:sz w:val="20"/>
                    </w:rPr>
                    <w:t>t</w:t>
                  </w:r>
                  <w:r w:rsidRPr="00027F85">
                    <w:rPr>
                      <w:i/>
                      <w:sz w:val="20"/>
                    </w:rPr>
                    <w:t xml:space="preserve"> Capacity per QSE per Resource</w:t>
                  </w:r>
                  <w:r w:rsidRPr="00027F85">
                    <w:rPr>
                      <w:sz w:val="20"/>
                    </w:rPr>
                    <w:t xml:space="preserve">—The capacity of </w:t>
                  </w:r>
                  <w:r>
                    <w:rPr>
                      <w:sz w:val="20"/>
                    </w:rPr>
                    <w:t>MRA</w:t>
                  </w:r>
                  <w:r w:rsidRPr="00027F85">
                    <w:rPr>
                      <w:sz w:val="20"/>
                    </w:rPr>
                    <w:t xml:space="preserve"> </w:t>
                  </w:r>
                  <w:r w:rsidRPr="00027F85">
                    <w:rPr>
                      <w:i/>
                      <w:sz w:val="20"/>
                    </w:rPr>
                    <w:t>r</w:t>
                  </w:r>
                  <w:r w:rsidRPr="00027F85">
                    <w:rPr>
                      <w:sz w:val="20"/>
                    </w:rPr>
                    <w:t xml:space="preserve"> represented by QSE </w:t>
                  </w:r>
                  <w:r w:rsidRPr="00027F85">
                    <w:rPr>
                      <w:i/>
                      <w:sz w:val="20"/>
                    </w:rPr>
                    <w:t>q</w:t>
                  </w:r>
                  <w:r w:rsidRPr="00027F85">
                    <w:rPr>
                      <w:sz w:val="20"/>
                    </w:rPr>
                    <w:t xml:space="preserve"> as specified in the MRA Agreement, for the </w:t>
                  </w:r>
                  <w:r>
                    <w:rPr>
                      <w:sz w:val="20"/>
                    </w:rPr>
                    <w:t xml:space="preserve">MRA Contracted Month </w:t>
                  </w:r>
                  <w:r w:rsidRPr="00BB7973">
                    <w:rPr>
                      <w:i/>
                      <w:sz w:val="20"/>
                    </w:rPr>
                    <w:t>m</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1DB97EC9" w14:textId="77777777" w:rsidTr="00086215">
              <w:trPr>
                <w:cantSplit/>
              </w:trPr>
              <w:tc>
                <w:tcPr>
                  <w:tcW w:w="949" w:type="pct"/>
                </w:tcPr>
                <w:p w14:paraId="73DF52FC" w14:textId="77777777" w:rsidR="0057461A" w:rsidRPr="00027F85" w:rsidRDefault="0057461A" w:rsidP="0057461A">
                  <w:pPr>
                    <w:spacing w:after="60"/>
                    <w:rPr>
                      <w:sz w:val="20"/>
                    </w:rPr>
                  </w:pPr>
                  <w:r w:rsidRPr="00027F85">
                    <w:rPr>
                      <w:sz w:val="20"/>
                    </w:rPr>
                    <w:t xml:space="preserve">MRAARF </w:t>
                  </w:r>
                  <w:r w:rsidRPr="00027F85">
                    <w:rPr>
                      <w:i/>
                      <w:sz w:val="20"/>
                      <w:vertAlign w:val="subscript"/>
                    </w:rPr>
                    <w:t>q, r,</w:t>
                  </w:r>
                  <w:r>
                    <w:rPr>
                      <w:i/>
                      <w:sz w:val="20"/>
                      <w:vertAlign w:val="subscript"/>
                    </w:rPr>
                    <w:t xml:space="preserve"> </w:t>
                  </w:r>
                  <w:r w:rsidRPr="00027F85">
                    <w:rPr>
                      <w:i/>
                      <w:sz w:val="20"/>
                      <w:vertAlign w:val="subscript"/>
                    </w:rPr>
                    <w:t>m</w:t>
                  </w:r>
                </w:p>
              </w:tc>
              <w:tc>
                <w:tcPr>
                  <w:tcW w:w="422" w:type="pct"/>
                </w:tcPr>
                <w:p w14:paraId="597F87FA" w14:textId="77777777" w:rsidR="0057461A" w:rsidRPr="00027F85" w:rsidRDefault="0057461A" w:rsidP="0057461A">
                  <w:pPr>
                    <w:spacing w:after="60"/>
                    <w:rPr>
                      <w:sz w:val="20"/>
                    </w:rPr>
                  </w:pPr>
                  <w:r w:rsidRPr="00027F85">
                    <w:rPr>
                      <w:sz w:val="20"/>
                    </w:rPr>
                    <w:t>None</w:t>
                  </w:r>
                </w:p>
              </w:tc>
              <w:tc>
                <w:tcPr>
                  <w:tcW w:w="3629" w:type="pct"/>
                </w:tcPr>
                <w:p w14:paraId="0C907A89" w14:textId="77777777" w:rsidR="0057461A" w:rsidRPr="00027F85" w:rsidRDefault="0057461A" w:rsidP="0057461A">
                  <w:pPr>
                    <w:spacing w:after="60"/>
                    <w:rPr>
                      <w:i/>
                      <w:sz w:val="20"/>
                    </w:rPr>
                  </w:pPr>
                  <w:r w:rsidRPr="00027F85">
                    <w:rPr>
                      <w:i/>
                      <w:sz w:val="20"/>
                    </w:rPr>
                    <w:t xml:space="preserve">Must-Run </w:t>
                  </w:r>
                  <w:r w:rsidRPr="00027F85">
                    <w:rPr>
                      <w:i/>
                      <w:iCs/>
                      <w:sz w:val="20"/>
                    </w:rPr>
                    <w:t xml:space="preserve">Alternative </w:t>
                  </w:r>
                  <w:r w:rsidRPr="00027F85">
                    <w:rPr>
                      <w:i/>
                      <w:sz w:val="20"/>
                    </w:rPr>
                    <w:t>Availability Reduction Factor per QSE per Resource</w:t>
                  </w:r>
                  <w:r w:rsidRPr="00027F85">
                    <w:rPr>
                      <w:sz w:val="20"/>
                    </w:rPr>
                    <w:t xml:space="preserve">—The availability reduction factor of </w:t>
                  </w:r>
                  <w:r>
                    <w:rPr>
                      <w:sz w:val="20"/>
                    </w:rPr>
                    <w:t>MRA</w:t>
                  </w:r>
                  <w:r w:rsidRPr="00027F85">
                    <w:rPr>
                      <w:sz w:val="20"/>
                    </w:rPr>
                    <w:t xml:space="preserve"> </w:t>
                  </w:r>
                  <w:r w:rsidRPr="00027F85">
                    <w:rPr>
                      <w:i/>
                      <w:sz w:val="20"/>
                    </w:rPr>
                    <w:t>r</w:t>
                  </w:r>
                  <w:r w:rsidRPr="00027F85">
                    <w:rPr>
                      <w:sz w:val="20"/>
                    </w:rPr>
                    <w:t xml:space="preserve"> represented by QSE </w:t>
                  </w:r>
                  <w:r w:rsidRPr="00027F85">
                    <w:rPr>
                      <w:i/>
                      <w:sz w:val="20"/>
                    </w:rPr>
                    <w:t>q</w:t>
                  </w:r>
                  <w:r w:rsidRPr="00027F85">
                    <w:rPr>
                      <w:sz w:val="20"/>
                    </w:rPr>
                    <w:t xml:space="preserve">, for each hour of the </w:t>
                  </w:r>
                  <w:r>
                    <w:rPr>
                      <w:sz w:val="20"/>
                    </w:rPr>
                    <w:t xml:space="preserve">MRA Contracted Month </w:t>
                  </w:r>
                  <w:r w:rsidRPr="00BB7973">
                    <w:rPr>
                      <w:i/>
                      <w:sz w:val="20"/>
                    </w:rPr>
                    <w:t>m</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3CC299EA" w14:textId="77777777" w:rsidTr="00086215">
              <w:trPr>
                <w:cantSplit/>
              </w:trPr>
              <w:tc>
                <w:tcPr>
                  <w:tcW w:w="949" w:type="pct"/>
                </w:tcPr>
                <w:p w14:paraId="7041B484" w14:textId="77777777" w:rsidR="0057461A" w:rsidRPr="00590FA9" w:rsidRDefault="0057461A" w:rsidP="0057461A">
                  <w:pPr>
                    <w:spacing w:after="60"/>
                    <w:rPr>
                      <w:sz w:val="20"/>
                    </w:rPr>
                  </w:pPr>
                  <w:r w:rsidRPr="00027F85">
                    <w:rPr>
                      <w:sz w:val="20"/>
                    </w:rPr>
                    <w:t>MRATCAPA</w:t>
                  </w:r>
                  <w:r w:rsidRPr="00027F85">
                    <w:rPr>
                      <w:sz w:val="20"/>
                      <w:vertAlign w:val="subscript"/>
                    </w:rPr>
                    <w:t xml:space="preserve"> </w:t>
                  </w:r>
                  <w:r w:rsidRPr="00027F85">
                    <w:rPr>
                      <w:i/>
                      <w:sz w:val="20"/>
                      <w:vertAlign w:val="subscript"/>
                    </w:rPr>
                    <w:t>q, r, m</w:t>
                  </w:r>
                </w:p>
              </w:tc>
              <w:tc>
                <w:tcPr>
                  <w:tcW w:w="422" w:type="pct"/>
                </w:tcPr>
                <w:p w14:paraId="23B72171" w14:textId="77777777" w:rsidR="0057461A" w:rsidRPr="007B68C7" w:rsidRDefault="0057461A" w:rsidP="0057461A">
                  <w:pPr>
                    <w:spacing w:after="60"/>
                    <w:rPr>
                      <w:sz w:val="20"/>
                    </w:rPr>
                  </w:pPr>
                  <w:r w:rsidRPr="00845E5C">
                    <w:rPr>
                      <w:sz w:val="20"/>
                    </w:rPr>
                    <w:t>MW</w:t>
                  </w:r>
                </w:p>
              </w:tc>
              <w:tc>
                <w:tcPr>
                  <w:tcW w:w="3629" w:type="pct"/>
                </w:tcPr>
                <w:p w14:paraId="438ABEB2" w14:textId="77777777" w:rsidR="0057461A" w:rsidRPr="00845E5C" w:rsidRDefault="0057461A" w:rsidP="0057461A">
                  <w:pPr>
                    <w:spacing w:after="60"/>
                    <w:rPr>
                      <w:i/>
                      <w:sz w:val="20"/>
                    </w:rPr>
                  </w:pPr>
                  <w:r w:rsidRPr="007B68C7">
                    <w:rPr>
                      <w:i/>
                      <w:sz w:val="20"/>
                    </w:rPr>
                    <w:t xml:space="preserve">Must-Run </w:t>
                  </w:r>
                  <w:r w:rsidRPr="00027F85">
                    <w:rPr>
                      <w:i/>
                      <w:iCs/>
                      <w:sz w:val="20"/>
                    </w:rPr>
                    <w:t xml:space="preserve">Alternative </w:t>
                  </w:r>
                  <w:r w:rsidRPr="00590FA9">
                    <w:rPr>
                      <w:i/>
                      <w:sz w:val="20"/>
                    </w:rPr>
                    <w:t xml:space="preserve">Testing Capacity Adjustment </w:t>
                  </w:r>
                  <w:r w:rsidRPr="00845E5C">
                    <w:rPr>
                      <w:i/>
                      <w:sz w:val="20"/>
                    </w:rPr>
                    <w:t>per month</w:t>
                  </w:r>
                  <w:r w:rsidRPr="00590FA9">
                    <w:rPr>
                      <w:sz w:val="20"/>
                    </w:rPr>
                    <w:t>—The testing capacity adjustment factor</w:t>
                  </w:r>
                  <w:r w:rsidRPr="007B68C7">
                    <w:rPr>
                      <w:sz w:val="20"/>
                    </w:rPr>
                    <w:t xml:space="preserve"> of an </w:t>
                  </w:r>
                  <w:r>
                    <w:rPr>
                      <w:sz w:val="20"/>
                    </w:rPr>
                    <w:t>MRA</w:t>
                  </w:r>
                  <w:r w:rsidRPr="00590FA9">
                    <w:rPr>
                      <w:i/>
                      <w:sz w:val="20"/>
                    </w:rPr>
                    <w:t xml:space="preserve"> r</w:t>
                  </w:r>
                  <w:r w:rsidRPr="00590FA9">
                    <w:rPr>
                      <w:sz w:val="20"/>
                    </w:rPr>
                    <w:t xml:space="preserve"> represented by QSE </w:t>
                  </w:r>
                  <w:r w:rsidRPr="00590FA9">
                    <w:rPr>
                      <w:i/>
                      <w:sz w:val="20"/>
                    </w:rPr>
                    <w:t>q</w:t>
                  </w:r>
                  <w:r w:rsidRPr="00590FA9">
                    <w:rPr>
                      <w:sz w:val="20"/>
                    </w:rPr>
                    <w:t xml:space="preserve">, for </w:t>
                  </w:r>
                  <w:r w:rsidRPr="00845E5C">
                    <w:rPr>
                      <w:sz w:val="20"/>
                    </w:rPr>
                    <w:t xml:space="preserve">each hour of the </w:t>
                  </w:r>
                  <w:r>
                    <w:rPr>
                      <w:sz w:val="20"/>
                    </w:rPr>
                    <w:t xml:space="preserve">MRA Contracted Month </w:t>
                  </w:r>
                  <w:r w:rsidRPr="00BB7973">
                    <w:rPr>
                      <w:i/>
                      <w:sz w:val="20"/>
                    </w:rPr>
                    <w:t>m</w:t>
                  </w:r>
                  <w:r w:rsidRPr="00590FA9">
                    <w:rPr>
                      <w:sz w:val="20"/>
                    </w:rPr>
                    <w:t xml:space="preserve">.  Where for a Combined Cycle Train, the Resource </w:t>
                  </w:r>
                  <w:r w:rsidRPr="00590FA9">
                    <w:rPr>
                      <w:i/>
                      <w:sz w:val="20"/>
                    </w:rPr>
                    <w:t xml:space="preserve">r </w:t>
                  </w:r>
                  <w:r w:rsidRPr="00590FA9">
                    <w:rPr>
                      <w:sz w:val="20"/>
                    </w:rPr>
                    <w:t>is the Combined Cycle Train.</w:t>
                  </w:r>
                </w:p>
              </w:tc>
            </w:tr>
            <w:tr w:rsidR="0057461A" w:rsidRPr="00027F85" w14:paraId="0CC78211" w14:textId="77777777" w:rsidTr="00086215">
              <w:trPr>
                <w:cantSplit/>
              </w:trPr>
              <w:tc>
                <w:tcPr>
                  <w:tcW w:w="949" w:type="pct"/>
                </w:tcPr>
                <w:p w14:paraId="10978B64" w14:textId="77777777" w:rsidR="0057461A" w:rsidRPr="00845E5C" w:rsidRDefault="0057461A" w:rsidP="0057461A">
                  <w:pPr>
                    <w:spacing w:after="60"/>
                    <w:rPr>
                      <w:sz w:val="20"/>
                    </w:rPr>
                  </w:pPr>
                  <w:r w:rsidRPr="00027F85">
                    <w:rPr>
                      <w:sz w:val="20"/>
                    </w:rPr>
                    <w:lastRenderedPageBreak/>
                    <w:t xml:space="preserve">MRATCAP </w:t>
                  </w:r>
                  <w:r w:rsidRPr="00027F85">
                    <w:rPr>
                      <w:i/>
                      <w:sz w:val="20"/>
                      <w:vertAlign w:val="subscript"/>
                    </w:rPr>
                    <w:t>q, r</w:t>
                  </w:r>
                  <w:r w:rsidRPr="00590FA9">
                    <w:rPr>
                      <w:i/>
                      <w:sz w:val="20"/>
                      <w:vertAlign w:val="subscript"/>
                    </w:rPr>
                    <w:t>, m</w:t>
                  </w:r>
                </w:p>
              </w:tc>
              <w:tc>
                <w:tcPr>
                  <w:tcW w:w="422" w:type="pct"/>
                </w:tcPr>
                <w:p w14:paraId="20CB2597" w14:textId="77777777" w:rsidR="0057461A" w:rsidRPr="00027F85" w:rsidRDefault="0057461A" w:rsidP="0057461A">
                  <w:pPr>
                    <w:spacing w:after="60"/>
                    <w:rPr>
                      <w:sz w:val="20"/>
                    </w:rPr>
                  </w:pPr>
                  <w:r w:rsidRPr="00027F85">
                    <w:rPr>
                      <w:sz w:val="20"/>
                    </w:rPr>
                    <w:t>MW</w:t>
                  </w:r>
                </w:p>
              </w:tc>
              <w:tc>
                <w:tcPr>
                  <w:tcW w:w="3629" w:type="pct"/>
                </w:tcPr>
                <w:p w14:paraId="2C6DD66B" w14:textId="77777777" w:rsidR="0057461A" w:rsidRPr="00845E5C" w:rsidRDefault="0057461A" w:rsidP="0057461A">
                  <w:pPr>
                    <w:spacing w:after="60"/>
                    <w:rPr>
                      <w:i/>
                      <w:sz w:val="20"/>
                    </w:rPr>
                  </w:pPr>
                  <w:r w:rsidRPr="00027F85">
                    <w:rPr>
                      <w:i/>
                      <w:sz w:val="20"/>
                    </w:rPr>
                    <w:t xml:space="preserve">Must-Run </w:t>
                  </w:r>
                  <w:r w:rsidRPr="00027F85">
                    <w:rPr>
                      <w:i/>
                      <w:iCs/>
                      <w:sz w:val="20"/>
                    </w:rPr>
                    <w:t xml:space="preserve">Alternative </w:t>
                  </w:r>
                  <w:r w:rsidRPr="00027F85">
                    <w:rPr>
                      <w:i/>
                      <w:sz w:val="20"/>
                    </w:rPr>
                    <w:t xml:space="preserve">Testing Capacity </w:t>
                  </w:r>
                  <w:r w:rsidRPr="00590FA9">
                    <w:rPr>
                      <w:i/>
                      <w:sz w:val="20"/>
                    </w:rPr>
                    <w:t>per month</w:t>
                  </w:r>
                  <w:r w:rsidRPr="00845E5C">
                    <w:rPr>
                      <w:sz w:val="20"/>
                    </w:rPr>
                    <w:t>—The</w:t>
                  </w:r>
                  <w:r w:rsidRPr="00590FA9">
                    <w:rPr>
                      <w:sz w:val="20"/>
                    </w:rPr>
                    <w:t xml:space="preserve"> </w:t>
                  </w:r>
                  <w:r w:rsidRPr="00845E5C">
                    <w:rPr>
                      <w:sz w:val="20"/>
                    </w:rPr>
                    <w:t xml:space="preserve">testing capacity </w:t>
                  </w:r>
                  <w:r w:rsidRPr="00590FA9">
                    <w:rPr>
                      <w:sz w:val="20"/>
                    </w:rPr>
                    <w:t xml:space="preserve">value </w:t>
                  </w:r>
                  <w:r w:rsidRPr="00845E5C">
                    <w:rPr>
                      <w:sz w:val="20"/>
                    </w:rPr>
                    <w:t xml:space="preserve">of </w:t>
                  </w:r>
                  <w:r>
                    <w:rPr>
                      <w:sz w:val="20"/>
                    </w:rPr>
                    <w:t>MRA</w:t>
                  </w:r>
                  <w:r w:rsidRPr="00027F85">
                    <w:rPr>
                      <w:i/>
                      <w:sz w:val="20"/>
                    </w:rPr>
                    <w:t xml:space="preserve"> r</w:t>
                  </w:r>
                  <w:r w:rsidRPr="00027F85">
                    <w:rPr>
                      <w:sz w:val="20"/>
                    </w:rPr>
                    <w:t xml:space="preserve"> represented by QSE </w:t>
                  </w:r>
                  <w:r w:rsidRPr="00027F85">
                    <w:rPr>
                      <w:i/>
                      <w:sz w:val="20"/>
                    </w:rPr>
                    <w:t>q</w:t>
                  </w:r>
                  <w:r w:rsidRPr="00027F85">
                    <w:rPr>
                      <w:sz w:val="20"/>
                    </w:rPr>
                    <w:t xml:space="preserve">, for each hour of the </w:t>
                  </w:r>
                  <w:r>
                    <w:rPr>
                      <w:sz w:val="20"/>
                    </w:rPr>
                    <w:t xml:space="preserve">MRA Contracted Month </w:t>
                  </w:r>
                  <w:r w:rsidRPr="00BB7973">
                    <w:rPr>
                      <w:i/>
                      <w:sz w:val="20"/>
                    </w:rPr>
                    <w:t>m</w:t>
                  </w:r>
                  <w:r w:rsidRPr="00027F85">
                    <w:rPr>
                      <w:sz w:val="20"/>
                    </w:rPr>
                    <w:t xml:space="preserve">. </w:t>
                  </w:r>
                  <w:r>
                    <w:rPr>
                      <w:sz w:val="20"/>
                    </w:rPr>
                    <w:t xml:space="preserve"> </w:t>
                  </w:r>
                  <w:r w:rsidRPr="00F60B02">
                    <w:rPr>
                      <w:sz w:val="20"/>
                    </w:rPr>
                    <w:t>If the MRA</w:t>
                  </w:r>
                  <w:r>
                    <w:rPr>
                      <w:sz w:val="20"/>
                    </w:rPr>
                    <w:t>TCAP</w:t>
                  </w:r>
                  <w:r w:rsidRPr="00F60B02">
                    <w:rPr>
                      <w:sz w:val="20"/>
                    </w:rPr>
                    <w:t xml:space="preserve"> </w:t>
                  </w:r>
                  <w:r>
                    <w:rPr>
                      <w:sz w:val="20"/>
                    </w:rPr>
                    <w:t xml:space="preserve">for </w:t>
                  </w:r>
                  <w:r w:rsidRPr="00F60B02">
                    <w:rPr>
                      <w:sz w:val="20"/>
                    </w:rPr>
                    <w:t>the month is not available then the most recent MRA</w:t>
                  </w:r>
                  <w:r>
                    <w:rPr>
                      <w:sz w:val="20"/>
                    </w:rPr>
                    <w:t>TCAP</w:t>
                  </w:r>
                  <w:r w:rsidRPr="00F60B02">
                    <w:rPr>
                      <w:sz w:val="20"/>
                    </w:rPr>
                    <w:t xml:space="preserve"> prior to month of the Operating Day shall be used. </w:t>
                  </w:r>
                  <w:r>
                    <w:rPr>
                      <w:sz w:val="20"/>
                    </w:rPr>
                    <w:t xml:space="preserve"> </w:t>
                  </w:r>
                  <w:r w:rsidRPr="00F60B02">
                    <w:rPr>
                      <w:sz w:val="20"/>
                    </w:rPr>
                    <w:t>If no previous MRA</w:t>
                  </w:r>
                  <w:r>
                    <w:rPr>
                      <w:sz w:val="20"/>
                    </w:rPr>
                    <w:t>TCAP</w:t>
                  </w:r>
                  <w:r w:rsidRPr="00F60B02">
                    <w:rPr>
                      <w:sz w:val="20"/>
                    </w:rPr>
                    <w:t xml:space="preserve"> is available</w:t>
                  </w:r>
                  <w:r>
                    <w:rPr>
                      <w:sz w:val="20"/>
                    </w:rPr>
                    <w:t>,</w:t>
                  </w:r>
                  <w:r w:rsidRPr="00F60B02">
                    <w:rPr>
                      <w:sz w:val="20"/>
                    </w:rPr>
                    <w:t xml:space="preserve"> then MRA</w:t>
                  </w:r>
                  <w:r>
                    <w:rPr>
                      <w:sz w:val="20"/>
                    </w:rPr>
                    <w:t>TCAP</w:t>
                  </w:r>
                  <w:r w:rsidRPr="00F60B02">
                    <w:rPr>
                      <w:sz w:val="20"/>
                    </w:rPr>
                    <w:t xml:space="preserve"> shall</w:t>
                  </w:r>
                  <w:r>
                    <w:rPr>
                      <w:sz w:val="20"/>
                    </w:rPr>
                    <w:t xml:space="preserve"> be set to </w:t>
                  </w:r>
                  <w:r w:rsidRPr="00590FA9">
                    <w:rPr>
                      <w:sz w:val="20"/>
                    </w:rPr>
                    <w:t>MRACCAP</w:t>
                  </w:r>
                  <w:r w:rsidRPr="00F60B02">
                    <w:rPr>
                      <w:sz w:val="20"/>
                    </w:rPr>
                    <w:t>.</w:t>
                  </w:r>
                  <w:r>
                    <w:rPr>
                      <w:sz w:val="20"/>
                    </w:rPr>
                    <w:t xml:space="preserve">  </w:t>
                  </w:r>
                  <w:r w:rsidRPr="00027F85">
                    <w:rPr>
                      <w:sz w:val="20"/>
                    </w:rPr>
                    <w:t xml:space="preserve">Where for a Combined Cycle Train, the Resource </w:t>
                  </w:r>
                  <w:r w:rsidRPr="00027F85">
                    <w:rPr>
                      <w:i/>
                      <w:sz w:val="20"/>
                    </w:rPr>
                    <w:t xml:space="preserve">r </w:t>
                  </w:r>
                  <w:r w:rsidRPr="00027F85">
                    <w:rPr>
                      <w:sz w:val="20"/>
                    </w:rPr>
                    <w:t>is a Combined Cycle Train.</w:t>
                  </w:r>
                  <w:r w:rsidRPr="00590FA9">
                    <w:rPr>
                      <w:sz w:val="20"/>
                    </w:rPr>
                    <w:t xml:space="preserve"> </w:t>
                  </w:r>
                </w:p>
              </w:tc>
            </w:tr>
            <w:tr w:rsidR="0057461A" w:rsidRPr="00027F85" w14:paraId="4BBFA75D" w14:textId="77777777" w:rsidTr="00086215">
              <w:trPr>
                <w:cantSplit/>
              </w:trPr>
              <w:tc>
                <w:tcPr>
                  <w:tcW w:w="949" w:type="pct"/>
                </w:tcPr>
                <w:p w14:paraId="5CD58CAF" w14:textId="77777777" w:rsidR="0057461A" w:rsidRPr="00027F85" w:rsidRDefault="0057461A" w:rsidP="0057461A">
                  <w:pPr>
                    <w:spacing w:after="60"/>
                    <w:rPr>
                      <w:iCs/>
                      <w:sz w:val="20"/>
                    </w:rPr>
                  </w:pPr>
                  <w:r w:rsidRPr="00027F85">
                    <w:rPr>
                      <w:sz w:val="20"/>
                    </w:rPr>
                    <w:t xml:space="preserve">MRATA </w:t>
                  </w:r>
                  <w:r w:rsidRPr="00027F85">
                    <w:rPr>
                      <w:i/>
                      <w:sz w:val="20"/>
                      <w:vertAlign w:val="subscript"/>
                    </w:rPr>
                    <w:t>q, r,</w:t>
                  </w:r>
                  <w:r>
                    <w:rPr>
                      <w:i/>
                      <w:sz w:val="20"/>
                      <w:vertAlign w:val="subscript"/>
                    </w:rPr>
                    <w:t xml:space="preserve"> </w:t>
                  </w:r>
                  <w:r w:rsidRPr="00027F85">
                    <w:rPr>
                      <w:i/>
                      <w:sz w:val="20"/>
                      <w:vertAlign w:val="subscript"/>
                    </w:rPr>
                    <w:t>m</w:t>
                  </w:r>
                </w:p>
              </w:tc>
              <w:tc>
                <w:tcPr>
                  <w:tcW w:w="422" w:type="pct"/>
                </w:tcPr>
                <w:p w14:paraId="0782EC7F" w14:textId="77777777" w:rsidR="0057461A" w:rsidRPr="00027F85" w:rsidRDefault="0057461A" w:rsidP="0057461A">
                  <w:pPr>
                    <w:spacing w:after="60"/>
                    <w:rPr>
                      <w:iCs/>
                      <w:sz w:val="20"/>
                    </w:rPr>
                  </w:pPr>
                  <w:r w:rsidRPr="00027F85">
                    <w:rPr>
                      <w:sz w:val="20"/>
                    </w:rPr>
                    <w:t>None</w:t>
                  </w:r>
                </w:p>
              </w:tc>
              <w:tc>
                <w:tcPr>
                  <w:tcW w:w="3629" w:type="pct"/>
                </w:tcPr>
                <w:p w14:paraId="44B76C39" w14:textId="77777777" w:rsidR="0057461A" w:rsidRPr="00027F85" w:rsidRDefault="0057461A" w:rsidP="0057461A">
                  <w:pPr>
                    <w:spacing w:after="60"/>
                    <w:rPr>
                      <w:i/>
                      <w:iCs/>
                      <w:sz w:val="20"/>
                    </w:rPr>
                  </w:pPr>
                  <w:r w:rsidRPr="00027F85">
                    <w:rPr>
                      <w:i/>
                      <w:sz w:val="20"/>
                    </w:rPr>
                    <w:t>Must-Run Alternative Target Availability per QSE per Resource per Month</w:t>
                  </w:r>
                  <w:r w:rsidRPr="00027F85">
                    <w:rPr>
                      <w:sz w:val="20"/>
                    </w:rPr>
                    <w:t xml:space="preserve">—The monthly Target Availability of </w:t>
                  </w:r>
                  <w:r>
                    <w:rPr>
                      <w:sz w:val="20"/>
                    </w:rPr>
                    <w:t>MRA</w:t>
                  </w:r>
                  <w:r w:rsidRPr="00027F85">
                    <w:rPr>
                      <w:i/>
                      <w:sz w:val="20"/>
                    </w:rPr>
                    <w:t xml:space="preserve"> r</w:t>
                  </w:r>
                  <w:r w:rsidRPr="00027F85">
                    <w:rPr>
                      <w:sz w:val="20"/>
                    </w:rPr>
                    <w:t xml:space="preserve"> represented by QSE </w:t>
                  </w:r>
                  <w:r w:rsidRPr="00027F85">
                    <w:rPr>
                      <w:i/>
                      <w:sz w:val="20"/>
                    </w:rPr>
                    <w:t>q</w:t>
                  </w:r>
                  <w:r w:rsidRPr="00027F85">
                    <w:rPr>
                      <w:sz w:val="20"/>
                    </w:rPr>
                    <w:t xml:space="preserve">, as specified in the MRA Agreement and divided by 100 to convert a percentage to a fraction.  Where for a Combined Cycle Train, the Resource </w:t>
                  </w:r>
                  <w:r w:rsidRPr="00027F85">
                    <w:rPr>
                      <w:i/>
                      <w:sz w:val="20"/>
                    </w:rPr>
                    <w:t xml:space="preserve">r </w:t>
                  </w:r>
                  <w:r w:rsidRPr="00027F85">
                    <w:rPr>
                      <w:sz w:val="20"/>
                    </w:rPr>
                    <w:t>is a Combined Cycle Train.</w:t>
                  </w:r>
                </w:p>
              </w:tc>
            </w:tr>
            <w:tr w:rsidR="0057461A" w:rsidRPr="00027F85" w14:paraId="640B4393" w14:textId="77777777" w:rsidTr="00086215">
              <w:trPr>
                <w:cantSplit/>
              </w:trPr>
              <w:tc>
                <w:tcPr>
                  <w:tcW w:w="949" w:type="pct"/>
                </w:tcPr>
                <w:p w14:paraId="128480C4" w14:textId="77777777" w:rsidR="0057461A" w:rsidRPr="00590FA9" w:rsidRDefault="0057461A" w:rsidP="0057461A">
                  <w:pPr>
                    <w:spacing w:after="60"/>
                    <w:rPr>
                      <w:strike/>
                      <w:sz w:val="20"/>
                    </w:rPr>
                  </w:pPr>
                  <w:r w:rsidRPr="00027F85">
                    <w:rPr>
                      <w:sz w:val="20"/>
                    </w:rPr>
                    <w:t xml:space="preserve">MRACMAF </w:t>
                  </w:r>
                  <w:r w:rsidRPr="00027F85">
                    <w:rPr>
                      <w:i/>
                      <w:sz w:val="20"/>
                      <w:vertAlign w:val="subscript"/>
                    </w:rPr>
                    <w:t>q, r, m</w:t>
                  </w:r>
                </w:p>
              </w:tc>
              <w:tc>
                <w:tcPr>
                  <w:tcW w:w="422" w:type="pct"/>
                </w:tcPr>
                <w:p w14:paraId="004C9ADA" w14:textId="77777777" w:rsidR="0057461A" w:rsidRPr="00590FA9" w:rsidRDefault="0057461A" w:rsidP="0057461A">
                  <w:pPr>
                    <w:spacing w:after="60"/>
                    <w:rPr>
                      <w:strike/>
                      <w:sz w:val="20"/>
                    </w:rPr>
                  </w:pPr>
                  <w:r w:rsidRPr="00027F85">
                    <w:rPr>
                      <w:sz w:val="20"/>
                    </w:rPr>
                    <w:t>None</w:t>
                  </w:r>
                </w:p>
              </w:tc>
              <w:tc>
                <w:tcPr>
                  <w:tcW w:w="3629" w:type="pct"/>
                </w:tcPr>
                <w:p w14:paraId="15DD40CA" w14:textId="77777777" w:rsidR="0057461A" w:rsidRPr="00590FA9" w:rsidRDefault="0057461A" w:rsidP="0057461A">
                  <w:pPr>
                    <w:spacing w:after="60"/>
                    <w:rPr>
                      <w:i/>
                      <w:strike/>
                      <w:sz w:val="20"/>
                    </w:rPr>
                  </w:pPr>
                  <w:r w:rsidRPr="00027F85">
                    <w:rPr>
                      <w:i/>
                      <w:sz w:val="20"/>
                    </w:rPr>
                    <w:t xml:space="preserve">Must-Run </w:t>
                  </w:r>
                  <w:r w:rsidRPr="00027F85">
                    <w:rPr>
                      <w:i/>
                      <w:iCs/>
                      <w:sz w:val="20"/>
                    </w:rPr>
                    <w:t xml:space="preserve">Alternative Calculated Monthly </w:t>
                  </w:r>
                  <w:r w:rsidRPr="00027F85">
                    <w:rPr>
                      <w:i/>
                      <w:sz w:val="20"/>
                    </w:rPr>
                    <w:t>Availabil</w:t>
                  </w:r>
                  <w:r>
                    <w:rPr>
                      <w:i/>
                      <w:sz w:val="20"/>
                    </w:rPr>
                    <w:t>ity Factor per QSE per Resource</w:t>
                  </w:r>
                  <w:r w:rsidRPr="00027F85">
                    <w:rPr>
                      <w:sz w:val="20"/>
                    </w:rPr>
                    <w:t xml:space="preserve">—The calculated monthly availability factor of </w:t>
                  </w:r>
                  <w:r>
                    <w:rPr>
                      <w:sz w:val="20"/>
                    </w:rPr>
                    <w:t>MRA</w:t>
                  </w:r>
                  <w:r w:rsidRPr="00027F85">
                    <w:rPr>
                      <w:sz w:val="20"/>
                    </w:rPr>
                    <w:t xml:space="preserve"> </w:t>
                  </w:r>
                  <w:r w:rsidRPr="00027F85">
                    <w:rPr>
                      <w:i/>
                      <w:sz w:val="20"/>
                    </w:rPr>
                    <w:t>r</w:t>
                  </w:r>
                  <w:r w:rsidRPr="00027F85">
                    <w:rPr>
                      <w:sz w:val="20"/>
                    </w:rPr>
                    <w:t xml:space="preserve"> represented by QSE </w:t>
                  </w:r>
                  <w:r w:rsidRPr="00027F85">
                    <w:rPr>
                      <w:i/>
                      <w:sz w:val="20"/>
                    </w:rPr>
                    <w:t>q</w:t>
                  </w:r>
                  <w:r w:rsidRPr="00027F85">
                    <w:rPr>
                      <w:sz w:val="20"/>
                    </w:rPr>
                    <w:t xml:space="preserve">.  Where for a Combined Cycle Train, the Resource </w:t>
                  </w:r>
                  <w:r w:rsidRPr="00027F85">
                    <w:rPr>
                      <w:i/>
                      <w:sz w:val="20"/>
                    </w:rPr>
                    <w:t xml:space="preserve">r </w:t>
                  </w:r>
                  <w:r w:rsidRPr="00027F85">
                    <w:rPr>
                      <w:sz w:val="20"/>
                    </w:rPr>
                    <w:t>is the Combined Cycle Train</w:t>
                  </w:r>
                  <w:r w:rsidRPr="00845E5C">
                    <w:rPr>
                      <w:sz w:val="20"/>
                    </w:rPr>
                    <w:t>.</w:t>
                  </w:r>
                </w:p>
              </w:tc>
            </w:tr>
            <w:tr w:rsidR="0057461A" w:rsidRPr="00027F85" w14:paraId="22B1396E" w14:textId="77777777" w:rsidTr="00086215">
              <w:trPr>
                <w:cantSplit/>
              </w:trPr>
              <w:tc>
                <w:tcPr>
                  <w:tcW w:w="949" w:type="pct"/>
                </w:tcPr>
                <w:p w14:paraId="1F2C3D78" w14:textId="77777777" w:rsidR="0057461A" w:rsidRPr="00027F85" w:rsidRDefault="0057461A" w:rsidP="0057461A">
                  <w:pPr>
                    <w:spacing w:after="60"/>
                    <w:rPr>
                      <w:sz w:val="20"/>
                    </w:rPr>
                  </w:pPr>
                  <w:r w:rsidRPr="00027F85">
                    <w:rPr>
                      <w:sz w:val="20"/>
                    </w:rPr>
                    <w:t xml:space="preserve">MRAMAH </w:t>
                  </w:r>
                  <w:r w:rsidRPr="00027F85">
                    <w:rPr>
                      <w:i/>
                      <w:sz w:val="20"/>
                      <w:vertAlign w:val="subscript"/>
                    </w:rPr>
                    <w:t>q, r</w:t>
                  </w:r>
                  <w:r>
                    <w:rPr>
                      <w:i/>
                      <w:sz w:val="20"/>
                      <w:vertAlign w:val="subscript"/>
                    </w:rPr>
                    <w:t>, h</w:t>
                  </w:r>
                </w:p>
              </w:tc>
              <w:tc>
                <w:tcPr>
                  <w:tcW w:w="422" w:type="pct"/>
                </w:tcPr>
                <w:p w14:paraId="7F3EF331" w14:textId="77777777" w:rsidR="0057461A" w:rsidRPr="00027F85" w:rsidRDefault="0057461A" w:rsidP="0057461A">
                  <w:pPr>
                    <w:spacing w:after="60"/>
                    <w:rPr>
                      <w:sz w:val="20"/>
                    </w:rPr>
                  </w:pPr>
                  <w:r w:rsidRPr="00027F85">
                    <w:rPr>
                      <w:sz w:val="20"/>
                    </w:rPr>
                    <w:t>Hour</w:t>
                  </w:r>
                </w:p>
              </w:tc>
              <w:tc>
                <w:tcPr>
                  <w:tcW w:w="3629" w:type="pct"/>
                </w:tcPr>
                <w:p w14:paraId="2D048D65" w14:textId="10130217" w:rsidR="0057461A" w:rsidRPr="007B68C7" w:rsidRDefault="0057461A" w:rsidP="0057461A">
                  <w:pPr>
                    <w:spacing w:after="60"/>
                    <w:rPr>
                      <w:i/>
                      <w:sz w:val="20"/>
                    </w:rPr>
                  </w:pPr>
                  <w:r w:rsidRPr="00027F85">
                    <w:rPr>
                      <w:i/>
                      <w:sz w:val="20"/>
                    </w:rPr>
                    <w:t>Number of Available Hours in the Month per QSE per Resource</w:t>
                  </w:r>
                  <w:r w:rsidRPr="00027F85">
                    <w:rPr>
                      <w:sz w:val="20"/>
                    </w:rPr>
                    <w:t>—</w:t>
                  </w:r>
                  <w:r>
                    <w:rPr>
                      <w:sz w:val="20"/>
                    </w:rPr>
                    <w:t xml:space="preserve"> For </w:t>
                  </w:r>
                  <w:r w:rsidRPr="0049712A">
                    <w:rPr>
                      <w:bCs/>
                      <w:color w:val="000000"/>
                      <w:sz w:val="20"/>
                      <w:lang w:val="pt-BR"/>
                    </w:rPr>
                    <w:t xml:space="preserve">an </w:t>
                  </w:r>
                  <w:r>
                    <w:rPr>
                      <w:bCs/>
                      <w:color w:val="000000"/>
                      <w:sz w:val="20"/>
                      <w:lang w:val="pt-BR"/>
                    </w:rPr>
                    <w:t>MRA</w:t>
                  </w:r>
                  <w:r w:rsidRPr="0049712A">
                    <w:rPr>
                      <w:bCs/>
                      <w:color w:val="000000"/>
                      <w:sz w:val="20"/>
                      <w:lang w:val="pt-BR"/>
                    </w:rPr>
                    <w:t xml:space="preserve"> registered as a Generation Resource</w:t>
                  </w:r>
                  <w:r w:rsidR="00086215">
                    <w:rPr>
                      <w:bCs/>
                      <w:color w:val="000000"/>
                      <w:sz w:val="20"/>
                      <w:lang w:val="pt-BR"/>
                    </w:rPr>
                    <w:t xml:space="preserve"> or ESR</w:t>
                  </w:r>
                  <w:r>
                    <w:rPr>
                      <w:sz w:val="20"/>
                    </w:rPr>
                    <w:t>, t</w:t>
                  </w:r>
                  <w:r w:rsidRPr="00027F85">
                    <w:rPr>
                      <w:sz w:val="20"/>
                    </w:rPr>
                    <w:t xml:space="preserve">he total number of hours in the month when the </w:t>
                  </w:r>
                  <w:r>
                    <w:rPr>
                      <w:sz w:val="20"/>
                    </w:rPr>
                    <w:t>MRA</w:t>
                  </w:r>
                  <w:r w:rsidRPr="00027F85">
                    <w:rPr>
                      <w:sz w:val="20"/>
                    </w:rPr>
                    <w:t xml:space="preserve"> </w:t>
                  </w:r>
                  <w:r w:rsidRPr="009701A9">
                    <w:rPr>
                      <w:i/>
                      <w:sz w:val="20"/>
                    </w:rPr>
                    <w:t>r</w:t>
                  </w:r>
                  <w:r w:rsidRPr="00027F85">
                    <w:rPr>
                      <w:sz w:val="20"/>
                    </w:rPr>
                    <w:t xml:space="preserve"> represented by QSE </w:t>
                  </w:r>
                  <w:r w:rsidRPr="00027F85">
                    <w:rPr>
                      <w:i/>
                      <w:sz w:val="20"/>
                    </w:rPr>
                    <w:t>q</w:t>
                  </w:r>
                  <w:r w:rsidRPr="00027F85">
                    <w:rPr>
                      <w:sz w:val="20"/>
                    </w:rPr>
                    <w:t xml:space="preserve"> was available for the </w:t>
                  </w:r>
                  <w:r>
                    <w:rPr>
                      <w:sz w:val="20"/>
                    </w:rPr>
                    <w:t>MRA Contracted Hour</w:t>
                  </w:r>
                  <w:r w:rsidRPr="00027F85">
                    <w:rPr>
                      <w:sz w:val="20"/>
                    </w:rPr>
                    <w:t xml:space="preserve">s </w:t>
                  </w:r>
                  <w:r>
                    <w:rPr>
                      <w:sz w:val="20"/>
                    </w:rPr>
                    <w:t xml:space="preserve">if the MRA’s Availability Plan and </w:t>
                  </w:r>
                  <w:r w:rsidRPr="00027F85">
                    <w:rPr>
                      <w:sz w:val="20"/>
                    </w:rPr>
                    <w:t>telemetry</w:t>
                  </w:r>
                  <w:r>
                    <w:rPr>
                      <w:sz w:val="20"/>
                    </w:rPr>
                    <w:t xml:space="preserve"> both indicate availability for that hour</w:t>
                  </w:r>
                  <w:r w:rsidRPr="00027F85">
                    <w:rPr>
                      <w:sz w:val="20"/>
                    </w:rPr>
                    <w:t xml:space="preserve">.  Where for a Combined Cycle Train, the Resource </w:t>
                  </w:r>
                  <w:r w:rsidRPr="009701A9">
                    <w:rPr>
                      <w:i/>
                      <w:sz w:val="20"/>
                    </w:rPr>
                    <w:t>r</w:t>
                  </w:r>
                  <w:r w:rsidRPr="00027F85">
                    <w:rPr>
                      <w:sz w:val="20"/>
                    </w:rPr>
                    <w:t xml:space="preserve"> is the Combined Cycle Train.</w:t>
                  </w:r>
                </w:p>
              </w:tc>
            </w:tr>
            <w:tr w:rsidR="0057461A" w:rsidRPr="00027F85" w14:paraId="4D3679EB" w14:textId="77777777" w:rsidTr="00086215">
              <w:trPr>
                <w:cantSplit/>
              </w:trPr>
              <w:tc>
                <w:tcPr>
                  <w:tcW w:w="949" w:type="pct"/>
                </w:tcPr>
                <w:p w14:paraId="03F4ED5B" w14:textId="77777777" w:rsidR="0057461A" w:rsidRPr="00027F85" w:rsidRDefault="0057461A" w:rsidP="0057461A">
                  <w:pPr>
                    <w:spacing w:after="60"/>
                    <w:rPr>
                      <w:sz w:val="20"/>
                    </w:rPr>
                  </w:pPr>
                  <w:r>
                    <w:rPr>
                      <w:sz w:val="20"/>
                    </w:rPr>
                    <w:t>M</w:t>
                  </w:r>
                  <w:r w:rsidRPr="00027F85">
                    <w:rPr>
                      <w:sz w:val="20"/>
                    </w:rPr>
                    <w:t xml:space="preserve">H </w:t>
                  </w:r>
                  <w:r w:rsidRPr="00027F85">
                    <w:rPr>
                      <w:i/>
                      <w:sz w:val="20"/>
                      <w:vertAlign w:val="subscript"/>
                    </w:rPr>
                    <w:t>q, r</w:t>
                  </w:r>
                  <w:r>
                    <w:rPr>
                      <w:i/>
                      <w:sz w:val="20"/>
                      <w:vertAlign w:val="subscript"/>
                    </w:rPr>
                    <w:t>, m</w:t>
                  </w:r>
                </w:p>
              </w:tc>
              <w:tc>
                <w:tcPr>
                  <w:tcW w:w="422" w:type="pct"/>
                </w:tcPr>
                <w:p w14:paraId="66427EF8" w14:textId="77777777" w:rsidR="0057461A" w:rsidRPr="00027F85" w:rsidRDefault="0057461A" w:rsidP="0057461A">
                  <w:pPr>
                    <w:spacing w:after="60"/>
                    <w:rPr>
                      <w:sz w:val="20"/>
                    </w:rPr>
                  </w:pPr>
                  <w:r w:rsidRPr="00027F85">
                    <w:rPr>
                      <w:sz w:val="20"/>
                    </w:rPr>
                    <w:t>Hour</w:t>
                  </w:r>
                </w:p>
              </w:tc>
              <w:tc>
                <w:tcPr>
                  <w:tcW w:w="3629" w:type="pct"/>
                </w:tcPr>
                <w:p w14:paraId="200DD1CD" w14:textId="77777777" w:rsidR="0057461A" w:rsidRPr="00027F85" w:rsidRDefault="0057461A" w:rsidP="0057461A">
                  <w:pPr>
                    <w:spacing w:after="60"/>
                    <w:rPr>
                      <w:i/>
                      <w:sz w:val="20"/>
                    </w:rPr>
                  </w:pPr>
                  <w:r w:rsidRPr="00027F85">
                    <w:rPr>
                      <w:i/>
                      <w:sz w:val="20"/>
                    </w:rPr>
                    <w:t xml:space="preserve">Number of Total </w:t>
                  </w:r>
                  <w:r>
                    <w:rPr>
                      <w:i/>
                      <w:sz w:val="20"/>
                    </w:rPr>
                    <w:t xml:space="preserve">MRA </w:t>
                  </w:r>
                  <w:r w:rsidRPr="00027F85">
                    <w:rPr>
                      <w:i/>
                      <w:sz w:val="20"/>
                    </w:rPr>
                    <w:t>Contracted Hours in the Month per QSE per Resource</w:t>
                  </w:r>
                  <w:r w:rsidRPr="00027F85">
                    <w:rPr>
                      <w:sz w:val="20"/>
                    </w:rPr>
                    <w:t xml:space="preserve">—The total number of </w:t>
                  </w:r>
                  <w:r>
                    <w:rPr>
                      <w:sz w:val="20"/>
                    </w:rPr>
                    <w:t>MRA Contracted Hour</w:t>
                  </w:r>
                  <w:r w:rsidRPr="00027F85">
                    <w:rPr>
                      <w:sz w:val="20"/>
                    </w:rPr>
                    <w:t xml:space="preserve">s in the month for the </w:t>
                  </w:r>
                  <w:r>
                    <w:rPr>
                      <w:sz w:val="20"/>
                    </w:rPr>
                    <w:t>MRA</w:t>
                  </w:r>
                  <w:r w:rsidRPr="00027F85">
                    <w:rPr>
                      <w:i/>
                      <w:sz w:val="20"/>
                    </w:rPr>
                    <w:t xml:space="preserve"> r</w:t>
                  </w:r>
                  <w:r w:rsidRPr="00027F85">
                    <w:rPr>
                      <w:sz w:val="20"/>
                    </w:rPr>
                    <w:t xml:space="preserve"> represented by QSE </w:t>
                  </w:r>
                  <w:r w:rsidRPr="00027F85">
                    <w:rPr>
                      <w:i/>
                      <w:sz w:val="20"/>
                    </w:rPr>
                    <w:t>q</w:t>
                  </w:r>
                  <w:r w:rsidRPr="009701A9">
                    <w:rPr>
                      <w:sz w:val="20"/>
                    </w:rPr>
                    <w:t xml:space="preserve"> as indicated in the MRA Agreement</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4BCEDC71" w14:textId="77777777" w:rsidTr="00086215">
              <w:trPr>
                <w:cantSplit/>
              </w:trPr>
              <w:tc>
                <w:tcPr>
                  <w:tcW w:w="949" w:type="pct"/>
                </w:tcPr>
                <w:p w14:paraId="3DEFFB0C" w14:textId="77777777" w:rsidR="0057461A" w:rsidRPr="00027F85" w:rsidRDefault="0057461A" w:rsidP="0057461A">
                  <w:pPr>
                    <w:spacing w:after="60"/>
                    <w:rPr>
                      <w:sz w:val="20"/>
                    </w:rPr>
                  </w:pPr>
                  <w:r>
                    <w:rPr>
                      <w:i/>
                      <w:sz w:val="20"/>
                    </w:rPr>
                    <w:t>h</w:t>
                  </w:r>
                </w:p>
              </w:tc>
              <w:tc>
                <w:tcPr>
                  <w:tcW w:w="422" w:type="pct"/>
                </w:tcPr>
                <w:p w14:paraId="3A7ECA8F" w14:textId="77777777" w:rsidR="0057461A" w:rsidRPr="00027F85" w:rsidRDefault="0057461A" w:rsidP="0057461A">
                  <w:pPr>
                    <w:spacing w:after="60"/>
                    <w:rPr>
                      <w:sz w:val="20"/>
                    </w:rPr>
                  </w:pPr>
                  <w:r w:rsidRPr="00027F85">
                    <w:rPr>
                      <w:sz w:val="20"/>
                    </w:rPr>
                    <w:t>None</w:t>
                  </w:r>
                </w:p>
              </w:tc>
              <w:tc>
                <w:tcPr>
                  <w:tcW w:w="3629" w:type="pct"/>
                </w:tcPr>
                <w:p w14:paraId="2D2DA991" w14:textId="77777777" w:rsidR="0057461A" w:rsidRPr="00027F85" w:rsidRDefault="0057461A" w:rsidP="0057461A">
                  <w:pPr>
                    <w:spacing w:after="60"/>
                    <w:rPr>
                      <w:i/>
                      <w:sz w:val="20"/>
                    </w:rPr>
                  </w:pPr>
                  <w:r>
                    <w:rPr>
                      <w:sz w:val="20"/>
                    </w:rPr>
                    <w:t xml:space="preserve">A MRA Contracted Hour under the </w:t>
                  </w:r>
                  <w:r w:rsidRPr="00027F85">
                    <w:rPr>
                      <w:iCs/>
                      <w:sz w:val="20"/>
                    </w:rPr>
                    <w:t>MRA Agreement</w:t>
                  </w:r>
                  <w:r>
                    <w:rPr>
                      <w:sz w:val="20"/>
                    </w:rPr>
                    <w:t xml:space="preserve"> for the MRA Contracted month.</w:t>
                  </w:r>
                </w:p>
              </w:tc>
            </w:tr>
            <w:tr w:rsidR="0057461A" w:rsidRPr="00027F85" w14:paraId="116BB44C" w14:textId="77777777" w:rsidTr="00086215">
              <w:trPr>
                <w:cantSplit/>
              </w:trPr>
              <w:tc>
                <w:tcPr>
                  <w:tcW w:w="949" w:type="pct"/>
                </w:tcPr>
                <w:p w14:paraId="59EBC0CD" w14:textId="77777777" w:rsidR="0057461A" w:rsidRPr="00027F85" w:rsidRDefault="0057461A" w:rsidP="0057461A">
                  <w:pPr>
                    <w:spacing w:after="60"/>
                    <w:rPr>
                      <w:iCs/>
                      <w:sz w:val="20"/>
                    </w:rPr>
                  </w:pPr>
                  <w:r>
                    <w:rPr>
                      <w:i/>
                      <w:iCs/>
                      <w:sz w:val="20"/>
                    </w:rPr>
                    <w:t>q</w:t>
                  </w:r>
                </w:p>
              </w:tc>
              <w:tc>
                <w:tcPr>
                  <w:tcW w:w="422" w:type="pct"/>
                </w:tcPr>
                <w:p w14:paraId="44506BF0" w14:textId="77777777" w:rsidR="0057461A" w:rsidRPr="00027F85" w:rsidRDefault="0057461A" w:rsidP="0057461A">
                  <w:pPr>
                    <w:spacing w:after="60"/>
                    <w:rPr>
                      <w:iCs/>
                      <w:sz w:val="20"/>
                    </w:rPr>
                  </w:pPr>
                  <w:r w:rsidRPr="00027F85">
                    <w:rPr>
                      <w:iCs/>
                      <w:sz w:val="20"/>
                    </w:rPr>
                    <w:t>None</w:t>
                  </w:r>
                </w:p>
              </w:tc>
              <w:tc>
                <w:tcPr>
                  <w:tcW w:w="3629" w:type="pct"/>
                </w:tcPr>
                <w:p w14:paraId="5C49AC81" w14:textId="77777777" w:rsidR="0057461A" w:rsidRPr="00027F85" w:rsidRDefault="0057461A" w:rsidP="0057461A">
                  <w:pPr>
                    <w:spacing w:after="60"/>
                    <w:rPr>
                      <w:i/>
                      <w:iCs/>
                      <w:sz w:val="20"/>
                    </w:rPr>
                  </w:pPr>
                  <w:r w:rsidRPr="00027F85">
                    <w:rPr>
                      <w:iCs/>
                      <w:sz w:val="20"/>
                    </w:rPr>
                    <w:t>A QSE.</w:t>
                  </w:r>
                </w:p>
              </w:tc>
            </w:tr>
            <w:tr w:rsidR="0057461A" w:rsidRPr="00027F85" w14:paraId="0BD7A6C2" w14:textId="77777777" w:rsidTr="00086215">
              <w:trPr>
                <w:cantSplit/>
              </w:trPr>
              <w:tc>
                <w:tcPr>
                  <w:tcW w:w="949" w:type="pct"/>
                </w:tcPr>
                <w:p w14:paraId="6BF07C82" w14:textId="77777777" w:rsidR="0057461A" w:rsidRPr="00027F85" w:rsidRDefault="0057461A" w:rsidP="0057461A">
                  <w:pPr>
                    <w:spacing w:after="60"/>
                    <w:rPr>
                      <w:i/>
                      <w:iCs/>
                      <w:sz w:val="20"/>
                    </w:rPr>
                  </w:pPr>
                  <w:r>
                    <w:rPr>
                      <w:i/>
                      <w:iCs/>
                      <w:sz w:val="20"/>
                    </w:rPr>
                    <w:t>r</w:t>
                  </w:r>
                </w:p>
              </w:tc>
              <w:tc>
                <w:tcPr>
                  <w:tcW w:w="422" w:type="pct"/>
                </w:tcPr>
                <w:p w14:paraId="03E56A36" w14:textId="77777777" w:rsidR="0057461A" w:rsidRPr="00027F85" w:rsidRDefault="0057461A" w:rsidP="0057461A">
                  <w:pPr>
                    <w:spacing w:after="60"/>
                    <w:rPr>
                      <w:iCs/>
                      <w:sz w:val="20"/>
                    </w:rPr>
                  </w:pPr>
                  <w:r w:rsidRPr="00027F85">
                    <w:rPr>
                      <w:iCs/>
                      <w:sz w:val="20"/>
                    </w:rPr>
                    <w:t>None</w:t>
                  </w:r>
                </w:p>
              </w:tc>
              <w:tc>
                <w:tcPr>
                  <w:tcW w:w="3629" w:type="pct"/>
                </w:tcPr>
                <w:p w14:paraId="13284B26" w14:textId="77777777" w:rsidR="0057461A" w:rsidRPr="00027F85" w:rsidRDefault="0057461A" w:rsidP="0057461A">
                  <w:pPr>
                    <w:spacing w:after="60"/>
                    <w:rPr>
                      <w:iCs/>
                      <w:sz w:val="20"/>
                    </w:rPr>
                  </w:pPr>
                  <w:r w:rsidRPr="00027F85">
                    <w:rPr>
                      <w:iCs/>
                      <w:sz w:val="20"/>
                    </w:rPr>
                    <w:t xml:space="preserve">An </w:t>
                  </w:r>
                  <w:r>
                    <w:rPr>
                      <w:iCs/>
                      <w:sz w:val="20"/>
                    </w:rPr>
                    <w:t>MRA</w:t>
                  </w:r>
                  <w:r w:rsidRPr="00027F85">
                    <w:rPr>
                      <w:iCs/>
                      <w:sz w:val="20"/>
                    </w:rPr>
                    <w:t>.</w:t>
                  </w:r>
                </w:p>
              </w:tc>
            </w:tr>
            <w:tr w:rsidR="0057461A" w:rsidRPr="00027F85" w14:paraId="563BE865" w14:textId="77777777" w:rsidTr="00086215">
              <w:trPr>
                <w:cantSplit/>
              </w:trPr>
              <w:tc>
                <w:tcPr>
                  <w:tcW w:w="949" w:type="pct"/>
                </w:tcPr>
                <w:p w14:paraId="6B250B8F" w14:textId="77777777" w:rsidR="0057461A" w:rsidRPr="00027F85" w:rsidRDefault="0057461A" w:rsidP="0057461A">
                  <w:pPr>
                    <w:spacing w:after="60"/>
                    <w:rPr>
                      <w:i/>
                      <w:iCs/>
                      <w:sz w:val="20"/>
                    </w:rPr>
                  </w:pPr>
                  <w:r>
                    <w:rPr>
                      <w:i/>
                      <w:iCs/>
                      <w:sz w:val="20"/>
                    </w:rPr>
                    <w:t>m</w:t>
                  </w:r>
                </w:p>
              </w:tc>
              <w:tc>
                <w:tcPr>
                  <w:tcW w:w="422" w:type="pct"/>
                </w:tcPr>
                <w:p w14:paraId="073957CD" w14:textId="77777777" w:rsidR="0057461A" w:rsidRPr="00027F85" w:rsidRDefault="0057461A" w:rsidP="0057461A">
                  <w:pPr>
                    <w:spacing w:after="60"/>
                    <w:rPr>
                      <w:iCs/>
                      <w:sz w:val="20"/>
                    </w:rPr>
                  </w:pPr>
                  <w:r w:rsidRPr="00027F85">
                    <w:rPr>
                      <w:iCs/>
                      <w:sz w:val="20"/>
                    </w:rPr>
                    <w:t>None</w:t>
                  </w:r>
                </w:p>
              </w:tc>
              <w:tc>
                <w:tcPr>
                  <w:tcW w:w="3629" w:type="pct"/>
                </w:tcPr>
                <w:p w14:paraId="3DEA07D9" w14:textId="77777777" w:rsidR="0057461A" w:rsidRPr="00027F85" w:rsidRDefault="0057461A" w:rsidP="0057461A">
                  <w:pPr>
                    <w:spacing w:after="60"/>
                    <w:rPr>
                      <w:iCs/>
                      <w:sz w:val="20"/>
                    </w:rPr>
                  </w:pPr>
                  <w:r>
                    <w:rPr>
                      <w:sz w:val="20"/>
                    </w:rPr>
                    <w:t>An MRA Contracted M</w:t>
                  </w:r>
                  <w:r w:rsidRPr="00027F85">
                    <w:rPr>
                      <w:sz w:val="20"/>
                    </w:rPr>
                    <w:t xml:space="preserve">onth </w:t>
                  </w:r>
                  <w:r w:rsidRPr="00027F85">
                    <w:rPr>
                      <w:iCs/>
                      <w:sz w:val="20"/>
                    </w:rPr>
                    <w:t>under the MRA Agreement</w:t>
                  </w:r>
                  <w:r w:rsidRPr="00027F85">
                    <w:rPr>
                      <w:sz w:val="20"/>
                    </w:rPr>
                    <w:t>.</w:t>
                  </w:r>
                </w:p>
              </w:tc>
            </w:tr>
            <w:tr w:rsidR="00086215" w:rsidRPr="00027F85" w14:paraId="0C5898AA" w14:textId="77777777" w:rsidTr="00086215">
              <w:trPr>
                <w:cantSplit/>
              </w:trPr>
              <w:tc>
                <w:tcPr>
                  <w:tcW w:w="949" w:type="pct"/>
                </w:tcPr>
                <w:p w14:paraId="6F2E11AA" w14:textId="07F96AB7" w:rsidR="00086215" w:rsidRDefault="00086215" w:rsidP="00086215">
                  <w:pPr>
                    <w:spacing w:after="60"/>
                    <w:rPr>
                      <w:i/>
                      <w:iCs/>
                      <w:sz w:val="20"/>
                    </w:rPr>
                  </w:pPr>
                  <w:r w:rsidRPr="009C73FA">
                    <w:rPr>
                      <w:i/>
                      <w:iCs/>
                      <w:sz w:val="20"/>
                    </w:rPr>
                    <w:t>b</w:t>
                  </w:r>
                </w:p>
              </w:tc>
              <w:tc>
                <w:tcPr>
                  <w:tcW w:w="422" w:type="pct"/>
                </w:tcPr>
                <w:p w14:paraId="55688F22" w14:textId="067FA482" w:rsidR="00086215" w:rsidRPr="00027F85" w:rsidRDefault="00086215" w:rsidP="00086215">
                  <w:pPr>
                    <w:spacing w:after="60"/>
                    <w:rPr>
                      <w:iCs/>
                      <w:sz w:val="20"/>
                    </w:rPr>
                  </w:pPr>
                  <w:r w:rsidRPr="009C73FA">
                    <w:rPr>
                      <w:iCs/>
                      <w:sz w:val="20"/>
                    </w:rPr>
                    <w:t>None</w:t>
                  </w:r>
                </w:p>
              </w:tc>
              <w:tc>
                <w:tcPr>
                  <w:tcW w:w="3629" w:type="pct"/>
                </w:tcPr>
                <w:p w14:paraId="2747E63E" w14:textId="69D6C147" w:rsidR="00086215" w:rsidRDefault="00086215" w:rsidP="00086215">
                  <w:pPr>
                    <w:spacing w:after="60"/>
                    <w:rPr>
                      <w:sz w:val="20"/>
                    </w:rPr>
                  </w:pPr>
                  <w:r w:rsidRPr="009C73FA">
                    <w:rPr>
                      <w:sz w:val="20"/>
                    </w:rPr>
                    <w:t xml:space="preserve">An obligation block under the MRA Agreement. </w:t>
                  </w:r>
                </w:p>
              </w:tc>
            </w:tr>
          </w:tbl>
          <w:p w14:paraId="534F5F5B" w14:textId="447B376B" w:rsidR="0057461A" w:rsidRPr="0057461A" w:rsidRDefault="0057461A" w:rsidP="0057461A">
            <w:pPr>
              <w:spacing w:before="240" w:after="240"/>
              <w:ind w:left="720" w:hanging="720"/>
              <w:rPr>
                <w:iCs/>
              </w:rPr>
            </w:pPr>
            <w:r w:rsidRPr="0057461A">
              <w:rPr>
                <w:iCs/>
              </w:rPr>
              <w:t>(</w:t>
            </w:r>
            <w:r w:rsidR="00086215">
              <w:rPr>
                <w:iCs/>
              </w:rPr>
              <w:t>6</w:t>
            </w:r>
            <w:r w:rsidRPr="0057461A">
              <w:rPr>
                <w:iCs/>
              </w:rPr>
              <w:t>)</w:t>
            </w:r>
            <w:r w:rsidRPr="0057461A">
              <w:rPr>
                <w:iCs/>
              </w:rPr>
              <w:tab/>
              <w:t>The total of the Standby Payments for all MRAs represented by the QSE for a given hour is calculated as follows:</w:t>
            </w:r>
          </w:p>
          <w:p w14:paraId="2709F8C8" w14:textId="77777777" w:rsidR="0057461A" w:rsidRPr="0057461A" w:rsidRDefault="0057461A" w:rsidP="0057461A">
            <w:pPr>
              <w:tabs>
                <w:tab w:val="left" w:pos="2340"/>
                <w:tab w:val="left" w:pos="3420"/>
              </w:tabs>
              <w:spacing w:after="240"/>
              <w:ind w:left="2880" w:hanging="2160"/>
              <w:rPr>
                <w:bCs/>
                <w:szCs w:val="24"/>
                <w:lang w:val="pt-BR"/>
              </w:rPr>
            </w:pPr>
            <w:r w:rsidRPr="0057461A">
              <w:rPr>
                <w:bCs/>
                <w:szCs w:val="24"/>
                <w:lang w:val="pt-BR"/>
              </w:rPr>
              <w:t xml:space="preserve">MRASBAMTQSETOT </w:t>
            </w:r>
            <w:r w:rsidRPr="0057461A">
              <w:rPr>
                <w:bCs/>
                <w:i/>
                <w:szCs w:val="24"/>
                <w:vertAlign w:val="subscript"/>
                <w:lang w:val="pt-BR"/>
              </w:rPr>
              <w:t>q</w:t>
            </w:r>
            <w:r w:rsidRPr="0057461A">
              <w:rPr>
                <w:bCs/>
                <w:szCs w:val="24"/>
                <w:vertAlign w:val="subscript"/>
                <w:lang w:val="pt-BR"/>
              </w:rPr>
              <w:t xml:space="preserve">  </w:t>
            </w:r>
            <w:r w:rsidRPr="0057461A">
              <w:rPr>
                <w:bCs/>
                <w:szCs w:val="24"/>
                <w:lang w:val="pt-BR"/>
              </w:rPr>
              <w:t xml:space="preserve">=   </w:t>
            </w:r>
            <w:r w:rsidR="00494238">
              <w:rPr>
                <w:bCs/>
                <w:position w:val="-18"/>
                <w:szCs w:val="24"/>
                <w:lang w:val="pt-BR"/>
              </w:rPr>
              <w:pict w14:anchorId="56C9E9BB">
                <v:shape id="_x0000_i1218" type="#_x0000_t75" style="width:12pt;height:24.6pt">
                  <v:imagedata r:id="rId246" o:title=""/>
                </v:shape>
              </w:pict>
            </w:r>
            <w:r w:rsidRPr="0057461A">
              <w:rPr>
                <w:bCs/>
                <w:szCs w:val="24"/>
                <w:lang w:val="pt-BR"/>
              </w:rPr>
              <w:t xml:space="preserve">MRASBAMT </w:t>
            </w:r>
            <w:r w:rsidRPr="0057461A">
              <w:rPr>
                <w:bCs/>
                <w:i/>
                <w:szCs w:val="24"/>
                <w:vertAlign w:val="subscript"/>
                <w:lang w:val="pt-BR"/>
              </w:rPr>
              <w:t>q, r, h</w:t>
            </w:r>
          </w:p>
          <w:p w14:paraId="4499D883" w14:textId="77777777" w:rsidR="0057461A" w:rsidRPr="0057461A" w:rsidRDefault="0057461A" w:rsidP="002C448D">
            <w:pPr>
              <w:tabs>
                <w:tab w:val="left" w:pos="2340"/>
                <w:tab w:val="left" w:pos="3420"/>
              </w:tabs>
              <w:rPr>
                <w:bCs/>
                <w:szCs w:val="24"/>
                <w:lang w:val="pt-BR"/>
              </w:rPr>
            </w:pPr>
            <w:r w:rsidRPr="0057461A">
              <w:rPr>
                <w:bCs/>
                <w:szCs w:val="24"/>
                <w:lang w:val="pt-BR"/>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5"/>
              <w:gridCol w:w="994"/>
              <w:gridCol w:w="6093"/>
            </w:tblGrid>
            <w:tr w:rsidR="002C448D" w:rsidRPr="00D54F03" w14:paraId="4FEBF0D2" w14:textId="77777777" w:rsidTr="00CE1011">
              <w:trPr>
                <w:cantSplit/>
                <w:tblHeader/>
              </w:trPr>
              <w:tc>
                <w:tcPr>
                  <w:tcW w:w="1207" w:type="pct"/>
                </w:tcPr>
                <w:p w14:paraId="5D13FAD8" w14:textId="77777777" w:rsidR="002C448D" w:rsidRPr="002120A6" w:rsidRDefault="002C448D" w:rsidP="002C448D">
                  <w:pPr>
                    <w:pStyle w:val="TableHead"/>
                  </w:pPr>
                  <w:r w:rsidRPr="002120A6">
                    <w:t>Variable</w:t>
                  </w:r>
                </w:p>
              </w:tc>
              <w:tc>
                <w:tcPr>
                  <w:tcW w:w="532" w:type="pct"/>
                </w:tcPr>
                <w:p w14:paraId="628B27D4" w14:textId="77777777" w:rsidR="002C448D" w:rsidRPr="001C398A" w:rsidRDefault="002C448D" w:rsidP="002C448D">
                  <w:pPr>
                    <w:pStyle w:val="TableHead"/>
                  </w:pPr>
                  <w:r w:rsidRPr="001C398A">
                    <w:t>Unit</w:t>
                  </w:r>
                </w:p>
              </w:tc>
              <w:tc>
                <w:tcPr>
                  <w:tcW w:w="3261" w:type="pct"/>
                </w:tcPr>
                <w:p w14:paraId="0F83D76C" w14:textId="77777777" w:rsidR="002C448D" w:rsidRPr="00F662F5" w:rsidRDefault="002C448D" w:rsidP="002C448D">
                  <w:pPr>
                    <w:pStyle w:val="TableHead"/>
                  </w:pPr>
                  <w:r w:rsidRPr="00F662F5">
                    <w:t>Definition</w:t>
                  </w:r>
                </w:p>
              </w:tc>
            </w:tr>
            <w:tr w:rsidR="002C448D" w:rsidRPr="00D54F03" w14:paraId="00C1F6D2" w14:textId="77777777" w:rsidTr="00CE1011">
              <w:trPr>
                <w:cantSplit/>
              </w:trPr>
              <w:tc>
                <w:tcPr>
                  <w:tcW w:w="1207" w:type="pct"/>
                </w:tcPr>
                <w:p w14:paraId="29829709" w14:textId="77777777" w:rsidR="002C448D" w:rsidRPr="00D54F03" w:rsidRDefault="002C448D" w:rsidP="002C448D">
                  <w:pPr>
                    <w:pStyle w:val="TableBody"/>
                  </w:pPr>
                  <w:r w:rsidRPr="00D54F03">
                    <w:t>MRASBAMTQSETOT</w:t>
                  </w:r>
                  <w:r>
                    <w:t xml:space="preserve"> </w:t>
                  </w:r>
                  <w:r w:rsidRPr="00027F85">
                    <w:rPr>
                      <w:i/>
                      <w:iCs w:val="0"/>
                      <w:vertAlign w:val="subscript"/>
                    </w:rPr>
                    <w:t>q</w:t>
                  </w:r>
                </w:p>
              </w:tc>
              <w:tc>
                <w:tcPr>
                  <w:tcW w:w="532" w:type="pct"/>
                </w:tcPr>
                <w:p w14:paraId="11E8F995" w14:textId="77777777" w:rsidR="002C448D" w:rsidRPr="00D54F03" w:rsidRDefault="002C448D" w:rsidP="002C448D">
                  <w:pPr>
                    <w:pStyle w:val="TableBody"/>
                  </w:pPr>
                  <w:r w:rsidRPr="00D54F03">
                    <w:t>$</w:t>
                  </w:r>
                </w:p>
              </w:tc>
              <w:tc>
                <w:tcPr>
                  <w:tcW w:w="3261" w:type="pct"/>
                </w:tcPr>
                <w:p w14:paraId="31BB7D48" w14:textId="77777777" w:rsidR="002C448D" w:rsidRPr="00D54F03" w:rsidRDefault="002C448D" w:rsidP="002C448D">
                  <w:pPr>
                    <w:pStyle w:val="TableBody"/>
                  </w:pPr>
                  <w:r w:rsidRPr="00D54F03">
                    <w:rPr>
                      <w:i/>
                    </w:rPr>
                    <w:t xml:space="preserve">Must-Run Alternative Standby Amount Total per QSE per hour </w:t>
                  </w:r>
                  <w:r w:rsidRPr="00D54F03">
                    <w:sym w:font="Symbol" w:char="F0BE"/>
                  </w:r>
                  <w:r>
                    <w:t xml:space="preserve"> </w:t>
                  </w:r>
                  <w:r w:rsidRPr="00D54F03">
                    <w:t xml:space="preserve">The total of the Standby Payments </w:t>
                  </w:r>
                  <w:r>
                    <w:t>for</w:t>
                  </w:r>
                  <w:r w:rsidRPr="00D54F03">
                    <w:t xml:space="preserve"> all </w:t>
                  </w:r>
                  <w:r>
                    <w:t>MRA</w:t>
                  </w:r>
                  <w:r w:rsidRPr="00D54F03">
                    <w:t xml:space="preserve">s </w:t>
                  </w:r>
                  <w:r>
                    <w:t xml:space="preserve">represented by the QSE </w:t>
                  </w:r>
                  <w:r w:rsidRPr="009701A9">
                    <w:rPr>
                      <w:i/>
                    </w:rPr>
                    <w:t>q</w:t>
                  </w:r>
                  <w:r>
                    <w:t xml:space="preserve"> </w:t>
                  </w:r>
                  <w:r w:rsidRPr="00D54F03">
                    <w:t>for the hour.</w:t>
                  </w:r>
                </w:p>
              </w:tc>
            </w:tr>
            <w:tr w:rsidR="002C448D" w14:paraId="311BBAC5" w14:textId="77777777" w:rsidTr="00CE1011">
              <w:trPr>
                <w:cantSplit/>
              </w:trPr>
              <w:tc>
                <w:tcPr>
                  <w:tcW w:w="1207" w:type="pct"/>
                </w:tcPr>
                <w:p w14:paraId="2C268A97" w14:textId="77777777" w:rsidR="002C448D" w:rsidRPr="00D54F03" w:rsidRDefault="002C448D" w:rsidP="002C448D">
                  <w:pPr>
                    <w:pStyle w:val="TableBody"/>
                  </w:pPr>
                  <w:r w:rsidRPr="00027F85">
                    <w:rPr>
                      <w:iCs w:val="0"/>
                    </w:rPr>
                    <w:t>MRASBAMT</w:t>
                  </w:r>
                  <w:r>
                    <w:rPr>
                      <w:iCs w:val="0"/>
                    </w:rPr>
                    <w:t xml:space="preserve"> </w:t>
                  </w:r>
                  <w:r w:rsidRPr="00027F85">
                    <w:rPr>
                      <w:i/>
                      <w:iCs w:val="0"/>
                      <w:vertAlign w:val="subscript"/>
                    </w:rPr>
                    <w:t>q, r,</w:t>
                  </w:r>
                  <w:r>
                    <w:rPr>
                      <w:i/>
                      <w:iCs w:val="0"/>
                      <w:vertAlign w:val="subscript"/>
                    </w:rPr>
                    <w:t xml:space="preserve"> </w:t>
                  </w:r>
                  <w:r w:rsidRPr="00027F85">
                    <w:rPr>
                      <w:i/>
                      <w:iCs w:val="0"/>
                      <w:vertAlign w:val="subscript"/>
                    </w:rPr>
                    <w:t>h</w:t>
                  </w:r>
                </w:p>
              </w:tc>
              <w:tc>
                <w:tcPr>
                  <w:tcW w:w="532" w:type="pct"/>
                </w:tcPr>
                <w:p w14:paraId="5D9F9474" w14:textId="77777777" w:rsidR="002C448D" w:rsidRPr="00D54F03" w:rsidRDefault="002C448D" w:rsidP="002C448D">
                  <w:pPr>
                    <w:pStyle w:val="TableBody"/>
                  </w:pPr>
                  <w:r w:rsidRPr="00027F85">
                    <w:rPr>
                      <w:iCs w:val="0"/>
                    </w:rPr>
                    <w:t xml:space="preserve">$ </w:t>
                  </w:r>
                </w:p>
              </w:tc>
              <w:tc>
                <w:tcPr>
                  <w:tcW w:w="3261" w:type="pct"/>
                </w:tcPr>
                <w:p w14:paraId="4E0F0410" w14:textId="77777777" w:rsidR="002C448D" w:rsidRDefault="002C448D" w:rsidP="002C448D">
                  <w:pPr>
                    <w:pStyle w:val="TableBody"/>
                  </w:pPr>
                  <w:r w:rsidRPr="00027F85">
                    <w:rPr>
                      <w:i/>
                      <w:iCs w:val="0"/>
                    </w:rPr>
                    <w:t>Must-Run Alternative Standby Amount per QSE per Resource by hour</w:t>
                  </w:r>
                  <w:r>
                    <w:rPr>
                      <w:i/>
                      <w:iCs w:val="0"/>
                    </w:rPr>
                    <w:t xml:space="preserve"> </w:t>
                  </w:r>
                  <w:r w:rsidRPr="00027F85">
                    <w:rPr>
                      <w:iCs w:val="0"/>
                    </w:rPr>
                    <w:t xml:space="preserve">—The hourly standby payment amount for </w:t>
                  </w:r>
                  <w:r>
                    <w:rPr>
                      <w:iCs w:val="0"/>
                    </w:rPr>
                    <w:t>MRA</w:t>
                  </w:r>
                  <w:r w:rsidRPr="00027F85">
                    <w:rPr>
                      <w:iCs w:val="0"/>
                    </w:rPr>
                    <w:t xml:space="preserve"> </w:t>
                  </w:r>
                  <w:r w:rsidRPr="00027F85">
                    <w:rPr>
                      <w:i/>
                      <w:iCs w:val="0"/>
                    </w:rPr>
                    <w:t xml:space="preserve">r </w:t>
                  </w:r>
                  <w:r w:rsidRPr="00027F85">
                    <w:rPr>
                      <w:iCs w:val="0"/>
                    </w:rPr>
                    <w:t xml:space="preserve">represented by QSE </w:t>
                  </w:r>
                  <w:r w:rsidRPr="00027F85">
                    <w:rPr>
                      <w:i/>
                      <w:iCs w:val="0"/>
                    </w:rPr>
                    <w:t>q</w:t>
                  </w:r>
                  <w:r w:rsidRPr="00027F85">
                    <w:t>, for the hour</w:t>
                  </w:r>
                  <w:r>
                    <w:t xml:space="preserve"> </w:t>
                  </w:r>
                  <w:r w:rsidRPr="009701A9">
                    <w:rPr>
                      <w:i/>
                    </w:rPr>
                    <w:t>h</w:t>
                  </w:r>
                  <w:r w:rsidRPr="00027F85">
                    <w:rPr>
                      <w:iCs w:val="0"/>
                    </w:rPr>
                    <w:t xml:space="preserve">.  Where for a Combined Cycle Train, the Resource </w:t>
                  </w:r>
                  <w:r w:rsidRPr="00027F85">
                    <w:rPr>
                      <w:i/>
                      <w:iCs w:val="0"/>
                    </w:rPr>
                    <w:t xml:space="preserve">r </w:t>
                  </w:r>
                  <w:r w:rsidRPr="00027F85">
                    <w:rPr>
                      <w:iCs w:val="0"/>
                    </w:rPr>
                    <w:t>is a Combined Cycle Train.</w:t>
                  </w:r>
                </w:p>
              </w:tc>
            </w:tr>
            <w:tr w:rsidR="002C448D" w14:paraId="434A1718" w14:textId="77777777" w:rsidTr="00CE1011">
              <w:trPr>
                <w:cantSplit/>
              </w:trPr>
              <w:tc>
                <w:tcPr>
                  <w:tcW w:w="1207" w:type="pct"/>
                  <w:tcBorders>
                    <w:top w:val="single" w:sz="4" w:space="0" w:color="auto"/>
                    <w:left w:val="single" w:sz="4" w:space="0" w:color="auto"/>
                    <w:bottom w:val="single" w:sz="4" w:space="0" w:color="auto"/>
                    <w:right w:val="single" w:sz="4" w:space="0" w:color="auto"/>
                  </w:tcBorders>
                </w:tcPr>
                <w:p w14:paraId="0FD8F30F" w14:textId="77777777" w:rsidR="002C448D" w:rsidRPr="00A24281" w:rsidRDefault="002C448D" w:rsidP="002C448D">
                  <w:pPr>
                    <w:pStyle w:val="TableBody"/>
                    <w:rPr>
                      <w:i/>
                    </w:rPr>
                  </w:pPr>
                  <w:r>
                    <w:rPr>
                      <w:i/>
                    </w:rPr>
                    <w:t>q</w:t>
                  </w:r>
                </w:p>
              </w:tc>
              <w:tc>
                <w:tcPr>
                  <w:tcW w:w="532" w:type="pct"/>
                  <w:tcBorders>
                    <w:top w:val="single" w:sz="4" w:space="0" w:color="auto"/>
                    <w:left w:val="single" w:sz="4" w:space="0" w:color="auto"/>
                    <w:bottom w:val="single" w:sz="4" w:space="0" w:color="auto"/>
                    <w:right w:val="single" w:sz="4" w:space="0" w:color="auto"/>
                  </w:tcBorders>
                </w:tcPr>
                <w:p w14:paraId="10F1319C" w14:textId="77777777" w:rsidR="002C448D" w:rsidRDefault="002C448D" w:rsidP="002C448D">
                  <w:pPr>
                    <w:pStyle w:val="TableBody"/>
                  </w:pPr>
                  <w:r>
                    <w:t>None</w:t>
                  </w:r>
                </w:p>
              </w:tc>
              <w:tc>
                <w:tcPr>
                  <w:tcW w:w="3261" w:type="pct"/>
                  <w:tcBorders>
                    <w:top w:val="single" w:sz="4" w:space="0" w:color="auto"/>
                    <w:left w:val="single" w:sz="4" w:space="0" w:color="auto"/>
                    <w:bottom w:val="single" w:sz="4" w:space="0" w:color="auto"/>
                    <w:right w:val="single" w:sz="4" w:space="0" w:color="auto"/>
                  </w:tcBorders>
                </w:tcPr>
                <w:p w14:paraId="1008F921" w14:textId="77777777" w:rsidR="002C448D" w:rsidRDefault="002C448D" w:rsidP="002C448D">
                  <w:pPr>
                    <w:pStyle w:val="TableBody"/>
                  </w:pPr>
                  <w:r>
                    <w:t>A QSE.</w:t>
                  </w:r>
                </w:p>
              </w:tc>
            </w:tr>
            <w:tr w:rsidR="002C448D" w14:paraId="6893EF3E" w14:textId="77777777" w:rsidTr="00CE1011">
              <w:trPr>
                <w:cantSplit/>
              </w:trPr>
              <w:tc>
                <w:tcPr>
                  <w:tcW w:w="1207" w:type="pct"/>
                  <w:tcBorders>
                    <w:top w:val="single" w:sz="4" w:space="0" w:color="auto"/>
                    <w:left w:val="single" w:sz="4" w:space="0" w:color="auto"/>
                    <w:bottom w:val="single" w:sz="4" w:space="0" w:color="auto"/>
                    <w:right w:val="single" w:sz="4" w:space="0" w:color="auto"/>
                  </w:tcBorders>
                </w:tcPr>
                <w:p w14:paraId="0C64BEBA" w14:textId="77777777" w:rsidR="002C448D" w:rsidRPr="00A24281" w:rsidRDefault="002C448D" w:rsidP="002C448D">
                  <w:pPr>
                    <w:pStyle w:val="TableBody"/>
                    <w:rPr>
                      <w:i/>
                    </w:rPr>
                  </w:pPr>
                  <w:r>
                    <w:rPr>
                      <w:i/>
                    </w:rPr>
                    <w:t>r</w:t>
                  </w:r>
                </w:p>
              </w:tc>
              <w:tc>
                <w:tcPr>
                  <w:tcW w:w="532" w:type="pct"/>
                  <w:tcBorders>
                    <w:top w:val="single" w:sz="4" w:space="0" w:color="auto"/>
                    <w:left w:val="single" w:sz="4" w:space="0" w:color="auto"/>
                    <w:bottom w:val="single" w:sz="4" w:space="0" w:color="auto"/>
                    <w:right w:val="single" w:sz="4" w:space="0" w:color="auto"/>
                  </w:tcBorders>
                </w:tcPr>
                <w:p w14:paraId="0FF5923B" w14:textId="77777777" w:rsidR="002C448D" w:rsidRDefault="002C448D" w:rsidP="002C448D">
                  <w:pPr>
                    <w:pStyle w:val="TableBody"/>
                  </w:pPr>
                  <w:r>
                    <w:t>None</w:t>
                  </w:r>
                </w:p>
              </w:tc>
              <w:tc>
                <w:tcPr>
                  <w:tcW w:w="3261" w:type="pct"/>
                  <w:tcBorders>
                    <w:top w:val="single" w:sz="4" w:space="0" w:color="auto"/>
                    <w:left w:val="single" w:sz="4" w:space="0" w:color="auto"/>
                    <w:bottom w:val="single" w:sz="4" w:space="0" w:color="auto"/>
                    <w:right w:val="single" w:sz="4" w:space="0" w:color="auto"/>
                  </w:tcBorders>
                </w:tcPr>
                <w:p w14:paraId="5AF79ECC" w14:textId="77777777" w:rsidR="002C448D" w:rsidRDefault="002C448D" w:rsidP="002C448D">
                  <w:pPr>
                    <w:pStyle w:val="TableBody"/>
                  </w:pPr>
                  <w:r>
                    <w:t>An MRA.</w:t>
                  </w:r>
                </w:p>
              </w:tc>
            </w:tr>
            <w:tr w:rsidR="002C448D" w14:paraId="1A046C5D" w14:textId="77777777" w:rsidTr="00CE1011">
              <w:trPr>
                <w:cantSplit/>
              </w:trPr>
              <w:tc>
                <w:tcPr>
                  <w:tcW w:w="1207" w:type="pct"/>
                  <w:tcBorders>
                    <w:top w:val="single" w:sz="4" w:space="0" w:color="auto"/>
                    <w:left w:val="single" w:sz="4" w:space="0" w:color="auto"/>
                    <w:bottom w:val="single" w:sz="4" w:space="0" w:color="auto"/>
                    <w:right w:val="single" w:sz="4" w:space="0" w:color="auto"/>
                  </w:tcBorders>
                </w:tcPr>
                <w:p w14:paraId="0E4E1663" w14:textId="77777777" w:rsidR="002C448D" w:rsidRPr="00D661BC" w:rsidRDefault="002C448D" w:rsidP="002C448D">
                  <w:pPr>
                    <w:pStyle w:val="TableBody"/>
                    <w:rPr>
                      <w:i/>
                    </w:rPr>
                  </w:pPr>
                  <w:r>
                    <w:rPr>
                      <w:i/>
                    </w:rPr>
                    <w:lastRenderedPageBreak/>
                    <w:t>h</w:t>
                  </w:r>
                </w:p>
              </w:tc>
              <w:tc>
                <w:tcPr>
                  <w:tcW w:w="532" w:type="pct"/>
                  <w:tcBorders>
                    <w:top w:val="single" w:sz="4" w:space="0" w:color="auto"/>
                    <w:left w:val="single" w:sz="4" w:space="0" w:color="auto"/>
                    <w:bottom w:val="single" w:sz="4" w:space="0" w:color="auto"/>
                    <w:right w:val="single" w:sz="4" w:space="0" w:color="auto"/>
                  </w:tcBorders>
                </w:tcPr>
                <w:p w14:paraId="64BD86EA" w14:textId="77777777" w:rsidR="002C448D" w:rsidRDefault="002C448D" w:rsidP="002C448D">
                  <w:pPr>
                    <w:pStyle w:val="TableBody"/>
                  </w:pPr>
                  <w:r>
                    <w:t>N</w:t>
                  </w:r>
                  <w:r w:rsidRPr="00027F85">
                    <w:t>one</w:t>
                  </w:r>
                </w:p>
              </w:tc>
              <w:tc>
                <w:tcPr>
                  <w:tcW w:w="3261" w:type="pct"/>
                  <w:tcBorders>
                    <w:top w:val="single" w:sz="4" w:space="0" w:color="auto"/>
                    <w:left w:val="single" w:sz="4" w:space="0" w:color="auto"/>
                    <w:bottom w:val="single" w:sz="4" w:space="0" w:color="auto"/>
                    <w:right w:val="single" w:sz="4" w:space="0" w:color="auto"/>
                  </w:tcBorders>
                </w:tcPr>
                <w:p w14:paraId="55EDACA0" w14:textId="77777777" w:rsidR="002C448D" w:rsidRDefault="002C448D" w:rsidP="002C448D">
                  <w:pPr>
                    <w:pStyle w:val="TableBody"/>
                  </w:pPr>
                  <w:r>
                    <w:t xml:space="preserve">An MRA Contracted Hour under the </w:t>
                  </w:r>
                  <w:r w:rsidRPr="00027F85">
                    <w:rPr>
                      <w:iCs w:val="0"/>
                    </w:rPr>
                    <w:t>MRA Agreement</w:t>
                  </w:r>
                  <w:r>
                    <w:t xml:space="preserve"> for the calendar month.</w:t>
                  </w:r>
                </w:p>
              </w:tc>
            </w:tr>
          </w:tbl>
          <w:p w14:paraId="36BDF764" w14:textId="15D4515E" w:rsidR="002C448D" w:rsidRDefault="002C448D" w:rsidP="002C448D">
            <w:pPr>
              <w:pStyle w:val="BodyTextNumbered"/>
              <w:spacing w:before="240"/>
            </w:pPr>
            <w:r>
              <w:t>(</w:t>
            </w:r>
            <w:r w:rsidR="00086215">
              <w:t>7</w:t>
            </w:r>
            <w:r>
              <w:t>)</w:t>
            </w:r>
            <w:r>
              <w:tab/>
              <w:t>The total of the Standby Payments for a given hour is calculated as follows:</w:t>
            </w:r>
          </w:p>
          <w:p w14:paraId="30C8755F" w14:textId="77777777" w:rsidR="002C448D" w:rsidRPr="00D54F03" w:rsidRDefault="002C448D" w:rsidP="002C448D">
            <w:pPr>
              <w:pStyle w:val="Formula"/>
              <w:ind w:left="2880" w:hanging="2160"/>
              <w:rPr>
                <w:i/>
                <w:vertAlign w:val="subscript"/>
              </w:rPr>
            </w:pPr>
            <w:r>
              <w:t>MRASBAMTTOT</w:t>
            </w:r>
            <w:r>
              <w:tab/>
              <w:t xml:space="preserve">= </w:t>
            </w:r>
            <w:r w:rsidRPr="006F784F">
              <w:rPr>
                <w:position w:val="-22"/>
              </w:rPr>
              <w:object w:dxaOrig="210" w:dyaOrig="465" w14:anchorId="1B189901">
                <v:shape id="_x0000_i1219" type="#_x0000_t75" style="width:5.4pt;height:24.6pt" o:ole="">
                  <v:imagedata r:id="rId187" o:title=""/>
                </v:shape>
                <o:OLEObject Type="Embed" ProgID="Equation.3" ShapeID="_x0000_i1219" DrawAspect="Content" ObjectID="_1815025408" r:id="rId270"/>
              </w:object>
            </w:r>
            <w:r w:rsidRPr="00EB1134">
              <w:t xml:space="preserve"> </w:t>
            </w:r>
            <w:r>
              <w:t xml:space="preserve">MRASBAMTQSETOT </w:t>
            </w:r>
            <w:r w:rsidRPr="00480585">
              <w:rPr>
                <w:i/>
                <w:vertAlign w:val="subscript"/>
              </w:rPr>
              <w:t>q</w:t>
            </w:r>
            <w:r w:rsidRPr="003E02B6">
              <w:rPr>
                <w:b/>
                <w:bCs w:val="0"/>
              </w:rPr>
              <w:t xml:space="preserve"> </w:t>
            </w:r>
          </w:p>
          <w:p w14:paraId="154B8047" w14:textId="77777777" w:rsidR="002C448D" w:rsidRDefault="002C448D" w:rsidP="002C448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4"/>
              <w:gridCol w:w="809"/>
              <w:gridCol w:w="6199"/>
            </w:tblGrid>
            <w:tr w:rsidR="002C448D" w14:paraId="7BACF785" w14:textId="77777777" w:rsidTr="00CE1011">
              <w:trPr>
                <w:cantSplit/>
                <w:tblHeader/>
              </w:trPr>
              <w:tc>
                <w:tcPr>
                  <w:tcW w:w="1249" w:type="pct"/>
                </w:tcPr>
                <w:p w14:paraId="0C84D134" w14:textId="77777777" w:rsidR="002C448D" w:rsidRDefault="002C448D" w:rsidP="002C448D">
                  <w:pPr>
                    <w:pStyle w:val="TableHead"/>
                  </w:pPr>
                  <w:r>
                    <w:t>Variable</w:t>
                  </w:r>
                </w:p>
              </w:tc>
              <w:tc>
                <w:tcPr>
                  <w:tcW w:w="433" w:type="pct"/>
                </w:tcPr>
                <w:p w14:paraId="5E5A6E36" w14:textId="77777777" w:rsidR="002C448D" w:rsidRDefault="002C448D" w:rsidP="002C448D">
                  <w:pPr>
                    <w:pStyle w:val="TableHead"/>
                  </w:pPr>
                  <w:r>
                    <w:t>Unit</w:t>
                  </w:r>
                </w:p>
              </w:tc>
              <w:tc>
                <w:tcPr>
                  <w:tcW w:w="3318" w:type="pct"/>
                </w:tcPr>
                <w:p w14:paraId="4E4301E8" w14:textId="77777777" w:rsidR="002C448D" w:rsidRDefault="002C448D" w:rsidP="002C448D">
                  <w:pPr>
                    <w:pStyle w:val="TableHead"/>
                  </w:pPr>
                  <w:r>
                    <w:t>Definition</w:t>
                  </w:r>
                </w:p>
              </w:tc>
            </w:tr>
            <w:tr w:rsidR="002C448D" w14:paraId="2B5B3E3A" w14:textId="77777777" w:rsidTr="00CE1011">
              <w:trPr>
                <w:cantSplit/>
              </w:trPr>
              <w:tc>
                <w:tcPr>
                  <w:tcW w:w="1249" w:type="pct"/>
                </w:tcPr>
                <w:p w14:paraId="35A0AC24" w14:textId="77777777" w:rsidR="002C448D" w:rsidRDefault="002C448D" w:rsidP="002C448D">
                  <w:pPr>
                    <w:pStyle w:val="TableBody"/>
                  </w:pPr>
                  <w:r>
                    <w:t>MRASBAMTTOT</w:t>
                  </w:r>
                </w:p>
              </w:tc>
              <w:tc>
                <w:tcPr>
                  <w:tcW w:w="433" w:type="pct"/>
                </w:tcPr>
                <w:p w14:paraId="6FF8C09C" w14:textId="77777777" w:rsidR="002C448D" w:rsidRDefault="002C448D" w:rsidP="002C448D">
                  <w:pPr>
                    <w:pStyle w:val="TableBody"/>
                  </w:pPr>
                  <w:r>
                    <w:t>$</w:t>
                  </w:r>
                </w:p>
              </w:tc>
              <w:tc>
                <w:tcPr>
                  <w:tcW w:w="3318" w:type="pct"/>
                </w:tcPr>
                <w:p w14:paraId="35021137" w14:textId="77777777" w:rsidR="002C448D" w:rsidRDefault="002C448D" w:rsidP="002C448D">
                  <w:pPr>
                    <w:pStyle w:val="TableBody"/>
                  </w:pPr>
                  <w:r>
                    <w:rPr>
                      <w:i/>
                    </w:rPr>
                    <w:t xml:space="preserve">Must-Run Alternative Standby Amount Total </w:t>
                  </w:r>
                  <w:r>
                    <w:sym w:font="Symbol" w:char="F0BE"/>
                  </w:r>
                  <w:r>
                    <w:t xml:space="preserve">The total of the Standby Payments to all QSEs </w:t>
                  </w:r>
                  <w:r>
                    <w:rPr>
                      <w:i/>
                    </w:rPr>
                    <w:t>q</w:t>
                  </w:r>
                  <w:r>
                    <w:t xml:space="preserve"> for all MRAs for the hour.</w:t>
                  </w:r>
                </w:p>
              </w:tc>
            </w:tr>
            <w:tr w:rsidR="002C448D" w14:paraId="2A7DF3AC" w14:textId="77777777" w:rsidTr="00CE1011">
              <w:trPr>
                <w:cantSplit/>
              </w:trPr>
              <w:tc>
                <w:tcPr>
                  <w:tcW w:w="1249" w:type="pct"/>
                </w:tcPr>
                <w:p w14:paraId="666F0957" w14:textId="77777777" w:rsidR="002C448D" w:rsidRDefault="002C448D" w:rsidP="002C448D">
                  <w:pPr>
                    <w:pStyle w:val="TableBody"/>
                  </w:pPr>
                  <w:r>
                    <w:t xml:space="preserve">MRASBAMTQSETOT </w:t>
                  </w:r>
                  <w:r w:rsidRPr="008B6C1D">
                    <w:rPr>
                      <w:i/>
                      <w:vertAlign w:val="subscript"/>
                    </w:rPr>
                    <w:t>q</w:t>
                  </w:r>
                </w:p>
              </w:tc>
              <w:tc>
                <w:tcPr>
                  <w:tcW w:w="433" w:type="pct"/>
                </w:tcPr>
                <w:p w14:paraId="4CC63961" w14:textId="77777777" w:rsidR="002C448D" w:rsidRDefault="002C448D" w:rsidP="002C448D">
                  <w:pPr>
                    <w:pStyle w:val="TableBody"/>
                  </w:pPr>
                  <w:r>
                    <w:t>$</w:t>
                  </w:r>
                </w:p>
              </w:tc>
              <w:tc>
                <w:tcPr>
                  <w:tcW w:w="3318" w:type="pct"/>
                </w:tcPr>
                <w:p w14:paraId="6B9411DB" w14:textId="77777777" w:rsidR="002C448D" w:rsidRDefault="002C448D" w:rsidP="002C448D">
                  <w:pPr>
                    <w:pStyle w:val="TableBody"/>
                  </w:pPr>
                  <w:r w:rsidRPr="00D54F03">
                    <w:rPr>
                      <w:i/>
                    </w:rPr>
                    <w:t xml:space="preserve">Must-Run Alternative Standby Amount Total per QSE per hour </w:t>
                  </w:r>
                  <w:r w:rsidRPr="00D54F03">
                    <w:sym w:font="Symbol" w:char="F0BE"/>
                  </w:r>
                  <w:r w:rsidRPr="00D54F03">
                    <w:t xml:space="preserve">The total of the Standby Payments </w:t>
                  </w:r>
                  <w:r>
                    <w:t>for</w:t>
                  </w:r>
                  <w:r w:rsidRPr="00D54F03">
                    <w:t xml:space="preserve"> all </w:t>
                  </w:r>
                  <w:r>
                    <w:t>MRA</w:t>
                  </w:r>
                  <w:r w:rsidRPr="00D54F03">
                    <w:t xml:space="preserve">s </w:t>
                  </w:r>
                  <w:r>
                    <w:t xml:space="preserve">represented by the QSE </w:t>
                  </w:r>
                  <w:r w:rsidRPr="009701A9">
                    <w:rPr>
                      <w:i/>
                    </w:rPr>
                    <w:t>q</w:t>
                  </w:r>
                  <w:r>
                    <w:t xml:space="preserve"> </w:t>
                  </w:r>
                  <w:r w:rsidRPr="00D54F03">
                    <w:t>for the hour.</w:t>
                  </w:r>
                </w:p>
              </w:tc>
            </w:tr>
            <w:tr w:rsidR="002C448D" w14:paraId="32E18E7D"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3CF9E3BA" w14:textId="77777777" w:rsidR="002C448D" w:rsidRPr="00A24281" w:rsidRDefault="002C448D" w:rsidP="002C448D">
                  <w:pPr>
                    <w:pStyle w:val="TableBody"/>
                    <w:rPr>
                      <w:i/>
                    </w:rPr>
                  </w:pPr>
                  <w:r>
                    <w:rPr>
                      <w:i/>
                    </w:rPr>
                    <w:t>q</w:t>
                  </w:r>
                </w:p>
              </w:tc>
              <w:tc>
                <w:tcPr>
                  <w:tcW w:w="433" w:type="pct"/>
                  <w:tcBorders>
                    <w:top w:val="single" w:sz="4" w:space="0" w:color="auto"/>
                    <w:left w:val="single" w:sz="4" w:space="0" w:color="auto"/>
                    <w:bottom w:val="single" w:sz="4" w:space="0" w:color="auto"/>
                    <w:right w:val="single" w:sz="4" w:space="0" w:color="auto"/>
                  </w:tcBorders>
                </w:tcPr>
                <w:p w14:paraId="59A23308" w14:textId="77777777" w:rsidR="002C448D" w:rsidRDefault="002C448D" w:rsidP="002C448D">
                  <w:pPr>
                    <w:pStyle w:val="TableBody"/>
                  </w:pPr>
                  <w:r>
                    <w:t>None</w:t>
                  </w:r>
                </w:p>
              </w:tc>
              <w:tc>
                <w:tcPr>
                  <w:tcW w:w="3318" w:type="pct"/>
                  <w:tcBorders>
                    <w:top w:val="single" w:sz="4" w:space="0" w:color="auto"/>
                    <w:left w:val="single" w:sz="4" w:space="0" w:color="auto"/>
                    <w:bottom w:val="single" w:sz="4" w:space="0" w:color="auto"/>
                    <w:right w:val="single" w:sz="4" w:space="0" w:color="auto"/>
                  </w:tcBorders>
                </w:tcPr>
                <w:p w14:paraId="3E8C994A" w14:textId="77777777" w:rsidR="002C448D" w:rsidRDefault="002C448D" w:rsidP="002C448D">
                  <w:pPr>
                    <w:pStyle w:val="TableBody"/>
                  </w:pPr>
                  <w:r>
                    <w:t>A QSE.</w:t>
                  </w:r>
                </w:p>
              </w:tc>
            </w:tr>
          </w:tbl>
          <w:p w14:paraId="12242CC0" w14:textId="77777777" w:rsidR="005C6D56" w:rsidRPr="00B37C4B" w:rsidRDefault="005C6D56" w:rsidP="00CE1011">
            <w:pPr>
              <w:pStyle w:val="H3"/>
            </w:pPr>
          </w:p>
        </w:tc>
      </w:tr>
    </w:tbl>
    <w:p w14:paraId="6A6907EF" w14:textId="77777777" w:rsidR="002C6FAE" w:rsidRDefault="002C6FAE" w:rsidP="002C6FAE">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2C6FAE" w14:paraId="668A6A12" w14:textId="77777777" w:rsidTr="00CE1011">
        <w:trPr>
          <w:trHeight w:val="206"/>
        </w:trPr>
        <w:tc>
          <w:tcPr>
            <w:tcW w:w="5000" w:type="pct"/>
            <w:shd w:val="pct12" w:color="auto" w:fill="auto"/>
          </w:tcPr>
          <w:p w14:paraId="5A6257E7" w14:textId="695B946E" w:rsidR="002C6FAE" w:rsidRDefault="002C6FAE" w:rsidP="00CE1011">
            <w:pPr>
              <w:pStyle w:val="Instructions"/>
              <w:spacing w:before="120"/>
            </w:pPr>
            <w:r>
              <w:t>[NPRR885:  Insert Section 6.6.6.8 below upon system implementation:]</w:t>
            </w:r>
          </w:p>
          <w:p w14:paraId="09D33155" w14:textId="77777777" w:rsidR="002C6FAE" w:rsidRPr="002C6FAE" w:rsidRDefault="002C6FAE" w:rsidP="002C6FAE">
            <w:pPr>
              <w:keepNext/>
              <w:widowControl w:val="0"/>
              <w:tabs>
                <w:tab w:val="left" w:pos="1260"/>
              </w:tabs>
              <w:spacing w:before="240" w:after="240"/>
              <w:ind w:left="1260" w:hanging="1260"/>
              <w:outlineLvl w:val="3"/>
              <w:rPr>
                <w:b/>
                <w:bCs/>
                <w:snapToGrid w:val="0"/>
                <w:color w:val="000000"/>
              </w:rPr>
            </w:pPr>
            <w:bookmarkStart w:id="2403" w:name="_Toc17798755"/>
            <w:bookmarkStart w:id="2404" w:name="_Toc204411709"/>
            <w:r w:rsidRPr="002C6FAE">
              <w:rPr>
                <w:b/>
                <w:bCs/>
                <w:snapToGrid w:val="0"/>
                <w:color w:val="000000"/>
              </w:rPr>
              <w:t>6.6.6.8</w:t>
            </w:r>
            <w:r w:rsidRPr="002C6FAE">
              <w:rPr>
                <w:b/>
                <w:bCs/>
                <w:snapToGrid w:val="0"/>
                <w:color w:val="000000"/>
              </w:rPr>
              <w:tab/>
              <w:t>MRA Contributed Capital Expenditures Payment</w:t>
            </w:r>
            <w:bookmarkEnd w:id="2403"/>
            <w:bookmarkEnd w:id="2404"/>
          </w:p>
          <w:p w14:paraId="06183963" w14:textId="77777777" w:rsidR="002C6FAE" w:rsidRPr="003E02B6" w:rsidRDefault="002C6FAE" w:rsidP="002C6FAE">
            <w:pPr>
              <w:pStyle w:val="BodyTextNumbered"/>
            </w:pPr>
            <w:r>
              <w:t>(1)</w:t>
            </w:r>
            <w:r>
              <w:tab/>
              <w:t xml:space="preserve">The contributed capital expenditure payment to each </w:t>
            </w:r>
            <w:r w:rsidRPr="003E02B6">
              <w:t xml:space="preserve">QSE for each </w:t>
            </w:r>
            <w:r>
              <w:t>MRA</w:t>
            </w:r>
            <w:r w:rsidRPr="003E02B6">
              <w:t xml:space="preserve"> for each </w:t>
            </w:r>
            <w:r>
              <w:t>MRA Contracted Hour</w:t>
            </w:r>
            <w:r w:rsidRPr="003E02B6">
              <w:t xml:space="preserve"> </w:t>
            </w:r>
            <w:r>
              <w:t xml:space="preserve">of each month </w:t>
            </w:r>
            <w:r w:rsidRPr="003E02B6">
              <w:t xml:space="preserve">is calculated as follows:  </w:t>
            </w:r>
          </w:p>
          <w:p w14:paraId="6A5E4495" w14:textId="77777777" w:rsidR="002C6FAE" w:rsidRPr="00DC487D" w:rsidRDefault="002C6FAE" w:rsidP="002C6FAE">
            <w:pPr>
              <w:pStyle w:val="FormulaBold"/>
            </w:pPr>
            <w:r w:rsidRPr="00D85224">
              <w:t>MRA</w:t>
            </w:r>
            <w:r>
              <w:t>CAPEX</w:t>
            </w:r>
            <w:r w:rsidRPr="00D85224">
              <w:t xml:space="preserve">AMT </w:t>
            </w:r>
            <w:r w:rsidRPr="00D85224">
              <w:rPr>
                <w:i/>
                <w:vertAlign w:val="subscript"/>
              </w:rPr>
              <w:t>q, r</w:t>
            </w:r>
            <w:r>
              <w:rPr>
                <w:i/>
                <w:vertAlign w:val="subscript"/>
              </w:rPr>
              <w:t xml:space="preserve">  </w:t>
            </w:r>
            <w:r w:rsidRPr="00D85224">
              <w:t>=</w:t>
            </w:r>
            <w:r>
              <w:t xml:space="preserve">  </w:t>
            </w:r>
            <w:r w:rsidRPr="00D85224">
              <w:t>(-1) * MRA</w:t>
            </w:r>
            <w:r>
              <w:t xml:space="preserve">MCAPEX </w:t>
            </w:r>
            <w:r w:rsidRPr="003E3063">
              <w:rPr>
                <w:i/>
                <w:vertAlign w:val="subscript"/>
              </w:rPr>
              <w:t>q, r</w:t>
            </w:r>
            <w:r>
              <w:rPr>
                <w:i/>
                <w:vertAlign w:val="subscript"/>
              </w:rPr>
              <w:t>, m</w:t>
            </w:r>
            <w:r w:rsidRPr="003E3063">
              <w:rPr>
                <w:i/>
                <w:vertAlign w:val="subscript"/>
              </w:rPr>
              <w:t xml:space="preserve"> </w:t>
            </w:r>
            <w:r>
              <w:t xml:space="preserve">/ MH </w:t>
            </w:r>
            <w:r w:rsidRPr="00E15B17">
              <w:rPr>
                <w:i/>
                <w:vertAlign w:val="subscript"/>
              </w:rPr>
              <w:t>q, r</w:t>
            </w:r>
            <w:r>
              <w:rPr>
                <w:i/>
                <w:vertAlign w:val="subscript"/>
              </w:rPr>
              <w:t>, m</w:t>
            </w:r>
            <w:r w:rsidRPr="002A58BA">
              <w:rPr>
                <w:i/>
                <w:vertAlign w:val="subscript"/>
              </w:rPr>
              <w:t xml:space="preserve"> </w:t>
            </w:r>
          </w:p>
          <w:p w14:paraId="3D79FC1E" w14:textId="77777777" w:rsidR="002C6FAE" w:rsidRPr="00E45D39" w:rsidRDefault="002C6FAE" w:rsidP="002C6FAE">
            <w:r w:rsidRPr="00E45D3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8"/>
              <w:gridCol w:w="605"/>
              <w:gridCol w:w="6513"/>
            </w:tblGrid>
            <w:tr w:rsidR="000B2DD1" w:rsidRPr="00E45D39" w14:paraId="5F062DF2" w14:textId="77777777" w:rsidTr="00CE1011">
              <w:trPr>
                <w:cantSplit/>
                <w:tblHeader/>
              </w:trPr>
              <w:tc>
                <w:tcPr>
                  <w:tcW w:w="1188" w:type="pct"/>
                </w:tcPr>
                <w:p w14:paraId="0BC9EBA2" w14:textId="77777777" w:rsidR="000B2DD1" w:rsidRPr="00E45D39" w:rsidRDefault="000B2DD1" w:rsidP="000B2DD1">
                  <w:pPr>
                    <w:spacing w:after="120"/>
                    <w:rPr>
                      <w:b/>
                      <w:iCs/>
                      <w:sz w:val="20"/>
                    </w:rPr>
                  </w:pPr>
                  <w:r w:rsidRPr="00E45D39">
                    <w:rPr>
                      <w:b/>
                      <w:iCs/>
                      <w:sz w:val="20"/>
                    </w:rPr>
                    <w:t>Variable</w:t>
                  </w:r>
                </w:p>
              </w:tc>
              <w:tc>
                <w:tcPr>
                  <w:tcW w:w="324" w:type="pct"/>
                </w:tcPr>
                <w:p w14:paraId="5C616C6F" w14:textId="77777777" w:rsidR="000B2DD1" w:rsidRPr="00E45D39" w:rsidRDefault="000B2DD1" w:rsidP="000B2DD1">
                  <w:pPr>
                    <w:spacing w:after="120"/>
                    <w:rPr>
                      <w:b/>
                      <w:iCs/>
                      <w:sz w:val="20"/>
                    </w:rPr>
                  </w:pPr>
                  <w:r w:rsidRPr="00E45D39">
                    <w:rPr>
                      <w:b/>
                      <w:iCs/>
                      <w:sz w:val="20"/>
                    </w:rPr>
                    <w:t>Unit</w:t>
                  </w:r>
                </w:p>
              </w:tc>
              <w:tc>
                <w:tcPr>
                  <w:tcW w:w="3488" w:type="pct"/>
                </w:tcPr>
                <w:p w14:paraId="2089BC36" w14:textId="77777777" w:rsidR="000B2DD1" w:rsidRPr="00E45D39" w:rsidRDefault="000B2DD1" w:rsidP="000B2DD1">
                  <w:pPr>
                    <w:spacing w:after="120"/>
                    <w:rPr>
                      <w:b/>
                      <w:iCs/>
                      <w:sz w:val="20"/>
                    </w:rPr>
                  </w:pPr>
                  <w:r w:rsidRPr="00E45D39">
                    <w:rPr>
                      <w:b/>
                      <w:iCs/>
                      <w:sz w:val="20"/>
                    </w:rPr>
                    <w:t>Definition</w:t>
                  </w:r>
                </w:p>
              </w:tc>
            </w:tr>
            <w:tr w:rsidR="000B2DD1" w:rsidRPr="00E45D39" w14:paraId="3C3868D6" w14:textId="77777777" w:rsidTr="00CE1011">
              <w:trPr>
                <w:cantSplit/>
              </w:trPr>
              <w:tc>
                <w:tcPr>
                  <w:tcW w:w="1188" w:type="pct"/>
                </w:tcPr>
                <w:p w14:paraId="0B1D7DF3" w14:textId="77777777" w:rsidR="000B2DD1" w:rsidRPr="004F5F62" w:rsidRDefault="000B2DD1" w:rsidP="000B2DD1">
                  <w:pPr>
                    <w:spacing w:after="60"/>
                    <w:rPr>
                      <w:iCs/>
                      <w:sz w:val="20"/>
                    </w:rPr>
                  </w:pPr>
                  <w:r w:rsidRPr="00D54F03">
                    <w:rPr>
                      <w:sz w:val="20"/>
                    </w:rPr>
                    <w:t xml:space="preserve">MRACAPEXAMT </w:t>
                  </w:r>
                  <w:r w:rsidRPr="00D54F03">
                    <w:rPr>
                      <w:i/>
                      <w:sz w:val="20"/>
                      <w:vertAlign w:val="subscript"/>
                    </w:rPr>
                    <w:t>q, r</w:t>
                  </w:r>
                </w:p>
              </w:tc>
              <w:tc>
                <w:tcPr>
                  <w:tcW w:w="324" w:type="pct"/>
                </w:tcPr>
                <w:p w14:paraId="05758F60" w14:textId="77777777" w:rsidR="000B2DD1" w:rsidRPr="00E45D39" w:rsidRDefault="000B2DD1" w:rsidP="000B2DD1">
                  <w:pPr>
                    <w:spacing w:after="60"/>
                    <w:rPr>
                      <w:iCs/>
                      <w:sz w:val="20"/>
                    </w:rPr>
                  </w:pPr>
                  <w:r w:rsidRPr="00E45D39">
                    <w:rPr>
                      <w:iCs/>
                      <w:sz w:val="20"/>
                    </w:rPr>
                    <w:t>$</w:t>
                  </w:r>
                </w:p>
              </w:tc>
              <w:tc>
                <w:tcPr>
                  <w:tcW w:w="3488" w:type="pct"/>
                </w:tcPr>
                <w:p w14:paraId="0A09FCEB" w14:textId="77777777" w:rsidR="000B2DD1" w:rsidRPr="00E45D39" w:rsidRDefault="000B2DD1" w:rsidP="000B2DD1">
                  <w:pPr>
                    <w:spacing w:after="60"/>
                    <w:rPr>
                      <w:iCs/>
                      <w:sz w:val="20"/>
                    </w:rPr>
                  </w:pPr>
                  <w:r w:rsidRPr="00E45D39">
                    <w:rPr>
                      <w:i/>
                      <w:iCs/>
                      <w:sz w:val="20"/>
                    </w:rPr>
                    <w:t xml:space="preserve">Must-Run </w:t>
                  </w:r>
                  <w:r>
                    <w:rPr>
                      <w:i/>
                      <w:iCs/>
                      <w:sz w:val="20"/>
                    </w:rPr>
                    <w:t>Alternative Contributed Capital Expenditures Amount per</w:t>
                  </w:r>
                  <w:r w:rsidRPr="00E45D39">
                    <w:rPr>
                      <w:i/>
                      <w:iCs/>
                      <w:sz w:val="20"/>
                    </w:rPr>
                    <w:t xml:space="preserve"> QSE</w:t>
                  </w:r>
                  <w:r>
                    <w:rPr>
                      <w:i/>
                      <w:iCs/>
                      <w:sz w:val="20"/>
                    </w:rPr>
                    <w:t xml:space="preserve"> per Resource per hour</w:t>
                  </w:r>
                  <w:r w:rsidRPr="00027F85">
                    <w:rPr>
                      <w:sz w:val="20"/>
                    </w:rPr>
                    <w:t>—</w:t>
                  </w:r>
                  <w:r>
                    <w:rPr>
                      <w:iCs/>
                      <w:sz w:val="20"/>
                    </w:rPr>
                    <w:t xml:space="preserve"> </w:t>
                  </w:r>
                  <w:r w:rsidRPr="003E02B6">
                    <w:rPr>
                      <w:iCs/>
                      <w:sz w:val="20"/>
                    </w:rPr>
                    <w:t xml:space="preserve">The total </w:t>
                  </w:r>
                  <w:r>
                    <w:rPr>
                      <w:iCs/>
                      <w:sz w:val="20"/>
                    </w:rPr>
                    <w:t xml:space="preserve">monthly contributed capital expenditure payment </w:t>
                  </w:r>
                  <w:r w:rsidRPr="003E02B6">
                    <w:rPr>
                      <w:iCs/>
                      <w:sz w:val="20"/>
                    </w:rPr>
                    <w:t xml:space="preserve">for </w:t>
                  </w:r>
                  <w:r>
                    <w:rPr>
                      <w:iCs/>
                      <w:sz w:val="20"/>
                    </w:rPr>
                    <w:t>MRA</w:t>
                  </w:r>
                  <w:r w:rsidRPr="003E02B6">
                    <w:rPr>
                      <w:iCs/>
                      <w:sz w:val="20"/>
                    </w:rPr>
                    <w:t xml:space="preserve"> </w:t>
                  </w:r>
                  <w:r w:rsidRPr="003E02B6">
                    <w:rPr>
                      <w:i/>
                      <w:iCs/>
                      <w:sz w:val="20"/>
                    </w:rPr>
                    <w:t xml:space="preserve">r </w:t>
                  </w:r>
                  <w:r w:rsidRPr="003E02B6">
                    <w:rPr>
                      <w:iCs/>
                      <w:sz w:val="20"/>
                    </w:rPr>
                    <w:t>represented by QSE</w:t>
                  </w:r>
                  <w:r w:rsidRPr="002F485F">
                    <w:rPr>
                      <w:iCs/>
                      <w:sz w:val="20"/>
                    </w:rPr>
                    <w:t xml:space="preserve"> </w:t>
                  </w:r>
                  <w:r w:rsidRPr="009A46A2">
                    <w:rPr>
                      <w:i/>
                      <w:iCs/>
                      <w:sz w:val="20"/>
                    </w:rPr>
                    <w:t>q</w:t>
                  </w:r>
                  <w:r w:rsidRPr="00590FA9">
                    <w:rPr>
                      <w:iCs/>
                      <w:sz w:val="20"/>
                    </w:rPr>
                    <w:t xml:space="preserve">, allocated to each </w:t>
                  </w:r>
                  <w:r>
                    <w:rPr>
                      <w:iCs/>
                      <w:sz w:val="20"/>
                    </w:rPr>
                    <w:t>MRA Contracted Hour</w:t>
                  </w:r>
                  <w:r w:rsidRPr="002F485F">
                    <w:rPr>
                      <w:iCs/>
                      <w:sz w:val="20"/>
                    </w:rPr>
                    <w:t xml:space="preserve">.  </w:t>
                  </w:r>
                  <w:r w:rsidRPr="003E02B6">
                    <w:rPr>
                      <w:iCs/>
                      <w:sz w:val="20"/>
                    </w:rPr>
                    <w:t xml:space="preserve">Where for a Combined Cycle Train, the Resource </w:t>
                  </w:r>
                  <w:r w:rsidRPr="003E02B6">
                    <w:rPr>
                      <w:i/>
                      <w:iCs/>
                      <w:sz w:val="20"/>
                    </w:rPr>
                    <w:t xml:space="preserve">r </w:t>
                  </w:r>
                  <w:r w:rsidRPr="003E02B6">
                    <w:rPr>
                      <w:iCs/>
                      <w:sz w:val="20"/>
                    </w:rPr>
                    <w:t>is a Combined Cycle Train.</w:t>
                  </w:r>
                </w:p>
              </w:tc>
            </w:tr>
            <w:tr w:rsidR="000B2DD1" w:rsidRPr="00E45D39" w14:paraId="4A6152DB" w14:textId="77777777" w:rsidTr="00CE1011">
              <w:trPr>
                <w:cantSplit/>
              </w:trPr>
              <w:tc>
                <w:tcPr>
                  <w:tcW w:w="1188" w:type="pct"/>
                </w:tcPr>
                <w:p w14:paraId="5B1AACB0" w14:textId="77777777" w:rsidR="000B2DD1" w:rsidRPr="004F5F62" w:rsidRDefault="000B2DD1" w:rsidP="000B2DD1">
                  <w:pPr>
                    <w:spacing w:after="60"/>
                    <w:rPr>
                      <w:iCs/>
                      <w:sz w:val="20"/>
                    </w:rPr>
                  </w:pPr>
                  <w:r w:rsidRPr="00D54F03">
                    <w:rPr>
                      <w:sz w:val="20"/>
                    </w:rPr>
                    <w:t>MRA</w:t>
                  </w:r>
                  <w:r w:rsidRPr="004F5F62">
                    <w:rPr>
                      <w:sz w:val="20"/>
                    </w:rPr>
                    <w:t>M</w:t>
                  </w:r>
                  <w:r w:rsidRPr="00D54F03">
                    <w:rPr>
                      <w:sz w:val="20"/>
                    </w:rPr>
                    <w:t>CAPEX</w:t>
                  </w:r>
                  <w:r w:rsidRPr="004F5F62">
                    <w:rPr>
                      <w:i/>
                      <w:sz w:val="20"/>
                      <w:vertAlign w:val="subscript"/>
                    </w:rPr>
                    <w:t xml:space="preserve"> q, </w:t>
                  </w:r>
                  <w:r w:rsidRPr="00D54F03">
                    <w:rPr>
                      <w:i/>
                      <w:sz w:val="20"/>
                      <w:vertAlign w:val="subscript"/>
                    </w:rPr>
                    <w:t>r, m</w:t>
                  </w:r>
                </w:p>
              </w:tc>
              <w:tc>
                <w:tcPr>
                  <w:tcW w:w="324" w:type="pct"/>
                </w:tcPr>
                <w:p w14:paraId="295FB8B3" w14:textId="77777777" w:rsidR="000B2DD1" w:rsidRPr="00E45D39" w:rsidRDefault="000B2DD1" w:rsidP="000B2DD1">
                  <w:pPr>
                    <w:spacing w:after="60"/>
                    <w:rPr>
                      <w:iCs/>
                      <w:sz w:val="20"/>
                    </w:rPr>
                  </w:pPr>
                  <w:r w:rsidRPr="00E45D39">
                    <w:rPr>
                      <w:iCs/>
                      <w:sz w:val="20"/>
                    </w:rPr>
                    <w:t>$</w:t>
                  </w:r>
                </w:p>
              </w:tc>
              <w:tc>
                <w:tcPr>
                  <w:tcW w:w="3488" w:type="pct"/>
                </w:tcPr>
                <w:p w14:paraId="583D7FEC" w14:textId="77777777" w:rsidR="000B2DD1" w:rsidRPr="00E45D39" w:rsidRDefault="000B2DD1" w:rsidP="000B2DD1">
                  <w:pPr>
                    <w:spacing w:after="60"/>
                    <w:rPr>
                      <w:iCs/>
                      <w:sz w:val="20"/>
                    </w:rPr>
                  </w:pPr>
                  <w:r w:rsidRPr="00E45D39">
                    <w:rPr>
                      <w:i/>
                      <w:iCs/>
                      <w:sz w:val="20"/>
                    </w:rPr>
                    <w:t xml:space="preserve">Must-Run </w:t>
                  </w:r>
                  <w:r>
                    <w:rPr>
                      <w:i/>
                      <w:iCs/>
                      <w:sz w:val="20"/>
                    </w:rPr>
                    <w:t>Alternative Monthly Contributed Capital Expenditures per</w:t>
                  </w:r>
                  <w:r w:rsidRPr="00E45D39">
                    <w:rPr>
                      <w:i/>
                      <w:iCs/>
                      <w:sz w:val="20"/>
                    </w:rPr>
                    <w:t xml:space="preserve"> QSE</w:t>
                  </w:r>
                  <w:r w:rsidRPr="00027F85">
                    <w:rPr>
                      <w:sz w:val="20"/>
                    </w:rPr>
                    <w:t>—</w:t>
                  </w:r>
                  <w:r>
                    <w:rPr>
                      <w:iCs/>
                      <w:sz w:val="20"/>
                    </w:rPr>
                    <w:t xml:space="preserve"> </w:t>
                  </w:r>
                  <w:r w:rsidRPr="003E02B6">
                    <w:rPr>
                      <w:iCs/>
                      <w:sz w:val="20"/>
                    </w:rPr>
                    <w:t xml:space="preserve">The total </w:t>
                  </w:r>
                  <w:r>
                    <w:rPr>
                      <w:iCs/>
                      <w:sz w:val="20"/>
                    </w:rPr>
                    <w:t>monthly contributed capital expenditures for MRA</w:t>
                  </w:r>
                  <w:r w:rsidRPr="003E02B6">
                    <w:rPr>
                      <w:iCs/>
                      <w:sz w:val="20"/>
                    </w:rPr>
                    <w:t xml:space="preserve"> </w:t>
                  </w:r>
                  <w:r w:rsidRPr="003E02B6">
                    <w:rPr>
                      <w:i/>
                      <w:iCs/>
                      <w:sz w:val="20"/>
                    </w:rPr>
                    <w:t xml:space="preserve">r </w:t>
                  </w:r>
                  <w:r w:rsidRPr="003E02B6">
                    <w:rPr>
                      <w:iCs/>
                      <w:sz w:val="20"/>
                    </w:rPr>
                    <w:t xml:space="preserve">represented by QSE </w:t>
                  </w:r>
                  <w:r w:rsidRPr="003E02B6">
                    <w:rPr>
                      <w:i/>
                      <w:iCs/>
                      <w:sz w:val="20"/>
                    </w:rPr>
                    <w:t>q</w:t>
                  </w:r>
                  <w:r w:rsidRPr="003E02B6">
                    <w:rPr>
                      <w:iCs/>
                      <w:sz w:val="20"/>
                    </w:rPr>
                    <w:t xml:space="preserve">.  Where for a Combined Cycle Train, the Resource </w:t>
                  </w:r>
                  <w:r w:rsidRPr="003E02B6">
                    <w:rPr>
                      <w:i/>
                      <w:iCs/>
                      <w:sz w:val="20"/>
                    </w:rPr>
                    <w:t xml:space="preserve">r </w:t>
                  </w:r>
                  <w:r w:rsidRPr="003E02B6">
                    <w:rPr>
                      <w:iCs/>
                      <w:sz w:val="20"/>
                    </w:rPr>
                    <w:t>is a Combined Cycle Train.</w:t>
                  </w:r>
                </w:p>
              </w:tc>
            </w:tr>
            <w:tr w:rsidR="000B2DD1" w:rsidRPr="00E45D39" w14:paraId="3E69BEB4" w14:textId="77777777" w:rsidTr="00CE1011">
              <w:trPr>
                <w:cantSplit/>
              </w:trPr>
              <w:tc>
                <w:tcPr>
                  <w:tcW w:w="1188" w:type="pct"/>
                </w:tcPr>
                <w:p w14:paraId="12B47866" w14:textId="77777777" w:rsidR="000B2DD1" w:rsidRPr="004F5F62" w:rsidRDefault="000B2DD1" w:rsidP="000B2DD1">
                  <w:pPr>
                    <w:spacing w:after="60"/>
                    <w:rPr>
                      <w:iCs/>
                      <w:sz w:val="20"/>
                    </w:rPr>
                  </w:pPr>
                  <w:r>
                    <w:rPr>
                      <w:sz w:val="20"/>
                    </w:rPr>
                    <w:t>M</w:t>
                  </w:r>
                  <w:r w:rsidRPr="00027F85">
                    <w:rPr>
                      <w:sz w:val="20"/>
                    </w:rPr>
                    <w:t xml:space="preserve">H </w:t>
                  </w:r>
                  <w:r w:rsidRPr="00027F85">
                    <w:rPr>
                      <w:i/>
                      <w:sz w:val="20"/>
                      <w:vertAlign w:val="subscript"/>
                    </w:rPr>
                    <w:t>q, r</w:t>
                  </w:r>
                  <w:r>
                    <w:rPr>
                      <w:i/>
                      <w:sz w:val="20"/>
                      <w:vertAlign w:val="subscript"/>
                    </w:rPr>
                    <w:t>, m</w:t>
                  </w:r>
                </w:p>
              </w:tc>
              <w:tc>
                <w:tcPr>
                  <w:tcW w:w="324" w:type="pct"/>
                </w:tcPr>
                <w:p w14:paraId="307B968E" w14:textId="77777777" w:rsidR="000B2DD1" w:rsidRPr="00E45D39" w:rsidRDefault="000B2DD1" w:rsidP="000B2DD1">
                  <w:pPr>
                    <w:spacing w:after="60"/>
                    <w:rPr>
                      <w:iCs/>
                      <w:sz w:val="20"/>
                    </w:rPr>
                  </w:pPr>
                  <w:r w:rsidRPr="00027F85">
                    <w:rPr>
                      <w:sz w:val="20"/>
                    </w:rPr>
                    <w:t>hour</w:t>
                  </w:r>
                </w:p>
              </w:tc>
              <w:tc>
                <w:tcPr>
                  <w:tcW w:w="3488" w:type="pct"/>
                </w:tcPr>
                <w:p w14:paraId="104B9397" w14:textId="77777777" w:rsidR="000B2DD1" w:rsidRPr="004F5F62" w:rsidRDefault="000B2DD1" w:rsidP="000B2DD1">
                  <w:pPr>
                    <w:spacing w:after="60"/>
                    <w:rPr>
                      <w:i/>
                      <w:iCs/>
                      <w:sz w:val="20"/>
                    </w:rPr>
                  </w:pPr>
                  <w:r w:rsidRPr="00027F85">
                    <w:rPr>
                      <w:i/>
                      <w:sz w:val="20"/>
                    </w:rPr>
                    <w:t>Number of Total Contracted Hours in the Month per QSE per Resource</w:t>
                  </w:r>
                  <w:r w:rsidRPr="00027F85">
                    <w:rPr>
                      <w:sz w:val="20"/>
                    </w:rPr>
                    <w:t xml:space="preserve">—The total number of </w:t>
                  </w:r>
                  <w:r>
                    <w:rPr>
                      <w:sz w:val="20"/>
                    </w:rPr>
                    <w:t>MRA Contracted Hour</w:t>
                  </w:r>
                  <w:r w:rsidRPr="00027F85">
                    <w:rPr>
                      <w:sz w:val="20"/>
                    </w:rPr>
                    <w:t xml:space="preserve">s in the </w:t>
                  </w:r>
                  <w:r>
                    <w:rPr>
                      <w:sz w:val="20"/>
                    </w:rPr>
                    <w:t>MRA Contracted M</w:t>
                  </w:r>
                  <w:r w:rsidRPr="00027F85">
                    <w:rPr>
                      <w:sz w:val="20"/>
                    </w:rPr>
                    <w:t>onth</w:t>
                  </w:r>
                  <w:r>
                    <w:rPr>
                      <w:sz w:val="20"/>
                    </w:rPr>
                    <w:t xml:space="preserve"> </w:t>
                  </w:r>
                  <w:r w:rsidRPr="009701A9">
                    <w:rPr>
                      <w:i/>
                      <w:sz w:val="20"/>
                    </w:rPr>
                    <w:t>m</w:t>
                  </w:r>
                  <w:r w:rsidRPr="00027F85">
                    <w:rPr>
                      <w:sz w:val="20"/>
                    </w:rPr>
                    <w:t xml:space="preserve"> for the </w:t>
                  </w:r>
                  <w:r>
                    <w:rPr>
                      <w:sz w:val="20"/>
                    </w:rPr>
                    <w:t>MRA</w:t>
                  </w:r>
                  <w:r w:rsidRPr="00590FA9">
                    <w:rPr>
                      <w:sz w:val="20"/>
                    </w:rPr>
                    <w:t xml:space="preserve"> </w:t>
                  </w:r>
                  <w:r w:rsidRPr="009701A9">
                    <w:rPr>
                      <w:i/>
                      <w:sz w:val="20"/>
                    </w:rPr>
                    <w:t>r</w:t>
                  </w:r>
                  <w:r w:rsidRPr="00590FA9">
                    <w:rPr>
                      <w:sz w:val="20"/>
                    </w:rPr>
                    <w:t xml:space="preserve"> </w:t>
                  </w:r>
                  <w:r w:rsidRPr="003E02B6">
                    <w:rPr>
                      <w:iCs/>
                      <w:sz w:val="20"/>
                    </w:rPr>
                    <w:t xml:space="preserve">represented by QSE </w:t>
                  </w:r>
                  <w:r w:rsidRPr="003E02B6">
                    <w:rPr>
                      <w:i/>
                      <w:iCs/>
                      <w:sz w:val="20"/>
                    </w:rPr>
                    <w:t>q</w:t>
                  </w:r>
                  <w:r w:rsidRPr="00590FA9">
                    <w:rPr>
                      <w:sz w:val="20"/>
                    </w:rPr>
                    <w:t xml:space="preserve"> as indicated in the MRA Agreement</w:t>
                  </w:r>
                  <w:r w:rsidRPr="002F485F">
                    <w:rPr>
                      <w:sz w:val="20"/>
                    </w:rPr>
                    <w:t>.</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0B2DD1" w:rsidRPr="00E45D39" w14:paraId="56710D70" w14:textId="77777777" w:rsidTr="00CE1011">
              <w:trPr>
                <w:cantSplit/>
              </w:trPr>
              <w:tc>
                <w:tcPr>
                  <w:tcW w:w="1188" w:type="pct"/>
                  <w:tcBorders>
                    <w:top w:val="single" w:sz="4" w:space="0" w:color="auto"/>
                    <w:left w:val="single" w:sz="4" w:space="0" w:color="auto"/>
                    <w:bottom w:val="single" w:sz="4" w:space="0" w:color="auto"/>
                    <w:right w:val="single" w:sz="4" w:space="0" w:color="auto"/>
                  </w:tcBorders>
                </w:tcPr>
                <w:p w14:paraId="79C5D7BA" w14:textId="77777777" w:rsidR="000B2DD1" w:rsidRPr="00E45D39" w:rsidRDefault="000B2DD1" w:rsidP="000B2DD1">
                  <w:pPr>
                    <w:spacing w:after="60"/>
                    <w:rPr>
                      <w:i/>
                      <w:iCs/>
                      <w:sz w:val="20"/>
                    </w:rPr>
                  </w:pPr>
                  <w:r>
                    <w:rPr>
                      <w:i/>
                      <w:iCs/>
                      <w:sz w:val="20"/>
                    </w:rPr>
                    <w:t>q</w:t>
                  </w:r>
                </w:p>
              </w:tc>
              <w:tc>
                <w:tcPr>
                  <w:tcW w:w="324" w:type="pct"/>
                  <w:tcBorders>
                    <w:top w:val="single" w:sz="4" w:space="0" w:color="auto"/>
                    <w:left w:val="single" w:sz="4" w:space="0" w:color="auto"/>
                    <w:bottom w:val="single" w:sz="4" w:space="0" w:color="auto"/>
                    <w:right w:val="single" w:sz="4" w:space="0" w:color="auto"/>
                  </w:tcBorders>
                </w:tcPr>
                <w:p w14:paraId="35F200B1" w14:textId="77777777" w:rsidR="000B2DD1" w:rsidRPr="00E45D39" w:rsidRDefault="000B2DD1" w:rsidP="000B2DD1">
                  <w:pPr>
                    <w:spacing w:after="60"/>
                    <w:rPr>
                      <w:iCs/>
                      <w:sz w:val="20"/>
                    </w:rPr>
                  </w:pPr>
                  <w:r w:rsidRPr="00E45D39">
                    <w:rPr>
                      <w:iCs/>
                      <w:sz w:val="20"/>
                    </w:rPr>
                    <w:t>none</w:t>
                  </w:r>
                </w:p>
              </w:tc>
              <w:tc>
                <w:tcPr>
                  <w:tcW w:w="3488" w:type="pct"/>
                  <w:tcBorders>
                    <w:top w:val="single" w:sz="4" w:space="0" w:color="auto"/>
                    <w:left w:val="single" w:sz="4" w:space="0" w:color="auto"/>
                    <w:bottom w:val="single" w:sz="4" w:space="0" w:color="auto"/>
                    <w:right w:val="single" w:sz="4" w:space="0" w:color="auto"/>
                  </w:tcBorders>
                </w:tcPr>
                <w:p w14:paraId="20116589" w14:textId="77777777" w:rsidR="000B2DD1" w:rsidRPr="00E45D39" w:rsidRDefault="000B2DD1" w:rsidP="000B2DD1">
                  <w:pPr>
                    <w:spacing w:after="60"/>
                    <w:rPr>
                      <w:iCs/>
                      <w:sz w:val="20"/>
                    </w:rPr>
                  </w:pPr>
                  <w:r w:rsidRPr="00E45D39">
                    <w:rPr>
                      <w:iCs/>
                      <w:sz w:val="20"/>
                    </w:rPr>
                    <w:t>A QSE.</w:t>
                  </w:r>
                </w:p>
              </w:tc>
            </w:tr>
            <w:tr w:rsidR="000B2DD1" w:rsidRPr="00E45D39" w14:paraId="29473799" w14:textId="77777777" w:rsidTr="00CE1011">
              <w:trPr>
                <w:cantSplit/>
              </w:trPr>
              <w:tc>
                <w:tcPr>
                  <w:tcW w:w="1188" w:type="pct"/>
                  <w:tcBorders>
                    <w:top w:val="single" w:sz="4" w:space="0" w:color="auto"/>
                    <w:left w:val="single" w:sz="4" w:space="0" w:color="auto"/>
                    <w:bottom w:val="single" w:sz="4" w:space="0" w:color="auto"/>
                    <w:right w:val="single" w:sz="4" w:space="0" w:color="auto"/>
                  </w:tcBorders>
                </w:tcPr>
                <w:p w14:paraId="4A1D6544" w14:textId="77777777" w:rsidR="000B2DD1" w:rsidRPr="00E45D39" w:rsidRDefault="000B2DD1" w:rsidP="000B2DD1">
                  <w:pPr>
                    <w:spacing w:after="60"/>
                    <w:rPr>
                      <w:i/>
                      <w:iCs/>
                      <w:sz w:val="20"/>
                    </w:rPr>
                  </w:pPr>
                  <w:r>
                    <w:rPr>
                      <w:i/>
                      <w:iCs/>
                      <w:sz w:val="20"/>
                    </w:rPr>
                    <w:t>r</w:t>
                  </w:r>
                </w:p>
              </w:tc>
              <w:tc>
                <w:tcPr>
                  <w:tcW w:w="324" w:type="pct"/>
                  <w:tcBorders>
                    <w:top w:val="single" w:sz="4" w:space="0" w:color="auto"/>
                    <w:left w:val="single" w:sz="4" w:space="0" w:color="auto"/>
                    <w:bottom w:val="single" w:sz="4" w:space="0" w:color="auto"/>
                    <w:right w:val="single" w:sz="4" w:space="0" w:color="auto"/>
                  </w:tcBorders>
                </w:tcPr>
                <w:p w14:paraId="64C2CAE7" w14:textId="77777777" w:rsidR="000B2DD1" w:rsidRPr="00E45D39" w:rsidRDefault="000B2DD1" w:rsidP="000B2DD1">
                  <w:pPr>
                    <w:spacing w:after="60"/>
                    <w:rPr>
                      <w:iCs/>
                      <w:sz w:val="20"/>
                    </w:rPr>
                  </w:pPr>
                  <w:r w:rsidRPr="00E45D39">
                    <w:rPr>
                      <w:iCs/>
                      <w:sz w:val="20"/>
                    </w:rPr>
                    <w:t>none</w:t>
                  </w:r>
                </w:p>
              </w:tc>
              <w:tc>
                <w:tcPr>
                  <w:tcW w:w="3488" w:type="pct"/>
                  <w:tcBorders>
                    <w:top w:val="single" w:sz="4" w:space="0" w:color="auto"/>
                    <w:left w:val="single" w:sz="4" w:space="0" w:color="auto"/>
                    <w:bottom w:val="single" w:sz="4" w:space="0" w:color="auto"/>
                    <w:right w:val="single" w:sz="4" w:space="0" w:color="auto"/>
                  </w:tcBorders>
                </w:tcPr>
                <w:p w14:paraId="1FEEDAA9" w14:textId="77777777" w:rsidR="000B2DD1" w:rsidRPr="00E45D39" w:rsidRDefault="000B2DD1" w:rsidP="000B2DD1">
                  <w:pPr>
                    <w:spacing w:after="60"/>
                    <w:rPr>
                      <w:iCs/>
                      <w:sz w:val="20"/>
                    </w:rPr>
                  </w:pPr>
                  <w:r>
                    <w:rPr>
                      <w:iCs/>
                      <w:sz w:val="20"/>
                    </w:rPr>
                    <w:t>An MRA</w:t>
                  </w:r>
                  <w:r w:rsidRPr="00E45D39">
                    <w:rPr>
                      <w:iCs/>
                      <w:sz w:val="20"/>
                    </w:rPr>
                    <w:t>.</w:t>
                  </w:r>
                </w:p>
              </w:tc>
            </w:tr>
            <w:tr w:rsidR="000B2DD1" w:rsidRPr="00027F85" w14:paraId="7E0D287B" w14:textId="77777777" w:rsidTr="00CE1011">
              <w:trPr>
                <w:cantSplit/>
              </w:trPr>
              <w:tc>
                <w:tcPr>
                  <w:tcW w:w="1188" w:type="pct"/>
                  <w:tcBorders>
                    <w:top w:val="single" w:sz="4" w:space="0" w:color="auto"/>
                    <w:left w:val="single" w:sz="4" w:space="0" w:color="auto"/>
                    <w:bottom w:val="single" w:sz="4" w:space="0" w:color="auto"/>
                    <w:right w:val="single" w:sz="4" w:space="0" w:color="auto"/>
                  </w:tcBorders>
                </w:tcPr>
                <w:p w14:paraId="2C2CB6E2" w14:textId="77777777" w:rsidR="000B2DD1" w:rsidRPr="00845E5C" w:rsidRDefault="000B2DD1" w:rsidP="000B2DD1">
                  <w:pPr>
                    <w:spacing w:after="60"/>
                    <w:rPr>
                      <w:i/>
                      <w:iCs/>
                      <w:sz w:val="20"/>
                    </w:rPr>
                  </w:pPr>
                  <w:r>
                    <w:rPr>
                      <w:i/>
                      <w:iCs/>
                      <w:sz w:val="20"/>
                    </w:rPr>
                    <w:t>m</w:t>
                  </w:r>
                </w:p>
              </w:tc>
              <w:tc>
                <w:tcPr>
                  <w:tcW w:w="324" w:type="pct"/>
                  <w:tcBorders>
                    <w:top w:val="single" w:sz="4" w:space="0" w:color="auto"/>
                    <w:left w:val="single" w:sz="4" w:space="0" w:color="auto"/>
                    <w:bottom w:val="single" w:sz="4" w:space="0" w:color="auto"/>
                    <w:right w:val="single" w:sz="4" w:space="0" w:color="auto"/>
                  </w:tcBorders>
                </w:tcPr>
                <w:p w14:paraId="4A70CED2" w14:textId="77777777" w:rsidR="000B2DD1" w:rsidRPr="00027F85" w:rsidRDefault="000B2DD1" w:rsidP="000B2DD1">
                  <w:pPr>
                    <w:spacing w:after="60"/>
                    <w:rPr>
                      <w:iCs/>
                      <w:sz w:val="20"/>
                    </w:rPr>
                  </w:pPr>
                  <w:r w:rsidRPr="00027F85">
                    <w:rPr>
                      <w:iCs/>
                      <w:sz w:val="20"/>
                    </w:rPr>
                    <w:t>none</w:t>
                  </w:r>
                </w:p>
              </w:tc>
              <w:tc>
                <w:tcPr>
                  <w:tcW w:w="3488" w:type="pct"/>
                  <w:tcBorders>
                    <w:top w:val="single" w:sz="4" w:space="0" w:color="auto"/>
                    <w:left w:val="single" w:sz="4" w:space="0" w:color="auto"/>
                    <w:bottom w:val="single" w:sz="4" w:space="0" w:color="auto"/>
                    <w:right w:val="single" w:sz="4" w:space="0" w:color="auto"/>
                  </w:tcBorders>
                </w:tcPr>
                <w:p w14:paraId="64BB3C82" w14:textId="77777777" w:rsidR="000B2DD1" w:rsidRPr="00027F85" w:rsidRDefault="000B2DD1" w:rsidP="000B2DD1">
                  <w:pPr>
                    <w:spacing w:after="60"/>
                    <w:rPr>
                      <w:iCs/>
                      <w:sz w:val="20"/>
                    </w:rPr>
                  </w:pPr>
                  <w:r>
                    <w:rPr>
                      <w:iCs/>
                      <w:sz w:val="20"/>
                    </w:rPr>
                    <w:t>An MRA Contracted Month</w:t>
                  </w:r>
                  <w:r w:rsidRPr="00BA5841">
                    <w:rPr>
                      <w:iCs/>
                      <w:sz w:val="20"/>
                    </w:rPr>
                    <w:t xml:space="preserve"> </w:t>
                  </w:r>
                  <w:r w:rsidRPr="00027F85">
                    <w:rPr>
                      <w:iCs/>
                      <w:sz w:val="20"/>
                    </w:rPr>
                    <w:t>under the MRA Agreement</w:t>
                  </w:r>
                  <w:r w:rsidRPr="00BA5841">
                    <w:rPr>
                      <w:iCs/>
                      <w:sz w:val="20"/>
                    </w:rPr>
                    <w:t>.</w:t>
                  </w:r>
                </w:p>
              </w:tc>
            </w:tr>
          </w:tbl>
          <w:p w14:paraId="59D6EE0B" w14:textId="77777777" w:rsidR="000B2DD1" w:rsidRDefault="000B2DD1" w:rsidP="000B2DD1">
            <w:pPr>
              <w:pStyle w:val="BodyTextNumbered"/>
              <w:spacing w:before="240"/>
            </w:pPr>
            <w:r>
              <w:lastRenderedPageBreak/>
              <w:t>(2)</w:t>
            </w:r>
            <w:r>
              <w:tab/>
              <w:t>The total of the contributed capital expenditure payments</w:t>
            </w:r>
            <w:r w:rsidRPr="003E02B6">
              <w:t xml:space="preserve"> </w:t>
            </w:r>
            <w:r>
              <w:t>for all MRAs represented by the QSE for a given hour is calculated as follows:</w:t>
            </w:r>
          </w:p>
          <w:p w14:paraId="25770379" w14:textId="77777777" w:rsidR="000B2DD1" w:rsidRDefault="000B2DD1" w:rsidP="000B2DD1">
            <w:pPr>
              <w:pStyle w:val="FormulaBold"/>
            </w:pPr>
            <w:r>
              <w:t>MRACAPEX</w:t>
            </w:r>
            <w:r w:rsidRPr="00D85224">
              <w:t>AMT</w:t>
            </w:r>
            <w:r>
              <w:t>QSETOT</w:t>
            </w:r>
            <w:r w:rsidRPr="003977DD">
              <w:rPr>
                <w:i/>
                <w:vertAlign w:val="subscript"/>
              </w:rPr>
              <w:t xml:space="preserve"> </w:t>
            </w:r>
            <w:r w:rsidRPr="00D85224">
              <w:rPr>
                <w:i/>
                <w:vertAlign w:val="subscript"/>
              </w:rPr>
              <w:t>q</w:t>
            </w:r>
            <w:r w:rsidRPr="00D54F03" w:rsidDel="003977DD">
              <w:rPr>
                <w:vertAlign w:val="subscript"/>
              </w:rPr>
              <w:t xml:space="preserve"> </w:t>
            </w:r>
            <w:r>
              <w:t xml:space="preserve">  =  </w:t>
            </w:r>
            <w:r w:rsidRPr="006F784F">
              <w:rPr>
                <w:position w:val="-18"/>
              </w:rPr>
              <w:object w:dxaOrig="225" w:dyaOrig="420" w14:anchorId="19B28EB0">
                <v:shape id="_x0000_i1220" type="#_x0000_t75" style="width:12pt;height:24pt" o:ole="">
                  <v:imagedata r:id="rId238" o:title=""/>
                </v:shape>
                <o:OLEObject Type="Embed" ProgID="Equation.3" ShapeID="_x0000_i1220" DrawAspect="Content" ObjectID="_1815025409" r:id="rId271"/>
              </w:object>
            </w:r>
            <w:r w:rsidRPr="00D85224">
              <w:t>MRA</w:t>
            </w:r>
            <w:r>
              <w:t>CAPEX</w:t>
            </w:r>
            <w:r w:rsidRPr="00D85224">
              <w:t xml:space="preserve">AMT </w:t>
            </w:r>
            <w:r w:rsidRPr="00D85224">
              <w:rPr>
                <w:i/>
                <w:vertAlign w:val="subscript"/>
              </w:rPr>
              <w:t>q, r</w:t>
            </w:r>
            <w:r>
              <w:rPr>
                <w:i/>
                <w:vertAlign w:val="subscript"/>
              </w:rPr>
              <w:t xml:space="preserve">  </w:t>
            </w:r>
          </w:p>
          <w:p w14:paraId="61CD0CE0" w14:textId="77777777" w:rsidR="000B2DD1" w:rsidRDefault="000B2DD1" w:rsidP="000B2DD1">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629"/>
              <w:gridCol w:w="6016"/>
            </w:tblGrid>
            <w:tr w:rsidR="0092766A" w14:paraId="4F2E4518" w14:textId="77777777" w:rsidTr="00CE1011">
              <w:trPr>
                <w:cantSplit/>
                <w:tblHeader/>
              </w:trPr>
              <w:tc>
                <w:tcPr>
                  <w:tcW w:w="1441" w:type="pct"/>
                </w:tcPr>
                <w:p w14:paraId="1273D800" w14:textId="77777777" w:rsidR="0092766A" w:rsidRDefault="0092766A" w:rsidP="0092766A">
                  <w:pPr>
                    <w:pStyle w:val="TableHead"/>
                  </w:pPr>
                  <w:r>
                    <w:t>Variable</w:t>
                  </w:r>
                </w:p>
              </w:tc>
              <w:tc>
                <w:tcPr>
                  <w:tcW w:w="337" w:type="pct"/>
                </w:tcPr>
                <w:p w14:paraId="01323DB0" w14:textId="77777777" w:rsidR="0092766A" w:rsidRDefault="0092766A" w:rsidP="0092766A">
                  <w:pPr>
                    <w:pStyle w:val="TableHead"/>
                  </w:pPr>
                  <w:r>
                    <w:t>Unit</w:t>
                  </w:r>
                </w:p>
              </w:tc>
              <w:tc>
                <w:tcPr>
                  <w:tcW w:w="3222" w:type="pct"/>
                </w:tcPr>
                <w:p w14:paraId="7F753990" w14:textId="77777777" w:rsidR="0092766A" w:rsidRDefault="0092766A" w:rsidP="0092766A">
                  <w:pPr>
                    <w:pStyle w:val="TableHead"/>
                  </w:pPr>
                  <w:r>
                    <w:t>Definition</w:t>
                  </w:r>
                </w:p>
              </w:tc>
            </w:tr>
            <w:tr w:rsidR="0092766A" w14:paraId="2C090BEC" w14:textId="77777777" w:rsidTr="00CE1011">
              <w:trPr>
                <w:cantSplit/>
              </w:trPr>
              <w:tc>
                <w:tcPr>
                  <w:tcW w:w="1441" w:type="pct"/>
                </w:tcPr>
                <w:p w14:paraId="3D1D91CB" w14:textId="77777777" w:rsidR="0092766A" w:rsidRDefault="0092766A" w:rsidP="0092766A">
                  <w:pPr>
                    <w:pStyle w:val="TableBody"/>
                  </w:pPr>
                  <w:r>
                    <w:t>MRACAPEX</w:t>
                  </w:r>
                  <w:r w:rsidRPr="00D85224">
                    <w:t>AMT</w:t>
                  </w:r>
                  <w:r>
                    <w:t xml:space="preserve">QSETOT </w:t>
                  </w:r>
                  <w:r w:rsidRPr="00480585">
                    <w:rPr>
                      <w:i/>
                      <w:vertAlign w:val="subscript"/>
                    </w:rPr>
                    <w:t>q</w:t>
                  </w:r>
                  <w:r>
                    <w:t xml:space="preserve">  </w:t>
                  </w:r>
                </w:p>
              </w:tc>
              <w:tc>
                <w:tcPr>
                  <w:tcW w:w="337" w:type="pct"/>
                </w:tcPr>
                <w:p w14:paraId="326EFE0D" w14:textId="77777777" w:rsidR="0092766A" w:rsidRDefault="0092766A" w:rsidP="0092766A">
                  <w:pPr>
                    <w:pStyle w:val="TableBody"/>
                  </w:pPr>
                  <w:r>
                    <w:t>$</w:t>
                  </w:r>
                </w:p>
              </w:tc>
              <w:tc>
                <w:tcPr>
                  <w:tcW w:w="3222" w:type="pct"/>
                </w:tcPr>
                <w:p w14:paraId="67150260" w14:textId="77777777" w:rsidR="0092766A" w:rsidRDefault="0092766A" w:rsidP="0092766A">
                  <w:pPr>
                    <w:pStyle w:val="TableBody"/>
                  </w:pPr>
                  <w:r w:rsidRPr="00E45D39">
                    <w:rPr>
                      <w:i/>
                      <w:iCs w:val="0"/>
                    </w:rPr>
                    <w:t xml:space="preserve">Must-Run </w:t>
                  </w:r>
                  <w:r>
                    <w:rPr>
                      <w:i/>
                      <w:iCs w:val="0"/>
                    </w:rPr>
                    <w:t>Alternative Contributed Capital Expenditures per</w:t>
                  </w:r>
                  <w:r w:rsidRPr="00E45D39">
                    <w:rPr>
                      <w:i/>
                      <w:iCs w:val="0"/>
                    </w:rPr>
                    <w:t xml:space="preserve"> QSE </w:t>
                  </w:r>
                  <w:r>
                    <w:rPr>
                      <w:i/>
                      <w:iCs w:val="0"/>
                    </w:rPr>
                    <w:t xml:space="preserve">per hour </w:t>
                  </w:r>
                  <w:r>
                    <w:rPr>
                      <w:iCs w:val="0"/>
                    </w:rPr>
                    <w:t xml:space="preserve">– </w:t>
                  </w:r>
                  <w:r w:rsidRPr="003E02B6">
                    <w:t xml:space="preserve">The total </w:t>
                  </w:r>
                  <w:r>
                    <w:rPr>
                      <w:iCs w:val="0"/>
                    </w:rPr>
                    <w:t xml:space="preserve">contributed capital expenditures for all </w:t>
                  </w:r>
                  <w:r>
                    <w:t>MRAs</w:t>
                  </w:r>
                  <w:r w:rsidRPr="003E02B6">
                    <w:t xml:space="preserve"> </w:t>
                  </w:r>
                  <w:r w:rsidRPr="003E02B6">
                    <w:rPr>
                      <w:i/>
                    </w:rPr>
                    <w:t xml:space="preserve">r </w:t>
                  </w:r>
                  <w:r w:rsidRPr="003E02B6">
                    <w:t>represented by</w:t>
                  </w:r>
                  <w:r>
                    <w:t xml:space="preserve"> </w:t>
                  </w:r>
                  <w:r w:rsidRPr="002F485F">
                    <w:t xml:space="preserve">QSE </w:t>
                  </w:r>
                  <w:r w:rsidRPr="00A457E1">
                    <w:rPr>
                      <w:i/>
                    </w:rPr>
                    <w:t>q</w:t>
                  </w:r>
                  <w:r w:rsidRPr="00590FA9">
                    <w:t xml:space="preserve"> for the </w:t>
                  </w:r>
                  <w:r>
                    <w:t>MRA Contracted H</w:t>
                  </w:r>
                  <w:r w:rsidRPr="00590FA9">
                    <w:t>our</w:t>
                  </w:r>
                  <w:r w:rsidRPr="002F485F">
                    <w:t>.</w:t>
                  </w:r>
                  <w:r w:rsidRPr="003E02B6">
                    <w:t xml:space="preserve"> </w:t>
                  </w:r>
                </w:p>
              </w:tc>
            </w:tr>
            <w:tr w:rsidR="0092766A" w14:paraId="5D177086" w14:textId="77777777" w:rsidTr="00CE1011">
              <w:trPr>
                <w:cantSplit/>
              </w:trPr>
              <w:tc>
                <w:tcPr>
                  <w:tcW w:w="1441" w:type="pct"/>
                </w:tcPr>
                <w:p w14:paraId="721B178D" w14:textId="77777777" w:rsidR="0092766A" w:rsidRDefault="0092766A" w:rsidP="0092766A">
                  <w:pPr>
                    <w:pStyle w:val="TableBody"/>
                  </w:pPr>
                  <w:r w:rsidRPr="00D85224">
                    <w:t>MRA</w:t>
                  </w:r>
                  <w:r>
                    <w:t>CAPEX</w:t>
                  </w:r>
                  <w:r w:rsidRPr="00D85224">
                    <w:t xml:space="preserve">AMT </w:t>
                  </w:r>
                  <w:r w:rsidRPr="00D85224">
                    <w:rPr>
                      <w:i/>
                      <w:vertAlign w:val="subscript"/>
                    </w:rPr>
                    <w:t>q, r</w:t>
                  </w:r>
                  <w:r>
                    <w:rPr>
                      <w:i/>
                      <w:vertAlign w:val="subscript"/>
                    </w:rPr>
                    <w:t xml:space="preserve">  </w:t>
                  </w:r>
                </w:p>
              </w:tc>
              <w:tc>
                <w:tcPr>
                  <w:tcW w:w="337" w:type="pct"/>
                </w:tcPr>
                <w:p w14:paraId="14636C9E" w14:textId="77777777" w:rsidR="0092766A" w:rsidRDefault="0092766A" w:rsidP="0092766A">
                  <w:pPr>
                    <w:pStyle w:val="TableBody"/>
                  </w:pPr>
                  <w:r>
                    <w:t>$</w:t>
                  </w:r>
                </w:p>
              </w:tc>
              <w:tc>
                <w:tcPr>
                  <w:tcW w:w="3222" w:type="pct"/>
                </w:tcPr>
                <w:p w14:paraId="454AAE8F" w14:textId="77777777" w:rsidR="0092766A" w:rsidRDefault="0092766A" w:rsidP="0092766A">
                  <w:pPr>
                    <w:pStyle w:val="TableBody"/>
                  </w:pPr>
                  <w:r w:rsidRPr="00E45D39">
                    <w:rPr>
                      <w:i/>
                      <w:iCs w:val="0"/>
                    </w:rPr>
                    <w:t xml:space="preserve">Must-Run </w:t>
                  </w:r>
                  <w:r>
                    <w:rPr>
                      <w:i/>
                      <w:iCs w:val="0"/>
                    </w:rPr>
                    <w:t>Alternative Contributed Capital Expenditures Amount per</w:t>
                  </w:r>
                  <w:r w:rsidRPr="00E45D39">
                    <w:rPr>
                      <w:i/>
                      <w:iCs w:val="0"/>
                    </w:rPr>
                    <w:t xml:space="preserve"> QSE </w:t>
                  </w:r>
                  <w:r>
                    <w:rPr>
                      <w:i/>
                      <w:iCs w:val="0"/>
                    </w:rPr>
                    <w:t xml:space="preserve">per Resource </w:t>
                  </w:r>
                  <w:r>
                    <w:rPr>
                      <w:iCs w:val="0"/>
                    </w:rPr>
                    <w:t xml:space="preserve">– </w:t>
                  </w:r>
                  <w:r w:rsidRPr="003E02B6">
                    <w:t xml:space="preserve">The total </w:t>
                  </w:r>
                  <w:r>
                    <w:rPr>
                      <w:iCs w:val="0"/>
                    </w:rPr>
                    <w:t xml:space="preserve">monthly contributed capital expenditure payment </w:t>
                  </w:r>
                  <w:r w:rsidRPr="003E02B6">
                    <w:t xml:space="preserve">for </w:t>
                  </w:r>
                  <w:r>
                    <w:t>MRA</w:t>
                  </w:r>
                  <w:r w:rsidRPr="003E02B6">
                    <w:t xml:space="preserve"> </w:t>
                  </w:r>
                  <w:r w:rsidRPr="003E02B6">
                    <w:rPr>
                      <w:i/>
                    </w:rPr>
                    <w:t xml:space="preserve">r </w:t>
                  </w:r>
                  <w:r w:rsidRPr="003E02B6">
                    <w:t>represented by QS</w:t>
                  </w:r>
                  <w:r w:rsidRPr="002F485F">
                    <w:t xml:space="preserve">E </w:t>
                  </w:r>
                  <w:r w:rsidRPr="00590FA9">
                    <w:t>q</w:t>
                  </w:r>
                  <w:r w:rsidRPr="00590FA9">
                    <w:rPr>
                      <w:iCs w:val="0"/>
                    </w:rPr>
                    <w:t xml:space="preserve">, allocated to each </w:t>
                  </w:r>
                  <w:r>
                    <w:rPr>
                      <w:iCs w:val="0"/>
                    </w:rPr>
                    <w:t>MRA Contracted Hour</w:t>
                  </w:r>
                  <w:r w:rsidRPr="002F485F">
                    <w:t>.</w:t>
                  </w:r>
                  <w:r w:rsidRPr="003E02B6">
                    <w:t xml:space="preserve">  Where for a Combined Cycle Train, the Resource </w:t>
                  </w:r>
                  <w:r w:rsidRPr="003E02B6">
                    <w:rPr>
                      <w:i/>
                    </w:rPr>
                    <w:t xml:space="preserve">r </w:t>
                  </w:r>
                  <w:r w:rsidRPr="003E02B6">
                    <w:t>is a Combined Cycle Train.</w:t>
                  </w:r>
                </w:p>
              </w:tc>
            </w:tr>
            <w:tr w:rsidR="0092766A" w14:paraId="0D295E4E" w14:textId="77777777" w:rsidTr="00CE1011">
              <w:trPr>
                <w:cantSplit/>
              </w:trPr>
              <w:tc>
                <w:tcPr>
                  <w:tcW w:w="1441" w:type="pct"/>
                  <w:tcBorders>
                    <w:top w:val="single" w:sz="4" w:space="0" w:color="auto"/>
                    <w:left w:val="single" w:sz="4" w:space="0" w:color="auto"/>
                    <w:bottom w:val="single" w:sz="4" w:space="0" w:color="auto"/>
                    <w:right w:val="single" w:sz="4" w:space="0" w:color="auto"/>
                  </w:tcBorders>
                </w:tcPr>
                <w:p w14:paraId="6744B6F1" w14:textId="77777777" w:rsidR="0092766A" w:rsidRPr="00A24281" w:rsidRDefault="0092766A" w:rsidP="0092766A">
                  <w:pPr>
                    <w:pStyle w:val="TableBody"/>
                    <w:rPr>
                      <w:i/>
                    </w:rPr>
                  </w:pPr>
                  <w:r>
                    <w:rPr>
                      <w:i/>
                    </w:rPr>
                    <w:t>q</w:t>
                  </w:r>
                </w:p>
              </w:tc>
              <w:tc>
                <w:tcPr>
                  <w:tcW w:w="337" w:type="pct"/>
                  <w:tcBorders>
                    <w:top w:val="single" w:sz="4" w:space="0" w:color="auto"/>
                    <w:left w:val="single" w:sz="4" w:space="0" w:color="auto"/>
                    <w:bottom w:val="single" w:sz="4" w:space="0" w:color="auto"/>
                    <w:right w:val="single" w:sz="4" w:space="0" w:color="auto"/>
                  </w:tcBorders>
                </w:tcPr>
                <w:p w14:paraId="522B3BD4" w14:textId="77777777" w:rsidR="0092766A" w:rsidRDefault="0092766A" w:rsidP="0092766A">
                  <w:pPr>
                    <w:pStyle w:val="TableBody"/>
                  </w:pPr>
                  <w:r>
                    <w:t>none</w:t>
                  </w:r>
                </w:p>
              </w:tc>
              <w:tc>
                <w:tcPr>
                  <w:tcW w:w="3222" w:type="pct"/>
                  <w:tcBorders>
                    <w:top w:val="single" w:sz="4" w:space="0" w:color="auto"/>
                    <w:left w:val="single" w:sz="4" w:space="0" w:color="auto"/>
                    <w:bottom w:val="single" w:sz="4" w:space="0" w:color="auto"/>
                    <w:right w:val="single" w:sz="4" w:space="0" w:color="auto"/>
                  </w:tcBorders>
                </w:tcPr>
                <w:p w14:paraId="5FA30CA7" w14:textId="77777777" w:rsidR="0092766A" w:rsidRDefault="0092766A" w:rsidP="0092766A">
                  <w:pPr>
                    <w:pStyle w:val="TableBody"/>
                  </w:pPr>
                  <w:r>
                    <w:t>A QSE.</w:t>
                  </w:r>
                </w:p>
              </w:tc>
            </w:tr>
            <w:tr w:rsidR="0092766A" w14:paraId="24F26E40" w14:textId="77777777" w:rsidTr="00CE1011">
              <w:trPr>
                <w:cantSplit/>
              </w:trPr>
              <w:tc>
                <w:tcPr>
                  <w:tcW w:w="1441" w:type="pct"/>
                  <w:tcBorders>
                    <w:top w:val="single" w:sz="4" w:space="0" w:color="auto"/>
                    <w:left w:val="single" w:sz="4" w:space="0" w:color="auto"/>
                    <w:bottom w:val="single" w:sz="4" w:space="0" w:color="auto"/>
                    <w:right w:val="single" w:sz="4" w:space="0" w:color="auto"/>
                  </w:tcBorders>
                </w:tcPr>
                <w:p w14:paraId="07137E94" w14:textId="77777777" w:rsidR="0092766A" w:rsidRPr="00A24281" w:rsidRDefault="0092766A" w:rsidP="0092766A">
                  <w:pPr>
                    <w:pStyle w:val="TableBody"/>
                    <w:rPr>
                      <w:i/>
                    </w:rPr>
                  </w:pPr>
                  <w:r>
                    <w:rPr>
                      <w:i/>
                    </w:rPr>
                    <w:t>r</w:t>
                  </w:r>
                </w:p>
              </w:tc>
              <w:tc>
                <w:tcPr>
                  <w:tcW w:w="337" w:type="pct"/>
                  <w:tcBorders>
                    <w:top w:val="single" w:sz="4" w:space="0" w:color="auto"/>
                    <w:left w:val="single" w:sz="4" w:space="0" w:color="auto"/>
                    <w:bottom w:val="single" w:sz="4" w:space="0" w:color="auto"/>
                    <w:right w:val="single" w:sz="4" w:space="0" w:color="auto"/>
                  </w:tcBorders>
                </w:tcPr>
                <w:p w14:paraId="11EB95A3" w14:textId="77777777" w:rsidR="0092766A" w:rsidRDefault="0092766A" w:rsidP="0092766A">
                  <w:pPr>
                    <w:pStyle w:val="TableBody"/>
                  </w:pPr>
                  <w:r>
                    <w:t>none</w:t>
                  </w:r>
                </w:p>
              </w:tc>
              <w:tc>
                <w:tcPr>
                  <w:tcW w:w="3222" w:type="pct"/>
                  <w:tcBorders>
                    <w:top w:val="single" w:sz="4" w:space="0" w:color="auto"/>
                    <w:left w:val="single" w:sz="4" w:space="0" w:color="auto"/>
                    <w:bottom w:val="single" w:sz="4" w:space="0" w:color="auto"/>
                    <w:right w:val="single" w:sz="4" w:space="0" w:color="auto"/>
                  </w:tcBorders>
                </w:tcPr>
                <w:p w14:paraId="15D84597" w14:textId="77777777" w:rsidR="0092766A" w:rsidRDefault="0092766A" w:rsidP="0092766A">
                  <w:pPr>
                    <w:pStyle w:val="TableBody"/>
                  </w:pPr>
                  <w:r>
                    <w:t>An MRA.</w:t>
                  </w:r>
                </w:p>
              </w:tc>
            </w:tr>
          </w:tbl>
          <w:p w14:paraId="037C502A" w14:textId="77777777" w:rsidR="0092766A" w:rsidRDefault="0092766A" w:rsidP="0092766A">
            <w:pPr>
              <w:pStyle w:val="BodyTextNumbered"/>
              <w:spacing w:before="240"/>
            </w:pPr>
            <w:r>
              <w:t>(3)</w:t>
            </w:r>
            <w:r>
              <w:tab/>
              <w:t>The total contributed capital expenditure payments</w:t>
            </w:r>
            <w:r w:rsidRPr="003E02B6">
              <w:t xml:space="preserve"> </w:t>
            </w:r>
            <w:r>
              <w:t>for a given MRA Contracted Hour is calculated as follows:</w:t>
            </w:r>
          </w:p>
          <w:p w14:paraId="531C169A" w14:textId="77777777" w:rsidR="0092766A" w:rsidRDefault="0092766A" w:rsidP="0092766A">
            <w:pPr>
              <w:pStyle w:val="FormulaBold"/>
            </w:pPr>
            <w:r>
              <w:t xml:space="preserve">MRACAPEXAMTTOT  =  </w:t>
            </w:r>
            <w:r w:rsidRPr="006F784F">
              <w:rPr>
                <w:position w:val="-22"/>
              </w:rPr>
              <w:object w:dxaOrig="210" w:dyaOrig="465" w14:anchorId="7218A8D0">
                <v:shape id="_x0000_i1221" type="#_x0000_t75" style="width:5.4pt;height:24.6pt" o:ole="">
                  <v:imagedata r:id="rId187" o:title=""/>
                </v:shape>
                <o:OLEObject Type="Embed" ProgID="Equation.3" ShapeID="_x0000_i1221" DrawAspect="Content" ObjectID="_1815025410" r:id="rId272"/>
              </w:object>
            </w:r>
            <w:r w:rsidRPr="00D23972">
              <w:t xml:space="preserve"> </w:t>
            </w:r>
            <w:r>
              <w:t>MRACAPEX</w:t>
            </w:r>
            <w:r w:rsidRPr="00D85224">
              <w:t>AMT</w:t>
            </w:r>
            <w:r>
              <w:t xml:space="preserve">QSETOT </w:t>
            </w:r>
            <w:r w:rsidRPr="00590FA9">
              <w:rPr>
                <w:i/>
                <w:vertAlign w:val="subscript"/>
              </w:rPr>
              <w:t>q</w:t>
            </w:r>
            <w:r>
              <w:rPr>
                <w:i/>
                <w:vertAlign w:val="subscript"/>
              </w:rPr>
              <w:t xml:space="preserve">  </w:t>
            </w:r>
          </w:p>
          <w:p w14:paraId="779BE663" w14:textId="77777777" w:rsidR="0092766A" w:rsidRDefault="0092766A" w:rsidP="0092766A">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629"/>
              <w:gridCol w:w="6016"/>
            </w:tblGrid>
            <w:tr w:rsidR="0092766A" w14:paraId="376DEE03" w14:textId="77777777" w:rsidTr="00CE1011">
              <w:trPr>
                <w:cantSplit/>
                <w:tblHeader/>
              </w:trPr>
              <w:tc>
                <w:tcPr>
                  <w:tcW w:w="1441" w:type="pct"/>
                </w:tcPr>
                <w:p w14:paraId="32E25901" w14:textId="77777777" w:rsidR="0092766A" w:rsidRDefault="0092766A" w:rsidP="0092766A">
                  <w:pPr>
                    <w:pStyle w:val="TableHead"/>
                  </w:pPr>
                  <w:r>
                    <w:t>Variable</w:t>
                  </w:r>
                </w:p>
              </w:tc>
              <w:tc>
                <w:tcPr>
                  <w:tcW w:w="337" w:type="pct"/>
                </w:tcPr>
                <w:p w14:paraId="307D4AB7" w14:textId="77777777" w:rsidR="0092766A" w:rsidRDefault="0092766A" w:rsidP="0092766A">
                  <w:pPr>
                    <w:pStyle w:val="TableHead"/>
                  </w:pPr>
                  <w:r>
                    <w:t>Unit</w:t>
                  </w:r>
                </w:p>
              </w:tc>
              <w:tc>
                <w:tcPr>
                  <w:tcW w:w="3222" w:type="pct"/>
                </w:tcPr>
                <w:p w14:paraId="51A80FAB" w14:textId="77777777" w:rsidR="0092766A" w:rsidRDefault="0092766A" w:rsidP="0092766A">
                  <w:pPr>
                    <w:pStyle w:val="TableHead"/>
                  </w:pPr>
                  <w:r>
                    <w:t>Definition</w:t>
                  </w:r>
                </w:p>
              </w:tc>
            </w:tr>
            <w:tr w:rsidR="0092766A" w14:paraId="21F584B4" w14:textId="77777777" w:rsidTr="00CE1011">
              <w:trPr>
                <w:cantSplit/>
              </w:trPr>
              <w:tc>
                <w:tcPr>
                  <w:tcW w:w="1441" w:type="pct"/>
                </w:tcPr>
                <w:p w14:paraId="0F50A93B" w14:textId="77777777" w:rsidR="0092766A" w:rsidRDefault="0092766A" w:rsidP="0092766A">
                  <w:pPr>
                    <w:pStyle w:val="TableBody"/>
                  </w:pPr>
                  <w:r>
                    <w:t xml:space="preserve">MRACAPEXAMTTOT  </w:t>
                  </w:r>
                </w:p>
              </w:tc>
              <w:tc>
                <w:tcPr>
                  <w:tcW w:w="337" w:type="pct"/>
                </w:tcPr>
                <w:p w14:paraId="2479027E" w14:textId="77777777" w:rsidR="0092766A" w:rsidRDefault="0092766A" w:rsidP="0092766A">
                  <w:pPr>
                    <w:pStyle w:val="TableBody"/>
                  </w:pPr>
                  <w:r>
                    <w:t>$</w:t>
                  </w:r>
                </w:p>
              </w:tc>
              <w:tc>
                <w:tcPr>
                  <w:tcW w:w="3222" w:type="pct"/>
                </w:tcPr>
                <w:p w14:paraId="51616F3E" w14:textId="77777777" w:rsidR="0092766A" w:rsidRDefault="0092766A" w:rsidP="0092766A">
                  <w:pPr>
                    <w:pStyle w:val="TableBody"/>
                  </w:pPr>
                  <w:r w:rsidRPr="00E45D39">
                    <w:rPr>
                      <w:i/>
                      <w:iCs w:val="0"/>
                    </w:rPr>
                    <w:t xml:space="preserve">Must-Run </w:t>
                  </w:r>
                  <w:r>
                    <w:rPr>
                      <w:i/>
                      <w:iCs w:val="0"/>
                    </w:rPr>
                    <w:t xml:space="preserve">Alternative Contributed Capital Expenditures per hour </w:t>
                  </w:r>
                  <w:r>
                    <w:rPr>
                      <w:iCs w:val="0"/>
                    </w:rPr>
                    <w:t xml:space="preserve">– </w:t>
                  </w:r>
                  <w:r w:rsidRPr="003E02B6">
                    <w:t xml:space="preserve">The total </w:t>
                  </w:r>
                  <w:r>
                    <w:rPr>
                      <w:iCs w:val="0"/>
                    </w:rPr>
                    <w:t>contributed capital expenditures to all QSEs</w:t>
                  </w:r>
                  <w:r w:rsidRPr="00A457E1">
                    <w:rPr>
                      <w:iCs w:val="0"/>
                    </w:rPr>
                    <w:t xml:space="preserve"> </w:t>
                  </w:r>
                  <w:r>
                    <w:rPr>
                      <w:iCs w:val="0"/>
                    </w:rPr>
                    <w:t xml:space="preserve">for all </w:t>
                  </w:r>
                  <w:r>
                    <w:t>MRA</w:t>
                  </w:r>
                  <w:r w:rsidRPr="002F485F">
                    <w:t xml:space="preserve">s </w:t>
                  </w:r>
                  <w:r w:rsidRPr="00590FA9">
                    <w:t xml:space="preserve">for the </w:t>
                  </w:r>
                  <w:r>
                    <w:t>MRA Contracted H</w:t>
                  </w:r>
                  <w:r w:rsidRPr="00590FA9">
                    <w:t>our</w:t>
                  </w:r>
                  <w:r w:rsidRPr="002F485F">
                    <w:t xml:space="preserve">. </w:t>
                  </w:r>
                </w:p>
              </w:tc>
            </w:tr>
            <w:tr w:rsidR="0092766A" w14:paraId="0AB6EC4F" w14:textId="77777777" w:rsidTr="00CE1011">
              <w:trPr>
                <w:cantSplit/>
              </w:trPr>
              <w:tc>
                <w:tcPr>
                  <w:tcW w:w="1441" w:type="pct"/>
                </w:tcPr>
                <w:p w14:paraId="62F0A56F" w14:textId="77777777" w:rsidR="0092766A" w:rsidRDefault="0092766A" w:rsidP="0092766A">
                  <w:pPr>
                    <w:pStyle w:val="TableBody"/>
                  </w:pPr>
                  <w:r>
                    <w:t>MRACAPEX</w:t>
                  </w:r>
                  <w:r w:rsidRPr="00D85224">
                    <w:t>AMT</w:t>
                  </w:r>
                  <w:r>
                    <w:t xml:space="preserve">QSETOT </w:t>
                  </w:r>
                  <w:r w:rsidRPr="00590FA9">
                    <w:rPr>
                      <w:i/>
                      <w:vertAlign w:val="subscript"/>
                    </w:rPr>
                    <w:t>q</w:t>
                  </w:r>
                  <w:r>
                    <w:t xml:space="preserve"> </w:t>
                  </w:r>
                </w:p>
              </w:tc>
              <w:tc>
                <w:tcPr>
                  <w:tcW w:w="337" w:type="pct"/>
                </w:tcPr>
                <w:p w14:paraId="45078E6E" w14:textId="77777777" w:rsidR="0092766A" w:rsidRDefault="0092766A" w:rsidP="0092766A">
                  <w:pPr>
                    <w:pStyle w:val="TableBody"/>
                  </w:pPr>
                  <w:r>
                    <w:t>$</w:t>
                  </w:r>
                </w:p>
              </w:tc>
              <w:tc>
                <w:tcPr>
                  <w:tcW w:w="3222" w:type="pct"/>
                </w:tcPr>
                <w:p w14:paraId="4DEFFC82" w14:textId="77777777" w:rsidR="0092766A" w:rsidRDefault="0092766A" w:rsidP="0092766A">
                  <w:pPr>
                    <w:pStyle w:val="TableBody"/>
                  </w:pPr>
                  <w:r w:rsidRPr="00E45D39">
                    <w:rPr>
                      <w:i/>
                      <w:iCs w:val="0"/>
                    </w:rPr>
                    <w:t xml:space="preserve">Must-Run </w:t>
                  </w:r>
                  <w:r>
                    <w:rPr>
                      <w:i/>
                      <w:iCs w:val="0"/>
                    </w:rPr>
                    <w:t>Alternative Contributed Capital Expenditures per</w:t>
                  </w:r>
                  <w:r w:rsidRPr="00E45D39">
                    <w:rPr>
                      <w:i/>
                      <w:iCs w:val="0"/>
                    </w:rPr>
                    <w:t xml:space="preserve"> QSE </w:t>
                  </w:r>
                  <w:r>
                    <w:rPr>
                      <w:i/>
                      <w:iCs w:val="0"/>
                    </w:rPr>
                    <w:t xml:space="preserve">per hour </w:t>
                  </w:r>
                  <w:r>
                    <w:rPr>
                      <w:iCs w:val="0"/>
                    </w:rPr>
                    <w:t xml:space="preserve">– </w:t>
                  </w:r>
                  <w:r w:rsidRPr="003E02B6">
                    <w:t xml:space="preserve">The total </w:t>
                  </w:r>
                  <w:r>
                    <w:rPr>
                      <w:iCs w:val="0"/>
                    </w:rPr>
                    <w:t xml:space="preserve">contributed capital expenditures for all </w:t>
                  </w:r>
                  <w:r>
                    <w:t>MRAs</w:t>
                  </w:r>
                  <w:r w:rsidRPr="003E02B6">
                    <w:rPr>
                      <w:i/>
                    </w:rPr>
                    <w:t xml:space="preserve"> </w:t>
                  </w:r>
                  <w:r w:rsidRPr="003E02B6">
                    <w:t>represented by</w:t>
                  </w:r>
                  <w:r>
                    <w:t xml:space="preserve"> </w:t>
                  </w:r>
                  <w:r w:rsidRPr="002F485F">
                    <w:t xml:space="preserve">QSE </w:t>
                  </w:r>
                  <w:r w:rsidRPr="00A457E1">
                    <w:rPr>
                      <w:i/>
                    </w:rPr>
                    <w:t>q</w:t>
                  </w:r>
                  <w:r w:rsidRPr="00590FA9">
                    <w:t xml:space="preserve"> for the </w:t>
                  </w:r>
                  <w:r>
                    <w:t>MRA Contracted H</w:t>
                  </w:r>
                  <w:r w:rsidRPr="00590FA9">
                    <w:t>our</w:t>
                  </w:r>
                  <w:r w:rsidRPr="002F485F">
                    <w:t>.</w:t>
                  </w:r>
                  <w:r w:rsidRPr="003E02B6">
                    <w:t xml:space="preserve"> </w:t>
                  </w:r>
                </w:p>
              </w:tc>
            </w:tr>
            <w:tr w:rsidR="0092766A" w14:paraId="190E15EE" w14:textId="77777777" w:rsidTr="00CE1011">
              <w:trPr>
                <w:cantSplit/>
              </w:trPr>
              <w:tc>
                <w:tcPr>
                  <w:tcW w:w="1441" w:type="pct"/>
                  <w:tcBorders>
                    <w:top w:val="single" w:sz="4" w:space="0" w:color="auto"/>
                    <w:left w:val="single" w:sz="4" w:space="0" w:color="auto"/>
                    <w:bottom w:val="single" w:sz="4" w:space="0" w:color="auto"/>
                    <w:right w:val="single" w:sz="4" w:space="0" w:color="auto"/>
                  </w:tcBorders>
                </w:tcPr>
                <w:p w14:paraId="26944773" w14:textId="77777777" w:rsidR="0092766A" w:rsidRPr="00A24281" w:rsidRDefault="0092766A" w:rsidP="0092766A">
                  <w:pPr>
                    <w:pStyle w:val="TableBody"/>
                    <w:rPr>
                      <w:i/>
                    </w:rPr>
                  </w:pPr>
                  <w:r>
                    <w:rPr>
                      <w:i/>
                    </w:rPr>
                    <w:t>q</w:t>
                  </w:r>
                </w:p>
              </w:tc>
              <w:tc>
                <w:tcPr>
                  <w:tcW w:w="337" w:type="pct"/>
                  <w:tcBorders>
                    <w:top w:val="single" w:sz="4" w:space="0" w:color="auto"/>
                    <w:left w:val="single" w:sz="4" w:space="0" w:color="auto"/>
                    <w:bottom w:val="single" w:sz="4" w:space="0" w:color="auto"/>
                    <w:right w:val="single" w:sz="4" w:space="0" w:color="auto"/>
                  </w:tcBorders>
                </w:tcPr>
                <w:p w14:paraId="2185DBD3" w14:textId="77777777" w:rsidR="0092766A" w:rsidRDefault="0092766A" w:rsidP="0092766A">
                  <w:pPr>
                    <w:pStyle w:val="TableBody"/>
                  </w:pPr>
                  <w:r>
                    <w:t>none</w:t>
                  </w:r>
                </w:p>
              </w:tc>
              <w:tc>
                <w:tcPr>
                  <w:tcW w:w="3222" w:type="pct"/>
                  <w:tcBorders>
                    <w:top w:val="single" w:sz="4" w:space="0" w:color="auto"/>
                    <w:left w:val="single" w:sz="4" w:space="0" w:color="auto"/>
                    <w:bottom w:val="single" w:sz="4" w:space="0" w:color="auto"/>
                    <w:right w:val="single" w:sz="4" w:space="0" w:color="auto"/>
                  </w:tcBorders>
                </w:tcPr>
                <w:p w14:paraId="274EE759" w14:textId="77777777" w:rsidR="0092766A" w:rsidRDefault="0092766A" w:rsidP="0092766A">
                  <w:pPr>
                    <w:pStyle w:val="TableBody"/>
                  </w:pPr>
                  <w:r>
                    <w:t>A QSE.</w:t>
                  </w:r>
                </w:p>
              </w:tc>
            </w:tr>
          </w:tbl>
          <w:p w14:paraId="4C6C01B5" w14:textId="77777777" w:rsidR="002C6FAE" w:rsidRPr="00C3334D" w:rsidRDefault="002C6FAE" w:rsidP="00CE1011">
            <w:pPr>
              <w:spacing w:after="240"/>
              <w:ind w:left="720" w:hanging="720"/>
            </w:pPr>
          </w:p>
        </w:tc>
      </w:tr>
    </w:tbl>
    <w:p w14:paraId="67143544" w14:textId="77777777" w:rsidR="000C1EEE" w:rsidRDefault="000C1EEE" w:rsidP="000C1EEE">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95"/>
      </w:tblGrid>
      <w:tr w:rsidR="000C1EEE" w14:paraId="5CC3F1CB" w14:textId="77777777" w:rsidTr="00CE1011">
        <w:trPr>
          <w:trHeight w:val="206"/>
        </w:trPr>
        <w:tc>
          <w:tcPr>
            <w:tcW w:w="5000" w:type="pct"/>
            <w:shd w:val="pct12" w:color="auto" w:fill="auto"/>
          </w:tcPr>
          <w:p w14:paraId="0D4C4DCB" w14:textId="77A6B749" w:rsidR="000C1EEE" w:rsidRDefault="000C1EEE" w:rsidP="00CE1011">
            <w:pPr>
              <w:pStyle w:val="Instructions"/>
              <w:spacing w:before="120"/>
            </w:pPr>
            <w:r>
              <w:t>[NPRR885</w:t>
            </w:r>
            <w:r w:rsidR="00AA432B">
              <w:t xml:space="preserve"> and NPRR1256</w:t>
            </w:r>
            <w:r>
              <w:t xml:space="preserve">:  Insert </w:t>
            </w:r>
            <w:r w:rsidR="00AA432B">
              <w:t xml:space="preserve">applicable portions of </w:t>
            </w:r>
            <w:r>
              <w:t>Section 6.6.6.9 below upon system implementation</w:t>
            </w:r>
            <w:r w:rsidR="00AA432B">
              <w:t xml:space="preserve"> for NPRR885; or upon system implementation of NPRR885 and upon system implementation for NPRR1256</w:t>
            </w:r>
            <w:r>
              <w:t>:]</w:t>
            </w:r>
          </w:p>
          <w:p w14:paraId="4351214A" w14:textId="77777777" w:rsidR="000C1EEE" w:rsidRPr="000C1EEE" w:rsidRDefault="000C1EEE" w:rsidP="000C1EEE">
            <w:pPr>
              <w:keepNext/>
              <w:widowControl w:val="0"/>
              <w:tabs>
                <w:tab w:val="left" w:pos="1260"/>
              </w:tabs>
              <w:spacing w:before="240" w:after="240"/>
              <w:ind w:left="1267" w:hanging="1267"/>
              <w:outlineLvl w:val="3"/>
              <w:rPr>
                <w:b/>
                <w:bCs/>
                <w:snapToGrid w:val="0"/>
                <w:color w:val="000000"/>
              </w:rPr>
            </w:pPr>
            <w:bookmarkStart w:id="2405" w:name="_Toc17798756"/>
            <w:bookmarkStart w:id="2406" w:name="_Toc204411710"/>
            <w:r w:rsidRPr="000C1EEE">
              <w:rPr>
                <w:b/>
                <w:bCs/>
                <w:snapToGrid w:val="0"/>
                <w:color w:val="000000"/>
              </w:rPr>
              <w:t>6.6.6.9</w:t>
            </w:r>
            <w:r w:rsidRPr="000C1EEE">
              <w:rPr>
                <w:b/>
                <w:bCs/>
                <w:snapToGrid w:val="0"/>
                <w:color w:val="000000"/>
              </w:rPr>
              <w:tab/>
              <w:t>MRA Payment for Deployment Event</w:t>
            </w:r>
            <w:bookmarkEnd w:id="2405"/>
            <w:bookmarkEnd w:id="2406"/>
          </w:p>
          <w:p w14:paraId="1A76E4BC" w14:textId="77777777" w:rsidR="000C1EEE" w:rsidRDefault="000C1EEE" w:rsidP="000C1EEE">
            <w:pPr>
              <w:spacing w:after="240"/>
              <w:ind w:left="720" w:hanging="720"/>
              <w:rPr>
                <w:bCs/>
                <w:color w:val="000000"/>
                <w:lang w:val="pt-BR"/>
              </w:rPr>
            </w:pPr>
            <w:r>
              <w:rPr>
                <w:bCs/>
                <w:lang w:val="pt-BR"/>
              </w:rPr>
              <w:t>(1)</w:t>
            </w:r>
            <w:r w:rsidRPr="00081671">
              <w:rPr>
                <w:bCs/>
                <w:lang w:val="pt-BR"/>
              </w:rPr>
              <w:tab/>
            </w:r>
            <w:r w:rsidRPr="00081671">
              <w:rPr>
                <w:bCs/>
                <w:color w:val="000000"/>
                <w:lang w:val="pt-BR"/>
              </w:rPr>
              <w:t>The deployment event pay</w:t>
            </w:r>
            <w:r>
              <w:rPr>
                <w:bCs/>
                <w:color w:val="000000"/>
                <w:lang w:val="pt-BR"/>
              </w:rPr>
              <w:t>ment to each QSE representing a Generation Resource</w:t>
            </w:r>
            <w:r w:rsidRPr="00081671">
              <w:rPr>
                <w:bCs/>
                <w:color w:val="000000"/>
                <w:lang w:val="pt-BR"/>
              </w:rPr>
              <w:t xml:space="preserve"> </w:t>
            </w:r>
            <w:r>
              <w:rPr>
                <w:bCs/>
                <w:color w:val="000000"/>
                <w:lang w:val="pt-BR"/>
              </w:rPr>
              <w:t>MRA</w:t>
            </w:r>
            <w:r w:rsidRPr="00081671">
              <w:rPr>
                <w:bCs/>
                <w:color w:val="000000"/>
                <w:lang w:val="pt-BR"/>
              </w:rPr>
              <w:t>:</w:t>
            </w:r>
          </w:p>
          <w:p w14:paraId="5E31B365" w14:textId="77777777" w:rsidR="000C1EEE" w:rsidRPr="00081671" w:rsidRDefault="000C1EEE" w:rsidP="000C1EEE">
            <w:pPr>
              <w:tabs>
                <w:tab w:val="left" w:pos="2700"/>
                <w:tab w:val="left" w:pos="3150"/>
              </w:tabs>
              <w:spacing w:after="240"/>
              <w:ind w:left="2700" w:hanging="1890"/>
            </w:pPr>
            <w:r w:rsidRPr="00081671">
              <w:rPr>
                <w:bCs/>
                <w:color w:val="000000"/>
                <w:lang w:val="pt-BR"/>
              </w:rPr>
              <w:t>MRADEAMT</w:t>
            </w:r>
            <w:r>
              <w:rPr>
                <w:bCs/>
                <w:color w:val="000000"/>
                <w:lang w:val="pt-BR"/>
              </w:rPr>
              <w:t xml:space="preserve"> </w:t>
            </w:r>
            <w:r w:rsidRPr="00081671">
              <w:rPr>
                <w:bCs/>
                <w:i/>
                <w:vertAlign w:val="subscript"/>
                <w:lang w:val="pt-BR"/>
              </w:rPr>
              <w:t>q, r, h</w:t>
            </w:r>
            <w:r w:rsidRPr="00081671">
              <w:rPr>
                <w:bCs/>
                <w:lang w:val="pt-BR"/>
              </w:rPr>
              <w:t xml:space="preserve"> = (-1) * Max{EDPRICE </w:t>
            </w:r>
            <w:r w:rsidRPr="00081671">
              <w:rPr>
                <w:bCs/>
                <w:i/>
                <w:vertAlign w:val="subscript"/>
                <w:lang w:val="pt-BR"/>
              </w:rPr>
              <w:t>q, r, m</w:t>
            </w:r>
            <w:r w:rsidRPr="00081671">
              <w:rPr>
                <w:bCs/>
                <w:lang w:val="pt-BR"/>
              </w:rPr>
              <w:t>, (FIP + MRACEFA</w:t>
            </w:r>
            <w:r w:rsidRPr="00081671">
              <w:rPr>
                <w:bCs/>
                <w:i/>
                <w:vertAlign w:val="subscript"/>
                <w:lang w:val="pt-BR"/>
              </w:rPr>
              <w:t xml:space="preserve"> q, r</w:t>
            </w:r>
            <w:r w:rsidRPr="00081671">
              <w:rPr>
                <w:bCs/>
                <w:lang w:val="pt-BR"/>
              </w:rPr>
              <w:t>) * MRAPSUFQ</w:t>
            </w:r>
            <w:r>
              <w:rPr>
                <w:bCs/>
                <w:lang w:val="pt-BR"/>
              </w:rPr>
              <w:t xml:space="preserve"> </w:t>
            </w:r>
            <w:r w:rsidRPr="00081671">
              <w:rPr>
                <w:bCs/>
                <w:i/>
                <w:vertAlign w:val="subscript"/>
                <w:lang w:val="pt-BR"/>
              </w:rPr>
              <w:t>q, r</w:t>
            </w:r>
            <w:r w:rsidRPr="00081671">
              <w:rPr>
                <w:bCs/>
                <w:lang w:val="pt-BR"/>
              </w:rPr>
              <w:t>} * MRAFLAG</w:t>
            </w:r>
            <w:r>
              <w:rPr>
                <w:bCs/>
                <w:lang w:val="pt-BR"/>
              </w:rPr>
              <w:t xml:space="preserve"> </w:t>
            </w:r>
            <w:r w:rsidRPr="00081671">
              <w:rPr>
                <w:bCs/>
                <w:i/>
                <w:vertAlign w:val="subscript"/>
                <w:lang w:val="pt-BR"/>
              </w:rPr>
              <w:t>q,</w:t>
            </w:r>
            <w:r>
              <w:rPr>
                <w:bCs/>
                <w:i/>
                <w:vertAlign w:val="subscript"/>
                <w:lang w:val="pt-BR"/>
              </w:rPr>
              <w:t xml:space="preserve"> </w:t>
            </w:r>
            <w:r w:rsidRPr="00081671">
              <w:rPr>
                <w:bCs/>
                <w:i/>
                <w:vertAlign w:val="subscript"/>
                <w:lang w:val="pt-BR"/>
              </w:rPr>
              <w:t>r,</w:t>
            </w:r>
            <w:r>
              <w:rPr>
                <w:bCs/>
                <w:i/>
                <w:vertAlign w:val="subscript"/>
                <w:lang w:val="pt-BR"/>
              </w:rPr>
              <w:t xml:space="preserve"> </w:t>
            </w:r>
            <w:r w:rsidRPr="00081671">
              <w:rPr>
                <w:bCs/>
                <w:i/>
                <w:vertAlign w:val="subscript"/>
                <w:lang w:val="pt-BR"/>
              </w:rPr>
              <w:t>h</w:t>
            </w:r>
            <w:r w:rsidRPr="00081671">
              <w:rPr>
                <w:bCs/>
                <w:lang w:val="pt-BR"/>
              </w:rPr>
              <w:t xml:space="preserve"> </w:t>
            </w:r>
            <w:r w:rsidRPr="00081671">
              <w:rPr>
                <w:bCs/>
                <w:i/>
                <w:lang w:val="pt-BR"/>
              </w:rPr>
              <w:t xml:space="preserve">/ </w:t>
            </w:r>
            <w:r w:rsidRPr="00081671">
              <w:rPr>
                <w:bCs/>
                <w:lang w:val="pt-BR"/>
              </w:rPr>
              <w:t>MRAH</w:t>
            </w:r>
            <w:r w:rsidRPr="00081671">
              <w:rPr>
                <w:i/>
                <w:vertAlign w:val="subscript"/>
              </w:rPr>
              <w:t xml:space="preserve"> q, r</w:t>
            </w:r>
          </w:p>
          <w:p w14:paraId="2EFCBDE5" w14:textId="77777777" w:rsidR="00AA432B" w:rsidRPr="009C73FA" w:rsidRDefault="00AA432B" w:rsidP="00AA432B">
            <w:pPr>
              <w:spacing w:after="240"/>
              <w:ind w:left="720" w:hanging="720"/>
              <w:rPr>
                <w:bCs/>
                <w:color w:val="000000"/>
                <w:lang w:val="pt-BR"/>
              </w:rPr>
            </w:pPr>
            <w:r w:rsidRPr="009C73FA">
              <w:rPr>
                <w:bCs/>
                <w:lang w:val="pt-BR"/>
              </w:rPr>
              <w:lastRenderedPageBreak/>
              <w:t>(2)</w:t>
            </w:r>
            <w:r w:rsidRPr="009C73FA">
              <w:rPr>
                <w:bCs/>
                <w:lang w:val="pt-BR"/>
              </w:rPr>
              <w:tab/>
            </w:r>
            <w:r w:rsidRPr="009C73FA">
              <w:rPr>
                <w:bCs/>
                <w:color w:val="000000"/>
                <w:lang w:val="pt-BR"/>
              </w:rPr>
              <w:t>The deployment event payment to each QSE representing an ESR MRA:</w:t>
            </w:r>
          </w:p>
          <w:p w14:paraId="310DC5DF" w14:textId="77777777" w:rsidR="00AA432B" w:rsidRPr="009C73FA" w:rsidRDefault="00AA432B" w:rsidP="00AA432B">
            <w:pPr>
              <w:tabs>
                <w:tab w:val="left" w:pos="2700"/>
                <w:tab w:val="left" w:pos="3150"/>
              </w:tabs>
              <w:spacing w:after="240"/>
              <w:ind w:left="2700" w:hanging="1890"/>
              <w:rPr>
                <w:iCs/>
              </w:rPr>
            </w:pPr>
            <w:r w:rsidRPr="009C73FA">
              <w:rPr>
                <w:bCs/>
                <w:color w:val="000000"/>
                <w:lang w:val="pt-BR"/>
              </w:rPr>
              <w:t xml:space="preserve">MRADEAMT </w:t>
            </w:r>
            <w:r w:rsidRPr="009C73FA">
              <w:rPr>
                <w:bCs/>
                <w:i/>
                <w:vertAlign w:val="subscript"/>
                <w:lang w:val="pt-BR"/>
              </w:rPr>
              <w:t>q, r, h</w:t>
            </w:r>
            <w:r w:rsidRPr="009C73FA">
              <w:rPr>
                <w:bCs/>
                <w:lang w:val="pt-BR"/>
              </w:rPr>
              <w:t xml:space="preserve"> = (-1) * (EDPRICE </w:t>
            </w:r>
            <w:r w:rsidRPr="009C73FA">
              <w:rPr>
                <w:bCs/>
                <w:i/>
                <w:vertAlign w:val="subscript"/>
                <w:lang w:val="pt-BR"/>
              </w:rPr>
              <w:t>q, r, m</w:t>
            </w:r>
            <w:r w:rsidRPr="009C73FA">
              <w:rPr>
                <w:bCs/>
                <w:lang w:val="pt-BR"/>
              </w:rPr>
              <w:t xml:space="preserve">) * MRAFLAG </w:t>
            </w:r>
            <w:r w:rsidRPr="009C73FA">
              <w:rPr>
                <w:bCs/>
                <w:i/>
                <w:vertAlign w:val="subscript"/>
                <w:lang w:val="pt-BR"/>
              </w:rPr>
              <w:t>q, r, h</w:t>
            </w:r>
            <w:r w:rsidRPr="009C73FA">
              <w:rPr>
                <w:bCs/>
                <w:lang w:val="pt-BR"/>
              </w:rPr>
              <w:t xml:space="preserve"> </w:t>
            </w:r>
            <w:r w:rsidRPr="009C73FA">
              <w:rPr>
                <w:bCs/>
                <w:i/>
                <w:lang w:val="pt-BR"/>
              </w:rPr>
              <w:t xml:space="preserve">/ </w:t>
            </w:r>
            <w:r w:rsidRPr="009C73FA">
              <w:rPr>
                <w:bCs/>
                <w:lang w:val="pt-BR"/>
              </w:rPr>
              <w:t>MRAH</w:t>
            </w:r>
            <w:r w:rsidRPr="009C73FA">
              <w:rPr>
                <w:i/>
                <w:vertAlign w:val="subscript"/>
              </w:rPr>
              <w:t xml:space="preserve"> q, r</w:t>
            </w:r>
          </w:p>
          <w:p w14:paraId="33BC2540" w14:textId="6BE03853" w:rsidR="000C1EEE" w:rsidRPr="00081671" w:rsidRDefault="000C1EEE" w:rsidP="000C1EEE">
            <w:pPr>
              <w:spacing w:after="240"/>
              <w:ind w:left="720" w:hanging="720"/>
              <w:rPr>
                <w:iCs/>
              </w:rPr>
            </w:pPr>
            <w:r w:rsidRPr="00081671">
              <w:rPr>
                <w:iCs/>
              </w:rPr>
              <w:t>(</w:t>
            </w:r>
            <w:r w:rsidR="00AA432B">
              <w:rPr>
                <w:iCs/>
              </w:rPr>
              <w:t>3</w:t>
            </w:r>
            <w:r w:rsidRPr="00081671">
              <w:rPr>
                <w:iCs/>
              </w:rPr>
              <w:t>)</w:t>
            </w:r>
            <w:r>
              <w:rPr>
                <w:iCs/>
              </w:rPr>
              <w:tab/>
            </w:r>
            <w:r w:rsidRPr="00081671">
              <w:rPr>
                <w:iCs/>
              </w:rPr>
              <w:t>The deployment event paym</w:t>
            </w:r>
            <w:r>
              <w:rPr>
                <w:iCs/>
              </w:rPr>
              <w:t>ent to each QSE representing a Demand Response MRA or Other Generation MRA</w:t>
            </w:r>
            <w:r w:rsidRPr="00081671">
              <w:rPr>
                <w:iCs/>
              </w:rPr>
              <w:t>:</w:t>
            </w:r>
          </w:p>
          <w:p w14:paraId="53EDCFE1" w14:textId="77777777" w:rsidR="000C1EEE" w:rsidRDefault="000C1EEE" w:rsidP="000C1EEE">
            <w:pPr>
              <w:ind w:firstLine="720"/>
              <w:rPr>
                <w:bCs/>
                <w:lang w:val="pt-BR"/>
              </w:rPr>
            </w:pPr>
            <w:r w:rsidRPr="00081671">
              <w:rPr>
                <w:bCs/>
                <w:color w:val="000000"/>
                <w:lang w:val="pt-BR"/>
              </w:rPr>
              <w:t>MRADEAMT</w:t>
            </w:r>
            <w:r>
              <w:rPr>
                <w:bCs/>
                <w:color w:val="000000"/>
                <w:lang w:val="pt-BR"/>
              </w:rPr>
              <w:t xml:space="preserve"> </w:t>
            </w:r>
            <w:r w:rsidRPr="00081671">
              <w:rPr>
                <w:bCs/>
                <w:i/>
                <w:vertAlign w:val="subscript"/>
                <w:lang w:val="pt-BR"/>
              </w:rPr>
              <w:t>q, r, h</w:t>
            </w:r>
            <w:r w:rsidRPr="00081671">
              <w:rPr>
                <w:bCs/>
                <w:lang w:val="pt-BR"/>
              </w:rPr>
              <w:t xml:space="preserve"> = (-1) * Max{EDPRICE</w:t>
            </w:r>
            <w:r w:rsidRPr="00081671">
              <w:rPr>
                <w:bCs/>
                <w:i/>
                <w:vertAlign w:val="subscript"/>
                <w:lang w:val="pt-BR"/>
              </w:rPr>
              <w:t xml:space="preserve"> q, r</w:t>
            </w:r>
            <w:r w:rsidRPr="00081671">
              <w:rPr>
                <w:bCs/>
                <w:lang w:val="pt-BR"/>
              </w:rPr>
              <w:t>, (FIP + MRACEFA</w:t>
            </w:r>
            <w:r w:rsidRPr="00081671">
              <w:rPr>
                <w:bCs/>
                <w:i/>
                <w:vertAlign w:val="subscript"/>
                <w:lang w:val="pt-BR"/>
              </w:rPr>
              <w:t xml:space="preserve"> q, r</w:t>
            </w:r>
            <w:r w:rsidRPr="00081671">
              <w:rPr>
                <w:bCs/>
                <w:lang w:val="pt-BR"/>
              </w:rPr>
              <w:t xml:space="preserve">) * </w:t>
            </w:r>
          </w:p>
          <w:p w14:paraId="654CDD74" w14:textId="77777777" w:rsidR="000C1EEE" w:rsidRPr="00081671" w:rsidRDefault="000C1EEE" w:rsidP="000C1EEE">
            <w:pPr>
              <w:tabs>
                <w:tab w:val="left" w:pos="2700"/>
                <w:tab w:val="left" w:pos="3150"/>
              </w:tabs>
              <w:spacing w:after="240"/>
              <w:ind w:left="2700" w:hanging="1890"/>
            </w:pPr>
            <w:r>
              <w:rPr>
                <w:bCs/>
                <w:lang w:val="pt-BR"/>
              </w:rPr>
              <w:tab/>
            </w:r>
            <w:r w:rsidRPr="00081671">
              <w:rPr>
                <w:bCs/>
                <w:lang w:val="pt-BR"/>
              </w:rPr>
              <w:t>MRAPSUFQ</w:t>
            </w:r>
            <w:r>
              <w:rPr>
                <w:bCs/>
                <w:lang w:val="pt-BR"/>
              </w:rPr>
              <w:t xml:space="preserve"> </w:t>
            </w:r>
            <w:r w:rsidRPr="00081671">
              <w:rPr>
                <w:bCs/>
                <w:i/>
                <w:vertAlign w:val="subscript"/>
                <w:lang w:val="pt-BR"/>
              </w:rPr>
              <w:t>q, r</w:t>
            </w:r>
            <w:r w:rsidRPr="00081671">
              <w:rPr>
                <w:bCs/>
                <w:lang w:val="pt-BR"/>
              </w:rPr>
              <w:t>}</w:t>
            </w:r>
            <w:r>
              <w:rPr>
                <w:bCs/>
                <w:lang w:val="pt-BR"/>
              </w:rPr>
              <w:t xml:space="preserve"> </w:t>
            </w:r>
            <w:r w:rsidRPr="00081671">
              <w:rPr>
                <w:bCs/>
                <w:lang w:val="pt-BR"/>
              </w:rPr>
              <w:t>* MRAEPRF</w:t>
            </w:r>
            <w:r>
              <w:rPr>
                <w:bCs/>
                <w:lang w:val="pt-BR"/>
              </w:rPr>
              <w:t xml:space="preserve"> </w:t>
            </w:r>
            <w:r w:rsidRPr="00081671">
              <w:rPr>
                <w:bCs/>
                <w:i/>
                <w:vertAlign w:val="subscript"/>
                <w:lang w:val="pt-BR"/>
              </w:rPr>
              <w:t>q, r, m</w:t>
            </w:r>
            <w:r w:rsidRPr="00081671">
              <w:rPr>
                <w:bCs/>
                <w:lang w:val="pt-BR"/>
              </w:rPr>
              <w:t xml:space="preserve"> </w:t>
            </w:r>
            <w:r w:rsidRPr="00081671">
              <w:rPr>
                <w:bCs/>
                <w:i/>
                <w:lang w:val="pt-BR"/>
              </w:rPr>
              <w:t xml:space="preserve">/ </w:t>
            </w:r>
            <w:r w:rsidRPr="00081671">
              <w:rPr>
                <w:bCs/>
                <w:lang w:val="pt-BR"/>
              </w:rPr>
              <w:t>MRAH</w:t>
            </w:r>
            <w:r w:rsidRPr="00081671">
              <w:rPr>
                <w:i/>
                <w:vertAlign w:val="subscript"/>
              </w:rPr>
              <w:t xml:space="preserve"> q, r</w:t>
            </w:r>
          </w:p>
          <w:p w14:paraId="50D88880" w14:textId="77777777" w:rsidR="000C1EEE" w:rsidRPr="00081671" w:rsidRDefault="000C1EEE" w:rsidP="000C1EEE">
            <w:r w:rsidRPr="00081671">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6390"/>
            </w:tblGrid>
            <w:tr w:rsidR="00DB3017" w:rsidRPr="00081671" w14:paraId="1B0166F6" w14:textId="77777777" w:rsidTr="00CE1011">
              <w:trPr>
                <w:cantSplit/>
                <w:tblHeader/>
              </w:trPr>
              <w:tc>
                <w:tcPr>
                  <w:tcW w:w="1885" w:type="dxa"/>
                </w:tcPr>
                <w:p w14:paraId="1DF97CC8" w14:textId="77777777" w:rsidR="00DB3017" w:rsidRPr="00081671" w:rsidRDefault="00DB3017" w:rsidP="00DB3017">
                  <w:pPr>
                    <w:spacing w:after="120"/>
                    <w:rPr>
                      <w:b/>
                      <w:iCs/>
                      <w:sz w:val="20"/>
                    </w:rPr>
                  </w:pPr>
                  <w:r w:rsidRPr="00081671">
                    <w:rPr>
                      <w:b/>
                      <w:iCs/>
                      <w:sz w:val="20"/>
                    </w:rPr>
                    <w:t>Variable</w:t>
                  </w:r>
                </w:p>
              </w:tc>
              <w:tc>
                <w:tcPr>
                  <w:tcW w:w="1080" w:type="dxa"/>
                </w:tcPr>
                <w:p w14:paraId="0734B5D0" w14:textId="77777777" w:rsidR="00DB3017" w:rsidRPr="00081671" w:rsidRDefault="00DB3017" w:rsidP="00DB3017">
                  <w:pPr>
                    <w:spacing w:after="120"/>
                    <w:rPr>
                      <w:b/>
                      <w:iCs/>
                      <w:sz w:val="20"/>
                    </w:rPr>
                  </w:pPr>
                  <w:r w:rsidRPr="00081671">
                    <w:rPr>
                      <w:b/>
                      <w:iCs/>
                      <w:sz w:val="20"/>
                    </w:rPr>
                    <w:t>Unit</w:t>
                  </w:r>
                </w:p>
              </w:tc>
              <w:tc>
                <w:tcPr>
                  <w:tcW w:w="6390" w:type="dxa"/>
                </w:tcPr>
                <w:p w14:paraId="0C2FA609" w14:textId="77777777" w:rsidR="00DB3017" w:rsidRPr="00081671" w:rsidRDefault="00DB3017" w:rsidP="00DB3017">
                  <w:pPr>
                    <w:spacing w:after="120"/>
                    <w:rPr>
                      <w:b/>
                      <w:iCs/>
                      <w:sz w:val="20"/>
                    </w:rPr>
                  </w:pPr>
                  <w:r w:rsidRPr="00081671">
                    <w:rPr>
                      <w:b/>
                      <w:iCs/>
                      <w:sz w:val="20"/>
                    </w:rPr>
                    <w:t>Definition</w:t>
                  </w:r>
                </w:p>
              </w:tc>
            </w:tr>
            <w:tr w:rsidR="00DB3017" w:rsidRPr="00081671" w14:paraId="0FBB5EC8" w14:textId="77777777" w:rsidTr="00CE1011">
              <w:trPr>
                <w:cantSplit/>
              </w:trPr>
              <w:tc>
                <w:tcPr>
                  <w:tcW w:w="1885" w:type="dxa"/>
                </w:tcPr>
                <w:p w14:paraId="1FD7ADFB" w14:textId="77777777" w:rsidR="00DB3017" w:rsidRPr="00081671" w:rsidRDefault="00DB3017" w:rsidP="00DB3017">
                  <w:pPr>
                    <w:spacing w:after="60"/>
                    <w:rPr>
                      <w:iCs/>
                      <w:sz w:val="20"/>
                    </w:rPr>
                  </w:pPr>
                  <w:r w:rsidRPr="00081671">
                    <w:rPr>
                      <w:iCs/>
                      <w:sz w:val="20"/>
                    </w:rPr>
                    <w:t xml:space="preserve">MRADEAMT </w:t>
                  </w:r>
                  <w:r w:rsidRPr="00081671">
                    <w:rPr>
                      <w:i/>
                      <w:iCs/>
                      <w:sz w:val="20"/>
                      <w:vertAlign w:val="subscript"/>
                    </w:rPr>
                    <w:t>q, r, h</w:t>
                  </w:r>
                </w:p>
              </w:tc>
              <w:tc>
                <w:tcPr>
                  <w:tcW w:w="1080" w:type="dxa"/>
                </w:tcPr>
                <w:p w14:paraId="303A3C05" w14:textId="77777777" w:rsidR="00DB3017" w:rsidRPr="00081671" w:rsidRDefault="00DB3017" w:rsidP="00DB3017">
                  <w:pPr>
                    <w:spacing w:after="60"/>
                    <w:rPr>
                      <w:iCs/>
                      <w:sz w:val="20"/>
                    </w:rPr>
                  </w:pPr>
                  <w:r w:rsidRPr="00081671">
                    <w:rPr>
                      <w:iCs/>
                      <w:sz w:val="20"/>
                    </w:rPr>
                    <w:t>$</w:t>
                  </w:r>
                </w:p>
              </w:tc>
              <w:tc>
                <w:tcPr>
                  <w:tcW w:w="6390" w:type="dxa"/>
                </w:tcPr>
                <w:p w14:paraId="451D4A62" w14:textId="77777777" w:rsidR="00DB3017" w:rsidRPr="00081671" w:rsidRDefault="00DB3017" w:rsidP="00DB3017">
                  <w:pPr>
                    <w:spacing w:after="60"/>
                    <w:rPr>
                      <w:i/>
                      <w:iCs/>
                      <w:sz w:val="20"/>
                    </w:rPr>
                  </w:pPr>
                  <w:r w:rsidRPr="00081671">
                    <w:rPr>
                      <w:i/>
                      <w:iCs/>
                      <w:sz w:val="20"/>
                    </w:rPr>
                    <w:t>Must-Run Alternative Deployment Event Amount per QSE per Resource by hour</w:t>
                  </w:r>
                  <w:r w:rsidRPr="00081671">
                    <w:rPr>
                      <w:iCs/>
                      <w:sz w:val="20"/>
                    </w:rPr>
                    <w:t xml:space="preserve">—The deployment event payment to QSE </w:t>
                  </w:r>
                  <w:r w:rsidRPr="008B6C1D">
                    <w:rPr>
                      <w:i/>
                      <w:iCs/>
                      <w:sz w:val="20"/>
                    </w:rPr>
                    <w:t>q</w:t>
                  </w:r>
                  <w:r w:rsidRPr="00081671">
                    <w:rPr>
                      <w:iCs/>
                      <w:sz w:val="20"/>
                    </w:rPr>
                    <w:t xml:space="preserve"> for </w:t>
                  </w:r>
                  <w:r>
                    <w:rPr>
                      <w:iCs/>
                      <w:sz w:val="20"/>
                    </w:rPr>
                    <w:t>MRA</w:t>
                  </w:r>
                  <w:r w:rsidRPr="00081671">
                    <w:rPr>
                      <w:iCs/>
                      <w:sz w:val="20"/>
                    </w:rPr>
                    <w:t xml:space="preserve"> </w:t>
                  </w:r>
                  <w:r w:rsidRPr="008B6C1D">
                    <w:rPr>
                      <w:i/>
                      <w:iCs/>
                      <w:sz w:val="20"/>
                    </w:rPr>
                    <w:t>r</w:t>
                  </w:r>
                  <w:r w:rsidRPr="00081671">
                    <w:rPr>
                      <w:iCs/>
                      <w:sz w:val="20"/>
                    </w:rPr>
                    <w:t xml:space="preserve">, for the </w:t>
                  </w:r>
                  <w:r>
                    <w:rPr>
                      <w:iCs/>
                      <w:sz w:val="20"/>
                    </w:rPr>
                    <w:t>MRA Contracted H</w:t>
                  </w:r>
                  <w:r w:rsidRPr="00081671">
                    <w:rPr>
                      <w:iCs/>
                      <w:sz w:val="20"/>
                    </w:rPr>
                    <w:t>our</w:t>
                  </w:r>
                  <w:r>
                    <w:rPr>
                      <w:iCs/>
                      <w:sz w:val="20"/>
                    </w:rPr>
                    <w:t xml:space="preserve"> </w:t>
                  </w:r>
                  <w:r w:rsidRPr="008B6C1D">
                    <w:rPr>
                      <w:i/>
                      <w:iCs/>
                      <w:sz w:val="20"/>
                    </w:rPr>
                    <w:t>h</w:t>
                  </w:r>
                  <w:r w:rsidRPr="00081671">
                    <w:rPr>
                      <w:iCs/>
                      <w:sz w:val="20"/>
                    </w:rPr>
                    <w:t>.  Where for a Combined Cycle Train, the Resource r is the Combined Cycle Train.</w:t>
                  </w:r>
                </w:p>
              </w:tc>
            </w:tr>
            <w:tr w:rsidR="00DB3017" w:rsidRPr="00081671" w14:paraId="3F034F98" w14:textId="77777777" w:rsidTr="00CE1011">
              <w:trPr>
                <w:cantSplit/>
              </w:trPr>
              <w:tc>
                <w:tcPr>
                  <w:tcW w:w="1885" w:type="dxa"/>
                </w:tcPr>
                <w:p w14:paraId="222FD595" w14:textId="77777777" w:rsidR="00DB3017" w:rsidRPr="00081671" w:rsidRDefault="00DB3017" w:rsidP="00DB3017">
                  <w:pPr>
                    <w:spacing w:after="60"/>
                    <w:rPr>
                      <w:iCs/>
                      <w:sz w:val="20"/>
                    </w:rPr>
                  </w:pPr>
                  <w:r w:rsidRPr="00081671">
                    <w:rPr>
                      <w:iCs/>
                      <w:sz w:val="20"/>
                    </w:rPr>
                    <w:t>FIP</w:t>
                  </w:r>
                </w:p>
              </w:tc>
              <w:tc>
                <w:tcPr>
                  <w:tcW w:w="1080" w:type="dxa"/>
                </w:tcPr>
                <w:p w14:paraId="20216E14" w14:textId="77777777" w:rsidR="00DB3017" w:rsidRPr="00081671" w:rsidRDefault="00DB3017" w:rsidP="00DB3017">
                  <w:pPr>
                    <w:spacing w:after="60"/>
                    <w:rPr>
                      <w:iCs/>
                      <w:sz w:val="20"/>
                    </w:rPr>
                  </w:pPr>
                  <w:r w:rsidRPr="00081671">
                    <w:rPr>
                      <w:iCs/>
                      <w:sz w:val="20"/>
                    </w:rPr>
                    <w:t>$/MMBtu</w:t>
                  </w:r>
                </w:p>
              </w:tc>
              <w:tc>
                <w:tcPr>
                  <w:tcW w:w="6390" w:type="dxa"/>
                </w:tcPr>
                <w:p w14:paraId="3D88AA8A" w14:textId="77777777" w:rsidR="00DB3017" w:rsidRPr="00081671" w:rsidRDefault="00DB3017" w:rsidP="00DB3017">
                  <w:pPr>
                    <w:spacing w:after="60"/>
                    <w:rPr>
                      <w:iCs/>
                      <w:sz w:val="20"/>
                    </w:rPr>
                  </w:pPr>
                  <w:r w:rsidRPr="00081671">
                    <w:rPr>
                      <w:i/>
                      <w:iCs/>
                      <w:sz w:val="20"/>
                    </w:rPr>
                    <w:t>Fuel Index Price</w:t>
                  </w:r>
                  <w:r w:rsidRPr="00081671">
                    <w:rPr>
                      <w:iCs/>
                      <w:sz w:val="20"/>
                    </w:rPr>
                    <w:t>—The FIP for the Operating Day.</w:t>
                  </w:r>
                </w:p>
              </w:tc>
            </w:tr>
            <w:tr w:rsidR="00DB3017" w:rsidRPr="00081671" w14:paraId="6985FAA8" w14:textId="77777777" w:rsidTr="00CE1011">
              <w:trPr>
                <w:cantSplit/>
              </w:trPr>
              <w:tc>
                <w:tcPr>
                  <w:tcW w:w="1885" w:type="dxa"/>
                </w:tcPr>
                <w:p w14:paraId="7D113D6D" w14:textId="77777777" w:rsidR="00DB3017" w:rsidRPr="00081671" w:rsidRDefault="00DB3017" w:rsidP="00DB3017">
                  <w:pPr>
                    <w:spacing w:after="60"/>
                    <w:rPr>
                      <w:iCs/>
                      <w:sz w:val="20"/>
                    </w:rPr>
                  </w:pPr>
                  <w:r w:rsidRPr="00081671">
                    <w:rPr>
                      <w:bCs/>
                      <w:sz w:val="20"/>
                      <w:lang w:val="pt-BR"/>
                    </w:rPr>
                    <w:t>EDPRICE</w:t>
                  </w:r>
                  <w:r w:rsidRPr="00081671">
                    <w:rPr>
                      <w:i/>
                      <w:iCs/>
                      <w:sz w:val="20"/>
                      <w:vertAlign w:val="subscript"/>
                    </w:rPr>
                    <w:t xml:space="preserve"> q, r</w:t>
                  </w:r>
                </w:p>
              </w:tc>
              <w:tc>
                <w:tcPr>
                  <w:tcW w:w="1080" w:type="dxa"/>
                </w:tcPr>
                <w:p w14:paraId="196E7C2E" w14:textId="77777777" w:rsidR="00DB3017" w:rsidRPr="00081671" w:rsidRDefault="00DB3017" w:rsidP="00DB3017">
                  <w:pPr>
                    <w:spacing w:after="60"/>
                    <w:rPr>
                      <w:iCs/>
                      <w:sz w:val="20"/>
                    </w:rPr>
                  </w:pPr>
                  <w:r w:rsidRPr="00081671">
                    <w:rPr>
                      <w:iCs/>
                      <w:sz w:val="20"/>
                    </w:rPr>
                    <w:t>$</w:t>
                  </w:r>
                </w:p>
              </w:tc>
              <w:tc>
                <w:tcPr>
                  <w:tcW w:w="6390" w:type="dxa"/>
                </w:tcPr>
                <w:p w14:paraId="3E9EB4AC" w14:textId="77777777" w:rsidR="00DB3017" w:rsidRPr="00081671" w:rsidRDefault="00DB3017" w:rsidP="00DB3017">
                  <w:pPr>
                    <w:spacing w:after="60"/>
                    <w:rPr>
                      <w:i/>
                      <w:iCs/>
                      <w:sz w:val="20"/>
                    </w:rPr>
                  </w:pPr>
                  <w:r w:rsidRPr="00081671">
                    <w:rPr>
                      <w:i/>
                      <w:iCs/>
                      <w:sz w:val="20"/>
                    </w:rPr>
                    <w:t>Event Deployment Price per QSE per Resource</w:t>
                  </w:r>
                  <w:r w:rsidRPr="00081671">
                    <w:rPr>
                      <w:iCs/>
                      <w:sz w:val="20"/>
                    </w:rPr>
                    <w:t xml:space="preserve">—The event deployment price to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w:t>
                  </w:r>
                  <w:r w:rsidRPr="00081671">
                    <w:rPr>
                      <w:sz w:val="20"/>
                    </w:rPr>
                    <w:t>as specified in the MRA Agreement</w:t>
                  </w:r>
                  <w:r w:rsidRPr="00081671">
                    <w:rPr>
                      <w:iCs/>
                      <w:sz w:val="20"/>
                    </w:rPr>
                    <w:t xml:space="preserve">.  Where for a Combined Cycle Train, the Resource </w:t>
                  </w:r>
                  <w:r w:rsidRPr="00081671">
                    <w:rPr>
                      <w:i/>
                      <w:iCs/>
                      <w:sz w:val="20"/>
                    </w:rPr>
                    <w:t xml:space="preserve">r </w:t>
                  </w:r>
                  <w:r w:rsidRPr="00081671">
                    <w:rPr>
                      <w:iCs/>
                      <w:sz w:val="20"/>
                    </w:rPr>
                    <w:t>is the Combined Cycle Train.</w:t>
                  </w:r>
                </w:p>
              </w:tc>
            </w:tr>
            <w:tr w:rsidR="00DB3017" w:rsidRPr="00081671" w14:paraId="574EB4DC" w14:textId="77777777" w:rsidTr="00CE1011">
              <w:trPr>
                <w:cantSplit/>
              </w:trPr>
              <w:tc>
                <w:tcPr>
                  <w:tcW w:w="1885" w:type="dxa"/>
                </w:tcPr>
                <w:p w14:paraId="53EDE682" w14:textId="77777777" w:rsidR="00DB3017" w:rsidRPr="00081671" w:rsidRDefault="00DB3017" w:rsidP="00DB3017">
                  <w:pPr>
                    <w:spacing w:after="60"/>
                    <w:rPr>
                      <w:bCs/>
                      <w:sz w:val="20"/>
                      <w:lang w:val="pt-BR"/>
                    </w:rPr>
                  </w:pPr>
                  <w:r w:rsidRPr="00081671">
                    <w:rPr>
                      <w:sz w:val="20"/>
                    </w:rPr>
                    <w:t>MRAEPRF</w:t>
                  </w:r>
                  <w:r w:rsidRPr="00081671">
                    <w:rPr>
                      <w:i/>
                      <w:sz w:val="20"/>
                      <w:vertAlign w:val="subscript"/>
                    </w:rPr>
                    <w:t xml:space="preserve"> q, r, m</w:t>
                  </w:r>
                </w:p>
              </w:tc>
              <w:tc>
                <w:tcPr>
                  <w:tcW w:w="1080" w:type="dxa"/>
                </w:tcPr>
                <w:p w14:paraId="68B0DD25" w14:textId="77777777" w:rsidR="00DB3017" w:rsidRPr="00081671" w:rsidRDefault="00DB3017" w:rsidP="00DB3017">
                  <w:pPr>
                    <w:spacing w:after="60"/>
                    <w:rPr>
                      <w:iCs/>
                      <w:sz w:val="20"/>
                    </w:rPr>
                  </w:pPr>
                  <w:r w:rsidRPr="00081671">
                    <w:rPr>
                      <w:iCs/>
                      <w:sz w:val="20"/>
                    </w:rPr>
                    <w:t>None</w:t>
                  </w:r>
                </w:p>
              </w:tc>
              <w:tc>
                <w:tcPr>
                  <w:tcW w:w="6390" w:type="dxa"/>
                </w:tcPr>
                <w:p w14:paraId="6420BF10" w14:textId="77777777" w:rsidR="00DB3017" w:rsidRPr="00081671" w:rsidRDefault="00DB3017" w:rsidP="00DB3017">
                  <w:pPr>
                    <w:spacing w:after="60"/>
                    <w:rPr>
                      <w:i/>
                      <w:iCs/>
                      <w:sz w:val="20"/>
                      <w:highlight w:val="yellow"/>
                    </w:rPr>
                  </w:pPr>
                  <w:r w:rsidRPr="00081671">
                    <w:rPr>
                      <w:i/>
                      <w:iCs/>
                      <w:sz w:val="20"/>
                    </w:rPr>
                    <w:t xml:space="preserve">Must-Run Alternative Event Performance Reduction </w:t>
                  </w:r>
                  <w:r w:rsidRPr="00081671">
                    <w:rPr>
                      <w:i/>
                      <w:sz w:val="20"/>
                    </w:rPr>
                    <w:t xml:space="preserve">Factor per QSE per Resource  </w:t>
                  </w:r>
                  <w:r w:rsidRPr="00081671">
                    <w:rPr>
                      <w:sz w:val="20"/>
                    </w:rPr>
                    <w:t xml:space="preserve">—The event performance reduction factor of the </w:t>
                  </w:r>
                  <w:r>
                    <w:rPr>
                      <w:sz w:val="20"/>
                    </w:rPr>
                    <w:t>MRA</w:t>
                  </w:r>
                  <w:r w:rsidRPr="00081671">
                    <w:rPr>
                      <w:i/>
                      <w:iCs/>
                      <w:sz w:val="20"/>
                    </w:rPr>
                    <w:t xml:space="preserve"> r </w:t>
                  </w:r>
                  <w:r w:rsidRPr="00081671">
                    <w:rPr>
                      <w:iCs/>
                      <w:sz w:val="20"/>
                    </w:rPr>
                    <w:t xml:space="preserve">represented by QSE </w:t>
                  </w:r>
                  <w:r w:rsidRPr="00081671">
                    <w:rPr>
                      <w:i/>
                      <w:iCs/>
                      <w:sz w:val="20"/>
                    </w:rPr>
                    <w:t>q</w:t>
                  </w:r>
                  <w:r w:rsidRPr="00081671">
                    <w:rPr>
                      <w:sz w:val="20"/>
                    </w:rPr>
                    <w:t xml:space="preserve">, for each hour of the month </w:t>
                  </w:r>
                  <w:r w:rsidRPr="008B6C1D">
                    <w:rPr>
                      <w:i/>
                      <w:sz w:val="20"/>
                    </w:rPr>
                    <w:t>m</w:t>
                  </w:r>
                  <w:r w:rsidRPr="00081671">
                    <w:rPr>
                      <w:sz w:val="20"/>
                    </w:rPr>
                    <w:t xml:space="preserve">, as calculated per </w:t>
                  </w:r>
                  <w:r>
                    <w:rPr>
                      <w:sz w:val="20"/>
                    </w:rPr>
                    <w:t>S</w:t>
                  </w:r>
                  <w:r w:rsidRPr="00081671">
                    <w:rPr>
                      <w:sz w:val="20"/>
                    </w:rPr>
                    <w:t>ection 3.14.</w:t>
                  </w:r>
                  <w:r>
                    <w:rPr>
                      <w:sz w:val="20"/>
                    </w:rPr>
                    <w:t>4.6.5,</w:t>
                  </w:r>
                  <w:r w:rsidRPr="00081671">
                    <w:rPr>
                      <w:sz w:val="20"/>
                    </w:rPr>
                    <w:t xml:space="preserve"> </w:t>
                  </w:r>
                  <w:r>
                    <w:rPr>
                      <w:sz w:val="20"/>
                    </w:rPr>
                    <w:t xml:space="preserve">MRA </w:t>
                  </w:r>
                  <w:r w:rsidRPr="00081671">
                    <w:rPr>
                      <w:sz w:val="20"/>
                    </w:rPr>
                    <w:t xml:space="preserve">Event Performance Measurement and Verification. </w:t>
                  </w:r>
                  <w:r>
                    <w:rPr>
                      <w:sz w:val="20"/>
                    </w:rPr>
                    <w:t xml:space="preserve"> </w:t>
                  </w:r>
                  <w:r w:rsidRPr="00081671">
                    <w:rPr>
                      <w:sz w:val="20"/>
                    </w:rPr>
                    <w:t xml:space="preserve">If the MRAEPRF for the month is not available then the most recent MRAEPRF prior to </w:t>
                  </w:r>
                  <w:r>
                    <w:rPr>
                      <w:sz w:val="20"/>
                    </w:rPr>
                    <w:t xml:space="preserve">the </w:t>
                  </w:r>
                  <w:r w:rsidRPr="00081671">
                    <w:rPr>
                      <w:sz w:val="20"/>
                    </w:rPr>
                    <w:t xml:space="preserve">month of the Operating Day shall be used. </w:t>
                  </w:r>
                  <w:r>
                    <w:rPr>
                      <w:sz w:val="20"/>
                    </w:rPr>
                    <w:t xml:space="preserve"> </w:t>
                  </w:r>
                  <w:r w:rsidRPr="00081671">
                    <w:rPr>
                      <w:sz w:val="20"/>
                    </w:rPr>
                    <w:t xml:space="preserve">If no previous MRAEPRF is available then MRAEPRF shall be set to 1.  Where for a Combined Cycle Train, the Resource </w:t>
                  </w:r>
                  <w:r w:rsidRPr="00081671">
                    <w:rPr>
                      <w:i/>
                      <w:sz w:val="20"/>
                    </w:rPr>
                    <w:t xml:space="preserve">r </w:t>
                  </w:r>
                  <w:r w:rsidRPr="00081671">
                    <w:rPr>
                      <w:sz w:val="20"/>
                    </w:rPr>
                    <w:t>is the Combined Cycle Train.</w:t>
                  </w:r>
                </w:p>
              </w:tc>
            </w:tr>
            <w:tr w:rsidR="00DB3017" w:rsidRPr="00081671" w14:paraId="2604C42B" w14:textId="77777777" w:rsidTr="00CE1011">
              <w:trPr>
                <w:cantSplit/>
              </w:trPr>
              <w:tc>
                <w:tcPr>
                  <w:tcW w:w="1885" w:type="dxa"/>
                </w:tcPr>
                <w:p w14:paraId="017D32EB" w14:textId="77777777" w:rsidR="00DB3017" w:rsidRPr="00081671" w:rsidRDefault="00DB3017" w:rsidP="00DB3017">
                  <w:pPr>
                    <w:spacing w:after="60"/>
                    <w:rPr>
                      <w:iCs/>
                      <w:sz w:val="20"/>
                    </w:rPr>
                  </w:pPr>
                  <w:r w:rsidRPr="00081671">
                    <w:rPr>
                      <w:iCs/>
                      <w:sz w:val="20"/>
                    </w:rPr>
                    <w:t xml:space="preserve">MRAPSUFQ </w:t>
                  </w:r>
                  <w:r w:rsidRPr="00081671">
                    <w:rPr>
                      <w:i/>
                      <w:iCs/>
                      <w:sz w:val="20"/>
                      <w:vertAlign w:val="subscript"/>
                    </w:rPr>
                    <w:t>q, r</w:t>
                  </w:r>
                </w:p>
              </w:tc>
              <w:tc>
                <w:tcPr>
                  <w:tcW w:w="1080" w:type="dxa"/>
                </w:tcPr>
                <w:p w14:paraId="3B17106D" w14:textId="77777777" w:rsidR="00DB3017" w:rsidRPr="00081671" w:rsidRDefault="00DB3017" w:rsidP="00DB3017">
                  <w:pPr>
                    <w:spacing w:after="60"/>
                    <w:rPr>
                      <w:iCs/>
                      <w:sz w:val="20"/>
                    </w:rPr>
                  </w:pPr>
                  <w:r w:rsidRPr="00081671">
                    <w:rPr>
                      <w:iCs/>
                      <w:sz w:val="20"/>
                    </w:rPr>
                    <w:t>MMBtu</w:t>
                  </w:r>
                </w:p>
              </w:tc>
              <w:tc>
                <w:tcPr>
                  <w:tcW w:w="6390" w:type="dxa"/>
                </w:tcPr>
                <w:p w14:paraId="7EDE0222" w14:textId="77777777" w:rsidR="00DB3017" w:rsidRPr="00081671" w:rsidRDefault="00DB3017" w:rsidP="00DB3017">
                  <w:pPr>
                    <w:spacing w:after="60"/>
                    <w:rPr>
                      <w:iCs/>
                      <w:sz w:val="20"/>
                    </w:rPr>
                  </w:pPr>
                  <w:r w:rsidRPr="00081671">
                    <w:rPr>
                      <w:i/>
                      <w:iCs/>
                      <w:sz w:val="20"/>
                    </w:rPr>
                    <w:t>Must-Run Alternative Proxy Startup Fuel Quantity per QSE per Resource</w:t>
                  </w:r>
                  <w:r w:rsidRPr="00081671">
                    <w:rPr>
                      <w:iCs/>
                      <w:sz w:val="20"/>
                    </w:rPr>
                    <w:sym w:font="Symbol" w:char="F0BE"/>
                  </w:r>
                  <w:r w:rsidRPr="00081671">
                    <w:rPr>
                      <w:iCs/>
                      <w:sz w:val="20"/>
                    </w:rPr>
                    <w:t xml:space="preserve">The proxy start up fuel </w:t>
                  </w:r>
                  <w:r>
                    <w:rPr>
                      <w:iCs/>
                      <w:sz w:val="20"/>
                    </w:rPr>
                    <w:t xml:space="preserve">quantity </w:t>
                  </w:r>
                  <w:r w:rsidRPr="00081671">
                    <w:rPr>
                      <w:iCs/>
                      <w:sz w:val="20"/>
                    </w:rPr>
                    <w:t xml:space="preserve">specified in the MRA Agreement for </w:t>
                  </w:r>
                  <w:r>
                    <w:rPr>
                      <w:iCs/>
                      <w:sz w:val="20"/>
                    </w:rPr>
                    <w:t>MRA</w:t>
                  </w:r>
                  <w:r w:rsidRPr="00081671">
                    <w:rPr>
                      <w:iCs/>
                      <w:sz w:val="20"/>
                    </w:rPr>
                    <w:t xml:space="preserve"> </w:t>
                  </w:r>
                  <w:r w:rsidRPr="00081671">
                    <w:rPr>
                      <w:i/>
                      <w:iCs/>
                      <w:sz w:val="20"/>
                    </w:rPr>
                    <w:t>r</w:t>
                  </w:r>
                  <w:r w:rsidRPr="00081671">
                    <w:rPr>
                      <w:iCs/>
                      <w:sz w:val="20"/>
                    </w:rPr>
                    <w:t xml:space="preserve"> represented by QSE </w:t>
                  </w:r>
                  <w:r w:rsidRPr="00081671">
                    <w:rPr>
                      <w:i/>
                      <w:iCs/>
                      <w:sz w:val="20"/>
                    </w:rPr>
                    <w:t>q</w:t>
                  </w:r>
                  <w:r w:rsidRPr="00081671">
                    <w:rPr>
                      <w:iCs/>
                      <w:sz w:val="20"/>
                    </w:rPr>
                    <w:t xml:space="preserve">.  Where for a Combined Cycle Train, the Resource </w:t>
                  </w:r>
                  <w:r w:rsidRPr="00081671">
                    <w:rPr>
                      <w:i/>
                      <w:iCs/>
                      <w:sz w:val="20"/>
                    </w:rPr>
                    <w:t xml:space="preserve">r </w:t>
                  </w:r>
                  <w:r w:rsidRPr="00081671">
                    <w:rPr>
                      <w:iCs/>
                      <w:sz w:val="20"/>
                    </w:rPr>
                    <w:t>is the Combined Cycle Train.</w:t>
                  </w:r>
                </w:p>
              </w:tc>
            </w:tr>
            <w:tr w:rsidR="00DB3017" w:rsidRPr="00081671" w14:paraId="0E661FFD" w14:textId="77777777" w:rsidTr="00CE1011">
              <w:trPr>
                <w:cantSplit/>
              </w:trPr>
              <w:tc>
                <w:tcPr>
                  <w:tcW w:w="1885" w:type="dxa"/>
                </w:tcPr>
                <w:p w14:paraId="1FE67C2A" w14:textId="77777777" w:rsidR="00DB3017" w:rsidRPr="00081671" w:rsidRDefault="00DB3017" w:rsidP="00DB3017">
                  <w:pPr>
                    <w:spacing w:after="60"/>
                    <w:rPr>
                      <w:iCs/>
                      <w:sz w:val="20"/>
                    </w:rPr>
                  </w:pPr>
                  <w:r w:rsidRPr="00081671">
                    <w:rPr>
                      <w:iCs/>
                      <w:sz w:val="20"/>
                    </w:rPr>
                    <w:t>MRAH</w:t>
                  </w:r>
                  <w:r w:rsidRPr="00081671">
                    <w:rPr>
                      <w:i/>
                      <w:sz w:val="20"/>
                      <w:vertAlign w:val="subscript"/>
                    </w:rPr>
                    <w:t xml:space="preserve"> </w:t>
                  </w:r>
                  <w:r w:rsidRPr="00081671">
                    <w:rPr>
                      <w:i/>
                      <w:iCs/>
                      <w:sz w:val="20"/>
                      <w:vertAlign w:val="subscript"/>
                    </w:rPr>
                    <w:t>q, r</w:t>
                  </w:r>
                </w:p>
              </w:tc>
              <w:tc>
                <w:tcPr>
                  <w:tcW w:w="1080" w:type="dxa"/>
                </w:tcPr>
                <w:p w14:paraId="6836293A" w14:textId="77777777" w:rsidR="00DB3017" w:rsidRPr="00081671" w:rsidRDefault="00DB3017" w:rsidP="00DB3017">
                  <w:pPr>
                    <w:spacing w:after="60"/>
                    <w:rPr>
                      <w:iCs/>
                      <w:sz w:val="20"/>
                    </w:rPr>
                  </w:pPr>
                  <w:r w:rsidRPr="00081671">
                    <w:rPr>
                      <w:sz w:val="20"/>
                    </w:rPr>
                    <w:t>Hour</w:t>
                  </w:r>
                </w:p>
              </w:tc>
              <w:tc>
                <w:tcPr>
                  <w:tcW w:w="6390" w:type="dxa"/>
                </w:tcPr>
                <w:p w14:paraId="00D88B56" w14:textId="77777777" w:rsidR="00DB3017" w:rsidRPr="00081671" w:rsidRDefault="00DB3017" w:rsidP="00DB3017">
                  <w:pPr>
                    <w:spacing w:after="60"/>
                    <w:rPr>
                      <w:i/>
                      <w:sz w:val="20"/>
                    </w:rPr>
                  </w:pPr>
                  <w:r w:rsidRPr="00081671">
                    <w:rPr>
                      <w:i/>
                      <w:iCs/>
                      <w:sz w:val="20"/>
                    </w:rPr>
                    <w:t>Must-Run Alternative Hours</w:t>
                  </w:r>
                  <w:r w:rsidRPr="00081671">
                    <w:rPr>
                      <w:iCs/>
                      <w:sz w:val="20"/>
                    </w:rPr>
                    <w:t xml:space="preserve">—The number of hours during which </w:t>
                  </w:r>
                  <w:r>
                    <w:rPr>
                      <w:iCs/>
                      <w:sz w:val="20"/>
                    </w:rPr>
                    <w:t>MRA</w:t>
                  </w:r>
                  <w:r w:rsidRPr="00081671">
                    <w:rPr>
                      <w:iCs/>
                      <w:sz w:val="20"/>
                    </w:rPr>
                    <w:t xml:space="preserve"> </w:t>
                  </w:r>
                  <w:r w:rsidRPr="00081671">
                    <w:rPr>
                      <w:i/>
                      <w:iCs/>
                      <w:sz w:val="20"/>
                    </w:rPr>
                    <w:t>r</w:t>
                  </w:r>
                  <w:r w:rsidRPr="00081671">
                    <w:rPr>
                      <w:iCs/>
                      <w:sz w:val="20"/>
                    </w:rPr>
                    <w:t xml:space="preserve"> represented by QSE </w:t>
                  </w:r>
                  <w:r w:rsidRPr="00081671">
                    <w:rPr>
                      <w:i/>
                      <w:iCs/>
                      <w:sz w:val="20"/>
                    </w:rPr>
                    <w:t>q</w:t>
                  </w:r>
                  <w:r w:rsidRPr="00081671">
                    <w:rPr>
                      <w:iCs/>
                      <w:sz w:val="20"/>
                    </w:rPr>
                    <w:t xml:space="preserve"> received a deployment instruction for each deployment event for the Operating Day.  Where for a Combined Cycle Train, the Resource </w:t>
                  </w:r>
                  <w:r w:rsidRPr="00081671">
                    <w:rPr>
                      <w:i/>
                      <w:iCs/>
                      <w:sz w:val="20"/>
                    </w:rPr>
                    <w:t xml:space="preserve">r </w:t>
                  </w:r>
                  <w:r w:rsidRPr="00081671">
                    <w:rPr>
                      <w:iCs/>
                      <w:sz w:val="20"/>
                    </w:rPr>
                    <w:t>is the Combined Cycle Train.</w:t>
                  </w:r>
                </w:p>
              </w:tc>
            </w:tr>
            <w:tr w:rsidR="00DB3017" w:rsidRPr="00081671" w14:paraId="72B6419E" w14:textId="77777777" w:rsidTr="00CE1011">
              <w:trPr>
                <w:cantSplit/>
              </w:trPr>
              <w:tc>
                <w:tcPr>
                  <w:tcW w:w="1885" w:type="dxa"/>
                </w:tcPr>
                <w:p w14:paraId="7EE5D3CC" w14:textId="77777777" w:rsidR="00DB3017" w:rsidRPr="00081671" w:rsidRDefault="00DB3017" w:rsidP="00DB3017">
                  <w:pPr>
                    <w:spacing w:after="60"/>
                    <w:rPr>
                      <w:iCs/>
                      <w:sz w:val="20"/>
                    </w:rPr>
                  </w:pPr>
                  <w:r w:rsidRPr="00081671">
                    <w:rPr>
                      <w:iCs/>
                      <w:sz w:val="20"/>
                    </w:rPr>
                    <w:t>MRAFLAG</w:t>
                  </w:r>
                  <w:r w:rsidRPr="005A6FD5">
                    <w:rPr>
                      <w:iCs/>
                      <w:sz w:val="20"/>
                    </w:rPr>
                    <w:t xml:space="preserve"> </w:t>
                  </w:r>
                  <w:r w:rsidRPr="00081671">
                    <w:rPr>
                      <w:i/>
                      <w:iCs/>
                      <w:sz w:val="20"/>
                      <w:vertAlign w:val="subscript"/>
                    </w:rPr>
                    <w:t>q,</w:t>
                  </w:r>
                  <w:r w:rsidRPr="005A6FD5">
                    <w:rPr>
                      <w:i/>
                      <w:iCs/>
                      <w:sz w:val="20"/>
                      <w:vertAlign w:val="subscript"/>
                    </w:rPr>
                    <w:t xml:space="preserve"> </w:t>
                  </w:r>
                  <w:r w:rsidRPr="00081671">
                    <w:rPr>
                      <w:i/>
                      <w:iCs/>
                      <w:sz w:val="20"/>
                      <w:vertAlign w:val="subscript"/>
                    </w:rPr>
                    <w:t>r,</w:t>
                  </w:r>
                  <w:r w:rsidRPr="005A6FD5">
                    <w:rPr>
                      <w:i/>
                      <w:iCs/>
                      <w:sz w:val="20"/>
                      <w:vertAlign w:val="subscript"/>
                    </w:rPr>
                    <w:t xml:space="preserve"> </w:t>
                  </w:r>
                  <w:r w:rsidRPr="00081671">
                    <w:rPr>
                      <w:i/>
                      <w:iCs/>
                      <w:sz w:val="20"/>
                      <w:vertAlign w:val="subscript"/>
                    </w:rPr>
                    <w:t>h</w:t>
                  </w:r>
                </w:p>
              </w:tc>
              <w:tc>
                <w:tcPr>
                  <w:tcW w:w="1080" w:type="dxa"/>
                </w:tcPr>
                <w:p w14:paraId="51FB28DD" w14:textId="77777777" w:rsidR="00DB3017" w:rsidRPr="00081671" w:rsidRDefault="00DB3017" w:rsidP="00DB3017">
                  <w:pPr>
                    <w:spacing w:after="60"/>
                    <w:rPr>
                      <w:sz w:val="20"/>
                    </w:rPr>
                  </w:pPr>
                  <w:r w:rsidRPr="00081671">
                    <w:rPr>
                      <w:sz w:val="20"/>
                    </w:rPr>
                    <w:t>none</w:t>
                  </w:r>
                </w:p>
              </w:tc>
              <w:tc>
                <w:tcPr>
                  <w:tcW w:w="6390" w:type="dxa"/>
                </w:tcPr>
                <w:p w14:paraId="2B5B9029" w14:textId="77777777" w:rsidR="00DB3017" w:rsidRPr="00081671" w:rsidRDefault="00DB3017" w:rsidP="00DB3017">
                  <w:pPr>
                    <w:spacing w:after="60"/>
                    <w:rPr>
                      <w:iCs/>
                      <w:sz w:val="20"/>
                    </w:rPr>
                  </w:pPr>
                  <w:r w:rsidRPr="00081671">
                    <w:rPr>
                      <w:i/>
                      <w:iCs/>
                      <w:sz w:val="20"/>
                    </w:rPr>
                    <w:t xml:space="preserve">Must-Run Alternative Flag – </w:t>
                  </w:r>
                  <w:r w:rsidRPr="00081671">
                    <w:rPr>
                      <w:iCs/>
                      <w:sz w:val="20"/>
                    </w:rPr>
                    <w:t xml:space="preserve">An indicator to signify that an </w:t>
                  </w:r>
                  <w:r>
                    <w:rPr>
                      <w:iCs/>
                      <w:sz w:val="20"/>
                    </w:rPr>
                    <w:t>MRA</w:t>
                  </w:r>
                  <w:r w:rsidRPr="00081671">
                    <w:rPr>
                      <w:iCs/>
                      <w:sz w:val="20"/>
                    </w:rPr>
                    <w:t xml:space="preserve"> </w:t>
                  </w:r>
                  <w:r w:rsidRPr="00081671">
                    <w:rPr>
                      <w:i/>
                      <w:iCs/>
                      <w:sz w:val="20"/>
                    </w:rPr>
                    <w:t xml:space="preserve">r </w:t>
                  </w:r>
                  <w:r w:rsidRPr="00081671">
                    <w:rPr>
                      <w:iCs/>
                      <w:sz w:val="20"/>
                    </w:rPr>
                    <w:t xml:space="preserve">represented by QSE </w:t>
                  </w:r>
                  <w:r w:rsidRPr="00081671">
                    <w:rPr>
                      <w:i/>
                      <w:iCs/>
                      <w:sz w:val="20"/>
                    </w:rPr>
                    <w:t>q</w:t>
                  </w:r>
                  <w:r>
                    <w:rPr>
                      <w:i/>
                      <w:iCs/>
                      <w:sz w:val="20"/>
                    </w:rPr>
                    <w:t xml:space="preserve"> </w:t>
                  </w:r>
                  <w:r w:rsidRPr="00081671">
                    <w:rPr>
                      <w:iCs/>
                      <w:sz w:val="20"/>
                    </w:rPr>
                    <w:t>followed the deployment instruction for the event for the hour</w:t>
                  </w:r>
                  <w:r>
                    <w:rPr>
                      <w:iCs/>
                      <w:sz w:val="20"/>
                    </w:rPr>
                    <w:t xml:space="preserve"> </w:t>
                  </w:r>
                  <w:r w:rsidRPr="008B6C1D">
                    <w:rPr>
                      <w:i/>
                      <w:iCs/>
                      <w:sz w:val="20"/>
                    </w:rPr>
                    <w:t>h</w:t>
                  </w:r>
                  <w:r w:rsidRPr="00081671">
                    <w:rPr>
                      <w:iCs/>
                      <w:sz w:val="20"/>
                    </w:rPr>
                    <w:t xml:space="preserve">. </w:t>
                  </w:r>
                  <w:r>
                    <w:rPr>
                      <w:iCs/>
                      <w:sz w:val="20"/>
                    </w:rPr>
                    <w:t xml:space="preserve"> An MRAFLAG value of 1 represents followed and a 0 represents did not follow the deployment.  </w:t>
                  </w:r>
                  <w:r w:rsidRPr="00081671">
                    <w:rPr>
                      <w:sz w:val="20"/>
                    </w:rPr>
                    <w:t xml:space="preserve">Where for a Combined Cycle Train, the Resource </w:t>
                  </w:r>
                  <w:r w:rsidRPr="00081671">
                    <w:rPr>
                      <w:i/>
                      <w:sz w:val="20"/>
                    </w:rPr>
                    <w:t xml:space="preserve">r </w:t>
                  </w:r>
                  <w:r w:rsidRPr="00081671">
                    <w:rPr>
                      <w:sz w:val="20"/>
                    </w:rPr>
                    <w:t>is the Combined Cycle Train.</w:t>
                  </w:r>
                </w:p>
              </w:tc>
            </w:tr>
            <w:tr w:rsidR="00DB3017" w:rsidRPr="00081671" w14:paraId="5CAB6A7F" w14:textId="77777777" w:rsidTr="00CE1011">
              <w:trPr>
                <w:cantSplit/>
              </w:trPr>
              <w:tc>
                <w:tcPr>
                  <w:tcW w:w="1885" w:type="dxa"/>
                </w:tcPr>
                <w:p w14:paraId="55004A9A" w14:textId="77777777" w:rsidR="00DB3017" w:rsidRPr="00081671" w:rsidRDefault="00DB3017" w:rsidP="00DB3017">
                  <w:pPr>
                    <w:spacing w:after="60"/>
                    <w:rPr>
                      <w:iCs/>
                      <w:sz w:val="20"/>
                    </w:rPr>
                  </w:pPr>
                  <w:r w:rsidRPr="00081671">
                    <w:rPr>
                      <w:iCs/>
                      <w:sz w:val="20"/>
                    </w:rPr>
                    <w:t>MRACEFA</w:t>
                  </w:r>
                  <w:r w:rsidRPr="00081671">
                    <w:rPr>
                      <w:iCs/>
                      <w:sz w:val="20"/>
                      <w:vertAlign w:val="subscript"/>
                    </w:rPr>
                    <w:t xml:space="preserve"> </w:t>
                  </w:r>
                  <w:r w:rsidRPr="00081671">
                    <w:rPr>
                      <w:i/>
                      <w:iCs/>
                      <w:sz w:val="20"/>
                      <w:vertAlign w:val="subscript"/>
                    </w:rPr>
                    <w:t>q, r</w:t>
                  </w:r>
                </w:p>
              </w:tc>
              <w:tc>
                <w:tcPr>
                  <w:tcW w:w="1080" w:type="dxa"/>
                </w:tcPr>
                <w:p w14:paraId="073AC7B2" w14:textId="77777777" w:rsidR="00DB3017" w:rsidRPr="00081671" w:rsidRDefault="00DB3017" w:rsidP="00DB3017">
                  <w:pPr>
                    <w:spacing w:after="60"/>
                    <w:rPr>
                      <w:iCs/>
                      <w:sz w:val="20"/>
                    </w:rPr>
                  </w:pPr>
                  <w:r w:rsidRPr="00081671">
                    <w:rPr>
                      <w:iCs/>
                      <w:sz w:val="20"/>
                    </w:rPr>
                    <w:t>$/MMBtu</w:t>
                  </w:r>
                </w:p>
              </w:tc>
              <w:tc>
                <w:tcPr>
                  <w:tcW w:w="6390" w:type="dxa"/>
                </w:tcPr>
                <w:p w14:paraId="750BB1A8" w14:textId="0C73A4EC" w:rsidR="00DB3017" w:rsidRPr="00081671" w:rsidRDefault="00DB3017" w:rsidP="00DB3017">
                  <w:pPr>
                    <w:spacing w:after="60"/>
                    <w:rPr>
                      <w:iCs/>
                      <w:sz w:val="20"/>
                    </w:rPr>
                  </w:pPr>
                  <w:r w:rsidRPr="00081671">
                    <w:rPr>
                      <w:i/>
                      <w:iCs/>
                      <w:sz w:val="20"/>
                    </w:rPr>
                    <w:t>Must-Run Alternative Contractual Estimated Fuel Adder</w:t>
                  </w:r>
                  <w:r w:rsidRPr="00081671">
                    <w:rPr>
                      <w:iCs/>
                      <w:sz w:val="20"/>
                    </w:rPr>
                    <w:t xml:space="preserve">—The </w:t>
                  </w:r>
                  <w:r w:rsidR="00371616">
                    <w:rPr>
                      <w:iCs/>
                      <w:sz w:val="20"/>
                    </w:rPr>
                    <w:t xml:space="preserve">MRA </w:t>
                  </w:r>
                  <w:r w:rsidRPr="00081671">
                    <w:rPr>
                      <w:iCs/>
                      <w:sz w:val="20"/>
                    </w:rPr>
                    <w:t xml:space="preserve">Estimated Fuel Adder </w:t>
                  </w:r>
                  <w:r>
                    <w:rPr>
                      <w:iCs/>
                      <w:sz w:val="20"/>
                    </w:rPr>
                    <w:t xml:space="preserve">for the </w:t>
                  </w:r>
                  <w:r>
                    <w:rPr>
                      <w:sz w:val="20"/>
                    </w:rPr>
                    <w:t>MRA</w:t>
                  </w:r>
                  <w:r w:rsidRPr="00081671">
                    <w:rPr>
                      <w:i/>
                      <w:iCs/>
                      <w:sz w:val="20"/>
                    </w:rPr>
                    <w:t xml:space="preserve"> r </w:t>
                  </w:r>
                  <w:r w:rsidRPr="00081671">
                    <w:rPr>
                      <w:iCs/>
                      <w:sz w:val="20"/>
                    </w:rPr>
                    <w:t xml:space="preserve">represented by QSE </w:t>
                  </w:r>
                  <w:r w:rsidRPr="00081671">
                    <w:rPr>
                      <w:i/>
                      <w:iCs/>
                      <w:sz w:val="20"/>
                    </w:rPr>
                    <w:t>q</w:t>
                  </w:r>
                  <w:r w:rsidRPr="00081671">
                    <w:rPr>
                      <w:iCs/>
                      <w:sz w:val="20"/>
                    </w:rPr>
                    <w:t xml:space="preserve"> as specified in the MRA Agreement.  Where for a Combined Cycle Train, the Generation Resource </w:t>
                  </w:r>
                  <w:r w:rsidRPr="00081671">
                    <w:rPr>
                      <w:i/>
                      <w:iCs/>
                      <w:sz w:val="20"/>
                    </w:rPr>
                    <w:t xml:space="preserve">r </w:t>
                  </w:r>
                  <w:r w:rsidRPr="00081671">
                    <w:rPr>
                      <w:iCs/>
                      <w:sz w:val="20"/>
                    </w:rPr>
                    <w:t xml:space="preserve">is the Combined Cycle Train.  </w:t>
                  </w:r>
                </w:p>
              </w:tc>
            </w:tr>
            <w:tr w:rsidR="00DB3017" w:rsidRPr="00081671" w14:paraId="5F5CE265" w14:textId="77777777" w:rsidTr="00CE1011">
              <w:trPr>
                <w:cantSplit/>
              </w:trPr>
              <w:tc>
                <w:tcPr>
                  <w:tcW w:w="1885" w:type="dxa"/>
                </w:tcPr>
                <w:p w14:paraId="37217CB4" w14:textId="77777777" w:rsidR="00DB3017" w:rsidRPr="00081671" w:rsidRDefault="00DB3017" w:rsidP="00DB3017">
                  <w:pPr>
                    <w:spacing w:after="60"/>
                    <w:rPr>
                      <w:i/>
                      <w:iCs/>
                      <w:sz w:val="20"/>
                    </w:rPr>
                  </w:pPr>
                  <w:r w:rsidRPr="00081671">
                    <w:rPr>
                      <w:i/>
                      <w:iCs/>
                      <w:sz w:val="20"/>
                    </w:rPr>
                    <w:t>q</w:t>
                  </w:r>
                </w:p>
              </w:tc>
              <w:tc>
                <w:tcPr>
                  <w:tcW w:w="1080" w:type="dxa"/>
                </w:tcPr>
                <w:p w14:paraId="1AB9D4D1" w14:textId="77777777" w:rsidR="00DB3017" w:rsidRPr="00081671" w:rsidRDefault="00DB3017" w:rsidP="00DB3017">
                  <w:pPr>
                    <w:spacing w:after="60"/>
                    <w:rPr>
                      <w:iCs/>
                      <w:sz w:val="20"/>
                    </w:rPr>
                  </w:pPr>
                  <w:r w:rsidRPr="00081671">
                    <w:rPr>
                      <w:iCs/>
                      <w:sz w:val="20"/>
                    </w:rPr>
                    <w:t>none</w:t>
                  </w:r>
                </w:p>
              </w:tc>
              <w:tc>
                <w:tcPr>
                  <w:tcW w:w="6390" w:type="dxa"/>
                </w:tcPr>
                <w:p w14:paraId="66261E14" w14:textId="77777777" w:rsidR="00DB3017" w:rsidRPr="00081671" w:rsidRDefault="00DB3017" w:rsidP="00DB3017">
                  <w:pPr>
                    <w:spacing w:after="60"/>
                    <w:rPr>
                      <w:iCs/>
                      <w:sz w:val="20"/>
                    </w:rPr>
                  </w:pPr>
                  <w:r w:rsidRPr="00081671">
                    <w:rPr>
                      <w:iCs/>
                      <w:sz w:val="20"/>
                    </w:rPr>
                    <w:t>A QSE.</w:t>
                  </w:r>
                </w:p>
              </w:tc>
            </w:tr>
            <w:tr w:rsidR="00DB3017" w:rsidRPr="00081671" w14:paraId="76BC6F89" w14:textId="77777777" w:rsidTr="00CE1011">
              <w:trPr>
                <w:cantSplit/>
              </w:trPr>
              <w:tc>
                <w:tcPr>
                  <w:tcW w:w="1885" w:type="dxa"/>
                </w:tcPr>
                <w:p w14:paraId="09662392" w14:textId="77777777" w:rsidR="00DB3017" w:rsidRPr="00081671" w:rsidRDefault="00DB3017" w:rsidP="00DB3017">
                  <w:pPr>
                    <w:spacing w:after="60"/>
                    <w:rPr>
                      <w:i/>
                      <w:iCs/>
                      <w:sz w:val="20"/>
                    </w:rPr>
                  </w:pPr>
                  <w:r w:rsidRPr="00081671">
                    <w:rPr>
                      <w:i/>
                      <w:iCs/>
                      <w:sz w:val="20"/>
                    </w:rPr>
                    <w:t>r</w:t>
                  </w:r>
                </w:p>
              </w:tc>
              <w:tc>
                <w:tcPr>
                  <w:tcW w:w="1080" w:type="dxa"/>
                </w:tcPr>
                <w:p w14:paraId="2E6F5A94" w14:textId="77777777" w:rsidR="00DB3017" w:rsidRPr="00081671" w:rsidRDefault="00DB3017" w:rsidP="00DB3017">
                  <w:pPr>
                    <w:spacing w:after="60"/>
                    <w:rPr>
                      <w:iCs/>
                      <w:sz w:val="20"/>
                    </w:rPr>
                  </w:pPr>
                  <w:r w:rsidRPr="00081671">
                    <w:rPr>
                      <w:iCs/>
                      <w:sz w:val="20"/>
                    </w:rPr>
                    <w:t>none</w:t>
                  </w:r>
                </w:p>
              </w:tc>
              <w:tc>
                <w:tcPr>
                  <w:tcW w:w="6390" w:type="dxa"/>
                </w:tcPr>
                <w:p w14:paraId="00F29EA2" w14:textId="77777777" w:rsidR="00DB3017" w:rsidRPr="00081671" w:rsidRDefault="00DB3017" w:rsidP="00DB3017">
                  <w:pPr>
                    <w:spacing w:after="60"/>
                    <w:rPr>
                      <w:iCs/>
                      <w:sz w:val="20"/>
                    </w:rPr>
                  </w:pPr>
                  <w:r w:rsidRPr="00081671">
                    <w:rPr>
                      <w:iCs/>
                      <w:sz w:val="20"/>
                    </w:rPr>
                    <w:t xml:space="preserve">An </w:t>
                  </w:r>
                  <w:r>
                    <w:rPr>
                      <w:iCs/>
                      <w:sz w:val="20"/>
                    </w:rPr>
                    <w:t>MRA</w:t>
                  </w:r>
                  <w:r w:rsidRPr="00081671">
                    <w:rPr>
                      <w:iCs/>
                      <w:sz w:val="20"/>
                    </w:rPr>
                    <w:t>.</w:t>
                  </w:r>
                </w:p>
              </w:tc>
            </w:tr>
            <w:tr w:rsidR="00DB3017" w:rsidRPr="00081671" w14:paraId="758DA43B" w14:textId="77777777" w:rsidTr="00CE1011">
              <w:trPr>
                <w:cantSplit/>
              </w:trPr>
              <w:tc>
                <w:tcPr>
                  <w:tcW w:w="1885" w:type="dxa"/>
                </w:tcPr>
                <w:p w14:paraId="360FCDF0" w14:textId="77777777" w:rsidR="00DB3017" w:rsidRPr="00081671" w:rsidRDefault="00DB3017" w:rsidP="00DB3017">
                  <w:pPr>
                    <w:spacing w:after="60"/>
                    <w:rPr>
                      <w:i/>
                      <w:iCs/>
                      <w:sz w:val="20"/>
                    </w:rPr>
                  </w:pPr>
                  <w:r w:rsidRPr="00081671">
                    <w:rPr>
                      <w:i/>
                      <w:iCs/>
                      <w:sz w:val="20"/>
                    </w:rPr>
                    <w:t>m</w:t>
                  </w:r>
                </w:p>
              </w:tc>
              <w:tc>
                <w:tcPr>
                  <w:tcW w:w="1080" w:type="dxa"/>
                </w:tcPr>
                <w:p w14:paraId="175C3640" w14:textId="77777777" w:rsidR="00DB3017" w:rsidRPr="00081671" w:rsidRDefault="00DB3017" w:rsidP="00DB3017">
                  <w:pPr>
                    <w:spacing w:after="60"/>
                    <w:rPr>
                      <w:iCs/>
                      <w:sz w:val="20"/>
                    </w:rPr>
                  </w:pPr>
                  <w:r w:rsidRPr="00081671">
                    <w:rPr>
                      <w:iCs/>
                      <w:sz w:val="20"/>
                    </w:rPr>
                    <w:t>none</w:t>
                  </w:r>
                </w:p>
              </w:tc>
              <w:tc>
                <w:tcPr>
                  <w:tcW w:w="6390" w:type="dxa"/>
                </w:tcPr>
                <w:p w14:paraId="4799E25B" w14:textId="77777777" w:rsidR="00DB3017" w:rsidRPr="00081671" w:rsidRDefault="00DB3017" w:rsidP="00DB3017">
                  <w:pPr>
                    <w:spacing w:after="60"/>
                    <w:rPr>
                      <w:iCs/>
                      <w:sz w:val="20"/>
                    </w:rPr>
                  </w:pPr>
                  <w:r w:rsidRPr="00081671">
                    <w:rPr>
                      <w:sz w:val="20"/>
                    </w:rPr>
                    <w:t>A</w:t>
                  </w:r>
                  <w:r>
                    <w:rPr>
                      <w:sz w:val="20"/>
                    </w:rPr>
                    <w:t>n</w:t>
                  </w:r>
                  <w:r w:rsidRPr="00081671">
                    <w:rPr>
                      <w:sz w:val="20"/>
                    </w:rPr>
                    <w:t xml:space="preserve"> </w:t>
                  </w:r>
                  <w:r>
                    <w:rPr>
                      <w:sz w:val="20"/>
                    </w:rPr>
                    <w:t>MRA Contracted M</w:t>
                  </w:r>
                  <w:r w:rsidRPr="00081671">
                    <w:rPr>
                      <w:sz w:val="20"/>
                    </w:rPr>
                    <w:t xml:space="preserve">onth </w:t>
                  </w:r>
                  <w:r w:rsidRPr="00081671">
                    <w:rPr>
                      <w:iCs/>
                      <w:sz w:val="20"/>
                    </w:rPr>
                    <w:t>under the MRA Agreement</w:t>
                  </w:r>
                  <w:r w:rsidRPr="00081671">
                    <w:rPr>
                      <w:sz w:val="20"/>
                    </w:rPr>
                    <w:t>.</w:t>
                  </w:r>
                </w:p>
              </w:tc>
            </w:tr>
            <w:tr w:rsidR="00DB3017" w:rsidRPr="00081671" w14:paraId="0C38CA4E" w14:textId="77777777" w:rsidTr="00CE1011">
              <w:trPr>
                <w:cantSplit/>
              </w:trPr>
              <w:tc>
                <w:tcPr>
                  <w:tcW w:w="1885" w:type="dxa"/>
                  <w:tcBorders>
                    <w:top w:val="single" w:sz="4" w:space="0" w:color="auto"/>
                    <w:left w:val="single" w:sz="4" w:space="0" w:color="auto"/>
                    <w:bottom w:val="single" w:sz="4" w:space="0" w:color="auto"/>
                    <w:right w:val="single" w:sz="4" w:space="0" w:color="auto"/>
                  </w:tcBorders>
                </w:tcPr>
                <w:p w14:paraId="55E27035" w14:textId="77777777" w:rsidR="00DB3017" w:rsidRPr="00081671" w:rsidRDefault="00DB3017" w:rsidP="00DB3017">
                  <w:pPr>
                    <w:rPr>
                      <w:i/>
                      <w:iCs/>
                      <w:sz w:val="20"/>
                    </w:rPr>
                  </w:pPr>
                  <w:r w:rsidRPr="00081671">
                    <w:rPr>
                      <w:i/>
                      <w:iCs/>
                      <w:sz w:val="20"/>
                    </w:rPr>
                    <w:lastRenderedPageBreak/>
                    <w:t>h</w:t>
                  </w:r>
                </w:p>
              </w:tc>
              <w:tc>
                <w:tcPr>
                  <w:tcW w:w="1080" w:type="dxa"/>
                  <w:tcBorders>
                    <w:top w:val="single" w:sz="4" w:space="0" w:color="auto"/>
                    <w:left w:val="single" w:sz="4" w:space="0" w:color="auto"/>
                    <w:bottom w:val="single" w:sz="4" w:space="0" w:color="auto"/>
                    <w:right w:val="single" w:sz="4" w:space="0" w:color="auto"/>
                  </w:tcBorders>
                </w:tcPr>
                <w:p w14:paraId="6AF775FF" w14:textId="77777777" w:rsidR="00DB3017" w:rsidRPr="00081671" w:rsidRDefault="00DB3017" w:rsidP="00DB3017">
                  <w:pPr>
                    <w:rPr>
                      <w:iCs/>
                      <w:sz w:val="20"/>
                    </w:rPr>
                  </w:pPr>
                  <w:r w:rsidRPr="00081671">
                    <w:rPr>
                      <w:iCs/>
                      <w:sz w:val="20"/>
                    </w:rPr>
                    <w:t>none</w:t>
                  </w:r>
                </w:p>
              </w:tc>
              <w:tc>
                <w:tcPr>
                  <w:tcW w:w="6390" w:type="dxa"/>
                  <w:tcBorders>
                    <w:top w:val="single" w:sz="4" w:space="0" w:color="auto"/>
                    <w:left w:val="single" w:sz="4" w:space="0" w:color="auto"/>
                    <w:bottom w:val="single" w:sz="4" w:space="0" w:color="auto"/>
                    <w:right w:val="single" w:sz="4" w:space="0" w:color="auto"/>
                  </w:tcBorders>
                </w:tcPr>
                <w:p w14:paraId="3276A230" w14:textId="77777777" w:rsidR="00DB3017" w:rsidRPr="00081671" w:rsidRDefault="00DB3017" w:rsidP="00DB3017">
                  <w:pPr>
                    <w:rPr>
                      <w:sz w:val="20"/>
                    </w:rPr>
                  </w:pPr>
                  <w:r w:rsidRPr="00081671">
                    <w:rPr>
                      <w:sz w:val="20"/>
                    </w:rPr>
                    <w:t>A</w:t>
                  </w:r>
                  <w:r>
                    <w:rPr>
                      <w:sz w:val="20"/>
                    </w:rPr>
                    <w:t>n</w:t>
                  </w:r>
                  <w:r w:rsidRPr="00081671">
                    <w:rPr>
                      <w:sz w:val="20"/>
                    </w:rPr>
                    <w:t xml:space="preserve"> </w:t>
                  </w:r>
                  <w:r>
                    <w:rPr>
                      <w:sz w:val="20"/>
                    </w:rPr>
                    <w:t>MRA Contracted Hour</w:t>
                  </w:r>
                  <w:r w:rsidRPr="00081671">
                    <w:rPr>
                      <w:sz w:val="20"/>
                    </w:rPr>
                    <w:t xml:space="preserve"> under the MRA Agreement for the </w:t>
                  </w:r>
                  <w:r>
                    <w:rPr>
                      <w:sz w:val="20"/>
                    </w:rPr>
                    <w:t>MRA Contracted</w:t>
                  </w:r>
                  <w:r w:rsidRPr="00081671">
                    <w:rPr>
                      <w:sz w:val="20"/>
                    </w:rPr>
                    <w:t xml:space="preserve"> </w:t>
                  </w:r>
                  <w:r>
                    <w:rPr>
                      <w:sz w:val="20"/>
                    </w:rPr>
                    <w:t>M</w:t>
                  </w:r>
                  <w:r w:rsidRPr="00081671">
                    <w:rPr>
                      <w:sz w:val="20"/>
                    </w:rPr>
                    <w:t>onth.</w:t>
                  </w:r>
                </w:p>
              </w:tc>
            </w:tr>
          </w:tbl>
          <w:p w14:paraId="79B5D505" w14:textId="13DD4DFF" w:rsidR="00DB3017" w:rsidRPr="00081671" w:rsidRDefault="00DB3017" w:rsidP="00DB3017">
            <w:pPr>
              <w:spacing w:before="240" w:after="240"/>
              <w:ind w:left="720" w:hanging="720"/>
              <w:rPr>
                <w:iCs/>
              </w:rPr>
            </w:pPr>
            <w:r w:rsidRPr="00081671">
              <w:rPr>
                <w:iCs/>
              </w:rPr>
              <w:t>(</w:t>
            </w:r>
            <w:r w:rsidR="00AA432B">
              <w:rPr>
                <w:iCs/>
              </w:rPr>
              <w:t>4</w:t>
            </w:r>
            <w:r w:rsidRPr="00081671">
              <w:rPr>
                <w:iCs/>
              </w:rPr>
              <w:t>)</w:t>
            </w:r>
            <w:r w:rsidRPr="00081671">
              <w:rPr>
                <w:iCs/>
              </w:rPr>
              <w:tab/>
              <w:t xml:space="preserve">The total of the deployment event payments for all </w:t>
            </w:r>
            <w:r>
              <w:rPr>
                <w:iCs/>
              </w:rPr>
              <w:t>MRA</w:t>
            </w:r>
            <w:r w:rsidRPr="00081671">
              <w:rPr>
                <w:iCs/>
              </w:rPr>
              <w:t xml:space="preserve">s represented by the QSE for a given </w:t>
            </w:r>
            <w:r>
              <w:rPr>
                <w:iCs/>
              </w:rPr>
              <w:t>MRA Contracted H</w:t>
            </w:r>
            <w:r w:rsidRPr="00081671">
              <w:rPr>
                <w:iCs/>
              </w:rPr>
              <w:t>our is calculated as follows:</w:t>
            </w:r>
          </w:p>
          <w:p w14:paraId="4FBA13FB" w14:textId="77777777" w:rsidR="00DB3017" w:rsidRPr="00081671" w:rsidRDefault="00DB3017" w:rsidP="00DB3017">
            <w:pPr>
              <w:tabs>
                <w:tab w:val="left" w:pos="2340"/>
                <w:tab w:val="left" w:pos="3420"/>
              </w:tabs>
              <w:spacing w:after="240"/>
              <w:ind w:left="3870" w:hanging="3150"/>
              <w:rPr>
                <w:bCs/>
                <w:lang w:val="pt-BR"/>
              </w:rPr>
            </w:pPr>
            <w:r w:rsidRPr="00081671">
              <w:rPr>
                <w:bCs/>
                <w:lang w:val="pt-BR"/>
              </w:rPr>
              <w:t>MRADEAMTQSETOT</w:t>
            </w:r>
            <w:r>
              <w:rPr>
                <w:bCs/>
                <w:lang w:val="pt-BR"/>
              </w:rPr>
              <w:t xml:space="preserve"> </w:t>
            </w:r>
            <w:r w:rsidRPr="00081671">
              <w:rPr>
                <w:bCs/>
                <w:i/>
                <w:vertAlign w:val="subscript"/>
                <w:lang w:val="pt-BR"/>
              </w:rPr>
              <w:t>q</w:t>
            </w:r>
            <w:r w:rsidRPr="00081671">
              <w:rPr>
                <w:bCs/>
                <w:lang w:val="pt-BR"/>
              </w:rPr>
              <w:t xml:space="preserve">  =  </w:t>
            </w:r>
            <w:r w:rsidRPr="00081671">
              <w:rPr>
                <w:bCs/>
                <w:position w:val="-18"/>
                <w:lang w:val="pt-BR"/>
              </w:rPr>
              <w:object w:dxaOrig="225" w:dyaOrig="420" w14:anchorId="37111A37">
                <v:shape id="_x0000_i1222" type="#_x0000_t75" style="width:12pt;height:24pt" o:ole="">
                  <v:imagedata r:id="rId238" o:title=""/>
                </v:shape>
                <o:OLEObject Type="Embed" ProgID="Equation.3" ShapeID="_x0000_i1222" DrawAspect="Content" ObjectID="_1815025411" r:id="rId273"/>
              </w:object>
            </w:r>
            <w:r w:rsidRPr="00081671">
              <w:rPr>
                <w:bCs/>
                <w:color w:val="000000"/>
                <w:lang w:val="pt-BR"/>
              </w:rPr>
              <w:t xml:space="preserve"> MRADEAMT</w:t>
            </w:r>
            <w:r>
              <w:rPr>
                <w:bCs/>
                <w:color w:val="000000"/>
                <w:lang w:val="pt-BR"/>
              </w:rPr>
              <w:t xml:space="preserve"> </w:t>
            </w:r>
            <w:r w:rsidRPr="00081671">
              <w:rPr>
                <w:bCs/>
                <w:i/>
                <w:vertAlign w:val="subscript"/>
                <w:lang w:val="pt-BR"/>
              </w:rPr>
              <w:t>q, r, h</w:t>
            </w:r>
            <w:r w:rsidRPr="00081671">
              <w:rPr>
                <w:bCs/>
                <w:lang w:val="pt-BR"/>
              </w:rPr>
              <w:t xml:space="preserve"> </w:t>
            </w:r>
            <w:r w:rsidRPr="00081671">
              <w:rPr>
                <w:bCs/>
                <w:i/>
                <w:vertAlign w:val="subscript"/>
                <w:lang w:val="pt-BR"/>
              </w:rPr>
              <w:t xml:space="preserve">  </w:t>
            </w:r>
          </w:p>
          <w:p w14:paraId="309D6511" w14:textId="77777777" w:rsidR="00DB3017" w:rsidRPr="00081671" w:rsidRDefault="00DB3017" w:rsidP="00DB3017">
            <w:r w:rsidRPr="00081671">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619"/>
              <w:gridCol w:w="6399"/>
            </w:tblGrid>
            <w:tr w:rsidR="00A628E7" w:rsidRPr="00081671" w14:paraId="6471906E" w14:textId="77777777" w:rsidTr="00CE1011">
              <w:trPr>
                <w:cantSplit/>
                <w:tblHeader/>
              </w:trPr>
              <w:tc>
                <w:tcPr>
                  <w:tcW w:w="1249" w:type="pct"/>
                </w:tcPr>
                <w:p w14:paraId="213B11B2" w14:textId="77777777" w:rsidR="00A628E7" w:rsidRPr="00081671" w:rsidRDefault="00A628E7" w:rsidP="00A628E7">
                  <w:pPr>
                    <w:spacing w:after="240"/>
                    <w:rPr>
                      <w:b/>
                      <w:iCs/>
                      <w:sz w:val="20"/>
                    </w:rPr>
                  </w:pPr>
                  <w:r w:rsidRPr="00081671">
                    <w:rPr>
                      <w:b/>
                      <w:iCs/>
                      <w:sz w:val="20"/>
                    </w:rPr>
                    <w:t>Variable</w:t>
                  </w:r>
                </w:p>
              </w:tc>
              <w:tc>
                <w:tcPr>
                  <w:tcW w:w="331" w:type="pct"/>
                </w:tcPr>
                <w:p w14:paraId="7222AF4E" w14:textId="77777777" w:rsidR="00A628E7" w:rsidRPr="00081671" w:rsidRDefault="00A628E7" w:rsidP="00A628E7">
                  <w:pPr>
                    <w:spacing w:after="240"/>
                    <w:rPr>
                      <w:b/>
                      <w:iCs/>
                      <w:sz w:val="20"/>
                    </w:rPr>
                  </w:pPr>
                  <w:r w:rsidRPr="00081671">
                    <w:rPr>
                      <w:b/>
                      <w:iCs/>
                      <w:sz w:val="20"/>
                    </w:rPr>
                    <w:t>Unit</w:t>
                  </w:r>
                </w:p>
              </w:tc>
              <w:tc>
                <w:tcPr>
                  <w:tcW w:w="3420" w:type="pct"/>
                </w:tcPr>
                <w:p w14:paraId="37AC34C7" w14:textId="77777777" w:rsidR="00A628E7" w:rsidRPr="00081671" w:rsidRDefault="00A628E7" w:rsidP="00A628E7">
                  <w:pPr>
                    <w:spacing w:after="240"/>
                    <w:rPr>
                      <w:b/>
                      <w:iCs/>
                      <w:sz w:val="20"/>
                    </w:rPr>
                  </w:pPr>
                  <w:r w:rsidRPr="00081671">
                    <w:rPr>
                      <w:b/>
                      <w:iCs/>
                      <w:sz w:val="20"/>
                    </w:rPr>
                    <w:t>Definition</w:t>
                  </w:r>
                </w:p>
              </w:tc>
            </w:tr>
            <w:tr w:rsidR="00A628E7" w:rsidRPr="00081671" w14:paraId="31CEE5E1" w14:textId="77777777" w:rsidTr="00CE1011">
              <w:trPr>
                <w:cantSplit/>
              </w:trPr>
              <w:tc>
                <w:tcPr>
                  <w:tcW w:w="1249" w:type="pct"/>
                </w:tcPr>
                <w:p w14:paraId="73BEB981" w14:textId="77777777" w:rsidR="00A628E7" w:rsidRPr="00081671" w:rsidRDefault="00A628E7" w:rsidP="00A628E7">
                  <w:pPr>
                    <w:spacing w:after="60"/>
                    <w:rPr>
                      <w:iCs/>
                      <w:sz w:val="20"/>
                    </w:rPr>
                  </w:pPr>
                  <w:r w:rsidRPr="00081671">
                    <w:rPr>
                      <w:iCs/>
                      <w:sz w:val="20"/>
                    </w:rPr>
                    <w:t>MRADEAMTQSETOT</w:t>
                  </w:r>
                  <w:r>
                    <w:rPr>
                      <w:iCs/>
                      <w:sz w:val="20"/>
                    </w:rPr>
                    <w:t xml:space="preserve"> </w:t>
                  </w:r>
                  <w:r w:rsidRPr="00480585">
                    <w:rPr>
                      <w:i/>
                      <w:iCs/>
                      <w:sz w:val="20"/>
                      <w:vertAlign w:val="subscript"/>
                    </w:rPr>
                    <w:t>q</w:t>
                  </w:r>
                  <w:r w:rsidRPr="00081671">
                    <w:rPr>
                      <w:iCs/>
                      <w:sz w:val="20"/>
                    </w:rPr>
                    <w:t xml:space="preserve">  </w:t>
                  </w:r>
                </w:p>
              </w:tc>
              <w:tc>
                <w:tcPr>
                  <w:tcW w:w="331" w:type="pct"/>
                </w:tcPr>
                <w:p w14:paraId="76DF7921" w14:textId="77777777" w:rsidR="00A628E7" w:rsidRPr="00081671" w:rsidRDefault="00A628E7" w:rsidP="00A628E7">
                  <w:pPr>
                    <w:spacing w:after="60"/>
                    <w:rPr>
                      <w:iCs/>
                      <w:sz w:val="20"/>
                    </w:rPr>
                  </w:pPr>
                  <w:r w:rsidRPr="00081671">
                    <w:rPr>
                      <w:iCs/>
                      <w:sz w:val="20"/>
                    </w:rPr>
                    <w:t>$</w:t>
                  </w:r>
                </w:p>
              </w:tc>
              <w:tc>
                <w:tcPr>
                  <w:tcW w:w="3420" w:type="pct"/>
                </w:tcPr>
                <w:p w14:paraId="7636DD26" w14:textId="77777777" w:rsidR="00A628E7" w:rsidRPr="00081671" w:rsidRDefault="00A628E7" w:rsidP="00A628E7">
                  <w:pPr>
                    <w:spacing w:after="60"/>
                    <w:rPr>
                      <w:iCs/>
                      <w:sz w:val="20"/>
                    </w:rPr>
                  </w:pPr>
                  <w:r w:rsidRPr="00081671">
                    <w:rPr>
                      <w:i/>
                      <w:iCs/>
                      <w:sz w:val="20"/>
                    </w:rPr>
                    <w:t xml:space="preserve">Must-Run Alternative </w:t>
                  </w:r>
                  <w:r w:rsidRPr="00081671">
                    <w:rPr>
                      <w:i/>
                      <w:sz w:val="20"/>
                    </w:rPr>
                    <w:t xml:space="preserve">Deployment </w:t>
                  </w:r>
                  <w:r w:rsidRPr="00081671">
                    <w:rPr>
                      <w:i/>
                      <w:iCs/>
                      <w:sz w:val="20"/>
                    </w:rPr>
                    <w:t>Event Amount per QSE by hour</w:t>
                  </w:r>
                  <w:r w:rsidRPr="00081671">
                    <w:rPr>
                      <w:iCs/>
                      <w:sz w:val="20"/>
                    </w:rPr>
                    <w:t xml:space="preserve">—The total of the </w:t>
                  </w:r>
                  <w:r w:rsidRPr="00081671">
                    <w:rPr>
                      <w:sz w:val="20"/>
                    </w:rPr>
                    <w:t xml:space="preserve">deployment event payments </w:t>
                  </w:r>
                  <w:r w:rsidRPr="00081671">
                    <w:rPr>
                      <w:iCs/>
                      <w:sz w:val="20"/>
                    </w:rPr>
                    <w:t xml:space="preserve">for all </w:t>
                  </w:r>
                  <w:r>
                    <w:rPr>
                      <w:iCs/>
                      <w:sz w:val="20"/>
                    </w:rPr>
                    <w:t>MRA</w:t>
                  </w:r>
                  <w:r w:rsidRPr="00081671">
                    <w:rPr>
                      <w:iCs/>
                      <w:sz w:val="20"/>
                    </w:rPr>
                    <w:t xml:space="preserve">s </w:t>
                  </w:r>
                  <w:r w:rsidRPr="00081671">
                    <w:rPr>
                      <w:i/>
                      <w:iCs/>
                      <w:sz w:val="20"/>
                    </w:rPr>
                    <w:t>r</w:t>
                  </w:r>
                  <w:r w:rsidRPr="00081671">
                    <w:rPr>
                      <w:iCs/>
                      <w:sz w:val="20"/>
                    </w:rPr>
                    <w:t xml:space="preserve">, represented by the QSE q for the hour. </w:t>
                  </w:r>
                </w:p>
              </w:tc>
            </w:tr>
            <w:tr w:rsidR="00A628E7" w:rsidRPr="00081671" w14:paraId="58AC1B7A" w14:textId="77777777" w:rsidTr="00CE1011">
              <w:trPr>
                <w:cantSplit/>
              </w:trPr>
              <w:tc>
                <w:tcPr>
                  <w:tcW w:w="1249" w:type="pct"/>
                </w:tcPr>
                <w:p w14:paraId="6955B1F1" w14:textId="77777777" w:rsidR="00A628E7" w:rsidRPr="00081671" w:rsidRDefault="00A628E7" w:rsidP="00A628E7">
                  <w:pPr>
                    <w:spacing w:after="60"/>
                    <w:rPr>
                      <w:iCs/>
                      <w:sz w:val="20"/>
                    </w:rPr>
                  </w:pPr>
                  <w:r w:rsidRPr="00081671">
                    <w:rPr>
                      <w:iCs/>
                      <w:sz w:val="20"/>
                    </w:rPr>
                    <w:t>MRADEAMT</w:t>
                  </w:r>
                  <w:r w:rsidRPr="00081671">
                    <w:rPr>
                      <w:sz w:val="20"/>
                    </w:rPr>
                    <w:t xml:space="preserve"> </w:t>
                  </w:r>
                  <w:r w:rsidRPr="00081671">
                    <w:rPr>
                      <w:i/>
                      <w:sz w:val="20"/>
                      <w:vertAlign w:val="subscript"/>
                    </w:rPr>
                    <w:t>q, r, h</w:t>
                  </w:r>
                </w:p>
              </w:tc>
              <w:tc>
                <w:tcPr>
                  <w:tcW w:w="331" w:type="pct"/>
                </w:tcPr>
                <w:p w14:paraId="17985627" w14:textId="77777777" w:rsidR="00A628E7" w:rsidRPr="00081671" w:rsidRDefault="00A628E7" w:rsidP="00A628E7">
                  <w:pPr>
                    <w:spacing w:after="60"/>
                    <w:rPr>
                      <w:iCs/>
                      <w:sz w:val="20"/>
                    </w:rPr>
                  </w:pPr>
                  <w:r w:rsidRPr="00081671">
                    <w:rPr>
                      <w:iCs/>
                      <w:sz w:val="20"/>
                    </w:rPr>
                    <w:t>$</w:t>
                  </w:r>
                </w:p>
              </w:tc>
              <w:tc>
                <w:tcPr>
                  <w:tcW w:w="3420" w:type="pct"/>
                </w:tcPr>
                <w:p w14:paraId="4A2DC359" w14:textId="77777777" w:rsidR="00A628E7" w:rsidRPr="00081671" w:rsidRDefault="00A628E7" w:rsidP="00A628E7">
                  <w:pPr>
                    <w:spacing w:after="60"/>
                    <w:rPr>
                      <w:iCs/>
                      <w:sz w:val="20"/>
                    </w:rPr>
                  </w:pPr>
                  <w:r w:rsidRPr="00081671">
                    <w:rPr>
                      <w:i/>
                      <w:sz w:val="20"/>
                    </w:rPr>
                    <w:t>Must-Run Alternative Deployment Event Amount per QSE per Resource by hour</w:t>
                  </w:r>
                  <w:r w:rsidRPr="00081671">
                    <w:rPr>
                      <w:sz w:val="20"/>
                    </w:rPr>
                    <w:t xml:space="preserve">—The deployment event payment to QSE </w:t>
                  </w:r>
                  <w:r w:rsidRPr="00081671">
                    <w:rPr>
                      <w:i/>
                      <w:sz w:val="20"/>
                    </w:rPr>
                    <w:t>q</w:t>
                  </w:r>
                  <w:r w:rsidRPr="00081671">
                    <w:rPr>
                      <w:sz w:val="20"/>
                    </w:rPr>
                    <w:t xml:space="preserve"> for </w:t>
                  </w:r>
                  <w:r>
                    <w:rPr>
                      <w:sz w:val="20"/>
                    </w:rPr>
                    <w:t>MRA</w:t>
                  </w:r>
                  <w:r w:rsidRPr="00081671">
                    <w:rPr>
                      <w:sz w:val="20"/>
                    </w:rPr>
                    <w:t xml:space="preserve"> </w:t>
                  </w:r>
                  <w:r w:rsidRPr="00081671">
                    <w:rPr>
                      <w:i/>
                      <w:sz w:val="20"/>
                    </w:rPr>
                    <w:t>r</w:t>
                  </w:r>
                  <w:r w:rsidRPr="00081671">
                    <w:rPr>
                      <w:sz w:val="20"/>
                    </w:rPr>
                    <w:t xml:space="preserve">, for the hour.  Where for a Combined Cycle Train, the Resource </w:t>
                  </w:r>
                  <w:r w:rsidRPr="00081671">
                    <w:rPr>
                      <w:i/>
                      <w:sz w:val="20"/>
                    </w:rPr>
                    <w:t xml:space="preserve">r </w:t>
                  </w:r>
                  <w:r w:rsidRPr="00081671">
                    <w:rPr>
                      <w:sz w:val="20"/>
                    </w:rPr>
                    <w:t>is the Combined Cycle Train.</w:t>
                  </w:r>
                </w:p>
              </w:tc>
            </w:tr>
            <w:tr w:rsidR="00A628E7" w:rsidRPr="00081671" w14:paraId="5B6CDA9E"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5DA6F19B" w14:textId="77777777" w:rsidR="00A628E7" w:rsidRPr="00081671" w:rsidRDefault="00A628E7" w:rsidP="00A628E7">
                  <w:pPr>
                    <w:spacing w:after="60"/>
                    <w:rPr>
                      <w:i/>
                      <w:iCs/>
                      <w:sz w:val="20"/>
                    </w:rPr>
                  </w:pPr>
                  <w:r w:rsidRPr="00081671">
                    <w:rPr>
                      <w:i/>
                      <w:iCs/>
                      <w:sz w:val="20"/>
                    </w:rPr>
                    <w:t>q</w:t>
                  </w:r>
                </w:p>
              </w:tc>
              <w:tc>
                <w:tcPr>
                  <w:tcW w:w="331" w:type="pct"/>
                  <w:tcBorders>
                    <w:top w:val="single" w:sz="4" w:space="0" w:color="auto"/>
                    <w:left w:val="single" w:sz="4" w:space="0" w:color="auto"/>
                    <w:bottom w:val="single" w:sz="4" w:space="0" w:color="auto"/>
                    <w:right w:val="single" w:sz="4" w:space="0" w:color="auto"/>
                  </w:tcBorders>
                </w:tcPr>
                <w:p w14:paraId="688FC2CA" w14:textId="77777777" w:rsidR="00A628E7" w:rsidRPr="00081671" w:rsidRDefault="00A628E7" w:rsidP="00A628E7">
                  <w:pPr>
                    <w:spacing w:after="60"/>
                    <w:rPr>
                      <w:iCs/>
                      <w:sz w:val="20"/>
                    </w:rPr>
                  </w:pPr>
                  <w:r w:rsidRPr="00081671">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6E30A668" w14:textId="77777777" w:rsidR="00A628E7" w:rsidRPr="00081671" w:rsidRDefault="00A628E7" w:rsidP="00A628E7">
                  <w:pPr>
                    <w:spacing w:after="60"/>
                    <w:rPr>
                      <w:iCs/>
                      <w:sz w:val="20"/>
                    </w:rPr>
                  </w:pPr>
                  <w:r w:rsidRPr="00081671">
                    <w:rPr>
                      <w:iCs/>
                      <w:sz w:val="20"/>
                    </w:rPr>
                    <w:t>A QSE.</w:t>
                  </w:r>
                </w:p>
              </w:tc>
            </w:tr>
            <w:tr w:rsidR="00A628E7" w:rsidRPr="00081671" w14:paraId="7B8A0A74"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7A0BBC88" w14:textId="77777777" w:rsidR="00A628E7" w:rsidRPr="00081671" w:rsidRDefault="00A628E7" w:rsidP="00A628E7">
                  <w:pPr>
                    <w:spacing w:after="60"/>
                    <w:rPr>
                      <w:i/>
                      <w:iCs/>
                      <w:sz w:val="20"/>
                    </w:rPr>
                  </w:pPr>
                  <w:r w:rsidRPr="00081671">
                    <w:rPr>
                      <w:i/>
                      <w:iCs/>
                      <w:sz w:val="20"/>
                    </w:rPr>
                    <w:t>r</w:t>
                  </w:r>
                </w:p>
              </w:tc>
              <w:tc>
                <w:tcPr>
                  <w:tcW w:w="331" w:type="pct"/>
                  <w:tcBorders>
                    <w:top w:val="single" w:sz="4" w:space="0" w:color="auto"/>
                    <w:left w:val="single" w:sz="4" w:space="0" w:color="auto"/>
                    <w:bottom w:val="single" w:sz="4" w:space="0" w:color="auto"/>
                    <w:right w:val="single" w:sz="4" w:space="0" w:color="auto"/>
                  </w:tcBorders>
                </w:tcPr>
                <w:p w14:paraId="2F4CA525" w14:textId="77777777" w:rsidR="00A628E7" w:rsidRPr="00081671" w:rsidRDefault="00A628E7" w:rsidP="00A628E7">
                  <w:pPr>
                    <w:spacing w:after="60"/>
                    <w:rPr>
                      <w:iCs/>
                      <w:sz w:val="20"/>
                    </w:rPr>
                  </w:pPr>
                  <w:r w:rsidRPr="00081671">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2A683A1C" w14:textId="77777777" w:rsidR="00A628E7" w:rsidRPr="00081671" w:rsidRDefault="00A628E7" w:rsidP="00A628E7">
                  <w:pPr>
                    <w:spacing w:after="60"/>
                    <w:rPr>
                      <w:iCs/>
                      <w:sz w:val="20"/>
                    </w:rPr>
                  </w:pPr>
                  <w:r w:rsidRPr="00081671">
                    <w:rPr>
                      <w:iCs/>
                      <w:sz w:val="20"/>
                    </w:rPr>
                    <w:t xml:space="preserve">An </w:t>
                  </w:r>
                  <w:r>
                    <w:rPr>
                      <w:iCs/>
                      <w:sz w:val="20"/>
                    </w:rPr>
                    <w:t>MRA</w:t>
                  </w:r>
                  <w:r w:rsidRPr="00081671">
                    <w:rPr>
                      <w:iCs/>
                      <w:sz w:val="20"/>
                    </w:rPr>
                    <w:t>.</w:t>
                  </w:r>
                </w:p>
              </w:tc>
            </w:tr>
            <w:tr w:rsidR="00A628E7" w:rsidRPr="00081671" w14:paraId="4457BA9A"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79BFEC83" w14:textId="77777777" w:rsidR="00A628E7" w:rsidRPr="00081671" w:rsidRDefault="00A628E7" w:rsidP="00A628E7">
                  <w:pPr>
                    <w:spacing w:after="60"/>
                    <w:rPr>
                      <w:i/>
                      <w:iCs/>
                      <w:sz w:val="20"/>
                    </w:rPr>
                  </w:pPr>
                  <w:r w:rsidRPr="00081671">
                    <w:rPr>
                      <w:i/>
                      <w:iCs/>
                      <w:sz w:val="20"/>
                    </w:rPr>
                    <w:t>h</w:t>
                  </w:r>
                </w:p>
              </w:tc>
              <w:tc>
                <w:tcPr>
                  <w:tcW w:w="331" w:type="pct"/>
                  <w:tcBorders>
                    <w:top w:val="single" w:sz="4" w:space="0" w:color="auto"/>
                    <w:left w:val="single" w:sz="4" w:space="0" w:color="auto"/>
                    <w:bottom w:val="single" w:sz="4" w:space="0" w:color="auto"/>
                    <w:right w:val="single" w:sz="4" w:space="0" w:color="auto"/>
                  </w:tcBorders>
                </w:tcPr>
                <w:p w14:paraId="52E15ED7" w14:textId="77777777" w:rsidR="00A628E7" w:rsidRPr="00081671" w:rsidRDefault="00A628E7" w:rsidP="00A628E7">
                  <w:pPr>
                    <w:spacing w:after="60"/>
                    <w:rPr>
                      <w:iCs/>
                      <w:sz w:val="20"/>
                    </w:rPr>
                  </w:pPr>
                  <w:r w:rsidRPr="00081671">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2B0044AF" w14:textId="77777777" w:rsidR="00A628E7" w:rsidRPr="00081671" w:rsidRDefault="00A628E7" w:rsidP="00A628E7">
                  <w:pPr>
                    <w:spacing w:after="60"/>
                    <w:rPr>
                      <w:iCs/>
                      <w:sz w:val="20"/>
                    </w:rPr>
                  </w:pPr>
                  <w:r w:rsidRPr="00081671">
                    <w:rPr>
                      <w:sz w:val="20"/>
                    </w:rPr>
                    <w:t>A</w:t>
                  </w:r>
                  <w:r>
                    <w:rPr>
                      <w:sz w:val="20"/>
                    </w:rPr>
                    <w:t>n MRA</w:t>
                  </w:r>
                  <w:r w:rsidRPr="00081671">
                    <w:rPr>
                      <w:sz w:val="20"/>
                    </w:rPr>
                    <w:t xml:space="preserve"> </w:t>
                  </w:r>
                  <w:r>
                    <w:rPr>
                      <w:sz w:val="20"/>
                    </w:rPr>
                    <w:t>C</w:t>
                  </w:r>
                  <w:r w:rsidRPr="00081671">
                    <w:rPr>
                      <w:sz w:val="20"/>
                    </w:rPr>
                    <w:t xml:space="preserve">ontracted </w:t>
                  </w:r>
                  <w:r>
                    <w:rPr>
                      <w:sz w:val="20"/>
                    </w:rPr>
                    <w:t>H</w:t>
                  </w:r>
                  <w:r w:rsidRPr="00081671">
                    <w:rPr>
                      <w:sz w:val="20"/>
                    </w:rPr>
                    <w:t xml:space="preserve">our under the MRA Agreement for the </w:t>
                  </w:r>
                  <w:r>
                    <w:rPr>
                      <w:sz w:val="20"/>
                    </w:rPr>
                    <w:t>MRA Contracted</w:t>
                  </w:r>
                  <w:r w:rsidRPr="00081671">
                    <w:rPr>
                      <w:sz w:val="20"/>
                    </w:rPr>
                    <w:t xml:space="preserve"> </w:t>
                  </w:r>
                  <w:r>
                    <w:rPr>
                      <w:sz w:val="20"/>
                    </w:rPr>
                    <w:t>M</w:t>
                  </w:r>
                  <w:r w:rsidRPr="00081671">
                    <w:rPr>
                      <w:sz w:val="20"/>
                    </w:rPr>
                    <w:t>onth</w:t>
                  </w:r>
                  <w:r>
                    <w:rPr>
                      <w:sz w:val="20"/>
                    </w:rPr>
                    <w:t>.</w:t>
                  </w:r>
                </w:p>
              </w:tc>
            </w:tr>
          </w:tbl>
          <w:p w14:paraId="749E754B" w14:textId="0338973A" w:rsidR="00A628E7" w:rsidRPr="00081671" w:rsidRDefault="00A628E7" w:rsidP="00A628E7">
            <w:pPr>
              <w:spacing w:before="240" w:after="240"/>
              <w:ind w:left="720" w:hanging="720"/>
              <w:rPr>
                <w:iCs/>
              </w:rPr>
            </w:pPr>
            <w:r w:rsidRPr="00081671">
              <w:rPr>
                <w:iCs/>
              </w:rPr>
              <w:t>(</w:t>
            </w:r>
            <w:r w:rsidR="00AA432B">
              <w:rPr>
                <w:iCs/>
              </w:rPr>
              <w:t>5</w:t>
            </w:r>
            <w:r w:rsidRPr="00081671">
              <w:rPr>
                <w:iCs/>
              </w:rPr>
              <w:t>)</w:t>
            </w:r>
            <w:r w:rsidRPr="00081671">
              <w:rPr>
                <w:iCs/>
              </w:rPr>
              <w:tab/>
              <w:t xml:space="preserve">The total of the deployment event payments for a given </w:t>
            </w:r>
            <w:r>
              <w:rPr>
                <w:iCs/>
              </w:rPr>
              <w:t>MRA Contracted H</w:t>
            </w:r>
            <w:r w:rsidRPr="00081671">
              <w:rPr>
                <w:iCs/>
              </w:rPr>
              <w:t>our is calculated as follows:</w:t>
            </w:r>
          </w:p>
          <w:p w14:paraId="7E06A5CB" w14:textId="77777777" w:rsidR="00A628E7" w:rsidRPr="00081671" w:rsidRDefault="00A628E7" w:rsidP="00A628E7">
            <w:pPr>
              <w:spacing w:after="240"/>
              <w:ind w:left="720"/>
              <w:rPr>
                <w:iCs/>
              </w:rPr>
            </w:pPr>
            <w:r w:rsidRPr="00081671">
              <w:rPr>
                <w:iCs/>
              </w:rPr>
              <w:t xml:space="preserve">MRADEAMTTOT  =  </w:t>
            </w:r>
            <w:r w:rsidRPr="00081671">
              <w:rPr>
                <w:iCs/>
                <w:position w:val="-22"/>
              </w:rPr>
              <w:object w:dxaOrig="210" w:dyaOrig="465" w14:anchorId="26278420">
                <v:shape id="_x0000_i1223" type="#_x0000_t75" style="width:5.4pt;height:24.6pt" o:ole="">
                  <v:imagedata r:id="rId187" o:title=""/>
                </v:shape>
                <o:OLEObject Type="Embed" ProgID="Equation.3" ShapeID="_x0000_i1223" DrawAspect="Content" ObjectID="_1815025412" r:id="rId274"/>
              </w:object>
            </w:r>
            <w:r w:rsidRPr="00081671">
              <w:rPr>
                <w:iCs/>
              </w:rPr>
              <w:t xml:space="preserve"> MRADEAMTQSETOT</w:t>
            </w:r>
            <w:r>
              <w:rPr>
                <w:iCs/>
              </w:rPr>
              <w:t xml:space="preserve"> </w:t>
            </w:r>
            <w:r w:rsidRPr="00081671">
              <w:rPr>
                <w:i/>
                <w:iCs/>
                <w:vertAlign w:val="subscript"/>
              </w:rPr>
              <w:t>q</w:t>
            </w:r>
            <w:r w:rsidRPr="00081671">
              <w:rPr>
                <w:iCs/>
              </w:rPr>
              <w:t xml:space="preserve">  </w:t>
            </w:r>
          </w:p>
          <w:p w14:paraId="60135E25" w14:textId="77777777" w:rsidR="00A628E7" w:rsidRPr="00081671" w:rsidRDefault="00A628E7" w:rsidP="00A628E7">
            <w:r w:rsidRPr="00081671">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605"/>
              <w:gridCol w:w="6158"/>
            </w:tblGrid>
            <w:tr w:rsidR="004C48C1" w:rsidRPr="00081671" w14:paraId="27C2BC31" w14:textId="77777777" w:rsidTr="00CE1011">
              <w:trPr>
                <w:cantSplit/>
                <w:tblHeader/>
              </w:trPr>
              <w:tc>
                <w:tcPr>
                  <w:tcW w:w="1389" w:type="pct"/>
                </w:tcPr>
                <w:p w14:paraId="620FA5F4" w14:textId="77777777" w:rsidR="004C48C1" w:rsidRPr="00081671" w:rsidRDefault="004C48C1" w:rsidP="004C48C1">
                  <w:pPr>
                    <w:spacing w:after="240"/>
                    <w:rPr>
                      <w:b/>
                      <w:iCs/>
                      <w:sz w:val="20"/>
                    </w:rPr>
                  </w:pPr>
                  <w:r w:rsidRPr="00081671">
                    <w:rPr>
                      <w:b/>
                      <w:iCs/>
                      <w:sz w:val="20"/>
                    </w:rPr>
                    <w:t>Variable</w:t>
                  </w:r>
                </w:p>
              </w:tc>
              <w:tc>
                <w:tcPr>
                  <w:tcW w:w="316" w:type="pct"/>
                </w:tcPr>
                <w:p w14:paraId="0D5E6CCB" w14:textId="77777777" w:rsidR="004C48C1" w:rsidRPr="00081671" w:rsidRDefault="004C48C1" w:rsidP="004C48C1">
                  <w:pPr>
                    <w:spacing w:after="240"/>
                    <w:rPr>
                      <w:b/>
                      <w:iCs/>
                      <w:sz w:val="20"/>
                    </w:rPr>
                  </w:pPr>
                  <w:r w:rsidRPr="00081671">
                    <w:rPr>
                      <w:b/>
                      <w:iCs/>
                      <w:sz w:val="20"/>
                    </w:rPr>
                    <w:t>Unit</w:t>
                  </w:r>
                </w:p>
              </w:tc>
              <w:tc>
                <w:tcPr>
                  <w:tcW w:w="3295" w:type="pct"/>
                </w:tcPr>
                <w:p w14:paraId="7A80517A" w14:textId="77777777" w:rsidR="004C48C1" w:rsidRPr="00081671" w:rsidRDefault="004C48C1" w:rsidP="004C48C1">
                  <w:pPr>
                    <w:spacing w:after="240"/>
                    <w:rPr>
                      <w:b/>
                      <w:iCs/>
                      <w:sz w:val="20"/>
                    </w:rPr>
                  </w:pPr>
                  <w:r w:rsidRPr="00081671">
                    <w:rPr>
                      <w:b/>
                      <w:iCs/>
                      <w:sz w:val="20"/>
                    </w:rPr>
                    <w:t>Definition</w:t>
                  </w:r>
                </w:p>
              </w:tc>
            </w:tr>
            <w:tr w:rsidR="004C48C1" w:rsidRPr="00081671" w14:paraId="3F040AAE" w14:textId="77777777" w:rsidTr="00CE1011">
              <w:trPr>
                <w:cantSplit/>
              </w:trPr>
              <w:tc>
                <w:tcPr>
                  <w:tcW w:w="1389" w:type="pct"/>
                </w:tcPr>
                <w:p w14:paraId="74BA7BD7" w14:textId="77777777" w:rsidR="004C48C1" w:rsidRPr="00081671" w:rsidRDefault="004C48C1" w:rsidP="004C48C1">
                  <w:pPr>
                    <w:spacing w:after="60"/>
                    <w:rPr>
                      <w:iCs/>
                      <w:sz w:val="20"/>
                    </w:rPr>
                  </w:pPr>
                  <w:r w:rsidRPr="00081671">
                    <w:rPr>
                      <w:iCs/>
                      <w:sz w:val="20"/>
                    </w:rPr>
                    <w:t>MRADEAMTTOT</w:t>
                  </w:r>
                </w:p>
              </w:tc>
              <w:tc>
                <w:tcPr>
                  <w:tcW w:w="316" w:type="pct"/>
                </w:tcPr>
                <w:p w14:paraId="312DD15B" w14:textId="77777777" w:rsidR="004C48C1" w:rsidRPr="00081671" w:rsidRDefault="004C48C1" w:rsidP="004C48C1">
                  <w:pPr>
                    <w:spacing w:after="60"/>
                    <w:rPr>
                      <w:iCs/>
                      <w:sz w:val="20"/>
                    </w:rPr>
                  </w:pPr>
                  <w:r w:rsidRPr="00081671">
                    <w:rPr>
                      <w:iCs/>
                      <w:sz w:val="20"/>
                    </w:rPr>
                    <w:t>$</w:t>
                  </w:r>
                </w:p>
              </w:tc>
              <w:tc>
                <w:tcPr>
                  <w:tcW w:w="3295" w:type="pct"/>
                </w:tcPr>
                <w:p w14:paraId="45C5596A" w14:textId="77777777" w:rsidR="004C48C1" w:rsidRPr="00081671" w:rsidRDefault="004C48C1" w:rsidP="004C48C1">
                  <w:pPr>
                    <w:spacing w:after="60"/>
                    <w:rPr>
                      <w:iCs/>
                      <w:sz w:val="20"/>
                    </w:rPr>
                  </w:pPr>
                  <w:r w:rsidRPr="00081671">
                    <w:rPr>
                      <w:i/>
                      <w:iCs/>
                      <w:sz w:val="20"/>
                    </w:rPr>
                    <w:t xml:space="preserve">Must-Run Alternative </w:t>
                  </w:r>
                  <w:r w:rsidRPr="00081671">
                    <w:rPr>
                      <w:i/>
                      <w:sz w:val="20"/>
                    </w:rPr>
                    <w:t xml:space="preserve">Deployment </w:t>
                  </w:r>
                  <w:r w:rsidRPr="00081671">
                    <w:rPr>
                      <w:i/>
                      <w:iCs/>
                      <w:sz w:val="20"/>
                    </w:rPr>
                    <w:t>Event Amount Total by hour</w:t>
                  </w:r>
                  <w:r w:rsidRPr="00081671">
                    <w:rPr>
                      <w:iCs/>
                      <w:sz w:val="20"/>
                    </w:rPr>
                    <w:t xml:space="preserve">—The total </w:t>
                  </w:r>
                  <w:r w:rsidRPr="00081671">
                    <w:rPr>
                      <w:sz w:val="20"/>
                    </w:rPr>
                    <w:t xml:space="preserve">deployment event payment </w:t>
                  </w:r>
                  <w:r w:rsidRPr="00081671">
                    <w:rPr>
                      <w:iCs/>
                      <w:sz w:val="20"/>
                    </w:rPr>
                    <w:t xml:space="preserve">to all QSEs for all </w:t>
                  </w:r>
                  <w:r>
                    <w:rPr>
                      <w:iCs/>
                      <w:sz w:val="20"/>
                    </w:rPr>
                    <w:t>MRAs</w:t>
                  </w:r>
                  <w:r w:rsidRPr="00081671">
                    <w:rPr>
                      <w:iCs/>
                      <w:sz w:val="20"/>
                    </w:rPr>
                    <w:t xml:space="preserve">, for the hour.  </w:t>
                  </w:r>
                </w:p>
              </w:tc>
            </w:tr>
            <w:tr w:rsidR="004C48C1" w:rsidRPr="00081671" w14:paraId="17566785" w14:textId="77777777" w:rsidTr="00CE1011">
              <w:trPr>
                <w:cantSplit/>
              </w:trPr>
              <w:tc>
                <w:tcPr>
                  <w:tcW w:w="1389" w:type="pct"/>
                </w:tcPr>
                <w:p w14:paraId="191A8084" w14:textId="77777777" w:rsidR="004C48C1" w:rsidRPr="00081671" w:rsidRDefault="004C48C1" w:rsidP="004C48C1">
                  <w:pPr>
                    <w:spacing w:after="60"/>
                    <w:rPr>
                      <w:iCs/>
                      <w:sz w:val="20"/>
                    </w:rPr>
                  </w:pPr>
                  <w:r w:rsidRPr="00081671">
                    <w:rPr>
                      <w:iCs/>
                      <w:sz w:val="20"/>
                    </w:rPr>
                    <w:t>MRADEAMTQSETOT</w:t>
                  </w:r>
                  <w:r>
                    <w:rPr>
                      <w:iCs/>
                      <w:sz w:val="20"/>
                    </w:rPr>
                    <w:t xml:space="preserve"> </w:t>
                  </w:r>
                  <w:r w:rsidRPr="00480585">
                    <w:rPr>
                      <w:i/>
                      <w:iCs/>
                      <w:sz w:val="20"/>
                      <w:vertAlign w:val="subscript"/>
                    </w:rPr>
                    <w:t>q</w:t>
                  </w:r>
                  <w:r w:rsidRPr="00081671">
                    <w:rPr>
                      <w:iCs/>
                      <w:sz w:val="20"/>
                    </w:rPr>
                    <w:t xml:space="preserve">  </w:t>
                  </w:r>
                </w:p>
              </w:tc>
              <w:tc>
                <w:tcPr>
                  <w:tcW w:w="316" w:type="pct"/>
                </w:tcPr>
                <w:p w14:paraId="28C1107C" w14:textId="77777777" w:rsidR="004C48C1" w:rsidRPr="00081671" w:rsidRDefault="004C48C1" w:rsidP="004C48C1">
                  <w:pPr>
                    <w:spacing w:after="60"/>
                    <w:rPr>
                      <w:iCs/>
                      <w:sz w:val="20"/>
                    </w:rPr>
                  </w:pPr>
                  <w:r w:rsidRPr="00081671">
                    <w:rPr>
                      <w:iCs/>
                      <w:sz w:val="20"/>
                    </w:rPr>
                    <w:t>$</w:t>
                  </w:r>
                </w:p>
              </w:tc>
              <w:tc>
                <w:tcPr>
                  <w:tcW w:w="3295" w:type="pct"/>
                </w:tcPr>
                <w:p w14:paraId="11A2384C" w14:textId="77777777" w:rsidR="004C48C1" w:rsidRPr="00081671" w:rsidRDefault="004C48C1" w:rsidP="004C48C1">
                  <w:pPr>
                    <w:spacing w:after="60"/>
                    <w:rPr>
                      <w:iCs/>
                      <w:sz w:val="20"/>
                    </w:rPr>
                  </w:pPr>
                  <w:r w:rsidRPr="00081671">
                    <w:rPr>
                      <w:i/>
                      <w:iCs/>
                      <w:sz w:val="20"/>
                    </w:rPr>
                    <w:t xml:space="preserve">Must-Run Alternative </w:t>
                  </w:r>
                  <w:r w:rsidRPr="00081671">
                    <w:rPr>
                      <w:i/>
                      <w:sz w:val="20"/>
                    </w:rPr>
                    <w:t xml:space="preserve">Deployment </w:t>
                  </w:r>
                  <w:r w:rsidRPr="00081671">
                    <w:rPr>
                      <w:i/>
                      <w:iCs/>
                      <w:sz w:val="20"/>
                    </w:rPr>
                    <w:t>Event Amount per QSE by hour</w:t>
                  </w:r>
                  <w:r w:rsidRPr="00081671">
                    <w:rPr>
                      <w:iCs/>
                      <w:sz w:val="20"/>
                    </w:rPr>
                    <w:t xml:space="preserve">—The total of the </w:t>
                  </w:r>
                  <w:r w:rsidRPr="00081671">
                    <w:rPr>
                      <w:sz w:val="20"/>
                    </w:rPr>
                    <w:t xml:space="preserve">deployment event payments </w:t>
                  </w:r>
                  <w:r w:rsidRPr="00081671">
                    <w:rPr>
                      <w:iCs/>
                      <w:sz w:val="20"/>
                    </w:rPr>
                    <w:t xml:space="preserve">for all </w:t>
                  </w:r>
                  <w:r>
                    <w:rPr>
                      <w:iCs/>
                      <w:sz w:val="20"/>
                    </w:rPr>
                    <w:t>MRA</w:t>
                  </w:r>
                  <w:r w:rsidRPr="00081671">
                    <w:rPr>
                      <w:iCs/>
                      <w:sz w:val="20"/>
                    </w:rPr>
                    <w:t xml:space="preserve">s represented by the QSE </w:t>
                  </w:r>
                  <w:r w:rsidRPr="009701A9">
                    <w:rPr>
                      <w:i/>
                      <w:iCs/>
                      <w:sz w:val="20"/>
                    </w:rPr>
                    <w:t>q</w:t>
                  </w:r>
                  <w:r w:rsidRPr="00081671">
                    <w:rPr>
                      <w:iCs/>
                      <w:sz w:val="20"/>
                    </w:rPr>
                    <w:t xml:space="preserve"> for the </w:t>
                  </w:r>
                  <w:r>
                    <w:rPr>
                      <w:iCs/>
                      <w:sz w:val="20"/>
                    </w:rPr>
                    <w:t>MRA Contracted H</w:t>
                  </w:r>
                  <w:r w:rsidRPr="00081671">
                    <w:rPr>
                      <w:iCs/>
                      <w:sz w:val="20"/>
                    </w:rPr>
                    <w:t xml:space="preserve">our. </w:t>
                  </w:r>
                </w:p>
              </w:tc>
            </w:tr>
            <w:tr w:rsidR="004C48C1" w:rsidRPr="00081671" w14:paraId="54E1E164" w14:textId="77777777" w:rsidTr="00CE1011">
              <w:trPr>
                <w:cantSplit/>
              </w:trPr>
              <w:tc>
                <w:tcPr>
                  <w:tcW w:w="1389" w:type="pct"/>
                  <w:tcBorders>
                    <w:top w:val="single" w:sz="4" w:space="0" w:color="auto"/>
                    <w:left w:val="single" w:sz="4" w:space="0" w:color="auto"/>
                    <w:bottom w:val="single" w:sz="4" w:space="0" w:color="auto"/>
                    <w:right w:val="single" w:sz="4" w:space="0" w:color="auto"/>
                  </w:tcBorders>
                </w:tcPr>
                <w:p w14:paraId="68CE1DB9" w14:textId="77777777" w:rsidR="004C48C1" w:rsidRPr="00081671" w:rsidRDefault="004C48C1" w:rsidP="004C48C1">
                  <w:pPr>
                    <w:spacing w:after="60"/>
                    <w:rPr>
                      <w:i/>
                      <w:iCs/>
                      <w:sz w:val="20"/>
                    </w:rPr>
                  </w:pPr>
                  <w:r w:rsidRPr="00081671">
                    <w:rPr>
                      <w:i/>
                      <w:iCs/>
                      <w:sz w:val="20"/>
                    </w:rPr>
                    <w:t>q</w:t>
                  </w:r>
                </w:p>
              </w:tc>
              <w:tc>
                <w:tcPr>
                  <w:tcW w:w="316" w:type="pct"/>
                  <w:tcBorders>
                    <w:top w:val="single" w:sz="4" w:space="0" w:color="auto"/>
                    <w:left w:val="single" w:sz="4" w:space="0" w:color="auto"/>
                    <w:bottom w:val="single" w:sz="4" w:space="0" w:color="auto"/>
                    <w:right w:val="single" w:sz="4" w:space="0" w:color="auto"/>
                  </w:tcBorders>
                </w:tcPr>
                <w:p w14:paraId="46573C31" w14:textId="77777777" w:rsidR="004C48C1" w:rsidRPr="00081671" w:rsidRDefault="004C48C1" w:rsidP="004C48C1">
                  <w:pPr>
                    <w:spacing w:after="60"/>
                    <w:rPr>
                      <w:iCs/>
                      <w:sz w:val="20"/>
                    </w:rPr>
                  </w:pPr>
                  <w:r w:rsidRPr="0008167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1BACF28E" w14:textId="77777777" w:rsidR="004C48C1" w:rsidRPr="00081671" w:rsidRDefault="004C48C1" w:rsidP="004C48C1">
                  <w:pPr>
                    <w:spacing w:after="60"/>
                    <w:rPr>
                      <w:iCs/>
                      <w:sz w:val="20"/>
                    </w:rPr>
                  </w:pPr>
                  <w:r w:rsidRPr="00081671">
                    <w:rPr>
                      <w:iCs/>
                      <w:sz w:val="20"/>
                    </w:rPr>
                    <w:t>A QSE.</w:t>
                  </w:r>
                </w:p>
              </w:tc>
            </w:tr>
          </w:tbl>
          <w:p w14:paraId="78908ED1" w14:textId="77777777" w:rsidR="000C1EEE" w:rsidRPr="00C3334D" w:rsidRDefault="000C1EEE" w:rsidP="00CE1011">
            <w:pPr>
              <w:spacing w:after="240"/>
              <w:ind w:left="720" w:hanging="720"/>
            </w:pPr>
          </w:p>
        </w:tc>
      </w:tr>
    </w:tbl>
    <w:p w14:paraId="641FDAFA" w14:textId="77777777" w:rsidR="00CE74E6" w:rsidRDefault="00CE74E6" w:rsidP="00CE74E6">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E74E6" w14:paraId="5946FEA4" w14:textId="77777777" w:rsidTr="00CE1011">
        <w:trPr>
          <w:trHeight w:val="206"/>
        </w:trPr>
        <w:tc>
          <w:tcPr>
            <w:tcW w:w="5000" w:type="pct"/>
            <w:shd w:val="pct12" w:color="auto" w:fill="auto"/>
          </w:tcPr>
          <w:p w14:paraId="352087AE" w14:textId="0310636F" w:rsidR="00CE74E6" w:rsidRDefault="00CE74E6" w:rsidP="00CE1011">
            <w:pPr>
              <w:pStyle w:val="Instructions"/>
              <w:spacing w:before="120"/>
            </w:pPr>
            <w:r>
              <w:t>[NPRR885</w:t>
            </w:r>
            <w:r w:rsidR="001754D0">
              <w:t>,</w:t>
            </w:r>
            <w:r w:rsidR="00537026">
              <w:t xml:space="preserve"> NPRR1010</w:t>
            </w:r>
            <w:r w:rsidR="001754D0">
              <w:t>, NPRR1014</w:t>
            </w:r>
            <w:r w:rsidR="00AA432B">
              <w:t>, and NPRR1256</w:t>
            </w:r>
            <w:r>
              <w:t xml:space="preserve">:  Insert </w:t>
            </w:r>
            <w:r w:rsidR="00537026">
              <w:t xml:space="preserve">applicable portions of </w:t>
            </w:r>
            <w:r>
              <w:t>Section 6.6.6.10 below upon system implementation</w:t>
            </w:r>
            <w:r w:rsidR="00537026">
              <w:t xml:space="preserve"> for NPRR885</w:t>
            </w:r>
            <w:r w:rsidR="001754D0">
              <w:t xml:space="preserve"> or NPRR1014</w:t>
            </w:r>
            <w:r w:rsidR="00537026">
              <w:t>; upon system implementation of the Real-Time Co-Optimization (RTC) project for NPRR1010</w:t>
            </w:r>
            <w:r w:rsidR="00AA432B">
              <w:t>; or upon system implementation of NPRR885 and upon system implementation for NPRR1256</w:t>
            </w:r>
            <w:r>
              <w:t>:]</w:t>
            </w:r>
          </w:p>
          <w:p w14:paraId="3C01F667" w14:textId="77777777" w:rsidR="00CE74E6" w:rsidRPr="00CE74E6" w:rsidRDefault="00CE74E6" w:rsidP="00427EDA">
            <w:pPr>
              <w:keepNext/>
              <w:widowControl w:val="0"/>
              <w:tabs>
                <w:tab w:val="left" w:pos="1260"/>
              </w:tabs>
              <w:spacing w:before="240" w:after="240"/>
              <w:ind w:left="1267" w:hanging="1267"/>
              <w:outlineLvl w:val="3"/>
              <w:rPr>
                <w:b/>
                <w:bCs/>
                <w:snapToGrid w:val="0"/>
                <w:color w:val="000000"/>
              </w:rPr>
            </w:pPr>
            <w:bookmarkStart w:id="2407" w:name="_Toc17798757"/>
            <w:bookmarkStart w:id="2408" w:name="_Toc204411711"/>
            <w:r w:rsidRPr="00CE74E6">
              <w:rPr>
                <w:b/>
                <w:bCs/>
                <w:snapToGrid w:val="0"/>
                <w:color w:val="000000"/>
              </w:rPr>
              <w:lastRenderedPageBreak/>
              <w:t>6.6.6.10</w:t>
            </w:r>
            <w:r w:rsidRPr="00CE74E6">
              <w:rPr>
                <w:b/>
                <w:bCs/>
                <w:snapToGrid w:val="0"/>
                <w:color w:val="000000"/>
              </w:rPr>
              <w:tab/>
              <w:t>MRA Variable Payment for Deployment</w:t>
            </w:r>
            <w:bookmarkEnd w:id="2407"/>
            <w:bookmarkEnd w:id="2408"/>
            <w:r w:rsidRPr="00CE74E6">
              <w:rPr>
                <w:b/>
                <w:bCs/>
                <w:snapToGrid w:val="0"/>
                <w:color w:val="000000"/>
              </w:rPr>
              <w:t xml:space="preserve"> </w:t>
            </w:r>
          </w:p>
          <w:p w14:paraId="32569F3E" w14:textId="77777777" w:rsidR="00CE74E6" w:rsidRPr="008431E4" w:rsidRDefault="00CE74E6" w:rsidP="00CE74E6">
            <w:pPr>
              <w:pStyle w:val="BodyTextNumbered"/>
              <w:spacing w:before="240"/>
            </w:pPr>
            <w:r w:rsidRPr="00CE74E6">
              <w:rPr>
                <w:color w:val="000000"/>
              </w:rPr>
              <w:t>(1)</w:t>
            </w:r>
            <w:r w:rsidRPr="00CE74E6">
              <w:rPr>
                <w:color w:val="000000"/>
              </w:rPr>
              <w:tab/>
            </w:r>
            <w:r w:rsidRPr="008431E4">
              <w:rPr>
                <w:bCs/>
                <w:color w:val="000000"/>
                <w:lang w:val="pt-BR"/>
              </w:rPr>
              <w:t xml:space="preserve">The variable payment to each </w:t>
            </w:r>
            <w:r>
              <w:rPr>
                <w:bCs/>
                <w:color w:val="000000"/>
                <w:lang w:val="pt-BR"/>
              </w:rPr>
              <w:t>QSE representing a Generation Resource</w:t>
            </w:r>
            <w:r w:rsidRPr="008431E4">
              <w:rPr>
                <w:bCs/>
                <w:color w:val="000000"/>
                <w:lang w:val="pt-BR"/>
              </w:rPr>
              <w:t xml:space="preserve"> </w:t>
            </w:r>
            <w:r>
              <w:rPr>
                <w:bCs/>
                <w:color w:val="000000"/>
                <w:lang w:val="pt-BR"/>
              </w:rPr>
              <w:t>MRA</w:t>
            </w:r>
            <w:r w:rsidRPr="008431E4">
              <w:rPr>
                <w:bCs/>
                <w:color w:val="000000"/>
                <w:lang w:val="pt-BR"/>
              </w:rPr>
              <w:t>:</w:t>
            </w:r>
            <w:r w:rsidRPr="0011645D" w:rsidDel="008431E4">
              <w:t xml:space="preserve"> </w:t>
            </w:r>
          </w:p>
          <w:p w14:paraId="4027CE7D" w14:textId="77777777" w:rsidR="00CE74E6" w:rsidRDefault="00CE74E6" w:rsidP="00CE74E6">
            <w:pPr>
              <w:tabs>
                <w:tab w:val="left" w:pos="2700"/>
                <w:tab w:val="left" w:pos="3150"/>
              </w:tabs>
              <w:spacing w:after="240"/>
              <w:ind w:left="720"/>
              <w:rPr>
                <w:bCs/>
                <w:color w:val="000000"/>
                <w:lang w:val="pt-BR"/>
              </w:rPr>
            </w:pPr>
            <w:r>
              <w:rPr>
                <w:iCs/>
              </w:rPr>
              <w:t>Outside of the MRA Contracted Hours, a Generation Resource</w:t>
            </w:r>
            <w:r w:rsidRPr="00594763">
              <w:rPr>
                <w:iCs/>
              </w:rPr>
              <w:t xml:space="preserve"> MRA shall be</w:t>
            </w:r>
            <w:r>
              <w:rPr>
                <w:iCs/>
              </w:rPr>
              <w:t xml:space="preserve"> treated in Settlements</w:t>
            </w:r>
            <w:r w:rsidRPr="00594763">
              <w:rPr>
                <w:iCs/>
              </w:rPr>
              <w:t xml:space="preserve"> </w:t>
            </w:r>
            <w:r>
              <w:rPr>
                <w:iCs/>
              </w:rPr>
              <w:t xml:space="preserve">in the </w:t>
            </w:r>
            <w:r w:rsidRPr="00594763">
              <w:rPr>
                <w:iCs/>
              </w:rPr>
              <w:t xml:space="preserve">same </w:t>
            </w:r>
            <w:r>
              <w:rPr>
                <w:iCs/>
              </w:rPr>
              <w:t xml:space="preserve">manner </w:t>
            </w:r>
            <w:r w:rsidRPr="00594763">
              <w:rPr>
                <w:iCs/>
              </w:rPr>
              <w:t xml:space="preserve">as </w:t>
            </w:r>
            <w:r>
              <w:rPr>
                <w:iCs/>
              </w:rPr>
              <w:t>any Generation Resource</w:t>
            </w:r>
            <w:r w:rsidRPr="00594763">
              <w:rPr>
                <w:iCs/>
              </w:rPr>
              <w:t xml:space="preserve"> registered with ERCOT</w:t>
            </w:r>
          </w:p>
          <w:p w14:paraId="52295764" w14:textId="77777777" w:rsidR="00CE74E6" w:rsidRPr="005A6FD5" w:rsidRDefault="00CE74E6" w:rsidP="00CE74E6">
            <w:pPr>
              <w:tabs>
                <w:tab w:val="left" w:pos="2700"/>
                <w:tab w:val="left" w:pos="3150"/>
              </w:tabs>
              <w:spacing w:after="240"/>
              <w:ind w:left="720"/>
              <w:rPr>
                <w:bCs/>
                <w:color w:val="000000"/>
                <w:lang w:val="pt-BR"/>
              </w:rPr>
            </w:pPr>
            <w:r w:rsidRPr="005A6FD5">
              <w:rPr>
                <w:bCs/>
                <w:color w:val="000000"/>
                <w:lang w:val="pt-BR"/>
              </w:rPr>
              <w:t xml:space="preserve">For </w:t>
            </w:r>
            <w:r>
              <w:rPr>
                <w:bCs/>
                <w:color w:val="000000"/>
                <w:lang w:val="pt-BR"/>
              </w:rPr>
              <w:t>MRA Contracted Hour</w:t>
            </w:r>
            <w:r w:rsidRPr="005A6FD5">
              <w:rPr>
                <w:bCs/>
                <w:color w:val="000000"/>
                <w:lang w:val="pt-BR"/>
              </w:rPr>
              <w:t>s with a deployment instruction:</w:t>
            </w:r>
          </w:p>
          <w:p w14:paraId="170A8A32" w14:textId="77777777" w:rsidR="00CE74E6" w:rsidRPr="00480585" w:rsidRDefault="00CE74E6" w:rsidP="00CE74E6">
            <w:pPr>
              <w:tabs>
                <w:tab w:val="left" w:pos="2700"/>
                <w:tab w:val="left" w:pos="3150"/>
              </w:tabs>
              <w:spacing w:after="240"/>
              <w:ind w:left="3510" w:hanging="2430"/>
              <w:rPr>
                <w:bCs/>
                <w:lang w:val="pt-BR"/>
              </w:rPr>
            </w:pPr>
            <w:r w:rsidRPr="005A6FD5">
              <w:rPr>
                <w:bCs/>
                <w:color w:val="000000"/>
                <w:lang w:val="pt-BR"/>
              </w:rPr>
              <w:t xml:space="preserve">MRAVAMT </w:t>
            </w:r>
            <w:r w:rsidRPr="00480585">
              <w:rPr>
                <w:bCs/>
                <w:i/>
                <w:vertAlign w:val="subscript"/>
                <w:lang w:val="pt-BR"/>
              </w:rPr>
              <w:t>q, r, h</w:t>
            </w:r>
            <w:r w:rsidRPr="00480585">
              <w:rPr>
                <w:bCs/>
                <w:lang w:val="pt-BR"/>
              </w:rPr>
              <w:t xml:space="preserve"> = (-1) * (</w:t>
            </w:r>
            <w:r w:rsidRPr="00480585">
              <w:rPr>
                <w:bCs/>
                <w:color w:val="000000"/>
                <w:lang w:val="pt-BR"/>
              </w:rPr>
              <w:t>MRAGRCVP</w:t>
            </w:r>
            <w:r w:rsidRPr="00480585">
              <w:rPr>
                <w:bCs/>
                <w:lang w:val="pt-BR"/>
              </w:rPr>
              <w:t xml:space="preserve"> </w:t>
            </w:r>
            <w:r w:rsidRPr="00480585">
              <w:rPr>
                <w:bCs/>
                <w:i/>
                <w:vertAlign w:val="subscript"/>
                <w:lang w:val="pt-BR"/>
              </w:rPr>
              <w:t>q, r, h</w:t>
            </w:r>
            <w:r w:rsidRPr="00480585">
              <w:rPr>
                <w:bCs/>
                <w:lang w:val="pt-BR"/>
              </w:rPr>
              <w:t xml:space="preserve"> – MRARTREV</w:t>
            </w:r>
            <w:r w:rsidRPr="00480585">
              <w:rPr>
                <w:bCs/>
                <w:i/>
                <w:vertAlign w:val="subscript"/>
                <w:lang w:val="pt-BR"/>
              </w:rPr>
              <w:t xml:space="preserve"> q, r, h</w:t>
            </w:r>
            <w:r w:rsidRPr="00480585">
              <w:rPr>
                <w:bCs/>
                <w:lang w:val="pt-BR"/>
              </w:rPr>
              <w:t xml:space="preserve">) </w:t>
            </w:r>
          </w:p>
          <w:p w14:paraId="0A64651A" w14:textId="77777777" w:rsidR="00CE74E6" w:rsidRPr="005A6FD5" w:rsidRDefault="00CE74E6" w:rsidP="00CE74E6">
            <w:pPr>
              <w:tabs>
                <w:tab w:val="left" w:pos="2700"/>
                <w:tab w:val="left" w:pos="3150"/>
              </w:tabs>
              <w:spacing w:after="240"/>
              <w:ind w:left="720"/>
              <w:rPr>
                <w:bCs/>
                <w:color w:val="000000"/>
                <w:lang w:val="pt-BR"/>
              </w:rPr>
            </w:pPr>
            <w:r w:rsidRPr="005A6FD5">
              <w:rPr>
                <w:bCs/>
                <w:color w:val="000000"/>
                <w:lang w:val="pt-BR"/>
              </w:rPr>
              <w:t xml:space="preserve">For </w:t>
            </w:r>
            <w:r>
              <w:rPr>
                <w:bCs/>
                <w:color w:val="000000"/>
                <w:lang w:val="pt-BR"/>
              </w:rPr>
              <w:t>MRA Contracted Hour</w:t>
            </w:r>
            <w:r w:rsidRPr="005A6FD5">
              <w:rPr>
                <w:bCs/>
                <w:color w:val="000000"/>
                <w:lang w:val="pt-BR"/>
              </w:rPr>
              <w:t>s without a deployment instruction:</w:t>
            </w:r>
          </w:p>
          <w:p w14:paraId="48874E1E" w14:textId="77777777" w:rsidR="00CE74E6" w:rsidRPr="005A6FD5" w:rsidRDefault="00CE74E6" w:rsidP="00CE74E6">
            <w:pPr>
              <w:tabs>
                <w:tab w:val="left" w:pos="2700"/>
                <w:tab w:val="left" w:pos="3150"/>
              </w:tabs>
              <w:spacing w:after="240"/>
              <w:ind w:left="1440"/>
              <w:contextualSpacing/>
              <w:rPr>
                <w:bCs/>
                <w:lang w:val="pt-BR"/>
              </w:rPr>
            </w:pPr>
            <w:r w:rsidRPr="005A6FD5">
              <w:rPr>
                <w:bCs/>
                <w:color w:val="000000"/>
                <w:lang w:val="pt-BR"/>
              </w:rPr>
              <w:t xml:space="preserve">MRAVAMT </w:t>
            </w:r>
            <w:r w:rsidRPr="005A6FD5">
              <w:rPr>
                <w:bCs/>
                <w:i/>
                <w:vertAlign w:val="subscript"/>
                <w:lang w:val="pt-BR"/>
              </w:rPr>
              <w:t>q, r, h</w:t>
            </w:r>
            <w:r w:rsidRPr="005A6FD5">
              <w:rPr>
                <w:bCs/>
                <w:lang w:val="pt-BR"/>
              </w:rPr>
              <w:t xml:space="preserve"> = (-1) * (Min (</w:t>
            </w:r>
            <w:r w:rsidRPr="005A6FD5">
              <w:rPr>
                <w:bCs/>
                <w:color w:val="000000"/>
                <w:lang w:val="pt-BR"/>
              </w:rPr>
              <w:t>MRAGRCVP</w:t>
            </w:r>
            <w:r w:rsidRPr="005A6FD5">
              <w:rPr>
                <w:bCs/>
                <w:lang w:val="pt-BR"/>
              </w:rPr>
              <w:t xml:space="preserve"> </w:t>
            </w:r>
            <w:r w:rsidRPr="005A6FD5">
              <w:rPr>
                <w:bCs/>
                <w:i/>
                <w:vertAlign w:val="subscript"/>
                <w:lang w:val="pt-BR"/>
              </w:rPr>
              <w:t>q, r, h</w:t>
            </w:r>
            <w:r w:rsidRPr="005A6FD5">
              <w:rPr>
                <w:bCs/>
                <w:lang w:val="pt-BR"/>
              </w:rPr>
              <w:t>, MRARTREV</w:t>
            </w:r>
            <w:r w:rsidRPr="005A6FD5">
              <w:rPr>
                <w:bCs/>
                <w:i/>
                <w:vertAlign w:val="subscript"/>
                <w:lang w:val="pt-BR"/>
              </w:rPr>
              <w:t xml:space="preserve"> q, r, h</w:t>
            </w:r>
            <w:r w:rsidRPr="005A6FD5">
              <w:rPr>
                <w:bCs/>
                <w:lang w:val="pt-BR"/>
              </w:rPr>
              <w:t>) – MRARTREV</w:t>
            </w:r>
            <w:r w:rsidRPr="005A6FD5">
              <w:rPr>
                <w:bCs/>
                <w:i/>
                <w:vertAlign w:val="subscript"/>
                <w:lang w:val="pt-BR"/>
              </w:rPr>
              <w:t xml:space="preserve"> q, r, h</w:t>
            </w:r>
            <w:r w:rsidRPr="005A6FD5">
              <w:rPr>
                <w:bCs/>
                <w:lang w:val="pt-BR"/>
              </w:rPr>
              <w:t>)</w:t>
            </w:r>
          </w:p>
          <w:p w14:paraId="09CCAD2B" w14:textId="77777777" w:rsidR="00CE74E6" w:rsidRPr="00273E66" w:rsidRDefault="00CE74E6" w:rsidP="00CE74E6">
            <w:pPr>
              <w:ind w:left="720"/>
            </w:pPr>
            <w:r w:rsidRPr="00343E5E">
              <w:t xml:space="preserve">Where, </w:t>
            </w:r>
          </w:p>
          <w:p w14:paraId="0C1BFD0D" w14:textId="77777777" w:rsidR="00CE74E6" w:rsidRPr="00AA14BE" w:rsidRDefault="00CE74E6" w:rsidP="00CE74E6"/>
          <w:p w14:paraId="28C79891" w14:textId="4F54E17F" w:rsidR="00CE74E6" w:rsidRPr="005A6FD5" w:rsidRDefault="00CE74E6" w:rsidP="00CE74E6">
            <w:pPr>
              <w:tabs>
                <w:tab w:val="left" w:pos="2700"/>
                <w:tab w:val="left" w:pos="3150"/>
              </w:tabs>
              <w:ind w:left="1440"/>
              <w:rPr>
                <w:bCs/>
                <w:lang w:val="pt-BR"/>
              </w:rPr>
            </w:pPr>
            <w:r w:rsidRPr="005A6FD5">
              <w:rPr>
                <w:bCs/>
                <w:color w:val="000000"/>
                <w:lang w:val="pt-BR"/>
              </w:rPr>
              <w:t>MRAGRCVP</w:t>
            </w:r>
            <w:r w:rsidRPr="005A6FD5">
              <w:rPr>
                <w:bCs/>
                <w:lang w:val="pt-BR"/>
              </w:rPr>
              <w:t xml:space="preserve"> </w:t>
            </w:r>
            <w:r w:rsidRPr="005A6FD5">
              <w:rPr>
                <w:bCs/>
                <w:i/>
                <w:vertAlign w:val="subscript"/>
                <w:lang w:val="pt-BR"/>
              </w:rPr>
              <w:t xml:space="preserve">q, r, h </w:t>
            </w:r>
            <w:r w:rsidRPr="005A6FD5">
              <w:rPr>
                <w:bCs/>
                <w:lang w:val="pt-BR"/>
              </w:rPr>
              <w:t xml:space="preserve">= </w:t>
            </w:r>
            <w:r w:rsidR="00A94020" w:rsidRPr="00CE74E6">
              <w:rPr>
                <w:noProof/>
                <w:position w:val="-20"/>
              </w:rPr>
              <w:drawing>
                <wp:inline distT="0" distB="0" distL="0" distR="0" wp14:anchorId="550498CA" wp14:editId="05F2D152">
                  <wp:extent cx="180975" cy="361950"/>
                  <wp:effectExtent l="0" t="0" r="9525" b="0"/>
                  <wp:docPr id="1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A6FD5">
              <w:rPr>
                <w:bCs/>
                <w:lang w:val="pt-BR"/>
              </w:rPr>
              <w:t>Max [VPRICE</w:t>
            </w:r>
            <w:r w:rsidRPr="005A6FD5">
              <w:rPr>
                <w:bCs/>
                <w:i/>
                <w:vertAlign w:val="subscript"/>
                <w:lang w:val="pt-BR"/>
              </w:rPr>
              <w:t xml:space="preserve"> q</w:t>
            </w:r>
            <w:r w:rsidRPr="005A6FD5">
              <w:rPr>
                <w:bCs/>
                <w:vertAlign w:val="subscript"/>
                <w:lang w:val="pt-BR"/>
              </w:rPr>
              <w:t xml:space="preserve">, </w:t>
            </w:r>
            <w:r w:rsidRPr="005A6FD5">
              <w:rPr>
                <w:bCs/>
                <w:i/>
                <w:vertAlign w:val="subscript"/>
                <w:lang w:val="pt-BR"/>
              </w:rPr>
              <w:t>r</w:t>
            </w:r>
            <w:r w:rsidRPr="005A6FD5">
              <w:rPr>
                <w:bCs/>
                <w:lang w:val="pt-BR"/>
              </w:rPr>
              <w:t>, (FIP + MRACEFA</w:t>
            </w:r>
            <w:r w:rsidRPr="005A6FD5">
              <w:rPr>
                <w:bCs/>
                <w:i/>
                <w:vertAlign w:val="subscript"/>
                <w:lang w:val="pt-BR"/>
              </w:rPr>
              <w:t xml:space="preserve"> q, r</w:t>
            </w:r>
            <w:r w:rsidRPr="005A6FD5">
              <w:rPr>
                <w:bCs/>
                <w:lang w:val="pt-BR"/>
              </w:rPr>
              <w:t xml:space="preserve">) * </w:t>
            </w:r>
          </w:p>
          <w:p w14:paraId="0C34B909" w14:textId="77777777" w:rsidR="00CE74E6" w:rsidRPr="005A6FD5" w:rsidRDefault="00CE74E6" w:rsidP="00CE74E6">
            <w:pPr>
              <w:tabs>
                <w:tab w:val="left" w:pos="2700"/>
                <w:tab w:val="left" w:pos="3150"/>
              </w:tabs>
              <w:spacing w:after="240"/>
              <w:ind w:left="1440"/>
              <w:rPr>
                <w:iCs/>
                <w:vertAlign w:val="subscript"/>
              </w:rPr>
            </w:pPr>
            <w:r w:rsidRPr="005A6FD5">
              <w:rPr>
                <w:bCs/>
                <w:lang w:val="pt-BR"/>
              </w:rPr>
              <w:tab/>
            </w:r>
            <w:r w:rsidRPr="005A6FD5">
              <w:rPr>
                <w:bCs/>
                <w:lang w:val="pt-BR"/>
              </w:rPr>
              <w:tab/>
              <w:t xml:space="preserve">MRAPHR </w:t>
            </w:r>
            <w:r w:rsidRPr="005A6FD5">
              <w:rPr>
                <w:bCs/>
                <w:i/>
                <w:vertAlign w:val="subscript"/>
                <w:lang w:val="pt-BR"/>
              </w:rPr>
              <w:t>q, r</w:t>
            </w:r>
            <w:r w:rsidRPr="005A6FD5">
              <w:rPr>
                <w:bCs/>
                <w:lang w:val="pt-BR"/>
              </w:rPr>
              <w:t>] *</w:t>
            </w:r>
            <w:r w:rsidRPr="005A6FD5">
              <w:rPr>
                <w:iCs/>
              </w:rPr>
              <w:t xml:space="preserve"> Min(RTMG </w:t>
            </w:r>
            <w:r w:rsidRPr="005A6FD5">
              <w:rPr>
                <w:i/>
                <w:iCs/>
                <w:vertAlign w:val="subscript"/>
              </w:rPr>
              <w:t>q, r, p, i</w:t>
            </w:r>
            <w:r w:rsidRPr="005A6FD5">
              <w:rPr>
                <w:iCs/>
                <w:vertAlign w:val="subscript"/>
              </w:rPr>
              <w:t xml:space="preserve"> </w:t>
            </w:r>
            <w:r w:rsidRPr="005A6FD5">
              <w:rPr>
                <w:iCs/>
              </w:rPr>
              <w:t>, MRACCAP</w:t>
            </w:r>
            <w:r w:rsidRPr="005A6FD5">
              <w:rPr>
                <w:vertAlign w:val="subscript"/>
              </w:rPr>
              <w:t xml:space="preserve"> </w:t>
            </w:r>
            <w:r w:rsidRPr="005A6FD5">
              <w:rPr>
                <w:i/>
                <w:vertAlign w:val="subscript"/>
              </w:rPr>
              <w:t xml:space="preserve">q, r, </w:t>
            </w:r>
            <w:r w:rsidRPr="005A6FD5">
              <w:rPr>
                <w:i/>
                <w:iCs/>
                <w:vertAlign w:val="subscript"/>
              </w:rPr>
              <w:t xml:space="preserve">m </w:t>
            </w:r>
            <w:r w:rsidRPr="005A6FD5">
              <w:rPr>
                <w:iCs/>
              </w:rPr>
              <w:t>/</w:t>
            </w:r>
            <w:r>
              <w:rPr>
                <w:iCs/>
              </w:rPr>
              <w:t xml:space="preserve"> </w:t>
            </w:r>
            <w:r w:rsidRPr="005A6FD5">
              <w:rPr>
                <w:iCs/>
              </w:rPr>
              <w:t>4)</w:t>
            </w:r>
          </w:p>
          <w:p w14:paraId="5DAB5740" w14:textId="14B94E25" w:rsidR="00CE74E6" w:rsidRPr="005A6FD5" w:rsidRDefault="00CE74E6" w:rsidP="00CE74E6">
            <w:pPr>
              <w:tabs>
                <w:tab w:val="left" w:pos="2700"/>
                <w:tab w:val="left" w:pos="3150"/>
              </w:tabs>
              <w:ind w:left="1440"/>
              <w:rPr>
                <w:lang w:val="pt-BR"/>
              </w:rPr>
            </w:pPr>
            <w:r w:rsidRPr="005A6FD5">
              <w:rPr>
                <w:bCs/>
                <w:color w:val="000000"/>
                <w:lang w:val="pt-BR"/>
              </w:rPr>
              <w:t>MRARTREV</w:t>
            </w:r>
            <w:r w:rsidRPr="005A6FD5">
              <w:rPr>
                <w:bCs/>
                <w:i/>
                <w:vertAlign w:val="subscript"/>
                <w:lang w:val="pt-BR"/>
              </w:rPr>
              <w:t xml:space="preserve"> q,</w:t>
            </w:r>
            <w:r w:rsidRPr="005A6FD5">
              <w:rPr>
                <w:bCs/>
                <w:vertAlign w:val="subscript"/>
                <w:lang w:val="pt-BR"/>
              </w:rPr>
              <w:t>r,h</w:t>
            </w:r>
            <w:r w:rsidRPr="005A6FD5">
              <w:rPr>
                <w:bCs/>
                <w:i/>
                <w:vertAlign w:val="subscript"/>
                <w:lang w:val="pt-BR"/>
              </w:rPr>
              <w:t xml:space="preserve"> </w:t>
            </w:r>
            <w:r w:rsidRPr="005A6FD5">
              <w:rPr>
                <w:bCs/>
                <w:lang w:val="pt-BR"/>
              </w:rPr>
              <w:t xml:space="preserve"> =  </w:t>
            </w:r>
            <w:r w:rsidR="00A94020" w:rsidRPr="00CE74E6">
              <w:rPr>
                <w:noProof/>
                <w:position w:val="-20"/>
              </w:rPr>
              <w:drawing>
                <wp:inline distT="0" distB="0" distL="0" distR="0" wp14:anchorId="2C665D11" wp14:editId="6BF79919">
                  <wp:extent cx="180975" cy="361950"/>
                  <wp:effectExtent l="0" t="0" r="9525" b="0"/>
                  <wp:docPr id="1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A6FD5">
              <w:rPr>
                <w:bCs/>
                <w:lang w:val="pt-BR"/>
              </w:rPr>
              <w:t>Max [0, (</w:t>
            </w:r>
            <w:r w:rsidRPr="005A6FD5">
              <w:t>RESREV</w:t>
            </w:r>
            <w:r w:rsidRPr="005A6FD5">
              <w:rPr>
                <w:b/>
                <w:i/>
                <w:vertAlign w:val="subscript"/>
              </w:rPr>
              <w:t xml:space="preserve"> </w:t>
            </w:r>
            <w:r w:rsidRPr="005A6FD5">
              <w:rPr>
                <w:i/>
                <w:vertAlign w:val="subscript"/>
              </w:rPr>
              <w:t>q, r, gsc, p, i</w:t>
            </w:r>
            <w:r w:rsidRPr="005A6FD5">
              <w:rPr>
                <w:iCs/>
                <w:vertAlign w:val="subscript"/>
              </w:rPr>
              <w:t xml:space="preserve"> </w:t>
            </w:r>
            <w:r w:rsidRPr="005A6FD5">
              <w:rPr>
                <w:bCs/>
                <w:lang w:val="pt-BR"/>
              </w:rPr>
              <w:t>+ (-1) * (</w:t>
            </w:r>
            <w:r w:rsidRPr="005A6FD5">
              <w:rPr>
                <w:lang w:val="pt-BR"/>
              </w:rPr>
              <w:t xml:space="preserve">EMREAMT </w:t>
            </w:r>
            <w:r w:rsidRPr="005A6FD5">
              <w:rPr>
                <w:i/>
                <w:vertAlign w:val="subscript"/>
                <w:lang w:val="pt-BR"/>
              </w:rPr>
              <w:t xml:space="preserve">q, r, p, i </w:t>
            </w:r>
            <w:r w:rsidRPr="005A6FD5">
              <w:rPr>
                <w:lang w:val="pt-BR"/>
              </w:rPr>
              <w:t xml:space="preserve">+ </w:t>
            </w:r>
          </w:p>
          <w:p w14:paraId="113F08F2" w14:textId="77777777" w:rsidR="00CE74E6" w:rsidRPr="005A6FD5" w:rsidRDefault="00CE74E6" w:rsidP="00CE74E6">
            <w:pPr>
              <w:tabs>
                <w:tab w:val="left" w:pos="2700"/>
                <w:tab w:val="left" w:pos="3150"/>
              </w:tabs>
              <w:spacing w:after="240"/>
              <w:ind w:left="1440"/>
              <w:rPr>
                <w:lang w:val="pt-BR"/>
              </w:rPr>
            </w:pPr>
            <w:r w:rsidRPr="005A6FD5">
              <w:rPr>
                <w:lang w:val="pt-BR"/>
              </w:rPr>
              <w:tab/>
            </w:r>
            <w:r w:rsidRPr="005A6FD5">
              <w:rPr>
                <w:lang w:val="pt-BR"/>
              </w:rPr>
              <w:tab/>
            </w:r>
            <w:r w:rsidRPr="005A6FD5">
              <w:t xml:space="preserve">VSSVARAMT </w:t>
            </w:r>
            <w:r w:rsidRPr="005A6FD5">
              <w:rPr>
                <w:i/>
                <w:vertAlign w:val="subscript"/>
              </w:rPr>
              <w:t>q, r, i</w:t>
            </w:r>
            <w:r w:rsidRPr="005A6FD5">
              <w:rPr>
                <w:iCs/>
                <w:vertAlign w:val="subscript"/>
              </w:rPr>
              <w:t xml:space="preserve"> </w:t>
            </w:r>
            <w:r w:rsidRPr="005A6FD5">
              <w:rPr>
                <w:bCs/>
                <w:lang w:val="pt-BR"/>
              </w:rPr>
              <w:t xml:space="preserve">+ </w:t>
            </w:r>
            <w:r w:rsidRPr="005A6FD5">
              <w:rPr>
                <w:lang w:val="pt-BR"/>
              </w:rPr>
              <w:t xml:space="preserve">VSSEAMT </w:t>
            </w:r>
            <w:r w:rsidRPr="005A6FD5">
              <w:rPr>
                <w:i/>
                <w:vertAlign w:val="subscript"/>
                <w:lang w:val="pt-BR"/>
              </w:rPr>
              <w:t>q, r, i</w:t>
            </w:r>
            <w:r w:rsidRPr="005A6FD5">
              <w:rPr>
                <w:lang w:val="pt-BR"/>
              </w:rPr>
              <w:t>))]</w:t>
            </w:r>
          </w:p>
          <w:p w14:paraId="63885A96" w14:textId="77777777" w:rsidR="00AA432B" w:rsidRPr="009C73FA" w:rsidRDefault="00AA432B" w:rsidP="00AA432B">
            <w:pPr>
              <w:spacing w:before="240" w:after="240"/>
              <w:ind w:left="720" w:hanging="720"/>
            </w:pPr>
            <w:r w:rsidRPr="009C73FA">
              <w:rPr>
                <w:color w:val="000000"/>
              </w:rPr>
              <w:t>(2)</w:t>
            </w:r>
            <w:r w:rsidRPr="009C73FA">
              <w:rPr>
                <w:color w:val="000000"/>
              </w:rPr>
              <w:tab/>
            </w:r>
            <w:r w:rsidRPr="009C73FA">
              <w:rPr>
                <w:bCs/>
                <w:color w:val="000000"/>
                <w:lang w:val="pt-BR"/>
              </w:rPr>
              <w:t>The variable payment to each QSE representing an Energy Storage Resource (ESR) MRA:</w:t>
            </w:r>
            <w:r w:rsidRPr="009C73FA" w:rsidDel="008431E4">
              <w:t xml:space="preserve"> </w:t>
            </w:r>
          </w:p>
          <w:p w14:paraId="01081EB0" w14:textId="77777777" w:rsidR="00AA432B" w:rsidRPr="009C73FA" w:rsidRDefault="00AA432B" w:rsidP="00AA432B">
            <w:pPr>
              <w:spacing w:after="240"/>
              <w:ind w:left="1440" w:hanging="720"/>
            </w:pPr>
            <w:r w:rsidRPr="009C73FA">
              <w:t>(a)</w:t>
            </w:r>
            <w:r w:rsidRPr="009C73FA">
              <w:rPr>
                <w:color w:val="000000"/>
              </w:rPr>
              <w:tab/>
            </w:r>
            <w:r w:rsidRPr="009C73FA">
              <w:t>ESR MRA will be compensated for energy consumed to re-charge the MRA capability after the hours of injection to the ERCOT system during an event deployment or an ERCOT-required Capacity Test based on the cost of the energy as metered by the meter recording load.  The QSE will not be compensated for energy costs incurred during a re-test.  An ESR shall only consume energy in hours that are not Contracted Hours, and it must be re-charged to a level sufficient to provide the contracted amount of MRA Service prior to the next start of a block of Contracted Hours.  Additionally, the QSE shall use its best efforts to minimize the cost to re-charge and submit bid-to-buy curves taking into consideration estimates of future prices.  The cost to re-charge shall be determined by starting with the least expensive consumed energy.</w:t>
            </w:r>
          </w:p>
          <w:p w14:paraId="2F8DF285" w14:textId="59A6394B" w:rsidR="00AA432B" w:rsidRPr="009C73FA" w:rsidRDefault="00AA432B" w:rsidP="00AA432B">
            <w:pPr>
              <w:spacing w:after="240"/>
              <w:ind w:left="1440" w:hanging="720"/>
              <w:rPr>
                <w:rFonts w:eastAsia="Calibri" w:cs="Arial"/>
                <w:sz w:val="22"/>
                <w:szCs w:val="22"/>
              </w:rPr>
            </w:pPr>
            <w:r w:rsidRPr="009C73FA">
              <w:rPr>
                <w:iCs/>
              </w:rPr>
              <w:t>(b)</w:t>
            </w:r>
            <w:r w:rsidRPr="009C73FA">
              <w:rPr>
                <w:color w:val="000000"/>
              </w:rPr>
              <w:tab/>
            </w:r>
            <w:r w:rsidRPr="009C73FA">
              <w:rPr>
                <w:iCs/>
              </w:rPr>
              <w:t xml:space="preserve">Outside of the MRA Contracted Hours, an ESR MRA shall be treated in Settlements in the same manner as </w:t>
            </w:r>
            <w:r w:rsidRPr="009C73FA">
              <w:t>any</w:t>
            </w:r>
            <w:r w:rsidRPr="009C73FA">
              <w:rPr>
                <w:iCs/>
              </w:rPr>
              <w:t xml:space="preserve"> ESR registered with ERCOT.</w:t>
            </w:r>
          </w:p>
          <w:p w14:paraId="739DB513" w14:textId="77777777" w:rsidR="00AA432B" w:rsidRPr="009C73FA" w:rsidRDefault="00AA432B" w:rsidP="00AA432B">
            <w:pPr>
              <w:tabs>
                <w:tab w:val="left" w:pos="2700"/>
                <w:tab w:val="left" w:pos="3150"/>
              </w:tabs>
              <w:spacing w:after="240"/>
              <w:ind w:left="720"/>
              <w:rPr>
                <w:bCs/>
                <w:color w:val="000000"/>
                <w:lang w:val="pt-BR"/>
              </w:rPr>
            </w:pPr>
            <w:r w:rsidRPr="009C73FA">
              <w:rPr>
                <w:bCs/>
                <w:color w:val="000000"/>
                <w:lang w:val="pt-BR"/>
              </w:rPr>
              <w:t>For MRA Contracted Hours with a deployment instruction:</w:t>
            </w:r>
          </w:p>
          <w:p w14:paraId="0438A0AA" w14:textId="77777777" w:rsidR="00AA432B" w:rsidRPr="009C73FA" w:rsidRDefault="00AA432B" w:rsidP="00AA432B">
            <w:pPr>
              <w:tabs>
                <w:tab w:val="left" w:pos="2700"/>
                <w:tab w:val="left" w:pos="3150"/>
              </w:tabs>
              <w:spacing w:after="240"/>
              <w:ind w:left="3510" w:hanging="2430"/>
              <w:rPr>
                <w:bCs/>
                <w:lang w:val="pt-BR"/>
              </w:rPr>
            </w:pPr>
            <w:r w:rsidRPr="009C73FA">
              <w:rPr>
                <w:bCs/>
                <w:color w:val="000000"/>
                <w:lang w:val="pt-BR"/>
              </w:rPr>
              <w:t xml:space="preserve">MRAVAMT </w:t>
            </w:r>
            <w:r w:rsidRPr="009C73FA">
              <w:rPr>
                <w:bCs/>
                <w:i/>
                <w:vertAlign w:val="subscript"/>
                <w:lang w:val="pt-BR"/>
              </w:rPr>
              <w:t>q, r, h</w:t>
            </w:r>
            <w:r w:rsidRPr="009C73FA">
              <w:rPr>
                <w:bCs/>
                <w:lang w:val="pt-BR"/>
              </w:rPr>
              <w:t xml:space="preserve"> = (-1) * (</w:t>
            </w:r>
            <w:r w:rsidRPr="009C73FA">
              <w:rPr>
                <w:bCs/>
                <w:color w:val="000000"/>
                <w:lang w:val="pt-BR"/>
              </w:rPr>
              <w:t>MRAESRCVP</w:t>
            </w:r>
            <w:r w:rsidRPr="009C73FA">
              <w:rPr>
                <w:bCs/>
                <w:lang w:val="pt-BR"/>
              </w:rPr>
              <w:t xml:space="preserve"> </w:t>
            </w:r>
            <w:r w:rsidRPr="009C73FA">
              <w:rPr>
                <w:bCs/>
                <w:i/>
                <w:vertAlign w:val="subscript"/>
                <w:lang w:val="pt-BR"/>
              </w:rPr>
              <w:t>q, r, h</w:t>
            </w:r>
            <w:r w:rsidRPr="009C73FA">
              <w:rPr>
                <w:bCs/>
                <w:lang w:val="pt-BR"/>
              </w:rPr>
              <w:t xml:space="preserve"> – MRARTREV</w:t>
            </w:r>
            <w:r w:rsidRPr="009C73FA">
              <w:rPr>
                <w:bCs/>
                <w:i/>
                <w:vertAlign w:val="subscript"/>
                <w:lang w:val="pt-BR"/>
              </w:rPr>
              <w:t xml:space="preserve"> q, r, h</w:t>
            </w:r>
            <w:r w:rsidRPr="009C73FA">
              <w:rPr>
                <w:bCs/>
                <w:lang w:val="pt-BR"/>
              </w:rPr>
              <w:t xml:space="preserve">) </w:t>
            </w:r>
          </w:p>
          <w:p w14:paraId="0B785448" w14:textId="77777777" w:rsidR="00AA432B" w:rsidRPr="009C73FA" w:rsidRDefault="00AA432B" w:rsidP="00AA432B">
            <w:pPr>
              <w:tabs>
                <w:tab w:val="left" w:pos="2700"/>
                <w:tab w:val="left" w:pos="3150"/>
              </w:tabs>
              <w:spacing w:after="240"/>
              <w:ind w:left="720"/>
              <w:rPr>
                <w:bCs/>
                <w:color w:val="000000"/>
                <w:lang w:val="pt-BR"/>
              </w:rPr>
            </w:pPr>
            <w:r w:rsidRPr="009C73FA">
              <w:rPr>
                <w:bCs/>
                <w:color w:val="000000"/>
                <w:lang w:val="pt-BR"/>
              </w:rPr>
              <w:lastRenderedPageBreak/>
              <w:t>For MRA Contracted Hours without a deployment instruction:</w:t>
            </w:r>
          </w:p>
          <w:p w14:paraId="2245FC50" w14:textId="77777777" w:rsidR="00AA432B" w:rsidRPr="009C73FA" w:rsidRDefault="00AA432B" w:rsidP="00AA432B">
            <w:pPr>
              <w:tabs>
                <w:tab w:val="left" w:pos="2700"/>
                <w:tab w:val="left" w:pos="3150"/>
              </w:tabs>
              <w:spacing w:after="240"/>
              <w:ind w:left="1440"/>
              <w:contextualSpacing/>
              <w:rPr>
                <w:bCs/>
                <w:lang w:val="pt-BR"/>
              </w:rPr>
            </w:pPr>
            <w:r w:rsidRPr="009C73FA">
              <w:rPr>
                <w:bCs/>
                <w:color w:val="000000"/>
                <w:lang w:val="pt-BR"/>
              </w:rPr>
              <w:t xml:space="preserve">MRAVAMT </w:t>
            </w:r>
            <w:r w:rsidRPr="009C73FA">
              <w:rPr>
                <w:bCs/>
                <w:i/>
                <w:vertAlign w:val="subscript"/>
                <w:lang w:val="pt-BR"/>
              </w:rPr>
              <w:t>q, r, h</w:t>
            </w:r>
            <w:r w:rsidRPr="009C73FA">
              <w:rPr>
                <w:bCs/>
                <w:lang w:val="pt-BR"/>
              </w:rPr>
              <w:t xml:space="preserve"> = (-1) * (Min (</w:t>
            </w:r>
            <w:r w:rsidRPr="009C73FA">
              <w:rPr>
                <w:bCs/>
                <w:color w:val="000000"/>
                <w:lang w:val="pt-BR"/>
              </w:rPr>
              <w:t>MRAESRCVP</w:t>
            </w:r>
            <w:r w:rsidRPr="009C73FA">
              <w:rPr>
                <w:bCs/>
                <w:lang w:val="pt-BR"/>
              </w:rPr>
              <w:t xml:space="preserve"> </w:t>
            </w:r>
            <w:r w:rsidRPr="009C73FA">
              <w:rPr>
                <w:bCs/>
                <w:i/>
                <w:vertAlign w:val="subscript"/>
                <w:lang w:val="pt-BR"/>
              </w:rPr>
              <w:t>q, r, h</w:t>
            </w:r>
            <w:r w:rsidRPr="005E62C6">
              <w:rPr>
                <w:bCs/>
                <w:vertAlign w:val="subscript"/>
                <w:lang w:val="pt-BR"/>
              </w:rPr>
              <w:t>,</w:t>
            </w:r>
            <w:r w:rsidRPr="009C73FA">
              <w:rPr>
                <w:bCs/>
                <w:lang w:val="pt-BR"/>
              </w:rPr>
              <w:t xml:space="preserve"> MRARTREV</w:t>
            </w:r>
            <w:r w:rsidRPr="009C73FA">
              <w:rPr>
                <w:bCs/>
                <w:i/>
                <w:vertAlign w:val="subscript"/>
                <w:lang w:val="pt-BR"/>
              </w:rPr>
              <w:t xml:space="preserve"> q, r, h</w:t>
            </w:r>
            <w:r w:rsidRPr="009C73FA">
              <w:rPr>
                <w:bCs/>
                <w:lang w:val="pt-BR"/>
              </w:rPr>
              <w:t>) – MRARTREV</w:t>
            </w:r>
            <w:r w:rsidRPr="009C73FA">
              <w:rPr>
                <w:bCs/>
                <w:i/>
                <w:vertAlign w:val="subscript"/>
                <w:lang w:val="pt-BR"/>
              </w:rPr>
              <w:t xml:space="preserve"> q, r, h</w:t>
            </w:r>
            <w:r w:rsidRPr="009C73FA">
              <w:rPr>
                <w:bCs/>
                <w:lang w:val="pt-BR"/>
              </w:rPr>
              <w:t>)</w:t>
            </w:r>
          </w:p>
          <w:p w14:paraId="71ED5EB4" w14:textId="77777777" w:rsidR="00AA432B" w:rsidRPr="009C73FA" w:rsidRDefault="00AA432B" w:rsidP="00AA432B">
            <w:pPr>
              <w:ind w:left="720"/>
            </w:pPr>
          </w:p>
          <w:p w14:paraId="3A5710D5" w14:textId="77777777" w:rsidR="00AA432B" w:rsidRPr="009C73FA" w:rsidRDefault="00AA432B" w:rsidP="00AA432B">
            <w:pPr>
              <w:ind w:left="720"/>
            </w:pPr>
            <w:r w:rsidRPr="009C73FA">
              <w:t xml:space="preserve">Where, </w:t>
            </w:r>
          </w:p>
          <w:p w14:paraId="392D9585" w14:textId="58CDC074" w:rsidR="00AA432B" w:rsidRPr="009C73FA" w:rsidRDefault="00AA432B" w:rsidP="00AA432B">
            <w:pPr>
              <w:tabs>
                <w:tab w:val="left" w:pos="2700"/>
                <w:tab w:val="left" w:pos="3150"/>
              </w:tabs>
              <w:ind w:left="1440"/>
              <w:rPr>
                <w:iCs/>
                <w:vertAlign w:val="subscript"/>
              </w:rPr>
            </w:pPr>
            <w:r w:rsidRPr="009C73FA">
              <w:rPr>
                <w:bCs/>
                <w:color w:val="000000"/>
                <w:lang w:val="pt-BR"/>
              </w:rPr>
              <w:t>MRAESRCVP</w:t>
            </w:r>
            <w:r w:rsidRPr="009C73FA">
              <w:rPr>
                <w:bCs/>
                <w:lang w:val="pt-BR"/>
              </w:rPr>
              <w:t xml:space="preserve"> </w:t>
            </w:r>
            <w:r w:rsidRPr="009C73FA">
              <w:rPr>
                <w:bCs/>
                <w:i/>
                <w:vertAlign w:val="subscript"/>
                <w:lang w:val="pt-BR"/>
              </w:rPr>
              <w:t xml:space="preserve">q, r, h </w:t>
            </w:r>
            <w:r w:rsidRPr="009C73FA">
              <w:rPr>
                <w:bCs/>
                <w:lang w:val="pt-BR"/>
              </w:rPr>
              <w:t xml:space="preserve">= </w:t>
            </w:r>
            <w:r w:rsidRPr="009C73FA">
              <w:rPr>
                <w:noProof/>
                <w:position w:val="-20"/>
              </w:rPr>
              <w:drawing>
                <wp:inline distT="0" distB="0" distL="0" distR="0" wp14:anchorId="3AFE2681" wp14:editId="431806E5">
                  <wp:extent cx="180975" cy="361950"/>
                  <wp:effectExtent l="0" t="0" r="9525" b="0"/>
                  <wp:docPr id="1046563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9C73FA">
              <w:rPr>
                <w:bCs/>
                <w:lang w:val="pt-BR"/>
              </w:rPr>
              <w:t>Max [VPRICE</w:t>
            </w:r>
            <w:r w:rsidRPr="009C73FA">
              <w:rPr>
                <w:bCs/>
                <w:i/>
                <w:vertAlign w:val="subscript"/>
                <w:lang w:val="pt-BR"/>
              </w:rPr>
              <w:t xml:space="preserve"> q</w:t>
            </w:r>
            <w:r w:rsidRPr="009C73FA">
              <w:rPr>
                <w:bCs/>
                <w:vertAlign w:val="subscript"/>
                <w:lang w:val="pt-BR"/>
              </w:rPr>
              <w:t xml:space="preserve">, </w:t>
            </w:r>
            <w:r w:rsidRPr="009C73FA">
              <w:rPr>
                <w:bCs/>
                <w:i/>
                <w:vertAlign w:val="subscript"/>
                <w:lang w:val="pt-BR"/>
              </w:rPr>
              <w:t>r</w:t>
            </w:r>
            <w:r w:rsidRPr="005E62C6">
              <w:rPr>
                <w:bCs/>
                <w:vertAlign w:val="subscript"/>
                <w:lang w:val="pt-BR"/>
              </w:rPr>
              <w:t>,</w:t>
            </w:r>
            <w:r w:rsidRPr="009C73FA">
              <w:rPr>
                <w:bCs/>
                <w:lang w:val="pt-BR"/>
              </w:rPr>
              <w:t xml:space="preserve"> ESRARCOST</w:t>
            </w:r>
            <w:r w:rsidRPr="009C73FA">
              <w:rPr>
                <w:bCs/>
                <w:i/>
                <w:vertAlign w:val="subscript"/>
                <w:lang w:val="pt-BR"/>
              </w:rPr>
              <w:t xml:space="preserve"> q</w:t>
            </w:r>
            <w:r w:rsidRPr="009C73FA">
              <w:rPr>
                <w:bCs/>
                <w:vertAlign w:val="subscript"/>
                <w:lang w:val="pt-BR"/>
              </w:rPr>
              <w:t xml:space="preserve">, </w:t>
            </w:r>
            <w:r w:rsidRPr="009C73FA">
              <w:rPr>
                <w:bCs/>
                <w:i/>
                <w:vertAlign w:val="subscript"/>
                <w:lang w:val="pt-BR"/>
              </w:rPr>
              <w:t>r</w:t>
            </w:r>
            <w:r w:rsidRPr="009C73FA">
              <w:rPr>
                <w:bCs/>
                <w:lang w:val="pt-BR"/>
              </w:rPr>
              <w:t>] *</w:t>
            </w:r>
            <w:r w:rsidRPr="009C73FA">
              <w:rPr>
                <w:iCs/>
              </w:rPr>
              <w:t xml:space="preserve"> Min(RTMG </w:t>
            </w:r>
            <w:r w:rsidRPr="009C73FA">
              <w:rPr>
                <w:i/>
                <w:iCs/>
                <w:vertAlign w:val="subscript"/>
              </w:rPr>
              <w:t>q, r, p, i</w:t>
            </w:r>
            <w:r w:rsidRPr="009C73FA">
              <w:rPr>
                <w:iCs/>
              </w:rPr>
              <w:t>, MRACCAP</w:t>
            </w:r>
            <w:r w:rsidRPr="009C73FA">
              <w:rPr>
                <w:vertAlign w:val="subscript"/>
              </w:rPr>
              <w:t xml:space="preserve"> </w:t>
            </w:r>
            <w:r w:rsidRPr="009C73FA">
              <w:rPr>
                <w:i/>
                <w:vertAlign w:val="subscript"/>
              </w:rPr>
              <w:t xml:space="preserve">q, r, </w:t>
            </w:r>
            <w:r w:rsidRPr="009C73FA">
              <w:rPr>
                <w:i/>
                <w:iCs/>
                <w:vertAlign w:val="subscript"/>
              </w:rPr>
              <w:t xml:space="preserve">m </w:t>
            </w:r>
            <w:r w:rsidRPr="009C73FA">
              <w:rPr>
                <w:iCs/>
              </w:rPr>
              <w:t>/ 4)</w:t>
            </w:r>
          </w:p>
          <w:p w14:paraId="24CDD680" w14:textId="77777777" w:rsidR="00AA432B" w:rsidRPr="009C73FA" w:rsidRDefault="00AA432B" w:rsidP="00AA432B">
            <w:pPr>
              <w:tabs>
                <w:tab w:val="left" w:pos="2700"/>
                <w:tab w:val="left" w:pos="3150"/>
              </w:tabs>
              <w:ind w:left="1440"/>
              <w:rPr>
                <w:lang w:val="pt-BR"/>
              </w:rPr>
            </w:pPr>
            <w:r w:rsidRPr="009C73FA">
              <w:rPr>
                <w:bCs/>
                <w:color w:val="000000"/>
                <w:lang w:val="pt-BR"/>
              </w:rPr>
              <w:t>MRARTREV</w:t>
            </w:r>
            <w:r w:rsidRPr="009C73FA">
              <w:rPr>
                <w:bCs/>
                <w:i/>
                <w:vertAlign w:val="subscript"/>
                <w:lang w:val="pt-BR"/>
              </w:rPr>
              <w:t xml:space="preserve"> q, r, h </w:t>
            </w:r>
            <w:r w:rsidRPr="009C73FA">
              <w:rPr>
                <w:bCs/>
                <w:lang w:val="pt-BR"/>
              </w:rPr>
              <w:t xml:space="preserve"> = </w:t>
            </w:r>
            <w:r w:rsidRPr="009C73FA">
              <w:rPr>
                <w:noProof/>
                <w:position w:val="-20"/>
              </w:rPr>
              <w:drawing>
                <wp:inline distT="0" distB="0" distL="0" distR="0" wp14:anchorId="0BCD457A" wp14:editId="5CEF1B55">
                  <wp:extent cx="180975" cy="361950"/>
                  <wp:effectExtent l="0" t="0" r="9525" b="0"/>
                  <wp:docPr id="3599066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9C73FA">
              <w:rPr>
                <w:bCs/>
                <w:lang w:val="pt-BR"/>
              </w:rPr>
              <w:t>Max [0, (</w:t>
            </w:r>
            <w:r w:rsidRPr="009C73FA">
              <w:t>RESREV</w:t>
            </w:r>
            <w:r w:rsidRPr="009C73FA">
              <w:rPr>
                <w:b/>
                <w:i/>
                <w:vertAlign w:val="subscript"/>
              </w:rPr>
              <w:t xml:space="preserve"> </w:t>
            </w:r>
            <w:r w:rsidRPr="009C73FA">
              <w:rPr>
                <w:i/>
                <w:vertAlign w:val="subscript"/>
              </w:rPr>
              <w:t>q, r, gsc, p, i</w:t>
            </w:r>
            <w:r w:rsidRPr="009C73FA">
              <w:rPr>
                <w:iCs/>
                <w:vertAlign w:val="subscript"/>
              </w:rPr>
              <w:t xml:space="preserve"> </w:t>
            </w:r>
            <w:r w:rsidRPr="009C73FA">
              <w:rPr>
                <w:bCs/>
                <w:lang w:val="pt-BR"/>
              </w:rPr>
              <w:t>+ (-1) * (</w:t>
            </w:r>
            <w:r w:rsidRPr="009C73FA">
              <w:rPr>
                <w:lang w:val="pt-BR"/>
              </w:rPr>
              <w:t xml:space="preserve">EMREAMT </w:t>
            </w:r>
            <w:r w:rsidRPr="009C73FA">
              <w:rPr>
                <w:i/>
                <w:vertAlign w:val="subscript"/>
                <w:lang w:val="pt-BR"/>
              </w:rPr>
              <w:t xml:space="preserve">q, r, p, i </w:t>
            </w:r>
            <w:r w:rsidRPr="009C73FA">
              <w:rPr>
                <w:lang w:val="pt-BR"/>
              </w:rPr>
              <w:t xml:space="preserve">+ </w:t>
            </w:r>
          </w:p>
          <w:p w14:paraId="07AAB569" w14:textId="77777777" w:rsidR="00AA432B" w:rsidRPr="009C73FA" w:rsidRDefault="00AA432B" w:rsidP="00AA432B">
            <w:pPr>
              <w:tabs>
                <w:tab w:val="left" w:pos="2700"/>
                <w:tab w:val="left" w:pos="3150"/>
              </w:tabs>
              <w:spacing w:after="240"/>
              <w:ind w:left="1440"/>
              <w:rPr>
                <w:lang w:val="pt-BR"/>
              </w:rPr>
            </w:pPr>
            <w:r w:rsidRPr="009C73FA">
              <w:rPr>
                <w:lang w:val="pt-BR"/>
              </w:rPr>
              <w:tab/>
            </w:r>
            <w:r w:rsidRPr="009C73FA">
              <w:rPr>
                <w:lang w:val="pt-BR"/>
              </w:rPr>
              <w:tab/>
            </w:r>
            <w:r w:rsidRPr="009C73FA">
              <w:t xml:space="preserve">VSSVARAMT </w:t>
            </w:r>
            <w:r w:rsidRPr="009C73FA">
              <w:rPr>
                <w:i/>
                <w:vertAlign w:val="subscript"/>
              </w:rPr>
              <w:t>q, r, i</w:t>
            </w:r>
            <w:r w:rsidRPr="009C73FA">
              <w:rPr>
                <w:iCs/>
                <w:vertAlign w:val="subscript"/>
              </w:rPr>
              <w:t xml:space="preserve"> </w:t>
            </w:r>
            <w:r w:rsidRPr="009C73FA">
              <w:rPr>
                <w:bCs/>
                <w:lang w:val="pt-BR"/>
              </w:rPr>
              <w:t xml:space="preserve">+ </w:t>
            </w:r>
            <w:r w:rsidRPr="009C73FA">
              <w:rPr>
                <w:lang w:val="pt-BR"/>
              </w:rPr>
              <w:t xml:space="preserve">VSSEAMT </w:t>
            </w:r>
            <w:r w:rsidRPr="009C73FA">
              <w:rPr>
                <w:i/>
                <w:vertAlign w:val="subscript"/>
                <w:lang w:val="pt-BR"/>
              </w:rPr>
              <w:t>q, r, i</w:t>
            </w:r>
            <w:r w:rsidRPr="009C73FA">
              <w:rPr>
                <w:lang w:val="pt-BR"/>
              </w:rPr>
              <w:t>))]</w:t>
            </w:r>
          </w:p>
          <w:p w14:paraId="3A46E576" w14:textId="3F5C0B00" w:rsidR="00CE74E6" w:rsidRPr="008431E4" w:rsidRDefault="00CE74E6" w:rsidP="00CE74E6">
            <w:pPr>
              <w:pStyle w:val="BodyTextNumbered"/>
              <w:spacing w:before="240"/>
            </w:pPr>
            <w:r w:rsidRPr="00CE74E6">
              <w:rPr>
                <w:color w:val="000000"/>
              </w:rPr>
              <w:t>(</w:t>
            </w:r>
            <w:r w:rsidR="00AA432B">
              <w:rPr>
                <w:color w:val="000000"/>
              </w:rPr>
              <w:t>3</w:t>
            </w:r>
            <w:r w:rsidRPr="00CE74E6">
              <w:rPr>
                <w:color w:val="000000"/>
              </w:rPr>
              <w:t>)</w:t>
            </w:r>
            <w:r w:rsidRPr="00CE74E6">
              <w:rPr>
                <w:color w:val="000000"/>
              </w:rPr>
              <w:tab/>
            </w:r>
            <w:r w:rsidRPr="008431E4">
              <w:rPr>
                <w:bCs/>
                <w:color w:val="000000"/>
                <w:lang w:val="pt-BR"/>
              </w:rPr>
              <w:t>The variable payment to each QSE representing a</w:t>
            </w:r>
            <w:r>
              <w:rPr>
                <w:bCs/>
                <w:color w:val="000000"/>
                <w:lang w:val="pt-BR"/>
              </w:rPr>
              <w:t>n Other Generation MRA</w:t>
            </w:r>
            <w:r w:rsidRPr="008431E4">
              <w:rPr>
                <w:bCs/>
                <w:color w:val="000000"/>
                <w:lang w:val="pt-BR"/>
              </w:rPr>
              <w:t xml:space="preserve">:  </w:t>
            </w:r>
          </w:p>
          <w:p w14:paraId="4CDDA686" w14:textId="77777777" w:rsidR="00CE74E6" w:rsidRPr="008431E4" w:rsidRDefault="00CE74E6" w:rsidP="00CE74E6">
            <w:pPr>
              <w:tabs>
                <w:tab w:val="left" w:pos="2700"/>
                <w:tab w:val="left" w:pos="3150"/>
              </w:tabs>
              <w:spacing w:after="240"/>
              <w:ind w:left="720"/>
              <w:rPr>
                <w:bCs/>
                <w:color w:val="000000"/>
                <w:lang w:val="pt-BR"/>
              </w:rPr>
            </w:pPr>
            <w:r w:rsidRPr="008431E4">
              <w:rPr>
                <w:bCs/>
                <w:color w:val="000000"/>
                <w:lang w:val="pt-BR"/>
              </w:rPr>
              <w:t xml:space="preserve">For </w:t>
            </w:r>
            <w:r>
              <w:rPr>
                <w:bCs/>
                <w:color w:val="000000"/>
                <w:lang w:val="pt-BR"/>
              </w:rPr>
              <w:t>MRA Contracted Hour</w:t>
            </w:r>
            <w:r w:rsidRPr="008431E4">
              <w:rPr>
                <w:bCs/>
                <w:color w:val="000000"/>
                <w:lang w:val="pt-BR"/>
              </w:rPr>
              <w:t>s with a deployment instruction:</w:t>
            </w:r>
          </w:p>
          <w:p w14:paraId="6E4A4788" w14:textId="77777777" w:rsidR="00CE74E6" w:rsidRPr="008431E4" w:rsidRDefault="00CE74E6" w:rsidP="00CE74E6">
            <w:pPr>
              <w:tabs>
                <w:tab w:val="left" w:pos="720"/>
                <w:tab w:val="left" w:pos="3150"/>
              </w:tabs>
              <w:spacing w:after="240"/>
              <w:ind w:left="1440"/>
              <w:contextualSpacing/>
              <w:rPr>
                <w:bCs/>
                <w:lang w:val="pt-BR"/>
              </w:rPr>
            </w:pPr>
            <w:r w:rsidRPr="008431E4">
              <w:rPr>
                <w:bCs/>
                <w:color w:val="000000"/>
                <w:lang w:val="pt-BR"/>
              </w:rPr>
              <w:t>MRAVAMT</w:t>
            </w:r>
            <w:r>
              <w:rPr>
                <w:bCs/>
                <w:color w:val="000000"/>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 xml:space="preserve"> = (-1) * (</w:t>
            </w:r>
            <w:r w:rsidRPr="008431E4">
              <w:rPr>
                <w:bCs/>
                <w:color w:val="000000"/>
                <w:lang w:val="pt-BR"/>
              </w:rPr>
              <w:t>MRACVP</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 xml:space="preserve"> – </w:t>
            </w:r>
            <w:r w:rsidRPr="008431E4">
              <w:rPr>
                <w:bCs/>
                <w:color w:val="000000"/>
                <w:lang w:val="pt-BR"/>
              </w:rPr>
              <w:t>MRACRTREV</w:t>
            </w:r>
            <w:r>
              <w:rPr>
                <w:bCs/>
                <w:color w:val="000000"/>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w:t>
            </w:r>
          </w:p>
          <w:p w14:paraId="32A718FA" w14:textId="77777777" w:rsidR="00CE74E6" w:rsidRPr="008431E4" w:rsidRDefault="00CE74E6" w:rsidP="00CE74E6">
            <w:pPr>
              <w:tabs>
                <w:tab w:val="left" w:pos="2700"/>
                <w:tab w:val="left" w:pos="3150"/>
              </w:tabs>
              <w:spacing w:after="240"/>
              <w:ind w:left="720"/>
              <w:contextualSpacing/>
              <w:rPr>
                <w:bCs/>
                <w:lang w:val="pt-BR"/>
              </w:rPr>
            </w:pPr>
          </w:p>
          <w:p w14:paraId="4F76104D" w14:textId="77777777" w:rsidR="00CE74E6" w:rsidRPr="008431E4" w:rsidRDefault="00CE74E6" w:rsidP="00CE74E6">
            <w:pPr>
              <w:tabs>
                <w:tab w:val="left" w:pos="2700"/>
                <w:tab w:val="left" w:pos="3150"/>
              </w:tabs>
              <w:spacing w:after="240"/>
              <w:ind w:left="720"/>
              <w:rPr>
                <w:bCs/>
                <w:color w:val="000000"/>
                <w:lang w:val="pt-BR"/>
              </w:rPr>
            </w:pPr>
            <w:r w:rsidRPr="008431E4">
              <w:rPr>
                <w:bCs/>
                <w:color w:val="000000"/>
                <w:lang w:val="pt-BR"/>
              </w:rPr>
              <w:t xml:space="preserve">For </w:t>
            </w:r>
            <w:r>
              <w:rPr>
                <w:bCs/>
                <w:color w:val="000000"/>
                <w:lang w:val="pt-BR"/>
              </w:rPr>
              <w:t>MRA Contracted Hour</w:t>
            </w:r>
            <w:r w:rsidRPr="008431E4">
              <w:rPr>
                <w:bCs/>
                <w:color w:val="000000"/>
                <w:lang w:val="pt-BR"/>
              </w:rPr>
              <w:t>s without a deployment instruction:</w:t>
            </w:r>
          </w:p>
          <w:p w14:paraId="7F5C3FDF" w14:textId="77777777" w:rsidR="00CE74E6" w:rsidRPr="008431E4" w:rsidRDefault="00CE74E6" w:rsidP="00CE74E6">
            <w:pPr>
              <w:tabs>
                <w:tab w:val="left" w:pos="720"/>
                <w:tab w:val="left" w:pos="3150"/>
              </w:tabs>
              <w:spacing w:after="240"/>
              <w:ind w:left="1440"/>
              <w:rPr>
                <w:bCs/>
                <w:lang w:val="pt-BR"/>
              </w:rPr>
            </w:pPr>
            <w:r w:rsidRPr="008431E4">
              <w:rPr>
                <w:bCs/>
                <w:color w:val="000000"/>
                <w:lang w:val="pt-BR"/>
              </w:rPr>
              <w:t>MRAVAMT</w:t>
            </w:r>
            <w:r>
              <w:rPr>
                <w:bCs/>
                <w:color w:val="000000"/>
                <w:lang w:val="pt-BR"/>
              </w:rPr>
              <w:t xml:space="preserve"> </w:t>
            </w:r>
            <w:r w:rsidRPr="008431E4">
              <w:rPr>
                <w:bCs/>
                <w:i/>
                <w:vertAlign w:val="subscript"/>
                <w:lang w:val="pt-BR"/>
              </w:rPr>
              <w:t>q, r,h</w:t>
            </w:r>
            <w:r w:rsidRPr="008431E4">
              <w:rPr>
                <w:bCs/>
                <w:lang w:val="pt-BR"/>
              </w:rPr>
              <w:t xml:space="preserve"> = (-1) * (Min(</w:t>
            </w:r>
            <w:r w:rsidRPr="008431E4">
              <w:rPr>
                <w:bCs/>
                <w:color w:val="000000"/>
                <w:lang w:val="pt-BR"/>
              </w:rPr>
              <w:t>MRACVP</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vertAlign w:val="subscript"/>
                <w:lang w:val="pt-BR"/>
              </w:rPr>
              <w:t xml:space="preserve"> </w:t>
            </w:r>
            <w:r w:rsidRPr="008431E4">
              <w:rPr>
                <w:bCs/>
                <w:lang w:val="pt-BR"/>
              </w:rPr>
              <w:t xml:space="preserve">, </w:t>
            </w:r>
            <w:r w:rsidRPr="008431E4">
              <w:rPr>
                <w:bCs/>
                <w:color w:val="000000"/>
                <w:lang w:val="pt-BR"/>
              </w:rPr>
              <w:t>MRACRTREV</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 –</w:t>
            </w:r>
            <w:r w:rsidRPr="008431E4">
              <w:rPr>
                <w:bCs/>
                <w:color w:val="000000"/>
                <w:lang w:val="pt-BR"/>
              </w:rPr>
              <w:t>MRACRTREV</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w:t>
            </w:r>
          </w:p>
          <w:p w14:paraId="110B4F6B" w14:textId="77777777" w:rsidR="00CE74E6" w:rsidRPr="008431E4" w:rsidRDefault="00CE74E6" w:rsidP="00CE74E6">
            <w:pPr>
              <w:ind w:firstLine="720"/>
            </w:pPr>
            <w:r w:rsidRPr="008431E4">
              <w:t xml:space="preserve">Where, </w:t>
            </w:r>
          </w:p>
          <w:p w14:paraId="79F263A8" w14:textId="77777777" w:rsidR="00CE74E6" w:rsidRPr="008431E4" w:rsidRDefault="00CE74E6" w:rsidP="00CE74E6"/>
          <w:p w14:paraId="62E60F2D" w14:textId="12B4FF8D" w:rsidR="00CE74E6" w:rsidRDefault="00CE74E6" w:rsidP="00CE74E6">
            <w:pPr>
              <w:tabs>
                <w:tab w:val="left" w:pos="720"/>
                <w:tab w:val="left" w:pos="3150"/>
              </w:tabs>
              <w:spacing w:after="240"/>
              <w:contextualSpacing/>
              <w:rPr>
                <w:bCs/>
                <w:lang w:val="pt-BR"/>
              </w:rPr>
            </w:pPr>
            <w:r>
              <w:rPr>
                <w:bCs/>
                <w:color w:val="000000"/>
                <w:lang w:val="pt-BR"/>
              </w:rPr>
              <w:tab/>
            </w:r>
            <w:r w:rsidRPr="008431E4">
              <w:rPr>
                <w:bCs/>
                <w:color w:val="000000"/>
                <w:lang w:val="pt-BR"/>
              </w:rPr>
              <w:t>MRACVP</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vertAlign w:val="subscript"/>
                <w:lang w:val="pt-BR"/>
              </w:rPr>
              <w:t xml:space="preserve"> </w:t>
            </w:r>
            <w:r w:rsidRPr="008431E4">
              <w:rPr>
                <w:bCs/>
                <w:lang w:val="pt-BR"/>
              </w:rPr>
              <w:t xml:space="preserve">= </w:t>
            </w:r>
            <w:r w:rsidR="00A94020" w:rsidRPr="00CE74E6">
              <w:rPr>
                <w:noProof/>
                <w:position w:val="-20"/>
              </w:rPr>
              <w:drawing>
                <wp:inline distT="0" distB="0" distL="0" distR="0" wp14:anchorId="6E0D2D4A" wp14:editId="7F5FA11E">
                  <wp:extent cx="180975" cy="361950"/>
                  <wp:effectExtent l="0" t="0" r="9525" b="0"/>
                  <wp:docPr id="1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8431E4">
              <w:rPr>
                <w:bCs/>
                <w:lang w:val="pt-BR"/>
              </w:rPr>
              <w:t>Max[VPRICE</w:t>
            </w:r>
            <w:r>
              <w:rPr>
                <w:bCs/>
                <w:lang w:val="pt-BR"/>
              </w:rPr>
              <w:t xml:space="preserve"> </w:t>
            </w:r>
            <w:r w:rsidRPr="008431E4">
              <w:rPr>
                <w:bCs/>
                <w:i/>
                <w:vertAlign w:val="subscript"/>
                <w:lang w:val="pt-BR"/>
              </w:rPr>
              <w:t>q,</w:t>
            </w:r>
            <w:r>
              <w:rPr>
                <w:bCs/>
                <w:i/>
                <w:vertAlign w:val="subscript"/>
                <w:lang w:val="pt-BR"/>
              </w:rPr>
              <w:t xml:space="preserve"> </w:t>
            </w:r>
            <w:r w:rsidRPr="008431E4">
              <w:rPr>
                <w:bCs/>
                <w:i/>
                <w:vertAlign w:val="subscript"/>
                <w:lang w:val="pt-BR"/>
              </w:rPr>
              <w:t>r</w:t>
            </w:r>
            <w:r w:rsidRPr="008431E4">
              <w:rPr>
                <w:bCs/>
                <w:lang w:val="pt-BR"/>
              </w:rPr>
              <w:t>, (FIP + MRACEFA</w:t>
            </w:r>
            <w:r w:rsidRPr="008431E4">
              <w:rPr>
                <w:bCs/>
                <w:i/>
                <w:vertAlign w:val="subscript"/>
                <w:lang w:val="pt-BR"/>
              </w:rPr>
              <w:t xml:space="preserve"> q, r</w:t>
            </w:r>
            <w:r w:rsidRPr="008431E4">
              <w:rPr>
                <w:bCs/>
                <w:lang w:val="pt-BR"/>
              </w:rPr>
              <w:t xml:space="preserve">) * MRAPHR </w:t>
            </w:r>
            <w:r w:rsidRPr="008431E4">
              <w:rPr>
                <w:bCs/>
                <w:i/>
                <w:vertAlign w:val="subscript"/>
                <w:lang w:val="pt-BR"/>
              </w:rPr>
              <w:t>q, r</w:t>
            </w:r>
            <w:r w:rsidRPr="008431E4">
              <w:rPr>
                <w:bCs/>
                <w:lang w:val="pt-BR"/>
              </w:rPr>
              <w:t xml:space="preserve"> ] *</w:t>
            </w:r>
          </w:p>
          <w:p w14:paraId="2EE127F6" w14:textId="77777777" w:rsidR="00CE74E6" w:rsidRPr="00795576" w:rsidRDefault="00CE74E6" w:rsidP="00CE74E6">
            <w:pPr>
              <w:tabs>
                <w:tab w:val="left" w:pos="2700"/>
                <w:tab w:val="left" w:pos="3150"/>
              </w:tabs>
              <w:spacing w:after="240"/>
              <w:rPr>
                <w:bCs/>
                <w:i/>
                <w:vertAlign w:val="subscript"/>
                <w:lang w:val="pt-BR"/>
              </w:rPr>
            </w:pPr>
            <w:r>
              <w:rPr>
                <w:bCs/>
                <w:lang w:val="pt-BR"/>
              </w:rPr>
              <w:tab/>
            </w:r>
            <w:r w:rsidRPr="00795576">
              <w:rPr>
                <w:bCs/>
                <w:lang w:val="pt-BR"/>
              </w:rPr>
              <w:t xml:space="preserve">RTVQ </w:t>
            </w:r>
            <w:r w:rsidRPr="00795576">
              <w:rPr>
                <w:bCs/>
                <w:i/>
                <w:vertAlign w:val="subscript"/>
                <w:lang w:val="pt-BR"/>
              </w:rPr>
              <w:t>q, r, i</w:t>
            </w:r>
          </w:p>
          <w:p w14:paraId="0EC6D074" w14:textId="1177F1CE" w:rsidR="00CE74E6" w:rsidRPr="00795576" w:rsidRDefault="00CE74E6" w:rsidP="00CE74E6">
            <w:pPr>
              <w:tabs>
                <w:tab w:val="left" w:pos="2700"/>
                <w:tab w:val="left" w:pos="3150"/>
              </w:tabs>
              <w:spacing w:after="240"/>
              <w:ind w:left="3150" w:hanging="2430"/>
              <w:rPr>
                <w:bCs/>
                <w:lang w:val="pt-BR"/>
              </w:rPr>
            </w:pPr>
            <w:r w:rsidRPr="00795576">
              <w:rPr>
                <w:bCs/>
                <w:color w:val="000000"/>
                <w:lang w:val="pt-BR"/>
              </w:rPr>
              <w:t>MRACRTREV</w:t>
            </w:r>
            <w:r w:rsidRPr="00795576">
              <w:rPr>
                <w:bCs/>
                <w:lang w:val="pt-BR"/>
              </w:rPr>
              <w:t xml:space="preserve"> </w:t>
            </w:r>
            <w:r w:rsidRPr="00795576">
              <w:rPr>
                <w:bCs/>
                <w:i/>
                <w:vertAlign w:val="subscript"/>
                <w:lang w:val="pt-BR"/>
              </w:rPr>
              <w:t>q, r, h</w:t>
            </w:r>
            <w:r w:rsidRPr="00795576">
              <w:rPr>
                <w:bCs/>
                <w:vertAlign w:val="subscript"/>
                <w:lang w:val="pt-BR"/>
              </w:rPr>
              <w:t xml:space="preserve"> </w:t>
            </w:r>
            <w:r w:rsidRPr="00795576">
              <w:rPr>
                <w:bCs/>
                <w:lang w:val="pt-BR"/>
              </w:rPr>
              <w:t xml:space="preserve">= </w:t>
            </w:r>
            <w:r w:rsidR="00A94020" w:rsidRPr="00CE74E6">
              <w:rPr>
                <w:noProof/>
                <w:position w:val="-20"/>
              </w:rPr>
              <w:drawing>
                <wp:inline distT="0" distB="0" distL="0" distR="0" wp14:anchorId="0A8F611A" wp14:editId="5156FEC0">
                  <wp:extent cx="180975" cy="361950"/>
                  <wp:effectExtent l="0" t="0" r="9525" b="0"/>
                  <wp:docPr id="1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795576">
              <w:rPr>
                <w:bCs/>
              </w:rPr>
              <w:t>(</w:t>
            </w:r>
            <w:r w:rsidRPr="00795576">
              <w:rPr>
                <w:bCs/>
                <w:lang w:val="pt-BR"/>
              </w:rPr>
              <w:t xml:space="preserve">Max(0, Min(RTVQ </w:t>
            </w:r>
            <w:r w:rsidRPr="00795576">
              <w:rPr>
                <w:bCs/>
                <w:i/>
                <w:vertAlign w:val="subscript"/>
                <w:lang w:val="pt-BR"/>
              </w:rPr>
              <w:t xml:space="preserve">q, r, i </w:t>
            </w:r>
            <w:r w:rsidRPr="00795576">
              <w:rPr>
                <w:iCs/>
              </w:rPr>
              <w:t>, MRACCAP</w:t>
            </w:r>
            <w:r w:rsidRPr="00795576">
              <w:rPr>
                <w:sz w:val="20"/>
                <w:vertAlign w:val="subscript"/>
              </w:rPr>
              <w:t xml:space="preserve"> </w:t>
            </w:r>
            <w:r w:rsidRPr="00795576">
              <w:rPr>
                <w:i/>
                <w:sz w:val="20"/>
                <w:vertAlign w:val="subscript"/>
              </w:rPr>
              <w:t xml:space="preserve">q, r, </w:t>
            </w:r>
            <w:r w:rsidRPr="00795576">
              <w:rPr>
                <w:i/>
                <w:iCs/>
                <w:sz w:val="20"/>
                <w:vertAlign w:val="subscript"/>
              </w:rPr>
              <w:t xml:space="preserve">m  </w:t>
            </w:r>
            <w:r w:rsidRPr="00795576">
              <w:rPr>
                <w:iCs/>
              </w:rPr>
              <w:t>/</w:t>
            </w:r>
            <w:r>
              <w:rPr>
                <w:iCs/>
              </w:rPr>
              <w:t xml:space="preserve"> </w:t>
            </w:r>
            <w:r w:rsidRPr="00795576">
              <w:rPr>
                <w:iCs/>
              </w:rPr>
              <w:t xml:space="preserve">4) </w:t>
            </w:r>
            <w:r w:rsidRPr="00795576">
              <w:rPr>
                <w:bCs/>
                <w:lang w:val="pt-BR"/>
              </w:rPr>
              <w:t xml:space="preserve">* </w:t>
            </w:r>
            <w:r w:rsidRPr="00795576">
              <w:t xml:space="preserve">RTSPP </w:t>
            </w:r>
            <w:r w:rsidRPr="00795576">
              <w:rPr>
                <w:i/>
                <w:vertAlign w:val="subscript"/>
              </w:rPr>
              <w:t>p</w:t>
            </w:r>
            <w:r w:rsidRPr="00795576">
              <w:rPr>
                <w:i/>
              </w:rPr>
              <w:t xml:space="preserve">, </w:t>
            </w:r>
            <w:r w:rsidRPr="00795576">
              <w:rPr>
                <w:i/>
                <w:vertAlign w:val="subscript"/>
              </w:rPr>
              <w:t>i</w:t>
            </w:r>
            <w:r w:rsidRPr="00795576">
              <w:rPr>
                <w:bCs/>
                <w:lang w:val="pt-BR"/>
              </w:rPr>
              <w:t xml:space="preserve">)) </w:t>
            </w:r>
          </w:p>
          <w:p w14:paraId="7C379B93" w14:textId="77777777" w:rsidR="00CE74E6" w:rsidRDefault="00CE74E6" w:rsidP="00CE74E6">
            <w:pPr>
              <w:tabs>
                <w:tab w:val="left" w:pos="2700"/>
                <w:tab w:val="left" w:pos="3150"/>
              </w:tabs>
              <w:spacing w:after="240"/>
              <w:ind w:left="3150" w:hanging="2430"/>
              <w:rPr>
                <w:bCs/>
                <w:color w:val="000000"/>
                <w:lang w:val="pt-BR"/>
              </w:rPr>
            </w:pPr>
            <w:r w:rsidRPr="00795576">
              <w:rPr>
                <w:bCs/>
                <w:color w:val="000000"/>
                <w:lang w:val="pt-BR"/>
              </w:rPr>
              <w:t>Where,</w:t>
            </w:r>
          </w:p>
          <w:p w14:paraId="7C584166" w14:textId="77777777" w:rsidR="00CE74E6" w:rsidRDefault="00CE74E6" w:rsidP="00CE74E6">
            <w:pPr>
              <w:tabs>
                <w:tab w:val="left" w:pos="2700"/>
                <w:tab w:val="left" w:pos="3150"/>
              </w:tabs>
              <w:spacing w:after="240"/>
              <w:ind w:left="3150" w:hanging="2430"/>
              <w:rPr>
                <w:bCs/>
                <w:lang w:val="pt-BR"/>
              </w:rPr>
            </w:pPr>
            <w:r>
              <w:rPr>
                <w:bCs/>
                <w:color w:val="000000"/>
                <w:lang w:val="pt-BR"/>
              </w:rPr>
              <w:tab/>
            </w:r>
            <w:r w:rsidRPr="008431E4">
              <w:rPr>
                <w:bCs/>
                <w:lang w:val="pt-BR"/>
              </w:rPr>
              <w:t>RTVQ</w:t>
            </w:r>
            <w:r>
              <w:rPr>
                <w:bCs/>
                <w:lang w:val="pt-BR"/>
              </w:rPr>
              <w:t xml:space="preserve"> </w:t>
            </w:r>
            <w:r w:rsidRPr="008431E4">
              <w:rPr>
                <w:bCs/>
                <w:i/>
                <w:vertAlign w:val="subscript"/>
                <w:lang w:val="pt-BR"/>
              </w:rPr>
              <w:t>q, r, i</w:t>
            </w:r>
            <w:r>
              <w:rPr>
                <w:bCs/>
                <w:i/>
                <w:vertAlign w:val="subscript"/>
                <w:lang w:val="pt-BR"/>
              </w:rPr>
              <w:t xml:space="preserve"> </w:t>
            </w:r>
            <w:r w:rsidRPr="008431E4">
              <w:rPr>
                <w:bCs/>
                <w:lang w:val="pt-BR"/>
              </w:rPr>
              <w:t xml:space="preserve">= </w:t>
            </w:r>
            <w:r>
              <w:rPr>
                <w:bCs/>
                <w:lang w:val="pt-BR"/>
              </w:rPr>
              <w:t>MRAIPF</w:t>
            </w:r>
            <w:r w:rsidRPr="008431E4">
              <w:rPr>
                <w:bCs/>
                <w:i/>
                <w:vertAlign w:val="subscript"/>
                <w:lang w:val="pt-BR"/>
              </w:rPr>
              <w:t xml:space="preserve"> q, r</w:t>
            </w:r>
            <w:r>
              <w:rPr>
                <w:bCs/>
                <w:i/>
                <w:vertAlign w:val="subscript"/>
                <w:lang w:val="pt-BR"/>
              </w:rPr>
              <w:t>,i</w:t>
            </w:r>
            <w:r w:rsidRPr="008431E4">
              <w:rPr>
                <w:bCs/>
                <w:lang w:val="pt-BR"/>
              </w:rPr>
              <w:t xml:space="preserve"> * </w:t>
            </w:r>
            <w:r w:rsidRPr="008431E4">
              <w:rPr>
                <w:iCs/>
              </w:rPr>
              <w:t>MRACCAP</w:t>
            </w:r>
            <w:r w:rsidRPr="008431E4">
              <w:rPr>
                <w:sz w:val="20"/>
                <w:vertAlign w:val="subscript"/>
              </w:rPr>
              <w:t xml:space="preserve"> </w:t>
            </w:r>
            <w:r w:rsidRPr="008431E4">
              <w:rPr>
                <w:i/>
                <w:sz w:val="20"/>
                <w:vertAlign w:val="subscript"/>
              </w:rPr>
              <w:t xml:space="preserve">q, r, </w:t>
            </w:r>
            <w:r>
              <w:rPr>
                <w:i/>
                <w:iCs/>
                <w:sz w:val="20"/>
                <w:vertAlign w:val="subscript"/>
              </w:rPr>
              <w:t>m</w:t>
            </w:r>
            <w:r w:rsidRPr="008431E4">
              <w:rPr>
                <w:i/>
                <w:iCs/>
                <w:sz w:val="20"/>
                <w:vertAlign w:val="subscript"/>
              </w:rPr>
              <w:t xml:space="preserve"> </w:t>
            </w:r>
            <w:r>
              <w:rPr>
                <w:i/>
                <w:iCs/>
                <w:sz w:val="20"/>
                <w:vertAlign w:val="subscript"/>
              </w:rPr>
              <w:t xml:space="preserve"> </w:t>
            </w:r>
            <w:r>
              <w:rPr>
                <w:bCs/>
                <w:lang w:val="pt-BR"/>
              </w:rPr>
              <w:t>/ 4</w:t>
            </w:r>
          </w:p>
          <w:p w14:paraId="60D1CE94" w14:textId="343834D3" w:rsidR="00CE74E6" w:rsidRPr="00081671" w:rsidRDefault="00CE74E6" w:rsidP="00CE74E6">
            <w:pPr>
              <w:pStyle w:val="BodyTextNumbered"/>
              <w:spacing w:before="240"/>
            </w:pPr>
            <w:r w:rsidRPr="00CE74E6">
              <w:rPr>
                <w:color w:val="000000"/>
              </w:rPr>
              <w:t>(</w:t>
            </w:r>
            <w:r w:rsidR="00AA432B">
              <w:rPr>
                <w:color w:val="000000"/>
              </w:rPr>
              <w:t>4</w:t>
            </w:r>
            <w:r w:rsidRPr="00CE74E6">
              <w:rPr>
                <w:color w:val="000000"/>
              </w:rPr>
              <w:t>)</w:t>
            </w:r>
            <w:r w:rsidRPr="00CE74E6">
              <w:rPr>
                <w:color w:val="000000"/>
              </w:rPr>
              <w:tab/>
            </w:r>
            <w:r w:rsidRPr="00081671">
              <w:rPr>
                <w:bCs/>
                <w:color w:val="000000"/>
                <w:lang w:val="pt-BR"/>
              </w:rPr>
              <w:t xml:space="preserve">The variable payment to each QSE representing a </w:t>
            </w:r>
            <w:r>
              <w:rPr>
                <w:bCs/>
                <w:color w:val="000000"/>
                <w:lang w:val="pt-BR"/>
              </w:rPr>
              <w:t>D</w:t>
            </w:r>
            <w:r w:rsidRPr="00081671">
              <w:rPr>
                <w:bCs/>
                <w:color w:val="000000"/>
                <w:lang w:val="pt-BR"/>
              </w:rPr>
              <w:t xml:space="preserve">emand Response </w:t>
            </w:r>
            <w:r>
              <w:rPr>
                <w:bCs/>
                <w:color w:val="000000"/>
                <w:lang w:val="pt-BR"/>
              </w:rPr>
              <w:t>MRA</w:t>
            </w:r>
            <w:r w:rsidRPr="00081671">
              <w:rPr>
                <w:bCs/>
                <w:color w:val="000000"/>
                <w:lang w:val="pt-BR"/>
              </w:rPr>
              <w:t>:</w:t>
            </w:r>
            <w:r w:rsidRPr="008431E4">
              <w:rPr>
                <w:bCs/>
                <w:color w:val="000000"/>
                <w:lang w:val="pt-BR"/>
              </w:rPr>
              <w:t xml:space="preserve"> </w:t>
            </w:r>
          </w:p>
          <w:p w14:paraId="6BEEEC97" w14:textId="77777777" w:rsidR="00CE74E6" w:rsidRPr="008431E4" w:rsidRDefault="00CE74E6" w:rsidP="00CE74E6">
            <w:pPr>
              <w:tabs>
                <w:tab w:val="left" w:pos="2700"/>
                <w:tab w:val="left" w:pos="3150"/>
              </w:tabs>
              <w:spacing w:after="240"/>
              <w:ind w:left="720"/>
              <w:rPr>
                <w:bCs/>
                <w:color w:val="000000"/>
                <w:lang w:val="pt-BR"/>
              </w:rPr>
            </w:pPr>
            <w:r w:rsidRPr="008431E4">
              <w:rPr>
                <w:bCs/>
                <w:color w:val="000000"/>
                <w:lang w:val="pt-BR"/>
              </w:rPr>
              <w:t xml:space="preserve">For </w:t>
            </w:r>
            <w:r>
              <w:rPr>
                <w:bCs/>
                <w:color w:val="000000"/>
                <w:lang w:val="pt-BR"/>
              </w:rPr>
              <w:t>MRA Contracted Hour</w:t>
            </w:r>
            <w:r w:rsidRPr="008431E4">
              <w:rPr>
                <w:bCs/>
                <w:color w:val="000000"/>
                <w:lang w:val="pt-BR"/>
              </w:rPr>
              <w:t>s with a deployment instruction:</w:t>
            </w:r>
          </w:p>
          <w:p w14:paraId="47F73B1D" w14:textId="5920EFC9" w:rsidR="00CE74E6" w:rsidRDefault="00CE74E6" w:rsidP="00CE74E6">
            <w:pPr>
              <w:tabs>
                <w:tab w:val="left" w:pos="2700"/>
                <w:tab w:val="left" w:pos="3150"/>
              </w:tabs>
              <w:spacing w:after="240"/>
              <w:ind w:left="3150" w:hanging="2430"/>
              <w:rPr>
                <w:bCs/>
                <w:i/>
                <w:vertAlign w:val="subscript"/>
                <w:lang w:val="pt-BR"/>
              </w:rPr>
            </w:pPr>
            <w:r w:rsidRPr="008431E4">
              <w:rPr>
                <w:bCs/>
                <w:color w:val="000000"/>
                <w:lang w:val="pt-BR"/>
              </w:rPr>
              <w:t>MRAVAMT</w:t>
            </w:r>
            <w:r w:rsidRPr="008431E4">
              <w:rPr>
                <w:bCs/>
                <w:i/>
                <w:vertAlign w:val="subscript"/>
                <w:lang w:val="pt-BR"/>
              </w:rPr>
              <w:t>q, r</w:t>
            </w:r>
            <w:r w:rsidRPr="008431E4">
              <w:rPr>
                <w:bCs/>
                <w:vertAlign w:val="subscript"/>
                <w:lang w:val="pt-BR"/>
              </w:rPr>
              <w:t>,</w:t>
            </w:r>
            <w:r>
              <w:rPr>
                <w:bCs/>
                <w:vertAlign w:val="subscript"/>
                <w:lang w:val="pt-BR"/>
              </w:rPr>
              <w:t xml:space="preserve"> </w:t>
            </w:r>
            <w:r w:rsidRPr="005A6FD5">
              <w:rPr>
                <w:bCs/>
                <w:i/>
                <w:vertAlign w:val="subscript"/>
                <w:lang w:val="pt-BR"/>
              </w:rPr>
              <w:t>h</w:t>
            </w:r>
            <w:r w:rsidRPr="008431E4">
              <w:rPr>
                <w:bCs/>
                <w:lang w:val="pt-BR"/>
              </w:rPr>
              <w:t xml:space="preserve"> = (-1) * </w:t>
            </w:r>
            <w:r w:rsidR="00A94020" w:rsidRPr="00CE74E6">
              <w:rPr>
                <w:noProof/>
                <w:position w:val="-20"/>
              </w:rPr>
              <w:drawing>
                <wp:inline distT="0" distB="0" distL="0" distR="0" wp14:anchorId="398CE79B" wp14:editId="18B7AAD2">
                  <wp:extent cx="180975" cy="361950"/>
                  <wp:effectExtent l="0" t="0" r="9525" b="0"/>
                  <wp:docPr id="1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8431E4">
              <w:rPr>
                <w:bCs/>
                <w:lang w:val="pt-BR"/>
              </w:rPr>
              <w:t>Max[VPRICE</w:t>
            </w:r>
            <w:r w:rsidRPr="008431E4">
              <w:rPr>
                <w:bCs/>
                <w:i/>
                <w:vertAlign w:val="subscript"/>
                <w:lang w:val="pt-BR"/>
              </w:rPr>
              <w:t xml:space="preserve"> q, r</w:t>
            </w:r>
            <w:r w:rsidRPr="008431E4">
              <w:rPr>
                <w:bCs/>
                <w:lang w:val="pt-BR"/>
              </w:rPr>
              <w:t>, (FIP + MRACEFA</w:t>
            </w:r>
            <w:r w:rsidRPr="008431E4">
              <w:rPr>
                <w:bCs/>
                <w:i/>
                <w:vertAlign w:val="subscript"/>
                <w:lang w:val="pt-BR"/>
              </w:rPr>
              <w:t xml:space="preserve"> q, r</w:t>
            </w:r>
            <w:r w:rsidRPr="008431E4">
              <w:rPr>
                <w:bCs/>
                <w:lang w:val="pt-BR"/>
              </w:rPr>
              <w:t xml:space="preserve">) * MRAPHR </w:t>
            </w:r>
            <w:r w:rsidRPr="008431E4">
              <w:rPr>
                <w:bCs/>
                <w:i/>
                <w:vertAlign w:val="subscript"/>
                <w:lang w:val="pt-BR"/>
              </w:rPr>
              <w:t>q, r</w:t>
            </w:r>
            <w:r w:rsidRPr="008431E4">
              <w:rPr>
                <w:bCs/>
                <w:lang w:val="pt-BR"/>
              </w:rPr>
              <w:t xml:space="preserve"> ] * RTVQ</w:t>
            </w:r>
            <w:r>
              <w:rPr>
                <w:bCs/>
                <w:lang w:val="pt-BR"/>
              </w:rPr>
              <w:t xml:space="preserve"> </w:t>
            </w:r>
            <w:r w:rsidRPr="008431E4">
              <w:rPr>
                <w:bCs/>
                <w:i/>
                <w:vertAlign w:val="subscript"/>
                <w:lang w:val="pt-BR"/>
              </w:rPr>
              <w:t xml:space="preserve">q, r, i </w:t>
            </w:r>
          </w:p>
          <w:p w14:paraId="72A3B4DA" w14:textId="77777777" w:rsidR="00CE74E6" w:rsidRDefault="00CE74E6" w:rsidP="00CE74E6">
            <w:pPr>
              <w:tabs>
                <w:tab w:val="left" w:pos="2700"/>
                <w:tab w:val="left" w:pos="3150"/>
              </w:tabs>
              <w:spacing w:after="240"/>
              <w:ind w:left="3150" w:hanging="2430"/>
              <w:rPr>
                <w:bCs/>
                <w:color w:val="000000"/>
                <w:lang w:val="pt-BR"/>
              </w:rPr>
            </w:pPr>
            <w:r>
              <w:rPr>
                <w:bCs/>
                <w:color w:val="000000"/>
                <w:lang w:val="pt-BR"/>
              </w:rPr>
              <w:t>Where,</w:t>
            </w:r>
          </w:p>
          <w:p w14:paraId="0D5E0FED" w14:textId="77777777" w:rsidR="00CE74E6" w:rsidRDefault="00CE74E6" w:rsidP="00CE74E6">
            <w:pPr>
              <w:tabs>
                <w:tab w:val="left" w:pos="2700"/>
                <w:tab w:val="left" w:pos="3150"/>
              </w:tabs>
              <w:spacing w:after="240"/>
              <w:ind w:left="3150" w:hanging="2430"/>
              <w:rPr>
                <w:bCs/>
                <w:lang w:val="pt-BR"/>
              </w:rPr>
            </w:pPr>
            <w:r>
              <w:rPr>
                <w:bCs/>
                <w:color w:val="000000"/>
                <w:lang w:val="pt-BR"/>
              </w:rPr>
              <w:lastRenderedPageBreak/>
              <w:tab/>
            </w:r>
            <w:r w:rsidRPr="008431E4">
              <w:rPr>
                <w:bCs/>
                <w:lang w:val="pt-BR"/>
              </w:rPr>
              <w:t>RTVQ</w:t>
            </w:r>
            <w:r>
              <w:rPr>
                <w:bCs/>
                <w:lang w:val="pt-BR"/>
              </w:rPr>
              <w:t xml:space="preserve"> </w:t>
            </w:r>
            <w:r w:rsidRPr="008431E4">
              <w:rPr>
                <w:bCs/>
                <w:i/>
                <w:vertAlign w:val="subscript"/>
                <w:lang w:val="pt-BR"/>
              </w:rPr>
              <w:t>q, r, i</w:t>
            </w:r>
            <w:r>
              <w:rPr>
                <w:bCs/>
                <w:i/>
                <w:vertAlign w:val="subscript"/>
                <w:lang w:val="pt-BR"/>
              </w:rPr>
              <w:t xml:space="preserve"> </w:t>
            </w:r>
            <w:r w:rsidRPr="008431E4">
              <w:rPr>
                <w:bCs/>
                <w:lang w:val="pt-BR"/>
              </w:rPr>
              <w:t xml:space="preserve">= </w:t>
            </w:r>
            <w:r>
              <w:rPr>
                <w:bCs/>
                <w:lang w:val="pt-BR"/>
              </w:rPr>
              <w:t>MRAIPF</w:t>
            </w:r>
            <w:r w:rsidRPr="008431E4">
              <w:rPr>
                <w:bCs/>
                <w:i/>
                <w:vertAlign w:val="subscript"/>
                <w:lang w:val="pt-BR"/>
              </w:rPr>
              <w:t xml:space="preserve"> q, r</w:t>
            </w:r>
            <w:r>
              <w:rPr>
                <w:bCs/>
                <w:i/>
                <w:vertAlign w:val="subscript"/>
                <w:lang w:val="pt-BR"/>
              </w:rPr>
              <w:t>,i</w:t>
            </w:r>
            <w:r w:rsidRPr="008431E4">
              <w:rPr>
                <w:bCs/>
                <w:lang w:val="pt-BR"/>
              </w:rPr>
              <w:t xml:space="preserve"> * </w:t>
            </w:r>
            <w:r w:rsidRPr="008431E4">
              <w:rPr>
                <w:iCs/>
              </w:rPr>
              <w:t>MRACCAP</w:t>
            </w:r>
            <w:r w:rsidRPr="008431E4">
              <w:rPr>
                <w:sz w:val="20"/>
                <w:vertAlign w:val="subscript"/>
              </w:rPr>
              <w:t xml:space="preserve"> </w:t>
            </w:r>
            <w:r w:rsidRPr="008431E4">
              <w:rPr>
                <w:i/>
                <w:sz w:val="20"/>
                <w:vertAlign w:val="subscript"/>
              </w:rPr>
              <w:t xml:space="preserve">q, r, </w:t>
            </w:r>
            <w:r>
              <w:rPr>
                <w:i/>
                <w:sz w:val="20"/>
                <w:vertAlign w:val="subscript"/>
              </w:rPr>
              <w:t>m</w:t>
            </w:r>
            <w:r w:rsidRPr="008431E4">
              <w:rPr>
                <w:i/>
                <w:iCs/>
                <w:sz w:val="20"/>
                <w:vertAlign w:val="subscript"/>
              </w:rPr>
              <w:t xml:space="preserve">  </w:t>
            </w:r>
            <w:r>
              <w:rPr>
                <w:bCs/>
                <w:lang w:val="pt-BR"/>
              </w:rPr>
              <w:t>/ 4</w:t>
            </w:r>
          </w:p>
          <w:p w14:paraId="6C95ACF8" w14:textId="77777777" w:rsidR="00CE74E6" w:rsidRPr="008431E4" w:rsidRDefault="00CE74E6" w:rsidP="00CE74E6">
            <w:r w:rsidRPr="008431E4">
              <w:t>The above variables are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6300"/>
            </w:tblGrid>
            <w:tr w:rsidR="00A76C0B" w:rsidRPr="008431E4" w14:paraId="12AD754E" w14:textId="77777777" w:rsidTr="00CE1011">
              <w:trPr>
                <w:cantSplit/>
                <w:tblHeader/>
              </w:trPr>
              <w:tc>
                <w:tcPr>
                  <w:tcW w:w="1885" w:type="dxa"/>
                </w:tcPr>
                <w:p w14:paraId="451996F0" w14:textId="77777777" w:rsidR="00A76C0B" w:rsidRPr="00081671" w:rsidRDefault="00A76C0B" w:rsidP="00A76C0B">
                  <w:pPr>
                    <w:spacing w:after="120"/>
                    <w:rPr>
                      <w:b/>
                      <w:iCs/>
                      <w:sz w:val="20"/>
                    </w:rPr>
                  </w:pPr>
                  <w:r w:rsidRPr="00081671">
                    <w:rPr>
                      <w:b/>
                      <w:iCs/>
                      <w:sz w:val="20"/>
                    </w:rPr>
                    <w:t>Variable</w:t>
                  </w:r>
                </w:p>
              </w:tc>
              <w:tc>
                <w:tcPr>
                  <w:tcW w:w="1080" w:type="dxa"/>
                </w:tcPr>
                <w:p w14:paraId="01C03DF2" w14:textId="77777777" w:rsidR="00A76C0B" w:rsidRPr="00081671" w:rsidRDefault="00A76C0B" w:rsidP="00A76C0B">
                  <w:pPr>
                    <w:spacing w:after="120"/>
                    <w:rPr>
                      <w:b/>
                      <w:iCs/>
                      <w:sz w:val="20"/>
                    </w:rPr>
                  </w:pPr>
                  <w:r w:rsidRPr="00081671">
                    <w:rPr>
                      <w:b/>
                      <w:iCs/>
                      <w:sz w:val="20"/>
                    </w:rPr>
                    <w:t>Unit</w:t>
                  </w:r>
                </w:p>
              </w:tc>
              <w:tc>
                <w:tcPr>
                  <w:tcW w:w="6300" w:type="dxa"/>
                </w:tcPr>
                <w:p w14:paraId="47152EB3" w14:textId="77777777" w:rsidR="00A76C0B" w:rsidRPr="00081671" w:rsidRDefault="00A76C0B" w:rsidP="00A76C0B">
                  <w:pPr>
                    <w:spacing w:after="120"/>
                    <w:rPr>
                      <w:b/>
                      <w:iCs/>
                      <w:sz w:val="20"/>
                    </w:rPr>
                  </w:pPr>
                  <w:r w:rsidRPr="00081671">
                    <w:rPr>
                      <w:b/>
                      <w:iCs/>
                      <w:sz w:val="20"/>
                    </w:rPr>
                    <w:t>Definition</w:t>
                  </w:r>
                </w:p>
              </w:tc>
            </w:tr>
            <w:tr w:rsidR="00A76C0B" w:rsidRPr="008431E4" w14:paraId="107C7AF7" w14:textId="77777777" w:rsidTr="00CE1011">
              <w:trPr>
                <w:cantSplit/>
              </w:trPr>
              <w:tc>
                <w:tcPr>
                  <w:tcW w:w="1885" w:type="dxa"/>
                  <w:shd w:val="clear" w:color="auto" w:fill="auto"/>
                </w:tcPr>
                <w:p w14:paraId="2379E783" w14:textId="77777777" w:rsidR="00A76C0B" w:rsidRPr="00081671" w:rsidRDefault="00A76C0B" w:rsidP="00A76C0B">
                  <w:pPr>
                    <w:spacing w:after="60"/>
                    <w:rPr>
                      <w:iCs/>
                      <w:sz w:val="20"/>
                    </w:rPr>
                  </w:pPr>
                  <w:r w:rsidRPr="00081671">
                    <w:rPr>
                      <w:bCs/>
                      <w:color w:val="000000"/>
                      <w:sz w:val="20"/>
                      <w:lang w:val="pt-BR"/>
                    </w:rPr>
                    <w:t>MRAVAMT</w:t>
                  </w:r>
                  <w:r w:rsidRPr="00081671">
                    <w:rPr>
                      <w:iCs/>
                      <w:sz w:val="20"/>
                    </w:rPr>
                    <w:t xml:space="preserve"> </w:t>
                  </w:r>
                  <w:r w:rsidRPr="00081671">
                    <w:rPr>
                      <w:i/>
                      <w:iCs/>
                      <w:sz w:val="20"/>
                      <w:vertAlign w:val="subscript"/>
                    </w:rPr>
                    <w:t>q, r, h</w:t>
                  </w:r>
                </w:p>
              </w:tc>
              <w:tc>
                <w:tcPr>
                  <w:tcW w:w="1080" w:type="dxa"/>
                </w:tcPr>
                <w:p w14:paraId="16B34C95" w14:textId="77777777" w:rsidR="00A76C0B" w:rsidRPr="00081671" w:rsidRDefault="00A76C0B" w:rsidP="00A76C0B">
                  <w:pPr>
                    <w:spacing w:after="60"/>
                    <w:rPr>
                      <w:iCs/>
                      <w:sz w:val="20"/>
                    </w:rPr>
                  </w:pPr>
                  <w:r w:rsidRPr="00081671">
                    <w:rPr>
                      <w:iCs/>
                      <w:sz w:val="20"/>
                    </w:rPr>
                    <w:t>$</w:t>
                  </w:r>
                </w:p>
              </w:tc>
              <w:tc>
                <w:tcPr>
                  <w:tcW w:w="6300" w:type="dxa"/>
                </w:tcPr>
                <w:p w14:paraId="778DA83F" w14:textId="02013451" w:rsidR="00A76C0B" w:rsidRPr="00081671" w:rsidRDefault="00A76C0B" w:rsidP="00A76C0B">
                  <w:pPr>
                    <w:spacing w:after="60"/>
                    <w:rPr>
                      <w:iCs/>
                      <w:sz w:val="20"/>
                    </w:rPr>
                  </w:pPr>
                  <w:r w:rsidRPr="00081671">
                    <w:rPr>
                      <w:i/>
                      <w:iCs/>
                      <w:sz w:val="20"/>
                    </w:rPr>
                    <w:t>Must-Run Alternative Variable Amount per QSE per Resource by hour</w:t>
                  </w:r>
                  <w:r w:rsidRPr="00081671">
                    <w:rPr>
                      <w:iCs/>
                      <w:sz w:val="20"/>
                    </w:rPr>
                    <w:t xml:space="preserve">—The variable payment to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for the hour</w:t>
                  </w:r>
                  <w:r w:rsidR="00AA432B" w:rsidRPr="009C73FA">
                    <w:rPr>
                      <w:i/>
                      <w:sz w:val="20"/>
                    </w:rPr>
                    <w:t xml:space="preserve"> h</w:t>
                  </w:r>
                  <w:r w:rsidRPr="00081671">
                    <w:rPr>
                      <w:iCs/>
                      <w:sz w:val="20"/>
                    </w:rPr>
                    <w:t xml:space="preserve">.  Where for a Combined Cycle Train, the Resource </w:t>
                  </w:r>
                  <w:r w:rsidRPr="00081671">
                    <w:rPr>
                      <w:i/>
                      <w:iCs/>
                      <w:sz w:val="20"/>
                    </w:rPr>
                    <w:t xml:space="preserve">r </w:t>
                  </w:r>
                  <w:r w:rsidRPr="00081671">
                    <w:rPr>
                      <w:iCs/>
                      <w:sz w:val="20"/>
                    </w:rPr>
                    <w:t>is the Combined Cycle Train.</w:t>
                  </w:r>
                </w:p>
              </w:tc>
            </w:tr>
            <w:tr w:rsidR="00A76C0B" w:rsidRPr="008431E4" w14:paraId="26C073B4" w14:textId="77777777" w:rsidTr="00CE1011">
              <w:trPr>
                <w:cantSplit/>
              </w:trPr>
              <w:tc>
                <w:tcPr>
                  <w:tcW w:w="1885" w:type="dxa"/>
                  <w:shd w:val="clear" w:color="auto" w:fill="auto"/>
                </w:tcPr>
                <w:p w14:paraId="128615CC" w14:textId="77777777" w:rsidR="00A76C0B" w:rsidRPr="00081671" w:rsidRDefault="00A76C0B" w:rsidP="00A76C0B">
                  <w:pPr>
                    <w:spacing w:after="60"/>
                    <w:rPr>
                      <w:iCs/>
                      <w:color w:val="92D050"/>
                      <w:sz w:val="20"/>
                    </w:rPr>
                  </w:pPr>
                  <w:r w:rsidRPr="00081671">
                    <w:rPr>
                      <w:bCs/>
                      <w:color w:val="000000"/>
                      <w:sz w:val="20"/>
                      <w:lang w:val="pt-BR"/>
                    </w:rPr>
                    <w:t>MRAGRCVP</w:t>
                  </w:r>
                  <w:r w:rsidRPr="00081671">
                    <w:rPr>
                      <w:bCs/>
                      <w:sz w:val="20"/>
                      <w:lang w:val="pt-BR"/>
                    </w:rPr>
                    <w:t xml:space="preserve"> </w:t>
                  </w:r>
                  <w:r w:rsidRPr="00081671">
                    <w:rPr>
                      <w:bCs/>
                      <w:i/>
                      <w:sz w:val="20"/>
                      <w:vertAlign w:val="subscript"/>
                      <w:lang w:val="pt-BR"/>
                    </w:rPr>
                    <w:t>q</w:t>
                  </w:r>
                  <w:r w:rsidRPr="005A6FD5">
                    <w:rPr>
                      <w:bCs/>
                      <w:i/>
                      <w:sz w:val="20"/>
                      <w:vertAlign w:val="subscript"/>
                      <w:lang w:val="pt-BR"/>
                    </w:rPr>
                    <w:t>, r, h</w:t>
                  </w:r>
                  <w:r w:rsidRPr="00081671">
                    <w:rPr>
                      <w:bCs/>
                      <w:sz w:val="20"/>
                      <w:lang w:val="pt-BR"/>
                    </w:rPr>
                    <w:t xml:space="preserve"> </w:t>
                  </w:r>
                </w:p>
              </w:tc>
              <w:tc>
                <w:tcPr>
                  <w:tcW w:w="1080" w:type="dxa"/>
                </w:tcPr>
                <w:p w14:paraId="3CFEF233" w14:textId="77777777" w:rsidR="00A76C0B" w:rsidRPr="00081671" w:rsidRDefault="00A76C0B" w:rsidP="00A76C0B">
                  <w:pPr>
                    <w:spacing w:after="60"/>
                    <w:rPr>
                      <w:iCs/>
                      <w:sz w:val="20"/>
                    </w:rPr>
                  </w:pPr>
                  <w:r w:rsidRPr="00081671">
                    <w:rPr>
                      <w:iCs/>
                      <w:sz w:val="20"/>
                    </w:rPr>
                    <w:t>$</w:t>
                  </w:r>
                </w:p>
              </w:tc>
              <w:tc>
                <w:tcPr>
                  <w:tcW w:w="6300" w:type="dxa"/>
                </w:tcPr>
                <w:p w14:paraId="1B9E661F" w14:textId="6ED04CD4" w:rsidR="00A76C0B" w:rsidRPr="00081671" w:rsidRDefault="00A76C0B" w:rsidP="00A76C0B">
                  <w:pPr>
                    <w:spacing w:after="60"/>
                    <w:rPr>
                      <w:i/>
                      <w:iCs/>
                      <w:sz w:val="20"/>
                    </w:rPr>
                  </w:pPr>
                  <w:r w:rsidRPr="00081671">
                    <w:rPr>
                      <w:i/>
                      <w:iCs/>
                      <w:sz w:val="20"/>
                    </w:rPr>
                    <w:t xml:space="preserve">Must-Run Alternative Generation Resource Calculated Variable Payment per QSE per Resource - </w:t>
                  </w:r>
                  <w:r w:rsidRPr="00081671">
                    <w:rPr>
                      <w:iCs/>
                      <w:sz w:val="20"/>
                    </w:rPr>
                    <w:t xml:space="preserve">The variable payment to QSE </w:t>
                  </w:r>
                  <w:r w:rsidRPr="00081671">
                    <w:rPr>
                      <w:i/>
                      <w:iCs/>
                      <w:sz w:val="20"/>
                    </w:rPr>
                    <w:t>q</w:t>
                  </w:r>
                  <w:r w:rsidRPr="00081671">
                    <w:rPr>
                      <w:iCs/>
                      <w:sz w:val="20"/>
                    </w:rPr>
                    <w:t xml:space="preserve"> for </w:t>
                  </w:r>
                  <w:r>
                    <w:rPr>
                      <w:iCs/>
                      <w:sz w:val="20"/>
                    </w:rPr>
                    <w:t>Generation Resource MRA</w:t>
                  </w:r>
                  <w:r w:rsidRPr="00081671">
                    <w:rPr>
                      <w:iCs/>
                      <w:sz w:val="20"/>
                    </w:rPr>
                    <w:t xml:space="preserve"> </w:t>
                  </w:r>
                  <w:r w:rsidRPr="00081671">
                    <w:rPr>
                      <w:i/>
                      <w:iCs/>
                      <w:sz w:val="20"/>
                    </w:rPr>
                    <w:t>r</w:t>
                  </w:r>
                  <w:r w:rsidRPr="00081671">
                    <w:rPr>
                      <w:iCs/>
                      <w:sz w:val="20"/>
                    </w:rPr>
                    <w:t>, for the hour</w:t>
                  </w:r>
                  <w:r w:rsidR="00AA432B" w:rsidRPr="009C73FA">
                    <w:rPr>
                      <w:i/>
                      <w:sz w:val="20"/>
                    </w:rPr>
                    <w:t xml:space="preserve"> h</w:t>
                  </w:r>
                  <w:r w:rsidRPr="00081671">
                    <w:rPr>
                      <w:iCs/>
                      <w:sz w:val="20"/>
                    </w:rPr>
                    <w:t xml:space="preserve">.  Where for a Combined Cycle Train, the Resource </w:t>
                  </w:r>
                  <w:r w:rsidRPr="00081671">
                    <w:rPr>
                      <w:i/>
                      <w:iCs/>
                      <w:sz w:val="20"/>
                    </w:rPr>
                    <w:t xml:space="preserve">r </w:t>
                  </w:r>
                  <w:r w:rsidRPr="00081671">
                    <w:rPr>
                      <w:iCs/>
                      <w:sz w:val="20"/>
                    </w:rPr>
                    <w:t>is the Combined Cycle Train.</w:t>
                  </w:r>
                </w:p>
              </w:tc>
            </w:tr>
            <w:tr w:rsidR="00A76C0B" w:rsidRPr="008431E4" w14:paraId="158FC4D6" w14:textId="77777777" w:rsidTr="00CE1011">
              <w:trPr>
                <w:cantSplit/>
              </w:trPr>
              <w:tc>
                <w:tcPr>
                  <w:tcW w:w="1885" w:type="dxa"/>
                </w:tcPr>
                <w:p w14:paraId="40237BF5" w14:textId="77777777" w:rsidR="00A76C0B" w:rsidRPr="00081671" w:rsidRDefault="00A76C0B" w:rsidP="00A76C0B">
                  <w:pPr>
                    <w:spacing w:after="60"/>
                    <w:rPr>
                      <w:iCs/>
                      <w:sz w:val="20"/>
                    </w:rPr>
                  </w:pPr>
                  <w:r w:rsidRPr="00081671">
                    <w:rPr>
                      <w:iCs/>
                      <w:sz w:val="20"/>
                    </w:rPr>
                    <w:t>FIP</w:t>
                  </w:r>
                </w:p>
              </w:tc>
              <w:tc>
                <w:tcPr>
                  <w:tcW w:w="1080" w:type="dxa"/>
                </w:tcPr>
                <w:p w14:paraId="2C574F5B" w14:textId="77777777" w:rsidR="00A76C0B" w:rsidRPr="00081671" w:rsidRDefault="00A76C0B" w:rsidP="00A76C0B">
                  <w:pPr>
                    <w:spacing w:after="60"/>
                    <w:rPr>
                      <w:iCs/>
                      <w:sz w:val="20"/>
                    </w:rPr>
                  </w:pPr>
                  <w:r w:rsidRPr="00081671">
                    <w:rPr>
                      <w:iCs/>
                      <w:sz w:val="20"/>
                    </w:rPr>
                    <w:t>$/MMBtu</w:t>
                  </w:r>
                </w:p>
              </w:tc>
              <w:tc>
                <w:tcPr>
                  <w:tcW w:w="6300" w:type="dxa"/>
                </w:tcPr>
                <w:p w14:paraId="2C8C185F" w14:textId="77777777" w:rsidR="00A76C0B" w:rsidRPr="00081671" w:rsidRDefault="00A76C0B" w:rsidP="00A76C0B">
                  <w:pPr>
                    <w:spacing w:after="60"/>
                    <w:rPr>
                      <w:iCs/>
                      <w:sz w:val="20"/>
                    </w:rPr>
                  </w:pPr>
                  <w:r w:rsidRPr="00081671">
                    <w:rPr>
                      <w:i/>
                      <w:iCs/>
                      <w:sz w:val="20"/>
                    </w:rPr>
                    <w:t>Fuel Index Price</w:t>
                  </w:r>
                  <w:r w:rsidRPr="00081671">
                    <w:rPr>
                      <w:iCs/>
                      <w:sz w:val="20"/>
                    </w:rPr>
                    <w:t>—The FIP for the Operating Day.</w:t>
                  </w:r>
                </w:p>
              </w:tc>
            </w:tr>
            <w:tr w:rsidR="00A76C0B" w:rsidRPr="008431E4" w14:paraId="35372463" w14:textId="77777777" w:rsidTr="00CE1011">
              <w:trPr>
                <w:cantSplit/>
              </w:trPr>
              <w:tc>
                <w:tcPr>
                  <w:tcW w:w="1885" w:type="dxa"/>
                </w:tcPr>
                <w:p w14:paraId="477F14CB" w14:textId="77777777" w:rsidR="00A76C0B" w:rsidRPr="00081671" w:rsidRDefault="00A76C0B" w:rsidP="00A76C0B">
                  <w:pPr>
                    <w:spacing w:after="60"/>
                    <w:rPr>
                      <w:iCs/>
                      <w:sz w:val="20"/>
                    </w:rPr>
                  </w:pPr>
                  <w:r w:rsidRPr="00081671">
                    <w:rPr>
                      <w:bCs/>
                      <w:color w:val="000000"/>
                      <w:sz w:val="20"/>
                      <w:lang w:val="pt-BR"/>
                    </w:rPr>
                    <w:t>MRARTREV</w:t>
                  </w:r>
                  <w:r w:rsidRPr="00081671">
                    <w:rPr>
                      <w:bCs/>
                      <w:i/>
                      <w:sz w:val="20"/>
                      <w:vertAlign w:val="subscript"/>
                      <w:lang w:val="pt-BR"/>
                    </w:rPr>
                    <w:t>q, r</w:t>
                  </w:r>
                  <w:r w:rsidRPr="00081671">
                    <w:rPr>
                      <w:bCs/>
                      <w:sz w:val="20"/>
                      <w:vertAlign w:val="subscript"/>
                      <w:lang w:val="pt-BR"/>
                    </w:rPr>
                    <w:t>,</w:t>
                  </w:r>
                  <w:r>
                    <w:rPr>
                      <w:bCs/>
                      <w:sz w:val="20"/>
                      <w:vertAlign w:val="subscript"/>
                      <w:lang w:val="pt-BR"/>
                    </w:rPr>
                    <w:t xml:space="preserve"> </w:t>
                  </w:r>
                  <w:r w:rsidRPr="009701A9">
                    <w:rPr>
                      <w:bCs/>
                      <w:i/>
                      <w:sz w:val="20"/>
                      <w:vertAlign w:val="subscript"/>
                      <w:lang w:val="pt-BR"/>
                    </w:rPr>
                    <w:t>h</w:t>
                  </w:r>
                </w:p>
              </w:tc>
              <w:tc>
                <w:tcPr>
                  <w:tcW w:w="1080" w:type="dxa"/>
                </w:tcPr>
                <w:p w14:paraId="714D7B6C" w14:textId="77777777" w:rsidR="00A76C0B" w:rsidRPr="00081671" w:rsidRDefault="00A76C0B" w:rsidP="00A76C0B">
                  <w:pPr>
                    <w:spacing w:after="60"/>
                    <w:rPr>
                      <w:iCs/>
                      <w:sz w:val="20"/>
                    </w:rPr>
                  </w:pPr>
                  <w:r w:rsidRPr="00081671">
                    <w:rPr>
                      <w:iCs/>
                      <w:sz w:val="20"/>
                    </w:rPr>
                    <w:t>$</w:t>
                  </w:r>
                </w:p>
              </w:tc>
              <w:tc>
                <w:tcPr>
                  <w:tcW w:w="6300" w:type="dxa"/>
                </w:tcPr>
                <w:p w14:paraId="4484C99B" w14:textId="2AF34D53" w:rsidR="00A76C0B" w:rsidRPr="00081671" w:rsidRDefault="00A76C0B" w:rsidP="00A76C0B">
                  <w:pPr>
                    <w:spacing w:after="60"/>
                    <w:rPr>
                      <w:i/>
                      <w:iCs/>
                      <w:sz w:val="20"/>
                    </w:rPr>
                  </w:pPr>
                  <w:r w:rsidRPr="00081671">
                    <w:rPr>
                      <w:i/>
                      <w:iCs/>
                      <w:sz w:val="20"/>
                    </w:rPr>
                    <w:t>Must-Run Alternative Real-Time Revenues per QSE per Resource by hour</w:t>
                  </w:r>
                  <w:r w:rsidRPr="00081671">
                    <w:rPr>
                      <w:iCs/>
                      <w:sz w:val="20"/>
                    </w:rPr>
                    <w:t xml:space="preserve">—The revenues received in Real-Time for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for the hour</w:t>
                  </w:r>
                  <w:r w:rsidR="00AA432B" w:rsidRPr="009C73FA">
                    <w:rPr>
                      <w:i/>
                      <w:sz w:val="20"/>
                    </w:rPr>
                    <w:t xml:space="preserve"> h</w:t>
                  </w:r>
                  <w:r w:rsidRPr="00081671">
                    <w:rPr>
                      <w:iCs/>
                      <w:sz w:val="20"/>
                    </w:rPr>
                    <w:t xml:space="preserve">.  Where for a Combined Cycle Train, the Resource </w:t>
                  </w:r>
                  <w:r w:rsidRPr="00081671">
                    <w:rPr>
                      <w:i/>
                      <w:iCs/>
                      <w:sz w:val="20"/>
                    </w:rPr>
                    <w:t xml:space="preserve">r </w:t>
                  </w:r>
                  <w:r w:rsidRPr="00081671">
                    <w:rPr>
                      <w:iCs/>
                      <w:sz w:val="20"/>
                    </w:rPr>
                    <w:t>is the Combined Cycle Train.</w:t>
                  </w:r>
                </w:p>
              </w:tc>
            </w:tr>
            <w:tr w:rsidR="00AA432B" w:rsidRPr="008431E4" w14:paraId="452AD0F3" w14:textId="77777777" w:rsidTr="00CE1011">
              <w:trPr>
                <w:cantSplit/>
              </w:trPr>
              <w:tc>
                <w:tcPr>
                  <w:tcW w:w="1885" w:type="dxa"/>
                </w:tcPr>
                <w:p w14:paraId="3EBE9E46" w14:textId="1DD56DC2" w:rsidR="00AA432B" w:rsidRPr="00081671" w:rsidRDefault="00AA432B" w:rsidP="00AA432B">
                  <w:pPr>
                    <w:spacing w:after="60"/>
                    <w:rPr>
                      <w:bCs/>
                      <w:color w:val="000000"/>
                      <w:sz w:val="20"/>
                      <w:lang w:val="pt-BR"/>
                    </w:rPr>
                  </w:pPr>
                  <w:r w:rsidRPr="009C73FA">
                    <w:rPr>
                      <w:sz w:val="20"/>
                    </w:rPr>
                    <w:t>MRAESRCVP</w:t>
                  </w:r>
                  <w:r w:rsidRPr="009C73FA">
                    <w:t xml:space="preserve"> </w:t>
                  </w:r>
                  <w:r w:rsidRPr="009C73FA">
                    <w:rPr>
                      <w:bCs/>
                      <w:i/>
                      <w:sz w:val="20"/>
                      <w:vertAlign w:val="subscript"/>
                      <w:lang w:val="pt-BR"/>
                    </w:rPr>
                    <w:t>q, r, h</w:t>
                  </w:r>
                  <w:r w:rsidRPr="009C73FA">
                    <w:t xml:space="preserve"> </w:t>
                  </w:r>
                </w:p>
              </w:tc>
              <w:tc>
                <w:tcPr>
                  <w:tcW w:w="1080" w:type="dxa"/>
                </w:tcPr>
                <w:p w14:paraId="31CAAFA2" w14:textId="1FE075F5" w:rsidR="00AA432B" w:rsidRPr="00081671" w:rsidRDefault="00AA432B" w:rsidP="00AA432B">
                  <w:pPr>
                    <w:spacing w:after="60"/>
                    <w:rPr>
                      <w:iCs/>
                      <w:sz w:val="20"/>
                    </w:rPr>
                  </w:pPr>
                  <w:r w:rsidRPr="009C73FA">
                    <w:rPr>
                      <w:sz w:val="20"/>
                    </w:rPr>
                    <w:t>$</w:t>
                  </w:r>
                </w:p>
              </w:tc>
              <w:tc>
                <w:tcPr>
                  <w:tcW w:w="6300" w:type="dxa"/>
                </w:tcPr>
                <w:p w14:paraId="47C0A947" w14:textId="011A009D" w:rsidR="00AA432B" w:rsidRPr="00081671" w:rsidRDefault="00AA432B" w:rsidP="00AA432B">
                  <w:pPr>
                    <w:spacing w:after="60"/>
                    <w:rPr>
                      <w:i/>
                      <w:iCs/>
                      <w:sz w:val="20"/>
                    </w:rPr>
                  </w:pPr>
                  <w:r w:rsidRPr="009C73FA">
                    <w:rPr>
                      <w:i/>
                      <w:iCs/>
                      <w:sz w:val="20"/>
                    </w:rPr>
                    <w:t>Must-Run Alternative Energy Storage Resource Calculated Variable Payment per QSE per Resource</w:t>
                  </w:r>
                  <w:r w:rsidRPr="009C73FA">
                    <w:rPr>
                      <w:iCs/>
                      <w:sz w:val="20"/>
                    </w:rPr>
                    <w:t>—</w:t>
                  </w:r>
                  <w:r w:rsidRPr="009C73FA">
                    <w:rPr>
                      <w:sz w:val="20"/>
                    </w:rPr>
                    <w:t xml:space="preserve">The variable payment to QSE </w:t>
                  </w:r>
                  <w:r w:rsidRPr="009C73FA">
                    <w:rPr>
                      <w:i/>
                      <w:iCs/>
                      <w:sz w:val="20"/>
                    </w:rPr>
                    <w:t>q</w:t>
                  </w:r>
                  <w:r w:rsidRPr="009C73FA">
                    <w:rPr>
                      <w:sz w:val="20"/>
                    </w:rPr>
                    <w:t xml:space="preserve"> for ESR MRA </w:t>
                  </w:r>
                  <w:r w:rsidRPr="009C73FA">
                    <w:rPr>
                      <w:i/>
                      <w:iCs/>
                      <w:sz w:val="20"/>
                    </w:rPr>
                    <w:t>r</w:t>
                  </w:r>
                  <w:r w:rsidRPr="009C73FA">
                    <w:rPr>
                      <w:sz w:val="20"/>
                    </w:rPr>
                    <w:t>, for the hour</w:t>
                  </w:r>
                  <w:r w:rsidRPr="009C73FA">
                    <w:rPr>
                      <w:i/>
                      <w:sz w:val="20"/>
                    </w:rPr>
                    <w:t xml:space="preserve"> h</w:t>
                  </w:r>
                  <w:r w:rsidRPr="009C73FA">
                    <w:rPr>
                      <w:sz w:val="20"/>
                    </w:rPr>
                    <w:t>.</w:t>
                  </w:r>
                  <w:r w:rsidRPr="009C73FA">
                    <w:t xml:space="preserve">  </w:t>
                  </w:r>
                </w:p>
              </w:tc>
            </w:tr>
            <w:tr w:rsidR="00AA432B" w:rsidRPr="008431E4" w14:paraId="662F9A69" w14:textId="77777777" w:rsidTr="00CE1011">
              <w:trPr>
                <w:cantSplit/>
              </w:trPr>
              <w:tc>
                <w:tcPr>
                  <w:tcW w:w="1885" w:type="dxa"/>
                </w:tcPr>
                <w:p w14:paraId="0CB9D52D" w14:textId="5D963AE2" w:rsidR="00AA432B" w:rsidRPr="00081671" w:rsidRDefault="00AA432B" w:rsidP="00AA432B">
                  <w:pPr>
                    <w:spacing w:after="60"/>
                    <w:rPr>
                      <w:bCs/>
                      <w:color w:val="000000"/>
                      <w:sz w:val="20"/>
                      <w:lang w:val="pt-BR"/>
                    </w:rPr>
                  </w:pPr>
                  <w:r w:rsidRPr="009C73FA">
                    <w:rPr>
                      <w:sz w:val="20"/>
                    </w:rPr>
                    <w:t>ESRARCOST</w:t>
                  </w:r>
                  <w:r w:rsidRPr="009C73FA">
                    <w:rPr>
                      <w:i/>
                      <w:iCs/>
                    </w:rPr>
                    <w:t xml:space="preserve"> </w:t>
                  </w:r>
                  <w:r w:rsidRPr="009C73FA">
                    <w:rPr>
                      <w:bCs/>
                      <w:i/>
                      <w:iCs/>
                      <w:sz w:val="20"/>
                      <w:vertAlign w:val="subscript"/>
                      <w:lang w:val="pt-BR"/>
                    </w:rPr>
                    <w:t>q, r</w:t>
                  </w:r>
                </w:p>
              </w:tc>
              <w:tc>
                <w:tcPr>
                  <w:tcW w:w="1080" w:type="dxa"/>
                </w:tcPr>
                <w:p w14:paraId="5033C8A2" w14:textId="675DE49D" w:rsidR="00AA432B" w:rsidRPr="001232F6" w:rsidRDefault="00AA432B" w:rsidP="00AA432B">
                  <w:pPr>
                    <w:spacing w:after="60"/>
                    <w:rPr>
                      <w:iCs/>
                      <w:sz w:val="20"/>
                    </w:rPr>
                  </w:pPr>
                  <w:r w:rsidRPr="005E62C6">
                    <w:rPr>
                      <w:sz w:val="20"/>
                    </w:rPr>
                    <w:t>$/MWh</w:t>
                  </w:r>
                </w:p>
              </w:tc>
              <w:tc>
                <w:tcPr>
                  <w:tcW w:w="6300" w:type="dxa"/>
                </w:tcPr>
                <w:p w14:paraId="6DA4CBE9" w14:textId="181851A6" w:rsidR="00AA432B" w:rsidRPr="00081671" w:rsidRDefault="00AA432B" w:rsidP="00AA432B">
                  <w:pPr>
                    <w:spacing w:after="60"/>
                    <w:rPr>
                      <w:i/>
                      <w:iCs/>
                      <w:sz w:val="20"/>
                    </w:rPr>
                  </w:pPr>
                  <w:r w:rsidRPr="009C73FA">
                    <w:rPr>
                      <w:i/>
                      <w:iCs/>
                      <w:sz w:val="20"/>
                    </w:rPr>
                    <w:t>Must-Run Alternative Energy Storage Resource Average Recharge Cost per QSE per Resource</w:t>
                  </w:r>
                  <w:r w:rsidRPr="009C73FA">
                    <w:t>—</w:t>
                  </w:r>
                  <w:r w:rsidRPr="009C73FA">
                    <w:rPr>
                      <w:sz w:val="20"/>
                    </w:rPr>
                    <w:t xml:space="preserve">The average cost to recharge the ESR MRA </w:t>
                  </w:r>
                  <w:r w:rsidRPr="009C73FA">
                    <w:rPr>
                      <w:i/>
                      <w:iCs/>
                      <w:sz w:val="20"/>
                    </w:rPr>
                    <w:t>r</w:t>
                  </w:r>
                  <w:r w:rsidRPr="009C73FA">
                    <w:rPr>
                      <w:sz w:val="20"/>
                    </w:rPr>
                    <w:t xml:space="preserve">, for QSE </w:t>
                  </w:r>
                  <w:r w:rsidRPr="009C73FA">
                    <w:rPr>
                      <w:i/>
                      <w:iCs/>
                      <w:sz w:val="20"/>
                    </w:rPr>
                    <w:t>q</w:t>
                  </w:r>
                  <w:r w:rsidRPr="009C73FA">
                    <w:rPr>
                      <w:sz w:val="20"/>
                    </w:rPr>
                    <w:t>, during the period the ESR is charging to restore its capability to provide the contracted amount of MRA service</w:t>
                  </w:r>
                  <w:r w:rsidRPr="009C73FA">
                    <w:t xml:space="preserve">.  </w:t>
                  </w:r>
                </w:p>
              </w:tc>
            </w:tr>
            <w:tr w:rsidR="00A76C0B" w:rsidRPr="008431E4" w14:paraId="676C5212" w14:textId="77777777" w:rsidTr="00CE1011">
              <w:trPr>
                <w:cantSplit/>
              </w:trPr>
              <w:tc>
                <w:tcPr>
                  <w:tcW w:w="1885" w:type="dxa"/>
                </w:tcPr>
                <w:p w14:paraId="1F7BC514" w14:textId="77777777" w:rsidR="00A76C0B" w:rsidRPr="00081671" w:rsidRDefault="00A76C0B" w:rsidP="00A76C0B">
                  <w:pPr>
                    <w:spacing w:after="60"/>
                    <w:rPr>
                      <w:bCs/>
                      <w:color w:val="000000"/>
                      <w:sz w:val="20"/>
                      <w:lang w:val="pt-BR"/>
                    </w:rPr>
                  </w:pPr>
                  <w:r w:rsidRPr="00081671">
                    <w:rPr>
                      <w:sz w:val="20"/>
                    </w:rPr>
                    <w:t>MRACCAP</w:t>
                  </w:r>
                  <w:r w:rsidRPr="00081671">
                    <w:rPr>
                      <w:sz w:val="20"/>
                      <w:vertAlign w:val="subscript"/>
                    </w:rPr>
                    <w:t xml:space="preserve"> </w:t>
                  </w:r>
                  <w:r w:rsidRPr="00081671">
                    <w:rPr>
                      <w:i/>
                      <w:sz w:val="20"/>
                      <w:vertAlign w:val="subscript"/>
                    </w:rPr>
                    <w:t xml:space="preserve">q, r, </w:t>
                  </w:r>
                  <w:r>
                    <w:rPr>
                      <w:i/>
                      <w:iCs/>
                      <w:sz w:val="20"/>
                      <w:vertAlign w:val="subscript"/>
                    </w:rPr>
                    <w:t>m</w:t>
                  </w:r>
                </w:p>
              </w:tc>
              <w:tc>
                <w:tcPr>
                  <w:tcW w:w="1080" w:type="dxa"/>
                </w:tcPr>
                <w:p w14:paraId="6A44654F" w14:textId="77777777" w:rsidR="00A76C0B" w:rsidRPr="00081671" w:rsidRDefault="00A76C0B" w:rsidP="00A76C0B">
                  <w:pPr>
                    <w:spacing w:after="60"/>
                    <w:rPr>
                      <w:iCs/>
                      <w:sz w:val="20"/>
                    </w:rPr>
                  </w:pPr>
                  <w:r w:rsidRPr="00081671">
                    <w:rPr>
                      <w:iCs/>
                      <w:sz w:val="20"/>
                    </w:rPr>
                    <w:t>MW</w:t>
                  </w:r>
                </w:p>
              </w:tc>
              <w:tc>
                <w:tcPr>
                  <w:tcW w:w="6300" w:type="dxa"/>
                </w:tcPr>
                <w:p w14:paraId="5CEF67C1" w14:textId="77777777" w:rsidR="00A76C0B" w:rsidRPr="00081671" w:rsidRDefault="00A76C0B" w:rsidP="00A76C0B">
                  <w:pPr>
                    <w:spacing w:after="60"/>
                    <w:rPr>
                      <w:i/>
                      <w:iCs/>
                      <w:sz w:val="20"/>
                    </w:rPr>
                  </w:pPr>
                  <w:r w:rsidRPr="00081671">
                    <w:rPr>
                      <w:i/>
                      <w:sz w:val="20"/>
                    </w:rPr>
                    <w:t>Must-Run Alternative Contract Capacity per QSE per Resource</w:t>
                  </w:r>
                  <w:r w:rsidRPr="00081671">
                    <w:rPr>
                      <w:sz w:val="20"/>
                    </w:rPr>
                    <w:t xml:space="preserve">—The capacity of </w:t>
                  </w:r>
                  <w:r>
                    <w:rPr>
                      <w:sz w:val="20"/>
                    </w:rPr>
                    <w:t>MRA</w:t>
                  </w:r>
                  <w:r w:rsidRPr="00081671">
                    <w:rPr>
                      <w:sz w:val="20"/>
                    </w:rPr>
                    <w:t xml:space="preserve"> </w:t>
                  </w:r>
                  <w:r w:rsidRPr="00081671">
                    <w:rPr>
                      <w:i/>
                      <w:sz w:val="20"/>
                    </w:rPr>
                    <w:t>r</w:t>
                  </w:r>
                  <w:r w:rsidRPr="00081671">
                    <w:rPr>
                      <w:sz w:val="20"/>
                    </w:rPr>
                    <w:t xml:space="preserve"> represented by QSE </w:t>
                  </w:r>
                  <w:r w:rsidRPr="00081671">
                    <w:rPr>
                      <w:i/>
                      <w:sz w:val="20"/>
                    </w:rPr>
                    <w:t>q</w:t>
                  </w:r>
                  <w:r w:rsidRPr="00081671">
                    <w:rPr>
                      <w:sz w:val="20"/>
                    </w:rPr>
                    <w:t xml:space="preserve"> as specified in the MRA Agreement, for the month.  Where for a Combined Cycle Train, the Resource </w:t>
                  </w:r>
                  <w:r w:rsidRPr="00081671">
                    <w:rPr>
                      <w:i/>
                      <w:sz w:val="20"/>
                    </w:rPr>
                    <w:t xml:space="preserve">r </w:t>
                  </w:r>
                  <w:r w:rsidRPr="00081671">
                    <w:rPr>
                      <w:sz w:val="20"/>
                    </w:rPr>
                    <w:t>is the Combined Cycle Train.</w:t>
                  </w:r>
                </w:p>
              </w:tc>
            </w:tr>
            <w:tr w:rsidR="00A76C0B" w:rsidRPr="008431E4" w14:paraId="018E4B00" w14:textId="77777777" w:rsidTr="00CE1011">
              <w:trPr>
                <w:cantSplit/>
              </w:trPr>
              <w:tc>
                <w:tcPr>
                  <w:tcW w:w="1885" w:type="dxa"/>
                  <w:shd w:val="clear" w:color="auto" w:fill="auto"/>
                </w:tcPr>
                <w:p w14:paraId="41955927" w14:textId="77777777" w:rsidR="00A76C0B" w:rsidRPr="00081671" w:rsidRDefault="00A76C0B" w:rsidP="00A76C0B">
                  <w:pPr>
                    <w:spacing w:after="60"/>
                    <w:rPr>
                      <w:sz w:val="20"/>
                    </w:rPr>
                  </w:pPr>
                  <w:r w:rsidRPr="00AC38FB">
                    <w:rPr>
                      <w:iCs/>
                      <w:sz w:val="20"/>
                    </w:rPr>
                    <w:t xml:space="preserve">MRAIPF </w:t>
                  </w:r>
                  <w:r w:rsidRPr="008431E4">
                    <w:rPr>
                      <w:bCs/>
                      <w:i/>
                      <w:vertAlign w:val="subscript"/>
                      <w:lang w:val="pt-BR"/>
                    </w:rPr>
                    <w:t>q, r</w:t>
                  </w:r>
                  <w:r>
                    <w:rPr>
                      <w:bCs/>
                      <w:i/>
                      <w:vertAlign w:val="subscript"/>
                      <w:lang w:val="pt-BR"/>
                    </w:rPr>
                    <w:t>, i</w:t>
                  </w:r>
                </w:p>
              </w:tc>
              <w:tc>
                <w:tcPr>
                  <w:tcW w:w="1080" w:type="dxa"/>
                  <w:shd w:val="clear" w:color="auto" w:fill="auto"/>
                </w:tcPr>
                <w:p w14:paraId="1989F421" w14:textId="77777777" w:rsidR="00A76C0B" w:rsidRPr="00081671" w:rsidRDefault="00A76C0B" w:rsidP="00A76C0B">
                  <w:pPr>
                    <w:spacing w:after="60"/>
                    <w:rPr>
                      <w:iCs/>
                      <w:sz w:val="20"/>
                    </w:rPr>
                  </w:pPr>
                  <w:r>
                    <w:rPr>
                      <w:sz w:val="20"/>
                    </w:rPr>
                    <w:t>n</w:t>
                  </w:r>
                  <w:r w:rsidRPr="00AC38FB">
                    <w:rPr>
                      <w:sz w:val="20"/>
                    </w:rPr>
                    <w:t>one</w:t>
                  </w:r>
                </w:p>
              </w:tc>
              <w:tc>
                <w:tcPr>
                  <w:tcW w:w="6300" w:type="dxa"/>
                  <w:shd w:val="clear" w:color="auto" w:fill="auto"/>
                </w:tcPr>
                <w:p w14:paraId="5C6749FD" w14:textId="77777777" w:rsidR="00A76C0B" w:rsidRPr="00081671" w:rsidRDefault="00A76C0B" w:rsidP="00A76C0B">
                  <w:pPr>
                    <w:spacing w:after="60"/>
                    <w:rPr>
                      <w:i/>
                      <w:sz w:val="20"/>
                    </w:rPr>
                  </w:pPr>
                  <w:r w:rsidRPr="00115C83">
                    <w:rPr>
                      <w:i/>
                      <w:iCs/>
                      <w:sz w:val="20"/>
                    </w:rPr>
                    <w:t xml:space="preserve">Must-Run Alternative Interval Performance </w:t>
                  </w:r>
                  <w:r w:rsidRPr="00115C83">
                    <w:rPr>
                      <w:i/>
                      <w:sz w:val="20"/>
                    </w:rPr>
                    <w:t xml:space="preserve">Factor per QSE per Resource </w:t>
                  </w:r>
                  <w:r>
                    <w:rPr>
                      <w:i/>
                      <w:sz w:val="20"/>
                    </w:rPr>
                    <w:t>for the interval</w:t>
                  </w:r>
                  <w:r w:rsidRPr="00FD592D">
                    <w:rPr>
                      <w:sz w:val="20"/>
                    </w:rPr>
                    <w:t>—</w:t>
                  </w:r>
                  <w:r w:rsidRPr="00115C83">
                    <w:rPr>
                      <w:sz w:val="20"/>
                    </w:rPr>
                    <w:t xml:space="preserve"> The </w:t>
                  </w:r>
                  <w:r>
                    <w:rPr>
                      <w:sz w:val="20"/>
                    </w:rPr>
                    <w:t>interval</w:t>
                  </w:r>
                  <w:r w:rsidRPr="00115C83">
                    <w:rPr>
                      <w:sz w:val="20"/>
                    </w:rPr>
                    <w:t xml:space="preserve"> performance </w:t>
                  </w:r>
                  <w:r>
                    <w:rPr>
                      <w:sz w:val="20"/>
                    </w:rPr>
                    <w:t>f</w:t>
                  </w:r>
                  <w:r w:rsidRPr="00115C83">
                    <w:rPr>
                      <w:sz w:val="20"/>
                    </w:rPr>
                    <w:t xml:space="preserve">actor of the </w:t>
                  </w:r>
                  <w:r>
                    <w:rPr>
                      <w:sz w:val="20"/>
                    </w:rPr>
                    <w:t>MRA</w:t>
                  </w:r>
                  <w:r w:rsidRPr="00115C83">
                    <w:rPr>
                      <w:i/>
                      <w:iCs/>
                      <w:sz w:val="20"/>
                    </w:rPr>
                    <w:t xml:space="preserve"> r </w:t>
                  </w:r>
                  <w:r w:rsidRPr="00115C83">
                    <w:rPr>
                      <w:iCs/>
                      <w:sz w:val="20"/>
                    </w:rPr>
                    <w:t xml:space="preserve">represented by QSE </w:t>
                  </w:r>
                  <w:r w:rsidRPr="00D252C1">
                    <w:rPr>
                      <w:i/>
                      <w:iCs/>
                      <w:sz w:val="20"/>
                    </w:rPr>
                    <w:t>q</w:t>
                  </w:r>
                  <w:r w:rsidRPr="00D252C1">
                    <w:rPr>
                      <w:sz w:val="20"/>
                    </w:rPr>
                    <w:t xml:space="preserve">, for </w:t>
                  </w:r>
                  <w:r w:rsidRPr="00081671">
                    <w:rPr>
                      <w:sz w:val="20"/>
                    </w:rPr>
                    <w:t xml:space="preserve">the 15-minute Settlement Interval </w:t>
                  </w:r>
                  <w:r w:rsidRPr="009701A9">
                    <w:rPr>
                      <w:i/>
                      <w:sz w:val="20"/>
                    </w:rPr>
                    <w:t>i</w:t>
                  </w:r>
                  <w:r w:rsidRPr="00D252C1">
                    <w:rPr>
                      <w:sz w:val="20"/>
                    </w:rPr>
                    <w:t xml:space="preserve">.  </w:t>
                  </w:r>
                </w:p>
              </w:tc>
            </w:tr>
            <w:tr w:rsidR="00A76C0B" w:rsidRPr="008431E4" w14:paraId="6553FCBB" w14:textId="77777777" w:rsidTr="00CE1011">
              <w:trPr>
                <w:cantSplit/>
              </w:trPr>
              <w:tc>
                <w:tcPr>
                  <w:tcW w:w="1885" w:type="dxa"/>
                </w:tcPr>
                <w:p w14:paraId="4ADFFB8B" w14:textId="77777777" w:rsidR="00A76C0B" w:rsidRPr="00081671" w:rsidRDefault="00A76C0B" w:rsidP="00A76C0B">
                  <w:pPr>
                    <w:spacing w:after="60"/>
                    <w:rPr>
                      <w:bCs/>
                      <w:color w:val="000000"/>
                      <w:sz w:val="20"/>
                      <w:lang w:val="pt-BR"/>
                    </w:rPr>
                  </w:pPr>
                  <w:r w:rsidRPr="00081671">
                    <w:rPr>
                      <w:bCs/>
                      <w:color w:val="000000"/>
                      <w:sz w:val="20"/>
                      <w:lang w:val="pt-BR"/>
                    </w:rPr>
                    <w:t>MRACVP</w:t>
                  </w:r>
                  <w:r w:rsidRPr="00081671">
                    <w:rPr>
                      <w:bCs/>
                      <w:sz w:val="20"/>
                      <w:lang w:val="pt-BR"/>
                    </w:rPr>
                    <w:t xml:space="preserve"> </w:t>
                  </w:r>
                  <w:r w:rsidRPr="00081671">
                    <w:rPr>
                      <w:bCs/>
                      <w:i/>
                      <w:sz w:val="20"/>
                      <w:vertAlign w:val="subscript"/>
                      <w:lang w:val="pt-BR"/>
                    </w:rPr>
                    <w:t>q, r,h</w:t>
                  </w:r>
                  <w:r w:rsidRPr="00081671">
                    <w:rPr>
                      <w:bCs/>
                      <w:sz w:val="20"/>
                      <w:vertAlign w:val="subscript"/>
                      <w:lang w:val="pt-BR"/>
                    </w:rPr>
                    <w:t xml:space="preserve"> </w:t>
                  </w:r>
                  <w:r w:rsidRPr="00081671">
                    <w:rPr>
                      <w:bCs/>
                      <w:sz w:val="20"/>
                      <w:lang w:val="pt-BR"/>
                    </w:rPr>
                    <w:t xml:space="preserve"> </w:t>
                  </w:r>
                </w:p>
              </w:tc>
              <w:tc>
                <w:tcPr>
                  <w:tcW w:w="1080" w:type="dxa"/>
                </w:tcPr>
                <w:p w14:paraId="0DC1D459" w14:textId="77777777" w:rsidR="00A76C0B" w:rsidRPr="00081671" w:rsidRDefault="00A76C0B" w:rsidP="00A76C0B">
                  <w:pPr>
                    <w:spacing w:after="60"/>
                    <w:rPr>
                      <w:iCs/>
                      <w:sz w:val="20"/>
                    </w:rPr>
                  </w:pPr>
                  <w:r w:rsidRPr="00081671">
                    <w:rPr>
                      <w:iCs/>
                      <w:sz w:val="20"/>
                    </w:rPr>
                    <w:t>$</w:t>
                  </w:r>
                </w:p>
              </w:tc>
              <w:tc>
                <w:tcPr>
                  <w:tcW w:w="6300" w:type="dxa"/>
                </w:tcPr>
                <w:p w14:paraId="5FFC18E5" w14:textId="00FD058D" w:rsidR="00A76C0B" w:rsidRPr="00081671" w:rsidRDefault="00A76C0B" w:rsidP="00A76C0B">
                  <w:pPr>
                    <w:spacing w:after="60"/>
                    <w:rPr>
                      <w:i/>
                      <w:iCs/>
                      <w:sz w:val="20"/>
                    </w:rPr>
                  </w:pPr>
                  <w:r w:rsidRPr="00081671">
                    <w:rPr>
                      <w:i/>
                      <w:iCs/>
                      <w:sz w:val="20"/>
                    </w:rPr>
                    <w:t xml:space="preserve">Must-Run Alternative Calculated Variable Payment per QSE per Resource - </w:t>
                  </w:r>
                  <w:r w:rsidRPr="00081671">
                    <w:rPr>
                      <w:iCs/>
                      <w:sz w:val="20"/>
                    </w:rPr>
                    <w:t xml:space="preserve">The variable payment to QSE </w:t>
                  </w:r>
                  <w:r w:rsidRPr="00081671">
                    <w:rPr>
                      <w:i/>
                      <w:iCs/>
                      <w:sz w:val="20"/>
                    </w:rPr>
                    <w:t>q</w:t>
                  </w:r>
                  <w:r w:rsidRPr="00081671">
                    <w:rPr>
                      <w:iCs/>
                      <w:sz w:val="20"/>
                    </w:rPr>
                    <w:t xml:space="preserve"> for </w:t>
                  </w:r>
                  <w:r>
                    <w:rPr>
                      <w:iCs/>
                      <w:sz w:val="20"/>
                    </w:rPr>
                    <w:t>an Other Generation MRA or Demand Response MRA</w:t>
                  </w:r>
                  <w:r w:rsidRPr="00081671">
                    <w:rPr>
                      <w:iCs/>
                      <w:sz w:val="20"/>
                    </w:rPr>
                    <w:t xml:space="preserve"> </w:t>
                  </w:r>
                  <w:r w:rsidRPr="00081671">
                    <w:rPr>
                      <w:i/>
                      <w:iCs/>
                      <w:sz w:val="20"/>
                    </w:rPr>
                    <w:t>r</w:t>
                  </w:r>
                  <w:r w:rsidRPr="00081671">
                    <w:rPr>
                      <w:iCs/>
                      <w:sz w:val="20"/>
                    </w:rPr>
                    <w:t>, for the hour</w:t>
                  </w:r>
                  <w:r w:rsidR="00AA432B" w:rsidRPr="009C73FA">
                    <w:rPr>
                      <w:i/>
                      <w:sz w:val="20"/>
                    </w:rPr>
                    <w:t xml:space="preserve"> h</w:t>
                  </w:r>
                  <w:r w:rsidRPr="00081671">
                    <w:rPr>
                      <w:iCs/>
                      <w:sz w:val="20"/>
                    </w:rPr>
                    <w:t xml:space="preserve">.  Where for a Combined Cycle Train, the Resource </w:t>
                  </w:r>
                  <w:r w:rsidRPr="00081671">
                    <w:rPr>
                      <w:i/>
                      <w:iCs/>
                      <w:sz w:val="20"/>
                    </w:rPr>
                    <w:t xml:space="preserve">r </w:t>
                  </w:r>
                  <w:r w:rsidRPr="00081671">
                    <w:rPr>
                      <w:iCs/>
                      <w:sz w:val="20"/>
                    </w:rPr>
                    <w:t>is the Combined Cycle Train.</w:t>
                  </w:r>
                </w:p>
              </w:tc>
            </w:tr>
            <w:tr w:rsidR="00A76C0B" w:rsidRPr="008431E4" w14:paraId="20A96FCC" w14:textId="77777777" w:rsidTr="00CE1011">
              <w:trPr>
                <w:cantSplit/>
              </w:trPr>
              <w:tc>
                <w:tcPr>
                  <w:tcW w:w="1885" w:type="dxa"/>
                </w:tcPr>
                <w:p w14:paraId="62136F38" w14:textId="77777777" w:rsidR="00A76C0B" w:rsidRPr="00081671" w:rsidRDefault="00A76C0B" w:rsidP="00A76C0B">
                  <w:pPr>
                    <w:spacing w:after="60"/>
                    <w:rPr>
                      <w:bCs/>
                      <w:color w:val="000000"/>
                      <w:sz w:val="20"/>
                      <w:lang w:val="pt-BR"/>
                    </w:rPr>
                  </w:pPr>
                  <w:r w:rsidRPr="00081671">
                    <w:rPr>
                      <w:sz w:val="20"/>
                    </w:rPr>
                    <w:t xml:space="preserve">VSSVARAMT </w:t>
                  </w:r>
                  <w:r w:rsidRPr="00081671">
                    <w:rPr>
                      <w:i/>
                      <w:sz w:val="20"/>
                      <w:vertAlign w:val="subscript"/>
                    </w:rPr>
                    <w:t>q, r, i</w:t>
                  </w:r>
                </w:p>
              </w:tc>
              <w:tc>
                <w:tcPr>
                  <w:tcW w:w="1080" w:type="dxa"/>
                </w:tcPr>
                <w:p w14:paraId="1E9E96A8" w14:textId="77777777" w:rsidR="00A76C0B" w:rsidRPr="00081671" w:rsidRDefault="00A76C0B" w:rsidP="00A76C0B">
                  <w:pPr>
                    <w:spacing w:after="60"/>
                    <w:rPr>
                      <w:iCs/>
                      <w:sz w:val="20"/>
                    </w:rPr>
                  </w:pPr>
                  <w:r w:rsidRPr="00081671">
                    <w:rPr>
                      <w:iCs/>
                      <w:sz w:val="20"/>
                    </w:rPr>
                    <w:t>$</w:t>
                  </w:r>
                </w:p>
              </w:tc>
              <w:tc>
                <w:tcPr>
                  <w:tcW w:w="6300" w:type="dxa"/>
                </w:tcPr>
                <w:p w14:paraId="4506604E" w14:textId="77777777" w:rsidR="00A76C0B" w:rsidRPr="00081671" w:rsidRDefault="00A76C0B" w:rsidP="00A76C0B">
                  <w:pPr>
                    <w:spacing w:after="60"/>
                    <w:rPr>
                      <w:i/>
                      <w:iCs/>
                      <w:sz w:val="20"/>
                    </w:rPr>
                  </w:pPr>
                  <w:r w:rsidRPr="00081671">
                    <w:rPr>
                      <w:i/>
                      <w:sz w:val="20"/>
                    </w:rPr>
                    <w:t xml:space="preserve">Voltage Support Service VAr Amount per QSE per Generation Resource - </w:t>
                  </w:r>
                  <w:r w:rsidRPr="00081671">
                    <w:rPr>
                      <w:sz w:val="20"/>
                    </w:rPr>
                    <w:t xml:space="preserve">The payment to QSE </w:t>
                  </w:r>
                  <w:r w:rsidRPr="00081671">
                    <w:rPr>
                      <w:i/>
                      <w:sz w:val="20"/>
                    </w:rPr>
                    <w:t>q</w:t>
                  </w:r>
                  <w:r w:rsidRPr="00081671">
                    <w:rPr>
                      <w:sz w:val="20"/>
                    </w:rPr>
                    <w:t xml:space="preserve"> for the VSS provided by Generation Resource</w:t>
                  </w:r>
                  <w:r>
                    <w:rPr>
                      <w:sz w:val="20"/>
                    </w:rPr>
                    <w:t xml:space="preserve"> MRA</w:t>
                  </w:r>
                  <w:r w:rsidRPr="00081671">
                    <w:rPr>
                      <w:sz w:val="20"/>
                    </w:rPr>
                    <w:t xml:space="preserve"> </w:t>
                  </w:r>
                  <w:r w:rsidRPr="00081671">
                    <w:rPr>
                      <w:i/>
                      <w:sz w:val="20"/>
                    </w:rPr>
                    <w:t>r</w:t>
                  </w:r>
                  <w:r w:rsidRPr="00081671">
                    <w:rPr>
                      <w:sz w:val="20"/>
                    </w:rPr>
                    <w:t xml:space="preserve">, for the 15-minute Settlement Interval </w:t>
                  </w:r>
                  <w:r w:rsidRPr="009701A9">
                    <w:rPr>
                      <w:i/>
                      <w:sz w:val="20"/>
                    </w:rPr>
                    <w:t>i</w:t>
                  </w:r>
                  <w:r>
                    <w:rPr>
                      <w:sz w:val="20"/>
                    </w:rPr>
                    <w:t>.</w:t>
                  </w:r>
                  <w:r w:rsidRPr="00081671">
                    <w:rPr>
                      <w:sz w:val="20"/>
                    </w:rPr>
                    <w:t xml:space="preserve"> </w:t>
                  </w:r>
                  <w:r>
                    <w:rPr>
                      <w:sz w:val="20"/>
                    </w:rPr>
                    <w:t xml:space="preserve"> </w:t>
                  </w:r>
                  <w:r w:rsidRPr="00081671">
                    <w:rPr>
                      <w:sz w:val="20"/>
                    </w:rPr>
                    <w:t xml:space="preserve">Where for a combined cycle resource, </w:t>
                  </w:r>
                  <w:r w:rsidRPr="00081671">
                    <w:rPr>
                      <w:i/>
                      <w:sz w:val="20"/>
                    </w:rPr>
                    <w:t>r</w:t>
                  </w:r>
                  <w:r w:rsidRPr="00081671">
                    <w:rPr>
                      <w:sz w:val="20"/>
                    </w:rPr>
                    <w:t xml:space="preserve"> is a Combined Cycle Train.</w:t>
                  </w:r>
                </w:p>
              </w:tc>
            </w:tr>
            <w:tr w:rsidR="00A76C0B" w:rsidRPr="008431E4" w14:paraId="799B312F" w14:textId="77777777" w:rsidTr="00CE1011">
              <w:trPr>
                <w:cantSplit/>
              </w:trPr>
              <w:tc>
                <w:tcPr>
                  <w:tcW w:w="1885" w:type="dxa"/>
                </w:tcPr>
                <w:p w14:paraId="1F32A853" w14:textId="77777777" w:rsidR="00A76C0B" w:rsidRPr="00081671" w:rsidRDefault="00A76C0B" w:rsidP="00A76C0B">
                  <w:pPr>
                    <w:spacing w:after="60"/>
                    <w:rPr>
                      <w:sz w:val="20"/>
                    </w:rPr>
                  </w:pPr>
                  <w:r w:rsidRPr="00081671">
                    <w:rPr>
                      <w:sz w:val="20"/>
                    </w:rPr>
                    <w:t xml:space="preserve">VSSEAMT </w:t>
                  </w:r>
                  <w:r w:rsidRPr="00081671">
                    <w:rPr>
                      <w:i/>
                      <w:sz w:val="20"/>
                      <w:vertAlign w:val="subscript"/>
                    </w:rPr>
                    <w:t>q, r, i</w:t>
                  </w:r>
                </w:p>
              </w:tc>
              <w:tc>
                <w:tcPr>
                  <w:tcW w:w="1080" w:type="dxa"/>
                </w:tcPr>
                <w:p w14:paraId="75702901" w14:textId="77777777" w:rsidR="00A76C0B" w:rsidRPr="00081671" w:rsidRDefault="00A76C0B" w:rsidP="00A76C0B">
                  <w:pPr>
                    <w:spacing w:after="60"/>
                    <w:rPr>
                      <w:iCs/>
                      <w:sz w:val="20"/>
                    </w:rPr>
                  </w:pPr>
                  <w:r w:rsidRPr="00081671">
                    <w:rPr>
                      <w:iCs/>
                      <w:sz w:val="20"/>
                    </w:rPr>
                    <w:t>$</w:t>
                  </w:r>
                </w:p>
              </w:tc>
              <w:tc>
                <w:tcPr>
                  <w:tcW w:w="6300" w:type="dxa"/>
                </w:tcPr>
                <w:p w14:paraId="6AE1F5AF" w14:textId="77777777" w:rsidR="00A76C0B" w:rsidRPr="00081671" w:rsidRDefault="00A76C0B" w:rsidP="00A76C0B">
                  <w:pPr>
                    <w:spacing w:after="60"/>
                    <w:rPr>
                      <w:i/>
                      <w:sz w:val="20"/>
                    </w:rPr>
                  </w:pPr>
                  <w:r w:rsidRPr="00081671">
                    <w:rPr>
                      <w:i/>
                      <w:sz w:val="20"/>
                    </w:rPr>
                    <w:t>Voltage Support Service Energy Amount per QSE per Generation Resource</w:t>
                  </w:r>
                  <w:r w:rsidRPr="00081671">
                    <w:rPr>
                      <w:sz w:val="20"/>
                    </w:rPr>
                    <w:t xml:space="preserve">—The lost opportunity payment to QSE </w:t>
                  </w:r>
                  <w:r w:rsidRPr="00081671">
                    <w:rPr>
                      <w:i/>
                      <w:sz w:val="20"/>
                    </w:rPr>
                    <w:t>q</w:t>
                  </w:r>
                  <w:r w:rsidRPr="00081671">
                    <w:rPr>
                      <w:sz w:val="20"/>
                    </w:rPr>
                    <w:t xml:space="preserve"> for ERCOT-directed VSS from Generation Resource</w:t>
                  </w:r>
                  <w:r>
                    <w:rPr>
                      <w:sz w:val="20"/>
                    </w:rPr>
                    <w:t xml:space="preserve"> MRA</w:t>
                  </w:r>
                  <w:r w:rsidRPr="00081671">
                    <w:rPr>
                      <w:sz w:val="20"/>
                    </w:rPr>
                    <w:t xml:space="preserve"> </w:t>
                  </w:r>
                  <w:r w:rsidRPr="009701A9">
                    <w:rPr>
                      <w:i/>
                      <w:sz w:val="20"/>
                    </w:rPr>
                    <w:t>r</w:t>
                  </w:r>
                  <w:r w:rsidRPr="00081671">
                    <w:rPr>
                      <w:sz w:val="20"/>
                    </w:rPr>
                    <w:t xml:space="preserve"> for the 15-minute Settlement Interval.  Where for a combined cycle resource, </w:t>
                  </w:r>
                  <w:r w:rsidRPr="00081671">
                    <w:rPr>
                      <w:i/>
                      <w:sz w:val="20"/>
                    </w:rPr>
                    <w:t>r</w:t>
                  </w:r>
                  <w:r w:rsidRPr="00081671">
                    <w:rPr>
                      <w:sz w:val="20"/>
                    </w:rPr>
                    <w:t xml:space="preserve"> is a Combined Cycle Train.</w:t>
                  </w:r>
                </w:p>
              </w:tc>
            </w:tr>
            <w:tr w:rsidR="00A76C0B" w:rsidRPr="008431E4" w14:paraId="623C6706" w14:textId="77777777" w:rsidTr="00CE1011">
              <w:trPr>
                <w:cantSplit/>
              </w:trPr>
              <w:tc>
                <w:tcPr>
                  <w:tcW w:w="1885" w:type="dxa"/>
                </w:tcPr>
                <w:p w14:paraId="51BAC698" w14:textId="77777777" w:rsidR="00A76C0B" w:rsidRPr="00081671" w:rsidRDefault="00A76C0B" w:rsidP="00A76C0B">
                  <w:pPr>
                    <w:spacing w:after="60"/>
                    <w:rPr>
                      <w:iCs/>
                      <w:sz w:val="20"/>
                    </w:rPr>
                  </w:pPr>
                  <w:r w:rsidRPr="00081671">
                    <w:rPr>
                      <w:sz w:val="20"/>
                    </w:rPr>
                    <w:t xml:space="preserve">RESREV </w:t>
                  </w:r>
                  <w:r w:rsidRPr="00081671">
                    <w:rPr>
                      <w:i/>
                      <w:sz w:val="20"/>
                      <w:vertAlign w:val="subscript"/>
                    </w:rPr>
                    <w:t>q, r, gsc, p, i</w:t>
                  </w:r>
                </w:p>
              </w:tc>
              <w:tc>
                <w:tcPr>
                  <w:tcW w:w="1080" w:type="dxa"/>
                </w:tcPr>
                <w:p w14:paraId="05618C11" w14:textId="77777777" w:rsidR="00A76C0B" w:rsidRPr="00081671" w:rsidRDefault="00A76C0B" w:rsidP="00A76C0B">
                  <w:pPr>
                    <w:spacing w:after="60"/>
                    <w:rPr>
                      <w:iCs/>
                      <w:sz w:val="20"/>
                    </w:rPr>
                  </w:pPr>
                  <w:r w:rsidRPr="00081671">
                    <w:rPr>
                      <w:iCs/>
                      <w:sz w:val="20"/>
                    </w:rPr>
                    <w:t>$</w:t>
                  </w:r>
                </w:p>
              </w:tc>
              <w:tc>
                <w:tcPr>
                  <w:tcW w:w="6300" w:type="dxa"/>
                </w:tcPr>
                <w:p w14:paraId="0A47094C" w14:textId="77777777" w:rsidR="00A76C0B" w:rsidRPr="00081671" w:rsidRDefault="00A76C0B" w:rsidP="00A76C0B">
                  <w:pPr>
                    <w:spacing w:after="60"/>
                    <w:rPr>
                      <w:i/>
                      <w:iCs/>
                      <w:sz w:val="20"/>
                    </w:rPr>
                  </w:pPr>
                  <w:r w:rsidRPr="00081671">
                    <w:rPr>
                      <w:i/>
                      <w:sz w:val="20"/>
                    </w:rPr>
                    <w:t>Resource Share Revenue Settlement Payment</w:t>
                  </w:r>
                  <w:r w:rsidRPr="00081671">
                    <w:rPr>
                      <w:sz w:val="20"/>
                    </w:rPr>
                    <w:t xml:space="preserve">—The Resource share of the total payment to the entire Facility with a net metering arrangement attributed to </w:t>
                  </w:r>
                  <w:r>
                    <w:rPr>
                      <w:sz w:val="20"/>
                    </w:rPr>
                    <w:t xml:space="preserve">Generation </w:t>
                  </w:r>
                  <w:r w:rsidRPr="00081671">
                    <w:rPr>
                      <w:sz w:val="20"/>
                    </w:rPr>
                    <w:t>Resource</w:t>
                  </w:r>
                  <w:r>
                    <w:rPr>
                      <w:sz w:val="20"/>
                    </w:rPr>
                    <w:t xml:space="preserve"> MRA</w:t>
                  </w:r>
                  <w:r w:rsidRPr="00081671">
                    <w:rPr>
                      <w:sz w:val="20"/>
                    </w:rPr>
                    <w:t xml:space="preserve"> </w:t>
                  </w:r>
                  <w:r w:rsidRPr="00081671">
                    <w:rPr>
                      <w:i/>
                      <w:sz w:val="20"/>
                    </w:rPr>
                    <w:t>r</w:t>
                  </w:r>
                  <w:r w:rsidRPr="00081671">
                    <w:rPr>
                      <w:sz w:val="20"/>
                    </w:rPr>
                    <w:t xml:space="preserve"> that is part of a generation site code </w:t>
                  </w:r>
                  <w:r w:rsidRPr="00081671">
                    <w:rPr>
                      <w:i/>
                      <w:sz w:val="20"/>
                    </w:rPr>
                    <w:t>gsc</w:t>
                  </w:r>
                  <w:r w:rsidRPr="00081671">
                    <w:rPr>
                      <w:sz w:val="20"/>
                    </w:rPr>
                    <w:t xml:space="preserve"> for the QSE </w:t>
                  </w:r>
                  <w:r w:rsidRPr="00081671">
                    <w:rPr>
                      <w:i/>
                      <w:sz w:val="20"/>
                    </w:rPr>
                    <w:t>q</w:t>
                  </w:r>
                  <w:r w:rsidRPr="00081671">
                    <w:rPr>
                      <w:sz w:val="20"/>
                    </w:rPr>
                    <w:t xml:space="preserve"> at Settlement Point </w:t>
                  </w:r>
                  <w:r w:rsidRPr="00081671">
                    <w:rPr>
                      <w:i/>
                      <w:sz w:val="20"/>
                    </w:rPr>
                    <w:t>p</w:t>
                  </w:r>
                  <w:r w:rsidRPr="00081671">
                    <w:rPr>
                      <w:sz w:val="20"/>
                    </w:rPr>
                    <w:t xml:space="preserve">, for the 15-minute Settlement Interval </w:t>
                  </w:r>
                  <w:r w:rsidRPr="009701A9">
                    <w:rPr>
                      <w:i/>
                      <w:sz w:val="20"/>
                    </w:rPr>
                    <w:t>i</w:t>
                  </w:r>
                  <w:r w:rsidRPr="00081671">
                    <w:rPr>
                      <w:sz w:val="20"/>
                    </w:rPr>
                    <w:t>.</w:t>
                  </w:r>
                </w:p>
              </w:tc>
            </w:tr>
            <w:tr w:rsidR="00A76C0B" w:rsidRPr="008431E4" w14:paraId="02232A89" w14:textId="77777777" w:rsidTr="00CE1011">
              <w:trPr>
                <w:cantSplit/>
              </w:trPr>
              <w:tc>
                <w:tcPr>
                  <w:tcW w:w="1885" w:type="dxa"/>
                </w:tcPr>
                <w:p w14:paraId="424936C8" w14:textId="77777777" w:rsidR="00A76C0B" w:rsidRPr="00081671" w:rsidRDefault="00A76C0B" w:rsidP="00A76C0B">
                  <w:pPr>
                    <w:spacing w:after="60"/>
                    <w:rPr>
                      <w:sz w:val="20"/>
                    </w:rPr>
                  </w:pPr>
                  <w:r w:rsidRPr="00081671">
                    <w:rPr>
                      <w:sz w:val="20"/>
                    </w:rPr>
                    <w:lastRenderedPageBreak/>
                    <w:t>EMREAMT</w:t>
                  </w:r>
                  <w:r w:rsidRPr="00081671">
                    <w:rPr>
                      <w:sz w:val="20"/>
                      <w:lang w:val="pt-BR"/>
                    </w:rPr>
                    <w:t xml:space="preserve"> </w:t>
                  </w:r>
                  <w:r w:rsidRPr="00081671">
                    <w:rPr>
                      <w:i/>
                      <w:sz w:val="20"/>
                      <w:vertAlign w:val="subscript"/>
                      <w:lang w:val="pt-BR"/>
                    </w:rPr>
                    <w:t>q, r, p, i</w:t>
                  </w:r>
                </w:p>
              </w:tc>
              <w:tc>
                <w:tcPr>
                  <w:tcW w:w="1080" w:type="dxa"/>
                </w:tcPr>
                <w:p w14:paraId="0DC77C30" w14:textId="77777777" w:rsidR="00A76C0B" w:rsidRPr="00081671" w:rsidRDefault="00A76C0B" w:rsidP="00A76C0B">
                  <w:pPr>
                    <w:spacing w:after="60"/>
                    <w:rPr>
                      <w:iCs/>
                      <w:sz w:val="20"/>
                    </w:rPr>
                  </w:pPr>
                  <w:r w:rsidRPr="00081671">
                    <w:rPr>
                      <w:iCs/>
                      <w:sz w:val="20"/>
                    </w:rPr>
                    <w:t>$</w:t>
                  </w:r>
                </w:p>
              </w:tc>
              <w:tc>
                <w:tcPr>
                  <w:tcW w:w="6300" w:type="dxa"/>
                </w:tcPr>
                <w:p w14:paraId="38F3F5A2" w14:textId="21D5861C" w:rsidR="00A76C0B" w:rsidRPr="00081671" w:rsidRDefault="00A76C0B" w:rsidP="001754D0">
                  <w:pPr>
                    <w:spacing w:after="60"/>
                    <w:rPr>
                      <w:i/>
                      <w:sz w:val="20"/>
                    </w:rPr>
                  </w:pPr>
                  <w:r w:rsidRPr="00081671">
                    <w:rPr>
                      <w:i/>
                      <w:sz w:val="20"/>
                    </w:rPr>
                    <w:t>Emergency Energy Amount per QSE per Settlement Point per unit per interval—</w:t>
                  </w:r>
                  <w:r w:rsidRPr="00081671">
                    <w:rPr>
                      <w:sz w:val="20"/>
                    </w:rPr>
                    <w:t xml:space="preserve">The payment to QSE </w:t>
                  </w:r>
                  <w:r w:rsidRPr="009701A9">
                    <w:rPr>
                      <w:i/>
                      <w:sz w:val="20"/>
                    </w:rPr>
                    <w:t>q</w:t>
                  </w:r>
                  <w:r w:rsidRPr="00081671">
                    <w:rPr>
                      <w:sz w:val="20"/>
                    </w:rPr>
                    <w:t xml:space="preserve"> </w:t>
                  </w:r>
                  <w:r w:rsidR="00537026">
                    <w:rPr>
                      <w:sz w:val="20"/>
                    </w:rPr>
                    <w:t xml:space="preserve">as additional compensation </w:t>
                  </w:r>
                  <w:r w:rsidRPr="00081671">
                    <w:rPr>
                      <w:sz w:val="20"/>
                    </w:rPr>
                    <w:t xml:space="preserve">for the additional energy </w:t>
                  </w:r>
                  <w:r w:rsidR="00537026">
                    <w:rPr>
                      <w:sz w:val="20"/>
                    </w:rPr>
                    <w:t xml:space="preserve">or Ancillary Services </w:t>
                  </w:r>
                  <w:r w:rsidRPr="00081671">
                    <w:rPr>
                      <w:sz w:val="20"/>
                    </w:rPr>
                    <w:t xml:space="preserve">produced </w:t>
                  </w:r>
                  <w:r w:rsidR="001754D0">
                    <w:rPr>
                      <w:sz w:val="20"/>
                    </w:rPr>
                    <w:t xml:space="preserve">or consumed </w:t>
                  </w:r>
                  <w:r w:rsidRPr="00081671">
                    <w:rPr>
                      <w:sz w:val="20"/>
                    </w:rPr>
                    <w:t xml:space="preserve">by </w:t>
                  </w:r>
                  <w:r>
                    <w:rPr>
                      <w:sz w:val="20"/>
                    </w:rPr>
                    <w:t>Resource MRA</w:t>
                  </w:r>
                  <w:r w:rsidRPr="00081671">
                    <w:rPr>
                      <w:sz w:val="20"/>
                    </w:rPr>
                    <w:t xml:space="preserve"> </w:t>
                  </w:r>
                  <w:r w:rsidRPr="009701A9">
                    <w:rPr>
                      <w:i/>
                      <w:sz w:val="20"/>
                    </w:rPr>
                    <w:t>r</w:t>
                  </w:r>
                  <w:r w:rsidRPr="00081671">
                    <w:rPr>
                      <w:sz w:val="20"/>
                    </w:rPr>
                    <w:t xml:space="preserve"> at Resource Node </w:t>
                  </w:r>
                  <w:r w:rsidRPr="009701A9">
                    <w:rPr>
                      <w:i/>
                      <w:sz w:val="20"/>
                    </w:rPr>
                    <w:t>p</w:t>
                  </w:r>
                  <w:r w:rsidRPr="00081671">
                    <w:rPr>
                      <w:sz w:val="20"/>
                    </w:rPr>
                    <w:t xml:space="preserve"> in Real-Time during the Emergency Condition, for the 15-minute Settlement Interval </w:t>
                  </w:r>
                  <w:r w:rsidRPr="009701A9">
                    <w:rPr>
                      <w:i/>
                      <w:sz w:val="20"/>
                    </w:rPr>
                    <w:t>i</w:t>
                  </w:r>
                  <w:r w:rsidRPr="00081671">
                    <w:rPr>
                      <w:sz w:val="20"/>
                    </w:rPr>
                    <w:t>.  Payment for emergency energy is made to the Combined Cycle Train.</w:t>
                  </w:r>
                </w:p>
              </w:tc>
            </w:tr>
            <w:tr w:rsidR="00A76C0B" w:rsidRPr="008431E4" w14:paraId="39C6C50A" w14:textId="77777777" w:rsidTr="00CE1011">
              <w:trPr>
                <w:cantSplit/>
              </w:trPr>
              <w:tc>
                <w:tcPr>
                  <w:tcW w:w="1885" w:type="dxa"/>
                </w:tcPr>
                <w:p w14:paraId="1A2385B7" w14:textId="77777777" w:rsidR="00A76C0B" w:rsidRPr="00081671" w:rsidRDefault="00A76C0B" w:rsidP="00A76C0B">
                  <w:pPr>
                    <w:spacing w:after="60"/>
                    <w:rPr>
                      <w:bCs/>
                      <w:sz w:val="20"/>
                      <w:lang w:val="pt-BR"/>
                    </w:rPr>
                  </w:pPr>
                  <w:r w:rsidRPr="00081671">
                    <w:rPr>
                      <w:bCs/>
                      <w:sz w:val="20"/>
                      <w:lang w:val="pt-BR"/>
                    </w:rPr>
                    <w:t>VPRICE</w:t>
                  </w:r>
                  <w:r w:rsidRPr="00081671">
                    <w:rPr>
                      <w:i/>
                      <w:iCs/>
                      <w:sz w:val="20"/>
                      <w:vertAlign w:val="subscript"/>
                    </w:rPr>
                    <w:t xml:space="preserve"> q, r</w:t>
                  </w:r>
                </w:p>
              </w:tc>
              <w:tc>
                <w:tcPr>
                  <w:tcW w:w="1080" w:type="dxa"/>
                </w:tcPr>
                <w:p w14:paraId="5FCD7CF2" w14:textId="77777777" w:rsidR="00A76C0B" w:rsidRPr="00081671" w:rsidRDefault="00A76C0B" w:rsidP="00A76C0B">
                  <w:pPr>
                    <w:spacing w:after="60"/>
                    <w:rPr>
                      <w:iCs/>
                      <w:sz w:val="20"/>
                    </w:rPr>
                  </w:pPr>
                  <w:r w:rsidRPr="00081671">
                    <w:rPr>
                      <w:iCs/>
                      <w:sz w:val="20"/>
                    </w:rPr>
                    <w:t>$/MWh</w:t>
                  </w:r>
                </w:p>
              </w:tc>
              <w:tc>
                <w:tcPr>
                  <w:tcW w:w="6300" w:type="dxa"/>
                </w:tcPr>
                <w:p w14:paraId="693F3AFC" w14:textId="77777777" w:rsidR="00A76C0B" w:rsidRPr="00081671" w:rsidRDefault="00A76C0B" w:rsidP="00A76C0B">
                  <w:pPr>
                    <w:spacing w:after="60"/>
                    <w:rPr>
                      <w:i/>
                      <w:iCs/>
                      <w:sz w:val="20"/>
                    </w:rPr>
                  </w:pPr>
                  <w:r w:rsidRPr="00081671">
                    <w:rPr>
                      <w:i/>
                      <w:iCs/>
                      <w:sz w:val="20"/>
                    </w:rPr>
                    <w:t>Must-Run Alternative Variable Price per QSE per Resource</w:t>
                  </w:r>
                  <w:r w:rsidRPr="00081671">
                    <w:rPr>
                      <w:iCs/>
                      <w:sz w:val="20"/>
                    </w:rPr>
                    <w:t xml:space="preserve">—The variable price for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as specified in the MRA Agreement.  Where for a Combined Cycle Train, the Resource </w:t>
                  </w:r>
                  <w:r w:rsidRPr="00081671">
                    <w:rPr>
                      <w:i/>
                      <w:iCs/>
                      <w:sz w:val="20"/>
                    </w:rPr>
                    <w:t xml:space="preserve">r </w:t>
                  </w:r>
                  <w:r w:rsidRPr="00081671">
                    <w:rPr>
                      <w:iCs/>
                      <w:sz w:val="20"/>
                    </w:rPr>
                    <w:t>is the Combined Cycle Train.</w:t>
                  </w:r>
                </w:p>
              </w:tc>
            </w:tr>
            <w:tr w:rsidR="00A76C0B" w:rsidRPr="008431E4" w14:paraId="1D8D752A" w14:textId="77777777" w:rsidTr="00CE1011">
              <w:trPr>
                <w:cantSplit/>
              </w:trPr>
              <w:tc>
                <w:tcPr>
                  <w:tcW w:w="1885" w:type="dxa"/>
                </w:tcPr>
                <w:p w14:paraId="1981F544" w14:textId="77777777" w:rsidR="00A76C0B" w:rsidRPr="00081671" w:rsidRDefault="00A76C0B" w:rsidP="00A76C0B">
                  <w:pPr>
                    <w:spacing w:after="60"/>
                    <w:rPr>
                      <w:iCs/>
                      <w:sz w:val="20"/>
                    </w:rPr>
                  </w:pPr>
                  <w:r w:rsidRPr="00081671">
                    <w:rPr>
                      <w:iCs/>
                      <w:sz w:val="20"/>
                    </w:rPr>
                    <w:t xml:space="preserve">MRAPHR </w:t>
                  </w:r>
                  <w:r w:rsidRPr="00081671">
                    <w:rPr>
                      <w:i/>
                      <w:iCs/>
                      <w:sz w:val="20"/>
                      <w:vertAlign w:val="subscript"/>
                    </w:rPr>
                    <w:t>q, r</w:t>
                  </w:r>
                </w:p>
              </w:tc>
              <w:tc>
                <w:tcPr>
                  <w:tcW w:w="1080" w:type="dxa"/>
                </w:tcPr>
                <w:p w14:paraId="29AAE302" w14:textId="77777777" w:rsidR="00A76C0B" w:rsidRPr="00081671" w:rsidRDefault="00A76C0B" w:rsidP="00A76C0B">
                  <w:pPr>
                    <w:spacing w:after="60"/>
                    <w:rPr>
                      <w:iCs/>
                      <w:sz w:val="20"/>
                    </w:rPr>
                  </w:pPr>
                  <w:r w:rsidRPr="00081671">
                    <w:rPr>
                      <w:iCs/>
                      <w:sz w:val="20"/>
                    </w:rPr>
                    <w:t>MMBtu /MWh</w:t>
                  </w:r>
                </w:p>
              </w:tc>
              <w:tc>
                <w:tcPr>
                  <w:tcW w:w="6300" w:type="dxa"/>
                </w:tcPr>
                <w:p w14:paraId="1BD38B23" w14:textId="77777777" w:rsidR="00A76C0B" w:rsidRPr="00081671" w:rsidRDefault="00A76C0B" w:rsidP="00A76C0B">
                  <w:pPr>
                    <w:spacing w:after="60"/>
                    <w:rPr>
                      <w:i/>
                      <w:iCs/>
                      <w:sz w:val="20"/>
                    </w:rPr>
                  </w:pPr>
                  <w:r w:rsidRPr="00081671">
                    <w:rPr>
                      <w:i/>
                      <w:iCs/>
                      <w:sz w:val="20"/>
                    </w:rPr>
                    <w:t xml:space="preserve">Must-Run Alternative Proxy Heat Rate per QSE per Resource – A proxy heat rate value for </w:t>
                  </w:r>
                  <w:r>
                    <w:rPr>
                      <w:iCs/>
                      <w:sz w:val="20"/>
                    </w:rPr>
                    <w:t>MRA</w:t>
                  </w:r>
                  <w:r w:rsidRPr="00081671">
                    <w:rPr>
                      <w:iCs/>
                      <w:sz w:val="20"/>
                    </w:rPr>
                    <w:t xml:space="preserve"> </w:t>
                  </w:r>
                  <w:r w:rsidRPr="00081671">
                    <w:rPr>
                      <w:i/>
                      <w:iCs/>
                      <w:sz w:val="20"/>
                    </w:rPr>
                    <w:t>r</w:t>
                  </w:r>
                  <w:r w:rsidRPr="00081671">
                    <w:rPr>
                      <w:iCs/>
                      <w:sz w:val="20"/>
                    </w:rPr>
                    <w:t xml:space="preserve"> represented by QSE </w:t>
                  </w:r>
                  <w:r w:rsidRPr="00081671">
                    <w:rPr>
                      <w:i/>
                      <w:iCs/>
                      <w:sz w:val="20"/>
                    </w:rPr>
                    <w:t xml:space="preserve">q, as </w:t>
                  </w:r>
                  <w:r w:rsidRPr="00081671">
                    <w:rPr>
                      <w:iCs/>
                      <w:sz w:val="20"/>
                    </w:rPr>
                    <w:t xml:space="preserve">specified in the MRA Agreement.  Where for a Combined Cycle Train, the Resource </w:t>
                  </w:r>
                  <w:r w:rsidRPr="00081671">
                    <w:rPr>
                      <w:i/>
                      <w:iCs/>
                      <w:sz w:val="20"/>
                    </w:rPr>
                    <w:t xml:space="preserve">r </w:t>
                  </w:r>
                  <w:r w:rsidRPr="00081671">
                    <w:rPr>
                      <w:iCs/>
                      <w:sz w:val="20"/>
                    </w:rPr>
                    <w:t>is the Combined Cycle Train.</w:t>
                  </w:r>
                </w:p>
              </w:tc>
            </w:tr>
            <w:tr w:rsidR="00A76C0B" w:rsidRPr="008431E4" w14:paraId="5F450542" w14:textId="77777777" w:rsidTr="00CE1011">
              <w:trPr>
                <w:cantSplit/>
              </w:trPr>
              <w:tc>
                <w:tcPr>
                  <w:tcW w:w="1885" w:type="dxa"/>
                </w:tcPr>
                <w:p w14:paraId="56D48F9E" w14:textId="77777777" w:rsidR="00A76C0B" w:rsidRPr="00081671" w:rsidRDefault="00A76C0B" w:rsidP="00A76C0B">
                  <w:pPr>
                    <w:spacing w:after="60"/>
                    <w:rPr>
                      <w:bCs/>
                      <w:color w:val="000000"/>
                      <w:sz w:val="20"/>
                      <w:lang w:val="pt-BR"/>
                    </w:rPr>
                  </w:pPr>
                  <w:r w:rsidRPr="00081671">
                    <w:rPr>
                      <w:bCs/>
                      <w:color w:val="000000"/>
                      <w:sz w:val="20"/>
                      <w:lang w:val="pt-BR"/>
                    </w:rPr>
                    <w:t>MRACRTREV</w:t>
                  </w:r>
                  <w:r w:rsidRPr="00081671">
                    <w:rPr>
                      <w:bCs/>
                      <w:sz w:val="20"/>
                      <w:lang w:val="pt-BR"/>
                    </w:rPr>
                    <w:t xml:space="preserve"> </w:t>
                  </w:r>
                  <w:r w:rsidRPr="00081671">
                    <w:rPr>
                      <w:bCs/>
                      <w:i/>
                      <w:sz w:val="20"/>
                      <w:vertAlign w:val="subscript"/>
                      <w:lang w:val="pt-BR"/>
                    </w:rPr>
                    <w:t>q</w:t>
                  </w:r>
                  <w:r w:rsidRPr="005A6FD5">
                    <w:rPr>
                      <w:bCs/>
                      <w:i/>
                      <w:sz w:val="20"/>
                      <w:vertAlign w:val="subscript"/>
                      <w:lang w:val="pt-BR"/>
                    </w:rPr>
                    <w:t>, r, h</w:t>
                  </w:r>
                </w:p>
              </w:tc>
              <w:tc>
                <w:tcPr>
                  <w:tcW w:w="1080" w:type="dxa"/>
                </w:tcPr>
                <w:p w14:paraId="3396858D" w14:textId="77777777" w:rsidR="00A76C0B" w:rsidRPr="00081671" w:rsidRDefault="00A76C0B" w:rsidP="00A76C0B">
                  <w:pPr>
                    <w:spacing w:after="60"/>
                    <w:rPr>
                      <w:iCs/>
                      <w:sz w:val="20"/>
                    </w:rPr>
                  </w:pPr>
                  <w:r w:rsidRPr="00081671">
                    <w:rPr>
                      <w:iCs/>
                      <w:sz w:val="20"/>
                    </w:rPr>
                    <w:t>$</w:t>
                  </w:r>
                </w:p>
              </w:tc>
              <w:tc>
                <w:tcPr>
                  <w:tcW w:w="6300" w:type="dxa"/>
                </w:tcPr>
                <w:p w14:paraId="308E544E" w14:textId="77777777" w:rsidR="00A76C0B" w:rsidRPr="00081671" w:rsidRDefault="00A76C0B" w:rsidP="00A76C0B">
                  <w:pPr>
                    <w:spacing w:after="60"/>
                    <w:rPr>
                      <w:i/>
                      <w:iCs/>
                      <w:sz w:val="20"/>
                    </w:rPr>
                  </w:pPr>
                  <w:r w:rsidRPr="00081671">
                    <w:rPr>
                      <w:i/>
                      <w:iCs/>
                      <w:sz w:val="20"/>
                    </w:rPr>
                    <w:t xml:space="preserve">Must-Run Alternative Calculated Real-Time Revenues per QSE per Resource </w:t>
                  </w:r>
                  <w:r w:rsidRPr="00081671">
                    <w:rPr>
                      <w:iCs/>
                      <w:sz w:val="20"/>
                    </w:rPr>
                    <w:t xml:space="preserve">—The calculated variable revenue to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for the hour.</w:t>
                  </w:r>
                </w:p>
              </w:tc>
            </w:tr>
            <w:tr w:rsidR="00A76C0B" w:rsidRPr="008431E4" w14:paraId="2FCA9F45" w14:textId="77777777" w:rsidTr="00CE1011">
              <w:trPr>
                <w:cantSplit/>
              </w:trPr>
              <w:tc>
                <w:tcPr>
                  <w:tcW w:w="1885" w:type="dxa"/>
                </w:tcPr>
                <w:p w14:paraId="75E79568" w14:textId="77777777" w:rsidR="00A76C0B" w:rsidRPr="00081671" w:rsidRDefault="00A76C0B" w:rsidP="00A76C0B">
                  <w:pPr>
                    <w:spacing w:after="60"/>
                    <w:rPr>
                      <w:iCs/>
                      <w:sz w:val="20"/>
                    </w:rPr>
                  </w:pPr>
                  <w:r w:rsidRPr="00081671">
                    <w:rPr>
                      <w:iCs/>
                      <w:sz w:val="20"/>
                    </w:rPr>
                    <w:t xml:space="preserve">RTVQ </w:t>
                  </w:r>
                  <w:r w:rsidRPr="00081671">
                    <w:rPr>
                      <w:i/>
                      <w:iCs/>
                      <w:sz w:val="20"/>
                      <w:vertAlign w:val="subscript"/>
                    </w:rPr>
                    <w:t>q, r, i,</w:t>
                  </w:r>
                </w:p>
              </w:tc>
              <w:tc>
                <w:tcPr>
                  <w:tcW w:w="1080" w:type="dxa"/>
                </w:tcPr>
                <w:p w14:paraId="505BAE37" w14:textId="77777777" w:rsidR="00A76C0B" w:rsidRPr="00081671" w:rsidRDefault="00A76C0B" w:rsidP="00A76C0B">
                  <w:pPr>
                    <w:spacing w:after="60"/>
                    <w:rPr>
                      <w:iCs/>
                      <w:sz w:val="20"/>
                    </w:rPr>
                  </w:pPr>
                  <w:r w:rsidRPr="00081671">
                    <w:rPr>
                      <w:iCs/>
                      <w:sz w:val="20"/>
                    </w:rPr>
                    <w:t>MWh</w:t>
                  </w:r>
                </w:p>
              </w:tc>
              <w:tc>
                <w:tcPr>
                  <w:tcW w:w="6300" w:type="dxa"/>
                </w:tcPr>
                <w:p w14:paraId="6837627F" w14:textId="77777777" w:rsidR="00A76C0B" w:rsidRPr="00081671" w:rsidRDefault="00A76C0B" w:rsidP="00A76C0B">
                  <w:pPr>
                    <w:spacing w:after="60"/>
                    <w:rPr>
                      <w:i/>
                      <w:iCs/>
                      <w:sz w:val="20"/>
                    </w:rPr>
                  </w:pPr>
                  <w:r w:rsidRPr="00081671">
                    <w:rPr>
                      <w:i/>
                      <w:iCs/>
                      <w:sz w:val="20"/>
                    </w:rPr>
                    <w:t xml:space="preserve">Real-Time Variable Quantity per QSE per Resource by Settlement Interval </w:t>
                  </w:r>
                  <w:r w:rsidRPr="00081671">
                    <w:rPr>
                      <w:iCs/>
                      <w:sz w:val="20"/>
                    </w:rPr>
                    <w:t xml:space="preserve">— The Real-Time variable quantity for </w:t>
                  </w:r>
                  <w:r>
                    <w:rPr>
                      <w:iCs/>
                      <w:sz w:val="20"/>
                    </w:rPr>
                    <w:t>MRA</w:t>
                  </w:r>
                  <w:r w:rsidRPr="00081671">
                    <w:rPr>
                      <w:i/>
                      <w:iCs/>
                      <w:sz w:val="20"/>
                    </w:rPr>
                    <w:t xml:space="preserve"> r</w:t>
                  </w:r>
                  <w:r w:rsidRPr="00081671">
                    <w:rPr>
                      <w:iCs/>
                      <w:sz w:val="20"/>
                    </w:rPr>
                    <w:t xml:space="preserve"> represented by QSE </w:t>
                  </w:r>
                  <w:r w:rsidRPr="00081671">
                    <w:rPr>
                      <w:i/>
                      <w:iCs/>
                      <w:sz w:val="20"/>
                    </w:rPr>
                    <w:t>q</w:t>
                  </w:r>
                  <w:r w:rsidRPr="00081671">
                    <w:rPr>
                      <w:iCs/>
                      <w:sz w:val="20"/>
                    </w:rPr>
                    <w:t xml:space="preserve">, for the 15-minute Settlement Interval </w:t>
                  </w:r>
                  <w:r w:rsidRPr="00081671">
                    <w:rPr>
                      <w:i/>
                      <w:iCs/>
                      <w:sz w:val="20"/>
                    </w:rPr>
                    <w:t>i</w:t>
                  </w:r>
                  <w:r w:rsidRPr="00081671">
                    <w:rPr>
                      <w:iCs/>
                      <w:sz w:val="20"/>
                    </w:rPr>
                    <w:t xml:space="preserve">. </w:t>
                  </w:r>
                </w:p>
              </w:tc>
            </w:tr>
            <w:tr w:rsidR="00A76C0B" w:rsidRPr="008431E4" w14:paraId="3AB15A99" w14:textId="77777777" w:rsidTr="00CE1011">
              <w:trPr>
                <w:cantSplit/>
              </w:trPr>
              <w:tc>
                <w:tcPr>
                  <w:tcW w:w="1885" w:type="dxa"/>
                </w:tcPr>
                <w:p w14:paraId="0B4CDA95" w14:textId="77777777" w:rsidR="00A76C0B" w:rsidRPr="00081671" w:rsidRDefault="00A76C0B" w:rsidP="00A76C0B">
                  <w:pPr>
                    <w:spacing w:after="60"/>
                    <w:rPr>
                      <w:iCs/>
                      <w:sz w:val="20"/>
                    </w:rPr>
                  </w:pPr>
                  <w:r w:rsidRPr="00081671">
                    <w:rPr>
                      <w:color w:val="000000"/>
                      <w:sz w:val="20"/>
                    </w:rPr>
                    <w:t xml:space="preserve">RTMG </w:t>
                  </w:r>
                  <w:r w:rsidRPr="00081671">
                    <w:rPr>
                      <w:i/>
                      <w:color w:val="000000"/>
                      <w:sz w:val="20"/>
                      <w:vertAlign w:val="subscript"/>
                    </w:rPr>
                    <w:t>q, r, p, i</w:t>
                  </w:r>
                </w:p>
              </w:tc>
              <w:tc>
                <w:tcPr>
                  <w:tcW w:w="1080" w:type="dxa"/>
                </w:tcPr>
                <w:p w14:paraId="1E6A48AB" w14:textId="77777777" w:rsidR="00A76C0B" w:rsidRPr="00081671" w:rsidRDefault="00A76C0B" w:rsidP="00A76C0B">
                  <w:pPr>
                    <w:spacing w:after="60"/>
                    <w:rPr>
                      <w:iCs/>
                      <w:sz w:val="20"/>
                    </w:rPr>
                  </w:pPr>
                  <w:r w:rsidRPr="00081671">
                    <w:rPr>
                      <w:iCs/>
                      <w:sz w:val="20"/>
                    </w:rPr>
                    <w:t>MWh</w:t>
                  </w:r>
                </w:p>
              </w:tc>
              <w:tc>
                <w:tcPr>
                  <w:tcW w:w="6300" w:type="dxa"/>
                </w:tcPr>
                <w:p w14:paraId="6E7286FC" w14:textId="77777777" w:rsidR="00A76C0B" w:rsidRPr="00081671" w:rsidRDefault="00A76C0B" w:rsidP="00A76C0B">
                  <w:pPr>
                    <w:spacing w:after="60"/>
                    <w:rPr>
                      <w:i/>
                      <w:iCs/>
                      <w:sz w:val="20"/>
                    </w:rPr>
                  </w:pPr>
                  <w:r w:rsidRPr="00081671">
                    <w:rPr>
                      <w:i/>
                      <w:color w:val="000000"/>
                      <w:sz w:val="20"/>
                    </w:rPr>
                    <w:t>Real-Time Metered Generation per QSE per Settlement Point per Generation Resource</w:t>
                  </w:r>
                  <w:r>
                    <w:rPr>
                      <w:color w:val="000000"/>
                      <w:sz w:val="20"/>
                    </w:rPr>
                    <w:t>—The metered generation</w:t>
                  </w:r>
                  <w:r w:rsidRPr="00081671">
                    <w:rPr>
                      <w:color w:val="000000"/>
                      <w:sz w:val="20"/>
                    </w:rPr>
                    <w:t xml:space="preserve"> of Resource </w:t>
                  </w:r>
                  <w:r w:rsidRPr="00081671">
                    <w:rPr>
                      <w:i/>
                      <w:color w:val="000000"/>
                      <w:sz w:val="20"/>
                    </w:rPr>
                    <w:t>r</w:t>
                  </w:r>
                  <w:r w:rsidRPr="00081671">
                    <w:rPr>
                      <w:color w:val="000000"/>
                      <w:sz w:val="20"/>
                    </w:rPr>
                    <w:t xml:space="preserve"> at Resource Node </w:t>
                  </w:r>
                  <w:r w:rsidRPr="00081671">
                    <w:rPr>
                      <w:i/>
                      <w:color w:val="000000"/>
                      <w:sz w:val="20"/>
                    </w:rPr>
                    <w:t>p</w:t>
                  </w:r>
                  <w:r w:rsidRPr="00081671">
                    <w:rPr>
                      <w:color w:val="000000"/>
                      <w:sz w:val="20"/>
                    </w:rPr>
                    <w:t xml:space="preserve"> represented by QSE </w:t>
                  </w:r>
                  <w:r w:rsidRPr="00081671">
                    <w:rPr>
                      <w:i/>
                      <w:color w:val="000000"/>
                      <w:sz w:val="20"/>
                    </w:rPr>
                    <w:t>q</w:t>
                  </w:r>
                  <w:r w:rsidRPr="00081671">
                    <w:rPr>
                      <w:color w:val="000000"/>
                      <w:sz w:val="20"/>
                    </w:rPr>
                    <w:t xml:space="preserve"> in Real-Time for the 15-minute Settlement Interval</w:t>
                  </w:r>
                  <w:r>
                    <w:rPr>
                      <w:color w:val="000000"/>
                      <w:sz w:val="20"/>
                    </w:rPr>
                    <w:t xml:space="preserve"> </w:t>
                  </w:r>
                  <w:r w:rsidRPr="00330317">
                    <w:rPr>
                      <w:i/>
                      <w:color w:val="000000"/>
                      <w:sz w:val="20"/>
                    </w:rPr>
                    <w:t>i</w:t>
                  </w:r>
                  <w:r w:rsidRPr="00081671">
                    <w:rPr>
                      <w:color w:val="000000"/>
                      <w:sz w:val="20"/>
                    </w:rPr>
                    <w:t xml:space="preserve">.  Where for a Combined Cycle Train, the Resource </w:t>
                  </w:r>
                  <w:r w:rsidRPr="00081671">
                    <w:rPr>
                      <w:i/>
                      <w:color w:val="000000"/>
                      <w:sz w:val="20"/>
                    </w:rPr>
                    <w:t xml:space="preserve">r </w:t>
                  </w:r>
                  <w:r w:rsidRPr="00081671">
                    <w:rPr>
                      <w:color w:val="000000"/>
                      <w:sz w:val="20"/>
                    </w:rPr>
                    <w:t xml:space="preserve">is the Combined Cycle Train.  </w:t>
                  </w:r>
                </w:p>
              </w:tc>
            </w:tr>
            <w:tr w:rsidR="00A76C0B" w:rsidRPr="008431E4" w14:paraId="0E6B17E9" w14:textId="77777777" w:rsidTr="00CE1011">
              <w:trPr>
                <w:cantSplit/>
              </w:trPr>
              <w:tc>
                <w:tcPr>
                  <w:tcW w:w="1885" w:type="dxa"/>
                </w:tcPr>
                <w:p w14:paraId="40ED6C89" w14:textId="77777777" w:rsidR="00A76C0B" w:rsidRPr="00081671" w:rsidRDefault="00A76C0B" w:rsidP="00A76C0B">
                  <w:pPr>
                    <w:spacing w:after="60"/>
                    <w:rPr>
                      <w:iCs/>
                      <w:sz w:val="20"/>
                    </w:rPr>
                  </w:pPr>
                  <w:r w:rsidRPr="00081671">
                    <w:rPr>
                      <w:iCs/>
                      <w:sz w:val="20"/>
                    </w:rPr>
                    <w:t>MRACEFA</w:t>
                  </w:r>
                  <w:r w:rsidRPr="00081671">
                    <w:rPr>
                      <w:iCs/>
                      <w:sz w:val="20"/>
                      <w:vertAlign w:val="subscript"/>
                    </w:rPr>
                    <w:t xml:space="preserve"> </w:t>
                  </w:r>
                  <w:r w:rsidRPr="00081671">
                    <w:rPr>
                      <w:i/>
                      <w:iCs/>
                      <w:sz w:val="20"/>
                      <w:vertAlign w:val="subscript"/>
                    </w:rPr>
                    <w:t>q, r</w:t>
                  </w:r>
                </w:p>
              </w:tc>
              <w:tc>
                <w:tcPr>
                  <w:tcW w:w="1080" w:type="dxa"/>
                </w:tcPr>
                <w:p w14:paraId="6F698C26" w14:textId="77777777" w:rsidR="00A76C0B" w:rsidRPr="00081671" w:rsidRDefault="00A76C0B" w:rsidP="00A76C0B">
                  <w:pPr>
                    <w:spacing w:after="60"/>
                    <w:rPr>
                      <w:iCs/>
                      <w:sz w:val="20"/>
                    </w:rPr>
                  </w:pPr>
                  <w:r w:rsidRPr="00081671">
                    <w:rPr>
                      <w:iCs/>
                      <w:sz w:val="20"/>
                    </w:rPr>
                    <w:t>$/MMBtu</w:t>
                  </w:r>
                </w:p>
              </w:tc>
              <w:tc>
                <w:tcPr>
                  <w:tcW w:w="6300" w:type="dxa"/>
                </w:tcPr>
                <w:p w14:paraId="3F32797A" w14:textId="77777777" w:rsidR="00A76C0B" w:rsidRPr="00081671" w:rsidRDefault="00A76C0B" w:rsidP="00D56763">
                  <w:pPr>
                    <w:spacing w:after="60"/>
                    <w:rPr>
                      <w:iCs/>
                      <w:sz w:val="20"/>
                    </w:rPr>
                  </w:pPr>
                  <w:r w:rsidRPr="00081671">
                    <w:rPr>
                      <w:i/>
                      <w:iCs/>
                      <w:sz w:val="20"/>
                    </w:rPr>
                    <w:t>Must-Run Alternative Contractual Estimated Fuel Adder</w:t>
                  </w:r>
                  <w:r w:rsidRPr="00081671">
                    <w:rPr>
                      <w:iCs/>
                      <w:sz w:val="20"/>
                    </w:rPr>
                    <w:t xml:space="preserve">—The Estimated Fuel Adder that is contractually agreed upon in Section 22, </w:t>
                  </w:r>
                  <w:r w:rsidRPr="00420C34">
                    <w:rPr>
                      <w:sz w:val="20"/>
                    </w:rPr>
                    <w:t xml:space="preserve">Attachment </w:t>
                  </w:r>
                  <w:r w:rsidR="00D56763">
                    <w:rPr>
                      <w:sz w:val="20"/>
                    </w:rPr>
                    <w:t>N</w:t>
                  </w:r>
                  <w:r w:rsidRPr="00420C34">
                    <w:rPr>
                      <w:sz w:val="20"/>
                    </w:rPr>
                    <w:t>, Standard Form Must-Run Alternative Agreement</w:t>
                  </w:r>
                  <w:r w:rsidRPr="00081671">
                    <w:rPr>
                      <w:iCs/>
                      <w:sz w:val="20"/>
                    </w:rPr>
                    <w:t xml:space="preserve">.  Where for a Combined Cycle Train, the Generation Resource </w:t>
                  </w:r>
                  <w:r w:rsidRPr="00081671">
                    <w:rPr>
                      <w:i/>
                      <w:iCs/>
                      <w:sz w:val="20"/>
                    </w:rPr>
                    <w:t xml:space="preserve">r </w:t>
                  </w:r>
                  <w:r w:rsidRPr="00081671">
                    <w:rPr>
                      <w:iCs/>
                      <w:sz w:val="20"/>
                    </w:rPr>
                    <w:t xml:space="preserve">is the Combined Cycle Train.  </w:t>
                  </w:r>
                </w:p>
              </w:tc>
            </w:tr>
            <w:tr w:rsidR="00A76C0B" w:rsidRPr="008431E4" w14:paraId="0FFC1FDD" w14:textId="77777777" w:rsidTr="00CE1011">
              <w:trPr>
                <w:cantSplit/>
              </w:trPr>
              <w:tc>
                <w:tcPr>
                  <w:tcW w:w="1885" w:type="dxa"/>
                </w:tcPr>
                <w:p w14:paraId="3D811046" w14:textId="77777777" w:rsidR="00A76C0B" w:rsidRPr="00081671" w:rsidRDefault="00A76C0B" w:rsidP="00A76C0B">
                  <w:pPr>
                    <w:spacing w:after="60"/>
                    <w:rPr>
                      <w:iCs/>
                      <w:sz w:val="20"/>
                    </w:rPr>
                  </w:pPr>
                  <w:r w:rsidRPr="00081671">
                    <w:rPr>
                      <w:sz w:val="20"/>
                    </w:rPr>
                    <w:t>RTSPP</w:t>
                  </w:r>
                  <w:r>
                    <w:rPr>
                      <w:sz w:val="20"/>
                    </w:rPr>
                    <w:t xml:space="preserve"> </w:t>
                  </w:r>
                  <w:r w:rsidRPr="00081671">
                    <w:rPr>
                      <w:i/>
                      <w:sz w:val="20"/>
                      <w:vertAlign w:val="subscript"/>
                    </w:rPr>
                    <w:t>p, i</w:t>
                  </w:r>
                </w:p>
              </w:tc>
              <w:tc>
                <w:tcPr>
                  <w:tcW w:w="1080" w:type="dxa"/>
                </w:tcPr>
                <w:p w14:paraId="1B5A23F9" w14:textId="77777777" w:rsidR="00A76C0B" w:rsidRPr="00081671" w:rsidRDefault="00A76C0B" w:rsidP="00A76C0B">
                  <w:pPr>
                    <w:spacing w:after="60"/>
                    <w:rPr>
                      <w:iCs/>
                      <w:sz w:val="20"/>
                    </w:rPr>
                  </w:pPr>
                  <w:r w:rsidRPr="00081671">
                    <w:rPr>
                      <w:iCs/>
                      <w:sz w:val="20"/>
                    </w:rPr>
                    <w:t>$/MWh</w:t>
                  </w:r>
                </w:p>
              </w:tc>
              <w:tc>
                <w:tcPr>
                  <w:tcW w:w="6300" w:type="dxa"/>
                </w:tcPr>
                <w:p w14:paraId="6C22D96D" w14:textId="77777777" w:rsidR="00A76C0B" w:rsidRPr="00081671" w:rsidRDefault="00A76C0B" w:rsidP="00A76C0B">
                  <w:pPr>
                    <w:spacing w:after="60"/>
                    <w:rPr>
                      <w:i/>
                      <w:iCs/>
                      <w:sz w:val="20"/>
                    </w:rPr>
                  </w:pPr>
                  <w:r w:rsidRPr="00081671">
                    <w:rPr>
                      <w:i/>
                      <w:sz w:val="20"/>
                    </w:rPr>
                    <w:t>Real-Time Settlement Point Price</w:t>
                  </w:r>
                  <w:r w:rsidRPr="00081671">
                    <w:rPr>
                      <w:sz w:val="20"/>
                    </w:rPr>
                    <w:sym w:font="Symbol" w:char="F0BE"/>
                  </w:r>
                  <w:r w:rsidRPr="00081671">
                    <w:rPr>
                      <w:sz w:val="20"/>
                    </w:rPr>
                    <w:t xml:space="preserve">The Real-Time Settlement Point Price at the Settlement Point </w:t>
                  </w:r>
                  <w:r w:rsidRPr="00330317">
                    <w:rPr>
                      <w:i/>
                      <w:sz w:val="20"/>
                    </w:rPr>
                    <w:t>p</w:t>
                  </w:r>
                  <w:r>
                    <w:rPr>
                      <w:sz w:val="20"/>
                    </w:rPr>
                    <w:t xml:space="preserve"> </w:t>
                  </w:r>
                  <w:r w:rsidRPr="00081671">
                    <w:rPr>
                      <w:sz w:val="20"/>
                    </w:rPr>
                    <w:t>for the 15-minute Settlement Interval</w:t>
                  </w:r>
                  <w:r>
                    <w:rPr>
                      <w:sz w:val="20"/>
                    </w:rPr>
                    <w:t xml:space="preserve"> </w:t>
                  </w:r>
                  <w:r w:rsidRPr="00330317">
                    <w:rPr>
                      <w:i/>
                      <w:sz w:val="20"/>
                    </w:rPr>
                    <w:t>i</w:t>
                  </w:r>
                  <w:r w:rsidRPr="00081671">
                    <w:rPr>
                      <w:sz w:val="20"/>
                    </w:rPr>
                    <w:t>.</w:t>
                  </w:r>
                </w:p>
              </w:tc>
            </w:tr>
            <w:tr w:rsidR="00A76C0B" w:rsidRPr="008431E4" w14:paraId="561D3764" w14:textId="77777777" w:rsidTr="00CE1011">
              <w:trPr>
                <w:cantSplit/>
              </w:trPr>
              <w:tc>
                <w:tcPr>
                  <w:tcW w:w="1885" w:type="dxa"/>
                </w:tcPr>
                <w:p w14:paraId="565F1F1A" w14:textId="77777777" w:rsidR="00A76C0B" w:rsidRPr="00081671" w:rsidRDefault="00A76C0B" w:rsidP="00A76C0B">
                  <w:pPr>
                    <w:spacing w:after="60"/>
                    <w:rPr>
                      <w:i/>
                      <w:iCs/>
                      <w:sz w:val="20"/>
                    </w:rPr>
                  </w:pPr>
                  <w:r w:rsidRPr="00081671">
                    <w:rPr>
                      <w:i/>
                      <w:iCs/>
                      <w:sz w:val="20"/>
                    </w:rPr>
                    <w:t>q</w:t>
                  </w:r>
                </w:p>
              </w:tc>
              <w:tc>
                <w:tcPr>
                  <w:tcW w:w="1080" w:type="dxa"/>
                </w:tcPr>
                <w:p w14:paraId="1A38FCAB" w14:textId="77777777" w:rsidR="00A76C0B" w:rsidRPr="00081671" w:rsidRDefault="00A76C0B" w:rsidP="00A76C0B">
                  <w:pPr>
                    <w:spacing w:after="60"/>
                    <w:rPr>
                      <w:iCs/>
                      <w:sz w:val="20"/>
                    </w:rPr>
                  </w:pPr>
                  <w:r w:rsidRPr="00081671">
                    <w:rPr>
                      <w:iCs/>
                      <w:sz w:val="20"/>
                    </w:rPr>
                    <w:t>none</w:t>
                  </w:r>
                </w:p>
              </w:tc>
              <w:tc>
                <w:tcPr>
                  <w:tcW w:w="6300" w:type="dxa"/>
                </w:tcPr>
                <w:p w14:paraId="1741E5E5" w14:textId="77777777" w:rsidR="00A76C0B" w:rsidRPr="00081671" w:rsidRDefault="00A76C0B" w:rsidP="00A76C0B">
                  <w:pPr>
                    <w:spacing w:after="60"/>
                    <w:rPr>
                      <w:iCs/>
                      <w:sz w:val="20"/>
                    </w:rPr>
                  </w:pPr>
                  <w:r w:rsidRPr="00081671">
                    <w:rPr>
                      <w:iCs/>
                      <w:sz w:val="20"/>
                    </w:rPr>
                    <w:t>A QSE.</w:t>
                  </w:r>
                </w:p>
              </w:tc>
            </w:tr>
            <w:tr w:rsidR="00A76C0B" w:rsidRPr="008431E4" w14:paraId="5A1845CA" w14:textId="77777777" w:rsidTr="00CE1011">
              <w:trPr>
                <w:cantSplit/>
              </w:trPr>
              <w:tc>
                <w:tcPr>
                  <w:tcW w:w="1885" w:type="dxa"/>
                </w:tcPr>
                <w:p w14:paraId="39E2CFD2" w14:textId="77777777" w:rsidR="00A76C0B" w:rsidRPr="00081671" w:rsidRDefault="00A76C0B" w:rsidP="00A76C0B">
                  <w:pPr>
                    <w:spacing w:after="60"/>
                    <w:rPr>
                      <w:i/>
                      <w:iCs/>
                      <w:sz w:val="20"/>
                    </w:rPr>
                  </w:pPr>
                  <w:r w:rsidRPr="00081671">
                    <w:rPr>
                      <w:i/>
                      <w:iCs/>
                      <w:sz w:val="20"/>
                    </w:rPr>
                    <w:t>r</w:t>
                  </w:r>
                </w:p>
              </w:tc>
              <w:tc>
                <w:tcPr>
                  <w:tcW w:w="1080" w:type="dxa"/>
                </w:tcPr>
                <w:p w14:paraId="4D4B729F" w14:textId="77777777" w:rsidR="00A76C0B" w:rsidRPr="00081671" w:rsidRDefault="00A76C0B" w:rsidP="00A76C0B">
                  <w:pPr>
                    <w:spacing w:after="60"/>
                    <w:rPr>
                      <w:iCs/>
                      <w:sz w:val="20"/>
                    </w:rPr>
                  </w:pPr>
                  <w:r w:rsidRPr="00081671">
                    <w:rPr>
                      <w:iCs/>
                      <w:sz w:val="20"/>
                    </w:rPr>
                    <w:t>none</w:t>
                  </w:r>
                </w:p>
              </w:tc>
              <w:tc>
                <w:tcPr>
                  <w:tcW w:w="6300" w:type="dxa"/>
                </w:tcPr>
                <w:p w14:paraId="6279149A" w14:textId="77777777" w:rsidR="00A76C0B" w:rsidRPr="00081671" w:rsidRDefault="00A76C0B" w:rsidP="00A76C0B">
                  <w:pPr>
                    <w:spacing w:after="60"/>
                    <w:rPr>
                      <w:iCs/>
                      <w:sz w:val="20"/>
                    </w:rPr>
                  </w:pPr>
                  <w:r>
                    <w:rPr>
                      <w:iCs/>
                      <w:sz w:val="20"/>
                    </w:rPr>
                    <w:t>An MRA</w:t>
                  </w:r>
                  <w:r w:rsidRPr="00081671">
                    <w:rPr>
                      <w:iCs/>
                      <w:sz w:val="20"/>
                    </w:rPr>
                    <w:t>.</w:t>
                  </w:r>
                </w:p>
              </w:tc>
            </w:tr>
            <w:tr w:rsidR="00A76C0B" w:rsidRPr="008431E4" w14:paraId="497D7251" w14:textId="77777777" w:rsidTr="00CE1011">
              <w:trPr>
                <w:cantSplit/>
              </w:trPr>
              <w:tc>
                <w:tcPr>
                  <w:tcW w:w="1885" w:type="dxa"/>
                </w:tcPr>
                <w:p w14:paraId="703A3B29" w14:textId="77777777" w:rsidR="00A76C0B" w:rsidRPr="00081671" w:rsidRDefault="00A76C0B" w:rsidP="00A76C0B">
                  <w:pPr>
                    <w:spacing w:after="60"/>
                    <w:rPr>
                      <w:i/>
                      <w:iCs/>
                      <w:sz w:val="20"/>
                    </w:rPr>
                  </w:pPr>
                  <w:r w:rsidRPr="00081671">
                    <w:rPr>
                      <w:i/>
                      <w:iCs/>
                      <w:sz w:val="20"/>
                    </w:rPr>
                    <w:t>m</w:t>
                  </w:r>
                </w:p>
              </w:tc>
              <w:tc>
                <w:tcPr>
                  <w:tcW w:w="1080" w:type="dxa"/>
                </w:tcPr>
                <w:p w14:paraId="04FC7980" w14:textId="77777777" w:rsidR="00A76C0B" w:rsidRPr="00081671" w:rsidRDefault="00A76C0B" w:rsidP="00A76C0B">
                  <w:pPr>
                    <w:spacing w:after="60"/>
                    <w:rPr>
                      <w:iCs/>
                      <w:sz w:val="20"/>
                    </w:rPr>
                  </w:pPr>
                  <w:r w:rsidRPr="00081671">
                    <w:rPr>
                      <w:iCs/>
                      <w:sz w:val="20"/>
                    </w:rPr>
                    <w:t>none</w:t>
                  </w:r>
                </w:p>
              </w:tc>
              <w:tc>
                <w:tcPr>
                  <w:tcW w:w="6300" w:type="dxa"/>
                </w:tcPr>
                <w:p w14:paraId="64CDE2AA" w14:textId="77777777" w:rsidR="00A76C0B" w:rsidRPr="00081671" w:rsidRDefault="00A76C0B" w:rsidP="00A76C0B">
                  <w:pPr>
                    <w:spacing w:after="60"/>
                    <w:rPr>
                      <w:iCs/>
                      <w:sz w:val="20"/>
                    </w:rPr>
                  </w:pPr>
                  <w:r w:rsidRPr="00081671">
                    <w:rPr>
                      <w:sz w:val="20"/>
                    </w:rPr>
                    <w:t>A</w:t>
                  </w:r>
                  <w:r>
                    <w:rPr>
                      <w:sz w:val="20"/>
                    </w:rPr>
                    <w:t>n MRA Contracted Month</w:t>
                  </w:r>
                  <w:r w:rsidRPr="00081671">
                    <w:rPr>
                      <w:sz w:val="20"/>
                    </w:rPr>
                    <w:t>.</w:t>
                  </w:r>
                </w:p>
              </w:tc>
            </w:tr>
            <w:tr w:rsidR="00A76C0B" w:rsidRPr="008431E4" w14:paraId="100857DC" w14:textId="77777777" w:rsidTr="00CE1011">
              <w:trPr>
                <w:cantSplit/>
              </w:trPr>
              <w:tc>
                <w:tcPr>
                  <w:tcW w:w="1885" w:type="dxa"/>
                </w:tcPr>
                <w:p w14:paraId="6C97701B" w14:textId="77777777" w:rsidR="00A76C0B" w:rsidRPr="00081671" w:rsidRDefault="00A76C0B" w:rsidP="00A76C0B">
                  <w:pPr>
                    <w:spacing w:after="60"/>
                    <w:rPr>
                      <w:i/>
                      <w:iCs/>
                      <w:sz w:val="20"/>
                    </w:rPr>
                  </w:pPr>
                  <w:r w:rsidRPr="00081671">
                    <w:rPr>
                      <w:i/>
                      <w:iCs/>
                      <w:sz w:val="20"/>
                    </w:rPr>
                    <w:t>h</w:t>
                  </w:r>
                </w:p>
              </w:tc>
              <w:tc>
                <w:tcPr>
                  <w:tcW w:w="1080" w:type="dxa"/>
                </w:tcPr>
                <w:p w14:paraId="08B49E1E" w14:textId="77777777" w:rsidR="00A76C0B" w:rsidRPr="00081671" w:rsidRDefault="00A76C0B" w:rsidP="00A76C0B">
                  <w:pPr>
                    <w:spacing w:after="60"/>
                    <w:rPr>
                      <w:iCs/>
                      <w:sz w:val="20"/>
                    </w:rPr>
                  </w:pPr>
                  <w:r w:rsidRPr="00081671">
                    <w:rPr>
                      <w:iCs/>
                      <w:sz w:val="20"/>
                    </w:rPr>
                    <w:t>none</w:t>
                  </w:r>
                </w:p>
              </w:tc>
              <w:tc>
                <w:tcPr>
                  <w:tcW w:w="6300" w:type="dxa"/>
                </w:tcPr>
                <w:p w14:paraId="1422A45E" w14:textId="77777777" w:rsidR="00A76C0B" w:rsidRPr="00081671" w:rsidRDefault="00A76C0B" w:rsidP="00A76C0B">
                  <w:pPr>
                    <w:spacing w:after="60"/>
                    <w:rPr>
                      <w:iCs/>
                      <w:sz w:val="20"/>
                    </w:rPr>
                  </w:pPr>
                  <w:r w:rsidRPr="00081671">
                    <w:rPr>
                      <w:iCs/>
                      <w:sz w:val="20"/>
                    </w:rPr>
                    <w:t>A</w:t>
                  </w:r>
                  <w:r>
                    <w:rPr>
                      <w:iCs/>
                      <w:sz w:val="20"/>
                    </w:rPr>
                    <w:t>n</w:t>
                  </w:r>
                  <w:r w:rsidRPr="00081671">
                    <w:rPr>
                      <w:iCs/>
                      <w:sz w:val="20"/>
                    </w:rPr>
                    <w:t xml:space="preserve"> </w:t>
                  </w:r>
                  <w:r>
                    <w:rPr>
                      <w:iCs/>
                      <w:sz w:val="20"/>
                    </w:rPr>
                    <w:t>MRA Contracted Hour</w:t>
                  </w:r>
                  <w:r w:rsidRPr="00081671">
                    <w:rPr>
                      <w:iCs/>
                      <w:sz w:val="20"/>
                    </w:rPr>
                    <w:t xml:space="preserve"> for the </w:t>
                  </w:r>
                  <w:r>
                    <w:rPr>
                      <w:iCs/>
                      <w:sz w:val="20"/>
                    </w:rPr>
                    <w:t>MRA Contracted Month</w:t>
                  </w:r>
                  <w:r w:rsidRPr="00081671">
                    <w:rPr>
                      <w:iCs/>
                      <w:sz w:val="20"/>
                    </w:rPr>
                    <w:t>.</w:t>
                  </w:r>
                </w:p>
              </w:tc>
            </w:tr>
            <w:tr w:rsidR="00A76C0B" w:rsidRPr="008431E4" w14:paraId="1A7356EA" w14:textId="77777777" w:rsidTr="00CE1011">
              <w:trPr>
                <w:cantSplit/>
              </w:trPr>
              <w:tc>
                <w:tcPr>
                  <w:tcW w:w="1885" w:type="dxa"/>
                </w:tcPr>
                <w:p w14:paraId="2B1F3EC2" w14:textId="77777777" w:rsidR="00A76C0B" w:rsidRPr="00081671" w:rsidRDefault="00A76C0B" w:rsidP="00A76C0B">
                  <w:pPr>
                    <w:spacing w:after="60"/>
                    <w:rPr>
                      <w:i/>
                      <w:iCs/>
                      <w:sz w:val="20"/>
                    </w:rPr>
                  </w:pPr>
                  <w:r w:rsidRPr="00081671">
                    <w:rPr>
                      <w:i/>
                      <w:iCs/>
                      <w:sz w:val="20"/>
                    </w:rPr>
                    <w:t>i</w:t>
                  </w:r>
                </w:p>
              </w:tc>
              <w:tc>
                <w:tcPr>
                  <w:tcW w:w="1080" w:type="dxa"/>
                </w:tcPr>
                <w:p w14:paraId="68B755EA" w14:textId="77777777" w:rsidR="00A76C0B" w:rsidRPr="00081671" w:rsidRDefault="00A76C0B" w:rsidP="00A76C0B">
                  <w:pPr>
                    <w:spacing w:after="60"/>
                    <w:rPr>
                      <w:iCs/>
                      <w:sz w:val="20"/>
                    </w:rPr>
                  </w:pPr>
                  <w:r w:rsidRPr="00081671">
                    <w:rPr>
                      <w:iCs/>
                      <w:sz w:val="20"/>
                    </w:rPr>
                    <w:t>none</w:t>
                  </w:r>
                </w:p>
              </w:tc>
              <w:tc>
                <w:tcPr>
                  <w:tcW w:w="6300" w:type="dxa"/>
                </w:tcPr>
                <w:p w14:paraId="5C67F01C" w14:textId="77777777" w:rsidR="00A76C0B" w:rsidRPr="00081671" w:rsidRDefault="00A76C0B" w:rsidP="00A76C0B">
                  <w:pPr>
                    <w:spacing w:after="60"/>
                    <w:rPr>
                      <w:iCs/>
                      <w:sz w:val="20"/>
                    </w:rPr>
                  </w:pPr>
                  <w:r w:rsidRPr="00081671">
                    <w:rPr>
                      <w:iCs/>
                      <w:sz w:val="20"/>
                    </w:rPr>
                    <w:t xml:space="preserve">A 15-minute Settlement Interval during the </w:t>
                  </w:r>
                  <w:r>
                    <w:rPr>
                      <w:iCs/>
                      <w:sz w:val="20"/>
                    </w:rPr>
                    <w:t>MRA Contracted Hour</w:t>
                  </w:r>
                  <w:r w:rsidRPr="00081671">
                    <w:rPr>
                      <w:iCs/>
                      <w:sz w:val="20"/>
                    </w:rPr>
                    <w:t>s.</w:t>
                  </w:r>
                </w:p>
              </w:tc>
            </w:tr>
            <w:tr w:rsidR="00A76C0B" w:rsidRPr="008431E4" w14:paraId="2AFB879E" w14:textId="77777777" w:rsidTr="00CE1011">
              <w:trPr>
                <w:cantSplit/>
              </w:trPr>
              <w:tc>
                <w:tcPr>
                  <w:tcW w:w="1885" w:type="dxa"/>
                </w:tcPr>
                <w:p w14:paraId="55DA0255" w14:textId="77777777" w:rsidR="00A76C0B" w:rsidRPr="00081671" w:rsidRDefault="00A76C0B" w:rsidP="00A76C0B">
                  <w:pPr>
                    <w:spacing w:after="60"/>
                    <w:rPr>
                      <w:i/>
                      <w:iCs/>
                      <w:sz w:val="20"/>
                    </w:rPr>
                  </w:pPr>
                  <w:r w:rsidRPr="00081671">
                    <w:rPr>
                      <w:i/>
                      <w:iCs/>
                      <w:sz w:val="20"/>
                    </w:rPr>
                    <w:t>gsc</w:t>
                  </w:r>
                </w:p>
              </w:tc>
              <w:tc>
                <w:tcPr>
                  <w:tcW w:w="1080" w:type="dxa"/>
                </w:tcPr>
                <w:p w14:paraId="279860FB" w14:textId="77777777" w:rsidR="00A76C0B" w:rsidRPr="009701A9" w:rsidRDefault="00A76C0B" w:rsidP="00A76C0B">
                  <w:pPr>
                    <w:spacing w:after="60"/>
                    <w:rPr>
                      <w:iCs/>
                      <w:sz w:val="20"/>
                    </w:rPr>
                  </w:pPr>
                  <w:r w:rsidRPr="009701A9">
                    <w:rPr>
                      <w:iCs/>
                      <w:sz w:val="20"/>
                    </w:rPr>
                    <w:t>none</w:t>
                  </w:r>
                </w:p>
              </w:tc>
              <w:tc>
                <w:tcPr>
                  <w:tcW w:w="6300" w:type="dxa"/>
                </w:tcPr>
                <w:p w14:paraId="1BCD3874" w14:textId="77777777" w:rsidR="00A76C0B" w:rsidRPr="00081671" w:rsidRDefault="00A76C0B" w:rsidP="00A76C0B">
                  <w:pPr>
                    <w:spacing w:after="60"/>
                    <w:rPr>
                      <w:iCs/>
                      <w:sz w:val="20"/>
                    </w:rPr>
                  </w:pPr>
                  <w:r w:rsidRPr="00081671">
                    <w:rPr>
                      <w:iCs/>
                      <w:sz w:val="20"/>
                    </w:rPr>
                    <w:t>A generation site code.</w:t>
                  </w:r>
                </w:p>
              </w:tc>
            </w:tr>
            <w:tr w:rsidR="00A76C0B" w:rsidRPr="008431E4" w14:paraId="2F774BBC" w14:textId="77777777" w:rsidTr="00CE1011">
              <w:trPr>
                <w:cantSplit/>
              </w:trPr>
              <w:tc>
                <w:tcPr>
                  <w:tcW w:w="1885" w:type="dxa"/>
                </w:tcPr>
                <w:p w14:paraId="0E8E8B33" w14:textId="77777777" w:rsidR="00A76C0B" w:rsidRPr="00081671" w:rsidRDefault="00A76C0B" w:rsidP="00A76C0B">
                  <w:pPr>
                    <w:spacing w:after="60"/>
                    <w:rPr>
                      <w:i/>
                      <w:iCs/>
                      <w:sz w:val="20"/>
                    </w:rPr>
                  </w:pPr>
                  <w:r>
                    <w:rPr>
                      <w:i/>
                      <w:iCs/>
                      <w:sz w:val="20"/>
                    </w:rPr>
                    <w:t>p</w:t>
                  </w:r>
                </w:p>
              </w:tc>
              <w:tc>
                <w:tcPr>
                  <w:tcW w:w="1080" w:type="dxa"/>
                </w:tcPr>
                <w:p w14:paraId="0D7ECBFE" w14:textId="77777777" w:rsidR="00A76C0B" w:rsidRPr="009701A9" w:rsidRDefault="00A76C0B" w:rsidP="00A76C0B">
                  <w:pPr>
                    <w:spacing w:after="60"/>
                    <w:rPr>
                      <w:iCs/>
                      <w:sz w:val="20"/>
                    </w:rPr>
                  </w:pPr>
                  <w:r w:rsidRPr="009701A9">
                    <w:rPr>
                      <w:iCs/>
                      <w:sz w:val="20"/>
                    </w:rPr>
                    <w:t>none</w:t>
                  </w:r>
                </w:p>
              </w:tc>
              <w:tc>
                <w:tcPr>
                  <w:tcW w:w="6300" w:type="dxa"/>
                </w:tcPr>
                <w:p w14:paraId="5464860C" w14:textId="77777777" w:rsidR="00A76C0B" w:rsidRPr="00081671" w:rsidRDefault="00A76C0B" w:rsidP="00A76C0B">
                  <w:pPr>
                    <w:spacing w:after="60"/>
                    <w:rPr>
                      <w:iCs/>
                      <w:sz w:val="20"/>
                    </w:rPr>
                  </w:pPr>
                  <w:r w:rsidRPr="00081671">
                    <w:rPr>
                      <w:iCs/>
                      <w:sz w:val="20"/>
                    </w:rPr>
                    <w:t>A Resource Node Settlement Point.</w:t>
                  </w:r>
                </w:p>
              </w:tc>
            </w:tr>
          </w:tbl>
          <w:p w14:paraId="0EA128D1" w14:textId="20A7DDAC" w:rsidR="00A76C0B" w:rsidRPr="008431E4" w:rsidRDefault="00A76C0B" w:rsidP="00A76C0B">
            <w:pPr>
              <w:spacing w:before="240" w:after="240"/>
              <w:ind w:left="720" w:hanging="720"/>
              <w:rPr>
                <w:iCs/>
              </w:rPr>
            </w:pPr>
            <w:r w:rsidRPr="008431E4">
              <w:rPr>
                <w:iCs/>
              </w:rPr>
              <w:t>(</w:t>
            </w:r>
            <w:r w:rsidR="00AA432B">
              <w:rPr>
                <w:iCs/>
              </w:rPr>
              <w:t>5</w:t>
            </w:r>
            <w:r w:rsidRPr="008431E4">
              <w:rPr>
                <w:iCs/>
              </w:rPr>
              <w:t>)</w:t>
            </w:r>
            <w:r w:rsidRPr="008431E4">
              <w:rPr>
                <w:iCs/>
              </w:rPr>
              <w:tab/>
              <w:t xml:space="preserve">The total of the variable payments for all </w:t>
            </w:r>
            <w:r>
              <w:rPr>
                <w:iCs/>
              </w:rPr>
              <w:t>MRA</w:t>
            </w:r>
            <w:r w:rsidRPr="008431E4">
              <w:rPr>
                <w:iCs/>
              </w:rPr>
              <w:t>s represented by the QSE for a given hour is calculated as follows:</w:t>
            </w:r>
          </w:p>
          <w:p w14:paraId="57A79245" w14:textId="77777777" w:rsidR="00A76C0B" w:rsidRPr="008431E4" w:rsidRDefault="00A76C0B" w:rsidP="00A76C0B">
            <w:pPr>
              <w:tabs>
                <w:tab w:val="left" w:pos="2340"/>
                <w:tab w:val="left" w:pos="3420"/>
              </w:tabs>
              <w:spacing w:after="240"/>
              <w:ind w:left="3870" w:hanging="3150"/>
              <w:rPr>
                <w:bCs/>
                <w:lang w:val="pt-BR"/>
              </w:rPr>
            </w:pPr>
            <w:r w:rsidRPr="008431E4">
              <w:rPr>
                <w:bCs/>
                <w:lang w:val="pt-BR"/>
              </w:rPr>
              <w:t>MRAVAMTQSETOT</w:t>
            </w:r>
            <w:r>
              <w:rPr>
                <w:bCs/>
                <w:lang w:val="pt-BR"/>
              </w:rPr>
              <w:t xml:space="preserve"> </w:t>
            </w:r>
            <w:r w:rsidRPr="008431E4">
              <w:rPr>
                <w:bCs/>
                <w:i/>
                <w:vertAlign w:val="subscript"/>
                <w:lang w:val="pt-BR"/>
              </w:rPr>
              <w:t>q</w:t>
            </w:r>
            <w:r w:rsidRPr="008431E4">
              <w:rPr>
                <w:bCs/>
                <w:lang w:val="pt-BR"/>
              </w:rPr>
              <w:t xml:space="preserve">  =  </w:t>
            </w:r>
            <w:r w:rsidRPr="008431E4">
              <w:rPr>
                <w:bCs/>
                <w:position w:val="-18"/>
                <w:lang w:val="pt-BR"/>
              </w:rPr>
              <w:object w:dxaOrig="225" w:dyaOrig="420" w14:anchorId="6D9DF1E2">
                <v:shape id="_x0000_i1224" type="#_x0000_t75" style="width:12pt;height:24pt" o:ole="">
                  <v:imagedata r:id="rId238" o:title=""/>
                </v:shape>
                <o:OLEObject Type="Embed" ProgID="Equation.3" ShapeID="_x0000_i1224" DrawAspect="Content" ObjectID="_1815025413" r:id="rId276"/>
              </w:object>
            </w:r>
            <w:r w:rsidRPr="008431E4">
              <w:rPr>
                <w:bCs/>
                <w:color w:val="000000"/>
                <w:lang w:val="pt-BR"/>
              </w:rPr>
              <w:t xml:space="preserve"> MRAVAMT</w:t>
            </w:r>
            <w:r w:rsidRPr="008431E4">
              <w:rPr>
                <w:bCs/>
                <w:lang w:val="pt-BR"/>
              </w:rPr>
              <w:t xml:space="preserve"> </w:t>
            </w:r>
            <w:r w:rsidRPr="008431E4">
              <w:rPr>
                <w:bCs/>
                <w:i/>
                <w:vertAlign w:val="subscript"/>
                <w:lang w:val="pt-BR"/>
              </w:rPr>
              <w:t>q, r, h</w:t>
            </w:r>
            <w:r w:rsidRPr="008431E4">
              <w:rPr>
                <w:bCs/>
                <w:lang w:val="pt-BR"/>
              </w:rPr>
              <w:t xml:space="preserve"> </w:t>
            </w:r>
            <w:r w:rsidRPr="008431E4">
              <w:rPr>
                <w:bCs/>
                <w:i/>
                <w:vertAlign w:val="subscript"/>
                <w:lang w:val="pt-BR"/>
              </w:rPr>
              <w:t xml:space="preserve">  </w:t>
            </w:r>
          </w:p>
          <w:p w14:paraId="52A351AF" w14:textId="77777777" w:rsidR="00A76C0B" w:rsidRPr="008431E4" w:rsidRDefault="00A76C0B" w:rsidP="00A76C0B">
            <w:r w:rsidRPr="008431E4">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4"/>
              <w:gridCol w:w="6328"/>
            </w:tblGrid>
            <w:tr w:rsidR="00DF7682" w:rsidRPr="008431E4" w14:paraId="344A7E48" w14:textId="77777777" w:rsidTr="00CE1011">
              <w:trPr>
                <w:cantSplit/>
                <w:tblHeader/>
              </w:trPr>
              <w:tc>
                <w:tcPr>
                  <w:tcW w:w="1167" w:type="pct"/>
                </w:tcPr>
                <w:p w14:paraId="5E8180A3" w14:textId="77777777" w:rsidR="00DF7682" w:rsidRPr="008431E4" w:rsidRDefault="00DF7682" w:rsidP="00DF7682">
                  <w:pPr>
                    <w:spacing w:after="240"/>
                    <w:rPr>
                      <w:b/>
                      <w:iCs/>
                      <w:sz w:val="20"/>
                    </w:rPr>
                  </w:pPr>
                  <w:r w:rsidRPr="008431E4">
                    <w:rPr>
                      <w:b/>
                      <w:iCs/>
                      <w:sz w:val="20"/>
                    </w:rPr>
                    <w:t>Variable</w:t>
                  </w:r>
                </w:p>
              </w:tc>
              <w:tc>
                <w:tcPr>
                  <w:tcW w:w="413" w:type="pct"/>
                </w:tcPr>
                <w:p w14:paraId="2930D3CB" w14:textId="77777777" w:rsidR="00DF7682" w:rsidRPr="008431E4" w:rsidRDefault="00DF7682" w:rsidP="00DF7682">
                  <w:pPr>
                    <w:spacing w:after="240"/>
                    <w:rPr>
                      <w:b/>
                      <w:iCs/>
                      <w:sz w:val="20"/>
                    </w:rPr>
                  </w:pPr>
                  <w:r w:rsidRPr="008431E4">
                    <w:rPr>
                      <w:b/>
                      <w:iCs/>
                      <w:sz w:val="20"/>
                    </w:rPr>
                    <w:t>Unit</w:t>
                  </w:r>
                </w:p>
              </w:tc>
              <w:tc>
                <w:tcPr>
                  <w:tcW w:w="3420" w:type="pct"/>
                </w:tcPr>
                <w:p w14:paraId="5139DFC6" w14:textId="77777777" w:rsidR="00DF7682" w:rsidRPr="008431E4" w:rsidRDefault="00DF7682" w:rsidP="00DF7682">
                  <w:pPr>
                    <w:spacing w:after="240"/>
                    <w:rPr>
                      <w:b/>
                      <w:iCs/>
                      <w:sz w:val="20"/>
                    </w:rPr>
                  </w:pPr>
                  <w:r w:rsidRPr="008431E4">
                    <w:rPr>
                      <w:b/>
                      <w:iCs/>
                      <w:sz w:val="20"/>
                    </w:rPr>
                    <w:t>Definition</w:t>
                  </w:r>
                </w:p>
              </w:tc>
            </w:tr>
            <w:tr w:rsidR="00DF7682" w:rsidRPr="008431E4" w14:paraId="215F72E0" w14:textId="77777777" w:rsidTr="00CE1011">
              <w:trPr>
                <w:cantSplit/>
              </w:trPr>
              <w:tc>
                <w:tcPr>
                  <w:tcW w:w="1167" w:type="pct"/>
                </w:tcPr>
                <w:p w14:paraId="28DB5158" w14:textId="77777777" w:rsidR="00DF7682" w:rsidRPr="008431E4" w:rsidRDefault="00DF7682" w:rsidP="00DF7682">
                  <w:pPr>
                    <w:spacing w:after="60"/>
                    <w:rPr>
                      <w:iCs/>
                      <w:sz w:val="20"/>
                    </w:rPr>
                  </w:pPr>
                  <w:r w:rsidRPr="008431E4">
                    <w:rPr>
                      <w:iCs/>
                      <w:sz w:val="20"/>
                    </w:rPr>
                    <w:t>MRAVAMTQSETOT</w:t>
                  </w:r>
                  <w:r>
                    <w:rPr>
                      <w:iCs/>
                      <w:sz w:val="20"/>
                    </w:rPr>
                    <w:t xml:space="preserve"> </w:t>
                  </w:r>
                  <w:r w:rsidRPr="005A6FD5">
                    <w:rPr>
                      <w:i/>
                      <w:iCs/>
                      <w:sz w:val="20"/>
                      <w:vertAlign w:val="subscript"/>
                    </w:rPr>
                    <w:t>q</w:t>
                  </w:r>
                  <w:r w:rsidRPr="008431E4">
                    <w:rPr>
                      <w:iCs/>
                      <w:sz w:val="20"/>
                    </w:rPr>
                    <w:t xml:space="preserve">  </w:t>
                  </w:r>
                </w:p>
              </w:tc>
              <w:tc>
                <w:tcPr>
                  <w:tcW w:w="413" w:type="pct"/>
                </w:tcPr>
                <w:p w14:paraId="00CC77DC" w14:textId="77777777" w:rsidR="00DF7682" w:rsidRPr="008431E4" w:rsidRDefault="00DF7682" w:rsidP="00DF7682">
                  <w:pPr>
                    <w:spacing w:after="60"/>
                    <w:rPr>
                      <w:iCs/>
                      <w:sz w:val="20"/>
                    </w:rPr>
                  </w:pPr>
                  <w:r w:rsidRPr="008431E4">
                    <w:rPr>
                      <w:iCs/>
                      <w:sz w:val="20"/>
                    </w:rPr>
                    <w:t>$</w:t>
                  </w:r>
                </w:p>
              </w:tc>
              <w:tc>
                <w:tcPr>
                  <w:tcW w:w="3420" w:type="pct"/>
                </w:tcPr>
                <w:p w14:paraId="3F1EF310" w14:textId="77777777" w:rsidR="00DF7682" w:rsidRPr="008431E4" w:rsidRDefault="00DF7682" w:rsidP="00DF7682">
                  <w:pPr>
                    <w:spacing w:after="60"/>
                    <w:rPr>
                      <w:iCs/>
                      <w:sz w:val="20"/>
                    </w:rPr>
                  </w:pPr>
                  <w:r w:rsidRPr="008431E4">
                    <w:rPr>
                      <w:i/>
                      <w:iCs/>
                      <w:sz w:val="20"/>
                    </w:rPr>
                    <w:t>Must-Run Alternative Variable Amount Total per QSE by hour</w:t>
                  </w:r>
                  <w:r w:rsidRPr="008431E4">
                    <w:rPr>
                      <w:iCs/>
                      <w:sz w:val="20"/>
                    </w:rPr>
                    <w:t xml:space="preserve">—The total variable payment for all </w:t>
                  </w:r>
                  <w:r>
                    <w:rPr>
                      <w:iCs/>
                      <w:sz w:val="20"/>
                    </w:rPr>
                    <w:t>MRA</w:t>
                  </w:r>
                  <w:r w:rsidRPr="008431E4">
                    <w:rPr>
                      <w:iCs/>
                      <w:sz w:val="20"/>
                    </w:rPr>
                    <w:t xml:space="preserve">s </w:t>
                  </w:r>
                  <w:r w:rsidRPr="008431E4">
                    <w:rPr>
                      <w:i/>
                      <w:iCs/>
                      <w:sz w:val="20"/>
                    </w:rPr>
                    <w:t xml:space="preserve">r, </w:t>
                  </w:r>
                  <w:r w:rsidRPr="008431E4">
                    <w:rPr>
                      <w:iCs/>
                      <w:sz w:val="20"/>
                    </w:rPr>
                    <w:t>represented by the QSE</w:t>
                  </w:r>
                  <w:r w:rsidRPr="008431E4">
                    <w:rPr>
                      <w:i/>
                      <w:iCs/>
                      <w:sz w:val="20"/>
                    </w:rPr>
                    <w:t xml:space="preserve"> q</w:t>
                  </w:r>
                  <w:r w:rsidRPr="008431E4">
                    <w:rPr>
                      <w:iCs/>
                      <w:sz w:val="20"/>
                    </w:rPr>
                    <w:t xml:space="preserve">, for the hour. </w:t>
                  </w:r>
                </w:p>
              </w:tc>
            </w:tr>
            <w:tr w:rsidR="00DF7682" w:rsidRPr="008431E4" w14:paraId="419C43A5" w14:textId="77777777" w:rsidTr="00CE1011">
              <w:trPr>
                <w:cantSplit/>
              </w:trPr>
              <w:tc>
                <w:tcPr>
                  <w:tcW w:w="1167" w:type="pct"/>
                </w:tcPr>
                <w:p w14:paraId="65C6B3F2" w14:textId="77777777" w:rsidR="00DF7682" w:rsidRPr="008431E4" w:rsidRDefault="00DF7682" w:rsidP="00DF7682">
                  <w:pPr>
                    <w:spacing w:after="60"/>
                    <w:rPr>
                      <w:iCs/>
                      <w:sz w:val="20"/>
                    </w:rPr>
                  </w:pPr>
                  <w:r w:rsidRPr="008431E4">
                    <w:rPr>
                      <w:bCs/>
                      <w:iCs/>
                      <w:color w:val="000000"/>
                      <w:sz w:val="20"/>
                      <w:lang w:val="pt-BR"/>
                    </w:rPr>
                    <w:lastRenderedPageBreak/>
                    <w:t>MRAVAMT</w:t>
                  </w:r>
                  <w:r w:rsidRPr="008431E4">
                    <w:rPr>
                      <w:sz w:val="20"/>
                    </w:rPr>
                    <w:t xml:space="preserve"> </w:t>
                  </w:r>
                  <w:r w:rsidRPr="008431E4">
                    <w:rPr>
                      <w:i/>
                      <w:sz w:val="20"/>
                      <w:vertAlign w:val="subscript"/>
                    </w:rPr>
                    <w:t>q, r, h</w:t>
                  </w:r>
                </w:p>
              </w:tc>
              <w:tc>
                <w:tcPr>
                  <w:tcW w:w="413" w:type="pct"/>
                </w:tcPr>
                <w:p w14:paraId="12F22A13" w14:textId="77777777" w:rsidR="00DF7682" w:rsidRPr="008431E4" w:rsidRDefault="00DF7682" w:rsidP="00DF7682">
                  <w:pPr>
                    <w:spacing w:after="60"/>
                    <w:rPr>
                      <w:iCs/>
                      <w:sz w:val="20"/>
                    </w:rPr>
                  </w:pPr>
                  <w:r w:rsidRPr="008431E4">
                    <w:rPr>
                      <w:sz w:val="20"/>
                    </w:rPr>
                    <w:t>$</w:t>
                  </w:r>
                </w:p>
              </w:tc>
              <w:tc>
                <w:tcPr>
                  <w:tcW w:w="3420" w:type="pct"/>
                </w:tcPr>
                <w:p w14:paraId="6F44E89A" w14:textId="77777777" w:rsidR="00DF7682" w:rsidRPr="008431E4" w:rsidRDefault="00DF7682" w:rsidP="00DF7682">
                  <w:pPr>
                    <w:spacing w:after="60"/>
                    <w:rPr>
                      <w:iCs/>
                      <w:sz w:val="20"/>
                    </w:rPr>
                  </w:pPr>
                  <w:r w:rsidRPr="008431E4">
                    <w:rPr>
                      <w:i/>
                      <w:sz w:val="20"/>
                    </w:rPr>
                    <w:t>Must-Run Alternative Variable Amount per QSE per Resource by hour</w:t>
                  </w:r>
                  <w:r w:rsidRPr="008431E4">
                    <w:rPr>
                      <w:sz w:val="20"/>
                    </w:rPr>
                    <w:t xml:space="preserve">—The variable payment to QSE </w:t>
                  </w:r>
                  <w:r w:rsidRPr="008431E4">
                    <w:rPr>
                      <w:i/>
                      <w:sz w:val="20"/>
                    </w:rPr>
                    <w:t>q</w:t>
                  </w:r>
                  <w:r w:rsidRPr="008431E4">
                    <w:rPr>
                      <w:sz w:val="20"/>
                    </w:rPr>
                    <w:t xml:space="preserve"> </w:t>
                  </w:r>
                  <w:r>
                    <w:rPr>
                      <w:sz w:val="20"/>
                    </w:rPr>
                    <w:t>representing</w:t>
                  </w:r>
                  <w:r w:rsidRPr="008431E4">
                    <w:rPr>
                      <w:sz w:val="20"/>
                    </w:rPr>
                    <w:t xml:space="preserve"> </w:t>
                  </w:r>
                  <w:r>
                    <w:rPr>
                      <w:sz w:val="20"/>
                    </w:rPr>
                    <w:t>MRA</w:t>
                  </w:r>
                  <w:r w:rsidRPr="008431E4">
                    <w:rPr>
                      <w:sz w:val="20"/>
                    </w:rPr>
                    <w:t xml:space="preserve"> </w:t>
                  </w:r>
                  <w:r w:rsidRPr="008431E4">
                    <w:rPr>
                      <w:i/>
                      <w:sz w:val="20"/>
                    </w:rPr>
                    <w:t>r</w:t>
                  </w:r>
                  <w:r w:rsidRPr="008431E4">
                    <w:rPr>
                      <w:sz w:val="20"/>
                    </w:rPr>
                    <w:t xml:space="preserve"> for the hour</w:t>
                  </w:r>
                  <w:r>
                    <w:rPr>
                      <w:sz w:val="20"/>
                    </w:rPr>
                    <w:t xml:space="preserve"> </w:t>
                  </w:r>
                  <w:r w:rsidRPr="003C77B5">
                    <w:rPr>
                      <w:i/>
                      <w:sz w:val="20"/>
                    </w:rPr>
                    <w:t>h</w:t>
                  </w:r>
                  <w:r w:rsidRPr="008431E4">
                    <w:rPr>
                      <w:sz w:val="20"/>
                    </w:rPr>
                    <w:t xml:space="preserve">.  Where for a Combined Cycle Train, the Resource </w:t>
                  </w:r>
                  <w:r w:rsidRPr="008431E4">
                    <w:rPr>
                      <w:i/>
                      <w:sz w:val="20"/>
                    </w:rPr>
                    <w:t xml:space="preserve">r </w:t>
                  </w:r>
                  <w:r w:rsidRPr="008431E4">
                    <w:rPr>
                      <w:sz w:val="20"/>
                    </w:rPr>
                    <w:t>is the Combined Cycle Train.</w:t>
                  </w:r>
                </w:p>
              </w:tc>
            </w:tr>
            <w:tr w:rsidR="00DF7682" w:rsidRPr="008431E4" w14:paraId="4A5BBA22" w14:textId="77777777" w:rsidTr="00CE1011">
              <w:trPr>
                <w:cantSplit/>
              </w:trPr>
              <w:tc>
                <w:tcPr>
                  <w:tcW w:w="1167" w:type="pct"/>
                  <w:tcBorders>
                    <w:top w:val="single" w:sz="4" w:space="0" w:color="auto"/>
                    <w:left w:val="single" w:sz="4" w:space="0" w:color="auto"/>
                    <w:bottom w:val="single" w:sz="4" w:space="0" w:color="auto"/>
                    <w:right w:val="single" w:sz="4" w:space="0" w:color="auto"/>
                  </w:tcBorders>
                </w:tcPr>
                <w:p w14:paraId="22DBF9C5" w14:textId="77777777" w:rsidR="00DF7682" w:rsidRPr="008431E4" w:rsidRDefault="00DF7682" w:rsidP="00DF7682">
                  <w:pPr>
                    <w:spacing w:after="60"/>
                    <w:rPr>
                      <w:i/>
                      <w:iCs/>
                      <w:sz w:val="20"/>
                    </w:rPr>
                  </w:pPr>
                  <w:r w:rsidRPr="008431E4">
                    <w:rPr>
                      <w:i/>
                      <w:iCs/>
                      <w:sz w:val="20"/>
                    </w:rPr>
                    <w:t>q</w:t>
                  </w:r>
                </w:p>
              </w:tc>
              <w:tc>
                <w:tcPr>
                  <w:tcW w:w="413" w:type="pct"/>
                  <w:tcBorders>
                    <w:top w:val="single" w:sz="4" w:space="0" w:color="auto"/>
                    <w:left w:val="single" w:sz="4" w:space="0" w:color="auto"/>
                    <w:bottom w:val="single" w:sz="4" w:space="0" w:color="auto"/>
                    <w:right w:val="single" w:sz="4" w:space="0" w:color="auto"/>
                  </w:tcBorders>
                </w:tcPr>
                <w:p w14:paraId="6C09B276" w14:textId="77777777" w:rsidR="00DF7682" w:rsidRPr="008431E4" w:rsidRDefault="00DF7682" w:rsidP="00DF7682">
                  <w:pPr>
                    <w:spacing w:after="60"/>
                    <w:rPr>
                      <w:iCs/>
                      <w:sz w:val="20"/>
                    </w:rPr>
                  </w:pPr>
                  <w:r w:rsidRPr="008431E4">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4B10460A" w14:textId="77777777" w:rsidR="00DF7682" w:rsidRPr="008431E4" w:rsidRDefault="00DF7682" w:rsidP="00DF7682">
                  <w:pPr>
                    <w:spacing w:after="60"/>
                    <w:rPr>
                      <w:iCs/>
                      <w:sz w:val="20"/>
                    </w:rPr>
                  </w:pPr>
                  <w:r w:rsidRPr="008431E4">
                    <w:rPr>
                      <w:iCs/>
                      <w:sz w:val="20"/>
                    </w:rPr>
                    <w:t>A QSE.</w:t>
                  </w:r>
                </w:p>
              </w:tc>
            </w:tr>
            <w:tr w:rsidR="00DF7682" w:rsidRPr="008431E4" w14:paraId="2A4E17F4" w14:textId="77777777" w:rsidTr="00CE1011">
              <w:trPr>
                <w:cantSplit/>
              </w:trPr>
              <w:tc>
                <w:tcPr>
                  <w:tcW w:w="1167" w:type="pct"/>
                  <w:tcBorders>
                    <w:top w:val="single" w:sz="4" w:space="0" w:color="auto"/>
                    <w:left w:val="single" w:sz="4" w:space="0" w:color="auto"/>
                    <w:bottom w:val="single" w:sz="4" w:space="0" w:color="auto"/>
                    <w:right w:val="single" w:sz="4" w:space="0" w:color="auto"/>
                  </w:tcBorders>
                </w:tcPr>
                <w:p w14:paraId="3C0095A6" w14:textId="77777777" w:rsidR="00DF7682" w:rsidRPr="008431E4" w:rsidRDefault="00DF7682" w:rsidP="00DF7682">
                  <w:pPr>
                    <w:spacing w:after="60"/>
                    <w:rPr>
                      <w:i/>
                      <w:iCs/>
                      <w:sz w:val="20"/>
                    </w:rPr>
                  </w:pPr>
                  <w:r w:rsidRPr="008431E4">
                    <w:rPr>
                      <w:i/>
                      <w:iCs/>
                      <w:sz w:val="20"/>
                    </w:rPr>
                    <w:t>r</w:t>
                  </w:r>
                </w:p>
              </w:tc>
              <w:tc>
                <w:tcPr>
                  <w:tcW w:w="413" w:type="pct"/>
                  <w:tcBorders>
                    <w:top w:val="single" w:sz="4" w:space="0" w:color="auto"/>
                    <w:left w:val="single" w:sz="4" w:space="0" w:color="auto"/>
                    <w:bottom w:val="single" w:sz="4" w:space="0" w:color="auto"/>
                    <w:right w:val="single" w:sz="4" w:space="0" w:color="auto"/>
                  </w:tcBorders>
                </w:tcPr>
                <w:p w14:paraId="7D79DF56" w14:textId="77777777" w:rsidR="00DF7682" w:rsidRPr="008431E4" w:rsidRDefault="00DF7682" w:rsidP="00DF7682">
                  <w:pPr>
                    <w:spacing w:after="60"/>
                    <w:rPr>
                      <w:iCs/>
                      <w:sz w:val="20"/>
                    </w:rPr>
                  </w:pPr>
                  <w:r w:rsidRPr="008431E4">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4779E4DF" w14:textId="77777777" w:rsidR="00DF7682" w:rsidRPr="008431E4" w:rsidRDefault="00DF7682" w:rsidP="00DF7682">
                  <w:pPr>
                    <w:spacing w:after="60"/>
                    <w:rPr>
                      <w:iCs/>
                      <w:sz w:val="20"/>
                    </w:rPr>
                  </w:pPr>
                  <w:r w:rsidRPr="008431E4">
                    <w:rPr>
                      <w:iCs/>
                      <w:sz w:val="20"/>
                    </w:rPr>
                    <w:t xml:space="preserve">An </w:t>
                  </w:r>
                  <w:r>
                    <w:rPr>
                      <w:iCs/>
                      <w:sz w:val="20"/>
                    </w:rPr>
                    <w:t>MRA</w:t>
                  </w:r>
                  <w:r w:rsidRPr="008431E4">
                    <w:rPr>
                      <w:iCs/>
                      <w:sz w:val="20"/>
                    </w:rPr>
                    <w:t>.</w:t>
                  </w:r>
                </w:p>
              </w:tc>
            </w:tr>
            <w:tr w:rsidR="00DF7682" w:rsidRPr="008431E4" w14:paraId="3ECC363F" w14:textId="77777777" w:rsidTr="00CE1011">
              <w:trPr>
                <w:cantSplit/>
              </w:trPr>
              <w:tc>
                <w:tcPr>
                  <w:tcW w:w="1167" w:type="pct"/>
                  <w:tcBorders>
                    <w:top w:val="single" w:sz="4" w:space="0" w:color="auto"/>
                    <w:left w:val="single" w:sz="4" w:space="0" w:color="auto"/>
                    <w:bottom w:val="single" w:sz="4" w:space="0" w:color="auto"/>
                    <w:right w:val="single" w:sz="4" w:space="0" w:color="auto"/>
                  </w:tcBorders>
                </w:tcPr>
                <w:p w14:paraId="10F9B66C" w14:textId="77777777" w:rsidR="00DF7682" w:rsidRPr="008431E4" w:rsidRDefault="00DF7682" w:rsidP="00DF7682">
                  <w:pPr>
                    <w:spacing w:after="60"/>
                    <w:rPr>
                      <w:i/>
                      <w:iCs/>
                      <w:sz w:val="20"/>
                    </w:rPr>
                  </w:pPr>
                  <w:r w:rsidRPr="008431E4">
                    <w:rPr>
                      <w:i/>
                      <w:sz w:val="20"/>
                    </w:rPr>
                    <w:t>h</w:t>
                  </w:r>
                </w:p>
              </w:tc>
              <w:tc>
                <w:tcPr>
                  <w:tcW w:w="413" w:type="pct"/>
                  <w:tcBorders>
                    <w:top w:val="single" w:sz="4" w:space="0" w:color="auto"/>
                    <w:left w:val="single" w:sz="4" w:space="0" w:color="auto"/>
                    <w:bottom w:val="single" w:sz="4" w:space="0" w:color="auto"/>
                    <w:right w:val="single" w:sz="4" w:space="0" w:color="auto"/>
                  </w:tcBorders>
                </w:tcPr>
                <w:p w14:paraId="56D80B59" w14:textId="77777777" w:rsidR="00DF7682" w:rsidRPr="008431E4" w:rsidRDefault="00DF7682" w:rsidP="00DF7682">
                  <w:pPr>
                    <w:spacing w:after="60"/>
                    <w:rPr>
                      <w:iCs/>
                      <w:sz w:val="20"/>
                    </w:rPr>
                  </w:pPr>
                  <w:r w:rsidRPr="008431E4">
                    <w:rPr>
                      <w:sz w:val="20"/>
                    </w:rPr>
                    <w:t>none</w:t>
                  </w:r>
                </w:p>
              </w:tc>
              <w:tc>
                <w:tcPr>
                  <w:tcW w:w="3420" w:type="pct"/>
                  <w:tcBorders>
                    <w:top w:val="single" w:sz="4" w:space="0" w:color="auto"/>
                    <w:left w:val="single" w:sz="4" w:space="0" w:color="auto"/>
                    <w:bottom w:val="single" w:sz="4" w:space="0" w:color="auto"/>
                    <w:right w:val="single" w:sz="4" w:space="0" w:color="auto"/>
                  </w:tcBorders>
                </w:tcPr>
                <w:p w14:paraId="3938456D" w14:textId="77777777" w:rsidR="00DF7682" w:rsidRPr="008431E4" w:rsidRDefault="00DF7682" w:rsidP="00DF7682">
                  <w:pPr>
                    <w:spacing w:after="60"/>
                    <w:rPr>
                      <w:iCs/>
                      <w:sz w:val="20"/>
                    </w:rPr>
                  </w:pPr>
                  <w:r w:rsidRPr="00081671">
                    <w:rPr>
                      <w:iCs/>
                      <w:sz w:val="20"/>
                    </w:rPr>
                    <w:t>A</w:t>
                  </w:r>
                  <w:r>
                    <w:rPr>
                      <w:iCs/>
                      <w:sz w:val="20"/>
                    </w:rPr>
                    <w:t>n</w:t>
                  </w:r>
                  <w:r w:rsidRPr="00081671">
                    <w:rPr>
                      <w:iCs/>
                      <w:sz w:val="20"/>
                    </w:rPr>
                    <w:t xml:space="preserve"> </w:t>
                  </w:r>
                  <w:r>
                    <w:rPr>
                      <w:iCs/>
                      <w:sz w:val="20"/>
                    </w:rPr>
                    <w:t>MRA Contracted Hour</w:t>
                  </w:r>
                  <w:r w:rsidRPr="00081671">
                    <w:rPr>
                      <w:iCs/>
                      <w:sz w:val="20"/>
                    </w:rPr>
                    <w:t xml:space="preserve"> for the </w:t>
                  </w:r>
                  <w:r>
                    <w:rPr>
                      <w:iCs/>
                      <w:sz w:val="20"/>
                    </w:rPr>
                    <w:t>MRA Contracted Month</w:t>
                  </w:r>
                  <w:r w:rsidRPr="008431E4">
                    <w:rPr>
                      <w:sz w:val="20"/>
                    </w:rPr>
                    <w:t>.</w:t>
                  </w:r>
                </w:p>
              </w:tc>
            </w:tr>
          </w:tbl>
          <w:p w14:paraId="3B49EBF3" w14:textId="0B48EF8D" w:rsidR="00DF7682" w:rsidRPr="008431E4" w:rsidRDefault="00DF7682" w:rsidP="00DF7682">
            <w:pPr>
              <w:spacing w:before="240" w:after="240"/>
              <w:ind w:left="720" w:hanging="720"/>
              <w:rPr>
                <w:iCs/>
              </w:rPr>
            </w:pPr>
            <w:r w:rsidRPr="008431E4">
              <w:rPr>
                <w:iCs/>
              </w:rPr>
              <w:t>(</w:t>
            </w:r>
            <w:r w:rsidR="00AA432B">
              <w:rPr>
                <w:iCs/>
              </w:rPr>
              <w:t>6</w:t>
            </w:r>
            <w:r w:rsidRPr="008431E4">
              <w:rPr>
                <w:iCs/>
              </w:rPr>
              <w:t>)</w:t>
            </w:r>
            <w:r w:rsidRPr="008431E4">
              <w:rPr>
                <w:iCs/>
              </w:rPr>
              <w:tab/>
              <w:t xml:space="preserve">The total of the variable payments for a given </w:t>
            </w:r>
            <w:r>
              <w:rPr>
                <w:iCs/>
              </w:rPr>
              <w:t>MRA Contracted H</w:t>
            </w:r>
            <w:r w:rsidRPr="008431E4">
              <w:rPr>
                <w:iCs/>
              </w:rPr>
              <w:t>our is calculated as follows:</w:t>
            </w:r>
          </w:p>
          <w:p w14:paraId="1DED93AF" w14:textId="77777777" w:rsidR="00DF7682" w:rsidRPr="008431E4" w:rsidRDefault="00DF7682" w:rsidP="00DF7682">
            <w:pPr>
              <w:spacing w:after="240"/>
              <w:ind w:left="720"/>
              <w:rPr>
                <w:iCs/>
              </w:rPr>
            </w:pPr>
            <w:r w:rsidRPr="008431E4">
              <w:rPr>
                <w:iCs/>
              </w:rPr>
              <w:t xml:space="preserve">MRAVAMTTOT  =  </w:t>
            </w:r>
            <w:r w:rsidR="00150223" w:rsidRPr="008431E4">
              <w:rPr>
                <w:iCs/>
                <w:position w:val="-22"/>
              </w:rPr>
              <w:object w:dxaOrig="210" w:dyaOrig="465" w14:anchorId="5F555D5E">
                <v:shape id="_x0000_i1225" type="#_x0000_t75" style="width:5.4pt;height:30pt" o:ole="">
                  <v:imagedata r:id="rId187" o:title=""/>
                </v:shape>
                <o:OLEObject Type="Embed" ProgID="Equation.3" ShapeID="_x0000_i1225" DrawAspect="Content" ObjectID="_1815025414" r:id="rId277"/>
              </w:object>
            </w:r>
            <w:r w:rsidRPr="008431E4">
              <w:rPr>
                <w:iCs/>
              </w:rPr>
              <w:t xml:space="preserve"> MRAVAMTQSETOT</w:t>
            </w:r>
            <w:r>
              <w:rPr>
                <w:iCs/>
              </w:rPr>
              <w:t xml:space="preserve"> </w:t>
            </w:r>
            <w:r w:rsidRPr="008431E4">
              <w:rPr>
                <w:i/>
                <w:iCs/>
                <w:vertAlign w:val="subscript"/>
              </w:rPr>
              <w:t>q</w:t>
            </w:r>
            <w:r w:rsidRPr="008431E4">
              <w:rPr>
                <w:i/>
                <w:iCs/>
              </w:rPr>
              <w:t xml:space="preserve"> </w:t>
            </w:r>
            <w:r w:rsidRPr="008431E4">
              <w:rPr>
                <w:iCs/>
              </w:rPr>
              <w:t xml:space="preserve"> </w:t>
            </w:r>
          </w:p>
          <w:p w14:paraId="3E476236" w14:textId="77777777" w:rsidR="00DF7682" w:rsidRPr="008431E4" w:rsidRDefault="00DF7682" w:rsidP="00DF7682">
            <w:r w:rsidRPr="008431E4">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605"/>
              <w:gridCol w:w="6061"/>
            </w:tblGrid>
            <w:tr w:rsidR="00150223" w:rsidRPr="008431E4" w14:paraId="5040290D" w14:textId="77777777" w:rsidTr="00CE1011">
              <w:trPr>
                <w:cantSplit/>
                <w:tblHeader/>
              </w:trPr>
              <w:tc>
                <w:tcPr>
                  <w:tcW w:w="1398" w:type="pct"/>
                </w:tcPr>
                <w:p w14:paraId="538F8FF3" w14:textId="77777777" w:rsidR="00150223" w:rsidRPr="008431E4" w:rsidRDefault="00150223" w:rsidP="00150223">
                  <w:pPr>
                    <w:spacing w:after="240"/>
                    <w:rPr>
                      <w:b/>
                      <w:iCs/>
                      <w:sz w:val="20"/>
                    </w:rPr>
                  </w:pPr>
                  <w:r w:rsidRPr="008431E4">
                    <w:rPr>
                      <w:b/>
                      <w:iCs/>
                      <w:sz w:val="20"/>
                    </w:rPr>
                    <w:t>Variable</w:t>
                  </w:r>
                </w:p>
              </w:tc>
              <w:tc>
                <w:tcPr>
                  <w:tcW w:w="326" w:type="pct"/>
                </w:tcPr>
                <w:p w14:paraId="4592516B" w14:textId="77777777" w:rsidR="00150223" w:rsidRPr="008431E4" w:rsidRDefault="00150223" w:rsidP="00150223">
                  <w:pPr>
                    <w:spacing w:after="240"/>
                    <w:rPr>
                      <w:b/>
                      <w:iCs/>
                      <w:sz w:val="20"/>
                    </w:rPr>
                  </w:pPr>
                  <w:r w:rsidRPr="008431E4">
                    <w:rPr>
                      <w:b/>
                      <w:iCs/>
                      <w:sz w:val="20"/>
                    </w:rPr>
                    <w:t>Unit</w:t>
                  </w:r>
                </w:p>
              </w:tc>
              <w:tc>
                <w:tcPr>
                  <w:tcW w:w="3276" w:type="pct"/>
                </w:tcPr>
                <w:p w14:paraId="194A3E2E" w14:textId="77777777" w:rsidR="00150223" w:rsidRPr="008431E4" w:rsidRDefault="00150223" w:rsidP="00150223">
                  <w:pPr>
                    <w:spacing w:after="240"/>
                    <w:rPr>
                      <w:b/>
                      <w:iCs/>
                      <w:sz w:val="20"/>
                    </w:rPr>
                  </w:pPr>
                  <w:r w:rsidRPr="008431E4">
                    <w:rPr>
                      <w:b/>
                      <w:iCs/>
                      <w:sz w:val="20"/>
                    </w:rPr>
                    <w:t>Definition</w:t>
                  </w:r>
                </w:p>
              </w:tc>
            </w:tr>
            <w:tr w:rsidR="00150223" w:rsidRPr="008431E4" w14:paraId="0FEC4065" w14:textId="77777777" w:rsidTr="00CE1011">
              <w:trPr>
                <w:cantSplit/>
              </w:trPr>
              <w:tc>
                <w:tcPr>
                  <w:tcW w:w="1398" w:type="pct"/>
                </w:tcPr>
                <w:p w14:paraId="4873B65B" w14:textId="77777777" w:rsidR="00150223" w:rsidRPr="008431E4" w:rsidRDefault="00150223" w:rsidP="00150223">
                  <w:pPr>
                    <w:spacing w:after="60"/>
                    <w:rPr>
                      <w:iCs/>
                      <w:sz w:val="20"/>
                    </w:rPr>
                  </w:pPr>
                  <w:r w:rsidRPr="008431E4">
                    <w:rPr>
                      <w:iCs/>
                      <w:sz w:val="20"/>
                    </w:rPr>
                    <w:t>MRAVAMTTOT</w:t>
                  </w:r>
                </w:p>
              </w:tc>
              <w:tc>
                <w:tcPr>
                  <w:tcW w:w="326" w:type="pct"/>
                </w:tcPr>
                <w:p w14:paraId="1A27AAB6" w14:textId="77777777" w:rsidR="00150223" w:rsidRPr="008431E4" w:rsidRDefault="00150223" w:rsidP="00150223">
                  <w:pPr>
                    <w:spacing w:after="60"/>
                    <w:rPr>
                      <w:iCs/>
                      <w:sz w:val="20"/>
                    </w:rPr>
                  </w:pPr>
                  <w:r w:rsidRPr="008431E4">
                    <w:rPr>
                      <w:iCs/>
                      <w:sz w:val="20"/>
                    </w:rPr>
                    <w:t>$</w:t>
                  </w:r>
                </w:p>
              </w:tc>
              <w:tc>
                <w:tcPr>
                  <w:tcW w:w="3276" w:type="pct"/>
                </w:tcPr>
                <w:p w14:paraId="7ECCBFEF" w14:textId="77777777" w:rsidR="00150223" w:rsidRPr="008431E4" w:rsidRDefault="00150223" w:rsidP="00150223">
                  <w:pPr>
                    <w:spacing w:after="60"/>
                    <w:rPr>
                      <w:iCs/>
                      <w:sz w:val="20"/>
                    </w:rPr>
                  </w:pPr>
                  <w:r w:rsidRPr="008431E4">
                    <w:rPr>
                      <w:i/>
                      <w:iCs/>
                      <w:sz w:val="20"/>
                    </w:rPr>
                    <w:t>Must-Run Alternative Variable Amount Total by hour</w:t>
                  </w:r>
                  <w:r w:rsidRPr="008431E4">
                    <w:rPr>
                      <w:iCs/>
                      <w:sz w:val="20"/>
                    </w:rPr>
                    <w:t xml:space="preserve">—The total variable payments for the </w:t>
                  </w:r>
                  <w:r>
                    <w:rPr>
                      <w:iCs/>
                      <w:sz w:val="20"/>
                    </w:rPr>
                    <w:t>MRA Contracted H</w:t>
                  </w:r>
                  <w:r w:rsidRPr="008431E4">
                    <w:rPr>
                      <w:iCs/>
                      <w:sz w:val="20"/>
                    </w:rPr>
                    <w:t>our.</w:t>
                  </w:r>
                </w:p>
              </w:tc>
            </w:tr>
            <w:tr w:rsidR="00150223" w:rsidRPr="008431E4" w14:paraId="1B2A290A" w14:textId="77777777" w:rsidTr="00CE1011">
              <w:trPr>
                <w:cantSplit/>
              </w:trPr>
              <w:tc>
                <w:tcPr>
                  <w:tcW w:w="1398" w:type="pct"/>
                </w:tcPr>
                <w:p w14:paraId="756F0CE0" w14:textId="77777777" w:rsidR="00150223" w:rsidRPr="008431E4" w:rsidRDefault="00150223" w:rsidP="00150223">
                  <w:pPr>
                    <w:spacing w:after="60"/>
                    <w:rPr>
                      <w:iCs/>
                      <w:sz w:val="20"/>
                    </w:rPr>
                  </w:pPr>
                  <w:r w:rsidRPr="008431E4">
                    <w:rPr>
                      <w:iCs/>
                      <w:sz w:val="20"/>
                    </w:rPr>
                    <w:t>MRAVAMTQSETOT</w:t>
                  </w:r>
                  <w:r>
                    <w:rPr>
                      <w:iCs/>
                      <w:sz w:val="20"/>
                    </w:rPr>
                    <w:t xml:space="preserve"> </w:t>
                  </w:r>
                  <w:r w:rsidRPr="005A6FD5">
                    <w:rPr>
                      <w:i/>
                      <w:iCs/>
                      <w:sz w:val="20"/>
                      <w:vertAlign w:val="subscript"/>
                    </w:rPr>
                    <w:t>q</w:t>
                  </w:r>
                </w:p>
              </w:tc>
              <w:tc>
                <w:tcPr>
                  <w:tcW w:w="326" w:type="pct"/>
                </w:tcPr>
                <w:p w14:paraId="404DD154" w14:textId="77777777" w:rsidR="00150223" w:rsidRPr="008431E4" w:rsidRDefault="00150223" w:rsidP="00150223">
                  <w:pPr>
                    <w:spacing w:after="60"/>
                    <w:rPr>
                      <w:iCs/>
                      <w:sz w:val="20"/>
                    </w:rPr>
                  </w:pPr>
                  <w:r w:rsidRPr="008431E4">
                    <w:rPr>
                      <w:iCs/>
                      <w:sz w:val="20"/>
                    </w:rPr>
                    <w:t>$</w:t>
                  </w:r>
                </w:p>
              </w:tc>
              <w:tc>
                <w:tcPr>
                  <w:tcW w:w="3276" w:type="pct"/>
                </w:tcPr>
                <w:p w14:paraId="04646959" w14:textId="77777777" w:rsidR="00150223" w:rsidRPr="008431E4" w:rsidRDefault="00150223" w:rsidP="00150223">
                  <w:pPr>
                    <w:spacing w:after="60"/>
                    <w:rPr>
                      <w:iCs/>
                      <w:sz w:val="20"/>
                    </w:rPr>
                  </w:pPr>
                  <w:r w:rsidRPr="008431E4">
                    <w:rPr>
                      <w:i/>
                      <w:iCs/>
                      <w:sz w:val="20"/>
                    </w:rPr>
                    <w:t>Must-Run Alternative Variable Amount Total per QSE by hour</w:t>
                  </w:r>
                  <w:r w:rsidRPr="008431E4">
                    <w:rPr>
                      <w:iCs/>
                      <w:sz w:val="20"/>
                    </w:rPr>
                    <w:t xml:space="preserve">—The total variable payment for all </w:t>
                  </w:r>
                  <w:r>
                    <w:rPr>
                      <w:iCs/>
                      <w:sz w:val="20"/>
                    </w:rPr>
                    <w:t>MRA</w:t>
                  </w:r>
                  <w:r w:rsidRPr="008431E4">
                    <w:rPr>
                      <w:iCs/>
                      <w:sz w:val="20"/>
                    </w:rPr>
                    <w:t>s</w:t>
                  </w:r>
                  <w:r w:rsidRPr="008431E4">
                    <w:rPr>
                      <w:i/>
                      <w:iCs/>
                      <w:sz w:val="20"/>
                    </w:rPr>
                    <w:t xml:space="preserve">, </w:t>
                  </w:r>
                  <w:r w:rsidRPr="008431E4">
                    <w:rPr>
                      <w:iCs/>
                      <w:sz w:val="20"/>
                    </w:rPr>
                    <w:t>represented by the QSE</w:t>
                  </w:r>
                  <w:r w:rsidRPr="008431E4">
                    <w:rPr>
                      <w:i/>
                      <w:iCs/>
                      <w:sz w:val="20"/>
                    </w:rPr>
                    <w:t xml:space="preserve"> q</w:t>
                  </w:r>
                  <w:r w:rsidRPr="008431E4">
                    <w:rPr>
                      <w:iCs/>
                      <w:sz w:val="20"/>
                    </w:rPr>
                    <w:t xml:space="preserve">, for the </w:t>
                  </w:r>
                  <w:r>
                    <w:rPr>
                      <w:iCs/>
                      <w:sz w:val="20"/>
                    </w:rPr>
                    <w:t>MRA Contracted H</w:t>
                  </w:r>
                  <w:r w:rsidRPr="008431E4">
                    <w:rPr>
                      <w:iCs/>
                      <w:sz w:val="20"/>
                    </w:rPr>
                    <w:t xml:space="preserve">our. </w:t>
                  </w:r>
                </w:p>
              </w:tc>
            </w:tr>
            <w:tr w:rsidR="00150223" w:rsidRPr="008431E4" w14:paraId="71990747" w14:textId="77777777" w:rsidTr="00CE1011">
              <w:trPr>
                <w:cantSplit/>
              </w:trPr>
              <w:tc>
                <w:tcPr>
                  <w:tcW w:w="1398" w:type="pct"/>
                  <w:tcBorders>
                    <w:top w:val="single" w:sz="4" w:space="0" w:color="auto"/>
                    <w:left w:val="single" w:sz="4" w:space="0" w:color="auto"/>
                    <w:bottom w:val="single" w:sz="4" w:space="0" w:color="auto"/>
                    <w:right w:val="single" w:sz="4" w:space="0" w:color="auto"/>
                  </w:tcBorders>
                </w:tcPr>
                <w:p w14:paraId="3B7536D4" w14:textId="77777777" w:rsidR="00150223" w:rsidRPr="008431E4" w:rsidRDefault="00150223" w:rsidP="00150223">
                  <w:pPr>
                    <w:spacing w:after="60"/>
                    <w:rPr>
                      <w:i/>
                      <w:iCs/>
                      <w:sz w:val="20"/>
                    </w:rPr>
                  </w:pPr>
                  <w:r w:rsidRPr="008431E4">
                    <w:rPr>
                      <w:i/>
                      <w:iCs/>
                      <w:sz w:val="20"/>
                    </w:rPr>
                    <w:t>q</w:t>
                  </w:r>
                </w:p>
              </w:tc>
              <w:tc>
                <w:tcPr>
                  <w:tcW w:w="326" w:type="pct"/>
                  <w:tcBorders>
                    <w:top w:val="single" w:sz="4" w:space="0" w:color="auto"/>
                    <w:left w:val="single" w:sz="4" w:space="0" w:color="auto"/>
                    <w:bottom w:val="single" w:sz="4" w:space="0" w:color="auto"/>
                    <w:right w:val="single" w:sz="4" w:space="0" w:color="auto"/>
                  </w:tcBorders>
                </w:tcPr>
                <w:p w14:paraId="1AC546D3" w14:textId="77777777" w:rsidR="00150223" w:rsidRPr="008431E4" w:rsidRDefault="00150223" w:rsidP="00150223">
                  <w:pPr>
                    <w:spacing w:after="60"/>
                    <w:rPr>
                      <w:iCs/>
                      <w:sz w:val="20"/>
                    </w:rPr>
                  </w:pPr>
                  <w:r w:rsidRPr="008431E4">
                    <w:rPr>
                      <w:iCs/>
                      <w:sz w:val="20"/>
                    </w:rPr>
                    <w:t>none</w:t>
                  </w:r>
                </w:p>
              </w:tc>
              <w:tc>
                <w:tcPr>
                  <w:tcW w:w="3276" w:type="pct"/>
                  <w:tcBorders>
                    <w:top w:val="single" w:sz="4" w:space="0" w:color="auto"/>
                    <w:left w:val="single" w:sz="4" w:space="0" w:color="auto"/>
                    <w:bottom w:val="single" w:sz="4" w:space="0" w:color="auto"/>
                    <w:right w:val="single" w:sz="4" w:space="0" w:color="auto"/>
                  </w:tcBorders>
                </w:tcPr>
                <w:p w14:paraId="1D3ABE08" w14:textId="77777777" w:rsidR="00150223" w:rsidRPr="008431E4" w:rsidRDefault="00150223" w:rsidP="00150223">
                  <w:pPr>
                    <w:spacing w:after="60"/>
                    <w:rPr>
                      <w:iCs/>
                      <w:sz w:val="20"/>
                    </w:rPr>
                  </w:pPr>
                  <w:r w:rsidRPr="008431E4">
                    <w:rPr>
                      <w:iCs/>
                      <w:sz w:val="20"/>
                    </w:rPr>
                    <w:t>A QSE.</w:t>
                  </w:r>
                </w:p>
              </w:tc>
            </w:tr>
          </w:tbl>
          <w:p w14:paraId="16B92ED9" w14:textId="77777777" w:rsidR="00CE74E6" w:rsidRPr="00C3334D" w:rsidRDefault="00CE74E6" w:rsidP="00CE1011">
            <w:pPr>
              <w:spacing w:after="240"/>
              <w:ind w:left="720" w:hanging="720"/>
            </w:pPr>
          </w:p>
        </w:tc>
      </w:tr>
    </w:tbl>
    <w:p w14:paraId="13A3C22E" w14:textId="77777777" w:rsidR="00150223" w:rsidRDefault="00150223" w:rsidP="00150223">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50223" w14:paraId="00F556B5" w14:textId="77777777" w:rsidTr="00CE1011">
        <w:trPr>
          <w:trHeight w:val="206"/>
        </w:trPr>
        <w:tc>
          <w:tcPr>
            <w:tcW w:w="5000" w:type="pct"/>
            <w:shd w:val="pct12" w:color="auto" w:fill="auto"/>
          </w:tcPr>
          <w:p w14:paraId="0C5D2812" w14:textId="77777777" w:rsidR="00150223" w:rsidRDefault="00150223" w:rsidP="00CE1011">
            <w:pPr>
              <w:pStyle w:val="Instructions"/>
              <w:spacing w:before="120"/>
            </w:pPr>
            <w:r>
              <w:t>[NPRR885:  Insert Section 6.6.6.11 below upon system implementation:]</w:t>
            </w:r>
          </w:p>
          <w:p w14:paraId="6CD6E758" w14:textId="77777777" w:rsidR="00427EDA" w:rsidRPr="00427EDA" w:rsidRDefault="00427EDA" w:rsidP="00427EDA">
            <w:pPr>
              <w:keepNext/>
              <w:widowControl w:val="0"/>
              <w:tabs>
                <w:tab w:val="left" w:pos="1260"/>
              </w:tabs>
              <w:spacing w:before="240" w:after="240"/>
              <w:ind w:left="1267" w:hanging="1267"/>
              <w:outlineLvl w:val="3"/>
              <w:rPr>
                <w:b/>
                <w:bCs/>
                <w:snapToGrid w:val="0"/>
                <w:color w:val="000000"/>
              </w:rPr>
            </w:pPr>
            <w:bookmarkStart w:id="2409" w:name="_Toc17798758"/>
            <w:bookmarkStart w:id="2410" w:name="_Toc204411712"/>
            <w:r w:rsidRPr="00427EDA">
              <w:rPr>
                <w:b/>
                <w:bCs/>
                <w:snapToGrid w:val="0"/>
                <w:color w:val="000000"/>
              </w:rPr>
              <w:t>6.6.6.11</w:t>
            </w:r>
            <w:r w:rsidRPr="00427EDA">
              <w:rPr>
                <w:b/>
                <w:bCs/>
                <w:snapToGrid w:val="0"/>
                <w:color w:val="000000"/>
              </w:rPr>
              <w:tab/>
              <w:t>MRA Charge for Unexcused Misconduct</w:t>
            </w:r>
            <w:bookmarkEnd w:id="2409"/>
            <w:bookmarkEnd w:id="2410"/>
            <w:r w:rsidRPr="00427EDA">
              <w:rPr>
                <w:b/>
                <w:bCs/>
                <w:snapToGrid w:val="0"/>
                <w:color w:val="000000"/>
              </w:rPr>
              <w:t xml:space="preserve"> </w:t>
            </w:r>
          </w:p>
          <w:p w14:paraId="0B760CA3" w14:textId="77777777" w:rsidR="00427EDA" w:rsidRPr="00E45D39" w:rsidRDefault="00427EDA" w:rsidP="00427EDA">
            <w:pPr>
              <w:spacing w:after="240"/>
              <w:ind w:left="720" w:hanging="720"/>
            </w:pPr>
            <w:r w:rsidRPr="00E45D39">
              <w:t>(1)</w:t>
            </w:r>
            <w:r w:rsidRPr="00E45D39">
              <w:tab/>
              <w:t xml:space="preserve">If </w:t>
            </w:r>
            <w:r>
              <w:t>one or more M</w:t>
            </w:r>
            <w:r w:rsidRPr="00E45D39">
              <w:t>isco</w:t>
            </w:r>
            <w:r>
              <w:t>nduct Events are</w:t>
            </w:r>
            <w:r w:rsidRPr="00E45D39">
              <w:t xml:space="preserve"> </w:t>
            </w:r>
            <w:r>
              <w:t xml:space="preserve">not excused, as provided for in </w:t>
            </w:r>
            <w:r w:rsidRPr="00440106">
              <w:t>Section 3.14.4.8</w:t>
            </w:r>
            <w:r w:rsidRPr="00E45D39">
              <w:t>,</w:t>
            </w:r>
            <w:r w:rsidRPr="00BC3172">
              <w:t xml:space="preserve"> </w:t>
            </w:r>
            <w:r w:rsidRPr="00634D59">
              <w:t>MRA Misconduct Events</w:t>
            </w:r>
            <w:r>
              <w:t>,</w:t>
            </w:r>
            <w:r w:rsidRPr="00E45D39">
              <w:t xml:space="preserve"> then ERCOT shall char</w:t>
            </w:r>
            <w:r>
              <w:t>ge the QSE that represents the MRA</w:t>
            </w:r>
            <w:r w:rsidRPr="00E45D39">
              <w:t xml:space="preserve"> an unexcused misconduct amount for </w:t>
            </w:r>
            <w:r>
              <w:t xml:space="preserve">the Operating Day </w:t>
            </w:r>
            <w:r w:rsidRPr="00E45D39">
              <w:t>as follows:</w:t>
            </w:r>
          </w:p>
          <w:p w14:paraId="4ACF91D2" w14:textId="77777777" w:rsidR="00427EDA" w:rsidRPr="00D54F03" w:rsidRDefault="00427EDA" w:rsidP="00427EDA">
            <w:pPr>
              <w:tabs>
                <w:tab w:val="left" w:pos="2250"/>
                <w:tab w:val="left" w:pos="3150"/>
                <w:tab w:val="left" w:pos="3960"/>
              </w:tabs>
              <w:spacing w:after="240"/>
              <w:ind w:left="3960" w:hanging="3240"/>
              <w:rPr>
                <w:bCs/>
              </w:rPr>
            </w:pPr>
            <w:r w:rsidRPr="00D54F03">
              <w:rPr>
                <w:bCs/>
              </w:rPr>
              <w:t>MRA</w:t>
            </w:r>
            <w:r>
              <w:rPr>
                <w:bCs/>
              </w:rPr>
              <w:t>UM</w:t>
            </w:r>
            <w:r w:rsidRPr="00D54F03">
              <w:rPr>
                <w:bCs/>
              </w:rPr>
              <w:t xml:space="preserve">AMT </w:t>
            </w:r>
            <w:r w:rsidRPr="00D54F03">
              <w:rPr>
                <w:bCs/>
                <w:i/>
                <w:vertAlign w:val="subscript"/>
              </w:rPr>
              <w:t>q, r</w:t>
            </w:r>
            <w:r>
              <w:rPr>
                <w:bCs/>
                <w:i/>
                <w:vertAlign w:val="subscript"/>
              </w:rPr>
              <w:t>,h</w:t>
            </w:r>
            <w:r w:rsidRPr="00D54F03">
              <w:rPr>
                <w:bCs/>
              </w:rPr>
              <w:tab/>
              <w:t>=</w:t>
            </w:r>
            <w:r w:rsidRPr="00D54F03">
              <w:rPr>
                <w:bCs/>
              </w:rPr>
              <w:tab/>
              <w:t xml:space="preserve">$10,000 * </w:t>
            </w:r>
            <w:r w:rsidRPr="003B419B">
              <w:rPr>
                <w:bCs/>
              </w:rPr>
              <w:t>MRAUMFLAG</w:t>
            </w:r>
            <w:r w:rsidRPr="008431E4">
              <w:rPr>
                <w:bCs/>
                <w:i/>
                <w:vertAlign w:val="subscript"/>
              </w:rPr>
              <w:t xml:space="preserve"> </w:t>
            </w:r>
            <w:r w:rsidRPr="003F2D5C">
              <w:rPr>
                <w:bCs/>
                <w:i/>
                <w:vertAlign w:val="subscript"/>
              </w:rPr>
              <w:t>q, r</w:t>
            </w:r>
            <w:r w:rsidRPr="002B5C5B">
              <w:rPr>
                <w:vertAlign w:val="subscript"/>
              </w:rPr>
              <w:t>,</w:t>
            </w:r>
            <w:r w:rsidRPr="002B5C5B">
              <w:rPr>
                <w:i/>
                <w:vertAlign w:val="subscript"/>
              </w:rPr>
              <w:t xml:space="preserve"> </w:t>
            </w:r>
            <w:r>
              <w:rPr>
                <w:i/>
                <w:vertAlign w:val="subscript"/>
              </w:rPr>
              <w:t>d</w:t>
            </w:r>
            <w:r w:rsidRPr="003B419B">
              <w:rPr>
                <w:rFonts w:ascii="Times New Roman Bold" w:hAnsi="Times New Roman Bold"/>
                <w:bCs/>
                <w:i/>
                <w:vertAlign w:val="subscript"/>
              </w:rPr>
              <w:t xml:space="preserve"> </w:t>
            </w:r>
            <w:r>
              <w:rPr>
                <w:rFonts w:ascii="Times New Roman Bold" w:hAnsi="Times New Roman Bold"/>
                <w:bCs/>
                <w:i/>
                <w:vertAlign w:val="subscript"/>
              </w:rPr>
              <w:t xml:space="preserve"> </w:t>
            </w:r>
            <w:r w:rsidRPr="002B5C5B">
              <w:rPr>
                <w:rFonts w:ascii="Times New Roman Bold" w:hAnsi="Times New Roman Bold"/>
                <w:bCs/>
              </w:rPr>
              <w:t xml:space="preserve">/ </w:t>
            </w:r>
            <w:r w:rsidRPr="002B5C5B">
              <w:rPr>
                <w:bCs/>
              </w:rPr>
              <w:t>MRACH</w:t>
            </w:r>
            <w:r w:rsidRPr="003B419B">
              <w:rPr>
                <w:rFonts w:ascii="Times New Roman Bold" w:hAnsi="Times New Roman Bold"/>
                <w:bCs/>
                <w:i/>
                <w:vertAlign w:val="subscript"/>
              </w:rPr>
              <w:t xml:space="preserve"> </w:t>
            </w:r>
            <w:r w:rsidRPr="003F2D5C">
              <w:rPr>
                <w:bCs/>
                <w:i/>
                <w:vertAlign w:val="subscript"/>
              </w:rPr>
              <w:t>q, r</w:t>
            </w:r>
            <w:r w:rsidRPr="002B5C5B">
              <w:rPr>
                <w:vertAlign w:val="subscript"/>
              </w:rPr>
              <w:t>,</w:t>
            </w:r>
            <w:r w:rsidRPr="002B5C5B">
              <w:rPr>
                <w:i/>
                <w:vertAlign w:val="subscript"/>
              </w:rPr>
              <w:t xml:space="preserve"> </w:t>
            </w:r>
            <w:r>
              <w:rPr>
                <w:i/>
                <w:vertAlign w:val="subscript"/>
              </w:rPr>
              <w:t>d</w:t>
            </w:r>
          </w:p>
          <w:p w14:paraId="1819FF81" w14:textId="77777777" w:rsidR="00427EDA" w:rsidRPr="00E45D39" w:rsidRDefault="00427EDA" w:rsidP="00427EDA">
            <w:r w:rsidRPr="00E45D39">
              <w:t>The above variable is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720"/>
              <w:gridCol w:w="6660"/>
            </w:tblGrid>
            <w:tr w:rsidR="00427EDA" w:rsidRPr="00E45D39" w14:paraId="70F8147B" w14:textId="77777777" w:rsidTr="00CE1011">
              <w:trPr>
                <w:cantSplit/>
                <w:tblHeader/>
              </w:trPr>
              <w:tc>
                <w:tcPr>
                  <w:tcW w:w="1885" w:type="dxa"/>
                </w:tcPr>
                <w:p w14:paraId="386BC604" w14:textId="77777777" w:rsidR="00427EDA" w:rsidRPr="00E45D39" w:rsidRDefault="00427EDA" w:rsidP="00427EDA">
                  <w:pPr>
                    <w:spacing w:after="120"/>
                    <w:rPr>
                      <w:b/>
                      <w:iCs/>
                      <w:sz w:val="20"/>
                    </w:rPr>
                  </w:pPr>
                  <w:r w:rsidRPr="00E45D39">
                    <w:rPr>
                      <w:b/>
                      <w:iCs/>
                      <w:sz w:val="20"/>
                    </w:rPr>
                    <w:t>Variable</w:t>
                  </w:r>
                </w:p>
              </w:tc>
              <w:tc>
                <w:tcPr>
                  <w:tcW w:w="720" w:type="dxa"/>
                </w:tcPr>
                <w:p w14:paraId="19984C3D" w14:textId="77777777" w:rsidR="00427EDA" w:rsidRPr="00E45D39" w:rsidRDefault="00427EDA" w:rsidP="00427EDA">
                  <w:pPr>
                    <w:spacing w:after="120"/>
                    <w:rPr>
                      <w:b/>
                      <w:iCs/>
                      <w:sz w:val="20"/>
                    </w:rPr>
                  </w:pPr>
                  <w:r w:rsidRPr="00E45D39">
                    <w:rPr>
                      <w:b/>
                      <w:iCs/>
                      <w:sz w:val="20"/>
                    </w:rPr>
                    <w:t>Unit</w:t>
                  </w:r>
                </w:p>
              </w:tc>
              <w:tc>
                <w:tcPr>
                  <w:tcW w:w="6660" w:type="dxa"/>
                </w:tcPr>
                <w:p w14:paraId="02B19043" w14:textId="77777777" w:rsidR="00427EDA" w:rsidRPr="00E45D39" w:rsidRDefault="00427EDA" w:rsidP="00427EDA">
                  <w:pPr>
                    <w:spacing w:after="120"/>
                    <w:rPr>
                      <w:b/>
                      <w:iCs/>
                      <w:sz w:val="20"/>
                    </w:rPr>
                  </w:pPr>
                  <w:r w:rsidRPr="00E45D39">
                    <w:rPr>
                      <w:b/>
                      <w:iCs/>
                      <w:sz w:val="20"/>
                    </w:rPr>
                    <w:t>Definition</w:t>
                  </w:r>
                </w:p>
              </w:tc>
            </w:tr>
            <w:tr w:rsidR="00427EDA" w:rsidRPr="00E45D39" w14:paraId="6F656978" w14:textId="77777777" w:rsidTr="00CE1011">
              <w:trPr>
                <w:cantSplit/>
              </w:trPr>
              <w:tc>
                <w:tcPr>
                  <w:tcW w:w="1885" w:type="dxa"/>
                </w:tcPr>
                <w:p w14:paraId="7836B116" w14:textId="77777777" w:rsidR="00427EDA" w:rsidRPr="00E45D39" w:rsidRDefault="00427EDA" w:rsidP="00427EDA">
                  <w:pPr>
                    <w:spacing w:after="60"/>
                    <w:rPr>
                      <w:iCs/>
                      <w:sz w:val="20"/>
                    </w:rPr>
                  </w:pPr>
                  <w:r w:rsidRPr="00E45D39">
                    <w:rPr>
                      <w:iCs/>
                      <w:sz w:val="20"/>
                    </w:rPr>
                    <w:t>MR</w:t>
                  </w:r>
                  <w:r>
                    <w:rPr>
                      <w:iCs/>
                      <w:sz w:val="20"/>
                    </w:rPr>
                    <w:t>AUM</w:t>
                  </w:r>
                  <w:r w:rsidRPr="00E45D39">
                    <w:rPr>
                      <w:iCs/>
                      <w:sz w:val="20"/>
                    </w:rPr>
                    <w:t xml:space="preserve">AMT </w:t>
                  </w:r>
                  <w:r w:rsidRPr="00E45D39">
                    <w:rPr>
                      <w:i/>
                      <w:iCs/>
                      <w:sz w:val="20"/>
                      <w:vertAlign w:val="subscript"/>
                    </w:rPr>
                    <w:t>q, r</w:t>
                  </w:r>
                  <w:r>
                    <w:rPr>
                      <w:i/>
                      <w:iCs/>
                      <w:sz w:val="20"/>
                      <w:vertAlign w:val="subscript"/>
                    </w:rPr>
                    <w:t>, h</w:t>
                  </w:r>
                </w:p>
              </w:tc>
              <w:tc>
                <w:tcPr>
                  <w:tcW w:w="720" w:type="dxa"/>
                </w:tcPr>
                <w:p w14:paraId="65349A3E" w14:textId="77777777" w:rsidR="00427EDA" w:rsidRPr="00E45D39" w:rsidRDefault="00427EDA" w:rsidP="00427EDA">
                  <w:pPr>
                    <w:spacing w:after="60"/>
                    <w:rPr>
                      <w:iCs/>
                      <w:sz w:val="20"/>
                    </w:rPr>
                  </w:pPr>
                  <w:r w:rsidRPr="00E45D39">
                    <w:rPr>
                      <w:iCs/>
                      <w:sz w:val="20"/>
                    </w:rPr>
                    <w:t>$</w:t>
                  </w:r>
                </w:p>
              </w:tc>
              <w:tc>
                <w:tcPr>
                  <w:tcW w:w="6660" w:type="dxa"/>
                </w:tcPr>
                <w:p w14:paraId="2E0E231A" w14:textId="77777777" w:rsidR="00427EDA" w:rsidRPr="00E45D39" w:rsidRDefault="00427EDA" w:rsidP="00427EDA">
                  <w:pPr>
                    <w:spacing w:after="60"/>
                    <w:rPr>
                      <w:iCs/>
                      <w:sz w:val="20"/>
                    </w:rPr>
                  </w:pPr>
                  <w:r w:rsidRPr="00E45D39">
                    <w:rPr>
                      <w:i/>
                      <w:iCs/>
                      <w:sz w:val="20"/>
                    </w:rPr>
                    <w:t xml:space="preserve">Must-Run </w:t>
                  </w:r>
                  <w:r>
                    <w:rPr>
                      <w:i/>
                      <w:iCs/>
                      <w:sz w:val="20"/>
                    </w:rPr>
                    <w:t xml:space="preserve">Alternative </w:t>
                  </w:r>
                  <w:r w:rsidRPr="00E45D39">
                    <w:rPr>
                      <w:i/>
                      <w:iCs/>
                      <w:sz w:val="20"/>
                    </w:rPr>
                    <w:t>Unexcused Misconduct Charge per QSE per Resource</w:t>
                  </w:r>
                  <w:r w:rsidRPr="00E45D39">
                    <w:rPr>
                      <w:iCs/>
                      <w:sz w:val="20"/>
                    </w:rPr>
                    <w:t xml:space="preserve">—The charge to QSE </w:t>
                  </w:r>
                  <w:r w:rsidRPr="00E45D39">
                    <w:rPr>
                      <w:i/>
                      <w:iCs/>
                      <w:sz w:val="20"/>
                    </w:rPr>
                    <w:t>q</w:t>
                  </w:r>
                  <w:r w:rsidRPr="00E45D39">
                    <w:rPr>
                      <w:iCs/>
                      <w:sz w:val="20"/>
                    </w:rPr>
                    <w:t xml:space="preserve"> for the</w:t>
                  </w:r>
                  <w:r>
                    <w:rPr>
                      <w:iCs/>
                      <w:sz w:val="20"/>
                    </w:rPr>
                    <w:t xml:space="preserve"> unexcused Misconduct Event of MRA</w:t>
                  </w:r>
                  <w:r w:rsidRPr="00E45D39">
                    <w:rPr>
                      <w:iCs/>
                      <w:sz w:val="20"/>
                    </w:rPr>
                    <w:t xml:space="preserve"> </w:t>
                  </w:r>
                  <w:r w:rsidRPr="00E45D39">
                    <w:rPr>
                      <w:i/>
                      <w:iCs/>
                      <w:sz w:val="20"/>
                    </w:rPr>
                    <w:t>r</w:t>
                  </w:r>
                  <w:r>
                    <w:rPr>
                      <w:iCs/>
                      <w:sz w:val="20"/>
                    </w:rPr>
                    <w:t xml:space="preserve"> for the hour </w:t>
                  </w:r>
                  <w:r w:rsidRPr="002B5C5B">
                    <w:rPr>
                      <w:i/>
                      <w:iCs/>
                      <w:sz w:val="20"/>
                    </w:rPr>
                    <w:t>h</w:t>
                  </w:r>
                  <w:r w:rsidRPr="00E45D39">
                    <w:rPr>
                      <w:iCs/>
                      <w:sz w:val="20"/>
                    </w:rPr>
                    <w:t xml:space="preserve">.  Where for a Combined Cycle Train, the Resource </w:t>
                  </w:r>
                  <w:r w:rsidRPr="00E45D39">
                    <w:rPr>
                      <w:i/>
                      <w:iCs/>
                      <w:sz w:val="20"/>
                    </w:rPr>
                    <w:t xml:space="preserve">r </w:t>
                  </w:r>
                  <w:r w:rsidRPr="00E45D39">
                    <w:rPr>
                      <w:iCs/>
                      <w:sz w:val="20"/>
                    </w:rPr>
                    <w:t xml:space="preserve">is the Combined Cycle Train. </w:t>
                  </w:r>
                </w:p>
              </w:tc>
            </w:tr>
            <w:tr w:rsidR="00427EDA" w:rsidRPr="00E45D39" w14:paraId="2B37CD17" w14:textId="77777777" w:rsidTr="00CE1011">
              <w:trPr>
                <w:cantSplit/>
              </w:trPr>
              <w:tc>
                <w:tcPr>
                  <w:tcW w:w="1885" w:type="dxa"/>
                  <w:tcBorders>
                    <w:top w:val="single" w:sz="4" w:space="0" w:color="auto"/>
                    <w:left w:val="single" w:sz="4" w:space="0" w:color="auto"/>
                    <w:bottom w:val="single" w:sz="4" w:space="0" w:color="auto"/>
                    <w:right w:val="single" w:sz="4" w:space="0" w:color="auto"/>
                  </w:tcBorders>
                </w:tcPr>
                <w:p w14:paraId="208C164F" w14:textId="77777777" w:rsidR="00427EDA" w:rsidRPr="00E45D39" w:rsidRDefault="00427EDA" w:rsidP="00427EDA">
                  <w:pPr>
                    <w:spacing w:after="60"/>
                    <w:rPr>
                      <w:iCs/>
                      <w:sz w:val="20"/>
                    </w:rPr>
                  </w:pPr>
                  <w:r w:rsidRPr="00E45D39">
                    <w:rPr>
                      <w:iCs/>
                      <w:sz w:val="20"/>
                    </w:rPr>
                    <w:t>MR</w:t>
                  </w:r>
                  <w:r>
                    <w:rPr>
                      <w:iCs/>
                      <w:sz w:val="20"/>
                    </w:rPr>
                    <w:t>AUM</w:t>
                  </w:r>
                  <w:r w:rsidRPr="00E45D39">
                    <w:rPr>
                      <w:iCs/>
                      <w:sz w:val="20"/>
                    </w:rPr>
                    <w:t xml:space="preserve">FLAG </w:t>
                  </w:r>
                  <w:r w:rsidRPr="00E45D39">
                    <w:rPr>
                      <w:i/>
                      <w:iCs/>
                      <w:sz w:val="20"/>
                      <w:vertAlign w:val="subscript"/>
                    </w:rPr>
                    <w:t>q, r</w:t>
                  </w:r>
                  <w:r>
                    <w:rPr>
                      <w:i/>
                      <w:iCs/>
                      <w:sz w:val="20"/>
                      <w:vertAlign w:val="subscript"/>
                    </w:rPr>
                    <w:t>, d</w:t>
                  </w:r>
                </w:p>
              </w:tc>
              <w:tc>
                <w:tcPr>
                  <w:tcW w:w="720" w:type="dxa"/>
                  <w:tcBorders>
                    <w:top w:val="single" w:sz="4" w:space="0" w:color="auto"/>
                    <w:left w:val="single" w:sz="4" w:space="0" w:color="auto"/>
                    <w:bottom w:val="single" w:sz="4" w:space="0" w:color="auto"/>
                    <w:right w:val="single" w:sz="4" w:space="0" w:color="auto"/>
                  </w:tcBorders>
                </w:tcPr>
                <w:p w14:paraId="394095F6" w14:textId="77777777" w:rsidR="00427EDA" w:rsidRPr="00E45D39" w:rsidRDefault="00427EDA" w:rsidP="00427EDA">
                  <w:pPr>
                    <w:spacing w:after="60"/>
                    <w:rPr>
                      <w:iCs/>
                      <w:sz w:val="20"/>
                    </w:rPr>
                  </w:pPr>
                  <w:r>
                    <w:rPr>
                      <w:iCs/>
                      <w:sz w:val="20"/>
                    </w:rPr>
                    <w:t>none</w:t>
                  </w:r>
                </w:p>
              </w:tc>
              <w:tc>
                <w:tcPr>
                  <w:tcW w:w="6660" w:type="dxa"/>
                  <w:tcBorders>
                    <w:top w:val="single" w:sz="4" w:space="0" w:color="auto"/>
                    <w:left w:val="single" w:sz="4" w:space="0" w:color="auto"/>
                    <w:bottom w:val="single" w:sz="4" w:space="0" w:color="auto"/>
                    <w:right w:val="single" w:sz="4" w:space="0" w:color="auto"/>
                  </w:tcBorders>
                </w:tcPr>
                <w:p w14:paraId="7DC5E038" w14:textId="19CC1B5A" w:rsidR="00427EDA" w:rsidRPr="00E45D39" w:rsidRDefault="00427EDA" w:rsidP="00F602B7">
                  <w:pPr>
                    <w:spacing w:after="60"/>
                    <w:rPr>
                      <w:iCs/>
                      <w:sz w:val="20"/>
                    </w:rPr>
                  </w:pPr>
                  <w:r w:rsidRPr="00E45D39">
                    <w:rPr>
                      <w:i/>
                      <w:iCs/>
                      <w:sz w:val="20"/>
                    </w:rPr>
                    <w:t xml:space="preserve">Must-Run </w:t>
                  </w:r>
                  <w:r>
                    <w:rPr>
                      <w:i/>
                      <w:iCs/>
                      <w:sz w:val="20"/>
                    </w:rPr>
                    <w:t>Alternative Unexcused</w:t>
                  </w:r>
                  <w:r w:rsidRPr="00E45D39">
                    <w:rPr>
                      <w:i/>
                      <w:iCs/>
                      <w:sz w:val="20"/>
                    </w:rPr>
                    <w:t xml:space="preserve"> </w:t>
                  </w:r>
                  <w:r>
                    <w:rPr>
                      <w:i/>
                      <w:iCs/>
                      <w:sz w:val="20"/>
                    </w:rPr>
                    <w:t xml:space="preserve">Misconduct </w:t>
                  </w:r>
                  <w:r w:rsidRPr="00E45D39">
                    <w:rPr>
                      <w:i/>
                      <w:iCs/>
                      <w:sz w:val="20"/>
                    </w:rPr>
                    <w:t>Flag per QSE per Resource</w:t>
                  </w:r>
                  <w:r w:rsidRPr="00E45D39">
                    <w:rPr>
                      <w:iCs/>
                      <w:sz w:val="20"/>
                    </w:rPr>
                    <w:t xml:space="preserve">—A flag for the QSE </w:t>
                  </w:r>
                  <w:r w:rsidRPr="00E45D39">
                    <w:rPr>
                      <w:i/>
                      <w:iCs/>
                      <w:sz w:val="20"/>
                    </w:rPr>
                    <w:t xml:space="preserve">q </w:t>
                  </w:r>
                  <w:r w:rsidRPr="00E45D39">
                    <w:rPr>
                      <w:iCs/>
                      <w:sz w:val="20"/>
                    </w:rPr>
                    <w:t>for the</w:t>
                  </w:r>
                  <w:r>
                    <w:rPr>
                      <w:iCs/>
                      <w:sz w:val="20"/>
                    </w:rPr>
                    <w:t xml:space="preserve"> unexcused Misconduct Event of MRA</w:t>
                  </w:r>
                  <w:r w:rsidRPr="00E45D39">
                    <w:rPr>
                      <w:iCs/>
                      <w:sz w:val="20"/>
                    </w:rPr>
                    <w:t xml:space="preserve"> </w:t>
                  </w:r>
                  <w:r w:rsidRPr="00E45D39">
                    <w:rPr>
                      <w:i/>
                      <w:iCs/>
                      <w:sz w:val="20"/>
                    </w:rPr>
                    <w:t>r</w:t>
                  </w:r>
                  <w:r w:rsidRPr="00E45D39">
                    <w:rPr>
                      <w:iCs/>
                      <w:sz w:val="20"/>
                    </w:rPr>
                    <w:t xml:space="preserve"> for an Operating Day</w:t>
                  </w:r>
                  <w:r>
                    <w:rPr>
                      <w:iCs/>
                      <w:sz w:val="20"/>
                    </w:rPr>
                    <w:t xml:space="preserve"> </w:t>
                  </w:r>
                  <w:r w:rsidRPr="009701A9">
                    <w:rPr>
                      <w:i/>
                      <w:iCs/>
                      <w:sz w:val="20"/>
                    </w:rPr>
                    <w:t>d</w:t>
                  </w:r>
                  <w:r w:rsidRPr="00E45D39">
                    <w:rPr>
                      <w:iCs/>
                      <w:sz w:val="20"/>
                    </w:rPr>
                    <w:t xml:space="preserve">.  </w:t>
                  </w:r>
                  <w:r w:rsidRPr="00A36BCC">
                    <w:rPr>
                      <w:sz w:val="20"/>
                    </w:rPr>
                    <w:t xml:space="preserve">The </w:t>
                  </w:r>
                  <w:r>
                    <w:rPr>
                      <w:sz w:val="20"/>
                    </w:rPr>
                    <w:t>MRAUMFLAG</w:t>
                  </w:r>
                  <w:r>
                    <w:rPr>
                      <w:iCs/>
                      <w:sz w:val="20"/>
                    </w:rPr>
                    <w:t xml:space="preserve"> </w:t>
                  </w:r>
                  <w:r w:rsidRPr="00DE2EDE">
                    <w:rPr>
                      <w:sz w:val="20"/>
                    </w:rPr>
                    <w:t>of MR</w:t>
                  </w:r>
                  <w:r>
                    <w:rPr>
                      <w:sz w:val="20"/>
                    </w:rPr>
                    <w:t>A</w:t>
                  </w:r>
                  <w:r w:rsidRPr="00A36BCC">
                    <w:rPr>
                      <w:sz w:val="20"/>
                    </w:rPr>
                    <w:t xml:space="preserve"> </w:t>
                  </w:r>
                  <w:r w:rsidRPr="00DE2EDE">
                    <w:rPr>
                      <w:sz w:val="20"/>
                    </w:rPr>
                    <w:t xml:space="preserve">represented by QSE </w:t>
                  </w:r>
                  <w:r w:rsidRPr="00DE2EDE">
                    <w:rPr>
                      <w:i/>
                      <w:sz w:val="20"/>
                    </w:rPr>
                    <w:t>q</w:t>
                  </w:r>
                  <w:r w:rsidRPr="00DE2EDE">
                    <w:rPr>
                      <w:sz w:val="20"/>
                    </w:rPr>
                    <w:t xml:space="preserve">, 1 for </w:t>
                  </w:r>
                  <w:r>
                    <w:rPr>
                      <w:sz w:val="20"/>
                    </w:rPr>
                    <w:t xml:space="preserve">a </w:t>
                  </w:r>
                  <w:r>
                    <w:rPr>
                      <w:iCs/>
                      <w:sz w:val="20"/>
                    </w:rPr>
                    <w:t>unexcused</w:t>
                  </w:r>
                  <w:r>
                    <w:rPr>
                      <w:sz w:val="20"/>
                    </w:rPr>
                    <w:t xml:space="preserve"> </w:t>
                  </w:r>
                  <w:r>
                    <w:rPr>
                      <w:iCs/>
                      <w:sz w:val="20"/>
                    </w:rPr>
                    <w:t xml:space="preserve">misconduct </w:t>
                  </w:r>
                  <w:r w:rsidRPr="00DE2EDE">
                    <w:rPr>
                      <w:sz w:val="20"/>
                    </w:rPr>
                    <w:t xml:space="preserve">and 0 for </w:t>
                  </w:r>
                  <w:r>
                    <w:rPr>
                      <w:sz w:val="20"/>
                    </w:rPr>
                    <w:t>none</w:t>
                  </w:r>
                  <w:r w:rsidRPr="00DE2EDE">
                    <w:rPr>
                      <w:sz w:val="20"/>
                    </w:rPr>
                    <w:t xml:space="preserve">, for the </w:t>
                  </w:r>
                  <w:r>
                    <w:rPr>
                      <w:sz w:val="20"/>
                    </w:rPr>
                    <w:t xml:space="preserve">day. </w:t>
                  </w:r>
                  <w:r w:rsidRPr="00DE2EDE" w:rsidDel="00A36BCC">
                    <w:rPr>
                      <w:rStyle w:val="CommentReference"/>
                      <w:sz w:val="20"/>
                    </w:rPr>
                    <w:t xml:space="preserve"> </w:t>
                  </w:r>
                  <w:r w:rsidRPr="00A36BCC">
                    <w:rPr>
                      <w:iCs/>
                      <w:sz w:val="20"/>
                    </w:rPr>
                    <w:t xml:space="preserve">Where for a Combined Cycle Train, the Resource </w:t>
                  </w:r>
                  <w:r w:rsidRPr="00A36BCC">
                    <w:rPr>
                      <w:i/>
                      <w:iCs/>
                      <w:sz w:val="20"/>
                    </w:rPr>
                    <w:t xml:space="preserve">r </w:t>
                  </w:r>
                  <w:r w:rsidRPr="00A36BCC">
                    <w:rPr>
                      <w:iCs/>
                      <w:sz w:val="20"/>
                    </w:rPr>
                    <w:t>is the Combined Cycle Train.</w:t>
                  </w:r>
                  <w:r w:rsidRPr="00E45D39">
                    <w:rPr>
                      <w:iCs/>
                      <w:sz w:val="20"/>
                    </w:rPr>
                    <w:t xml:space="preserve"> </w:t>
                  </w:r>
                </w:p>
              </w:tc>
            </w:tr>
            <w:tr w:rsidR="00427EDA" w:rsidRPr="00E45D39" w14:paraId="475C5156" w14:textId="77777777" w:rsidTr="00CE1011">
              <w:trPr>
                <w:cantSplit/>
              </w:trPr>
              <w:tc>
                <w:tcPr>
                  <w:tcW w:w="1885" w:type="dxa"/>
                  <w:tcBorders>
                    <w:top w:val="single" w:sz="4" w:space="0" w:color="auto"/>
                    <w:left w:val="single" w:sz="4" w:space="0" w:color="auto"/>
                    <w:bottom w:val="single" w:sz="4" w:space="0" w:color="auto"/>
                    <w:right w:val="single" w:sz="4" w:space="0" w:color="auto"/>
                  </w:tcBorders>
                </w:tcPr>
                <w:p w14:paraId="16C3B1DE" w14:textId="77777777" w:rsidR="00427EDA" w:rsidRPr="00E45D39" w:rsidRDefault="00427EDA" w:rsidP="00427EDA">
                  <w:pPr>
                    <w:spacing w:after="60"/>
                    <w:rPr>
                      <w:iCs/>
                      <w:sz w:val="20"/>
                    </w:rPr>
                  </w:pPr>
                  <w:r>
                    <w:rPr>
                      <w:iCs/>
                      <w:sz w:val="20"/>
                    </w:rPr>
                    <w:lastRenderedPageBreak/>
                    <w:t>MRA</w:t>
                  </w:r>
                  <w:r w:rsidRPr="002B5C5B">
                    <w:rPr>
                      <w:iCs/>
                      <w:sz w:val="20"/>
                    </w:rPr>
                    <w:t xml:space="preserve">CH </w:t>
                  </w:r>
                  <w:r w:rsidRPr="002B5C5B">
                    <w:rPr>
                      <w:i/>
                      <w:iCs/>
                      <w:sz w:val="20"/>
                      <w:vertAlign w:val="subscript"/>
                    </w:rPr>
                    <w:t>q,</w:t>
                  </w:r>
                  <w:r>
                    <w:rPr>
                      <w:i/>
                      <w:iCs/>
                      <w:sz w:val="20"/>
                      <w:vertAlign w:val="subscript"/>
                    </w:rPr>
                    <w:t xml:space="preserve"> </w:t>
                  </w:r>
                  <w:r w:rsidRPr="002B5C5B">
                    <w:rPr>
                      <w:i/>
                      <w:iCs/>
                      <w:sz w:val="20"/>
                      <w:vertAlign w:val="subscript"/>
                    </w:rPr>
                    <w:t>r,</w:t>
                  </w:r>
                  <w:r>
                    <w:rPr>
                      <w:i/>
                      <w:iCs/>
                      <w:sz w:val="20"/>
                      <w:vertAlign w:val="subscript"/>
                    </w:rPr>
                    <w:t xml:space="preserve"> </w:t>
                  </w:r>
                  <w:r w:rsidRPr="002B5C5B">
                    <w:rPr>
                      <w:i/>
                      <w:iCs/>
                      <w:sz w:val="20"/>
                      <w:vertAlign w:val="subscript"/>
                    </w:rPr>
                    <w:t>d</w:t>
                  </w:r>
                </w:p>
              </w:tc>
              <w:tc>
                <w:tcPr>
                  <w:tcW w:w="720" w:type="dxa"/>
                  <w:tcBorders>
                    <w:top w:val="single" w:sz="4" w:space="0" w:color="auto"/>
                    <w:left w:val="single" w:sz="4" w:space="0" w:color="auto"/>
                    <w:bottom w:val="single" w:sz="4" w:space="0" w:color="auto"/>
                    <w:right w:val="single" w:sz="4" w:space="0" w:color="auto"/>
                  </w:tcBorders>
                </w:tcPr>
                <w:p w14:paraId="6C8B4233" w14:textId="77777777" w:rsidR="00427EDA" w:rsidRPr="00E45D39" w:rsidRDefault="00427EDA" w:rsidP="00427EDA">
                  <w:pPr>
                    <w:spacing w:after="60"/>
                    <w:rPr>
                      <w:iCs/>
                      <w:sz w:val="20"/>
                    </w:rPr>
                  </w:pPr>
                  <w:r>
                    <w:rPr>
                      <w:iCs/>
                      <w:sz w:val="20"/>
                    </w:rPr>
                    <w:t>hour</w:t>
                  </w:r>
                </w:p>
              </w:tc>
              <w:tc>
                <w:tcPr>
                  <w:tcW w:w="6660" w:type="dxa"/>
                  <w:tcBorders>
                    <w:top w:val="single" w:sz="4" w:space="0" w:color="auto"/>
                    <w:left w:val="single" w:sz="4" w:space="0" w:color="auto"/>
                    <w:bottom w:val="single" w:sz="4" w:space="0" w:color="auto"/>
                    <w:right w:val="single" w:sz="4" w:space="0" w:color="auto"/>
                  </w:tcBorders>
                </w:tcPr>
                <w:p w14:paraId="35779357" w14:textId="77777777" w:rsidR="00427EDA" w:rsidRPr="002B5C5B" w:rsidRDefault="00427EDA" w:rsidP="00427EDA">
                  <w:pPr>
                    <w:spacing w:after="60"/>
                    <w:rPr>
                      <w:iCs/>
                      <w:sz w:val="20"/>
                    </w:rPr>
                  </w:pPr>
                  <w:r>
                    <w:rPr>
                      <w:i/>
                      <w:iCs/>
                      <w:sz w:val="20"/>
                    </w:rPr>
                    <w:t xml:space="preserve">Must-Run Alternative Contract Hours in the Operating Day – </w:t>
                  </w:r>
                  <w:r>
                    <w:rPr>
                      <w:iCs/>
                      <w:sz w:val="20"/>
                    </w:rPr>
                    <w:t xml:space="preserve">The number of MRA Contracted Hours for </w:t>
                  </w:r>
                  <w:r w:rsidRPr="00E45D39">
                    <w:rPr>
                      <w:iCs/>
                      <w:sz w:val="20"/>
                    </w:rPr>
                    <w:t xml:space="preserve">QSE </w:t>
                  </w:r>
                  <w:r w:rsidRPr="00E45D39">
                    <w:rPr>
                      <w:i/>
                      <w:iCs/>
                      <w:sz w:val="20"/>
                    </w:rPr>
                    <w:t>q</w:t>
                  </w:r>
                  <w:r>
                    <w:rPr>
                      <w:iCs/>
                      <w:sz w:val="20"/>
                    </w:rPr>
                    <w:t xml:space="preserve"> for the MRA</w:t>
                  </w:r>
                  <w:r w:rsidRPr="00E45D39">
                    <w:rPr>
                      <w:iCs/>
                      <w:sz w:val="20"/>
                    </w:rPr>
                    <w:t xml:space="preserve"> </w:t>
                  </w:r>
                  <w:r w:rsidRPr="00E45D39">
                    <w:rPr>
                      <w:i/>
                      <w:iCs/>
                      <w:sz w:val="20"/>
                    </w:rPr>
                    <w:t>r</w:t>
                  </w:r>
                  <w:r w:rsidRPr="00E45D39">
                    <w:rPr>
                      <w:iCs/>
                      <w:sz w:val="20"/>
                    </w:rPr>
                    <w:t xml:space="preserve"> for an Operating Day</w:t>
                  </w:r>
                  <w:r>
                    <w:rPr>
                      <w:iCs/>
                      <w:sz w:val="20"/>
                    </w:rPr>
                    <w:t xml:space="preserve"> </w:t>
                  </w:r>
                  <w:r w:rsidRPr="009701A9">
                    <w:rPr>
                      <w:i/>
                      <w:iCs/>
                      <w:sz w:val="20"/>
                    </w:rPr>
                    <w:t>d</w:t>
                  </w:r>
                  <w:r w:rsidRPr="00E45D39">
                    <w:rPr>
                      <w:iCs/>
                      <w:sz w:val="20"/>
                    </w:rPr>
                    <w:t>.</w:t>
                  </w:r>
                  <w:r>
                    <w:rPr>
                      <w:iCs/>
                      <w:sz w:val="20"/>
                    </w:rPr>
                    <w:t xml:space="preserve"> </w:t>
                  </w:r>
                  <w:r w:rsidRPr="00E45D39">
                    <w:rPr>
                      <w:iCs/>
                      <w:sz w:val="20"/>
                    </w:rPr>
                    <w:t xml:space="preserve">Where for a Combined Cycle Train, the Resource </w:t>
                  </w:r>
                  <w:r w:rsidRPr="00E45D39">
                    <w:rPr>
                      <w:i/>
                      <w:iCs/>
                      <w:sz w:val="20"/>
                    </w:rPr>
                    <w:t xml:space="preserve">r </w:t>
                  </w:r>
                  <w:r w:rsidRPr="00E45D39">
                    <w:rPr>
                      <w:iCs/>
                      <w:sz w:val="20"/>
                    </w:rPr>
                    <w:t>is the Combined Cycle Train.</w:t>
                  </w:r>
                </w:p>
              </w:tc>
            </w:tr>
            <w:tr w:rsidR="00427EDA" w:rsidRPr="00E45D39" w14:paraId="1DAE59B8" w14:textId="77777777" w:rsidTr="00CE1011">
              <w:trPr>
                <w:cantSplit/>
              </w:trPr>
              <w:tc>
                <w:tcPr>
                  <w:tcW w:w="1885" w:type="dxa"/>
                </w:tcPr>
                <w:p w14:paraId="3BA93D30" w14:textId="77777777" w:rsidR="00427EDA" w:rsidRPr="00E45D39" w:rsidRDefault="00427EDA" w:rsidP="00427EDA">
                  <w:pPr>
                    <w:spacing w:after="60"/>
                    <w:rPr>
                      <w:i/>
                      <w:iCs/>
                      <w:sz w:val="20"/>
                    </w:rPr>
                  </w:pPr>
                  <w:r>
                    <w:rPr>
                      <w:i/>
                      <w:iCs/>
                      <w:sz w:val="20"/>
                    </w:rPr>
                    <w:t>q</w:t>
                  </w:r>
                </w:p>
              </w:tc>
              <w:tc>
                <w:tcPr>
                  <w:tcW w:w="720" w:type="dxa"/>
                </w:tcPr>
                <w:p w14:paraId="669D3852" w14:textId="77777777" w:rsidR="00427EDA" w:rsidRPr="00E45D39" w:rsidRDefault="00427EDA" w:rsidP="00427EDA">
                  <w:pPr>
                    <w:spacing w:after="60"/>
                    <w:rPr>
                      <w:iCs/>
                      <w:sz w:val="20"/>
                    </w:rPr>
                  </w:pPr>
                  <w:r w:rsidRPr="00E45D39">
                    <w:rPr>
                      <w:iCs/>
                      <w:sz w:val="20"/>
                    </w:rPr>
                    <w:t>none</w:t>
                  </w:r>
                </w:p>
              </w:tc>
              <w:tc>
                <w:tcPr>
                  <w:tcW w:w="6660" w:type="dxa"/>
                </w:tcPr>
                <w:p w14:paraId="3886927B" w14:textId="77777777" w:rsidR="00427EDA" w:rsidRPr="00E45D39" w:rsidRDefault="00427EDA" w:rsidP="00427EDA">
                  <w:pPr>
                    <w:spacing w:after="60"/>
                    <w:rPr>
                      <w:i/>
                      <w:iCs/>
                      <w:sz w:val="20"/>
                    </w:rPr>
                  </w:pPr>
                  <w:r w:rsidRPr="00E45D39">
                    <w:rPr>
                      <w:iCs/>
                      <w:sz w:val="20"/>
                    </w:rPr>
                    <w:t>A QSE.</w:t>
                  </w:r>
                </w:p>
              </w:tc>
            </w:tr>
            <w:tr w:rsidR="00427EDA" w:rsidRPr="00E45D39" w14:paraId="1EEA5B86" w14:textId="77777777" w:rsidTr="00CE1011">
              <w:trPr>
                <w:cantSplit/>
              </w:trPr>
              <w:tc>
                <w:tcPr>
                  <w:tcW w:w="1885" w:type="dxa"/>
                </w:tcPr>
                <w:p w14:paraId="44B4A3F0" w14:textId="77777777" w:rsidR="00427EDA" w:rsidRPr="00E45D39" w:rsidRDefault="00427EDA" w:rsidP="00427EDA">
                  <w:pPr>
                    <w:spacing w:after="60"/>
                    <w:rPr>
                      <w:i/>
                      <w:iCs/>
                      <w:sz w:val="20"/>
                    </w:rPr>
                  </w:pPr>
                  <w:r>
                    <w:rPr>
                      <w:i/>
                      <w:iCs/>
                      <w:sz w:val="20"/>
                    </w:rPr>
                    <w:t>r</w:t>
                  </w:r>
                </w:p>
              </w:tc>
              <w:tc>
                <w:tcPr>
                  <w:tcW w:w="720" w:type="dxa"/>
                </w:tcPr>
                <w:p w14:paraId="6101FB96" w14:textId="77777777" w:rsidR="00427EDA" w:rsidRPr="00E45D39" w:rsidRDefault="00427EDA" w:rsidP="00427EDA">
                  <w:pPr>
                    <w:spacing w:after="60"/>
                    <w:rPr>
                      <w:iCs/>
                      <w:sz w:val="20"/>
                    </w:rPr>
                  </w:pPr>
                  <w:r w:rsidRPr="00E45D39">
                    <w:rPr>
                      <w:iCs/>
                      <w:sz w:val="20"/>
                    </w:rPr>
                    <w:t>none</w:t>
                  </w:r>
                </w:p>
              </w:tc>
              <w:tc>
                <w:tcPr>
                  <w:tcW w:w="6660" w:type="dxa"/>
                </w:tcPr>
                <w:p w14:paraId="241D9BAF" w14:textId="77777777" w:rsidR="00427EDA" w:rsidRPr="00E45D39" w:rsidRDefault="00427EDA" w:rsidP="00427EDA">
                  <w:pPr>
                    <w:spacing w:after="60"/>
                    <w:rPr>
                      <w:i/>
                      <w:iCs/>
                      <w:sz w:val="20"/>
                    </w:rPr>
                  </w:pPr>
                  <w:r>
                    <w:rPr>
                      <w:iCs/>
                      <w:sz w:val="20"/>
                    </w:rPr>
                    <w:t>An MRA</w:t>
                  </w:r>
                  <w:r w:rsidRPr="00E45D39">
                    <w:rPr>
                      <w:iCs/>
                      <w:sz w:val="20"/>
                    </w:rPr>
                    <w:t>.</w:t>
                  </w:r>
                </w:p>
              </w:tc>
            </w:tr>
            <w:tr w:rsidR="00427EDA" w:rsidRPr="00E45D39" w14:paraId="3BB9E74A" w14:textId="77777777" w:rsidTr="00CE1011">
              <w:trPr>
                <w:cantSplit/>
              </w:trPr>
              <w:tc>
                <w:tcPr>
                  <w:tcW w:w="1885" w:type="dxa"/>
                </w:tcPr>
                <w:p w14:paraId="1FC5DA14" w14:textId="77777777" w:rsidR="00427EDA" w:rsidRPr="00E45D39" w:rsidRDefault="00427EDA" w:rsidP="00427EDA">
                  <w:pPr>
                    <w:spacing w:after="60"/>
                    <w:rPr>
                      <w:i/>
                      <w:iCs/>
                      <w:sz w:val="20"/>
                    </w:rPr>
                  </w:pPr>
                  <w:r>
                    <w:rPr>
                      <w:i/>
                      <w:iCs/>
                      <w:sz w:val="20"/>
                    </w:rPr>
                    <w:t>d</w:t>
                  </w:r>
                </w:p>
              </w:tc>
              <w:tc>
                <w:tcPr>
                  <w:tcW w:w="720" w:type="dxa"/>
                </w:tcPr>
                <w:p w14:paraId="044C062A" w14:textId="77777777" w:rsidR="00427EDA" w:rsidRPr="00E45D39" w:rsidRDefault="00427EDA" w:rsidP="00427EDA">
                  <w:pPr>
                    <w:spacing w:after="60"/>
                    <w:rPr>
                      <w:iCs/>
                      <w:sz w:val="20"/>
                    </w:rPr>
                  </w:pPr>
                  <w:r>
                    <w:rPr>
                      <w:iCs/>
                      <w:sz w:val="20"/>
                    </w:rPr>
                    <w:t>none</w:t>
                  </w:r>
                </w:p>
              </w:tc>
              <w:tc>
                <w:tcPr>
                  <w:tcW w:w="6660" w:type="dxa"/>
                </w:tcPr>
                <w:p w14:paraId="73952503" w14:textId="77777777" w:rsidR="00427EDA" w:rsidRDefault="00427EDA" w:rsidP="00427EDA">
                  <w:pPr>
                    <w:spacing w:after="60"/>
                    <w:rPr>
                      <w:iCs/>
                      <w:sz w:val="20"/>
                    </w:rPr>
                  </w:pPr>
                  <w:r>
                    <w:rPr>
                      <w:iCs/>
                      <w:sz w:val="20"/>
                    </w:rPr>
                    <w:t>An Operating Day within a month under an MRA Agreement</w:t>
                  </w:r>
                </w:p>
              </w:tc>
            </w:tr>
            <w:tr w:rsidR="00427EDA" w:rsidRPr="00E45D39" w14:paraId="713FD3F7" w14:textId="77777777" w:rsidTr="00CE1011">
              <w:trPr>
                <w:cantSplit/>
              </w:trPr>
              <w:tc>
                <w:tcPr>
                  <w:tcW w:w="1885" w:type="dxa"/>
                </w:tcPr>
                <w:p w14:paraId="65EADDD1" w14:textId="77777777" w:rsidR="00427EDA" w:rsidRDefault="00427EDA" w:rsidP="00427EDA">
                  <w:pPr>
                    <w:spacing w:after="60"/>
                    <w:rPr>
                      <w:i/>
                      <w:iCs/>
                      <w:sz w:val="20"/>
                    </w:rPr>
                  </w:pPr>
                  <w:r w:rsidRPr="002B5C5B">
                    <w:rPr>
                      <w:i/>
                      <w:iCs/>
                      <w:sz w:val="20"/>
                    </w:rPr>
                    <w:t>h</w:t>
                  </w:r>
                </w:p>
              </w:tc>
              <w:tc>
                <w:tcPr>
                  <w:tcW w:w="720" w:type="dxa"/>
                </w:tcPr>
                <w:p w14:paraId="7E4C9641" w14:textId="77777777" w:rsidR="00427EDA" w:rsidRPr="000F4256" w:rsidRDefault="00427EDA" w:rsidP="00427EDA">
                  <w:pPr>
                    <w:spacing w:after="60"/>
                    <w:rPr>
                      <w:iCs/>
                      <w:sz w:val="20"/>
                    </w:rPr>
                  </w:pPr>
                  <w:r w:rsidRPr="002B5C5B">
                    <w:rPr>
                      <w:iCs/>
                      <w:sz w:val="20"/>
                    </w:rPr>
                    <w:t>none</w:t>
                  </w:r>
                </w:p>
              </w:tc>
              <w:tc>
                <w:tcPr>
                  <w:tcW w:w="6660" w:type="dxa"/>
                </w:tcPr>
                <w:p w14:paraId="5B2D3B11" w14:textId="77777777" w:rsidR="00427EDA" w:rsidRPr="000F4256" w:rsidRDefault="00427EDA" w:rsidP="00427EDA">
                  <w:pPr>
                    <w:spacing w:after="60"/>
                    <w:rPr>
                      <w:iCs/>
                      <w:sz w:val="20"/>
                    </w:rPr>
                  </w:pPr>
                  <w:r w:rsidRPr="00081671">
                    <w:rPr>
                      <w:iCs/>
                      <w:sz w:val="20"/>
                    </w:rPr>
                    <w:t>A</w:t>
                  </w:r>
                  <w:r>
                    <w:rPr>
                      <w:iCs/>
                      <w:sz w:val="20"/>
                    </w:rPr>
                    <w:t>n MRA</w:t>
                  </w:r>
                  <w:r w:rsidRPr="00081671">
                    <w:rPr>
                      <w:iCs/>
                      <w:sz w:val="20"/>
                    </w:rPr>
                    <w:t xml:space="preserve"> </w:t>
                  </w:r>
                  <w:r>
                    <w:rPr>
                      <w:iCs/>
                      <w:sz w:val="20"/>
                    </w:rPr>
                    <w:t>C</w:t>
                  </w:r>
                  <w:r w:rsidRPr="00081671">
                    <w:rPr>
                      <w:iCs/>
                      <w:sz w:val="20"/>
                    </w:rPr>
                    <w:t xml:space="preserve">ontracted </w:t>
                  </w:r>
                  <w:r>
                    <w:rPr>
                      <w:iCs/>
                      <w:sz w:val="20"/>
                    </w:rPr>
                    <w:t>H</w:t>
                  </w:r>
                  <w:r w:rsidRPr="00081671">
                    <w:rPr>
                      <w:iCs/>
                      <w:sz w:val="20"/>
                    </w:rPr>
                    <w:t xml:space="preserve">our for the </w:t>
                  </w:r>
                  <w:r>
                    <w:rPr>
                      <w:iCs/>
                      <w:sz w:val="20"/>
                    </w:rPr>
                    <w:t>MRA Contracted M</w:t>
                  </w:r>
                  <w:r w:rsidRPr="00081671">
                    <w:rPr>
                      <w:iCs/>
                      <w:sz w:val="20"/>
                    </w:rPr>
                    <w:t>onth</w:t>
                  </w:r>
                  <w:r w:rsidRPr="002B5C5B">
                    <w:rPr>
                      <w:iCs/>
                      <w:sz w:val="20"/>
                    </w:rPr>
                    <w:t>.</w:t>
                  </w:r>
                </w:p>
              </w:tc>
            </w:tr>
          </w:tbl>
          <w:p w14:paraId="38B38DF0" w14:textId="77777777" w:rsidR="00427EDA" w:rsidRPr="00E45D39" w:rsidRDefault="00427EDA" w:rsidP="00427EDA">
            <w:pPr>
              <w:spacing w:before="240" w:after="240"/>
              <w:ind w:left="720" w:hanging="720"/>
            </w:pPr>
            <w:r w:rsidRPr="00E45D39">
              <w:t>(2)</w:t>
            </w:r>
            <w:r w:rsidRPr="00E45D39">
              <w:tab/>
              <w:t>The total of the charges to each QSE for unex</w:t>
            </w:r>
            <w:r>
              <w:t>cused Misconduct Events of all MRA</w:t>
            </w:r>
            <w:r w:rsidRPr="00E45D39">
              <w:t xml:space="preserve">s represented by this QSE for a given </w:t>
            </w:r>
            <w:r>
              <w:t xml:space="preserve">hour </w:t>
            </w:r>
            <w:r w:rsidRPr="00E45D39">
              <w:t>is calculated as follows:</w:t>
            </w:r>
          </w:p>
          <w:p w14:paraId="5B58F68B" w14:textId="77777777" w:rsidR="00427EDA" w:rsidRDefault="00427EDA" w:rsidP="00427EDA">
            <w:pPr>
              <w:tabs>
                <w:tab w:val="left" w:pos="2250"/>
                <w:tab w:val="left" w:pos="3150"/>
                <w:tab w:val="left" w:pos="3960"/>
              </w:tabs>
              <w:spacing w:after="240"/>
              <w:ind w:left="3960" w:hanging="3240"/>
            </w:pPr>
            <w:r w:rsidRPr="003F2D5C">
              <w:rPr>
                <w:bCs/>
              </w:rPr>
              <w:t>MRA</w:t>
            </w:r>
            <w:r>
              <w:rPr>
                <w:bCs/>
              </w:rPr>
              <w:t>UM</w:t>
            </w:r>
            <w:r w:rsidRPr="003F2D5C">
              <w:rPr>
                <w:bCs/>
              </w:rPr>
              <w:t>AM</w:t>
            </w:r>
            <w:r>
              <w:rPr>
                <w:bCs/>
              </w:rPr>
              <w:t>TQSE</w:t>
            </w:r>
            <w:r w:rsidRPr="003F2D5C">
              <w:rPr>
                <w:bCs/>
              </w:rPr>
              <w:t>T</w:t>
            </w:r>
            <w:r w:rsidRPr="00054C1C">
              <w:rPr>
                <w:bCs/>
              </w:rPr>
              <w:t>OT</w:t>
            </w:r>
            <w:r>
              <w:rPr>
                <w:bCs/>
              </w:rPr>
              <w:t xml:space="preserve"> </w:t>
            </w:r>
            <w:r w:rsidRPr="002B5C5B">
              <w:rPr>
                <w:bCs/>
                <w:i/>
                <w:vertAlign w:val="subscript"/>
              </w:rPr>
              <w:t>q</w:t>
            </w:r>
            <w:r>
              <w:rPr>
                <w:bCs/>
              </w:rPr>
              <w:t xml:space="preserve">  </w:t>
            </w:r>
            <w:r w:rsidRPr="003F2D5C">
              <w:rPr>
                <w:bCs/>
              </w:rPr>
              <w:t>=</w:t>
            </w:r>
            <w:r>
              <w:rPr>
                <w:bCs/>
              </w:rPr>
              <w:t xml:space="preserve">  </w:t>
            </w:r>
            <w:r w:rsidRPr="003F2D5C">
              <w:rPr>
                <w:position w:val="-18"/>
              </w:rPr>
              <w:object w:dxaOrig="225" w:dyaOrig="420" w14:anchorId="68EBB923">
                <v:shape id="_x0000_i1226" type="#_x0000_t75" style="width:12pt;height:24pt" o:ole="">
                  <v:imagedata r:id="rId238" o:title=""/>
                </v:shape>
                <o:OLEObject Type="Embed" ProgID="Equation.3" ShapeID="_x0000_i1226" DrawAspect="Content" ObjectID="_1815025415" r:id="rId278"/>
              </w:object>
            </w:r>
            <w:r w:rsidRPr="003F2D5C">
              <w:rPr>
                <w:bCs/>
              </w:rPr>
              <w:t>MRA</w:t>
            </w:r>
            <w:r>
              <w:rPr>
                <w:bCs/>
              </w:rPr>
              <w:t>UM</w:t>
            </w:r>
            <w:r w:rsidRPr="003F2D5C">
              <w:rPr>
                <w:bCs/>
              </w:rPr>
              <w:t xml:space="preserve">AMT </w:t>
            </w:r>
            <w:r w:rsidRPr="003F2D5C">
              <w:rPr>
                <w:bCs/>
                <w:i/>
                <w:vertAlign w:val="subscript"/>
              </w:rPr>
              <w:t>q, r</w:t>
            </w:r>
            <w:r w:rsidRPr="002B5C5B">
              <w:rPr>
                <w:vertAlign w:val="subscript"/>
              </w:rPr>
              <w:t>,</w:t>
            </w:r>
            <w:r w:rsidRPr="002B5C5B">
              <w:rPr>
                <w:i/>
                <w:vertAlign w:val="subscript"/>
              </w:rPr>
              <w:t xml:space="preserve"> h</w:t>
            </w:r>
          </w:p>
          <w:p w14:paraId="7EF721D6" w14:textId="77777777" w:rsidR="00427EDA" w:rsidRPr="00E45D39" w:rsidRDefault="00427EDA" w:rsidP="00C36EDA">
            <w:pPr>
              <w:tabs>
                <w:tab w:val="left" w:pos="2250"/>
                <w:tab w:val="left" w:pos="3150"/>
                <w:tab w:val="left" w:pos="3960"/>
              </w:tabs>
            </w:pPr>
            <w:r w:rsidRPr="00E45D39">
              <w:t>The above variables are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1170"/>
              <w:gridCol w:w="5580"/>
            </w:tblGrid>
            <w:tr w:rsidR="00C36EDA" w:rsidRPr="00E45D39" w14:paraId="5053D7B3" w14:textId="77777777" w:rsidTr="00CE1011">
              <w:trPr>
                <w:cantSplit/>
                <w:tblHeader/>
              </w:trPr>
              <w:tc>
                <w:tcPr>
                  <w:tcW w:w="2515" w:type="dxa"/>
                </w:tcPr>
                <w:p w14:paraId="69DA0BCC" w14:textId="77777777" w:rsidR="00C36EDA" w:rsidRPr="00E45D39" w:rsidRDefault="00C36EDA" w:rsidP="00C36EDA">
                  <w:pPr>
                    <w:spacing w:after="120"/>
                    <w:rPr>
                      <w:b/>
                      <w:iCs/>
                      <w:sz w:val="20"/>
                    </w:rPr>
                  </w:pPr>
                  <w:r w:rsidRPr="00E45D39">
                    <w:rPr>
                      <w:b/>
                      <w:iCs/>
                      <w:sz w:val="20"/>
                    </w:rPr>
                    <w:t>Variable</w:t>
                  </w:r>
                </w:p>
              </w:tc>
              <w:tc>
                <w:tcPr>
                  <w:tcW w:w="1170" w:type="dxa"/>
                </w:tcPr>
                <w:p w14:paraId="6D037117" w14:textId="77777777" w:rsidR="00C36EDA" w:rsidRPr="00E45D39" w:rsidRDefault="00C36EDA" w:rsidP="00C36EDA">
                  <w:pPr>
                    <w:spacing w:after="120"/>
                    <w:rPr>
                      <w:b/>
                      <w:iCs/>
                      <w:sz w:val="20"/>
                    </w:rPr>
                  </w:pPr>
                  <w:r w:rsidRPr="00E45D39">
                    <w:rPr>
                      <w:b/>
                      <w:iCs/>
                      <w:sz w:val="20"/>
                    </w:rPr>
                    <w:t>Unit</w:t>
                  </w:r>
                </w:p>
              </w:tc>
              <w:tc>
                <w:tcPr>
                  <w:tcW w:w="5580" w:type="dxa"/>
                </w:tcPr>
                <w:p w14:paraId="38167358" w14:textId="77777777" w:rsidR="00C36EDA" w:rsidRPr="00E45D39" w:rsidRDefault="00C36EDA" w:rsidP="00C36EDA">
                  <w:pPr>
                    <w:spacing w:after="120"/>
                    <w:rPr>
                      <w:b/>
                      <w:iCs/>
                      <w:sz w:val="20"/>
                    </w:rPr>
                  </w:pPr>
                  <w:r w:rsidRPr="00E45D39">
                    <w:rPr>
                      <w:b/>
                      <w:iCs/>
                      <w:sz w:val="20"/>
                    </w:rPr>
                    <w:t>Definition</w:t>
                  </w:r>
                </w:p>
              </w:tc>
            </w:tr>
            <w:tr w:rsidR="00C36EDA" w:rsidRPr="00E45D39" w14:paraId="38F276A4" w14:textId="77777777" w:rsidTr="00CE1011">
              <w:trPr>
                <w:cantSplit/>
              </w:trPr>
              <w:tc>
                <w:tcPr>
                  <w:tcW w:w="2515" w:type="dxa"/>
                </w:tcPr>
                <w:p w14:paraId="3B86DAF9" w14:textId="77777777" w:rsidR="00C36EDA" w:rsidRPr="00E45D39" w:rsidRDefault="00C36EDA" w:rsidP="00C36EDA">
                  <w:pPr>
                    <w:spacing w:after="60"/>
                    <w:rPr>
                      <w:iCs/>
                      <w:sz w:val="20"/>
                    </w:rPr>
                  </w:pPr>
                  <w:r w:rsidRPr="00E45D39">
                    <w:rPr>
                      <w:iCs/>
                      <w:sz w:val="20"/>
                    </w:rPr>
                    <w:t>MR</w:t>
                  </w:r>
                  <w:r>
                    <w:rPr>
                      <w:iCs/>
                      <w:sz w:val="20"/>
                    </w:rPr>
                    <w:t>AUM</w:t>
                  </w:r>
                  <w:r w:rsidRPr="00E45D39">
                    <w:rPr>
                      <w:iCs/>
                      <w:sz w:val="20"/>
                    </w:rPr>
                    <w:t xml:space="preserve">AMTQSETOT </w:t>
                  </w:r>
                  <w:r w:rsidRPr="00E45D39">
                    <w:rPr>
                      <w:i/>
                      <w:iCs/>
                      <w:sz w:val="20"/>
                      <w:vertAlign w:val="subscript"/>
                    </w:rPr>
                    <w:t>q</w:t>
                  </w:r>
                </w:p>
              </w:tc>
              <w:tc>
                <w:tcPr>
                  <w:tcW w:w="1170" w:type="dxa"/>
                </w:tcPr>
                <w:p w14:paraId="3F8B6058" w14:textId="77777777" w:rsidR="00C36EDA" w:rsidRPr="00E45D39" w:rsidRDefault="00C36EDA" w:rsidP="00C36EDA">
                  <w:pPr>
                    <w:spacing w:after="60"/>
                    <w:rPr>
                      <w:iCs/>
                      <w:sz w:val="20"/>
                    </w:rPr>
                  </w:pPr>
                  <w:r w:rsidRPr="00E45D39">
                    <w:rPr>
                      <w:iCs/>
                      <w:sz w:val="20"/>
                    </w:rPr>
                    <w:t>$</w:t>
                  </w:r>
                </w:p>
              </w:tc>
              <w:tc>
                <w:tcPr>
                  <w:tcW w:w="5580" w:type="dxa"/>
                </w:tcPr>
                <w:p w14:paraId="60FBDA4C" w14:textId="77777777" w:rsidR="00C36EDA" w:rsidRPr="00E45D39" w:rsidRDefault="00C36EDA" w:rsidP="00C36EDA">
                  <w:pPr>
                    <w:spacing w:after="60"/>
                    <w:rPr>
                      <w:iCs/>
                      <w:sz w:val="20"/>
                    </w:rPr>
                  </w:pPr>
                  <w:r w:rsidRPr="00E45D39">
                    <w:rPr>
                      <w:i/>
                      <w:iCs/>
                      <w:sz w:val="20"/>
                    </w:rPr>
                    <w:t xml:space="preserve">Must-Run </w:t>
                  </w:r>
                  <w:r>
                    <w:rPr>
                      <w:i/>
                      <w:iCs/>
                      <w:sz w:val="20"/>
                    </w:rPr>
                    <w:t xml:space="preserve">Alternative </w:t>
                  </w:r>
                  <w:r w:rsidRPr="00E45D39">
                    <w:rPr>
                      <w:i/>
                      <w:iCs/>
                      <w:sz w:val="20"/>
                    </w:rPr>
                    <w:t>Unexcused Misconduct Amount per QSE</w:t>
                  </w:r>
                  <w:r w:rsidRPr="00E45D39">
                    <w:rPr>
                      <w:iCs/>
                      <w:sz w:val="20"/>
                    </w:rPr>
                    <w:sym w:font="Symbol" w:char="F0BE"/>
                  </w:r>
                  <w:r w:rsidRPr="00E45D39">
                    <w:rPr>
                      <w:iCs/>
                      <w:sz w:val="20"/>
                    </w:rPr>
                    <w:t xml:space="preserve">The total of the charges to QSE </w:t>
                  </w:r>
                  <w:r w:rsidRPr="00E45D39">
                    <w:rPr>
                      <w:i/>
                      <w:iCs/>
                      <w:sz w:val="20"/>
                    </w:rPr>
                    <w:t>q</w:t>
                  </w:r>
                  <w:r w:rsidRPr="00E45D39">
                    <w:rPr>
                      <w:iCs/>
                      <w:sz w:val="20"/>
                    </w:rPr>
                    <w:t xml:space="preserve"> for unex</w:t>
                  </w:r>
                  <w:r>
                    <w:rPr>
                      <w:iCs/>
                      <w:sz w:val="20"/>
                    </w:rPr>
                    <w:t>cused Misconduct Events of the MRA</w:t>
                  </w:r>
                  <w:r w:rsidRPr="00E45D39">
                    <w:rPr>
                      <w:iCs/>
                      <w:sz w:val="20"/>
                    </w:rPr>
                    <w:t xml:space="preserve">s for </w:t>
                  </w:r>
                  <w:r>
                    <w:rPr>
                      <w:iCs/>
                      <w:sz w:val="20"/>
                    </w:rPr>
                    <w:t>an MRA Contracted Hour</w:t>
                  </w:r>
                  <w:r w:rsidRPr="00E45D39">
                    <w:rPr>
                      <w:iCs/>
                      <w:sz w:val="20"/>
                    </w:rPr>
                    <w:t>.</w:t>
                  </w:r>
                </w:p>
              </w:tc>
            </w:tr>
            <w:tr w:rsidR="00C36EDA" w:rsidRPr="00E45D39" w14:paraId="15495403" w14:textId="77777777" w:rsidTr="00CE1011">
              <w:trPr>
                <w:cantSplit/>
              </w:trPr>
              <w:tc>
                <w:tcPr>
                  <w:tcW w:w="2515" w:type="dxa"/>
                </w:tcPr>
                <w:p w14:paraId="48BE5409" w14:textId="77777777" w:rsidR="00C36EDA" w:rsidRPr="00E45D39" w:rsidRDefault="00C36EDA" w:rsidP="00C36EDA">
                  <w:pPr>
                    <w:spacing w:after="60"/>
                    <w:rPr>
                      <w:iCs/>
                      <w:sz w:val="20"/>
                    </w:rPr>
                  </w:pPr>
                  <w:r w:rsidRPr="00E45D39">
                    <w:rPr>
                      <w:iCs/>
                      <w:sz w:val="20"/>
                    </w:rPr>
                    <w:t>MR</w:t>
                  </w:r>
                  <w:r>
                    <w:rPr>
                      <w:iCs/>
                      <w:sz w:val="20"/>
                    </w:rPr>
                    <w:t>AUM</w:t>
                  </w:r>
                  <w:r w:rsidRPr="00E45D39">
                    <w:rPr>
                      <w:iCs/>
                      <w:sz w:val="20"/>
                    </w:rPr>
                    <w:t xml:space="preserve">AMT </w:t>
                  </w:r>
                  <w:r w:rsidRPr="00E45D39">
                    <w:rPr>
                      <w:i/>
                      <w:iCs/>
                      <w:sz w:val="20"/>
                      <w:vertAlign w:val="subscript"/>
                    </w:rPr>
                    <w:t>q, r</w:t>
                  </w:r>
                  <w:r>
                    <w:rPr>
                      <w:i/>
                      <w:iCs/>
                      <w:sz w:val="20"/>
                      <w:vertAlign w:val="subscript"/>
                    </w:rPr>
                    <w:t>, h</w:t>
                  </w:r>
                </w:p>
              </w:tc>
              <w:tc>
                <w:tcPr>
                  <w:tcW w:w="1170" w:type="dxa"/>
                </w:tcPr>
                <w:p w14:paraId="48AAAAAC" w14:textId="77777777" w:rsidR="00C36EDA" w:rsidRPr="00E45D39" w:rsidRDefault="00C36EDA" w:rsidP="00C36EDA">
                  <w:pPr>
                    <w:spacing w:after="60"/>
                    <w:rPr>
                      <w:iCs/>
                      <w:sz w:val="20"/>
                    </w:rPr>
                  </w:pPr>
                  <w:r w:rsidRPr="00E45D39">
                    <w:rPr>
                      <w:iCs/>
                      <w:sz w:val="20"/>
                    </w:rPr>
                    <w:t>$</w:t>
                  </w:r>
                </w:p>
              </w:tc>
              <w:tc>
                <w:tcPr>
                  <w:tcW w:w="5580" w:type="dxa"/>
                </w:tcPr>
                <w:p w14:paraId="56625450" w14:textId="77777777" w:rsidR="00C36EDA" w:rsidRPr="00E45D39" w:rsidRDefault="00C36EDA" w:rsidP="00C36EDA">
                  <w:pPr>
                    <w:spacing w:after="60"/>
                    <w:rPr>
                      <w:iCs/>
                      <w:sz w:val="20"/>
                    </w:rPr>
                  </w:pPr>
                  <w:r w:rsidRPr="00E45D39">
                    <w:rPr>
                      <w:i/>
                      <w:iCs/>
                      <w:sz w:val="20"/>
                    </w:rPr>
                    <w:t xml:space="preserve">Must-Run </w:t>
                  </w:r>
                  <w:r>
                    <w:rPr>
                      <w:i/>
                      <w:iCs/>
                      <w:sz w:val="20"/>
                    </w:rPr>
                    <w:t xml:space="preserve">Alternative </w:t>
                  </w:r>
                  <w:r w:rsidRPr="00E45D39">
                    <w:rPr>
                      <w:i/>
                      <w:iCs/>
                      <w:sz w:val="20"/>
                    </w:rPr>
                    <w:t>Unexcused Misconduct Charge per QSE per Resource</w:t>
                  </w:r>
                  <w:r w:rsidRPr="00E45D39">
                    <w:rPr>
                      <w:iCs/>
                      <w:sz w:val="20"/>
                    </w:rPr>
                    <w:t xml:space="preserve">—The charge to QSE </w:t>
                  </w:r>
                  <w:r w:rsidRPr="00E45D39">
                    <w:rPr>
                      <w:i/>
                      <w:iCs/>
                      <w:sz w:val="20"/>
                    </w:rPr>
                    <w:t>q</w:t>
                  </w:r>
                  <w:r w:rsidRPr="00E45D39">
                    <w:rPr>
                      <w:iCs/>
                      <w:sz w:val="20"/>
                    </w:rPr>
                    <w:t xml:space="preserve"> for the unexcused </w:t>
                  </w:r>
                  <w:r>
                    <w:rPr>
                      <w:iCs/>
                      <w:sz w:val="20"/>
                    </w:rPr>
                    <w:t>M</w:t>
                  </w:r>
                  <w:r w:rsidRPr="00E45D39">
                    <w:rPr>
                      <w:iCs/>
                      <w:sz w:val="20"/>
                    </w:rPr>
                    <w:t xml:space="preserve">isconduct </w:t>
                  </w:r>
                  <w:r>
                    <w:rPr>
                      <w:iCs/>
                      <w:sz w:val="20"/>
                    </w:rPr>
                    <w:t>E</w:t>
                  </w:r>
                  <w:r w:rsidRPr="00E45D39">
                    <w:rPr>
                      <w:iCs/>
                      <w:sz w:val="20"/>
                    </w:rPr>
                    <w:t xml:space="preserve">vent of </w:t>
                  </w:r>
                  <w:r>
                    <w:rPr>
                      <w:iCs/>
                      <w:sz w:val="20"/>
                    </w:rPr>
                    <w:t>MRA</w:t>
                  </w:r>
                  <w:r w:rsidRPr="00E45D39">
                    <w:rPr>
                      <w:iCs/>
                      <w:sz w:val="20"/>
                    </w:rPr>
                    <w:t xml:space="preserve"> </w:t>
                  </w:r>
                  <w:r w:rsidRPr="00E45D39">
                    <w:rPr>
                      <w:i/>
                      <w:iCs/>
                      <w:sz w:val="20"/>
                    </w:rPr>
                    <w:t>r</w:t>
                  </w:r>
                  <w:r w:rsidRPr="00E45D39">
                    <w:rPr>
                      <w:iCs/>
                      <w:sz w:val="20"/>
                    </w:rPr>
                    <w:t xml:space="preserve"> for </w:t>
                  </w:r>
                  <w:r>
                    <w:rPr>
                      <w:iCs/>
                      <w:sz w:val="20"/>
                    </w:rPr>
                    <w:t xml:space="preserve">the hour </w:t>
                  </w:r>
                  <w:r w:rsidRPr="009701A9">
                    <w:rPr>
                      <w:i/>
                      <w:iCs/>
                      <w:sz w:val="20"/>
                    </w:rPr>
                    <w:t>h</w:t>
                  </w:r>
                  <w:r w:rsidRPr="00E45D39">
                    <w:rPr>
                      <w:iCs/>
                      <w:sz w:val="20"/>
                    </w:rPr>
                    <w:t xml:space="preserve">.  Where for a Combined Cycle Train, the Resource </w:t>
                  </w:r>
                  <w:r w:rsidRPr="00E45D39">
                    <w:rPr>
                      <w:i/>
                      <w:iCs/>
                      <w:sz w:val="20"/>
                    </w:rPr>
                    <w:t xml:space="preserve">r </w:t>
                  </w:r>
                  <w:r w:rsidRPr="00E45D39">
                    <w:rPr>
                      <w:iCs/>
                      <w:sz w:val="20"/>
                    </w:rPr>
                    <w:t xml:space="preserve">is the Combined Cycle Train. </w:t>
                  </w:r>
                </w:p>
              </w:tc>
            </w:tr>
            <w:tr w:rsidR="00C36EDA" w:rsidRPr="00E45D39" w14:paraId="1B5D1058" w14:textId="77777777" w:rsidTr="00CE1011">
              <w:trPr>
                <w:cantSplit/>
              </w:trPr>
              <w:tc>
                <w:tcPr>
                  <w:tcW w:w="2515" w:type="dxa"/>
                  <w:tcBorders>
                    <w:top w:val="single" w:sz="4" w:space="0" w:color="auto"/>
                    <w:left w:val="single" w:sz="4" w:space="0" w:color="auto"/>
                    <w:bottom w:val="single" w:sz="4" w:space="0" w:color="auto"/>
                    <w:right w:val="single" w:sz="4" w:space="0" w:color="auto"/>
                  </w:tcBorders>
                </w:tcPr>
                <w:p w14:paraId="3928AD7D" w14:textId="77777777" w:rsidR="00C36EDA" w:rsidRPr="00E45D39" w:rsidRDefault="00C36EDA" w:rsidP="00C36EDA">
                  <w:pPr>
                    <w:spacing w:after="60"/>
                    <w:rPr>
                      <w:i/>
                      <w:iCs/>
                      <w:sz w:val="20"/>
                    </w:rPr>
                  </w:pPr>
                  <w:r w:rsidRPr="00E45D39">
                    <w:rPr>
                      <w:i/>
                      <w:iCs/>
                      <w:sz w:val="20"/>
                    </w:rPr>
                    <w:t>q</w:t>
                  </w:r>
                </w:p>
              </w:tc>
              <w:tc>
                <w:tcPr>
                  <w:tcW w:w="1170" w:type="dxa"/>
                  <w:tcBorders>
                    <w:top w:val="single" w:sz="4" w:space="0" w:color="auto"/>
                    <w:left w:val="single" w:sz="4" w:space="0" w:color="auto"/>
                    <w:bottom w:val="single" w:sz="4" w:space="0" w:color="auto"/>
                    <w:right w:val="single" w:sz="4" w:space="0" w:color="auto"/>
                  </w:tcBorders>
                </w:tcPr>
                <w:p w14:paraId="6894694D" w14:textId="77777777" w:rsidR="00C36EDA" w:rsidRPr="00E45D39" w:rsidRDefault="00C36EDA" w:rsidP="00C36EDA">
                  <w:pPr>
                    <w:spacing w:after="60"/>
                    <w:rPr>
                      <w:iCs/>
                      <w:sz w:val="20"/>
                    </w:rPr>
                  </w:pPr>
                  <w:r w:rsidRPr="00E45D39">
                    <w:rPr>
                      <w:iCs/>
                      <w:sz w:val="20"/>
                    </w:rPr>
                    <w:t>none</w:t>
                  </w:r>
                </w:p>
              </w:tc>
              <w:tc>
                <w:tcPr>
                  <w:tcW w:w="5580" w:type="dxa"/>
                  <w:tcBorders>
                    <w:top w:val="single" w:sz="4" w:space="0" w:color="auto"/>
                    <w:left w:val="single" w:sz="4" w:space="0" w:color="auto"/>
                    <w:bottom w:val="single" w:sz="4" w:space="0" w:color="auto"/>
                    <w:right w:val="single" w:sz="4" w:space="0" w:color="auto"/>
                  </w:tcBorders>
                </w:tcPr>
                <w:p w14:paraId="2098A776" w14:textId="77777777" w:rsidR="00C36EDA" w:rsidRPr="00E45D39" w:rsidRDefault="00C36EDA" w:rsidP="00C36EDA">
                  <w:pPr>
                    <w:spacing w:after="60"/>
                    <w:rPr>
                      <w:iCs/>
                      <w:sz w:val="20"/>
                    </w:rPr>
                  </w:pPr>
                  <w:r w:rsidRPr="00E45D39">
                    <w:rPr>
                      <w:iCs/>
                      <w:sz w:val="20"/>
                    </w:rPr>
                    <w:t>A QSE.</w:t>
                  </w:r>
                </w:p>
              </w:tc>
            </w:tr>
            <w:tr w:rsidR="00C36EDA" w:rsidRPr="00E45D39" w14:paraId="07CC424E" w14:textId="77777777" w:rsidTr="00CE1011">
              <w:trPr>
                <w:cantSplit/>
              </w:trPr>
              <w:tc>
                <w:tcPr>
                  <w:tcW w:w="2515" w:type="dxa"/>
                  <w:tcBorders>
                    <w:top w:val="single" w:sz="4" w:space="0" w:color="auto"/>
                    <w:left w:val="single" w:sz="4" w:space="0" w:color="auto"/>
                    <w:bottom w:val="single" w:sz="4" w:space="0" w:color="auto"/>
                    <w:right w:val="single" w:sz="4" w:space="0" w:color="auto"/>
                  </w:tcBorders>
                </w:tcPr>
                <w:p w14:paraId="5C48B577" w14:textId="77777777" w:rsidR="00C36EDA" w:rsidRPr="00E45D39" w:rsidRDefault="00C36EDA" w:rsidP="00C36EDA">
                  <w:pPr>
                    <w:spacing w:after="60"/>
                    <w:rPr>
                      <w:i/>
                      <w:iCs/>
                      <w:sz w:val="20"/>
                    </w:rPr>
                  </w:pPr>
                  <w:r w:rsidRPr="00E45D39">
                    <w:rPr>
                      <w:i/>
                      <w:iCs/>
                      <w:sz w:val="20"/>
                    </w:rPr>
                    <w:t>r</w:t>
                  </w:r>
                </w:p>
              </w:tc>
              <w:tc>
                <w:tcPr>
                  <w:tcW w:w="1170" w:type="dxa"/>
                  <w:tcBorders>
                    <w:top w:val="single" w:sz="4" w:space="0" w:color="auto"/>
                    <w:left w:val="single" w:sz="4" w:space="0" w:color="auto"/>
                    <w:bottom w:val="single" w:sz="4" w:space="0" w:color="auto"/>
                    <w:right w:val="single" w:sz="4" w:space="0" w:color="auto"/>
                  </w:tcBorders>
                </w:tcPr>
                <w:p w14:paraId="6C668A97" w14:textId="77777777" w:rsidR="00C36EDA" w:rsidRPr="00E45D39" w:rsidRDefault="00C36EDA" w:rsidP="00C36EDA">
                  <w:pPr>
                    <w:spacing w:after="60"/>
                    <w:rPr>
                      <w:iCs/>
                      <w:sz w:val="20"/>
                    </w:rPr>
                  </w:pPr>
                  <w:r w:rsidRPr="00E45D39">
                    <w:rPr>
                      <w:iCs/>
                      <w:sz w:val="20"/>
                    </w:rPr>
                    <w:t>none</w:t>
                  </w:r>
                </w:p>
              </w:tc>
              <w:tc>
                <w:tcPr>
                  <w:tcW w:w="5580" w:type="dxa"/>
                  <w:tcBorders>
                    <w:top w:val="single" w:sz="4" w:space="0" w:color="auto"/>
                    <w:left w:val="single" w:sz="4" w:space="0" w:color="auto"/>
                    <w:bottom w:val="single" w:sz="4" w:space="0" w:color="auto"/>
                    <w:right w:val="single" w:sz="4" w:space="0" w:color="auto"/>
                  </w:tcBorders>
                </w:tcPr>
                <w:p w14:paraId="34DFC66E" w14:textId="77777777" w:rsidR="00C36EDA" w:rsidRPr="00E45D39" w:rsidRDefault="00C36EDA" w:rsidP="00C36EDA">
                  <w:pPr>
                    <w:spacing w:after="60"/>
                    <w:rPr>
                      <w:iCs/>
                      <w:sz w:val="20"/>
                    </w:rPr>
                  </w:pPr>
                  <w:r>
                    <w:rPr>
                      <w:iCs/>
                      <w:sz w:val="20"/>
                    </w:rPr>
                    <w:t>An MRA</w:t>
                  </w:r>
                  <w:r w:rsidRPr="00E45D39">
                    <w:rPr>
                      <w:iCs/>
                      <w:sz w:val="20"/>
                    </w:rPr>
                    <w:t>.</w:t>
                  </w:r>
                </w:p>
              </w:tc>
            </w:tr>
            <w:tr w:rsidR="00C36EDA" w:rsidRPr="00E45D39" w14:paraId="40EE50AE" w14:textId="77777777" w:rsidTr="00CE1011">
              <w:trPr>
                <w:cantSplit/>
              </w:trPr>
              <w:tc>
                <w:tcPr>
                  <w:tcW w:w="2515" w:type="dxa"/>
                  <w:tcBorders>
                    <w:top w:val="single" w:sz="4" w:space="0" w:color="auto"/>
                    <w:left w:val="single" w:sz="4" w:space="0" w:color="auto"/>
                    <w:bottom w:val="single" w:sz="4" w:space="0" w:color="auto"/>
                    <w:right w:val="single" w:sz="4" w:space="0" w:color="auto"/>
                  </w:tcBorders>
                </w:tcPr>
                <w:p w14:paraId="421863BB" w14:textId="77777777" w:rsidR="00C36EDA" w:rsidRPr="00E45D39" w:rsidRDefault="00C36EDA" w:rsidP="00C36EDA">
                  <w:pPr>
                    <w:spacing w:after="60"/>
                    <w:rPr>
                      <w:i/>
                      <w:iCs/>
                      <w:sz w:val="20"/>
                    </w:rPr>
                  </w:pPr>
                  <w:r w:rsidRPr="006144C7">
                    <w:rPr>
                      <w:i/>
                      <w:iCs/>
                      <w:sz w:val="20"/>
                    </w:rPr>
                    <w:t>h</w:t>
                  </w:r>
                </w:p>
              </w:tc>
              <w:tc>
                <w:tcPr>
                  <w:tcW w:w="1170" w:type="dxa"/>
                  <w:tcBorders>
                    <w:top w:val="single" w:sz="4" w:space="0" w:color="auto"/>
                    <w:left w:val="single" w:sz="4" w:space="0" w:color="auto"/>
                    <w:bottom w:val="single" w:sz="4" w:space="0" w:color="auto"/>
                    <w:right w:val="single" w:sz="4" w:space="0" w:color="auto"/>
                  </w:tcBorders>
                </w:tcPr>
                <w:p w14:paraId="3CB6DC05" w14:textId="77777777" w:rsidR="00C36EDA" w:rsidRPr="00E45D39" w:rsidRDefault="00C36EDA" w:rsidP="00C36EDA">
                  <w:pPr>
                    <w:spacing w:after="60"/>
                    <w:rPr>
                      <w:iCs/>
                      <w:sz w:val="20"/>
                    </w:rPr>
                  </w:pPr>
                  <w:r w:rsidRPr="006144C7">
                    <w:rPr>
                      <w:iCs/>
                      <w:sz w:val="20"/>
                    </w:rPr>
                    <w:t>none</w:t>
                  </w:r>
                </w:p>
              </w:tc>
              <w:tc>
                <w:tcPr>
                  <w:tcW w:w="5580" w:type="dxa"/>
                  <w:tcBorders>
                    <w:top w:val="single" w:sz="4" w:space="0" w:color="auto"/>
                    <w:left w:val="single" w:sz="4" w:space="0" w:color="auto"/>
                    <w:bottom w:val="single" w:sz="4" w:space="0" w:color="auto"/>
                    <w:right w:val="single" w:sz="4" w:space="0" w:color="auto"/>
                  </w:tcBorders>
                </w:tcPr>
                <w:p w14:paraId="4E23728C" w14:textId="77777777" w:rsidR="00C36EDA" w:rsidRDefault="00C36EDA" w:rsidP="00C36EDA">
                  <w:pPr>
                    <w:spacing w:after="60"/>
                    <w:rPr>
                      <w:iCs/>
                      <w:sz w:val="20"/>
                    </w:rPr>
                  </w:pPr>
                  <w:r w:rsidRPr="0083119C">
                    <w:rPr>
                      <w:iCs/>
                      <w:sz w:val="20"/>
                    </w:rPr>
                    <w:t>An MRA Contracted Hour for the MRA Contracted Month</w:t>
                  </w:r>
                  <w:r w:rsidRPr="006144C7">
                    <w:rPr>
                      <w:iCs/>
                      <w:sz w:val="20"/>
                    </w:rPr>
                    <w:t>.</w:t>
                  </w:r>
                </w:p>
              </w:tc>
            </w:tr>
          </w:tbl>
          <w:p w14:paraId="119A0BAA" w14:textId="77777777" w:rsidR="00C36EDA" w:rsidRPr="00E45D39" w:rsidRDefault="00C36EDA" w:rsidP="00C36EDA">
            <w:pPr>
              <w:spacing w:before="240" w:after="240"/>
              <w:ind w:left="720" w:hanging="720"/>
            </w:pPr>
            <w:r w:rsidRPr="00E45D39">
              <w:t>(</w:t>
            </w:r>
            <w:r>
              <w:t>3)</w:t>
            </w:r>
            <w:r>
              <w:tab/>
              <w:t xml:space="preserve">The total of the charges to all </w:t>
            </w:r>
            <w:r w:rsidRPr="00E45D39">
              <w:t>QSE</w:t>
            </w:r>
            <w:r>
              <w:t>s</w:t>
            </w:r>
            <w:r w:rsidRPr="00E45D39">
              <w:t xml:space="preserve"> for unex</w:t>
            </w:r>
            <w:r>
              <w:t>cused Misconduct Events of all MRA</w:t>
            </w:r>
            <w:r w:rsidRPr="00E45D39">
              <w:t>s for a</w:t>
            </w:r>
            <w:r>
              <w:t xml:space="preserve">n MRA Contracted Hour </w:t>
            </w:r>
            <w:r w:rsidRPr="00E45D39">
              <w:t>is calculated as follows:</w:t>
            </w:r>
          </w:p>
          <w:p w14:paraId="5DBE342D" w14:textId="77777777" w:rsidR="00C36EDA" w:rsidRPr="003F2D5C" w:rsidRDefault="00C36EDA" w:rsidP="00C36EDA">
            <w:pPr>
              <w:tabs>
                <w:tab w:val="left" w:pos="2250"/>
                <w:tab w:val="left" w:pos="3150"/>
                <w:tab w:val="left" w:pos="3960"/>
              </w:tabs>
              <w:spacing w:after="240"/>
              <w:ind w:left="3960" w:hanging="3240"/>
              <w:rPr>
                <w:bCs/>
              </w:rPr>
            </w:pPr>
            <w:r w:rsidRPr="003F2D5C">
              <w:rPr>
                <w:bCs/>
              </w:rPr>
              <w:t>MRA</w:t>
            </w:r>
            <w:r>
              <w:rPr>
                <w:bCs/>
              </w:rPr>
              <w:t>UM</w:t>
            </w:r>
            <w:r w:rsidRPr="003F2D5C">
              <w:rPr>
                <w:bCs/>
              </w:rPr>
              <w:t>AMT</w:t>
            </w:r>
            <w:r w:rsidRPr="00054C1C">
              <w:rPr>
                <w:bCs/>
              </w:rPr>
              <w:t>TOT</w:t>
            </w:r>
            <w:r>
              <w:rPr>
                <w:bCs/>
              </w:rPr>
              <w:t xml:space="preserve">  </w:t>
            </w:r>
            <w:r w:rsidRPr="003F2D5C">
              <w:rPr>
                <w:bCs/>
              </w:rPr>
              <w:t>=</w:t>
            </w:r>
            <w:r>
              <w:rPr>
                <w:bCs/>
              </w:rPr>
              <w:t xml:space="preserve">  </w:t>
            </w:r>
            <w:r w:rsidRPr="006F784F">
              <w:rPr>
                <w:position w:val="-22"/>
              </w:rPr>
              <w:object w:dxaOrig="210" w:dyaOrig="465" w14:anchorId="362A5353">
                <v:shape id="_x0000_i1227" type="#_x0000_t75" style="width:5.4pt;height:30pt" o:ole="">
                  <v:imagedata r:id="rId187" o:title=""/>
                </v:shape>
                <o:OLEObject Type="Embed" ProgID="Equation.3" ShapeID="_x0000_i1227" DrawAspect="Content" ObjectID="_1815025416" r:id="rId279"/>
              </w:object>
            </w:r>
            <w:r>
              <w:t xml:space="preserve"> </w:t>
            </w:r>
            <w:r w:rsidRPr="000B54A2">
              <w:rPr>
                <w:bCs/>
              </w:rPr>
              <w:t>MRA</w:t>
            </w:r>
            <w:r>
              <w:rPr>
                <w:bCs/>
              </w:rPr>
              <w:t>UM</w:t>
            </w:r>
            <w:r w:rsidRPr="000B54A2">
              <w:rPr>
                <w:bCs/>
              </w:rPr>
              <w:t xml:space="preserve">AMTQSETOT </w:t>
            </w:r>
            <w:r w:rsidRPr="004E5BD4">
              <w:rPr>
                <w:bCs/>
                <w:i/>
                <w:vertAlign w:val="subscript"/>
              </w:rPr>
              <w:t>q</w:t>
            </w:r>
          </w:p>
          <w:p w14:paraId="64E47DC2" w14:textId="77777777" w:rsidR="00C36EDA" w:rsidRPr="00E45D39" w:rsidRDefault="00C36EDA" w:rsidP="00C36EDA">
            <w:r w:rsidRPr="00E45D39">
              <w:t>The above variables are defined as follows:</w:t>
            </w:r>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5"/>
              <w:gridCol w:w="750"/>
              <w:gridCol w:w="6074"/>
            </w:tblGrid>
            <w:tr w:rsidR="007D701A" w:rsidRPr="00E45D39" w14:paraId="1606ACA3" w14:textId="77777777" w:rsidTr="00CE1011">
              <w:trPr>
                <w:cantSplit/>
                <w:tblHeader/>
              </w:trPr>
              <w:tc>
                <w:tcPr>
                  <w:tcW w:w="2425" w:type="dxa"/>
                </w:tcPr>
                <w:p w14:paraId="2CB96C65" w14:textId="77777777" w:rsidR="007D701A" w:rsidRPr="00E45D39" w:rsidRDefault="007D701A" w:rsidP="007D701A">
                  <w:pPr>
                    <w:spacing w:after="120"/>
                    <w:rPr>
                      <w:b/>
                      <w:iCs/>
                      <w:sz w:val="20"/>
                    </w:rPr>
                  </w:pPr>
                  <w:r w:rsidRPr="00E45D39">
                    <w:rPr>
                      <w:b/>
                      <w:iCs/>
                      <w:sz w:val="20"/>
                    </w:rPr>
                    <w:t>Variable</w:t>
                  </w:r>
                </w:p>
              </w:tc>
              <w:tc>
                <w:tcPr>
                  <w:tcW w:w="750" w:type="dxa"/>
                </w:tcPr>
                <w:p w14:paraId="60802E43" w14:textId="77777777" w:rsidR="007D701A" w:rsidRPr="00E45D39" w:rsidRDefault="007D701A" w:rsidP="007D701A">
                  <w:pPr>
                    <w:spacing w:after="120"/>
                    <w:rPr>
                      <w:b/>
                      <w:iCs/>
                      <w:sz w:val="20"/>
                    </w:rPr>
                  </w:pPr>
                  <w:r w:rsidRPr="00E45D39">
                    <w:rPr>
                      <w:b/>
                      <w:iCs/>
                      <w:sz w:val="20"/>
                    </w:rPr>
                    <w:t>Unit</w:t>
                  </w:r>
                </w:p>
              </w:tc>
              <w:tc>
                <w:tcPr>
                  <w:tcW w:w="6074" w:type="dxa"/>
                </w:tcPr>
                <w:p w14:paraId="307BBCCC" w14:textId="77777777" w:rsidR="007D701A" w:rsidRPr="00E45D39" w:rsidRDefault="007D701A" w:rsidP="007D701A">
                  <w:pPr>
                    <w:spacing w:after="120"/>
                    <w:rPr>
                      <w:b/>
                      <w:iCs/>
                      <w:sz w:val="20"/>
                    </w:rPr>
                  </w:pPr>
                  <w:r w:rsidRPr="00E45D39">
                    <w:rPr>
                      <w:b/>
                      <w:iCs/>
                      <w:sz w:val="20"/>
                    </w:rPr>
                    <w:t>Definition</w:t>
                  </w:r>
                </w:p>
              </w:tc>
            </w:tr>
            <w:tr w:rsidR="007D701A" w:rsidRPr="00E45D39" w14:paraId="26D4385E" w14:textId="77777777" w:rsidTr="00CE1011">
              <w:trPr>
                <w:cantSplit/>
              </w:trPr>
              <w:tc>
                <w:tcPr>
                  <w:tcW w:w="2425" w:type="dxa"/>
                </w:tcPr>
                <w:p w14:paraId="1919AA7B" w14:textId="77777777" w:rsidR="007D701A" w:rsidRPr="005A6FD5" w:rsidRDefault="007D701A" w:rsidP="007D701A">
                  <w:pPr>
                    <w:spacing w:after="60"/>
                    <w:rPr>
                      <w:iCs/>
                      <w:sz w:val="20"/>
                    </w:rPr>
                  </w:pPr>
                  <w:r w:rsidRPr="005A6FD5">
                    <w:rPr>
                      <w:bCs/>
                      <w:sz w:val="20"/>
                    </w:rPr>
                    <w:t>MRAUMAMTTOT</w:t>
                  </w:r>
                </w:p>
              </w:tc>
              <w:tc>
                <w:tcPr>
                  <w:tcW w:w="750" w:type="dxa"/>
                </w:tcPr>
                <w:p w14:paraId="08ADEC2E" w14:textId="77777777" w:rsidR="007D701A" w:rsidRPr="005A6FD5" w:rsidRDefault="007D701A" w:rsidP="007D701A">
                  <w:pPr>
                    <w:spacing w:after="60"/>
                    <w:rPr>
                      <w:iCs/>
                      <w:sz w:val="20"/>
                    </w:rPr>
                  </w:pPr>
                  <w:r w:rsidRPr="005A6FD5">
                    <w:rPr>
                      <w:iCs/>
                      <w:sz w:val="20"/>
                    </w:rPr>
                    <w:t>$</w:t>
                  </w:r>
                </w:p>
              </w:tc>
              <w:tc>
                <w:tcPr>
                  <w:tcW w:w="6074" w:type="dxa"/>
                </w:tcPr>
                <w:p w14:paraId="134A5CBB" w14:textId="77777777" w:rsidR="007D701A" w:rsidRPr="005A6FD5" w:rsidRDefault="007D701A" w:rsidP="007D701A">
                  <w:pPr>
                    <w:spacing w:after="60"/>
                    <w:rPr>
                      <w:iCs/>
                      <w:sz w:val="20"/>
                    </w:rPr>
                  </w:pPr>
                  <w:r w:rsidRPr="005A6FD5">
                    <w:rPr>
                      <w:i/>
                      <w:iCs/>
                      <w:sz w:val="20"/>
                    </w:rPr>
                    <w:t xml:space="preserve">Must-Run Alternative Unexcused Misconduct Amount Total per hour </w:t>
                  </w:r>
                  <w:r w:rsidRPr="005A6FD5">
                    <w:rPr>
                      <w:iCs/>
                      <w:sz w:val="20"/>
                    </w:rPr>
                    <w:sym w:font="Symbol" w:char="F0BE"/>
                  </w:r>
                  <w:r w:rsidRPr="005A6FD5">
                    <w:rPr>
                      <w:iCs/>
                      <w:sz w:val="20"/>
                    </w:rPr>
                    <w:t xml:space="preserve">The total of the charges for unexcused </w:t>
                  </w:r>
                  <w:r>
                    <w:rPr>
                      <w:iCs/>
                      <w:sz w:val="20"/>
                    </w:rPr>
                    <w:t>M</w:t>
                  </w:r>
                  <w:r w:rsidRPr="005A6FD5">
                    <w:rPr>
                      <w:iCs/>
                      <w:sz w:val="20"/>
                    </w:rPr>
                    <w:t xml:space="preserve">isconduct </w:t>
                  </w:r>
                  <w:r>
                    <w:rPr>
                      <w:iCs/>
                      <w:sz w:val="20"/>
                    </w:rPr>
                    <w:t>E</w:t>
                  </w:r>
                  <w:r w:rsidRPr="005A6FD5">
                    <w:rPr>
                      <w:iCs/>
                      <w:sz w:val="20"/>
                    </w:rPr>
                    <w:t>vents for the hour.</w:t>
                  </w:r>
                </w:p>
              </w:tc>
            </w:tr>
            <w:tr w:rsidR="007D701A" w:rsidRPr="00E45D39" w14:paraId="3EA9D28B" w14:textId="77777777" w:rsidTr="00CE1011">
              <w:trPr>
                <w:cantSplit/>
              </w:trPr>
              <w:tc>
                <w:tcPr>
                  <w:tcW w:w="2425" w:type="dxa"/>
                </w:tcPr>
                <w:p w14:paraId="36833E19" w14:textId="77777777" w:rsidR="007D701A" w:rsidRPr="005A6FD5" w:rsidRDefault="007D701A" w:rsidP="007D701A">
                  <w:pPr>
                    <w:tabs>
                      <w:tab w:val="left" w:pos="2250"/>
                      <w:tab w:val="left" w:pos="3150"/>
                      <w:tab w:val="left" w:pos="3960"/>
                    </w:tabs>
                    <w:spacing w:after="240"/>
                    <w:rPr>
                      <w:bCs/>
                      <w:sz w:val="20"/>
                    </w:rPr>
                  </w:pPr>
                  <w:r w:rsidRPr="005A6FD5">
                    <w:rPr>
                      <w:bCs/>
                      <w:sz w:val="20"/>
                    </w:rPr>
                    <w:t xml:space="preserve">MRAUMAMTQSETOT </w:t>
                  </w:r>
                  <w:r w:rsidRPr="005A6FD5">
                    <w:rPr>
                      <w:bCs/>
                      <w:i/>
                      <w:sz w:val="20"/>
                      <w:vertAlign w:val="subscript"/>
                    </w:rPr>
                    <w:t>q</w:t>
                  </w:r>
                </w:p>
                <w:p w14:paraId="63F217A7" w14:textId="77777777" w:rsidR="007D701A" w:rsidRPr="005A6FD5" w:rsidRDefault="007D701A" w:rsidP="007D701A">
                  <w:pPr>
                    <w:spacing w:after="60"/>
                    <w:rPr>
                      <w:iCs/>
                      <w:sz w:val="20"/>
                    </w:rPr>
                  </w:pPr>
                </w:p>
              </w:tc>
              <w:tc>
                <w:tcPr>
                  <w:tcW w:w="750" w:type="dxa"/>
                </w:tcPr>
                <w:p w14:paraId="598241F3" w14:textId="77777777" w:rsidR="007D701A" w:rsidRPr="005A6FD5" w:rsidRDefault="007D701A" w:rsidP="007D701A">
                  <w:pPr>
                    <w:spacing w:after="60"/>
                    <w:rPr>
                      <w:iCs/>
                      <w:sz w:val="20"/>
                    </w:rPr>
                  </w:pPr>
                  <w:r w:rsidRPr="005A6FD5">
                    <w:rPr>
                      <w:iCs/>
                      <w:sz w:val="20"/>
                    </w:rPr>
                    <w:t>$</w:t>
                  </w:r>
                </w:p>
              </w:tc>
              <w:tc>
                <w:tcPr>
                  <w:tcW w:w="6074" w:type="dxa"/>
                </w:tcPr>
                <w:p w14:paraId="7528F0C6" w14:textId="77777777" w:rsidR="007D701A" w:rsidRPr="005A6FD5" w:rsidRDefault="007D701A" w:rsidP="007D701A">
                  <w:pPr>
                    <w:spacing w:after="60"/>
                    <w:rPr>
                      <w:i/>
                      <w:iCs/>
                      <w:sz w:val="20"/>
                    </w:rPr>
                  </w:pPr>
                  <w:r w:rsidRPr="005A6FD5">
                    <w:rPr>
                      <w:i/>
                      <w:iCs/>
                      <w:sz w:val="20"/>
                    </w:rPr>
                    <w:t>Must-Run Alternative Unexcused Misconduct Amount per QSE</w:t>
                  </w:r>
                  <w:r w:rsidRPr="005A6FD5">
                    <w:rPr>
                      <w:iCs/>
                      <w:sz w:val="20"/>
                    </w:rPr>
                    <w:sym w:font="Symbol" w:char="F0BE"/>
                  </w:r>
                  <w:r w:rsidRPr="005A6FD5">
                    <w:rPr>
                      <w:iCs/>
                      <w:sz w:val="20"/>
                    </w:rPr>
                    <w:t xml:space="preserve">The total of the charges to QSE </w:t>
                  </w:r>
                  <w:r w:rsidRPr="005A6FD5">
                    <w:rPr>
                      <w:i/>
                      <w:iCs/>
                      <w:sz w:val="20"/>
                    </w:rPr>
                    <w:t>q</w:t>
                  </w:r>
                  <w:r w:rsidRPr="005A6FD5">
                    <w:rPr>
                      <w:iCs/>
                      <w:sz w:val="20"/>
                    </w:rPr>
                    <w:t xml:space="preserve"> for unexcused </w:t>
                  </w:r>
                  <w:r>
                    <w:rPr>
                      <w:iCs/>
                      <w:sz w:val="20"/>
                    </w:rPr>
                    <w:t>M</w:t>
                  </w:r>
                  <w:r w:rsidRPr="005A6FD5">
                    <w:rPr>
                      <w:iCs/>
                      <w:sz w:val="20"/>
                    </w:rPr>
                    <w:t xml:space="preserve">isconduct </w:t>
                  </w:r>
                  <w:r>
                    <w:rPr>
                      <w:iCs/>
                      <w:sz w:val="20"/>
                    </w:rPr>
                    <w:t>E</w:t>
                  </w:r>
                  <w:r w:rsidRPr="005A6FD5">
                    <w:rPr>
                      <w:iCs/>
                      <w:sz w:val="20"/>
                    </w:rPr>
                    <w:t xml:space="preserve">vents of the </w:t>
                  </w:r>
                  <w:r>
                    <w:rPr>
                      <w:iCs/>
                      <w:sz w:val="20"/>
                    </w:rPr>
                    <w:t>MRA</w:t>
                  </w:r>
                  <w:r w:rsidRPr="005A6FD5">
                    <w:rPr>
                      <w:iCs/>
                      <w:sz w:val="20"/>
                    </w:rPr>
                    <w:t xml:space="preserve">s for an </w:t>
                  </w:r>
                  <w:r>
                    <w:rPr>
                      <w:iCs/>
                      <w:sz w:val="20"/>
                    </w:rPr>
                    <w:t>MRA Contracted H</w:t>
                  </w:r>
                  <w:r w:rsidRPr="005A6FD5">
                    <w:rPr>
                      <w:iCs/>
                      <w:sz w:val="20"/>
                    </w:rPr>
                    <w:t>our.</w:t>
                  </w:r>
                </w:p>
              </w:tc>
            </w:tr>
            <w:tr w:rsidR="007D701A" w:rsidRPr="00E45D39" w14:paraId="18B3556E" w14:textId="77777777" w:rsidTr="00CE1011">
              <w:trPr>
                <w:cantSplit/>
              </w:trPr>
              <w:tc>
                <w:tcPr>
                  <w:tcW w:w="2425" w:type="dxa"/>
                  <w:tcBorders>
                    <w:top w:val="single" w:sz="4" w:space="0" w:color="auto"/>
                    <w:left w:val="single" w:sz="4" w:space="0" w:color="auto"/>
                    <w:bottom w:val="single" w:sz="4" w:space="0" w:color="auto"/>
                    <w:right w:val="single" w:sz="4" w:space="0" w:color="auto"/>
                  </w:tcBorders>
                </w:tcPr>
                <w:p w14:paraId="13FEE6A8" w14:textId="77777777" w:rsidR="007D701A" w:rsidRPr="005A6FD5" w:rsidRDefault="007D701A" w:rsidP="007D701A">
                  <w:pPr>
                    <w:spacing w:after="60"/>
                    <w:rPr>
                      <w:i/>
                      <w:iCs/>
                      <w:sz w:val="20"/>
                    </w:rPr>
                  </w:pPr>
                  <w:r w:rsidRPr="005A6FD5">
                    <w:rPr>
                      <w:i/>
                      <w:iCs/>
                      <w:sz w:val="20"/>
                    </w:rPr>
                    <w:t>q</w:t>
                  </w:r>
                </w:p>
              </w:tc>
              <w:tc>
                <w:tcPr>
                  <w:tcW w:w="750" w:type="dxa"/>
                  <w:tcBorders>
                    <w:top w:val="single" w:sz="4" w:space="0" w:color="auto"/>
                    <w:left w:val="single" w:sz="4" w:space="0" w:color="auto"/>
                    <w:bottom w:val="single" w:sz="4" w:space="0" w:color="auto"/>
                    <w:right w:val="single" w:sz="4" w:space="0" w:color="auto"/>
                  </w:tcBorders>
                </w:tcPr>
                <w:p w14:paraId="34E36B70" w14:textId="77777777" w:rsidR="007D701A" w:rsidRPr="005A6FD5" w:rsidRDefault="007D701A" w:rsidP="007D701A">
                  <w:pPr>
                    <w:spacing w:after="60"/>
                    <w:rPr>
                      <w:iCs/>
                      <w:sz w:val="20"/>
                    </w:rPr>
                  </w:pPr>
                  <w:r w:rsidRPr="005A6FD5">
                    <w:rPr>
                      <w:iCs/>
                      <w:sz w:val="20"/>
                    </w:rPr>
                    <w:t>none</w:t>
                  </w:r>
                </w:p>
              </w:tc>
              <w:tc>
                <w:tcPr>
                  <w:tcW w:w="6074" w:type="dxa"/>
                  <w:tcBorders>
                    <w:top w:val="single" w:sz="4" w:space="0" w:color="auto"/>
                    <w:left w:val="single" w:sz="4" w:space="0" w:color="auto"/>
                    <w:bottom w:val="single" w:sz="4" w:space="0" w:color="auto"/>
                    <w:right w:val="single" w:sz="4" w:space="0" w:color="auto"/>
                  </w:tcBorders>
                </w:tcPr>
                <w:p w14:paraId="139D6834" w14:textId="77777777" w:rsidR="007D701A" w:rsidRPr="005A6FD5" w:rsidRDefault="007D701A" w:rsidP="007D701A">
                  <w:pPr>
                    <w:spacing w:after="60"/>
                    <w:rPr>
                      <w:iCs/>
                      <w:sz w:val="20"/>
                    </w:rPr>
                  </w:pPr>
                  <w:r w:rsidRPr="005A6FD5">
                    <w:rPr>
                      <w:iCs/>
                      <w:sz w:val="20"/>
                    </w:rPr>
                    <w:t>A QSE.</w:t>
                  </w:r>
                </w:p>
              </w:tc>
            </w:tr>
          </w:tbl>
          <w:p w14:paraId="32E11BD4" w14:textId="77777777" w:rsidR="00150223" w:rsidRPr="00C3334D" w:rsidRDefault="00150223" w:rsidP="00CE1011">
            <w:pPr>
              <w:spacing w:after="240"/>
              <w:ind w:left="720" w:hanging="720"/>
            </w:pPr>
          </w:p>
        </w:tc>
      </w:tr>
    </w:tbl>
    <w:p w14:paraId="5F0C0431" w14:textId="77777777" w:rsidR="00B040C2" w:rsidRDefault="00B040C2" w:rsidP="00B040C2">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B040C2" w14:paraId="50C7EC03" w14:textId="77777777" w:rsidTr="00CE1011">
        <w:trPr>
          <w:trHeight w:val="206"/>
        </w:trPr>
        <w:tc>
          <w:tcPr>
            <w:tcW w:w="5000" w:type="pct"/>
            <w:shd w:val="pct12" w:color="auto" w:fill="auto"/>
          </w:tcPr>
          <w:p w14:paraId="6B09AC9B" w14:textId="77777777" w:rsidR="00B040C2" w:rsidRDefault="00B040C2" w:rsidP="00CE1011">
            <w:pPr>
              <w:pStyle w:val="Instructions"/>
              <w:spacing w:before="120"/>
            </w:pPr>
            <w:r>
              <w:t>[NPRR885:  Insert Section 6.6.6.12 below upon system implementation:]</w:t>
            </w:r>
          </w:p>
          <w:p w14:paraId="6D2FB5AF" w14:textId="77777777" w:rsidR="00B040C2" w:rsidRPr="00B040C2" w:rsidRDefault="00B040C2" w:rsidP="006D34E1">
            <w:pPr>
              <w:keepNext/>
              <w:widowControl w:val="0"/>
              <w:tabs>
                <w:tab w:val="left" w:pos="1260"/>
              </w:tabs>
              <w:spacing w:before="240" w:after="240"/>
              <w:ind w:left="1267" w:hanging="1267"/>
              <w:outlineLvl w:val="3"/>
              <w:rPr>
                <w:b/>
                <w:bCs/>
                <w:snapToGrid w:val="0"/>
                <w:color w:val="000000"/>
              </w:rPr>
            </w:pPr>
            <w:bookmarkStart w:id="2411" w:name="_Toc17798759"/>
            <w:bookmarkStart w:id="2412" w:name="_Toc204411713"/>
            <w:r w:rsidRPr="00B040C2">
              <w:rPr>
                <w:b/>
                <w:bCs/>
                <w:snapToGrid w:val="0"/>
                <w:color w:val="000000"/>
              </w:rPr>
              <w:lastRenderedPageBreak/>
              <w:t>6.6.6.12</w:t>
            </w:r>
            <w:r w:rsidRPr="00B040C2">
              <w:rPr>
                <w:b/>
                <w:bCs/>
                <w:snapToGrid w:val="0"/>
                <w:color w:val="000000"/>
              </w:rPr>
              <w:tab/>
              <w:t>MRA Service Charge</w:t>
            </w:r>
            <w:bookmarkEnd w:id="2411"/>
            <w:bookmarkEnd w:id="2412"/>
          </w:p>
          <w:p w14:paraId="5A59F2AF" w14:textId="77777777" w:rsidR="00B040C2" w:rsidRPr="00E45D39" w:rsidRDefault="00B040C2" w:rsidP="00B040C2">
            <w:pPr>
              <w:spacing w:after="240"/>
              <w:ind w:left="720" w:hanging="720"/>
            </w:pPr>
            <w:r>
              <w:t>(1)</w:t>
            </w:r>
            <w:r>
              <w:tab/>
              <w:t xml:space="preserve">The total </w:t>
            </w:r>
            <w:r w:rsidRPr="00E45D39">
              <w:t>MR</w:t>
            </w:r>
            <w:r>
              <w:t>A cost for all MRA</w:t>
            </w:r>
            <w:r w:rsidRPr="00E45D39">
              <w:t xml:space="preserve">s is allocated to the QSEs representing Loads based on </w:t>
            </w:r>
            <w:r>
              <w:t>H</w:t>
            </w:r>
            <w:r w:rsidRPr="00E45D39">
              <w:t xml:space="preserve">LRS. </w:t>
            </w:r>
            <w:r>
              <w:t xml:space="preserve"> The </w:t>
            </w:r>
            <w:r w:rsidRPr="00E45D39">
              <w:t>MR</w:t>
            </w:r>
            <w:r>
              <w:t>A</w:t>
            </w:r>
            <w:r w:rsidRPr="00E45D39">
              <w:t xml:space="preserve"> Service charge to each QSE for a given hour is calculated as follows:</w:t>
            </w:r>
          </w:p>
          <w:p w14:paraId="47C00402" w14:textId="77777777" w:rsidR="00B040C2" w:rsidRPr="00B31EF7" w:rsidRDefault="00B040C2" w:rsidP="00B040C2">
            <w:pPr>
              <w:tabs>
                <w:tab w:val="left" w:pos="2610"/>
                <w:tab w:val="left" w:pos="3060"/>
              </w:tabs>
              <w:spacing w:after="240"/>
              <w:ind w:left="3060" w:hanging="2340"/>
              <w:rPr>
                <w:bCs/>
                <w:i/>
                <w:vertAlign w:val="subscript"/>
              </w:rPr>
            </w:pPr>
            <w:r w:rsidRPr="005D1BEB">
              <w:rPr>
                <w:bCs/>
              </w:rPr>
              <w:t>LAMRA</w:t>
            </w:r>
            <w:r w:rsidRPr="002B4F4F">
              <w:rPr>
                <w:bCs/>
              </w:rPr>
              <w:t xml:space="preserve">AMT </w:t>
            </w:r>
            <w:r w:rsidRPr="002B4F4F">
              <w:rPr>
                <w:bCs/>
                <w:i/>
                <w:vertAlign w:val="subscript"/>
              </w:rPr>
              <w:t>q</w:t>
            </w:r>
            <w:r w:rsidRPr="002B4F4F">
              <w:rPr>
                <w:bCs/>
              </w:rPr>
              <w:tab/>
              <w:t>=</w:t>
            </w:r>
            <w:r w:rsidRPr="002B4F4F">
              <w:rPr>
                <w:bCs/>
              </w:rPr>
              <w:tab/>
              <w:t>(-1) * (</w:t>
            </w:r>
            <w:r w:rsidRPr="002B4F4F">
              <w:t>MRASBAMTTOT</w:t>
            </w:r>
            <w:r w:rsidRPr="00741192">
              <w:rPr>
                <w:bCs/>
              </w:rPr>
              <w:t xml:space="preserve"> + </w:t>
            </w:r>
            <w:r w:rsidRPr="00741192">
              <w:t xml:space="preserve">MRACAPEXAMTTOT  </w:t>
            </w:r>
            <w:r w:rsidRPr="00741192">
              <w:rPr>
                <w:bCs/>
              </w:rPr>
              <w:t xml:space="preserve">+ </w:t>
            </w:r>
            <w:r>
              <w:t>MRAD</w:t>
            </w:r>
            <w:r w:rsidRPr="002E292F">
              <w:t>EAMTTOT  +</w:t>
            </w:r>
            <w:r w:rsidRPr="009D5E75">
              <w:t xml:space="preserve"> </w:t>
            </w:r>
            <w:r w:rsidRPr="00770099">
              <w:t>MRA</w:t>
            </w:r>
            <w:r>
              <w:t>V</w:t>
            </w:r>
            <w:r w:rsidRPr="00770099">
              <w:t>AMTTOT</w:t>
            </w:r>
            <w:r w:rsidRPr="002E292F">
              <w:t xml:space="preserve"> </w:t>
            </w:r>
            <w:r>
              <w:t xml:space="preserve">  + </w:t>
            </w:r>
            <w:r w:rsidRPr="009D5E75">
              <w:rPr>
                <w:bCs/>
              </w:rPr>
              <w:t>MRA</w:t>
            </w:r>
            <w:r>
              <w:rPr>
                <w:bCs/>
              </w:rPr>
              <w:t>UM</w:t>
            </w:r>
            <w:r w:rsidRPr="009D5E75">
              <w:rPr>
                <w:bCs/>
              </w:rPr>
              <w:t xml:space="preserve">AMTTOT) * HLRS </w:t>
            </w:r>
            <w:r w:rsidRPr="009D5E75">
              <w:rPr>
                <w:bCs/>
                <w:i/>
                <w:vertAlign w:val="subscript"/>
              </w:rPr>
              <w:t>q</w:t>
            </w:r>
          </w:p>
          <w:p w14:paraId="2C6691CD" w14:textId="77777777" w:rsidR="00B040C2" w:rsidRPr="00E45D39" w:rsidRDefault="00B040C2" w:rsidP="00B040C2">
            <w:r w:rsidRPr="00E45D39">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6"/>
              <w:gridCol w:w="970"/>
              <w:gridCol w:w="5766"/>
            </w:tblGrid>
            <w:tr w:rsidR="00C64EA0" w:rsidRPr="00E45D39" w14:paraId="536667E7" w14:textId="77777777" w:rsidTr="00CE1011">
              <w:trPr>
                <w:cantSplit/>
                <w:tblHeader/>
              </w:trPr>
              <w:tc>
                <w:tcPr>
                  <w:tcW w:w="1360" w:type="pct"/>
                </w:tcPr>
                <w:p w14:paraId="75F42D7A" w14:textId="77777777" w:rsidR="00C64EA0" w:rsidRPr="00E45D39" w:rsidRDefault="00C64EA0" w:rsidP="00C64EA0">
                  <w:pPr>
                    <w:spacing w:after="120"/>
                    <w:rPr>
                      <w:b/>
                      <w:iCs/>
                      <w:sz w:val="20"/>
                    </w:rPr>
                  </w:pPr>
                  <w:r w:rsidRPr="00E45D39">
                    <w:rPr>
                      <w:b/>
                      <w:iCs/>
                      <w:sz w:val="20"/>
                    </w:rPr>
                    <w:t>Variable</w:t>
                  </w:r>
                </w:p>
              </w:tc>
              <w:tc>
                <w:tcPr>
                  <w:tcW w:w="524" w:type="pct"/>
                </w:tcPr>
                <w:p w14:paraId="33819084" w14:textId="77777777" w:rsidR="00C64EA0" w:rsidRPr="00E45D39" w:rsidRDefault="00C64EA0" w:rsidP="00C64EA0">
                  <w:pPr>
                    <w:spacing w:after="120"/>
                    <w:rPr>
                      <w:b/>
                      <w:iCs/>
                      <w:sz w:val="20"/>
                    </w:rPr>
                  </w:pPr>
                  <w:r w:rsidRPr="00E45D39">
                    <w:rPr>
                      <w:b/>
                      <w:iCs/>
                      <w:sz w:val="20"/>
                    </w:rPr>
                    <w:t>Unit</w:t>
                  </w:r>
                </w:p>
              </w:tc>
              <w:tc>
                <w:tcPr>
                  <w:tcW w:w="3116" w:type="pct"/>
                </w:tcPr>
                <w:p w14:paraId="0C91E0B6" w14:textId="77777777" w:rsidR="00C64EA0" w:rsidRPr="00E45D39" w:rsidRDefault="00C64EA0" w:rsidP="00C64EA0">
                  <w:pPr>
                    <w:spacing w:after="120"/>
                    <w:rPr>
                      <w:b/>
                      <w:iCs/>
                      <w:sz w:val="20"/>
                    </w:rPr>
                  </w:pPr>
                  <w:r w:rsidRPr="00E45D39">
                    <w:rPr>
                      <w:b/>
                      <w:iCs/>
                      <w:sz w:val="20"/>
                    </w:rPr>
                    <w:t>Definition</w:t>
                  </w:r>
                </w:p>
              </w:tc>
            </w:tr>
            <w:tr w:rsidR="00C64EA0" w:rsidRPr="00E45D39" w14:paraId="15F04B59" w14:textId="77777777" w:rsidTr="00CE1011">
              <w:trPr>
                <w:cantSplit/>
              </w:trPr>
              <w:tc>
                <w:tcPr>
                  <w:tcW w:w="1360" w:type="pct"/>
                </w:tcPr>
                <w:p w14:paraId="1AACF531" w14:textId="77777777" w:rsidR="00C64EA0" w:rsidRPr="00E45D39" w:rsidRDefault="00C64EA0" w:rsidP="00C64EA0">
                  <w:pPr>
                    <w:spacing w:after="60"/>
                    <w:rPr>
                      <w:iCs/>
                      <w:sz w:val="20"/>
                    </w:rPr>
                  </w:pPr>
                  <w:r w:rsidRPr="00E45D39">
                    <w:rPr>
                      <w:iCs/>
                      <w:sz w:val="20"/>
                    </w:rPr>
                    <w:t>LAMRA</w:t>
                  </w:r>
                  <w:r>
                    <w:rPr>
                      <w:iCs/>
                      <w:sz w:val="20"/>
                    </w:rPr>
                    <w:t>A</w:t>
                  </w:r>
                  <w:r w:rsidRPr="00E45D39">
                    <w:rPr>
                      <w:iCs/>
                      <w:sz w:val="20"/>
                    </w:rPr>
                    <w:t xml:space="preserve">MT </w:t>
                  </w:r>
                  <w:r w:rsidRPr="00E45D39">
                    <w:rPr>
                      <w:i/>
                      <w:iCs/>
                      <w:sz w:val="20"/>
                      <w:vertAlign w:val="subscript"/>
                    </w:rPr>
                    <w:t>q</w:t>
                  </w:r>
                </w:p>
              </w:tc>
              <w:tc>
                <w:tcPr>
                  <w:tcW w:w="524" w:type="pct"/>
                </w:tcPr>
                <w:p w14:paraId="78471E55" w14:textId="77777777" w:rsidR="00C64EA0" w:rsidRPr="00E45D39" w:rsidRDefault="00C64EA0" w:rsidP="00C64EA0">
                  <w:pPr>
                    <w:spacing w:after="60"/>
                    <w:rPr>
                      <w:iCs/>
                      <w:sz w:val="20"/>
                    </w:rPr>
                  </w:pPr>
                  <w:r w:rsidRPr="00E45D39">
                    <w:rPr>
                      <w:iCs/>
                      <w:sz w:val="20"/>
                    </w:rPr>
                    <w:t>$</w:t>
                  </w:r>
                </w:p>
              </w:tc>
              <w:tc>
                <w:tcPr>
                  <w:tcW w:w="3116" w:type="pct"/>
                </w:tcPr>
                <w:p w14:paraId="5B63924C" w14:textId="77777777" w:rsidR="00C64EA0" w:rsidRPr="00E45D39" w:rsidRDefault="00C64EA0" w:rsidP="00C64EA0">
                  <w:pPr>
                    <w:spacing w:after="60"/>
                    <w:rPr>
                      <w:iCs/>
                      <w:sz w:val="20"/>
                    </w:rPr>
                  </w:pPr>
                  <w:r w:rsidRPr="00E45D39">
                    <w:rPr>
                      <w:i/>
                      <w:iCs/>
                      <w:sz w:val="20"/>
                    </w:rPr>
                    <w:t xml:space="preserve">Load-Allocated Must-Run </w:t>
                  </w:r>
                  <w:r>
                    <w:rPr>
                      <w:i/>
                      <w:iCs/>
                      <w:sz w:val="20"/>
                    </w:rPr>
                    <w:t xml:space="preserve">Alternative </w:t>
                  </w:r>
                  <w:r w:rsidRPr="00E45D39">
                    <w:rPr>
                      <w:i/>
                      <w:iCs/>
                      <w:sz w:val="20"/>
                    </w:rPr>
                    <w:t>Amount per QSE</w:t>
                  </w:r>
                  <w:r w:rsidRPr="00E45D39">
                    <w:rPr>
                      <w:iCs/>
                      <w:sz w:val="20"/>
                    </w:rPr>
                    <w:t>—</w:t>
                  </w:r>
                  <w:r>
                    <w:rPr>
                      <w:iCs/>
                      <w:sz w:val="20"/>
                    </w:rPr>
                    <w:t xml:space="preserve">The MRA cost allocated to </w:t>
                  </w:r>
                  <w:r w:rsidRPr="00E45D39">
                    <w:rPr>
                      <w:iCs/>
                      <w:sz w:val="20"/>
                    </w:rPr>
                    <w:t xml:space="preserve">QSE </w:t>
                  </w:r>
                  <w:r w:rsidRPr="00E45D39">
                    <w:rPr>
                      <w:i/>
                      <w:iCs/>
                      <w:sz w:val="20"/>
                    </w:rPr>
                    <w:t>q</w:t>
                  </w:r>
                  <w:r w:rsidRPr="00E45D39">
                    <w:rPr>
                      <w:iCs/>
                      <w:sz w:val="20"/>
                    </w:rPr>
                    <w:t xml:space="preserve"> based on its </w:t>
                  </w:r>
                  <w:r>
                    <w:rPr>
                      <w:iCs/>
                      <w:sz w:val="20"/>
                    </w:rPr>
                    <w:t>H</w:t>
                  </w:r>
                  <w:r w:rsidRPr="00E45D39">
                    <w:rPr>
                      <w:iCs/>
                      <w:sz w:val="20"/>
                    </w:rPr>
                    <w:t>LRS</w:t>
                  </w:r>
                  <w:r>
                    <w:rPr>
                      <w:iCs/>
                      <w:sz w:val="20"/>
                    </w:rPr>
                    <w:t>.</w:t>
                  </w:r>
                </w:p>
              </w:tc>
            </w:tr>
            <w:tr w:rsidR="00C64EA0" w:rsidRPr="00E45D39" w14:paraId="7EC9A7C5" w14:textId="77777777" w:rsidTr="00CE1011">
              <w:trPr>
                <w:cantSplit/>
              </w:trPr>
              <w:tc>
                <w:tcPr>
                  <w:tcW w:w="1360" w:type="pct"/>
                </w:tcPr>
                <w:p w14:paraId="3E8751BA" w14:textId="77777777" w:rsidR="00C64EA0" w:rsidRPr="005D1BEB" w:rsidRDefault="00C64EA0" w:rsidP="00C64EA0">
                  <w:pPr>
                    <w:spacing w:after="60"/>
                    <w:rPr>
                      <w:iCs/>
                      <w:sz w:val="20"/>
                    </w:rPr>
                  </w:pPr>
                  <w:r w:rsidRPr="00D54F03">
                    <w:rPr>
                      <w:sz w:val="20"/>
                    </w:rPr>
                    <w:t>MRASBAMTTOT</w:t>
                  </w:r>
                </w:p>
              </w:tc>
              <w:tc>
                <w:tcPr>
                  <w:tcW w:w="524" w:type="pct"/>
                </w:tcPr>
                <w:p w14:paraId="68570F7B" w14:textId="77777777" w:rsidR="00C64EA0" w:rsidRPr="00E45D39" w:rsidRDefault="00C64EA0" w:rsidP="00C64EA0">
                  <w:pPr>
                    <w:spacing w:after="60"/>
                    <w:rPr>
                      <w:iCs/>
                      <w:sz w:val="20"/>
                    </w:rPr>
                  </w:pPr>
                  <w:r w:rsidRPr="00E45D39">
                    <w:rPr>
                      <w:iCs/>
                      <w:sz w:val="20"/>
                    </w:rPr>
                    <w:t>$</w:t>
                  </w:r>
                </w:p>
              </w:tc>
              <w:tc>
                <w:tcPr>
                  <w:tcW w:w="3116" w:type="pct"/>
                </w:tcPr>
                <w:p w14:paraId="6EF9C363" w14:textId="77777777" w:rsidR="00C64EA0" w:rsidRPr="005D1BEB" w:rsidRDefault="00C64EA0" w:rsidP="00C64EA0">
                  <w:pPr>
                    <w:spacing w:after="60"/>
                    <w:rPr>
                      <w:i/>
                      <w:iCs/>
                      <w:sz w:val="20"/>
                    </w:rPr>
                  </w:pPr>
                  <w:r w:rsidRPr="00731026">
                    <w:rPr>
                      <w:i/>
                      <w:sz w:val="20"/>
                    </w:rPr>
                    <w:t xml:space="preserve">Must-Run Alternative Standby Amount Total  </w:t>
                  </w:r>
                  <w:r w:rsidRPr="00731026">
                    <w:rPr>
                      <w:i/>
                      <w:sz w:val="20"/>
                    </w:rPr>
                    <w:sym w:font="Symbol" w:char="F0BE"/>
                  </w:r>
                  <w:r w:rsidRPr="002B5C5B">
                    <w:rPr>
                      <w:sz w:val="20"/>
                    </w:rPr>
                    <w:t xml:space="preserve">The total of the Standby Payments to all QSEs </w:t>
                  </w:r>
                  <w:r w:rsidRPr="008431E4">
                    <w:rPr>
                      <w:i/>
                      <w:sz w:val="20"/>
                    </w:rPr>
                    <w:t>q</w:t>
                  </w:r>
                  <w:r w:rsidRPr="002B5C5B">
                    <w:rPr>
                      <w:sz w:val="20"/>
                    </w:rPr>
                    <w:t xml:space="preserve"> for all </w:t>
                  </w:r>
                  <w:r>
                    <w:rPr>
                      <w:sz w:val="20"/>
                    </w:rPr>
                    <w:t>MRA</w:t>
                  </w:r>
                  <w:r w:rsidRPr="002B5C5B">
                    <w:rPr>
                      <w:sz w:val="20"/>
                    </w:rPr>
                    <w:t>s for the hour.</w:t>
                  </w:r>
                </w:p>
              </w:tc>
            </w:tr>
            <w:tr w:rsidR="00C64EA0" w:rsidRPr="00E45D39" w14:paraId="1EDD2355" w14:textId="77777777" w:rsidTr="00CE1011">
              <w:trPr>
                <w:cantSplit/>
              </w:trPr>
              <w:tc>
                <w:tcPr>
                  <w:tcW w:w="1360" w:type="pct"/>
                </w:tcPr>
                <w:p w14:paraId="193625AF" w14:textId="77777777" w:rsidR="00C64EA0" w:rsidRPr="005D1BEB" w:rsidRDefault="00C64EA0" w:rsidP="00C64EA0">
                  <w:pPr>
                    <w:spacing w:after="60"/>
                    <w:rPr>
                      <w:iCs/>
                      <w:sz w:val="20"/>
                    </w:rPr>
                  </w:pPr>
                  <w:r w:rsidRPr="00D54F03">
                    <w:rPr>
                      <w:sz w:val="20"/>
                    </w:rPr>
                    <w:t xml:space="preserve">MRACAPEXAMTTOT  </w:t>
                  </w:r>
                </w:p>
              </w:tc>
              <w:tc>
                <w:tcPr>
                  <w:tcW w:w="524" w:type="pct"/>
                </w:tcPr>
                <w:p w14:paraId="4D505A74" w14:textId="77777777" w:rsidR="00C64EA0" w:rsidRPr="00E45D39" w:rsidRDefault="00C64EA0" w:rsidP="00C64EA0">
                  <w:pPr>
                    <w:spacing w:after="60"/>
                    <w:rPr>
                      <w:iCs/>
                      <w:sz w:val="20"/>
                    </w:rPr>
                  </w:pPr>
                  <w:r w:rsidRPr="00E45D39">
                    <w:rPr>
                      <w:iCs/>
                      <w:sz w:val="20"/>
                    </w:rPr>
                    <w:t>$</w:t>
                  </w:r>
                </w:p>
              </w:tc>
              <w:tc>
                <w:tcPr>
                  <w:tcW w:w="3116" w:type="pct"/>
                </w:tcPr>
                <w:p w14:paraId="1EAAF09B" w14:textId="77777777" w:rsidR="00C64EA0" w:rsidRPr="005D1BEB" w:rsidRDefault="00C64EA0" w:rsidP="00C64EA0">
                  <w:pPr>
                    <w:spacing w:after="60"/>
                    <w:rPr>
                      <w:i/>
                      <w:iCs/>
                      <w:sz w:val="20"/>
                    </w:rPr>
                  </w:pPr>
                  <w:r w:rsidRPr="00D54F03">
                    <w:rPr>
                      <w:i/>
                      <w:iCs/>
                      <w:sz w:val="20"/>
                    </w:rPr>
                    <w:t xml:space="preserve">Must-Run Alternative Contributed Capital Expenditures per hour </w:t>
                  </w:r>
                  <w:r w:rsidRPr="00D54F03">
                    <w:rPr>
                      <w:iCs/>
                      <w:sz w:val="20"/>
                    </w:rPr>
                    <w:t xml:space="preserve">- </w:t>
                  </w:r>
                  <w:r w:rsidRPr="00D54F03">
                    <w:rPr>
                      <w:sz w:val="20"/>
                    </w:rPr>
                    <w:t xml:space="preserve">The total </w:t>
                  </w:r>
                  <w:r w:rsidRPr="00D54F03">
                    <w:rPr>
                      <w:iCs/>
                      <w:sz w:val="20"/>
                    </w:rPr>
                    <w:t xml:space="preserve">contributed capital expenditures to all QSEs </w:t>
                  </w:r>
                  <w:r w:rsidRPr="008431E4">
                    <w:rPr>
                      <w:i/>
                      <w:iCs/>
                      <w:sz w:val="20"/>
                    </w:rPr>
                    <w:t>q</w:t>
                  </w:r>
                  <w:r w:rsidRPr="00D54F03">
                    <w:rPr>
                      <w:iCs/>
                      <w:sz w:val="20"/>
                    </w:rPr>
                    <w:t xml:space="preserve"> for all </w:t>
                  </w:r>
                  <w:r>
                    <w:rPr>
                      <w:sz w:val="20"/>
                    </w:rPr>
                    <w:t>MRA</w:t>
                  </w:r>
                  <w:r w:rsidRPr="00D54F03">
                    <w:rPr>
                      <w:sz w:val="20"/>
                    </w:rPr>
                    <w:t xml:space="preserve">s </w:t>
                  </w:r>
                  <w:r w:rsidRPr="008431E4">
                    <w:rPr>
                      <w:i/>
                      <w:sz w:val="20"/>
                    </w:rPr>
                    <w:t>r</w:t>
                  </w:r>
                  <w:r w:rsidRPr="002B5C5B">
                    <w:rPr>
                      <w:sz w:val="20"/>
                    </w:rPr>
                    <w:t xml:space="preserve"> for the hour</w:t>
                  </w:r>
                  <w:r w:rsidRPr="00731026">
                    <w:rPr>
                      <w:sz w:val="20"/>
                    </w:rPr>
                    <w:t>.</w:t>
                  </w:r>
                  <w:r w:rsidRPr="00D54F03">
                    <w:rPr>
                      <w:sz w:val="20"/>
                    </w:rPr>
                    <w:t xml:space="preserve"> </w:t>
                  </w:r>
                </w:p>
              </w:tc>
            </w:tr>
            <w:tr w:rsidR="00C64EA0" w:rsidRPr="00770099" w14:paraId="29F3C01A" w14:textId="77777777" w:rsidTr="00CE1011">
              <w:trPr>
                <w:cantSplit/>
              </w:trPr>
              <w:tc>
                <w:tcPr>
                  <w:tcW w:w="1360" w:type="pct"/>
                </w:tcPr>
                <w:p w14:paraId="24A13020" w14:textId="77777777" w:rsidR="00C64EA0" w:rsidRPr="005D1BEB" w:rsidRDefault="00C64EA0" w:rsidP="00C64EA0">
                  <w:pPr>
                    <w:spacing w:after="60"/>
                    <w:rPr>
                      <w:iCs/>
                      <w:sz w:val="20"/>
                    </w:rPr>
                  </w:pPr>
                  <w:r>
                    <w:rPr>
                      <w:sz w:val="20"/>
                    </w:rPr>
                    <w:t>MRAD</w:t>
                  </w:r>
                  <w:r w:rsidRPr="00D54F03">
                    <w:rPr>
                      <w:sz w:val="20"/>
                    </w:rPr>
                    <w:t xml:space="preserve">EAMTTOT  </w:t>
                  </w:r>
                </w:p>
              </w:tc>
              <w:tc>
                <w:tcPr>
                  <w:tcW w:w="524" w:type="pct"/>
                </w:tcPr>
                <w:p w14:paraId="56BFF099" w14:textId="77777777" w:rsidR="00C64EA0" w:rsidRPr="00E45D39" w:rsidRDefault="00C64EA0" w:rsidP="00C64EA0">
                  <w:pPr>
                    <w:spacing w:after="60"/>
                    <w:rPr>
                      <w:iCs/>
                      <w:sz w:val="20"/>
                    </w:rPr>
                  </w:pPr>
                  <w:r>
                    <w:rPr>
                      <w:iCs/>
                      <w:sz w:val="20"/>
                    </w:rPr>
                    <w:t>$</w:t>
                  </w:r>
                </w:p>
              </w:tc>
              <w:tc>
                <w:tcPr>
                  <w:tcW w:w="3116" w:type="pct"/>
                </w:tcPr>
                <w:p w14:paraId="1C7E0788" w14:textId="77777777" w:rsidR="00C64EA0" w:rsidRPr="00770099" w:rsidRDefault="00C64EA0" w:rsidP="00C64EA0">
                  <w:pPr>
                    <w:spacing w:after="60"/>
                    <w:rPr>
                      <w:iCs/>
                      <w:sz w:val="20"/>
                    </w:rPr>
                  </w:pPr>
                  <w:r w:rsidRPr="00731026">
                    <w:rPr>
                      <w:i/>
                      <w:sz w:val="20"/>
                    </w:rPr>
                    <w:t xml:space="preserve">Must-Run Alternative </w:t>
                  </w:r>
                  <w:r w:rsidRPr="00731026">
                    <w:rPr>
                      <w:i/>
                      <w:iCs/>
                      <w:sz w:val="20"/>
                    </w:rPr>
                    <w:t xml:space="preserve">Deployment </w:t>
                  </w:r>
                  <w:r w:rsidRPr="00731026">
                    <w:rPr>
                      <w:i/>
                      <w:sz w:val="20"/>
                    </w:rPr>
                    <w:t>Event Amount Total by hour—</w:t>
                  </w:r>
                  <w:r w:rsidRPr="002B5C5B">
                    <w:rPr>
                      <w:sz w:val="20"/>
                    </w:rPr>
                    <w:t xml:space="preserve">The total </w:t>
                  </w:r>
                  <w:r w:rsidRPr="002B5C5B">
                    <w:rPr>
                      <w:iCs/>
                      <w:sz w:val="20"/>
                    </w:rPr>
                    <w:t xml:space="preserve">deployment event payment </w:t>
                  </w:r>
                  <w:r w:rsidRPr="002B5C5B">
                    <w:rPr>
                      <w:sz w:val="20"/>
                    </w:rPr>
                    <w:t xml:space="preserve">to all QSEs </w:t>
                  </w:r>
                  <w:r w:rsidRPr="008431E4">
                    <w:rPr>
                      <w:i/>
                      <w:sz w:val="20"/>
                    </w:rPr>
                    <w:t>q</w:t>
                  </w:r>
                  <w:r w:rsidRPr="002B5C5B">
                    <w:rPr>
                      <w:sz w:val="20"/>
                    </w:rPr>
                    <w:t xml:space="preserve"> for all </w:t>
                  </w:r>
                  <w:r>
                    <w:rPr>
                      <w:sz w:val="20"/>
                    </w:rPr>
                    <w:t>MRA</w:t>
                  </w:r>
                  <w:r w:rsidRPr="002B5C5B">
                    <w:rPr>
                      <w:sz w:val="20"/>
                    </w:rPr>
                    <w:t xml:space="preserve">s </w:t>
                  </w:r>
                  <w:r w:rsidRPr="008431E4">
                    <w:rPr>
                      <w:i/>
                      <w:sz w:val="20"/>
                    </w:rPr>
                    <w:t>r</w:t>
                  </w:r>
                  <w:r w:rsidRPr="002B5C5B">
                    <w:rPr>
                      <w:sz w:val="20"/>
                    </w:rPr>
                    <w:t xml:space="preserve">, for the hour.  </w:t>
                  </w:r>
                </w:p>
              </w:tc>
            </w:tr>
            <w:tr w:rsidR="00C64EA0" w:rsidRPr="00770099" w14:paraId="24F784E0" w14:textId="77777777" w:rsidTr="00CE1011">
              <w:trPr>
                <w:cantSplit/>
              </w:trPr>
              <w:tc>
                <w:tcPr>
                  <w:tcW w:w="1360" w:type="pct"/>
                </w:tcPr>
                <w:p w14:paraId="071D7B2B" w14:textId="77777777" w:rsidR="00C64EA0" w:rsidRPr="00770099" w:rsidRDefault="00C64EA0" w:rsidP="00C64EA0">
                  <w:pPr>
                    <w:spacing w:after="60"/>
                    <w:rPr>
                      <w:sz w:val="20"/>
                    </w:rPr>
                  </w:pPr>
                  <w:r w:rsidRPr="00770099">
                    <w:rPr>
                      <w:sz w:val="20"/>
                    </w:rPr>
                    <w:t>MRA</w:t>
                  </w:r>
                  <w:r>
                    <w:rPr>
                      <w:sz w:val="20"/>
                    </w:rPr>
                    <w:t>V</w:t>
                  </w:r>
                  <w:r w:rsidRPr="00770099">
                    <w:rPr>
                      <w:sz w:val="20"/>
                    </w:rPr>
                    <w:t>AMTTOT</w:t>
                  </w:r>
                </w:p>
              </w:tc>
              <w:tc>
                <w:tcPr>
                  <w:tcW w:w="524" w:type="pct"/>
                </w:tcPr>
                <w:p w14:paraId="110ACC4F" w14:textId="77777777" w:rsidR="00C64EA0" w:rsidRDefault="00C64EA0" w:rsidP="00C64EA0">
                  <w:pPr>
                    <w:spacing w:after="60"/>
                    <w:rPr>
                      <w:iCs/>
                      <w:sz w:val="20"/>
                    </w:rPr>
                  </w:pPr>
                  <w:r>
                    <w:rPr>
                      <w:iCs/>
                      <w:sz w:val="20"/>
                    </w:rPr>
                    <w:t>$</w:t>
                  </w:r>
                </w:p>
              </w:tc>
              <w:tc>
                <w:tcPr>
                  <w:tcW w:w="3116" w:type="pct"/>
                </w:tcPr>
                <w:p w14:paraId="664CA234" w14:textId="77777777" w:rsidR="00C64EA0" w:rsidRPr="00770099" w:rsidRDefault="00C64EA0" w:rsidP="00C64EA0">
                  <w:pPr>
                    <w:spacing w:after="60"/>
                    <w:rPr>
                      <w:i/>
                      <w:sz w:val="20"/>
                    </w:rPr>
                  </w:pPr>
                  <w:r w:rsidRPr="00731026">
                    <w:rPr>
                      <w:i/>
                      <w:sz w:val="20"/>
                    </w:rPr>
                    <w:t>Must-Run Alternative Variable Amount Total by hour—</w:t>
                  </w:r>
                  <w:r w:rsidRPr="002B5C5B">
                    <w:rPr>
                      <w:sz w:val="20"/>
                    </w:rPr>
                    <w:t>The total variable payments for the hour.</w:t>
                  </w:r>
                </w:p>
              </w:tc>
            </w:tr>
            <w:tr w:rsidR="00C64EA0" w:rsidRPr="00E45D39" w14:paraId="3EC4FEA0" w14:textId="77777777" w:rsidTr="00CE1011">
              <w:trPr>
                <w:cantSplit/>
              </w:trPr>
              <w:tc>
                <w:tcPr>
                  <w:tcW w:w="1360" w:type="pct"/>
                </w:tcPr>
                <w:p w14:paraId="46B15300" w14:textId="77777777" w:rsidR="00C64EA0" w:rsidRPr="005D1BEB" w:rsidRDefault="00C64EA0" w:rsidP="00C64EA0">
                  <w:pPr>
                    <w:spacing w:after="60"/>
                    <w:rPr>
                      <w:iCs/>
                      <w:sz w:val="20"/>
                    </w:rPr>
                  </w:pPr>
                  <w:r w:rsidRPr="00D54F03">
                    <w:rPr>
                      <w:bCs/>
                      <w:sz w:val="20"/>
                    </w:rPr>
                    <w:t>MRA</w:t>
                  </w:r>
                  <w:r>
                    <w:rPr>
                      <w:bCs/>
                      <w:sz w:val="20"/>
                    </w:rPr>
                    <w:t>UM</w:t>
                  </w:r>
                  <w:r w:rsidRPr="00D54F03">
                    <w:rPr>
                      <w:bCs/>
                      <w:sz w:val="20"/>
                    </w:rPr>
                    <w:t xml:space="preserve">AMTTOT  </w:t>
                  </w:r>
                </w:p>
              </w:tc>
              <w:tc>
                <w:tcPr>
                  <w:tcW w:w="524" w:type="pct"/>
                </w:tcPr>
                <w:p w14:paraId="1BCA07BC" w14:textId="77777777" w:rsidR="00C64EA0" w:rsidRPr="00E45D39" w:rsidRDefault="00C64EA0" w:rsidP="00C64EA0">
                  <w:pPr>
                    <w:spacing w:after="60"/>
                    <w:rPr>
                      <w:iCs/>
                      <w:sz w:val="20"/>
                    </w:rPr>
                  </w:pPr>
                  <w:r>
                    <w:rPr>
                      <w:iCs/>
                      <w:sz w:val="20"/>
                    </w:rPr>
                    <w:t>$</w:t>
                  </w:r>
                </w:p>
              </w:tc>
              <w:tc>
                <w:tcPr>
                  <w:tcW w:w="3116" w:type="pct"/>
                </w:tcPr>
                <w:p w14:paraId="30977DE1" w14:textId="77777777" w:rsidR="00C64EA0" w:rsidRPr="00E45D39" w:rsidRDefault="00C64EA0" w:rsidP="00C64EA0">
                  <w:pPr>
                    <w:spacing w:after="60"/>
                    <w:rPr>
                      <w:iCs/>
                      <w:sz w:val="20"/>
                    </w:rPr>
                  </w:pPr>
                  <w:r w:rsidRPr="00E45D39">
                    <w:rPr>
                      <w:i/>
                      <w:iCs/>
                      <w:sz w:val="20"/>
                    </w:rPr>
                    <w:t xml:space="preserve">Must-Run </w:t>
                  </w:r>
                  <w:r>
                    <w:rPr>
                      <w:i/>
                      <w:iCs/>
                      <w:sz w:val="20"/>
                    </w:rPr>
                    <w:t xml:space="preserve">Alternative </w:t>
                  </w:r>
                  <w:r w:rsidRPr="00E45D39">
                    <w:rPr>
                      <w:i/>
                      <w:iCs/>
                      <w:sz w:val="20"/>
                    </w:rPr>
                    <w:t xml:space="preserve">Unexcused Misconduct Amount </w:t>
                  </w:r>
                  <w:r>
                    <w:rPr>
                      <w:i/>
                      <w:iCs/>
                      <w:sz w:val="20"/>
                    </w:rPr>
                    <w:t xml:space="preserve">Total per hour </w:t>
                  </w:r>
                  <w:r w:rsidRPr="00E45D39">
                    <w:rPr>
                      <w:iCs/>
                      <w:sz w:val="20"/>
                    </w:rPr>
                    <w:sym w:font="Symbol" w:char="F0BE"/>
                  </w:r>
                  <w:r w:rsidRPr="00E45D39">
                    <w:rPr>
                      <w:iCs/>
                      <w:sz w:val="20"/>
                    </w:rPr>
                    <w:t>The total of the charges</w:t>
                  </w:r>
                  <w:r>
                    <w:rPr>
                      <w:iCs/>
                      <w:sz w:val="20"/>
                    </w:rPr>
                    <w:t xml:space="preserve"> </w:t>
                  </w:r>
                  <w:r w:rsidRPr="00E45D39">
                    <w:rPr>
                      <w:iCs/>
                      <w:sz w:val="20"/>
                    </w:rPr>
                    <w:t>for unex</w:t>
                  </w:r>
                  <w:r>
                    <w:rPr>
                      <w:iCs/>
                      <w:sz w:val="20"/>
                    </w:rPr>
                    <w:t xml:space="preserve">cused Misconduct Events </w:t>
                  </w:r>
                  <w:r w:rsidRPr="00E45D39">
                    <w:rPr>
                      <w:iCs/>
                      <w:sz w:val="20"/>
                    </w:rPr>
                    <w:t xml:space="preserve">for the </w:t>
                  </w:r>
                  <w:r>
                    <w:rPr>
                      <w:iCs/>
                      <w:sz w:val="20"/>
                    </w:rPr>
                    <w:t>hour</w:t>
                  </w:r>
                  <w:r w:rsidRPr="00E45D39">
                    <w:rPr>
                      <w:iCs/>
                      <w:sz w:val="20"/>
                    </w:rPr>
                    <w:t>.</w:t>
                  </w:r>
                </w:p>
              </w:tc>
            </w:tr>
            <w:tr w:rsidR="00C64EA0" w:rsidRPr="00E45D39" w14:paraId="0263DB75" w14:textId="77777777" w:rsidTr="00CE1011">
              <w:trPr>
                <w:cantSplit/>
              </w:trPr>
              <w:tc>
                <w:tcPr>
                  <w:tcW w:w="1360" w:type="pct"/>
                </w:tcPr>
                <w:p w14:paraId="26690A75" w14:textId="77777777" w:rsidR="00C64EA0" w:rsidRPr="00022C03" w:rsidRDefault="00C64EA0" w:rsidP="00C64EA0">
                  <w:pPr>
                    <w:spacing w:after="60"/>
                    <w:rPr>
                      <w:bCs/>
                      <w:sz w:val="20"/>
                    </w:rPr>
                  </w:pPr>
                  <w:r w:rsidRPr="002B5C5B">
                    <w:rPr>
                      <w:bCs/>
                      <w:sz w:val="20"/>
                    </w:rPr>
                    <w:t>HLRS</w:t>
                  </w:r>
                  <w:r w:rsidRPr="002B5C5B">
                    <w:rPr>
                      <w:bCs/>
                      <w:sz w:val="20"/>
                      <w:vertAlign w:val="subscript"/>
                    </w:rPr>
                    <w:t xml:space="preserve"> </w:t>
                  </w:r>
                  <w:r w:rsidRPr="002B5C5B">
                    <w:rPr>
                      <w:bCs/>
                      <w:i/>
                      <w:sz w:val="20"/>
                      <w:vertAlign w:val="subscript"/>
                    </w:rPr>
                    <w:t>q</w:t>
                  </w:r>
                </w:p>
              </w:tc>
              <w:tc>
                <w:tcPr>
                  <w:tcW w:w="524" w:type="pct"/>
                </w:tcPr>
                <w:p w14:paraId="26C2E52D" w14:textId="77777777" w:rsidR="00C64EA0" w:rsidRPr="00022C03" w:rsidRDefault="00C64EA0" w:rsidP="00C64EA0">
                  <w:pPr>
                    <w:spacing w:after="60"/>
                    <w:rPr>
                      <w:bCs/>
                      <w:sz w:val="20"/>
                    </w:rPr>
                  </w:pPr>
                  <w:r w:rsidRPr="002B5C5B">
                    <w:rPr>
                      <w:bCs/>
                      <w:sz w:val="20"/>
                    </w:rPr>
                    <w:t>none</w:t>
                  </w:r>
                </w:p>
              </w:tc>
              <w:tc>
                <w:tcPr>
                  <w:tcW w:w="3116" w:type="pct"/>
                </w:tcPr>
                <w:p w14:paraId="1DDEAB71" w14:textId="77777777" w:rsidR="00C64EA0" w:rsidRPr="00022C03" w:rsidRDefault="00C64EA0" w:rsidP="00C64EA0">
                  <w:pPr>
                    <w:spacing w:after="60"/>
                    <w:rPr>
                      <w:bCs/>
                      <w:sz w:val="20"/>
                    </w:rPr>
                  </w:pPr>
                  <w:r w:rsidRPr="002B5C5B">
                    <w:rPr>
                      <w:bCs/>
                      <w:i/>
                      <w:sz w:val="20"/>
                    </w:rPr>
                    <w:t>The hourly LRS calculated for QSE q for the hour</w:t>
                  </w:r>
                  <w:r w:rsidRPr="002B5C5B">
                    <w:rPr>
                      <w:bCs/>
                      <w:sz w:val="20"/>
                    </w:rPr>
                    <w:t>.  See Section 6.6.2.4, QSE Load Ratio Share for an Operating Hour.</w:t>
                  </w:r>
                </w:p>
              </w:tc>
            </w:tr>
            <w:tr w:rsidR="00C64EA0" w:rsidRPr="00E45D39" w14:paraId="4BD82CF5" w14:textId="77777777" w:rsidTr="00CE1011">
              <w:trPr>
                <w:cantSplit/>
              </w:trPr>
              <w:tc>
                <w:tcPr>
                  <w:tcW w:w="1360" w:type="pct"/>
                </w:tcPr>
                <w:p w14:paraId="4BE6BCF8" w14:textId="77777777" w:rsidR="00C64EA0" w:rsidRPr="00E45D39" w:rsidRDefault="00C64EA0" w:rsidP="00C64EA0">
                  <w:pPr>
                    <w:spacing w:after="60"/>
                    <w:rPr>
                      <w:i/>
                      <w:iCs/>
                      <w:sz w:val="20"/>
                    </w:rPr>
                  </w:pPr>
                  <w:r w:rsidRPr="00E45D39">
                    <w:rPr>
                      <w:i/>
                      <w:iCs/>
                      <w:sz w:val="20"/>
                    </w:rPr>
                    <w:t>q</w:t>
                  </w:r>
                </w:p>
              </w:tc>
              <w:tc>
                <w:tcPr>
                  <w:tcW w:w="524" w:type="pct"/>
                </w:tcPr>
                <w:p w14:paraId="6DEC490A" w14:textId="77777777" w:rsidR="00C64EA0" w:rsidRPr="00E45D39" w:rsidRDefault="00C64EA0" w:rsidP="00C64EA0">
                  <w:pPr>
                    <w:spacing w:after="60"/>
                    <w:rPr>
                      <w:iCs/>
                      <w:sz w:val="20"/>
                    </w:rPr>
                  </w:pPr>
                  <w:r w:rsidRPr="00E45D39">
                    <w:rPr>
                      <w:iCs/>
                      <w:sz w:val="20"/>
                    </w:rPr>
                    <w:t>none</w:t>
                  </w:r>
                </w:p>
              </w:tc>
              <w:tc>
                <w:tcPr>
                  <w:tcW w:w="3116" w:type="pct"/>
                </w:tcPr>
                <w:p w14:paraId="1CBAF866" w14:textId="77777777" w:rsidR="00C64EA0" w:rsidRPr="00E45D39" w:rsidRDefault="00C64EA0" w:rsidP="00C64EA0">
                  <w:pPr>
                    <w:spacing w:after="60"/>
                    <w:rPr>
                      <w:i/>
                      <w:iCs/>
                      <w:sz w:val="20"/>
                    </w:rPr>
                  </w:pPr>
                  <w:r w:rsidRPr="00E45D39">
                    <w:rPr>
                      <w:iCs/>
                      <w:sz w:val="20"/>
                    </w:rPr>
                    <w:t>A QSE.</w:t>
                  </w:r>
                </w:p>
              </w:tc>
            </w:tr>
          </w:tbl>
          <w:p w14:paraId="3F418CEB" w14:textId="77777777" w:rsidR="00B040C2" w:rsidRPr="00C3334D" w:rsidRDefault="00B040C2" w:rsidP="00CE1011">
            <w:pPr>
              <w:spacing w:after="240"/>
              <w:ind w:left="720" w:hanging="720"/>
            </w:pPr>
          </w:p>
        </w:tc>
      </w:tr>
    </w:tbl>
    <w:p w14:paraId="20B6045C" w14:textId="77777777" w:rsidR="001F04FD" w:rsidRDefault="001F04FD" w:rsidP="001F04FD">
      <w:pPr>
        <w:pStyle w:val="H3"/>
        <w:spacing w:before="480"/>
      </w:pPr>
      <w:bookmarkStart w:id="2413" w:name="_Toc204411714"/>
      <w:r>
        <w:lastRenderedPageBreak/>
        <w:t>6.6.7</w:t>
      </w:r>
      <w:r>
        <w:tab/>
        <w:t>Voltage Support Settlement</w:t>
      </w:r>
      <w:bookmarkEnd w:id="2379"/>
      <w:bookmarkEnd w:id="2380"/>
      <w:bookmarkEnd w:id="2386"/>
      <w:bookmarkEnd w:id="2387"/>
      <w:bookmarkEnd w:id="2388"/>
      <w:bookmarkEnd w:id="2389"/>
      <w:bookmarkEnd w:id="2390"/>
      <w:bookmarkEnd w:id="2391"/>
      <w:bookmarkEnd w:id="2392"/>
      <w:bookmarkEnd w:id="2393"/>
      <w:bookmarkEnd w:id="2394"/>
      <w:bookmarkEnd w:id="2395"/>
      <w:bookmarkEnd w:id="2397"/>
      <w:bookmarkEnd w:id="2398"/>
      <w:bookmarkEnd w:id="2399"/>
      <w:bookmarkEnd w:id="2400"/>
      <w:bookmarkEnd w:id="2413"/>
      <w:r>
        <w:t xml:space="preserve"> </w:t>
      </w:r>
    </w:p>
    <w:p w14:paraId="01D20C07" w14:textId="77777777" w:rsidR="001F04FD" w:rsidRDefault="001F04FD" w:rsidP="001F04FD">
      <w:pPr>
        <w:pStyle w:val="H4"/>
      </w:pPr>
      <w:bookmarkStart w:id="2414" w:name="_Toc397505033"/>
      <w:bookmarkStart w:id="2415" w:name="_Toc402357165"/>
      <w:bookmarkStart w:id="2416" w:name="_Toc422486545"/>
      <w:bookmarkStart w:id="2417" w:name="_Toc433093398"/>
      <w:bookmarkStart w:id="2418" w:name="_Toc433093556"/>
      <w:bookmarkStart w:id="2419" w:name="_Toc440874786"/>
      <w:bookmarkStart w:id="2420" w:name="_Toc448142343"/>
      <w:bookmarkStart w:id="2421" w:name="_Toc448142500"/>
      <w:bookmarkStart w:id="2422" w:name="_Toc458770341"/>
      <w:bookmarkStart w:id="2423" w:name="_Toc459294309"/>
      <w:bookmarkStart w:id="2424" w:name="_Toc463262803"/>
      <w:bookmarkStart w:id="2425" w:name="_Toc468286876"/>
      <w:bookmarkStart w:id="2426" w:name="_Toc481502916"/>
      <w:bookmarkStart w:id="2427" w:name="_Toc496080084"/>
      <w:bookmarkStart w:id="2428" w:name="_Toc204411715"/>
      <w:r>
        <w:t>6.6.7.1</w:t>
      </w:r>
      <w:r>
        <w:tab/>
        <w:t>Voltage Support Service Payments</w:t>
      </w:r>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r>
        <w:t xml:space="preserve"> </w:t>
      </w:r>
    </w:p>
    <w:p w14:paraId="72240A68" w14:textId="77777777" w:rsidR="001F04FD" w:rsidRDefault="001F04FD" w:rsidP="001F04FD">
      <w:pPr>
        <w:pStyle w:val="BodyTextNumbered"/>
      </w:pPr>
      <w:r>
        <w:t>(1)</w:t>
      </w:r>
      <w:r>
        <w:tab/>
        <w:t>All other Generation Resources shall be eligible for compensation for Reactive Power production in accordance with Section 6.5.7.7, Voltage Support Service, only if ERCOT issues a Dispatch Instruction that results in the following unit operation:</w:t>
      </w:r>
    </w:p>
    <w:p w14:paraId="6BB03BE1" w14:textId="72965657" w:rsidR="001F04FD" w:rsidRDefault="001F04FD" w:rsidP="001F04FD">
      <w:pPr>
        <w:pStyle w:val="BodyTextNumbered"/>
        <w:ind w:left="1440"/>
      </w:pPr>
      <w:r>
        <w:t>(a)</w:t>
      </w:r>
      <w:r>
        <w:tab/>
        <w:t xml:space="preserve">When ERCOT instructs the Generation Resource to exceed its Unit Reactive Limit (URL) and the Generation Resource provides additional Reactive Power, then ERCOT shall pay for the additional Reactive Power provided at a price that recognizes the avoided cost of reactive support </w:t>
      </w:r>
      <w:r w:rsidR="008152FC">
        <w:t xml:space="preserve">to </w:t>
      </w:r>
      <w:r>
        <w:t>Resources on the transmission network.</w:t>
      </w:r>
    </w:p>
    <w:p w14:paraId="62F6207F" w14:textId="24E9BA63" w:rsidR="001F04FD" w:rsidRDefault="001F04FD" w:rsidP="001F04FD">
      <w:pPr>
        <w:pStyle w:val="List"/>
      </w:pPr>
      <w:r>
        <w:t>(b)</w:t>
      </w:r>
      <w:r>
        <w:tab/>
        <w:t>Any real power reduction directed by ERCOT through VDIs to provide for additional reactive capability for voltage support must be compensated as a lost opportunity payment</w:t>
      </w:r>
      <w:r w:rsidR="008152FC">
        <w:t>.</w:t>
      </w:r>
    </w:p>
    <w:p w14:paraId="1749886C" w14:textId="77777777" w:rsidR="001F04FD" w:rsidRDefault="001F04FD" w:rsidP="001F04FD">
      <w:pPr>
        <w:pStyle w:val="BodyTextNumbered"/>
      </w:pPr>
      <w:r>
        <w:lastRenderedPageBreak/>
        <w:t>(2)</w:t>
      </w:r>
      <w:r>
        <w:tab/>
        <w:t>The payment for a given 15-minute Settlement Interval to each QSE representing a Generation Resource that operates in accordance with an ERCOT Dispatch Instruction is calculated as follows:</w:t>
      </w:r>
    </w:p>
    <w:p w14:paraId="7B035A5E" w14:textId="77777777" w:rsidR="001F04FD" w:rsidRDefault="001F04FD" w:rsidP="001F04FD">
      <w:pPr>
        <w:pStyle w:val="List"/>
      </w:pPr>
      <w:r>
        <w:t>Depending on the Dispatch Instruction, payment for Volt-Amperes reactive (VAr):</w:t>
      </w:r>
    </w:p>
    <w:p w14:paraId="4AAEBEC2" w14:textId="77777777" w:rsidR="001F04FD" w:rsidRDefault="001F04FD" w:rsidP="001F04FD">
      <w:pPr>
        <w:pStyle w:val="BodyText"/>
        <w:ind w:firstLine="720"/>
        <w:rPr>
          <w:lang w:val="pt-BR"/>
        </w:rPr>
      </w:pPr>
      <w:r>
        <w:rPr>
          <w:lang w:val="pt-BR"/>
        </w:rPr>
        <w:t xml:space="preserve">If VSSVARLAG </w:t>
      </w:r>
      <w:r>
        <w:rPr>
          <w:i/>
          <w:vertAlign w:val="subscript"/>
          <w:lang w:val="pt-BR"/>
        </w:rPr>
        <w:t>q, r</w:t>
      </w:r>
      <w:r>
        <w:rPr>
          <w:lang w:val="pt-BR"/>
        </w:rPr>
        <w:t xml:space="preserve"> &gt; 0</w:t>
      </w:r>
    </w:p>
    <w:p w14:paraId="2CD906FF" w14:textId="77777777" w:rsidR="001F04FD" w:rsidRDefault="001F04FD" w:rsidP="001F04FD">
      <w:pPr>
        <w:pStyle w:val="FormulaBold"/>
        <w:ind w:hanging="2520"/>
        <w:rPr>
          <w:lang w:val="pt-BR"/>
        </w:rPr>
      </w:pPr>
      <w:r>
        <w:rPr>
          <w:lang w:val="pt-BR"/>
        </w:rPr>
        <w:t xml:space="preserve">VSSVARAMT </w:t>
      </w:r>
      <w:r>
        <w:rPr>
          <w:i/>
          <w:vertAlign w:val="subscript"/>
          <w:lang w:val="pt-BR"/>
        </w:rPr>
        <w:t>q, r</w:t>
      </w:r>
      <w:r>
        <w:rPr>
          <w:lang w:val="pt-BR"/>
        </w:rPr>
        <w:tab/>
        <w:t>=</w:t>
      </w:r>
      <w:r>
        <w:rPr>
          <w:lang w:val="pt-BR"/>
        </w:rPr>
        <w:tab/>
        <w:t xml:space="preserve">(-1) * VSSVARPR * VSSVARLAG </w:t>
      </w:r>
      <w:r>
        <w:rPr>
          <w:i/>
          <w:vertAlign w:val="subscript"/>
          <w:lang w:val="pt-BR"/>
        </w:rPr>
        <w:t>q, r</w:t>
      </w:r>
    </w:p>
    <w:p w14:paraId="1CEE3B68" w14:textId="77777777" w:rsidR="001F04FD" w:rsidRDefault="001F04FD" w:rsidP="001F04FD">
      <w:pPr>
        <w:pStyle w:val="BodyText"/>
        <w:ind w:firstLine="720"/>
        <w:rPr>
          <w:lang w:val="pt-BR"/>
        </w:rPr>
      </w:pPr>
      <w:r>
        <w:rPr>
          <w:lang w:val="pt-BR"/>
        </w:rPr>
        <w:t xml:space="preserve">If VSSVARLEAD </w:t>
      </w:r>
      <w:r>
        <w:rPr>
          <w:i/>
          <w:vertAlign w:val="subscript"/>
          <w:lang w:val="pt-BR"/>
        </w:rPr>
        <w:t>q, r</w:t>
      </w:r>
      <w:r>
        <w:rPr>
          <w:lang w:val="pt-BR"/>
        </w:rPr>
        <w:t xml:space="preserve"> &gt; 0</w:t>
      </w:r>
    </w:p>
    <w:p w14:paraId="7A69C54B" w14:textId="77777777" w:rsidR="001F04FD" w:rsidRDefault="001F04FD" w:rsidP="001F04FD">
      <w:pPr>
        <w:pStyle w:val="FormulaBold"/>
        <w:ind w:hanging="2520"/>
        <w:rPr>
          <w:lang w:val="pt-BR"/>
        </w:rPr>
      </w:pPr>
      <w:r>
        <w:rPr>
          <w:lang w:val="pt-BR"/>
        </w:rPr>
        <w:t xml:space="preserve">VSSVARAMT </w:t>
      </w:r>
      <w:r>
        <w:rPr>
          <w:i/>
          <w:vertAlign w:val="subscript"/>
          <w:lang w:val="pt-BR"/>
        </w:rPr>
        <w:t>q, r</w:t>
      </w:r>
      <w:r>
        <w:rPr>
          <w:lang w:val="pt-BR"/>
        </w:rPr>
        <w:tab/>
        <w:t>=</w:t>
      </w:r>
      <w:r>
        <w:rPr>
          <w:lang w:val="pt-BR"/>
        </w:rPr>
        <w:tab/>
        <w:t>(-1) * VSSVARPR * VSSVARLEAD</w:t>
      </w:r>
      <w:r>
        <w:rPr>
          <w:i/>
          <w:vertAlign w:val="subscript"/>
          <w:lang w:val="pt-BR"/>
        </w:rPr>
        <w:t xml:space="preserve"> q, r</w:t>
      </w:r>
    </w:p>
    <w:p w14:paraId="46C2B725" w14:textId="77777777" w:rsidR="001F04FD" w:rsidRDefault="001F04FD" w:rsidP="001F04FD">
      <w:pPr>
        <w:pStyle w:val="BodyText"/>
        <w:ind w:left="720"/>
        <w:rPr>
          <w:lang w:val="pt-BR"/>
        </w:rPr>
      </w:pPr>
      <w:r>
        <w:rPr>
          <w:lang w:val="pt-BR"/>
        </w:rPr>
        <w:t>Where:</w:t>
      </w:r>
    </w:p>
    <w:p w14:paraId="36F8EBAC" w14:textId="77777777" w:rsidR="001F04FD" w:rsidRDefault="001F04FD" w:rsidP="001F04FD">
      <w:pPr>
        <w:pStyle w:val="Formula"/>
        <w:tabs>
          <w:tab w:val="clear" w:pos="2160"/>
          <w:tab w:val="clear" w:pos="2880"/>
          <w:tab w:val="left" w:pos="3960"/>
        </w:tabs>
        <w:ind w:leftChars="600" w:left="4320" w:hangingChars="1200" w:hanging="2880"/>
        <w:rPr>
          <w:lang w:val="pt-BR"/>
        </w:rPr>
      </w:pPr>
      <w:r>
        <w:rPr>
          <w:lang w:val="pt-BR"/>
        </w:rPr>
        <w:t xml:space="preserve">VSSVARLAG </w:t>
      </w:r>
      <w:r>
        <w:rPr>
          <w:i/>
          <w:vertAlign w:val="subscript"/>
          <w:lang w:val="pt-BR"/>
        </w:rPr>
        <w:t>q, r</w:t>
      </w:r>
      <w:r>
        <w:rPr>
          <w:lang w:val="pt-BR"/>
        </w:rPr>
        <w:tab/>
        <w:t>=</w:t>
      </w:r>
      <w:r>
        <w:rPr>
          <w:lang w:val="pt-BR"/>
        </w:rPr>
        <w:tab/>
        <w:t xml:space="preserve">Max [0, Min (¼ * VSSVARIOL </w:t>
      </w:r>
      <w:r>
        <w:rPr>
          <w:i/>
          <w:vertAlign w:val="subscript"/>
          <w:lang w:val="pt-BR"/>
        </w:rPr>
        <w:t>q, r</w:t>
      </w:r>
      <w:r>
        <w:rPr>
          <w:lang w:val="pt-BR"/>
        </w:rPr>
        <w:t xml:space="preserve">, RTVAR </w:t>
      </w:r>
      <w:r>
        <w:rPr>
          <w:i/>
          <w:vertAlign w:val="subscript"/>
          <w:lang w:val="pt-BR"/>
        </w:rPr>
        <w:t>q, r</w:t>
      </w:r>
      <w:r>
        <w:rPr>
          <w:lang w:val="pt-BR"/>
        </w:rPr>
        <w:t xml:space="preserve">) – (¼ * URLLAG </w:t>
      </w:r>
      <w:r>
        <w:rPr>
          <w:i/>
          <w:vertAlign w:val="subscript"/>
          <w:lang w:val="pt-BR"/>
        </w:rPr>
        <w:t>q, r</w:t>
      </w:r>
      <w:r>
        <w:rPr>
          <w:lang w:val="pt-BR"/>
        </w:rPr>
        <w:t>)]</w:t>
      </w:r>
    </w:p>
    <w:p w14:paraId="0675E82D" w14:textId="77777777" w:rsidR="001F04FD" w:rsidRDefault="001F04FD" w:rsidP="001F04FD">
      <w:pPr>
        <w:pStyle w:val="Formula"/>
        <w:tabs>
          <w:tab w:val="clear" w:pos="2160"/>
          <w:tab w:val="clear" w:pos="2880"/>
          <w:tab w:val="left" w:pos="3960"/>
        </w:tabs>
        <w:ind w:leftChars="600" w:left="4320" w:hangingChars="1200" w:hanging="2880"/>
        <w:rPr>
          <w:sz w:val="32"/>
          <w:szCs w:val="32"/>
          <w:lang w:val="pt-BR"/>
        </w:rPr>
      </w:pPr>
      <w:r>
        <w:rPr>
          <w:lang w:val="pt-BR"/>
        </w:rPr>
        <w:t xml:space="preserve">VSSVARLEAD </w:t>
      </w:r>
      <w:r>
        <w:rPr>
          <w:i/>
          <w:vertAlign w:val="subscript"/>
          <w:lang w:val="pt-BR"/>
        </w:rPr>
        <w:t>q, r</w:t>
      </w:r>
      <w:r>
        <w:rPr>
          <w:lang w:val="pt-BR"/>
        </w:rPr>
        <w:tab/>
        <w:t>=</w:t>
      </w:r>
      <w:r>
        <w:rPr>
          <w:lang w:val="pt-BR"/>
        </w:rPr>
        <w:tab/>
        <w:t xml:space="preserve">Max </w:t>
      </w:r>
      <w:r>
        <w:rPr>
          <w:sz w:val="32"/>
          <w:szCs w:val="32"/>
          <w:lang w:val="pt-BR"/>
        </w:rPr>
        <w:t>{</w:t>
      </w:r>
      <w:r>
        <w:rPr>
          <w:lang w:val="pt-BR"/>
        </w:rPr>
        <w:t xml:space="preserve">0, [(¼ * URLLEAD </w:t>
      </w:r>
      <w:r>
        <w:rPr>
          <w:i/>
          <w:vertAlign w:val="subscript"/>
          <w:lang w:val="pt-BR"/>
        </w:rPr>
        <w:t>q, r</w:t>
      </w:r>
      <w:r>
        <w:rPr>
          <w:lang w:val="pt-BR"/>
        </w:rPr>
        <w:t xml:space="preserve"> ) – Max ((¼ * VSSVARIOL </w:t>
      </w:r>
      <w:r>
        <w:rPr>
          <w:i/>
          <w:vertAlign w:val="subscript"/>
          <w:lang w:val="pt-BR"/>
        </w:rPr>
        <w:t>q, r</w:t>
      </w:r>
      <w:r>
        <w:rPr>
          <w:lang w:val="pt-BR"/>
        </w:rPr>
        <w:t xml:space="preserve">), RTVAR </w:t>
      </w:r>
      <w:r>
        <w:rPr>
          <w:i/>
          <w:vertAlign w:val="subscript"/>
          <w:lang w:val="pt-BR"/>
        </w:rPr>
        <w:t>q, r</w:t>
      </w:r>
      <w:r>
        <w:rPr>
          <w:lang w:val="pt-BR"/>
        </w:rPr>
        <w:t>)]</w:t>
      </w:r>
      <w:r>
        <w:rPr>
          <w:sz w:val="32"/>
          <w:szCs w:val="32"/>
          <w:lang w:val="pt-BR"/>
        </w:rPr>
        <w:t>}</w:t>
      </w:r>
    </w:p>
    <w:p w14:paraId="7458ACC8" w14:textId="77777777" w:rsidR="001F04FD" w:rsidRDefault="001F04FD" w:rsidP="001F04FD">
      <w:pPr>
        <w:pStyle w:val="Formula"/>
        <w:tabs>
          <w:tab w:val="clear" w:pos="2160"/>
          <w:tab w:val="clear" w:pos="2880"/>
          <w:tab w:val="left" w:pos="3960"/>
        </w:tabs>
        <w:ind w:leftChars="600" w:left="2340" w:firstLineChars="0"/>
        <w:rPr>
          <w:lang w:val="pt-BR"/>
        </w:rPr>
      </w:pPr>
      <w:r>
        <w:rPr>
          <w:lang w:val="pt-BR"/>
        </w:rPr>
        <w:t xml:space="preserve">URLLAG </w:t>
      </w:r>
      <w:r>
        <w:rPr>
          <w:i/>
          <w:vertAlign w:val="subscript"/>
          <w:lang w:val="pt-BR"/>
        </w:rPr>
        <w:t>q,r</w:t>
      </w:r>
      <w:r>
        <w:rPr>
          <w:lang w:val="pt-BR"/>
        </w:rPr>
        <w:tab/>
        <w:t>=</w:t>
      </w:r>
      <w:r>
        <w:rPr>
          <w:lang w:val="pt-BR"/>
        </w:rPr>
        <w:tab/>
        <w:t xml:space="preserve">0.32868 * HSL </w:t>
      </w:r>
      <w:r>
        <w:rPr>
          <w:i/>
          <w:vertAlign w:val="subscript"/>
          <w:lang w:val="pt-BR"/>
        </w:rPr>
        <w:t xml:space="preserve">q,r </w:t>
      </w:r>
    </w:p>
    <w:p w14:paraId="08E97BD5" w14:textId="77777777" w:rsidR="001F04FD" w:rsidRDefault="001F04FD" w:rsidP="001F04FD">
      <w:pPr>
        <w:pStyle w:val="Formula"/>
        <w:tabs>
          <w:tab w:val="clear" w:pos="2160"/>
          <w:tab w:val="clear" w:pos="2880"/>
          <w:tab w:val="left" w:pos="3960"/>
        </w:tabs>
        <w:ind w:leftChars="600" w:left="4320" w:hangingChars="1200" w:hanging="2880"/>
        <w:rPr>
          <w:lang w:val="pt-BR"/>
        </w:rPr>
      </w:pPr>
      <w:r>
        <w:rPr>
          <w:lang w:val="pt-BR"/>
        </w:rPr>
        <w:t xml:space="preserve">URLLEAD </w:t>
      </w:r>
      <w:r>
        <w:rPr>
          <w:i/>
          <w:vertAlign w:val="subscript"/>
          <w:lang w:val="pt-BR"/>
        </w:rPr>
        <w:t>q,r</w:t>
      </w:r>
      <w:r>
        <w:rPr>
          <w:lang w:val="pt-BR"/>
        </w:rPr>
        <w:tab/>
        <w:t>=</w:t>
      </w:r>
      <w:r>
        <w:rPr>
          <w:lang w:val="pt-BR"/>
        </w:rPr>
        <w:tab/>
        <w:t xml:space="preserve">(-1) * 0.32868 * HSL </w:t>
      </w:r>
      <w:r>
        <w:rPr>
          <w:i/>
          <w:vertAlign w:val="subscript"/>
          <w:lang w:val="pt-BR"/>
        </w:rPr>
        <w:t>q,r</w:t>
      </w:r>
    </w:p>
    <w:p w14:paraId="00404192" w14:textId="77777777" w:rsidR="001F04FD" w:rsidRDefault="001F04FD" w:rsidP="001F04FD"/>
    <w:p w14:paraId="3C203171"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156"/>
        <w:gridCol w:w="6294"/>
      </w:tblGrid>
      <w:tr w:rsidR="001F04FD" w14:paraId="2B376B1A" w14:textId="77777777" w:rsidTr="00AC4DEE">
        <w:trPr>
          <w:cantSplit/>
          <w:tblHeader/>
        </w:trPr>
        <w:tc>
          <w:tcPr>
            <w:tcW w:w="1016" w:type="pct"/>
          </w:tcPr>
          <w:p w14:paraId="3A1586C2" w14:textId="77777777" w:rsidR="001F04FD" w:rsidRDefault="001F04FD" w:rsidP="00AC4DEE">
            <w:pPr>
              <w:pStyle w:val="TableHead"/>
            </w:pPr>
            <w:r>
              <w:t>Variable</w:t>
            </w:r>
          </w:p>
        </w:tc>
        <w:tc>
          <w:tcPr>
            <w:tcW w:w="618" w:type="pct"/>
          </w:tcPr>
          <w:p w14:paraId="66DF8602" w14:textId="77777777" w:rsidR="001F04FD" w:rsidRDefault="001F04FD" w:rsidP="00AC4DEE">
            <w:pPr>
              <w:pStyle w:val="TableHead"/>
            </w:pPr>
            <w:r>
              <w:t>Unit</w:t>
            </w:r>
          </w:p>
        </w:tc>
        <w:tc>
          <w:tcPr>
            <w:tcW w:w="3366" w:type="pct"/>
          </w:tcPr>
          <w:p w14:paraId="2824EA26" w14:textId="77777777" w:rsidR="001F04FD" w:rsidRDefault="001F04FD" w:rsidP="00AC4DEE">
            <w:pPr>
              <w:pStyle w:val="TableHead"/>
            </w:pPr>
            <w:r>
              <w:t>Definition</w:t>
            </w:r>
          </w:p>
        </w:tc>
      </w:tr>
      <w:tr w:rsidR="001F04FD" w14:paraId="5228804C" w14:textId="77777777" w:rsidTr="00AC4DEE">
        <w:trPr>
          <w:cantSplit/>
        </w:trPr>
        <w:tc>
          <w:tcPr>
            <w:tcW w:w="1016" w:type="pct"/>
          </w:tcPr>
          <w:p w14:paraId="0814A03C" w14:textId="77777777" w:rsidR="001F04FD" w:rsidRDefault="001F04FD" w:rsidP="00AC4DEE">
            <w:pPr>
              <w:pStyle w:val="TableBody"/>
            </w:pPr>
            <w:r>
              <w:t xml:space="preserve">VSSVARAMT </w:t>
            </w:r>
            <w:r w:rsidRPr="00E15B17">
              <w:rPr>
                <w:i/>
                <w:vertAlign w:val="subscript"/>
              </w:rPr>
              <w:t>q, r</w:t>
            </w:r>
          </w:p>
        </w:tc>
        <w:tc>
          <w:tcPr>
            <w:tcW w:w="618" w:type="pct"/>
          </w:tcPr>
          <w:p w14:paraId="1A53E4D5" w14:textId="77777777" w:rsidR="001F04FD" w:rsidRDefault="001F04FD" w:rsidP="00AC4DEE">
            <w:pPr>
              <w:pStyle w:val="TableBody"/>
            </w:pPr>
            <w:r>
              <w:t>$</w:t>
            </w:r>
          </w:p>
        </w:tc>
        <w:tc>
          <w:tcPr>
            <w:tcW w:w="3366" w:type="pct"/>
          </w:tcPr>
          <w:p w14:paraId="1F7E7A5A" w14:textId="77777777" w:rsidR="001F04FD" w:rsidRDefault="001F04FD" w:rsidP="00AC4DEE">
            <w:pPr>
              <w:pStyle w:val="TableBody"/>
            </w:pPr>
            <w:r>
              <w:rPr>
                <w:i/>
              </w:rPr>
              <w:t xml:space="preserve">Voltage Support Service VAr Amount per QSE per Generation Resource - </w:t>
            </w:r>
            <w:r>
              <w:t xml:space="preserve">The payment to QSE </w:t>
            </w:r>
            <w:r>
              <w:rPr>
                <w:i/>
              </w:rPr>
              <w:t>q</w:t>
            </w:r>
            <w:r>
              <w:t xml:space="preserve"> for the VSS provided by Generation Resource </w:t>
            </w:r>
            <w:r>
              <w:rPr>
                <w:i/>
              </w:rPr>
              <w:t>r</w:t>
            </w:r>
            <w:r>
              <w:t xml:space="preserve">, for the 15-minute Settlement Interval.  Where for a combined cycle resource, </w:t>
            </w:r>
            <w:r w:rsidRPr="00D661BC">
              <w:rPr>
                <w:i/>
              </w:rPr>
              <w:t>r</w:t>
            </w:r>
            <w:r>
              <w:t xml:space="preserve"> is a Combined Cycle Train.</w:t>
            </w:r>
          </w:p>
        </w:tc>
      </w:tr>
      <w:tr w:rsidR="001F04FD" w14:paraId="55914078" w14:textId="77777777" w:rsidTr="00AC4DEE">
        <w:trPr>
          <w:cantSplit/>
        </w:trPr>
        <w:tc>
          <w:tcPr>
            <w:tcW w:w="1016" w:type="pct"/>
          </w:tcPr>
          <w:p w14:paraId="76CEC6E3" w14:textId="77777777" w:rsidR="001F04FD" w:rsidRDefault="001F04FD" w:rsidP="00AC4DEE">
            <w:pPr>
              <w:pStyle w:val="TableBody"/>
            </w:pPr>
            <w:r>
              <w:t>VSSVARPR</w:t>
            </w:r>
          </w:p>
        </w:tc>
        <w:tc>
          <w:tcPr>
            <w:tcW w:w="618" w:type="pct"/>
          </w:tcPr>
          <w:p w14:paraId="75B0E627" w14:textId="77777777" w:rsidR="001F04FD" w:rsidRDefault="001F04FD" w:rsidP="00AC4DEE">
            <w:pPr>
              <w:pStyle w:val="TableBody"/>
              <w:rPr>
                <w:i/>
              </w:rPr>
            </w:pPr>
            <w:r>
              <w:t>$/MVArh</w:t>
            </w:r>
          </w:p>
        </w:tc>
        <w:tc>
          <w:tcPr>
            <w:tcW w:w="3366" w:type="pct"/>
          </w:tcPr>
          <w:p w14:paraId="1E7A5165" w14:textId="77777777" w:rsidR="001F04FD" w:rsidRDefault="001F04FD" w:rsidP="00AC4DEE">
            <w:pPr>
              <w:pStyle w:val="TableBody"/>
            </w:pPr>
            <w:r>
              <w:rPr>
                <w:i/>
              </w:rPr>
              <w:t xml:space="preserve">Voltage Support Service VAr Price - </w:t>
            </w:r>
            <w:r>
              <w:t>The price for instructed MVAr beyond a Generation Resource’s URL currently is $2.65/MVArh (based on $50.00/installed kVAr).</w:t>
            </w:r>
          </w:p>
        </w:tc>
      </w:tr>
      <w:tr w:rsidR="001F04FD" w14:paraId="02342886" w14:textId="77777777" w:rsidTr="00AC4DEE">
        <w:trPr>
          <w:cantSplit/>
        </w:trPr>
        <w:tc>
          <w:tcPr>
            <w:tcW w:w="1016" w:type="pct"/>
          </w:tcPr>
          <w:p w14:paraId="40631EF3" w14:textId="77777777" w:rsidR="001F04FD" w:rsidRDefault="001F04FD" w:rsidP="00AC4DEE">
            <w:pPr>
              <w:pStyle w:val="TableBody"/>
            </w:pPr>
            <w:r>
              <w:t xml:space="preserve">VSSVARLAG </w:t>
            </w:r>
            <w:r w:rsidRPr="00E15B17">
              <w:rPr>
                <w:i/>
                <w:vertAlign w:val="subscript"/>
              </w:rPr>
              <w:t>q, r</w:t>
            </w:r>
          </w:p>
        </w:tc>
        <w:tc>
          <w:tcPr>
            <w:tcW w:w="618" w:type="pct"/>
          </w:tcPr>
          <w:p w14:paraId="35A72493" w14:textId="77777777" w:rsidR="001F04FD" w:rsidRDefault="001F04FD" w:rsidP="00AC4DEE">
            <w:pPr>
              <w:pStyle w:val="TableBody"/>
            </w:pPr>
            <w:r>
              <w:t>MVArh</w:t>
            </w:r>
          </w:p>
        </w:tc>
        <w:tc>
          <w:tcPr>
            <w:tcW w:w="3366" w:type="pct"/>
          </w:tcPr>
          <w:p w14:paraId="6832DC23" w14:textId="77777777" w:rsidR="001F04FD" w:rsidRDefault="001F04FD" w:rsidP="00AC4DEE">
            <w:pPr>
              <w:pStyle w:val="TableBody"/>
            </w:pPr>
            <w:r>
              <w:rPr>
                <w:i/>
              </w:rPr>
              <w:t xml:space="preserve">Voltage Support Service VAr Lagging per QSE per Generation Resource - </w:t>
            </w:r>
            <w:r>
              <w:t xml:space="preserve">The instructed portion of the Reactive Power above the Generation Resource’s lagging URL for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7467720A" w14:textId="77777777" w:rsidTr="00AC4DEE">
        <w:trPr>
          <w:cantSplit/>
        </w:trPr>
        <w:tc>
          <w:tcPr>
            <w:tcW w:w="1016" w:type="pct"/>
          </w:tcPr>
          <w:p w14:paraId="26034F2F" w14:textId="77777777" w:rsidR="001F04FD" w:rsidRDefault="001F04FD" w:rsidP="00AC4DEE">
            <w:pPr>
              <w:pStyle w:val="TableBody"/>
            </w:pPr>
            <w:r>
              <w:t xml:space="preserve">VSSVARLEAD </w:t>
            </w:r>
            <w:r w:rsidRPr="00E15B17">
              <w:rPr>
                <w:i/>
                <w:vertAlign w:val="subscript"/>
              </w:rPr>
              <w:t>q, r</w:t>
            </w:r>
          </w:p>
        </w:tc>
        <w:tc>
          <w:tcPr>
            <w:tcW w:w="618" w:type="pct"/>
          </w:tcPr>
          <w:p w14:paraId="680181E2" w14:textId="77777777" w:rsidR="001F04FD" w:rsidRDefault="001F04FD" w:rsidP="00AC4DEE">
            <w:pPr>
              <w:pStyle w:val="TableBody"/>
            </w:pPr>
            <w:r>
              <w:t>MVArh</w:t>
            </w:r>
          </w:p>
        </w:tc>
        <w:tc>
          <w:tcPr>
            <w:tcW w:w="3366" w:type="pct"/>
          </w:tcPr>
          <w:p w14:paraId="1CE0BAB5" w14:textId="77777777" w:rsidR="001F04FD" w:rsidRDefault="001F04FD" w:rsidP="00AC4DEE">
            <w:pPr>
              <w:pStyle w:val="TableBody"/>
            </w:pPr>
            <w:r>
              <w:rPr>
                <w:i/>
              </w:rPr>
              <w:t>Voltage Support Service VAr Leading per QSE per Generation Resource</w:t>
            </w:r>
            <w:r>
              <w:t xml:space="preserve"> - The instructed portion of the Reactive Power below the Generation Resource’s leading URL for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6B0EF6DA" w14:textId="77777777" w:rsidTr="00AC4DEE">
        <w:trPr>
          <w:cantSplit/>
        </w:trPr>
        <w:tc>
          <w:tcPr>
            <w:tcW w:w="1016" w:type="pct"/>
          </w:tcPr>
          <w:p w14:paraId="3F8EE3FE" w14:textId="77777777" w:rsidR="001F04FD" w:rsidRDefault="001F04FD" w:rsidP="00AC4DEE">
            <w:pPr>
              <w:pStyle w:val="TableBody"/>
            </w:pPr>
            <w:r>
              <w:lastRenderedPageBreak/>
              <w:t xml:space="preserve">VSSVARIOL </w:t>
            </w:r>
            <w:r w:rsidRPr="00E15B17">
              <w:rPr>
                <w:i/>
                <w:vertAlign w:val="subscript"/>
              </w:rPr>
              <w:t>q, r</w:t>
            </w:r>
          </w:p>
        </w:tc>
        <w:tc>
          <w:tcPr>
            <w:tcW w:w="618" w:type="pct"/>
            <w:shd w:val="clear" w:color="auto" w:fill="auto"/>
          </w:tcPr>
          <w:p w14:paraId="67CD5293" w14:textId="77777777" w:rsidR="001F04FD" w:rsidRDefault="001F04FD" w:rsidP="00AC4DEE">
            <w:pPr>
              <w:pStyle w:val="TableBody"/>
              <w:rPr>
                <w:highlight w:val="yellow"/>
              </w:rPr>
            </w:pPr>
            <w:r>
              <w:t>MVAr</w:t>
            </w:r>
          </w:p>
        </w:tc>
        <w:tc>
          <w:tcPr>
            <w:tcW w:w="3366" w:type="pct"/>
          </w:tcPr>
          <w:p w14:paraId="4AE5C04C" w14:textId="77777777" w:rsidR="001F04FD" w:rsidRDefault="001F04FD" w:rsidP="00AC4DEE">
            <w:pPr>
              <w:pStyle w:val="TableBody"/>
            </w:pPr>
            <w:r>
              <w:rPr>
                <w:i/>
              </w:rPr>
              <w:t>Voltage Support Service VAr Instructed Output Level per QSE per Generation Resource</w:t>
            </w:r>
            <w:r>
              <w:t xml:space="preserve">—The instructed Reactive Power output level of Generation Resource </w:t>
            </w:r>
            <w:r>
              <w:rPr>
                <w:i/>
              </w:rPr>
              <w:t>r</w:t>
            </w:r>
            <w:r>
              <w:t xml:space="preserve"> represented by QSE </w:t>
            </w:r>
            <w:r>
              <w:rPr>
                <w:i/>
              </w:rPr>
              <w:t>q</w:t>
            </w:r>
            <w:r>
              <w:t xml:space="preserve">, lagging Reactive Power if positive and leading Reactive Power if negative, for the 15-minute Settlement Interval.  Where for a combined cycle resource, </w:t>
            </w:r>
            <w:r w:rsidRPr="00590ADB">
              <w:rPr>
                <w:i/>
              </w:rPr>
              <w:t>r</w:t>
            </w:r>
            <w:r>
              <w:t xml:space="preserve"> is a Combined Cycle Train.</w:t>
            </w:r>
          </w:p>
        </w:tc>
      </w:tr>
      <w:tr w:rsidR="001F04FD" w14:paraId="54AD49E5" w14:textId="77777777" w:rsidTr="00AC4DEE">
        <w:trPr>
          <w:cantSplit/>
        </w:trPr>
        <w:tc>
          <w:tcPr>
            <w:tcW w:w="1016" w:type="pct"/>
          </w:tcPr>
          <w:p w14:paraId="382101D5" w14:textId="77777777" w:rsidR="001F04FD" w:rsidRDefault="001F04FD" w:rsidP="00AC4DEE">
            <w:pPr>
              <w:pStyle w:val="TableBody"/>
            </w:pPr>
            <w:r>
              <w:t xml:space="preserve">RTVAR </w:t>
            </w:r>
            <w:r w:rsidRPr="00E15B17">
              <w:rPr>
                <w:i/>
                <w:vertAlign w:val="subscript"/>
              </w:rPr>
              <w:t>q, r</w:t>
            </w:r>
          </w:p>
        </w:tc>
        <w:tc>
          <w:tcPr>
            <w:tcW w:w="618" w:type="pct"/>
          </w:tcPr>
          <w:p w14:paraId="65500CF0" w14:textId="77777777" w:rsidR="001F04FD" w:rsidRDefault="001F04FD" w:rsidP="00AC4DEE">
            <w:pPr>
              <w:pStyle w:val="TableBody"/>
            </w:pPr>
            <w:r>
              <w:t>MVArh</w:t>
            </w:r>
          </w:p>
        </w:tc>
        <w:tc>
          <w:tcPr>
            <w:tcW w:w="3366" w:type="pct"/>
          </w:tcPr>
          <w:p w14:paraId="4B0D34BE" w14:textId="77777777" w:rsidR="001F04FD" w:rsidRDefault="001F04FD" w:rsidP="00AC4DEE">
            <w:pPr>
              <w:pStyle w:val="TableBody"/>
            </w:pPr>
            <w:r>
              <w:rPr>
                <w:i/>
              </w:rPr>
              <w:t>Real-Time VAr per QSE per Resource</w:t>
            </w:r>
            <w:r>
              <w:t xml:space="preserve">—The netted Reactive Energy measured for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0886B3DA" w14:textId="77777777" w:rsidTr="00AC4DEE">
        <w:trPr>
          <w:cantSplit/>
        </w:trPr>
        <w:tc>
          <w:tcPr>
            <w:tcW w:w="1016" w:type="pct"/>
          </w:tcPr>
          <w:p w14:paraId="16F8AD1C" w14:textId="77777777" w:rsidR="001F04FD" w:rsidRDefault="001F04FD" w:rsidP="00AC4DEE">
            <w:pPr>
              <w:pStyle w:val="TableBody"/>
            </w:pPr>
            <w:r>
              <w:t xml:space="preserve">URLLAG </w:t>
            </w:r>
            <w:r w:rsidRPr="00E15B17">
              <w:rPr>
                <w:i/>
                <w:vertAlign w:val="subscript"/>
              </w:rPr>
              <w:t>q, r</w:t>
            </w:r>
          </w:p>
        </w:tc>
        <w:tc>
          <w:tcPr>
            <w:tcW w:w="618" w:type="pct"/>
          </w:tcPr>
          <w:p w14:paraId="5D15D99F" w14:textId="77777777" w:rsidR="001F04FD" w:rsidRDefault="001F04FD" w:rsidP="00AC4DEE">
            <w:pPr>
              <w:pStyle w:val="TableBody"/>
            </w:pPr>
            <w:r>
              <w:t>MVAr</w:t>
            </w:r>
          </w:p>
        </w:tc>
        <w:tc>
          <w:tcPr>
            <w:tcW w:w="3366" w:type="pct"/>
          </w:tcPr>
          <w:p w14:paraId="2A4A896C" w14:textId="77777777" w:rsidR="001F04FD" w:rsidRDefault="001F04FD" w:rsidP="00AC4DEE">
            <w:pPr>
              <w:pStyle w:val="TableBody"/>
            </w:pPr>
            <w:r>
              <w:rPr>
                <w:i/>
              </w:rPr>
              <w:t>Unit Reactive Limit Lagging per QSE per Resource</w:t>
            </w:r>
            <w:r>
              <w:t xml:space="preserve">—The URL for lagging Reactive Power of the Generation Resource </w:t>
            </w:r>
            <w:r>
              <w:rPr>
                <w:i/>
              </w:rPr>
              <w:t>r</w:t>
            </w:r>
            <w:r>
              <w:t xml:space="preserve"> represented by QSE </w:t>
            </w:r>
            <w:r>
              <w:rPr>
                <w:i/>
              </w:rPr>
              <w:t>q</w:t>
            </w:r>
            <w:r>
              <w:t xml:space="preserve"> as determined in accordance with these Protocols.  Its value is positive.  Where for a combined cycle resource, </w:t>
            </w:r>
            <w:r w:rsidRPr="00590ADB">
              <w:rPr>
                <w:i/>
              </w:rPr>
              <w:t>r</w:t>
            </w:r>
            <w:r>
              <w:t xml:space="preserve"> is a Combined Cycle Train.</w:t>
            </w:r>
          </w:p>
        </w:tc>
      </w:tr>
      <w:tr w:rsidR="001F04FD" w14:paraId="5745BE0F" w14:textId="77777777" w:rsidTr="00AC4DEE">
        <w:trPr>
          <w:cantSplit/>
        </w:trPr>
        <w:tc>
          <w:tcPr>
            <w:tcW w:w="1016" w:type="pct"/>
          </w:tcPr>
          <w:p w14:paraId="32AE6DD7" w14:textId="77777777" w:rsidR="001F04FD" w:rsidRDefault="001F04FD" w:rsidP="00AC4DEE">
            <w:pPr>
              <w:pStyle w:val="TableBody"/>
            </w:pPr>
            <w:r>
              <w:t xml:space="preserve">URLLEAD </w:t>
            </w:r>
            <w:r w:rsidRPr="00E15B17">
              <w:rPr>
                <w:i/>
                <w:vertAlign w:val="subscript"/>
              </w:rPr>
              <w:t>q, r</w:t>
            </w:r>
          </w:p>
        </w:tc>
        <w:tc>
          <w:tcPr>
            <w:tcW w:w="618" w:type="pct"/>
          </w:tcPr>
          <w:p w14:paraId="68B89B0F" w14:textId="77777777" w:rsidR="001F04FD" w:rsidRDefault="001F04FD" w:rsidP="00AC4DEE">
            <w:pPr>
              <w:pStyle w:val="TableBody"/>
            </w:pPr>
            <w:r>
              <w:t>MVAr</w:t>
            </w:r>
          </w:p>
        </w:tc>
        <w:tc>
          <w:tcPr>
            <w:tcW w:w="3366" w:type="pct"/>
          </w:tcPr>
          <w:p w14:paraId="0D217302" w14:textId="77777777" w:rsidR="001F04FD" w:rsidRDefault="001F04FD" w:rsidP="00AC4DEE">
            <w:pPr>
              <w:pStyle w:val="TableBody"/>
            </w:pPr>
            <w:r>
              <w:rPr>
                <w:i/>
              </w:rPr>
              <w:t>Unit Reactive Limit Leading per QSE per Resource</w:t>
            </w:r>
            <w:r>
              <w:t xml:space="preserve">—The URL for leading Reactive Power of the Generation Resource </w:t>
            </w:r>
            <w:r>
              <w:rPr>
                <w:i/>
              </w:rPr>
              <w:t>r</w:t>
            </w:r>
            <w:r>
              <w:t xml:space="preserve"> represented by QSE </w:t>
            </w:r>
            <w:r>
              <w:rPr>
                <w:i/>
              </w:rPr>
              <w:t>q</w:t>
            </w:r>
            <w:r>
              <w:t xml:space="preserve"> as determined in accordance with these Protocols.  Its value is negative.  Where for a combined cycle resource, </w:t>
            </w:r>
            <w:r w:rsidRPr="00590ADB">
              <w:rPr>
                <w:i/>
              </w:rPr>
              <w:t>r</w:t>
            </w:r>
            <w:r>
              <w:t xml:space="preserve"> is a Combined Cycle Train.</w:t>
            </w:r>
          </w:p>
        </w:tc>
      </w:tr>
      <w:tr w:rsidR="001F04FD" w14:paraId="2B4B3949" w14:textId="77777777" w:rsidTr="00AC4DEE">
        <w:trPr>
          <w:cantSplit/>
        </w:trPr>
        <w:tc>
          <w:tcPr>
            <w:tcW w:w="1016" w:type="pct"/>
            <w:tcBorders>
              <w:top w:val="single" w:sz="4" w:space="0" w:color="auto"/>
              <w:left w:val="single" w:sz="4" w:space="0" w:color="auto"/>
              <w:bottom w:val="single" w:sz="4" w:space="0" w:color="auto"/>
              <w:right w:val="single" w:sz="4" w:space="0" w:color="auto"/>
            </w:tcBorders>
          </w:tcPr>
          <w:p w14:paraId="29993758" w14:textId="77777777" w:rsidR="001F04FD" w:rsidRDefault="001F04FD" w:rsidP="00AC4DEE">
            <w:pPr>
              <w:pStyle w:val="TableBody"/>
            </w:pPr>
            <w:r>
              <w:t xml:space="preserve">HSL </w:t>
            </w:r>
            <w:r w:rsidRPr="00E15B17">
              <w:rPr>
                <w:i/>
                <w:vertAlign w:val="subscript"/>
              </w:rPr>
              <w:t>q</w:t>
            </w:r>
            <w:r>
              <w:rPr>
                <w:i/>
                <w:vertAlign w:val="subscript"/>
              </w:rPr>
              <w:t xml:space="preserve">, </w:t>
            </w:r>
            <w:r w:rsidRPr="00E15B17">
              <w:rPr>
                <w:i/>
                <w:vertAlign w:val="subscript"/>
              </w:rPr>
              <w:t>r</w:t>
            </w:r>
          </w:p>
        </w:tc>
        <w:tc>
          <w:tcPr>
            <w:tcW w:w="618" w:type="pct"/>
            <w:tcBorders>
              <w:top w:val="single" w:sz="4" w:space="0" w:color="auto"/>
              <w:left w:val="single" w:sz="4" w:space="0" w:color="auto"/>
              <w:bottom w:val="single" w:sz="4" w:space="0" w:color="auto"/>
              <w:right w:val="single" w:sz="4" w:space="0" w:color="auto"/>
            </w:tcBorders>
          </w:tcPr>
          <w:p w14:paraId="75ECE20A" w14:textId="77777777" w:rsidR="001F04FD" w:rsidRDefault="001F04FD" w:rsidP="00AC4DEE">
            <w:pPr>
              <w:pStyle w:val="TableBody"/>
            </w:pPr>
            <w:r>
              <w:t>MW</w:t>
            </w:r>
          </w:p>
        </w:tc>
        <w:tc>
          <w:tcPr>
            <w:tcW w:w="3366" w:type="pct"/>
            <w:tcBorders>
              <w:top w:val="single" w:sz="4" w:space="0" w:color="auto"/>
              <w:left w:val="single" w:sz="4" w:space="0" w:color="auto"/>
              <w:bottom w:val="single" w:sz="4" w:space="0" w:color="auto"/>
              <w:right w:val="single" w:sz="4" w:space="0" w:color="auto"/>
            </w:tcBorders>
          </w:tcPr>
          <w:p w14:paraId="1BA886E1" w14:textId="7A38FECE" w:rsidR="001F04FD" w:rsidRDefault="001F04FD" w:rsidP="00AD486D">
            <w:pPr>
              <w:pStyle w:val="TableBody"/>
            </w:pPr>
            <w:r>
              <w:rPr>
                <w:i/>
              </w:rPr>
              <w:t>High Sustained Limit</w:t>
            </w:r>
            <w:r>
              <w:t>—The HSL of a Generation Resource as defined in Section 2, Definitions</w:t>
            </w:r>
            <w:r w:rsidR="00AD486D">
              <w:t xml:space="preserve"> and Acronyms</w:t>
            </w:r>
            <w:r>
              <w:t xml:space="preserve">, for the hour that includes the Settlement Interval </w:t>
            </w:r>
            <w:r w:rsidRPr="00D661BC">
              <w:rPr>
                <w:i/>
              </w:rPr>
              <w:t>i</w:t>
            </w:r>
            <w:r>
              <w:t xml:space="preserve">.  Where for a combined cycle resource, </w:t>
            </w:r>
            <w:r w:rsidRPr="00590ADB">
              <w:rPr>
                <w:i/>
              </w:rPr>
              <w:t>r</w:t>
            </w:r>
            <w:r>
              <w:t xml:space="preserve"> is a Combined Cycle Generation Resource.</w:t>
            </w:r>
          </w:p>
        </w:tc>
      </w:tr>
      <w:tr w:rsidR="001F04FD" w14:paraId="2F13F767" w14:textId="77777777" w:rsidTr="00AC4DEE">
        <w:trPr>
          <w:cantSplit/>
        </w:trPr>
        <w:tc>
          <w:tcPr>
            <w:tcW w:w="1016" w:type="pct"/>
          </w:tcPr>
          <w:p w14:paraId="7FE16D4C" w14:textId="77777777" w:rsidR="001F04FD" w:rsidRPr="0072643D" w:rsidRDefault="001F04FD" w:rsidP="00AC4DEE">
            <w:pPr>
              <w:pStyle w:val="TableBody"/>
              <w:rPr>
                <w:i/>
              </w:rPr>
            </w:pPr>
            <w:r w:rsidRPr="00D661BC">
              <w:rPr>
                <w:i/>
              </w:rPr>
              <w:t>q</w:t>
            </w:r>
          </w:p>
        </w:tc>
        <w:tc>
          <w:tcPr>
            <w:tcW w:w="618" w:type="pct"/>
          </w:tcPr>
          <w:p w14:paraId="062AFD44" w14:textId="77777777" w:rsidR="001F04FD" w:rsidRDefault="001F04FD" w:rsidP="00AC4DEE">
            <w:pPr>
              <w:pStyle w:val="TableBody"/>
            </w:pPr>
            <w:r>
              <w:t>none</w:t>
            </w:r>
          </w:p>
        </w:tc>
        <w:tc>
          <w:tcPr>
            <w:tcW w:w="3366" w:type="pct"/>
          </w:tcPr>
          <w:p w14:paraId="3A42C889" w14:textId="77777777" w:rsidR="001F04FD" w:rsidRDefault="001F04FD" w:rsidP="00AC4DEE">
            <w:pPr>
              <w:pStyle w:val="TableBody"/>
            </w:pPr>
            <w:r>
              <w:t>A QSE.</w:t>
            </w:r>
          </w:p>
        </w:tc>
      </w:tr>
      <w:tr w:rsidR="001F04FD" w14:paraId="76617C63" w14:textId="77777777" w:rsidTr="00AC4DEE">
        <w:trPr>
          <w:cantSplit/>
        </w:trPr>
        <w:tc>
          <w:tcPr>
            <w:tcW w:w="1016" w:type="pct"/>
          </w:tcPr>
          <w:p w14:paraId="2C06F6C5" w14:textId="77777777" w:rsidR="001F04FD" w:rsidRPr="0072643D" w:rsidRDefault="001F04FD" w:rsidP="00AC4DEE">
            <w:pPr>
              <w:pStyle w:val="TableBody"/>
              <w:rPr>
                <w:i/>
              </w:rPr>
            </w:pPr>
            <w:r w:rsidRPr="00D661BC">
              <w:rPr>
                <w:i/>
              </w:rPr>
              <w:t>r</w:t>
            </w:r>
          </w:p>
        </w:tc>
        <w:tc>
          <w:tcPr>
            <w:tcW w:w="618" w:type="pct"/>
          </w:tcPr>
          <w:p w14:paraId="2235C0EE" w14:textId="77777777" w:rsidR="001F04FD" w:rsidRDefault="001F04FD" w:rsidP="00AC4DEE">
            <w:pPr>
              <w:pStyle w:val="TableBody"/>
            </w:pPr>
            <w:r>
              <w:t>none</w:t>
            </w:r>
          </w:p>
        </w:tc>
        <w:tc>
          <w:tcPr>
            <w:tcW w:w="3366" w:type="pct"/>
          </w:tcPr>
          <w:p w14:paraId="03372A61" w14:textId="77777777" w:rsidR="001F04FD" w:rsidRDefault="001F04FD" w:rsidP="00AC4DEE">
            <w:pPr>
              <w:pStyle w:val="TableBody"/>
            </w:pPr>
            <w:r>
              <w:t>A Generation Resource.</w:t>
            </w:r>
          </w:p>
        </w:tc>
      </w:tr>
    </w:tbl>
    <w:p w14:paraId="14EDE82B" w14:textId="77777777" w:rsidR="001F04FD" w:rsidRDefault="001F04FD" w:rsidP="001F04FD">
      <w:pPr>
        <w:pStyle w:val="BodyTextNumbered"/>
        <w:spacing w:after="0"/>
      </w:pPr>
    </w:p>
    <w:p w14:paraId="05F069F4" w14:textId="79598A68" w:rsidR="001F04FD" w:rsidRDefault="001F04FD" w:rsidP="001F04FD">
      <w:pPr>
        <w:pStyle w:val="BodyTextNumbered"/>
      </w:pPr>
      <w:r>
        <w:t>(3)</w:t>
      </w:r>
      <w:r>
        <w:tab/>
        <w:t xml:space="preserve">The total additional compensation to each QSE for </w:t>
      </w:r>
      <w:r w:rsidR="00AD486D">
        <w:t>VSS</w:t>
      </w:r>
      <w:r>
        <w:t xml:space="preserve"> for the 15-minute Settlement Interval is calculated as follows:</w:t>
      </w:r>
    </w:p>
    <w:p w14:paraId="731D6F2F" w14:textId="77777777" w:rsidR="001F04FD" w:rsidRDefault="001F04FD" w:rsidP="001F04FD">
      <w:pPr>
        <w:pStyle w:val="BodyTextNumbered"/>
        <w:ind w:firstLine="0"/>
        <w:rPr>
          <w:rFonts w:ascii="Times New Roman Bold" w:hAnsi="Times New Roman Bold"/>
          <w:i/>
          <w:szCs w:val="24"/>
          <w:vertAlign w:val="subscript"/>
        </w:rPr>
      </w:pPr>
      <w:r>
        <w:rPr>
          <w:b/>
        </w:rPr>
        <w:t>VSSVARAMTQSETOT</w:t>
      </w:r>
      <w:r>
        <w:rPr>
          <w:rFonts w:ascii="Times New Roman Bold" w:hAnsi="Times New Roman Bold"/>
          <w:b/>
          <w:szCs w:val="24"/>
          <w:vertAlign w:val="subscript"/>
        </w:rPr>
        <w:t>q</w:t>
      </w:r>
      <w:r>
        <w:rPr>
          <w:b/>
        </w:rPr>
        <w:t xml:space="preserve"> =  </w:t>
      </w:r>
      <w:r w:rsidRPr="006F784F">
        <w:rPr>
          <w:position w:val="-28"/>
        </w:rPr>
        <w:object w:dxaOrig="465" w:dyaOrig="675" w14:anchorId="10CB684E">
          <v:shape id="_x0000_i1228" type="#_x0000_t75" style="width:24.6pt;height:36.6pt" o:ole="">
            <v:imagedata r:id="rId280" o:title=""/>
          </v:shape>
          <o:OLEObject Type="Embed" ProgID="Equation.3" ShapeID="_x0000_i1228" DrawAspect="Content" ObjectID="_1815025417" r:id="rId281"/>
        </w:object>
      </w:r>
      <w:r>
        <w:rPr>
          <w:b/>
        </w:rPr>
        <w:t xml:space="preserve"> VSSVARAMT</w:t>
      </w:r>
      <w:r>
        <w:rPr>
          <w:rFonts w:ascii="Times New Roman Bold" w:hAnsi="Times New Roman Bold"/>
          <w:i/>
          <w:szCs w:val="24"/>
          <w:vertAlign w:val="subscript"/>
        </w:rPr>
        <w:t>q,r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1F04FD" w14:paraId="7A8CC0F7" w14:textId="77777777" w:rsidTr="00AC4DEE">
        <w:trPr>
          <w:cantSplit/>
          <w:tblHeader/>
        </w:trPr>
        <w:tc>
          <w:tcPr>
            <w:tcW w:w="1231" w:type="pct"/>
          </w:tcPr>
          <w:p w14:paraId="4B3F4B18" w14:textId="77777777" w:rsidR="001F04FD" w:rsidRDefault="001F04FD" w:rsidP="00AC4DEE">
            <w:pPr>
              <w:pStyle w:val="TableHead"/>
            </w:pPr>
            <w:r>
              <w:t>Variable</w:t>
            </w:r>
          </w:p>
        </w:tc>
        <w:tc>
          <w:tcPr>
            <w:tcW w:w="474" w:type="pct"/>
          </w:tcPr>
          <w:p w14:paraId="5630BCA5" w14:textId="77777777" w:rsidR="001F04FD" w:rsidRDefault="001F04FD" w:rsidP="00AC4DEE">
            <w:pPr>
              <w:pStyle w:val="TableHead"/>
            </w:pPr>
            <w:r>
              <w:t>Unit</w:t>
            </w:r>
          </w:p>
        </w:tc>
        <w:tc>
          <w:tcPr>
            <w:tcW w:w="3295" w:type="pct"/>
          </w:tcPr>
          <w:p w14:paraId="26C1F97C" w14:textId="77777777" w:rsidR="001F04FD" w:rsidRDefault="001F04FD" w:rsidP="00AC4DEE">
            <w:pPr>
              <w:pStyle w:val="TableHead"/>
            </w:pPr>
            <w:r>
              <w:t>Definition</w:t>
            </w:r>
          </w:p>
        </w:tc>
      </w:tr>
      <w:tr w:rsidR="001F04FD" w14:paraId="0222A613" w14:textId="77777777" w:rsidTr="00AC4DEE">
        <w:trPr>
          <w:cantSplit/>
        </w:trPr>
        <w:tc>
          <w:tcPr>
            <w:tcW w:w="1231" w:type="pct"/>
          </w:tcPr>
          <w:p w14:paraId="04D3C968" w14:textId="77777777" w:rsidR="001F04FD" w:rsidRDefault="001F04FD" w:rsidP="00AC4DEE">
            <w:pPr>
              <w:pStyle w:val="TableBody"/>
            </w:pPr>
            <w:r>
              <w:t xml:space="preserve">VSSVARAMT </w:t>
            </w:r>
            <w:r w:rsidRPr="00E15B17">
              <w:rPr>
                <w:i/>
                <w:vertAlign w:val="subscript"/>
              </w:rPr>
              <w:t>q, r</w:t>
            </w:r>
          </w:p>
        </w:tc>
        <w:tc>
          <w:tcPr>
            <w:tcW w:w="474" w:type="pct"/>
          </w:tcPr>
          <w:p w14:paraId="4BE2500E" w14:textId="77777777" w:rsidR="001F04FD" w:rsidRDefault="001F04FD" w:rsidP="00AC4DEE">
            <w:pPr>
              <w:pStyle w:val="TableBody"/>
            </w:pPr>
            <w:r>
              <w:t>$</w:t>
            </w:r>
          </w:p>
        </w:tc>
        <w:tc>
          <w:tcPr>
            <w:tcW w:w="3295" w:type="pct"/>
          </w:tcPr>
          <w:p w14:paraId="4426088B" w14:textId="77777777" w:rsidR="001F04FD" w:rsidRDefault="001F04FD" w:rsidP="00AC4DEE">
            <w:pPr>
              <w:pStyle w:val="TableBody"/>
            </w:pPr>
            <w:r>
              <w:rPr>
                <w:i/>
              </w:rPr>
              <w:t>Voltage Support Service VAr Amount per QSE per Generation Resource</w:t>
            </w:r>
            <w:r>
              <w:t xml:space="preserve">—The payment to QSE </w:t>
            </w:r>
            <w:r>
              <w:rPr>
                <w:i/>
              </w:rPr>
              <w:t>q</w:t>
            </w:r>
            <w:r>
              <w:t xml:space="preserve"> for the VSS provided by Generation Resource </w:t>
            </w:r>
            <w:r>
              <w:rPr>
                <w:i/>
              </w:rPr>
              <w:t>r</w:t>
            </w:r>
            <w:r>
              <w:t xml:space="preserve">, for the 15-minute Settlement Interval.  Where for a combined cycle resource, </w:t>
            </w:r>
            <w:r w:rsidRPr="00590ADB">
              <w:rPr>
                <w:i/>
              </w:rPr>
              <w:t>r</w:t>
            </w:r>
            <w:r>
              <w:t xml:space="preserve"> is a Combined Cycle Train.</w:t>
            </w:r>
          </w:p>
        </w:tc>
      </w:tr>
      <w:tr w:rsidR="001F04FD" w14:paraId="42306CAF" w14:textId="77777777" w:rsidTr="00AC4DEE">
        <w:trPr>
          <w:cantSplit/>
        </w:trPr>
        <w:tc>
          <w:tcPr>
            <w:tcW w:w="1231" w:type="pct"/>
          </w:tcPr>
          <w:p w14:paraId="0649D7C2" w14:textId="77777777" w:rsidR="001F04FD" w:rsidRDefault="001F04FD" w:rsidP="00AC4DEE">
            <w:pPr>
              <w:pStyle w:val="TableBody"/>
            </w:pPr>
            <w:r>
              <w:t xml:space="preserve">VSSVARAMTQSETOT </w:t>
            </w:r>
            <w:r w:rsidRPr="00E15B17">
              <w:rPr>
                <w:i/>
                <w:vertAlign w:val="subscript"/>
              </w:rPr>
              <w:t>q</w:t>
            </w:r>
          </w:p>
        </w:tc>
        <w:tc>
          <w:tcPr>
            <w:tcW w:w="474" w:type="pct"/>
          </w:tcPr>
          <w:p w14:paraId="59E6F170" w14:textId="77777777" w:rsidR="001F04FD" w:rsidRDefault="001F04FD" w:rsidP="00AC4DEE">
            <w:pPr>
              <w:pStyle w:val="TableBody"/>
              <w:rPr>
                <w:i/>
              </w:rPr>
            </w:pPr>
            <w:r>
              <w:t>$</w:t>
            </w:r>
          </w:p>
        </w:tc>
        <w:tc>
          <w:tcPr>
            <w:tcW w:w="3295" w:type="pct"/>
          </w:tcPr>
          <w:p w14:paraId="0BC93CDC" w14:textId="0966A15E" w:rsidR="001F04FD" w:rsidRDefault="001F04FD" w:rsidP="00AD486D">
            <w:pPr>
              <w:pStyle w:val="TableBody"/>
            </w:pPr>
            <w:r>
              <w:rPr>
                <w:i/>
              </w:rPr>
              <w:t>Voltage Support VAr Amount QSE total per QSE</w:t>
            </w:r>
            <w:r>
              <w:t xml:space="preserve">—The total of the payments to QSE </w:t>
            </w:r>
            <w:r>
              <w:rPr>
                <w:i/>
              </w:rPr>
              <w:t>q</w:t>
            </w:r>
            <w:r>
              <w:t xml:space="preserve"> as compensation for VSS by this QSE for the 15-minute </w:t>
            </w:r>
            <w:r w:rsidR="00AD486D">
              <w:t>S</w:t>
            </w:r>
            <w:r>
              <w:t xml:space="preserve">ettlement </w:t>
            </w:r>
            <w:r w:rsidR="00AD486D">
              <w:t>I</w:t>
            </w:r>
            <w:r>
              <w:t>nterval.</w:t>
            </w:r>
          </w:p>
        </w:tc>
      </w:tr>
      <w:tr w:rsidR="001F04FD" w14:paraId="25D78535" w14:textId="77777777" w:rsidTr="00AC4DEE">
        <w:trPr>
          <w:cantSplit/>
        </w:trPr>
        <w:tc>
          <w:tcPr>
            <w:tcW w:w="1231" w:type="pct"/>
            <w:tcBorders>
              <w:top w:val="single" w:sz="4" w:space="0" w:color="auto"/>
              <w:left w:val="single" w:sz="4" w:space="0" w:color="auto"/>
              <w:bottom w:val="single" w:sz="4" w:space="0" w:color="auto"/>
              <w:right w:val="single" w:sz="4" w:space="0" w:color="auto"/>
            </w:tcBorders>
          </w:tcPr>
          <w:p w14:paraId="56C64838" w14:textId="77777777" w:rsidR="001F04FD" w:rsidRPr="0072643D" w:rsidRDefault="001F04FD" w:rsidP="00AC4DEE">
            <w:pPr>
              <w:pStyle w:val="TableBody"/>
              <w:rPr>
                <w:i/>
              </w:rPr>
            </w:pPr>
            <w:r w:rsidRPr="00D661BC">
              <w:rPr>
                <w:i/>
              </w:rPr>
              <w:t>q</w:t>
            </w:r>
          </w:p>
        </w:tc>
        <w:tc>
          <w:tcPr>
            <w:tcW w:w="474" w:type="pct"/>
            <w:tcBorders>
              <w:top w:val="single" w:sz="4" w:space="0" w:color="auto"/>
              <w:left w:val="single" w:sz="4" w:space="0" w:color="auto"/>
              <w:bottom w:val="single" w:sz="4" w:space="0" w:color="auto"/>
              <w:right w:val="single" w:sz="4" w:space="0" w:color="auto"/>
            </w:tcBorders>
          </w:tcPr>
          <w:p w14:paraId="0FCD7399" w14:textId="77777777" w:rsidR="001F04FD" w:rsidRDefault="001F04FD" w:rsidP="00AC4DEE">
            <w:pPr>
              <w:pStyle w:val="TableBody"/>
            </w:pPr>
            <w:r>
              <w:t>none</w:t>
            </w:r>
          </w:p>
        </w:tc>
        <w:tc>
          <w:tcPr>
            <w:tcW w:w="3295" w:type="pct"/>
            <w:tcBorders>
              <w:top w:val="single" w:sz="4" w:space="0" w:color="auto"/>
              <w:left w:val="single" w:sz="4" w:space="0" w:color="auto"/>
              <w:bottom w:val="single" w:sz="4" w:space="0" w:color="auto"/>
              <w:right w:val="single" w:sz="4" w:space="0" w:color="auto"/>
            </w:tcBorders>
          </w:tcPr>
          <w:p w14:paraId="57D87398" w14:textId="77777777" w:rsidR="001F04FD" w:rsidRDefault="001F04FD" w:rsidP="00AC4DEE">
            <w:pPr>
              <w:pStyle w:val="TableBody"/>
            </w:pPr>
            <w:r>
              <w:t>A QSE.</w:t>
            </w:r>
          </w:p>
        </w:tc>
      </w:tr>
      <w:tr w:rsidR="001F04FD" w14:paraId="33D58E7C" w14:textId="77777777" w:rsidTr="00AC4DEE">
        <w:trPr>
          <w:cantSplit/>
        </w:trPr>
        <w:tc>
          <w:tcPr>
            <w:tcW w:w="1231" w:type="pct"/>
            <w:tcBorders>
              <w:top w:val="single" w:sz="4" w:space="0" w:color="auto"/>
              <w:left w:val="single" w:sz="4" w:space="0" w:color="auto"/>
              <w:bottom w:val="single" w:sz="4" w:space="0" w:color="auto"/>
              <w:right w:val="single" w:sz="4" w:space="0" w:color="auto"/>
            </w:tcBorders>
          </w:tcPr>
          <w:p w14:paraId="581E06D0" w14:textId="77777777" w:rsidR="001F04FD" w:rsidRPr="0072643D" w:rsidRDefault="001F04FD" w:rsidP="00AC4DEE">
            <w:pPr>
              <w:pStyle w:val="TableBody"/>
              <w:rPr>
                <w:i/>
              </w:rPr>
            </w:pPr>
            <w:r w:rsidRPr="00D661BC">
              <w:rPr>
                <w:i/>
              </w:rPr>
              <w:t>r</w:t>
            </w:r>
          </w:p>
        </w:tc>
        <w:tc>
          <w:tcPr>
            <w:tcW w:w="474" w:type="pct"/>
            <w:tcBorders>
              <w:top w:val="single" w:sz="4" w:space="0" w:color="auto"/>
              <w:left w:val="single" w:sz="4" w:space="0" w:color="auto"/>
              <w:bottom w:val="single" w:sz="4" w:space="0" w:color="auto"/>
              <w:right w:val="single" w:sz="4" w:space="0" w:color="auto"/>
            </w:tcBorders>
          </w:tcPr>
          <w:p w14:paraId="12F83B1F" w14:textId="77777777" w:rsidR="001F04FD" w:rsidRDefault="001F04FD" w:rsidP="00AC4DEE">
            <w:pPr>
              <w:pStyle w:val="TableBody"/>
            </w:pPr>
            <w:r>
              <w:t>none</w:t>
            </w:r>
          </w:p>
        </w:tc>
        <w:tc>
          <w:tcPr>
            <w:tcW w:w="3295" w:type="pct"/>
            <w:tcBorders>
              <w:top w:val="single" w:sz="4" w:space="0" w:color="auto"/>
              <w:left w:val="single" w:sz="4" w:space="0" w:color="auto"/>
              <w:bottom w:val="single" w:sz="4" w:space="0" w:color="auto"/>
              <w:right w:val="single" w:sz="4" w:space="0" w:color="auto"/>
            </w:tcBorders>
          </w:tcPr>
          <w:p w14:paraId="5800DAC5" w14:textId="77777777" w:rsidR="001F04FD" w:rsidRDefault="001F04FD" w:rsidP="00AC4DEE">
            <w:pPr>
              <w:pStyle w:val="TableBody"/>
            </w:pPr>
            <w:r>
              <w:t>A Generation Resource.</w:t>
            </w:r>
          </w:p>
        </w:tc>
      </w:tr>
    </w:tbl>
    <w:p w14:paraId="22C7F980" w14:textId="77777777" w:rsidR="001F04FD" w:rsidRDefault="001F04FD" w:rsidP="001F04FD"/>
    <w:p w14:paraId="6CBB5DCB" w14:textId="77777777" w:rsidR="001F04FD" w:rsidRDefault="001F04FD" w:rsidP="001F04FD">
      <w:pPr>
        <w:pStyle w:val="BodyTextNumbered"/>
      </w:pPr>
      <w:r>
        <w:t>(4)</w:t>
      </w:r>
      <w:r>
        <w:tab/>
        <w:t>The lost opportunity payment, if applicable:</w:t>
      </w:r>
    </w:p>
    <w:p w14:paraId="6B0A1AB9" w14:textId="6840965F" w:rsidR="001F04FD" w:rsidRDefault="001F04FD" w:rsidP="001F04FD">
      <w:pPr>
        <w:pStyle w:val="FormulaBold"/>
        <w:rPr>
          <w:lang w:val="pt-BR"/>
        </w:rPr>
      </w:pPr>
      <w:r>
        <w:rPr>
          <w:lang w:val="pt-BR"/>
        </w:rPr>
        <w:t xml:space="preserve">VSSEAMT </w:t>
      </w:r>
      <w:r>
        <w:rPr>
          <w:i/>
          <w:vertAlign w:val="subscript"/>
          <w:lang w:val="pt-BR"/>
        </w:rPr>
        <w:t>q, r</w:t>
      </w:r>
      <w:r>
        <w:rPr>
          <w:lang w:val="pt-BR"/>
        </w:rPr>
        <w:tab/>
      </w:r>
      <w:r>
        <w:rPr>
          <w:lang w:val="pt-BR"/>
        </w:rPr>
        <w:tab/>
        <w:t>=</w:t>
      </w:r>
      <w:r>
        <w:rPr>
          <w:lang w:val="pt-BR"/>
        </w:rPr>
        <w:tab/>
      </w:r>
      <w:r>
        <w:t xml:space="preserve">(-1) * </w:t>
      </w:r>
      <w:r>
        <w:rPr>
          <w:lang w:val="pt-BR"/>
        </w:rPr>
        <w:t xml:space="preserve">Max (0, </w:t>
      </w:r>
      <w:r w:rsidR="005911C2">
        <w:rPr>
          <w:lang w:val="pt-BR"/>
        </w:rPr>
        <w:t>(</w:t>
      </w:r>
      <w:r>
        <w:rPr>
          <w:lang w:val="pt-BR"/>
        </w:rPr>
        <w:t>RTSPP</w:t>
      </w:r>
      <w:r>
        <w:rPr>
          <w:rFonts w:ascii="Times New Roman Bold" w:hAnsi="Times New Roman Bold"/>
          <w:vertAlign w:val="subscript"/>
          <w:lang w:val="pt-BR"/>
        </w:rPr>
        <w:t xml:space="preserve"> </w:t>
      </w:r>
      <w:r w:rsidRPr="005911C2">
        <w:rPr>
          <w:rFonts w:ascii="Times New Roman Bold" w:hAnsi="Times New Roman Bold"/>
          <w:i/>
          <w:vertAlign w:val="subscript"/>
          <w:lang w:val="pt-BR"/>
        </w:rPr>
        <w:t>p</w:t>
      </w:r>
      <w:r w:rsidR="00E10C1C" w:rsidRPr="009716C5">
        <w:t xml:space="preserve"> </w:t>
      </w:r>
      <w:r w:rsidR="005911C2">
        <w:rPr>
          <w:lang w:val="pt-BR"/>
        </w:rPr>
        <w:t>–</w:t>
      </w:r>
      <w:r w:rsidR="005911C2" w:rsidRPr="009716C5">
        <w:t xml:space="preserve"> RTEOCOST</w:t>
      </w:r>
      <w:r w:rsidR="005911C2">
        <w:t xml:space="preserve"> </w:t>
      </w:r>
      <w:r w:rsidR="005911C2" w:rsidRPr="00F67BF3">
        <w:rPr>
          <w:i/>
          <w:vertAlign w:val="subscript"/>
        </w:rPr>
        <w:t>q, r, i</w:t>
      </w:r>
      <w:r w:rsidR="005911C2" w:rsidRPr="009716C5">
        <w:rPr>
          <w:lang w:val="pt-BR"/>
        </w:rPr>
        <w:t>)</w:t>
      </w:r>
      <w:r w:rsidR="005911C2">
        <w:rPr>
          <w:lang w:val="pt-BR"/>
        </w:rPr>
        <w:t xml:space="preserve"> </w:t>
      </w:r>
      <w:r>
        <w:rPr>
          <w:lang w:val="pt-BR"/>
        </w:rPr>
        <w:t xml:space="preserve">* Max (0, (HSL </w:t>
      </w:r>
      <w:r>
        <w:rPr>
          <w:i/>
          <w:vertAlign w:val="subscript"/>
          <w:lang w:val="pt-BR"/>
        </w:rPr>
        <w:t>q, r</w:t>
      </w:r>
      <w:r>
        <w:rPr>
          <w:lang w:val="pt-BR"/>
        </w:rPr>
        <w:t xml:space="preserve"> * ¼ - RTMG </w:t>
      </w:r>
      <w:r>
        <w:rPr>
          <w:i/>
          <w:vertAlign w:val="subscript"/>
          <w:lang w:val="pt-BR"/>
        </w:rPr>
        <w:t>q, r</w:t>
      </w:r>
      <w:r>
        <w:rPr>
          <w:lang w:val="pt-BR"/>
        </w:rPr>
        <w:t>)))</w:t>
      </w:r>
    </w:p>
    <w:p w14:paraId="5AFABF37" w14:textId="77777777" w:rsidR="001F04FD" w:rsidRDefault="001F04FD" w:rsidP="00BA3F0D">
      <w:pPr>
        <w:spacing w:before="240"/>
      </w:pPr>
      <w:r>
        <w:lastRenderedPageBreak/>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9"/>
        <w:gridCol w:w="860"/>
        <w:gridCol w:w="6951"/>
      </w:tblGrid>
      <w:tr w:rsidR="001F04FD" w14:paraId="574AF1AF" w14:textId="77777777" w:rsidTr="00AC4DEE">
        <w:trPr>
          <w:cantSplit/>
          <w:tblHeader/>
        </w:trPr>
        <w:tc>
          <w:tcPr>
            <w:tcW w:w="823" w:type="pct"/>
          </w:tcPr>
          <w:p w14:paraId="608674E6" w14:textId="77777777" w:rsidR="001F04FD" w:rsidRDefault="001F04FD" w:rsidP="00AC4DEE">
            <w:pPr>
              <w:pStyle w:val="TableHead"/>
            </w:pPr>
            <w:r>
              <w:t>Variable</w:t>
            </w:r>
          </w:p>
        </w:tc>
        <w:tc>
          <w:tcPr>
            <w:tcW w:w="460" w:type="pct"/>
          </w:tcPr>
          <w:p w14:paraId="213F862E" w14:textId="77777777" w:rsidR="001F04FD" w:rsidRDefault="001F04FD" w:rsidP="00AC4DEE">
            <w:pPr>
              <w:pStyle w:val="TableHead"/>
            </w:pPr>
            <w:r>
              <w:t>Unit</w:t>
            </w:r>
          </w:p>
        </w:tc>
        <w:tc>
          <w:tcPr>
            <w:tcW w:w="3717" w:type="pct"/>
          </w:tcPr>
          <w:p w14:paraId="1D0B5866" w14:textId="77777777" w:rsidR="001F04FD" w:rsidRDefault="001F04FD" w:rsidP="00AC4DEE">
            <w:pPr>
              <w:pStyle w:val="TableHead"/>
            </w:pPr>
            <w:r>
              <w:t>Definition</w:t>
            </w:r>
          </w:p>
        </w:tc>
      </w:tr>
      <w:tr w:rsidR="001F04FD" w14:paraId="260B91A8" w14:textId="77777777" w:rsidTr="00AC4DEE">
        <w:trPr>
          <w:cantSplit/>
        </w:trPr>
        <w:tc>
          <w:tcPr>
            <w:tcW w:w="823" w:type="pct"/>
          </w:tcPr>
          <w:p w14:paraId="71269BFD" w14:textId="77777777" w:rsidR="001F04FD" w:rsidRDefault="001F04FD" w:rsidP="00AC4DEE">
            <w:pPr>
              <w:pStyle w:val="TableBody"/>
            </w:pPr>
            <w:r>
              <w:t xml:space="preserve">VSSEAMT </w:t>
            </w:r>
            <w:r w:rsidRPr="00E15B17">
              <w:rPr>
                <w:i/>
                <w:vertAlign w:val="subscript"/>
              </w:rPr>
              <w:t>q, r</w:t>
            </w:r>
          </w:p>
        </w:tc>
        <w:tc>
          <w:tcPr>
            <w:tcW w:w="460" w:type="pct"/>
          </w:tcPr>
          <w:p w14:paraId="713B3BCF" w14:textId="77777777" w:rsidR="001F04FD" w:rsidRDefault="001F04FD" w:rsidP="00AC4DEE">
            <w:pPr>
              <w:pStyle w:val="TableBody"/>
            </w:pPr>
            <w:r>
              <w:t>$</w:t>
            </w:r>
          </w:p>
        </w:tc>
        <w:tc>
          <w:tcPr>
            <w:tcW w:w="3717" w:type="pct"/>
          </w:tcPr>
          <w:p w14:paraId="08725AA1" w14:textId="77777777" w:rsidR="001F04FD" w:rsidRDefault="001F04FD" w:rsidP="00AC4DEE">
            <w:pPr>
              <w:pStyle w:val="TableBody"/>
            </w:pPr>
            <w:r>
              <w:rPr>
                <w:i/>
              </w:rPr>
              <w:t>Voltage Support Service Energy Amount per QSE per Generation Resource</w:t>
            </w:r>
            <w:r>
              <w:t xml:space="preserve">—The lost opportunity payment to QSE </w:t>
            </w:r>
            <w:r>
              <w:rPr>
                <w:i/>
              </w:rPr>
              <w:t>q</w:t>
            </w:r>
            <w:r>
              <w:t xml:space="preserve"> for ERCOT-directed VSS from Generation Resource </w:t>
            </w:r>
            <w:r w:rsidRPr="00AD486D">
              <w:rPr>
                <w:i/>
              </w:rPr>
              <w:t xml:space="preserve">r </w:t>
            </w:r>
            <w:r>
              <w:t xml:space="preserve">for the 15-minute Settlement Interval.  Where for a combined cycle resource, </w:t>
            </w:r>
            <w:r w:rsidRPr="00590ADB">
              <w:rPr>
                <w:i/>
              </w:rPr>
              <w:t>r</w:t>
            </w:r>
            <w:r>
              <w:t xml:space="preserve"> is a Combined Cycle Train.</w:t>
            </w:r>
          </w:p>
        </w:tc>
      </w:tr>
      <w:tr w:rsidR="001F04FD" w14:paraId="3F064BEA" w14:textId="77777777" w:rsidTr="00AC4DEE">
        <w:trPr>
          <w:cantSplit/>
        </w:trPr>
        <w:tc>
          <w:tcPr>
            <w:tcW w:w="823" w:type="pct"/>
          </w:tcPr>
          <w:p w14:paraId="24DF923B" w14:textId="77777777" w:rsidR="001F04FD" w:rsidRDefault="001F04FD" w:rsidP="00AC4DEE">
            <w:pPr>
              <w:pStyle w:val="TableBody"/>
            </w:pPr>
            <w:r>
              <w:t xml:space="preserve">RTMG </w:t>
            </w:r>
            <w:r w:rsidRPr="00E15B17">
              <w:rPr>
                <w:i/>
                <w:vertAlign w:val="subscript"/>
              </w:rPr>
              <w:t>q, r</w:t>
            </w:r>
          </w:p>
        </w:tc>
        <w:tc>
          <w:tcPr>
            <w:tcW w:w="460" w:type="pct"/>
          </w:tcPr>
          <w:p w14:paraId="2FF99DC1" w14:textId="77777777" w:rsidR="001F04FD" w:rsidRDefault="001F04FD" w:rsidP="00AC4DEE">
            <w:pPr>
              <w:pStyle w:val="TableBody"/>
            </w:pPr>
            <w:r>
              <w:t>MWh</w:t>
            </w:r>
          </w:p>
        </w:tc>
        <w:tc>
          <w:tcPr>
            <w:tcW w:w="3717" w:type="pct"/>
          </w:tcPr>
          <w:p w14:paraId="1625B10F" w14:textId="77777777" w:rsidR="001F04FD" w:rsidRDefault="001F04FD" w:rsidP="00AC4DEE">
            <w:pPr>
              <w:pStyle w:val="TableBody"/>
              <w:rPr>
                <w:i/>
              </w:rPr>
            </w:pPr>
            <w:r>
              <w:rPr>
                <w:i/>
              </w:rPr>
              <w:t>Real-Time Metered Generation per QSE per Resource</w:t>
            </w:r>
            <w:r>
              <w:t xml:space="preserve">—The Real-Time metered generation of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68D05518" w14:textId="77777777" w:rsidTr="00AC4DEE">
        <w:trPr>
          <w:cantSplit/>
        </w:trPr>
        <w:tc>
          <w:tcPr>
            <w:tcW w:w="823" w:type="pct"/>
          </w:tcPr>
          <w:p w14:paraId="6F9B2413" w14:textId="77777777" w:rsidR="001F04FD" w:rsidRDefault="001F04FD" w:rsidP="00AC4DEE">
            <w:pPr>
              <w:pStyle w:val="TableBody"/>
              <w:rPr>
                <w:vertAlign w:val="subscript"/>
              </w:rPr>
            </w:pPr>
            <w:r>
              <w:t xml:space="preserve">RTSPP </w:t>
            </w:r>
            <w:r w:rsidRPr="00E15B17">
              <w:rPr>
                <w:i/>
                <w:vertAlign w:val="subscript"/>
              </w:rPr>
              <w:t>p</w:t>
            </w:r>
          </w:p>
        </w:tc>
        <w:tc>
          <w:tcPr>
            <w:tcW w:w="460" w:type="pct"/>
          </w:tcPr>
          <w:p w14:paraId="2DC3E577" w14:textId="2497B915" w:rsidR="001F04FD" w:rsidRDefault="001F04FD" w:rsidP="00AC4DEE">
            <w:pPr>
              <w:pStyle w:val="TableBody"/>
            </w:pPr>
            <w:r>
              <w:t>$</w:t>
            </w:r>
            <w:r w:rsidR="000D5541">
              <w:t>/MWh</w:t>
            </w:r>
          </w:p>
        </w:tc>
        <w:tc>
          <w:tcPr>
            <w:tcW w:w="3717" w:type="pct"/>
          </w:tcPr>
          <w:p w14:paraId="4F46C3BF" w14:textId="326669FA" w:rsidR="001F04FD" w:rsidRDefault="001F04FD" w:rsidP="00AC4DEE">
            <w:pPr>
              <w:pStyle w:val="TableBody"/>
              <w:rPr>
                <w:i/>
              </w:rPr>
            </w:pPr>
            <w:r>
              <w:rPr>
                <w:i/>
              </w:rPr>
              <w:t>Real-Time Settlement Point Price</w:t>
            </w:r>
            <w:r>
              <w:t>—The Real-Time S</w:t>
            </w:r>
            <w:r w:rsidR="000D5541">
              <w:t xml:space="preserve">ettlement </w:t>
            </w:r>
            <w:r>
              <w:t>P</w:t>
            </w:r>
            <w:r w:rsidR="000D5541">
              <w:t xml:space="preserve">oint </w:t>
            </w:r>
            <w:r>
              <w:t>P</w:t>
            </w:r>
            <w:r w:rsidR="000D5541">
              <w:t>rice</w:t>
            </w:r>
            <w:r>
              <w:t xml:space="preserve"> at the Resource Node for the 15-minute Settlement Interval.  </w:t>
            </w:r>
          </w:p>
        </w:tc>
      </w:tr>
      <w:tr w:rsidR="005911C2" w14:paraId="106016FE"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14684BA4" w14:textId="42F57FDF" w:rsidR="005911C2" w:rsidRDefault="005911C2" w:rsidP="005911C2">
            <w:pPr>
              <w:pStyle w:val="TableBody"/>
              <w:rPr>
                <w:noProof/>
              </w:rPr>
            </w:pPr>
            <w:r w:rsidRPr="009716C5">
              <w:t>RTEOCOST</w:t>
            </w:r>
            <w:r w:rsidRPr="00F67BF3">
              <w:rPr>
                <w:i/>
              </w:rPr>
              <w:t xml:space="preserve"> </w:t>
            </w:r>
            <w:r w:rsidRPr="00F67BF3">
              <w:rPr>
                <w:i/>
                <w:vertAlign w:val="subscript"/>
              </w:rPr>
              <w:t>q, r, i</w:t>
            </w:r>
          </w:p>
        </w:tc>
        <w:tc>
          <w:tcPr>
            <w:tcW w:w="460" w:type="pct"/>
            <w:tcBorders>
              <w:top w:val="single" w:sz="4" w:space="0" w:color="auto"/>
              <w:left w:val="single" w:sz="4" w:space="0" w:color="auto"/>
              <w:bottom w:val="single" w:sz="4" w:space="0" w:color="auto"/>
              <w:right w:val="single" w:sz="4" w:space="0" w:color="auto"/>
            </w:tcBorders>
          </w:tcPr>
          <w:p w14:paraId="002A9DF6" w14:textId="5F376AC5" w:rsidR="005911C2" w:rsidRDefault="005911C2" w:rsidP="005911C2">
            <w:pPr>
              <w:pStyle w:val="TableBody"/>
            </w:pPr>
            <w:r w:rsidRPr="009716C5">
              <w:t>$/MWh</w:t>
            </w:r>
          </w:p>
        </w:tc>
        <w:tc>
          <w:tcPr>
            <w:tcW w:w="3717" w:type="pct"/>
            <w:tcBorders>
              <w:top w:val="single" w:sz="4" w:space="0" w:color="auto"/>
              <w:left w:val="single" w:sz="4" w:space="0" w:color="auto"/>
              <w:bottom w:val="single" w:sz="4" w:space="0" w:color="auto"/>
              <w:right w:val="single" w:sz="4" w:space="0" w:color="auto"/>
            </w:tcBorders>
          </w:tcPr>
          <w:p w14:paraId="7DFA8F80" w14:textId="68E1AC07" w:rsidR="005911C2" w:rsidRDefault="005911C2" w:rsidP="00AD486D">
            <w:pPr>
              <w:pStyle w:val="TableBody"/>
              <w:rPr>
                <w:i/>
                <w:noProof/>
              </w:rPr>
            </w:pPr>
            <w:r w:rsidRPr="00AD486D">
              <w:rPr>
                <w:i/>
              </w:rPr>
              <w:t>Real-Time Energy Offer Curve Cost</w:t>
            </w:r>
            <w:r w:rsidR="00AD486D">
              <w:t>—</w:t>
            </w:r>
            <w:r w:rsidRPr="009716C5">
              <w:t xml:space="preserve">The Energy Offer Curve Cost for Resource </w:t>
            </w:r>
            <w:r w:rsidRPr="00F67BF3">
              <w:rPr>
                <w:i/>
              </w:rPr>
              <w:t>r</w:t>
            </w:r>
            <w:r w:rsidRPr="009716C5">
              <w:t xml:space="preserve"> represented by QSE </w:t>
            </w:r>
            <w:r w:rsidRPr="00F67BF3">
              <w:rPr>
                <w:i/>
              </w:rPr>
              <w:t>q</w:t>
            </w:r>
            <w:r w:rsidRPr="009716C5">
              <w:t xml:space="preserve">, for the Resource’s generation above the LSL for the Settlement Interval </w:t>
            </w:r>
            <w:r w:rsidRPr="00F67BF3">
              <w:rPr>
                <w:i/>
              </w:rPr>
              <w:t>i</w:t>
            </w:r>
            <w:r w:rsidRPr="009716C5">
              <w:t xml:space="preserve">.  See Section 4.4.9.3.3, Energy Offer Curve Costs.  Where for a Combined Cycle Train, the Resource </w:t>
            </w:r>
            <w:r w:rsidRPr="00F67BF3">
              <w:rPr>
                <w:i/>
              </w:rPr>
              <w:t>r</w:t>
            </w:r>
            <w:r w:rsidRPr="009716C5">
              <w:t xml:space="preserve"> is the Combined Cycle Train.</w:t>
            </w:r>
          </w:p>
        </w:tc>
      </w:tr>
      <w:tr w:rsidR="001F04FD" w14:paraId="386434FB"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69ECE456" w14:textId="77777777" w:rsidR="001F04FD" w:rsidRDefault="001F04FD" w:rsidP="00AC4DEE">
            <w:pPr>
              <w:pStyle w:val="TableBody"/>
            </w:pPr>
            <w:r>
              <w:t xml:space="preserve">HSL </w:t>
            </w:r>
            <w:r w:rsidRPr="00E15B17">
              <w:rPr>
                <w:i/>
                <w:vertAlign w:val="subscript"/>
              </w:rPr>
              <w:t>q,  r</w:t>
            </w:r>
          </w:p>
        </w:tc>
        <w:tc>
          <w:tcPr>
            <w:tcW w:w="460" w:type="pct"/>
            <w:tcBorders>
              <w:top w:val="single" w:sz="4" w:space="0" w:color="auto"/>
              <w:left w:val="single" w:sz="4" w:space="0" w:color="auto"/>
              <w:bottom w:val="single" w:sz="4" w:space="0" w:color="auto"/>
              <w:right w:val="single" w:sz="4" w:space="0" w:color="auto"/>
            </w:tcBorders>
          </w:tcPr>
          <w:p w14:paraId="4000A1CA" w14:textId="77777777" w:rsidR="001F04FD" w:rsidRDefault="001F04FD" w:rsidP="00AC4DEE">
            <w:pPr>
              <w:pStyle w:val="TableBody"/>
            </w:pPr>
            <w:r>
              <w:t>MW</w:t>
            </w:r>
          </w:p>
        </w:tc>
        <w:tc>
          <w:tcPr>
            <w:tcW w:w="3717" w:type="pct"/>
            <w:tcBorders>
              <w:top w:val="single" w:sz="4" w:space="0" w:color="auto"/>
              <w:left w:val="single" w:sz="4" w:space="0" w:color="auto"/>
              <w:bottom w:val="single" w:sz="4" w:space="0" w:color="auto"/>
              <w:right w:val="single" w:sz="4" w:space="0" w:color="auto"/>
            </w:tcBorders>
          </w:tcPr>
          <w:p w14:paraId="734BA775" w14:textId="77777777" w:rsidR="001F04FD" w:rsidRDefault="001F04FD" w:rsidP="00AC4DEE">
            <w:pPr>
              <w:pStyle w:val="TableBody"/>
            </w:pPr>
            <w:r>
              <w:rPr>
                <w:i/>
              </w:rPr>
              <w:t>High Sustained Limit Generation per QSE per Settlement Point per Resource</w:t>
            </w:r>
            <w:r>
              <w:t xml:space="preserve">—The HSL of Generation Resource </w:t>
            </w:r>
            <w:r w:rsidRPr="00D661BC">
              <w:rPr>
                <w:i/>
              </w:rPr>
              <w:t>r</w:t>
            </w:r>
            <w:r>
              <w:t xml:space="preserve"> represented by QSE </w:t>
            </w:r>
            <w:r>
              <w:rPr>
                <w:i/>
              </w:rPr>
              <w:t>q</w:t>
            </w:r>
            <w:r>
              <w:t xml:space="preserve"> at Resource Node </w:t>
            </w:r>
            <w:r w:rsidRPr="00AD486D">
              <w:rPr>
                <w:i/>
              </w:rPr>
              <w:t xml:space="preserve">p </w:t>
            </w:r>
            <w:r>
              <w:t xml:space="preserve">for the hour that includes the 15-minute Settlement Interval.  Where for a combined cycle resource, </w:t>
            </w:r>
            <w:r w:rsidRPr="00590ADB">
              <w:rPr>
                <w:i/>
              </w:rPr>
              <w:t>r</w:t>
            </w:r>
            <w:r>
              <w:t xml:space="preserve"> is a Combined Cycle Generation Resource.</w:t>
            </w:r>
          </w:p>
        </w:tc>
      </w:tr>
      <w:tr w:rsidR="001F04FD" w14:paraId="34C4657C"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77515639" w14:textId="77777777" w:rsidR="001F04FD" w:rsidRDefault="001F04FD" w:rsidP="00AC4DEE">
            <w:pPr>
              <w:pStyle w:val="TableBody"/>
            </w:pPr>
            <w:r>
              <w:t xml:space="preserve">LSL </w:t>
            </w:r>
            <w:r w:rsidRPr="00E15B17">
              <w:rPr>
                <w:i/>
                <w:vertAlign w:val="subscript"/>
              </w:rPr>
              <w:t>q,  r</w:t>
            </w:r>
          </w:p>
        </w:tc>
        <w:tc>
          <w:tcPr>
            <w:tcW w:w="460" w:type="pct"/>
            <w:tcBorders>
              <w:top w:val="single" w:sz="4" w:space="0" w:color="auto"/>
              <w:left w:val="single" w:sz="4" w:space="0" w:color="auto"/>
              <w:bottom w:val="single" w:sz="4" w:space="0" w:color="auto"/>
              <w:right w:val="single" w:sz="4" w:space="0" w:color="auto"/>
            </w:tcBorders>
          </w:tcPr>
          <w:p w14:paraId="0665CF22" w14:textId="77777777" w:rsidR="001F04FD" w:rsidRDefault="001F04FD" w:rsidP="00AC4DEE">
            <w:pPr>
              <w:pStyle w:val="TableBody"/>
            </w:pPr>
            <w:r>
              <w:t>MW</w:t>
            </w:r>
          </w:p>
        </w:tc>
        <w:tc>
          <w:tcPr>
            <w:tcW w:w="3717" w:type="pct"/>
            <w:tcBorders>
              <w:top w:val="single" w:sz="4" w:space="0" w:color="auto"/>
              <w:left w:val="single" w:sz="4" w:space="0" w:color="auto"/>
              <w:bottom w:val="single" w:sz="4" w:space="0" w:color="auto"/>
              <w:right w:val="single" w:sz="4" w:space="0" w:color="auto"/>
            </w:tcBorders>
          </w:tcPr>
          <w:p w14:paraId="0AC7F9BC" w14:textId="77777777" w:rsidR="001F04FD" w:rsidRDefault="001F04FD" w:rsidP="00AC4DEE">
            <w:pPr>
              <w:pStyle w:val="TableBody"/>
            </w:pPr>
            <w:r>
              <w:rPr>
                <w:i/>
              </w:rPr>
              <w:t>Low Sustained Limit Generation per QSE per Settlement Point per Resource</w:t>
            </w:r>
            <w:r>
              <w:t xml:space="preserve">—The LSL of Generation Resource </w:t>
            </w:r>
            <w:r w:rsidRPr="00D661BC">
              <w:rPr>
                <w:i/>
              </w:rPr>
              <w:t>r</w:t>
            </w:r>
            <w:r>
              <w:t xml:space="preserve"> represented by QSE </w:t>
            </w:r>
            <w:r>
              <w:rPr>
                <w:i/>
              </w:rPr>
              <w:t>q</w:t>
            </w:r>
            <w:r>
              <w:t xml:space="preserve"> at Resource Node </w:t>
            </w:r>
            <w:r w:rsidRPr="00AD486D">
              <w:rPr>
                <w:i/>
              </w:rPr>
              <w:t xml:space="preserve">p </w:t>
            </w:r>
            <w:r>
              <w:t xml:space="preserve">for the hour that includes the 15-minute Settlement Interval.  Where for a combined cycle resource, </w:t>
            </w:r>
            <w:r w:rsidRPr="00590ADB">
              <w:rPr>
                <w:i/>
              </w:rPr>
              <w:t>r</w:t>
            </w:r>
            <w:r>
              <w:t xml:space="preserve"> is a Combined Cycle Generation Resource.</w:t>
            </w:r>
          </w:p>
        </w:tc>
      </w:tr>
      <w:tr w:rsidR="001F04FD" w14:paraId="0494C9A3"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6D7604C2" w14:textId="77777777" w:rsidR="001F04FD" w:rsidRPr="0072643D" w:rsidRDefault="001F04FD" w:rsidP="00AC4DEE">
            <w:pPr>
              <w:pStyle w:val="TableBody"/>
              <w:rPr>
                <w:i/>
              </w:rPr>
            </w:pPr>
            <w:r w:rsidRPr="00D661BC">
              <w:rPr>
                <w:i/>
              </w:rPr>
              <w:t>q</w:t>
            </w:r>
          </w:p>
        </w:tc>
        <w:tc>
          <w:tcPr>
            <w:tcW w:w="460" w:type="pct"/>
            <w:tcBorders>
              <w:top w:val="single" w:sz="4" w:space="0" w:color="auto"/>
              <w:left w:val="single" w:sz="4" w:space="0" w:color="auto"/>
              <w:bottom w:val="single" w:sz="4" w:space="0" w:color="auto"/>
              <w:right w:val="single" w:sz="4" w:space="0" w:color="auto"/>
            </w:tcBorders>
          </w:tcPr>
          <w:p w14:paraId="63A187F3" w14:textId="77777777" w:rsidR="001F04FD" w:rsidRDefault="001F04FD" w:rsidP="00AC4DEE">
            <w:pPr>
              <w:pStyle w:val="TableBody"/>
            </w:pPr>
            <w:r>
              <w:t>none</w:t>
            </w:r>
          </w:p>
        </w:tc>
        <w:tc>
          <w:tcPr>
            <w:tcW w:w="3717" w:type="pct"/>
            <w:tcBorders>
              <w:top w:val="single" w:sz="4" w:space="0" w:color="auto"/>
              <w:left w:val="single" w:sz="4" w:space="0" w:color="auto"/>
              <w:bottom w:val="single" w:sz="4" w:space="0" w:color="auto"/>
              <w:right w:val="single" w:sz="4" w:space="0" w:color="auto"/>
            </w:tcBorders>
          </w:tcPr>
          <w:p w14:paraId="46E970AF" w14:textId="77777777" w:rsidR="001F04FD" w:rsidRDefault="001F04FD" w:rsidP="00AC4DEE">
            <w:pPr>
              <w:pStyle w:val="TableBody"/>
              <w:rPr>
                <w:i/>
                <w:iCs w:val="0"/>
              </w:rPr>
            </w:pPr>
            <w:r>
              <w:t>A QSE.</w:t>
            </w:r>
          </w:p>
        </w:tc>
      </w:tr>
      <w:tr w:rsidR="001F04FD" w14:paraId="70CD51DC"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5B082072" w14:textId="77777777" w:rsidR="001F04FD" w:rsidRPr="0072643D" w:rsidRDefault="001F04FD" w:rsidP="00AC4DEE">
            <w:pPr>
              <w:pStyle w:val="TableBody"/>
              <w:rPr>
                <w:i/>
              </w:rPr>
            </w:pPr>
            <w:r w:rsidRPr="00D661BC">
              <w:rPr>
                <w:i/>
              </w:rPr>
              <w:t>r</w:t>
            </w:r>
          </w:p>
        </w:tc>
        <w:tc>
          <w:tcPr>
            <w:tcW w:w="460" w:type="pct"/>
            <w:tcBorders>
              <w:top w:val="single" w:sz="4" w:space="0" w:color="auto"/>
              <w:left w:val="single" w:sz="4" w:space="0" w:color="auto"/>
              <w:bottom w:val="single" w:sz="4" w:space="0" w:color="auto"/>
              <w:right w:val="single" w:sz="4" w:space="0" w:color="auto"/>
            </w:tcBorders>
          </w:tcPr>
          <w:p w14:paraId="61D19206" w14:textId="77777777" w:rsidR="001F04FD" w:rsidRDefault="001F04FD" w:rsidP="00AC4DEE">
            <w:pPr>
              <w:pStyle w:val="TableBody"/>
            </w:pPr>
            <w:r>
              <w:t>none</w:t>
            </w:r>
          </w:p>
        </w:tc>
        <w:tc>
          <w:tcPr>
            <w:tcW w:w="3717" w:type="pct"/>
            <w:tcBorders>
              <w:top w:val="single" w:sz="4" w:space="0" w:color="auto"/>
              <w:left w:val="single" w:sz="4" w:space="0" w:color="auto"/>
              <w:bottom w:val="single" w:sz="4" w:space="0" w:color="auto"/>
              <w:right w:val="single" w:sz="4" w:space="0" w:color="auto"/>
            </w:tcBorders>
          </w:tcPr>
          <w:p w14:paraId="3FDBDD80" w14:textId="77777777" w:rsidR="001F04FD" w:rsidRDefault="001F04FD" w:rsidP="00AC4DEE">
            <w:pPr>
              <w:pStyle w:val="TableBody"/>
              <w:rPr>
                <w:i/>
                <w:iCs w:val="0"/>
              </w:rPr>
            </w:pPr>
            <w:r>
              <w:t>A Generation Resource.</w:t>
            </w:r>
          </w:p>
        </w:tc>
      </w:tr>
      <w:tr w:rsidR="001F04FD" w14:paraId="6EBA0532"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0FCA6760" w14:textId="77777777" w:rsidR="001F04FD" w:rsidRPr="0072643D" w:rsidRDefault="001F04FD" w:rsidP="00AC4DEE">
            <w:pPr>
              <w:pStyle w:val="TableBody"/>
              <w:rPr>
                <w:i/>
              </w:rPr>
            </w:pPr>
            <w:r w:rsidRPr="00D661BC">
              <w:rPr>
                <w:i/>
              </w:rPr>
              <w:t>p</w:t>
            </w:r>
          </w:p>
        </w:tc>
        <w:tc>
          <w:tcPr>
            <w:tcW w:w="460" w:type="pct"/>
            <w:tcBorders>
              <w:top w:val="single" w:sz="4" w:space="0" w:color="auto"/>
              <w:left w:val="single" w:sz="4" w:space="0" w:color="auto"/>
              <w:bottom w:val="single" w:sz="4" w:space="0" w:color="auto"/>
              <w:right w:val="single" w:sz="4" w:space="0" w:color="auto"/>
            </w:tcBorders>
          </w:tcPr>
          <w:p w14:paraId="62EC8A7D" w14:textId="77777777" w:rsidR="001F04FD" w:rsidRDefault="001F04FD" w:rsidP="00AC4DEE">
            <w:pPr>
              <w:pStyle w:val="TableBody"/>
            </w:pPr>
            <w:r>
              <w:t>none</w:t>
            </w:r>
          </w:p>
        </w:tc>
        <w:tc>
          <w:tcPr>
            <w:tcW w:w="3717" w:type="pct"/>
            <w:tcBorders>
              <w:top w:val="single" w:sz="4" w:space="0" w:color="auto"/>
              <w:left w:val="single" w:sz="4" w:space="0" w:color="auto"/>
              <w:bottom w:val="single" w:sz="4" w:space="0" w:color="auto"/>
              <w:right w:val="single" w:sz="4" w:space="0" w:color="auto"/>
            </w:tcBorders>
          </w:tcPr>
          <w:p w14:paraId="2789DB97" w14:textId="77777777" w:rsidR="001F04FD" w:rsidRDefault="001F04FD" w:rsidP="00AC4DEE">
            <w:pPr>
              <w:pStyle w:val="TableBody"/>
            </w:pPr>
            <w:r>
              <w:t>A Resource Node Settlement Point.</w:t>
            </w:r>
          </w:p>
        </w:tc>
      </w:tr>
    </w:tbl>
    <w:p w14:paraId="71664B18" w14:textId="77777777" w:rsidR="001F04FD" w:rsidRDefault="001F04FD" w:rsidP="001F04FD">
      <w:pPr>
        <w:pStyle w:val="BodyTextNumbered"/>
        <w:spacing w:after="0"/>
      </w:pPr>
    </w:p>
    <w:p w14:paraId="7C5BC257" w14:textId="77777777" w:rsidR="001F04FD" w:rsidRDefault="001F04FD" w:rsidP="001F04FD">
      <w:pPr>
        <w:pStyle w:val="BodyTextNumbered"/>
      </w:pPr>
      <w:bookmarkStart w:id="2429" w:name="_Toc109009414"/>
      <w:bookmarkStart w:id="2430" w:name="_Toc87951810"/>
      <w:r>
        <w:t>(5)</w:t>
      </w:r>
      <w:r>
        <w:tab/>
        <w:t>The total of the payments to each QSE for ERCOT-directed power reduction to provide VSS for a given 15-minute Settlement Interval is calculated as follows:</w:t>
      </w:r>
    </w:p>
    <w:p w14:paraId="673B6FBA" w14:textId="26345DCE" w:rsidR="001F04FD" w:rsidRDefault="001F04FD" w:rsidP="001F04FD">
      <w:pPr>
        <w:pStyle w:val="FormulaBold"/>
      </w:pPr>
      <w:r>
        <w:t xml:space="preserve">VSSEAMTQSETOT </w:t>
      </w:r>
      <w:r>
        <w:rPr>
          <w:i/>
          <w:vertAlign w:val="subscript"/>
        </w:rPr>
        <w:t>q</w:t>
      </w:r>
      <w:r>
        <w:tab/>
        <w:t>=</w:t>
      </w:r>
      <w:r>
        <w:tab/>
      </w:r>
      <w:r w:rsidRPr="006F784F">
        <w:rPr>
          <w:position w:val="-28"/>
        </w:rPr>
        <w:object w:dxaOrig="465" w:dyaOrig="675" w14:anchorId="666D20F2">
          <v:shape id="_x0000_i1229" type="#_x0000_t75" style="width:24.6pt;height:36.6pt" o:ole="">
            <v:imagedata r:id="rId280" o:title=""/>
          </v:shape>
          <o:OLEObject Type="Embed" ProgID="Equation.3" ShapeID="_x0000_i1229" DrawAspect="Content" ObjectID="_1815025418" r:id="rId282"/>
        </w:object>
      </w:r>
      <w:r>
        <w:t xml:space="preserve">VSSEAMT </w:t>
      </w:r>
      <w:r>
        <w:rPr>
          <w:i/>
          <w:vertAlign w:val="subscript"/>
        </w:rPr>
        <w:t>q</w:t>
      </w:r>
      <w:r>
        <w:rPr>
          <w:b w:val="0"/>
          <w:i/>
          <w:vertAlign w:val="subscript"/>
        </w:rPr>
        <w:t>,</w:t>
      </w:r>
      <w:r w:rsidR="00AD486D">
        <w:rPr>
          <w:b w:val="0"/>
          <w:i/>
          <w:vertAlign w:val="subscript"/>
        </w:rPr>
        <w:t xml:space="preserve"> </w:t>
      </w:r>
      <w:r w:rsidRPr="00AD486D">
        <w:rPr>
          <w:b w:val="0"/>
          <w:i/>
          <w:vertAlign w:val="subscript"/>
        </w:rPr>
        <w:t>r</w:t>
      </w:r>
    </w:p>
    <w:p w14:paraId="6E3A109A"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858"/>
        <w:gridCol w:w="6261"/>
      </w:tblGrid>
      <w:tr w:rsidR="001F04FD" w14:paraId="62129FDD" w14:textId="77777777" w:rsidTr="00AC4DEE">
        <w:trPr>
          <w:cantSplit/>
          <w:tblHeader/>
        </w:trPr>
        <w:tc>
          <w:tcPr>
            <w:tcW w:w="1193" w:type="pct"/>
          </w:tcPr>
          <w:p w14:paraId="449BE293" w14:textId="77777777" w:rsidR="001F04FD" w:rsidRDefault="001F04FD" w:rsidP="00AC4DEE">
            <w:pPr>
              <w:pStyle w:val="TableHead"/>
            </w:pPr>
            <w:r>
              <w:t>Variable</w:t>
            </w:r>
          </w:p>
        </w:tc>
        <w:tc>
          <w:tcPr>
            <w:tcW w:w="459" w:type="pct"/>
          </w:tcPr>
          <w:p w14:paraId="2B4FFA58" w14:textId="77777777" w:rsidR="001F04FD" w:rsidRDefault="001F04FD" w:rsidP="00AC4DEE">
            <w:pPr>
              <w:pStyle w:val="TableHead"/>
            </w:pPr>
            <w:r>
              <w:t>Unit</w:t>
            </w:r>
          </w:p>
        </w:tc>
        <w:tc>
          <w:tcPr>
            <w:tcW w:w="3348" w:type="pct"/>
          </w:tcPr>
          <w:p w14:paraId="3643CCC0" w14:textId="77777777" w:rsidR="001F04FD" w:rsidRDefault="001F04FD" w:rsidP="00AC4DEE">
            <w:pPr>
              <w:pStyle w:val="TableHead"/>
            </w:pPr>
            <w:r>
              <w:t>Definition</w:t>
            </w:r>
          </w:p>
        </w:tc>
      </w:tr>
      <w:tr w:rsidR="001F04FD" w14:paraId="0D04CF52" w14:textId="77777777" w:rsidTr="00AC4DEE">
        <w:trPr>
          <w:cantSplit/>
        </w:trPr>
        <w:tc>
          <w:tcPr>
            <w:tcW w:w="1193" w:type="pct"/>
          </w:tcPr>
          <w:p w14:paraId="7F8BD160" w14:textId="77777777" w:rsidR="001F04FD" w:rsidRDefault="001F04FD" w:rsidP="00AC4DEE">
            <w:pPr>
              <w:pStyle w:val="TableBody"/>
            </w:pPr>
            <w:r>
              <w:t xml:space="preserve">VSSEAMTQSETOT </w:t>
            </w:r>
            <w:r w:rsidRPr="00E15B17">
              <w:rPr>
                <w:i/>
                <w:vertAlign w:val="subscript"/>
              </w:rPr>
              <w:t>q</w:t>
            </w:r>
          </w:p>
        </w:tc>
        <w:tc>
          <w:tcPr>
            <w:tcW w:w="459" w:type="pct"/>
          </w:tcPr>
          <w:p w14:paraId="31EC45E3" w14:textId="77777777" w:rsidR="001F04FD" w:rsidRDefault="001F04FD" w:rsidP="00AC4DEE">
            <w:pPr>
              <w:pStyle w:val="TableBody"/>
            </w:pPr>
            <w:r>
              <w:t>$</w:t>
            </w:r>
          </w:p>
        </w:tc>
        <w:tc>
          <w:tcPr>
            <w:tcW w:w="3348" w:type="pct"/>
          </w:tcPr>
          <w:p w14:paraId="5041F29A" w14:textId="77777777" w:rsidR="001F04FD" w:rsidRDefault="001F04FD" w:rsidP="00AC4DEE">
            <w:pPr>
              <w:pStyle w:val="TableBody"/>
            </w:pPr>
            <w:r>
              <w:rPr>
                <w:i/>
              </w:rPr>
              <w:t>Voltage Support Service Lost Opportunity Amount QSE Total per QSE</w:t>
            </w:r>
            <w:r>
              <w:sym w:font="Symbol" w:char="F0BE"/>
            </w:r>
            <w:r>
              <w:t xml:space="preserve">The total of the lost opportunity payments to QSE </w:t>
            </w:r>
            <w:r>
              <w:rPr>
                <w:i/>
              </w:rPr>
              <w:t>q</w:t>
            </w:r>
            <w:r>
              <w:t xml:space="preserve"> for providing VSS for providing ERCOT-directed VSS for the 15-minute Settlement Interval.</w:t>
            </w:r>
          </w:p>
        </w:tc>
      </w:tr>
      <w:tr w:rsidR="001F04FD" w14:paraId="7CBB4818" w14:textId="77777777" w:rsidTr="00AC4DEE">
        <w:trPr>
          <w:cantSplit/>
        </w:trPr>
        <w:tc>
          <w:tcPr>
            <w:tcW w:w="1193" w:type="pct"/>
          </w:tcPr>
          <w:p w14:paraId="0C923A4F" w14:textId="77777777" w:rsidR="001F04FD" w:rsidRDefault="001F04FD" w:rsidP="00AC4DEE">
            <w:pPr>
              <w:pStyle w:val="TableBody"/>
            </w:pPr>
            <w:r>
              <w:t xml:space="preserve">VSSEAMT </w:t>
            </w:r>
            <w:r w:rsidRPr="00E15B17">
              <w:rPr>
                <w:i/>
                <w:vertAlign w:val="subscript"/>
              </w:rPr>
              <w:t>q, r</w:t>
            </w:r>
          </w:p>
        </w:tc>
        <w:tc>
          <w:tcPr>
            <w:tcW w:w="459" w:type="pct"/>
          </w:tcPr>
          <w:p w14:paraId="60D3A10B" w14:textId="77777777" w:rsidR="001F04FD" w:rsidRDefault="001F04FD" w:rsidP="00AC4DEE">
            <w:pPr>
              <w:pStyle w:val="TableBody"/>
            </w:pPr>
            <w:r>
              <w:t>$</w:t>
            </w:r>
          </w:p>
        </w:tc>
        <w:tc>
          <w:tcPr>
            <w:tcW w:w="3348" w:type="pct"/>
          </w:tcPr>
          <w:p w14:paraId="31D6139D" w14:textId="77777777" w:rsidR="001F04FD" w:rsidRDefault="001F04FD" w:rsidP="00AC4DEE">
            <w:pPr>
              <w:pStyle w:val="TableBody"/>
            </w:pPr>
            <w:r>
              <w:rPr>
                <w:i/>
              </w:rPr>
              <w:t>Voltage Support Service Energy Amount per QSE per Settlement Point per Generation Resource</w:t>
            </w:r>
            <w:r>
              <w:t xml:space="preserve">—The lost opportunity payment to QSE </w:t>
            </w:r>
            <w:r>
              <w:rPr>
                <w:i/>
              </w:rPr>
              <w:t>q</w:t>
            </w:r>
            <w:r>
              <w:t xml:space="preserve"> for ERCOT-directed VSS from Generation Resource </w:t>
            </w:r>
            <w:r w:rsidRPr="00D661BC">
              <w:rPr>
                <w:i/>
              </w:rPr>
              <w:t>r</w:t>
            </w:r>
            <w:r>
              <w:t xml:space="preserve"> for the 15-minute Settlement Interval for the 15-minute Settlement Interval.  Where for a combined cycle resource, </w:t>
            </w:r>
            <w:r w:rsidRPr="00590ADB">
              <w:rPr>
                <w:i/>
              </w:rPr>
              <w:t>r</w:t>
            </w:r>
            <w:r>
              <w:t xml:space="preserve"> is a Combined Cycle Train.</w:t>
            </w:r>
          </w:p>
        </w:tc>
      </w:tr>
      <w:tr w:rsidR="001F04FD" w14:paraId="3D4E0C92" w14:textId="77777777" w:rsidTr="00AC4DEE">
        <w:trPr>
          <w:cantSplit/>
        </w:trPr>
        <w:tc>
          <w:tcPr>
            <w:tcW w:w="1193" w:type="pct"/>
            <w:tcBorders>
              <w:top w:val="single" w:sz="4" w:space="0" w:color="auto"/>
              <w:left w:val="single" w:sz="4" w:space="0" w:color="auto"/>
              <w:bottom w:val="single" w:sz="4" w:space="0" w:color="auto"/>
              <w:right w:val="single" w:sz="4" w:space="0" w:color="auto"/>
            </w:tcBorders>
          </w:tcPr>
          <w:p w14:paraId="37C9CDA9" w14:textId="77777777" w:rsidR="001F04FD" w:rsidRPr="0072643D" w:rsidRDefault="001F04FD" w:rsidP="00AC4DEE">
            <w:pPr>
              <w:pStyle w:val="TableBody"/>
              <w:rPr>
                <w:i/>
              </w:rPr>
            </w:pPr>
            <w:r w:rsidRPr="00D661BC">
              <w:rPr>
                <w:i/>
              </w:rPr>
              <w:t>q</w:t>
            </w:r>
          </w:p>
        </w:tc>
        <w:tc>
          <w:tcPr>
            <w:tcW w:w="459" w:type="pct"/>
            <w:tcBorders>
              <w:top w:val="single" w:sz="4" w:space="0" w:color="auto"/>
              <w:left w:val="single" w:sz="4" w:space="0" w:color="auto"/>
              <w:bottom w:val="single" w:sz="4" w:space="0" w:color="auto"/>
              <w:right w:val="single" w:sz="4" w:space="0" w:color="auto"/>
            </w:tcBorders>
          </w:tcPr>
          <w:p w14:paraId="53E3997F" w14:textId="77777777" w:rsidR="001F04FD" w:rsidRDefault="001F04FD" w:rsidP="00AC4DEE">
            <w:pPr>
              <w:pStyle w:val="TableBody"/>
            </w:pPr>
            <w:r>
              <w:t>none</w:t>
            </w:r>
          </w:p>
        </w:tc>
        <w:tc>
          <w:tcPr>
            <w:tcW w:w="3348" w:type="pct"/>
            <w:tcBorders>
              <w:top w:val="single" w:sz="4" w:space="0" w:color="auto"/>
              <w:left w:val="single" w:sz="4" w:space="0" w:color="auto"/>
              <w:bottom w:val="single" w:sz="4" w:space="0" w:color="auto"/>
              <w:right w:val="single" w:sz="4" w:space="0" w:color="auto"/>
            </w:tcBorders>
          </w:tcPr>
          <w:p w14:paraId="5D847374" w14:textId="77777777" w:rsidR="001F04FD" w:rsidRDefault="001F04FD" w:rsidP="00AC4DEE">
            <w:pPr>
              <w:pStyle w:val="TableBody"/>
            </w:pPr>
            <w:r>
              <w:t>A QSE.</w:t>
            </w:r>
          </w:p>
        </w:tc>
      </w:tr>
      <w:tr w:rsidR="001F04FD" w14:paraId="458649B8" w14:textId="77777777" w:rsidTr="00AC4DEE">
        <w:trPr>
          <w:cantSplit/>
        </w:trPr>
        <w:tc>
          <w:tcPr>
            <w:tcW w:w="1193" w:type="pct"/>
            <w:tcBorders>
              <w:top w:val="single" w:sz="4" w:space="0" w:color="auto"/>
              <w:left w:val="single" w:sz="4" w:space="0" w:color="auto"/>
              <w:bottom w:val="single" w:sz="4" w:space="0" w:color="auto"/>
              <w:right w:val="single" w:sz="4" w:space="0" w:color="auto"/>
            </w:tcBorders>
          </w:tcPr>
          <w:p w14:paraId="7645184C" w14:textId="77777777" w:rsidR="001F04FD" w:rsidRPr="0072643D" w:rsidRDefault="001F04FD" w:rsidP="00AC4DEE">
            <w:pPr>
              <w:pStyle w:val="TableBody"/>
              <w:rPr>
                <w:i/>
              </w:rPr>
            </w:pPr>
            <w:r w:rsidRPr="00D661BC">
              <w:rPr>
                <w:i/>
              </w:rPr>
              <w:t>r</w:t>
            </w:r>
          </w:p>
        </w:tc>
        <w:tc>
          <w:tcPr>
            <w:tcW w:w="459" w:type="pct"/>
            <w:tcBorders>
              <w:top w:val="single" w:sz="4" w:space="0" w:color="auto"/>
              <w:left w:val="single" w:sz="4" w:space="0" w:color="auto"/>
              <w:bottom w:val="single" w:sz="4" w:space="0" w:color="auto"/>
              <w:right w:val="single" w:sz="4" w:space="0" w:color="auto"/>
            </w:tcBorders>
          </w:tcPr>
          <w:p w14:paraId="53C224F4" w14:textId="77777777" w:rsidR="001F04FD" w:rsidRDefault="001F04FD" w:rsidP="00AC4DEE">
            <w:pPr>
              <w:pStyle w:val="TableBody"/>
            </w:pPr>
            <w:r>
              <w:t>none</w:t>
            </w:r>
          </w:p>
        </w:tc>
        <w:tc>
          <w:tcPr>
            <w:tcW w:w="3348" w:type="pct"/>
            <w:tcBorders>
              <w:top w:val="single" w:sz="4" w:space="0" w:color="auto"/>
              <w:left w:val="single" w:sz="4" w:space="0" w:color="auto"/>
              <w:bottom w:val="single" w:sz="4" w:space="0" w:color="auto"/>
              <w:right w:val="single" w:sz="4" w:space="0" w:color="auto"/>
            </w:tcBorders>
          </w:tcPr>
          <w:p w14:paraId="5A107C88" w14:textId="77777777" w:rsidR="001F04FD" w:rsidRDefault="001F04FD" w:rsidP="00AC4DEE">
            <w:pPr>
              <w:pStyle w:val="TableBody"/>
            </w:pPr>
            <w:r>
              <w:t>A Generation Resource.</w:t>
            </w:r>
          </w:p>
        </w:tc>
      </w:tr>
    </w:tbl>
    <w:p w14:paraId="4BC6E94A" w14:textId="77777777" w:rsidR="001F04FD" w:rsidRDefault="001F04FD" w:rsidP="001F04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01F04" w14:paraId="62D8A53F" w14:textId="77777777" w:rsidTr="00C952ED">
        <w:trPr>
          <w:trHeight w:val="206"/>
        </w:trPr>
        <w:tc>
          <w:tcPr>
            <w:tcW w:w="9576" w:type="dxa"/>
            <w:shd w:val="pct12" w:color="auto" w:fill="auto"/>
          </w:tcPr>
          <w:p w14:paraId="1A46AC86" w14:textId="12063B67" w:rsidR="00001F04" w:rsidRDefault="00001F04" w:rsidP="00C952ED">
            <w:pPr>
              <w:pStyle w:val="Instructions"/>
              <w:spacing w:before="120"/>
            </w:pPr>
            <w:bookmarkStart w:id="2431" w:name="_Toc397505034"/>
            <w:bookmarkStart w:id="2432" w:name="_Toc402357166"/>
            <w:bookmarkStart w:id="2433" w:name="_Toc422486546"/>
            <w:bookmarkStart w:id="2434" w:name="_Toc433093399"/>
            <w:bookmarkStart w:id="2435" w:name="_Toc433093557"/>
            <w:bookmarkStart w:id="2436" w:name="_Toc440874787"/>
            <w:bookmarkStart w:id="2437" w:name="_Toc448142344"/>
            <w:bookmarkStart w:id="2438" w:name="_Toc448142501"/>
            <w:bookmarkStart w:id="2439" w:name="_Toc458770342"/>
            <w:bookmarkStart w:id="2440" w:name="_Toc459294310"/>
            <w:bookmarkStart w:id="2441" w:name="_Toc463262804"/>
            <w:bookmarkStart w:id="2442" w:name="_Toc468286877"/>
            <w:bookmarkStart w:id="2443" w:name="_Toc481502917"/>
            <w:bookmarkStart w:id="2444" w:name="_Toc496080085"/>
            <w:r>
              <w:lastRenderedPageBreak/>
              <w:t>[NPRR1014</w:t>
            </w:r>
            <w:r w:rsidR="008152FC">
              <w:t xml:space="preserve"> and NPRR1246</w:t>
            </w:r>
            <w:r>
              <w:t>:  Replace Section 6.6.7.1 above with the following upon system implementation</w:t>
            </w:r>
            <w:r w:rsidR="008152FC">
              <w:t xml:space="preserve"> for NPRR1014; or upon system implementation of the Real-Time Co-Optimization (RTC) project for NPRR1246</w:t>
            </w:r>
            <w:r>
              <w:t>:]</w:t>
            </w:r>
          </w:p>
          <w:p w14:paraId="246BF955" w14:textId="77777777" w:rsidR="00001F04" w:rsidRPr="00A552C3" w:rsidRDefault="00001F04" w:rsidP="00001F04">
            <w:pPr>
              <w:keepNext/>
              <w:widowControl w:val="0"/>
              <w:tabs>
                <w:tab w:val="left" w:pos="1260"/>
              </w:tabs>
              <w:spacing w:before="240" w:after="240"/>
              <w:ind w:left="1260" w:hanging="1260"/>
              <w:outlineLvl w:val="3"/>
              <w:rPr>
                <w:b/>
                <w:bCs/>
                <w:snapToGrid w:val="0"/>
              </w:rPr>
            </w:pPr>
            <w:bookmarkStart w:id="2445" w:name="_Toc60040722"/>
            <w:bookmarkStart w:id="2446" w:name="_Toc65151781"/>
            <w:bookmarkStart w:id="2447" w:name="_Toc80174807"/>
            <w:bookmarkStart w:id="2448" w:name="_Toc112417687"/>
            <w:bookmarkStart w:id="2449" w:name="_Toc119310356"/>
            <w:bookmarkStart w:id="2450" w:name="_Toc125966289"/>
            <w:bookmarkStart w:id="2451" w:name="_Toc135992387"/>
            <w:bookmarkStart w:id="2452" w:name="_Toc170303583"/>
            <w:bookmarkStart w:id="2453" w:name="_Toc175157487"/>
            <w:bookmarkStart w:id="2454" w:name="_Toc204411716"/>
            <w:r w:rsidRPr="00A552C3">
              <w:rPr>
                <w:b/>
                <w:bCs/>
                <w:snapToGrid w:val="0"/>
              </w:rPr>
              <w:t>6.6.7.1</w:t>
            </w:r>
            <w:r w:rsidRPr="00A552C3">
              <w:rPr>
                <w:b/>
                <w:bCs/>
                <w:snapToGrid w:val="0"/>
              </w:rPr>
              <w:tab/>
              <w:t>Voltage Support Service Payments</w:t>
            </w:r>
            <w:bookmarkEnd w:id="2445"/>
            <w:bookmarkEnd w:id="2446"/>
            <w:bookmarkEnd w:id="2447"/>
            <w:bookmarkEnd w:id="2448"/>
            <w:bookmarkEnd w:id="2449"/>
            <w:bookmarkEnd w:id="2450"/>
            <w:bookmarkEnd w:id="2451"/>
            <w:bookmarkEnd w:id="2452"/>
            <w:bookmarkEnd w:id="2453"/>
            <w:bookmarkEnd w:id="2454"/>
            <w:r w:rsidRPr="00A552C3">
              <w:rPr>
                <w:b/>
                <w:bCs/>
                <w:snapToGrid w:val="0"/>
              </w:rPr>
              <w:t xml:space="preserve"> </w:t>
            </w:r>
          </w:p>
          <w:p w14:paraId="5D48EB0C" w14:textId="77777777" w:rsidR="00001F04" w:rsidRPr="00A552C3" w:rsidRDefault="00001F04" w:rsidP="00001F04">
            <w:pPr>
              <w:spacing w:after="240"/>
              <w:ind w:left="720" w:hanging="720"/>
              <w:rPr>
                <w:iCs/>
              </w:rPr>
            </w:pPr>
            <w:r w:rsidRPr="00A552C3">
              <w:t>(1)</w:t>
            </w:r>
            <w:r w:rsidRPr="00A552C3">
              <w:tab/>
              <w:t>All other Generation Resources or ESRs shall be eligible for compensation for Reactive Power production in accordance with Section 6.5.7.7, Voltage Support Service, only if ERCOT issues a Dispatch Instruction that results in the following unit operation:</w:t>
            </w:r>
          </w:p>
          <w:p w14:paraId="516E1BE7" w14:textId="76AEC296" w:rsidR="00001F04" w:rsidRPr="00A552C3" w:rsidRDefault="00001F04" w:rsidP="00001F04">
            <w:pPr>
              <w:spacing w:after="240"/>
              <w:ind w:left="1440" w:hanging="720"/>
            </w:pPr>
            <w:r w:rsidRPr="00A552C3">
              <w:t>(a)</w:t>
            </w:r>
            <w:r w:rsidRPr="00A552C3">
              <w:tab/>
              <w:t>When ERCOT instructs the Generation Resource or ESR to exceed its Unit Reactive Limit (URL) and the Generation Resource or ESR provides additional Reactive Power, then ERCOT shall pay for the additional Reactive Power provided at a price that recognizes the avoided cost of reactive support</w:t>
            </w:r>
            <w:r w:rsidR="008152FC">
              <w:t xml:space="preserve"> to</w:t>
            </w:r>
            <w:r w:rsidRPr="00A552C3">
              <w:t xml:space="preserve"> Resources on the transmission network.</w:t>
            </w:r>
          </w:p>
          <w:p w14:paraId="08314004" w14:textId="7EC325A5" w:rsidR="00001F04" w:rsidRPr="00A552C3" w:rsidRDefault="00001F04" w:rsidP="00001F04">
            <w:pPr>
              <w:spacing w:after="240"/>
              <w:ind w:left="1440" w:hanging="720"/>
            </w:pPr>
            <w:r w:rsidRPr="00A552C3">
              <w:t>(b)</w:t>
            </w:r>
            <w:r w:rsidRPr="00A552C3">
              <w:tab/>
              <w:t>Any real power reduction directed by ERCOT through VDIs to provide for additional reactive capability for voltage support must be compensated as a lost opportunity payment</w:t>
            </w:r>
            <w:r w:rsidR="008152FC">
              <w:t>.</w:t>
            </w:r>
          </w:p>
          <w:p w14:paraId="29B53C93" w14:textId="138D6940" w:rsidR="008152FC" w:rsidRDefault="008152FC" w:rsidP="00001F04">
            <w:pPr>
              <w:spacing w:after="240"/>
              <w:ind w:left="720" w:hanging="720"/>
            </w:pPr>
            <w:r w:rsidRPr="007F5C96">
              <w:t>(2)</w:t>
            </w:r>
            <w:r w:rsidRPr="007F5C96">
              <w:tab/>
            </w:r>
            <w:r>
              <w:t>An ESR with a net injection for a Settlement Interval but that has a</w:t>
            </w:r>
            <w:r w:rsidR="00F144CE">
              <w:t>n HSL</w:t>
            </w:r>
            <w:r>
              <w:t xml:space="preserve"> that is less than zero will not receive compensation for Reactive Power for that Settlement Interval.</w:t>
            </w:r>
          </w:p>
          <w:p w14:paraId="64719DC9" w14:textId="5C2739BD" w:rsidR="00001F04" w:rsidRPr="00A552C3" w:rsidRDefault="00001F04" w:rsidP="00001F04">
            <w:pPr>
              <w:spacing w:after="240"/>
              <w:ind w:left="720" w:hanging="720"/>
            </w:pPr>
            <w:r w:rsidRPr="00A552C3">
              <w:t>(</w:t>
            </w:r>
            <w:r w:rsidR="008152FC">
              <w:t>3</w:t>
            </w:r>
            <w:r w:rsidRPr="00A552C3">
              <w:t>)</w:t>
            </w:r>
            <w:r w:rsidRPr="00A552C3">
              <w:tab/>
              <w:t>The payment for a given 15-minute Settlement Interval to each QSE representing a Generation Resource or ESR that operates in accordance with an ERCOT Dispatch Instruction is calculated as follows:</w:t>
            </w:r>
          </w:p>
          <w:p w14:paraId="75BF1B08" w14:textId="77777777" w:rsidR="00001F04" w:rsidRPr="00A552C3" w:rsidRDefault="00001F04" w:rsidP="00001F04">
            <w:pPr>
              <w:spacing w:after="240"/>
              <w:ind w:left="720" w:hanging="720"/>
            </w:pPr>
            <w:r w:rsidRPr="00A552C3">
              <w:t>Depending on the Dispatch Instruction, payment for Volt-Amperes reactive (VAr):</w:t>
            </w:r>
          </w:p>
          <w:p w14:paraId="3F7CFB24" w14:textId="77777777" w:rsidR="00001F04" w:rsidRPr="00A552C3" w:rsidRDefault="00001F04" w:rsidP="00001F04">
            <w:pPr>
              <w:spacing w:after="240"/>
              <w:ind w:firstLine="720"/>
              <w:rPr>
                <w:lang w:val="pt-BR"/>
              </w:rPr>
            </w:pPr>
            <w:r w:rsidRPr="00A552C3">
              <w:rPr>
                <w:lang w:val="pt-BR"/>
              </w:rPr>
              <w:t xml:space="preserve">If VSSVARLAG </w:t>
            </w:r>
            <w:r w:rsidRPr="00A552C3">
              <w:rPr>
                <w:i/>
                <w:vertAlign w:val="subscript"/>
                <w:lang w:val="pt-BR"/>
              </w:rPr>
              <w:t>q, r</w:t>
            </w:r>
            <w:r w:rsidRPr="00A552C3">
              <w:rPr>
                <w:lang w:val="pt-BR"/>
              </w:rPr>
              <w:t xml:space="preserve"> &gt; 0</w:t>
            </w:r>
          </w:p>
          <w:p w14:paraId="38BB6A06" w14:textId="77777777" w:rsidR="00001F04" w:rsidRPr="00A552C3" w:rsidRDefault="00001F04" w:rsidP="00001F04">
            <w:pPr>
              <w:pStyle w:val="FormulaBold"/>
              <w:ind w:hanging="2520"/>
              <w:rPr>
                <w:lang w:val="pt-BR"/>
              </w:rPr>
            </w:pPr>
            <w:r w:rsidRPr="00A552C3">
              <w:rPr>
                <w:lang w:val="pt-BR"/>
              </w:rPr>
              <w:t xml:space="preserve">VSSVARAMT </w:t>
            </w:r>
            <w:r w:rsidRPr="00A552C3">
              <w:rPr>
                <w:i/>
                <w:vertAlign w:val="subscript"/>
                <w:lang w:val="pt-BR"/>
              </w:rPr>
              <w:t>q, r</w:t>
            </w:r>
            <w:r w:rsidRPr="00A552C3">
              <w:rPr>
                <w:lang w:val="pt-BR"/>
              </w:rPr>
              <w:tab/>
              <w:t>=</w:t>
            </w:r>
            <w:r w:rsidRPr="00A552C3">
              <w:rPr>
                <w:lang w:val="pt-BR"/>
              </w:rPr>
              <w:tab/>
              <w:t xml:space="preserve">(-1) * VSSVARPR * VSSVARLAG </w:t>
            </w:r>
            <w:r w:rsidRPr="00A552C3">
              <w:rPr>
                <w:i/>
                <w:vertAlign w:val="subscript"/>
                <w:lang w:val="pt-BR"/>
              </w:rPr>
              <w:t>q, r</w:t>
            </w:r>
          </w:p>
          <w:p w14:paraId="08DF28C6" w14:textId="77777777" w:rsidR="00001F04" w:rsidRPr="00A552C3" w:rsidRDefault="00001F04" w:rsidP="00001F04">
            <w:pPr>
              <w:spacing w:after="240"/>
              <w:ind w:firstLine="720"/>
              <w:rPr>
                <w:lang w:val="pt-BR"/>
              </w:rPr>
            </w:pPr>
            <w:r w:rsidRPr="00A552C3">
              <w:rPr>
                <w:lang w:val="pt-BR"/>
              </w:rPr>
              <w:t xml:space="preserve">If VSSVARLEAD </w:t>
            </w:r>
            <w:r w:rsidRPr="00A552C3">
              <w:rPr>
                <w:i/>
                <w:vertAlign w:val="subscript"/>
                <w:lang w:val="pt-BR"/>
              </w:rPr>
              <w:t>q, r</w:t>
            </w:r>
            <w:r w:rsidRPr="00A552C3">
              <w:rPr>
                <w:lang w:val="pt-BR"/>
              </w:rPr>
              <w:t xml:space="preserve"> &gt; 0</w:t>
            </w:r>
          </w:p>
          <w:p w14:paraId="742BD711" w14:textId="77777777" w:rsidR="00001F04" w:rsidRPr="00A552C3" w:rsidRDefault="00001F04" w:rsidP="00001F04">
            <w:pPr>
              <w:pStyle w:val="FormulaBold"/>
              <w:ind w:hanging="2520"/>
              <w:rPr>
                <w:lang w:val="pt-BR"/>
              </w:rPr>
            </w:pPr>
            <w:r w:rsidRPr="00A552C3">
              <w:rPr>
                <w:lang w:val="pt-BR"/>
              </w:rPr>
              <w:t xml:space="preserve">VSSVARAMT </w:t>
            </w:r>
            <w:r w:rsidRPr="00A552C3">
              <w:rPr>
                <w:i/>
                <w:vertAlign w:val="subscript"/>
                <w:lang w:val="pt-BR"/>
              </w:rPr>
              <w:t>q, r</w:t>
            </w:r>
            <w:r w:rsidRPr="00A552C3">
              <w:rPr>
                <w:lang w:val="pt-BR"/>
              </w:rPr>
              <w:tab/>
              <w:t>=</w:t>
            </w:r>
            <w:r w:rsidRPr="00A552C3">
              <w:rPr>
                <w:lang w:val="pt-BR"/>
              </w:rPr>
              <w:tab/>
              <w:t>(-1) * VSSVARPR * VSSVARLEAD</w:t>
            </w:r>
            <w:r w:rsidRPr="00A552C3">
              <w:rPr>
                <w:i/>
                <w:vertAlign w:val="subscript"/>
                <w:lang w:val="pt-BR"/>
              </w:rPr>
              <w:t xml:space="preserve"> q, r</w:t>
            </w:r>
          </w:p>
          <w:p w14:paraId="50E6AEA5" w14:textId="77777777" w:rsidR="00001F04" w:rsidRPr="00A552C3" w:rsidRDefault="00001F04" w:rsidP="00001F04">
            <w:pPr>
              <w:spacing w:after="240"/>
              <w:ind w:left="720"/>
              <w:rPr>
                <w:lang w:val="pt-BR"/>
              </w:rPr>
            </w:pPr>
            <w:r w:rsidRPr="00A552C3">
              <w:rPr>
                <w:lang w:val="pt-BR"/>
              </w:rPr>
              <w:t>Where:</w:t>
            </w:r>
          </w:p>
          <w:p w14:paraId="3CC6D95E"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VSSVARLAG </w:t>
            </w:r>
            <w:r w:rsidRPr="00A552C3">
              <w:rPr>
                <w:bCs/>
                <w:i/>
                <w:vertAlign w:val="subscript"/>
                <w:lang w:val="pt-BR"/>
              </w:rPr>
              <w:t>q, r</w:t>
            </w:r>
            <w:r w:rsidRPr="00A552C3">
              <w:rPr>
                <w:bCs/>
                <w:lang w:val="pt-BR"/>
              </w:rPr>
              <w:tab/>
              <w:t>=</w:t>
            </w:r>
            <w:r w:rsidRPr="00A552C3">
              <w:rPr>
                <w:bCs/>
                <w:lang w:val="pt-BR"/>
              </w:rPr>
              <w:tab/>
              <w:t xml:space="preserve">Max [0, Min (¼ * VSSVARIOL </w:t>
            </w:r>
            <w:r w:rsidRPr="00A552C3">
              <w:rPr>
                <w:bCs/>
                <w:i/>
                <w:vertAlign w:val="subscript"/>
                <w:lang w:val="pt-BR"/>
              </w:rPr>
              <w:t>q, r</w:t>
            </w:r>
            <w:r w:rsidRPr="00A552C3">
              <w:rPr>
                <w:bCs/>
                <w:lang w:val="pt-BR"/>
              </w:rPr>
              <w:t xml:space="preserve">, RTVAR </w:t>
            </w:r>
            <w:r w:rsidRPr="00A552C3">
              <w:rPr>
                <w:bCs/>
                <w:i/>
                <w:vertAlign w:val="subscript"/>
                <w:lang w:val="pt-BR"/>
              </w:rPr>
              <w:t>q, r</w:t>
            </w:r>
            <w:r w:rsidRPr="00A552C3">
              <w:rPr>
                <w:bCs/>
                <w:lang w:val="pt-BR"/>
              </w:rPr>
              <w:t xml:space="preserve">) – (¼ * URLLAG </w:t>
            </w:r>
            <w:r w:rsidRPr="00A552C3">
              <w:rPr>
                <w:bCs/>
                <w:i/>
                <w:vertAlign w:val="subscript"/>
                <w:lang w:val="pt-BR"/>
              </w:rPr>
              <w:t>q, r</w:t>
            </w:r>
            <w:r w:rsidRPr="00A552C3">
              <w:rPr>
                <w:bCs/>
                <w:lang w:val="pt-BR"/>
              </w:rPr>
              <w:t>)]</w:t>
            </w:r>
          </w:p>
          <w:p w14:paraId="338DB46E" w14:textId="77777777" w:rsidR="00001F04" w:rsidRPr="00A552C3" w:rsidRDefault="00001F04" w:rsidP="00001F04">
            <w:pPr>
              <w:tabs>
                <w:tab w:val="left" w:pos="2340"/>
                <w:tab w:val="left" w:pos="3420"/>
              </w:tabs>
              <w:spacing w:after="240"/>
              <w:ind w:left="3420" w:hanging="2700"/>
              <w:rPr>
                <w:bCs/>
                <w:sz w:val="32"/>
                <w:szCs w:val="32"/>
                <w:lang w:val="pt-BR"/>
              </w:rPr>
            </w:pPr>
            <w:r w:rsidRPr="00A552C3">
              <w:rPr>
                <w:bCs/>
                <w:lang w:val="pt-BR"/>
              </w:rPr>
              <w:t xml:space="preserve">VSSVARLEAD </w:t>
            </w:r>
            <w:r w:rsidRPr="00A552C3">
              <w:rPr>
                <w:bCs/>
                <w:i/>
                <w:vertAlign w:val="subscript"/>
                <w:lang w:val="pt-BR"/>
              </w:rPr>
              <w:t>q, r</w:t>
            </w:r>
            <w:r w:rsidRPr="00A552C3">
              <w:rPr>
                <w:bCs/>
                <w:lang w:val="pt-BR"/>
              </w:rPr>
              <w:tab/>
              <w:t>=</w:t>
            </w:r>
            <w:r w:rsidRPr="00A552C3">
              <w:rPr>
                <w:bCs/>
                <w:lang w:val="pt-BR"/>
              </w:rPr>
              <w:tab/>
              <w:t xml:space="preserve">Max </w:t>
            </w:r>
            <w:r w:rsidRPr="00A552C3">
              <w:rPr>
                <w:bCs/>
                <w:sz w:val="32"/>
                <w:szCs w:val="32"/>
                <w:lang w:val="pt-BR"/>
              </w:rPr>
              <w:t>{</w:t>
            </w:r>
            <w:r w:rsidRPr="00A552C3">
              <w:rPr>
                <w:bCs/>
                <w:lang w:val="pt-BR"/>
              </w:rPr>
              <w:t xml:space="preserve">0, [(¼ * URLLEAD </w:t>
            </w:r>
            <w:r w:rsidRPr="00A552C3">
              <w:rPr>
                <w:bCs/>
                <w:i/>
                <w:vertAlign w:val="subscript"/>
                <w:lang w:val="pt-BR"/>
              </w:rPr>
              <w:t>q, r</w:t>
            </w:r>
            <w:r w:rsidRPr="00A552C3">
              <w:rPr>
                <w:bCs/>
                <w:lang w:val="pt-BR"/>
              </w:rPr>
              <w:t xml:space="preserve"> ) – Max ((¼ * VSSVARIOL </w:t>
            </w:r>
            <w:r w:rsidRPr="00A552C3">
              <w:rPr>
                <w:bCs/>
                <w:i/>
                <w:vertAlign w:val="subscript"/>
                <w:lang w:val="pt-BR"/>
              </w:rPr>
              <w:t>q, r</w:t>
            </w:r>
            <w:r w:rsidRPr="00A552C3">
              <w:rPr>
                <w:bCs/>
                <w:lang w:val="pt-BR"/>
              </w:rPr>
              <w:t xml:space="preserve">), RTVAR </w:t>
            </w:r>
            <w:r w:rsidRPr="00A552C3">
              <w:rPr>
                <w:bCs/>
                <w:i/>
                <w:vertAlign w:val="subscript"/>
                <w:lang w:val="pt-BR"/>
              </w:rPr>
              <w:t>q, r</w:t>
            </w:r>
            <w:r w:rsidRPr="00A552C3">
              <w:rPr>
                <w:bCs/>
                <w:lang w:val="pt-BR"/>
              </w:rPr>
              <w:t>)]</w:t>
            </w:r>
            <w:r w:rsidRPr="00A552C3">
              <w:rPr>
                <w:bCs/>
                <w:sz w:val="32"/>
                <w:szCs w:val="32"/>
                <w:lang w:val="pt-BR"/>
              </w:rPr>
              <w:t>}</w:t>
            </w:r>
          </w:p>
          <w:p w14:paraId="5E4FAC29"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lastRenderedPageBreak/>
              <w:t>And:</w:t>
            </w:r>
          </w:p>
          <w:p w14:paraId="318C96AF" w14:textId="7616A00A"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If an ESR has a net withdrawal for the Settlement Interval, then: </w:t>
            </w:r>
          </w:p>
          <w:p w14:paraId="797D7FBA"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URLLAG </w:t>
            </w:r>
            <w:r w:rsidRPr="00A552C3">
              <w:rPr>
                <w:bCs/>
                <w:i/>
                <w:vertAlign w:val="subscript"/>
                <w:lang w:val="pt-BR"/>
              </w:rPr>
              <w:t>q,r</w:t>
            </w:r>
            <w:r w:rsidRPr="00A552C3">
              <w:rPr>
                <w:bCs/>
                <w:lang w:val="pt-BR"/>
              </w:rPr>
              <w:tab/>
              <w:t>=</w:t>
            </w:r>
            <w:r w:rsidRPr="00A552C3">
              <w:rPr>
                <w:bCs/>
                <w:lang w:val="pt-BR"/>
              </w:rPr>
              <w:tab/>
            </w:r>
            <w:r w:rsidRPr="00A552C3">
              <w:rPr>
                <w:bCs/>
                <w:lang w:val="pt-BR"/>
              </w:rPr>
              <w:tab/>
              <w:t xml:space="preserve">0.32868 * ABS(LSL </w:t>
            </w:r>
            <w:r w:rsidRPr="00A552C3">
              <w:rPr>
                <w:bCs/>
                <w:i/>
                <w:vertAlign w:val="subscript"/>
                <w:lang w:val="pt-BR"/>
              </w:rPr>
              <w:t>q,r</w:t>
            </w:r>
            <w:r w:rsidRPr="00A552C3">
              <w:rPr>
                <w:bCs/>
                <w:lang w:val="pt-BR"/>
              </w:rPr>
              <w:t>)</w:t>
            </w:r>
          </w:p>
          <w:p w14:paraId="5E99FFB3"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URLLEAD </w:t>
            </w:r>
            <w:r w:rsidRPr="00A552C3">
              <w:rPr>
                <w:bCs/>
                <w:i/>
                <w:vertAlign w:val="subscript"/>
                <w:lang w:val="pt-BR"/>
              </w:rPr>
              <w:t>q,r</w:t>
            </w:r>
            <w:r w:rsidRPr="00A552C3">
              <w:rPr>
                <w:bCs/>
                <w:lang w:val="pt-BR"/>
              </w:rPr>
              <w:tab/>
              <w:t>=</w:t>
            </w:r>
            <w:r w:rsidRPr="00A552C3">
              <w:rPr>
                <w:bCs/>
                <w:lang w:val="pt-BR"/>
              </w:rPr>
              <w:tab/>
              <w:t xml:space="preserve">(-1) * 0.32868 * ABS(LSL </w:t>
            </w:r>
            <w:r w:rsidRPr="00A552C3">
              <w:rPr>
                <w:bCs/>
                <w:i/>
                <w:vertAlign w:val="subscript"/>
                <w:lang w:val="pt-BR"/>
              </w:rPr>
              <w:t>q,r</w:t>
            </w:r>
            <w:r w:rsidRPr="00A552C3">
              <w:rPr>
                <w:bCs/>
                <w:lang w:val="pt-BR"/>
              </w:rPr>
              <w:t>)</w:t>
            </w:r>
          </w:p>
          <w:p w14:paraId="54F35D0E" w14:textId="40D7B065" w:rsidR="00001F04" w:rsidRPr="00A552C3" w:rsidRDefault="00001F04" w:rsidP="008152FC">
            <w:pPr>
              <w:tabs>
                <w:tab w:val="left" w:pos="780"/>
                <w:tab w:val="left" w:pos="2340"/>
              </w:tabs>
              <w:spacing w:after="240"/>
              <w:ind w:left="690" w:firstLine="30"/>
              <w:rPr>
                <w:bCs/>
                <w:lang w:val="pt-BR"/>
              </w:rPr>
            </w:pPr>
            <w:r w:rsidRPr="00A552C3">
              <w:rPr>
                <w:bCs/>
                <w:lang w:val="pt-BR"/>
              </w:rPr>
              <w:t>Otherwise</w:t>
            </w:r>
            <w:r w:rsidR="008152FC" w:rsidRPr="008152FC">
              <w:rPr>
                <w:bCs/>
                <w:lang w:val="pt-BR"/>
              </w:rPr>
              <w:t>, for Generation Resources or ESRs that have a net injection for the Settlement Interval and that have an HSL greater than or equal to 0</w:t>
            </w:r>
            <w:r w:rsidRPr="00A552C3">
              <w:rPr>
                <w:bCs/>
                <w:lang w:val="pt-BR"/>
              </w:rPr>
              <w:t xml:space="preserve">: </w:t>
            </w:r>
          </w:p>
          <w:p w14:paraId="1745B290"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URLLAG </w:t>
            </w:r>
            <w:r w:rsidRPr="00A552C3">
              <w:rPr>
                <w:bCs/>
                <w:i/>
                <w:vertAlign w:val="subscript"/>
                <w:lang w:val="pt-BR"/>
              </w:rPr>
              <w:t>q,r</w:t>
            </w:r>
            <w:r w:rsidRPr="00A552C3">
              <w:rPr>
                <w:bCs/>
                <w:lang w:val="pt-BR"/>
              </w:rPr>
              <w:tab/>
              <w:t>=</w:t>
            </w:r>
            <w:r w:rsidRPr="00A552C3">
              <w:rPr>
                <w:bCs/>
                <w:lang w:val="pt-BR"/>
              </w:rPr>
              <w:tab/>
              <w:t xml:space="preserve">0.32868 * HSL </w:t>
            </w:r>
            <w:r w:rsidRPr="00A552C3">
              <w:rPr>
                <w:bCs/>
                <w:i/>
                <w:vertAlign w:val="subscript"/>
                <w:lang w:val="pt-BR"/>
              </w:rPr>
              <w:t xml:space="preserve">q,r </w:t>
            </w:r>
          </w:p>
          <w:p w14:paraId="67DFF4EF"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URLLEAD </w:t>
            </w:r>
            <w:r w:rsidRPr="00A552C3">
              <w:rPr>
                <w:bCs/>
                <w:i/>
                <w:vertAlign w:val="subscript"/>
                <w:lang w:val="pt-BR"/>
              </w:rPr>
              <w:t>q,r</w:t>
            </w:r>
            <w:r w:rsidRPr="00A552C3">
              <w:rPr>
                <w:bCs/>
                <w:lang w:val="pt-BR"/>
              </w:rPr>
              <w:tab/>
              <w:t>=</w:t>
            </w:r>
            <w:r w:rsidRPr="00A552C3">
              <w:rPr>
                <w:bCs/>
                <w:lang w:val="pt-BR"/>
              </w:rPr>
              <w:tab/>
              <w:t xml:space="preserve">(-1) * 0.32868 * HSL </w:t>
            </w:r>
            <w:r w:rsidRPr="00A552C3">
              <w:rPr>
                <w:bCs/>
                <w:i/>
                <w:vertAlign w:val="subscript"/>
                <w:lang w:val="pt-BR"/>
              </w:rPr>
              <w:t>q,r</w:t>
            </w:r>
          </w:p>
          <w:p w14:paraId="296EE5E3" w14:textId="77777777" w:rsidR="00001F04" w:rsidRPr="00A552C3" w:rsidRDefault="00001F04" w:rsidP="00001F04">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1"/>
              <w:gridCol w:w="1126"/>
              <w:gridCol w:w="6133"/>
            </w:tblGrid>
            <w:tr w:rsidR="00001F04" w:rsidRPr="00A552C3" w14:paraId="0C7F4B76" w14:textId="77777777" w:rsidTr="00C952ED">
              <w:trPr>
                <w:cantSplit/>
                <w:tblHeader/>
              </w:trPr>
              <w:tc>
                <w:tcPr>
                  <w:tcW w:w="1016" w:type="pct"/>
                  <w:tcBorders>
                    <w:top w:val="single" w:sz="4" w:space="0" w:color="auto"/>
                    <w:left w:val="single" w:sz="4" w:space="0" w:color="auto"/>
                    <w:bottom w:val="single" w:sz="4" w:space="0" w:color="auto"/>
                    <w:right w:val="single" w:sz="4" w:space="0" w:color="auto"/>
                  </w:tcBorders>
                  <w:hideMark/>
                </w:tcPr>
                <w:p w14:paraId="1E75ED10" w14:textId="77777777" w:rsidR="00001F04" w:rsidRPr="00C52231" w:rsidRDefault="00001F04" w:rsidP="00001F04">
                  <w:pPr>
                    <w:spacing w:after="240"/>
                    <w:rPr>
                      <w:b/>
                      <w:iCs/>
                      <w:sz w:val="20"/>
                    </w:rPr>
                  </w:pPr>
                  <w:r w:rsidRPr="00233C78">
                    <w:rPr>
                      <w:b/>
                      <w:sz w:val="20"/>
                    </w:rPr>
                    <w:t>Variable</w:t>
                  </w:r>
                </w:p>
              </w:tc>
              <w:tc>
                <w:tcPr>
                  <w:tcW w:w="618" w:type="pct"/>
                  <w:tcBorders>
                    <w:top w:val="single" w:sz="4" w:space="0" w:color="auto"/>
                    <w:left w:val="single" w:sz="4" w:space="0" w:color="auto"/>
                    <w:bottom w:val="single" w:sz="4" w:space="0" w:color="auto"/>
                    <w:right w:val="single" w:sz="4" w:space="0" w:color="auto"/>
                  </w:tcBorders>
                  <w:hideMark/>
                </w:tcPr>
                <w:p w14:paraId="2D14501C" w14:textId="77777777" w:rsidR="00001F04" w:rsidRPr="00A552C3" w:rsidRDefault="00001F04" w:rsidP="00001F04">
                  <w:pPr>
                    <w:spacing w:after="240"/>
                    <w:rPr>
                      <w:b/>
                      <w:iCs/>
                      <w:sz w:val="20"/>
                    </w:rPr>
                  </w:pPr>
                  <w:r w:rsidRPr="00A552C3">
                    <w:rPr>
                      <w:b/>
                      <w:iCs/>
                      <w:sz w:val="20"/>
                    </w:rPr>
                    <w:t>Unit</w:t>
                  </w:r>
                </w:p>
              </w:tc>
              <w:tc>
                <w:tcPr>
                  <w:tcW w:w="3366" w:type="pct"/>
                  <w:tcBorders>
                    <w:top w:val="single" w:sz="4" w:space="0" w:color="auto"/>
                    <w:left w:val="single" w:sz="4" w:space="0" w:color="auto"/>
                    <w:bottom w:val="single" w:sz="4" w:space="0" w:color="auto"/>
                    <w:right w:val="single" w:sz="4" w:space="0" w:color="auto"/>
                  </w:tcBorders>
                  <w:hideMark/>
                </w:tcPr>
                <w:p w14:paraId="7F521F14" w14:textId="77777777" w:rsidR="00001F04" w:rsidRPr="00A552C3" w:rsidRDefault="00001F04" w:rsidP="00001F04">
                  <w:pPr>
                    <w:spacing w:after="240"/>
                    <w:rPr>
                      <w:b/>
                      <w:iCs/>
                      <w:sz w:val="20"/>
                    </w:rPr>
                  </w:pPr>
                  <w:r w:rsidRPr="00A552C3">
                    <w:rPr>
                      <w:b/>
                      <w:iCs/>
                      <w:sz w:val="20"/>
                    </w:rPr>
                    <w:t>Definition</w:t>
                  </w:r>
                </w:p>
              </w:tc>
            </w:tr>
            <w:tr w:rsidR="00001F04" w:rsidRPr="00A552C3" w14:paraId="71A91F25"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0A7EB7D3" w14:textId="77777777" w:rsidR="00001F04" w:rsidRPr="00001F04" w:rsidRDefault="00001F04" w:rsidP="00001F04">
                  <w:pPr>
                    <w:spacing w:after="60"/>
                    <w:rPr>
                      <w:iCs/>
                      <w:sz w:val="20"/>
                    </w:rPr>
                  </w:pPr>
                  <w:r w:rsidRPr="00001F04">
                    <w:rPr>
                      <w:iCs/>
                      <w:sz w:val="20"/>
                    </w:rPr>
                    <w:t xml:space="preserve">VSSVARAMT </w:t>
                  </w:r>
                  <w:r w:rsidRPr="00001F04">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3A5ED7D8" w14:textId="77777777" w:rsidR="00001F04" w:rsidRPr="00A552C3" w:rsidRDefault="00001F04" w:rsidP="00001F04">
                  <w:pPr>
                    <w:spacing w:after="60"/>
                    <w:rPr>
                      <w:iCs/>
                      <w:sz w:val="20"/>
                    </w:rPr>
                  </w:pPr>
                  <w:r w:rsidRPr="00A552C3">
                    <w:rPr>
                      <w:iCs/>
                      <w:sz w:val="20"/>
                    </w:rPr>
                    <w:t>$</w:t>
                  </w:r>
                </w:p>
              </w:tc>
              <w:tc>
                <w:tcPr>
                  <w:tcW w:w="3366" w:type="pct"/>
                  <w:tcBorders>
                    <w:top w:val="single" w:sz="4" w:space="0" w:color="auto"/>
                    <w:left w:val="single" w:sz="4" w:space="0" w:color="auto"/>
                    <w:bottom w:val="single" w:sz="4" w:space="0" w:color="auto"/>
                    <w:right w:val="single" w:sz="4" w:space="0" w:color="auto"/>
                  </w:tcBorders>
                  <w:hideMark/>
                </w:tcPr>
                <w:p w14:paraId="638B4A2A" w14:textId="77777777" w:rsidR="00001F04" w:rsidRPr="00A552C3" w:rsidRDefault="00001F04" w:rsidP="00001F04">
                  <w:pPr>
                    <w:spacing w:after="60"/>
                    <w:rPr>
                      <w:iCs/>
                      <w:sz w:val="20"/>
                    </w:rPr>
                  </w:pPr>
                  <w:r w:rsidRPr="00A552C3">
                    <w:rPr>
                      <w:i/>
                      <w:iCs/>
                      <w:sz w:val="20"/>
                    </w:rPr>
                    <w:t xml:space="preserve">Voltage Support Service VAr Amount per QSE per Resource - </w:t>
                  </w:r>
                  <w:r w:rsidRPr="00A552C3">
                    <w:rPr>
                      <w:iCs/>
                      <w:sz w:val="20"/>
                    </w:rPr>
                    <w:t xml:space="preserve">The payment to QSE </w:t>
                  </w:r>
                  <w:r w:rsidRPr="00A552C3">
                    <w:rPr>
                      <w:i/>
                      <w:iCs/>
                      <w:sz w:val="20"/>
                    </w:rPr>
                    <w:t>q</w:t>
                  </w:r>
                  <w:r w:rsidRPr="00A552C3">
                    <w:rPr>
                      <w:iCs/>
                      <w:sz w:val="20"/>
                    </w:rPr>
                    <w:t xml:space="preserve"> for the VSS provided by Resource </w:t>
                  </w:r>
                  <w:r w:rsidRPr="00A552C3">
                    <w:rPr>
                      <w:i/>
                      <w:iCs/>
                      <w:sz w:val="20"/>
                    </w:rPr>
                    <w:t>r</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72C2AED4"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001CD23F" w14:textId="77777777" w:rsidR="00001F04" w:rsidRPr="00A552C3" w:rsidRDefault="00001F04" w:rsidP="00001F04">
                  <w:pPr>
                    <w:spacing w:after="60"/>
                    <w:rPr>
                      <w:iCs/>
                      <w:sz w:val="20"/>
                    </w:rPr>
                  </w:pPr>
                  <w:r w:rsidRPr="00A552C3">
                    <w:rPr>
                      <w:iCs/>
                      <w:sz w:val="20"/>
                    </w:rPr>
                    <w:t>VSSVARPR</w:t>
                  </w:r>
                </w:p>
              </w:tc>
              <w:tc>
                <w:tcPr>
                  <w:tcW w:w="618" w:type="pct"/>
                  <w:tcBorders>
                    <w:top w:val="single" w:sz="4" w:space="0" w:color="auto"/>
                    <w:left w:val="single" w:sz="4" w:space="0" w:color="auto"/>
                    <w:bottom w:val="single" w:sz="4" w:space="0" w:color="auto"/>
                    <w:right w:val="single" w:sz="4" w:space="0" w:color="auto"/>
                  </w:tcBorders>
                  <w:hideMark/>
                </w:tcPr>
                <w:p w14:paraId="6CBA5B7A" w14:textId="77777777" w:rsidR="00001F04" w:rsidRPr="00A552C3" w:rsidRDefault="00001F04" w:rsidP="00001F04">
                  <w:pPr>
                    <w:spacing w:after="60"/>
                    <w:rPr>
                      <w:i/>
                      <w:iCs/>
                      <w:sz w:val="20"/>
                    </w:rPr>
                  </w:pPr>
                  <w:r w:rsidRPr="00A552C3">
                    <w:rPr>
                      <w:iCs/>
                      <w:sz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4454580C" w14:textId="77777777" w:rsidR="00001F04" w:rsidRPr="00A552C3" w:rsidRDefault="00001F04" w:rsidP="00001F04">
                  <w:pPr>
                    <w:spacing w:after="60"/>
                    <w:rPr>
                      <w:iCs/>
                      <w:sz w:val="20"/>
                    </w:rPr>
                  </w:pPr>
                  <w:r w:rsidRPr="00A552C3">
                    <w:rPr>
                      <w:i/>
                      <w:iCs/>
                      <w:sz w:val="20"/>
                    </w:rPr>
                    <w:t xml:space="preserve">Voltage Support Service VAr Price - </w:t>
                  </w:r>
                  <w:r w:rsidRPr="00A552C3">
                    <w:rPr>
                      <w:iCs/>
                      <w:sz w:val="20"/>
                    </w:rPr>
                    <w:t>The price for instructed MVAr beyond a Resource’s URL currently is $2.65/MVArh (based on $50.00/installed kVAr).</w:t>
                  </w:r>
                </w:p>
              </w:tc>
            </w:tr>
            <w:tr w:rsidR="00001F04" w:rsidRPr="00A552C3" w14:paraId="0638BF41"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1B9FF7D" w14:textId="77777777" w:rsidR="00001F04" w:rsidRPr="00A552C3" w:rsidRDefault="00001F04" w:rsidP="00001F04">
                  <w:pPr>
                    <w:spacing w:after="60"/>
                    <w:rPr>
                      <w:iCs/>
                      <w:sz w:val="20"/>
                    </w:rPr>
                  </w:pPr>
                  <w:r w:rsidRPr="00A552C3">
                    <w:rPr>
                      <w:iCs/>
                      <w:sz w:val="20"/>
                    </w:rPr>
                    <w:t xml:space="preserve">VSSVARLAG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478B3DA5" w14:textId="77777777" w:rsidR="00001F04" w:rsidRPr="00A552C3" w:rsidRDefault="00001F04" w:rsidP="00001F04">
                  <w:pPr>
                    <w:spacing w:after="60"/>
                    <w:rPr>
                      <w:iCs/>
                      <w:sz w:val="20"/>
                    </w:rPr>
                  </w:pPr>
                  <w:r w:rsidRPr="00A552C3">
                    <w:rPr>
                      <w:iCs/>
                      <w:sz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43C8B79C" w14:textId="0828F319" w:rsidR="00001F04" w:rsidRPr="00A552C3" w:rsidRDefault="00001F04" w:rsidP="00001F04">
                  <w:pPr>
                    <w:spacing w:after="60"/>
                    <w:rPr>
                      <w:iCs/>
                      <w:sz w:val="20"/>
                    </w:rPr>
                  </w:pPr>
                  <w:r w:rsidRPr="00A552C3">
                    <w:rPr>
                      <w:i/>
                      <w:iCs/>
                      <w:sz w:val="20"/>
                    </w:rPr>
                    <w:t xml:space="preserve">Voltage Support Service VAr Lagging per QSE per Resource - </w:t>
                  </w:r>
                  <w:r w:rsidRPr="00A552C3">
                    <w:rPr>
                      <w:iCs/>
                      <w:sz w:val="20"/>
                    </w:rPr>
                    <w:t xml:space="preserve">The instructed portion of the Reactive Power above the Resource’s lagging URL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1D35919E"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4A0DE373" w14:textId="77777777" w:rsidR="00001F04" w:rsidRPr="00A552C3" w:rsidRDefault="00001F04" w:rsidP="00001F04">
                  <w:pPr>
                    <w:spacing w:after="60"/>
                    <w:rPr>
                      <w:iCs/>
                      <w:sz w:val="20"/>
                    </w:rPr>
                  </w:pPr>
                  <w:r w:rsidRPr="00A552C3">
                    <w:rPr>
                      <w:iCs/>
                      <w:sz w:val="20"/>
                    </w:rPr>
                    <w:t xml:space="preserve">VSSVARLEAD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11DB8D85" w14:textId="77777777" w:rsidR="00001F04" w:rsidRPr="00A552C3" w:rsidRDefault="00001F04" w:rsidP="00001F04">
                  <w:pPr>
                    <w:spacing w:after="60"/>
                    <w:rPr>
                      <w:iCs/>
                      <w:sz w:val="20"/>
                    </w:rPr>
                  </w:pPr>
                  <w:r w:rsidRPr="00A552C3">
                    <w:rPr>
                      <w:iCs/>
                      <w:sz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2ED0D985" w14:textId="77777777" w:rsidR="00001F04" w:rsidRPr="00A552C3" w:rsidRDefault="00001F04" w:rsidP="00001F04">
                  <w:pPr>
                    <w:spacing w:after="60"/>
                    <w:rPr>
                      <w:iCs/>
                      <w:sz w:val="20"/>
                    </w:rPr>
                  </w:pPr>
                  <w:r w:rsidRPr="00A552C3">
                    <w:rPr>
                      <w:i/>
                      <w:iCs/>
                      <w:sz w:val="20"/>
                    </w:rPr>
                    <w:t>Voltage Support Service VAr Leading per QSE per Resource</w:t>
                  </w:r>
                  <w:r w:rsidRPr="00A552C3">
                    <w:rPr>
                      <w:iCs/>
                      <w:sz w:val="20"/>
                    </w:rPr>
                    <w:t xml:space="preserve"> - The instructed portion of the Reactive Power below the Resource’s leading URL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07932588"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2B202D1F" w14:textId="77777777" w:rsidR="00001F04" w:rsidRPr="00A552C3" w:rsidRDefault="00001F04" w:rsidP="00001F04">
                  <w:pPr>
                    <w:spacing w:after="60"/>
                    <w:rPr>
                      <w:iCs/>
                      <w:sz w:val="20"/>
                    </w:rPr>
                  </w:pPr>
                  <w:r w:rsidRPr="00A552C3">
                    <w:rPr>
                      <w:iCs/>
                      <w:sz w:val="20"/>
                    </w:rPr>
                    <w:t xml:space="preserve">VSSVARIOL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0C6FC61F" w14:textId="77777777" w:rsidR="00001F04" w:rsidRPr="00A552C3" w:rsidRDefault="00001F04" w:rsidP="00001F04">
                  <w:pPr>
                    <w:spacing w:after="60"/>
                    <w:rPr>
                      <w:iCs/>
                      <w:sz w:val="20"/>
                    </w:rPr>
                  </w:pPr>
                  <w:r w:rsidRPr="00A552C3">
                    <w:rPr>
                      <w:iCs/>
                      <w:sz w:val="20"/>
                    </w:rPr>
                    <w:t>MVAr</w:t>
                  </w:r>
                </w:p>
              </w:tc>
              <w:tc>
                <w:tcPr>
                  <w:tcW w:w="3366" w:type="pct"/>
                  <w:tcBorders>
                    <w:top w:val="single" w:sz="4" w:space="0" w:color="auto"/>
                    <w:left w:val="single" w:sz="4" w:space="0" w:color="auto"/>
                    <w:bottom w:val="single" w:sz="4" w:space="0" w:color="auto"/>
                    <w:right w:val="single" w:sz="4" w:space="0" w:color="auto"/>
                  </w:tcBorders>
                  <w:hideMark/>
                </w:tcPr>
                <w:p w14:paraId="37104E28" w14:textId="77777777" w:rsidR="00001F04" w:rsidRPr="00A552C3" w:rsidRDefault="00001F04" w:rsidP="00001F04">
                  <w:pPr>
                    <w:spacing w:after="60"/>
                    <w:rPr>
                      <w:iCs/>
                      <w:sz w:val="20"/>
                    </w:rPr>
                  </w:pPr>
                  <w:r w:rsidRPr="00A552C3">
                    <w:rPr>
                      <w:i/>
                      <w:iCs/>
                      <w:sz w:val="20"/>
                    </w:rPr>
                    <w:t>Voltage Support Service VAr Instructed Output Level per QSE per Resource</w:t>
                  </w:r>
                  <w:r w:rsidRPr="00A552C3">
                    <w:rPr>
                      <w:iCs/>
                      <w:sz w:val="20"/>
                    </w:rPr>
                    <w:t xml:space="preserve">—The instructed Reactive Power output level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lagging Reactive Power if positive and leading Reactive Power if negative,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5C621DB7"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3139372" w14:textId="77777777" w:rsidR="00001F04" w:rsidRPr="00A552C3" w:rsidRDefault="00001F04" w:rsidP="00001F04">
                  <w:pPr>
                    <w:spacing w:after="60"/>
                    <w:rPr>
                      <w:iCs/>
                      <w:sz w:val="20"/>
                    </w:rPr>
                  </w:pPr>
                  <w:r w:rsidRPr="00A552C3">
                    <w:rPr>
                      <w:iCs/>
                      <w:sz w:val="20"/>
                    </w:rPr>
                    <w:t xml:space="preserve">RTVAR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110C495E" w14:textId="77777777" w:rsidR="00001F04" w:rsidRPr="00A552C3" w:rsidRDefault="00001F04" w:rsidP="00001F04">
                  <w:pPr>
                    <w:spacing w:after="60"/>
                    <w:rPr>
                      <w:iCs/>
                      <w:sz w:val="20"/>
                    </w:rPr>
                  </w:pPr>
                  <w:r w:rsidRPr="00A552C3">
                    <w:rPr>
                      <w:iCs/>
                      <w:sz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1F676388" w14:textId="77777777" w:rsidR="00001F04" w:rsidRPr="00A552C3" w:rsidRDefault="00001F04" w:rsidP="00001F04">
                  <w:pPr>
                    <w:spacing w:after="60"/>
                    <w:rPr>
                      <w:iCs/>
                      <w:sz w:val="20"/>
                    </w:rPr>
                  </w:pPr>
                  <w:r w:rsidRPr="00A552C3">
                    <w:rPr>
                      <w:i/>
                      <w:iCs/>
                      <w:sz w:val="20"/>
                    </w:rPr>
                    <w:t>Real-Time VAr per QSE per Resource</w:t>
                  </w:r>
                  <w:r w:rsidRPr="00A552C3">
                    <w:rPr>
                      <w:iCs/>
                      <w:sz w:val="20"/>
                    </w:rPr>
                    <w:t xml:space="preserve">—The netted Reactive Energy measured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45F02A07"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B1ACFFF" w14:textId="77777777" w:rsidR="00001F04" w:rsidRPr="00A552C3" w:rsidRDefault="00001F04" w:rsidP="00001F04">
                  <w:pPr>
                    <w:spacing w:after="60"/>
                    <w:rPr>
                      <w:iCs/>
                      <w:sz w:val="20"/>
                    </w:rPr>
                  </w:pPr>
                  <w:r w:rsidRPr="00A552C3">
                    <w:rPr>
                      <w:iCs/>
                      <w:sz w:val="20"/>
                    </w:rPr>
                    <w:t xml:space="preserve">URLLAG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0EAA2D4D" w14:textId="77777777" w:rsidR="00001F04" w:rsidRPr="00A552C3" w:rsidRDefault="00001F04" w:rsidP="00001F04">
                  <w:pPr>
                    <w:spacing w:after="60"/>
                    <w:rPr>
                      <w:iCs/>
                      <w:sz w:val="20"/>
                    </w:rPr>
                  </w:pPr>
                  <w:r w:rsidRPr="00A552C3">
                    <w:rPr>
                      <w:iCs/>
                      <w:sz w:val="20"/>
                    </w:rPr>
                    <w:t>MVAr</w:t>
                  </w:r>
                </w:p>
              </w:tc>
              <w:tc>
                <w:tcPr>
                  <w:tcW w:w="3366" w:type="pct"/>
                  <w:tcBorders>
                    <w:top w:val="single" w:sz="4" w:space="0" w:color="auto"/>
                    <w:left w:val="single" w:sz="4" w:space="0" w:color="auto"/>
                    <w:bottom w:val="single" w:sz="4" w:space="0" w:color="auto"/>
                    <w:right w:val="single" w:sz="4" w:space="0" w:color="auto"/>
                  </w:tcBorders>
                  <w:hideMark/>
                </w:tcPr>
                <w:p w14:paraId="31989746" w14:textId="77777777" w:rsidR="00001F04" w:rsidRPr="00A552C3" w:rsidRDefault="00001F04" w:rsidP="00001F04">
                  <w:pPr>
                    <w:spacing w:after="60"/>
                    <w:rPr>
                      <w:iCs/>
                      <w:sz w:val="20"/>
                    </w:rPr>
                  </w:pPr>
                  <w:r w:rsidRPr="00A552C3">
                    <w:rPr>
                      <w:i/>
                      <w:iCs/>
                      <w:sz w:val="20"/>
                    </w:rPr>
                    <w:t>Unit Reactive Limit Lagging per QSE per Resource</w:t>
                  </w:r>
                  <w:r w:rsidRPr="00A552C3">
                    <w:rPr>
                      <w:iCs/>
                      <w:sz w:val="20"/>
                    </w:rPr>
                    <w:t xml:space="preserve">—The URL for lagging Reactive Power of the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determined in accordance with these Protocols.  Its value is positive.  Where for a combined cycle resource, </w:t>
                  </w:r>
                  <w:r w:rsidRPr="00A552C3">
                    <w:rPr>
                      <w:i/>
                      <w:iCs/>
                      <w:sz w:val="20"/>
                    </w:rPr>
                    <w:t>r</w:t>
                  </w:r>
                  <w:r w:rsidRPr="00A552C3">
                    <w:rPr>
                      <w:iCs/>
                      <w:sz w:val="20"/>
                    </w:rPr>
                    <w:t xml:space="preserve"> is a Combined Cycle Train.</w:t>
                  </w:r>
                </w:p>
              </w:tc>
            </w:tr>
            <w:tr w:rsidR="00001F04" w:rsidRPr="00A552C3" w14:paraId="67AA9170"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298920F7" w14:textId="77777777" w:rsidR="00001F04" w:rsidRPr="00A552C3" w:rsidRDefault="00001F04" w:rsidP="00001F04">
                  <w:pPr>
                    <w:spacing w:after="60"/>
                    <w:rPr>
                      <w:iCs/>
                      <w:sz w:val="20"/>
                    </w:rPr>
                  </w:pPr>
                  <w:r w:rsidRPr="00A552C3">
                    <w:rPr>
                      <w:iCs/>
                      <w:sz w:val="20"/>
                    </w:rPr>
                    <w:lastRenderedPageBreak/>
                    <w:t xml:space="preserve">URLLEAD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0CC27615" w14:textId="77777777" w:rsidR="00001F04" w:rsidRPr="00A552C3" w:rsidRDefault="00001F04" w:rsidP="00001F04">
                  <w:pPr>
                    <w:spacing w:after="60"/>
                    <w:rPr>
                      <w:iCs/>
                      <w:sz w:val="20"/>
                    </w:rPr>
                  </w:pPr>
                  <w:r w:rsidRPr="00A552C3">
                    <w:rPr>
                      <w:iCs/>
                      <w:sz w:val="20"/>
                    </w:rPr>
                    <w:t>MVAr</w:t>
                  </w:r>
                </w:p>
              </w:tc>
              <w:tc>
                <w:tcPr>
                  <w:tcW w:w="3366" w:type="pct"/>
                  <w:tcBorders>
                    <w:top w:val="single" w:sz="4" w:space="0" w:color="auto"/>
                    <w:left w:val="single" w:sz="4" w:space="0" w:color="auto"/>
                    <w:bottom w:val="single" w:sz="4" w:space="0" w:color="auto"/>
                    <w:right w:val="single" w:sz="4" w:space="0" w:color="auto"/>
                  </w:tcBorders>
                  <w:hideMark/>
                </w:tcPr>
                <w:p w14:paraId="1B38A8A5" w14:textId="77777777" w:rsidR="00001F04" w:rsidRPr="00A552C3" w:rsidRDefault="00001F04" w:rsidP="00001F04">
                  <w:pPr>
                    <w:spacing w:after="60"/>
                    <w:rPr>
                      <w:iCs/>
                      <w:sz w:val="20"/>
                    </w:rPr>
                  </w:pPr>
                  <w:r w:rsidRPr="00A552C3">
                    <w:rPr>
                      <w:i/>
                      <w:iCs/>
                      <w:sz w:val="20"/>
                    </w:rPr>
                    <w:t>Unit Reactive Limit Leading per QSE per Resource</w:t>
                  </w:r>
                  <w:r w:rsidRPr="00A552C3">
                    <w:rPr>
                      <w:iCs/>
                      <w:sz w:val="20"/>
                    </w:rPr>
                    <w:t xml:space="preserve">—The URL for leading Reactive Power of the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determined in accordance with these Protocols.  Its value is negative.  Where for a combined cycle resource, </w:t>
                  </w:r>
                  <w:r w:rsidRPr="00A552C3">
                    <w:rPr>
                      <w:i/>
                      <w:iCs/>
                      <w:sz w:val="20"/>
                    </w:rPr>
                    <w:t>r</w:t>
                  </w:r>
                  <w:r w:rsidRPr="00A552C3">
                    <w:rPr>
                      <w:iCs/>
                      <w:sz w:val="20"/>
                    </w:rPr>
                    <w:t xml:space="preserve"> is a Combined Cycle Train.</w:t>
                  </w:r>
                </w:p>
              </w:tc>
            </w:tr>
            <w:tr w:rsidR="00001F04" w:rsidRPr="00A552C3" w14:paraId="7196DC0E"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159A6B2E" w14:textId="77777777" w:rsidR="00001F04" w:rsidRPr="00A552C3" w:rsidRDefault="00001F04" w:rsidP="00001F04">
                  <w:pPr>
                    <w:spacing w:after="60"/>
                    <w:rPr>
                      <w:iCs/>
                      <w:sz w:val="20"/>
                    </w:rPr>
                  </w:pPr>
                  <w:r w:rsidRPr="00A552C3">
                    <w:rPr>
                      <w:iCs/>
                      <w:sz w:val="20"/>
                    </w:rPr>
                    <w:t xml:space="preserve">HSL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600E6FFE" w14:textId="77777777" w:rsidR="00001F04" w:rsidRPr="00A552C3" w:rsidRDefault="00001F04" w:rsidP="00001F04">
                  <w:pPr>
                    <w:spacing w:after="60"/>
                    <w:rPr>
                      <w:iCs/>
                      <w:sz w:val="20"/>
                    </w:rPr>
                  </w:pPr>
                  <w:r w:rsidRPr="00A552C3">
                    <w:rPr>
                      <w:iCs/>
                      <w:sz w:val="20"/>
                    </w:rPr>
                    <w:t>MW</w:t>
                  </w:r>
                </w:p>
              </w:tc>
              <w:tc>
                <w:tcPr>
                  <w:tcW w:w="3366" w:type="pct"/>
                  <w:tcBorders>
                    <w:top w:val="single" w:sz="4" w:space="0" w:color="auto"/>
                    <w:left w:val="single" w:sz="4" w:space="0" w:color="auto"/>
                    <w:bottom w:val="single" w:sz="4" w:space="0" w:color="auto"/>
                    <w:right w:val="single" w:sz="4" w:space="0" w:color="auto"/>
                  </w:tcBorders>
                  <w:hideMark/>
                </w:tcPr>
                <w:p w14:paraId="24EB4A87" w14:textId="4AEE4516" w:rsidR="00001F04" w:rsidRPr="00A552C3" w:rsidRDefault="00001F04" w:rsidP="00AD486D">
                  <w:pPr>
                    <w:spacing w:after="60"/>
                    <w:rPr>
                      <w:iCs/>
                      <w:sz w:val="20"/>
                    </w:rPr>
                  </w:pPr>
                  <w:r w:rsidRPr="00A552C3">
                    <w:rPr>
                      <w:i/>
                      <w:iCs/>
                      <w:sz w:val="20"/>
                    </w:rPr>
                    <w:t>High Sustained Limit</w:t>
                  </w:r>
                  <w:r w:rsidRPr="00A552C3">
                    <w:rPr>
                      <w:iCs/>
                      <w:sz w:val="20"/>
                    </w:rPr>
                    <w:t xml:space="preserve">—The HSL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defined in Section 2, Definitions</w:t>
                  </w:r>
                  <w:r w:rsidR="00AD486D">
                    <w:rPr>
                      <w:iCs/>
                      <w:sz w:val="20"/>
                    </w:rPr>
                    <w:t xml:space="preserve"> and Acronyms</w:t>
                  </w:r>
                  <w:r w:rsidRPr="00A552C3">
                    <w:rPr>
                      <w:iCs/>
                      <w:sz w:val="20"/>
                    </w:rPr>
                    <w:t xml:space="preserve">, for the hour that includes the Settlement Interval.  Where for a combined cycle resource, </w:t>
                  </w:r>
                  <w:r w:rsidRPr="00A552C3">
                    <w:rPr>
                      <w:i/>
                      <w:iCs/>
                      <w:sz w:val="20"/>
                    </w:rPr>
                    <w:t>r</w:t>
                  </w:r>
                  <w:r w:rsidRPr="00A552C3">
                    <w:rPr>
                      <w:iCs/>
                      <w:sz w:val="20"/>
                    </w:rPr>
                    <w:t xml:space="preserve"> is a Combined Cycle Generation Resource.</w:t>
                  </w:r>
                </w:p>
              </w:tc>
            </w:tr>
            <w:tr w:rsidR="00001F04" w:rsidRPr="00A552C3" w14:paraId="523B9D1B"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4384FC12" w14:textId="77777777" w:rsidR="00001F04" w:rsidRPr="00A552C3" w:rsidRDefault="00001F04" w:rsidP="00001F04">
                  <w:pPr>
                    <w:spacing w:after="60"/>
                    <w:rPr>
                      <w:iCs/>
                      <w:sz w:val="20"/>
                    </w:rPr>
                  </w:pPr>
                  <w:r w:rsidRPr="00A552C3">
                    <w:rPr>
                      <w:iCs/>
                      <w:sz w:val="20"/>
                    </w:rPr>
                    <w:t xml:space="preserve">LSL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5FC72976" w14:textId="77777777" w:rsidR="00001F04" w:rsidRPr="00A552C3" w:rsidRDefault="00001F04" w:rsidP="00001F04">
                  <w:pPr>
                    <w:spacing w:after="60"/>
                    <w:rPr>
                      <w:iCs/>
                      <w:sz w:val="20"/>
                    </w:rPr>
                  </w:pPr>
                  <w:r w:rsidRPr="00A552C3">
                    <w:rPr>
                      <w:iCs/>
                      <w:sz w:val="20"/>
                    </w:rPr>
                    <w:t>MW</w:t>
                  </w:r>
                </w:p>
              </w:tc>
              <w:tc>
                <w:tcPr>
                  <w:tcW w:w="3366" w:type="pct"/>
                  <w:tcBorders>
                    <w:top w:val="single" w:sz="4" w:space="0" w:color="auto"/>
                    <w:left w:val="single" w:sz="4" w:space="0" w:color="auto"/>
                    <w:bottom w:val="single" w:sz="4" w:space="0" w:color="auto"/>
                    <w:right w:val="single" w:sz="4" w:space="0" w:color="auto"/>
                  </w:tcBorders>
                  <w:hideMark/>
                </w:tcPr>
                <w:p w14:paraId="768E756C" w14:textId="5E9F2F0C" w:rsidR="00001F04" w:rsidRPr="00A552C3" w:rsidRDefault="00001F04" w:rsidP="00001F04">
                  <w:pPr>
                    <w:spacing w:after="60"/>
                    <w:rPr>
                      <w:i/>
                      <w:iCs/>
                      <w:sz w:val="20"/>
                    </w:rPr>
                  </w:pPr>
                  <w:r w:rsidRPr="00A552C3">
                    <w:rPr>
                      <w:i/>
                      <w:iCs/>
                      <w:sz w:val="20"/>
                    </w:rPr>
                    <w:t>Low Sustained Limit</w:t>
                  </w:r>
                  <w:r w:rsidRPr="00A552C3">
                    <w:rPr>
                      <w:iCs/>
                      <w:sz w:val="20"/>
                    </w:rPr>
                    <w:t xml:space="preserve">—The LSL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defined in Section 2, for the hour that includes the Settlement Interval. </w:t>
                  </w:r>
                  <w:r w:rsidR="008152FC" w:rsidRPr="00D67DA7">
                    <w:rPr>
                      <w:iCs/>
                      <w:sz w:val="20"/>
                    </w:rPr>
                    <w:t xml:space="preserve">Where for a combined cycle resource, </w:t>
                  </w:r>
                  <w:r w:rsidR="008152FC" w:rsidRPr="00D67DA7">
                    <w:rPr>
                      <w:i/>
                      <w:iCs/>
                      <w:sz w:val="20"/>
                    </w:rPr>
                    <w:t>r</w:t>
                  </w:r>
                  <w:r w:rsidR="008152FC" w:rsidRPr="00D67DA7">
                    <w:rPr>
                      <w:iCs/>
                      <w:sz w:val="20"/>
                    </w:rPr>
                    <w:t xml:space="preserve"> is a Combined Cycle Generation Resource.</w:t>
                  </w:r>
                  <w:r w:rsidRPr="00A552C3">
                    <w:rPr>
                      <w:iCs/>
                      <w:sz w:val="20"/>
                    </w:rPr>
                    <w:t xml:space="preserve"> </w:t>
                  </w:r>
                </w:p>
              </w:tc>
            </w:tr>
            <w:tr w:rsidR="00001F04" w:rsidRPr="00A552C3" w14:paraId="623FAD23"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5406EBCD" w14:textId="77777777" w:rsidR="00001F04" w:rsidRPr="00A552C3" w:rsidRDefault="00001F04" w:rsidP="00001F04">
                  <w:pPr>
                    <w:spacing w:after="60"/>
                    <w:rPr>
                      <w:i/>
                      <w:iCs/>
                      <w:sz w:val="20"/>
                    </w:rPr>
                  </w:pPr>
                  <w:r w:rsidRPr="00A552C3">
                    <w:rPr>
                      <w:i/>
                      <w:iCs/>
                      <w:sz w:val="20"/>
                    </w:rPr>
                    <w:t>q</w:t>
                  </w:r>
                </w:p>
              </w:tc>
              <w:tc>
                <w:tcPr>
                  <w:tcW w:w="618" w:type="pct"/>
                  <w:tcBorders>
                    <w:top w:val="single" w:sz="4" w:space="0" w:color="auto"/>
                    <w:left w:val="single" w:sz="4" w:space="0" w:color="auto"/>
                    <w:bottom w:val="single" w:sz="4" w:space="0" w:color="auto"/>
                    <w:right w:val="single" w:sz="4" w:space="0" w:color="auto"/>
                  </w:tcBorders>
                  <w:hideMark/>
                </w:tcPr>
                <w:p w14:paraId="2890ECE5" w14:textId="77777777" w:rsidR="00001F04" w:rsidRPr="00A552C3" w:rsidRDefault="00001F04" w:rsidP="00001F04">
                  <w:pPr>
                    <w:spacing w:after="60"/>
                    <w:rPr>
                      <w:iCs/>
                      <w:sz w:val="20"/>
                    </w:rPr>
                  </w:pPr>
                  <w:r w:rsidRPr="00A552C3">
                    <w:rPr>
                      <w:iCs/>
                      <w:sz w:val="20"/>
                    </w:rPr>
                    <w:t>none</w:t>
                  </w:r>
                </w:p>
              </w:tc>
              <w:tc>
                <w:tcPr>
                  <w:tcW w:w="3366" w:type="pct"/>
                  <w:tcBorders>
                    <w:top w:val="single" w:sz="4" w:space="0" w:color="auto"/>
                    <w:left w:val="single" w:sz="4" w:space="0" w:color="auto"/>
                    <w:bottom w:val="single" w:sz="4" w:space="0" w:color="auto"/>
                    <w:right w:val="single" w:sz="4" w:space="0" w:color="auto"/>
                  </w:tcBorders>
                  <w:hideMark/>
                </w:tcPr>
                <w:p w14:paraId="5ADCC35D" w14:textId="77777777" w:rsidR="00001F04" w:rsidRPr="00A552C3" w:rsidRDefault="00001F04" w:rsidP="00001F04">
                  <w:pPr>
                    <w:spacing w:after="60"/>
                    <w:rPr>
                      <w:iCs/>
                      <w:sz w:val="20"/>
                    </w:rPr>
                  </w:pPr>
                  <w:r w:rsidRPr="00A552C3">
                    <w:rPr>
                      <w:iCs/>
                      <w:sz w:val="20"/>
                    </w:rPr>
                    <w:t>A QSE.</w:t>
                  </w:r>
                </w:p>
              </w:tc>
            </w:tr>
            <w:tr w:rsidR="00001F04" w:rsidRPr="00A552C3" w14:paraId="26D34FF2"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FE1F633" w14:textId="77777777" w:rsidR="00001F04" w:rsidRPr="00A552C3" w:rsidRDefault="00001F04" w:rsidP="00001F04">
                  <w:pPr>
                    <w:spacing w:after="60"/>
                    <w:rPr>
                      <w:i/>
                      <w:iCs/>
                      <w:sz w:val="20"/>
                    </w:rPr>
                  </w:pPr>
                  <w:r w:rsidRPr="00A552C3">
                    <w:rPr>
                      <w:i/>
                      <w:iCs/>
                      <w:sz w:val="20"/>
                    </w:rPr>
                    <w:t>r</w:t>
                  </w:r>
                </w:p>
              </w:tc>
              <w:tc>
                <w:tcPr>
                  <w:tcW w:w="618" w:type="pct"/>
                  <w:tcBorders>
                    <w:top w:val="single" w:sz="4" w:space="0" w:color="auto"/>
                    <w:left w:val="single" w:sz="4" w:space="0" w:color="auto"/>
                    <w:bottom w:val="single" w:sz="4" w:space="0" w:color="auto"/>
                    <w:right w:val="single" w:sz="4" w:space="0" w:color="auto"/>
                  </w:tcBorders>
                  <w:hideMark/>
                </w:tcPr>
                <w:p w14:paraId="5AAEDE3D" w14:textId="77777777" w:rsidR="00001F04" w:rsidRPr="00A552C3" w:rsidRDefault="00001F04" w:rsidP="00001F04">
                  <w:pPr>
                    <w:spacing w:after="60"/>
                    <w:rPr>
                      <w:iCs/>
                      <w:sz w:val="20"/>
                    </w:rPr>
                  </w:pPr>
                  <w:r w:rsidRPr="00A552C3">
                    <w:rPr>
                      <w:iCs/>
                      <w:sz w:val="20"/>
                    </w:rPr>
                    <w:t>none</w:t>
                  </w:r>
                </w:p>
              </w:tc>
              <w:tc>
                <w:tcPr>
                  <w:tcW w:w="3366" w:type="pct"/>
                  <w:tcBorders>
                    <w:top w:val="single" w:sz="4" w:space="0" w:color="auto"/>
                    <w:left w:val="single" w:sz="4" w:space="0" w:color="auto"/>
                    <w:bottom w:val="single" w:sz="4" w:space="0" w:color="auto"/>
                    <w:right w:val="single" w:sz="4" w:space="0" w:color="auto"/>
                  </w:tcBorders>
                  <w:hideMark/>
                </w:tcPr>
                <w:p w14:paraId="0190B097" w14:textId="61FDB627" w:rsidR="00001F04" w:rsidRPr="00A552C3" w:rsidRDefault="00001F04" w:rsidP="00AB690C">
                  <w:pPr>
                    <w:spacing w:after="60"/>
                    <w:rPr>
                      <w:iCs/>
                      <w:sz w:val="20"/>
                    </w:rPr>
                  </w:pPr>
                  <w:r w:rsidRPr="00A552C3">
                    <w:rPr>
                      <w:iCs/>
                      <w:sz w:val="20"/>
                    </w:rPr>
                    <w:t xml:space="preserve">A Generation Resource or </w:t>
                  </w:r>
                  <w:r w:rsidR="00AD486D">
                    <w:rPr>
                      <w:iCs/>
                      <w:sz w:val="20"/>
                    </w:rPr>
                    <w:t>ESR</w:t>
                  </w:r>
                  <w:r w:rsidRPr="00A552C3">
                    <w:rPr>
                      <w:iCs/>
                      <w:sz w:val="20"/>
                    </w:rPr>
                    <w:t>.</w:t>
                  </w:r>
                </w:p>
              </w:tc>
            </w:tr>
          </w:tbl>
          <w:p w14:paraId="13AECE82" w14:textId="341C7588" w:rsidR="00001F04" w:rsidRPr="00A552C3" w:rsidRDefault="00001F04" w:rsidP="00001F04">
            <w:pPr>
              <w:spacing w:before="240" w:after="240"/>
              <w:ind w:left="720" w:hanging="720"/>
            </w:pPr>
            <w:r w:rsidRPr="00A552C3">
              <w:t>(</w:t>
            </w:r>
            <w:r w:rsidR="008152FC">
              <w:t>4</w:t>
            </w:r>
            <w:r w:rsidRPr="00A552C3">
              <w:t>)</w:t>
            </w:r>
            <w:r w:rsidRPr="00A552C3">
              <w:tab/>
              <w:t>The total additional compensation to each QSE for voltage support service for the 15-minute Settlement Interval is calculated as follows:</w:t>
            </w:r>
          </w:p>
          <w:p w14:paraId="34351D2B" w14:textId="77777777" w:rsidR="00001F04" w:rsidRPr="00A552C3" w:rsidRDefault="00001F04" w:rsidP="00001F04">
            <w:pPr>
              <w:spacing w:after="240"/>
              <w:ind w:left="720"/>
              <w:rPr>
                <w:rFonts w:ascii="Times New Roman Bold" w:hAnsi="Times New Roman Bold"/>
                <w:i/>
                <w:vertAlign w:val="subscript"/>
              </w:rPr>
            </w:pPr>
            <w:r w:rsidRPr="00A552C3">
              <w:rPr>
                <w:b/>
              </w:rPr>
              <w:t>VSSVARAMTQSETOT</w:t>
            </w:r>
            <w:r w:rsidRPr="00A552C3">
              <w:rPr>
                <w:rFonts w:ascii="Times New Roman Bold" w:hAnsi="Times New Roman Bold"/>
                <w:b/>
                <w:vertAlign w:val="subscript"/>
              </w:rPr>
              <w:t>q</w:t>
            </w:r>
            <w:r w:rsidRPr="00A552C3">
              <w:rPr>
                <w:b/>
              </w:rPr>
              <w:t xml:space="preserve"> =  </w:t>
            </w:r>
            <w:r w:rsidRPr="00A552C3">
              <w:rPr>
                <w:iCs/>
                <w:position w:val="-28"/>
              </w:rPr>
              <w:object w:dxaOrig="435" w:dyaOrig="735" w14:anchorId="70DD48FD">
                <v:shape id="_x0000_i1230" type="#_x0000_t75" style="width:24pt;height:36.6pt" o:ole="">
                  <v:imagedata r:id="rId280" o:title=""/>
                </v:shape>
                <o:OLEObject Type="Embed" ProgID="Equation.3" ShapeID="_x0000_i1230" DrawAspect="Content" ObjectID="_1815025419" r:id="rId283"/>
              </w:object>
            </w:r>
            <w:r w:rsidRPr="00A552C3">
              <w:rPr>
                <w:b/>
              </w:rPr>
              <w:t xml:space="preserve"> VSSVARAMT</w:t>
            </w:r>
            <w:r w:rsidRPr="00A552C3">
              <w:rPr>
                <w:rFonts w:ascii="Times New Roman Bold" w:hAnsi="Times New Roman Bold"/>
                <w:i/>
                <w:vertAlign w:val="subscript"/>
              </w:rPr>
              <w:t>q,r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3"/>
              <w:gridCol w:w="864"/>
              <w:gridCol w:w="6003"/>
            </w:tblGrid>
            <w:tr w:rsidR="00001F04" w:rsidRPr="00A552C3" w14:paraId="5925AF90" w14:textId="77777777" w:rsidTr="00C952ED">
              <w:trPr>
                <w:cantSplit/>
                <w:tblHeader/>
              </w:trPr>
              <w:tc>
                <w:tcPr>
                  <w:tcW w:w="1231" w:type="pct"/>
                  <w:tcBorders>
                    <w:top w:val="single" w:sz="4" w:space="0" w:color="auto"/>
                    <w:left w:val="single" w:sz="4" w:space="0" w:color="auto"/>
                    <w:bottom w:val="single" w:sz="4" w:space="0" w:color="auto"/>
                    <w:right w:val="single" w:sz="4" w:space="0" w:color="auto"/>
                  </w:tcBorders>
                  <w:hideMark/>
                </w:tcPr>
                <w:p w14:paraId="74ACC4D6" w14:textId="77777777" w:rsidR="00001F04" w:rsidRPr="00622175" w:rsidRDefault="00001F04" w:rsidP="00001F04">
                  <w:pPr>
                    <w:spacing w:after="240"/>
                    <w:rPr>
                      <w:b/>
                      <w:iCs/>
                      <w:sz w:val="20"/>
                    </w:rPr>
                  </w:pPr>
                  <w:r w:rsidRPr="00233C78">
                    <w:rPr>
                      <w:b/>
                      <w:sz w:val="20"/>
                    </w:rPr>
                    <w:t>Variable</w:t>
                  </w:r>
                </w:p>
              </w:tc>
              <w:tc>
                <w:tcPr>
                  <w:tcW w:w="474" w:type="pct"/>
                  <w:tcBorders>
                    <w:top w:val="single" w:sz="4" w:space="0" w:color="auto"/>
                    <w:left w:val="single" w:sz="4" w:space="0" w:color="auto"/>
                    <w:bottom w:val="single" w:sz="4" w:space="0" w:color="auto"/>
                    <w:right w:val="single" w:sz="4" w:space="0" w:color="auto"/>
                  </w:tcBorders>
                  <w:hideMark/>
                </w:tcPr>
                <w:p w14:paraId="23082F81" w14:textId="77777777" w:rsidR="00001F04" w:rsidRPr="00A552C3" w:rsidRDefault="00001F04" w:rsidP="00001F04">
                  <w:pPr>
                    <w:spacing w:after="240"/>
                    <w:rPr>
                      <w:b/>
                      <w:iCs/>
                      <w:sz w:val="20"/>
                    </w:rPr>
                  </w:pPr>
                  <w:r w:rsidRPr="00A552C3">
                    <w:rPr>
                      <w:b/>
                      <w:iCs/>
                      <w:sz w:val="20"/>
                    </w:rPr>
                    <w:t>Unit</w:t>
                  </w:r>
                </w:p>
              </w:tc>
              <w:tc>
                <w:tcPr>
                  <w:tcW w:w="3295" w:type="pct"/>
                  <w:tcBorders>
                    <w:top w:val="single" w:sz="4" w:space="0" w:color="auto"/>
                    <w:left w:val="single" w:sz="4" w:space="0" w:color="auto"/>
                    <w:bottom w:val="single" w:sz="4" w:space="0" w:color="auto"/>
                    <w:right w:val="single" w:sz="4" w:space="0" w:color="auto"/>
                  </w:tcBorders>
                  <w:hideMark/>
                </w:tcPr>
                <w:p w14:paraId="0C133D5C" w14:textId="77777777" w:rsidR="00001F04" w:rsidRPr="00A552C3" w:rsidRDefault="00001F04" w:rsidP="00001F04">
                  <w:pPr>
                    <w:spacing w:after="240"/>
                    <w:rPr>
                      <w:b/>
                      <w:iCs/>
                      <w:sz w:val="20"/>
                    </w:rPr>
                  </w:pPr>
                  <w:r w:rsidRPr="00A552C3">
                    <w:rPr>
                      <w:b/>
                      <w:iCs/>
                      <w:sz w:val="20"/>
                    </w:rPr>
                    <w:t>Definition</w:t>
                  </w:r>
                </w:p>
              </w:tc>
            </w:tr>
            <w:tr w:rsidR="00001F04" w:rsidRPr="00A552C3" w14:paraId="249CD026"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15CD098C" w14:textId="77777777" w:rsidR="00001F04" w:rsidRPr="00622175" w:rsidRDefault="00001F04" w:rsidP="00001F04">
                  <w:pPr>
                    <w:spacing w:after="60"/>
                    <w:rPr>
                      <w:iCs/>
                      <w:sz w:val="20"/>
                    </w:rPr>
                  </w:pPr>
                  <w:r w:rsidRPr="00233C78">
                    <w:rPr>
                      <w:iCs/>
                      <w:sz w:val="20"/>
                    </w:rPr>
                    <w:t xml:space="preserve">VSSVARAMT </w:t>
                  </w:r>
                  <w:r w:rsidRPr="00233C78">
                    <w:rPr>
                      <w:i/>
                      <w:iCs/>
                      <w:sz w:val="20"/>
                      <w:vertAlign w:val="subscript"/>
                    </w:rPr>
                    <w:t>q, r</w:t>
                  </w:r>
                </w:p>
              </w:tc>
              <w:tc>
                <w:tcPr>
                  <w:tcW w:w="474" w:type="pct"/>
                  <w:tcBorders>
                    <w:top w:val="single" w:sz="4" w:space="0" w:color="auto"/>
                    <w:left w:val="single" w:sz="4" w:space="0" w:color="auto"/>
                    <w:bottom w:val="single" w:sz="4" w:space="0" w:color="auto"/>
                    <w:right w:val="single" w:sz="4" w:space="0" w:color="auto"/>
                  </w:tcBorders>
                  <w:hideMark/>
                </w:tcPr>
                <w:p w14:paraId="75F3F85A" w14:textId="77777777" w:rsidR="00001F04" w:rsidRPr="00A552C3" w:rsidRDefault="00001F04" w:rsidP="00001F04">
                  <w:pPr>
                    <w:spacing w:after="60"/>
                    <w:rPr>
                      <w:iCs/>
                      <w:sz w:val="20"/>
                    </w:rPr>
                  </w:pPr>
                  <w:r w:rsidRPr="00A552C3">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2B8B9340" w14:textId="77777777" w:rsidR="00001F04" w:rsidRPr="00A552C3" w:rsidRDefault="00001F04" w:rsidP="00001F04">
                  <w:pPr>
                    <w:spacing w:after="60"/>
                    <w:rPr>
                      <w:iCs/>
                      <w:sz w:val="20"/>
                    </w:rPr>
                  </w:pPr>
                  <w:r w:rsidRPr="00A552C3">
                    <w:rPr>
                      <w:i/>
                      <w:iCs/>
                      <w:sz w:val="20"/>
                    </w:rPr>
                    <w:t>Voltage Support Service VAr Amount per QSE per Resource</w:t>
                  </w:r>
                  <w:r w:rsidRPr="00A552C3">
                    <w:rPr>
                      <w:iCs/>
                      <w:sz w:val="20"/>
                    </w:rPr>
                    <w:t xml:space="preserve">—The payment to QSE </w:t>
                  </w:r>
                  <w:r w:rsidRPr="00A552C3">
                    <w:rPr>
                      <w:i/>
                      <w:iCs/>
                      <w:sz w:val="20"/>
                    </w:rPr>
                    <w:t>q</w:t>
                  </w:r>
                  <w:r w:rsidRPr="00A552C3">
                    <w:rPr>
                      <w:iCs/>
                      <w:sz w:val="20"/>
                    </w:rPr>
                    <w:t xml:space="preserve"> for the VSS provided by Resource </w:t>
                  </w:r>
                  <w:r w:rsidRPr="00A552C3">
                    <w:rPr>
                      <w:i/>
                      <w:iCs/>
                      <w:sz w:val="20"/>
                    </w:rPr>
                    <w:t>r</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1718CD5D"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2EEA09BD" w14:textId="77777777" w:rsidR="00001F04" w:rsidRPr="00A552C3" w:rsidRDefault="00001F04" w:rsidP="00001F04">
                  <w:pPr>
                    <w:spacing w:after="60"/>
                    <w:rPr>
                      <w:iCs/>
                      <w:sz w:val="20"/>
                    </w:rPr>
                  </w:pPr>
                  <w:r w:rsidRPr="00A552C3">
                    <w:rPr>
                      <w:iCs/>
                      <w:sz w:val="20"/>
                    </w:rPr>
                    <w:t xml:space="preserve">VSSVARAMTQSETOT </w:t>
                  </w:r>
                  <w:r w:rsidRPr="00A552C3">
                    <w:rPr>
                      <w:i/>
                      <w:iCs/>
                      <w:sz w:val="20"/>
                      <w:vertAlign w:val="subscript"/>
                    </w:rPr>
                    <w:t>q</w:t>
                  </w:r>
                </w:p>
              </w:tc>
              <w:tc>
                <w:tcPr>
                  <w:tcW w:w="474" w:type="pct"/>
                  <w:tcBorders>
                    <w:top w:val="single" w:sz="4" w:space="0" w:color="auto"/>
                    <w:left w:val="single" w:sz="4" w:space="0" w:color="auto"/>
                    <w:bottom w:val="single" w:sz="4" w:space="0" w:color="auto"/>
                    <w:right w:val="single" w:sz="4" w:space="0" w:color="auto"/>
                  </w:tcBorders>
                  <w:hideMark/>
                </w:tcPr>
                <w:p w14:paraId="63845985" w14:textId="77777777" w:rsidR="00001F04" w:rsidRPr="00A552C3" w:rsidRDefault="00001F04" w:rsidP="00001F04">
                  <w:pPr>
                    <w:spacing w:after="60"/>
                    <w:rPr>
                      <w:i/>
                      <w:iCs/>
                      <w:sz w:val="20"/>
                    </w:rPr>
                  </w:pPr>
                  <w:r w:rsidRPr="00A552C3">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676B368E" w14:textId="77777777" w:rsidR="00001F04" w:rsidRPr="00A552C3" w:rsidRDefault="00001F04" w:rsidP="00001F04">
                  <w:pPr>
                    <w:spacing w:after="60"/>
                    <w:rPr>
                      <w:iCs/>
                      <w:sz w:val="20"/>
                    </w:rPr>
                  </w:pPr>
                  <w:r w:rsidRPr="00A552C3">
                    <w:rPr>
                      <w:i/>
                      <w:iCs/>
                      <w:sz w:val="20"/>
                    </w:rPr>
                    <w:t>Voltage Support VAr Amount QSE total per QSE</w:t>
                  </w:r>
                  <w:r w:rsidRPr="00A552C3">
                    <w:rPr>
                      <w:iCs/>
                      <w:sz w:val="20"/>
                    </w:rPr>
                    <w:t xml:space="preserve">—The total of the payments to QSE </w:t>
                  </w:r>
                  <w:r w:rsidRPr="00A552C3">
                    <w:rPr>
                      <w:i/>
                      <w:iCs/>
                      <w:sz w:val="20"/>
                    </w:rPr>
                    <w:t>q</w:t>
                  </w:r>
                  <w:r w:rsidRPr="00A552C3">
                    <w:rPr>
                      <w:iCs/>
                      <w:sz w:val="20"/>
                    </w:rPr>
                    <w:t xml:space="preserve"> as compensation for VSS by this QSE for the 15-minute settlement interval.</w:t>
                  </w:r>
                </w:p>
              </w:tc>
            </w:tr>
            <w:tr w:rsidR="00001F04" w:rsidRPr="00A552C3" w14:paraId="1D89EC52"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2D8B3237" w14:textId="77777777" w:rsidR="00001F04" w:rsidRPr="00A552C3" w:rsidRDefault="00001F04" w:rsidP="00001F04">
                  <w:pPr>
                    <w:spacing w:after="60"/>
                    <w:rPr>
                      <w:i/>
                      <w:iCs/>
                      <w:sz w:val="20"/>
                    </w:rPr>
                  </w:pPr>
                  <w:r w:rsidRPr="00A552C3">
                    <w:rPr>
                      <w:i/>
                      <w:iCs/>
                      <w:sz w:val="20"/>
                    </w:rPr>
                    <w:t>q</w:t>
                  </w:r>
                </w:p>
              </w:tc>
              <w:tc>
                <w:tcPr>
                  <w:tcW w:w="474" w:type="pct"/>
                  <w:tcBorders>
                    <w:top w:val="single" w:sz="4" w:space="0" w:color="auto"/>
                    <w:left w:val="single" w:sz="4" w:space="0" w:color="auto"/>
                    <w:bottom w:val="single" w:sz="4" w:space="0" w:color="auto"/>
                    <w:right w:val="single" w:sz="4" w:space="0" w:color="auto"/>
                  </w:tcBorders>
                  <w:hideMark/>
                </w:tcPr>
                <w:p w14:paraId="5012421E" w14:textId="77777777" w:rsidR="00001F04" w:rsidRPr="00A552C3" w:rsidRDefault="00001F04" w:rsidP="00001F04">
                  <w:pPr>
                    <w:spacing w:after="60"/>
                    <w:rPr>
                      <w:iCs/>
                      <w:sz w:val="20"/>
                    </w:rPr>
                  </w:pPr>
                  <w:r w:rsidRPr="00A552C3">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677F6671" w14:textId="77777777" w:rsidR="00001F04" w:rsidRPr="00A552C3" w:rsidRDefault="00001F04" w:rsidP="00001F04">
                  <w:pPr>
                    <w:spacing w:after="60"/>
                    <w:rPr>
                      <w:iCs/>
                      <w:sz w:val="20"/>
                    </w:rPr>
                  </w:pPr>
                  <w:r w:rsidRPr="00A552C3">
                    <w:rPr>
                      <w:iCs/>
                      <w:sz w:val="20"/>
                    </w:rPr>
                    <w:t>A QSE.</w:t>
                  </w:r>
                </w:p>
              </w:tc>
            </w:tr>
            <w:tr w:rsidR="00001F04" w:rsidRPr="00A552C3" w14:paraId="4983165F"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4F3BD583" w14:textId="77777777" w:rsidR="00001F04" w:rsidRPr="00A552C3" w:rsidRDefault="00001F04" w:rsidP="00001F04">
                  <w:pPr>
                    <w:spacing w:after="60"/>
                    <w:rPr>
                      <w:i/>
                      <w:iCs/>
                      <w:sz w:val="20"/>
                    </w:rPr>
                  </w:pPr>
                  <w:r w:rsidRPr="00A552C3">
                    <w:rPr>
                      <w:i/>
                      <w:iCs/>
                      <w:sz w:val="20"/>
                    </w:rPr>
                    <w:t>r</w:t>
                  </w:r>
                </w:p>
              </w:tc>
              <w:tc>
                <w:tcPr>
                  <w:tcW w:w="474" w:type="pct"/>
                  <w:tcBorders>
                    <w:top w:val="single" w:sz="4" w:space="0" w:color="auto"/>
                    <w:left w:val="single" w:sz="4" w:space="0" w:color="auto"/>
                    <w:bottom w:val="single" w:sz="4" w:space="0" w:color="auto"/>
                    <w:right w:val="single" w:sz="4" w:space="0" w:color="auto"/>
                  </w:tcBorders>
                  <w:hideMark/>
                </w:tcPr>
                <w:p w14:paraId="457AE69E" w14:textId="77777777" w:rsidR="00001F04" w:rsidRPr="00A552C3" w:rsidRDefault="00001F04" w:rsidP="00001F04">
                  <w:pPr>
                    <w:spacing w:after="60"/>
                    <w:rPr>
                      <w:iCs/>
                      <w:sz w:val="20"/>
                    </w:rPr>
                  </w:pPr>
                  <w:r w:rsidRPr="00A552C3">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16EE280C" w14:textId="5D41E0CA" w:rsidR="00001F04" w:rsidRPr="00A552C3" w:rsidRDefault="00001F04" w:rsidP="00AB690C">
                  <w:pPr>
                    <w:spacing w:after="60"/>
                    <w:rPr>
                      <w:iCs/>
                      <w:sz w:val="20"/>
                    </w:rPr>
                  </w:pPr>
                  <w:r w:rsidRPr="00A552C3">
                    <w:rPr>
                      <w:iCs/>
                      <w:sz w:val="20"/>
                    </w:rPr>
                    <w:t xml:space="preserve">A Generation Resource or </w:t>
                  </w:r>
                  <w:r w:rsidR="00AD486D">
                    <w:rPr>
                      <w:iCs/>
                      <w:sz w:val="20"/>
                    </w:rPr>
                    <w:t>ESR</w:t>
                  </w:r>
                  <w:r w:rsidRPr="00A552C3">
                    <w:rPr>
                      <w:iCs/>
                      <w:sz w:val="20"/>
                    </w:rPr>
                    <w:t>.</w:t>
                  </w:r>
                </w:p>
              </w:tc>
            </w:tr>
          </w:tbl>
          <w:p w14:paraId="44FE1553" w14:textId="77777777" w:rsidR="00001F04" w:rsidRPr="00A552C3" w:rsidRDefault="00001F04" w:rsidP="00001F04"/>
          <w:p w14:paraId="6284F0AF" w14:textId="335B8A31" w:rsidR="00001F04" w:rsidRPr="00A552C3" w:rsidRDefault="00001F04" w:rsidP="00001F04">
            <w:pPr>
              <w:spacing w:after="240"/>
              <w:ind w:left="720" w:hanging="720"/>
              <w:rPr>
                <w:iCs/>
              </w:rPr>
            </w:pPr>
            <w:r w:rsidRPr="00A552C3">
              <w:t>(</w:t>
            </w:r>
            <w:r w:rsidR="008152FC">
              <w:t>5</w:t>
            </w:r>
            <w:r w:rsidRPr="00A552C3">
              <w:t>)</w:t>
            </w:r>
            <w:r w:rsidRPr="00A552C3">
              <w:tab/>
              <w:t>The lost opportunity payment, if applicable:</w:t>
            </w:r>
          </w:p>
          <w:p w14:paraId="21125A1E"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If an ESR has a net withdrawal for the Settlement Interval, then: </w:t>
            </w:r>
          </w:p>
          <w:p w14:paraId="581803FE" w14:textId="77777777" w:rsidR="00001F04" w:rsidRPr="00A552C3" w:rsidRDefault="00001F04" w:rsidP="00001F04">
            <w:pPr>
              <w:tabs>
                <w:tab w:val="left" w:pos="2340"/>
                <w:tab w:val="left" w:pos="3420"/>
              </w:tabs>
              <w:spacing w:after="240"/>
              <w:ind w:left="3420" w:hanging="2700"/>
              <w:rPr>
                <w:rFonts w:asciiTheme="minorHAnsi" w:eastAsiaTheme="minorHAnsi" w:hAnsiTheme="minorHAnsi" w:cstheme="minorBidi"/>
                <w:b/>
                <w:sz w:val="22"/>
                <w:szCs w:val="22"/>
                <w:lang w:val="pt-BR"/>
              </w:rPr>
            </w:pPr>
            <w:r w:rsidRPr="00A552C3">
              <w:rPr>
                <w:b/>
                <w:bCs/>
                <w:lang w:val="pt-BR"/>
              </w:rPr>
              <w:t xml:space="preserve">VSSEAMT </w:t>
            </w:r>
            <w:r w:rsidRPr="00A552C3">
              <w:rPr>
                <w:b/>
                <w:bCs/>
                <w:i/>
                <w:vertAlign w:val="subscript"/>
                <w:lang w:val="pt-BR"/>
              </w:rPr>
              <w:t>q, r</w:t>
            </w:r>
            <w:r w:rsidRPr="00A552C3">
              <w:rPr>
                <w:b/>
                <w:bCs/>
                <w:lang w:val="pt-BR"/>
              </w:rPr>
              <w:tab/>
              <w:t xml:space="preserve"> =  </w:t>
            </w:r>
            <w:r w:rsidRPr="00A552C3">
              <w:rPr>
                <w:b/>
                <w:bCs/>
              </w:rPr>
              <w:t xml:space="preserve">(-1) * Max (0, </w:t>
            </w:r>
            <w:r w:rsidRPr="00A552C3">
              <w:rPr>
                <w:b/>
                <w:bCs/>
                <w:lang w:val="pt-BR"/>
              </w:rPr>
              <w:t>RTSPP</w:t>
            </w:r>
            <w:r w:rsidRPr="00A552C3">
              <w:rPr>
                <w:rFonts w:ascii="Times New Roman Bold" w:hAnsi="Times New Roman Bold"/>
                <w:b/>
                <w:bCs/>
                <w:vertAlign w:val="subscript"/>
                <w:lang w:val="pt-BR"/>
              </w:rPr>
              <w:t xml:space="preserve"> </w:t>
            </w:r>
            <w:r w:rsidRPr="00A552C3">
              <w:rPr>
                <w:rFonts w:ascii="Times New Roman Bold" w:hAnsi="Times New Roman Bold"/>
                <w:b/>
                <w:bCs/>
                <w:i/>
                <w:vertAlign w:val="subscript"/>
                <w:lang w:val="pt-BR"/>
              </w:rPr>
              <w:t>p</w:t>
            </w:r>
            <w:r w:rsidRPr="00A552C3">
              <w:rPr>
                <w:b/>
                <w:bCs/>
                <w:lang w:val="pt-BR"/>
              </w:rPr>
              <w:t xml:space="preserve"> ) * Max (0,  (ABS(LSL </w:t>
            </w:r>
            <w:r w:rsidRPr="00A552C3">
              <w:rPr>
                <w:b/>
                <w:bCs/>
                <w:i/>
                <w:vertAlign w:val="subscript"/>
                <w:lang w:val="pt-BR"/>
              </w:rPr>
              <w:t>q, r</w:t>
            </w:r>
            <w:r w:rsidRPr="00A552C3">
              <w:rPr>
                <w:b/>
                <w:bCs/>
                <w:lang w:val="pt-BR"/>
              </w:rPr>
              <w:t xml:space="preserve"> * ¼  - </w:t>
            </w:r>
            <w:r w:rsidRPr="00A552C3">
              <w:rPr>
                <w:b/>
                <w:bCs/>
              </w:rPr>
              <w:t>NETVSSA</w:t>
            </w:r>
            <w:r w:rsidRPr="00A552C3">
              <w:rPr>
                <w:b/>
                <w:bCs/>
                <w:i/>
                <w:vertAlign w:val="subscript"/>
              </w:rPr>
              <w:t xml:space="preserve"> q, r</w:t>
            </w:r>
            <w:r w:rsidRPr="00A552C3">
              <w:rPr>
                <w:b/>
                <w:bCs/>
                <w:lang w:val="pt-BR"/>
              </w:rPr>
              <w:t>)))</w:t>
            </w:r>
          </w:p>
          <w:p w14:paraId="2C5E11F9" w14:textId="158D164A" w:rsidR="00001F04" w:rsidRPr="00001F04" w:rsidRDefault="008152FC" w:rsidP="008152FC">
            <w:pPr>
              <w:spacing w:after="240"/>
              <w:ind w:left="720" w:hanging="720"/>
              <w:rPr>
                <w:lang w:val="pt-BR"/>
              </w:rPr>
            </w:pPr>
            <w:r w:rsidRPr="00A552C3">
              <w:tab/>
            </w:r>
            <w:r w:rsidR="00001F04" w:rsidRPr="00001F04">
              <w:rPr>
                <w:bCs/>
                <w:lang w:val="pt-BR"/>
              </w:rPr>
              <w:t>Otherwise</w:t>
            </w:r>
            <w:r>
              <w:rPr>
                <w:bCs/>
                <w:lang w:val="pt-BR"/>
              </w:rPr>
              <w:t>, for Generation Resources or ESRs that have a net injection for the Settlement Interval</w:t>
            </w:r>
            <w:r w:rsidR="00001F04" w:rsidRPr="00001F04">
              <w:rPr>
                <w:bCs/>
                <w:lang w:val="pt-BR"/>
              </w:rPr>
              <w:t>:</w:t>
            </w:r>
          </w:p>
          <w:p w14:paraId="72F85221" w14:textId="64F76B62" w:rsidR="00001F04" w:rsidRDefault="00001F04" w:rsidP="00001F04">
            <w:pPr>
              <w:pStyle w:val="FormulaBold"/>
              <w:rPr>
                <w:lang w:val="pt-BR"/>
              </w:rPr>
            </w:pPr>
            <w:r w:rsidRPr="00A552C3">
              <w:rPr>
                <w:lang w:val="pt-BR"/>
              </w:rPr>
              <w:t xml:space="preserve">VSSEAMT </w:t>
            </w:r>
            <w:r w:rsidRPr="00A552C3">
              <w:rPr>
                <w:i/>
                <w:vertAlign w:val="subscript"/>
                <w:lang w:val="pt-BR"/>
              </w:rPr>
              <w:t>q, r</w:t>
            </w:r>
            <w:r w:rsidRPr="00A552C3">
              <w:rPr>
                <w:lang w:val="pt-BR"/>
              </w:rPr>
              <w:tab/>
            </w:r>
            <w:r>
              <w:rPr>
                <w:lang w:val="pt-BR"/>
              </w:rPr>
              <w:t xml:space="preserve">=     </w:t>
            </w:r>
            <w:r w:rsidRPr="00A552C3">
              <w:t xml:space="preserve">(-1) * </w:t>
            </w:r>
            <w:r w:rsidRPr="00A552C3">
              <w:rPr>
                <w:lang w:val="pt-BR"/>
              </w:rPr>
              <w:t>Max (0, (RTSPP</w:t>
            </w:r>
            <w:r w:rsidRPr="00A552C3">
              <w:rPr>
                <w:rFonts w:ascii="Times New Roman Bold" w:hAnsi="Times New Roman Bold"/>
                <w:vertAlign w:val="subscript"/>
                <w:lang w:val="pt-BR"/>
              </w:rPr>
              <w:t xml:space="preserve"> </w:t>
            </w:r>
            <w:r w:rsidRPr="00A552C3">
              <w:rPr>
                <w:rFonts w:ascii="Times New Roman Bold" w:hAnsi="Times New Roman Bold"/>
                <w:i/>
                <w:vertAlign w:val="subscript"/>
                <w:lang w:val="pt-BR"/>
              </w:rPr>
              <w:t>p</w:t>
            </w:r>
            <w:r w:rsidRPr="00A552C3">
              <w:rPr>
                <w:lang w:val="pt-BR"/>
              </w:rPr>
              <w:t xml:space="preserve"> –</w:t>
            </w:r>
            <w:r w:rsidRPr="00A552C3">
              <w:t xml:space="preserve"> RTEOCOST </w:t>
            </w:r>
            <w:r w:rsidRPr="00A552C3">
              <w:rPr>
                <w:i/>
                <w:vertAlign w:val="subscript"/>
              </w:rPr>
              <w:t>q, r, i</w:t>
            </w:r>
            <w:r w:rsidRPr="00A552C3">
              <w:rPr>
                <w:lang w:val="pt-BR"/>
              </w:rPr>
              <w:t xml:space="preserve">) * Max (0, (HSL </w:t>
            </w:r>
            <w:r w:rsidRPr="00A552C3">
              <w:rPr>
                <w:i/>
                <w:vertAlign w:val="subscript"/>
                <w:lang w:val="pt-BR"/>
              </w:rPr>
              <w:t>q, r</w:t>
            </w:r>
            <w:r w:rsidRPr="00A552C3">
              <w:rPr>
                <w:lang w:val="pt-BR"/>
              </w:rPr>
              <w:t xml:space="preserve"> * ¼ - </w:t>
            </w:r>
            <w:r w:rsidRPr="00A552C3">
              <w:rPr>
                <w:bCs w:val="0"/>
              </w:rPr>
              <w:t>NETVSSA</w:t>
            </w:r>
            <w:r w:rsidRPr="00A552C3">
              <w:rPr>
                <w:bCs w:val="0"/>
                <w:i/>
                <w:vertAlign w:val="subscript"/>
              </w:rPr>
              <w:t xml:space="preserve"> q, r</w:t>
            </w:r>
            <w:r w:rsidRPr="00A552C3">
              <w:rPr>
                <w:lang w:val="pt-BR"/>
              </w:rPr>
              <w:t>)))</w:t>
            </w:r>
          </w:p>
          <w:p w14:paraId="2C45337C" w14:textId="77777777" w:rsidR="00001F04" w:rsidRPr="00001F04" w:rsidRDefault="00001F04" w:rsidP="00001F04">
            <w:pPr>
              <w:tabs>
                <w:tab w:val="left" w:pos="2340"/>
                <w:tab w:val="left" w:pos="3420"/>
              </w:tabs>
              <w:spacing w:after="240"/>
              <w:ind w:left="3420" w:hanging="2700"/>
              <w:rPr>
                <w:bCs/>
                <w:lang w:val="pt-BR"/>
              </w:rPr>
            </w:pPr>
            <w:r w:rsidRPr="00001F04">
              <w:rPr>
                <w:bCs/>
                <w:lang w:val="pt-BR"/>
              </w:rPr>
              <w:t>Where:</w:t>
            </w:r>
          </w:p>
          <w:p w14:paraId="75D4E82C" w14:textId="77777777" w:rsidR="00001F04" w:rsidRPr="00A552C3" w:rsidRDefault="00001F04" w:rsidP="00001F04">
            <w:pPr>
              <w:tabs>
                <w:tab w:val="left" w:pos="2340"/>
                <w:tab w:val="left" w:pos="3420"/>
              </w:tabs>
              <w:spacing w:after="240"/>
              <w:ind w:left="3420" w:hanging="2700"/>
              <w:rPr>
                <w:b/>
                <w:bCs/>
                <w:lang w:val="pt-BR"/>
              </w:rPr>
            </w:pPr>
            <w:r w:rsidRPr="00A552C3">
              <w:rPr>
                <w:bCs/>
              </w:rPr>
              <w:lastRenderedPageBreak/>
              <w:t>NETVSSA</w:t>
            </w:r>
            <w:r w:rsidRPr="00A552C3">
              <w:rPr>
                <w:bCs/>
                <w:i/>
                <w:vertAlign w:val="subscript"/>
              </w:rPr>
              <w:t xml:space="preserve"> q, r</w:t>
            </w:r>
            <w:r w:rsidRPr="00A552C3">
              <w:rPr>
                <w:bCs/>
              </w:rPr>
              <w:t xml:space="preserve"> = RTCL </w:t>
            </w:r>
            <w:r w:rsidRPr="00A552C3">
              <w:rPr>
                <w:bCs/>
                <w:i/>
                <w:vertAlign w:val="subscript"/>
              </w:rPr>
              <w:t xml:space="preserve">q, r </w:t>
            </w:r>
            <w:r w:rsidRPr="00A552C3">
              <w:rPr>
                <w:bCs/>
                <w:i/>
              </w:rPr>
              <w:t xml:space="preserve">+ </w:t>
            </w:r>
            <w:r w:rsidRPr="00A552C3">
              <w:rPr>
                <w:bCs/>
              </w:rPr>
              <w:t xml:space="preserve">RTMG </w:t>
            </w:r>
            <w:r w:rsidRPr="00A552C3">
              <w:rPr>
                <w:bCs/>
                <w:i/>
                <w:vertAlign w:val="subscript"/>
              </w:rPr>
              <w:t>q, r</w:t>
            </w:r>
          </w:p>
          <w:p w14:paraId="03DBCECF" w14:textId="3F383AC9" w:rsidR="00001F04" w:rsidRPr="00A552C3" w:rsidRDefault="00001F04" w:rsidP="00001F04">
            <w:pPr>
              <w:tabs>
                <w:tab w:val="left" w:pos="2340"/>
                <w:tab w:val="left" w:pos="3420"/>
              </w:tabs>
              <w:spacing w:after="240"/>
              <w:ind w:left="3420" w:hanging="2700"/>
              <w:rPr>
                <w:rFonts w:asciiTheme="minorHAnsi" w:eastAsiaTheme="minorHAnsi" w:hAnsiTheme="minorHAnsi" w:cstheme="minorBidi"/>
                <w:sz w:val="22"/>
                <w:szCs w:val="22"/>
                <w:lang w:val="pt-BR"/>
              </w:rPr>
            </w:pPr>
            <w:r w:rsidRPr="00A552C3">
              <w:rPr>
                <w:bCs/>
                <w:lang w:val="pt-BR"/>
              </w:rPr>
              <w:t>For an ESR that is not a WSL:</w:t>
            </w:r>
          </w:p>
          <w:p w14:paraId="22998131" w14:textId="77777777" w:rsidR="00001F04" w:rsidRPr="00A552C3" w:rsidRDefault="00001F04" w:rsidP="00001F04">
            <w:pPr>
              <w:tabs>
                <w:tab w:val="left" w:pos="2340"/>
                <w:tab w:val="left" w:pos="3420"/>
              </w:tabs>
              <w:spacing w:after="240"/>
              <w:ind w:left="3420" w:hanging="2700"/>
            </w:pPr>
            <w:r w:rsidRPr="00A552C3">
              <w:rPr>
                <w:bCs/>
              </w:rPr>
              <w:t xml:space="preserve">RTCL </w:t>
            </w:r>
            <w:r w:rsidRPr="00A552C3">
              <w:rPr>
                <w:bCs/>
                <w:i/>
                <w:vertAlign w:val="subscript"/>
              </w:rPr>
              <w:t>q, r</w:t>
            </w:r>
            <w:r w:rsidRPr="00A552C3">
              <w:rPr>
                <w:bCs/>
              </w:rPr>
              <w:t xml:space="preserve"> = </w:t>
            </w:r>
            <w:r w:rsidRPr="00A552C3">
              <w:rPr>
                <w:bCs/>
                <w:position w:val="-22"/>
              </w:rPr>
              <w:t xml:space="preserve"> </w:t>
            </w:r>
            <w:r w:rsidRPr="00A552C3">
              <w:rPr>
                <w:bCs/>
                <w:position w:val="-20"/>
              </w:rPr>
              <w:object w:dxaOrig="270" w:dyaOrig="435" w14:anchorId="74460CB7">
                <v:shape id="_x0000_i1231" type="#_x0000_t75" style="width:12pt;height:24pt" o:ole="">
                  <v:imagedata r:id="rId127" o:title=""/>
                </v:shape>
                <o:OLEObject Type="Embed" ProgID="Equation.3" ShapeID="_x0000_i1231" DrawAspect="Content" ObjectID="_1815025420" r:id="rId284"/>
              </w:object>
            </w:r>
            <w:r w:rsidRPr="00A552C3">
              <w:rPr>
                <w:bCs/>
              </w:rPr>
              <w:t xml:space="preserve"> MEBR </w:t>
            </w:r>
            <w:r w:rsidRPr="00A552C3">
              <w:rPr>
                <w:bCs/>
                <w:i/>
                <w:vertAlign w:val="subscript"/>
              </w:rPr>
              <w:t>q, r, b</w:t>
            </w:r>
            <w:r w:rsidRPr="00A552C3">
              <w:rPr>
                <w:bCs/>
              </w:rPr>
              <w:t xml:space="preserve"> </w:t>
            </w:r>
          </w:p>
          <w:p w14:paraId="75FDEBCC" w14:textId="77777777" w:rsidR="00001F04" w:rsidRPr="00A552C3" w:rsidRDefault="00001F04" w:rsidP="00001F04">
            <w:pPr>
              <w:tabs>
                <w:tab w:val="left" w:pos="2340"/>
                <w:tab w:val="left" w:pos="3420"/>
              </w:tabs>
              <w:spacing w:after="240"/>
              <w:ind w:left="3420" w:hanging="2700"/>
            </w:pPr>
            <w:r w:rsidRPr="00A552C3">
              <w:rPr>
                <w:bCs/>
              </w:rPr>
              <w:t>And for an ESR that is a WSL:</w:t>
            </w:r>
          </w:p>
          <w:p w14:paraId="294BD763" w14:textId="77777777" w:rsidR="00001F04" w:rsidRPr="00A552C3" w:rsidRDefault="00001F04" w:rsidP="00001F04">
            <w:pPr>
              <w:tabs>
                <w:tab w:val="left" w:pos="2340"/>
                <w:tab w:val="left" w:pos="3420"/>
              </w:tabs>
              <w:spacing w:after="240"/>
              <w:ind w:left="3420" w:hanging="2700"/>
              <w:rPr>
                <w:i/>
                <w:vertAlign w:val="subscript"/>
              </w:rPr>
            </w:pPr>
            <w:r w:rsidRPr="00A552C3">
              <w:rPr>
                <w:bCs/>
              </w:rPr>
              <w:t xml:space="preserve">RTCL </w:t>
            </w:r>
            <w:r w:rsidRPr="00A552C3">
              <w:rPr>
                <w:bCs/>
                <w:i/>
                <w:vertAlign w:val="subscript"/>
              </w:rPr>
              <w:t>q, r</w:t>
            </w:r>
            <w:r w:rsidRPr="00A552C3">
              <w:rPr>
                <w:bCs/>
              </w:rPr>
              <w:t xml:space="preserve"> = </w:t>
            </w:r>
            <w:r w:rsidRPr="00A552C3">
              <w:rPr>
                <w:bCs/>
                <w:position w:val="-22"/>
              </w:rPr>
              <w:t xml:space="preserve"> </w:t>
            </w:r>
            <w:r w:rsidRPr="00A552C3">
              <w:rPr>
                <w:bCs/>
                <w:position w:val="-20"/>
              </w:rPr>
              <w:object w:dxaOrig="270" w:dyaOrig="435" w14:anchorId="3E62BD98">
                <v:shape id="_x0000_i1232" type="#_x0000_t75" style="width:12pt;height:24pt" o:ole="">
                  <v:imagedata r:id="rId127" o:title=""/>
                </v:shape>
                <o:OLEObject Type="Embed" ProgID="Equation.3" ShapeID="_x0000_i1232" DrawAspect="Content" ObjectID="_1815025421" r:id="rId285"/>
              </w:object>
            </w:r>
            <w:r w:rsidRPr="00A552C3">
              <w:rPr>
                <w:bCs/>
              </w:rPr>
              <w:t xml:space="preserve"> MEBL </w:t>
            </w:r>
            <w:r w:rsidRPr="00A552C3">
              <w:rPr>
                <w:bCs/>
                <w:i/>
                <w:vertAlign w:val="subscript"/>
              </w:rPr>
              <w:t>q, r, b</w:t>
            </w:r>
            <w:r w:rsidRPr="00A552C3">
              <w:rPr>
                <w:bCs/>
              </w:rPr>
              <w:t xml:space="preserve"> </w:t>
            </w:r>
          </w:p>
          <w:p w14:paraId="5D92C88E" w14:textId="77777777" w:rsidR="00001F04" w:rsidRPr="00A552C3" w:rsidRDefault="00001F04" w:rsidP="00001F04">
            <w:r w:rsidRPr="00A552C3">
              <w:t>The above variables are defined as follows:</w:t>
            </w:r>
          </w:p>
          <w:tbl>
            <w:tblPr>
              <w:tblW w:w="9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0"/>
              <w:gridCol w:w="839"/>
              <w:gridCol w:w="6775"/>
            </w:tblGrid>
            <w:tr w:rsidR="00001F04" w:rsidRPr="00A552C3" w14:paraId="5EAB85CE" w14:textId="77777777" w:rsidTr="00001F04">
              <w:trPr>
                <w:cantSplit/>
                <w:tblHeader/>
              </w:trPr>
              <w:tc>
                <w:tcPr>
                  <w:tcW w:w="823" w:type="pct"/>
                  <w:tcBorders>
                    <w:top w:val="single" w:sz="4" w:space="0" w:color="auto"/>
                    <w:left w:val="single" w:sz="4" w:space="0" w:color="auto"/>
                    <w:bottom w:val="single" w:sz="4" w:space="0" w:color="auto"/>
                    <w:right w:val="single" w:sz="4" w:space="0" w:color="auto"/>
                  </w:tcBorders>
                  <w:hideMark/>
                </w:tcPr>
                <w:p w14:paraId="6324D663" w14:textId="77777777" w:rsidR="00001F04" w:rsidRPr="00622175" w:rsidRDefault="00001F04" w:rsidP="00001F04">
                  <w:pPr>
                    <w:pStyle w:val="TableHead"/>
                    <w:spacing w:line="256" w:lineRule="auto"/>
                  </w:pPr>
                  <w:r w:rsidRPr="0018785B">
                    <w:rPr>
                      <w:iCs w:val="0"/>
                    </w:rPr>
                    <w:t>Variable</w:t>
                  </w:r>
                </w:p>
              </w:tc>
              <w:tc>
                <w:tcPr>
                  <w:tcW w:w="460" w:type="pct"/>
                  <w:tcBorders>
                    <w:top w:val="single" w:sz="4" w:space="0" w:color="auto"/>
                    <w:left w:val="single" w:sz="4" w:space="0" w:color="auto"/>
                    <w:bottom w:val="single" w:sz="4" w:space="0" w:color="auto"/>
                    <w:right w:val="single" w:sz="4" w:space="0" w:color="auto"/>
                  </w:tcBorders>
                  <w:hideMark/>
                </w:tcPr>
                <w:p w14:paraId="174175E6" w14:textId="77777777" w:rsidR="00001F04" w:rsidRPr="00A552C3" w:rsidRDefault="00001F04" w:rsidP="00001F04">
                  <w:pPr>
                    <w:pStyle w:val="TableHead"/>
                    <w:spacing w:line="256" w:lineRule="auto"/>
                  </w:pPr>
                  <w:r w:rsidRPr="00A552C3">
                    <w:t>Unit</w:t>
                  </w:r>
                </w:p>
              </w:tc>
              <w:tc>
                <w:tcPr>
                  <w:tcW w:w="3716" w:type="pct"/>
                  <w:tcBorders>
                    <w:top w:val="single" w:sz="4" w:space="0" w:color="auto"/>
                    <w:left w:val="single" w:sz="4" w:space="0" w:color="auto"/>
                    <w:bottom w:val="single" w:sz="4" w:space="0" w:color="auto"/>
                    <w:right w:val="single" w:sz="4" w:space="0" w:color="auto"/>
                  </w:tcBorders>
                  <w:hideMark/>
                </w:tcPr>
                <w:p w14:paraId="4554BB8A" w14:textId="77777777" w:rsidR="00001F04" w:rsidRPr="00A552C3" w:rsidRDefault="00001F04" w:rsidP="00001F04">
                  <w:pPr>
                    <w:pStyle w:val="TableHead"/>
                    <w:spacing w:line="256" w:lineRule="auto"/>
                  </w:pPr>
                  <w:r w:rsidRPr="00A552C3">
                    <w:t>Definition</w:t>
                  </w:r>
                </w:p>
              </w:tc>
            </w:tr>
            <w:tr w:rsidR="00001F04" w:rsidRPr="00A552C3" w14:paraId="3B3811EA"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75392685" w14:textId="77777777" w:rsidR="00001F04" w:rsidRPr="00001F04" w:rsidRDefault="00001F04" w:rsidP="00001F04">
                  <w:pPr>
                    <w:pStyle w:val="TableBody"/>
                    <w:spacing w:line="256" w:lineRule="auto"/>
                  </w:pPr>
                  <w:r w:rsidRPr="00001F04">
                    <w:t xml:space="preserve">VSSEAMT </w:t>
                  </w:r>
                  <w:r w:rsidRPr="00001F04">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2C87B1BB" w14:textId="77777777" w:rsidR="00001F04" w:rsidRPr="00A552C3" w:rsidRDefault="00001F04" w:rsidP="00001F04">
                  <w:pPr>
                    <w:pStyle w:val="TableBody"/>
                    <w:spacing w:line="256" w:lineRule="auto"/>
                  </w:pPr>
                  <w:r w:rsidRPr="00A552C3">
                    <w:t>$</w:t>
                  </w:r>
                </w:p>
              </w:tc>
              <w:tc>
                <w:tcPr>
                  <w:tcW w:w="3716" w:type="pct"/>
                  <w:tcBorders>
                    <w:top w:val="single" w:sz="4" w:space="0" w:color="auto"/>
                    <w:left w:val="single" w:sz="4" w:space="0" w:color="auto"/>
                    <w:bottom w:val="single" w:sz="4" w:space="0" w:color="auto"/>
                    <w:right w:val="single" w:sz="4" w:space="0" w:color="auto"/>
                  </w:tcBorders>
                  <w:hideMark/>
                </w:tcPr>
                <w:p w14:paraId="6CBA1EAF" w14:textId="77777777" w:rsidR="00001F04" w:rsidRPr="00A552C3" w:rsidRDefault="00001F04" w:rsidP="00001F04">
                  <w:pPr>
                    <w:pStyle w:val="TableBody"/>
                    <w:spacing w:line="256" w:lineRule="auto"/>
                  </w:pPr>
                  <w:r w:rsidRPr="00A552C3">
                    <w:rPr>
                      <w:i/>
                    </w:rPr>
                    <w:t>Voltage Support Service Energy Amount per QSE per Resource</w:t>
                  </w:r>
                  <w:r w:rsidRPr="00A552C3">
                    <w:t xml:space="preserve">—The lost opportunity payment to QSE </w:t>
                  </w:r>
                  <w:r w:rsidRPr="00A552C3">
                    <w:rPr>
                      <w:i/>
                    </w:rPr>
                    <w:t>q</w:t>
                  </w:r>
                  <w:r w:rsidRPr="00A552C3">
                    <w:t xml:space="preserve"> for ERCOT-directed VSS from Resource </w:t>
                  </w:r>
                  <w:r w:rsidRPr="0018785B">
                    <w:rPr>
                      <w:i/>
                    </w:rPr>
                    <w:t>r</w:t>
                  </w:r>
                  <w:r w:rsidRPr="00A552C3">
                    <w:t xml:space="preserve"> for the 15-minute Settlement Interval.  Where for a combined cycle resource, </w:t>
                  </w:r>
                  <w:r w:rsidRPr="00A552C3">
                    <w:rPr>
                      <w:i/>
                    </w:rPr>
                    <w:t>r</w:t>
                  </w:r>
                  <w:r w:rsidRPr="00A552C3">
                    <w:t xml:space="preserve"> is a Combined Cycle Train.</w:t>
                  </w:r>
                </w:p>
              </w:tc>
            </w:tr>
            <w:tr w:rsidR="00001F04" w:rsidRPr="00A552C3" w14:paraId="4EB20E0B"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71141F0A" w14:textId="77777777" w:rsidR="00001F04" w:rsidRPr="00A552C3" w:rsidRDefault="00001F04" w:rsidP="00001F04">
                  <w:pPr>
                    <w:pStyle w:val="TableBody"/>
                    <w:spacing w:line="256" w:lineRule="auto"/>
                  </w:pPr>
                  <w:r w:rsidRPr="00A552C3">
                    <w:t xml:space="preserve">RTMG </w:t>
                  </w:r>
                  <w:r w:rsidRPr="00A552C3">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2BF7A517" w14:textId="77777777" w:rsidR="00001F04" w:rsidRPr="00A552C3" w:rsidRDefault="00001F04" w:rsidP="00001F04">
                  <w:pPr>
                    <w:pStyle w:val="TableBody"/>
                    <w:spacing w:line="256" w:lineRule="auto"/>
                  </w:pPr>
                  <w:r w:rsidRPr="00A552C3">
                    <w:t>MWh</w:t>
                  </w:r>
                </w:p>
              </w:tc>
              <w:tc>
                <w:tcPr>
                  <w:tcW w:w="3716" w:type="pct"/>
                  <w:tcBorders>
                    <w:top w:val="single" w:sz="4" w:space="0" w:color="auto"/>
                    <w:left w:val="single" w:sz="4" w:space="0" w:color="auto"/>
                    <w:bottom w:val="single" w:sz="4" w:space="0" w:color="auto"/>
                    <w:right w:val="single" w:sz="4" w:space="0" w:color="auto"/>
                  </w:tcBorders>
                  <w:hideMark/>
                </w:tcPr>
                <w:p w14:paraId="568530E8" w14:textId="77777777" w:rsidR="00001F04" w:rsidRPr="00A552C3" w:rsidRDefault="00001F04" w:rsidP="00001F04">
                  <w:pPr>
                    <w:pStyle w:val="TableBody"/>
                    <w:spacing w:line="256" w:lineRule="auto"/>
                    <w:rPr>
                      <w:i/>
                    </w:rPr>
                  </w:pPr>
                  <w:r w:rsidRPr="00A552C3">
                    <w:rPr>
                      <w:i/>
                    </w:rPr>
                    <w:t>Real-Time Metered Generation per QSE per Resource</w:t>
                  </w:r>
                  <w:r w:rsidRPr="00A552C3">
                    <w:t xml:space="preserve">—The Real-Time metered generation of Resource </w:t>
                  </w:r>
                  <w:r w:rsidRPr="00A552C3">
                    <w:rPr>
                      <w:i/>
                    </w:rPr>
                    <w:t>r</w:t>
                  </w:r>
                  <w:r w:rsidRPr="00A552C3">
                    <w:t xml:space="preserve"> represented by QSE </w:t>
                  </w:r>
                  <w:r w:rsidRPr="00A552C3">
                    <w:rPr>
                      <w:i/>
                    </w:rPr>
                    <w:t>q</w:t>
                  </w:r>
                  <w:r w:rsidRPr="00A552C3">
                    <w:t xml:space="preserve">, for the 15-minute Settlement Interval.  Where for a combined cycle resource, </w:t>
                  </w:r>
                  <w:r w:rsidRPr="00A552C3">
                    <w:rPr>
                      <w:i/>
                    </w:rPr>
                    <w:t>r</w:t>
                  </w:r>
                  <w:r w:rsidRPr="00A552C3">
                    <w:t xml:space="preserve"> is a Combined Cycle Train.</w:t>
                  </w:r>
                </w:p>
              </w:tc>
            </w:tr>
            <w:tr w:rsidR="00001F04" w:rsidRPr="00A552C3" w14:paraId="381F77A3"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1FD1AD11" w14:textId="77777777" w:rsidR="00001F04" w:rsidRPr="00A552C3" w:rsidRDefault="00001F04" w:rsidP="00001F04">
                  <w:pPr>
                    <w:pStyle w:val="TableBody"/>
                    <w:spacing w:line="256" w:lineRule="auto"/>
                    <w:rPr>
                      <w:vertAlign w:val="subscript"/>
                    </w:rPr>
                  </w:pPr>
                  <w:r w:rsidRPr="00A552C3">
                    <w:t xml:space="preserve">RTSPP </w:t>
                  </w:r>
                  <w:r w:rsidRPr="00A552C3">
                    <w:rPr>
                      <w:i/>
                      <w:vertAlign w:val="subscript"/>
                    </w:rPr>
                    <w:t>p</w:t>
                  </w:r>
                </w:p>
              </w:tc>
              <w:tc>
                <w:tcPr>
                  <w:tcW w:w="460" w:type="pct"/>
                  <w:tcBorders>
                    <w:top w:val="single" w:sz="4" w:space="0" w:color="auto"/>
                    <w:left w:val="single" w:sz="4" w:space="0" w:color="auto"/>
                    <w:bottom w:val="single" w:sz="4" w:space="0" w:color="auto"/>
                    <w:right w:val="single" w:sz="4" w:space="0" w:color="auto"/>
                  </w:tcBorders>
                  <w:hideMark/>
                </w:tcPr>
                <w:p w14:paraId="49E91C53" w14:textId="77777777" w:rsidR="00001F04" w:rsidRPr="00A552C3" w:rsidRDefault="00001F04" w:rsidP="00001F04">
                  <w:pPr>
                    <w:pStyle w:val="TableBody"/>
                    <w:spacing w:line="256" w:lineRule="auto"/>
                  </w:pPr>
                  <w:r w:rsidRPr="00A552C3">
                    <w:t>$/MWh</w:t>
                  </w:r>
                </w:p>
              </w:tc>
              <w:tc>
                <w:tcPr>
                  <w:tcW w:w="3716" w:type="pct"/>
                  <w:tcBorders>
                    <w:top w:val="single" w:sz="4" w:space="0" w:color="auto"/>
                    <w:left w:val="single" w:sz="4" w:space="0" w:color="auto"/>
                    <w:bottom w:val="single" w:sz="4" w:space="0" w:color="auto"/>
                    <w:right w:val="single" w:sz="4" w:space="0" w:color="auto"/>
                  </w:tcBorders>
                  <w:hideMark/>
                </w:tcPr>
                <w:p w14:paraId="0EF06A02" w14:textId="77777777" w:rsidR="00001F04" w:rsidRPr="00A552C3" w:rsidRDefault="00001F04" w:rsidP="00001F04">
                  <w:pPr>
                    <w:pStyle w:val="TableBody"/>
                    <w:spacing w:line="256" w:lineRule="auto"/>
                    <w:rPr>
                      <w:i/>
                    </w:rPr>
                  </w:pPr>
                  <w:r w:rsidRPr="00A552C3">
                    <w:rPr>
                      <w:i/>
                    </w:rPr>
                    <w:t>Real-Time Settlement Point Price</w:t>
                  </w:r>
                  <w:r w:rsidRPr="00A552C3">
                    <w:t xml:space="preserve">—The Real-Time Settlement Point Price at the Resource Node for the 15-minute Settlement Interval.  </w:t>
                  </w:r>
                </w:p>
              </w:tc>
            </w:tr>
            <w:tr w:rsidR="00001F04" w:rsidRPr="00A552C3" w14:paraId="3959E820"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2A3D88CD" w14:textId="1C70BF4A" w:rsidR="00001F04" w:rsidRPr="00A552C3" w:rsidRDefault="00001F04" w:rsidP="00001F04">
                  <w:pPr>
                    <w:pStyle w:val="TableBody"/>
                    <w:spacing w:line="256" w:lineRule="auto"/>
                  </w:pPr>
                  <w:r w:rsidRPr="00A552C3">
                    <w:rPr>
                      <w:iCs w:val="0"/>
                    </w:rPr>
                    <w:t>RTEOCOST</w:t>
                  </w:r>
                  <w:r w:rsidRPr="00A552C3">
                    <w:rPr>
                      <w:i/>
                      <w:iCs w:val="0"/>
                    </w:rPr>
                    <w:t xml:space="preserve"> </w:t>
                  </w:r>
                  <w:r w:rsidRPr="00A552C3">
                    <w:rPr>
                      <w:i/>
                      <w:iCs w:val="0"/>
                      <w:vertAlign w:val="subscript"/>
                    </w:rPr>
                    <w:t>q, r, i</w:t>
                  </w:r>
                </w:p>
              </w:tc>
              <w:tc>
                <w:tcPr>
                  <w:tcW w:w="460" w:type="pct"/>
                  <w:tcBorders>
                    <w:top w:val="single" w:sz="4" w:space="0" w:color="auto"/>
                    <w:left w:val="single" w:sz="4" w:space="0" w:color="auto"/>
                    <w:bottom w:val="single" w:sz="4" w:space="0" w:color="auto"/>
                    <w:right w:val="single" w:sz="4" w:space="0" w:color="auto"/>
                  </w:tcBorders>
                  <w:hideMark/>
                </w:tcPr>
                <w:p w14:paraId="15B5D91F" w14:textId="11FB3DC8" w:rsidR="00001F04" w:rsidRPr="00A552C3" w:rsidRDefault="00001F04" w:rsidP="00001F04">
                  <w:pPr>
                    <w:pStyle w:val="TableBody"/>
                    <w:spacing w:line="256" w:lineRule="auto"/>
                  </w:pPr>
                  <w:r w:rsidRPr="00A552C3">
                    <w:t>$/MWh</w:t>
                  </w:r>
                </w:p>
              </w:tc>
              <w:tc>
                <w:tcPr>
                  <w:tcW w:w="3716" w:type="pct"/>
                  <w:tcBorders>
                    <w:top w:val="single" w:sz="4" w:space="0" w:color="auto"/>
                    <w:left w:val="single" w:sz="4" w:space="0" w:color="auto"/>
                    <w:bottom w:val="single" w:sz="4" w:space="0" w:color="auto"/>
                    <w:right w:val="single" w:sz="4" w:space="0" w:color="auto"/>
                  </w:tcBorders>
                  <w:hideMark/>
                </w:tcPr>
                <w:p w14:paraId="7C573A06" w14:textId="6AF5BC9F" w:rsidR="00001F04" w:rsidRPr="00A552C3" w:rsidRDefault="00001F04" w:rsidP="00001F04">
                  <w:pPr>
                    <w:pStyle w:val="TableBody"/>
                    <w:spacing w:line="256" w:lineRule="auto"/>
                    <w:rPr>
                      <w:i/>
                    </w:rPr>
                  </w:pPr>
                  <w:r w:rsidRPr="00A552C3">
                    <w:t xml:space="preserve">Real-Time Energy Offer Curve Cost - The Energy Offer Curve Cost for Resource </w:t>
                  </w:r>
                  <w:r w:rsidRPr="00A552C3">
                    <w:rPr>
                      <w:i/>
                    </w:rPr>
                    <w:t>r</w:t>
                  </w:r>
                  <w:r w:rsidRPr="00A552C3">
                    <w:t xml:space="preserve"> represented by QSE </w:t>
                  </w:r>
                  <w:r w:rsidRPr="00A552C3">
                    <w:rPr>
                      <w:i/>
                    </w:rPr>
                    <w:t>q</w:t>
                  </w:r>
                  <w:r w:rsidRPr="00A552C3">
                    <w:t xml:space="preserve">, for the Resource’s generation above the LSL for the Settlement Interval </w:t>
                  </w:r>
                  <w:r w:rsidRPr="00A552C3">
                    <w:rPr>
                      <w:i/>
                    </w:rPr>
                    <w:t>i</w:t>
                  </w:r>
                  <w:r w:rsidRPr="00A552C3">
                    <w:t xml:space="preserve">.  See Section 4.4.9.3.3, Energy Offer Curve Costs.  Where for a Combined Cycle Train, the Resource </w:t>
                  </w:r>
                  <w:r w:rsidRPr="00A552C3">
                    <w:rPr>
                      <w:i/>
                    </w:rPr>
                    <w:t>r</w:t>
                  </w:r>
                  <w:r w:rsidRPr="00A552C3">
                    <w:t xml:space="preserve"> is the Combined Cycle Train.</w:t>
                  </w:r>
                </w:p>
              </w:tc>
            </w:tr>
            <w:tr w:rsidR="00001F04" w:rsidRPr="00A552C3" w14:paraId="75C47570" w14:textId="77777777" w:rsidTr="00001F04">
              <w:trPr>
                <w:cantSplit/>
              </w:trPr>
              <w:tc>
                <w:tcPr>
                  <w:tcW w:w="5000" w:type="pct"/>
                  <w:gridSpan w:val="3"/>
                  <w:tcBorders>
                    <w:top w:val="single" w:sz="4" w:space="0" w:color="auto"/>
                    <w:left w:val="single" w:sz="4" w:space="0" w:color="auto"/>
                    <w:bottom w:val="single" w:sz="4" w:space="0" w:color="auto"/>
                    <w:right w:val="single" w:sz="4" w:space="0" w:color="auto"/>
                  </w:tcBorders>
                  <w:hideMark/>
                </w:tcPr>
                <w:p w14:paraId="7DF9DDF2" w14:textId="77777777" w:rsidR="00001F04" w:rsidRPr="00A552C3" w:rsidRDefault="00001F04" w:rsidP="00001F04">
                  <w:pPr>
                    <w:pStyle w:val="TableBody"/>
                    <w:spacing w:line="256" w:lineRule="auto"/>
                    <w:rPr>
                      <w:i/>
                      <w:noProof/>
                    </w:rPr>
                  </w:pPr>
                </w:p>
              </w:tc>
            </w:tr>
            <w:tr w:rsidR="00001F04" w:rsidRPr="00A552C3" w14:paraId="205B77AF"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0CDA3284" w14:textId="77777777" w:rsidR="00001F04" w:rsidRPr="00A552C3" w:rsidRDefault="00001F04" w:rsidP="00001F04">
                  <w:pPr>
                    <w:spacing w:after="60"/>
                    <w:rPr>
                      <w:iCs/>
                      <w:sz w:val="20"/>
                    </w:rPr>
                  </w:pPr>
                  <w:r w:rsidRPr="00A552C3">
                    <w:rPr>
                      <w:iCs/>
                      <w:sz w:val="20"/>
                    </w:rPr>
                    <w:t>NETVSSA</w:t>
                  </w:r>
                  <w:r w:rsidRPr="00A552C3">
                    <w:rPr>
                      <w:i/>
                      <w:iCs/>
                      <w:sz w:val="20"/>
                      <w:vertAlign w:val="subscript"/>
                    </w:rPr>
                    <w:t xml:space="preserve"> q, r</w:t>
                  </w:r>
                </w:p>
              </w:tc>
              <w:tc>
                <w:tcPr>
                  <w:tcW w:w="460" w:type="pct"/>
                  <w:tcBorders>
                    <w:top w:val="single" w:sz="4" w:space="0" w:color="auto"/>
                    <w:left w:val="single" w:sz="4" w:space="0" w:color="auto"/>
                    <w:bottom w:val="single" w:sz="4" w:space="0" w:color="auto"/>
                    <w:right w:val="single" w:sz="4" w:space="0" w:color="auto"/>
                  </w:tcBorders>
                  <w:hideMark/>
                </w:tcPr>
                <w:p w14:paraId="29D0A9ED"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4513B6E0" w14:textId="77777777" w:rsidR="00001F04" w:rsidRPr="00A552C3" w:rsidRDefault="00001F04" w:rsidP="00001F04">
                  <w:pPr>
                    <w:spacing w:after="60"/>
                    <w:rPr>
                      <w:i/>
                      <w:iCs/>
                      <w:sz w:val="20"/>
                    </w:rPr>
                  </w:pPr>
                  <w:r w:rsidRPr="00A552C3">
                    <w:rPr>
                      <w:i/>
                      <w:iCs/>
                      <w:sz w:val="20"/>
                    </w:rPr>
                    <w:t>Net VSS Activity</w:t>
                  </w:r>
                  <w:r w:rsidRPr="00A552C3">
                    <w:rPr>
                      <w:iCs/>
                      <w:sz w:val="20"/>
                    </w:rPr>
                    <w:t xml:space="preserve">—The sum of the total energy metered by the Settlement Meter which measures ESR load and the RTMG, for Resource </w:t>
                  </w:r>
                  <w:r w:rsidRPr="00A552C3">
                    <w:rPr>
                      <w:i/>
                      <w:iCs/>
                      <w:sz w:val="20"/>
                    </w:rPr>
                    <w:t xml:space="preserve">r </w:t>
                  </w:r>
                  <w:r w:rsidRPr="00A552C3">
                    <w:rPr>
                      <w:iCs/>
                      <w:sz w:val="20"/>
                    </w:rPr>
                    <w:t xml:space="preserve">represented by the QSE </w:t>
                  </w:r>
                  <w:r w:rsidRPr="00A552C3">
                    <w:rPr>
                      <w:i/>
                      <w:iCs/>
                      <w:sz w:val="20"/>
                    </w:rPr>
                    <w:t xml:space="preserve">q </w:t>
                  </w:r>
                  <w:r w:rsidRPr="00A552C3">
                    <w:rPr>
                      <w:iCs/>
                      <w:sz w:val="20"/>
                    </w:rPr>
                    <w:t xml:space="preserve">for the 15-minute Settlement Interval. </w:t>
                  </w:r>
                </w:p>
              </w:tc>
            </w:tr>
            <w:tr w:rsidR="00001F04" w:rsidRPr="00A552C3" w14:paraId="3AA27934"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700B32E9" w14:textId="77777777" w:rsidR="00001F04" w:rsidRPr="00A552C3" w:rsidRDefault="00001F04" w:rsidP="00001F04">
                  <w:pPr>
                    <w:spacing w:after="60"/>
                    <w:rPr>
                      <w:iCs/>
                      <w:sz w:val="20"/>
                    </w:rPr>
                  </w:pPr>
                  <w:r w:rsidRPr="00A552C3">
                    <w:rPr>
                      <w:iCs/>
                      <w:sz w:val="20"/>
                    </w:rPr>
                    <w:t xml:space="preserve">RTCL </w:t>
                  </w:r>
                  <w:r w:rsidRPr="00A552C3">
                    <w:rPr>
                      <w:i/>
                      <w:iCs/>
                      <w:sz w:val="20"/>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78AD19A4"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23BD924E" w14:textId="77777777" w:rsidR="00001F04" w:rsidRPr="00A552C3" w:rsidRDefault="00001F04" w:rsidP="00001F04">
                  <w:pPr>
                    <w:spacing w:after="60"/>
                    <w:rPr>
                      <w:iCs/>
                      <w:sz w:val="20"/>
                    </w:rPr>
                  </w:pPr>
                  <w:r w:rsidRPr="00A552C3">
                    <w:rPr>
                      <w:i/>
                      <w:iCs/>
                      <w:sz w:val="20"/>
                    </w:rPr>
                    <w:t xml:space="preserve">Real-Time Charging Load per QSE per Resource </w:t>
                  </w:r>
                  <w:r w:rsidRPr="00A552C3">
                    <w:rPr>
                      <w:iCs/>
                      <w:sz w:val="20"/>
                    </w:rPr>
                    <w:t xml:space="preserve">—The charging load for Resource </w:t>
                  </w:r>
                  <w:r w:rsidRPr="00A552C3">
                    <w:rPr>
                      <w:i/>
                      <w:iCs/>
                      <w:sz w:val="20"/>
                    </w:rPr>
                    <w:t xml:space="preserve">r </w:t>
                  </w:r>
                  <w:r w:rsidRPr="00A552C3">
                    <w:rPr>
                      <w:iCs/>
                      <w:sz w:val="20"/>
                    </w:rPr>
                    <w:t xml:space="preserve">represented by the QSE </w:t>
                  </w:r>
                  <w:r w:rsidRPr="00A552C3">
                    <w:rPr>
                      <w:i/>
                      <w:iCs/>
                      <w:sz w:val="20"/>
                    </w:rPr>
                    <w:t>q</w:t>
                  </w:r>
                  <w:r w:rsidRPr="0091393B">
                    <w:rPr>
                      <w:iCs/>
                      <w:sz w:val="20"/>
                    </w:rPr>
                    <w:t>, represented as a negative value,</w:t>
                  </w:r>
                  <w:r w:rsidRPr="00A552C3">
                    <w:rPr>
                      <w:i/>
                      <w:iCs/>
                      <w:sz w:val="20"/>
                    </w:rPr>
                    <w:t xml:space="preserve"> </w:t>
                  </w:r>
                  <w:r w:rsidRPr="00A552C3">
                    <w:rPr>
                      <w:iCs/>
                      <w:sz w:val="20"/>
                    </w:rPr>
                    <w:t xml:space="preserve">for the 15-minute Settlement Interval. </w:t>
                  </w:r>
                </w:p>
              </w:tc>
            </w:tr>
            <w:tr w:rsidR="00001F04" w:rsidRPr="00A552C3" w14:paraId="6A9E8598"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06108295" w14:textId="77777777" w:rsidR="00001F04" w:rsidRPr="00A552C3" w:rsidRDefault="00001F04" w:rsidP="00001F04">
                  <w:pPr>
                    <w:spacing w:after="60"/>
                    <w:rPr>
                      <w:iCs/>
                      <w:sz w:val="20"/>
                    </w:rPr>
                  </w:pPr>
                  <w:r w:rsidRPr="00A552C3">
                    <w:rPr>
                      <w:bCs/>
                      <w:iCs/>
                      <w:sz w:val="20"/>
                    </w:rPr>
                    <w:t xml:space="preserve">MEBL </w:t>
                  </w:r>
                  <w:r w:rsidRPr="00A552C3">
                    <w:rPr>
                      <w:bCs/>
                      <w:i/>
                      <w:iCs/>
                      <w:sz w:val="20"/>
                      <w:vertAlign w:val="subscript"/>
                    </w:rPr>
                    <w:t>q, r, b</w:t>
                  </w:r>
                </w:p>
              </w:tc>
              <w:tc>
                <w:tcPr>
                  <w:tcW w:w="460" w:type="pct"/>
                  <w:tcBorders>
                    <w:top w:val="single" w:sz="4" w:space="0" w:color="auto"/>
                    <w:left w:val="single" w:sz="4" w:space="0" w:color="auto"/>
                    <w:bottom w:val="single" w:sz="4" w:space="0" w:color="auto"/>
                    <w:right w:val="single" w:sz="4" w:space="0" w:color="auto"/>
                  </w:tcBorders>
                  <w:hideMark/>
                </w:tcPr>
                <w:p w14:paraId="426E3491"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18E37F7C" w14:textId="705210C0" w:rsidR="00001F04" w:rsidRPr="00A552C3" w:rsidRDefault="00001F04" w:rsidP="00001F04">
                  <w:pPr>
                    <w:spacing w:after="60"/>
                    <w:rPr>
                      <w:i/>
                      <w:iCs/>
                      <w:sz w:val="20"/>
                    </w:rPr>
                  </w:pPr>
                  <w:r w:rsidRPr="00A552C3">
                    <w:rPr>
                      <w:i/>
                      <w:iCs/>
                      <w:sz w:val="20"/>
                    </w:rPr>
                    <w:t xml:space="preserve">Metered Energy for Wholesale Storage Load at </w:t>
                  </w:r>
                  <w:r w:rsidR="00D4088C">
                    <w:rPr>
                      <w:i/>
                      <w:iCs/>
                      <w:sz w:val="20"/>
                    </w:rPr>
                    <w:t>B</w:t>
                  </w:r>
                  <w:r w:rsidRPr="00A552C3">
                    <w:rPr>
                      <w:i/>
                      <w:iCs/>
                      <w:sz w:val="20"/>
                    </w:rPr>
                    <w:t>us</w:t>
                  </w:r>
                  <w:r w:rsidRPr="00A552C3">
                    <w:rPr>
                      <w:iCs/>
                      <w:sz w:val="20"/>
                    </w:rPr>
                    <w:sym w:font="Symbol" w:char="F0BE"/>
                  </w:r>
                  <w:r w:rsidRPr="00A552C3">
                    <w:rPr>
                      <w:iCs/>
                      <w:sz w:val="20"/>
                    </w:rPr>
                    <w:t xml:space="preserve">The WSL energy metered by the Settlement Meter which measures WSL for the 15-minute Settlement Interval represented as a negative value, for the QSE </w:t>
                  </w:r>
                  <w:r w:rsidRPr="00A552C3">
                    <w:rPr>
                      <w:i/>
                      <w:iCs/>
                      <w:sz w:val="20"/>
                    </w:rPr>
                    <w:t>q</w:t>
                  </w:r>
                  <w:r w:rsidRPr="00A552C3">
                    <w:rPr>
                      <w:iCs/>
                      <w:sz w:val="20"/>
                    </w:rPr>
                    <w:t xml:space="preserve">, Resource </w:t>
                  </w:r>
                  <w:r w:rsidRPr="00A552C3">
                    <w:rPr>
                      <w:i/>
                      <w:iCs/>
                      <w:sz w:val="20"/>
                    </w:rPr>
                    <w:t>r</w:t>
                  </w:r>
                  <w:r w:rsidRPr="00A552C3">
                    <w:rPr>
                      <w:iCs/>
                      <w:sz w:val="20"/>
                    </w:rPr>
                    <w:t xml:space="preserve">, at bus </w:t>
                  </w:r>
                  <w:r w:rsidRPr="00A552C3">
                    <w:rPr>
                      <w:i/>
                      <w:iCs/>
                      <w:sz w:val="20"/>
                    </w:rPr>
                    <w:t>b</w:t>
                  </w:r>
                  <w:r w:rsidRPr="00A552C3">
                    <w:rPr>
                      <w:iCs/>
                      <w:sz w:val="20"/>
                    </w:rPr>
                    <w:t xml:space="preserve">.  </w:t>
                  </w:r>
                </w:p>
              </w:tc>
            </w:tr>
            <w:tr w:rsidR="00001F04" w:rsidRPr="00A552C3" w14:paraId="2F51C582"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5E781858" w14:textId="77777777" w:rsidR="00001F04" w:rsidRPr="00A552C3" w:rsidRDefault="00001F04" w:rsidP="00001F04">
                  <w:pPr>
                    <w:spacing w:after="60"/>
                    <w:rPr>
                      <w:iCs/>
                      <w:sz w:val="20"/>
                    </w:rPr>
                  </w:pPr>
                  <w:r w:rsidRPr="00A552C3">
                    <w:rPr>
                      <w:iCs/>
                      <w:sz w:val="20"/>
                    </w:rPr>
                    <w:t xml:space="preserve">MEBR </w:t>
                  </w:r>
                  <w:r w:rsidRPr="00A552C3">
                    <w:rPr>
                      <w:i/>
                      <w:iCs/>
                      <w:sz w:val="20"/>
                      <w:vertAlign w:val="subscript"/>
                    </w:rPr>
                    <w:t>q, r, b</w:t>
                  </w:r>
                </w:p>
              </w:tc>
              <w:tc>
                <w:tcPr>
                  <w:tcW w:w="460" w:type="pct"/>
                  <w:tcBorders>
                    <w:top w:val="single" w:sz="4" w:space="0" w:color="auto"/>
                    <w:left w:val="single" w:sz="4" w:space="0" w:color="auto"/>
                    <w:bottom w:val="single" w:sz="4" w:space="0" w:color="auto"/>
                    <w:right w:val="single" w:sz="4" w:space="0" w:color="auto"/>
                  </w:tcBorders>
                  <w:hideMark/>
                </w:tcPr>
                <w:p w14:paraId="404AD909"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12750BC8" w14:textId="77777777" w:rsidR="00001F04" w:rsidRPr="00A552C3" w:rsidRDefault="00001F04" w:rsidP="00001F04">
                  <w:pPr>
                    <w:spacing w:after="60"/>
                    <w:rPr>
                      <w:i/>
                      <w:iCs/>
                      <w:sz w:val="20"/>
                    </w:rPr>
                  </w:pPr>
                  <w:r w:rsidRPr="00A552C3">
                    <w:rPr>
                      <w:i/>
                      <w:iCs/>
                      <w:sz w:val="20"/>
                    </w:rPr>
                    <w:t xml:space="preserve">Metered Energy for Energy Storage Resource load at Bus </w:t>
                  </w:r>
                  <w:r w:rsidRPr="00A552C3">
                    <w:rPr>
                      <w:iCs/>
                      <w:sz w:val="20"/>
                    </w:rPr>
                    <w:t xml:space="preserve">- The energy metered by the Settlement Meter which measures ESR load that is not WSL for the 15-minute Settlement Interval represented as a negative value, for the QSE </w:t>
                  </w:r>
                  <w:r w:rsidRPr="00A552C3">
                    <w:rPr>
                      <w:i/>
                      <w:iCs/>
                      <w:sz w:val="20"/>
                    </w:rPr>
                    <w:t>q</w:t>
                  </w:r>
                  <w:r w:rsidRPr="00A552C3">
                    <w:rPr>
                      <w:iCs/>
                      <w:sz w:val="20"/>
                    </w:rPr>
                    <w:t xml:space="preserve">, Resource </w:t>
                  </w:r>
                  <w:r w:rsidRPr="00A552C3">
                    <w:rPr>
                      <w:i/>
                      <w:iCs/>
                      <w:sz w:val="20"/>
                    </w:rPr>
                    <w:t>r</w:t>
                  </w:r>
                  <w:r w:rsidRPr="00A552C3">
                    <w:rPr>
                      <w:iCs/>
                      <w:sz w:val="20"/>
                    </w:rPr>
                    <w:t xml:space="preserve">, at bus </w:t>
                  </w:r>
                  <w:r w:rsidRPr="00A552C3">
                    <w:rPr>
                      <w:i/>
                      <w:iCs/>
                      <w:sz w:val="20"/>
                    </w:rPr>
                    <w:t>b</w:t>
                  </w:r>
                  <w:r w:rsidRPr="00A552C3">
                    <w:rPr>
                      <w:iCs/>
                      <w:sz w:val="20"/>
                    </w:rPr>
                    <w:t xml:space="preserve">.  </w:t>
                  </w:r>
                  <w:r w:rsidRPr="00A552C3">
                    <w:rPr>
                      <w:i/>
                      <w:iCs/>
                      <w:sz w:val="20"/>
                    </w:rPr>
                    <w:t xml:space="preserve"> </w:t>
                  </w:r>
                </w:p>
              </w:tc>
            </w:tr>
            <w:tr w:rsidR="00001F04" w:rsidRPr="00A552C3" w14:paraId="6046B536"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6F12DB80" w14:textId="77777777" w:rsidR="00001F04" w:rsidRPr="00A552C3" w:rsidRDefault="00001F04" w:rsidP="00001F04">
                  <w:pPr>
                    <w:pStyle w:val="TableBody"/>
                    <w:spacing w:line="256" w:lineRule="auto"/>
                  </w:pPr>
                  <w:r w:rsidRPr="00A552C3">
                    <w:rPr>
                      <w:iCs w:val="0"/>
                    </w:rPr>
                    <w:t xml:space="preserve">HSL </w:t>
                  </w:r>
                  <w:r w:rsidRPr="00A552C3">
                    <w:rPr>
                      <w:i/>
                      <w:iCs w:val="0"/>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417B9E15" w14:textId="77777777" w:rsidR="00001F04" w:rsidRPr="00A552C3" w:rsidRDefault="00001F04" w:rsidP="00001F04">
                  <w:pPr>
                    <w:pStyle w:val="TableBody"/>
                    <w:spacing w:line="256" w:lineRule="auto"/>
                  </w:pPr>
                  <w:r w:rsidRPr="00A552C3">
                    <w:t>MW</w:t>
                  </w:r>
                </w:p>
              </w:tc>
              <w:tc>
                <w:tcPr>
                  <w:tcW w:w="3716" w:type="pct"/>
                  <w:tcBorders>
                    <w:top w:val="single" w:sz="4" w:space="0" w:color="auto"/>
                    <w:left w:val="single" w:sz="4" w:space="0" w:color="auto"/>
                    <w:bottom w:val="single" w:sz="4" w:space="0" w:color="auto"/>
                    <w:right w:val="single" w:sz="4" w:space="0" w:color="auto"/>
                  </w:tcBorders>
                  <w:hideMark/>
                </w:tcPr>
                <w:p w14:paraId="3E6C6AB7" w14:textId="77777777" w:rsidR="00001F04" w:rsidRPr="00A552C3" w:rsidRDefault="00001F04" w:rsidP="00001F04">
                  <w:pPr>
                    <w:pStyle w:val="TableBody"/>
                    <w:spacing w:line="256" w:lineRule="auto"/>
                  </w:pPr>
                  <w:r w:rsidRPr="00A552C3">
                    <w:rPr>
                      <w:i/>
                    </w:rPr>
                    <w:t>High Sustained Limit per QSE per Settlement Point per Resource</w:t>
                  </w:r>
                  <w:r w:rsidRPr="00A552C3">
                    <w:t xml:space="preserve">—The HSL of Resource </w:t>
                  </w:r>
                  <w:r w:rsidRPr="00A552C3">
                    <w:rPr>
                      <w:i/>
                    </w:rPr>
                    <w:t>r</w:t>
                  </w:r>
                  <w:r w:rsidRPr="00A552C3">
                    <w:t xml:space="preserve"> represented by QSE </w:t>
                  </w:r>
                  <w:r w:rsidRPr="00A552C3">
                    <w:rPr>
                      <w:i/>
                    </w:rPr>
                    <w:t>q</w:t>
                  </w:r>
                  <w:r w:rsidRPr="00A552C3">
                    <w:t xml:space="preserve"> at Resource Node </w:t>
                  </w:r>
                  <w:r w:rsidRPr="0018785B">
                    <w:rPr>
                      <w:i/>
                    </w:rPr>
                    <w:t>p</w:t>
                  </w:r>
                  <w:r w:rsidRPr="00A552C3">
                    <w:t xml:space="preserve"> for the hour that includes the 15-minute Settlement Interval.  Where for a combined cycle resource, </w:t>
                  </w:r>
                  <w:r w:rsidRPr="00A552C3">
                    <w:rPr>
                      <w:i/>
                    </w:rPr>
                    <w:t>r</w:t>
                  </w:r>
                  <w:r w:rsidRPr="00A552C3">
                    <w:t xml:space="preserve"> is a Combined Cycle Generation Resource.</w:t>
                  </w:r>
                </w:p>
              </w:tc>
            </w:tr>
            <w:tr w:rsidR="00001F04" w:rsidRPr="00A552C3" w14:paraId="7DC0508C"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13A2C471" w14:textId="77777777" w:rsidR="00001F04" w:rsidRPr="00A552C3" w:rsidRDefault="00001F04" w:rsidP="00001F04">
                  <w:pPr>
                    <w:pStyle w:val="TableBody"/>
                    <w:spacing w:line="256" w:lineRule="auto"/>
                  </w:pPr>
                  <w:r w:rsidRPr="00A552C3">
                    <w:t xml:space="preserve">LSL </w:t>
                  </w:r>
                  <w:r w:rsidRPr="00A552C3">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6656E523" w14:textId="77777777" w:rsidR="00001F04" w:rsidRPr="00A552C3" w:rsidRDefault="00001F04" w:rsidP="00001F04">
                  <w:pPr>
                    <w:pStyle w:val="TableBody"/>
                    <w:spacing w:line="256" w:lineRule="auto"/>
                  </w:pPr>
                  <w:r w:rsidRPr="00A552C3">
                    <w:t>MW</w:t>
                  </w:r>
                </w:p>
              </w:tc>
              <w:tc>
                <w:tcPr>
                  <w:tcW w:w="3716" w:type="pct"/>
                  <w:tcBorders>
                    <w:top w:val="single" w:sz="4" w:space="0" w:color="auto"/>
                    <w:left w:val="single" w:sz="4" w:space="0" w:color="auto"/>
                    <w:bottom w:val="single" w:sz="4" w:space="0" w:color="auto"/>
                    <w:right w:val="single" w:sz="4" w:space="0" w:color="auto"/>
                  </w:tcBorders>
                  <w:hideMark/>
                </w:tcPr>
                <w:p w14:paraId="2EA1517F" w14:textId="77777777" w:rsidR="00001F04" w:rsidRPr="00A552C3" w:rsidRDefault="00001F04" w:rsidP="00001F04">
                  <w:pPr>
                    <w:pStyle w:val="TableBody"/>
                    <w:spacing w:line="256" w:lineRule="auto"/>
                  </w:pPr>
                  <w:r w:rsidRPr="00A552C3">
                    <w:rPr>
                      <w:i/>
                    </w:rPr>
                    <w:t>Low Sustained Limit per QSE per Settlement Point per Resource</w:t>
                  </w:r>
                  <w:r w:rsidRPr="00A552C3">
                    <w:t xml:space="preserve">—The LSL of Resource </w:t>
                  </w:r>
                  <w:r w:rsidRPr="00A552C3">
                    <w:rPr>
                      <w:i/>
                    </w:rPr>
                    <w:t>r</w:t>
                  </w:r>
                  <w:r w:rsidRPr="00A552C3">
                    <w:t xml:space="preserve"> represented by QSE </w:t>
                  </w:r>
                  <w:r w:rsidRPr="00A552C3">
                    <w:rPr>
                      <w:i/>
                    </w:rPr>
                    <w:t>q</w:t>
                  </w:r>
                  <w:r w:rsidRPr="00A552C3">
                    <w:t xml:space="preserve"> at Resource Node </w:t>
                  </w:r>
                  <w:r w:rsidRPr="0018785B">
                    <w:rPr>
                      <w:i/>
                    </w:rPr>
                    <w:t>p</w:t>
                  </w:r>
                  <w:r w:rsidRPr="00A552C3">
                    <w:t xml:space="preserve"> for the hour that includes the 15-minute Settlement Interval.  Where for a combined cycle resource, </w:t>
                  </w:r>
                  <w:r w:rsidRPr="00A552C3">
                    <w:rPr>
                      <w:i/>
                    </w:rPr>
                    <w:t>r</w:t>
                  </w:r>
                  <w:r w:rsidRPr="00A552C3">
                    <w:t xml:space="preserve"> is a Combined Cycle Generation Resource.</w:t>
                  </w:r>
                </w:p>
              </w:tc>
            </w:tr>
            <w:tr w:rsidR="00001F04" w:rsidRPr="00A552C3" w14:paraId="6FD37370"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55DEFBC6" w14:textId="77777777" w:rsidR="00001F04" w:rsidRPr="00A552C3" w:rsidRDefault="00001F04" w:rsidP="00001F04">
                  <w:pPr>
                    <w:pStyle w:val="TableBody"/>
                    <w:spacing w:line="256" w:lineRule="auto"/>
                    <w:rPr>
                      <w:i/>
                    </w:rPr>
                  </w:pPr>
                  <w:r w:rsidRPr="00A552C3">
                    <w:rPr>
                      <w:i/>
                    </w:rPr>
                    <w:lastRenderedPageBreak/>
                    <w:t>q</w:t>
                  </w:r>
                </w:p>
              </w:tc>
              <w:tc>
                <w:tcPr>
                  <w:tcW w:w="460" w:type="pct"/>
                  <w:tcBorders>
                    <w:top w:val="single" w:sz="4" w:space="0" w:color="auto"/>
                    <w:left w:val="single" w:sz="4" w:space="0" w:color="auto"/>
                    <w:bottom w:val="single" w:sz="4" w:space="0" w:color="auto"/>
                    <w:right w:val="single" w:sz="4" w:space="0" w:color="auto"/>
                  </w:tcBorders>
                  <w:hideMark/>
                </w:tcPr>
                <w:p w14:paraId="666DD0F1"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1DF58A9D" w14:textId="77777777" w:rsidR="00001F04" w:rsidRPr="00A552C3" w:rsidRDefault="00001F04" w:rsidP="00001F04">
                  <w:pPr>
                    <w:pStyle w:val="TableBody"/>
                    <w:spacing w:line="256" w:lineRule="auto"/>
                    <w:rPr>
                      <w:i/>
                      <w:iCs w:val="0"/>
                    </w:rPr>
                  </w:pPr>
                  <w:r w:rsidRPr="00A552C3">
                    <w:t>A QSE.</w:t>
                  </w:r>
                </w:p>
              </w:tc>
            </w:tr>
            <w:tr w:rsidR="00001F04" w:rsidRPr="00A552C3" w14:paraId="7C3CF98E"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1E0077B1" w14:textId="77777777" w:rsidR="00001F04" w:rsidRPr="00A552C3" w:rsidRDefault="00001F04" w:rsidP="00001F04">
                  <w:pPr>
                    <w:pStyle w:val="TableBody"/>
                    <w:spacing w:line="256" w:lineRule="auto"/>
                    <w:rPr>
                      <w:i/>
                    </w:rPr>
                  </w:pPr>
                  <w:r w:rsidRPr="00A552C3">
                    <w:rPr>
                      <w:i/>
                    </w:rPr>
                    <w:t>r</w:t>
                  </w:r>
                </w:p>
              </w:tc>
              <w:tc>
                <w:tcPr>
                  <w:tcW w:w="460" w:type="pct"/>
                  <w:tcBorders>
                    <w:top w:val="single" w:sz="4" w:space="0" w:color="auto"/>
                    <w:left w:val="single" w:sz="4" w:space="0" w:color="auto"/>
                    <w:bottom w:val="single" w:sz="4" w:space="0" w:color="auto"/>
                    <w:right w:val="single" w:sz="4" w:space="0" w:color="auto"/>
                  </w:tcBorders>
                  <w:hideMark/>
                </w:tcPr>
                <w:p w14:paraId="12FC7946"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7AC54034" w14:textId="77777777" w:rsidR="00001F04" w:rsidRPr="00A552C3" w:rsidRDefault="00001F04" w:rsidP="00001F04">
                  <w:pPr>
                    <w:pStyle w:val="TableBody"/>
                    <w:spacing w:line="256" w:lineRule="auto"/>
                    <w:rPr>
                      <w:i/>
                      <w:iCs w:val="0"/>
                    </w:rPr>
                  </w:pPr>
                  <w:r w:rsidRPr="00A552C3">
                    <w:t>A Generation Resource or ESR.</w:t>
                  </w:r>
                </w:p>
              </w:tc>
            </w:tr>
            <w:tr w:rsidR="00001F04" w:rsidRPr="00A552C3" w14:paraId="2F2EE30B"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4A3EC7BA" w14:textId="77777777" w:rsidR="00001F04" w:rsidRPr="00A552C3" w:rsidRDefault="00001F04" w:rsidP="00001F04">
                  <w:pPr>
                    <w:pStyle w:val="TableBody"/>
                    <w:spacing w:line="256" w:lineRule="auto"/>
                    <w:rPr>
                      <w:i/>
                    </w:rPr>
                  </w:pPr>
                  <w:r w:rsidRPr="00A552C3">
                    <w:rPr>
                      <w:i/>
                    </w:rPr>
                    <w:t>p</w:t>
                  </w:r>
                </w:p>
              </w:tc>
              <w:tc>
                <w:tcPr>
                  <w:tcW w:w="460" w:type="pct"/>
                  <w:tcBorders>
                    <w:top w:val="single" w:sz="4" w:space="0" w:color="auto"/>
                    <w:left w:val="single" w:sz="4" w:space="0" w:color="auto"/>
                    <w:bottom w:val="single" w:sz="4" w:space="0" w:color="auto"/>
                    <w:right w:val="single" w:sz="4" w:space="0" w:color="auto"/>
                  </w:tcBorders>
                  <w:hideMark/>
                </w:tcPr>
                <w:p w14:paraId="6581103F"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23592D63" w14:textId="77777777" w:rsidR="00001F04" w:rsidRPr="00A552C3" w:rsidRDefault="00001F04" w:rsidP="00001F04">
                  <w:pPr>
                    <w:pStyle w:val="TableBody"/>
                    <w:spacing w:line="256" w:lineRule="auto"/>
                  </w:pPr>
                  <w:r w:rsidRPr="00A552C3">
                    <w:t>A Resource Node Settlement Point.</w:t>
                  </w:r>
                </w:p>
              </w:tc>
            </w:tr>
            <w:tr w:rsidR="00001F04" w:rsidRPr="00A552C3" w14:paraId="565D5EE7"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34C8D9B0" w14:textId="77777777" w:rsidR="00001F04" w:rsidRPr="00A552C3" w:rsidRDefault="00001F04" w:rsidP="00001F04">
                  <w:pPr>
                    <w:pStyle w:val="TableBody"/>
                    <w:spacing w:line="256" w:lineRule="auto"/>
                    <w:rPr>
                      <w:i/>
                    </w:rPr>
                  </w:pPr>
                  <w:r w:rsidRPr="00A552C3">
                    <w:rPr>
                      <w:i/>
                    </w:rPr>
                    <w:t>b</w:t>
                  </w:r>
                </w:p>
              </w:tc>
              <w:tc>
                <w:tcPr>
                  <w:tcW w:w="460" w:type="pct"/>
                  <w:tcBorders>
                    <w:top w:val="single" w:sz="4" w:space="0" w:color="auto"/>
                    <w:left w:val="single" w:sz="4" w:space="0" w:color="auto"/>
                    <w:bottom w:val="single" w:sz="4" w:space="0" w:color="auto"/>
                    <w:right w:val="single" w:sz="4" w:space="0" w:color="auto"/>
                  </w:tcBorders>
                  <w:hideMark/>
                </w:tcPr>
                <w:p w14:paraId="185413B9"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6C85716D" w14:textId="77777777" w:rsidR="00001F04" w:rsidRPr="00A552C3" w:rsidRDefault="00001F04" w:rsidP="00001F04">
                  <w:pPr>
                    <w:pStyle w:val="TableBody"/>
                    <w:spacing w:line="256" w:lineRule="auto"/>
                  </w:pPr>
                  <w:r w:rsidRPr="00A552C3">
                    <w:t>An Electrical Bus.</w:t>
                  </w:r>
                </w:p>
              </w:tc>
            </w:tr>
          </w:tbl>
          <w:p w14:paraId="570EAAF1" w14:textId="1B15DAE5" w:rsidR="00001F04" w:rsidRPr="00A552C3" w:rsidRDefault="00001F04" w:rsidP="00001F04">
            <w:pPr>
              <w:spacing w:before="240" w:after="240"/>
              <w:ind w:left="720" w:hanging="720"/>
            </w:pPr>
            <w:r w:rsidRPr="00A552C3">
              <w:t>(</w:t>
            </w:r>
            <w:r w:rsidR="00D4088C">
              <w:t>6</w:t>
            </w:r>
            <w:r w:rsidRPr="00A552C3">
              <w:t>)</w:t>
            </w:r>
            <w:r w:rsidRPr="00A552C3">
              <w:tab/>
              <w:t>The total of the payments to each QSE for ERCOT-directed power reduction to provide VSS for a given 15-minute Settlement Interval is calculated as follows:</w:t>
            </w:r>
          </w:p>
          <w:p w14:paraId="68C0D663" w14:textId="77777777" w:rsidR="00001F04" w:rsidRPr="00A552C3" w:rsidRDefault="00001F04" w:rsidP="00001F04">
            <w:pPr>
              <w:tabs>
                <w:tab w:val="left" w:pos="2340"/>
                <w:tab w:val="left" w:pos="3420"/>
              </w:tabs>
              <w:spacing w:after="240"/>
              <w:ind w:left="3420" w:hanging="2700"/>
              <w:rPr>
                <w:b/>
                <w:bCs/>
              </w:rPr>
            </w:pPr>
            <w:r w:rsidRPr="00A552C3">
              <w:rPr>
                <w:b/>
                <w:bCs/>
              </w:rPr>
              <w:t xml:space="preserve">VSSEAMTQSETOT </w:t>
            </w:r>
            <w:r w:rsidRPr="00A552C3">
              <w:rPr>
                <w:b/>
                <w:bCs/>
                <w:i/>
                <w:vertAlign w:val="subscript"/>
              </w:rPr>
              <w:t>q</w:t>
            </w:r>
            <w:r w:rsidRPr="00A552C3">
              <w:rPr>
                <w:b/>
                <w:bCs/>
              </w:rPr>
              <w:tab/>
              <w:t>=</w:t>
            </w:r>
            <w:r w:rsidRPr="00A552C3">
              <w:rPr>
                <w:b/>
                <w:bCs/>
              </w:rPr>
              <w:tab/>
            </w:r>
            <w:r w:rsidRPr="00A552C3">
              <w:rPr>
                <w:bCs/>
                <w:position w:val="-28"/>
              </w:rPr>
              <w:object w:dxaOrig="435" w:dyaOrig="735" w14:anchorId="6D104675">
                <v:shape id="_x0000_i1233" type="#_x0000_t75" style="width:24pt;height:36.6pt" o:ole="">
                  <v:imagedata r:id="rId280" o:title=""/>
                </v:shape>
                <o:OLEObject Type="Embed" ProgID="Equation.3" ShapeID="_x0000_i1233" DrawAspect="Content" ObjectID="_1815025422" r:id="rId286"/>
              </w:object>
            </w:r>
            <w:r w:rsidRPr="00A552C3">
              <w:rPr>
                <w:b/>
                <w:bCs/>
              </w:rPr>
              <w:t xml:space="preserve">VSSEAMT </w:t>
            </w:r>
            <w:r w:rsidRPr="00A552C3">
              <w:rPr>
                <w:b/>
                <w:bCs/>
                <w:i/>
                <w:vertAlign w:val="subscript"/>
              </w:rPr>
              <w:t>q, r</w:t>
            </w:r>
          </w:p>
          <w:p w14:paraId="48ED70F3" w14:textId="77777777" w:rsidR="00001F04" w:rsidRPr="00A552C3" w:rsidRDefault="00001F04" w:rsidP="00001F04">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836"/>
              <w:gridCol w:w="6100"/>
            </w:tblGrid>
            <w:tr w:rsidR="00001F04" w:rsidRPr="00A552C3" w14:paraId="387C2B87" w14:textId="77777777" w:rsidTr="00C952ED">
              <w:trPr>
                <w:cantSplit/>
                <w:tblHeader/>
              </w:trPr>
              <w:tc>
                <w:tcPr>
                  <w:tcW w:w="1193" w:type="pct"/>
                  <w:tcBorders>
                    <w:top w:val="single" w:sz="4" w:space="0" w:color="auto"/>
                    <w:left w:val="single" w:sz="4" w:space="0" w:color="auto"/>
                    <w:bottom w:val="single" w:sz="4" w:space="0" w:color="auto"/>
                    <w:right w:val="single" w:sz="4" w:space="0" w:color="auto"/>
                  </w:tcBorders>
                  <w:hideMark/>
                </w:tcPr>
                <w:p w14:paraId="58130413" w14:textId="77777777" w:rsidR="00001F04" w:rsidRPr="00895576" w:rsidRDefault="00001F04" w:rsidP="00001F04">
                  <w:pPr>
                    <w:spacing w:after="240"/>
                    <w:rPr>
                      <w:b/>
                      <w:iCs/>
                      <w:sz w:val="20"/>
                    </w:rPr>
                  </w:pPr>
                  <w:r w:rsidRPr="00233C78">
                    <w:rPr>
                      <w:b/>
                      <w:sz w:val="20"/>
                    </w:rPr>
                    <w:t>Variable</w:t>
                  </w:r>
                </w:p>
              </w:tc>
              <w:tc>
                <w:tcPr>
                  <w:tcW w:w="459" w:type="pct"/>
                  <w:tcBorders>
                    <w:top w:val="single" w:sz="4" w:space="0" w:color="auto"/>
                    <w:left w:val="single" w:sz="4" w:space="0" w:color="auto"/>
                    <w:bottom w:val="single" w:sz="4" w:space="0" w:color="auto"/>
                    <w:right w:val="single" w:sz="4" w:space="0" w:color="auto"/>
                  </w:tcBorders>
                  <w:hideMark/>
                </w:tcPr>
                <w:p w14:paraId="6C903905" w14:textId="77777777" w:rsidR="00001F04" w:rsidRPr="00A552C3" w:rsidRDefault="00001F04" w:rsidP="00001F04">
                  <w:pPr>
                    <w:spacing w:after="240"/>
                    <w:rPr>
                      <w:b/>
                      <w:iCs/>
                      <w:sz w:val="20"/>
                    </w:rPr>
                  </w:pPr>
                  <w:r w:rsidRPr="00A552C3">
                    <w:rPr>
                      <w:b/>
                      <w:iCs/>
                      <w:sz w:val="20"/>
                    </w:rPr>
                    <w:t>Unit</w:t>
                  </w:r>
                </w:p>
              </w:tc>
              <w:tc>
                <w:tcPr>
                  <w:tcW w:w="3348" w:type="pct"/>
                  <w:tcBorders>
                    <w:top w:val="single" w:sz="4" w:space="0" w:color="auto"/>
                    <w:left w:val="single" w:sz="4" w:space="0" w:color="auto"/>
                    <w:bottom w:val="single" w:sz="4" w:space="0" w:color="auto"/>
                    <w:right w:val="single" w:sz="4" w:space="0" w:color="auto"/>
                  </w:tcBorders>
                  <w:hideMark/>
                </w:tcPr>
                <w:p w14:paraId="73E87923" w14:textId="77777777" w:rsidR="00001F04" w:rsidRPr="00A552C3" w:rsidRDefault="00001F04" w:rsidP="00001F04">
                  <w:pPr>
                    <w:spacing w:after="240"/>
                    <w:rPr>
                      <w:b/>
                      <w:iCs/>
                      <w:sz w:val="20"/>
                    </w:rPr>
                  </w:pPr>
                  <w:r w:rsidRPr="00A552C3">
                    <w:rPr>
                      <w:b/>
                      <w:iCs/>
                      <w:sz w:val="20"/>
                    </w:rPr>
                    <w:t>Definition</w:t>
                  </w:r>
                </w:p>
              </w:tc>
            </w:tr>
            <w:tr w:rsidR="00001F04" w:rsidRPr="00A552C3" w14:paraId="4E6C5581"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0E9E9E9B" w14:textId="77777777" w:rsidR="00001F04" w:rsidRPr="00895576" w:rsidRDefault="00001F04" w:rsidP="00001F04">
                  <w:pPr>
                    <w:spacing w:after="60"/>
                    <w:rPr>
                      <w:iCs/>
                      <w:sz w:val="20"/>
                    </w:rPr>
                  </w:pPr>
                  <w:r w:rsidRPr="00233C78">
                    <w:rPr>
                      <w:iCs/>
                      <w:sz w:val="20"/>
                    </w:rPr>
                    <w:t xml:space="preserve">VSSEAMTQSETOT </w:t>
                  </w:r>
                  <w:r w:rsidRPr="00233C78">
                    <w:rPr>
                      <w:i/>
                      <w:iCs/>
                      <w:sz w:val="20"/>
                      <w:vertAlign w:val="subscript"/>
                    </w:rPr>
                    <w:t>q</w:t>
                  </w:r>
                </w:p>
              </w:tc>
              <w:tc>
                <w:tcPr>
                  <w:tcW w:w="459" w:type="pct"/>
                  <w:tcBorders>
                    <w:top w:val="single" w:sz="4" w:space="0" w:color="auto"/>
                    <w:left w:val="single" w:sz="4" w:space="0" w:color="auto"/>
                    <w:bottom w:val="single" w:sz="4" w:space="0" w:color="auto"/>
                    <w:right w:val="single" w:sz="4" w:space="0" w:color="auto"/>
                  </w:tcBorders>
                  <w:hideMark/>
                </w:tcPr>
                <w:p w14:paraId="76375B80" w14:textId="77777777" w:rsidR="00001F04" w:rsidRPr="00A552C3" w:rsidRDefault="00001F04" w:rsidP="00001F04">
                  <w:pPr>
                    <w:spacing w:after="60"/>
                    <w:rPr>
                      <w:iCs/>
                      <w:sz w:val="20"/>
                    </w:rPr>
                  </w:pPr>
                  <w:r w:rsidRPr="00A552C3">
                    <w:rPr>
                      <w:iCs/>
                      <w:sz w:val="20"/>
                    </w:rPr>
                    <w:t>$</w:t>
                  </w:r>
                </w:p>
              </w:tc>
              <w:tc>
                <w:tcPr>
                  <w:tcW w:w="3348" w:type="pct"/>
                  <w:tcBorders>
                    <w:top w:val="single" w:sz="4" w:space="0" w:color="auto"/>
                    <w:left w:val="single" w:sz="4" w:space="0" w:color="auto"/>
                    <w:bottom w:val="single" w:sz="4" w:space="0" w:color="auto"/>
                    <w:right w:val="single" w:sz="4" w:space="0" w:color="auto"/>
                  </w:tcBorders>
                  <w:hideMark/>
                </w:tcPr>
                <w:p w14:paraId="44BE2A5F" w14:textId="77777777" w:rsidR="00001F04" w:rsidRPr="00A552C3" w:rsidRDefault="00001F04" w:rsidP="00001F04">
                  <w:pPr>
                    <w:spacing w:after="60"/>
                    <w:rPr>
                      <w:iCs/>
                      <w:sz w:val="20"/>
                    </w:rPr>
                  </w:pPr>
                  <w:r w:rsidRPr="00A552C3">
                    <w:rPr>
                      <w:i/>
                      <w:iCs/>
                      <w:sz w:val="20"/>
                    </w:rPr>
                    <w:t>Voltage Support Service Lost Opportunity Amount QSE Total per QSE</w:t>
                  </w:r>
                  <w:r w:rsidRPr="00A552C3">
                    <w:rPr>
                      <w:iCs/>
                      <w:sz w:val="20"/>
                    </w:rPr>
                    <w:sym w:font="Symbol" w:char="F0BE"/>
                  </w:r>
                  <w:r w:rsidRPr="00A552C3">
                    <w:rPr>
                      <w:iCs/>
                      <w:sz w:val="20"/>
                    </w:rPr>
                    <w:t xml:space="preserve">The total of the lost opportunity payments to QSE </w:t>
                  </w:r>
                  <w:r w:rsidRPr="00A552C3">
                    <w:rPr>
                      <w:i/>
                      <w:iCs/>
                      <w:sz w:val="20"/>
                    </w:rPr>
                    <w:t>q</w:t>
                  </w:r>
                  <w:r w:rsidRPr="00A552C3">
                    <w:rPr>
                      <w:iCs/>
                      <w:sz w:val="20"/>
                    </w:rPr>
                    <w:t xml:space="preserve"> for providing VSS for providing ERCOT-directed VSS for the 15-minute Settlement Interval.</w:t>
                  </w:r>
                </w:p>
              </w:tc>
            </w:tr>
            <w:tr w:rsidR="00001F04" w:rsidRPr="00A552C3" w14:paraId="6AB4AE26"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2D190B48" w14:textId="77777777" w:rsidR="00001F04" w:rsidRPr="00A552C3" w:rsidRDefault="00001F04" w:rsidP="00001F04">
                  <w:pPr>
                    <w:spacing w:after="60"/>
                    <w:rPr>
                      <w:iCs/>
                      <w:sz w:val="20"/>
                    </w:rPr>
                  </w:pPr>
                  <w:r w:rsidRPr="00A552C3">
                    <w:rPr>
                      <w:iCs/>
                      <w:sz w:val="20"/>
                    </w:rPr>
                    <w:t xml:space="preserve">VSSEAMT </w:t>
                  </w:r>
                  <w:r w:rsidRPr="00A552C3">
                    <w:rPr>
                      <w:i/>
                      <w:iCs/>
                      <w:sz w:val="20"/>
                      <w:vertAlign w:val="subscript"/>
                    </w:rPr>
                    <w:t>q, r</w:t>
                  </w:r>
                </w:p>
              </w:tc>
              <w:tc>
                <w:tcPr>
                  <w:tcW w:w="459" w:type="pct"/>
                  <w:tcBorders>
                    <w:top w:val="single" w:sz="4" w:space="0" w:color="auto"/>
                    <w:left w:val="single" w:sz="4" w:space="0" w:color="auto"/>
                    <w:bottom w:val="single" w:sz="4" w:space="0" w:color="auto"/>
                    <w:right w:val="single" w:sz="4" w:space="0" w:color="auto"/>
                  </w:tcBorders>
                  <w:hideMark/>
                </w:tcPr>
                <w:p w14:paraId="34D2A5B2" w14:textId="77777777" w:rsidR="00001F04" w:rsidRPr="00A552C3" w:rsidRDefault="00001F04" w:rsidP="00001F04">
                  <w:pPr>
                    <w:spacing w:after="60"/>
                    <w:rPr>
                      <w:iCs/>
                      <w:sz w:val="20"/>
                    </w:rPr>
                  </w:pPr>
                  <w:r w:rsidRPr="00A552C3">
                    <w:rPr>
                      <w:iCs/>
                      <w:sz w:val="20"/>
                    </w:rPr>
                    <w:t>$</w:t>
                  </w:r>
                </w:p>
              </w:tc>
              <w:tc>
                <w:tcPr>
                  <w:tcW w:w="3348" w:type="pct"/>
                  <w:tcBorders>
                    <w:top w:val="single" w:sz="4" w:space="0" w:color="auto"/>
                    <w:left w:val="single" w:sz="4" w:space="0" w:color="auto"/>
                    <w:bottom w:val="single" w:sz="4" w:space="0" w:color="auto"/>
                    <w:right w:val="single" w:sz="4" w:space="0" w:color="auto"/>
                  </w:tcBorders>
                  <w:hideMark/>
                </w:tcPr>
                <w:p w14:paraId="102B5DA8" w14:textId="77777777" w:rsidR="00001F04" w:rsidRPr="00A552C3" w:rsidRDefault="00001F04" w:rsidP="00001F04">
                  <w:pPr>
                    <w:spacing w:after="60"/>
                    <w:rPr>
                      <w:iCs/>
                      <w:sz w:val="20"/>
                    </w:rPr>
                  </w:pPr>
                  <w:r w:rsidRPr="00A552C3">
                    <w:rPr>
                      <w:i/>
                      <w:iCs/>
                      <w:sz w:val="20"/>
                    </w:rPr>
                    <w:t>Voltage Support Service Energy Amount per QSE per Settlement Point per Resource</w:t>
                  </w:r>
                  <w:r w:rsidRPr="00A552C3">
                    <w:rPr>
                      <w:iCs/>
                      <w:sz w:val="20"/>
                    </w:rPr>
                    <w:t xml:space="preserve">—The lost opportunity payment to QSE </w:t>
                  </w:r>
                  <w:r w:rsidRPr="00A552C3">
                    <w:rPr>
                      <w:i/>
                      <w:iCs/>
                      <w:sz w:val="20"/>
                    </w:rPr>
                    <w:t>q</w:t>
                  </w:r>
                  <w:r w:rsidRPr="00A552C3">
                    <w:rPr>
                      <w:iCs/>
                      <w:sz w:val="20"/>
                    </w:rPr>
                    <w:t xml:space="preserve"> for ERCOT-directed VSS from Resource </w:t>
                  </w:r>
                  <w:r w:rsidRPr="00A552C3">
                    <w:rPr>
                      <w:i/>
                      <w:iCs/>
                      <w:sz w:val="20"/>
                    </w:rPr>
                    <w:t>r</w:t>
                  </w:r>
                  <w:r w:rsidRPr="00A552C3">
                    <w:rPr>
                      <w:iCs/>
                      <w:sz w:val="20"/>
                    </w:rPr>
                    <w:t xml:space="preserve"> for the 15-minute Settlement Interval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2A3A28B6"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3089E9E2" w14:textId="77777777" w:rsidR="00001F04" w:rsidRPr="00A552C3" w:rsidRDefault="00001F04" w:rsidP="00001F04">
                  <w:pPr>
                    <w:spacing w:after="60"/>
                    <w:rPr>
                      <w:i/>
                      <w:iCs/>
                      <w:sz w:val="20"/>
                    </w:rPr>
                  </w:pPr>
                  <w:r w:rsidRPr="00A552C3">
                    <w:rPr>
                      <w:i/>
                      <w:iCs/>
                      <w:sz w:val="20"/>
                    </w:rPr>
                    <w:t>q</w:t>
                  </w:r>
                </w:p>
              </w:tc>
              <w:tc>
                <w:tcPr>
                  <w:tcW w:w="459" w:type="pct"/>
                  <w:tcBorders>
                    <w:top w:val="single" w:sz="4" w:space="0" w:color="auto"/>
                    <w:left w:val="single" w:sz="4" w:space="0" w:color="auto"/>
                    <w:bottom w:val="single" w:sz="4" w:space="0" w:color="auto"/>
                    <w:right w:val="single" w:sz="4" w:space="0" w:color="auto"/>
                  </w:tcBorders>
                  <w:hideMark/>
                </w:tcPr>
                <w:p w14:paraId="35DE432B" w14:textId="77777777" w:rsidR="00001F04" w:rsidRPr="00A552C3" w:rsidRDefault="00001F04" w:rsidP="00001F04">
                  <w:pPr>
                    <w:spacing w:after="60"/>
                    <w:rPr>
                      <w:iCs/>
                      <w:sz w:val="20"/>
                    </w:rPr>
                  </w:pPr>
                  <w:r w:rsidRPr="00A552C3">
                    <w:rPr>
                      <w:iCs/>
                      <w:sz w:val="20"/>
                    </w:rPr>
                    <w:t>none</w:t>
                  </w:r>
                </w:p>
              </w:tc>
              <w:tc>
                <w:tcPr>
                  <w:tcW w:w="3348" w:type="pct"/>
                  <w:tcBorders>
                    <w:top w:val="single" w:sz="4" w:space="0" w:color="auto"/>
                    <w:left w:val="single" w:sz="4" w:space="0" w:color="auto"/>
                    <w:bottom w:val="single" w:sz="4" w:space="0" w:color="auto"/>
                    <w:right w:val="single" w:sz="4" w:space="0" w:color="auto"/>
                  </w:tcBorders>
                  <w:hideMark/>
                </w:tcPr>
                <w:p w14:paraId="2AC387B6" w14:textId="77777777" w:rsidR="00001F04" w:rsidRPr="00A552C3" w:rsidRDefault="00001F04" w:rsidP="00001F04">
                  <w:pPr>
                    <w:spacing w:after="60"/>
                    <w:rPr>
                      <w:iCs/>
                      <w:sz w:val="20"/>
                    </w:rPr>
                  </w:pPr>
                  <w:r w:rsidRPr="00A552C3">
                    <w:rPr>
                      <w:iCs/>
                      <w:sz w:val="20"/>
                    </w:rPr>
                    <w:t>A QSE.</w:t>
                  </w:r>
                </w:p>
              </w:tc>
            </w:tr>
            <w:tr w:rsidR="00001F04" w:rsidRPr="00A552C3" w14:paraId="0B60B6A7"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14388E8F" w14:textId="77777777" w:rsidR="00001F04" w:rsidRPr="00A552C3" w:rsidRDefault="00001F04" w:rsidP="00001F04">
                  <w:pPr>
                    <w:spacing w:after="60"/>
                    <w:rPr>
                      <w:i/>
                      <w:iCs/>
                      <w:sz w:val="20"/>
                    </w:rPr>
                  </w:pPr>
                  <w:r w:rsidRPr="00A552C3">
                    <w:rPr>
                      <w:i/>
                      <w:iCs/>
                      <w:sz w:val="20"/>
                    </w:rPr>
                    <w:t>r</w:t>
                  </w:r>
                </w:p>
              </w:tc>
              <w:tc>
                <w:tcPr>
                  <w:tcW w:w="459" w:type="pct"/>
                  <w:tcBorders>
                    <w:top w:val="single" w:sz="4" w:space="0" w:color="auto"/>
                    <w:left w:val="single" w:sz="4" w:space="0" w:color="auto"/>
                    <w:bottom w:val="single" w:sz="4" w:space="0" w:color="auto"/>
                    <w:right w:val="single" w:sz="4" w:space="0" w:color="auto"/>
                  </w:tcBorders>
                  <w:hideMark/>
                </w:tcPr>
                <w:p w14:paraId="58C1BF84" w14:textId="77777777" w:rsidR="00001F04" w:rsidRPr="00A552C3" w:rsidRDefault="00001F04" w:rsidP="00001F04">
                  <w:pPr>
                    <w:spacing w:after="60"/>
                    <w:rPr>
                      <w:iCs/>
                      <w:sz w:val="20"/>
                    </w:rPr>
                  </w:pPr>
                  <w:r w:rsidRPr="00A552C3">
                    <w:rPr>
                      <w:iCs/>
                      <w:sz w:val="20"/>
                    </w:rPr>
                    <w:t>none</w:t>
                  </w:r>
                </w:p>
              </w:tc>
              <w:tc>
                <w:tcPr>
                  <w:tcW w:w="3348" w:type="pct"/>
                  <w:tcBorders>
                    <w:top w:val="single" w:sz="4" w:space="0" w:color="auto"/>
                    <w:left w:val="single" w:sz="4" w:space="0" w:color="auto"/>
                    <w:bottom w:val="single" w:sz="4" w:space="0" w:color="auto"/>
                    <w:right w:val="single" w:sz="4" w:space="0" w:color="auto"/>
                  </w:tcBorders>
                  <w:hideMark/>
                </w:tcPr>
                <w:p w14:paraId="1BDD144E" w14:textId="77777777" w:rsidR="00001F04" w:rsidRPr="00A552C3" w:rsidRDefault="00001F04" w:rsidP="00001F04">
                  <w:pPr>
                    <w:spacing w:after="60"/>
                    <w:rPr>
                      <w:iCs/>
                      <w:sz w:val="20"/>
                    </w:rPr>
                  </w:pPr>
                  <w:r w:rsidRPr="00A552C3">
                    <w:rPr>
                      <w:iCs/>
                      <w:sz w:val="20"/>
                    </w:rPr>
                    <w:t>A Generation Resource or ESR.</w:t>
                  </w:r>
                </w:p>
              </w:tc>
            </w:tr>
          </w:tbl>
          <w:p w14:paraId="106A8E10" w14:textId="1F92D7CB" w:rsidR="00001F04" w:rsidRPr="00A4149C" w:rsidRDefault="00001F04" w:rsidP="00001F04">
            <w:pPr>
              <w:spacing w:after="240"/>
            </w:pPr>
          </w:p>
        </w:tc>
      </w:tr>
    </w:tbl>
    <w:p w14:paraId="28F0A6BB" w14:textId="06B39048" w:rsidR="001F04FD" w:rsidRDefault="001F04FD" w:rsidP="00FB599C">
      <w:pPr>
        <w:pStyle w:val="H4"/>
        <w:spacing w:before="480"/>
      </w:pPr>
      <w:bookmarkStart w:id="2455" w:name="_Toc204411717"/>
      <w:r w:rsidRPr="00EF1CEA">
        <w:lastRenderedPageBreak/>
        <w:t>6.6.7.</w:t>
      </w:r>
      <w:r>
        <w:t>2</w:t>
      </w:r>
      <w:r>
        <w:tab/>
        <w:t>Voltage Support Charge</w:t>
      </w:r>
      <w:bookmarkEnd w:id="2429"/>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55"/>
      <w:r>
        <w:t xml:space="preserve"> </w:t>
      </w:r>
    </w:p>
    <w:p w14:paraId="33392E86" w14:textId="77777777" w:rsidR="001F04FD" w:rsidRDefault="001F04FD" w:rsidP="001F04FD">
      <w:pPr>
        <w:pStyle w:val="BodyTextNumbered"/>
      </w:pPr>
      <w:r>
        <w:t>(1)</w:t>
      </w:r>
      <w:r>
        <w:tab/>
        <w:t>ERCOT shall charge each QSE representing LSEs the total payment for VSS as specified in Section 6.6.7.1, Voltage Support Service Payments, based on a LRS. The charge to each QSE for a given 15-minute Settlement Interval is calculated as follows:</w:t>
      </w:r>
    </w:p>
    <w:p w14:paraId="33BA954F" w14:textId="77777777" w:rsidR="001F04FD" w:rsidRDefault="001F04FD" w:rsidP="001F04FD">
      <w:pPr>
        <w:pStyle w:val="FormulaBold"/>
      </w:pPr>
      <w:r>
        <w:t xml:space="preserve">LAVSSAMT </w:t>
      </w:r>
      <w:r>
        <w:rPr>
          <w:i/>
          <w:vertAlign w:val="subscript"/>
        </w:rPr>
        <w:t>q</w:t>
      </w:r>
      <w:r>
        <w:tab/>
        <w:t>=</w:t>
      </w:r>
      <w:r>
        <w:tab/>
        <w:t xml:space="preserve">(-1) * (VSSVARAMTTOT + VSSEAMTTOT) * LRS </w:t>
      </w:r>
      <w:r>
        <w:rPr>
          <w:i/>
          <w:vertAlign w:val="subscript"/>
        </w:rPr>
        <w:t>q</w:t>
      </w:r>
    </w:p>
    <w:p w14:paraId="17FECE3F" w14:textId="77777777" w:rsidR="001F04FD" w:rsidRDefault="001F04FD" w:rsidP="001F04FD">
      <w:pPr>
        <w:pStyle w:val="BodyText"/>
      </w:pPr>
      <w:r>
        <w:t>Where:</w:t>
      </w:r>
    </w:p>
    <w:p w14:paraId="253AF27F" w14:textId="77777777" w:rsidR="001F04FD" w:rsidRDefault="001F04FD" w:rsidP="001F04FD">
      <w:pPr>
        <w:pStyle w:val="Formula"/>
        <w:ind w:left="2880" w:hanging="2160"/>
        <w:rPr>
          <w:i/>
          <w:vertAlign w:val="subscript"/>
        </w:rPr>
      </w:pPr>
      <w:r>
        <w:t>VSSVARAMTTOT</w:t>
      </w:r>
      <w:r>
        <w:tab/>
        <w:t>=</w:t>
      </w:r>
      <w:r>
        <w:tab/>
      </w:r>
      <w:r w:rsidRPr="006F784F">
        <w:rPr>
          <w:position w:val="-22"/>
        </w:rPr>
        <w:object w:dxaOrig="210" w:dyaOrig="465" w14:anchorId="0395CEFE">
          <v:shape id="_x0000_i1234" type="#_x0000_t75" style="width:5.4pt;height:24.6pt" o:ole="">
            <v:imagedata r:id="rId187" o:title=""/>
          </v:shape>
          <o:OLEObject Type="Embed" ProgID="Equation.3" ShapeID="_x0000_i1234" DrawAspect="Content" ObjectID="_1815025423" r:id="rId287"/>
        </w:object>
      </w:r>
      <w:r>
        <w:t xml:space="preserve">VSSVARAMTQSETOT </w:t>
      </w:r>
      <w:r>
        <w:rPr>
          <w:i/>
          <w:vertAlign w:val="subscript"/>
        </w:rPr>
        <w:t>q</w:t>
      </w:r>
    </w:p>
    <w:p w14:paraId="6175C109" w14:textId="77777777" w:rsidR="001F04FD" w:rsidRDefault="001F04FD" w:rsidP="001F04FD">
      <w:pPr>
        <w:pStyle w:val="Formula"/>
        <w:ind w:left="2880" w:hanging="2160"/>
        <w:rPr>
          <w:i/>
          <w:vertAlign w:val="subscript"/>
        </w:rPr>
      </w:pPr>
      <w:r>
        <w:t xml:space="preserve">VSSEAMTTOT  </w:t>
      </w:r>
      <w:r>
        <w:tab/>
        <w:t>=</w:t>
      </w:r>
      <w:r>
        <w:tab/>
      </w:r>
      <w:r w:rsidRPr="006F784F">
        <w:rPr>
          <w:position w:val="-22"/>
        </w:rPr>
        <w:object w:dxaOrig="210" w:dyaOrig="465" w14:anchorId="2532890B">
          <v:shape id="_x0000_i1235" type="#_x0000_t75" style="width:5.4pt;height:24.6pt" o:ole="">
            <v:imagedata r:id="rId187" o:title=""/>
          </v:shape>
          <o:OLEObject Type="Embed" ProgID="Equation.3" ShapeID="_x0000_i1235" DrawAspect="Content" ObjectID="_1815025424" r:id="rId288"/>
        </w:object>
      </w:r>
      <w:r>
        <w:t xml:space="preserve">VSSEAMTQSETOT </w:t>
      </w:r>
      <w:r>
        <w:rPr>
          <w:i/>
          <w:vertAlign w:val="subscript"/>
        </w:rPr>
        <w:t>q</w:t>
      </w:r>
    </w:p>
    <w:p w14:paraId="7D7B5A5F" w14:textId="77777777" w:rsidR="001F04FD" w:rsidRDefault="001F04FD" w:rsidP="001F04FD">
      <w:r>
        <w:t>The above variables are defined as follows:</w:t>
      </w:r>
    </w:p>
    <w:tbl>
      <w:tblPr>
        <w:tblW w:w="10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8"/>
        <w:gridCol w:w="720"/>
        <w:gridCol w:w="6959"/>
      </w:tblGrid>
      <w:tr w:rsidR="001F04FD" w14:paraId="5B15B363" w14:textId="77777777" w:rsidTr="00AC4DEE">
        <w:trPr>
          <w:tblHeader/>
        </w:trPr>
        <w:tc>
          <w:tcPr>
            <w:tcW w:w="2358" w:type="dxa"/>
          </w:tcPr>
          <w:p w14:paraId="0046E221" w14:textId="77777777" w:rsidR="001F04FD" w:rsidRDefault="001F04FD" w:rsidP="00AC4DEE">
            <w:pPr>
              <w:pStyle w:val="TableHead"/>
            </w:pPr>
            <w:r>
              <w:t>Variable</w:t>
            </w:r>
          </w:p>
        </w:tc>
        <w:tc>
          <w:tcPr>
            <w:tcW w:w="720" w:type="dxa"/>
          </w:tcPr>
          <w:p w14:paraId="3A5DC9F4" w14:textId="77777777" w:rsidR="001F04FD" w:rsidRDefault="001F04FD" w:rsidP="00AC4DEE">
            <w:pPr>
              <w:pStyle w:val="TableHead"/>
            </w:pPr>
            <w:r>
              <w:t>Unit</w:t>
            </w:r>
          </w:p>
        </w:tc>
        <w:tc>
          <w:tcPr>
            <w:tcW w:w="6959" w:type="dxa"/>
          </w:tcPr>
          <w:p w14:paraId="3B1977CC" w14:textId="77777777" w:rsidR="001F04FD" w:rsidRDefault="001F04FD" w:rsidP="00AC4DEE">
            <w:pPr>
              <w:pStyle w:val="TableHead"/>
            </w:pPr>
            <w:r>
              <w:t>Definition</w:t>
            </w:r>
          </w:p>
        </w:tc>
      </w:tr>
      <w:tr w:rsidR="001F04FD" w14:paraId="1F590757" w14:textId="77777777" w:rsidTr="00AC4DEE">
        <w:trPr>
          <w:cantSplit/>
        </w:trPr>
        <w:tc>
          <w:tcPr>
            <w:tcW w:w="2358" w:type="dxa"/>
          </w:tcPr>
          <w:p w14:paraId="6A8FB47B" w14:textId="77777777" w:rsidR="001F04FD" w:rsidRDefault="001F04FD" w:rsidP="00AC4DEE">
            <w:pPr>
              <w:pStyle w:val="TableBody"/>
            </w:pPr>
            <w:r>
              <w:t xml:space="preserve">LAVSSAMT </w:t>
            </w:r>
            <w:r w:rsidRPr="00E15B17">
              <w:rPr>
                <w:i/>
                <w:vertAlign w:val="subscript"/>
              </w:rPr>
              <w:t>q</w:t>
            </w:r>
          </w:p>
        </w:tc>
        <w:tc>
          <w:tcPr>
            <w:tcW w:w="720" w:type="dxa"/>
          </w:tcPr>
          <w:p w14:paraId="260BB285" w14:textId="77777777" w:rsidR="001F04FD" w:rsidRDefault="001F04FD" w:rsidP="00AC4DEE">
            <w:pPr>
              <w:pStyle w:val="TableBody"/>
            </w:pPr>
            <w:r>
              <w:t>$</w:t>
            </w:r>
          </w:p>
        </w:tc>
        <w:tc>
          <w:tcPr>
            <w:tcW w:w="6959" w:type="dxa"/>
          </w:tcPr>
          <w:p w14:paraId="29CC5802" w14:textId="77777777" w:rsidR="001F04FD" w:rsidRDefault="001F04FD" w:rsidP="00AC4DEE">
            <w:pPr>
              <w:pStyle w:val="TableBody"/>
            </w:pPr>
            <w:r>
              <w:rPr>
                <w:i/>
              </w:rPr>
              <w:t>Load-Allocated Voltage Support Service Amount per QSE</w:t>
            </w:r>
            <w:r>
              <w:t xml:space="preserve">—The charge to QSE </w:t>
            </w:r>
            <w:r>
              <w:rPr>
                <w:i/>
              </w:rPr>
              <w:t>q</w:t>
            </w:r>
            <w:r>
              <w:t xml:space="preserve"> for VSS, for the 15-minute Settlement Interval.</w:t>
            </w:r>
          </w:p>
        </w:tc>
      </w:tr>
      <w:tr w:rsidR="001F04FD" w14:paraId="3F3DCDB0" w14:textId="77777777" w:rsidTr="00AC4DEE">
        <w:trPr>
          <w:cantSplit/>
        </w:trPr>
        <w:tc>
          <w:tcPr>
            <w:tcW w:w="2358" w:type="dxa"/>
          </w:tcPr>
          <w:p w14:paraId="357B5A71" w14:textId="77777777" w:rsidR="001F04FD" w:rsidRDefault="001F04FD" w:rsidP="00AC4DEE">
            <w:pPr>
              <w:pStyle w:val="TableBody"/>
            </w:pPr>
            <w:r>
              <w:lastRenderedPageBreak/>
              <w:t>VSSVARAMTTOT</w:t>
            </w:r>
          </w:p>
        </w:tc>
        <w:tc>
          <w:tcPr>
            <w:tcW w:w="720" w:type="dxa"/>
          </w:tcPr>
          <w:p w14:paraId="58495F9D" w14:textId="77777777" w:rsidR="001F04FD" w:rsidRDefault="001F04FD" w:rsidP="00AC4DEE">
            <w:pPr>
              <w:pStyle w:val="TableBody"/>
            </w:pPr>
            <w:r>
              <w:t>$</w:t>
            </w:r>
          </w:p>
        </w:tc>
        <w:tc>
          <w:tcPr>
            <w:tcW w:w="6959" w:type="dxa"/>
          </w:tcPr>
          <w:p w14:paraId="11E5FD94" w14:textId="77777777" w:rsidR="001F04FD" w:rsidRDefault="001F04FD" w:rsidP="00AC4DEE">
            <w:pPr>
              <w:pStyle w:val="TableBody"/>
              <w:rPr>
                <w:i/>
              </w:rPr>
            </w:pPr>
            <w:r>
              <w:rPr>
                <w:i/>
              </w:rPr>
              <w:t>Voltage Support Service var Amount Total</w:t>
            </w:r>
            <w:r>
              <w:t>—The total of payments to all QSEs providing VSS, for the 15-minute Settlement Interval.</w:t>
            </w:r>
          </w:p>
        </w:tc>
      </w:tr>
      <w:tr w:rsidR="001F04FD" w14:paraId="05CC104B" w14:textId="77777777" w:rsidTr="00AC4DEE">
        <w:trPr>
          <w:cantSplit/>
        </w:trPr>
        <w:tc>
          <w:tcPr>
            <w:tcW w:w="2358" w:type="dxa"/>
          </w:tcPr>
          <w:p w14:paraId="4108B83F" w14:textId="77777777" w:rsidR="001F04FD" w:rsidRDefault="001F04FD" w:rsidP="00AC4DEE">
            <w:pPr>
              <w:pStyle w:val="TableBody"/>
            </w:pPr>
            <w:r>
              <w:t xml:space="preserve">VSSVARAMTQSETOT </w:t>
            </w:r>
            <w:r w:rsidRPr="00E15B17">
              <w:rPr>
                <w:i/>
                <w:vertAlign w:val="subscript"/>
              </w:rPr>
              <w:t>q</w:t>
            </w:r>
          </w:p>
        </w:tc>
        <w:tc>
          <w:tcPr>
            <w:tcW w:w="720" w:type="dxa"/>
          </w:tcPr>
          <w:p w14:paraId="06912487" w14:textId="77777777" w:rsidR="001F04FD" w:rsidRDefault="001F04FD" w:rsidP="00AC4DEE">
            <w:pPr>
              <w:pStyle w:val="TableBody"/>
            </w:pPr>
            <w:r>
              <w:t>$</w:t>
            </w:r>
          </w:p>
        </w:tc>
        <w:tc>
          <w:tcPr>
            <w:tcW w:w="6959" w:type="dxa"/>
          </w:tcPr>
          <w:p w14:paraId="09330824" w14:textId="77777777" w:rsidR="001F04FD" w:rsidRDefault="001F04FD" w:rsidP="00AC4DEE">
            <w:pPr>
              <w:pStyle w:val="TableBody"/>
              <w:rPr>
                <w:i/>
              </w:rPr>
            </w:pPr>
            <w:r>
              <w:rPr>
                <w:i/>
              </w:rPr>
              <w:t>Voltage Support Service var Amount QSE Total per QSE</w:t>
            </w:r>
            <w:r>
              <w:sym w:font="Symbol" w:char="F0BE"/>
            </w:r>
            <w:r>
              <w:t xml:space="preserve">The total of the payments to QSE </w:t>
            </w:r>
            <w:r>
              <w:rPr>
                <w:i/>
              </w:rPr>
              <w:t>q</w:t>
            </w:r>
            <w:r>
              <w:t xml:space="preserve"> for providing VSS for the 15-minute Settlement Interval.</w:t>
            </w:r>
          </w:p>
        </w:tc>
      </w:tr>
      <w:tr w:rsidR="001F04FD" w14:paraId="08CA9B9F" w14:textId="77777777" w:rsidTr="00AC4DEE">
        <w:trPr>
          <w:cantSplit/>
        </w:trPr>
        <w:tc>
          <w:tcPr>
            <w:tcW w:w="2358" w:type="dxa"/>
          </w:tcPr>
          <w:p w14:paraId="0099BE1B" w14:textId="77777777" w:rsidR="001F04FD" w:rsidRDefault="001F04FD" w:rsidP="00AC4DEE">
            <w:pPr>
              <w:pStyle w:val="TableBody"/>
            </w:pPr>
            <w:r>
              <w:t xml:space="preserve">LRS </w:t>
            </w:r>
            <w:r w:rsidRPr="00E15B17">
              <w:rPr>
                <w:i/>
                <w:vertAlign w:val="subscript"/>
              </w:rPr>
              <w:t>q</w:t>
            </w:r>
          </w:p>
        </w:tc>
        <w:tc>
          <w:tcPr>
            <w:tcW w:w="720" w:type="dxa"/>
          </w:tcPr>
          <w:p w14:paraId="251EAF68" w14:textId="77777777" w:rsidR="001F04FD" w:rsidRDefault="001F04FD" w:rsidP="00AC4DEE">
            <w:pPr>
              <w:pStyle w:val="TableBody"/>
            </w:pPr>
            <w:r>
              <w:t>none</w:t>
            </w:r>
          </w:p>
        </w:tc>
        <w:tc>
          <w:tcPr>
            <w:tcW w:w="6959" w:type="dxa"/>
          </w:tcPr>
          <w:p w14:paraId="253BF8F5" w14:textId="77777777" w:rsidR="001F04FD" w:rsidRDefault="001F04FD" w:rsidP="00AC4DEE">
            <w:pPr>
              <w:pStyle w:val="TableBody"/>
            </w:pPr>
            <w:r>
              <w:rPr>
                <w:i/>
              </w:rPr>
              <w:t>The Load Ratio Share</w:t>
            </w:r>
            <w:r>
              <w:t xml:space="preserve"> calculated for QSE </w:t>
            </w:r>
            <w:r>
              <w:rPr>
                <w:i/>
              </w:rPr>
              <w:t>q</w:t>
            </w:r>
            <w:r>
              <w:t xml:space="preserve"> for the 15-minute Settlement Interval.  See Section 6.6.2.2, QSE Load Ratio Share for a 15-Minute Settlement Interval.</w:t>
            </w:r>
          </w:p>
        </w:tc>
      </w:tr>
      <w:tr w:rsidR="001F04FD" w14:paraId="0CD4025A" w14:textId="77777777" w:rsidTr="00AC4DEE">
        <w:trPr>
          <w:cantSplit/>
        </w:trPr>
        <w:tc>
          <w:tcPr>
            <w:tcW w:w="2358" w:type="dxa"/>
            <w:tcBorders>
              <w:top w:val="single" w:sz="4" w:space="0" w:color="auto"/>
              <w:left w:val="single" w:sz="4" w:space="0" w:color="auto"/>
              <w:bottom w:val="single" w:sz="4" w:space="0" w:color="auto"/>
              <w:right w:val="single" w:sz="4" w:space="0" w:color="auto"/>
            </w:tcBorders>
          </w:tcPr>
          <w:p w14:paraId="5FC0DEF7" w14:textId="77777777" w:rsidR="001F04FD" w:rsidRDefault="001F04FD" w:rsidP="00AC4DEE">
            <w:pPr>
              <w:pStyle w:val="TableBody"/>
            </w:pPr>
            <w:r>
              <w:t>VSSEAMTTOT</w:t>
            </w:r>
          </w:p>
        </w:tc>
        <w:tc>
          <w:tcPr>
            <w:tcW w:w="720" w:type="dxa"/>
            <w:tcBorders>
              <w:top w:val="single" w:sz="4" w:space="0" w:color="auto"/>
              <w:left w:val="single" w:sz="4" w:space="0" w:color="auto"/>
              <w:bottom w:val="single" w:sz="4" w:space="0" w:color="auto"/>
              <w:right w:val="single" w:sz="4" w:space="0" w:color="auto"/>
            </w:tcBorders>
          </w:tcPr>
          <w:p w14:paraId="053694C5" w14:textId="77777777" w:rsidR="001F04FD" w:rsidRDefault="001F04FD" w:rsidP="00AC4DEE">
            <w:pPr>
              <w:pStyle w:val="TableBody"/>
            </w:pPr>
            <w:r>
              <w:t>$</w:t>
            </w:r>
          </w:p>
        </w:tc>
        <w:tc>
          <w:tcPr>
            <w:tcW w:w="6959" w:type="dxa"/>
            <w:tcBorders>
              <w:top w:val="single" w:sz="4" w:space="0" w:color="auto"/>
              <w:left w:val="single" w:sz="4" w:space="0" w:color="auto"/>
              <w:bottom w:val="single" w:sz="4" w:space="0" w:color="auto"/>
              <w:right w:val="single" w:sz="4" w:space="0" w:color="auto"/>
            </w:tcBorders>
          </w:tcPr>
          <w:p w14:paraId="19F5FC12" w14:textId="77777777" w:rsidR="001F04FD" w:rsidRDefault="001F04FD" w:rsidP="00AC4DEE">
            <w:pPr>
              <w:pStyle w:val="TableBody"/>
            </w:pPr>
            <w:r>
              <w:rPr>
                <w:i/>
              </w:rPr>
              <w:t>Voltage Support Service Lost Opportunity Amount Total</w:t>
            </w:r>
            <w:r>
              <w:t>—The total of payments to all QSEs providing VSS in lieu of energy, for the 15-minute Settlement Interval.</w:t>
            </w:r>
          </w:p>
        </w:tc>
      </w:tr>
      <w:tr w:rsidR="001F04FD" w14:paraId="2733E68E" w14:textId="77777777" w:rsidTr="00AC4DEE">
        <w:trPr>
          <w:cantSplit/>
        </w:trPr>
        <w:tc>
          <w:tcPr>
            <w:tcW w:w="2358" w:type="dxa"/>
            <w:tcBorders>
              <w:top w:val="single" w:sz="4" w:space="0" w:color="auto"/>
              <w:left w:val="single" w:sz="4" w:space="0" w:color="auto"/>
              <w:bottom w:val="single" w:sz="4" w:space="0" w:color="auto"/>
              <w:right w:val="single" w:sz="4" w:space="0" w:color="auto"/>
            </w:tcBorders>
          </w:tcPr>
          <w:p w14:paraId="3C6AF8EF" w14:textId="77777777" w:rsidR="001F04FD" w:rsidRDefault="001F04FD" w:rsidP="00AC4DEE">
            <w:pPr>
              <w:pStyle w:val="TableBody"/>
            </w:pPr>
            <w:r>
              <w:t xml:space="preserve">VSSEAMTQSETOT </w:t>
            </w:r>
            <w:r w:rsidRPr="00E15B17">
              <w:rPr>
                <w:i/>
                <w:vertAlign w:val="subscript"/>
              </w:rPr>
              <w:t>q</w:t>
            </w:r>
          </w:p>
        </w:tc>
        <w:tc>
          <w:tcPr>
            <w:tcW w:w="720" w:type="dxa"/>
            <w:tcBorders>
              <w:top w:val="single" w:sz="4" w:space="0" w:color="auto"/>
              <w:left w:val="single" w:sz="4" w:space="0" w:color="auto"/>
              <w:bottom w:val="single" w:sz="4" w:space="0" w:color="auto"/>
              <w:right w:val="single" w:sz="4" w:space="0" w:color="auto"/>
            </w:tcBorders>
          </w:tcPr>
          <w:p w14:paraId="6EDCB22D" w14:textId="77777777" w:rsidR="001F04FD" w:rsidRDefault="001F04FD" w:rsidP="00AC4DEE">
            <w:pPr>
              <w:pStyle w:val="TableBody"/>
            </w:pPr>
            <w:r>
              <w:t>$</w:t>
            </w:r>
          </w:p>
        </w:tc>
        <w:tc>
          <w:tcPr>
            <w:tcW w:w="6959" w:type="dxa"/>
            <w:tcBorders>
              <w:top w:val="single" w:sz="4" w:space="0" w:color="auto"/>
              <w:left w:val="single" w:sz="4" w:space="0" w:color="auto"/>
              <w:bottom w:val="single" w:sz="4" w:space="0" w:color="auto"/>
              <w:right w:val="single" w:sz="4" w:space="0" w:color="auto"/>
            </w:tcBorders>
          </w:tcPr>
          <w:p w14:paraId="23AC61E2" w14:textId="77777777" w:rsidR="001F04FD" w:rsidRDefault="001F04FD" w:rsidP="00AC4DEE">
            <w:pPr>
              <w:pStyle w:val="TableBody"/>
            </w:pPr>
            <w:r>
              <w:rPr>
                <w:i/>
              </w:rPr>
              <w:t>Voltage Support Service Lost Opportunity Amount QSE Total per QSE</w:t>
            </w:r>
            <w:r>
              <w:sym w:font="Symbol" w:char="F0BE"/>
            </w:r>
            <w:r>
              <w:t xml:space="preserve">The total of the payments to QSE </w:t>
            </w:r>
            <w:r>
              <w:rPr>
                <w:i/>
              </w:rPr>
              <w:t>q</w:t>
            </w:r>
            <w:r>
              <w:t xml:space="preserve"> for providing VSS in lieu of energy, for the 15-minute Settlement Interval.</w:t>
            </w:r>
          </w:p>
        </w:tc>
      </w:tr>
      <w:tr w:rsidR="001F04FD" w14:paraId="3F4AB79B" w14:textId="77777777" w:rsidTr="00AC4DEE">
        <w:trPr>
          <w:cantSplit/>
        </w:trPr>
        <w:tc>
          <w:tcPr>
            <w:tcW w:w="2358" w:type="dxa"/>
            <w:tcBorders>
              <w:top w:val="single" w:sz="4" w:space="0" w:color="auto"/>
              <w:left w:val="single" w:sz="4" w:space="0" w:color="auto"/>
              <w:bottom w:val="single" w:sz="4" w:space="0" w:color="auto"/>
              <w:right w:val="single" w:sz="4" w:space="0" w:color="auto"/>
            </w:tcBorders>
          </w:tcPr>
          <w:p w14:paraId="0D20AC0E" w14:textId="77777777" w:rsidR="001F04FD" w:rsidRPr="00E15B17" w:rsidRDefault="001F04FD" w:rsidP="00AC4DEE">
            <w:pPr>
              <w:pStyle w:val="TableBody"/>
              <w:rPr>
                <w:i/>
              </w:rPr>
            </w:pPr>
            <w:r w:rsidRPr="00E15B17">
              <w:rPr>
                <w:i/>
              </w:rPr>
              <w:t>q</w:t>
            </w:r>
          </w:p>
        </w:tc>
        <w:tc>
          <w:tcPr>
            <w:tcW w:w="720" w:type="dxa"/>
            <w:tcBorders>
              <w:top w:val="single" w:sz="4" w:space="0" w:color="auto"/>
              <w:left w:val="single" w:sz="4" w:space="0" w:color="auto"/>
              <w:bottom w:val="single" w:sz="4" w:space="0" w:color="auto"/>
              <w:right w:val="single" w:sz="4" w:space="0" w:color="auto"/>
            </w:tcBorders>
          </w:tcPr>
          <w:p w14:paraId="39756017" w14:textId="77777777" w:rsidR="001F04FD" w:rsidRDefault="001F04FD" w:rsidP="00AC4DEE">
            <w:pPr>
              <w:pStyle w:val="TableBody"/>
            </w:pPr>
            <w:r>
              <w:t>none</w:t>
            </w:r>
          </w:p>
        </w:tc>
        <w:tc>
          <w:tcPr>
            <w:tcW w:w="6959" w:type="dxa"/>
            <w:tcBorders>
              <w:top w:val="single" w:sz="4" w:space="0" w:color="auto"/>
              <w:left w:val="single" w:sz="4" w:space="0" w:color="auto"/>
              <w:bottom w:val="single" w:sz="4" w:space="0" w:color="auto"/>
              <w:right w:val="single" w:sz="4" w:space="0" w:color="auto"/>
            </w:tcBorders>
          </w:tcPr>
          <w:p w14:paraId="66F42560" w14:textId="77777777" w:rsidR="001F04FD" w:rsidRDefault="001F04FD" w:rsidP="00AC4DEE">
            <w:pPr>
              <w:pStyle w:val="TableBody"/>
            </w:pPr>
            <w:r>
              <w:t>A QSE.</w:t>
            </w:r>
          </w:p>
        </w:tc>
      </w:tr>
    </w:tbl>
    <w:p w14:paraId="30728615" w14:textId="77777777" w:rsidR="001F04FD" w:rsidRDefault="001F04FD" w:rsidP="001F04FD">
      <w:bookmarkStart w:id="2456" w:name="_Toc87951811"/>
      <w:bookmarkEnd w:id="2430"/>
    </w:p>
    <w:p w14:paraId="348EA620" w14:textId="77777777" w:rsidR="001F04FD" w:rsidRDefault="001F04FD" w:rsidP="001F04FD">
      <w:pPr>
        <w:pStyle w:val="H3"/>
      </w:pPr>
      <w:bookmarkStart w:id="2457" w:name="_Toc109009415"/>
      <w:bookmarkStart w:id="2458" w:name="_Toc397505035"/>
      <w:bookmarkStart w:id="2459" w:name="_Toc402357167"/>
      <w:bookmarkStart w:id="2460" w:name="_Toc422486547"/>
      <w:bookmarkStart w:id="2461" w:name="_Toc433093400"/>
      <w:bookmarkStart w:id="2462" w:name="_Toc433093558"/>
      <w:bookmarkStart w:id="2463" w:name="_Toc440874788"/>
      <w:bookmarkStart w:id="2464" w:name="_Toc448142345"/>
      <w:bookmarkStart w:id="2465" w:name="_Toc448142502"/>
      <w:bookmarkStart w:id="2466" w:name="_Toc458770343"/>
      <w:bookmarkStart w:id="2467" w:name="_Toc459294311"/>
      <w:bookmarkStart w:id="2468" w:name="_Toc463262805"/>
      <w:bookmarkStart w:id="2469" w:name="_Toc468286878"/>
      <w:bookmarkStart w:id="2470" w:name="_Toc481502918"/>
      <w:bookmarkStart w:id="2471" w:name="_Toc496080086"/>
      <w:bookmarkStart w:id="2472" w:name="_Toc204411718"/>
      <w:r>
        <w:t>6.6.8</w:t>
      </w:r>
      <w:r>
        <w:tab/>
        <w:t>Black Start Capacity</w:t>
      </w:r>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r>
        <w:t xml:space="preserve"> </w:t>
      </w:r>
    </w:p>
    <w:p w14:paraId="5F87F2F0" w14:textId="77777777" w:rsidR="001F04FD" w:rsidRDefault="001F04FD" w:rsidP="001F04FD">
      <w:pPr>
        <w:pStyle w:val="H4"/>
      </w:pPr>
      <w:bookmarkStart w:id="2473" w:name="_Toc87951812"/>
      <w:bookmarkStart w:id="2474" w:name="_Toc109009416"/>
      <w:bookmarkStart w:id="2475" w:name="_Toc397505036"/>
      <w:bookmarkStart w:id="2476" w:name="_Toc402357168"/>
      <w:bookmarkStart w:id="2477" w:name="_Toc422486548"/>
      <w:bookmarkStart w:id="2478" w:name="_Toc433093401"/>
      <w:bookmarkStart w:id="2479" w:name="_Toc433093559"/>
      <w:bookmarkStart w:id="2480" w:name="_Toc440874789"/>
      <w:bookmarkStart w:id="2481" w:name="_Toc448142346"/>
      <w:bookmarkStart w:id="2482" w:name="_Toc448142503"/>
      <w:bookmarkStart w:id="2483" w:name="_Toc458770344"/>
      <w:bookmarkStart w:id="2484" w:name="_Toc459294312"/>
      <w:bookmarkStart w:id="2485" w:name="_Toc463262806"/>
      <w:bookmarkStart w:id="2486" w:name="_Toc468286879"/>
      <w:bookmarkStart w:id="2487" w:name="_Toc481502919"/>
      <w:bookmarkStart w:id="2488" w:name="_Toc496080087"/>
      <w:bookmarkStart w:id="2489" w:name="_Toc204411719"/>
      <w:r>
        <w:t>6.6.8.1</w:t>
      </w:r>
      <w:r>
        <w:tab/>
        <w:t>Black Start Hourly Standby Fee Payment</w:t>
      </w:r>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p>
    <w:p w14:paraId="7D7FCECE" w14:textId="77777777" w:rsidR="001F04FD" w:rsidRDefault="001F04FD" w:rsidP="001F04FD">
      <w:pPr>
        <w:pStyle w:val="BodyTextNumbered"/>
      </w:pPr>
      <w:r>
        <w:t>(1)</w:t>
      </w:r>
      <w:r>
        <w:tab/>
        <w:t>ERCOT shall pay an Hourly Standby Fee to the QSEs representing a Black Start Resource.  This standby fee is determined through a competitive bi-annual bidding process, with an adjustment for reliability based on a six-month rolling availability equal to 85% in accordance with Section 22, Attachment D, Standard Form Black Start Agreement.</w:t>
      </w:r>
    </w:p>
    <w:p w14:paraId="2B2DAB13" w14:textId="77777777" w:rsidR="001F04FD" w:rsidRDefault="001F04FD" w:rsidP="001F04FD">
      <w:pPr>
        <w:spacing w:after="240"/>
        <w:ind w:left="720" w:hanging="720"/>
      </w:pPr>
      <w:r>
        <w:t>(2)</w:t>
      </w:r>
      <w:r>
        <w:tab/>
      </w:r>
      <w:r w:rsidRPr="006D062D">
        <w:t>The Black Start Hourly Standby Fee is subject to reduction and</w:t>
      </w:r>
      <w:r w:rsidRPr="006D062D">
        <w:rPr>
          <w:iCs/>
        </w:rPr>
        <w:t xml:space="preserve"> claw-back provisions as described in Section 8.1.1.2.1.5, System Black Start Capability Qualification and Testing.</w:t>
      </w:r>
      <w:r w:rsidRPr="006D062D">
        <w:t xml:space="preserve"> </w:t>
      </w:r>
    </w:p>
    <w:p w14:paraId="1208C3A8" w14:textId="77777777" w:rsidR="001F04FD" w:rsidRDefault="001F04FD" w:rsidP="001F04FD">
      <w:pPr>
        <w:pStyle w:val="BodyTextNumbered"/>
      </w:pPr>
      <w:r>
        <w:t>(3)</w:t>
      </w:r>
      <w:r>
        <w:tab/>
        <w:t>ERCOT shall pay a Black Start Hourly Standby Fee payment to each QSE for each Black Start Resource.  The payment for each hour is calculated as follows:</w:t>
      </w:r>
    </w:p>
    <w:p w14:paraId="7546D001" w14:textId="77777777" w:rsidR="001F04FD" w:rsidRDefault="001F04FD" w:rsidP="001F04FD">
      <w:pPr>
        <w:pStyle w:val="FormulaBold"/>
      </w:pPr>
      <w:r>
        <w:t xml:space="preserve">BSSAMT </w:t>
      </w:r>
      <w:r>
        <w:rPr>
          <w:i/>
          <w:vertAlign w:val="subscript"/>
        </w:rPr>
        <w:t>q, r</w:t>
      </w:r>
      <w:r>
        <w:tab/>
        <w:t>=</w:t>
      </w:r>
      <w:r>
        <w:tab/>
        <w:t xml:space="preserve">(-1) * BSSPR </w:t>
      </w:r>
      <w:r>
        <w:rPr>
          <w:i/>
          <w:vertAlign w:val="subscript"/>
        </w:rPr>
        <w:t>q, r</w:t>
      </w:r>
      <w:r>
        <w:t xml:space="preserve"> * BSSARF </w:t>
      </w:r>
      <w:r>
        <w:rPr>
          <w:i/>
          <w:vertAlign w:val="subscript"/>
        </w:rPr>
        <w:t>q, r</w:t>
      </w:r>
    </w:p>
    <w:p w14:paraId="38A6BD9C" w14:textId="77777777" w:rsidR="001F04FD" w:rsidRDefault="001F04FD" w:rsidP="001F04FD">
      <w:pPr>
        <w:pStyle w:val="BodyText"/>
      </w:pPr>
      <w:r>
        <w:t>Where:</w:t>
      </w:r>
    </w:p>
    <w:p w14:paraId="6FC4DE43" w14:textId="77777777" w:rsidR="001F04FD" w:rsidRDefault="001F04FD" w:rsidP="001F04FD">
      <w:r>
        <w:t>Black Start Service Availability Reduction Factor</w:t>
      </w:r>
    </w:p>
    <w:p w14:paraId="6E8FB350" w14:textId="77777777" w:rsidR="001F04FD" w:rsidRDefault="001F04FD" w:rsidP="001F04FD">
      <w:pPr>
        <w:ind w:firstLine="720"/>
        <w:rPr>
          <w:lang w:val="pt-BR"/>
        </w:rPr>
      </w:pPr>
      <w:r>
        <w:rPr>
          <w:lang w:val="pt-BR"/>
        </w:rPr>
        <w:t xml:space="preserve">If (BSSHREAF </w:t>
      </w:r>
      <w:r>
        <w:rPr>
          <w:i/>
          <w:vertAlign w:val="subscript"/>
          <w:lang w:val="pt-BR"/>
        </w:rPr>
        <w:t>q, r</w:t>
      </w:r>
      <w:r>
        <w:rPr>
          <w:lang w:val="pt-BR"/>
        </w:rPr>
        <w:t xml:space="preserve"> </w:t>
      </w:r>
      <w:r>
        <w:sym w:font="Symbol" w:char="F0B3"/>
      </w:r>
      <w:r>
        <w:rPr>
          <w:lang w:val="pt-BR"/>
        </w:rPr>
        <w:t xml:space="preserve"> 0.85)</w:t>
      </w:r>
    </w:p>
    <w:p w14:paraId="19DEF163" w14:textId="77777777" w:rsidR="001F04FD" w:rsidRDefault="001F04FD" w:rsidP="001F04FD">
      <w:pPr>
        <w:ind w:left="720" w:firstLine="720"/>
        <w:rPr>
          <w:lang w:val="pt-BR"/>
        </w:rPr>
      </w:pPr>
      <w:r>
        <w:rPr>
          <w:lang w:val="pt-BR"/>
        </w:rPr>
        <w:t xml:space="preserve">BSSARF </w:t>
      </w:r>
      <w:r>
        <w:rPr>
          <w:i/>
          <w:vertAlign w:val="subscript"/>
          <w:lang w:val="pt-BR"/>
        </w:rPr>
        <w:t>q, r</w:t>
      </w:r>
      <w:r>
        <w:rPr>
          <w:lang w:val="pt-BR"/>
        </w:rPr>
        <w:t xml:space="preserve"> </w:t>
      </w:r>
      <w:r>
        <w:rPr>
          <w:lang w:val="pt-BR"/>
        </w:rPr>
        <w:tab/>
        <w:t xml:space="preserve">= </w:t>
      </w:r>
      <w:r>
        <w:rPr>
          <w:lang w:val="pt-BR"/>
        </w:rPr>
        <w:tab/>
        <w:t>1</w:t>
      </w:r>
    </w:p>
    <w:p w14:paraId="18DF170B" w14:textId="77777777" w:rsidR="001F04FD" w:rsidRDefault="001F04FD" w:rsidP="001F04FD">
      <w:pPr>
        <w:ind w:firstLine="720"/>
        <w:rPr>
          <w:lang w:val="pt-BR"/>
        </w:rPr>
      </w:pPr>
      <w:r>
        <w:rPr>
          <w:lang w:val="pt-BR"/>
        </w:rPr>
        <w:t>Otherwise</w:t>
      </w:r>
    </w:p>
    <w:p w14:paraId="4183BDB0" w14:textId="77777777" w:rsidR="001F04FD" w:rsidRDefault="001F04FD" w:rsidP="001F04FD">
      <w:pPr>
        <w:ind w:left="720" w:firstLine="720"/>
        <w:rPr>
          <w:lang w:val="pt-BR"/>
        </w:rPr>
      </w:pPr>
      <w:r>
        <w:rPr>
          <w:lang w:val="pt-BR"/>
        </w:rPr>
        <w:t xml:space="preserve">BSSARF </w:t>
      </w:r>
      <w:r>
        <w:rPr>
          <w:i/>
          <w:vertAlign w:val="subscript"/>
          <w:lang w:val="pt-BR"/>
        </w:rPr>
        <w:t>q, r</w:t>
      </w:r>
      <w:r>
        <w:rPr>
          <w:lang w:val="pt-BR"/>
        </w:rPr>
        <w:t xml:space="preserve"> </w:t>
      </w:r>
      <w:r>
        <w:rPr>
          <w:lang w:val="pt-BR"/>
        </w:rPr>
        <w:tab/>
        <w:t xml:space="preserve">= </w:t>
      </w:r>
      <w:r>
        <w:rPr>
          <w:lang w:val="pt-BR"/>
        </w:rPr>
        <w:tab/>
        <w:t xml:space="preserve">Max (0, 1 - (0.85 - BSSHREAF </w:t>
      </w:r>
      <w:r>
        <w:rPr>
          <w:i/>
          <w:vertAlign w:val="subscript"/>
          <w:lang w:val="pt-BR"/>
        </w:rPr>
        <w:t>q, r</w:t>
      </w:r>
      <w:r>
        <w:rPr>
          <w:lang w:val="pt-BR"/>
        </w:rPr>
        <w:t>) * 2)</w:t>
      </w:r>
    </w:p>
    <w:p w14:paraId="7610E7B8" w14:textId="77777777" w:rsidR="001F04FD" w:rsidRDefault="001F04FD" w:rsidP="001F04FD">
      <w:pPr>
        <w:rPr>
          <w:lang w:val="pt-BR"/>
        </w:rPr>
      </w:pPr>
    </w:p>
    <w:p w14:paraId="0196756F" w14:textId="77777777" w:rsidR="001F04FD" w:rsidRDefault="001F04FD" w:rsidP="001F04FD">
      <w:r>
        <w:t>Black Start Service Hourly Rolling Equivalent Availability Factor</w:t>
      </w:r>
    </w:p>
    <w:p w14:paraId="0423D2E8" w14:textId="77777777" w:rsidR="001F04FD" w:rsidRDefault="001F04FD" w:rsidP="001F04FD">
      <w:pPr>
        <w:ind w:firstLine="720"/>
        <w:rPr>
          <w:lang w:val="pt-BR"/>
        </w:rPr>
      </w:pPr>
      <w:r>
        <w:rPr>
          <w:lang w:val="pt-BR"/>
        </w:rPr>
        <w:t xml:space="preserve">If (BSSEH </w:t>
      </w:r>
      <w:r>
        <w:rPr>
          <w:i/>
          <w:vertAlign w:val="subscript"/>
          <w:lang w:val="pt-BR"/>
        </w:rPr>
        <w:t>q, r</w:t>
      </w:r>
      <w:r>
        <w:rPr>
          <w:lang w:val="pt-BR"/>
        </w:rPr>
        <w:t xml:space="preserve"> &lt; 4380)</w:t>
      </w:r>
    </w:p>
    <w:p w14:paraId="6D5ECEDE" w14:textId="77777777" w:rsidR="001F04FD" w:rsidRDefault="001F04FD" w:rsidP="001F04FD">
      <w:pPr>
        <w:ind w:left="720" w:firstLine="720"/>
        <w:rPr>
          <w:lang w:val="pt-BR"/>
        </w:rPr>
      </w:pPr>
      <w:r>
        <w:rPr>
          <w:lang w:val="pt-BR"/>
        </w:rPr>
        <w:t xml:space="preserve">BSSHREAF </w:t>
      </w:r>
      <w:r>
        <w:rPr>
          <w:i/>
          <w:vertAlign w:val="subscript"/>
          <w:lang w:val="pt-BR"/>
        </w:rPr>
        <w:t>q, r</w:t>
      </w:r>
      <w:r>
        <w:rPr>
          <w:lang w:val="pt-BR"/>
        </w:rPr>
        <w:tab/>
        <w:t>=</w:t>
      </w:r>
      <w:r>
        <w:rPr>
          <w:lang w:val="pt-BR"/>
        </w:rPr>
        <w:tab/>
        <w:t>1</w:t>
      </w:r>
    </w:p>
    <w:p w14:paraId="69331603" w14:textId="77777777" w:rsidR="001F04FD" w:rsidRDefault="001F04FD" w:rsidP="001F04FD">
      <w:pPr>
        <w:ind w:firstLine="720"/>
        <w:rPr>
          <w:lang w:val="pt-BR"/>
        </w:rPr>
      </w:pPr>
      <w:r>
        <w:rPr>
          <w:lang w:val="pt-BR"/>
        </w:rPr>
        <w:t>Otherwise</w:t>
      </w:r>
    </w:p>
    <w:p w14:paraId="67E05950" w14:textId="77777777" w:rsidR="001F04FD" w:rsidRDefault="001F04FD" w:rsidP="001F04FD">
      <w:pPr>
        <w:ind w:left="720" w:firstLine="720"/>
        <w:rPr>
          <w:lang w:val="pt-BR"/>
        </w:rPr>
      </w:pPr>
      <w:r>
        <w:rPr>
          <w:lang w:val="pt-BR"/>
        </w:rPr>
        <w:t xml:space="preserve">BSSHREAF </w:t>
      </w:r>
      <w:r>
        <w:rPr>
          <w:i/>
          <w:vertAlign w:val="subscript"/>
          <w:lang w:val="pt-BR"/>
        </w:rPr>
        <w:t>q, r</w:t>
      </w:r>
      <w:r>
        <w:rPr>
          <w:lang w:val="pt-BR"/>
        </w:rPr>
        <w:tab/>
        <w:t>=</w:t>
      </w:r>
      <w:r>
        <w:rPr>
          <w:lang w:val="pt-BR"/>
        </w:rPr>
        <w:tab/>
        <w:t>(</w:t>
      </w:r>
      <w:r w:rsidRPr="006F784F">
        <w:rPr>
          <w:position w:val="-20"/>
        </w:rPr>
        <w:object w:dxaOrig="735" w:dyaOrig="585" w14:anchorId="1EC02944">
          <v:shape id="_x0000_i1236" type="#_x0000_t75" style="width:36.6pt;height:30pt" o:ole="">
            <v:imagedata r:id="rId289" o:title=""/>
          </v:shape>
          <o:OLEObject Type="Embed" ProgID="Equation.3" ShapeID="_x0000_i1236" DrawAspect="Content" ObjectID="_1815025425" r:id="rId290"/>
        </w:object>
      </w:r>
      <w:r>
        <w:rPr>
          <w:lang w:val="pt-BR"/>
        </w:rPr>
        <w:t xml:space="preserve"> BSSAFLAG </w:t>
      </w:r>
      <w:r>
        <w:rPr>
          <w:i/>
          <w:vertAlign w:val="subscript"/>
          <w:lang w:val="pt-BR"/>
        </w:rPr>
        <w:t>q,r,hr</w:t>
      </w:r>
      <w:r>
        <w:rPr>
          <w:lang w:val="pt-BR"/>
        </w:rPr>
        <w:t>) / 4380</w:t>
      </w:r>
    </w:p>
    <w:p w14:paraId="24CF454E" w14:textId="77777777" w:rsidR="001F04FD" w:rsidRDefault="001F04FD" w:rsidP="001F04FD">
      <w:pPr>
        <w:pStyle w:val="List"/>
        <w:ind w:left="0" w:firstLine="0"/>
        <w:rPr>
          <w:lang w:val="pt-BR"/>
        </w:rPr>
      </w:pPr>
      <w:r>
        <w:lastRenderedPageBreak/>
        <w:t>Availability for a Combined Cycle Train will be determined pursuant to contractual terms but no more than once per hour.</w:t>
      </w:r>
      <w:r>
        <w:rPr>
          <w:lang w:val="pt-BR"/>
        </w:rPr>
        <w:t xml:space="preserve"> </w:t>
      </w:r>
    </w:p>
    <w:p w14:paraId="3EA282C0" w14:textId="77777777" w:rsidR="001F04FD" w:rsidRDefault="001F04FD" w:rsidP="001F04FD">
      <w:r>
        <w:t>The above variables are defined as follows:</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810"/>
        <w:gridCol w:w="7274"/>
      </w:tblGrid>
      <w:tr w:rsidR="001F04FD" w14:paraId="72D4B703" w14:textId="77777777" w:rsidTr="00AC4DEE">
        <w:trPr>
          <w:cantSplit/>
          <w:tblHeader/>
        </w:trPr>
        <w:tc>
          <w:tcPr>
            <w:tcW w:w="1728" w:type="dxa"/>
          </w:tcPr>
          <w:p w14:paraId="7B7EC92D" w14:textId="77777777" w:rsidR="001F04FD" w:rsidRDefault="001F04FD" w:rsidP="00AC4DEE">
            <w:pPr>
              <w:pStyle w:val="TableHead"/>
            </w:pPr>
            <w:r>
              <w:t>Variable</w:t>
            </w:r>
          </w:p>
        </w:tc>
        <w:tc>
          <w:tcPr>
            <w:tcW w:w="810" w:type="dxa"/>
          </w:tcPr>
          <w:p w14:paraId="49F8C3D9" w14:textId="77777777" w:rsidR="001F04FD" w:rsidRDefault="001F04FD" w:rsidP="00AC4DEE">
            <w:pPr>
              <w:pStyle w:val="TableHead"/>
            </w:pPr>
            <w:r>
              <w:t>Unit</w:t>
            </w:r>
          </w:p>
        </w:tc>
        <w:tc>
          <w:tcPr>
            <w:tcW w:w="7274" w:type="dxa"/>
          </w:tcPr>
          <w:p w14:paraId="677E4973" w14:textId="77777777" w:rsidR="001F04FD" w:rsidRDefault="001F04FD" w:rsidP="00AC4DEE">
            <w:pPr>
              <w:pStyle w:val="TableHead"/>
            </w:pPr>
            <w:r>
              <w:t>Definition</w:t>
            </w:r>
          </w:p>
        </w:tc>
      </w:tr>
      <w:tr w:rsidR="001F04FD" w14:paraId="1B415E6F" w14:textId="77777777" w:rsidTr="00AC4DEE">
        <w:trPr>
          <w:cantSplit/>
        </w:trPr>
        <w:tc>
          <w:tcPr>
            <w:tcW w:w="1728" w:type="dxa"/>
          </w:tcPr>
          <w:p w14:paraId="657DE00E" w14:textId="77777777" w:rsidR="001F04FD" w:rsidRDefault="001F04FD" w:rsidP="00AC4DEE">
            <w:pPr>
              <w:pStyle w:val="TableBody"/>
            </w:pPr>
            <w:r>
              <w:t xml:space="preserve">BSSAMT </w:t>
            </w:r>
            <w:r w:rsidRPr="00E15B17">
              <w:rPr>
                <w:i/>
                <w:vertAlign w:val="subscript"/>
              </w:rPr>
              <w:t>q, r</w:t>
            </w:r>
          </w:p>
        </w:tc>
        <w:tc>
          <w:tcPr>
            <w:tcW w:w="810" w:type="dxa"/>
          </w:tcPr>
          <w:p w14:paraId="29095D91" w14:textId="77777777" w:rsidR="001F04FD" w:rsidRDefault="001F04FD" w:rsidP="00AC4DEE">
            <w:pPr>
              <w:pStyle w:val="TableBody"/>
            </w:pPr>
            <w:r>
              <w:t>$</w:t>
            </w:r>
          </w:p>
        </w:tc>
        <w:tc>
          <w:tcPr>
            <w:tcW w:w="7274" w:type="dxa"/>
          </w:tcPr>
          <w:p w14:paraId="67574D67" w14:textId="77777777" w:rsidR="001F04FD" w:rsidRDefault="001F04FD" w:rsidP="00AC4DEE">
            <w:pPr>
              <w:pStyle w:val="TableBody"/>
            </w:pPr>
            <w:r>
              <w:rPr>
                <w:i/>
              </w:rPr>
              <w:t>Black Start Service Amount per QSE per Resource by hour</w:t>
            </w:r>
            <w:r>
              <w:t xml:space="preserve">—The standby payment to QSE </w:t>
            </w:r>
            <w:r>
              <w:rPr>
                <w:i/>
              </w:rPr>
              <w:t>q</w:t>
            </w:r>
            <w:r>
              <w:t xml:space="preserve"> for the Black Start Service (BSS) provided by Resource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77C04752" w14:textId="77777777" w:rsidTr="00AC4DEE">
        <w:trPr>
          <w:cantSplit/>
        </w:trPr>
        <w:tc>
          <w:tcPr>
            <w:tcW w:w="1728" w:type="dxa"/>
          </w:tcPr>
          <w:p w14:paraId="35D07F06" w14:textId="77777777" w:rsidR="001F04FD" w:rsidRDefault="001F04FD" w:rsidP="00AC4DEE">
            <w:pPr>
              <w:pStyle w:val="TableBody"/>
            </w:pPr>
            <w:r>
              <w:t xml:space="preserve">BSSPR </w:t>
            </w:r>
            <w:r w:rsidRPr="00E15B17">
              <w:rPr>
                <w:i/>
                <w:vertAlign w:val="subscript"/>
              </w:rPr>
              <w:t>q, r</w:t>
            </w:r>
          </w:p>
        </w:tc>
        <w:tc>
          <w:tcPr>
            <w:tcW w:w="810" w:type="dxa"/>
          </w:tcPr>
          <w:p w14:paraId="1AA5D396" w14:textId="77777777" w:rsidR="001F04FD" w:rsidRDefault="001F04FD" w:rsidP="00AC4DEE">
            <w:pPr>
              <w:pStyle w:val="TableBody"/>
            </w:pPr>
            <w:r>
              <w:t>$ per hour</w:t>
            </w:r>
          </w:p>
        </w:tc>
        <w:tc>
          <w:tcPr>
            <w:tcW w:w="7274" w:type="dxa"/>
          </w:tcPr>
          <w:p w14:paraId="66B2E321" w14:textId="77777777" w:rsidR="001F04FD" w:rsidRDefault="001F04FD" w:rsidP="00AC4DEE">
            <w:pPr>
              <w:pStyle w:val="TableBody"/>
            </w:pPr>
            <w:r>
              <w:rPr>
                <w:i/>
              </w:rPr>
              <w:t>Black Start Service Price per QSE per Resource</w:t>
            </w:r>
            <w:r>
              <w:t xml:space="preserve">—The standby price of BSS Resource </w:t>
            </w:r>
            <w:r>
              <w:rPr>
                <w:i/>
              </w:rPr>
              <w:t>r</w:t>
            </w:r>
            <w:r>
              <w:t xml:space="preserve"> represented by QSE </w:t>
            </w:r>
            <w:r>
              <w:rPr>
                <w:i/>
              </w:rPr>
              <w:t>q</w:t>
            </w:r>
            <w:r>
              <w:t xml:space="preserve">, as specified in the Black Start Agreement.  Where for a Combined Cycle Train, the Resource </w:t>
            </w:r>
            <w:r w:rsidRPr="00B34C5D">
              <w:rPr>
                <w:i/>
              </w:rPr>
              <w:t>r</w:t>
            </w:r>
            <w:r>
              <w:rPr>
                <w:i/>
              </w:rPr>
              <w:t xml:space="preserve"> </w:t>
            </w:r>
            <w:r>
              <w:t>is the Combined Cycle Train.</w:t>
            </w:r>
          </w:p>
        </w:tc>
      </w:tr>
      <w:tr w:rsidR="001F04FD" w14:paraId="4DED77B2" w14:textId="77777777" w:rsidTr="00AC4DEE">
        <w:trPr>
          <w:cantSplit/>
        </w:trPr>
        <w:tc>
          <w:tcPr>
            <w:tcW w:w="1728" w:type="dxa"/>
          </w:tcPr>
          <w:p w14:paraId="267D08EE" w14:textId="77777777" w:rsidR="001F04FD" w:rsidRDefault="001F04FD" w:rsidP="00AC4DEE">
            <w:pPr>
              <w:pStyle w:val="TableBody"/>
            </w:pPr>
            <w:r>
              <w:t xml:space="preserve">BSSARF </w:t>
            </w:r>
            <w:r w:rsidRPr="00E15B17">
              <w:rPr>
                <w:i/>
                <w:vertAlign w:val="subscript"/>
              </w:rPr>
              <w:t>q, r</w:t>
            </w:r>
          </w:p>
        </w:tc>
        <w:tc>
          <w:tcPr>
            <w:tcW w:w="810" w:type="dxa"/>
          </w:tcPr>
          <w:p w14:paraId="25CC5AEB" w14:textId="77777777" w:rsidR="001F04FD" w:rsidRDefault="001F04FD" w:rsidP="00AC4DEE">
            <w:pPr>
              <w:pStyle w:val="TableBody"/>
            </w:pPr>
            <w:r>
              <w:t>none</w:t>
            </w:r>
          </w:p>
        </w:tc>
        <w:tc>
          <w:tcPr>
            <w:tcW w:w="7274" w:type="dxa"/>
          </w:tcPr>
          <w:p w14:paraId="2BC8B5A6" w14:textId="77777777" w:rsidR="001F04FD" w:rsidRDefault="001F04FD" w:rsidP="00AC4DEE">
            <w:pPr>
              <w:pStyle w:val="TableBody"/>
            </w:pPr>
            <w:r>
              <w:rPr>
                <w:i/>
              </w:rPr>
              <w:t>Black Start Service Availability Reduction Factor per QSE per Resource by hour</w:t>
            </w:r>
            <w:r>
              <w:t xml:space="preserve">—The availability reduction factor of Resource </w:t>
            </w:r>
            <w:r>
              <w:rPr>
                <w:i/>
              </w:rPr>
              <w:t>r</w:t>
            </w:r>
            <w:r>
              <w:t xml:space="preserve"> represented by QSE </w:t>
            </w:r>
            <w:r>
              <w:rPr>
                <w:i/>
              </w:rPr>
              <w:t>q</w:t>
            </w:r>
            <w:r>
              <w:t xml:space="preserve"> under the Black Start Agreement, for the hour.  Where for a Combined Cycle Train, the Resource </w:t>
            </w:r>
            <w:r w:rsidRPr="00B34C5D">
              <w:rPr>
                <w:i/>
              </w:rPr>
              <w:t>r</w:t>
            </w:r>
            <w:r>
              <w:rPr>
                <w:i/>
              </w:rPr>
              <w:t xml:space="preserve"> </w:t>
            </w:r>
            <w:r>
              <w:t>is the Combined Cycle Train.</w:t>
            </w:r>
          </w:p>
        </w:tc>
      </w:tr>
      <w:tr w:rsidR="001F04FD" w14:paraId="09FB07EF" w14:textId="77777777" w:rsidTr="00AC4DEE">
        <w:trPr>
          <w:cantSplit/>
        </w:trPr>
        <w:tc>
          <w:tcPr>
            <w:tcW w:w="1728" w:type="dxa"/>
          </w:tcPr>
          <w:p w14:paraId="2A15D210" w14:textId="77777777" w:rsidR="001F04FD" w:rsidRDefault="001F04FD" w:rsidP="00AC4DEE">
            <w:pPr>
              <w:pStyle w:val="TableBody"/>
            </w:pPr>
            <w:r>
              <w:t xml:space="preserve">BSSHREAF </w:t>
            </w:r>
            <w:r w:rsidRPr="00E15B17">
              <w:rPr>
                <w:i/>
                <w:vertAlign w:val="subscript"/>
              </w:rPr>
              <w:t>q, r</w:t>
            </w:r>
          </w:p>
        </w:tc>
        <w:tc>
          <w:tcPr>
            <w:tcW w:w="810" w:type="dxa"/>
          </w:tcPr>
          <w:p w14:paraId="222886F5" w14:textId="77777777" w:rsidR="001F04FD" w:rsidRDefault="001F04FD" w:rsidP="00AC4DEE">
            <w:pPr>
              <w:pStyle w:val="TableBody"/>
            </w:pPr>
            <w:r>
              <w:t>none</w:t>
            </w:r>
          </w:p>
        </w:tc>
        <w:tc>
          <w:tcPr>
            <w:tcW w:w="7274" w:type="dxa"/>
          </w:tcPr>
          <w:p w14:paraId="07CE2200" w14:textId="77777777" w:rsidR="001F04FD" w:rsidRDefault="001F04FD" w:rsidP="00AC4DEE">
            <w:pPr>
              <w:pStyle w:val="TableBody"/>
            </w:pPr>
            <w:r>
              <w:rPr>
                <w:i/>
              </w:rPr>
              <w:t>Black Start Service Hourly Rolling Equivalent Availability Factor per QSE per Resource by hour</w:t>
            </w:r>
            <w:r>
              <w:t xml:space="preserve">—The equivalent availability factor of the BSS Resource </w:t>
            </w:r>
            <w:r>
              <w:rPr>
                <w:i/>
              </w:rPr>
              <w:t>r</w:t>
            </w:r>
            <w:r>
              <w:t xml:space="preserve"> represented by QSE </w:t>
            </w:r>
            <w:r>
              <w:rPr>
                <w:i/>
              </w:rPr>
              <w:t>q</w:t>
            </w:r>
            <w:r>
              <w:t xml:space="preserve"> over 4,380 hours, for the hour.  Where for a Combined Cycle Train, the Resource </w:t>
            </w:r>
            <w:r w:rsidRPr="00B34C5D">
              <w:rPr>
                <w:i/>
              </w:rPr>
              <w:t>r</w:t>
            </w:r>
            <w:r>
              <w:rPr>
                <w:i/>
              </w:rPr>
              <w:t xml:space="preserve"> </w:t>
            </w:r>
            <w:r>
              <w:t>is the Combined Cycle Train.</w:t>
            </w:r>
          </w:p>
        </w:tc>
      </w:tr>
      <w:tr w:rsidR="001F04FD" w14:paraId="3A7B03DD" w14:textId="77777777" w:rsidTr="00AC4DEE">
        <w:trPr>
          <w:cantSplit/>
        </w:trPr>
        <w:tc>
          <w:tcPr>
            <w:tcW w:w="1728" w:type="dxa"/>
          </w:tcPr>
          <w:p w14:paraId="7E6C1C8F" w14:textId="77777777" w:rsidR="001F04FD" w:rsidRDefault="001F04FD" w:rsidP="00AC4DEE">
            <w:pPr>
              <w:pStyle w:val="TableBody"/>
            </w:pPr>
            <w:r>
              <w:t xml:space="preserve">BSSEH </w:t>
            </w:r>
            <w:r w:rsidRPr="00E15B17">
              <w:rPr>
                <w:i/>
                <w:vertAlign w:val="subscript"/>
              </w:rPr>
              <w:t>q, r</w:t>
            </w:r>
          </w:p>
        </w:tc>
        <w:tc>
          <w:tcPr>
            <w:tcW w:w="810" w:type="dxa"/>
          </w:tcPr>
          <w:p w14:paraId="149097C2" w14:textId="77777777" w:rsidR="001F04FD" w:rsidRDefault="001F04FD" w:rsidP="00AC4DEE">
            <w:pPr>
              <w:pStyle w:val="TableBody"/>
            </w:pPr>
            <w:r>
              <w:t>none</w:t>
            </w:r>
          </w:p>
        </w:tc>
        <w:tc>
          <w:tcPr>
            <w:tcW w:w="7274" w:type="dxa"/>
          </w:tcPr>
          <w:p w14:paraId="0A1AA00F" w14:textId="77777777" w:rsidR="001F04FD" w:rsidRDefault="001F04FD" w:rsidP="00AC4DEE">
            <w:pPr>
              <w:pStyle w:val="TableBody"/>
            </w:pPr>
            <w:r>
              <w:rPr>
                <w:i/>
              </w:rPr>
              <w:t>Black Start Service Elapsed number of Hours per QSE per Resource by hour</w:t>
            </w:r>
            <w:r>
              <w:t xml:space="preserve">—The number of the elapsed hours of BSS Resource </w:t>
            </w:r>
            <w:r>
              <w:rPr>
                <w:i/>
              </w:rPr>
              <w:t>r</w:t>
            </w:r>
            <w:r>
              <w:t xml:space="preserve"> represented by QSE </w:t>
            </w:r>
            <w:r>
              <w:rPr>
                <w:i/>
              </w:rPr>
              <w:t>q</w:t>
            </w:r>
            <w:r>
              <w:t xml:space="preserve"> since the beginning of the BSS Agreement, for the hour.  Where for a Combined Cycle Train, the Resource </w:t>
            </w:r>
            <w:r w:rsidRPr="00B34C5D">
              <w:rPr>
                <w:i/>
              </w:rPr>
              <w:t>r</w:t>
            </w:r>
            <w:r>
              <w:rPr>
                <w:i/>
              </w:rPr>
              <w:t xml:space="preserve"> </w:t>
            </w:r>
            <w:r>
              <w:t>is the Combined Cycle Train.</w:t>
            </w:r>
          </w:p>
        </w:tc>
      </w:tr>
      <w:tr w:rsidR="001F04FD" w14:paraId="3B430405" w14:textId="77777777" w:rsidTr="00AC4DEE">
        <w:trPr>
          <w:cantSplit/>
        </w:trPr>
        <w:tc>
          <w:tcPr>
            <w:tcW w:w="1728" w:type="dxa"/>
          </w:tcPr>
          <w:p w14:paraId="1C5019C4" w14:textId="77777777" w:rsidR="001F04FD" w:rsidRDefault="001F04FD" w:rsidP="00AC4DEE">
            <w:pPr>
              <w:pStyle w:val="TableBody"/>
            </w:pPr>
            <w:r>
              <w:t xml:space="preserve">BSSAFLAG </w:t>
            </w:r>
            <w:r w:rsidRPr="00E15B17">
              <w:rPr>
                <w:i/>
                <w:vertAlign w:val="subscript"/>
              </w:rPr>
              <w:t xml:space="preserve">q, r, </w:t>
            </w:r>
            <w:r w:rsidRPr="00E15B17">
              <w:rPr>
                <w:i/>
                <w:iCs w:val="0"/>
                <w:vertAlign w:val="subscript"/>
              </w:rPr>
              <w:t>hr</w:t>
            </w:r>
          </w:p>
        </w:tc>
        <w:tc>
          <w:tcPr>
            <w:tcW w:w="810" w:type="dxa"/>
          </w:tcPr>
          <w:p w14:paraId="47F93DEF" w14:textId="77777777" w:rsidR="001F04FD" w:rsidRDefault="001F04FD" w:rsidP="00AC4DEE">
            <w:pPr>
              <w:pStyle w:val="TableBody"/>
            </w:pPr>
            <w:r>
              <w:t>none</w:t>
            </w:r>
          </w:p>
        </w:tc>
        <w:tc>
          <w:tcPr>
            <w:tcW w:w="7274" w:type="dxa"/>
          </w:tcPr>
          <w:p w14:paraId="3FC9C979" w14:textId="77777777" w:rsidR="001F04FD" w:rsidRDefault="001F04FD" w:rsidP="00AC4DEE">
            <w:pPr>
              <w:pStyle w:val="TableBody"/>
            </w:pPr>
            <w:r>
              <w:rPr>
                <w:i/>
              </w:rPr>
              <w:t>Black Start Service Availability Flag per QSE per Resource by hour</w:t>
            </w:r>
            <w:r>
              <w:t>—The flag of the availability of BSS Resource</w:t>
            </w:r>
            <w:r>
              <w:rPr>
                <w:i/>
              </w:rPr>
              <w:t xml:space="preserve"> r</w:t>
            </w:r>
            <w:r>
              <w:t xml:space="preserve"> represented by QSE </w:t>
            </w:r>
            <w:r>
              <w:rPr>
                <w:i/>
              </w:rPr>
              <w:t>q</w:t>
            </w:r>
            <w:r>
              <w:t xml:space="preserve">, 1 for available and 0 for unavailable,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33DE3630" w14:textId="77777777" w:rsidTr="00AC4DEE">
        <w:trPr>
          <w:cantSplit/>
        </w:trPr>
        <w:tc>
          <w:tcPr>
            <w:tcW w:w="1728" w:type="dxa"/>
          </w:tcPr>
          <w:p w14:paraId="14FDFE39" w14:textId="77777777" w:rsidR="001F04FD" w:rsidRPr="00CE0FC9" w:rsidRDefault="001F04FD" w:rsidP="00AC4DEE">
            <w:pPr>
              <w:pStyle w:val="TableBody"/>
              <w:rPr>
                <w:i/>
              </w:rPr>
            </w:pPr>
            <w:r w:rsidRPr="00D661BC">
              <w:rPr>
                <w:i/>
              </w:rPr>
              <w:t>q</w:t>
            </w:r>
          </w:p>
        </w:tc>
        <w:tc>
          <w:tcPr>
            <w:tcW w:w="810" w:type="dxa"/>
          </w:tcPr>
          <w:p w14:paraId="6F0E9257" w14:textId="77777777" w:rsidR="001F04FD" w:rsidRDefault="001F04FD" w:rsidP="00AC4DEE">
            <w:pPr>
              <w:pStyle w:val="TableBody"/>
            </w:pPr>
            <w:r>
              <w:t>none</w:t>
            </w:r>
          </w:p>
        </w:tc>
        <w:tc>
          <w:tcPr>
            <w:tcW w:w="7274" w:type="dxa"/>
          </w:tcPr>
          <w:p w14:paraId="1D11184E" w14:textId="77777777" w:rsidR="001F04FD" w:rsidRDefault="001F04FD" w:rsidP="00AC4DEE">
            <w:pPr>
              <w:pStyle w:val="TableBody"/>
            </w:pPr>
            <w:r>
              <w:t>A QSE.</w:t>
            </w:r>
          </w:p>
        </w:tc>
      </w:tr>
      <w:tr w:rsidR="001F04FD" w14:paraId="5504B557" w14:textId="77777777" w:rsidTr="00AC4DEE">
        <w:trPr>
          <w:cantSplit/>
        </w:trPr>
        <w:tc>
          <w:tcPr>
            <w:tcW w:w="1728" w:type="dxa"/>
          </w:tcPr>
          <w:p w14:paraId="6ED19EB6" w14:textId="77777777" w:rsidR="001F04FD" w:rsidRPr="00CE0FC9" w:rsidRDefault="001F04FD" w:rsidP="00AC4DEE">
            <w:pPr>
              <w:pStyle w:val="TableBody"/>
              <w:rPr>
                <w:i/>
              </w:rPr>
            </w:pPr>
            <w:r w:rsidRPr="00D661BC">
              <w:rPr>
                <w:i/>
              </w:rPr>
              <w:t>r</w:t>
            </w:r>
          </w:p>
        </w:tc>
        <w:tc>
          <w:tcPr>
            <w:tcW w:w="810" w:type="dxa"/>
          </w:tcPr>
          <w:p w14:paraId="7AC28CB2" w14:textId="77777777" w:rsidR="001F04FD" w:rsidRDefault="001F04FD" w:rsidP="00AC4DEE">
            <w:pPr>
              <w:pStyle w:val="TableBody"/>
            </w:pPr>
            <w:r>
              <w:t>none</w:t>
            </w:r>
          </w:p>
        </w:tc>
        <w:tc>
          <w:tcPr>
            <w:tcW w:w="7274" w:type="dxa"/>
          </w:tcPr>
          <w:p w14:paraId="149C8E1D" w14:textId="77777777" w:rsidR="001F04FD" w:rsidRDefault="001F04FD" w:rsidP="00AC4DEE">
            <w:pPr>
              <w:pStyle w:val="TableBody"/>
            </w:pPr>
            <w:r>
              <w:t>A BSS Resource.</w:t>
            </w:r>
          </w:p>
        </w:tc>
      </w:tr>
      <w:tr w:rsidR="001F04FD" w14:paraId="1E44D55A" w14:textId="77777777" w:rsidTr="00AC4DEE">
        <w:trPr>
          <w:cantSplit/>
        </w:trPr>
        <w:tc>
          <w:tcPr>
            <w:tcW w:w="1728" w:type="dxa"/>
          </w:tcPr>
          <w:p w14:paraId="30ADBD66" w14:textId="77777777" w:rsidR="001F04FD" w:rsidRPr="00CE0FC9" w:rsidRDefault="001F04FD" w:rsidP="00AC4DEE">
            <w:pPr>
              <w:pStyle w:val="TableBody"/>
              <w:rPr>
                <w:i/>
              </w:rPr>
            </w:pPr>
            <w:r w:rsidRPr="00D661BC">
              <w:rPr>
                <w:i/>
              </w:rPr>
              <w:t>hr</w:t>
            </w:r>
          </w:p>
        </w:tc>
        <w:tc>
          <w:tcPr>
            <w:tcW w:w="810" w:type="dxa"/>
          </w:tcPr>
          <w:p w14:paraId="1447B006" w14:textId="77777777" w:rsidR="001F04FD" w:rsidRDefault="001F04FD" w:rsidP="00AC4DEE">
            <w:pPr>
              <w:pStyle w:val="TableBody"/>
            </w:pPr>
            <w:r>
              <w:t>none</w:t>
            </w:r>
          </w:p>
        </w:tc>
        <w:tc>
          <w:tcPr>
            <w:tcW w:w="7274" w:type="dxa"/>
          </w:tcPr>
          <w:p w14:paraId="1D3891FA" w14:textId="77777777" w:rsidR="001F04FD" w:rsidRDefault="001F04FD" w:rsidP="00AC4DEE">
            <w:pPr>
              <w:pStyle w:val="TableBody"/>
            </w:pPr>
            <w:r>
              <w:t>The index of a given hour and the previous 4379 hours.</w:t>
            </w:r>
          </w:p>
        </w:tc>
      </w:tr>
      <w:tr w:rsidR="001F04FD" w14:paraId="0C51C827" w14:textId="77777777" w:rsidTr="00AC4DEE">
        <w:trPr>
          <w:cantSplit/>
        </w:trPr>
        <w:tc>
          <w:tcPr>
            <w:tcW w:w="1728" w:type="dxa"/>
          </w:tcPr>
          <w:p w14:paraId="51B993A5" w14:textId="77777777" w:rsidR="001F04FD" w:rsidRDefault="001F04FD" w:rsidP="00AC4DEE">
            <w:pPr>
              <w:pStyle w:val="TableBody"/>
            </w:pPr>
            <w:r>
              <w:t>4380</w:t>
            </w:r>
          </w:p>
        </w:tc>
        <w:tc>
          <w:tcPr>
            <w:tcW w:w="810" w:type="dxa"/>
          </w:tcPr>
          <w:p w14:paraId="5761F263" w14:textId="77777777" w:rsidR="001F04FD" w:rsidRDefault="001F04FD" w:rsidP="00AC4DEE">
            <w:pPr>
              <w:pStyle w:val="TableBody"/>
            </w:pPr>
            <w:r>
              <w:t>none</w:t>
            </w:r>
          </w:p>
        </w:tc>
        <w:tc>
          <w:tcPr>
            <w:tcW w:w="7274" w:type="dxa"/>
          </w:tcPr>
          <w:p w14:paraId="639CAAD0" w14:textId="77777777" w:rsidR="001F04FD" w:rsidRDefault="001F04FD" w:rsidP="00AC4DEE">
            <w:pPr>
              <w:pStyle w:val="TableBody"/>
            </w:pPr>
            <w:r>
              <w:t>The number of hours in a six-month period.</w:t>
            </w:r>
          </w:p>
        </w:tc>
      </w:tr>
    </w:tbl>
    <w:p w14:paraId="38784ACC" w14:textId="77777777" w:rsidR="001F04FD" w:rsidRDefault="001F04FD" w:rsidP="001F04FD">
      <w:pPr>
        <w:pStyle w:val="BodyTextNumbered"/>
        <w:spacing w:before="240"/>
      </w:pPr>
      <w:bookmarkStart w:id="2490" w:name="_Toc87951813"/>
      <w:bookmarkStart w:id="2491" w:name="_Toc109009417"/>
      <w:r>
        <w:t>(3)</w:t>
      </w:r>
      <w:r>
        <w:tab/>
        <w:t>The total of the payments to each QSE for all BSS Resources represented by this QSE for a given hour is calculated as follows:</w:t>
      </w:r>
    </w:p>
    <w:p w14:paraId="79DA4AA6" w14:textId="77777777" w:rsidR="001F04FD" w:rsidRDefault="001F04FD" w:rsidP="001F04FD">
      <w:pPr>
        <w:pStyle w:val="FormulaBold"/>
      </w:pPr>
      <w:r>
        <w:t xml:space="preserve">BSSAMTQSETOT </w:t>
      </w:r>
      <w:r>
        <w:rPr>
          <w:i/>
          <w:vertAlign w:val="subscript"/>
        </w:rPr>
        <w:t>q</w:t>
      </w:r>
      <w:r>
        <w:tab/>
        <w:t>=</w:t>
      </w:r>
      <w:r>
        <w:tab/>
      </w:r>
      <w:r w:rsidRPr="006F784F">
        <w:rPr>
          <w:position w:val="-18"/>
        </w:rPr>
        <w:object w:dxaOrig="225" w:dyaOrig="420" w14:anchorId="4CFBC701">
          <v:shape id="_x0000_i1237" type="#_x0000_t75" style="width:12pt;height:24pt" o:ole="">
            <v:imagedata r:id="rId238" o:title=""/>
          </v:shape>
          <o:OLEObject Type="Embed" ProgID="Equation.3" ShapeID="_x0000_i1237" DrawAspect="Content" ObjectID="_1815025426" r:id="rId291"/>
        </w:object>
      </w:r>
      <w:r>
        <w:t xml:space="preserve">BSSAMT </w:t>
      </w:r>
      <w:r>
        <w:rPr>
          <w:i/>
          <w:vertAlign w:val="subscript"/>
        </w:rPr>
        <w:t>q, r</w:t>
      </w:r>
    </w:p>
    <w:p w14:paraId="466EBAA4" w14:textId="77777777" w:rsidR="001F04FD" w:rsidRDefault="001F04FD" w:rsidP="001F04FD">
      <w:r>
        <w:t>The above variables are defined as follows:</w:t>
      </w: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05"/>
        <w:gridCol w:w="7140"/>
      </w:tblGrid>
      <w:tr w:rsidR="001F04FD" w14:paraId="40E3B37E" w14:textId="77777777" w:rsidTr="00AC4DEE">
        <w:trPr>
          <w:cantSplit/>
          <w:tblHeader/>
        </w:trPr>
        <w:tc>
          <w:tcPr>
            <w:tcW w:w="1998" w:type="dxa"/>
          </w:tcPr>
          <w:p w14:paraId="20FAF4A1" w14:textId="77777777" w:rsidR="001F04FD" w:rsidRDefault="001F04FD" w:rsidP="00AC4DEE">
            <w:pPr>
              <w:pStyle w:val="TableHead"/>
            </w:pPr>
            <w:r>
              <w:t>Variable</w:t>
            </w:r>
          </w:p>
        </w:tc>
        <w:tc>
          <w:tcPr>
            <w:tcW w:w="0" w:type="auto"/>
          </w:tcPr>
          <w:p w14:paraId="5687902A" w14:textId="77777777" w:rsidR="001F04FD" w:rsidRDefault="001F04FD" w:rsidP="00AC4DEE">
            <w:pPr>
              <w:pStyle w:val="TableHead"/>
            </w:pPr>
            <w:r>
              <w:t>Unit</w:t>
            </w:r>
          </w:p>
        </w:tc>
        <w:tc>
          <w:tcPr>
            <w:tcW w:w="0" w:type="auto"/>
          </w:tcPr>
          <w:p w14:paraId="29B286A2" w14:textId="77777777" w:rsidR="001F04FD" w:rsidRDefault="001F04FD" w:rsidP="00AC4DEE">
            <w:pPr>
              <w:pStyle w:val="TableHead"/>
            </w:pPr>
            <w:r>
              <w:t>Definition</w:t>
            </w:r>
          </w:p>
        </w:tc>
      </w:tr>
      <w:tr w:rsidR="001F04FD" w14:paraId="230DA100" w14:textId="77777777" w:rsidTr="00AC4DEE">
        <w:trPr>
          <w:cantSplit/>
        </w:trPr>
        <w:tc>
          <w:tcPr>
            <w:tcW w:w="1998" w:type="dxa"/>
          </w:tcPr>
          <w:p w14:paraId="7A69BCEA" w14:textId="77777777" w:rsidR="001F04FD" w:rsidRDefault="001F04FD" w:rsidP="00AC4DEE">
            <w:pPr>
              <w:pStyle w:val="TableBody"/>
            </w:pPr>
            <w:r>
              <w:t>BSSAMTQSETOT</w:t>
            </w:r>
            <w:r w:rsidRPr="00E15B17">
              <w:rPr>
                <w:i/>
              </w:rPr>
              <w:t xml:space="preserve"> </w:t>
            </w:r>
            <w:r w:rsidRPr="00E15B17">
              <w:rPr>
                <w:i/>
                <w:vertAlign w:val="subscript"/>
              </w:rPr>
              <w:t>q</w:t>
            </w:r>
          </w:p>
        </w:tc>
        <w:tc>
          <w:tcPr>
            <w:tcW w:w="0" w:type="auto"/>
          </w:tcPr>
          <w:p w14:paraId="45815C89" w14:textId="77777777" w:rsidR="001F04FD" w:rsidRDefault="001F04FD" w:rsidP="00AC4DEE">
            <w:pPr>
              <w:pStyle w:val="TableBody"/>
            </w:pPr>
            <w:r>
              <w:t>$</w:t>
            </w:r>
          </w:p>
        </w:tc>
        <w:tc>
          <w:tcPr>
            <w:tcW w:w="0" w:type="auto"/>
          </w:tcPr>
          <w:p w14:paraId="0EC7D39B" w14:textId="77777777" w:rsidR="001F04FD" w:rsidRDefault="001F04FD" w:rsidP="00AC4DEE">
            <w:pPr>
              <w:pStyle w:val="TableBody"/>
            </w:pPr>
            <w:r>
              <w:rPr>
                <w:i/>
              </w:rPr>
              <w:t>Black Start Service Amount QSE Total per QSE</w:t>
            </w:r>
            <w:r>
              <w:sym w:font="Symbol" w:char="F0BE"/>
            </w:r>
            <w:r>
              <w:t xml:space="preserve">The total of the payments to QSE </w:t>
            </w:r>
            <w:r>
              <w:rPr>
                <w:i/>
              </w:rPr>
              <w:t>q</w:t>
            </w:r>
            <w:r>
              <w:t xml:space="preserve"> for BSS provided by all the BSS Resources represented by this QSE for the hour </w:t>
            </w:r>
            <w:r>
              <w:rPr>
                <w:i/>
              </w:rPr>
              <w:t>h</w:t>
            </w:r>
            <w:r>
              <w:t>.</w:t>
            </w:r>
          </w:p>
        </w:tc>
      </w:tr>
      <w:tr w:rsidR="001F04FD" w14:paraId="4350C6F1" w14:textId="77777777" w:rsidTr="00AC4DEE">
        <w:trPr>
          <w:cantSplit/>
        </w:trPr>
        <w:tc>
          <w:tcPr>
            <w:tcW w:w="1998" w:type="dxa"/>
          </w:tcPr>
          <w:p w14:paraId="5CE63F9C" w14:textId="77777777" w:rsidR="001F04FD" w:rsidRDefault="001F04FD" w:rsidP="00AC4DEE">
            <w:pPr>
              <w:pStyle w:val="TableBody"/>
            </w:pPr>
            <w:r>
              <w:t xml:space="preserve">BSSAMT </w:t>
            </w:r>
            <w:r w:rsidRPr="00E15B17">
              <w:rPr>
                <w:i/>
                <w:vertAlign w:val="subscript"/>
              </w:rPr>
              <w:t>q, r</w:t>
            </w:r>
          </w:p>
        </w:tc>
        <w:tc>
          <w:tcPr>
            <w:tcW w:w="0" w:type="auto"/>
          </w:tcPr>
          <w:p w14:paraId="08232FDF" w14:textId="77777777" w:rsidR="001F04FD" w:rsidRDefault="001F04FD" w:rsidP="00AC4DEE">
            <w:pPr>
              <w:pStyle w:val="TableBody"/>
            </w:pPr>
            <w:r>
              <w:t>$</w:t>
            </w:r>
          </w:p>
        </w:tc>
        <w:tc>
          <w:tcPr>
            <w:tcW w:w="0" w:type="auto"/>
          </w:tcPr>
          <w:p w14:paraId="48F03C94" w14:textId="77777777" w:rsidR="001F04FD" w:rsidRDefault="001F04FD" w:rsidP="00AC4DEE">
            <w:pPr>
              <w:pStyle w:val="TableBody"/>
            </w:pPr>
            <w:r>
              <w:rPr>
                <w:i/>
              </w:rPr>
              <w:t>Black Start Service Amount per QSE per Resource</w:t>
            </w:r>
            <w:r>
              <w:t xml:space="preserve">—The standby payment to QSE </w:t>
            </w:r>
            <w:r>
              <w:rPr>
                <w:i/>
              </w:rPr>
              <w:t>q</w:t>
            </w:r>
            <w:r>
              <w:t xml:space="preserve"> for BSS provided by Resource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03263FF6"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0CECE8D7" w14:textId="77777777" w:rsidR="001F04FD" w:rsidRPr="00CE0FC9" w:rsidRDefault="001F04FD" w:rsidP="00AC4DEE">
            <w:pPr>
              <w:pStyle w:val="TableBody"/>
              <w:rPr>
                <w:i/>
              </w:rPr>
            </w:pPr>
            <w:r w:rsidRPr="00D661BC">
              <w:rPr>
                <w:i/>
              </w:rPr>
              <w:t>q</w:t>
            </w:r>
          </w:p>
        </w:tc>
        <w:tc>
          <w:tcPr>
            <w:tcW w:w="0" w:type="auto"/>
            <w:tcBorders>
              <w:top w:val="single" w:sz="4" w:space="0" w:color="auto"/>
              <w:left w:val="single" w:sz="4" w:space="0" w:color="auto"/>
              <w:bottom w:val="single" w:sz="4" w:space="0" w:color="auto"/>
              <w:right w:val="single" w:sz="4" w:space="0" w:color="auto"/>
            </w:tcBorders>
          </w:tcPr>
          <w:p w14:paraId="77AD390C"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4B72835C" w14:textId="77777777" w:rsidR="001F04FD" w:rsidRDefault="001F04FD" w:rsidP="00AC4DEE">
            <w:pPr>
              <w:pStyle w:val="TableBody"/>
            </w:pPr>
            <w:r>
              <w:t>A QSE.</w:t>
            </w:r>
          </w:p>
        </w:tc>
      </w:tr>
      <w:tr w:rsidR="001F04FD" w14:paraId="410D3CBD"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6D70642E" w14:textId="77777777" w:rsidR="001F04FD" w:rsidRPr="00CE0FC9" w:rsidRDefault="001F04FD" w:rsidP="00AC4DEE">
            <w:pPr>
              <w:pStyle w:val="TableBody"/>
              <w:rPr>
                <w:i/>
              </w:rPr>
            </w:pPr>
            <w:r w:rsidRPr="00D661BC">
              <w:rPr>
                <w:i/>
              </w:rPr>
              <w:t>r</w:t>
            </w:r>
          </w:p>
        </w:tc>
        <w:tc>
          <w:tcPr>
            <w:tcW w:w="0" w:type="auto"/>
            <w:tcBorders>
              <w:top w:val="single" w:sz="4" w:space="0" w:color="auto"/>
              <w:left w:val="single" w:sz="4" w:space="0" w:color="auto"/>
              <w:bottom w:val="single" w:sz="4" w:space="0" w:color="auto"/>
              <w:right w:val="single" w:sz="4" w:space="0" w:color="auto"/>
            </w:tcBorders>
          </w:tcPr>
          <w:p w14:paraId="0BC0322D"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67519D52" w14:textId="77777777" w:rsidR="001F04FD" w:rsidRDefault="001F04FD" w:rsidP="00AC4DEE">
            <w:pPr>
              <w:pStyle w:val="TableBody"/>
            </w:pPr>
            <w:r>
              <w:t>A BSS Resource.</w:t>
            </w:r>
          </w:p>
        </w:tc>
      </w:tr>
    </w:tbl>
    <w:p w14:paraId="33DFF25B" w14:textId="77777777" w:rsidR="001F04FD" w:rsidRDefault="001F04FD" w:rsidP="001F04FD">
      <w:pPr>
        <w:pStyle w:val="H4"/>
        <w:spacing w:before="480"/>
        <w:ind w:left="1267" w:hanging="1267"/>
      </w:pPr>
      <w:bookmarkStart w:id="2492" w:name="_Toc397505037"/>
      <w:bookmarkStart w:id="2493" w:name="_Toc402357169"/>
      <w:bookmarkStart w:id="2494" w:name="_Toc422486549"/>
      <w:bookmarkStart w:id="2495" w:name="_Toc433093402"/>
      <w:bookmarkStart w:id="2496" w:name="_Toc433093560"/>
      <w:bookmarkStart w:id="2497" w:name="_Toc440874790"/>
      <w:bookmarkStart w:id="2498" w:name="_Toc448142347"/>
      <w:bookmarkStart w:id="2499" w:name="_Toc448142504"/>
      <w:bookmarkStart w:id="2500" w:name="_Toc458770345"/>
      <w:bookmarkStart w:id="2501" w:name="_Toc459294313"/>
      <w:bookmarkStart w:id="2502" w:name="_Toc463262807"/>
      <w:bookmarkStart w:id="2503" w:name="_Toc468286880"/>
      <w:bookmarkStart w:id="2504" w:name="_Toc481502920"/>
      <w:bookmarkStart w:id="2505" w:name="_Toc496080088"/>
      <w:bookmarkStart w:id="2506" w:name="_Toc204411720"/>
      <w:r>
        <w:lastRenderedPageBreak/>
        <w:t>6.6.8.2</w:t>
      </w:r>
      <w:r>
        <w:tab/>
        <w:t>Black Start Capacity Charge</w:t>
      </w:r>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p>
    <w:p w14:paraId="316162C7" w14:textId="77777777" w:rsidR="001F04FD" w:rsidRDefault="001F04FD" w:rsidP="001F04FD">
      <w:pPr>
        <w:pStyle w:val="BodyTextNumbered"/>
        <w:spacing w:before="240"/>
      </w:pPr>
      <w:r>
        <w:t>(1)</w:t>
      </w:r>
      <w:r>
        <w:tab/>
        <w:t>ERCOT shall allocate the total Black Start Service Capacity payment to the QSEs representing Loads based on a LRS.  The resulting charge to each QSE for a given hour is calculated as follows:</w:t>
      </w:r>
    </w:p>
    <w:p w14:paraId="00173E58" w14:textId="77777777" w:rsidR="001F04FD" w:rsidRDefault="001F04FD" w:rsidP="001F04FD">
      <w:pPr>
        <w:pStyle w:val="FormulaBold"/>
      </w:pPr>
      <w:r>
        <w:t xml:space="preserve">LABSSAMT </w:t>
      </w:r>
      <w:r>
        <w:rPr>
          <w:i/>
          <w:vertAlign w:val="subscript"/>
        </w:rPr>
        <w:t>q</w:t>
      </w:r>
      <w:r>
        <w:tab/>
        <w:t>=</w:t>
      </w:r>
      <w:r>
        <w:tab/>
        <w:t xml:space="preserve">(-1) * BSSAMTTOT * HLRS </w:t>
      </w:r>
      <w:r>
        <w:rPr>
          <w:i/>
          <w:vertAlign w:val="subscript"/>
        </w:rPr>
        <w:t>q</w:t>
      </w:r>
    </w:p>
    <w:p w14:paraId="16BF657A" w14:textId="77777777" w:rsidR="001F04FD" w:rsidRDefault="001F04FD" w:rsidP="001F04FD">
      <w:pPr>
        <w:pStyle w:val="BodyText"/>
      </w:pPr>
      <w:r>
        <w:t>Where:</w:t>
      </w:r>
    </w:p>
    <w:p w14:paraId="47A4B2F1" w14:textId="77777777" w:rsidR="001F04FD" w:rsidRDefault="001F04FD" w:rsidP="001F04FD">
      <w:pPr>
        <w:pStyle w:val="Formula"/>
        <w:ind w:left="2880" w:hanging="2160"/>
      </w:pPr>
      <w:r>
        <w:t>BSSAMTTOT</w:t>
      </w:r>
      <w:r>
        <w:tab/>
        <w:t>=</w:t>
      </w:r>
      <w:r>
        <w:tab/>
      </w:r>
      <w:r w:rsidRPr="006F784F">
        <w:rPr>
          <w:position w:val="-22"/>
        </w:rPr>
        <w:object w:dxaOrig="210" w:dyaOrig="465" w14:anchorId="720E5F21">
          <v:shape id="_x0000_i1238" type="#_x0000_t75" style="width:5.4pt;height:24.6pt" o:ole="">
            <v:imagedata r:id="rId292" o:title=""/>
          </v:shape>
          <o:OLEObject Type="Embed" ProgID="Equation.3" ShapeID="_x0000_i1238" DrawAspect="Content" ObjectID="_1815025427" r:id="rId293"/>
        </w:object>
      </w:r>
      <w:r>
        <w:t xml:space="preserve">BSSAMTQSETOT </w:t>
      </w:r>
      <w:r>
        <w:rPr>
          <w:i/>
          <w:vertAlign w:val="subscript"/>
        </w:rPr>
        <w:t>q</w:t>
      </w:r>
    </w:p>
    <w:p w14:paraId="1471A2D6" w14:textId="77777777" w:rsidR="001F04FD" w:rsidRDefault="001F04FD" w:rsidP="001F04FD">
      <w:r>
        <w:t>The above variables are defined as follows:</w:t>
      </w: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05"/>
        <w:gridCol w:w="7113"/>
      </w:tblGrid>
      <w:tr w:rsidR="001F04FD" w14:paraId="664D6B4A" w14:textId="77777777" w:rsidTr="00AC4DEE">
        <w:tc>
          <w:tcPr>
            <w:tcW w:w="1998" w:type="dxa"/>
          </w:tcPr>
          <w:p w14:paraId="6680A07D" w14:textId="77777777" w:rsidR="001F04FD" w:rsidRDefault="001F04FD" w:rsidP="00AC4DEE">
            <w:pPr>
              <w:pStyle w:val="TableHead"/>
            </w:pPr>
            <w:r>
              <w:t>Variable</w:t>
            </w:r>
          </w:p>
        </w:tc>
        <w:tc>
          <w:tcPr>
            <w:tcW w:w="0" w:type="auto"/>
          </w:tcPr>
          <w:p w14:paraId="6F99D6D1" w14:textId="77777777" w:rsidR="001F04FD" w:rsidRDefault="001F04FD" w:rsidP="00AC4DEE">
            <w:pPr>
              <w:pStyle w:val="TableHead"/>
            </w:pPr>
            <w:r>
              <w:t>Unit</w:t>
            </w:r>
          </w:p>
        </w:tc>
        <w:tc>
          <w:tcPr>
            <w:tcW w:w="0" w:type="auto"/>
          </w:tcPr>
          <w:p w14:paraId="7BD2EFFB" w14:textId="77777777" w:rsidR="001F04FD" w:rsidRDefault="001F04FD" w:rsidP="00AC4DEE">
            <w:pPr>
              <w:pStyle w:val="TableHead"/>
            </w:pPr>
            <w:r>
              <w:t>Definition</w:t>
            </w:r>
          </w:p>
        </w:tc>
      </w:tr>
      <w:tr w:rsidR="001F04FD" w14:paraId="1437FFA3" w14:textId="77777777" w:rsidTr="00AC4DEE">
        <w:trPr>
          <w:cantSplit/>
        </w:trPr>
        <w:tc>
          <w:tcPr>
            <w:tcW w:w="1998" w:type="dxa"/>
          </w:tcPr>
          <w:p w14:paraId="4319E082" w14:textId="77777777" w:rsidR="001F04FD" w:rsidRDefault="001F04FD" w:rsidP="00AC4DEE">
            <w:pPr>
              <w:pStyle w:val="TableBody"/>
            </w:pPr>
            <w:r>
              <w:t xml:space="preserve">LABSSAMT </w:t>
            </w:r>
            <w:r w:rsidRPr="00E15B17">
              <w:rPr>
                <w:i/>
                <w:vertAlign w:val="subscript"/>
              </w:rPr>
              <w:t>q</w:t>
            </w:r>
          </w:p>
        </w:tc>
        <w:tc>
          <w:tcPr>
            <w:tcW w:w="0" w:type="auto"/>
          </w:tcPr>
          <w:p w14:paraId="52C6A0E9" w14:textId="77777777" w:rsidR="001F04FD" w:rsidRDefault="001F04FD" w:rsidP="00AC4DEE">
            <w:pPr>
              <w:pStyle w:val="TableBody"/>
            </w:pPr>
            <w:r>
              <w:t>$</w:t>
            </w:r>
          </w:p>
        </w:tc>
        <w:tc>
          <w:tcPr>
            <w:tcW w:w="0" w:type="auto"/>
          </w:tcPr>
          <w:p w14:paraId="2917E1A3" w14:textId="77777777" w:rsidR="001F04FD" w:rsidRDefault="001F04FD" w:rsidP="00AC4DEE">
            <w:pPr>
              <w:pStyle w:val="TableBody"/>
            </w:pPr>
            <w:r>
              <w:rPr>
                <w:i/>
              </w:rPr>
              <w:t>Load-Allocated Black Start Service Amount per QSE</w:t>
            </w:r>
            <w:r>
              <w:t xml:space="preserve">—The charge allocated to QSE </w:t>
            </w:r>
            <w:r>
              <w:rPr>
                <w:i/>
              </w:rPr>
              <w:t>q</w:t>
            </w:r>
            <w:r>
              <w:t xml:space="preserve"> for the BSS, for the hour.</w:t>
            </w:r>
          </w:p>
        </w:tc>
      </w:tr>
      <w:tr w:rsidR="001F04FD" w14:paraId="7D5F9D6E" w14:textId="77777777" w:rsidTr="00AC4DEE">
        <w:trPr>
          <w:cantSplit/>
        </w:trPr>
        <w:tc>
          <w:tcPr>
            <w:tcW w:w="1998" w:type="dxa"/>
          </w:tcPr>
          <w:p w14:paraId="4356C663" w14:textId="77777777" w:rsidR="001F04FD" w:rsidRDefault="001F04FD" w:rsidP="00AC4DEE">
            <w:pPr>
              <w:pStyle w:val="TableBody"/>
            </w:pPr>
            <w:r>
              <w:t xml:space="preserve">BSSAMTQSETOT </w:t>
            </w:r>
            <w:r w:rsidRPr="00E15B17">
              <w:rPr>
                <w:i/>
                <w:iCs w:val="0"/>
                <w:vertAlign w:val="subscript"/>
              </w:rPr>
              <w:t>q</w:t>
            </w:r>
          </w:p>
        </w:tc>
        <w:tc>
          <w:tcPr>
            <w:tcW w:w="0" w:type="auto"/>
          </w:tcPr>
          <w:p w14:paraId="7305AA50" w14:textId="77777777" w:rsidR="001F04FD" w:rsidRDefault="001F04FD" w:rsidP="00AC4DEE">
            <w:pPr>
              <w:pStyle w:val="TableBody"/>
            </w:pPr>
            <w:r>
              <w:t>$</w:t>
            </w:r>
          </w:p>
        </w:tc>
        <w:tc>
          <w:tcPr>
            <w:tcW w:w="0" w:type="auto"/>
          </w:tcPr>
          <w:p w14:paraId="3B63C3E9" w14:textId="77777777" w:rsidR="001F04FD" w:rsidRDefault="001F04FD" w:rsidP="00AC4DEE">
            <w:pPr>
              <w:pStyle w:val="TableBody"/>
            </w:pPr>
            <w:r>
              <w:rPr>
                <w:i/>
              </w:rPr>
              <w:t>Black Start Service Amount QSE Total per QSE</w:t>
            </w:r>
            <w:r>
              <w:t xml:space="preserve">—The Black Start Service payment to QSE </w:t>
            </w:r>
            <w:r>
              <w:rPr>
                <w:i/>
              </w:rPr>
              <w:t>q</w:t>
            </w:r>
            <w:r>
              <w:t xml:space="preserve"> for BSS Resource </w:t>
            </w:r>
            <w:r>
              <w:rPr>
                <w:i/>
              </w:rPr>
              <w:t>r</w:t>
            </w:r>
            <w:r>
              <w:t>, for the hour.</w:t>
            </w:r>
          </w:p>
        </w:tc>
      </w:tr>
      <w:tr w:rsidR="001F04FD" w14:paraId="6CC702AC" w14:textId="77777777" w:rsidTr="00AC4DEE">
        <w:trPr>
          <w:cantSplit/>
        </w:trPr>
        <w:tc>
          <w:tcPr>
            <w:tcW w:w="1998" w:type="dxa"/>
          </w:tcPr>
          <w:p w14:paraId="5827725B" w14:textId="77777777" w:rsidR="001F04FD" w:rsidRDefault="001F04FD" w:rsidP="00AC4DEE">
            <w:pPr>
              <w:pStyle w:val="TableBody"/>
            </w:pPr>
            <w:r>
              <w:t>BSSAMTTOT</w:t>
            </w:r>
          </w:p>
        </w:tc>
        <w:tc>
          <w:tcPr>
            <w:tcW w:w="0" w:type="auto"/>
          </w:tcPr>
          <w:p w14:paraId="7C5AEE63" w14:textId="77777777" w:rsidR="001F04FD" w:rsidRDefault="001F04FD" w:rsidP="00AC4DEE">
            <w:pPr>
              <w:pStyle w:val="TableBody"/>
            </w:pPr>
            <w:r>
              <w:t>$</w:t>
            </w:r>
          </w:p>
        </w:tc>
        <w:tc>
          <w:tcPr>
            <w:tcW w:w="0" w:type="auto"/>
          </w:tcPr>
          <w:p w14:paraId="47784A4B" w14:textId="77777777" w:rsidR="001F04FD" w:rsidRDefault="001F04FD" w:rsidP="00AC4DEE">
            <w:pPr>
              <w:pStyle w:val="TableBody"/>
            </w:pPr>
            <w:r>
              <w:rPr>
                <w:i/>
              </w:rPr>
              <w:t xml:space="preserve">Black Start Service Amount QSE Total ERCOT-Wide — </w:t>
            </w:r>
            <w:r>
              <w:t xml:space="preserve">The total of the payments to QSE </w:t>
            </w:r>
            <w:r w:rsidRPr="007064D1">
              <w:rPr>
                <w:i/>
              </w:rPr>
              <w:t>q</w:t>
            </w:r>
            <w:r>
              <w:t xml:space="preserve"> for BSS provided by all the BSS Resource represented by this QSE for the hour h.</w:t>
            </w:r>
          </w:p>
        </w:tc>
      </w:tr>
      <w:tr w:rsidR="001F04FD" w14:paraId="67B606AB" w14:textId="77777777" w:rsidTr="00AC4DEE">
        <w:trPr>
          <w:cantSplit/>
        </w:trPr>
        <w:tc>
          <w:tcPr>
            <w:tcW w:w="1998" w:type="dxa"/>
          </w:tcPr>
          <w:p w14:paraId="29BE821D" w14:textId="77777777" w:rsidR="001F04FD" w:rsidRDefault="001F04FD" w:rsidP="00AC4DEE">
            <w:pPr>
              <w:pStyle w:val="TableBody"/>
            </w:pPr>
            <w:r>
              <w:t xml:space="preserve">HLRS </w:t>
            </w:r>
            <w:r w:rsidRPr="00E15B17">
              <w:rPr>
                <w:i/>
                <w:vertAlign w:val="subscript"/>
              </w:rPr>
              <w:t>q</w:t>
            </w:r>
          </w:p>
        </w:tc>
        <w:tc>
          <w:tcPr>
            <w:tcW w:w="0" w:type="auto"/>
          </w:tcPr>
          <w:p w14:paraId="0C924F4E" w14:textId="77777777" w:rsidR="001F04FD" w:rsidRDefault="001F04FD" w:rsidP="00AC4DEE">
            <w:pPr>
              <w:pStyle w:val="TableBody"/>
            </w:pPr>
            <w:r>
              <w:t>none</w:t>
            </w:r>
          </w:p>
        </w:tc>
        <w:tc>
          <w:tcPr>
            <w:tcW w:w="0" w:type="auto"/>
          </w:tcPr>
          <w:p w14:paraId="63F922B9" w14:textId="77777777" w:rsidR="001F04FD" w:rsidRDefault="001F04FD" w:rsidP="00BD4C7C">
            <w:pPr>
              <w:pStyle w:val="TableBody"/>
            </w:pPr>
            <w:r>
              <w:t xml:space="preserve">The hourly LRS calculated for QSE </w:t>
            </w:r>
            <w:r>
              <w:rPr>
                <w:i/>
              </w:rPr>
              <w:t>q</w:t>
            </w:r>
            <w:r>
              <w:t xml:space="preserve"> for the hour.  See Section 6.6.2.</w:t>
            </w:r>
            <w:r w:rsidR="00BD4C7C">
              <w:t>4</w:t>
            </w:r>
            <w:r>
              <w:t>, QSE Load Ratio Share for an Operating Hour.</w:t>
            </w:r>
          </w:p>
        </w:tc>
      </w:tr>
      <w:tr w:rsidR="001F04FD" w14:paraId="209A61D8"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4D2ACACD" w14:textId="77777777" w:rsidR="001F04FD" w:rsidRPr="00E15B17" w:rsidRDefault="001F04FD" w:rsidP="00AC4DEE">
            <w:pPr>
              <w:pStyle w:val="TableBody"/>
              <w:rPr>
                <w:i/>
              </w:rPr>
            </w:pPr>
            <w:r w:rsidRPr="00E15B17">
              <w:rPr>
                <w:i/>
              </w:rPr>
              <w:t>q</w:t>
            </w:r>
          </w:p>
        </w:tc>
        <w:tc>
          <w:tcPr>
            <w:tcW w:w="0" w:type="auto"/>
            <w:tcBorders>
              <w:top w:val="single" w:sz="4" w:space="0" w:color="auto"/>
              <w:left w:val="single" w:sz="4" w:space="0" w:color="auto"/>
              <w:bottom w:val="single" w:sz="4" w:space="0" w:color="auto"/>
              <w:right w:val="single" w:sz="4" w:space="0" w:color="auto"/>
            </w:tcBorders>
          </w:tcPr>
          <w:p w14:paraId="7DB2FDE6"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56C3622E" w14:textId="77777777" w:rsidR="001F04FD" w:rsidRDefault="001F04FD" w:rsidP="00AC4DEE">
            <w:pPr>
              <w:pStyle w:val="TableBody"/>
            </w:pPr>
            <w:r>
              <w:t>A QSE.</w:t>
            </w:r>
          </w:p>
        </w:tc>
      </w:tr>
    </w:tbl>
    <w:p w14:paraId="5DA85ADB" w14:textId="77777777" w:rsidR="001F04FD" w:rsidRDefault="001F04FD" w:rsidP="001F04FD">
      <w:pPr>
        <w:pStyle w:val="H3"/>
        <w:spacing w:before="480"/>
      </w:pPr>
      <w:bookmarkStart w:id="2507" w:name="_Toc87951814"/>
      <w:bookmarkStart w:id="2508" w:name="_Toc109009418"/>
      <w:bookmarkStart w:id="2509" w:name="_Toc397505038"/>
      <w:bookmarkStart w:id="2510" w:name="_Toc402357170"/>
      <w:bookmarkStart w:id="2511" w:name="_Toc422486550"/>
      <w:bookmarkStart w:id="2512" w:name="_Toc433093403"/>
      <w:bookmarkStart w:id="2513" w:name="_Toc433093561"/>
      <w:bookmarkStart w:id="2514" w:name="_Toc440874791"/>
      <w:bookmarkStart w:id="2515" w:name="_Toc448142348"/>
      <w:bookmarkStart w:id="2516" w:name="_Toc448142505"/>
      <w:bookmarkStart w:id="2517" w:name="_Toc458770346"/>
      <w:bookmarkStart w:id="2518" w:name="_Toc459294314"/>
      <w:bookmarkStart w:id="2519" w:name="_Toc463262808"/>
      <w:bookmarkStart w:id="2520" w:name="_Toc468286881"/>
      <w:bookmarkStart w:id="2521" w:name="_Toc481502921"/>
      <w:bookmarkStart w:id="2522" w:name="_Toc496080089"/>
      <w:bookmarkStart w:id="2523" w:name="_Toc204411721"/>
      <w:r>
        <w:t>6.6.9</w:t>
      </w:r>
      <w:r>
        <w:tab/>
        <w:t>Emergency Operations Settlement</w:t>
      </w:r>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p>
    <w:p w14:paraId="1EB27707" w14:textId="77777777" w:rsidR="001F04FD" w:rsidRDefault="001F04FD" w:rsidP="001F04FD">
      <w:pPr>
        <w:pStyle w:val="BodyTextNumbered"/>
      </w:pPr>
      <w:r>
        <w:t>(1)</w:t>
      </w:r>
      <w:r>
        <w:tab/>
        <w:t xml:space="preserve">Due to Emergency Conditions or Watches, additional compensation for each Generation Resource for which ERCOT provides an Emergency Base Point may be awarded to the QSE representing the Generation Resource.  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 </w:t>
      </w:r>
    </w:p>
    <w:p w14:paraId="3F8CF77F" w14:textId="77777777" w:rsidR="001F04FD" w:rsidRDefault="001F04FD" w:rsidP="001F04FD">
      <w:pPr>
        <w:pStyle w:val="BodyTextNumbered"/>
      </w:pPr>
      <w:r>
        <w:t>(2)</w:t>
      </w:r>
      <w:r>
        <w:tab/>
        <w:t xml:space="preserve">In accordance with paragraph (8) of Section 8.1.1.2, General Capacity Testing Requirements, QSEs that receive a </w:t>
      </w:r>
      <w:r w:rsidRPr="005028C1">
        <w:t xml:space="preserve">VDI to operate the designated Generation Resource for an unannounced Generation Resource test </w:t>
      </w:r>
      <w:r>
        <w:t xml:space="preserve">may be considered for additional compensation utilizing the formula as stated in Section 6.6.9.1, Payment for Emergency Power Increase Directed by ERCOT.  If the </w:t>
      </w:r>
      <w:r w:rsidRPr="00AB18F7">
        <w:t xml:space="preserve">test </w:t>
      </w:r>
      <w:r>
        <w:t>period</w:t>
      </w:r>
      <w:r w:rsidRPr="006A744E">
        <w:t xml:space="preserve"> SCED </w:t>
      </w:r>
      <w:r>
        <w:t>B</w:t>
      </w:r>
      <w:r w:rsidRPr="00AB18F7">
        <w:t xml:space="preserve">ase </w:t>
      </w:r>
      <w:r>
        <w:t>P</w:t>
      </w:r>
      <w:r w:rsidRPr="00AB18F7">
        <w:t>oint</w:t>
      </w:r>
      <w:r>
        <w:t xml:space="preserve"> is higher than the SCED Base Point immediately before the </w:t>
      </w:r>
      <w:r w:rsidRPr="00AB18F7">
        <w:t xml:space="preserve">test </w:t>
      </w:r>
      <w:r>
        <w:t xml:space="preserve">period and the Settlement Point Price at the Resource Node is lower than the Generation Resource’s Energy Offer Curve price, or </w:t>
      </w:r>
      <w:r w:rsidR="00785038">
        <w:t>MOC</w:t>
      </w:r>
      <w:r>
        <w:t xml:space="preserve"> if no offer exists, at the </w:t>
      </w:r>
      <w:r w:rsidRPr="006A744E">
        <w:t xml:space="preserve">test </w:t>
      </w:r>
      <w:r>
        <w:t>B</w:t>
      </w:r>
      <w:r w:rsidRPr="006A744E">
        <w:t xml:space="preserve">ase </w:t>
      </w:r>
      <w:r>
        <w:t>P</w:t>
      </w:r>
      <w:r w:rsidRPr="006A744E">
        <w:t>oint</w:t>
      </w:r>
      <w:r>
        <w:t xml:space="preserve">, and the test was not a retest requested by the QSE, ERCOT shall pay the QSE additional compensation for the additional energy above the </w:t>
      </w:r>
      <w:r w:rsidRPr="00AB18F7">
        <w:t>pre-test</w:t>
      </w:r>
      <w:r>
        <w:t xml:space="preserve"> SCED Base Point.  For the purpose of this Settlement, and limited to </w:t>
      </w:r>
      <w:r>
        <w:lastRenderedPageBreak/>
        <w:t>Settlement Intervals inclusive of the unannounced Generation Resource test, SCED Base Points will be used in place of the Emergency Base Point.</w:t>
      </w:r>
    </w:p>
    <w:p w14:paraId="1DFFA692" w14:textId="77777777" w:rsidR="001F04FD" w:rsidRDefault="001F04FD" w:rsidP="001F04FD">
      <w:pPr>
        <w:pStyle w:val="BodyTextNumbered"/>
      </w:pPr>
      <w:r>
        <w:t>(3)</w:t>
      </w:r>
      <w:r>
        <w:tab/>
        <w:t>A QSE that represents a QSGR that comes On-Line as a result of a Base Point greater than zero shall be considered for additional compensation using the formula in Section 6.6.9.1 when the Base Point is less than or equal to its applicable Seasonal net minimum sustainable rating provided in the Resource Registration data.  If the Resource Settlement Point Price at the QSGR’s Resource Node is lower than the Energy Offer Curve price,</w:t>
      </w:r>
      <w:r w:rsidRPr="00386188">
        <w:t xml:space="preserve"> </w:t>
      </w:r>
      <w:r>
        <w:t xml:space="preserve">capped per the </w:t>
      </w:r>
      <w:r w:rsidR="00785038">
        <w:t>MOC</w:t>
      </w:r>
      <w:r>
        <w:t xml:space="preserve"> pursuant to Section 4.4.9.4.1, Mitigated Offer Cap, at the aggregated Base Point during the 15-minute Settlement Interval, ERCOT shall pay the QSE additional compensation for the amount of energy from the Off-Line zero Base Point to the aggregated output level.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w:t>
      </w:r>
      <w:r w:rsidRPr="009B2FFF">
        <w:t>Section 3.8.3.1</w:t>
      </w:r>
      <w:r>
        <w:t xml:space="preserve">, </w:t>
      </w:r>
      <w:r w:rsidRPr="009B2FFF">
        <w:t>Quick Start Generation Resource Decommitment Decision Process</w:t>
      </w:r>
      <w:r>
        <w:t xml:space="preserve">, and there is no manual Low Dispatch Limit (LDL) override in place on the QSGR.   </w:t>
      </w:r>
    </w:p>
    <w:p w14:paraId="73A5E3F0" w14:textId="77777777" w:rsidR="001F04FD" w:rsidRDefault="001F04FD" w:rsidP="001F04FD">
      <w:pPr>
        <w:pStyle w:val="BodyTextNumbered"/>
      </w:pPr>
      <w:r>
        <w:t>(4)</w:t>
      </w:r>
      <w:r>
        <w:tab/>
        <w:t>QSEs that received Base Points that are inconsistent with Real-Time Settlement Point Prices and QSEs that receive a manual override from the ERCOT Operator shall be considered for additional compensation using the formula in Section 6.6.9.1.  If the Resource Settlement Point Price at the Resource Node is lower than the Energy Offer Curve price,</w:t>
      </w:r>
      <w:r w:rsidRPr="00386188">
        <w:t xml:space="preserve"> </w:t>
      </w:r>
      <w:r>
        <w:t xml:space="preserve">capped per the </w:t>
      </w:r>
      <w:r w:rsidR="00785038">
        <w:t>MOC</w:t>
      </w:r>
      <w:r>
        <w:t xml:space="preserve"> pursuant to Section 4.4.9.4.1, at the held Base Point during the 15-minute Settlement Interval, ERCOT shall pay the QSE additional compensation for the amount of energy from a zero Base Point to the held Base Point.  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B77D12">
        <w:rPr>
          <w:iCs/>
        </w:rPr>
        <w:t>held</w:t>
      </w:r>
      <w:r>
        <w:t xml:space="preserve"> Settlement Intervals inclusive of the manual override or Base Points identified as inconsistent with prices, SCED Base Points will be used in place of the Emergency Base Point.  </w:t>
      </w:r>
    </w:p>
    <w:p w14:paraId="3E26512B" w14:textId="77777777" w:rsidR="001F04FD" w:rsidRDefault="001F04FD" w:rsidP="001F04FD">
      <w:pPr>
        <w:pStyle w:val="BodyTextNumbered"/>
      </w:pPr>
      <w:r>
        <w:t>(5)</w:t>
      </w:r>
      <w:r>
        <w:tab/>
        <w:t>In accordance with Section 6.3, Adjustment Period and Real-Time Operations Timeline, if ERCOT sets any SCED interval as failed, then QSEs</w:t>
      </w:r>
      <w:r w:rsidRPr="00F2400E">
        <w:t xml:space="preserve"> </w:t>
      </w:r>
      <w:r>
        <w:t xml:space="preserve">shall be considered for additional compensation using the formula in Section 6.6.9.1.  For the purpose of this Settlement, and limited to the failed </w:t>
      </w:r>
      <w:r>
        <w:rPr>
          <w:iCs/>
        </w:rPr>
        <w:t>SCED interval,</w:t>
      </w:r>
      <w:r>
        <w:t xml:space="preserve"> SCED Base Points will be used in place of the Emergency Base Point.</w:t>
      </w:r>
    </w:p>
    <w:p w14:paraId="5F04B683" w14:textId="77777777" w:rsidR="001F04FD" w:rsidRDefault="001F04FD" w:rsidP="001F04FD">
      <w:pPr>
        <w:pStyle w:val="BodyTextNumbered"/>
      </w:pPr>
      <w:r w:rsidRPr="000E6A86">
        <w:t>(6)</w:t>
      </w:r>
      <w:r w:rsidRPr="000E6A86">
        <w:tab/>
        <w:t>For each 15-minute Settlement Interval, a QSGR that receives a manual override from the ERCOT Operator shall only be considered for compensation under paragraph (4) above.</w:t>
      </w:r>
    </w:p>
    <w:p w14:paraId="52DA9BE7" w14:textId="1786948D" w:rsidR="001F04FD" w:rsidRDefault="001F04FD" w:rsidP="001F04FD">
      <w:pPr>
        <w:pStyle w:val="BodyTextNumbered"/>
      </w:pPr>
      <w:r>
        <w:t>(7)</w:t>
      </w:r>
      <w:r>
        <w:tab/>
        <w:t>For a QSGR,</w:t>
      </w:r>
      <w:r w:rsidRPr="00DA169A">
        <w:t xml:space="preserve"> </w:t>
      </w:r>
      <w:r w:rsidRPr="00B77D12">
        <w:t xml:space="preserve">the </w:t>
      </w:r>
      <w:r w:rsidR="00785038">
        <w:rPr>
          <w:iCs/>
        </w:rPr>
        <w:t>MOC</w:t>
      </w:r>
      <w:r w:rsidRPr="00B77D12">
        <w:rPr>
          <w:iCs/>
        </w:rPr>
        <w:t xml:space="preserve"> </w:t>
      </w:r>
      <w:r w:rsidRPr="00B77D12">
        <w:t xml:space="preserve">curve used to cap the Energy Offer Curve shall not include the variable </w:t>
      </w:r>
      <w:r>
        <w:t>Operations and Maintenance (</w:t>
      </w:r>
      <w:r w:rsidRPr="00B77D12">
        <w:t>O&amp;M</w:t>
      </w:r>
      <w:r>
        <w:t>)</w:t>
      </w:r>
      <w:r w:rsidRPr="00B77D12">
        <w:t xml:space="preserve"> </w:t>
      </w:r>
      <w:r w:rsidRPr="003C57EC">
        <w:t>adjustment cost to start the Resource from first fire to LSL, including the startup fuel described in</w:t>
      </w:r>
      <w:r w:rsidRPr="00B77D12">
        <w:t xml:space="preserve"> paragraph </w:t>
      </w:r>
      <w:r w:rsidR="00722326">
        <w:t>(1)</w:t>
      </w:r>
      <w:r w:rsidRPr="00B77D12">
        <w:t>(</w:t>
      </w:r>
      <w:r w:rsidR="001765B4">
        <w:t>c</w:t>
      </w:r>
      <w:r>
        <w:t xml:space="preserve">) of Section </w:t>
      </w:r>
      <w:r>
        <w:lastRenderedPageBreak/>
        <w:t>4.4.9.4.1 for all emergency operations Settlement calculations with the exception of paragraph (3) above.</w:t>
      </w:r>
    </w:p>
    <w:p w14:paraId="279BBE5E" w14:textId="77777777" w:rsidR="00FC539A" w:rsidRDefault="001F04FD" w:rsidP="001F04FD">
      <w:pPr>
        <w:spacing w:after="240"/>
        <w:ind w:left="720" w:hanging="720"/>
      </w:pPr>
      <w:r w:rsidRPr="000A6C50">
        <w:t>(8)</w:t>
      </w:r>
      <w:r w:rsidRPr="008755F6">
        <w:tab/>
      </w:r>
      <w:r w:rsidRPr="000A6C50">
        <w:t>QSEs that receive a VDI to operate its Resources</w:t>
      </w:r>
      <w:r w:rsidRPr="005E1D8D">
        <w:t xml:space="preserve"> for an unannounc</w:t>
      </w:r>
      <w:r w:rsidRPr="001F6980">
        <w:t xml:space="preserve">ed </w:t>
      </w:r>
      <w:r w:rsidRPr="000D74E9">
        <w:t>CFC test</w:t>
      </w:r>
      <w:r>
        <w:t>, as described in the ERCOT Operating Guides,</w:t>
      </w:r>
      <w:r w:rsidRPr="000D74E9">
        <w:t xml:space="preserve"> or have been instructed to operate in CFC mode, may be considered for additional compensation utilizing the formula in Section 6.6.9.1</w:t>
      </w:r>
      <w:r w:rsidRPr="008B02BB">
        <w:t>.  If the Resource Settlement Point Price at the Resource Node is lower than the Energy Offer Curve price,</w:t>
      </w:r>
      <w:r w:rsidRPr="000D0AC1">
        <w:t xml:space="preserve"> capped per the </w:t>
      </w:r>
      <w:r w:rsidR="00785038">
        <w:t>MOC</w:t>
      </w:r>
      <w:r w:rsidRPr="000D0AC1">
        <w:t xml:space="preserve"> pursuant to Section 4.4.9.4.1, at the Emergency Base Point during the CFC period, ERCOT shall pay the QSE additional compensation for the amount of energy from a zero Base Point to the Emergency Base Point for each Resource that provided CFC.  Compensation for a CFC test will not be provided if the </w:t>
      </w:r>
      <w:r w:rsidRPr="00443EE8">
        <w:t>test was</w:t>
      </w:r>
      <w:r w:rsidRPr="004D57A4">
        <w:t xml:space="preserve"> a</w:t>
      </w:r>
      <w:r w:rsidRPr="002B2A51">
        <w:t xml:space="preserve"> retest requested by the QSE. </w:t>
      </w:r>
      <w:r w:rsidRPr="0064360F">
        <w:t xml:space="preserve"> </w:t>
      </w:r>
      <w:r w:rsidRPr="00332E01">
        <w:t xml:space="preserve">For the purpose of this </w:t>
      </w:r>
      <w:r w:rsidRPr="002A27D3">
        <w:t xml:space="preserve">Settlement, and limited to Settlement Intervals inclusive of the CFC period, the </w:t>
      </w:r>
      <w:r>
        <w:t xml:space="preserve">Emergency Base Point shall be set to the </w:t>
      </w:r>
      <w:r w:rsidRPr="003A25A1">
        <w:t>Average Telemetered Generation for the 5 Minutes</w:t>
      </w:r>
      <w:r>
        <w:t xml:space="preserve"> (AVGTG5M)</w:t>
      </w:r>
      <w:r w:rsidRPr="002A27D3">
        <w:t xml:space="preserve">.  Only Resources that moved in the direction to correct frequency are eligible to receive compensation for providing CFC. </w:t>
      </w:r>
    </w:p>
    <w:p w14:paraId="0BEA4CA8" w14:textId="77777777" w:rsidR="00537026" w:rsidRDefault="00FC539A" w:rsidP="00FC539A">
      <w:pPr>
        <w:spacing w:after="240"/>
        <w:ind w:left="720" w:hanging="720"/>
      </w:pPr>
      <w:r>
        <w:t>(9)</w:t>
      </w:r>
      <w:r>
        <w:tab/>
      </w:r>
      <w:r w:rsidRPr="00F376E3">
        <w:rPr>
          <w:bCs/>
        </w:rPr>
        <w:t xml:space="preserve">If Emergency Base Points or SCED Base Points are </w:t>
      </w:r>
      <w:r>
        <w:rPr>
          <w:bCs/>
        </w:rPr>
        <w:t>unavailable, corrupted or otherwise unusable</w:t>
      </w:r>
      <w:r w:rsidRPr="00F376E3">
        <w:rPr>
          <w:bCs/>
        </w:rPr>
        <w:t xml:space="preserve"> for </w:t>
      </w:r>
      <w:r>
        <w:rPr>
          <w:bCs/>
        </w:rPr>
        <w:t>S</w:t>
      </w:r>
      <w:r w:rsidRPr="00F376E3">
        <w:rPr>
          <w:bCs/>
        </w:rPr>
        <w:t>ettlement purposes due to system conditions, hardware failure</w:t>
      </w:r>
      <w:r w:rsidR="00417B4E">
        <w:rPr>
          <w:bCs/>
        </w:rPr>
        <w:t>,</w:t>
      </w:r>
      <w:r>
        <w:rPr>
          <w:bCs/>
        </w:rPr>
        <w:t xml:space="preserve"> or</w:t>
      </w:r>
      <w:r w:rsidRPr="00F376E3">
        <w:rPr>
          <w:bCs/>
        </w:rPr>
        <w:t xml:space="preserve"> software failure</w:t>
      </w:r>
      <w:r w:rsidR="00417B4E">
        <w:rPr>
          <w:bCs/>
        </w:rPr>
        <w:t>,</w:t>
      </w:r>
      <w:r w:rsidRPr="00F376E3">
        <w:rPr>
          <w:bCs/>
        </w:rPr>
        <w:t xml:space="preserve"> the </w:t>
      </w:r>
      <w:r w:rsidRPr="00652B44">
        <w:rPr>
          <w:bCs/>
        </w:rPr>
        <w:t>Real-Time Metered Generation (RTMG) will be used to create proxy Base Points pursuant to Section 6.6.9.1</w:t>
      </w:r>
      <w:r>
        <w:rPr>
          <w:bCs/>
        </w:rPr>
        <w:t xml:space="preserve">. </w:t>
      </w:r>
      <w:r w:rsidR="00417B4E">
        <w:rPr>
          <w:bCs/>
        </w:rPr>
        <w:t xml:space="preserve"> </w:t>
      </w:r>
      <w:r>
        <w:rPr>
          <w:bCs/>
        </w:rPr>
        <w:t xml:space="preserve">If the RTMG is not available the </w:t>
      </w:r>
      <w:r w:rsidRPr="00F376E3">
        <w:rPr>
          <w:bCs/>
        </w:rPr>
        <w:t>most accurate available generation data</w:t>
      </w:r>
      <w:r>
        <w:rPr>
          <w:bCs/>
        </w:rPr>
        <w:t xml:space="preserve"> as determined by ERCOT</w:t>
      </w:r>
      <w:r w:rsidRPr="00F376E3">
        <w:rPr>
          <w:bCs/>
        </w:rPr>
        <w:t xml:space="preserve"> will be used to create proxy Base Points </w:t>
      </w:r>
      <w:r>
        <w:rPr>
          <w:bCs/>
        </w:rPr>
        <w:t xml:space="preserve">pursuant to </w:t>
      </w:r>
      <w:r w:rsidRPr="00F376E3">
        <w:rPr>
          <w:bCs/>
        </w:rPr>
        <w:t>Section 6.6.9.</w:t>
      </w:r>
      <w:r>
        <w:rPr>
          <w:bCs/>
        </w:rPr>
        <w:t>1</w:t>
      </w:r>
      <w:r w:rsidRPr="00F376E3">
        <w:rPr>
          <w:bCs/>
        </w:rPr>
        <w:t>.</w:t>
      </w:r>
      <w:r>
        <w:rPr>
          <w:bCs/>
        </w:rPr>
        <w:t xml:space="preserve"> </w:t>
      </w:r>
      <w:r w:rsidR="00417B4E">
        <w:rPr>
          <w:bCs/>
        </w:rPr>
        <w:t xml:space="preserve"> </w:t>
      </w:r>
      <w:r>
        <w:rPr>
          <w:bCs/>
        </w:rPr>
        <w:t>ERCOT shall issue a Market Notice stating the Operating Day and Settlement Intervals that were impacted and the generation data that was used to create proxy Base Points.</w:t>
      </w:r>
      <w:r w:rsidR="001F04FD" w:rsidRPr="002A27D3">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37026" w14:paraId="0848934C" w14:textId="77777777" w:rsidTr="00BE571E">
        <w:trPr>
          <w:trHeight w:val="206"/>
        </w:trPr>
        <w:tc>
          <w:tcPr>
            <w:tcW w:w="9576" w:type="dxa"/>
            <w:shd w:val="pct12" w:color="auto" w:fill="auto"/>
          </w:tcPr>
          <w:p w14:paraId="74BE7775" w14:textId="6FD860D5" w:rsidR="00537026" w:rsidRDefault="00537026" w:rsidP="00BE571E">
            <w:pPr>
              <w:pStyle w:val="Instructions"/>
              <w:spacing w:before="120"/>
            </w:pPr>
            <w:r>
              <w:t>[NPRR1010</w:t>
            </w:r>
            <w:r w:rsidR="00D4088C">
              <w:t>,</w:t>
            </w:r>
            <w:r w:rsidR="00002953">
              <w:t xml:space="preserve"> NPRR1014</w:t>
            </w:r>
            <w:r w:rsidR="00D4088C">
              <w:t>, and NPRR1246</w:t>
            </w:r>
            <w:r>
              <w:t xml:space="preserve">:  Replace </w:t>
            </w:r>
            <w:r w:rsidR="00002953">
              <w:t xml:space="preserve">applicable portions of </w:t>
            </w:r>
            <w:r>
              <w:t>Section 6.6.9 above with the following upon system implementation of the Real-Time Co-Optimization (RTC) project</w:t>
            </w:r>
            <w:r w:rsidR="00002953">
              <w:t xml:space="preserve"> for NPRR1010</w:t>
            </w:r>
            <w:r w:rsidR="00D4088C">
              <w:t xml:space="preserve"> and NPRR1246</w:t>
            </w:r>
            <w:r w:rsidR="00002953">
              <w:t>; or upon system implementation for NPRR1014</w:t>
            </w:r>
            <w:r>
              <w:t>:]</w:t>
            </w:r>
          </w:p>
          <w:p w14:paraId="05D99DC8" w14:textId="77777777" w:rsidR="00537026" w:rsidRDefault="00537026" w:rsidP="00537026">
            <w:pPr>
              <w:keepNext/>
              <w:tabs>
                <w:tab w:val="left" w:pos="1080"/>
              </w:tabs>
              <w:spacing w:before="240" w:after="240"/>
              <w:ind w:left="1080" w:hanging="1080"/>
              <w:outlineLvl w:val="2"/>
              <w:rPr>
                <w:b/>
                <w:bCs/>
                <w:i/>
              </w:rPr>
            </w:pPr>
            <w:bookmarkStart w:id="2524" w:name="_Toc60040728"/>
            <w:bookmarkStart w:id="2525" w:name="_Toc65151787"/>
            <w:bookmarkStart w:id="2526" w:name="_Toc80174813"/>
            <w:bookmarkStart w:id="2527" w:name="_Toc112417693"/>
            <w:bookmarkStart w:id="2528" w:name="_Toc119310362"/>
            <w:bookmarkStart w:id="2529" w:name="_Toc125966295"/>
            <w:bookmarkStart w:id="2530" w:name="_Toc135992393"/>
            <w:bookmarkStart w:id="2531" w:name="_Toc170303589"/>
            <w:bookmarkStart w:id="2532" w:name="_Toc175157493"/>
            <w:bookmarkStart w:id="2533" w:name="_Toc204411722"/>
            <w:r>
              <w:rPr>
                <w:b/>
                <w:bCs/>
                <w:i/>
              </w:rPr>
              <w:t>6.6.9</w:t>
            </w:r>
            <w:r>
              <w:rPr>
                <w:b/>
                <w:bCs/>
                <w:i/>
              </w:rPr>
              <w:tab/>
              <w:t>Emergency Operations Settlement</w:t>
            </w:r>
            <w:bookmarkEnd w:id="2524"/>
            <w:bookmarkEnd w:id="2525"/>
            <w:bookmarkEnd w:id="2526"/>
            <w:bookmarkEnd w:id="2527"/>
            <w:bookmarkEnd w:id="2528"/>
            <w:bookmarkEnd w:id="2529"/>
            <w:bookmarkEnd w:id="2530"/>
            <w:bookmarkEnd w:id="2531"/>
            <w:bookmarkEnd w:id="2532"/>
            <w:bookmarkEnd w:id="2533"/>
          </w:p>
          <w:p w14:paraId="42B33A57" w14:textId="1F348CB4" w:rsidR="00002953" w:rsidRPr="00A552C3" w:rsidRDefault="00002953" w:rsidP="00002953">
            <w:pPr>
              <w:spacing w:after="240"/>
              <w:ind w:left="720" w:hanging="720"/>
            </w:pPr>
            <w:r w:rsidRPr="00A552C3">
              <w:t>(1)</w:t>
            </w:r>
            <w:r w:rsidRPr="00A552C3">
              <w:tab/>
              <w:t xml:space="preserve">Due to Emergency Conditions or Watches, additional compensation for each Generation Resource or Energy Storage Resource (ESR) for which ERCOT provides an Emergency Base Point may be awarded to the QSE representing the Generation Resource or ESR.  If the Resource was instructed to increase generation at a Settlement Point price that is lower than the price based on their Energy Offer Curve or Energy Bid/Offer Curve, or if the Resource was instructed to increase withdrawal at a Settlement Point price that is higher than the price based on their Energy Bid/Offer Curve, ERCOT shall pay the QSE additional compensation for the change from the SCED Base Point immediately before the Emergency Condition or Watch, per paragraph (1) in Section 6.6.9.1, Payment for Emergency Operations Settlement.  The Energy Offer Curve and Energy/Bid Offer Curve shall be capped by the Mitigated Offer Cap (MOC). </w:t>
            </w:r>
          </w:p>
          <w:p w14:paraId="70D1EC9A" w14:textId="77777777" w:rsidR="00002953" w:rsidRPr="00A552C3" w:rsidRDefault="00002953" w:rsidP="00002953">
            <w:pPr>
              <w:spacing w:after="240"/>
              <w:ind w:left="720" w:hanging="720"/>
            </w:pPr>
            <w:r w:rsidRPr="00A552C3">
              <w:lastRenderedPageBreak/>
              <w:t>(2)</w:t>
            </w:r>
            <w:r w:rsidRPr="00A552C3">
              <w:tab/>
              <w:t>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paragraph (1) in Section 6.6.9.1.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406EB759" w14:textId="77777777" w:rsidR="00002953" w:rsidRPr="00A552C3" w:rsidRDefault="00002953" w:rsidP="00002953">
            <w:pPr>
              <w:spacing w:after="240"/>
              <w:ind w:left="720" w:hanging="720"/>
            </w:pPr>
            <w:r w:rsidRPr="00A552C3">
              <w:t>(3)</w:t>
            </w:r>
            <w:r w:rsidRPr="00A552C3">
              <w:tab/>
              <w:t xml:space="preserve">A QSE that represents a QSGR that comes On-Line as a result of a Base Point greater than zero shall be considered for additional compensation using the formula in paragraph (2) in Section 6.6.9.1 when the Base Point is less than or equal to its applicable Seasonal net minimum sustainable rating provided in the Resource Registration data.  For the 15-minute Settlement Interval, the process for additional compensation compares the Resource’s energy and Ancillary Services revenue with the Resource’s revenue target, as defined in Section 6.6.9.1, considering both Ancillary Service awards and Base Points, where the Energy Offer Curve is capped per the MOC.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727C9E48" w14:textId="1F4415B7" w:rsidR="00002953" w:rsidRPr="00A552C3" w:rsidRDefault="00002953" w:rsidP="00002953">
            <w:pPr>
              <w:spacing w:after="240"/>
              <w:ind w:left="720" w:hanging="720"/>
            </w:pPr>
            <w:r w:rsidRPr="00A552C3">
              <w:t>(4)</w:t>
            </w:r>
            <w:r w:rsidRPr="00A552C3">
              <w:tab/>
              <w:t xml:space="preserve">QSEs that received Base Points that are inconsistent with Real-Time Settlement Point Prices and QSEs that receive a manual override from the ERCOT Operator shall be considered for additional compensation using the formula in paragraph (2) in Section 6.6.9.1.  For the 15-minute Settlement Interval, the process for additional compensation compares the Resource’s energy and Ancillary Services revenue with the Resource’s revenue target, as defined in Section 6.6.9.1, considering both the Ancillary Service awards and held Base Points, where the Energy Offer Curve or the Energy Bid/Offer Curve is capped per the MOC. </w:t>
            </w:r>
            <w:r w:rsidR="0018785B">
              <w:t xml:space="preserve"> </w:t>
            </w:r>
            <w:r w:rsidRPr="00A552C3">
              <w:t xml:space="preserve">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A552C3">
              <w:rPr>
                <w:iCs/>
              </w:rPr>
              <w:t>held</w:t>
            </w:r>
            <w:r w:rsidRPr="00A552C3">
              <w:t xml:space="preserve"> Settlement Intervals inclusive of the manual override or Base Points identified as inconsistent with prices, SCED Base Points will be used in place of the Emergency Base Point.  </w:t>
            </w:r>
          </w:p>
          <w:p w14:paraId="31D11EE7" w14:textId="77777777" w:rsidR="00002953" w:rsidRPr="00A552C3" w:rsidRDefault="00002953" w:rsidP="00002953">
            <w:pPr>
              <w:spacing w:after="240"/>
              <w:ind w:left="720" w:hanging="720"/>
            </w:pPr>
            <w:r w:rsidRPr="00A552C3">
              <w:lastRenderedPageBreak/>
              <w:t>(5)</w:t>
            </w:r>
            <w:r w:rsidRPr="00A552C3">
              <w:tab/>
              <w:t xml:space="preserve">In accordance with Section 6.3, Adjustment Period and Real-Time Operations Timeline, if ERCOT sets any SCED interval as failed, then QSEs shall be considered for additional compensation using the formula in paragraph (1) in Section 6.6.9.1.  For the purpose of this Settlement, and limited to the failed </w:t>
            </w:r>
            <w:r w:rsidRPr="00A552C3">
              <w:rPr>
                <w:iCs/>
              </w:rPr>
              <w:t>SCED interval,</w:t>
            </w:r>
            <w:r w:rsidRPr="00A552C3">
              <w:t xml:space="preserve"> SCED Base Points will be used in place of the Emergency Base Point.</w:t>
            </w:r>
          </w:p>
          <w:p w14:paraId="3E9B4960" w14:textId="77777777" w:rsidR="00002953" w:rsidRPr="00A552C3" w:rsidRDefault="00002953" w:rsidP="00002953">
            <w:pPr>
              <w:spacing w:after="240"/>
              <w:ind w:left="720" w:hanging="720"/>
            </w:pPr>
            <w:r w:rsidRPr="00A552C3">
              <w:t>(6)</w:t>
            </w:r>
            <w:r w:rsidRPr="00A552C3">
              <w:tab/>
              <w:t>For each 15-minute Settlement Interval, a QSGR that receives a manual override from the ERCOT Operator shall only be considered for compensation under paragraph (4) above.</w:t>
            </w:r>
          </w:p>
          <w:p w14:paraId="665AD053" w14:textId="77777777" w:rsidR="00002953" w:rsidRPr="00A552C3" w:rsidRDefault="00002953" w:rsidP="00002953">
            <w:pPr>
              <w:spacing w:after="240"/>
              <w:ind w:left="720" w:hanging="720"/>
            </w:pPr>
            <w:r w:rsidRPr="00A552C3">
              <w:t>(7)</w:t>
            </w:r>
            <w:r w:rsidRPr="00A552C3">
              <w:tab/>
              <w:t xml:space="preserve">For a QSGR, the </w:t>
            </w:r>
            <w:r w:rsidRPr="00A552C3">
              <w:rPr>
                <w:iCs/>
              </w:rPr>
              <w:t xml:space="preserve">MOC </w:t>
            </w:r>
            <w:r w:rsidRPr="00A552C3">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44F6E1EF" w14:textId="77777777" w:rsidR="00002953" w:rsidRPr="00A552C3" w:rsidRDefault="00002953" w:rsidP="00002953">
            <w:pPr>
              <w:spacing w:after="240"/>
              <w:ind w:left="720" w:hanging="720"/>
            </w:pPr>
            <w:r w:rsidRPr="00A552C3">
              <w:t>(8)</w:t>
            </w:r>
            <w:r w:rsidRPr="00A552C3">
              <w:tab/>
              <w:t xml:space="preserve">Any QSE that receives a VDI to operate its Resource for an unannounced CFC test, as described in the ERCOT Operating Guides, or that has been instructed to operate in CFC mode, may be considered for additional compensation utilizing the formula in paragraph (1) in Section 6.6.9.1.  If the Resource increased generation at a Settlement Point Price that is lower than the price based on the Energy Offer Curve or Energy Bid/Offer Curve, or if the Resource was instructed to increase withdrawal at a Settlement Point Price that is higher than the price based on its Energy Bid/Offer Curve, 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 and the Energy Offer Curve and Energy/Bid Offer Curve shall be capped by the MOC.  Only Resources that moved in the direction to correct frequency are eligible to receive compensation for providing CFC. </w:t>
            </w:r>
          </w:p>
          <w:p w14:paraId="4E46693C" w14:textId="39462B3C" w:rsidR="00002953" w:rsidRPr="00A552C3" w:rsidRDefault="00002953" w:rsidP="00002953">
            <w:pPr>
              <w:spacing w:after="240"/>
              <w:ind w:left="720" w:hanging="720"/>
            </w:pPr>
            <w:r w:rsidRPr="00A552C3">
              <w:t>(9)</w:t>
            </w:r>
            <w:r w:rsidRPr="00A552C3">
              <w:tab/>
            </w:r>
            <w:r w:rsidRPr="00A552C3">
              <w:rPr>
                <w:bCs/>
              </w:rPr>
              <w:t>If Emergency Base Points or SCED Base Points are unavailable, corrupted or otherwise unusable for Settlement purposes due to system conditions, hardware failure, or software failure, the Real-Time Metered Generation (RTMG) and Real-Time Charging Load (RTCL) will be used to create proxy Base Points pursuant to Section 6.6.9.1.  If the RTMG and RTCL are not available, the most accurate available generation and withdrawal data as determined by ERCOT will be used to create proxy Base Points pursuant to Section 6.6.9.1.  ERCOT shall issue a Market Notice stating the Operating Day and Settlement Intervals that were impacted and the data that was used to create proxy Base Points.</w:t>
            </w:r>
            <w:r w:rsidRPr="00A552C3">
              <w:t xml:space="preserve"> </w:t>
            </w:r>
          </w:p>
          <w:p w14:paraId="7B41230D" w14:textId="229A7E20" w:rsidR="00002953" w:rsidRPr="00A552C3" w:rsidRDefault="00002953" w:rsidP="000A1D62">
            <w:pPr>
              <w:spacing w:after="240"/>
              <w:ind w:left="720" w:hanging="720"/>
            </w:pPr>
            <w:bookmarkStart w:id="2534" w:name="_Hlk120516039"/>
            <w:r w:rsidRPr="00A552C3">
              <w:t>(10)</w:t>
            </w:r>
            <w:r w:rsidRPr="00A552C3">
              <w:tab/>
              <w:t xml:space="preserve">The </w:t>
            </w:r>
            <w:r w:rsidR="00BD7CC8" w:rsidRPr="00221D04">
              <w:t xml:space="preserve">Energy Offer Curve or </w:t>
            </w:r>
            <w:r w:rsidRPr="00A552C3">
              <w:t xml:space="preserve">Energy Bid/Offer Curve used to calculate the Emergency Base Point Price (EBPPR) will be the </w:t>
            </w:r>
            <w:r w:rsidR="00BD7CC8" w:rsidRPr="00221D04">
              <w:t xml:space="preserve">Energy Offer Curve or </w:t>
            </w:r>
            <w:r w:rsidRPr="00A552C3">
              <w:t xml:space="preserve">Energy Bid/Offer Curve that was submitted by the QSE and effective for the </w:t>
            </w:r>
            <w:r w:rsidR="00633EBD" w:rsidRPr="00221D04">
              <w:t>applicable Operating Hour at the time of the triggering event that led to emergency Settlement consideration</w:t>
            </w:r>
            <w:r w:rsidRPr="00A552C3">
              <w:t xml:space="preserve">, except </w:t>
            </w:r>
            <w:r w:rsidRPr="00A552C3">
              <w:lastRenderedPageBreak/>
              <w:t>when the QSE has received Base Points that are inconsistent with Real-Time Settlement Point Prices, as described in paragraph (4) above</w:t>
            </w:r>
            <w:r w:rsidR="00633EBD" w:rsidRPr="00221D04">
              <w:t>.  In the case of the condition described in paragraph (3) above, the triggering event would be the first interval in which the QSGR comes On-Line as a result of a Base Point greater than zero.</w:t>
            </w:r>
          </w:p>
          <w:p w14:paraId="23081634" w14:textId="46B27B71" w:rsidR="00537026" w:rsidRPr="00B37C4B" w:rsidRDefault="00002953" w:rsidP="000A1D62">
            <w:pPr>
              <w:spacing w:after="240"/>
              <w:ind w:left="720" w:hanging="720"/>
            </w:pPr>
            <w:r w:rsidRPr="00A552C3">
              <w:t>(</w:t>
            </w:r>
            <w:r w:rsidR="00633EBD">
              <w:t>11</w:t>
            </w:r>
            <w:r w:rsidRPr="00A552C3">
              <w:t>)</w:t>
            </w:r>
            <w:r w:rsidRPr="00A552C3">
              <w:tab/>
            </w:r>
            <w:r w:rsidR="00633EBD" w:rsidRPr="00221D04">
              <w:t>For ESRs that qualify for emergency Settlement,</w:t>
            </w:r>
            <w:r w:rsidR="00633EBD">
              <w:t xml:space="preserve"> f</w:t>
            </w:r>
            <w:r w:rsidRPr="00A552C3">
              <w:t xml:space="preserve">or purposes of this section, the MOC curve used to cap the Energy Bid/Offer </w:t>
            </w:r>
            <w:r w:rsidRPr="00633EBD">
              <w:rPr>
                <w:bCs/>
              </w:rPr>
              <w:t>Curve</w:t>
            </w:r>
            <w:r w:rsidRPr="00A552C3">
              <w:t xml:space="preserve"> shall be set to the highest Real-Time Settlement Point Price (RTSPP) at the Resource’s Settlemen</w:t>
            </w:r>
            <w:r>
              <w:t>t Point for the Operating Day.</w:t>
            </w:r>
            <w:r w:rsidR="00537026">
              <w:t xml:space="preserve"> </w:t>
            </w:r>
            <w:bookmarkEnd w:id="2534"/>
          </w:p>
        </w:tc>
      </w:tr>
    </w:tbl>
    <w:p w14:paraId="46D08171" w14:textId="77777777" w:rsidR="001F04FD" w:rsidRDefault="001F04FD" w:rsidP="001F04FD">
      <w:pPr>
        <w:pStyle w:val="H4"/>
        <w:spacing w:before="480"/>
        <w:ind w:left="1267" w:hanging="1267"/>
      </w:pPr>
      <w:bookmarkStart w:id="2535" w:name="_Toc109009419"/>
      <w:bookmarkStart w:id="2536" w:name="_Toc397505039"/>
      <w:bookmarkStart w:id="2537" w:name="_Toc402357171"/>
      <w:bookmarkStart w:id="2538" w:name="_Toc422486551"/>
      <w:bookmarkStart w:id="2539" w:name="_Toc433093404"/>
      <w:bookmarkStart w:id="2540" w:name="_Toc433093562"/>
      <w:bookmarkStart w:id="2541" w:name="_Toc440874792"/>
      <w:bookmarkStart w:id="2542" w:name="_Toc448142349"/>
      <w:bookmarkStart w:id="2543" w:name="_Toc448142506"/>
      <w:bookmarkStart w:id="2544" w:name="_Toc458770347"/>
      <w:bookmarkStart w:id="2545" w:name="_Toc459294315"/>
      <w:bookmarkStart w:id="2546" w:name="_Toc463262809"/>
      <w:bookmarkStart w:id="2547" w:name="_Toc468286882"/>
      <w:bookmarkStart w:id="2548" w:name="_Toc481502922"/>
      <w:bookmarkStart w:id="2549" w:name="_Toc496080090"/>
      <w:bookmarkStart w:id="2550" w:name="_Toc204411723"/>
      <w:r>
        <w:lastRenderedPageBreak/>
        <w:t>6.6.9.1</w:t>
      </w:r>
      <w:r>
        <w:tab/>
        <w:t>Payment for Emergency Power Increase Directed by ERCOT</w:t>
      </w:r>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p>
    <w:p w14:paraId="480296AE" w14:textId="77777777" w:rsidR="001F04FD" w:rsidRDefault="001F04FD" w:rsidP="001F04FD">
      <w:pPr>
        <w:pStyle w:val="BodyTextNumbered"/>
      </w:pPr>
      <w:r>
        <w:t>(1)</w:t>
      </w:r>
      <w:r>
        <w:tab/>
        <w:t>If the Emergency Base Point issued to a Generation Resource is higher than the SCED Base Point immediately before the Emergency Condition or Watch, then ERCOT shall pay the QSE an additional compensation for the Resource at its Resource Node Settlement Point.  The payment for a given 15-minute Settlement Interval is calculated as follows:</w:t>
      </w:r>
    </w:p>
    <w:p w14:paraId="265B67C1" w14:textId="77777777" w:rsidR="001F04FD" w:rsidRDefault="001F04FD" w:rsidP="001F04FD">
      <w:pPr>
        <w:pStyle w:val="FormulaBold"/>
        <w:rPr>
          <w:lang w:val="pt-BR"/>
        </w:rPr>
      </w:pPr>
      <w:r>
        <w:rPr>
          <w:lang w:val="pt-BR"/>
        </w:rPr>
        <w:t xml:space="preserve">EMREAMT </w:t>
      </w:r>
      <w:r>
        <w:rPr>
          <w:i/>
          <w:vertAlign w:val="subscript"/>
          <w:lang w:val="pt-BR"/>
        </w:rPr>
        <w:t>q, r, p</w:t>
      </w:r>
      <w:r>
        <w:rPr>
          <w:lang w:val="pt-BR"/>
        </w:rPr>
        <w:tab/>
        <w:t>=</w:t>
      </w:r>
      <w:r>
        <w:rPr>
          <w:lang w:val="pt-BR"/>
        </w:rPr>
        <w:tab/>
        <w:t xml:space="preserve">(-1) * EMREPR </w:t>
      </w:r>
      <w:r>
        <w:rPr>
          <w:i/>
          <w:vertAlign w:val="subscript"/>
          <w:lang w:val="pt-BR"/>
        </w:rPr>
        <w:t>q, r, p</w:t>
      </w:r>
      <w:r>
        <w:rPr>
          <w:lang w:val="pt-BR"/>
        </w:rPr>
        <w:t xml:space="preserve"> * EMRE </w:t>
      </w:r>
      <w:r>
        <w:rPr>
          <w:i/>
          <w:vertAlign w:val="subscript"/>
          <w:lang w:val="pt-BR"/>
        </w:rPr>
        <w:t>q, r, p</w:t>
      </w:r>
    </w:p>
    <w:p w14:paraId="1BA82916" w14:textId="77777777" w:rsidR="001F04FD" w:rsidRDefault="001F04FD" w:rsidP="001F04FD">
      <w:pPr>
        <w:pStyle w:val="BodyText"/>
        <w:rPr>
          <w:lang w:val="pt-BR"/>
        </w:rPr>
      </w:pPr>
      <w:r>
        <w:rPr>
          <w:lang w:val="pt-BR"/>
        </w:rPr>
        <w:t>Where:</w:t>
      </w:r>
    </w:p>
    <w:p w14:paraId="1D3CFFE5" w14:textId="77777777" w:rsidR="001F04FD" w:rsidRDefault="001F04FD" w:rsidP="001F04FD">
      <w:pPr>
        <w:pStyle w:val="Formula"/>
        <w:ind w:left="2880" w:hanging="2160"/>
        <w:rPr>
          <w:lang w:val="pt-BR"/>
        </w:rPr>
      </w:pPr>
      <w:r>
        <w:rPr>
          <w:lang w:val="pt-BR"/>
        </w:rPr>
        <w:t xml:space="preserve">EMREPR </w:t>
      </w:r>
      <w:r>
        <w:rPr>
          <w:i/>
          <w:vertAlign w:val="subscript"/>
          <w:lang w:val="pt-BR"/>
        </w:rPr>
        <w:t>q, r, p</w:t>
      </w:r>
      <w:r>
        <w:rPr>
          <w:lang w:val="pt-BR"/>
        </w:rPr>
        <w:tab/>
      </w:r>
      <w:r>
        <w:rPr>
          <w:lang w:val="pt-BR"/>
        </w:rPr>
        <w:tab/>
        <w:t>=</w:t>
      </w:r>
      <w:r>
        <w:rPr>
          <w:lang w:val="pt-BR"/>
        </w:rPr>
        <w:tab/>
        <w:t xml:space="preserve">Max (0, EBPWAPR </w:t>
      </w:r>
      <w:r>
        <w:rPr>
          <w:i/>
          <w:vertAlign w:val="subscript"/>
          <w:lang w:val="pt-BR"/>
        </w:rPr>
        <w:t>q, r, p</w:t>
      </w:r>
      <w:r>
        <w:rPr>
          <w:lang w:val="pt-BR"/>
        </w:rPr>
        <w:t xml:space="preserve"> – RTSPP </w:t>
      </w:r>
      <w:r>
        <w:rPr>
          <w:i/>
          <w:vertAlign w:val="subscript"/>
          <w:lang w:val="pt-BR"/>
        </w:rPr>
        <w:t>p</w:t>
      </w:r>
      <w:r>
        <w:rPr>
          <w:lang w:val="pt-BR"/>
        </w:rPr>
        <w:t>)</w:t>
      </w:r>
    </w:p>
    <w:p w14:paraId="4831B1EF" w14:textId="77777777" w:rsidR="001F04FD" w:rsidRDefault="001F04FD" w:rsidP="001F04FD">
      <w:pPr>
        <w:pStyle w:val="Formula"/>
        <w:ind w:left="2880" w:hanging="2160"/>
        <w:rPr>
          <w:lang w:val="pt-BR"/>
        </w:rPr>
      </w:pPr>
      <w:r>
        <w:rPr>
          <w:lang w:val="pt-BR"/>
        </w:rPr>
        <w:t xml:space="preserve">EBPWAPR </w:t>
      </w:r>
      <w:r>
        <w:rPr>
          <w:i/>
          <w:vertAlign w:val="subscript"/>
          <w:lang w:val="pt-BR"/>
        </w:rPr>
        <w:t>q, r, p</w:t>
      </w:r>
      <w:r>
        <w:rPr>
          <w:lang w:val="pt-BR"/>
        </w:rPr>
        <w:tab/>
        <w:t>=</w:t>
      </w:r>
      <w:r>
        <w:rPr>
          <w:lang w:val="pt-BR"/>
        </w:rPr>
        <w:tab/>
      </w:r>
      <w:r w:rsidRPr="006F784F">
        <w:rPr>
          <w:position w:val="-22"/>
        </w:rPr>
        <w:object w:dxaOrig="225" w:dyaOrig="450" w14:anchorId="2C64792A">
          <v:shape id="_x0000_i1239" type="#_x0000_t75" style="width:12pt;height:24.6pt" o:ole="">
            <v:imagedata r:id="rId294" o:title=""/>
          </v:shape>
          <o:OLEObject Type="Embed" ProgID="Equation.3" ShapeID="_x0000_i1239" DrawAspect="Content" ObjectID="_1815025428" r:id="rId295"/>
        </w:object>
      </w:r>
      <w:r>
        <w:rPr>
          <w:lang w:val="pt-BR"/>
        </w:rPr>
        <w:t xml:space="preserve">(EBPPR </w:t>
      </w:r>
      <w:r>
        <w:rPr>
          <w:i/>
          <w:vertAlign w:val="subscript"/>
          <w:lang w:val="pt-BR"/>
        </w:rPr>
        <w:t>q, r, p, y</w:t>
      </w:r>
      <w:r>
        <w:rPr>
          <w:lang w:val="pt-BR"/>
        </w:rPr>
        <w:t xml:space="preserve"> * EBP </w:t>
      </w:r>
      <w:r>
        <w:rPr>
          <w:i/>
          <w:vertAlign w:val="subscript"/>
          <w:lang w:val="pt-BR"/>
        </w:rPr>
        <w:t>q, r, p, y</w:t>
      </w:r>
      <w:r>
        <w:rPr>
          <w:lang w:val="pt-BR"/>
        </w:rPr>
        <w:t xml:space="preserve"> * TLMP </w:t>
      </w:r>
      <w:r>
        <w:rPr>
          <w:i/>
          <w:vertAlign w:val="subscript"/>
          <w:lang w:val="pt-BR"/>
        </w:rPr>
        <w:t>y</w:t>
      </w:r>
      <w:r>
        <w:rPr>
          <w:lang w:val="pt-BR"/>
        </w:rPr>
        <w:t xml:space="preserve">) </w:t>
      </w:r>
      <w:r>
        <w:rPr>
          <w:b/>
          <w:sz w:val="32"/>
          <w:szCs w:val="32"/>
          <w:lang w:val="pt-BR"/>
        </w:rPr>
        <w:t>/</w:t>
      </w:r>
    </w:p>
    <w:p w14:paraId="3583EB14" w14:textId="77777777" w:rsidR="001F04FD" w:rsidRDefault="001F04FD" w:rsidP="001F04FD">
      <w:pPr>
        <w:pStyle w:val="Formula"/>
        <w:ind w:left="2880" w:hanging="2160"/>
        <w:rPr>
          <w:lang w:val="es-MX"/>
        </w:rPr>
      </w:pPr>
      <w:r>
        <w:rPr>
          <w:lang w:val="pt-BR"/>
        </w:rPr>
        <w:tab/>
      </w:r>
      <w:r>
        <w:rPr>
          <w:lang w:val="pt-BR"/>
        </w:rPr>
        <w:tab/>
      </w:r>
      <w:r>
        <w:rPr>
          <w:lang w:val="pt-BR"/>
        </w:rPr>
        <w:tab/>
      </w:r>
      <w:r w:rsidRPr="006F784F">
        <w:rPr>
          <w:position w:val="-22"/>
        </w:rPr>
        <w:object w:dxaOrig="225" w:dyaOrig="450" w14:anchorId="2589039F">
          <v:shape id="_x0000_i1240" type="#_x0000_t75" style="width:12pt;height:24.6pt" o:ole="">
            <v:imagedata r:id="rId296" o:title=""/>
          </v:shape>
          <o:OLEObject Type="Embed" ProgID="Equation.3" ShapeID="_x0000_i1240" DrawAspect="Content" ObjectID="_1815025429" r:id="rId297"/>
        </w:object>
      </w:r>
      <w:r>
        <w:rPr>
          <w:lang w:val="es-MX"/>
        </w:rPr>
        <w:t>(EBP</w:t>
      </w:r>
      <w:r>
        <w:rPr>
          <w:i/>
          <w:vertAlign w:val="subscript"/>
          <w:lang w:val="es-MX"/>
        </w:rPr>
        <w:t xml:space="preserve">q, r, p, y </w:t>
      </w:r>
      <w:r>
        <w:rPr>
          <w:lang w:val="es-MX"/>
        </w:rPr>
        <w:t>* TLMP</w:t>
      </w:r>
      <w:r>
        <w:rPr>
          <w:i/>
          <w:vertAlign w:val="subscript"/>
          <w:lang w:val="es-MX"/>
        </w:rPr>
        <w:t xml:space="preserve"> y</w:t>
      </w:r>
      <w:r>
        <w:rPr>
          <w:lang w:val="es-MX"/>
        </w:rPr>
        <w:t>)</w:t>
      </w:r>
    </w:p>
    <w:p w14:paraId="20DE1C29" w14:textId="77777777" w:rsidR="001F04FD" w:rsidRDefault="001F04FD" w:rsidP="001F04FD">
      <w:pPr>
        <w:pStyle w:val="Formula"/>
        <w:tabs>
          <w:tab w:val="clear" w:pos="2160"/>
        </w:tabs>
        <w:ind w:left="2880" w:hanging="2160"/>
        <w:rPr>
          <w:lang w:val="es-MX"/>
        </w:rPr>
      </w:pPr>
      <w:r>
        <w:rPr>
          <w:lang w:val="pt-BR"/>
        </w:rPr>
        <w:t>EMRE</w:t>
      </w:r>
      <w:r>
        <w:rPr>
          <w:lang w:val="es-MX"/>
        </w:rPr>
        <w:t xml:space="preserve"> </w:t>
      </w:r>
      <w:r>
        <w:rPr>
          <w:i/>
          <w:vertAlign w:val="subscript"/>
          <w:lang w:val="es-MX"/>
        </w:rPr>
        <w:t>q, r, p</w:t>
      </w:r>
      <w:r>
        <w:rPr>
          <w:lang w:val="es-MX"/>
        </w:rPr>
        <w:tab/>
        <w:t>=</w:t>
      </w:r>
      <w:r>
        <w:rPr>
          <w:lang w:val="es-MX"/>
        </w:rPr>
        <w:tab/>
        <w:t>Max (0, Min (</w:t>
      </w:r>
      <w:r>
        <w:rPr>
          <w:bCs w:val="0"/>
          <w:lang w:val="pt-BR"/>
        </w:rPr>
        <w:t>AEBP</w:t>
      </w:r>
      <w:r>
        <w:rPr>
          <w:bCs w:val="0"/>
          <w:vertAlign w:val="subscript"/>
          <w:lang w:val="pt-BR"/>
        </w:rPr>
        <w:t xml:space="preserve"> </w:t>
      </w:r>
      <w:r>
        <w:rPr>
          <w:bCs w:val="0"/>
          <w:i/>
          <w:vertAlign w:val="subscript"/>
          <w:lang w:val="pt-BR"/>
        </w:rPr>
        <w:t>q, r, p</w:t>
      </w:r>
      <w:r>
        <w:rPr>
          <w:bCs w:val="0"/>
          <w:vertAlign w:val="subscript"/>
          <w:lang w:val="pt-BR"/>
        </w:rPr>
        <w:t xml:space="preserve"> </w:t>
      </w:r>
      <w:r>
        <w:rPr>
          <w:bCs w:val="0"/>
          <w:lang w:val="pt-BR"/>
        </w:rPr>
        <w:t>,</w:t>
      </w:r>
      <w:r>
        <w:rPr>
          <w:lang w:val="es-MX"/>
        </w:rPr>
        <w:t xml:space="preserve"> RTMG </w:t>
      </w:r>
      <w:r>
        <w:rPr>
          <w:i/>
          <w:vertAlign w:val="subscript"/>
          <w:lang w:val="es-MX"/>
        </w:rPr>
        <w:t>q, r, p</w:t>
      </w:r>
      <w:r>
        <w:rPr>
          <w:lang w:val="es-MX"/>
        </w:rPr>
        <w:t xml:space="preserve">) – ¼ * BP </w:t>
      </w:r>
      <w:r>
        <w:rPr>
          <w:i/>
          <w:vertAlign w:val="subscript"/>
          <w:lang w:val="es-MX"/>
        </w:rPr>
        <w:t>q, r, p</w:t>
      </w:r>
      <w:r>
        <w:rPr>
          <w:lang w:val="es-MX"/>
        </w:rPr>
        <w:t>)</w:t>
      </w:r>
    </w:p>
    <w:p w14:paraId="03EB05B9" w14:textId="77777777" w:rsidR="001F04FD" w:rsidRDefault="001F04FD" w:rsidP="001F04FD">
      <w:pPr>
        <w:pStyle w:val="Formula"/>
        <w:ind w:left="2880" w:hanging="2160"/>
        <w:rPr>
          <w:bCs w:val="0"/>
          <w:lang w:val="pt-BR"/>
        </w:rPr>
      </w:pPr>
      <w:r>
        <w:rPr>
          <w:bCs w:val="0"/>
          <w:lang w:val="pt-BR"/>
        </w:rPr>
        <w:t>AEBP</w:t>
      </w:r>
      <w:r>
        <w:rPr>
          <w:bCs w:val="0"/>
          <w:vertAlign w:val="subscript"/>
          <w:lang w:val="pt-BR"/>
        </w:rPr>
        <w:t xml:space="preserve"> </w:t>
      </w:r>
      <w:r>
        <w:rPr>
          <w:bCs w:val="0"/>
          <w:i/>
          <w:vertAlign w:val="subscript"/>
          <w:lang w:val="pt-BR"/>
        </w:rPr>
        <w:t>q, r, p</w:t>
      </w:r>
      <w:r>
        <w:rPr>
          <w:bCs w:val="0"/>
          <w:lang w:val="pt-BR"/>
        </w:rPr>
        <w:tab/>
      </w:r>
      <w:r>
        <w:rPr>
          <w:bCs w:val="0"/>
          <w:lang w:val="pt-BR"/>
        </w:rPr>
        <w:tab/>
        <w:t>=</w:t>
      </w:r>
      <w:r>
        <w:rPr>
          <w:bCs w:val="0"/>
          <w:lang w:val="pt-BR"/>
        </w:rPr>
        <w:tab/>
      </w:r>
      <w:r w:rsidRPr="006F784F">
        <w:rPr>
          <w:position w:val="-22"/>
        </w:rPr>
        <w:object w:dxaOrig="225" w:dyaOrig="450" w14:anchorId="145CA98E">
          <v:shape id="_x0000_i1241" type="#_x0000_t75" style="width:12pt;height:24.6pt" o:ole="">
            <v:imagedata r:id="rId296" o:title=""/>
          </v:shape>
          <o:OLEObject Type="Embed" ProgID="Equation.3" ShapeID="_x0000_i1241" DrawAspect="Content" ObjectID="_1815025430" r:id="rId298"/>
        </w:object>
      </w:r>
      <w:r>
        <w:rPr>
          <w:bCs w:val="0"/>
          <w:lang w:val="pt-BR"/>
        </w:rPr>
        <w:t xml:space="preserve"> (EBP </w:t>
      </w:r>
      <w:r>
        <w:rPr>
          <w:bCs w:val="0"/>
          <w:i/>
          <w:vertAlign w:val="subscript"/>
          <w:lang w:val="pt-BR"/>
        </w:rPr>
        <w:t>q, r, p, y</w:t>
      </w:r>
      <w:r>
        <w:rPr>
          <w:bCs w:val="0"/>
          <w:lang w:val="pt-BR"/>
        </w:rPr>
        <w:t xml:space="preserve"> * TLMP</w:t>
      </w:r>
      <w:r w:rsidRPr="00E15B17">
        <w:rPr>
          <w:bCs w:val="0"/>
          <w:i/>
          <w:vertAlign w:val="subscript"/>
          <w:lang w:val="pt-BR"/>
        </w:rPr>
        <w:t>y</w:t>
      </w:r>
      <w:r>
        <w:rPr>
          <w:bCs w:val="0"/>
          <w:lang w:val="pt-BR"/>
        </w:rPr>
        <w:t xml:space="preserve"> / 3600)</w:t>
      </w:r>
    </w:p>
    <w:p w14:paraId="6A473FDA"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1F04FD" w14:paraId="43E77945" w14:textId="77777777" w:rsidTr="00AC4DEE">
        <w:trPr>
          <w:cantSplit/>
          <w:tblHeader/>
        </w:trPr>
        <w:tc>
          <w:tcPr>
            <w:tcW w:w="934" w:type="pct"/>
          </w:tcPr>
          <w:p w14:paraId="4A69907F" w14:textId="77777777" w:rsidR="001F04FD" w:rsidRDefault="001F04FD" w:rsidP="00AC4DEE">
            <w:pPr>
              <w:pStyle w:val="TableHead"/>
            </w:pPr>
            <w:r>
              <w:t>Variable</w:t>
            </w:r>
          </w:p>
        </w:tc>
        <w:tc>
          <w:tcPr>
            <w:tcW w:w="481" w:type="pct"/>
          </w:tcPr>
          <w:p w14:paraId="4ED92D1B" w14:textId="77777777" w:rsidR="001F04FD" w:rsidRDefault="001F04FD" w:rsidP="00AC4DEE">
            <w:pPr>
              <w:pStyle w:val="TableHead"/>
            </w:pPr>
            <w:r>
              <w:t>Unit</w:t>
            </w:r>
          </w:p>
        </w:tc>
        <w:tc>
          <w:tcPr>
            <w:tcW w:w="3585" w:type="pct"/>
          </w:tcPr>
          <w:p w14:paraId="7CA43DE5" w14:textId="77777777" w:rsidR="001F04FD" w:rsidRDefault="001F04FD" w:rsidP="00AC4DEE">
            <w:pPr>
              <w:pStyle w:val="TableHead"/>
            </w:pPr>
            <w:r>
              <w:t>Definition</w:t>
            </w:r>
          </w:p>
        </w:tc>
      </w:tr>
      <w:tr w:rsidR="001F04FD" w14:paraId="46413F9F" w14:textId="77777777" w:rsidTr="00AC4DEE">
        <w:trPr>
          <w:cantSplit/>
        </w:trPr>
        <w:tc>
          <w:tcPr>
            <w:tcW w:w="934" w:type="pct"/>
          </w:tcPr>
          <w:p w14:paraId="2224284E" w14:textId="77777777" w:rsidR="001F04FD" w:rsidRDefault="001F04FD" w:rsidP="00AC4DEE">
            <w:pPr>
              <w:pStyle w:val="TableBody"/>
            </w:pPr>
            <w:r>
              <w:t xml:space="preserve">EMREAMT </w:t>
            </w:r>
            <w:r w:rsidRPr="00E15B17">
              <w:rPr>
                <w:i/>
                <w:vertAlign w:val="subscript"/>
              </w:rPr>
              <w:t>q, r, p</w:t>
            </w:r>
          </w:p>
        </w:tc>
        <w:tc>
          <w:tcPr>
            <w:tcW w:w="481" w:type="pct"/>
          </w:tcPr>
          <w:p w14:paraId="602B02D0" w14:textId="77777777" w:rsidR="001F04FD" w:rsidRDefault="001F04FD" w:rsidP="00AC4DEE">
            <w:pPr>
              <w:pStyle w:val="TableBody"/>
            </w:pPr>
            <w:r>
              <w:t>$</w:t>
            </w:r>
          </w:p>
        </w:tc>
        <w:tc>
          <w:tcPr>
            <w:tcW w:w="3585" w:type="pct"/>
          </w:tcPr>
          <w:p w14:paraId="6D17D487" w14:textId="77777777" w:rsidR="001F04FD" w:rsidRDefault="001F04FD" w:rsidP="00AC4DEE">
            <w:pPr>
              <w:pStyle w:val="TableBody"/>
            </w:pPr>
            <w:r>
              <w:rPr>
                <w:i/>
              </w:rPr>
              <w:t>Emergency Energy Amount per QSE per Settlement Point per Resource</w:t>
            </w:r>
            <w:r>
              <w:t xml:space="preserve">—The payment to QSE </w:t>
            </w:r>
            <w:r>
              <w:rPr>
                <w:i/>
              </w:rPr>
              <w:t>q</w:t>
            </w:r>
            <w:r>
              <w:t xml:space="preserve"> as additional compensation for the additional energy 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4C8F7EFA" w14:textId="77777777" w:rsidTr="00AC4DEE">
        <w:trPr>
          <w:cantSplit/>
        </w:trPr>
        <w:tc>
          <w:tcPr>
            <w:tcW w:w="934" w:type="pct"/>
          </w:tcPr>
          <w:p w14:paraId="503284E9" w14:textId="77777777" w:rsidR="001F04FD" w:rsidRDefault="001F04FD" w:rsidP="00AC4DEE">
            <w:pPr>
              <w:pStyle w:val="TableBody"/>
            </w:pPr>
            <w:r>
              <w:lastRenderedPageBreak/>
              <w:t xml:space="preserve">EMREPR </w:t>
            </w:r>
            <w:r w:rsidRPr="00E15B17">
              <w:rPr>
                <w:i/>
                <w:vertAlign w:val="subscript"/>
              </w:rPr>
              <w:t>q, r, p</w:t>
            </w:r>
          </w:p>
        </w:tc>
        <w:tc>
          <w:tcPr>
            <w:tcW w:w="481" w:type="pct"/>
          </w:tcPr>
          <w:p w14:paraId="3D21C9CB" w14:textId="77777777" w:rsidR="001F04FD" w:rsidRDefault="001F04FD" w:rsidP="00AC4DEE">
            <w:pPr>
              <w:pStyle w:val="TableBody"/>
            </w:pPr>
            <w:r>
              <w:t>$/MWh</w:t>
            </w:r>
          </w:p>
        </w:tc>
        <w:tc>
          <w:tcPr>
            <w:tcW w:w="3585" w:type="pct"/>
          </w:tcPr>
          <w:p w14:paraId="544740D8" w14:textId="77777777" w:rsidR="001F04FD" w:rsidRDefault="001F04FD" w:rsidP="00AC4DEE">
            <w:pPr>
              <w:pStyle w:val="TableBody"/>
              <w:rPr>
                <w:i/>
              </w:rPr>
            </w:pPr>
            <w:r>
              <w:rPr>
                <w:i/>
              </w:rPr>
              <w:t>Emergency Energy Price per QSE per Settlement Point per Resource</w:t>
            </w:r>
            <w:r>
              <w:t xml:space="preserve">—The compensation rate for 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42283009" w14:textId="77777777" w:rsidTr="00AC4DEE">
        <w:trPr>
          <w:cantSplit/>
        </w:trPr>
        <w:tc>
          <w:tcPr>
            <w:tcW w:w="934" w:type="pct"/>
          </w:tcPr>
          <w:p w14:paraId="380714DD" w14:textId="77777777" w:rsidR="001F04FD" w:rsidRDefault="001F04FD" w:rsidP="00AC4DEE">
            <w:pPr>
              <w:pStyle w:val="TableBody"/>
            </w:pPr>
            <w:r>
              <w:t xml:space="preserve">EMRE </w:t>
            </w:r>
            <w:r w:rsidRPr="00E15B17">
              <w:rPr>
                <w:i/>
                <w:vertAlign w:val="subscript"/>
              </w:rPr>
              <w:t>q, r, p</w:t>
            </w:r>
          </w:p>
        </w:tc>
        <w:tc>
          <w:tcPr>
            <w:tcW w:w="481" w:type="pct"/>
          </w:tcPr>
          <w:p w14:paraId="02B8262D" w14:textId="77777777" w:rsidR="001F04FD" w:rsidRDefault="001F04FD" w:rsidP="00AC4DEE">
            <w:pPr>
              <w:pStyle w:val="TableBody"/>
            </w:pPr>
            <w:r>
              <w:t>MWh</w:t>
            </w:r>
          </w:p>
        </w:tc>
        <w:tc>
          <w:tcPr>
            <w:tcW w:w="3585" w:type="pct"/>
          </w:tcPr>
          <w:p w14:paraId="6D9D2F30" w14:textId="77777777" w:rsidR="001F04FD" w:rsidRDefault="001F04FD" w:rsidP="00AC4DEE">
            <w:pPr>
              <w:pStyle w:val="TableBody"/>
              <w:rPr>
                <w:i/>
              </w:rPr>
            </w:pPr>
            <w:r>
              <w:rPr>
                <w:i/>
              </w:rPr>
              <w:t>Emergency Energy per QSE per Settlement Point per Resource</w:t>
            </w:r>
            <w:r>
              <w:t xml:space="preserve">—The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765B78A3" w14:textId="77777777" w:rsidTr="00AC4DEE">
        <w:trPr>
          <w:cantSplit/>
        </w:trPr>
        <w:tc>
          <w:tcPr>
            <w:tcW w:w="934" w:type="pct"/>
          </w:tcPr>
          <w:p w14:paraId="1AC7B3E5" w14:textId="77777777" w:rsidR="001F04FD" w:rsidRDefault="001F04FD" w:rsidP="00AC4DEE">
            <w:pPr>
              <w:pStyle w:val="TableBody"/>
            </w:pPr>
            <w:r>
              <w:t xml:space="preserve">EBPWAPR </w:t>
            </w:r>
            <w:r w:rsidRPr="00E15B17">
              <w:rPr>
                <w:i/>
                <w:vertAlign w:val="subscript"/>
              </w:rPr>
              <w:t>q, r, p</w:t>
            </w:r>
          </w:p>
        </w:tc>
        <w:tc>
          <w:tcPr>
            <w:tcW w:w="481" w:type="pct"/>
          </w:tcPr>
          <w:p w14:paraId="7A4D1DDF" w14:textId="77777777" w:rsidR="001F04FD" w:rsidRDefault="001F04FD" w:rsidP="00AC4DEE">
            <w:pPr>
              <w:pStyle w:val="TableBody"/>
            </w:pPr>
            <w:r>
              <w:t>$/MWh</w:t>
            </w:r>
          </w:p>
        </w:tc>
        <w:tc>
          <w:tcPr>
            <w:tcW w:w="3585" w:type="pct"/>
          </w:tcPr>
          <w:p w14:paraId="7B7FF15D" w14:textId="77777777" w:rsidR="001F04FD" w:rsidRDefault="001F04FD" w:rsidP="00AC4DEE">
            <w:pPr>
              <w:pStyle w:val="TableBody"/>
              <w:rPr>
                <w:i/>
              </w:rPr>
            </w:pPr>
            <w:r>
              <w:rPr>
                <w:i/>
              </w:rPr>
              <w:t>Emergency Base Point Weighted Average Price per QSE per Settlement Point per Resource</w:t>
            </w:r>
            <w:r>
              <w:t xml:space="preserve">—The weighted average of the energy prices corresponding with the Emergency Base Points on the Energy Offer Curve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p>
        </w:tc>
      </w:tr>
      <w:tr w:rsidR="001F04FD" w14:paraId="579112F0" w14:textId="77777777" w:rsidTr="00AC4DEE">
        <w:trPr>
          <w:cantSplit/>
        </w:trPr>
        <w:tc>
          <w:tcPr>
            <w:tcW w:w="934" w:type="pct"/>
          </w:tcPr>
          <w:p w14:paraId="2E300F29" w14:textId="77777777" w:rsidR="001F04FD" w:rsidRDefault="001F04FD" w:rsidP="00AC4DEE">
            <w:pPr>
              <w:pStyle w:val="TableBody"/>
            </w:pPr>
            <w:r>
              <w:t xml:space="preserve">BP </w:t>
            </w:r>
            <w:r w:rsidRPr="00E15B17">
              <w:rPr>
                <w:i/>
                <w:vertAlign w:val="subscript"/>
              </w:rPr>
              <w:t>q, r, p</w:t>
            </w:r>
          </w:p>
        </w:tc>
        <w:tc>
          <w:tcPr>
            <w:tcW w:w="481" w:type="pct"/>
          </w:tcPr>
          <w:p w14:paraId="04C25ACF" w14:textId="77777777" w:rsidR="001F04FD" w:rsidRDefault="001F04FD" w:rsidP="00AC4DEE">
            <w:pPr>
              <w:pStyle w:val="TableBody"/>
            </w:pPr>
            <w:r>
              <w:t>MW</w:t>
            </w:r>
          </w:p>
        </w:tc>
        <w:tc>
          <w:tcPr>
            <w:tcW w:w="3585" w:type="pct"/>
          </w:tcPr>
          <w:p w14:paraId="2F22728B" w14:textId="77777777" w:rsidR="001F04FD" w:rsidRDefault="001F04FD" w:rsidP="00AC4DEE">
            <w:pPr>
              <w:pStyle w:val="TableBody"/>
            </w:pPr>
            <w:r>
              <w:rPr>
                <w:i/>
              </w:rPr>
              <w:t>Base Point per QSE per Settlement Point per Resource</w:t>
            </w:r>
            <w:r>
              <w:t xml:space="preserve">—The Base Point of Resource </w:t>
            </w:r>
            <w:r>
              <w:rPr>
                <w:i/>
              </w:rPr>
              <w:t>r</w:t>
            </w:r>
            <w:r>
              <w:t xml:space="preserve"> at Resource Node </w:t>
            </w:r>
            <w:r>
              <w:rPr>
                <w:i/>
              </w:rPr>
              <w:t>p</w:t>
            </w:r>
            <w:r>
              <w:t xml:space="preserve"> represented by QSE </w:t>
            </w:r>
            <w:r>
              <w:rPr>
                <w:i/>
              </w:rPr>
              <w:t>q</w:t>
            </w:r>
            <w:r>
              <w:t xml:space="preserve"> from the SCED prior to the Emergency Condition or Watch.  For a Combined Cycle Train, the Resource </w:t>
            </w:r>
            <w:r w:rsidRPr="007A21D3">
              <w:rPr>
                <w:i/>
              </w:rPr>
              <w:t>r</w:t>
            </w:r>
            <w:r>
              <w:t xml:space="preserve"> must be one of the registered Combined Cycle Generation Resources within the Combined Cycle Train.</w:t>
            </w:r>
          </w:p>
        </w:tc>
      </w:tr>
      <w:tr w:rsidR="001F04FD" w14:paraId="671A1436"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73907639" w14:textId="77777777" w:rsidR="001F04FD" w:rsidRDefault="001F04FD" w:rsidP="00AC4DEE">
            <w:pPr>
              <w:pStyle w:val="TableBody"/>
            </w:pPr>
            <w:r>
              <w:t>AEBP</w:t>
            </w:r>
            <w:r>
              <w:rPr>
                <w:vertAlign w:val="subscript"/>
              </w:rPr>
              <w:t xml:space="preserve"> </w:t>
            </w:r>
            <w:r w:rsidRPr="00E15B17">
              <w:rPr>
                <w:i/>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08145E46" w14:textId="77777777" w:rsidR="001F04FD" w:rsidRDefault="001F04FD" w:rsidP="00AC4DEE">
            <w:pPr>
              <w:pStyle w:val="TableBody"/>
            </w:pPr>
            <w:r>
              <w:t>MWh</w:t>
            </w:r>
          </w:p>
        </w:tc>
        <w:tc>
          <w:tcPr>
            <w:tcW w:w="3585" w:type="pct"/>
            <w:tcBorders>
              <w:top w:val="single" w:sz="4" w:space="0" w:color="auto"/>
              <w:left w:val="single" w:sz="4" w:space="0" w:color="auto"/>
              <w:bottom w:val="single" w:sz="4" w:space="0" w:color="auto"/>
              <w:right w:val="single" w:sz="4" w:space="0" w:color="auto"/>
            </w:tcBorders>
          </w:tcPr>
          <w:p w14:paraId="107156C2" w14:textId="77777777" w:rsidR="001F04FD" w:rsidRPr="00AB43DA" w:rsidRDefault="001F04FD" w:rsidP="00AC4DEE">
            <w:pPr>
              <w:pStyle w:val="TableBody"/>
              <w:rPr>
                <w:i/>
              </w:rPr>
            </w:pPr>
            <w:r w:rsidRPr="00340771">
              <w:rPr>
                <w:i/>
              </w:rPr>
              <w:t>Aggregated Emergency Base Point</w:t>
            </w:r>
            <w:r w:rsidRPr="00340771">
              <w:t>—The Generation Resource’s aggregated Emergency Base Point, for the 15-minute Settlement Interval.</w:t>
            </w:r>
            <w:r>
              <w:t xml:space="preserve">  Where for a Combined Cycle Train, AEBP is calculated for the Combined Cycle Train considering all emergency Dispatch Instructions to any Combined Cycle Generation Resources within the Combined Cycle Train.</w:t>
            </w:r>
          </w:p>
        </w:tc>
      </w:tr>
      <w:tr w:rsidR="001F04FD" w14:paraId="3B0503B7" w14:textId="77777777" w:rsidTr="00AC4DEE">
        <w:trPr>
          <w:cantSplit/>
        </w:trPr>
        <w:tc>
          <w:tcPr>
            <w:tcW w:w="934" w:type="pct"/>
          </w:tcPr>
          <w:p w14:paraId="6E863D3F" w14:textId="77777777" w:rsidR="001F04FD" w:rsidRDefault="001F04FD" w:rsidP="00AC4DEE">
            <w:pPr>
              <w:pStyle w:val="TableBody"/>
            </w:pPr>
            <w:r>
              <w:t xml:space="preserve">EBP </w:t>
            </w:r>
            <w:r w:rsidRPr="00E15B17">
              <w:rPr>
                <w:i/>
                <w:vertAlign w:val="subscript"/>
              </w:rPr>
              <w:t>q, r, p, y</w:t>
            </w:r>
          </w:p>
        </w:tc>
        <w:tc>
          <w:tcPr>
            <w:tcW w:w="481" w:type="pct"/>
          </w:tcPr>
          <w:p w14:paraId="2EE88DBA" w14:textId="77777777" w:rsidR="001F04FD" w:rsidRDefault="001F04FD" w:rsidP="00AC4DEE">
            <w:pPr>
              <w:pStyle w:val="TableBody"/>
            </w:pPr>
            <w:r>
              <w:t>MW</w:t>
            </w:r>
          </w:p>
        </w:tc>
        <w:tc>
          <w:tcPr>
            <w:tcW w:w="3585" w:type="pct"/>
          </w:tcPr>
          <w:p w14:paraId="2A91EB84" w14:textId="77777777" w:rsidR="001F04FD" w:rsidRDefault="001F04FD" w:rsidP="00AC4DEE">
            <w:pPr>
              <w:pStyle w:val="TableBody"/>
            </w:pPr>
            <w:r>
              <w:rPr>
                <w:i/>
              </w:rPr>
              <w:t>Emergency Base Point per QSE per Settlement Point per Resource by interval</w:t>
            </w:r>
            <w:r>
              <w:t xml:space="preserve">—The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If a Base Point instead of an Emergency Base Point is effective during the interval </w:t>
            </w:r>
            <w:r>
              <w:rPr>
                <w:i/>
              </w:rPr>
              <w:t>y</w:t>
            </w:r>
            <w:r>
              <w:t xml:space="preserve">, its value equals the Base Point.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5C1C70D1" w14:textId="77777777" w:rsidTr="00AC4DEE">
        <w:trPr>
          <w:cantSplit/>
        </w:trPr>
        <w:tc>
          <w:tcPr>
            <w:tcW w:w="934" w:type="pct"/>
          </w:tcPr>
          <w:p w14:paraId="4A6C5860" w14:textId="77777777" w:rsidR="001F04FD" w:rsidRDefault="001F04FD" w:rsidP="00AC4DEE">
            <w:pPr>
              <w:pStyle w:val="TableBody"/>
            </w:pPr>
            <w:r>
              <w:lastRenderedPageBreak/>
              <w:t xml:space="preserve">EBPPR </w:t>
            </w:r>
            <w:r w:rsidRPr="00E15B17">
              <w:rPr>
                <w:i/>
                <w:vertAlign w:val="subscript"/>
              </w:rPr>
              <w:t>q, r, p, y</w:t>
            </w:r>
          </w:p>
        </w:tc>
        <w:tc>
          <w:tcPr>
            <w:tcW w:w="481" w:type="pct"/>
          </w:tcPr>
          <w:p w14:paraId="39872CFF" w14:textId="77777777" w:rsidR="001F04FD" w:rsidRDefault="001F04FD" w:rsidP="00AC4DEE">
            <w:pPr>
              <w:pStyle w:val="TableBody"/>
            </w:pPr>
            <w:r>
              <w:t>$/MWh</w:t>
            </w:r>
          </w:p>
        </w:tc>
        <w:tc>
          <w:tcPr>
            <w:tcW w:w="3585" w:type="pct"/>
          </w:tcPr>
          <w:p w14:paraId="7EFE9460" w14:textId="77777777" w:rsidR="00072829" w:rsidRDefault="001F04FD" w:rsidP="00785038">
            <w:pPr>
              <w:pStyle w:val="TableBody"/>
            </w:pPr>
            <w:r>
              <w:rPr>
                <w:i/>
              </w:rPr>
              <w:t>Emergency Base Point Price per QSE per Settlement Point per Resource by interval</w:t>
            </w:r>
            <w:r>
              <w:t xml:space="preserve">—The average incremental energy cost calculated per the Energy Offer Curve, capped by the </w:t>
            </w:r>
            <w:r w:rsidR="00785038">
              <w:t>MOC</w:t>
            </w:r>
            <w:r>
              <w:t xml:space="preserve"> pursuant to Section 4.4.9.4.1, Mitigated Offer Cap, for the output levels between the SCED Base Point immediately before the Emergency Condition or Watch and 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478"/>
            </w:tblGrid>
            <w:tr w:rsidR="00072829" w14:paraId="256EA432" w14:textId="77777777" w:rsidTr="00B327B6">
              <w:trPr>
                <w:trHeight w:val="206"/>
              </w:trPr>
              <w:tc>
                <w:tcPr>
                  <w:tcW w:w="9576" w:type="dxa"/>
                  <w:shd w:val="pct12" w:color="auto" w:fill="auto"/>
                </w:tcPr>
                <w:p w14:paraId="078F23A2" w14:textId="5E6B625E" w:rsidR="00072829" w:rsidRDefault="00072829" w:rsidP="00072829">
                  <w:pPr>
                    <w:pStyle w:val="Instructions"/>
                    <w:spacing w:before="120"/>
                  </w:pPr>
                  <w:r>
                    <w:t>[NPRR1216:  Replace the definition above with the following upon system implementation:]</w:t>
                  </w:r>
                </w:p>
                <w:p w14:paraId="03D1DF42" w14:textId="1F8E25C4" w:rsidR="00072829" w:rsidRPr="00A4149C" w:rsidRDefault="00072829" w:rsidP="00072829">
                  <w:pPr>
                    <w:pStyle w:val="TableBody"/>
                  </w:pPr>
                  <w:r w:rsidRPr="00CF7EAF">
                    <w:rPr>
                      <w:i/>
                    </w:rPr>
                    <w:t>Emergency Base Point Price per QSE per Settlement Point per Resource by interval</w:t>
                  </w:r>
                  <w:r w:rsidRPr="00CF7EAF">
                    <w:t xml:space="preserve">—The average incremental energy cost calculated per the Energy Offer Curve, capped by the MOC pursuant to Section 4.4.9.4.1, Mitigated Offer Cap, and by the SWCAP, for the output levels between the SCED Base Point immediately before the Emergency Condition or Watch and the Emergency Base Point of Resource </w:t>
                  </w:r>
                  <w:r w:rsidRPr="00CF7EAF">
                    <w:rPr>
                      <w:i/>
                    </w:rPr>
                    <w:t>r</w:t>
                  </w:r>
                  <w:r w:rsidRPr="00CF7EAF">
                    <w:t xml:space="preserve"> at Resource Node </w:t>
                  </w:r>
                  <w:r w:rsidRPr="00CF7EAF">
                    <w:rPr>
                      <w:i/>
                    </w:rPr>
                    <w:t>p</w:t>
                  </w:r>
                  <w:r w:rsidRPr="00CF7EAF">
                    <w:t xml:space="preserve"> represented by QSE </w:t>
                  </w:r>
                  <w:r w:rsidRPr="00CF7EAF">
                    <w:rPr>
                      <w:i/>
                    </w:rPr>
                    <w:t>q</w:t>
                  </w:r>
                  <w:r w:rsidRPr="00CF7EAF">
                    <w:t xml:space="preserve"> for the Emergency Base Point interval or SCED interval</w:t>
                  </w:r>
                  <w:r w:rsidRPr="00CF7EAF">
                    <w:rPr>
                      <w:i/>
                    </w:rPr>
                    <w:t xml:space="preserve"> y</w:t>
                  </w:r>
                  <w:r w:rsidRPr="00CF7EAF">
                    <w:t xml:space="preserve">.  Where for a Combined Cycle Train, the Resource </w:t>
                  </w:r>
                  <w:r w:rsidRPr="00CF7EAF">
                    <w:rPr>
                      <w:i/>
                    </w:rPr>
                    <w:t xml:space="preserve">r </w:t>
                  </w:r>
                  <w:r w:rsidRPr="00CF7EAF">
                    <w:t>is a Combined Cycle Generation Resource within the Combined Cycle Train.</w:t>
                  </w:r>
                </w:p>
              </w:tc>
            </w:tr>
          </w:tbl>
          <w:p w14:paraId="11D60F7A" w14:textId="2CFCF2E2" w:rsidR="001F04FD" w:rsidRDefault="001F04FD" w:rsidP="00785038">
            <w:pPr>
              <w:pStyle w:val="TableBody"/>
            </w:pPr>
          </w:p>
        </w:tc>
      </w:tr>
      <w:tr w:rsidR="001F04FD" w14:paraId="56958E48" w14:textId="77777777" w:rsidTr="00AC4DEE">
        <w:trPr>
          <w:cantSplit/>
        </w:trPr>
        <w:tc>
          <w:tcPr>
            <w:tcW w:w="934" w:type="pct"/>
          </w:tcPr>
          <w:p w14:paraId="4A20F64A" w14:textId="77777777" w:rsidR="001F04FD" w:rsidRDefault="001F04FD" w:rsidP="00AC4DEE">
            <w:pPr>
              <w:pStyle w:val="TableBody"/>
            </w:pPr>
            <w:r>
              <w:t>RTSPP</w:t>
            </w:r>
            <w:r w:rsidRPr="00E15B17">
              <w:rPr>
                <w:i/>
              </w:rPr>
              <w:t xml:space="preserve"> </w:t>
            </w:r>
            <w:r w:rsidRPr="00E15B17">
              <w:rPr>
                <w:i/>
                <w:vertAlign w:val="subscript"/>
              </w:rPr>
              <w:t>p</w:t>
            </w:r>
          </w:p>
        </w:tc>
        <w:tc>
          <w:tcPr>
            <w:tcW w:w="481" w:type="pct"/>
          </w:tcPr>
          <w:p w14:paraId="6D955217" w14:textId="77777777" w:rsidR="001F04FD" w:rsidRDefault="001F04FD" w:rsidP="00AC4DEE">
            <w:pPr>
              <w:pStyle w:val="TableBody"/>
            </w:pPr>
            <w:r>
              <w:t>$/MWh</w:t>
            </w:r>
          </w:p>
        </w:tc>
        <w:tc>
          <w:tcPr>
            <w:tcW w:w="3585" w:type="pct"/>
          </w:tcPr>
          <w:p w14:paraId="147B3B10"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2AC1A6A2" w14:textId="77777777" w:rsidTr="00AC4DEE">
        <w:trPr>
          <w:cantSplit/>
        </w:trPr>
        <w:tc>
          <w:tcPr>
            <w:tcW w:w="934" w:type="pct"/>
          </w:tcPr>
          <w:p w14:paraId="42804635" w14:textId="77777777" w:rsidR="001F04FD" w:rsidRDefault="001F04FD" w:rsidP="00AC4DEE">
            <w:pPr>
              <w:pStyle w:val="TableBody"/>
            </w:pPr>
            <w:r>
              <w:t xml:space="preserve">RTMG </w:t>
            </w:r>
            <w:r w:rsidRPr="00E15B17">
              <w:rPr>
                <w:i/>
                <w:vertAlign w:val="subscript"/>
              </w:rPr>
              <w:t>q, r, p</w:t>
            </w:r>
          </w:p>
        </w:tc>
        <w:tc>
          <w:tcPr>
            <w:tcW w:w="481" w:type="pct"/>
          </w:tcPr>
          <w:p w14:paraId="4E12483A" w14:textId="77777777" w:rsidR="001F04FD" w:rsidRDefault="001F04FD" w:rsidP="00AC4DEE">
            <w:pPr>
              <w:pStyle w:val="TableBody"/>
            </w:pPr>
            <w:r>
              <w:t>MWh</w:t>
            </w:r>
          </w:p>
        </w:tc>
        <w:tc>
          <w:tcPr>
            <w:tcW w:w="3585" w:type="pct"/>
          </w:tcPr>
          <w:p w14:paraId="2E69C545" w14:textId="77777777" w:rsidR="001F04FD" w:rsidRDefault="001F04FD" w:rsidP="00AC4DEE">
            <w:pPr>
              <w:pStyle w:val="TableBody"/>
            </w:pPr>
            <w:r>
              <w:rPr>
                <w:i/>
              </w:rPr>
              <w:t>Real-Time Metered Generation per QSE per Settlement Point per Resource</w:t>
            </w:r>
            <w:r>
              <w:t xml:space="preserve">—The metered generation of Resource </w:t>
            </w:r>
            <w:r>
              <w:rPr>
                <w:i/>
              </w:rPr>
              <w:t>r</w:t>
            </w:r>
            <w:r>
              <w:t xml:space="preserve"> at Resource Node </w:t>
            </w:r>
            <w:r>
              <w:rPr>
                <w:i/>
              </w:rPr>
              <w:t>p</w:t>
            </w:r>
            <w:r>
              <w:t xml:space="preserve"> represented by QSE </w:t>
            </w:r>
            <w:r>
              <w:rPr>
                <w:i/>
              </w:rPr>
              <w:t>q</w:t>
            </w:r>
            <w:r>
              <w:t xml:space="preserve"> in Real-Time for the 15-minute Settlement Interval.  Where for a Combined Cycle Train, the Resource </w:t>
            </w:r>
            <w:r w:rsidRPr="00B34C5D">
              <w:rPr>
                <w:i/>
              </w:rPr>
              <w:t>r</w:t>
            </w:r>
            <w:r>
              <w:rPr>
                <w:i/>
              </w:rPr>
              <w:t xml:space="preserve"> </w:t>
            </w:r>
            <w:r>
              <w:t>is the Combined Cycle Train.</w:t>
            </w:r>
          </w:p>
        </w:tc>
      </w:tr>
      <w:tr w:rsidR="001F04FD" w14:paraId="01D5BACB"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62226207" w14:textId="77777777" w:rsidR="001F04FD" w:rsidRDefault="001F04FD" w:rsidP="00AC4DEE">
            <w:pPr>
              <w:pStyle w:val="TableBody"/>
            </w:pPr>
            <w:r>
              <w:t xml:space="preserve">TLMP </w:t>
            </w:r>
            <w:r w:rsidRPr="00E15B17">
              <w:rPr>
                <w:i/>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5C1783D4" w14:textId="77777777" w:rsidR="001F04FD" w:rsidRDefault="001F04FD" w:rsidP="00AC4DEE">
            <w:pPr>
              <w:pStyle w:val="TableBody"/>
            </w:pPr>
            <w:r>
              <w:t>second</w:t>
            </w:r>
          </w:p>
        </w:tc>
        <w:tc>
          <w:tcPr>
            <w:tcW w:w="3585" w:type="pct"/>
            <w:tcBorders>
              <w:top w:val="single" w:sz="4" w:space="0" w:color="auto"/>
              <w:left w:val="single" w:sz="4" w:space="0" w:color="auto"/>
              <w:bottom w:val="single" w:sz="4" w:space="0" w:color="auto"/>
              <w:right w:val="single" w:sz="4" w:space="0" w:color="auto"/>
            </w:tcBorders>
          </w:tcPr>
          <w:p w14:paraId="0D293B54" w14:textId="77777777" w:rsidR="001F04FD" w:rsidRDefault="001F04FD" w:rsidP="00AC4DEE">
            <w:pPr>
              <w:pStyle w:val="TableBody"/>
            </w:pPr>
            <w:r>
              <w:rPr>
                <w:i/>
                <w:iCs w:val="0"/>
              </w:rPr>
              <w:t>Duration of Emergency Base Point interval or SCED interval per interval</w:t>
            </w:r>
            <w:r>
              <w:t xml:space="preserve">—The duration of the portion of the Emergency Base Point interval or SCED interval </w:t>
            </w:r>
            <w:r>
              <w:rPr>
                <w:i/>
              </w:rPr>
              <w:t>y</w:t>
            </w:r>
            <w:r>
              <w:t xml:space="preserve"> </w:t>
            </w:r>
            <w:r>
              <w:rPr>
                <w:iCs w:val="0"/>
              </w:rPr>
              <w:t>within the 15-minute Settlement Interval</w:t>
            </w:r>
            <w:r>
              <w:t>.</w:t>
            </w:r>
          </w:p>
        </w:tc>
      </w:tr>
      <w:tr w:rsidR="001F04FD" w14:paraId="2E853138"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7F6BB6D7" w14:textId="77777777" w:rsidR="001F04FD" w:rsidRPr="00CE0FC9" w:rsidRDefault="001F04FD" w:rsidP="00AC4DEE">
            <w:pPr>
              <w:pStyle w:val="TableBody"/>
              <w:rPr>
                <w:i/>
              </w:rPr>
            </w:pPr>
            <w:r w:rsidRPr="00D661BC">
              <w:rPr>
                <w:i/>
              </w:rPr>
              <w:t>q</w:t>
            </w:r>
          </w:p>
        </w:tc>
        <w:tc>
          <w:tcPr>
            <w:tcW w:w="481" w:type="pct"/>
            <w:tcBorders>
              <w:top w:val="single" w:sz="4" w:space="0" w:color="auto"/>
              <w:left w:val="single" w:sz="4" w:space="0" w:color="auto"/>
              <w:bottom w:val="single" w:sz="4" w:space="0" w:color="auto"/>
              <w:right w:val="single" w:sz="4" w:space="0" w:color="auto"/>
            </w:tcBorders>
          </w:tcPr>
          <w:p w14:paraId="62523FAE"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861E46F" w14:textId="77777777" w:rsidR="001F04FD" w:rsidRDefault="001F04FD" w:rsidP="00AC4DEE">
            <w:pPr>
              <w:pStyle w:val="TableBody"/>
            </w:pPr>
            <w:r>
              <w:t>A QSE.</w:t>
            </w:r>
          </w:p>
        </w:tc>
      </w:tr>
      <w:tr w:rsidR="001F04FD" w14:paraId="17303399"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46BE0257" w14:textId="77777777" w:rsidR="001F04FD" w:rsidRPr="00CE0FC9" w:rsidRDefault="001F04FD" w:rsidP="00AC4DEE">
            <w:pPr>
              <w:pStyle w:val="TableBody"/>
              <w:rPr>
                <w:i/>
              </w:rPr>
            </w:pPr>
            <w:r w:rsidRPr="00D661BC">
              <w:rPr>
                <w:i/>
              </w:rPr>
              <w:t>p</w:t>
            </w:r>
          </w:p>
        </w:tc>
        <w:tc>
          <w:tcPr>
            <w:tcW w:w="481" w:type="pct"/>
            <w:tcBorders>
              <w:top w:val="single" w:sz="4" w:space="0" w:color="auto"/>
              <w:left w:val="single" w:sz="4" w:space="0" w:color="auto"/>
              <w:bottom w:val="single" w:sz="4" w:space="0" w:color="auto"/>
              <w:right w:val="single" w:sz="4" w:space="0" w:color="auto"/>
            </w:tcBorders>
          </w:tcPr>
          <w:p w14:paraId="026CAB03"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1DE938AE" w14:textId="77777777" w:rsidR="001F04FD" w:rsidRDefault="001F04FD" w:rsidP="00AC4DEE">
            <w:pPr>
              <w:pStyle w:val="TableBody"/>
            </w:pPr>
            <w:r>
              <w:t>A Resource Node Settlement Point.</w:t>
            </w:r>
          </w:p>
        </w:tc>
      </w:tr>
      <w:tr w:rsidR="001F04FD" w14:paraId="46C51296"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2F382A88" w14:textId="77777777" w:rsidR="001F04FD" w:rsidRPr="00CE0FC9" w:rsidRDefault="001F04FD" w:rsidP="00AC4DEE">
            <w:pPr>
              <w:pStyle w:val="TableBody"/>
              <w:rPr>
                <w:i/>
              </w:rPr>
            </w:pPr>
            <w:r w:rsidRPr="00D661BC">
              <w:rPr>
                <w:i/>
              </w:rPr>
              <w:t>r</w:t>
            </w:r>
          </w:p>
        </w:tc>
        <w:tc>
          <w:tcPr>
            <w:tcW w:w="481" w:type="pct"/>
            <w:tcBorders>
              <w:top w:val="single" w:sz="4" w:space="0" w:color="auto"/>
              <w:left w:val="single" w:sz="4" w:space="0" w:color="auto"/>
              <w:bottom w:val="single" w:sz="4" w:space="0" w:color="auto"/>
              <w:right w:val="single" w:sz="4" w:space="0" w:color="auto"/>
            </w:tcBorders>
          </w:tcPr>
          <w:p w14:paraId="18C474DB"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43C3BA0B" w14:textId="77777777" w:rsidR="001F04FD" w:rsidRDefault="001F04FD" w:rsidP="00AC4DEE">
            <w:pPr>
              <w:pStyle w:val="TableBody"/>
            </w:pPr>
            <w:r>
              <w:t>A Generation Resource.</w:t>
            </w:r>
          </w:p>
        </w:tc>
      </w:tr>
      <w:tr w:rsidR="001F04FD" w14:paraId="296D621A"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1166CF20" w14:textId="77777777" w:rsidR="001F04FD" w:rsidRPr="00CE0FC9" w:rsidRDefault="001F04FD" w:rsidP="00AC4DEE">
            <w:pPr>
              <w:pStyle w:val="TableBody"/>
              <w:rPr>
                <w:i/>
              </w:rPr>
            </w:pPr>
            <w:r w:rsidRPr="00D661BC">
              <w:rPr>
                <w:i/>
              </w:rPr>
              <w:t>y</w:t>
            </w:r>
          </w:p>
        </w:tc>
        <w:tc>
          <w:tcPr>
            <w:tcW w:w="481" w:type="pct"/>
            <w:tcBorders>
              <w:top w:val="single" w:sz="4" w:space="0" w:color="auto"/>
              <w:left w:val="single" w:sz="4" w:space="0" w:color="auto"/>
              <w:bottom w:val="single" w:sz="4" w:space="0" w:color="auto"/>
              <w:right w:val="single" w:sz="4" w:space="0" w:color="auto"/>
            </w:tcBorders>
          </w:tcPr>
          <w:p w14:paraId="3024AECE"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A52E6D0" w14:textId="77777777" w:rsidR="001F04FD" w:rsidRDefault="001F04FD" w:rsidP="00AC4DEE">
            <w:pPr>
              <w:pStyle w:val="TableBody"/>
            </w:pPr>
            <w:r>
              <w:t>An Emergency Base Point interval or SCED interval that overlaps the 15-minute Settlement Interval.</w:t>
            </w:r>
          </w:p>
        </w:tc>
      </w:tr>
      <w:tr w:rsidR="001F04FD" w14:paraId="480E85FD"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64593D2F" w14:textId="77777777" w:rsidR="001F04FD" w:rsidRDefault="001F04FD" w:rsidP="00AC4DEE">
            <w:pPr>
              <w:pStyle w:val="TableBody"/>
            </w:pPr>
            <w:r>
              <w:t>3600</w:t>
            </w:r>
          </w:p>
        </w:tc>
        <w:tc>
          <w:tcPr>
            <w:tcW w:w="481" w:type="pct"/>
            <w:tcBorders>
              <w:top w:val="single" w:sz="4" w:space="0" w:color="auto"/>
              <w:left w:val="single" w:sz="4" w:space="0" w:color="auto"/>
              <w:bottom w:val="single" w:sz="4" w:space="0" w:color="auto"/>
              <w:right w:val="single" w:sz="4" w:space="0" w:color="auto"/>
            </w:tcBorders>
          </w:tcPr>
          <w:p w14:paraId="4E8D27B0"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18386F32" w14:textId="77777777" w:rsidR="001F04FD" w:rsidRDefault="001F04FD" w:rsidP="00AC4DEE">
            <w:pPr>
              <w:pStyle w:val="TableBody"/>
            </w:pPr>
            <w:r>
              <w:t>The number of seconds in one hour.</w:t>
            </w:r>
          </w:p>
        </w:tc>
      </w:tr>
    </w:tbl>
    <w:p w14:paraId="703716EB" w14:textId="77777777" w:rsidR="001F04FD" w:rsidRDefault="001F04FD" w:rsidP="001F04FD"/>
    <w:p w14:paraId="0C7737AD" w14:textId="77777777" w:rsidR="001F04FD" w:rsidRDefault="001F04FD" w:rsidP="001F04FD">
      <w:pPr>
        <w:pStyle w:val="BodyTextNumbered"/>
      </w:pPr>
      <w:bookmarkStart w:id="2551" w:name="_Toc109009420"/>
      <w:bookmarkStart w:id="2552" w:name="_Toc87951816"/>
      <w:r>
        <w:t>(2)</w:t>
      </w:r>
      <w:r>
        <w:tab/>
        <w:t xml:space="preserve">The extension of the Energy Offer Curve is used to calculate the Emergency Base Point Price.  If the Emergency Base Point MW value is greater than the largest MW value on the Energy Offer Curve submitted by the QSE for the Resource, then the Energy Offer Curve is extended to the Emergency Base Point MW value with a $/MWh value that is the </w:t>
      </w:r>
      <w:r w:rsidR="00785038">
        <w:t>MOC</w:t>
      </w:r>
      <w:r>
        <w:t xml:space="preserve"> (pursuant to Section 4.4.9.4.1) for the highest MW output on the Energy Offer Curve submitted by the QSE for the Resource.</w:t>
      </w:r>
    </w:p>
    <w:p w14:paraId="549F9687" w14:textId="4787B23D" w:rsidR="001F04FD" w:rsidRDefault="00A94020" w:rsidP="001F04FD">
      <w:pPr>
        <w:pStyle w:val="BodyTextNumbered"/>
      </w:pPr>
      <w:r>
        <w:rPr>
          <w:noProof/>
        </w:rPr>
        <w:lastRenderedPageBreak/>
        <mc:AlternateContent>
          <mc:Choice Requires="wpc">
            <w:drawing>
              <wp:anchor distT="0" distB="0" distL="114300" distR="114300" simplePos="0" relativeHeight="251650048" behindDoc="0" locked="0" layoutInCell="1" allowOverlap="1" wp14:anchorId="59D02693" wp14:editId="7716FA27">
                <wp:simplePos x="0" y="0"/>
                <wp:positionH relativeFrom="character">
                  <wp:posOffset>0</wp:posOffset>
                </wp:positionH>
                <wp:positionV relativeFrom="line">
                  <wp:posOffset>0</wp:posOffset>
                </wp:positionV>
                <wp:extent cx="6217285" cy="2820670"/>
                <wp:effectExtent l="0" t="0" r="2540" b="0"/>
                <wp:wrapNone/>
                <wp:docPr id="2005" name="Canvas 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 name="Line 30"/>
                        <wps:cNvCnPr>
                          <a:cxnSpLocks noChangeShapeType="1"/>
                        </wps:cNvCnPr>
                        <wps:spPr bwMode="auto">
                          <a:xfrm>
                            <a:off x="408706" y="2402260"/>
                            <a:ext cx="41646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31"/>
                        <wps:cNvCnPr>
                          <a:cxnSpLocks noChangeShapeType="1"/>
                        </wps:cNvCnPr>
                        <wps:spPr bwMode="auto">
                          <a:xfrm>
                            <a:off x="1835125" y="1717743"/>
                            <a:ext cx="0" cy="684517"/>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5" name="Line 32"/>
                        <wps:cNvCnPr>
                          <a:cxnSpLocks noChangeShapeType="1"/>
                        </wps:cNvCnPr>
                        <wps:spPr bwMode="auto">
                          <a:xfrm>
                            <a:off x="3280445" y="1109428"/>
                            <a:ext cx="0" cy="129453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6" name="Line 33"/>
                        <wps:cNvCnPr>
                          <a:cxnSpLocks noChangeShapeType="1"/>
                        </wps:cNvCnPr>
                        <wps:spPr bwMode="auto">
                          <a:xfrm flipH="1" flipV="1">
                            <a:off x="430906" y="1824245"/>
                            <a:ext cx="92211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7" name="Line 34"/>
                        <wps:cNvCnPr>
                          <a:cxnSpLocks noChangeShapeType="1"/>
                        </wps:cNvCnPr>
                        <wps:spPr bwMode="auto">
                          <a:xfrm flipH="1" flipV="1">
                            <a:off x="430906" y="1710442"/>
                            <a:ext cx="1404219"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8" name="Line 35"/>
                        <wps:cNvCnPr>
                          <a:cxnSpLocks noChangeShapeType="1"/>
                        </wps:cNvCnPr>
                        <wps:spPr bwMode="auto">
                          <a:xfrm flipH="1">
                            <a:off x="442506" y="1109428"/>
                            <a:ext cx="2814838"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9" name="Line 36"/>
                        <wps:cNvCnPr>
                          <a:cxnSpLocks noChangeShapeType="1"/>
                        </wps:cNvCnPr>
                        <wps:spPr bwMode="auto">
                          <a:xfrm>
                            <a:off x="430906" y="112903"/>
                            <a:ext cx="0" cy="2282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Text Box 37"/>
                        <wps:cNvSpPr txBox="1">
                          <a:spLocks noChangeArrowheads="1"/>
                        </wps:cNvSpPr>
                        <wps:spPr bwMode="auto">
                          <a:xfrm>
                            <a:off x="819911" y="2478462"/>
                            <a:ext cx="4826366" cy="34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18858"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242" name="Line 38"/>
                        <wps:cNvCnPr>
                          <a:cxnSpLocks noChangeShapeType="1"/>
                        </wps:cNvCnPr>
                        <wps:spPr bwMode="auto">
                          <a:xfrm>
                            <a:off x="2519834" y="1423035"/>
                            <a:ext cx="0" cy="989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 name="Line 39"/>
                        <wps:cNvCnPr>
                          <a:cxnSpLocks noChangeShapeType="1"/>
                        </wps:cNvCnPr>
                        <wps:spPr bwMode="auto">
                          <a:xfrm flipV="1">
                            <a:off x="2519834" y="1109428"/>
                            <a:ext cx="760610" cy="3185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8" name="Line 40"/>
                        <wps:cNvCnPr>
                          <a:cxnSpLocks noChangeShapeType="1"/>
                        </wps:cNvCnPr>
                        <wps:spPr bwMode="auto">
                          <a:xfrm>
                            <a:off x="3280445" y="1109428"/>
                            <a:ext cx="6090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7" name="Line 41"/>
                        <wps:cNvCnPr>
                          <a:cxnSpLocks noChangeShapeType="1"/>
                        </wps:cNvCnPr>
                        <wps:spPr bwMode="auto">
                          <a:xfrm>
                            <a:off x="3889453" y="1109428"/>
                            <a:ext cx="0" cy="12945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 name="Line 42"/>
                        <wps:cNvCnPr>
                          <a:cxnSpLocks noChangeShapeType="1"/>
                        </wps:cNvCnPr>
                        <wps:spPr bwMode="auto">
                          <a:xfrm>
                            <a:off x="2519834" y="2402260"/>
                            <a:ext cx="13696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3" name="Text Box 43"/>
                        <wps:cNvSpPr txBox="1">
                          <a:spLocks noChangeArrowheads="1"/>
                        </wps:cNvSpPr>
                        <wps:spPr bwMode="auto">
                          <a:xfrm>
                            <a:off x="0" y="0"/>
                            <a:ext cx="430906" cy="2395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A90E0" w14:textId="77777777" w:rsidR="00847E53" w:rsidRDefault="00847E53" w:rsidP="001F04FD">
                              <w:pPr>
                                <w:autoSpaceDE w:val="0"/>
                                <w:autoSpaceDN w:val="0"/>
                                <w:adjustRightInd w:val="0"/>
                                <w:jc w:val="center"/>
                                <w:rPr>
                                  <w:rFonts w:ascii="Arial" w:hAnsi="Arial" w:cs="Arial"/>
                                  <w:color w:val="000000"/>
                                </w:rPr>
                              </w:pPr>
                            </w:p>
                            <w:p w14:paraId="0CB4C99B"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w:t>
                              </w:r>
                            </w:p>
                            <w:p w14:paraId="0EA6E5D3"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MWh</w:t>
                              </w:r>
                            </w:p>
                            <w:p w14:paraId="33CB9111" w14:textId="77777777" w:rsidR="00847E53" w:rsidRDefault="00847E53" w:rsidP="001F04FD">
                              <w:pPr>
                                <w:autoSpaceDE w:val="0"/>
                                <w:autoSpaceDN w:val="0"/>
                                <w:adjustRightInd w:val="0"/>
                                <w:jc w:val="center"/>
                                <w:rPr>
                                  <w:rFonts w:ascii="Arial" w:hAnsi="Arial" w:cs="Arial"/>
                                  <w:color w:val="000000"/>
                                </w:rPr>
                              </w:pPr>
                            </w:p>
                            <w:p w14:paraId="2389029C" w14:textId="77777777" w:rsidR="00847E53" w:rsidRDefault="00847E53" w:rsidP="001F04FD">
                              <w:pPr>
                                <w:autoSpaceDE w:val="0"/>
                                <w:autoSpaceDN w:val="0"/>
                                <w:adjustRightInd w:val="0"/>
                                <w:jc w:val="center"/>
                                <w:rPr>
                                  <w:rFonts w:ascii="Arial" w:hAnsi="Arial" w:cs="Arial"/>
                                  <w:color w:val="000000"/>
                                </w:rPr>
                              </w:pPr>
                            </w:p>
                            <w:p w14:paraId="5A35CE72"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D3DD8F5" w14:textId="77777777" w:rsidR="00847E53" w:rsidRDefault="00847E53" w:rsidP="001F04FD">
                              <w:pPr>
                                <w:autoSpaceDE w:val="0"/>
                                <w:autoSpaceDN w:val="0"/>
                                <w:adjustRightInd w:val="0"/>
                                <w:jc w:val="center"/>
                                <w:rPr>
                                  <w:rFonts w:ascii="Arial" w:hAnsi="Arial" w:cs="Arial"/>
                                  <w:color w:val="000000"/>
                                </w:rPr>
                              </w:pPr>
                            </w:p>
                            <w:p w14:paraId="28B91E46" w14:textId="77777777" w:rsidR="00847E53" w:rsidRDefault="00847E53" w:rsidP="001F04FD">
                              <w:pPr>
                                <w:autoSpaceDE w:val="0"/>
                                <w:autoSpaceDN w:val="0"/>
                                <w:adjustRightInd w:val="0"/>
                                <w:jc w:val="center"/>
                                <w:rPr>
                                  <w:rFonts w:ascii="Arial" w:hAnsi="Arial" w:cs="Arial"/>
                                  <w:color w:val="000000"/>
                                </w:rPr>
                              </w:pPr>
                            </w:p>
                            <w:p w14:paraId="60CB3327" w14:textId="77777777" w:rsidR="00847E53" w:rsidRDefault="00847E53" w:rsidP="001F04FD">
                              <w:pPr>
                                <w:autoSpaceDE w:val="0"/>
                                <w:autoSpaceDN w:val="0"/>
                                <w:adjustRightInd w:val="0"/>
                                <w:jc w:val="center"/>
                                <w:rPr>
                                  <w:rFonts w:ascii="Arial" w:hAnsi="Arial" w:cs="Arial"/>
                                  <w:color w:val="000000"/>
                                </w:rPr>
                              </w:pPr>
                            </w:p>
                            <w:p w14:paraId="6E764332"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49FCC1CF"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32" name="Text Box 44"/>
                        <wps:cNvSpPr txBox="1">
                          <a:spLocks noChangeArrowheads="1"/>
                        </wps:cNvSpPr>
                        <wps:spPr bwMode="auto">
                          <a:xfrm>
                            <a:off x="3965254" y="1599840"/>
                            <a:ext cx="2252031" cy="650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C43F5" w14:textId="77777777" w:rsidR="00847E53" w:rsidRDefault="00847E53"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307E54D"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33" name="Line 45"/>
                        <wps:cNvCnPr>
                          <a:cxnSpLocks noChangeShapeType="1"/>
                        </wps:cNvCnPr>
                        <wps:spPr bwMode="auto">
                          <a:xfrm flipV="1">
                            <a:off x="1835125" y="1109428"/>
                            <a:ext cx="1445320" cy="60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46"/>
                        <wps:cNvCnPr>
                          <a:cxnSpLocks noChangeShapeType="1"/>
                        </wps:cNvCnPr>
                        <wps:spPr bwMode="auto">
                          <a:xfrm flipV="1">
                            <a:off x="1378519" y="1717743"/>
                            <a:ext cx="456606" cy="98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47"/>
                        <wps:cNvCnPr>
                          <a:cxnSpLocks noChangeShapeType="1"/>
                        </wps:cNvCnPr>
                        <wps:spPr bwMode="auto">
                          <a:xfrm>
                            <a:off x="1378519" y="1816045"/>
                            <a:ext cx="0" cy="5862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 name="Line 48"/>
                        <wps:cNvCnPr>
                          <a:cxnSpLocks noChangeShapeType="1"/>
                        </wps:cNvCnPr>
                        <wps:spPr bwMode="auto">
                          <a:xfrm flipH="1" flipV="1">
                            <a:off x="423506" y="1337033"/>
                            <a:ext cx="4114456"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 name="Line 49"/>
                        <wps:cNvCnPr>
                          <a:cxnSpLocks noChangeShapeType="1"/>
                        </wps:cNvCnPr>
                        <wps:spPr bwMode="auto">
                          <a:xfrm flipH="1">
                            <a:off x="4269258" y="957124"/>
                            <a:ext cx="152502" cy="37990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 name="Text Box 50"/>
                        <wps:cNvSpPr txBox="1">
                          <a:spLocks noChangeArrowheads="1"/>
                        </wps:cNvSpPr>
                        <wps:spPr bwMode="auto">
                          <a:xfrm>
                            <a:off x="3736951" y="728718"/>
                            <a:ext cx="1597022" cy="22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B3956"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39" name="Line 51"/>
                        <wps:cNvCnPr>
                          <a:cxnSpLocks noChangeShapeType="1"/>
                        </wps:cNvCnPr>
                        <wps:spPr bwMode="auto">
                          <a:xfrm>
                            <a:off x="3052142" y="652516"/>
                            <a:ext cx="456606" cy="45691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0" name="Text Box 52"/>
                        <wps:cNvSpPr txBox="1">
                          <a:spLocks noChangeArrowheads="1"/>
                        </wps:cNvSpPr>
                        <wps:spPr bwMode="auto">
                          <a:xfrm>
                            <a:off x="1989227" y="228406"/>
                            <a:ext cx="1792225" cy="41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5FA9F"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9D02693" id="Canvas 69" o:spid="_x0000_s1576" editas="canvas" style="position:absolute;margin-left:0;margin-top:0;width:489.55pt;height:222.1pt;z-index:251650048;mso-position-horizontal-relative:char;mso-position-vertical-relative:line" coordsize="62172,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">
                <v:shape id="_x0000_s1577" type="#_x0000_t75" style="position:absolute;width:62172;height:28206;visibility:visible;mso-wrap-style:square">
                  <v:fill o:detectmouseclick="t"/>
                  <v:path o:connecttype="none"/>
                </v:shape>
                <v:line id="Line 30" o:spid="_x0000_s1578" style="position:absolute;visibility:visible;mso-wrap-style:square" from="4087,24022" to="45733,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31" o:spid="_x0000_s1579" style="position:absolute;visibility:visible;mso-wrap-style:square" from="18351,17177" to="18351,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" strokeweight=".5pt">
                  <v:stroke dashstyle="longDash"/>
                </v:line>
                <v:line id="Line 32" o:spid="_x0000_s1580" style="position:absolute;visibility:visible;mso-wrap-style:square" from="32804,11094" to="32804,2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" strokeweight=".5pt">
                  <v:stroke dashstyle="longDash"/>
                </v:line>
                <v:line id="Line 33" o:spid="_x0000_s1581" style="position:absolute;flip:x y;visibility:visible;mso-wrap-style:square" from="4309,18242" to="13530,1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" strokeweight=".5pt">
                  <v:stroke dashstyle="longDash"/>
                </v:line>
                <v:line id="Line 34" o:spid="_x0000_s1582" style="position:absolute;flip:x y;visibility:visible;mso-wrap-style:square" from="4309,17104" to="18351,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" strokeweight=".5pt">
                  <v:stroke dashstyle="longDash"/>
                </v:line>
                <v:line id="Line 35" o:spid="_x0000_s1583" style="position:absolute;flip:x;visibility:visible;mso-wrap-style:square" from="4425,11094" to="32573,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" strokeweight=".5pt">
                  <v:stroke dashstyle="longDash"/>
                </v:line>
                <v:line id="Line 36" o:spid="_x0000_s1584" style="position:absolute;visibility:visible;mso-wrap-style:square" from="4309,1129" to="4309,2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shapetype id="_x0000_t202" coordsize="21600,21600" o:spt="202" path="m,l,21600r21600,l21600,xe">
                  <v:stroke joinstyle="miter"/>
                  <v:path gradientshapeok="t" o:connecttype="rect"/>
                </v:shapetype>
                <v:shape id="Text Box 37" o:spid="_x0000_s1585" type="#_x0000_t202" style="position:absolute;left:8199;top:24784;width:48263;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" filled="f" stroked="f">
                  <v:textbox inset=",,,0">
                    <w:txbxContent>
                      <w:p w14:paraId="31718858"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38" o:spid="_x0000_s1586" style="position:absolute;visibility:visible;mso-wrap-style:square" from="25198,14230" to="25198,2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seEwwAAANwAAAAPAAAAZHJzL2Rvd25yZXYueG1sRI9Ba8JA&#10;FITvBf/D8gRvzcZg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tqLHhMMAAADcAAAADwAA&#10;AAAAAAAAAAAAAAAHAgAAZHJzL2Rvd25yZXYueG1sUEsFBgAAAAADAAMAtwAAAPcCAAAAAA==&#10;" strokeweight="2pt"/>
                <v:line id="Line 39" o:spid="_x0000_s1587" style="position:absolute;flip:y;visibility:visible;mso-wrap-style:square" from="25198,11094" to="32804,1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" strokeweight="2pt"/>
                <v:line id="Line 40" o:spid="_x0000_s1588" style="position:absolute;visibility:visible;mso-wrap-style:square" from="32804,11094" to="38894,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" strokeweight="2pt"/>
                <v:line id="Line 41" o:spid="_x0000_s1589" style="position:absolute;visibility:visible;mso-wrap-style:square" from="38894,11094" to="38894,2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" strokeweight="2pt"/>
                <v:line id="Line 42" o:spid="_x0000_s1590" style="position:absolute;visibility:visible;mso-wrap-style:square" from="25198,24022" to="38894,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DWxAAAANwAAAAPAAAAZHJzL2Rvd25yZXYueG1sRI9Ba8JA&#10;FITvQv/D8gq96aah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JhrMNbEAAAA3AAAAA8A&#10;AAAAAAAAAAAAAAAABwIAAGRycy9kb3ducmV2LnhtbFBLBQYAAAAAAwADALcAAAD4AgAAAAA=&#10;" strokeweight="2pt"/>
                <v:shape id="Text Box 43" o:spid="_x0000_s1591" type="#_x0000_t202" style="position:absolute;width:4309;height:2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" filled="f" stroked="f">
                  <v:textbox inset="0,,0">
                    <w:txbxContent>
                      <w:p w14:paraId="689A90E0" w14:textId="77777777" w:rsidR="00847E53" w:rsidRDefault="00847E53" w:rsidP="001F04FD">
                        <w:pPr>
                          <w:autoSpaceDE w:val="0"/>
                          <w:autoSpaceDN w:val="0"/>
                          <w:adjustRightInd w:val="0"/>
                          <w:jc w:val="center"/>
                          <w:rPr>
                            <w:rFonts w:ascii="Arial" w:hAnsi="Arial" w:cs="Arial"/>
                            <w:color w:val="000000"/>
                          </w:rPr>
                        </w:pPr>
                      </w:p>
                      <w:p w14:paraId="0CB4C99B"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w:t>
                        </w:r>
                      </w:p>
                      <w:p w14:paraId="0EA6E5D3"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MWh</w:t>
                        </w:r>
                      </w:p>
                      <w:p w14:paraId="33CB9111" w14:textId="77777777" w:rsidR="00847E53" w:rsidRDefault="00847E53" w:rsidP="001F04FD">
                        <w:pPr>
                          <w:autoSpaceDE w:val="0"/>
                          <w:autoSpaceDN w:val="0"/>
                          <w:adjustRightInd w:val="0"/>
                          <w:jc w:val="center"/>
                          <w:rPr>
                            <w:rFonts w:ascii="Arial" w:hAnsi="Arial" w:cs="Arial"/>
                            <w:color w:val="000000"/>
                          </w:rPr>
                        </w:pPr>
                      </w:p>
                      <w:p w14:paraId="2389029C" w14:textId="77777777" w:rsidR="00847E53" w:rsidRDefault="00847E53" w:rsidP="001F04FD">
                        <w:pPr>
                          <w:autoSpaceDE w:val="0"/>
                          <w:autoSpaceDN w:val="0"/>
                          <w:adjustRightInd w:val="0"/>
                          <w:jc w:val="center"/>
                          <w:rPr>
                            <w:rFonts w:ascii="Arial" w:hAnsi="Arial" w:cs="Arial"/>
                            <w:color w:val="000000"/>
                          </w:rPr>
                        </w:pPr>
                      </w:p>
                      <w:p w14:paraId="5A35CE72"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D3DD8F5" w14:textId="77777777" w:rsidR="00847E53" w:rsidRDefault="00847E53" w:rsidP="001F04FD">
                        <w:pPr>
                          <w:autoSpaceDE w:val="0"/>
                          <w:autoSpaceDN w:val="0"/>
                          <w:adjustRightInd w:val="0"/>
                          <w:jc w:val="center"/>
                          <w:rPr>
                            <w:rFonts w:ascii="Arial" w:hAnsi="Arial" w:cs="Arial"/>
                            <w:color w:val="000000"/>
                          </w:rPr>
                        </w:pPr>
                      </w:p>
                      <w:p w14:paraId="28B91E46" w14:textId="77777777" w:rsidR="00847E53" w:rsidRDefault="00847E53" w:rsidP="001F04FD">
                        <w:pPr>
                          <w:autoSpaceDE w:val="0"/>
                          <w:autoSpaceDN w:val="0"/>
                          <w:adjustRightInd w:val="0"/>
                          <w:jc w:val="center"/>
                          <w:rPr>
                            <w:rFonts w:ascii="Arial" w:hAnsi="Arial" w:cs="Arial"/>
                            <w:color w:val="000000"/>
                          </w:rPr>
                        </w:pPr>
                      </w:p>
                      <w:p w14:paraId="60CB3327" w14:textId="77777777" w:rsidR="00847E53" w:rsidRDefault="00847E53" w:rsidP="001F04FD">
                        <w:pPr>
                          <w:autoSpaceDE w:val="0"/>
                          <w:autoSpaceDN w:val="0"/>
                          <w:adjustRightInd w:val="0"/>
                          <w:jc w:val="center"/>
                          <w:rPr>
                            <w:rFonts w:ascii="Arial" w:hAnsi="Arial" w:cs="Arial"/>
                            <w:color w:val="000000"/>
                          </w:rPr>
                        </w:pPr>
                      </w:p>
                      <w:p w14:paraId="6E764332"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49FCC1CF"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44" o:spid="_x0000_s1592" type="#_x0000_t202" style="position:absolute;left:39652;top:15998;width:22520;height:6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PSxQAAANsAAAAPAAAAZHJzL2Rvd25yZXYueG1sRI/NasMw&#10;EITvhbyD2EAupZHrQ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BNCbPSxQAAANsAAAAP&#10;AAAAAAAAAAAAAAAAAAcCAABkcnMvZG93bnJldi54bWxQSwUGAAAAAAMAAwC3AAAA+QIAAAAA&#10;" stroked="f">
                  <v:textbox inset="0,0,0,0">
                    <w:txbxContent>
                      <w:p w14:paraId="303C43F5" w14:textId="77777777" w:rsidR="00847E53" w:rsidRDefault="00847E53"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307E54D"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45" o:spid="_x0000_s1593" style="position:absolute;flip:y;visibility:visible;mso-wrap-style:square" from="18351,11094" to="32804,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line id="Line 46" o:spid="_x0000_s1594" style="position:absolute;flip:y;visibility:visible;mso-wrap-style:square" from="13785,17177" to="18351,1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line id="Line 47" o:spid="_x0000_s1595" style="position:absolute;visibility:visible;mso-wrap-style:square" from="13785,18160" to="13785,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" strokeweight=".5pt">
                  <v:stroke dashstyle="longDash"/>
                </v:line>
                <v:line id="Line 48" o:spid="_x0000_s1596" style="position:absolute;flip:x y;visibility:visible;mso-wrap-style:square" from="4235,13370" to="45379,1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" strokeweight=".5pt">
                  <v:stroke dashstyle="longDash"/>
                </v:line>
                <v:line id="Line 49" o:spid="_x0000_s1597" style="position:absolute;flip:x;visibility:visible;mso-wrap-style:square" from="42692,9571" to="44217,1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">
                  <v:stroke endarrow="block" endarrowwidth="narrow"/>
                </v:line>
                <v:shape id="Text Box 50" o:spid="_x0000_s1598" type="#_x0000_t202" style="position:absolute;left:37369;top:7287;width:15970;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" filled="f" stroked="f">
                  <v:textbox inset="0,1.44pt,0,1.44pt">
                    <w:txbxContent>
                      <w:p w14:paraId="2BBB3956"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51" o:spid="_x0000_s1599" style="position:absolute;visibility:visible;mso-wrap-style:square" from="30521,6525" to="35087,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">
                  <v:stroke endarrow="block" endarrowwidth="narrow"/>
                </v:line>
                <v:shape id="Text Box 52" o:spid="_x0000_s1600" type="#_x0000_t202" style="position:absolute;left:19892;top:2284;width:17922;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" filled="f" stroked="f">
                  <v:textbox inset="0,1.44pt,0,1.44pt">
                    <w:txbxContent>
                      <w:p w14:paraId="57F5FA9F"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w10:wrap anchory="line"/>
              </v:group>
            </w:pict>
          </mc:Fallback>
        </mc:AlternateContent>
      </w:r>
      <w:r>
        <w:rPr>
          <w:noProof/>
        </w:rPr>
        <mc:AlternateContent>
          <mc:Choice Requires="wps">
            <w:drawing>
              <wp:inline distT="0" distB="0" distL="0" distR="0" wp14:anchorId="2164B3E4" wp14:editId="6DB2D729">
                <wp:extent cx="6219825" cy="2819400"/>
                <wp:effectExtent l="0" t="0" r="0" b="0"/>
                <wp:docPr id="30" name="AutoShap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198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4A61D1" id="AutoShape 132" o:spid="_x0000_s1026" style="width:489.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" filled="f" stroked="f">
                <o:lock v:ext="edit" aspectratio="t"/>
                <w10:anchorlock/>
              </v:rect>
            </w:pict>
          </mc:Fallback>
        </mc:AlternateContent>
      </w:r>
    </w:p>
    <w:p w14:paraId="095E991B" w14:textId="77777777" w:rsidR="001F04FD" w:rsidRDefault="001F04FD" w:rsidP="001F04FD">
      <w:pPr>
        <w:pStyle w:val="BodyTextNumbered"/>
      </w:pPr>
    </w:p>
    <w:p w14:paraId="0D244F0B" w14:textId="68FEB57A" w:rsidR="001F04FD" w:rsidRDefault="00A94020" w:rsidP="001F04FD">
      <w:pPr>
        <w:pStyle w:val="BodyTextNumbered"/>
      </w:pPr>
      <w:r>
        <w:rPr>
          <w:noProof/>
        </w:rPr>
        <mc:AlternateContent>
          <mc:Choice Requires="wpc">
            <w:drawing>
              <wp:anchor distT="0" distB="0" distL="114300" distR="114300" simplePos="0" relativeHeight="251649024" behindDoc="0" locked="0" layoutInCell="1" allowOverlap="1" wp14:anchorId="0D928FC7" wp14:editId="53CC8B09">
                <wp:simplePos x="0" y="0"/>
                <wp:positionH relativeFrom="character">
                  <wp:posOffset>0</wp:posOffset>
                </wp:positionH>
                <wp:positionV relativeFrom="line">
                  <wp:posOffset>0</wp:posOffset>
                </wp:positionV>
                <wp:extent cx="6560820" cy="2821305"/>
                <wp:effectExtent l="0" t="0" r="1905" b="0"/>
                <wp:wrapNone/>
                <wp:docPr id="1979"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Line 4"/>
                        <wps:cNvCnPr>
                          <a:cxnSpLocks noChangeShapeType="1"/>
                        </wps:cNvCnPr>
                        <wps:spPr bwMode="auto">
                          <a:xfrm flipH="1" flipV="1">
                            <a:off x="389801" y="652701"/>
                            <a:ext cx="4114813"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 name="Line 5"/>
                        <wps:cNvCnPr>
                          <a:cxnSpLocks noChangeShapeType="1"/>
                        </wps:cNvCnPr>
                        <wps:spPr bwMode="auto">
                          <a:xfrm>
                            <a:off x="408701" y="2402804"/>
                            <a:ext cx="4165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6"/>
                        <wps:cNvCnPr>
                          <a:cxnSpLocks noChangeShapeType="1"/>
                        </wps:cNvCnPr>
                        <wps:spPr bwMode="auto">
                          <a:xfrm>
                            <a:off x="1835306" y="1718103"/>
                            <a:ext cx="0" cy="6847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 name="Line 7"/>
                        <wps:cNvCnPr>
                          <a:cxnSpLocks noChangeShapeType="1"/>
                        </wps:cNvCnPr>
                        <wps:spPr bwMode="auto">
                          <a:xfrm>
                            <a:off x="3280810" y="1109602"/>
                            <a:ext cx="0" cy="129480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 name="Line 8"/>
                        <wps:cNvCnPr>
                          <a:cxnSpLocks noChangeShapeType="1"/>
                        </wps:cNvCnPr>
                        <wps:spPr bwMode="auto">
                          <a:xfrm flipH="1" flipV="1">
                            <a:off x="431001" y="1824603"/>
                            <a:ext cx="92220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 name="Line 9"/>
                        <wps:cNvCnPr>
                          <a:cxnSpLocks noChangeShapeType="1"/>
                        </wps:cNvCnPr>
                        <wps:spPr bwMode="auto">
                          <a:xfrm flipH="1" flipV="1">
                            <a:off x="431001" y="1710803"/>
                            <a:ext cx="1404304"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 name="Line 10"/>
                        <wps:cNvCnPr>
                          <a:cxnSpLocks noChangeShapeType="1"/>
                        </wps:cNvCnPr>
                        <wps:spPr bwMode="auto">
                          <a:xfrm flipH="1">
                            <a:off x="442501" y="1109602"/>
                            <a:ext cx="2815209"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 name="Line 11"/>
                        <wps:cNvCnPr>
                          <a:cxnSpLocks noChangeShapeType="1"/>
                        </wps:cNvCnPr>
                        <wps:spPr bwMode="auto">
                          <a:xfrm>
                            <a:off x="431001" y="113000"/>
                            <a:ext cx="0" cy="228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Text Box 12"/>
                        <wps:cNvSpPr txBox="1">
                          <a:spLocks noChangeArrowheads="1"/>
                        </wps:cNvSpPr>
                        <wps:spPr bwMode="auto">
                          <a:xfrm>
                            <a:off x="819902" y="2478904"/>
                            <a:ext cx="4369513" cy="34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1352A"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4" name="Line 13"/>
                        <wps:cNvCnPr>
                          <a:cxnSpLocks noChangeShapeType="1"/>
                        </wps:cNvCnPr>
                        <wps:spPr bwMode="auto">
                          <a:xfrm>
                            <a:off x="2520108" y="1423303"/>
                            <a:ext cx="0" cy="98930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14"/>
                        <wps:cNvCnPr>
                          <a:cxnSpLocks noChangeShapeType="1"/>
                        </wps:cNvCnPr>
                        <wps:spPr bwMode="auto">
                          <a:xfrm flipV="1">
                            <a:off x="2520108" y="1109602"/>
                            <a:ext cx="760702" cy="3186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15"/>
                        <wps:cNvCnPr>
                          <a:cxnSpLocks noChangeShapeType="1"/>
                        </wps:cNvCnPr>
                        <wps:spPr bwMode="auto">
                          <a:xfrm>
                            <a:off x="3889812" y="652701"/>
                            <a:ext cx="0" cy="175170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Line 16"/>
                        <wps:cNvCnPr>
                          <a:cxnSpLocks noChangeShapeType="1"/>
                        </wps:cNvCnPr>
                        <wps:spPr bwMode="auto">
                          <a:xfrm>
                            <a:off x="2520108" y="2402804"/>
                            <a:ext cx="136970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17"/>
                        <wps:cNvSpPr txBox="1">
                          <a:spLocks noChangeArrowheads="1"/>
                        </wps:cNvSpPr>
                        <wps:spPr bwMode="auto">
                          <a:xfrm>
                            <a:off x="0" y="0"/>
                            <a:ext cx="431001" cy="239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FA5F1" w14:textId="77777777" w:rsidR="00847E53" w:rsidRDefault="00847E53" w:rsidP="001F04FD">
                              <w:pPr>
                                <w:autoSpaceDE w:val="0"/>
                                <w:autoSpaceDN w:val="0"/>
                                <w:adjustRightInd w:val="0"/>
                                <w:jc w:val="center"/>
                                <w:rPr>
                                  <w:rFonts w:ascii="Arial" w:hAnsi="Arial" w:cs="Arial"/>
                                  <w:color w:val="000000"/>
                                </w:rPr>
                              </w:pPr>
                            </w:p>
                            <w:p w14:paraId="76BDD6A1"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w:t>
                              </w:r>
                            </w:p>
                            <w:p w14:paraId="6BDFD4A6"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MWh</w:t>
                              </w:r>
                            </w:p>
                            <w:p w14:paraId="04EDCF62" w14:textId="77777777" w:rsidR="00847E53" w:rsidRDefault="00847E53" w:rsidP="001F04FD">
                              <w:pPr>
                                <w:autoSpaceDE w:val="0"/>
                                <w:autoSpaceDN w:val="0"/>
                                <w:adjustRightInd w:val="0"/>
                                <w:jc w:val="center"/>
                                <w:rPr>
                                  <w:rFonts w:ascii="Arial" w:hAnsi="Arial" w:cs="Arial"/>
                                  <w:color w:val="000000"/>
                                </w:rPr>
                              </w:pPr>
                            </w:p>
                            <w:p w14:paraId="32398572" w14:textId="77777777" w:rsidR="00847E53" w:rsidRDefault="00847E53" w:rsidP="001F04FD">
                              <w:pPr>
                                <w:autoSpaceDE w:val="0"/>
                                <w:autoSpaceDN w:val="0"/>
                                <w:adjustRightInd w:val="0"/>
                                <w:jc w:val="center"/>
                                <w:rPr>
                                  <w:rFonts w:ascii="Arial" w:hAnsi="Arial" w:cs="Arial"/>
                                  <w:color w:val="000000"/>
                                </w:rPr>
                              </w:pPr>
                            </w:p>
                            <w:p w14:paraId="63C12BA5" w14:textId="77777777" w:rsidR="00847E53" w:rsidRDefault="00847E53" w:rsidP="001F04FD">
                              <w:pPr>
                                <w:autoSpaceDE w:val="0"/>
                                <w:autoSpaceDN w:val="0"/>
                                <w:adjustRightInd w:val="0"/>
                                <w:jc w:val="center"/>
                                <w:rPr>
                                  <w:rFonts w:ascii="Arial" w:hAnsi="Arial" w:cs="Arial"/>
                                  <w:color w:val="000000"/>
                                </w:rPr>
                              </w:pPr>
                            </w:p>
                            <w:p w14:paraId="04B452DB"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14DB3CFB" w14:textId="77777777" w:rsidR="00847E53" w:rsidRDefault="00847E53" w:rsidP="001F04FD">
                              <w:pPr>
                                <w:autoSpaceDE w:val="0"/>
                                <w:autoSpaceDN w:val="0"/>
                                <w:adjustRightInd w:val="0"/>
                                <w:jc w:val="center"/>
                                <w:rPr>
                                  <w:rFonts w:ascii="Arial" w:hAnsi="Arial" w:cs="Arial"/>
                                  <w:color w:val="000000"/>
                                </w:rPr>
                              </w:pPr>
                            </w:p>
                            <w:p w14:paraId="39BF1D1C" w14:textId="77777777" w:rsidR="00847E53" w:rsidRDefault="00847E53" w:rsidP="001F04FD">
                              <w:pPr>
                                <w:autoSpaceDE w:val="0"/>
                                <w:autoSpaceDN w:val="0"/>
                                <w:adjustRightInd w:val="0"/>
                                <w:jc w:val="center"/>
                                <w:rPr>
                                  <w:rFonts w:ascii="Arial" w:hAnsi="Arial" w:cs="Arial"/>
                                  <w:color w:val="000000"/>
                                </w:rPr>
                              </w:pPr>
                            </w:p>
                            <w:p w14:paraId="73CC904A"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09C84DEA"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19" name="Text Box 18"/>
                        <wps:cNvSpPr txBox="1">
                          <a:spLocks noChangeArrowheads="1"/>
                        </wps:cNvSpPr>
                        <wps:spPr bwMode="auto">
                          <a:xfrm>
                            <a:off x="3931812" y="1600203"/>
                            <a:ext cx="2252307" cy="5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4A9FC2" w14:textId="77777777" w:rsidR="00847E53" w:rsidRDefault="00847E53"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30DF94CB"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20" name="Line 19"/>
                        <wps:cNvCnPr>
                          <a:cxnSpLocks noChangeShapeType="1"/>
                        </wps:cNvCnPr>
                        <wps:spPr bwMode="auto">
                          <a:xfrm flipV="1">
                            <a:off x="1835306" y="1109602"/>
                            <a:ext cx="1445504" cy="608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0"/>
                        <wps:cNvCnPr>
                          <a:cxnSpLocks noChangeShapeType="1"/>
                        </wps:cNvCnPr>
                        <wps:spPr bwMode="auto">
                          <a:xfrm flipV="1">
                            <a:off x="1378704" y="1718103"/>
                            <a:ext cx="456601" cy="9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1"/>
                        <wps:cNvCnPr>
                          <a:cxnSpLocks noChangeShapeType="1"/>
                        </wps:cNvCnPr>
                        <wps:spPr bwMode="auto">
                          <a:xfrm>
                            <a:off x="1378704" y="1816403"/>
                            <a:ext cx="0" cy="5864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4" name="Line 22"/>
                        <wps:cNvCnPr>
                          <a:cxnSpLocks noChangeShapeType="1"/>
                        </wps:cNvCnPr>
                        <wps:spPr bwMode="auto">
                          <a:xfrm flipH="1">
                            <a:off x="2672608" y="272700"/>
                            <a:ext cx="151600" cy="30380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5" name="Text Box 23"/>
                        <wps:cNvSpPr txBox="1">
                          <a:spLocks noChangeArrowheads="1"/>
                        </wps:cNvSpPr>
                        <wps:spPr bwMode="auto">
                          <a:xfrm>
                            <a:off x="2130306" y="76100"/>
                            <a:ext cx="1597105" cy="22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4932D"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26" name="Line 24"/>
                        <wps:cNvCnPr>
                          <a:cxnSpLocks noChangeShapeType="1"/>
                        </wps:cNvCnPr>
                        <wps:spPr bwMode="auto">
                          <a:xfrm flipH="1">
                            <a:off x="3575811" y="456101"/>
                            <a:ext cx="304101" cy="1523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7" name="Text Box 25"/>
                        <wps:cNvSpPr txBox="1">
                          <a:spLocks noChangeArrowheads="1"/>
                        </wps:cNvSpPr>
                        <wps:spPr bwMode="auto">
                          <a:xfrm>
                            <a:off x="3817312" y="114600"/>
                            <a:ext cx="1462004" cy="41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23635"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s:wsp>
                        <wps:cNvPr id="28" name="Line 26"/>
                        <wps:cNvCnPr>
                          <a:cxnSpLocks noChangeShapeType="1"/>
                        </wps:cNvCnPr>
                        <wps:spPr bwMode="auto">
                          <a:xfrm flipH="1">
                            <a:off x="3270910" y="660801"/>
                            <a:ext cx="60900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27"/>
                        <wps:cNvCnPr>
                          <a:cxnSpLocks noChangeShapeType="1"/>
                        </wps:cNvCnPr>
                        <wps:spPr bwMode="auto">
                          <a:xfrm>
                            <a:off x="3270910" y="640401"/>
                            <a:ext cx="0" cy="4930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D928FC7" id="Canvas 45" o:spid="_x0000_s1601" editas="canvas" style="position:absolute;margin-left:0;margin-top:0;width:516.6pt;height:222.15pt;z-index:251649024;mso-position-horizontal-relative:char;mso-position-vertical-relative:line" coordsize="65608,2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">
                <v:shape id="_x0000_s1602" type="#_x0000_t75" style="position:absolute;width:65608;height:28213;visibility:visible;mso-wrap-style:square">
                  <v:fill o:detectmouseclick="t"/>
                  <v:path o:connecttype="none"/>
                </v:shape>
                <v:line id="Line 4" o:spid="_x0000_s1603" style="position:absolute;flip:x y;visibility:visible;mso-wrap-style:square" from="3898,6527" to="45046,6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" strokeweight=".5pt">
                  <v:stroke dashstyle="longDash"/>
                </v:line>
                <v:line id="Line 5" o:spid="_x0000_s1604" style="position:absolute;visibility:visible;mso-wrap-style:square" from="4087,24028" to="45738,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6" o:spid="_x0000_s1605" style="position:absolute;visibility:visible;mso-wrap-style:square" from="18353,17181" to="18353,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" strokeweight=".5pt">
                  <v:stroke dashstyle="longDash"/>
                </v:line>
                <v:line id="Line 7" o:spid="_x0000_s1606" style="position:absolute;visibility:visible;mso-wrap-style:square" from="32808,11096" to="32808,2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" strokeweight=".5pt">
                  <v:stroke dashstyle="longDash"/>
                </v:line>
                <v:line id="Line 8" o:spid="_x0000_s1607" style="position:absolute;flip:x y;visibility:visible;mso-wrap-style:square" from="4310,18246" to="13532,18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" strokeweight=".5pt">
                  <v:stroke dashstyle="longDash"/>
                </v:line>
                <v:line id="Line 9" o:spid="_x0000_s1608" style="position:absolute;flip:x y;visibility:visible;mso-wrap-style:square" from="4310,17108" to="18353,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" strokeweight=".5pt">
                  <v:stroke dashstyle="longDash"/>
                </v:line>
                <v:line id="Line 10" o:spid="_x0000_s1609" style="position:absolute;flip:x;visibility:visible;mso-wrap-style:square" from="4425,11096" to="32577,1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" strokeweight=".5pt">
                  <v:stroke dashstyle="longDash"/>
                </v:line>
                <v:line id="Line 11" o:spid="_x0000_s1610" style="position:absolute;visibility:visible;mso-wrap-style:square" from="4310,1130" to="4310,2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shape id="Text Box 12" o:spid="_x0000_s1611" type="#_x0000_t202" style="position:absolute;left:8199;top:24789;width:43695;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" filled="f" stroked="f">
                  <v:textbox inset=",,,0">
                    <w:txbxContent>
                      <w:p w14:paraId="17C1352A"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13" o:spid="_x0000_s1612" style="position:absolute;visibility:visible;mso-wrap-style:square" from="25201,14233" to="25201,2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mvvQAAANsAAAAPAAAAZHJzL2Rvd25yZXYueG1sRE+9CsIw&#10;EN4F3yGc4Kapo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Ss8pr70AAADbAAAADwAAAAAAAAAA&#10;AAAAAAAHAgAAZHJzL2Rvd25yZXYueG1sUEsFBgAAAAADAAMAtwAAAPECAAAAAA==&#10;" strokeweight="2pt"/>
                <v:line id="Line 14" o:spid="_x0000_s1613" style="position:absolute;flip:y;visibility:visible;mso-wrap-style:square" from="25201,11096" to="32808,1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" strokeweight="2pt"/>
                <v:line id="Line 15" o:spid="_x0000_s1614" style="position:absolute;visibility:visible;mso-wrap-style:square" from="38898,6527" to="38898,2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" strokeweight="2pt"/>
                <v:line id="Line 16" o:spid="_x0000_s1615" style="position:absolute;visibility:visible;mso-wrap-style:square" from="25201,24028" to="38898,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" strokeweight="2pt"/>
                <v:shape id="Text Box 17" o:spid="_x0000_s1616" type="#_x0000_t202" style="position:absolute;width:4310;height:2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" filled="f" stroked="f">
                  <v:textbox inset="0,,0">
                    <w:txbxContent>
                      <w:p w14:paraId="1AEFA5F1" w14:textId="77777777" w:rsidR="00847E53" w:rsidRDefault="00847E53" w:rsidP="001F04FD">
                        <w:pPr>
                          <w:autoSpaceDE w:val="0"/>
                          <w:autoSpaceDN w:val="0"/>
                          <w:adjustRightInd w:val="0"/>
                          <w:jc w:val="center"/>
                          <w:rPr>
                            <w:rFonts w:ascii="Arial" w:hAnsi="Arial" w:cs="Arial"/>
                            <w:color w:val="000000"/>
                          </w:rPr>
                        </w:pPr>
                      </w:p>
                      <w:p w14:paraId="76BDD6A1"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w:t>
                        </w:r>
                      </w:p>
                      <w:p w14:paraId="6BDFD4A6"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MWh</w:t>
                        </w:r>
                      </w:p>
                      <w:p w14:paraId="04EDCF62" w14:textId="77777777" w:rsidR="00847E53" w:rsidRDefault="00847E53" w:rsidP="001F04FD">
                        <w:pPr>
                          <w:autoSpaceDE w:val="0"/>
                          <w:autoSpaceDN w:val="0"/>
                          <w:adjustRightInd w:val="0"/>
                          <w:jc w:val="center"/>
                          <w:rPr>
                            <w:rFonts w:ascii="Arial" w:hAnsi="Arial" w:cs="Arial"/>
                            <w:color w:val="000000"/>
                          </w:rPr>
                        </w:pPr>
                      </w:p>
                      <w:p w14:paraId="32398572" w14:textId="77777777" w:rsidR="00847E53" w:rsidRDefault="00847E53" w:rsidP="001F04FD">
                        <w:pPr>
                          <w:autoSpaceDE w:val="0"/>
                          <w:autoSpaceDN w:val="0"/>
                          <w:adjustRightInd w:val="0"/>
                          <w:jc w:val="center"/>
                          <w:rPr>
                            <w:rFonts w:ascii="Arial" w:hAnsi="Arial" w:cs="Arial"/>
                            <w:color w:val="000000"/>
                          </w:rPr>
                        </w:pPr>
                      </w:p>
                      <w:p w14:paraId="63C12BA5" w14:textId="77777777" w:rsidR="00847E53" w:rsidRDefault="00847E53" w:rsidP="001F04FD">
                        <w:pPr>
                          <w:autoSpaceDE w:val="0"/>
                          <w:autoSpaceDN w:val="0"/>
                          <w:adjustRightInd w:val="0"/>
                          <w:jc w:val="center"/>
                          <w:rPr>
                            <w:rFonts w:ascii="Arial" w:hAnsi="Arial" w:cs="Arial"/>
                            <w:color w:val="000000"/>
                          </w:rPr>
                        </w:pPr>
                      </w:p>
                      <w:p w14:paraId="04B452DB"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14DB3CFB" w14:textId="77777777" w:rsidR="00847E53" w:rsidRDefault="00847E53" w:rsidP="001F04FD">
                        <w:pPr>
                          <w:autoSpaceDE w:val="0"/>
                          <w:autoSpaceDN w:val="0"/>
                          <w:adjustRightInd w:val="0"/>
                          <w:jc w:val="center"/>
                          <w:rPr>
                            <w:rFonts w:ascii="Arial" w:hAnsi="Arial" w:cs="Arial"/>
                            <w:color w:val="000000"/>
                          </w:rPr>
                        </w:pPr>
                      </w:p>
                      <w:p w14:paraId="39BF1D1C" w14:textId="77777777" w:rsidR="00847E53" w:rsidRDefault="00847E53" w:rsidP="001F04FD">
                        <w:pPr>
                          <w:autoSpaceDE w:val="0"/>
                          <w:autoSpaceDN w:val="0"/>
                          <w:adjustRightInd w:val="0"/>
                          <w:jc w:val="center"/>
                          <w:rPr>
                            <w:rFonts w:ascii="Arial" w:hAnsi="Arial" w:cs="Arial"/>
                            <w:color w:val="000000"/>
                          </w:rPr>
                        </w:pPr>
                      </w:p>
                      <w:p w14:paraId="73CC904A"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09C84DEA"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18" o:spid="_x0000_s1617" type="#_x0000_t202" style="position:absolute;left:39318;top:16002;width:22523;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134A9FC2" w14:textId="77777777" w:rsidR="00847E53" w:rsidRDefault="00847E53"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30DF94CB"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19" o:spid="_x0000_s1618" style="position:absolute;flip:y;visibility:visible;mso-wrap-style:square" from="18353,11096" to="32808,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line id="Line 20" o:spid="_x0000_s1619" style="position:absolute;flip:y;visibility:visible;mso-wrap-style:square" from="13787,17181" to="18353,1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line id="Line 21" o:spid="_x0000_s1620" style="position:absolute;visibility:visible;mso-wrap-style:square" from="13787,18164" to="13787,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" strokeweight=".5pt">
                  <v:stroke dashstyle="longDash"/>
                </v:line>
                <v:line id="Line 22" o:spid="_x0000_s1621" style="position:absolute;flip:x;visibility:visible;mso-wrap-style:square" from="26726,2727" to="28242,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">
                  <v:stroke endarrow="block" endarrowwidth="narrow"/>
                </v:line>
                <v:shape id="Text Box 23" o:spid="_x0000_s1622" type="#_x0000_t202" style="position:absolute;left:21303;top:761;width:15971;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" filled="f" stroked="f">
                  <v:textbox inset="0,1.44pt,0,1.44pt">
                    <w:txbxContent>
                      <w:p w14:paraId="3EF4932D"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24" o:spid="_x0000_s1623" style="position:absolute;flip:x;visibility:visible;mso-wrap-style:square" from="35758,4561" to="38799,6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">
                  <v:stroke endarrow="block" endarrowwidth="narrow"/>
                </v:line>
                <v:shape id="Text Box 25" o:spid="_x0000_s1624" type="#_x0000_t202" style="position:absolute;left:38173;top:1146;width:14620;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" filled="f" stroked="f">
                  <v:textbox inset="0,1.44pt,0,1.44pt">
                    <w:txbxContent>
                      <w:p w14:paraId="06B23635"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v:line id="Line 26" o:spid="_x0000_s1625" style="position:absolute;flip:x;visibility:visible;mso-wrap-style:square" from="32709,6608" to="38799,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" strokeweight="2pt"/>
                <v:line id="Line 27" o:spid="_x0000_s1626" style="position:absolute;visibility:visible;mso-wrap-style:square" from="32709,6404" to="32709,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w10:wrap anchory="line"/>
              </v:group>
            </w:pict>
          </mc:Fallback>
        </mc:AlternateContent>
      </w:r>
      <w:r>
        <w:rPr>
          <w:noProof/>
        </w:rPr>
        <mc:AlternateContent>
          <mc:Choice Requires="wps">
            <w:drawing>
              <wp:inline distT="0" distB="0" distL="0" distR="0" wp14:anchorId="4AA28462" wp14:editId="30EC1292">
                <wp:extent cx="6562725" cy="2819400"/>
                <wp:effectExtent l="0" t="0" r="0" b="0"/>
                <wp:docPr id="3"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627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E26070" id="AutoShape 133" o:spid="_x0000_s1026" style="width:516.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" filled="f" stroked="f">
                <o:lock v:ext="edit" aspectratio="t"/>
                <w10:anchorlock/>
              </v:rect>
            </w:pict>
          </mc:Fallback>
        </mc:AlternateContent>
      </w:r>
    </w:p>
    <w:p w14:paraId="44F90F3F" w14:textId="77777777" w:rsidR="001F04FD" w:rsidRDefault="001F04FD" w:rsidP="001F04FD">
      <w:pPr>
        <w:pStyle w:val="BodyTextNumbered"/>
      </w:pPr>
      <w:r>
        <w:t>(3)</w:t>
      </w:r>
      <w:r>
        <w:tab/>
        <w:t>The total additional compensation to each QSE for emergency power increases of Generation Resources for the 15-minute Settlement Interval is calculated as follows:</w:t>
      </w:r>
    </w:p>
    <w:p w14:paraId="21CAAAD9" w14:textId="77777777" w:rsidR="001F04FD" w:rsidRDefault="001F04FD" w:rsidP="001F04FD">
      <w:pPr>
        <w:pStyle w:val="FormulaBold"/>
      </w:pPr>
      <w:r>
        <w:t xml:space="preserve">EMREAMTQSETOT </w:t>
      </w:r>
      <w:r>
        <w:rPr>
          <w:i/>
          <w:vertAlign w:val="subscript"/>
        </w:rPr>
        <w:t>q</w:t>
      </w:r>
      <w:r>
        <w:tab/>
        <w:t>=</w:t>
      </w:r>
      <w:r>
        <w:tab/>
      </w:r>
      <w:r w:rsidRPr="006F784F">
        <w:rPr>
          <w:position w:val="-18"/>
        </w:rPr>
        <w:object w:dxaOrig="225" w:dyaOrig="420" w14:anchorId="41E1684E">
          <v:shape id="_x0000_i1242" type="#_x0000_t75" style="width:12pt;height:24pt" o:ole="">
            <v:imagedata r:id="rId238" o:title=""/>
          </v:shape>
          <o:OLEObject Type="Embed" ProgID="Equation.3" ShapeID="_x0000_i1242" DrawAspect="Content" ObjectID="_1815025431" r:id="rId299"/>
        </w:object>
      </w:r>
      <w:r w:rsidRPr="006F784F">
        <w:rPr>
          <w:position w:val="-22"/>
        </w:rPr>
        <w:object w:dxaOrig="225" w:dyaOrig="465" w14:anchorId="7F6B4941">
          <v:shape id="_x0000_i1243" type="#_x0000_t75" style="width:12pt;height:24.6pt" o:ole="">
            <v:imagedata r:id="rId172" o:title=""/>
          </v:shape>
          <o:OLEObject Type="Embed" ProgID="Equation.3" ShapeID="_x0000_i1243" DrawAspect="Content" ObjectID="_1815025432" r:id="rId300"/>
        </w:object>
      </w:r>
      <w:r>
        <w:t xml:space="preserve">EMREAMT </w:t>
      </w:r>
      <w:r>
        <w:rPr>
          <w:i/>
          <w:vertAlign w:val="subscript"/>
        </w:rPr>
        <w:t>q, r, p</w:t>
      </w:r>
    </w:p>
    <w:p w14:paraId="7708FAD4"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847"/>
        <w:gridCol w:w="6186"/>
      </w:tblGrid>
      <w:tr w:rsidR="001F04FD" w14:paraId="616ABFAA" w14:textId="77777777" w:rsidTr="00AC4DEE">
        <w:trPr>
          <w:cantSplit/>
          <w:tblHeader/>
        </w:trPr>
        <w:tc>
          <w:tcPr>
            <w:tcW w:w="1239" w:type="pct"/>
          </w:tcPr>
          <w:p w14:paraId="2E8B9978" w14:textId="77777777" w:rsidR="001F04FD" w:rsidRDefault="001F04FD" w:rsidP="00AC4DEE">
            <w:pPr>
              <w:pStyle w:val="TableHead"/>
            </w:pPr>
            <w:r>
              <w:lastRenderedPageBreak/>
              <w:t>Variable</w:t>
            </w:r>
          </w:p>
        </w:tc>
        <w:tc>
          <w:tcPr>
            <w:tcW w:w="453" w:type="pct"/>
          </w:tcPr>
          <w:p w14:paraId="3C8B4D36" w14:textId="77777777" w:rsidR="001F04FD" w:rsidRDefault="001F04FD" w:rsidP="00AC4DEE">
            <w:pPr>
              <w:pStyle w:val="TableHead"/>
            </w:pPr>
            <w:r>
              <w:t>Unit</w:t>
            </w:r>
          </w:p>
        </w:tc>
        <w:tc>
          <w:tcPr>
            <w:tcW w:w="3308" w:type="pct"/>
          </w:tcPr>
          <w:p w14:paraId="471DE86F" w14:textId="77777777" w:rsidR="001F04FD" w:rsidRDefault="001F04FD" w:rsidP="00AC4DEE">
            <w:pPr>
              <w:pStyle w:val="TableHead"/>
            </w:pPr>
            <w:r>
              <w:t>Definition</w:t>
            </w:r>
          </w:p>
        </w:tc>
      </w:tr>
      <w:tr w:rsidR="001F04FD" w14:paraId="19F8E0DA" w14:textId="77777777" w:rsidTr="00AC4DEE">
        <w:trPr>
          <w:cantSplit/>
        </w:trPr>
        <w:tc>
          <w:tcPr>
            <w:tcW w:w="1239" w:type="pct"/>
          </w:tcPr>
          <w:p w14:paraId="5747D8B0" w14:textId="77777777" w:rsidR="001F04FD" w:rsidRDefault="001F04FD" w:rsidP="00AC4DEE">
            <w:pPr>
              <w:pStyle w:val="TableBody"/>
            </w:pPr>
            <w:r>
              <w:t xml:space="preserve">EMREAMTQSETOT </w:t>
            </w:r>
            <w:r w:rsidRPr="00E15B17">
              <w:rPr>
                <w:i/>
                <w:vertAlign w:val="subscript"/>
              </w:rPr>
              <w:t>q</w:t>
            </w:r>
          </w:p>
        </w:tc>
        <w:tc>
          <w:tcPr>
            <w:tcW w:w="453" w:type="pct"/>
          </w:tcPr>
          <w:p w14:paraId="7A50C268" w14:textId="77777777" w:rsidR="001F04FD" w:rsidRDefault="001F04FD" w:rsidP="00AC4DEE">
            <w:pPr>
              <w:pStyle w:val="TableBody"/>
            </w:pPr>
            <w:r>
              <w:t>$</w:t>
            </w:r>
          </w:p>
        </w:tc>
        <w:tc>
          <w:tcPr>
            <w:tcW w:w="3308" w:type="pct"/>
          </w:tcPr>
          <w:p w14:paraId="073F1442" w14:textId="77777777" w:rsidR="001F04FD" w:rsidRDefault="001F04FD" w:rsidP="00AC4DEE">
            <w:pPr>
              <w:pStyle w:val="TableBody"/>
            </w:pPr>
            <w:r>
              <w:rPr>
                <w:i/>
              </w:rPr>
              <w:t>Emergency Energy Amount QSE Total per QSE</w:t>
            </w:r>
            <w:r>
              <w:sym w:font="Symbol" w:char="F0BE"/>
            </w:r>
            <w:r>
              <w:t xml:space="preserve">The total of the payments to QSE </w:t>
            </w:r>
            <w:r>
              <w:rPr>
                <w:i/>
              </w:rPr>
              <w:t>q</w:t>
            </w:r>
            <w:r>
              <w:t xml:space="preserve"> as additional compensation for emergency power increases of the Generation Resources represented by this QSE for the 15-minute Settlement Interval.</w:t>
            </w:r>
          </w:p>
        </w:tc>
      </w:tr>
      <w:tr w:rsidR="001F04FD" w14:paraId="5A8A96EA" w14:textId="77777777" w:rsidTr="00AC4DEE">
        <w:trPr>
          <w:cantSplit/>
        </w:trPr>
        <w:tc>
          <w:tcPr>
            <w:tcW w:w="1239" w:type="pct"/>
          </w:tcPr>
          <w:p w14:paraId="7BD6B97F" w14:textId="77777777" w:rsidR="001F04FD" w:rsidRDefault="001F04FD" w:rsidP="00AC4DEE">
            <w:pPr>
              <w:pStyle w:val="TableBody"/>
            </w:pPr>
            <w:r>
              <w:t xml:space="preserve">EMREAMT </w:t>
            </w:r>
            <w:r w:rsidRPr="00E15B17">
              <w:rPr>
                <w:i/>
                <w:vertAlign w:val="subscript"/>
              </w:rPr>
              <w:t>q, r, p</w:t>
            </w:r>
          </w:p>
        </w:tc>
        <w:tc>
          <w:tcPr>
            <w:tcW w:w="453" w:type="pct"/>
          </w:tcPr>
          <w:p w14:paraId="77974714" w14:textId="77777777" w:rsidR="001F04FD" w:rsidRDefault="001F04FD" w:rsidP="00AC4DEE">
            <w:pPr>
              <w:pStyle w:val="TableBody"/>
            </w:pPr>
            <w:r>
              <w:t>$</w:t>
            </w:r>
          </w:p>
        </w:tc>
        <w:tc>
          <w:tcPr>
            <w:tcW w:w="3308" w:type="pct"/>
          </w:tcPr>
          <w:p w14:paraId="018EB38B" w14:textId="77777777" w:rsidR="001F04FD" w:rsidRDefault="001F04FD" w:rsidP="00AC4DEE">
            <w:pPr>
              <w:pStyle w:val="TableBody"/>
            </w:pPr>
            <w:r>
              <w:rPr>
                <w:i/>
              </w:rPr>
              <w:t>Emergency Energy Amount per QSE per Settlement Point per Resource</w:t>
            </w:r>
            <w:r>
              <w:t xml:space="preserve">—The payment to QSE </w:t>
            </w:r>
            <w:r>
              <w:rPr>
                <w:i/>
              </w:rPr>
              <w:t>q</w:t>
            </w:r>
            <w:r>
              <w:t xml:space="preserve"> as additional compensation for the additional energy 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2547AD5F" w14:textId="77777777" w:rsidTr="00AC4DEE">
        <w:trPr>
          <w:cantSplit/>
        </w:trPr>
        <w:tc>
          <w:tcPr>
            <w:tcW w:w="1239" w:type="pct"/>
            <w:tcBorders>
              <w:top w:val="single" w:sz="4" w:space="0" w:color="auto"/>
              <w:left w:val="single" w:sz="4" w:space="0" w:color="auto"/>
              <w:bottom w:val="single" w:sz="4" w:space="0" w:color="auto"/>
              <w:right w:val="single" w:sz="4" w:space="0" w:color="auto"/>
            </w:tcBorders>
          </w:tcPr>
          <w:p w14:paraId="11CC6A6D" w14:textId="77777777" w:rsidR="001F04FD" w:rsidRPr="00CE0FC9" w:rsidRDefault="001F04FD" w:rsidP="00AC4DEE">
            <w:pPr>
              <w:pStyle w:val="TableBody"/>
              <w:rPr>
                <w:i/>
              </w:rPr>
            </w:pPr>
            <w:r w:rsidRPr="00D661BC">
              <w:rPr>
                <w:i/>
              </w:rPr>
              <w:t>q</w:t>
            </w:r>
          </w:p>
        </w:tc>
        <w:tc>
          <w:tcPr>
            <w:tcW w:w="453" w:type="pct"/>
            <w:tcBorders>
              <w:top w:val="single" w:sz="4" w:space="0" w:color="auto"/>
              <w:left w:val="single" w:sz="4" w:space="0" w:color="auto"/>
              <w:bottom w:val="single" w:sz="4" w:space="0" w:color="auto"/>
              <w:right w:val="single" w:sz="4" w:space="0" w:color="auto"/>
            </w:tcBorders>
          </w:tcPr>
          <w:p w14:paraId="6A1B8740" w14:textId="77777777" w:rsidR="001F04FD" w:rsidRDefault="001F04FD" w:rsidP="00AC4DEE">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3D20902C" w14:textId="77777777" w:rsidR="001F04FD" w:rsidRDefault="001F04FD" w:rsidP="00AC4DEE">
            <w:pPr>
              <w:pStyle w:val="TableBody"/>
            </w:pPr>
            <w:r>
              <w:t>A QSE.</w:t>
            </w:r>
          </w:p>
        </w:tc>
      </w:tr>
      <w:tr w:rsidR="001F04FD" w14:paraId="493FC539" w14:textId="77777777" w:rsidTr="00AC4DEE">
        <w:trPr>
          <w:cantSplit/>
        </w:trPr>
        <w:tc>
          <w:tcPr>
            <w:tcW w:w="1239" w:type="pct"/>
            <w:tcBorders>
              <w:top w:val="single" w:sz="4" w:space="0" w:color="auto"/>
              <w:left w:val="single" w:sz="4" w:space="0" w:color="auto"/>
              <w:bottom w:val="single" w:sz="4" w:space="0" w:color="auto"/>
              <w:right w:val="single" w:sz="4" w:space="0" w:color="auto"/>
            </w:tcBorders>
          </w:tcPr>
          <w:p w14:paraId="49D2D0A1" w14:textId="77777777" w:rsidR="001F04FD" w:rsidRPr="00CE0FC9" w:rsidRDefault="001F04FD" w:rsidP="00AC4DEE">
            <w:pPr>
              <w:pStyle w:val="TableBody"/>
              <w:rPr>
                <w:i/>
              </w:rPr>
            </w:pPr>
            <w:r w:rsidRPr="00D661BC">
              <w:rPr>
                <w:i/>
              </w:rPr>
              <w:t>p</w:t>
            </w:r>
          </w:p>
        </w:tc>
        <w:tc>
          <w:tcPr>
            <w:tcW w:w="453" w:type="pct"/>
            <w:tcBorders>
              <w:top w:val="single" w:sz="4" w:space="0" w:color="auto"/>
              <w:left w:val="single" w:sz="4" w:space="0" w:color="auto"/>
              <w:bottom w:val="single" w:sz="4" w:space="0" w:color="auto"/>
              <w:right w:val="single" w:sz="4" w:space="0" w:color="auto"/>
            </w:tcBorders>
          </w:tcPr>
          <w:p w14:paraId="379A9664" w14:textId="77777777" w:rsidR="001F04FD" w:rsidRDefault="001F04FD" w:rsidP="00AC4DEE">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4088555E" w14:textId="77777777" w:rsidR="001F04FD" w:rsidRDefault="001F04FD" w:rsidP="00AC4DEE">
            <w:pPr>
              <w:pStyle w:val="TableBody"/>
            </w:pPr>
            <w:r>
              <w:t>A Resource Node Settlement Point.</w:t>
            </w:r>
          </w:p>
        </w:tc>
      </w:tr>
      <w:tr w:rsidR="001F04FD" w14:paraId="5FFFA351" w14:textId="77777777" w:rsidTr="00AC4DEE">
        <w:trPr>
          <w:cantSplit/>
        </w:trPr>
        <w:tc>
          <w:tcPr>
            <w:tcW w:w="1239" w:type="pct"/>
            <w:tcBorders>
              <w:top w:val="single" w:sz="4" w:space="0" w:color="auto"/>
              <w:left w:val="single" w:sz="4" w:space="0" w:color="auto"/>
              <w:bottom w:val="single" w:sz="4" w:space="0" w:color="auto"/>
              <w:right w:val="single" w:sz="4" w:space="0" w:color="auto"/>
            </w:tcBorders>
          </w:tcPr>
          <w:p w14:paraId="2E7DFFE3" w14:textId="77777777" w:rsidR="001F04FD" w:rsidRPr="00CE0FC9" w:rsidRDefault="001F04FD" w:rsidP="00AC4DEE">
            <w:pPr>
              <w:pStyle w:val="TableBody"/>
              <w:rPr>
                <w:i/>
              </w:rPr>
            </w:pPr>
            <w:r w:rsidRPr="00D661BC">
              <w:rPr>
                <w:i/>
              </w:rPr>
              <w:t>r</w:t>
            </w:r>
          </w:p>
        </w:tc>
        <w:tc>
          <w:tcPr>
            <w:tcW w:w="453" w:type="pct"/>
            <w:tcBorders>
              <w:top w:val="single" w:sz="4" w:space="0" w:color="auto"/>
              <w:left w:val="single" w:sz="4" w:space="0" w:color="auto"/>
              <w:bottom w:val="single" w:sz="4" w:space="0" w:color="auto"/>
              <w:right w:val="single" w:sz="4" w:space="0" w:color="auto"/>
            </w:tcBorders>
          </w:tcPr>
          <w:p w14:paraId="32CE7BAF" w14:textId="77777777" w:rsidR="001F04FD" w:rsidRDefault="001F04FD" w:rsidP="00AC4DEE">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366BC8B5" w14:textId="77777777" w:rsidR="001F04FD" w:rsidRDefault="001F04FD" w:rsidP="00AC4DEE">
            <w:pPr>
              <w:pStyle w:val="TableBody"/>
            </w:pPr>
            <w:r>
              <w:t>A Generation Resource.</w:t>
            </w:r>
          </w:p>
        </w:tc>
      </w:tr>
    </w:tbl>
    <w:p w14:paraId="6D2932EA" w14:textId="77777777" w:rsidR="001F04FD" w:rsidRDefault="001F04FD" w:rsidP="001F04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117A3" w14:paraId="11F6D55B" w14:textId="77777777" w:rsidTr="009117A3">
        <w:trPr>
          <w:trHeight w:val="206"/>
        </w:trPr>
        <w:tc>
          <w:tcPr>
            <w:tcW w:w="9350" w:type="dxa"/>
            <w:shd w:val="pct12" w:color="auto" w:fill="auto"/>
          </w:tcPr>
          <w:p w14:paraId="3FC6CCCE" w14:textId="55A3D8BC" w:rsidR="009117A3" w:rsidRDefault="009117A3" w:rsidP="00BE571E">
            <w:pPr>
              <w:pStyle w:val="Instructions"/>
              <w:spacing w:before="120"/>
            </w:pPr>
            <w:bookmarkStart w:id="2553" w:name="_Toc397505040"/>
            <w:bookmarkStart w:id="2554" w:name="_Toc402357172"/>
            <w:bookmarkStart w:id="2555" w:name="_Toc422486552"/>
            <w:bookmarkStart w:id="2556" w:name="_Toc433093405"/>
            <w:bookmarkStart w:id="2557" w:name="_Toc433093563"/>
            <w:bookmarkStart w:id="2558" w:name="_Toc440874793"/>
            <w:bookmarkStart w:id="2559" w:name="_Toc448142350"/>
            <w:bookmarkStart w:id="2560" w:name="_Toc448142507"/>
            <w:bookmarkStart w:id="2561" w:name="_Toc458770348"/>
            <w:bookmarkStart w:id="2562" w:name="_Toc459294316"/>
            <w:bookmarkStart w:id="2563" w:name="_Toc463262810"/>
            <w:bookmarkStart w:id="2564" w:name="_Toc468286883"/>
            <w:bookmarkStart w:id="2565" w:name="_Toc481502923"/>
            <w:bookmarkStart w:id="2566" w:name="_Toc496080091"/>
            <w:r>
              <w:t>[NPRR1010</w:t>
            </w:r>
            <w:r w:rsidR="00BD19E2">
              <w:t>,</w:t>
            </w:r>
            <w:r w:rsidR="00002953">
              <w:t xml:space="preserve"> NPRR1014</w:t>
            </w:r>
            <w:r w:rsidR="00BD19E2">
              <w:t>, and NPRR1245</w:t>
            </w:r>
            <w:r>
              <w:t xml:space="preserve">:  Replace </w:t>
            </w:r>
            <w:r w:rsidR="00002953">
              <w:t xml:space="preserve">applicable portions of </w:t>
            </w:r>
            <w:r>
              <w:t>Section 6.6.9.1 above with the following upon system implementation of the Real-Time Co-Optimization (RTC) project</w:t>
            </w:r>
            <w:r w:rsidR="00002953">
              <w:t xml:space="preserve"> for NPRR1010</w:t>
            </w:r>
            <w:r w:rsidR="00BD19E2">
              <w:t xml:space="preserve"> and NPRR1245</w:t>
            </w:r>
            <w:r w:rsidR="00002953">
              <w:t>; or upon system implementation for NPRR1014</w:t>
            </w:r>
            <w:r>
              <w:t>:]</w:t>
            </w:r>
          </w:p>
          <w:p w14:paraId="27CC6BE5" w14:textId="77777777" w:rsidR="00D81D75" w:rsidRPr="00A552C3" w:rsidRDefault="00D81D75" w:rsidP="00D81D75">
            <w:pPr>
              <w:keepNext/>
              <w:widowControl w:val="0"/>
              <w:tabs>
                <w:tab w:val="left" w:pos="1260"/>
              </w:tabs>
              <w:spacing w:before="480" w:after="240"/>
              <w:ind w:left="1267" w:hanging="1267"/>
              <w:outlineLvl w:val="3"/>
              <w:rPr>
                <w:b/>
                <w:bCs/>
                <w:snapToGrid w:val="0"/>
              </w:rPr>
            </w:pPr>
            <w:bookmarkStart w:id="2567" w:name="_Toc60040730"/>
            <w:bookmarkStart w:id="2568" w:name="_Toc65151789"/>
            <w:bookmarkStart w:id="2569" w:name="_Toc80174815"/>
            <w:bookmarkStart w:id="2570" w:name="_Toc112417695"/>
            <w:bookmarkStart w:id="2571" w:name="_Toc119310364"/>
            <w:bookmarkStart w:id="2572" w:name="_Toc125966297"/>
            <w:bookmarkStart w:id="2573" w:name="_Toc135992395"/>
            <w:bookmarkStart w:id="2574" w:name="_Toc170303591"/>
            <w:bookmarkStart w:id="2575" w:name="_Toc175157495"/>
            <w:bookmarkStart w:id="2576" w:name="_Toc204411724"/>
            <w:r w:rsidRPr="00A552C3">
              <w:rPr>
                <w:b/>
                <w:bCs/>
                <w:snapToGrid w:val="0"/>
              </w:rPr>
              <w:t>6.6.9.1</w:t>
            </w:r>
            <w:r w:rsidRPr="00A552C3">
              <w:rPr>
                <w:b/>
                <w:bCs/>
                <w:snapToGrid w:val="0"/>
              </w:rPr>
              <w:tab/>
              <w:t>Payment for Emergency Operations Settlement</w:t>
            </w:r>
            <w:bookmarkEnd w:id="2567"/>
            <w:bookmarkEnd w:id="2568"/>
            <w:bookmarkEnd w:id="2569"/>
            <w:bookmarkEnd w:id="2570"/>
            <w:bookmarkEnd w:id="2571"/>
            <w:bookmarkEnd w:id="2572"/>
            <w:bookmarkEnd w:id="2573"/>
            <w:bookmarkEnd w:id="2574"/>
            <w:bookmarkEnd w:id="2575"/>
            <w:bookmarkEnd w:id="2576"/>
          </w:p>
          <w:p w14:paraId="6853E9E2" w14:textId="77777777" w:rsidR="00D81D75" w:rsidRPr="00A552C3" w:rsidRDefault="00D81D75" w:rsidP="00D81D75">
            <w:pPr>
              <w:spacing w:after="240"/>
              <w:ind w:left="720" w:hanging="720"/>
              <w:rPr>
                <w:iCs/>
              </w:rPr>
            </w:pPr>
            <w:r w:rsidRPr="00A552C3">
              <w:rPr>
                <w:iCs/>
              </w:rPr>
              <w:t>(1)</w:t>
            </w:r>
            <w:r w:rsidRPr="00A552C3">
              <w:rPr>
                <w:iCs/>
              </w:rPr>
              <w:tab/>
              <w:t>ERCOT shall pay the QSE additional compensation for the Resource at its Resource Node Settlement Point during the Settlement Intervals that qualify for emergency Settlement as described in Section 6.6.9, Emergency Operations Settlement.  The payment for a given 15-minute Settlement Interval is calculated as follows:</w:t>
            </w:r>
          </w:p>
          <w:p w14:paraId="76407E0E" w14:textId="77777777" w:rsidR="00D81D75" w:rsidRPr="00A552C3" w:rsidRDefault="00D81D75" w:rsidP="00D81D75">
            <w:pPr>
              <w:tabs>
                <w:tab w:val="left" w:pos="2340"/>
                <w:tab w:val="left" w:pos="3420"/>
              </w:tabs>
              <w:spacing w:before="240" w:after="240"/>
              <w:ind w:left="3420" w:hanging="2700"/>
              <w:rPr>
                <w:rFonts w:eastAsiaTheme="minorHAnsi"/>
                <w:b/>
                <w:lang w:val="pt-BR"/>
              </w:rPr>
            </w:pPr>
            <w:r w:rsidRPr="00A552C3">
              <w:rPr>
                <w:b/>
                <w:bCs/>
                <w:lang w:val="pt-BR"/>
              </w:rPr>
              <w:t xml:space="preserve">EMREAMT </w:t>
            </w:r>
            <w:r w:rsidRPr="00A552C3">
              <w:rPr>
                <w:b/>
                <w:bCs/>
                <w:i/>
                <w:vertAlign w:val="subscript"/>
                <w:lang w:val="pt-BR"/>
              </w:rPr>
              <w:t>q, r, p</w:t>
            </w:r>
            <w:r w:rsidRPr="00A552C3">
              <w:rPr>
                <w:b/>
                <w:bCs/>
                <w:lang w:val="pt-BR"/>
              </w:rPr>
              <w:tab/>
              <w:t>=</w:t>
            </w:r>
            <w:r w:rsidRPr="00A552C3">
              <w:rPr>
                <w:b/>
                <w:bCs/>
                <w:lang w:val="pt-BR"/>
              </w:rPr>
              <w:tab/>
              <w:t xml:space="preserve">(-1) * (EMREPRGEN </w:t>
            </w:r>
            <w:r w:rsidRPr="00A552C3">
              <w:rPr>
                <w:b/>
                <w:bCs/>
                <w:i/>
                <w:vertAlign w:val="subscript"/>
                <w:lang w:val="pt-BR"/>
              </w:rPr>
              <w:t>q, r, p</w:t>
            </w:r>
            <w:r w:rsidRPr="00A552C3">
              <w:rPr>
                <w:b/>
                <w:bCs/>
                <w:lang w:val="pt-BR"/>
              </w:rPr>
              <w:t xml:space="preserve"> * EMREGEN </w:t>
            </w:r>
            <w:r w:rsidRPr="00A552C3">
              <w:rPr>
                <w:b/>
                <w:bCs/>
                <w:i/>
                <w:vertAlign w:val="subscript"/>
                <w:lang w:val="pt-BR"/>
              </w:rPr>
              <w:t>q, r, p</w:t>
            </w:r>
            <w:r w:rsidRPr="00A552C3">
              <w:rPr>
                <w:b/>
                <w:bCs/>
                <w:lang w:val="pt-BR"/>
              </w:rPr>
              <w:t>)</w:t>
            </w:r>
            <w:r w:rsidRPr="00A552C3">
              <w:rPr>
                <w:rFonts w:eastAsiaTheme="minorHAnsi"/>
                <w:b/>
                <w:lang w:val="pt-BR"/>
              </w:rPr>
              <w:t xml:space="preserve"> </w:t>
            </w:r>
          </w:p>
          <w:p w14:paraId="2330E210" w14:textId="442E80F2" w:rsidR="00D81D75" w:rsidRPr="00A552C3" w:rsidRDefault="00D81D75" w:rsidP="00D81D75">
            <w:pPr>
              <w:tabs>
                <w:tab w:val="left" w:pos="2340"/>
                <w:tab w:val="left" w:pos="3420"/>
              </w:tabs>
              <w:spacing w:before="240" w:after="240"/>
              <w:ind w:left="3420" w:hanging="2700"/>
              <w:rPr>
                <w:b/>
                <w:bCs/>
                <w:lang w:val="pt-BR"/>
              </w:rPr>
            </w:pPr>
            <w:r w:rsidRPr="00A552C3">
              <w:rPr>
                <w:b/>
                <w:bCs/>
                <w:lang w:val="pt-BR"/>
              </w:rPr>
              <w:tab/>
            </w:r>
            <w:r w:rsidRPr="00A552C3">
              <w:rPr>
                <w:b/>
                <w:bCs/>
                <w:lang w:val="pt-BR"/>
              </w:rPr>
              <w:tab/>
            </w:r>
            <w:r w:rsidRPr="00A552C3">
              <w:rPr>
                <w:rFonts w:eastAsiaTheme="minorHAnsi"/>
                <w:b/>
                <w:lang w:val="pt-BR"/>
              </w:rPr>
              <w:t xml:space="preserve">+ </w:t>
            </w:r>
            <w:r w:rsidR="00BD19E2" w:rsidRPr="00A552C3">
              <w:rPr>
                <w:b/>
                <w:bCs/>
                <w:lang w:val="pt-BR"/>
              </w:rPr>
              <w:t>(</w:t>
            </w:r>
            <w:r w:rsidRPr="00A552C3">
              <w:rPr>
                <w:rFonts w:eastAsiaTheme="minorHAnsi"/>
                <w:b/>
                <w:lang w:val="pt-BR"/>
              </w:rPr>
              <w:t xml:space="preserve">EMREPRLOAD </w:t>
            </w:r>
            <w:r w:rsidRPr="00A552C3">
              <w:rPr>
                <w:rFonts w:eastAsiaTheme="minorHAnsi"/>
                <w:b/>
                <w:i/>
                <w:vertAlign w:val="subscript"/>
                <w:lang w:val="pt-BR"/>
              </w:rPr>
              <w:t>q, r, p</w:t>
            </w:r>
            <w:r w:rsidRPr="00A552C3">
              <w:rPr>
                <w:rFonts w:eastAsiaTheme="minorHAnsi"/>
                <w:b/>
                <w:lang w:val="pt-BR"/>
              </w:rPr>
              <w:t xml:space="preserve"> * EMRELOAD </w:t>
            </w:r>
            <w:r w:rsidRPr="00A552C3">
              <w:rPr>
                <w:rFonts w:eastAsiaTheme="minorHAnsi"/>
                <w:b/>
                <w:i/>
                <w:vertAlign w:val="subscript"/>
                <w:lang w:val="pt-BR"/>
              </w:rPr>
              <w:t>q, r, p</w:t>
            </w:r>
            <w:r w:rsidR="00BD19E2" w:rsidRPr="00A552C3">
              <w:rPr>
                <w:b/>
                <w:bCs/>
                <w:lang w:val="pt-BR"/>
              </w:rPr>
              <w:t>)</w:t>
            </w:r>
          </w:p>
          <w:p w14:paraId="255D46C6" w14:textId="77777777" w:rsidR="00D81D75" w:rsidRPr="00A552C3" w:rsidRDefault="00D81D75" w:rsidP="00D81D75">
            <w:pPr>
              <w:spacing w:after="240"/>
              <w:rPr>
                <w:lang w:val="pt-BR"/>
              </w:rPr>
            </w:pPr>
            <w:r w:rsidRPr="00A552C3">
              <w:rPr>
                <w:lang w:val="pt-BR"/>
              </w:rPr>
              <w:t>Where:</w:t>
            </w:r>
          </w:p>
          <w:p w14:paraId="0670CDEF"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If any EBP &gt; 0 then:</w:t>
            </w:r>
          </w:p>
          <w:p w14:paraId="3098FF8D"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EMREPRGEN </w:t>
            </w:r>
            <w:r w:rsidRPr="00A552C3">
              <w:rPr>
                <w:bCs/>
                <w:i/>
                <w:vertAlign w:val="subscript"/>
                <w:lang w:val="pt-BR"/>
              </w:rPr>
              <w:t>q, r, p</w:t>
            </w:r>
            <w:r w:rsidRPr="00A552C3">
              <w:rPr>
                <w:bCs/>
                <w:lang w:val="pt-BR"/>
              </w:rPr>
              <w:tab/>
            </w:r>
            <w:r w:rsidRPr="00A552C3">
              <w:rPr>
                <w:bCs/>
                <w:lang w:val="pt-BR"/>
              </w:rPr>
              <w:tab/>
              <w:t>=</w:t>
            </w:r>
            <w:r w:rsidRPr="00A552C3">
              <w:rPr>
                <w:bCs/>
                <w:lang w:val="pt-BR"/>
              </w:rPr>
              <w:tab/>
              <w:t xml:space="preserve">Max (0, EBPWAPRGEN </w:t>
            </w:r>
            <w:r w:rsidRPr="00A552C3">
              <w:rPr>
                <w:bCs/>
                <w:i/>
                <w:vertAlign w:val="subscript"/>
                <w:lang w:val="pt-BR"/>
              </w:rPr>
              <w:t>q, r, p</w:t>
            </w:r>
            <w:r w:rsidRPr="00A552C3">
              <w:rPr>
                <w:bCs/>
                <w:lang w:val="pt-BR"/>
              </w:rPr>
              <w:t xml:space="preserve"> – RTSPP </w:t>
            </w:r>
            <w:r w:rsidRPr="00A552C3">
              <w:rPr>
                <w:bCs/>
                <w:i/>
                <w:vertAlign w:val="subscript"/>
                <w:lang w:val="pt-BR"/>
              </w:rPr>
              <w:t>p</w:t>
            </w:r>
            <w:r w:rsidRPr="00A552C3">
              <w:rPr>
                <w:bCs/>
                <w:lang w:val="pt-BR"/>
              </w:rPr>
              <w:t>)</w:t>
            </w:r>
          </w:p>
          <w:p w14:paraId="789080C3"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EBPWAPRGEN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3ED95092">
                <v:shape id="_x0000_i1244" type="#_x0000_t75" style="width:12pt;height:24.6pt" o:ole="">
                  <v:imagedata r:id="rId294" o:title=""/>
                </v:shape>
                <o:OLEObject Type="Embed" ProgID="Equation.3" ShapeID="_x0000_i1244" DrawAspect="Content" ObjectID="_1815025433" r:id="rId301"/>
              </w:object>
            </w:r>
            <w:r w:rsidRPr="00A552C3">
              <w:rPr>
                <w:bCs/>
                <w:lang w:val="pt-BR"/>
              </w:rPr>
              <w:t xml:space="preserve">(EBPPR </w:t>
            </w:r>
            <w:r w:rsidRPr="00A552C3">
              <w:rPr>
                <w:bCs/>
                <w:i/>
                <w:vertAlign w:val="subscript"/>
                <w:lang w:val="pt-BR"/>
              </w:rPr>
              <w:t>q, r, p, y</w:t>
            </w:r>
            <w:r w:rsidRPr="00A552C3">
              <w:rPr>
                <w:bCs/>
                <w:lang w:val="pt-BR"/>
              </w:rPr>
              <w:t xml:space="preserve"> * Max (0.001, EBP </w:t>
            </w:r>
            <w:r w:rsidRPr="00A552C3">
              <w:rPr>
                <w:bCs/>
                <w:i/>
                <w:vertAlign w:val="subscript"/>
                <w:lang w:val="pt-BR"/>
              </w:rPr>
              <w:t>q, r, p, y</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5AA8B00D"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tab/>
            </w:r>
            <w:r w:rsidRPr="00A552C3">
              <w:rPr>
                <w:bCs/>
                <w:lang w:val="pt-BR"/>
              </w:rPr>
              <w:tab/>
            </w:r>
            <w:r w:rsidRPr="00A552C3">
              <w:rPr>
                <w:bCs/>
                <w:lang w:val="pt-BR"/>
              </w:rPr>
              <w:tab/>
            </w:r>
            <w:r w:rsidRPr="00A552C3">
              <w:rPr>
                <w:bCs/>
                <w:position w:val="-22"/>
              </w:rPr>
              <w:object w:dxaOrig="225" w:dyaOrig="450" w14:anchorId="31F4BBD2">
                <v:shape id="_x0000_i1245" type="#_x0000_t75" style="width:12pt;height:24.6pt" o:ole="">
                  <v:imagedata r:id="rId296" o:title=""/>
                </v:shape>
                <o:OLEObject Type="Embed" ProgID="Equation.3" ShapeID="_x0000_i1245" DrawAspect="Content" ObjectID="_1815025434" r:id="rId302"/>
              </w:object>
            </w:r>
            <w:r w:rsidRPr="00A552C3">
              <w:rPr>
                <w:bCs/>
                <w:lang w:val="es-MX"/>
              </w:rPr>
              <w:t xml:space="preserve">(Max (0.001, EBP </w:t>
            </w:r>
            <w:r w:rsidRPr="00A552C3">
              <w:rPr>
                <w:bCs/>
                <w:i/>
                <w:vertAlign w:val="subscript"/>
                <w:lang w:val="es-MX"/>
              </w:rPr>
              <w:t>q, r, p, y</w:t>
            </w:r>
            <w:r w:rsidRPr="00A552C3">
              <w:rPr>
                <w:bCs/>
                <w:lang w:val="pt-BR"/>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1476BC44" w14:textId="5AB4D7AB" w:rsidR="00D81D75" w:rsidRPr="00A552C3" w:rsidRDefault="00D81D75" w:rsidP="00D81D75">
            <w:pPr>
              <w:tabs>
                <w:tab w:val="left" w:pos="2340"/>
                <w:tab w:val="left" w:pos="2880"/>
              </w:tabs>
              <w:spacing w:after="240"/>
              <w:ind w:left="987" w:hanging="269"/>
              <w:rPr>
                <w:bCs/>
                <w:lang w:val="es-MX"/>
              </w:rPr>
            </w:pPr>
            <w:r w:rsidRPr="00A552C3">
              <w:rPr>
                <w:bCs/>
                <w:lang w:val="pt-BR"/>
              </w:rPr>
              <w:t>EMREGEN</w:t>
            </w:r>
            <w:r w:rsidRPr="00A552C3">
              <w:rPr>
                <w:bCs/>
                <w:lang w:val="es-MX"/>
              </w:rPr>
              <w:t xml:space="preserve"> </w:t>
            </w:r>
            <w:r w:rsidRPr="00A552C3">
              <w:rPr>
                <w:bCs/>
                <w:i/>
                <w:vertAlign w:val="subscript"/>
                <w:lang w:val="es-MX"/>
              </w:rPr>
              <w:t>q, r, p</w:t>
            </w:r>
            <w:r w:rsidRPr="00A552C3">
              <w:rPr>
                <w:bCs/>
                <w:lang w:val="es-MX"/>
              </w:rPr>
              <w:tab/>
              <w:t>=</w:t>
            </w:r>
            <w:r w:rsidRPr="00A552C3">
              <w:rPr>
                <w:bCs/>
                <w:lang w:val="es-MX"/>
              </w:rPr>
              <w:tab/>
              <w:t>Max (0, Min (</w:t>
            </w:r>
            <w:r w:rsidRPr="00A552C3">
              <w:rPr>
                <w:bCs/>
                <w:lang w:val="pt-BR"/>
              </w:rPr>
              <w:t>AEBPGEN</w:t>
            </w:r>
            <w:r w:rsidRPr="00A552C3">
              <w:rPr>
                <w:bCs/>
                <w:vertAlign w:val="subscript"/>
                <w:lang w:val="pt-BR"/>
              </w:rPr>
              <w:t xml:space="preserve"> </w:t>
            </w:r>
            <w:r w:rsidRPr="00A552C3">
              <w:rPr>
                <w:bCs/>
                <w:i/>
                <w:vertAlign w:val="subscript"/>
                <w:lang w:val="pt-BR"/>
              </w:rPr>
              <w:t>q, r, p</w:t>
            </w:r>
            <w:r w:rsidRPr="00A552C3">
              <w:rPr>
                <w:bCs/>
                <w:lang w:val="pt-BR"/>
              </w:rPr>
              <w:t>,</w:t>
            </w:r>
            <w:r w:rsidRPr="00A552C3">
              <w:rPr>
                <w:bCs/>
                <w:lang w:val="es-MX"/>
              </w:rPr>
              <w:t xml:space="preserve"> RTMG </w:t>
            </w:r>
            <w:r w:rsidRPr="00A552C3">
              <w:rPr>
                <w:bCs/>
                <w:i/>
                <w:vertAlign w:val="subscript"/>
                <w:lang w:val="es-MX"/>
              </w:rPr>
              <w:t>q, r, p</w:t>
            </w:r>
            <w:r w:rsidRPr="00A552C3">
              <w:rPr>
                <w:bCs/>
                <w:lang w:val="es-MX"/>
              </w:rPr>
              <w:t>) – ¼ * Max</w:t>
            </w:r>
            <w:r w:rsidR="00792C7F">
              <w:rPr>
                <w:bCs/>
                <w:lang w:val="es-MX"/>
              </w:rPr>
              <w:t xml:space="preserve"> </w:t>
            </w:r>
            <w:r w:rsidRPr="00A552C3">
              <w:rPr>
                <w:bCs/>
                <w:lang w:val="es-MX"/>
              </w:rPr>
              <w:t xml:space="preserve">(0, BP </w:t>
            </w:r>
            <w:r w:rsidRPr="00A552C3">
              <w:rPr>
                <w:bCs/>
                <w:i/>
                <w:vertAlign w:val="subscript"/>
                <w:lang w:val="es-MX"/>
              </w:rPr>
              <w:t>q, r, p</w:t>
            </w:r>
            <w:r w:rsidRPr="00A552C3">
              <w:rPr>
                <w:bCs/>
                <w:lang w:val="es-MX"/>
              </w:rPr>
              <w:t>))</w:t>
            </w:r>
          </w:p>
          <w:p w14:paraId="2A213281" w14:textId="1C367DC6" w:rsidR="00D81D75" w:rsidRPr="00A552C3" w:rsidRDefault="00D81D75" w:rsidP="00D81D75">
            <w:pPr>
              <w:tabs>
                <w:tab w:val="left" w:pos="2340"/>
                <w:tab w:val="left" w:pos="2880"/>
              </w:tabs>
              <w:spacing w:after="240"/>
              <w:ind w:left="987" w:hanging="269"/>
              <w:rPr>
                <w:bCs/>
                <w:lang w:val="pt-BR"/>
              </w:rPr>
            </w:pPr>
            <w:r w:rsidRPr="00A552C3">
              <w:rPr>
                <w:bCs/>
                <w:lang w:val="pt-BR"/>
              </w:rPr>
              <w:lastRenderedPageBreak/>
              <w:t>AEBPGEN</w:t>
            </w:r>
            <w:r w:rsidRPr="00A552C3">
              <w:rPr>
                <w:bCs/>
                <w:vertAlign w:val="subscript"/>
                <w:lang w:val="pt-BR"/>
              </w:rPr>
              <w:t xml:space="preserve"> </w:t>
            </w:r>
            <w:r w:rsidRPr="00A552C3">
              <w:rPr>
                <w:bCs/>
                <w:i/>
                <w:vertAlign w:val="subscript"/>
                <w:lang w:val="pt-BR"/>
              </w:rPr>
              <w:t>q, r, p</w:t>
            </w:r>
            <w:r w:rsidRPr="00A552C3">
              <w:rPr>
                <w:bCs/>
                <w:lang w:val="pt-BR"/>
              </w:rPr>
              <w:tab/>
            </w:r>
            <w:r w:rsidRPr="00A552C3">
              <w:rPr>
                <w:bCs/>
                <w:lang w:val="pt-BR"/>
              </w:rPr>
              <w:tab/>
              <w:t>=</w:t>
            </w:r>
            <w:r w:rsidRPr="00A552C3">
              <w:rPr>
                <w:bCs/>
                <w:lang w:val="pt-BR"/>
              </w:rPr>
              <w:tab/>
            </w:r>
            <w:r w:rsidRPr="00A552C3">
              <w:rPr>
                <w:bCs/>
                <w:position w:val="-22"/>
              </w:rPr>
              <w:object w:dxaOrig="225" w:dyaOrig="450" w14:anchorId="14D62568">
                <v:shape id="_x0000_i1246" type="#_x0000_t75" style="width:12pt;height:24.6pt" o:ole="">
                  <v:imagedata r:id="rId296" o:title=""/>
                </v:shape>
                <o:OLEObject Type="Embed" ProgID="Equation.3" ShapeID="_x0000_i1246" DrawAspect="Content" ObjectID="_1815025435" r:id="rId303"/>
              </w:object>
            </w:r>
            <w:r w:rsidRPr="00A552C3">
              <w:rPr>
                <w:bCs/>
                <w:lang w:val="pt-BR"/>
              </w:rPr>
              <w:t xml:space="preserve"> (Max (0, EBP </w:t>
            </w:r>
            <w:r w:rsidRPr="00A552C3">
              <w:rPr>
                <w:bCs/>
                <w:i/>
                <w:vertAlign w:val="subscript"/>
                <w:lang w:val="pt-BR"/>
              </w:rPr>
              <w:t>q, r, p, y</w:t>
            </w:r>
            <w:r w:rsidRPr="00A552C3">
              <w:rPr>
                <w:bCs/>
                <w:lang w:val="pt-BR"/>
              </w:rPr>
              <w:t>) * TLMP</w:t>
            </w:r>
            <w:r w:rsidR="00952F33">
              <w:rPr>
                <w:bCs/>
                <w:lang w:val="pt-BR"/>
              </w:rPr>
              <w:t xml:space="preserve"> </w:t>
            </w:r>
            <w:r w:rsidRPr="00A552C3">
              <w:rPr>
                <w:bCs/>
                <w:i/>
                <w:vertAlign w:val="subscript"/>
                <w:lang w:val="pt-BR"/>
              </w:rPr>
              <w:t>y</w:t>
            </w:r>
            <w:r w:rsidRPr="00A552C3">
              <w:rPr>
                <w:bCs/>
                <w:lang w:val="pt-BR"/>
              </w:rPr>
              <w:t xml:space="preserve"> / 3600)</w:t>
            </w:r>
          </w:p>
          <w:p w14:paraId="569B425F" w14:textId="77777777" w:rsidR="00D81D75" w:rsidRPr="00A552C3" w:rsidRDefault="00D81D75" w:rsidP="00D81D75">
            <w:pPr>
              <w:tabs>
                <w:tab w:val="left" w:pos="2340"/>
                <w:tab w:val="left" w:pos="2880"/>
              </w:tabs>
              <w:spacing w:after="240"/>
              <w:ind w:left="720"/>
              <w:rPr>
                <w:bCs/>
                <w:lang w:val="pt-BR"/>
              </w:rPr>
            </w:pPr>
            <w:r w:rsidRPr="00A552C3">
              <w:rPr>
                <w:bCs/>
                <w:lang w:val="pt-BR"/>
              </w:rPr>
              <w:t>If any EBP &lt; 0 then:</w:t>
            </w:r>
          </w:p>
          <w:p w14:paraId="1D4E299B" w14:textId="54EA321E" w:rsidR="00D81D75" w:rsidRPr="00A552C3" w:rsidRDefault="00D81D75" w:rsidP="00D81D75">
            <w:pPr>
              <w:tabs>
                <w:tab w:val="left" w:pos="2340"/>
                <w:tab w:val="left" w:pos="2880"/>
              </w:tabs>
              <w:spacing w:after="240"/>
              <w:ind w:left="720"/>
              <w:rPr>
                <w:bCs/>
                <w:lang w:val="pt-BR"/>
              </w:rPr>
            </w:pPr>
            <w:r w:rsidRPr="00A552C3">
              <w:rPr>
                <w:bCs/>
                <w:lang w:val="pt-BR"/>
              </w:rPr>
              <w:t xml:space="preserve">EMREPRLOAD </w:t>
            </w:r>
            <w:r w:rsidRPr="00A552C3">
              <w:rPr>
                <w:bCs/>
                <w:i/>
                <w:vertAlign w:val="subscript"/>
                <w:lang w:val="pt-BR"/>
              </w:rPr>
              <w:t>q, r, p</w:t>
            </w:r>
            <w:r w:rsidRPr="00A552C3">
              <w:rPr>
                <w:bCs/>
                <w:lang w:val="pt-BR"/>
              </w:rPr>
              <w:tab/>
            </w:r>
            <w:r w:rsidRPr="00A552C3">
              <w:rPr>
                <w:bCs/>
                <w:lang w:val="pt-BR"/>
              </w:rPr>
              <w:tab/>
              <w:t>=</w:t>
            </w:r>
            <w:r w:rsidRPr="00A552C3">
              <w:rPr>
                <w:bCs/>
                <w:lang w:val="pt-BR"/>
              </w:rPr>
              <w:tab/>
              <w:t>Max (0, RTSPP</w:t>
            </w:r>
            <w:r w:rsidRPr="00A552C3">
              <w:rPr>
                <w:bCs/>
                <w:i/>
                <w:vertAlign w:val="subscript"/>
                <w:lang w:val="pt-BR"/>
              </w:rPr>
              <w:t xml:space="preserve"> p</w:t>
            </w:r>
            <w:r w:rsidRPr="00A552C3">
              <w:rPr>
                <w:bCs/>
                <w:lang w:val="pt-BR"/>
              </w:rPr>
              <w:t xml:space="preserve"> – EBPWAPRLOAD </w:t>
            </w:r>
            <w:r w:rsidRPr="00A552C3">
              <w:rPr>
                <w:bCs/>
                <w:i/>
                <w:vertAlign w:val="subscript"/>
                <w:lang w:val="pt-BR"/>
              </w:rPr>
              <w:t>q, r, p</w:t>
            </w:r>
            <w:r w:rsidRPr="00A552C3">
              <w:rPr>
                <w:bCs/>
                <w:lang w:val="pt-BR"/>
              </w:rPr>
              <w:t>)</w:t>
            </w:r>
          </w:p>
          <w:p w14:paraId="5A9ED2C8" w14:textId="77777777" w:rsidR="00D81D75" w:rsidRPr="00A552C3" w:rsidRDefault="00D81D75" w:rsidP="00D81D75">
            <w:pPr>
              <w:tabs>
                <w:tab w:val="left" w:pos="2340"/>
                <w:tab w:val="left" w:pos="2880"/>
              </w:tabs>
              <w:spacing w:after="240"/>
              <w:ind w:left="720"/>
              <w:rPr>
                <w:b/>
                <w:bCs/>
                <w:sz w:val="32"/>
                <w:szCs w:val="32"/>
                <w:lang w:val="pt-BR"/>
              </w:rPr>
            </w:pPr>
            <w:r w:rsidRPr="00A552C3">
              <w:rPr>
                <w:bCs/>
                <w:lang w:val="pt-BR"/>
              </w:rPr>
              <w:t xml:space="preserve">EBPWAPRLOAD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7665D082">
                <v:shape id="_x0000_i1247" type="#_x0000_t75" style="width:12pt;height:24.6pt" o:ole="">
                  <v:imagedata r:id="rId294" o:title=""/>
                </v:shape>
                <o:OLEObject Type="Embed" ProgID="Equation.3" ShapeID="_x0000_i1247" DrawAspect="Content" ObjectID="_1815025436" r:id="rId304"/>
              </w:object>
            </w:r>
            <w:r w:rsidRPr="00A552C3">
              <w:rPr>
                <w:bCs/>
                <w:lang w:val="pt-BR"/>
              </w:rPr>
              <w:t xml:space="preserve">(EBPPR </w:t>
            </w:r>
            <w:r w:rsidRPr="00A552C3">
              <w:rPr>
                <w:bCs/>
                <w:i/>
                <w:vertAlign w:val="subscript"/>
                <w:lang w:val="pt-BR"/>
              </w:rPr>
              <w:t>q, r, p, y</w:t>
            </w:r>
            <w:r w:rsidRPr="00A552C3">
              <w:rPr>
                <w:bCs/>
                <w:lang w:val="pt-BR"/>
              </w:rPr>
              <w:t xml:space="preserve"> * Min (-0.001, EBP </w:t>
            </w:r>
            <w:r w:rsidRPr="00A552C3">
              <w:rPr>
                <w:bCs/>
                <w:i/>
                <w:vertAlign w:val="subscript"/>
                <w:lang w:val="pt-BR"/>
              </w:rPr>
              <w:t>q, r, p, y</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1A093AB2" w14:textId="77777777" w:rsidR="00D81D75" w:rsidRPr="00A552C3" w:rsidRDefault="00D81D75" w:rsidP="00D81D75">
            <w:pPr>
              <w:tabs>
                <w:tab w:val="left" w:pos="2340"/>
                <w:tab w:val="left" w:pos="2880"/>
              </w:tabs>
              <w:spacing w:after="240"/>
              <w:ind w:left="720"/>
              <w:rPr>
                <w:bCs/>
                <w:lang w:val="es-MX"/>
              </w:rPr>
            </w:pPr>
            <w:r w:rsidRPr="00A552C3">
              <w:rPr>
                <w:bCs/>
                <w:lang w:val="pt-BR"/>
              </w:rPr>
              <w:tab/>
            </w:r>
            <w:r w:rsidRPr="00A552C3">
              <w:rPr>
                <w:bCs/>
                <w:lang w:val="pt-BR"/>
              </w:rPr>
              <w:tab/>
            </w:r>
            <w:r w:rsidRPr="00A552C3">
              <w:rPr>
                <w:bCs/>
                <w:lang w:val="pt-BR"/>
              </w:rPr>
              <w:tab/>
            </w:r>
            <w:r w:rsidRPr="00A552C3">
              <w:rPr>
                <w:bCs/>
                <w:lang w:val="pt-BR"/>
              </w:rPr>
              <w:tab/>
            </w:r>
            <w:r w:rsidRPr="00A552C3">
              <w:rPr>
                <w:bCs/>
                <w:position w:val="-22"/>
              </w:rPr>
              <w:object w:dxaOrig="225" w:dyaOrig="450" w14:anchorId="3AFD013D">
                <v:shape id="_x0000_i1248" type="#_x0000_t75" style="width:12pt;height:24.6pt" o:ole="">
                  <v:imagedata r:id="rId296" o:title=""/>
                </v:shape>
                <o:OLEObject Type="Embed" ProgID="Equation.3" ShapeID="_x0000_i1248" DrawAspect="Content" ObjectID="_1815025437" r:id="rId305"/>
              </w:object>
            </w:r>
            <w:r w:rsidRPr="00A552C3">
              <w:rPr>
                <w:bCs/>
                <w:lang w:val="es-MX"/>
              </w:rPr>
              <w:t>(</w:t>
            </w:r>
            <w:r w:rsidRPr="00A552C3">
              <w:rPr>
                <w:bCs/>
                <w:lang w:val="pt-BR"/>
              </w:rPr>
              <w:t xml:space="preserve">Min (-0.001, </w:t>
            </w:r>
            <w:r w:rsidRPr="00A552C3">
              <w:rPr>
                <w:bCs/>
                <w:lang w:val="es-MX"/>
              </w:rPr>
              <w:t xml:space="preserve">EBP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6F1D71B0" w14:textId="0DDC73FD" w:rsidR="00D81D75" w:rsidRPr="00A552C3" w:rsidRDefault="00D81D75" w:rsidP="00D81D75">
            <w:pPr>
              <w:tabs>
                <w:tab w:val="left" w:pos="2340"/>
                <w:tab w:val="left" w:pos="2880"/>
              </w:tabs>
              <w:spacing w:after="240"/>
              <w:ind w:left="720"/>
              <w:rPr>
                <w:bCs/>
                <w:lang w:val="es-MX"/>
              </w:rPr>
            </w:pPr>
            <w:r w:rsidRPr="00A552C3">
              <w:rPr>
                <w:bCs/>
                <w:lang w:val="pt-BR"/>
              </w:rPr>
              <w:t>EMRELOAD</w:t>
            </w:r>
            <w:r w:rsidRPr="00A552C3">
              <w:rPr>
                <w:bCs/>
                <w:lang w:val="es-MX"/>
              </w:rPr>
              <w:t xml:space="preserve"> </w:t>
            </w:r>
            <w:r w:rsidRPr="00A552C3">
              <w:rPr>
                <w:bCs/>
                <w:i/>
                <w:vertAlign w:val="subscript"/>
                <w:lang w:val="es-MX"/>
              </w:rPr>
              <w:t>q, r, p</w:t>
            </w:r>
            <w:r w:rsidRPr="00A552C3">
              <w:rPr>
                <w:bCs/>
                <w:lang w:val="es-MX"/>
              </w:rPr>
              <w:tab/>
              <w:t>=      Min (0, Max (</w:t>
            </w:r>
            <w:r w:rsidRPr="00A552C3">
              <w:rPr>
                <w:bCs/>
                <w:lang w:val="pt-BR"/>
              </w:rPr>
              <w:t>AEBPLOAD</w:t>
            </w:r>
            <w:r w:rsidRPr="00A552C3">
              <w:rPr>
                <w:bCs/>
                <w:vertAlign w:val="subscript"/>
                <w:lang w:val="pt-BR"/>
              </w:rPr>
              <w:t xml:space="preserve"> </w:t>
            </w:r>
            <w:r w:rsidRPr="00A552C3">
              <w:rPr>
                <w:bCs/>
                <w:i/>
                <w:vertAlign w:val="subscript"/>
                <w:lang w:val="pt-BR"/>
              </w:rPr>
              <w:t>q, r, p</w:t>
            </w:r>
            <w:r w:rsidRPr="00A552C3">
              <w:rPr>
                <w:bCs/>
                <w:lang w:val="pt-BR"/>
              </w:rPr>
              <w:t>,</w:t>
            </w:r>
            <w:r w:rsidRPr="00A552C3">
              <w:rPr>
                <w:bCs/>
                <w:lang w:val="es-MX"/>
              </w:rPr>
              <w:t xml:space="preserve"> RTCL </w:t>
            </w:r>
            <w:r w:rsidRPr="00A552C3">
              <w:rPr>
                <w:bCs/>
                <w:i/>
                <w:vertAlign w:val="subscript"/>
                <w:lang w:val="es-MX"/>
              </w:rPr>
              <w:t>q, r, p</w:t>
            </w:r>
            <w:r w:rsidRPr="00A552C3">
              <w:rPr>
                <w:bCs/>
                <w:lang w:val="es-MX"/>
              </w:rPr>
              <w:t xml:space="preserve">) – ¼ * Min (0, BP </w:t>
            </w:r>
            <w:r w:rsidRPr="00A552C3">
              <w:rPr>
                <w:bCs/>
                <w:i/>
                <w:vertAlign w:val="subscript"/>
                <w:lang w:val="es-MX"/>
              </w:rPr>
              <w:t>q, r, p</w:t>
            </w:r>
            <w:r w:rsidRPr="00A552C3">
              <w:rPr>
                <w:bCs/>
                <w:lang w:val="es-MX"/>
              </w:rPr>
              <w:t>))</w:t>
            </w:r>
          </w:p>
          <w:p w14:paraId="579F6186" w14:textId="77777777" w:rsidR="00D81D75" w:rsidRPr="00A552C3" w:rsidRDefault="00D81D75" w:rsidP="00D81D75">
            <w:pPr>
              <w:tabs>
                <w:tab w:val="left" w:pos="2340"/>
                <w:tab w:val="left" w:pos="2880"/>
              </w:tabs>
              <w:spacing w:after="240"/>
              <w:ind w:left="720"/>
              <w:rPr>
                <w:bCs/>
                <w:lang w:val="pt-BR"/>
              </w:rPr>
            </w:pPr>
            <w:r w:rsidRPr="00A552C3">
              <w:rPr>
                <w:bCs/>
                <w:lang w:val="pt-BR"/>
              </w:rPr>
              <w:t>AEBPLOAD</w:t>
            </w:r>
            <w:r w:rsidRPr="00A552C3">
              <w:rPr>
                <w:bCs/>
                <w:i/>
                <w:vertAlign w:val="subscript"/>
                <w:lang w:val="pt-BR"/>
              </w:rPr>
              <w:t xml:space="preserve"> q, r, p</w:t>
            </w:r>
            <w:r w:rsidRPr="00A552C3">
              <w:rPr>
                <w:bCs/>
                <w:lang w:val="pt-BR"/>
              </w:rPr>
              <w:tab/>
              <w:t>=</w:t>
            </w:r>
            <w:r w:rsidRPr="00A552C3">
              <w:rPr>
                <w:bCs/>
                <w:lang w:val="pt-BR"/>
              </w:rPr>
              <w:tab/>
            </w:r>
            <w:r w:rsidRPr="00A552C3">
              <w:rPr>
                <w:bCs/>
                <w:position w:val="-22"/>
              </w:rPr>
              <w:object w:dxaOrig="225" w:dyaOrig="450" w14:anchorId="17255E4D">
                <v:shape id="_x0000_i1249" type="#_x0000_t75" style="width:12pt;height:24.6pt" o:ole="">
                  <v:imagedata r:id="rId296" o:title=""/>
                </v:shape>
                <o:OLEObject Type="Embed" ProgID="Equation.3" ShapeID="_x0000_i1249" DrawAspect="Content" ObjectID="_1815025438" r:id="rId306"/>
              </w:object>
            </w:r>
            <w:r w:rsidRPr="00A552C3">
              <w:rPr>
                <w:bCs/>
                <w:lang w:val="pt-BR"/>
              </w:rPr>
              <w:t xml:space="preserve"> (Min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p>
          <w:p w14:paraId="186D43CC" w14:textId="77777777" w:rsidR="00D81D75" w:rsidRPr="00A552C3" w:rsidRDefault="00D81D75" w:rsidP="00D81D75">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868"/>
              <w:gridCol w:w="6525"/>
            </w:tblGrid>
            <w:tr w:rsidR="00D81D75" w:rsidRPr="00A552C3" w14:paraId="0CA7ECD7" w14:textId="77777777" w:rsidTr="00C952ED">
              <w:trPr>
                <w:cantSplit/>
                <w:tblHeader/>
              </w:trPr>
              <w:tc>
                <w:tcPr>
                  <w:tcW w:w="934" w:type="pct"/>
                </w:tcPr>
                <w:p w14:paraId="32CEB516" w14:textId="77777777" w:rsidR="00D81D75" w:rsidRPr="00A552C3" w:rsidRDefault="00D81D75" w:rsidP="00D81D75">
                  <w:pPr>
                    <w:spacing w:after="240"/>
                    <w:rPr>
                      <w:b/>
                      <w:iCs/>
                      <w:sz w:val="20"/>
                    </w:rPr>
                  </w:pPr>
                  <w:r w:rsidRPr="00A552C3">
                    <w:rPr>
                      <w:b/>
                      <w:iCs/>
                      <w:sz w:val="20"/>
                    </w:rPr>
                    <w:t>Variable</w:t>
                  </w:r>
                </w:p>
              </w:tc>
              <w:tc>
                <w:tcPr>
                  <w:tcW w:w="481" w:type="pct"/>
                </w:tcPr>
                <w:p w14:paraId="3F05EDE0" w14:textId="77777777" w:rsidR="00D81D75" w:rsidRPr="00A552C3" w:rsidRDefault="00D81D75" w:rsidP="00D81D75">
                  <w:pPr>
                    <w:spacing w:after="240"/>
                    <w:rPr>
                      <w:b/>
                      <w:iCs/>
                      <w:sz w:val="20"/>
                    </w:rPr>
                  </w:pPr>
                  <w:r w:rsidRPr="00A552C3">
                    <w:rPr>
                      <w:b/>
                      <w:iCs/>
                      <w:sz w:val="20"/>
                    </w:rPr>
                    <w:t>Unit</w:t>
                  </w:r>
                </w:p>
              </w:tc>
              <w:tc>
                <w:tcPr>
                  <w:tcW w:w="3585" w:type="pct"/>
                </w:tcPr>
                <w:p w14:paraId="61837EE4" w14:textId="77777777" w:rsidR="00D81D75" w:rsidRPr="00A552C3" w:rsidRDefault="00D81D75" w:rsidP="00D81D75">
                  <w:pPr>
                    <w:spacing w:after="240"/>
                    <w:rPr>
                      <w:b/>
                      <w:iCs/>
                      <w:sz w:val="20"/>
                    </w:rPr>
                  </w:pPr>
                  <w:r w:rsidRPr="00A552C3">
                    <w:rPr>
                      <w:b/>
                      <w:iCs/>
                      <w:sz w:val="20"/>
                    </w:rPr>
                    <w:t>Definition</w:t>
                  </w:r>
                </w:p>
              </w:tc>
            </w:tr>
            <w:tr w:rsidR="00D81D75" w:rsidRPr="00A552C3" w14:paraId="793B3190" w14:textId="77777777" w:rsidTr="00C952ED">
              <w:trPr>
                <w:cantSplit/>
              </w:trPr>
              <w:tc>
                <w:tcPr>
                  <w:tcW w:w="934" w:type="pct"/>
                </w:tcPr>
                <w:p w14:paraId="213598D3" w14:textId="77777777" w:rsidR="00D81D75" w:rsidRPr="00A552C3" w:rsidRDefault="00D81D75" w:rsidP="00D81D75">
                  <w:pPr>
                    <w:spacing w:after="60"/>
                    <w:rPr>
                      <w:iCs/>
                      <w:sz w:val="20"/>
                    </w:rPr>
                  </w:pPr>
                  <w:r w:rsidRPr="00A552C3">
                    <w:rPr>
                      <w:iCs/>
                      <w:sz w:val="20"/>
                    </w:rPr>
                    <w:t xml:space="preserve">EMREAMT </w:t>
                  </w:r>
                  <w:r w:rsidRPr="00A552C3">
                    <w:rPr>
                      <w:i/>
                      <w:iCs/>
                      <w:sz w:val="20"/>
                      <w:vertAlign w:val="subscript"/>
                    </w:rPr>
                    <w:t>q, r, p</w:t>
                  </w:r>
                </w:p>
              </w:tc>
              <w:tc>
                <w:tcPr>
                  <w:tcW w:w="481" w:type="pct"/>
                </w:tcPr>
                <w:p w14:paraId="20348A48" w14:textId="77777777" w:rsidR="00D81D75" w:rsidRPr="00A552C3" w:rsidRDefault="00D81D75" w:rsidP="00D81D75">
                  <w:pPr>
                    <w:spacing w:after="60"/>
                    <w:rPr>
                      <w:iCs/>
                      <w:sz w:val="20"/>
                    </w:rPr>
                  </w:pPr>
                  <w:r w:rsidRPr="00A552C3">
                    <w:rPr>
                      <w:iCs/>
                      <w:sz w:val="20"/>
                    </w:rPr>
                    <w:t>$</w:t>
                  </w:r>
                </w:p>
              </w:tc>
              <w:tc>
                <w:tcPr>
                  <w:tcW w:w="3585" w:type="pct"/>
                </w:tcPr>
                <w:p w14:paraId="1AA9A567" w14:textId="77777777" w:rsidR="00D81D75" w:rsidRPr="00A552C3" w:rsidRDefault="00D81D75" w:rsidP="00D81D75">
                  <w:pPr>
                    <w:spacing w:after="60"/>
                    <w:rPr>
                      <w:iCs/>
                      <w:sz w:val="20"/>
                    </w:rPr>
                  </w:pPr>
                  <w:r w:rsidRPr="00A552C3">
                    <w:rPr>
                      <w:i/>
                      <w:iCs/>
                      <w:sz w:val="20"/>
                    </w:rPr>
                    <w:t>Emergency Energy Amount per QSE per Settlement Point per Resource</w:t>
                  </w:r>
                  <w:r w:rsidRPr="00A552C3">
                    <w:rPr>
                      <w:iCs/>
                      <w:sz w:val="20"/>
                    </w:rPr>
                    <w:t xml:space="preserve">—The payment to QSE </w:t>
                  </w:r>
                  <w:r w:rsidRPr="00A552C3">
                    <w:rPr>
                      <w:i/>
                      <w:iCs/>
                      <w:sz w:val="20"/>
                    </w:rPr>
                    <w:t>q</w:t>
                  </w:r>
                  <w:r w:rsidRPr="00A552C3">
                    <w:rPr>
                      <w:iCs/>
                      <w:sz w:val="20"/>
                    </w:rPr>
                    <w:t xml:space="preserve"> as additional compensation for the additional energy or Ancillary Services produced or consumed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30D896D" w14:textId="77777777" w:rsidTr="00C952ED">
              <w:trPr>
                <w:cantSplit/>
              </w:trPr>
              <w:tc>
                <w:tcPr>
                  <w:tcW w:w="934" w:type="pct"/>
                </w:tcPr>
                <w:p w14:paraId="6EE956A6" w14:textId="77777777" w:rsidR="00D81D75" w:rsidRPr="00A552C3" w:rsidRDefault="00D81D75" w:rsidP="00D81D75">
                  <w:pPr>
                    <w:spacing w:after="60"/>
                    <w:rPr>
                      <w:iCs/>
                      <w:sz w:val="20"/>
                    </w:rPr>
                  </w:pPr>
                  <w:r w:rsidRPr="00A552C3">
                    <w:rPr>
                      <w:iCs/>
                      <w:sz w:val="20"/>
                    </w:rPr>
                    <w:t xml:space="preserve">EMREPRGEN </w:t>
                  </w:r>
                  <w:r w:rsidRPr="00A552C3">
                    <w:rPr>
                      <w:i/>
                      <w:iCs/>
                      <w:sz w:val="20"/>
                      <w:vertAlign w:val="subscript"/>
                    </w:rPr>
                    <w:t>q, r, p</w:t>
                  </w:r>
                </w:p>
              </w:tc>
              <w:tc>
                <w:tcPr>
                  <w:tcW w:w="481" w:type="pct"/>
                </w:tcPr>
                <w:p w14:paraId="08AE0988" w14:textId="77777777" w:rsidR="00D81D75" w:rsidRPr="00A552C3" w:rsidRDefault="00D81D75" w:rsidP="00D81D75">
                  <w:pPr>
                    <w:spacing w:after="60"/>
                    <w:rPr>
                      <w:iCs/>
                      <w:sz w:val="20"/>
                    </w:rPr>
                  </w:pPr>
                  <w:r w:rsidRPr="00A552C3">
                    <w:rPr>
                      <w:iCs/>
                      <w:sz w:val="20"/>
                    </w:rPr>
                    <w:t>$/MWh</w:t>
                  </w:r>
                </w:p>
              </w:tc>
              <w:tc>
                <w:tcPr>
                  <w:tcW w:w="3585" w:type="pct"/>
                </w:tcPr>
                <w:p w14:paraId="17B05730" w14:textId="77777777" w:rsidR="00D81D75" w:rsidRPr="00A552C3" w:rsidRDefault="00D81D75" w:rsidP="00D81D75">
                  <w:pPr>
                    <w:spacing w:after="60"/>
                    <w:rPr>
                      <w:i/>
                      <w:iCs/>
                      <w:sz w:val="20"/>
                    </w:rPr>
                  </w:pPr>
                  <w:r w:rsidRPr="00A552C3">
                    <w:rPr>
                      <w:i/>
                      <w:iCs/>
                      <w:sz w:val="20"/>
                    </w:rPr>
                    <w:t>Emergency Energy Price for Generation per QSE per Settlement Point per Resource</w:t>
                  </w:r>
                  <w:r w:rsidRPr="00A552C3">
                    <w:rPr>
                      <w:iCs/>
                      <w:sz w:val="20"/>
                    </w:rPr>
                    <w:t xml:space="preserve">—The compensation rate for the generation produced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18DBBA9A" w14:textId="77777777" w:rsidTr="00C952ED">
              <w:trPr>
                <w:cantSplit/>
              </w:trPr>
              <w:tc>
                <w:tcPr>
                  <w:tcW w:w="934" w:type="pct"/>
                </w:tcPr>
                <w:p w14:paraId="195E1542" w14:textId="77777777" w:rsidR="00D81D75" w:rsidRPr="00A552C3" w:rsidRDefault="00D81D75" w:rsidP="00D81D75">
                  <w:pPr>
                    <w:spacing w:after="60"/>
                    <w:rPr>
                      <w:iCs/>
                      <w:sz w:val="20"/>
                    </w:rPr>
                  </w:pPr>
                  <w:r w:rsidRPr="00A552C3">
                    <w:rPr>
                      <w:iCs/>
                      <w:sz w:val="20"/>
                    </w:rPr>
                    <w:t xml:space="preserve">EMREPRLOAD </w:t>
                  </w:r>
                  <w:r w:rsidRPr="00A552C3">
                    <w:rPr>
                      <w:i/>
                      <w:iCs/>
                      <w:sz w:val="20"/>
                      <w:vertAlign w:val="subscript"/>
                    </w:rPr>
                    <w:t>q, r, p</w:t>
                  </w:r>
                </w:p>
              </w:tc>
              <w:tc>
                <w:tcPr>
                  <w:tcW w:w="481" w:type="pct"/>
                </w:tcPr>
                <w:p w14:paraId="496245B7" w14:textId="77777777" w:rsidR="00D81D75" w:rsidRPr="00A552C3" w:rsidRDefault="00D81D75" w:rsidP="00D81D75">
                  <w:pPr>
                    <w:spacing w:after="60"/>
                    <w:rPr>
                      <w:iCs/>
                      <w:sz w:val="20"/>
                    </w:rPr>
                  </w:pPr>
                  <w:r w:rsidRPr="00A552C3">
                    <w:rPr>
                      <w:iCs/>
                      <w:sz w:val="20"/>
                    </w:rPr>
                    <w:t>$/MWh</w:t>
                  </w:r>
                </w:p>
              </w:tc>
              <w:tc>
                <w:tcPr>
                  <w:tcW w:w="3585" w:type="pct"/>
                </w:tcPr>
                <w:p w14:paraId="5A1954EC" w14:textId="219D7572" w:rsidR="00D81D75" w:rsidRPr="00A552C3" w:rsidRDefault="00D81D75" w:rsidP="00D81D75">
                  <w:pPr>
                    <w:spacing w:after="60"/>
                    <w:rPr>
                      <w:iCs/>
                      <w:sz w:val="20"/>
                    </w:rPr>
                  </w:pPr>
                  <w:r w:rsidRPr="0091393B">
                    <w:rPr>
                      <w:i/>
                      <w:iCs/>
                      <w:sz w:val="20"/>
                    </w:rPr>
                    <w:t>Emergency Energy Price for Charging Load per QSE per Settlement Point per Resource</w:t>
                  </w:r>
                  <w:r w:rsidRPr="00A552C3">
                    <w:rPr>
                      <w:iCs/>
                      <w:sz w:val="20"/>
                    </w:rPr>
                    <w:t xml:space="preserve">—The compensation rate for the charging load for Resource </w:t>
                  </w:r>
                  <w:r w:rsidRPr="00A552C3">
                    <w:rPr>
                      <w:i/>
                      <w:iCs/>
                      <w:sz w:val="20"/>
                    </w:rPr>
                    <w:t>r</w:t>
                  </w:r>
                  <w:r w:rsidRPr="00A552C3">
                    <w:rPr>
                      <w:iCs/>
                      <w:sz w:val="20"/>
                    </w:rPr>
                    <w:t xml:space="preserve"> at Resource Node </w:t>
                  </w:r>
                  <w:r w:rsidRPr="00233C78">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w:t>
                  </w:r>
                </w:p>
              </w:tc>
            </w:tr>
            <w:tr w:rsidR="00D81D75" w:rsidRPr="00A552C3" w14:paraId="01E5A6EB" w14:textId="77777777" w:rsidTr="00C952ED">
              <w:trPr>
                <w:cantSplit/>
              </w:trPr>
              <w:tc>
                <w:tcPr>
                  <w:tcW w:w="934" w:type="pct"/>
                </w:tcPr>
                <w:p w14:paraId="409269C1" w14:textId="77777777" w:rsidR="00D81D75" w:rsidRPr="00A552C3" w:rsidRDefault="00D81D75" w:rsidP="00D81D75">
                  <w:pPr>
                    <w:spacing w:after="60"/>
                    <w:rPr>
                      <w:iCs/>
                      <w:sz w:val="20"/>
                    </w:rPr>
                  </w:pPr>
                  <w:r w:rsidRPr="00A552C3">
                    <w:rPr>
                      <w:iCs/>
                      <w:sz w:val="20"/>
                    </w:rPr>
                    <w:t xml:space="preserve">EMREGEN </w:t>
                  </w:r>
                  <w:r w:rsidRPr="00A552C3">
                    <w:rPr>
                      <w:i/>
                      <w:iCs/>
                      <w:sz w:val="20"/>
                      <w:vertAlign w:val="subscript"/>
                    </w:rPr>
                    <w:t>q, r, p</w:t>
                  </w:r>
                </w:p>
              </w:tc>
              <w:tc>
                <w:tcPr>
                  <w:tcW w:w="481" w:type="pct"/>
                </w:tcPr>
                <w:p w14:paraId="4BEFF9B6" w14:textId="77777777" w:rsidR="00D81D75" w:rsidRPr="00A552C3" w:rsidRDefault="00D81D75" w:rsidP="00D81D75">
                  <w:pPr>
                    <w:spacing w:after="60"/>
                    <w:rPr>
                      <w:iCs/>
                      <w:sz w:val="20"/>
                    </w:rPr>
                  </w:pPr>
                  <w:r w:rsidRPr="00A552C3">
                    <w:rPr>
                      <w:iCs/>
                      <w:sz w:val="20"/>
                    </w:rPr>
                    <w:t>MWh</w:t>
                  </w:r>
                </w:p>
              </w:tc>
              <w:tc>
                <w:tcPr>
                  <w:tcW w:w="3585" w:type="pct"/>
                </w:tcPr>
                <w:p w14:paraId="504BAAD6" w14:textId="77777777" w:rsidR="00D81D75" w:rsidRPr="00A552C3" w:rsidRDefault="00D81D75" w:rsidP="00D81D75">
                  <w:pPr>
                    <w:spacing w:after="60"/>
                    <w:rPr>
                      <w:i/>
                      <w:iCs/>
                      <w:sz w:val="20"/>
                    </w:rPr>
                  </w:pPr>
                  <w:r w:rsidRPr="00A552C3">
                    <w:rPr>
                      <w:i/>
                      <w:iCs/>
                      <w:sz w:val="20"/>
                    </w:rPr>
                    <w:t>Emergency Energy for Generation per QSE per Settlement Point per Resource</w:t>
                  </w:r>
                  <w:r w:rsidRPr="00A552C3">
                    <w:rPr>
                      <w:iCs/>
                      <w:sz w:val="20"/>
                    </w:rPr>
                    <w:t xml:space="preserve">—The generation produced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405590F3" w14:textId="77777777" w:rsidTr="00C952ED">
              <w:trPr>
                <w:cantSplit/>
              </w:trPr>
              <w:tc>
                <w:tcPr>
                  <w:tcW w:w="934" w:type="pct"/>
                </w:tcPr>
                <w:p w14:paraId="62412A4F" w14:textId="77777777" w:rsidR="00D81D75" w:rsidRPr="00A552C3" w:rsidRDefault="00D81D75" w:rsidP="00D81D75">
                  <w:pPr>
                    <w:spacing w:after="60"/>
                    <w:rPr>
                      <w:iCs/>
                      <w:sz w:val="20"/>
                    </w:rPr>
                  </w:pPr>
                  <w:r w:rsidRPr="00A552C3">
                    <w:rPr>
                      <w:iCs/>
                      <w:sz w:val="20"/>
                    </w:rPr>
                    <w:t xml:space="preserve">EMRELOAD </w:t>
                  </w:r>
                  <w:r w:rsidRPr="00A552C3">
                    <w:rPr>
                      <w:i/>
                      <w:iCs/>
                      <w:sz w:val="20"/>
                      <w:vertAlign w:val="subscript"/>
                    </w:rPr>
                    <w:t>q, r, p</w:t>
                  </w:r>
                </w:p>
              </w:tc>
              <w:tc>
                <w:tcPr>
                  <w:tcW w:w="481" w:type="pct"/>
                </w:tcPr>
                <w:p w14:paraId="79010798" w14:textId="77777777" w:rsidR="00D81D75" w:rsidRPr="00A552C3" w:rsidRDefault="00D81D75" w:rsidP="00D81D75">
                  <w:pPr>
                    <w:spacing w:after="60"/>
                    <w:rPr>
                      <w:iCs/>
                      <w:sz w:val="20"/>
                    </w:rPr>
                  </w:pPr>
                  <w:r w:rsidRPr="00A552C3">
                    <w:rPr>
                      <w:iCs/>
                      <w:sz w:val="20"/>
                    </w:rPr>
                    <w:t>MWh</w:t>
                  </w:r>
                </w:p>
              </w:tc>
              <w:tc>
                <w:tcPr>
                  <w:tcW w:w="3585" w:type="pct"/>
                </w:tcPr>
                <w:p w14:paraId="378D3C78" w14:textId="70B523AA" w:rsidR="00D81D75" w:rsidRPr="00A552C3" w:rsidRDefault="00D81D75" w:rsidP="00D81D75">
                  <w:pPr>
                    <w:spacing w:after="60"/>
                    <w:rPr>
                      <w:i/>
                      <w:iCs/>
                      <w:sz w:val="20"/>
                    </w:rPr>
                  </w:pPr>
                  <w:r w:rsidRPr="00A552C3">
                    <w:rPr>
                      <w:i/>
                      <w:iCs/>
                      <w:sz w:val="20"/>
                    </w:rPr>
                    <w:t>Emergency Energy for Charging Load per QSE per Settlement Point per Resource</w:t>
                  </w:r>
                  <w:r w:rsidRPr="00A552C3">
                    <w:rPr>
                      <w:iCs/>
                      <w:sz w:val="20"/>
                    </w:rPr>
                    <w:t xml:space="preserve">—The charging load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w:t>
                  </w:r>
                </w:p>
              </w:tc>
            </w:tr>
            <w:tr w:rsidR="00D81D75" w:rsidRPr="00A552C3" w14:paraId="3557AE24" w14:textId="77777777" w:rsidTr="00C952ED">
              <w:trPr>
                <w:cantSplit/>
              </w:trPr>
              <w:tc>
                <w:tcPr>
                  <w:tcW w:w="934" w:type="pct"/>
                </w:tcPr>
                <w:p w14:paraId="2DA68D73" w14:textId="77777777" w:rsidR="00D81D75" w:rsidRPr="00A552C3" w:rsidRDefault="00D81D75" w:rsidP="00D81D75">
                  <w:pPr>
                    <w:spacing w:after="60"/>
                    <w:rPr>
                      <w:iCs/>
                      <w:sz w:val="20"/>
                    </w:rPr>
                  </w:pPr>
                  <w:r w:rsidRPr="00A552C3">
                    <w:rPr>
                      <w:iCs/>
                      <w:sz w:val="20"/>
                    </w:rPr>
                    <w:lastRenderedPageBreak/>
                    <w:t xml:space="preserve">EBPWAPRGEN </w:t>
                  </w:r>
                  <w:r w:rsidRPr="00A552C3">
                    <w:rPr>
                      <w:i/>
                      <w:iCs/>
                      <w:sz w:val="20"/>
                      <w:vertAlign w:val="subscript"/>
                    </w:rPr>
                    <w:t>q, r, p</w:t>
                  </w:r>
                </w:p>
              </w:tc>
              <w:tc>
                <w:tcPr>
                  <w:tcW w:w="481" w:type="pct"/>
                </w:tcPr>
                <w:p w14:paraId="698D4014" w14:textId="77777777" w:rsidR="00D81D75" w:rsidRPr="00A552C3" w:rsidRDefault="00D81D75" w:rsidP="00D81D75">
                  <w:pPr>
                    <w:spacing w:after="60"/>
                    <w:rPr>
                      <w:iCs/>
                      <w:sz w:val="20"/>
                    </w:rPr>
                  </w:pPr>
                  <w:r w:rsidRPr="00A552C3">
                    <w:rPr>
                      <w:iCs/>
                      <w:sz w:val="20"/>
                    </w:rPr>
                    <w:t>$/MWh</w:t>
                  </w:r>
                </w:p>
              </w:tc>
              <w:tc>
                <w:tcPr>
                  <w:tcW w:w="3585" w:type="pct"/>
                </w:tcPr>
                <w:p w14:paraId="6AE02E28" w14:textId="77777777" w:rsidR="00D81D75" w:rsidRPr="00A552C3" w:rsidRDefault="00D81D75" w:rsidP="00D81D75">
                  <w:pPr>
                    <w:spacing w:after="60"/>
                    <w:rPr>
                      <w:i/>
                      <w:iCs/>
                      <w:sz w:val="20"/>
                    </w:rPr>
                  </w:pPr>
                  <w:r w:rsidRPr="00A552C3">
                    <w:rPr>
                      <w:i/>
                      <w:iCs/>
                      <w:sz w:val="20"/>
                    </w:rPr>
                    <w:t>Emergency Base Point Weighted Average Price for Generation per QSE per Settlement Point per Resource</w:t>
                  </w:r>
                  <w:r w:rsidRPr="00A552C3">
                    <w:rPr>
                      <w:iCs/>
                      <w:sz w:val="20"/>
                    </w:rPr>
                    <w:t xml:space="preserve">—The weighted average of the Emergency Base Point Prices corresponding with the positive Emergency Base Points,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482E87A8" w14:textId="77777777" w:rsidTr="00C952ED">
              <w:trPr>
                <w:cantSplit/>
              </w:trPr>
              <w:tc>
                <w:tcPr>
                  <w:tcW w:w="934" w:type="pct"/>
                </w:tcPr>
                <w:p w14:paraId="7FC06D6C" w14:textId="77777777" w:rsidR="00D81D75" w:rsidRPr="00A552C3" w:rsidRDefault="00D81D75" w:rsidP="00D81D75">
                  <w:pPr>
                    <w:spacing w:after="60"/>
                    <w:rPr>
                      <w:iCs/>
                      <w:sz w:val="20"/>
                    </w:rPr>
                  </w:pPr>
                  <w:r w:rsidRPr="00A552C3">
                    <w:rPr>
                      <w:iCs/>
                      <w:sz w:val="20"/>
                    </w:rPr>
                    <w:t xml:space="preserve">EBPWAPRLOAD </w:t>
                  </w:r>
                  <w:r w:rsidRPr="00A552C3">
                    <w:rPr>
                      <w:i/>
                      <w:iCs/>
                      <w:sz w:val="20"/>
                      <w:vertAlign w:val="subscript"/>
                    </w:rPr>
                    <w:t>q, r, p</w:t>
                  </w:r>
                </w:p>
              </w:tc>
              <w:tc>
                <w:tcPr>
                  <w:tcW w:w="481" w:type="pct"/>
                </w:tcPr>
                <w:p w14:paraId="1432B9FB" w14:textId="77777777" w:rsidR="00D81D75" w:rsidRPr="00A552C3" w:rsidRDefault="00D81D75" w:rsidP="00D81D75">
                  <w:pPr>
                    <w:spacing w:after="60"/>
                    <w:rPr>
                      <w:iCs/>
                      <w:sz w:val="20"/>
                    </w:rPr>
                  </w:pPr>
                  <w:r w:rsidRPr="00A552C3">
                    <w:rPr>
                      <w:iCs/>
                      <w:sz w:val="20"/>
                    </w:rPr>
                    <w:t>$/MWh</w:t>
                  </w:r>
                </w:p>
              </w:tc>
              <w:tc>
                <w:tcPr>
                  <w:tcW w:w="3585" w:type="pct"/>
                </w:tcPr>
                <w:p w14:paraId="79157B77" w14:textId="35A06685" w:rsidR="00D81D75" w:rsidRPr="00A552C3" w:rsidRDefault="00D81D75" w:rsidP="00D81D75">
                  <w:pPr>
                    <w:spacing w:after="60"/>
                    <w:rPr>
                      <w:i/>
                      <w:iCs/>
                      <w:sz w:val="20"/>
                    </w:rPr>
                  </w:pPr>
                  <w:r w:rsidRPr="00A552C3">
                    <w:rPr>
                      <w:i/>
                      <w:iCs/>
                      <w:sz w:val="20"/>
                    </w:rPr>
                    <w:t>Emergency Base Point Weighted Average Price for Charging Load per QSE per Settlement Point per Resource</w:t>
                  </w:r>
                  <w:r w:rsidRPr="00A552C3">
                    <w:rPr>
                      <w:iCs/>
                      <w:sz w:val="20"/>
                    </w:rPr>
                    <w:t xml:space="preserve">—The weighted average of the Emergency Base Point Prices corresponding with the negative Emergency Base Points,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for the 15-minute Settlement Interval.</w:t>
                  </w:r>
                </w:p>
              </w:tc>
            </w:tr>
            <w:tr w:rsidR="00D81D75" w:rsidRPr="00A552C3" w14:paraId="1693E398" w14:textId="77777777" w:rsidTr="00C952ED">
              <w:trPr>
                <w:cantSplit/>
              </w:trPr>
              <w:tc>
                <w:tcPr>
                  <w:tcW w:w="934" w:type="pct"/>
                </w:tcPr>
                <w:p w14:paraId="3C170296" w14:textId="77777777" w:rsidR="00D81D75" w:rsidRPr="00A552C3" w:rsidRDefault="00D81D75" w:rsidP="00D81D75">
                  <w:pPr>
                    <w:spacing w:after="60"/>
                    <w:rPr>
                      <w:iCs/>
                      <w:sz w:val="20"/>
                    </w:rPr>
                  </w:pPr>
                  <w:r w:rsidRPr="00A552C3">
                    <w:rPr>
                      <w:iCs/>
                      <w:sz w:val="20"/>
                    </w:rPr>
                    <w:t xml:space="preserve">BP </w:t>
                  </w:r>
                  <w:r w:rsidRPr="00A552C3">
                    <w:rPr>
                      <w:i/>
                      <w:iCs/>
                      <w:sz w:val="20"/>
                      <w:vertAlign w:val="subscript"/>
                    </w:rPr>
                    <w:t>q, r, p</w:t>
                  </w:r>
                </w:p>
              </w:tc>
              <w:tc>
                <w:tcPr>
                  <w:tcW w:w="481" w:type="pct"/>
                </w:tcPr>
                <w:p w14:paraId="59CB0411" w14:textId="77777777" w:rsidR="00D81D75" w:rsidRPr="00A552C3" w:rsidRDefault="00D81D75" w:rsidP="00D81D75">
                  <w:pPr>
                    <w:spacing w:after="60"/>
                    <w:rPr>
                      <w:iCs/>
                      <w:sz w:val="20"/>
                    </w:rPr>
                  </w:pPr>
                  <w:r w:rsidRPr="00A552C3">
                    <w:rPr>
                      <w:iCs/>
                      <w:sz w:val="20"/>
                    </w:rPr>
                    <w:t>MW</w:t>
                  </w:r>
                </w:p>
              </w:tc>
              <w:tc>
                <w:tcPr>
                  <w:tcW w:w="3585" w:type="pct"/>
                </w:tcPr>
                <w:p w14:paraId="5C67D644" w14:textId="77777777" w:rsidR="00D81D75" w:rsidRPr="00A552C3" w:rsidRDefault="00D81D75" w:rsidP="00D81D75">
                  <w:pPr>
                    <w:spacing w:after="60"/>
                    <w:rPr>
                      <w:iCs/>
                      <w:sz w:val="20"/>
                    </w:rPr>
                  </w:pPr>
                  <w:r w:rsidRPr="00A552C3">
                    <w:rPr>
                      <w:i/>
                      <w:iCs/>
                      <w:sz w:val="20"/>
                    </w:rPr>
                    <w:t>Base Point per QSE per Settlement Point per Resource</w:t>
                  </w:r>
                  <w:r w:rsidRPr="00A552C3">
                    <w:rPr>
                      <w:iCs/>
                      <w:sz w:val="20"/>
                    </w:rPr>
                    <w:t xml:space="preserve">—The Base Point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from the SCED prior to the Emergency Condition or Watch.  For a Combined Cycle Train, the Resource </w:t>
                  </w:r>
                  <w:r w:rsidRPr="00A552C3">
                    <w:rPr>
                      <w:i/>
                      <w:iCs/>
                      <w:sz w:val="20"/>
                    </w:rPr>
                    <w:t>r</w:t>
                  </w:r>
                  <w:r w:rsidRPr="00A552C3">
                    <w:rPr>
                      <w:iCs/>
                      <w:sz w:val="20"/>
                    </w:rPr>
                    <w:t xml:space="preserve"> must be one of the registered Combined Cycle Generation Resources within the Combined Cycle Train.</w:t>
                  </w:r>
                </w:p>
              </w:tc>
            </w:tr>
            <w:tr w:rsidR="00D81D75" w:rsidRPr="00A552C3" w14:paraId="3C5AA963"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428EFF7B" w14:textId="77777777" w:rsidR="00D81D75" w:rsidRPr="00A552C3" w:rsidRDefault="00D81D75" w:rsidP="00D81D75">
                  <w:pPr>
                    <w:spacing w:after="60"/>
                    <w:rPr>
                      <w:iCs/>
                      <w:sz w:val="20"/>
                    </w:rPr>
                  </w:pPr>
                  <w:r w:rsidRPr="00A552C3">
                    <w:rPr>
                      <w:iCs/>
                      <w:sz w:val="20"/>
                    </w:rPr>
                    <w:t>AEBPGEN</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02EBF38B"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30EAD784" w14:textId="77777777" w:rsidR="00D81D75" w:rsidRPr="00A552C3" w:rsidRDefault="00D81D75" w:rsidP="00D81D75">
                  <w:pPr>
                    <w:spacing w:after="60"/>
                    <w:rPr>
                      <w:i/>
                      <w:iCs/>
                      <w:sz w:val="20"/>
                    </w:rPr>
                  </w:pPr>
                  <w:r w:rsidRPr="00A552C3">
                    <w:rPr>
                      <w:i/>
                      <w:iCs/>
                      <w:sz w:val="20"/>
                    </w:rPr>
                    <w:t>Aggregated Emergency Base Point for Generation</w:t>
                  </w:r>
                  <w:r w:rsidRPr="00A552C3">
                    <w:rPr>
                      <w:iCs/>
                      <w:sz w:val="20"/>
                    </w:rPr>
                    <w:t xml:space="preserve">—The aggregation of the positive Emergency Base Points for the Resource </w:t>
                  </w:r>
                  <w:r w:rsidRPr="00A552C3">
                    <w:rPr>
                      <w:i/>
                      <w:iCs/>
                      <w:sz w:val="20"/>
                    </w:rPr>
                    <w:t>r</w:t>
                  </w:r>
                  <w:r w:rsidRPr="00A552C3">
                    <w:rPr>
                      <w:iCs/>
                      <w:sz w:val="20"/>
                    </w:rPr>
                    <w:t xml:space="preserve"> represented by QSE </w:t>
                  </w:r>
                  <w:r w:rsidRPr="00A552C3">
                    <w:rPr>
                      <w:i/>
                      <w:iCs/>
                      <w:sz w:val="20"/>
                    </w:rPr>
                    <w:t>q</w:t>
                  </w:r>
                  <w:r w:rsidRPr="00A552C3">
                    <w:rPr>
                      <w:iCs/>
                      <w:sz w:val="20"/>
                    </w:rPr>
                    <w:t>, for the 15-minute Settlement Interval.  Where for a Combined Cycle Train, AEBP is calculated for the Combined Cycle Train considering all emergency Dispatch Instructions to any Combined Cycle Generation Resources within the Combined Cycle Train.</w:t>
                  </w:r>
                </w:p>
              </w:tc>
            </w:tr>
            <w:tr w:rsidR="00D81D75" w:rsidRPr="00A552C3" w14:paraId="2F0B470E"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D2121EA" w14:textId="77777777" w:rsidR="00D81D75" w:rsidRPr="00A552C3" w:rsidRDefault="00D81D75" w:rsidP="00D81D75">
                  <w:pPr>
                    <w:spacing w:after="60"/>
                    <w:rPr>
                      <w:iCs/>
                      <w:sz w:val="20"/>
                    </w:rPr>
                  </w:pPr>
                  <w:r w:rsidRPr="00A552C3">
                    <w:rPr>
                      <w:iCs/>
                      <w:sz w:val="20"/>
                    </w:rPr>
                    <w:t>AEBPLOAD</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7B1EFDDF"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6EFE5B8E" w14:textId="77777777" w:rsidR="00D81D75" w:rsidRPr="00A552C3" w:rsidRDefault="00D81D75" w:rsidP="00D81D75">
                  <w:pPr>
                    <w:spacing w:after="60"/>
                    <w:rPr>
                      <w:i/>
                      <w:iCs/>
                      <w:sz w:val="20"/>
                    </w:rPr>
                  </w:pPr>
                  <w:r w:rsidRPr="00A552C3">
                    <w:rPr>
                      <w:i/>
                      <w:iCs/>
                      <w:sz w:val="20"/>
                    </w:rPr>
                    <w:t>Aggregated Emergency Base Point for Charging Load</w:t>
                  </w:r>
                  <w:r w:rsidRPr="00A552C3">
                    <w:rPr>
                      <w:iCs/>
                      <w:sz w:val="20"/>
                    </w:rPr>
                    <w:t xml:space="preserve">—The aggregation of the negative Emergency Base Points for the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the 15-minute Settlement Interval.  </w:t>
                  </w:r>
                </w:p>
              </w:tc>
            </w:tr>
            <w:tr w:rsidR="00D81D75" w:rsidRPr="00A552C3" w14:paraId="5A1D1453" w14:textId="77777777" w:rsidTr="00C952ED">
              <w:trPr>
                <w:cantSplit/>
              </w:trPr>
              <w:tc>
                <w:tcPr>
                  <w:tcW w:w="934" w:type="pct"/>
                </w:tcPr>
                <w:p w14:paraId="5EB1B049" w14:textId="77777777" w:rsidR="00D81D75" w:rsidRPr="00A552C3" w:rsidRDefault="00D81D75" w:rsidP="00D81D75">
                  <w:pPr>
                    <w:spacing w:after="60"/>
                    <w:rPr>
                      <w:iCs/>
                      <w:sz w:val="20"/>
                    </w:rPr>
                  </w:pPr>
                  <w:r w:rsidRPr="00A552C3">
                    <w:rPr>
                      <w:iCs/>
                      <w:sz w:val="20"/>
                    </w:rPr>
                    <w:t xml:space="preserve">EBP </w:t>
                  </w:r>
                  <w:r w:rsidRPr="00A552C3">
                    <w:rPr>
                      <w:i/>
                      <w:iCs/>
                      <w:sz w:val="20"/>
                      <w:vertAlign w:val="subscript"/>
                    </w:rPr>
                    <w:t>q, r, p, y</w:t>
                  </w:r>
                </w:p>
              </w:tc>
              <w:tc>
                <w:tcPr>
                  <w:tcW w:w="481" w:type="pct"/>
                </w:tcPr>
                <w:p w14:paraId="61C4D64E" w14:textId="77777777" w:rsidR="00D81D75" w:rsidRPr="00A552C3" w:rsidRDefault="00D81D75" w:rsidP="00D81D75">
                  <w:pPr>
                    <w:spacing w:after="60"/>
                    <w:rPr>
                      <w:iCs/>
                      <w:sz w:val="20"/>
                    </w:rPr>
                  </w:pPr>
                  <w:r w:rsidRPr="00A552C3">
                    <w:rPr>
                      <w:iCs/>
                      <w:sz w:val="20"/>
                    </w:rPr>
                    <w:t>MW</w:t>
                  </w:r>
                </w:p>
              </w:tc>
              <w:tc>
                <w:tcPr>
                  <w:tcW w:w="3585" w:type="pct"/>
                </w:tcPr>
                <w:p w14:paraId="575E5CDB" w14:textId="77777777" w:rsidR="00D81D75" w:rsidRPr="00A552C3" w:rsidRDefault="00D81D75" w:rsidP="00D81D75">
                  <w:pPr>
                    <w:spacing w:after="60"/>
                    <w:rPr>
                      <w:iCs/>
                      <w:sz w:val="20"/>
                    </w:rPr>
                  </w:pPr>
                  <w:r w:rsidRPr="00A552C3">
                    <w:rPr>
                      <w:i/>
                      <w:iCs/>
                      <w:sz w:val="20"/>
                    </w:rPr>
                    <w:t>Emergency Base Point per QSE per Settlement Point per Resource by interval</w:t>
                  </w:r>
                  <w:r w:rsidRPr="00A552C3">
                    <w:rPr>
                      <w:iCs/>
                      <w:sz w:val="20"/>
                    </w:rPr>
                    <w:t xml:space="preserve">—The Emergency Base Point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w:t>
                  </w:r>
                  <w:r w:rsidRPr="00A552C3">
                    <w:rPr>
                      <w:i/>
                      <w:iCs/>
                      <w:sz w:val="20"/>
                    </w:rPr>
                    <w:t xml:space="preserve"> y</w:t>
                  </w:r>
                  <w:r w:rsidRPr="00A552C3">
                    <w:rPr>
                      <w:iCs/>
                      <w:sz w:val="20"/>
                    </w:rPr>
                    <w:t xml:space="preserve">.  If a Base Point instead of an Emergency Base Point is effective during the interval </w:t>
                  </w:r>
                  <w:r w:rsidRPr="00A552C3">
                    <w:rPr>
                      <w:i/>
                      <w:iCs/>
                      <w:sz w:val="20"/>
                    </w:rPr>
                    <w:t>y</w:t>
                  </w:r>
                  <w:r w:rsidRPr="00A552C3">
                    <w:rPr>
                      <w:iCs/>
                      <w:sz w:val="20"/>
                    </w:rPr>
                    <w:t xml:space="preserve">, its value equals the Base Point.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067BF4D9" w14:textId="77777777" w:rsidTr="00C952ED">
              <w:trPr>
                <w:cantSplit/>
              </w:trPr>
              <w:tc>
                <w:tcPr>
                  <w:tcW w:w="934" w:type="pct"/>
                </w:tcPr>
                <w:p w14:paraId="28A19B08" w14:textId="77777777" w:rsidR="00D81D75" w:rsidRPr="00A552C3" w:rsidRDefault="00D81D75" w:rsidP="00D81D75">
                  <w:pPr>
                    <w:spacing w:after="60"/>
                    <w:rPr>
                      <w:iCs/>
                      <w:sz w:val="20"/>
                    </w:rPr>
                  </w:pPr>
                  <w:r w:rsidRPr="00A552C3">
                    <w:rPr>
                      <w:iCs/>
                      <w:sz w:val="20"/>
                    </w:rPr>
                    <w:t xml:space="preserve">EBPPR </w:t>
                  </w:r>
                  <w:r w:rsidRPr="00A552C3">
                    <w:rPr>
                      <w:i/>
                      <w:iCs/>
                      <w:sz w:val="20"/>
                      <w:vertAlign w:val="subscript"/>
                    </w:rPr>
                    <w:t>q, r, p, y</w:t>
                  </w:r>
                </w:p>
              </w:tc>
              <w:tc>
                <w:tcPr>
                  <w:tcW w:w="481" w:type="pct"/>
                </w:tcPr>
                <w:p w14:paraId="5AC54471" w14:textId="77777777" w:rsidR="00D81D75" w:rsidRPr="00A552C3" w:rsidRDefault="00D81D75" w:rsidP="00D81D75">
                  <w:pPr>
                    <w:spacing w:after="60"/>
                    <w:rPr>
                      <w:iCs/>
                      <w:sz w:val="20"/>
                    </w:rPr>
                  </w:pPr>
                  <w:r w:rsidRPr="00A552C3">
                    <w:rPr>
                      <w:iCs/>
                      <w:sz w:val="20"/>
                    </w:rPr>
                    <w:t>$/MWh</w:t>
                  </w:r>
                </w:p>
              </w:tc>
              <w:tc>
                <w:tcPr>
                  <w:tcW w:w="3585" w:type="pct"/>
                </w:tcPr>
                <w:p w14:paraId="5CDF8847" w14:textId="719CDA2F" w:rsidR="00D81D75" w:rsidRPr="00A552C3" w:rsidRDefault="00D81D75" w:rsidP="00AC71FA">
                  <w:pPr>
                    <w:spacing w:after="60"/>
                    <w:rPr>
                      <w:iCs/>
                      <w:sz w:val="20"/>
                    </w:rPr>
                  </w:pPr>
                  <w:r w:rsidRPr="00A552C3">
                    <w:rPr>
                      <w:i/>
                      <w:iCs/>
                      <w:sz w:val="20"/>
                    </w:rPr>
                    <w:t>Emergency Base Point Price per QSE per Settlement Point per Resource by interval</w:t>
                  </w:r>
                  <w:r w:rsidRPr="00A552C3">
                    <w:rPr>
                      <w:iCs/>
                      <w:sz w:val="20"/>
                    </w:rPr>
                    <w:t xml:space="preserve">—The </w:t>
                  </w:r>
                  <w:r w:rsidR="00BD19E2">
                    <w:rPr>
                      <w:iCs/>
                      <w:sz w:val="20"/>
                    </w:rPr>
                    <w:t>price on</w:t>
                  </w:r>
                  <w:r w:rsidRPr="00A552C3">
                    <w:rPr>
                      <w:iCs/>
                      <w:sz w:val="20"/>
                    </w:rPr>
                    <w:t xml:space="preserve"> the Energy Offer Curve or Energy Bid/Offer Curve corresponding to the Emergency Base Point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 </w:t>
                  </w:r>
                  <w:r w:rsidRPr="00A552C3">
                    <w:rPr>
                      <w:i/>
                      <w:iCs/>
                      <w:sz w:val="20"/>
                    </w:rPr>
                    <w:t>y</w:t>
                  </w:r>
                  <w:r w:rsidRPr="00A552C3">
                    <w:rPr>
                      <w:iCs/>
                      <w:sz w:val="20"/>
                    </w:rPr>
                    <w:t xml:space="preserve">. </w:t>
                  </w:r>
                  <w:r w:rsidR="00792C7F">
                    <w:rPr>
                      <w:iCs/>
                      <w:sz w:val="20"/>
                    </w:rPr>
                    <w:t xml:space="preserve"> </w:t>
                  </w:r>
                  <w:r w:rsidRPr="00A552C3">
                    <w:rPr>
                      <w:iCs/>
                      <w:sz w:val="20"/>
                    </w:rPr>
                    <w:t>The Energy Offer Curve shall be capped by the MOC pursuant to Section 4.4.9.4.1, Mitigated Offer Cap</w:t>
                  </w:r>
                  <w:r w:rsidRPr="00A552C3">
                    <w:rPr>
                      <w:rFonts w:asciiTheme="minorHAnsi" w:eastAsiaTheme="minorHAnsi" w:hAnsiTheme="minorHAnsi" w:cstheme="minorBidi"/>
                      <w:sz w:val="22"/>
                      <w:szCs w:val="22"/>
                    </w:rPr>
                    <w:t xml:space="preserve"> </w:t>
                  </w:r>
                  <w:r w:rsidRPr="00A552C3">
                    <w:rPr>
                      <w:iCs/>
                      <w:sz w:val="20"/>
                    </w:rPr>
                    <w:t xml:space="preserve">and the Energy Bid/Offer Curve shall be capped by the maximum RTSPP at the Settlement Point for the Operating Day, per paragraph (10)(b) of Section 6.6.9.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3BA9BDDD" w14:textId="77777777" w:rsidTr="00C952ED">
              <w:trPr>
                <w:cantSplit/>
              </w:trPr>
              <w:tc>
                <w:tcPr>
                  <w:tcW w:w="934" w:type="pct"/>
                </w:tcPr>
                <w:p w14:paraId="5C6CCF45" w14:textId="77777777" w:rsidR="00D81D75" w:rsidRPr="00A552C3" w:rsidRDefault="00D81D75" w:rsidP="00D81D75">
                  <w:pPr>
                    <w:spacing w:after="60"/>
                    <w:rPr>
                      <w:iCs/>
                      <w:sz w:val="20"/>
                    </w:rPr>
                  </w:pPr>
                  <w:r w:rsidRPr="00A552C3">
                    <w:rPr>
                      <w:iCs/>
                      <w:sz w:val="20"/>
                    </w:rPr>
                    <w:t>RTSPP</w:t>
                  </w:r>
                  <w:r w:rsidRPr="00A552C3">
                    <w:rPr>
                      <w:i/>
                      <w:iCs/>
                      <w:sz w:val="20"/>
                    </w:rPr>
                    <w:t xml:space="preserve"> </w:t>
                  </w:r>
                  <w:r w:rsidRPr="00A552C3">
                    <w:rPr>
                      <w:i/>
                      <w:iCs/>
                      <w:sz w:val="20"/>
                      <w:vertAlign w:val="subscript"/>
                    </w:rPr>
                    <w:t>p</w:t>
                  </w:r>
                </w:p>
              </w:tc>
              <w:tc>
                <w:tcPr>
                  <w:tcW w:w="481" w:type="pct"/>
                </w:tcPr>
                <w:p w14:paraId="55586ADF" w14:textId="77777777" w:rsidR="00D81D75" w:rsidRPr="00A552C3" w:rsidRDefault="00D81D75" w:rsidP="00D81D75">
                  <w:pPr>
                    <w:spacing w:after="60"/>
                    <w:rPr>
                      <w:iCs/>
                      <w:sz w:val="20"/>
                    </w:rPr>
                  </w:pPr>
                  <w:r w:rsidRPr="00A552C3">
                    <w:rPr>
                      <w:iCs/>
                      <w:sz w:val="20"/>
                    </w:rPr>
                    <w:t>$/MWh</w:t>
                  </w:r>
                </w:p>
              </w:tc>
              <w:tc>
                <w:tcPr>
                  <w:tcW w:w="3585" w:type="pct"/>
                </w:tcPr>
                <w:p w14:paraId="3C08E0ED" w14:textId="77777777" w:rsidR="00D81D75" w:rsidRPr="00A552C3" w:rsidRDefault="00D81D75" w:rsidP="00D81D75">
                  <w:pPr>
                    <w:spacing w:after="60"/>
                    <w:rPr>
                      <w:iCs/>
                      <w:sz w:val="20"/>
                    </w:rPr>
                  </w:pPr>
                  <w:r w:rsidRPr="00A552C3">
                    <w:rPr>
                      <w:i/>
                      <w:iCs/>
                      <w:sz w:val="20"/>
                    </w:rPr>
                    <w:t>Real-Time Settlement Point Price per Settlement Point</w:t>
                  </w:r>
                  <w:r w:rsidRPr="00A552C3">
                    <w:rPr>
                      <w:iCs/>
                      <w:sz w:val="20"/>
                    </w:rPr>
                    <w:t xml:space="preserve">—The Real-Time Settlement Point Price at Settlement Point </w:t>
                  </w:r>
                  <w:r w:rsidRPr="00A552C3">
                    <w:rPr>
                      <w:i/>
                      <w:iCs/>
                      <w:sz w:val="20"/>
                    </w:rPr>
                    <w:t>p</w:t>
                  </w:r>
                  <w:r w:rsidRPr="00A552C3">
                    <w:rPr>
                      <w:iCs/>
                      <w:sz w:val="20"/>
                    </w:rPr>
                    <w:t>, for the 15-minute Settlement Interval.</w:t>
                  </w:r>
                </w:p>
              </w:tc>
            </w:tr>
            <w:tr w:rsidR="00D81D75" w:rsidRPr="00A552C3" w14:paraId="50B31857" w14:textId="77777777" w:rsidTr="00C952ED">
              <w:trPr>
                <w:cantSplit/>
              </w:trPr>
              <w:tc>
                <w:tcPr>
                  <w:tcW w:w="934" w:type="pct"/>
                </w:tcPr>
                <w:p w14:paraId="79E591FC" w14:textId="77777777" w:rsidR="00D81D75" w:rsidRPr="00A552C3" w:rsidRDefault="00D81D75" w:rsidP="00D81D75">
                  <w:pPr>
                    <w:spacing w:after="60"/>
                    <w:rPr>
                      <w:iCs/>
                      <w:sz w:val="20"/>
                    </w:rPr>
                  </w:pPr>
                  <w:r w:rsidRPr="00A552C3">
                    <w:rPr>
                      <w:iCs/>
                      <w:sz w:val="20"/>
                    </w:rPr>
                    <w:t xml:space="preserve">RTMG </w:t>
                  </w:r>
                  <w:r w:rsidRPr="00A552C3">
                    <w:rPr>
                      <w:i/>
                      <w:iCs/>
                      <w:sz w:val="20"/>
                      <w:vertAlign w:val="subscript"/>
                    </w:rPr>
                    <w:t>q, r, p</w:t>
                  </w:r>
                </w:p>
              </w:tc>
              <w:tc>
                <w:tcPr>
                  <w:tcW w:w="481" w:type="pct"/>
                </w:tcPr>
                <w:p w14:paraId="771E746B" w14:textId="77777777" w:rsidR="00D81D75" w:rsidRPr="00A552C3" w:rsidRDefault="00D81D75" w:rsidP="00D81D75">
                  <w:pPr>
                    <w:spacing w:after="60"/>
                    <w:rPr>
                      <w:iCs/>
                      <w:sz w:val="20"/>
                    </w:rPr>
                  </w:pPr>
                  <w:r w:rsidRPr="00A552C3">
                    <w:rPr>
                      <w:iCs/>
                      <w:sz w:val="20"/>
                    </w:rPr>
                    <w:t>MWh</w:t>
                  </w:r>
                </w:p>
              </w:tc>
              <w:tc>
                <w:tcPr>
                  <w:tcW w:w="3585" w:type="pct"/>
                </w:tcPr>
                <w:p w14:paraId="66652115" w14:textId="77777777" w:rsidR="00D81D75" w:rsidRPr="00A552C3" w:rsidRDefault="00D81D75" w:rsidP="00D81D75">
                  <w:pPr>
                    <w:spacing w:after="60"/>
                    <w:rPr>
                      <w:iCs/>
                      <w:sz w:val="20"/>
                    </w:rPr>
                  </w:pPr>
                  <w:r w:rsidRPr="00A552C3">
                    <w:rPr>
                      <w:i/>
                      <w:iCs/>
                      <w:sz w:val="20"/>
                    </w:rPr>
                    <w:t>Real-Time Metered Generation per QSE per Settlement Point per Resource</w:t>
                  </w:r>
                  <w:r w:rsidRPr="00A552C3">
                    <w:rPr>
                      <w:iCs/>
                      <w:sz w:val="20"/>
                    </w:rPr>
                    <w:t xml:space="preserve">—The metered generation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32C1C0F0" w14:textId="77777777" w:rsidTr="00C952ED">
              <w:trPr>
                <w:cantSplit/>
              </w:trPr>
              <w:tc>
                <w:tcPr>
                  <w:tcW w:w="934" w:type="pct"/>
                </w:tcPr>
                <w:p w14:paraId="01B9A929" w14:textId="77777777" w:rsidR="00D81D75" w:rsidRPr="00A552C3" w:rsidRDefault="00D81D75" w:rsidP="00D81D75">
                  <w:pPr>
                    <w:spacing w:after="60"/>
                    <w:rPr>
                      <w:iCs/>
                      <w:sz w:val="20"/>
                    </w:rPr>
                  </w:pPr>
                  <w:r w:rsidRPr="00A552C3">
                    <w:rPr>
                      <w:iCs/>
                      <w:sz w:val="20"/>
                    </w:rPr>
                    <w:t xml:space="preserve">RTCL </w:t>
                  </w:r>
                  <w:r w:rsidRPr="00A552C3">
                    <w:rPr>
                      <w:i/>
                      <w:iCs/>
                      <w:sz w:val="20"/>
                      <w:vertAlign w:val="subscript"/>
                    </w:rPr>
                    <w:t>q, r, p</w:t>
                  </w:r>
                </w:p>
              </w:tc>
              <w:tc>
                <w:tcPr>
                  <w:tcW w:w="481" w:type="pct"/>
                </w:tcPr>
                <w:p w14:paraId="4A9B3E6B" w14:textId="77777777" w:rsidR="00D81D75" w:rsidRPr="00A552C3" w:rsidRDefault="00D81D75" w:rsidP="00D81D75">
                  <w:pPr>
                    <w:spacing w:after="60"/>
                    <w:rPr>
                      <w:iCs/>
                      <w:sz w:val="20"/>
                    </w:rPr>
                  </w:pPr>
                  <w:r w:rsidRPr="00A552C3">
                    <w:rPr>
                      <w:iCs/>
                      <w:sz w:val="20"/>
                    </w:rPr>
                    <w:t>MWh</w:t>
                  </w:r>
                </w:p>
              </w:tc>
              <w:tc>
                <w:tcPr>
                  <w:tcW w:w="3585" w:type="pct"/>
                </w:tcPr>
                <w:p w14:paraId="40B67560" w14:textId="5DAAA1FE" w:rsidR="00D81D75" w:rsidRPr="00A552C3" w:rsidRDefault="00D81D75" w:rsidP="00D81D75">
                  <w:pPr>
                    <w:spacing w:after="60"/>
                    <w:rPr>
                      <w:i/>
                      <w:iCs/>
                      <w:sz w:val="20"/>
                    </w:rPr>
                  </w:pPr>
                  <w:r w:rsidRPr="00A552C3">
                    <w:rPr>
                      <w:i/>
                      <w:iCs/>
                      <w:sz w:val="20"/>
                    </w:rPr>
                    <w:t>Real-Time Charging Load per QSE per Resource per Settlement Point</w:t>
                  </w:r>
                  <w:r w:rsidRPr="00A552C3">
                    <w:rPr>
                      <w:iCs/>
                      <w:sz w:val="20"/>
                    </w:rPr>
                    <w:t xml:space="preserve">—The charging load for Resource </w:t>
                  </w:r>
                  <w:r w:rsidRPr="00A552C3">
                    <w:rPr>
                      <w:i/>
                      <w:iCs/>
                      <w:sz w:val="20"/>
                    </w:rPr>
                    <w:t xml:space="preserve">r </w:t>
                  </w:r>
                  <w:r w:rsidRPr="00A552C3">
                    <w:rPr>
                      <w:iCs/>
                      <w:sz w:val="20"/>
                    </w:rPr>
                    <w:t>at Resource Node</w:t>
                  </w:r>
                  <w:r w:rsidRPr="00A552C3">
                    <w:rPr>
                      <w:i/>
                      <w:iCs/>
                      <w:sz w:val="20"/>
                    </w:rPr>
                    <w:t xml:space="preserve"> p </w:t>
                  </w:r>
                  <w:r w:rsidRPr="00A552C3">
                    <w:rPr>
                      <w:iCs/>
                      <w:sz w:val="20"/>
                    </w:rPr>
                    <w:t xml:space="preserve">represented by the QSE </w:t>
                  </w:r>
                  <w:r w:rsidRPr="00A552C3">
                    <w:rPr>
                      <w:i/>
                      <w:iCs/>
                      <w:sz w:val="20"/>
                    </w:rPr>
                    <w:t xml:space="preserve">q, </w:t>
                  </w:r>
                  <w:r w:rsidRPr="00A552C3">
                    <w:rPr>
                      <w:iCs/>
                      <w:sz w:val="20"/>
                    </w:rPr>
                    <w:t>represented as a negative value,</w:t>
                  </w:r>
                  <w:r w:rsidRPr="00A552C3">
                    <w:rPr>
                      <w:i/>
                      <w:iCs/>
                      <w:sz w:val="20"/>
                    </w:rPr>
                    <w:t xml:space="preserve"> </w:t>
                  </w:r>
                  <w:r w:rsidRPr="00A552C3">
                    <w:rPr>
                      <w:iCs/>
                      <w:sz w:val="20"/>
                    </w:rPr>
                    <w:t xml:space="preserve">for the 15-minute Settlement Interval. </w:t>
                  </w:r>
                </w:p>
              </w:tc>
            </w:tr>
            <w:tr w:rsidR="00D81D75" w:rsidRPr="00A552C3" w14:paraId="5B38FEF7"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4E138197" w14:textId="77777777" w:rsidR="00D81D75" w:rsidRPr="00A552C3" w:rsidRDefault="00D81D75" w:rsidP="00D81D75">
                  <w:pPr>
                    <w:spacing w:after="60"/>
                    <w:rPr>
                      <w:iCs/>
                      <w:sz w:val="20"/>
                    </w:rPr>
                  </w:pPr>
                  <w:r w:rsidRPr="00A552C3">
                    <w:rPr>
                      <w:iCs/>
                      <w:sz w:val="20"/>
                    </w:rPr>
                    <w:lastRenderedPageBreak/>
                    <w:t xml:space="preserve">TLMP </w:t>
                  </w:r>
                  <w:r w:rsidRPr="00A552C3">
                    <w:rPr>
                      <w:i/>
                      <w:iCs/>
                      <w:sz w:val="20"/>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5D5F65DB" w14:textId="77777777" w:rsidR="00D81D75" w:rsidRPr="00A552C3" w:rsidRDefault="00D81D75" w:rsidP="00D81D75">
                  <w:pPr>
                    <w:spacing w:after="60"/>
                    <w:rPr>
                      <w:iCs/>
                      <w:sz w:val="20"/>
                    </w:rPr>
                  </w:pPr>
                  <w:r w:rsidRPr="00A552C3">
                    <w:rPr>
                      <w:iCs/>
                      <w:sz w:val="20"/>
                    </w:rPr>
                    <w:t>second</w:t>
                  </w:r>
                </w:p>
              </w:tc>
              <w:tc>
                <w:tcPr>
                  <w:tcW w:w="3585" w:type="pct"/>
                  <w:tcBorders>
                    <w:top w:val="single" w:sz="4" w:space="0" w:color="auto"/>
                    <w:left w:val="single" w:sz="4" w:space="0" w:color="auto"/>
                    <w:bottom w:val="single" w:sz="4" w:space="0" w:color="auto"/>
                    <w:right w:val="single" w:sz="4" w:space="0" w:color="auto"/>
                  </w:tcBorders>
                </w:tcPr>
                <w:p w14:paraId="2FD360E5" w14:textId="77777777" w:rsidR="00D81D75" w:rsidRPr="00A552C3" w:rsidRDefault="00D81D75" w:rsidP="00D81D75">
                  <w:pPr>
                    <w:spacing w:after="60"/>
                    <w:rPr>
                      <w:iCs/>
                      <w:sz w:val="20"/>
                    </w:rPr>
                  </w:pPr>
                  <w:r w:rsidRPr="00A552C3">
                    <w:rPr>
                      <w:i/>
                      <w:sz w:val="20"/>
                    </w:rPr>
                    <w:t>Duration of Emergency Base Point interval or SCED interval per interval</w:t>
                  </w:r>
                  <w:r w:rsidRPr="00A552C3">
                    <w:rPr>
                      <w:iCs/>
                      <w:sz w:val="20"/>
                    </w:rPr>
                    <w:t xml:space="preserve">—The duration of the portion of the Emergency Base Point interval or SCED interval </w:t>
                  </w:r>
                  <w:r w:rsidRPr="00A552C3">
                    <w:rPr>
                      <w:i/>
                      <w:iCs/>
                      <w:sz w:val="20"/>
                    </w:rPr>
                    <w:t>y</w:t>
                  </w:r>
                  <w:r w:rsidRPr="00A552C3">
                    <w:rPr>
                      <w:iCs/>
                      <w:sz w:val="20"/>
                    </w:rPr>
                    <w:t xml:space="preserve"> </w:t>
                  </w:r>
                  <w:r w:rsidRPr="00A552C3">
                    <w:rPr>
                      <w:sz w:val="20"/>
                    </w:rPr>
                    <w:t>within the 15-minute Settlement Interval</w:t>
                  </w:r>
                  <w:r w:rsidRPr="00A552C3">
                    <w:rPr>
                      <w:iCs/>
                      <w:sz w:val="20"/>
                    </w:rPr>
                    <w:t>.</w:t>
                  </w:r>
                </w:p>
              </w:tc>
            </w:tr>
            <w:tr w:rsidR="00D81D75" w:rsidRPr="00A552C3" w14:paraId="072F15D3"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349A3867" w14:textId="77777777" w:rsidR="00D81D75" w:rsidRPr="00A552C3" w:rsidRDefault="00D81D75" w:rsidP="00D81D75">
                  <w:pPr>
                    <w:spacing w:after="60"/>
                    <w:rPr>
                      <w:i/>
                      <w:iCs/>
                      <w:sz w:val="20"/>
                    </w:rPr>
                  </w:pPr>
                  <w:r w:rsidRPr="00A552C3">
                    <w:rPr>
                      <w:i/>
                      <w:iCs/>
                      <w:sz w:val="20"/>
                    </w:rPr>
                    <w:t>q</w:t>
                  </w:r>
                </w:p>
              </w:tc>
              <w:tc>
                <w:tcPr>
                  <w:tcW w:w="481" w:type="pct"/>
                  <w:tcBorders>
                    <w:top w:val="single" w:sz="4" w:space="0" w:color="auto"/>
                    <w:left w:val="single" w:sz="4" w:space="0" w:color="auto"/>
                    <w:bottom w:val="single" w:sz="4" w:space="0" w:color="auto"/>
                    <w:right w:val="single" w:sz="4" w:space="0" w:color="auto"/>
                  </w:tcBorders>
                </w:tcPr>
                <w:p w14:paraId="1B7285C3"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1382421D" w14:textId="77777777" w:rsidR="00D81D75" w:rsidRPr="00A552C3" w:rsidRDefault="00D81D75" w:rsidP="00D81D75">
                  <w:pPr>
                    <w:spacing w:after="60"/>
                    <w:rPr>
                      <w:iCs/>
                      <w:sz w:val="20"/>
                    </w:rPr>
                  </w:pPr>
                  <w:r w:rsidRPr="00A552C3">
                    <w:rPr>
                      <w:iCs/>
                      <w:sz w:val="20"/>
                    </w:rPr>
                    <w:t>A QSE.</w:t>
                  </w:r>
                </w:p>
              </w:tc>
            </w:tr>
            <w:tr w:rsidR="00D81D75" w:rsidRPr="00A552C3" w14:paraId="6994EF01"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3464F77A" w14:textId="77777777" w:rsidR="00D81D75" w:rsidRPr="00A552C3" w:rsidRDefault="00D81D75" w:rsidP="00D81D75">
                  <w:pPr>
                    <w:spacing w:after="60"/>
                    <w:rPr>
                      <w:i/>
                      <w:iCs/>
                      <w:sz w:val="20"/>
                    </w:rPr>
                  </w:pPr>
                  <w:r w:rsidRPr="00A552C3">
                    <w:rPr>
                      <w:i/>
                      <w:iCs/>
                      <w:sz w:val="20"/>
                    </w:rPr>
                    <w:t>p</w:t>
                  </w:r>
                </w:p>
              </w:tc>
              <w:tc>
                <w:tcPr>
                  <w:tcW w:w="481" w:type="pct"/>
                  <w:tcBorders>
                    <w:top w:val="single" w:sz="4" w:space="0" w:color="auto"/>
                    <w:left w:val="single" w:sz="4" w:space="0" w:color="auto"/>
                    <w:bottom w:val="single" w:sz="4" w:space="0" w:color="auto"/>
                    <w:right w:val="single" w:sz="4" w:space="0" w:color="auto"/>
                  </w:tcBorders>
                </w:tcPr>
                <w:p w14:paraId="2076C329"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0729CC72" w14:textId="77777777" w:rsidR="00D81D75" w:rsidRPr="00A552C3" w:rsidRDefault="00D81D75" w:rsidP="00D81D75">
                  <w:pPr>
                    <w:spacing w:after="60"/>
                    <w:rPr>
                      <w:iCs/>
                      <w:sz w:val="20"/>
                    </w:rPr>
                  </w:pPr>
                  <w:r w:rsidRPr="00A552C3">
                    <w:rPr>
                      <w:iCs/>
                      <w:sz w:val="20"/>
                    </w:rPr>
                    <w:t>A Resource Node Settlement Point.</w:t>
                  </w:r>
                </w:p>
              </w:tc>
            </w:tr>
            <w:tr w:rsidR="00D81D75" w:rsidRPr="00A552C3" w14:paraId="284C7BA8"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11A1DF0B" w14:textId="77777777" w:rsidR="00D81D75" w:rsidRPr="00A552C3" w:rsidRDefault="00D81D75" w:rsidP="00D81D75">
                  <w:pPr>
                    <w:spacing w:after="60"/>
                    <w:rPr>
                      <w:i/>
                      <w:iCs/>
                      <w:sz w:val="20"/>
                    </w:rPr>
                  </w:pPr>
                  <w:r w:rsidRPr="00A552C3">
                    <w:rPr>
                      <w:i/>
                      <w:iCs/>
                      <w:sz w:val="20"/>
                    </w:rPr>
                    <w:t>r</w:t>
                  </w:r>
                </w:p>
              </w:tc>
              <w:tc>
                <w:tcPr>
                  <w:tcW w:w="481" w:type="pct"/>
                  <w:tcBorders>
                    <w:top w:val="single" w:sz="4" w:space="0" w:color="auto"/>
                    <w:left w:val="single" w:sz="4" w:space="0" w:color="auto"/>
                    <w:bottom w:val="single" w:sz="4" w:space="0" w:color="auto"/>
                    <w:right w:val="single" w:sz="4" w:space="0" w:color="auto"/>
                  </w:tcBorders>
                </w:tcPr>
                <w:p w14:paraId="09F66F22"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4E121F6D" w14:textId="77777777" w:rsidR="00D81D75" w:rsidRPr="00A552C3" w:rsidRDefault="00D81D75" w:rsidP="00D81D75">
                  <w:pPr>
                    <w:spacing w:after="60"/>
                    <w:rPr>
                      <w:iCs/>
                      <w:sz w:val="20"/>
                    </w:rPr>
                  </w:pPr>
                  <w:r w:rsidRPr="00A552C3">
                    <w:rPr>
                      <w:iCs/>
                      <w:sz w:val="20"/>
                    </w:rPr>
                    <w:t>A Generation Resource or ESR.</w:t>
                  </w:r>
                </w:p>
              </w:tc>
            </w:tr>
            <w:tr w:rsidR="00D81D75" w:rsidRPr="00A552C3" w14:paraId="7E104698"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19309474" w14:textId="77777777" w:rsidR="00D81D75" w:rsidRPr="00A552C3" w:rsidRDefault="00D81D75" w:rsidP="00D81D75">
                  <w:pPr>
                    <w:spacing w:after="60"/>
                    <w:rPr>
                      <w:i/>
                      <w:iCs/>
                      <w:sz w:val="20"/>
                    </w:rPr>
                  </w:pPr>
                  <w:r w:rsidRPr="00A552C3">
                    <w:rPr>
                      <w:i/>
                      <w:iCs/>
                      <w:sz w:val="20"/>
                    </w:rPr>
                    <w:t>y</w:t>
                  </w:r>
                </w:p>
              </w:tc>
              <w:tc>
                <w:tcPr>
                  <w:tcW w:w="481" w:type="pct"/>
                  <w:tcBorders>
                    <w:top w:val="single" w:sz="4" w:space="0" w:color="auto"/>
                    <w:left w:val="single" w:sz="4" w:space="0" w:color="auto"/>
                    <w:bottom w:val="single" w:sz="4" w:space="0" w:color="auto"/>
                    <w:right w:val="single" w:sz="4" w:space="0" w:color="auto"/>
                  </w:tcBorders>
                </w:tcPr>
                <w:p w14:paraId="77BBF75C"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010D80BB" w14:textId="77777777" w:rsidR="00D81D75" w:rsidRPr="00A552C3" w:rsidRDefault="00D81D75" w:rsidP="00D81D75">
                  <w:pPr>
                    <w:spacing w:after="60"/>
                    <w:rPr>
                      <w:iCs/>
                      <w:sz w:val="20"/>
                    </w:rPr>
                  </w:pPr>
                  <w:r w:rsidRPr="00A552C3">
                    <w:rPr>
                      <w:iCs/>
                      <w:sz w:val="20"/>
                    </w:rPr>
                    <w:t>An Emergency Base Point interval or SCED interval that overlaps the 15-minute Settlement Interval.</w:t>
                  </w:r>
                </w:p>
              </w:tc>
            </w:tr>
            <w:tr w:rsidR="00D81D75" w:rsidRPr="00A552C3" w14:paraId="313C30AD"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51712C0E" w14:textId="77777777" w:rsidR="00D81D75" w:rsidRPr="00A552C3" w:rsidRDefault="00D81D75" w:rsidP="00D81D75">
                  <w:pPr>
                    <w:spacing w:after="60"/>
                    <w:rPr>
                      <w:iCs/>
                      <w:sz w:val="20"/>
                    </w:rPr>
                  </w:pPr>
                  <w:r w:rsidRPr="00A552C3">
                    <w:rPr>
                      <w:iCs/>
                      <w:sz w:val="20"/>
                    </w:rPr>
                    <w:t>3600</w:t>
                  </w:r>
                </w:p>
              </w:tc>
              <w:tc>
                <w:tcPr>
                  <w:tcW w:w="481" w:type="pct"/>
                  <w:tcBorders>
                    <w:top w:val="single" w:sz="4" w:space="0" w:color="auto"/>
                    <w:left w:val="single" w:sz="4" w:space="0" w:color="auto"/>
                    <w:bottom w:val="single" w:sz="4" w:space="0" w:color="auto"/>
                    <w:right w:val="single" w:sz="4" w:space="0" w:color="auto"/>
                  </w:tcBorders>
                </w:tcPr>
                <w:p w14:paraId="7DB3FD9C"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7D15326B" w14:textId="77777777" w:rsidR="00D81D75" w:rsidRPr="00A552C3" w:rsidRDefault="00D81D75" w:rsidP="00D81D75">
                  <w:pPr>
                    <w:spacing w:after="60"/>
                    <w:rPr>
                      <w:iCs/>
                      <w:sz w:val="20"/>
                    </w:rPr>
                  </w:pPr>
                  <w:r w:rsidRPr="00A552C3">
                    <w:rPr>
                      <w:iCs/>
                      <w:sz w:val="20"/>
                    </w:rPr>
                    <w:t>The number of seconds in one hour.</w:t>
                  </w:r>
                </w:p>
              </w:tc>
            </w:tr>
          </w:tbl>
          <w:p w14:paraId="6D2435C9" w14:textId="77777777" w:rsidR="00D81D75" w:rsidRPr="00A552C3" w:rsidRDefault="00D81D75" w:rsidP="00D81D75">
            <w:pPr>
              <w:spacing w:before="240" w:after="240"/>
              <w:ind w:left="720" w:hanging="720"/>
              <w:rPr>
                <w:iCs/>
              </w:rPr>
            </w:pPr>
            <w:r w:rsidRPr="00A552C3">
              <w:rPr>
                <w:iCs/>
              </w:rPr>
              <w:t>(2)</w:t>
            </w:r>
            <w:r w:rsidRPr="00A552C3">
              <w:rPr>
                <w:iCs/>
              </w:rPr>
              <w:tab/>
              <w:t>ERCOT shall pay the QSE additional compensation for the Resource at its Resource Node Settlement Point during the Settlement Intervals that qualify for emergency Settlement as described in Section 6.6.9, Emergency Operations Settlement.  The payment for a given 15-minute Settlement Interval is calculated as follows:</w:t>
            </w:r>
          </w:p>
          <w:p w14:paraId="2130512A" w14:textId="63AF8249" w:rsidR="00D81D75" w:rsidRPr="00A552C3" w:rsidRDefault="00D81D75" w:rsidP="00D81D75">
            <w:pPr>
              <w:tabs>
                <w:tab w:val="left" w:pos="2880"/>
              </w:tabs>
              <w:spacing w:after="240"/>
              <w:ind w:left="720"/>
              <w:rPr>
                <w:b/>
              </w:rPr>
            </w:pPr>
            <w:r w:rsidRPr="00A552C3">
              <w:rPr>
                <w:b/>
                <w:lang w:val="pt-BR"/>
              </w:rPr>
              <w:t xml:space="preserve">EMREAMT </w:t>
            </w:r>
            <w:r w:rsidRPr="00A552C3">
              <w:rPr>
                <w:b/>
                <w:bCs/>
                <w:i/>
                <w:iCs/>
                <w:sz w:val="16"/>
                <w:szCs w:val="16"/>
              </w:rPr>
              <w:t xml:space="preserve">q, r, p </w:t>
            </w:r>
            <w:r w:rsidRPr="00A552C3">
              <w:rPr>
                <w:b/>
                <w:bCs/>
                <w:i/>
                <w:iCs/>
                <w:sz w:val="16"/>
                <w:szCs w:val="16"/>
              </w:rPr>
              <w:tab/>
            </w:r>
            <w:r w:rsidRPr="00A552C3">
              <w:rPr>
                <w:b/>
              </w:rPr>
              <w:t xml:space="preserve"> = </w:t>
            </w:r>
            <w:r w:rsidRPr="00A552C3">
              <w:rPr>
                <w:b/>
              </w:rPr>
              <w:tab/>
              <w:t xml:space="preserve">Min (0, </w:t>
            </w:r>
            <w:r w:rsidRPr="00A552C3">
              <w:rPr>
                <w:b/>
                <w:lang w:val="pt-BR"/>
              </w:rPr>
              <w:t xml:space="preserve">RTENET </w:t>
            </w:r>
            <w:r w:rsidRPr="00A552C3">
              <w:rPr>
                <w:b/>
                <w:i/>
                <w:vertAlign w:val="subscript"/>
                <w:lang w:val="pt-BR"/>
              </w:rPr>
              <w:t>q, r, p</w:t>
            </w:r>
            <w:r w:rsidRPr="00A552C3">
              <w:rPr>
                <w:b/>
              </w:rPr>
              <w:t xml:space="preserve"> + RTASNET </w:t>
            </w:r>
            <w:r w:rsidRPr="00A552C3">
              <w:rPr>
                <w:b/>
                <w:bCs/>
                <w:i/>
                <w:iCs/>
                <w:sz w:val="16"/>
                <w:szCs w:val="16"/>
              </w:rPr>
              <w:t>q, r</w:t>
            </w:r>
            <w:r w:rsidRPr="00A552C3">
              <w:rPr>
                <w:b/>
              </w:rPr>
              <w:t>)</w:t>
            </w:r>
          </w:p>
          <w:p w14:paraId="55A67686" w14:textId="77777777" w:rsidR="00D81D75" w:rsidRPr="00A552C3" w:rsidRDefault="00D81D75" w:rsidP="00D81D75">
            <w:pPr>
              <w:spacing w:after="240"/>
              <w:ind w:left="1440" w:hanging="720"/>
            </w:pPr>
            <w:r w:rsidRPr="00A552C3">
              <w:t>(a)</w:t>
            </w:r>
            <w:r w:rsidRPr="00A552C3">
              <w:tab/>
              <w:t>Where the Real-Time Energy Net Revenue is calculated as follows:</w:t>
            </w:r>
          </w:p>
          <w:p w14:paraId="6E1DCA58" w14:textId="36395A35" w:rsidR="00D81D75" w:rsidRPr="00A552C3" w:rsidRDefault="00D81D75" w:rsidP="00D81D75">
            <w:pPr>
              <w:spacing w:after="240"/>
              <w:ind w:left="2340" w:hanging="1620"/>
              <w:rPr>
                <w:i/>
                <w:vertAlign w:val="subscript"/>
                <w:lang w:val="pt-BR"/>
              </w:rPr>
            </w:pPr>
            <w:r w:rsidRPr="00A552C3">
              <w:rPr>
                <w:lang w:val="pt-BR"/>
              </w:rPr>
              <w:t xml:space="preserve">RTENET </w:t>
            </w:r>
            <w:r w:rsidRPr="00A552C3">
              <w:rPr>
                <w:bCs/>
                <w:i/>
                <w:iCs/>
                <w:sz w:val="16"/>
                <w:szCs w:val="16"/>
                <w:lang w:val="pt-BR"/>
              </w:rPr>
              <w:t>q, r, p</w:t>
            </w:r>
            <w:r w:rsidRPr="00A552C3">
              <w:rPr>
                <w:bCs/>
                <w:i/>
                <w:iCs/>
                <w:sz w:val="16"/>
                <w:szCs w:val="16"/>
                <w:lang w:val="pt-BR"/>
              </w:rPr>
              <w:tab/>
            </w:r>
            <w:r w:rsidRPr="00A552C3">
              <w:rPr>
                <w:bCs/>
                <w:i/>
                <w:iCs/>
                <w:sz w:val="16"/>
                <w:szCs w:val="16"/>
                <w:lang w:val="pt-BR"/>
              </w:rPr>
              <w:tab/>
            </w:r>
            <w:r w:rsidRPr="00A552C3">
              <w:rPr>
                <w:lang w:val="pt-BR"/>
              </w:rPr>
              <w:t xml:space="preserve">= </w:t>
            </w:r>
            <w:r w:rsidRPr="00A552C3">
              <w:rPr>
                <w:lang w:val="pt-BR"/>
              </w:rPr>
              <w:tab/>
              <w:t>RTEREV</w:t>
            </w:r>
            <w:r w:rsidRPr="00A552C3">
              <w:rPr>
                <w:i/>
                <w:vertAlign w:val="subscript"/>
                <w:lang w:val="pt-BR"/>
              </w:rPr>
              <w:t xml:space="preserve">q, r, p </w:t>
            </w:r>
            <w:r w:rsidRPr="00A552C3">
              <w:rPr>
                <w:lang w:val="pt-BR"/>
              </w:rPr>
              <w:t>- RTEREVT</w:t>
            </w:r>
            <w:r w:rsidRPr="00A552C3">
              <w:rPr>
                <w:i/>
                <w:vertAlign w:val="subscript"/>
                <w:lang w:val="pt-BR"/>
              </w:rPr>
              <w:t xml:space="preserve">q, r, p </w:t>
            </w:r>
          </w:p>
          <w:p w14:paraId="07E87FBE" w14:textId="77777777" w:rsidR="00D81D75" w:rsidRPr="00A552C3" w:rsidRDefault="00D81D75" w:rsidP="00D81D75">
            <w:pPr>
              <w:spacing w:after="240"/>
              <w:ind w:left="2340" w:hanging="1620"/>
              <w:rPr>
                <w:i/>
                <w:vertAlign w:val="subscript"/>
                <w:lang w:val="pt-BR"/>
              </w:rPr>
            </w:pPr>
            <w:r w:rsidRPr="00A552C3">
              <w:rPr>
                <w:lang w:val="pt-BR"/>
              </w:rPr>
              <w:t>Where:</w:t>
            </w:r>
          </w:p>
          <w:p w14:paraId="7D79538B" w14:textId="2612C621" w:rsidR="00D81D75" w:rsidRPr="00A552C3" w:rsidRDefault="00D81D75" w:rsidP="00D81D75">
            <w:pPr>
              <w:tabs>
                <w:tab w:val="left" w:pos="2340"/>
                <w:tab w:val="left" w:pos="2880"/>
              </w:tabs>
              <w:spacing w:after="240"/>
              <w:ind w:left="987" w:hanging="269"/>
              <w:rPr>
                <w:bCs/>
                <w:lang w:val="pt-BR"/>
              </w:rPr>
            </w:pPr>
            <w:r w:rsidRPr="00A552C3">
              <w:rPr>
                <w:bCs/>
                <w:lang w:val="pt-BR"/>
              </w:rPr>
              <w:t>RTEREV</w:t>
            </w:r>
            <w:r w:rsidRPr="00A552C3">
              <w:rPr>
                <w:bCs/>
                <w:i/>
                <w:vertAlign w:val="subscript"/>
                <w:lang w:val="pt-BR"/>
              </w:rPr>
              <w:t>q, r, p</w:t>
            </w:r>
            <w:r w:rsidRPr="00A552C3">
              <w:rPr>
                <w:bCs/>
                <w:lang w:val="pt-BR"/>
              </w:rPr>
              <w:tab/>
            </w:r>
            <w:r w:rsidRPr="00A552C3">
              <w:rPr>
                <w:bCs/>
                <w:lang w:val="pt-BR"/>
              </w:rPr>
              <w:tab/>
              <w:t>=</w:t>
            </w:r>
            <w:r w:rsidRPr="00A552C3">
              <w:rPr>
                <w:bCs/>
                <w:lang w:val="pt-BR"/>
              </w:rPr>
              <w:tab/>
              <w:t xml:space="preserve">RTSPP </w:t>
            </w:r>
            <w:r w:rsidRPr="00A552C3">
              <w:rPr>
                <w:bCs/>
                <w:i/>
                <w:vertAlign w:val="subscript"/>
                <w:lang w:val="pt-BR"/>
              </w:rPr>
              <w:t>p</w:t>
            </w:r>
            <w:r w:rsidRPr="00A552C3">
              <w:rPr>
                <w:bCs/>
                <w:lang w:val="pt-BR"/>
              </w:rPr>
              <w:t xml:space="preserve"> * (EMREGEN </w:t>
            </w:r>
            <w:r w:rsidRPr="00A552C3">
              <w:rPr>
                <w:bCs/>
                <w:i/>
                <w:vertAlign w:val="subscript"/>
                <w:lang w:val="pt-BR"/>
              </w:rPr>
              <w:t xml:space="preserve">q, r, p </w:t>
            </w:r>
            <w:r w:rsidRPr="00A552C3">
              <w:rPr>
                <w:rFonts w:eastAsiaTheme="minorHAnsi"/>
                <w:lang w:val="pt-BR"/>
              </w:rPr>
              <w:t xml:space="preserve">+ EMRELOAD </w:t>
            </w:r>
            <w:r w:rsidRPr="00A552C3">
              <w:rPr>
                <w:rFonts w:eastAsiaTheme="minorHAnsi"/>
                <w:i/>
                <w:vertAlign w:val="subscript"/>
                <w:lang w:val="pt-BR"/>
              </w:rPr>
              <w:t>q, r, p</w:t>
            </w:r>
            <w:r w:rsidRPr="00A552C3">
              <w:rPr>
                <w:rFonts w:eastAsiaTheme="minorHAnsi"/>
                <w:lang w:val="pt-BR"/>
              </w:rPr>
              <w:t>)</w:t>
            </w:r>
          </w:p>
          <w:p w14:paraId="3286EC30" w14:textId="77777777" w:rsidR="00D81D75" w:rsidRPr="00A552C3" w:rsidRDefault="00D81D75" w:rsidP="00D81D75">
            <w:pPr>
              <w:tabs>
                <w:tab w:val="left" w:pos="2340"/>
                <w:tab w:val="left" w:pos="2880"/>
              </w:tabs>
              <w:spacing w:after="240"/>
              <w:ind w:left="987" w:hanging="269"/>
              <w:rPr>
                <w:rFonts w:eastAsiaTheme="minorHAnsi"/>
                <w:lang w:val="pt-BR"/>
              </w:rPr>
            </w:pPr>
            <w:r w:rsidRPr="00A552C3">
              <w:rPr>
                <w:bCs/>
                <w:lang w:val="pt-BR"/>
              </w:rPr>
              <w:t>RTEREVT</w:t>
            </w:r>
            <w:r w:rsidRPr="00A552C3">
              <w:rPr>
                <w:bCs/>
                <w:i/>
                <w:vertAlign w:val="subscript"/>
                <w:lang w:val="pt-BR"/>
              </w:rPr>
              <w:t>q, r, p</w:t>
            </w:r>
            <w:r w:rsidRPr="00A552C3">
              <w:rPr>
                <w:bCs/>
                <w:lang w:val="pt-BR"/>
              </w:rPr>
              <w:tab/>
            </w:r>
            <w:r w:rsidRPr="00A552C3">
              <w:rPr>
                <w:bCs/>
                <w:lang w:val="pt-BR"/>
              </w:rPr>
              <w:tab/>
              <w:t>=</w:t>
            </w:r>
            <w:r w:rsidRPr="00A552C3">
              <w:rPr>
                <w:bCs/>
                <w:lang w:val="pt-BR"/>
              </w:rPr>
              <w:tab/>
              <w:t xml:space="preserve">EBPWAPRGEN </w:t>
            </w:r>
            <w:r w:rsidRPr="00A552C3">
              <w:rPr>
                <w:bCs/>
                <w:i/>
                <w:vertAlign w:val="subscript"/>
                <w:lang w:val="pt-BR"/>
              </w:rPr>
              <w:t>q, r, p</w:t>
            </w:r>
            <w:r w:rsidRPr="00A552C3">
              <w:rPr>
                <w:bCs/>
                <w:lang w:val="pt-BR"/>
              </w:rPr>
              <w:t xml:space="preserve"> * EMREGEN </w:t>
            </w:r>
            <w:r w:rsidRPr="00A552C3">
              <w:rPr>
                <w:bCs/>
                <w:i/>
                <w:vertAlign w:val="subscript"/>
                <w:lang w:val="pt-BR"/>
              </w:rPr>
              <w:t>q, r, p</w:t>
            </w:r>
            <w:r w:rsidRPr="00A552C3">
              <w:rPr>
                <w:rFonts w:eastAsiaTheme="minorHAnsi"/>
                <w:lang w:val="pt-BR"/>
              </w:rPr>
              <w:t xml:space="preserve"> + </w:t>
            </w:r>
          </w:p>
          <w:p w14:paraId="7D1FCE77"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ab/>
            </w:r>
            <w:r w:rsidRPr="00A552C3">
              <w:rPr>
                <w:bCs/>
                <w:lang w:val="pt-BR"/>
              </w:rPr>
              <w:tab/>
            </w:r>
            <w:r w:rsidRPr="00A552C3">
              <w:rPr>
                <w:bCs/>
                <w:lang w:val="pt-BR"/>
              </w:rPr>
              <w:tab/>
            </w:r>
            <w:r w:rsidRPr="00A552C3">
              <w:rPr>
                <w:bCs/>
                <w:lang w:val="pt-BR"/>
              </w:rPr>
              <w:tab/>
            </w:r>
            <w:r w:rsidRPr="00A552C3">
              <w:rPr>
                <w:rFonts w:eastAsiaTheme="minorHAnsi"/>
                <w:lang w:val="pt-BR"/>
              </w:rPr>
              <w:t xml:space="preserve">EBPWAPRLOAD </w:t>
            </w:r>
            <w:r w:rsidRPr="00A552C3">
              <w:rPr>
                <w:rFonts w:eastAsiaTheme="minorHAnsi"/>
                <w:i/>
                <w:vertAlign w:val="subscript"/>
                <w:lang w:val="pt-BR"/>
              </w:rPr>
              <w:t>q, r, p</w:t>
            </w:r>
            <w:r w:rsidRPr="00A552C3">
              <w:rPr>
                <w:rFonts w:eastAsiaTheme="minorHAnsi"/>
                <w:lang w:val="pt-BR"/>
              </w:rPr>
              <w:t xml:space="preserve"> * EMRELOAD </w:t>
            </w:r>
            <w:r w:rsidRPr="00A552C3">
              <w:rPr>
                <w:rFonts w:eastAsiaTheme="minorHAnsi"/>
                <w:i/>
                <w:vertAlign w:val="subscript"/>
                <w:lang w:val="pt-BR"/>
              </w:rPr>
              <w:t>q, r, p</w:t>
            </w:r>
            <w:r w:rsidRPr="00A552C3">
              <w:rPr>
                <w:rFonts w:asciiTheme="minorHAnsi" w:eastAsiaTheme="minorHAnsi" w:hAnsiTheme="minorHAnsi" w:cstheme="minorBidi"/>
                <w:i/>
                <w:sz w:val="22"/>
                <w:szCs w:val="22"/>
                <w:vertAlign w:val="subscript"/>
                <w:lang w:val="pt-BR"/>
              </w:rPr>
              <w:t xml:space="preserve">  </w:t>
            </w:r>
          </w:p>
          <w:p w14:paraId="4840B40D"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If any EBP &gt; 0 then:</w:t>
            </w:r>
          </w:p>
          <w:p w14:paraId="75482445" w14:textId="48F811AF"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EBPWAPRGEN </w:t>
            </w:r>
            <w:r w:rsidRPr="00A552C3">
              <w:rPr>
                <w:bCs/>
                <w:i/>
                <w:vertAlign w:val="subscript"/>
                <w:lang w:val="pt-BR"/>
              </w:rPr>
              <w:t>q, r, p</w:t>
            </w:r>
            <w:r w:rsidRPr="00A552C3">
              <w:rPr>
                <w:bCs/>
                <w:lang w:val="pt-BR"/>
              </w:rPr>
              <w:tab/>
            </w:r>
            <w:r w:rsidRPr="00A552C3">
              <w:rPr>
                <w:bCs/>
                <w:lang w:val="pt-BR"/>
              </w:rPr>
              <w:tab/>
              <w:t xml:space="preserve">=  </w:t>
            </w:r>
            <w:r w:rsidRPr="00A552C3">
              <w:rPr>
                <w:bCs/>
                <w:lang w:val="pt-BR"/>
              </w:rPr>
              <w:tab/>
            </w:r>
            <w:r w:rsidRPr="00A552C3">
              <w:rPr>
                <w:bCs/>
                <w:position w:val="-22"/>
              </w:rPr>
              <w:object w:dxaOrig="225" w:dyaOrig="450" w14:anchorId="0F9F5AFC">
                <v:shape id="_x0000_i1250" type="#_x0000_t75" style="width:12pt;height:24.6pt" o:ole="">
                  <v:imagedata r:id="rId294" o:title=""/>
                </v:shape>
                <o:OLEObject Type="Embed" ProgID="Equation.3" ShapeID="_x0000_i1250" DrawAspect="Content" ObjectID="_1815025439" r:id="rId307"/>
              </w:object>
            </w:r>
            <w:r w:rsidRPr="00A552C3">
              <w:rPr>
                <w:bCs/>
                <w:lang w:val="pt-BR"/>
              </w:rPr>
              <w:t xml:space="preserve">(EBPPR </w:t>
            </w:r>
            <w:r w:rsidRPr="00A552C3">
              <w:rPr>
                <w:bCs/>
                <w:i/>
                <w:vertAlign w:val="subscript"/>
                <w:lang w:val="pt-BR"/>
              </w:rPr>
              <w:t>q, r, p, y</w:t>
            </w:r>
            <w:r w:rsidRPr="00A552C3">
              <w:rPr>
                <w:bCs/>
                <w:lang w:val="pt-BR"/>
              </w:rPr>
              <w:t xml:space="preserve"> * Max (0.001, EBP </w:t>
            </w:r>
            <w:r w:rsidRPr="00A552C3">
              <w:rPr>
                <w:bCs/>
                <w:i/>
                <w:vertAlign w:val="subscript"/>
                <w:lang w:val="pt-BR"/>
              </w:rPr>
              <w:t>q, r, p, y</w:t>
            </w:r>
            <w:r w:rsidRPr="00A552C3">
              <w:rPr>
                <w:bCs/>
                <w:lang w:val="es-MX"/>
              </w:rPr>
              <w:t>)</w:t>
            </w:r>
            <w:r w:rsidR="00C03D95">
              <w:rPr>
                <w:bCs/>
                <w:lang w:val="es-MX"/>
              </w:rPr>
              <w:t xml:space="preserve"> </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p>
          <w:p w14:paraId="6BA46B31" w14:textId="77777777" w:rsidR="00D81D75" w:rsidRPr="00A552C3" w:rsidRDefault="00D81D75" w:rsidP="00D81D75">
            <w:pPr>
              <w:tabs>
                <w:tab w:val="left" w:pos="2340"/>
                <w:tab w:val="left" w:pos="2880"/>
              </w:tabs>
              <w:spacing w:after="240"/>
              <w:ind w:left="987" w:hanging="269"/>
              <w:rPr>
                <w:bCs/>
                <w:lang w:val="es-MX"/>
              </w:rPr>
            </w:pPr>
            <w:r w:rsidRPr="00A552C3">
              <w:rPr>
                <w:bCs/>
              </w:rPr>
              <w:tab/>
            </w:r>
            <w:r w:rsidRPr="00A552C3">
              <w:rPr>
                <w:bCs/>
              </w:rPr>
              <w:tab/>
            </w:r>
            <w:r w:rsidRPr="00A552C3">
              <w:rPr>
                <w:bCs/>
              </w:rPr>
              <w:tab/>
            </w:r>
            <w:r w:rsidRPr="00A552C3">
              <w:rPr>
                <w:bCs/>
              </w:rPr>
              <w:tab/>
            </w:r>
            <w:r w:rsidRPr="00A552C3">
              <w:rPr>
                <w:bCs/>
                <w:position w:val="-22"/>
              </w:rPr>
              <w:object w:dxaOrig="225" w:dyaOrig="450" w14:anchorId="6F72330F">
                <v:shape id="_x0000_i1251" type="#_x0000_t75" style="width:12pt;height:24.6pt" o:ole="">
                  <v:imagedata r:id="rId296" o:title=""/>
                </v:shape>
                <o:OLEObject Type="Embed" ProgID="Equation.3" ShapeID="_x0000_i1251" DrawAspect="Content" ObjectID="_1815025440" r:id="rId308"/>
              </w:object>
            </w:r>
            <w:r w:rsidRPr="00A552C3">
              <w:rPr>
                <w:bCs/>
                <w:lang w:val="es-MX"/>
              </w:rPr>
              <w:t>(</w:t>
            </w:r>
            <w:r w:rsidRPr="00A552C3">
              <w:rPr>
                <w:bCs/>
                <w:lang w:val="pt-BR"/>
              </w:rPr>
              <w:t xml:space="preserve">Max (0.001, </w:t>
            </w:r>
            <w:r w:rsidRPr="00A552C3">
              <w:rPr>
                <w:bCs/>
                <w:lang w:val="es-MX"/>
              </w:rPr>
              <w:t xml:space="preserve">EBP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1DB12805" w14:textId="34179D48" w:rsidR="00D81D75" w:rsidRPr="00A552C3" w:rsidRDefault="00D81D75" w:rsidP="00D81D75">
            <w:pPr>
              <w:tabs>
                <w:tab w:val="left" w:pos="2340"/>
                <w:tab w:val="left" w:pos="2880"/>
              </w:tabs>
              <w:spacing w:after="240"/>
              <w:ind w:left="987" w:hanging="269"/>
              <w:rPr>
                <w:bCs/>
                <w:lang w:val="es-MX"/>
              </w:rPr>
            </w:pPr>
            <w:r w:rsidRPr="00A552C3">
              <w:rPr>
                <w:bCs/>
                <w:lang w:val="pt-BR"/>
              </w:rPr>
              <w:t>EMREGEN</w:t>
            </w:r>
            <w:r w:rsidRPr="00A552C3">
              <w:rPr>
                <w:bCs/>
                <w:lang w:val="es-MX"/>
              </w:rPr>
              <w:t xml:space="preserve"> </w:t>
            </w:r>
            <w:r w:rsidRPr="00A552C3">
              <w:rPr>
                <w:bCs/>
                <w:i/>
                <w:vertAlign w:val="subscript"/>
                <w:lang w:val="es-MX"/>
              </w:rPr>
              <w:t>q, r, p</w:t>
            </w:r>
            <w:r w:rsidRPr="00A552C3">
              <w:rPr>
                <w:bCs/>
                <w:lang w:val="es-MX"/>
              </w:rPr>
              <w:tab/>
            </w:r>
            <w:r w:rsidRPr="00A552C3">
              <w:rPr>
                <w:bCs/>
                <w:lang w:val="es-MX"/>
              </w:rPr>
              <w:tab/>
              <w:t xml:space="preserve">=  </w:t>
            </w:r>
            <w:r w:rsidRPr="00A552C3">
              <w:rPr>
                <w:bCs/>
                <w:lang w:val="es-MX"/>
              </w:rPr>
              <w:tab/>
              <w:t>Max</w:t>
            </w:r>
            <w:r w:rsidR="00792C7F">
              <w:rPr>
                <w:bCs/>
                <w:lang w:val="es-MX"/>
              </w:rPr>
              <w:t xml:space="preserve"> </w:t>
            </w:r>
            <w:r w:rsidRPr="00A552C3">
              <w:rPr>
                <w:bCs/>
                <w:lang w:val="es-MX"/>
              </w:rPr>
              <w:t>(0, Min (</w:t>
            </w:r>
            <w:r w:rsidRPr="00A552C3">
              <w:rPr>
                <w:bCs/>
                <w:lang w:val="pt-BR"/>
              </w:rPr>
              <w:t>AEBPGEN</w:t>
            </w:r>
            <w:r w:rsidRPr="00A552C3">
              <w:rPr>
                <w:bCs/>
                <w:vertAlign w:val="subscript"/>
                <w:lang w:val="pt-BR"/>
              </w:rPr>
              <w:t xml:space="preserve"> </w:t>
            </w:r>
            <w:r w:rsidRPr="00A552C3">
              <w:rPr>
                <w:bCs/>
                <w:i/>
                <w:vertAlign w:val="subscript"/>
                <w:lang w:val="pt-BR"/>
              </w:rPr>
              <w:t>q, r, p</w:t>
            </w:r>
            <w:r w:rsidRPr="00A552C3">
              <w:rPr>
                <w:bCs/>
                <w:lang w:val="pt-BR"/>
              </w:rPr>
              <w:t>,</w:t>
            </w:r>
            <w:r w:rsidRPr="00A552C3">
              <w:rPr>
                <w:bCs/>
                <w:lang w:val="es-MX"/>
              </w:rPr>
              <w:t xml:space="preserve"> RTMG </w:t>
            </w:r>
            <w:r w:rsidRPr="00A552C3">
              <w:rPr>
                <w:bCs/>
                <w:i/>
                <w:vertAlign w:val="subscript"/>
                <w:lang w:val="es-MX"/>
              </w:rPr>
              <w:t>q, r, p</w:t>
            </w:r>
            <w:r w:rsidRPr="00A552C3">
              <w:rPr>
                <w:bCs/>
                <w:lang w:val="es-MX"/>
              </w:rPr>
              <w:t>))</w:t>
            </w:r>
          </w:p>
          <w:p w14:paraId="30590CFA"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AEBPGEN</w:t>
            </w:r>
            <w:r w:rsidRPr="00A552C3">
              <w:rPr>
                <w:bCs/>
                <w:vertAlign w:val="subscript"/>
                <w:lang w:val="pt-BR"/>
              </w:rPr>
              <w:t xml:space="preserve"> </w:t>
            </w:r>
            <w:r w:rsidRPr="00A552C3">
              <w:rPr>
                <w:bCs/>
                <w:i/>
                <w:vertAlign w:val="subscript"/>
                <w:lang w:val="pt-BR"/>
              </w:rPr>
              <w:t>q, r, p</w:t>
            </w:r>
            <w:r w:rsidRPr="00A552C3">
              <w:rPr>
                <w:bCs/>
                <w:lang w:val="pt-BR"/>
              </w:rPr>
              <w:tab/>
            </w:r>
            <w:r w:rsidRPr="00A552C3">
              <w:rPr>
                <w:bCs/>
                <w:lang w:val="pt-BR"/>
              </w:rPr>
              <w:tab/>
              <w:t xml:space="preserve">= </w:t>
            </w:r>
            <w:r w:rsidRPr="00A552C3">
              <w:rPr>
                <w:bCs/>
                <w:lang w:val="pt-BR"/>
              </w:rPr>
              <w:tab/>
              <w:t xml:space="preserve"> </w:t>
            </w:r>
            <w:r w:rsidRPr="00A552C3">
              <w:rPr>
                <w:bCs/>
                <w:position w:val="-22"/>
              </w:rPr>
              <w:object w:dxaOrig="225" w:dyaOrig="450" w14:anchorId="0B1DCB87">
                <v:shape id="_x0000_i1252" type="#_x0000_t75" style="width:12pt;height:24.6pt" o:ole="">
                  <v:imagedata r:id="rId296" o:title=""/>
                </v:shape>
                <o:OLEObject Type="Embed" ProgID="Equation.3" ShapeID="_x0000_i1252" DrawAspect="Content" ObjectID="_1815025441" r:id="rId309"/>
              </w:object>
            </w:r>
            <w:r w:rsidRPr="00A552C3">
              <w:rPr>
                <w:bCs/>
                <w:lang w:val="pt-BR"/>
              </w:rPr>
              <w:t xml:space="preserve"> (Max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p>
          <w:p w14:paraId="63539F65"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If any EBP &lt; 0 then:</w:t>
            </w:r>
          </w:p>
          <w:p w14:paraId="1A16D7F6" w14:textId="77777777" w:rsidR="00D81D75" w:rsidRPr="00A552C3" w:rsidRDefault="00D81D75" w:rsidP="00D81D75">
            <w:pPr>
              <w:tabs>
                <w:tab w:val="left" w:pos="2340"/>
                <w:tab w:val="left" w:pos="2880"/>
              </w:tabs>
              <w:spacing w:after="240"/>
              <w:ind w:left="987" w:hanging="269"/>
              <w:rPr>
                <w:b/>
                <w:bCs/>
                <w:sz w:val="32"/>
                <w:szCs w:val="32"/>
                <w:lang w:val="pt-BR"/>
              </w:rPr>
            </w:pPr>
            <w:r w:rsidRPr="00A552C3">
              <w:rPr>
                <w:bCs/>
                <w:lang w:val="pt-BR"/>
              </w:rPr>
              <w:lastRenderedPageBreak/>
              <w:t xml:space="preserve">EBPWAPRLOAD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11159DF0">
                <v:shape id="_x0000_i1253" type="#_x0000_t75" style="width:12pt;height:24.6pt" o:ole="">
                  <v:imagedata r:id="rId294" o:title=""/>
                </v:shape>
                <o:OLEObject Type="Embed" ProgID="Equation.3" ShapeID="_x0000_i1253" DrawAspect="Content" ObjectID="_1815025442" r:id="rId310"/>
              </w:object>
            </w:r>
            <w:r w:rsidRPr="00A552C3">
              <w:rPr>
                <w:bCs/>
                <w:lang w:val="pt-BR"/>
              </w:rPr>
              <w:t xml:space="preserve">(EBPPR </w:t>
            </w:r>
            <w:r w:rsidRPr="00A552C3">
              <w:rPr>
                <w:bCs/>
                <w:i/>
                <w:vertAlign w:val="subscript"/>
                <w:lang w:val="pt-BR"/>
              </w:rPr>
              <w:t>q, r, p, y</w:t>
            </w:r>
            <w:r w:rsidRPr="00A552C3">
              <w:rPr>
                <w:bCs/>
                <w:lang w:val="pt-BR"/>
              </w:rPr>
              <w:t xml:space="preserve"> * Min (-0.001, EBP </w:t>
            </w:r>
            <w:r w:rsidRPr="00A552C3">
              <w:rPr>
                <w:bCs/>
                <w:i/>
                <w:vertAlign w:val="subscript"/>
                <w:lang w:val="pt-BR"/>
              </w:rPr>
              <w:t>q, r, p, y</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7967ABEA" w14:textId="6006B95F" w:rsidR="00D81D75" w:rsidRPr="00A552C3" w:rsidRDefault="00D81D75" w:rsidP="00D81D75">
            <w:pPr>
              <w:tabs>
                <w:tab w:val="left" w:pos="2340"/>
                <w:tab w:val="left" w:pos="2880"/>
              </w:tabs>
              <w:spacing w:after="240"/>
              <w:ind w:left="987" w:hanging="269"/>
              <w:rPr>
                <w:bCs/>
                <w:lang w:val="es-MX"/>
              </w:rPr>
            </w:pPr>
            <w:r w:rsidRPr="00A552C3">
              <w:rPr>
                <w:bCs/>
                <w:lang w:val="pt-BR"/>
              </w:rPr>
              <w:tab/>
            </w:r>
            <w:r w:rsidRPr="00A552C3">
              <w:rPr>
                <w:bCs/>
                <w:lang w:val="pt-BR"/>
              </w:rPr>
              <w:tab/>
            </w:r>
            <w:r w:rsidRPr="00A552C3">
              <w:rPr>
                <w:bCs/>
                <w:lang w:val="pt-BR"/>
              </w:rPr>
              <w:tab/>
            </w:r>
            <w:r w:rsidRPr="00A552C3">
              <w:rPr>
                <w:bCs/>
                <w:lang w:val="pt-BR"/>
              </w:rPr>
              <w:tab/>
            </w:r>
            <w:r w:rsidRPr="00A552C3">
              <w:rPr>
                <w:bCs/>
                <w:lang w:val="pt-BR"/>
              </w:rPr>
              <w:tab/>
            </w:r>
            <w:r w:rsidRPr="00A552C3">
              <w:rPr>
                <w:bCs/>
                <w:position w:val="-22"/>
              </w:rPr>
              <w:object w:dxaOrig="225" w:dyaOrig="450" w14:anchorId="0558B3E4">
                <v:shape id="_x0000_i1254" type="#_x0000_t75" style="width:12pt;height:24.6pt" o:ole="">
                  <v:imagedata r:id="rId296" o:title=""/>
                </v:shape>
                <o:OLEObject Type="Embed" ProgID="Equation.3" ShapeID="_x0000_i1254" DrawAspect="Content" ObjectID="_1815025443" r:id="rId311"/>
              </w:object>
            </w:r>
            <w:r w:rsidRPr="00A552C3">
              <w:rPr>
                <w:bCs/>
                <w:lang w:val="es-MX"/>
              </w:rPr>
              <w:t>(</w:t>
            </w:r>
            <w:r w:rsidRPr="00A552C3">
              <w:rPr>
                <w:bCs/>
                <w:lang w:val="pt-BR"/>
              </w:rPr>
              <w:t xml:space="preserve">Min (-0.001, </w:t>
            </w:r>
            <w:r w:rsidRPr="00A552C3">
              <w:rPr>
                <w:bCs/>
                <w:lang w:val="es-MX"/>
              </w:rPr>
              <w:t>EBP</w:t>
            </w:r>
            <w:r w:rsidR="00952F33">
              <w:rPr>
                <w:bCs/>
                <w:lang w:val="es-MX"/>
              </w:rPr>
              <w:t xml:space="preserve">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193B2F04" w14:textId="3997230E" w:rsidR="00D81D75" w:rsidRPr="00A552C3" w:rsidRDefault="00D81D75" w:rsidP="00D81D75">
            <w:pPr>
              <w:tabs>
                <w:tab w:val="left" w:pos="2340"/>
                <w:tab w:val="left" w:pos="2880"/>
              </w:tabs>
              <w:spacing w:after="240"/>
              <w:ind w:left="987" w:hanging="269"/>
              <w:rPr>
                <w:bCs/>
                <w:lang w:val="es-MX"/>
              </w:rPr>
            </w:pPr>
            <w:r w:rsidRPr="00A552C3">
              <w:rPr>
                <w:bCs/>
                <w:lang w:val="pt-BR"/>
              </w:rPr>
              <w:t>EMRELOAD</w:t>
            </w:r>
            <w:r w:rsidRPr="00A552C3">
              <w:rPr>
                <w:bCs/>
                <w:lang w:val="es-MX"/>
              </w:rPr>
              <w:t xml:space="preserve"> </w:t>
            </w:r>
            <w:r w:rsidRPr="00A552C3">
              <w:rPr>
                <w:bCs/>
                <w:i/>
                <w:vertAlign w:val="subscript"/>
                <w:lang w:val="es-MX"/>
              </w:rPr>
              <w:t>q, r, p</w:t>
            </w:r>
            <w:r w:rsidRPr="00A552C3">
              <w:rPr>
                <w:bCs/>
                <w:lang w:val="es-MX"/>
              </w:rPr>
              <w:tab/>
              <w:t>=</w:t>
            </w:r>
            <w:r w:rsidRPr="00A552C3">
              <w:rPr>
                <w:bCs/>
                <w:lang w:val="es-MX"/>
              </w:rPr>
              <w:tab/>
              <w:t>Min (0, Max (</w:t>
            </w:r>
            <w:r w:rsidRPr="00A552C3">
              <w:rPr>
                <w:bCs/>
                <w:lang w:val="pt-BR"/>
              </w:rPr>
              <w:t>AEBPLOAD</w:t>
            </w:r>
            <w:r w:rsidRPr="00A552C3">
              <w:rPr>
                <w:bCs/>
                <w:vertAlign w:val="subscript"/>
                <w:lang w:val="pt-BR"/>
              </w:rPr>
              <w:t xml:space="preserve"> </w:t>
            </w:r>
            <w:r w:rsidRPr="00A552C3">
              <w:rPr>
                <w:bCs/>
                <w:i/>
                <w:vertAlign w:val="subscript"/>
                <w:lang w:val="pt-BR"/>
              </w:rPr>
              <w:t>q, r, p</w:t>
            </w:r>
            <w:r w:rsidRPr="00A552C3">
              <w:rPr>
                <w:bCs/>
                <w:lang w:val="pt-BR"/>
              </w:rPr>
              <w:t>,</w:t>
            </w:r>
            <w:r w:rsidRPr="00A552C3">
              <w:rPr>
                <w:bCs/>
                <w:lang w:val="es-MX"/>
              </w:rPr>
              <w:t xml:space="preserve"> RTCL </w:t>
            </w:r>
            <w:r w:rsidRPr="00A552C3">
              <w:rPr>
                <w:bCs/>
                <w:i/>
                <w:vertAlign w:val="subscript"/>
                <w:lang w:val="es-MX"/>
              </w:rPr>
              <w:t>q, r, p</w:t>
            </w:r>
            <w:r w:rsidRPr="00A552C3">
              <w:rPr>
                <w:bCs/>
                <w:lang w:val="es-MX"/>
              </w:rPr>
              <w:t>))</w:t>
            </w:r>
          </w:p>
          <w:p w14:paraId="0E875B70"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AEBPLOAD</w:t>
            </w:r>
            <w:r w:rsidRPr="00A552C3">
              <w:rPr>
                <w:bCs/>
                <w:i/>
                <w:vertAlign w:val="subscript"/>
                <w:lang w:val="pt-BR"/>
              </w:rPr>
              <w:t xml:space="preserve"> q, r, p</w:t>
            </w:r>
            <w:r w:rsidRPr="00A552C3">
              <w:rPr>
                <w:bCs/>
                <w:lang w:val="pt-BR"/>
              </w:rPr>
              <w:tab/>
              <w:t>=</w:t>
            </w:r>
            <w:r w:rsidRPr="00A552C3">
              <w:rPr>
                <w:bCs/>
                <w:lang w:val="pt-BR"/>
              </w:rPr>
              <w:tab/>
            </w:r>
            <w:r w:rsidRPr="00A552C3">
              <w:rPr>
                <w:bCs/>
                <w:position w:val="-22"/>
              </w:rPr>
              <w:object w:dxaOrig="225" w:dyaOrig="450" w14:anchorId="36F9F20B">
                <v:shape id="_x0000_i1255" type="#_x0000_t75" style="width:12pt;height:24.6pt" o:ole="">
                  <v:imagedata r:id="rId296" o:title=""/>
                </v:shape>
                <o:OLEObject Type="Embed" ProgID="Equation.3" ShapeID="_x0000_i1255" DrawAspect="Content" ObjectID="_1815025444" r:id="rId312"/>
              </w:object>
            </w:r>
            <w:r w:rsidRPr="00A552C3">
              <w:rPr>
                <w:bCs/>
                <w:lang w:val="pt-BR"/>
              </w:rPr>
              <w:t xml:space="preserve"> (Min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p>
          <w:p w14:paraId="79CB86E4" w14:textId="77777777" w:rsidR="00D81D75" w:rsidRPr="00A552C3" w:rsidRDefault="00D81D75" w:rsidP="00D81D75">
            <w:pPr>
              <w:spacing w:after="240"/>
              <w:ind w:left="1440" w:hanging="720"/>
              <w:rPr>
                <w:lang w:val="pt-BR"/>
              </w:rPr>
            </w:pPr>
            <w:r w:rsidRPr="00A552C3">
              <w:rPr>
                <w:lang w:val="pt-BR"/>
              </w:rPr>
              <w:t>(b)</w:t>
            </w:r>
            <w:r w:rsidRPr="00A552C3">
              <w:rPr>
                <w:lang w:val="pt-BR"/>
              </w:rPr>
              <w:tab/>
              <w:t>Where the Real-Time Ancillary Services Net Revenue is calculated as follows:</w:t>
            </w:r>
          </w:p>
          <w:p w14:paraId="1002C34E" w14:textId="75FB1523" w:rsidR="00D81D75" w:rsidRPr="00A552C3" w:rsidRDefault="00D81D75" w:rsidP="00D81D75">
            <w:pPr>
              <w:tabs>
                <w:tab w:val="left" w:pos="2790"/>
              </w:tabs>
              <w:spacing w:after="240"/>
              <w:ind w:left="3600" w:hanging="2880"/>
              <w:rPr>
                <w:lang w:val="pt-BR"/>
              </w:rPr>
            </w:pPr>
            <w:r w:rsidRPr="00A552C3">
              <w:rPr>
                <w:lang w:val="pt-BR"/>
              </w:rPr>
              <w:t>RTASNET</w:t>
            </w:r>
            <w:r w:rsidRPr="00A552C3">
              <w:rPr>
                <w:b/>
                <w:bCs/>
                <w:i/>
                <w:iCs/>
                <w:sz w:val="16"/>
                <w:szCs w:val="16"/>
                <w:lang w:val="pt-BR"/>
              </w:rPr>
              <w:t xml:space="preserve"> </w:t>
            </w:r>
            <w:r w:rsidRPr="00A552C3">
              <w:rPr>
                <w:bCs/>
                <w:i/>
                <w:iCs/>
                <w:sz w:val="16"/>
                <w:szCs w:val="16"/>
                <w:lang w:val="pt-BR"/>
              </w:rPr>
              <w:t xml:space="preserve">q, r </w:t>
            </w:r>
            <w:r w:rsidRPr="00A552C3">
              <w:rPr>
                <w:bCs/>
                <w:i/>
                <w:iCs/>
                <w:sz w:val="16"/>
                <w:szCs w:val="16"/>
                <w:lang w:val="pt-BR"/>
              </w:rPr>
              <w:tab/>
              <w:t xml:space="preserve">  </w:t>
            </w:r>
            <w:r w:rsidRPr="00A552C3">
              <w:rPr>
                <w:bCs/>
                <w:iCs/>
                <w:sz w:val="20"/>
                <w:szCs w:val="16"/>
                <w:lang w:val="pt-BR"/>
              </w:rPr>
              <w:t xml:space="preserve">=  </w:t>
            </w:r>
            <w:r w:rsidRPr="00A552C3">
              <w:rPr>
                <w:bCs/>
                <w:iCs/>
                <w:sz w:val="20"/>
                <w:szCs w:val="16"/>
                <w:lang w:val="pt-BR"/>
              </w:rPr>
              <w:tab/>
            </w:r>
            <w:r w:rsidRPr="00A552C3">
              <w:rPr>
                <w:bCs/>
                <w:iCs/>
                <w:lang w:val="pt-BR"/>
              </w:rPr>
              <w:t xml:space="preserve">RTRUNET </w:t>
            </w:r>
            <w:r w:rsidRPr="00A552C3">
              <w:rPr>
                <w:bCs/>
                <w:i/>
                <w:iCs/>
                <w:vertAlign w:val="subscript"/>
                <w:lang w:val="pt-BR"/>
              </w:rPr>
              <w:t>q, r</w:t>
            </w:r>
            <w:r w:rsidRPr="00A552C3">
              <w:rPr>
                <w:bCs/>
                <w:iCs/>
                <w:vertAlign w:val="subscript"/>
                <w:lang w:val="pt-BR"/>
              </w:rPr>
              <w:t xml:space="preserve"> </w:t>
            </w:r>
            <w:r w:rsidRPr="00A552C3">
              <w:rPr>
                <w:bCs/>
                <w:iCs/>
                <w:lang w:val="pt-BR"/>
              </w:rPr>
              <w:t xml:space="preserve">+ RTRDNET </w:t>
            </w:r>
            <w:r w:rsidRPr="00A552C3">
              <w:rPr>
                <w:bCs/>
                <w:i/>
                <w:iCs/>
                <w:vertAlign w:val="subscript"/>
                <w:lang w:val="pt-BR"/>
              </w:rPr>
              <w:t>q, r</w:t>
            </w:r>
            <w:r w:rsidR="00293899">
              <w:rPr>
                <w:bCs/>
                <w:i/>
                <w:iCs/>
                <w:vertAlign w:val="subscript"/>
                <w:lang w:val="pt-BR"/>
              </w:rPr>
              <w:t xml:space="preserve"> </w:t>
            </w:r>
            <w:r w:rsidRPr="00A552C3">
              <w:rPr>
                <w:bCs/>
                <w:iCs/>
                <w:lang w:val="pt-BR"/>
              </w:rPr>
              <w:t xml:space="preserve">+ RTNSNET </w:t>
            </w:r>
            <w:r w:rsidRPr="00A552C3">
              <w:rPr>
                <w:bCs/>
                <w:i/>
                <w:iCs/>
                <w:vertAlign w:val="subscript"/>
                <w:lang w:val="pt-BR"/>
              </w:rPr>
              <w:t>q, r</w:t>
            </w:r>
            <w:r w:rsidRPr="00A552C3">
              <w:rPr>
                <w:bCs/>
                <w:iCs/>
                <w:lang w:val="pt-BR"/>
              </w:rPr>
              <w:t xml:space="preserve"> + RTRRNET </w:t>
            </w:r>
            <w:r w:rsidRPr="00A552C3">
              <w:rPr>
                <w:bCs/>
                <w:i/>
                <w:iCs/>
                <w:vertAlign w:val="subscript"/>
                <w:lang w:val="pt-BR"/>
              </w:rPr>
              <w:t>q, r</w:t>
            </w:r>
            <w:r w:rsidRPr="00A552C3">
              <w:rPr>
                <w:bCs/>
                <w:iCs/>
                <w:lang w:val="pt-BR"/>
              </w:rPr>
              <w:t xml:space="preserve"> + RTECRNET </w:t>
            </w:r>
            <w:r w:rsidRPr="00A552C3">
              <w:rPr>
                <w:bCs/>
                <w:i/>
                <w:iCs/>
                <w:vertAlign w:val="subscript"/>
                <w:lang w:val="pt-BR"/>
              </w:rPr>
              <w:t>q, r</w:t>
            </w:r>
          </w:p>
          <w:p w14:paraId="550B3F28" w14:textId="77777777" w:rsidR="00D81D75" w:rsidRPr="00A552C3" w:rsidRDefault="00D81D75" w:rsidP="00D81D75">
            <w:pPr>
              <w:tabs>
                <w:tab w:val="left" w:pos="2340"/>
                <w:tab w:val="left" w:pos="2880"/>
              </w:tabs>
              <w:spacing w:after="240"/>
              <w:ind w:left="987" w:hanging="269"/>
              <w:rPr>
                <w:bCs/>
              </w:rPr>
            </w:pPr>
            <w:r w:rsidRPr="00A552C3">
              <w:rPr>
                <w:bCs/>
              </w:rPr>
              <w:t>Where for Reg-Up:</w:t>
            </w:r>
          </w:p>
          <w:p w14:paraId="2B82C7BC" w14:textId="4A71B93A" w:rsidR="00D81D75" w:rsidRPr="00A552C3" w:rsidRDefault="00D81D75" w:rsidP="00D81D75">
            <w:pPr>
              <w:tabs>
                <w:tab w:val="left" w:pos="2340"/>
                <w:tab w:val="left" w:pos="2880"/>
              </w:tabs>
              <w:spacing w:after="240"/>
              <w:ind w:left="987" w:hanging="269"/>
              <w:rPr>
                <w:bCs/>
                <w:i/>
                <w:vertAlign w:val="subscript"/>
              </w:rPr>
            </w:pPr>
            <w:r w:rsidRPr="00A552C3">
              <w:rPr>
                <w:bCs/>
              </w:rPr>
              <w:t xml:space="preserve">RTRUNET </w:t>
            </w:r>
            <w:r w:rsidRPr="00A552C3">
              <w:rPr>
                <w:bCs/>
                <w:i/>
                <w:iCs/>
                <w:sz w:val="16"/>
                <w:szCs w:val="16"/>
              </w:rPr>
              <w:t xml:space="preserve">q, r </w:t>
            </w:r>
            <w:r w:rsidRPr="00A552C3">
              <w:rPr>
                <w:bCs/>
              </w:rPr>
              <w:t xml:space="preserve"> </w:t>
            </w:r>
            <w:r w:rsidRPr="00A552C3">
              <w:rPr>
                <w:bCs/>
              </w:rPr>
              <w:tab/>
            </w:r>
            <w:r w:rsidRPr="00A552C3">
              <w:rPr>
                <w:bCs/>
              </w:rPr>
              <w:tab/>
              <w:t xml:space="preserve">= </w:t>
            </w:r>
            <w:r w:rsidRPr="00A552C3">
              <w:rPr>
                <w:bCs/>
              </w:rPr>
              <w:tab/>
            </w:r>
            <w:r w:rsidRPr="00A552C3">
              <w:rPr>
                <w:bCs/>
                <w:lang w:val="pt-BR"/>
              </w:rPr>
              <w:t xml:space="preserve">RTRUREV </w:t>
            </w:r>
            <w:r w:rsidRPr="00A552C3">
              <w:rPr>
                <w:bCs/>
                <w:i/>
                <w:vertAlign w:val="subscript"/>
                <w:lang w:val="pt-BR"/>
              </w:rPr>
              <w:t xml:space="preserve">q, r </w:t>
            </w:r>
            <w:r w:rsidRPr="00A552C3">
              <w:rPr>
                <w:bCs/>
              </w:rPr>
              <w:t>- (</w:t>
            </w:r>
            <w:r w:rsidRPr="00A552C3">
              <w:rPr>
                <w:bCs/>
                <w:lang w:val="es-MX"/>
              </w:rPr>
              <w:t>¼</w:t>
            </w:r>
            <w:r w:rsidRPr="00A552C3">
              <w:rPr>
                <w:bCs/>
              </w:rPr>
              <w:t>)</w:t>
            </w:r>
            <w:r w:rsidR="00083A07">
              <w:rPr>
                <w:bCs/>
              </w:rPr>
              <w:t xml:space="preserve"> </w:t>
            </w:r>
            <w:r w:rsidRPr="00A552C3">
              <w:rPr>
                <w:bCs/>
              </w:rPr>
              <w:t xml:space="preserve">* RTRUREVT </w:t>
            </w:r>
            <w:r w:rsidRPr="00A552C3">
              <w:rPr>
                <w:bCs/>
                <w:i/>
                <w:iCs/>
                <w:sz w:val="16"/>
                <w:szCs w:val="16"/>
              </w:rPr>
              <w:t>q, r, p</w:t>
            </w:r>
            <w:r w:rsidRPr="00A552C3">
              <w:rPr>
                <w:bCs/>
                <w:i/>
                <w:vertAlign w:val="subscript"/>
              </w:rPr>
              <w:t xml:space="preserve"> </w:t>
            </w:r>
          </w:p>
          <w:p w14:paraId="533547D8"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RTRUREVT</w:t>
            </w:r>
            <w:r w:rsidRPr="00A552C3">
              <w:rPr>
                <w:bCs/>
                <w:i/>
                <w:vertAlign w:val="subscript"/>
                <w:lang w:val="pt-BR"/>
              </w:rPr>
              <w:t>q, r, p</w:t>
            </w:r>
            <w:r w:rsidRPr="00A552C3">
              <w:rPr>
                <w:bCs/>
                <w:lang w:val="pt-BR"/>
              </w:rPr>
              <w:tab/>
              <w:t>=</w:t>
            </w:r>
            <w:r w:rsidRPr="00A552C3">
              <w:rPr>
                <w:bCs/>
                <w:lang w:val="pt-BR"/>
              </w:rPr>
              <w:tab/>
              <w:t xml:space="preserve">RTRUWAPR </w:t>
            </w:r>
            <w:r w:rsidRPr="00A552C3">
              <w:rPr>
                <w:bCs/>
                <w:i/>
                <w:vertAlign w:val="subscript"/>
                <w:lang w:val="pt-BR"/>
              </w:rPr>
              <w:t>q, r, p</w:t>
            </w:r>
            <w:r w:rsidRPr="00A552C3">
              <w:rPr>
                <w:bCs/>
                <w:lang w:val="pt-BR"/>
              </w:rPr>
              <w:t xml:space="preserve"> * RTRUAWD </w:t>
            </w:r>
            <w:r w:rsidRPr="00A552C3">
              <w:rPr>
                <w:bCs/>
                <w:i/>
                <w:vertAlign w:val="subscript"/>
                <w:lang w:val="pt-BR"/>
              </w:rPr>
              <w:t>q, r</w:t>
            </w:r>
          </w:p>
          <w:p w14:paraId="3E120D6C" w14:textId="075718CB"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RTRUWAPR </w:t>
            </w:r>
            <w:r w:rsidRPr="00A552C3">
              <w:rPr>
                <w:bCs/>
                <w:i/>
                <w:vertAlign w:val="subscript"/>
                <w:lang w:val="pt-BR"/>
              </w:rPr>
              <w:t>q, r, p</w:t>
            </w:r>
            <w:r w:rsidRPr="00A552C3">
              <w:rPr>
                <w:bCs/>
                <w:lang w:val="pt-BR"/>
              </w:rPr>
              <w:tab/>
              <w:t xml:space="preserve">= </w:t>
            </w:r>
            <w:r w:rsidRPr="00A552C3">
              <w:rPr>
                <w:bCs/>
                <w:lang w:val="pt-BR"/>
              </w:rPr>
              <w:tab/>
              <w:t xml:space="preserve"> </w:t>
            </w:r>
            <w:r w:rsidRPr="00A552C3">
              <w:rPr>
                <w:bCs/>
                <w:position w:val="-22"/>
              </w:rPr>
              <w:object w:dxaOrig="225" w:dyaOrig="450" w14:anchorId="2DC75D06">
                <v:shape id="_x0000_i1256" type="#_x0000_t75" style="width:12pt;height:24.6pt" o:ole="">
                  <v:imagedata r:id="rId294" o:title=""/>
                </v:shape>
                <o:OLEObject Type="Embed" ProgID="Equation.3" ShapeID="_x0000_i1256" DrawAspect="Content" ObjectID="_1815025445" r:id="rId313"/>
              </w:object>
            </w:r>
            <w:r w:rsidRPr="00A552C3">
              <w:rPr>
                <w:bCs/>
                <w:lang w:val="pt-BR"/>
              </w:rPr>
              <w:t xml:space="preserve">(RTRUOPR </w:t>
            </w:r>
            <w:r w:rsidRPr="00A552C3">
              <w:rPr>
                <w:bCs/>
                <w:i/>
                <w:vertAlign w:val="subscript"/>
                <w:lang w:val="pt-BR"/>
              </w:rPr>
              <w:t>q, r, y</w:t>
            </w:r>
            <w:r w:rsidRPr="00A552C3">
              <w:rPr>
                <w:bCs/>
                <w:lang w:val="pt-BR"/>
              </w:rPr>
              <w:t xml:space="preserve"> * Max (0.001, RTRUAWDS </w:t>
            </w:r>
            <w:r w:rsidRPr="00A552C3">
              <w:rPr>
                <w:bCs/>
                <w:i/>
                <w:vertAlign w:val="subscript"/>
                <w:lang w:val="pt-BR"/>
              </w:rPr>
              <w:t>q, r, y</w:t>
            </w:r>
            <w:r w:rsidRPr="00A552C3">
              <w:rPr>
                <w:bCs/>
                <w:lang w:val="es-MX"/>
              </w:rPr>
              <w:t>)</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5599CDE9" w14:textId="13F22551" w:rsidR="00D81D75" w:rsidRPr="00A552C3" w:rsidRDefault="00D81D75" w:rsidP="00D81D75">
            <w:pPr>
              <w:tabs>
                <w:tab w:val="left" w:pos="2340"/>
                <w:tab w:val="left" w:pos="2880"/>
              </w:tabs>
              <w:spacing w:after="240"/>
              <w:ind w:left="987" w:hanging="269"/>
              <w:rPr>
                <w:bCs/>
                <w:lang w:val="es-MX"/>
              </w:rPr>
            </w:pPr>
            <w:r w:rsidRPr="00A552C3">
              <w:rPr>
                <w:bCs/>
              </w:rPr>
              <w:tab/>
            </w:r>
            <w:r w:rsidRPr="00A552C3">
              <w:rPr>
                <w:bCs/>
              </w:rPr>
              <w:tab/>
            </w:r>
            <w:r w:rsidRPr="00A552C3">
              <w:rPr>
                <w:bCs/>
              </w:rPr>
              <w:tab/>
            </w:r>
            <w:r w:rsidRPr="00A552C3">
              <w:rPr>
                <w:bCs/>
                <w:position w:val="-22"/>
              </w:rPr>
              <w:object w:dxaOrig="225" w:dyaOrig="450" w14:anchorId="54487E87">
                <v:shape id="_x0000_i1257" type="#_x0000_t75" style="width:12pt;height:24.6pt" o:ole="">
                  <v:imagedata r:id="rId296" o:title=""/>
                </v:shape>
                <o:OLEObject Type="Embed" ProgID="Equation.3" ShapeID="_x0000_i1257" DrawAspect="Content" ObjectID="_1815025446" r:id="rId314"/>
              </w:object>
            </w:r>
            <w:r w:rsidRPr="00A552C3">
              <w:rPr>
                <w:bCs/>
                <w:lang w:val="es-MX"/>
              </w:rPr>
              <w:t>(</w:t>
            </w:r>
            <w:r w:rsidRPr="00A552C3">
              <w:rPr>
                <w:bCs/>
                <w:lang w:val="pt-BR"/>
              </w:rPr>
              <w:t xml:space="preserve">Max (0.001, </w:t>
            </w:r>
            <w:r w:rsidRPr="00A552C3">
              <w:rPr>
                <w:bCs/>
                <w:lang w:val="es-MX"/>
              </w:rPr>
              <w:t xml:space="preserve">RTRUAWDS </w:t>
            </w:r>
            <w:r w:rsidRPr="00A552C3">
              <w:rPr>
                <w:bCs/>
                <w:i/>
                <w:vertAlign w:val="subscript"/>
                <w:lang w:val="es-MX"/>
              </w:rPr>
              <w:t>q, r,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087D5025" w14:textId="77777777" w:rsidR="00D81D75" w:rsidRPr="00A552C3" w:rsidRDefault="00D81D75" w:rsidP="00D81D75">
            <w:pPr>
              <w:tabs>
                <w:tab w:val="left" w:pos="2340"/>
                <w:tab w:val="left" w:pos="2880"/>
              </w:tabs>
              <w:spacing w:after="240"/>
              <w:ind w:left="987" w:hanging="269"/>
              <w:rPr>
                <w:bCs/>
              </w:rPr>
            </w:pPr>
            <w:r w:rsidRPr="00A552C3">
              <w:rPr>
                <w:bCs/>
              </w:rPr>
              <w:t>Where for Reg-Down:</w:t>
            </w:r>
          </w:p>
          <w:p w14:paraId="4A784F84" w14:textId="0C5A840D" w:rsidR="00D81D75" w:rsidRPr="00A552C3" w:rsidRDefault="00D81D75" w:rsidP="00D81D75">
            <w:pPr>
              <w:spacing w:after="240"/>
              <w:ind w:left="2340" w:hanging="1620"/>
              <w:rPr>
                <w:i/>
                <w:vertAlign w:val="subscript"/>
                <w:lang w:val="pt-BR"/>
              </w:rPr>
            </w:pPr>
            <w:r w:rsidRPr="00A552C3">
              <w:rPr>
                <w:lang w:val="pt-BR"/>
              </w:rPr>
              <w:t xml:space="preserve">RTRDNET </w:t>
            </w:r>
            <w:r w:rsidRPr="00A552C3">
              <w:rPr>
                <w:bCs/>
                <w:i/>
                <w:iCs/>
                <w:sz w:val="16"/>
                <w:szCs w:val="16"/>
                <w:lang w:val="pt-BR"/>
              </w:rPr>
              <w:t>q, r</w:t>
            </w:r>
            <w:r w:rsidRPr="00A552C3">
              <w:rPr>
                <w:bCs/>
                <w:i/>
                <w:iCs/>
                <w:sz w:val="16"/>
                <w:szCs w:val="16"/>
                <w:lang w:val="pt-BR"/>
              </w:rPr>
              <w:tab/>
            </w:r>
            <w:r w:rsidRPr="00A552C3">
              <w:rPr>
                <w:bCs/>
                <w:i/>
                <w:iCs/>
                <w:sz w:val="16"/>
                <w:szCs w:val="16"/>
                <w:lang w:val="pt-BR"/>
              </w:rPr>
              <w:tab/>
            </w:r>
            <w:r w:rsidRPr="00A552C3">
              <w:rPr>
                <w:lang w:val="pt-BR"/>
              </w:rPr>
              <w:t xml:space="preserve">= </w:t>
            </w:r>
            <w:r w:rsidRPr="00A552C3">
              <w:rPr>
                <w:lang w:val="pt-BR"/>
              </w:rPr>
              <w:tab/>
            </w:r>
            <w:r w:rsidRPr="00A552C3">
              <w:rPr>
                <w:iCs/>
                <w:lang w:val="pt-BR"/>
              </w:rPr>
              <w:t xml:space="preserve">RTRDREV </w:t>
            </w:r>
            <w:r w:rsidRPr="00A552C3">
              <w:rPr>
                <w:i/>
                <w:vertAlign w:val="subscript"/>
                <w:lang w:val="pt-BR"/>
              </w:rPr>
              <w:t xml:space="preserve">q, r </w:t>
            </w:r>
            <w:r w:rsidRPr="00A552C3">
              <w:rPr>
                <w:lang w:val="pt-BR"/>
              </w:rPr>
              <w:t>- (</w:t>
            </w:r>
            <w:r w:rsidRPr="00A552C3">
              <w:rPr>
                <w:lang w:val="es-MX"/>
              </w:rPr>
              <w:t>¼</w:t>
            </w:r>
            <w:r w:rsidRPr="00A552C3">
              <w:rPr>
                <w:lang w:val="pt-BR"/>
              </w:rPr>
              <w:t>)</w:t>
            </w:r>
            <w:r w:rsidR="00083A07">
              <w:rPr>
                <w:lang w:val="pt-BR"/>
              </w:rPr>
              <w:t xml:space="preserve"> </w:t>
            </w:r>
            <w:r w:rsidRPr="00A552C3">
              <w:rPr>
                <w:lang w:val="pt-BR"/>
              </w:rPr>
              <w:t xml:space="preserve">* RTRDREVT </w:t>
            </w:r>
            <w:r w:rsidRPr="00A552C3">
              <w:rPr>
                <w:bCs/>
                <w:i/>
                <w:iCs/>
                <w:sz w:val="16"/>
                <w:szCs w:val="16"/>
                <w:lang w:val="pt-BR"/>
              </w:rPr>
              <w:t>q, r, p</w:t>
            </w:r>
          </w:p>
          <w:p w14:paraId="048F5E03"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RTRDREVT</w:t>
            </w:r>
            <w:r w:rsidRPr="00A552C3">
              <w:rPr>
                <w:bCs/>
                <w:i/>
                <w:vertAlign w:val="subscript"/>
                <w:lang w:val="pt-BR"/>
              </w:rPr>
              <w:t>q, r, p</w:t>
            </w:r>
            <w:r w:rsidRPr="00A552C3">
              <w:rPr>
                <w:bCs/>
                <w:lang w:val="pt-BR"/>
              </w:rPr>
              <w:tab/>
              <w:t>=</w:t>
            </w:r>
            <w:r w:rsidRPr="00A552C3">
              <w:rPr>
                <w:bCs/>
                <w:lang w:val="pt-BR"/>
              </w:rPr>
              <w:tab/>
              <w:t xml:space="preserve">RTRDWAPR </w:t>
            </w:r>
            <w:r w:rsidRPr="00A552C3">
              <w:rPr>
                <w:bCs/>
                <w:i/>
                <w:vertAlign w:val="subscript"/>
                <w:lang w:val="pt-BR"/>
              </w:rPr>
              <w:t>q, r, p</w:t>
            </w:r>
            <w:r w:rsidRPr="00A552C3">
              <w:rPr>
                <w:bCs/>
                <w:lang w:val="pt-BR"/>
              </w:rPr>
              <w:t xml:space="preserve"> * RTRDAWD </w:t>
            </w:r>
            <w:r w:rsidRPr="00A552C3">
              <w:rPr>
                <w:bCs/>
                <w:i/>
                <w:vertAlign w:val="subscript"/>
                <w:lang w:val="pt-BR"/>
              </w:rPr>
              <w:t>q, r</w:t>
            </w:r>
          </w:p>
          <w:p w14:paraId="0B165184" w14:textId="797231FE"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RTRDWAPR </w:t>
            </w:r>
            <w:r w:rsidRPr="00A552C3">
              <w:rPr>
                <w:bCs/>
                <w:i/>
                <w:vertAlign w:val="subscript"/>
                <w:lang w:val="pt-BR"/>
              </w:rPr>
              <w:t>q, r, p</w:t>
            </w:r>
            <w:r w:rsidRPr="00A552C3">
              <w:rPr>
                <w:bCs/>
                <w:lang w:val="pt-BR"/>
              </w:rPr>
              <w:tab/>
              <w:t xml:space="preserve">=  </w:t>
            </w:r>
            <w:r w:rsidRPr="00A552C3">
              <w:rPr>
                <w:bCs/>
                <w:lang w:val="pt-BR"/>
              </w:rPr>
              <w:tab/>
            </w:r>
            <w:r w:rsidRPr="00A552C3">
              <w:rPr>
                <w:bCs/>
                <w:position w:val="-22"/>
              </w:rPr>
              <w:object w:dxaOrig="225" w:dyaOrig="450" w14:anchorId="7C2AE897">
                <v:shape id="_x0000_i1258" type="#_x0000_t75" style="width:12pt;height:24.6pt" o:ole="">
                  <v:imagedata r:id="rId294" o:title=""/>
                </v:shape>
                <o:OLEObject Type="Embed" ProgID="Equation.3" ShapeID="_x0000_i1258" DrawAspect="Content" ObjectID="_1815025447" r:id="rId315"/>
              </w:object>
            </w:r>
            <w:r w:rsidRPr="00A552C3">
              <w:rPr>
                <w:bCs/>
                <w:lang w:val="pt-BR"/>
              </w:rPr>
              <w:t xml:space="preserve">(RTRDOPR </w:t>
            </w:r>
            <w:r w:rsidRPr="00A552C3">
              <w:rPr>
                <w:bCs/>
                <w:i/>
                <w:vertAlign w:val="subscript"/>
                <w:lang w:val="pt-BR"/>
              </w:rPr>
              <w:t>q, r, y</w:t>
            </w:r>
            <w:r w:rsidRPr="00A552C3">
              <w:rPr>
                <w:bCs/>
                <w:lang w:val="pt-BR"/>
              </w:rPr>
              <w:t xml:space="preserve"> * Max (0.001, RTRDAWDS </w:t>
            </w:r>
            <w:r w:rsidRPr="00A552C3">
              <w:rPr>
                <w:bCs/>
                <w:i/>
                <w:vertAlign w:val="subscript"/>
                <w:lang w:val="pt-BR"/>
              </w:rPr>
              <w:t>q, r, y</w:t>
            </w:r>
            <w:r w:rsidRPr="00A552C3">
              <w:rPr>
                <w:bCs/>
                <w:lang w:val="es-MX"/>
              </w:rPr>
              <w:t xml:space="preserve">) </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p>
          <w:p w14:paraId="7241DFCF" w14:textId="63C74363" w:rsidR="00D81D75" w:rsidRPr="00A552C3" w:rsidRDefault="00D81D75" w:rsidP="00D81D75">
            <w:pPr>
              <w:tabs>
                <w:tab w:val="left" w:pos="2340"/>
                <w:tab w:val="left" w:pos="2880"/>
              </w:tabs>
              <w:spacing w:after="240"/>
              <w:ind w:left="987" w:hanging="269"/>
              <w:rPr>
                <w:bCs/>
                <w:lang w:val="es-MX"/>
              </w:rPr>
            </w:pPr>
            <w:r w:rsidRPr="00A552C3">
              <w:rPr>
                <w:bCs/>
              </w:rPr>
              <w:tab/>
            </w:r>
            <w:r w:rsidRPr="00A552C3">
              <w:rPr>
                <w:bCs/>
              </w:rPr>
              <w:tab/>
            </w:r>
            <w:r w:rsidRPr="00A552C3">
              <w:rPr>
                <w:bCs/>
              </w:rPr>
              <w:tab/>
            </w:r>
            <w:r w:rsidRPr="00A552C3">
              <w:rPr>
                <w:bCs/>
                <w:position w:val="-22"/>
              </w:rPr>
              <w:object w:dxaOrig="225" w:dyaOrig="450" w14:anchorId="1529EA1C">
                <v:shape id="_x0000_i1259" type="#_x0000_t75" style="width:12pt;height:24.6pt" o:ole="">
                  <v:imagedata r:id="rId296" o:title=""/>
                </v:shape>
                <o:OLEObject Type="Embed" ProgID="Equation.3" ShapeID="_x0000_i1259" DrawAspect="Content" ObjectID="_1815025448" r:id="rId316"/>
              </w:object>
            </w:r>
            <w:r w:rsidRPr="00A552C3">
              <w:rPr>
                <w:bCs/>
                <w:lang w:val="es-MX"/>
              </w:rPr>
              <w:t>(</w:t>
            </w:r>
            <w:r w:rsidRPr="00A552C3">
              <w:rPr>
                <w:bCs/>
                <w:lang w:val="pt-BR"/>
              </w:rPr>
              <w:t xml:space="preserve">Max (0.001, </w:t>
            </w:r>
            <w:r w:rsidRPr="00A552C3">
              <w:rPr>
                <w:bCs/>
                <w:lang w:val="es-MX"/>
              </w:rPr>
              <w:t xml:space="preserve">RTRDAWDS </w:t>
            </w:r>
            <w:r w:rsidRPr="00A552C3">
              <w:rPr>
                <w:bCs/>
                <w:i/>
                <w:vertAlign w:val="subscript"/>
                <w:lang w:val="es-MX"/>
              </w:rPr>
              <w:t>q, r,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64340481" w14:textId="77777777" w:rsidR="00D81D75" w:rsidRPr="00A552C3" w:rsidRDefault="00D81D75" w:rsidP="00D81D75">
            <w:pPr>
              <w:tabs>
                <w:tab w:val="left" w:pos="2340"/>
                <w:tab w:val="left" w:pos="2880"/>
              </w:tabs>
              <w:spacing w:after="240"/>
              <w:ind w:left="987" w:hanging="269"/>
              <w:rPr>
                <w:bCs/>
              </w:rPr>
            </w:pPr>
            <w:r w:rsidRPr="00A552C3">
              <w:rPr>
                <w:bCs/>
              </w:rPr>
              <w:t>Where for RRS:</w:t>
            </w:r>
          </w:p>
          <w:p w14:paraId="3A9DAFE4" w14:textId="4D2F0114" w:rsidR="00D81D75" w:rsidRPr="00A552C3" w:rsidRDefault="00D81D75" w:rsidP="00D81D75">
            <w:pPr>
              <w:spacing w:after="240"/>
              <w:ind w:left="2340" w:hanging="1620"/>
              <w:rPr>
                <w:bCs/>
                <w:i/>
                <w:iCs/>
                <w:sz w:val="16"/>
                <w:szCs w:val="16"/>
                <w:lang w:val="pt-BR"/>
              </w:rPr>
            </w:pPr>
            <w:r w:rsidRPr="00A552C3">
              <w:rPr>
                <w:lang w:val="pt-BR"/>
              </w:rPr>
              <w:t xml:space="preserve">RTRRNET </w:t>
            </w:r>
            <w:r w:rsidRPr="00A552C3">
              <w:rPr>
                <w:bCs/>
                <w:i/>
                <w:iCs/>
                <w:sz w:val="16"/>
                <w:szCs w:val="16"/>
                <w:lang w:val="pt-BR"/>
              </w:rPr>
              <w:t xml:space="preserve">q, r </w:t>
            </w:r>
            <w:r w:rsidRPr="00A552C3">
              <w:rPr>
                <w:lang w:val="pt-BR"/>
              </w:rPr>
              <w:t xml:space="preserve"> </w:t>
            </w:r>
            <w:r w:rsidRPr="00A552C3">
              <w:rPr>
                <w:lang w:val="pt-BR"/>
              </w:rPr>
              <w:tab/>
            </w:r>
            <w:r w:rsidRPr="00A552C3">
              <w:rPr>
                <w:lang w:val="pt-BR"/>
              </w:rPr>
              <w:tab/>
              <w:t xml:space="preserve">= </w:t>
            </w:r>
            <w:r w:rsidRPr="00A552C3">
              <w:rPr>
                <w:lang w:val="pt-BR"/>
              </w:rPr>
              <w:tab/>
            </w:r>
            <w:r w:rsidRPr="00A552C3">
              <w:rPr>
                <w:iCs/>
                <w:lang w:val="pt-BR"/>
              </w:rPr>
              <w:t xml:space="preserve">RTRRREV </w:t>
            </w:r>
            <w:r w:rsidRPr="00A552C3">
              <w:rPr>
                <w:i/>
                <w:vertAlign w:val="subscript"/>
                <w:lang w:val="pt-BR"/>
              </w:rPr>
              <w:t xml:space="preserve">q, r </w:t>
            </w:r>
            <w:r w:rsidRPr="00A552C3">
              <w:rPr>
                <w:lang w:val="pt-BR"/>
              </w:rPr>
              <w:t>- (</w:t>
            </w:r>
            <w:r w:rsidRPr="00A552C3">
              <w:rPr>
                <w:lang w:val="es-MX"/>
              </w:rPr>
              <w:t>¼</w:t>
            </w:r>
            <w:r w:rsidRPr="00A552C3">
              <w:rPr>
                <w:lang w:val="pt-BR"/>
              </w:rPr>
              <w:t>)</w:t>
            </w:r>
            <w:r w:rsidR="00083A07">
              <w:rPr>
                <w:lang w:val="pt-BR"/>
              </w:rPr>
              <w:t xml:space="preserve"> </w:t>
            </w:r>
            <w:r w:rsidRPr="00A552C3">
              <w:rPr>
                <w:lang w:val="pt-BR"/>
              </w:rPr>
              <w:t xml:space="preserve">* RTRRREVT </w:t>
            </w:r>
            <w:r w:rsidRPr="00A552C3">
              <w:rPr>
                <w:bCs/>
                <w:i/>
                <w:iCs/>
                <w:sz w:val="16"/>
                <w:szCs w:val="16"/>
                <w:lang w:val="pt-BR"/>
              </w:rPr>
              <w:t>q, r, p</w:t>
            </w:r>
          </w:p>
          <w:p w14:paraId="4E718E4D"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RTRRREVT</w:t>
            </w:r>
            <w:r w:rsidRPr="00A552C3">
              <w:rPr>
                <w:bCs/>
                <w:i/>
                <w:vertAlign w:val="subscript"/>
                <w:lang w:val="pt-BR"/>
              </w:rPr>
              <w:t>q, r, p</w:t>
            </w:r>
            <w:r w:rsidRPr="00A552C3">
              <w:rPr>
                <w:bCs/>
                <w:lang w:val="pt-BR"/>
              </w:rPr>
              <w:tab/>
              <w:t>=</w:t>
            </w:r>
            <w:r w:rsidRPr="00A552C3">
              <w:rPr>
                <w:bCs/>
                <w:lang w:val="pt-BR"/>
              </w:rPr>
              <w:tab/>
              <w:t xml:space="preserve">RTRRWAPR </w:t>
            </w:r>
            <w:r w:rsidRPr="00A552C3">
              <w:rPr>
                <w:bCs/>
                <w:i/>
                <w:vertAlign w:val="subscript"/>
                <w:lang w:val="pt-BR"/>
              </w:rPr>
              <w:t>q, r, p</w:t>
            </w:r>
            <w:r w:rsidRPr="00A552C3">
              <w:rPr>
                <w:bCs/>
                <w:lang w:val="pt-BR"/>
              </w:rPr>
              <w:t xml:space="preserve"> * RTRRAWD </w:t>
            </w:r>
            <w:r w:rsidRPr="00A552C3">
              <w:rPr>
                <w:bCs/>
                <w:i/>
                <w:vertAlign w:val="subscript"/>
                <w:lang w:val="pt-BR"/>
              </w:rPr>
              <w:t>q, r</w:t>
            </w:r>
          </w:p>
          <w:p w14:paraId="756CFCF5" w14:textId="2AF4C611" w:rsidR="00D81D75" w:rsidRPr="00A552C3" w:rsidRDefault="00D81D75" w:rsidP="00D81D75">
            <w:pPr>
              <w:tabs>
                <w:tab w:val="left" w:pos="2340"/>
                <w:tab w:val="left" w:pos="2880"/>
              </w:tabs>
              <w:spacing w:after="240"/>
              <w:ind w:left="987" w:hanging="269"/>
              <w:rPr>
                <w:bCs/>
                <w:lang w:val="es-MX"/>
              </w:rPr>
            </w:pPr>
            <w:r w:rsidRPr="00A552C3">
              <w:rPr>
                <w:bCs/>
                <w:lang w:val="pt-BR"/>
              </w:rPr>
              <w:lastRenderedPageBreak/>
              <w:t xml:space="preserve">RTRRWAPR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0406F464">
                <v:shape id="_x0000_i1260" type="#_x0000_t75" style="width:12pt;height:24.6pt" o:ole="">
                  <v:imagedata r:id="rId294" o:title=""/>
                </v:shape>
                <o:OLEObject Type="Embed" ProgID="Equation.3" ShapeID="_x0000_i1260" DrawAspect="Content" ObjectID="_1815025449" r:id="rId317"/>
              </w:object>
            </w:r>
            <w:r w:rsidRPr="00A552C3">
              <w:rPr>
                <w:bCs/>
                <w:lang w:val="pt-BR"/>
              </w:rPr>
              <w:t xml:space="preserve">(RTRROPR </w:t>
            </w:r>
            <w:r w:rsidRPr="00A552C3">
              <w:rPr>
                <w:bCs/>
                <w:i/>
                <w:vertAlign w:val="subscript"/>
                <w:lang w:val="pt-BR"/>
              </w:rPr>
              <w:t>q, r, y</w:t>
            </w:r>
            <w:r w:rsidRPr="00A552C3">
              <w:rPr>
                <w:bCs/>
                <w:lang w:val="pt-BR"/>
              </w:rPr>
              <w:t xml:space="preserve"> * Max (0.001, RTRRAWDS </w:t>
            </w:r>
            <w:r w:rsidRPr="00A552C3">
              <w:rPr>
                <w:bCs/>
                <w:i/>
                <w:vertAlign w:val="subscript"/>
                <w:lang w:val="pt-BR"/>
              </w:rPr>
              <w:t>q, r, y</w:t>
            </w:r>
            <w:r w:rsidRPr="00A552C3">
              <w:rPr>
                <w:bCs/>
                <w:lang w:val="es-MX"/>
              </w:rPr>
              <w:t xml:space="preserve">) </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r w:rsidR="00DB5793">
              <w:rPr>
                <w:b/>
                <w:bCs/>
                <w:sz w:val="32"/>
                <w:szCs w:val="32"/>
                <w:lang w:val="pt-BR"/>
              </w:rPr>
              <w:t xml:space="preserve"> </w:t>
            </w:r>
            <w:r w:rsidRPr="00A552C3">
              <w:rPr>
                <w:bCs/>
                <w:position w:val="-22"/>
              </w:rPr>
              <w:object w:dxaOrig="225" w:dyaOrig="450" w14:anchorId="19DA46FE">
                <v:shape id="_x0000_i1261" type="#_x0000_t75" style="width:12pt;height:24.6pt" o:ole="">
                  <v:imagedata r:id="rId296" o:title=""/>
                </v:shape>
                <o:OLEObject Type="Embed" ProgID="Equation.3" ShapeID="_x0000_i1261" DrawAspect="Content" ObjectID="_1815025450" r:id="rId318"/>
              </w:object>
            </w:r>
            <w:r w:rsidRPr="00A552C3">
              <w:rPr>
                <w:bCs/>
                <w:lang w:val="es-MX"/>
              </w:rPr>
              <w:t>(</w:t>
            </w:r>
            <w:r w:rsidRPr="00A552C3">
              <w:rPr>
                <w:bCs/>
                <w:lang w:val="pt-BR"/>
              </w:rPr>
              <w:t xml:space="preserve">Max (0.001, </w:t>
            </w:r>
            <w:r w:rsidRPr="00A552C3">
              <w:rPr>
                <w:bCs/>
                <w:lang w:val="es-MX"/>
              </w:rPr>
              <w:t xml:space="preserve">RTRRAWDS </w:t>
            </w:r>
            <w:r w:rsidRPr="00A552C3">
              <w:rPr>
                <w:bCs/>
                <w:i/>
                <w:vertAlign w:val="subscript"/>
                <w:lang w:val="es-MX"/>
              </w:rPr>
              <w:t>q, r,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71312CCD" w14:textId="77777777" w:rsidR="00D81D75" w:rsidRPr="00A552C3" w:rsidRDefault="00D81D75" w:rsidP="00D81D75">
            <w:pPr>
              <w:tabs>
                <w:tab w:val="left" w:pos="2340"/>
                <w:tab w:val="left" w:pos="2880"/>
              </w:tabs>
              <w:spacing w:after="240"/>
              <w:ind w:left="987" w:hanging="269"/>
              <w:rPr>
                <w:bCs/>
              </w:rPr>
            </w:pPr>
            <w:r w:rsidRPr="00A552C3">
              <w:rPr>
                <w:bCs/>
              </w:rPr>
              <w:t>Where for Non-Spin:</w:t>
            </w:r>
          </w:p>
          <w:p w14:paraId="0690A099" w14:textId="0D9AD90C" w:rsidR="00D81D75" w:rsidRPr="00A552C3" w:rsidRDefault="00D81D75" w:rsidP="00D81D75">
            <w:pPr>
              <w:spacing w:after="240"/>
              <w:ind w:left="2340" w:hanging="1620"/>
              <w:rPr>
                <w:bCs/>
                <w:i/>
                <w:iCs/>
                <w:sz w:val="16"/>
                <w:szCs w:val="16"/>
                <w:lang w:val="pt-BR"/>
              </w:rPr>
            </w:pPr>
            <w:r w:rsidRPr="00A552C3">
              <w:rPr>
                <w:lang w:val="pt-BR"/>
              </w:rPr>
              <w:t xml:space="preserve">RTNSNET </w:t>
            </w:r>
            <w:r w:rsidRPr="00A552C3">
              <w:rPr>
                <w:bCs/>
                <w:i/>
                <w:iCs/>
                <w:sz w:val="16"/>
                <w:szCs w:val="16"/>
                <w:lang w:val="pt-BR"/>
              </w:rPr>
              <w:t xml:space="preserve">q, r </w:t>
            </w:r>
            <w:r w:rsidRPr="00A552C3">
              <w:rPr>
                <w:lang w:val="pt-BR"/>
              </w:rPr>
              <w:t xml:space="preserve"> </w:t>
            </w:r>
            <w:r w:rsidRPr="00A552C3">
              <w:rPr>
                <w:lang w:val="pt-BR"/>
              </w:rPr>
              <w:tab/>
            </w:r>
            <w:r w:rsidRPr="00A552C3">
              <w:rPr>
                <w:lang w:val="pt-BR"/>
              </w:rPr>
              <w:tab/>
              <w:t xml:space="preserve">= </w:t>
            </w:r>
            <w:r w:rsidRPr="00A552C3">
              <w:rPr>
                <w:lang w:val="pt-BR"/>
              </w:rPr>
              <w:tab/>
            </w:r>
            <w:r w:rsidRPr="00A552C3">
              <w:rPr>
                <w:iCs/>
                <w:lang w:val="pt-BR"/>
              </w:rPr>
              <w:t xml:space="preserve">RTNSREV </w:t>
            </w:r>
            <w:r w:rsidRPr="00A552C3">
              <w:rPr>
                <w:i/>
                <w:vertAlign w:val="subscript"/>
                <w:lang w:val="pt-BR"/>
              </w:rPr>
              <w:t xml:space="preserve">q, r </w:t>
            </w:r>
            <w:r w:rsidRPr="00A552C3">
              <w:rPr>
                <w:lang w:val="pt-BR"/>
              </w:rPr>
              <w:t>- (</w:t>
            </w:r>
            <w:r w:rsidRPr="00A552C3">
              <w:rPr>
                <w:lang w:val="es-MX"/>
              </w:rPr>
              <w:t>¼</w:t>
            </w:r>
            <w:r w:rsidRPr="00A552C3">
              <w:rPr>
                <w:lang w:val="pt-BR"/>
              </w:rPr>
              <w:t>)</w:t>
            </w:r>
            <w:r w:rsidR="00581B13">
              <w:rPr>
                <w:lang w:val="pt-BR"/>
              </w:rPr>
              <w:t xml:space="preserve"> </w:t>
            </w:r>
            <w:r w:rsidRPr="00A552C3">
              <w:rPr>
                <w:lang w:val="pt-BR"/>
              </w:rPr>
              <w:t xml:space="preserve">* RTNSREVT </w:t>
            </w:r>
            <w:r w:rsidRPr="00A552C3">
              <w:rPr>
                <w:bCs/>
                <w:i/>
                <w:iCs/>
                <w:sz w:val="16"/>
                <w:szCs w:val="16"/>
                <w:lang w:val="pt-BR"/>
              </w:rPr>
              <w:t>q, r, p</w:t>
            </w:r>
          </w:p>
          <w:p w14:paraId="756DC540"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RTNSREVT</w:t>
            </w:r>
            <w:r w:rsidRPr="00A552C3">
              <w:rPr>
                <w:bCs/>
                <w:i/>
                <w:vertAlign w:val="subscript"/>
                <w:lang w:val="pt-BR"/>
              </w:rPr>
              <w:t>q, r, p</w:t>
            </w:r>
            <w:r w:rsidRPr="00A552C3">
              <w:rPr>
                <w:bCs/>
                <w:lang w:val="pt-BR"/>
              </w:rPr>
              <w:tab/>
              <w:t>=</w:t>
            </w:r>
            <w:r w:rsidRPr="00A552C3">
              <w:rPr>
                <w:bCs/>
                <w:lang w:val="pt-BR"/>
              </w:rPr>
              <w:tab/>
              <w:t xml:space="preserve">RTNSWAPR </w:t>
            </w:r>
            <w:r w:rsidRPr="00A552C3">
              <w:rPr>
                <w:bCs/>
                <w:i/>
                <w:vertAlign w:val="subscript"/>
                <w:lang w:val="pt-BR"/>
              </w:rPr>
              <w:t>q, r, p</w:t>
            </w:r>
            <w:r w:rsidRPr="00A552C3">
              <w:rPr>
                <w:bCs/>
                <w:lang w:val="pt-BR"/>
              </w:rPr>
              <w:t xml:space="preserve"> * RTNSAWD </w:t>
            </w:r>
            <w:r w:rsidRPr="00A552C3">
              <w:rPr>
                <w:bCs/>
                <w:i/>
                <w:vertAlign w:val="subscript"/>
                <w:lang w:val="pt-BR"/>
              </w:rPr>
              <w:t>q, r</w:t>
            </w:r>
          </w:p>
          <w:p w14:paraId="0F3526E2" w14:textId="71AC2165" w:rsidR="00D81D75" w:rsidRPr="00A552C3" w:rsidRDefault="00D81D75" w:rsidP="00D81D75">
            <w:pPr>
              <w:tabs>
                <w:tab w:val="left" w:pos="2340"/>
                <w:tab w:val="left" w:pos="2880"/>
              </w:tabs>
              <w:spacing w:after="240"/>
              <w:ind w:left="987" w:hanging="269"/>
              <w:rPr>
                <w:bCs/>
                <w:lang w:val="es-MX"/>
              </w:rPr>
            </w:pPr>
            <w:r w:rsidRPr="00A552C3">
              <w:rPr>
                <w:bCs/>
                <w:lang w:val="pt-BR"/>
              </w:rPr>
              <w:t xml:space="preserve">RTNSWAPR </w:t>
            </w:r>
            <w:r w:rsidRPr="00A552C3">
              <w:rPr>
                <w:bCs/>
                <w:i/>
                <w:vertAlign w:val="subscript"/>
                <w:lang w:val="pt-BR"/>
              </w:rPr>
              <w:t>q, r, p</w:t>
            </w:r>
            <w:r w:rsidRPr="00A552C3">
              <w:rPr>
                <w:bCs/>
                <w:lang w:val="pt-BR"/>
              </w:rPr>
              <w:tab/>
              <w:t xml:space="preserve">=  </w:t>
            </w:r>
            <w:r w:rsidRPr="00A552C3">
              <w:rPr>
                <w:bCs/>
                <w:lang w:val="pt-BR"/>
              </w:rPr>
              <w:tab/>
            </w:r>
            <w:r w:rsidRPr="00A552C3">
              <w:rPr>
                <w:bCs/>
                <w:position w:val="-22"/>
              </w:rPr>
              <w:object w:dxaOrig="225" w:dyaOrig="450" w14:anchorId="65E24D9F">
                <v:shape id="_x0000_i1262" type="#_x0000_t75" style="width:12pt;height:24.6pt" o:ole="">
                  <v:imagedata r:id="rId294" o:title=""/>
                </v:shape>
                <o:OLEObject Type="Embed" ProgID="Equation.3" ShapeID="_x0000_i1262" DrawAspect="Content" ObjectID="_1815025451" r:id="rId319"/>
              </w:object>
            </w:r>
            <w:r w:rsidRPr="00A552C3">
              <w:rPr>
                <w:bCs/>
                <w:lang w:val="pt-BR"/>
              </w:rPr>
              <w:t xml:space="preserve">(RTNSOPR </w:t>
            </w:r>
            <w:r w:rsidRPr="00A552C3">
              <w:rPr>
                <w:bCs/>
                <w:i/>
                <w:vertAlign w:val="subscript"/>
                <w:lang w:val="pt-BR"/>
              </w:rPr>
              <w:t>q, r, y</w:t>
            </w:r>
            <w:r w:rsidRPr="00A552C3">
              <w:rPr>
                <w:bCs/>
                <w:lang w:val="pt-BR"/>
              </w:rPr>
              <w:t xml:space="preserve"> * Max (0.001, RTNSAWDS </w:t>
            </w:r>
            <w:r w:rsidRPr="00A552C3">
              <w:rPr>
                <w:bCs/>
                <w:i/>
                <w:vertAlign w:val="subscript"/>
                <w:lang w:val="pt-BR"/>
              </w:rPr>
              <w:t>q, r, y</w:t>
            </w:r>
            <w:r w:rsidRPr="00A552C3">
              <w:rPr>
                <w:bCs/>
                <w:lang w:val="es-MX"/>
              </w:rPr>
              <w:t xml:space="preserve">) </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r w:rsidRPr="00A552C3">
              <w:rPr>
                <w:bCs/>
                <w:position w:val="-22"/>
              </w:rPr>
              <w:object w:dxaOrig="225" w:dyaOrig="450" w14:anchorId="35C8B450">
                <v:shape id="_x0000_i1263" type="#_x0000_t75" style="width:12pt;height:24.6pt" o:ole="">
                  <v:imagedata r:id="rId296" o:title=""/>
                </v:shape>
                <o:OLEObject Type="Embed" ProgID="Equation.3" ShapeID="_x0000_i1263" DrawAspect="Content" ObjectID="_1815025452" r:id="rId320"/>
              </w:object>
            </w:r>
            <w:r w:rsidRPr="00A552C3">
              <w:rPr>
                <w:bCs/>
                <w:lang w:val="es-MX"/>
              </w:rPr>
              <w:t>(</w:t>
            </w:r>
            <w:r w:rsidRPr="00A552C3">
              <w:rPr>
                <w:bCs/>
                <w:lang w:val="pt-BR"/>
              </w:rPr>
              <w:t xml:space="preserve">Max (0.001, </w:t>
            </w:r>
            <w:r w:rsidRPr="00A552C3">
              <w:rPr>
                <w:bCs/>
                <w:lang w:val="es-MX"/>
              </w:rPr>
              <w:t xml:space="preserve">RTNSAWDS </w:t>
            </w:r>
            <w:r w:rsidRPr="00A552C3">
              <w:rPr>
                <w:bCs/>
                <w:i/>
                <w:vertAlign w:val="subscript"/>
                <w:lang w:val="es-MX"/>
              </w:rPr>
              <w:t>q, r,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05215EAF" w14:textId="77777777" w:rsidR="00D81D75" w:rsidRPr="00A552C3" w:rsidRDefault="00D81D75" w:rsidP="00D81D75">
            <w:pPr>
              <w:tabs>
                <w:tab w:val="left" w:pos="2340"/>
                <w:tab w:val="left" w:pos="2880"/>
              </w:tabs>
              <w:spacing w:after="240"/>
              <w:ind w:left="987" w:hanging="269"/>
              <w:rPr>
                <w:bCs/>
              </w:rPr>
            </w:pPr>
            <w:r w:rsidRPr="00A552C3">
              <w:rPr>
                <w:bCs/>
              </w:rPr>
              <w:t>Where for ERCOT Contingency Reserve (ECRS):</w:t>
            </w:r>
          </w:p>
          <w:p w14:paraId="6C3A03FD" w14:textId="48B1171D" w:rsidR="00D81D75" w:rsidRPr="00A552C3" w:rsidRDefault="00D81D75" w:rsidP="00D81D75">
            <w:pPr>
              <w:spacing w:after="240"/>
              <w:ind w:left="2340" w:hanging="1620"/>
              <w:rPr>
                <w:bCs/>
                <w:i/>
                <w:iCs/>
                <w:sz w:val="16"/>
                <w:szCs w:val="16"/>
                <w:lang w:val="pt-BR"/>
              </w:rPr>
            </w:pPr>
            <w:r w:rsidRPr="00A552C3">
              <w:rPr>
                <w:lang w:val="pt-BR"/>
              </w:rPr>
              <w:t xml:space="preserve">RTECRNET </w:t>
            </w:r>
            <w:r w:rsidRPr="00A552C3">
              <w:rPr>
                <w:bCs/>
                <w:i/>
                <w:iCs/>
                <w:sz w:val="16"/>
                <w:szCs w:val="16"/>
                <w:lang w:val="pt-BR"/>
              </w:rPr>
              <w:t xml:space="preserve">q, r </w:t>
            </w:r>
            <w:r w:rsidRPr="00A552C3">
              <w:rPr>
                <w:lang w:val="pt-BR"/>
              </w:rPr>
              <w:t xml:space="preserve"> </w:t>
            </w:r>
            <w:r w:rsidRPr="00A552C3">
              <w:rPr>
                <w:lang w:val="pt-BR"/>
              </w:rPr>
              <w:tab/>
              <w:t xml:space="preserve">= </w:t>
            </w:r>
            <w:r w:rsidRPr="00A552C3">
              <w:rPr>
                <w:lang w:val="pt-BR"/>
              </w:rPr>
              <w:tab/>
            </w:r>
            <w:r w:rsidRPr="00A552C3">
              <w:rPr>
                <w:iCs/>
                <w:lang w:val="pt-BR"/>
              </w:rPr>
              <w:t xml:space="preserve">RTECRREV </w:t>
            </w:r>
            <w:r w:rsidRPr="00A552C3">
              <w:rPr>
                <w:i/>
                <w:vertAlign w:val="subscript"/>
                <w:lang w:val="pt-BR"/>
              </w:rPr>
              <w:t xml:space="preserve">q, r </w:t>
            </w:r>
            <w:r w:rsidRPr="00A552C3">
              <w:rPr>
                <w:lang w:val="pt-BR"/>
              </w:rPr>
              <w:t>- (</w:t>
            </w:r>
            <w:r w:rsidRPr="00A552C3">
              <w:rPr>
                <w:lang w:val="es-MX"/>
              </w:rPr>
              <w:t>¼</w:t>
            </w:r>
            <w:r w:rsidRPr="00A552C3">
              <w:rPr>
                <w:lang w:val="pt-BR"/>
              </w:rPr>
              <w:t>)</w:t>
            </w:r>
            <w:r w:rsidR="00581B13">
              <w:rPr>
                <w:lang w:val="pt-BR"/>
              </w:rPr>
              <w:t xml:space="preserve"> </w:t>
            </w:r>
            <w:r w:rsidRPr="00A552C3">
              <w:rPr>
                <w:lang w:val="pt-BR"/>
              </w:rPr>
              <w:t xml:space="preserve">* RTECRREVT </w:t>
            </w:r>
            <w:r w:rsidRPr="00A552C3">
              <w:rPr>
                <w:bCs/>
                <w:i/>
                <w:iCs/>
                <w:sz w:val="16"/>
                <w:szCs w:val="16"/>
                <w:lang w:val="pt-BR"/>
              </w:rPr>
              <w:t>q, r</w:t>
            </w:r>
            <w:r w:rsidR="00BD19E2">
              <w:rPr>
                <w:bCs/>
                <w:i/>
                <w:iCs/>
                <w:sz w:val="16"/>
                <w:szCs w:val="16"/>
                <w:lang w:val="pt-BR"/>
              </w:rPr>
              <w:t>, p</w:t>
            </w:r>
          </w:p>
          <w:p w14:paraId="08B7E565"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RTECRREVT</w:t>
            </w:r>
            <w:r w:rsidRPr="00A552C3">
              <w:rPr>
                <w:bCs/>
                <w:i/>
                <w:vertAlign w:val="subscript"/>
                <w:lang w:val="pt-BR"/>
              </w:rPr>
              <w:t>q, r, p</w:t>
            </w:r>
            <w:r w:rsidRPr="00A552C3">
              <w:rPr>
                <w:bCs/>
                <w:lang w:val="pt-BR"/>
              </w:rPr>
              <w:tab/>
              <w:t>=</w:t>
            </w:r>
            <w:r w:rsidRPr="00A552C3">
              <w:rPr>
                <w:bCs/>
                <w:lang w:val="pt-BR"/>
              </w:rPr>
              <w:tab/>
              <w:t xml:space="preserve">RTECRWAPR </w:t>
            </w:r>
            <w:r w:rsidRPr="00A552C3">
              <w:rPr>
                <w:bCs/>
                <w:i/>
                <w:vertAlign w:val="subscript"/>
                <w:lang w:val="pt-BR"/>
              </w:rPr>
              <w:t>q, r, p</w:t>
            </w:r>
            <w:r w:rsidRPr="00A552C3">
              <w:rPr>
                <w:bCs/>
                <w:lang w:val="pt-BR"/>
              </w:rPr>
              <w:t xml:space="preserve"> * RTECRAWD </w:t>
            </w:r>
            <w:r w:rsidRPr="00A552C3">
              <w:rPr>
                <w:bCs/>
                <w:i/>
                <w:vertAlign w:val="subscript"/>
                <w:lang w:val="pt-BR"/>
              </w:rPr>
              <w:t>q, r</w:t>
            </w:r>
          </w:p>
          <w:p w14:paraId="11E7F723" w14:textId="1FCFF1AC" w:rsidR="00D81D75" w:rsidRPr="00A552C3" w:rsidRDefault="00D81D75" w:rsidP="00D81D75">
            <w:pPr>
              <w:tabs>
                <w:tab w:val="left" w:pos="2340"/>
                <w:tab w:val="left" w:pos="2880"/>
              </w:tabs>
              <w:spacing w:after="240"/>
              <w:ind w:left="987" w:hanging="269"/>
              <w:rPr>
                <w:bCs/>
                <w:lang w:val="es-MX"/>
              </w:rPr>
            </w:pPr>
            <w:r w:rsidRPr="00A552C3">
              <w:rPr>
                <w:bCs/>
                <w:lang w:val="pt-BR"/>
              </w:rPr>
              <w:t xml:space="preserve">RTECRWAPR </w:t>
            </w:r>
            <w:r w:rsidRPr="00A552C3">
              <w:rPr>
                <w:bCs/>
                <w:i/>
                <w:vertAlign w:val="subscript"/>
                <w:lang w:val="pt-BR"/>
              </w:rPr>
              <w:t>q, r, p</w:t>
            </w:r>
            <w:r w:rsidRPr="00A552C3">
              <w:rPr>
                <w:bCs/>
                <w:lang w:val="pt-BR"/>
              </w:rPr>
              <w:tab/>
              <w:t xml:space="preserve">=  </w:t>
            </w:r>
            <w:r w:rsidRPr="00A552C3">
              <w:rPr>
                <w:bCs/>
                <w:lang w:val="pt-BR"/>
              </w:rPr>
              <w:tab/>
            </w:r>
            <w:r w:rsidRPr="00A552C3">
              <w:rPr>
                <w:bCs/>
                <w:position w:val="-22"/>
              </w:rPr>
              <w:object w:dxaOrig="225" w:dyaOrig="450" w14:anchorId="6FBA3BF3">
                <v:shape id="_x0000_i1264" type="#_x0000_t75" style="width:12pt;height:24.6pt" o:ole="">
                  <v:imagedata r:id="rId294" o:title=""/>
                </v:shape>
                <o:OLEObject Type="Embed" ProgID="Equation.3" ShapeID="_x0000_i1264" DrawAspect="Content" ObjectID="_1815025453" r:id="rId321"/>
              </w:object>
            </w:r>
            <w:r w:rsidRPr="00A552C3">
              <w:rPr>
                <w:bCs/>
                <w:lang w:val="pt-BR"/>
              </w:rPr>
              <w:t xml:space="preserve">(RTECROPR </w:t>
            </w:r>
            <w:r w:rsidRPr="00A552C3">
              <w:rPr>
                <w:bCs/>
                <w:i/>
                <w:vertAlign w:val="subscript"/>
                <w:lang w:val="pt-BR"/>
              </w:rPr>
              <w:t>q, r, y</w:t>
            </w:r>
            <w:r w:rsidRPr="00A552C3">
              <w:rPr>
                <w:bCs/>
                <w:lang w:val="pt-BR"/>
              </w:rPr>
              <w:t xml:space="preserve"> * Max (0.001, RTECRAWDS </w:t>
            </w:r>
            <w:r w:rsidRPr="00A552C3">
              <w:rPr>
                <w:bCs/>
                <w:i/>
                <w:vertAlign w:val="subscript"/>
                <w:lang w:val="pt-BR"/>
              </w:rPr>
              <w:t>q, r, y</w:t>
            </w:r>
            <w:r w:rsidRPr="00A552C3">
              <w:rPr>
                <w:bCs/>
                <w:lang w:val="es-MX"/>
              </w:rPr>
              <w:t>)</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r w:rsidRPr="00A552C3">
              <w:rPr>
                <w:bCs/>
              </w:rPr>
              <w:tab/>
            </w:r>
            <w:r w:rsidRPr="00A552C3">
              <w:rPr>
                <w:bCs/>
                <w:position w:val="-22"/>
              </w:rPr>
              <w:object w:dxaOrig="225" w:dyaOrig="450" w14:anchorId="569ABFC7">
                <v:shape id="_x0000_i1265" type="#_x0000_t75" style="width:12pt;height:24.6pt" o:ole="">
                  <v:imagedata r:id="rId296" o:title=""/>
                </v:shape>
                <o:OLEObject Type="Embed" ProgID="Equation.3" ShapeID="_x0000_i1265" DrawAspect="Content" ObjectID="_1815025454" r:id="rId322"/>
              </w:object>
            </w:r>
            <w:r w:rsidRPr="00A552C3">
              <w:rPr>
                <w:bCs/>
                <w:lang w:val="es-MX"/>
              </w:rPr>
              <w:t>(</w:t>
            </w:r>
            <w:r w:rsidRPr="00A552C3">
              <w:rPr>
                <w:bCs/>
                <w:lang w:val="pt-BR"/>
              </w:rPr>
              <w:t xml:space="preserve">Max (0.001, </w:t>
            </w:r>
            <w:r w:rsidRPr="00A552C3">
              <w:rPr>
                <w:bCs/>
                <w:lang w:val="es-MX"/>
              </w:rPr>
              <w:t xml:space="preserve">RTECRAWDS </w:t>
            </w:r>
            <w:r w:rsidRPr="00A552C3">
              <w:rPr>
                <w:bCs/>
                <w:i/>
                <w:vertAlign w:val="subscript"/>
                <w:lang w:val="es-MX"/>
              </w:rPr>
              <w:t>q, r,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0B00A9F9" w14:textId="77777777" w:rsidR="00D81D75" w:rsidRPr="00A552C3" w:rsidRDefault="00D81D75" w:rsidP="00D81D75">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868"/>
              <w:gridCol w:w="6525"/>
            </w:tblGrid>
            <w:tr w:rsidR="00D81D75" w:rsidRPr="00A552C3" w14:paraId="1B2C3DD6" w14:textId="77777777" w:rsidTr="00C952ED">
              <w:trPr>
                <w:cantSplit/>
                <w:tblHeader/>
              </w:trPr>
              <w:tc>
                <w:tcPr>
                  <w:tcW w:w="934" w:type="pct"/>
                </w:tcPr>
                <w:p w14:paraId="33856809" w14:textId="77777777" w:rsidR="00D81D75" w:rsidRPr="00A552C3" w:rsidRDefault="00D81D75" w:rsidP="00D81D75">
                  <w:pPr>
                    <w:spacing w:after="240"/>
                    <w:rPr>
                      <w:b/>
                      <w:iCs/>
                      <w:sz w:val="20"/>
                    </w:rPr>
                  </w:pPr>
                  <w:r w:rsidRPr="00A552C3">
                    <w:rPr>
                      <w:b/>
                      <w:iCs/>
                      <w:sz w:val="20"/>
                    </w:rPr>
                    <w:t>Variable</w:t>
                  </w:r>
                </w:p>
              </w:tc>
              <w:tc>
                <w:tcPr>
                  <w:tcW w:w="481" w:type="pct"/>
                </w:tcPr>
                <w:p w14:paraId="1FF4EC0D" w14:textId="77777777" w:rsidR="00D81D75" w:rsidRPr="00A552C3" w:rsidRDefault="00D81D75" w:rsidP="00D81D75">
                  <w:pPr>
                    <w:spacing w:after="240"/>
                    <w:rPr>
                      <w:b/>
                      <w:iCs/>
                      <w:sz w:val="20"/>
                    </w:rPr>
                  </w:pPr>
                  <w:r w:rsidRPr="00A552C3">
                    <w:rPr>
                      <w:b/>
                      <w:iCs/>
                      <w:sz w:val="20"/>
                    </w:rPr>
                    <w:t>Unit</w:t>
                  </w:r>
                </w:p>
              </w:tc>
              <w:tc>
                <w:tcPr>
                  <w:tcW w:w="3585" w:type="pct"/>
                </w:tcPr>
                <w:p w14:paraId="12106CD7" w14:textId="77777777" w:rsidR="00D81D75" w:rsidRPr="00A552C3" w:rsidRDefault="00D81D75" w:rsidP="00D81D75">
                  <w:pPr>
                    <w:spacing w:after="240"/>
                    <w:rPr>
                      <w:b/>
                      <w:iCs/>
                      <w:sz w:val="20"/>
                    </w:rPr>
                  </w:pPr>
                  <w:r w:rsidRPr="00A552C3">
                    <w:rPr>
                      <w:b/>
                      <w:iCs/>
                      <w:sz w:val="20"/>
                    </w:rPr>
                    <w:t>Definition</w:t>
                  </w:r>
                </w:p>
              </w:tc>
            </w:tr>
            <w:tr w:rsidR="00D81D75" w:rsidRPr="00A552C3" w14:paraId="79076EEE" w14:textId="77777777" w:rsidTr="00C952ED">
              <w:trPr>
                <w:cantSplit/>
              </w:trPr>
              <w:tc>
                <w:tcPr>
                  <w:tcW w:w="934" w:type="pct"/>
                </w:tcPr>
                <w:p w14:paraId="0B4D0A65" w14:textId="77777777" w:rsidR="00D81D75" w:rsidRPr="00A552C3" w:rsidRDefault="00D81D75" w:rsidP="00D81D75">
                  <w:pPr>
                    <w:spacing w:after="60"/>
                    <w:rPr>
                      <w:iCs/>
                      <w:sz w:val="20"/>
                    </w:rPr>
                  </w:pPr>
                  <w:r w:rsidRPr="00A552C3">
                    <w:rPr>
                      <w:iCs/>
                      <w:sz w:val="20"/>
                    </w:rPr>
                    <w:t xml:space="preserve">EMREAMT </w:t>
                  </w:r>
                  <w:r w:rsidRPr="00A552C3">
                    <w:rPr>
                      <w:i/>
                      <w:iCs/>
                      <w:sz w:val="20"/>
                      <w:vertAlign w:val="subscript"/>
                    </w:rPr>
                    <w:t>q, r, p</w:t>
                  </w:r>
                </w:p>
              </w:tc>
              <w:tc>
                <w:tcPr>
                  <w:tcW w:w="481" w:type="pct"/>
                </w:tcPr>
                <w:p w14:paraId="25947B64" w14:textId="77777777" w:rsidR="00D81D75" w:rsidRPr="00A552C3" w:rsidRDefault="00D81D75" w:rsidP="00D81D75">
                  <w:pPr>
                    <w:spacing w:after="60"/>
                    <w:rPr>
                      <w:iCs/>
                      <w:sz w:val="20"/>
                    </w:rPr>
                  </w:pPr>
                  <w:r w:rsidRPr="00A552C3">
                    <w:rPr>
                      <w:iCs/>
                      <w:sz w:val="20"/>
                    </w:rPr>
                    <w:t>$</w:t>
                  </w:r>
                </w:p>
              </w:tc>
              <w:tc>
                <w:tcPr>
                  <w:tcW w:w="3585" w:type="pct"/>
                </w:tcPr>
                <w:p w14:paraId="4C4E75BB" w14:textId="77777777" w:rsidR="00D81D75" w:rsidRPr="00A552C3" w:rsidRDefault="00D81D75" w:rsidP="00D81D75">
                  <w:pPr>
                    <w:spacing w:after="60"/>
                    <w:rPr>
                      <w:iCs/>
                      <w:sz w:val="20"/>
                    </w:rPr>
                  </w:pPr>
                  <w:r w:rsidRPr="00A552C3">
                    <w:rPr>
                      <w:i/>
                      <w:iCs/>
                      <w:sz w:val="20"/>
                    </w:rPr>
                    <w:t>Emergency Energy Amount per QSE per Settlement Point per Resource</w:t>
                  </w:r>
                  <w:r w:rsidRPr="00A552C3">
                    <w:rPr>
                      <w:iCs/>
                      <w:sz w:val="20"/>
                    </w:rPr>
                    <w:t xml:space="preserve">—The payment to QSE </w:t>
                  </w:r>
                  <w:r w:rsidRPr="00A552C3">
                    <w:rPr>
                      <w:i/>
                      <w:iCs/>
                      <w:sz w:val="20"/>
                    </w:rPr>
                    <w:t>q</w:t>
                  </w:r>
                  <w:r w:rsidRPr="00A552C3">
                    <w:rPr>
                      <w:iCs/>
                      <w:sz w:val="20"/>
                    </w:rPr>
                    <w:t xml:space="preserve"> as additional compensation for the additional energy or Ancillary Services produced or consumed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460F64FA" w14:textId="77777777" w:rsidTr="00C952ED">
              <w:trPr>
                <w:cantSplit/>
              </w:trPr>
              <w:tc>
                <w:tcPr>
                  <w:tcW w:w="934" w:type="pct"/>
                </w:tcPr>
                <w:p w14:paraId="2D37A529" w14:textId="77777777" w:rsidR="00D81D75" w:rsidRPr="00A552C3" w:rsidRDefault="00D81D75" w:rsidP="00D81D75">
                  <w:pPr>
                    <w:spacing w:after="60"/>
                    <w:rPr>
                      <w:iCs/>
                      <w:sz w:val="20"/>
                    </w:rPr>
                  </w:pPr>
                  <w:r w:rsidRPr="00A552C3">
                    <w:rPr>
                      <w:iCs/>
                      <w:sz w:val="20"/>
                      <w:lang w:val="pt-BR"/>
                    </w:rPr>
                    <w:t xml:space="preserve">RTENET </w:t>
                  </w:r>
                  <w:r w:rsidRPr="00A552C3">
                    <w:rPr>
                      <w:i/>
                      <w:iCs/>
                      <w:sz w:val="20"/>
                      <w:vertAlign w:val="subscript"/>
                      <w:lang w:val="pt-BR"/>
                    </w:rPr>
                    <w:t>q, r, p</w:t>
                  </w:r>
                </w:p>
              </w:tc>
              <w:tc>
                <w:tcPr>
                  <w:tcW w:w="481" w:type="pct"/>
                </w:tcPr>
                <w:p w14:paraId="4AC7E3BF" w14:textId="77777777" w:rsidR="00D81D75" w:rsidRPr="00A552C3" w:rsidRDefault="00D81D75" w:rsidP="00D81D75">
                  <w:pPr>
                    <w:spacing w:after="60"/>
                    <w:rPr>
                      <w:iCs/>
                      <w:sz w:val="20"/>
                    </w:rPr>
                  </w:pPr>
                  <w:r w:rsidRPr="00A552C3">
                    <w:rPr>
                      <w:iCs/>
                      <w:sz w:val="20"/>
                    </w:rPr>
                    <w:t>$</w:t>
                  </w:r>
                </w:p>
              </w:tc>
              <w:tc>
                <w:tcPr>
                  <w:tcW w:w="3585" w:type="pct"/>
                </w:tcPr>
                <w:p w14:paraId="7178E5A8" w14:textId="1223C483" w:rsidR="00D81D75" w:rsidRPr="00A552C3" w:rsidRDefault="00D81D75" w:rsidP="00D81D75">
                  <w:pPr>
                    <w:spacing w:after="60"/>
                    <w:rPr>
                      <w:iCs/>
                      <w:sz w:val="20"/>
                    </w:rPr>
                  </w:pPr>
                  <w:r w:rsidRPr="00A552C3">
                    <w:rPr>
                      <w:i/>
                      <w:iCs/>
                      <w:sz w:val="20"/>
                    </w:rPr>
                    <w:t>Real-Time Energy Net Revenue</w:t>
                  </w:r>
                  <w:r w:rsidR="00F64A50" w:rsidRPr="00A552C3">
                    <w:rPr>
                      <w:iCs/>
                      <w:sz w:val="20"/>
                    </w:rPr>
                    <w:t>—</w:t>
                  </w:r>
                  <w:r w:rsidRPr="00A552C3">
                    <w:rPr>
                      <w:iCs/>
                      <w:sz w:val="20"/>
                    </w:rPr>
                    <w:t xml:space="preserve">The net difference between the Real-Time Energy Revenue and the Real-Time Energy Revenue Target for QSE </w:t>
                  </w:r>
                  <w:r w:rsidRPr="00A552C3">
                    <w:rPr>
                      <w:i/>
                      <w:iCs/>
                      <w:sz w:val="20"/>
                    </w:rPr>
                    <w:t xml:space="preserve">q </w:t>
                  </w:r>
                  <w:r w:rsidRPr="00A552C3">
                    <w:rPr>
                      <w:iCs/>
                      <w:sz w:val="20"/>
                    </w:rPr>
                    <w:t xml:space="preserve">for Resource </w:t>
                  </w:r>
                  <w:r w:rsidRPr="00A552C3">
                    <w:rPr>
                      <w:i/>
                      <w:iCs/>
                      <w:sz w:val="20"/>
                    </w:rPr>
                    <w:t xml:space="preserve">r </w:t>
                  </w:r>
                  <w:r w:rsidRPr="00A552C3">
                    <w:rPr>
                      <w:iCs/>
                      <w:sz w:val="20"/>
                    </w:rPr>
                    <w:t xml:space="preserve">at Resource node </w:t>
                  </w:r>
                  <w:r w:rsidRPr="00A552C3">
                    <w:rPr>
                      <w:i/>
                      <w:iCs/>
                      <w:sz w:val="20"/>
                    </w:rPr>
                    <w:t xml:space="preserve">p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5F22692B" w14:textId="77777777" w:rsidTr="00C952ED">
              <w:trPr>
                <w:cantSplit/>
              </w:trPr>
              <w:tc>
                <w:tcPr>
                  <w:tcW w:w="934" w:type="pct"/>
                </w:tcPr>
                <w:p w14:paraId="57A1A9E7" w14:textId="0130FEA8" w:rsidR="00D81D75" w:rsidRPr="00A552C3" w:rsidRDefault="00D81D75" w:rsidP="00D81D75">
                  <w:pPr>
                    <w:spacing w:after="60"/>
                    <w:rPr>
                      <w:iCs/>
                      <w:sz w:val="20"/>
                      <w:lang w:val="pt-BR"/>
                    </w:rPr>
                  </w:pPr>
                  <w:r w:rsidRPr="00A552C3">
                    <w:rPr>
                      <w:iCs/>
                      <w:sz w:val="20"/>
                    </w:rPr>
                    <w:t xml:space="preserve">RTASNET </w:t>
                  </w:r>
                  <w:r w:rsidRPr="00A552C3">
                    <w:rPr>
                      <w:bCs/>
                      <w:i/>
                      <w:sz w:val="20"/>
                      <w:vertAlign w:val="subscript"/>
                    </w:rPr>
                    <w:t>q, r</w:t>
                  </w:r>
                </w:p>
              </w:tc>
              <w:tc>
                <w:tcPr>
                  <w:tcW w:w="481" w:type="pct"/>
                </w:tcPr>
                <w:p w14:paraId="6FFFF003" w14:textId="77777777" w:rsidR="00D81D75" w:rsidRPr="00A552C3" w:rsidRDefault="00D81D75" w:rsidP="00D81D75">
                  <w:pPr>
                    <w:spacing w:after="60"/>
                    <w:rPr>
                      <w:iCs/>
                      <w:sz w:val="20"/>
                    </w:rPr>
                  </w:pPr>
                  <w:r w:rsidRPr="00A552C3">
                    <w:rPr>
                      <w:iCs/>
                      <w:sz w:val="20"/>
                    </w:rPr>
                    <w:t>$</w:t>
                  </w:r>
                </w:p>
              </w:tc>
              <w:tc>
                <w:tcPr>
                  <w:tcW w:w="3585" w:type="pct"/>
                </w:tcPr>
                <w:p w14:paraId="48A78EE9" w14:textId="1F3E3262" w:rsidR="00D81D75" w:rsidRPr="00A552C3" w:rsidRDefault="00D81D75" w:rsidP="00D81D75">
                  <w:pPr>
                    <w:spacing w:after="60"/>
                    <w:rPr>
                      <w:i/>
                      <w:iCs/>
                      <w:sz w:val="20"/>
                    </w:rPr>
                  </w:pPr>
                  <w:r w:rsidRPr="00A552C3">
                    <w:rPr>
                      <w:i/>
                      <w:iCs/>
                      <w:sz w:val="20"/>
                    </w:rPr>
                    <w:t>Real-Time Ancillary Service Net Revenue</w:t>
                  </w:r>
                  <w:r w:rsidR="00F64A50" w:rsidRPr="00A552C3">
                    <w:rPr>
                      <w:iCs/>
                      <w:sz w:val="20"/>
                    </w:rPr>
                    <w:t>—</w:t>
                  </w:r>
                  <w:r w:rsidRPr="00A552C3">
                    <w:rPr>
                      <w:iCs/>
                      <w:sz w:val="20"/>
                    </w:rPr>
                    <w:t xml:space="preserve">The sum of the Ancillary Service net revenues for QSE </w:t>
                  </w:r>
                  <w:r w:rsidRPr="00A552C3">
                    <w:rPr>
                      <w:i/>
                      <w:iCs/>
                      <w:sz w:val="20"/>
                    </w:rPr>
                    <w:t xml:space="preserve">q </w:t>
                  </w:r>
                  <w:r w:rsidRPr="00A552C3">
                    <w:rPr>
                      <w:iCs/>
                      <w:sz w:val="20"/>
                    </w:rPr>
                    <w:t xml:space="preserve">for Resource </w:t>
                  </w:r>
                  <w:r w:rsidRPr="00A552C3">
                    <w:rPr>
                      <w:i/>
                      <w:iCs/>
                      <w:sz w:val="20"/>
                    </w:rPr>
                    <w:t xml:space="preserve">r </w:t>
                  </w:r>
                  <w:r w:rsidRPr="00A552C3">
                    <w:rPr>
                      <w:iCs/>
                      <w:sz w:val="20"/>
                    </w:rPr>
                    <w:t xml:space="preserve">for the 15-minute Settlement Interval. </w:t>
                  </w:r>
                  <w:r w:rsidR="0068465A">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5E6CF641" w14:textId="77777777" w:rsidTr="00C952ED">
              <w:trPr>
                <w:cantSplit/>
              </w:trPr>
              <w:tc>
                <w:tcPr>
                  <w:tcW w:w="934" w:type="pct"/>
                </w:tcPr>
                <w:p w14:paraId="46297F5F" w14:textId="77777777" w:rsidR="00D81D75" w:rsidRPr="00A552C3" w:rsidRDefault="00D81D75" w:rsidP="00D81D75">
                  <w:pPr>
                    <w:spacing w:after="60"/>
                    <w:rPr>
                      <w:bCs/>
                      <w:sz w:val="20"/>
                    </w:rPr>
                  </w:pPr>
                  <w:r w:rsidRPr="00A552C3">
                    <w:rPr>
                      <w:iCs/>
                      <w:sz w:val="20"/>
                    </w:rPr>
                    <w:t xml:space="preserve">RTEREV </w:t>
                  </w:r>
                  <w:r w:rsidRPr="00A552C3">
                    <w:rPr>
                      <w:i/>
                      <w:iCs/>
                      <w:sz w:val="20"/>
                      <w:vertAlign w:val="subscript"/>
                    </w:rPr>
                    <w:t>q, r, p</w:t>
                  </w:r>
                </w:p>
              </w:tc>
              <w:tc>
                <w:tcPr>
                  <w:tcW w:w="481" w:type="pct"/>
                </w:tcPr>
                <w:p w14:paraId="410836CE" w14:textId="77777777" w:rsidR="00D81D75" w:rsidRPr="00A552C3" w:rsidRDefault="00D81D75" w:rsidP="00D81D75">
                  <w:pPr>
                    <w:spacing w:after="60"/>
                    <w:rPr>
                      <w:iCs/>
                      <w:sz w:val="20"/>
                    </w:rPr>
                  </w:pPr>
                  <w:r w:rsidRPr="00A552C3">
                    <w:rPr>
                      <w:iCs/>
                      <w:sz w:val="20"/>
                    </w:rPr>
                    <w:t>$</w:t>
                  </w:r>
                </w:p>
              </w:tc>
              <w:tc>
                <w:tcPr>
                  <w:tcW w:w="3585" w:type="pct"/>
                </w:tcPr>
                <w:p w14:paraId="732B47C3" w14:textId="18E3FED9" w:rsidR="00D81D75" w:rsidRPr="00A552C3" w:rsidRDefault="00D81D75" w:rsidP="00D81D75">
                  <w:pPr>
                    <w:spacing w:after="60"/>
                    <w:rPr>
                      <w:i/>
                      <w:iCs/>
                      <w:sz w:val="20"/>
                    </w:rPr>
                  </w:pPr>
                  <w:r w:rsidRPr="00A552C3">
                    <w:rPr>
                      <w:i/>
                      <w:iCs/>
                      <w:sz w:val="20"/>
                    </w:rPr>
                    <w:t>Real-Time Energy Revenue</w:t>
                  </w:r>
                  <w:r w:rsidRPr="00A552C3">
                    <w:rPr>
                      <w:iCs/>
                      <w:sz w:val="20"/>
                    </w:rPr>
                    <w:t xml:space="preserve">—The calculated Real-Time energy revenue at the RTSPP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r</w:t>
                  </w:r>
                  <w:r w:rsidRPr="00A552C3">
                    <w:rPr>
                      <w:iCs/>
                      <w:sz w:val="20"/>
                    </w:rPr>
                    <w:t xml:space="preserve"> at Resource node </w:t>
                  </w:r>
                  <w:r w:rsidRPr="00A552C3">
                    <w:rPr>
                      <w:i/>
                      <w:iCs/>
                      <w:sz w:val="20"/>
                    </w:rPr>
                    <w:t xml:space="preserve">p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62868D0F" w14:textId="77777777" w:rsidTr="00C952ED">
              <w:trPr>
                <w:cantSplit/>
              </w:trPr>
              <w:tc>
                <w:tcPr>
                  <w:tcW w:w="934" w:type="pct"/>
                </w:tcPr>
                <w:p w14:paraId="1530038B" w14:textId="77777777" w:rsidR="00D81D75" w:rsidRPr="00A552C3" w:rsidRDefault="00D81D75" w:rsidP="00D81D75">
                  <w:pPr>
                    <w:spacing w:after="60"/>
                    <w:rPr>
                      <w:iCs/>
                      <w:sz w:val="20"/>
                    </w:rPr>
                  </w:pPr>
                  <w:r w:rsidRPr="00A552C3">
                    <w:rPr>
                      <w:iCs/>
                      <w:sz w:val="20"/>
                    </w:rPr>
                    <w:lastRenderedPageBreak/>
                    <w:t xml:space="preserve">EMREGEN </w:t>
                  </w:r>
                  <w:r w:rsidRPr="00A552C3">
                    <w:rPr>
                      <w:i/>
                      <w:iCs/>
                      <w:sz w:val="20"/>
                      <w:vertAlign w:val="subscript"/>
                    </w:rPr>
                    <w:t>q, r, p</w:t>
                  </w:r>
                </w:p>
              </w:tc>
              <w:tc>
                <w:tcPr>
                  <w:tcW w:w="481" w:type="pct"/>
                </w:tcPr>
                <w:p w14:paraId="6E049C7F" w14:textId="77777777" w:rsidR="00D81D75" w:rsidRPr="00A552C3" w:rsidRDefault="00D81D75" w:rsidP="00D81D75">
                  <w:pPr>
                    <w:spacing w:after="60"/>
                    <w:rPr>
                      <w:iCs/>
                      <w:sz w:val="20"/>
                    </w:rPr>
                  </w:pPr>
                  <w:r w:rsidRPr="00A552C3">
                    <w:rPr>
                      <w:iCs/>
                      <w:sz w:val="20"/>
                    </w:rPr>
                    <w:t>MWh</w:t>
                  </w:r>
                </w:p>
              </w:tc>
              <w:tc>
                <w:tcPr>
                  <w:tcW w:w="3585" w:type="pct"/>
                </w:tcPr>
                <w:p w14:paraId="41F4AC66" w14:textId="77777777" w:rsidR="00D81D75" w:rsidRPr="00A552C3" w:rsidRDefault="00D81D75" w:rsidP="00D81D75">
                  <w:pPr>
                    <w:spacing w:after="60"/>
                    <w:rPr>
                      <w:i/>
                      <w:iCs/>
                      <w:sz w:val="20"/>
                    </w:rPr>
                  </w:pPr>
                  <w:r w:rsidRPr="00A552C3">
                    <w:rPr>
                      <w:i/>
                      <w:iCs/>
                      <w:sz w:val="20"/>
                    </w:rPr>
                    <w:t>Emergency Energy for Generation per QSE per Settlement Point per Resource</w:t>
                  </w:r>
                  <w:r w:rsidRPr="00A552C3">
                    <w:rPr>
                      <w:iCs/>
                      <w:sz w:val="20"/>
                    </w:rPr>
                    <w:t xml:space="preserve">—The generation produced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7C1F0D5" w14:textId="77777777" w:rsidTr="00C952ED">
              <w:trPr>
                <w:cantSplit/>
              </w:trPr>
              <w:tc>
                <w:tcPr>
                  <w:tcW w:w="934" w:type="pct"/>
                </w:tcPr>
                <w:p w14:paraId="5EDE67A4" w14:textId="77777777" w:rsidR="00D81D75" w:rsidRPr="00A552C3" w:rsidRDefault="00D81D75" w:rsidP="00D81D75">
                  <w:pPr>
                    <w:spacing w:after="60"/>
                    <w:rPr>
                      <w:iCs/>
                      <w:sz w:val="20"/>
                    </w:rPr>
                  </w:pPr>
                  <w:r w:rsidRPr="00A552C3">
                    <w:rPr>
                      <w:iCs/>
                      <w:sz w:val="20"/>
                    </w:rPr>
                    <w:t xml:space="preserve">EMRELOAD </w:t>
                  </w:r>
                  <w:r w:rsidRPr="00A552C3">
                    <w:rPr>
                      <w:i/>
                      <w:iCs/>
                      <w:sz w:val="20"/>
                      <w:vertAlign w:val="subscript"/>
                    </w:rPr>
                    <w:t>q, r, p</w:t>
                  </w:r>
                </w:p>
              </w:tc>
              <w:tc>
                <w:tcPr>
                  <w:tcW w:w="481" w:type="pct"/>
                </w:tcPr>
                <w:p w14:paraId="153AEDB3" w14:textId="77777777" w:rsidR="00D81D75" w:rsidRPr="00A552C3" w:rsidRDefault="00D81D75" w:rsidP="00D81D75">
                  <w:pPr>
                    <w:spacing w:after="60"/>
                    <w:rPr>
                      <w:iCs/>
                      <w:sz w:val="20"/>
                    </w:rPr>
                  </w:pPr>
                  <w:r w:rsidRPr="00A552C3">
                    <w:rPr>
                      <w:iCs/>
                      <w:sz w:val="20"/>
                    </w:rPr>
                    <w:t>MWh</w:t>
                  </w:r>
                </w:p>
              </w:tc>
              <w:tc>
                <w:tcPr>
                  <w:tcW w:w="3585" w:type="pct"/>
                </w:tcPr>
                <w:p w14:paraId="10BDADD1" w14:textId="1006DA5F" w:rsidR="00D81D75" w:rsidRPr="00A552C3" w:rsidRDefault="00D81D75" w:rsidP="00D81D75">
                  <w:pPr>
                    <w:spacing w:after="60"/>
                    <w:rPr>
                      <w:i/>
                      <w:iCs/>
                      <w:sz w:val="20"/>
                    </w:rPr>
                  </w:pPr>
                  <w:r w:rsidRPr="00A552C3">
                    <w:rPr>
                      <w:i/>
                      <w:iCs/>
                      <w:sz w:val="20"/>
                    </w:rPr>
                    <w:t>Emergency Energy for Charging Load per QSE per Settlement Point per Resource</w:t>
                  </w:r>
                  <w:r w:rsidRPr="00A552C3">
                    <w:rPr>
                      <w:iCs/>
                      <w:sz w:val="20"/>
                    </w:rPr>
                    <w:t xml:space="preserve">—The charging load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w:t>
                  </w:r>
                </w:p>
              </w:tc>
            </w:tr>
            <w:tr w:rsidR="00D81D75" w:rsidRPr="00A552C3" w14:paraId="4D05468F" w14:textId="77777777" w:rsidTr="00C952ED">
              <w:trPr>
                <w:cantSplit/>
              </w:trPr>
              <w:tc>
                <w:tcPr>
                  <w:tcW w:w="934" w:type="pct"/>
                </w:tcPr>
                <w:p w14:paraId="46410747" w14:textId="77777777" w:rsidR="00D81D75" w:rsidRPr="00A552C3" w:rsidRDefault="00D81D75" w:rsidP="00D81D75">
                  <w:pPr>
                    <w:spacing w:after="60"/>
                    <w:rPr>
                      <w:bCs/>
                      <w:sz w:val="20"/>
                    </w:rPr>
                  </w:pPr>
                  <w:r w:rsidRPr="00A552C3">
                    <w:rPr>
                      <w:iCs/>
                      <w:sz w:val="20"/>
                    </w:rPr>
                    <w:t xml:space="preserve">RTEREVT </w:t>
                  </w:r>
                  <w:r w:rsidRPr="00A552C3">
                    <w:rPr>
                      <w:bCs/>
                      <w:i/>
                      <w:sz w:val="20"/>
                      <w:szCs w:val="16"/>
                      <w:vertAlign w:val="subscript"/>
                    </w:rPr>
                    <w:t>q, r, p</w:t>
                  </w:r>
                </w:p>
              </w:tc>
              <w:tc>
                <w:tcPr>
                  <w:tcW w:w="481" w:type="pct"/>
                </w:tcPr>
                <w:p w14:paraId="47C0F7D9" w14:textId="77777777" w:rsidR="00D81D75" w:rsidRPr="00A552C3" w:rsidRDefault="00D81D75" w:rsidP="00D81D75">
                  <w:pPr>
                    <w:spacing w:after="60"/>
                    <w:rPr>
                      <w:iCs/>
                      <w:sz w:val="20"/>
                    </w:rPr>
                  </w:pPr>
                  <w:r w:rsidRPr="00A552C3">
                    <w:rPr>
                      <w:iCs/>
                      <w:sz w:val="20"/>
                    </w:rPr>
                    <w:t>$</w:t>
                  </w:r>
                </w:p>
              </w:tc>
              <w:tc>
                <w:tcPr>
                  <w:tcW w:w="3585" w:type="pct"/>
                </w:tcPr>
                <w:p w14:paraId="50F11D7E" w14:textId="191C39AD" w:rsidR="00D81D75" w:rsidRPr="00A552C3" w:rsidRDefault="00D81D75" w:rsidP="00D81D75">
                  <w:pPr>
                    <w:spacing w:after="60"/>
                    <w:rPr>
                      <w:iCs/>
                      <w:sz w:val="20"/>
                    </w:rPr>
                  </w:pPr>
                  <w:r w:rsidRPr="00A552C3">
                    <w:rPr>
                      <w:i/>
                      <w:iCs/>
                      <w:sz w:val="20"/>
                    </w:rPr>
                    <w:t>Real-Time Energy Revenue Target</w:t>
                  </w:r>
                  <w:r w:rsidR="002D6795" w:rsidRPr="00A552C3">
                    <w:rPr>
                      <w:iCs/>
                      <w:sz w:val="20"/>
                    </w:rPr>
                    <w:t>—</w:t>
                  </w:r>
                  <w:r w:rsidRPr="00A552C3">
                    <w:rPr>
                      <w:iCs/>
                      <w:sz w:val="20"/>
                    </w:rPr>
                    <w:t xml:space="preserve">The energy revenue target at the EBPWAPRGEN and EBPWAPRLOAD of the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66B25D77" w14:textId="77777777" w:rsidTr="00C952ED">
              <w:trPr>
                <w:cantSplit/>
              </w:trPr>
              <w:tc>
                <w:tcPr>
                  <w:tcW w:w="934" w:type="pct"/>
                </w:tcPr>
                <w:p w14:paraId="5E70C958" w14:textId="77777777" w:rsidR="00D81D75" w:rsidRPr="00A552C3" w:rsidRDefault="00D81D75" w:rsidP="00D81D75">
                  <w:pPr>
                    <w:spacing w:after="60"/>
                    <w:rPr>
                      <w:iCs/>
                      <w:sz w:val="20"/>
                    </w:rPr>
                  </w:pPr>
                  <w:r w:rsidRPr="00A552C3">
                    <w:rPr>
                      <w:iCs/>
                      <w:sz w:val="20"/>
                    </w:rPr>
                    <w:t xml:space="preserve">EBPWAPRGEN </w:t>
                  </w:r>
                  <w:r w:rsidRPr="00A552C3">
                    <w:rPr>
                      <w:i/>
                      <w:iCs/>
                      <w:sz w:val="20"/>
                      <w:vertAlign w:val="subscript"/>
                    </w:rPr>
                    <w:t>q, r, p</w:t>
                  </w:r>
                </w:p>
              </w:tc>
              <w:tc>
                <w:tcPr>
                  <w:tcW w:w="481" w:type="pct"/>
                </w:tcPr>
                <w:p w14:paraId="27E9164D" w14:textId="77777777" w:rsidR="00D81D75" w:rsidRPr="00A552C3" w:rsidRDefault="00D81D75" w:rsidP="00D81D75">
                  <w:pPr>
                    <w:spacing w:after="60"/>
                    <w:rPr>
                      <w:iCs/>
                      <w:sz w:val="20"/>
                    </w:rPr>
                  </w:pPr>
                  <w:r w:rsidRPr="00A552C3">
                    <w:rPr>
                      <w:iCs/>
                      <w:sz w:val="20"/>
                    </w:rPr>
                    <w:t>$/MWh</w:t>
                  </w:r>
                </w:p>
              </w:tc>
              <w:tc>
                <w:tcPr>
                  <w:tcW w:w="3585" w:type="pct"/>
                </w:tcPr>
                <w:p w14:paraId="34095FF1" w14:textId="77777777" w:rsidR="00D81D75" w:rsidRPr="00A552C3" w:rsidRDefault="00D81D75" w:rsidP="00D81D75">
                  <w:pPr>
                    <w:spacing w:after="60"/>
                    <w:rPr>
                      <w:i/>
                      <w:iCs/>
                      <w:sz w:val="20"/>
                    </w:rPr>
                  </w:pPr>
                  <w:r w:rsidRPr="00A552C3">
                    <w:rPr>
                      <w:i/>
                      <w:iCs/>
                      <w:sz w:val="20"/>
                    </w:rPr>
                    <w:t>Emergency Base Point Weighted Average Price for Generation per QSE per Settlement Point per Resource</w:t>
                  </w:r>
                  <w:r w:rsidRPr="00A552C3">
                    <w:rPr>
                      <w:iCs/>
                      <w:sz w:val="20"/>
                    </w:rPr>
                    <w:t xml:space="preserve">—The weighted average of the Emergency Base Point Prices corresponding with the positive Emergency Base Points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2743B9E8" w14:textId="77777777" w:rsidTr="00C952ED">
              <w:trPr>
                <w:cantSplit/>
              </w:trPr>
              <w:tc>
                <w:tcPr>
                  <w:tcW w:w="934" w:type="pct"/>
                </w:tcPr>
                <w:p w14:paraId="63B891EB" w14:textId="77777777" w:rsidR="00D81D75" w:rsidRPr="00A552C3" w:rsidRDefault="00D81D75" w:rsidP="00D81D75">
                  <w:pPr>
                    <w:spacing w:after="60"/>
                    <w:rPr>
                      <w:iCs/>
                      <w:sz w:val="20"/>
                    </w:rPr>
                  </w:pPr>
                  <w:r w:rsidRPr="00A552C3">
                    <w:rPr>
                      <w:iCs/>
                      <w:sz w:val="20"/>
                    </w:rPr>
                    <w:t xml:space="preserve">EBPWAPRLOAD </w:t>
                  </w:r>
                  <w:r w:rsidRPr="00A552C3">
                    <w:rPr>
                      <w:i/>
                      <w:iCs/>
                      <w:sz w:val="20"/>
                      <w:vertAlign w:val="subscript"/>
                    </w:rPr>
                    <w:t>q, r, p</w:t>
                  </w:r>
                </w:p>
              </w:tc>
              <w:tc>
                <w:tcPr>
                  <w:tcW w:w="481" w:type="pct"/>
                </w:tcPr>
                <w:p w14:paraId="3AC2CF98" w14:textId="77777777" w:rsidR="00D81D75" w:rsidRPr="00A552C3" w:rsidRDefault="00D81D75" w:rsidP="00D81D75">
                  <w:pPr>
                    <w:spacing w:after="60"/>
                    <w:rPr>
                      <w:iCs/>
                      <w:sz w:val="20"/>
                    </w:rPr>
                  </w:pPr>
                  <w:r w:rsidRPr="00A552C3">
                    <w:rPr>
                      <w:iCs/>
                      <w:sz w:val="20"/>
                    </w:rPr>
                    <w:t>$/MWh</w:t>
                  </w:r>
                </w:p>
              </w:tc>
              <w:tc>
                <w:tcPr>
                  <w:tcW w:w="3585" w:type="pct"/>
                </w:tcPr>
                <w:p w14:paraId="5EA2D149" w14:textId="17D9538B" w:rsidR="00D81D75" w:rsidRPr="00A552C3" w:rsidRDefault="00D81D75" w:rsidP="00D81D75">
                  <w:pPr>
                    <w:spacing w:after="60"/>
                    <w:rPr>
                      <w:i/>
                      <w:iCs/>
                      <w:sz w:val="20"/>
                    </w:rPr>
                  </w:pPr>
                  <w:r w:rsidRPr="00A552C3">
                    <w:rPr>
                      <w:i/>
                      <w:iCs/>
                      <w:sz w:val="20"/>
                    </w:rPr>
                    <w:t>Emergency Base Point Weighted Average Price for Charging Load per QSE per Settlement Point per Resource</w:t>
                  </w:r>
                  <w:r w:rsidRPr="00A552C3">
                    <w:rPr>
                      <w:iCs/>
                      <w:sz w:val="20"/>
                    </w:rPr>
                    <w:t xml:space="preserve">—The weighted average of the Emergency Base Point Prices corresponding with the negative Emergency Base Points,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for the 15-minute Settlement Interval.</w:t>
                  </w:r>
                </w:p>
              </w:tc>
            </w:tr>
            <w:tr w:rsidR="00D81D75" w:rsidRPr="00A552C3" w14:paraId="08427F3A"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6C3FD1B2" w14:textId="77777777" w:rsidR="00D81D75" w:rsidRPr="00A552C3" w:rsidRDefault="00D81D75" w:rsidP="00D81D75">
                  <w:pPr>
                    <w:spacing w:after="60"/>
                    <w:rPr>
                      <w:iCs/>
                      <w:sz w:val="20"/>
                    </w:rPr>
                  </w:pPr>
                  <w:r w:rsidRPr="00A552C3">
                    <w:rPr>
                      <w:iCs/>
                      <w:sz w:val="20"/>
                    </w:rPr>
                    <w:t>AEBPGEN</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675C8064"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62B6575D" w14:textId="77777777" w:rsidR="00D81D75" w:rsidRPr="00A552C3" w:rsidRDefault="00D81D75" w:rsidP="00D81D75">
                  <w:pPr>
                    <w:spacing w:after="60"/>
                    <w:rPr>
                      <w:i/>
                      <w:iCs/>
                      <w:sz w:val="20"/>
                    </w:rPr>
                  </w:pPr>
                  <w:r w:rsidRPr="00A552C3">
                    <w:rPr>
                      <w:i/>
                      <w:iCs/>
                      <w:sz w:val="20"/>
                    </w:rPr>
                    <w:t>Aggregated Emergency Base Point for Generation</w:t>
                  </w:r>
                  <w:r w:rsidRPr="00A552C3">
                    <w:rPr>
                      <w:iCs/>
                      <w:sz w:val="20"/>
                    </w:rPr>
                    <w:t xml:space="preserve">—The aggregation of the positive Emergency Base Points for the Resource </w:t>
                  </w:r>
                  <w:r w:rsidRPr="00A552C3">
                    <w:rPr>
                      <w:i/>
                      <w:iCs/>
                      <w:sz w:val="20"/>
                    </w:rPr>
                    <w:t>r</w:t>
                  </w:r>
                  <w:r w:rsidRPr="00A552C3">
                    <w:rPr>
                      <w:iCs/>
                      <w:sz w:val="20"/>
                    </w:rPr>
                    <w:t xml:space="preserve"> represented by QSE </w:t>
                  </w:r>
                  <w:r w:rsidRPr="00A552C3">
                    <w:rPr>
                      <w:i/>
                      <w:iCs/>
                      <w:sz w:val="20"/>
                    </w:rPr>
                    <w:t>q</w:t>
                  </w:r>
                  <w:r w:rsidRPr="00A552C3">
                    <w:rPr>
                      <w:iCs/>
                      <w:sz w:val="20"/>
                    </w:rPr>
                    <w:t>, for the 15-minute Settlement Interval.  Where for a Combined Cycle Train, AEBP is calculated for the Combined Cycle Train considering all emergency Dispatch Instructions to any Combined Cycle Generation Resources within the Combined Cycle Train.</w:t>
                  </w:r>
                </w:p>
              </w:tc>
            </w:tr>
            <w:tr w:rsidR="00D81D75" w:rsidRPr="00A552C3" w14:paraId="2A0F7D65"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A1791E2" w14:textId="77777777" w:rsidR="00D81D75" w:rsidRPr="00A552C3" w:rsidRDefault="00D81D75" w:rsidP="00D81D75">
                  <w:pPr>
                    <w:spacing w:after="60"/>
                    <w:rPr>
                      <w:iCs/>
                      <w:sz w:val="20"/>
                    </w:rPr>
                  </w:pPr>
                  <w:r w:rsidRPr="00A552C3">
                    <w:rPr>
                      <w:iCs/>
                      <w:sz w:val="20"/>
                    </w:rPr>
                    <w:t>AEBPLOAD</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754485AE"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60C96AB5" w14:textId="77777777" w:rsidR="00D81D75" w:rsidRPr="00A552C3" w:rsidRDefault="00D81D75" w:rsidP="00D81D75">
                  <w:pPr>
                    <w:spacing w:after="60"/>
                    <w:rPr>
                      <w:i/>
                      <w:iCs/>
                      <w:sz w:val="20"/>
                    </w:rPr>
                  </w:pPr>
                  <w:r w:rsidRPr="00A552C3">
                    <w:rPr>
                      <w:i/>
                      <w:iCs/>
                      <w:sz w:val="20"/>
                    </w:rPr>
                    <w:t>Aggregated Emergency Base Point for Charging Load</w:t>
                  </w:r>
                  <w:r w:rsidRPr="00A552C3">
                    <w:rPr>
                      <w:iCs/>
                      <w:sz w:val="20"/>
                    </w:rPr>
                    <w:t xml:space="preserve">—The aggregation of the negative Emergency Base Points for the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the 15-minute Settlement Interval.  </w:t>
                  </w:r>
                </w:p>
              </w:tc>
            </w:tr>
            <w:tr w:rsidR="00D81D75" w:rsidRPr="00A552C3" w14:paraId="4FC68EA6" w14:textId="77777777" w:rsidTr="00C952ED">
              <w:trPr>
                <w:cantSplit/>
              </w:trPr>
              <w:tc>
                <w:tcPr>
                  <w:tcW w:w="934" w:type="pct"/>
                </w:tcPr>
                <w:p w14:paraId="2F4A44CA" w14:textId="77777777" w:rsidR="00D81D75" w:rsidRPr="00A552C3" w:rsidRDefault="00D81D75" w:rsidP="00D81D75">
                  <w:pPr>
                    <w:spacing w:after="60"/>
                    <w:rPr>
                      <w:iCs/>
                      <w:sz w:val="20"/>
                    </w:rPr>
                  </w:pPr>
                  <w:r w:rsidRPr="00A552C3">
                    <w:rPr>
                      <w:iCs/>
                      <w:sz w:val="20"/>
                    </w:rPr>
                    <w:t xml:space="preserve">EBP </w:t>
                  </w:r>
                  <w:r w:rsidRPr="00A552C3">
                    <w:rPr>
                      <w:i/>
                      <w:iCs/>
                      <w:sz w:val="20"/>
                      <w:vertAlign w:val="subscript"/>
                    </w:rPr>
                    <w:t>q, r, p, y</w:t>
                  </w:r>
                </w:p>
              </w:tc>
              <w:tc>
                <w:tcPr>
                  <w:tcW w:w="481" w:type="pct"/>
                </w:tcPr>
                <w:p w14:paraId="4F3DBC98" w14:textId="77777777" w:rsidR="00D81D75" w:rsidRPr="00A552C3" w:rsidRDefault="00D81D75" w:rsidP="00D81D75">
                  <w:pPr>
                    <w:spacing w:after="60"/>
                    <w:rPr>
                      <w:iCs/>
                      <w:sz w:val="20"/>
                    </w:rPr>
                  </w:pPr>
                  <w:r w:rsidRPr="00A552C3">
                    <w:rPr>
                      <w:iCs/>
                      <w:sz w:val="20"/>
                    </w:rPr>
                    <w:t>MW</w:t>
                  </w:r>
                </w:p>
              </w:tc>
              <w:tc>
                <w:tcPr>
                  <w:tcW w:w="3585" w:type="pct"/>
                </w:tcPr>
                <w:p w14:paraId="0E78EA70" w14:textId="77777777" w:rsidR="00D81D75" w:rsidRPr="00A552C3" w:rsidRDefault="00D81D75" w:rsidP="00D81D75">
                  <w:pPr>
                    <w:spacing w:after="60"/>
                    <w:rPr>
                      <w:iCs/>
                      <w:sz w:val="20"/>
                    </w:rPr>
                  </w:pPr>
                  <w:r w:rsidRPr="00A552C3">
                    <w:rPr>
                      <w:i/>
                      <w:iCs/>
                      <w:sz w:val="20"/>
                    </w:rPr>
                    <w:t>Emergency Base Point per QSE per Settlement Point per Resource by interval</w:t>
                  </w:r>
                  <w:r w:rsidRPr="00A552C3">
                    <w:rPr>
                      <w:iCs/>
                      <w:sz w:val="20"/>
                    </w:rPr>
                    <w:t xml:space="preserve">—The Emergency Base Point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w:t>
                  </w:r>
                  <w:r w:rsidRPr="00A552C3">
                    <w:rPr>
                      <w:i/>
                      <w:iCs/>
                      <w:sz w:val="20"/>
                    </w:rPr>
                    <w:t xml:space="preserve"> y</w:t>
                  </w:r>
                  <w:r w:rsidRPr="00A552C3">
                    <w:rPr>
                      <w:iCs/>
                      <w:sz w:val="20"/>
                    </w:rPr>
                    <w:t xml:space="preserve">.  If a Base Point instead of an Emergency Base Point is effective during the interval </w:t>
                  </w:r>
                  <w:r w:rsidRPr="00A552C3">
                    <w:rPr>
                      <w:i/>
                      <w:iCs/>
                      <w:sz w:val="20"/>
                    </w:rPr>
                    <w:t>y</w:t>
                  </w:r>
                  <w:r w:rsidRPr="00A552C3">
                    <w:rPr>
                      <w:iCs/>
                      <w:sz w:val="20"/>
                    </w:rPr>
                    <w:t xml:space="preserve">, its value equals the Base Point.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1A9D4A2B" w14:textId="77777777" w:rsidTr="00C952ED">
              <w:trPr>
                <w:cantSplit/>
              </w:trPr>
              <w:tc>
                <w:tcPr>
                  <w:tcW w:w="934" w:type="pct"/>
                </w:tcPr>
                <w:p w14:paraId="0F5B467B" w14:textId="77777777" w:rsidR="00D81D75" w:rsidRPr="00A552C3" w:rsidRDefault="00D81D75" w:rsidP="00D81D75">
                  <w:pPr>
                    <w:spacing w:after="60"/>
                    <w:rPr>
                      <w:iCs/>
                      <w:sz w:val="20"/>
                    </w:rPr>
                  </w:pPr>
                  <w:r w:rsidRPr="00A552C3">
                    <w:rPr>
                      <w:iCs/>
                      <w:sz w:val="20"/>
                    </w:rPr>
                    <w:t xml:space="preserve">EBPPR </w:t>
                  </w:r>
                  <w:r w:rsidRPr="00A552C3">
                    <w:rPr>
                      <w:i/>
                      <w:iCs/>
                      <w:sz w:val="20"/>
                      <w:vertAlign w:val="subscript"/>
                    </w:rPr>
                    <w:t>q, r, p, y</w:t>
                  </w:r>
                </w:p>
              </w:tc>
              <w:tc>
                <w:tcPr>
                  <w:tcW w:w="481" w:type="pct"/>
                </w:tcPr>
                <w:p w14:paraId="3BAB9DCC" w14:textId="77777777" w:rsidR="00D81D75" w:rsidRPr="00A552C3" w:rsidRDefault="00D81D75" w:rsidP="00D81D75">
                  <w:pPr>
                    <w:spacing w:after="60"/>
                    <w:rPr>
                      <w:iCs/>
                      <w:sz w:val="20"/>
                    </w:rPr>
                  </w:pPr>
                  <w:r w:rsidRPr="00A552C3">
                    <w:rPr>
                      <w:iCs/>
                      <w:sz w:val="20"/>
                    </w:rPr>
                    <w:t>$/MWh</w:t>
                  </w:r>
                </w:p>
              </w:tc>
              <w:tc>
                <w:tcPr>
                  <w:tcW w:w="3585" w:type="pct"/>
                </w:tcPr>
                <w:p w14:paraId="41D16F07" w14:textId="3975AFB0" w:rsidR="00D81D75" w:rsidRPr="00A552C3" w:rsidRDefault="00D81D75" w:rsidP="00D81D75">
                  <w:pPr>
                    <w:spacing w:after="60"/>
                    <w:rPr>
                      <w:iCs/>
                      <w:sz w:val="20"/>
                    </w:rPr>
                  </w:pPr>
                  <w:r w:rsidRPr="00A552C3">
                    <w:rPr>
                      <w:i/>
                      <w:iCs/>
                      <w:sz w:val="20"/>
                    </w:rPr>
                    <w:t>Emergency Base Point Price per QSE per Settlement Point per Resource by interval</w:t>
                  </w:r>
                  <w:r w:rsidRPr="00A552C3">
                    <w:rPr>
                      <w:iCs/>
                      <w:sz w:val="20"/>
                    </w:rPr>
                    <w:t xml:space="preserve">—The </w:t>
                  </w:r>
                  <w:r w:rsidR="00BD19E2">
                    <w:rPr>
                      <w:iCs/>
                      <w:sz w:val="20"/>
                    </w:rPr>
                    <w:t>price on</w:t>
                  </w:r>
                  <w:r w:rsidRPr="00A552C3">
                    <w:rPr>
                      <w:iCs/>
                      <w:sz w:val="20"/>
                    </w:rPr>
                    <w:t xml:space="preserve"> the Energy Offer Curve</w:t>
                  </w:r>
                  <w:r w:rsidRPr="00A552C3">
                    <w:rPr>
                      <w:rFonts w:asciiTheme="minorHAnsi" w:eastAsiaTheme="minorHAnsi" w:hAnsiTheme="minorHAnsi" w:cstheme="minorBidi"/>
                      <w:sz w:val="22"/>
                      <w:szCs w:val="22"/>
                    </w:rPr>
                    <w:t xml:space="preserve"> </w:t>
                  </w:r>
                  <w:r w:rsidRPr="00A552C3">
                    <w:rPr>
                      <w:iCs/>
                      <w:sz w:val="20"/>
                    </w:rPr>
                    <w:t>or Energy Bid/Offer Curve corresponding to the Emergency Base Point</w:t>
                  </w:r>
                  <w:r w:rsidRPr="00A552C3">
                    <w:rPr>
                      <w:rFonts w:asciiTheme="minorHAnsi" w:eastAsiaTheme="minorHAnsi" w:hAnsiTheme="minorHAnsi" w:cstheme="minorBidi"/>
                      <w:sz w:val="22"/>
                      <w:szCs w:val="22"/>
                    </w:rPr>
                    <w:t xml:space="preserve"> </w:t>
                  </w:r>
                  <w:r w:rsidRPr="00A552C3">
                    <w:rPr>
                      <w:iCs/>
                      <w:sz w:val="20"/>
                    </w:rPr>
                    <w:t xml:space="preserve">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 </w:t>
                  </w:r>
                  <w:r w:rsidRPr="00A552C3">
                    <w:rPr>
                      <w:i/>
                      <w:iCs/>
                      <w:sz w:val="20"/>
                    </w:rPr>
                    <w:t>y</w:t>
                  </w:r>
                  <w:r w:rsidRPr="00A552C3">
                    <w:rPr>
                      <w:iCs/>
                      <w:sz w:val="20"/>
                    </w:rPr>
                    <w:t xml:space="preserve">. </w:t>
                  </w:r>
                  <w:r w:rsidR="00792C7F">
                    <w:rPr>
                      <w:iCs/>
                      <w:sz w:val="20"/>
                    </w:rPr>
                    <w:t xml:space="preserve"> </w:t>
                  </w:r>
                  <w:r w:rsidRPr="00A552C3">
                    <w:rPr>
                      <w:iCs/>
                      <w:sz w:val="20"/>
                    </w:rPr>
                    <w:t xml:space="preserve">The Energy Offer Curve shall be capped by the MOC pursuant to Section 4.4.9.4.1, Mitigated Offer Cap, and the Energy Bid/Offer Curve shall be capped by the maximum RTSPP at the Settlement Point for the Operating Day, per paragraph (10)(b) of Section 6.6.9.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76C3085C" w14:textId="77777777" w:rsidTr="00C952ED">
              <w:trPr>
                <w:cantSplit/>
              </w:trPr>
              <w:tc>
                <w:tcPr>
                  <w:tcW w:w="934" w:type="pct"/>
                </w:tcPr>
                <w:p w14:paraId="1F33194F" w14:textId="77777777" w:rsidR="00D81D75" w:rsidRPr="00A552C3" w:rsidRDefault="00D81D75" w:rsidP="00D81D75">
                  <w:pPr>
                    <w:spacing w:after="60"/>
                    <w:rPr>
                      <w:iCs/>
                      <w:sz w:val="20"/>
                    </w:rPr>
                  </w:pPr>
                  <w:r w:rsidRPr="00A552C3">
                    <w:rPr>
                      <w:iCs/>
                      <w:sz w:val="20"/>
                    </w:rPr>
                    <w:lastRenderedPageBreak/>
                    <w:t>RTSPP</w:t>
                  </w:r>
                  <w:r w:rsidRPr="00A552C3">
                    <w:rPr>
                      <w:i/>
                      <w:iCs/>
                      <w:sz w:val="20"/>
                    </w:rPr>
                    <w:t xml:space="preserve"> </w:t>
                  </w:r>
                  <w:r w:rsidRPr="00A552C3">
                    <w:rPr>
                      <w:i/>
                      <w:iCs/>
                      <w:sz w:val="20"/>
                      <w:vertAlign w:val="subscript"/>
                    </w:rPr>
                    <w:t>p</w:t>
                  </w:r>
                </w:p>
              </w:tc>
              <w:tc>
                <w:tcPr>
                  <w:tcW w:w="481" w:type="pct"/>
                </w:tcPr>
                <w:p w14:paraId="065E9C55" w14:textId="77777777" w:rsidR="00D81D75" w:rsidRPr="00A552C3" w:rsidRDefault="00D81D75" w:rsidP="00D81D75">
                  <w:pPr>
                    <w:spacing w:after="60"/>
                    <w:rPr>
                      <w:iCs/>
                      <w:sz w:val="20"/>
                    </w:rPr>
                  </w:pPr>
                  <w:r w:rsidRPr="00A552C3">
                    <w:rPr>
                      <w:iCs/>
                      <w:sz w:val="20"/>
                    </w:rPr>
                    <w:t>$/MWh</w:t>
                  </w:r>
                </w:p>
              </w:tc>
              <w:tc>
                <w:tcPr>
                  <w:tcW w:w="3585" w:type="pct"/>
                </w:tcPr>
                <w:p w14:paraId="76A017EE" w14:textId="77777777" w:rsidR="00D81D75" w:rsidRPr="00A552C3" w:rsidRDefault="00D81D75" w:rsidP="00D81D75">
                  <w:pPr>
                    <w:spacing w:after="60"/>
                    <w:rPr>
                      <w:iCs/>
                      <w:sz w:val="20"/>
                    </w:rPr>
                  </w:pPr>
                  <w:r w:rsidRPr="00A552C3">
                    <w:rPr>
                      <w:i/>
                      <w:iCs/>
                      <w:sz w:val="20"/>
                    </w:rPr>
                    <w:t>Real-Time Settlement Point Price per Settlement Point</w:t>
                  </w:r>
                  <w:r w:rsidRPr="00A552C3">
                    <w:rPr>
                      <w:iCs/>
                      <w:sz w:val="20"/>
                    </w:rPr>
                    <w:t xml:space="preserve">—The Real-Time Settlement Point Price at Settlement Point </w:t>
                  </w:r>
                  <w:r w:rsidRPr="00A552C3">
                    <w:rPr>
                      <w:i/>
                      <w:iCs/>
                      <w:sz w:val="20"/>
                    </w:rPr>
                    <w:t>p</w:t>
                  </w:r>
                  <w:r w:rsidRPr="00A552C3">
                    <w:rPr>
                      <w:iCs/>
                      <w:sz w:val="20"/>
                    </w:rPr>
                    <w:t>, for the 15-minute Settlement Interval.</w:t>
                  </w:r>
                </w:p>
              </w:tc>
            </w:tr>
            <w:tr w:rsidR="00D81D75" w:rsidRPr="00A552C3" w14:paraId="674457DD" w14:textId="77777777" w:rsidTr="00C952ED">
              <w:trPr>
                <w:cantSplit/>
              </w:trPr>
              <w:tc>
                <w:tcPr>
                  <w:tcW w:w="934" w:type="pct"/>
                </w:tcPr>
                <w:p w14:paraId="332497DA" w14:textId="77777777" w:rsidR="00D81D75" w:rsidRPr="00A552C3" w:rsidRDefault="00D81D75" w:rsidP="00D81D75">
                  <w:pPr>
                    <w:spacing w:after="60"/>
                    <w:rPr>
                      <w:iCs/>
                      <w:sz w:val="20"/>
                    </w:rPr>
                  </w:pPr>
                  <w:r w:rsidRPr="00A552C3">
                    <w:rPr>
                      <w:iCs/>
                      <w:sz w:val="20"/>
                    </w:rPr>
                    <w:t xml:space="preserve">RTMG </w:t>
                  </w:r>
                  <w:r w:rsidRPr="00A552C3">
                    <w:rPr>
                      <w:i/>
                      <w:iCs/>
                      <w:sz w:val="20"/>
                      <w:vertAlign w:val="subscript"/>
                    </w:rPr>
                    <w:t>q, r, p</w:t>
                  </w:r>
                </w:p>
              </w:tc>
              <w:tc>
                <w:tcPr>
                  <w:tcW w:w="481" w:type="pct"/>
                </w:tcPr>
                <w:p w14:paraId="1DE2455D" w14:textId="77777777" w:rsidR="00D81D75" w:rsidRPr="00A552C3" w:rsidRDefault="00D81D75" w:rsidP="00D81D75">
                  <w:pPr>
                    <w:spacing w:after="60"/>
                    <w:rPr>
                      <w:iCs/>
                      <w:sz w:val="20"/>
                    </w:rPr>
                  </w:pPr>
                  <w:r w:rsidRPr="00A552C3">
                    <w:rPr>
                      <w:iCs/>
                      <w:sz w:val="20"/>
                    </w:rPr>
                    <w:t>MWh</w:t>
                  </w:r>
                </w:p>
              </w:tc>
              <w:tc>
                <w:tcPr>
                  <w:tcW w:w="3585" w:type="pct"/>
                </w:tcPr>
                <w:p w14:paraId="0C8BB8FC" w14:textId="77777777" w:rsidR="00D81D75" w:rsidRPr="00A552C3" w:rsidRDefault="00D81D75" w:rsidP="00D81D75">
                  <w:pPr>
                    <w:spacing w:after="60"/>
                    <w:rPr>
                      <w:iCs/>
                      <w:sz w:val="20"/>
                    </w:rPr>
                  </w:pPr>
                  <w:r w:rsidRPr="00A552C3">
                    <w:rPr>
                      <w:i/>
                      <w:iCs/>
                      <w:sz w:val="20"/>
                    </w:rPr>
                    <w:t>Real-Time Metered Generation per QSE per Settlement Point per Resource</w:t>
                  </w:r>
                  <w:r w:rsidRPr="00A552C3">
                    <w:rPr>
                      <w:iCs/>
                      <w:sz w:val="20"/>
                    </w:rPr>
                    <w:t xml:space="preserve">—The metered generation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CC78223" w14:textId="77777777" w:rsidTr="00C952ED">
              <w:trPr>
                <w:cantSplit/>
              </w:trPr>
              <w:tc>
                <w:tcPr>
                  <w:tcW w:w="934" w:type="pct"/>
                </w:tcPr>
                <w:p w14:paraId="43EB9B97" w14:textId="77777777" w:rsidR="00D81D75" w:rsidRPr="00A552C3" w:rsidRDefault="00D81D75" w:rsidP="00D81D75">
                  <w:pPr>
                    <w:spacing w:after="60"/>
                    <w:rPr>
                      <w:iCs/>
                      <w:sz w:val="20"/>
                    </w:rPr>
                  </w:pPr>
                  <w:r w:rsidRPr="00A552C3">
                    <w:rPr>
                      <w:iCs/>
                      <w:sz w:val="20"/>
                    </w:rPr>
                    <w:t xml:space="preserve">RTCL </w:t>
                  </w:r>
                  <w:r w:rsidRPr="00A552C3">
                    <w:rPr>
                      <w:i/>
                      <w:iCs/>
                      <w:sz w:val="20"/>
                      <w:vertAlign w:val="subscript"/>
                    </w:rPr>
                    <w:t>q, r, p</w:t>
                  </w:r>
                </w:p>
              </w:tc>
              <w:tc>
                <w:tcPr>
                  <w:tcW w:w="481" w:type="pct"/>
                </w:tcPr>
                <w:p w14:paraId="40BCD5AF" w14:textId="77777777" w:rsidR="00D81D75" w:rsidRPr="00A552C3" w:rsidRDefault="00D81D75" w:rsidP="00D81D75">
                  <w:pPr>
                    <w:spacing w:after="60"/>
                    <w:rPr>
                      <w:iCs/>
                      <w:sz w:val="20"/>
                    </w:rPr>
                  </w:pPr>
                  <w:r w:rsidRPr="00A552C3">
                    <w:rPr>
                      <w:iCs/>
                      <w:sz w:val="20"/>
                    </w:rPr>
                    <w:t>MWh</w:t>
                  </w:r>
                </w:p>
              </w:tc>
              <w:tc>
                <w:tcPr>
                  <w:tcW w:w="3585" w:type="pct"/>
                </w:tcPr>
                <w:p w14:paraId="275E6EA5" w14:textId="3874542B" w:rsidR="00D81D75" w:rsidRPr="00A552C3" w:rsidRDefault="00D81D75" w:rsidP="00D81D75">
                  <w:pPr>
                    <w:spacing w:after="60"/>
                    <w:rPr>
                      <w:i/>
                      <w:iCs/>
                      <w:sz w:val="20"/>
                    </w:rPr>
                  </w:pPr>
                  <w:r w:rsidRPr="00A552C3">
                    <w:rPr>
                      <w:i/>
                      <w:iCs/>
                      <w:sz w:val="20"/>
                    </w:rPr>
                    <w:t>Real-Time Charging Load per QSE per Resource per Settlement Point</w:t>
                  </w:r>
                  <w:r w:rsidRPr="00A552C3">
                    <w:rPr>
                      <w:iCs/>
                      <w:sz w:val="20"/>
                    </w:rPr>
                    <w:t xml:space="preserve">—The charging load for Resource </w:t>
                  </w:r>
                  <w:r w:rsidRPr="00A552C3">
                    <w:rPr>
                      <w:i/>
                      <w:iCs/>
                      <w:sz w:val="20"/>
                    </w:rPr>
                    <w:t xml:space="preserve">r </w:t>
                  </w:r>
                  <w:r w:rsidRPr="00A552C3">
                    <w:rPr>
                      <w:iCs/>
                      <w:sz w:val="20"/>
                    </w:rPr>
                    <w:t xml:space="preserve">at Resource Node </w:t>
                  </w:r>
                  <w:r w:rsidRPr="00A552C3">
                    <w:rPr>
                      <w:i/>
                      <w:iCs/>
                      <w:sz w:val="20"/>
                    </w:rPr>
                    <w:t xml:space="preserve">p </w:t>
                  </w:r>
                  <w:r w:rsidRPr="00A552C3">
                    <w:rPr>
                      <w:iCs/>
                      <w:sz w:val="20"/>
                    </w:rPr>
                    <w:t xml:space="preserve">represented by the QSE </w:t>
                  </w:r>
                  <w:r w:rsidRPr="00A552C3">
                    <w:rPr>
                      <w:i/>
                      <w:iCs/>
                      <w:sz w:val="20"/>
                    </w:rPr>
                    <w:t xml:space="preserve">q, </w:t>
                  </w:r>
                  <w:r w:rsidRPr="00A552C3">
                    <w:rPr>
                      <w:iCs/>
                      <w:sz w:val="20"/>
                    </w:rPr>
                    <w:t>represented as a negative value,</w:t>
                  </w:r>
                  <w:r w:rsidRPr="00A552C3">
                    <w:rPr>
                      <w:i/>
                      <w:iCs/>
                      <w:sz w:val="20"/>
                    </w:rPr>
                    <w:t xml:space="preserve"> </w:t>
                  </w:r>
                  <w:r w:rsidRPr="00A552C3">
                    <w:rPr>
                      <w:iCs/>
                      <w:sz w:val="20"/>
                    </w:rPr>
                    <w:t xml:space="preserve">for the 15-minute Settlement Interval. </w:t>
                  </w:r>
                </w:p>
              </w:tc>
            </w:tr>
            <w:tr w:rsidR="00D81D75" w:rsidRPr="00A552C3" w14:paraId="70957357" w14:textId="77777777" w:rsidTr="00C952ED">
              <w:trPr>
                <w:cantSplit/>
              </w:trPr>
              <w:tc>
                <w:tcPr>
                  <w:tcW w:w="934" w:type="pct"/>
                </w:tcPr>
                <w:p w14:paraId="3CD85C85" w14:textId="77777777" w:rsidR="00D81D75" w:rsidRPr="00A552C3" w:rsidRDefault="00D81D75" w:rsidP="00D81D75">
                  <w:pPr>
                    <w:spacing w:after="60"/>
                    <w:rPr>
                      <w:iCs/>
                      <w:sz w:val="20"/>
                    </w:rPr>
                  </w:pPr>
                  <w:r w:rsidRPr="00A552C3">
                    <w:rPr>
                      <w:bCs/>
                      <w:sz w:val="20"/>
                    </w:rPr>
                    <w:t>RTRUNET</w:t>
                  </w:r>
                  <w:r w:rsidRPr="00A552C3">
                    <w:rPr>
                      <w:bCs/>
                      <w:iCs/>
                    </w:rPr>
                    <w:t xml:space="preserve"> </w:t>
                  </w:r>
                  <w:r w:rsidRPr="00A552C3">
                    <w:rPr>
                      <w:bCs/>
                      <w:i/>
                      <w:iCs/>
                      <w:vertAlign w:val="subscript"/>
                    </w:rPr>
                    <w:t>q, r</w:t>
                  </w:r>
                </w:p>
              </w:tc>
              <w:tc>
                <w:tcPr>
                  <w:tcW w:w="481" w:type="pct"/>
                </w:tcPr>
                <w:p w14:paraId="5362320E" w14:textId="77777777" w:rsidR="00D81D75" w:rsidRPr="00A552C3" w:rsidRDefault="00D81D75" w:rsidP="00D81D75">
                  <w:pPr>
                    <w:spacing w:after="60"/>
                    <w:rPr>
                      <w:iCs/>
                      <w:sz w:val="20"/>
                    </w:rPr>
                  </w:pPr>
                  <w:r w:rsidRPr="00A552C3">
                    <w:rPr>
                      <w:iCs/>
                      <w:sz w:val="20"/>
                    </w:rPr>
                    <w:t>$</w:t>
                  </w:r>
                </w:p>
              </w:tc>
              <w:tc>
                <w:tcPr>
                  <w:tcW w:w="3585" w:type="pct"/>
                </w:tcPr>
                <w:p w14:paraId="792737D2" w14:textId="260B7CE2" w:rsidR="00D81D75" w:rsidRPr="00A552C3" w:rsidRDefault="00D81D75" w:rsidP="00D81D75">
                  <w:pPr>
                    <w:spacing w:after="60"/>
                    <w:rPr>
                      <w:iCs/>
                      <w:sz w:val="20"/>
                    </w:rPr>
                  </w:pPr>
                  <w:r w:rsidRPr="00A552C3">
                    <w:rPr>
                      <w:i/>
                      <w:iCs/>
                      <w:sz w:val="20"/>
                    </w:rPr>
                    <w:t>Real-Time Reg-Up Net Revenue</w:t>
                  </w:r>
                  <w:r w:rsidR="00207AC3" w:rsidRPr="00A552C3">
                    <w:rPr>
                      <w:iCs/>
                      <w:sz w:val="20"/>
                    </w:rPr>
                    <w:t>—</w:t>
                  </w:r>
                  <w:r w:rsidRPr="00A552C3">
                    <w:rPr>
                      <w:iCs/>
                      <w:sz w:val="20"/>
                    </w:rPr>
                    <w:t xml:space="preserve">The difference between the Real-Time Reg-Up Revenue and the Real-Time Reg-Up Revenue Target for QSE </w:t>
                  </w:r>
                  <w:r w:rsidRPr="00A552C3">
                    <w:rPr>
                      <w:i/>
                      <w:iCs/>
                      <w:sz w:val="20"/>
                    </w:rPr>
                    <w:t>q</w:t>
                  </w:r>
                  <w:r w:rsidRPr="00A552C3">
                    <w:rPr>
                      <w:iCs/>
                      <w:sz w:val="20"/>
                    </w:rPr>
                    <w:t xml:space="preserve">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0EE055EC" w14:textId="77777777" w:rsidTr="00C952ED">
              <w:trPr>
                <w:cantSplit/>
              </w:trPr>
              <w:tc>
                <w:tcPr>
                  <w:tcW w:w="934" w:type="pct"/>
                </w:tcPr>
                <w:p w14:paraId="3076BAC8" w14:textId="77777777" w:rsidR="00D81D75" w:rsidRPr="00A552C3" w:rsidRDefault="00D81D75" w:rsidP="00D81D75">
                  <w:pPr>
                    <w:spacing w:after="60"/>
                    <w:rPr>
                      <w:iCs/>
                      <w:sz w:val="20"/>
                    </w:rPr>
                  </w:pPr>
                  <w:r w:rsidRPr="00A552C3">
                    <w:rPr>
                      <w:bCs/>
                      <w:sz w:val="20"/>
                    </w:rPr>
                    <w:t>RTRDNET</w:t>
                  </w:r>
                  <w:r w:rsidRPr="00A552C3">
                    <w:rPr>
                      <w:bCs/>
                      <w:iCs/>
                    </w:rPr>
                    <w:t xml:space="preserve"> </w:t>
                  </w:r>
                  <w:r w:rsidRPr="00A552C3">
                    <w:rPr>
                      <w:bCs/>
                      <w:i/>
                      <w:iCs/>
                      <w:vertAlign w:val="subscript"/>
                    </w:rPr>
                    <w:t>q, r</w:t>
                  </w:r>
                </w:p>
              </w:tc>
              <w:tc>
                <w:tcPr>
                  <w:tcW w:w="481" w:type="pct"/>
                </w:tcPr>
                <w:p w14:paraId="55E84CF7" w14:textId="77777777" w:rsidR="00D81D75" w:rsidRPr="00A552C3" w:rsidRDefault="00D81D75" w:rsidP="00D81D75">
                  <w:pPr>
                    <w:spacing w:after="60"/>
                    <w:rPr>
                      <w:iCs/>
                      <w:sz w:val="20"/>
                    </w:rPr>
                  </w:pPr>
                  <w:r w:rsidRPr="00A552C3">
                    <w:rPr>
                      <w:iCs/>
                      <w:sz w:val="20"/>
                    </w:rPr>
                    <w:t>$</w:t>
                  </w:r>
                </w:p>
              </w:tc>
              <w:tc>
                <w:tcPr>
                  <w:tcW w:w="3585" w:type="pct"/>
                </w:tcPr>
                <w:p w14:paraId="4BDD966B" w14:textId="29373998" w:rsidR="00D81D75" w:rsidRPr="00A552C3" w:rsidRDefault="00D81D75" w:rsidP="00D81D75">
                  <w:pPr>
                    <w:spacing w:after="60"/>
                    <w:rPr>
                      <w:i/>
                      <w:iCs/>
                      <w:sz w:val="20"/>
                    </w:rPr>
                  </w:pPr>
                  <w:r w:rsidRPr="00A552C3">
                    <w:rPr>
                      <w:i/>
                      <w:iCs/>
                      <w:sz w:val="20"/>
                    </w:rPr>
                    <w:t>Real-Time Reg-Down Net Revenue</w:t>
                  </w:r>
                  <w:r w:rsidR="00207AC3" w:rsidRPr="00A552C3">
                    <w:rPr>
                      <w:iCs/>
                      <w:sz w:val="20"/>
                    </w:rPr>
                    <w:t>—</w:t>
                  </w:r>
                  <w:r w:rsidRPr="00A552C3">
                    <w:rPr>
                      <w:iCs/>
                      <w:sz w:val="20"/>
                    </w:rPr>
                    <w:t xml:space="preserve">The difference between calculated revenue for the Real-Time Reg-Down Revenue and the Real-Time Reg-Down Revenue Target for QSE </w:t>
                  </w:r>
                  <w:r w:rsidRPr="00A552C3">
                    <w:rPr>
                      <w:i/>
                      <w:iCs/>
                      <w:sz w:val="20"/>
                    </w:rPr>
                    <w:t>q</w:t>
                  </w:r>
                  <w:r w:rsidRPr="00A552C3">
                    <w:rPr>
                      <w:iCs/>
                      <w:sz w:val="20"/>
                    </w:rPr>
                    <w:t xml:space="preserve">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53B35826" w14:textId="77777777" w:rsidTr="00C952ED">
              <w:trPr>
                <w:cantSplit/>
              </w:trPr>
              <w:tc>
                <w:tcPr>
                  <w:tcW w:w="934" w:type="pct"/>
                </w:tcPr>
                <w:p w14:paraId="4F4D0A69" w14:textId="77777777" w:rsidR="00D81D75" w:rsidRPr="00A552C3" w:rsidRDefault="00D81D75" w:rsidP="00D81D75">
                  <w:pPr>
                    <w:spacing w:after="60"/>
                    <w:rPr>
                      <w:bCs/>
                      <w:sz w:val="20"/>
                    </w:rPr>
                  </w:pPr>
                  <w:r w:rsidRPr="00A552C3">
                    <w:rPr>
                      <w:bCs/>
                      <w:sz w:val="20"/>
                    </w:rPr>
                    <w:t>RTRRNET</w:t>
                  </w:r>
                  <w:r w:rsidRPr="00A552C3">
                    <w:rPr>
                      <w:bCs/>
                      <w:iCs/>
                    </w:rPr>
                    <w:t xml:space="preserve"> </w:t>
                  </w:r>
                  <w:r w:rsidRPr="00A552C3">
                    <w:rPr>
                      <w:bCs/>
                      <w:i/>
                      <w:iCs/>
                      <w:vertAlign w:val="subscript"/>
                    </w:rPr>
                    <w:t>q, r</w:t>
                  </w:r>
                </w:p>
              </w:tc>
              <w:tc>
                <w:tcPr>
                  <w:tcW w:w="481" w:type="pct"/>
                </w:tcPr>
                <w:p w14:paraId="59954984" w14:textId="77777777" w:rsidR="00D81D75" w:rsidRPr="00A552C3" w:rsidRDefault="00D81D75" w:rsidP="00D81D75">
                  <w:pPr>
                    <w:spacing w:after="60"/>
                    <w:rPr>
                      <w:iCs/>
                      <w:sz w:val="20"/>
                    </w:rPr>
                  </w:pPr>
                  <w:r w:rsidRPr="00A552C3">
                    <w:rPr>
                      <w:iCs/>
                      <w:sz w:val="20"/>
                    </w:rPr>
                    <w:t>$</w:t>
                  </w:r>
                </w:p>
              </w:tc>
              <w:tc>
                <w:tcPr>
                  <w:tcW w:w="3585" w:type="pct"/>
                </w:tcPr>
                <w:p w14:paraId="4F3231F5" w14:textId="2E70EBBF" w:rsidR="00D81D75" w:rsidRPr="00A552C3" w:rsidRDefault="00D81D75" w:rsidP="00D81D75">
                  <w:pPr>
                    <w:spacing w:after="60"/>
                    <w:rPr>
                      <w:i/>
                      <w:iCs/>
                      <w:sz w:val="20"/>
                    </w:rPr>
                  </w:pPr>
                  <w:r w:rsidRPr="00A552C3">
                    <w:rPr>
                      <w:i/>
                      <w:iCs/>
                      <w:sz w:val="20"/>
                    </w:rPr>
                    <w:t>Real-Time Responsive Reserve Net Revenue</w:t>
                  </w:r>
                  <w:r w:rsidR="00207AC3" w:rsidRPr="00A552C3">
                    <w:rPr>
                      <w:iCs/>
                      <w:sz w:val="20"/>
                    </w:rPr>
                    <w:t>—</w:t>
                  </w:r>
                  <w:r w:rsidRPr="00A552C3">
                    <w:rPr>
                      <w:iCs/>
                      <w:sz w:val="20"/>
                    </w:rPr>
                    <w:t xml:space="preserve">The difference between Real-Time RRS Revenue and the Real-Time RRS Revenue Target for QSE </w:t>
                  </w:r>
                  <w:r w:rsidRPr="00A552C3">
                    <w:rPr>
                      <w:i/>
                      <w:iCs/>
                      <w:sz w:val="20"/>
                    </w:rPr>
                    <w:t>q</w:t>
                  </w:r>
                  <w:r w:rsidRPr="00A552C3">
                    <w:rPr>
                      <w:iCs/>
                      <w:sz w:val="20"/>
                    </w:rPr>
                    <w:t xml:space="preserve">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0FC5E400" w14:textId="77777777" w:rsidTr="00C952ED">
              <w:trPr>
                <w:cantSplit/>
              </w:trPr>
              <w:tc>
                <w:tcPr>
                  <w:tcW w:w="934" w:type="pct"/>
                </w:tcPr>
                <w:p w14:paraId="224982F9" w14:textId="77777777" w:rsidR="00D81D75" w:rsidRPr="00A552C3" w:rsidRDefault="00D81D75" w:rsidP="00D81D75">
                  <w:pPr>
                    <w:spacing w:after="60"/>
                    <w:rPr>
                      <w:bCs/>
                      <w:sz w:val="20"/>
                    </w:rPr>
                  </w:pPr>
                  <w:r w:rsidRPr="00A552C3">
                    <w:rPr>
                      <w:bCs/>
                      <w:sz w:val="20"/>
                    </w:rPr>
                    <w:t>RTNSNET</w:t>
                  </w:r>
                  <w:r w:rsidRPr="00A552C3">
                    <w:rPr>
                      <w:bCs/>
                      <w:iCs/>
                    </w:rPr>
                    <w:t xml:space="preserve"> </w:t>
                  </w:r>
                  <w:r w:rsidRPr="00A552C3">
                    <w:rPr>
                      <w:bCs/>
                      <w:i/>
                      <w:iCs/>
                      <w:vertAlign w:val="subscript"/>
                    </w:rPr>
                    <w:t>q, r</w:t>
                  </w:r>
                </w:p>
              </w:tc>
              <w:tc>
                <w:tcPr>
                  <w:tcW w:w="481" w:type="pct"/>
                </w:tcPr>
                <w:p w14:paraId="793243C6" w14:textId="77777777" w:rsidR="00D81D75" w:rsidRPr="00A552C3" w:rsidRDefault="00D81D75" w:rsidP="00D81D75">
                  <w:pPr>
                    <w:spacing w:after="60"/>
                    <w:rPr>
                      <w:iCs/>
                      <w:sz w:val="20"/>
                    </w:rPr>
                  </w:pPr>
                  <w:r w:rsidRPr="00A552C3">
                    <w:rPr>
                      <w:iCs/>
                      <w:sz w:val="20"/>
                    </w:rPr>
                    <w:t>$</w:t>
                  </w:r>
                </w:p>
              </w:tc>
              <w:tc>
                <w:tcPr>
                  <w:tcW w:w="3585" w:type="pct"/>
                </w:tcPr>
                <w:p w14:paraId="185F0169" w14:textId="1654EE0C" w:rsidR="00D81D75" w:rsidRPr="00A552C3" w:rsidRDefault="00D81D75" w:rsidP="00D81D75">
                  <w:pPr>
                    <w:spacing w:after="60"/>
                    <w:rPr>
                      <w:i/>
                      <w:iCs/>
                      <w:sz w:val="20"/>
                    </w:rPr>
                  </w:pPr>
                  <w:r w:rsidRPr="00A552C3">
                    <w:rPr>
                      <w:i/>
                      <w:iCs/>
                      <w:sz w:val="20"/>
                    </w:rPr>
                    <w:t>Real-Time Non-Spin Net Revenue</w:t>
                  </w:r>
                  <w:r w:rsidR="00207AC3" w:rsidRPr="00A552C3">
                    <w:rPr>
                      <w:iCs/>
                      <w:sz w:val="20"/>
                    </w:rPr>
                    <w:t>—</w:t>
                  </w:r>
                  <w:r w:rsidRPr="00A552C3">
                    <w:rPr>
                      <w:iCs/>
                      <w:sz w:val="20"/>
                    </w:rPr>
                    <w:t xml:space="preserve">The difference between Real-Time Non-Spin Revenue and the Real-Time Non-Spin Revenue Target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758AD0A1" w14:textId="77777777" w:rsidTr="00C952ED">
              <w:trPr>
                <w:cantSplit/>
              </w:trPr>
              <w:tc>
                <w:tcPr>
                  <w:tcW w:w="934" w:type="pct"/>
                </w:tcPr>
                <w:p w14:paraId="35C89916" w14:textId="77777777" w:rsidR="00D81D75" w:rsidRPr="00A552C3" w:rsidRDefault="00D81D75" w:rsidP="00D81D75">
                  <w:pPr>
                    <w:spacing w:after="60"/>
                    <w:rPr>
                      <w:bCs/>
                      <w:sz w:val="20"/>
                    </w:rPr>
                  </w:pPr>
                  <w:r w:rsidRPr="00A552C3">
                    <w:rPr>
                      <w:bCs/>
                      <w:sz w:val="20"/>
                    </w:rPr>
                    <w:t>RTECRNET</w:t>
                  </w:r>
                  <w:r w:rsidRPr="00A552C3">
                    <w:rPr>
                      <w:bCs/>
                      <w:iCs/>
                    </w:rPr>
                    <w:t xml:space="preserve"> </w:t>
                  </w:r>
                  <w:r w:rsidRPr="00A552C3">
                    <w:rPr>
                      <w:bCs/>
                      <w:i/>
                      <w:iCs/>
                      <w:vertAlign w:val="subscript"/>
                    </w:rPr>
                    <w:t>q, r</w:t>
                  </w:r>
                </w:p>
              </w:tc>
              <w:tc>
                <w:tcPr>
                  <w:tcW w:w="481" w:type="pct"/>
                </w:tcPr>
                <w:p w14:paraId="6BA5A699" w14:textId="77777777" w:rsidR="00D81D75" w:rsidRPr="00A552C3" w:rsidRDefault="00D81D75" w:rsidP="00D81D75">
                  <w:pPr>
                    <w:spacing w:after="60"/>
                    <w:rPr>
                      <w:iCs/>
                      <w:sz w:val="20"/>
                    </w:rPr>
                  </w:pPr>
                  <w:r w:rsidRPr="00A552C3">
                    <w:rPr>
                      <w:iCs/>
                      <w:sz w:val="20"/>
                    </w:rPr>
                    <w:t>$</w:t>
                  </w:r>
                </w:p>
              </w:tc>
              <w:tc>
                <w:tcPr>
                  <w:tcW w:w="3585" w:type="pct"/>
                </w:tcPr>
                <w:p w14:paraId="4CF531F8" w14:textId="58F82343" w:rsidR="00D81D75" w:rsidRPr="00A552C3" w:rsidRDefault="00D81D75" w:rsidP="00D81D75">
                  <w:pPr>
                    <w:spacing w:after="60"/>
                    <w:rPr>
                      <w:i/>
                      <w:iCs/>
                      <w:sz w:val="20"/>
                    </w:rPr>
                  </w:pPr>
                  <w:r w:rsidRPr="00A552C3">
                    <w:rPr>
                      <w:i/>
                      <w:iCs/>
                      <w:sz w:val="20"/>
                    </w:rPr>
                    <w:t>Real-Time ERCOT Contingency Reserve Service Net Revenue</w:t>
                  </w:r>
                  <w:r w:rsidR="00207AC3" w:rsidRPr="00A552C3">
                    <w:rPr>
                      <w:iCs/>
                      <w:sz w:val="20"/>
                    </w:rPr>
                    <w:t>—</w:t>
                  </w:r>
                  <w:r w:rsidRPr="00A552C3">
                    <w:rPr>
                      <w:iCs/>
                      <w:sz w:val="20"/>
                    </w:rPr>
                    <w:t xml:space="preserve">The difference between Real-Time ECRS Revenue and the Real-Time ECRS Revenue Target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30228147" w14:textId="77777777" w:rsidTr="00C952ED">
              <w:trPr>
                <w:cantSplit/>
              </w:trPr>
              <w:tc>
                <w:tcPr>
                  <w:tcW w:w="934" w:type="pct"/>
                </w:tcPr>
                <w:p w14:paraId="6972B303" w14:textId="77777777" w:rsidR="00D81D75" w:rsidRPr="00A552C3" w:rsidRDefault="00D81D75" w:rsidP="00D81D75">
                  <w:pPr>
                    <w:spacing w:after="60"/>
                    <w:rPr>
                      <w:bCs/>
                      <w:sz w:val="20"/>
                    </w:rPr>
                  </w:pPr>
                  <w:r w:rsidRPr="00A552C3">
                    <w:rPr>
                      <w:iCs/>
                      <w:sz w:val="20"/>
                    </w:rPr>
                    <w:t xml:space="preserve">RTRUREV </w:t>
                  </w:r>
                  <w:r w:rsidRPr="00A552C3">
                    <w:rPr>
                      <w:i/>
                      <w:iCs/>
                      <w:sz w:val="20"/>
                      <w:vertAlign w:val="subscript"/>
                    </w:rPr>
                    <w:t>q, r</w:t>
                  </w:r>
                </w:p>
              </w:tc>
              <w:tc>
                <w:tcPr>
                  <w:tcW w:w="481" w:type="pct"/>
                </w:tcPr>
                <w:p w14:paraId="704A641C" w14:textId="77777777" w:rsidR="00D81D75" w:rsidRPr="00A552C3" w:rsidRDefault="00D81D75" w:rsidP="00D81D75">
                  <w:pPr>
                    <w:spacing w:after="60"/>
                    <w:rPr>
                      <w:iCs/>
                      <w:sz w:val="20"/>
                    </w:rPr>
                  </w:pPr>
                  <w:r w:rsidRPr="00A552C3">
                    <w:rPr>
                      <w:iCs/>
                      <w:sz w:val="20"/>
                    </w:rPr>
                    <w:t>$</w:t>
                  </w:r>
                </w:p>
              </w:tc>
              <w:tc>
                <w:tcPr>
                  <w:tcW w:w="3585" w:type="pct"/>
                </w:tcPr>
                <w:p w14:paraId="70EF8732" w14:textId="0B443D36" w:rsidR="00D81D75" w:rsidRPr="00A552C3" w:rsidRDefault="00D81D75" w:rsidP="00D81D75">
                  <w:pPr>
                    <w:spacing w:after="60"/>
                    <w:rPr>
                      <w:i/>
                      <w:iCs/>
                      <w:sz w:val="20"/>
                    </w:rPr>
                  </w:pPr>
                  <w:r w:rsidRPr="00A552C3">
                    <w:rPr>
                      <w:i/>
                      <w:iCs/>
                      <w:sz w:val="20"/>
                    </w:rPr>
                    <w:t>Real-Time Reg-Up Revenue</w:t>
                  </w:r>
                  <w:r w:rsidRPr="00A552C3">
                    <w:rPr>
                      <w:iCs/>
                      <w:sz w:val="20"/>
                    </w:rPr>
                    <w:t xml:space="preserve">—The calculated Real-Time Reg-Up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33FCBADE" w14:textId="77777777" w:rsidTr="00C952ED">
              <w:trPr>
                <w:cantSplit/>
              </w:trPr>
              <w:tc>
                <w:tcPr>
                  <w:tcW w:w="934" w:type="pct"/>
                </w:tcPr>
                <w:p w14:paraId="36C63ADD" w14:textId="77777777" w:rsidR="00D81D75" w:rsidRPr="00A552C3" w:rsidRDefault="00D81D75" w:rsidP="00D81D75">
                  <w:pPr>
                    <w:spacing w:after="60"/>
                    <w:rPr>
                      <w:bCs/>
                      <w:sz w:val="20"/>
                    </w:rPr>
                  </w:pPr>
                  <w:r w:rsidRPr="00A552C3">
                    <w:rPr>
                      <w:iCs/>
                      <w:sz w:val="20"/>
                    </w:rPr>
                    <w:t xml:space="preserve">RTRDREV </w:t>
                  </w:r>
                  <w:r w:rsidRPr="00A552C3">
                    <w:rPr>
                      <w:i/>
                      <w:iCs/>
                      <w:sz w:val="20"/>
                      <w:vertAlign w:val="subscript"/>
                    </w:rPr>
                    <w:t>q, r</w:t>
                  </w:r>
                </w:p>
              </w:tc>
              <w:tc>
                <w:tcPr>
                  <w:tcW w:w="481" w:type="pct"/>
                </w:tcPr>
                <w:p w14:paraId="6DCD015B" w14:textId="77777777" w:rsidR="00D81D75" w:rsidRPr="00A552C3" w:rsidRDefault="00D81D75" w:rsidP="00D81D75">
                  <w:pPr>
                    <w:spacing w:after="60"/>
                    <w:rPr>
                      <w:iCs/>
                      <w:sz w:val="20"/>
                    </w:rPr>
                  </w:pPr>
                  <w:r w:rsidRPr="00A552C3">
                    <w:rPr>
                      <w:iCs/>
                      <w:sz w:val="20"/>
                    </w:rPr>
                    <w:t>$</w:t>
                  </w:r>
                </w:p>
              </w:tc>
              <w:tc>
                <w:tcPr>
                  <w:tcW w:w="3585" w:type="pct"/>
                </w:tcPr>
                <w:p w14:paraId="6CB9EE6D" w14:textId="4C088E81" w:rsidR="00D81D75" w:rsidRPr="00A552C3" w:rsidRDefault="00D81D75" w:rsidP="00D81D75">
                  <w:pPr>
                    <w:spacing w:after="60"/>
                    <w:rPr>
                      <w:i/>
                      <w:iCs/>
                      <w:sz w:val="20"/>
                    </w:rPr>
                  </w:pPr>
                  <w:r w:rsidRPr="00A552C3">
                    <w:rPr>
                      <w:i/>
                      <w:iCs/>
                      <w:sz w:val="20"/>
                    </w:rPr>
                    <w:t>Real-Time Reg-Down Revenue</w:t>
                  </w:r>
                  <w:r w:rsidRPr="00A552C3">
                    <w:rPr>
                      <w:iCs/>
                      <w:sz w:val="20"/>
                    </w:rPr>
                    <w:t xml:space="preserve">—The calculated Real-Time Reg-Down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0924667D" w14:textId="77777777" w:rsidTr="00C952ED">
              <w:trPr>
                <w:cantSplit/>
              </w:trPr>
              <w:tc>
                <w:tcPr>
                  <w:tcW w:w="934" w:type="pct"/>
                </w:tcPr>
                <w:p w14:paraId="0199A674" w14:textId="77777777" w:rsidR="00D81D75" w:rsidRPr="00A552C3" w:rsidRDefault="00D81D75" w:rsidP="00D81D75">
                  <w:pPr>
                    <w:spacing w:after="60"/>
                    <w:rPr>
                      <w:bCs/>
                      <w:sz w:val="20"/>
                    </w:rPr>
                  </w:pPr>
                  <w:r w:rsidRPr="00A552C3">
                    <w:rPr>
                      <w:iCs/>
                      <w:sz w:val="20"/>
                    </w:rPr>
                    <w:t xml:space="preserve">RTRRREV </w:t>
                  </w:r>
                  <w:r w:rsidRPr="00A552C3">
                    <w:rPr>
                      <w:i/>
                      <w:iCs/>
                      <w:sz w:val="20"/>
                      <w:vertAlign w:val="subscript"/>
                    </w:rPr>
                    <w:t>q, r</w:t>
                  </w:r>
                </w:p>
              </w:tc>
              <w:tc>
                <w:tcPr>
                  <w:tcW w:w="481" w:type="pct"/>
                </w:tcPr>
                <w:p w14:paraId="7E934E68" w14:textId="77777777" w:rsidR="00D81D75" w:rsidRPr="00A552C3" w:rsidRDefault="00D81D75" w:rsidP="00D81D75">
                  <w:pPr>
                    <w:spacing w:after="60"/>
                    <w:rPr>
                      <w:iCs/>
                      <w:sz w:val="20"/>
                    </w:rPr>
                  </w:pPr>
                  <w:r w:rsidRPr="00A552C3">
                    <w:rPr>
                      <w:iCs/>
                      <w:sz w:val="20"/>
                    </w:rPr>
                    <w:t>$</w:t>
                  </w:r>
                </w:p>
              </w:tc>
              <w:tc>
                <w:tcPr>
                  <w:tcW w:w="3585" w:type="pct"/>
                </w:tcPr>
                <w:p w14:paraId="7433FAAB" w14:textId="67752A02" w:rsidR="00D81D75" w:rsidRPr="00A552C3" w:rsidRDefault="00D81D75" w:rsidP="00D81D75">
                  <w:pPr>
                    <w:spacing w:after="60"/>
                    <w:rPr>
                      <w:i/>
                      <w:iCs/>
                      <w:sz w:val="20"/>
                    </w:rPr>
                  </w:pPr>
                  <w:r w:rsidRPr="00A552C3">
                    <w:rPr>
                      <w:i/>
                      <w:iCs/>
                      <w:sz w:val="20"/>
                    </w:rPr>
                    <w:t>Real-Time Responsive Reserve Revenue</w:t>
                  </w:r>
                  <w:r w:rsidRPr="00A552C3">
                    <w:rPr>
                      <w:iCs/>
                      <w:sz w:val="20"/>
                    </w:rPr>
                    <w:t xml:space="preserve">—The calculated Real-Time RRS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68FC6D5C" w14:textId="77777777" w:rsidTr="00C952ED">
              <w:trPr>
                <w:cantSplit/>
              </w:trPr>
              <w:tc>
                <w:tcPr>
                  <w:tcW w:w="934" w:type="pct"/>
                </w:tcPr>
                <w:p w14:paraId="547C8055" w14:textId="77777777" w:rsidR="00D81D75" w:rsidRPr="00A552C3" w:rsidRDefault="00D81D75" w:rsidP="00D81D75">
                  <w:pPr>
                    <w:spacing w:after="60"/>
                    <w:rPr>
                      <w:bCs/>
                      <w:sz w:val="20"/>
                    </w:rPr>
                  </w:pPr>
                  <w:r w:rsidRPr="00A552C3">
                    <w:rPr>
                      <w:iCs/>
                      <w:sz w:val="20"/>
                    </w:rPr>
                    <w:t xml:space="preserve">RTNSREV </w:t>
                  </w:r>
                  <w:r w:rsidRPr="00A552C3">
                    <w:rPr>
                      <w:i/>
                      <w:iCs/>
                      <w:sz w:val="20"/>
                      <w:vertAlign w:val="subscript"/>
                    </w:rPr>
                    <w:t>q, r</w:t>
                  </w:r>
                </w:p>
              </w:tc>
              <w:tc>
                <w:tcPr>
                  <w:tcW w:w="481" w:type="pct"/>
                </w:tcPr>
                <w:p w14:paraId="47541C30" w14:textId="77777777" w:rsidR="00D81D75" w:rsidRPr="00A552C3" w:rsidRDefault="00D81D75" w:rsidP="00D81D75">
                  <w:pPr>
                    <w:spacing w:after="60"/>
                    <w:rPr>
                      <w:iCs/>
                      <w:sz w:val="20"/>
                    </w:rPr>
                  </w:pPr>
                  <w:r w:rsidRPr="00A552C3">
                    <w:rPr>
                      <w:iCs/>
                      <w:sz w:val="20"/>
                    </w:rPr>
                    <w:t>$</w:t>
                  </w:r>
                </w:p>
              </w:tc>
              <w:tc>
                <w:tcPr>
                  <w:tcW w:w="3585" w:type="pct"/>
                </w:tcPr>
                <w:p w14:paraId="00CA3914" w14:textId="340990C5" w:rsidR="00D81D75" w:rsidRPr="00A552C3" w:rsidRDefault="00D81D75" w:rsidP="00D81D75">
                  <w:pPr>
                    <w:spacing w:after="60"/>
                    <w:rPr>
                      <w:i/>
                      <w:iCs/>
                      <w:sz w:val="20"/>
                    </w:rPr>
                  </w:pPr>
                  <w:r w:rsidRPr="00A552C3">
                    <w:rPr>
                      <w:i/>
                      <w:iCs/>
                      <w:sz w:val="20"/>
                    </w:rPr>
                    <w:t>Real-Time Non-Spin Revenue</w:t>
                  </w:r>
                  <w:r w:rsidRPr="00A552C3">
                    <w:rPr>
                      <w:iCs/>
                      <w:sz w:val="20"/>
                    </w:rPr>
                    <w:t xml:space="preserve">—The calculated Real-Time Non-Spin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6416D4C2" w14:textId="77777777" w:rsidTr="00C952ED">
              <w:trPr>
                <w:cantSplit/>
              </w:trPr>
              <w:tc>
                <w:tcPr>
                  <w:tcW w:w="934" w:type="pct"/>
                </w:tcPr>
                <w:p w14:paraId="36FC4BFF" w14:textId="77777777" w:rsidR="00D81D75" w:rsidRPr="00A552C3" w:rsidRDefault="00D81D75" w:rsidP="00D81D75">
                  <w:pPr>
                    <w:spacing w:after="60"/>
                    <w:rPr>
                      <w:bCs/>
                      <w:sz w:val="20"/>
                    </w:rPr>
                  </w:pPr>
                  <w:r w:rsidRPr="00A552C3">
                    <w:rPr>
                      <w:iCs/>
                      <w:sz w:val="20"/>
                    </w:rPr>
                    <w:t xml:space="preserve">RTECRREV </w:t>
                  </w:r>
                  <w:r w:rsidRPr="00A552C3">
                    <w:rPr>
                      <w:i/>
                      <w:iCs/>
                      <w:sz w:val="20"/>
                      <w:vertAlign w:val="subscript"/>
                    </w:rPr>
                    <w:t>q, r</w:t>
                  </w:r>
                </w:p>
              </w:tc>
              <w:tc>
                <w:tcPr>
                  <w:tcW w:w="481" w:type="pct"/>
                </w:tcPr>
                <w:p w14:paraId="07FC5852" w14:textId="77777777" w:rsidR="00D81D75" w:rsidRPr="00A552C3" w:rsidRDefault="00D81D75" w:rsidP="00D81D75">
                  <w:pPr>
                    <w:spacing w:after="60"/>
                    <w:rPr>
                      <w:iCs/>
                      <w:sz w:val="20"/>
                    </w:rPr>
                  </w:pPr>
                  <w:r w:rsidRPr="00A552C3">
                    <w:rPr>
                      <w:iCs/>
                      <w:sz w:val="20"/>
                    </w:rPr>
                    <w:t>$</w:t>
                  </w:r>
                </w:p>
              </w:tc>
              <w:tc>
                <w:tcPr>
                  <w:tcW w:w="3585" w:type="pct"/>
                </w:tcPr>
                <w:p w14:paraId="76D4FDBB" w14:textId="6776D010" w:rsidR="00D81D75" w:rsidRPr="00A552C3" w:rsidRDefault="00D81D75" w:rsidP="00D81D75">
                  <w:pPr>
                    <w:spacing w:after="60"/>
                    <w:rPr>
                      <w:i/>
                      <w:iCs/>
                      <w:sz w:val="20"/>
                    </w:rPr>
                  </w:pPr>
                  <w:r w:rsidRPr="00A552C3">
                    <w:rPr>
                      <w:i/>
                      <w:iCs/>
                      <w:sz w:val="20"/>
                    </w:rPr>
                    <w:t>Real-Time ERCOT Contingency Reserve Service Revenue</w:t>
                  </w:r>
                  <w:r w:rsidRPr="00A552C3">
                    <w:rPr>
                      <w:iCs/>
                      <w:sz w:val="20"/>
                    </w:rPr>
                    <w:t xml:space="preserve">—The calculated Real-Time ECRS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3548CD97" w14:textId="77777777" w:rsidTr="00C952ED">
              <w:trPr>
                <w:cantSplit/>
              </w:trPr>
              <w:tc>
                <w:tcPr>
                  <w:tcW w:w="934" w:type="pct"/>
                </w:tcPr>
                <w:p w14:paraId="5AED10FC" w14:textId="1F404BC6" w:rsidR="00D81D75" w:rsidRPr="00A552C3" w:rsidRDefault="00D81D75" w:rsidP="00D81D75">
                  <w:pPr>
                    <w:spacing w:after="60"/>
                    <w:rPr>
                      <w:bCs/>
                      <w:sz w:val="20"/>
                    </w:rPr>
                  </w:pPr>
                  <w:r w:rsidRPr="00A552C3">
                    <w:rPr>
                      <w:iCs/>
                      <w:sz w:val="20"/>
                    </w:rPr>
                    <w:lastRenderedPageBreak/>
                    <w:t xml:space="preserve">RTRUREVT </w:t>
                  </w:r>
                  <w:r w:rsidRPr="00A552C3">
                    <w:rPr>
                      <w:bCs/>
                      <w:i/>
                      <w:sz w:val="20"/>
                      <w:szCs w:val="16"/>
                      <w:vertAlign w:val="subscript"/>
                    </w:rPr>
                    <w:t>q, r</w:t>
                  </w:r>
                  <w:r w:rsidR="00BD19E2">
                    <w:rPr>
                      <w:bCs/>
                      <w:i/>
                      <w:sz w:val="20"/>
                      <w:szCs w:val="16"/>
                      <w:vertAlign w:val="subscript"/>
                    </w:rPr>
                    <w:t>, p</w:t>
                  </w:r>
                </w:p>
              </w:tc>
              <w:tc>
                <w:tcPr>
                  <w:tcW w:w="481" w:type="pct"/>
                </w:tcPr>
                <w:p w14:paraId="53B16CB6" w14:textId="77777777" w:rsidR="00D81D75" w:rsidRPr="00A552C3" w:rsidRDefault="00D81D75" w:rsidP="00D81D75">
                  <w:pPr>
                    <w:spacing w:after="60"/>
                    <w:rPr>
                      <w:iCs/>
                      <w:sz w:val="20"/>
                    </w:rPr>
                  </w:pPr>
                  <w:r w:rsidRPr="00A552C3">
                    <w:rPr>
                      <w:iCs/>
                      <w:sz w:val="20"/>
                    </w:rPr>
                    <w:t>$</w:t>
                  </w:r>
                </w:p>
              </w:tc>
              <w:tc>
                <w:tcPr>
                  <w:tcW w:w="3585" w:type="pct"/>
                </w:tcPr>
                <w:p w14:paraId="58A461CD" w14:textId="7FD244F8" w:rsidR="00D81D75" w:rsidRPr="00A552C3" w:rsidRDefault="00D81D75" w:rsidP="00D81D75">
                  <w:pPr>
                    <w:spacing w:after="60"/>
                    <w:rPr>
                      <w:iCs/>
                      <w:sz w:val="20"/>
                    </w:rPr>
                  </w:pPr>
                  <w:r w:rsidRPr="00A552C3">
                    <w:rPr>
                      <w:i/>
                      <w:iCs/>
                      <w:sz w:val="20"/>
                    </w:rPr>
                    <w:t>Real-Time Reg-Up Revenue Target</w:t>
                  </w:r>
                  <w:r w:rsidR="003A6CCF" w:rsidRPr="00A552C3">
                    <w:rPr>
                      <w:iCs/>
                      <w:sz w:val="20"/>
                    </w:rPr>
                    <w:t>—</w:t>
                  </w:r>
                  <w:r w:rsidRPr="00A552C3">
                    <w:rPr>
                      <w:iCs/>
                      <w:sz w:val="20"/>
                    </w:rPr>
                    <w:t xml:space="preserve">The revenue target of the Reg-Up award to Resource </w:t>
                  </w:r>
                  <w:r w:rsidRPr="00A552C3">
                    <w:rPr>
                      <w:i/>
                      <w:iCs/>
                      <w:sz w:val="20"/>
                    </w:rPr>
                    <w:t xml:space="preserve">r </w:t>
                  </w:r>
                  <w:r w:rsidR="00BD19E2" w:rsidRPr="00D476E3">
                    <w:rPr>
                      <w:iCs/>
                      <w:sz w:val="20"/>
                    </w:rPr>
                    <w:t xml:space="preserve">at Resource Node </w:t>
                  </w:r>
                  <w:r w:rsidR="00BD19E2" w:rsidRPr="00D476E3">
                    <w:rPr>
                      <w:i/>
                      <w:iCs/>
                      <w:sz w:val="20"/>
                    </w:rPr>
                    <w:t xml:space="preserve">p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65BB6585" w14:textId="77777777" w:rsidTr="00C952ED">
              <w:trPr>
                <w:cantSplit/>
              </w:trPr>
              <w:tc>
                <w:tcPr>
                  <w:tcW w:w="934" w:type="pct"/>
                </w:tcPr>
                <w:p w14:paraId="4503E4B5" w14:textId="0DD1BB96" w:rsidR="00D81D75" w:rsidRPr="00A552C3" w:rsidRDefault="00D81D75" w:rsidP="00D81D75">
                  <w:pPr>
                    <w:spacing w:after="60"/>
                    <w:rPr>
                      <w:bCs/>
                      <w:sz w:val="20"/>
                    </w:rPr>
                  </w:pPr>
                  <w:r w:rsidRPr="00A552C3">
                    <w:rPr>
                      <w:iCs/>
                      <w:sz w:val="20"/>
                    </w:rPr>
                    <w:t xml:space="preserve">RTRDREVT </w:t>
                  </w:r>
                  <w:r w:rsidRPr="00A552C3">
                    <w:rPr>
                      <w:bCs/>
                      <w:i/>
                      <w:sz w:val="20"/>
                      <w:szCs w:val="16"/>
                      <w:vertAlign w:val="subscript"/>
                    </w:rPr>
                    <w:t>q, r</w:t>
                  </w:r>
                  <w:r w:rsidR="00BD19E2">
                    <w:rPr>
                      <w:bCs/>
                      <w:i/>
                      <w:sz w:val="20"/>
                      <w:szCs w:val="16"/>
                      <w:vertAlign w:val="subscript"/>
                    </w:rPr>
                    <w:t>, p</w:t>
                  </w:r>
                </w:p>
              </w:tc>
              <w:tc>
                <w:tcPr>
                  <w:tcW w:w="481" w:type="pct"/>
                </w:tcPr>
                <w:p w14:paraId="4169DF34" w14:textId="77777777" w:rsidR="00D81D75" w:rsidRPr="00A552C3" w:rsidRDefault="00D81D75" w:rsidP="00D81D75">
                  <w:pPr>
                    <w:spacing w:after="60"/>
                    <w:rPr>
                      <w:iCs/>
                      <w:sz w:val="20"/>
                    </w:rPr>
                  </w:pPr>
                  <w:r w:rsidRPr="00A552C3">
                    <w:rPr>
                      <w:iCs/>
                      <w:sz w:val="20"/>
                    </w:rPr>
                    <w:t>$</w:t>
                  </w:r>
                </w:p>
              </w:tc>
              <w:tc>
                <w:tcPr>
                  <w:tcW w:w="3585" w:type="pct"/>
                </w:tcPr>
                <w:p w14:paraId="15A49380" w14:textId="5E41F2A4" w:rsidR="00D81D75" w:rsidRPr="00A552C3" w:rsidRDefault="00D81D75" w:rsidP="00D81D75">
                  <w:pPr>
                    <w:spacing w:after="60"/>
                    <w:rPr>
                      <w:i/>
                      <w:iCs/>
                      <w:sz w:val="20"/>
                    </w:rPr>
                  </w:pPr>
                  <w:r w:rsidRPr="00A552C3">
                    <w:rPr>
                      <w:i/>
                      <w:iCs/>
                      <w:sz w:val="20"/>
                    </w:rPr>
                    <w:t>Real-Time Reg-Down Revenue Target</w:t>
                  </w:r>
                  <w:r w:rsidR="003A6CCF" w:rsidRPr="00A552C3">
                    <w:rPr>
                      <w:iCs/>
                      <w:sz w:val="20"/>
                    </w:rPr>
                    <w:t>—</w:t>
                  </w:r>
                  <w:r w:rsidRPr="00A552C3">
                    <w:rPr>
                      <w:iCs/>
                      <w:sz w:val="20"/>
                    </w:rPr>
                    <w:t xml:space="preserve">The revenue target of the Reg-Down award to Resource </w:t>
                  </w:r>
                  <w:r w:rsidRPr="00A552C3">
                    <w:rPr>
                      <w:i/>
                      <w:iCs/>
                      <w:sz w:val="20"/>
                    </w:rPr>
                    <w:t>r</w:t>
                  </w:r>
                  <w:r w:rsidR="00BD19E2" w:rsidRPr="00D476E3">
                    <w:rPr>
                      <w:iCs/>
                      <w:sz w:val="20"/>
                    </w:rPr>
                    <w:t xml:space="preserve"> at Resource Node </w:t>
                  </w:r>
                  <w:r w:rsidR="00BD19E2" w:rsidRPr="00D476E3">
                    <w:rPr>
                      <w:i/>
                      <w:iCs/>
                      <w:sz w:val="20"/>
                    </w:rPr>
                    <w:t>p</w:t>
                  </w:r>
                  <w:r w:rsidRPr="00A552C3">
                    <w:rPr>
                      <w:i/>
                      <w:iCs/>
                      <w:sz w:val="20"/>
                    </w:rPr>
                    <w:t xml:space="preserve">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72380075" w14:textId="77777777" w:rsidTr="00C952ED">
              <w:trPr>
                <w:cantSplit/>
              </w:trPr>
              <w:tc>
                <w:tcPr>
                  <w:tcW w:w="934" w:type="pct"/>
                </w:tcPr>
                <w:p w14:paraId="61329F38" w14:textId="618D0F8A" w:rsidR="00D81D75" w:rsidRPr="00A552C3" w:rsidRDefault="00D81D75" w:rsidP="00D81D75">
                  <w:pPr>
                    <w:spacing w:after="60"/>
                    <w:rPr>
                      <w:bCs/>
                      <w:sz w:val="20"/>
                    </w:rPr>
                  </w:pPr>
                  <w:r w:rsidRPr="00A552C3">
                    <w:rPr>
                      <w:iCs/>
                      <w:sz w:val="20"/>
                    </w:rPr>
                    <w:t xml:space="preserve">RTRRREVT </w:t>
                  </w:r>
                  <w:r w:rsidRPr="00A552C3">
                    <w:rPr>
                      <w:bCs/>
                      <w:i/>
                      <w:sz w:val="20"/>
                      <w:szCs w:val="16"/>
                      <w:vertAlign w:val="subscript"/>
                    </w:rPr>
                    <w:t>q, r</w:t>
                  </w:r>
                  <w:r w:rsidR="00BD19E2">
                    <w:rPr>
                      <w:bCs/>
                      <w:i/>
                      <w:sz w:val="20"/>
                      <w:szCs w:val="16"/>
                      <w:vertAlign w:val="subscript"/>
                    </w:rPr>
                    <w:t>, p</w:t>
                  </w:r>
                </w:p>
              </w:tc>
              <w:tc>
                <w:tcPr>
                  <w:tcW w:w="481" w:type="pct"/>
                </w:tcPr>
                <w:p w14:paraId="6E130381" w14:textId="77777777" w:rsidR="00D81D75" w:rsidRPr="00A552C3" w:rsidRDefault="00D81D75" w:rsidP="00D81D75">
                  <w:pPr>
                    <w:spacing w:after="60"/>
                    <w:rPr>
                      <w:iCs/>
                      <w:sz w:val="20"/>
                    </w:rPr>
                  </w:pPr>
                  <w:r w:rsidRPr="00A552C3">
                    <w:rPr>
                      <w:iCs/>
                      <w:sz w:val="20"/>
                    </w:rPr>
                    <w:t>$</w:t>
                  </w:r>
                </w:p>
              </w:tc>
              <w:tc>
                <w:tcPr>
                  <w:tcW w:w="3585" w:type="pct"/>
                </w:tcPr>
                <w:p w14:paraId="6A7A55BC" w14:textId="674B444A" w:rsidR="00D81D75" w:rsidRPr="00A552C3" w:rsidRDefault="00D81D75" w:rsidP="00D81D75">
                  <w:pPr>
                    <w:spacing w:after="60"/>
                    <w:rPr>
                      <w:i/>
                      <w:iCs/>
                      <w:sz w:val="20"/>
                    </w:rPr>
                  </w:pPr>
                  <w:r w:rsidRPr="00A552C3">
                    <w:rPr>
                      <w:i/>
                      <w:iCs/>
                      <w:sz w:val="20"/>
                    </w:rPr>
                    <w:t>Real-Time Responsive Reserve Revenue Target</w:t>
                  </w:r>
                  <w:r w:rsidR="003A6CCF" w:rsidRPr="00A552C3">
                    <w:rPr>
                      <w:iCs/>
                      <w:sz w:val="20"/>
                    </w:rPr>
                    <w:t>—</w:t>
                  </w:r>
                  <w:r w:rsidRPr="00A552C3">
                    <w:rPr>
                      <w:iCs/>
                      <w:sz w:val="20"/>
                    </w:rPr>
                    <w:t xml:space="preserve">The revenue target of the RRS award to Resource </w:t>
                  </w:r>
                  <w:r w:rsidRPr="00A552C3">
                    <w:rPr>
                      <w:i/>
                      <w:iCs/>
                      <w:sz w:val="20"/>
                    </w:rPr>
                    <w:t>r</w:t>
                  </w:r>
                  <w:r w:rsidR="00BD19E2" w:rsidRPr="00D476E3">
                    <w:rPr>
                      <w:iCs/>
                      <w:sz w:val="20"/>
                    </w:rPr>
                    <w:t xml:space="preserve"> at Resource Node </w:t>
                  </w:r>
                  <w:r w:rsidR="00BD19E2" w:rsidRPr="00D476E3">
                    <w:rPr>
                      <w:i/>
                      <w:iCs/>
                      <w:sz w:val="20"/>
                    </w:rPr>
                    <w:t>p</w:t>
                  </w:r>
                  <w:r w:rsidRPr="00A552C3">
                    <w:rPr>
                      <w:i/>
                      <w:iCs/>
                      <w:sz w:val="20"/>
                    </w:rPr>
                    <w:t xml:space="preserve">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5C3371FE" w14:textId="77777777" w:rsidTr="00C952ED">
              <w:trPr>
                <w:cantSplit/>
              </w:trPr>
              <w:tc>
                <w:tcPr>
                  <w:tcW w:w="934" w:type="pct"/>
                </w:tcPr>
                <w:p w14:paraId="69768FAC" w14:textId="473F4968" w:rsidR="00D81D75" w:rsidRPr="00A552C3" w:rsidRDefault="00D81D75" w:rsidP="00D81D75">
                  <w:pPr>
                    <w:spacing w:after="60"/>
                    <w:rPr>
                      <w:iCs/>
                      <w:sz w:val="20"/>
                    </w:rPr>
                  </w:pPr>
                  <w:r w:rsidRPr="00A552C3">
                    <w:rPr>
                      <w:iCs/>
                      <w:sz w:val="20"/>
                    </w:rPr>
                    <w:t xml:space="preserve">RTNSREVT </w:t>
                  </w:r>
                  <w:r w:rsidRPr="00A552C3">
                    <w:rPr>
                      <w:bCs/>
                      <w:i/>
                      <w:sz w:val="20"/>
                      <w:szCs w:val="16"/>
                      <w:vertAlign w:val="subscript"/>
                    </w:rPr>
                    <w:t>q, r</w:t>
                  </w:r>
                  <w:r w:rsidR="00BD19E2">
                    <w:rPr>
                      <w:bCs/>
                      <w:i/>
                      <w:sz w:val="20"/>
                      <w:szCs w:val="16"/>
                      <w:vertAlign w:val="subscript"/>
                    </w:rPr>
                    <w:t>, p</w:t>
                  </w:r>
                </w:p>
              </w:tc>
              <w:tc>
                <w:tcPr>
                  <w:tcW w:w="481" w:type="pct"/>
                </w:tcPr>
                <w:p w14:paraId="0472AD67" w14:textId="77777777" w:rsidR="00D81D75" w:rsidRPr="00A552C3" w:rsidRDefault="00D81D75" w:rsidP="00D81D75">
                  <w:pPr>
                    <w:spacing w:after="60"/>
                    <w:rPr>
                      <w:iCs/>
                      <w:sz w:val="20"/>
                    </w:rPr>
                  </w:pPr>
                  <w:r w:rsidRPr="00A552C3">
                    <w:rPr>
                      <w:iCs/>
                      <w:sz w:val="20"/>
                    </w:rPr>
                    <w:t>$</w:t>
                  </w:r>
                </w:p>
              </w:tc>
              <w:tc>
                <w:tcPr>
                  <w:tcW w:w="3585" w:type="pct"/>
                </w:tcPr>
                <w:p w14:paraId="3E72FBD2" w14:textId="69432AD5" w:rsidR="00D81D75" w:rsidRPr="00A552C3" w:rsidRDefault="00D81D75" w:rsidP="00D81D75">
                  <w:pPr>
                    <w:spacing w:after="60"/>
                    <w:rPr>
                      <w:i/>
                      <w:iCs/>
                      <w:sz w:val="20"/>
                    </w:rPr>
                  </w:pPr>
                  <w:r w:rsidRPr="00A552C3">
                    <w:rPr>
                      <w:i/>
                      <w:iCs/>
                      <w:sz w:val="20"/>
                    </w:rPr>
                    <w:t>Real-Time Non-Spin Revenue Target</w:t>
                  </w:r>
                  <w:r w:rsidR="003A6CCF" w:rsidRPr="00A552C3">
                    <w:rPr>
                      <w:iCs/>
                      <w:sz w:val="20"/>
                    </w:rPr>
                    <w:t>—</w:t>
                  </w:r>
                  <w:r w:rsidRPr="00A552C3">
                    <w:rPr>
                      <w:iCs/>
                      <w:sz w:val="20"/>
                    </w:rPr>
                    <w:t xml:space="preserve">The revenue target of the Non-Spin award to Resource </w:t>
                  </w:r>
                  <w:r w:rsidRPr="00A552C3">
                    <w:rPr>
                      <w:i/>
                      <w:iCs/>
                      <w:sz w:val="20"/>
                    </w:rPr>
                    <w:t>r</w:t>
                  </w:r>
                  <w:r w:rsidR="00BD19E2" w:rsidRPr="00D476E3">
                    <w:rPr>
                      <w:iCs/>
                      <w:sz w:val="20"/>
                    </w:rPr>
                    <w:t xml:space="preserve"> at Resource Node </w:t>
                  </w:r>
                  <w:r w:rsidR="00BD19E2" w:rsidRPr="00D476E3">
                    <w:rPr>
                      <w:i/>
                      <w:iCs/>
                      <w:sz w:val="20"/>
                    </w:rPr>
                    <w:t>p</w:t>
                  </w:r>
                  <w:r w:rsidRPr="00A552C3">
                    <w:rPr>
                      <w:i/>
                      <w:iCs/>
                      <w:sz w:val="20"/>
                    </w:rPr>
                    <w:t xml:space="preserve">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310B111A" w14:textId="77777777" w:rsidTr="00C952ED">
              <w:trPr>
                <w:cantSplit/>
              </w:trPr>
              <w:tc>
                <w:tcPr>
                  <w:tcW w:w="934" w:type="pct"/>
                </w:tcPr>
                <w:p w14:paraId="3CA8FAC9" w14:textId="51AE8B7F" w:rsidR="00D81D75" w:rsidRPr="00A552C3" w:rsidRDefault="00D81D75" w:rsidP="00D81D75">
                  <w:pPr>
                    <w:spacing w:after="60"/>
                    <w:rPr>
                      <w:iCs/>
                      <w:sz w:val="20"/>
                    </w:rPr>
                  </w:pPr>
                  <w:r w:rsidRPr="00A552C3">
                    <w:rPr>
                      <w:iCs/>
                      <w:sz w:val="20"/>
                    </w:rPr>
                    <w:t xml:space="preserve">RTECRREVT </w:t>
                  </w:r>
                  <w:r w:rsidRPr="00A552C3">
                    <w:rPr>
                      <w:bCs/>
                      <w:i/>
                      <w:sz w:val="20"/>
                      <w:szCs w:val="16"/>
                      <w:vertAlign w:val="subscript"/>
                    </w:rPr>
                    <w:t>q, r</w:t>
                  </w:r>
                  <w:r w:rsidR="00BD19E2">
                    <w:rPr>
                      <w:bCs/>
                      <w:i/>
                      <w:sz w:val="20"/>
                      <w:szCs w:val="16"/>
                      <w:vertAlign w:val="subscript"/>
                    </w:rPr>
                    <w:t>, p</w:t>
                  </w:r>
                </w:p>
              </w:tc>
              <w:tc>
                <w:tcPr>
                  <w:tcW w:w="481" w:type="pct"/>
                </w:tcPr>
                <w:p w14:paraId="39A9BEDF" w14:textId="77777777" w:rsidR="00D81D75" w:rsidRPr="00A552C3" w:rsidRDefault="00D81D75" w:rsidP="00D81D75">
                  <w:pPr>
                    <w:spacing w:after="60"/>
                    <w:rPr>
                      <w:iCs/>
                      <w:sz w:val="20"/>
                    </w:rPr>
                  </w:pPr>
                  <w:r w:rsidRPr="00A552C3">
                    <w:rPr>
                      <w:iCs/>
                      <w:sz w:val="20"/>
                    </w:rPr>
                    <w:t>$</w:t>
                  </w:r>
                </w:p>
              </w:tc>
              <w:tc>
                <w:tcPr>
                  <w:tcW w:w="3585" w:type="pct"/>
                </w:tcPr>
                <w:p w14:paraId="400C4049" w14:textId="29A8CB45" w:rsidR="00D81D75" w:rsidRPr="00A552C3" w:rsidRDefault="00D81D75" w:rsidP="00D81D75">
                  <w:pPr>
                    <w:spacing w:after="60"/>
                    <w:rPr>
                      <w:i/>
                      <w:iCs/>
                      <w:sz w:val="20"/>
                    </w:rPr>
                  </w:pPr>
                  <w:r w:rsidRPr="00A552C3">
                    <w:rPr>
                      <w:i/>
                      <w:iCs/>
                      <w:sz w:val="20"/>
                    </w:rPr>
                    <w:t>Real-Time ERCOT Contingency Reserve Service Revenue Target</w:t>
                  </w:r>
                  <w:r w:rsidR="003A6CCF" w:rsidRPr="00A552C3">
                    <w:rPr>
                      <w:iCs/>
                      <w:sz w:val="20"/>
                    </w:rPr>
                    <w:t>—</w:t>
                  </w:r>
                  <w:r w:rsidRPr="00A552C3">
                    <w:rPr>
                      <w:iCs/>
                      <w:sz w:val="20"/>
                    </w:rPr>
                    <w:t xml:space="preserve">The revenue target of the ECRS award to Resource </w:t>
                  </w:r>
                  <w:r w:rsidRPr="00A552C3">
                    <w:rPr>
                      <w:i/>
                      <w:iCs/>
                      <w:sz w:val="20"/>
                    </w:rPr>
                    <w:t>r</w:t>
                  </w:r>
                  <w:r w:rsidR="00BD19E2" w:rsidRPr="00D476E3">
                    <w:rPr>
                      <w:iCs/>
                      <w:sz w:val="20"/>
                    </w:rPr>
                    <w:t xml:space="preserve"> at Resource Node </w:t>
                  </w:r>
                  <w:r w:rsidR="00BD19E2" w:rsidRPr="00D476E3">
                    <w:rPr>
                      <w:i/>
                      <w:iCs/>
                      <w:sz w:val="20"/>
                    </w:rPr>
                    <w:t>p</w:t>
                  </w:r>
                  <w:r w:rsidRPr="00A552C3">
                    <w:rPr>
                      <w:i/>
                      <w:iCs/>
                      <w:sz w:val="20"/>
                    </w:rPr>
                    <w:t xml:space="preserve">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098E7F05" w14:textId="77777777" w:rsidTr="00C952ED">
              <w:trPr>
                <w:cantSplit/>
              </w:trPr>
              <w:tc>
                <w:tcPr>
                  <w:tcW w:w="934" w:type="pct"/>
                </w:tcPr>
                <w:p w14:paraId="109BF175" w14:textId="77777777" w:rsidR="00D81D75" w:rsidRPr="00A552C3" w:rsidRDefault="00D81D75" w:rsidP="00D81D75">
                  <w:pPr>
                    <w:spacing w:after="60"/>
                    <w:rPr>
                      <w:iCs/>
                      <w:sz w:val="20"/>
                    </w:rPr>
                  </w:pPr>
                  <w:r w:rsidRPr="00A552C3">
                    <w:rPr>
                      <w:iCs/>
                      <w:sz w:val="20"/>
                      <w:lang w:val="pt-BR"/>
                    </w:rPr>
                    <w:t xml:space="preserve">RTRUWAPR </w:t>
                  </w:r>
                  <w:r w:rsidRPr="00A552C3">
                    <w:rPr>
                      <w:i/>
                      <w:iCs/>
                      <w:sz w:val="20"/>
                      <w:vertAlign w:val="subscript"/>
                      <w:lang w:val="pt-BR"/>
                    </w:rPr>
                    <w:t>q, r, p</w:t>
                  </w:r>
                </w:p>
              </w:tc>
              <w:tc>
                <w:tcPr>
                  <w:tcW w:w="481" w:type="pct"/>
                </w:tcPr>
                <w:p w14:paraId="498AD545" w14:textId="77777777" w:rsidR="00D81D75" w:rsidRPr="00A552C3" w:rsidRDefault="00D81D75" w:rsidP="00D81D75">
                  <w:pPr>
                    <w:spacing w:after="60"/>
                    <w:rPr>
                      <w:iCs/>
                      <w:sz w:val="20"/>
                    </w:rPr>
                  </w:pPr>
                  <w:r w:rsidRPr="00A552C3">
                    <w:rPr>
                      <w:iCs/>
                      <w:sz w:val="20"/>
                    </w:rPr>
                    <w:t>$/MW</w:t>
                  </w:r>
                </w:p>
              </w:tc>
              <w:tc>
                <w:tcPr>
                  <w:tcW w:w="3585" w:type="pct"/>
                </w:tcPr>
                <w:p w14:paraId="6E2481A5" w14:textId="0FC5E41D" w:rsidR="00D81D75" w:rsidRPr="00A552C3" w:rsidRDefault="00D81D75" w:rsidP="00D81D75">
                  <w:pPr>
                    <w:spacing w:after="60"/>
                    <w:rPr>
                      <w:iCs/>
                      <w:sz w:val="20"/>
                    </w:rPr>
                  </w:pPr>
                  <w:r w:rsidRPr="00A552C3">
                    <w:rPr>
                      <w:i/>
                      <w:iCs/>
                      <w:sz w:val="20"/>
                    </w:rPr>
                    <w:t>Real-Time Reg-Up Weighted-Average Price</w:t>
                  </w:r>
                  <w:r w:rsidR="003A6CCF" w:rsidRPr="00A552C3">
                    <w:rPr>
                      <w:iCs/>
                      <w:sz w:val="20"/>
                    </w:rPr>
                    <w:t>—</w:t>
                  </w:r>
                  <w:r w:rsidRPr="00A552C3">
                    <w:rPr>
                      <w:iCs/>
                      <w:sz w:val="20"/>
                    </w:rPr>
                    <w:t xml:space="preserve">The weighted average of the Ancillary Service Offer prices corresponding with the Reg-Up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8AB024A" w14:textId="77777777" w:rsidTr="00C952ED">
              <w:trPr>
                <w:cantSplit/>
              </w:trPr>
              <w:tc>
                <w:tcPr>
                  <w:tcW w:w="934" w:type="pct"/>
                </w:tcPr>
                <w:p w14:paraId="3AABA1D5" w14:textId="77777777" w:rsidR="00D81D75" w:rsidRPr="00A552C3" w:rsidRDefault="00D81D75" w:rsidP="00D81D75">
                  <w:pPr>
                    <w:spacing w:after="60"/>
                    <w:rPr>
                      <w:iCs/>
                      <w:sz w:val="20"/>
                    </w:rPr>
                  </w:pPr>
                  <w:r w:rsidRPr="00A552C3">
                    <w:rPr>
                      <w:iCs/>
                      <w:sz w:val="20"/>
                      <w:lang w:val="pt-BR"/>
                    </w:rPr>
                    <w:t xml:space="preserve">RTRDWAPR </w:t>
                  </w:r>
                  <w:r w:rsidRPr="00A552C3">
                    <w:rPr>
                      <w:i/>
                      <w:iCs/>
                      <w:sz w:val="20"/>
                      <w:vertAlign w:val="subscript"/>
                      <w:lang w:val="pt-BR"/>
                    </w:rPr>
                    <w:t>q, r, p</w:t>
                  </w:r>
                </w:p>
              </w:tc>
              <w:tc>
                <w:tcPr>
                  <w:tcW w:w="481" w:type="pct"/>
                </w:tcPr>
                <w:p w14:paraId="656C3900" w14:textId="77777777" w:rsidR="00D81D75" w:rsidRPr="00A552C3" w:rsidRDefault="00D81D75" w:rsidP="00D81D75">
                  <w:pPr>
                    <w:spacing w:after="60"/>
                    <w:rPr>
                      <w:iCs/>
                      <w:sz w:val="20"/>
                    </w:rPr>
                  </w:pPr>
                  <w:r w:rsidRPr="00A552C3">
                    <w:rPr>
                      <w:iCs/>
                      <w:sz w:val="20"/>
                    </w:rPr>
                    <w:t>$/MW</w:t>
                  </w:r>
                </w:p>
              </w:tc>
              <w:tc>
                <w:tcPr>
                  <w:tcW w:w="3585" w:type="pct"/>
                </w:tcPr>
                <w:p w14:paraId="03D39FED" w14:textId="75B5B7DF" w:rsidR="00D81D75" w:rsidRPr="00A552C3" w:rsidRDefault="00D81D75" w:rsidP="00D81D75">
                  <w:pPr>
                    <w:spacing w:after="60"/>
                    <w:rPr>
                      <w:i/>
                      <w:iCs/>
                      <w:sz w:val="20"/>
                    </w:rPr>
                  </w:pPr>
                  <w:r w:rsidRPr="00A552C3">
                    <w:rPr>
                      <w:i/>
                      <w:iCs/>
                      <w:sz w:val="20"/>
                    </w:rPr>
                    <w:t>Real-Time Reg-Down Weighted-Average Price</w:t>
                  </w:r>
                  <w:r w:rsidR="003A6CCF" w:rsidRPr="00A552C3">
                    <w:rPr>
                      <w:iCs/>
                      <w:sz w:val="20"/>
                    </w:rPr>
                    <w:t>—</w:t>
                  </w:r>
                  <w:r w:rsidRPr="00A552C3">
                    <w:rPr>
                      <w:iCs/>
                      <w:sz w:val="20"/>
                    </w:rPr>
                    <w:t xml:space="preserve">The weighted average of the Ancillary Service Offer prices corresponding with the Reg-Down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D52ACCA" w14:textId="77777777" w:rsidTr="00C952ED">
              <w:trPr>
                <w:cantSplit/>
              </w:trPr>
              <w:tc>
                <w:tcPr>
                  <w:tcW w:w="934" w:type="pct"/>
                </w:tcPr>
                <w:p w14:paraId="0383BDC2" w14:textId="77777777" w:rsidR="00D81D75" w:rsidRPr="00A552C3" w:rsidRDefault="00D81D75" w:rsidP="00D81D75">
                  <w:pPr>
                    <w:spacing w:after="60"/>
                    <w:rPr>
                      <w:iCs/>
                      <w:sz w:val="20"/>
                    </w:rPr>
                  </w:pPr>
                  <w:r w:rsidRPr="00A552C3">
                    <w:rPr>
                      <w:iCs/>
                      <w:sz w:val="20"/>
                      <w:lang w:val="pt-BR"/>
                    </w:rPr>
                    <w:t xml:space="preserve">RTRRWAPR </w:t>
                  </w:r>
                  <w:r w:rsidRPr="00A552C3">
                    <w:rPr>
                      <w:i/>
                      <w:iCs/>
                      <w:sz w:val="20"/>
                      <w:vertAlign w:val="subscript"/>
                      <w:lang w:val="pt-BR"/>
                    </w:rPr>
                    <w:t>q, r, p</w:t>
                  </w:r>
                </w:p>
              </w:tc>
              <w:tc>
                <w:tcPr>
                  <w:tcW w:w="481" w:type="pct"/>
                </w:tcPr>
                <w:p w14:paraId="70136C07" w14:textId="77777777" w:rsidR="00D81D75" w:rsidRPr="00A552C3" w:rsidRDefault="00D81D75" w:rsidP="00D81D75">
                  <w:pPr>
                    <w:spacing w:after="60"/>
                    <w:rPr>
                      <w:iCs/>
                      <w:sz w:val="20"/>
                    </w:rPr>
                  </w:pPr>
                  <w:r w:rsidRPr="00A552C3">
                    <w:rPr>
                      <w:iCs/>
                      <w:sz w:val="20"/>
                    </w:rPr>
                    <w:t>$/MW</w:t>
                  </w:r>
                </w:p>
              </w:tc>
              <w:tc>
                <w:tcPr>
                  <w:tcW w:w="3585" w:type="pct"/>
                </w:tcPr>
                <w:p w14:paraId="34243D5B" w14:textId="5D575B65" w:rsidR="00D81D75" w:rsidRPr="00A552C3" w:rsidRDefault="00D81D75" w:rsidP="00D81D75">
                  <w:pPr>
                    <w:spacing w:after="60"/>
                    <w:rPr>
                      <w:i/>
                      <w:iCs/>
                      <w:sz w:val="20"/>
                    </w:rPr>
                  </w:pPr>
                  <w:r w:rsidRPr="00A552C3">
                    <w:rPr>
                      <w:i/>
                      <w:iCs/>
                      <w:sz w:val="20"/>
                    </w:rPr>
                    <w:t>Real-Time Responsive Reserve Weighted-Average Price</w:t>
                  </w:r>
                  <w:r w:rsidR="003A6CCF" w:rsidRPr="00A552C3">
                    <w:rPr>
                      <w:iCs/>
                      <w:sz w:val="20"/>
                    </w:rPr>
                    <w:t>—</w:t>
                  </w:r>
                  <w:r w:rsidRPr="00A552C3">
                    <w:rPr>
                      <w:iCs/>
                      <w:sz w:val="20"/>
                    </w:rPr>
                    <w:t xml:space="preserve">The weighted average of the Ancillary Service Offer prices corresponding with the RRS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1FA78334" w14:textId="77777777" w:rsidTr="00C952ED">
              <w:trPr>
                <w:cantSplit/>
              </w:trPr>
              <w:tc>
                <w:tcPr>
                  <w:tcW w:w="934" w:type="pct"/>
                </w:tcPr>
                <w:p w14:paraId="17BBAE55" w14:textId="77777777" w:rsidR="00D81D75" w:rsidRPr="00A552C3" w:rsidRDefault="00D81D75" w:rsidP="00D81D75">
                  <w:pPr>
                    <w:spacing w:after="60"/>
                    <w:rPr>
                      <w:iCs/>
                      <w:sz w:val="20"/>
                    </w:rPr>
                  </w:pPr>
                  <w:r w:rsidRPr="00A552C3">
                    <w:rPr>
                      <w:iCs/>
                      <w:sz w:val="20"/>
                      <w:lang w:val="pt-BR"/>
                    </w:rPr>
                    <w:t xml:space="preserve">RTNSWAPR </w:t>
                  </w:r>
                  <w:r w:rsidRPr="00A552C3">
                    <w:rPr>
                      <w:i/>
                      <w:iCs/>
                      <w:sz w:val="20"/>
                      <w:vertAlign w:val="subscript"/>
                      <w:lang w:val="pt-BR"/>
                    </w:rPr>
                    <w:t>q, r, p</w:t>
                  </w:r>
                </w:p>
              </w:tc>
              <w:tc>
                <w:tcPr>
                  <w:tcW w:w="481" w:type="pct"/>
                </w:tcPr>
                <w:p w14:paraId="161BAA8E" w14:textId="77777777" w:rsidR="00D81D75" w:rsidRPr="00A552C3" w:rsidRDefault="00D81D75" w:rsidP="00D81D75">
                  <w:pPr>
                    <w:spacing w:after="60"/>
                    <w:rPr>
                      <w:iCs/>
                      <w:sz w:val="20"/>
                    </w:rPr>
                  </w:pPr>
                  <w:r w:rsidRPr="00A552C3">
                    <w:rPr>
                      <w:iCs/>
                      <w:sz w:val="20"/>
                    </w:rPr>
                    <w:t>$/MW</w:t>
                  </w:r>
                </w:p>
              </w:tc>
              <w:tc>
                <w:tcPr>
                  <w:tcW w:w="3585" w:type="pct"/>
                </w:tcPr>
                <w:p w14:paraId="3E6ABB7D" w14:textId="35B761A2" w:rsidR="00D81D75" w:rsidRPr="00A552C3" w:rsidRDefault="00D81D75" w:rsidP="00D81D75">
                  <w:pPr>
                    <w:spacing w:after="60"/>
                    <w:rPr>
                      <w:i/>
                      <w:iCs/>
                      <w:sz w:val="20"/>
                    </w:rPr>
                  </w:pPr>
                  <w:r w:rsidRPr="00A552C3">
                    <w:rPr>
                      <w:i/>
                      <w:iCs/>
                      <w:sz w:val="20"/>
                    </w:rPr>
                    <w:t>Real-Time Non-Spin Weighted-Average Price</w:t>
                  </w:r>
                  <w:r w:rsidR="003A6CCF" w:rsidRPr="00A552C3">
                    <w:rPr>
                      <w:iCs/>
                      <w:sz w:val="20"/>
                    </w:rPr>
                    <w:t>—</w:t>
                  </w:r>
                  <w:r w:rsidRPr="00A552C3">
                    <w:rPr>
                      <w:iCs/>
                      <w:sz w:val="20"/>
                    </w:rPr>
                    <w:t xml:space="preserve">The weighted average of the Ancillary Service Offer prices corresponding with the Non-Spin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29841FA7" w14:textId="77777777" w:rsidTr="00C952ED">
              <w:trPr>
                <w:cantSplit/>
              </w:trPr>
              <w:tc>
                <w:tcPr>
                  <w:tcW w:w="934" w:type="pct"/>
                </w:tcPr>
                <w:p w14:paraId="78611EBB" w14:textId="77777777" w:rsidR="00D81D75" w:rsidRPr="00A552C3" w:rsidRDefault="00D81D75" w:rsidP="00D81D75">
                  <w:pPr>
                    <w:spacing w:after="60"/>
                    <w:rPr>
                      <w:iCs/>
                      <w:sz w:val="20"/>
                      <w:lang w:val="pt-BR"/>
                    </w:rPr>
                  </w:pPr>
                  <w:r w:rsidRPr="00A552C3">
                    <w:rPr>
                      <w:iCs/>
                      <w:sz w:val="20"/>
                      <w:lang w:val="pt-BR"/>
                    </w:rPr>
                    <w:t xml:space="preserve">RTECRWAPR </w:t>
                  </w:r>
                  <w:r w:rsidRPr="00A552C3">
                    <w:rPr>
                      <w:i/>
                      <w:iCs/>
                      <w:sz w:val="20"/>
                      <w:vertAlign w:val="subscript"/>
                      <w:lang w:val="pt-BR"/>
                    </w:rPr>
                    <w:t>q, r, p</w:t>
                  </w:r>
                </w:p>
              </w:tc>
              <w:tc>
                <w:tcPr>
                  <w:tcW w:w="481" w:type="pct"/>
                </w:tcPr>
                <w:p w14:paraId="40E4D8A8" w14:textId="77777777" w:rsidR="00D81D75" w:rsidRPr="00A552C3" w:rsidRDefault="00D81D75" w:rsidP="00D81D75">
                  <w:pPr>
                    <w:spacing w:after="60"/>
                    <w:rPr>
                      <w:iCs/>
                      <w:sz w:val="20"/>
                    </w:rPr>
                  </w:pPr>
                  <w:r w:rsidRPr="00A552C3">
                    <w:rPr>
                      <w:iCs/>
                      <w:sz w:val="20"/>
                    </w:rPr>
                    <w:t>$/MW</w:t>
                  </w:r>
                </w:p>
              </w:tc>
              <w:tc>
                <w:tcPr>
                  <w:tcW w:w="3585" w:type="pct"/>
                </w:tcPr>
                <w:p w14:paraId="26586E17" w14:textId="417EA56C" w:rsidR="00D81D75" w:rsidRPr="00A552C3" w:rsidRDefault="00D81D75" w:rsidP="00D81D75">
                  <w:pPr>
                    <w:spacing w:after="60"/>
                    <w:rPr>
                      <w:i/>
                      <w:iCs/>
                      <w:sz w:val="20"/>
                    </w:rPr>
                  </w:pPr>
                  <w:r w:rsidRPr="00A552C3">
                    <w:rPr>
                      <w:i/>
                      <w:iCs/>
                      <w:sz w:val="20"/>
                    </w:rPr>
                    <w:t>Real-Time ERCOT Contingency Reserve Service Weighted-Average Price</w:t>
                  </w:r>
                  <w:r w:rsidR="00AE1531" w:rsidRPr="00A552C3">
                    <w:rPr>
                      <w:iCs/>
                      <w:sz w:val="20"/>
                    </w:rPr>
                    <w:t>—</w:t>
                  </w:r>
                  <w:r w:rsidRPr="00A552C3">
                    <w:rPr>
                      <w:iCs/>
                      <w:sz w:val="20"/>
                    </w:rPr>
                    <w:t xml:space="preserve">The weighted average of the Ancillary Service Offer prices corresponding with the ECRS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B8CA269" w14:textId="77777777" w:rsidTr="00C952ED">
              <w:trPr>
                <w:cantSplit/>
              </w:trPr>
              <w:tc>
                <w:tcPr>
                  <w:tcW w:w="934" w:type="pct"/>
                </w:tcPr>
                <w:p w14:paraId="4CBF2574" w14:textId="77777777" w:rsidR="00D81D75" w:rsidRPr="00A552C3" w:rsidRDefault="00D81D75" w:rsidP="00D81D75">
                  <w:pPr>
                    <w:spacing w:after="60"/>
                    <w:rPr>
                      <w:iCs/>
                      <w:sz w:val="20"/>
                      <w:lang w:val="pt-BR"/>
                    </w:rPr>
                  </w:pPr>
                  <w:r w:rsidRPr="00A552C3">
                    <w:rPr>
                      <w:iCs/>
                      <w:sz w:val="20"/>
                    </w:rPr>
                    <w:t>RTRUAWD</w:t>
                  </w:r>
                  <w:r w:rsidRPr="00A552C3">
                    <w:rPr>
                      <w:i/>
                      <w:iCs/>
                      <w:sz w:val="20"/>
                      <w:vertAlign w:val="subscript"/>
                    </w:rPr>
                    <w:t xml:space="preserve"> q, r</w:t>
                  </w:r>
                </w:p>
              </w:tc>
              <w:tc>
                <w:tcPr>
                  <w:tcW w:w="481" w:type="pct"/>
                </w:tcPr>
                <w:p w14:paraId="5C0CC089" w14:textId="77777777" w:rsidR="00D81D75" w:rsidRPr="00A552C3" w:rsidRDefault="00D81D75" w:rsidP="00D81D75">
                  <w:pPr>
                    <w:spacing w:after="60"/>
                    <w:rPr>
                      <w:iCs/>
                      <w:sz w:val="20"/>
                    </w:rPr>
                  </w:pPr>
                  <w:r w:rsidRPr="00A552C3">
                    <w:rPr>
                      <w:iCs/>
                      <w:sz w:val="20"/>
                    </w:rPr>
                    <w:t>MW</w:t>
                  </w:r>
                </w:p>
              </w:tc>
              <w:tc>
                <w:tcPr>
                  <w:tcW w:w="3585" w:type="pct"/>
                </w:tcPr>
                <w:p w14:paraId="70432919" w14:textId="724369F9" w:rsidR="00D81D75" w:rsidRPr="00A552C3" w:rsidRDefault="00D81D75" w:rsidP="00D81D75">
                  <w:pPr>
                    <w:spacing w:after="60"/>
                    <w:rPr>
                      <w:i/>
                      <w:iCs/>
                      <w:sz w:val="20"/>
                    </w:rPr>
                  </w:pPr>
                  <w:r w:rsidRPr="00A552C3">
                    <w:rPr>
                      <w:i/>
                      <w:iCs/>
                      <w:sz w:val="20"/>
                    </w:rPr>
                    <w:t>Real-Time Reg-Up Award per Resource per QSE</w:t>
                  </w:r>
                  <w:r w:rsidRPr="00A552C3">
                    <w:rPr>
                      <w:iCs/>
                      <w:sz w:val="20"/>
                    </w:rPr>
                    <w:t xml:space="preserve">—The Reg-Up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AC3657A" w14:textId="77777777" w:rsidTr="00C952ED">
              <w:trPr>
                <w:cantSplit/>
              </w:trPr>
              <w:tc>
                <w:tcPr>
                  <w:tcW w:w="934" w:type="pct"/>
                </w:tcPr>
                <w:p w14:paraId="3D3F7993" w14:textId="77777777" w:rsidR="00D81D75" w:rsidRPr="00A552C3" w:rsidRDefault="00D81D75" w:rsidP="00D81D75">
                  <w:pPr>
                    <w:spacing w:after="60"/>
                    <w:rPr>
                      <w:iCs/>
                      <w:sz w:val="20"/>
                      <w:lang w:val="pt-BR"/>
                    </w:rPr>
                  </w:pPr>
                  <w:r w:rsidRPr="00A552C3">
                    <w:rPr>
                      <w:iCs/>
                      <w:sz w:val="20"/>
                    </w:rPr>
                    <w:lastRenderedPageBreak/>
                    <w:t>RTRDAWD</w:t>
                  </w:r>
                  <w:r w:rsidRPr="00A552C3">
                    <w:rPr>
                      <w:i/>
                      <w:iCs/>
                      <w:sz w:val="20"/>
                      <w:vertAlign w:val="subscript"/>
                    </w:rPr>
                    <w:t xml:space="preserve"> q, r</w:t>
                  </w:r>
                </w:p>
              </w:tc>
              <w:tc>
                <w:tcPr>
                  <w:tcW w:w="481" w:type="pct"/>
                </w:tcPr>
                <w:p w14:paraId="4727D7AA" w14:textId="77777777" w:rsidR="00D81D75" w:rsidRPr="00A552C3" w:rsidRDefault="00D81D75" w:rsidP="00D81D75">
                  <w:pPr>
                    <w:spacing w:after="60"/>
                    <w:rPr>
                      <w:iCs/>
                      <w:sz w:val="20"/>
                    </w:rPr>
                  </w:pPr>
                  <w:r w:rsidRPr="00A552C3">
                    <w:rPr>
                      <w:iCs/>
                      <w:sz w:val="20"/>
                    </w:rPr>
                    <w:t>MW</w:t>
                  </w:r>
                </w:p>
              </w:tc>
              <w:tc>
                <w:tcPr>
                  <w:tcW w:w="3585" w:type="pct"/>
                </w:tcPr>
                <w:p w14:paraId="5E8977BD" w14:textId="20B22319" w:rsidR="00D81D75" w:rsidRPr="00A552C3" w:rsidRDefault="00D81D75" w:rsidP="00D81D75">
                  <w:pPr>
                    <w:spacing w:after="60"/>
                    <w:rPr>
                      <w:i/>
                      <w:iCs/>
                      <w:sz w:val="20"/>
                    </w:rPr>
                  </w:pPr>
                  <w:r w:rsidRPr="00A552C3">
                    <w:rPr>
                      <w:i/>
                      <w:iCs/>
                      <w:sz w:val="20"/>
                    </w:rPr>
                    <w:t>Real-Time Reg-Down Award per Resource per QSE</w:t>
                  </w:r>
                  <w:r w:rsidRPr="00A552C3">
                    <w:rPr>
                      <w:iCs/>
                      <w:sz w:val="20"/>
                    </w:rPr>
                    <w:t xml:space="preserve">—The Reg-Down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589974F" w14:textId="77777777" w:rsidTr="00C952ED">
              <w:trPr>
                <w:cantSplit/>
              </w:trPr>
              <w:tc>
                <w:tcPr>
                  <w:tcW w:w="934" w:type="pct"/>
                </w:tcPr>
                <w:p w14:paraId="1518CEAB" w14:textId="77777777" w:rsidR="00D81D75" w:rsidRPr="00A552C3" w:rsidRDefault="00D81D75" w:rsidP="00D81D75">
                  <w:pPr>
                    <w:spacing w:after="60"/>
                    <w:rPr>
                      <w:iCs/>
                      <w:sz w:val="20"/>
                      <w:lang w:val="pt-BR"/>
                    </w:rPr>
                  </w:pPr>
                  <w:r w:rsidRPr="00A552C3">
                    <w:rPr>
                      <w:iCs/>
                      <w:sz w:val="20"/>
                    </w:rPr>
                    <w:t>RTRRAWD</w:t>
                  </w:r>
                  <w:r w:rsidRPr="00A552C3">
                    <w:rPr>
                      <w:i/>
                      <w:iCs/>
                      <w:sz w:val="20"/>
                      <w:vertAlign w:val="subscript"/>
                    </w:rPr>
                    <w:t xml:space="preserve"> q, r</w:t>
                  </w:r>
                </w:p>
              </w:tc>
              <w:tc>
                <w:tcPr>
                  <w:tcW w:w="481" w:type="pct"/>
                </w:tcPr>
                <w:p w14:paraId="73BD2553" w14:textId="77777777" w:rsidR="00D81D75" w:rsidRPr="00A552C3" w:rsidRDefault="00D81D75" w:rsidP="00D81D75">
                  <w:pPr>
                    <w:spacing w:after="60"/>
                    <w:rPr>
                      <w:iCs/>
                      <w:sz w:val="20"/>
                    </w:rPr>
                  </w:pPr>
                  <w:r w:rsidRPr="00A552C3">
                    <w:rPr>
                      <w:iCs/>
                      <w:sz w:val="20"/>
                    </w:rPr>
                    <w:t>MW</w:t>
                  </w:r>
                </w:p>
              </w:tc>
              <w:tc>
                <w:tcPr>
                  <w:tcW w:w="3585" w:type="pct"/>
                </w:tcPr>
                <w:p w14:paraId="3A4DCBA0" w14:textId="6280F208" w:rsidR="00D81D75" w:rsidRPr="00A552C3" w:rsidRDefault="00D81D75" w:rsidP="00D81D75">
                  <w:pPr>
                    <w:spacing w:after="60"/>
                    <w:rPr>
                      <w:i/>
                      <w:iCs/>
                      <w:sz w:val="20"/>
                    </w:rPr>
                  </w:pPr>
                  <w:r w:rsidRPr="00A552C3">
                    <w:rPr>
                      <w:i/>
                      <w:iCs/>
                      <w:sz w:val="20"/>
                    </w:rPr>
                    <w:t>Real-Time Responsive Reserve Award per Resource per QSE</w:t>
                  </w:r>
                  <w:r w:rsidRPr="00A552C3">
                    <w:rPr>
                      <w:iCs/>
                      <w:sz w:val="20"/>
                    </w:rPr>
                    <w:t xml:space="preserve">—The RRS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29776C0" w14:textId="77777777" w:rsidTr="00C952ED">
              <w:trPr>
                <w:cantSplit/>
              </w:trPr>
              <w:tc>
                <w:tcPr>
                  <w:tcW w:w="934" w:type="pct"/>
                </w:tcPr>
                <w:p w14:paraId="1A7E97E7" w14:textId="77777777" w:rsidR="00D81D75" w:rsidRPr="00A552C3" w:rsidRDefault="00D81D75" w:rsidP="00D81D75">
                  <w:pPr>
                    <w:spacing w:after="60"/>
                    <w:rPr>
                      <w:iCs/>
                      <w:sz w:val="20"/>
                      <w:lang w:val="pt-BR"/>
                    </w:rPr>
                  </w:pPr>
                  <w:r w:rsidRPr="00A552C3">
                    <w:rPr>
                      <w:iCs/>
                      <w:sz w:val="20"/>
                    </w:rPr>
                    <w:t>RTNSAWD</w:t>
                  </w:r>
                  <w:r w:rsidRPr="00A552C3">
                    <w:rPr>
                      <w:i/>
                      <w:iCs/>
                      <w:sz w:val="20"/>
                      <w:vertAlign w:val="subscript"/>
                    </w:rPr>
                    <w:t xml:space="preserve"> q, r</w:t>
                  </w:r>
                </w:p>
              </w:tc>
              <w:tc>
                <w:tcPr>
                  <w:tcW w:w="481" w:type="pct"/>
                </w:tcPr>
                <w:p w14:paraId="05964978" w14:textId="77777777" w:rsidR="00D81D75" w:rsidRPr="00A552C3" w:rsidRDefault="00D81D75" w:rsidP="00D81D75">
                  <w:pPr>
                    <w:spacing w:after="60"/>
                    <w:rPr>
                      <w:iCs/>
                      <w:sz w:val="20"/>
                    </w:rPr>
                  </w:pPr>
                  <w:r w:rsidRPr="00A552C3">
                    <w:rPr>
                      <w:iCs/>
                      <w:sz w:val="20"/>
                    </w:rPr>
                    <w:t>MW</w:t>
                  </w:r>
                </w:p>
              </w:tc>
              <w:tc>
                <w:tcPr>
                  <w:tcW w:w="3585" w:type="pct"/>
                </w:tcPr>
                <w:p w14:paraId="718D3E2F" w14:textId="69A891AD" w:rsidR="00D81D75" w:rsidRPr="00A552C3" w:rsidRDefault="00D81D75" w:rsidP="00D81D75">
                  <w:pPr>
                    <w:spacing w:after="60"/>
                    <w:rPr>
                      <w:i/>
                      <w:iCs/>
                      <w:sz w:val="20"/>
                    </w:rPr>
                  </w:pPr>
                  <w:r w:rsidRPr="00A552C3">
                    <w:rPr>
                      <w:i/>
                      <w:iCs/>
                      <w:sz w:val="20"/>
                    </w:rPr>
                    <w:t>Real-Time Non-Spin Award per Resource per QSE</w:t>
                  </w:r>
                  <w:r w:rsidRPr="00A552C3">
                    <w:rPr>
                      <w:iCs/>
                      <w:sz w:val="20"/>
                    </w:rPr>
                    <w:t xml:space="preserve">—The Non-Spin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6C7FA3D" w14:textId="77777777" w:rsidTr="00C952ED">
              <w:trPr>
                <w:cantSplit/>
              </w:trPr>
              <w:tc>
                <w:tcPr>
                  <w:tcW w:w="934" w:type="pct"/>
                </w:tcPr>
                <w:p w14:paraId="17B39053" w14:textId="77777777" w:rsidR="00D81D75" w:rsidRPr="00A552C3" w:rsidRDefault="00D81D75" w:rsidP="00D81D75">
                  <w:pPr>
                    <w:spacing w:after="60"/>
                    <w:rPr>
                      <w:iCs/>
                      <w:sz w:val="20"/>
                      <w:lang w:val="pt-BR"/>
                    </w:rPr>
                  </w:pPr>
                  <w:r w:rsidRPr="00A552C3">
                    <w:rPr>
                      <w:iCs/>
                      <w:sz w:val="20"/>
                    </w:rPr>
                    <w:t>RTECRAWD</w:t>
                  </w:r>
                  <w:r w:rsidRPr="00A552C3">
                    <w:rPr>
                      <w:i/>
                      <w:iCs/>
                      <w:sz w:val="20"/>
                      <w:vertAlign w:val="subscript"/>
                    </w:rPr>
                    <w:t xml:space="preserve"> q, r</w:t>
                  </w:r>
                </w:p>
              </w:tc>
              <w:tc>
                <w:tcPr>
                  <w:tcW w:w="481" w:type="pct"/>
                </w:tcPr>
                <w:p w14:paraId="5EB47B32" w14:textId="77777777" w:rsidR="00D81D75" w:rsidRPr="00A552C3" w:rsidRDefault="00D81D75" w:rsidP="00D81D75">
                  <w:pPr>
                    <w:spacing w:after="60"/>
                    <w:rPr>
                      <w:iCs/>
                      <w:sz w:val="20"/>
                    </w:rPr>
                  </w:pPr>
                  <w:r w:rsidRPr="00A552C3">
                    <w:rPr>
                      <w:iCs/>
                      <w:sz w:val="20"/>
                    </w:rPr>
                    <w:t>MW</w:t>
                  </w:r>
                </w:p>
              </w:tc>
              <w:tc>
                <w:tcPr>
                  <w:tcW w:w="3585" w:type="pct"/>
                </w:tcPr>
                <w:p w14:paraId="4CE70C19" w14:textId="763A87FC" w:rsidR="00D81D75" w:rsidRPr="00A552C3" w:rsidRDefault="00D81D75" w:rsidP="00D81D75">
                  <w:pPr>
                    <w:spacing w:after="60"/>
                    <w:rPr>
                      <w:i/>
                      <w:iCs/>
                      <w:sz w:val="20"/>
                    </w:rPr>
                  </w:pPr>
                  <w:r w:rsidRPr="00A552C3">
                    <w:rPr>
                      <w:i/>
                      <w:iCs/>
                      <w:sz w:val="20"/>
                    </w:rPr>
                    <w:t>Real-Time ERCOT Contingency Reserve Service Award per Resource per QSE</w:t>
                  </w:r>
                  <w:r w:rsidRPr="00A552C3">
                    <w:rPr>
                      <w:iCs/>
                      <w:sz w:val="20"/>
                    </w:rPr>
                    <w:t xml:space="preserve">—The ECRS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7739F291" w14:textId="77777777" w:rsidTr="00C952ED">
              <w:trPr>
                <w:cantSplit/>
              </w:trPr>
              <w:tc>
                <w:tcPr>
                  <w:tcW w:w="934" w:type="pct"/>
                </w:tcPr>
                <w:p w14:paraId="50D7EA39" w14:textId="081005E0" w:rsidR="00D81D75" w:rsidRPr="00A552C3" w:rsidRDefault="00D81D75" w:rsidP="00D81D75">
                  <w:pPr>
                    <w:spacing w:after="60"/>
                    <w:rPr>
                      <w:iCs/>
                      <w:sz w:val="20"/>
                    </w:rPr>
                  </w:pPr>
                  <w:r w:rsidRPr="00A552C3">
                    <w:rPr>
                      <w:iCs/>
                      <w:sz w:val="20"/>
                      <w:lang w:val="pt-BR"/>
                    </w:rPr>
                    <w:t xml:space="preserve">RTRUOPR </w:t>
                  </w:r>
                  <w:r w:rsidRPr="00A552C3">
                    <w:rPr>
                      <w:i/>
                      <w:iCs/>
                      <w:sz w:val="20"/>
                      <w:vertAlign w:val="subscript"/>
                      <w:lang w:val="pt-BR"/>
                    </w:rPr>
                    <w:t>q, r, y</w:t>
                  </w:r>
                </w:p>
              </w:tc>
              <w:tc>
                <w:tcPr>
                  <w:tcW w:w="481" w:type="pct"/>
                </w:tcPr>
                <w:p w14:paraId="06417469" w14:textId="77777777" w:rsidR="00D81D75" w:rsidRPr="00A552C3" w:rsidRDefault="00D81D75" w:rsidP="00D81D75">
                  <w:pPr>
                    <w:spacing w:after="60"/>
                    <w:rPr>
                      <w:iCs/>
                      <w:sz w:val="20"/>
                    </w:rPr>
                  </w:pPr>
                  <w:r w:rsidRPr="00A552C3">
                    <w:rPr>
                      <w:iCs/>
                      <w:sz w:val="20"/>
                    </w:rPr>
                    <w:t>$/MW</w:t>
                  </w:r>
                </w:p>
              </w:tc>
              <w:tc>
                <w:tcPr>
                  <w:tcW w:w="3585" w:type="pct"/>
                </w:tcPr>
                <w:p w14:paraId="181BA29C" w14:textId="1EB1BDE5" w:rsidR="00D81D75" w:rsidRPr="00A552C3" w:rsidRDefault="00D81D75" w:rsidP="00D81D75">
                  <w:pPr>
                    <w:spacing w:after="60"/>
                    <w:rPr>
                      <w:iCs/>
                      <w:sz w:val="20"/>
                    </w:rPr>
                  </w:pPr>
                  <w:r w:rsidRPr="00A552C3">
                    <w:rPr>
                      <w:i/>
                      <w:iCs/>
                      <w:sz w:val="20"/>
                    </w:rPr>
                    <w:t>Real-Time Reg-Up Offer Price</w:t>
                  </w:r>
                  <w:r w:rsidR="00AC775D" w:rsidRPr="00A552C3">
                    <w:rPr>
                      <w:iCs/>
                      <w:sz w:val="20"/>
                    </w:rPr>
                    <w:t>—</w:t>
                  </w:r>
                  <w:r w:rsidRPr="00A552C3">
                    <w:rPr>
                      <w:iCs/>
                      <w:sz w:val="20"/>
                    </w:rPr>
                    <w:t xml:space="preserve">The price on the Ancillary Service Offer curve at the Reg-Up award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2891263" w14:textId="77777777" w:rsidTr="00C952ED">
              <w:trPr>
                <w:cantSplit/>
              </w:trPr>
              <w:tc>
                <w:tcPr>
                  <w:tcW w:w="934" w:type="pct"/>
                </w:tcPr>
                <w:p w14:paraId="051B91DA" w14:textId="19A673F0" w:rsidR="00D81D75" w:rsidRPr="00A552C3" w:rsidRDefault="00D81D75" w:rsidP="00D81D75">
                  <w:pPr>
                    <w:spacing w:after="60"/>
                    <w:rPr>
                      <w:iCs/>
                      <w:sz w:val="20"/>
                    </w:rPr>
                  </w:pPr>
                  <w:r w:rsidRPr="00A552C3">
                    <w:rPr>
                      <w:iCs/>
                      <w:sz w:val="20"/>
                      <w:lang w:val="pt-BR"/>
                    </w:rPr>
                    <w:t xml:space="preserve">RTRDOPR </w:t>
                  </w:r>
                  <w:r w:rsidRPr="00A552C3">
                    <w:rPr>
                      <w:i/>
                      <w:iCs/>
                      <w:sz w:val="20"/>
                      <w:vertAlign w:val="subscript"/>
                      <w:lang w:val="pt-BR"/>
                    </w:rPr>
                    <w:t>q, r, y</w:t>
                  </w:r>
                </w:p>
              </w:tc>
              <w:tc>
                <w:tcPr>
                  <w:tcW w:w="481" w:type="pct"/>
                </w:tcPr>
                <w:p w14:paraId="0DB6FE56" w14:textId="77777777" w:rsidR="00D81D75" w:rsidRPr="00A552C3" w:rsidRDefault="00D81D75" w:rsidP="00D81D75">
                  <w:pPr>
                    <w:spacing w:after="60"/>
                    <w:rPr>
                      <w:iCs/>
                      <w:sz w:val="20"/>
                    </w:rPr>
                  </w:pPr>
                  <w:r w:rsidRPr="00A552C3">
                    <w:rPr>
                      <w:iCs/>
                      <w:sz w:val="20"/>
                    </w:rPr>
                    <w:t>$/MW</w:t>
                  </w:r>
                </w:p>
              </w:tc>
              <w:tc>
                <w:tcPr>
                  <w:tcW w:w="3585" w:type="pct"/>
                </w:tcPr>
                <w:p w14:paraId="4047EE2D" w14:textId="47C80C9A" w:rsidR="00D81D75" w:rsidRPr="00A552C3" w:rsidRDefault="00D81D75" w:rsidP="00D81D75">
                  <w:pPr>
                    <w:spacing w:after="60"/>
                    <w:rPr>
                      <w:i/>
                      <w:iCs/>
                      <w:sz w:val="20"/>
                    </w:rPr>
                  </w:pPr>
                  <w:r w:rsidRPr="00A552C3">
                    <w:rPr>
                      <w:i/>
                      <w:iCs/>
                      <w:sz w:val="20"/>
                    </w:rPr>
                    <w:t>Real-Time Reg-Down Offer Price</w:t>
                  </w:r>
                  <w:r w:rsidR="00CF216D" w:rsidRPr="00A552C3">
                    <w:rPr>
                      <w:iCs/>
                      <w:sz w:val="20"/>
                    </w:rPr>
                    <w:t>—</w:t>
                  </w:r>
                  <w:r w:rsidRPr="00A552C3">
                    <w:rPr>
                      <w:iCs/>
                      <w:sz w:val="20"/>
                    </w:rPr>
                    <w:t xml:space="preserve">The price on the Ancillary Service Offer curve at the Reg-Down award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4820306B" w14:textId="77777777" w:rsidTr="00C952ED">
              <w:trPr>
                <w:cantSplit/>
              </w:trPr>
              <w:tc>
                <w:tcPr>
                  <w:tcW w:w="934" w:type="pct"/>
                </w:tcPr>
                <w:p w14:paraId="7F9311DD" w14:textId="3BC21A02" w:rsidR="00D81D75" w:rsidRPr="00A552C3" w:rsidRDefault="00D81D75" w:rsidP="00D81D75">
                  <w:pPr>
                    <w:spacing w:after="60"/>
                    <w:rPr>
                      <w:iCs/>
                      <w:sz w:val="20"/>
                    </w:rPr>
                  </w:pPr>
                  <w:r w:rsidRPr="00A552C3">
                    <w:rPr>
                      <w:iCs/>
                      <w:sz w:val="20"/>
                      <w:lang w:val="pt-BR"/>
                    </w:rPr>
                    <w:t xml:space="preserve">RTRROPR </w:t>
                  </w:r>
                  <w:r w:rsidRPr="00A552C3">
                    <w:rPr>
                      <w:i/>
                      <w:iCs/>
                      <w:sz w:val="20"/>
                      <w:vertAlign w:val="subscript"/>
                      <w:lang w:val="pt-BR"/>
                    </w:rPr>
                    <w:t>q, r, y</w:t>
                  </w:r>
                </w:p>
              </w:tc>
              <w:tc>
                <w:tcPr>
                  <w:tcW w:w="481" w:type="pct"/>
                </w:tcPr>
                <w:p w14:paraId="48214A70" w14:textId="77777777" w:rsidR="00D81D75" w:rsidRPr="00A552C3" w:rsidRDefault="00D81D75" w:rsidP="00D81D75">
                  <w:pPr>
                    <w:spacing w:after="60"/>
                    <w:rPr>
                      <w:iCs/>
                      <w:sz w:val="20"/>
                    </w:rPr>
                  </w:pPr>
                  <w:r w:rsidRPr="00A552C3">
                    <w:rPr>
                      <w:iCs/>
                      <w:sz w:val="20"/>
                    </w:rPr>
                    <w:t>$/MW</w:t>
                  </w:r>
                </w:p>
              </w:tc>
              <w:tc>
                <w:tcPr>
                  <w:tcW w:w="3585" w:type="pct"/>
                </w:tcPr>
                <w:p w14:paraId="40318DF8" w14:textId="03C25780" w:rsidR="00D81D75" w:rsidRPr="00A552C3" w:rsidRDefault="00D81D75" w:rsidP="00D81D75">
                  <w:pPr>
                    <w:spacing w:after="60"/>
                    <w:rPr>
                      <w:i/>
                      <w:iCs/>
                      <w:sz w:val="20"/>
                    </w:rPr>
                  </w:pPr>
                  <w:r w:rsidRPr="00A552C3">
                    <w:rPr>
                      <w:i/>
                      <w:iCs/>
                      <w:sz w:val="20"/>
                    </w:rPr>
                    <w:t>Real-Time Responsive Reserve Offer Price</w:t>
                  </w:r>
                  <w:r w:rsidR="00C425F0" w:rsidRPr="00A552C3">
                    <w:rPr>
                      <w:iCs/>
                      <w:sz w:val="20"/>
                    </w:rPr>
                    <w:t>—</w:t>
                  </w:r>
                  <w:r w:rsidRPr="00A552C3">
                    <w:rPr>
                      <w:iCs/>
                      <w:sz w:val="20"/>
                    </w:rPr>
                    <w:t xml:space="preserve">The price on the Ancillary Service Offer curve at the RRS award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59DB846" w14:textId="77777777" w:rsidTr="00C952ED">
              <w:trPr>
                <w:cantSplit/>
              </w:trPr>
              <w:tc>
                <w:tcPr>
                  <w:tcW w:w="934" w:type="pct"/>
                </w:tcPr>
                <w:p w14:paraId="15EE6419" w14:textId="38531810" w:rsidR="00D81D75" w:rsidRPr="00A552C3" w:rsidRDefault="00D81D75" w:rsidP="00D81D75">
                  <w:pPr>
                    <w:spacing w:after="60"/>
                    <w:rPr>
                      <w:iCs/>
                      <w:sz w:val="20"/>
                    </w:rPr>
                  </w:pPr>
                  <w:r w:rsidRPr="00A552C3">
                    <w:rPr>
                      <w:iCs/>
                      <w:sz w:val="20"/>
                      <w:lang w:val="pt-BR"/>
                    </w:rPr>
                    <w:t xml:space="preserve">RTNSOPR </w:t>
                  </w:r>
                  <w:r w:rsidRPr="00A552C3">
                    <w:rPr>
                      <w:i/>
                      <w:iCs/>
                      <w:sz w:val="20"/>
                      <w:vertAlign w:val="subscript"/>
                      <w:lang w:val="pt-BR"/>
                    </w:rPr>
                    <w:t>q, r, y</w:t>
                  </w:r>
                </w:p>
              </w:tc>
              <w:tc>
                <w:tcPr>
                  <w:tcW w:w="481" w:type="pct"/>
                </w:tcPr>
                <w:p w14:paraId="7582C3C8" w14:textId="77777777" w:rsidR="00D81D75" w:rsidRPr="00A552C3" w:rsidRDefault="00D81D75" w:rsidP="00D81D75">
                  <w:pPr>
                    <w:spacing w:after="60"/>
                    <w:rPr>
                      <w:iCs/>
                      <w:sz w:val="20"/>
                    </w:rPr>
                  </w:pPr>
                  <w:r w:rsidRPr="00A552C3">
                    <w:rPr>
                      <w:iCs/>
                      <w:sz w:val="20"/>
                    </w:rPr>
                    <w:t>$/MW</w:t>
                  </w:r>
                </w:p>
              </w:tc>
              <w:tc>
                <w:tcPr>
                  <w:tcW w:w="3585" w:type="pct"/>
                </w:tcPr>
                <w:p w14:paraId="349DD268" w14:textId="15736DF5" w:rsidR="00D81D75" w:rsidRPr="00A552C3" w:rsidRDefault="00D81D75" w:rsidP="00D81D75">
                  <w:pPr>
                    <w:spacing w:after="60"/>
                    <w:rPr>
                      <w:i/>
                      <w:iCs/>
                      <w:sz w:val="20"/>
                    </w:rPr>
                  </w:pPr>
                  <w:r w:rsidRPr="00A552C3">
                    <w:rPr>
                      <w:i/>
                      <w:iCs/>
                      <w:sz w:val="20"/>
                    </w:rPr>
                    <w:t>Real-Time Non-Spin Offer Price</w:t>
                  </w:r>
                  <w:r w:rsidR="00CB25ED" w:rsidRPr="00A552C3">
                    <w:rPr>
                      <w:iCs/>
                      <w:sz w:val="20"/>
                    </w:rPr>
                    <w:t>—</w:t>
                  </w:r>
                  <w:r w:rsidRPr="00A552C3">
                    <w:rPr>
                      <w:iCs/>
                      <w:sz w:val="20"/>
                    </w:rPr>
                    <w:t xml:space="preserve">The price on the Ancillary Service Offer curve at the Non-Spin award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3FD8ADDD" w14:textId="77777777" w:rsidTr="00C952ED">
              <w:trPr>
                <w:cantSplit/>
              </w:trPr>
              <w:tc>
                <w:tcPr>
                  <w:tcW w:w="934" w:type="pct"/>
                </w:tcPr>
                <w:p w14:paraId="2EB31CC3" w14:textId="43DE10F0" w:rsidR="00D81D75" w:rsidRPr="00A552C3" w:rsidRDefault="00D81D75" w:rsidP="00D81D75">
                  <w:pPr>
                    <w:spacing w:after="60"/>
                    <w:rPr>
                      <w:iCs/>
                      <w:sz w:val="20"/>
                    </w:rPr>
                  </w:pPr>
                  <w:r w:rsidRPr="00A552C3">
                    <w:rPr>
                      <w:iCs/>
                      <w:sz w:val="20"/>
                      <w:lang w:val="pt-BR"/>
                    </w:rPr>
                    <w:t xml:space="preserve">RTECROPR </w:t>
                  </w:r>
                  <w:r w:rsidRPr="00A552C3">
                    <w:rPr>
                      <w:i/>
                      <w:iCs/>
                      <w:sz w:val="20"/>
                      <w:vertAlign w:val="subscript"/>
                      <w:lang w:val="pt-BR"/>
                    </w:rPr>
                    <w:t>q, r, y</w:t>
                  </w:r>
                </w:p>
              </w:tc>
              <w:tc>
                <w:tcPr>
                  <w:tcW w:w="481" w:type="pct"/>
                </w:tcPr>
                <w:p w14:paraId="28633BAF" w14:textId="77777777" w:rsidR="00D81D75" w:rsidRPr="00A552C3" w:rsidRDefault="00D81D75" w:rsidP="00D81D75">
                  <w:pPr>
                    <w:spacing w:after="60"/>
                    <w:rPr>
                      <w:iCs/>
                      <w:sz w:val="20"/>
                    </w:rPr>
                  </w:pPr>
                  <w:r w:rsidRPr="00A552C3">
                    <w:rPr>
                      <w:iCs/>
                      <w:sz w:val="20"/>
                    </w:rPr>
                    <w:t>$/MW</w:t>
                  </w:r>
                </w:p>
              </w:tc>
              <w:tc>
                <w:tcPr>
                  <w:tcW w:w="3585" w:type="pct"/>
                </w:tcPr>
                <w:p w14:paraId="01F5700F" w14:textId="2BAB8997" w:rsidR="00D81D75" w:rsidRPr="00A552C3" w:rsidRDefault="00D81D75" w:rsidP="00D81D75">
                  <w:pPr>
                    <w:spacing w:after="60"/>
                    <w:rPr>
                      <w:i/>
                      <w:iCs/>
                      <w:sz w:val="20"/>
                    </w:rPr>
                  </w:pPr>
                  <w:r w:rsidRPr="00A552C3">
                    <w:rPr>
                      <w:i/>
                      <w:iCs/>
                      <w:sz w:val="20"/>
                    </w:rPr>
                    <w:t>Real-Time ERCOT Contingency Reserve Service Offer Price</w:t>
                  </w:r>
                  <w:r w:rsidR="004D4251" w:rsidRPr="00A552C3">
                    <w:rPr>
                      <w:iCs/>
                      <w:sz w:val="20"/>
                    </w:rPr>
                    <w:t>—</w:t>
                  </w:r>
                  <w:r w:rsidRPr="00A552C3">
                    <w:rPr>
                      <w:iCs/>
                      <w:sz w:val="20"/>
                    </w:rPr>
                    <w:t xml:space="preserve">The price on the Ancillary Service Offer curve at the ECRS award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7C103D4E" w14:textId="77777777" w:rsidTr="00C952ED">
              <w:trPr>
                <w:cantSplit/>
              </w:trPr>
              <w:tc>
                <w:tcPr>
                  <w:tcW w:w="934" w:type="pct"/>
                </w:tcPr>
                <w:p w14:paraId="7692DCE3" w14:textId="6A985BB3" w:rsidR="00D81D75" w:rsidRPr="00A552C3" w:rsidRDefault="00D81D75" w:rsidP="00D81D75">
                  <w:pPr>
                    <w:spacing w:after="60"/>
                    <w:rPr>
                      <w:iCs/>
                      <w:sz w:val="20"/>
                      <w:lang w:val="pt-BR"/>
                    </w:rPr>
                  </w:pPr>
                  <w:r w:rsidRPr="00A552C3">
                    <w:rPr>
                      <w:iCs/>
                      <w:sz w:val="20"/>
                    </w:rPr>
                    <w:t xml:space="preserve">RTRUAWDS </w:t>
                  </w:r>
                  <w:r w:rsidRPr="00A552C3">
                    <w:rPr>
                      <w:i/>
                      <w:iCs/>
                      <w:sz w:val="20"/>
                      <w:vertAlign w:val="subscript"/>
                    </w:rPr>
                    <w:t>q, r, y</w:t>
                  </w:r>
                </w:p>
              </w:tc>
              <w:tc>
                <w:tcPr>
                  <w:tcW w:w="481" w:type="pct"/>
                </w:tcPr>
                <w:p w14:paraId="7B30ECFE" w14:textId="77777777" w:rsidR="00D81D75" w:rsidRPr="00A552C3" w:rsidRDefault="00D81D75" w:rsidP="00D81D75">
                  <w:pPr>
                    <w:spacing w:after="60"/>
                    <w:rPr>
                      <w:iCs/>
                      <w:sz w:val="20"/>
                    </w:rPr>
                  </w:pPr>
                  <w:r w:rsidRPr="00A552C3">
                    <w:rPr>
                      <w:iCs/>
                      <w:sz w:val="20"/>
                    </w:rPr>
                    <w:t>MW</w:t>
                  </w:r>
                </w:p>
              </w:tc>
              <w:tc>
                <w:tcPr>
                  <w:tcW w:w="3585" w:type="pct"/>
                </w:tcPr>
                <w:p w14:paraId="1F00C848" w14:textId="53C877BD" w:rsidR="00D81D75" w:rsidRPr="00A552C3" w:rsidRDefault="00D81D75" w:rsidP="00D81D75">
                  <w:pPr>
                    <w:spacing w:after="60"/>
                    <w:rPr>
                      <w:i/>
                      <w:iCs/>
                      <w:sz w:val="20"/>
                    </w:rPr>
                  </w:pPr>
                  <w:r w:rsidRPr="00A552C3">
                    <w:rPr>
                      <w:i/>
                      <w:iCs/>
                      <w:sz w:val="20"/>
                    </w:rPr>
                    <w:t>Real-Time Reg-Up Award per Resource per QSE per SCED interval</w:t>
                  </w:r>
                  <w:r w:rsidR="008F5430" w:rsidRPr="00A552C3">
                    <w:rPr>
                      <w:iCs/>
                      <w:sz w:val="20"/>
                    </w:rPr>
                    <w:t>—</w:t>
                  </w:r>
                  <w:r w:rsidRPr="00A552C3">
                    <w:rPr>
                      <w:iCs/>
                      <w:sz w:val="20"/>
                    </w:rPr>
                    <w:t xml:space="preserve">The Reg-Up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8FDE257" w14:textId="77777777" w:rsidTr="00C952ED">
              <w:trPr>
                <w:cantSplit/>
              </w:trPr>
              <w:tc>
                <w:tcPr>
                  <w:tcW w:w="934" w:type="pct"/>
                </w:tcPr>
                <w:p w14:paraId="160CE0A9" w14:textId="4A44281D" w:rsidR="00D81D75" w:rsidRPr="00A552C3" w:rsidRDefault="00D81D75" w:rsidP="00D81D75">
                  <w:pPr>
                    <w:spacing w:after="60"/>
                    <w:rPr>
                      <w:iCs/>
                      <w:sz w:val="20"/>
                    </w:rPr>
                  </w:pPr>
                  <w:r w:rsidRPr="00A552C3">
                    <w:rPr>
                      <w:iCs/>
                      <w:sz w:val="20"/>
                    </w:rPr>
                    <w:t xml:space="preserve">RTRDAWDS </w:t>
                  </w:r>
                  <w:r w:rsidRPr="00A552C3">
                    <w:rPr>
                      <w:i/>
                      <w:iCs/>
                      <w:sz w:val="20"/>
                      <w:vertAlign w:val="subscript"/>
                    </w:rPr>
                    <w:t>q, r, y</w:t>
                  </w:r>
                </w:p>
              </w:tc>
              <w:tc>
                <w:tcPr>
                  <w:tcW w:w="481" w:type="pct"/>
                </w:tcPr>
                <w:p w14:paraId="071368AC" w14:textId="77777777" w:rsidR="00D81D75" w:rsidRPr="00A552C3" w:rsidRDefault="00D81D75" w:rsidP="00D81D75">
                  <w:pPr>
                    <w:spacing w:after="60"/>
                    <w:rPr>
                      <w:iCs/>
                      <w:sz w:val="20"/>
                    </w:rPr>
                  </w:pPr>
                  <w:r w:rsidRPr="00A552C3">
                    <w:rPr>
                      <w:iCs/>
                      <w:sz w:val="20"/>
                    </w:rPr>
                    <w:t>MW</w:t>
                  </w:r>
                </w:p>
              </w:tc>
              <w:tc>
                <w:tcPr>
                  <w:tcW w:w="3585" w:type="pct"/>
                </w:tcPr>
                <w:p w14:paraId="0EA34795" w14:textId="133DECBD" w:rsidR="00D81D75" w:rsidRPr="00A552C3" w:rsidRDefault="00D81D75" w:rsidP="00D81D75">
                  <w:pPr>
                    <w:spacing w:after="60"/>
                    <w:rPr>
                      <w:i/>
                      <w:iCs/>
                      <w:sz w:val="20"/>
                    </w:rPr>
                  </w:pPr>
                  <w:r w:rsidRPr="00A552C3">
                    <w:rPr>
                      <w:i/>
                      <w:iCs/>
                      <w:sz w:val="20"/>
                    </w:rPr>
                    <w:t>Real-Time Reg-Down Award per Resource per QSE per SCED interval</w:t>
                  </w:r>
                  <w:r w:rsidR="009A5523" w:rsidRPr="00A552C3">
                    <w:rPr>
                      <w:iCs/>
                      <w:sz w:val="20"/>
                    </w:rPr>
                    <w:t>—</w:t>
                  </w:r>
                  <w:r w:rsidRPr="00A552C3">
                    <w:rPr>
                      <w:iCs/>
                      <w:sz w:val="20"/>
                    </w:rPr>
                    <w:t xml:space="preserve">The Reg-Down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501A47BB" w14:textId="77777777" w:rsidTr="00C952ED">
              <w:trPr>
                <w:cantSplit/>
              </w:trPr>
              <w:tc>
                <w:tcPr>
                  <w:tcW w:w="934" w:type="pct"/>
                </w:tcPr>
                <w:p w14:paraId="2EE0FAD3" w14:textId="39A169BC" w:rsidR="00D81D75" w:rsidRPr="00A552C3" w:rsidRDefault="00D81D75" w:rsidP="00D81D75">
                  <w:pPr>
                    <w:spacing w:after="60"/>
                    <w:rPr>
                      <w:iCs/>
                      <w:sz w:val="20"/>
                    </w:rPr>
                  </w:pPr>
                  <w:r w:rsidRPr="00A552C3">
                    <w:rPr>
                      <w:iCs/>
                      <w:sz w:val="20"/>
                    </w:rPr>
                    <w:t xml:space="preserve">RTRRAWDS </w:t>
                  </w:r>
                  <w:r w:rsidRPr="00A552C3">
                    <w:rPr>
                      <w:i/>
                      <w:iCs/>
                      <w:sz w:val="20"/>
                      <w:vertAlign w:val="subscript"/>
                    </w:rPr>
                    <w:t>q, r, y</w:t>
                  </w:r>
                </w:p>
              </w:tc>
              <w:tc>
                <w:tcPr>
                  <w:tcW w:w="481" w:type="pct"/>
                </w:tcPr>
                <w:p w14:paraId="0803349E" w14:textId="77777777" w:rsidR="00D81D75" w:rsidRPr="00A552C3" w:rsidRDefault="00D81D75" w:rsidP="00D81D75">
                  <w:pPr>
                    <w:spacing w:after="60"/>
                    <w:rPr>
                      <w:iCs/>
                      <w:sz w:val="20"/>
                    </w:rPr>
                  </w:pPr>
                  <w:r w:rsidRPr="00A552C3">
                    <w:rPr>
                      <w:iCs/>
                      <w:sz w:val="20"/>
                    </w:rPr>
                    <w:t>MW</w:t>
                  </w:r>
                </w:p>
              </w:tc>
              <w:tc>
                <w:tcPr>
                  <w:tcW w:w="3585" w:type="pct"/>
                </w:tcPr>
                <w:p w14:paraId="7E063B34" w14:textId="35B0FC09" w:rsidR="00D81D75" w:rsidRPr="00A552C3" w:rsidRDefault="00D81D75" w:rsidP="00D81D75">
                  <w:pPr>
                    <w:spacing w:after="60"/>
                    <w:rPr>
                      <w:i/>
                      <w:iCs/>
                      <w:sz w:val="20"/>
                    </w:rPr>
                  </w:pPr>
                  <w:r w:rsidRPr="00A552C3">
                    <w:rPr>
                      <w:i/>
                      <w:iCs/>
                      <w:sz w:val="20"/>
                    </w:rPr>
                    <w:t>Real-Time Responsive Reserve Award per Resource per QSE per SCED interval</w:t>
                  </w:r>
                  <w:r w:rsidR="004F08F1" w:rsidRPr="00A552C3">
                    <w:rPr>
                      <w:iCs/>
                      <w:sz w:val="20"/>
                    </w:rPr>
                    <w:t>—</w:t>
                  </w:r>
                  <w:r w:rsidRPr="00A552C3">
                    <w:rPr>
                      <w:iCs/>
                      <w:sz w:val="20"/>
                    </w:rPr>
                    <w:t xml:space="preserve">The RRS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5BC2D1A6" w14:textId="77777777" w:rsidTr="00C952ED">
              <w:trPr>
                <w:cantSplit/>
              </w:trPr>
              <w:tc>
                <w:tcPr>
                  <w:tcW w:w="934" w:type="pct"/>
                </w:tcPr>
                <w:p w14:paraId="1B3EA4EE" w14:textId="5A6D056D" w:rsidR="00D81D75" w:rsidRPr="00A552C3" w:rsidRDefault="00D81D75" w:rsidP="00D81D75">
                  <w:pPr>
                    <w:spacing w:after="60"/>
                    <w:rPr>
                      <w:iCs/>
                      <w:sz w:val="20"/>
                    </w:rPr>
                  </w:pPr>
                  <w:r w:rsidRPr="00A552C3">
                    <w:rPr>
                      <w:iCs/>
                      <w:sz w:val="20"/>
                    </w:rPr>
                    <w:lastRenderedPageBreak/>
                    <w:t xml:space="preserve">RTNSAWDS </w:t>
                  </w:r>
                  <w:r w:rsidRPr="00A552C3">
                    <w:rPr>
                      <w:i/>
                      <w:iCs/>
                      <w:sz w:val="20"/>
                      <w:vertAlign w:val="subscript"/>
                    </w:rPr>
                    <w:t>q, r, y</w:t>
                  </w:r>
                </w:p>
              </w:tc>
              <w:tc>
                <w:tcPr>
                  <w:tcW w:w="481" w:type="pct"/>
                </w:tcPr>
                <w:p w14:paraId="4D4A09B0" w14:textId="77777777" w:rsidR="00D81D75" w:rsidRPr="00A552C3" w:rsidRDefault="00D81D75" w:rsidP="00D81D75">
                  <w:pPr>
                    <w:spacing w:after="60"/>
                    <w:rPr>
                      <w:iCs/>
                      <w:sz w:val="20"/>
                    </w:rPr>
                  </w:pPr>
                  <w:r w:rsidRPr="00A552C3">
                    <w:rPr>
                      <w:iCs/>
                      <w:sz w:val="20"/>
                    </w:rPr>
                    <w:t>MW</w:t>
                  </w:r>
                </w:p>
              </w:tc>
              <w:tc>
                <w:tcPr>
                  <w:tcW w:w="3585" w:type="pct"/>
                </w:tcPr>
                <w:p w14:paraId="2C628CDD" w14:textId="0932BDAA" w:rsidR="00D81D75" w:rsidRPr="00A552C3" w:rsidRDefault="00D81D75" w:rsidP="00D81D75">
                  <w:pPr>
                    <w:spacing w:after="60"/>
                    <w:rPr>
                      <w:i/>
                      <w:iCs/>
                      <w:sz w:val="20"/>
                    </w:rPr>
                  </w:pPr>
                  <w:r w:rsidRPr="00A552C3">
                    <w:rPr>
                      <w:i/>
                      <w:iCs/>
                      <w:sz w:val="20"/>
                    </w:rPr>
                    <w:t>Real-Time Non-Spin Award per Resource per QSE per SCED interval</w:t>
                  </w:r>
                  <w:r w:rsidR="004F08F1" w:rsidRPr="00A552C3">
                    <w:rPr>
                      <w:iCs/>
                      <w:sz w:val="20"/>
                    </w:rPr>
                    <w:t>—</w:t>
                  </w:r>
                  <w:r w:rsidRPr="00A552C3">
                    <w:rPr>
                      <w:iCs/>
                      <w:sz w:val="20"/>
                    </w:rPr>
                    <w:t xml:space="preserve">The Non-Spin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70099A6" w14:textId="77777777" w:rsidTr="00C952ED">
              <w:trPr>
                <w:cantSplit/>
              </w:trPr>
              <w:tc>
                <w:tcPr>
                  <w:tcW w:w="934" w:type="pct"/>
                </w:tcPr>
                <w:p w14:paraId="5BF1C590" w14:textId="33920250" w:rsidR="00D81D75" w:rsidRPr="00A552C3" w:rsidRDefault="00D81D75" w:rsidP="00D81D75">
                  <w:pPr>
                    <w:spacing w:after="60"/>
                    <w:rPr>
                      <w:iCs/>
                      <w:sz w:val="20"/>
                    </w:rPr>
                  </w:pPr>
                  <w:r w:rsidRPr="00A552C3">
                    <w:rPr>
                      <w:iCs/>
                      <w:sz w:val="20"/>
                    </w:rPr>
                    <w:t xml:space="preserve">RTECRAWDS </w:t>
                  </w:r>
                  <w:r w:rsidRPr="00A552C3">
                    <w:rPr>
                      <w:i/>
                      <w:iCs/>
                      <w:sz w:val="20"/>
                      <w:vertAlign w:val="subscript"/>
                    </w:rPr>
                    <w:t>q, r, y</w:t>
                  </w:r>
                </w:p>
              </w:tc>
              <w:tc>
                <w:tcPr>
                  <w:tcW w:w="481" w:type="pct"/>
                </w:tcPr>
                <w:p w14:paraId="6535139B" w14:textId="77777777" w:rsidR="00D81D75" w:rsidRPr="00A552C3" w:rsidRDefault="00D81D75" w:rsidP="00D81D75">
                  <w:pPr>
                    <w:spacing w:after="60"/>
                    <w:rPr>
                      <w:iCs/>
                      <w:sz w:val="20"/>
                    </w:rPr>
                  </w:pPr>
                  <w:r w:rsidRPr="00A552C3">
                    <w:rPr>
                      <w:iCs/>
                      <w:sz w:val="20"/>
                    </w:rPr>
                    <w:t>MW</w:t>
                  </w:r>
                </w:p>
              </w:tc>
              <w:tc>
                <w:tcPr>
                  <w:tcW w:w="3585" w:type="pct"/>
                </w:tcPr>
                <w:p w14:paraId="403E0989" w14:textId="5183B6DC" w:rsidR="00D81D75" w:rsidRPr="00A552C3" w:rsidRDefault="00D81D75" w:rsidP="00D81D75">
                  <w:pPr>
                    <w:spacing w:after="60"/>
                    <w:rPr>
                      <w:i/>
                      <w:iCs/>
                      <w:sz w:val="20"/>
                    </w:rPr>
                  </w:pPr>
                  <w:r w:rsidRPr="00A552C3">
                    <w:rPr>
                      <w:i/>
                      <w:iCs/>
                      <w:sz w:val="20"/>
                    </w:rPr>
                    <w:t>Real-Time ERCOT Contingency Reserve Service Award per Resource per QSE per SCED interval</w:t>
                  </w:r>
                  <w:r w:rsidR="00EF12D3" w:rsidRPr="00A552C3">
                    <w:rPr>
                      <w:iCs/>
                      <w:sz w:val="20"/>
                    </w:rPr>
                    <w:t>—</w:t>
                  </w:r>
                  <w:r w:rsidRPr="00A552C3">
                    <w:rPr>
                      <w:iCs/>
                      <w:sz w:val="20"/>
                    </w:rPr>
                    <w:t xml:space="preserve">The ECRS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01B38D3A"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5D1336B7" w14:textId="77777777" w:rsidR="00D81D75" w:rsidRPr="00A552C3" w:rsidRDefault="00D81D75" w:rsidP="00D81D75">
                  <w:pPr>
                    <w:spacing w:after="60"/>
                    <w:rPr>
                      <w:iCs/>
                      <w:sz w:val="20"/>
                    </w:rPr>
                  </w:pPr>
                  <w:r w:rsidRPr="00A552C3">
                    <w:rPr>
                      <w:iCs/>
                      <w:sz w:val="20"/>
                    </w:rPr>
                    <w:t xml:space="preserve">TLMP </w:t>
                  </w:r>
                  <w:r w:rsidRPr="00A552C3">
                    <w:rPr>
                      <w:i/>
                      <w:iCs/>
                      <w:sz w:val="20"/>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4526FA46" w14:textId="77777777" w:rsidR="00D81D75" w:rsidRPr="00A552C3" w:rsidRDefault="00D81D75" w:rsidP="00D81D75">
                  <w:pPr>
                    <w:spacing w:after="60"/>
                    <w:rPr>
                      <w:iCs/>
                      <w:sz w:val="20"/>
                    </w:rPr>
                  </w:pPr>
                  <w:r w:rsidRPr="00A552C3">
                    <w:rPr>
                      <w:iCs/>
                      <w:sz w:val="20"/>
                    </w:rPr>
                    <w:t>second</w:t>
                  </w:r>
                </w:p>
              </w:tc>
              <w:tc>
                <w:tcPr>
                  <w:tcW w:w="3585" w:type="pct"/>
                  <w:tcBorders>
                    <w:top w:val="single" w:sz="4" w:space="0" w:color="auto"/>
                    <w:left w:val="single" w:sz="4" w:space="0" w:color="auto"/>
                    <w:bottom w:val="single" w:sz="4" w:space="0" w:color="auto"/>
                    <w:right w:val="single" w:sz="4" w:space="0" w:color="auto"/>
                  </w:tcBorders>
                </w:tcPr>
                <w:p w14:paraId="035C2993" w14:textId="77777777" w:rsidR="00D81D75" w:rsidRPr="00A552C3" w:rsidRDefault="00D81D75" w:rsidP="00D81D75">
                  <w:pPr>
                    <w:spacing w:after="60"/>
                    <w:rPr>
                      <w:iCs/>
                      <w:sz w:val="20"/>
                    </w:rPr>
                  </w:pPr>
                  <w:r w:rsidRPr="00A552C3">
                    <w:rPr>
                      <w:i/>
                      <w:sz w:val="20"/>
                    </w:rPr>
                    <w:t>Duration of Emergency Base Point interval or SCED interval per interval</w:t>
                  </w:r>
                  <w:r w:rsidRPr="00A552C3">
                    <w:rPr>
                      <w:iCs/>
                      <w:sz w:val="20"/>
                    </w:rPr>
                    <w:t xml:space="preserve">—The duration of the portion of the Emergency Base Point interval or SCED interval </w:t>
                  </w:r>
                  <w:r w:rsidRPr="00A552C3">
                    <w:rPr>
                      <w:i/>
                      <w:iCs/>
                      <w:sz w:val="20"/>
                    </w:rPr>
                    <w:t>y</w:t>
                  </w:r>
                  <w:r w:rsidRPr="00A552C3">
                    <w:rPr>
                      <w:iCs/>
                      <w:sz w:val="20"/>
                    </w:rPr>
                    <w:t xml:space="preserve"> </w:t>
                  </w:r>
                  <w:r w:rsidRPr="00A552C3">
                    <w:rPr>
                      <w:sz w:val="20"/>
                    </w:rPr>
                    <w:t>within the 15-minute Settlement Interval</w:t>
                  </w:r>
                  <w:r w:rsidRPr="00A552C3">
                    <w:rPr>
                      <w:iCs/>
                      <w:sz w:val="20"/>
                    </w:rPr>
                    <w:t>.</w:t>
                  </w:r>
                </w:p>
              </w:tc>
            </w:tr>
            <w:tr w:rsidR="00D81D75" w:rsidRPr="00A552C3" w14:paraId="5EEE59CE"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603D8C9C" w14:textId="77777777" w:rsidR="00D81D75" w:rsidRPr="00A552C3" w:rsidRDefault="00D81D75" w:rsidP="00D81D75">
                  <w:pPr>
                    <w:spacing w:after="60"/>
                    <w:rPr>
                      <w:i/>
                      <w:iCs/>
                      <w:sz w:val="20"/>
                    </w:rPr>
                  </w:pPr>
                  <w:r w:rsidRPr="00A552C3">
                    <w:rPr>
                      <w:i/>
                      <w:iCs/>
                      <w:sz w:val="20"/>
                    </w:rPr>
                    <w:t>q</w:t>
                  </w:r>
                </w:p>
              </w:tc>
              <w:tc>
                <w:tcPr>
                  <w:tcW w:w="481" w:type="pct"/>
                  <w:tcBorders>
                    <w:top w:val="single" w:sz="4" w:space="0" w:color="auto"/>
                    <w:left w:val="single" w:sz="4" w:space="0" w:color="auto"/>
                    <w:bottom w:val="single" w:sz="4" w:space="0" w:color="auto"/>
                    <w:right w:val="single" w:sz="4" w:space="0" w:color="auto"/>
                  </w:tcBorders>
                </w:tcPr>
                <w:p w14:paraId="344832C3"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50D03782" w14:textId="77777777" w:rsidR="00D81D75" w:rsidRPr="00A552C3" w:rsidRDefault="00D81D75" w:rsidP="00D81D75">
                  <w:pPr>
                    <w:spacing w:after="60"/>
                    <w:rPr>
                      <w:iCs/>
                      <w:sz w:val="20"/>
                    </w:rPr>
                  </w:pPr>
                  <w:r w:rsidRPr="00A552C3">
                    <w:rPr>
                      <w:iCs/>
                      <w:sz w:val="20"/>
                    </w:rPr>
                    <w:t>A QSE.</w:t>
                  </w:r>
                </w:p>
              </w:tc>
            </w:tr>
            <w:tr w:rsidR="00D81D75" w:rsidRPr="00A552C3" w14:paraId="036AC16C"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8F81D08" w14:textId="77777777" w:rsidR="00D81D75" w:rsidRPr="00A552C3" w:rsidRDefault="00D81D75" w:rsidP="00D81D75">
                  <w:pPr>
                    <w:spacing w:after="60"/>
                    <w:rPr>
                      <w:i/>
                      <w:iCs/>
                      <w:sz w:val="20"/>
                    </w:rPr>
                  </w:pPr>
                  <w:r w:rsidRPr="00A552C3">
                    <w:rPr>
                      <w:i/>
                      <w:iCs/>
                      <w:sz w:val="20"/>
                    </w:rPr>
                    <w:t>p</w:t>
                  </w:r>
                </w:p>
              </w:tc>
              <w:tc>
                <w:tcPr>
                  <w:tcW w:w="481" w:type="pct"/>
                  <w:tcBorders>
                    <w:top w:val="single" w:sz="4" w:space="0" w:color="auto"/>
                    <w:left w:val="single" w:sz="4" w:space="0" w:color="auto"/>
                    <w:bottom w:val="single" w:sz="4" w:space="0" w:color="auto"/>
                    <w:right w:val="single" w:sz="4" w:space="0" w:color="auto"/>
                  </w:tcBorders>
                </w:tcPr>
                <w:p w14:paraId="617EBD02"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5625CE5E" w14:textId="77777777" w:rsidR="00D81D75" w:rsidRPr="00A552C3" w:rsidRDefault="00D81D75" w:rsidP="00D81D75">
                  <w:pPr>
                    <w:spacing w:after="60"/>
                    <w:rPr>
                      <w:iCs/>
                      <w:sz w:val="20"/>
                    </w:rPr>
                  </w:pPr>
                  <w:r w:rsidRPr="00A552C3">
                    <w:rPr>
                      <w:iCs/>
                      <w:sz w:val="20"/>
                    </w:rPr>
                    <w:t>A Resource Node Settlement Point.</w:t>
                  </w:r>
                </w:p>
              </w:tc>
            </w:tr>
            <w:tr w:rsidR="00D81D75" w:rsidRPr="00A552C3" w14:paraId="41F56BBD"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318AF479" w14:textId="77777777" w:rsidR="00D81D75" w:rsidRPr="00A552C3" w:rsidRDefault="00D81D75" w:rsidP="00D81D75">
                  <w:pPr>
                    <w:spacing w:after="60"/>
                    <w:rPr>
                      <w:i/>
                      <w:iCs/>
                      <w:sz w:val="20"/>
                    </w:rPr>
                  </w:pPr>
                  <w:r w:rsidRPr="00A552C3">
                    <w:rPr>
                      <w:i/>
                      <w:iCs/>
                      <w:sz w:val="20"/>
                    </w:rPr>
                    <w:t>r</w:t>
                  </w:r>
                </w:p>
              </w:tc>
              <w:tc>
                <w:tcPr>
                  <w:tcW w:w="481" w:type="pct"/>
                  <w:tcBorders>
                    <w:top w:val="single" w:sz="4" w:space="0" w:color="auto"/>
                    <w:left w:val="single" w:sz="4" w:space="0" w:color="auto"/>
                    <w:bottom w:val="single" w:sz="4" w:space="0" w:color="auto"/>
                    <w:right w:val="single" w:sz="4" w:space="0" w:color="auto"/>
                  </w:tcBorders>
                </w:tcPr>
                <w:p w14:paraId="3AD18E30"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1448A52D" w14:textId="77777777" w:rsidR="00D81D75" w:rsidRPr="00A552C3" w:rsidRDefault="00D81D75" w:rsidP="00D81D75">
                  <w:pPr>
                    <w:spacing w:after="60"/>
                    <w:rPr>
                      <w:iCs/>
                      <w:sz w:val="20"/>
                    </w:rPr>
                  </w:pPr>
                  <w:r w:rsidRPr="00A552C3">
                    <w:rPr>
                      <w:iCs/>
                      <w:sz w:val="20"/>
                    </w:rPr>
                    <w:t>A Generation Resource or ESR.</w:t>
                  </w:r>
                </w:p>
              </w:tc>
            </w:tr>
            <w:tr w:rsidR="00D81D75" w:rsidRPr="00A552C3" w14:paraId="5510FEDE"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F331AEE" w14:textId="77777777" w:rsidR="00D81D75" w:rsidRPr="00A552C3" w:rsidRDefault="00D81D75" w:rsidP="00D81D75">
                  <w:pPr>
                    <w:spacing w:after="60"/>
                    <w:rPr>
                      <w:i/>
                      <w:iCs/>
                      <w:sz w:val="20"/>
                    </w:rPr>
                  </w:pPr>
                  <w:r w:rsidRPr="00A552C3">
                    <w:rPr>
                      <w:i/>
                      <w:iCs/>
                      <w:sz w:val="20"/>
                    </w:rPr>
                    <w:t>y</w:t>
                  </w:r>
                </w:p>
              </w:tc>
              <w:tc>
                <w:tcPr>
                  <w:tcW w:w="481" w:type="pct"/>
                  <w:tcBorders>
                    <w:top w:val="single" w:sz="4" w:space="0" w:color="auto"/>
                    <w:left w:val="single" w:sz="4" w:space="0" w:color="auto"/>
                    <w:bottom w:val="single" w:sz="4" w:space="0" w:color="auto"/>
                    <w:right w:val="single" w:sz="4" w:space="0" w:color="auto"/>
                  </w:tcBorders>
                </w:tcPr>
                <w:p w14:paraId="669D2487"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358F49DA" w14:textId="77777777" w:rsidR="00D81D75" w:rsidRPr="00A552C3" w:rsidRDefault="00D81D75" w:rsidP="00D81D75">
                  <w:pPr>
                    <w:spacing w:after="60"/>
                    <w:rPr>
                      <w:iCs/>
                      <w:sz w:val="20"/>
                    </w:rPr>
                  </w:pPr>
                  <w:r w:rsidRPr="00A552C3">
                    <w:rPr>
                      <w:iCs/>
                      <w:sz w:val="20"/>
                    </w:rPr>
                    <w:t>An Emergency Base Point interval or SCED interval that overlaps the 15-minute Settlement Interval.</w:t>
                  </w:r>
                </w:p>
              </w:tc>
            </w:tr>
            <w:tr w:rsidR="00D81D75" w:rsidRPr="00A552C3" w14:paraId="3049C511"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080E8037" w14:textId="77777777" w:rsidR="00D81D75" w:rsidRPr="00A552C3" w:rsidRDefault="00D81D75" w:rsidP="00D81D75">
                  <w:pPr>
                    <w:spacing w:after="60"/>
                    <w:rPr>
                      <w:iCs/>
                      <w:sz w:val="20"/>
                    </w:rPr>
                  </w:pPr>
                  <w:r w:rsidRPr="00A552C3">
                    <w:rPr>
                      <w:iCs/>
                      <w:sz w:val="20"/>
                    </w:rPr>
                    <w:t>3600</w:t>
                  </w:r>
                </w:p>
              </w:tc>
              <w:tc>
                <w:tcPr>
                  <w:tcW w:w="481" w:type="pct"/>
                  <w:tcBorders>
                    <w:top w:val="single" w:sz="4" w:space="0" w:color="auto"/>
                    <w:left w:val="single" w:sz="4" w:space="0" w:color="auto"/>
                    <w:bottom w:val="single" w:sz="4" w:space="0" w:color="auto"/>
                    <w:right w:val="single" w:sz="4" w:space="0" w:color="auto"/>
                  </w:tcBorders>
                </w:tcPr>
                <w:p w14:paraId="2F59713C"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1559C791" w14:textId="77777777" w:rsidR="00D81D75" w:rsidRPr="00A552C3" w:rsidRDefault="00D81D75" w:rsidP="00D81D75">
                  <w:pPr>
                    <w:spacing w:after="60"/>
                    <w:rPr>
                      <w:iCs/>
                      <w:sz w:val="20"/>
                    </w:rPr>
                  </w:pPr>
                  <w:r w:rsidRPr="00A552C3">
                    <w:rPr>
                      <w:iCs/>
                      <w:sz w:val="20"/>
                    </w:rPr>
                    <w:t>The number of seconds in one hour.</w:t>
                  </w:r>
                </w:p>
              </w:tc>
            </w:tr>
          </w:tbl>
          <w:p w14:paraId="1919EA48" w14:textId="50E350E3" w:rsidR="00D81D75" w:rsidRPr="00A552C3" w:rsidRDefault="00D81D75" w:rsidP="00D81D75">
            <w:pPr>
              <w:spacing w:before="240" w:after="240"/>
              <w:ind w:left="720" w:hanging="720"/>
              <w:rPr>
                <w:iCs/>
              </w:rPr>
            </w:pPr>
            <w:r w:rsidRPr="00A552C3">
              <w:rPr>
                <w:iCs/>
              </w:rPr>
              <w:t>(3)</w:t>
            </w:r>
            <w:r w:rsidRPr="00A552C3">
              <w:rPr>
                <w:iCs/>
              </w:rPr>
              <w:tab/>
              <w:t>The extension of the Energy Offer Curve or Energy Bid/Offer Curve</w:t>
            </w:r>
            <w:r w:rsidR="00D46B94" w:rsidRPr="00D476E3">
              <w:rPr>
                <w:iCs/>
              </w:rPr>
              <w:t xml:space="preserve"> and Mitigated Offer Cap (MOC)</w:t>
            </w:r>
            <w:r w:rsidRPr="00A552C3">
              <w:rPr>
                <w:iCs/>
              </w:rPr>
              <w:t xml:space="preserve"> is used to calculate the Emergency Base Point Price</w:t>
            </w:r>
            <w:r w:rsidR="00103BC5">
              <w:rPr>
                <w:iCs/>
              </w:rPr>
              <w:t xml:space="preserve"> </w:t>
            </w:r>
            <w:r w:rsidR="00103BC5" w:rsidRPr="00D476E3">
              <w:rPr>
                <w:iCs/>
              </w:rPr>
              <w:t>(EBPPR)</w:t>
            </w:r>
            <w:r w:rsidRPr="00A552C3">
              <w:rPr>
                <w:iCs/>
              </w:rPr>
              <w:t xml:space="preserve">.  If the Emergency Base Point MW value is greater than the largest MW value on the Energy Offer Curve or Energy Bid/Offer Curve submitted by the QSE for the Resource, </w:t>
            </w:r>
            <w:r w:rsidR="00103BC5" w:rsidRPr="00D476E3">
              <w:rPr>
                <w:iCs/>
              </w:rPr>
              <w:t xml:space="preserve">or the Resource’s MOC, </w:t>
            </w:r>
            <w:r w:rsidRPr="00A552C3">
              <w:rPr>
                <w:iCs/>
              </w:rPr>
              <w:t>then the Energy Offer Curve</w:t>
            </w:r>
            <w:r w:rsidR="00103BC5">
              <w:rPr>
                <w:iCs/>
              </w:rPr>
              <w:t>,</w:t>
            </w:r>
            <w:r w:rsidRPr="00A552C3">
              <w:rPr>
                <w:iCs/>
              </w:rPr>
              <w:t xml:space="preserve"> Energy Bid/Offer Curve</w:t>
            </w:r>
            <w:r w:rsidR="00103BC5" w:rsidRPr="00D476E3">
              <w:rPr>
                <w:iCs/>
              </w:rPr>
              <w:t>, or MOC</w:t>
            </w:r>
            <w:r w:rsidRPr="00A552C3">
              <w:rPr>
                <w:iCs/>
              </w:rPr>
              <w:t xml:space="preserve"> is extended to the Emergency Base Point MW value with a $/MWh value that is </w:t>
            </w:r>
            <w:r w:rsidR="00103BC5">
              <w:rPr>
                <w:iCs/>
              </w:rPr>
              <w:t xml:space="preserve">equal to </w:t>
            </w:r>
            <w:r w:rsidRPr="00A552C3">
              <w:rPr>
                <w:iCs/>
              </w:rPr>
              <w:t xml:space="preserve">the </w:t>
            </w:r>
            <w:r w:rsidR="00103BC5" w:rsidRPr="00D476E3">
              <w:rPr>
                <w:iCs/>
              </w:rPr>
              <w:t>highest $/MWh value on the applicable curve.</w:t>
            </w:r>
            <w:r w:rsidR="00103BC5">
              <w:rPr>
                <w:iCs/>
              </w:rPr>
              <w:t xml:space="preserve">  </w:t>
            </w:r>
            <w:r w:rsidR="00103BC5" w:rsidRPr="00D476E3">
              <w:rPr>
                <w:iCs/>
              </w:rPr>
              <w:t>If the Emergency Base Point MW value is lower than the lowest MW value on the Energy Offer Curve or Energy Bid/Offer Curve submitted by the QSE for the Resource, or the Resource’s MOC, then the Energy Offer Curve, Energy Bid/Offer Curve or MOC is extended to the Emergency Base Point MW value with a $/MWh value that is equal to the lowest $/MWh value on the applicable curve.</w:t>
            </w:r>
          </w:p>
          <w:p w14:paraId="015BCD62" w14:textId="77777777" w:rsidR="00D81D75" w:rsidRPr="00A552C3" w:rsidRDefault="00D81D75" w:rsidP="00D81D75">
            <w:pPr>
              <w:spacing w:after="240"/>
              <w:ind w:left="720" w:hanging="720"/>
              <w:rPr>
                <w:iCs/>
              </w:rPr>
            </w:pPr>
            <w:r w:rsidRPr="00A552C3">
              <w:rPr>
                <w:iCs/>
              </w:rPr>
              <w:t>(4)</w:t>
            </w:r>
            <w:r w:rsidRPr="00A552C3">
              <w:rPr>
                <w:iCs/>
              </w:rPr>
              <w:tab/>
              <w:t>The total additional compensation to each QSE for emergency Settlement of Resources for the 15-minute Settlement Interval is calculated as follows:</w:t>
            </w:r>
          </w:p>
          <w:p w14:paraId="39E2D7CF" w14:textId="77777777" w:rsidR="00D81D75" w:rsidRPr="00A552C3" w:rsidRDefault="00D81D75" w:rsidP="00D81D75">
            <w:pPr>
              <w:tabs>
                <w:tab w:val="left" w:pos="2340"/>
                <w:tab w:val="left" w:pos="3420"/>
              </w:tabs>
              <w:spacing w:before="240" w:after="240"/>
              <w:ind w:left="3420" w:hanging="2700"/>
              <w:rPr>
                <w:b/>
                <w:bCs/>
              </w:rPr>
            </w:pPr>
            <w:r w:rsidRPr="00A552C3">
              <w:rPr>
                <w:b/>
                <w:bCs/>
              </w:rPr>
              <w:t xml:space="preserve">EMREAMTQSETOT </w:t>
            </w:r>
            <w:r w:rsidRPr="00A552C3">
              <w:rPr>
                <w:b/>
                <w:bCs/>
                <w:i/>
                <w:vertAlign w:val="subscript"/>
              </w:rPr>
              <w:t>q</w:t>
            </w:r>
            <w:r w:rsidRPr="00A552C3">
              <w:rPr>
                <w:b/>
                <w:bCs/>
              </w:rPr>
              <w:tab/>
              <w:t>=</w:t>
            </w:r>
            <w:r w:rsidRPr="00A552C3">
              <w:rPr>
                <w:b/>
                <w:bCs/>
              </w:rPr>
              <w:tab/>
            </w:r>
            <w:r w:rsidRPr="00A552C3">
              <w:rPr>
                <w:b/>
                <w:bCs/>
                <w:position w:val="-18"/>
              </w:rPr>
              <w:object w:dxaOrig="225" w:dyaOrig="420" w14:anchorId="09BC21B8">
                <v:shape id="_x0000_i1266" type="#_x0000_t75" style="width:12pt;height:24pt" o:ole="">
                  <v:imagedata r:id="rId238" o:title=""/>
                </v:shape>
                <o:OLEObject Type="Embed" ProgID="Equation.3" ShapeID="_x0000_i1266" DrawAspect="Content" ObjectID="_1815025455" r:id="rId323"/>
              </w:object>
            </w:r>
            <w:r w:rsidRPr="00A552C3">
              <w:rPr>
                <w:b/>
                <w:bCs/>
                <w:position w:val="-22"/>
              </w:rPr>
              <w:object w:dxaOrig="225" w:dyaOrig="465" w14:anchorId="11663CF4">
                <v:shape id="_x0000_i1267" type="#_x0000_t75" style="width:12pt;height:24.6pt" o:ole="">
                  <v:imagedata r:id="rId172" o:title=""/>
                </v:shape>
                <o:OLEObject Type="Embed" ProgID="Equation.3" ShapeID="_x0000_i1267" DrawAspect="Content" ObjectID="_1815025456" r:id="rId324"/>
              </w:object>
            </w:r>
            <w:r w:rsidRPr="00A552C3">
              <w:rPr>
                <w:b/>
                <w:bCs/>
              </w:rPr>
              <w:t xml:space="preserve">EMREAMT </w:t>
            </w:r>
            <w:r w:rsidRPr="00A552C3">
              <w:rPr>
                <w:b/>
                <w:bCs/>
                <w:i/>
                <w:vertAlign w:val="subscript"/>
              </w:rPr>
              <w:t>q, r, p</w:t>
            </w:r>
          </w:p>
          <w:p w14:paraId="4E7DEFCF" w14:textId="77777777" w:rsidR="00D81D75" w:rsidRPr="00A552C3" w:rsidRDefault="00D81D75" w:rsidP="00D81D75">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825"/>
              <w:gridCol w:w="6027"/>
            </w:tblGrid>
            <w:tr w:rsidR="00D81D75" w:rsidRPr="00A552C3" w14:paraId="5F669AD8" w14:textId="77777777" w:rsidTr="00C952ED">
              <w:trPr>
                <w:cantSplit/>
                <w:tblHeader/>
              </w:trPr>
              <w:tc>
                <w:tcPr>
                  <w:tcW w:w="1239" w:type="pct"/>
                </w:tcPr>
                <w:p w14:paraId="5065ADFE" w14:textId="77777777" w:rsidR="00D81D75" w:rsidRPr="00A552C3" w:rsidRDefault="00D81D75" w:rsidP="00D81D75">
                  <w:pPr>
                    <w:spacing w:after="240"/>
                    <w:rPr>
                      <w:b/>
                      <w:iCs/>
                      <w:sz w:val="20"/>
                    </w:rPr>
                  </w:pPr>
                  <w:r w:rsidRPr="00A552C3">
                    <w:rPr>
                      <w:b/>
                      <w:iCs/>
                      <w:sz w:val="20"/>
                    </w:rPr>
                    <w:t>Variable</w:t>
                  </w:r>
                </w:p>
              </w:tc>
              <w:tc>
                <w:tcPr>
                  <w:tcW w:w="453" w:type="pct"/>
                </w:tcPr>
                <w:p w14:paraId="67D0C249" w14:textId="77777777" w:rsidR="00D81D75" w:rsidRPr="00A552C3" w:rsidRDefault="00D81D75" w:rsidP="00D81D75">
                  <w:pPr>
                    <w:spacing w:after="240"/>
                    <w:rPr>
                      <w:b/>
                      <w:iCs/>
                      <w:sz w:val="20"/>
                    </w:rPr>
                  </w:pPr>
                  <w:r w:rsidRPr="00A552C3">
                    <w:rPr>
                      <w:b/>
                      <w:iCs/>
                      <w:sz w:val="20"/>
                    </w:rPr>
                    <w:t>Unit</w:t>
                  </w:r>
                </w:p>
              </w:tc>
              <w:tc>
                <w:tcPr>
                  <w:tcW w:w="3308" w:type="pct"/>
                </w:tcPr>
                <w:p w14:paraId="4EBA62A1" w14:textId="77777777" w:rsidR="00D81D75" w:rsidRPr="00A552C3" w:rsidRDefault="00D81D75" w:rsidP="00D81D75">
                  <w:pPr>
                    <w:spacing w:after="240"/>
                    <w:rPr>
                      <w:b/>
                      <w:iCs/>
                      <w:sz w:val="20"/>
                    </w:rPr>
                  </w:pPr>
                  <w:r w:rsidRPr="00A552C3">
                    <w:rPr>
                      <w:b/>
                      <w:iCs/>
                      <w:sz w:val="20"/>
                    </w:rPr>
                    <w:t>Definition</w:t>
                  </w:r>
                </w:p>
              </w:tc>
            </w:tr>
            <w:tr w:rsidR="00D81D75" w:rsidRPr="00A552C3" w14:paraId="1DEA6462" w14:textId="77777777" w:rsidTr="00C952ED">
              <w:trPr>
                <w:cantSplit/>
              </w:trPr>
              <w:tc>
                <w:tcPr>
                  <w:tcW w:w="1239" w:type="pct"/>
                </w:tcPr>
                <w:p w14:paraId="7E4F40EF" w14:textId="77777777" w:rsidR="00D81D75" w:rsidRPr="00A552C3" w:rsidRDefault="00D81D75" w:rsidP="00D81D75">
                  <w:pPr>
                    <w:spacing w:after="60"/>
                    <w:rPr>
                      <w:iCs/>
                      <w:sz w:val="20"/>
                    </w:rPr>
                  </w:pPr>
                  <w:r w:rsidRPr="00A552C3">
                    <w:rPr>
                      <w:iCs/>
                      <w:sz w:val="20"/>
                    </w:rPr>
                    <w:t xml:space="preserve">EMREAMTQSETOT </w:t>
                  </w:r>
                  <w:r w:rsidRPr="00A552C3">
                    <w:rPr>
                      <w:i/>
                      <w:iCs/>
                      <w:sz w:val="20"/>
                      <w:vertAlign w:val="subscript"/>
                    </w:rPr>
                    <w:t>q</w:t>
                  </w:r>
                </w:p>
              </w:tc>
              <w:tc>
                <w:tcPr>
                  <w:tcW w:w="453" w:type="pct"/>
                </w:tcPr>
                <w:p w14:paraId="417B0351" w14:textId="77777777" w:rsidR="00D81D75" w:rsidRPr="00A552C3" w:rsidRDefault="00D81D75" w:rsidP="00D81D75">
                  <w:pPr>
                    <w:spacing w:after="60"/>
                    <w:rPr>
                      <w:iCs/>
                      <w:sz w:val="20"/>
                    </w:rPr>
                  </w:pPr>
                  <w:r w:rsidRPr="00A552C3">
                    <w:rPr>
                      <w:iCs/>
                      <w:sz w:val="20"/>
                    </w:rPr>
                    <w:t>$</w:t>
                  </w:r>
                </w:p>
              </w:tc>
              <w:tc>
                <w:tcPr>
                  <w:tcW w:w="3308" w:type="pct"/>
                </w:tcPr>
                <w:p w14:paraId="273B02E2" w14:textId="77777777" w:rsidR="00D81D75" w:rsidRPr="00A552C3" w:rsidRDefault="00D81D75" w:rsidP="00D81D75">
                  <w:pPr>
                    <w:spacing w:after="60"/>
                    <w:rPr>
                      <w:iCs/>
                      <w:sz w:val="20"/>
                    </w:rPr>
                  </w:pPr>
                  <w:r w:rsidRPr="00A552C3">
                    <w:rPr>
                      <w:i/>
                      <w:iCs/>
                      <w:sz w:val="20"/>
                    </w:rPr>
                    <w:t>Emergency Energy Amount QSE Total per QSE</w:t>
                  </w:r>
                  <w:r w:rsidRPr="00A552C3">
                    <w:rPr>
                      <w:iCs/>
                      <w:sz w:val="20"/>
                    </w:rPr>
                    <w:sym w:font="Symbol" w:char="F0BE"/>
                  </w:r>
                  <w:r w:rsidRPr="00A552C3">
                    <w:rPr>
                      <w:iCs/>
                      <w:sz w:val="20"/>
                    </w:rPr>
                    <w:t xml:space="preserve">The total of the payments to QSE </w:t>
                  </w:r>
                  <w:r w:rsidRPr="00A552C3">
                    <w:rPr>
                      <w:i/>
                      <w:iCs/>
                      <w:sz w:val="20"/>
                    </w:rPr>
                    <w:t>q</w:t>
                  </w:r>
                  <w:r w:rsidRPr="00A552C3">
                    <w:rPr>
                      <w:iCs/>
                      <w:sz w:val="20"/>
                    </w:rPr>
                    <w:t xml:space="preserve"> as additional compensation for additional energy or Ancillary Services of the Resources represented by this QSE for the 15-minute Settlement Interval.</w:t>
                  </w:r>
                </w:p>
              </w:tc>
            </w:tr>
            <w:tr w:rsidR="00D81D75" w:rsidRPr="00A552C3" w14:paraId="7F7B05A9" w14:textId="77777777" w:rsidTr="00C952ED">
              <w:trPr>
                <w:cantSplit/>
              </w:trPr>
              <w:tc>
                <w:tcPr>
                  <w:tcW w:w="1239" w:type="pct"/>
                </w:tcPr>
                <w:p w14:paraId="4419B3A1" w14:textId="77777777" w:rsidR="00D81D75" w:rsidRPr="00A552C3" w:rsidRDefault="00D81D75" w:rsidP="00D81D75">
                  <w:pPr>
                    <w:spacing w:after="60"/>
                    <w:rPr>
                      <w:iCs/>
                      <w:sz w:val="20"/>
                    </w:rPr>
                  </w:pPr>
                  <w:r w:rsidRPr="00A552C3">
                    <w:rPr>
                      <w:iCs/>
                      <w:sz w:val="20"/>
                    </w:rPr>
                    <w:lastRenderedPageBreak/>
                    <w:t xml:space="preserve">EMREAMT </w:t>
                  </w:r>
                  <w:r w:rsidRPr="00A552C3">
                    <w:rPr>
                      <w:i/>
                      <w:iCs/>
                      <w:sz w:val="20"/>
                      <w:vertAlign w:val="subscript"/>
                    </w:rPr>
                    <w:t>q, r, p</w:t>
                  </w:r>
                </w:p>
              </w:tc>
              <w:tc>
                <w:tcPr>
                  <w:tcW w:w="453" w:type="pct"/>
                </w:tcPr>
                <w:p w14:paraId="290D11E3" w14:textId="77777777" w:rsidR="00D81D75" w:rsidRPr="00A552C3" w:rsidRDefault="00D81D75" w:rsidP="00D81D75">
                  <w:pPr>
                    <w:spacing w:after="60"/>
                    <w:rPr>
                      <w:iCs/>
                      <w:sz w:val="20"/>
                    </w:rPr>
                  </w:pPr>
                  <w:r w:rsidRPr="00A552C3">
                    <w:rPr>
                      <w:iCs/>
                      <w:sz w:val="20"/>
                    </w:rPr>
                    <w:t>$</w:t>
                  </w:r>
                </w:p>
              </w:tc>
              <w:tc>
                <w:tcPr>
                  <w:tcW w:w="3308" w:type="pct"/>
                </w:tcPr>
                <w:p w14:paraId="7574089A" w14:textId="77777777" w:rsidR="00D81D75" w:rsidRPr="00A552C3" w:rsidRDefault="00D81D75" w:rsidP="00D81D75">
                  <w:pPr>
                    <w:spacing w:after="60"/>
                    <w:rPr>
                      <w:iCs/>
                      <w:sz w:val="20"/>
                    </w:rPr>
                  </w:pPr>
                  <w:r w:rsidRPr="00A552C3">
                    <w:rPr>
                      <w:i/>
                      <w:iCs/>
                      <w:sz w:val="20"/>
                    </w:rPr>
                    <w:t>Emergency Energy Amount per QSE per Settlement Point per Resource</w:t>
                  </w:r>
                  <w:r w:rsidRPr="00A552C3">
                    <w:rPr>
                      <w:iCs/>
                      <w:sz w:val="20"/>
                    </w:rPr>
                    <w:t xml:space="preserve">—The payment to QSE </w:t>
                  </w:r>
                  <w:r w:rsidRPr="00A552C3">
                    <w:rPr>
                      <w:i/>
                      <w:iCs/>
                      <w:sz w:val="20"/>
                    </w:rPr>
                    <w:t>q</w:t>
                  </w:r>
                  <w:r w:rsidRPr="00A552C3">
                    <w:rPr>
                      <w:iCs/>
                      <w:sz w:val="20"/>
                    </w:rPr>
                    <w:t xml:space="preserve"> as additional compensation for the additional energy or Ancillary Services produced or consumed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159955E2" w14:textId="77777777" w:rsidTr="00C952ED">
              <w:trPr>
                <w:cantSplit/>
              </w:trPr>
              <w:tc>
                <w:tcPr>
                  <w:tcW w:w="1239" w:type="pct"/>
                  <w:tcBorders>
                    <w:top w:val="single" w:sz="4" w:space="0" w:color="auto"/>
                    <w:left w:val="single" w:sz="4" w:space="0" w:color="auto"/>
                    <w:bottom w:val="single" w:sz="4" w:space="0" w:color="auto"/>
                    <w:right w:val="single" w:sz="4" w:space="0" w:color="auto"/>
                  </w:tcBorders>
                </w:tcPr>
                <w:p w14:paraId="2D951F34" w14:textId="77777777" w:rsidR="00D81D75" w:rsidRPr="00A552C3" w:rsidRDefault="00D81D75" w:rsidP="00D81D75">
                  <w:pPr>
                    <w:spacing w:after="60"/>
                    <w:rPr>
                      <w:i/>
                      <w:iCs/>
                      <w:sz w:val="20"/>
                    </w:rPr>
                  </w:pPr>
                  <w:r w:rsidRPr="00A552C3">
                    <w:rPr>
                      <w:i/>
                      <w:iCs/>
                      <w:sz w:val="20"/>
                    </w:rPr>
                    <w:t>q</w:t>
                  </w:r>
                </w:p>
              </w:tc>
              <w:tc>
                <w:tcPr>
                  <w:tcW w:w="453" w:type="pct"/>
                  <w:tcBorders>
                    <w:top w:val="single" w:sz="4" w:space="0" w:color="auto"/>
                    <w:left w:val="single" w:sz="4" w:space="0" w:color="auto"/>
                    <w:bottom w:val="single" w:sz="4" w:space="0" w:color="auto"/>
                    <w:right w:val="single" w:sz="4" w:space="0" w:color="auto"/>
                  </w:tcBorders>
                </w:tcPr>
                <w:p w14:paraId="4CDADCA4" w14:textId="77777777" w:rsidR="00D81D75" w:rsidRPr="00A552C3" w:rsidRDefault="00D81D75" w:rsidP="00D81D75">
                  <w:pPr>
                    <w:spacing w:after="60"/>
                    <w:rPr>
                      <w:iCs/>
                      <w:sz w:val="20"/>
                    </w:rPr>
                  </w:pPr>
                  <w:r w:rsidRPr="00A552C3">
                    <w:rPr>
                      <w:iCs/>
                      <w:sz w:val="20"/>
                    </w:rPr>
                    <w:t>none</w:t>
                  </w:r>
                </w:p>
              </w:tc>
              <w:tc>
                <w:tcPr>
                  <w:tcW w:w="3308" w:type="pct"/>
                  <w:tcBorders>
                    <w:top w:val="single" w:sz="4" w:space="0" w:color="auto"/>
                    <w:left w:val="single" w:sz="4" w:space="0" w:color="auto"/>
                    <w:bottom w:val="single" w:sz="4" w:space="0" w:color="auto"/>
                    <w:right w:val="single" w:sz="4" w:space="0" w:color="auto"/>
                  </w:tcBorders>
                </w:tcPr>
                <w:p w14:paraId="034F55C0" w14:textId="77777777" w:rsidR="00D81D75" w:rsidRPr="00A552C3" w:rsidRDefault="00D81D75" w:rsidP="00D81D75">
                  <w:pPr>
                    <w:spacing w:after="60"/>
                    <w:rPr>
                      <w:iCs/>
                      <w:sz w:val="20"/>
                    </w:rPr>
                  </w:pPr>
                  <w:r w:rsidRPr="00A552C3">
                    <w:rPr>
                      <w:iCs/>
                      <w:sz w:val="20"/>
                    </w:rPr>
                    <w:t>A QSE.</w:t>
                  </w:r>
                </w:p>
              </w:tc>
            </w:tr>
            <w:tr w:rsidR="00D81D75" w:rsidRPr="00A552C3" w14:paraId="08147F29" w14:textId="77777777" w:rsidTr="00C952ED">
              <w:trPr>
                <w:cantSplit/>
              </w:trPr>
              <w:tc>
                <w:tcPr>
                  <w:tcW w:w="1239" w:type="pct"/>
                  <w:tcBorders>
                    <w:top w:val="single" w:sz="4" w:space="0" w:color="auto"/>
                    <w:left w:val="single" w:sz="4" w:space="0" w:color="auto"/>
                    <w:bottom w:val="single" w:sz="4" w:space="0" w:color="auto"/>
                    <w:right w:val="single" w:sz="4" w:space="0" w:color="auto"/>
                  </w:tcBorders>
                </w:tcPr>
                <w:p w14:paraId="36807C3F" w14:textId="77777777" w:rsidR="00D81D75" w:rsidRPr="00A552C3" w:rsidRDefault="00D81D75" w:rsidP="00D81D75">
                  <w:pPr>
                    <w:spacing w:after="60"/>
                    <w:rPr>
                      <w:i/>
                      <w:iCs/>
                      <w:sz w:val="20"/>
                    </w:rPr>
                  </w:pPr>
                  <w:r w:rsidRPr="00A552C3">
                    <w:rPr>
                      <w:i/>
                      <w:iCs/>
                      <w:sz w:val="20"/>
                    </w:rPr>
                    <w:t>p</w:t>
                  </w:r>
                </w:p>
              </w:tc>
              <w:tc>
                <w:tcPr>
                  <w:tcW w:w="453" w:type="pct"/>
                  <w:tcBorders>
                    <w:top w:val="single" w:sz="4" w:space="0" w:color="auto"/>
                    <w:left w:val="single" w:sz="4" w:space="0" w:color="auto"/>
                    <w:bottom w:val="single" w:sz="4" w:space="0" w:color="auto"/>
                    <w:right w:val="single" w:sz="4" w:space="0" w:color="auto"/>
                  </w:tcBorders>
                </w:tcPr>
                <w:p w14:paraId="7A2B4FC1" w14:textId="77777777" w:rsidR="00D81D75" w:rsidRPr="00A552C3" w:rsidRDefault="00D81D75" w:rsidP="00D81D75">
                  <w:pPr>
                    <w:spacing w:after="60"/>
                    <w:rPr>
                      <w:iCs/>
                      <w:sz w:val="20"/>
                    </w:rPr>
                  </w:pPr>
                  <w:r w:rsidRPr="00A552C3">
                    <w:rPr>
                      <w:iCs/>
                      <w:sz w:val="20"/>
                    </w:rPr>
                    <w:t>none</w:t>
                  </w:r>
                </w:p>
              </w:tc>
              <w:tc>
                <w:tcPr>
                  <w:tcW w:w="3308" w:type="pct"/>
                  <w:tcBorders>
                    <w:top w:val="single" w:sz="4" w:space="0" w:color="auto"/>
                    <w:left w:val="single" w:sz="4" w:space="0" w:color="auto"/>
                    <w:bottom w:val="single" w:sz="4" w:space="0" w:color="auto"/>
                    <w:right w:val="single" w:sz="4" w:space="0" w:color="auto"/>
                  </w:tcBorders>
                </w:tcPr>
                <w:p w14:paraId="6A9F9B44" w14:textId="77777777" w:rsidR="00D81D75" w:rsidRPr="00A552C3" w:rsidRDefault="00D81D75" w:rsidP="00D81D75">
                  <w:pPr>
                    <w:spacing w:after="60"/>
                    <w:rPr>
                      <w:iCs/>
                      <w:sz w:val="20"/>
                    </w:rPr>
                  </w:pPr>
                  <w:r w:rsidRPr="00A552C3">
                    <w:rPr>
                      <w:iCs/>
                      <w:sz w:val="20"/>
                    </w:rPr>
                    <w:t>A Resource Node Settlement Point.</w:t>
                  </w:r>
                </w:p>
              </w:tc>
            </w:tr>
            <w:tr w:rsidR="00D81D75" w:rsidRPr="00A552C3" w14:paraId="673EA990" w14:textId="77777777" w:rsidTr="00C952ED">
              <w:trPr>
                <w:cantSplit/>
              </w:trPr>
              <w:tc>
                <w:tcPr>
                  <w:tcW w:w="1239" w:type="pct"/>
                  <w:tcBorders>
                    <w:top w:val="single" w:sz="4" w:space="0" w:color="auto"/>
                    <w:left w:val="single" w:sz="4" w:space="0" w:color="auto"/>
                    <w:bottom w:val="single" w:sz="4" w:space="0" w:color="auto"/>
                    <w:right w:val="single" w:sz="4" w:space="0" w:color="auto"/>
                  </w:tcBorders>
                </w:tcPr>
                <w:p w14:paraId="155EFA40" w14:textId="77777777" w:rsidR="00D81D75" w:rsidRPr="00A552C3" w:rsidRDefault="00D81D75" w:rsidP="00D81D75">
                  <w:pPr>
                    <w:spacing w:after="60"/>
                    <w:rPr>
                      <w:i/>
                      <w:iCs/>
                      <w:sz w:val="20"/>
                    </w:rPr>
                  </w:pPr>
                  <w:r w:rsidRPr="00A552C3">
                    <w:rPr>
                      <w:i/>
                      <w:iCs/>
                      <w:sz w:val="20"/>
                    </w:rPr>
                    <w:t>r</w:t>
                  </w:r>
                </w:p>
              </w:tc>
              <w:tc>
                <w:tcPr>
                  <w:tcW w:w="453" w:type="pct"/>
                  <w:tcBorders>
                    <w:top w:val="single" w:sz="4" w:space="0" w:color="auto"/>
                    <w:left w:val="single" w:sz="4" w:space="0" w:color="auto"/>
                    <w:bottom w:val="single" w:sz="4" w:space="0" w:color="auto"/>
                    <w:right w:val="single" w:sz="4" w:space="0" w:color="auto"/>
                  </w:tcBorders>
                </w:tcPr>
                <w:p w14:paraId="77B31F1F" w14:textId="77777777" w:rsidR="00D81D75" w:rsidRPr="00A552C3" w:rsidRDefault="00D81D75" w:rsidP="00D81D75">
                  <w:pPr>
                    <w:spacing w:after="60"/>
                    <w:rPr>
                      <w:iCs/>
                      <w:sz w:val="20"/>
                    </w:rPr>
                  </w:pPr>
                  <w:r w:rsidRPr="00A552C3">
                    <w:rPr>
                      <w:iCs/>
                      <w:sz w:val="20"/>
                    </w:rPr>
                    <w:t>none</w:t>
                  </w:r>
                </w:p>
              </w:tc>
              <w:tc>
                <w:tcPr>
                  <w:tcW w:w="3308" w:type="pct"/>
                  <w:tcBorders>
                    <w:top w:val="single" w:sz="4" w:space="0" w:color="auto"/>
                    <w:left w:val="single" w:sz="4" w:space="0" w:color="auto"/>
                    <w:bottom w:val="single" w:sz="4" w:space="0" w:color="auto"/>
                    <w:right w:val="single" w:sz="4" w:space="0" w:color="auto"/>
                  </w:tcBorders>
                </w:tcPr>
                <w:p w14:paraId="2DBDD91B" w14:textId="77777777" w:rsidR="00D81D75" w:rsidRPr="00A552C3" w:rsidRDefault="00D81D75" w:rsidP="00D81D75">
                  <w:pPr>
                    <w:spacing w:after="60"/>
                    <w:rPr>
                      <w:iCs/>
                      <w:sz w:val="20"/>
                    </w:rPr>
                  </w:pPr>
                  <w:r w:rsidRPr="00A552C3">
                    <w:rPr>
                      <w:iCs/>
                      <w:sz w:val="20"/>
                    </w:rPr>
                    <w:t>A Generation Resource or ESR.</w:t>
                  </w:r>
                </w:p>
              </w:tc>
            </w:tr>
          </w:tbl>
          <w:p w14:paraId="55E6CA97" w14:textId="6E122378" w:rsidR="009117A3" w:rsidRPr="00B37C4B" w:rsidRDefault="009117A3" w:rsidP="00BE571E">
            <w:pPr>
              <w:spacing w:after="240"/>
              <w:ind w:left="720" w:hanging="720"/>
            </w:pPr>
          </w:p>
        </w:tc>
      </w:tr>
    </w:tbl>
    <w:p w14:paraId="609328B3" w14:textId="3D29F036" w:rsidR="001F04FD" w:rsidRDefault="001F04FD" w:rsidP="00FB599C">
      <w:pPr>
        <w:pStyle w:val="H4"/>
        <w:spacing w:before="480"/>
      </w:pPr>
      <w:bookmarkStart w:id="2577" w:name="_Toc204411725"/>
      <w:r>
        <w:lastRenderedPageBreak/>
        <w:t>6.6.9.2</w:t>
      </w:r>
      <w:r>
        <w:tab/>
        <w:t>Charge for Emergency Power Increases</w:t>
      </w:r>
      <w:bookmarkEnd w:id="2551"/>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77"/>
      <w:r>
        <w:t xml:space="preserve"> </w:t>
      </w:r>
      <w:bookmarkEnd w:id="2552"/>
    </w:p>
    <w:p w14:paraId="088D583C" w14:textId="77777777" w:rsidR="001F04FD" w:rsidRDefault="001F04FD" w:rsidP="001F04FD">
      <w:pPr>
        <w:pStyle w:val="BodyTextNumbered"/>
      </w:pPr>
      <w:r>
        <w:t>(1)</w:t>
      </w:r>
      <w:r>
        <w:tab/>
        <w:t xml:space="preserve">The total cost for additional compensation for </w:t>
      </w:r>
      <w:r w:rsidRPr="00991FAF">
        <w:t>emergency power increases and unannounced Generation Resource tests is allocated to the QSEs representing</w:t>
      </w:r>
      <w:r>
        <w:t xml:space="preserve"> Loads based on LRS.  The charge to each QSE for a given 15-minute Settlement Interval is calculated as follows:</w:t>
      </w:r>
    </w:p>
    <w:p w14:paraId="317EBD48" w14:textId="77777777" w:rsidR="001F04FD" w:rsidRDefault="001F04FD" w:rsidP="001F04FD">
      <w:pPr>
        <w:pStyle w:val="FormulaBold"/>
      </w:pPr>
      <w:r>
        <w:t xml:space="preserve">LAEMREAMT </w:t>
      </w:r>
      <w:r>
        <w:rPr>
          <w:i/>
          <w:vertAlign w:val="subscript"/>
        </w:rPr>
        <w:t>q</w:t>
      </w:r>
      <w:r>
        <w:tab/>
        <w:t>=</w:t>
      </w:r>
      <w:r>
        <w:tab/>
        <w:t xml:space="preserve">(-1) * EMREAMTTOT * LRS </w:t>
      </w:r>
      <w:r>
        <w:rPr>
          <w:i/>
          <w:vertAlign w:val="subscript"/>
        </w:rPr>
        <w:t>q</w:t>
      </w:r>
    </w:p>
    <w:p w14:paraId="66303192" w14:textId="77777777" w:rsidR="001F04FD" w:rsidRDefault="001F04FD" w:rsidP="001F04FD">
      <w:pPr>
        <w:pStyle w:val="BodyText"/>
      </w:pPr>
      <w:r>
        <w:t>Where:</w:t>
      </w:r>
    </w:p>
    <w:p w14:paraId="61EA93A4" w14:textId="77777777" w:rsidR="001F04FD" w:rsidRDefault="001F04FD" w:rsidP="001F04FD">
      <w:pPr>
        <w:pStyle w:val="Formula"/>
        <w:ind w:left="2880" w:hanging="2160"/>
      </w:pPr>
      <w:r>
        <w:t>EMREAMTTOT</w:t>
      </w:r>
      <w:r>
        <w:tab/>
        <w:t>=</w:t>
      </w:r>
      <w:r>
        <w:tab/>
      </w:r>
      <w:r w:rsidRPr="006F784F">
        <w:rPr>
          <w:position w:val="-22"/>
        </w:rPr>
        <w:object w:dxaOrig="210" w:dyaOrig="465" w14:anchorId="51E64969">
          <v:shape id="_x0000_i1268" type="#_x0000_t75" style="width:5.4pt;height:24.6pt" o:ole="">
            <v:imagedata r:id="rId325" o:title=""/>
          </v:shape>
          <o:OLEObject Type="Embed" ProgID="Equation.3" ShapeID="_x0000_i1268" DrawAspect="Content" ObjectID="_1815025457" r:id="rId326"/>
        </w:object>
      </w:r>
      <w:r>
        <w:t xml:space="preserve">EMREAMTQSETOT </w:t>
      </w:r>
      <w:r>
        <w:rPr>
          <w:i/>
          <w:vertAlign w:val="subscript"/>
        </w:rPr>
        <w:t>q</w:t>
      </w:r>
    </w:p>
    <w:p w14:paraId="7F2EE01A"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605"/>
        <w:gridCol w:w="6508"/>
      </w:tblGrid>
      <w:tr w:rsidR="001F04FD" w14:paraId="7E76D865" w14:textId="77777777" w:rsidTr="00AC4DEE">
        <w:trPr>
          <w:tblHeader/>
        </w:trPr>
        <w:tc>
          <w:tcPr>
            <w:tcW w:w="1203" w:type="pct"/>
          </w:tcPr>
          <w:p w14:paraId="44584A5E" w14:textId="77777777" w:rsidR="001F04FD" w:rsidRDefault="001F04FD" w:rsidP="00AC4DEE">
            <w:pPr>
              <w:pStyle w:val="TableHead"/>
            </w:pPr>
            <w:r>
              <w:t>Variable</w:t>
            </w:r>
          </w:p>
        </w:tc>
        <w:tc>
          <w:tcPr>
            <w:tcW w:w="310" w:type="pct"/>
          </w:tcPr>
          <w:p w14:paraId="0A29DAFC" w14:textId="77777777" w:rsidR="001F04FD" w:rsidRDefault="001F04FD" w:rsidP="00AC4DEE">
            <w:pPr>
              <w:pStyle w:val="TableHead"/>
            </w:pPr>
            <w:r>
              <w:t>Unit</w:t>
            </w:r>
          </w:p>
        </w:tc>
        <w:tc>
          <w:tcPr>
            <w:tcW w:w="3487" w:type="pct"/>
          </w:tcPr>
          <w:p w14:paraId="02C29911" w14:textId="77777777" w:rsidR="001F04FD" w:rsidRDefault="001F04FD" w:rsidP="00AC4DEE">
            <w:pPr>
              <w:pStyle w:val="TableHead"/>
            </w:pPr>
            <w:r>
              <w:t>Definition</w:t>
            </w:r>
          </w:p>
        </w:tc>
      </w:tr>
      <w:tr w:rsidR="001F04FD" w14:paraId="376892D0" w14:textId="77777777" w:rsidTr="00AC4DEE">
        <w:tc>
          <w:tcPr>
            <w:tcW w:w="1203" w:type="pct"/>
          </w:tcPr>
          <w:p w14:paraId="305895E1" w14:textId="77777777" w:rsidR="001F04FD" w:rsidRDefault="001F04FD" w:rsidP="00AC4DEE">
            <w:pPr>
              <w:pStyle w:val="TableBody"/>
            </w:pPr>
            <w:r>
              <w:t xml:space="preserve">LAEMREAMT </w:t>
            </w:r>
            <w:r w:rsidRPr="00E15B17">
              <w:rPr>
                <w:i/>
                <w:vertAlign w:val="subscript"/>
              </w:rPr>
              <w:t>q</w:t>
            </w:r>
          </w:p>
        </w:tc>
        <w:tc>
          <w:tcPr>
            <w:tcW w:w="310" w:type="pct"/>
          </w:tcPr>
          <w:p w14:paraId="517A949B" w14:textId="77777777" w:rsidR="001F04FD" w:rsidRDefault="001F04FD" w:rsidP="00AC4DEE">
            <w:pPr>
              <w:pStyle w:val="TableBody"/>
            </w:pPr>
            <w:r>
              <w:t>$</w:t>
            </w:r>
          </w:p>
        </w:tc>
        <w:tc>
          <w:tcPr>
            <w:tcW w:w="3487" w:type="pct"/>
          </w:tcPr>
          <w:p w14:paraId="66A3DD2A" w14:textId="77777777" w:rsidR="001F04FD" w:rsidRDefault="001F04FD" w:rsidP="00AC4DEE">
            <w:pPr>
              <w:pStyle w:val="TableBody"/>
            </w:pPr>
            <w:r>
              <w:rPr>
                <w:i/>
              </w:rPr>
              <w:t>Load-Allocated Emergency Energy Amount per QSE</w:t>
            </w:r>
            <w:r>
              <w:t xml:space="preserve">—The QSE </w:t>
            </w:r>
            <w:r>
              <w:rPr>
                <w:i/>
              </w:rPr>
              <w:t>q</w:t>
            </w:r>
            <w:r>
              <w:t>’s Load-allocated amount of the total payments for all the Generation Resources with Real-Time Emergency Base Points, for the 15-minute Settlement Interval.</w:t>
            </w:r>
          </w:p>
        </w:tc>
      </w:tr>
      <w:tr w:rsidR="001F04FD" w14:paraId="385E7AEB" w14:textId="77777777" w:rsidTr="00AC4DEE">
        <w:tc>
          <w:tcPr>
            <w:tcW w:w="1203" w:type="pct"/>
          </w:tcPr>
          <w:p w14:paraId="41D50762" w14:textId="77777777" w:rsidR="001F04FD" w:rsidRDefault="001F04FD" w:rsidP="00AC4DEE">
            <w:pPr>
              <w:pStyle w:val="TableBody"/>
            </w:pPr>
            <w:r>
              <w:t>EMREAMTTOT</w:t>
            </w:r>
          </w:p>
        </w:tc>
        <w:tc>
          <w:tcPr>
            <w:tcW w:w="310" w:type="pct"/>
          </w:tcPr>
          <w:p w14:paraId="248921EE" w14:textId="77777777" w:rsidR="001F04FD" w:rsidRDefault="001F04FD" w:rsidP="00AC4DEE">
            <w:pPr>
              <w:pStyle w:val="TableBody"/>
            </w:pPr>
            <w:r>
              <w:t>$</w:t>
            </w:r>
          </w:p>
        </w:tc>
        <w:tc>
          <w:tcPr>
            <w:tcW w:w="3487" w:type="pct"/>
          </w:tcPr>
          <w:p w14:paraId="3BE76D72" w14:textId="4B22F89C" w:rsidR="001F04FD" w:rsidRDefault="001F04FD" w:rsidP="00AC4DEE">
            <w:pPr>
              <w:pStyle w:val="TableBody"/>
            </w:pPr>
            <w:r>
              <w:rPr>
                <w:i/>
              </w:rPr>
              <w:t>Emergency Energy Amount Total</w:t>
            </w:r>
            <w:r>
              <w:sym w:font="Symbol" w:char="F0BE"/>
            </w:r>
            <w:r>
              <w:t>The total of the payments to all QSEs as additional compensation for emergency power increases of the Generation Resources for the 15-minute Settlement Interval.</w:t>
            </w:r>
          </w:p>
        </w:tc>
      </w:tr>
      <w:tr w:rsidR="001F04FD" w14:paraId="531DF315" w14:textId="77777777" w:rsidTr="00AC4DEE">
        <w:tc>
          <w:tcPr>
            <w:tcW w:w="1203" w:type="pct"/>
          </w:tcPr>
          <w:p w14:paraId="1B9E4E4F" w14:textId="77777777" w:rsidR="001F04FD" w:rsidRDefault="001F04FD" w:rsidP="00AC4DEE">
            <w:pPr>
              <w:pStyle w:val="TableBody"/>
            </w:pPr>
            <w:r>
              <w:t xml:space="preserve">EMREAMTQSETOT </w:t>
            </w:r>
            <w:r w:rsidRPr="00E15B17">
              <w:rPr>
                <w:i/>
                <w:vertAlign w:val="subscript"/>
              </w:rPr>
              <w:t>q</w:t>
            </w:r>
          </w:p>
        </w:tc>
        <w:tc>
          <w:tcPr>
            <w:tcW w:w="310" w:type="pct"/>
          </w:tcPr>
          <w:p w14:paraId="232EE45F" w14:textId="77777777" w:rsidR="001F04FD" w:rsidRDefault="001F04FD" w:rsidP="00AC4DEE">
            <w:pPr>
              <w:pStyle w:val="TableBody"/>
            </w:pPr>
            <w:r>
              <w:t>$</w:t>
            </w:r>
          </w:p>
        </w:tc>
        <w:tc>
          <w:tcPr>
            <w:tcW w:w="3487" w:type="pct"/>
          </w:tcPr>
          <w:p w14:paraId="58FBE8C7" w14:textId="0E3BBF42" w:rsidR="001F04FD" w:rsidRDefault="001F04FD" w:rsidP="00AC4DEE">
            <w:pPr>
              <w:pStyle w:val="TableBody"/>
            </w:pPr>
            <w:r>
              <w:rPr>
                <w:i/>
              </w:rPr>
              <w:t>Emergency Energy Amount QSE Total per QSE</w:t>
            </w:r>
            <w:r>
              <w:sym w:font="Symbol" w:char="F0BE"/>
            </w:r>
            <w:r>
              <w:t xml:space="preserve">The total of the payments to QSE </w:t>
            </w:r>
            <w:r>
              <w:rPr>
                <w:i/>
              </w:rPr>
              <w:t>q</w:t>
            </w:r>
            <w:r>
              <w:t xml:space="preserve"> as additional compensation for emergency power increases of the Generation Resources represented by this QSE for the 15-minute Settlement Interval.</w:t>
            </w:r>
          </w:p>
        </w:tc>
      </w:tr>
      <w:tr w:rsidR="001F04FD" w14:paraId="71768570" w14:textId="77777777" w:rsidTr="00AC4DEE">
        <w:tc>
          <w:tcPr>
            <w:tcW w:w="1203" w:type="pct"/>
          </w:tcPr>
          <w:p w14:paraId="3F034FD6" w14:textId="77777777" w:rsidR="001F04FD" w:rsidRDefault="001F04FD" w:rsidP="00AC4DEE">
            <w:pPr>
              <w:pStyle w:val="TableBody"/>
            </w:pPr>
            <w:r>
              <w:t xml:space="preserve">LRS </w:t>
            </w:r>
            <w:r w:rsidRPr="00E15B17">
              <w:rPr>
                <w:i/>
                <w:vertAlign w:val="subscript"/>
              </w:rPr>
              <w:t>q</w:t>
            </w:r>
          </w:p>
        </w:tc>
        <w:tc>
          <w:tcPr>
            <w:tcW w:w="310" w:type="pct"/>
          </w:tcPr>
          <w:p w14:paraId="7D1A8B19" w14:textId="77777777" w:rsidR="001F04FD" w:rsidRDefault="001F04FD" w:rsidP="00AC4DEE">
            <w:pPr>
              <w:pStyle w:val="TableBody"/>
            </w:pPr>
            <w:r>
              <w:t>none</w:t>
            </w:r>
          </w:p>
        </w:tc>
        <w:tc>
          <w:tcPr>
            <w:tcW w:w="3487" w:type="pct"/>
          </w:tcPr>
          <w:p w14:paraId="7E572D6C" w14:textId="77777777" w:rsidR="001F04FD" w:rsidRDefault="001F04FD" w:rsidP="00AC4DEE">
            <w:pPr>
              <w:pStyle w:val="TableBody"/>
            </w:pPr>
            <w:r>
              <w:t xml:space="preserve">The LRS calculated for QSE </w:t>
            </w:r>
            <w:r>
              <w:rPr>
                <w:i/>
              </w:rPr>
              <w:t>q</w:t>
            </w:r>
            <w:r>
              <w:t xml:space="preserve"> for the 15-minute Settlement Interval.  See Section 6.6.2.2, QSE Load Ratio Share for a 15-Minute Settlement Interval.</w:t>
            </w:r>
          </w:p>
        </w:tc>
      </w:tr>
      <w:tr w:rsidR="001F04FD" w14:paraId="2172B557" w14:textId="77777777" w:rsidTr="00AC4DEE">
        <w:tc>
          <w:tcPr>
            <w:tcW w:w="1203" w:type="pct"/>
          </w:tcPr>
          <w:p w14:paraId="6AEA079B" w14:textId="77777777" w:rsidR="001F04FD" w:rsidRPr="00E15B17" w:rsidRDefault="001F04FD" w:rsidP="00AC4DEE">
            <w:pPr>
              <w:pStyle w:val="TableBody"/>
              <w:rPr>
                <w:i/>
              </w:rPr>
            </w:pPr>
            <w:r w:rsidRPr="00E15B17">
              <w:rPr>
                <w:i/>
              </w:rPr>
              <w:t>q</w:t>
            </w:r>
          </w:p>
        </w:tc>
        <w:tc>
          <w:tcPr>
            <w:tcW w:w="310" w:type="pct"/>
          </w:tcPr>
          <w:p w14:paraId="2F32B122" w14:textId="77777777" w:rsidR="001F04FD" w:rsidRDefault="001F04FD" w:rsidP="00AC4DEE">
            <w:pPr>
              <w:pStyle w:val="TableBody"/>
            </w:pPr>
            <w:r>
              <w:t>none</w:t>
            </w:r>
          </w:p>
        </w:tc>
        <w:tc>
          <w:tcPr>
            <w:tcW w:w="3487" w:type="pct"/>
          </w:tcPr>
          <w:p w14:paraId="46C22783" w14:textId="77777777" w:rsidR="001F04FD" w:rsidRDefault="001F04FD" w:rsidP="00AC4DEE">
            <w:pPr>
              <w:pStyle w:val="TableBody"/>
              <w:rPr>
                <w:i/>
              </w:rPr>
            </w:pPr>
            <w:r>
              <w:t>A QSE.</w:t>
            </w:r>
          </w:p>
        </w:tc>
      </w:tr>
    </w:tbl>
    <w:p w14:paraId="48A3A1E6" w14:textId="77777777" w:rsidR="001F04FD" w:rsidRDefault="001F04FD" w:rsidP="001F04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B46CE" w14:paraId="3FC94527" w14:textId="77777777" w:rsidTr="00C952ED">
        <w:trPr>
          <w:trHeight w:val="206"/>
        </w:trPr>
        <w:tc>
          <w:tcPr>
            <w:tcW w:w="9350" w:type="dxa"/>
            <w:shd w:val="pct12" w:color="auto" w:fill="auto"/>
          </w:tcPr>
          <w:p w14:paraId="25337CBA" w14:textId="668F616B" w:rsidR="003B46CE" w:rsidRDefault="003B46CE" w:rsidP="00C952ED">
            <w:pPr>
              <w:pStyle w:val="Instructions"/>
              <w:spacing w:before="120"/>
            </w:pPr>
            <w:bookmarkStart w:id="2578" w:name="_Toc397505041"/>
            <w:bookmarkStart w:id="2579" w:name="_Toc402357173"/>
            <w:bookmarkStart w:id="2580" w:name="_Toc422486553"/>
            <w:bookmarkStart w:id="2581" w:name="_Toc433093406"/>
            <w:bookmarkStart w:id="2582" w:name="_Toc433093564"/>
            <w:bookmarkStart w:id="2583" w:name="_Toc440874794"/>
            <w:bookmarkStart w:id="2584" w:name="_Toc448142351"/>
            <w:bookmarkStart w:id="2585" w:name="_Toc448142508"/>
            <w:bookmarkStart w:id="2586" w:name="_Toc458770349"/>
            <w:bookmarkStart w:id="2587" w:name="_Toc459294317"/>
            <w:bookmarkStart w:id="2588" w:name="_Toc463262811"/>
            <w:bookmarkStart w:id="2589" w:name="_Toc468286884"/>
            <w:bookmarkStart w:id="2590" w:name="_Toc481502924"/>
            <w:bookmarkStart w:id="2591" w:name="_Toc496080092"/>
            <w:bookmarkStart w:id="2592" w:name="_Toc109009422"/>
            <w:r>
              <w:t>[NPRR1010 and NPRR1014:  Replace applicable portions of Section 6.6.9.2 above with the following upon system implementation of the Real-Time Co-Optimization (RTC) project for NPRR1010</w:t>
            </w:r>
            <w:r w:rsidR="00792C7F">
              <w:t>;</w:t>
            </w:r>
            <w:r>
              <w:t xml:space="preserve"> or upon system implementation for NPRR1014:]</w:t>
            </w:r>
          </w:p>
          <w:p w14:paraId="184CC20E" w14:textId="77777777" w:rsidR="003B46CE" w:rsidRPr="00A552C3" w:rsidRDefault="003B46CE" w:rsidP="003B46CE">
            <w:pPr>
              <w:keepNext/>
              <w:widowControl w:val="0"/>
              <w:tabs>
                <w:tab w:val="left" w:pos="1260"/>
              </w:tabs>
              <w:spacing w:before="240" w:after="240"/>
              <w:ind w:left="1260" w:hanging="1260"/>
              <w:outlineLvl w:val="3"/>
              <w:rPr>
                <w:b/>
                <w:bCs/>
                <w:snapToGrid w:val="0"/>
              </w:rPr>
            </w:pPr>
            <w:bookmarkStart w:id="2593" w:name="_Toc60040732"/>
            <w:bookmarkStart w:id="2594" w:name="_Toc65151791"/>
            <w:bookmarkStart w:id="2595" w:name="_Toc80174817"/>
            <w:bookmarkStart w:id="2596" w:name="_Toc112417697"/>
            <w:bookmarkStart w:id="2597" w:name="_Toc119310366"/>
            <w:bookmarkStart w:id="2598" w:name="_Toc125966299"/>
            <w:bookmarkStart w:id="2599" w:name="_Toc135992397"/>
            <w:bookmarkStart w:id="2600" w:name="_Toc170303593"/>
            <w:bookmarkStart w:id="2601" w:name="_Toc175157497"/>
            <w:bookmarkStart w:id="2602" w:name="_Toc204411726"/>
            <w:r w:rsidRPr="00A552C3">
              <w:rPr>
                <w:b/>
                <w:bCs/>
                <w:snapToGrid w:val="0"/>
              </w:rPr>
              <w:lastRenderedPageBreak/>
              <w:t>6.6.9.2</w:t>
            </w:r>
            <w:r w:rsidRPr="00A552C3">
              <w:rPr>
                <w:b/>
                <w:bCs/>
                <w:snapToGrid w:val="0"/>
              </w:rPr>
              <w:tab/>
              <w:t>Charge for Emergency Operations Settlement</w:t>
            </w:r>
            <w:bookmarkEnd w:id="2593"/>
            <w:bookmarkEnd w:id="2594"/>
            <w:bookmarkEnd w:id="2595"/>
            <w:bookmarkEnd w:id="2596"/>
            <w:bookmarkEnd w:id="2597"/>
            <w:bookmarkEnd w:id="2598"/>
            <w:bookmarkEnd w:id="2599"/>
            <w:bookmarkEnd w:id="2600"/>
            <w:bookmarkEnd w:id="2601"/>
            <w:bookmarkEnd w:id="2602"/>
            <w:r w:rsidRPr="00A552C3">
              <w:rPr>
                <w:b/>
                <w:bCs/>
                <w:snapToGrid w:val="0"/>
              </w:rPr>
              <w:t xml:space="preserve"> </w:t>
            </w:r>
          </w:p>
          <w:p w14:paraId="53BD42E4" w14:textId="77777777" w:rsidR="003B46CE" w:rsidRPr="00A552C3" w:rsidRDefault="003B46CE" w:rsidP="003B46CE">
            <w:pPr>
              <w:spacing w:after="240"/>
              <w:ind w:left="720" w:hanging="720"/>
              <w:rPr>
                <w:iCs/>
              </w:rPr>
            </w:pPr>
            <w:r w:rsidRPr="00A552C3">
              <w:rPr>
                <w:iCs/>
              </w:rPr>
              <w:t>(1)</w:t>
            </w:r>
            <w:r w:rsidRPr="00A552C3">
              <w:rPr>
                <w:iCs/>
              </w:rPr>
              <w:tab/>
              <w:t>The total cost for additional compensation for emergency Settlement as calculated in Section 6.6.9.1, Payment for Emergency Operations Settlement, is allocated to the QSEs representing Loads based on LRS.  The charge to each QSE for a given 15-minute Settlement Interval is calculated as follows:</w:t>
            </w:r>
          </w:p>
          <w:p w14:paraId="1EBBFA53" w14:textId="77777777" w:rsidR="003B46CE" w:rsidRPr="00A552C3" w:rsidRDefault="003B46CE" w:rsidP="003B46CE">
            <w:pPr>
              <w:tabs>
                <w:tab w:val="left" w:pos="2340"/>
                <w:tab w:val="left" w:pos="3420"/>
              </w:tabs>
              <w:spacing w:before="240" w:after="240"/>
              <w:ind w:left="3420" w:hanging="2700"/>
              <w:rPr>
                <w:b/>
                <w:bCs/>
              </w:rPr>
            </w:pPr>
            <w:r w:rsidRPr="00A552C3">
              <w:rPr>
                <w:b/>
                <w:bCs/>
              </w:rPr>
              <w:t xml:space="preserve">LAEMREAMT </w:t>
            </w:r>
            <w:r w:rsidRPr="00A552C3">
              <w:rPr>
                <w:b/>
                <w:bCs/>
                <w:i/>
                <w:vertAlign w:val="subscript"/>
              </w:rPr>
              <w:t>q</w:t>
            </w:r>
            <w:r w:rsidRPr="00A552C3">
              <w:rPr>
                <w:b/>
                <w:bCs/>
              </w:rPr>
              <w:tab/>
              <w:t>=</w:t>
            </w:r>
            <w:r w:rsidRPr="00A552C3">
              <w:rPr>
                <w:b/>
                <w:bCs/>
              </w:rPr>
              <w:tab/>
              <w:t xml:space="preserve">(-1) * EMREAMTTOT * LRS </w:t>
            </w:r>
            <w:r w:rsidRPr="00A552C3">
              <w:rPr>
                <w:b/>
                <w:bCs/>
                <w:i/>
                <w:vertAlign w:val="subscript"/>
              </w:rPr>
              <w:t>q</w:t>
            </w:r>
          </w:p>
          <w:p w14:paraId="2C7EFF4C" w14:textId="77777777" w:rsidR="003B46CE" w:rsidRPr="00A552C3" w:rsidRDefault="003B46CE" w:rsidP="003B46CE">
            <w:pPr>
              <w:spacing w:after="240"/>
            </w:pPr>
            <w:r w:rsidRPr="00A552C3">
              <w:t>Where:</w:t>
            </w:r>
          </w:p>
          <w:p w14:paraId="1F14C27B" w14:textId="77777777" w:rsidR="003B46CE" w:rsidRPr="00A552C3" w:rsidRDefault="003B46CE" w:rsidP="003B46CE">
            <w:pPr>
              <w:tabs>
                <w:tab w:val="left" w:pos="2340"/>
                <w:tab w:val="left" w:pos="2880"/>
              </w:tabs>
              <w:spacing w:after="240"/>
              <w:ind w:left="987" w:hanging="269"/>
              <w:rPr>
                <w:bCs/>
              </w:rPr>
            </w:pPr>
            <w:r w:rsidRPr="00A552C3">
              <w:rPr>
                <w:bCs/>
              </w:rPr>
              <w:t>EMREAMTTOT</w:t>
            </w:r>
            <w:r w:rsidRPr="00A552C3">
              <w:rPr>
                <w:bCs/>
              </w:rPr>
              <w:tab/>
              <w:t>=</w:t>
            </w:r>
            <w:r w:rsidRPr="00A552C3">
              <w:rPr>
                <w:bCs/>
              </w:rPr>
              <w:tab/>
            </w:r>
            <w:r w:rsidRPr="00A552C3">
              <w:rPr>
                <w:bCs/>
                <w:position w:val="-22"/>
              </w:rPr>
              <w:object w:dxaOrig="210" w:dyaOrig="465" w14:anchorId="60EA51B0">
                <v:shape id="_x0000_i1269" type="#_x0000_t75" style="width:5.4pt;height:24.6pt" o:ole="">
                  <v:imagedata r:id="rId325" o:title=""/>
                </v:shape>
                <o:OLEObject Type="Embed" ProgID="Equation.3" ShapeID="_x0000_i1269" DrawAspect="Content" ObjectID="_1815025458" r:id="rId327"/>
              </w:object>
            </w:r>
            <w:r w:rsidRPr="00A552C3">
              <w:rPr>
                <w:bCs/>
              </w:rPr>
              <w:t xml:space="preserve">EMREAMTQSETOT </w:t>
            </w:r>
            <w:r w:rsidRPr="00A552C3">
              <w:rPr>
                <w:bCs/>
                <w:i/>
                <w:vertAlign w:val="subscript"/>
              </w:rPr>
              <w:t>q</w:t>
            </w:r>
          </w:p>
          <w:p w14:paraId="7A75A12D" w14:textId="77777777" w:rsidR="003B46CE" w:rsidRPr="00A552C3" w:rsidRDefault="003B46CE" w:rsidP="003B46CE">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2"/>
              <w:gridCol w:w="605"/>
              <w:gridCol w:w="6333"/>
            </w:tblGrid>
            <w:tr w:rsidR="003B46CE" w:rsidRPr="00A552C3" w14:paraId="082C12CA" w14:textId="77777777" w:rsidTr="00C952ED">
              <w:trPr>
                <w:tblHeader/>
              </w:trPr>
              <w:tc>
                <w:tcPr>
                  <w:tcW w:w="1203" w:type="pct"/>
                </w:tcPr>
                <w:p w14:paraId="0DB539E8" w14:textId="77777777" w:rsidR="003B46CE" w:rsidRPr="00A552C3" w:rsidRDefault="003B46CE" w:rsidP="003B46CE">
                  <w:pPr>
                    <w:spacing w:after="240"/>
                    <w:rPr>
                      <w:b/>
                      <w:iCs/>
                      <w:sz w:val="20"/>
                    </w:rPr>
                  </w:pPr>
                  <w:r w:rsidRPr="00A552C3">
                    <w:rPr>
                      <w:b/>
                      <w:iCs/>
                      <w:sz w:val="20"/>
                    </w:rPr>
                    <w:t>Variable</w:t>
                  </w:r>
                </w:p>
              </w:tc>
              <w:tc>
                <w:tcPr>
                  <w:tcW w:w="310" w:type="pct"/>
                </w:tcPr>
                <w:p w14:paraId="7C7B24D0" w14:textId="77777777" w:rsidR="003B46CE" w:rsidRPr="00A552C3" w:rsidRDefault="003B46CE" w:rsidP="003B46CE">
                  <w:pPr>
                    <w:spacing w:after="240"/>
                    <w:rPr>
                      <w:b/>
                      <w:iCs/>
                      <w:sz w:val="20"/>
                    </w:rPr>
                  </w:pPr>
                  <w:r w:rsidRPr="00A552C3">
                    <w:rPr>
                      <w:b/>
                      <w:iCs/>
                      <w:sz w:val="20"/>
                    </w:rPr>
                    <w:t>Unit</w:t>
                  </w:r>
                </w:p>
              </w:tc>
              <w:tc>
                <w:tcPr>
                  <w:tcW w:w="3487" w:type="pct"/>
                </w:tcPr>
                <w:p w14:paraId="1B402DDC" w14:textId="77777777" w:rsidR="003B46CE" w:rsidRPr="00A552C3" w:rsidRDefault="003B46CE" w:rsidP="003B46CE">
                  <w:pPr>
                    <w:spacing w:after="240"/>
                    <w:rPr>
                      <w:b/>
                      <w:iCs/>
                      <w:sz w:val="20"/>
                    </w:rPr>
                  </w:pPr>
                  <w:r w:rsidRPr="00A552C3">
                    <w:rPr>
                      <w:b/>
                      <w:iCs/>
                      <w:sz w:val="20"/>
                    </w:rPr>
                    <w:t>Definition</w:t>
                  </w:r>
                </w:p>
              </w:tc>
            </w:tr>
            <w:tr w:rsidR="003B46CE" w:rsidRPr="00A552C3" w14:paraId="4A6A76D1" w14:textId="77777777" w:rsidTr="00C952ED">
              <w:tc>
                <w:tcPr>
                  <w:tcW w:w="1203" w:type="pct"/>
                </w:tcPr>
                <w:p w14:paraId="1DD975E6" w14:textId="77777777" w:rsidR="003B46CE" w:rsidRPr="00A552C3" w:rsidRDefault="003B46CE" w:rsidP="003B46CE">
                  <w:pPr>
                    <w:spacing w:after="60"/>
                    <w:rPr>
                      <w:iCs/>
                      <w:sz w:val="20"/>
                    </w:rPr>
                  </w:pPr>
                  <w:r w:rsidRPr="00A552C3">
                    <w:rPr>
                      <w:iCs/>
                      <w:sz w:val="20"/>
                    </w:rPr>
                    <w:t xml:space="preserve">LAEMREAMT </w:t>
                  </w:r>
                  <w:r w:rsidRPr="00A552C3">
                    <w:rPr>
                      <w:i/>
                      <w:iCs/>
                      <w:sz w:val="20"/>
                      <w:vertAlign w:val="subscript"/>
                    </w:rPr>
                    <w:t>q</w:t>
                  </w:r>
                </w:p>
              </w:tc>
              <w:tc>
                <w:tcPr>
                  <w:tcW w:w="310" w:type="pct"/>
                </w:tcPr>
                <w:p w14:paraId="3A8CB9F8" w14:textId="77777777" w:rsidR="003B46CE" w:rsidRPr="00A552C3" w:rsidRDefault="003B46CE" w:rsidP="003B46CE">
                  <w:pPr>
                    <w:spacing w:after="60"/>
                    <w:rPr>
                      <w:iCs/>
                      <w:sz w:val="20"/>
                    </w:rPr>
                  </w:pPr>
                  <w:r w:rsidRPr="00A552C3">
                    <w:rPr>
                      <w:iCs/>
                      <w:sz w:val="20"/>
                    </w:rPr>
                    <w:t>$</w:t>
                  </w:r>
                </w:p>
              </w:tc>
              <w:tc>
                <w:tcPr>
                  <w:tcW w:w="3487" w:type="pct"/>
                </w:tcPr>
                <w:p w14:paraId="43C72886" w14:textId="77777777" w:rsidR="003B46CE" w:rsidRPr="00A552C3" w:rsidRDefault="003B46CE" w:rsidP="003B46CE">
                  <w:pPr>
                    <w:spacing w:after="60"/>
                    <w:rPr>
                      <w:iCs/>
                      <w:sz w:val="20"/>
                    </w:rPr>
                  </w:pPr>
                  <w:r w:rsidRPr="00A552C3">
                    <w:rPr>
                      <w:i/>
                      <w:iCs/>
                      <w:sz w:val="20"/>
                    </w:rPr>
                    <w:t>Load-Allocated Emergency Energy Amount per QSE</w:t>
                  </w:r>
                  <w:r w:rsidRPr="00A552C3">
                    <w:rPr>
                      <w:iCs/>
                      <w:sz w:val="20"/>
                    </w:rPr>
                    <w:t xml:space="preserve">—The QSE </w:t>
                  </w:r>
                  <w:r w:rsidRPr="00A552C3">
                    <w:rPr>
                      <w:i/>
                      <w:iCs/>
                      <w:sz w:val="20"/>
                    </w:rPr>
                    <w:t>q</w:t>
                  </w:r>
                  <w:r w:rsidRPr="00A552C3">
                    <w:rPr>
                      <w:iCs/>
                      <w:sz w:val="20"/>
                    </w:rPr>
                    <w:t>’s Load-allocated amount of the total payments for all the Resources with Real-Time Emergency Base Points, for the 15-minute Settlement Interval.</w:t>
                  </w:r>
                </w:p>
              </w:tc>
            </w:tr>
            <w:tr w:rsidR="003B46CE" w:rsidRPr="00A552C3" w14:paraId="5C94D1A0" w14:textId="77777777" w:rsidTr="00C952ED">
              <w:tc>
                <w:tcPr>
                  <w:tcW w:w="1203" w:type="pct"/>
                </w:tcPr>
                <w:p w14:paraId="715D1D78" w14:textId="77777777" w:rsidR="003B46CE" w:rsidRPr="00A552C3" w:rsidRDefault="003B46CE" w:rsidP="003B46CE">
                  <w:pPr>
                    <w:spacing w:after="60"/>
                    <w:rPr>
                      <w:iCs/>
                      <w:sz w:val="20"/>
                    </w:rPr>
                  </w:pPr>
                  <w:r w:rsidRPr="00A552C3">
                    <w:rPr>
                      <w:iCs/>
                      <w:sz w:val="20"/>
                    </w:rPr>
                    <w:t>EMREAMTTOT</w:t>
                  </w:r>
                </w:p>
              </w:tc>
              <w:tc>
                <w:tcPr>
                  <w:tcW w:w="310" w:type="pct"/>
                </w:tcPr>
                <w:p w14:paraId="1C4073DD" w14:textId="77777777" w:rsidR="003B46CE" w:rsidRPr="00A552C3" w:rsidRDefault="003B46CE" w:rsidP="003B46CE">
                  <w:pPr>
                    <w:spacing w:after="60"/>
                    <w:rPr>
                      <w:iCs/>
                      <w:sz w:val="20"/>
                    </w:rPr>
                  </w:pPr>
                  <w:r w:rsidRPr="00A552C3">
                    <w:rPr>
                      <w:iCs/>
                      <w:sz w:val="20"/>
                    </w:rPr>
                    <w:t>$</w:t>
                  </w:r>
                </w:p>
              </w:tc>
              <w:tc>
                <w:tcPr>
                  <w:tcW w:w="3487" w:type="pct"/>
                </w:tcPr>
                <w:p w14:paraId="6FA9B515" w14:textId="77777777" w:rsidR="003B46CE" w:rsidRPr="00A552C3" w:rsidRDefault="003B46CE" w:rsidP="003B46CE">
                  <w:pPr>
                    <w:spacing w:after="60"/>
                    <w:rPr>
                      <w:iCs/>
                      <w:sz w:val="20"/>
                    </w:rPr>
                  </w:pPr>
                  <w:r w:rsidRPr="00A552C3">
                    <w:rPr>
                      <w:i/>
                      <w:iCs/>
                      <w:sz w:val="20"/>
                    </w:rPr>
                    <w:t>Emergency Energy Amount Total</w:t>
                  </w:r>
                  <w:r w:rsidRPr="00A552C3">
                    <w:rPr>
                      <w:iCs/>
                      <w:sz w:val="20"/>
                    </w:rPr>
                    <w:sym w:font="Symbol" w:char="F0BE"/>
                  </w:r>
                  <w:r w:rsidRPr="00A552C3">
                    <w:rPr>
                      <w:iCs/>
                      <w:sz w:val="20"/>
                    </w:rPr>
                    <w:t>The total of the payments to all QSEs as additional compensation for additional energy or Ancillary Services of the Resources for the 15-minute Settlement Interval.</w:t>
                  </w:r>
                </w:p>
              </w:tc>
            </w:tr>
            <w:tr w:rsidR="003B46CE" w:rsidRPr="00A552C3" w14:paraId="0816603F" w14:textId="77777777" w:rsidTr="00C952ED">
              <w:tc>
                <w:tcPr>
                  <w:tcW w:w="1203" w:type="pct"/>
                </w:tcPr>
                <w:p w14:paraId="543ACFA6" w14:textId="77777777" w:rsidR="003B46CE" w:rsidRPr="00A552C3" w:rsidRDefault="003B46CE" w:rsidP="003B46CE">
                  <w:pPr>
                    <w:spacing w:after="60"/>
                    <w:rPr>
                      <w:iCs/>
                      <w:sz w:val="20"/>
                    </w:rPr>
                  </w:pPr>
                  <w:r w:rsidRPr="00A552C3">
                    <w:rPr>
                      <w:iCs/>
                      <w:sz w:val="20"/>
                    </w:rPr>
                    <w:t xml:space="preserve">EMREAMTQSETOT </w:t>
                  </w:r>
                  <w:r w:rsidRPr="00A552C3">
                    <w:rPr>
                      <w:i/>
                      <w:iCs/>
                      <w:sz w:val="20"/>
                      <w:vertAlign w:val="subscript"/>
                    </w:rPr>
                    <w:t>q</w:t>
                  </w:r>
                </w:p>
              </w:tc>
              <w:tc>
                <w:tcPr>
                  <w:tcW w:w="310" w:type="pct"/>
                </w:tcPr>
                <w:p w14:paraId="6F3CFC0D" w14:textId="77777777" w:rsidR="003B46CE" w:rsidRPr="00A552C3" w:rsidRDefault="003B46CE" w:rsidP="003B46CE">
                  <w:pPr>
                    <w:spacing w:after="60"/>
                    <w:rPr>
                      <w:iCs/>
                      <w:sz w:val="20"/>
                    </w:rPr>
                  </w:pPr>
                  <w:r w:rsidRPr="00A552C3">
                    <w:rPr>
                      <w:iCs/>
                      <w:sz w:val="20"/>
                    </w:rPr>
                    <w:t>$</w:t>
                  </w:r>
                </w:p>
              </w:tc>
              <w:tc>
                <w:tcPr>
                  <w:tcW w:w="3487" w:type="pct"/>
                </w:tcPr>
                <w:p w14:paraId="119E7C61" w14:textId="77777777" w:rsidR="003B46CE" w:rsidRPr="00A552C3" w:rsidRDefault="003B46CE" w:rsidP="003B46CE">
                  <w:pPr>
                    <w:spacing w:after="60"/>
                    <w:rPr>
                      <w:iCs/>
                      <w:sz w:val="20"/>
                    </w:rPr>
                  </w:pPr>
                  <w:r w:rsidRPr="00A552C3">
                    <w:rPr>
                      <w:i/>
                      <w:iCs/>
                      <w:sz w:val="20"/>
                    </w:rPr>
                    <w:t>Emergency Energy Amount QSE Total per QSE</w:t>
                  </w:r>
                  <w:r w:rsidRPr="00A552C3">
                    <w:rPr>
                      <w:iCs/>
                      <w:sz w:val="20"/>
                    </w:rPr>
                    <w:sym w:font="Symbol" w:char="F0BE"/>
                  </w:r>
                  <w:r w:rsidRPr="00A552C3">
                    <w:rPr>
                      <w:iCs/>
                      <w:sz w:val="20"/>
                    </w:rPr>
                    <w:t xml:space="preserve">The total of the payments to QSE </w:t>
                  </w:r>
                  <w:r w:rsidRPr="00A552C3">
                    <w:rPr>
                      <w:i/>
                      <w:iCs/>
                      <w:sz w:val="20"/>
                    </w:rPr>
                    <w:t>q</w:t>
                  </w:r>
                  <w:r w:rsidRPr="00A552C3">
                    <w:rPr>
                      <w:iCs/>
                      <w:sz w:val="20"/>
                    </w:rPr>
                    <w:t xml:space="preserve"> as additional compensation for additional energy or Ancillary Services of the Resources represented by this QSE for the 15-minute Settlement Interval.</w:t>
                  </w:r>
                </w:p>
              </w:tc>
            </w:tr>
            <w:tr w:rsidR="003B46CE" w:rsidRPr="00A552C3" w14:paraId="6D6F76F6" w14:textId="77777777" w:rsidTr="00C952ED">
              <w:tc>
                <w:tcPr>
                  <w:tcW w:w="1203" w:type="pct"/>
                </w:tcPr>
                <w:p w14:paraId="5D76FD8B" w14:textId="77777777" w:rsidR="003B46CE" w:rsidRPr="00A552C3" w:rsidRDefault="003B46CE" w:rsidP="003B46CE">
                  <w:pPr>
                    <w:spacing w:after="60"/>
                    <w:rPr>
                      <w:iCs/>
                      <w:sz w:val="20"/>
                    </w:rPr>
                  </w:pPr>
                  <w:r w:rsidRPr="00A552C3">
                    <w:rPr>
                      <w:iCs/>
                      <w:sz w:val="20"/>
                    </w:rPr>
                    <w:t xml:space="preserve">LRS </w:t>
                  </w:r>
                  <w:r w:rsidRPr="00A552C3">
                    <w:rPr>
                      <w:i/>
                      <w:iCs/>
                      <w:sz w:val="20"/>
                      <w:vertAlign w:val="subscript"/>
                    </w:rPr>
                    <w:t>q</w:t>
                  </w:r>
                </w:p>
              </w:tc>
              <w:tc>
                <w:tcPr>
                  <w:tcW w:w="310" w:type="pct"/>
                </w:tcPr>
                <w:p w14:paraId="38E9A13A" w14:textId="77777777" w:rsidR="003B46CE" w:rsidRPr="00A552C3" w:rsidRDefault="003B46CE" w:rsidP="003B46CE">
                  <w:pPr>
                    <w:spacing w:after="60"/>
                    <w:rPr>
                      <w:iCs/>
                      <w:sz w:val="20"/>
                    </w:rPr>
                  </w:pPr>
                  <w:r w:rsidRPr="00A552C3">
                    <w:rPr>
                      <w:iCs/>
                      <w:sz w:val="20"/>
                    </w:rPr>
                    <w:t>none</w:t>
                  </w:r>
                </w:p>
              </w:tc>
              <w:tc>
                <w:tcPr>
                  <w:tcW w:w="3487" w:type="pct"/>
                </w:tcPr>
                <w:p w14:paraId="75DAFED7" w14:textId="77777777" w:rsidR="003B46CE" w:rsidRPr="00A552C3" w:rsidRDefault="003B46CE" w:rsidP="003B46CE">
                  <w:pPr>
                    <w:spacing w:after="60"/>
                    <w:rPr>
                      <w:iCs/>
                      <w:sz w:val="20"/>
                    </w:rPr>
                  </w:pPr>
                  <w:r w:rsidRPr="00A552C3">
                    <w:rPr>
                      <w:iCs/>
                      <w:sz w:val="20"/>
                    </w:rPr>
                    <w:t xml:space="preserve">The LRS calculated for QSE </w:t>
                  </w:r>
                  <w:r w:rsidRPr="00A552C3">
                    <w:rPr>
                      <w:i/>
                      <w:iCs/>
                      <w:sz w:val="20"/>
                    </w:rPr>
                    <w:t>q</w:t>
                  </w:r>
                  <w:r w:rsidRPr="00A552C3">
                    <w:rPr>
                      <w:iCs/>
                      <w:sz w:val="20"/>
                    </w:rPr>
                    <w:t xml:space="preserve"> for the 15-minute Settlement Interval.  See Section 6.6.2.2, QSE Load Ratio Share for a 15-Minute Settlement Interval.</w:t>
                  </w:r>
                </w:p>
              </w:tc>
            </w:tr>
            <w:tr w:rsidR="003B46CE" w:rsidRPr="00A552C3" w14:paraId="158C7E21" w14:textId="77777777" w:rsidTr="00C952ED">
              <w:tc>
                <w:tcPr>
                  <w:tcW w:w="1203" w:type="pct"/>
                </w:tcPr>
                <w:p w14:paraId="6833BB1E" w14:textId="77777777" w:rsidR="003B46CE" w:rsidRPr="00A552C3" w:rsidRDefault="003B46CE" w:rsidP="003B46CE">
                  <w:pPr>
                    <w:spacing w:after="60"/>
                    <w:rPr>
                      <w:i/>
                      <w:iCs/>
                      <w:sz w:val="20"/>
                    </w:rPr>
                  </w:pPr>
                  <w:r w:rsidRPr="00A552C3">
                    <w:rPr>
                      <w:i/>
                      <w:iCs/>
                      <w:sz w:val="20"/>
                    </w:rPr>
                    <w:t>q</w:t>
                  </w:r>
                </w:p>
              </w:tc>
              <w:tc>
                <w:tcPr>
                  <w:tcW w:w="310" w:type="pct"/>
                </w:tcPr>
                <w:p w14:paraId="239E6290" w14:textId="77777777" w:rsidR="003B46CE" w:rsidRPr="00A552C3" w:rsidRDefault="003B46CE" w:rsidP="003B46CE">
                  <w:pPr>
                    <w:spacing w:after="60"/>
                    <w:rPr>
                      <w:iCs/>
                      <w:sz w:val="20"/>
                    </w:rPr>
                  </w:pPr>
                  <w:r w:rsidRPr="00A552C3">
                    <w:rPr>
                      <w:iCs/>
                      <w:sz w:val="20"/>
                    </w:rPr>
                    <w:t>none</w:t>
                  </w:r>
                </w:p>
              </w:tc>
              <w:tc>
                <w:tcPr>
                  <w:tcW w:w="3487" w:type="pct"/>
                </w:tcPr>
                <w:p w14:paraId="0E380109" w14:textId="77777777" w:rsidR="003B46CE" w:rsidRPr="00A552C3" w:rsidRDefault="003B46CE" w:rsidP="003B46CE">
                  <w:pPr>
                    <w:spacing w:after="60"/>
                    <w:rPr>
                      <w:i/>
                      <w:iCs/>
                      <w:sz w:val="20"/>
                    </w:rPr>
                  </w:pPr>
                  <w:r w:rsidRPr="00A552C3">
                    <w:rPr>
                      <w:iCs/>
                      <w:sz w:val="20"/>
                    </w:rPr>
                    <w:t>A QSE.</w:t>
                  </w:r>
                </w:p>
              </w:tc>
            </w:tr>
          </w:tbl>
          <w:p w14:paraId="4344C1BD" w14:textId="5957A5DA" w:rsidR="003B46CE" w:rsidRPr="00537026" w:rsidRDefault="003B46CE" w:rsidP="00C952ED">
            <w:pPr>
              <w:pStyle w:val="TableBody"/>
            </w:pPr>
          </w:p>
        </w:tc>
      </w:tr>
    </w:tbl>
    <w:p w14:paraId="4886BF7C" w14:textId="4FFE92F7" w:rsidR="001F04FD" w:rsidRDefault="001F04FD" w:rsidP="00FB599C">
      <w:pPr>
        <w:pStyle w:val="H3"/>
        <w:spacing w:before="600"/>
      </w:pPr>
      <w:bookmarkStart w:id="2603" w:name="_Toc204411727"/>
      <w:r>
        <w:lastRenderedPageBreak/>
        <w:t>6.6.10</w:t>
      </w:r>
      <w:r>
        <w:tab/>
        <w:t>Real-Time Revenue Neutrality Allocation</w:t>
      </w:r>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603"/>
    </w:p>
    <w:p w14:paraId="746CC419" w14:textId="77777777" w:rsidR="001F04FD" w:rsidRDefault="001F04FD" w:rsidP="001F04FD">
      <w:pPr>
        <w:pStyle w:val="BodyTextNumbered"/>
      </w:pPr>
      <w:r>
        <w:t>(1)</w:t>
      </w:r>
      <w:r>
        <w:tab/>
        <w:t>ERCOT must be revenue-neutral in each Settlement Interval.  Each QSE receives an allocated share, on a LRS basis, of the net amount of:</w:t>
      </w:r>
    </w:p>
    <w:p w14:paraId="0BABDAF0" w14:textId="77777777" w:rsidR="001F04FD" w:rsidRDefault="001F04FD" w:rsidP="001F04FD">
      <w:pPr>
        <w:pStyle w:val="List"/>
      </w:pPr>
      <w:r>
        <w:t>(a)</w:t>
      </w:r>
      <w:r>
        <w:tab/>
        <w:t>Real-Time Energy Imbalance payments or charges under Section 6.6.3.1, Real-Time Energy Imbalance Payment or Charge at a Resource Node;</w:t>
      </w:r>
    </w:p>
    <w:p w14:paraId="5AFAD35F" w14:textId="77777777" w:rsidR="001F04FD" w:rsidRDefault="001F04FD" w:rsidP="00E228C6">
      <w:pPr>
        <w:spacing w:after="240"/>
        <w:ind w:left="1440" w:hanging="720"/>
      </w:pPr>
      <w:r>
        <w:t>(b)</w:t>
      </w:r>
      <w:r>
        <w:tab/>
        <w:t>Real-Time Energy Imbalance payments or charges under Section 6.6.3.2, Real-Time Energy Imbalance Payment or Charge at a Load Zone;</w:t>
      </w:r>
    </w:p>
    <w:p w14:paraId="638BC777" w14:textId="77777777" w:rsidR="001F04FD" w:rsidRDefault="001F04FD" w:rsidP="00E228C6">
      <w:pPr>
        <w:spacing w:after="240"/>
        <w:ind w:left="1440" w:hanging="720"/>
      </w:pPr>
      <w:r>
        <w:t>(c)</w:t>
      </w:r>
      <w:r>
        <w:tab/>
        <w:t>Real-Time Energy Imbalance payments or charges under Section 6.6.3.3, Real-Time Energy Imbalance Payment or Charge at a Hub;</w:t>
      </w:r>
    </w:p>
    <w:p w14:paraId="047005EA" w14:textId="77777777" w:rsidR="001F04FD" w:rsidRDefault="001F04FD" w:rsidP="00E228C6">
      <w:pPr>
        <w:spacing w:after="240"/>
        <w:ind w:left="1440" w:hanging="720"/>
      </w:pPr>
      <w:r>
        <w:t>(d)</w:t>
      </w:r>
      <w:r>
        <w:tab/>
        <w:t>Real-Time energy payments under Section 6.6.3.4, Real-Time Energy Payment for DC Tie Import;</w:t>
      </w:r>
    </w:p>
    <w:p w14:paraId="589F81C7" w14:textId="2EBFA04A" w:rsidR="001F04FD" w:rsidRDefault="001F04FD" w:rsidP="00E228C6">
      <w:pPr>
        <w:spacing w:after="240"/>
        <w:ind w:left="1440" w:hanging="720"/>
      </w:pPr>
      <w:r>
        <w:lastRenderedPageBreak/>
        <w:t>(e)</w:t>
      </w:r>
      <w:r>
        <w:tab/>
        <w:t>Real-Time energy payments under Section 6.6.3.5, Real-Time Payment for a Block Load Transfer Point;</w:t>
      </w:r>
    </w:p>
    <w:p w14:paraId="08751346" w14:textId="0D9907AC" w:rsidR="0024071F" w:rsidRDefault="0024071F" w:rsidP="00E228C6">
      <w:pPr>
        <w:spacing w:after="240"/>
        <w:ind w:left="1440" w:hanging="720"/>
      </w:pPr>
      <w:r w:rsidRPr="009E231E">
        <w:t>(</w:t>
      </w:r>
      <w:r>
        <w:t>f</w:t>
      </w:r>
      <w:r w:rsidRPr="009E231E">
        <w:t>)</w:t>
      </w:r>
      <w:r w:rsidRPr="009E231E">
        <w:tab/>
        <w:t>Real-Time Energy payments or charges under Section 6.6.3.</w:t>
      </w:r>
      <w:r w:rsidR="00720B34">
        <w:t>8</w:t>
      </w:r>
      <w:r w:rsidRPr="009E231E">
        <w:t>, Real-Time Payment or Charge for Energy from a Settlement Only Distribution Generator (SODG) or a Settlement Only Transmission Generator (SOTG);</w:t>
      </w:r>
    </w:p>
    <w:tbl>
      <w:tblPr>
        <w:tblW w:w="957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E228C6" w14:paraId="6E0ABAA0" w14:textId="77777777" w:rsidTr="001335E7">
        <w:trPr>
          <w:trHeight w:val="206"/>
        </w:trPr>
        <w:tc>
          <w:tcPr>
            <w:tcW w:w="5000" w:type="pct"/>
            <w:shd w:val="pct12" w:color="auto" w:fill="auto"/>
          </w:tcPr>
          <w:p w14:paraId="65AAADFD" w14:textId="5690D89B" w:rsidR="00E228C6" w:rsidRDefault="00E228C6" w:rsidP="00E228C6">
            <w:pPr>
              <w:pStyle w:val="Instructions"/>
            </w:pPr>
            <w:r>
              <w:t>[</w:t>
            </w:r>
            <w:r w:rsidR="00851766">
              <w:t>NPRR995</w:t>
            </w:r>
            <w:r>
              <w:t xml:space="preserve">:  </w:t>
            </w:r>
            <w:r w:rsidR="0024071F">
              <w:t xml:space="preserve">Replace </w:t>
            </w:r>
            <w:r>
              <w:t>item (</w:t>
            </w:r>
            <w:r w:rsidR="0024071F">
              <w:t>f</w:t>
            </w:r>
            <w:r>
              <w:t xml:space="preserve">) </w:t>
            </w:r>
            <w:r w:rsidR="0024071F">
              <w:t>above with the following</w:t>
            </w:r>
            <w:r>
              <w:t xml:space="preserve"> upon system implementation:]</w:t>
            </w:r>
          </w:p>
          <w:p w14:paraId="5FE1A1D8" w14:textId="42C810F3" w:rsidR="00E228C6" w:rsidRPr="00C3334D" w:rsidRDefault="00E228C6" w:rsidP="00E228C6">
            <w:pPr>
              <w:spacing w:after="120"/>
              <w:ind w:left="1440" w:hanging="720"/>
            </w:pPr>
            <w:r>
              <w:t>(</w:t>
            </w:r>
            <w:r w:rsidR="0024071F">
              <w:t>f</w:t>
            </w:r>
            <w:r>
              <w:t>)</w:t>
            </w:r>
            <w:r>
              <w:tab/>
              <w:t xml:space="preserve">Real-Time Energy payments or charges under </w:t>
            </w:r>
            <w:r w:rsidRPr="00627984">
              <w:t>Section 6.6.3.</w:t>
            </w:r>
            <w:r w:rsidR="00720B34">
              <w:t>8</w:t>
            </w:r>
            <w:r>
              <w:t>,</w:t>
            </w:r>
            <w:r w:rsidRPr="00871E49">
              <w:t xml:space="preserve"> </w:t>
            </w:r>
            <w:r w:rsidRPr="00892119">
              <w:t xml:space="preserve">Real-Time Payment or Charge for Energy from </w:t>
            </w:r>
            <w:r>
              <w:t xml:space="preserve">a </w:t>
            </w:r>
            <w:r w:rsidRPr="00A6342E">
              <w:t>Settlement Only Distribution Generator (SODG)</w:t>
            </w:r>
            <w:r w:rsidR="00851766">
              <w:t>,</w:t>
            </w:r>
            <w:r>
              <w:t xml:space="preserve"> </w:t>
            </w:r>
            <w:r w:rsidRPr="00A6342E">
              <w:t>Settlement Only Transmission Generator (SOTG)</w:t>
            </w:r>
            <w:r w:rsidR="00851766">
              <w:t>, Settlement Only Distribution Energy Storage System (SODESS), or Settlement Only Transmission Energy Storage System (SOTESS)</w:t>
            </w:r>
            <w:r>
              <w:t>;</w:t>
            </w:r>
          </w:p>
        </w:tc>
      </w:tr>
    </w:tbl>
    <w:p w14:paraId="2CA68031" w14:textId="77777777" w:rsidR="001F04FD" w:rsidRDefault="001F04FD" w:rsidP="004A39F9">
      <w:pPr>
        <w:spacing w:before="240" w:after="240"/>
        <w:ind w:left="1440" w:hanging="720"/>
      </w:pPr>
      <w:r>
        <w:t>(g)</w:t>
      </w:r>
      <w:r>
        <w:tab/>
        <w:t>Real-Time congestion payments or charges under Section 6.6.4, Real-Time Congestion Payment or Charge for Self-Schedules; and</w:t>
      </w:r>
    </w:p>
    <w:p w14:paraId="0A909937" w14:textId="77777777" w:rsidR="001F04FD" w:rsidRDefault="001F04FD" w:rsidP="00E228C6">
      <w:pPr>
        <w:pStyle w:val="List"/>
      </w:pPr>
      <w:r>
        <w:t>(h)</w:t>
      </w:r>
      <w:r>
        <w:tab/>
        <w:t>Real-Time payments or charges to the Congestion Revenue Right (CRR) Owners under Section 7.9.2, Real-Time CRR Payments and Charges.</w:t>
      </w:r>
    </w:p>
    <w:p w14:paraId="68529C68" w14:textId="77777777" w:rsidR="001F04FD" w:rsidRPr="000149E5" w:rsidRDefault="001F04FD" w:rsidP="001F04FD">
      <w:pPr>
        <w:pStyle w:val="BodyTextNumbered"/>
        <w:rPr>
          <w:iCs/>
        </w:rPr>
      </w:pPr>
      <w:r w:rsidRPr="000149E5">
        <w:rPr>
          <w:iCs/>
        </w:rPr>
        <w:t>(2)</w:t>
      </w:r>
      <w:r w:rsidRPr="000149E5">
        <w:rPr>
          <w:iCs/>
        </w:rPr>
        <w:tab/>
        <w:t>The Real-Time Revenue Neutrality Allocation for each QSE for a given 15-minute Settlement Interval is calculated as follows:</w:t>
      </w:r>
    </w:p>
    <w:p w14:paraId="44474249" w14:textId="64A19995" w:rsidR="001F04FD" w:rsidRDefault="001F04FD" w:rsidP="001F04FD">
      <w:pPr>
        <w:pStyle w:val="FormulaBold"/>
        <w:tabs>
          <w:tab w:val="clear" w:pos="2250"/>
          <w:tab w:val="clear" w:pos="3960"/>
          <w:tab w:val="left" w:pos="2700"/>
        </w:tabs>
        <w:ind w:left="3150" w:hanging="2430"/>
        <w:rPr>
          <w:i/>
          <w:vertAlign w:val="subscript"/>
        </w:rPr>
      </w:pPr>
      <w:r>
        <w:t xml:space="preserve">LARTRNAMT </w:t>
      </w:r>
      <w:r>
        <w:rPr>
          <w:i/>
          <w:vertAlign w:val="subscript"/>
        </w:rPr>
        <w:t>q</w:t>
      </w:r>
      <w:r>
        <w:tab/>
        <w:t>=</w:t>
      </w:r>
      <w:r>
        <w:tab/>
        <w:t xml:space="preserve">(-1) * (RTEIAMTTOT + BLTRAMTTOT + RTDCIMPAMTTOT + </w:t>
      </w:r>
      <w:r w:rsidR="0024071F" w:rsidRPr="0024071F">
        <w:t xml:space="preserve">RTESOGAMTTOT + </w:t>
      </w:r>
      <w:r>
        <w:t xml:space="preserve">RTCCAMTTOT + RTOBLAMTTOT / 4 + RTOBLLOAMTTOT / 4) * LRS </w:t>
      </w:r>
      <w:r>
        <w:rPr>
          <w:i/>
          <w:vertAlign w:val="subscript"/>
        </w:rPr>
        <w:t>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F620F" w14:paraId="1703A669" w14:textId="77777777" w:rsidTr="008B123E">
        <w:trPr>
          <w:trHeight w:val="206"/>
        </w:trPr>
        <w:tc>
          <w:tcPr>
            <w:tcW w:w="9576" w:type="dxa"/>
            <w:shd w:val="pct12" w:color="auto" w:fill="auto"/>
          </w:tcPr>
          <w:p w14:paraId="7CC6B1B3" w14:textId="0DBF8537" w:rsidR="000F620F" w:rsidRDefault="000F620F" w:rsidP="008B123E">
            <w:pPr>
              <w:pStyle w:val="Instructions"/>
              <w:spacing w:before="120"/>
            </w:pPr>
            <w:r>
              <w:t>[</w:t>
            </w:r>
            <w:r w:rsidR="00851766">
              <w:t>NPRR995</w:t>
            </w:r>
            <w:r>
              <w:t>:  Replace the formula “</w:t>
            </w:r>
            <w:r w:rsidRPr="000F620F">
              <w:t xml:space="preserve">LARTRNAMT </w:t>
            </w:r>
            <w:r w:rsidRPr="000F620F">
              <w:rPr>
                <w:vertAlign w:val="subscript"/>
              </w:rPr>
              <w:t>q</w:t>
            </w:r>
            <w:r>
              <w:t>” above with the following upon system implementation:]</w:t>
            </w:r>
          </w:p>
          <w:p w14:paraId="6D9C0F4B" w14:textId="4ECA584C" w:rsidR="000F620F" w:rsidRPr="000F620F" w:rsidRDefault="000F620F" w:rsidP="008B66B5">
            <w:pPr>
              <w:tabs>
                <w:tab w:val="left" w:pos="2700"/>
                <w:tab w:val="left" w:pos="3150"/>
              </w:tabs>
              <w:spacing w:after="240"/>
              <w:ind w:left="3150" w:hanging="2430"/>
              <w:rPr>
                <w:b/>
                <w:bCs/>
                <w:i/>
                <w:vertAlign w:val="subscript"/>
              </w:rPr>
            </w:pPr>
            <w:r w:rsidRPr="00E36C99">
              <w:rPr>
                <w:b/>
                <w:bCs/>
              </w:rPr>
              <w:t xml:space="preserve">LARTRNAMT </w:t>
            </w:r>
            <w:r w:rsidRPr="00E36C99">
              <w:rPr>
                <w:b/>
                <w:bCs/>
                <w:i/>
                <w:vertAlign w:val="subscript"/>
              </w:rPr>
              <w:t>q</w:t>
            </w:r>
            <w:r w:rsidRPr="00E36C99">
              <w:rPr>
                <w:b/>
                <w:bCs/>
              </w:rPr>
              <w:tab/>
              <w:t>=</w:t>
            </w:r>
            <w:r w:rsidRPr="00E36C99">
              <w:rPr>
                <w:b/>
                <w:bCs/>
              </w:rPr>
              <w:tab/>
              <w:t xml:space="preserve">(-1) * (RTEIAMTTOT + BLTRAMTTOT + RTDCIMPAMTTOT + </w:t>
            </w:r>
            <w:r w:rsidRPr="00892119">
              <w:rPr>
                <w:b/>
                <w:bCs/>
              </w:rPr>
              <w:t>RTE</w:t>
            </w:r>
            <w:r>
              <w:rPr>
                <w:b/>
                <w:bCs/>
              </w:rPr>
              <w:t>SO</w:t>
            </w:r>
            <w:r w:rsidRPr="00892119">
              <w:rPr>
                <w:b/>
                <w:bCs/>
              </w:rPr>
              <w:t xml:space="preserve">AMTTOT + </w:t>
            </w:r>
            <w:r w:rsidRPr="00E36C99">
              <w:rPr>
                <w:b/>
                <w:bCs/>
              </w:rPr>
              <w:t xml:space="preserve">RTCCAMTTOT + RTOBLAMTTOT / 4 + RTOBLLOAMTTOT / 4) * LRS </w:t>
            </w:r>
            <w:r>
              <w:rPr>
                <w:b/>
                <w:bCs/>
                <w:i/>
                <w:vertAlign w:val="subscript"/>
              </w:rPr>
              <w:t>q</w:t>
            </w:r>
          </w:p>
        </w:tc>
      </w:tr>
    </w:tbl>
    <w:p w14:paraId="0213CEDC" w14:textId="77777777" w:rsidR="001F04FD" w:rsidRDefault="001F04FD" w:rsidP="004A39F9">
      <w:pPr>
        <w:pStyle w:val="BodyText"/>
        <w:spacing w:before="240"/>
      </w:pPr>
      <w:r>
        <w:t>Where:</w:t>
      </w:r>
    </w:p>
    <w:p w14:paraId="4CF370B0" w14:textId="77777777" w:rsidR="001F04FD" w:rsidRDefault="001F04FD" w:rsidP="001F04FD">
      <w:pPr>
        <w:ind w:firstLine="720"/>
      </w:pPr>
      <w:r>
        <w:t xml:space="preserve">Total </w:t>
      </w:r>
      <w:r>
        <w:rPr>
          <w:szCs w:val="24"/>
        </w:rPr>
        <w:t>Real</w:t>
      </w:r>
      <w:r>
        <w:t>-Time Energy Imbalance Payment (or Charge) at Settlement Point (or Hub)</w:t>
      </w:r>
    </w:p>
    <w:p w14:paraId="3236F492" w14:textId="4F7E3CBF" w:rsidR="001F04FD" w:rsidRDefault="001F04FD" w:rsidP="001F04FD">
      <w:pPr>
        <w:pStyle w:val="Formula"/>
        <w:tabs>
          <w:tab w:val="clear" w:pos="2160"/>
          <w:tab w:val="clear" w:pos="2880"/>
          <w:tab w:val="left" w:pos="2340"/>
          <w:tab w:val="left" w:pos="3420"/>
        </w:tabs>
        <w:ind w:leftChars="600" w:left="3600" w:hanging="2160"/>
        <w:rPr>
          <w:i/>
          <w:vertAlign w:val="subscript"/>
        </w:rPr>
      </w:pPr>
      <w:r>
        <w:t>RTEIAMTTOT</w:t>
      </w:r>
      <w:r>
        <w:tab/>
      </w:r>
      <w:r>
        <w:tab/>
        <w:t>=</w:t>
      </w:r>
      <w:r>
        <w:tab/>
      </w:r>
      <w:r w:rsidRPr="006F784F">
        <w:rPr>
          <w:position w:val="-22"/>
        </w:rPr>
        <w:object w:dxaOrig="210" w:dyaOrig="465" w14:anchorId="0A9B124C">
          <v:shape id="_x0000_i1270" type="#_x0000_t75" style="width:5.4pt;height:24.6pt" o:ole="">
            <v:imagedata r:id="rId328" o:title=""/>
          </v:shape>
          <o:OLEObject Type="Embed" ProgID="Equation.3" ShapeID="_x0000_i1270" DrawAspect="Content" ObjectID="_1815025459" r:id="rId329"/>
        </w:object>
      </w:r>
      <w:r w:rsidR="006C375B">
        <w:t xml:space="preserve"> </w:t>
      </w:r>
      <w:r>
        <w:t xml:space="preserve">RTEIAMTQSETOT </w:t>
      </w:r>
      <w:r>
        <w:rPr>
          <w:i/>
          <w:vertAlign w:val="subscript"/>
        </w:rPr>
        <w:t>q</w:t>
      </w:r>
    </w:p>
    <w:p w14:paraId="01514D59" w14:textId="77777777" w:rsidR="001F04FD" w:rsidRDefault="001F04FD" w:rsidP="001F04FD">
      <w:pPr>
        <w:ind w:firstLine="720"/>
      </w:pPr>
      <w:r>
        <w:t>Total Real-Time Payment for BLT Resources</w:t>
      </w:r>
    </w:p>
    <w:p w14:paraId="27110DAD" w14:textId="342147BF" w:rsidR="001F04FD" w:rsidRDefault="001F04FD" w:rsidP="001F04FD">
      <w:pPr>
        <w:pStyle w:val="Formula"/>
        <w:ind w:leftChars="600" w:left="3600" w:hanging="2160"/>
      </w:pPr>
      <w:r>
        <w:t>BLTRAMTTOT</w:t>
      </w:r>
      <w:r>
        <w:tab/>
        <w:t>=</w:t>
      </w:r>
      <w:r>
        <w:tab/>
      </w:r>
      <w:r w:rsidRPr="006F784F">
        <w:rPr>
          <w:position w:val="-22"/>
        </w:rPr>
        <w:object w:dxaOrig="210" w:dyaOrig="465" w14:anchorId="7A199638">
          <v:shape id="_x0000_i1271" type="#_x0000_t75" style="width:5.4pt;height:24.6pt" o:ole="">
            <v:imagedata r:id="rId181" o:title=""/>
          </v:shape>
          <o:OLEObject Type="Embed" ProgID="Equation.3" ShapeID="_x0000_i1271" DrawAspect="Content" ObjectID="_1815025460" r:id="rId330"/>
        </w:object>
      </w:r>
      <w:r w:rsidR="006C375B">
        <w:t xml:space="preserve"> </w:t>
      </w:r>
      <w:r>
        <w:t xml:space="preserve">BLTRAMTQSETOT </w:t>
      </w:r>
      <w:r>
        <w:rPr>
          <w:i/>
          <w:vertAlign w:val="subscript"/>
        </w:rPr>
        <w:t>q</w:t>
      </w:r>
    </w:p>
    <w:p w14:paraId="54465E1E" w14:textId="77777777" w:rsidR="001F04FD" w:rsidRDefault="001F04FD" w:rsidP="001F04FD">
      <w:pPr>
        <w:ind w:firstLine="720"/>
      </w:pPr>
      <w:r>
        <w:lastRenderedPageBreak/>
        <w:t>Total Real-Time Payment for DC Tie Imports</w:t>
      </w:r>
    </w:p>
    <w:p w14:paraId="2A959A0D" w14:textId="77777777" w:rsidR="001F04FD" w:rsidRDefault="001F04FD" w:rsidP="001F04FD">
      <w:pPr>
        <w:pStyle w:val="Formula"/>
        <w:ind w:leftChars="600" w:left="3600" w:hanging="2160"/>
      </w:pPr>
      <w:r>
        <w:t>RTDCIMPAMTTOT</w:t>
      </w:r>
      <w:r>
        <w:tab/>
      </w:r>
      <w:r>
        <w:tab/>
        <w:t>=</w:t>
      </w:r>
      <w:r>
        <w:tab/>
      </w:r>
      <w:r w:rsidRPr="006F784F">
        <w:rPr>
          <w:position w:val="-22"/>
        </w:rPr>
        <w:object w:dxaOrig="225" w:dyaOrig="465" w14:anchorId="42A4CD6B">
          <v:shape id="_x0000_i1272" type="#_x0000_t75" style="width:12pt;height:24.6pt" o:ole="">
            <v:imagedata r:id="rId331" o:title=""/>
          </v:shape>
          <o:OLEObject Type="Embed" ProgID="Equation.3" ShapeID="_x0000_i1272" DrawAspect="Content" ObjectID="_1815025461" r:id="rId332"/>
        </w:object>
      </w:r>
      <w:r>
        <w:t xml:space="preserve">RTDCIMPAMTQSETOT </w:t>
      </w:r>
      <w:r>
        <w:rPr>
          <w:i/>
          <w:vertAlign w:val="subscript"/>
        </w:rPr>
        <w:t>q</w:t>
      </w:r>
    </w:p>
    <w:p w14:paraId="02E85A42" w14:textId="721B6AEE" w:rsidR="001F04FD" w:rsidRDefault="001F04FD" w:rsidP="00776B44">
      <w:pPr>
        <w:ind w:firstLine="720"/>
      </w:pPr>
      <w:r>
        <w:t>Total Real-Time Congestion Payment or Charge for Self-Schedules</w:t>
      </w:r>
    </w:p>
    <w:p w14:paraId="26DB4FE6" w14:textId="77777777" w:rsidR="001F04FD" w:rsidRDefault="001F04FD" w:rsidP="001F04FD">
      <w:pPr>
        <w:pStyle w:val="Formula"/>
        <w:ind w:leftChars="600" w:left="3600" w:hanging="2160"/>
      </w:pPr>
      <w:r>
        <w:t>RTCCAMTTOT</w:t>
      </w:r>
      <w:r>
        <w:tab/>
        <w:t>=</w:t>
      </w:r>
      <w:r>
        <w:tab/>
      </w:r>
      <w:r w:rsidRPr="006F784F">
        <w:rPr>
          <w:position w:val="-22"/>
        </w:rPr>
        <w:object w:dxaOrig="225" w:dyaOrig="465" w14:anchorId="2D720380">
          <v:shape id="_x0000_i1273" type="#_x0000_t75" style="width:12pt;height:24.6pt" o:ole="">
            <v:imagedata r:id="rId331" o:title=""/>
          </v:shape>
          <o:OLEObject Type="Embed" ProgID="Equation.3" ShapeID="_x0000_i1273" DrawAspect="Content" ObjectID="_1815025462" r:id="rId333"/>
        </w:object>
      </w:r>
      <w:r>
        <w:t xml:space="preserve">RTCCAMTQSETOT </w:t>
      </w:r>
      <w:r>
        <w:rPr>
          <w:i/>
          <w:vertAlign w:val="subscript"/>
        </w:rPr>
        <w:t>q</w:t>
      </w:r>
    </w:p>
    <w:p w14:paraId="4694EDB1" w14:textId="77777777" w:rsidR="001F04FD" w:rsidRDefault="001F04FD" w:rsidP="001F04FD">
      <w:pPr>
        <w:ind w:firstLine="720"/>
      </w:pPr>
      <w:r>
        <w:t>Total Real-Time Payment or Charge for Point-to-Point (PTP) Obligations</w:t>
      </w:r>
    </w:p>
    <w:p w14:paraId="5A6F868D" w14:textId="77777777" w:rsidR="001F04FD" w:rsidRDefault="001F04FD" w:rsidP="001F04FD">
      <w:pPr>
        <w:pStyle w:val="Formula"/>
        <w:ind w:leftChars="600" w:left="3600" w:hanging="2160"/>
      </w:pPr>
      <w:r>
        <w:t>RTOBLAMTTOT</w:t>
      </w:r>
      <w:r>
        <w:tab/>
        <w:t>=</w:t>
      </w:r>
      <w:r>
        <w:tab/>
      </w:r>
      <w:r w:rsidRPr="006F784F">
        <w:rPr>
          <w:position w:val="-22"/>
        </w:rPr>
        <w:object w:dxaOrig="225" w:dyaOrig="465" w14:anchorId="09FD190C">
          <v:shape id="_x0000_i1274" type="#_x0000_t75" style="width:12pt;height:24.6pt" o:ole="">
            <v:imagedata r:id="rId331" o:title=""/>
          </v:shape>
          <o:OLEObject Type="Embed" ProgID="Equation.3" ShapeID="_x0000_i1274" DrawAspect="Content" ObjectID="_1815025463" r:id="rId334"/>
        </w:object>
      </w:r>
      <w:r>
        <w:t xml:space="preserve">RTOBLAMTQSETOT </w:t>
      </w:r>
      <w:r>
        <w:rPr>
          <w:i/>
          <w:vertAlign w:val="subscript"/>
        </w:rPr>
        <w:t>q</w:t>
      </w:r>
      <w:r>
        <w:t xml:space="preserve"> </w:t>
      </w:r>
    </w:p>
    <w:p w14:paraId="0389B49B" w14:textId="77777777" w:rsidR="001F04FD" w:rsidRPr="004207D8" w:rsidRDefault="001F04FD" w:rsidP="001F04FD">
      <w:pPr>
        <w:ind w:firstLine="720"/>
      </w:pPr>
      <w:r w:rsidRPr="004207D8">
        <w:t>Total Real-Time Payment for PTP Obligations with Links to Options</w:t>
      </w:r>
    </w:p>
    <w:p w14:paraId="54E24891" w14:textId="7C20850F" w:rsidR="001F04FD" w:rsidRDefault="001F04FD" w:rsidP="001F04FD">
      <w:pPr>
        <w:pStyle w:val="Formula"/>
        <w:ind w:leftChars="600" w:left="3600" w:hanging="2160"/>
      </w:pPr>
      <w:r w:rsidRPr="004207D8">
        <w:t>RTOBLLOAMTTOT</w:t>
      </w:r>
      <w:r w:rsidRPr="004207D8">
        <w:tab/>
        <w:t>=</w:t>
      </w:r>
      <w:r w:rsidRPr="004207D8">
        <w:tab/>
      </w:r>
      <w:r w:rsidRPr="004207D8">
        <w:rPr>
          <w:position w:val="-22"/>
        </w:rPr>
        <w:object w:dxaOrig="225" w:dyaOrig="450" w14:anchorId="4DB6A924">
          <v:shape id="_x0000_i1275" type="#_x0000_t75" style="width:12pt;height:24.6pt" o:ole="">
            <v:imagedata r:id="rId331" o:title=""/>
          </v:shape>
          <o:OLEObject Type="Embed" ProgID="Equation.3" ShapeID="_x0000_i1275" DrawAspect="Content" ObjectID="_1815025464" r:id="rId335"/>
        </w:object>
      </w:r>
      <w:r w:rsidRPr="004207D8">
        <w:t xml:space="preserve">RTOBLLOAMTQSETOT </w:t>
      </w:r>
      <w:r w:rsidRPr="004207D8">
        <w:rPr>
          <w:i/>
          <w:vertAlign w:val="subscript"/>
        </w:rPr>
        <w:t>q</w:t>
      </w:r>
      <w:r w:rsidRPr="000908C4">
        <w:t xml:space="preserve"> </w:t>
      </w:r>
    </w:p>
    <w:p w14:paraId="54630664" w14:textId="77777777" w:rsidR="00DF0BE4" w:rsidRPr="009E231E" w:rsidRDefault="00DF0BE4" w:rsidP="00DF0BE4">
      <w:pPr>
        <w:spacing w:after="120"/>
        <w:ind w:left="720"/>
      </w:pPr>
      <w:r w:rsidRPr="009E231E">
        <w:t>Total Real-Time Payment or Charge for energy from SODGs and SOTGs</w:t>
      </w:r>
    </w:p>
    <w:p w14:paraId="6A2CD136" w14:textId="4418CE2A" w:rsidR="00DF0BE4" w:rsidRDefault="00DF0BE4" w:rsidP="00DF0BE4">
      <w:pPr>
        <w:pStyle w:val="Formula"/>
        <w:ind w:leftChars="600" w:left="3600" w:hanging="2160"/>
      </w:pPr>
      <w:r w:rsidRPr="009E231E">
        <w:rPr>
          <w:szCs w:val="20"/>
        </w:rPr>
        <w:t>RTESOGAMTTOT</w:t>
      </w:r>
      <w:r w:rsidRPr="009E231E">
        <w:rPr>
          <w:szCs w:val="20"/>
        </w:rPr>
        <w:tab/>
        <w:t>=</w:t>
      </w:r>
      <w:r w:rsidRPr="009E231E">
        <w:rPr>
          <w:szCs w:val="20"/>
        </w:rPr>
        <w:tab/>
      </w:r>
      <w:r w:rsidRPr="009E231E">
        <w:rPr>
          <w:noProof/>
          <w:position w:val="-22"/>
          <w:szCs w:val="20"/>
        </w:rPr>
        <w:drawing>
          <wp:inline distT="0" distB="0" distL="0" distR="0" wp14:anchorId="70970F75" wp14:editId="6E38F81B">
            <wp:extent cx="133350" cy="295275"/>
            <wp:effectExtent l="0" t="0" r="0" b="9525"/>
            <wp:docPr id="4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33350" cy="295275"/>
                    </a:xfrm>
                    <a:prstGeom prst="rect">
                      <a:avLst/>
                    </a:prstGeom>
                    <a:noFill/>
                    <a:ln>
                      <a:noFill/>
                    </a:ln>
                  </pic:spPr>
                </pic:pic>
              </a:graphicData>
            </a:graphic>
          </wp:inline>
        </w:drawing>
      </w:r>
      <w:r w:rsidRPr="009E231E">
        <w:rPr>
          <w:szCs w:val="20"/>
        </w:rPr>
        <w:t xml:space="preserve">RTESOGAMTQSETOT </w:t>
      </w:r>
      <w:r w:rsidRPr="009E231E">
        <w:rPr>
          <w:i/>
          <w:szCs w:val="20"/>
          <w:vertAlign w:val="subscript"/>
        </w:rPr>
        <w:t>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F620F" w14:paraId="42597869" w14:textId="77777777" w:rsidTr="008B123E">
        <w:trPr>
          <w:trHeight w:val="206"/>
        </w:trPr>
        <w:tc>
          <w:tcPr>
            <w:tcW w:w="9576" w:type="dxa"/>
            <w:shd w:val="pct12" w:color="auto" w:fill="auto"/>
          </w:tcPr>
          <w:p w14:paraId="0806CD9A" w14:textId="46312606" w:rsidR="000F620F" w:rsidRDefault="000F620F" w:rsidP="008B123E">
            <w:pPr>
              <w:pStyle w:val="Instructions"/>
              <w:spacing w:before="120"/>
            </w:pPr>
            <w:r>
              <w:t>[</w:t>
            </w:r>
            <w:r w:rsidR="00C04382">
              <w:t>NPRR995</w:t>
            </w:r>
            <w:r>
              <w:t xml:space="preserve">:  </w:t>
            </w:r>
            <w:r w:rsidR="00DF0BE4">
              <w:t xml:space="preserve">Replace </w:t>
            </w:r>
            <w:r>
              <w:t xml:space="preserve">the language </w:t>
            </w:r>
            <w:r w:rsidR="00DF0BE4">
              <w:t>above with the following</w:t>
            </w:r>
            <w:r>
              <w:t xml:space="preserve"> upon system implementation:]</w:t>
            </w:r>
          </w:p>
          <w:p w14:paraId="080A4824" w14:textId="43AA43C3" w:rsidR="002F5823" w:rsidRDefault="002F5823" w:rsidP="002F5823">
            <w:pPr>
              <w:ind w:left="720"/>
            </w:pPr>
            <w:r>
              <w:t xml:space="preserve">Total Real-Time Payment or Charge </w:t>
            </w:r>
            <w:r w:rsidRPr="007D3BAF">
              <w:t xml:space="preserve">for </w:t>
            </w:r>
            <w:r>
              <w:t>energy from SODGs</w:t>
            </w:r>
            <w:r w:rsidR="00C04382">
              <w:t>,</w:t>
            </w:r>
            <w:r>
              <w:t xml:space="preserve"> SOTGs</w:t>
            </w:r>
            <w:r w:rsidR="00C04382">
              <w:t>, SODESSs, or SOTESSs</w:t>
            </w:r>
            <w:r w:rsidRPr="007D3BAF">
              <w:t xml:space="preserve"> </w:t>
            </w:r>
          </w:p>
          <w:p w14:paraId="0D7E5397" w14:textId="06446C4A" w:rsidR="000F620F" w:rsidRPr="002F5823" w:rsidRDefault="002F5823" w:rsidP="002F5823">
            <w:pPr>
              <w:pStyle w:val="Formula"/>
              <w:ind w:leftChars="600" w:left="3600" w:hanging="2160"/>
            </w:pPr>
            <w:r>
              <w:t>RTESOAMTTOT</w:t>
            </w:r>
            <w:r>
              <w:tab/>
              <w:t>=</w:t>
            </w:r>
            <w:r>
              <w:tab/>
            </w:r>
            <w:r w:rsidRPr="006F784F">
              <w:rPr>
                <w:position w:val="-22"/>
              </w:rPr>
              <w:object w:dxaOrig="210" w:dyaOrig="465" w14:anchorId="7383A45D">
                <v:shape id="_x0000_i1276" type="#_x0000_t75" style="width:12pt;height:30pt" o:ole="">
                  <v:imagedata r:id="rId337" o:title=""/>
                </v:shape>
                <o:OLEObject Type="Embed" ProgID="Equation.3" ShapeID="_x0000_i1276" DrawAspect="Content" ObjectID="_1815025465" r:id="rId338"/>
              </w:object>
            </w:r>
            <w:r>
              <w:t xml:space="preserve"> RTESOAMTQSETOT </w:t>
            </w:r>
            <w:r>
              <w:rPr>
                <w:i/>
                <w:vertAlign w:val="subscript"/>
              </w:rPr>
              <w:t>q</w:t>
            </w:r>
          </w:p>
        </w:tc>
      </w:tr>
    </w:tbl>
    <w:p w14:paraId="7D6D2297" w14:textId="77777777" w:rsidR="001F04FD" w:rsidRDefault="001F04FD" w:rsidP="004A39F9">
      <w:pPr>
        <w:spacing w:before="240"/>
      </w:pPr>
      <w:r>
        <w:t xml:space="preserve">The above </w:t>
      </w:r>
      <w:r>
        <w:rPr>
          <w:szCs w:val="24"/>
        </w:rPr>
        <w:t>variables</w:t>
      </w:r>
      <w:r>
        <w:t xml:space="preserve">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634"/>
        <w:gridCol w:w="6324"/>
      </w:tblGrid>
      <w:tr w:rsidR="001F04FD" w14:paraId="3E843120" w14:textId="77777777" w:rsidTr="00AC4DEE">
        <w:trPr>
          <w:cantSplit/>
          <w:tblHeader/>
        </w:trPr>
        <w:tc>
          <w:tcPr>
            <w:tcW w:w="1279" w:type="pct"/>
          </w:tcPr>
          <w:p w14:paraId="5ED501E0" w14:textId="77777777" w:rsidR="001F04FD" w:rsidRDefault="001F04FD" w:rsidP="00AC4DEE">
            <w:pPr>
              <w:pStyle w:val="TableHead"/>
            </w:pPr>
            <w:r>
              <w:t>Variable</w:t>
            </w:r>
          </w:p>
        </w:tc>
        <w:tc>
          <w:tcPr>
            <w:tcW w:w="339" w:type="pct"/>
          </w:tcPr>
          <w:p w14:paraId="2CB5D481" w14:textId="77777777" w:rsidR="001F04FD" w:rsidRDefault="001F04FD" w:rsidP="00AC4DEE">
            <w:pPr>
              <w:pStyle w:val="TableHead"/>
            </w:pPr>
            <w:r>
              <w:t>Unit</w:t>
            </w:r>
          </w:p>
        </w:tc>
        <w:tc>
          <w:tcPr>
            <w:tcW w:w="3382" w:type="pct"/>
          </w:tcPr>
          <w:p w14:paraId="56A62271" w14:textId="77777777" w:rsidR="001F04FD" w:rsidRDefault="001F04FD" w:rsidP="00AC4DEE">
            <w:pPr>
              <w:pStyle w:val="TableHead"/>
            </w:pPr>
            <w:r>
              <w:t>Description</w:t>
            </w:r>
          </w:p>
        </w:tc>
      </w:tr>
      <w:tr w:rsidR="001F04FD" w14:paraId="6E213ED1" w14:textId="77777777" w:rsidTr="00AC4DEE">
        <w:trPr>
          <w:cantSplit/>
        </w:trPr>
        <w:tc>
          <w:tcPr>
            <w:tcW w:w="1279" w:type="pct"/>
          </w:tcPr>
          <w:p w14:paraId="705D7DED" w14:textId="77777777" w:rsidR="001F04FD" w:rsidRDefault="001F04FD" w:rsidP="00AC4DEE">
            <w:pPr>
              <w:pStyle w:val="TableBody"/>
              <w:rPr>
                <w:highlight w:val="yellow"/>
              </w:rPr>
            </w:pPr>
            <w:r>
              <w:t xml:space="preserve">LARTRNAMT </w:t>
            </w:r>
            <w:r w:rsidRPr="00E15B17">
              <w:rPr>
                <w:i/>
                <w:vertAlign w:val="subscript"/>
              </w:rPr>
              <w:t>q</w:t>
            </w:r>
          </w:p>
        </w:tc>
        <w:tc>
          <w:tcPr>
            <w:tcW w:w="339" w:type="pct"/>
          </w:tcPr>
          <w:p w14:paraId="4DB4DD1D" w14:textId="77777777" w:rsidR="001F04FD" w:rsidRDefault="001F04FD" w:rsidP="00AC4DEE">
            <w:pPr>
              <w:pStyle w:val="TableBody"/>
            </w:pPr>
            <w:r>
              <w:t>$</w:t>
            </w:r>
          </w:p>
        </w:tc>
        <w:tc>
          <w:tcPr>
            <w:tcW w:w="3382" w:type="pct"/>
          </w:tcPr>
          <w:p w14:paraId="2E9390A8" w14:textId="77777777" w:rsidR="001F04FD" w:rsidRDefault="001F04FD" w:rsidP="00AC4DEE">
            <w:pPr>
              <w:pStyle w:val="TableBody"/>
            </w:pPr>
            <w:r>
              <w:rPr>
                <w:i/>
              </w:rPr>
              <w:t>Load-Allocated Real-Time Revenue Neutrality Amount per QSE</w:t>
            </w:r>
            <w:r>
              <w:t xml:space="preserve">—The QSE </w:t>
            </w:r>
            <w:r>
              <w:rPr>
                <w:i/>
              </w:rPr>
              <w:t>q</w:t>
            </w:r>
            <w:r>
              <w:t>’s share of the total Real-Time revenue neutrality amount, for the 15-minute Settlement Interval.</w:t>
            </w:r>
          </w:p>
        </w:tc>
      </w:tr>
      <w:tr w:rsidR="001F04FD" w14:paraId="45785033" w14:textId="77777777" w:rsidTr="00AC4DEE">
        <w:trPr>
          <w:cantSplit/>
        </w:trPr>
        <w:tc>
          <w:tcPr>
            <w:tcW w:w="1279" w:type="pct"/>
          </w:tcPr>
          <w:p w14:paraId="0C73C433" w14:textId="77777777" w:rsidR="001F04FD" w:rsidRDefault="001F04FD" w:rsidP="00AC4DEE">
            <w:pPr>
              <w:pStyle w:val="TableBody"/>
              <w:rPr>
                <w:highlight w:val="yellow"/>
              </w:rPr>
            </w:pPr>
            <w:r>
              <w:t xml:space="preserve">RTEIAMTTOT </w:t>
            </w:r>
            <w:r w:rsidRPr="00E15B17">
              <w:rPr>
                <w:i/>
                <w:vertAlign w:val="subscript"/>
              </w:rPr>
              <w:t xml:space="preserve">q </w:t>
            </w:r>
          </w:p>
        </w:tc>
        <w:tc>
          <w:tcPr>
            <w:tcW w:w="339" w:type="pct"/>
          </w:tcPr>
          <w:p w14:paraId="503A9E23" w14:textId="77777777" w:rsidR="001F04FD" w:rsidRDefault="001F04FD" w:rsidP="00AC4DEE">
            <w:pPr>
              <w:pStyle w:val="TableBody"/>
            </w:pPr>
            <w:r>
              <w:t>$</w:t>
            </w:r>
          </w:p>
        </w:tc>
        <w:tc>
          <w:tcPr>
            <w:tcW w:w="3382" w:type="pct"/>
          </w:tcPr>
          <w:p w14:paraId="73D174BC" w14:textId="77777777" w:rsidR="001F04FD" w:rsidRDefault="001F04FD" w:rsidP="00AC4DEE">
            <w:pPr>
              <w:pStyle w:val="TableBody"/>
            </w:pPr>
            <w:r>
              <w:rPr>
                <w:i/>
              </w:rPr>
              <w:t>Real-Time Energy Imbalance Amount Total</w:t>
            </w:r>
            <w:r>
              <w:t>—The total net payments and charges for Real-Time Energy Imbalance Service at all Settlement Points (Resource, Load Zone or Hub) for the 15-minute Interval.</w:t>
            </w:r>
          </w:p>
        </w:tc>
      </w:tr>
      <w:tr w:rsidR="001F04FD" w14:paraId="78BA79EC" w14:textId="77777777" w:rsidTr="00AC4DEE">
        <w:trPr>
          <w:cantSplit/>
        </w:trPr>
        <w:tc>
          <w:tcPr>
            <w:tcW w:w="1279" w:type="pct"/>
          </w:tcPr>
          <w:p w14:paraId="33A990C4" w14:textId="77777777" w:rsidR="001F04FD" w:rsidRDefault="001F04FD" w:rsidP="00AC4DEE">
            <w:pPr>
              <w:pStyle w:val="TableBody"/>
              <w:rPr>
                <w:highlight w:val="yellow"/>
              </w:rPr>
            </w:pPr>
            <w:r>
              <w:t>BLTRAMTTOT</w:t>
            </w:r>
          </w:p>
        </w:tc>
        <w:tc>
          <w:tcPr>
            <w:tcW w:w="339" w:type="pct"/>
          </w:tcPr>
          <w:p w14:paraId="0B2379AF" w14:textId="77777777" w:rsidR="001F04FD" w:rsidRDefault="001F04FD" w:rsidP="00AC4DEE">
            <w:pPr>
              <w:pStyle w:val="TableBody"/>
            </w:pPr>
            <w:r>
              <w:t>$</w:t>
            </w:r>
          </w:p>
        </w:tc>
        <w:tc>
          <w:tcPr>
            <w:tcW w:w="3382" w:type="pct"/>
          </w:tcPr>
          <w:p w14:paraId="6AFFF72D" w14:textId="77777777" w:rsidR="001F04FD" w:rsidRDefault="001F04FD" w:rsidP="00AC4DEE">
            <w:pPr>
              <w:pStyle w:val="TableBody"/>
            </w:pPr>
            <w:r>
              <w:rPr>
                <w:i/>
              </w:rPr>
              <w:t>Block Load Transfer Resource Amount Total</w:t>
            </w:r>
            <w:r>
              <w:sym w:font="Symbol" w:char="F0BE"/>
            </w:r>
            <w:r>
              <w:t>The total of payments for energy delivered into the ERCOT Region through BLT points for the 15-minute Settlement Interval.</w:t>
            </w:r>
          </w:p>
        </w:tc>
      </w:tr>
      <w:tr w:rsidR="001F04FD" w14:paraId="7703E48B" w14:textId="77777777" w:rsidTr="00AC4DEE">
        <w:trPr>
          <w:cantSplit/>
        </w:trPr>
        <w:tc>
          <w:tcPr>
            <w:tcW w:w="1279" w:type="pct"/>
          </w:tcPr>
          <w:p w14:paraId="24E44740" w14:textId="77777777" w:rsidR="001F04FD" w:rsidRDefault="001F04FD" w:rsidP="00AC4DEE">
            <w:pPr>
              <w:pStyle w:val="TableBody"/>
              <w:rPr>
                <w:highlight w:val="yellow"/>
              </w:rPr>
            </w:pPr>
            <w:r>
              <w:t>RTDCIMPAMTTOT</w:t>
            </w:r>
          </w:p>
        </w:tc>
        <w:tc>
          <w:tcPr>
            <w:tcW w:w="339" w:type="pct"/>
          </w:tcPr>
          <w:p w14:paraId="648E271B" w14:textId="77777777" w:rsidR="001F04FD" w:rsidRDefault="001F04FD" w:rsidP="00AC4DEE">
            <w:pPr>
              <w:pStyle w:val="TableBody"/>
            </w:pPr>
            <w:r>
              <w:t>$</w:t>
            </w:r>
          </w:p>
        </w:tc>
        <w:tc>
          <w:tcPr>
            <w:tcW w:w="3382" w:type="pct"/>
            <w:vAlign w:val="center"/>
          </w:tcPr>
          <w:p w14:paraId="3C7F343D" w14:textId="77777777" w:rsidR="001F04FD" w:rsidRDefault="001F04FD" w:rsidP="00AC4DEE">
            <w:pPr>
              <w:pStyle w:val="TableBody"/>
              <w:spacing w:after="0"/>
            </w:pPr>
            <w:r>
              <w:rPr>
                <w:i/>
              </w:rPr>
              <w:t>Real-Time DC Import Amount Total</w:t>
            </w:r>
            <w:r>
              <w:t>—The summation of payments for DC Tie imports for the 15-minute Settlement Interval.</w:t>
            </w:r>
          </w:p>
        </w:tc>
      </w:tr>
      <w:tr w:rsidR="001F04FD" w14:paraId="132F185A" w14:textId="77777777" w:rsidTr="00AC4DEE">
        <w:trPr>
          <w:cantSplit/>
        </w:trPr>
        <w:tc>
          <w:tcPr>
            <w:tcW w:w="1279" w:type="pct"/>
          </w:tcPr>
          <w:p w14:paraId="0DC77BB8" w14:textId="77777777" w:rsidR="001F04FD" w:rsidRDefault="001F04FD" w:rsidP="00AC4DEE">
            <w:pPr>
              <w:pStyle w:val="TableBody"/>
              <w:rPr>
                <w:highlight w:val="yellow"/>
              </w:rPr>
            </w:pPr>
            <w:r>
              <w:t xml:space="preserve">RTCCAMTTOT </w:t>
            </w:r>
          </w:p>
        </w:tc>
        <w:tc>
          <w:tcPr>
            <w:tcW w:w="339" w:type="pct"/>
          </w:tcPr>
          <w:p w14:paraId="38E1EFC7" w14:textId="77777777" w:rsidR="001F04FD" w:rsidRDefault="001F04FD" w:rsidP="00AC4DEE">
            <w:pPr>
              <w:pStyle w:val="TableBody"/>
            </w:pPr>
            <w:r>
              <w:t>$</w:t>
            </w:r>
          </w:p>
        </w:tc>
        <w:tc>
          <w:tcPr>
            <w:tcW w:w="3382" w:type="pct"/>
          </w:tcPr>
          <w:p w14:paraId="4EB86608" w14:textId="77777777" w:rsidR="001F04FD" w:rsidRDefault="001F04FD" w:rsidP="00AC4DEE">
            <w:pPr>
              <w:pStyle w:val="TableBody"/>
            </w:pPr>
            <w:r>
              <w:rPr>
                <w:i/>
              </w:rPr>
              <w:t>Real-Time Energy Congestion Cost Amount Total</w:t>
            </w:r>
            <w:r>
              <w:t>—The total net congestion payments and charges for all Self-Schedules for the 15-minute Settlement Interval.</w:t>
            </w:r>
          </w:p>
        </w:tc>
      </w:tr>
      <w:tr w:rsidR="001F04FD" w14:paraId="08D111D4" w14:textId="77777777" w:rsidTr="00AC4DEE">
        <w:trPr>
          <w:cantSplit/>
        </w:trPr>
        <w:tc>
          <w:tcPr>
            <w:tcW w:w="1279" w:type="pct"/>
          </w:tcPr>
          <w:p w14:paraId="10C5E733" w14:textId="77777777" w:rsidR="001F04FD" w:rsidRDefault="001F04FD" w:rsidP="00AC4DEE">
            <w:pPr>
              <w:pStyle w:val="TableBody"/>
              <w:rPr>
                <w:highlight w:val="yellow"/>
              </w:rPr>
            </w:pPr>
            <w:r>
              <w:t>RTOBLAMTTOT</w:t>
            </w:r>
          </w:p>
        </w:tc>
        <w:tc>
          <w:tcPr>
            <w:tcW w:w="339" w:type="pct"/>
          </w:tcPr>
          <w:p w14:paraId="13435357" w14:textId="77777777" w:rsidR="001F04FD" w:rsidRDefault="001F04FD" w:rsidP="00AC4DEE">
            <w:pPr>
              <w:pStyle w:val="TableBody"/>
            </w:pPr>
            <w:r>
              <w:t>$</w:t>
            </w:r>
          </w:p>
        </w:tc>
        <w:tc>
          <w:tcPr>
            <w:tcW w:w="3382" w:type="pct"/>
          </w:tcPr>
          <w:p w14:paraId="18E0F2D8" w14:textId="77777777" w:rsidR="001F04FD" w:rsidRDefault="001F04FD" w:rsidP="00AC4DEE">
            <w:pPr>
              <w:pStyle w:val="TableBody"/>
              <w:rPr>
                <w:i/>
              </w:rPr>
            </w:pPr>
            <w:r>
              <w:rPr>
                <w:i/>
              </w:rPr>
              <w:t>Real-Time Obligation Amount Total</w:t>
            </w:r>
            <w:r>
              <w:t>—The sum of all payments and charges for PTP Obligations settled in Real-Time for the hour that includes the 15-minute Settlement Interval.</w:t>
            </w:r>
          </w:p>
        </w:tc>
      </w:tr>
      <w:tr w:rsidR="001F04FD" w14:paraId="1F060504" w14:textId="77777777" w:rsidTr="00AC4DEE">
        <w:trPr>
          <w:cantSplit/>
        </w:trPr>
        <w:tc>
          <w:tcPr>
            <w:tcW w:w="1279" w:type="pct"/>
          </w:tcPr>
          <w:p w14:paraId="57A59ED2" w14:textId="77777777" w:rsidR="001F04FD" w:rsidRDefault="001F04FD" w:rsidP="00AC4DEE">
            <w:pPr>
              <w:pStyle w:val="TableBody"/>
            </w:pPr>
            <w:r w:rsidRPr="004207D8">
              <w:lastRenderedPageBreak/>
              <w:t>RTOBLLOAM</w:t>
            </w:r>
            <w:r>
              <w:t>T</w:t>
            </w:r>
            <w:r w:rsidRPr="004207D8">
              <w:t>TOT</w:t>
            </w:r>
          </w:p>
        </w:tc>
        <w:tc>
          <w:tcPr>
            <w:tcW w:w="339" w:type="pct"/>
          </w:tcPr>
          <w:p w14:paraId="07CACFF6" w14:textId="77777777" w:rsidR="001F04FD" w:rsidRDefault="001F04FD" w:rsidP="00AC4DEE">
            <w:pPr>
              <w:pStyle w:val="TableBody"/>
            </w:pPr>
            <w:r w:rsidRPr="004207D8">
              <w:t>$</w:t>
            </w:r>
          </w:p>
        </w:tc>
        <w:tc>
          <w:tcPr>
            <w:tcW w:w="3382" w:type="pct"/>
          </w:tcPr>
          <w:p w14:paraId="0A98B28A" w14:textId="77777777" w:rsidR="001F04FD" w:rsidRDefault="001F04FD" w:rsidP="00AC4DEE">
            <w:pPr>
              <w:pStyle w:val="TableBody"/>
              <w:rPr>
                <w:i/>
              </w:rPr>
            </w:pPr>
            <w:r w:rsidRPr="004207D8">
              <w:rPr>
                <w:i/>
              </w:rPr>
              <w:t xml:space="preserve">Real-Time Obligation with Links to </w:t>
            </w:r>
            <w:r>
              <w:rPr>
                <w:i/>
              </w:rPr>
              <w:t xml:space="preserve">an </w:t>
            </w:r>
            <w:r w:rsidRPr="004207D8">
              <w:rPr>
                <w:i/>
              </w:rPr>
              <w:t>Option Amount Total</w:t>
            </w:r>
            <w:r w:rsidRPr="004207D8">
              <w:t xml:space="preserve">—The sum of all payments for PTP Obligations with Links to </w:t>
            </w:r>
            <w:r>
              <w:t xml:space="preserve">an </w:t>
            </w:r>
            <w:r w:rsidRPr="004207D8">
              <w:t>Option settled in Real-Time for the hour that includes the 15-minute Settlement Interval</w:t>
            </w:r>
            <w:r>
              <w:t>.</w:t>
            </w:r>
          </w:p>
        </w:tc>
      </w:tr>
      <w:tr w:rsidR="001F04FD" w14:paraId="7D258495"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44FB3CB9" w14:textId="77777777" w:rsidR="001F04FD" w:rsidRDefault="001F04FD" w:rsidP="00AC4DEE">
            <w:pPr>
              <w:pStyle w:val="TableBody"/>
            </w:pPr>
            <w:r>
              <w:t xml:space="preserve">RTEIAMTQSETOT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75556FFA"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9B5C3CD" w14:textId="77777777" w:rsidR="001F04FD" w:rsidRDefault="001F04FD" w:rsidP="00AC4DEE">
            <w:pPr>
              <w:pStyle w:val="TableBody"/>
              <w:rPr>
                <w:bCs/>
              </w:rPr>
            </w:pPr>
            <w:r>
              <w:rPr>
                <w:bCs/>
                <w:i/>
              </w:rPr>
              <w:t>Real-Time Energy Imbalance Amount QSE Total per QSE</w:t>
            </w:r>
            <w:r>
              <w:rPr>
                <w:bCs/>
              </w:rPr>
              <w:sym w:font="Symbol" w:char="F0BE"/>
            </w:r>
            <w:r>
              <w:rPr>
                <w:bCs/>
              </w:rPr>
              <w:t xml:space="preserve">The total net payments and charges to QSE </w:t>
            </w:r>
            <w:r>
              <w:rPr>
                <w:bCs/>
                <w:i/>
              </w:rPr>
              <w:t>q</w:t>
            </w:r>
            <w:r>
              <w:rPr>
                <w:bCs/>
              </w:rPr>
              <w:t xml:space="preserve"> for Real-Time Energy Imbalance at all Resource Node Settlement Points for the 15-minute Settlement Interval.</w:t>
            </w:r>
          </w:p>
        </w:tc>
      </w:tr>
      <w:tr w:rsidR="001F04FD" w14:paraId="747D871A"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235C44A9" w14:textId="77777777" w:rsidR="001F04FD" w:rsidRDefault="001F04FD" w:rsidP="00AC4DEE">
            <w:pPr>
              <w:pStyle w:val="TableBody"/>
            </w:pPr>
            <w:r>
              <w:t xml:space="preserve">RTCCAMTQSETOT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25C2DD0A"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3FA693B6" w14:textId="77777777" w:rsidR="001F04FD" w:rsidRDefault="001F04FD" w:rsidP="00AC4DEE">
            <w:pPr>
              <w:pStyle w:val="TableBody"/>
              <w:rPr>
                <w:bCs/>
              </w:rPr>
            </w:pPr>
            <w:r>
              <w:rPr>
                <w:bCs/>
                <w:i/>
              </w:rPr>
              <w:t>Real-Time Congestion Cost Amount QSE Total per QSE</w:t>
            </w:r>
            <w:r>
              <w:rPr>
                <w:bCs/>
              </w:rPr>
              <w:sym w:font="Symbol" w:char="F0BE"/>
            </w:r>
            <w:r>
              <w:rPr>
                <w:bCs/>
              </w:rPr>
              <w:t xml:space="preserve">The total net congestion payments and charges to QSE </w:t>
            </w:r>
            <w:r>
              <w:rPr>
                <w:bCs/>
                <w:i/>
              </w:rPr>
              <w:t>q</w:t>
            </w:r>
            <w:r>
              <w:rPr>
                <w:bCs/>
              </w:rPr>
              <w:t xml:space="preserve"> for its Self-Schedules for the 15-minute Settlement Interval.</w:t>
            </w:r>
          </w:p>
        </w:tc>
      </w:tr>
      <w:tr w:rsidR="001F04FD" w14:paraId="1A7DBE75"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0EB4F66C" w14:textId="77777777" w:rsidR="001F04FD" w:rsidRDefault="001F04FD" w:rsidP="00AC4DEE">
            <w:pPr>
              <w:pStyle w:val="TableBody"/>
            </w:pPr>
            <w:r>
              <w:t xml:space="preserve">BLTRAMTQSETOT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4F5E3805"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C97E6CA" w14:textId="77777777" w:rsidR="001F04FD" w:rsidRDefault="001F04FD" w:rsidP="00AC4DEE">
            <w:pPr>
              <w:pStyle w:val="TableBody"/>
              <w:rPr>
                <w:bCs/>
              </w:rPr>
            </w:pPr>
            <w:r>
              <w:rPr>
                <w:bCs/>
                <w:i/>
              </w:rPr>
              <w:t>Block Load Transfer Resource Amount QSE Total per QSE</w:t>
            </w:r>
            <w:r>
              <w:rPr>
                <w:bCs/>
              </w:rPr>
              <w:sym w:font="Symbol" w:char="F0BE"/>
            </w:r>
            <w:r>
              <w:rPr>
                <w:bCs/>
              </w:rPr>
              <w:t xml:space="preserve">The total of the payments to QSE </w:t>
            </w:r>
            <w:r>
              <w:rPr>
                <w:bCs/>
                <w:i/>
              </w:rPr>
              <w:t>q</w:t>
            </w:r>
            <w:r>
              <w:rPr>
                <w:bCs/>
              </w:rPr>
              <w:t xml:space="preserve"> for energy delivered into the ERCOT Region through BLT points for the 15-minute Settlement Interval.</w:t>
            </w:r>
          </w:p>
        </w:tc>
      </w:tr>
      <w:tr w:rsidR="001F04FD" w14:paraId="650E784E"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650057B5" w14:textId="77777777" w:rsidR="001F04FD" w:rsidRDefault="001F04FD" w:rsidP="00AC4DEE">
            <w:pPr>
              <w:pStyle w:val="TableBody"/>
            </w:pPr>
            <w:r>
              <w:t xml:space="preserve">RTDCIMPAMTQSETOT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5931A65A"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0C79E3D" w14:textId="77777777" w:rsidR="001F04FD" w:rsidRDefault="001F04FD" w:rsidP="00AC4DEE">
            <w:pPr>
              <w:pStyle w:val="TableBody"/>
              <w:rPr>
                <w:bCs/>
              </w:rPr>
            </w:pPr>
            <w:r>
              <w:rPr>
                <w:bCs/>
                <w:i/>
              </w:rPr>
              <w:t>Real-Time DC Import Amount QSE Total per QSE</w:t>
            </w:r>
            <w:r>
              <w:rPr>
                <w:bCs/>
              </w:rPr>
              <w:sym w:font="Symbol" w:char="F0BE"/>
            </w:r>
            <w:r>
              <w:rPr>
                <w:bCs/>
              </w:rPr>
              <w:t xml:space="preserve">The total of the payments to QSE </w:t>
            </w:r>
            <w:r>
              <w:rPr>
                <w:bCs/>
                <w:i/>
              </w:rPr>
              <w:t>q</w:t>
            </w:r>
            <w:r>
              <w:rPr>
                <w:bCs/>
              </w:rPr>
              <w:t xml:space="preserve"> for energy imported into the ERCOT Region through DC Ties for the 15-minute Settlement Interval.</w:t>
            </w:r>
          </w:p>
        </w:tc>
      </w:tr>
      <w:tr w:rsidR="001F04FD" w14:paraId="23ADF615"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195F5CCD" w14:textId="77777777" w:rsidR="001F04FD" w:rsidRDefault="001F04FD" w:rsidP="00AC4DEE">
            <w:pPr>
              <w:pStyle w:val="TableBody"/>
            </w:pPr>
            <w:r>
              <w:t xml:space="preserve">RTOBLAMTQSETOT </w:t>
            </w:r>
            <w:r w:rsidRPr="00D661BC">
              <w:rPr>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7A77F5EB"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7222337" w14:textId="77777777" w:rsidR="001F04FD" w:rsidRDefault="001F04FD" w:rsidP="00AC4DEE">
            <w:pPr>
              <w:pStyle w:val="TableBody"/>
              <w:rPr>
                <w:bCs/>
              </w:rPr>
            </w:pPr>
            <w:r>
              <w:rPr>
                <w:bCs/>
                <w:i/>
              </w:rPr>
              <w:t>Real-Time Obligation Amount QSE Total per QSE</w:t>
            </w:r>
            <w:r>
              <w:rPr>
                <w:bCs/>
              </w:rPr>
              <w:t xml:space="preserve">—The net total payment or charge to QSE </w:t>
            </w:r>
            <w:r>
              <w:rPr>
                <w:bCs/>
                <w:i/>
              </w:rPr>
              <w:t>q</w:t>
            </w:r>
            <w:r>
              <w:rPr>
                <w:bCs/>
              </w:rPr>
              <w:t xml:space="preserve"> of all its PTP Obligations settled in Real-Time for the hour that includes the 15-minute Settlement Interval.  See paragraph (2) of Section 7.9.2.1, Payments and Charges for PTP Obligations Settled in Real-Time.</w:t>
            </w:r>
          </w:p>
        </w:tc>
      </w:tr>
      <w:tr w:rsidR="001F04FD" w14:paraId="33E97B7F"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63C65C31" w14:textId="77777777" w:rsidR="001F04FD" w:rsidRDefault="001F04FD" w:rsidP="00AC4DEE">
            <w:pPr>
              <w:pStyle w:val="TableBody"/>
            </w:pPr>
            <w:r w:rsidRPr="004207D8">
              <w:t>RTOBL</w:t>
            </w:r>
            <w:r>
              <w:t>LO</w:t>
            </w:r>
            <w:r w:rsidRPr="004207D8">
              <w:t xml:space="preserve">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4BCBB877" w14:textId="77777777" w:rsidR="001F04FD" w:rsidRDefault="001F04FD" w:rsidP="00AC4DEE">
            <w:pPr>
              <w:pStyle w:val="TableBody"/>
              <w:rPr>
                <w:bCs/>
              </w:rPr>
            </w:pPr>
            <w:r w:rsidRPr="004207D8">
              <w:rPr>
                <w:bCs/>
              </w:rPr>
              <w:t>$</w:t>
            </w:r>
          </w:p>
        </w:tc>
        <w:tc>
          <w:tcPr>
            <w:tcW w:w="3382" w:type="pct"/>
            <w:tcBorders>
              <w:top w:val="single" w:sz="4" w:space="0" w:color="auto"/>
              <w:left w:val="single" w:sz="4" w:space="0" w:color="auto"/>
              <w:bottom w:val="single" w:sz="4" w:space="0" w:color="auto"/>
              <w:right w:val="single" w:sz="4" w:space="0" w:color="auto"/>
            </w:tcBorders>
          </w:tcPr>
          <w:p w14:paraId="61707FF3" w14:textId="77777777" w:rsidR="001F04FD" w:rsidRDefault="001F04FD" w:rsidP="00AC4DEE">
            <w:pPr>
              <w:pStyle w:val="TableBody"/>
              <w:rPr>
                <w:bCs/>
                <w:i/>
              </w:rPr>
            </w:pPr>
            <w:r w:rsidRPr="004207D8">
              <w:rPr>
                <w:bCs/>
                <w:i/>
              </w:rPr>
              <w:t xml:space="preserve">Real-Time Obligation with Links to </w:t>
            </w:r>
            <w:r>
              <w:rPr>
                <w:bCs/>
                <w:i/>
              </w:rPr>
              <w:t xml:space="preserve">an </w:t>
            </w:r>
            <w:r w:rsidRPr="004207D8">
              <w:rPr>
                <w:bCs/>
                <w:i/>
              </w:rPr>
              <w:t>Option Amount QSE Total per QSE</w:t>
            </w:r>
            <w:r w:rsidRPr="004207D8">
              <w:rPr>
                <w:bCs/>
              </w:rPr>
              <w:t xml:space="preserve">—The total payment to QSE </w:t>
            </w:r>
            <w:r w:rsidRPr="004207D8">
              <w:rPr>
                <w:bCs/>
                <w:i/>
              </w:rPr>
              <w:t>q</w:t>
            </w:r>
            <w:r w:rsidRPr="004207D8">
              <w:rPr>
                <w:bCs/>
              </w:rPr>
              <w:t xml:space="preserve"> for all of its PTP Obligations with Links to </w:t>
            </w:r>
            <w:r>
              <w:rPr>
                <w:bCs/>
              </w:rPr>
              <w:t xml:space="preserve">an </w:t>
            </w:r>
            <w:r w:rsidRPr="004207D8">
              <w:rPr>
                <w:bCs/>
              </w:rPr>
              <w:t>Option settled in Real-Time for the hour that includes the 15-minute Settlement Interval.  See paragraph (2) of Section 7.9.2.1.</w:t>
            </w:r>
          </w:p>
        </w:tc>
      </w:tr>
      <w:tr w:rsidR="00DF0BE4" w14:paraId="72B579A2"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76B05252" w14:textId="55455ED9" w:rsidR="00DF0BE4" w:rsidRPr="004207D8" w:rsidRDefault="00DF0BE4" w:rsidP="00DF0BE4">
            <w:pPr>
              <w:pStyle w:val="TableBody"/>
            </w:pPr>
            <w:r w:rsidRPr="00892119">
              <w:t>RTE</w:t>
            </w:r>
            <w:r>
              <w:t>SO</w:t>
            </w:r>
            <w:r w:rsidRPr="00892119">
              <w:t>GAMT</w:t>
            </w:r>
            <w:r>
              <w:t>QSETOT</w:t>
            </w:r>
            <w:r w:rsidRPr="00892119">
              <w:t xml:space="preserve"> </w:t>
            </w:r>
            <w:r w:rsidRPr="00892119">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65531D5B" w14:textId="61549DC5" w:rsidR="00DF0BE4" w:rsidRPr="004207D8" w:rsidRDefault="00DF0BE4" w:rsidP="00DF0BE4">
            <w:pPr>
              <w:pStyle w:val="TableBody"/>
              <w:rPr>
                <w:bCs/>
              </w:rPr>
            </w:pPr>
            <w:r w:rsidRPr="00892119">
              <w:rPr>
                <w:bCs/>
              </w:rPr>
              <w:t>$</w:t>
            </w:r>
          </w:p>
        </w:tc>
        <w:tc>
          <w:tcPr>
            <w:tcW w:w="3382" w:type="pct"/>
            <w:tcBorders>
              <w:top w:val="single" w:sz="4" w:space="0" w:color="auto"/>
              <w:left w:val="single" w:sz="4" w:space="0" w:color="auto"/>
              <w:bottom w:val="single" w:sz="4" w:space="0" w:color="auto"/>
              <w:right w:val="single" w:sz="4" w:space="0" w:color="auto"/>
            </w:tcBorders>
          </w:tcPr>
          <w:p w14:paraId="409A18C8" w14:textId="063580D6" w:rsidR="00DF0BE4" w:rsidRPr="004207D8" w:rsidRDefault="00DF0BE4" w:rsidP="00DF0BE4">
            <w:pPr>
              <w:pStyle w:val="TableBody"/>
              <w:rPr>
                <w:bCs/>
                <w:i/>
              </w:rPr>
            </w:pPr>
            <w:r w:rsidRPr="00892119">
              <w:rPr>
                <w:i/>
              </w:rPr>
              <w:t xml:space="preserve">Real-Time Energy Payment or Charge per QSE for Energy from </w:t>
            </w:r>
            <w:r w:rsidRPr="00FE0BEC">
              <w:rPr>
                <w:i/>
              </w:rPr>
              <w:t>SODGs and SOTGs</w:t>
            </w:r>
            <w:r w:rsidRPr="00892119">
              <w:rPr>
                <w:i/>
              </w:rPr>
              <w:t xml:space="preserve"> </w:t>
            </w:r>
            <w:r w:rsidRPr="00892119">
              <w:t xml:space="preserve">—The payment or charge to QSE </w:t>
            </w:r>
            <w:r w:rsidRPr="00892119">
              <w:rPr>
                <w:i/>
              </w:rPr>
              <w:t>q</w:t>
            </w:r>
            <w:r w:rsidRPr="00892119">
              <w:t xml:space="preserve"> for Real-Time energy from </w:t>
            </w:r>
            <w:r w:rsidRPr="00FE0BEC">
              <w:t>SODGs and SOTGs</w:t>
            </w:r>
            <w:r w:rsidRPr="00892119">
              <w:t>, for the 15-minute Settlement Interval.</w:t>
            </w:r>
          </w:p>
        </w:tc>
      </w:tr>
      <w:tr w:rsidR="00DF0BE4" w14:paraId="6CEB71EA"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4D49A5D7" w14:textId="4D9C454B" w:rsidR="00DF0BE4" w:rsidRPr="004207D8" w:rsidRDefault="00DF0BE4" w:rsidP="00DF0BE4">
            <w:pPr>
              <w:pStyle w:val="TableBody"/>
            </w:pPr>
            <w:r w:rsidRPr="00892119">
              <w:t>RTE</w:t>
            </w:r>
            <w:r>
              <w:t>SO</w:t>
            </w:r>
            <w:r w:rsidRPr="00892119">
              <w:t>GAMTTOT</w:t>
            </w:r>
          </w:p>
        </w:tc>
        <w:tc>
          <w:tcPr>
            <w:tcW w:w="339" w:type="pct"/>
            <w:tcBorders>
              <w:top w:val="single" w:sz="4" w:space="0" w:color="auto"/>
              <w:left w:val="single" w:sz="4" w:space="0" w:color="auto"/>
              <w:bottom w:val="single" w:sz="4" w:space="0" w:color="auto"/>
              <w:right w:val="single" w:sz="4" w:space="0" w:color="auto"/>
            </w:tcBorders>
          </w:tcPr>
          <w:p w14:paraId="1D6C0917" w14:textId="7F1B26E2" w:rsidR="00DF0BE4" w:rsidRPr="004207D8" w:rsidRDefault="00DF0BE4" w:rsidP="00DF0BE4">
            <w:pPr>
              <w:pStyle w:val="TableBody"/>
              <w:rPr>
                <w:bCs/>
              </w:rPr>
            </w:pPr>
            <w:r w:rsidRPr="00892119">
              <w:rPr>
                <w:bCs/>
              </w:rPr>
              <w:t>$</w:t>
            </w:r>
          </w:p>
        </w:tc>
        <w:tc>
          <w:tcPr>
            <w:tcW w:w="3382" w:type="pct"/>
            <w:tcBorders>
              <w:top w:val="single" w:sz="4" w:space="0" w:color="auto"/>
              <w:left w:val="single" w:sz="4" w:space="0" w:color="auto"/>
              <w:bottom w:val="single" w:sz="4" w:space="0" w:color="auto"/>
              <w:right w:val="single" w:sz="4" w:space="0" w:color="auto"/>
            </w:tcBorders>
          </w:tcPr>
          <w:p w14:paraId="54A584FB" w14:textId="4FAFA7BC" w:rsidR="00DF0BE4" w:rsidRPr="004207D8" w:rsidRDefault="00DF0BE4" w:rsidP="00DF0BE4">
            <w:pPr>
              <w:pStyle w:val="TableBody"/>
              <w:rPr>
                <w:bCs/>
                <w:i/>
              </w:rPr>
            </w:pPr>
            <w:r w:rsidRPr="00892119">
              <w:rPr>
                <w:i/>
              </w:rPr>
              <w:t xml:space="preserve">Real-Time Energy Amount Total for Energy from all </w:t>
            </w:r>
            <w:r w:rsidRPr="00FE0BEC">
              <w:rPr>
                <w:i/>
              </w:rPr>
              <w:t>SODGs and SOTGs</w:t>
            </w:r>
            <w:r w:rsidRPr="00892119">
              <w:rPr>
                <w:i/>
              </w:rPr>
              <w:t xml:space="preserve"> </w:t>
            </w:r>
            <w:r w:rsidRPr="00892119">
              <w:t xml:space="preserve">—The total net payments and charges to all QSEs for Real-Time </w:t>
            </w:r>
            <w:r>
              <w:t>e</w:t>
            </w:r>
            <w:r w:rsidRPr="00892119">
              <w:t>nergy from</w:t>
            </w:r>
            <w:r>
              <w:t xml:space="preserve"> </w:t>
            </w:r>
            <w:r w:rsidRPr="00FE0BEC">
              <w:t>SODGs and SOTGs</w:t>
            </w:r>
            <w:r w:rsidRPr="00892119">
              <w:t>, for the 15-minute Settlement Interval.</w:t>
            </w:r>
          </w:p>
        </w:tc>
      </w:tr>
      <w:tr w:rsidR="002F5823" w14:paraId="4DF5C7B9" w14:textId="77777777" w:rsidTr="002F5823">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24"/>
            </w:tblGrid>
            <w:tr w:rsidR="002F5823" w14:paraId="1553525B" w14:textId="77777777" w:rsidTr="008B123E">
              <w:trPr>
                <w:trHeight w:val="206"/>
              </w:trPr>
              <w:tc>
                <w:tcPr>
                  <w:tcW w:w="9576" w:type="dxa"/>
                  <w:shd w:val="pct12" w:color="auto" w:fill="auto"/>
                </w:tcPr>
                <w:p w14:paraId="1F339865" w14:textId="5E9F0EB0" w:rsidR="002F5823" w:rsidRDefault="002F5823" w:rsidP="002F5823">
                  <w:pPr>
                    <w:pStyle w:val="Instructions"/>
                    <w:spacing w:before="120"/>
                  </w:pPr>
                  <w:r>
                    <w:t>[</w:t>
                  </w:r>
                  <w:r w:rsidR="00C04382">
                    <w:t>NPRR995</w:t>
                  </w:r>
                  <w:r>
                    <w:t xml:space="preserve">:  </w:t>
                  </w:r>
                  <w:r w:rsidR="00DF0BE4">
                    <w:t>Replace</w:t>
                  </w:r>
                  <w:r>
                    <w:t xml:space="preserve"> the variables “</w:t>
                  </w:r>
                  <w:r w:rsidRPr="002F5823">
                    <w:t>RTESO</w:t>
                  </w:r>
                  <w:r w:rsidR="00F26601">
                    <w:t>G</w:t>
                  </w:r>
                  <w:r w:rsidRPr="002F5823">
                    <w:t xml:space="preserve">AMTQSETOT </w:t>
                  </w:r>
                  <w:r w:rsidRPr="002F5823">
                    <w:rPr>
                      <w:vertAlign w:val="subscript"/>
                    </w:rPr>
                    <w:t>q</w:t>
                  </w:r>
                  <w:r>
                    <w:t>” and “</w:t>
                  </w:r>
                  <w:r w:rsidRPr="002F5823">
                    <w:t>RTESO</w:t>
                  </w:r>
                  <w:r w:rsidR="00F26601">
                    <w:t>G</w:t>
                  </w:r>
                  <w:r w:rsidRPr="002F5823">
                    <w:t>AMTTOT</w:t>
                  </w:r>
                  <w:r>
                    <w:t xml:space="preserve">” </w:t>
                  </w:r>
                  <w:r w:rsidR="00DF0BE4">
                    <w:t>above with the following</w:t>
                  </w:r>
                  <w:r>
                    <w:t xml:space="preserve">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4"/>
                    <w:gridCol w:w="704"/>
                    <w:gridCol w:w="5846"/>
                  </w:tblGrid>
                  <w:tr w:rsidR="002F5823" w:rsidRPr="0003648D" w14:paraId="75358A54" w14:textId="77777777" w:rsidTr="002F5823">
                    <w:trPr>
                      <w:cantSplit/>
                    </w:trPr>
                    <w:tc>
                      <w:tcPr>
                        <w:tcW w:w="1314" w:type="pct"/>
                        <w:tcBorders>
                          <w:bottom w:val="single" w:sz="4" w:space="0" w:color="auto"/>
                        </w:tcBorders>
                      </w:tcPr>
                      <w:p w14:paraId="196A2BB1" w14:textId="0CA5CF9A" w:rsidR="002F5823" w:rsidRPr="0003648D" w:rsidRDefault="002F5823" w:rsidP="002F5823">
                        <w:pPr>
                          <w:pStyle w:val="tablebody0"/>
                        </w:pPr>
                        <w:r w:rsidRPr="00892119">
                          <w:t>RTE</w:t>
                        </w:r>
                        <w:r>
                          <w:t>SO</w:t>
                        </w:r>
                        <w:r w:rsidRPr="00892119">
                          <w:t>AMT</w:t>
                        </w:r>
                        <w:r>
                          <w:t>QSETOT</w:t>
                        </w:r>
                        <w:r w:rsidRPr="00892119">
                          <w:t xml:space="preserve"> </w:t>
                        </w:r>
                        <w:r w:rsidRPr="00892119">
                          <w:rPr>
                            <w:i/>
                            <w:vertAlign w:val="subscript"/>
                          </w:rPr>
                          <w:t>q</w:t>
                        </w:r>
                      </w:p>
                    </w:tc>
                    <w:tc>
                      <w:tcPr>
                        <w:tcW w:w="396" w:type="pct"/>
                        <w:tcBorders>
                          <w:bottom w:val="single" w:sz="4" w:space="0" w:color="auto"/>
                        </w:tcBorders>
                      </w:tcPr>
                      <w:p w14:paraId="191AE657" w14:textId="77777777" w:rsidR="002F5823" w:rsidRPr="0003648D" w:rsidRDefault="002F5823" w:rsidP="002F5823">
                        <w:pPr>
                          <w:pStyle w:val="tablebody0"/>
                        </w:pPr>
                        <w:r w:rsidRPr="00892119">
                          <w:rPr>
                            <w:bCs/>
                          </w:rPr>
                          <w:t>$</w:t>
                        </w:r>
                      </w:p>
                    </w:tc>
                    <w:tc>
                      <w:tcPr>
                        <w:tcW w:w="3290" w:type="pct"/>
                        <w:tcBorders>
                          <w:bottom w:val="single" w:sz="4" w:space="0" w:color="auto"/>
                        </w:tcBorders>
                      </w:tcPr>
                      <w:p w14:paraId="3803648F" w14:textId="36C04706" w:rsidR="002F5823" w:rsidRPr="0003648D" w:rsidRDefault="002F5823" w:rsidP="002F5823">
                        <w:pPr>
                          <w:pStyle w:val="tablebody0"/>
                          <w:rPr>
                            <w:i/>
                          </w:rPr>
                        </w:pPr>
                        <w:r w:rsidRPr="00892119">
                          <w:rPr>
                            <w:i/>
                          </w:rPr>
                          <w:t xml:space="preserve">Real-Time Energy Payment or Charge per QSE for </w:t>
                        </w:r>
                        <w:r w:rsidRPr="00FE0BEC">
                          <w:rPr>
                            <w:i/>
                          </w:rPr>
                          <w:t>SODGs</w:t>
                        </w:r>
                        <w:r w:rsidR="00C04382">
                          <w:rPr>
                            <w:i/>
                          </w:rPr>
                          <w:t>,</w:t>
                        </w:r>
                        <w:r w:rsidRPr="00FE0BEC">
                          <w:rPr>
                            <w:i/>
                          </w:rPr>
                          <w:t xml:space="preserve"> SOTGs</w:t>
                        </w:r>
                        <w:r w:rsidR="00C04382">
                          <w:rPr>
                            <w:i/>
                          </w:rPr>
                          <w:t>, SODESSs, or SOTESSs</w:t>
                        </w:r>
                        <w:r w:rsidR="00E87687">
                          <w:rPr>
                            <w:i/>
                          </w:rPr>
                          <w:t xml:space="preserve"> </w:t>
                        </w:r>
                        <w:r w:rsidRPr="00892119">
                          <w:t xml:space="preserve">—The payment or charge to QSE </w:t>
                        </w:r>
                        <w:r w:rsidRPr="00892119">
                          <w:rPr>
                            <w:i/>
                          </w:rPr>
                          <w:t>q</w:t>
                        </w:r>
                        <w:r w:rsidRPr="00892119">
                          <w:t xml:space="preserve"> for Real-Time energy from </w:t>
                        </w:r>
                        <w:r w:rsidRPr="00FE0BEC">
                          <w:t>SODGs</w:t>
                        </w:r>
                        <w:r w:rsidR="00C04382">
                          <w:t>,</w:t>
                        </w:r>
                        <w:r w:rsidRPr="00FE0BEC">
                          <w:t xml:space="preserve"> SOTGs</w:t>
                        </w:r>
                        <w:r w:rsidR="00C04382">
                          <w:t>, SODESSs, or SOTESSs</w:t>
                        </w:r>
                        <w:r w:rsidRPr="00892119">
                          <w:t>, for the 15-minute Settlement Interval.</w:t>
                        </w:r>
                      </w:p>
                    </w:tc>
                  </w:tr>
                  <w:tr w:rsidR="002F5823" w:rsidRPr="0003648D" w14:paraId="16E92988" w14:textId="77777777" w:rsidTr="002F5823">
                    <w:trPr>
                      <w:cantSplit/>
                    </w:trPr>
                    <w:tc>
                      <w:tcPr>
                        <w:tcW w:w="1314" w:type="pct"/>
                        <w:tcBorders>
                          <w:bottom w:val="single" w:sz="4" w:space="0" w:color="auto"/>
                        </w:tcBorders>
                      </w:tcPr>
                      <w:p w14:paraId="2208A431" w14:textId="097194D7" w:rsidR="002F5823" w:rsidRPr="0003648D" w:rsidRDefault="002F5823" w:rsidP="002F5823">
                        <w:pPr>
                          <w:pStyle w:val="tablebody0"/>
                        </w:pPr>
                        <w:r w:rsidRPr="00892119">
                          <w:t>RTE</w:t>
                        </w:r>
                        <w:r>
                          <w:t>SO</w:t>
                        </w:r>
                        <w:r w:rsidRPr="00892119">
                          <w:t>AMTTOT</w:t>
                        </w:r>
                      </w:p>
                    </w:tc>
                    <w:tc>
                      <w:tcPr>
                        <w:tcW w:w="396" w:type="pct"/>
                        <w:tcBorders>
                          <w:bottom w:val="single" w:sz="4" w:space="0" w:color="auto"/>
                        </w:tcBorders>
                      </w:tcPr>
                      <w:p w14:paraId="408FA007" w14:textId="77777777" w:rsidR="002F5823" w:rsidRPr="0003648D" w:rsidRDefault="002F5823" w:rsidP="002F5823">
                        <w:pPr>
                          <w:pStyle w:val="tablebody0"/>
                        </w:pPr>
                        <w:r w:rsidRPr="00892119">
                          <w:rPr>
                            <w:bCs/>
                          </w:rPr>
                          <w:t>$</w:t>
                        </w:r>
                      </w:p>
                    </w:tc>
                    <w:tc>
                      <w:tcPr>
                        <w:tcW w:w="3290" w:type="pct"/>
                        <w:tcBorders>
                          <w:bottom w:val="single" w:sz="4" w:space="0" w:color="auto"/>
                        </w:tcBorders>
                      </w:tcPr>
                      <w:p w14:paraId="60FAF72B" w14:textId="3B2CE543" w:rsidR="002F5823" w:rsidRPr="0003648D" w:rsidRDefault="002F5823" w:rsidP="002F5823">
                        <w:pPr>
                          <w:pStyle w:val="tablebody0"/>
                          <w:rPr>
                            <w:i/>
                          </w:rPr>
                        </w:pPr>
                        <w:r w:rsidRPr="00892119">
                          <w:rPr>
                            <w:i/>
                          </w:rPr>
                          <w:t xml:space="preserve">Real-Time Energy Amount Total from all </w:t>
                        </w:r>
                        <w:r w:rsidRPr="00FE0BEC">
                          <w:rPr>
                            <w:i/>
                          </w:rPr>
                          <w:t>SODGs</w:t>
                        </w:r>
                        <w:r w:rsidR="00C04382">
                          <w:rPr>
                            <w:i/>
                          </w:rPr>
                          <w:t>,</w:t>
                        </w:r>
                        <w:r w:rsidRPr="00FE0BEC">
                          <w:rPr>
                            <w:i/>
                          </w:rPr>
                          <w:t xml:space="preserve"> SOTGs</w:t>
                        </w:r>
                        <w:r w:rsidR="00C04382">
                          <w:rPr>
                            <w:i/>
                          </w:rPr>
                          <w:t>, SODESSs, or SOTESSs</w:t>
                        </w:r>
                        <w:r w:rsidR="00E87687">
                          <w:rPr>
                            <w:i/>
                          </w:rPr>
                          <w:t xml:space="preserve"> </w:t>
                        </w:r>
                        <w:r w:rsidRPr="00892119">
                          <w:t xml:space="preserve">—The total net payments and charges to all QSEs for Real-Time </w:t>
                        </w:r>
                        <w:r>
                          <w:t>e</w:t>
                        </w:r>
                        <w:r w:rsidRPr="00892119">
                          <w:t>nergy from</w:t>
                        </w:r>
                        <w:r>
                          <w:t xml:space="preserve"> </w:t>
                        </w:r>
                        <w:r w:rsidRPr="00FE0BEC">
                          <w:t>SODGs</w:t>
                        </w:r>
                        <w:r w:rsidR="00C04382">
                          <w:t>,</w:t>
                        </w:r>
                        <w:r w:rsidRPr="00FE0BEC">
                          <w:t xml:space="preserve"> SOTGs</w:t>
                        </w:r>
                        <w:r w:rsidR="00C04382">
                          <w:t>, SODESSs, or SOTESSs</w:t>
                        </w:r>
                        <w:r w:rsidRPr="00892119">
                          <w:t>, for the 15-minute Settlement Interval.</w:t>
                        </w:r>
                      </w:p>
                    </w:tc>
                  </w:tr>
                </w:tbl>
                <w:p w14:paraId="09EAF205" w14:textId="77777777" w:rsidR="002F5823" w:rsidRPr="00AF45BD" w:rsidRDefault="002F5823" w:rsidP="002F5823">
                  <w:pPr>
                    <w:pStyle w:val="tablebody0"/>
                    <w:rPr>
                      <w:i/>
                    </w:rPr>
                  </w:pPr>
                </w:p>
              </w:tc>
            </w:tr>
          </w:tbl>
          <w:p w14:paraId="388B2ACD" w14:textId="77777777" w:rsidR="002F5823" w:rsidRDefault="002F5823" w:rsidP="00AC4DEE">
            <w:pPr>
              <w:pStyle w:val="TableBody"/>
            </w:pPr>
          </w:p>
        </w:tc>
      </w:tr>
      <w:tr w:rsidR="001F04FD" w14:paraId="06E57E06" w14:textId="77777777" w:rsidTr="00AC4DEE">
        <w:trPr>
          <w:cantSplit/>
        </w:trPr>
        <w:tc>
          <w:tcPr>
            <w:tcW w:w="1279" w:type="pct"/>
          </w:tcPr>
          <w:p w14:paraId="68FBE875" w14:textId="77777777" w:rsidR="001F04FD" w:rsidRDefault="001F04FD" w:rsidP="00AC4DEE">
            <w:pPr>
              <w:pStyle w:val="TableBody"/>
              <w:rPr>
                <w:highlight w:val="yellow"/>
              </w:rPr>
            </w:pPr>
            <w:r>
              <w:t xml:space="preserve">LRS </w:t>
            </w:r>
            <w:r w:rsidRPr="00E15B17">
              <w:rPr>
                <w:i/>
                <w:vertAlign w:val="subscript"/>
              </w:rPr>
              <w:t>q</w:t>
            </w:r>
          </w:p>
        </w:tc>
        <w:tc>
          <w:tcPr>
            <w:tcW w:w="339" w:type="pct"/>
          </w:tcPr>
          <w:p w14:paraId="2311D20F" w14:textId="77777777" w:rsidR="001F04FD" w:rsidRDefault="001F04FD" w:rsidP="00AC4DEE">
            <w:pPr>
              <w:pStyle w:val="TableBody"/>
            </w:pPr>
            <w:r>
              <w:t>none</w:t>
            </w:r>
          </w:p>
        </w:tc>
        <w:tc>
          <w:tcPr>
            <w:tcW w:w="3382" w:type="pct"/>
          </w:tcPr>
          <w:p w14:paraId="7DB43F18" w14:textId="77777777" w:rsidR="001F04FD" w:rsidRDefault="001F04FD" w:rsidP="00AC4DEE">
            <w:pPr>
              <w:pStyle w:val="TableBody"/>
            </w:pPr>
            <w:r>
              <w:t xml:space="preserve">The LRS calculated for QSE </w:t>
            </w:r>
            <w:r>
              <w:rPr>
                <w:i/>
              </w:rPr>
              <w:t>q</w:t>
            </w:r>
            <w:r>
              <w:t xml:space="preserve"> for the 15-minute Settlement Interval.  See Section 6.6.2.2, QSE Load Ratio Share for a 15-Minute Settlement Interval.</w:t>
            </w:r>
          </w:p>
        </w:tc>
      </w:tr>
      <w:tr w:rsidR="001F04FD" w14:paraId="66EE4CE7" w14:textId="77777777" w:rsidTr="00AC4DEE">
        <w:trPr>
          <w:cantSplit/>
        </w:trPr>
        <w:tc>
          <w:tcPr>
            <w:tcW w:w="1279" w:type="pct"/>
          </w:tcPr>
          <w:p w14:paraId="2D205ADD" w14:textId="77777777" w:rsidR="001F04FD" w:rsidRPr="00E15B17" w:rsidRDefault="001F04FD" w:rsidP="00AC4DEE">
            <w:pPr>
              <w:pStyle w:val="TableBody"/>
              <w:rPr>
                <w:i/>
              </w:rPr>
            </w:pPr>
            <w:r w:rsidRPr="00E15B17">
              <w:rPr>
                <w:i/>
              </w:rPr>
              <w:t>q</w:t>
            </w:r>
          </w:p>
        </w:tc>
        <w:tc>
          <w:tcPr>
            <w:tcW w:w="339" w:type="pct"/>
          </w:tcPr>
          <w:p w14:paraId="4D4A89FB" w14:textId="77777777" w:rsidR="001F04FD" w:rsidRDefault="001F04FD" w:rsidP="00AC4DEE">
            <w:pPr>
              <w:pStyle w:val="TableBody"/>
              <w:rPr>
                <w:bCs/>
              </w:rPr>
            </w:pPr>
            <w:r>
              <w:rPr>
                <w:bCs/>
              </w:rPr>
              <w:t>none</w:t>
            </w:r>
          </w:p>
        </w:tc>
        <w:tc>
          <w:tcPr>
            <w:tcW w:w="3382" w:type="pct"/>
          </w:tcPr>
          <w:p w14:paraId="3F9C36C7" w14:textId="77777777" w:rsidR="001F04FD" w:rsidRDefault="001F04FD" w:rsidP="00AC4DEE">
            <w:pPr>
              <w:pStyle w:val="TableBody"/>
              <w:rPr>
                <w:bCs/>
              </w:rPr>
            </w:pPr>
            <w:r>
              <w:rPr>
                <w:bCs/>
              </w:rPr>
              <w:t>A QSE.</w:t>
            </w:r>
          </w:p>
        </w:tc>
      </w:tr>
      <w:tr w:rsidR="001F04FD" w14:paraId="0331A330" w14:textId="77777777" w:rsidTr="00AC4DEE">
        <w:trPr>
          <w:cantSplit/>
        </w:trPr>
        <w:tc>
          <w:tcPr>
            <w:tcW w:w="1279" w:type="pct"/>
          </w:tcPr>
          <w:p w14:paraId="5F09273D" w14:textId="77777777" w:rsidR="001F04FD" w:rsidRPr="00E15B17" w:rsidRDefault="001F04FD" w:rsidP="00AC4DEE">
            <w:pPr>
              <w:pStyle w:val="TableBody"/>
              <w:rPr>
                <w:i/>
              </w:rPr>
            </w:pPr>
            <w:r w:rsidRPr="00E15B17">
              <w:rPr>
                <w:i/>
              </w:rPr>
              <w:t>o</w:t>
            </w:r>
          </w:p>
        </w:tc>
        <w:tc>
          <w:tcPr>
            <w:tcW w:w="339" w:type="pct"/>
          </w:tcPr>
          <w:p w14:paraId="7D332985" w14:textId="77777777" w:rsidR="001F04FD" w:rsidRDefault="001F04FD" w:rsidP="00AC4DEE">
            <w:pPr>
              <w:pStyle w:val="TableBody"/>
              <w:rPr>
                <w:bCs/>
              </w:rPr>
            </w:pPr>
            <w:r>
              <w:rPr>
                <w:bCs/>
              </w:rPr>
              <w:t>none</w:t>
            </w:r>
          </w:p>
        </w:tc>
        <w:tc>
          <w:tcPr>
            <w:tcW w:w="3382" w:type="pct"/>
          </w:tcPr>
          <w:p w14:paraId="2ECCD5C5" w14:textId="77777777" w:rsidR="001F04FD" w:rsidRDefault="001F04FD" w:rsidP="00AC4DEE">
            <w:pPr>
              <w:pStyle w:val="TableBody"/>
              <w:rPr>
                <w:bCs/>
              </w:rPr>
            </w:pPr>
            <w:r>
              <w:rPr>
                <w:bCs/>
              </w:rPr>
              <w:t>A CRR owner.</w:t>
            </w:r>
          </w:p>
        </w:tc>
      </w:tr>
    </w:tbl>
    <w:p w14:paraId="224E19E4" w14:textId="77777777" w:rsidR="001F04FD" w:rsidRDefault="001F04FD" w:rsidP="001F04FD">
      <w:pPr>
        <w:pStyle w:val="BodyTextNumbered"/>
        <w:spacing w:before="240"/>
      </w:pPr>
      <w:r>
        <w:lastRenderedPageBreak/>
        <w:t>(3)</w:t>
      </w:r>
      <w:r>
        <w:tab/>
        <w:t>In the event that ERCOT is unable to execute the DAM, the Real-Time Revenue Neutrality Allocation for each QSE for a given 15-minute Settlement Interval is calculated as follows:</w:t>
      </w:r>
    </w:p>
    <w:p w14:paraId="2944152D" w14:textId="17035600" w:rsidR="001F04FD" w:rsidRDefault="001F04FD" w:rsidP="001F04FD">
      <w:pPr>
        <w:pStyle w:val="BodyText"/>
        <w:tabs>
          <w:tab w:val="left" w:pos="2880"/>
        </w:tabs>
        <w:ind w:left="3240" w:hanging="2520"/>
        <w:rPr>
          <w:b/>
        </w:rPr>
      </w:pPr>
      <w:r>
        <w:rPr>
          <w:b/>
        </w:rPr>
        <w:t xml:space="preserve">LARTRNAMT </w:t>
      </w:r>
      <w:r>
        <w:rPr>
          <w:b/>
          <w:i/>
          <w:vertAlign w:val="subscript"/>
        </w:rPr>
        <w:t>q</w:t>
      </w:r>
      <w:r>
        <w:rPr>
          <w:b/>
        </w:rPr>
        <w:tab/>
        <w:t>=</w:t>
      </w:r>
      <w:r>
        <w:rPr>
          <w:b/>
        </w:rPr>
        <w:tab/>
        <w:t xml:space="preserve">(-1) * (RTEIAMTTOT + BLTRAMTTOT + RTDCIMPAMTTOT + </w:t>
      </w:r>
      <w:r w:rsidR="00F26601" w:rsidRPr="008C69DE">
        <w:rPr>
          <w:b/>
        </w:rPr>
        <w:t>RTE</w:t>
      </w:r>
      <w:r w:rsidR="00F26601">
        <w:rPr>
          <w:b/>
        </w:rPr>
        <w:t>SO</w:t>
      </w:r>
      <w:r w:rsidR="00F26601" w:rsidRPr="008C69DE">
        <w:rPr>
          <w:b/>
        </w:rPr>
        <w:t>GAMTTOT</w:t>
      </w:r>
      <w:r w:rsidR="00F26601" w:rsidRPr="00683581">
        <w:rPr>
          <w:b/>
        </w:rPr>
        <w:t xml:space="preserve"> </w:t>
      </w:r>
      <w:r w:rsidR="00F26601">
        <w:rPr>
          <w:b/>
        </w:rPr>
        <w:t xml:space="preserve">+ </w:t>
      </w:r>
      <w:r>
        <w:rPr>
          <w:b/>
        </w:rPr>
        <w:t xml:space="preserve">RTCCAMTTOT + NDRTOBLAMTTOT / 4 + NDRTOPTAMTTOT / 4 + NDRTOPTRAMTTOT / 4 + NDRTOBLRAMTTOT / 4) * LRS </w:t>
      </w:r>
      <w:r>
        <w:rPr>
          <w:b/>
          <w:i/>
          <w:vertAlign w:val="subscript"/>
        </w:rPr>
        <w:t>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54508" w14:paraId="7D0E8434" w14:textId="77777777" w:rsidTr="008B123E">
        <w:trPr>
          <w:trHeight w:val="206"/>
        </w:trPr>
        <w:tc>
          <w:tcPr>
            <w:tcW w:w="9576" w:type="dxa"/>
            <w:shd w:val="pct12" w:color="auto" w:fill="auto"/>
          </w:tcPr>
          <w:p w14:paraId="33ED258E" w14:textId="536CBC76" w:rsidR="00C54508" w:rsidRDefault="00C54508" w:rsidP="008B123E">
            <w:pPr>
              <w:pStyle w:val="Instructions"/>
              <w:spacing w:before="120"/>
            </w:pPr>
            <w:r>
              <w:t>[</w:t>
            </w:r>
            <w:r w:rsidR="00C04382">
              <w:t>NPRR995</w:t>
            </w:r>
            <w:r>
              <w:t>:  Replace the formula “</w:t>
            </w:r>
            <w:r w:rsidRPr="000F620F">
              <w:t xml:space="preserve">LARTRNAMT </w:t>
            </w:r>
            <w:r w:rsidRPr="000F620F">
              <w:rPr>
                <w:vertAlign w:val="subscript"/>
              </w:rPr>
              <w:t>q</w:t>
            </w:r>
            <w:r>
              <w:t>” above with the following upon system implementation:]</w:t>
            </w:r>
          </w:p>
          <w:p w14:paraId="2BC699FF" w14:textId="4464061E" w:rsidR="00C54508" w:rsidRPr="00C54508" w:rsidRDefault="00C54508" w:rsidP="008B66B5">
            <w:pPr>
              <w:tabs>
                <w:tab w:val="left" w:pos="2880"/>
              </w:tabs>
              <w:spacing w:after="240"/>
              <w:ind w:left="3240" w:hanging="2520"/>
              <w:rPr>
                <w:b/>
                <w:iCs/>
              </w:rPr>
            </w:pPr>
            <w:r w:rsidRPr="00E36C99">
              <w:rPr>
                <w:b/>
                <w:iCs/>
              </w:rPr>
              <w:t xml:space="preserve">LARTRNAMT </w:t>
            </w:r>
            <w:r w:rsidRPr="00E36C99">
              <w:rPr>
                <w:b/>
                <w:i/>
                <w:iCs/>
                <w:vertAlign w:val="subscript"/>
              </w:rPr>
              <w:t>q</w:t>
            </w:r>
            <w:r w:rsidRPr="00E36C99">
              <w:rPr>
                <w:b/>
                <w:iCs/>
              </w:rPr>
              <w:tab/>
              <w:t>=</w:t>
            </w:r>
            <w:r w:rsidRPr="00E36C99">
              <w:rPr>
                <w:b/>
                <w:iCs/>
              </w:rPr>
              <w:tab/>
              <w:t xml:space="preserve">(-1) * (RTEIAMTTOT + BLTRAMTTOT + RTDCIMPAMTTOT + </w:t>
            </w:r>
            <w:r w:rsidRPr="008C69DE">
              <w:rPr>
                <w:b/>
              </w:rPr>
              <w:t>RTE</w:t>
            </w:r>
            <w:r>
              <w:rPr>
                <w:b/>
              </w:rPr>
              <w:t>SO</w:t>
            </w:r>
            <w:r w:rsidRPr="008C69DE">
              <w:rPr>
                <w:b/>
              </w:rPr>
              <w:t>AMTTOT</w:t>
            </w:r>
            <w:r w:rsidRPr="00683581">
              <w:rPr>
                <w:b/>
              </w:rPr>
              <w:t xml:space="preserve"> </w:t>
            </w:r>
            <w:r>
              <w:rPr>
                <w:b/>
              </w:rPr>
              <w:t xml:space="preserve">+ </w:t>
            </w:r>
            <w:r w:rsidRPr="00E36C99">
              <w:rPr>
                <w:b/>
                <w:iCs/>
              </w:rPr>
              <w:t xml:space="preserve">RTCCAMTTOT + NDRTOBLAMTTOT / 4 + NDRTOPTAMTTOT / 4 + NDRTOPTRAMTTOT / 4 + NDRTOBLRAMTTOT / 4) * LRS </w:t>
            </w:r>
            <w:r w:rsidRPr="00E36C99">
              <w:rPr>
                <w:b/>
                <w:i/>
                <w:iCs/>
                <w:vertAlign w:val="subscript"/>
              </w:rPr>
              <w:t>q</w:t>
            </w:r>
          </w:p>
        </w:tc>
      </w:tr>
    </w:tbl>
    <w:p w14:paraId="30F2C46A" w14:textId="77777777" w:rsidR="001F04FD" w:rsidRDefault="001F04FD" w:rsidP="00C54508">
      <w:pPr>
        <w:pStyle w:val="BodyText"/>
        <w:spacing w:before="240"/>
      </w:pPr>
      <w:r>
        <w:t xml:space="preserve">Where: </w:t>
      </w:r>
    </w:p>
    <w:p w14:paraId="6C65E45B" w14:textId="77777777" w:rsidR="001F04FD" w:rsidRDefault="001F04FD" w:rsidP="001F04FD">
      <w:pPr>
        <w:ind w:firstLine="720"/>
      </w:pPr>
      <w:r>
        <w:t>Total Real-Time Energy Imbalance Payment (or Charge) at Settlement Point (or Hub)</w:t>
      </w:r>
    </w:p>
    <w:p w14:paraId="1BF66CB3" w14:textId="35568B25" w:rsidR="001F04FD" w:rsidRDefault="001F04FD" w:rsidP="001F04FD">
      <w:pPr>
        <w:pStyle w:val="Formula"/>
        <w:ind w:leftChars="600" w:left="3600" w:hanging="2160"/>
      </w:pPr>
      <w:r>
        <w:t>RTEIAMTTOT</w:t>
      </w:r>
      <w:r>
        <w:tab/>
        <w:t>=</w:t>
      </w:r>
      <w:r>
        <w:tab/>
      </w:r>
      <w:r w:rsidRPr="006F784F">
        <w:rPr>
          <w:position w:val="-22"/>
        </w:rPr>
        <w:object w:dxaOrig="210" w:dyaOrig="465" w14:anchorId="1C457F45">
          <v:shape id="_x0000_i1277" type="#_x0000_t75" style="width:5.4pt;height:18pt" o:ole="">
            <v:imagedata r:id="rId328" o:title=""/>
          </v:shape>
          <o:OLEObject Type="Embed" ProgID="Equation.3" ShapeID="_x0000_i1277" DrawAspect="Content" ObjectID="_1815025466" r:id="rId339"/>
        </w:object>
      </w:r>
      <w:r w:rsidR="00130DBD">
        <w:t xml:space="preserve"> </w:t>
      </w:r>
      <w:r>
        <w:t xml:space="preserve">RTEIAMTQSETOT </w:t>
      </w:r>
      <w:r>
        <w:rPr>
          <w:i/>
          <w:vertAlign w:val="subscript"/>
        </w:rPr>
        <w:t>q</w:t>
      </w:r>
    </w:p>
    <w:p w14:paraId="57B4C965" w14:textId="77777777" w:rsidR="001F04FD" w:rsidRDefault="001F04FD" w:rsidP="001F04FD">
      <w:pPr>
        <w:ind w:firstLine="720"/>
      </w:pPr>
      <w:r>
        <w:t>Total Real-Time Payment for BLT Resources</w:t>
      </w:r>
    </w:p>
    <w:p w14:paraId="4D9F14A3" w14:textId="387E0053" w:rsidR="001F04FD" w:rsidRDefault="001F04FD" w:rsidP="001F04FD">
      <w:pPr>
        <w:pStyle w:val="Formula"/>
        <w:ind w:leftChars="600" w:left="3600" w:hanging="2160"/>
      </w:pPr>
      <w:r>
        <w:t>BLTRAMTTOT</w:t>
      </w:r>
      <w:r>
        <w:tab/>
        <w:t>=</w:t>
      </w:r>
      <w:r>
        <w:tab/>
      </w:r>
      <w:r w:rsidRPr="006F784F">
        <w:rPr>
          <w:position w:val="-22"/>
        </w:rPr>
        <w:object w:dxaOrig="210" w:dyaOrig="465" w14:anchorId="31303ABB">
          <v:shape id="_x0000_i1278" type="#_x0000_t75" style="width:5.4pt;height:18pt" o:ole="">
            <v:imagedata r:id="rId181" o:title=""/>
          </v:shape>
          <o:OLEObject Type="Embed" ProgID="Equation.3" ShapeID="_x0000_i1278" DrawAspect="Content" ObjectID="_1815025467" r:id="rId340"/>
        </w:object>
      </w:r>
      <w:r w:rsidR="00130DBD">
        <w:t xml:space="preserve"> </w:t>
      </w:r>
      <w:r>
        <w:t xml:space="preserve">BLTRAMTQSETOT </w:t>
      </w:r>
      <w:r>
        <w:rPr>
          <w:i/>
          <w:vertAlign w:val="subscript"/>
        </w:rPr>
        <w:t>q</w:t>
      </w:r>
    </w:p>
    <w:p w14:paraId="6AE78F19" w14:textId="77777777" w:rsidR="001F04FD" w:rsidRDefault="001F04FD" w:rsidP="001F04FD">
      <w:pPr>
        <w:ind w:firstLine="720"/>
      </w:pPr>
      <w:r>
        <w:t>Total Real-Time Payment for DC Tie Imports</w:t>
      </w:r>
    </w:p>
    <w:p w14:paraId="5069A2C6" w14:textId="77777777" w:rsidR="001F04FD" w:rsidRDefault="001F04FD" w:rsidP="001F04FD">
      <w:pPr>
        <w:pStyle w:val="Formula"/>
        <w:ind w:leftChars="600" w:left="3600" w:hanging="2160"/>
      </w:pPr>
      <w:r>
        <w:t>RTDCIMPAMTTOT</w:t>
      </w:r>
      <w:r>
        <w:tab/>
      </w:r>
      <w:r>
        <w:tab/>
        <w:t>=</w:t>
      </w:r>
      <w:r>
        <w:tab/>
      </w:r>
      <w:r w:rsidRPr="006F784F">
        <w:rPr>
          <w:position w:val="-22"/>
        </w:rPr>
        <w:object w:dxaOrig="225" w:dyaOrig="465" w14:anchorId="2249E869">
          <v:shape id="_x0000_i1279" type="#_x0000_t75" style="width:12pt;height:18pt" o:ole="">
            <v:imagedata r:id="rId331" o:title=""/>
          </v:shape>
          <o:OLEObject Type="Embed" ProgID="Equation.3" ShapeID="_x0000_i1279" DrawAspect="Content" ObjectID="_1815025468" r:id="rId341"/>
        </w:object>
      </w:r>
      <w:r>
        <w:t xml:space="preserve">RTDCIMPAMTQSETOT </w:t>
      </w:r>
      <w:r>
        <w:rPr>
          <w:i/>
          <w:vertAlign w:val="subscript"/>
        </w:rPr>
        <w:t>q</w:t>
      </w:r>
    </w:p>
    <w:p w14:paraId="2EFCE534" w14:textId="77777777" w:rsidR="001F04FD" w:rsidRDefault="001F04FD" w:rsidP="001F04FD">
      <w:pPr>
        <w:ind w:firstLine="720"/>
      </w:pPr>
      <w:r>
        <w:t>Total Real-Time Congestion Payment or Charge for Self Schedules</w:t>
      </w:r>
    </w:p>
    <w:p w14:paraId="36F1D5A8" w14:textId="77777777" w:rsidR="001F04FD" w:rsidRDefault="001F04FD" w:rsidP="001F04FD">
      <w:pPr>
        <w:pStyle w:val="Formula"/>
        <w:ind w:leftChars="600" w:left="3600" w:hanging="2160"/>
      </w:pPr>
      <w:r>
        <w:t>RTCCAMTTOT</w:t>
      </w:r>
      <w:r>
        <w:tab/>
        <w:t>=</w:t>
      </w:r>
      <w:r>
        <w:tab/>
      </w:r>
      <w:r w:rsidRPr="006F784F">
        <w:rPr>
          <w:position w:val="-22"/>
        </w:rPr>
        <w:object w:dxaOrig="225" w:dyaOrig="465" w14:anchorId="41BADB01">
          <v:shape id="_x0000_i1280" type="#_x0000_t75" style="width:12pt;height:18pt" o:ole="">
            <v:imagedata r:id="rId331" o:title=""/>
          </v:shape>
          <o:OLEObject Type="Embed" ProgID="Equation.3" ShapeID="_x0000_i1280" DrawAspect="Content" ObjectID="_1815025469" r:id="rId342"/>
        </w:object>
      </w:r>
      <w:r>
        <w:t xml:space="preserve">RTCCAMTQSETOT </w:t>
      </w:r>
      <w:r>
        <w:rPr>
          <w:i/>
          <w:vertAlign w:val="subscript"/>
        </w:rPr>
        <w:t>q</w:t>
      </w:r>
    </w:p>
    <w:p w14:paraId="769E58BB" w14:textId="77777777" w:rsidR="001F04FD" w:rsidRDefault="001F04FD" w:rsidP="001F04FD">
      <w:pPr>
        <w:ind w:left="720"/>
      </w:pPr>
      <w:r>
        <w:t>Total Real-Time Payment or Charge for PTP Obligations when ERCOT is unable to execute the DAM</w:t>
      </w:r>
    </w:p>
    <w:p w14:paraId="33BF01CF" w14:textId="77777777" w:rsidR="001F04FD" w:rsidRDefault="001F04FD" w:rsidP="001F04FD">
      <w:pPr>
        <w:pStyle w:val="Formula"/>
        <w:ind w:leftChars="600" w:left="3600" w:hanging="2160"/>
      </w:pPr>
      <w:r>
        <w:t>NDRTOBLAMTTOT</w:t>
      </w:r>
      <w:r>
        <w:tab/>
      </w:r>
      <w:r>
        <w:tab/>
        <w:t>=</w:t>
      </w:r>
      <w:r>
        <w:tab/>
      </w:r>
      <w:r w:rsidRPr="006F784F">
        <w:rPr>
          <w:position w:val="-20"/>
        </w:rPr>
        <w:object w:dxaOrig="225" w:dyaOrig="465" w14:anchorId="38707B1F">
          <v:shape id="_x0000_i1281" type="#_x0000_t75" style="width:12pt;height:18pt" o:ole="">
            <v:imagedata r:id="rId343" o:title=""/>
          </v:shape>
          <o:OLEObject Type="Embed" ProgID="Equation.3" ShapeID="_x0000_i1281" DrawAspect="Content" ObjectID="_1815025470" r:id="rId344"/>
        </w:object>
      </w:r>
      <w:r>
        <w:t xml:space="preserve"> NDRTOBLAMTOTOT </w:t>
      </w:r>
      <w:r>
        <w:rPr>
          <w:i/>
          <w:vertAlign w:val="subscript"/>
        </w:rPr>
        <w:t>o</w:t>
      </w:r>
      <w:r>
        <w:t xml:space="preserve"> </w:t>
      </w:r>
    </w:p>
    <w:p w14:paraId="41B5300D" w14:textId="77777777" w:rsidR="001F04FD" w:rsidRDefault="001F04FD" w:rsidP="001F04FD">
      <w:pPr>
        <w:spacing w:before="120" w:after="120"/>
        <w:ind w:firstLine="720"/>
      </w:pPr>
      <w:r>
        <w:t>Total Real-Time Payment for PTP Options when ERCOT is unable to execute the DAM</w:t>
      </w:r>
    </w:p>
    <w:p w14:paraId="5F0131FF" w14:textId="77777777" w:rsidR="001F04FD" w:rsidRDefault="001F04FD" w:rsidP="001F04FD">
      <w:pPr>
        <w:pStyle w:val="Formula"/>
        <w:spacing w:before="120" w:after="120"/>
        <w:ind w:leftChars="600" w:left="3600" w:hanging="2160"/>
      </w:pPr>
      <w:r>
        <w:t>NDRTOPTAMTTOT</w:t>
      </w:r>
      <w:r>
        <w:tab/>
      </w:r>
      <w:r>
        <w:tab/>
        <w:t>=</w:t>
      </w:r>
      <w:r>
        <w:tab/>
      </w:r>
      <w:r w:rsidRPr="006F784F">
        <w:rPr>
          <w:position w:val="-20"/>
        </w:rPr>
        <w:object w:dxaOrig="210" w:dyaOrig="465" w14:anchorId="4E303239">
          <v:shape id="_x0000_i1282" type="#_x0000_t75" style="width:5.4pt;height:18pt" o:ole="">
            <v:imagedata r:id="rId345" o:title=""/>
          </v:shape>
          <o:OLEObject Type="Embed" ProgID="Equation.3" ShapeID="_x0000_i1282" DrawAspect="Content" ObjectID="_1815025471" r:id="rId346"/>
        </w:object>
      </w:r>
      <w:r>
        <w:rPr>
          <w:position w:val="-20"/>
        </w:rPr>
        <w:t xml:space="preserve"> </w:t>
      </w:r>
      <w:r>
        <w:t xml:space="preserve">NDRTOPTAMTOTOT </w:t>
      </w:r>
      <w:r>
        <w:rPr>
          <w:i/>
          <w:vertAlign w:val="subscript"/>
        </w:rPr>
        <w:t>o</w:t>
      </w:r>
    </w:p>
    <w:p w14:paraId="4BE7E438" w14:textId="77777777" w:rsidR="001F04FD" w:rsidRDefault="001F04FD" w:rsidP="001F04FD">
      <w:pPr>
        <w:spacing w:before="120" w:after="120"/>
        <w:ind w:left="720"/>
      </w:pPr>
      <w:r>
        <w:t>Total Real-Time Payment for PTP Options with Refund when ERCOT is unable to execute the DAM</w:t>
      </w:r>
    </w:p>
    <w:p w14:paraId="1A2B175B" w14:textId="77777777" w:rsidR="001F04FD" w:rsidRDefault="001F04FD" w:rsidP="001F04FD">
      <w:pPr>
        <w:pStyle w:val="Formula"/>
        <w:spacing w:before="120" w:after="120"/>
        <w:ind w:leftChars="600" w:left="3600" w:hanging="2160"/>
        <w:rPr>
          <w:i/>
          <w:vertAlign w:val="subscript"/>
        </w:rPr>
      </w:pPr>
      <w:r>
        <w:lastRenderedPageBreak/>
        <w:t>NDRTOPTRAMTTOT</w:t>
      </w:r>
      <w:r>
        <w:tab/>
        <w:t>=</w:t>
      </w:r>
      <w:r>
        <w:tab/>
      </w:r>
      <w:r w:rsidRPr="006F784F">
        <w:rPr>
          <w:position w:val="-20"/>
        </w:rPr>
        <w:object w:dxaOrig="240" w:dyaOrig="465" w14:anchorId="2A038602">
          <v:shape id="_x0000_i1283" type="#_x0000_t75" style="width:12pt;height:18pt" o:ole="">
            <v:imagedata r:id="rId347" o:title=""/>
          </v:shape>
          <o:OLEObject Type="Embed" ProgID="Equation.3" ShapeID="_x0000_i1283" DrawAspect="Content" ObjectID="_1815025472" r:id="rId348"/>
        </w:object>
      </w:r>
      <w:r>
        <w:t xml:space="preserve">NDRTOPTRAMTOTOT </w:t>
      </w:r>
      <w:r>
        <w:rPr>
          <w:i/>
          <w:vertAlign w:val="subscript"/>
        </w:rPr>
        <w:t>o</w:t>
      </w:r>
    </w:p>
    <w:p w14:paraId="022BBDD4" w14:textId="77777777" w:rsidR="001F04FD" w:rsidRDefault="001F04FD" w:rsidP="001F04FD">
      <w:pPr>
        <w:spacing w:before="120" w:after="120"/>
        <w:ind w:left="720"/>
      </w:pPr>
      <w:r>
        <w:t>Total Real-Time Payment or Charge for PTP Obligations with Refund when ERCOT is unable to execute the DAM</w:t>
      </w:r>
    </w:p>
    <w:p w14:paraId="631E113B" w14:textId="592E1A0C" w:rsidR="001F04FD" w:rsidRDefault="001F04FD" w:rsidP="001F04FD">
      <w:pPr>
        <w:pStyle w:val="Formula"/>
        <w:spacing w:before="120" w:after="120"/>
        <w:ind w:leftChars="600" w:left="3600" w:hanging="2160"/>
        <w:rPr>
          <w:i/>
          <w:vertAlign w:val="subscript"/>
        </w:rPr>
      </w:pPr>
      <w:r>
        <w:t>NDRTOBLRAMTTOT</w:t>
      </w:r>
      <w:r>
        <w:tab/>
        <w:t>=</w:t>
      </w:r>
      <w:r>
        <w:tab/>
      </w:r>
      <w:r w:rsidRPr="006F784F">
        <w:rPr>
          <w:position w:val="-20"/>
        </w:rPr>
        <w:object w:dxaOrig="240" w:dyaOrig="465" w14:anchorId="6438B146">
          <v:shape id="_x0000_i1284" type="#_x0000_t75" style="width:12pt;height:18pt" o:ole="">
            <v:imagedata r:id="rId347" o:title=""/>
          </v:shape>
          <o:OLEObject Type="Embed" ProgID="Equation.3" ShapeID="_x0000_i1284" DrawAspect="Content" ObjectID="_1815025473" r:id="rId349"/>
        </w:object>
      </w:r>
      <w:r>
        <w:t xml:space="preserve"> NDRTOBLRAMTOTOT </w:t>
      </w:r>
      <w:r>
        <w:rPr>
          <w:i/>
          <w:vertAlign w:val="subscript"/>
        </w:rPr>
        <w:t>o</w:t>
      </w:r>
    </w:p>
    <w:p w14:paraId="493ABC08" w14:textId="77777777" w:rsidR="00657819" w:rsidRDefault="00657819" w:rsidP="00657819">
      <w:pPr>
        <w:spacing w:after="120"/>
        <w:ind w:left="720"/>
      </w:pPr>
      <w:r>
        <w:t xml:space="preserve">Total Real-Time Payment or Charge for energy from </w:t>
      </w:r>
      <w:r w:rsidRPr="00FE0BEC">
        <w:t>SODGs and SOTGs</w:t>
      </w:r>
    </w:p>
    <w:p w14:paraId="58AA21B7" w14:textId="7BE38352" w:rsidR="00657819" w:rsidRDefault="00657819" w:rsidP="00657819">
      <w:pPr>
        <w:spacing w:before="120" w:after="120"/>
        <w:ind w:left="720" w:firstLine="720"/>
      </w:pPr>
      <w:r>
        <w:t>RTESOGAMTTOT</w:t>
      </w:r>
      <w:r>
        <w:tab/>
      </w:r>
      <w:r>
        <w:tab/>
        <w:t>=</w:t>
      </w:r>
      <w:r>
        <w:tab/>
      </w:r>
      <w:r>
        <w:rPr>
          <w:noProof/>
          <w:position w:val="-22"/>
        </w:rPr>
        <w:drawing>
          <wp:inline distT="0" distB="0" distL="0" distR="0" wp14:anchorId="11DC3DC7" wp14:editId="5A478CB1">
            <wp:extent cx="133350" cy="2952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33350" cy="295275"/>
                    </a:xfrm>
                    <a:prstGeom prst="rect">
                      <a:avLst/>
                    </a:prstGeom>
                    <a:noFill/>
                    <a:ln>
                      <a:noFill/>
                    </a:ln>
                  </pic:spPr>
                </pic:pic>
              </a:graphicData>
            </a:graphic>
          </wp:inline>
        </w:drawing>
      </w:r>
      <w:r>
        <w:t xml:space="preserve">RTESOGAMTQSETOT </w:t>
      </w:r>
      <w:r>
        <w:rPr>
          <w:i/>
          <w:vertAlign w:val="subscript"/>
        </w:rPr>
        <w:t>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54508" w14:paraId="0A41C5EE" w14:textId="77777777" w:rsidTr="008B123E">
        <w:trPr>
          <w:trHeight w:val="206"/>
        </w:trPr>
        <w:tc>
          <w:tcPr>
            <w:tcW w:w="9576" w:type="dxa"/>
            <w:shd w:val="pct12" w:color="auto" w:fill="auto"/>
          </w:tcPr>
          <w:p w14:paraId="1387EC84" w14:textId="75DE4C8B" w:rsidR="00C54508" w:rsidRDefault="00C54508" w:rsidP="008B123E">
            <w:pPr>
              <w:pStyle w:val="Instructions"/>
              <w:spacing w:before="120"/>
            </w:pPr>
            <w:r>
              <w:t>[</w:t>
            </w:r>
            <w:r w:rsidR="00C04382">
              <w:t>NPRR995</w:t>
            </w:r>
            <w:r>
              <w:t xml:space="preserve">:  </w:t>
            </w:r>
            <w:r w:rsidR="00657819">
              <w:t>Replace</w:t>
            </w:r>
            <w:r w:rsidR="00E87687">
              <w:t xml:space="preserve"> </w:t>
            </w:r>
            <w:r>
              <w:t xml:space="preserve">the language </w:t>
            </w:r>
            <w:r w:rsidR="00657819">
              <w:t>above with the following</w:t>
            </w:r>
            <w:r>
              <w:t xml:space="preserve"> upon system implementation:]</w:t>
            </w:r>
          </w:p>
          <w:p w14:paraId="60893388" w14:textId="4C4B9160" w:rsidR="00C54508" w:rsidRDefault="00C54508" w:rsidP="00C54508">
            <w:pPr>
              <w:spacing w:after="120"/>
              <w:ind w:left="720"/>
            </w:pPr>
            <w:r>
              <w:t xml:space="preserve">Total Real-Time Payment or Charge for energy from </w:t>
            </w:r>
            <w:r w:rsidRPr="00FE0BEC">
              <w:t>SODGs</w:t>
            </w:r>
            <w:r w:rsidR="00C04382">
              <w:t>,</w:t>
            </w:r>
            <w:r w:rsidRPr="00FE0BEC">
              <w:t xml:space="preserve"> SOTGs</w:t>
            </w:r>
            <w:r w:rsidR="00C04382">
              <w:t>, SODESSs, or SOTESSs</w:t>
            </w:r>
          </w:p>
          <w:p w14:paraId="0A8ACF5C" w14:textId="62AC9CBE" w:rsidR="00C54508" w:rsidRPr="002F5823" w:rsidRDefault="00C54508" w:rsidP="00C54508">
            <w:pPr>
              <w:spacing w:before="120" w:after="120"/>
              <w:ind w:left="720" w:firstLine="720"/>
              <w:rPr>
                <w:bCs/>
              </w:rPr>
            </w:pPr>
            <w:r>
              <w:t>RTESOAMTTOT</w:t>
            </w:r>
            <w:r>
              <w:tab/>
            </w:r>
            <w:r>
              <w:tab/>
              <w:t>=</w:t>
            </w:r>
            <w:r>
              <w:tab/>
            </w:r>
            <w:r w:rsidR="00A94020">
              <w:rPr>
                <w:noProof/>
                <w:position w:val="-22"/>
              </w:rPr>
              <w:drawing>
                <wp:inline distT="0" distB="0" distL="0" distR="0" wp14:anchorId="6DF5AD42" wp14:editId="00466AC6">
                  <wp:extent cx="133350" cy="295275"/>
                  <wp:effectExtent l="0" t="0" r="0" b="9525"/>
                  <wp:docPr id="17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33350" cy="295275"/>
                          </a:xfrm>
                          <a:prstGeom prst="rect">
                            <a:avLst/>
                          </a:prstGeom>
                          <a:noFill/>
                          <a:ln>
                            <a:noFill/>
                          </a:ln>
                        </pic:spPr>
                      </pic:pic>
                    </a:graphicData>
                  </a:graphic>
                </wp:inline>
              </w:drawing>
            </w:r>
            <w:r w:rsidR="006C6A47">
              <w:t xml:space="preserve"> </w:t>
            </w:r>
            <w:r>
              <w:t xml:space="preserve">RTESOAMTQSETOT </w:t>
            </w:r>
            <w:r>
              <w:rPr>
                <w:i/>
                <w:vertAlign w:val="subscript"/>
              </w:rPr>
              <w:t>q</w:t>
            </w:r>
          </w:p>
        </w:tc>
      </w:tr>
    </w:tbl>
    <w:p w14:paraId="1852F635" w14:textId="77777777" w:rsidR="001F04FD" w:rsidRDefault="001F04FD" w:rsidP="004A39F9">
      <w:pPr>
        <w:spacing w:before="240"/>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8"/>
        <w:gridCol w:w="615"/>
        <w:gridCol w:w="6257"/>
      </w:tblGrid>
      <w:tr w:rsidR="001F04FD" w14:paraId="331D8B6E" w14:textId="77777777" w:rsidTr="008B66B5">
        <w:trPr>
          <w:cantSplit/>
          <w:tblHeader/>
        </w:trPr>
        <w:tc>
          <w:tcPr>
            <w:tcW w:w="1325" w:type="pct"/>
          </w:tcPr>
          <w:p w14:paraId="41BC1251" w14:textId="77777777" w:rsidR="001F04FD" w:rsidRDefault="001F04FD" w:rsidP="00AC4DEE">
            <w:pPr>
              <w:pStyle w:val="TableHead"/>
            </w:pPr>
            <w:r>
              <w:t>Variable</w:t>
            </w:r>
          </w:p>
        </w:tc>
        <w:tc>
          <w:tcPr>
            <w:tcW w:w="329" w:type="pct"/>
          </w:tcPr>
          <w:p w14:paraId="671776B4" w14:textId="77777777" w:rsidR="001F04FD" w:rsidRDefault="001F04FD" w:rsidP="00AC4DEE">
            <w:pPr>
              <w:pStyle w:val="TableHead"/>
            </w:pPr>
            <w:r>
              <w:t>Unit</w:t>
            </w:r>
          </w:p>
        </w:tc>
        <w:tc>
          <w:tcPr>
            <w:tcW w:w="3346" w:type="pct"/>
          </w:tcPr>
          <w:p w14:paraId="0A31C9F6" w14:textId="77777777" w:rsidR="001F04FD" w:rsidRDefault="001F04FD" w:rsidP="00AC4DEE">
            <w:pPr>
              <w:pStyle w:val="TableHead"/>
            </w:pPr>
            <w:r>
              <w:t>Description</w:t>
            </w:r>
          </w:p>
        </w:tc>
      </w:tr>
      <w:tr w:rsidR="001F04FD" w14:paraId="10709BD4" w14:textId="77777777" w:rsidTr="008B66B5">
        <w:trPr>
          <w:cantSplit/>
        </w:trPr>
        <w:tc>
          <w:tcPr>
            <w:tcW w:w="1325" w:type="pct"/>
          </w:tcPr>
          <w:p w14:paraId="0F7AC31F" w14:textId="77777777" w:rsidR="001F04FD" w:rsidRDefault="001F04FD" w:rsidP="00AC4DEE">
            <w:pPr>
              <w:pStyle w:val="TableBody"/>
            </w:pPr>
            <w:r>
              <w:t xml:space="preserve">LARTRNAMT </w:t>
            </w:r>
            <w:r w:rsidRPr="00E15B17">
              <w:rPr>
                <w:i/>
                <w:vertAlign w:val="subscript"/>
              </w:rPr>
              <w:t>q</w:t>
            </w:r>
          </w:p>
        </w:tc>
        <w:tc>
          <w:tcPr>
            <w:tcW w:w="329" w:type="pct"/>
          </w:tcPr>
          <w:p w14:paraId="739C2CAA" w14:textId="77777777" w:rsidR="001F04FD" w:rsidRDefault="001F04FD" w:rsidP="00AC4DEE">
            <w:pPr>
              <w:pStyle w:val="TableBody"/>
            </w:pPr>
            <w:r>
              <w:t>$</w:t>
            </w:r>
          </w:p>
        </w:tc>
        <w:tc>
          <w:tcPr>
            <w:tcW w:w="3346" w:type="pct"/>
          </w:tcPr>
          <w:p w14:paraId="496A5CA2" w14:textId="77777777" w:rsidR="001F04FD" w:rsidRDefault="001F04FD" w:rsidP="00AC4DEE">
            <w:pPr>
              <w:pStyle w:val="TableBody"/>
            </w:pPr>
            <w:r>
              <w:rPr>
                <w:i/>
              </w:rPr>
              <w:t>Load-Allocated Real-Time Revenue Neutrality Amount per QSE</w:t>
            </w:r>
            <w:r>
              <w:t xml:space="preserve">—The QSE </w:t>
            </w:r>
            <w:r>
              <w:rPr>
                <w:i/>
              </w:rPr>
              <w:t>q</w:t>
            </w:r>
            <w:r>
              <w:t>’s share of the total Real-Time revenue neutrality amount for the 15-minute Settlement Interval.</w:t>
            </w:r>
          </w:p>
        </w:tc>
      </w:tr>
      <w:tr w:rsidR="001F04FD" w14:paraId="165C52BE" w14:textId="77777777" w:rsidTr="008B66B5">
        <w:trPr>
          <w:cantSplit/>
        </w:trPr>
        <w:tc>
          <w:tcPr>
            <w:tcW w:w="1325" w:type="pct"/>
          </w:tcPr>
          <w:p w14:paraId="4B16D9D9" w14:textId="77777777" w:rsidR="001F04FD" w:rsidRDefault="001F04FD" w:rsidP="00AC4DEE">
            <w:pPr>
              <w:pStyle w:val="TableBody"/>
            </w:pPr>
            <w:r>
              <w:t>RTEIAMTTOT</w:t>
            </w:r>
          </w:p>
        </w:tc>
        <w:tc>
          <w:tcPr>
            <w:tcW w:w="329" w:type="pct"/>
          </w:tcPr>
          <w:p w14:paraId="46B03EC3" w14:textId="77777777" w:rsidR="001F04FD" w:rsidRDefault="001F04FD" w:rsidP="00AC4DEE">
            <w:pPr>
              <w:pStyle w:val="TableBody"/>
            </w:pPr>
            <w:r>
              <w:t>$</w:t>
            </w:r>
          </w:p>
        </w:tc>
        <w:tc>
          <w:tcPr>
            <w:tcW w:w="3346" w:type="pct"/>
          </w:tcPr>
          <w:p w14:paraId="72648C03" w14:textId="77777777" w:rsidR="001F04FD" w:rsidRDefault="001F04FD" w:rsidP="00AC4DEE">
            <w:pPr>
              <w:pStyle w:val="TableBody"/>
            </w:pPr>
            <w:r>
              <w:rPr>
                <w:i/>
              </w:rPr>
              <w:t>Real-Time Energy Imbalance Amount Total</w:t>
            </w:r>
            <w:r>
              <w:t>—The total net payments and charges for Real-Time Energy Imbalance at all Settlement Points (Resource, Load Zone, or Hub) for the 15-minute Interval.</w:t>
            </w:r>
          </w:p>
        </w:tc>
      </w:tr>
      <w:tr w:rsidR="001F04FD" w14:paraId="50AB3B2E" w14:textId="77777777" w:rsidTr="008B66B5">
        <w:trPr>
          <w:cantSplit/>
        </w:trPr>
        <w:tc>
          <w:tcPr>
            <w:tcW w:w="1325" w:type="pct"/>
          </w:tcPr>
          <w:p w14:paraId="6EDEFC0B" w14:textId="77777777" w:rsidR="001F04FD" w:rsidRDefault="001F04FD" w:rsidP="00AC4DEE">
            <w:pPr>
              <w:pStyle w:val="TableBody"/>
            </w:pPr>
            <w:r>
              <w:t>BLTRAMTTOT</w:t>
            </w:r>
          </w:p>
        </w:tc>
        <w:tc>
          <w:tcPr>
            <w:tcW w:w="329" w:type="pct"/>
          </w:tcPr>
          <w:p w14:paraId="7B781499" w14:textId="77777777" w:rsidR="001F04FD" w:rsidRDefault="001F04FD" w:rsidP="00AC4DEE">
            <w:pPr>
              <w:pStyle w:val="TableBody"/>
            </w:pPr>
            <w:r>
              <w:t>$</w:t>
            </w:r>
          </w:p>
        </w:tc>
        <w:tc>
          <w:tcPr>
            <w:tcW w:w="3346" w:type="pct"/>
          </w:tcPr>
          <w:p w14:paraId="48BB3348" w14:textId="77777777" w:rsidR="001F04FD" w:rsidRDefault="001F04FD" w:rsidP="00AC4DEE">
            <w:pPr>
              <w:pStyle w:val="TableBody"/>
            </w:pPr>
            <w:r>
              <w:rPr>
                <w:i/>
              </w:rPr>
              <w:t>Block Load Transfer Resource Amount Total</w:t>
            </w:r>
            <w:r>
              <w:sym w:font="Symbol" w:char="F0BE"/>
            </w:r>
            <w:r>
              <w:t>The total of the payments for energy delivered into the ERCOT Region through BLT points for the 15-minute Settlement Interval.</w:t>
            </w:r>
          </w:p>
        </w:tc>
      </w:tr>
      <w:tr w:rsidR="001F04FD" w14:paraId="3974B996" w14:textId="77777777" w:rsidTr="008B66B5">
        <w:trPr>
          <w:cantSplit/>
        </w:trPr>
        <w:tc>
          <w:tcPr>
            <w:tcW w:w="1325" w:type="pct"/>
          </w:tcPr>
          <w:p w14:paraId="540A2E60" w14:textId="77777777" w:rsidR="001F04FD" w:rsidRDefault="001F04FD" w:rsidP="00AC4DEE">
            <w:pPr>
              <w:pStyle w:val="TableBody"/>
            </w:pPr>
            <w:r>
              <w:t>RTDCIMPAMTTOT</w:t>
            </w:r>
          </w:p>
        </w:tc>
        <w:tc>
          <w:tcPr>
            <w:tcW w:w="329" w:type="pct"/>
          </w:tcPr>
          <w:p w14:paraId="25A1EA79" w14:textId="77777777" w:rsidR="001F04FD" w:rsidRDefault="001F04FD" w:rsidP="00AC4DEE">
            <w:pPr>
              <w:pStyle w:val="TableBody"/>
            </w:pPr>
            <w:r>
              <w:t>$</w:t>
            </w:r>
          </w:p>
        </w:tc>
        <w:tc>
          <w:tcPr>
            <w:tcW w:w="3346" w:type="pct"/>
            <w:vAlign w:val="center"/>
          </w:tcPr>
          <w:p w14:paraId="4FACF661" w14:textId="77777777" w:rsidR="001F04FD" w:rsidRDefault="001F04FD" w:rsidP="00AC4DEE">
            <w:pPr>
              <w:pStyle w:val="TableBody"/>
              <w:spacing w:after="0"/>
            </w:pPr>
            <w:r>
              <w:rPr>
                <w:i/>
              </w:rPr>
              <w:t>Real-Time DC Import Amount Total</w:t>
            </w:r>
            <w:r>
              <w:t>—The summation of payments for DC Tie imports for the 15-minute Settlement Interval.</w:t>
            </w:r>
          </w:p>
        </w:tc>
      </w:tr>
      <w:tr w:rsidR="001F04FD" w14:paraId="0C9E0851" w14:textId="77777777" w:rsidTr="008B66B5">
        <w:trPr>
          <w:cantSplit/>
        </w:trPr>
        <w:tc>
          <w:tcPr>
            <w:tcW w:w="1325" w:type="pct"/>
          </w:tcPr>
          <w:p w14:paraId="53E341F3" w14:textId="77777777" w:rsidR="001F04FD" w:rsidRDefault="001F04FD" w:rsidP="00AC4DEE">
            <w:pPr>
              <w:pStyle w:val="TableBody"/>
            </w:pPr>
            <w:r>
              <w:t xml:space="preserve">RTCCAMTTOT </w:t>
            </w:r>
          </w:p>
        </w:tc>
        <w:tc>
          <w:tcPr>
            <w:tcW w:w="329" w:type="pct"/>
          </w:tcPr>
          <w:p w14:paraId="5065F3B3" w14:textId="77777777" w:rsidR="001F04FD" w:rsidRDefault="001F04FD" w:rsidP="00AC4DEE">
            <w:pPr>
              <w:pStyle w:val="TableBody"/>
            </w:pPr>
            <w:r>
              <w:t>$</w:t>
            </w:r>
          </w:p>
        </w:tc>
        <w:tc>
          <w:tcPr>
            <w:tcW w:w="3346" w:type="pct"/>
          </w:tcPr>
          <w:p w14:paraId="7242ED7F" w14:textId="77777777" w:rsidR="001F04FD" w:rsidRDefault="001F04FD" w:rsidP="00AC4DEE">
            <w:pPr>
              <w:pStyle w:val="TableBody"/>
            </w:pPr>
            <w:r>
              <w:rPr>
                <w:i/>
              </w:rPr>
              <w:t>Real-Time Energy Congestion Cost Amount Total</w:t>
            </w:r>
            <w:r>
              <w:t>—The total net congestion payments and charges for all Self-Schedules for the 15-minute Settlement Interval.</w:t>
            </w:r>
          </w:p>
        </w:tc>
      </w:tr>
      <w:tr w:rsidR="001F04FD" w14:paraId="68AADAAE" w14:textId="77777777" w:rsidTr="008B66B5">
        <w:trPr>
          <w:cantSplit/>
        </w:trPr>
        <w:tc>
          <w:tcPr>
            <w:tcW w:w="1325" w:type="pct"/>
          </w:tcPr>
          <w:p w14:paraId="25B1C38D" w14:textId="77777777" w:rsidR="001F04FD" w:rsidRDefault="001F04FD" w:rsidP="00AC4DEE">
            <w:pPr>
              <w:pStyle w:val="TableBody"/>
            </w:pPr>
            <w:r>
              <w:t>NDRTOBLAMTTOT</w:t>
            </w:r>
          </w:p>
        </w:tc>
        <w:tc>
          <w:tcPr>
            <w:tcW w:w="329" w:type="pct"/>
          </w:tcPr>
          <w:p w14:paraId="2FA7AD93" w14:textId="77777777" w:rsidR="001F04FD" w:rsidRDefault="001F04FD" w:rsidP="00AC4DEE">
            <w:pPr>
              <w:pStyle w:val="TableBody"/>
            </w:pPr>
            <w:r>
              <w:t>$</w:t>
            </w:r>
          </w:p>
        </w:tc>
        <w:tc>
          <w:tcPr>
            <w:tcW w:w="3346" w:type="pct"/>
          </w:tcPr>
          <w:p w14:paraId="4EBAA077" w14:textId="77777777" w:rsidR="001F04FD" w:rsidRDefault="001F04FD" w:rsidP="00AC4DEE">
            <w:pPr>
              <w:pStyle w:val="TableBody"/>
              <w:rPr>
                <w:i/>
              </w:rPr>
            </w:pPr>
            <w:r>
              <w:rPr>
                <w:i/>
              </w:rPr>
              <w:t>No DAM Real-Time Obligation Amount Total</w:t>
            </w:r>
            <w:r>
              <w:t>—The sum of all payments and charges for PTP Obligations settled in Real-Time, when ERCOT is unable to execute the DAM, for the hour that includes the 15-minute Settlement Interval.</w:t>
            </w:r>
          </w:p>
        </w:tc>
      </w:tr>
      <w:tr w:rsidR="001F04FD" w14:paraId="6BBA0096" w14:textId="77777777" w:rsidTr="008B66B5">
        <w:trPr>
          <w:cantSplit/>
        </w:trPr>
        <w:tc>
          <w:tcPr>
            <w:tcW w:w="1325" w:type="pct"/>
          </w:tcPr>
          <w:p w14:paraId="7D944329" w14:textId="77777777" w:rsidR="001F04FD" w:rsidRDefault="001F04FD" w:rsidP="00AC4DEE">
            <w:pPr>
              <w:pStyle w:val="TableBody"/>
            </w:pPr>
            <w:r>
              <w:t>NDRTOPTAMTTOT</w:t>
            </w:r>
          </w:p>
        </w:tc>
        <w:tc>
          <w:tcPr>
            <w:tcW w:w="329" w:type="pct"/>
          </w:tcPr>
          <w:p w14:paraId="3BE1890F" w14:textId="77777777" w:rsidR="001F04FD" w:rsidRDefault="001F04FD" w:rsidP="00AC4DEE">
            <w:pPr>
              <w:pStyle w:val="TableBody"/>
            </w:pPr>
            <w:r>
              <w:t>$</w:t>
            </w:r>
          </w:p>
        </w:tc>
        <w:tc>
          <w:tcPr>
            <w:tcW w:w="3346" w:type="pct"/>
          </w:tcPr>
          <w:p w14:paraId="5653E661" w14:textId="77777777" w:rsidR="001F04FD" w:rsidRDefault="001F04FD" w:rsidP="00AC4DEE">
            <w:pPr>
              <w:pStyle w:val="TableBody"/>
              <w:rPr>
                <w:i/>
              </w:rPr>
            </w:pPr>
            <w:r>
              <w:rPr>
                <w:i/>
              </w:rPr>
              <w:t>No DAM Real-Time Option Amount Total</w:t>
            </w:r>
            <w:r>
              <w:t>—The sum of all payments for PTP Options settled in Real-Time, when ERCOT is unable to execute the DAM, for the hour that includes the 15-minute Settlement Interval.</w:t>
            </w:r>
          </w:p>
        </w:tc>
      </w:tr>
      <w:tr w:rsidR="001F04FD" w14:paraId="39F5BB4D" w14:textId="77777777" w:rsidTr="008B66B5">
        <w:trPr>
          <w:cantSplit/>
        </w:trPr>
        <w:tc>
          <w:tcPr>
            <w:tcW w:w="1325" w:type="pct"/>
          </w:tcPr>
          <w:p w14:paraId="59B5632A" w14:textId="77777777" w:rsidR="001F04FD" w:rsidRDefault="001F04FD" w:rsidP="00AC4DEE">
            <w:pPr>
              <w:pStyle w:val="TableBody"/>
            </w:pPr>
            <w:r>
              <w:t>NDRTOPTRAMTTOT</w:t>
            </w:r>
          </w:p>
        </w:tc>
        <w:tc>
          <w:tcPr>
            <w:tcW w:w="329" w:type="pct"/>
          </w:tcPr>
          <w:p w14:paraId="1EAA3906" w14:textId="77777777" w:rsidR="001F04FD" w:rsidRDefault="001F04FD" w:rsidP="00AC4DEE">
            <w:pPr>
              <w:pStyle w:val="TableBody"/>
            </w:pPr>
            <w:r>
              <w:t>$</w:t>
            </w:r>
          </w:p>
        </w:tc>
        <w:tc>
          <w:tcPr>
            <w:tcW w:w="3346" w:type="pct"/>
          </w:tcPr>
          <w:p w14:paraId="035A4AD7" w14:textId="77777777" w:rsidR="001F04FD" w:rsidRDefault="001F04FD" w:rsidP="00AC4DEE">
            <w:pPr>
              <w:pStyle w:val="TableBody"/>
              <w:rPr>
                <w:i/>
              </w:rPr>
            </w:pPr>
            <w:r>
              <w:rPr>
                <w:i/>
              </w:rPr>
              <w:t>No DAM Real-Time Option with Refund Amount Total</w:t>
            </w:r>
            <w:r>
              <w:t>—The sum of all payments for PTP Options with Refund settled in Real-Time, when ERCOT is unable to execute the DAM, for the hour that includes the 15-minute Settlement Interval.</w:t>
            </w:r>
          </w:p>
        </w:tc>
      </w:tr>
      <w:tr w:rsidR="001F04FD" w14:paraId="7B8AD24E" w14:textId="77777777" w:rsidTr="008B66B5">
        <w:trPr>
          <w:cantSplit/>
        </w:trPr>
        <w:tc>
          <w:tcPr>
            <w:tcW w:w="1325" w:type="pct"/>
          </w:tcPr>
          <w:p w14:paraId="231F3E5C" w14:textId="77777777" w:rsidR="001F04FD" w:rsidRDefault="001F04FD" w:rsidP="00AC4DEE">
            <w:pPr>
              <w:pStyle w:val="TableBody"/>
            </w:pPr>
            <w:r>
              <w:lastRenderedPageBreak/>
              <w:t>NDRTOBLRAMTTOT</w:t>
            </w:r>
          </w:p>
        </w:tc>
        <w:tc>
          <w:tcPr>
            <w:tcW w:w="329" w:type="pct"/>
          </w:tcPr>
          <w:p w14:paraId="00A80A8B" w14:textId="77777777" w:rsidR="001F04FD" w:rsidRDefault="001F04FD" w:rsidP="00AC4DEE">
            <w:pPr>
              <w:pStyle w:val="TableBody"/>
            </w:pPr>
            <w:r>
              <w:t>$</w:t>
            </w:r>
          </w:p>
        </w:tc>
        <w:tc>
          <w:tcPr>
            <w:tcW w:w="3346" w:type="pct"/>
          </w:tcPr>
          <w:p w14:paraId="49A93609" w14:textId="7D37CA8A" w:rsidR="001F04FD" w:rsidRDefault="001F04FD" w:rsidP="003810AB">
            <w:pPr>
              <w:pStyle w:val="TableBody"/>
              <w:rPr>
                <w:i/>
              </w:rPr>
            </w:pPr>
            <w:r>
              <w:rPr>
                <w:i/>
              </w:rPr>
              <w:t>No DAM Real-Time Obligation with Refund Amount Total</w:t>
            </w:r>
            <w:r>
              <w:t>—The sum of all payments for PTP Obligations with Refund settled in Real-Time, when ERCOT is unable to execute the DAM, for the hour that includes the 15-minute Settlement Interval.</w:t>
            </w:r>
          </w:p>
        </w:tc>
      </w:tr>
      <w:tr w:rsidR="001F04FD" w14:paraId="793B195F" w14:textId="77777777" w:rsidTr="008B66B5">
        <w:trPr>
          <w:cantSplit/>
        </w:trPr>
        <w:tc>
          <w:tcPr>
            <w:tcW w:w="1325" w:type="pct"/>
            <w:tcBorders>
              <w:top w:val="single" w:sz="4" w:space="0" w:color="auto"/>
              <w:left w:val="single" w:sz="4" w:space="0" w:color="auto"/>
              <w:bottom w:val="single" w:sz="4" w:space="0" w:color="auto"/>
              <w:right w:val="single" w:sz="4" w:space="0" w:color="auto"/>
            </w:tcBorders>
          </w:tcPr>
          <w:p w14:paraId="17B2FA3E" w14:textId="77777777" w:rsidR="001F04FD" w:rsidRDefault="001F04FD" w:rsidP="00AC4DEE">
            <w:pPr>
              <w:pStyle w:val="TableBody"/>
            </w:pPr>
            <w:r>
              <w:t>RTEIAMTQSETOT</w:t>
            </w:r>
            <w:r w:rsidRPr="00E15B17">
              <w:rPr>
                <w:i/>
                <w:vertAlign w:val="subscript"/>
              </w:rPr>
              <w:t xml:space="preserve"> q</w:t>
            </w:r>
          </w:p>
        </w:tc>
        <w:tc>
          <w:tcPr>
            <w:tcW w:w="329" w:type="pct"/>
            <w:tcBorders>
              <w:top w:val="single" w:sz="4" w:space="0" w:color="auto"/>
              <w:left w:val="single" w:sz="4" w:space="0" w:color="auto"/>
              <w:bottom w:val="single" w:sz="4" w:space="0" w:color="auto"/>
              <w:right w:val="single" w:sz="4" w:space="0" w:color="auto"/>
            </w:tcBorders>
          </w:tcPr>
          <w:p w14:paraId="4836D266" w14:textId="77777777" w:rsidR="001F04FD" w:rsidRDefault="001F04FD" w:rsidP="00AC4DEE">
            <w:pPr>
              <w:pStyle w:val="TableBody"/>
            </w:pPr>
            <w:r>
              <w:t>$</w:t>
            </w:r>
          </w:p>
        </w:tc>
        <w:tc>
          <w:tcPr>
            <w:tcW w:w="3346" w:type="pct"/>
            <w:tcBorders>
              <w:top w:val="single" w:sz="4" w:space="0" w:color="auto"/>
              <w:left w:val="single" w:sz="4" w:space="0" w:color="auto"/>
              <w:bottom w:val="single" w:sz="4" w:space="0" w:color="auto"/>
              <w:right w:val="single" w:sz="4" w:space="0" w:color="auto"/>
            </w:tcBorders>
          </w:tcPr>
          <w:p w14:paraId="7A325D88"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Service at all Resource Node Settlement Points for the 15-minute Settlement Interval.</w:t>
            </w:r>
          </w:p>
        </w:tc>
      </w:tr>
      <w:tr w:rsidR="001F04FD" w14:paraId="265AF73B" w14:textId="77777777" w:rsidTr="008B66B5">
        <w:trPr>
          <w:cantSplit/>
        </w:trPr>
        <w:tc>
          <w:tcPr>
            <w:tcW w:w="1325" w:type="pct"/>
            <w:tcBorders>
              <w:top w:val="single" w:sz="4" w:space="0" w:color="auto"/>
              <w:left w:val="single" w:sz="4" w:space="0" w:color="auto"/>
              <w:bottom w:val="single" w:sz="4" w:space="0" w:color="auto"/>
              <w:right w:val="single" w:sz="4" w:space="0" w:color="auto"/>
            </w:tcBorders>
          </w:tcPr>
          <w:p w14:paraId="6B495229" w14:textId="77777777" w:rsidR="001F04FD" w:rsidRDefault="001F04FD" w:rsidP="00AC4DEE">
            <w:pPr>
              <w:pStyle w:val="TableBody"/>
            </w:pPr>
            <w:r>
              <w:t xml:space="preserve">RTCCAMTQSETOT </w:t>
            </w:r>
            <w:r w:rsidRPr="00E15B17">
              <w:rPr>
                <w:i/>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76E1EA73" w14:textId="77777777" w:rsidR="001F04FD" w:rsidRDefault="001F04FD" w:rsidP="00AC4DEE">
            <w:pPr>
              <w:pStyle w:val="TableBody"/>
            </w:pPr>
            <w:r>
              <w:t>$</w:t>
            </w:r>
          </w:p>
        </w:tc>
        <w:tc>
          <w:tcPr>
            <w:tcW w:w="3346" w:type="pct"/>
            <w:tcBorders>
              <w:top w:val="single" w:sz="4" w:space="0" w:color="auto"/>
              <w:left w:val="single" w:sz="4" w:space="0" w:color="auto"/>
              <w:bottom w:val="single" w:sz="4" w:space="0" w:color="auto"/>
              <w:right w:val="single" w:sz="4" w:space="0" w:color="auto"/>
            </w:tcBorders>
          </w:tcPr>
          <w:p w14:paraId="53EC2BD9" w14:textId="77777777" w:rsidR="001F04FD" w:rsidRDefault="001F04FD" w:rsidP="00AC4DEE">
            <w:pPr>
              <w:pStyle w:val="TableBody"/>
            </w:pPr>
            <w:r>
              <w:rPr>
                <w:i/>
              </w:rPr>
              <w:t>Real-Time Congestion Cost Amount QSE Total per QSE</w:t>
            </w:r>
            <w:r>
              <w:sym w:font="Symbol" w:char="F0BE"/>
            </w:r>
            <w:r>
              <w:t xml:space="preserve">The total net congestion payments and charges to QSE </w:t>
            </w:r>
            <w:r>
              <w:rPr>
                <w:i/>
              </w:rPr>
              <w:t>q</w:t>
            </w:r>
            <w:r>
              <w:t xml:space="preserve"> for its Self-Schedules for the 15-minute Settlement Interval.</w:t>
            </w:r>
          </w:p>
        </w:tc>
      </w:tr>
      <w:tr w:rsidR="001F04FD" w14:paraId="7E254262" w14:textId="77777777" w:rsidTr="008B66B5">
        <w:trPr>
          <w:cantSplit/>
        </w:trPr>
        <w:tc>
          <w:tcPr>
            <w:tcW w:w="1325" w:type="pct"/>
          </w:tcPr>
          <w:p w14:paraId="0ACB4C48" w14:textId="77777777" w:rsidR="001F04FD" w:rsidRDefault="001F04FD" w:rsidP="00AC4DEE">
            <w:pPr>
              <w:pStyle w:val="TableBody"/>
            </w:pPr>
            <w:r>
              <w:t xml:space="preserve">BLTRAMTQSETOT </w:t>
            </w:r>
            <w:r w:rsidRPr="00E15B17">
              <w:rPr>
                <w:i/>
                <w:vertAlign w:val="subscript"/>
              </w:rPr>
              <w:t>q</w:t>
            </w:r>
          </w:p>
        </w:tc>
        <w:tc>
          <w:tcPr>
            <w:tcW w:w="329" w:type="pct"/>
          </w:tcPr>
          <w:p w14:paraId="343A2253" w14:textId="77777777" w:rsidR="001F04FD" w:rsidRDefault="001F04FD" w:rsidP="00AC4DEE">
            <w:pPr>
              <w:pStyle w:val="TableBody"/>
            </w:pPr>
            <w:r>
              <w:t>$</w:t>
            </w:r>
          </w:p>
        </w:tc>
        <w:tc>
          <w:tcPr>
            <w:tcW w:w="3346" w:type="pct"/>
          </w:tcPr>
          <w:p w14:paraId="35439E86" w14:textId="77777777" w:rsidR="001F04FD" w:rsidRDefault="001F04FD" w:rsidP="00AC4DEE">
            <w:pPr>
              <w:pStyle w:val="TableBody"/>
              <w:rPr>
                <w:bCs/>
              </w:rPr>
            </w:pPr>
            <w:r>
              <w:rPr>
                <w:i/>
              </w:rPr>
              <w:t>Block Load Transfer Resource Amount QSE Total per QSE</w:t>
            </w:r>
            <w:r>
              <w:sym w:font="Symbol" w:char="F0BE"/>
            </w:r>
            <w:r>
              <w:t xml:space="preserve">The total of the payments to QSE </w:t>
            </w:r>
            <w:r>
              <w:rPr>
                <w:i/>
              </w:rPr>
              <w:t>q</w:t>
            </w:r>
            <w:r>
              <w:t xml:space="preserve"> for energy delivered into the ERCOT Region through BLT points for the 15-minute Settlement Interval.</w:t>
            </w:r>
          </w:p>
        </w:tc>
      </w:tr>
      <w:tr w:rsidR="001F04FD" w14:paraId="28E71ADB" w14:textId="77777777" w:rsidTr="008B66B5">
        <w:trPr>
          <w:cantSplit/>
        </w:trPr>
        <w:tc>
          <w:tcPr>
            <w:tcW w:w="1325" w:type="pct"/>
          </w:tcPr>
          <w:p w14:paraId="7670A348" w14:textId="77777777" w:rsidR="001F04FD" w:rsidRDefault="001F04FD" w:rsidP="00AC4DEE">
            <w:pPr>
              <w:pStyle w:val="TableBody"/>
            </w:pPr>
            <w:r>
              <w:t xml:space="preserve">RTDCIMPAMTQSETOT </w:t>
            </w:r>
            <w:r w:rsidRPr="00E15B17">
              <w:rPr>
                <w:i/>
                <w:vertAlign w:val="subscript"/>
              </w:rPr>
              <w:t>q</w:t>
            </w:r>
          </w:p>
        </w:tc>
        <w:tc>
          <w:tcPr>
            <w:tcW w:w="329" w:type="pct"/>
          </w:tcPr>
          <w:p w14:paraId="5A3500C2" w14:textId="77777777" w:rsidR="001F04FD" w:rsidRDefault="001F04FD" w:rsidP="00AC4DEE">
            <w:pPr>
              <w:pStyle w:val="TableBody"/>
            </w:pPr>
            <w:r>
              <w:t>$</w:t>
            </w:r>
          </w:p>
        </w:tc>
        <w:tc>
          <w:tcPr>
            <w:tcW w:w="3346" w:type="pct"/>
          </w:tcPr>
          <w:p w14:paraId="3E6AF934" w14:textId="77777777" w:rsidR="001F04FD" w:rsidRDefault="001F04FD" w:rsidP="00AC4DEE">
            <w:pPr>
              <w:pStyle w:val="TableBody"/>
            </w:pPr>
            <w:r>
              <w:rPr>
                <w:i/>
              </w:rPr>
              <w:t>Real-Time DC Import Amount QSE Total per QSE</w:t>
            </w:r>
            <w:r>
              <w:sym w:font="Symbol" w:char="F0BE"/>
            </w:r>
            <w:r>
              <w:t xml:space="preserve">The total of the payments to QSE </w:t>
            </w:r>
            <w:r>
              <w:rPr>
                <w:i/>
              </w:rPr>
              <w:t>q</w:t>
            </w:r>
            <w:r>
              <w:t xml:space="preserve"> for energy imported into the ERCOT Region through DC Ties for the 15-minute Settlement Interval.</w:t>
            </w:r>
          </w:p>
        </w:tc>
      </w:tr>
      <w:tr w:rsidR="001F04FD" w14:paraId="2B456E26" w14:textId="77777777" w:rsidTr="008B66B5">
        <w:trPr>
          <w:cantSplit/>
        </w:trPr>
        <w:tc>
          <w:tcPr>
            <w:tcW w:w="1325" w:type="pct"/>
          </w:tcPr>
          <w:p w14:paraId="284C06B9" w14:textId="77777777" w:rsidR="001F04FD" w:rsidRDefault="001F04FD" w:rsidP="00AC4DEE">
            <w:pPr>
              <w:pStyle w:val="TableBody"/>
            </w:pPr>
            <w:r>
              <w:t xml:space="preserve">NDRTOBLAMTOTOT </w:t>
            </w:r>
            <w:r w:rsidRPr="00E15B17">
              <w:rPr>
                <w:i/>
                <w:vertAlign w:val="subscript"/>
              </w:rPr>
              <w:t>o</w:t>
            </w:r>
          </w:p>
        </w:tc>
        <w:tc>
          <w:tcPr>
            <w:tcW w:w="329" w:type="pct"/>
          </w:tcPr>
          <w:p w14:paraId="07AABDD4" w14:textId="77777777" w:rsidR="001F04FD" w:rsidRDefault="001F04FD" w:rsidP="00AC4DEE">
            <w:pPr>
              <w:pStyle w:val="TableBody"/>
            </w:pPr>
            <w:r>
              <w:t>$</w:t>
            </w:r>
          </w:p>
        </w:tc>
        <w:tc>
          <w:tcPr>
            <w:tcW w:w="3346" w:type="pct"/>
          </w:tcPr>
          <w:p w14:paraId="3C412C18" w14:textId="77777777" w:rsidR="001F04FD" w:rsidRDefault="001F04FD" w:rsidP="00AC4DEE">
            <w:pPr>
              <w:pStyle w:val="TableBody"/>
            </w:pPr>
            <w:r>
              <w:rPr>
                <w:i/>
              </w:rPr>
              <w:t>No DAM Real-Time Obligation Amount Owner Total per CRR Owner</w:t>
            </w:r>
            <w:r>
              <w:t xml:space="preserve">—The net total payment or charge to CRR owner </w:t>
            </w:r>
            <w:r>
              <w:rPr>
                <w:i/>
              </w:rPr>
              <w:t>o</w:t>
            </w:r>
            <w:r>
              <w:t xml:space="preserve"> of all its PTP Obligations settled in Real-Time when ERCOT is unable to execute the DAM, for the hour.</w:t>
            </w:r>
          </w:p>
        </w:tc>
      </w:tr>
      <w:tr w:rsidR="001F04FD" w14:paraId="7EC451CF" w14:textId="77777777" w:rsidTr="008B66B5">
        <w:trPr>
          <w:cantSplit/>
        </w:trPr>
        <w:tc>
          <w:tcPr>
            <w:tcW w:w="1325" w:type="pct"/>
          </w:tcPr>
          <w:p w14:paraId="219F664C" w14:textId="77777777" w:rsidR="001F04FD" w:rsidRDefault="001F04FD" w:rsidP="00AC4DEE">
            <w:pPr>
              <w:pStyle w:val="TableBody"/>
            </w:pPr>
            <w:r>
              <w:t xml:space="preserve">NDRTOPTAMTOTOT </w:t>
            </w:r>
            <w:r w:rsidRPr="00E15B17">
              <w:rPr>
                <w:i/>
                <w:vertAlign w:val="subscript"/>
              </w:rPr>
              <w:t>o</w:t>
            </w:r>
          </w:p>
        </w:tc>
        <w:tc>
          <w:tcPr>
            <w:tcW w:w="329" w:type="pct"/>
          </w:tcPr>
          <w:p w14:paraId="7B2437D0" w14:textId="77777777" w:rsidR="001F04FD" w:rsidRDefault="001F04FD" w:rsidP="00AC4DEE">
            <w:pPr>
              <w:pStyle w:val="TableBody"/>
            </w:pPr>
            <w:r>
              <w:t>$</w:t>
            </w:r>
          </w:p>
        </w:tc>
        <w:tc>
          <w:tcPr>
            <w:tcW w:w="3346" w:type="pct"/>
          </w:tcPr>
          <w:p w14:paraId="377E2E55" w14:textId="77777777" w:rsidR="001F04FD" w:rsidRDefault="001F04FD" w:rsidP="00AC4DEE">
            <w:pPr>
              <w:pStyle w:val="TableBody"/>
            </w:pPr>
            <w:r>
              <w:rPr>
                <w:i/>
              </w:rPr>
              <w:t>No DAM Real-Time Option Amount Owner Total per CRR Owner</w:t>
            </w:r>
            <w:r>
              <w:t xml:space="preserve">—The total payment to CRR owner </w:t>
            </w:r>
            <w:r>
              <w:rPr>
                <w:i/>
              </w:rPr>
              <w:t>o</w:t>
            </w:r>
            <w:r>
              <w:t xml:space="preserve"> for all its PTP Options settled in Real-Time when ERCOT is unable to execute the DAM, for the hour.</w:t>
            </w:r>
          </w:p>
        </w:tc>
      </w:tr>
      <w:tr w:rsidR="001F04FD" w14:paraId="6BBB01CA" w14:textId="77777777" w:rsidTr="008B66B5">
        <w:trPr>
          <w:cantSplit/>
        </w:trPr>
        <w:tc>
          <w:tcPr>
            <w:tcW w:w="1325" w:type="pct"/>
          </w:tcPr>
          <w:p w14:paraId="4C8377B9" w14:textId="77777777" w:rsidR="001F04FD" w:rsidRDefault="001F04FD" w:rsidP="00AC4DEE">
            <w:pPr>
              <w:pStyle w:val="TableBody"/>
            </w:pPr>
            <w:r>
              <w:t xml:space="preserve">NDRTOPTRAMTOTOT </w:t>
            </w:r>
            <w:r w:rsidRPr="00E15B17">
              <w:rPr>
                <w:i/>
                <w:vertAlign w:val="subscript"/>
              </w:rPr>
              <w:t>o</w:t>
            </w:r>
          </w:p>
        </w:tc>
        <w:tc>
          <w:tcPr>
            <w:tcW w:w="329" w:type="pct"/>
          </w:tcPr>
          <w:p w14:paraId="6A94C20E" w14:textId="77777777" w:rsidR="001F04FD" w:rsidRDefault="001F04FD" w:rsidP="00AC4DEE">
            <w:pPr>
              <w:pStyle w:val="TableBody"/>
            </w:pPr>
            <w:r>
              <w:t>$</w:t>
            </w:r>
          </w:p>
        </w:tc>
        <w:tc>
          <w:tcPr>
            <w:tcW w:w="3346" w:type="pct"/>
          </w:tcPr>
          <w:p w14:paraId="67E588B9" w14:textId="2E04DEC3" w:rsidR="001F04FD" w:rsidRDefault="001F04FD" w:rsidP="00F12B75">
            <w:pPr>
              <w:pStyle w:val="TableBody"/>
            </w:pPr>
            <w:r>
              <w:rPr>
                <w:i/>
              </w:rPr>
              <w:t>No DAM Real-Time Option with Refund Amount Owner Total per CRR Owner</w:t>
            </w:r>
            <w:r>
              <w:t xml:space="preserve">—The total payment to </w:t>
            </w:r>
            <w:r w:rsidR="00F12B75">
              <w:t>Non-Opt-In Entity (</w:t>
            </w:r>
            <w:r>
              <w:t>NOIE</w:t>
            </w:r>
            <w:r w:rsidR="00F12B75">
              <w:t>)</w:t>
            </w:r>
            <w:r>
              <w:t xml:space="preserve"> CRR owner </w:t>
            </w:r>
            <w:r>
              <w:rPr>
                <w:i/>
              </w:rPr>
              <w:t>o</w:t>
            </w:r>
            <w:r>
              <w:t xml:space="preserve"> for all its PTP Options with Refund settled in Real-Time when ERCOT is unable to execute the DAM, for the hour.</w:t>
            </w:r>
          </w:p>
        </w:tc>
      </w:tr>
      <w:tr w:rsidR="001F04FD" w14:paraId="2B08DD18" w14:textId="77777777" w:rsidTr="008B66B5">
        <w:trPr>
          <w:cantSplit/>
        </w:trPr>
        <w:tc>
          <w:tcPr>
            <w:tcW w:w="1325" w:type="pct"/>
          </w:tcPr>
          <w:p w14:paraId="00408165" w14:textId="77777777" w:rsidR="001F04FD" w:rsidRDefault="001F04FD" w:rsidP="00AC4DEE">
            <w:pPr>
              <w:pStyle w:val="TableBody"/>
            </w:pPr>
            <w:r>
              <w:t xml:space="preserve">NDRTOBLRAMTOTOT </w:t>
            </w:r>
            <w:r w:rsidRPr="00E15B17">
              <w:rPr>
                <w:i/>
                <w:vertAlign w:val="subscript"/>
              </w:rPr>
              <w:t>o</w:t>
            </w:r>
          </w:p>
        </w:tc>
        <w:tc>
          <w:tcPr>
            <w:tcW w:w="329" w:type="pct"/>
          </w:tcPr>
          <w:p w14:paraId="45B0BF75" w14:textId="77777777" w:rsidR="001F04FD" w:rsidRDefault="001F04FD" w:rsidP="00AC4DEE">
            <w:pPr>
              <w:pStyle w:val="TableBody"/>
            </w:pPr>
            <w:r>
              <w:t>$</w:t>
            </w:r>
          </w:p>
        </w:tc>
        <w:tc>
          <w:tcPr>
            <w:tcW w:w="3346" w:type="pct"/>
          </w:tcPr>
          <w:p w14:paraId="28ADB516" w14:textId="77777777" w:rsidR="001F04FD" w:rsidRDefault="001F04FD" w:rsidP="00AC4DEE">
            <w:pPr>
              <w:pStyle w:val="TableBody"/>
            </w:pPr>
            <w:r>
              <w:rPr>
                <w:i/>
              </w:rPr>
              <w:t>No DAM Real-Time Obligation with Refund Amount Owner Total per CRR Owner</w:t>
            </w:r>
            <w:r>
              <w:t xml:space="preserve">—The net total payment or charge to CRR owner </w:t>
            </w:r>
            <w:r>
              <w:rPr>
                <w:i/>
              </w:rPr>
              <w:t>o</w:t>
            </w:r>
            <w:r>
              <w:t xml:space="preserve"> for all its PTP Obligations with Refund settled in Real-Time, when ERCOT is unable to execute the DAM, for the hour.</w:t>
            </w:r>
          </w:p>
        </w:tc>
      </w:tr>
      <w:tr w:rsidR="00657819" w14:paraId="767346B2" w14:textId="77777777" w:rsidTr="008B66B5">
        <w:trPr>
          <w:cantSplit/>
        </w:trPr>
        <w:tc>
          <w:tcPr>
            <w:tcW w:w="1325" w:type="pct"/>
          </w:tcPr>
          <w:p w14:paraId="20295A03" w14:textId="156B0B9E" w:rsidR="00657819" w:rsidRDefault="00657819" w:rsidP="00657819">
            <w:pPr>
              <w:pStyle w:val="TableBody"/>
            </w:pPr>
            <w:r w:rsidRPr="00892119">
              <w:t>RTE</w:t>
            </w:r>
            <w:r>
              <w:t>SO</w:t>
            </w:r>
            <w:r w:rsidRPr="00892119">
              <w:t>GAMT</w:t>
            </w:r>
            <w:r>
              <w:t>QSETOT</w:t>
            </w:r>
            <w:r w:rsidRPr="00892119">
              <w:t xml:space="preserve"> </w:t>
            </w:r>
            <w:r w:rsidRPr="00892119">
              <w:rPr>
                <w:i/>
                <w:vertAlign w:val="subscript"/>
              </w:rPr>
              <w:t>q</w:t>
            </w:r>
          </w:p>
        </w:tc>
        <w:tc>
          <w:tcPr>
            <w:tcW w:w="329" w:type="pct"/>
          </w:tcPr>
          <w:p w14:paraId="6D6EF20A" w14:textId="46A979A6" w:rsidR="00657819" w:rsidRDefault="00657819" w:rsidP="00657819">
            <w:pPr>
              <w:pStyle w:val="TableBody"/>
            </w:pPr>
            <w:r w:rsidRPr="00892119">
              <w:rPr>
                <w:bCs/>
              </w:rPr>
              <w:t>$</w:t>
            </w:r>
          </w:p>
        </w:tc>
        <w:tc>
          <w:tcPr>
            <w:tcW w:w="3346" w:type="pct"/>
          </w:tcPr>
          <w:p w14:paraId="54485860" w14:textId="6EACB98E" w:rsidR="00657819" w:rsidRDefault="00657819" w:rsidP="00657819">
            <w:pPr>
              <w:pStyle w:val="TableBody"/>
              <w:rPr>
                <w:i/>
              </w:rPr>
            </w:pPr>
            <w:r w:rsidRPr="00892119">
              <w:rPr>
                <w:i/>
              </w:rPr>
              <w:t xml:space="preserve">Real-Time Energy Payment or Charge per QSE for Energy from </w:t>
            </w:r>
            <w:r w:rsidRPr="00926726">
              <w:rPr>
                <w:i/>
              </w:rPr>
              <w:t>SODGs and SOTGs</w:t>
            </w:r>
            <w:r w:rsidRPr="00892119">
              <w:rPr>
                <w:i/>
              </w:rPr>
              <w:t xml:space="preserve"> </w:t>
            </w:r>
            <w:r w:rsidRPr="00892119">
              <w:t xml:space="preserve">—The payment or charge to QSE </w:t>
            </w:r>
            <w:r w:rsidRPr="00892119">
              <w:rPr>
                <w:i/>
              </w:rPr>
              <w:t>q</w:t>
            </w:r>
            <w:r w:rsidRPr="00892119">
              <w:t xml:space="preserve"> for Real-Time energy from </w:t>
            </w:r>
            <w:r w:rsidRPr="00926726">
              <w:t>SODGs and SOTGs</w:t>
            </w:r>
            <w:r w:rsidRPr="00892119">
              <w:t>, for the 15-minute Settlement Interval.</w:t>
            </w:r>
          </w:p>
        </w:tc>
      </w:tr>
      <w:tr w:rsidR="00657819" w14:paraId="38A69CC7" w14:textId="77777777" w:rsidTr="008B66B5">
        <w:trPr>
          <w:cantSplit/>
        </w:trPr>
        <w:tc>
          <w:tcPr>
            <w:tcW w:w="1325" w:type="pct"/>
          </w:tcPr>
          <w:p w14:paraId="5C4EB570" w14:textId="73577E22" w:rsidR="00657819" w:rsidRDefault="00657819" w:rsidP="00657819">
            <w:pPr>
              <w:pStyle w:val="TableBody"/>
            </w:pPr>
            <w:r w:rsidRPr="00892119">
              <w:t>RTE</w:t>
            </w:r>
            <w:r>
              <w:t>SO</w:t>
            </w:r>
            <w:r w:rsidRPr="00892119">
              <w:t>GAMTTOT</w:t>
            </w:r>
          </w:p>
        </w:tc>
        <w:tc>
          <w:tcPr>
            <w:tcW w:w="329" w:type="pct"/>
          </w:tcPr>
          <w:p w14:paraId="52938060" w14:textId="7E8EE0CC" w:rsidR="00657819" w:rsidRDefault="00657819" w:rsidP="00657819">
            <w:pPr>
              <w:pStyle w:val="TableBody"/>
            </w:pPr>
            <w:r w:rsidRPr="00892119">
              <w:rPr>
                <w:bCs/>
              </w:rPr>
              <w:t>$</w:t>
            </w:r>
          </w:p>
        </w:tc>
        <w:tc>
          <w:tcPr>
            <w:tcW w:w="3346" w:type="pct"/>
          </w:tcPr>
          <w:p w14:paraId="7FB0B1EC" w14:textId="4A52FB74" w:rsidR="00657819" w:rsidRDefault="00657819" w:rsidP="00657819">
            <w:pPr>
              <w:pStyle w:val="TableBody"/>
              <w:rPr>
                <w:i/>
              </w:rPr>
            </w:pPr>
            <w:r w:rsidRPr="00892119">
              <w:rPr>
                <w:i/>
              </w:rPr>
              <w:t xml:space="preserve">Real-Time Energy Amount Total for Energy from all </w:t>
            </w:r>
            <w:r w:rsidRPr="00926726">
              <w:rPr>
                <w:i/>
              </w:rPr>
              <w:t>SODGs and SOTGs</w:t>
            </w:r>
            <w:r w:rsidRPr="00892119">
              <w:rPr>
                <w:i/>
              </w:rPr>
              <w:t xml:space="preserve"> </w:t>
            </w:r>
            <w:r w:rsidRPr="00892119">
              <w:t xml:space="preserve">—The total net payments and charges to all QSEs for Real-Time </w:t>
            </w:r>
            <w:r>
              <w:t>e</w:t>
            </w:r>
            <w:r w:rsidRPr="00892119">
              <w:t xml:space="preserve">nergy from </w:t>
            </w:r>
            <w:r w:rsidRPr="00926726">
              <w:t>SODGs and SOTGs</w:t>
            </w:r>
            <w:r w:rsidRPr="00892119">
              <w:t>, for the 15-minute Settlement Interval.</w:t>
            </w:r>
          </w:p>
        </w:tc>
      </w:tr>
      <w:tr w:rsidR="00C54508" w14:paraId="1FA79B85" w14:textId="77777777" w:rsidTr="008B66B5">
        <w:trPr>
          <w:cantSplit/>
        </w:trPr>
        <w:tc>
          <w:tcPr>
            <w:tcW w:w="5000" w:type="pct"/>
            <w:gridSpan w:val="3"/>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124"/>
            </w:tblGrid>
            <w:tr w:rsidR="00C54508" w14:paraId="0EAFBB43" w14:textId="77777777" w:rsidTr="00F12B75">
              <w:trPr>
                <w:trHeight w:val="206"/>
              </w:trPr>
              <w:tc>
                <w:tcPr>
                  <w:tcW w:w="5000" w:type="pct"/>
                  <w:shd w:val="pct12" w:color="auto" w:fill="auto"/>
                </w:tcPr>
                <w:p w14:paraId="0E169BDE" w14:textId="432A60B2" w:rsidR="00C54508" w:rsidRDefault="00C54508" w:rsidP="00C54508">
                  <w:pPr>
                    <w:pStyle w:val="Instructions"/>
                    <w:spacing w:before="120"/>
                  </w:pPr>
                  <w:r>
                    <w:lastRenderedPageBreak/>
                    <w:t>[</w:t>
                  </w:r>
                  <w:r w:rsidR="00C04382">
                    <w:t>NPRR995</w:t>
                  </w:r>
                  <w:r>
                    <w:t xml:space="preserve">:  </w:t>
                  </w:r>
                  <w:r w:rsidR="00657819">
                    <w:t>Replace</w:t>
                  </w:r>
                  <w:r>
                    <w:t xml:space="preserve"> the variables “</w:t>
                  </w:r>
                  <w:r w:rsidRPr="00C54508">
                    <w:t>RTESO</w:t>
                  </w:r>
                  <w:r w:rsidR="00657819">
                    <w:t>G</w:t>
                  </w:r>
                  <w:r w:rsidRPr="00C54508">
                    <w:t xml:space="preserve">AMTQSETOT </w:t>
                  </w:r>
                  <w:r w:rsidRPr="00C54508">
                    <w:rPr>
                      <w:vertAlign w:val="subscript"/>
                    </w:rPr>
                    <w:t>q</w:t>
                  </w:r>
                  <w:r>
                    <w:t>” and “</w:t>
                  </w:r>
                  <w:r w:rsidRPr="00C54508">
                    <w:t>RTESO</w:t>
                  </w:r>
                  <w:r w:rsidR="00657819">
                    <w:t>G</w:t>
                  </w:r>
                  <w:r w:rsidRPr="00C54508">
                    <w:t>AMTTOT</w:t>
                  </w:r>
                  <w:r>
                    <w:t xml:space="preserve">” </w:t>
                  </w:r>
                  <w:r w:rsidR="00657819">
                    <w:t>above with the following</w:t>
                  </w:r>
                  <w:r>
                    <w:t xml:space="preserve">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34"/>
                    <w:gridCol w:w="704"/>
                    <w:gridCol w:w="5846"/>
                  </w:tblGrid>
                  <w:tr w:rsidR="00C54508" w:rsidRPr="0003648D" w14:paraId="73F61A5B" w14:textId="77777777" w:rsidTr="00F12B75">
                    <w:trPr>
                      <w:cantSplit/>
                    </w:trPr>
                    <w:tc>
                      <w:tcPr>
                        <w:tcW w:w="1314" w:type="pct"/>
                        <w:tcBorders>
                          <w:bottom w:val="single" w:sz="4" w:space="0" w:color="auto"/>
                        </w:tcBorders>
                      </w:tcPr>
                      <w:p w14:paraId="14664554" w14:textId="30699AB1" w:rsidR="00C54508" w:rsidRPr="0003648D" w:rsidRDefault="00C54508" w:rsidP="00C54508">
                        <w:pPr>
                          <w:pStyle w:val="tablebody0"/>
                        </w:pPr>
                        <w:r w:rsidRPr="00892119">
                          <w:t>RTE</w:t>
                        </w:r>
                        <w:r>
                          <w:t>SO</w:t>
                        </w:r>
                        <w:r w:rsidRPr="00892119">
                          <w:t>AMT</w:t>
                        </w:r>
                        <w:r>
                          <w:t>QSETOT</w:t>
                        </w:r>
                        <w:r w:rsidRPr="00892119">
                          <w:t xml:space="preserve"> </w:t>
                        </w:r>
                        <w:r w:rsidRPr="00892119">
                          <w:rPr>
                            <w:i/>
                            <w:vertAlign w:val="subscript"/>
                          </w:rPr>
                          <w:t>q</w:t>
                        </w:r>
                      </w:p>
                    </w:tc>
                    <w:tc>
                      <w:tcPr>
                        <w:tcW w:w="396" w:type="pct"/>
                        <w:tcBorders>
                          <w:bottom w:val="single" w:sz="4" w:space="0" w:color="auto"/>
                        </w:tcBorders>
                      </w:tcPr>
                      <w:p w14:paraId="327E6B67" w14:textId="77777777" w:rsidR="00C54508" w:rsidRPr="0003648D" w:rsidRDefault="00C54508" w:rsidP="00C54508">
                        <w:pPr>
                          <w:pStyle w:val="tablebody0"/>
                        </w:pPr>
                        <w:r w:rsidRPr="00892119">
                          <w:rPr>
                            <w:bCs/>
                          </w:rPr>
                          <w:t>$</w:t>
                        </w:r>
                      </w:p>
                    </w:tc>
                    <w:tc>
                      <w:tcPr>
                        <w:tcW w:w="3290" w:type="pct"/>
                        <w:tcBorders>
                          <w:bottom w:val="single" w:sz="4" w:space="0" w:color="auto"/>
                        </w:tcBorders>
                      </w:tcPr>
                      <w:p w14:paraId="36EB17A0" w14:textId="61767094" w:rsidR="00C54508" w:rsidRPr="0003648D" w:rsidRDefault="00C54508" w:rsidP="00C54508">
                        <w:pPr>
                          <w:pStyle w:val="tablebody0"/>
                          <w:rPr>
                            <w:i/>
                          </w:rPr>
                        </w:pPr>
                        <w:r w:rsidRPr="00892119">
                          <w:rPr>
                            <w:i/>
                          </w:rPr>
                          <w:t xml:space="preserve">Real-Time Energy Payment or Charge per QSE for </w:t>
                        </w:r>
                        <w:r w:rsidRPr="00926726">
                          <w:rPr>
                            <w:i/>
                          </w:rPr>
                          <w:t>SODGs</w:t>
                        </w:r>
                        <w:r w:rsidR="00C04382">
                          <w:rPr>
                            <w:i/>
                          </w:rPr>
                          <w:t>,</w:t>
                        </w:r>
                        <w:r w:rsidRPr="00926726">
                          <w:rPr>
                            <w:i/>
                          </w:rPr>
                          <w:t xml:space="preserve"> SOTGs</w:t>
                        </w:r>
                        <w:r w:rsidR="00C04382">
                          <w:rPr>
                            <w:i/>
                          </w:rPr>
                          <w:t>, SODESSs, or SOTESSs</w:t>
                        </w:r>
                        <w:r w:rsidR="00E87687">
                          <w:rPr>
                            <w:i/>
                          </w:rPr>
                          <w:t xml:space="preserve"> </w:t>
                        </w:r>
                        <w:r w:rsidRPr="00892119">
                          <w:t xml:space="preserve">—The payment or charge to QSE </w:t>
                        </w:r>
                        <w:r w:rsidRPr="00892119">
                          <w:rPr>
                            <w:i/>
                          </w:rPr>
                          <w:t>q</w:t>
                        </w:r>
                        <w:r w:rsidRPr="00892119">
                          <w:t xml:space="preserve"> for Real-Time energy from </w:t>
                        </w:r>
                        <w:r w:rsidRPr="00926726">
                          <w:t>SODGs</w:t>
                        </w:r>
                        <w:r w:rsidR="00C04382">
                          <w:t>,</w:t>
                        </w:r>
                        <w:r w:rsidRPr="00926726">
                          <w:t xml:space="preserve"> SOTGs</w:t>
                        </w:r>
                        <w:r w:rsidR="00C04382">
                          <w:t>, SODESSs, or SOTESSs</w:t>
                        </w:r>
                        <w:r w:rsidRPr="00892119">
                          <w:t>, for the 15-minute Settlement Interval.</w:t>
                        </w:r>
                      </w:p>
                    </w:tc>
                  </w:tr>
                  <w:tr w:rsidR="00C54508" w:rsidRPr="0003648D" w14:paraId="2B1516C5" w14:textId="77777777" w:rsidTr="00F12B75">
                    <w:trPr>
                      <w:cantSplit/>
                    </w:trPr>
                    <w:tc>
                      <w:tcPr>
                        <w:tcW w:w="1314" w:type="pct"/>
                        <w:tcBorders>
                          <w:bottom w:val="single" w:sz="4" w:space="0" w:color="auto"/>
                        </w:tcBorders>
                      </w:tcPr>
                      <w:p w14:paraId="435E0EF8" w14:textId="17C9C279" w:rsidR="00C54508" w:rsidRPr="0003648D" w:rsidRDefault="00C54508" w:rsidP="00C54508">
                        <w:pPr>
                          <w:pStyle w:val="tablebody0"/>
                        </w:pPr>
                        <w:r w:rsidRPr="00892119">
                          <w:t>RTE</w:t>
                        </w:r>
                        <w:r>
                          <w:t>SO</w:t>
                        </w:r>
                        <w:r w:rsidRPr="00892119">
                          <w:t>AMTTOT</w:t>
                        </w:r>
                      </w:p>
                    </w:tc>
                    <w:tc>
                      <w:tcPr>
                        <w:tcW w:w="396" w:type="pct"/>
                        <w:tcBorders>
                          <w:bottom w:val="single" w:sz="4" w:space="0" w:color="auto"/>
                        </w:tcBorders>
                      </w:tcPr>
                      <w:p w14:paraId="0A7107F4" w14:textId="77777777" w:rsidR="00C54508" w:rsidRPr="0003648D" w:rsidRDefault="00C54508" w:rsidP="00C54508">
                        <w:pPr>
                          <w:pStyle w:val="tablebody0"/>
                        </w:pPr>
                        <w:r w:rsidRPr="00892119">
                          <w:rPr>
                            <w:bCs/>
                          </w:rPr>
                          <w:t>$</w:t>
                        </w:r>
                      </w:p>
                    </w:tc>
                    <w:tc>
                      <w:tcPr>
                        <w:tcW w:w="3290" w:type="pct"/>
                        <w:tcBorders>
                          <w:bottom w:val="single" w:sz="4" w:space="0" w:color="auto"/>
                        </w:tcBorders>
                      </w:tcPr>
                      <w:p w14:paraId="2D4AD689" w14:textId="5B895707" w:rsidR="00C54508" w:rsidRPr="0003648D" w:rsidRDefault="00C54508" w:rsidP="00C54508">
                        <w:pPr>
                          <w:pStyle w:val="tablebody0"/>
                          <w:rPr>
                            <w:i/>
                          </w:rPr>
                        </w:pPr>
                        <w:r w:rsidRPr="00892119">
                          <w:rPr>
                            <w:i/>
                          </w:rPr>
                          <w:t xml:space="preserve">Real-Time Energy Amount Total from all </w:t>
                        </w:r>
                        <w:r w:rsidRPr="00926726">
                          <w:rPr>
                            <w:i/>
                          </w:rPr>
                          <w:t>SODGs</w:t>
                        </w:r>
                        <w:r w:rsidR="00C04382">
                          <w:rPr>
                            <w:i/>
                          </w:rPr>
                          <w:t>,</w:t>
                        </w:r>
                        <w:r w:rsidRPr="00926726">
                          <w:rPr>
                            <w:i/>
                          </w:rPr>
                          <w:t xml:space="preserve"> SOTGs</w:t>
                        </w:r>
                        <w:r w:rsidR="00C04382">
                          <w:rPr>
                            <w:i/>
                          </w:rPr>
                          <w:t>, SODESSs, or SOTESSs</w:t>
                        </w:r>
                        <w:r w:rsidR="00E87687">
                          <w:rPr>
                            <w:i/>
                          </w:rPr>
                          <w:t xml:space="preserve"> </w:t>
                        </w:r>
                        <w:r w:rsidRPr="00892119">
                          <w:t xml:space="preserve">—The total net payments and charges to all QSEs for Real-Time </w:t>
                        </w:r>
                        <w:r>
                          <w:t>e</w:t>
                        </w:r>
                        <w:r w:rsidRPr="00892119">
                          <w:t xml:space="preserve">nergy from </w:t>
                        </w:r>
                        <w:r w:rsidRPr="00926726">
                          <w:t>SODGs</w:t>
                        </w:r>
                        <w:r w:rsidR="00C04382">
                          <w:t>,</w:t>
                        </w:r>
                        <w:r w:rsidRPr="00926726">
                          <w:t xml:space="preserve"> SOTGs</w:t>
                        </w:r>
                        <w:r w:rsidR="00C04382">
                          <w:t>, SODESSs, or SOTESSs</w:t>
                        </w:r>
                        <w:r w:rsidRPr="00892119">
                          <w:t>, for the 15-minute Settlement Interval.</w:t>
                        </w:r>
                      </w:p>
                    </w:tc>
                  </w:tr>
                </w:tbl>
                <w:p w14:paraId="6317449A" w14:textId="77777777" w:rsidR="00C54508" w:rsidRPr="00AF45BD" w:rsidRDefault="00C54508" w:rsidP="00C54508">
                  <w:pPr>
                    <w:pStyle w:val="tablebody0"/>
                    <w:rPr>
                      <w:i/>
                    </w:rPr>
                  </w:pPr>
                </w:p>
              </w:tc>
            </w:tr>
          </w:tbl>
          <w:p w14:paraId="06AFC1B9" w14:textId="77777777" w:rsidR="00C54508" w:rsidRDefault="00C54508" w:rsidP="00AC4DEE">
            <w:pPr>
              <w:pStyle w:val="TableBody"/>
            </w:pPr>
          </w:p>
        </w:tc>
      </w:tr>
      <w:tr w:rsidR="001F04FD" w14:paraId="7F6C3942" w14:textId="77777777" w:rsidTr="008B66B5">
        <w:trPr>
          <w:cantSplit/>
        </w:trPr>
        <w:tc>
          <w:tcPr>
            <w:tcW w:w="1325" w:type="pct"/>
          </w:tcPr>
          <w:p w14:paraId="7C05F177" w14:textId="77777777" w:rsidR="001F04FD" w:rsidRDefault="001F04FD" w:rsidP="00AC4DEE">
            <w:pPr>
              <w:pStyle w:val="TableBody"/>
            </w:pPr>
            <w:r>
              <w:t xml:space="preserve">LRS </w:t>
            </w:r>
            <w:r w:rsidRPr="00E15B17">
              <w:rPr>
                <w:i/>
                <w:vertAlign w:val="subscript"/>
              </w:rPr>
              <w:t>q</w:t>
            </w:r>
          </w:p>
        </w:tc>
        <w:tc>
          <w:tcPr>
            <w:tcW w:w="329" w:type="pct"/>
          </w:tcPr>
          <w:p w14:paraId="0B0D4C42" w14:textId="77777777" w:rsidR="001F04FD" w:rsidRDefault="001F04FD" w:rsidP="00AC4DEE">
            <w:pPr>
              <w:pStyle w:val="TableBody"/>
            </w:pPr>
            <w:r>
              <w:t>none</w:t>
            </w:r>
          </w:p>
        </w:tc>
        <w:tc>
          <w:tcPr>
            <w:tcW w:w="3346" w:type="pct"/>
          </w:tcPr>
          <w:p w14:paraId="1833345B" w14:textId="7D47CCEC" w:rsidR="001F04FD" w:rsidRDefault="001F04FD" w:rsidP="00F12B75">
            <w:pPr>
              <w:pStyle w:val="TableBody"/>
            </w:pPr>
            <w:r>
              <w:t xml:space="preserve">The LRS calculated for QSE </w:t>
            </w:r>
            <w:r>
              <w:rPr>
                <w:i/>
              </w:rPr>
              <w:t>q</w:t>
            </w:r>
            <w:r>
              <w:t xml:space="preserve"> for the 15-minute Settlement Interval.  See Section 6.6.2.2.</w:t>
            </w:r>
          </w:p>
        </w:tc>
      </w:tr>
      <w:tr w:rsidR="001F04FD" w14:paraId="1E783409" w14:textId="77777777" w:rsidTr="008B66B5">
        <w:trPr>
          <w:cantSplit/>
        </w:trPr>
        <w:tc>
          <w:tcPr>
            <w:tcW w:w="1325" w:type="pct"/>
          </w:tcPr>
          <w:p w14:paraId="75DD8DA3" w14:textId="77777777" w:rsidR="001F04FD" w:rsidRPr="00E15B17" w:rsidRDefault="001F04FD" w:rsidP="00AC4DEE">
            <w:pPr>
              <w:pStyle w:val="TableBody"/>
              <w:rPr>
                <w:i/>
              </w:rPr>
            </w:pPr>
            <w:r w:rsidRPr="00E15B17">
              <w:rPr>
                <w:i/>
              </w:rPr>
              <w:t>q</w:t>
            </w:r>
          </w:p>
        </w:tc>
        <w:tc>
          <w:tcPr>
            <w:tcW w:w="329" w:type="pct"/>
          </w:tcPr>
          <w:p w14:paraId="4F8F9F60" w14:textId="77777777" w:rsidR="001F04FD" w:rsidRDefault="001F04FD" w:rsidP="00AC4DEE">
            <w:pPr>
              <w:pStyle w:val="TableBody"/>
              <w:rPr>
                <w:bCs/>
              </w:rPr>
            </w:pPr>
            <w:r>
              <w:rPr>
                <w:bCs/>
              </w:rPr>
              <w:t>none</w:t>
            </w:r>
          </w:p>
        </w:tc>
        <w:tc>
          <w:tcPr>
            <w:tcW w:w="3346" w:type="pct"/>
          </w:tcPr>
          <w:p w14:paraId="53E1F4C6" w14:textId="77777777" w:rsidR="001F04FD" w:rsidRDefault="001F04FD" w:rsidP="00AC4DEE">
            <w:pPr>
              <w:pStyle w:val="TableBody"/>
              <w:rPr>
                <w:bCs/>
              </w:rPr>
            </w:pPr>
            <w:r>
              <w:rPr>
                <w:bCs/>
              </w:rPr>
              <w:t>A QSE.</w:t>
            </w:r>
          </w:p>
        </w:tc>
      </w:tr>
      <w:tr w:rsidR="001F04FD" w14:paraId="786FED27" w14:textId="77777777" w:rsidTr="008B66B5">
        <w:trPr>
          <w:cantSplit/>
        </w:trPr>
        <w:tc>
          <w:tcPr>
            <w:tcW w:w="1325" w:type="pct"/>
            <w:tcBorders>
              <w:top w:val="single" w:sz="4" w:space="0" w:color="auto"/>
              <w:left w:val="single" w:sz="4" w:space="0" w:color="auto"/>
              <w:bottom w:val="single" w:sz="4" w:space="0" w:color="auto"/>
              <w:right w:val="single" w:sz="4" w:space="0" w:color="auto"/>
            </w:tcBorders>
          </w:tcPr>
          <w:p w14:paraId="04710A86" w14:textId="77777777" w:rsidR="001F04FD" w:rsidRPr="00E15B17" w:rsidRDefault="001F04FD" w:rsidP="00AC4DEE">
            <w:pPr>
              <w:pStyle w:val="TableBody"/>
              <w:rPr>
                <w:i/>
              </w:rPr>
            </w:pPr>
            <w:r w:rsidRPr="00E15B17">
              <w:rPr>
                <w:i/>
              </w:rPr>
              <w:t>o</w:t>
            </w:r>
          </w:p>
        </w:tc>
        <w:tc>
          <w:tcPr>
            <w:tcW w:w="329" w:type="pct"/>
            <w:tcBorders>
              <w:top w:val="single" w:sz="4" w:space="0" w:color="auto"/>
              <w:left w:val="single" w:sz="4" w:space="0" w:color="auto"/>
              <w:bottom w:val="single" w:sz="4" w:space="0" w:color="auto"/>
              <w:right w:val="single" w:sz="4" w:space="0" w:color="auto"/>
            </w:tcBorders>
          </w:tcPr>
          <w:p w14:paraId="7FAD7491" w14:textId="77777777" w:rsidR="001F04FD" w:rsidRDefault="001F04FD" w:rsidP="00AC4DEE">
            <w:pPr>
              <w:pStyle w:val="TableBody"/>
              <w:rPr>
                <w:bCs/>
              </w:rPr>
            </w:pPr>
            <w:r>
              <w:rPr>
                <w:bCs/>
              </w:rPr>
              <w:t>none</w:t>
            </w:r>
          </w:p>
        </w:tc>
        <w:tc>
          <w:tcPr>
            <w:tcW w:w="3346" w:type="pct"/>
            <w:tcBorders>
              <w:top w:val="single" w:sz="4" w:space="0" w:color="auto"/>
              <w:left w:val="single" w:sz="4" w:space="0" w:color="auto"/>
              <w:bottom w:val="single" w:sz="4" w:space="0" w:color="auto"/>
              <w:right w:val="single" w:sz="4" w:space="0" w:color="auto"/>
            </w:tcBorders>
          </w:tcPr>
          <w:p w14:paraId="3C5DE03A" w14:textId="77777777" w:rsidR="001F04FD" w:rsidRDefault="001F04FD" w:rsidP="00AC4DEE">
            <w:pPr>
              <w:pStyle w:val="TableBody"/>
              <w:rPr>
                <w:bCs/>
              </w:rPr>
            </w:pPr>
            <w:r>
              <w:rPr>
                <w:bCs/>
              </w:rPr>
              <w:t>A CRR Owner.</w:t>
            </w:r>
          </w:p>
        </w:tc>
      </w:tr>
    </w:tbl>
    <w:p w14:paraId="78E9FA6F" w14:textId="77777777" w:rsidR="001F04FD" w:rsidRDefault="001F04FD" w:rsidP="001F04FD">
      <w:pPr>
        <w:pStyle w:val="H3"/>
        <w:spacing w:before="480"/>
      </w:pPr>
      <w:bookmarkStart w:id="2604" w:name="_Toc164659241"/>
      <w:bookmarkStart w:id="2605" w:name="_Toc397505042"/>
      <w:bookmarkStart w:id="2606" w:name="_Toc402357174"/>
      <w:bookmarkStart w:id="2607" w:name="_Toc422486554"/>
      <w:bookmarkStart w:id="2608" w:name="_Toc433093407"/>
      <w:bookmarkStart w:id="2609" w:name="_Toc433093565"/>
      <w:bookmarkStart w:id="2610" w:name="_Toc440874795"/>
      <w:bookmarkStart w:id="2611" w:name="_Toc448142352"/>
      <w:bookmarkStart w:id="2612" w:name="_Toc448142509"/>
      <w:bookmarkStart w:id="2613" w:name="_Toc458770350"/>
      <w:bookmarkStart w:id="2614" w:name="_Toc459294318"/>
      <w:bookmarkStart w:id="2615" w:name="_Toc463262812"/>
      <w:bookmarkStart w:id="2616" w:name="_Toc468286885"/>
      <w:bookmarkStart w:id="2617" w:name="_Toc481502925"/>
      <w:bookmarkStart w:id="2618" w:name="_Toc496080093"/>
      <w:bookmarkStart w:id="2619" w:name="_Toc204411728"/>
      <w:r>
        <w:t>6.6.11</w:t>
      </w:r>
      <w:r>
        <w:tab/>
        <w:t>Emergency Response Service Capacity</w:t>
      </w:r>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p>
    <w:p w14:paraId="43396B89" w14:textId="77777777" w:rsidR="001F04FD" w:rsidRDefault="001F04FD" w:rsidP="001F04FD">
      <w:pPr>
        <w:pStyle w:val="H4"/>
        <w:ind w:left="1267" w:hanging="1267"/>
      </w:pPr>
      <w:bookmarkStart w:id="2620" w:name="_Toc397505043"/>
      <w:bookmarkStart w:id="2621" w:name="_Toc402357175"/>
      <w:bookmarkStart w:id="2622" w:name="_Toc422486555"/>
      <w:bookmarkStart w:id="2623" w:name="_Toc433093408"/>
      <w:bookmarkStart w:id="2624" w:name="_Toc433093566"/>
      <w:bookmarkStart w:id="2625" w:name="_Toc440874796"/>
      <w:bookmarkStart w:id="2626" w:name="_Toc448142353"/>
      <w:bookmarkStart w:id="2627" w:name="_Toc448142510"/>
      <w:bookmarkStart w:id="2628" w:name="_Toc458770351"/>
      <w:bookmarkStart w:id="2629" w:name="_Toc459294319"/>
      <w:bookmarkStart w:id="2630" w:name="_Toc463262813"/>
      <w:bookmarkStart w:id="2631" w:name="_Toc468286886"/>
      <w:bookmarkStart w:id="2632" w:name="_Toc481502926"/>
      <w:bookmarkStart w:id="2633" w:name="_Toc496080094"/>
      <w:bookmarkStart w:id="2634" w:name="_Toc204411729"/>
      <w:r>
        <w:t>6.6.11.1</w:t>
      </w:r>
      <w:r>
        <w:tab/>
        <w:t>Emergency Response Service Capacity Payments</w:t>
      </w:r>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p>
    <w:p w14:paraId="0CDF4050" w14:textId="77777777" w:rsidR="001F04FD" w:rsidRDefault="001F04FD" w:rsidP="001F04FD">
      <w:pPr>
        <w:pStyle w:val="BodyText"/>
        <w:ind w:left="720" w:hanging="720"/>
      </w:pPr>
      <w:r>
        <w:t>(1)</w:t>
      </w:r>
      <w:r>
        <w:tab/>
        <w:t>ERCOT shall pay, for each Emergency Response Service (ERS) Contract Period, the QSEs representing ERS Resources as follows:</w:t>
      </w:r>
    </w:p>
    <w:p w14:paraId="6BB2F2DC" w14:textId="77777777" w:rsidR="001F04FD" w:rsidRPr="00171229" w:rsidRDefault="001F04FD" w:rsidP="001F04FD">
      <w:pPr>
        <w:pStyle w:val="FormulaBold"/>
        <w:rPr>
          <w:i/>
          <w:vertAlign w:val="subscript"/>
        </w:rPr>
      </w:pPr>
      <w:r>
        <w:t>ERSPAMT </w:t>
      </w:r>
      <w:r w:rsidRPr="00171229">
        <w:rPr>
          <w:i/>
          <w:vertAlign w:val="subscript"/>
        </w:rPr>
        <w:t>qc(tp)</w:t>
      </w:r>
      <w:r>
        <w:rPr>
          <w:i/>
          <w:vertAlign w:val="subscript"/>
        </w:rPr>
        <w:t>d</w:t>
      </w:r>
      <w:r w:rsidRPr="00171229">
        <w:rPr>
          <w:rFonts w:ascii="Times New Roman Bold" w:hAnsi="Times New Roman Bold"/>
        </w:rPr>
        <w:t xml:space="preserve"> = COMPAMT</w:t>
      </w:r>
      <w:r>
        <w:t> </w:t>
      </w:r>
      <w:r w:rsidRPr="00171229">
        <w:rPr>
          <w:i/>
          <w:vertAlign w:val="subscript"/>
        </w:rPr>
        <w:t>qc(tp)</w:t>
      </w:r>
      <w:r>
        <w:rPr>
          <w:i/>
          <w:vertAlign w:val="subscript"/>
        </w:rPr>
        <w:t>d</w:t>
      </w:r>
      <w:r w:rsidRPr="00171229">
        <w:rPr>
          <w:i/>
          <w:vertAlign w:val="subscript"/>
        </w:rPr>
        <w:t xml:space="preserve"> </w:t>
      </w:r>
      <w:r w:rsidRPr="00171229">
        <w:rPr>
          <w:i/>
        </w:rPr>
        <w:t>+</w:t>
      </w:r>
      <w:r w:rsidRPr="00171229">
        <w:rPr>
          <w:lang w:val="pt-BR"/>
        </w:rPr>
        <w:t xml:space="preserve"> SPAMT </w:t>
      </w:r>
      <w:r w:rsidRPr="00171229">
        <w:rPr>
          <w:i/>
          <w:vertAlign w:val="subscript"/>
        </w:rPr>
        <w:t>qc(tp)</w:t>
      </w:r>
      <w:r>
        <w:rPr>
          <w:i/>
          <w:vertAlign w:val="subscript"/>
        </w:rPr>
        <w:t>d</w:t>
      </w:r>
    </w:p>
    <w:p w14:paraId="4B1BCBCC" w14:textId="77777777" w:rsidR="001F04FD" w:rsidRPr="00171229" w:rsidRDefault="001F04FD" w:rsidP="001F04FD">
      <w:pPr>
        <w:pStyle w:val="FormulaBold"/>
        <w:rPr>
          <w:i/>
          <w:vertAlign w:val="subscript"/>
        </w:rPr>
      </w:pPr>
      <w:r>
        <w:t>ERSPAMTQSETOT </w:t>
      </w:r>
      <w:r w:rsidRPr="00171229">
        <w:rPr>
          <w:i/>
          <w:vertAlign w:val="subscript"/>
        </w:rPr>
        <w:t>q</w:t>
      </w:r>
      <w:r>
        <w:rPr>
          <w:i/>
          <w:vertAlign w:val="subscript"/>
        </w:rPr>
        <w:t>cd</w:t>
      </w:r>
      <w:r w:rsidRPr="00171229">
        <w:rPr>
          <w:rFonts w:ascii="Times New Roman Bold" w:hAnsi="Times New Roman Bold"/>
        </w:rPr>
        <w:t xml:space="preserve"> = </w:t>
      </w:r>
      <w:r w:rsidRPr="00171229">
        <w:rPr>
          <w:position w:val="-30"/>
        </w:rPr>
        <w:object w:dxaOrig="465" w:dyaOrig="720" w14:anchorId="0504AD39">
          <v:shape id="_x0000_i1285" type="#_x0000_t75" style="width:18pt;height:36.6pt" o:ole="">
            <v:imagedata r:id="rId350" o:title=""/>
          </v:shape>
          <o:OLEObject Type="Embed" ProgID="Equation.3" ShapeID="_x0000_i1285" DrawAspect="Content" ObjectID="_1815025474" r:id="rId351"/>
        </w:object>
      </w:r>
      <w:r>
        <w:t>ERSPAMT </w:t>
      </w:r>
      <w:r w:rsidRPr="00171229">
        <w:rPr>
          <w:i/>
          <w:vertAlign w:val="subscript"/>
        </w:rPr>
        <w:t>qc(tp)</w:t>
      </w:r>
      <w:r>
        <w:rPr>
          <w:i/>
          <w:vertAlign w:val="subscript"/>
        </w:rPr>
        <w:t>d</w:t>
      </w:r>
    </w:p>
    <w:p w14:paraId="04661DEA" w14:textId="77777777" w:rsidR="001F04FD" w:rsidRPr="00171229" w:rsidRDefault="001F04FD" w:rsidP="001F04FD">
      <w:pPr>
        <w:pStyle w:val="FormulaBold"/>
        <w:rPr>
          <w:i/>
          <w:vertAlign w:val="subscript"/>
        </w:rPr>
      </w:pPr>
      <w:r>
        <w:t>ERSPAMTTOT </w:t>
      </w:r>
      <w:r w:rsidRPr="00171229">
        <w:rPr>
          <w:i/>
          <w:vertAlign w:val="subscript"/>
        </w:rPr>
        <w:t>c(tp)</w:t>
      </w:r>
      <w:r>
        <w:rPr>
          <w:i/>
          <w:vertAlign w:val="subscript"/>
        </w:rPr>
        <w:t>d</w:t>
      </w:r>
      <w:r w:rsidRPr="00171229">
        <w:rPr>
          <w:rFonts w:ascii="Times New Roman Bold" w:hAnsi="Times New Roman Bold"/>
        </w:rPr>
        <w:t xml:space="preserve"> = </w:t>
      </w:r>
      <w:r w:rsidRPr="00171229">
        <w:rPr>
          <w:position w:val="-30"/>
        </w:rPr>
        <w:object w:dxaOrig="465" w:dyaOrig="720" w14:anchorId="1F761B15">
          <v:shape id="_x0000_i1286" type="#_x0000_t75" style="width:18pt;height:36.6pt" o:ole="">
            <v:imagedata r:id="rId352" o:title=""/>
          </v:shape>
          <o:OLEObject Type="Embed" ProgID="Equation.3" ShapeID="_x0000_i1286" DrawAspect="Content" ObjectID="_1815025475" r:id="rId353"/>
        </w:object>
      </w:r>
      <w:r>
        <w:t>ERSPAMT </w:t>
      </w:r>
      <w:r w:rsidRPr="00171229">
        <w:rPr>
          <w:i/>
          <w:vertAlign w:val="subscript"/>
        </w:rPr>
        <w:t>qc(tp)</w:t>
      </w:r>
      <w:r>
        <w:rPr>
          <w:i/>
          <w:vertAlign w:val="subscript"/>
        </w:rPr>
        <w:t>d</w:t>
      </w:r>
    </w:p>
    <w:p w14:paraId="5C965473" w14:textId="77777777" w:rsidR="001F04FD" w:rsidRDefault="001F04FD" w:rsidP="001F04FD">
      <w:pPr>
        <w:pStyle w:val="BodyText"/>
      </w:pPr>
      <w:r>
        <w:t>Where:</w:t>
      </w:r>
    </w:p>
    <w:p w14:paraId="0E32B3B2" w14:textId="77777777" w:rsidR="001F04FD" w:rsidRPr="001A3201" w:rsidRDefault="001F04FD" w:rsidP="001F04FD">
      <w:pPr>
        <w:pStyle w:val="FormulaBold"/>
        <w:rPr>
          <w:b w:val="0"/>
        </w:rPr>
      </w:pPr>
      <w:r w:rsidRPr="002600B6">
        <w:rPr>
          <w:b w:val="0"/>
        </w:rPr>
        <w:t xml:space="preserve">COMPAMT </w:t>
      </w:r>
      <w:r w:rsidRPr="001A3201">
        <w:rPr>
          <w:b w:val="0"/>
          <w:i/>
          <w:vertAlign w:val="subscript"/>
        </w:rPr>
        <w:t>qc(tp)d</w:t>
      </w:r>
      <w:r w:rsidRPr="001A3201">
        <w:rPr>
          <w:b w:val="0"/>
        </w:rPr>
        <w:t xml:space="preserve"> = -1 * ERSPRICE </w:t>
      </w:r>
      <w:r w:rsidRPr="001A3201">
        <w:rPr>
          <w:b w:val="0"/>
          <w:i/>
          <w:vertAlign w:val="subscript"/>
        </w:rPr>
        <w:t>qc(tp)d</w:t>
      </w:r>
      <w:r w:rsidRPr="001A3201">
        <w:rPr>
          <w:b w:val="0"/>
        </w:rPr>
        <w:t xml:space="preserve"> * COMPDELQSEMW </w:t>
      </w:r>
      <w:r w:rsidRPr="001A3201">
        <w:rPr>
          <w:b w:val="0"/>
          <w:i/>
          <w:vertAlign w:val="subscript"/>
        </w:rPr>
        <w:t>qcd(tp)d</w:t>
      </w:r>
      <w:r w:rsidRPr="001A3201">
        <w:rPr>
          <w:b w:val="0"/>
        </w:rPr>
        <w:t>* TPH </w:t>
      </w:r>
      <w:r w:rsidRPr="001A3201">
        <w:rPr>
          <w:b w:val="0"/>
          <w:i/>
          <w:vertAlign w:val="subscript"/>
        </w:rPr>
        <w:t>c(tp)d</w:t>
      </w:r>
    </w:p>
    <w:p w14:paraId="4A246711" w14:textId="77777777" w:rsidR="001F04FD" w:rsidRPr="001A3201" w:rsidRDefault="001F04FD" w:rsidP="001F04FD">
      <w:pPr>
        <w:pStyle w:val="FormulaBold"/>
        <w:rPr>
          <w:b w:val="0"/>
        </w:rPr>
      </w:pPr>
      <w:r w:rsidRPr="001A3201">
        <w:rPr>
          <w:b w:val="0"/>
          <w:bCs w:val="0"/>
          <w:lang w:val="pt-BR"/>
        </w:rPr>
        <w:t xml:space="preserve">SPAMT </w:t>
      </w:r>
      <w:r w:rsidRPr="001A3201">
        <w:rPr>
          <w:b w:val="0"/>
          <w:bCs w:val="0"/>
          <w:i/>
          <w:vertAlign w:val="subscript"/>
        </w:rPr>
        <w:t>qc(tp)d</w:t>
      </w:r>
      <w:r w:rsidRPr="001A3201">
        <w:rPr>
          <w:b w:val="0"/>
          <w:bCs w:val="0"/>
        </w:rPr>
        <w:t xml:space="preserve"> = -1 * (</w:t>
      </w:r>
      <w:r w:rsidRPr="001A3201">
        <w:rPr>
          <w:b w:val="0"/>
        </w:rPr>
        <w:t>ERSPRICE </w:t>
      </w:r>
      <w:r w:rsidRPr="001A3201">
        <w:rPr>
          <w:b w:val="0"/>
          <w:i/>
          <w:vertAlign w:val="subscript"/>
        </w:rPr>
        <w:t xml:space="preserve"> qc(tp)d </w:t>
      </w:r>
      <w:r w:rsidRPr="001A3201">
        <w:rPr>
          <w:b w:val="0"/>
          <w:i/>
        </w:rPr>
        <w:t xml:space="preserve">* </w:t>
      </w:r>
      <w:r w:rsidRPr="001A3201">
        <w:rPr>
          <w:b w:val="0"/>
          <w:i/>
          <w:vertAlign w:val="subscript"/>
        </w:rPr>
        <w:t xml:space="preserve"> </w:t>
      </w:r>
      <w:r w:rsidRPr="001A3201">
        <w:rPr>
          <w:b w:val="0"/>
          <w:bCs w:val="0"/>
        </w:rPr>
        <w:t xml:space="preserve">(Min(SPCUL </w:t>
      </w:r>
      <w:r w:rsidRPr="001A3201">
        <w:rPr>
          <w:b w:val="0"/>
          <w:bCs w:val="0"/>
          <w:i/>
          <w:vertAlign w:val="subscript"/>
        </w:rPr>
        <w:t>qc(tp)d,</w:t>
      </w:r>
      <w:r w:rsidRPr="001A3201">
        <w:rPr>
          <w:b w:val="0"/>
          <w:bCs w:val="0"/>
        </w:rPr>
        <w:t xml:space="preserve"> SPDELQSEMW </w:t>
      </w:r>
      <w:r w:rsidRPr="001A3201">
        <w:rPr>
          <w:b w:val="0"/>
          <w:bCs w:val="0"/>
          <w:i/>
          <w:vertAlign w:val="subscript"/>
        </w:rPr>
        <w:t>qc(tp)d</w:t>
      </w:r>
      <w:r w:rsidRPr="001A3201">
        <w:rPr>
          <w:b w:val="0"/>
          <w:bCs w:val="0"/>
        </w:rPr>
        <w:t>)</w:t>
      </w:r>
      <w:r w:rsidRPr="001A3201">
        <w:rPr>
          <w:b w:val="0"/>
          <w:bCs w:val="0"/>
          <w:i/>
        </w:rPr>
        <w:t xml:space="preserve">* </w:t>
      </w:r>
      <w:r w:rsidRPr="001A3201">
        <w:rPr>
          <w:b w:val="0"/>
          <w:bCs w:val="0"/>
        </w:rPr>
        <w:t>TPH </w:t>
      </w:r>
      <w:r w:rsidRPr="001A3201">
        <w:rPr>
          <w:b w:val="0"/>
          <w:bCs w:val="0"/>
          <w:i/>
          <w:vertAlign w:val="subscript"/>
        </w:rPr>
        <w:t>c(tp)d</w:t>
      </w:r>
      <w:r w:rsidRPr="001A3201">
        <w:rPr>
          <w:b w:val="0"/>
          <w:bCs w:val="0"/>
        </w:rPr>
        <w:t>)</w:t>
      </w:r>
    </w:p>
    <w:p w14:paraId="7192C1E0" w14:textId="68BCED3E" w:rsidR="001F04FD" w:rsidRPr="001A3201" w:rsidRDefault="001F04FD" w:rsidP="001F04FD">
      <w:pPr>
        <w:pStyle w:val="FormulaBold"/>
        <w:rPr>
          <w:b w:val="0"/>
        </w:rPr>
      </w:pPr>
      <w:r w:rsidRPr="001A3201">
        <w:rPr>
          <w:b w:val="0"/>
          <w:bCs w:val="0"/>
        </w:rPr>
        <w:t>COMPDELQSEMW </w:t>
      </w:r>
      <w:r w:rsidRPr="001A3201">
        <w:rPr>
          <w:b w:val="0"/>
          <w:bCs w:val="0"/>
          <w:i/>
          <w:vertAlign w:val="subscript"/>
        </w:rPr>
        <w:t xml:space="preserve">qc(tp)d </w:t>
      </w:r>
      <w:r w:rsidRPr="001A3201">
        <w:rPr>
          <w:b w:val="0"/>
          <w:bCs w:val="0"/>
        </w:rPr>
        <w:t xml:space="preserve"> = </w:t>
      </w:r>
      <w:r w:rsidR="00A94020">
        <w:rPr>
          <w:b w:val="0"/>
          <w:noProof/>
          <w:position w:val="-28"/>
        </w:rPr>
        <w:drawing>
          <wp:inline distT="0" distB="0" distL="0" distR="0" wp14:anchorId="10F9B106" wp14:editId="69CC96AA">
            <wp:extent cx="295275" cy="428625"/>
            <wp:effectExtent l="0" t="0" r="0" b="9525"/>
            <wp:docPr id="1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1A3201">
        <w:rPr>
          <w:b w:val="0"/>
          <w:bCs w:val="0"/>
        </w:rPr>
        <w:t>COMPDELMW </w:t>
      </w:r>
      <w:r w:rsidRPr="001A3201">
        <w:rPr>
          <w:b w:val="0"/>
          <w:bCs w:val="0"/>
          <w:i/>
          <w:vertAlign w:val="subscript"/>
        </w:rPr>
        <w:t>qce(tp)d</w:t>
      </w:r>
    </w:p>
    <w:p w14:paraId="2624B240" w14:textId="77777777" w:rsidR="001F04FD" w:rsidRPr="001A3201" w:rsidRDefault="001F04FD" w:rsidP="001F04FD">
      <w:pPr>
        <w:pStyle w:val="FormulaBold"/>
        <w:rPr>
          <w:b w:val="0"/>
          <w:i/>
          <w:vertAlign w:val="subscript"/>
        </w:rPr>
      </w:pPr>
      <w:r w:rsidRPr="001A3201">
        <w:rPr>
          <w:b w:val="0"/>
        </w:rPr>
        <w:t>COMPDELMWTOT </w:t>
      </w:r>
      <w:r w:rsidRPr="001A3201">
        <w:rPr>
          <w:b w:val="0"/>
          <w:i/>
          <w:vertAlign w:val="subscript"/>
        </w:rPr>
        <w:t>c(tp)d</w:t>
      </w:r>
      <w:r w:rsidRPr="001A3201">
        <w:rPr>
          <w:b w:val="0"/>
        </w:rPr>
        <w:t xml:space="preserve"> = </w:t>
      </w:r>
      <w:r w:rsidRPr="00A33C4E">
        <w:rPr>
          <w:b w:val="0"/>
          <w:position w:val="-30"/>
        </w:rPr>
        <w:object w:dxaOrig="465" w:dyaOrig="705" w14:anchorId="5608F617">
          <v:shape id="_x0000_i1287" type="#_x0000_t75" style="width:18pt;height:35.4pt" o:ole="">
            <v:imagedata r:id="rId355" o:title=""/>
          </v:shape>
          <o:OLEObject Type="Embed" ProgID="Equation.3" ShapeID="_x0000_i1287" DrawAspect="Content" ObjectID="_1815025476" r:id="rId356"/>
        </w:object>
      </w:r>
      <w:r w:rsidRPr="001A3201">
        <w:rPr>
          <w:b w:val="0"/>
        </w:rPr>
        <w:t>COMPDELQSEMW </w:t>
      </w:r>
      <w:r w:rsidRPr="001A3201">
        <w:rPr>
          <w:b w:val="0"/>
          <w:i/>
          <w:vertAlign w:val="subscript"/>
        </w:rPr>
        <w:t>qc(tp)d</w:t>
      </w:r>
    </w:p>
    <w:p w14:paraId="68D70F19" w14:textId="3BC88421" w:rsidR="001F04FD" w:rsidRPr="001A3201" w:rsidRDefault="001F04FD" w:rsidP="001F04FD">
      <w:pPr>
        <w:tabs>
          <w:tab w:val="left" w:pos="2340"/>
          <w:tab w:val="left" w:pos="3420"/>
        </w:tabs>
        <w:spacing w:after="240"/>
        <w:ind w:left="3420" w:hanging="2700"/>
        <w:rPr>
          <w:bCs/>
          <w:i/>
          <w:vertAlign w:val="subscript"/>
        </w:rPr>
      </w:pPr>
      <w:r w:rsidRPr="001A3201">
        <w:rPr>
          <w:bCs/>
        </w:rPr>
        <w:lastRenderedPageBreak/>
        <w:t>SPDELQSEMW </w:t>
      </w:r>
      <w:r w:rsidRPr="001A3201">
        <w:rPr>
          <w:bCs/>
          <w:i/>
          <w:vertAlign w:val="subscript"/>
        </w:rPr>
        <w:t xml:space="preserve">qc(tp)d </w:t>
      </w:r>
      <w:r w:rsidRPr="001A3201">
        <w:rPr>
          <w:bCs/>
        </w:rPr>
        <w:t xml:space="preserve"> = </w:t>
      </w:r>
      <w:r w:rsidR="00A94020">
        <w:rPr>
          <w:noProof/>
          <w:position w:val="-28"/>
        </w:rPr>
        <w:drawing>
          <wp:inline distT="0" distB="0" distL="0" distR="0" wp14:anchorId="30D5B210" wp14:editId="5E494427">
            <wp:extent cx="295275" cy="428625"/>
            <wp:effectExtent l="0" t="0" r="0" b="9525"/>
            <wp:docPr id="1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1A3201">
        <w:rPr>
          <w:bCs/>
        </w:rPr>
        <w:t>SPDELMW </w:t>
      </w:r>
      <w:r w:rsidRPr="001A3201">
        <w:rPr>
          <w:bCs/>
          <w:i/>
          <w:vertAlign w:val="subscript"/>
        </w:rPr>
        <w:t>qce(tp)d</w:t>
      </w:r>
    </w:p>
    <w:p w14:paraId="1D6B27B9" w14:textId="6CE78A31" w:rsidR="001F04FD" w:rsidRPr="001A3201" w:rsidRDefault="001F04FD" w:rsidP="001F04FD">
      <w:pPr>
        <w:pStyle w:val="FormulaBold"/>
        <w:rPr>
          <w:b w:val="0"/>
        </w:rPr>
      </w:pPr>
      <w:r w:rsidRPr="001A3201">
        <w:rPr>
          <w:b w:val="0"/>
          <w:bCs w:val="0"/>
        </w:rPr>
        <w:t>SPDELMWTOT </w:t>
      </w:r>
      <w:r w:rsidRPr="001A3201">
        <w:rPr>
          <w:b w:val="0"/>
          <w:bCs w:val="0"/>
          <w:i/>
          <w:vertAlign w:val="subscript"/>
        </w:rPr>
        <w:t>c(tp)d</w:t>
      </w:r>
      <w:r w:rsidRPr="001A3201">
        <w:rPr>
          <w:b w:val="0"/>
          <w:bCs w:val="0"/>
        </w:rPr>
        <w:t xml:space="preserve"> = </w:t>
      </w:r>
      <w:r w:rsidR="00A94020">
        <w:rPr>
          <w:b w:val="0"/>
          <w:noProof/>
          <w:position w:val="-30"/>
        </w:rPr>
        <w:drawing>
          <wp:inline distT="0" distB="0" distL="0" distR="0" wp14:anchorId="111CE443" wp14:editId="69333790">
            <wp:extent cx="295275" cy="457200"/>
            <wp:effectExtent l="0" t="0" r="0" b="0"/>
            <wp:docPr id="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1A3201">
        <w:rPr>
          <w:b w:val="0"/>
          <w:bCs w:val="0"/>
        </w:rPr>
        <w:t xml:space="preserve"> SPDELQSEMW </w:t>
      </w:r>
      <w:r w:rsidRPr="001A3201">
        <w:rPr>
          <w:b w:val="0"/>
          <w:bCs w:val="0"/>
          <w:i/>
          <w:vertAlign w:val="subscript"/>
        </w:rPr>
        <w:t>qc(tp)d</w:t>
      </w:r>
    </w:p>
    <w:p w14:paraId="32DF9E6D" w14:textId="77777777" w:rsidR="001F04FD" w:rsidRPr="001A3201" w:rsidRDefault="001F04FD" w:rsidP="001F04FD">
      <w:pPr>
        <w:tabs>
          <w:tab w:val="left" w:pos="2250"/>
          <w:tab w:val="left" w:pos="3150"/>
          <w:tab w:val="left" w:pos="3960"/>
        </w:tabs>
        <w:spacing w:after="240"/>
        <w:ind w:left="3960" w:hanging="3240"/>
        <w:rPr>
          <w:rFonts w:ascii="Times New Roman Bold" w:hAnsi="Times New Roman Bold"/>
          <w:bCs/>
        </w:rPr>
      </w:pPr>
      <w:r w:rsidRPr="001A3201">
        <w:rPr>
          <w:bCs/>
        </w:rPr>
        <w:t>COMPDELMW </w:t>
      </w:r>
      <w:r w:rsidRPr="001A3201">
        <w:rPr>
          <w:bCs/>
          <w:i/>
          <w:vertAlign w:val="subscript"/>
        </w:rPr>
        <w:t>qce(tp)d</w:t>
      </w:r>
      <w:r w:rsidRPr="001A3201">
        <w:rPr>
          <w:bCs/>
        </w:rPr>
        <w:t xml:space="preserve"> = ERSTESTPF </w:t>
      </w:r>
      <w:r w:rsidRPr="001A3201">
        <w:rPr>
          <w:bCs/>
          <w:i/>
          <w:vertAlign w:val="subscript"/>
        </w:rPr>
        <w:t>qred</w:t>
      </w:r>
      <w:r w:rsidRPr="001A3201">
        <w:rPr>
          <w:bCs/>
        </w:rPr>
        <w:t xml:space="preserve"> * COMPOFFERMW </w:t>
      </w:r>
      <w:r w:rsidRPr="001A3201">
        <w:rPr>
          <w:bCs/>
          <w:i/>
          <w:vertAlign w:val="subscript"/>
        </w:rPr>
        <w:t>qce(tp)d</w:t>
      </w:r>
      <w:r w:rsidRPr="001A3201">
        <w:rPr>
          <w:bCs/>
        </w:rPr>
        <w:t xml:space="preserve"> * </w:t>
      </w:r>
      <w:r w:rsidRPr="001A3201">
        <w:t xml:space="preserve">(ERSAFWT </w:t>
      </w:r>
      <w:r w:rsidRPr="001A3201">
        <w:rPr>
          <w:bCs/>
          <w:i/>
          <w:vertAlign w:val="subscript"/>
        </w:rPr>
        <w:t>qc</w:t>
      </w:r>
      <w:r w:rsidRPr="001A3201">
        <w:rPr>
          <w:i/>
          <w:vertAlign w:val="subscript"/>
        </w:rPr>
        <w:t xml:space="preserve">d </w:t>
      </w:r>
      <w:r w:rsidRPr="001A3201">
        <w:t xml:space="preserve">* Min (ERSAFCOMB </w:t>
      </w:r>
      <w:r w:rsidRPr="001A3201">
        <w:rPr>
          <w:bCs/>
          <w:i/>
          <w:vertAlign w:val="subscript"/>
        </w:rPr>
        <w:t>qrd</w:t>
      </w:r>
      <w:r w:rsidRPr="001A3201">
        <w:rPr>
          <w:bCs/>
        </w:rPr>
        <w:t>,1) + (</w:t>
      </w:r>
      <w:r w:rsidRPr="001A3201">
        <w:t>1</w:t>
      </w:r>
      <w:r w:rsidRPr="001A3201">
        <w:rPr>
          <w:bCs/>
        </w:rPr>
        <w:t xml:space="preserve"> - </w:t>
      </w:r>
      <w:r w:rsidRPr="001A3201">
        <w:t xml:space="preserve">ERSAFWT </w:t>
      </w:r>
      <w:r w:rsidRPr="001A3201">
        <w:rPr>
          <w:bCs/>
          <w:i/>
          <w:vertAlign w:val="subscript"/>
        </w:rPr>
        <w:t>qcd</w:t>
      </w:r>
      <w:r w:rsidRPr="001A3201">
        <w:rPr>
          <w:bCs/>
        </w:rPr>
        <w:t xml:space="preserve">) * Min (ERSEPF </w:t>
      </w:r>
      <w:r w:rsidRPr="001A3201">
        <w:rPr>
          <w:bCs/>
          <w:i/>
          <w:vertAlign w:val="subscript"/>
        </w:rPr>
        <w:t>qrd</w:t>
      </w:r>
      <w:r w:rsidRPr="001A3201">
        <w:rPr>
          <w:bCs/>
        </w:rPr>
        <w:t>,1))</w:t>
      </w:r>
    </w:p>
    <w:p w14:paraId="47CD9A9B" w14:textId="77777777" w:rsidR="001F04FD" w:rsidRPr="001A3201" w:rsidRDefault="001F04FD" w:rsidP="001F04FD">
      <w:pPr>
        <w:pStyle w:val="FormulaBold"/>
        <w:rPr>
          <w:b w:val="0"/>
        </w:rPr>
      </w:pPr>
      <w:r w:rsidRPr="001A3201">
        <w:rPr>
          <w:b w:val="0"/>
          <w:bCs w:val="0"/>
        </w:rPr>
        <w:t>SPDELMW </w:t>
      </w:r>
      <w:r w:rsidRPr="001A3201">
        <w:rPr>
          <w:b w:val="0"/>
          <w:bCs w:val="0"/>
          <w:i/>
          <w:vertAlign w:val="subscript"/>
        </w:rPr>
        <w:t xml:space="preserve">qc(tp)d </w:t>
      </w:r>
      <w:r w:rsidRPr="001A3201">
        <w:rPr>
          <w:b w:val="0"/>
          <w:bCs w:val="0"/>
        </w:rPr>
        <w:t xml:space="preserve">= ERSTESTPF </w:t>
      </w:r>
      <w:r w:rsidRPr="001A3201">
        <w:rPr>
          <w:b w:val="0"/>
          <w:bCs w:val="0"/>
          <w:i/>
          <w:vertAlign w:val="subscript"/>
        </w:rPr>
        <w:t>qre</w:t>
      </w:r>
      <w:r w:rsidRPr="001A3201">
        <w:rPr>
          <w:b w:val="0"/>
          <w:i/>
          <w:vertAlign w:val="subscript"/>
        </w:rPr>
        <w:t>d</w:t>
      </w:r>
      <w:r w:rsidRPr="0015675B">
        <w:rPr>
          <w:b w:val="0"/>
          <w:bCs w:val="0"/>
        </w:rPr>
        <w:t xml:space="preserve"> * </w:t>
      </w:r>
      <w:r w:rsidRPr="001A3201">
        <w:rPr>
          <w:b w:val="0"/>
          <w:bCs w:val="0"/>
        </w:rPr>
        <w:t>SPOFFERMW </w:t>
      </w:r>
      <w:r w:rsidRPr="001A3201">
        <w:rPr>
          <w:b w:val="0"/>
          <w:bCs w:val="0"/>
          <w:i/>
          <w:vertAlign w:val="subscript"/>
        </w:rPr>
        <w:t>qce(tp)d</w:t>
      </w:r>
      <w:r w:rsidRPr="001A3201">
        <w:rPr>
          <w:b w:val="0"/>
          <w:bCs w:val="0"/>
        </w:rPr>
        <w:t xml:space="preserve"> * </w:t>
      </w:r>
      <w:r w:rsidRPr="001A3201">
        <w:rPr>
          <w:b w:val="0"/>
        </w:rPr>
        <w:t xml:space="preserve">(ERSAFWT </w:t>
      </w:r>
      <w:r w:rsidRPr="001A3201">
        <w:rPr>
          <w:b w:val="0"/>
          <w:bCs w:val="0"/>
          <w:i/>
          <w:vertAlign w:val="subscript"/>
        </w:rPr>
        <w:t>qcd</w:t>
      </w:r>
      <w:r w:rsidRPr="001A3201">
        <w:rPr>
          <w:b w:val="0"/>
          <w:bCs w:val="0"/>
        </w:rPr>
        <w:t xml:space="preserve"> </w:t>
      </w:r>
      <w:r w:rsidRPr="001A3201">
        <w:rPr>
          <w:b w:val="0"/>
        </w:rPr>
        <w:t xml:space="preserve">* Min(ERSAFCOMB </w:t>
      </w:r>
      <w:r w:rsidRPr="001A3201">
        <w:rPr>
          <w:b w:val="0"/>
          <w:bCs w:val="0"/>
          <w:i/>
          <w:vertAlign w:val="subscript"/>
        </w:rPr>
        <w:t>qrd</w:t>
      </w:r>
      <w:r w:rsidRPr="001A3201">
        <w:rPr>
          <w:b w:val="0"/>
          <w:bCs w:val="0"/>
        </w:rPr>
        <w:t>,1) +</w:t>
      </w:r>
      <w:r w:rsidRPr="001A3201">
        <w:rPr>
          <w:b w:val="0"/>
        </w:rPr>
        <w:t xml:space="preserve"> (1 – ERSAFWT </w:t>
      </w:r>
      <w:r w:rsidRPr="001A3201">
        <w:rPr>
          <w:b w:val="0"/>
          <w:bCs w:val="0"/>
          <w:i/>
          <w:vertAlign w:val="subscript"/>
        </w:rPr>
        <w:t>qcd</w:t>
      </w:r>
      <w:r w:rsidRPr="001A3201">
        <w:rPr>
          <w:b w:val="0"/>
          <w:bCs w:val="0"/>
        </w:rPr>
        <w:t>) * Min(</w:t>
      </w:r>
      <w:r w:rsidRPr="001A3201">
        <w:rPr>
          <w:b w:val="0"/>
        </w:rPr>
        <w:t xml:space="preserve">ERSEPF </w:t>
      </w:r>
      <w:r w:rsidRPr="001A3201">
        <w:rPr>
          <w:b w:val="0"/>
          <w:bCs w:val="0"/>
          <w:i/>
          <w:vertAlign w:val="subscript"/>
        </w:rPr>
        <w:t>qrd</w:t>
      </w:r>
      <w:r w:rsidRPr="001A3201">
        <w:rPr>
          <w:b w:val="0"/>
          <w:bCs w:val="0"/>
        </w:rPr>
        <w:t>,1))</w:t>
      </w:r>
      <w:r w:rsidRPr="001A3201">
        <w:rPr>
          <w:b w:val="0"/>
        </w:rPr>
        <w:t xml:space="preserve"> </w:t>
      </w:r>
    </w:p>
    <w:p w14:paraId="35B11270" w14:textId="77777777" w:rsidR="001F04FD" w:rsidRDefault="001F04FD" w:rsidP="001F04FD">
      <w:pPr>
        <w:pStyle w:val="List"/>
        <w:ind w:left="720" w:firstLine="0"/>
      </w:pPr>
      <w:r>
        <w:t>The ERS</w:t>
      </w:r>
      <w:r w:rsidRPr="002E5240">
        <w:t xml:space="preserve"> Self-Provision Capacity Upper Limit</w:t>
      </w:r>
      <w:r w:rsidRPr="002E5240" w:rsidDel="009C4A0B">
        <w:t xml:space="preserve"> </w:t>
      </w:r>
      <w:r>
        <w:t>for each self-providing QSE shall be calculated by ERCOT using a two-pass process for each of the four ERS service types.  The first pass will consist of simultaneously solving for all QSEs’ ERS Self-Provision Capacity Upper Limits with the constraint that each QSE’s ERS Self-Provision Capacity Upper Limit</w:t>
      </w:r>
      <w:r w:rsidDel="009C4A0B">
        <w:t xml:space="preserve"> </w:t>
      </w:r>
      <w:r>
        <w:t>will equal its LRS multiplied by the total capacity awarded for competitive offers, plus the sum of all QSEs’ ERS Self-Provision Capacity Upper Limits.  The second pass will repeat the solution of the equations with a QSE’s delivered self-provided MW capacity (adjusted for availability and/or event performance) substituted for the ERS Self-Provision Capacity Upper Limit if the delivered MW capacity is less than the first pass calculation of the ERS Self-Provision Capacity Upper Limit.</w:t>
      </w:r>
    </w:p>
    <w:p w14:paraId="651D1C44" w14:textId="77777777" w:rsidR="001F04FD" w:rsidRDefault="001F04FD" w:rsidP="001F04FD">
      <w:pPr>
        <w:pStyle w:val="List"/>
        <w:ind w:left="2880" w:hanging="2160"/>
      </w:pPr>
      <w:r>
        <w:t>Pass 1:</w:t>
      </w:r>
    </w:p>
    <w:p w14:paraId="28D244C8" w14:textId="77777777" w:rsidR="001F04FD" w:rsidRDefault="001F04FD" w:rsidP="001F04FD">
      <w:pPr>
        <w:pStyle w:val="List"/>
        <w:ind w:left="2880" w:hanging="1440"/>
      </w:pPr>
      <w:r>
        <w:t>For QSE 1:</w:t>
      </w:r>
    </w:p>
    <w:p w14:paraId="25A56B99" w14:textId="77777777" w:rsidR="001F04FD" w:rsidRDefault="001F04FD" w:rsidP="001F04FD">
      <w:pPr>
        <w:pStyle w:val="FormulaBold"/>
      </w:pPr>
      <w:r>
        <w:t>SPCUL</w:t>
      </w:r>
      <w:r w:rsidRPr="00171229">
        <w:rPr>
          <w:vertAlign w:val="subscript"/>
        </w:rPr>
        <w:t xml:space="preserve"> </w:t>
      </w:r>
      <w:r w:rsidRPr="00171229">
        <w:rPr>
          <w:i/>
          <w:vertAlign w:val="subscript"/>
        </w:rPr>
        <w:t>1c(tp)</w:t>
      </w:r>
      <w:r>
        <w:rPr>
          <w:i/>
          <w:vertAlign w:val="subscript"/>
        </w:rPr>
        <w:t>d</w:t>
      </w:r>
      <w:r w:rsidRPr="00171229">
        <w:rPr>
          <w:vertAlign w:val="subscript"/>
        </w:rPr>
        <w:t xml:space="preserve"> </w:t>
      </w:r>
      <w:r w:rsidRPr="00CF5890">
        <w:t xml:space="preserve">= </w:t>
      </w:r>
      <w:r>
        <w:t>ERSLRS </w:t>
      </w:r>
      <w:r w:rsidRPr="00171229">
        <w:rPr>
          <w:i/>
          <w:vertAlign w:val="subscript"/>
        </w:rPr>
        <w:t>1c(tp)</w:t>
      </w:r>
      <w:r>
        <w:rPr>
          <w:i/>
          <w:vertAlign w:val="subscript"/>
        </w:rPr>
        <w:t>d</w:t>
      </w:r>
      <w:r w:rsidRPr="00CF5890">
        <w:t xml:space="preserve"> </w:t>
      </w:r>
      <w:r>
        <w:t>* (COMPDELMWTOT </w:t>
      </w:r>
      <w:r w:rsidRPr="00171229">
        <w:rPr>
          <w:i/>
          <w:vertAlign w:val="subscript"/>
        </w:rPr>
        <w:t>c(tp)</w:t>
      </w:r>
      <w:r>
        <w:rPr>
          <w:i/>
          <w:vertAlign w:val="subscript"/>
        </w:rPr>
        <w:t>d</w:t>
      </w:r>
      <w:r>
        <w:t xml:space="preserve"> + SPCUL </w:t>
      </w:r>
      <w:r w:rsidRPr="00171229">
        <w:rPr>
          <w:i/>
          <w:vertAlign w:val="subscript"/>
        </w:rPr>
        <w:t>1c(tp)</w:t>
      </w:r>
      <w:r>
        <w:rPr>
          <w:i/>
          <w:vertAlign w:val="subscript"/>
        </w:rPr>
        <w:t>d</w:t>
      </w:r>
      <w:r w:rsidRPr="00BC1513">
        <w:t xml:space="preserve"> </w:t>
      </w:r>
      <w:r>
        <w:t>+ SPCUL </w:t>
      </w:r>
      <w:r w:rsidRPr="00171229">
        <w:rPr>
          <w:i/>
          <w:vertAlign w:val="subscript"/>
        </w:rPr>
        <w:t>2c(tp)</w:t>
      </w:r>
      <w:r>
        <w:rPr>
          <w:i/>
          <w:vertAlign w:val="subscript"/>
        </w:rPr>
        <w:t>d</w:t>
      </w:r>
      <w:r w:rsidRPr="00171229">
        <w:rPr>
          <w:vertAlign w:val="subscript"/>
        </w:rPr>
        <w:t xml:space="preserve"> </w:t>
      </w:r>
      <w:r>
        <w:t>+ … + SPCUL</w:t>
      </w:r>
      <w:r w:rsidRPr="00171229">
        <w:rPr>
          <w:vertAlign w:val="subscript"/>
        </w:rPr>
        <w:t xml:space="preserve"> </w:t>
      </w:r>
      <w:r w:rsidRPr="00171229">
        <w:rPr>
          <w:i/>
          <w:vertAlign w:val="subscript"/>
        </w:rPr>
        <w:t>nc(tp)</w:t>
      </w:r>
      <w:r>
        <w:rPr>
          <w:i/>
          <w:vertAlign w:val="subscript"/>
        </w:rPr>
        <w:t>d</w:t>
      </w:r>
      <w:r>
        <w:t>)</w:t>
      </w:r>
    </w:p>
    <w:p w14:paraId="561D963C" w14:textId="77777777" w:rsidR="001F04FD" w:rsidRDefault="001F04FD" w:rsidP="001F04FD">
      <w:pPr>
        <w:pStyle w:val="BodyText"/>
        <w:ind w:left="720" w:firstLine="720"/>
      </w:pPr>
      <w:r>
        <w:t>For QSE 2:</w:t>
      </w:r>
    </w:p>
    <w:p w14:paraId="48196AD7" w14:textId="77777777" w:rsidR="001F04FD" w:rsidRPr="00841E70" w:rsidRDefault="001F04FD" w:rsidP="001F04FD">
      <w:pPr>
        <w:pStyle w:val="FormulaBold"/>
      </w:pPr>
      <w:r>
        <w:t>SPCUL</w:t>
      </w:r>
      <w:r w:rsidRPr="00171229">
        <w:rPr>
          <w:vertAlign w:val="subscript"/>
        </w:rPr>
        <w:t xml:space="preserve"> </w:t>
      </w:r>
      <w:r w:rsidRPr="00171229">
        <w:rPr>
          <w:i/>
          <w:vertAlign w:val="subscript"/>
        </w:rPr>
        <w:t>2c(tp)</w:t>
      </w:r>
      <w:r>
        <w:rPr>
          <w:i/>
          <w:vertAlign w:val="subscript"/>
        </w:rPr>
        <w:t>d</w:t>
      </w:r>
      <w:r w:rsidRPr="00171229">
        <w:rPr>
          <w:vertAlign w:val="subscript"/>
        </w:rPr>
        <w:t xml:space="preserve"> </w:t>
      </w:r>
      <w:r w:rsidRPr="00CF5890">
        <w:t xml:space="preserve">= </w:t>
      </w:r>
      <w:r>
        <w:t>ERSLRS </w:t>
      </w:r>
      <w:r w:rsidRPr="00171229">
        <w:rPr>
          <w:i/>
          <w:vertAlign w:val="subscript"/>
        </w:rPr>
        <w:t>2c(tp)</w:t>
      </w:r>
      <w:r>
        <w:rPr>
          <w:i/>
          <w:vertAlign w:val="subscript"/>
        </w:rPr>
        <w:t>d</w:t>
      </w:r>
      <w:r w:rsidRPr="00CF5890">
        <w:t xml:space="preserve"> </w:t>
      </w:r>
      <w:r>
        <w:t>* (COMPDELMWTOT </w:t>
      </w:r>
      <w:r w:rsidRPr="00171229">
        <w:rPr>
          <w:i/>
          <w:vertAlign w:val="subscript"/>
        </w:rPr>
        <w:t>c(tp)</w:t>
      </w:r>
      <w:r>
        <w:rPr>
          <w:i/>
          <w:vertAlign w:val="subscript"/>
        </w:rPr>
        <w:t>d</w:t>
      </w:r>
      <w:r>
        <w:t xml:space="preserve"> + SPCUL </w:t>
      </w:r>
      <w:r w:rsidRPr="00171229">
        <w:rPr>
          <w:i/>
          <w:vertAlign w:val="subscript"/>
        </w:rPr>
        <w:t>1c(tp)</w:t>
      </w:r>
      <w:r>
        <w:rPr>
          <w:i/>
          <w:vertAlign w:val="subscript"/>
        </w:rPr>
        <w:t>d</w:t>
      </w:r>
      <w:r w:rsidRPr="00BC1513">
        <w:t xml:space="preserve"> </w:t>
      </w:r>
      <w:r>
        <w:t>+ SPCUL </w:t>
      </w:r>
      <w:r w:rsidRPr="00171229">
        <w:rPr>
          <w:i/>
          <w:vertAlign w:val="subscript"/>
        </w:rPr>
        <w:t>2c(tp)</w:t>
      </w:r>
      <w:r>
        <w:rPr>
          <w:i/>
          <w:vertAlign w:val="subscript"/>
        </w:rPr>
        <w:t>d</w:t>
      </w:r>
      <w:r w:rsidRPr="00171229">
        <w:rPr>
          <w:vertAlign w:val="subscript"/>
        </w:rPr>
        <w:t xml:space="preserve"> </w:t>
      </w:r>
      <w:r>
        <w:t>+ … + SPCUL</w:t>
      </w:r>
      <w:r w:rsidRPr="00171229">
        <w:rPr>
          <w:vertAlign w:val="subscript"/>
        </w:rPr>
        <w:t xml:space="preserve"> </w:t>
      </w:r>
      <w:r w:rsidRPr="00171229">
        <w:rPr>
          <w:i/>
          <w:vertAlign w:val="subscript"/>
        </w:rPr>
        <w:t>nc(tp)</w:t>
      </w:r>
      <w:r>
        <w:rPr>
          <w:i/>
          <w:vertAlign w:val="subscript"/>
        </w:rPr>
        <w:t>d</w:t>
      </w:r>
      <w:r>
        <w:t>)</w:t>
      </w:r>
    </w:p>
    <w:p w14:paraId="12249B4A" w14:textId="77777777" w:rsidR="001F04FD" w:rsidRDefault="001F04FD" w:rsidP="001F04FD">
      <w:pPr>
        <w:pStyle w:val="FormulaBold"/>
      </w:pPr>
      <w:r>
        <w:t>…</w:t>
      </w:r>
    </w:p>
    <w:p w14:paraId="21662FEA" w14:textId="77777777" w:rsidR="001F04FD" w:rsidRDefault="001F04FD" w:rsidP="001F04FD">
      <w:pPr>
        <w:pStyle w:val="BodyText"/>
        <w:ind w:left="720" w:firstLine="720"/>
      </w:pPr>
      <w:r>
        <w:t>For QSE n:</w:t>
      </w:r>
    </w:p>
    <w:p w14:paraId="6848E92A" w14:textId="77777777" w:rsidR="001F04FD" w:rsidRPr="00841E70" w:rsidRDefault="001F04FD" w:rsidP="001F04FD">
      <w:pPr>
        <w:pStyle w:val="FormulaBold"/>
      </w:pPr>
      <w:r>
        <w:t>SPCUL</w:t>
      </w:r>
      <w:r w:rsidRPr="00171229">
        <w:rPr>
          <w:vertAlign w:val="subscript"/>
        </w:rPr>
        <w:t xml:space="preserve"> </w:t>
      </w:r>
      <w:r w:rsidRPr="00171229">
        <w:rPr>
          <w:i/>
          <w:vertAlign w:val="subscript"/>
        </w:rPr>
        <w:t>nc(tp)</w:t>
      </w:r>
      <w:r>
        <w:rPr>
          <w:i/>
          <w:vertAlign w:val="subscript"/>
        </w:rPr>
        <w:t>d</w:t>
      </w:r>
      <w:r w:rsidRPr="00171229">
        <w:rPr>
          <w:vertAlign w:val="subscript"/>
        </w:rPr>
        <w:t xml:space="preserve"> </w:t>
      </w:r>
      <w:r w:rsidRPr="00CF5890">
        <w:t xml:space="preserve">= </w:t>
      </w:r>
      <w:r>
        <w:t>ERSLRS </w:t>
      </w:r>
      <w:r w:rsidRPr="00171229">
        <w:rPr>
          <w:i/>
          <w:vertAlign w:val="subscript"/>
        </w:rPr>
        <w:t>nc(tp)</w:t>
      </w:r>
      <w:r>
        <w:rPr>
          <w:i/>
          <w:vertAlign w:val="subscript"/>
        </w:rPr>
        <w:t>d</w:t>
      </w:r>
      <w:r w:rsidRPr="00CF5890">
        <w:t xml:space="preserve"> </w:t>
      </w:r>
      <w:r>
        <w:t>* (COMPDELMWTOT </w:t>
      </w:r>
      <w:r w:rsidRPr="00171229">
        <w:rPr>
          <w:i/>
          <w:vertAlign w:val="subscript"/>
        </w:rPr>
        <w:t>c(tp)</w:t>
      </w:r>
      <w:r>
        <w:rPr>
          <w:i/>
          <w:vertAlign w:val="subscript"/>
        </w:rPr>
        <w:t>d</w:t>
      </w:r>
      <w:r>
        <w:t xml:space="preserve"> + SPCUL </w:t>
      </w:r>
      <w:r w:rsidRPr="00171229">
        <w:rPr>
          <w:i/>
          <w:vertAlign w:val="subscript"/>
        </w:rPr>
        <w:t>1c(tp)</w:t>
      </w:r>
      <w:r>
        <w:rPr>
          <w:i/>
          <w:vertAlign w:val="subscript"/>
        </w:rPr>
        <w:t>d</w:t>
      </w:r>
      <w:r w:rsidRPr="00BC1513">
        <w:t xml:space="preserve"> </w:t>
      </w:r>
      <w:r>
        <w:t>+ SPCUL </w:t>
      </w:r>
      <w:r w:rsidRPr="00171229">
        <w:rPr>
          <w:i/>
          <w:vertAlign w:val="subscript"/>
        </w:rPr>
        <w:t>2c(tp)</w:t>
      </w:r>
      <w:r>
        <w:rPr>
          <w:i/>
          <w:vertAlign w:val="subscript"/>
        </w:rPr>
        <w:t>d</w:t>
      </w:r>
      <w:r w:rsidRPr="00171229">
        <w:rPr>
          <w:vertAlign w:val="subscript"/>
        </w:rPr>
        <w:t xml:space="preserve"> </w:t>
      </w:r>
      <w:r>
        <w:t>+ … + SPCUL</w:t>
      </w:r>
      <w:r w:rsidRPr="00171229">
        <w:rPr>
          <w:vertAlign w:val="subscript"/>
        </w:rPr>
        <w:t xml:space="preserve"> </w:t>
      </w:r>
      <w:r w:rsidRPr="00171229">
        <w:rPr>
          <w:i/>
          <w:vertAlign w:val="subscript"/>
        </w:rPr>
        <w:t>nc(tp)</w:t>
      </w:r>
      <w:r>
        <w:rPr>
          <w:i/>
          <w:vertAlign w:val="subscript"/>
        </w:rPr>
        <w:t>d</w:t>
      </w:r>
      <w:r>
        <w:t>)</w:t>
      </w:r>
    </w:p>
    <w:p w14:paraId="5025E332" w14:textId="77777777" w:rsidR="001F04FD" w:rsidRDefault="001F04FD" w:rsidP="001F04FD">
      <w:pPr>
        <w:pStyle w:val="List"/>
        <w:ind w:left="2880" w:hanging="2160"/>
      </w:pPr>
      <w:r>
        <w:t>Pass 2:</w:t>
      </w:r>
    </w:p>
    <w:p w14:paraId="5889E76E" w14:textId="77777777" w:rsidR="001F04FD" w:rsidRDefault="001F04FD" w:rsidP="001F04FD">
      <w:pPr>
        <w:pStyle w:val="BodyText"/>
        <w:ind w:left="720" w:firstLine="720"/>
      </w:pPr>
      <w:r>
        <w:t>For QSE 1:</w:t>
      </w:r>
    </w:p>
    <w:p w14:paraId="3D8040E0" w14:textId="77777777" w:rsidR="001F04FD" w:rsidRDefault="001F04FD" w:rsidP="001F04FD">
      <w:pPr>
        <w:pStyle w:val="FormulaBold"/>
      </w:pPr>
      <w:r>
        <w:lastRenderedPageBreak/>
        <w:t>SPCUL</w:t>
      </w:r>
      <w:r w:rsidRPr="00171229">
        <w:rPr>
          <w:vertAlign w:val="subscript"/>
        </w:rPr>
        <w:t xml:space="preserve"> </w:t>
      </w:r>
      <w:r w:rsidRPr="00171229">
        <w:rPr>
          <w:i/>
          <w:vertAlign w:val="subscript"/>
        </w:rPr>
        <w:t>1c(tp)</w:t>
      </w:r>
      <w:r>
        <w:rPr>
          <w:i/>
          <w:vertAlign w:val="subscript"/>
        </w:rPr>
        <w:t>d</w:t>
      </w:r>
      <w:r w:rsidRPr="00171229">
        <w:rPr>
          <w:vertAlign w:val="subscript"/>
        </w:rPr>
        <w:t xml:space="preserve"> </w:t>
      </w:r>
      <w:r w:rsidRPr="00CF5890">
        <w:t xml:space="preserve">= </w:t>
      </w:r>
      <w:r>
        <w:t>ERSLRS </w:t>
      </w:r>
      <w:r w:rsidRPr="00171229">
        <w:rPr>
          <w:i/>
          <w:vertAlign w:val="subscript"/>
        </w:rPr>
        <w:t>1c(tp)</w:t>
      </w:r>
      <w:r>
        <w:rPr>
          <w:i/>
          <w:vertAlign w:val="subscript"/>
        </w:rPr>
        <w:t>d</w:t>
      </w:r>
      <w:r w:rsidRPr="00CF5890">
        <w:t xml:space="preserve"> </w:t>
      </w:r>
      <w:r>
        <w:t>* (COMPDELMWTOT </w:t>
      </w:r>
      <w:r w:rsidRPr="00171229">
        <w:rPr>
          <w:i/>
          <w:vertAlign w:val="subscript"/>
        </w:rPr>
        <w:t>c(tp)</w:t>
      </w:r>
      <w:r>
        <w:rPr>
          <w:i/>
          <w:vertAlign w:val="subscript"/>
        </w:rPr>
        <w:t>d</w:t>
      </w:r>
      <w:r>
        <w:t xml:space="preserve"> +</w:t>
      </w:r>
    </w:p>
    <w:p w14:paraId="7C45AA03" w14:textId="77777777" w:rsidR="001F04FD" w:rsidRDefault="001F04FD" w:rsidP="001F04FD">
      <w:pPr>
        <w:pStyle w:val="FormulaBold"/>
      </w:pPr>
      <w:r>
        <w:t>Min(SPDELMW</w:t>
      </w:r>
      <w:r w:rsidRPr="00171229">
        <w:rPr>
          <w:i/>
          <w:vertAlign w:val="subscript"/>
        </w:rPr>
        <w:t xml:space="preserve"> 1c(tp</w:t>
      </w:r>
      <w:r w:rsidRPr="00171229">
        <w:rPr>
          <w:rFonts w:ascii="Times New Roman Bold" w:hAnsi="Times New Roman Bold"/>
          <w:i/>
          <w:vertAlign w:val="subscript"/>
        </w:rPr>
        <w:t>)</w:t>
      </w:r>
      <w:r>
        <w:rPr>
          <w:rFonts w:ascii="Times New Roman Bold" w:hAnsi="Times New Roman Bold"/>
          <w:i/>
          <w:vertAlign w:val="subscript"/>
        </w:rPr>
        <w:t>d</w:t>
      </w:r>
      <w:r w:rsidRPr="00171229">
        <w:rPr>
          <w:rFonts w:ascii="Times New Roman Bold" w:hAnsi="Times New Roman Bold"/>
          <w:i/>
        </w:rPr>
        <w:t>,</w:t>
      </w:r>
      <w:r>
        <w:t>SPCUL </w:t>
      </w:r>
      <w:r w:rsidRPr="00171229">
        <w:rPr>
          <w:i/>
          <w:vertAlign w:val="subscript"/>
        </w:rPr>
        <w:t>1c(tp)</w:t>
      </w:r>
      <w:r>
        <w:rPr>
          <w:i/>
          <w:vertAlign w:val="subscript"/>
        </w:rPr>
        <w:t>d</w:t>
      </w:r>
      <w:r>
        <w:t>)</w:t>
      </w:r>
      <w:r w:rsidRPr="00BC1513">
        <w:t xml:space="preserve"> </w:t>
      </w:r>
      <w:r>
        <w:t>+</w:t>
      </w:r>
    </w:p>
    <w:p w14:paraId="179830B9" w14:textId="77777777" w:rsidR="001F04FD" w:rsidRPr="00171229" w:rsidRDefault="001F04FD" w:rsidP="001F04FD">
      <w:pPr>
        <w:pStyle w:val="FormulaBold"/>
        <w:rPr>
          <w:vertAlign w:val="subscript"/>
        </w:rPr>
      </w:pPr>
      <w:r>
        <w:t>Min(SPDELMW</w:t>
      </w:r>
      <w:r w:rsidRPr="00171229">
        <w:rPr>
          <w:i/>
          <w:vertAlign w:val="subscript"/>
        </w:rPr>
        <w:t xml:space="preserve"> 2c(tp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2c(tp)</w:t>
      </w:r>
      <w:r>
        <w:rPr>
          <w:i/>
          <w:vertAlign w:val="subscript"/>
        </w:rPr>
        <w:t>d</w:t>
      </w:r>
      <w:r>
        <w:t>)</w:t>
      </w:r>
    </w:p>
    <w:p w14:paraId="4491F7F5" w14:textId="77777777" w:rsidR="001F04FD" w:rsidRPr="00171229" w:rsidRDefault="001F04FD" w:rsidP="001F04FD">
      <w:pPr>
        <w:pStyle w:val="FormulaBold"/>
        <w:rPr>
          <w:lang w:val="fr-FR"/>
        </w:rPr>
      </w:pPr>
      <w:r w:rsidRPr="00171229">
        <w:rPr>
          <w:lang w:val="fr-FR"/>
        </w:rPr>
        <w:t>+ … + Min(SPDELMW</w:t>
      </w:r>
      <w:r w:rsidRPr="00171229">
        <w:rPr>
          <w:i/>
          <w:vertAlign w:val="subscript"/>
          <w:lang w:val="fr-FR"/>
        </w:rPr>
        <w:t xml:space="preserve"> nc(tp</w:t>
      </w:r>
      <w:r w:rsidRPr="00171229">
        <w:rPr>
          <w:rFonts w:ascii="Times New Roman Bold" w:hAnsi="Times New Roman Bold"/>
          <w:i/>
          <w:vertAlign w:val="subscript"/>
          <w:lang w:val="fr-FR"/>
        </w:rPr>
        <w:t>)</w:t>
      </w:r>
      <w:r w:rsidRPr="005456FD">
        <w:rPr>
          <w:i/>
          <w:vertAlign w:val="subscript"/>
        </w:rPr>
        <w:t>d</w:t>
      </w:r>
      <w:r w:rsidRPr="00171229">
        <w:rPr>
          <w:rFonts w:ascii="Times New Roman Bold" w:hAnsi="Times New Roman Bold"/>
          <w:i/>
          <w:lang w:val="fr-FR"/>
        </w:rPr>
        <w:t>,</w:t>
      </w:r>
      <w:r w:rsidRPr="00171229">
        <w:rPr>
          <w:lang w:val="fr-FR"/>
        </w:rPr>
        <w:t>SPCUL </w:t>
      </w:r>
      <w:r w:rsidRPr="00171229">
        <w:rPr>
          <w:i/>
          <w:vertAlign w:val="subscript"/>
          <w:lang w:val="fr-FR"/>
        </w:rPr>
        <w:t>nc(tp)</w:t>
      </w:r>
      <w:r>
        <w:rPr>
          <w:i/>
          <w:vertAlign w:val="subscript"/>
          <w:lang w:val="fr-FR"/>
        </w:rPr>
        <w:t>d</w:t>
      </w:r>
      <w:r w:rsidRPr="00171229">
        <w:rPr>
          <w:lang w:val="fr-FR"/>
        </w:rPr>
        <w:t>))</w:t>
      </w:r>
    </w:p>
    <w:p w14:paraId="2EE2482C" w14:textId="77777777" w:rsidR="001F04FD" w:rsidRDefault="001F04FD" w:rsidP="001F04FD">
      <w:pPr>
        <w:pStyle w:val="BodyText"/>
        <w:ind w:left="720" w:firstLine="720"/>
      </w:pPr>
      <w:r>
        <w:t>For QSE 2:</w:t>
      </w:r>
    </w:p>
    <w:p w14:paraId="39F7957A" w14:textId="77777777" w:rsidR="001F04FD" w:rsidRDefault="001F04FD" w:rsidP="001F04FD">
      <w:pPr>
        <w:pStyle w:val="FormulaBold"/>
      </w:pPr>
      <w:r>
        <w:t>SPCUL</w:t>
      </w:r>
      <w:r w:rsidRPr="00171229">
        <w:rPr>
          <w:vertAlign w:val="subscript"/>
        </w:rPr>
        <w:t xml:space="preserve"> </w:t>
      </w:r>
      <w:r w:rsidRPr="00171229">
        <w:rPr>
          <w:i/>
          <w:vertAlign w:val="subscript"/>
        </w:rPr>
        <w:t>2c(tp)</w:t>
      </w:r>
      <w:r>
        <w:rPr>
          <w:i/>
          <w:vertAlign w:val="subscript"/>
        </w:rPr>
        <w:t>d</w:t>
      </w:r>
      <w:r w:rsidRPr="00171229">
        <w:rPr>
          <w:vertAlign w:val="subscript"/>
        </w:rPr>
        <w:t xml:space="preserve"> </w:t>
      </w:r>
      <w:r w:rsidRPr="00CF5890">
        <w:t xml:space="preserve">= </w:t>
      </w:r>
      <w:r>
        <w:t>ERSLRS </w:t>
      </w:r>
      <w:r w:rsidRPr="00171229">
        <w:rPr>
          <w:i/>
          <w:vertAlign w:val="subscript"/>
        </w:rPr>
        <w:t>2c(tp)</w:t>
      </w:r>
      <w:r>
        <w:rPr>
          <w:i/>
          <w:vertAlign w:val="subscript"/>
        </w:rPr>
        <w:t>d</w:t>
      </w:r>
      <w:r w:rsidRPr="00CF5890">
        <w:t xml:space="preserve"> </w:t>
      </w:r>
      <w:r>
        <w:t>* (COMPDELMWTOT </w:t>
      </w:r>
      <w:r w:rsidRPr="00171229">
        <w:rPr>
          <w:i/>
          <w:vertAlign w:val="subscript"/>
        </w:rPr>
        <w:t>c(tp)</w:t>
      </w:r>
      <w:r>
        <w:rPr>
          <w:i/>
          <w:vertAlign w:val="subscript"/>
        </w:rPr>
        <w:t>d</w:t>
      </w:r>
      <w:r>
        <w:t xml:space="preserve"> +</w:t>
      </w:r>
    </w:p>
    <w:p w14:paraId="6A2E4CD3" w14:textId="77777777" w:rsidR="001F04FD" w:rsidRDefault="001F04FD" w:rsidP="001F04FD">
      <w:pPr>
        <w:pStyle w:val="FormulaBold"/>
      </w:pPr>
      <w:r>
        <w:t>Min(SPDELMW</w:t>
      </w:r>
      <w:r w:rsidRPr="00171229">
        <w:rPr>
          <w:i/>
          <w:vertAlign w:val="subscript"/>
        </w:rPr>
        <w:t xml:space="preserve"> 1c(tp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1c(tp)</w:t>
      </w:r>
      <w:r>
        <w:rPr>
          <w:i/>
          <w:vertAlign w:val="subscript"/>
        </w:rPr>
        <w:t>d</w:t>
      </w:r>
      <w:r>
        <w:t>)</w:t>
      </w:r>
      <w:r w:rsidRPr="00BC1513">
        <w:t xml:space="preserve"> </w:t>
      </w:r>
      <w:r>
        <w:t>+</w:t>
      </w:r>
    </w:p>
    <w:p w14:paraId="0D461CE3" w14:textId="77777777" w:rsidR="001F04FD" w:rsidRPr="00171229" w:rsidRDefault="001F04FD" w:rsidP="001F04FD">
      <w:pPr>
        <w:pStyle w:val="FormulaBold"/>
        <w:rPr>
          <w:vertAlign w:val="subscript"/>
        </w:rPr>
      </w:pPr>
      <w:r>
        <w:t>Min(SPDELMW</w:t>
      </w:r>
      <w:r w:rsidRPr="00171229">
        <w:rPr>
          <w:i/>
          <w:vertAlign w:val="subscript"/>
        </w:rPr>
        <w:t xml:space="preserve"> 2c(tp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2c(tp)</w:t>
      </w:r>
      <w:r>
        <w:rPr>
          <w:i/>
          <w:vertAlign w:val="subscript"/>
        </w:rPr>
        <w:t>d</w:t>
      </w:r>
      <w:r>
        <w:t>)</w:t>
      </w:r>
    </w:p>
    <w:p w14:paraId="55CEE8F6" w14:textId="77777777" w:rsidR="001F04FD" w:rsidRPr="00171229" w:rsidRDefault="001F04FD" w:rsidP="001F04FD">
      <w:pPr>
        <w:pStyle w:val="FormulaBold"/>
        <w:rPr>
          <w:lang w:val="fr-FR"/>
        </w:rPr>
      </w:pPr>
      <w:r w:rsidRPr="00171229">
        <w:rPr>
          <w:lang w:val="fr-FR"/>
        </w:rPr>
        <w:t>+ … + Min(SPDELMW</w:t>
      </w:r>
      <w:r w:rsidRPr="00171229">
        <w:rPr>
          <w:i/>
          <w:vertAlign w:val="subscript"/>
          <w:lang w:val="fr-FR"/>
        </w:rPr>
        <w:t xml:space="preserve"> nc(tp</w:t>
      </w:r>
      <w:r w:rsidRPr="00171229">
        <w:rPr>
          <w:rFonts w:ascii="Times New Roman Bold" w:hAnsi="Times New Roman Bold"/>
          <w:i/>
          <w:vertAlign w:val="subscript"/>
          <w:lang w:val="fr-FR"/>
        </w:rPr>
        <w:t>)</w:t>
      </w:r>
      <w:r w:rsidRPr="005456FD">
        <w:rPr>
          <w:i/>
          <w:vertAlign w:val="subscript"/>
        </w:rPr>
        <w:t>d</w:t>
      </w:r>
      <w:r w:rsidRPr="00171229">
        <w:rPr>
          <w:rFonts w:ascii="Times New Roman Bold" w:hAnsi="Times New Roman Bold"/>
          <w:i/>
          <w:lang w:val="fr-FR"/>
        </w:rPr>
        <w:t>,</w:t>
      </w:r>
      <w:r w:rsidRPr="00171229">
        <w:rPr>
          <w:lang w:val="fr-FR"/>
        </w:rPr>
        <w:t>SPCUL </w:t>
      </w:r>
      <w:r w:rsidRPr="00171229">
        <w:rPr>
          <w:i/>
          <w:vertAlign w:val="subscript"/>
          <w:lang w:val="fr-FR"/>
        </w:rPr>
        <w:t>nc(tp)</w:t>
      </w:r>
      <w:r>
        <w:rPr>
          <w:i/>
          <w:vertAlign w:val="subscript"/>
          <w:lang w:val="fr-FR"/>
        </w:rPr>
        <w:t>d</w:t>
      </w:r>
      <w:r w:rsidRPr="00171229">
        <w:rPr>
          <w:lang w:val="fr-FR"/>
        </w:rPr>
        <w:t>))</w:t>
      </w:r>
    </w:p>
    <w:p w14:paraId="7DCBFD8E" w14:textId="77777777" w:rsidR="001F04FD" w:rsidRPr="00C55CC3" w:rsidRDefault="001F04FD" w:rsidP="001F04FD">
      <w:pPr>
        <w:pStyle w:val="FormulaBold"/>
      </w:pPr>
      <w:r w:rsidRPr="00C55CC3">
        <w:t>…</w:t>
      </w:r>
    </w:p>
    <w:p w14:paraId="15CB28C6" w14:textId="77777777" w:rsidR="001F04FD" w:rsidRPr="00C55CC3" w:rsidRDefault="001F04FD" w:rsidP="001F04FD">
      <w:pPr>
        <w:pStyle w:val="BodyText"/>
        <w:ind w:left="720" w:firstLine="720"/>
      </w:pPr>
      <w:r w:rsidRPr="00C55CC3">
        <w:t>For QSE n:</w:t>
      </w:r>
    </w:p>
    <w:p w14:paraId="2DE7F4E5" w14:textId="77777777" w:rsidR="001F04FD" w:rsidRPr="00C55CC3" w:rsidRDefault="001F04FD" w:rsidP="001F04FD">
      <w:pPr>
        <w:pStyle w:val="FormulaBold"/>
      </w:pPr>
      <w:r w:rsidRPr="00C55CC3">
        <w:t>SPCUL</w:t>
      </w:r>
      <w:r w:rsidRPr="00171229">
        <w:rPr>
          <w:vertAlign w:val="subscript"/>
        </w:rPr>
        <w:t xml:space="preserve"> </w:t>
      </w:r>
      <w:r w:rsidRPr="00171229">
        <w:rPr>
          <w:i/>
          <w:vertAlign w:val="subscript"/>
        </w:rPr>
        <w:t>nc(tp)</w:t>
      </w:r>
      <w:r>
        <w:rPr>
          <w:i/>
          <w:vertAlign w:val="subscript"/>
        </w:rPr>
        <w:t>d</w:t>
      </w:r>
      <w:r w:rsidRPr="00171229">
        <w:rPr>
          <w:vertAlign w:val="subscript"/>
        </w:rPr>
        <w:t xml:space="preserve"> </w:t>
      </w:r>
      <w:r w:rsidRPr="00C55CC3">
        <w:t xml:space="preserve">= </w:t>
      </w:r>
      <w:r>
        <w:t>ERS</w:t>
      </w:r>
      <w:r w:rsidRPr="00C55CC3">
        <w:t>LRS </w:t>
      </w:r>
      <w:r w:rsidRPr="00171229">
        <w:rPr>
          <w:i/>
          <w:vertAlign w:val="subscript"/>
        </w:rPr>
        <w:t>nc(tp)</w:t>
      </w:r>
      <w:r>
        <w:rPr>
          <w:i/>
          <w:vertAlign w:val="subscript"/>
        </w:rPr>
        <w:t>d</w:t>
      </w:r>
      <w:r w:rsidRPr="00C55CC3">
        <w:t xml:space="preserve"> * (COMPDELMWTOT </w:t>
      </w:r>
      <w:r w:rsidRPr="00171229">
        <w:rPr>
          <w:i/>
          <w:vertAlign w:val="subscript"/>
        </w:rPr>
        <w:t>c(tp)</w:t>
      </w:r>
      <w:r>
        <w:rPr>
          <w:i/>
          <w:vertAlign w:val="subscript"/>
        </w:rPr>
        <w:t>d</w:t>
      </w:r>
      <w:r w:rsidRPr="00C55CC3">
        <w:t xml:space="preserve"> +</w:t>
      </w:r>
    </w:p>
    <w:p w14:paraId="36AABB2D" w14:textId="77777777" w:rsidR="001F04FD" w:rsidRDefault="001F04FD" w:rsidP="001F04FD">
      <w:pPr>
        <w:pStyle w:val="FormulaBold"/>
      </w:pPr>
      <w:r>
        <w:t>Min(SPDELMW</w:t>
      </w:r>
      <w:r w:rsidRPr="00171229">
        <w:rPr>
          <w:i/>
          <w:vertAlign w:val="subscript"/>
        </w:rPr>
        <w:t xml:space="preserve"> 1c(tp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1c(tp)</w:t>
      </w:r>
      <w:r>
        <w:rPr>
          <w:i/>
          <w:vertAlign w:val="subscript"/>
        </w:rPr>
        <w:t>d</w:t>
      </w:r>
      <w:r>
        <w:t>)</w:t>
      </w:r>
      <w:r w:rsidRPr="00BC1513">
        <w:t xml:space="preserve"> </w:t>
      </w:r>
      <w:r>
        <w:t>+</w:t>
      </w:r>
    </w:p>
    <w:p w14:paraId="4EDB79D9" w14:textId="77777777" w:rsidR="001F04FD" w:rsidRPr="00171229" w:rsidRDefault="001F04FD" w:rsidP="001F04FD">
      <w:pPr>
        <w:pStyle w:val="FormulaBold"/>
        <w:rPr>
          <w:vertAlign w:val="subscript"/>
        </w:rPr>
      </w:pPr>
      <w:r>
        <w:t>Min(SPDELMW</w:t>
      </w:r>
      <w:r w:rsidRPr="00171229">
        <w:rPr>
          <w:i/>
          <w:vertAlign w:val="subscript"/>
        </w:rPr>
        <w:t xml:space="preserve"> 2c(tp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2c(tp)</w:t>
      </w:r>
      <w:r>
        <w:rPr>
          <w:i/>
          <w:vertAlign w:val="subscript"/>
        </w:rPr>
        <w:t>d</w:t>
      </w:r>
      <w:r>
        <w:t>)</w:t>
      </w:r>
    </w:p>
    <w:p w14:paraId="54DE6521" w14:textId="77777777" w:rsidR="001F04FD" w:rsidRPr="00B913FA" w:rsidRDefault="001F04FD" w:rsidP="001F04FD">
      <w:pPr>
        <w:pStyle w:val="FormulaBold"/>
        <w:rPr>
          <w:lang w:val="fr-FR"/>
        </w:rPr>
      </w:pPr>
      <w:r w:rsidRPr="00171229">
        <w:rPr>
          <w:lang w:val="fr-FR"/>
        </w:rPr>
        <w:t>+ … + Min(SPDELMW</w:t>
      </w:r>
      <w:r w:rsidRPr="00B913FA">
        <w:rPr>
          <w:i/>
          <w:vertAlign w:val="subscript"/>
          <w:lang w:val="fr-FR"/>
        </w:rPr>
        <w:t xml:space="preserve"> nc(tp</w:t>
      </w:r>
      <w:r w:rsidRPr="00B913FA">
        <w:rPr>
          <w:rFonts w:ascii="Times New Roman Bold" w:hAnsi="Times New Roman Bold"/>
          <w:i/>
          <w:vertAlign w:val="subscript"/>
          <w:lang w:val="fr-FR"/>
        </w:rPr>
        <w:t>)</w:t>
      </w:r>
      <w:r w:rsidRPr="005456FD">
        <w:rPr>
          <w:i/>
          <w:vertAlign w:val="subscript"/>
        </w:rPr>
        <w:t>d</w:t>
      </w:r>
      <w:r w:rsidRPr="00B913FA">
        <w:rPr>
          <w:rFonts w:ascii="Times New Roman Bold" w:hAnsi="Times New Roman Bold"/>
          <w:i/>
          <w:lang w:val="fr-FR"/>
        </w:rPr>
        <w:t>,</w:t>
      </w:r>
      <w:r w:rsidRPr="00B913FA">
        <w:rPr>
          <w:lang w:val="fr-FR"/>
        </w:rPr>
        <w:t>SPCUL </w:t>
      </w:r>
      <w:r w:rsidRPr="00B913FA">
        <w:rPr>
          <w:i/>
          <w:vertAlign w:val="subscript"/>
          <w:lang w:val="fr-FR"/>
        </w:rPr>
        <w:t>nc(tp)</w:t>
      </w:r>
      <w:r>
        <w:rPr>
          <w:i/>
          <w:vertAlign w:val="subscript"/>
          <w:lang w:val="fr-FR"/>
        </w:rPr>
        <w:t>d</w:t>
      </w:r>
      <w:r w:rsidRPr="00B913FA">
        <w:rPr>
          <w:lang w:val="fr-FR"/>
        </w:rPr>
        <w:t>))</w:t>
      </w:r>
    </w:p>
    <w:p w14:paraId="72DA8105" w14:textId="77777777" w:rsidR="001F04FD" w:rsidRPr="00B913FA" w:rsidRDefault="001F04FD" w:rsidP="001F04FD">
      <w:pPr>
        <w:rPr>
          <w:vertAlign w:val="subscript"/>
        </w:rPr>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28"/>
        <w:gridCol w:w="1058"/>
        <w:gridCol w:w="5864"/>
      </w:tblGrid>
      <w:tr w:rsidR="001F04FD" w14:paraId="0129743A" w14:textId="77777777" w:rsidTr="00AC4DEE">
        <w:tc>
          <w:tcPr>
            <w:tcW w:w="1298" w:type="pct"/>
          </w:tcPr>
          <w:p w14:paraId="43949B72" w14:textId="77777777" w:rsidR="001F04FD" w:rsidRDefault="001F04FD" w:rsidP="00AC4DEE">
            <w:pPr>
              <w:pStyle w:val="TableHead"/>
            </w:pPr>
            <w:r>
              <w:t>Variable</w:t>
            </w:r>
          </w:p>
        </w:tc>
        <w:tc>
          <w:tcPr>
            <w:tcW w:w="566" w:type="pct"/>
          </w:tcPr>
          <w:p w14:paraId="371C3D5B" w14:textId="77777777" w:rsidR="001F04FD" w:rsidRDefault="001F04FD" w:rsidP="00AC4DEE">
            <w:pPr>
              <w:pStyle w:val="TableHead"/>
            </w:pPr>
            <w:r>
              <w:t>Unit</w:t>
            </w:r>
          </w:p>
        </w:tc>
        <w:tc>
          <w:tcPr>
            <w:tcW w:w="3136" w:type="pct"/>
          </w:tcPr>
          <w:p w14:paraId="516A96D6" w14:textId="77777777" w:rsidR="001F04FD" w:rsidRDefault="001F04FD" w:rsidP="00AC4DEE">
            <w:pPr>
              <w:pStyle w:val="TableHead"/>
            </w:pPr>
            <w:r>
              <w:t>Description</w:t>
            </w:r>
          </w:p>
        </w:tc>
      </w:tr>
      <w:tr w:rsidR="001F04FD" w14:paraId="60AF26E3" w14:textId="77777777" w:rsidTr="00AC4DEE">
        <w:trPr>
          <w:cantSplit/>
        </w:trPr>
        <w:tc>
          <w:tcPr>
            <w:tcW w:w="1298" w:type="pct"/>
          </w:tcPr>
          <w:p w14:paraId="2E5C7870" w14:textId="77777777" w:rsidR="001F04FD" w:rsidRDefault="001F04FD" w:rsidP="00AC4DEE">
            <w:pPr>
              <w:pStyle w:val="TableBody"/>
            </w:pPr>
            <w:r>
              <w:t xml:space="preserve">ERSPAMT </w:t>
            </w:r>
            <w:r w:rsidRPr="00E15B17">
              <w:rPr>
                <w:i/>
                <w:vertAlign w:val="subscript"/>
              </w:rPr>
              <w:t>qc(tp)d</w:t>
            </w:r>
          </w:p>
        </w:tc>
        <w:tc>
          <w:tcPr>
            <w:tcW w:w="566" w:type="pct"/>
          </w:tcPr>
          <w:p w14:paraId="2C853057" w14:textId="77777777" w:rsidR="001F04FD" w:rsidRDefault="001F04FD" w:rsidP="00AC4DEE">
            <w:pPr>
              <w:pStyle w:val="TableBody"/>
            </w:pPr>
            <w:r>
              <w:t>$</w:t>
            </w:r>
          </w:p>
        </w:tc>
        <w:tc>
          <w:tcPr>
            <w:tcW w:w="3136" w:type="pct"/>
          </w:tcPr>
          <w:p w14:paraId="0C9C3BCF" w14:textId="77777777" w:rsidR="001F04FD" w:rsidRDefault="001F04FD" w:rsidP="00AC4DEE">
            <w:pPr>
              <w:pStyle w:val="TableBody"/>
            </w:pPr>
            <w:r>
              <w:rPr>
                <w:i/>
              </w:rPr>
              <w:t>ERS</w:t>
            </w:r>
            <w:r w:rsidRPr="00DE1436">
              <w:rPr>
                <w:i/>
              </w:rPr>
              <w:t xml:space="preserve"> Payment Amount per QSE per </w:t>
            </w:r>
            <w:r>
              <w:rPr>
                <w:i/>
              </w:rPr>
              <w:t xml:space="preserve">ERS </w:t>
            </w:r>
            <w:r w:rsidRPr="00DE1436">
              <w:rPr>
                <w:i/>
              </w:rPr>
              <w:t xml:space="preserve">Contract Period per </w:t>
            </w:r>
            <w:r>
              <w:rPr>
                <w:i/>
              </w:rPr>
              <w:t>ERS</w:t>
            </w:r>
            <w:r w:rsidRPr="00DE1436">
              <w:rPr>
                <w:i/>
              </w:rPr>
              <w:t xml:space="preserve"> Time Period</w:t>
            </w:r>
            <w:r>
              <w:rPr>
                <w:i/>
              </w:rPr>
              <w:t xml:space="preserve"> per ERS Service Type</w:t>
            </w:r>
            <w:r>
              <w:t xml:space="preserve">—ERS total payment to QSE </w:t>
            </w:r>
            <w:r>
              <w:rPr>
                <w:i/>
              </w:rPr>
              <w:t xml:space="preserve">q </w:t>
            </w:r>
            <w:r>
              <w:t xml:space="preserve">for ERS Contract Period </w:t>
            </w:r>
            <w:r>
              <w:rPr>
                <w:i/>
              </w:rPr>
              <w:t>c,</w:t>
            </w:r>
            <w:r w:rsidRPr="00BF3E0E">
              <w:t xml:space="preserve"> </w:t>
            </w:r>
            <w:r>
              <w:t xml:space="preserve">and ERS Time Period </w:t>
            </w:r>
            <w:r>
              <w:rPr>
                <w:i/>
              </w:rPr>
              <w:t xml:space="preserve">tp </w:t>
            </w:r>
            <w:r>
              <w:t xml:space="preserve">and ERS service type </w:t>
            </w:r>
            <w:r>
              <w:rPr>
                <w:i/>
              </w:rPr>
              <w:t>d</w:t>
            </w:r>
            <w:r>
              <w:t>.</w:t>
            </w:r>
          </w:p>
        </w:tc>
      </w:tr>
      <w:tr w:rsidR="001F04FD" w14:paraId="0FAE439F" w14:textId="77777777" w:rsidTr="00AC4DEE">
        <w:trPr>
          <w:cantSplit/>
          <w:trHeight w:val="70"/>
        </w:trPr>
        <w:tc>
          <w:tcPr>
            <w:tcW w:w="1298" w:type="pct"/>
          </w:tcPr>
          <w:p w14:paraId="3A73BAE1" w14:textId="77777777" w:rsidR="001F04FD" w:rsidRDefault="001F04FD" w:rsidP="00AC4DEE">
            <w:pPr>
              <w:pStyle w:val="TableBody"/>
            </w:pPr>
            <w:r w:rsidRPr="009F3A66">
              <w:t>COMPAMT</w:t>
            </w:r>
            <w:r>
              <w:t xml:space="preserve"> </w:t>
            </w:r>
            <w:r w:rsidRPr="00E15B17">
              <w:rPr>
                <w:i/>
                <w:vertAlign w:val="subscript"/>
              </w:rPr>
              <w:t>qc(tp)d</w:t>
            </w:r>
          </w:p>
        </w:tc>
        <w:tc>
          <w:tcPr>
            <w:tcW w:w="566" w:type="pct"/>
          </w:tcPr>
          <w:p w14:paraId="04D514D2" w14:textId="77777777" w:rsidR="001F04FD" w:rsidRDefault="001F04FD" w:rsidP="00AC4DEE">
            <w:pPr>
              <w:pStyle w:val="TableBody"/>
            </w:pPr>
            <w:r>
              <w:t>$</w:t>
            </w:r>
          </w:p>
        </w:tc>
        <w:tc>
          <w:tcPr>
            <w:tcW w:w="3136" w:type="pct"/>
          </w:tcPr>
          <w:p w14:paraId="7D8C6FE9" w14:textId="77777777" w:rsidR="001F04FD" w:rsidRDefault="001F04FD" w:rsidP="00AC4DEE">
            <w:pPr>
              <w:pStyle w:val="TableBody"/>
            </w:pPr>
            <w:r w:rsidRPr="00DE1436">
              <w:rPr>
                <w:i/>
              </w:rPr>
              <w:t xml:space="preserve">Competitive Amount per QSE per </w:t>
            </w:r>
            <w:r>
              <w:rPr>
                <w:i/>
              </w:rPr>
              <w:t xml:space="preserve">ERS </w:t>
            </w:r>
            <w:r w:rsidRPr="00DE1436">
              <w:rPr>
                <w:i/>
              </w:rPr>
              <w:t xml:space="preserve">Contract Period per </w:t>
            </w:r>
            <w:r>
              <w:rPr>
                <w:i/>
              </w:rPr>
              <w:t xml:space="preserve">ERS </w:t>
            </w:r>
            <w:r w:rsidRPr="00DE1436">
              <w:rPr>
                <w:i/>
              </w:rPr>
              <w:t>Time Period</w:t>
            </w:r>
            <w:r>
              <w:rPr>
                <w:i/>
              </w:rPr>
              <w:t xml:space="preserve"> per ERS Service Type</w:t>
            </w:r>
            <w:r>
              <w:t xml:space="preserve">—ERS total payment to QSE </w:t>
            </w:r>
            <w:r>
              <w:rPr>
                <w:i/>
              </w:rPr>
              <w:t xml:space="preserve">q </w:t>
            </w:r>
            <w:r>
              <w:t xml:space="preserve">for all competitively procured ERS Resources delivered for ERS Contract Period </w:t>
            </w:r>
            <w:r>
              <w:rPr>
                <w:i/>
              </w:rPr>
              <w:t>c</w:t>
            </w:r>
            <w:r>
              <w:t xml:space="preserve">, and ERS Time Period </w:t>
            </w:r>
            <w:r>
              <w:rPr>
                <w:i/>
              </w:rPr>
              <w:t>tp</w:t>
            </w:r>
            <w:r>
              <w:t xml:space="preserve"> and ERS service type </w:t>
            </w:r>
            <w:r>
              <w:rPr>
                <w:i/>
              </w:rPr>
              <w:t>d</w:t>
            </w:r>
            <w:r>
              <w:t>.</w:t>
            </w:r>
          </w:p>
        </w:tc>
      </w:tr>
      <w:tr w:rsidR="001F04FD" w14:paraId="0677E346" w14:textId="77777777" w:rsidTr="00AC4DEE">
        <w:trPr>
          <w:cantSplit/>
        </w:trPr>
        <w:tc>
          <w:tcPr>
            <w:tcW w:w="1298" w:type="pct"/>
          </w:tcPr>
          <w:p w14:paraId="2B64D58C" w14:textId="77777777" w:rsidR="001F04FD" w:rsidRDefault="001F04FD" w:rsidP="00AC4DEE">
            <w:pPr>
              <w:pStyle w:val="TableBody"/>
            </w:pPr>
            <w:r>
              <w:rPr>
                <w:lang w:val="pt-BR"/>
              </w:rPr>
              <w:t xml:space="preserve">SPAMT </w:t>
            </w:r>
            <w:r w:rsidRPr="00E15B17">
              <w:rPr>
                <w:i/>
                <w:vertAlign w:val="subscript"/>
              </w:rPr>
              <w:t>qc(tp)d</w:t>
            </w:r>
          </w:p>
        </w:tc>
        <w:tc>
          <w:tcPr>
            <w:tcW w:w="566" w:type="pct"/>
          </w:tcPr>
          <w:p w14:paraId="56612AD5" w14:textId="77777777" w:rsidR="001F04FD" w:rsidRPr="005C5991" w:rsidRDefault="001F04FD" w:rsidP="00AC4DEE">
            <w:pPr>
              <w:pStyle w:val="VariableDefinition"/>
              <w:tabs>
                <w:tab w:val="clear" w:pos="2160"/>
              </w:tabs>
              <w:spacing w:after="60"/>
              <w:ind w:left="0" w:firstLine="0"/>
              <w:rPr>
                <w:sz w:val="20"/>
              </w:rPr>
            </w:pPr>
            <w:r>
              <w:rPr>
                <w:sz w:val="20"/>
              </w:rPr>
              <w:t>$</w:t>
            </w:r>
          </w:p>
        </w:tc>
        <w:tc>
          <w:tcPr>
            <w:tcW w:w="3136" w:type="pct"/>
          </w:tcPr>
          <w:p w14:paraId="68B51873" w14:textId="77777777" w:rsidR="001F04FD" w:rsidRPr="005C5991" w:rsidRDefault="001F04FD" w:rsidP="00AC4DEE">
            <w:pPr>
              <w:pStyle w:val="VariableDefinition"/>
              <w:tabs>
                <w:tab w:val="clear" w:pos="2160"/>
              </w:tabs>
              <w:spacing w:after="60"/>
              <w:ind w:left="0" w:firstLine="0"/>
              <w:rPr>
                <w:sz w:val="20"/>
              </w:rPr>
            </w:pPr>
            <w:r w:rsidRPr="00DE1436">
              <w:rPr>
                <w:i/>
                <w:sz w:val="20"/>
              </w:rPr>
              <w:t>Self-Procured Amount</w:t>
            </w:r>
            <w:r>
              <w:rPr>
                <w:sz w:val="20"/>
              </w:rPr>
              <w:t xml:space="preserve"> </w:t>
            </w:r>
            <w:r w:rsidRPr="009F3A66">
              <w:rPr>
                <w:i/>
                <w:sz w:val="20"/>
              </w:rPr>
              <w:t xml:space="preserve">per QSE per </w:t>
            </w:r>
            <w:r>
              <w:rPr>
                <w:i/>
                <w:sz w:val="20"/>
              </w:rPr>
              <w:t xml:space="preserve">ERS </w:t>
            </w:r>
            <w:r w:rsidRPr="009F3A66">
              <w:rPr>
                <w:i/>
                <w:sz w:val="20"/>
              </w:rPr>
              <w:t xml:space="preserve">Contract Period per </w:t>
            </w:r>
            <w:r>
              <w:rPr>
                <w:i/>
                <w:sz w:val="20"/>
              </w:rPr>
              <w:t xml:space="preserve">ERS </w:t>
            </w:r>
            <w:r w:rsidRPr="009F3A66">
              <w:rPr>
                <w:i/>
                <w:sz w:val="20"/>
              </w:rPr>
              <w:t>Time Period</w:t>
            </w:r>
            <w:r>
              <w:rPr>
                <w:i/>
                <w:sz w:val="20"/>
              </w:rPr>
              <w:t xml:space="preserve"> per ERS Service Type</w:t>
            </w:r>
            <w:r>
              <w:t>—</w:t>
            </w:r>
            <w:r>
              <w:rPr>
                <w:sz w:val="20"/>
              </w:rPr>
              <w:t xml:space="preserve">ERS total payment to QSE </w:t>
            </w:r>
            <w:r>
              <w:rPr>
                <w:i/>
                <w:sz w:val="20"/>
              </w:rPr>
              <w:t xml:space="preserve">q </w:t>
            </w:r>
            <w:r>
              <w:rPr>
                <w:sz w:val="20"/>
              </w:rPr>
              <w:t xml:space="preserve">for its self-provided ERS Resources for ERS Contract Period </w:t>
            </w:r>
            <w:r>
              <w:rPr>
                <w:i/>
                <w:sz w:val="20"/>
              </w:rPr>
              <w:t>c</w:t>
            </w:r>
            <w:r>
              <w:rPr>
                <w:sz w:val="20"/>
              </w:rPr>
              <w:t xml:space="preserve">, ERS Time Period </w:t>
            </w:r>
            <w:r w:rsidRPr="00CD6DAF">
              <w:rPr>
                <w:i/>
                <w:sz w:val="20"/>
              </w:rPr>
              <w:t>tp</w:t>
            </w:r>
            <w:r>
              <w:rPr>
                <w:sz w:val="20"/>
              </w:rPr>
              <w:t xml:space="preserve"> and ERS service type </w:t>
            </w:r>
            <w:r>
              <w:rPr>
                <w:i/>
                <w:sz w:val="20"/>
              </w:rPr>
              <w:t>d</w:t>
            </w:r>
            <w:r>
              <w:rPr>
                <w:sz w:val="20"/>
              </w:rPr>
              <w:t>.</w:t>
            </w:r>
          </w:p>
        </w:tc>
      </w:tr>
      <w:tr w:rsidR="001F04FD" w14:paraId="6A30E054" w14:textId="77777777" w:rsidTr="00AC4DEE">
        <w:trPr>
          <w:cantSplit/>
        </w:trPr>
        <w:tc>
          <w:tcPr>
            <w:tcW w:w="1298" w:type="pct"/>
          </w:tcPr>
          <w:p w14:paraId="4056B2B2" w14:textId="77777777" w:rsidR="001F04FD" w:rsidRPr="009F3A66" w:rsidRDefault="001F04FD" w:rsidP="00AC4DEE">
            <w:pPr>
              <w:pStyle w:val="TableBody"/>
            </w:pPr>
            <w:r>
              <w:t xml:space="preserve">ERSPAMTQSETOT </w:t>
            </w:r>
            <w:r w:rsidRPr="00E15B17">
              <w:rPr>
                <w:i/>
                <w:vertAlign w:val="subscript"/>
              </w:rPr>
              <w:t>q</w:t>
            </w:r>
          </w:p>
        </w:tc>
        <w:tc>
          <w:tcPr>
            <w:tcW w:w="566" w:type="pct"/>
          </w:tcPr>
          <w:p w14:paraId="59122E54" w14:textId="77777777" w:rsidR="001F04FD" w:rsidRDefault="001F04FD" w:rsidP="00AC4DEE">
            <w:pPr>
              <w:pStyle w:val="VariableDefinition"/>
              <w:tabs>
                <w:tab w:val="clear" w:pos="2160"/>
              </w:tabs>
              <w:spacing w:after="60"/>
              <w:ind w:left="0" w:firstLine="0"/>
              <w:rPr>
                <w:sz w:val="20"/>
              </w:rPr>
            </w:pPr>
            <w:r>
              <w:rPr>
                <w:sz w:val="20"/>
              </w:rPr>
              <w:t>$</w:t>
            </w:r>
          </w:p>
        </w:tc>
        <w:tc>
          <w:tcPr>
            <w:tcW w:w="3136" w:type="pct"/>
          </w:tcPr>
          <w:p w14:paraId="29883A4A" w14:textId="77777777" w:rsidR="001F04FD" w:rsidRPr="00735070" w:rsidRDefault="001F04FD" w:rsidP="00AC4DEE">
            <w:pPr>
              <w:pStyle w:val="VariableDefinition"/>
              <w:tabs>
                <w:tab w:val="clear" w:pos="2160"/>
              </w:tabs>
              <w:spacing w:after="60"/>
              <w:ind w:left="0" w:firstLine="0"/>
              <w:rPr>
                <w:sz w:val="20"/>
              </w:rPr>
            </w:pPr>
            <w:r>
              <w:rPr>
                <w:i/>
                <w:sz w:val="20"/>
              </w:rPr>
              <w:t>ERS</w:t>
            </w:r>
            <w:r w:rsidRPr="00DE1436">
              <w:rPr>
                <w:i/>
                <w:sz w:val="20"/>
              </w:rPr>
              <w:t xml:space="preserve"> Payment QSE Total per QSE</w:t>
            </w:r>
            <w:r>
              <w:t>—</w:t>
            </w:r>
            <w:r>
              <w:rPr>
                <w:sz w:val="20"/>
              </w:rPr>
              <w:t xml:space="preserve">The total ERS total payments to QSE </w:t>
            </w:r>
            <w:r>
              <w:rPr>
                <w:i/>
                <w:sz w:val="20"/>
              </w:rPr>
              <w:t>q</w:t>
            </w:r>
            <w:r>
              <w:rPr>
                <w:sz w:val="20"/>
              </w:rPr>
              <w:t>.</w:t>
            </w:r>
          </w:p>
        </w:tc>
      </w:tr>
      <w:tr w:rsidR="001F04FD" w14:paraId="33B3901B" w14:textId="77777777" w:rsidTr="00AC4DEE">
        <w:trPr>
          <w:cantSplit/>
        </w:trPr>
        <w:tc>
          <w:tcPr>
            <w:tcW w:w="1298" w:type="pct"/>
          </w:tcPr>
          <w:p w14:paraId="701AE03D" w14:textId="77777777" w:rsidR="001F04FD" w:rsidRPr="003274F1" w:rsidRDefault="001F04FD" w:rsidP="00AC4DEE">
            <w:pPr>
              <w:pStyle w:val="TableBody"/>
            </w:pPr>
            <w:r>
              <w:t>ERSPAMTTOT</w:t>
            </w:r>
            <w:r w:rsidRPr="003274F1">
              <w:rPr>
                <w:i/>
                <w:vertAlign w:val="subscript"/>
              </w:rPr>
              <w:t xml:space="preserve"> </w:t>
            </w:r>
            <w:r w:rsidRPr="00E15B17">
              <w:rPr>
                <w:i/>
                <w:vertAlign w:val="subscript"/>
              </w:rPr>
              <w:t>c(tp)d</w:t>
            </w:r>
          </w:p>
        </w:tc>
        <w:tc>
          <w:tcPr>
            <w:tcW w:w="566" w:type="pct"/>
          </w:tcPr>
          <w:p w14:paraId="52196950" w14:textId="77777777" w:rsidR="001F04FD" w:rsidRDefault="001F04FD" w:rsidP="00AC4DEE">
            <w:pPr>
              <w:pStyle w:val="VariableDefinition"/>
              <w:tabs>
                <w:tab w:val="clear" w:pos="2160"/>
              </w:tabs>
              <w:spacing w:after="60"/>
              <w:ind w:left="0" w:firstLine="0"/>
              <w:rPr>
                <w:sz w:val="20"/>
              </w:rPr>
            </w:pPr>
            <w:r>
              <w:rPr>
                <w:sz w:val="20"/>
              </w:rPr>
              <w:t>$</w:t>
            </w:r>
          </w:p>
        </w:tc>
        <w:tc>
          <w:tcPr>
            <w:tcW w:w="3136" w:type="pct"/>
          </w:tcPr>
          <w:p w14:paraId="33EA044B" w14:textId="77777777" w:rsidR="001F04FD" w:rsidRPr="002E07B2" w:rsidRDefault="001F04FD" w:rsidP="00AC4DEE">
            <w:pPr>
              <w:pStyle w:val="VariableDefinition"/>
              <w:tabs>
                <w:tab w:val="clear" w:pos="2160"/>
              </w:tabs>
              <w:spacing w:after="60"/>
              <w:ind w:left="0" w:firstLine="0"/>
              <w:rPr>
                <w:sz w:val="20"/>
              </w:rPr>
            </w:pPr>
            <w:r>
              <w:rPr>
                <w:i/>
                <w:sz w:val="20"/>
              </w:rPr>
              <w:t>ERS</w:t>
            </w:r>
            <w:r w:rsidRPr="009F3A66">
              <w:rPr>
                <w:i/>
                <w:sz w:val="20"/>
              </w:rPr>
              <w:t xml:space="preserve"> Payment </w:t>
            </w:r>
            <w:r>
              <w:rPr>
                <w:i/>
                <w:sz w:val="20"/>
              </w:rPr>
              <w:t>Amount Total per ERS Contract Period</w:t>
            </w:r>
            <w:r w:rsidRPr="00735070">
              <w:rPr>
                <w:i/>
                <w:sz w:val="20"/>
              </w:rPr>
              <w:t xml:space="preserve"> per </w:t>
            </w:r>
            <w:r>
              <w:rPr>
                <w:i/>
                <w:sz w:val="20"/>
              </w:rPr>
              <w:t>ERS</w:t>
            </w:r>
            <w:r w:rsidRPr="00735070">
              <w:rPr>
                <w:i/>
                <w:sz w:val="20"/>
              </w:rPr>
              <w:t xml:space="preserve"> Time Period</w:t>
            </w:r>
            <w:r>
              <w:rPr>
                <w:i/>
                <w:sz w:val="20"/>
              </w:rPr>
              <w:t xml:space="preserve"> per ERS Service Type</w:t>
            </w:r>
            <w:r>
              <w:t>—</w:t>
            </w:r>
            <w:r>
              <w:rPr>
                <w:sz w:val="20"/>
              </w:rPr>
              <w:t xml:space="preserve">Total of all ERS payments for ERS Contract Period </w:t>
            </w:r>
            <w:r>
              <w:rPr>
                <w:i/>
                <w:sz w:val="20"/>
              </w:rPr>
              <w:t>c</w:t>
            </w:r>
            <w:r>
              <w:rPr>
                <w:sz w:val="20"/>
              </w:rPr>
              <w:t xml:space="preserve">, ERS Time Period </w:t>
            </w:r>
            <w:r>
              <w:rPr>
                <w:i/>
                <w:sz w:val="20"/>
              </w:rPr>
              <w:t>tp</w:t>
            </w:r>
            <w:r>
              <w:rPr>
                <w:sz w:val="20"/>
              </w:rPr>
              <w:t xml:space="preserve"> and ERS service type </w:t>
            </w:r>
            <w:r>
              <w:rPr>
                <w:i/>
                <w:sz w:val="20"/>
              </w:rPr>
              <w:t>d</w:t>
            </w:r>
            <w:r w:rsidRPr="002E07B2">
              <w:rPr>
                <w:sz w:val="20"/>
              </w:rPr>
              <w:t>.</w:t>
            </w:r>
          </w:p>
        </w:tc>
      </w:tr>
      <w:tr w:rsidR="001F04FD" w14:paraId="4CB71362" w14:textId="77777777" w:rsidTr="00AC4DEE">
        <w:trPr>
          <w:cantSplit/>
        </w:trPr>
        <w:tc>
          <w:tcPr>
            <w:tcW w:w="1298" w:type="pct"/>
          </w:tcPr>
          <w:p w14:paraId="0AAC3401" w14:textId="77777777" w:rsidR="001F04FD" w:rsidRPr="009F3A66" w:rsidRDefault="001F04FD" w:rsidP="00AC4DEE">
            <w:pPr>
              <w:pStyle w:val="TableBody"/>
            </w:pPr>
            <w:r>
              <w:lastRenderedPageBreak/>
              <w:t xml:space="preserve">ERSPRICE </w:t>
            </w:r>
            <w:r w:rsidRPr="00E15B17">
              <w:rPr>
                <w:i/>
                <w:vertAlign w:val="subscript"/>
              </w:rPr>
              <w:t>qc(tp)d</w:t>
            </w:r>
          </w:p>
        </w:tc>
        <w:tc>
          <w:tcPr>
            <w:tcW w:w="566" w:type="pct"/>
          </w:tcPr>
          <w:p w14:paraId="0B53B5D3" w14:textId="77777777" w:rsidR="001F04FD" w:rsidRDefault="001F04FD" w:rsidP="00AC4DEE">
            <w:pPr>
              <w:pStyle w:val="VariableDefinition"/>
              <w:tabs>
                <w:tab w:val="clear" w:pos="2160"/>
              </w:tabs>
              <w:spacing w:after="60"/>
              <w:ind w:left="0" w:firstLine="0"/>
              <w:rPr>
                <w:sz w:val="20"/>
              </w:rPr>
            </w:pPr>
            <w:r>
              <w:rPr>
                <w:sz w:val="20"/>
              </w:rPr>
              <w:t>$/MW per hour</w:t>
            </w:r>
          </w:p>
        </w:tc>
        <w:tc>
          <w:tcPr>
            <w:tcW w:w="3136" w:type="pct"/>
          </w:tcPr>
          <w:p w14:paraId="2573209E" w14:textId="77777777" w:rsidR="001F04FD" w:rsidRPr="00857EE5" w:rsidRDefault="001F04FD" w:rsidP="00AC4DEE">
            <w:pPr>
              <w:pStyle w:val="VariableDefinition"/>
              <w:tabs>
                <w:tab w:val="clear" w:pos="2160"/>
              </w:tabs>
              <w:spacing w:after="60"/>
              <w:ind w:left="0" w:firstLine="0"/>
              <w:rPr>
                <w:i/>
                <w:sz w:val="20"/>
              </w:rPr>
            </w:pPr>
            <w:r>
              <w:rPr>
                <w:i/>
                <w:sz w:val="20"/>
              </w:rPr>
              <w:t>Price of the Highest Offer Cleared per QSE per ERS Contract Period per ERS Time Period per ERS Service Type</w:t>
            </w:r>
            <w:r w:rsidRPr="00857EE5">
              <w:t>—</w:t>
            </w:r>
            <w:r w:rsidRPr="00857EE5">
              <w:rPr>
                <w:sz w:val="20"/>
              </w:rPr>
              <w:t xml:space="preserve">Contracted </w:t>
            </w:r>
            <w:r>
              <w:rPr>
                <w:sz w:val="20"/>
              </w:rPr>
              <w:t xml:space="preserve">clearing </w:t>
            </w:r>
            <w:r w:rsidRPr="00857EE5">
              <w:rPr>
                <w:sz w:val="20"/>
              </w:rPr>
              <w:t xml:space="preserve">price for </w:t>
            </w:r>
            <w:r>
              <w:rPr>
                <w:sz w:val="20"/>
              </w:rPr>
              <w:t xml:space="preserve">QSE </w:t>
            </w:r>
            <w:r w:rsidRPr="005A361E">
              <w:rPr>
                <w:i/>
                <w:sz w:val="20"/>
              </w:rPr>
              <w:t>q</w:t>
            </w:r>
            <w:r>
              <w:rPr>
                <w:sz w:val="20"/>
              </w:rPr>
              <w:t xml:space="preserve"> for </w:t>
            </w:r>
            <w:r w:rsidRPr="001322F9">
              <w:rPr>
                <w:sz w:val="20"/>
              </w:rPr>
              <w:t>ERS</w:t>
            </w:r>
            <w:r>
              <w:rPr>
                <w:sz w:val="20"/>
              </w:rPr>
              <w:t xml:space="preserve"> </w:t>
            </w:r>
            <w:r w:rsidRPr="00857EE5">
              <w:rPr>
                <w:sz w:val="20"/>
              </w:rPr>
              <w:t xml:space="preserve">Contract </w:t>
            </w:r>
            <w:r w:rsidRPr="001612CF">
              <w:rPr>
                <w:sz w:val="20"/>
              </w:rPr>
              <w:t xml:space="preserve">Period </w:t>
            </w:r>
            <w:r w:rsidRPr="001612CF">
              <w:rPr>
                <w:i/>
                <w:sz w:val="20"/>
              </w:rPr>
              <w:t>c</w:t>
            </w:r>
            <w:r w:rsidRPr="007064D1">
              <w:rPr>
                <w:sz w:val="20"/>
              </w:rPr>
              <w:t xml:space="preserve">, </w:t>
            </w:r>
            <w:r>
              <w:rPr>
                <w:sz w:val="20"/>
              </w:rPr>
              <w:t>ERS</w:t>
            </w:r>
            <w:r w:rsidRPr="00857EE5">
              <w:rPr>
                <w:sz w:val="20"/>
              </w:rPr>
              <w:t xml:space="preserve"> Time Period </w:t>
            </w:r>
            <w:r w:rsidRPr="00857EE5">
              <w:rPr>
                <w:i/>
                <w:sz w:val="20"/>
              </w:rPr>
              <w:t>tp</w:t>
            </w:r>
            <w:r>
              <w:rPr>
                <w:i/>
                <w:sz w:val="20"/>
              </w:rPr>
              <w:t xml:space="preserve"> </w:t>
            </w:r>
            <w:r>
              <w:rPr>
                <w:sz w:val="20"/>
              </w:rPr>
              <w:t xml:space="preserve">and ERS service type </w:t>
            </w:r>
            <w:r>
              <w:rPr>
                <w:i/>
                <w:sz w:val="20"/>
              </w:rPr>
              <w:t>d</w:t>
            </w:r>
            <w:r w:rsidRPr="00857EE5">
              <w:rPr>
                <w:sz w:val="20"/>
              </w:rPr>
              <w:t>.</w:t>
            </w:r>
          </w:p>
        </w:tc>
      </w:tr>
      <w:tr w:rsidR="001F04FD" w14:paraId="5445F1B7" w14:textId="77777777" w:rsidTr="00AC4DEE">
        <w:trPr>
          <w:cantSplit/>
        </w:trPr>
        <w:tc>
          <w:tcPr>
            <w:tcW w:w="1298" w:type="pct"/>
          </w:tcPr>
          <w:p w14:paraId="266F631B" w14:textId="77777777" w:rsidR="001F04FD" w:rsidRPr="009F3A66" w:rsidRDefault="001F04FD" w:rsidP="00AC4DEE">
            <w:pPr>
              <w:pStyle w:val="TableBody"/>
            </w:pPr>
            <w:r>
              <w:t xml:space="preserve">COMPDELMW </w:t>
            </w:r>
            <w:r w:rsidRPr="00E15B17">
              <w:rPr>
                <w:i/>
                <w:vertAlign w:val="subscript"/>
              </w:rPr>
              <w:t>qce(tp)d</w:t>
            </w:r>
          </w:p>
        </w:tc>
        <w:tc>
          <w:tcPr>
            <w:tcW w:w="566" w:type="pct"/>
          </w:tcPr>
          <w:p w14:paraId="1A39C7BF"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35B0A20F" w14:textId="77777777" w:rsidR="001F04FD" w:rsidRPr="00857EE5" w:rsidRDefault="001F04FD" w:rsidP="00AC4DEE">
            <w:pPr>
              <w:pStyle w:val="VariableDefinition"/>
              <w:tabs>
                <w:tab w:val="clear" w:pos="2160"/>
              </w:tabs>
              <w:spacing w:after="60"/>
              <w:ind w:left="0" w:firstLine="0"/>
              <w:rPr>
                <w:i/>
                <w:sz w:val="20"/>
              </w:rPr>
            </w:pPr>
            <w:r w:rsidRPr="00857EE5">
              <w:rPr>
                <w:i/>
                <w:sz w:val="20"/>
              </w:rPr>
              <w:t xml:space="preserve">Competitive Delivered MW per QSE per </w:t>
            </w:r>
            <w:r>
              <w:rPr>
                <w:i/>
                <w:sz w:val="20"/>
              </w:rPr>
              <w:t>ERS</w:t>
            </w:r>
            <w:r w:rsidRPr="00857EE5">
              <w:rPr>
                <w:i/>
                <w:sz w:val="20"/>
              </w:rPr>
              <w:t xml:space="preserve"> Contract Period per </w:t>
            </w:r>
            <w:r>
              <w:rPr>
                <w:i/>
                <w:sz w:val="20"/>
              </w:rPr>
              <w:t>ERS Resource</w:t>
            </w:r>
            <w:r w:rsidRPr="00857EE5">
              <w:rPr>
                <w:i/>
                <w:sz w:val="20"/>
              </w:rPr>
              <w:t xml:space="preserve"> per </w:t>
            </w:r>
            <w:r>
              <w:rPr>
                <w:i/>
                <w:sz w:val="20"/>
              </w:rPr>
              <w:t>ERS</w:t>
            </w:r>
            <w:r w:rsidRPr="00857EE5">
              <w:rPr>
                <w:i/>
                <w:sz w:val="20"/>
              </w:rPr>
              <w:t xml:space="preserve"> Time Period</w:t>
            </w:r>
            <w:r>
              <w:rPr>
                <w:i/>
                <w:sz w:val="20"/>
              </w:rPr>
              <w:t xml:space="preserve"> per ERS Service Type</w:t>
            </w:r>
            <w:r w:rsidRPr="00857EE5">
              <w:t>—</w:t>
            </w:r>
            <w:r>
              <w:rPr>
                <w:sz w:val="20"/>
              </w:rPr>
              <w:t>ERS</w:t>
            </w:r>
            <w:r w:rsidRPr="00857EE5">
              <w:rPr>
                <w:sz w:val="20"/>
              </w:rPr>
              <w:t xml:space="preserve"> capacity </w:t>
            </w:r>
            <w:r w:rsidRPr="00857EE5">
              <w:rPr>
                <w:bCs/>
                <w:sz w:val="20"/>
              </w:rPr>
              <w:t xml:space="preserve">delivered </w:t>
            </w:r>
            <w:r w:rsidRPr="00857EE5">
              <w:rPr>
                <w:sz w:val="20"/>
              </w:rPr>
              <w:t xml:space="preserve">by the QSE </w:t>
            </w:r>
            <w:r w:rsidRPr="00857EE5">
              <w:rPr>
                <w:i/>
                <w:sz w:val="20"/>
              </w:rPr>
              <w:t>q</w:t>
            </w:r>
            <w:r w:rsidRPr="00857EE5">
              <w:rPr>
                <w:sz w:val="20"/>
              </w:rPr>
              <w:t xml:space="preserve"> </w:t>
            </w:r>
            <w:r w:rsidRPr="00857EE5">
              <w:rPr>
                <w:bCs/>
                <w:sz w:val="20"/>
              </w:rPr>
              <w:t xml:space="preserve">for </w:t>
            </w:r>
            <w:r>
              <w:rPr>
                <w:bCs/>
                <w:sz w:val="20"/>
              </w:rPr>
              <w:t>ERS</w:t>
            </w:r>
            <w:r w:rsidRPr="00857EE5">
              <w:rPr>
                <w:bCs/>
                <w:sz w:val="20"/>
              </w:rPr>
              <w:t xml:space="preserve"> Contract Period </w:t>
            </w:r>
            <w:r>
              <w:rPr>
                <w:bCs/>
                <w:i/>
                <w:sz w:val="20"/>
              </w:rPr>
              <w:t>c,</w:t>
            </w:r>
            <w:r>
              <w:rPr>
                <w:sz w:val="20"/>
              </w:rPr>
              <w:t xml:space="preserve"> </w:t>
            </w:r>
            <w:r w:rsidRPr="00857EE5">
              <w:rPr>
                <w:bCs/>
                <w:sz w:val="20"/>
              </w:rPr>
              <w:t xml:space="preserve">competitive </w:t>
            </w:r>
            <w:r>
              <w:rPr>
                <w:bCs/>
                <w:sz w:val="20"/>
              </w:rPr>
              <w:t>ERS Resource</w:t>
            </w:r>
            <w:r w:rsidRPr="00857EE5">
              <w:rPr>
                <w:bCs/>
                <w:sz w:val="20"/>
              </w:rPr>
              <w:t xml:space="preserve"> </w:t>
            </w:r>
            <w:r w:rsidRPr="00857EE5">
              <w:rPr>
                <w:bCs/>
                <w:i/>
                <w:sz w:val="20"/>
              </w:rPr>
              <w:t>e</w:t>
            </w:r>
            <w:r>
              <w:rPr>
                <w:bCs/>
                <w:sz w:val="20"/>
              </w:rPr>
              <w:t>,</w:t>
            </w:r>
            <w:r w:rsidRPr="00857EE5">
              <w:rPr>
                <w:sz w:val="20"/>
              </w:rPr>
              <w:t xml:space="preserve"> </w:t>
            </w:r>
            <w:r>
              <w:rPr>
                <w:sz w:val="20"/>
              </w:rPr>
              <w:t xml:space="preserve">ERS </w:t>
            </w:r>
            <w:r w:rsidRPr="00857EE5">
              <w:rPr>
                <w:sz w:val="20"/>
              </w:rPr>
              <w:t xml:space="preserve">Time Period </w:t>
            </w:r>
            <w:r w:rsidRPr="00857EE5">
              <w:rPr>
                <w:i/>
                <w:sz w:val="20"/>
              </w:rPr>
              <w:t>tp</w:t>
            </w:r>
            <w:r>
              <w:rPr>
                <w:sz w:val="20"/>
              </w:rPr>
              <w:t xml:space="preserve"> and ERS service type </w:t>
            </w:r>
            <w:r>
              <w:rPr>
                <w:i/>
                <w:sz w:val="20"/>
              </w:rPr>
              <w:t>d</w:t>
            </w:r>
            <w:r w:rsidRPr="00857EE5">
              <w:rPr>
                <w:sz w:val="20"/>
              </w:rPr>
              <w:t>.</w:t>
            </w:r>
          </w:p>
        </w:tc>
      </w:tr>
      <w:tr w:rsidR="001F04FD" w14:paraId="0112273C" w14:textId="77777777" w:rsidTr="00AC4DEE">
        <w:trPr>
          <w:cantSplit/>
        </w:trPr>
        <w:tc>
          <w:tcPr>
            <w:tcW w:w="1298" w:type="pct"/>
          </w:tcPr>
          <w:p w14:paraId="1A56D246" w14:textId="77777777" w:rsidR="001F04FD" w:rsidRDefault="001F04FD" w:rsidP="00AC4DEE">
            <w:pPr>
              <w:pStyle w:val="TableBody"/>
            </w:pPr>
            <w:r>
              <w:t xml:space="preserve">TPH </w:t>
            </w:r>
            <w:r w:rsidRPr="00E15B17">
              <w:rPr>
                <w:i/>
                <w:vertAlign w:val="subscript"/>
              </w:rPr>
              <w:t>c(tp)d</w:t>
            </w:r>
          </w:p>
        </w:tc>
        <w:tc>
          <w:tcPr>
            <w:tcW w:w="566" w:type="pct"/>
          </w:tcPr>
          <w:p w14:paraId="0FCD8446" w14:textId="77777777" w:rsidR="001F04FD" w:rsidRDefault="001F04FD" w:rsidP="00AC4DEE">
            <w:pPr>
              <w:pStyle w:val="VariableDefinition"/>
              <w:tabs>
                <w:tab w:val="clear" w:pos="2160"/>
              </w:tabs>
              <w:spacing w:after="60"/>
              <w:ind w:left="0" w:firstLine="0"/>
              <w:rPr>
                <w:sz w:val="20"/>
              </w:rPr>
            </w:pPr>
            <w:r w:rsidRPr="005C5991">
              <w:rPr>
                <w:sz w:val="20"/>
              </w:rPr>
              <w:t>Hours</w:t>
            </w:r>
          </w:p>
        </w:tc>
        <w:tc>
          <w:tcPr>
            <w:tcW w:w="3136" w:type="pct"/>
          </w:tcPr>
          <w:p w14:paraId="5A5837C9" w14:textId="77777777" w:rsidR="001F04FD" w:rsidRDefault="001F04FD" w:rsidP="00AC4DEE">
            <w:pPr>
              <w:pStyle w:val="VariableDefinition"/>
              <w:tabs>
                <w:tab w:val="clear" w:pos="2160"/>
              </w:tabs>
              <w:spacing w:after="60"/>
              <w:ind w:left="0" w:firstLine="0"/>
              <w:rPr>
                <w:sz w:val="20"/>
              </w:rPr>
            </w:pPr>
            <w:r>
              <w:rPr>
                <w:sz w:val="20"/>
              </w:rPr>
              <w:t>H</w:t>
            </w:r>
            <w:r w:rsidRPr="005C5991">
              <w:rPr>
                <w:sz w:val="20"/>
              </w:rPr>
              <w:t xml:space="preserve">ours in </w:t>
            </w:r>
            <w:r>
              <w:rPr>
                <w:sz w:val="20"/>
              </w:rPr>
              <w:t>ERS</w:t>
            </w:r>
            <w:r w:rsidRPr="005C5991">
              <w:rPr>
                <w:sz w:val="20"/>
              </w:rPr>
              <w:t xml:space="preserve"> Time Period</w:t>
            </w:r>
            <w:r>
              <w:rPr>
                <w:sz w:val="20"/>
              </w:rPr>
              <w:t xml:space="preserve"> </w:t>
            </w:r>
            <w:r>
              <w:rPr>
                <w:i/>
                <w:sz w:val="20"/>
              </w:rPr>
              <w:t xml:space="preserve">tp </w:t>
            </w:r>
            <w:r w:rsidRPr="00C83EFD">
              <w:rPr>
                <w:sz w:val="20"/>
              </w:rPr>
              <w:t xml:space="preserve">for </w:t>
            </w:r>
            <w:r>
              <w:rPr>
                <w:sz w:val="20"/>
              </w:rPr>
              <w:t xml:space="preserve">ERS Contract Period </w:t>
            </w:r>
            <w:r>
              <w:rPr>
                <w:i/>
                <w:sz w:val="20"/>
              </w:rPr>
              <w:t>c</w:t>
            </w:r>
            <w:r>
              <w:rPr>
                <w:sz w:val="20"/>
              </w:rPr>
              <w:t>,</w:t>
            </w:r>
            <w:r w:rsidRPr="00C83EFD">
              <w:rPr>
                <w:sz w:val="20"/>
              </w:rPr>
              <w:t xml:space="preserve"> </w:t>
            </w:r>
            <w:r>
              <w:rPr>
                <w:sz w:val="20"/>
              </w:rPr>
              <w:t xml:space="preserve">and ERS service type </w:t>
            </w:r>
            <w:r>
              <w:rPr>
                <w:i/>
                <w:sz w:val="20"/>
              </w:rPr>
              <w:t>d</w:t>
            </w:r>
            <w:r w:rsidRPr="005C5991">
              <w:rPr>
                <w:sz w:val="20"/>
              </w:rPr>
              <w:t>.</w:t>
            </w:r>
          </w:p>
          <w:p w14:paraId="0561095E" w14:textId="77777777" w:rsidR="001F04FD" w:rsidRPr="00C83EFD" w:rsidRDefault="001F04FD" w:rsidP="00AC4DEE">
            <w:pPr>
              <w:pStyle w:val="VariableDefinition"/>
              <w:tabs>
                <w:tab w:val="clear" w:pos="2160"/>
              </w:tabs>
              <w:spacing w:after="60"/>
              <w:ind w:left="0" w:firstLine="0"/>
              <w:rPr>
                <w:sz w:val="20"/>
              </w:rPr>
            </w:pPr>
            <w:r w:rsidRPr="00C83EFD">
              <w:rPr>
                <w:sz w:val="20"/>
              </w:rPr>
              <w:t>For ERS Resources</w:t>
            </w:r>
            <w:r w:rsidRPr="00C83EFD">
              <w:rPr>
                <w:bCs/>
                <w:sz w:val="20"/>
              </w:rPr>
              <w:t xml:space="preserve"> </w:t>
            </w:r>
            <w:r w:rsidRPr="00C83EFD">
              <w:rPr>
                <w:bCs/>
                <w:i/>
                <w:sz w:val="20"/>
              </w:rPr>
              <w:t>e</w:t>
            </w:r>
            <w:r w:rsidRPr="00C83EFD">
              <w:rPr>
                <w:sz w:val="20"/>
              </w:rPr>
              <w:t xml:space="preserve"> whose obligation is not exhausted in an ERS Contract Period</w:t>
            </w:r>
            <w:r w:rsidRPr="00C83EFD">
              <w:rPr>
                <w:bCs/>
                <w:sz w:val="20"/>
              </w:rPr>
              <w:t xml:space="preserve"> </w:t>
            </w:r>
            <w:r w:rsidRPr="00C83EFD">
              <w:rPr>
                <w:bCs/>
                <w:i/>
                <w:sz w:val="20"/>
              </w:rPr>
              <w:t>c</w:t>
            </w:r>
            <w:r>
              <w:rPr>
                <w:bCs/>
                <w:i/>
                <w:sz w:val="20"/>
              </w:rPr>
              <w:t xml:space="preserve">, </w:t>
            </w:r>
            <w:r w:rsidRPr="00C83EFD">
              <w:rPr>
                <w:sz w:val="20"/>
              </w:rPr>
              <w:t xml:space="preserve">the number of hours in that ERS Time Period </w:t>
            </w:r>
            <w:r w:rsidRPr="00C83EFD">
              <w:rPr>
                <w:i/>
                <w:sz w:val="20"/>
              </w:rPr>
              <w:t>tp</w:t>
            </w:r>
            <w:r w:rsidRPr="00C83EFD">
              <w:rPr>
                <w:sz w:val="20"/>
              </w:rPr>
              <w:t xml:space="preserve"> in that ERS Contract Period</w:t>
            </w:r>
            <w:r w:rsidRPr="00C83EFD">
              <w:rPr>
                <w:bCs/>
                <w:sz w:val="20"/>
              </w:rPr>
              <w:t xml:space="preserve"> </w:t>
            </w:r>
            <w:r w:rsidRPr="00C83EFD">
              <w:rPr>
                <w:bCs/>
                <w:i/>
                <w:sz w:val="20"/>
              </w:rPr>
              <w:t>c</w:t>
            </w:r>
            <w:r w:rsidRPr="00C83EFD">
              <w:rPr>
                <w:sz w:val="20"/>
              </w:rPr>
              <w:t>.</w:t>
            </w:r>
          </w:p>
          <w:p w14:paraId="76B10B79" w14:textId="77777777" w:rsidR="001F04FD" w:rsidRPr="00DE1436" w:rsidRDefault="001F04FD" w:rsidP="00AC4DEE">
            <w:pPr>
              <w:pStyle w:val="VariableDefinition"/>
              <w:tabs>
                <w:tab w:val="clear" w:pos="2160"/>
              </w:tabs>
              <w:spacing w:after="60"/>
              <w:ind w:left="0" w:firstLine="0"/>
              <w:rPr>
                <w:i/>
                <w:sz w:val="20"/>
              </w:rPr>
            </w:pPr>
            <w:r w:rsidRPr="00C83EFD">
              <w:rPr>
                <w:sz w:val="20"/>
              </w:rPr>
              <w:t>For ERS Resources</w:t>
            </w:r>
            <w:r w:rsidRPr="00C83EFD">
              <w:rPr>
                <w:bCs/>
                <w:sz w:val="20"/>
              </w:rPr>
              <w:t xml:space="preserve"> </w:t>
            </w:r>
            <w:r w:rsidRPr="00C83EFD">
              <w:rPr>
                <w:bCs/>
                <w:i/>
                <w:sz w:val="20"/>
              </w:rPr>
              <w:t>e</w:t>
            </w:r>
            <w:r w:rsidRPr="00C83EFD">
              <w:rPr>
                <w:sz w:val="20"/>
              </w:rPr>
              <w:t xml:space="preserve"> whose obligation is exhausted in an ERS Contract Period</w:t>
            </w:r>
            <w:r w:rsidRPr="00C83EFD">
              <w:rPr>
                <w:bCs/>
                <w:sz w:val="20"/>
              </w:rPr>
              <w:t xml:space="preserve"> </w:t>
            </w:r>
            <w:r w:rsidRPr="00C83EFD">
              <w:rPr>
                <w:bCs/>
                <w:i/>
                <w:sz w:val="20"/>
              </w:rPr>
              <w:t>c</w:t>
            </w:r>
            <w:r w:rsidRPr="00C83EFD">
              <w:rPr>
                <w:sz w:val="20"/>
              </w:rPr>
              <w:t>, the number of hours in that ERS Time Period</w:t>
            </w:r>
            <w:r w:rsidRPr="00C83EFD">
              <w:rPr>
                <w:i/>
                <w:sz w:val="20"/>
              </w:rPr>
              <w:t xml:space="preserve"> tp</w:t>
            </w:r>
            <w:r w:rsidRPr="00C83EFD">
              <w:rPr>
                <w:sz w:val="20"/>
              </w:rPr>
              <w:t xml:space="preserve"> from the beginning of the ERS Contract Period</w:t>
            </w:r>
            <w:r w:rsidRPr="00C83EFD">
              <w:rPr>
                <w:bCs/>
                <w:sz w:val="20"/>
              </w:rPr>
              <w:t xml:space="preserve"> </w:t>
            </w:r>
            <w:r w:rsidRPr="00C83EFD">
              <w:rPr>
                <w:bCs/>
                <w:i/>
                <w:sz w:val="20"/>
              </w:rPr>
              <w:t>c</w:t>
            </w:r>
            <w:r w:rsidRPr="00C83EFD">
              <w:rPr>
                <w:sz w:val="20"/>
              </w:rPr>
              <w:t xml:space="preserve"> to the end of the ERS Standard Contract Term.</w:t>
            </w:r>
          </w:p>
        </w:tc>
      </w:tr>
      <w:tr w:rsidR="001F04FD" w14:paraId="77B64151" w14:textId="77777777" w:rsidTr="00AC4DEE">
        <w:trPr>
          <w:cantSplit/>
        </w:trPr>
        <w:tc>
          <w:tcPr>
            <w:tcW w:w="1298" w:type="pct"/>
          </w:tcPr>
          <w:p w14:paraId="3077C918" w14:textId="77777777" w:rsidR="001F04FD" w:rsidRDefault="001F04FD" w:rsidP="00AC4DEE">
            <w:pPr>
              <w:pStyle w:val="TableBody"/>
            </w:pPr>
            <w:r w:rsidRPr="001322F9">
              <w:rPr>
                <w:bCs/>
              </w:rPr>
              <w:t xml:space="preserve">ERSTESTPF </w:t>
            </w:r>
            <w:r w:rsidRPr="00E15B17">
              <w:rPr>
                <w:bCs/>
                <w:i/>
                <w:vertAlign w:val="subscript"/>
              </w:rPr>
              <w:t>qre</w:t>
            </w:r>
            <w:r w:rsidRPr="00E15B17">
              <w:rPr>
                <w:i/>
                <w:iCs w:val="0"/>
                <w:vertAlign w:val="subscript"/>
              </w:rPr>
              <w:t>d</w:t>
            </w:r>
          </w:p>
        </w:tc>
        <w:tc>
          <w:tcPr>
            <w:tcW w:w="566" w:type="pct"/>
          </w:tcPr>
          <w:p w14:paraId="7E6A5C35" w14:textId="77777777" w:rsidR="001F04FD" w:rsidRDefault="001F04FD" w:rsidP="00AC4DEE">
            <w:pPr>
              <w:pStyle w:val="VariableDefinition"/>
              <w:tabs>
                <w:tab w:val="clear" w:pos="2160"/>
              </w:tabs>
              <w:spacing w:after="60"/>
              <w:ind w:left="0" w:firstLine="0"/>
              <w:rPr>
                <w:sz w:val="20"/>
              </w:rPr>
            </w:pPr>
            <w:r w:rsidRPr="00500837">
              <w:rPr>
                <w:iCs w:val="0"/>
                <w:sz w:val="20"/>
              </w:rPr>
              <w:t>None</w:t>
            </w:r>
          </w:p>
        </w:tc>
        <w:tc>
          <w:tcPr>
            <w:tcW w:w="3136" w:type="pct"/>
          </w:tcPr>
          <w:p w14:paraId="51605553" w14:textId="77777777" w:rsidR="001F04FD" w:rsidRPr="00EB238B" w:rsidRDefault="001F04FD" w:rsidP="00AC4DEE">
            <w:pPr>
              <w:pStyle w:val="VariableDefinition"/>
              <w:tabs>
                <w:tab w:val="clear" w:pos="2160"/>
              </w:tabs>
              <w:spacing w:after="60"/>
              <w:ind w:left="0" w:firstLine="0"/>
              <w:rPr>
                <w:sz w:val="20"/>
              </w:rPr>
            </w:pPr>
            <w:r w:rsidRPr="00500837">
              <w:rPr>
                <w:i/>
                <w:iCs w:val="0"/>
                <w:sz w:val="20"/>
              </w:rPr>
              <w:t xml:space="preserve">ERS Test Performance Factor per QSE per ERS Standard Contract Term per ERS Resource </w:t>
            </w:r>
            <w:r>
              <w:rPr>
                <w:i/>
                <w:iCs w:val="0"/>
                <w:sz w:val="20"/>
              </w:rPr>
              <w:t>per ERS Service T</w:t>
            </w:r>
            <w:r w:rsidRPr="00500837">
              <w:rPr>
                <w:i/>
                <w:iCs w:val="0"/>
                <w:sz w:val="20"/>
              </w:rPr>
              <w:t>ype</w:t>
            </w:r>
            <w:r w:rsidRPr="00500837">
              <w:rPr>
                <w:iCs w:val="0"/>
                <w:sz w:val="20"/>
              </w:rPr>
              <w:t xml:space="preserve">—Test performance factor for QSE </w:t>
            </w:r>
            <w:r w:rsidRPr="00500837">
              <w:rPr>
                <w:i/>
                <w:iCs w:val="0"/>
                <w:sz w:val="20"/>
              </w:rPr>
              <w:t xml:space="preserve">q </w:t>
            </w:r>
            <w:r w:rsidRPr="00500837">
              <w:rPr>
                <w:iCs w:val="0"/>
                <w:sz w:val="20"/>
              </w:rPr>
              <w:t xml:space="preserve">in ERS Standard Contract Term </w:t>
            </w:r>
            <w:r w:rsidRPr="00500837">
              <w:rPr>
                <w:i/>
                <w:iCs w:val="0"/>
                <w:sz w:val="20"/>
              </w:rPr>
              <w:t>r</w:t>
            </w:r>
            <w:r w:rsidRPr="00500837">
              <w:rPr>
                <w:iCs w:val="0"/>
                <w:sz w:val="20"/>
              </w:rPr>
              <w:t xml:space="preserve"> for ERS Resource </w:t>
            </w:r>
            <w:r w:rsidRPr="00500837">
              <w:rPr>
                <w:i/>
                <w:iCs w:val="0"/>
                <w:sz w:val="20"/>
              </w:rPr>
              <w:t>e</w:t>
            </w:r>
            <w:r w:rsidRPr="00500837">
              <w:rPr>
                <w:iCs w:val="0"/>
                <w:sz w:val="20"/>
              </w:rPr>
              <w:t xml:space="preserve"> and ERS service type</w:t>
            </w:r>
            <w:r w:rsidRPr="00500837">
              <w:rPr>
                <w:i/>
                <w:iCs w:val="0"/>
                <w:sz w:val="20"/>
              </w:rPr>
              <w:t xml:space="preserve"> d</w:t>
            </w:r>
            <w:r w:rsidRPr="00500837">
              <w:rPr>
                <w:iCs w:val="0"/>
                <w:sz w:val="20"/>
              </w:rPr>
              <w:t xml:space="preserve"> as calculated pursuant to Section 8.1.3.3.1,</w:t>
            </w:r>
            <w:r>
              <w:rPr>
                <w:iCs w:val="0"/>
                <w:sz w:val="20"/>
              </w:rPr>
              <w:t xml:space="preserve"> Suspension of Qualification of Non-Weather-Sensitive</w:t>
            </w:r>
            <w:r w:rsidRPr="00500837">
              <w:rPr>
                <w:iCs w:val="0"/>
                <w:sz w:val="20"/>
              </w:rPr>
              <w:t xml:space="preserve"> Emergency Response Service Resources</w:t>
            </w:r>
            <w:r>
              <w:rPr>
                <w:iCs w:val="0"/>
                <w:sz w:val="20"/>
              </w:rPr>
              <w:t xml:space="preserve"> and/or their Qualified Scheduling Entities</w:t>
            </w:r>
            <w:r w:rsidRPr="00500837">
              <w:rPr>
                <w:iCs w:val="0"/>
                <w:sz w:val="20"/>
              </w:rPr>
              <w:t>.</w:t>
            </w:r>
          </w:p>
        </w:tc>
      </w:tr>
      <w:tr w:rsidR="001F04FD" w14:paraId="0D544E07" w14:textId="77777777" w:rsidTr="00AC4DEE">
        <w:trPr>
          <w:cantSplit/>
        </w:trPr>
        <w:tc>
          <w:tcPr>
            <w:tcW w:w="1298" w:type="pct"/>
          </w:tcPr>
          <w:p w14:paraId="25F4BD68" w14:textId="77777777" w:rsidR="001F04FD" w:rsidRDefault="001F04FD" w:rsidP="00AC4DEE">
            <w:pPr>
              <w:pStyle w:val="TableBody"/>
            </w:pPr>
            <w:r>
              <w:t xml:space="preserve">SPDELMW </w:t>
            </w:r>
            <w:r w:rsidRPr="00E15B17">
              <w:rPr>
                <w:i/>
                <w:vertAlign w:val="subscript"/>
              </w:rPr>
              <w:t>qc(tp)d</w:t>
            </w:r>
          </w:p>
        </w:tc>
        <w:tc>
          <w:tcPr>
            <w:tcW w:w="566" w:type="pct"/>
          </w:tcPr>
          <w:p w14:paraId="391317B9"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2C81DEFD" w14:textId="77777777" w:rsidR="001F04FD" w:rsidRPr="00DE1436" w:rsidRDefault="001F04FD" w:rsidP="00AC4DEE">
            <w:pPr>
              <w:pStyle w:val="VariableDefinition"/>
              <w:tabs>
                <w:tab w:val="clear" w:pos="2160"/>
              </w:tabs>
              <w:spacing w:after="60"/>
              <w:ind w:left="0" w:firstLine="0"/>
              <w:rPr>
                <w:i/>
                <w:sz w:val="20"/>
              </w:rPr>
            </w:pPr>
            <w:r w:rsidRPr="007D7277">
              <w:rPr>
                <w:i/>
                <w:sz w:val="20"/>
              </w:rPr>
              <w:t>Self-Provided Delivered MW</w:t>
            </w:r>
            <w:r>
              <w:rPr>
                <w:sz w:val="20"/>
              </w:rPr>
              <w:t xml:space="preserve"> </w:t>
            </w:r>
            <w:r w:rsidRPr="009F3A66">
              <w:rPr>
                <w:i/>
                <w:sz w:val="20"/>
              </w:rPr>
              <w:t xml:space="preserve">per QSE per </w:t>
            </w:r>
            <w:r>
              <w:rPr>
                <w:i/>
                <w:sz w:val="20"/>
              </w:rPr>
              <w:t xml:space="preserve">ERS </w:t>
            </w:r>
            <w:r w:rsidRPr="009F3A66">
              <w:rPr>
                <w:i/>
                <w:sz w:val="20"/>
              </w:rPr>
              <w:t xml:space="preserve">Contract Period per </w:t>
            </w:r>
            <w:r>
              <w:rPr>
                <w:i/>
                <w:sz w:val="20"/>
              </w:rPr>
              <w:t xml:space="preserve">ERS Resource per ERS </w:t>
            </w:r>
            <w:r w:rsidRPr="009F3A66">
              <w:rPr>
                <w:i/>
                <w:sz w:val="20"/>
              </w:rPr>
              <w:t>Time Period</w:t>
            </w:r>
            <w:r>
              <w:rPr>
                <w:i/>
                <w:sz w:val="20"/>
              </w:rPr>
              <w:t xml:space="preserve"> per ERS Service Type</w:t>
            </w:r>
            <w:r>
              <w:t>—</w:t>
            </w:r>
            <w:r>
              <w:rPr>
                <w:sz w:val="20"/>
              </w:rPr>
              <w:t xml:space="preserve">Total ERS capacity self-provided and delivered by QSE </w:t>
            </w:r>
            <w:r>
              <w:rPr>
                <w:i/>
                <w:sz w:val="20"/>
              </w:rPr>
              <w:t xml:space="preserve">q </w:t>
            </w:r>
            <w:r>
              <w:rPr>
                <w:bCs/>
                <w:sz w:val="20"/>
              </w:rPr>
              <w:t xml:space="preserve">for </w:t>
            </w:r>
            <w:r>
              <w:rPr>
                <w:sz w:val="20"/>
              </w:rPr>
              <w:t xml:space="preserve">ERS Contract Period </w:t>
            </w:r>
            <w:r>
              <w:rPr>
                <w:i/>
                <w:sz w:val="20"/>
              </w:rPr>
              <w:t xml:space="preserve">c, </w:t>
            </w:r>
            <w:r>
              <w:rPr>
                <w:sz w:val="20"/>
              </w:rPr>
              <w:t xml:space="preserve">ERS Resource </w:t>
            </w:r>
            <w:r>
              <w:rPr>
                <w:i/>
                <w:sz w:val="20"/>
              </w:rPr>
              <w:t>e</w:t>
            </w:r>
            <w:r w:rsidRPr="00274A04">
              <w:rPr>
                <w:sz w:val="20"/>
              </w:rPr>
              <w:t>,</w:t>
            </w:r>
            <w:r>
              <w:rPr>
                <w:sz w:val="20"/>
              </w:rPr>
              <w:t xml:space="preserve"> ERS Time Period </w:t>
            </w:r>
            <w:r>
              <w:rPr>
                <w:i/>
                <w:sz w:val="20"/>
              </w:rPr>
              <w:t xml:space="preserve">tp </w:t>
            </w:r>
            <w:r>
              <w:rPr>
                <w:sz w:val="20"/>
              </w:rPr>
              <w:t xml:space="preserve">and ERS service type </w:t>
            </w:r>
            <w:r>
              <w:rPr>
                <w:i/>
                <w:sz w:val="20"/>
              </w:rPr>
              <w:t>d</w:t>
            </w:r>
            <w:r>
              <w:rPr>
                <w:sz w:val="20"/>
              </w:rPr>
              <w:t>.</w:t>
            </w:r>
          </w:p>
        </w:tc>
      </w:tr>
      <w:tr w:rsidR="001F04FD" w14:paraId="7C567DC9" w14:textId="77777777" w:rsidTr="00AC4DEE">
        <w:trPr>
          <w:cantSplit/>
        </w:trPr>
        <w:tc>
          <w:tcPr>
            <w:tcW w:w="1298" w:type="pct"/>
          </w:tcPr>
          <w:p w14:paraId="76422C45" w14:textId="77777777" w:rsidR="001F04FD" w:rsidRDefault="001F04FD" w:rsidP="00AC4DEE">
            <w:pPr>
              <w:pStyle w:val="TableBody"/>
            </w:pPr>
            <w:r w:rsidRPr="00B507B3">
              <w:t xml:space="preserve">COMPDELQSEMW </w:t>
            </w:r>
            <w:r w:rsidRPr="00E15B17">
              <w:rPr>
                <w:i/>
                <w:vertAlign w:val="subscript"/>
              </w:rPr>
              <w:t>qc(tp)d</w:t>
            </w:r>
          </w:p>
        </w:tc>
        <w:tc>
          <w:tcPr>
            <w:tcW w:w="566" w:type="pct"/>
          </w:tcPr>
          <w:p w14:paraId="63A94914" w14:textId="77777777" w:rsidR="001F04FD" w:rsidRDefault="001F04FD" w:rsidP="00AC4DEE">
            <w:pPr>
              <w:pStyle w:val="VariableDefinition"/>
              <w:tabs>
                <w:tab w:val="clear" w:pos="2160"/>
              </w:tabs>
              <w:spacing w:after="60"/>
              <w:ind w:left="0" w:firstLine="0"/>
              <w:rPr>
                <w:sz w:val="20"/>
              </w:rPr>
            </w:pPr>
            <w:r w:rsidRPr="00500837">
              <w:rPr>
                <w:sz w:val="20"/>
              </w:rPr>
              <w:t>MW</w:t>
            </w:r>
          </w:p>
        </w:tc>
        <w:tc>
          <w:tcPr>
            <w:tcW w:w="3136" w:type="pct"/>
          </w:tcPr>
          <w:p w14:paraId="70656166" w14:textId="77777777" w:rsidR="001F04FD" w:rsidRPr="00857EE5" w:rsidRDefault="001F04FD" w:rsidP="00AC4DEE">
            <w:pPr>
              <w:pStyle w:val="VariableDefinition"/>
              <w:tabs>
                <w:tab w:val="clear" w:pos="2160"/>
              </w:tabs>
              <w:spacing w:after="60"/>
              <w:ind w:left="0" w:firstLine="0"/>
              <w:rPr>
                <w:i/>
                <w:sz w:val="20"/>
              </w:rPr>
            </w:pPr>
            <w:r w:rsidRPr="00500837">
              <w:rPr>
                <w:i/>
                <w:sz w:val="20"/>
              </w:rPr>
              <w:t xml:space="preserve">Competitive Delivered MW Total </w:t>
            </w:r>
            <w:r>
              <w:rPr>
                <w:i/>
                <w:sz w:val="20"/>
              </w:rPr>
              <w:t xml:space="preserve">per QSE </w:t>
            </w:r>
            <w:r w:rsidRPr="00500837">
              <w:rPr>
                <w:i/>
                <w:sz w:val="20"/>
              </w:rPr>
              <w:t>per ERS Contract Period per ERS Time Period per ERS service type</w:t>
            </w:r>
            <w:r w:rsidRPr="00500837">
              <w:rPr>
                <w:sz w:val="20"/>
              </w:rPr>
              <w:t>—Total ERS competitive capacity delivered by QSE</w:t>
            </w:r>
            <w:r>
              <w:rPr>
                <w:sz w:val="20"/>
              </w:rPr>
              <w:t xml:space="preserve"> </w:t>
            </w:r>
            <w:r w:rsidRPr="001731B1">
              <w:rPr>
                <w:i/>
                <w:sz w:val="20"/>
              </w:rPr>
              <w:t xml:space="preserve">q </w:t>
            </w:r>
            <w:r w:rsidRPr="00500837">
              <w:rPr>
                <w:bCs/>
                <w:sz w:val="20"/>
              </w:rPr>
              <w:t xml:space="preserve">for ERS Contract Period </w:t>
            </w:r>
            <w:r w:rsidRPr="00500837">
              <w:rPr>
                <w:bCs/>
                <w:i/>
                <w:sz w:val="20"/>
              </w:rPr>
              <w:t xml:space="preserve">c </w:t>
            </w:r>
            <w:r w:rsidRPr="00500837">
              <w:rPr>
                <w:bCs/>
                <w:sz w:val="20"/>
              </w:rPr>
              <w:t xml:space="preserve">and </w:t>
            </w:r>
            <w:r w:rsidRPr="00500837">
              <w:rPr>
                <w:sz w:val="20"/>
              </w:rPr>
              <w:t>ERS Time Period</w:t>
            </w:r>
            <w:r w:rsidRPr="00500837">
              <w:rPr>
                <w:i/>
                <w:sz w:val="20"/>
              </w:rPr>
              <w:t xml:space="preserve"> tp</w:t>
            </w:r>
            <w:r w:rsidRPr="00500837">
              <w:rPr>
                <w:sz w:val="20"/>
              </w:rPr>
              <w:t xml:space="preserve"> and ERS service type</w:t>
            </w:r>
            <w:r w:rsidRPr="00500837">
              <w:rPr>
                <w:i/>
                <w:sz w:val="20"/>
              </w:rPr>
              <w:t xml:space="preserve"> d</w:t>
            </w:r>
            <w:r w:rsidRPr="00500837">
              <w:rPr>
                <w:sz w:val="20"/>
              </w:rPr>
              <w:t>.</w:t>
            </w:r>
          </w:p>
        </w:tc>
      </w:tr>
      <w:tr w:rsidR="001F04FD" w14:paraId="141C722F" w14:textId="77777777" w:rsidTr="00AC4DEE">
        <w:trPr>
          <w:cantSplit/>
        </w:trPr>
        <w:tc>
          <w:tcPr>
            <w:tcW w:w="1298" w:type="pct"/>
          </w:tcPr>
          <w:p w14:paraId="1D24926A" w14:textId="77777777" w:rsidR="001F04FD" w:rsidRDefault="001F04FD" w:rsidP="00AC4DEE">
            <w:pPr>
              <w:pStyle w:val="TableBody"/>
            </w:pPr>
            <w:r>
              <w:t xml:space="preserve">COMPDELMWTOT </w:t>
            </w:r>
            <w:r w:rsidRPr="00E15B17">
              <w:rPr>
                <w:i/>
                <w:vertAlign w:val="subscript"/>
              </w:rPr>
              <w:t>c(tp)d</w:t>
            </w:r>
          </w:p>
        </w:tc>
        <w:tc>
          <w:tcPr>
            <w:tcW w:w="566" w:type="pct"/>
          </w:tcPr>
          <w:p w14:paraId="1F11B2DE"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0507B7A2" w14:textId="77777777" w:rsidR="001F04FD" w:rsidRPr="00857EE5" w:rsidRDefault="001F04FD" w:rsidP="00AC4DEE">
            <w:pPr>
              <w:pStyle w:val="VariableDefinition"/>
              <w:tabs>
                <w:tab w:val="clear" w:pos="2160"/>
              </w:tabs>
              <w:spacing w:after="60"/>
              <w:ind w:left="0" w:firstLine="0"/>
              <w:rPr>
                <w:sz w:val="20"/>
              </w:rPr>
            </w:pPr>
            <w:r w:rsidRPr="00857EE5">
              <w:rPr>
                <w:i/>
                <w:sz w:val="20"/>
              </w:rPr>
              <w:t xml:space="preserve">Competitive Delivered MW Total per </w:t>
            </w:r>
            <w:r>
              <w:rPr>
                <w:i/>
                <w:sz w:val="20"/>
              </w:rPr>
              <w:t>ERS</w:t>
            </w:r>
            <w:r w:rsidRPr="00857EE5">
              <w:rPr>
                <w:i/>
                <w:sz w:val="20"/>
              </w:rPr>
              <w:t xml:space="preserve"> Contract Period per </w:t>
            </w:r>
            <w:r>
              <w:rPr>
                <w:i/>
                <w:sz w:val="20"/>
              </w:rPr>
              <w:t xml:space="preserve">ERS </w:t>
            </w:r>
            <w:r w:rsidRPr="00857EE5">
              <w:rPr>
                <w:i/>
                <w:sz w:val="20"/>
              </w:rPr>
              <w:t>Time Period</w:t>
            </w:r>
            <w:r>
              <w:rPr>
                <w:i/>
                <w:sz w:val="20"/>
              </w:rPr>
              <w:t xml:space="preserve"> per ERS Service Type</w:t>
            </w:r>
            <w:r w:rsidRPr="00857EE5">
              <w:t>—</w:t>
            </w:r>
            <w:r w:rsidRPr="00857EE5">
              <w:rPr>
                <w:sz w:val="20"/>
              </w:rPr>
              <w:t xml:space="preserve">Total </w:t>
            </w:r>
            <w:r>
              <w:rPr>
                <w:sz w:val="20"/>
              </w:rPr>
              <w:t>ERS</w:t>
            </w:r>
            <w:r w:rsidRPr="00857EE5">
              <w:rPr>
                <w:sz w:val="20"/>
              </w:rPr>
              <w:t xml:space="preserve"> competitive capacity delivered by all QSEs </w:t>
            </w:r>
            <w:r w:rsidRPr="00857EE5">
              <w:rPr>
                <w:bCs/>
                <w:sz w:val="20"/>
              </w:rPr>
              <w:t xml:space="preserve">for </w:t>
            </w:r>
            <w:r>
              <w:rPr>
                <w:bCs/>
                <w:sz w:val="20"/>
              </w:rPr>
              <w:t xml:space="preserve">ERS Contract Period </w:t>
            </w:r>
            <w:r>
              <w:rPr>
                <w:bCs/>
                <w:i/>
                <w:sz w:val="20"/>
              </w:rPr>
              <w:t>c</w:t>
            </w:r>
            <w:r>
              <w:rPr>
                <w:bCs/>
                <w:sz w:val="20"/>
              </w:rPr>
              <w:t xml:space="preserve">, </w:t>
            </w:r>
            <w:r>
              <w:rPr>
                <w:sz w:val="20"/>
              </w:rPr>
              <w:t>ERS</w:t>
            </w:r>
            <w:r w:rsidRPr="00857EE5">
              <w:rPr>
                <w:sz w:val="20"/>
              </w:rPr>
              <w:t xml:space="preserve"> Time Period</w:t>
            </w:r>
            <w:r w:rsidRPr="00857EE5">
              <w:rPr>
                <w:i/>
                <w:sz w:val="20"/>
              </w:rPr>
              <w:t xml:space="preserve"> tp</w:t>
            </w:r>
            <w:r>
              <w:rPr>
                <w:i/>
                <w:sz w:val="20"/>
              </w:rPr>
              <w:t xml:space="preserve"> </w:t>
            </w:r>
            <w:r>
              <w:rPr>
                <w:sz w:val="20"/>
              </w:rPr>
              <w:t xml:space="preserve">and ERS service type </w:t>
            </w:r>
            <w:r>
              <w:rPr>
                <w:i/>
                <w:sz w:val="20"/>
              </w:rPr>
              <w:t>d</w:t>
            </w:r>
            <w:r w:rsidRPr="00857EE5">
              <w:rPr>
                <w:sz w:val="20"/>
              </w:rPr>
              <w:t>.</w:t>
            </w:r>
          </w:p>
        </w:tc>
      </w:tr>
      <w:tr w:rsidR="001F04FD" w14:paraId="1CE18EC8" w14:textId="77777777" w:rsidTr="00AC4DEE">
        <w:trPr>
          <w:cantSplit/>
        </w:trPr>
        <w:tc>
          <w:tcPr>
            <w:tcW w:w="1298" w:type="pct"/>
          </w:tcPr>
          <w:p w14:paraId="22552E9F" w14:textId="77777777" w:rsidR="001F04FD" w:rsidRDefault="001F04FD" w:rsidP="00AC4DEE">
            <w:pPr>
              <w:pStyle w:val="TableBody"/>
            </w:pPr>
            <w:r w:rsidRPr="00B507B3">
              <w:t xml:space="preserve">SPDELQSEMW </w:t>
            </w:r>
            <w:r w:rsidRPr="00E15B17">
              <w:rPr>
                <w:i/>
                <w:vertAlign w:val="subscript"/>
              </w:rPr>
              <w:t>qc(tp)d</w:t>
            </w:r>
          </w:p>
        </w:tc>
        <w:tc>
          <w:tcPr>
            <w:tcW w:w="566" w:type="pct"/>
          </w:tcPr>
          <w:p w14:paraId="38EA506B" w14:textId="77777777" w:rsidR="001F04FD" w:rsidRDefault="001F04FD" w:rsidP="00AC4DEE">
            <w:pPr>
              <w:pStyle w:val="VariableDefinition"/>
              <w:tabs>
                <w:tab w:val="clear" w:pos="2160"/>
              </w:tabs>
              <w:spacing w:after="60"/>
              <w:ind w:left="0" w:firstLine="0"/>
              <w:rPr>
                <w:sz w:val="20"/>
              </w:rPr>
            </w:pPr>
            <w:r w:rsidRPr="00500837">
              <w:rPr>
                <w:sz w:val="20"/>
              </w:rPr>
              <w:t>MW</w:t>
            </w:r>
          </w:p>
        </w:tc>
        <w:tc>
          <w:tcPr>
            <w:tcW w:w="3136" w:type="pct"/>
          </w:tcPr>
          <w:p w14:paraId="101BFDBA" w14:textId="77777777" w:rsidR="001F04FD" w:rsidRPr="00857EE5" w:rsidRDefault="001F04FD" w:rsidP="00E91BBF">
            <w:pPr>
              <w:pStyle w:val="VariableDefinition"/>
              <w:tabs>
                <w:tab w:val="clear" w:pos="2160"/>
              </w:tabs>
              <w:spacing w:after="60"/>
              <w:ind w:left="0" w:firstLine="0"/>
              <w:rPr>
                <w:i/>
                <w:sz w:val="20"/>
              </w:rPr>
            </w:pPr>
            <w:r>
              <w:rPr>
                <w:i/>
                <w:sz w:val="20"/>
              </w:rPr>
              <w:t>Self-Provision</w:t>
            </w:r>
            <w:r w:rsidRPr="00500837">
              <w:rPr>
                <w:i/>
                <w:sz w:val="20"/>
              </w:rPr>
              <w:t xml:space="preserve"> Delivered Total MW </w:t>
            </w:r>
            <w:r>
              <w:rPr>
                <w:i/>
                <w:sz w:val="20"/>
              </w:rPr>
              <w:t>per QSE</w:t>
            </w:r>
            <w:r w:rsidRPr="00500837">
              <w:rPr>
                <w:i/>
                <w:sz w:val="20"/>
              </w:rPr>
              <w:t xml:space="preserve"> per ERS Contract Period per ERS Time Period per ERS </w:t>
            </w:r>
            <w:r w:rsidR="00E91BBF">
              <w:rPr>
                <w:i/>
                <w:sz w:val="20"/>
              </w:rPr>
              <w:t>S</w:t>
            </w:r>
            <w:r w:rsidRPr="00500837">
              <w:rPr>
                <w:i/>
                <w:sz w:val="20"/>
              </w:rPr>
              <w:t xml:space="preserve">ervice </w:t>
            </w:r>
            <w:r w:rsidR="00E91BBF">
              <w:rPr>
                <w:i/>
                <w:sz w:val="20"/>
              </w:rPr>
              <w:t>T</w:t>
            </w:r>
            <w:r w:rsidRPr="00500837">
              <w:rPr>
                <w:i/>
                <w:sz w:val="20"/>
              </w:rPr>
              <w:t>ype</w:t>
            </w:r>
            <w:r w:rsidRPr="00500837">
              <w:rPr>
                <w:sz w:val="20"/>
              </w:rPr>
              <w:t xml:space="preserve">—Total ERS </w:t>
            </w:r>
            <w:r>
              <w:rPr>
                <w:sz w:val="20"/>
              </w:rPr>
              <w:t>self-provision</w:t>
            </w:r>
            <w:r w:rsidRPr="00500837">
              <w:rPr>
                <w:sz w:val="20"/>
              </w:rPr>
              <w:t xml:space="preserve"> capacity delivered by QSE</w:t>
            </w:r>
            <w:r>
              <w:rPr>
                <w:sz w:val="20"/>
              </w:rPr>
              <w:t xml:space="preserve"> </w:t>
            </w:r>
            <w:r w:rsidRPr="00E91BBF">
              <w:rPr>
                <w:i/>
                <w:sz w:val="20"/>
              </w:rPr>
              <w:t>q</w:t>
            </w:r>
            <w:r w:rsidRPr="00500837">
              <w:rPr>
                <w:sz w:val="20"/>
              </w:rPr>
              <w:t xml:space="preserve"> </w:t>
            </w:r>
            <w:r w:rsidRPr="00500837">
              <w:rPr>
                <w:bCs/>
                <w:sz w:val="20"/>
              </w:rPr>
              <w:t xml:space="preserve">for ERS Contract Period </w:t>
            </w:r>
            <w:r w:rsidRPr="00500837">
              <w:rPr>
                <w:bCs/>
                <w:i/>
                <w:sz w:val="20"/>
              </w:rPr>
              <w:t xml:space="preserve">c </w:t>
            </w:r>
            <w:r w:rsidRPr="00500837">
              <w:rPr>
                <w:bCs/>
                <w:sz w:val="20"/>
              </w:rPr>
              <w:t xml:space="preserve">and </w:t>
            </w:r>
            <w:r w:rsidRPr="00500837">
              <w:rPr>
                <w:sz w:val="20"/>
              </w:rPr>
              <w:t>ERS Time Period</w:t>
            </w:r>
            <w:r w:rsidRPr="00500837">
              <w:rPr>
                <w:i/>
                <w:sz w:val="20"/>
              </w:rPr>
              <w:t xml:space="preserve"> tp</w:t>
            </w:r>
            <w:r w:rsidRPr="00500837">
              <w:rPr>
                <w:sz w:val="20"/>
              </w:rPr>
              <w:t xml:space="preserve"> and ERS service type</w:t>
            </w:r>
            <w:r w:rsidRPr="00500837">
              <w:rPr>
                <w:i/>
                <w:sz w:val="20"/>
              </w:rPr>
              <w:t xml:space="preserve"> d</w:t>
            </w:r>
            <w:r w:rsidRPr="00500837">
              <w:rPr>
                <w:sz w:val="20"/>
              </w:rPr>
              <w:t>.</w:t>
            </w:r>
          </w:p>
        </w:tc>
      </w:tr>
      <w:tr w:rsidR="001F04FD" w14:paraId="0DE5BAE6" w14:textId="77777777" w:rsidTr="00AC4DEE">
        <w:trPr>
          <w:cantSplit/>
        </w:trPr>
        <w:tc>
          <w:tcPr>
            <w:tcW w:w="1298" w:type="pct"/>
          </w:tcPr>
          <w:p w14:paraId="142F49B4" w14:textId="77777777" w:rsidR="001F04FD" w:rsidRDefault="001F04FD" w:rsidP="00AC4DEE">
            <w:pPr>
              <w:pStyle w:val="TableBody"/>
            </w:pPr>
            <w:r w:rsidRPr="00B507B3">
              <w:t xml:space="preserve">SPDELMWTOT </w:t>
            </w:r>
            <w:r w:rsidRPr="00E15B17">
              <w:rPr>
                <w:i/>
                <w:vertAlign w:val="subscript"/>
              </w:rPr>
              <w:t>c(tp)d</w:t>
            </w:r>
          </w:p>
        </w:tc>
        <w:tc>
          <w:tcPr>
            <w:tcW w:w="566" w:type="pct"/>
          </w:tcPr>
          <w:p w14:paraId="752B36F5" w14:textId="77777777" w:rsidR="001F04FD" w:rsidRDefault="001F04FD" w:rsidP="00AC4DEE">
            <w:pPr>
              <w:pStyle w:val="VariableDefinition"/>
              <w:tabs>
                <w:tab w:val="clear" w:pos="2160"/>
              </w:tabs>
              <w:spacing w:after="60"/>
              <w:ind w:left="0" w:firstLine="0"/>
              <w:rPr>
                <w:sz w:val="20"/>
              </w:rPr>
            </w:pPr>
            <w:r w:rsidRPr="00500837">
              <w:rPr>
                <w:sz w:val="20"/>
              </w:rPr>
              <w:t>MW</w:t>
            </w:r>
          </w:p>
        </w:tc>
        <w:tc>
          <w:tcPr>
            <w:tcW w:w="3136" w:type="pct"/>
          </w:tcPr>
          <w:p w14:paraId="15E85A87" w14:textId="77777777" w:rsidR="001F04FD" w:rsidRPr="00857EE5" w:rsidRDefault="001F04FD" w:rsidP="00E91BBF">
            <w:pPr>
              <w:pStyle w:val="VariableDefinition"/>
              <w:tabs>
                <w:tab w:val="clear" w:pos="2160"/>
              </w:tabs>
              <w:spacing w:after="60"/>
              <w:ind w:left="0" w:firstLine="0"/>
              <w:rPr>
                <w:i/>
                <w:sz w:val="20"/>
              </w:rPr>
            </w:pPr>
            <w:r>
              <w:rPr>
                <w:i/>
                <w:sz w:val="20"/>
              </w:rPr>
              <w:t>Self-Provision</w:t>
            </w:r>
            <w:r w:rsidRPr="00500837">
              <w:rPr>
                <w:i/>
                <w:sz w:val="20"/>
              </w:rPr>
              <w:t xml:space="preserve"> Delivered Total MW per ERS Contract Period per ERS Time Period per ERS </w:t>
            </w:r>
            <w:r w:rsidR="00E91BBF">
              <w:rPr>
                <w:i/>
                <w:sz w:val="20"/>
              </w:rPr>
              <w:t>S</w:t>
            </w:r>
            <w:r w:rsidRPr="00500837">
              <w:rPr>
                <w:i/>
                <w:sz w:val="20"/>
              </w:rPr>
              <w:t xml:space="preserve">ervice </w:t>
            </w:r>
            <w:r w:rsidR="00E91BBF">
              <w:rPr>
                <w:i/>
                <w:sz w:val="20"/>
              </w:rPr>
              <w:t>T</w:t>
            </w:r>
            <w:r w:rsidRPr="00500837">
              <w:rPr>
                <w:i/>
                <w:sz w:val="20"/>
              </w:rPr>
              <w:t>ype</w:t>
            </w:r>
            <w:r w:rsidRPr="00500837">
              <w:rPr>
                <w:sz w:val="20"/>
              </w:rPr>
              <w:t xml:space="preserve">—Total ERS </w:t>
            </w:r>
            <w:r>
              <w:rPr>
                <w:sz w:val="20"/>
              </w:rPr>
              <w:t>self-provision</w:t>
            </w:r>
            <w:r w:rsidRPr="00500837">
              <w:rPr>
                <w:sz w:val="20"/>
              </w:rPr>
              <w:t xml:space="preserve"> capacity delivered by all QSE</w:t>
            </w:r>
            <w:r>
              <w:rPr>
                <w:sz w:val="20"/>
              </w:rPr>
              <w:t xml:space="preserve"> </w:t>
            </w:r>
            <w:r w:rsidRPr="00E91BBF">
              <w:rPr>
                <w:i/>
                <w:sz w:val="20"/>
              </w:rPr>
              <w:t xml:space="preserve">q </w:t>
            </w:r>
            <w:r w:rsidRPr="00500837">
              <w:rPr>
                <w:bCs/>
                <w:sz w:val="20"/>
              </w:rPr>
              <w:t xml:space="preserve">for ERS Contract Period </w:t>
            </w:r>
            <w:r w:rsidRPr="00500837">
              <w:rPr>
                <w:bCs/>
                <w:i/>
                <w:sz w:val="20"/>
              </w:rPr>
              <w:t xml:space="preserve">c </w:t>
            </w:r>
            <w:r w:rsidRPr="00500837">
              <w:rPr>
                <w:bCs/>
                <w:sz w:val="20"/>
              </w:rPr>
              <w:t xml:space="preserve">and </w:t>
            </w:r>
            <w:r w:rsidRPr="00500837">
              <w:rPr>
                <w:sz w:val="20"/>
              </w:rPr>
              <w:t>ERS Time Period</w:t>
            </w:r>
            <w:r w:rsidRPr="00500837">
              <w:rPr>
                <w:i/>
                <w:sz w:val="20"/>
              </w:rPr>
              <w:t xml:space="preserve"> tp</w:t>
            </w:r>
            <w:r w:rsidRPr="00500837">
              <w:rPr>
                <w:sz w:val="20"/>
              </w:rPr>
              <w:t xml:space="preserve"> and ERS service type</w:t>
            </w:r>
            <w:r w:rsidRPr="00500837">
              <w:rPr>
                <w:i/>
                <w:sz w:val="20"/>
              </w:rPr>
              <w:t xml:space="preserve"> d</w:t>
            </w:r>
            <w:r w:rsidRPr="00500837">
              <w:rPr>
                <w:sz w:val="20"/>
              </w:rPr>
              <w:t>.</w:t>
            </w:r>
          </w:p>
        </w:tc>
      </w:tr>
      <w:tr w:rsidR="001F04FD" w14:paraId="44AA002B" w14:textId="77777777" w:rsidTr="00AC4DEE">
        <w:trPr>
          <w:cantSplit/>
        </w:trPr>
        <w:tc>
          <w:tcPr>
            <w:tcW w:w="1298" w:type="pct"/>
          </w:tcPr>
          <w:p w14:paraId="413FB277" w14:textId="77777777" w:rsidR="001F04FD" w:rsidRDefault="001F04FD" w:rsidP="00AC4DEE">
            <w:pPr>
              <w:pStyle w:val="TableBody"/>
            </w:pPr>
            <w:r>
              <w:t xml:space="preserve">COMPOFFERMW </w:t>
            </w:r>
            <w:r w:rsidRPr="00E15B17">
              <w:rPr>
                <w:i/>
                <w:vertAlign w:val="subscript"/>
              </w:rPr>
              <w:t>qce(tp)d</w:t>
            </w:r>
          </w:p>
        </w:tc>
        <w:tc>
          <w:tcPr>
            <w:tcW w:w="566" w:type="pct"/>
          </w:tcPr>
          <w:p w14:paraId="43AE5FD0"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139E8D93" w14:textId="77777777" w:rsidR="001F04FD" w:rsidRPr="00857EE5" w:rsidRDefault="001F04FD" w:rsidP="00AC4DEE">
            <w:pPr>
              <w:pStyle w:val="VariableDefinition"/>
              <w:tabs>
                <w:tab w:val="clear" w:pos="2160"/>
              </w:tabs>
              <w:spacing w:after="60"/>
              <w:ind w:left="0" w:firstLine="0"/>
              <w:rPr>
                <w:sz w:val="20"/>
              </w:rPr>
            </w:pPr>
            <w:r w:rsidRPr="00857EE5">
              <w:rPr>
                <w:i/>
                <w:sz w:val="20"/>
              </w:rPr>
              <w:t xml:space="preserve">Competitive Offered MW Total per QSE per </w:t>
            </w:r>
            <w:r>
              <w:rPr>
                <w:i/>
                <w:sz w:val="20"/>
              </w:rPr>
              <w:t>ERS</w:t>
            </w:r>
            <w:r w:rsidRPr="00857EE5">
              <w:rPr>
                <w:i/>
                <w:sz w:val="20"/>
              </w:rPr>
              <w:t xml:space="preserve"> Contract Period per </w:t>
            </w:r>
            <w:r>
              <w:rPr>
                <w:i/>
                <w:sz w:val="20"/>
              </w:rPr>
              <w:t>ERS Resource</w:t>
            </w:r>
            <w:r w:rsidRPr="00857EE5">
              <w:rPr>
                <w:i/>
                <w:sz w:val="20"/>
              </w:rPr>
              <w:t xml:space="preserve"> per </w:t>
            </w:r>
            <w:r>
              <w:rPr>
                <w:i/>
                <w:sz w:val="20"/>
              </w:rPr>
              <w:t>ERS</w:t>
            </w:r>
            <w:r w:rsidRPr="00857EE5">
              <w:rPr>
                <w:i/>
                <w:sz w:val="20"/>
              </w:rPr>
              <w:t xml:space="preserve"> Time Period</w:t>
            </w:r>
            <w:r>
              <w:rPr>
                <w:i/>
                <w:sz w:val="20"/>
              </w:rPr>
              <w:t xml:space="preserve"> per ERS Service Type</w:t>
            </w:r>
            <w:r w:rsidRPr="00857EE5">
              <w:t>—</w:t>
            </w:r>
            <w:r>
              <w:rPr>
                <w:sz w:val="20"/>
              </w:rPr>
              <w:t>ERS</w:t>
            </w:r>
            <w:r w:rsidRPr="00857EE5">
              <w:rPr>
                <w:sz w:val="20"/>
              </w:rPr>
              <w:t xml:space="preserve"> capacity </w:t>
            </w:r>
            <w:r w:rsidRPr="00857EE5">
              <w:rPr>
                <w:bCs/>
                <w:sz w:val="20"/>
              </w:rPr>
              <w:t xml:space="preserve">offered </w:t>
            </w:r>
            <w:r w:rsidRPr="00857EE5">
              <w:rPr>
                <w:sz w:val="20"/>
              </w:rPr>
              <w:t xml:space="preserve">by QSE </w:t>
            </w:r>
            <w:r w:rsidRPr="00857EE5">
              <w:rPr>
                <w:i/>
                <w:sz w:val="20"/>
              </w:rPr>
              <w:t xml:space="preserve">q </w:t>
            </w:r>
            <w:r w:rsidRPr="00857EE5">
              <w:rPr>
                <w:bCs/>
                <w:sz w:val="20"/>
              </w:rPr>
              <w:t xml:space="preserve">for </w:t>
            </w:r>
            <w:r>
              <w:rPr>
                <w:bCs/>
                <w:sz w:val="20"/>
              </w:rPr>
              <w:t xml:space="preserve">ERS Contract Period </w:t>
            </w:r>
            <w:r>
              <w:rPr>
                <w:bCs/>
                <w:i/>
                <w:sz w:val="20"/>
              </w:rPr>
              <w:t>c</w:t>
            </w:r>
            <w:r>
              <w:rPr>
                <w:bCs/>
                <w:sz w:val="20"/>
              </w:rPr>
              <w:t>,</w:t>
            </w:r>
            <w:r w:rsidRPr="00857EE5">
              <w:rPr>
                <w:bCs/>
                <w:sz w:val="20"/>
              </w:rPr>
              <w:t xml:space="preserve"> competitive </w:t>
            </w:r>
            <w:r>
              <w:rPr>
                <w:bCs/>
                <w:sz w:val="20"/>
              </w:rPr>
              <w:t>ERS Resource</w:t>
            </w:r>
            <w:r w:rsidRPr="00857EE5">
              <w:rPr>
                <w:bCs/>
                <w:sz w:val="20"/>
              </w:rPr>
              <w:t xml:space="preserve"> </w:t>
            </w:r>
            <w:r w:rsidRPr="00857EE5">
              <w:rPr>
                <w:bCs/>
                <w:i/>
                <w:sz w:val="20"/>
              </w:rPr>
              <w:t>e</w:t>
            </w:r>
            <w:r w:rsidRPr="00857EE5">
              <w:rPr>
                <w:bCs/>
                <w:sz w:val="20"/>
              </w:rPr>
              <w:t xml:space="preserve"> </w:t>
            </w:r>
            <w:r w:rsidRPr="00857EE5">
              <w:rPr>
                <w:sz w:val="20"/>
              </w:rPr>
              <w:t xml:space="preserve">and </w:t>
            </w:r>
            <w:r>
              <w:rPr>
                <w:sz w:val="20"/>
              </w:rPr>
              <w:t>ERS</w:t>
            </w:r>
            <w:r w:rsidRPr="00857EE5">
              <w:rPr>
                <w:sz w:val="20"/>
              </w:rPr>
              <w:t xml:space="preserve"> Time Period </w:t>
            </w:r>
            <w:r w:rsidRPr="00857EE5">
              <w:rPr>
                <w:i/>
                <w:sz w:val="20"/>
              </w:rPr>
              <w:t>tp</w:t>
            </w:r>
            <w:r>
              <w:rPr>
                <w:sz w:val="20"/>
              </w:rPr>
              <w:t xml:space="preserve"> and ERS service type </w:t>
            </w:r>
            <w:r>
              <w:rPr>
                <w:i/>
                <w:sz w:val="20"/>
              </w:rPr>
              <w:t>d</w:t>
            </w:r>
            <w:r w:rsidRPr="00857EE5">
              <w:rPr>
                <w:sz w:val="20"/>
              </w:rPr>
              <w:t>.</w:t>
            </w:r>
          </w:p>
        </w:tc>
      </w:tr>
      <w:tr w:rsidR="001F04FD" w14:paraId="53DDE8E7" w14:textId="77777777" w:rsidTr="00AC4DEE">
        <w:trPr>
          <w:cantSplit/>
        </w:trPr>
        <w:tc>
          <w:tcPr>
            <w:tcW w:w="1298" w:type="pct"/>
          </w:tcPr>
          <w:p w14:paraId="48D53B33" w14:textId="77777777" w:rsidR="001F04FD" w:rsidRDefault="001F04FD" w:rsidP="00AC4DEE">
            <w:pPr>
              <w:pStyle w:val="TableBody"/>
            </w:pPr>
            <w:r>
              <w:lastRenderedPageBreak/>
              <w:t>ERS</w:t>
            </w:r>
            <w:r w:rsidRPr="00FA1244">
              <w:t>AFWT</w:t>
            </w:r>
            <w:r w:rsidRPr="00FA1244">
              <w:rPr>
                <w:vertAlign w:val="subscript"/>
              </w:rPr>
              <w:t xml:space="preserve"> </w:t>
            </w:r>
            <w:r w:rsidRPr="00E15B17">
              <w:rPr>
                <w:i/>
                <w:vertAlign w:val="subscript"/>
              </w:rPr>
              <w:t>qcd</w:t>
            </w:r>
          </w:p>
        </w:tc>
        <w:tc>
          <w:tcPr>
            <w:tcW w:w="566" w:type="pct"/>
          </w:tcPr>
          <w:p w14:paraId="374CFB9B" w14:textId="77777777" w:rsidR="001F04FD" w:rsidRPr="00D75F51" w:rsidRDefault="001F04FD" w:rsidP="00AC4DEE">
            <w:pPr>
              <w:pStyle w:val="VariableDefinition"/>
              <w:tabs>
                <w:tab w:val="clear" w:pos="2160"/>
              </w:tabs>
              <w:spacing w:after="60"/>
              <w:ind w:left="0" w:firstLine="0"/>
              <w:rPr>
                <w:sz w:val="20"/>
              </w:rPr>
            </w:pPr>
            <w:r w:rsidRPr="00FA1244">
              <w:rPr>
                <w:sz w:val="20"/>
              </w:rPr>
              <w:t>None</w:t>
            </w:r>
          </w:p>
        </w:tc>
        <w:tc>
          <w:tcPr>
            <w:tcW w:w="3136" w:type="pct"/>
          </w:tcPr>
          <w:p w14:paraId="1F5D2840" w14:textId="77777777" w:rsidR="001F04FD" w:rsidRPr="00857EE5" w:rsidRDefault="001F04FD" w:rsidP="00AC4DEE">
            <w:pPr>
              <w:pStyle w:val="VariableDefinition"/>
              <w:tabs>
                <w:tab w:val="clear" w:pos="2160"/>
              </w:tabs>
              <w:spacing w:after="60"/>
              <w:ind w:left="0" w:firstLine="0"/>
              <w:rPr>
                <w:i/>
                <w:sz w:val="20"/>
              </w:rPr>
            </w:pPr>
            <w:r>
              <w:rPr>
                <w:i/>
                <w:sz w:val="20"/>
              </w:rPr>
              <w:t>Availability S</w:t>
            </w:r>
            <w:r w:rsidRPr="00FA1244">
              <w:rPr>
                <w:i/>
                <w:sz w:val="20"/>
              </w:rPr>
              <w:t xml:space="preserve">ettlement weighting factor per QSE per </w:t>
            </w:r>
            <w:r>
              <w:rPr>
                <w:i/>
                <w:sz w:val="20"/>
              </w:rPr>
              <w:t>ERS</w:t>
            </w:r>
            <w:r w:rsidRPr="00FA1244">
              <w:rPr>
                <w:i/>
                <w:sz w:val="20"/>
              </w:rPr>
              <w:t xml:space="preserve"> Contract Period</w:t>
            </w:r>
            <w:r>
              <w:rPr>
                <w:i/>
                <w:sz w:val="20"/>
              </w:rPr>
              <w:t xml:space="preserve"> per ERS Service Type</w:t>
            </w:r>
            <w:r w:rsidRPr="00FA1244">
              <w:t>—</w:t>
            </w:r>
            <w:r w:rsidRPr="00FA1244">
              <w:rPr>
                <w:sz w:val="20"/>
              </w:rPr>
              <w:t xml:space="preserve">The weighting factor for QSE </w:t>
            </w:r>
            <w:r w:rsidRPr="00FA1244">
              <w:rPr>
                <w:i/>
                <w:sz w:val="20"/>
              </w:rPr>
              <w:t xml:space="preserve">q </w:t>
            </w:r>
            <w:r w:rsidRPr="00FA1244">
              <w:rPr>
                <w:sz w:val="20"/>
              </w:rPr>
              <w:t xml:space="preserve">for </w:t>
            </w:r>
            <w:r>
              <w:rPr>
                <w:sz w:val="20"/>
              </w:rPr>
              <w:t>ERS</w:t>
            </w:r>
            <w:r w:rsidRPr="00FA1244">
              <w:rPr>
                <w:sz w:val="20"/>
              </w:rPr>
              <w:t xml:space="preserve"> Contract Period</w:t>
            </w:r>
            <w:r w:rsidRPr="00FA1244">
              <w:rPr>
                <w:i/>
                <w:sz w:val="20"/>
              </w:rPr>
              <w:t xml:space="preserve"> c</w:t>
            </w:r>
            <w:r>
              <w:rPr>
                <w:sz w:val="20"/>
              </w:rPr>
              <w:t xml:space="preserve">, and ERS service type </w:t>
            </w:r>
            <w:r>
              <w:rPr>
                <w:i/>
                <w:sz w:val="20"/>
              </w:rPr>
              <w:t xml:space="preserve">d </w:t>
            </w:r>
            <w:r w:rsidRPr="00FA1244">
              <w:rPr>
                <w:sz w:val="20"/>
              </w:rPr>
              <w:t>to apply for Settlement as calculated pursuant to Section 8.1.3.1</w:t>
            </w:r>
            <w:r>
              <w:rPr>
                <w:sz w:val="20"/>
              </w:rPr>
              <w:t xml:space="preserve">.3.3, </w:t>
            </w:r>
            <w:r w:rsidRPr="0052437F">
              <w:rPr>
                <w:sz w:val="20"/>
              </w:rPr>
              <w:t>Contract Period Availability Calculations for Emergency Response Service Resources</w:t>
            </w:r>
            <w:r w:rsidRPr="00FA1244">
              <w:rPr>
                <w:sz w:val="20"/>
              </w:rPr>
              <w:t>.</w:t>
            </w:r>
          </w:p>
        </w:tc>
      </w:tr>
      <w:tr w:rsidR="001F04FD" w14:paraId="266F4AC7" w14:textId="77777777" w:rsidTr="00AC4DEE">
        <w:trPr>
          <w:cantSplit/>
        </w:trPr>
        <w:tc>
          <w:tcPr>
            <w:tcW w:w="1298" w:type="pct"/>
          </w:tcPr>
          <w:p w14:paraId="033CD4F7" w14:textId="77777777" w:rsidR="001F04FD" w:rsidRDefault="001F04FD" w:rsidP="00AC4DEE">
            <w:pPr>
              <w:pStyle w:val="TableBody"/>
            </w:pPr>
            <w:r>
              <w:t>ERS</w:t>
            </w:r>
            <w:r w:rsidRPr="00FA1244">
              <w:t xml:space="preserve">AFCOMB </w:t>
            </w:r>
            <w:r w:rsidRPr="00E15B17">
              <w:rPr>
                <w:i/>
                <w:vertAlign w:val="subscript"/>
              </w:rPr>
              <w:t>qrd</w:t>
            </w:r>
          </w:p>
        </w:tc>
        <w:tc>
          <w:tcPr>
            <w:tcW w:w="566" w:type="pct"/>
          </w:tcPr>
          <w:p w14:paraId="4FC2C28C" w14:textId="77777777" w:rsidR="001F04FD" w:rsidRPr="00D75F51" w:rsidRDefault="001F04FD" w:rsidP="00AC4DEE">
            <w:pPr>
              <w:pStyle w:val="VariableDefinition"/>
              <w:tabs>
                <w:tab w:val="clear" w:pos="2160"/>
              </w:tabs>
              <w:spacing w:after="60"/>
              <w:ind w:left="0" w:firstLine="0"/>
              <w:rPr>
                <w:sz w:val="20"/>
              </w:rPr>
            </w:pPr>
            <w:r w:rsidRPr="00D75F51">
              <w:rPr>
                <w:sz w:val="20"/>
              </w:rPr>
              <w:t>None</w:t>
            </w:r>
          </w:p>
        </w:tc>
        <w:tc>
          <w:tcPr>
            <w:tcW w:w="3136" w:type="pct"/>
          </w:tcPr>
          <w:p w14:paraId="7DAE6540" w14:textId="77777777" w:rsidR="001F04FD" w:rsidRPr="00857EE5" w:rsidRDefault="001F04FD" w:rsidP="00AC4DEE">
            <w:pPr>
              <w:pStyle w:val="VariableDefinition"/>
              <w:tabs>
                <w:tab w:val="clear" w:pos="2160"/>
              </w:tabs>
              <w:spacing w:after="60"/>
              <w:ind w:left="0" w:firstLine="0"/>
              <w:rPr>
                <w:sz w:val="20"/>
              </w:rPr>
            </w:pPr>
            <w:r>
              <w:rPr>
                <w:i/>
                <w:sz w:val="20"/>
              </w:rPr>
              <w:t>Time- and Capacity-Weighted ERS</w:t>
            </w:r>
            <w:r w:rsidRPr="00857EE5">
              <w:rPr>
                <w:i/>
                <w:sz w:val="20"/>
              </w:rPr>
              <w:t xml:space="preserve"> Availability Factor per QSE per </w:t>
            </w:r>
            <w:r>
              <w:rPr>
                <w:i/>
                <w:sz w:val="20"/>
              </w:rPr>
              <w:t>ERS</w:t>
            </w:r>
            <w:r w:rsidRPr="00857EE5">
              <w:rPr>
                <w:i/>
                <w:sz w:val="20"/>
              </w:rPr>
              <w:t xml:space="preserve"> </w:t>
            </w:r>
            <w:r>
              <w:rPr>
                <w:i/>
                <w:sz w:val="20"/>
              </w:rPr>
              <w:t>Standard Contract Term per ERS Service Type</w:t>
            </w:r>
            <w:r w:rsidRPr="00857EE5">
              <w:t>—</w:t>
            </w:r>
            <w:r w:rsidRPr="00857EE5">
              <w:rPr>
                <w:sz w:val="20"/>
              </w:rPr>
              <w:t xml:space="preserve">The availability factor for QSE </w:t>
            </w:r>
            <w:r w:rsidRPr="00857EE5">
              <w:rPr>
                <w:i/>
                <w:sz w:val="20"/>
              </w:rPr>
              <w:t>q</w:t>
            </w:r>
            <w:r w:rsidRPr="00857EE5">
              <w:rPr>
                <w:sz w:val="20"/>
              </w:rPr>
              <w:t xml:space="preserve"> for </w:t>
            </w:r>
            <w:r>
              <w:rPr>
                <w:sz w:val="20"/>
              </w:rPr>
              <w:t>ERS</w:t>
            </w:r>
            <w:r w:rsidRPr="00857EE5">
              <w:rPr>
                <w:sz w:val="20"/>
              </w:rPr>
              <w:t xml:space="preserve"> </w:t>
            </w:r>
            <w:r>
              <w:rPr>
                <w:sz w:val="20"/>
              </w:rPr>
              <w:t>Standard Contract Term</w:t>
            </w:r>
            <w:r w:rsidRPr="00857EE5">
              <w:rPr>
                <w:sz w:val="20"/>
              </w:rPr>
              <w:t xml:space="preserve"> </w:t>
            </w:r>
            <w:r>
              <w:rPr>
                <w:i/>
                <w:sz w:val="20"/>
              </w:rPr>
              <w:t>r</w:t>
            </w:r>
            <w:r>
              <w:rPr>
                <w:sz w:val="20"/>
              </w:rPr>
              <w:t xml:space="preserve"> and ERS service type </w:t>
            </w:r>
            <w:r>
              <w:rPr>
                <w:i/>
                <w:sz w:val="20"/>
              </w:rPr>
              <w:t xml:space="preserve">d, </w:t>
            </w:r>
            <w:r>
              <w:rPr>
                <w:sz w:val="20"/>
              </w:rPr>
              <w:t>as calculated</w:t>
            </w:r>
            <w:r w:rsidRPr="00857EE5">
              <w:rPr>
                <w:sz w:val="20"/>
              </w:rPr>
              <w:t xml:space="preserve"> pursuant to Section 8.1.3.</w:t>
            </w:r>
            <w:r>
              <w:rPr>
                <w:sz w:val="20"/>
              </w:rPr>
              <w:t xml:space="preserve">3, Payment Reductions and </w:t>
            </w:r>
            <w:r w:rsidRPr="00BF3E0E">
              <w:rPr>
                <w:sz w:val="20"/>
              </w:rPr>
              <w:t>Suspension of Qualification of Emergency Response Service Resources and/or their</w:t>
            </w:r>
            <w:r>
              <w:rPr>
                <w:sz w:val="20"/>
              </w:rPr>
              <w:t xml:space="preserve"> Qualified Scheduling Entities</w:t>
            </w:r>
            <w:r w:rsidRPr="00857EE5">
              <w:rPr>
                <w:sz w:val="20"/>
              </w:rPr>
              <w:t>.</w:t>
            </w:r>
          </w:p>
        </w:tc>
      </w:tr>
      <w:tr w:rsidR="001F04FD" w14:paraId="43E7D63F" w14:textId="77777777" w:rsidTr="00AC4DEE">
        <w:trPr>
          <w:cantSplit/>
        </w:trPr>
        <w:tc>
          <w:tcPr>
            <w:tcW w:w="1298" w:type="pct"/>
          </w:tcPr>
          <w:p w14:paraId="169477F5" w14:textId="77777777" w:rsidR="001F04FD" w:rsidRDefault="001F04FD" w:rsidP="00AC4DEE">
            <w:pPr>
              <w:pStyle w:val="TableBody"/>
            </w:pPr>
            <w:r>
              <w:t xml:space="preserve">ERSEPF </w:t>
            </w:r>
            <w:r w:rsidRPr="00E15B17">
              <w:rPr>
                <w:i/>
                <w:vertAlign w:val="subscript"/>
              </w:rPr>
              <w:t>qrd</w:t>
            </w:r>
          </w:p>
        </w:tc>
        <w:tc>
          <w:tcPr>
            <w:tcW w:w="566" w:type="pct"/>
          </w:tcPr>
          <w:p w14:paraId="58CAA64D" w14:textId="77777777" w:rsidR="001F04FD" w:rsidRPr="00AF75B3" w:rsidRDefault="001F04FD" w:rsidP="00AC4DEE">
            <w:pPr>
              <w:pStyle w:val="VariableDefinition"/>
              <w:tabs>
                <w:tab w:val="clear" w:pos="2160"/>
              </w:tabs>
              <w:spacing w:after="60"/>
              <w:ind w:left="0" w:firstLine="0"/>
              <w:rPr>
                <w:sz w:val="20"/>
              </w:rPr>
            </w:pPr>
            <w:r w:rsidRPr="00AF75B3">
              <w:rPr>
                <w:sz w:val="20"/>
              </w:rPr>
              <w:t>None</w:t>
            </w:r>
          </w:p>
        </w:tc>
        <w:tc>
          <w:tcPr>
            <w:tcW w:w="3136" w:type="pct"/>
          </w:tcPr>
          <w:p w14:paraId="715ACFEE" w14:textId="77777777" w:rsidR="001F04FD" w:rsidRPr="00857EE5" w:rsidRDefault="001F04FD" w:rsidP="00AC4DEE">
            <w:pPr>
              <w:pStyle w:val="VariableDefinition"/>
              <w:tabs>
                <w:tab w:val="clear" w:pos="2160"/>
              </w:tabs>
              <w:spacing w:after="60"/>
              <w:ind w:left="0" w:firstLine="0"/>
              <w:rPr>
                <w:i/>
                <w:sz w:val="20"/>
              </w:rPr>
            </w:pPr>
            <w:r>
              <w:rPr>
                <w:i/>
                <w:sz w:val="20"/>
              </w:rPr>
              <w:t>ERS</w:t>
            </w:r>
            <w:r w:rsidRPr="00857EE5">
              <w:rPr>
                <w:i/>
                <w:sz w:val="20"/>
              </w:rPr>
              <w:t xml:space="preserve"> Event Performance Factor per QSE per </w:t>
            </w:r>
            <w:r>
              <w:rPr>
                <w:i/>
                <w:sz w:val="20"/>
              </w:rPr>
              <w:t>ERS Standard Contract Term per ERS Service Type</w:t>
            </w:r>
            <w:r w:rsidRPr="00857EE5">
              <w:t>—</w:t>
            </w:r>
            <w:r w:rsidRPr="00857EE5">
              <w:rPr>
                <w:sz w:val="20"/>
              </w:rPr>
              <w:t xml:space="preserve">Event performance factor for QSE </w:t>
            </w:r>
            <w:r w:rsidRPr="00857EE5">
              <w:rPr>
                <w:i/>
                <w:sz w:val="20"/>
              </w:rPr>
              <w:t xml:space="preserve">q </w:t>
            </w:r>
            <w:r w:rsidRPr="00857EE5">
              <w:rPr>
                <w:sz w:val="20"/>
              </w:rPr>
              <w:t xml:space="preserve">in </w:t>
            </w:r>
            <w:r>
              <w:rPr>
                <w:sz w:val="20"/>
              </w:rPr>
              <w:t xml:space="preserve">ERS Standard Contract Term </w:t>
            </w:r>
            <w:r>
              <w:rPr>
                <w:i/>
                <w:sz w:val="20"/>
              </w:rPr>
              <w:t>r</w:t>
            </w:r>
            <w:r>
              <w:rPr>
                <w:sz w:val="20"/>
              </w:rPr>
              <w:t xml:space="preserve"> and ERS service type </w:t>
            </w:r>
            <w:r>
              <w:rPr>
                <w:i/>
                <w:sz w:val="20"/>
              </w:rPr>
              <w:t xml:space="preserve">d </w:t>
            </w:r>
            <w:r w:rsidRPr="00857EE5">
              <w:rPr>
                <w:sz w:val="20"/>
              </w:rPr>
              <w:t>as calculated pursuant to Section 8.1.3.</w:t>
            </w:r>
            <w:r>
              <w:rPr>
                <w:sz w:val="20"/>
              </w:rPr>
              <w:t>3.</w:t>
            </w:r>
            <w:r w:rsidRPr="00857EE5">
              <w:rPr>
                <w:sz w:val="20"/>
              </w:rPr>
              <w:t>1.</w:t>
            </w:r>
          </w:p>
        </w:tc>
      </w:tr>
      <w:tr w:rsidR="001F04FD" w14:paraId="44DC62F5" w14:textId="77777777" w:rsidTr="00AC4DEE">
        <w:trPr>
          <w:cantSplit/>
        </w:trPr>
        <w:tc>
          <w:tcPr>
            <w:tcW w:w="1298" w:type="pct"/>
          </w:tcPr>
          <w:p w14:paraId="3013013C" w14:textId="77777777" w:rsidR="001F04FD" w:rsidRDefault="001F04FD" w:rsidP="00AC4DEE">
            <w:pPr>
              <w:pStyle w:val="TableBody"/>
            </w:pPr>
            <w:r>
              <w:t xml:space="preserve">SPCUL </w:t>
            </w:r>
            <w:r w:rsidRPr="00E15B17">
              <w:rPr>
                <w:i/>
                <w:vertAlign w:val="subscript"/>
              </w:rPr>
              <w:t>qc(tp)d</w:t>
            </w:r>
          </w:p>
        </w:tc>
        <w:tc>
          <w:tcPr>
            <w:tcW w:w="566" w:type="pct"/>
          </w:tcPr>
          <w:p w14:paraId="6423262C" w14:textId="77777777" w:rsidR="001F04FD" w:rsidRDefault="001F04FD" w:rsidP="00AC4DEE">
            <w:pPr>
              <w:pStyle w:val="VariableDefinition"/>
              <w:tabs>
                <w:tab w:val="clear" w:pos="2160"/>
              </w:tabs>
              <w:spacing w:after="60"/>
              <w:ind w:left="0" w:firstLine="0"/>
            </w:pPr>
            <w:r>
              <w:rPr>
                <w:bCs/>
                <w:sz w:val="20"/>
              </w:rPr>
              <w:t>MW</w:t>
            </w:r>
          </w:p>
        </w:tc>
        <w:tc>
          <w:tcPr>
            <w:tcW w:w="3136" w:type="pct"/>
          </w:tcPr>
          <w:p w14:paraId="337C5BD9" w14:textId="77777777" w:rsidR="001F04FD" w:rsidRDefault="001F04FD" w:rsidP="00AC4DEE">
            <w:pPr>
              <w:pStyle w:val="VariableDefinition"/>
              <w:tabs>
                <w:tab w:val="clear" w:pos="2160"/>
              </w:tabs>
              <w:spacing w:after="60"/>
              <w:ind w:left="0" w:firstLine="0"/>
              <w:rPr>
                <w:i/>
                <w:sz w:val="20"/>
              </w:rPr>
            </w:pPr>
            <w:r w:rsidRPr="00DE1436">
              <w:rPr>
                <w:i/>
                <w:sz w:val="20"/>
              </w:rPr>
              <w:t xml:space="preserve">Self-Provision Capacity Upper Limit per QSE per </w:t>
            </w:r>
            <w:r>
              <w:rPr>
                <w:i/>
                <w:sz w:val="20"/>
              </w:rPr>
              <w:t xml:space="preserve">ERS </w:t>
            </w:r>
            <w:r w:rsidRPr="00DE1436">
              <w:rPr>
                <w:i/>
                <w:sz w:val="20"/>
              </w:rPr>
              <w:t xml:space="preserve">Contract Period per </w:t>
            </w:r>
            <w:r>
              <w:rPr>
                <w:i/>
                <w:sz w:val="20"/>
              </w:rPr>
              <w:t xml:space="preserve">ERS </w:t>
            </w:r>
            <w:r w:rsidRPr="00DE1436">
              <w:rPr>
                <w:i/>
                <w:sz w:val="20"/>
              </w:rPr>
              <w:t>Time Period</w:t>
            </w:r>
            <w:r>
              <w:rPr>
                <w:i/>
                <w:sz w:val="20"/>
              </w:rPr>
              <w:t xml:space="preserve"> per ERS Service Type</w:t>
            </w:r>
            <w:r>
              <w:t>—</w:t>
            </w:r>
            <w:r w:rsidRPr="002E5240">
              <w:rPr>
                <w:sz w:val="20"/>
              </w:rPr>
              <w:t xml:space="preserve">The </w:t>
            </w:r>
            <w:r>
              <w:rPr>
                <w:sz w:val="20"/>
              </w:rPr>
              <w:t>ERS</w:t>
            </w:r>
            <w:r w:rsidRPr="002E5240">
              <w:rPr>
                <w:sz w:val="20"/>
              </w:rPr>
              <w:t xml:space="preserve"> Self-Provision Capacity Upper Limit</w:t>
            </w:r>
            <w:r w:rsidRPr="002E5240" w:rsidDel="009C4A0B">
              <w:rPr>
                <w:sz w:val="20"/>
              </w:rPr>
              <w:t xml:space="preserve"> </w:t>
            </w:r>
            <w:r w:rsidRPr="002E5240">
              <w:rPr>
                <w:sz w:val="20"/>
              </w:rPr>
              <w:t xml:space="preserve">calculated by ERCOT for </w:t>
            </w:r>
            <w:r>
              <w:rPr>
                <w:sz w:val="20"/>
              </w:rPr>
              <w:t>a</w:t>
            </w:r>
            <w:r w:rsidRPr="002E5240">
              <w:rPr>
                <w:sz w:val="20"/>
              </w:rPr>
              <w:t xml:space="preserve"> self</w:t>
            </w:r>
            <w:r>
              <w:rPr>
                <w:sz w:val="20"/>
              </w:rPr>
              <w:t>-</w:t>
            </w:r>
            <w:r w:rsidRPr="002E5240">
              <w:rPr>
                <w:sz w:val="20"/>
              </w:rPr>
              <w:t xml:space="preserve">providing QSE </w:t>
            </w:r>
            <w:r>
              <w:rPr>
                <w:sz w:val="20"/>
              </w:rPr>
              <w:t xml:space="preserve">for ERS Contract Period </w:t>
            </w:r>
            <w:r>
              <w:rPr>
                <w:i/>
                <w:sz w:val="20"/>
              </w:rPr>
              <w:t>c</w:t>
            </w:r>
            <w:r>
              <w:rPr>
                <w:sz w:val="20"/>
              </w:rPr>
              <w:t xml:space="preserve"> and ERS Time Period </w:t>
            </w:r>
            <w:r>
              <w:rPr>
                <w:i/>
                <w:sz w:val="20"/>
              </w:rPr>
              <w:t>tp</w:t>
            </w:r>
            <w:r w:rsidRPr="007960D1">
              <w:rPr>
                <w:sz w:val="20"/>
              </w:rPr>
              <w:t xml:space="preserve"> </w:t>
            </w:r>
            <w:r w:rsidRPr="002E5240">
              <w:rPr>
                <w:sz w:val="20"/>
              </w:rPr>
              <w:t xml:space="preserve">by simultaneously solving for all QSEs’ obligations with the constraint that each QSE’s </w:t>
            </w:r>
            <w:r>
              <w:rPr>
                <w:sz w:val="20"/>
              </w:rPr>
              <w:t>ERS</w:t>
            </w:r>
            <w:r w:rsidRPr="002E5240">
              <w:rPr>
                <w:sz w:val="20"/>
              </w:rPr>
              <w:t xml:space="preserve"> Self-Provision Capacity Upper Limit</w:t>
            </w:r>
            <w:r w:rsidRPr="002E5240" w:rsidDel="009C4A0B">
              <w:rPr>
                <w:sz w:val="20"/>
              </w:rPr>
              <w:t xml:space="preserve"> </w:t>
            </w:r>
            <w:r w:rsidRPr="002E5240">
              <w:rPr>
                <w:sz w:val="20"/>
              </w:rPr>
              <w:t>does not exceed its obligation</w:t>
            </w:r>
            <w:r>
              <w:rPr>
                <w:sz w:val="20"/>
              </w:rPr>
              <w:t>.</w:t>
            </w:r>
          </w:p>
        </w:tc>
      </w:tr>
      <w:tr w:rsidR="001F04FD" w14:paraId="0011BE5C" w14:textId="77777777" w:rsidTr="00AC4DEE">
        <w:trPr>
          <w:cantSplit/>
        </w:trPr>
        <w:tc>
          <w:tcPr>
            <w:tcW w:w="1298" w:type="pct"/>
          </w:tcPr>
          <w:p w14:paraId="55CD23A6" w14:textId="77777777" w:rsidR="001F04FD" w:rsidRDefault="001F04FD" w:rsidP="00AC4DEE">
            <w:pPr>
              <w:pStyle w:val="TableBody"/>
            </w:pPr>
            <w:r>
              <w:t xml:space="preserve">SPOFFERMW </w:t>
            </w:r>
            <w:r w:rsidRPr="00E15B17">
              <w:rPr>
                <w:i/>
                <w:vertAlign w:val="subscript"/>
              </w:rPr>
              <w:t>qce(tp)d</w:t>
            </w:r>
          </w:p>
        </w:tc>
        <w:tc>
          <w:tcPr>
            <w:tcW w:w="566" w:type="pct"/>
          </w:tcPr>
          <w:p w14:paraId="39DD7E8E" w14:textId="77777777" w:rsidR="001F04FD" w:rsidRDefault="001F04FD" w:rsidP="00AC4DEE">
            <w:pPr>
              <w:pStyle w:val="VariableDefinition"/>
              <w:tabs>
                <w:tab w:val="clear" w:pos="2160"/>
              </w:tabs>
              <w:spacing w:after="60"/>
              <w:ind w:left="0" w:firstLine="0"/>
            </w:pPr>
            <w:r>
              <w:rPr>
                <w:sz w:val="20"/>
              </w:rPr>
              <w:t>MW</w:t>
            </w:r>
          </w:p>
        </w:tc>
        <w:tc>
          <w:tcPr>
            <w:tcW w:w="3136" w:type="pct"/>
          </w:tcPr>
          <w:p w14:paraId="014CF2F8" w14:textId="77777777" w:rsidR="001F04FD" w:rsidRDefault="001F04FD" w:rsidP="00AC4DEE">
            <w:pPr>
              <w:pStyle w:val="VariableDefinition"/>
              <w:tabs>
                <w:tab w:val="clear" w:pos="2160"/>
              </w:tabs>
              <w:spacing w:after="60"/>
              <w:ind w:left="0" w:firstLine="0"/>
              <w:rPr>
                <w:i/>
                <w:sz w:val="20"/>
              </w:rPr>
            </w:pPr>
            <w:r w:rsidRPr="00DE1436">
              <w:rPr>
                <w:i/>
                <w:sz w:val="20"/>
              </w:rPr>
              <w:t xml:space="preserve">Self-Provision Offer MW per QSE per </w:t>
            </w:r>
            <w:r>
              <w:rPr>
                <w:i/>
                <w:sz w:val="20"/>
              </w:rPr>
              <w:t xml:space="preserve">ERS </w:t>
            </w:r>
            <w:r w:rsidRPr="00DE1436">
              <w:rPr>
                <w:i/>
                <w:sz w:val="20"/>
              </w:rPr>
              <w:t xml:space="preserve">Contract Period per </w:t>
            </w:r>
            <w:r>
              <w:rPr>
                <w:i/>
                <w:sz w:val="20"/>
              </w:rPr>
              <w:t>ERS Resource</w:t>
            </w:r>
            <w:r w:rsidRPr="00DE1436">
              <w:rPr>
                <w:i/>
                <w:sz w:val="20"/>
              </w:rPr>
              <w:t xml:space="preserve"> per </w:t>
            </w:r>
            <w:r>
              <w:rPr>
                <w:i/>
                <w:sz w:val="20"/>
              </w:rPr>
              <w:t xml:space="preserve">ERS </w:t>
            </w:r>
            <w:r w:rsidRPr="00DE1436">
              <w:rPr>
                <w:i/>
                <w:sz w:val="20"/>
              </w:rPr>
              <w:t>Time Period</w:t>
            </w:r>
            <w:r>
              <w:rPr>
                <w:i/>
                <w:sz w:val="20"/>
              </w:rPr>
              <w:t xml:space="preserve"> per ERS Service Type</w:t>
            </w:r>
            <w:r>
              <w:t>—</w:t>
            </w:r>
            <w:r>
              <w:rPr>
                <w:sz w:val="20"/>
              </w:rPr>
              <w:t xml:space="preserve">ERS capacity offered as self-provision by QSE </w:t>
            </w:r>
            <w:r>
              <w:rPr>
                <w:i/>
                <w:sz w:val="20"/>
              </w:rPr>
              <w:t xml:space="preserve">q </w:t>
            </w:r>
            <w:r>
              <w:rPr>
                <w:sz w:val="20"/>
              </w:rPr>
              <w:t xml:space="preserve">for ERS Contract Period </w:t>
            </w:r>
            <w:r>
              <w:rPr>
                <w:i/>
                <w:sz w:val="20"/>
              </w:rPr>
              <w:t>c</w:t>
            </w:r>
            <w:r>
              <w:rPr>
                <w:sz w:val="20"/>
              </w:rPr>
              <w:t>, ERS Resource</w:t>
            </w:r>
            <w:r w:rsidRPr="00857EE5">
              <w:rPr>
                <w:sz w:val="20"/>
              </w:rPr>
              <w:t xml:space="preserve"> </w:t>
            </w:r>
            <w:r w:rsidRPr="00857EE5">
              <w:rPr>
                <w:i/>
                <w:sz w:val="20"/>
              </w:rPr>
              <w:t>e</w:t>
            </w:r>
            <w:r>
              <w:rPr>
                <w:sz w:val="20"/>
              </w:rPr>
              <w:t>,</w:t>
            </w:r>
            <w:r w:rsidRPr="00857EE5">
              <w:rPr>
                <w:sz w:val="20"/>
              </w:rPr>
              <w:t xml:space="preserve"> </w:t>
            </w:r>
            <w:r>
              <w:rPr>
                <w:sz w:val="20"/>
              </w:rPr>
              <w:t>ERS Time Period</w:t>
            </w:r>
            <w:r>
              <w:rPr>
                <w:i/>
                <w:sz w:val="20"/>
              </w:rPr>
              <w:t xml:space="preserve"> tp</w:t>
            </w:r>
            <w:r>
              <w:rPr>
                <w:sz w:val="20"/>
              </w:rPr>
              <w:t xml:space="preserve"> and ERS service type </w:t>
            </w:r>
            <w:r>
              <w:rPr>
                <w:i/>
                <w:sz w:val="20"/>
              </w:rPr>
              <w:t>d</w:t>
            </w:r>
            <w:r>
              <w:rPr>
                <w:sz w:val="20"/>
              </w:rPr>
              <w:t>.</w:t>
            </w:r>
          </w:p>
        </w:tc>
      </w:tr>
      <w:tr w:rsidR="001F04FD" w14:paraId="2E3472BE" w14:textId="77777777" w:rsidTr="00AC4DEE">
        <w:trPr>
          <w:cantSplit/>
        </w:trPr>
        <w:tc>
          <w:tcPr>
            <w:tcW w:w="1298" w:type="pct"/>
          </w:tcPr>
          <w:p w14:paraId="43C06D9F" w14:textId="77777777" w:rsidR="001F04FD" w:rsidRDefault="001F04FD" w:rsidP="00AC4DEE">
            <w:pPr>
              <w:pStyle w:val="TableBody"/>
            </w:pPr>
            <w:r>
              <w:t xml:space="preserve">ERSLRS </w:t>
            </w:r>
            <w:r w:rsidRPr="00E15B17">
              <w:rPr>
                <w:i/>
                <w:vertAlign w:val="subscript"/>
              </w:rPr>
              <w:t>qc(tp)</w:t>
            </w:r>
          </w:p>
        </w:tc>
        <w:tc>
          <w:tcPr>
            <w:tcW w:w="566" w:type="pct"/>
          </w:tcPr>
          <w:p w14:paraId="483A3374" w14:textId="77777777" w:rsidR="001F04FD" w:rsidRDefault="001F04FD" w:rsidP="00AC4DEE">
            <w:pPr>
              <w:pStyle w:val="VariableDefinition"/>
              <w:tabs>
                <w:tab w:val="clear" w:pos="2160"/>
              </w:tabs>
              <w:spacing w:after="60"/>
              <w:ind w:left="0" w:firstLine="0"/>
            </w:pPr>
            <w:r>
              <w:rPr>
                <w:sz w:val="20"/>
              </w:rPr>
              <w:t>None</w:t>
            </w:r>
          </w:p>
        </w:tc>
        <w:tc>
          <w:tcPr>
            <w:tcW w:w="3136" w:type="pct"/>
          </w:tcPr>
          <w:p w14:paraId="7BD4CFCA" w14:textId="77777777" w:rsidR="001F04FD" w:rsidRPr="009153BA" w:rsidRDefault="001F04FD" w:rsidP="00AC4DEE">
            <w:pPr>
              <w:pStyle w:val="VariableDefinition"/>
              <w:tabs>
                <w:tab w:val="clear" w:pos="2160"/>
              </w:tabs>
              <w:spacing w:after="60"/>
              <w:ind w:left="0" w:firstLine="0"/>
              <w:rPr>
                <w:i/>
                <w:sz w:val="20"/>
              </w:rPr>
            </w:pPr>
            <w:r>
              <w:rPr>
                <w:i/>
                <w:sz w:val="20"/>
              </w:rPr>
              <w:t>ERS</w:t>
            </w:r>
            <w:r w:rsidRPr="00DE1436">
              <w:rPr>
                <w:i/>
                <w:sz w:val="20"/>
              </w:rPr>
              <w:t xml:space="preserve"> Load Ratio Share per QSE per </w:t>
            </w:r>
            <w:r>
              <w:rPr>
                <w:i/>
                <w:sz w:val="20"/>
              </w:rPr>
              <w:t xml:space="preserve">ERS </w:t>
            </w:r>
            <w:r w:rsidRPr="00DE1436">
              <w:rPr>
                <w:i/>
                <w:sz w:val="20"/>
              </w:rPr>
              <w:t xml:space="preserve">Contract Period per </w:t>
            </w:r>
            <w:r>
              <w:rPr>
                <w:i/>
                <w:sz w:val="20"/>
              </w:rPr>
              <w:t xml:space="preserve">ERS </w:t>
            </w:r>
            <w:r w:rsidRPr="00DE1436">
              <w:rPr>
                <w:i/>
                <w:sz w:val="20"/>
              </w:rPr>
              <w:t>Time Period</w:t>
            </w:r>
            <w:r>
              <w:rPr>
                <w:i/>
                <w:sz w:val="20"/>
              </w:rPr>
              <w:t xml:space="preserve"> per ERS Service Type</w:t>
            </w:r>
            <w:r>
              <w:t>—</w:t>
            </w:r>
            <w:r>
              <w:rPr>
                <w:sz w:val="20"/>
              </w:rPr>
              <w:t xml:space="preserve">ERS LRS for QSE </w:t>
            </w:r>
            <w:r>
              <w:rPr>
                <w:i/>
                <w:sz w:val="20"/>
              </w:rPr>
              <w:t xml:space="preserve">q </w:t>
            </w:r>
            <w:r>
              <w:rPr>
                <w:bCs/>
                <w:sz w:val="20"/>
              </w:rPr>
              <w:t xml:space="preserve">for </w:t>
            </w:r>
            <w:r>
              <w:rPr>
                <w:sz w:val="20"/>
              </w:rPr>
              <w:t xml:space="preserve">ERS Contract Period </w:t>
            </w:r>
            <w:r>
              <w:rPr>
                <w:i/>
                <w:sz w:val="20"/>
              </w:rPr>
              <w:t>c</w:t>
            </w:r>
            <w:r>
              <w:rPr>
                <w:sz w:val="20"/>
              </w:rPr>
              <w:t>, ERS Time Period</w:t>
            </w:r>
            <w:r>
              <w:rPr>
                <w:i/>
                <w:sz w:val="20"/>
              </w:rPr>
              <w:t xml:space="preserve"> tp </w:t>
            </w:r>
            <w:r>
              <w:rPr>
                <w:sz w:val="20"/>
              </w:rPr>
              <w:t xml:space="preserve">and ERS service type </w:t>
            </w:r>
            <w:r>
              <w:rPr>
                <w:i/>
                <w:sz w:val="20"/>
              </w:rPr>
              <w:t xml:space="preserve">d, </w:t>
            </w:r>
            <w:r w:rsidRPr="00F06E22">
              <w:rPr>
                <w:sz w:val="20"/>
              </w:rPr>
              <w:t>calculated starting with the first hour of the ERS Contract Period and ending with the earlier of the last hour of the ERS Contract Period or the hour containing the recall instruction in an ERS deployment event that results in the exhaustion of a QSE portfolio’s ERS obligation</w:t>
            </w:r>
            <w:r w:rsidRPr="00BB60E0">
              <w:rPr>
                <w:sz w:val="20"/>
              </w:rPr>
              <w:t>.</w:t>
            </w:r>
            <w:r w:rsidR="00BD4C7C">
              <w:rPr>
                <w:sz w:val="20"/>
              </w:rPr>
              <w:t xml:space="preserve">  </w:t>
            </w:r>
            <w:r w:rsidR="00BD4C7C" w:rsidRPr="005861E2">
              <w:rPr>
                <w:iCs w:val="0"/>
                <w:sz w:val="20"/>
              </w:rPr>
              <w:t>If the resultant QSE-level share is negative, the QSE’s share will be set to zero and all other QSE shares will be adjusted on a pro rata basis such that the sum of all shares is equal to one.</w:t>
            </w:r>
          </w:p>
        </w:tc>
      </w:tr>
      <w:tr w:rsidR="001F04FD" w14:paraId="61B9CC94" w14:textId="77777777" w:rsidTr="00AC4DEE">
        <w:trPr>
          <w:cantSplit/>
        </w:trPr>
        <w:tc>
          <w:tcPr>
            <w:tcW w:w="1298" w:type="pct"/>
          </w:tcPr>
          <w:p w14:paraId="2D22AE54" w14:textId="77777777" w:rsidR="001F04FD" w:rsidRPr="00E15B17" w:rsidRDefault="001F04FD" w:rsidP="00AC4DEE">
            <w:pPr>
              <w:pStyle w:val="TableBody"/>
              <w:rPr>
                <w:i/>
              </w:rPr>
            </w:pPr>
            <w:r w:rsidRPr="00E15B17">
              <w:rPr>
                <w:i/>
              </w:rPr>
              <w:t>q</w:t>
            </w:r>
          </w:p>
        </w:tc>
        <w:tc>
          <w:tcPr>
            <w:tcW w:w="566" w:type="pct"/>
          </w:tcPr>
          <w:p w14:paraId="2686950C" w14:textId="77777777" w:rsidR="001F04FD" w:rsidRDefault="001F04FD" w:rsidP="00AC4DEE">
            <w:pPr>
              <w:pStyle w:val="TableBody"/>
            </w:pPr>
            <w:r>
              <w:t>None</w:t>
            </w:r>
          </w:p>
        </w:tc>
        <w:tc>
          <w:tcPr>
            <w:tcW w:w="3136" w:type="pct"/>
          </w:tcPr>
          <w:p w14:paraId="1410C09C" w14:textId="77777777" w:rsidR="001F04FD" w:rsidRDefault="001F04FD" w:rsidP="00AC4DEE">
            <w:pPr>
              <w:pStyle w:val="TableBody"/>
            </w:pPr>
            <w:r>
              <w:t>A QSE.</w:t>
            </w:r>
          </w:p>
        </w:tc>
      </w:tr>
      <w:tr w:rsidR="001F04FD" w14:paraId="37B0D374" w14:textId="77777777" w:rsidTr="00AC4DEE">
        <w:trPr>
          <w:cantSplit/>
        </w:trPr>
        <w:tc>
          <w:tcPr>
            <w:tcW w:w="1298" w:type="pct"/>
          </w:tcPr>
          <w:p w14:paraId="2FEA348A" w14:textId="77777777" w:rsidR="001F04FD" w:rsidRPr="00E15B17" w:rsidRDefault="001F04FD" w:rsidP="00AC4DEE">
            <w:pPr>
              <w:pStyle w:val="TableBody"/>
              <w:rPr>
                <w:i/>
              </w:rPr>
            </w:pPr>
            <w:r w:rsidRPr="00E15B17">
              <w:rPr>
                <w:i/>
              </w:rPr>
              <w:t>c</w:t>
            </w:r>
          </w:p>
        </w:tc>
        <w:tc>
          <w:tcPr>
            <w:tcW w:w="566" w:type="pct"/>
          </w:tcPr>
          <w:p w14:paraId="46EE65C1" w14:textId="77777777" w:rsidR="001F04FD" w:rsidRDefault="001F04FD" w:rsidP="00AC4DEE">
            <w:pPr>
              <w:pStyle w:val="TableBody"/>
            </w:pPr>
            <w:r>
              <w:t>None</w:t>
            </w:r>
          </w:p>
        </w:tc>
        <w:tc>
          <w:tcPr>
            <w:tcW w:w="3136" w:type="pct"/>
          </w:tcPr>
          <w:p w14:paraId="42C26BDD" w14:textId="77777777" w:rsidR="001F04FD" w:rsidRDefault="001F04FD" w:rsidP="00AC4DEE">
            <w:pPr>
              <w:pStyle w:val="TableBody"/>
            </w:pPr>
            <w:r>
              <w:t>ERS Contract Period.</w:t>
            </w:r>
          </w:p>
        </w:tc>
      </w:tr>
      <w:tr w:rsidR="001F04FD" w14:paraId="6D7896BD" w14:textId="77777777" w:rsidTr="00AC4DEE">
        <w:trPr>
          <w:cantSplit/>
        </w:trPr>
        <w:tc>
          <w:tcPr>
            <w:tcW w:w="1298" w:type="pct"/>
          </w:tcPr>
          <w:p w14:paraId="15ACDEA3" w14:textId="77777777" w:rsidR="001F04FD" w:rsidRPr="00E15B17" w:rsidRDefault="001F04FD" w:rsidP="00AC4DEE">
            <w:pPr>
              <w:pStyle w:val="TableBody"/>
              <w:rPr>
                <w:i/>
              </w:rPr>
            </w:pPr>
            <w:r w:rsidRPr="00E15B17">
              <w:rPr>
                <w:i/>
              </w:rPr>
              <w:t>r</w:t>
            </w:r>
          </w:p>
        </w:tc>
        <w:tc>
          <w:tcPr>
            <w:tcW w:w="566" w:type="pct"/>
          </w:tcPr>
          <w:p w14:paraId="23E5D05C" w14:textId="77777777" w:rsidR="001F04FD" w:rsidRDefault="001F04FD" w:rsidP="00AC4DEE">
            <w:pPr>
              <w:pStyle w:val="TableBody"/>
            </w:pPr>
            <w:r w:rsidRPr="00C83EFD">
              <w:t>None</w:t>
            </w:r>
          </w:p>
        </w:tc>
        <w:tc>
          <w:tcPr>
            <w:tcW w:w="3136" w:type="pct"/>
          </w:tcPr>
          <w:p w14:paraId="4277154A" w14:textId="77777777" w:rsidR="001F04FD" w:rsidRDefault="001F04FD" w:rsidP="00AC4DEE">
            <w:pPr>
              <w:pStyle w:val="TableBody"/>
            </w:pPr>
            <w:r w:rsidRPr="00C83EFD">
              <w:t>ERS Standard Contract Term.</w:t>
            </w:r>
          </w:p>
        </w:tc>
      </w:tr>
      <w:tr w:rsidR="001F04FD" w14:paraId="18637D59" w14:textId="77777777" w:rsidTr="00AC4DEE">
        <w:trPr>
          <w:cantSplit/>
        </w:trPr>
        <w:tc>
          <w:tcPr>
            <w:tcW w:w="1298" w:type="pct"/>
          </w:tcPr>
          <w:p w14:paraId="463BCF37" w14:textId="77777777" w:rsidR="001F04FD" w:rsidRPr="00E15B17" w:rsidRDefault="001F04FD" w:rsidP="00AC4DEE">
            <w:pPr>
              <w:pStyle w:val="TableBody"/>
              <w:rPr>
                <w:i/>
              </w:rPr>
            </w:pPr>
            <w:r w:rsidRPr="00E15B17">
              <w:rPr>
                <w:i/>
              </w:rPr>
              <w:t>tp</w:t>
            </w:r>
          </w:p>
        </w:tc>
        <w:tc>
          <w:tcPr>
            <w:tcW w:w="566" w:type="pct"/>
          </w:tcPr>
          <w:p w14:paraId="7F8942E0" w14:textId="77777777" w:rsidR="001F04FD" w:rsidRDefault="001F04FD" w:rsidP="00AC4DEE">
            <w:pPr>
              <w:pStyle w:val="TableBody"/>
            </w:pPr>
            <w:r>
              <w:t>None</w:t>
            </w:r>
          </w:p>
        </w:tc>
        <w:tc>
          <w:tcPr>
            <w:tcW w:w="3136" w:type="pct"/>
          </w:tcPr>
          <w:p w14:paraId="4FD779AB" w14:textId="77777777" w:rsidR="001F04FD" w:rsidRDefault="001F04FD" w:rsidP="00AC4DEE">
            <w:pPr>
              <w:pStyle w:val="TableBody"/>
            </w:pPr>
            <w:r>
              <w:t>Hours in an ERS Time Period.</w:t>
            </w:r>
          </w:p>
        </w:tc>
      </w:tr>
      <w:tr w:rsidR="001F04FD" w14:paraId="6D886661" w14:textId="77777777" w:rsidTr="00AC4DEE">
        <w:trPr>
          <w:cantSplit/>
        </w:trPr>
        <w:tc>
          <w:tcPr>
            <w:tcW w:w="1298" w:type="pct"/>
          </w:tcPr>
          <w:p w14:paraId="3BCC8C36" w14:textId="77777777" w:rsidR="001F04FD" w:rsidRPr="00E15B17" w:rsidRDefault="001F04FD" w:rsidP="00AC4DEE">
            <w:pPr>
              <w:pStyle w:val="TableBody"/>
              <w:rPr>
                <w:i/>
                <w:highlight w:val="yellow"/>
              </w:rPr>
            </w:pPr>
            <w:r w:rsidRPr="00E15B17">
              <w:rPr>
                <w:i/>
              </w:rPr>
              <w:t>e</w:t>
            </w:r>
          </w:p>
        </w:tc>
        <w:tc>
          <w:tcPr>
            <w:tcW w:w="566" w:type="pct"/>
          </w:tcPr>
          <w:p w14:paraId="312BB508" w14:textId="77777777" w:rsidR="001F04FD" w:rsidRDefault="001F04FD" w:rsidP="00AC4DEE">
            <w:pPr>
              <w:pStyle w:val="TableBody"/>
              <w:rPr>
                <w:noProof/>
              </w:rPr>
            </w:pPr>
            <w:r>
              <w:t>None</w:t>
            </w:r>
          </w:p>
        </w:tc>
        <w:tc>
          <w:tcPr>
            <w:tcW w:w="3136" w:type="pct"/>
          </w:tcPr>
          <w:p w14:paraId="74CCBD55" w14:textId="77777777" w:rsidR="001F04FD" w:rsidRDefault="001F04FD" w:rsidP="00AC4DEE">
            <w:pPr>
              <w:pStyle w:val="TableBody"/>
            </w:pPr>
            <w:r>
              <w:rPr>
                <w:bCs/>
              </w:rPr>
              <w:t>An ERS Resource</w:t>
            </w:r>
            <w:r>
              <w:t xml:space="preserve"> procured from a QSE for an ERS Contract Period.</w:t>
            </w:r>
          </w:p>
        </w:tc>
      </w:tr>
      <w:tr w:rsidR="001F04FD" w14:paraId="3EF8306A" w14:textId="77777777" w:rsidTr="00AC4DEE">
        <w:trPr>
          <w:cantSplit/>
        </w:trPr>
        <w:tc>
          <w:tcPr>
            <w:tcW w:w="1298" w:type="pct"/>
          </w:tcPr>
          <w:p w14:paraId="24CC84DC" w14:textId="77777777" w:rsidR="001F04FD" w:rsidRPr="00E15B17" w:rsidRDefault="001F04FD" w:rsidP="00AC4DEE">
            <w:pPr>
              <w:pStyle w:val="TableBody"/>
              <w:rPr>
                <w:i/>
              </w:rPr>
            </w:pPr>
            <w:r w:rsidRPr="00E15B17">
              <w:rPr>
                <w:i/>
              </w:rPr>
              <w:t>co</w:t>
            </w:r>
          </w:p>
        </w:tc>
        <w:tc>
          <w:tcPr>
            <w:tcW w:w="566" w:type="pct"/>
          </w:tcPr>
          <w:p w14:paraId="5511BBDF" w14:textId="77777777" w:rsidR="001F04FD" w:rsidRDefault="001F04FD" w:rsidP="00AC4DEE">
            <w:pPr>
              <w:pStyle w:val="TableBody"/>
            </w:pPr>
            <w:r>
              <w:t>None</w:t>
            </w:r>
          </w:p>
        </w:tc>
        <w:tc>
          <w:tcPr>
            <w:tcW w:w="3136" w:type="pct"/>
          </w:tcPr>
          <w:p w14:paraId="24612C96" w14:textId="77777777" w:rsidR="001F04FD" w:rsidRDefault="001F04FD" w:rsidP="00AC4DEE">
            <w:pPr>
              <w:pStyle w:val="TableBody"/>
            </w:pPr>
            <w:r>
              <w:t>The number of competitive ERS Resources procured from a QSE for an ERS Contract Period.</w:t>
            </w:r>
          </w:p>
        </w:tc>
      </w:tr>
      <w:tr w:rsidR="001F04FD" w14:paraId="16D9B3E7" w14:textId="77777777" w:rsidTr="00AC4DEE">
        <w:trPr>
          <w:cantSplit/>
        </w:trPr>
        <w:tc>
          <w:tcPr>
            <w:tcW w:w="1298" w:type="pct"/>
          </w:tcPr>
          <w:p w14:paraId="526615A5" w14:textId="77777777" w:rsidR="001F04FD" w:rsidRPr="00E15B17" w:rsidRDefault="001F04FD" w:rsidP="00AC4DEE">
            <w:pPr>
              <w:pStyle w:val="TableBody"/>
              <w:rPr>
                <w:i/>
              </w:rPr>
            </w:pPr>
            <w:r w:rsidRPr="00E15B17">
              <w:rPr>
                <w:i/>
              </w:rPr>
              <w:t>s</w:t>
            </w:r>
          </w:p>
        </w:tc>
        <w:tc>
          <w:tcPr>
            <w:tcW w:w="566" w:type="pct"/>
          </w:tcPr>
          <w:p w14:paraId="31592B31" w14:textId="77777777" w:rsidR="001F04FD" w:rsidRDefault="001F04FD" w:rsidP="00AC4DEE">
            <w:pPr>
              <w:pStyle w:val="TableBody"/>
            </w:pPr>
            <w:r>
              <w:t>None</w:t>
            </w:r>
          </w:p>
        </w:tc>
        <w:tc>
          <w:tcPr>
            <w:tcW w:w="3136" w:type="pct"/>
          </w:tcPr>
          <w:p w14:paraId="44DABEE2" w14:textId="77777777" w:rsidR="001F04FD" w:rsidRDefault="001F04FD" w:rsidP="00AC4DEE">
            <w:pPr>
              <w:pStyle w:val="TableBody"/>
              <w:rPr>
                <w:bCs/>
              </w:rPr>
            </w:pPr>
            <w:r>
              <w:t>The number of self-provided ERS Resources procured from a QSE for an ERS Contract Period.</w:t>
            </w:r>
          </w:p>
        </w:tc>
      </w:tr>
      <w:tr w:rsidR="001F04FD" w14:paraId="39F39C02" w14:textId="77777777" w:rsidTr="00AC4DEE">
        <w:trPr>
          <w:cantSplit/>
        </w:trPr>
        <w:tc>
          <w:tcPr>
            <w:tcW w:w="1298" w:type="pct"/>
          </w:tcPr>
          <w:p w14:paraId="38D7698E" w14:textId="77777777" w:rsidR="001F04FD" w:rsidRPr="00E15B17" w:rsidRDefault="001F04FD" w:rsidP="00AC4DEE">
            <w:pPr>
              <w:pStyle w:val="TableBody"/>
              <w:rPr>
                <w:i/>
              </w:rPr>
            </w:pPr>
            <w:r w:rsidRPr="00E15B17">
              <w:rPr>
                <w:i/>
              </w:rPr>
              <w:t>n</w:t>
            </w:r>
          </w:p>
        </w:tc>
        <w:tc>
          <w:tcPr>
            <w:tcW w:w="566" w:type="pct"/>
          </w:tcPr>
          <w:p w14:paraId="3AF92EC0" w14:textId="77777777" w:rsidR="001F04FD" w:rsidRDefault="001F04FD" w:rsidP="00AC4DEE">
            <w:pPr>
              <w:pStyle w:val="TableBody"/>
            </w:pPr>
            <w:r>
              <w:t>None</w:t>
            </w:r>
          </w:p>
        </w:tc>
        <w:tc>
          <w:tcPr>
            <w:tcW w:w="3136" w:type="pct"/>
          </w:tcPr>
          <w:p w14:paraId="04833E24" w14:textId="77777777" w:rsidR="001F04FD" w:rsidRDefault="001F04FD" w:rsidP="00AC4DEE">
            <w:pPr>
              <w:pStyle w:val="TableBody"/>
            </w:pPr>
            <w:r>
              <w:t>The number of QSEs for an ERS Contract Period.</w:t>
            </w:r>
            <w:r w:rsidDel="00BC1513">
              <w:t xml:space="preserve"> </w:t>
            </w:r>
          </w:p>
        </w:tc>
      </w:tr>
      <w:tr w:rsidR="001F04FD" w14:paraId="7C674814" w14:textId="77777777" w:rsidTr="00AC4DEE">
        <w:trPr>
          <w:cantSplit/>
        </w:trPr>
        <w:tc>
          <w:tcPr>
            <w:tcW w:w="1298" w:type="pct"/>
          </w:tcPr>
          <w:p w14:paraId="51B4C3A7" w14:textId="77777777" w:rsidR="001F04FD" w:rsidRPr="00E15B17" w:rsidRDefault="001F04FD" w:rsidP="00AC4DEE">
            <w:pPr>
              <w:pStyle w:val="TableBody"/>
              <w:rPr>
                <w:i/>
              </w:rPr>
            </w:pPr>
            <w:r w:rsidRPr="00E15B17">
              <w:rPr>
                <w:i/>
              </w:rPr>
              <w:lastRenderedPageBreak/>
              <w:t>d</w:t>
            </w:r>
          </w:p>
        </w:tc>
        <w:tc>
          <w:tcPr>
            <w:tcW w:w="566" w:type="pct"/>
          </w:tcPr>
          <w:p w14:paraId="1EC2D016" w14:textId="77777777" w:rsidR="001F04FD" w:rsidRDefault="001F04FD" w:rsidP="00AC4DEE">
            <w:pPr>
              <w:pStyle w:val="TableBody"/>
            </w:pPr>
            <w:r>
              <w:t>None</w:t>
            </w:r>
          </w:p>
        </w:tc>
        <w:tc>
          <w:tcPr>
            <w:tcW w:w="3136" w:type="pct"/>
          </w:tcPr>
          <w:p w14:paraId="32B59D7B" w14:textId="77777777" w:rsidR="001F04FD" w:rsidRPr="00720AEA" w:rsidRDefault="001F04FD" w:rsidP="00AC4DEE">
            <w:pPr>
              <w:pStyle w:val="TableBody"/>
            </w:pPr>
            <w:r>
              <w:t>ERS service type (</w:t>
            </w:r>
            <w:r w:rsidRPr="00D65103">
              <w:rPr>
                <w:iCs w:val="0"/>
              </w:rPr>
              <w:t>Weather</w:t>
            </w:r>
            <w:r>
              <w:rPr>
                <w:iCs w:val="0"/>
              </w:rPr>
              <w:t>-</w:t>
            </w:r>
            <w:r w:rsidRPr="00D65103">
              <w:rPr>
                <w:iCs w:val="0"/>
              </w:rPr>
              <w:t>Sensitive ERS-10</w:t>
            </w:r>
            <w:r>
              <w:rPr>
                <w:iCs w:val="0"/>
              </w:rPr>
              <w:t xml:space="preserve">, </w:t>
            </w:r>
            <w:r w:rsidRPr="00D65103">
              <w:rPr>
                <w:iCs w:val="0"/>
              </w:rPr>
              <w:t>Non-Weather</w:t>
            </w:r>
            <w:r>
              <w:rPr>
                <w:iCs w:val="0"/>
              </w:rPr>
              <w:t>-</w:t>
            </w:r>
            <w:r w:rsidRPr="00D65103">
              <w:rPr>
                <w:iCs w:val="0"/>
              </w:rPr>
              <w:t>Sensitive ERS-10</w:t>
            </w:r>
            <w:r>
              <w:rPr>
                <w:iCs w:val="0"/>
              </w:rPr>
              <w:t xml:space="preserve">, </w:t>
            </w:r>
            <w:r w:rsidRPr="00D65103">
              <w:rPr>
                <w:iCs w:val="0"/>
              </w:rPr>
              <w:t>Weather</w:t>
            </w:r>
            <w:r>
              <w:rPr>
                <w:iCs w:val="0"/>
              </w:rPr>
              <w:t>-</w:t>
            </w:r>
            <w:r w:rsidRPr="00D65103">
              <w:rPr>
                <w:iCs w:val="0"/>
              </w:rPr>
              <w:t>Sensitive ERS-</w:t>
            </w:r>
            <w:r>
              <w:rPr>
                <w:iCs w:val="0"/>
              </w:rPr>
              <w:t xml:space="preserve">30, or </w:t>
            </w:r>
            <w:r w:rsidRPr="00D65103">
              <w:rPr>
                <w:iCs w:val="0"/>
              </w:rPr>
              <w:t>Non-Weather</w:t>
            </w:r>
            <w:r>
              <w:rPr>
                <w:iCs w:val="0"/>
              </w:rPr>
              <w:t>-</w:t>
            </w:r>
            <w:r w:rsidRPr="00D65103">
              <w:rPr>
                <w:iCs w:val="0"/>
              </w:rPr>
              <w:t>Sensitive ERS-30</w:t>
            </w:r>
            <w:r>
              <w:t>).</w:t>
            </w:r>
          </w:p>
        </w:tc>
      </w:tr>
    </w:tbl>
    <w:p w14:paraId="214523A6" w14:textId="77777777" w:rsidR="001F04FD" w:rsidRDefault="001F04FD" w:rsidP="001F04FD">
      <w:pPr>
        <w:pStyle w:val="H4"/>
        <w:spacing w:before="480"/>
        <w:ind w:left="1267" w:hanging="1267"/>
      </w:pPr>
      <w:bookmarkStart w:id="2635" w:name="_Toc397505044"/>
      <w:bookmarkStart w:id="2636" w:name="_Toc402357176"/>
      <w:bookmarkStart w:id="2637" w:name="_Toc422486556"/>
      <w:bookmarkStart w:id="2638" w:name="_Toc433093409"/>
      <w:bookmarkStart w:id="2639" w:name="_Toc433093567"/>
      <w:bookmarkStart w:id="2640" w:name="_Toc440874797"/>
      <w:bookmarkStart w:id="2641" w:name="_Toc448142354"/>
      <w:bookmarkStart w:id="2642" w:name="_Toc448142511"/>
      <w:bookmarkStart w:id="2643" w:name="_Toc458770352"/>
      <w:bookmarkStart w:id="2644" w:name="_Toc459294320"/>
      <w:bookmarkStart w:id="2645" w:name="_Toc463262814"/>
      <w:bookmarkStart w:id="2646" w:name="_Toc468286887"/>
      <w:bookmarkStart w:id="2647" w:name="_Toc481502927"/>
      <w:bookmarkStart w:id="2648" w:name="_Toc496080095"/>
      <w:bookmarkStart w:id="2649" w:name="_Toc204411730"/>
      <w:r>
        <w:t>6.6.11.2</w:t>
      </w:r>
      <w:r>
        <w:tab/>
        <w:t>Emergency Response Service Capacity Charge</w:t>
      </w:r>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p>
    <w:p w14:paraId="74755EDC" w14:textId="77777777" w:rsidR="001F04FD" w:rsidRDefault="001F04FD" w:rsidP="001F04FD">
      <w:pPr>
        <w:pStyle w:val="BodyTextNumbered"/>
      </w:pPr>
      <w:r>
        <w:t>(1)</w:t>
      </w:r>
      <w:r>
        <w:tab/>
        <w:t>ERCOT shall allocate costs for an ERS service type and ERS Contract Period based on the LRS of each QSE during each ERS Time Period in an ERS Contract Period.  A QSE’s LRS for an ERS Time Period shall be the QSE’s total Load for the ERS Time Period divided by the total ERCOT Load in the ERS Time Period.  For the first S</w:t>
      </w:r>
      <w:r w:rsidRPr="00A55000">
        <w:t xml:space="preserve">ettlement of the </w:t>
      </w:r>
      <w:r>
        <w:t>ERS</w:t>
      </w:r>
      <w:r w:rsidRPr="00A55000">
        <w:t xml:space="preserve"> Contract Period as described in </w:t>
      </w:r>
      <w:r>
        <w:t xml:space="preserve">paragraph (1) of </w:t>
      </w:r>
      <w:r w:rsidRPr="00A55000">
        <w:t xml:space="preserve">Section 9.14.5, Settlement of </w:t>
      </w:r>
      <w:r>
        <w:t>Emergency Response Service</w:t>
      </w:r>
      <w:r w:rsidRPr="00A55000">
        <w:t xml:space="preserve">, LRS will be calculated using the </w:t>
      </w:r>
      <w:r>
        <w:t>latest Settlement</w:t>
      </w:r>
      <w:r w:rsidRPr="00A55000">
        <w:t xml:space="preserve"> Load for each Operating Day in the </w:t>
      </w:r>
      <w:r>
        <w:t>ERS</w:t>
      </w:r>
      <w:r w:rsidRPr="00A55000">
        <w:t xml:space="preserve"> Contract Period.  For the resettlement of the </w:t>
      </w:r>
      <w:r>
        <w:t>ERS</w:t>
      </w:r>
      <w:r w:rsidRPr="00A55000">
        <w:t xml:space="preserve"> Contract Period as described in </w:t>
      </w:r>
      <w:r>
        <w:t xml:space="preserve">paragraph (2) of </w:t>
      </w:r>
      <w:r w:rsidRPr="00A55000">
        <w:t xml:space="preserve">Section 9.14.5, the LRS will be calculated using the </w:t>
      </w:r>
      <w:r>
        <w:t>t</w:t>
      </w:r>
      <w:r w:rsidRPr="00A55000">
        <w:t>rue-</w:t>
      </w:r>
      <w:r>
        <w:t>u</w:t>
      </w:r>
      <w:r w:rsidRPr="00A55000">
        <w:t xml:space="preserve">p Load for each Operating Day in the </w:t>
      </w:r>
      <w:r>
        <w:t>ERS</w:t>
      </w:r>
      <w:r w:rsidRPr="00A55000">
        <w:t xml:space="preserve"> Contract Period.  </w:t>
      </w:r>
    </w:p>
    <w:p w14:paraId="55C509AB" w14:textId="77777777" w:rsidR="001F04FD" w:rsidRDefault="001F04FD" w:rsidP="001F04FD">
      <w:pPr>
        <w:pStyle w:val="BodyTextNumbered"/>
        <w:ind w:left="0" w:firstLine="0"/>
      </w:pPr>
      <w:r>
        <w:t>(2)</w:t>
      </w:r>
      <w:r>
        <w:tab/>
        <w:t>ERCOT shall calculate each QSE’s ERS capacity charge as follows:</w:t>
      </w:r>
    </w:p>
    <w:p w14:paraId="0310C6C2" w14:textId="77777777" w:rsidR="001F04FD" w:rsidRPr="00B913FA" w:rsidRDefault="001F04FD" w:rsidP="001F04FD">
      <w:pPr>
        <w:pStyle w:val="FormulaBold"/>
        <w:ind w:left="720" w:firstLine="0"/>
        <w:rPr>
          <w:i/>
          <w:vertAlign w:val="subscript"/>
        </w:rPr>
      </w:pPr>
      <w:r w:rsidRPr="00B913FA">
        <w:rPr>
          <w:lang w:val="pt-BR"/>
        </w:rPr>
        <w:t>LA</w:t>
      </w:r>
      <w:r>
        <w:rPr>
          <w:lang w:val="pt-BR"/>
        </w:rPr>
        <w:t>ERS</w:t>
      </w:r>
      <w:r w:rsidRPr="00B913FA">
        <w:rPr>
          <w:lang w:val="pt-BR"/>
        </w:rPr>
        <w:t>AMT  </w:t>
      </w:r>
      <w:r w:rsidRPr="00B913FA">
        <w:rPr>
          <w:i/>
          <w:vertAlign w:val="subscript"/>
          <w:lang w:val="pt-BR"/>
        </w:rPr>
        <w:t>qc</w:t>
      </w:r>
      <w:r w:rsidRPr="00B913FA">
        <w:rPr>
          <w:i/>
          <w:vertAlign w:val="subscript"/>
        </w:rPr>
        <w:t>(tp)</w:t>
      </w:r>
      <w:r>
        <w:rPr>
          <w:i/>
          <w:vertAlign w:val="subscript"/>
        </w:rPr>
        <w:t>d</w:t>
      </w:r>
      <w:r>
        <w:t xml:space="preserve"> = ERSLRS </w:t>
      </w:r>
      <w:r w:rsidRPr="00B913FA">
        <w:rPr>
          <w:i/>
          <w:vertAlign w:val="subscript"/>
        </w:rPr>
        <w:t>qc(tp)</w:t>
      </w:r>
      <w:r>
        <w:rPr>
          <w:i/>
          <w:vertAlign w:val="subscript"/>
        </w:rPr>
        <w:t>d</w:t>
      </w:r>
      <w:r w:rsidRPr="00B913FA">
        <w:rPr>
          <w:vertAlign w:val="subscript"/>
        </w:rPr>
        <w:t xml:space="preserve"> </w:t>
      </w:r>
      <w:r>
        <w:t>* ERSPAMTTOT </w:t>
      </w:r>
      <w:r w:rsidRPr="00B913FA">
        <w:rPr>
          <w:i/>
          <w:vertAlign w:val="subscript"/>
        </w:rPr>
        <w:t>c(tp)</w:t>
      </w:r>
      <w:r>
        <w:rPr>
          <w:i/>
          <w:vertAlign w:val="subscript"/>
        </w:rPr>
        <w:t>d</w:t>
      </w:r>
      <w:r w:rsidRPr="00B913FA" w:rsidDel="00665566">
        <w:rPr>
          <w:position w:val="-30"/>
        </w:rPr>
        <w:t xml:space="preserve"> </w:t>
      </w:r>
    </w:p>
    <w:p w14:paraId="35A5A797" w14:textId="77777777" w:rsidR="001F04FD" w:rsidRPr="00B913FA" w:rsidRDefault="001F04FD" w:rsidP="001F04FD">
      <w:pPr>
        <w:pStyle w:val="FormulaBold"/>
        <w:rPr>
          <w:i/>
          <w:vertAlign w:val="subscript"/>
        </w:rPr>
      </w:pPr>
      <w:r>
        <w:t>LAERSAMTQSETOT</w:t>
      </w:r>
      <w:r w:rsidRPr="00B913FA">
        <w:rPr>
          <w:i/>
          <w:vertAlign w:val="subscript"/>
        </w:rPr>
        <w:t>q</w:t>
      </w:r>
      <w:r w:rsidRPr="00B913FA">
        <w:rPr>
          <w:rFonts w:ascii="Times New Roman Bold" w:hAnsi="Times New Roman Bold"/>
        </w:rPr>
        <w:t xml:space="preserve"> = </w:t>
      </w:r>
      <w:r w:rsidRPr="00B913FA">
        <w:rPr>
          <w:position w:val="-30"/>
        </w:rPr>
        <w:object w:dxaOrig="465" w:dyaOrig="720" w14:anchorId="1C6D86A7">
          <v:shape id="_x0000_i1288" type="#_x0000_t75" style="width:18pt;height:36.6pt" o:ole="">
            <v:imagedata r:id="rId350" o:title=""/>
          </v:shape>
          <o:OLEObject Type="Embed" ProgID="Equation.3" ShapeID="_x0000_i1288" DrawAspect="Content" ObjectID="_1815025477" r:id="rId359"/>
        </w:object>
      </w:r>
      <w:r>
        <w:t>LAERSAMT </w:t>
      </w:r>
      <w:r>
        <w:rPr>
          <w:i/>
          <w:vertAlign w:val="subscript"/>
        </w:rPr>
        <w:t>q</w:t>
      </w:r>
      <w:r w:rsidRPr="00B913FA">
        <w:rPr>
          <w:i/>
          <w:vertAlign w:val="subscript"/>
        </w:rPr>
        <w:t>(tp)</w:t>
      </w:r>
      <w:r>
        <w:rPr>
          <w:i/>
          <w:vertAlign w:val="subscript"/>
        </w:rPr>
        <w:t>d</w:t>
      </w:r>
    </w:p>
    <w:p w14:paraId="2F1B1EA8" w14:textId="77777777" w:rsidR="001F04FD" w:rsidRPr="00B913FA" w:rsidRDefault="001F04FD" w:rsidP="001F04FD">
      <w:pPr>
        <w:rPr>
          <w:rFonts w:ascii="Times New Roman Bold" w:hAnsi="Times New Roman Bold"/>
          <w:b/>
        </w:rPr>
      </w:pPr>
      <w:r>
        <w:t>The above variables are defined as follows:</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24"/>
        <w:gridCol w:w="928"/>
        <w:gridCol w:w="6122"/>
      </w:tblGrid>
      <w:tr w:rsidR="001F04FD" w14:paraId="465DCCA8" w14:textId="77777777" w:rsidTr="00236104">
        <w:tc>
          <w:tcPr>
            <w:tcW w:w="1279" w:type="pct"/>
          </w:tcPr>
          <w:p w14:paraId="3E73D27F" w14:textId="77777777" w:rsidR="001F04FD" w:rsidRDefault="001F04FD" w:rsidP="00AC4DEE">
            <w:pPr>
              <w:pStyle w:val="TableHead"/>
            </w:pPr>
            <w:r>
              <w:t>Variable</w:t>
            </w:r>
          </w:p>
        </w:tc>
        <w:tc>
          <w:tcPr>
            <w:tcW w:w="490" w:type="pct"/>
          </w:tcPr>
          <w:p w14:paraId="7C5F2634" w14:textId="77777777" w:rsidR="001F04FD" w:rsidRDefault="001F04FD" w:rsidP="00AC4DEE">
            <w:pPr>
              <w:pStyle w:val="TableHead"/>
            </w:pPr>
            <w:r>
              <w:t>Unit</w:t>
            </w:r>
          </w:p>
        </w:tc>
        <w:tc>
          <w:tcPr>
            <w:tcW w:w="3231" w:type="pct"/>
          </w:tcPr>
          <w:p w14:paraId="69499173" w14:textId="77777777" w:rsidR="001F04FD" w:rsidRDefault="001F04FD" w:rsidP="00AC4DEE">
            <w:pPr>
              <w:pStyle w:val="TableHead"/>
            </w:pPr>
            <w:r>
              <w:t>Description</w:t>
            </w:r>
          </w:p>
        </w:tc>
      </w:tr>
      <w:tr w:rsidR="001F04FD" w:rsidDel="00F954FC" w14:paraId="371E7F23" w14:textId="77777777" w:rsidTr="00236104">
        <w:trPr>
          <w:cantSplit/>
        </w:trPr>
        <w:tc>
          <w:tcPr>
            <w:tcW w:w="1279" w:type="pct"/>
          </w:tcPr>
          <w:p w14:paraId="178127BE" w14:textId="77777777" w:rsidR="001F04FD" w:rsidDel="00F954FC" w:rsidRDefault="001F04FD" w:rsidP="00AC4DEE">
            <w:pPr>
              <w:pStyle w:val="TableBody"/>
            </w:pPr>
            <w:r>
              <w:t>ERSPAMTTOT</w:t>
            </w:r>
            <w:r w:rsidRPr="003274F1">
              <w:rPr>
                <w:i/>
                <w:vertAlign w:val="subscript"/>
              </w:rPr>
              <w:t xml:space="preserve"> </w:t>
            </w:r>
            <w:r w:rsidRPr="00C26BA9">
              <w:rPr>
                <w:i/>
                <w:vertAlign w:val="subscript"/>
              </w:rPr>
              <w:t>c(tp)d</w:t>
            </w:r>
          </w:p>
        </w:tc>
        <w:tc>
          <w:tcPr>
            <w:tcW w:w="490" w:type="pct"/>
          </w:tcPr>
          <w:p w14:paraId="50DE6E47" w14:textId="77777777" w:rsidR="001F04FD" w:rsidRDefault="001F04FD" w:rsidP="00AC4DEE">
            <w:pPr>
              <w:pStyle w:val="VariableDefinition"/>
              <w:spacing w:after="60"/>
              <w:ind w:left="0" w:firstLine="0"/>
              <w:rPr>
                <w:sz w:val="20"/>
              </w:rPr>
            </w:pPr>
            <w:r>
              <w:rPr>
                <w:sz w:val="20"/>
              </w:rPr>
              <w:t>$</w:t>
            </w:r>
          </w:p>
        </w:tc>
        <w:tc>
          <w:tcPr>
            <w:tcW w:w="3231" w:type="pct"/>
          </w:tcPr>
          <w:p w14:paraId="003973DC" w14:textId="77777777" w:rsidR="001F04FD" w:rsidDel="00F954FC" w:rsidRDefault="001F04FD" w:rsidP="00AC4DEE">
            <w:pPr>
              <w:pStyle w:val="VariableDefinition"/>
              <w:spacing w:after="60"/>
              <w:ind w:left="0" w:firstLine="0"/>
              <w:rPr>
                <w:sz w:val="20"/>
              </w:rPr>
            </w:pPr>
            <w:r>
              <w:rPr>
                <w:i/>
                <w:sz w:val="20"/>
              </w:rPr>
              <w:t>ERS</w:t>
            </w:r>
            <w:r w:rsidRPr="009F3A66">
              <w:rPr>
                <w:i/>
                <w:sz w:val="20"/>
              </w:rPr>
              <w:t xml:space="preserve"> Payment </w:t>
            </w:r>
            <w:r>
              <w:rPr>
                <w:i/>
                <w:sz w:val="20"/>
              </w:rPr>
              <w:t>Amount Total per ERS Contract Period</w:t>
            </w:r>
            <w:r w:rsidRPr="00DE1436">
              <w:rPr>
                <w:i/>
                <w:sz w:val="20"/>
              </w:rPr>
              <w:t xml:space="preserve"> per </w:t>
            </w:r>
            <w:r>
              <w:rPr>
                <w:i/>
                <w:sz w:val="20"/>
              </w:rPr>
              <w:t xml:space="preserve">ERS </w:t>
            </w:r>
            <w:r w:rsidRPr="00DE1436">
              <w:rPr>
                <w:i/>
                <w:sz w:val="20"/>
              </w:rPr>
              <w:t>Time Period</w:t>
            </w:r>
            <w:r>
              <w:rPr>
                <w:i/>
                <w:sz w:val="20"/>
              </w:rPr>
              <w:t xml:space="preserve"> per ERS Service Type</w:t>
            </w:r>
            <w:r>
              <w:t>—</w:t>
            </w:r>
            <w:r>
              <w:rPr>
                <w:sz w:val="20"/>
              </w:rPr>
              <w:t xml:space="preserve">Total of all ERS payments for ERS Contract Period </w:t>
            </w:r>
            <w:r>
              <w:rPr>
                <w:i/>
                <w:sz w:val="20"/>
              </w:rPr>
              <w:t xml:space="preserve">c, </w:t>
            </w:r>
            <w:r>
              <w:rPr>
                <w:sz w:val="20"/>
              </w:rPr>
              <w:t>ERS Time Period</w:t>
            </w:r>
            <w:r>
              <w:rPr>
                <w:i/>
                <w:sz w:val="20"/>
              </w:rPr>
              <w:t xml:space="preserve"> tp </w:t>
            </w:r>
            <w:r>
              <w:rPr>
                <w:sz w:val="20"/>
              </w:rPr>
              <w:t xml:space="preserve">and ERS service type </w:t>
            </w:r>
            <w:r>
              <w:rPr>
                <w:i/>
                <w:sz w:val="20"/>
              </w:rPr>
              <w:t>d</w:t>
            </w:r>
            <w:r>
              <w:rPr>
                <w:sz w:val="20"/>
              </w:rPr>
              <w:t>.</w:t>
            </w:r>
          </w:p>
        </w:tc>
      </w:tr>
      <w:tr w:rsidR="001F04FD" w14:paraId="0B952DB6" w14:textId="77777777" w:rsidTr="00236104">
        <w:trPr>
          <w:cantSplit/>
        </w:trPr>
        <w:tc>
          <w:tcPr>
            <w:tcW w:w="1279" w:type="pct"/>
          </w:tcPr>
          <w:p w14:paraId="28002EBF" w14:textId="77777777" w:rsidR="001F04FD" w:rsidRDefault="001F04FD" w:rsidP="00AC4DEE">
            <w:pPr>
              <w:pStyle w:val="TableBody"/>
            </w:pPr>
            <w:r>
              <w:t xml:space="preserve">ERSLRS </w:t>
            </w:r>
            <w:r w:rsidRPr="00C26BA9">
              <w:rPr>
                <w:i/>
                <w:vertAlign w:val="subscript"/>
              </w:rPr>
              <w:t>qc(tp)d</w:t>
            </w:r>
          </w:p>
        </w:tc>
        <w:tc>
          <w:tcPr>
            <w:tcW w:w="490" w:type="pct"/>
          </w:tcPr>
          <w:p w14:paraId="2A0E0CC3" w14:textId="77777777" w:rsidR="001F04FD" w:rsidRDefault="001F04FD" w:rsidP="00AC4DEE">
            <w:pPr>
              <w:pStyle w:val="VariableDefinition"/>
              <w:tabs>
                <w:tab w:val="clear" w:pos="2160"/>
              </w:tabs>
              <w:spacing w:after="60"/>
              <w:ind w:left="0" w:firstLine="0"/>
              <w:rPr>
                <w:sz w:val="20"/>
              </w:rPr>
            </w:pPr>
            <w:r>
              <w:rPr>
                <w:sz w:val="20"/>
              </w:rPr>
              <w:t>None</w:t>
            </w:r>
          </w:p>
        </w:tc>
        <w:tc>
          <w:tcPr>
            <w:tcW w:w="3231" w:type="pct"/>
          </w:tcPr>
          <w:p w14:paraId="780C513B" w14:textId="77777777" w:rsidR="001F04FD" w:rsidRDefault="001F04FD" w:rsidP="00AC4DEE">
            <w:pPr>
              <w:pStyle w:val="VariableDefinition"/>
              <w:tabs>
                <w:tab w:val="clear" w:pos="2160"/>
              </w:tabs>
              <w:spacing w:after="60"/>
              <w:ind w:left="0" w:firstLine="0"/>
              <w:rPr>
                <w:sz w:val="20"/>
              </w:rPr>
            </w:pPr>
            <w:r>
              <w:rPr>
                <w:i/>
                <w:sz w:val="20"/>
              </w:rPr>
              <w:t xml:space="preserve">ERS </w:t>
            </w:r>
            <w:r w:rsidRPr="00EB7831">
              <w:rPr>
                <w:i/>
                <w:sz w:val="20"/>
              </w:rPr>
              <w:t xml:space="preserve">Load Ratio Share per QSE per </w:t>
            </w:r>
            <w:r>
              <w:rPr>
                <w:i/>
                <w:sz w:val="20"/>
              </w:rPr>
              <w:t xml:space="preserve">ERS </w:t>
            </w:r>
            <w:r w:rsidRPr="00EB7831">
              <w:rPr>
                <w:i/>
                <w:sz w:val="20"/>
              </w:rPr>
              <w:t xml:space="preserve">Contract Period per </w:t>
            </w:r>
            <w:r>
              <w:rPr>
                <w:i/>
                <w:sz w:val="20"/>
              </w:rPr>
              <w:t xml:space="preserve">ERS </w:t>
            </w:r>
            <w:r w:rsidRPr="00EB7831">
              <w:rPr>
                <w:i/>
                <w:sz w:val="20"/>
              </w:rPr>
              <w:t>Time Period</w:t>
            </w:r>
            <w:r>
              <w:rPr>
                <w:i/>
                <w:sz w:val="20"/>
              </w:rPr>
              <w:t xml:space="preserve"> per ERS Service Type</w:t>
            </w:r>
            <w:r>
              <w:t>—</w:t>
            </w:r>
            <w:r>
              <w:rPr>
                <w:sz w:val="20"/>
              </w:rPr>
              <w:t xml:space="preserve">ERS LRS for QSE </w:t>
            </w:r>
            <w:r>
              <w:rPr>
                <w:i/>
                <w:sz w:val="20"/>
              </w:rPr>
              <w:t>q</w:t>
            </w:r>
            <w:r>
              <w:rPr>
                <w:sz w:val="20"/>
              </w:rPr>
              <w:t xml:space="preserve"> </w:t>
            </w:r>
            <w:r w:rsidRPr="00866D8D">
              <w:rPr>
                <w:bCs/>
                <w:sz w:val="20"/>
              </w:rPr>
              <w:t>for</w:t>
            </w:r>
            <w:r>
              <w:rPr>
                <w:bCs/>
                <w:sz w:val="20"/>
              </w:rPr>
              <w:t xml:space="preserve"> </w:t>
            </w:r>
            <w:r>
              <w:rPr>
                <w:sz w:val="20"/>
              </w:rPr>
              <w:t xml:space="preserve">ERS Contract Period </w:t>
            </w:r>
            <w:r>
              <w:rPr>
                <w:i/>
                <w:sz w:val="20"/>
              </w:rPr>
              <w:t>c,</w:t>
            </w:r>
            <w:r>
              <w:rPr>
                <w:sz w:val="20"/>
              </w:rPr>
              <w:t xml:space="preserve"> ERS Time Period </w:t>
            </w:r>
            <w:r>
              <w:rPr>
                <w:i/>
                <w:sz w:val="20"/>
              </w:rPr>
              <w:t xml:space="preserve">tp </w:t>
            </w:r>
            <w:r>
              <w:rPr>
                <w:sz w:val="20"/>
              </w:rPr>
              <w:t xml:space="preserve">and ERS service type </w:t>
            </w:r>
            <w:r>
              <w:rPr>
                <w:i/>
                <w:sz w:val="20"/>
              </w:rPr>
              <w:t xml:space="preserve">d, </w:t>
            </w:r>
            <w:r w:rsidRPr="00F06E22">
              <w:rPr>
                <w:sz w:val="20"/>
              </w:rPr>
              <w:t>calculated starting with the first hour of the ERS Contract Period and ending with the earlier of the last hour of the ERS Contract Period or the hour containing the recall instruction in an ERS deployment event that results in the exhaustion of a QSE portfolio’s ERS obligation</w:t>
            </w:r>
            <w:r w:rsidRPr="009B30E3">
              <w:rPr>
                <w:sz w:val="20"/>
              </w:rPr>
              <w:t>.</w:t>
            </w:r>
            <w:r w:rsidR="00BD4C7C">
              <w:rPr>
                <w:sz w:val="20"/>
              </w:rPr>
              <w:t xml:space="preserve">  </w:t>
            </w:r>
            <w:r w:rsidR="00BD4C7C">
              <w:rPr>
                <w:iCs w:val="0"/>
                <w:sz w:val="20"/>
              </w:rPr>
              <w:t>If the resultant QSE-</w:t>
            </w:r>
            <w:r w:rsidR="00BD4C7C" w:rsidRPr="005E146D">
              <w:rPr>
                <w:iCs w:val="0"/>
                <w:sz w:val="20"/>
              </w:rPr>
              <w:t>level share is negative, the QSE’s share will be set to zero and all other QSE shares will be adjusted on a pro rata basis such that the sum of all shares is equal to one.</w:t>
            </w:r>
          </w:p>
        </w:tc>
      </w:tr>
      <w:tr w:rsidR="001F04FD" w14:paraId="68B9CE0F" w14:textId="77777777" w:rsidTr="00236104">
        <w:trPr>
          <w:cantSplit/>
        </w:trPr>
        <w:tc>
          <w:tcPr>
            <w:tcW w:w="1279" w:type="pct"/>
          </w:tcPr>
          <w:p w14:paraId="75075A88" w14:textId="77777777" w:rsidR="001F04FD" w:rsidRDefault="001F04FD" w:rsidP="00AC4DEE">
            <w:pPr>
              <w:pStyle w:val="TableBody"/>
            </w:pPr>
            <w:r>
              <w:t xml:space="preserve">LAERSAMT </w:t>
            </w:r>
            <w:r w:rsidRPr="00C26BA9">
              <w:rPr>
                <w:i/>
                <w:vertAlign w:val="subscript"/>
              </w:rPr>
              <w:t>qc(tp)d</w:t>
            </w:r>
          </w:p>
        </w:tc>
        <w:tc>
          <w:tcPr>
            <w:tcW w:w="490" w:type="pct"/>
          </w:tcPr>
          <w:p w14:paraId="3629152F"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31" w:type="pct"/>
          </w:tcPr>
          <w:p w14:paraId="611E76A0" w14:textId="77777777" w:rsidR="001F04FD" w:rsidRDefault="001F04FD" w:rsidP="00AC4DEE">
            <w:pPr>
              <w:pStyle w:val="VariableDefinition"/>
              <w:tabs>
                <w:tab w:val="clear" w:pos="2160"/>
                <w:tab w:val="left" w:pos="2880"/>
              </w:tabs>
              <w:spacing w:after="60"/>
              <w:ind w:left="0" w:firstLine="0"/>
              <w:rPr>
                <w:sz w:val="20"/>
              </w:rPr>
            </w:pPr>
            <w:r>
              <w:rPr>
                <w:i/>
                <w:sz w:val="20"/>
              </w:rPr>
              <w:t>Load-Allocated ERS</w:t>
            </w:r>
            <w:r w:rsidRPr="00DE1436">
              <w:rPr>
                <w:i/>
                <w:sz w:val="20"/>
              </w:rPr>
              <w:t xml:space="preserve"> Amount</w:t>
            </w:r>
            <w:r>
              <w:rPr>
                <w:sz w:val="20"/>
              </w:rPr>
              <w:t xml:space="preserve"> </w:t>
            </w:r>
            <w:r w:rsidRPr="00EB7831">
              <w:rPr>
                <w:i/>
                <w:sz w:val="20"/>
              </w:rPr>
              <w:t xml:space="preserve">per QSE per </w:t>
            </w:r>
            <w:r>
              <w:rPr>
                <w:i/>
                <w:sz w:val="20"/>
              </w:rPr>
              <w:t xml:space="preserve">ERS </w:t>
            </w:r>
            <w:r w:rsidRPr="00EB7831">
              <w:rPr>
                <w:i/>
                <w:sz w:val="20"/>
              </w:rPr>
              <w:t xml:space="preserve">Contract Period per </w:t>
            </w:r>
            <w:r>
              <w:rPr>
                <w:i/>
                <w:sz w:val="20"/>
              </w:rPr>
              <w:t xml:space="preserve">ERS </w:t>
            </w:r>
            <w:r w:rsidRPr="00EB7831">
              <w:rPr>
                <w:i/>
                <w:sz w:val="20"/>
              </w:rPr>
              <w:t>Time Period</w:t>
            </w:r>
            <w:r>
              <w:rPr>
                <w:i/>
                <w:sz w:val="20"/>
              </w:rPr>
              <w:t xml:space="preserve"> per ERS Service Type</w:t>
            </w:r>
            <w:r>
              <w:t>—</w:t>
            </w:r>
            <w:r>
              <w:rPr>
                <w:sz w:val="20"/>
              </w:rPr>
              <w:t>ERS charge for QSE</w:t>
            </w:r>
            <w:r>
              <w:rPr>
                <w:bCs/>
                <w:sz w:val="20"/>
              </w:rPr>
              <w:t xml:space="preserve"> </w:t>
            </w:r>
            <w:r w:rsidRPr="0037298F">
              <w:rPr>
                <w:bCs/>
                <w:i/>
                <w:sz w:val="20"/>
              </w:rPr>
              <w:t>q</w:t>
            </w:r>
            <w:r>
              <w:rPr>
                <w:bCs/>
                <w:sz w:val="20"/>
              </w:rPr>
              <w:t xml:space="preserve"> </w:t>
            </w:r>
            <w:r w:rsidRPr="00866D8D">
              <w:rPr>
                <w:bCs/>
                <w:sz w:val="20"/>
              </w:rPr>
              <w:t>for</w:t>
            </w:r>
            <w:r>
              <w:rPr>
                <w:bCs/>
                <w:sz w:val="20"/>
              </w:rPr>
              <w:t xml:space="preserve"> </w:t>
            </w:r>
            <w:r>
              <w:rPr>
                <w:sz w:val="20"/>
              </w:rPr>
              <w:t xml:space="preserve">ERS Contract Period </w:t>
            </w:r>
            <w:r>
              <w:rPr>
                <w:i/>
                <w:sz w:val="20"/>
              </w:rPr>
              <w:t>c,</w:t>
            </w:r>
            <w:r>
              <w:rPr>
                <w:sz w:val="20"/>
              </w:rPr>
              <w:t xml:space="preserve"> ERS Time Period</w:t>
            </w:r>
            <w:r>
              <w:rPr>
                <w:i/>
                <w:sz w:val="20"/>
              </w:rPr>
              <w:t xml:space="preserve"> tp</w:t>
            </w:r>
            <w:r>
              <w:rPr>
                <w:sz w:val="20"/>
              </w:rPr>
              <w:t xml:space="preserve"> and ERS service type </w:t>
            </w:r>
            <w:r>
              <w:rPr>
                <w:i/>
                <w:sz w:val="20"/>
              </w:rPr>
              <w:t>d</w:t>
            </w:r>
            <w:r>
              <w:rPr>
                <w:sz w:val="20"/>
              </w:rPr>
              <w:t>.</w:t>
            </w:r>
          </w:p>
        </w:tc>
      </w:tr>
      <w:tr w:rsidR="001F04FD" w14:paraId="6E8475B9" w14:textId="77777777" w:rsidTr="00236104">
        <w:trPr>
          <w:cantSplit/>
        </w:trPr>
        <w:tc>
          <w:tcPr>
            <w:tcW w:w="1279" w:type="pct"/>
          </w:tcPr>
          <w:p w14:paraId="3B2311E8" w14:textId="77777777" w:rsidR="001F04FD" w:rsidRPr="003274F1" w:rsidRDefault="001F04FD" w:rsidP="00AC4DEE">
            <w:pPr>
              <w:pStyle w:val="TableBody"/>
            </w:pPr>
            <w:r>
              <w:t xml:space="preserve">LAERSAMTQSETOT </w:t>
            </w:r>
            <w:r w:rsidRPr="00C26BA9">
              <w:rPr>
                <w:i/>
                <w:vertAlign w:val="subscript"/>
              </w:rPr>
              <w:t>q</w:t>
            </w:r>
          </w:p>
        </w:tc>
        <w:tc>
          <w:tcPr>
            <w:tcW w:w="490" w:type="pct"/>
          </w:tcPr>
          <w:p w14:paraId="4B72BFCE"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31" w:type="pct"/>
          </w:tcPr>
          <w:p w14:paraId="0C352977" w14:textId="77777777" w:rsidR="001F04FD" w:rsidRPr="00866D8D" w:rsidRDefault="001F04FD" w:rsidP="00AC4DEE">
            <w:pPr>
              <w:pStyle w:val="VariableDefinition"/>
              <w:tabs>
                <w:tab w:val="clear" w:pos="2160"/>
                <w:tab w:val="left" w:pos="2880"/>
              </w:tabs>
              <w:spacing w:after="60"/>
              <w:ind w:left="0" w:firstLine="0"/>
              <w:rPr>
                <w:sz w:val="20"/>
              </w:rPr>
            </w:pPr>
            <w:r>
              <w:rPr>
                <w:i/>
                <w:sz w:val="20"/>
              </w:rPr>
              <w:t>Load-Allocated ER</w:t>
            </w:r>
            <w:r w:rsidRPr="00715F17">
              <w:rPr>
                <w:i/>
                <w:sz w:val="20"/>
              </w:rPr>
              <w:t>S Amount</w:t>
            </w:r>
            <w:r w:rsidRPr="00DE1436">
              <w:rPr>
                <w:i/>
                <w:sz w:val="20"/>
              </w:rPr>
              <w:t xml:space="preserve"> QSE Total </w:t>
            </w:r>
            <w:r w:rsidRPr="00EB7831">
              <w:rPr>
                <w:i/>
                <w:sz w:val="20"/>
              </w:rPr>
              <w:t>per QSE</w:t>
            </w:r>
            <w:r>
              <w:t>—</w:t>
            </w:r>
            <w:r w:rsidRPr="00DE1436">
              <w:rPr>
                <w:sz w:val="20"/>
              </w:rPr>
              <w:t xml:space="preserve">The total </w:t>
            </w:r>
            <w:r>
              <w:rPr>
                <w:sz w:val="20"/>
              </w:rPr>
              <w:t>ERS charge for QSE</w:t>
            </w:r>
            <w:r>
              <w:rPr>
                <w:bCs/>
                <w:sz w:val="20"/>
              </w:rPr>
              <w:t xml:space="preserve"> </w:t>
            </w:r>
            <w:r>
              <w:rPr>
                <w:bCs/>
                <w:i/>
                <w:sz w:val="20"/>
              </w:rPr>
              <w:t>q</w:t>
            </w:r>
            <w:r>
              <w:rPr>
                <w:sz w:val="20"/>
              </w:rPr>
              <w:t>.</w:t>
            </w:r>
          </w:p>
        </w:tc>
      </w:tr>
      <w:tr w:rsidR="001F04FD" w14:paraId="5F3620D7" w14:textId="77777777" w:rsidTr="00236104">
        <w:trPr>
          <w:cantSplit/>
        </w:trPr>
        <w:tc>
          <w:tcPr>
            <w:tcW w:w="1279" w:type="pct"/>
          </w:tcPr>
          <w:p w14:paraId="6AA51C96" w14:textId="77777777" w:rsidR="001F04FD" w:rsidRPr="00C26BA9" w:rsidRDefault="001F04FD" w:rsidP="00AC4DEE">
            <w:pPr>
              <w:pStyle w:val="TableBody"/>
              <w:rPr>
                <w:i/>
              </w:rPr>
            </w:pPr>
            <w:r w:rsidRPr="00C26BA9">
              <w:rPr>
                <w:i/>
              </w:rPr>
              <w:t>q</w:t>
            </w:r>
          </w:p>
        </w:tc>
        <w:tc>
          <w:tcPr>
            <w:tcW w:w="490" w:type="pct"/>
          </w:tcPr>
          <w:p w14:paraId="5B46935D" w14:textId="77777777" w:rsidR="001F04FD" w:rsidRDefault="001F04FD" w:rsidP="00AC4DEE">
            <w:pPr>
              <w:pStyle w:val="TableBody"/>
              <w:rPr>
                <w:noProof/>
              </w:rPr>
            </w:pPr>
            <w:r>
              <w:t>None</w:t>
            </w:r>
          </w:p>
        </w:tc>
        <w:tc>
          <w:tcPr>
            <w:tcW w:w="3231" w:type="pct"/>
          </w:tcPr>
          <w:p w14:paraId="3D902DB4" w14:textId="77777777" w:rsidR="001F04FD" w:rsidRDefault="001F04FD" w:rsidP="00AC4DEE">
            <w:pPr>
              <w:pStyle w:val="TableBody"/>
            </w:pPr>
            <w:r>
              <w:t>A QSE.</w:t>
            </w:r>
          </w:p>
        </w:tc>
      </w:tr>
      <w:tr w:rsidR="001F04FD" w14:paraId="64BA47C7" w14:textId="77777777" w:rsidTr="00236104">
        <w:trPr>
          <w:cantSplit/>
        </w:trPr>
        <w:tc>
          <w:tcPr>
            <w:tcW w:w="1279" w:type="pct"/>
          </w:tcPr>
          <w:p w14:paraId="3A96B8C3" w14:textId="77777777" w:rsidR="001F04FD" w:rsidRPr="00C26BA9" w:rsidRDefault="001F04FD" w:rsidP="00AC4DEE">
            <w:pPr>
              <w:pStyle w:val="TableBody"/>
              <w:rPr>
                <w:i/>
                <w:highlight w:val="yellow"/>
              </w:rPr>
            </w:pPr>
            <w:r w:rsidRPr="00C26BA9">
              <w:rPr>
                <w:i/>
              </w:rPr>
              <w:t>c</w:t>
            </w:r>
          </w:p>
        </w:tc>
        <w:tc>
          <w:tcPr>
            <w:tcW w:w="490" w:type="pct"/>
          </w:tcPr>
          <w:p w14:paraId="433AF6D1" w14:textId="77777777" w:rsidR="001F04FD" w:rsidRDefault="001F04FD" w:rsidP="00AC4DEE">
            <w:pPr>
              <w:pStyle w:val="TableBody"/>
            </w:pPr>
            <w:r>
              <w:t>None</w:t>
            </w:r>
          </w:p>
        </w:tc>
        <w:tc>
          <w:tcPr>
            <w:tcW w:w="3231" w:type="pct"/>
          </w:tcPr>
          <w:p w14:paraId="481B91EF" w14:textId="77777777" w:rsidR="001F04FD" w:rsidRDefault="001F04FD" w:rsidP="00AC4DEE">
            <w:pPr>
              <w:pStyle w:val="TableBody"/>
            </w:pPr>
            <w:r>
              <w:t>ERS Contract Period.</w:t>
            </w:r>
          </w:p>
        </w:tc>
      </w:tr>
      <w:tr w:rsidR="001F04FD" w14:paraId="12C8EC43" w14:textId="77777777" w:rsidTr="00236104">
        <w:trPr>
          <w:cantSplit/>
        </w:trPr>
        <w:tc>
          <w:tcPr>
            <w:tcW w:w="1279" w:type="pct"/>
          </w:tcPr>
          <w:p w14:paraId="596081D8" w14:textId="77777777" w:rsidR="001F04FD" w:rsidRPr="00C26BA9" w:rsidRDefault="001F04FD" w:rsidP="00AC4DEE">
            <w:pPr>
              <w:pStyle w:val="TableBody"/>
              <w:rPr>
                <w:i/>
              </w:rPr>
            </w:pPr>
            <w:r w:rsidRPr="00C26BA9">
              <w:rPr>
                <w:i/>
              </w:rPr>
              <w:t>tp</w:t>
            </w:r>
          </w:p>
        </w:tc>
        <w:tc>
          <w:tcPr>
            <w:tcW w:w="490" w:type="pct"/>
          </w:tcPr>
          <w:p w14:paraId="66623287" w14:textId="77777777" w:rsidR="001F04FD" w:rsidRDefault="001F04FD" w:rsidP="00AC4DEE">
            <w:pPr>
              <w:pStyle w:val="TableBody"/>
            </w:pPr>
            <w:r>
              <w:t>None</w:t>
            </w:r>
          </w:p>
        </w:tc>
        <w:tc>
          <w:tcPr>
            <w:tcW w:w="3231" w:type="pct"/>
          </w:tcPr>
          <w:p w14:paraId="603956EF" w14:textId="77777777" w:rsidR="001F04FD" w:rsidRDefault="001F04FD" w:rsidP="00AC4DEE">
            <w:pPr>
              <w:pStyle w:val="TableBody"/>
            </w:pPr>
            <w:r>
              <w:t>An ERS Time Period.</w:t>
            </w:r>
          </w:p>
        </w:tc>
      </w:tr>
      <w:tr w:rsidR="001F04FD" w:rsidDel="00F954FC" w14:paraId="645F0932" w14:textId="77777777" w:rsidTr="00236104">
        <w:trPr>
          <w:cantSplit/>
        </w:trPr>
        <w:tc>
          <w:tcPr>
            <w:tcW w:w="1279" w:type="pct"/>
          </w:tcPr>
          <w:p w14:paraId="411C8D39" w14:textId="77777777" w:rsidR="001F04FD" w:rsidRPr="00C26BA9" w:rsidRDefault="001F04FD" w:rsidP="00AC4DEE">
            <w:pPr>
              <w:pStyle w:val="TableBody"/>
              <w:rPr>
                <w:i/>
              </w:rPr>
            </w:pPr>
            <w:r w:rsidRPr="00C26BA9">
              <w:rPr>
                <w:i/>
              </w:rPr>
              <w:lastRenderedPageBreak/>
              <w:t>d</w:t>
            </w:r>
          </w:p>
        </w:tc>
        <w:tc>
          <w:tcPr>
            <w:tcW w:w="490" w:type="pct"/>
          </w:tcPr>
          <w:p w14:paraId="7F629719" w14:textId="77777777" w:rsidR="001F04FD" w:rsidRDefault="001F04FD" w:rsidP="00AC4DEE">
            <w:pPr>
              <w:pStyle w:val="VariableDefinition"/>
              <w:spacing w:after="60"/>
              <w:ind w:left="0" w:firstLine="0"/>
              <w:rPr>
                <w:sz w:val="20"/>
              </w:rPr>
            </w:pPr>
            <w:r>
              <w:rPr>
                <w:sz w:val="20"/>
              </w:rPr>
              <w:t>None</w:t>
            </w:r>
          </w:p>
        </w:tc>
        <w:tc>
          <w:tcPr>
            <w:tcW w:w="3231" w:type="pct"/>
          </w:tcPr>
          <w:p w14:paraId="044BA0A8" w14:textId="77777777" w:rsidR="001F04FD" w:rsidRPr="0077031B" w:rsidRDefault="001F04FD" w:rsidP="00AC4DEE">
            <w:pPr>
              <w:pStyle w:val="VariableDefinition"/>
              <w:spacing w:after="60"/>
              <w:ind w:left="0" w:firstLine="0"/>
              <w:rPr>
                <w:sz w:val="20"/>
              </w:rPr>
            </w:pPr>
            <w:r>
              <w:rPr>
                <w:sz w:val="20"/>
              </w:rPr>
              <w:t>ERS service type (</w:t>
            </w:r>
            <w:r w:rsidRPr="00D65103">
              <w:rPr>
                <w:iCs w:val="0"/>
                <w:sz w:val="20"/>
              </w:rPr>
              <w:t>Weather</w:t>
            </w:r>
            <w:r>
              <w:rPr>
                <w:iCs w:val="0"/>
                <w:sz w:val="20"/>
              </w:rPr>
              <w:t>-</w:t>
            </w:r>
            <w:r w:rsidRPr="00D65103">
              <w:rPr>
                <w:iCs w:val="0"/>
                <w:sz w:val="20"/>
              </w:rPr>
              <w:t>Sensitive ERS-10</w:t>
            </w:r>
            <w:r>
              <w:rPr>
                <w:iCs w:val="0"/>
                <w:sz w:val="20"/>
              </w:rPr>
              <w:t xml:space="preserve">, </w:t>
            </w:r>
            <w:r w:rsidRPr="00D65103">
              <w:rPr>
                <w:iCs w:val="0"/>
                <w:sz w:val="20"/>
              </w:rPr>
              <w:t>Non-Weather</w:t>
            </w:r>
            <w:r>
              <w:rPr>
                <w:iCs w:val="0"/>
                <w:sz w:val="20"/>
              </w:rPr>
              <w:t>-</w:t>
            </w:r>
            <w:r w:rsidRPr="00D65103">
              <w:rPr>
                <w:iCs w:val="0"/>
                <w:sz w:val="20"/>
              </w:rPr>
              <w:t>Sensitive ERS-10</w:t>
            </w:r>
            <w:r>
              <w:rPr>
                <w:iCs w:val="0"/>
                <w:sz w:val="20"/>
              </w:rPr>
              <w:t xml:space="preserve">, </w:t>
            </w:r>
            <w:r w:rsidRPr="00D65103">
              <w:rPr>
                <w:iCs w:val="0"/>
                <w:sz w:val="20"/>
              </w:rPr>
              <w:t>Weather</w:t>
            </w:r>
            <w:r>
              <w:rPr>
                <w:iCs w:val="0"/>
                <w:sz w:val="20"/>
              </w:rPr>
              <w:t>-</w:t>
            </w:r>
            <w:r w:rsidRPr="00D65103">
              <w:rPr>
                <w:iCs w:val="0"/>
                <w:sz w:val="20"/>
              </w:rPr>
              <w:t>Sensitive ERS-</w:t>
            </w:r>
            <w:r>
              <w:rPr>
                <w:iCs w:val="0"/>
                <w:sz w:val="20"/>
              </w:rPr>
              <w:t xml:space="preserve">30, or </w:t>
            </w:r>
            <w:r w:rsidRPr="00D65103">
              <w:rPr>
                <w:iCs w:val="0"/>
                <w:sz w:val="20"/>
              </w:rPr>
              <w:t>Non-Weather</w:t>
            </w:r>
            <w:r>
              <w:rPr>
                <w:iCs w:val="0"/>
                <w:sz w:val="20"/>
              </w:rPr>
              <w:t>-</w:t>
            </w:r>
            <w:r w:rsidRPr="00D65103">
              <w:rPr>
                <w:iCs w:val="0"/>
                <w:sz w:val="20"/>
              </w:rPr>
              <w:t>Sensitive ERS-30</w:t>
            </w:r>
            <w:r>
              <w:rPr>
                <w:sz w:val="20"/>
              </w:rPr>
              <w:t>).</w:t>
            </w:r>
          </w:p>
        </w:tc>
      </w:tr>
    </w:tbl>
    <w:p w14:paraId="2CF0BDE6" w14:textId="77777777" w:rsidR="00236104" w:rsidRPr="00236104" w:rsidRDefault="00236104" w:rsidP="00236104">
      <w:pPr>
        <w:pStyle w:val="H3"/>
        <w:spacing w:before="480"/>
      </w:pPr>
      <w:bookmarkStart w:id="2650" w:name="_Toc204411731"/>
      <w:r w:rsidRPr="00236104">
        <w:t>6.6.12</w:t>
      </w:r>
      <w:r w:rsidRPr="00236104">
        <w:tab/>
        <w:t>Make-Whole Payment for Switchable Generation Resources Committed for Energy Emergency Alert (EEA)</w:t>
      </w:r>
      <w:bookmarkEnd w:id="2650"/>
    </w:p>
    <w:p w14:paraId="2AB1E843" w14:textId="77777777" w:rsidR="00236104" w:rsidRPr="008C62A0" w:rsidRDefault="00236104" w:rsidP="00236104">
      <w:pPr>
        <w:pStyle w:val="BodyTextNumbered"/>
      </w:pPr>
      <w:r w:rsidRPr="00AA20BE">
        <w:t>(1)</w:t>
      </w:r>
      <w:r w:rsidRPr="00AA20BE">
        <w:tab/>
        <w:t xml:space="preserve">If ERCOT directs a Switchable Generation Resource (SWGR) to switch to </w:t>
      </w:r>
      <w:r>
        <w:t xml:space="preserve">the </w:t>
      </w:r>
      <w:r w:rsidRPr="00AA20BE">
        <w:t>ERCOT</w:t>
      </w:r>
      <w:r>
        <w:t xml:space="preserve"> Control Area for an actual or anticipated Energy Emergency Alert (EEA) condition</w:t>
      </w:r>
      <w:r w:rsidRPr="00AA20BE">
        <w:t xml:space="preserve">, </w:t>
      </w:r>
      <w:r>
        <w:t xml:space="preserve">ERCOT shall pay </w:t>
      </w:r>
      <w:r w:rsidRPr="00AA20BE">
        <w:t xml:space="preserve">the QSE representing the </w:t>
      </w:r>
      <w:r>
        <w:t>SWGR</w:t>
      </w:r>
      <w:r w:rsidRPr="00AA20BE">
        <w:t xml:space="preserve"> a Switchable Generation Make-Whole </w:t>
      </w:r>
      <w:r w:rsidR="00C0502C" w:rsidRPr="00AA20BE">
        <w:t>Payment</w:t>
      </w:r>
      <w:r w:rsidR="00C0502C" w:rsidRPr="00AB6A66">
        <w:t xml:space="preserve"> </w:t>
      </w:r>
      <w:r w:rsidR="00C0502C">
        <w:t>(SWMWAMT)</w:t>
      </w:r>
      <w:r w:rsidR="00C0502C" w:rsidRPr="00AA20BE">
        <w:t xml:space="preserve"> as </w:t>
      </w:r>
      <w:r w:rsidRPr="00AA20BE">
        <w:t xml:space="preserve">calculated </w:t>
      </w:r>
      <w:r>
        <w:t xml:space="preserve">in Section 6.6.12.1, </w:t>
      </w:r>
      <w:r w:rsidRPr="00CA3101">
        <w:t>Switchable Generation Make-Whole Payment</w:t>
      </w:r>
      <w:r>
        <w:t>, if the QSE has</w:t>
      </w:r>
      <w:r w:rsidRPr="00AA20BE">
        <w:t>:</w:t>
      </w:r>
    </w:p>
    <w:p w14:paraId="062825AA" w14:textId="419E3E62" w:rsidR="00236104" w:rsidRDefault="00236104" w:rsidP="00236104">
      <w:pPr>
        <w:spacing w:after="240"/>
        <w:ind w:left="1440" w:hanging="720"/>
      </w:pPr>
      <w:r w:rsidRPr="00C42B52">
        <w:t>(a)</w:t>
      </w:r>
      <w:r w:rsidRPr="00C42B52">
        <w:tab/>
      </w:r>
      <w:r>
        <w:t>Not opted out of the RUC instruction</w:t>
      </w:r>
      <w:r w:rsidR="00FC5B77">
        <w:t xml:space="preserve">, </w:t>
      </w:r>
      <w:r w:rsidR="00FC5B77" w:rsidRPr="002C41DB">
        <w:t>which may be a verbal RUC,</w:t>
      </w:r>
      <w:r>
        <w:t xml:space="preserve"> per the process described in paragraph (1</w:t>
      </w:r>
      <w:r w:rsidR="00910305">
        <w:t>4</w:t>
      </w:r>
      <w:r>
        <w:t>) of Section 5.5.2, Reliability Unit Commitment (RUC) Process;</w:t>
      </w:r>
    </w:p>
    <w:p w14:paraId="4D399DA2" w14:textId="41A11D31" w:rsidR="00236104" w:rsidRPr="00C42B52" w:rsidRDefault="00236104" w:rsidP="00E330FE">
      <w:pPr>
        <w:spacing w:after="240"/>
        <w:ind w:left="1440" w:hanging="720"/>
      </w:pPr>
      <w:r>
        <w:t>(b)</w:t>
      </w:r>
      <w:r>
        <w:tab/>
        <w:t>C</w:t>
      </w:r>
      <w:r w:rsidRPr="00C42B52">
        <w:t>omplied with</w:t>
      </w:r>
      <w:r>
        <w:t xml:space="preserve"> the RUC</w:t>
      </w:r>
      <w:r w:rsidRPr="00C42B52">
        <w:t xml:space="preserve"> </w:t>
      </w:r>
      <w:r>
        <w:t>i</w:t>
      </w:r>
      <w:r w:rsidRPr="00C42B52">
        <w:t>nstruction</w:t>
      </w:r>
      <w:r w:rsidR="00FC5B77">
        <w:t xml:space="preserve">, </w:t>
      </w:r>
      <w:r w:rsidR="00FC5B77" w:rsidRPr="002C41DB">
        <w:t>which may be a verbal RUC,</w:t>
      </w:r>
      <w:r w:rsidRPr="00C42B52">
        <w:t xml:space="preserve"> to switch to </w:t>
      </w:r>
      <w:r>
        <w:t xml:space="preserve">the </w:t>
      </w:r>
      <w:r w:rsidRPr="00C42B52">
        <w:t xml:space="preserve">ERCOT </w:t>
      </w:r>
      <w:r>
        <w:t xml:space="preserve">Control Area </w:t>
      </w:r>
      <w:r w:rsidRPr="00C42B52">
        <w:t>and start the Resource;</w:t>
      </w:r>
    </w:p>
    <w:p w14:paraId="36613681" w14:textId="77777777" w:rsidR="00236104" w:rsidRPr="00C42B52" w:rsidRDefault="00236104" w:rsidP="00236104">
      <w:pPr>
        <w:spacing w:after="240"/>
        <w:ind w:left="1440" w:hanging="720"/>
      </w:pPr>
      <w:r w:rsidRPr="00C42B52">
        <w:t>(</w:t>
      </w:r>
      <w:r>
        <w:t>c</w:t>
      </w:r>
      <w:r w:rsidRPr="00C42B52">
        <w:t>)</w:t>
      </w:r>
      <w:r w:rsidRPr="00C42B52">
        <w:tab/>
      </w:r>
      <w:r>
        <w:t>Submitted</w:t>
      </w:r>
      <w:r w:rsidRPr="00C42B52">
        <w:t xml:space="preserve"> a </w:t>
      </w:r>
      <w:r>
        <w:t xml:space="preserve">timely </w:t>
      </w:r>
      <w:r w:rsidRPr="00C42B52">
        <w:t xml:space="preserve">Settlement </w:t>
      </w:r>
      <w:r>
        <w:t xml:space="preserve">and billing </w:t>
      </w:r>
      <w:r w:rsidRPr="00C42B52">
        <w:t xml:space="preserve">dispute, including the following items: </w:t>
      </w:r>
    </w:p>
    <w:p w14:paraId="4A74C6DC" w14:textId="77777777" w:rsidR="00236104" w:rsidRPr="00C42B52" w:rsidRDefault="00236104" w:rsidP="00236104">
      <w:pPr>
        <w:spacing w:after="240"/>
        <w:ind w:left="2160" w:hanging="720"/>
      </w:pPr>
      <w:r w:rsidRPr="00C42B52">
        <w:t>(i)</w:t>
      </w:r>
      <w:r w:rsidRPr="00C42B52">
        <w:tab/>
        <w:t>An attestation signed by an officer or executive with authority to bind the QSE</w:t>
      </w:r>
      <w:r>
        <w:t xml:space="preserve"> stating that the information contained in the submission is accurate</w:t>
      </w:r>
      <w:r w:rsidRPr="00C42B52">
        <w:t>;</w:t>
      </w:r>
    </w:p>
    <w:p w14:paraId="7CFDB126" w14:textId="77777777" w:rsidR="00236104" w:rsidRPr="00C42B52" w:rsidRDefault="00236104" w:rsidP="00236104">
      <w:pPr>
        <w:spacing w:after="240"/>
        <w:ind w:left="2160" w:hanging="720"/>
      </w:pPr>
      <w:r w:rsidRPr="00C42B52">
        <w:t>(ii)</w:t>
      </w:r>
      <w:r w:rsidRPr="00C42B52">
        <w:tab/>
        <w:t>The dollar amount and calculation of the financial loss, if applicable, by Settlement Interval for:</w:t>
      </w:r>
    </w:p>
    <w:p w14:paraId="2B81E6BB" w14:textId="7DEC3803" w:rsidR="00236104" w:rsidRPr="00C42B52" w:rsidRDefault="00236104" w:rsidP="00236104">
      <w:pPr>
        <w:spacing w:after="240"/>
        <w:ind w:left="2880" w:hanging="720"/>
      </w:pPr>
      <w:r>
        <w:t>(A)</w:t>
      </w:r>
      <w:r>
        <w:tab/>
      </w:r>
      <w:r w:rsidR="00FC5B77">
        <w:t>E</w:t>
      </w:r>
      <w:r>
        <w:t xml:space="preserve">nergy and ancillary service </w:t>
      </w:r>
      <w:r w:rsidRPr="00C42B52">
        <w:t xml:space="preserve">imbalance costs </w:t>
      </w:r>
      <w:r>
        <w:t xml:space="preserve">assessed under the non-ERCOT Control Area </w:t>
      </w:r>
      <w:r w:rsidR="00C0502C">
        <w:t xml:space="preserve">Operator’s (CAO’s) </w:t>
      </w:r>
      <w:r>
        <w:t xml:space="preserve">settlement process arising from </w:t>
      </w:r>
      <w:r w:rsidR="00FC5B77">
        <w:t xml:space="preserve">DAM </w:t>
      </w:r>
      <w:r>
        <w:t>energy and ancillary service obligations of the SWGR in the non-ERCOT Control Area for the time period starting at the initiation of the ramp-down</w:t>
      </w:r>
      <w:r w:rsidRPr="00C42B52">
        <w:t xml:space="preserve"> in the non-ERCOT Control Area to two hours following the time ERCOT released the </w:t>
      </w:r>
      <w:r>
        <w:t>SWGR</w:t>
      </w:r>
      <w:r w:rsidRPr="00C42B52">
        <w:t>;</w:t>
      </w:r>
    </w:p>
    <w:p w14:paraId="317D6B60" w14:textId="77777777" w:rsidR="00236104" w:rsidRDefault="00236104" w:rsidP="00236104">
      <w:pPr>
        <w:pStyle w:val="List3"/>
      </w:pPr>
      <w:r>
        <w:t>(B)</w:t>
      </w:r>
      <w:r>
        <w:tab/>
      </w:r>
      <w:r w:rsidRPr="00C42B52">
        <w:t xml:space="preserve">Incremental fuel costs incurred to comply with the instruction.  Incremental fuel costs may include </w:t>
      </w:r>
      <w:r>
        <w:t>only those</w:t>
      </w:r>
      <w:r w:rsidRPr="00C42B52">
        <w:t xml:space="preserve"> fuel costs described in Section 9.14.</w:t>
      </w:r>
      <w:r>
        <w:t>9</w:t>
      </w:r>
      <w:r w:rsidRPr="00C42B52">
        <w:t xml:space="preserve">, </w:t>
      </w:r>
      <w:r>
        <w:t xml:space="preserve">Incremental Fuel Costs </w:t>
      </w:r>
      <w:r w:rsidRPr="00C42B52">
        <w:t xml:space="preserve">for </w:t>
      </w:r>
      <w:r>
        <w:t xml:space="preserve">Switchable Generation </w:t>
      </w:r>
      <w:r w:rsidRPr="00C42B52">
        <w:t>Make-Whole Payment</w:t>
      </w:r>
      <w:r>
        <w:t xml:space="preserve"> Disputes</w:t>
      </w:r>
      <w:r w:rsidRPr="00351C8F">
        <w:t>;</w:t>
      </w:r>
    </w:p>
    <w:p w14:paraId="338D1ABE" w14:textId="77777777" w:rsidR="00236104" w:rsidRDefault="00236104" w:rsidP="00236104">
      <w:pPr>
        <w:pStyle w:val="List3"/>
      </w:pPr>
      <w:r>
        <w:t>(C)</w:t>
      </w:r>
      <w:r>
        <w:tab/>
        <w:t xml:space="preserve">Make-Whole Payment </w:t>
      </w:r>
      <w:r w:rsidRPr="009C12DD">
        <w:t>d</w:t>
      </w:r>
      <w:r>
        <w:t>istribution costs for the commitment of g</w:t>
      </w:r>
      <w:r w:rsidRPr="00931993">
        <w:t xml:space="preserve">eneration </w:t>
      </w:r>
      <w:r>
        <w:t>r</w:t>
      </w:r>
      <w:r w:rsidRPr="00931993">
        <w:t>esources in</w:t>
      </w:r>
      <w:r>
        <w:t xml:space="preserve"> the non-ERCOT Control Area arising from the need to replace the energy and ancillary service obligations of the generation instructed via a RUC instruction to switch into the ERCOT Control </w:t>
      </w:r>
      <w:r w:rsidRPr="00351C8F">
        <w:t>Area</w:t>
      </w:r>
      <w:r>
        <w:t xml:space="preserve">; </w:t>
      </w:r>
    </w:p>
    <w:p w14:paraId="4747AED5" w14:textId="77777777" w:rsidR="00236104" w:rsidRDefault="00236104" w:rsidP="00236104">
      <w:pPr>
        <w:pStyle w:val="List3"/>
      </w:pPr>
      <w:r>
        <w:lastRenderedPageBreak/>
        <w:t>(D)</w:t>
      </w:r>
      <w:r>
        <w:tab/>
        <w:t xml:space="preserve">Pipeline imbalance penalty </w:t>
      </w:r>
      <w:r w:rsidRPr="00C42B52">
        <w:t xml:space="preserve">costs </w:t>
      </w:r>
      <w:r>
        <w:t xml:space="preserve">arising from the SWGR not consuming </w:t>
      </w:r>
      <w:r w:rsidRPr="00D32297">
        <w:t xml:space="preserve">or consuming over </w:t>
      </w:r>
      <w:r>
        <w:t xml:space="preserve">its contracted fuel quantities as a result of a switch from a non-ERCOT Control Area as requested by ERCOT.  </w:t>
      </w:r>
      <w:r w:rsidRPr="00C46234">
        <w:t>Fuel imbalance penalty costs</w:t>
      </w:r>
      <w:r>
        <w:t xml:space="preserve"> are limited to those costs assessed for the period starting at the initiation of the ramp-down</w:t>
      </w:r>
      <w:r w:rsidRPr="00C42B52">
        <w:t xml:space="preserve"> in the non-ERCOT Control Area to two hours following the time ERCOT released the </w:t>
      </w:r>
      <w:r>
        <w:t>SWGR;</w:t>
      </w:r>
    </w:p>
    <w:p w14:paraId="240B09FB" w14:textId="77777777" w:rsidR="00236104" w:rsidRDefault="00236104" w:rsidP="00236104">
      <w:pPr>
        <w:spacing w:after="240"/>
        <w:ind w:left="2160" w:hanging="720"/>
      </w:pPr>
      <w:r w:rsidRPr="00351C8F">
        <w:t>(iii)</w:t>
      </w:r>
      <w:r w:rsidRPr="00351C8F">
        <w:tab/>
        <w:t>Sufficient documentation to support the QSE’s calculation of the amount of the financial loss and all submitted costs.</w:t>
      </w:r>
      <w:r w:rsidRPr="00C42B52">
        <w:t xml:space="preserve"> </w:t>
      </w:r>
    </w:p>
    <w:p w14:paraId="568AAB8A" w14:textId="77777777" w:rsidR="00236104" w:rsidRDefault="00236104" w:rsidP="00236104">
      <w:pPr>
        <w:spacing w:after="240"/>
        <w:ind w:left="720" w:hanging="720"/>
      </w:pPr>
      <w:r w:rsidRPr="00416449">
        <w:t>(2)</w:t>
      </w:r>
      <w:r w:rsidRPr="00416449">
        <w:tab/>
        <w:t>For a SWGR without approved verifiable costs, the startup and minimum-energy costs will be determined based on generic costs as described in Section 4.4.9.2.3, Startup Offer and Minimum-Energy Offer Generic Caps.  If generic costs are insufficient to cover startup and minimum-energy costs of the SWGR, the QSE may provide documentation and request that generic costs be replaced by proxy costs, if available, as determined by ERCOT</w:t>
      </w:r>
      <w:r>
        <w:t>.</w:t>
      </w:r>
    </w:p>
    <w:p w14:paraId="20E3A04E" w14:textId="77777777" w:rsidR="00236104" w:rsidRDefault="00236104" w:rsidP="00236104">
      <w:pPr>
        <w:spacing w:after="240"/>
        <w:ind w:left="720" w:hanging="720"/>
      </w:pPr>
      <w:r w:rsidRPr="00416449">
        <w:t>(3)</w:t>
      </w:r>
      <w:r w:rsidRPr="00416449">
        <w:tab/>
        <w:t>For a SWGR that is a Combined Cycle Generation Resource, all operating costs are those costs for the Combined Cycle Generation Resource within the Combined Cycle Train that is instructed for the hour.  If the QSE representing a Combined Cycle Generation Resource complies with a RUC instruction by ERCOT to transition from one Combined Cycle Generation Resource to a different Combined Cycle Generation Resource within the Combined Cycle Train, the incremental cost to transition shall be included in the Switchable Generation Start-Up Cost (SWSUC), as calculated in Section 6.6.12.1, for the Combined Cycle Resource</w:t>
      </w:r>
      <w:r>
        <w:t>.</w:t>
      </w:r>
    </w:p>
    <w:p w14:paraId="370D2EE5" w14:textId="77777777" w:rsidR="00FC5B77" w:rsidRDefault="00FC5B77" w:rsidP="00FC5B77">
      <w:pPr>
        <w:spacing w:after="240"/>
        <w:ind w:left="720" w:hanging="720"/>
      </w:pPr>
      <w:r w:rsidRPr="00603A2C">
        <w:t>(4)</w:t>
      </w:r>
      <w:r w:rsidRPr="00603A2C">
        <w:tab/>
      </w:r>
      <w:r>
        <w:t>A</w:t>
      </w:r>
      <w:r w:rsidRPr="00A86889">
        <w:t xml:space="preserve"> QSE representing </w:t>
      </w:r>
      <w:r>
        <w:t>a</w:t>
      </w:r>
      <w:r w:rsidRPr="00A86889">
        <w:t xml:space="preserve"> </w:t>
      </w:r>
      <w:r>
        <w:t xml:space="preserve">SWGR that is committed through an ERCOT instruction to switch to the ERCOT Control Area may recover </w:t>
      </w:r>
      <w:r w:rsidRPr="00A86889">
        <w:t>lost revenue</w:t>
      </w:r>
      <w:r>
        <w:t xml:space="preserve">, net of saved fuel costs, attributable to a reduction in the output of other ERCOT-connected generators that are part of a Combined Cycle Train that includes the RUC-committed SWGR if the following conditions have been met:  </w:t>
      </w:r>
    </w:p>
    <w:p w14:paraId="0FCCEB39" w14:textId="77777777" w:rsidR="00FC5B77" w:rsidRDefault="00FC5B77" w:rsidP="00FC5B77">
      <w:pPr>
        <w:spacing w:after="240"/>
        <w:ind w:left="1440" w:hanging="720"/>
      </w:pPr>
      <w:r>
        <w:t xml:space="preserve">(a) </w:t>
      </w:r>
      <w:r>
        <w:tab/>
        <w:t>The QSE had to</w:t>
      </w:r>
      <w:r w:rsidRPr="00603A2C">
        <w:t xml:space="preserve"> turn off </w:t>
      </w:r>
      <w:r>
        <w:t xml:space="preserve">one or more generators that were </w:t>
      </w:r>
      <w:r w:rsidRPr="00603A2C">
        <w:t xml:space="preserve">physically connected to the </w:t>
      </w:r>
      <w:r>
        <w:t xml:space="preserve">non-ERCOT Control Area in order to achieve the instructed switch, or had to turn off </w:t>
      </w:r>
      <w:r w:rsidRPr="0075151A">
        <w:t>one</w:t>
      </w:r>
      <w:r>
        <w:t xml:space="preserve"> or more generators that were physically connected to the ERCOT System in order to switch back to the non-ERCOT Control Area, in which case it must have completed the shutdown sequence within 60 minutes of the end of the RUC instruction; and</w:t>
      </w:r>
      <w:r w:rsidRPr="00DC1F7D">
        <w:t xml:space="preserve"> </w:t>
      </w:r>
    </w:p>
    <w:p w14:paraId="4368AFFD" w14:textId="77777777" w:rsidR="00FC5B77" w:rsidRDefault="00FC5B77" w:rsidP="00FC5B77">
      <w:pPr>
        <w:spacing w:after="240"/>
        <w:ind w:left="1440" w:hanging="720"/>
      </w:pPr>
      <w:r>
        <w:t xml:space="preserve">(b) </w:t>
      </w:r>
      <w:r>
        <w:tab/>
        <w:t>As a consequence of turning off one or more generators to facilitate a switch described in paragraph (a) above, the output of one or more generators in the configuration operating in ERCOT at the time of the instruction had to be reduced.</w:t>
      </w:r>
    </w:p>
    <w:p w14:paraId="2234654A" w14:textId="77777777" w:rsidR="00FC5B77" w:rsidRDefault="00FC5B77" w:rsidP="00FC5B77">
      <w:pPr>
        <w:spacing w:after="240"/>
        <w:ind w:left="720" w:hanging="720"/>
      </w:pPr>
      <w:r>
        <w:lastRenderedPageBreak/>
        <w:t xml:space="preserve">(5) </w:t>
      </w:r>
      <w:r>
        <w:tab/>
        <w:t>T</w:t>
      </w:r>
      <w:r w:rsidRPr="00934FB3">
        <w:t xml:space="preserve">he </w:t>
      </w:r>
      <w:r w:rsidRPr="00A86889">
        <w:t>lost revenue</w:t>
      </w:r>
      <w:r>
        <w:t>, net of saved fuel costs,</w:t>
      </w:r>
      <w:r w:rsidRPr="00A86889">
        <w:t xml:space="preserve"> </w:t>
      </w:r>
      <w:r>
        <w:t xml:space="preserve">described in paragraph (4) above </w:t>
      </w:r>
      <w:r w:rsidRPr="00934FB3">
        <w:t xml:space="preserve">shall be included in the Switchable Generation Cost Guarantee (SWCG), as calculated in Section 6.6.12.1, for the Combined Cycle </w:t>
      </w:r>
      <w:r>
        <w:t xml:space="preserve">Generation </w:t>
      </w:r>
      <w:r w:rsidRPr="00934FB3">
        <w:t>Resource.</w:t>
      </w:r>
      <w:r>
        <w:t xml:space="preserve">  </w:t>
      </w:r>
    </w:p>
    <w:p w14:paraId="4F1E7C55" w14:textId="2B0B6BF4" w:rsidR="00FC5B77" w:rsidRPr="007151B9" w:rsidRDefault="00FC5B77" w:rsidP="00FC5B77">
      <w:pPr>
        <w:spacing w:after="240"/>
        <w:ind w:left="720" w:hanging="720"/>
      </w:pPr>
      <w:r w:rsidRPr="002209BF">
        <w:t>(6)</w:t>
      </w:r>
      <w:r w:rsidRPr="002209BF">
        <w:tab/>
        <w:t>For a SWGR switching from a non-ERCOT Control Area, t</w:t>
      </w:r>
      <w:r w:rsidRPr="004A1696">
        <w:t xml:space="preserve">he </w:t>
      </w:r>
      <w:r w:rsidRPr="00B01CB7">
        <w:t>compensation described in</w:t>
      </w:r>
      <w:r>
        <w:t xml:space="preserve"> paragraph</w:t>
      </w:r>
      <w:r w:rsidRPr="00B01CB7">
        <w:t xml:space="preserve"> (4) above shall be determined for the period from the commencement of the </w:t>
      </w:r>
      <w:r w:rsidRPr="00713467">
        <w:t xml:space="preserve">shutdown sequence of the switched unit </w:t>
      </w:r>
      <w:r w:rsidRPr="005E3C5E">
        <w:t xml:space="preserve">in the non-ERCOT Control Area </w:t>
      </w:r>
      <w:r w:rsidRPr="00EA4F69">
        <w:t>until breaker close</w:t>
      </w:r>
      <w:r w:rsidRPr="00EB0E37">
        <w:t xml:space="preserve"> in the ERCOT </w:t>
      </w:r>
      <w:r>
        <w:t>Control Area</w:t>
      </w:r>
      <w:r w:rsidRPr="002209BF">
        <w:t xml:space="preserve">.  For a SWGR switching to a non-ERCOT Control Area within 60 minutes of the end of the </w:t>
      </w:r>
      <w:r w:rsidRPr="004A1696">
        <w:t xml:space="preserve">RUC </w:t>
      </w:r>
      <w:r w:rsidR="00CC0885">
        <w:t>i</w:t>
      </w:r>
      <w:r w:rsidRPr="004A1696">
        <w:t xml:space="preserve">nstruction, the compensation described in </w:t>
      </w:r>
      <w:r>
        <w:t xml:space="preserve">paragraph </w:t>
      </w:r>
      <w:r w:rsidRPr="004A1696">
        <w:t>(4) a</w:t>
      </w:r>
      <w:r w:rsidRPr="00B01CB7">
        <w:t>bove shall be determined for the period from the commencement of the shutdown sequence of the</w:t>
      </w:r>
      <w:r>
        <w:t xml:space="preserve"> </w:t>
      </w:r>
      <w:r w:rsidRPr="002209BF">
        <w:t>unit in the ERCOT System until breaker close in the non-ERCOT Control Area</w:t>
      </w:r>
      <w:r w:rsidRPr="004A1696">
        <w:t xml:space="preserve">, </w:t>
      </w:r>
      <w:r w:rsidRPr="00934FB3">
        <w:t xml:space="preserve">with </w:t>
      </w:r>
      <w:r w:rsidRPr="002209BF">
        <w:t xml:space="preserve">a maximum duration </w:t>
      </w:r>
      <w:r w:rsidRPr="00934FB3">
        <w:t xml:space="preserve">equal to </w:t>
      </w:r>
      <w:r w:rsidRPr="002209BF">
        <w:t xml:space="preserve">the </w:t>
      </w:r>
      <w:r w:rsidRPr="00934FB3">
        <w:t>duration of the</w:t>
      </w:r>
      <w:r w:rsidRPr="002209BF">
        <w:t xml:space="preserve"> sw</w:t>
      </w:r>
      <w:r w:rsidRPr="00934FB3">
        <w:t>itch</w:t>
      </w:r>
      <w:r w:rsidRPr="002209BF">
        <w:t xml:space="preserve"> from the non-ERCOT Control Area to ERCOT</w:t>
      </w:r>
      <w:r w:rsidRPr="00934FB3">
        <w:t xml:space="preserve"> pursuant to the RUC instruction</w:t>
      </w:r>
      <w:r w:rsidRPr="002209BF">
        <w:t>.</w:t>
      </w:r>
      <w:r>
        <w:t xml:space="preserve">   </w:t>
      </w:r>
    </w:p>
    <w:p w14:paraId="5F94A869" w14:textId="095C92C8" w:rsidR="00FC5B77" w:rsidRPr="00822B06" w:rsidRDefault="00FC5B77" w:rsidP="00FC5B77">
      <w:pPr>
        <w:spacing w:after="240"/>
        <w:ind w:left="720" w:hanging="720"/>
      </w:pPr>
      <w:r w:rsidRPr="006F4450">
        <w:t>(7)</w:t>
      </w:r>
      <w:r>
        <w:t xml:space="preserve"> </w:t>
      </w:r>
      <w:r>
        <w:tab/>
        <w:t>A</w:t>
      </w:r>
      <w:r w:rsidRPr="00416449">
        <w:t xml:space="preserve"> QSE </w:t>
      </w:r>
      <w:r>
        <w:t>that is entitled to compensation under paragraph (4) above, or the Resource Entity for the affected SWGR, must provide the following documentation for the Combined Cycle Train to verify the lost revenue:</w:t>
      </w:r>
      <w:r w:rsidRPr="00822B06">
        <w:t xml:space="preserve"> </w:t>
      </w:r>
    </w:p>
    <w:p w14:paraId="650DB4AF" w14:textId="77777777" w:rsidR="00FC5B77" w:rsidRPr="00B30A4C" w:rsidRDefault="00FC5B77" w:rsidP="00FC5B77">
      <w:pPr>
        <w:spacing w:after="240"/>
        <w:ind w:left="1440" w:hanging="720"/>
      </w:pPr>
      <w:r>
        <w:t>(a</w:t>
      </w:r>
      <w:r w:rsidRPr="00FD3E83">
        <w:t xml:space="preserve">) </w:t>
      </w:r>
      <w:r w:rsidRPr="00FD3E83">
        <w:tab/>
        <w:t xml:space="preserve">Documentation of the </w:t>
      </w:r>
      <w:r w:rsidRPr="001F7555">
        <w:t xml:space="preserve">Real-Time output of </w:t>
      </w:r>
      <w:r w:rsidRPr="00B30A4C">
        <w:t>each unit in the Combined Cycle Train, whether operating in ERCOT or in the non-ERCOT Control Area;</w:t>
      </w:r>
    </w:p>
    <w:p w14:paraId="59D99708" w14:textId="77777777" w:rsidR="00FC5B77" w:rsidRPr="00B30A4C" w:rsidRDefault="00FC5B77" w:rsidP="00FC5B77">
      <w:pPr>
        <w:spacing w:after="240"/>
        <w:ind w:left="1440" w:hanging="720"/>
      </w:pPr>
      <w:r>
        <w:t>(b</w:t>
      </w:r>
      <w:r w:rsidRPr="00B30A4C">
        <w:t xml:space="preserve">) </w:t>
      </w:r>
      <w:r w:rsidRPr="00B30A4C">
        <w:tab/>
        <w:t>For thermal units, the Input-Output Equation</w:t>
      </w:r>
      <w:r>
        <w:t xml:space="preserve"> </w:t>
      </w:r>
      <w:r w:rsidRPr="006F4450">
        <w:t>or other documentation that allows for calculating the reduction in fuel consumption if the unit had to reduce generation;</w:t>
      </w:r>
    </w:p>
    <w:p w14:paraId="0B83F89C" w14:textId="77777777" w:rsidR="00FC5B77" w:rsidRPr="00A22F04" w:rsidRDefault="00FC5B77" w:rsidP="00FC5B77">
      <w:pPr>
        <w:spacing w:after="240"/>
        <w:ind w:left="1440" w:hanging="720"/>
      </w:pPr>
      <w:r>
        <w:t>(c</w:t>
      </w:r>
      <w:r w:rsidRPr="00B30A4C">
        <w:t xml:space="preserve">) </w:t>
      </w:r>
      <w:r w:rsidRPr="00B30A4C">
        <w:tab/>
        <w:t>Documentation of the time the shutdown sequence started while switching to ERCOT, and if the QSE seeks recovery of lost revenues for a switch to t</w:t>
      </w:r>
      <w:r w:rsidRPr="00A22F04">
        <w:t>he non-ERCOT Control Area, documentation of the time the breaker closed in the non-ERCOT Control Area, which is subject to verification with the non-ERCOT Control Area operator;</w:t>
      </w:r>
    </w:p>
    <w:p w14:paraId="60E51EF5" w14:textId="77777777" w:rsidR="00FC5B77" w:rsidRPr="00466918" w:rsidRDefault="00FC5B77" w:rsidP="00FC5B77">
      <w:pPr>
        <w:spacing w:after="240"/>
        <w:ind w:left="1440" w:hanging="720"/>
      </w:pPr>
      <w:r>
        <w:t>(d</w:t>
      </w:r>
      <w:r w:rsidRPr="00466918">
        <w:t xml:space="preserve">) </w:t>
      </w:r>
      <w:r w:rsidRPr="00466918">
        <w:tab/>
        <w:t>Documentation showing which combustion turbine of the C</w:t>
      </w:r>
      <w:r>
        <w:t>ombined Cycle Generation Resource</w:t>
      </w:r>
      <w:r w:rsidRPr="00466918">
        <w:t xml:space="preserve"> is providing the auxiliary service; and</w:t>
      </w:r>
    </w:p>
    <w:p w14:paraId="50E1963D" w14:textId="77777777" w:rsidR="00FC5B77" w:rsidRPr="00A413CF" w:rsidRDefault="00FC5B77" w:rsidP="00FC5B77">
      <w:pPr>
        <w:spacing w:after="240"/>
        <w:ind w:left="1440" w:hanging="720"/>
      </w:pPr>
      <w:r>
        <w:t>(e</w:t>
      </w:r>
      <w:r w:rsidRPr="00A413CF">
        <w:t xml:space="preserve">) </w:t>
      </w:r>
      <w:r w:rsidRPr="00A413CF">
        <w:tab/>
        <w:t>Any other technical documentation ERCOT finds necessary to verify the performance and physical characteristics of the Combined Cycle Train or any component thereof</w:t>
      </w:r>
      <w:r>
        <w:t xml:space="preserve">, </w:t>
      </w:r>
      <w:r w:rsidRPr="006F4450">
        <w:t xml:space="preserve">such as </w:t>
      </w:r>
      <w:r>
        <w:t>t</w:t>
      </w:r>
      <w:r w:rsidRPr="006F4450">
        <w:t xml:space="preserve">hermal </w:t>
      </w:r>
      <w:r>
        <w:t>b</w:t>
      </w:r>
      <w:r w:rsidRPr="006F4450">
        <w:t xml:space="preserve">alance </w:t>
      </w:r>
      <w:r>
        <w:t>d</w:t>
      </w:r>
      <w:r w:rsidRPr="006F4450">
        <w:t>iagrams</w:t>
      </w:r>
      <w:r w:rsidRPr="00A413CF">
        <w:t>.</w:t>
      </w:r>
    </w:p>
    <w:p w14:paraId="57899BA3" w14:textId="6A2DC8BE" w:rsidR="00236104" w:rsidRPr="007151B9" w:rsidRDefault="00236104" w:rsidP="00FC5B77">
      <w:pPr>
        <w:spacing w:after="240"/>
        <w:ind w:left="720" w:hanging="720"/>
      </w:pPr>
      <w:r w:rsidRPr="00416449">
        <w:t>(</w:t>
      </w:r>
      <w:r w:rsidR="00FC5B77">
        <w:t>8</w:t>
      </w:r>
      <w:r w:rsidRPr="00416449">
        <w:t>)</w:t>
      </w:r>
      <w:r w:rsidRPr="00416449">
        <w:tab/>
        <w:t>The Startup Cost for the SWGR shall include the cost for starting in the ERCOT Control Area and, if the SWGR starts up in the non-ERCOT Control Area within 24 hours of being released from ERCOT, the cost of starting in the non-ERCOT Control Area, which will be based on the same warmth state.</w:t>
      </w:r>
    </w:p>
    <w:p w14:paraId="5524AB1C" w14:textId="797B1263" w:rsidR="00236104" w:rsidRPr="00416449" w:rsidRDefault="00236104" w:rsidP="00236104">
      <w:pPr>
        <w:spacing w:after="240"/>
        <w:ind w:left="720" w:hanging="720"/>
      </w:pPr>
      <w:r w:rsidRPr="00416449">
        <w:t>(</w:t>
      </w:r>
      <w:r w:rsidR="00FC5B77">
        <w:t>9</w:t>
      </w:r>
      <w:r w:rsidRPr="00416449">
        <w:t xml:space="preserve">) </w:t>
      </w:r>
      <w:r w:rsidRPr="00416449">
        <w:tab/>
        <w:t>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w:t>
      </w:r>
      <w:r w:rsidR="00C0502C" w:rsidRPr="00416449">
        <w:t xml:space="preserve"> </w:t>
      </w:r>
      <w:r w:rsidR="00C0502C">
        <w:t>SWMWAMT</w:t>
      </w:r>
      <w:r w:rsidRPr="00416449">
        <w:t xml:space="preserve"> within 15 Business Days of the updated submission.</w:t>
      </w:r>
    </w:p>
    <w:p w14:paraId="7AC5246A" w14:textId="784C370E" w:rsidR="0006334F" w:rsidRDefault="00236104" w:rsidP="00CC0885">
      <w:pPr>
        <w:spacing w:after="240"/>
        <w:ind w:left="720" w:hanging="720"/>
      </w:pPr>
      <w:r w:rsidRPr="00416449">
        <w:lastRenderedPageBreak/>
        <w:t>(</w:t>
      </w:r>
      <w:r w:rsidR="00FC5B77">
        <w:t>10</w:t>
      </w:r>
      <w:r w:rsidRPr="00416449">
        <w:t xml:space="preserve">) </w:t>
      </w:r>
      <w:r w:rsidRPr="00416449">
        <w:tab/>
        <w:t>If ERCOT denies all or a portion of a QSE’s non-ERCOT Control Area costs, pursuant to paragraph (1)(c)(ii) above, the QSE may submit a request for ADR as described in Section 20, Alternative Dispute Resolution Procedure</w:t>
      </w:r>
      <w:r w:rsidR="00992E7F">
        <w:t xml:space="preserve"> and Procedure for Return of Settlement Funds</w:t>
      </w:r>
      <w:r w:rsidRPr="00416449">
        <w:t>.</w:t>
      </w:r>
    </w:p>
    <w:p w14:paraId="7812EF24" w14:textId="77777777" w:rsidR="00236104" w:rsidRPr="00236104" w:rsidRDefault="00236104" w:rsidP="00043D95">
      <w:pPr>
        <w:pStyle w:val="H4"/>
        <w:spacing w:before="480"/>
        <w:ind w:left="1267" w:hanging="1267"/>
      </w:pPr>
      <w:bookmarkStart w:id="2651" w:name="_Toc397505045"/>
      <w:bookmarkStart w:id="2652" w:name="_Toc402357177"/>
      <w:bookmarkStart w:id="2653" w:name="_Toc422486557"/>
      <w:bookmarkStart w:id="2654" w:name="_Toc433093410"/>
      <w:bookmarkStart w:id="2655" w:name="_Toc433093568"/>
      <w:bookmarkStart w:id="2656" w:name="_Toc440874798"/>
      <w:bookmarkStart w:id="2657" w:name="_Toc448142355"/>
      <w:bookmarkStart w:id="2658" w:name="_Toc448142512"/>
      <w:bookmarkStart w:id="2659" w:name="_Toc458770353"/>
      <w:bookmarkStart w:id="2660" w:name="_Toc459294321"/>
      <w:bookmarkStart w:id="2661" w:name="_Toc463262815"/>
      <w:bookmarkStart w:id="2662" w:name="_Toc468286888"/>
      <w:bookmarkStart w:id="2663" w:name="_Toc481502928"/>
      <w:bookmarkStart w:id="2664" w:name="_Toc496080096"/>
      <w:bookmarkStart w:id="2665" w:name="_Toc204411732"/>
      <w:r w:rsidRPr="00236104">
        <w:t>6.6.12.1</w:t>
      </w:r>
      <w:r w:rsidRPr="00236104">
        <w:tab/>
        <w:t>Switchable Generation Make-Whole Payment</w:t>
      </w:r>
      <w:bookmarkEnd w:id="2665"/>
    </w:p>
    <w:p w14:paraId="096D2301" w14:textId="77777777" w:rsidR="00236104" w:rsidRPr="00C42B52" w:rsidRDefault="00236104" w:rsidP="00236104">
      <w:pPr>
        <w:ind w:left="720" w:hanging="720"/>
      </w:pPr>
      <w:r>
        <w:t>(1)</w:t>
      </w:r>
      <w:r>
        <w:tab/>
      </w:r>
      <w:r w:rsidRPr="00763E94">
        <w:t>To compensate QSEs representing</w:t>
      </w:r>
      <w:r>
        <w:t xml:space="preserve"> SWGRs</w:t>
      </w:r>
      <w:r w:rsidRPr="00763E94">
        <w:t xml:space="preserve"> </w:t>
      </w:r>
      <w:r>
        <w:t>that</w:t>
      </w:r>
      <w:r w:rsidRPr="00C42B52">
        <w:t xml:space="preserve"> switch to </w:t>
      </w:r>
      <w:r>
        <w:t xml:space="preserve">the </w:t>
      </w:r>
      <w:r w:rsidRPr="00C42B52">
        <w:t xml:space="preserve">ERCOT </w:t>
      </w:r>
      <w:r>
        <w:t xml:space="preserve">Control Area </w:t>
      </w:r>
      <w:r w:rsidRPr="00C42B52">
        <w:t>from a non-ERCOT Control Area</w:t>
      </w:r>
      <w:r>
        <w:t xml:space="preserve"> pursuant to an ERCOT RUC instruction for an actual or anticipated EEA condition</w:t>
      </w:r>
      <w:r w:rsidRPr="00C42B52">
        <w:t xml:space="preserve">, ERCOT shall calculate a Switchable Generation Make-Whole </w:t>
      </w:r>
      <w:r w:rsidR="00C0502C" w:rsidRPr="00C42B52">
        <w:t>Payment</w:t>
      </w:r>
      <w:r w:rsidR="00C0502C">
        <w:t xml:space="preserve"> (SWMWAMT)</w:t>
      </w:r>
      <w:r w:rsidR="00C0502C" w:rsidRPr="00C42B52">
        <w:t xml:space="preserve"> </w:t>
      </w:r>
      <w:r w:rsidRPr="00C42B52">
        <w:t>for an Operating Day, allocated to each instructed Operating Hour as follows:</w:t>
      </w:r>
    </w:p>
    <w:p w14:paraId="3AE498A2" w14:textId="77777777" w:rsidR="00236104" w:rsidRPr="004502BD" w:rsidRDefault="00236104" w:rsidP="00236104"/>
    <w:p w14:paraId="6EC04C53" w14:textId="77777777" w:rsidR="00236104" w:rsidRDefault="00236104" w:rsidP="00236104">
      <w:pPr>
        <w:pStyle w:val="FormulaBold"/>
        <w:rPr>
          <w:i/>
          <w:vertAlign w:val="subscript"/>
        </w:rPr>
      </w:pPr>
      <w:r w:rsidRPr="008A543E">
        <w:t xml:space="preserve">SWMWAMT </w:t>
      </w:r>
      <w:r w:rsidRPr="008A543E">
        <w:rPr>
          <w:i/>
          <w:vertAlign w:val="subscript"/>
        </w:rPr>
        <w:t>q, r</w:t>
      </w:r>
      <w:r w:rsidRPr="003229D6">
        <w:t xml:space="preserve">  =</w:t>
      </w:r>
      <w:r w:rsidRPr="004C7D0C">
        <w:t xml:space="preserve">  (-1) * Max (0, </w:t>
      </w:r>
      <w:r>
        <w:t>(</w:t>
      </w:r>
      <w:r w:rsidRPr="004C7D0C">
        <w:t xml:space="preserve">SWCG </w:t>
      </w:r>
      <w:r w:rsidRPr="004C7D0C">
        <w:rPr>
          <w:i/>
          <w:vertAlign w:val="subscript"/>
        </w:rPr>
        <w:t>q,</w:t>
      </w:r>
      <w:r>
        <w:rPr>
          <w:i/>
          <w:vertAlign w:val="subscript"/>
        </w:rPr>
        <w:t xml:space="preserve"> </w:t>
      </w:r>
      <w:r w:rsidRPr="004C7D0C">
        <w:rPr>
          <w:i/>
          <w:vertAlign w:val="subscript"/>
        </w:rPr>
        <w:t>r,</w:t>
      </w:r>
      <w:r>
        <w:rPr>
          <w:i/>
          <w:vertAlign w:val="subscript"/>
        </w:rPr>
        <w:t xml:space="preserve"> </w:t>
      </w:r>
      <w:r w:rsidRPr="004C7D0C">
        <w:rPr>
          <w:i/>
          <w:vertAlign w:val="subscript"/>
        </w:rPr>
        <w:t>d</w:t>
      </w:r>
      <w:r w:rsidRPr="004C7D0C">
        <w:t xml:space="preserve"> – </w:t>
      </w:r>
      <w:r w:rsidRPr="004C7D0C">
        <w:rPr>
          <w:lang w:val="pt-BR"/>
        </w:rPr>
        <w:t>SWRTREV</w:t>
      </w:r>
      <w:r w:rsidRPr="002071BB">
        <w:rPr>
          <w:i/>
          <w:vertAlign w:val="subscript"/>
          <w:lang w:val="pt-BR"/>
        </w:rPr>
        <w:t xml:space="preserve"> q, r</w:t>
      </w:r>
      <w:r w:rsidRPr="005A6FD5">
        <w:rPr>
          <w:i/>
          <w:vertAlign w:val="subscript"/>
          <w:lang w:val="pt-BR"/>
        </w:rPr>
        <w:t xml:space="preserve">, </w:t>
      </w:r>
      <w:r>
        <w:rPr>
          <w:i/>
          <w:vertAlign w:val="subscript"/>
          <w:lang w:val="pt-BR"/>
        </w:rPr>
        <w:t>d</w:t>
      </w:r>
      <w:r>
        <w:t xml:space="preserve">)) / SWIHR </w:t>
      </w:r>
      <w:r>
        <w:rPr>
          <w:i/>
          <w:vertAlign w:val="subscript"/>
        </w:rPr>
        <w:t>q, r, d</w:t>
      </w:r>
    </w:p>
    <w:p w14:paraId="623D054F" w14:textId="77777777" w:rsidR="00236104" w:rsidRDefault="00236104" w:rsidP="00236104">
      <w:pPr>
        <w:spacing w:after="240"/>
        <w:ind w:left="720"/>
      </w:pPr>
      <w:r>
        <w:t>Where:</w:t>
      </w:r>
    </w:p>
    <w:p w14:paraId="61D73449" w14:textId="77777777" w:rsidR="00FC5B77" w:rsidRDefault="00236104" w:rsidP="00FC5B77">
      <w:pPr>
        <w:spacing w:after="240"/>
        <w:ind w:left="2250" w:hanging="1530"/>
      </w:pPr>
      <w:r w:rsidRPr="00851088">
        <w:t xml:space="preserve">SWCG </w:t>
      </w:r>
      <w:r w:rsidRPr="00851088">
        <w:rPr>
          <w:i/>
          <w:vertAlign w:val="subscript"/>
        </w:rPr>
        <w:t>q,</w:t>
      </w:r>
      <w:r>
        <w:rPr>
          <w:i/>
          <w:vertAlign w:val="subscript"/>
        </w:rPr>
        <w:t xml:space="preserve"> </w:t>
      </w:r>
      <w:r w:rsidRPr="00851088">
        <w:rPr>
          <w:i/>
          <w:vertAlign w:val="subscript"/>
        </w:rPr>
        <w:t>r</w:t>
      </w:r>
      <w:r w:rsidRPr="001520A2">
        <w:rPr>
          <w:i/>
          <w:vertAlign w:val="subscript"/>
        </w:rPr>
        <w:t>,</w:t>
      </w:r>
      <w:r>
        <w:rPr>
          <w:i/>
          <w:vertAlign w:val="subscript"/>
        </w:rPr>
        <w:t xml:space="preserve"> </w:t>
      </w:r>
      <w:r w:rsidRPr="001520A2">
        <w:rPr>
          <w:i/>
          <w:vertAlign w:val="subscript"/>
        </w:rPr>
        <w:t>d</w:t>
      </w:r>
      <w:r w:rsidRPr="001520A2">
        <w:t xml:space="preserve">  =  </w:t>
      </w:r>
      <w:r w:rsidRPr="00F119E9">
        <w:t>SWSUC</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d</w:t>
      </w:r>
      <w:r w:rsidRPr="00F119E9">
        <w:t xml:space="preserve"> </w:t>
      </w:r>
      <w:r w:rsidRPr="00354F5D">
        <w:t>+ SWMEC</w:t>
      </w:r>
      <w:r>
        <w:t xml:space="preserve"> </w:t>
      </w:r>
      <w:r w:rsidRPr="00F43B68">
        <w:rPr>
          <w:i/>
          <w:vertAlign w:val="subscript"/>
        </w:rPr>
        <w:t>q,</w:t>
      </w:r>
      <w:r>
        <w:rPr>
          <w:i/>
          <w:vertAlign w:val="subscript"/>
        </w:rPr>
        <w:t xml:space="preserve"> </w:t>
      </w:r>
      <w:r w:rsidRPr="00F43B68">
        <w:rPr>
          <w:i/>
          <w:vertAlign w:val="subscript"/>
        </w:rPr>
        <w:t>r,</w:t>
      </w:r>
      <w:r>
        <w:rPr>
          <w:i/>
          <w:vertAlign w:val="subscript"/>
        </w:rPr>
        <w:t xml:space="preserve"> </w:t>
      </w:r>
      <w:r w:rsidRPr="00F43B68">
        <w:rPr>
          <w:i/>
          <w:vertAlign w:val="subscript"/>
        </w:rPr>
        <w:t>d</w:t>
      </w:r>
      <w:r w:rsidRPr="00F119E9">
        <w:t xml:space="preserve"> + SW</w:t>
      </w:r>
      <w:r w:rsidRPr="004D0722">
        <w:t xml:space="preserve">OC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 </w:t>
      </w:r>
      <w:r>
        <w:t>SWAC</w:t>
      </w:r>
      <w:r w:rsidRPr="00AD51E2">
        <w:rPr>
          <w:i/>
          <w:vertAlign w:val="subscript"/>
        </w:rP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rsidR="00FC5B77">
        <w:t xml:space="preserve"> + </w:t>
      </w:r>
    </w:p>
    <w:p w14:paraId="5A019CF6" w14:textId="2B50C74B" w:rsidR="00236104" w:rsidRDefault="00FC5B77" w:rsidP="00FC5B77">
      <w:pPr>
        <w:spacing w:after="240"/>
        <w:ind w:left="2250" w:hanging="90"/>
      </w:pPr>
      <w:r>
        <w:t>SWPSLR</w:t>
      </w:r>
      <w:r>
        <w:rPr>
          <w:i/>
          <w:vertAlign w:val="subscript"/>
        </w:rPr>
        <w:t xml:space="preserve"> q</w:t>
      </w:r>
      <w:r w:rsidRPr="00177B9F">
        <w:rPr>
          <w:i/>
          <w:vertAlign w:val="subscript"/>
        </w:rPr>
        <w:t>,</w:t>
      </w:r>
      <w:r>
        <w:rPr>
          <w:i/>
          <w:vertAlign w:val="subscript"/>
        </w:rPr>
        <w:t xml:space="preserve"> </w:t>
      </w:r>
      <w:r w:rsidRPr="00177B9F">
        <w:rPr>
          <w:i/>
          <w:vertAlign w:val="subscript"/>
        </w:rPr>
        <w:t>r, d</w:t>
      </w:r>
    </w:p>
    <w:p w14:paraId="0AEF6D7A" w14:textId="77777777" w:rsidR="00236104" w:rsidRPr="005A6FD5" w:rsidRDefault="00236104" w:rsidP="00236104">
      <w:pPr>
        <w:spacing w:after="240"/>
        <w:ind w:left="2250" w:hanging="1530"/>
        <w:rPr>
          <w:lang w:val="pt-BR"/>
        </w:rPr>
      </w:pPr>
      <w:r>
        <w:rPr>
          <w:lang w:val="pt-BR"/>
        </w:rPr>
        <w:t>SW</w:t>
      </w:r>
      <w:r w:rsidRPr="005A6FD5">
        <w:rPr>
          <w:bCs/>
          <w:lang w:val="pt-BR"/>
        </w:rPr>
        <w:t>RTREV</w:t>
      </w:r>
      <w:r>
        <w:rPr>
          <w:bCs/>
          <w:lang w:val="pt-BR"/>
        </w:rPr>
        <w:t xml:space="preserve"> </w:t>
      </w:r>
      <w:r w:rsidRPr="008D7AE0">
        <w:rPr>
          <w:i/>
          <w:vertAlign w:val="subscript"/>
          <w:lang w:val="pt-BR"/>
        </w:rPr>
        <w:t>q</w:t>
      </w:r>
      <w:r>
        <w:rPr>
          <w:i/>
          <w:vertAlign w:val="subscript"/>
          <w:lang w:val="it-IT"/>
        </w:rPr>
        <w:t>, r, d</w:t>
      </w:r>
      <w:r>
        <w:rPr>
          <w:lang w:val="it-IT"/>
        </w:rPr>
        <w:t xml:space="preserve">   </w:t>
      </w:r>
      <w:r>
        <w:rPr>
          <w:rStyle w:val="BodyTextChar"/>
        </w:rPr>
        <w:t xml:space="preserve">=  </w:t>
      </w:r>
      <w:r>
        <w:rPr>
          <w:bCs/>
          <w:lang w:val="pt-BR"/>
        </w:rPr>
        <w:t xml:space="preserve">Max [0, </w:t>
      </w:r>
      <w:r w:rsidRPr="00F80C33">
        <w:rPr>
          <w:position w:val="-20"/>
        </w:rPr>
        <w:object w:dxaOrig="220" w:dyaOrig="440" w14:anchorId="30D383DE">
          <v:shape id="_x0000_i1289" type="#_x0000_t75" style="width:5.4pt;height:24pt" o:ole="">
            <v:imagedata r:id="rId110" o:title=""/>
          </v:shape>
          <o:OLEObject Type="Embed" ProgID="Equation.3" ShapeID="_x0000_i1289" DrawAspect="Content" ObjectID="_1815025478" r:id="rId360"/>
        </w:object>
      </w:r>
      <w:r>
        <w:t>(</w:t>
      </w:r>
      <w:r>
        <w:rPr>
          <w:bCs/>
          <w:lang w:val="pt-BR"/>
        </w:rPr>
        <w:t>RTSP</w:t>
      </w:r>
      <w:r>
        <w:rPr>
          <w:lang w:val="pt-BR"/>
        </w:rPr>
        <w:t>P</w:t>
      </w:r>
      <w:r w:rsidRPr="005A6FD5">
        <w:rPr>
          <w:b/>
          <w:i/>
          <w:vertAlign w:val="subscript"/>
        </w:rPr>
        <w:t xml:space="preserve"> </w:t>
      </w:r>
      <w:r>
        <w:rPr>
          <w:i/>
          <w:vertAlign w:val="subscript"/>
        </w:rPr>
        <w:t>p, i</w:t>
      </w:r>
      <w:r w:rsidRPr="0063447B">
        <w:rPr>
          <w:lang w:val="pt-BR"/>
        </w:rPr>
        <w:t xml:space="preserve"> </w:t>
      </w:r>
      <w:r>
        <w:rPr>
          <w:lang w:val="pt-BR"/>
        </w:rPr>
        <w:t xml:space="preserve">* </w:t>
      </w:r>
      <w:r>
        <w:t>RTMG</w:t>
      </w:r>
      <w:r w:rsidRPr="005A6FD5">
        <w:rPr>
          <w:b/>
          <w:i/>
          <w:vertAlign w:val="subscript"/>
        </w:rPr>
        <w:t xml:space="preserve"> </w:t>
      </w:r>
      <w:r w:rsidRPr="005A6FD5">
        <w:rPr>
          <w:i/>
          <w:vertAlign w:val="subscript"/>
        </w:rPr>
        <w:t>q, r, i</w:t>
      </w:r>
      <w:r>
        <w:rPr>
          <w:iCs/>
        </w:rPr>
        <w:t xml:space="preserve"> </w:t>
      </w:r>
      <w:r w:rsidRPr="005A6FD5">
        <w:rPr>
          <w:bCs/>
          <w:lang w:val="pt-BR"/>
        </w:rPr>
        <w:t>+ (-1) * (</w:t>
      </w:r>
      <w:r w:rsidRPr="005A6FD5">
        <w:rPr>
          <w:lang w:val="pt-BR"/>
        </w:rPr>
        <w:t xml:space="preserve">EMREAMT </w:t>
      </w:r>
      <w:r w:rsidRPr="005A6FD5">
        <w:rPr>
          <w:i/>
          <w:vertAlign w:val="subscript"/>
          <w:lang w:val="pt-BR"/>
        </w:rPr>
        <w:t xml:space="preserve">q, r, p, i </w:t>
      </w:r>
      <w:r>
        <w:rPr>
          <w:lang w:val="pt-BR"/>
        </w:rPr>
        <w:t xml:space="preserve"> +  </w:t>
      </w:r>
      <w:r w:rsidRPr="009D50C5">
        <w:rPr>
          <w:lang w:val="pt-BR"/>
        </w:rPr>
        <w:t>VSSVARAMT</w:t>
      </w:r>
      <w:r w:rsidRPr="005A6FD5">
        <w:t xml:space="preserve"> </w:t>
      </w:r>
      <w:r w:rsidRPr="005A6FD5">
        <w:rPr>
          <w:i/>
          <w:vertAlign w:val="subscript"/>
        </w:rPr>
        <w:t>q, r, i</w:t>
      </w:r>
      <w:r w:rsidRPr="005A6FD5">
        <w:rPr>
          <w:iCs/>
          <w:vertAlign w:val="subscript"/>
        </w:rPr>
        <w:t xml:space="preserve"> </w:t>
      </w:r>
      <w:r w:rsidRPr="005A6FD5">
        <w:rPr>
          <w:bCs/>
          <w:lang w:val="pt-BR"/>
        </w:rPr>
        <w:t xml:space="preserve">+ </w:t>
      </w:r>
      <w:r w:rsidRPr="005A6FD5">
        <w:rPr>
          <w:lang w:val="pt-BR"/>
        </w:rPr>
        <w:t xml:space="preserve">VSSEAMT </w:t>
      </w:r>
      <w:r w:rsidRPr="005A6FD5">
        <w:rPr>
          <w:i/>
          <w:vertAlign w:val="subscript"/>
          <w:lang w:val="pt-BR"/>
        </w:rPr>
        <w:t>q, r, i</w:t>
      </w:r>
      <w:r>
        <w:rPr>
          <w:lang w:val="pt-BR"/>
        </w:rPr>
        <w:t>) + Max(0, (RTOLHSLRA</w:t>
      </w:r>
      <w:r w:rsidRPr="003200A4">
        <w:rPr>
          <w:i/>
          <w:vertAlign w:val="subscript"/>
          <w:lang w:val="pt-BR"/>
        </w:rPr>
        <w:t xml:space="preserve"> </w:t>
      </w:r>
      <w:r w:rsidRPr="005A6FD5">
        <w:rPr>
          <w:i/>
          <w:vertAlign w:val="subscript"/>
          <w:lang w:val="pt-BR"/>
        </w:rPr>
        <w:t>q, r, p</w:t>
      </w:r>
      <w:r>
        <w:rPr>
          <w:i/>
          <w:vertAlign w:val="subscript"/>
          <w:lang w:val="pt-BR"/>
        </w:rPr>
        <w:t>, i</w:t>
      </w:r>
      <w:r>
        <w:rPr>
          <w:lang w:val="pt-BR"/>
        </w:rPr>
        <w:t xml:space="preserve"> – RTMGA</w:t>
      </w:r>
      <w:r w:rsidRPr="00890E0F">
        <w:rPr>
          <w:i/>
          <w:vertAlign w:val="subscript"/>
          <w:lang w:val="pt-BR"/>
        </w:rPr>
        <w:t xml:space="preserve"> </w:t>
      </w:r>
      <w:r w:rsidRPr="005A6FD5">
        <w:rPr>
          <w:i/>
          <w:vertAlign w:val="subscript"/>
          <w:lang w:val="pt-BR"/>
        </w:rPr>
        <w:t>q, r, p</w:t>
      </w:r>
      <w:r>
        <w:rPr>
          <w:i/>
          <w:vertAlign w:val="subscript"/>
          <w:lang w:val="pt-BR"/>
        </w:rPr>
        <w:t>, i</w:t>
      </w:r>
      <w:r>
        <w:rPr>
          <w:lang w:val="pt-BR"/>
        </w:rPr>
        <w:t>) * (RTRSVPOR</w:t>
      </w:r>
      <w:r>
        <w:rPr>
          <w:i/>
          <w:vertAlign w:val="subscript"/>
          <w:lang w:val="pt-BR"/>
        </w:rPr>
        <w:t xml:space="preserve"> i</w:t>
      </w:r>
      <w:r>
        <w:rPr>
          <w:lang w:val="pt-BR"/>
        </w:rPr>
        <w:t xml:space="preserve"> + RTRDP</w:t>
      </w:r>
      <w:r>
        <w:rPr>
          <w:i/>
          <w:vertAlign w:val="subscript"/>
          <w:lang w:val="pt-BR"/>
        </w:rPr>
        <w:t xml:space="preserve"> i</w:t>
      </w:r>
      <w:r>
        <w:rPr>
          <w:lang w:val="pt-BR"/>
        </w:rPr>
        <w:t>)))</w:t>
      </w:r>
      <w:r w:rsidRPr="005A6FD5">
        <w:rPr>
          <w:lang w:val="pt-BR"/>
        </w:rPr>
        <w:t>]</w:t>
      </w:r>
    </w:p>
    <w:p w14:paraId="1E478836" w14:textId="75522995" w:rsidR="00236104" w:rsidRPr="000118BE" w:rsidRDefault="00236104" w:rsidP="00236104">
      <w:pPr>
        <w:spacing w:after="240"/>
        <w:ind w:left="2250" w:hanging="1530"/>
        <w:rPr>
          <w:lang w:val="it-IT"/>
        </w:rPr>
      </w:pPr>
      <w:r>
        <w:t>SWAC</w:t>
      </w:r>
      <w:r w:rsidRPr="00AD51E2">
        <w:rPr>
          <w:i/>
          <w:vertAlign w:val="subscript"/>
        </w:rP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t xml:space="preserve"> =  </w:t>
      </w:r>
      <w:r w:rsidRPr="004D0722">
        <w:rPr>
          <w:rStyle w:val="BodyTextChar"/>
        </w:rPr>
        <w:t>SWFC</w:t>
      </w:r>
      <w:r w:rsidRPr="004D0722">
        <w:rPr>
          <w:i/>
          <w:vertAlign w:val="subscript"/>
        </w:rPr>
        <w:t xml:space="preserve"> 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Pr>
          <w:lang w:val="it-IT"/>
        </w:rPr>
        <w:t xml:space="preserve"> </w:t>
      </w:r>
      <w:r w:rsidRPr="004D0722">
        <w:t xml:space="preserve">+ </w:t>
      </w:r>
      <w:r w:rsidRPr="004D0722">
        <w:rPr>
          <w:rStyle w:val="BodyTextChar"/>
        </w:rPr>
        <w:t>SWE</w:t>
      </w:r>
      <w:r w:rsidR="00FC5B77">
        <w:rPr>
          <w:rStyle w:val="BodyTextChar"/>
        </w:rPr>
        <w:t>I</w:t>
      </w:r>
      <w:r w:rsidRPr="004D0722">
        <w:rPr>
          <w:rStyle w:val="BodyTextChar"/>
        </w:rPr>
        <w:t>C</w:t>
      </w:r>
      <w:r w:rsidRPr="004D0722">
        <w:rPr>
          <w:i/>
          <w:vertAlign w:val="subscript"/>
        </w:rPr>
        <w:t xml:space="preserve"> 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Pr>
          <w:lang w:val="it-IT"/>
        </w:rPr>
        <w:t xml:space="preserve"> </w:t>
      </w:r>
      <w:r w:rsidRPr="00CD03E9">
        <w:t xml:space="preserve">+ </w:t>
      </w:r>
      <w:r w:rsidRPr="00CD03E9">
        <w:rPr>
          <w:rStyle w:val="BodyTextChar"/>
        </w:rPr>
        <w:t>SWAS</w:t>
      </w:r>
      <w:r w:rsidR="00CC0885">
        <w:rPr>
          <w:rStyle w:val="BodyTextChar"/>
        </w:rPr>
        <w:t>I</w:t>
      </w:r>
      <w:r w:rsidRPr="00CD03E9">
        <w:rPr>
          <w:rStyle w:val="BodyTextChar"/>
        </w:rPr>
        <w:t>C</w:t>
      </w:r>
      <w:r w:rsidRPr="00CD03E9">
        <w:rPr>
          <w:i/>
          <w:vertAlign w:val="subscript"/>
        </w:rPr>
        <w:t xml:space="preserve"> q,</w:t>
      </w:r>
      <w:r>
        <w:rPr>
          <w:i/>
          <w:vertAlign w:val="subscript"/>
        </w:rPr>
        <w:t xml:space="preserve"> </w:t>
      </w:r>
      <w:r w:rsidRPr="00CD03E9">
        <w:rPr>
          <w:i/>
          <w:vertAlign w:val="subscript"/>
        </w:rPr>
        <w:t>r,</w:t>
      </w:r>
      <w:r>
        <w:rPr>
          <w:i/>
          <w:vertAlign w:val="subscript"/>
        </w:rPr>
        <w:t xml:space="preserve"> </w:t>
      </w:r>
      <w:r w:rsidRPr="00CD03E9">
        <w:rPr>
          <w:i/>
          <w:vertAlign w:val="subscript"/>
        </w:rPr>
        <w:t>d</w:t>
      </w:r>
      <w:r>
        <w:rPr>
          <w:lang w:val="it-IT"/>
        </w:rPr>
        <w:t xml:space="preserve"> + </w:t>
      </w:r>
      <w:r w:rsidRPr="00DF745E">
        <w:rPr>
          <w:lang w:val="pt-BR"/>
        </w:rPr>
        <w:t>SWMWDC</w:t>
      </w:r>
      <w:r w:rsidRPr="00DF745E">
        <w:rPr>
          <w:i/>
          <w:vertAlign w:val="subscript"/>
        </w:rPr>
        <w:t xml:space="preserve"> q,</w:t>
      </w:r>
      <w:r>
        <w:rPr>
          <w:i/>
          <w:vertAlign w:val="subscript"/>
        </w:rPr>
        <w:t xml:space="preserve"> </w:t>
      </w:r>
      <w:r w:rsidRPr="00DF745E">
        <w:rPr>
          <w:i/>
          <w:vertAlign w:val="subscript"/>
        </w:rPr>
        <w:t>r,</w:t>
      </w:r>
      <w:r>
        <w:rPr>
          <w:i/>
          <w:vertAlign w:val="subscript"/>
        </w:rPr>
        <w:t xml:space="preserve"> </w:t>
      </w:r>
      <w:r w:rsidRPr="00DF745E">
        <w:rPr>
          <w:i/>
          <w:vertAlign w:val="subscript"/>
        </w:rPr>
        <w:t>d</w:t>
      </w:r>
      <w:r>
        <w:rPr>
          <w:i/>
          <w:vertAlign w:val="subscript"/>
        </w:rPr>
        <w:t xml:space="preserve"> </w:t>
      </w:r>
      <w:r>
        <w:rPr>
          <w:lang w:val="it-IT"/>
        </w:rPr>
        <w:t xml:space="preserve">+ </w:t>
      </w:r>
      <w:r w:rsidRPr="00DF745E">
        <w:rPr>
          <w:lang w:val="pt-BR"/>
        </w:rPr>
        <w:t>SW</w:t>
      </w:r>
      <w:r>
        <w:rPr>
          <w:lang w:val="pt-BR"/>
        </w:rPr>
        <w:t>FIP</w:t>
      </w:r>
      <w:r w:rsidRPr="00DF745E">
        <w:rPr>
          <w:lang w:val="pt-BR"/>
        </w:rPr>
        <w:t>C</w:t>
      </w:r>
      <w:r w:rsidRPr="00DF745E">
        <w:rPr>
          <w:i/>
          <w:vertAlign w:val="subscript"/>
        </w:rPr>
        <w:t xml:space="preserve"> q,</w:t>
      </w:r>
      <w:r>
        <w:rPr>
          <w:i/>
          <w:vertAlign w:val="subscript"/>
        </w:rPr>
        <w:t xml:space="preserve"> </w:t>
      </w:r>
      <w:r w:rsidRPr="00DF745E">
        <w:rPr>
          <w:i/>
          <w:vertAlign w:val="subscript"/>
        </w:rPr>
        <w:t>r,</w:t>
      </w:r>
      <w:r>
        <w:rPr>
          <w:i/>
          <w:vertAlign w:val="subscript"/>
        </w:rPr>
        <w:t xml:space="preserve"> </w:t>
      </w:r>
      <w:r w:rsidRPr="00DF745E">
        <w:rPr>
          <w:i/>
          <w:vertAlign w:val="subscript"/>
        </w:rPr>
        <w:t>d</w:t>
      </w:r>
    </w:p>
    <w:p w14:paraId="23177AAB" w14:textId="0E096C2A" w:rsidR="00FC5B77" w:rsidRPr="002C41DB" w:rsidRDefault="00FC5B77" w:rsidP="00FC5B77">
      <w:pPr>
        <w:spacing w:after="240"/>
        <w:ind w:left="2250" w:hanging="1530"/>
        <w:rPr>
          <w:rStyle w:val="BodyTextChar"/>
          <w:szCs w:val="24"/>
          <w:lang w:val="it-IT"/>
        </w:rPr>
      </w:pPr>
      <w:r>
        <w:t>SWPSLR</w:t>
      </w:r>
      <w:r w:rsidRPr="003877F4">
        <w:rPr>
          <w:i/>
          <w:vertAlign w:val="subscript"/>
        </w:rPr>
        <w:t xml:space="preserve">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r w:rsidRPr="00851088">
        <w:t xml:space="preserve"> </w:t>
      </w:r>
      <w:r>
        <w:t xml:space="preserve"> =  </w:t>
      </w:r>
      <w:r w:rsidRPr="00F80C33">
        <w:rPr>
          <w:position w:val="-20"/>
        </w:rPr>
        <w:object w:dxaOrig="220" w:dyaOrig="440" w14:anchorId="3D4BE185">
          <v:shape id="_x0000_i1290" type="#_x0000_t75" style="width:5.4pt;height:24pt" o:ole="">
            <v:imagedata r:id="rId110" o:title=""/>
          </v:shape>
          <o:OLEObject Type="Embed" ProgID="Equation.3" ShapeID="_x0000_i1290" DrawAspect="Content" ObjectID="_1815025479" r:id="rId361"/>
        </w:object>
      </w:r>
      <w:r>
        <w:t>(</w:t>
      </w:r>
      <w:r>
        <w:rPr>
          <w:bCs/>
          <w:lang w:val="pt-BR"/>
        </w:rPr>
        <w:t>RTSP</w:t>
      </w:r>
      <w:r>
        <w:rPr>
          <w:lang w:val="pt-BR"/>
        </w:rPr>
        <w:t>P</w:t>
      </w:r>
      <w:r w:rsidRPr="005A6FD5">
        <w:rPr>
          <w:b/>
          <w:i/>
          <w:vertAlign w:val="subscript"/>
        </w:rPr>
        <w:t xml:space="preserve"> </w:t>
      </w:r>
      <w:r>
        <w:rPr>
          <w:i/>
          <w:vertAlign w:val="subscript"/>
        </w:rPr>
        <w:t>p, i</w:t>
      </w:r>
      <w:r w:rsidRPr="0063447B">
        <w:rPr>
          <w:lang w:val="pt-BR"/>
        </w:rPr>
        <w:t xml:space="preserve"> </w:t>
      </w:r>
      <w:r>
        <w:rPr>
          <w:lang w:val="pt-BR"/>
        </w:rPr>
        <w:t xml:space="preserve">* </w:t>
      </w:r>
      <w:r>
        <w:t>RTLPX</w:t>
      </w:r>
      <w:r w:rsidRPr="000D5D27">
        <w:t xml:space="preserve"> </w:t>
      </w:r>
      <w:r w:rsidRPr="005A6FD5">
        <w:rPr>
          <w:i/>
          <w:vertAlign w:val="subscript"/>
        </w:rPr>
        <w:t xml:space="preserve">q, r, </w:t>
      </w:r>
      <w:r>
        <w:rPr>
          <w:i/>
          <w:vertAlign w:val="subscript"/>
        </w:rPr>
        <w:t xml:space="preserve">i </w:t>
      </w:r>
      <w:r w:rsidRPr="007477C6">
        <w:t>)</w:t>
      </w:r>
      <w:r>
        <w:t xml:space="preserve"> – (FIP+FA) * SFC </w:t>
      </w:r>
      <w:r w:rsidRPr="006F4450">
        <w:rPr>
          <w:i/>
          <w:vertAlign w:val="subscript"/>
        </w:rPr>
        <w:t>d</w:t>
      </w:r>
    </w:p>
    <w:p w14:paraId="39413D82" w14:textId="77777777" w:rsidR="00236104" w:rsidRPr="000F548A" w:rsidRDefault="00236104" w:rsidP="00236104">
      <w:pPr>
        <w:pStyle w:val="List2"/>
        <w:ind w:left="1440"/>
        <w:rPr>
          <w:rStyle w:val="BodyTextChar"/>
          <w:szCs w:val="24"/>
        </w:rPr>
      </w:pPr>
      <w:r w:rsidRPr="000F548A">
        <w:rPr>
          <w:rStyle w:val="BodyTextChar"/>
          <w:szCs w:val="24"/>
        </w:rPr>
        <w:t>If ERCOT has approved verifiable costs for</w:t>
      </w:r>
      <w:r w:rsidR="00C0502C" w:rsidRPr="00C0502C">
        <w:rPr>
          <w:rStyle w:val="BodyTextChar"/>
          <w:szCs w:val="24"/>
        </w:rPr>
        <w:t xml:space="preserve"> </w:t>
      </w:r>
      <w:r w:rsidR="00C0502C" w:rsidRPr="000F548A">
        <w:rPr>
          <w:rStyle w:val="BodyTextChar"/>
          <w:szCs w:val="24"/>
        </w:rPr>
        <w:t xml:space="preserve">the </w:t>
      </w:r>
      <w:r w:rsidR="00C0502C">
        <w:rPr>
          <w:rStyle w:val="BodyTextChar"/>
          <w:szCs w:val="24"/>
        </w:rPr>
        <w:t>SWGR</w:t>
      </w:r>
      <w:r w:rsidRPr="000F548A">
        <w:rPr>
          <w:rStyle w:val="BodyTextChar"/>
          <w:szCs w:val="24"/>
        </w:rPr>
        <w:t>:</w:t>
      </w:r>
    </w:p>
    <w:p w14:paraId="16E17F6B" w14:textId="77777777" w:rsidR="00236104" w:rsidRPr="00680899" w:rsidRDefault="00236104" w:rsidP="00236104">
      <w:pPr>
        <w:pStyle w:val="BodyTextNumbered"/>
        <w:tabs>
          <w:tab w:val="left" w:pos="1800"/>
        </w:tabs>
        <w:ind w:left="2160" w:hanging="1440"/>
        <w:rPr>
          <w:i/>
          <w:vertAlign w:val="subscript"/>
        </w:rPr>
      </w:pPr>
      <w:r w:rsidRPr="00F7577E">
        <w:t xml:space="preserve">     SWSUC</w:t>
      </w:r>
      <w:r>
        <w:t xml:space="preserve"> </w:t>
      </w:r>
      <w:r w:rsidRPr="004C7D0C">
        <w:rPr>
          <w:i/>
          <w:vertAlign w:val="subscript"/>
        </w:rPr>
        <w:t>q,</w:t>
      </w:r>
      <w:r>
        <w:rPr>
          <w:i/>
          <w:vertAlign w:val="subscript"/>
        </w:rPr>
        <w:t xml:space="preserve"> </w:t>
      </w:r>
      <w:r w:rsidRPr="004C7D0C">
        <w:rPr>
          <w:i/>
          <w:vertAlign w:val="subscript"/>
        </w:rPr>
        <w:t>r</w:t>
      </w:r>
      <w:r w:rsidRPr="007E3A0A">
        <w:rPr>
          <w:i/>
          <w:vertAlign w:val="subscript"/>
        </w:rPr>
        <w:t>,</w:t>
      </w:r>
      <w:r>
        <w:rPr>
          <w:i/>
          <w:vertAlign w:val="subscript"/>
        </w:rPr>
        <w:t xml:space="preserve"> </w:t>
      </w:r>
      <w:r w:rsidRPr="007E3A0A">
        <w:rPr>
          <w:i/>
          <w:vertAlign w:val="subscript"/>
        </w:rPr>
        <w:t>d</w:t>
      </w:r>
      <w:r w:rsidRPr="007E3A0A">
        <w:rPr>
          <w:rStyle w:val="BodyTextChar"/>
        </w:rPr>
        <w:t xml:space="preserve"> = </w:t>
      </w:r>
      <w:r>
        <w:rPr>
          <w:position w:val="-20"/>
          <w:lang w:val="pt-BR"/>
        </w:rPr>
        <w:object w:dxaOrig="210" w:dyaOrig="450" w14:anchorId="3D76B543">
          <v:shape id="_x0000_i1291" type="#_x0000_t75" style="width:5.4pt;height:24.6pt" o:ole="">
            <v:imagedata r:id="rId362" o:title=""/>
          </v:shape>
          <o:OLEObject Type="Embed" ProgID="Equation.3" ShapeID="_x0000_i1291" DrawAspect="Content" ObjectID="_1815025480" r:id="rId363"/>
        </w:object>
      </w:r>
      <w:r>
        <w:rPr>
          <w:rStyle w:val="BodyTextChar"/>
        </w:rPr>
        <w:t xml:space="preserve"> [SWSF</w:t>
      </w:r>
      <w:r w:rsidRPr="007E3A0A">
        <w:rPr>
          <w:rStyle w:val="BodyTextChar"/>
        </w:rPr>
        <w:t xml:space="preserve"> * </w:t>
      </w:r>
      <w:r w:rsidRPr="007E3A0A">
        <w:rPr>
          <w:lang w:val="pt-BR"/>
        </w:rPr>
        <w:t>(</w:t>
      </w:r>
      <w:r w:rsidRPr="007E3A0A">
        <w:rPr>
          <w:bCs/>
        </w:rPr>
        <w:t>DAFCRS</w:t>
      </w:r>
      <w:r w:rsidRPr="007E3A0A">
        <w:rPr>
          <w:bCs/>
          <w:i/>
          <w:vertAlign w:val="subscript"/>
        </w:rPr>
        <w:t xml:space="preserve"> r, s</w:t>
      </w:r>
      <w:r w:rsidRPr="007E3A0A">
        <w:rPr>
          <w:bCs/>
        </w:rPr>
        <w:t xml:space="preserve"> * </w:t>
      </w:r>
      <w:r w:rsidRPr="007E3A0A">
        <w:t>(GASPERSU</w:t>
      </w:r>
      <w:r>
        <w:t xml:space="preserve"> </w:t>
      </w:r>
      <w:r w:rsidRPr="007E3A0A">
        <w:rPr>
          <w:bCs/>
          <w:i/>
          <w:vertAlign w:val="subscript"/>
        </w:rPr>
        <w:t>r,</w:t>
      </w:r>
      <w:r>
        <w:rPr>
          <w:bCs/>
          <w:i/>
          <w:vertAlign w:val="subscript"/>
        </w:rPr>
        <w:t xml:space="preserve"> </w:t>
      </w:r>
      <w:r w:rsidRPr="007E3A0A">
        <w:rPr>
          <w:bCs/>
          <w:i/>
          <w:vertAlign w:val="subscript"/>
        </w:rPr>
        <w:t>s</w:t>
      </w:r>
      <w:r w:rsidRPr="007E3A0A">
        <w:t xml:space="preserve"> * FIP + OILPERSU</w:t>
      </w:r>
      <w:r w:rsidRPr="007E3A0A">
        <w:rPr>
          <w:bCs/>
          <w:i/>
          <w:vertAlign w:val="subscript"/>
        </w:rPr>
        <w:t xml:space="preserve"> r,</w:t>
      </w:r>
      <w:r>
        <w:rPr>
          <w:bCs/>
          <w:i/>
          <w:vertAlign w:val="subscript"/>
        </w:rPr>
        <w:t xml:space="preserve"> </w:t>
      </w:r>
      <w:r w:rsidRPr="007E3A0A">
        <w:rPr>
          <w:bCs/>
          <w:i/>
          <w:vertAlign w:val="subscript"/>
        </w:rPr>
        <w:t>s</w:t>
      </w:r>
      <w:r w:rsidRPr="007E3A0A">
        <w:t xml:space="preserve"> * FOP + SFPERSU</w:t>
      </w:r>
      <w:r w:rsidRPr="007E3A0A">
        <w:rPr>
          <w:bCs/>
          <w:i/>
          <w:vertAlign w:val="subscript"/>
        </w:rPr>
        <w:t xml:space="preserve"> r, s</w:t>
      </w:r>
      <w:r w:rsidRPr="007E3A0A">
        <w:t xml:space="preserve"> * SFP) + VOMS</w:t>
      </w:r>
      <w:r w:rsidRPr="007E3A0A">
        <w:rPr>
          <w:i/>
          <w:vertAlign w:val="subscript"/>
        </w:rPr>
        <w:t xml:space="preserve"> </w:t>
      </w:r>
      <w:r w:rsidRPr="007E3A0A">
        <w:rPr>
          <w:bCs/>
          <w:i/>
          <w:vertAlign w:val="subscript"/>
        </w:rPr>
        <w:t>r, s</w:t>
      </w:r>
      <w:r w:rsidRPr="007E3A0A">
        <w:t>)</w:t>
      </w:r>
      <w:r>
        <w:t>] + ADJ</w:t>
      </w:r>
      <w:r w:rsidRPr="00F7577E">
        <w:t>SWSUC</w:t>
      </w:r>
      <w:r>
        <w:t xml:space="preserve"> </w:t>
      </w:r>
      <w:r w:rsidRPr="004C7D0C">
        <w:rPr>
          <w:i/>
          <w:vertAlign w:val="subscript"/>
        </w:rPr>
        <w:t>q,</w:t>
      </w:r>
      <w:r>
        <w:rPr>
          <w:i/>
          <w:vertAlign w:val="subscript"/>
        </w:rPr>
        <w:t xml:space="preserve"> </w:t>
      </w:r>
      <w:r w:rsidRPr="004C7D0C">
        <w:rPr>
          <w:i/>
          <w:vertAlign w:val="subscript"/>
        </w:rPr>
        <w:t>r</w:t>
      </w:r>
      <w:r w:rsidRPr="007E3A0A">
        <w:rPr>
          <w:i/>
          <w:vertAlign w:val="subscript"/>
        </w:rPr>
        <w:t>,</w:t>
      </w:r>
      <w:r>
        <w:rPr>
          <w:i/>
          <w:vertAlign w:val="subscript"/>
        </w:rPr>
        <w:t xml:space="preserve"> </w:t>
      </w:r>
      <w:r w:rsidRPr="007E3A0A">
        <w:rPr>
          <w:i/>
          <w:vertAlign w:val="subscript"/>
        </w:rPr>
        <w:t>d</w:t>
      </w:r>
    </w:p>
    <w:p w14:paraId="63E1E185" w14:textId="45730E2E" w:rsidR="00236104" w:rsidRPr="007477C6" w:rsidRDefault="00236104" w:rsidP="00236104">
      <w:pPr>
        <w:pStyle w:val="BodyTextNumbered"/>
        <w:tabs>
          <w:tab w:val="left" w:pos="1800"/>
        </w:tabs>
        <w:ind w:left="2160" w:hanging="1440"/>
        <w:rPr>
          <w:i/>
          <w:vertAlign w:val="subscript"/>
        </w:rPr>
      </w:pPr>
      <w:r>
        <w:t xml:space="preserve">     </w:t>
      </w:r>
      <w:r w:rsidRPr="00B94D12">
        <w:t>SWMEC</w:t>
      </w:r>
      <w:r>
        <w:t xml:space="preserve"> </w:t>
      </w:r>
      <w:r w:rsidRPr="00B94D12">
        <w:rPr>
          <w:i/>
          <w:vertAlign w:val="subscript"/>
        </w:rPr>
        <w:t>q,</w:t>
      </w:r>
      <w:r>
        <w:rPr>
          <w:i/>
          <w:vertAlign w:val="subscript"/>
        </w:rPr>
        <w:t xml:space="preserve"> </w:t>
      </w:r>
      <w:r w:rsidRPr="00B94D12">
        <w:rPr>
          <w:i/>
          <w:vertAlign w:val="subscript"/>
        </w:rPr>
        <w:t>r,</w:t>
      </w:r>
      <w:r>
        <w:rPr>
          <w:i/>
          <w:vertAlign w:val="subscript"/>
        </w:rPr>
        <w:t xml:space="preserve"> </w:t>
      </w:r>
      <w:r w:rsidRPr="00B94D12">
        <w:rPr>
          <w:i/>
          <w:vertAlign w:val="subscript"/>
        </w:rPr>
        <w:t>d</w:t>
      </w:r>
      <w:r w:rsidRPr="00B94D12">
        <w:t xml:space="preserve"> = </w:t>
      </w:r>
      <w:r w:rsidRPr="009C46C4">
        <w:rPr>
          <w:position w:val="-20"/>
          <w:lang w:val="pt-BR"/>
        </w:rPr>
        <w:object w:dxaOrig="220" w:dyaOrig="440" w14:anchorId="0E14AE79">
          <v:shape id="_x0000_i1292" type="#_x0000_t75" style="width:12pt;height:24pt" o:ole="">
            <v:imagedata r:id="rId364" o:title=""/>
          </v:shape>
          <o:OLEObject Type="Embed" ProgID="Equation.3" ShapeID="_x0000_i1292" DrawAspect="Content" ObjectID="_1815025481" r:id="rId365"/>
        </w:object>
      </w:r>
      <w:r w:rsidRPr="00354F5D">
        <w:rPr>
          <w:lang w:val="pt-BR"/>
        </w:rPr>
        <w:t>(</w:t>
      </w:r>
      <w:r w:rsidRPr="00354F5D">
        <w:t>(</w:t>
      </w:r>
      <w:r w:rsidRPr="00851088">
        <w:rPr>
          <w:lang w:val="pt-BR"/>
        </w:rPr>
        <w:t>AHR</w:t>
      </w:r>
      <w:r w:rsidRPr="00851088">
        <w:rPr>
          <w:i/>
          <w:vertAlign w:val="subscript"/>
          <w:lang w:val="es-ES"/>
        </w:rPr>
        <w:t xml:space="preserve"> r</w:t>
      </w:r>
      <w:r>
        <w:rPr>
          <w:i/>
          <w:vertAlign w:val="subscript"/>
          <w:lang w:val="es-ES"/>
        </w:rPr>
        <w:t>, i</w:t>
      </w:r>
      <w:r>
        <w:rPr>
          <w:lang w:val="pt-BR"/>
        </w:rPr>
        <w:t xml:space="preserve"> </w:t>
      </w:r>
      <w:r w:rsidRPr="00F43B68">
        <w:t>* (GASPERME</w:t>
      </w:r>
      <w:r>
        <w:t xml:space="preserve"> </w:t>
      </w:r>
      <w:r w:rsidRPr="00F43B68">
        <w:rPr>
          <w:bCs/>
          <w:i/>
          <w:vertAlign w:val="subscript"/>
        </w:rPr>
        <w:t>r</w:t>
      </w:r>
      <w:r w:rsidRPr="00F43B68">
        <w:t xml:space="preserve"> * FIP + OILPERME</w:t>
      </w:r>
      <w:r>
        <w:t xml:space="preserve"> </w:t>
      </w:r>
      <w:r w:rsidRPr="00F43B68">
        <w:rPr>
          <w:bCs/>
          <w:i/>
          <w:vertAlign w:val="subscript"/>
        </w:rPr>
        <w:t>r</w:t>
      </w:r>
      <w:r w:rsidRPr="00F43B68">
        <w:t xml:space="preserve"> * FOP + SFPERME</w:t>
      </w:r>
      <w:r w:rsidRPr="00F43B68">
        <w:rPr>
          <w:bCs/>
          <w:i/>
          <w:vertAlign w:val="subscript"/>
        </w:rPr>
        <w:t xml:space="preserve"> r</w:t>
      </w:r>
      <w:r w:rsidRPr="00F43B68">
        <w:t>* SFP</w:t>
      </w:r>
      <w:r w:rsidR="00FC5B77">
        <w:t xml:space="preserve"> </w:t>
      </w:r>
      <w:r w:rsidR="00FC5B77" w:rsidRPr="006F4450">
        <w:t>+ FA</w:t>
      </w:r>
      <w:r w:rsidR="00FC5B77">
        <w:t xml:space="preserve"> </w:t>
      </w:r>
      <w:r w:rsidR="00FC5B77" w:rsidRPr="004F05D0">
        <w:rPr>
          <w:i/>
          <w:vertAlign w:val="subscript"/>
        </w:rPr>
        <w:t>r</w:t>
      </w:r>
      <w:r w:rsidRPr="007477C6">
        <w:t>) + VOMLSL</w:t>
      </w:r>
      <w:r w:rsidRPr="007477C6">
        <w:rPr>
          <w:i/>
          <w:vertAlign w:val="subscript"/>
        </w:rPr>
        <w:t xml:space="preserve"> </w:t>
      </w:r>
      <w:r w:rsidRPr="007477C6">
        <w:rPr>
          <w:bCs/>
          <w:i/>
          <w:vertAlign w:val="subscript"/>
        </w:rPr>
        <w:t>r</w:t>
      </w:r>
      <w:r w:rsidRPr="007477C6">
        <w:t>) * Min (LSL</w:t>
      </w:r>
      <w:r>
        <w:t xml:space="preserve"> </w:t>
      </w:r>
      <w:r w:rsidRPr="007477C6">
        <w:rPr>
          <w:i/>
          <w:vertAlign w:val="subscript"/>
        </w:rPr>
        <w:t>q,</w:t>
      </w:r>
      <w:r>
        <w:rPr>
          <w:i/>
          <w:vertAlign w:val="subscript"/>
        </w:rPr>
        <w:t xml:space="preserve"> </w:t>
      </w:r>
      <w:r w:rsidRPr="007477C6">
        <w:rPr>
          <w:i/>
          <w:vertAlign w:val="subscript"/>
        </w:rPr>
        <w:t>r,</w:t>
      </w:r>
      <w:r>
        <w:rPr>
          <w:i/>
          <w:vertAlign w:val="subscript"/>
        </w:rPr>
        <w:t xml:space="preserve"> </w:t>
      </w:r>
      <w:r w:rsidRPr="007477C6">
        <w:rPr>
          <w:i/>
          <w:vertAlign w:val="subscript"/>
        </w:rPr>
        <w:t>i</w:t>
      </w:r>
      <w:r w:rsidRPr="007477C6">
        <w:t xml:space="preserve"> * (¼), RTMG</w:t>
      </w:r>
      <w:r>
        <w:t xml:space="preserve"> </w:t>
      </w:r>
      <w:r w:rsidRPr="007477C6">
        <w:rPr>
          <w:i/>
          <w:vertAlign w:val="subscript"/>
        </w:rPr>
        <w:t>q,</w:t>
      </w:r>
      <w:r>
        <w:rPr>
          <w:i/>
          <w:vertAlign w:val="subscript"/>
        </w:rPr>
        <w:t xml:space="preserve"> </w:t>
      </w:r>
      <w:r w:rsidRPr="007477C6">
        <w:rPr>
          <w:i/>
          <w:vertAlign w:val="subscript"/>
        </w:rPr>
        <w:t>r,</w:t>
      </w:r>
      <w:r>
        <w:rPr>
          <w:i/>
          <w:vertAlign w:val="subscript"/>
        </w:rPr>
        <w:t xml:space="preserve"> </w:t>
      </w:r>
      <w:r w:rsidRPr="007477C6">
        <w:rPr>
          <w:i/>
          <w:vertAlign w:val="subscript"/>
        </w:rPr>
        <w:t>i</w:t>
      </w:r>
      <w:r w:rsidRPr="007477C6">
        <w:t xml:space="preserve">)) </w:t>
      </w:r>
      <w:r w:rsidRPr="007477C6">
        <w:rPr>
          <w:i/>
          <w:vertAlign w:val="subscript"/>
        </w:rPr>
        <w:t xml:space="preserve">  </w:t>
      </w:r>
    </w:p>
    <w:p w14:paraId="6B958740" w14:textId="5632499F" w:rsidR="00236104" w:rsidRPr="001462A1" w:rsidRDefault="00236104" w:rsidP="00236104">
      <w:pPr>
        <w:pStyle w:val="BodyTextNumbered"/>
        <w:tabs>
          <w:tab w:val="left" w:pos="1800"/>
        </w:tabs>
        <w:ind w:left="2160" w:hanging="1440"/>
        <w:rPr>
          <w:i/>
          <w:vertAlign w:val="subscript"/>
        </w:rPr>
      </w:pPr>
      <w:r w:rsidRPr="00B94D12">
        <w:t xml:space="preserve">     SWOC </w:t>
      </w:r>
      <w:r w:rsidRPr="00680899">
        <w:rPr>
          <w:i/>
          <w:vertAlign w:val="subscript"/>
        </w:rPr>
        <w:t>q,</w:t>
      </w:r>
      <w:r>
        <w:rPr>
          <w:i/>
          <w:vertAlign w:val="subscript"/>
        </w:rPr>
        <w:t xml:space="preserve"> </w:t>
      </w:r>
      <w:r w:rsidRPr="00680899">
        <w:rPr>
          <w:i/>
          <w:vertAlign w:val="subscript"/>
        </w:rPr>
        <w:t>r,</w:t>
      </w:r>
      <w:r>
        <w:rPr>
          <w:i/>
          <w:vertAlign w:val="subscript"/>
        </w:rPr>
        <w:t xml:space="preserve"> </w:t>
      </w:r>
      <w:r w:rsidRPr="00680899">
        <w:rPr>
          <w:i/>
          <w:vertAlign w:val="subscript"/>
        </w:rPr>
        <w:t>d</w:t>
      </w:r>
      <w:r w:rsidRPr="00680899">
        <w:t xml:space="preserve"> = </w:t>
      </w:r>
      <w:r w:rsidRPr="00851088">
        <w:rPr>
          <w:position w:val="-20"/>
          <w:lang w:val="pt-BR"/>
        </w:rPr>
        <w:object w:dxaOrig="220" w:dyaOrig="440" w14:anchorId="4A761759">
          <v:shape id="_x0000_i1293" type="#_x0000_t75" style="width:12pt;height:24pt" o:ole="">
            <v:imagedata r:id="rId364" o:title=""/>
          </v:shape>
          <o:OLEObject Type="Embed" ProgID="Equation.3" ShapeID="_x0000_i1293" DrawAspect="Content" ObjectID="_1815025482" r:id="rId366"/>
        </w:object>
      </w:r>
      <w:r>
        <w:rPr>
          <w:lang w:val="pt-BR"/>
        </w:rPr>
        <w:t>[</w:t>
      </w:r>
      <w:r w:rsidRPr="00851088">
        <w:t>(</w:t>
      </w:r>
      <w:r w:rsidRPr="00851088">
        <w:rPr>
          <w:lang w:val="pt-BR"/>
        </w:rPr>
        <w:t>AHR</w:t>
      </w:r>
      <w:r w:rsidRPr="00851088">
        <w:rPr>
          <w:i/>
          <w:vertAlign w:val="subscript"/>
          <w:lang w:val="es-ES"/>
        </w:rPr>
        <w:t xml:space="preserve"> r</w:t>
      </w:r>
      <w:r>
        <w:rPr>
          <w:i/>
          <w:vertAlign w:val="subscript"/>
          <w:lang w:val="es-ES"/>
        </w:rPr>
        <w:t>,</w:t>
      </w:r>
      <w:r w:rsidR="008301B1">
        <w:rPr>
          <w:i/>
          <w:vertAlign w:val="subscript"/>
          <w:lang w:val="es-ES"/>
        </w:rPr>
        <w:t xml:space="preserve"> </w:t>
      </w:r>
      <w:r>
        <w:rPr>
          <w:i/>
          <w:vertAlign w:val="subscript"/>
          <w:lang w:val="es-ES"/>
        </w:rPr>
        <w:t>i</w:t>
      </w:r>
      <w:r w:rsidRPr="001520A2">
        <w:t xml:space="preserve"> * </w:t>
      </w:r>
      <w:r>
        <w:t>(</w:t>
      </w:r>
      <w:r w:rsidRPr="001520A2">
        <w:t>(</w:t>
      </w:r>
      <w:r>
        <w:t xml:space="preserve">GASPEROL </w:t>
      </w:r>
      <w:r>
        <w:rPr>
          <w:i/>
          <w:vertAlign w:val="subscript"/>
        </w:rPr>
        <w:t>r</w:t>
      </w:r>
      <w:r>
        <w:t xml:space="preserve"> * </w:t>
      </w:r>
      <w:r w:rsidRPr="00EE5D47">
        <w:t>FIP</w:t>
      </w:r>
      <w:r>
        <w:t xml:space="preserve"> + OILPEROL</w:t>
      </w:r>
      <w:r w:rsidRPr="00D26D9B">
        <w:rPr>
          <w:i/>
          <w:vertAlign w:val="subscript"/>
        </w:rPr>
        <w:t xml:space="preserve"> </w:t>
      </w:r>
      <w:r>
        <w:rPr>
          <w:i/>
          <w:vertAlign w:val="subscript"/>
        </w:rPr>
        <w:t xml:space="preserve">r </w:t>
      </w:r>
      <w:r>
        <w:t>* FOP + SFPEROL</w:t>
      </w:r>
      <w:r w:rsidRPr="00D26D9B">
        <w:rPr>
          <w:i/>
          <w:vertAlign w:val="subscript"/>
        </w:rPr>
        <w:t xml:space="preserve"> </w:t>
      </w:r>
      <w:r>
        <w:rPr>
          <w:i/>
          <w:vertAlign w:val="subscript"/>
        </w:rPr>
        <w:t>r</w:t>
      </w:r>
      <w:r>
        <w:t xml:space="preserve"> * SFP) +</w:t>
      </w:r>
      <w:r w:rsidRPr="001520A2">
        <w:t xml:space="preserve"> FA</w:t>
      </w:r>
      <w:r w:rsidRPr="00F119E9">
        <w:rPr>
          <w:i/>
          <w:vertAlign w:val="subscript"/>
        </w:rPr>
        <w:t xml:space="preserve"> r</w:t>
      </w:r>
      <w:r w:rsidRPr="00F119E9">
        <w:t>) + OM</w:t>
      </w:r>
      <w:r w:rsidRPr="00F119E9">
        <w:rPr>
          <w:i/>
          <w:vertAlign w:val="subscript"/>
        </w:rPr>
        <w:t xml:space="preserve"> r</w:t>
      </w:r>
      <w:r w:rsidRPr="00F119E9">
        <w:t xml:space="preserve">) * </w:t>
      </w:r>
      <w:r w:rsidRPr="00F43B68">
        <w:t>Max(0, (</w:t>
      </w:r>
      <w:r w:rsidRPr="00F119E9">
        <w:t>RTMG</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43B68">
        <w:rPr>
          <w:i/>
          <w:vertAlign w:val="subscript"/>
        </w:rPr>
        <w:t>i</w:t>
      </w:r>
      <w:r w:rsidRPr="00F43B68">
        <w:t xml:space="preserve"> </w:t>
      </w:r>
      <w:r>
        <w:t>–</w:t>
      </w:r>
      <w:r w:rsidRPr="00F43B68">
        <w:t xml:space="preserve"> LSL</w:t>
      </w:r>
      <w:r>
        <w:t xml:space="preserve"> </w:t>
      </w:r>
      <w:r w:rsidRPr="00F43B68">
        <w:rPr>
          <w:i/>
          <w:vertAlign w:val="subscript"/>
        </w:rPr>
        <w:t>q,</w:t>
      </w:r>
      <w:r>
        <w:rPr>
          <w:i/>
          <w:vertAlign w:val="subscript"/>
        </w:rPr>
        <w:t xml:space="preserve"> </w:t>
      </w:r>
      <w:r w:rsidRPr="00F43B68">
        <w:rPr>
          <w:i/>
          <w:vertAlign w:val="subscript"/>
        </w:rPr>
        <w:t>r,</w:t>
      </w:r>
      <w:r>
        <w:rPr>
          <w:i/>
          <w:vertAlign w:val="subscript"/>
        </w:rPr>
        <w:t xml:space="preserve"> </w:t>
      </w:r>
      <w:r w:rsidRPr="00F43B68">
        <w:rPr>
          <w:i/>
          <w:vertAlign w:val="subscript"/>
        </w:rPr>
        <w:t>i</w:t>
      </w:r>
      <w:r w:rsidRPr="00F43B68">
        <w:t xml:space="preserve"> * (¼)))]</w:t>
      </w:r>
      <w:r w:rsidR="005B5717">
        <w:t xml:space="preserve"> </w:t>
      </w:r>
      <w:r w:rsidR="005B5717" w:rsidRPr="00A37E51">
        <w:rPr>
          <w:i/>
        </w:rPr>
        <w:t xml:space="preserve">- </w:t>
      </w:r>
      <w:r w:rsidR="005B5717" w:rsidRPr="00A37E51">
        <w:rPr>
          <w:lang w:val="pt-BR"/>
        </w:rPr>
        <w:t>OPC</w:t>
      </w:r>
      <w:r w:rsidR="005B5717" w:rsidRPr="00A37E51">
        <w:rPr>
          <w:i/>
          <w:vertAlign w:val="subscript"/>
          <w:lang w:val="es-ES"/>
        </w:rPr>
        <w:t xml:space="preserve"> r, d</w:t>
      </w:r>
      <w:r w:rsidRPr="001462A1">
        <w:t xml:space="preserve"> </w:t>
      </w:r>
      <w:r w:rsidRPr="001462A1">
        <w:rPr>
          <w:i/>
          <w:vertAlign w:val="subscript"/>
        </w:rPr>
        <w:t xml:space="preserve">  </w:t>
      </w:r>
    </w:p>
    <w:p w14:paraId="33078F28" w14:textId="6A5EDEB7" w:rsidR="005B5717" w:rsidRPr="00A37E51" w:rsidRDefault="005B5717" w:rsidP="005B5717">
      <w:pPr>
        <w:pStyle w:val="BodyTextNumbered"/>
        <w:tabs>
          <w:tab w:val="left" w:pos="1800"/>
        </w:tabs>
        <w:ind w:left="2160" w:hanging="1440"/>
        <w:rPr>
          <w:lang w:val="pt-BR"/>
        </w:rPr>
      </w:pPr>
      <w:r w:rsidRPr="00A37E51">
        <w:rPr>
          <w:lang w:val="pt-BR"/>
        </w:rPr>
        <w:lastRenderedPageBreak/>
        <w:t>Where,</w:t>
      </w:r>
    </w:p>
    <w:p w14:paraId="440BB079" w14:textId="317A8EF2" w:rsidR="005B5717" w:rsidRDefault="005B5717" w:rsidP="005B5717">
      <w:pPr>
        <w:pStyle w:val="Formula"/>
        <w:ind w:left="2880" w:hanging="2160"/>
        <w:rPr>
          <w:i/>
          <w:vertAlign w:val="subscript"/>
        </w:rPr>
      </w:pPr>
      <w:r w:rsidRPr="00A37E51">
        <w:rPr>
          <w:lang w:val="pt-BR"/>
        </w:rPr>
        <w:t>OPC</w:t>
      </w:r>
      <w:r w:rsidRPr="00A37E51">
        <w:rPr>
          <w:i/>
          <w:vertAlign w:val="subscript"/>
          <w:lang w:val="es-ES"/>
        </w:rPr>
        <w:t xml:space="preserve"> r,</w:t>
      </w:r>
      <w:r>
        <w:rPr>
          <w:i/>
          <w:vertAlign w:val="subscript"/>
          <w:lang w:val="es-ES"/>
        </w:rPr>
        <w:t xml:space="preserve"> </w:t>
      </w:r>
      <w:r w:rsidRPr="00A37E51">
        <w:rPr>
          <w:i/>
          <w:vertAlign w:val="subscript"/>
          <w:lang w:val="es-ES"/>
        </w:rPr>
        <w:t>d</w:t>
      </w:r>
      <w:r w:rsidRPr="00A37E51">
        <w:rPr>
          <w:lang w:val="pt-BR"/>
        </w:rPr>
        <w:t xml:space="preserve"> = </w:t>
      </w:r>
      <w:r w:rsidRPr="00A37E51">
        <w:rPr>
          <w:position w:val="-20"/>
          <w:lang w:val="pt-BR"/>
        </w:rPr>
        <w:object w:dxaOrig="220" w:dyaOrig="440" w14:anchorId="29B22A25">
          <v:shape id="_x0000_i1294" type="#_x0000_t75" style="width:12pt;height:24pt" o:ole="">
            <v:imagedata r:id="rId364" o:title=""/>
          </v:shape>
          <o:OLEObject Type="Embed" ProgID="Equation.3" ShapeID="_x0000_i1294" DrawAspect="Content" ObjectID="_1815025483" r:id="rId367"/>
        </w:object>
      </w:r>
      <w:r w:rsidRPr="00A37E51">
        <w:rPr>
          <w:lang w:val="pt-BR"/>
        </w:rPr>
        <w:t>(</w:t>
      </w:r>
      <w:r w:rsidRPr="00A37E51">
        <w:t>(P</w:t>
      </w:r>
      <w:r w:rsidRPr="00A37E51">
        <w:rPr>
          <w:lang w:val="pt-BR"/>
        </w:rPr>
        <w:t>AHR</w:t>
      </w:r>
      <w:r w:rsidRPr="00A37E51">
        <w:rPr>
          <w:i/>
          <w:vertAlign w:val="subscript"/>
          <w:lang w:val="es-ES"/>
        </w:rPr>
        <w:t xml:space="preserve"> r, i</w:t>
      </w:r>
      <w:r>
        <w:t xml:space="preserve"> * (FIP + FA</w:t>
      </w:r>
      <w:r w:rsidR="00371616" w:rsidRPr="00F119E9">
        <w:rPr>
          <w:i/>
          <w:vertAlign w:val="subscript"/>
        </w:rPr>
        <w:t xml:space="preserve"> r</w:t>
      </w:r>
      <w:r>
        <w:t xml:space="preserve">) + </w:t>
      </w:r>
      <w:r w:rsidRPr="00A37E51">
        <w:t xml:space="preserve">OM </w:t>
      </w:r>
      <w:r w:rsidRPr="00A37E51">
        <w:rPr>
          <w:i/>
          <w:vertAlign w:val="subscript"/>
        </w:rPr>
        <w:t>r</w:t>
      </w:r>
      <w:r w:rsidRPr="00A37E51">
        <w:t>) * AENG</w:t>
      </w:r>
      <w:r w:rsidRPr="00A37E51">
        <w:rPr>
          <w:i/>
          <w:vertAlign w:val="subscript"/>
          <w:lang w:val="es-ES"/>
        </w:rPr>
        <w:t xml:space="preserve"> r, i</w:t>
      </w:r>
      <w:r w:rsidRPr="00A37E51">
        <w:t>)</w:t>
      </w:r>
      <w:r w:rsidRPr="001462A1">
        <w:t xml:space="preserve"> </w:t>
      </w:r>
      <w:r w:rsidRPr="00F119E9">
        <w:rPr>
          <w:i/>
          <w:vertAlign w:val="subscript"/>
        </w:rPr>
        <w:t xml:space="preserve">  </w:t>
      </w:r>
    </w:p>
    <w:p w14:paraId="62729D95" w14:textId="77777777" w:rsidR="00236104" w:rsidRPr="004D0722" w:rsidRDefault="00236104" w:rsidP="00236104">
      <w:pPr>
        <w:pStyle w:val="List2"/>
        <w:ind w:left="1440"/>
        <w:rPr>
          <w:rStyle w:val="BodyTextChar"/>
          <w:szCs w:val="24"/>
        </w:rPr>
      </w:pPr>
      <w:r w:rsidRPr="004D0722">
        <w:rPr>
          <w:rStyle w:val="BodyTextChar"/>
          <w:szCs w:val="24"/>
        </w:rPr>
        <w:t>If ERCOT has not approved verifiable costs for</w:t>
      </w:r>
      <w:r w:rsidR="00C0502C" w:rsidRPr="00C0502C">
        <w:rPr>
          <w:rStyle w:val="BodyTextChar"/>
          <w:szCs w:val="24"/>
        </w:rPr>
        <w:t xml:space="preserve"> </w:t>
      </w:r>
      <w:r w:rsidR="00C0502C" w:rsidRPr="004D0722">
        <w:rPr>
          <w:rStyle w:val="BodyTextChar"/>
          <w:szCs w:val="24"/>
        </w:rPr>
        <w:t xml:space="preserve">the </w:t>
      </w:r>
      <w:r w:rsidR="00C0502C">
        <w:rPr>
          <w:rStyle w:val="BodyTextChar"/>
          <w:szCs w:val="24"/>
        </w:rPr>
        <w:t>SWGR</w:t>
      </w:r>
      <w:r w:rsidRPr="004D0722">
        <w:rPr>
          <w:rStyle w:val="BodyTextChar"/>
          <w:szCs w:val="24"/>
        </w:rPr>
        <w:t>:</w:t>
      </w:r>
    </w:p>
    <w:p w14:paraId="6214365E" w14:textId="77777777" w:rsidR="00236104" w:rsidRPr="001520A2" w:rsidRDefault="00236104" w:rsidP="00236104">
      <w:pPr>
        <w:pStyle w:val="Formula"/>
        <w:ind w:left="2880" w:hanging="2160"/>
        <w:rPr>
          <w:i/>
          <w:vertAlign w:val="subscript"/>
        </w:rPr>
      </w:pPr>
      <w:r w:rsidRPr="00B94D12">
        <w:t xml:space="preserve">     </w:t>
      </w:r>
      <w:r w:rsidRPr="004D0722">
        <w:t>SWSUC</w:t>
      </w:r>
      <w: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rsidRPr="004D0722">
        <w:rPr>
          <w:rStyle w:val="BodyTextChar"/>
        </w:rPr>
        <w:t xml:space="preserve">= </w:t>
      </w:r>
      <w:r>
        <w:rPr>
          <w:position w:val="-20"/>
          <w:szCs w:val="20"/>
          <w:lang w:val="pt-BR"/>
        </w:rPr>
        <w:object w:dxaOrig="210" w:dyaOrig="450" w14:anchorId="2F6A7E6F">
          <v:shape id="_x0000_i1295" type="#_x0000_t75" style="width:5.4pt;height:24.6pt" o:ole="">
            <v:imagedata r:id="rId362" o:title=""/>
          </v:shape>
          <o:OLEObject Type="Embed" ProgID="Equation.3" ShapeID="_x0000_i1295" DrawAspect="Content" ObjectID="_1815025484" r:id="rId368"/>
        </w:object>
      </w:r>
      <w:r>
        <w:rPr>
          <w:rStyle w:val="BodyTextChar"/>
        </w:rPr>
        <w:t xml:space="preserve"> (SWSF</w:t>
      </w:r>
      <w:r w:rsidRPr="004D0722">
        <w:rPr>
          <w:rStyle w:val="BodyTextChar"/>
        </w:rPr>
        <w:t xml:space="preserve"> * </w:t>
      </w:r>
      <w:r w:rsidRPr="00851088">
        <w:t>RCGSC</w:t>
      </w:r>
      <w:r>
        <w:t xml:space="preserve"> </w:t>
      </w:r>
      <w:r w:rsidRPr="00D978EB">
        <w:rPr>
          <w:i/>
          <w:vertAlign w:val="subscript"/>
        </w:rPr>
        <w:t>s,</w:t>
      </w:r>
      <w:r>
        <w:rPr>
          <w:i/>
          <w:vertAlign w:val="subscript"/>
        </w:rPr>
        <w:t xml:space="preserve"> </w:t>
      </w:r>
      <w:r w:rsidRPr="00D978EB">
        <w:rPr>
          <w:i/>
          <w:vertAlign w:val="subscript"/>
        </w:rPr>
        <w:t>rc</w:t>
      </w:r>
      <w:r>
        <w:rPr>
          <w:rStyle w:val="BodyTextChar"/>
        </w:rPr>
        <w:t xml:space="preserve">) </w:t>
      </w:r>
      <w:r>
        <w:t>+ ADJ</w:t>
      </w:r>
      <w:r w:rsidRPr="00F7577E">
        <w:t>SWSUC</w:t>
      </w:r>
      <w:r>
        <w:t xml:space="preserve"> </w:t>
      </w:r>
      <w:r w:rsidRPr="004C7D0C">
        <w:rPr>
          <w:i/>
          <w:vertAlign w:val="subscript"/>
        </w:rPr>
        <w:t>q,</w:t>
      </w:r>
      <w:r>
        <w:rPr>
          <w:i/>
          <w:vertAlign w:val="subscript"/>
        </w:rPr>
        <w:t xml:space="preserve"> </w:t>
      </w:r>
      <w:r w:rsidRPr="004C7D0C">
        <w:rPr>
          <w:i/>
          <w:vertAlign w:val="subscript"/>
        </w:rPr>
        <w:t>r</w:t>
      </w:r>
      <w:r w:rsidRPr="007E3A0A">
        <w:rPr>
          <w:i/>
          <w:vertAlign w:val="subscript"/>
        </w:rPr>
        <w:t>,</w:t>
      </w:r>
      <w:r>
        <w:rPr>
          <w:i/>
          <w:vertAlign w:val="subscript"/>
        </w:rPr>
        <w:t xml:space="preserve"> </w:t>
      </w:r>
      <w:r w:rsidRPr="007E3A0A">
        <w:rPr>
          <w:i/>
          <w:vertAlign w:val="subscript"/>
        </w:rPr>
        <w:t>d</w:t>
      </w:r>
    </w:p>
    <w:p w14:paraId="3C769ACD" w14:textId="77777777" w:rsidR="00236104" w:rsidRPr="0063447B" w:rsidRDefault="00236104" w:rsidP="00236104">
      <w:pPr>
        <w:pStyle w:val="BodyTextNumbered"/>
        <w:tabs>
          <w:tab w:val="left" w:pos="1800"/>
        </w:tabs>
        <w:ind w:left="2160" w:hanging="1440"/>
        <w:rPr>
          <w:i/>
          <w:vertAlign w:val="subscript"/>
        </w:rPr>
      </w:pPr>
      <w:r w:rsidRPr="00F119E9">
        <w:t xml:space="preserve">     SWMEC</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d</w:t>
      </w:r>
      <w:r w:rsidRPr="00F119E9">
        <w:t xml:space="preserve"> =</w:t>
      </w:r>
      <w:r>
        <w:t xml:space="preserve"> </w:t>
      </w:r>
      <w:r w:rsidRPr="007477C6">
        <w:rPr>
          <w:position w:val="-20"/>
          <w:lang w:val="pt-BR"/>
        </w:rPr>
        <w:object w:dxaOrig="220" w:dyaOrig="440" w14:anchorId="23813EA5">
          <v:shape id="_x0000_i1296" type="#_x0000_t75" style="width:12pt;height:24pt" o:ole="">
            <v:imagedata r:id="rId364" o:title=""/>
          </v:shape>
          <o:OLEObject Type="Embed" ProgID="Equation.3" ShapeID="_x0000_i1296" DrawAspect="Content" ObjectID="_1815025485" r:id="rId369"/>
        </w:object>
      </w:r>
      <w:r w:rsidRPr="007477C6">
        <w:t>(</w:t>
      </w:r>
      <w:r w:rsidRPr="007477C6">
        <w:rPr>
          <w:rStyle w:val="BodyTextChar"/>
        </w:rPr>
        <w:t>RCGMEC</w:t>
      </w:r>
      <w:r>
        <w:rPr>
          <w:rStyle w:val="BodyTextChar"/>
        </w:rPr>
        <w:t xml:space="preserve"> </w:t>
      </w:r>
      <w:r w:rsidRPr="00763E94">
        <w:rPr>
          <w:rStyle w:val="BodyTextChar"/>
          <w:i/>
          <w:vertAlign w:val="subscript"/>
        </w:rPr>
        <w:t>i,</w:t>
      </w:r>
      <w:r>
        <w:rPr>
          <w:rStyle w:val="BodyTextChar"/>
          <w:i/>
          <w:vertAlign w:val="subscript"/>
        </w:rPr>
        <w:t xml:space="preserve"> </w:t>
      </w:r>
      <w:r w:rsidRPr="00D978EB">
        <w:rPr>
          <w:rStyle w:val="BodyTextChar"/>
          <w:i/>
          <w:vertAlign w:val="subscript"/>
        </w:rPr>
        <w:t>rc</w:t>
      </w:r>
      <w:r w:rsidRPr="00D906F9">
        <w:t xml:space="preserve"> * Min (LSL</w:t>
      </w:r>
      <w:r>
        <w:t xml:space="preserve"> </w:t>
      </w:r>
      <w:r w:rsidRPr="00D906F9">
        <w:rPr>
          <w:i/>
          <w:vertAlign w:val="subscript"/>
        </w:rPr>
        <w:t>q,</w:t>
      </w:r>
      <w:r>
        <w:rPr>
          <w:i/>
          <w:vertAlign w:val="subscript"/>
        </w:rPr>
        <w:t xml:space="preserve"> </w:t>
      </w:r>
      <w:r w:rsidRPr="00D906F9">
        <w:rPr>
          <w:i/>
          <w:vertAlign w:val="subscript"/>
        </w:rPr>
        <w:t>r,</w:t>
      </w:r>
      <w:r>
        <w:rPr>
          <w:i/>
          <w:vertAlign w:val="subscript"/>
        </w:rPr>
        <w:t xml:space="preserve"> </w:t>
      </w:r>
      <w:r w:rsidRPr="00D906F9">
        <w:rPr>
          <w:i/>
          <w:vertAlign w:val="subscript"/>
        </w:rPr>
        <w:t>i</w:t>
      </w:r>
      <w:r w:rsidRPr="00D906F9">
        <w:t xml:space="preserve"> * (¼), RTMG</w:t>
      </w:r>
      <w:r>
        <w:t xml:space="preserve"> </w:t>
      </w:r>
      <w:r w:rsidRPr="00D906F9">
        <w:rPr>
          <w:i/>
          <w:vertAlign w:val="subscript"/>
        </w:rPr>
        <w:t>q,</w:t>
      </w:r>
      <w:r>
        <w:rPr>
          <w:i/>
          <w:vertAlign w:val="subscript"/>
        </w:rPr>
        <w:t xml:space="preserve"> </w:t>
      </w:r>
      <w:r w:rsidRPr="00D906F9">
        <w:rPr>
          <w:i/>
          <w:vertAlign w:val="subscript"/>
        </w:rPr>
        <w:t>r,</w:t>
      </w:r>
      <w:r>
        <w:rPr>
          <w:i/>
          <w:vertAlign w:val="subscript"/>
        </w:rPr>
        <w:t xml:space="preserve"> </w:t>
      </w:r>
      <w:r w:rsidRPr="00D906F9">
        <w:rPr>
          <w:i/>
          <w:vertAlign w:val="subscript"/>
        </w:rPr>
        <w:t>i</w:t>
      </w:r>
      <w:r w:rsidRPr="00D906F9">
        <w:t xml:space="preserve">)) </w:t>
      </w:r>
      <w:r w:rsidRPr="00D906F9">
        <w:rPr>
          <w:i/>
          <w:vertAlign w:val="subscript"/>
        </w:rPr>
        <w:t xml:space="preserve">  </w:t>
      </w:r>
    </w:p>
    <w:p w14:paraId="2D1D7E78" w14:textId="1C1BA415" w:rsidR="00236104" w:rsidRDefault="00236104" w:rsidP="00236104">
      <w:pPr>
        <w:pStyle w:val="Formula"/>
        <w:ind w:left="2880" w:hanging="2160"/>
        <w:rPr>
          <w:i/>
          <w:vertAlign w:val="subscript"/>
        </w:rPr>
      </w:pPr>
      <w:r w:rsidRPr="0063447B">
        <w:t xml:space="preserve">     SWOC </w:t>
      </w:r>
      <w:r w:rsidRPr="0063447B">
        <w:rPr>
          <w:i/>
          <w:vertAlign w:val="subscript"/>
        </w:rPr>
        <w:t>q,</w:t>
      </w:r>
      <w:r>
        <w:rPr>
          <w:i/>
          <w:vertAlign w:val="subscript"/>
        </w:rPr>
        <w:t xml:space="preserve"> </w:t>
      </w:r>
      <w:r w:rsidRPr="0063447B">
        <w:rPr>
          <w:i/>
          <w:vertAlign w:val="subscript"/>
        </w:rPr>
        <w:t>r,</w:t>
      </w:r>
      <w:r>
        <w:rPr>
          <w:i/>
          <w:vertAlign w:val="subscript"/>
        </w:rPr>
        <w:t xml:space="preserve"> </w:t>
      </w:r>
      <w:r w:rsidRPr="0063447B">
        <w:rPr>
          <w:i/>
          <w:vertAlign w:val="subscript"/>
        </w:rPr>
        <w:t>d</w:t>
      </w:r>
      <w:r w:rsidRPr="0063447B">
        <w:t xml:space="preserve"> = </w:t>
      </w:r>
      <w:r w:rsidRPr="00851088">
        <w:rPr>
          <w:position w:val="-20"/>
          <w:lang w:val="pt-BR"/>
        </w:rPr>
        <w:object w:dxaOrig="220" w:dyaOrig="440" w14:anchorId="304CFD02">
          <v:shape id="_x0000_i1297" type="#_x0000_t75" style="width:12pt;height:24pt" o:ole="">
            <v:imagedata r:id="rId364" o:title=""/>
          </v:shape>
          <o:OLEObject Type="Embed" ProgID="Equation.3" ShapeID="_x0000_i1297" DrawAspect="Content" ObjectID="_1815025486" r:id="rId370"/>
        </w:object>
      </w:r>
      <w:r w:rsidRPr="00851088">
        <w:t>(</w:t>
      </w:r>
      <w:r>
        <w:t>(</w:t>
      </w:r>
      <w:r w:rsidRPr="00851088">
        <w:t>PA</w:t>
      </w:r>
      <w:r w:rsidRPr="00851088">
        <w:rPr>
          <w:lang w:val="pt-BR"/>
        </w:rPr>
        <w:t>HR</w:t>
      </w:r>
      <w:r>
        <w:rPr>
          <w:lang w:val="pt-BR"/>
        </w:rPr>
        <w:t xml:space="preserve"> </w:t>
      </w:r>
      <w:r w:rsidRPr="001520A2">
        <w:rPr>
          <w:i/>
          <w:vertAlign w:val="subscript"/>
        </w:rPr>
        <w:t xml:space="preserve">r, </w:t>
      </w:r>
      <w:r w:rsidRPr="001520A2">
        <w:rPr>
          <w:i/>
          <w:vertAlign w:val="subscript"/>
          <w:lang w:val="es-ES"/>
        </w:rPr>
        <w:t xml:space="preserve">i </w:t>
      </w:r>
      <w:r w:rsidRPr="001520A2">
        <w:t>* FIP</w:t>
      </w:r>
      <w:r w:rsidRPr="00F119E9">
        <w:t xml:space="preserve"> + STOM</w:t>
      </w:r>
      <w:r>
        <w:t xml:space="preserve"> </w:t>
      </w:r>
      <w:r w:rsidRPr="00F119E9">
        <w:rPr>
          <w:i/>
          <w:vertAlign w:val="subscript"/>
        </w:rPr>
        <w:t>rc</w:t>
      </w:r>
      <w:r w:rsidRPr="00F119E9">
        <w:t xml:space="preserve">) * </w:t>
      </w:r>
      <w:r>
        <w:t>Max(0, (</w:t>
      </w:r>
      <w:r w:rsidRPr="00F119E9">
        <w:t>RTMG</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i</w:t>
      </w:r>
      <w:r w:rsidRPr="00567CC6">
        <w:t xml:space="preserve"> </w:t>
      </w:r>
      <w:r>
        <w:t xml:space="preserve">– </w:t>
      </w:r>
      <w:r w:rsidRPr="00F119E9">
        <w:t>LSL</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i</w:t>
      </w:r>
      <w:r w:rsidRPr="00F119E9">
        <w:t xml:space="preserve"> * (¼)</w:t>
      </w:r>
      <w:r>
        <w:t>)))</w:t>
      </w:r>
      <w:r w:rsidRPr="00F119E9">
        <w:t xml:space="preserve"> </w:t>
      </w:r>
      <w:r w:rsidR="00FC5B77" w:rsidRPr="00A37E51">
        <w:rPr>
          <w:i/>
        </w:rPr>
        <w:t xml:space="preserve">- </w:t>
      </w:r>
      <w:r w:rsidR="00FC5B77" w:rsidRPr="00A37E51">
        <w:rPr>
          <w:lang w:val="pt-BR"/>
        </w:rPr>
        <w:t>OPC</w:t>
      </w:r>
      <w:r w:rsidR="00FC5B77" w:rsidRPr="00A37E51">
        <w:rPr>
          <w:i/>
          <w:vertAlign w:val="subscript"/>
          <w:lang w:val="es-ES"/>
        </w:rPr>
        <w:t xml:space="preserve"> r, d</w:t>
      </w:r>
    </w:p>
    <w:p w14:paraId="316F2CA4" w14:textId="77777777" w:rsidR="00FC5B77" w:rsidRPr="00A37E51" w:rsidRDefault="00FC5B77" w:rsidP="00FC5B77">
      <w:pPr>
        <w:pStyle w:val="BodyTextNumbered"/>
        <w:tabs>
          <w:tab w:val="left" w:pos="1800"/>
        </w:tabs>
        <w:ind w:left="2160" w:hanging="1440"/>
        <w:rPr>
          <w:lang w:val="pt-BR"/>
        </w:rPr>
      </w:pPr>
      <w:r w:rsidRPr="00A37E51">
        <w:rPr>
          <w:lang w:val="pt-BR"/>
        </w:rPr>
        <w:t>Where,</w:t>
      </w:r>
    </w:p>
    <w:p w14:paraId="111058C9" w14:textId="71511EFD" w:rsidR="00FC5B77" w:rsidRDefault="00FC5B77" w:rsidP="00FC5B77">
      <w:pPr>
        <w:pStyle w:val="Formula"/>
        <w:ind w:left="2880" w:hanging="2160"/>
        <w:rPr>
          <w:i/>
          <w:vertAlign w:val="subscript"/>
        </w:rPr>
      </w:pPr>
      <w:r w:rsidRPr="00A37E51">
        <w:rPr>
          <w:lang w:val="pt-BR"/>
        </w:rPr>
        <w:t>OPC</w:t>
      </w:r>
      <w:r w:rsidRPr="00A37E51">
        <w:rPr>
          <w:i/>
          <w:vertAlign w:val="subscript"/>
          <w:lang w:val="es-ES"/>
        </w:rPr>
        <w:t xml:space="preserve"> r,</w:t>
      </w:r>
      <w:r w:rsidR="00043CF0">
        <w:rPr>
          <w:i/>
          <w:vertAlign w:val="subscript"/>
          <w:lang w:val="es-ES"/>
        </w:rPr>
        <w:t xml:space="preserve"> </w:t>
      </w:r>
      <w:r w:rsidRPr="00A37E51">
        <w:rPr>
          <w:i/>
          <w:vertAlign w:val="subscript"/>
          <w:lang w:val="es-ES"/>
        </w:rPr>
        <w:t>d</w:t>
      </w:r>
      <w:r w:rsidRPr="00A37E51">
        <w:rPr>
          <w:lang w:val="pt-BR"/>
        </w:rPr>
        <w:t xml:space="preserve"> = </w:t>
      </w:r>
      <w:r w:rsidRPr="00A37E51">
        <w:rPr>
          <w:position w:val="-20"/>
          <w:lang w:val="pt-BR"/>
        </w:rPr>
        <w:object w:dxaOrig="220" w:dyaOrig="440" w14:anchorId="053DDDB5">
          <v:shape id="_x0000_i1298" type="#_x0000_t75" style="width:12pt;height:24pt" o:ole="">
            <v:imagedata r:id="rId364" o:title=""/>
          </v:shape>
          <o:OLEObject Type="Embed" ProgID="Equation.3" ShapeID="_x0000_i1298" DrawAspect="Content" ObjectID="_1815025487" r:id="rId371"/>
        </w:object>
      </w:r>
      <w:r w:rsidRPr="00A37E51">
        <w:rPr>
          <w:lang w:val="pt-BR"/>
        </w:rPr>
        <w:t>(</w:t>
      </w:r>
      <w:r w:rsidRPr="00A37E51">
        <w:t>(P</w:t>
      </w:r>
      <w:r w:rsidRPr="00A37E51">
        <w:rPr>
          <w:lang w:val="pt-BR"/>
        </w:rPr>
        <w:t>AHR</w:t>
      </w:r>
      <w:r w:rsidRPr="00A37E51">
        <w:rPr>
          <w:i/>
          <w:vertAlign w:val="subscript"/>
          <w:lang w:val="es-ES"/>
        </w:rPr>
        <w:t xml:space="preserve"> r, i</w:t>
      </w:r>
      <w:r w:rsidRPr="00A37E51">
        <w:t xml:space="preserve"> * FIP + STOM </w:t>
      </w:r>
      <w:r w:rsidRPr="00A37E51">
        <w:rPr>
          <w:i/>
          <w:vertAlign w:val="subscript"/>
        </w:rPr>
        <w:t>rc</w:t>
      </w:r>
      <w:r w:rsidRPr="00A37E51">
        <w:t>) * AENG</w:t>
      </w:r>
      <w:r w:rsidRPr="00A37E51">
        <w:rPr>
          <w:i/>
          <w:vertAlign w:val="subscript"/>
          <w:lang w:val="es-ES"/>
        </w:rPr>
        <w:t xml:space="preserve"> r, i</w:t>
      </w:r>
      <w:r w:rsidRPr="00A37E51">
        <w:t>)</w:t>
      </w:r>
      <w:r w:rsidRPr="001462A1">
        <w:t xml:space="preserve"> </w:t>
      </w:r>
      <w:r w:rsidRPr="00F119E9">
        <w:rPr>
          <w:i/>
          <w:vertAlign w:val="subscript"/>
        </w:rPr>
        <w:t xml:space="preserve">  </w:t>
      </w:r>
    </w:p>
    <w:p w14:paraId="5F898CD2" w14:textId="77777777" w:rsidR="00236104" w:rsidRPr="004502BD" w:rsidRDefault="00236104" w:rsidP="00236104">
      <w:r w:rsidRPr="004502BD">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236104" w:rsidRPr="00851088" w14:paraId="7E11D05C" w14:textId="77777777" w:rsidTr="007C2D9A">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3AEC3C37" w14:textId="77777777" w:rsidR="00236104" w:rsidRPr="00851088" w:rsidRDefault="00236104" w:rsidP="00BA73E7">
            <w:pPr>
              <w:pStyle w:val="TableHead"/>
            </w:pPr>
            <w:r w:rsidRPr="00851088">
              <w:t>Variable</w:t>
            </w:r>
          </w:p>
        </w:tc>
        <w:tc>
          <w:tcPr>
            <w:tcW w:w="692" w:type="pct"/>
            <w:tcBorders>
              <w:top w:val="single" w:sz="4" w:space="0" w:color="auto"/>
              <w:left w:val="single" w:sz="6" w:space="0" w:color="auto"/>
              <w:bottom w:val="single" w:sz="6" w:space="0" w:color="auto"/>
              <w:right w:val="single" w:sz="6" w:space="0" w:color="auto"/>
            </w:tcBorders>
            <w:hideMark/>
          </w:tcPr>
          <w:p w14:paraId="13CEE15A" w14:textId="77777777" w:rsidR="00236104" w:rsidRPr="001520A2" w:rsidRDefault="00236104" w:rsidP="00BA73E7">
            <w:pPr>
              <w:pStyle w:val="TableHead"/>
              <w:jc w:val="center"/>
            </w:pPr>
            <w:r w:rsidRPr="001520A2">
              <w:t>Unit</w:t>
            </w:r>
          </w:p>
        </w:tc>
        <w:tc>
          <w:tcPr>
            <w:tcW w:w="3342" w:type="pct"/>
            <w:tcBorders>
              <w:top w:val="single" w:sz="4" w:space="0" w:color="auto"/>
              <w:left w:val="single" w:sz="6" w:space="0" w:color="auto"/>
              <w:bottom w:val="single" w:sz="6" w:space="0" w:color="auto"/>
              <w:right w:val="single" w:sz="4" w:space="0" w:color="auto"/>
            </w:tcBorders>
            <w:hideMark/>
          </w:tcPr>
          <w:p w14:paraId="02A7E53C" w14:textId="77777777" w:rsidR="00236104" w:rsidRPr="00F119E9" w:rsidRDefault="00236104" w:rsidP="00BA73E7">
            <w:pPr>
              <w:pStyle w:val="TableHead"/>
            </w:pPr>
            <w:r w:rsidRPr="00F119E9">
              <w:t>Definition</w:t>
            </w:r>
          </w:p>
        </w:tc>
      </w:tr>
      <w:tr w:rsidR="00236104" w:rsidRPr="00851088" w14:paraId="49001F17"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0C736804" w14:textId="77777777" w:rsidR="00236104" w:rsidRPr="00F119E9" w:rsidRDefault="00236104" w:rsidP="00BA73E7">
            <w:pPr>
              <w:pStyle w:val="TableBody"/>
            </w:pPr>
            <w:r w:rsidRPr="00851088">
              <w:t>SW</w:t>
            </w:r>
            <w:r w:rsidRPr="001520A2">
              <w:t xml:space="preserve">MWAMT </w:t>
            </w:r>
            <w:r w:rsidRPr="001520A2">
              <w:rPr>
                <w:i/>
                <w:vertAlign w:val="subscript"/>
              </w:rPr>
              <w:t>q,</w:t>
            </w:r>
            <w:r>
              <w:rPr>
                <w:i/>
                <w:vertAlign w:val="subscript"/>
              </w:rPr>
              <w:t xml:space="preserve"> </w:t>
            </w:r>
            <w:r w:rsidRPr="001520A2">
              <w:rPr>
                <w:i/>
                <w:vertAlign w:val="subscript"/>
              </w:rPr>
              <w:t>r</w:t>
            </w:r>
            <w:r w:rsidRPr="00F119E9">
              <w:rPr>
                <w:b/>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426A1EF8" w14:textId="77777777" w:rsidR="00236104" w:rsidRPr="00F119E9" w:rsidRDefault="00236104" w:rsidP="00BA73E7">
            <w:pPr>
              <w:pStyle w:val="TableBody"/>
            </w:pPr>
            <w:r w:rsidRPr="00F119E9">
              <w:t>$</w:t>
            </w:r>
          </w:p>
        </w:tc>
        <w:tc>
          <w:tcPr>
            <w:tcW w:w="3342" w:type="pct"/>
            <w:tcBorders>
              <w:top w:val="single" w:sz="6" w:space="0" w:color="auto"/>
              <w:left w:val="single" w:sz="6" w:space="0" w:color="auto"/>
              <w:bottom w:val="single" w:sz="6" w:space="0" w:color="auto"/>
              <w:right w:val="single" w:sz="4" w:space="0" w:color="auto"/>
            </w:tcBorders>
            <w:hideMark/>
          </w:tcPr>
          <w:p w14:paraId="7C32EECD" w14:textId="77777777" w:rsidR="00236104" w:rsidRPr="004D0722" w:rsidRDefault="00236104" w:rsidP="00BA73E7">
            <w:pPr>
              <w:pStyle w:val="TableBody"/>
            </w:pPr>
            <w:r w:rsidRPr="004D0722">
              <w:rPr>
                <w:i/>
              </w:rPr>
              <w:t xml:space="preserve">Switchable </w:t>
            </w:r>
            <w:r>
              <w:rPr>
                <w:i/>
              </w:rPr>
              <w:t xml:space="preserve">Generation </w:t>
            </w:r>
            <w:r w:rsidRPr="004D0722">
              <w:rPr>
                <w:i/>
              </w:rPr>
              <w:t>Make-Whole Payment</w:t>
            </w:r>
            <w:r w:rsidRPr="004D0722">
              <w:t xml:space="preserve">—The </w:t>
            </w:r>
            <w:r>
              <w:t xml:space="preserve">Switchable Generation </w:t>
            </w:r>
            <w:r w:rsidRPr="00F119E9">
              <w:t xml:space="preserve">Make-Whole Payment to the QSE </w:t>
            </w:r>
            <w:r w:rsidRPr="00F119E9">
              <w:rPr>
                <w:i/>
              </w:rPr>
              <w:t>q,</w:t>
            </w:r>
            <w:r w:rsidRPr="00F119E9">
              <w:t xml:space="preserve"> for Resource </w:t>
            </w:r>
            <w:r w:rsidRPr="00F119E9">
              <w:rPr>
                <w:i/>
              </w:rPr>
              <w:t>r</w:t>
            </w:r>
            <w:r w:rsidRPr="00F119E9">
              <w:t xml:space="preserve">, for the </w:t>
            </w:r>
            <w:r>
              <w:t>hour</w:t>
            </w:r>
            <w:r w:rsidRPr="00F119E9">
              <w:t xml:space="preserve">.  Where for a Combined Cycle Train, the Resource </w:t>
            </w:r>
            <w:r w:rsidRPr="00F119E9">
              <w:rPr>
                <w:i/>
              </w:rPr>
              <w:t xml:space="preserve">r </w:t>
            </w:r>
            <w:r w:rsidRPr="00F119E9">
              <w:t>is the Combined Cycle Train.</w:t>
            </w:r>
          </w:p>
        </w:tc>
      </w:tr>
      <w:tr w:rsidR="00236104" w:rsidRPr="00851088" w14:paraId="50FF586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4B58F7F" w14:textId="77777777" w:rsidR="00236104" w:rsidRPr="00067DC6" w:rsidRDefault="00236104" w:rsidP="00BA73E7">
            <w:pPr>
              <w:pStyle w:val="TableBody"/>
            </w:pPr>
            <w:r w:rsidRPr="00067DC6">
              <w:t xml:space="preserve">SWCG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644EC251" w14:textId="77777777" w:rsidR="00236104" w:rsidRPr="00067DC6" w:rsidRDefault="00236104" w:rsidP="00BA73E7">
            <w:pPr>
              <w:pStyle w:val="TableBody"/>
            </w:pPr>
            <w:r w:rsidRPr="00067DC6">
              <w:t>$</w:t>
            </w:r>
          </w:p>
        </w:tc>
        <w:tc>
          <w:tcPr>
            <w:tcW w:w="3342" w:type="pct"/>
            <w:tcBorders>
              <w:top w:val="single" w:sz="6" w:space="0" w:color="auto"/>
              <w:left w:val="single" w:sz="6" w:space="0" w:color="auto"/>
              <w:bottom w:val="single" w:sz="6" w:space="0" w:color="auto"/>
              <w:right w:val="single" w:sz="4" w:space="0" w:color="auto"/>
            </w:tcBorders>
          </w:tcPr>
          <w:p w14:paraId="3C818CB2" w14:textId="77777777" w:rsidR="00236104" w:rsidRPr="00067DC6" w:rsidRDefault="00236104" w:rsidP="00BA73E7">
            <w:pPr>
              <w:pStyle w:val="TableBody"/>
              <w:rPr>
                <w:i/>
              </w:rPr>
            </w:pPr>
            <w:r w:rsidRPr="00B67CC3">
              <w:rPr>
                <w:i/>
              </w:rPr>
              <w:t>Switchable Generation Cost Guarantee</w:t>
            </w:r>
            <w:r w:rsidRPr="00067DC6">
              <w:t>—The sum of eligible Startup Costs</w:t>
            </w:r>
            <w:r>
              <w:t xml:space="preserve">, </w:t>
            </w:r>
            <w:r w:rsidRPr="00067DC6">
              <w:t>minimum-energy costs</w:t>
            </w:r>
            <w:r>
              <w:t>, operating costs, and other Switchable Generation approved costs</w:t>
            </w:r>
            <w:r w:rsidRPr="00067DC6">
              <w:t xml:space="preserve"> for Resource </w:t>
            </w:r>
            <w:r w:rsidRPr="00067DC6">
              <w:rPr>
                <w:i/>
              </w:rPr>
              <w:t xml:space="preserve">r </w:t>
            </w:r>
            <w:r>
              <w:t xml:space="preserve">represented by QSE </w:t>
            </w:r>
            <w:r w:rsidRPr="00763E94">
              <w:rPr>
                <w:i/>
              </w:rPr>
              <w:t>q</w:t>
            </w:r>
            <w:r>
              <w:t xml:space="preserve"> for</w:t>
            </w:r>
            <w:r w:rsidRPr="00067DC6">
              <w:t xml:space="preserve"> all instructed hours, for the Operating Day</w:t>
            </w:r>
            <w:r>
              <w:t xml:space="preserve"> </w:t>
            </w:r>
            <w:r w:rsidRPr="00763E94">
              <w:rPr>
                <w:i/>
              </w:rPr>
              <w:t>d</w:t>
            </w:r>
            <w:r w:rsidRPr="00067DC6">
              <w:t xml:space="preserve">.  </w:t>
            </w:r>
            <w:r w:rsidRPr="00F119E9">
              <w:t xml:space="preserve">Where for a Combined Cycle Train, the Resource </w:t>
            </w:r>
            <w:r w:rsidRPr="00F119E9">
              <w:rPr>
                <w:i/>
              </w:rPr>
              <w:t xml:space="preserve">r </w:t>
            </w:r>
            <w:r w:rsidRPr="00F119E9">
              <w:t>is the Combined Cycle Train.</w:t>
            </w:r>
          </w:p>
        </w:tc>
      </w:tr>
      <w:tr w:rsidR="007C2D9A" w:rsidRPr="00851088" w14:paraId="0E2A290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46D1010" w14:textId="254DE368" w:rsidR="007C2D9A" w:rsidRPr="00067DC6" w:rsidRDefault="007C2D9A" w:rsidP="007C2D9A">
            <w:pPr>
              <w:pStyle w:val="TableBody"/>
            </w:pPr>
            <w:r w:rsidRPr="00AF3E20">
              <w:rPr>
                <w:lang w:val="pt-BR"/>
              </w:rPr>
              <w:t>OPC</w:t>
            </w:r>
            <w:r w:rsidRPr="00AF3E20">
              <w:rPr>
                <w:i/>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570E029D" w14:textId="3819CEA5" w:rsidR="007C2D9A" w:rsidRPr="00067DC6" w:rsidRDefault="007C2D9A" w:rsidP="007C2D9A">
            <w:pPr>
              <w:pStyle w:val="TableBody"/>
            </w:pPr>
            <w:r w:rsidRPr="00AF3E20">
              <w:t>$</w:t>
            </w:r>
          </w:p>
        </w:tc>
        <w:tc>
          <w:tcPr>
            <w:tcW w:w="3342" w:type="pct"/>
            <w:tcBorders>
              <w:top w:val="single" w:sz="6" w:space="0" w:color="auto"/>
              <w:left w:val="single" w:sz="6" w:space="0" w:color="auto"/>
              <w:bottom w:val="single" w:sz="6" w:space="0" w:color="auto"/>
              <w:right w:val="single" w:sz="4" w:space="0" w:color="auto"/>
            </w:tcBorders>
          </w:tcPr>
          <w:p w14:paraId="4F8721D8" w14:textId="51195CD1" w:rsidR="007C2D9A" w:rsidRPr="00B67CC3" w:rsidRDefault="007C2D9A" w:rsidP="007C2D9A">
            <w:pPr>
              <w:pStyle w:val="TableBody"/>
              <w:rPr>
                <w:i/>
              </w:rPr>
            </w:pPr>
            <w:r w:rsidRPr="00AF3E20">
              <w:rPr>
                <w:i/>
              </w:rPr>
              <w:t xml:space="preserve">Operational Cost </w:t>
            </w:r>
            <w:r w:rsidRPr="00AF3E20">
              <w:rPr>
                <w:iCs w:val="0"/>
              </w:rPr>
              <w:t xml:space="preserve">– The </w:t>
            </w:r>
            <w:r>
              <w:rPr>
                <w:iCs w:val="0"/>
              </w:rPr>
              <w:t>o</w:t>
            </w:r>
            <w:r w:rsidRPr="00AF3E20">
              <w:rPr>
                <w:iCs w:val="0"/>
              </w:rPr>
              <w:t xml:space="preserve">perational </w:t>
            </w:r>
            <w:r>
              <w:rPr>
                <w:iCs w:val="0"/>
              </w:rPr>
              <w:t>c</w:t>
            </w:r>
            <w:r w:rsidRPr="00AF3E20">
              <w:rPr>
                <w:iCs w:val="0"/>
              </w:rPr>
              <w:t xml:space="preserve">ost for the Resource </w:t>
            </w:r>
            <w:r w:rsidRPr="00AF3E20">
              <w:rPr>
                <w:i/>
              </w:rPr>
              <w:t xml:space="preserve">r </w:t>
            </w:r>
            <w:r w:rsidRPr="00AF3E20">
              <w:rPr>
                <w:iCs w:val="0"/>
              </w:rPr>
              <w:t xml:space="preserve">for the Operating Day </w:t>
            </w:r>
            <w:r w:rsidRPr="00AF3E20">
              <w:rPr>
                <w:i/>
              </w:rPr>
              <w:t>d</w:t>
            </w:r>
            <w:r w:rsidRPr="00AF3E20">
              <w:rPr>
                <w:iCs w:val="0"/>
              </w:rPr>
              <w:t xml:space="preserve"> in the non-ERCOT Control Area.  The operating costs represent the costs the Resource would have incurred to generate the awarded energy in the non-ERCOT Control Area Day-Ahead market absent a request to switch to ERCOT</w:t>
            </w:r>
            <w:r w:rsidRPr="00AF3E20">
              <w:t xml:space="preserve">.  Where for a Combined Cycle Train, the Resource </w:t>
            </w:r>
            <w:r w:rsidRPr="00AF3E20">
              <w:rPr>
                <w:i/>
              </w:rPr>
              <w:t xml:space="preserve">r </w:t>
            </w:r>
            <w:r w:rsidRPr="00AF3E20">
              <w:t>is the Combined Cycle Train.</w:t>
            </w:r>
          </w:p>
        </w:tc>
      </w:tr>
      <w:tr w:rsidR="007C2D9A" w:rsidRPr="00851088" w14:paraId="60247495"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31D34AB" w14:textId="550AA5B3" w:rsidR="007C2D9A" w:rsidRPr="00067DC6" w:rsidRDefault="007C2D9A" w:rsidP="007C2D9A">
            <w:pPr>
              <w:pStyle w:val="TableBody"/>
            </w:pPr>
            <w:r w:rsidRPr="00AF3E20">
              <w:t>AENG</w:t>
            </w:r>
            <w:r w:rsidRPr="00AF3E20">
              <w:rPr>
                <w:i/>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727A5FAE" w14:textId="1483B3D3" w:rsidR="007C2D9A" w:rsidRPr="00067DC6" w:rsidRDefault="007C2D9A" w:rsidP="007C2D9A">
            <w:pPr>
              <w:pStyle w:val="TableBody"/>
            </w:pPr>
            <w:r w:rsidRPr="00AF3E20">
              <w:t>MWh</w:t>
            </w:r>
          </w:p>
        </w:tc>
        <w:tc>
          <w:tcPr>
            <w:tcW w:w="3342" w:type="pct"/>
            <w:tcBorders>
              <w:top w:val="single" w:sz="6" w:space="0" w:color="auto"/>
              <w:left w:val="single" w:sz="6" w:space="0" w:color="auto"/>
              <w:bottom w:val="single" w:sz="6" w:space="0" w:color="auto"/>
              <w:right w:val="single" w:sz="4" w:space="0" w:color="auto"/>
            </w:tcBorders>
          </w:tcPr>
          <w:p w14:paraId="5BB59510" w14:textId="1B96596E" w:rsidR="007C2D9A" w:rsidRPr="00B67CC3" w:rsidRDefault="007C2D9A" w:rsidP="007C2D9A">
            <w:pPr>
              <w:pStyle w:val="TableBody"/>
              <w:rPr>
                <w:i/>
              </w:rPr>
            </w:pPr>
            <w:r w:rsidRPr="00AF3E20">
              <w:rPr>
                <w:i/>
              </w:rPr>
              <w:t xml:space="preserve">Awarded Energy Non-ERCOT Day-Ahead Market </w:t>
            </w:r>
            <w:r w:rsidRPr="00AF3E20">
              <w:rPr>
                <w:iCs w:val="0"/>
              </w:rPr>
              <w:t xml:space="preserve">– The </w:t>
            </w:r>
            <w:r>
              <w:rPr>
                <w:iCs w:val="0"/>
              </w:rPr>
              <w:t>a</w:t>
            </w:r>
            <w:r w:rsidRPr="00AF3E20">
              <w:rPr>
                <w:iCs w:val="0"/>
              </w:rPr>
              <w:t xml:space="preserve">warded </w:t>
            </w:r>
            <w:r>
              <w:rPr>
                <w:iCs w:val="0"/>
              </w:rPr>
              <w:t>e</w:t>
            </w:r>
            <w:r w:rsidRPr="00AF3E20">
              <w:rPr>
                <w:iCs w:val="0"/>
              </w:rPr>
              <w:t xml:space="preserve">nergy in the non-ERCOT Day-Ahead Market for the Resource </w:t>
            </w:r>
            <w:r w:rsidRPr="00AF3E20">
              <w:rPr>
                <w:i/>
              </w:rPr>
              <w:t>r</w:t>
            </w:r>
            <w:r w:rsidRPr="00AF3E20">
              <w:rPr>
                <w:iCs w:val="0"/>
              </w:rPr>
              <w:t xml:space="preserve"> during the Interval </w:t>
            </w:r>
            <w:r w:rsidRPr="00AF3E20">
              <w:rPr>
                <w:i/>
              </w:rPr>
              <w:t>i</w:t>
            </w:r>
            <w:r w:rsidRPr="00AF3E20">
              <w:rPr>
                <w:iCs w:val="0"/>
              </w:rPr>
              <w:t xml:space="preserve">.  The awarded energy in the non-ERCOT Control Area Day-Ahead market represents the energy award for the interval that was not generated by the Resource due to the switch to ERCOT.  </w:t>
            </w:r>
            <w:r w:rsidRPr="00AF3E20">
              <w:t xml:space="preserve">Where for a Combined Cycle Train, the Resource </w:t>
            </w:r>
            <w:r w:rsidRPr="00AF3E20">
              <w:rPr>
                <w:i/>
              </w:rPr>
              <w:t xml:space="preserve">r </w:t>
            </w:r>
            <w:r w:rsidRPr="00AF3E20">
              <w:t>is the Combined Cycle Train.</w:t>
            </w:r>
          </w:p>
        </w:tc>
      </w:tr>
      <w:tr w:rsidR="00236104" w:rsidRPr="00851088" w14:paraId="2B49CDF1"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6EEEB1FE" w14:textId="77777777" w:rsidR="00236104" w:rsidRPr="00851088" w:rsidRDefault="00236104" w:rsidP="00BA73E7">
            <w:pPr>
              <w:pStyle w:val="TableBody"/>
            </w:pPr>
            <w:r w:rsidRPr="00067DC6">
              <w:t>SWSUC</w:t>
            </w:r>
            <w:r>
              <w:t xml:space="preserve"> </w:t>
            </w:r>
            <w:r w:rsidRPr="00067DC6">
              <w:rPr>
                <w:i/>
                <w:vertAlign w:val="subscript"/>
              </w:rPr>
              <w:t>q ,r,</w:t>
            </w:r>
            <w:r>
              <w:rPr>
                <w:i/>
                <w:vertAlign w:val="subscript"/>
              </w:rPr>
              <w:t xml:space="preserve"> </w:t>
            </w:r>
            <w:r w:rsidRPr="00067DC6">
              <w:rPr>
                <w:i/>
                <w:vertAlign w:val="subscript"/>
              </w:rPr>
              <w:t>d</w:t>
            </w:r>
            <w:r w:rsidRPr="00851088">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2F49EB" w14:textId="77777777" w:rsidR="00236104" w:rsidRPr="001520A2" w:rsidRDefault="00236104" w:rsidP="00BA73E7">
            <w:pPr>
              <w:pStyle w:val="TableBody"/>
            </w:pPr>
            <w:r w:rsidRPr="001520A2">
              <w:t>$</w:t>
            </w:r>
          </w:p>
        </w:tc>
        <w:tc>
          <w:tcPr>
            <w:tcW w:w="3342" w:type="pct"/>
            <w:tcBorders>
              <w:top w:val="single" w:sz="6" w:space="0" w:color="auto"/>
              <w:left w:val="single" w:sz="6" w:space="0" w:color="auto"/>
              <w:bottom w:val="single" w:sz="6" w:space="0" w:color="auto"/>
              <w:right w:val="single" w:sz="4" w:space="0" w:color="auto"/>
            </w:tcBorders>
            <w:hideMark/>
          </w:tcPr>
          <w:p w14:paraId="6F33A4E5" w14:textId="77777777" w:rsidR="00236104" w:rsidRPr="004D0722" w:rsidRDefault="00236104" w:rsidP="00BA73E7">
            <w:pPr>
              <w:pStyle w:val="TableBody"/>
            </w:pPr>
            <w:r w:rsidRPr="00067DC6">
              <w:rPr>
                <w:i/>
              </w:rPr>
              <w:t>Switchable Generat</w:t>
            </w:r>
            <w:r>
              <w:rPr>
                <w:i/>
              </w:rPr>
              <w:t>ion</w:t>
            </w:r>
            <w:r w:rsidRPr="00067DC6">
              <w:t xml:space="preserve"> </w:t>
            </w:r>
            <w:r w:rsidRPr="00851088">
              <w:rPr>
                <w:i/>
              </w:rPr>
              <w:t xml:space="preserve">Start-Up Cost </w:t>
            </w:r>
            <w:r w:rsidRPr="00851088">
              <w:t>—The Startup Costs for Resou</w:t>
            </w:r>
            <w:r w:rsidRPr="001520A2">
              <w:t xml:space="preserve">rce </w:t>
            </w:r>
            <w:r w:rsidRPr="001520A2">
              <w:rPr>
                <w:i/>
              </w:rPr>
              <w:t xml:space="preserve">r </w:t>
            </w:r>
            <w:r w:rsidRPr="00F119E9">
              <w:t>represented by QSE</w:t>
            </w:r>
            <w:r w:rsidRPr="00F119E9">
              <w:rPr>
                <w:i/>
              </w:rPr>
              <w:t xml:space="preserve"> q </w:t>
            </w:r>
            <w:r>
              <w:t>for</w:t>
            </w:r>
            <w:r w:rsidRPr="00F119E9">
              <w:t xml:space="preserve"> startup hours, for the Operating Day </w:t>
            </w:r>
            <w:r w:rsidRPr="00F119E9">
              <w:rPr>
                <w:i/>
              </w:rPr>
              <w:t>d</w:t>
            </w:r>
            <w:r w:rsidRPr="00F119E9">
              <w:t xml:space="preserve">.  Where for a Combined Cycle Train, the Resource </w:t>
            </w:r>
            <w:r w:rsidRPr="004D0722">
              <w:rPr>
                <w:i/>
              </w:rPr>
              <w:t xml:space="preserve">r </w:t>
            </w:r>
            <w:r w:rsidRPr="004D0722">
              <w:t>is the Combined Cycle Train.</w:t>
            </w:r>
          </w:p>
        </w:tc>
      </w:tr>
      <w:tr w:rsidR="007C2D9A" w:rsidRPr="00851088" w14:paraId="3CB5896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A4BACE9" w14:textId="182A2716" w:rsidR="007C2D9A" w:rsidRPr="00067DC6" w:rsidRDefault="007C2D9A" w:rsidP="007C2D9A">
            <w:pPr>
              <w:pStyle w:val="TableBody"/>
            </w:pPr>
            <w:r w:rsidRPr="001C0064">
              <w:rPr>
                <w:iCs w:val="0"/>
              </w:rPr>
              <w:lastRenderedPageBreak/>
              <w:t>SWPSLR</w:t>
            </w:r>
            <w:r w:rsidRPr="001C0064">
              <w:rPr>
                <w:i/>
                <w:vertAlign w:val="subscript"/>
              </w:rPr>
              <w:t xml:space="preserve"> q ,r, d</w:t>
            </w:r>
            <w:r w:rsidRPr="001C0064">
              <w:t xml:space="preserve">    </w:t>
            </w:r>
          </w:p>
        </w:tc>
        <w:tc>
          <w:tcPr>
            <w:tcW w:w="692" w:type="pct"/>
            <w:tcBorders>
              <w:top w:val="single" w:sz="6" w:space="0" w:color="auto"/>
              <w:left w:val="single" w:sz="6" w:space="0" w:color="auto"/>
              <w:bottom w:val="single" w:sz="6" w:space="0" w:color="auto"/>
              <w:right w:val="single" w:sz="6" w:space="0" w:color="auto"/>
            </w:tcBorders>
          </w:tcPr>
          <w:p w14:paraId="343538D8" w14:textId="242A315D" w:rsidR="007C2D9A" w:rsidRPr="001520A2" w:rsidRDefault="007C2D9A" w:rsidP="007C2D9A">
            <w:pPr>
              <w:pStyle w:val="TableBody"/>
            </w:pPr>
            <w:r w:rsidRPr="001C0064">
              <w:t>$</w:t>
            </w:r>
          </w:p>
        </w:tc>
        <w:tc>
          <w:tcPr>
            <w:tcW w:w="3342" w:type="pct"/>
            <w:tcBorders>
              <w:top w:val="single" w:sz="6" w:space="0" w:color="auto"/>
              <w:left w:val="single" w:sz="6" w:space="0" w:color="auto"/>
              <w:bottom w:val="single" w:sz="6" w:space="0" w:color="auto"/>
              <w:right w:val="single" w:sz="4" w:space="0" w:color="auto"/>
            </w:tcBorders>
          </w:tcPr>
          <w:p w14:paraId="78D273E8" w14:textId="01B4835F" w:rsidR="007C2D9A" w:rsidRPr="00067DC6" w:rsidRDefault="007C2D9A" w:rsidP="007C2D9A">
            <w:pPr>
              <w:pStyle w:val="TableBody"/>
              <w:rPr>
                <w:i/>
              </w:rPr>
            </w:pPr>
            <w:r w:rsidRPr="001C0064">
              <w:rPr>
                <w:i/>
              </w:rPr>
              <w:t xml:space="preserve">Switchable Generation Physical Switch Lost Revenue – </w:t>
            </w:r>
            <w:r w:rsidRPr="001C0064">
              <w:t>The loss of revenue, net of any saved costs including avoided fuel consumption, experienced by the QSE when the C</w:t>
            </w:r>
            <w:r>
              <w:t>ombined Cycle Generation Resource</w:t>
            </w:r>
            <w:r w:rsidRPr="001C0064">
              <w:t xml:space="preserve"> operating in ERCOT must reduce its output to accommodate a switch from a non-ERCOT Control Area of one or more turbines needed to achieve a </w:t>
            </w:r>
            <w:r>
              <w:t>Combined Cycle Generation Resource</w:t>
            </w:r>
            <w:r w:rsidRPr="001C0064">
              <w:t xml:space="preserve"> con</w:t>
            </w:r>
            <w:r>
              <w:t xml:space="preserve">figuration instructed by ERCOT.  </w:t>
            </w:r>
            <w:r w:rsidRPr="001C0064">
              <w:t xml:space="preserve">Where for a Combined Cycle Train, the Resource </w:t>
            </w:r>
            <w:r w:rsidRPr="001C0064">
              <w:rPr>
                <w:i/>
              </w:rPr>
              <w:t xml:space="preserve">r </w:t>
            </w:r>
            <w:r w:rsidRPr="001C0064">
              <w:t>is the Combined Cycle Train.</w:t>
            </w:r>
          </w:p>
        </w:tc>
      </w:tr>
      <w:tr w:rsidR="007C2D9A" w:rsidRPr="00851088" w14:paraId="6FE6A99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A064356" w14:textId="05208B0A" w:rsidR="007C2D9A" w:rsidRPr="00067DC6" w:rsidRDefault="007C2D9A" w:rsidP="007C2D9A">
            <w:pPr>
              <w:pStyle w:val="TableBody"/>
            </w:pPr>
            <w:r w:rsidRPr="001C0064">
              <w:t xml:space="preserve">RTLPX </w:t>
            </w:r>
            <w:r w:rsidRPr="006C329C">
              <w:rPr>
                <w:i/>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D521E33" w14:textId="4C82A29A" w:rsidR="007C2D9A" w:rsidRPr="001520A2" w:rsidRDefault="007C2D9A" w:rsidP="007C2D9A">
            <w:pPr>
              <w:pStyle w:val="TableBody"/>
            </w:pPr>
            <w:r w:rsidRPr="001C0064">
              <w:t>MWh</w:t>
            </w:r>
          </w:p>
        </w:tc>
        <w:tc>
          <w:tcPr>
            <w:tcW w:w="3342" w:type="pct"/>
            <w:tcBorders>
              <w:top w:val="single" w:sz="6" w:space="0" w:color="auto"/>
              <w:left w:val="single" w:sz="6" w:space="0" w:color="auto"/>
              <w:bottom w:val="single" w:sz="6" w:space="0" w:color="auto"/>
              <w:right w:val="single" w:sz="4" w:space="0" w:color="auto"/>
            </w:tcBorders>
          </w:tcPr>
          <w:p w14:paraId="4AA4BF9C" w14:textId="77777777" w:rsidR="007C2D9A" w:rsidRPr="001C0064" w:rsidRDefault="007C2D9A" w:rsidP="007C2D9A">
            <w:pPr>
              <w:pStyle w:val="TableBody"/>
            </w:pPr>
            <w:r w:rsidRPr="001C0064">
              <w:rPr>
                <w:i/>
              </w:rPr>
              <w:t>Real-Time Proxy Generation per QSE per Resource by Settlement Interval</w:t>
            </w:r>
            <w:r w:rsidRPr="001C0064">
              <w:t xml:space="preserve">—The Real-Time energy that was not generated in ERCOT by Combined Cycle Train, </w:t>
            </w:r>
            <w:r w:rsidRPr="006C329C">
              <w:rPr>
                <w:i/>
              </w:rPr>
              <w:t>r</w:t>
            </w:r>
            <w:r w:rsidRPr="001C0064">
              <w:t xml:space="preserve">, represented by QSE </w:t>
            </w:r>
            <w:r w:rsidRPr="006C329C">
              <w:rPr>
                <w:i/>
              </w:rPr>
              <w:t>q</w:t>
            </w:r>
            <w:r w:rsidRPr="001C0064">
              <w:t xml:space="preserve">, for the 15-minute Settlement Interval </w:t>
            </w:r>
            <w:r w:rsidRPr="006C329C">
              <w:rPr>
                <w:i/>
              </w:rPr>
              <w:t>i</w:t>
            </w:r>
            <w:r w:rsidRPr="001C0064">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2D578DC7" w14:textId="77777777" w:rsidR="007C2D9A" w:rsidRPr="001C0064" w:rsidRDefault="007C2D9A" w:rsidP="007C2D9A">
            <w:pPr>
              <w:pStyle w:val="TableBody"/>
            </w:pPr>
            <w:r w:rsidRPr="001C0064">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225D49D8" w14:textId="573C983C" w:rsidR="007C2D9A" w:rsidRPr="00067DC6" w:rsidRDefault="007C2D9A" w:rsidP="00D76D39">
            <w:pPr>
              <w:pStyle w:val="TableBody"/>
              <w:rPr>
                <w:i/>
              </w:rPr>
            </w:pPr>
            <w:r w:rsidRPr="001C0064">
              <w:t>During a shutdown after an ERCOT release of the SWGR, the value of RTLPX will be determined based on the reduced generation, by interval, for the period starting from the commencement of the shutdown seque</w:t>
            </w:r>
            <w:r>
              <w:t>nce in the ERCOT Control A</w:t>
            </w:r>
            <w:r w:rsidRPr="001C0064">
              <w:t>rea until breaker close in the non-ERCOT Control Area, with a maximum duration equal to the duration of the switch from the non-ERCOT Control Area to ERCOT</w:t>
            </w:r>
            <w:r w:rsidRPr="001C0064" w:rsidDel="00482822">
              <w:t xml:space="preserve"> </w:t>
            </w:r>
            <w:r w:rsidRPr="001C0064">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7C2D9A" w:rsidRPr="00851088" w14:paraId="0F26372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0B1596FD" w14:textId="1D4C1902" w:rsidR="007C2D9A" w:rsidRPr="00067DC6" w:rsidRDefault="007C2D9A" w:rsidP="007C2D9A">
            <w:pPr>
              <w:pStyle w:val="TableBody"/>
            </w:pPr>
            <w:r w:rsidRPr="001C0064">
              <w:t>SFC</w:t>
            </w:r>
            <w:r>
              <w:t xml:space="preserve"> </w:t>
            </w:r>
            <w:r w:rsidRPr="006F4450">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564E2A12" w14:textId="6E50DC93" w:rsidR="007C2D9A" w:rsidRPr="001520A2" w:rsidRDefault="007C2D9A" w:rsidP="007C2D9A">
            <w:pPr>
              <w:pStyle w:val="TableBody"/>
            </w:pPr>
            <w:r w:rsidRPr="001C0064">
              <w:t>MMBtu</w:t>
            </w:r>
          </w:p>
        </w:tc>
        <w:tc>
          <w:tcPr>
            <w:tcW w:w="3342" w:type="pct"/>
            <w:tcBorders>
              <w:top w:val="single" w:sz="6" w:space="0" w:color="auto"/>
              <w:left w:val="single" w:sz="6" w:space="0" w:color="auto"/>
              <w:bottom w:val="single" w:sz="6" w:space="0" w:color="auto"/>
              <w:right w:val="single" w:sz="4" w:space="0" w:color="auto"/>
            </w:tcBorders>
          </w:tcPr>
          <w:p w14:paraId="0FB0DD4B" w14:textId="51D27D02" w:rsidR="007C2D9A" w:rsidRPr="00067DC6" w:rsidRDefault="007C2D9A" w:rsidP="007C2D9A">
            <w:pPr>
              <w:pStyle w:val="TableBody"/>
              <w:rPr>
                <w:i/>
              </w:rPr>
            </w:pPr>
            <w:r w:rsidRPr="00A95988">
              <w:rPr>
                <w:i/>
              </w:rPr>
              <w:t>Saved Fuel Consumption</w:t>
            </w:r>
            <w:r w:rsidRPr="001C0064">
              <w:rPr>
                <w:i/>
              </w:rPr>
              <w:t xml:space="preserve"> </w:t>
            </w:r>
            <w:r w:rsidRPr="001C0064">
              <w:t>— Fuel quantity saved due to an output reduction of the combustion turbine(s) operating in ERCOT during the relevant period if necessary to accommodate the switch to and from the ERCOT area</w:t>
            </w:r>
            <w:r w:rsidR="00CC0885">
              <w:t>.</w:t>
            </w:r>
          </w:p>
        </w:tc>
      </w:tr>
      <w:tr w:rsidR="00236104" w:rsidRPr="00851088" w14:paraId="7605871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96E6DFE" w14:textId="77777777" w:rsidR="00236104" w:rsidRPr="00067DC6" w:rsidRDefault="00236104" w:rsidP="00BA73E7">
            <w:pPr>
              <w:pStyle w:val="TableBody"/>
            </w:pPr>
            <w:r w:rsidRPr="005C3A5C">
              <w:rPr>
                <w:iCs w:val="0"/>
              </w:rPr>
              <w:t>SW</w:t>
            </w:r>
            <w:r>
              <w:rPr>
                <w:iCs w:val="0"/>
              </w:rPr>
              <w:t>S</w:t>
            </w:r>
            <w:r w:rsidRPr="005C3A5C">
              <w:rPr>
                <w:iCs w:val="0"/>
              </w:rPr>
              <w:t>F</w:t>
            </w:r>
          </w:p>
        </w:tc>
        <w:tc>
          <w:tcPr>
            <w:tcW w:w="692" w:type="pct"/>
            <w:tcBorders>
              <w:top w:val="single" w:sz="6" w:space="0" w:color="auto"/>
              <w:left w:val="single" w:sz="6" w:space="0" w:color="auto"/>
              <w:bottom w:val="single" w:sz="6" w:space="0" w:color="auto"/>
              <w:right w:val="single" w:sz="6" w:space="0" w:color="auto"/>
            </w:tcBorders>
          </w:tcPr>
          <w:p w14:paraId="2C7E8224" w14:textId="77777777" w:rsidR="00236104" w:rsidRPr="001520A2" w:rsidRDefault="00236104" w:rsidP="00BA73E7">
            <w:pPr>
              <w:pStyle w:val="TableBody"/>
            </w:pPr>
            <w:r>
              <w:t>none</w:t>
            </w:r>
          </w:p>
        </w:tc>
        <w:tc>
          <w:tcPr>
            <w:tcW w:w="3342" w:type="pct"/>
            <w:tcBorders>
              <w:top w:val="single" w:sz="6" w:space="0" w:color="auto"/>
              <w:left w:val="single" w:sz="6" w:space="0" w:color="auto"/>
              <w:bottom w:val="single" w:sz="6" w:space="0" w:color="auto"/>
              <w:right w:val="single" w:sz="4" w:space="0" w:color="auto"/>
            </w:tcBorders>
          </w:tcPr>
          <w:p w14:paraId="0C5362E4" w14:textId="77777777" w:rsidR="00236104" w:rsidRPr="00067DC6" w:rsidRDefault="00236104" w:rsidP="00BA73E7">
            <w:pPr>
              <w:pStyle w:val="TableBody"/>
              <w:rPr>
                <w:i/>
              </w:rPr>
            </w:pPr>
            <w:r w:rsidRPr="00067DC6">
              <w:rPr>
                <w:i/>
              </w:rPr>
              <w:t>Switchable Generat</w:t>
            </w:r>
            <w:r>
              <w:rPr>
                <w:i/>
              </w:rPr>
              <w:t>ion</w:t>
            </w:r>
            <w:r w:rsidRPr="00067DC6">
              <w:t xml:space="preserve"> </w:t>
            </w:r>
            <w:r w:rsidRPr="00FF2CA0">
              <w:rPr>
                <w:i/>
              </w:rPr>
              <w:t>Startup Factor</w:t>
            </w:r>
            <w:r w:rsidRPr="00851088">
              <w:rPr>
                <w:i/>
              </w:rPr>
              <w:t xml:space="preserve"> </w:t>
            </w:r>
            <w:r w:rsidRPr="00851088">
              <w:t>—</w:t>
            </w:r>
            <w:r>
              <w:t xml:space="preserve">The Switchable Generation Startup Factor for an SWGR.  The SWSF shall be set to a value of 2 if the SWGR has a COP Resource Status of </w:t>
            </w:r>
            <w:r w:rsidRPr="005D4879">
              <w:t>EMRSWGR</w:t>
            </w:r>
            <w:r>
              <w:t xml:space="preserve"> within 24 hours of being released by the ERCOT Operator.  Otherwise, the SWSF shall be set to a value of 1.</w:t>
            </w:r>
          </w:p>
        </w:tc>
      </w:tr>
      <w:tr w:rsidR="00236104" w:rsidRPr="00851088" w14:paraId="36FF0DF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D1B6088" w14:textId="77777777" w:rsidR="00236104" w:rsidRPr="00851088" w:rsidRDefault="00236104" w:rsidP="00BA73E7">
            <w:pPr>
              <w:pStyle w:val="TableBody"/>
            </w:pPr>
            <w:r w:rsidRPr="00067DC6">
              <w:lastRenderedPageBreak/>
              <w:t>SWMEC</w:t>
            </w:r>
            <w:r>
              <w:t xml:space="preserve"> </w:t>
            </w:r>
            <w:r w:rsidRPr="00067DC6">
              <w:rPr>
                <w:i/>
                <w:vertAlign w:val="subscript"/>
              </w:rPr>
              <w:t>q</w:t>
            </w:r>
            <w:r w:rsidRPr="00851088">
              <w:rPr>
                <w:i/>
                <w:vertAlign w:val="subscript"/>
              </w:rPr>
              <w:t>,</w:t>
            </w:r>
            <w:r>
              <w:rPr>
                <w:i/>
                <w:vertAlign w:val="subscript"/>
              </w:rPr>
              <w:t xml:space="preserve"> </w:t>
            </w:r>
            <w:r w:rsidRPr="00851088">
              <w:rPr>
                <w:i/>
                <w:vertAlign w:val="subscript"/>
              </w:rPr>
              <w:t>r,</w:t>
            </w:r>
            <w:r>
              <w:rPr>
                <w:i/>
                <w:vertAlign w:val="subscript"/>
              </w:rPr>
              <w:t xml:space="preserve"> </w:t>
            </w:r>
            <w:r w:rsidRPr="00851088">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2E5314A7" w14:textId="77777777" w:rsidR="00236104" w:rsidRPr="00067DC6" w:rsidRDefault="00236104" w:rsidP="00BA73E7">
            <w:pPr>
              <w:pStyle w:val="TableBody"/>
            </w:pPr>
            <w:r w:rsidRPr="00067DC6">
              <w:t>$</w:t>
            </w:r>
          </w:p>
        </w:tc>
        <w:tc>
          <w:tcPr>
            <w:tcW w:w="3342" w:type="pct"/>
            <w:tcBorders>
              <w:top w:val="single" w:sz="6" w:space="0" w:color="auto"/>
              <w:left w:val="single" w:sz="6" w:space="0" w:color="auto"/>
              <w:bottom w:val="single" w:sz="6" w:space="0" w:color="auto"/>
              <w:right w:val="single" w:sz="4" w:space="0" w:color="auto"/>
            </w:tcBorders>
          </w:tcPr>
          <w:p w14:paraId="444C1CF0" w14:textId="77777777" w:rsidR="00236104" w:rsidRPr="006D1297" w:rsidRDefault="00236104" w:rsidP="00BA73E7">
            <w:pPr>
              <w:pStyle w:val="TableBody"/>
              <w:rPr>
                <w:i/>
              </w:rPr>
            </w:pPr>
            <w:r w:rsidRPr="00EC1127">
              <w:rPr>
                <w:i/>
              </w:rPr>
              <w:t>Switchable Generat</w:t>
            </w:r>
            <w:r w:rsidRPr="0075366A">
              <w:rPr>
                <w:i/>
              </w:rPr>
              <w:t>ion</w:t>
            </w:r>
            <w:r w:rsidRPr="00067DC6">
              <w:t xml:space="preserve"> </w:t>
            </w:r>
            <w:r w:rsidRPr="00067DC6">
              <w:rPr>
                <w:i/>
              </w:rPr>
              <w:t xml:space="preserve">Minimum Energy Cost </w:t>
            </w:r>
            <w:r w:rsidRPr="00067DC6">
              <w:t xml:space="preserve">—The </w:t>
            </w:r>
            <w:r>
              <w:t>m</w:t>
            </w:r>
            <w:r w:rsidRPr="00067DC6">
              <w:t xml:space="preserve">inimum </w:t>
            </w:r>
            <w:r>
              <w:t>e</w:t>
            </w:r>
            <w:r w:rsidRPr="00067DC6">
              <w:t xml:space="preserve">nergy costs for Resource </w:t>
            </w:r>
            <w:r w:rsidRPr="002521AB">
              <w:rPr>
                <w:i/>
              </w:rPr>
              <w:t xml:space="preserve">r </w:t>
            </w:r>
            <w:r w:rsidRPr="002521AB">
              <w:t>represented by QSE</w:t>
            </w:r>
            <w:r w:rsidRPr="002521AB">
              <w:rPr>
                <w:i/>
              </w:rPr>
              <w:t xml:space="preserve"> q </w:t>
            </w:r>
            <w:r w:rsidRPr="00CA1A17">
              <w:t>during instructed</w:t>
            </w:r>
            <w:r w:rsidRPr="00027C9A">
              <w:t xml:space="preserve"> hours, for the Operating Day </w:t>
            </w:r>
            <w:r w:rsidRPr="00027C9A">
              <w:rPr>
                <w:i/>
              </w:rPr>
              <w:t>d</w:t>
            </w:r>
            <w:r w:rsidRPr="00027C9A">
              <w:t xml:space="preserve">.  Where for a Combined Cycle Train, the Resource </w:t>
            </w:r>
            <w:r w:rsidRPr="00027C9A">
              <w:rPr>
                <w:i/>
              </w:rPr>
              <w:t xml:space="preserve">r </w:t>
            </w:r>
            <w:r w:rsidRPr="00027C9A">
              <w:t>is the Combined Cycle Train.</w:t>
            </w:r>
          </w:p>
        </w:tc>
      </w:tr>
      <w:tr w:rsidR="00236104" w:rsidRPr="00851088" w14:paraId="44AFB3A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71C769FC" w14:textId="77777777" w:rsidR="00236104" w:rsidRPr="00851088" w:rsidRDefault="00236104" w:rsidP="00BA73E7">
            <w:pPr>
              <w:pStyle w:val="TableBody"/>
            </w:pPr>
            <w:r w:rsidRPr="00851088">
              <w:t>SWOC</w:t>
            </w:r>
            <w:r>
              <w:t xml:space="preserve"> </w:t>
            </w:r>
            <w:r w:rsidRPr="00067DC6">
              <w:rPr>
                <w:i/>
                <w:vertAlign w:val="subscript"/>
              </w:rPr>
              <w:t>q</w:t>
            </w:r>
            <w:r w:rsidRPr="00851088">
              <w:rPr>
                <w:i/>
                <w:vertAlign w:val="subscript"/>
              </w:rPr>
              <w:t>,</w:t>
            </w:r>
            <w:r>
              <w:rPr>
                <w:i/>
                <w:vertAlign w:val="subscript"/>
              </w:rPr>
              <w:t xml:space="preserve"> </w:t>
            </w:r>
            <w:r w:rsidRPr="00851088">
              <w:rPr>
                <w:i/>
                <w:vertAlign w:val="subscript"/>
              </w:rPr>
              <w:t>r,</w:t>
            </w:r>
            <w:r>
              <w:rPr>
                <w:i/>
                <w:vertAlign w:val="subscript"/>
              </w:rPr>
              <w:t xml:space="preserve"> </w:t>
            </w:r>
            <w:r w:rsidRPr="00851088">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0A39DDAA" w14:textId="77777777" w:rsidR="00236104" w:rsidRPr="001520A2" w:rsidRDefault="00236104" w:rsidP="00BA73E7">
            <w:pPr>
              <w:pStyle w:val="TableBody"/>
            </w:pPr>
            <w:r w:rsidRPr="001520A2">
              <w:t>$</w:t>
            </w:r>
          </w:p>
        </w:tc>
        <w:tc>
          <w:tcPr>
            <w:tcW w:w="3342" w:type="pct"/>
            <w:tcBorders>
              <w:top w:val="single" w:sz="6" w:space="0" w:color="auto"/>
              <w:left w:val="single" w:sz="6" w:space="0" w:color="auto"/>
              <w:bottom w:val="single" w:sz="6" w:space="0" w:color="auto"/>
              <w:right w:val="single" w:sz="4" w:space="0" w:color="auto"/>
            </w:tcBorders>
          </w:tcPr>
          <w:p w14:paraId="68F972A3" w14:textId="1866ABD1" w:rsidR="00236104" w:rsidRPr="00851088" w:rsidRDefault="00236104" w:rsidP="00BA73E7">
            <w:pPr>
              <w:pStyle w:val="TableBody"/>
              <w:rPr>
                <w:i/>
              </w:rPr>
            </w:pPr>
            <w:r w:rsidRPr="00067DC6">
              <w:rPr>
                <w:i/>
              </w:rPr>
              <w:t>Switchable Generat</w:t>
            </w:r>
            <w:r>
              <w:rPr>
                <w:i/>
              </w:rPr>
              <w:t>ion</w:t>
            </w:r>
            <w:r w:rsidRPr="00067DC6">
              <w:t xml:space="preserve"> </w:t>
            </w:r>
            <w:r w:rsidRPr="00067DC6">
              <w:rPr>
                <w:i/>
              </w:rPr>
              <w:t xml:space="preserve">Operating Cost </w:t>
            </w:r>
            <w:r w:rsidRPr="00067DC6">
              <w:t xml:space="preserve">—The operating costs for Resource </w:t>
            </w:r>
            <w:r w:rsidRPr="00067DC6">
              <w:rPr>
                <w:i/>
              </w:rPr>
              <w:t xml:space="preserve">r </w:t>
            </w:r>
            <w:r w:rsidRPr="00067DC6">
              <w:t>represented by QSE</w:t>
            </w:r>
            <w:r w:rsidRPr="00067DC6">
              <w:rPr>
                <w:i/>
              </w:rPr>
              <w:t xml:space="preserve"> q </w:t>
            </w:r>
            <w:r w:rsidRPr="00067DC6">
              <w:t xml:space="preserve">during instructed hours, for the Operating Day </w:t>
            </w:r>
            <w:r w:rsidRPr="00067DC6">
              <w:rPr>
                <w:i/>
              </w:rPr>
              <w:t>d</w:t>
            </w:r>
            <w:r w:rsidRPr="00067DC6">
              <w:t xml:space="preserve">.  Where for a Combined Cycle Train, the Resource </w:t>
            </w:r>
            <w:r w:rsidRPr="00067DC6">
              <w:rPr>
                <w:i/>
              </w:rPr>
              <w:t xml:space="preserve">r </w:t>
            </w:r>
            <w:r w:rsidRPr="00067DC6">
              <w:t>is the Combined Cycle Train.</w:t>
            </w:r>
            <w:r w:rsidR="007C2D9A" w:rsidRPr="00A53B36">
              <w:t xml:space="preserve"> </w:t>
            </w:r>
            <w:r w:rsidR="007C2D9A">
              <w:t xml:space="preserve"> </w:t>
            </w:r>
            <w:r w:rsidR="007C2D9A" w:rsidRPr="00A53B36">
              <w:t>Switchable generation operating cost represents the Real-Time operating costs in ERCOT reduced by the savings in operating costs not incurred due to the switch from the non-ERCOT Control Area.</w:t>
            </w:r>
          </w:p>
        </w:tc>
      </w:tr>
      <w:tr w:rsidR="00236104" w:rsidRPr="007477C6" w14:paraId="44BDEF1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38CD33C" w14:textId="77777777" w:rsidR="00236104" w:rsidRPr="00851088" w:rsidRDefault="00236104" w:rsidP="00BA73E7">
            <w:pPr>
              <w:pStyle w:val="TableBody"/>
            </w:pPr>
            <w:r>
              <w:t>SWAC</w:t>
            </w:r>
            <w:r w:rsidRPr="004D0722">
              <w:rPr>
                <w:i/>
                <w:vertAlign w:val="subscript"/>
              </w:rPr>
              <w:t xml:space="preserve"> q,</w:t>
            </w:r>
            <w:r>
              <w:rPr>
                <w:i/>
                <w:vertAlign w:val="subscript"/>
              </w:rPr>
              <w:t xml:space="preserve"> </w:t>
            </w:r>
            <w:r w:rsidRPr="004D0722">
              <w:rPr>
                <w:i/>
                <w:vertAlign w:val="subscript"/>
              </w:rPr>
              <w:t>r,</w:t>
            </w:r>
            <w:r>
              <w:rPr>
                <w:i/>
                <w:vertAlign w:val="subscript"/>
              </w:rPr>
              <w:t xml:space="preserve"> </w:t>
            </w:r>
            <w:r w:rsidRPr="004D0722">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6C906109" w14:textId="77777777" w:rsidR="00236104" w:rsidRPr="001520A2" w:rsidRDefault="00236104" w:rsidP="00BA73E7">
            <w:pPr>
              <w:pStyle w:val="TableBody"/>
            </w:pPr>
            <w:r>
              <w:t>$</w:t>
            </w:r>
          </w:p>
        </w:tc>
        <w:tc>
          <w:tcPr>
            <w:tcW w:w="3342" w:type="pct"/>
            <w:tcBorders>
              <w:top w:val="single" w:sz="6" w:space="0" w:color="auto"/>
              <w:left w:val="single" w:sz="6" w:space="0" w:color="auto"/>
              <w:bottom w:val="single" w:sz="6" w:space="0" w:color="auto"/>
              <w:right w:val="single" w:sz="4" w:space="0" w:color="auto"/>
            </w:tcBorders>
          </w:tcPr>
          <w:p w14:paraId="79E797F8" w14:textId="77777777" w:rsidR="00236104" w:rsidRPr="00067DC6" w:rsidRDefault="00236104" w:rsidP="00BA73E7">
            <w:pPr>
              <w:pStyle w:val="TableBody"/>
            </w:pPr>
            <w:r>
              <w:rPr>
                <w:i/>
              </w:rPr>
              <w:t xml:space="preserve">Switchable Generation Approved Costs – </w:t>
            </w:r>
            <w:r w:rsidRPr="00067DC6">
              <w:t xml:space="preserve">The </w:t>
            </w:r>
            <w:r>
              <w:t xml:space="preserve">total amount of the calculation of financial loss, as submitted by the QSE </w:t>
            </w:r>
            <w:r>
              <w:rPr>
                <w:i/>
              </w:rPr>
              <w:t xml:space="preserve">q </w:t>
            </w:r>
            <w:r w:rsidRPr="00067DC6">
              <w:t>for the Resource</w:t>
            </w:r>
            <w:r>
              <w:rPr>
                <w:i/>
              </w:rPr>
              <w:t xml:space="preserve"> r, </w:t>
            </w:r>
            <w:r>
              <w:t xml:space="preserve">as approved by ERCOT for the Operating Day </w:t>
            </w:r>
            <w:r w:rsidRPr="00763E94">
              <w:rPr>
                <w:i/>
              </w:rPr>
              <w:t>d</w:t>
            </w:r>
            <w:r>
              <w:t xml:space="preserve">.  </w:t>
            </w:r>
            <w:r w:rsidRPr="004D0722">
              <w:t xml:space="preserve">Where for a Combined Cycle Train, the Resource </w:t>
            </w:r>
            <w:r w:rsidRPr="00763E94">
              <w:rPr>
                <w:i/>
              </w:rPr>
              <w:t>r</w:t>
            </w:r>
            <w:r w:rsidRPr="004D0722">
              <w:t xml:space="preserve"> is the Combined Cycle Train.</w:t>
            </w:r>
          </w:p>
        </w:tc>
      </w:tr>
      <w:tr w:rsidR="00236104" w:rsidRPr="00D551CE" w14:paraId="7C6B80B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58B2CA3" w14:textId="77777777" w:rsidR="00236104" w:rsidRPr="00F119E9" w:rsidRDefault="00236104" w:rsidP="00BA73E7">
            <w:pPr>
              <w:pStyle w:val="TableBody"/>
            </w:pPr>
            <w:r w:rsidRPr="001520A2">
              <w:rPr>
                <w:rStyle w:val="BodyTextChar"/>
                <w:sz w:val="20"/>
              </w:rPr>
              <w:t>SWFC</w:t>
            </w:r>
            <w:r w:rsidRPr="001520A2">
              <w:rPr>
                <w:i/>
                <w:vertAlign w:val="subscript"/>
              </w:rPr>
              <w:t xml:space="preserve"> q,</w:t>
            </w:r>
            <w:r>
              <w:rPr>
                <w:i/>
                <w:vertAlign w:val="subscript"/>
              </w:rPr>
              <w:t xml:space="preserve"> </w:t>
            </w:r>
            <w:r w:rsidRPr="001520A2">
              <w:rPr>
                <w:i/>
                <w:vertAlign w:val="subscript"/>
              </w:rPr>
              <w:t>r,</w:t>
            </w:r>
            <w:r>
              <w:rPr>
                <w:i/>
                <w:vertAlign w:val="subscript"/>
              </w:rPr>
              <w:t xml:space="preserve"> </w:t>
            </w:r>
            <w:r w:rsidRPr="001520A2">
              <w:rPr>
                <w:i/>
                <w:vertAlign w:val="subscript"/>
              </w:rPr>
              <w:t>d</w:t>
            </w:r>
            <w:r w:rsidRPr="001520A2">
              <w:rPr>
                <w:i/>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073C41C9" w14:textId="77777777" w:rsidR="00236104" w:rsidRPr="00F119E9" w:rsidRDefault="00236104" w:rsidP="00BA73E7">
            <w:pPr>
              <w:pStyle w:val="TableBody"/>
            </w:pPr>
            <w:r w:rsidRPr="00F119E9">
              <w:t>$</w:t>
            </w:r>
          </w:p>
        </w:tc>
        <w:tc>
          <w:tcPr>
            <w:tcW w:w="3342" w:type="pct"/>
            <w:tcBorders>
              <w:top w:val="single" w:sz="6" w:space="0" w:color="auto"/>
              <w:left w:val="single" w:sz="6" w:space="0" w:color="auto"/>
              <w:bottom w:val="single" w:sz="6" w:space="0" w:color="auto"/>
              <w:right w:val="single" w:sz="4" w:space="0" w:color="auto"/>
            </w:tcBorders>
          </w:tcPr>
          <w:p w14:paraId="2DB463F5" w14:textId="77777777" w:rsidR="00236104" w:rsidRPr="00D551CE" w:rsidRDefault="00236104" w:rsidP="00BA73E7">
            <w:pPr>
              <w:pStyle w:val="TableBody"/>
              <w:rPr>
                <w:i/>
              </w:rPr>
            </w:pPr>
            <w:r w:rsidRPr="00067DC6">
              <w:rPr>
                <w:i/>
              </w:rPr>
              <w:t>Switchable Generator</w:t>
            </w:r>
            <w:r w:rsidRPr="00067DC6">
              <w:t xml:space="preserve"> </w:t>
            </w:r>
            <w:r w:rsidRPr="00067DC6">
              <w:rPr>
                <w:i/>
              </w:rPr>
              <w:t xml:space="preserve">Fuel Cost </w:t>
            </w:r>
            <w:r w:rsidRPr="00067DC6">
              <w:t xml:space="preserve">—The </w:t>
            </w:r>
            <w:r w:rsidRPr="00D551CE">
              <w:t xml:space="preserve">incremental </w:t>
            </w:r>
            <w:r w:rsidRPr="00067DC6">
              <w:t xml:space="preserve">fuel costs </w:t>
            </w:r>
            <w:r w:rsidRPr="00D551CE">
              <w:t xml:space="preserve">and fees </w:t>
            </w:r>
            <w:r w:rsidRPr="00067DC6">
              <w:t xml:space="preserve">for Resource </w:t>
            </w:r>
            <w:r w:rsidRPr="00067DC6">
              <w:rPr>
                <w:i/>
              </w:rPr>
              <w:t xml:space="preserve">r </w:t>
            </w:r>
            <w:r w:rsidRPr="00067DC6">
              <w:t>represented by QSE</w:t>
            </w:r>
            <w:r w:rsidRPr="00067DC6">
              <w:rPr>
                <w:i/>
              </w:rPr>
              <w:t xml:space="preserve"> q </w:t>
            </w:r>
            <w:r>
              <w:t>for all</w:t>
            </w:r>
            <w:r w:rsidRPr="00067DC6">
              <w:t xml:space="preserve"> instructed hours, for the Operating Day </w:t>
            </w:r>
            <w:r w:rsidRPr="00067DC6">
              <w:rPr>
                <w:i/>
              </w:rPr>
              <w:t>d</w:t>
            </w:r>
            <w:r w:rsidRPr="00067DC6">
              <w:t xml:space="preserve">.  Where for a Combined Cycle Train, the Resource </w:t>
            </w:r>
            <w:r w:rsidRPr="00067DC6">
              <w:rPr>
                <w:i/>
              </w:rPr>
              <w:t xml:space="preserve">r </w:t>
            </w:r>
            <w:r w:rsidRPr="00067DC6">
              <w:t>is the Combined Cycle Train.</w:t>
            </w:r>
            <w:r w:rsidRPr="00D551CE">
              <w:t xml:space="preserve">  Incremental fuel costs must be based on those costs incurred as described in </w:t>
            </w:r>
            <w:r w:rsidRPr="00372BF7">
              <w:t>Section 9.14.9</w:t>
            </w:r>
            <w:r>
              <w:t>, Incremental Fuel Costs for Switchable Generation Make-Whole Payment</w:t>
            </w:r>
            <w:r w:rsidRPr="00372BF7">
              <w:t>.</w:t>
            </w:r>
            <w:r w:rsidRPr="00D551CE">
              <w:t xml:space="preserve"> </w:t>
            </w:r>
          </w:p>
        </w:tc>
      </w:tr>
      <w:tr w:rsidR="00236104" w:rsidRPr="00D551CE" w14:paraId="175C9BE1"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336276D" w14:textId="77777777" w:rsidR="00236104" w:rsidRPr="001520A2" w:rsidRDefault="00236104" w:rsidP="00BA73E7">
            <w:pPr>
              <w:pStyle w:val="TableBody"/>
              <w:rPr>
                <w:rStyle w:val="BodyTextChar"/>
                <w:sz w:val="20"/>
              </w:rPr>
            </w:pPr>
            <w:r w:rsidRPr="00211EF7">
              <w:t>SWF</w:t>
            </w:r>
            <w:r>
              <w:t>IP</w:t>
            </w:r>
            <w:r w:rsidRPr="00211EF7">
              <w:t xml:space="preserve">C </w:t>
            </w:r>
            <w:r w:rsidRPr="00370D54">
              <w:rPr>
                <w:i/>
                <w:vertAlign w:val="subscript"/>
              </w:rPr>
              <w:t>q,</w:t>
            </w:r>
            <w:r>
              <w:rPr>
                <w:i/>
                <w:vertAlign w:val="subscript"/>
              </w:rPr>
              <w:t xml:space="preserve"> </w:t>
            </w:r>
            <w:r w:rsidRPr="00370D54">
              <w:rPr>
                <w:i/>
                <w:vertAlign w:val="subscript"/>
              </w:rPr>
              <w:t>r,</w:t>
            </w:r>
            <w:r>
              <w:rPr>
                <w:i/>
                <w:vertAlign w:val="subscript"/>
              </w:rPr>
              <w:t xml:space="preserve"> </w:t>
            </w:r>
            <w:r w:rsidRPr="00370D54">
              <w:rPr>
                <w:i/>
                <w:vertAlign w:val="subscript"/>
              </w:rPr>
              <w:t>d</w:t>
            </w:r>
            <w:r w:rsidRPr="00370D54">
              <w:rPr>
                <w:i/>
              </w:rPr>
              <w:t xml:space="preserve">  </w:t>
            </w:r>
          </w:p>
        </w:tc>
        <w:tc>
          <w:tcPr>
            <w:tcW w:w="692" w:type="pct"/>
            <w:tcBorders>
              <w:top w:val="single" w:sz="6" w:space="0" w:color="auto"/>
              <w:left w:val="single" w:sz="6" w:space="0" w:color="auto"/>
              <w:bottom w:val="single" w:sz="6" w:space="0" w:color="auto"/>
              <w:right w:val="single" w:sz="6" w:space="0" w:color="auto"/>
            </w:tcBorders>
          </w:tcPr>
          <w:p w14:paraId="0F9361EF" w14:textId="77777777" w:rsidR="00236104" w:rsidRPr="00F119E9" w:rsidRDefault="00236104" w:rsidP="00BA73E7">
            <w:pPr>
              <w:pStyle w:val="TableBody"/>
            </w:pPr>
            <w:r w:rsidRPr="00211EF7">
              <w:t>$</w:t>
            </w:r>
          </w:p>
        </w:tc>
        <w:tc>
          <w:tcPr>
            <w:tcW w:w="3342" w:type="pct"/>
            <w:tcBorders>
              <w:top w:val="single" w:sz="6" w:space="0" w:color="auto"/>
              <w:left w:val="single" w:sz="6" w:space="0" w:color="auto"/>
              <w:bottom w:val="single" w:sz="6" w:space="0" w:color="auto"/>
              <w:right w:val="single" w:sz="4" w:space="0" w:color="auto"/>
            </w:tcBorders>
          </w:tcPr>
          <w:p w14:paraId="2420BF6E" w14:textId="77777777" w:rsidR="00236104" w:rsidRPr="00067DC6" w:rsidRDefault="00236104" w:rsidP="00BA73E7">
            <w:pPr>
              <w:pStyle w:val="TableBody"/>
              <w:rPr>
                <w:i/>
              </w:rPr>
            </w:pPr>
            <w:r w:rsidRPr="008E2780">
              <w:rPr>
                <w:i/>
              </w:rPr>
              <w:t>Switchable Generator Fuel Imbalance Penalty Cost</w:t>
            </w:r>
            <w:r w:rsidRPr="00211EF7">
              <w:t xml:space="preserve"> —The </w:t>
            </w:r>
            <w:r>
              <w:t xml:space="preserve">fuel imbalance penalty </w:t>
            </w:r>
            <w:r w:rsidRPr="00211EF7">
              <w:t xml:space="preserve">cost for </w:t>
            </w:r>
            <w:r>
              <w:t xml:space="preserve">Resource </w:t>
            </w:r>
            <w:r w:rsidRPr="008E2780">
              <w:rPr>
                <w:i/>
              </w:rPr>
              <w:t>r</w:t>
            </w:r>
            <w:r>
              <w:t xml:space="preserve"> represented by QSE </w:t>
            </w:r>
            <w:r w:rsidRPr="008E2780">
              <w:rPr>
                <w:i/>
              </w:rPr>
              <w:t>q</w:t>
            </w:r>
            <w:r>
              <w:t xml:space="preserve">, for the Operating Day, </w:t>
            </w:r>
            <w:r w:rsidRPr="00BF0069">
              <w:t xml:space="preserve">arising from the SWGR not consuming its contracted fuel quantities as a result of a switch from a non-ERCOT Control Area as requested by ERCOT.  Fuel imbalance penalty costs </w:t>
            </w:r>
            <w:r>
              <w:t>are</w:t>
            </w:r>
            <w:r w:rsidRPr="00BF0069">
              <w:t xml:space="preserve"> limited to those costs assessed for the period starting at the initiation of the ramp-down in the non-ERCOT Control Area to two hours following the time ERCOT released the SWGR.</w:t>
            </w:r>
            <w:r>
              <w:t xml:space="preserve"> </w:t>
            </w:r>
            <w:r w:rsidRPr="00211EF7">
              <w:t xml:space="preserve">Where for a Combined Cycle Train, the Resource </w:t>
            </w:r>
            <w:r w:rsidRPr="008E2780">
              <w:rPr>
                <w:i/>
              </w:rPr>
              <w:t>r</w:t>
            </w:r>
            <w:r w:rsidRPr="00211EF7">
              <w:t xml:space="preserve"> is the Combined Cycle Train.</w:t>
            </w:r>
          </w:p>
        </w:tc>
      </w:tr>
      <w:tr w:rsidR="00236104" w:rsidRPr="00D551CE" w14:paraId="3AFCECA1"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6D4D410" w14:textId="6C123D73" w:rsidR="00236104" w:rsidRPr="00067DC6" w:rsidRDefault="00236104" w:rsidP="00BA73E7">
            <w:pPr>
              <w:pStyle w:val="TableBody"/>
              <w:rPr>
                <w:rStyle w:val="BodyTextChar"/>
                <w:sz w:val="20"/>
              </w:rPr>
            </w:pPr>
            <w:r w:rsidRPr="001520A2">
              <w:rPr>
                <w:rStyle w:val="BodyTextChar"/>
                <w:sz w:val="20"/>
              </w:rPr>
              <w:t>SWE</w:t>
            </w:r>
            <w:r w:rsidR="007C2D9A">
              <w:rPr>
                <w:rStyle w:val="BodyTextChar"/>
                <w:sz w:val="20"/>
              </w:rPr>
              <w:t>I</w:t>
            </w:r>
            <w:r w:rsidRPr="001520A2">
              <w:rPr>
                <w:rStyle w:val="BodyTextChar"/>
                <w:sz w:val="20"/>
              </w:rPr>
              <w:t>C</w:t>
            </w:r>
            <w:r w:rsidRPr="001520A2">
              <w:rPr>
                <w:i/>
                <w:vertAlign w:val="subscript"/>
              </w:rPr>
              <w:t xml:space="preserve"> q,</w:t>
            </w:r>
            <w:r>
              <w:rPr>
                <w:i/>
                <w:vertAlign w:val="subscript"/>
              </w:rPr>
              <w:t xml:space="preserve"> </w:t>
            </w:r>
            <w:r w:rsidRPr="001520A2">
              <w:rPr>
                <w:i/>
                <w:vertAlign w:val="subscript"/>
              </w:rPr>
              <w:t>r,</w:t>
            </w:r>
            <w:r>
              <w:rPr>
                <w:i/>
                <w:vertAlign w:val="subscript"/>
              </w:rPr>
              <w:t xml:space="preserve"> </w:t>
            </w:r>
            <w:r w:rsidRPr="001520A2">
              <w:rPr>
                <w:i/>
                <w:vertAlign w:val="subscript"/>
              </w:rPr>
              <w:t>d</w:t>
            </w:r>
            <w:r w:rsidRPr="00F119E9">
              <w:rPr>
                <w:i/>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3DD85509" w14:textId="77777777" w:rsidR="00236104" w:rsidRPr="00851088"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2F431156" w14:textId="7E56B110" w:rsidR="00236104" w:rsidRPr="00067DC6" w:rsidRDefault="00236104" w:rsidP="007C2D9A">
            <w:pPr>
              <w:pStyle w:val="TableBody"/>
            </w:pPr>
            <w:r w:rsidRPr="00067DC6">
              <w:rPr>
                <w:i/>
              </w:rPr>
              <w:t>Switchable Generator</w:t>
            </w:r>
            <w:r w:rsidRPr="00067DC6">
              <w:t xml:space="preserve"> </w:t>
            </w:r>
            <w:r w:rsidRPr="00067DC6">
              <w:rPr>
                <w:i/>
              </w:rPr>
              <w:t xml:space="preserve">Energy </w:t>
            </w:r>
            <w:r w:rsidRPr="00D551CE">
              <w:rPr>
                <w:i/>
              </w:rPr>
              <w:t>Imbalance</w:t>
            </w:r>
            <w:r w:rsidRPr="00067DC6">
              <w:rPr>
                <w:i/>
              </w:rPr>
              <w:t xml:space="preserve"> Cost </w:t>
            </w:r>
            <w:r w:rsidRPr="00067DC6">
              <w:t>—The energy</w:t>
            </w:r>
            <w:r w:rsidRPr="00D551CE">
              <w:t xml:space="preserve"> imbalance</w:t>
            </w:r>
            <w:r w:rsidRPr="00067DC6">
              <w:t xml:space="preserve"> costs for Resource </w:t>
            </w:r>
            <w:r w:rsidRPr="00067DC6">
              <w:rPr>
                <w:i/>
              </w:rPr>
              <w:t xml:space="preserve">r </w:t>
            </w:r>
            <w:r w:rsidRPr="00067DC6">
              <w:t>represented by QSE</w:t>
            </w:r>
            <w:r w:rsidRPr="00067DC6">
              <w:rPr>
                <w:i/>
              </w:rPr>
              <w:t xml:space="preserve"> q </w:t>
            </w:r>
            <w:r>
              <w:t>for</w:t>
            </w:r>
            <w:r w:rsidRPr="00067DC6">
              <w:t xml:space="preserve"> instructed hours, for the Operating Day </w:t>
            </w:r>
            <w:r w:rsidRPr="00067DC6">
              <w:rPr>
                <w:i/>
              </w:rPr>
              <w:t>d</w:t>
            </w:r>
            <w:r w:rsidRPr="00067DC6">
              <w:t xml:space="preserve">.  Where for a Combined Cycle Train, the Resource </w:t>
            </w:r>
            <w:r w:rsidRPr="00067DC6">
              <w:rPr>
                <w:i/>
              </w:rPr>
              <w:t xml:space="preserve">r </w:t>
            </w:r>
            <w:r w:rsidRPr="00067DC6">
              <w:t xml:space="preserve">is the Combined Cycle Train.  </w:t>
            </w:r>
            <w:r w:rsidR="007C2D9A">
              <w:t>E</w:t>
            </w:r>
            <w:r w:rsidRPr="00067DC6">
              <w:t>nergy</w:t>
            </w:r>
            <w:r w:rsidRPr="00D551CE">
              <w:t xml:space="preserve"> imbalance</w:t>
            </w:r>
            <w:r w:rsidRPr="00067DC6">
              <w:t xml:space="preserve"> costs represent</w:t>
            </w:r>
            <w:r w:rsidR="007C2D9A">
              <w:t xml:space="preserve"> Real-Time</w:t>
            </w:r>
            <w:r w:rsidRPr="00067DC6">
              <w:t xml:space="preserve"> imbalance charges </w:t>
            </w:r>
            <w:r w:rsidR="007C2D9A">
              <w:t xml:space="preserve">for the amount of energy the SWGR was not able to provide as required by its DAM commitment </w:t>
            </w:r>
            <w:r>
              <w:t xml:space="preserve">from </w:t>
            </w:r>
            <w:r w:rsidR="007C2D9A">
              <w:t xml:space="preserve">the </w:t>
            </w:r>
            <w:r>
              <w:t>non-ERCOT Control A</w:t>
            </w:r>
            <w:r w:rsidRPr="00D551CE">
              <w:t>rea</w:t>
            </w:r>
            <w:r w:rsidR="007C2D9A">
              <w:t>, starting</w:t>
            </w:r>
            <w:r w:rsidRPr="00D551CE">
              <w:t xml:space="preserve"> from the </w:t>
            </w:r>
            <w:r>
              <w:t>beginning of the ramp-down period</w:t>
            </w:r>
            <w:r w:rsidRPr="00D551CE">
              <w:t xml:space="preserve"> in the other grid to two hours following the time ERCOT released the Resource.</w:t>
            </w:r>
          </w:p>
        </w:tc>
      </w:tr>
      <w:tr w:rsidR="00236104" w:rsidRPr="00013B55" w14:paraId="317A7764"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40EB4E8" w14:textId="5ED39FAF" w:rsidR="00236104" w:rsidRPr="00067DC6" w:rsidRDefault="00236104" w:rsidP="007C2D9A">
            <w:pPr>
              <w:pStyle w:val="TableBody"/>
              <w:rPr>
                <w:rStyle w:val="BodyTextChar"/>
                <w:sz w:val="20"/>
              </w:rPr>
            </w:pPr>
            <w:r w:rsidRPr="00067DC6">
              <w:rPr>
                <w:rStyle w:val="BodyTextChar"/>
                <w:sz w:val="20"/>
              </w:rPr>
              <w:t>SWAS</w:t>
            </w:r>
            <w:r w:rsidR="00CC0885">
              <w:rPr>
                <w:rStyle w:val="BodyTextChar"/>
                <w:sz w:val="20"/>
              </w:rPr>
              <w:t>I</w:t>
            </w:r>
            <w:r w:rsidRPr="00067DC6">
              <w:rPr>
                <w:rStyle w:val="BodyTextChar"/>
                <w:sz w:val="20"/>
              </w:rPr>
              <w:t>C</w:t>
            </w:r>
            <w:r w:rsidRPr="00067DC6">
              <w:rPr>
                <w:i/>
                <w:vertAlign w:val="subscript"/>
              </w:rPr>
              <w:t xml:space="preserve"> 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133EE8A6" w14:textId="77777777" w:rsidR="00236104" w:rsidRPr="00851088"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6F6FDCE7" w14:textId="163E3719" w:rsidR="00236104" w:rsidRPr="007477C6" w:rsidRDefault="00236104" w:rsidP="007C2D9A">
            <w:pPr>
              <w:pStyle w:val="TableBody"/>
            </w:pPr>
            <w:r w:rsidRPr="00067DC6">
              <w:rPr>
                <w:i/>
              </w:rPr>
              <w:t>Switchable Generator</w:t>
            </w:r>
            <w:r w:rsidRPr="007477C6">
              <w:t xml:space="preserve"> </w:t>
            </w:r>
            <w:r w:rsidRPr="007477C6">
              <w:rPr>
                <w:i/>
              </w:rPr>
              <w:t xml:space="preserve">Ancillary Services </w:t>
            </w:r>
            <w:r>
              <w:rPr>
                <w:i/>
              </w:rPr>
              <w:t xml:space="preserve">Imbalance </w:t>
            </w:r>
            <w:r w:rsidRPr="007477C6">
              <w:rPr>
                <w:i/>
              </w:rPr>
              <w:t xml:space="preserve">Cost </w:t>
            </w:r>
            <w:r w:rsidRPr="007477C6">
              <w:t xml:space="preserve">—The Ancillary Service </w:t>
            </w:r>
            <w:r w:rsidR="00C0502C">
              <w:t>i</w:t>
            </w:r>
            <w:r>
              <w:t xml:space="preserve">mbalance </w:t>
            </w:r>
            <w:r w:rsidRPr="007477C6">
              <w:t xml:space="preserve">costs for Resource </w:t>
            </w:r>
            <w:r w:rsidRPr="007477C6">
              <w:rPr>
                <w:i/>
              </w:rPr>
              <w:t xml:space="preserve">r </w:t>
            </w:r>
            <w:r w:rsidRPr="007477C6">
              <w:t>represented by QSE</w:t>
            </w:r>
            <w:r w:rsidRPr="007477C6">
              <w:rPr>
                <w:i/>
              </w:rPr>
              <w:t xml:space="preserve"> q </w:t>
            </w:r>
            <w:r>
              <w:t>for</w:t>
            </w:r>
            <w:r w:rsidRPr="007477C6">
              <w:t xml:space="preserve"> instructed hours, for the Operating Day </w:t>
            </w:r>
            <w:r w:rsidRPr="007477C6">
              <w:rPr>
                <w:i/>
              </w:rPr>
              <w:t>d</w:t>
            </w:r>
            <w:r w:rsidRPr="007477C6">
              <w:t xml:space="preserve">.  Where for a Combined Cycle Train, the Resource </w:t>
            </w:r>
            <w:r w:rsidRPr="007477C6">
              <w:rPr>
                <w:i/>
              </w:rPr>
              <w:t xml:space="preserve">r </w:t>
            </w:r>
            <w:r w:rsidRPr="007477C6">
              <w:t xml:space="preserve">is the Combined Cycle Train.  Ancillary Service </w:t>
            </w:r>
            <w:r w:rsidR="00C0502C">
              <w:t>i</w:t>
            </w:r>
            <w:r>
              <w:t xml:space="preserve">mbalance </w:t>
            </w:r>
            <w:r w:rsidRPr="007477C6">
              <w:t xml:space="preserve">costs represent </w:t>
            </w:r>
            <w:r w:rsidR="007C2D9A">
              <w:t xml:space="preserve">Real-Time </w:t>
            </w:r>
            <w:r w:rsidRPr="007477C6">
              <w:t xml:space="preserve">imbalance charges </w:t>
            </w:r>
            <w:r w:rsidR="007C2D9A">
              <w:t xml:space="preserve">for the amount of Ancillary Services the SWGR was not able to provide as required by its Day-Ahead commitment </w:t>
            </w:r>
            <w:r>
              <w:t xml:space="preserve">from </w:t>
            </w:r>
            <w:r w:rsidR="007C2D9A">
              <w:t xml:space="preserve">the </w:t>
            </w:r>
            <w:r>
              <w:t>non-ERCOT Control A</w:t>
            </w:r>
            <w:r w:rsidRPr="00851088">
              <w:t>rea</w:t>
            </w:r>
            <w:r w:rsidR="007C2D9A">
              <w:t>, starting</w:t>
            </w:r>
            <w:r w:rsidRPr="00851088">
              <w:t xml:space="preserve"> from </w:t>
            </w:r>
            <w:r>
              <w:t xml:space="preserve">the </w:t>
            </w:r>
            <w:r w:rsidRPr="00851088">
              <w:t xml:space="preserve">time of shutdown in </w:t>
            </w:r>
            <w:r>
              <w:t xml:space="preserve">the </w:t>
            </w:r>
            <w:r w:rsidRPr="00851088">
              <w:t>other grid to two hours following the time ERCOT released the Resource</w:t>
            </w:r>
            <w:r w:rsidRPr="001520A2">
              <w:t>.</w:t>
            </w:r>
          </w:p>
        </w:tc>
      </w:tr>
      <w:tr w:rsidR="00236104" w:rsidRPr="007477C6" w14:paraId="188B88F7"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242F957" w14:textId="77777777" w:rsidR="00236104" w:rsidRPr="004C7D0C" w:rsidRDefault="00236104" w:rsidP="00BA73E7">
            <w:pPr>
              <w:pStyle w:val="TableBody"/>
              <w:rPr>
                <w:lang w:val="pt-BR"/>
              </w:rPr>
            </w:pPr>
            <w:r>
              <w:rPr>
                <w:lang w:val="pt-BR"/>
              </w:rPr>
              <w:lastRenderedPageBreak/>
              <w:t>SWMWDC</w:t>
            </w:r>
            <w:r w:rsidRPr="00067DC6">
              <w:rPr>
                <w:i/>
                <w:vertAlign w:val="subscript"/>
              </w:rPr>
              <w:t xml:space="preserve"> 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1E64596C" w14:textId="77777777" w:rsidR="00236104"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0AC73D69" w14:textId="77777777" w:rsidR="00236104" w:rsidRDefault="00236104" w:rsidP="00BA73E7">
            <w:pPr>
              <w:pStyle w:val="TableBody"/>
              <w:rPr>
                <w:i/>
              </w:rPr>
            </w:pPr>
            <w:r w:rsidRPr="41460BB1">
              <w:rPr>
                <w:i/>
              </w:rPr>
              <w:t>Switchable Generator</w:t>
            </w:r>
            <w:r w:rsidRPr="007477C6">
              <w:t xml:space="preserve"> </w:t>
            </w:r>
            <w:r w:rsidRPr="41460BB1">
              <w:rPr>
                <w:i/>
              </w:rPr>
              <w:t>Make</w:t>
            </w:r>
            <w:r>
              <w:rPr>
                <w:i/>
              </w:rPr>
              <w:t>-</w:t>
            </w:r>
            <w:r w:rsidRPr="41460BB1">
              <w:rPr>
                <w:i/>
              </w:rPr>
              <w:t>Whole Payment Distribution</w:t>
            </w:r>
            <w:r>
              <w:rPr>
                <w:i/>
              </w:rPr>
              <w:t xml:space="preserve"> Cost</w:t>
            </w:r>
            <w:r w:rsidRPr="41460BB1">
              <w:rPr>
                <w:i/>
              </w:rPr>
              <w:t xml:space="preserve"> </w:t>
            </w:r>
            <w:r w:rsidRPr="007477C6">
              <w:t>—The</w:t>
            </w:r>
            <w:r w:rsidRPr="007477C6" w:rsidDel="00E21E0A">
              <w:t xml:space="preserve"> </w:t>
            </w:r>
            <w:r w:rsidRPr="00737F88">
              <w:t>Make</w:t>
            </w:r>
            <w:r>
              <w:t>-</w:t>
            </w:r>
            <w:r w:rsidRPr="00737F88">
              <w:t xml:space="preserve">Whole Payment </w:t>
            </w:r>
            <w:r w:rsidRPr="009C12DD">
              <w:t>d</w:t>
            </w:r>
            <w:r w:rsidRPr="00737F88">
              <w:t>istribution</w:t>
            </w:r>
            <w:r>
              <w:t xml:space="preserve"> costs</w:t>
            </w:r>
            <w:r w:rsidRPr="41460BB1">
              <w:rPr>
                <w:i/>
              </w:rPr>
              <w:t xml:space="preserve"> </w:t>
            </w:r>
            <w:r w:rsidRPr="007477C6">
              <w:t xml:space="preserve">for Resource </w:t>
            </w:r>
            <w:r w:rsidRPr="41460BB1">
              <w:rPr>
                <w:i/>
              </w:rPr>
              <w:t xml:space="preserve">r </w:t>
            </w:r>
            <w:r w:rsidRPr="007477C6">
              <w:t>represented by QSE</w:t>
            </w:r>
            <w:r w:rsidRPr="41460BB1">
              <w:rPr>
                <w:i/>
              </w:rPr>
              <w:t xml:space="preserve"> q </w:t>
            </w:r>
            <w:r>
              <w:t>for</w:t>
            </w:r>
            <w:r w:rsidRPr="007477C6">
              <w:t xml:space="preserve"> instructed hours, for the Operating Day </w:t>
            </w:r>
            <w:r w:rsidRPr="41460BB1">
              <w:rPr>
                <w:i/>
              </w:rPr>
              <w:t>d</w:t>
            </w:r>
            <w:r w:rsidRPr="007477C6">
              <w:t xml:space="preserve">.  Where for a Combined Cycle Train, the Resource </w:t>
            </w:r>
            <w:r w:rsidRPr="41460BB1">
              <w:rPr>
                <w:i/>
              </w:rPr>
              <w:t xml:space="preserve">r </w:t>
            </w:r>
            <w:r w:rsidRPr="007477C6">
              <w:t xml:space="preserve">is the Combined Cycle Train.  </w:t>
            </w:r>
            <w:r w:rsidRPr="00762F92">
              <w:t>Make</w:t>
            </w:r>
            <w:r>
              <w:t>-</w:t>
            </w:r>
            <w:r w:rsidRPr="00762F92">
              <w:t xml:space="preserve">Whole Payment </w:t>
            </w:r>
            <w:r w:rsidRPr="009C12DD">
              <w:t>d</w:t>
            </w:r>
            <w:r w:rsidRPr="00762F92">
              <w:t>istribution</w:t>
            </w:r>
            <w:r>
              <w:t xml:space="preserve"> costs represent </w:t>
            </w:r>
            <w:r w:rsidRPr="007477C6">
              <w:t xml:space="preserve">charges </w:t>
            </w:r>
            <w:r>
              <w:t>from non-ERCOT Control A</w:t>
            </w:r>
            <w:r w:rsidRPr="00851088">
              <w:t xml:space="preserve">rea from </w:t>
            </w:r>
            <w:r>
              <w:t xml:space="preserve">the </w:t>
            </w:r>
            <w:r w:rsidRPr="00851088">
              <w:t xml:space="preserve">time of shutdown in </w:t>
            </w:r>
            <w:r>
              <w:t xml:space="preserve">the </w:t>
            </w:r>
            <w:r w:rsidRPr="00851088">
              <w:t>other grid to two hours following the time ERCOT released the Resource</w:t>
            </w:r>
            <w:r w:rsidRPr="001520A2">
              <w:t>.</w:t>
            </w:r>
          </w:p>
        </w:tc>
      </w:tr>
      <w:tr w:rsidR="00236104" w:rsidRPr="007477C6" w14:paraId="36C40D6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C121877" w14:textId="77777777" w:rsidR="00236104" w:rsidRPr="0063447B" w:rsidRDefault="00236104" w:rsidP="00BA73E7">
            <w:pPr>
              <w:pStyle w:val="TableBody"/>
              <w:rPr>
                <w:rStyle w:val="BodyTextChar"/>
                <w:sz w:val="20"/>
              </w:rPr>
            </w:pPr>
            <w:r w:rsidRPr="004C7D0C">
              <w:rPr>
                <w:lang w:val="pt-BR"/>
              </w:rPr>
              <w:t>SWRTREV</w:t>
            </w:r>
            <w:r w:rsidRPr="002071BB">
              <w:rPr>
                <w:i/>
                <w:vertAlign w:val="subscript"/>
                <w:lang w:val="pt-BR"/>
              </w:rPr>
              <w:t xml:space="preserve"> q,</w:t>
            </w:r>
            <w:r>
              <w:rPr>
                <w:i/>
                <w:vertAlign w:val="subscript"/>
                <w:lang w:val="pt-BR"/>
              </w:rPr>
              <w:t xml:space="preserve"> </w:t>
            </w:r>
            <w:r w:rsidRPr="002071BB">
              <w:rPr>
                <w:i/>
                <w:vertAlign w:val="subscript"/>
                <w:lang w:val="pt-BR"/>
              </w:rPr>
              <w:t>r</w:t>
            </w:r>
            <w:r w:rsidRPr="005A6FD5">
              <w:rPr>
                <w:i/>
                <w:vertAlign w:val="subscript"/>
                <w:lang w:val="pt-BR"/>
              </w:rPr>
              <w:t>,</w:t>
            </w:r>
            <w:r>
              <w:rPr>
                <w:i/>
                <w:vertAlign w:val="subscript"/>
                <w:lang w:val="pt-BR"/>
              </w:rPr>
              <w:t xml:space="preserve"> d</w:t>
            </w:r>
          </w:p>
        </w:tc>
        <w:tc>
          <w:tcPr>
            <w:tcW w:w="692" w:type="pct"/>
            <w:tcBorders>
              <w:top w:val="single" w:sz="6" w:space="0" w:color="auto"/>
              <w:left w:val="single" w:sz="6" w:space="0" w:color="auto"/>
              <w:bottom w:val="single" w:sz="6" w:space="0" w:color="auto"/>
              <w:right w:val="single" w:sz="6" w:space="0" w:color="auto"/>
            </w:tcBorders>
          </w:tcPr>
          <w:p w14:paraId="1D415191" w14:textId="77777777" w:rsidR="00236104" w:rsidRPr="00851088" w:rsidRDefault="00236104" w:rsidP="00BA73E7">
            <w:pPr>
              <w:pStyle w:val="TableBody"/>
            </w:pPr>
            <w:r>
              <w:t>$</w:t>
            </w:r>
          </w:p>
        </w:tc>
        <w:tc>
          <w:tcPr>
            <w:tcW w:w="3342" w:type="pct"/>
            <w:tcBorders>
              <w:top w:val="single" w:sz="6" w:space="0" w:color="auto"/>
              <w:left w:val="single" w:sz="6" w:space="0" w:color="auto"/>
              <w:bottom w:val="single" w:sz="6" w:space="0" w:color="auto"/>
              <w:right w:val="single" w:sz="4" w:space="0" w:color="auto"/>
            </w:tcBorders>
          </w:tcPr>
          <w:p w14:paraId="6DE2F453" w14:textId="77777777" w:rsidR="00236104" w:rsidRPr="007477C6" w:rsidRDefault="00236104" w:rsidP="00BA73E7">
            <w:pPr>
              <w:pStyle w:val="TableBody"/>
            </w:pPr>
            <w:r>
              <w:rPr>
                <w:i/>
              </w:rPr>
              <w:t xml:space="preserve">Switchable Generation Real-Time Revenues – </w:t>
            </w:r>
            <w:r>
              <w:t xml:space="preserve">The sum of energy revenues for the Resource </w:t>
            </w:r>
            <w:r>
              <w:rPr>
                <w:i/>
              </w:rPr>
              <w:t xml:space="preserve">r, </w:t>
            </w:r>
            <w:r>
              <w:t xml:space="preserve">represented by QSE </w:t>
            </w:r>
            <w:r>
              <w:rPr>
                <w:i/>
              </w:rPr>
              <w:t xml:space="preserve">q, </w:t>
            </w:r>
            <w:r>
              <w:t xml:space="preserve">during all instructed hours for the Operating Day </w:t>
            </w:r>
            <w:r>
              <w:rPr>
                <w:i/>
              </w:rPr>
              <w:t xml:space="preserve">d. </w:t>
            </w:r>
            <w:r>
              <w:t xml:space="preserve"> </w:t>
            </w:r>
            <w:r w:rsidRPr="00851088">
              <w:t xml:space="preserve">Where for a </w:t>
            </w:r>
            <w:r>
              <w:t>C</w:t>
            </w:r>
            <w:r w:rsidRPr="00851088">
              <w:t xml:space="preserve">ombined </w:t>
            </w:r>
            <w:r>
              <w:t>C</w:t>
            </w:r>
            <w:r w:rsidRPr="00851088">
              <w:t xml:space="preserve">ycle </w:t>
            </w:r>
            <w:r>
              <w:t>Train, R</w:t>
            </w:r>
            <w:r w:rsidRPr="00851088">
              <w:t>esource</w:t>
            </w:r>
            <w:r w:rsidRPr="000A7355">
              <w:rPr>
                <w:i/>
              </w:rPr>
              <w:t xml:space="preserve"> r </w:t>
            </w:r>
            <w:r w:rsidRPr="001520A2">
              <w:t xml:space="preserve">is </w:t>
            </w:r>
            <w:r>
              <w:t>the</w:t>
            </w:r>
            <w:r w:rsidRPr="001520A2">
              <w:t xml:space="preserve"> Combined Cycle Train.</w:t>
            </w:r>
          </w:p>
        </w:tc>
      </w:tr>
      <w:tr w:rsidR="00236104" w:rsidRPr="007477C6" w14:paraId="19A3ED15"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A4264E9" w14:textId="77777777" w:rsidR="00236104" w:rsidRPr="00851088" w:rsidRDefault="00236104" w:rsidP="00BA73E7">
            <w:pPr>
              <w:pStyle w:val="TableBody"/>
            </w:pPr>
            <w:r w:rsidRPr="00621804">
              <w:t xml:space="preserve">GASPERSU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0025FF3D" w14:textId="77777777" w:rsidR="00236104" w:rsidRPr="001520A2" w:rsidRDefault="00236104" w:rsidP="00BA73E7">
            <w:pPr>
              <w:pStyle w:val="TableBody"/>
            </w:pPr>
            <w:r w:rsidRPr="00621804">
              <w:t>none</w:t>
            </w:r>
          </w:p>
        </w:tc>
        <w:tc>
          <w:tcPr>
            <w:tcW w:w="3342" w:type="pct"/>
            <w:tcBorders>
              <w:top w:val="single" w:sz="6" w:space="0" w:color="auto"/>
              <w:left w:val="single" w:sz="6" w:space="0" w:color="auto"/>
              <w:bottom w:val="single" w:sz="6" w:space="0" w:color="auto"/>
              <w:right w:val="single" w:sz="4" w:space="0" w:color="auto"/>
            </w:tcBorders>
          </w:tcPr>
          <w:p w14:paraId="4CBD6A4D" w14:textId="77777777" w:rsidR="00236104" w:rsidRPr="007477C6" w:rsidRDefault="00236104" w:rsidP="00BA73E7">
            <w:pPr>
              <w:pStyle w:val="TableBody"/>
              <w:rPr>
                <w:i/>
              </w:rPr>
            </w:pPr>
            <w:r w:rsidRPr="001A3855">
              <w:rPr>
                <w:i/>
              </w:rPr>
              <w:t>Percent of Natural Gas to Operate per Start</w:t>
            </w:r>
            <w:r w:rsidRPr="00621804">
              <w:t xml:space="preserve">—The percentage of natural gas used by Resource </w:t>
            </w:r>
            <w:r w:rsidRPr="001A3855">
              <w:rPr>
                <w:i/>
              </w:rPr>
              <w:t>r</w:t>
            </w:r>
            <w:r w:rsidRPr="00621804">
              <w:t xml:space="preserve"> to operate per start </w:t>
            </w:r>
            <w:r w:rsidRPr="001A3855">
              <w:rPr>
                <w:i/>
              </w:rPr>
              <w:t>s</w:t>
            </w:r>
            <w:r w:rsidRPr="00621804">
              <w:t xml:space="preserve">, as approved in the verifiable cost process.  Where for a Combined Cycle Train, the Resource </w:t>
            </w:r>
            <w:r w:rsidRPr="00763E94">
              <w:rPr>
                <w:i/>
              </w:rPr>
              <w:t>r</w:t>
            </w:r>
            <w:r w:rsidRPr="00621804">
              <w:t xml:space="preserve"> is a Combined Cycle Generation Resource within the Combined Cycle Train.</w:t>
            </w:r>
          </w:p>
        </w:tc>
      </w:tr>
      <w:tr w:rsidR="00236104" w:rsidRPr="007477C6" w14:paraId="1EC75F3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0CB1014" w14:textId="77777777" w:rsidR="00236104" w:rsidRPr="00851088" w:rsidRDefault="00236104" w:rsidP="00BA73E7">
            <w:pPr>
              <w:pStyle w:val="TableBody"/>
            </w:pPr>
            <w:r w:rsidRPr="002D7DB8">
              <w:t xml:space="preserve">OILPERSU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493493C0" w14:textId="77777777" w:rsidR="00236104" w:rsidRPr="001520A2" w:rsidRDefault="00236104" w:rsidP="00BA73E7">
            <w:pPr>
              <w:pStyle w:val="TableBody"/>
            </w:pPr>
            <w:r w:rsidRPr="002D7DB8">
              <w:t>none</w:t>
            </w:r>
          </w:p>
        </w:tc>
        <w:tc>
          <w:tcPr>
            <w:tcW w:w="3342" w:type="pct"/>
            <w:tcBorders>
              <w:top w:val="single" w:sz="6" w:space="0" w:color="auto"/>
              <w:left w:val="single" w:sz="6" w:space="0" w:color="auto"/>
              <w:bottom w:val="single" w:sz="6" w:space="0" w:color="auto"/>
              <w:right w:val="single" w:sz="4" w:space="0" w:color="auto"/>
            </w:tcBorders>
          </w:tcPr>
          <w:p w14:paraId="01150758" w14:textId="77777777" w:rsidR="00236104" w:rsidRPr="007477C6" w:rsidRDefault="00236104" w:rsidP="00BA73E7">
            <w:pPr>
              <w:pStyle w:val="TableBody"/>
              <w:rPr>
                <w:i/>
              </w:rPr>
            </w:pPr>
            <w:r w:rsidRPr="001A3855">
              <w:rPr>
                <w:i/>
              </w:rPr>
              <w:t>Percent of Oil to Operate per Start</w:t>
            </w:r>
            <w:r w:rsidRPr="002D7DB8">
              <w:t xml:space="preserve">—The percentage of fuel oil used by Resource </w:t>
            </w:r>
            <w:r w:rsidRPr="001A3855">
              <w:rPr>
                <w:i/>
              </w:rPr>
              <w:t>r</w:t>
            </w:r>
            <w:r w:rsidRPr="002D7DB8">
              <w:t xml:space="preserve"> to operate per start </w:t>
            </w:r>
            <w:r w:rsidRPr="001A3855">
              <w:rPr>
                <w:i/>
              </w:rPr>
              <w:t>s</w:t>
            </w:r>
            <w:r w:rsidRPr="002D7DB8">
              <w:t xml:space="preserve">, as approved in the verifiable cost process.  Where for a Combined Cycle Train, the Resource </w:t>
            </w:r>
            <w:r w:rsidRPr="00763E94">
              <w:rPr>
                <w:i/>
              </w:rPr>
              <w:t>r</w:t>
            </w:r>
            <w:r w:rsidRPr="002D7DB8">
              <w:t xml:space="preserve"> is a Combined Cycle Generation Resource within the Combined Cycle Train.</w:t>
            </w:r>
          </w:p>
        </w:tc>
      </w:tr>
      <w:tr w:rsidR="00236104" w:rsidRPr="007477C6" w14:paraId="13819E2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19D5757" w14:textId="77777777" w:rsidR="00236104" w:rsidRPr="00851088" w:rsidRDefault="00236104" w:rsidP="00BA73E7">
            <w:pPr>
              <w:pStyle w:val="TableBody"/>
            </w:pPr>
            <w:r w:rsidRPr="007C72CE">
              <w:t xml:space="preserve">SFPERSU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6C2C8213" w14:textId="77777777" w:rsidR="00236104" w:rsidRPr="001520A2" w:rsidRDefault="00236104" w:rsidP="00BA73E7">
            <w:pPr>
              <w:pStyle w:val="TableBody"/>
            </w:pPr>
            <w:r w:rsidRPr="007C72CE">
              <w:t>none</w:t>
            </w:r>
          </w:p>
        </w:tc>
        <w:tc>
          <w:tcPr>
            <w:tcW w:w="3342" w:type="pct"/>
            <w:tcBorders>
              <w:top w:val="single" w:sz="6" w:space="0" w:color="auto"/>
              <w:left w:val="single" w:sz="6" w:space="0" w:color="auto"/>
              <w:bottom w:val="single" w:sz="6" w:space="0" w:color="auto"/>
              <w:right w:val="single" w:sz="4" w:space="0" w:color="auto"/>
            </w:tcBorders>
          </w:tcPr>
          <w:p w14:paraId="028716C8" w14:textId="77777777" w:rsidR="00236104" w:rsidRPr="007477C6" w:rsidRDefault="00236104" w:rsidP="00BA73E7">
            <w:pPr>
              <w:pStyle w:val="TableBody"/>
              <w:rPr>
                <w:i/>
              </w:rPr>
            </w:pPr>
            <w:r w:rsidRPr="001A3855">
              <w:rPr>
                <w:i/>
              </w:rPr>
              <w:t>Percent of Solid Fuel to Operate per Start</w:t>
            </w:r>
            <w:r w:rsidRPr="007C72CE">
              <w:t xml:space="preserve">—The percentage of solid fuel used by Resource </w:t>
            </w:r>
            <w:r w:rsidRPr="001A3855">
              <w:rPr>
                <w:i/>
              </w:rPr>
              <w:t>r</w:t>
            </w:r>
            <w:r w:rsidRPr="007C72CE">
              <w:t xml:space="preserve"> to operate per start </w:t>
            </w:r>
            <w:r w:rsidRPr="001A3855">
              <w:rPr>
                <w:i/>
              </w:rPr>
              <w:t>s</w:t>
            </w:r>
            <w:r w:rsidRPr="007C72CE">
              <w:t xml:space="preserve">, as approved in the verifiable cost process.  Where for a Combined Cycle Train, the Resource </w:t>
            </w:r>
            <w:r w:rsidRPr="00763E94">
              <w:rPr>
                <w:i/>
              </w:rPr>
              <w:t>r</w:t>
            </w:r>
            <w:r w:rsidRPr="007C72CE">
              <w:t xml:space="preserve"> is a Combined Cycle Generation Resource within the Combined Cycle Train.</w:t>
            </w:r>
          </w:p>
        </w:tc>
      </w:tr>
      <w:tr w:rsidR="00236104" w:rsidRPr="007477C6" w14:paraId="57CE43D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E9CC0B7" w14:textId="77777777" w:rsidR="00236104" w:rsidRPr="007C72CE" w:rsidRDefault="00236104" w:rsidP="00BA73E7">
            <w:pPr>
              <w:pStyle w:val="TableBody"/>
            </w:pPr>
            <w:r w:rsidRPr="00042C23">
              <w:t xml:space="preserve">GASPERME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0E9A2412" w14:textId="77777777" w:rsidR="00236104" w:rsidRPr="007C72CE" w:rsidRDefault="00236104" w:rsidP="00BA73E7">
            <w:pPr>
              <w:pStyle w:val="TableBody"/>
            </w:pPr>
            <w:r w:rsidRPr="00042C23">
              <w:t>None</w:t>
            </w:r>
          </w:p>
        </w:tc>
        <w:tc>
          <w:tcPr>
            <w:tcW w:w="3342" w:type="pct"/>
            <w:tcBorders>
              <w:top w:val="single" w:sz="6" w:space="0" w:color="auto"/>
              <w:left w:val="single" w:sz="6" w:space="0" w:color="auto"/>
              <w:bottom w:val="single" w:sz="6" w:space="0" w:color="auto"/>
              <w:right w:val="single" w:sz="4" w:space="0" w:color="auto"/>
            </w:tcBorders>
          </w:tcPr>
          <w:p w14:paraId="4A66761E" w14:textId="77777777" w:rsidR="00236104" w:rsidRPr="007C72CE" w:rsidRDefault="00236104" w:rsidP="00BA73E7">
            <w:pPr>
              <w:pStyle w:val="TableBody"/>
            </w:pPr>
            <w:r w:rsidRPr="001A3855">
              <w:rPr>
                <w:i/>
              </w:rPr>
              <w:t>Percent of Natural Gas to Operate at LSL</w:t>
            </w:r>
            <w:r w:rsidRPr="00042C23">
              <w:t xml:space="preserve">—The percentage of natural gas used by Resource </w:t>
            </w:r>
            <w:r w:rsidRPr="001A3855">
              <w:rPr>
                <w:i/>
              </w:rPr>
              <w:t>r</w:t>
            </w:r>
            <w:r w:rsidRPr="00042C23">
              <w:t xml:space="preserve"> to operate at LSL, as approved in the verifiable cost process.  Where for a Combined Cycle Train, the Resource </w:t>
            </w:r>
            <w:r w:rsidRPr="00763E94">
              <w:rPr>
                <w:i/>
              </w:rPr>
              <w:t>r</w:t>
            </w:r>
            <w:r w:rsidRPr="00042C23">
              <w:t xml:space="preserve"> is a Combined Cycle Generation Resource within the Combined Cycle Train.</w:t>
            </w:r>
          </w:p>
        </w:tc>
      </w:tr>
      <w:tr w:rsidR="00236104" w:rsidRPr="007477C6" w14:paraId="3DC843A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F0DCBB4" w14:textId="77777777" w:rsidR="00236104" w:rsidRPr="00042C23" w:rsidRDefault="00236104" w:rsidP="00BA73E7">
            <w:pPr>
              <w:pStyle w:val="TableBody"/>
            </w:pPr>
            <w:r w:rsidRPr="0025501E">
              <w:t xml:space="preserve">OILPERME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F4C7322" w14:textId="77777777" w:rsidR="00236104" w:rsidRPr="00042C23" w:rsidRDefault="00236104" w:rsidP="00BA73E7">
            <w:pPr>
              <w:pStyle w:val="TableBody"/>
            </w:pPr>
            <w:r w:rsidRPr="0025501E">
              <w:t>None</w:t>
            </w:r>
          </w:p>
        </w:tc>
        <w:tc>
          <w:tcPr>
            <w:tcW w:w="3342" w:type="pct"/>
            <w:tcBorders>
              <w:top w:val="single" w:sz="6" w:space="0" w:color="auto"/>
              <w:left w:val="single" w:sz="6" w:space="0" w:color="auto"/>
              <w:bottom w:val="single" w:sz="6" w:space="0" w:color="auto"/>
              <w:right w:val="single" w:sz="4" w:space="0" w:color="auto"/>
            </w:tcBorders>
          </w:tcPr>
          <w:p w14:paraId="62E9C8C6" w14:textId="77777777" w:rsidR="00236104" w:rsidRPr="00042C23" w:rsidRDefault="00236104" w:rsidP="00BA73E7">
            <w:pPr>
              <w:pStyle w:val="TableBody"/>
            </w:pPr>
            <w:r w:rsidRPr="001A3855">
              <w:rPr>
                <w:i/>
              </w:rPr>
              <w:t>Percent of Oil to Operate at LSL</w:t>
            </w:r>
            <w:r w:rsidRPr="0025501E">
              <w:t xml:space="preserve">—The percentage of fuel oil used by Resource </w:t>
            </w:r>
            <w:r w:rsidRPr="001A3855">
              <w:rPr>
                <w:i/>
              </w:rPr>
              <w:t>r</w:t>
            </w:r>
            <w:r w:rsidRPr="0025501E">
              <w:t xml:space="preserve"> to operate at LSL, as approved in the verifiable cost process.  Where for a Combined Cycle Train, the Resource </w:t>
            </w:r>
            <w:r w:rsidRPr="00763E94">
              <w:rPr>
                <w:i/>
              </w:rPr>
              <w:t>r</w:t>
            </w:r>
            <w:r w:rsidRPr="0025501E">
              <w:t xml:space="preserve"> is a Combined Cycle Generation Resource within the Combined Cycle Train.</w:t>
            </w:r>
          </w:p>
        </w:tc>
      </w:tr>
      <w:tr w:rsidR="00236104" w:rsidRPr="007477C6" w14:paraId="3DC19747"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6D80A7A" w14:textId="77777777" w:rsidR="00236104" w:rsidRPr="00042C23" w:rsidRDefault="00236104" w:rsidP="00BA73E7">
            <w:pPr>
              <w:pStyle w:val="TableBody"/>
            </w:pPr>
            <w:r w:rsidRPr="0061060C">
              <w:t xml:space="preserve">SFPERME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916B59F" w14:textId="77777777" w:rsidR="00236104" w:rsidRPr="00042C23" w:rsidRDefault="00236104" w:rsidP="00BA73E7">
            <w:pPr>
              <w:pStyle w:val="TableBody"/>
            </w:pPr>
            <w:r w:rsidRPr="0061060C">
              <w:t xml:space="preserve">None </w:t>
            </w:r>
          </w:p>
        </w:tc>
        <w:tc>
          <w:tcPr>
            <w:tcW w:w="3342" w:type="pct"/>
            <w:tcBorders>
              <w:top w:val="single" w:sz="6" w:space="0" w:color="auto"/>
              <w:left w:val="single" w:sz="6" w:space="0" w:color="auto"/>
              <w:bottom w:val="single" w:sz="6" w:space="0" w:color="auto"/>
              <w:right w:val="single" w:sz="4" w:space="0" w:color="auto"/>
            </w:tcBorders>
          </w:tcPr>
          <w:p w14:paraId="274283A8" w14:textId="77777777" w:rsidR="00236104" w:rsidRPr="00042C23" w:rsidRDefault="00236104" w:rsidP="00BA73E7">
            <w:pPr>
              <w:pStyle w:val="TableBody"/>
            </w:pPr>
            <w:r w:rsidRPr="001A3855">
              <w:rPr>
                <w:i/>
              </w:rPr>
              <w:t>Percent of Solid Fuel to Operate at LSL</w:t>
            </w:r>
            <w:r w:rsidRPr="0061060C">
              <w:t xml:space="preserve">—The percentage of solid fuel used by Resource </w:t>
            </w:r>
            <w:r w:rsidRPr="001A3855">
              <w:rPr>
                <w:i/>
              </w:rPr>
              <w:t>r</w:t>
            </w:r>
            <w:r w:rsidRPr="0061060C">
              <w:t xml:space="preserve"> to operate at LSL, as approved in the verifiable cost process.  Where for a Combined Cycle Train, the Resource </w:t>
            </w:r>
            <w:r w:rsidRPr="00763E94">
              <w:rPr>
                <w:i/>
              </w:rPr>
              <w:t>r</w:t>
            </w:r>
            <w:r w:rsidRPr="0061060C">
              <w:t xml:space="preserve"> is a Combined Cycle Generation Resource within the Combined Cycle Train.</w:t>
            </w:r>
          </w:p>
        </w:tc>
      </w:tr>
      <w:tr w:rsidR="00236104" w:rsidRPr="007477C6" w14:paraId="3E00E24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6D55110" w14:textId="77777777" w:rsidR="00236104" w:rsidRPr="00851088" w:rsidRDefault="00236104" w:rsidP="00BA73E7">
            <w:pPr>
              <w:pStyle w:val="TableBody"/>
            </w:pPr>
            <w:r w:rsidRPr="00851088">
              <w:t>DAFCRS</w:t>
            </w:r>
            <w:r>
              <w:t xml:space="preserve"> </w:t>
            </w:r>
            <w:r w:rsidRPr="00B11DBA">
              <w:rPr>
                <w:i/>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0093BD97" w14:textId="77777777" w:rsidR="00236104" w:rsidRPr="00F119E9" w:rsidRDefault="00236104" w:rsidP="00BA73E7">
            <w:pPr>
              <w:pStyle w:val="TableBody"/>
            </w:pPr>
            <w:r w:rsidRPr="001520A2">
              <w:t>MMBtu/Start</w:t>
            </w:r>
          </w:p>
        </w:tc>
        <w:tc>
          <w:tcPr>
            <w:tcW w:w="3342" w:type="pct"/>
            <w:tcBorders>
              <w:top w:val="single" w:sz="6" w:space="0" w:color="auto"/>
              <w:left w:val="single" w:sz="6" w:space="0" w:color="auto"/>
              <w:bottom w:val="single" w:sz="6" w:space="0" w:color="auto"/>
              <w:right w:val="single" w:sz="4" w:space="0" w:color="auto"/>
            </w:tcBorders>
          </w:tcPr>
          <w:p w14:paraId="3EDCF71D" w14:textId="77777777" w:rsidR="00236104" w:rsidRPr="00CD03E9" w:rsidRDefault="00236104" w:rsidP="00BA73E7">
            <w:pPr>
              <w:pStyle w:val="TableBody"/>
              <w:rPr>
                <w:i/>
              </w:rPr>
            </w:pPr>
            <w:r w:rsidRPr="007477C6">
              <w:rPr>
                <w:i/>
              </w:rPr>
              <w:t>Day-Ahead Actual Fuel Consumption Rate per Start</w:t>
            </w:r>
            <w:r w:rsidRPr="0061060C">
              <w:t>—</w:t>
            </w:r>
            <w:r w:rsidRPr="00F119E9">
              <w:t xml:space="preserve">The actual fuel consumption rate for Resource </w:t>
            </w:r>
            <w:r w:rsidRPr="007477C6">
              <w:rPr>
                <w:i/>
              </w:rPr>
              <w:t>r</w:t>
            </w:r>
            <w:r w:rsidRPr="00F119E9">
              <w:t xml:space="preserve"> to startup per start type </w:t>
            </w:r>
            <w:r w:rsidRPr="007477C6">
              <w:rPr>
                <w:i/>
              </w:rPr>
              <w:t>s</w:t>
            </w:r>
            <w:r w:rsidRPr="00F119E9">
              <w:t xml:space="preserve">, adjusted by </w:t>
            </w:r>
            <w:r w:rsidRPr="004D0722">
              <w:t>VOXR</w:t>
            </w:r>
            <w:r>
              <w:t xml:space="preserve"> as defined in the Verifiable Cost Manual</w:t>
            </w:r>
            <w:r w:rsidRPr="004D0722">
              <w:t xml:space="preserve">. </w:t>
            </w:r>
            <w:r>
              <w:t xml:space="preserve"> </w:t>
            </w:r>
            <w:r w:rsidRPr="004D0722">
              <w:t xml:space="preserve">Where for a Combined Cycle Train, the Resource </w:t>
            </w:r>
            <w:r w:rsidRPr="00763E94">
              <w:rPr>
                <w:i/>
              </w:rPr>
              <w:t>r</w:t>
            </w:r>
            <w:r w:rsidRPr="004D0722">
              <w:t xml:space="preserve"> is a Combined Cycle Generation Resource within the Combined Cycle Train. </w:t>
            </w:r>
            <w:r>
              <w:t xml:space="preserve"> </w:t>
            </w:r>
            <w:r w:rsidRPr="004D0722">
              <w:t xml:space="preserve">For additional information, see </w:t>
            </w:r>
            <w:r>
              <w:t xml:space="preserve">Verifiable Cost Manual </w:t>
            </w:r>
            <w:r w:rsidRPr="004D0722">
              <w:t>Section 3.3, Startup Fuel Consumption.</w:t>
            </w:r>
          </w:p>
        </w:tc>
      </w:tr>
      <w:tr w:rsidR="00236104" w:rsidRPr="007477C6" w14:paraId="1E37269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2F5EC27" w14:textId="77777777" w:rsidR="00236104" w:rsidRPr="00067DC6" w:rsidRDefault="00236104" w:rsidP="00BA73E7">
            <w:pPr>
              <w:pStyle w:val="TableBody"/>
            </w:pPr>
            <w:r w:rsidRPr="006F0FD9">
              <w:t>VOMS</w:t>
            </w:r>
            <w:r>
              <w:t xml:space="preserve">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6F7161A4" w14:textId="77777777" w:rsidR="00236104" w:rsidRPr="00067DC6" w:rsidRDefault="00236104" w:rsidP="00BA73E7">
            <w:pPr>
              <w:pStyle w:val="TableBody"/>
            </w:pPr>
            <w:r w:rsidRPr="00067DC6">
              <w:rPr>
                <w:iCs w:val="0"/>
              </w:rPr>
              <w:t>$/Start</w:t>
            </w:r>
          </w:p>
        </w:tc>
        <w:tc>
          <w:tcPr>
            <w:tcW w:w="3342" w:type="pct"/>
            <w:tcBorders>
              <w:top w:val="single" w:sz="6" w:space="0" w:color="auto"/>
              <w:left w:val="single" w:sz="6" w:space="0" w:color="auto"/>
              <w:bottom w:val="single" w:sz="6" w:space="0" w:color="auto"/>
              <w:right w:val="single" w:sz="4" w:space="0" w:color="auto"/>
            </w:tcBorders>
          </w:tcPr>
          <w:p w14:paraId="6BBBC9BC" w14:textId="77777777" w:rsidR="00236104" w:rsidRPr="00067DC6" w:rsidRDefault="00236104" w:rsidP="00C0502C">
            <w:pPr>
              <w:pStyle w:val="TableBody"/>
              <w:rPr>
                <w:i/>
              </w:rPr>
            </w:pPr>
            <w:r w:rsidRPr="00067DC6">
              <w:rPr>
                <w:i/>
                <w:iCs w:val="0"/>
              </w:rPr>
              <w:t>Variable Operations and Maintenance Cost per Start</w:t>
            </w:r>
            <w:r w:rsidRPr="0061060C">
              <w:t>—</w:t>
            </w:r>
            <w:r w:rsidRPr="00067DC6">
              <w:rPr>
                <w:iCs w:val="0"/>
              </w:rPr>
              <w:t xml:space="preserve">The operations and maintenance cost for Resource </w:t>
            </w:r>
            <w:r w:rsidRPr="00067DC6">
              <w:rPr>
                <w:i/>
                <w:iCs w:val="0"/>
              </w:rPr>
              <w:t>r</w:t>
            </w:r>
            <w:r w:rsidRPr="00067DC6">
              <w:rPr>
                <w:iCs w:val="0"/>
              </w:rPr>
              <w:t xml:space="preserve"> to startup, per start </w:t>
            </w:r>
            <w:r w:rsidRPr="00067DC6">
              <w:rPr>
                <w:i/>
                <w:iCs w:val="0"/>
              </w:rPr>
              <w:t>s</w:t>
            </w:r>
            <w:r w:rsidRPr="00067DC6">
              <w:rPr>
                <w:iCs w:val="0"/>
              </w:rPr>
              <w:t xml:space="preserve">, including an adjustment for emissions costs. </w:t>
            </w:r>
            <w:r>
              <w:rPr>
                <w:iCs w:val="0"/>
              </w:rPr>
              <w:t xml:space="preserve"> </w:t>
            </w:r>
            <w:r w:rsidRPr="00067DC6">
              <w:rPr>
                <w:iCs w:val="0"/>
              </w:rPr>
              <w:t xml:space="preserve">Where for a Combined Cycle Train, the Resource </w:t>
            </w:r>
            <w:r w:rsidRPr="00067DC6">
              <w:rPr>
                <w:i/>
                <w:iCs w:val="0"/>
              </w:rPr>
              <w:t>r</w:t>
            </w:r>
            <w:r w:rsidRPr="00067DC6">
              <w:rPr>
                <w:iCs w:val="0"/>
              </w:rPr>
              <w:t xml:space="preserve"> is a Combined Cycle Generation Resource within the Combined Cycle Train. </w:t>
            </w:r>
            <w:r>
              <w:rPr>
                <w:iCs w:val="0"/>
              </w:rPr>
              <w:t xml:space="preserve"> </w:t>
            </w:r>
            <w:r w:rsidRPr="00067DC6">
              <w:rPr>
                <w:iCs w:val="0"/>
              </w:rPr>
              <w:t xml:space="preserve">For additional information, see </w:t>
            </w:r>
            <w:r>
              <w:rPr>
                <w:iCs w:val="0"/>
              </w:rPr>
              <w:t xml:space="preserve">Verifiable Cost Manual </w:t>
            </w:r>
            <w:r w:rsidRPr="00067DC6">
              <w:rPr>
                <w:iCs w:val="0"/>
              </w:rPr>
              <w:t>Section 3.</w:t>
            </w:r>
            <w:r w:rsidR="00C0502C">
              <w:rPr>
                <w:iCs w:val="0"/>
              </w:rPr>
              <w:t>2, Submitting Startup Costs</w:t>
            </w:r>
            <w:r w:rsidRPr="00067DC6">
              <w:rPr>
                <w:iCs w:val="0"/>
              </w:rPr>
              <w:t>.</w:t>
            </w:r>
          </w:p>
        </w:tc>
      </w:tr>
      <w:tr w:rsidR="00236104" w:rsidRPr="007477C6" w14:paraId="2BDFB487"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4CF2021" w14:textId="77777777" w:rsidR="00236104" w:rsidRPr="00851088" w:rsidRDefault="00236104" w:rsidP="00BA73E7">
            <w:pPr>
              <w:pStyle w:val="TableBody"/>
            </w:pPr>
            <w:r w:rsidRPr="00F119E9">
              <w:lastRenderedPageBreak/>
              <w:t>VOMLSL</w:t>
            </w:r>
            <w:r>
              <w:t xml:space="preserv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9106635" w14:textId="77777777" w:rsidR="00236104" w:rsidRPr="001520A2" w:rsidRDefault="00236104" w:rsidP="00BA73E7">
            <w:pPr>
              <w:pStyle w:val="TableBody"/>
            </w:pPr>
            <w:r w:rsidRPr="001520A2">
              <w:t>$/MWh</w:t>
            </w:r>
          </w:p>
        </w:tc>
        <w:tc>
          <w:tcPr>
            <w:tcW w:w="3342" w:type="pct"/>
            <w:tcBorders>
              <w:top w:val="single" w:sz="6" w:space="0" w:color="auto"/>
              <w:left w:val="single" w:sz="6" w:space="0" w:color="auto"/>
              <w:bottom w:val="single" w:sz="6" w:space="0" w:color="auto"/>
              <w:right w:val="single" w:sz="4" w:space="0" w:color="auto"/>
            </w:tcBorders>
          </w:tcPr>
          <w:p w14:paraId="652DDF63" w14:textId="77777777" w:rsidR="00236104" w:rsidRPr="001520A2" w:rsidRDefault="00236104" w:rsidP="00BA73E7">
            <w:pPr>
              <w:pStyle w:val="TableBody"/>
              <w:rPr>
                <w:i/>
              </w:rPr>
            </w:pPr>
            <w:r w:rsidRPr="007477C6">
              <w:rPr>
                <w:i/>
              </w:rPr>
              <w:t>Variable Operations and Maintenance Cost at LSL</w:t>
            </w:r>
            <w:r w:rsidRPr="0061060C">
              <w:t>—</w:t>
            </w:r>
            <w:r w:rsidRPr="00F119E9">
              <w:t xml:space="preserve">The operations and maintenance cost for </w:t>
            </w:r>
            <w:r w:rsidRPr="00851088">
              <w:t xml:space="preserve">Resource </w:t>
            </w:r>
            <w:r w:rsidRPr="00763E94">
              <w:rPr>
                <w:i/>
              </w:rPr>
              <w:t>r</w:t>
            </w:r>
            <w:r w:rsidRPr="00851088">
              <w:t xml:space="preserve"> to operate at LSL, including an adjustment for emissions costs. </w:t>
            </w:r>
            <w:r>
              <w:t xml:space="preserve"> </w:t>
            </w:r>
            <w:r w:rsidRPr="00851088">
              <w:t xml:space="preserve">Where for a Combined Cycle Train, the Resource </w:t>
            </w:r>
            <w:r w:rsidRPr="00763E94">
              <w:rPr>
                <w:i/>
              </w:rPr>
              <w:t>r</w:t>
            </w:r>
            <w:r w:rsidRPr="00851088">
              <w:t xml:space="preserve"> is a Combined Cycle Generation Resource within the Combined Cycle Train. </w:t>
            </w:r>
            <w:r>
              <w:t xml:space="preserve"> </w:t>
            </w:r>
            <w:r w:rsidRPr="00851088">
              <w:t xml:space="preserve">For additional information, see </w:t>
            </w:r>
            <w:r>
              <w:t xml:space="preserve">Verifiable Cost Manual </w:t>
            </w:r>
            <w:r w:rsidRPr="00851088">
              <w:t xml:space="preserve">Section 4.2, </w:t>
            </w:r>
            <w:r w:rsidR="00C0502C" w:rsidRPr="00C0502C">
              <w:t>Submitting Minimum Energy Costs</w:t>
            </w:r>
            <w:r w:rsidRPr="001520A2">
              <w:t>.</w:t>
            </w:r>
          </w:p>
        </w:tc>
      </w:tr>
      <w:tr w:rsidR="00236104" w:rsidRPr="007477C6" w14:paraId="1C19845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01D7789" w14:textId="77777777" w:rsidR="00236104" w:rsidRPr="00851088" w:rsidRDefault="00236104" w:rsidP="00BA73E7">
            <w:pPr>
              <w:pStyle w:val="TableBody"/>
            </w:pPr>
            <w:r w:rsidRPr="007477C6">
              <w:t>LSL</w:t>
            </w:r>
            <w:r>
              <w:t xml:space="preserve"> </w:t>
            </w:r>
            <w:r w:rsidRPr="001A3855">
              <w:rPr>
                <w:i/>
                <w:vertAlign w:val="subscript"/>
              </w:rPr>
              <w:t>q,</w:t>
            </w:r>
            <w:r>
              <w:rPr>
                <w:i/>
                <w:vertAlign w:val="subscript"/>
              </w:rPr>
              <w:t xml:space="preserve">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457F8A1A" w14:textId="77777777" w:rsidR="00236104" w:rsidRPr="001520A2" w:rsidRDefault="00236104" w:rsidP="00BA73E7">
            <w:pPr>
              <w:pStyle w:val="TableBody"/>
            </w:pPr>
            <w:r w:rsidRPr="001520A2">
              <w:t>MW</w:t>
            </w:r>
          </w:p>
        </w:tc>
        <w:tc>
          <w:tcPr>
            <w:tcW w:w="3342" w:type="pct"/>
            <w:tcBorders>
              <w:top w:val="single" w:sz="6" w:space="0" w:color="auto"/>
              <w:left w:val="single" w:sz="6" w:space="0" w:color="auto"/>
              <w:bottom w:val="single" w:sz="6" w:space="0" w:color="auto"/>
              <w:right w:val="single" w:sz="4" w:space="0" w:color="auto"/>
            </w:tcBorders>
          </w:tcPr>
          <w:p w14:paraId="48E1DE49" w14:textId="77777777" w:rsidR="00236104" w:rsidRPr="00F119E9" w:rsidRDefault="00236104" w:rsidP="00BA73E7">
            <w:pPr>
              <w:pStyle w:val="TableBody"/>
              <w:rPr>
                <w:i/>
              </w:rPr>
            </w:pPr>
            <w:r w:rsidRPr="007477C6">
              <w:rPr>
                <w:i/>
              </w:rPr>
              <w:t>Low Sustained Limit</w:t>
            </w:r>
            <w:r w:rsidRPr="00F119E9">
              <w:t xml:space="preserve">—The LSL of Generation Resource </w:t>
            </w:r>
            <w:r w:rsidRPr="00763E94">
              <w:rPr>
                <w:i/>
              </w:rPr>
              <w:t>r</w:t>
            </w:r>
            <w:r w:rsidRPr="00F119E9">
              <w:t xml:space="preserve"> represented by QSE </w:t>
            </w:r>
            <w:r w:rsidRPr="00763E94">
              <w:rPr>
                <w:i/>
              </w:rPr>
              <w:t>q</w:t>
            </w:r>
            <w:r w:rsidRPr="00F119E9">
              <w:t xml:space="preserve"> for the hour that includes the Settlement Interval </w:t>
            </w:r>
            <w:r w:rsidRPr="00763E94">
              <w:rPr>
                <w:i/>
              </w:rPr>
              <w:t>i</w:t>
            </w:r>
            <w:r w:rsidRPr="00F119E9">
              <w:t xml:space="preserve">, as submitted in the COP.  Where for a Combined Cycle Train, the Resource </w:t>
            </w:r>
            <w:r w:rsidRPr="00763E94">
              <w:rPr>
                <w:i/>
              </w:rPr>
              <w:t>r</w:t>
            </w:r>
            <w:r w:rsidRPr="00F119E9">
              <w:t xml:space="preserve"> is a Combined Cycle Generation Resource within the Combined Cycle Train.  </w:t>
            </w:r>
          </w:p>
        </w:tc>
      </w:tr>
      <w:tr w:rsidR="00236104" w:rsidRPr="007477C6" w14:paraId="108EAD55"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9F7C891" w14:textId="77777777" w:rsidR="00236104" w:rsidRPr="00851088" w:rsidRDefault="00236104" w:rsidP="00BA73E7">
            <w:pPr>
              <w:pStyle w:val="TableBody"/>
            </w:pPr>
            <w:r w:rsidRPr="0063447B">
              <w:t xml:space="preserve">RTMG </w:t>
            </w:r>
            <w:r w:rsidRPr="001A3855">
              <w:rPr>
                <w:i/>
                <w:vertAlign w:val="subscript"/>
              </w:rPr>
              <w:t>q,</w:t>
            </w:r>
            <w:r>
              <w:rPr>
                <w:i/>
                <w:vertAlign w:val="subscript"/>
              </w:rPr>
              <w:t xml:space="preserve">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51D621EA" w14:textId="77777777" w:rsidR="00236104" w:rsidRPr="001520A2" w:rsidRDefault="00236104" w:rsidP="00BA73E7">
            <w:pPr>
              <w:pStyle w:val="TableBody"/>
            </w:pPr>
            <w:r w:rsidRPr="001520A2">
              <w:t>MWh</w:t>
            </w:r>
          </w:p>
        </w:tc>
        <w:tc>
          <w:tcPr>
            <w:tcW w:w="3342" w:type="pct"/>
            <w:tcBorders>
              <w:top w:val="single" w:sz="6" w:space="0" w:color="auto"/>
              <w:left w:val="single" w:sz="6" w:space="0" w:color="auto"/>
              <w:bottom w:val="single" w:sz="6" w:space="0" w:color="auto"/>
              <w:right w:val="single" w:sz="4" w:space="0" w:color="auto"/>
            </w:tcBorders>
          </w:tcPr>
          <w:p w14:paraId="1EDFF38A" w14:textId="77777777" w:rsidR="00236104" w:rsidRPr="00F119E9" w:rsidRDefault="00236104" w:rsidP="00BA73E7">
            <w:pPr>
              <w:pStyle w:val="TableBody"/>
              <w:rPr>
                <w:i/>
              </w:rPr>
            </w:pPr>
            <w:r w:rsidRPr="007477C6">
              <w:rPr>
                <w:i/>
              </w:rPr>
              <w:t>Real-Time Metered Generation per QSE per Resource by Settlement Interval by hour</w:t>
            </w:r>
            <w:r w:rsidRPr="00F119E9">
              <w:t xml:space="preserve">—The Real-Time energy from </w:t>
            </w:r>
            <w:r>
              <w:t>Resource</w:t>
            </w:r>
            <w:r w:rsidRPr="00F119E9">
              <w:t xml:space="preserve"> </w:t>
            </w:r>
            <w:r w:rsidRPr="00763E94">
              <w:rPr>
                <w:i/>
              </w:rPr>
              <w:t>r</w:t>
            </w:r>
            <w:r w:rsidRPr="00F119E9">
              <w:t xml:space="preserve"> represented by QSE </w:t>
            </w:r>
            <w:r w:rsidRPr="00763E94">
              <w:rPr>
                <w:i/>
              </w:rPr>
              <w:t>q</w:t>
            </w:r>
            <w:r w:rsidRPr="00F119E9">
              <w:t xml:space="preserve">, for the 15-minute Settlement Interval </w:t>
            </w:r>
            <w:r w:rsidRPr="00763E94">
              <w:rPr>
                <w:i/>
              </w:rPr>
              <w:t>i</w:t>
            </w:r>
            <w:r w:rsidRPr="00F119E9">
              <w:t xml:space="preserve">.  Where for a Combined Cycle Train, the Resource </w:t>
            </w:r>
            <w:r w:rsidRPr="00763E94">
              <w:rPr>
                <w:i/>
              </w:rPr>
              <w:t>r</w:t>
            </w:r>
            <w:r w:rsidRPr="00F119E9">
              <w:t xml:space="preserve"> is the Combined Cycle Train.</w:t>
            </w:r>
          </w:p>
        </w:tc>
      </w:tr>
      <w:tr w:rsidR="00236104" w:rsidRPr="007477C6" w14:paraId="2DB7BA4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C9C5232" w14:textId="77777777" w:rsidR="00236104" w:rsidRPr="0063447B" w:rsidRDefault="00236104" w:rsidP="00BA73E7">
            <w:pPr>
              <w:pStyle w:val="TableBody"/>
            </w:pPr>
            <w:r w:rsidRPr="007477C6">
              <w:t xml:space="preserve">AHR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240A2A79" w14:textId="77777777" w:rsidR="00236104" w:rsidRPr="0063447B" w:rsidRDefault="00236104" w:rsidP="00BA73E7">
            <w:pPr>
              <w:pStyle w:val="TableBody"/>
            </w:pPr>
            <w:r w:rsidRPr="0063447B">
              <w:t>MMBtu / MWh</w:t>
            </w:r>
          </w:p>
        </w:tc>
        <w:tc>
          <w:tcPr>
            <w:tcW w:w="3342" w:type="pct"/>
            <w:tcBorders>
              <w:top w:val="single" w:sz="6" w:space="0" w:color="auto"/>
              <w:left w:val="single" w:sz="6" w:space="0" w:color="auto"/>
              <w:bottom w:val="single" w:sz="6" w:space="0" w:color="auto"/>
              <w:right w:val="single" w:sz="4" w:space="0" w:color="auto"/>
            </w:tcBorders>
          </w:tcPr>
          <w:p w14:paraId="350C236C" w14:textId="77777777" w:rsidR="00236104" w:rsidRPr="00F119E9" w:rsidRDefault="00236104" w:rsidP="00BA73E7">
            <w:pPr>
              <w:pStyle w:val="TableBody"/>
              <w:rPr>
                <w:i/>
              </w:rPr>
            </w:pPr>
            <w:r w:rsidRPr="007477C6">
              <w:rPr>
                <w:i/>
              </w:rPr>
              <w:t>Average Heat Rate per Resource</w:t>
            </w:r>
            <w:r w:rsidRPr="0063447B">
              <w:t xml:space="preserve">– The verifiable average heat rate for the </w:t>
            </w:r>
            <w:r w:rsidRPr="00851088">
              <w:t xml:space="preserve">Resource </w:t>
            </w:r>
            <w:r w:rsidRPr="00763E94">
              <w:rPr>
                <w:i/>
              </w:rPr>
              <w:t>r</w:t>
            </w:r>
            <w:r>
              <w:t>, for the operating level</w:t>
            </w:r>
            <w:r w:rsidRPr="00851088">
              <w:t xml:space="preserve">, for the 15-minute Settlement Interval </w:t>
            </w:r>
            <w:r w:rsidRPr="00763E94">
              <w:rPr>
                <w:i/>
              </w:rPr>
              <w:t>i</w:t>
            </w:r>
            <w:r w:rsidRPr="00851088">
              <w:t xml:space="preserve">.  Where for a Combined </w:t>
            </w:r>
            <w:r w:rsidRPr="001520A2">
              <w:t xml:space="preserve">Cycle Train, the Resource </w:t>
            </w:r>
            <w:r w:rsidRPr="00763E94">
              <w:rPr>
                <w:i/>
              </w:rPr>
              <w:t>r</w:t>
            </w:r>
            <w:r w:rsidRPr="001520A2">
              <w:t xml:space="preserve"> is a Combined Cycle Generation Resource within the Combined Cycle Train.</w:t>
            </w:r>
          </w:p>
        </w:tc>
      </w:tr>
      <w:tr w:rsidR="00236104" w:rsidRPr="007477C6" w14:paraId="371EFBCC"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7C731487" w14:textId="77777777" w:rsidR="00236104" w:rsidRPr="0063447B" w:rsidRDefault="00236104" w:rsidP="00BA73E7">
            <w:pPr>
              <w:pStyle w:val="TableBody"/>
            </w:pPr>
            <w:r w:rsidRPr="007477C6">
              <w:t xml:space="preserve">OM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5E78935" w14:textId="77777777" w:rsidR="00236104" w:rsidRPr="0063447B" w:rsidRDefault="00236104" w:rsidP="00BA73E7">
            <w:pPr>
              <w:pStyle w:val="TableBody"/>
            </w:pPr>
            <w:r w:rsidRPr="0063447B">
              <w:t>$/MWh</w:t>
            </w:r>
          </w:p>
        </w:tc>
        <w:tc>
          <w:tcPr>
            <w:tcW w:w="3342" w:type="pct"/>
            <w:tcBorders>
              <w:top w:val="single" w:sz="6" w:space="0" w:color="auto"/>
              <w:left w:val="single" w:sz="6" w:space="0" w:color="auto"/>
              <w:bottom w:val="single" w:sz="6" w:space="0" w:color="auto"/>
              <w:right w:val="single" w:sz="4" w:space="0" w:color="auto"/>
            </w:tcBorders>
          </w:tcPr>
          <w:p w14:paraId="7E87B45B" w14:textId="77777777" w:rsidR="00236104" w:rsidRPr="00F119E9" w:rsidRDefault="00236104" w:rsidP="00BA73E7">
            <w:pPr>
              <w:pStyle w:val="TableBody"/>
              <w:rPr>
                <w:i/>
              </w:rPr>
            </w:pPr>
            <w:r w:rsidRPr="007477C6">
              <w:rPr>
                <w:i/>
              </w:rPr>
              <w:t>Verifiable Operations and Maintenance Cost Above LSL</w:t>
            </w:r>
            <w:r w:rsidRPr="0063447B">
              <w:t xml:space="preserve">– The O&amp;M cost for </w:t>
            </w:r>
            <w:r w:rsidRPr="00851088">
              <w:t xml:space="preserve">Resource </w:t>
            </w:r>
            <w:r w:rsidRPr="007477C6">
              <w:rPr>
                <w:i/>
              </w:rPr>
              <w:t>r</w:t>
            </w:r>
            <w:r w:rsidRPr="00851088">
              <w:t xml:space="preserve"> </w:t>
            </w:r>
            <w:r>
              <w:t>to</w:t>
            </w:r>
            <w:r w:rsidRPr="00851088">
              <w:t xml:space="preserve"> operat</w:t>
            </w:r>
            <w:r>
              <w:t>e</w:t>
            </w:r>
            <w:r w:rsidRPr="001520A2">
              <w:t xml:space="preserve"> above LSL.  Where for a Combined Cycle Train, the Resource </w:t>
            </w:r>
            <w:r w:rsidRPr="00763E94">
              <w:rPr>
                <w:i/>
              </w:rPr>
              <w:t>r</w:t>
            </w:r>
            <w:r w:rsidRPr="001520A2">
              <w:t xml:space="preserve"> is a Combined Cycle Generation Resource within the Combined Cycle Train.</w:t>
            </w:r>
            <w:r>
              <w:t xml:space="preserve">  See the Verifiable Cost Manual for additional information. </w:t>
            </w:r>
          </w:p>
        </w:tc>
      </w:tr>
      <w:tr w:rsidR="00236104" w:rsidRPr="00AB1E9B" w14:paraId="7EED1A58"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AAE9AF3" w14:textId="77777777" w:rsidR="00236104" w:rsidRPr="001520A2" w:rsidRDefault="00236104" w:rsidP="00BA73E7">
            <w:pPr>
              <w:pStyle w:val="TableBody"/>
            </w:pPr>
            <w:r w:rsidRPr="00827668">
              <w:t>SWIHR</w:t>
            </w:r>
            <w:r>
              <w:t xml:space="preserve"> </w:t>
            </w:r>
            <w:r w:rsidRPr="001A3855">
              <w:rPr>
                <w:i/>
                <w:vertAlign w:val="subscript"/>
              </w:rPr>
              <w:t>q,</w:t>
            </w:r>
            <w:r>
              <w:rPr>
                <w:i/>
                <w:vertAlign w:val="subscript"/>
              </w:rPr>
              <w:t xml:space="preserve"> </w:t>
            </w:r>
            <w:r w:rsidRPr="001A3855">
              <w:rPr>
                <w:i/>
                <w:vertAlign w:val="subscript"/>
              </w:rPr>
              <w:t>r,</w:t>
            </w:r>
            <w:r>
              <w:rPr>
                <w:i/>
                <w:vertAlign w:val="subscript"/>
              </w:rPr>
              <w:t xml:space="preserve"> </w:t>
            </w:r>
            <w:r w:rsidRPr="001A3855">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577B2DF3" w14:textId="77777777" w:rsidR="00236104" w:rsidRPr="001520A2" w:rsidRDefault="00236104" w:rsidP="00BA73E7">
            <w:pPr>
              <w:pStyle w:val="TableBody"/>
            </w:pPr>
            <w:r>
              <w:t>none</w:t>
            </w:r>
          </w:p>
        </w:tc>
        <w:tc>
          <w:tcPr>
            <w:tcW w:w="3342" w:type="pct"/>
            <w:tcBorders>
              <w:top w:val="single" w:sz="6" w:space="0" w:color="auto"/>
              <w:left w:val="single" w:sz="6" w:space="0" w:color="auto"/>
              <w:bottom w:val="single" w:sz="6" w:space="0" w:color="auto"/>
              <w:right w:val="single" w:sz="4" w:space="0" w:color="auto"/>
            </w:tcBorders>
          </w:tcPr>
          <w:p w14:paraId="2B9E9CAB" w14:textId="77777777" w:rsidR="00236104" w:rsidRPr="001520A2" w:rsidRDefault="00236104" w:rsidP="00BA73E7">
            <w:pPr>
              <w:pStyle w:val="TableBody"/>
            </w:pPr>
            <w:r w:rsidRPr="007477C6">
              <w:rPr>
                <w:i/>
              </w:rPr>
              <w:t xml:space="preserve">Switchable </w:t>
            </w:r>
            <w:r>
              <w:rPr>
                <w:i/>
              </w:rPr>
              <w:t xml:space="preserve">Generation </w:t>
            </w:r>
            <w:r w:rsidRPr="007477C6">
              <w:rPr>
                <w:i/>
              </w:rPr>
              <w:t>Instructed Hour</w:t>
            </w:r>
            <w:r>
              <w:rPr>
                <w:i/>
              </w:rPr>
              <w:t>s</w:t>
            </w:r>
            <w:r w:rsidRPr="003C209C">
              <w:t xml:space="preserve">—The total number of </w:t>
            </w:r>
            <w:r>
              <w:t>Switchable Generation instructed h</w:t>
            </w:r>
            <w:r w:rsidRPr="003C209C">
              <w:t xml:space="preserve">ours, for Resource </w:t>
            </w:r>
            <w:r w:rsidRPr="00763E94">
              <w:rPr>
                <w:i/>
              </w:rPr>
              <w:t>r</w:t>
            </w:r>
            <w:r w:rsidRPr="003C209C">
              <w:t xml:space="preserve"> </w:t>
            </w:r>
            <w:r>
              <w:t xml:space="preserve">represented by QSE </w:t>
            </w:r>
            <w:r w:rsidRPr="00763E94">
              <w:rPr>
                <w:i/>
              </w:rPr>
              <w:t>q</w:t>
            </w:r>
            <w:r>
              <w:rPr>
                <w:i/>
              </w:rPr>
              <w:t>,</w:t>
            </w:r>
            <w:r>
              <w:t xml:space="preserve"> </w:t>
            </w:r>
            <w:r w:rsidRPr="003C209C">
              <w:t>for the Operating Day</w:t>
            </w:r>
            <w:r>
              <w:t xml:space="preserve"> </w:t>
            </w:r>
            <w:r>
              <w:rPr>
                <w:i/>
              </w:rPr>
              <w:t>d</w:t>
            </w:r>
            <w:r w:rsidRPr="003C209C">
              <w:t xml:space="preserve">.  When one or more Combined Cycle Generation Resources are committed by </w:t>
            </w:r>
            <w:r>
              <w:t>ERCOT</w:t>
            </w:r>
            <w:r w:rsidRPr="003C209C">
              <w:t xml:space="preserve">, the total number of </w:t>
            </w:r>
            <w:r>
              <w:t>instructed h</w:t>
            </w:r>
            <w:r w:rsidRPr="003C209C">
              <w:t>ours is calculated for t</w:t>
            </w:r>
            <w:r>
              <w:t xml:space="preserve">he Combined Cycle Train for all switchable instructed </w:t>
            </w:r>
            <w:r w:rsidRPr="003C209C">
              <w:t>Combined Cycle Generation Resources.</w:t>
            </w:r>
          </w:p>
        </w:tc>
      </w:tr>
      <w:tr w:rsidR="00236104" w:rsidRPr="00AB1E9B" w14:paraId="5EDA4A61"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9189415" w14:textId="77777777" w:rsidR="00236104" w:rsidRPr="00827668" w:rsidRDefault="00236104" w:rsidP="00BA73E7">
            <w:pPr>
              <w:pStyle w:val="TableBody"/>
            </w:pPr>
            <w:r w:rsidRPr="005927BE">
              <w:t>SFP</w:t>
            </w:r>
          </w:p>
        </w:tc>
        <w:tc>
          <w:tcPr>
            <w:tcW w:w="692" w:type="pct"/>
            <w:tcBorders>
              <w:top w:val="single" w:sz="6" w:space="0" w:color="auto"/>
              <w:left w:val="single" w:sz="6" w:space="0" w:color="auto"/>
              <w:bottom w:val="single" w:sz="6" w:space="0" w:color="auto"/>
              <w:right w:val="single" w:sz="6" w:space="0" w:color="auto"/>
            </w:tcBorders>
          </w:tcPr>
          <w:p w14:paraId="6EF5DC0B" w14:textId="77777777" w:rsidR="00236104" w:rsidRDefault="00236104" w:rsidP="00BA73E7">
            <w:pPr>
              <w:pStyle w:val="TableBody"/>
            </w:pPr>
            <w:r w:rsidRPr="005927BE">
              <w:t>$/MMBtu</w:t>
            </w:r>
          </w:p>
        </w:tc>
        <w:tc>
          <w:tcPr>
            <w:tcW w:w="3342" w:type="pct"/>
            <w:tcBorders>
              <w:top w:val="single" w:sz="6" w:space="0" w:color="auto"/>
              <w:left w:val="single" w:sz="6" w:space="0" w:color="auto"/>
              <w:bottom w:val="single" w:sz="6" w:space="0" w:color="auto"/>
              <w:right w:val="single" w:sz="4" w:space="0" w:color="auto"/>
            </w:tcBorders>
          </w:tcPr>
          <w:p w14:paraId="690779D8" w14:textId="77777777" w:rsidR="00236104" w:rsidRPr="007477C6" w:rsidRDefault="00236104" w:rsidP="00BA73E7">
            <w:pPr>
              <w:pStyle w:val="TableBody"/>
              <w:rPr>
                <w:i/>
              </w:rPr>
            </w:pPr>
            <w:r w:rsidRPr="00043D95">
              <w:rPr>
                <w:i/>
              </w:rPr>
              <w:t>Solid Fuel Price</w:t>
            </w:r>
            <w:r w:rsidRPr="005927BE">
              <w:t xml:space="preserve">—The solid fuel index price is $1.50.  </w:t>
            </w:r>
          </w:p>
        </w:tc>
      </w:tr>
      <w:tr w:rsidR="00236104" w:rsidRPr="00AB1E9B" w14:paraId="1DD7603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77644F31" w14:textId="77777777" w:rsidR="00236104" w:rsidRPr="00827668" w:rsidRDefault="00236104" w:rsidP="00BA73E7">
            <w:pPr>
              <w:pStyle w:val="TableBody"/>
            </w:pPr>
            <w:r w:rsidRPr="00054F60">
              <w:t xml:space="preserve">GASPEROL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E3EF07A" w14:textId="77777777" w:rsidR="00236104" w:rsidRDefault="00236104" w:rsidP="00BA73E7">
            <w:pPr>
              <w:pStyle w:val="TableBody"/>
            </w:pPr>
            <w:r w:rsidRPr="00054F60">
              <w:t>none</w:t>
            </w:r>
          </w:p>
        </w:tc>
        <w:tc>
          <w:tcPr>
            <w:tcW w:w="3342" w:type="pct"/>
            <w:tcBorders>
              <w:top w:val="single" w:sz="6" w:space="0" w:color="auto"/>
              <w:left w:val="single" w:sz="6" w:space="0" w:color="auto"/>
              <w:bottom w:val="single" w:sz="6" w:space="0" w:color="auto"/>
              <w:right w:val="single" w:sz="4" w:space="0" w:color="auto"/>
            </w:tcBorders>
          </w:tcPr>
          <w:p w14:paraId="2F9C64E5" w14:textId="77777777" w:rsidR="00236104" w:rsidRPr="007477C6" w:rsidRDefault="00236104" w:rsidP="00BA73E7">
            <w:pPr>
              <w:pStyle w:val="TableBody"/>
              <w:rPr>
                <w:i/>
              </w:rPr>
            </w:pPr>
            <w:r w:rsidRPr="001A3855">
              <w:rPr>
                <w:i/>
              </w:rPr>
              <w:t>Percent of Natural Gas to Operate Above LSL</w:t>
            </w:r>
            <w:r w:rsidRPr="00054F60">
              <w:t xml:space="preserve">—The percentage of natural gas used by Resource </w:t>
            </w:r>
            <w:r w:rsidRPr="001A3855">
              <w:rPr>
                <w:i/>
              </w:rPr>
              <w:t xml:space="preserve">r </w:t>
            </w:r>
            <w:r w:rsidRPr="00054F60">
              <w:t xml:space="preserve">to operate above LSL, as approved in the verifiable cost process.  Where for a Combined Cycle Train, the Resource </w:t>
            </w:r>
            <w:r w:rsidRPr="00763E94">
              <w:rPr>
                <w:i/>
              </w:rPr>
              <w:t>r</w:t>
            </w:r>
            <w:r w:rsidRPr="00054F60">
              <w:t xml:space="preserve"> is a Combined Cycle Generation Resource within the Combined Cycle Train.</w:t>
            </w:r>
          </w:p>
        </w:tc>
      </w:tr>
      <w:tr w:rsidR="00236104" w:rsidRPr="00AB1E9B" w14:paraId="3225779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A93BCBB" w14:textId="77777777" w:rsidR="00236104" w:rsidRPr="00054F60" w:rsidRDefault="00236104" w:rsidP="00BA73E7">
            <w:pPr>
              <w:pStyle w:val="TableBody"/>
            </w:pPr>
            <w:r w:rsidRPr="0065285A">
              <w:t xml:space="preserve">OILPEROL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0BC3118" w14:textId="77777777" w:rsidR="00236104" w:rsidRPr="00054F60" w:rsidRDefault="00236104" w:rsidP="00BA73E7">
            <w:pPr>
              <w:pStyle w:val="TableBody"/>
            </w:pPr>
            <w:r w:rsidRPr="0065285A">
              <w:t>none</w:t>
            </w:r>
          </w:p>
        </w:tc>
        <w:tc>
          <w:tcPr>
            <w:tcW w:w="3342" w:type="pct"/>
            <w:tcBorders>
              <w:top w:val="single" w:sz="6" w:space="0" w:color="auto"/>
              <w:left w:val="single" w:sz="6" w:space="0" w:color="auto"/>
              <w:bottom w:val="single" w:sz="6" w:space="0" w:color="auto"/>
              <w:right w:val="single" w:sz="4" w:space="0" w:color="auto"/>
            </w:tcBorders>
          </w:tcPr>
          <w:p w14:paraId="0EB4336C" w14:textId="77777777" w:rsidR="00236104" w:rsidRPr="00054F60" w:rsidRDefault="00236104" w:rsidP="00BA73E7">
            <w:pPr>
              <w:pStyle w:val="TableBody"/>
            </w:pPr>
            <w:r w:rsidRPr="001A3855">
              <w:rPr>
                <w:i/>
              </w:rPr>
              <w:t>Percent of Oil to Operate Above LSL</w:t>
            </w:r>
            <w:r w:rsidRPr="0065285A">
              <w:t xml:space="preserve">—The percentage of fuel oil used by Resource </w:t>
            </w:r>
            <w:r w:rsidRPr="001A3855">
              <w:rPr>
                <w:i/>
              </w:rPr>
              <w:t xml:space="preserve">r </w:t>
            </w:r>
            <w:r w:rsidRPr="0065285A">
              <w:t xml:space="preserve">to operate above LSL, as approved in the verifiable cost process. Where for a Combined Cycle Train, the Resource </w:t>
            </w:r>
            <w:r w:rsidRPr="00763E94">
              <w:rPr>
                <w:i/>
              </w:rPr>
              <w:t>r</w:t>
            </w:r>
            <w:r w:rsidRPr="0065285A">
              <w:t xml:space="preserve"> is a Combined Cycle Generation Resource within the Combined Cycle Train.</w:t>
            </w:r>
          </w:p>
        </w:tc>
      </w:tr>
      <w:tr w:rsidR="00236104" w:rsidRPr="00AB1E9B" w14:paraId="0A6379A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26904DD" w14:textId="77777777" w:rsidR="00236104" w:rsidRPr="00054F60" w:rsidRDefault="00236104" w:rsidP="00BA73E7">
            <w:pPr>
              <w:pStyle w:val="TableBody"/>
            </w:pPr>
            <w:r w:rsidRPr="009A3E93">
              <w:t xml:space="preserve">SFPEROL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1EC708B" w14:textId="77777777" w:rsidR="00236104" w:rsidRPr="00054F60" w:rsidRDefault="00236104" w:rsidP="00BA73E7">
            <w:pPr>
              <w:pStyle w:val="TableBody"/>
            </w:pPr>
            <w:r w:rsidRPr="009A3E93">
              <w:t>none</w:t>
            </w:r>
          </w:p>
        </w:tc>
        <w:tc>
          <w:tcPr>
            <w:tcW w:w="3342" w:type="pct"/>
            <w:tcBorders>
              <w:top w:val="single" w:sz="6" w:space="0" w:color="auto"/>
              <w:left w:val="single" w:sz="6" w:space="0" w:color="auto"/>
              <w:bottom w:val="single" w:sz="6" w:space="0" w:color="auto"/>
              <w:right w:val="single" w:sz="4" w:space="0" w:color="auto"/>
            </w:tcBorders>
          </w:tcPr>
          <w:p w14:paraId="16A671AB" w14:textId="77777777" w:rsidR="00236104" w:rsidRPr="00054F60" w:rsidRDefault="00236104" w:rsidP="00BA73E7">
            <w:pPr>
              <w:pStyle w:val="TableBody"/>
            </w:pPr>
            <w:r w:rsidRPr="001A3855">
              <w:rPr>
                <w:i/>
              </w:rPr>
              <w:t>Percent of Solid Fuel to Operate Above LSL</w:t>
            </w:r>
            <w:r w:rsidRPr="009A3E93">
              <w:t xml:space="preserve">—The percentage of solid fuel used by Resource </w:t>
            </w:r>
            <w:r w:rsidRPr="001A3855">
              <w:rPr>
                <w:i/>
              </w:rPr>
              <w:t>r</w:t>
            </w:r>
            <w:r w:rsidRPr="009A3E93">
              <w:t xml:space="preserve"> to operate above LSL, as approved in the verifiable cost process. Where for a Combined Cycle Train, the Resource </w:t>
            </w:r>
            <w:r w:rsidRPr="00763E94">
              <w:rPr>
                <w:i/>
              </w:rPr>
              <w:t>r</w:t>
            </w:r>
            <w:r w:rsidRPr="009A3E93">
              <w:t xml:space="preserve"> is a Combined Cycle Generation Resource within the Combined Cycle Train.</w:t>
            </w:r>
          </w:p>
        </w:tc>
      </w:tr>
      <w:tr w:rsidR="00236104" w:rsidRPr="00AB1E9B" w14:paraId="74CCB7DA"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53DB410" w14:textId="77777777" w:rsidR="00236104" w:rsidRPr="00054F60" w:rsidRDefault="00236104" w:rsidP="00BA73E7">
            <w:pPr>
              <w:pStyle w:val="TableBody"/>
            </w:pPr>
            <w:r>
              <w:t>ADJ</w:t>
            </w:r>
            <w:r w:rsidRPr="00067DC6">
              <w:t>SWSUC</w:t>
            </w:r>
            <w:r>
              <w:t xml:space="preserve">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4B31817C" w14:textId="77777777" w:rsidR="00236104" w:rsidRPr="00054F60" w:rsidRDefault="00236104" w:rsidP="00BA73E7">
            <w:pPr>
              <w:pStyle w:val="TableBody"/>
            </w:pPr>
            <w:r w:rsidRPr="001520A2">
              <w:t>$</w:t>
            </w:r>
          </w:p>
        </w:tc>
        <w:tc>
          <w:tcPr>
            <w:tcW w:w="3342" w:type="pct"/>
            <w:tcBorders>
              <w:top w:val="single" w:sz="6" w:space="0" w:color="auto"/>
              <w:left w:val="single" w:sz="6" w:space="0" w:color="auto"/>
              <w:bottom w:val="single" w:sz="6" w:space="0" w:color="auto"/>
              <w:right w:val="single" w:sz="4" w:space="0" w:color="auto"/>
            </w:tcBorders>
          </w:tcPr>
          <w:p w14:paraId="45414A50" w14:textId="77777777" w:rsidR="00236104" w:rsidRPr="001A3855" w:rsidRDefault="00236104" w:rsidP="00BA73E7">
            <w:pPr>
              <w:pStyle w:val="TableBody"/>
              <w:rPr>
                <w:highlight w:val="yellow"/>
              </w:rPr>
            </w:pPr>
            <w:r w:rsidRPr="00D978EB">
              <w:rPr>
                <w:i/>
              </w:rPr>
              <w:t>Adjustment to Switchable Generation</w:t>
            </w:r>
            <w:r w:rsidRPr="0082796C">
              <w:t xml:space="preserve"> </w:t>
            </w:r>
            <w:r w:rsidRPr="0082796C">
              <w:rPr>
                <w:i/>
              </w:rPr>
              <w:t xml:space="preserve">Start-Up Cost </w:t>
            </w:r>
            <w:r w:rsidRPr="0082796C">
              <w:t xml:space="preserve">— Adjustment to </w:t>
            </w:r>
            <w:r w:rsidRPr="00661D8C">
              <w:t>Switchable Generation Start</w:t>
            </w:r>
            <w:r w:rsidR="004178FB">
              <w:t>-</w:t>
            </w:r>
            <w:r w:rsidRPr="00661D8C">
              <w:t xml:space="preserve">up Cost for Resource </w:t>
            </w:r>
            <w:r w:rsidRPr="00E84942">
              <w:rPr>
                <w:i/>
              </w:rPr>
              <w:t xml:space="preserve">r </w:t>
            </w:r>
            <w:r w:rsidRPr="00E84942">
              <w:t>represented by QSE</w:t>
            </w:r>
            <w:r w:rsidRPr="008538DA">
              <w:rPr>
                <w:i/>
              </w:rPr>
              <w:t xml:space="preserve"> q</w:t>
            </w:r>
            <w:r w:rsidRPr="008538DA">
              <w:t xml:space="preserve">, for the Operating Day </w:t>
            </w:r>
            <w:r w:rsidRPr="008538DA">
              <w:rPr>
                <w:i/>
              </w:rPr>
              <w:t>d</w:t>
            </w:r>
            <w:r w:rsidRPr="008538DA">
              <w:t xml:space="preserve">.  Where for a Combined Cycle Train, the Resource </w:t>
            </w:r>
            <w:r w:rsidRPr="008538DA">
              <w:rPr>
                <w:i/>
              </w:rPr>
              <w:t xml:space="preserve">r </w:t>
            </w:r>
            <w:r w:rsidRPr="008538DA">
              <w:t>is the Combined Cycle Train.</w:t>
            </w:r>
            <w:r w:rsidRPr="001A3855">
              <w:t xml:space="preserve">  This adjustment may include eligible startup transition costs for a Combined</w:t>
            </w:r>
            <w:r>
              <w:t xml:space="preserve"> </w:t>
            </w:r>
            <w:r w:rsidRPr="001A3855">
              <w:t>Cycle Train or costs for any SWGR not captured in other billing determinants.</w:t>
            </w:r>
          </w:p>
        </w:tc>
      </w:tr>
      <w:tr w:rsidR="00236104" w:rsidRPr="007477C6" w14:paraId="35734CF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CB60966" w14:textId="77777777" w:rsidR="00236104" w:rsidRPr="001520A2" w:rsidRDefault="00236104" w:rsidP="00BA73E7">
            <w:pPr>
              <w:pStyle w:val="TableBody"/>
            </w:pPr>
            <w:r w:rsidRPr="001520A2">
              <w:lastRenderedPageBreak/>
              <w:t>RCGSC</w:t>
            </w:r>
            <w:r>
              <w:t xml:space="preserve"> </w:t>
            </w:r>
            <w:r w:rsidRPr="007477C6">
              <w:rPr>
                <w:vertAlign w:val="subscript"/>
              </w:rPr>
              <w:t>s</w:t>
            </w:r>
            <w:r>
              <w:rPr>
                <w:vertAlign w:val="subscript"/>
              </w:rPr>
              <w:t xml:space="preserve">, </w:t>
            </w:r>
            <w:r w:rsidRPr="00110A41">
              <w:rPr>
                <w:i/>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1E937AC7" w14:textId="77777777" w:rsidR="00236104" w:rsidRPr="00F119E9" w:rsidRDefault="00236104" w:rsidP="00BA73E7">
            <w:pPr>
              <w:pStyle w:val="TableBody"/>
            </w:pPr>
            <w:r w:rsidRPr="00F119E9">
              <w:t>$/Start</w:t>
            </w:r>
          </w:p>
        </w:tc>
        <w:tc>
          <w:tcPr>
            <w:tcW w:w="3342" w:type="pct"/>
            <w:tcBorders>
              <w:top w:val="single" w:sz="6" w:space="0" w:color="auto"/>
              <w:left w:val="single" w:sz="6" w:space="0" w:color="auto"/>
              <w:bottom w:val="single" w:sz="6" w:space="0" w:color="auto"/>
              <w:right w:val="single" w:sz="4" w:space="0" w:color="auto"/>
            </w:tcBorders>
          </w:tcPr>
          <w:p w14:paraId="1AD9ED5A" w14:textId="77777777" w:rsidR="00236104" w:rsidRPr="00CD03E9" w:rsidRDefault="00236104" w:rsidP="00BA73E7">
            <w:pPr>
              <w:pStyle w:val="TableBody"/>
              <w:rPr>
                <w:i/>
              </w:rPr>
            </w:pPr>
            <w:r w:rsidRPr="007477C6">
              <w:rPr>
                <w:i/>
              </w:rPr>
              <w:t>Resource Category Generic Startup Cost</w:t>
            </w:r>
            <w:r w:rsidRPr="00F119E9">
              <w:t xml:space="preserve">—The Resource Category Generic Startup Cost cap for the category of the Resource </w:t>
            </w:r>
            <w:r w:rsidRPr="00763E94">
              <w:rPr>
                <w:i/>
              </w:rPr>
              <w:t>r</w:t>
            </w:r>
            <w:r>
              <w:rPr>
                <w:i/>
              </w:rPr>
              <w:t>c</w:t>
            </w:r>
            <w:r w:rsidRPr="00F119E9">
              <w:t>, according to Section 4.4.9.2.3</w:t>
            </w:r>
            <w:r>
              <w:t>, Startup Offer and Minimum-Energy Offer Generic Caps,</w:t>
            </w:r>
            <w:r w:rsidRPr="004D0722">
              <w:t xml:space="preserve"> for the Operating Day.</w:t>
            </w:r>
          </w:p>
        </w:tc>
      </w:tr>
      <w:tr w:rsidR="00236104" w:rsidRPr="007477C6" w14:paraId="536EA77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35D8810" w14:textId="77777777" w:rsidR="00236104" w:rsidRPr="007477C6" w:rsidRDefault="00236104" w:rsidP="00BA73E7">
            <w:pPr>
              <w:pStyle w:val="TableBody"/>
            </w:pPr>
            <w:r w:rsidRPr="007477C6">
              <w:t>RCGMEC</w:t>
            </w:r>
            <w:r>
              <w:t xml:space="preserve"> </w:t>
            </w:r>
            <w:r w:rsidRPr="001A3855">
              <w:rPr>
                <w:i/>
                <w:vertAlign w:val="subscript"/>
              </w:rPr>
              <w:t>i</w:t>
            </w:r>
            <w:r>
              <w:rPr>
                <w:i/>
                <w:vertAlign w:val="subscript"/>
              </w:rPr>
              <w:t>, rc</w:t>
            </w:r>
          </w:p>
        </w:tc>
        <w:tc>
          <w:tcPr>
            <w:tcW w:w="692" w:type="pct"/>
            <w:tcBorders>
              <w:top w:val="single" w:sz="6" w:space="0" w:color="auto"/>
              <w:left w:val="single" w:sz="6" w:space="0" w:color="auto"/>
              <w:bottom w:val="single" w:sz="6" w:space="0" w:color="auto"/>
              <w:right w:val="single" w:sz="6" w:space="0" w:color="auto"/>
            </w:tcBorders>
          </w:tcPr>
          <w:p w14:paraId="563994D8" w14:textId="77777777" w:rsidR="00236104" w:rsidRPr="007477C6" w:rsidRDefault="00236104" w:rsidP="00BA73E7">
            <w:pPr>
              <w:pStyle w:val="TableBody"/>
            </w:pPr>
            <w:r w:rsidRPr="00851088">
              <w:t>$/MWh</w:t>
            </w:r>
          </w:p>
        </w:tc>
        <w:tc>
          <w:tcPr>
            <w:tcW w:w="3342" w:type="pct"/>
            <w:tcBorders>
              <w:top w:val="single" w:sz="6" w:space="0" w:color="auto"/>
              <w:left w:val="single" w:sz="6" w:space="0" w:color="auto"/>
              <w:bottom w:val="single" w:sz="6" w:space="0" w:color="auto"/>
              <w:right w:val="single" w:sz="4" w:space="0" w:color="auto"/>
            </w:tcBorders>
          </w:tcPr>
          <w:p w14:paraId="7A1003CC" w14:textId="77777777" w:rsidR="00236104" w:rsidRPr="007477C6" w:rsidRDefault="00236104" w:rsidP="00BA73E7">
            <w:pPr>
              <w:pStyle w:val="TableBody"/>
            </w:pPr>
            <w:r w:rsidRPr="007477C6">
              <w:rPr>
                <w:i/>
              </w:rPr>
              <w:t>Resource Category Generic Minimum-Energy Cost</w:t>
            </w:r>
            <w:r w:rsidRPr="00851088">
              <w:t>—The Resource Category Generic Minimum Energy Cost cap for the category of the Resource</w:t>
            </w:r>
            <w:r w:rsidRPr="007477C6">
              <w:t xml:space="preserve"> </w:t>
            </w:r>
            <w:r w:rsidRPr="007477C6">
              <w:rPr>
                <w:i/>
              </w:rPr>
              <w:t>r</w:t>
            </w:r>
            <w:r>
              <w:rPr>
                <w:i/>
              </w:rPr>
              <w:t>c</w:t>
            </w:r>
            <w:r w:rsidRPr="00851088">
              <w:t>, according to Section 4.4.9.2.3, for the Operating Day.</w:t>
            </w:r>
          </w:p>
        </w:tc>
      </w:tr>
      <w:tr w:rsidR="00236104" w:rsidRPr="007477C6" w14:paraId="76AF513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71A571E" w14:textId="77777777" w:rsidR="00236104" w:rsidRPr="00851088" w:rsidRDefault="00236104" w:rsidP="00BA73E7">
            <w:pPr>
              <w:pStyle w:val="TableBody"/>
            </w:pPr>
            <w:r w:rsidRPr="00851088">
              <w:t>PAHR</w:t>
            </w:r>
            <w:r>
              <w:t xml:space="preserve">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288CF52A" w14:textId="77777777" w:rsidR="00236104" w:rsidRPr="00F119E9" w:rsidRDefault="00236104" w:rsidP="00BA73E7">
            <w:pPr>
              <w:pStyle w:val="TableBody"/>
            </w:pPr>
            <w:r w:rsidRPr="001520A2">
              <w:t>MMBtu / MWh</w:t>
            </w:r>
          </w:p>
        </w:tc>
        <w:tc>
          <w:tcPr>
            <w:tcW w:w="3342" w:type="pct"/>
            <w:tcBorders>
              <w:top w:val="single" w:sz="6" w:space="0" w:color="auto"/>
              <w:left w:val="single" w:sz="6" w:space="0" w:color="auto"/>
              <w:bottom w:val="single" w:sz="6" w:space="0" w:color="auto"/>
              <w:right w:val="single" w:sz="4" w:space="0" w:color="auto"/>
            </w:tcBorders>
          </w:tcPr>
          <w:p w14:paraId="42A608E0" w14:textId="77777777" w:rsidR="00236104" w:rsidRPr="00CD03E9" w:rsidRDefault="00236104" w:rsidP="00BA73E7">
            <w:pPr>
              <w:pStyle w:val="TableBody"/>
              <w:rPr>
                <w:i/>
              </w:rPr>
            </w:pPr>
            <w:r w:rsidRPr="007477C6">
              <w:rPr>
                <w:i/>
              </w:rPr>
              <w:t>Proxy Average Heat Rate-</w:t>
            </w:r>
            <w:r w:rsidRPr="00F119E9">
              <w:t xml:space="preserve"> The proxy average heat rate for the Resource </w:t>
            </w:r>
            <w:r w:rsidRPr="00763E94">
              <w:rPr>
                <w:i/>
              </w:rPr>
              <w:t>r</w:t>
            </w:r>
            <w:r w:rsidRPr="00F119E9">
              <w:t xml:space="preserve"> for the 15-minute Settlement Interval </w:t>
            </w:r>
            <w:r w:rsidRPr="00763E94">
              <w:rPr>
                <w:i/>
              </w:rPr>
              <w:t>i</w:t>
            </w:r>
            <w:r w:rsidRPr="00F119E9">
              <w:t xml:space="preserve">. </w:t>
            </w:r>
            <w:r>
              <w:t xml:space="preserve"> </w:t>
            </w:r>
            <w:r w:rsidRPr="00F119E9">
              <w:t xml:space="preserve">Where for a Combined Cycle Train, the Resource </w:t>
            </w:r>
            <w:r w:rsidRPr="00763E94">
              <w:rPr>
                <w:i/>
              </w:rPr>
              <w:t>r</w:t>
            </w:r>
            <w:r w:rsidRPr="00F119E9">
              <w:t xml:space="preserve"> is a Combined Cycle Gene</w:t>
            </w:r>
            <w:r w:rsidRPr="004D0722">
              <w:t>ration Resource within the Combined Cycle Train.</w:t>
            </w:r>
          </w:p>
        </w:tc>
      </w:tr>
      <w:tr w:rsidR="00236104" w:rsidRPr="00851088" w14:paraId="75A212AD"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3ECA9A25" w14:textId="77777777" w:rsidR="00236104" w:rsidRPr="007477C6" w:rsidRDefault="00236104" w:rsidP="00BA73E7">
            <w:pPr>
              <w:pStyle w:val="TableBody"/>
            </w:pPr>
            <w:r w:rsidRPr="007477C6">
              <w:t xml:space="preserve">STOM </w:t>
            </w:r>
            <w:r w:rsidRPr="007477C6">
              <w:rPr>
                <w:i/>
                <w:vertAlign w:val="subscript"/>
              </w:rPr>
              <w:t>rc</w:t>
            </w:r>
            <w:r w:rsidRPr="007477C6">
              <w:rPr>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7D885315" w14:textId="77777777" w:rsidR="00236104" w:rsidRPr="007477C6" w:rsidRDefault="00236104" w:rsidP="00BA73E7">
            <w:pPr>
              <w:pStyle w:val="TableBody"/>
            </w:pPr>
            <w:r w:rsidRPr="007477C6">
              <w:t>$/MWh</w:t>
            </w:r>
          </w:p>
        </w:tc>
        <w:tc>
          <w:tcPr>
            <w:tcW w:w="3342" w:type="pct"/>
            <w:tcBorders>
              <w:top w:val="single" w:sz="6" w:space="0" w:color="auto"/>
              <w:left w:val="single" w:sz="6" w:space="0" w:color="auto"/>
              <w:bottom w:val="single" w:sz="6" w:space="0" w:color="auto"/>
              <w:right w:val="single" w:sz="4" w:space="0" w:color="auto"/>
            </w:tcBorders>
            <w:hideMark/>
          </w:tcPr>
          <w:p w14:paraId="71E83E11" w14:textId="77777777" w:rsidR="00236104" w:rsidRPr="00F119E9" w:rsidRDefault="00236104" w:rsidP="00BA73E7">
            <w:pPr>
              <w:pStyle w:val="TableBody"/>
            </w:pPr>
            <w:r w:rsidRPr="00680899">
              <w:rPr>
                <w:i/>
              </w:rPr>
              <w:t xml:space="preserve">Standard Operations and Maintenance Cost - </w:t>
            </w:r>
            <w:r w:rsidRPr="00680899">
              <w:t xml:space="preserve">The standard O&amp;M cost for the </w:t>
            </w:r>
            <w:r w:rsidRPr="00851088">
              <w:t xml:space="preserve">Resource </w:t>
            </w:r>
            <w:r>
              <w:t>C</w:t>
            </w:r>
            <w:r w:rsidRPr="00851088">
              <w:t xml:space="preserve">ategory </w:t>
            </w:r>
            <w:r w:rsidRPr="001520A2">
              <w:rPr>
                <w:i/>
              </w:rPr>
              <w:t>rc</w:t>
            </w:r>
            <w:r w:rsidRPr="001520A2">
              <w:t xml:space="preserve"> for operations above LSL, shall be set to the minimum energy variable O&amp;M costs, as de</w:t>
            </w:r>
            <w:r w:rsidRPr="00F119E9">
              <w:t xml:space="preserve">scribed in paragraph (6)(c) of Section 5.6.1, Verifiable Costs.  </w:t>
            </w:r>
          </w:p>
        </w:tc>
      </w:tr>
      <w:tr w:rsidR="00236104" w:rsidRPr="00914481" w14:paraId="7FC06E74"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5B36477" w14:textId="77777777" w:rsidR="00236104" w:rsidRPr="007477C6" w:rsidRDefault="00236104" w:rsidP="00BA73E7">
            <w:pPr>
              <w:pStyle w:val="TableBody"/>
            </w:pPr>
            <w:r w:rsidRPr="004D08E3">
              <w:t xml:space="preserve">RTSPP </w:t>
            </w:r>
            <w:r w:rsidRPr="001A3855">
              <w:rPr>
                <w:i/>
                <w:vertAlign w:val="subscript"/>
              </w:rPr>
              <w:t>p</w:t>
            </w:r>
            <w:r>
              <w:rPr>
                <w:i/>
                <w:vertAlign w:val="subscript"/>
              </w:rPr>
              <w:t>, i</w:t>
            </w:r>
          </w:p>
        </w:tc>
        <w:tc>
          <w:tcPr>
            <w:tcW w:w="692" w:type="pct"/>
            <w:tcBorders>
              <w:top w:val="single" w:sz="6" w:space="0" w:color="auto"/>
              <w:left w:val="single" w:sz="6" w:space="0" w:color="auto"/>
              <w:bottom w:val="single" w:sz="6" w:space="0" w:color="auto"/>
              <w:right w:val="single" w:sz="6" w:space="0" w:color="auto"/>
            </w:tcBorders>
          </w:tcPr>
          <w:p w14:paraId="2E221F8B" w14:textId="77777777" w:rsidR="00236104" w:rsidRPr="007477C6" w:rsidRDefault="00236104" w:rsidP="00BA73E7">
            <w:pPr>
              <w:pStyle w:val="TableBody"/>
            </w:pPr>
            <w:r w:rsidRPr="004D08E3">
              <w:t>$/MWh</w:t>
            </w:r>
          </w:p>
        </w:tc>
        <w:tc>
          <w:tcPr>
            <w:tcW w:w="3342" w:type="pct"/>
            <w:tcBorders>
              <w:top w:val="single" w:sz="6" w:space="0" w:color="auto"/>
              <w:left w:val="single" w:sz="6" w:space="0" w:color="auto"/>
              <w:bottom w:val="single" w:sz="6" w:space="0" w:color="auto"/>
              <w:right w:val="single" w:sz="4" w:space="0" w:color="auto"/>
            </w:tcBorders>
          </w:tcPr>
          <w:p w14:paraId="6E20EA11" w14:textId="77777777" w:rsidR="00236104" w:rsidRPr="00680899" w:rsidRDefault="00236104" w:rsidP="00BA73E7">
            <w:pPr>
              <w:pStyle w:val="TableBody"/>
              <w:rPr>
                <w:i/>
              </w:rPr>
            </w:pPr>
            <w:r w:rsidRPr="001A3855">
              <w:rPr>
                <w:i/>
              </w:rPr>
              <w:t>Real-Time Settlement Point Price</w:t>
            </w:r>
            <w:r w:rsidRPr="004D08E3">
              <w:t xml:space="preserve">—The Real-Time Settlement Point Price at Settlement Point </w:t>
            </w:r>
            <w:r w:rsidRPr="00763E94">
              <w:rPr>
                <w:i/>
              </w:rPr>
              <w:t>p</w:t>
            </w:r>
            <w:r w:rsidRPr="004D08E3">
              <w:t>, for the 15-minute Settlement Interval</w:t>
            </w:r>
            <w:r>
              <w:t xml:space="preserve"> </w:t>
            </w:r>
            <w:r>
              <w:rPr>
                <w:i/>
              </w:rPr>
              <w:t>i</w:t>
            </w:r>
            <w:r w:rsidRPr="004D08E3">
              <w:t>.</w:t>
            </w:r>
          </w:p>
        </w:tc>
      </w:tr>
      <w:tr w:rsidR="00236104" w:rsidRPr="00851088" w14:paraId="645DE9CA"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45A6815" w14:textId="77777777" w:rsidR="00236104" w:rsidRPr="001520A2" w:rsidRDefault="00236104" w:rsidP="00BA73E7">
            <w:pPr>
              <w:pStyle w:val="TableBody"/>
            </w:pPr>
            <w:r w:rsidRPr="00851088">
              <w:t>FIP</w:t>
            </w:r>
          </w:p>
        </w:tc>
        <w:tc>
          <w:tcPr>
            <w:tcW w:w="692" w:type="pct"/>
            <w:tcBorders>
              <w:top w:val="single" w:sz="6" w:space="0" w:color="auto"/>
              <w:left w:val="single" w:sz="6" w:space="0" w:color="auto"/>
              <w:bottom w:val="single" w:sz="6" w:space="0" w:color="auto"/>
              <w:right w:val="single" w:sz="6" w:space="0" w:color="auto"/>
            </w:tcBorders>
          </w:tcPr>
          <w:p w14:paraId="6B579E8E" w14:textId="77777777" w:rsidR="00236104" w:rsidRPr="00F119E9" w:rsidRDefault="00236104" w:rsidP="00BA73E7">
            <w:pPr>
              <w:pStyle w:val="TableBody"/>
            </w:pPr>
            <w:r w:rsidRPr="00F119E9">
              <w:t>$/MMBtu</w:t>
            </w:r>
          </w:p>
        </w:tc>
        <w:tc>
          <w:tcPr>
            <w:tcW w:w="3342" w:type="pct"/>
            <w:tcBorders>
              <w:top w:val="single" w:sz="6" w:space="0" w:color="auto"/>
              <w:left w:val="single" w:sz="6" w:space="0" w:color="auto"/>
              <w:bottom w:val="single" w:sz="6" w:space="0" w:color="auto"/>
              <w:right w:val="single" w:sz="4" w:space="0" w:color="auto"/>
            </w:tcBorders>
          </w:tcPr>
          <w:p w14:paraId="1B6A9EE1" w14:textId="77777777" w:rsidR="00236104" w:rsidRPr="00F119E9" w:rsidRDefault="00236104" w:rsidP="008315FA">
            <w:pPr>
              <w:pStyle w:val="TableBody"/>
              <w:rPr>
                <w:i/>
              </w:rPr>
            </w:pPr>
            <w:r w:rsidRPr="001A3855">
              <w:rPr>
                <w:i/>
              </w:rPr>
              <w:t>Fuel Index Price</w:t>
            </w:r>
            <w:r w:rsidRPr="00F119E9">
              <w:t>—As defined in Section 2</w:t>
            </w:r>
            <w:r>
              <w:t>.1</w:t>
            </w:r>
            <w:r w:rsidRPr="00F119E9">
              <w:t>, Definitions.</w:t>
            </w:r>
          </w:p>
        </w:tc>
      </w:tr>
      <w:tr w:rsidR="00236104" w:rsidRPr="00851088" w14:paraId="388D45A2"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01DED23D" w14:textId="77777777" w:rsidR="00236104" w:rsidRPr="00851088" w:rsidRDefault="00236104" w:rsidP="00BA73E7">
            <w:pPr>
              <w:pStyle w:val="TableBody"/>
            </w:pPr>
            <w:r>
              <w:t>FOP</w:t>
            </w:r>
          </w:p>
        </w:tc>
        <w:tc>
          <w:tcPr>
            <w:tcW w:w="692" w:type="pct"/>
            <w:tcBorders>
              <w:top w:val="single" w:sz="6" w:space="0" w:color="auto"/>
              <w:left w:val="single" w:sz="6" w:space="0" w:color="auto"/>
              <w:bottom w:val="single" w:sz="6" w:space="0" w:color="auto"/>
              <w:right w:val="single" w:sz="6" w:space="0" w:color="auto"/>
            </w:tcBorders>
          </w:tcPr>
          <w:p w14:paraId="5C341832" w14:textId="77777777" w:rsidR="00236104" w:rsidRPr="00F119E9" w:rsidRDefault="00236104" w:rsidP="00BA73E7">
            <w:pPr>
              <w:pStyle w:val="TableBody"/>
            </w:pPr>
            <w:r>
              <w:t>$/MMBtu</w:t>
            </w:r>
          </w:p>
        </w:tc>
        <w:tc>
          <w:tcPr>
            <w:tcW w:w="3342" w:type="pct"/>
            <w:tcBorders>
              <w:top w:val="single" w:sz="6" w:space="0" w:color="auto"/>
              <w:left w:val="single" w:sz="6" w:space="0" w:color="auto"/>
              <w:bottom w:val="single" w:sz="6" w:space="0" w:color="auto"/>
              <w:right w:val="single" w:sz="4" w:space="0" w:color="auto"/>
            </w:tcBorders>
          </w:tcPr>
          <w:p w14:paraId="55910C2F" w14:textId="77777777" w:rsidR="00236104" w:rsidRPr="00F119E9" w:rsidRDefault="00236104" w:rsidP="00BA73E7">
            <w:pPr>
              <w:pStyle w:val="TableBody"/>
            </w:pPr>
            <w:r w:rsidRPr="001A3855">
              <w:rPr>
                <w:i/>
              </w:rPr>
              <w:t>Fuel Oil Price</w:t>
            </w:r>
            <w:r w:rsidRPr="00B75076">
              <w:t>—</w:t>
            </w:r>
            <w:r w:rsidRPr="009C12DD">
              <w:t>A</w:t>
            </w:r>
            <w:r w:rsidRPr="00B75076">
              <w:t>s defined in Section 2.1.</w:t>
            </w:r>
          </w:p>
        </w:tc>
      </w:tr>
      <w:tr w:rsidR="00236104" w:rsidRPr="00851088" w14:paraId="449973FC"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1EB53A89" w14:textId="77777777" w:rsidR="00236104" w:rsidRPr="001520A2" w:rsidRDefault="00236104" w:rsidP="00BA73E7">
            <w:pPr>
              <w:pStyle w:val="TableBody"/>
              <w:rPr>
                <w:i/>
              </w:rPr>
            </w:pPr>
            <w:r w:rsidRPr="00851088">
              <w:t>FA</w:t>
            </w:r>
            <w:r>
              <w:t xml:space="preserve"> </w:t>
            </w:r>
            <w:r w:rsidRPr="001520A2">
              <w:rPr>
                <w:i/>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299355B7" w14:textId="77777777" w:rsidR="00236104" w:rsidRPr="00F119E9" w:rsidRDefault="00236104" w:rsidP="00BA73E7">
            <w:pPr>
              <w:pStyle w:val="TableBody"/>
            </w:pPr>
            <w:r w:rsidRPr="00F119E9">
              <w:t>$/MMBtu</w:t>
            </w:r>
          </w:p>
        </w:tc>
        <w:tc>
          <w:tcPr>
            <w:tcW w:w="3342" w:type="pct"/>
            <w:tcBorders>
              <w:top w:val="single" w:sz="6" w:space="0" w:color="auto"/>
              <w:left w:val="single" w:sz="6" w:space="0" w:color="auto"/>
              <w:bottom w:val="single" w:sz="6" w:space="0" w:color="auto"/>
              <w:right w:val="single" w:sz="4" w:space="0" w:color="auto"/>
            </w:tcBorders>
            <w:hideMark/>
          </w:tcPr>
          <w:p w14:paraId="144C0CF3" w14:textId="77777777" w:rsidR="00236104" w:rsidRPr="00CD03E9" w:rsidRDefault="00236104" w:rsidP="008315FA">
            <w:pPr>
              <w:pStyle w:val="TableBody"/>
            </w:pPr>
            <w:r w:rsidRPr="00F119E9">
              <w:rPr>
                <w:i/>
              </w:rPr>
              <w:t>Fuel Adder</w:t>
            </w:r>
            <w:r w:rsidRPr="00F119E9">
              <w:t xml:space="preserve"> — The fuel adder </w:t>
            </w:r>
            <w:r>
              <w:t xml:space="preserve">is the average cost above the index price </w:t>
            </w:r>
            <w:r w:rsidRPr="00F119E9">
              <w:t xml:space="preserve">Resource </w:t>
            </w:r>
            <w:r w:rsidRPr="004D0722">
              <w:rPr>
                <w:i/>
              </w:rPr>
              <w:t xml:space="preserve">r </w:t>
            </w:r>
            <w:r>
              <w:t>has paid to obtain fuel</w:t>
            </w:r>
            <w:r w:rsidRPr="004D0722">
              <w:t xml:space="preserve">.  Where for a Combined Cycle Train, the Resource </w:t>
            </w:r>
            <w:r w:rsidRPr="00CD03E9">
              <w:rPr>
                <w:i/>
              </w:rPr>
              <w:t xml:space="preserve">r </w:t>
            </w:r>
            <w:r w:rsidRPr="00CD03E9">
              <w:t>is a Combined Cycle Generation Resource within the Combined Cycle Train.</w:t>
            </w:r>
            <w:r>
              <w:t xml:space="preserve">  See the Verifiable Cost </w:t>
            </w:r>
            <w:r w:rsidR="00C0502C">
              <w:t>M</w:t>
            </w:r>
            <w:r>
              <w:t xml:space="preserve">anual for additional information. </w:t>
            </w:r>
          </w:p>
        </w:tc>
      </w:tr>
      <w:tr w:rsidR="00236104" w:rsidRPr="007477C6" w14:paraId="13DC94E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E035CBE" w14:textId="77777777" w:rsidR="00236104" w:rsidRPr="00067DC6" w:rsidRDefault="00236104" w:rsidP="00BA73E7">
            <w:pPr>
              <w:pStyle w:val="TableBody"/>
            </w:pPr>
            <w:r w:rsidRPr="0063447B">
              <w:t xml:space="preserve">EMREAMT </w:t>
            </w:r>
            <w:r w:rsidRPr="007477C6">
              <w:rPr>
                <w:i/>
                <w:vertAlign w:val="subscript"/>
              </w:rPr>
              <w:t>q,</w:t>
            </w:r>
            <w:r>
              <w:rPr>
                <w:i/>
                <w:vertAlign w:val="subscript"/>
              </w:rPr>
              <w:t xml:space="preserve"> </w:t>
            </w:r>
            <w:r w:rsidRPr="007477C6">
              <w:rPr>
                <w:i/>
                <w:vertAlign w:val="subscript"/>
              </w:rPr>
              <w:t>r,</w:t>
            </w:r>
            <w:r>
              <w:rPr>
                <w:i/>
                <w:vertAlign w:val="subscript"/>
              </w:rPr>
              <w:t xml:space="preserve"> </w:t>
            </w:r>
            <w:r w:rsidRPr="007477C6">
              <w:rPr>
                <w:i/>
                <w:vertAlign w:val="subscript"/>
              </w:rPr>
              <w:t>p,</w:t>
            </w:r>
            <w:r>
              <w:rPr>
                <w:i/>
                <w:vertAlign w:val="subscript"/>
              </w:rPr>
              <w:t xml:space="preserve"> </w:t>
            </w:r>
            <w:r w:rsidRPr="007477C6">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7209C8D3" w14:textId="77777777" w:rsidR="00236104" w:rsidRPr="007477C6"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7C6A44C1" w14:textId="77777777" w:rsidR="00236104" w:rsidRPr="00067DC6" w:rsidRDefault="00236104" w:rsidP="00BA73E7">
            <w:pPr>
              <w:pStyle w:val="TableBody"/>
            </w:pPr>
            <w:r w:rsidRPr="00067DC6">
              <w:rPr>
                <w:i/>
              </w:rPr>
              <w:t>Emergency Energy Amount per QSE per Settlement Point per unit per interval</w:t>
            </w:r>
            <w:r w:rsidRPr="00851088">
              <w:t xml:space="preserve">—The payment to QSE </w:t>
            </w:r>
            <w:r w:rsidRPr="00763E94">
              <w:rPr>
                <w:i/>
              </w:rPr>
              <w:t>q</w:t>
            </w:r>
            <w:r w:rsidRPr="00851088">
              <w:t xml:space="preserve"> for the additional energy produced by Generation Resource </w:t>
            </w:r>
            <w:r w:rsidRPr="00763E94">
              <w:rPr>
                <w:i/>
              </w:rPr>
              <w:t>r</w:t>
            </w:r>
            <w:r w:rsidRPr="00851088">
              <w:t xml:space="preserve"> at Resource Node </w:t>
            </w:r>
            <w:r w:rsidRPr="00763E94">
              <w:rPr>
                <w:i/>
              </w:rPr>
              <w:t>p</w:t>
            </w:r>
            <w:r w:rsidRPr="00851088">
              <w:t xml:space="preserve"> in Real-Time during the </w:t>
            </w:r>
            <w:r>
              <w:t>Emergency Condition</w:t>
            </w:r>
            <w:r w:rsidRPr="00851088">
              <w:t>, for the 15-</w:t>
            </w:r>
            <w:r w:rsidRPr="001520A2">
              <w:t xml:space="preserve">minute Settlement Interval </w:t>
            </w:r>
            <w:r w:rsidRPr="00763E94">
              <w:rPr>
                <w:i/>
              </w:rPr>
              <w:t>i</w:t>
            </w:r>
            <w:r w:rsidRPr="001520A2">
              <w:t>.  Payment for emergency energy is made to the Combined Cycle Train.</w:t>
            </w:r>
          </w:p>
        </w:tc>
      </w:tr>
      <w:tr w:rsidR="00236104" w:rsidRPr="007477C6" w14:paraId="7A6037F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04A28D5" w14:textId="77777777" w:rsidR="00236104" w:rsidRPr="00067DC6" w:rsidRDefault="00236104" w:rsidP="00BA73E7">
            <w:pPr>
              <w:pStyle w:val="TableBody"/>
            </w:pPr>
            <w:r w:rsidRPr="007477C6">
              <w:t xml:space="preserve">VSSVARAMT </w:t>
            </w:r>
            <w:r w:rsidRPr="00067DC6">
              <w:rPr>
                <w:i/>
                <w:vertAlign w:val="subscript"/>
              </w:rPr>
              <w:t>q, r,</w:t>
            </w:r>
            <w:r>
              <w:rPr>
                <w:i/>
                <w:vertAlign w:val="subscript"/>
              </w:rPr>
              <w:t xml:space="preserve"> </w:t>
            </w:r>
            <w:r w:rsidRPr="00067DC6">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080D39F7" w14:textId="77777777" w:rsidR="00236104" w:rsidRPr="00067DC6"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7E757040" w14:textId="77777777" w:rsidR="00236104" w:rsidRPr="00067DC6" w:rsidRDefault="00236104" w:rsidP="00BA73E7">
            <w:pPr>
              <w:pStyle w:val="TableBody"/>
            </w:pPr>
            <w:r w:rsidRPr="00067DC6">
              <w:rPr>
                <w:i/>
              </w:rPr>
              <w:t>Voltage Support Service VAr Amount per QSE per Generation Resource -</w:t>
            </w:r>
            <w:r w:rsidRPr="00851088">
              <w:t xml:space="preserve"> The payment to QSE </w:t>
            </w:r>
            <w:r w:rsidRPr="00067DC6">
              <w:rPr>
                <w:i/>
              </w:rPr>
              <w:t>q</w:t>
            </w:r>
            <w:r w:rsidRPr="00851088">
              <w:t xml:space="preserve"> for the VSS provided by Generation Resource </w:t>
            </w:r>
            <w:r w:rsidRPr="00067DC6">
              <w:rPr>
                <w:i/>
              </w:rPr>
              <w:t>r,</w:t>
            </w:r>
            <w:r w:rsidRPr="001520A2">
              <w:t xml:space="preserve"> for the 15-minute Settlement Interval </w:t>
            </w:r>
            <w:r w:rsidRPr="00067DC6">
              <w:rPr>
                <w:i/>
              </w:rPr>
              <w:t>i</w:t>
            </w:r>
            <w:r w:rsidRPr="001520A2">
              <w:t xml:space="preserve">.  Where for a </w:t>
            </w:r>
            <w:r>
              <w:t>C</w:t>
            </w:r>
            <w:r w:rsidRPr="001520A2">
              <w:t xml:space="preserve">ombined </w:t>
            </w:r>
            <w:r>
              <w:t>C</w:t>
            </w:r>
            <w:r w:rsidRPr="001520A2">
              <w:t>ycle</w:t>
            </w:r>
            <w:r>
              <w:t xml:space="preserve"> R</w:t>
            </w:r>
            <w:r w:rsidRPr="001520A2">
              <w:t>esource</w:t>
            </w:r>
            <w:r w:rsidRPr="00067DC6">
              <w:rPr>
                <w:i/>
              </w:rPr>
              <w:t xml:space="preserve"> r</w:t>
            </w:r>
            <w:r w:rsidRPr="001520A2">
              <w:t xml:space="preserve"> is a Combined Cycle Train.</w:t>
            </w:r>
          </w:p>
        </w:tc>
      </w:tr>
      <w:tr w:rsidR="00236104" w:rsidRPr="007477C6" w14:paraId="606694E8"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84EF995" w14:textId="77777777" w:rsidR="00236104" w:rsidRPr="00067DC6" w:rsidRDefault="00236104" w:rsidP="00BA73E7">
            <w:pPr>
              <w:pStyle w:val="TableBody"/>
            </w:pPr>
            <w:r w:rsidRPr="007477C6">
              <w:t xml:space="preserve">VSSEAMT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68C9ABA8" w14:textId="77777777" w:rsidR="00236104" w:rsidRPr="00067DC6" w:rsidRDefault="00236104" w:rsidP="00BA73E7">
            <w:pPr>
              <w:pStyle w:val="TableBody"/>
            </w:pPr>
            <w:r>
              <w:t>$</w:t>
            </w:r>
          </w:p>
        </w:tc>
        <w:tc>
          <w:tcPr>
            <w:tcW w:w="3342" w:type="pct"/>
            <w:tcBorders>
              <w:top w:val="single" w:sz="6" w:space="0" w:color="auto"/>
              <w:left w:val="single" w:sz="6" w:space="0" w:color="auto"/>
              <w:bottom w:val="single" w:sz="6" w:space="0" w:color="auto"/>
              <w:right w:val="single" w:sz="4" w:space="0" w:color="auto"/>
            </w:tcBorders>
          </w:tcPr>
          <w:p w14:paraId="1BCB46C4" w14:textId="77777777" w:rsidR="00236104" w:rsidRPr="00067DC6" w:rsidRDefault="00236104" w:rsidP="00BA73E7">
            <w:pPr>
              <w:pStyle w:val="TableBody"/>
            </w:pPr>
            <w:r w:rsidRPr="00067DC6">
              <w:rPr>
                <w:i/>
              </w:rPr>
              <w:t>Voltage Support Service Energy Amount per QSE per Generation Resource</w:t>
            </w:r>
            <w:r w:rsidRPr="00851088">
              <w:t xml:space="preserve">—The lost opportunity payment to QSE </w:t>
            </w:r>
            <w:r w:rsidRPr="00067DC6">
              <w:rPr>
                <w:i/>
              </w:rPr>
              <w:t>q</w:t>
            </w:r>
            <w:r w:rsidRPr="00851088">
              <w:t xml:space="preserve"> for ERCOT-directed VSS from Generation Resource </w:t>
            </w:r>
            <w:r w:rsidRPr="00067DC6">
              <w:rPr>
                <w:i/>
              </w:rPr>
              <w:t>r</w:t>
            </w:r>
            <w:r w:rsidRPr="00851088">
              <w:t xml:space="preserve"> for the 15-minute Settlement Interval</w:t>
            </w:r>
            <w:r>
              <w:t xml:space="preserve"> </w:t>
            </w:r>
            <w:r>
              <w:rPr>
                <w:i/>
              </w:rPr>
              <w:t>i</w:t>
            </w:r>
            <w:r w:rsidRPr="00851088">
              <w:t xml:space="preserve">.  Where for a </w:t>
            </w:r>
            <w:r>
              <w:t>C</w:t>
            </w:r>
            <w:r w:rsidRPr="00851088">
              <w:t xml:space="preserve">ombined </w:t>
            </w:r>
            <w:r>
              <w:t>C</w:t>
            </w:r>
            <w:r w:rsidRPr="00851088">
              <w:t>ycle</w:t>
            </w:r>
            <w:r>
              <w:t xml:space="preserve"> R</w:t>
            </w:r>
            <w:r w:rsidRPr="00851088">
              <w:t>esource</w:t>
            </w:r>
            <w:r w:rsidRPr="00067DC6">
              <w:rPr>
                <w:i/>
              </w:rPr>
              <w:t xml:space="preserve"> r </w:t>
            </w:r>
            <w:r w:rsidRPr="001520A2">
              <w:t>is a Combined Cycle Train.</w:t>
            </w:r>
          </w:p>
        </w:tc>
      </w:tr>
      <w:tr w:rsidR="00236104" w:rsidRPr="007477C6" w14:paraId="4C2C8462"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A6B81F7" w14:textId="77777777" w:rsidR="00236104" w:rsidRPr="007477C6" w:rsidRDefault="00236104" w:rsidP="00BA73E7">
            <w:pPr>
              <w:pStyle w:val="TableBody"/>
            </w:pPr>
            <w:r w:rsidRPr="0080555B">
              <w:t>RTOLHSL</w:t>
            </w:r>
            <w:r>
              <w:t>RA</w:t>
            </w:r>
            <w:r w:rsidRPr="0080555B">
              <w:t xml:space="preserve"> </w:t>
            </w:r>
            <w:r w:rsidRPr="0080555B">
              <w:rPr>
                <w:i/>
                <w:vertAlign w:val="subscript"/>
              </w:rPr>
              <w:t>q</w:t>
            </w:r>
            <w:r>
              <w:rPr>
                <w:i/>
                <w:vertAlign w:val="subscript"/>
              </w:rPr>
              <w:t>, r, p, i</w:t>
            </w:r>
          </w:p>
        </w:tc>
        <w:tc>
          <w:tcPr>
            <w:tcW w:w="692" w:type="pct"/>
            <w:tcBorders>
              <w:top w:val="single" w:sz="6" w:space="0" w:color="auto"/>
              <w:left w:val="single" w:sz="6" w:space="0" w:color="auto"/>
              <w:bottom w:val="single" w:sz="6" w:space="0" w:color="auto"/>
              <w:right w:val="single" w:sz="6" w:space="0" w:color="auto"/>
            </w:tcBorders>
          </w:tcPr>
          <w:p w14:paraId="6965B9F8" w14:textId="77777777" w:rsidR="00236104" w:rsidRDefault="00236104" w:rsidP="00BA73E7">
            <w:pPr>
              <w:pStyle w:val="TableBody"/>
            </w:pPr>
            <w:r w:rsidRPr="0080555B">
              <w:t>MWh</w:t>
            </w:r>
          </w:p>
        </w:tc>
        <w:tc>
          <w:tcPr>
            <w:tcW w:w="3342" w:type="pct"/>
            <w:tcBorders>
              <w:top w:val="single" w:sz="6" w:space="0" w:color="auto"/>
              <w:left w:val="single" w:sz="6" w:space="0" w:color="auto"/>
              <w:bottom w:val="single" w:sz="6" w:space="0" w:color="auto"/>
              <w:right w:val="single" w:sz="4" w:space="0" w:color="auto"/>
            </w:tcBorders>
          </w:tcPr>
          <w:p w14:paraId="7E9C45BE" w14:textId="77777777" w:rsidR="00236104" w:rsidRPr="00067DC6" w:rsidRDefault="00236104" w:rsidP="00BA73E7">
            <w:pPr>
              <w:pStyle w:val="TableBody"/>
              <w:rPr>
                <w:i/>
              </w:rPr>
            </w:pPr>
            <w:r w:rsidRPr="00A20AF6">
              <w:rPr>
                <w:i/>
                <w:szCs w:val="18"/>
              </w:rPr>
              <w:t xml:space="preserve">Real-Time </w:t>
            </w:r>
            <w:r>
              <w:rPr>
                <w:i/>
                <w:szCs w:val="18"/>
              </w:rPr>
              <w:t xml:space="preserve">Adjusted </w:t>
            </w:r>
            <w:r w:rsidRPr="00A20AF6">
              <w:rPr>
                <w:i/>
                <w:szCs w:val="18"/>
              </w:rPr>
              <w:t>On-Line High Sustained Limit for the Resource</w:t>
            </w:r>
            <w:r w:rsidRPr="00A20AF6">
              <w:rPr>
                <w:szCs w:val="18"/>
              </w:rPr>
              <w:sym w:font="Symbol" w:char="F0BE"/>
            </w:r>
            <w:r w:rsidRPr="00A20AF6">
              <w:rPr>
                <w:szCs w:val="18"/>
              </w:rPr>
              <w:t xml:space="preserve">The Real-Time telemetered HSL for the Resource </w:t>
            </w:r>
            <w:r w:rsidRPr="00D04442">
              <w:rPr>
                <w:i/>
                <w:szCs w:val="18"/>
              </w:rPr>
              <w:t>r</w:t>
            </w:r>
            <w:r w:rsidRPr="006624C0">
              <w:t xml:space="preserve"> represented by QSE </w:t>
            </w:r>
            <w:r w:rsidRPr="006624C0">
              <w:rPr>
                <w:i/>
              </w:rPr>
              <w:t>q</w:t>
            </w:r>
            <w:r w:rsidRPr="006624C0">
              <w:t xml:space="preserve"> at Resource Node </w:t>
            </w:r>
            <w:r w:rsidRPr="006624C0">
              <w:rPr>
                <w:i/>
              </w:rPr>
              <w:t>p</w:t>
            </w:r>
            <w:r w:rsidRPr="00A20AF6">
              <w:rPr>
                <w:szCs w:val="18"/>
              </w:rPr>
              <w:t xml:space="preserve"> that is available to SCED, integrated over the 15-minute Settlement Interval</w:t>
            </w:r>
            <w:r>
              <w:rPr>
                <w:szCs w:val="18"/>
              </w:rPr>
              <w:t xml:space="preserve"> </w:t>
            </w:r>
            <w:r w:rsidRPr="00763E94">
              <w:rPr>
                <w:i/>
                <w:szCs w:val="18"/>
              </w:rPr>
              <w:t>i</w:t>
            </w:r>
            <w:r>
              <w:rPr>
                <w:szCs w:val="18"/>
              </w:rPr>
              <w:t xml:space="preserve">, as described in Section 6.7.5, Real-Time Ancillary Service Imbalance Payment or Charge.  </w:t>
            </w:r>
            <w:r w:rsidRPr="0080555B">
              <w:t xml:space="preserve">Where for a Combined Cycle Train, the Resource </w:t>
            </w:r>
            <w:r w:rsidRPr="0080555B">
              <w:rPr>
                <w:i/>
              </w:rPr>
              <w:t xml:space="preserve">r </w:t>
            </w:r>
            <w:r w:rsidRPr="0080555B">
              <w:t>is the Combined Cycle Train.</w:t>
            </w:r>
          </w:p>
        </w:tc>
      </w:tr>
      <w:tr w:rsidR="00236104" w:rsidRPr="007477C6" w14:paraId="0ED92F7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2DF6EE7" w14:textId="77777777" w:rsidR="00236104" w:rsidRPr="007477C6" w:rsidRDefault="00236104" w:rsidP="00BA73E7">
            <w:pPr>
              <w:pStyle w:val="TableBody"/>
            </w:pPr>
            <w:r w:rsidRPr="0080555B">
              <w:t>RTMG</w:t>
            </w:r>
            <w:r>
              <w:t>A</w:t>
            </w:r>
            <w:r w:rsidRPr="0080555B">
              <w:t xml:space="preserve"> </w:t>
            </w:r>
            <w:r w:rsidRPr="00967A0A">
              <w:rPr>
                <w:i/>
                <w:vertAlign w:val="subscript"/>
              </w:rPr>
              <w:t>q, r, p</w:t>
            </w:r>
            <w:r>
              <w:rPr>
                <w:i/>
                <w:vertAlign w:val="subscript"/>
              </w:rPr>
              <w:t>, i</w:t>
            </w:r>
          </w:p>
        </w:tc>
        <w:tc>
          <w:tcPr>
            <w:tcW w:w="692" w:type="pct"/>
            <w:tcBorders>
              <w:top w:val="single" w:sz="6" w:space="0" w:color="auto"/>
              <w:left w:val="single" w:sz="6" w:space="0" w:color="auto"/>
              <w:bottom w:val="single" w:sz="6" w:space="0" w:color="auto"/>
              <w:right w:val="single" w:sz="6" w:space="0" w:color="auto"/>
            </w:tcBorders>
          </w:tcPr>
          <w:p w14:paraId="30AE82D0" w14:textId="77777777" w:rsidR="00236104" w:rsidRDefault="00236104" w:rsidP="00BA73E7">
            <w:pPr>
              <w:pStyle w:val="TableBody"/>
            </w:pPr>
            <w:r w:rsidRPr="0080555B">
              <w:t>MWh</w:t>
            </w:r>
          </w:p>
        </w:tc>
        <w:tc>
          <w:tcPr>
            <w:tcW w:w="3342" w:type="pct"/>
            <w:tcBorders>
              <w:top w:val="single" w:sz="6" w:space="0" w:color="auto"/>
              <w:left w:val="single" w:sz="6" w:space="0" w:color="auto"/>
              <w:bottom w:val="single" w:sz="6" w:space="0" w:color="auto"/>
              <w:right w:val="single" w:sz="4" w:space="0" w:color="auto"/>
            </w:tcBorders>
          </w:tcPr>
          <w:p w14:paraId="31DD38CF" w14:textId="77777777" w:rsidR="00236104" w:rsidRPr="00067DC6" w:rsidRDefault="00236104" w:rsidP="00BA73E7">
            <w:pPr>
              <w:pStyle w:val="TableBody"/>
              <w:rPr>
                <w:i/>
              </w:rPr>
            </w:pPr>
            <w:r w:rsidRPr="0080555B">
              <w:rPr>
                <w:i/>
              </w:rPr>
              <w:t xml:space="preserve">Real-Time </w:t>
            </w:r>
            <w:r>
              <w:rPr>
                <w:i/>
              </w:rPr>
              <w:t xml:space="preserve">Adjusted </w:t>
            </w:r>
            <w:r w:rsidRPr="0080555B">
              <w:rPr>
                <w:i/>
              </w:rPr>
              <w:t>Metered Generation per QSE per Settlement Point per Resource</w:t>
            </w:r>
            <w:r w:rsidRPr="0080555B">
              <w:t xml:space="preserve">—The </w:t>
            </w:r>
            <w:r>
              <w:t xml:space="preserve">adjusted </w:t>
            </w:r>
            <w:r w:rsidRPr="0080555B">
              <w:t>metered generation</w:t>
            </w:r>
            <w:r>
              <w:t xml:space="preserve"> </w:t>
            </w:r>
            <w:r w:rsidRPr="0080555B">
              <w:t xml:space="preserve">of Generation Resource </w:t>
            </w:r>
            <w:r w:rsidRPr="0080555B">
              <w:rPr>
                <w:i/>
              </w:rPr>
              <w:t>r</w:t>
            </w:r>
            <w:r w:rsidRPr="0080555B">
              <w:t xml:space="preserve"> </w:t>
            </w:r>
            <w:r w:rsidRPr="006624C0">
              <w:t xml:space="preserve">represented by QSE </w:t>
            </w:r>
            <w:r w:rsidRPr="006624C0">
              <w:rPr>
                <w:i/>
              </w:rPr>
              <w:t>q</w:t>
            </w:r>
            <w:r w:rsidRPr="0080555B">
              <w:t xml:space="preserve"> at Resource Node </w:t>
            </w:r>
            <w:r w:rsidRPr="0080555B">
              <w:rPr>
                <w:i/>
              </w:rPr>
              <w:t>p</w:t>
            </w:r>
            <w:r w:rsidRPr="0080555B">
              <w:t xml:space="preserve"> in Real-Time for the 15-minute Settlement Interval</w:t>
            </w:r>
            <w:r>
              <w:t xml:space="preserve"> </w:t>
            </w:r>
            <w:r w:rsidRPr="00763E94">
              <w:rPr>
                <w:i/>
              </w:rPr>
              <w:t>i</w:t>
            </w:r>
            <w:r>
              <w:t xml:space="preserve">, </w:t>
            </w:r>
            <w:r>
              <w:rPr>
                <w:szCs w:val="18"/>
              </w:rPr>
              <w:t>as described in Section 6.7.5</w:t>
            </w:r>
            <w:r>
              <w:t xml:space="preserve">.  </w:t>
            </w:r>
            <w:r w:rsidRPr="0080555B">
              <w:t xml:space="preserve">Where for a Combined Cycle Train, the Resource </w:t>
            </w:r>
            <w:r w:rsidRPr="0080555B">
              <w:rPr>
                <w:i/>
              </w:rPr>
              <w:t xml:space="preserve">r </w:t>
            </w:r>
            <w:r w:rsidRPr="0080555B">
              <w:t>is the Combined Cycle Train.</w:t>
            </w:r>
          </w:p>
        </w:tc>
      </w:tr>
      <w:tr w:rsidR="00236104" w:rsidRPr="007477C6" w14:paraId="5D9A4B98"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CFEF95E" w14:textId="77777777" w:rsidR="00236104" w:rsidRPr="007477C6" w:rsidRDefault="00236104" w:rsidP="00BA73E7">
            <w:pPr>
              <w:pStyle w:val="TableBody"/>
            </w:pPr>
            <w:r w:rsidRPr="0080555B">
              <w:lastRenderedPageBreak/>
              <w:t>RTRSVPOR</w:t>
            </w:r>
            <w:r>
              <w:rPr>
                <w:i/>
                <w:vertAlign w:val="subscript"/>
              </w:rPr>
              <w:t xml:space="preserve"> i</w:t>
            </w:r>
          </w:p>
        </w:tc>
        <w:tc>
          <w:tcPr>
            <w:tcW w:w="692" w:type="pct"/>
            <w:tcBorders>
              <w:top w:val="single" w:sz="6" w:space="0" w:color="auto"/>
              <w:left w:val="single" w:sz="6" w:space="0" w:color="auto"/>
              <w:bottom w:val="single" w:sz="6" w:space="0" w:color="auto"/>
              <w:right w:val="single" w:sz="6" w:space="0" w:color="auto"/>
            </w:tcBorders>
          </w:tcPr>
          <w:p w14:paraId="1CB15EC5" w14:textId="77777777" w:rsidR="00236104" w:rsidRDefault="00236104" w:rsidP="00BA73E7">
            <w:pPr>
              <w:pStyle w:val="TableBody"/>
            </w:pPr>
            <w:r w:rsidRPr="0080555B">
              <w:t>$/MWh</w:t>
            </w:r>
          </w:p>
        </w:tc>
        <w:tc>
          <w:tcPr>
            <w:tcW w:w="3342" w:type="pct"/>
            <w:tcBorders>
              <w:top w:val="single" w:sz="6" w:space="0" w:color="auto"/>
              <w:left w:val="single" w:sz="6" w:space="0" w:color="auto"/>
              <w:bottom w:val="single" w:sz="6" w:space="0" w:color="auto"/>
              <w:right w:val="single" w:sz="4" w:space="0" w:color="auto"/>
            </w:tcBorders>
          </w:tcPr>
          <w:p w14:paraId="5B8D7A51" w14:textId="77777777" w:rsidR="00236104" w:rsidRPr="00067DC6" w:rsidRDefault="00236104" w:rsidP="00BA73E7">
            <w:pPr>
              <w:pStyle w:val="TableBody"/>
              <w:rPr>
                <w:i/>
              </w:rPr>
            </w:pPr>
            <w:r w:rsidRPr="0080555B">
              <w:rPr>
                <w:i/>
              </w:rPr>
              <w:t>Real-Time Reserve Price for On-Line Reserves</w:t>
            </w:r>
            <w:r w:rsidRPr="0080555B">
              <w:sym w:font="Symbol" w:char="F0BE"/>
            </w:r>
            <w:r w:rsidRPr="0080555B">
              <w:t>The Real-Time Reserve Price for On-Line Reserves for the 15-minute Settlement Interval</w:t>
            </w:r>
            <w:r>
              <w:t xml:space="preserve"> </w:t>
            </w:r>
            <w:r w:rsidRPr="00763E94">
              <w:rPr>
                <w:i/>
              </w:rPr>
              <w:t>i</w:t>
            </w:r>
            <w:r>
              <w:t xml:space="preserve">, </w:t>
            </w:r>
            <w:r>
              <w:rPr>
                <w:szCs w:val="18"/>
              </w:rPr>
              <w:t>as described in Section 6.7.5.</w:t>
            </w:r>
          </w:p>
        </w:tc>
      </w:tr>
      <w:tr w:rsidR="00236104" w:rsidRPr="007477C6" w14:paraId="46EA3F2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0352DBB7" w14:textId="77777777" w:rsidR="00236104" w:rsidRPr="007477C6" w:rsidRDefault="00236104" w:rsidP="00BA73E7">
            <w:pPr>
              <w:pStyle w:val="TableBody"/>
            </w:pPr>
            <w:r w:rsidRPr="00181BDE">
              <w:t>RTRDP</w:t>
            </w:r>
            <w:r>
              <w:rPr>
                <w:i/>
                <w:vertAlign w:val="subscript"/>
              </w:rPr>
              <w:t xml:space="preserve"> i</w:t>
            </w:r>
          </w:p>
        </w:tc>
        <w:tc>
          <w:tcPr>
            <w:tcW w:w="692" w:type="pct"/>
            <w:tcBorders>
              <w:top w:val="single" w:sz="6" w:space="0" w:color="auto"/>
              <w:left w:val="single" w:sz="6" w:space="0" w:color="auto"/>
              <w:bottom w:val="single" w:sz="6" w:space="0" w:color="auto"/>
              <w:right w:val="single" w:sz="6" w:space="0" w:color="auto"/>
            </w:tcBorders>
          </w:tcPr>
          <w:p w14:paraId="1CC3B8A0" w14:textId="77777777" w:rsidR="00236104" w:rsidRDefault="00236104" w:rsidP="00BA73E7">
            <w:pPr>
              <w:pStyle w:val="TableBody"/>
            </w:pPr>
            <w:r w:rsidRPr="00181BDE">
              <w:t>$/MWh</w:t>
            </w:r>
          </w:p>
        </w:tc>
        <w:tc>
          <w:tcPr>
            <w:tcW w:w="3342" w:type="pct"/>
            <w:tcBorders>
              <w:top w:val="single" w:sz="6" w:space="0" w:color="auto"/>
              <w:left w:val="single" w:sz="6" w:space="0" w:color="auto"/>
              <w:bottom w:val="single" w:sz="6" w:space="0" w:color="auto"/>
              <w:right w:val="single" w:sz="4" w:space="0" w:color="auto"/>
            </w:tcBorders>
          </w:tcPr>
          <w:p w14:paraId="1B8E8DFF" w14:textId="77777777" w:rsidR="00236104" w:rsidRPr="00067DC6" w:rsidRDefault="00236104" w:rsidP="00BA73E7">
            <w:pPr>
              <w:pStyle w:val="TableBody"/>
              <w:rPr>
                <w:i/>
              </w:rPr>
            </w:pPr>
            <w:r w:rsidRPr="00181BDE">
              <w:rPr>
                <w:i/>
              </w:rPr>
              <w:t>Real-Time On-Line Reliability Deployment Price</w:t>
            </w:r>
            <w:r w:rsidRPr="00181BDE">
              <w:sym w:font="Symbol" w:char="F0BE"/>
            </w:r>
            <w:r w:rsidRPr="00181BDE">
              <w:t>The Real-Time price for the 15-minute Settlement Interval</w:t>
            </w:r>
            <w:r>
              <w:t xml:space="preserve"> </w:t>
            </w:r>
            <w:r w:rsidRPr="00763E94">
              <w:rPr>
                <w:i/>
              </w:rPr>
              <w:t>i</w:t>
            </w:r>
            <w:r w:rsidRPr="00181BDE">
              <w:t xml:space="preserve">, reflecting the impact of reliability deployments on energy prices that is calculated </w:t>
            </w:r>
            <w:r w:rsidRPr="00181BDE">
              <w:rPr>
                <w:bCs/>
              </w:rPr>
              <w:t>from the Real-</w:t>
            </w:r>
            <w:r>
              <w:rPr>
                <w:bCs/>
              </w:rPr>
              <w:t>T</w:t>
            </w:r>
            <w:r w:rsidRPr="00181BDE">
              <w:rPr>
                <w:bCs/>
              </w:rPr>
              <w:t>ime On-Line Reliability Deployment Price Adder</w:t>
            </w:r>
            <w:r>
              <w:t xml:space="preserve">, </w:t>
            </w:r>
            <w:r>
              <w:rPr>
                <w:szCs w:val="18"/>
              </w:rPr>
              <w:t>as described in Section 6.7.5.</w:t>
            </w:r>
          </w:p>
        </w:tc>
      </w:tr>
      <w:tr w:rsidR="00236104" w:rsidRPr="00851088" w14:paraId="12B64862"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2384F0D7" w14:textId="77777777" w:rsidR="00236104" w:rsidRPr="00354F5D" w:rsidRDefault="00236104" w:rsidP="00BA73E7">
            <w:pPr>
              <w:pStyle w:val="TableBody"/>
              <w:rPr>
                <w:i/>
              </w:rPr>
            </w:pPr>
            <w:r w:rsidRPr="00354F5D">
              <w:rPr>
                <w:i/>
              </w:rPr>
              <w:t>q</w:t>
            </w:r>
          </w:p>
        </w:tc>
        <w:tc>
          <w:tcPr>
            <w:tcW w:w="692" w:type="pct"/>
            <w:tcBorders>
              <w:top w:val="single" w:sz="6" w:space="0" w:color="auto"/>
              <w:left w:val="single" w:sz="6" w:space="0" w:color="auto"/>
              <w:bottom w:val="single" w:sz="6" w:space="0" w:color="auto"/>
              <w:right w:val="single" w:sz="6" w:space="0" w:color="auto"/>
            </w:tcBorders>
            <w:hideMark/>
          </w:tcPr>
          <w:p w14:paraId="3E183AC0" w14:textId="77777777" w:rsidR="00236104" w:rsidRPr="00F43B68" w:rsidRDefault="00236104" w:rsidP="00BA73E7">
            <w:pPr>
              <w:pStyle w:val="TableBody"/>
            </w:pPr>
            <w:r w:rsidRPr="00F43B68">
              <w:t>none</w:t>
            </w:r>
          </w:p>
        </w:tc>
        <w:tc>
          <w:tcPr>
            <w:tcW w:w="3342" w:type="pct"/>
            <w:tcBorders>
              <w:top w:val="single" w:sz="6" w:space="0" w:color="auto"/>
              <w:left w:val="single" w:sz="6" w:space="0" w:color="auto"/>
              <w:bottom w:val="single" w:sz="6" w:space="0" w:color="auto"/>
              <w:right w:val="single" w:sz="4" w:space="0" w:color="auto"/>
            </w:tcBorders>
            <w:hideMark/>
          </w:tcPr>
          <w:p w14:paraId="4292BF00" w14:textId="77777777" w:rsidR="00236104" w:rsidRPr="007477C6" w:rsidRDefault="00236104" w:rsidP="00BA73E7">
            <w:pPr>
              <w:pStyle w:val="TableBody"/>
            </w:pPr>
            <w:r w:rsidRPr="007477C6">
              <w:t>A QSE.</w:t>
            </w:r>
          </w:p>
        </w:tc>
      </w:tr>
      <w:tr w:rsidR="00236104" w:rsidRPr="00851088" w14:paraId="64BAE9FF"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760381DC" w14:textId="77777777" w:rsidR="00236104" w:rsidRPr="00851088" w:rsidRDefault="00236104" w:rsidP="00BA73E7">
            <w:pPr>
              <w:pStyle w:val="TableBody"/>
              <w:rPr>
                <w:i/>
              </w:rPr>
            </w:pPr>
            <w:r w:rsidRPr="00851088">
              <w:rPr>
                <w:i/>
              </w:rPr>
              <w:t>r</w:t>
            </w:r>
          </w:p>
        </w:tc>
        <w:tc>
          <w:tcPr>
            <w:tcW w:w="692" w:type="pct"/>
            <w:tcBorders>
              <w:top w:val="single" w:sz="6" w:space="0" w:color="auto"/>
              <w:left w:val="single" w:sz="6" w:space="0" w:color="auto"/>
              <w:bottom w:val="single" w:sz="6" w:space="0" w:color="auto"/>
              <w:right w:val="single" w:sz="6" w:space="0" w:color="auto"/>
            </w:tcBorders>
            <w:hideMark/>
          </w:tcPr>
          <w:p w14:paraId="7F99BFD7"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4861A31A" w14:textId="77777777" w:rsidR="00236104" w:rsidRPr="00F119E9" w:rsidRDefault="00236104" w:rsidP="00BA73E7">
            <w:pPr>
              <w:pStyle w:val="TableBody"/>
            </w:pPr>
            <w:r w:rsidRPr="00F119E9">
              <w:t>A Switchable Generation Resource.</w:t>
            </w:r>
          </w:p>
        </w:tc>
      </w:tr>
      <w:tr w:rsidR="00236104" w:rsidRPr="00851088" w14:paraId="1CA7A6BA"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71AFB566" w14:textId="77777777" w:rsidR="00236104" w:rsidRPr="00851088" w:rsidRDefault="00236104" w:rsidP="00BA73E7">
            <w:pPr>
              <w:pStyle w:val="TableBody"/>
              <w:rPr>
                <w:i/>
              </w:rPr>
            </w:pPr>
            <w:r w:rsidRPr="00851088">
              <w:rPr>
                <w:i/>
              </w:rPr>
              <w:t>d</w:t>
            </w:r>
          </w:p>
        </w:tc>
        <w:tc>
          <w:tcPr>
            <w:tcW w:w="692" w:type="pct"/>
            <w:tcBorders>
              <w:top w:val="single" w:sz="6" w:space="0" w:color="auto"/>
              <w:left w:val="single" w:sz="6" w:space="0" w:color="auto"/>
              <w:bottom w:val="single" w:sz="6" w:space="0" w:color="auto"/>
              <w:right w:val="single" w:sz="6" w:space="0" w:color="auto"/>
            </w:tcBorders>
            <w:hideMark/>
          </w:tcPr>
          <w:p w14:paraId="7CCEFB1E"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2B84B1D9" w14:textId="77777777" w:rsidR="00236104" w:rsidRPr="00F119E9" w:rsidRDefault="00236104" w:rsidP="00BA73E7">
            <w:pPr>
              <w:pStyle w:val="TableBody"/>
            </w:pPr>
            <w:r w:rsidRPr="00F119E9">
              <w:t xml:space="preserve">An Operating Day </w:t>
            </w:r>
            <w:r>
              <w:t xml:space="preserve">containing the RUC instruction to the SWGR. </w:t>
            </w:r>
          </w:p>
        </w:tc>
      </w:tr>
      <w:tr w:rsidR="00236104" w:rsidRPr="00851088" w14:paraId="315223C4"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66B3FFB1" w14:textId="77777777" w:rsidR="00236104" w:rsidRPr="00851088" w:rsidRDefault="00236104" w:rsidP="00BA73E7">
            <w:pPr>
              <w:pStyle w:val="TableBody"/>
              <w:rPr>
                <w:i/>
              </w:rPr>
            </w:pPr>
            <w:r w:rsidRPr="00851088">
              <w:rPr>
                <w:i/>
              </w:rPr>
              <w:t>i</w:t>
            </w:r>
          </w:p>
        </w:tc>
        <w:tc>
          <w:tcPr>
            <w:tcW w:w="692" w:type="pct"/>
            <w:tcBorders>
              <w:top w:val="single" w:sz="6" w:space="0" w:color="auto"/>
              <w:left w:val="single" w:sz="6" w:space="0" w:color="auto"/>
              <w:bottom w:val="single" w:sz="6" w:space="0" w:color="auto"/>
              <w:right w:val="single" w:sz="6" w:space="0" w:color="auto"/>
            </w:tcBorders>
            <w:hideMark/>
          </w:tcPr>
          <w:p w14:paraId="22650624"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18A94894" w14:textId="77777777" w:rsidR="00236104" w:rsidRPr="00851088" w:rsidRDefault="00236104" w:rsidP="00BA73E7">
            <w:pPr>
              <w:pStyle w:val="TableBody"/>
            </w:pPr>
            <w:r w:rsidRPr="001520A2">
              <w:t xml:space="preserve">A 15-minute Settlement Interval within the hour of an Operating Day </w:t>
            </w:r>
            <w:r w:rsidRPr="00067DC6">
              <w:t xml:space="preserve">during </w:t>
            </w:r>
            <w:r>
              <w:t>which the SWGR is instructed by ERCOT.</w:t>
            </w:r>
          </w:p>
        </w:tc>
      </w:tr>
      <w:tr w:rsidR="00236104" w:rsidRPr="00851088" w14:paraId="272F9CF1"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3732F36A" w14:textId="77777777" w:rsidR="00236104" w:rsidRPr="00851088" w:rsidRDefault="00236104" w:rsidP="00BA73E7">
            <w:pPr>
              <w:pStyle w:val="TableBody"/>
              <w:rPr>
                <w:i/>
              </w:rPr>
            </w:pPr>
            <w:r w:rsidRPr="00851088">
              <w:rPr>
                <w:i/>
              </w:rPr>
              <w:t>s</w:t>
            </w:r>
          </w:p>
        </w:tc>
        <w:tc>
          <w:tcPr>
            <w:tcW w:w="692" w:type="pct"/>
            <w:tcBorders>
              <w:top w:val="single" w:sz="6" w:space="0" w:color="auto"/>
              <w:left w:val="single" w:sz="6" w:space="0" w:color="auto"/>
              <w:bottom w:val="single" w:sz="6" w:space="0" w:color="auto"/>
              <w:right w:val="single" w:sz="6" w:space="0" w:color="auto"/>
            </w:tcBorders>
            <w:hideMark/>
          </w:tcPr>
          <w:p w14:paraId="38B101D9"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79A0C196" w14:textId="77777777" w:rsidR="00236104" w:rsidRPr="00067DC6" w:rsidRDefault="00236104" w:rsidP="00BA73E7">
            <w:pPr>
              <w:pStyle w:val="TableBody"/>
              <w:rPr>
                <w:highlight w:val="yellow"/>
              </w:rPr>
            </w:pPr>
            <w:r w:rsidRPr="00354F5D">
              <w:t>A</w:t>
            </w:r>
            <w:r>
              <w:t xml:space="preserve">n ERCOT area </w:t>
            </w:r>
            <w:r w:rsidRPr="00067DC6">
              <w:t>start</w:t>
            </w:r>
            <w:r>
              <w:t xml:space="preserve"> that is eligible to have its costs included in the Switchable Generation Cost Guarantee. </w:t>
            </w:r>
          </w:p>
        </w:tc>
      </w:tr>
      <w:tr w:rsidR="00236104" w:rsidRPr="00851088" w14:paraId="16BEF90E"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68A4905B" w14:textId="77777777" w:rsidR="00236104" w:rsidRPr="001520A2" w:rsidRDefault="00236104" w:rsidP="00BA73E7">
            <w:pPr>
              <w:pStyle w:val="TableBody"/>
              <w:rPr>
                <w:i/>
              </w:rPr>
            </w:pPr>
            <w:r w:rsidRPr="001520A2">
              <w:rPr>
                <w:i/>
              </w:rPr>
              <w:t>rc</w:t>
            </w:r>
          </w:p>
        </w:tc>
        <w:tc>
          <w:tcPr>
            <w:tcW w:w="692" w:type="pct"/>
            <w:tcBorders>
              <w:top w:val="single" w:sz="6" w:space="0" w:color="auto"/>
              <w:left w:val="single" w:sz="6" w:space="0" w:color="auto"/>
              <w:bottom w:val="single" w:sz="6" w:space="0" w:color="auto"/>
              <w:right w:val="single" w:sz="6" w:space="0" w:color="auto"/>
            </w:tcBorders>
            <w:hideMark/>
          </w:tcPr>
          <w:p w14:paraId="0C42E5DA" w14:textId="77777777" w:rsidR="00236104" w:rsidRPr="00F119E9" w:rsidRDefault="00236104" w:rsidP="00BA73E7">
            <w:pPr>
              <w:pStyle w:val="TableBody"/>
            </w:pPr>
            <w:r w:rsidRPr="00F119E9">
              <w:t>none</w:t>
            </w:r>
          </w:p>
        </w:tc>
        <w:tc>
          <w:tcPr>
            <w:tcW w:w="3342" w:type="pct"/>
            <w:tcBorders>
              <w:top w:val="single" w:sz="6" w:space="0" w:color="auto"/>
              <w:left w:val="single" w:sz="6" w:space="0" w:color="auto"/>
              <w:bottom w:val="single" w:sz="6" w:space="0" w:color="auto"/>
              <w:right w:val="single" w:sz="4" w:space="0" w:color="auto"/>
            </w:tcBorders>
            <w:hideMark/>
          </w:tcPr>
          <w:p w14:paraId="7D789A28" w14:textId="77777777" w:rsidR="00236104" w:rsidRPr="00F119E9" w:rsidRDefault="00236104" w:rsidP="00BA73E7">
            <w:pPr>
              <w:pStyle w:val="TableBody"/>
            </w:pPr>
            <w:r w:rsidRPr="00F119E9">
              <w:t xml:space="preserve">A Resource </w:t>
            </w:r>
            <w:r>
              <w:t>C</w:t>
            </w:r>
            <w:r w:rsidRPr="00F119E9">
              <w:t>ategory.</w:t>
            </w:r>
          </w:p>
        </w:tc>
      </w:tr>
      <w:tr w:rsidR="00236104" w:rsidRPr="007477C6" w14:paraId="00E87E8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7653FC4" w14:textId="77777777" w:rsidR="00236104" w:rsidRPr="00F01F11" w:rsidRDefault="00236104" w:rsidP="00BA73E7">
            <w:pPr>
              <w:pStyle w:val="TableBody"/>
              <w:rPr>
                <w:i/>
              </w:rPr>
            </w:pPr>
            <w:r w:rsidRPr="00F01F11">
              <w:rPr>
                <w:i/>
              </w:rPr>
              <w:t>p</w:t>
            </w:r>
          </w:p>
        </w:tc>
        <w:tc>
          <w:tcPr>
            <w:tcW w:w="692" w:type="pct"/>
            <w:tcBorders>
              <w:top w:val="single" w:sz="6" w:space="0" w:color="auto"/>
              <w:left w:val="single" w:sz="6" w:space="0" w:color="auto"/>
              <w:bottom w:val="single" w:sz="6" w:space="0" w:color="auto"/>
              <w:right w:val="single" w:sz="6" w:space="0" w:color="auto"/>
            </w:tcBorders>
          </w:tcPr>
          <w:p w14:paraId="424C0617" w14:textId="77777777" w:rsidR="00236104" w:rsidRPr="00067DC6" w:rsidRDefault="00236104" w:rsidP="00BA73E7">
            <w:pPr>
              <w:pStyle w:val="TableBody"/>
            </w:pPr>
            <w:r w:rsidRPr="00851088">
              <w:t>none</w:t>
            </w:r>
          </w:p>
        </w:tc>
        <w:tc>
          <w:tcPr>
            <w:tcW w:w="3342" w:type="pct"/>
            <w:tcBorders>
              <w:top w:val="single" w:sz="6" w:space="0" w:color="auto"/>
              <w:left w:val="single" w:sz="6" w:space="0" w:color="auto"/>
              <w:bottom w:val="single" w:sz="6" w:space="0" w:color="auto"/>
              <w:right w:val="single" w:sz="4" w:space="0" w:color="auto"/>
            </w:tcBorders>
          </w:tcPr>
          <w:p w14:paraId="7992698F" w14:textId="77777777" w:rsidR="00236104" w:rsidRPr="00067DC6" w:rsidRDefault="00236104" w:rsidP="00BA73E7">
            <w:pPr>
              <w:pStyle w:val="TableBody"/>
            </w:pPr>
            <w:r w:rsidRPr="00851088">
              <w:t>A Resource Node Settlement Point.</w:t>
            </w:r>
          </w:p>
        </w:tc>
      </w:tr>
    </w:tbl>
    <w:p w14:paraId="591EAA0F" w14:textId="77777777" w:rsidR="00BE571E" w:rsidRDefault="00BE571E" w:rsidP="00BE571E">
      <w:pPr>
        <w:pStyle w:val="BodyTextNumbered"/>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E571E" w14:paraId="6C072C0A" w14:textId="77777777" w:rsidTr="00BE571E">
        <w:trPr>
          <w:trHeight w:val="206"/>
        </w:trPr>
        <w:tc>
          <w:tcPr>
            <w:tcW w:w="9350" w:type="dxa"/>
            <w:shd w:val="pct12" w:color="auto" w:fill="auto"/>
          </w:tcPr>
          <w:p w14:paraId="2E0019B9" w14:textId="035B5BCE" w:rsidR="00BE571E" w:rsidRDefault="00BE571E" w:rsidP="00BE571E">
            <w:pPr>
              <w:pStyle w:val="Instructions"/>
              <w:spacing w:before="120"/>
            </w:pPr>
            <w:r>
              <w:t>[NPRR1010</w:t>
            </w:r>
            <w:r w:rsidR="003B46CE">
              <w:t xml:space="preserve"> and NPRR1014</w:t>
            </w:r>
            <w:r>
              <w:t xml:space="preserve">:  Replace </w:t>
            </w:r>
            <w:r w:rsidR="003B46CE">
              <w:t xml:space="preserve">applicable portions of </w:t>
            </w:r>
            <w:r>
              <w:t>paragraph (1) above with the following upon system implementation of the Real-Time Co-Optimization (RTC) project</w:t>
            </w:r>
            <w:r w:rsidR="003B46CE">
              <w:t xml:space="preserve"> for NPRR1010; or upon system implementation for NPRR1014</w:t>
            </w:r>
            <w:r>
              <w:t>:]</w:t>
            </w:r>
          </w:p>
          <w:p w14:paraId="4789EFA0" w14:textId="4508FFDC" w:rsidR="003B46CE" w:rsidRPr="00A552C3" w:rsidRDefault="003B46CE" w:rsidP="003B46CE">
            <w:pPr>
              <w:ind w:left="720" w:hanging="720"/>
            </w:pPr>
            <w:r w:rsidRPr="00A552C3">
              <w:t>(1)</w:t>
            </w:r>
            <w:r w:rsidRPr="00A552C3">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11BAAF49" w14:textId="77777777" w:rsidR="003B46CE" w:rsidRPr="00A552C3" w:rsidRDefault="003B46CE" w:rsidP="003B46CE"/>
          <w:p w14:paraId="41E3350C" w14:textId="77777777" w:rsidR="003B46CE" w:rsidRPr="00A552C3" w:rsidRDefault="003B46CE" w:rsidP="003B46CE">
            <w:pPr>
              <w:tabs>
                <w:tab w:val="left" w:pos="2250"/>
                <w:tab w:val="left" w:pos="3150"/>
                <w:tab w:val="left" w:pos="3960"/>
              </w:tabs>
              <w:spacing w:after="240"/>
              <w:ind w:left="3960" w:hanging="3240"/>
              <w:rPr>
                <w:b/>
                <w:bCs/>
                <w:i/>
                <w:vertAlign w:val="subscript"/>
              </w:rPr>
            </w:pPr>
            <w:r w:rsidRPr="00A552C3">
              <w:rPr>
                <w:b/>
                <w:bCs/>
              </w:rPr>
              <w:t xml:space="preserve">SWMWAMT </w:t>
            </w:r>
            <w:r w:rsidRPr="00A552C3">
              <w:rPr>
                <w:b/>
                <w:bCs/>
                <w:i/>
                <w:vertAlign w:val="subscript"/>
              </w:rPr>
              <w:t>q, r</w:t>
            </w:r>
            <w:r w:rsidRPr="00A552C3">
              <w:rPr>
                <w:b/>
                <w:bCs/>
              </w:rPr>
              <w:t xml:space="preserve">  =  (-1) * Max (0, (SWCG </w:t>
            </w:r>
            <w:r w:rsidRPr="00A552C3">
              <w:rPr>
                <w:b/>
                <w:bCs/>
                <w:i/>
                <w:vertAlign w:val="subscript"/>
              </w:rPr>
              <w:t>q, r, d</w:t>
            </w:r>
            <w:r w:rsidRPr="00A552C3">
              <w:rPr>
                <w:b/>
                <w:bCs/>
              </w:rPr>
              <w:t xml:space="preserve"> – </w:t>
            </w:r>
            <w:r w:rsidRPr="00A552C3">
              <w:rPr>
                <w:b/>
                <w:bCs/>
                <w:lang w:val="pt-BR"/>
              </w:rPr>
              <w:t>SWRTREV</w:t>
            </w:r>
            <w:r w:rsidRPr="00A552C3">
              <w:rPr>
                <w:b/>
                <w:bCs/>
                <w:i/>
                <w:vertAlign w:val="subscript"/>
                <w:lang w:val="pt-BR"/>
              </w:rPr>
              <w:t xml:space="preserve"> q, r, d</w:t>
            </w:r>
            <w:r w:rsidRPr="00A552C3">
              <w:rPr>
                <w:b/>
                <w:bCs/>
              </w:rPr>
              <w:t xml:space="preserve">)) / SWIHR </w:t>
            </w:r>
            <w:r w:rsidRPr="00A552C3">
              <w:rPr>
                <w:b/>
                <w:bCs/>
                <w:i/>
                <w:vertAlign w:val="subscript"/>
              </w:rPr>
              <w:t>q, r, d</w:t>
            </w:r>
          </w:p>
          <w:p w14:paraId="4476E9AC" w14:textId="77777777" w:rsidR="003B46CE" w:rsidRPr="00A552C3" w:rsidRDefault="003B46CE" w:rsidP="003B46CE">
            <w:pPr>
              <w:spacing w:after="240"/>
              <w:ind w:left="720"/>
            </w:pPr>
            <w:r w:rsidRPr="00A552C3">
              <w:t>Where:</w:t>
            </w:r>
          </w:p>
          <w:p w14:paraId="20EF3CEF" w14:textId="77777777" w:rsidR="003B46CE" w:rsidRPr="00A552C3" w:rsidRDefault="003B46CE" w:rsidP="003B46CE">
            <w:pPr>
              <w:spacing w:after="240"/>
              <w:ind w:left="2250" w:hanging="1530"/>
            </w:pPr>
            <w:r w:rsidRPr="00A552C3">
              <w:t xml:space="preserve">SWCG </w:t>
            </w:r>
            <w:r w:rsidRPr="00A552C3">
              <w:rPr>
                <w:i/>
                <w:vertAlign w:val="subscript"/>
              </w:rPr>
              <w:t>q, r, d</w:t>
            </w:r>
            <w:r w:rsidRPr="00A552C3">
              <w:t xml:space="preserve">  =  SWSUC </w:t>
            </w:r>
            <w:r w:rsidRPr="00A552C3">
              <w:rPr>
                <w:i/>
                <w:vertAlign w:val="subscript"/>
              </w:rPr>
              <w:t>q, r, d</w:t>
            </w:r>
            <w:r w:rsidRPr="00A552C3">
              <w:t xml:space="preserve"> + SWMEC </w:t>
            </w:r>
            <w:r w:rsidRPr="00A552C3">
              <w:rPr>
                <w:i/>
                <w:vertAlign w:val="subscript"/>
              </w:rPr>
              <w:t>q, r, d</w:t>
            </w:r>
            <w:r w:rsidRPr="00A552C3">
              <w:t xml:space="preserve"> + SWOC </w:t>
            </w:r>
            <w:r w:rsidRPr="00A552C3">
              <w:rPr>
                <w:i/>
                <w:vertAlign w:val="subscript"/>
              </w:rPr>
              <w:t>q, r, d</w:t>
            </w:r>
            <w:r w:rsidRPr="00A552C3">
              <w:t xml:space="preserve"> + SWAC</w:t>
            </w:r>
            <w:r w:rsidRPr="00A552C3">
              <w:rPr>
                <w:i/>
                <w:vertAlign w:val="subscript"/>
              </w:rPr>
              <w:t xml:space="preserve"> q, r, d</w:t>
            </w:r>
            <w:r w:rsidRPr="00A552C3">
              <w:t xml:space="preserve">  + </w:t>
            </w:r>
          </w:p>
          <w:p w14:paraId="15016150" w14:textId="77777777" w:rsidR="003B46CE" w:rsidRPr="00A552C3" w:rsidRDefault="003B46CE" w:rsidP="003B46CE">
            <w:pPr>
              <w:spacing w:after="240"/>
              <w:ind w:left="2250" w:hanging="90"/>
            </w:pPr>
            <w:r w:rsidRPr="00A552C3">
              <w:t>SWPSLR</w:t>
            </w:r>
            <w:r w:rsidRPr="00A552C3">
              <w:rPr>
                <w:i/>
                <w:vertAlign w:val="subscript"/>
              </w:rPr>
              <w:t xml:space="preserve"> q, r, d</w:t>
            </w:r>
          </w:p>
          <w:p w14:paraId="70FEEE49" w14:textId="77777777" w:rsidR="003B46CE" w:rsidRPr="00A552C3" w:rsidRDefault="003B46CE" w:rsidP="003B46CE">
            <w:pPr>
              <w:spacing w:after="240"/>
              <w:ind w:left="2250" w:hanging="1530"/>
              <w:rPr>
                <w:lang w:val="pt-BR"/>
              </w:rPr>
            </w:pPr>
            <w:r w:rsidRPr="00A552C3">
              <w:rPr>
                <w:lang w:val="pt-BR"/>
              </w:rPr>
              <w:t>SW</w:t>
            </w:r>
            <w:r w:rsidRPr="00A552C3">
              <w:rPr>
                <w:bCs/>
                <w:lang w:val="pt-BR"/>
              </w:rPr>
              <w:t xml:space="preserve">RTREV </w:t>
            </w:r>
            <w:r w:rsidRPr="00A552C3">
              <w:rPr>
                <w:i/>
                <w:vertAlign w:val="subscript"/>
                <w:lang w:val="pt-BR"/>
              </w:rPr>
              <w:t>q</w:t>
            </w:r>
            <w:r w:rsidRPr="00A552C3">
              <w:rPr>
                <w:i/>
                <w:vertAlign w:val="subscript"/>
                <w:lang w:val="it-IT"/>
              </w:rPr>
              <w:t>, r, d</w:t>
            </w:r>
            <w:r w:rsidRPr="00A552C3">
              <w:rPr>
                <w:lang w:val="it-IT"/>
              </w:rPr>
              <w:t xml:space="preserve">   </w:t>
            </w:r>
            <w:r w:rsidRPr="00A552C3">
              <w:t xml:space="preserve">=  </w:t>
            </w:r>
            <w:r w:rsidRPr="00A552C3">
              <w:rPr>
                <w:bCs/>
                <w:lang w:val="pt-BR"/>
              </w:rPr>
              <w:t xml:space="preserve">Max [0, </w:t>
            </w:r>
            <w:r w:rsidRPr="00A552C3">
              <w:rPr>
                <w:position w:val="-20"/>
              </w:rPr>
              <w:object w:dxaOrig="220" w:dyaOrig="440" w14:anchorId="0032A056">
                <v:shape id="_x0000_i1299" type="#_x0000_t75" style="width:5.4pt;height:24pt" o:ole="">
                  <v:imagedata r:id="rId110" o:title=""/>
                </v:shape>
                <o:OLEObject Type="Embed" ProgID="Equation.3" ShapeID="_x0000_i1299" DrawAspect="Content" ObjectID="_1815025488" r:id="rId372"/>
              </w:object>
            </w:r>
            <w:r w:rsidRPr="00A552C3">
              <w:t>(</w:t>
            </w:r>
            <w:r w:rsidRPr="00A552C3">
              <w:rPr>
                <w:bCs/>
                <w:lang w:val="pt-BR"/>
              </w:rPr>
              <w:t>RTSP</w:t>
            </w:r>
            <w:r w:rsidRPr="00A552C3">
              <w:rPr>
                <w:lang w:val="pt-BR"/>
              </w:rPr>
              <w:t>P</w:t>
            </w:r>
            <w:r w:rsidRPr="00A552C3">
              <w:rPr>
                <w:b/>
                <w:i/>
                <w:vertAlign w:val="subscript"/>
              </w:rPr>
              <w:t xml:space="preserve"> </w:t>
            </w:r>
            <w:r w:rsidRPr="00A552C3">
              <w:rPr>
                <w:i/>
                <w:vertAlign w:val="subscript"/>
              </w:rPr>
              <w:t>p, i</w:t>
            </w:r>
            <w:r w:rsidRPr="00A552C3">
              <w:rPr>
                <w:lang w:val="pt-BR"/>
              </w:rPr>
              <w:t xml:space="preserve"> * </w:t>
            </w:r>
            <w:r w:rsidRPr="00A552C3">
              <w:t>RTMG</w:t>
            </w:r>
            <w:r w:rsidRPr="00A552C3">
              <w:rPr>
                <w:b/>
                <w:i/>
                <w:vertAlign w:val="subscript"/>
              </w:rPr>
              <w:t xml:space="preserve"> </w:t>
            </w:r>
            <w:r w:rsidRPr="00A552C3">
              <w:rPr>
                <w:i/>
                <w:vertAlign w:val="subscript"/>
              </w:rPr>
              <w:t>q, r, i</w:t>
            </w:r>
            <w:r w:rsidRPr="00A552C3">
              <w:rPr>
                <w:iCs/>
              </w:rPr>
              <w:t xml:space="preserve"> </w:t>
            </w:r>
            <w:r w:rsidRPr="00A552C3">
              <w:rPr>
                <w:bCs/>
                <w:lang w:val="pt-BR"/>
              </w:rPr>
              <w:t>+ (-1) * (</w:t>
            </w:r>
            <w:r w:rsidRPr="00A552C3">
              <w:rPr>
                <w:lang w:val="pt-BR"/>
              </w:rPr>
              <w:t xml:space="preserve">EMREAMT </w:t>
            </w:r>
            <w:r w:rsidRPr="00A552C3">
              <w:rPr>
                <w:i/>
                <w:vertAlign w:val="subscript"/>
                <w:lang w:val="pt-BR"/>
              </w:rPr>
              <w:t xml:space="preserve">q, r, p, i </w:t>
            </w:r>
            <w:r w:rsidRPr="00A552C3">
              <w:rPr>
                <w:lang w:val="pt-BR"/>
              </w:rPr>
              <w:t xml:space="preserve"> +  VSSVARAMT</w:t>
            </w:r>
            <w:r w:rsidRPr="00A552C3">
              <w:t xml:space="preserve"> </w:t>
            </w:r>
            <w:r w:rsidRPr="00A552C3">
              <w:rPr>
                <w:i/>
                <w:vertAlign w:val="subscript"/>
              </w:rPr>
              <w:t>q, r, i</w:t>
            </w:r>
            <w:r w:rsidRPr="00A552C3">
              <w:rPr>
                <w:iCs/>
                <w:vertAlign w:val="subscript"/>
              </w:rPr>
              <w:t xml:space="preserve"> </w:t>
            </w:r>
            <w:r w:rsidRPr="00A552C3">
              <w:rPr>
                <w:bCs/>
                <w:lang w:val="pt-BR"/>
              </w:rPr>
              <w:t xml:space="preserve">+ </w:t>
            </w:r>
            <w:r w:rsidRPr="00A552C3">
              <w:rPr>
                <w:lang w:val="pt-BR"/>
              </w:rPr>
              <w:t xml:space="preserve">VSSEAMT </w:t>
            </w:r>
            <w:r w:rsidRPr="00A552C3">
              <w:rPr>
                <w:i/>
                <w:vertAlign w:val="subscript"/>
                <w:lang w:val="pt-BR"/>
              </w:rPr>
              <w:t>q, r, i</w:t>
            </w:r>
            <w:r w:rsidRPr="00A552C3">
              <w:rPr>
                <w:lang w:val="pt-BR"/>
              </w:rPr>
              <w:t>) + RTRUREV</w:t>
            </w:r>
            <w:r w:rsidRPr="00A552C3">
              <w:t xml:space="preserve"> </w:t>
            </w:r>
            <w:r w:rsidRPr="00A552C3">
              <w:rPr>
                <w:i/>
                <w:vertAlign w:val="subscript"/>
              </w:rPr>
              <w:t>q, r, i</w:t>
            </w:r>
            <w:r w:rsidRPr="00A552C3" w:rsidDel="00D93367">
              <w:rPr>
                <w:lang w:val="pt-BR"/>
              </w:rPr>
              <w:t xml:space="preserve"> </w:t>
            </w:r>
            <w:r w:rsidRPr="00A552C3">
              <w:rPr>
                <w:lang w:val="pt-BR"/>
              </w:rPr>
              <w:t xml:space="preserve"> + </w:t>
            </w:r>
            <w:r w:rsidRPr="00A552C3">
              <w:rPr>
                <w:iCs/>
              </w:rPr>
              <w:t xml:space="preserve">RTRDREV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i/>
              </w:rPr>
              <w:t xml:space="preserve"> + </w:t>
            </w:r>
            <w:r w:rsidRPr="00A552C3">
              <w:rPr>
                <w:iCs/>
              </w:rPr>
              <w:t xml:space="preserve">RTRRREV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i/>
              </w:rPr>
              <w:t xml:space="preserve"> +</w:t>
            </w:r>
            <w:r w:rsidRPr="00A552C3">
              <w:rPr>
                <w:iCs/>
              </w:rPr>
              <w:t xml:space="preserve"> RTNSREV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i/>
              </w:rPr>
              <w:t xml:space="preserve"> + </w:t>
            </w:r>
            <w:r w:rsidRPr="00A552C3">
              <w:rPr>
                <w:iCs/>
              </w:rPr>
              <w:t xml:space="preserve">RTECRREV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lang w:val="pt-BR"/>
              </w:rPr>
              <w:t>)]</w:t>
            </w:r>
          </w:p>
          <w:p w14:paraId="7F085782" w14:textId="77777777" w:rsidR="003B46CE" w:rsidRPr="00A552C3" w:rsidRDefault="003B46CE" w:rsidP="003B46CE">
            <w:pPr>
              <w:spacing w:after="240"/>
              <w:ind w:left="2250" w:hanging="1530"/>
              <w:rPr>
                <w:lang w:val="it-IT"/>
              </w:rPr>
            </w:pPr>
            <w:r w:rsidRPr="00A552C3">
              <w:t>SWAC</w:t>
            </w:r>
            <w:r w:rsidRPr="00A552C3">
              <w:rPr>
                <w:i/>
                <w:vertAlign w:val="subscript"/>
              </w:rPr>
              <w:t xml:space="preserve"> q, r, d</w:t>
            </w:r>
            <w:r w:rsidRPr="00A552C3">
              <w:t xml:space="preserve">  =  SWFC</w:t>
            </w:r>
            <w:r w:rsidRPr="00A552C3">
              <w:rPr>
                <w:i/>
                <w:vertAlign w:val="subscript"/>
              </w:rPr>
              <w:t xml:space="preserve"> q, r, d</w:t>
            </w:r>
            <w:r w:rsidRPr="00A552C3">
              <w:rPr>
                <w:lang w:val="it-IT"/>
              </w:rPr>
              <w:t xml:space="preserve"> </w:t>
            </w:r>
            <w:r w:rsidRPr="00A552C3">
              <w:t>+ SWEIC</w:t>
            </w:r>
            <w:r w:rsidRPr="00A552C3">
              <w:rPr>
                <w:i/>
                <w:vertAlign w:val="subscript"/>
              </w:rPr>
              <w:t xml:space="preserve"> q, r, d</w:t>
            </w:r>
            <w:r w:rsidRPr="00A552C3">
              <w:rPr>
                <w:lang w:val="it-IT"/>
              </w:rPr>
              <w:t xml:space="preserve"> </w:t>
            </w:r>
            <w:r w:rsidRPr="00A552C3">
              <w:t>+ SWASIC</w:t>
            </w:r>
            <w:r w:rsidRPr="00A552C3">
              <w:rPr>
                <w:i/>
                <w:vertAlign w:val="subscript"/>
              </w:rPr>
              <w:t xml:space="preserve"> q, r, d</w:t>
            </w:r>
            <w:r w:rsidRPr="00A552C3">
              <w:rPr>
                <w:lang w:val="it-IT"/>
              </w:rPr>
              <w:t xml:space="preserve"> + </w:t>
            </w:r>
            <w:r w:rsidRPr="00A552C3">
              <w:rPr>
                <w:lang w:val="pt-BR"/>
              </w:rPr>
              <w:t>SWMWDC</w:t>
            </w:r>
            <w:r w:rsidRPr="00A552C3">
              <w:rPr>
                <w:i/>
                <w:vertAlign w:val="subscript"/>
              </w:rPr>
              <w:t xml:space="preserve"> q, r, d </w:t>
            </w:r>
            <w:r w:rsidRPr="00A552C3">
              <w:rPr>
                <w:lang w:val="it-IT"/>
              </w:rPr>
              <w:t xml:space="preserve">+ </w:t>
            </w:r>
            <w:r w:rsidRPr="00A552C3">
              <w:rPr>
                <w:lang w:val="pt-BR"/>
              </w:rPr>
              <w:t>SWFIPC</w:t>
            </w:r>
            <w:r w:rsidRPr="00A552C3">
              <w:rPr>
                <w:i/>
                <w:vertAlign w:val="subscript"/>
              </w:rPr>
              <w:t xml:space="preserve"> q, r, d</w:t>
            </w:r>
          </w:p>
          <w:p w14:paraId="7E121321" w14:textId="77777777" w:rsidR="003B46CE" w:rsidRPr="00A552C3" w:rsidRDefault="003B46CE" w:rsidP="003B46CE">
            <w:pPr>
              <w:spacing w:after="240"/>
              <w:ind w:left="2250" w:hanging="1530"/>
              <w:rPr>
                <w:iCs/>
                <w:lang w:val="it-IT"/>
              </w:rPr>
            </w:pPr>
            <w:r w:rsidRPr="00A552C3">
              <w:lastRenderedPageBreak/>
              <w:t>SWPSLR</w:t>
            </w:r>
            <w:r w:rsidRPr="00A552C3">
              <w:rPr>
                <w:i/>
                <w:vertAlign w:val="subscript"/>
              </w:rPr>
              <w:t xml:space="preserve"> q, r, d</w:t>
            </w:r>
            <w:r w:rsidRPr="00A552C3">
              <w:t xml:space="preserve">  =  </w:t>
            </w:r>
            <w:r w:rsidRPr="00A552C3">
              <w:rPr>
                <w:position w:val="-20"/>
              </w:rPr>
              <w:object w:dxaOrig="220" w:dyaOrig="440" w14:anchorId="313DBDC3">
                <v:shape id="_x0000_i1300" type="#_x0000_t75" style="width:12pt;height:24pt" o:ole="">
                  <v:imagedata r:id="rId110" o:title=""/>
                </v:shape>
                <o:OLEObject Type="Embed" ProgID="Equation.3" ShapeID="_x0000_i1300" DrawAspect="Content" ObjectID="_1815025489" r:id="rId373"/>
              </w:object>
            </w:r>
            <w:r w:rsidRPr="00A552C3">
              <w:t>(</w:t>
            </w:r>
            <w:r w:rsidRPr="00A552C3">
              <w:rPr>
                <w:bCs/>
                <w:lang w:val="pt-BR"/>
              </w:rPr>
              <w:t>RTSP</w:t>
            </w:r>
            <w:r w:rsidRPr="00A552C3">
              <w:rPr>
                <w:lang w:val="pt-BR"/>
              </w:rPr>
              <w:t>P</w:t>
            </w:r>
            <w:r w:rsidRPr="00A552C3">
              <w:rPr>
                <w:b/>
                <w:i/>
                <w:vertAlign w:val="subscript"/>
              </w:rPr>
              <w:t xml:space="preserve"> </w:t>
            </w:r>
            <w:r w:rsidRPr="00A552C3">
              <w:rPr>
                <w:i/>
                <w:vertAlign w:val="subscript"/>
              </w:rPr>
              <w:t>p, i</w:t>
            </w:r>
            <w:r w:rsidRPr="00A552C3">
              <w:rPr>
                <w:lang w:val="pt-BR"/>
              </w:rPr>
              <w:t xml:space="preserve"> * </w:t>
            </w:r>
            <w:r w:rsidRPr="00A552C3">
              <w:t xml:space="preserve">RTLPX </w:t>
            </w:r>
            <w:r w:rsidRPr="00A552C3">
              <w:rPr>
                <w:i/>
                <w:vertAlign w:val="subscript"/>
              </w:rPr>
              <w:t xml:space="preserve">q, r, i </w:t>
            </w:r>
            <w:r w:rsidRPr="00A552C3">
              <w:t xml:space="preserve">) – (FIP+FA) * SFC </w:t>
            </w:r>
            <w:r w:rsidRPr="00A552C3">
              <w:rPr>
                <w:i/>
                <w:vertAlign w:val="subscript"/>
              </w:rPr>
              <w:t>d</w:t>
            </w:r>
          </w:p>
          <w:p w14:paraId="1674D167" w14:textId="77777777" w:rsidR="003B46CE" w:rsidRPr="00A552C3" w:rsidRDefault="003B46CE" w:rsidP="003B46CE">
            <w:pPr>
              <w:spacing w:after="240"/>
              <w:ind w:left="1440" w:hanging="720"/>
            </w:pPr>
            <w:r w:rsidRPr="00A552C3">
              <w:t>If ERCOT has approved verifiable costs for the SWGR:</w:t>
            </w:r>
          </w:p>
          <w:p w14:paraId="1A920C00" w14:textId="77777777" w:rsidR="003B46CE" w:rsidRPr="00A552C3" w:rsidRDefault="003B46CE" w:rsidP="003B46CE">
            <w:pPr>
              <w:tabs>
                <w:tab w:val="left" w:pos="1800"/>
              </w:tabs>
              <w:spacing w:after="240"/>
              <w:ind w:left="2160" w:hanging="1440"/>
              <w:rPr>
                <w:i/>
                <w:vertAlign w:val="subscript"/>
              </w:rPr>
            </w:pPr>
            <w:r w:rsidRPr="00A552C3">
              <w:t xml:space="preserve">     SWSUC </w:t>
            </w:r>
            <w:r w:rsidRPr="00A552C3">
              <w:rPr>
                <w:i/>
                <w:vertAlign w:val="subscript"/>
              </w:rPr>
              <w:t>q, r, d</w:t>
            </w:r>
            <w:r w:rsidRPr="00A552C3">
              <w:t xml:space="preserve"> = </w:t>
            </w:r>
            <w:r w:rsidRPr="00A552C3">
              <w:rPr>
                <w:position w:val="-20"/>
                <w:lang w:val="pt-BR"/>
              </w:rPr>
              <w:object w:dxaOrig="210" w:dyaOrig="450" w14:anchorId="28A5B65D">
                <v:shape id="_x0000_i1301" type="#_x0000_t75" style="width:5.4pt;height:24.6pt" o:ole="">
                  <v:imagedata r:id="rId362" o:title=""/>
                </v:shape>
                <o:OLEObject Type="Embed" ProgID="Equation.3" ShapeID="_x0000_i1301" DrawAspect="Content" ObjectID="_1815025490" r:id="rId374"/>
              </w:object>
            </w:r>
            <w:r w:rsidRPr="00A552C3">
              <w:t xml:space="preserve"> [SWSF * </w:t>
            </w:r>
            <w:r w:rsidRPr="00A552C3">
              <w:rPr>
                <w:lang w:val="pt-BR"/>
              </w:rPr>
              <w:t>(</w:t>
            </w:r>
            <w:r w:rsidRPr="00A552C3">
              <w:rPr>
                <w:bCs/>
              </w:rPr>
              <w:t>DAFCRS</w:t>
            </w:r>
            <w:r w:rsidRPr="00A552C3">
              <w:rPr>
                <w:bCs/>
                <w:i/>
                <w:vertAlign w:val="subscript"/>
              </w:rPr>
              <w:t xml:space="preserve"> r, s</w:t>
            </w:r>
            <w:r w:rsidRPr="00A552C3">
              <w:rPr>
                <w:bCs/>
              </w:rPr>
              <w:t xml:space="preserve"> * </w:t>
            </w:r>
            <w:r w:rsidRPr="00A552C3">
              <w:t xml:space="preserve">(GASPERSU </w:t>
            </w:r>
            <w:r w:rsidRPr="00A552C3">
              <w:rPr>
                <w:bCs/>
                <w:i/>
                <w:vertAlign w:val="subscript"/>
              </w:rPr>
              <w:t>r, s</w:t>
            </w:r>
            <w:r w:rsidRPr="00A552C3">
              <w:t xml:space="preserve"> * FIP + OILPERSU</w:t>
            </w:r>
            <w:r w:rsidRPr="00A552C3">
              <w:rPr>
                <w:bCs/>
                <w:i/>
                <w:vertAlign w:val="subscript"/>
              </w:rPr>
              <w:t xml:space="preserve"> r, s</w:t>
            </w:r>
            <w:r w:rsidRPr="00A552C3">
              <w:t xml:space="preserve"> * FOP + SFPERSU</w:t>
            </w:r>
            <w:r w:rsidRPr="00A552C3">
              <w:rPr>
                <w:bCs/>
                <w:i/>
                <w:vertAlign w:val="subscript"/>
              </w:rPr>
              <w:t xml:space="preserve"> r, s</w:t>
            </w:r>
            <w:r w:rsidRPr="00A552C3">
              <w:t xml:space="preserve"> * SFP) + VOMS</w:t>
            </w:r>
            <w:r w:rsidRPr="00A552C3">
              <w:rPr>
                <w:i/>
                <w:vertAlign w:val="subscript"/>
              </w:rPr>
              <w:t xml:space="preserve"> </w:t>
            </w:r>
            <w:r w:rsidRPr="00A552C3">
              <w:rPr>
                <w:bCs/>
                <w:i/>
                <w:vertAlign w:val="subscript"/>
              </w:rPr>
              <w:t>r, s</w:t>
            </w:r>
            <w:r w:rsidRPr="00A552C3">
              <w:t xml:space="preserve">)] + ADJSWSUC </w:t>
            </w:r>
            <w:r w:rsidRPr="00A552C3">
              <w:rPr>
                <w:i/>
                <w:vertAlign w:val="subscript"/>
              </w:rPr>
              <w:t>q, r, d</w:t>
            </w:r>
          </w:p>
          <w:p w14:paraId="6FE31C96" w14:textId="77777777" w:rsidR="003B46CE" w:rsidRPr="00A552C3" w:rsidRDefault="003B46CE" w:rsidP="003B46CE">
            <w:pPr>
              <w:tabs>
                <w:tab w:val="left" w:pos="1800"/>
              </w:tabs>
              <w:spacing w:after="240"/>
              <w:ind w:left="2160" w:hanging="1440"/>
              <w:rPr>
                <w:i/>
                <w:vertAlign w:val="subscript"/>
              </w:rPr>
            </w:pPr>
            <w:r w:rsidRPr="00A552C3">
              <w:t xml:space="preserve">     SWMEC </w:t>
            </w:r>
            <w:r w:rsidRPr="00A552C3">
              <w:rPr>
                <w:i/>
                <w:vertAlign w:val="subscript"/>
              </w:rPr>
              <w:t>q, r, d</w:t>
            </w:r>
            <w:r w:rsidRPr="00A552C3">
              <w:t xml:space="preserve"> = </w:t>
            </w:r>
            <w:r w:rsidRPr="00A552C3">
              <w:rPr>
                <w:position w:val="-20"/>
                <w:lang w:val="pt-BR"/>
              </w:rPr>
              <w:object w:dxaOrig="220" w:dyaOrig="440" w14:anchorId="7851CB73">
                <v:shape id="_x0000_i1302" type="#_x0000_t75" style="width:12pt;height:24pt" o:ole="">
                  <v:imagedata r:id="rId364" o:title=""/>
                </v:shape>
                <o:OLEObject Type="Embed" ProgID="Equation.3" ShapeID="_x0000_i1302" DrawAspect="Content" ObjectID="_1815025491" r:id="rId375"/>
              </w:object>
            </w:r>
            <w:r w:rsidRPr="00A552C3">
              <w:rPr>
                <w:lang w:val="pt-BR"/>
              </w:rPr>
              <w:t>(</w:t>
            </w:r>
            <w:r w:rsidRPr="00A552C3">
              <w:t>(</w:t>
            </w:r>
            <w:r w:rsidRPr="00A552C3">
              <w:rPr>
                <w:lang w:val="pt-BR"/>
              </w:rPr>
              <w:t>AHR</w:t>
            </w:r>
            <w:r w:rsidRPr="00A552C3">
              <w:rPr>
                <w:i/>
                <w:vertAlign w:val="subscript"/>
                <w:lang w:val="es-ES"/>
              </w:rPr>
              <w:t xml:space="preserve"> r, i</w:t>
            </w:r>
            <w:r w:rsidRPr="00A552C3">
              <w:rPr>
                <w:lang w:val="pt-BR"/>
              </w:rPr>
              <w:t xml:space="preserve"> </w:t>
            </w:r>
            <w:r w:rsidRPr="00A552C3">
              <w:t xml:space="preserve">* (GASPERME </w:t>
            </w:r>
            <w:r w:rsidRPr="00A552C3">
              <w:rPr>
                <w:bCs/>
                <w:i/>
                <w:vertAlign w:val="subscript"/>
              </w:rPr>
              <w:t>r</w:t>
            </w:r>
            <w:r w:rsidRPr="00A552C3">
              <w:t xml:space="preserve"> * FIP + OILPERME </w:t>
            </w:r>
            <w:r w:rsidRPr="00A552C3">
              <w:rPr>
                <w:bCs/>
                <w:i/>
                <w:vertAlign w:val="subscript"/>
              </w:rPr>
              <w:t>r</w:t>
            </w:r>
            <w:r w:rsidRPr="00A552C3">
              <w:t xml:space="preserve"> * FOP + SFPERME</w:t>
            </w:r>
            <w:r w:rsidRPr="00A552C3">
              <w:rPr>
                <w:bCs/>
                <w:i/>
                <w:vertAlign w:val="subscript"/>
              </w:rPr>
              <w:t xml:space="preserve"> r</w:t>
            </w:r>
            <w:r w:rsidRPr="00A552C3">
              <w:t xml:space="preserve">* SFP + FA </w:t>
            </w:r>
            <w:r w:rsidRPr="00A552C3">
              <w:rPr>
                <w:i/>
                <w:vertAlign w:val="subscript"/>
              </w:rPr>
              <w:t>r</w:t>
            </w:r>
            <w:r w:rsidRPr="00A552C3">
              <w:t>) + VOMLSL</w:t>
            </w:r>
            <w:r w:rsidRPr="00A552C3">
              <w:rPr>
                <w:i/>
                <w:vertAlign w:val="subscript"/>
              </w:rPr>
              <w:t xml:space="preserve"> </w:t>
            </w:r>
            <w:r w:rsidRPr="00A552C3">
              <w:rPr>
                <w:bCs/>
                <w:i/>
                <w:vertAlign w:val="subscript"/>
              </w:rPr>
              <w:t>r</w:t>
            </w:r>
            <w:r w:rsidRPr="00A552C3">
              <w:t xml:space="preserve">) * Min (LSL </w:t>
            </w:r>
            <w:r w:rsidRPr="00A552C3">
              <w:rPr>
                <w:i/>
                <w:vertAlign w:val="subscript"/>
              </w:rPr>
              <w:t>q, r, i</w:t>
            </w:r>
            <w:r w:rsidRPr="00A552C3">
              <w:t xml:space="preserve"> * (¼), RTMG </w:t>
            </w:r>
            <w:r w:rsidRPr="00A552C3">
              <w:rPr>
                <w:i/>
                <w:vertAlign w:val="subscript"/>
              </w:rPr>
              <w:t>q, r, i</w:t>
            </w:r>
            <w:r w:rsidRPr="00A552C3">
              <w:t xml:space="preserve">)) </w:t>
            </w:r>
            <w:r w:rsidRPr="00A552C3">
              <w:rPr>
                <w:i/>
                <w:vertAlign w:val="subscript"/>
              </w:rPr>
              <w:t xml:space="preserve">  </w:t>
            </w:r>
          </w:p>
          <w:p w14:paraId="76CC965B" w14:textId="77777777" w:rsidR="003B46CE" w:rsidRPr="00A552C3" w:rsidRDefault="003B46CE" w:rsidP="003B46CE">
            <w:pPr>
              <w:pStyle w:val="BodyTextNumbered"/>
              <w:tabs>
                <w:tab w:val="left" w:pos="1800"/>
              </w:tabs>
              <w:ind w:left="2160" w:hanging="1440"/>
              <w:rPr>
                <w:i/>
                <w:vertAlign w:val="subscript"/>
              </w:rPr>
            </w:pPr>
            <w:r w:rsidRPr="00A552C3">
              <w:t xml:space="preserve">     SWOC </w:t>
            </w:r>
            <w:r w:rsidRPr="00A552C3">
              <w:rPr>
                <w:i/>
                <w:vertAlign w:val="subscript"/>
              </w:rPr>
              <w:t>q, r, d</w:t>
            </w:r>
            <w:r w:rsidRPr="00A552C3">
              <w:t xml:space="preserve"> = </w:t>
            </w:r>
            <w:r w:rsidRPr="00A552C3">
              <w:rPr>
                <w:position w:val="-20"/>
                <w:lang w:val="pt-BR"/>
              </w:rPr>
              <w:object w:dxaOrig="220" w:dyaOrig="440" w14:anchorId="74F6E76C">
                <v:shape id="_x0000_i1303" type="#_x0000_t75" style="width:12pt;height:24pt" o:ole="">
                  <v:imagedata r:id="rId364" o:title=""/>
                </v:shape>
                <o:OLEObject Type="Embed" ProgID="Equation.3" ShapeID="_x0000_i1303" DrawAspect="Content" ObjectID="_1815025492" r:id="rId376"/>
              </w:object>
            </w:r>
            <w:r w:rsidRPr="00A552C3">
              <w:rPr>
                <w:lang w:val="pt-BR"/>
              </w:rPr>
              <w:t>[</w:t>
            </w:r>
            <w:r w:rsidRPr="00A552C3">
              <w:t>(</w:t>
            </w:r>
            <w:r w:rsidRPr="00A552C3">
              <w:rPr>
                <w:lang w:val="pt-BR"/>
              </w:rPr>
              <w:t>AHR</w:t>
            </w:r>
            <w:r w:rsidRPr="00A552C3">
              <w:rPr>
                <w:i/>
                <w:vertAlign w:val="subscript"/>
                <w:lang w:val="es-ES"/>
              </w:rPr>
              <w:t xml:space="preserve"> r, i</w:t>
            </w:r>
            <w:r w:rsidRPr="00A552C3">
              <w:t xml:space="preserve"> * ((GASPEROL </w:t>
            </w:r>
            <w:r w:rsidRPr="00A552C3">
              <w:rPr>
                <w:i/>
                <w:vertAlign w:val="subscript"/>
              </w:rPr>
              <w:t>r</w:t>
            </w:r>
            <w:r w:rsidRPr="00A552C3">
              <w:t xml:space="preserve"> * FIP + OILPEROL</w:t>
            </w:r>
            <w:r w:rsidRPr="00A552C3">
              <w:rPr>
                <w:i/>
                <w:vertAlign w:val="subscript"/>
              </w:rPr>
              <w:t xml:space="preserve"> r </w:t>
            </w:r>
            <w:r w:rsidRPr="00A552C3">
              <w:t>* FOP + SFPEROL</w:t>
            </w:r>
            <w:r w:rsidRPr="00A552C3">
              <w:rPr>
                <w:i/>
                <w:vertAlign w:val="subscript"/>
              </w:rPr>
              <w:t xml:space="preserve"> r</w:t>
            </w:r>
            <w:r w:rsidRPr="00A552C3">
              <w:t xml:space="preserve"> * SFP) + FA</w:t>
            </w:r>
            <w:r w:rsidRPr="00A552C3">
              <w:rPr>
                <w:i/>
                <w:vertAlign w:val="subscript"/>
              </w:rPr>
              <w:t xml:space="preserve"> r</w:t>
            </w:r>
            <w:r w:rsidRPr="00A552C3">
              <w:t>) + OM</w:t>
            </w:r>
            <w:r w:rsidRPr="00A552C3">
              <w:rPr>
                <w:i/>
                <w:vertAlign w:val="subscript"/>
              </w:rPr>
              <w:t xml:space="preserve"> r</w:t>
            </w:r>
            <w:r w:rsidRPr="00A552C3">
              <w:t xml:space="preserve">) * Max(0, (RTMG </w:t>
            </w:r>
            <w:r w:rsidRPr="00A552C3">
              <w:rPr>
                <w:i/>
                <w:vertAlign w:val="subscript"/>
              </w:rPr>
              <w:t>q, r, i</w:t>
            </w:r>
            <w:r w:rsidRPr="00A552C3">
              <w:t xml:space="preserve"> – LSL </w:t>
            </w:r>
            <w:r w:rsidRPr="00A552C3">
              <w:rPr>
                <w:i/>
                <w:vertAlign w:val="subscript"/>
              </w:rPr>
              <w:t>q, r, i</w:t>
            </w:r>
            <w:r w:rsidRPr="00A552C3">
              <w:t xml:space="preserve"> * (¼)))] </w:t>
            </w:r>
            <w:r w:rsidRPr="00A552C3">
              <w:rPr>
                <w:i/>
              </w:rPr>
              <w:t xml:space="preserve">- </w:t>
            </w:r>
            <w:r w:rsidRPr="00A552C3">
              <w:rPr>
                <w:lang w:val="pt-BR"/>
              </w:rPr>
              <w:t>OPC</w:t>
            </w:r>
            <w:r w:rsidRPr="00A552C3">
              <w:rPr>
                <w:i/>
                <w:vertAlign w:val="subscript"/>
                <w:lang w:val="es-ES"/>
              </w:rPr>
              <w:t xml:space="preserve"> r, d</w:t>
            </w:r>
            <w:r w:rsidRPr="00A552C3">
              <w:t xml:space="preserve"> </w:t>
            </w:r>
            <w:r w:rsidRPr="00A552C3">
              <w:rPr>
                <w:i/>
                <w:vertAlign w:val="subscript"/>
              </w:rPr>
              <w:t xml:space="preserve">  </w:t>
            </w:r>
          </w:p>
          <w:p w14:paraId="21B1289B" w14:textId="77777777" w:rsidR="003B46CE" w:rsidRPr="00A552C3" w:rsidRDefault="003B46CE" w:rsidP="003B46CE">
            <w:pPr>
              <w:pStyle w:val="BodyTextNumbered"/>
              <w:tabs>
                <w:tab w:val="left" w:pos="1800"/>
              </w:tabs>
              <w:ind w:left="2160" w:hanging="1440"/>
              <w:rPr>
                <w:lang w:val="pt-BR"/>
              </w:rPr>
            </w:pPr>
            <w:r w:rsidRPr="00A552C3">
              <w:rPr>
                <w:lang w:val="pt-BR"/>
              </w:rPr>
              <w:t>Where,</w:t>
            </w:r>
          </w:p>
          <w:p w14:paraId="246F8C6A" w14:textId="5EA0B2C2" w:rsidR="003B46CE" w:rsidRPr="00A552C3" w:rsidRDefault="003B46CE" w:rsidP="003B46CE">
            <w:pPr>
              <w:pStyle w:val="Formula"/>
              <w:ind w:left="2880" w:hanging="2160"/>
              <w:rPr>
                <w:i/>
                <w:vertAlign w:val="subscript"/>
              </w:rPr>
            </w:pPr>
            <w:r w:rsidRPr="00A552C3">
              <w:rPr>
                <w:lang w:val="pt-BR"/>
              </w:rPr>
              <w:t>OPC</w:t>
            </w:r>
            <w:r w:rsidRPr="00A552C3">
              <w:rPr>
                <w:i/>
                <w:vertAlign w:val="subscript"/>
                <w:lang w:val="es-ES"/>
              </w:rPr>
              <w:t xml:space="preserve"> r, d</w:t>
            </w:r>
            <w:r w:rsidRPr="00A552C3">
              <w:rPr>
                <w:lang w:val="pt-BR"/>
              </w:rPr>
              <w:t xml:space="preserve"> = </w:t>
            </w:r>
            <w:r w:rsidRPr="00A552C3">
              <w:rPr>
                <w:position w:val="-20"/>
                <w:lang w:val="pt-BR"/>
              </w:rPr>
              <w:object w:dxaOrig="220" w:dyaOrig="440" w14:anchorId="3F1902C2">
                <v:shape id="_x0000_i1304" type="#_x0000_t75" style="width:12pt;height:24pt" o:ole="">
                  <v:imagedata r:id="rId364" o:title=""/>
                </v:shape>
                <o:OLEObject Type="Embed" ProgID="Equation.3" ShapeID="_x0000_i1304" DrawAspect="Content" ObjectID="_1815025493" r:id="rId377"/>
              </w:object>
            </w:r>
            <w:r w:rsidRPr="00A552C3">
              <w:rPr>
                <w:lang w:val="pt-BR"/>
              </w:rPr>
              <w:t>(</w:t>
            </w:r>
            <w:r w:rsidRPr="00A552C3">
              <w:t>(P</w:t>
            </w:r>
            <w:r w:rsidRPr="00A552C3">
              <w:rPr>
                <w:lang w:val="pt-BR"/>
              </w:rPr>
              <w:t>AHR</w:t>
            </w:r>
            <w:r w:rsidRPr="00A552C3">
              <w:rPr>
                <w:i/>
                <w:vertAlign w:val="subscript"/>
                <w:lang w:val="es-ES"/>
              </w:rPr>
              <w:t xml:space="preserve"> r, i</w:t>
            </w:r>
            <w:r w:rsidRPr="00A552C3">
              <w:t xml:space="preserve"> * (FIP + FA</w:t>
            </w:r>
            <w:r w:rsidR="00371616" w:rsidRPr="00A552C3">
              <w:rPr>
                <w:i/>
                <w:vertAlign w:val="subscript"/>
              </w:rPr>
              <w:t xml:space="preserve"> r</w:t>
            </w:r>
            <w:r w:rsidRPr="00A552C3">
              <w:t xml:space="preserve">) + OM </w:t>
            </w:r>
            <w:r w:rsidRPr="00A552C3">
              <w:rPr>
                <w:i/>
                <w:vertAlign w:val="subscript"/>
              </w:rPr>
              <w:t>r</w:t>
            </w:r>
            <w:r w:rsidRPr="00A552C3">
              <w:t>) * AENG</w:t>
            </w:r>
            <w:r w:rsidRPr="00A552C3">
              <w:rPr>
                <w:i/>
                <w:vertAlign w:val="subscript"/>
                <w:lang w:val="es-ES"/>
              </w:rPr>
              <w:t xml:space="preserve"> r, i</w:t>
            </w:r>
            <w:r w:rsidRPr="00A552C3">
              <w:t xml:space="preserve">) </w:t>
            </w:r>
            <w:r w:rsidRPr="00A552C3">
              <w:rPr>
                <w:i/>
                <w:vertAlign w:val="subscript"/>
              </w:rPr>
              <w:t xml:space="preserve">  </w:t>
            </w:r>
          </w:p>
          <w:p w14:paraId="666A8AA2" w14:textId="77777777" w:rsidR="003B46CE" w:rsidRPr="00A552C3" w:rsidRDefault="003B46CE" w:rsidP="003B46CE">
            <w:pPr>
              <w:spacing w:after="240"/>
              <w:ind w:left="1440" w:hanging="720"/>
            </w:pPr>
            <w:r w:rsidRPr="00A552C3">
              <w:t>If ERCOT has not approved verifiable costs for the SWGR:</w:t>
            </w:r>
          </w:p>
          <w:p w14:paraId="205557AC" w14:textId="77777777" w:rsidR="003B46CE" w:rsidRPr="00A552C3" w:rsidRDefault="003B46CE" w:rsidP="003B46CE">
            <w:pPr>
              <w:tabs>
                <w:tab w:val="left" w:pos="2160"/>
                <w:tab w:val="left" w:pos="2880"/>
              </w:tabs>
              <w:spacing w:after="240"/>
              <w:ind w:leftChars="300" w:left="2880" w:hangingChars="900" w:hanging="2160"/>
              <w:rPr>
                <w:bCs/>
                <w:i/>
                <w:vertAlign w:val="subscript"/>
              </w:rPr>
            </w:pPr>
            <w:r w:rsidRPr="00A552C3">
              <w:rPr>
                <w:bCs/>
              </w:rPr>
              <w:t xml:space="preserve">     SWSUC </w:t>
            </w:r>
            <w:r w:rsidRPr="00A552C3">
              <w:rPr>
                <w:bCs/>
                <w:i/>
                <w:vertAlign w:val="subscript"/>
              </w:rPr>
              <w:t>q, r, d</w:t>
            </w:r>
            <w:r w:rsidRPr="00A552C3">
              <w:rPr>
                <w:bCs/>
              </w:rPr>
              <w:t xml:space="preserve"> = </w:t>
            </w:r>
            <w:r w:rsidRPr="00A552C3">
              <w:rPr>
                <w:bCs/>
                <w:position w:val="-20"/>
                <w:lang w:val="pt-BR"/>
              </w:rPr>
              <w:object w:dxaOrig="210" w:dyaOrig="450" w14:anchorId="3D8BB54D">
                <v:shape id="_x0000_i1305" type="#_x0000_t75" style="width:5.4pt;height:24.6pt" o:ole="">
                  <v:imagedata r:id="rId362" o:title=""/>
                </v:shape>
                <o:OLEObject Type="Embed" ProgID="Equation.3" ShapeID="_x0000_i1305" DrawAspect="Content" ObjectID="_1815025494" r:id="rId378"/>
              </w:object>
            </w:r>
            <w:r w:rsidRPr="00A552C3">
              <w:rPr>
                <w:bCs/>
              </w:rPr>
              <w:t xml:space="preserve"> (SWSF * RCGSC </w:t>
            </w:r>
            <w:r w:rsidRPr="00A552C3">
              <w:rPr>
                <w:bCs/>
                <w:i/>
                <w:vertAlign w:val="subscript"/>
              </w:rPr>
              <w:t>s, rc</w:t>
            </w:r>
            <w:r w:rsidRPr="00A552C3">
              <w:rPr>
                <w:bCs/>
              </w:rPr>
              <w:t xml:space="preserve">) + ADJSWSUC </w:t>
            </w:r>
            <w:r w:rsidRPr="00A552C3">
              <w:rPr>
                <w:bCs/>
                <w:i/>
                <w:vertAlign w:val="subscript"/>
              </w:rPr>
              <w:t>q, r, d</w:t>
            </w:r>
          </w:p>
          <w:p w14:paraId="05112DC4" w14:textId="77777777" w:rsidR="003B46CE" w:rsidRPr="00A552C3" w:rsidRDefault="003B46CE" w:rsidP="003B46CE">
            <w:pPr>
              <w:tabs>
                <w:tab w:val="left" w:pos="1800"/>
              </w:tabs>
              <w:spacing w:after="240"/>
              <w:ind w:left="2160" w:hanging="1440"/>
              <w:rPr>
                <w:i/>
                <w:vertAlign w:val="subscript"/>
              </w:rPr>
            </w:pPr>
            <w:r w:rsidRPr="00A552C3">
              <w:t xml:space="preserve">     SWMEC </w:t>
            </w:r>
            <w:r w:rsidRPr="00A552C3">
              <w:rPr>
                <w:i/>
                <w:vertAlign w:val="subscript"/>
              </w:rPr>
              <w:t>q, r, d</w:t>
            </w:r>
            <w:r w:rsidRPr="00A552C3">
              <w:t xml:space="preserve"> = </w:t>
            </w:r>
            <w:r w:rsidRPr="00A552C3">
              <w:rPr>
                <w:position w:val="-20"/>
                <w:lang w:val="pt-BR"/>
              </w:rPr>
              <w:object w:dxaOrig="220" w:dyaOrig="440" w14:anchorId="33B7293C">
                <v:shape id="_x0000_i1306" type="#_x0000_t75" style="width:12pt;height:24pt" o:ole="">
                  <v:imagedata r:id="rId364" o:title=""/>
                </v:shape>
                <o:OLEObject Type="Embed" ProgID="Equation.3" ShapeID="_x0000_i1306" DrawAspect="Content" ObjectID="_1815025495" r:id="rId379"/>
              </w:object>
            </w:r>
            <w:r w:rsidRPr="00A552C3">
              <w:t xml:space="preserve">(RCGMEC </w:t>
            </w:r>
            <w:r w:rsidRPr="00A552C3">
              <w:rPr>
                <w:i/>
                <w:vertAlign w:val="subscript"/>
              </w:rPr>
              <w:t>i, rc</w:t>
            </w:r>
            <w:r w:rsidRPr="00A552C3">
              <w:t xml:space="preserve"> * Min (LSL </w:t>
            </w:r>
            <w:r w:rsidRPr="00A552C3">
              <w:rPr>
                <w:i/>
                <w:vertAlign w:val="subscript"/>
              </w:rPr>
              <w:t>q, r, i</w:t>
            </w:r>
            <w:r w:rsidRPr="00A552C3">
              <w:t xml:space="preserve"> * (¼), RTMG </w:t>
            </w:r>
            <w:r w:rsidRPr="00A552C3">
              <w:rPr>
                <w:i/>
                <w:vertAlign w:val="subscript"/>
              </w:rPr>
              <w:t>q, r, i</w:t>
            </w:r>
            <w:r w:rsidRPr="00A552C3">
              <w:t xml:space="preserve">)) </w:t>
            </w:r>
            <w:r w:rsidRPr="00A552C3">
              <w:rPr>
                <w:i/>
                <w:vertAlign w:val="subscript"/>
              </w:rPr>
              <w:t xml:space="preserve">  </w:t>
            </w:r>
          </w:p>
          <w:p w14:paraId="7F15683B" w14:textId="77777777" w:rsidR="003B46CE" w:rsidRPr="00A552C3" w:rsidRDefault="003B46CE" w:rsidP="003B46CE">
            <w:pPr>
              <w:tabs>
                <w:tab w:val="left" w:pos="2160"/>
                <w:tab w:val="left" w:pos="2880"/>
              </w:tabs>
              <w:spacing w:after="240"/>
              <w:ind w:leftChars="300" w:left="2880" w:hangingChars="900" w:hanging="2160"/>
              <w:rPr>
                <w:bCs/>
                <w:i/>
                <w:vertAlign w:val="subscript"/>
              </w:rPr>
            </w:pPr>
            <w:r w:rsidRPr="00A552C3">
              <w:rPr>
                <w:bCs/>
              </w:rPr>
              <w:t xml:space="preserve">     SWOC </w:t>
            </w:r>
            <w:r w:rsidRPr="00A552C3">
              <w:rPr>
                <w:bCs/>
                <w:i/>
                <w:vertAlign w:val="subscript"/>
              </w:rPr>
              <w:t>q, r, d</w:t>
            </w:r>
            <w:r w:rsidRPr="00A552C3">
              <w:rPr>
                <w:bCs/>
              </w:rPr>
              <w:t xml:space="preserve"> = </w:t>
            </w:r>
            <w:r w:rsidRPr="00A552C3">
              <w:rPr>
                <w:bCs/>
                <w:position w:val="-20"/>
                <w:lang w:val="pt-BR"/>
              </w:rPr>
              <w:object w:dxaOrig="220" w:dyaOrig="440" w14:anchorId="14B5A99B">
                <v:shape id="_x0000_i1307" type="#_x0000_t75" style="width:12pt;height:24pt" o:ole="">
                  <v:imagedata r:id="rId364" o:title=""/>
                </v:shape>
                <o:OLEObject Type="Embed" ProgID="Equation.3" ShapeID="_x0000_i1307" DrawAspect="Content" ObjectID="_1815025496" r:id="rId380"/>
              </w:object>
            </w:r>
            <w:r w:rsidRPr="00A552C3">
              <w:rPr>
                <w:bCs/>
              </w:rPr>
              <w:t>((PA</w:t>
            </w:r>
            <w:r w:rsidRPr="00A552C3">
              <w:rPr>
                <w:bCs/>
                <w:lang w:val="pt-BR"/>
              </w:rPr>
              <w:t xml:space="preserve">HR </w:t>
            </w:r>
            <w:r w:rsidRPr="00A552C3">
              <w:rPr>
                <w:bCs/>
                <w:i/>
                <w:vertAlign w:val="subscript"/>
              </w:rPr>
              <w:t xml:space="preserve">r, </w:t>
            </w:r>
            <w:r w:rsidRPr="00A552C3">
              <w:rPr>
                <w:bCs/>
                <w:i/>
                <w:vertAlign w:val="subscript"/>
                <w:lang w:val="es-ES"/>
              </w:rPr>
              <w:t xml:space="preserve">i </w:t>
            </w:r>
            <w:r w:rsidRPr="00A552C3">
              <w:rPr>
                <w:bCs/>
              </w:rPr>
              <w:t xml:space="preserve">* FIP + STOM </w:t>
            </w:r>
            <w:r w:rsidRPr="00A552C3">
              <w:rPr>
                <w:bCs/>
                <w:i/>
                <w:vertAlign w:val="subscript"/>
              </w:rPr>
              <w:t>rc</w:t>
            </w:r>
            <w:r w:rsidRPr="00A552C3">
              <w:rPr>
                <w:bCs/>
              </w:rPr>
              <w:t xml:space="preserve">) * Max(0, (RTMG </w:t>
            </w:r>
            <w:r w:rsidRPr="00A552C3">
              <w:rPr>
                <w:bCs/>
                <w:i/>
                <w:vertAlign w:val="subscript"/>
              </w:rPr>
              <w:t>q, r, i</w:t>
            </w:r>
            <w:r w:rsidRPr="00A552C3">
              <w:rPr>
                <w:bCs/>
              </w:rPr>
              <w:t xml:space="preserve"> – LSL </w:t>
            </w:r>
            <w:r w:rsidRPr="00A552C3">
              <w:rPr>
                <w:bCs/>
                <w:i/>
                <w:vertAlign w:val="subscript"/>
              </w:rPr>
              <w:t>q, r, i</w:t>
            </w:r>
            <w:r w:rsidRPr="00A552C3">
              <w:rPr>
                <w:bCs/>
              </w:rPr>
              <w:t xml:space="preserve"> * (¼)))) </w:t>
            </w:r>
            <w:r w:rsidRPr="00A552C3">
              <w:rPr>
                <w:i/>
              </w:rPr>
              <w:t xml:space="preserve">- </w:t>
            </w:r>
            <w:r w:rsidRPr="00A552C3">
              <w:rPr>
                <w:lang w:val="pt-BR"/>
              </w:rPr>
              <w:t>OPC</w:t>
            </w:r>
            <w:r w:rsidRPr="00A552C3">
              <w:rPr>
                <w:i/>
                <w:vertAlign w:val="subscript"/>
                <w:lang w:val="es-ES"/>
              </w:rPr>
              <w:t xml:space="preserve"> r, d</w:t>
            </w:r>
            <w:r w:rsidRPr="00A552C3">
              <w:rPr>
                <w:bCs/>
              </w:rPr>
              <w:t xml:space="preserve"> </w:t>
            </w:r>
            <w:r w:rsidRPr="00A552C3">
              <w:rPr>
                <w:bCs/>
                <w:i/>
                <w:vertAlign w:val="subscript"/>
              </w:rPr>
              <w:t xml:space="preserve">  </w:t>
            </w:r>
          </w:p>
          <w:p w14:paraId="734C89D4" w14:textId="77777777" w:rsidR="003B46CE" w:rsidRPr="00A552C3" w:rsidRDefault="003B46CE" w:rsidP="003B46CE">
            <w:pPr>
              <w:tabs>
                <w:tab w:val="left" w:pos="1800"/>
              </w:tabs>
              <w:spacing w:after="240"/>
              <w:ind w:left="2160" w:hanging="1440"/>
              <w:rPr>
                <w:iCs/>
                <w:lang w:val="pt-BR"/>
              </w:rPr>
            </w:pPr>
            <w:r w:rsidRPr="00A552C3">
              <w:rPr>
                <w:iCs/>
                <w:lang w:val="pt-BR"/>
              </w:rPr>
              <w:t>Where,</w:t>
            </w:r>
          </w:p>
          <w:p w14:paraId="5A508785" w14:textId="77777777" w:rsidR="003B46CE" w:rsidRPr="00A552C3" w:rsidRDefault="003B46CE" w:rsidP="003B46CE">
            <w:pPr>
              <w:tabs>
                <w:tab w:val="left" w:pos="2340"/>
                <w:tab w:val="left" w:pos="2880"/>
              </w:tabs>
              <w:spacing w:after="240"/>
              <w:ind w:left="987" w:hanging="269"/>
              <w:rPr>
                <w:bCs/>
                <w:i/>
                <w:vertAlign w:val="subscript"/>
              </w:rPr>
            </w:pPr>
            <w:r w:rsidRPr="00A552C3">
              <w:rPr>
                <w:bCs/>
                <w:lang w:val="pt-BR"/>
              </w:rPr>
              <w:t>OPC</w:t>
            </w:r>
            <w:r w:rsidRPr="00A552C3">
              <w:rPr>
                <w:bCs/>
                <w:i/>
                <w:vertAlign w:val="subscript"/>
                <w:lang w:val="es-ES"/>
              </w:rPr>
              <w:t xml:space="preserve"> r, d</w:t>
            </w:r>
            <w:r w:rsidRPr="00A552C3">
              <w:rPr>
                <w:bCs/>
                <w:lang w:val="pt-BR"/>
              </w:rPr>
              <w:t xml:space="preserve"> = </w:t>
            </w:r>
            <w:r w:rsidRPr="00A552C3">
              <w:rPr>
                <w:bCs/>
                <w:position w:val="-20"/>
                <w:lang w:val="pt-BR"/>
              </w:rPr>
              <w:object w:dxaOrig="220" w:dyaOrig="440" w14:anchorId="18386BBD">
                <v:shape id="_x0000_i1308" type="#_x0000_t75" style="width:12pt;height:24pt" o:ole="">
                  <v:imagedata r:id="rId364" o:title=""/>
                </v:shape>
                <o:OLEObject Type="Embed" ProgID="Equation.3" ShapeID="_x0000_i1308" DrawAspect="Content" ObjectID="_1815025497" r:id="rId381"/>
              </w:object>
            </w:r>
            <w:r w:rsidRPr="00A552C3">
              <w:rPr>
                <w:bCs/>
                <w:lang w:val="pt-BR"/>
              </w:rPr>
              <w:t>(</w:t>
            </w:r>
            <w:r w:rsidRPr="00A552C3">
              <w:rPr>
                <w:bCs/>
              </w:rPr>
              <w:t>(P</w:t>
            </w:r>
            <w:r w:rsidRPr="00A552C3">
              <w:rPr>
                <w:bCs/>
                <w:lang w:val="pt-BR"/>
              </w:rPr>
              <w:t>AHR</w:t>
            </w:r>
            <w:r w:rsidRPr="00A552C3">
              <w:rPr>
                <w:bCs/>
                <w:i/>
                <w:vertAlign w:val="subscript"/>
                <w:lang w:val="es-ES"/>
              </w:rPr>
              <w:t xml:space="preserve"> r, i</w:t>
            </w:r>
            <w:r w:rsidRPr="00A552C3">
              <w:rPr>
                <w:bCs/>
              </w:rPr>
              <w:t xml:space="preserve"> * FIP + STOM </w:t>
            </w:r>
            <w:r w:rsidRPr="00A552C3">
              <w:rPr>
                <w:bCs/>
                <w:i/>
                <w:vertAlign w:val="subscript"/>
              </w:rPr>
              <w:t>rc</w:t>
            </w:r>
            <w:r w:rsidRPr="00A552C3">
              <w:rPr>
                <w:bCs/>
              </w:rPr>
              <w:t>) * AENG</w:t>
            </w:r>
            <w:r w:rsidRPr="00A552C3">
              <w:rPr>
                <w:bCs/>
                <w:i/>
                <w:vertAlign w:val="subscript"/>
                <w:lang w:val="es-ES"/>
              </w:rPr>
              <w:t xml:space="preserve"> r, i</w:t>
            </w:r>
            <w:r w:rsidRPr="00A552C3">
              <w:rPr>
                <w:bCs/>
              </w:rPr>
              <w:t xml:space="preserve">) </w:t>
            </w:r>
            <w:r w:rsidRPr="00A552C3">
              <w:rPr>
                <w:bCs/>
                <w:i/>
                <w:vertAlign w:val="subscript"/>
              </w:rPr>
              <w:t xml:space="preserve">  </w:t>
            </w:r>
          </w:p>
          <w:p w14:paraId="5E6BDCBF" w14:textId="77777777" w:rsidR="003B46CE" w:rsidRPr="00A552C3" w:rsidRDefault="003B46CE" w:rsidP="003B46CE">
            <w:r w:rsidRPr="00A552C3">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744"/>
              <w:gridCol w:w="1294"/>
              <w:gridCol w:w="6074"/>
            </w:tblGrid>
            <w:tr w:rsidR="003B46CE" w:rsidRPr="00A552C3" w14:paraId="21BF5975" w14:textId="77777777" w:rsidTr="00C952ED">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6B0066A6" w14:textId="77777777" w:rsidR="003B46CE" w:rsidRPr="00A552C3" w:rsidRDefault="003B46CE" w:rsidP="003B46CE">
                  <w:pPr>
                    <w:spacing w:after="120"/>
                    <w:rPr>
                      <w:b/>
                      <w:iCs/>
                      <w:sz w:val="20"/>
                    </w:rPr>
                  </w:pPr>
                  <w:r w:rsidRPr="00A552C3">
                    <w:rPr>
                      <w:b/>
                      <w:iCs/>
                      <w:sz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096ED14A" w14:textId="77777777" w:rsidR="003B46CE" w:rsidRPr="00A552C3" w:rsidRDefault="003B46CE" w:rsidP="003B46CE">
                  <w:pPr>
                    <w:spacing w:after="120"/>
                    <w:jc w:val="center"/>
                    <w:rPr>
                      <w:b/>
                      <w:iCs/>
                      <w:sz w:val="20"/>
                    </w:rPr>
                  </w:pPr>
                  <w:r w:rsidRPr="00A552C3">
                    <w:rPr>
                      <w:b/>
                      <w:iCs/>
                      <w:sz w:val="20"/>
                    </w:rPr>
                    <w:t>Unit</w:t>
                  </w:r>
                </w:p>
              </w:tc>
              <w:tc>
                <w:tcPr>
                  <w:tcW w:w="3342" w:type="pct"/>
                  <w:tcBorders>
                    <w:top w:val="single" w:sz="4" w:space="0" w:color="auto"/>
                    <w:left w:val="single" w:sz="6" w:space="0" w:color="auto"/>
                    <w:bottom w:val="single" w:sz="6" w:space="0" w:color="auto"/>
                    <w:right w:val="single" w:sz="4" w:space="0" w:color="auto"/>
                  </w:tcBorders>
                  <w:hideMark/>
                </w:tcPr>
                <w:p w14:paraId="7B5FB568" w14:textId="77777777" w:rsidR="003B46CE" w:rsidRPr="00A552C3" w:rsidRDefault="003B46CE" w:rsidP="003B46CE">
                  <w:pPr>
                    <w:spacing w:after="120"/>
                    <w:rPr>
                      <w:b/>
                      <w:iCs/>
                      <w:sz w:val="20"/>
                    </w:rPr>
                  </w:pPr>
                  <w:r w:rsidRPr="00A552C3">
                    <w:rPr>
                      <w:b/>
                      <w:iCs/>
                      <w:sz w:val="20"/>
                    </w:rPr>
                    <w:t>Definition</w:t>
                  </w:r>
                </w:p>
              </w:tc>
            </w:tr>
            <w:tr w:rsidR="003B46CE" w:rsidRPr="00A552C3" w14:paraId="01C5799D"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44D7AEF3" w14:textId="77777777" w:rsidR="003B46CE" w:rsidRPr="00A552C3" w:rsidRDefault="003B46CE" w:rsidP="003B46CE">
                  <w:pPr>
                    <w:spacing w:after="60"/>
                    <w:rPr>
                      <w:iCs/>
                      <w:sz w:val="20"/>
                    </w:rPr>
                  </w:pPr>
                  <w:r w:rsidRPr="00A552C3">
                    <w:rPr>
                      <w:iCs/>
                      <w:sz w:val="20"/>
                    </w:rPr>
                    <w:t xml:space="preserve">SWMWAMT </w:t>
                  </w:r>
                  <w:r w:rsidRPr="00A552C3">
                    <w:rPr>
                      <w:i/>
                      <w:iCs/>
                      <w:sz w:val="20"/>
                      <w:vertAlign w:val="subscript"/>
                    </w:rPr>
                    <w:t>q, r</w:t>
                  </w:r>
                  <w:r w:rsidRPr="00A552C3">
                    <w:rPr>
                      <w:b/>
                      <w:iCs/>
                      <w:sz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215F8B21"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hideMark/>
                </w:tcPr>
                <w:p w14:paraId="69692536" w14:textId="77777777" w:rsidR="003B46CE" w:rsidRPr="00A552C3" w:rsidRDefault="003B46CE" w:rsidP="003B46CE">
                  <w:pPr>
                    <w:spacing w:after="60"/>
                    <w:rPr>
                      <w:iCs/>
                      <w:sz w:val="20"/>
                    </w:rPr>
                  </w:pPr>
                  <w:r w:rsidRPr="00A552C3">
                    <w:rPr>
                      <w:i/>
                      <w:iCs/>
                      <w:sz w:val="20"/>
                    </w:rPr>
                    <w:t>Switchable Generation Make-Whole Payment</w:t>
                  </w:r>
                  <w:r w:rsidRPr="00A552C3">
                    <w:rPr>
                      <w:iCs/>
                      <w:sz w:val="20"/>
                    </w:rPr>
                    <w:t xml:space="preserve">—The Switchable Generation Make-Whole Payment to the QSE </w:t>
                  </w:r>
                  <w:r w:rsidRPr="00A552C3">
                    <w:rPr>
                      <w:i/>
                      <w:iCs/>
                      <w:sz w:val="20"/>
                    </w:rPr>
                    <w:t>q,</w:t>
                  </w:r>
                  <w:r w:rsidRPr="00A552C3">
                    <w:rPr>
                      <w:iCs/>
                      <w:sz w:val="20"/>
                    </w:rPr>
                    <w:t xml:space="preserve"> for Resource </w:t>
                  </w:r>
                  <w:r w:rsidRPr="00A552C3">
                    <w:rPr>
                      <w:i/>
                      <w:iCs/>
                      <w:sz w:val="20"/>
                    </w:rPr>
                    <w:t>r</w:t>
                  </w:r>
                  <w:r w:rsidRPr="00A552C3">
                    <w:rPr>
                      <w:iCs/>
                      <w:sz w:val="20"/>
                    </w:rPr>
                    <w:t xml:space="preserve">, for the hour.  Where for a Combined Cycle Train, the Resource </w:t>
                  </w:r>
                  <w:r w:rsidRPr="00A552C3">
                    <w:rPr>
                      <w:i/>
                      <w:iCs/>
                      <w:sz w:val="20"/>
                    </w:rPr>
                    <w:t xml:space="preserve">r </w:t>
                  </w:r>
                  <w:r w:rsidRPr="00A552C3">
                    <w:rPr>
                      <w:iCs/>
                      <w:sz w:val="20"/>
                    </w:rPr>
                    <w:t>is the Combined Cycle Train.</w:t>
                  </w:r>
                </w:p>
              </w:tc>
            </w:tr>
            <w:tr w:rsidR="003B46CE" w:rsidRPr="00A552C3" w14:paraId="01CD308A"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FD72C38" w14:textId="77777777" w:rsidR="003B46CE" w:rsidRPr="00A552C3" w:rsidRDefault="003B46CE" w:rsidP="003B46CE">
                  <w:pPr>
                    <w:spacing w:after="60"/>
                    <w:rPr>
                      <w:iCs/>
                      <w:sz w:val="20"/>
                    </w:rPr>
                  </w:pPr>
                  <w:r w:rsidRPr="00A552C3">
                    <w:rPr>
                      <w:iCs/>
                      <w:sz w:val="20"/>
                    </w:rPr>
                    <w:lastRenderedPageBreak/>
                    <w:t xml:space="preserve">SWCG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4CC80BF4"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317F758B" w14:textId="77777777" w:rsidR="003B46CE" w:rsidRPr="00A552C3" w:rsidRDefault="003B46CE" w:rsidP="003B46CE">
                  <w:pPr>
                    <w:spacing w:after="60"/>
                    <w:rPr>
                      <w:i/>
                      <w:iCs/>
                      <w:sz w:val="20"/>
                    </w:rPr>
                  </w:pPr>
                  <w:r w:rsidRPr="00A552C3">
                    <w:rPr>
                      <w:i/>
                      <w:iCs/>
                      <w:sz w:val="20"/>
                    </w:rPr>
                    <w:t>Switchable Generation Cost Guarantee</w:t>
                  </w:r>
                  <w:r w:rsidRPr="00A552C3">
                    <w:rPr>
                      <w:iCs/>
                      <w:sz w:val="20"/>
                    </w:rPr>
                    <w:t xml:space="preserve">—The sum of eligible Startup Costs, minimum-energy costs, operating costs, and other Switchable Generation approved costs for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all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w:t>
                  </w:r>
                </w:p>
              </w:tc>
            </w:tr>
            <w:tr w:rsidR="003B46CE" w:rsidRPr="00A552C3" w14:paraId="3A237C1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7CBC5D8" w14:textId="77777777" w:rsidR="003B46CE" w:rsidRPr="00A552C3" w:rsidRDefault="003B46CE" w:rsidP="003B46CE">
                  <w:pPr>
                    <w:spacing w:after="60"/>
                    <w:rPr>
                      <w:iCs/>
                      <w:sz w:val="20"/>
                    </w:rPr>
                  </w:pPr>
                  <w:r w:rsidRPr="00A552C3">
                    <w:rPr>
                      <w:sz w:val="20"/>
                      <w:lang w:val="pt-BR"/>
                    </w:rPr>
                    <w:t>OPC</w:t>
                  </w:r>
                  <w:r w:rsidRPr="00A552C3">
                    <w:rPr>
                      <w:i/>
                      <w:sz w:val="20"/>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1F71D3A7"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6CD17286" w14:textId="77777777" w:rsidR="003B46CE" w:rsidRPr="00A552C3" w:rsidRDefault="003B46CE" w:rsidP="003B46CE">
                  <w:pPr>
                    <w:spacing w:after="60"/>
                    <w:rPr>
                      <w:i/>
                      <w:iCs/>
                      <w:sz w:val="20"/>
                    </w:rPr>
                  </w:pPr>
                  <w:r w:rsidRPr="00A552C3">
                    <w:rPr>
                      <w:i/>
                      <w:sz w:val="20"/>
                    </w:rPr>
                    <w:t xml:space="preserve">Operational Cost </w:t>
                  </w:r>
                  <w:r w:rsidRPr="00A552C3">
                    <w:rPr>
                      <w:sz w:val="20"/>
                    </w:rPr>
                    <w:t xml:space="preserve">– The operational cost for the Resource </w:t>
                  </w:r>
                  <w:r w:rsidRPr="00A552C3">
                    <w:rPr>
                      <w:i/>
                      <w:sz w:val="20"/>
                    </w:rPr>
                    <w:t xml:space="preserve">r </w:t>
                  </w:r>
                  <w:r w:rsidRPr="00A552C3">
                    <w:rPr>
                      <w:sz w:val="20"/>
                    </w:rPr>
                    <w:t xml:space="preserve">for the Operating Day </w:t>
                  </w:r>
                  <w:r w:rsidRPr="00A552C3">
                    <w:rPr>
                      <w:i/>
                      <w:sz w:val="20"/>
                    </w:rPr>
                    <w:t>d</w:t>
                  </w:r>
                  <w:r w:rsidRPr="00A552C3">
                    <w:rPr>
                      <w:sz w:val="20"/>
                    </w:rPr>
                    <w:t xml:space="preserve"> in the non-ERCOT Control Area.  The operating costs represent the costs the Resource would have incurred to generate the awarded energy in the non-ERCOT Control Area Day-Ahead market absent a request to switch to ERCOT.  Where for a Combined Cycle Train, the Resource </w:t>
                  </w:r>
                  <w:r w:rsidRPr="00A552C3">
                    <w:rPr>
                      <w:i/>
                      <w:sz w:val="20"/>
                    </w:rPr>
                    <w:t xml:space="preserve">r </w:t>
                  </w:r>
                  <w:r w:rsidRPr="00A552C3">
                    <w:rPr>
                      <w:sz w:val="20"/>
                    </w:rPr>
                    <w:t>is the Combined Cycle Train.</w:t>
                  </w:r>
                </w:p>
              </w:tc>
            </w:tr>
            <w:tr w:rsidR="003B46CE" w:rsidRPr="00A552C3" w14:paraId="6DFB12B2"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E5D1AB4" w14:textId="77777777" w:rsidR="003B46CE" w:rsidRPr="00A552C3" w:rsidRDefault="003B46CE" w:rsidP="003B46CE">
                  <w:pPr>
                    <w:spacing w:after="60"/>
                    <w:rPr>
                      <w:iCs/>
                      <w:sz w:val="20"/>
                    </w:rPr>
                  </w:pPr>
                  <w:r w:rsidRPr="00A552C3">
                    <w:rPr>
                      <w:sz w:val="20"/>
                    </w:rPr>
                    <w:t>AENG</w:t>
                  </w:r>
                  <w:r w:rsidRPr="00A552C3">
                    <w:rPr>
                      <w:i/>
                      <w:sz w:val="20"/>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54D6781B" w14:textId="77777777" w:rsidR="003B46CE" w:rsidRPr="00A552C3" w:rsidRDefault="003B46CE" w:rsidP="003B46CE">
                  <w:pPr>
                    <w:spacing w:after="60"/>
                    <w:rPr>
                      <w:iCs/>
                      <w:sz w:val="20"/>
                    </w:rPr>
                  </w:pPr>
                  <w:r w:rsidRPr="00A552C3">
                    <w:rPr>
                      <w:sz w:val="20"/>
                    </w:rPr>
                    <w:t>MWh</w:t>
                  </w:r>
                </w:p>
              </w:tc>
              <w:tc>
                <w:tcPr>
                  <w:tcW w:w="3342" w:type="pct"/>
                  <w:tcBorders>
                    <w:top w:val="single" w:sz="6" w:space="0" w:color="auto"/>
                    <w:left w:val="single" w:sz="6" w:space="0" w:color="auto"/>
                    <w:bottom w:val="single" w:sz="6" w:space="0" w:color="auto"/>
                    <w:right w:val="single" w:sz="4" w:space="0" w:color="auto"/>
                  </w:tcBorders>
                </w:tcPr>
                <w:p w14:paraId="42CA8271" w14:textId="77777777" w:rsidR="003B46CE" w:rsidRPr="00A552C3" w:rsidRDefault="003B46CE" w:rsidP="003B46CE">
                  <w:pPr>
                    <w:spacing w:after="60"/>
                    <w:rPr>
                      <w:i/>
                      <w:iCs/>
                      <w:sz w:val="20"/>
                    </w:rPr>
                  </w:pPr>
                  <w:r w:rsidRPr="00A552C3">
                    <w:rPr>
                      <w:i/>
                      <w:sz w:val="20"/>
                    </w:rPr>
                    <w:t xml:space="preserve">Awarded Energy Non-ERCOT Day-Ahead Market </w:t>
                  </w:r>
                  <w:r w:rsidRPr="00A552C3">
                    <w:rPr>
                      <w:sz w:val="20"/>
                    </w:rPr>
                    <w:t xml:space="preserve">– The awarded energy in the non-ERCOT Day-Ahead Market for the Resource </w:t>
                  </w:r>
                  <w:r w:rsidRPr="00A552C3">
                    <w:rPr>
                      <w:i/>
                      <w:sz w:val="20"/>
                    </w:rPr>
                    <w:t>r</w:t>
                  </w:r>
                  <w:r w:rsidRPr="00A552C3">
                    <w:rPr>
                      <w:sz w:val="20"/>
                    </w:rPr>
                    <w:t xml:space="preserve"> during the Interval </w:t>
                  </w:r>
                  <w:r w:rsidRPr="00A552C3">
                    <w:rPr>
                      <w:i/>
                      <w:sz w:val="20"/>
                    </w:rPr>
                    <w:t>i</w:t>
                  </w:r>
                  <w:r w:rsidRPr="00A552C3">
                    <w:rPr>
                      <w:sz w:val="20"/>
                    </w:rPr>
                    <w:t xml:space="preserve">.  The awarded energy in the non-ERCOT Control Area Day-Ahead market represents the energy award for the interval that was not generated by the Resource due to the switch to ERCOT.  Where for a Combined Cycle Train, the Resource </w:t>
                  </w:r>
                  <w:r w:rsidRPr="00A552C3">
                    <w:rPr>
                      <w:i/>
                      <w:sz w:val="20"/>
                    </w:rPr>
                    <w:t xml:space="preserve">r </w:t>
                  </w:r>
                  <w:r w:rsidRPr="00A552C3">
                    <w:rPr>
                      <w:sz w:val="20"/>
                    </w:rPr>
                    <w:t>is the Combined Cycle Train.</w:t>
                  </w:r>
                </w:p>
              </w:tc>
            </w:tr>
            <w:tr w:rsidR="003B46CE" w:rsidRPr="00A552C3" w14:paraId="7BC35396"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54093B36" w14:textId="77777777" w:rsidR="003B46CE" w:rsidRPr="00A552C3" w:rsidRDefault="003B46CE" w:rsidP="003B46CE">
                  <w:pPr>
                    <w:spacing w:after="60"/>
                    <w:rPr>
                      <w:iCs/>
                      <w:sz w:val="20"/>
                    </w:rPr>
                  </w:pPr>
                  <w:r w:rsidRPr="00A552C3">
                    <w:rPr>
                      <w:iCs/>
                      <w:sz w:val="20"/>
                    </w:rPr>
                    <w:t xml:space="preserve">SWSUC </w:t>
                  </w:r>
                  <w:r w:rsidRPr="00A552C3">
                    <w:rPr>
                      <w:i/>
                      <w:iCs/>
                      <w:sz w:val="20"/>
                      <w:vertAlign w:val="subscript"/>
                    </w:rPr>
                    <w:t>q ,r, d</w:t>
                  </w:r>
                  <w:r w:rsidRPr="00A552C3">
                    <w:rPr>
                      <w:iCs/>
                      <w:sz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01316CE6"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hideMark/>
                </w:tcPr>
                <w:p w14:paraId="602B64B5" w14:textId="77777777" w:rsidR="003B46CE" w:rsidRPr="00A552C3" w:rsidRDefault="003B46CE" w:rsidP="003B46CE">
                  <w:pPr>
                    <w:spacing w:after="60"/>
                    <w:rPr>
                      <w:iCs/>
                      <w:sz w:val="20"/>
                    </w:rPr>
                  </w:pPr>
                  <w:r w:rsidRPr="00A552C3">
                    <w:rPr>
                      <w:i/>
                      <w:iCs/>
                      <w:sz w:val="20"/>
                    </w:rPr>
                    <w:t>Switchable Generation</w:t>
                  </w:r>
                  <w:r w:rsidRPr="00A552C3">
                    <w:rPr>
                      <w:iCs/>
                      <w:sz w:val="20"/>
                    </w:rPr>
                    <w:t xml:space="preserve"> </w:t>
                  </w:r>
                  <w:r w:rsidRPr="00A552C3">
                    <w:rPr>
                      <w:i/>
                      <w:iCs/>
                      <w:sz w:val="20"/>
                    </w:rPr>
                    <w:t xml:space="preserve">Start-Up Cost </w:t>
                  </w:r>
                  <w:r w:rsidRPr="00A552C3">
                    <w:rPr>
                      <w:iCs/>
                      <w:sz w:val="20"/>
                    </w:rPr>
                    <w:t xml:space="preserve">—The Startup Costs 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for startup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w:t>
                  </w:r>
                </w:p>
              </w:tc>
            </w:tr>
            <w:tr w:rsidR="003B46CE" w:rsidRPr="00A552C3" w14:paraId="77247639"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F6A9303" w14:textId="77777777" w:rsidR="003B46CE" w:rsidRPr="00A552C3" w:rsidRDefault="003B46CE" w:rsidP="003B46CE">
                  <w:pPr>
                    <w:spacing w:after="60"/>
                    <w:rPr>
                      <w:iCs/>
                      <w:sz w:val="20"/>
                    </w:rPr>
                  </w:pPr>
                  <w:r w:rsidRPr="00A552C3">
                    <w:rPr>
                      <w:sz w:val="20"/>
                    </w:rPr>
                    <w:t>SWPSLR</w:t>
                  </w:r>
                  <w:r w:rsidRPr="00A552C3">
                    <w:rPr>
                      <w:i/>
                      <w:sz w:val="20"/>
                      <w:vertAlign w:val="subscript"/>
                    </w:rPr>
                    <w:t xml:space="preserve"> q ,r, d</w:t>
                  </w:r>
                  <w:r w:rsidRPr="00A552C3">
                    <w:rPr>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069694C3"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59D5B8EE" w14:textId="77777777" w:rsidR="003B46CE" w:rsidRPr="00A552C3" w:rsidRDefault="003B46CE" w:rsidP="003B46CE">
                  <w:pPr>
                    <w:spacing w:after="60"/>
                    <w:rPr>
                      <w:i/>
                      <w:iCs/>
                      <w:sz w:val="20"/>
                    </w:rPr>
                  </w:pPr>
                  <w:r w:rsidRPr="00A552C3">
                    <w:rPr>
                      <w:i/>
                      <w:sz w:val="20"/>
                    </w:rPr>
                    <w:t xml:space="preserve">Switchable Generation Physical Switch Lost Revenue – </w:t>
                  </w:r>
                  <w:r w:rsidRPr="00A552C3">
                    <w:rPr>
                      <w:sz w:val="20"/>
                    </w:rPr>
                    <w:t xml:space="preserve">The loss of revenue, net of any saved costs including avoided fuel consumption, experienced by the QSE when the Combined Cycle Generation Resource operating in ERCOT must reduce its output to accommodate a switch from a non-ERCOT Control Area of one or more turbines needed to achieve a Combined Cycle Generation Resource configuration instructed by ERCOT.  Where for a Combined Cycle Train, the Resource </w:t>
                  </w:r>
                  <w:r w:rsidRPr="00A552C3">
                    <w:rPr>
                      <w:i/>
                      <w:sz w:val="20"/>
                    </w:rPr>
                    <w:t xml:space="preserve">r </w:t>
                  </w:r>
                  <w:r w:rsidRPr="00A552C3">
                    <w:rPr>
                      <w:sz w:val="20"/>
                    </w:rPr>
                    <w:t>is the Combined Cycle Train.</w:t>
                  </w:r>
                </w:p>
              </w:tc>
            </w:tr>
            <w:tr w:rsidR="003B46CE" w:rsidRPr="00A552C3" w14:paraId="036B5136"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CD85AE6" w14:textId="77777777" w:rsidR="003B46CE" w:rsidRPr="00A552C3" w:rsidRDefault="003B46CE" w:rsidP="003B46CE">
                  <w:pPr>
                    <w:spacing w:after="60"/>
                    <w:rPr>
                      <w:iCs/>
                      <w:sz w:val="20"/>
                    </w:rPr>
                  </w:pPr>
                  <w:r w:rsidRPr="00A552C3">
                    <w:rPr>
                      <w:sz w:val="20"/>
                    </w:rPr>
                    <w:lastRenderedPageBreak/>
                    <w:t xml:space="preserve">RTLPX </w:t>
                  </w:r>
                  <w:r w:rsidRPr="00A552C3">
                    <w:rPr>
                      <w:i/>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2323FC81" w14:textId="77777777" w:rsidR="003B46CE" w:rsidRPr="00A552C3" w:rsidRDefault="003B46CE" w:rsidP="003B46CE">
                  <w:pPr>
                    <w:spacing w:after="60"/>
                    <w:rPr>
                      <w:iCs/>
                      <w:sz w:val="20"/>
                    </w:rPr>
                  </w:pPr>
                  <w:r w:rsidRPr="00A552C3">
                    <w:rPr>
                      <w:sz w:val="20"/>
                    </w:rPr>
                    <w:t>MWh</w:t>
                  </w:r>
                </w:p>
              </w:tc>
              <w:tc>
                <w:tcPr>
                  <w:tcW w:w="3342" w:type="pct"/>
                  <w:tcBorders>
                    <w:top w:val="single" w:sz="6" w:space="0" w:color="auto"/>
                    <w:left w:val="single" w:sz="6" w:space="0" w:color="auto"/>
                    <w:bottom w:val="single" w:sz="6" w:space="0" w:color="auto"/>
                    <w:right w:val="single" w:sz="4" w:space="0" w:color="auto"/>
                  </w:tcBorders>
                </w:tcPr>
                <w:p w14:paraId="369A9743" w14:textId="77777777" w:rsidR="003B46CE" w:rsidRPr="00A552C3" w:rsidRDefault="003B46CE" w:rsidP="003B46CE">
                  <w:pPr>
                    <w:spacing w:after="60"/>
                    <w:rPr>
                      <w:iCs/>
                      <w:sz w:val="20"/>
                    </w:rPr>
                  </w:pPr>
                  <w:r w:rsidRPr="00A552C3">
                    <w:rPr>
                      <w:i/>
                      <w:iCs/>
                      <w:sz w:val="20"/>
                    </w:rPr>
                    <w:t>Real-Time Proxy Generation per QSE per Resource by Settlement Interval</w:t>
                  </w:r>
                  <w:r w:rsidRPr="00A552C3">
                    <w:rPr>
                      <w:iCs/>
                      <w:sz w:val="20"/>
                    </w:rPr>
                    <w:t xml:space="preserve">—The Real-Time energy that was not generated in ERCOT by Combined Cycle Train,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t>
                  </w:r>
                  <w:r w:rsidRPr="00A552C3">
                    <w:rPr>
                      <w:i/>
                      <w:iCs/>
                      <w:sz w:val="20"/>
                    </w:rPr>
                    <w:t>i</w:t>
                  </w:r>
                  <w:r w:rsidRPr="00A552C3">
                    <w:rPr>
                      <w:iCs/>
                      <w:sz w:val="20"/>
                    </w:rPr>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63A9BA3B" w14:textId="77777777" w:rsidR="003B46CE" w:rsidRPr="00A552C3" w:rsidRDefault="003B46CE" w:rsidP="003B46CE">
                  <w:pPr>
                    <w:spacing w:after="60"/>
                    <w:rPr>
                      <w:iCs/>
                      <w:sz w:val="20"/>
                    </w:rPr>
                  </w:pPr>
                  <w:r w:rsidRPr="00A552C3">
                    <w:rPr>
                      <w:iCs/>
                      <w:sz w:val="20"/>
                    </w:rPr>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015A61EC" w14:textId="77777777" w:rsidR="003B46CE" w:rsidRPr="00A552C3" w:rsidRDefault="003B46CE" w:rsidP="003B46CE">
                  <w:pPr>
                    <w:spacing w:after="60"/>
                    <w:rPr>
                      <w:i/>
                      <w:iCs/>
                      <w:sz w:val="20"/>
                    </w:rPr>
                  </w:pPr>
                  <w:r w:rsidRPr="00A552C3">
                    <w:rPr>
                      <w:sz w:val="20"/>
                    </w:rPr>
                    <w:t>During a shutdown after an ERCOT release of the SWGR, the value of RTLPX will be determined based on the reduced generation, by interval, for the period starting from the commencement of the shutdown sequence in the ERCOT Control Area until breaker close in the non-ERCOT Control Area, with a maximum duration equal to the duration of the switch from the non-ERCOT Control Area to ERCOT</w:t>
                  </w:r>
                  <w:r w:rsidRPr="00A552C3" w:rsidDel="00482822">
                    <w:rPr>
                      <w:sz w:val="20"/>
                    </w:rPr>
                    <w:t xml:space="preserve"> </w:t>
                  </w:r>
                  <w:r w:rsidRPr="00A552C3">
                    <w:rPr>
                      <w:sz w:val="20"/>
                    </w:rPr>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3B46CE" w:rsidRPr="00A552C3" w14:paraId="2A9D871A"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7173A1E" w14:textId="77777777" w:rsidR="003B46CE" w:rsidRPr="00A552C3" w:rsidRDefault="003B46CE" w:rsidP="003B46CE">
                  <w:pPr>
                    <w:spacing w:after="60"/>
                    <w:rPr>
                      <w:iCs/>
                      <w:sz w:val="20"/>
                    </w:rPr>
                  </w:pPr>
                  <w:r w:rsidRPr="00A552C3">
                    <w:rPr>
                      <w:sz w:val="20"/>
                    </w:rPr>
                    <w:t xml:space="preserve">SFC </w:t>
                  </w:r>
                  <w:r w:rsidRPr="00A552C3">
                    <w:rPr>
                      <w:i/>
                      <w:sz w:val="20"/>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611D6A65" w14:textId="77777777" w:rsidR="003B46CE" w:rsidRPr="00A552C3" w:rsidRDefault="003B46CE" w:rsidP="003B46CE">
                  <w:pPr>
                    <w:spacing w:after="60"/>
                    <w:rPr>
                      <w:iCs/>
                      <w:sz w:val="20"/>
                    </w:rPr>
                  </w:pPr>
                  <w:r w:rsidRPr="00A552C3">
                    <w:rPr>
                      <w:sz w:val="20"/>
                    </w:rPr>
                    <w:t>MMBtu</w:t>
                  </w:r>
                </w:p>
              </w:tc>
              <w:tc>
                <w:tcPr>
                  <w:tcW w:w="3342" w:type="pct"/>
                  <w:tcBorders>
                    <w:top w:val="single" w:sz="6" w:space="0" w:color="auto"/>
                    <w:left w:val="single" w:sz="6" w:space="0" w:color="auto"/>
                    <w:bottom w:val="single" w:sz="6" w:space="0" w:color="auto"/>
                    <w:right w:val="single" w:sz="4" w:space="0" w:color="auto"/>
                  </w:tcBorders>
                </w:tcPr>
                <w:p w14:paraId="408788F2" w14:textId="77777777" w:rsidR="003B46CE" w:rsidRPr="00A552C3" w:rsidRDefault="003B46CE" w:rsidP="003B46CE">
                  <w:pPr>
                    <w:spacing w:after="60"/>
                    <w:rPr>
                      <w:i/>
                      <w:iCs/>
                      <w:sz w:val="20"/>
                    </w:rPr>
                  </w:pPr>
                  <w:r w:rsidRPr="00A552C3">
                    <w:rPr>
                      <w:i/>
                      <w:sz w:val="20"/>
                    </w:rPr>
                    <w:t xml:space="preserve">Saved Fuel Consumption </w:t>
                  </w:r>
                  <w:r w:rsidRPr="00A552C3">
                    <w:rPr>
                      <w:sz w:val="20"/>
                    </w:rPr>
                    <w:t>— Fuel quantity saved due to an output reduction of the combustion turbine(s) operating in ERCOT during the relevant period if necessary to accommodate the switch to and from the ERCOT area.</w:t>
                  </w:r>
                </w:p>
              </w:tc>
            </w:tr>
            <w:tr w:rsidR="003B46CE" w:rsidRPr="00A552C3" w14:paraId="73B12CC6"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854CC74" w14:textId="77777777" w:rsidR="003B46CE" w:rsidRPr="00A552C3" w:rsidRDefault="003B46CE" w:rsidP="003B46CE">
                  <w:pPr>
                    <w:spacing w:after="60"/>
                    <w:rPr>
                      <w:iCs/>
                      <w:sz w:val="20"/>
                    </w:rPr>
                  </w:pPr>
                  <w:r w:rsidRPr="00A552C3">
                    <w:rPr>
                      <w:sz w:val="20"/>
                    </w:rPr>
                    <w:t>SWSF</w:t>
                  </w:r>
                </w:p>
              </w:tc>
              <w:tc>
                <w:tcPr>
                  <w:tcW w:w="692" w:type="pct"/>
                  <w:tcBorders>
                    <w:top w:val="single" w:sz="6" w:space="0" w:color="auto"/>
                    <w:left w:val="single" w:sz="6" w:space="0" w:color="auto"/>
                    <w:bottom w:val="single" w:sz="6" w:space="0" w:color="auto"/>
                    <w:right w:val="single" w:sz="6" w:space="0" w:color="auto"/>
                  </w:tcBorders>
                </w:tcPr>
                <w:p w14:paraId="68348070"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41304418" w14:textId="77777777" w:rsidR="003B46CE" w:rsidRPr="00A552C3" w:rsidRDefault="003B46CE" w:rsidP="003B46CE">
                  <w:pPr>
                    <w:spacing w:after="60"/>
                    <w:rPr>
                      <w:i/>
                      <w:iCs/>
                      <w:sz w:val="20"/>
                    </w:rPr>
                  </w:pPr>
                  <w:r w:rsidRPr="00A552C3">
                    <w:rPr>
                      <w:i/>
                      <w:iCs/>
                      <w:sz w:val="20"/>
                    </w:rPr>
                    <w:t>Switchable Generation</w:t>
                  </w:r>
                  <w:r w:rsidRPr="00A552C3">
                    <w:rPr>
                      <w:iCs/>
                      <w:sz w:val="20"/>
                    </w:rPr>
                    <w:t xml:space="preserve"> </w:t>
                  </w:r>
                  <w:r w:rsidRPr="00A552C3">
                    <w:rPr>
                      <w:i/>
                      <w:iCs/>
                      <w:sz w:val="20"/>
                    </w:rPr>
                    <w:t xml:space="preserve">Startup Factor </w:t>
                  </w:r>
                  <w:r w:rsidRPr="00A552C3">
                    <w:rPr>
                      <w:iCs/>
                      <w:sz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3B46CE" w:rsidRPr="00A552C3" w14:paraId="70476FD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F0FA2E2" w14:textId="77777777" w:rsidR="003B46CE" w:rsidRPr="00A552C3" w:rsidRDefault="003B46CE" w:rsidP="003B46CE">
                  <w:pPr>
                    <w:spacing w:after="60"/>
                    <w:rPr>
                      <w:iCs/>
                      <w:sz w:val="20"/>
                    </w:rPr>
                  </w:pPr>
                  <w:r w:rsidRPr="00A552C3">
                    <w:rPr>
                      <w:iCs/>
                      <w:sz w:val="20"/>
                    </w:rPr>
                    <w:t xml:space="preserve">SWMEC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45E8BB27"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0C60952C" w14:textId="77777777" w:rsidR="003B46CE" w:rsidRPr="00A552C3" w:rsidRDefault="003B46CE" w:rsidP="003B46CE">
                  <w:pPr>
                    <w:spacing w:after="60"/>
                    <w:rPr>
                      <w:i/>
                      <w:iCs/>
                      <w:sz w:val="20"/>
                    </w:rPr>
                  </w:pPr>
                  <w:r w:rsidRPr="00A552C3">
                    <w:rPr>
                      <w:i/>
                      <w:iCs/>
                      <w:sz w:val="20"/>
                    </w:rPr>
                    <w:t>Switchable Generation</w:t>
                  </w:r>
                  <w:r w:rsidRPr="00A552C3">
                    <w:rPr>
                      <w:iCs/>
                      <w:sz w:val="20"/>
                    </w:rPr>
                    <w:t xml:space="preserve"> </w:t>
                  </w:r>
                  <w:r w:rsidRPr="00A552C3">
                    <w:rPr>
                      <w:i/>
                      <w:iCs/>
                      <w:sz w:val="20"/>
                    </w:rPr>
                    <w:t xml:space="preserve">Minimum Energy Cost </w:t>
                  </w:r>
                  <w:r w:rsidRPr="00A552C3">
                    <w:rPr>
                      <w:iCs/>
                      <w:sz w:val="20"/>
                    </w:rPr>
                    <w:t xml:space="preserve">—The minimum energy costs 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during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w:t>
                  </w:r>
                </w:p>
              </w:tc>
            </w:tr>
            <w:tr w:rsidR="003B46CE" w:rsidRPr="00A552C3" w14:paraId="79967A66"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F9A16B7" w14:textId="77777777" w:rsidR="003B46CE" w:rsidRPr="00A552C3" w:rsidRDefault="003B46CE" w:rsidP="003B46CE">
                  <w:pPr>
                    <w:spacing w:after="60"/>
                    <w:rPr>
                      <w:iCs/>
                      <w:sz w:val="20"/>
                    </w:rPr>
                  </w:pPr>
                  <w:r w:rsidRPr="00A552C3">
                    <w:rPr>
                      <w:iCs/>
                      <w:sz w:val="20"/>
                    </w:rPr>
                    <w:t xml:space="preserve">SWOC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56670AD"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55FD82F9" w14:textId="77777777" w:rsidR="003B46CE" w:rsidRPr="00A552C3" w:rsidRDefault="003B46CE" w:rsidP="003B46CE">
                  <w:pPr>
                    <w:spacing w:after="60"/>
                    <w:rPr>
                      <w:i/>
                      <w:iCs/>
                      <w:sz w:val="20"/>
                    </w:rPr>
                  </w:pPr>
                  <w:r w:rsidRPr="00A552C3">
                    <w:rPr>
                      <w:i/>
                      <w:sz w:val="20"/>
                    </w:rPr>
                    <w:t>Switchable Generation</w:t>
                  </w:r>
                  <w:r w:rsidRPr="00A552C3">
                    <w:rPr>
                      <w:sz w:val="20"/>
                    </w:rPr>
                    <w:t xml:space="preserve"> </w:t>
                  </w:r>
                  <w:r w:rsidRPr="00A552C3">
                    <w:rPr>
                      <w:i/>
                      <w:sz w:val="20"/>
                    </w:rPr>
                    <w:t xml:space="preserve">Operating Cost </w:t>
                  </w:r>
                  <w:r w:rsidRPr="00A552C3">
                    <w:rPr>
                      <w:sz w:val="20"/>
                    </w:rPr>
                    <w:t xml:space="preserve">—The operating costs for Resource </w:t>
                  </w:r>
                  <w:r w:rsidRPr="00A552C3">
                    <w:rPr>
                      <w:i/>
                      <w:sz w:val="20"/>
                    </w:rPr>
                    <w:t xml:space="preserve">r </w:t>
                  </w:r>
                  <w:r w:rsidRPr="00A552C3">
                    <w:rPr>
                      <w:sz w:val="20"/>
                    </w:rPr>
                    <w:t>represented by QSE</w:t>
                  </w:r>
                  <w:r w:rsidRPr="00A552C3">
                    <w:rPr>
                      <w:i/>
                      <w:sz w:val="20"/>
                    </w:rPr>
                    <w:t xml:space="preserve"> q </w:t>
                  </w:r>
                  <w:r w:rsidRPr="00A552C3">
                    <w:rPr>
                      <w:sz w:val="20"/>
                    </w:rPr>
                    <w:t xml:space="preserve">during instructed hours, for the Operating Day </w:t>
                  </w:r>
                  <w:r w:rsidRPr="00A552C3">
                    <w:rPr>
                      <w:i/>
                      <w:sz w:val="20"/>
                    </w:rPr>
                    <w:t>d</w:t>
                  </w:r>
                  <w:r w:rsidRPr="00A552C3">
                    <w:rPr>
                      <w:sz w:val="20"/>
                    </w:rPr>
                    <w:t xml:space="preserve">.  Where for a Combined Cycle Train, the Resource </w:t>
                  </w:r>
                  <w:r w:rsidRPr="00A552C3">
                    <w:rPr>
                      <w:i/>
                      <w:sz w:val="20"/>
                    </w:rPr>
                    <w:t xml:space="preserve">r </w:t>
                  </w:r>
                  <w:r w:rsidRPr="00A552C3">
                    <w:rPr>
                      <w:sz w:val="20"/>
                    </w:rPr>
                    <w:t>is the Combined Cycle Train.  Switchable generation operating cost represents the Real-Time operating costs in ERCOT reduced by the savings in operating costs not incurred due to the switch from the non-ERCOT Control Area.</w:t>
                  </w:r>
                </w:p>
              </w:tc>
            </w:tr>
            <w:tr w:rsidR="003B46CE" w:rsidRPr="00A552C3" w14:paraId="47955C7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CE28322" w14:textId="77777777" w:rsidR="003B46CE" w:rsidRPr="00A552C3" w:rsidRDefault="003B46CE" w:rsidP="003B46CE">
                  <w:pPr>
                    <w:spacing w:after="60"/>
                    <w:rPr>
                      <w:iCs/>
                      <w:sz w:val="20"/>
                    </w:rPr>
                  </w:pPr>
                  <w:r w:rsidRPr="00A552C3">
                    <w:rPr>
                      <w:iCs/>
                      <w:sz w:val="20"/>
                    </w:rPr>
                    <w:lastRenderedPageBreak/>
                    <w:t>SWAC</w:t>
                  </w:r>
                  <w:r w:rsidRPr="00A552C3">
                    <w:rPr>
                      <w:i/>
                      <w:iCs/>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38CD6E5E"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3C0FDCC6" w14:textId="77777777" w:rsidR="003B46CE" w:rsidRPr="00A552C3" w:rsidRDefault="003B46CE" w:rsidP="003B46CE">
                  <w:pPr>
                    <w:spacing w:after="60"/>
                    <w:rPr>
                      <w:iCs/>
                      <w:sz w:val="20"/>
                    </w:rPr>
                  </w:pPr>
                  <w:r w:rsidRPr="00A552C3">
                    <w:rPr>
                      <w:i/>
                      <w:iCs/>
                      <w:sz w:val="20"/>
                    </w:rPr>
                    <w:t xml:space="preserve">Switchable Generation Approved Costs – </w:t>
                  </w:r>
                  <w:r w:rsidRPr="00A552C3">
                    <w:rPr>
                      <w:iCs/>
                      <w:sz w:val="20"/>
                    </w:rPr>
                    <w:t xml:space="preserve">The total amount of the calculation of financial loss, as submitted by the QSE </w:t>
                  </w:r>
                  <w:r w:rsidRPr="00A552C3">
                    <w:rPr>
                      <w:i/>
                      <w:iCs/>
                      <w:sz w:val="20"/>
                    </w:rPr>
                    <w:t xml:space="preserve">q </w:t>
                  </w:r>
                  <w:r w:rsidRPr="00A552C3">
                    <w:rPr>
                      <w:iCs/>
                      <w:sz w:val="20"/>
                    </w:rPr>
                    <w:t>for the Resource</w:t>
                  </w:r>
                  <w:r w:rsidRPr="00A552C3">
                    <w:rPr>
                      <w:i/>
                      <w:iCs/>
                      <w:sz w:val="20"/>
                    </w:rPr>
                    <w:t xml:space="preserve"> r, </w:t>
                  </w:r>
                  <w:r w:rsidRPr="00A552C3">
                    <w:rPr>
                      <w:iCs/>
                      <w:sz w:val="20"/>
                    </w:rPr>
                    <w:t xml:space="preserve">as approved by ERCOT for the Operating Day </w:t>
                  </w:r>
                  <w:r w:rsidRPr="00A552C3">
                    <w:rPr>
                      <w:i/>
                      <w:iCs/>
                      <w:sz w:val="20"/>
                    </w:rPr>
                    <w:t>d</w:t>
                  </w:r>
                  <w:r w:rsidRPr="00A552C3">
                    <w:rPr>
                      <w:iCs/>
                      <w:sz w:val="20"/>
                    </w:rPr>
                    <w:t xml:space="preserve">.  Where for a Combined Cycle Train, the Resource </w:t>
                  </w:r>
                  <w:r w:rsidRPr="00A552C3">
                    <w:rPr>
                      <w:i/>
                      <w:iCs/>
                      <w:sz w:val="20"/>
                    </w:rPr>
                    <w:t>r</w:t>
                  </w:r>
                  <w:r w:rsidRPr="00A552C3">
                    <w:rPr>
                      <w:iCs/>
                      <w:sz w:val="20"/>
                    </w:rPr>
                    <w:t xml:space="preserve"> is the Combined Cycle Train.</w:t>
                  </w:r>
                </w:p>
              </w:tc>
            </w:tr>
            <w:tr w:rsidR="003B46CE" w:rsidRPr="00A552C3" w14:paraId="6ACD86B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80A08F7" w14:textId="77777777" w:rsidR="003B46CE" w:rsidRPr="00A552C3" w:rsidRDefault="003B46CE" w:rsidP="003B46CE">
                  <w:pPr>
                    <w:spacing w:after="60"/>
                    <w:rPr>
                      <w:iCs/>
                      <w:sz w:val="20"/>
                    </w:rPr>
                  </w:pPr>
                  <w:r w:rsidRPr="00A552C3">
                    <w:rPr>
                      <w:iCs/>
                      <w:sz w:val="20"/>
                    </w:rPr>
                    <w:t>SWFC</w:t>
                  </w:r>
                  <w:r w:rsidRPr="00A552C3">
                    <w:rPr>
                      <w:i/>
                      <w:iCs/>
                      <w:sz w:val="20"/>
                      <w:vertAlign w:val="subscript"/>
                    </w:rPr>
                    <w:t xml:space="preserve"> q, r, d</w:t>
                  </w:r>
                  <w:r w:rsidRPr="00A552C3">
                    <w:rPr>
                      <w:i/>
                      <w:iCs/>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4406D89A"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55B062DC" w14:textId="77777777" w:rsidR="003B46CE" w:rsidRPr="00A552C3" w:rsidRDefault="003B46CE" w:rsidP="003B46CE">
                  <w:pPr>
                    <w:spacing w:after="60"/>
                    <w:rPr>
                      <w:i/>
                      <w:iCs/>
                      <w:sz w:val="20"/>
                    </w:rPr>
                  </w:pPr>
                  <w:r w:rsidRPr="00A552C3">
                    <w:rPr>
                      <w:i/>
                      <w:iCs/>
                      <w:sz w:val="20"/>
                    </w:rPr>
                    <w:t>Switchable Generator</w:t>
                  </w:r>
                  <w:r w:rsidRPr="00A552C3">
                    <w:rPr>
                      <w:iCs/>
                      <w:sz w:val="20"/>
                    </w:rPr>
                    <w:t xml:space="preserve"> </w:t>
                  </w:r>
                  <w:r w:rsidRPr="00A552C3">
                    <w:rPr>
                      <w:i/>
                      <w:iCs/>
                      <w:sz w:val="20"/>
                    </w:rPr>
                    <w:t xml:space="preserve">Fuel Cost </w:t>
                  </w:r>
                  <w:r w:rsidRPr="00A552C3">
                    <w:rPr>
                      <w:iCs/>
                      <w:sz w:val="20"/>
                    </w:rPr>
                    <w:t xml:space="preserve">—The incremental fuel costs and fees 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for all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 xml:space="preserve">is the Combined Cycle Train.  Incremental fuel costs must be based on those costs incurred as described in Section 9.14.9, Incremental Fuel Costs for Switchable Generation Make-Whole Payment. </w:t>
                  </w:r>
                </w:p>
              </w:tc>
            </w:tr>
            <w:tr w:rsidR="003B46CE" w:rsidRPr="00A552C3" w14:paraId="49006E8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9B6BAF4" w14:textId="77777777" w:rsidR="003B46CE" w:rsidRPr="00A552C3" w:rsidRDefault="003B46CE" w:rsidP="003B46CE">
                  <w:pPr>
                    <w:spacing w:after="60"/>
                    <w:rPr>
                      <w:iCs/>
                      <w:sz w:val="20"/>
                    </w:rPr>
                  </w:pPr>
                  <w:r w:rsidRPr="00A552C3">
                    <w:rPr>
                      <w:iCs/>
                      <w:sz w:val="20"/>
                    </w:rPr>
                    <w:t xml:space="preserve">SWFIPC </w:t>
                  </w:r>
                  <w:r w:rsidRPr="00A552C3">
                    <w:rPr>
                      <w:i/>
                      <w:iCs/>
                      <w:sz w:val="20"/>
                      <w:vertAlign w:val="subscript"/>
                    </w:rPr>
                    <w:t>q, r, d</w:t>
                  </w:r>
                  <w:r w:rsidRPr="00A552C3">
                    <w:rPr>
                      <w:i/>
                      <w:iCs/>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222F08C5"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01703726" w14:textId="77777777" w:rsidR="003B46CE" w:rsidRPr="00A552C3" w:rsidRDefault="003B46CE" w:rsidP="003B46CE">
                  <w:pPr>
                    <w:spacing w:after="60"/>
                    <w:rPr>
                      <w:i/>
                      <w:iCs/>
                      <w:sz w:val="20"/>
                    </w:rPr>
                  </w:pPr>
                  <w:r w:rsidRPr="00A552C3">
                    <w:rPr>
                      <w:i/>
                      <w:iCs/>
                      <w:sz w:val="20"/>
                    </w:rPr>
                    <w:t>Switchable Generator Fuel Imbalance Penalty Cost</w:t>
                  </w:r>
                  <w:r w:rsidRPr="00A552C3">
                    <w:rPr>
                      <w:iCs/>
                      <w:sz w:val="20"/>
                    </w:rPr>
                    <w:t xml:space="preserve"> —The fuel imbalance penalty cost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A552C3">
                    <w:rPr>
                      <w:i/>
                      <w:iCs/>
                      <w:sz w:val="20"/>
                    </w:rPr>
                    <w:t>r</w:t>
                  </w:r>
                  <w:r w:rsidRPr="00A552C3">
                    <w:rPr>
                      <w:iCs/>
                      <w:sz w:val="20"/>
                    </w:rPr>
                    <w:t xml:space="preserve"> is the Combined Cycle Train.</w:t>
                  </w:r>
                </w:p>
              </w:tc>
            </w:tr>
            <w:tr w:rsidR="003B46CE" w:rsidRPr="00A552C3" w14:paraId="20D502D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09CA342" w14:textId="77777777" w:rsidR="003B46CE" w:rsidRPr="00A552C3" w:rsidRDefault="003B46CE" w:rsidP="003B46CE">
                  <w:pPr>
                    <w:spacing w:after="60"/>
                    <w:rPr>
                      <w:iCs/>
                      <w:sz w:val="20"/>
                    </w:rPr>
                  </w:pPr>
                  <w:r w:rsidRPr="00A552C3">
                    <w:rPr>
                      <w:iCs/>
                      <w:sz w:val="20"/>
                    </w:rPr>
                    <w:t>SWEIC</w:t>
                  </w:r>
                  <w:r w:rsidRPr="00A552C3">
                    <w:rPr>
                      <w:i/>
                      <w:sz w:val="20"/>
                      <w:vertAlign w:val="subscript"/>
                    </w:rPr>
                    <w:t xml:space="preserve"> q, r, d</w:t>
                  </w:r>
                  <w:r w:rsidRPr="00A552C3">
                    <w:rPr>
                      <w:i/>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042FF019"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3E1AAFBF" w14:textId="77777777" w:rsidR="003B46CE" w:rsidRPr="00A552C3" w:rsidRDefault="003B46CE" w:rsidP="003B46CE">
                  <w:pPr>
                    <w:spacing w:after="60"/>
                    <w:rPr>
                      <w:iCs/>
                      <w:sz w:val="20"/>
                    </w:rPr>
                  </w:pPr>
                  <w:r w:rsidRPr="00A552C3">
                    <w:rPr>
                      <w:i/>
                      <w:sz w:val="20"/>
                    </w:rPr>
                    <w:t>Switchable Generator</w:t>
                  </w:r>
                  <w:r w:rsidRPr="00A552C3">
                    <w:rPr>
                      <w:sz w:val="20"/>
                    </w:rPr>
                    <w:t xml:space="preserve"> </w:t>
                  </w:r>
                  <w:r w:rsidRPr="00A552C3">
                    <w:rPr>
                      <w:i/>
                      <w:sz w:val="20"/>
                    </w:rPr>
                    <w:t xml:space="preserve">Energy Imbalance Cost </w:t>
                  </w:r>
                  <w:r w:rsidRPr="00A552C3">
                    <w:rPr>
                      <w:sz w:val="20"/>
                    </w:rPr>
                    <w:t xml:space="preserve">—The energy imbalance costs for Resource </w:t>
                  </w:r>
                  <w:r w:rsidRPr="00A552C3">
                    <w:rPr>
                      <w:i/>
                      <w:sz w:val="20"/>
                    </w:rPr>
                    <w:t xml:space="preserve">r </w:t>
                  </w:r>
                  <w:r w:rsidRPr="00A552C3">
                    <w:rPr>
                      <w:sz w:val="20"/>
                    </w:rPr>
                    <w:t>represented by QSE</w:t>
                  </w:r>
                  <w:r w:rsidRPr="00A552C3">
                    <w:rPr>
                      <w:i/>
                      <w:sz w:val="20"/>
                    </w:rPr>
                    <w:t xml:space="preserve"> q </w:t>
                  </w:r>
                  <w:r w:rsidRPr="00A552C3">
                    <w:rPr>
                      <w:sz w:val="20"/>
                    </w:rPr>
                    <w:t xml:space="preserve">for instructed hours, for the Operating Day </w:t>
                  </w:r>
                  <w:r w:rsidRPr="00A552C3">
                    <w:rPr>
                      <w:i/>
                      <w:sz w:val="20"/>
                    </w:rPr>
                    <w:t>d</w:t>
                  </w:r>
                  <w:r w:rsidRPr="00A552C3">
                    <w:rPr>
                      <w:sz w:val="20"/>
                    </w:rPr>
                    <w:t xml:space="preserve">.  Where for a Combined Cycle Train, the Resource </w:t>
                  </w:r>
                  <w:r w:rsidRPr="00A552C3">
                    <w:rPr>
                      <w:i/>
                      <w:sz w:val="20"/>
                    </w:rPr>
                    <w:t xml:space="preserve">r </w:t>
                  </w:r>
                  <w:r w:rsidRPr="00A552C3">
                    <w:rPr>
                      <w:sz w:val="20"/>
                    </w:rPr>
                    <w:t>is the Combined Cycle Train.  Energy imbalance costs represent Real-Time imbalance charges for the amount of energy the SWGR was not able to provide as required by its DAM commitment from the non-ERCOT Control Area, starting from the beginning of the ramp-down period in the other grid to two hours following the time ERCOT released the Resource.</w:t>
                  </w:r>
                </w:p>
              </w:tc>
            </w:tr>
            <w:tr w:rsidR="003B46CE" w:rsidRPr="00A552C3" w14:paraId="7DE576E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6DB8EE9" w14:textId="77777777" w:rsidR="003B46CE" w:rsidRPr="00A552C3" w:rsidRDefault="003B46CE" w:rsidP="003B46CE">
                  <w:pPr>
                    <w:spacing w:after="60"/>
                    <w:rPr>
                      <w:iCs/>
                      <w:sz w:val="20"/>
                    </w:rPr>
                  </w:pPr>
                  <w:r w:rsidRPr="00A552C3">
                    <w:rPr>
                      <w:iCs/>
                      <w:sz w:val="20"/>
                    </w:rPr>
                    <w:t>SWASIC</w:t>
                  </w:r>
                  <w:r w:rsidRPr="00A552C3">
                    <w:rPr>
                      <w:i/>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0064414"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1B6E9F64" w14:textId="77777777" w:rsidR="003B46CE" w:rsidRPr="00A552C3" w:rsidRDefault="003B46CE" w:rsidP="003B46CE">
                  <w:pPr>
                    <w:spacing w:after="60"/>
                    <w:rPr>
                      <w:iCs/>
                      <w:sz w:val="20"/>
                    </w:rPr>
                  </w:pPr>
                  <w:r w:rsidRPr="00A552C3">
                    <w:rPr>
                      <w:i/>
                      <w:sz w:val="20"/>
                    </w:rPr>
                    <w:t>Switchable Generator</w:t>
                  </w:r>
                  <w:r w:rsidRPr="00A552C3">
                    <w:rPr>
                      <w:sz w:val="20"/>
                    </w:rPr>
                    <w:t xml:space="preserve"> </w:t>
                  </w:r>
                  <w:r w:rsidRPr="00A552C3">
                    <w:rPr>
                      <w:i/>
                      <w:sz w:val="20"/>
                    </w:rPr>
                    <w:t xml:space="preserve">Ancillary Services Imbalance Cost </w:t>
                  </w:r>
                  <w:r w:rsidRPr="00A552C3">
                    <w:rPr>
                      <w:sz w:val="20"/>
                    </w:rPr>
                    <w:t xml:space="preserve">—The Ancillary Service imbalance costs for Resource </w:t>
                  </w:r>
                  <w:r w:rsidRPr="00A552C3">
                    <w:rPr>
                      <w:i/>
                      <w:sz w:val="20"/>
                    </w:rPr>
                    <w:t xml:space="preserve">r </w:t>
                  </w:r>
                  <w:r w:rsidRPr="00A552C3">
                    <w:rPr>
                      <w:sz w:val="20"/>
                    </w:rPr>
                    <w:t>represented by QSE</w:t>
                  </w:r>
                  <w:r w:rsidRPr="00A552C3">
                    <w:rPr>
                      <w:i/>
                      <w:sz w:val="20"/>
                    </w:rPr>
                    <w:t xml:space="preserve"> q </w:t>
                  </w:r>
                  <w:r w:rsidRPr="00A552C3">
                    <w:rPr>
                      <w:sz w:val="20"/>
                    </w:rPr>
                    <w:t xml:space="preserve">for instructed hours, for the Operating Day </w:t>
                  </w:r>
                  <w:r w:rsidRPr="00A552C3">
                    <w:rPr>
                      <w:i/>
                      <w:sz w:val="20"/>
                    </w:rPr>
                    <w:t>d</w:t>
                  </w:r>
                  <w:r w:rsidRPr="00A552C3">
                    <w:rPr>
                      <w:sz w:val="20"/>
                    </w:rPr>
                    <w:t xml:space="preserve">.  Where for a Combined Cycle Train, the Resource </w:t>
                  </w:r>
                  <w:r w:rsidRPr="00A552C3">
                    <w:rPr>
                      <w:i/>
                      <w:sz w:val="20"/>
                    </w:rPr>
                    <w:t xml:space="preserve">r </w:t>
                  </w:r>
                  <w:r w:rsidRPr="00A552C3">
                    <w:rPr>
                      <w:sz w:val="20"/>
                    </w:rPr>
                    <w:t>is the Combined Cycle Train.  Ancillary Service imbalance costs represent Real-Time imbalance charges for the amount of Ancillary Services the SWGR was not able to provide as required by its Day-Ahead commitment from the non-ERCOT Control Area, starting from the time of shutdown in the other grid to two hours following the time ERCOT released the Resource.</w:t>
                  </w:r>
                </w:p>
              </w:tc>
            </w:tr>
            <w:tr w:rsidR="003B46CE" w:rsidRPr="00A552C3" w14:paraId="256C9A1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7103365" w14:textId="77777777" w:rsidR="003B46CE" w:rsidRPr="00A552C3" w:rsidRDefault="003B46CE" w:rsidP="003B46CE">
                  <w:pPr>
                    <w:spacing w:after="60"/>
                    <w:rPr>
                      <w:iCs/>
                      <w:sz w:val="20"/>
                      <w:lang w:val="pt-BR"/>
                    </w:rPr>
                  </w:pPr>
                  <w:r w:rsidRPr="00A552C3">
                    <w:rPr>
                      <w:iCs/>
                      <w:sz w:val="20"/>
                      <w:lang w:val="pt-BR"/>
                    </w:rPr>
                    <w:t>SWMWDC</w:t>
                  </w:r>
                  <w:r w:rsidRPr="00A552C3">
                    <w:rPr>
                      <w:i/>
                      <w:iCs/>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739086AD"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0A8B84A6" w14:textId="77777777" w:rsidR="003B46CE" w:rsidRPr="00A552C3" w:rsidRDefault="003B46CE" w:rsidP="003B46CE">
                  <w:pPr>
                    <w:spacing w:after="60"/>
                    <w:rPr>
                      <w:i/>
                      <w:iCs/>
                      <w:sz w:val="20"/>
                    </w:rPr>
                  </w:pPr>
                  <w:r w:rsidRPr="00A552C3">
                    <w:rPr>
                      <w:i/>
                      <w:iCs/>
                      <w:sz w:val="20"/>
                    </w:rPr>
                    <w:t>Switchable Generator</w:t>
                  </w:r>
                  <w:r w:rsidRPr="00A552C3">
                    <w:rPr>
                      <w:iCs/>
                      <w:sz w:val="20"/>
                    </w:rPr>
                    <w:t xml:space="preserve"> </w:t>
                  </w:r>
                  <w:r w:rsidRPr="00A552C3">
                    <w:rPr>
                      <w:i/>
                      <w:iCs/>
                      <w:sz w:val="20"/>
                    </w:rPr>
                    <w:t xml:space="preserve">Make-Whole Payment Distribution Cost </w:t>
                  </w:r>
                  <w:r w:rsidRPr="00A552C3">
                    <w:rPr>
                      <w:iCs/>
                      <w:sz w:val="20"/>
                    </w:rPr>
                    <w:t>—The</w:t>
                  </w:r>
                  <w:r w:rsidRPr="00A552C3" w:rsidDel="00E21E0A">
                    <w:rPr>
                      <w:iCs/>
                      <w:sz w:val="20"/>
                    </w:rPr>
                    <w:t xml:space="preserve"> </w:t>
                  </w:r>
                  <w:r w:rsidRPr="00A552C3">
                    <w:rPr>
                      <w:iCs/>
                      <w:sz w:val="20"/>
                    </w:rPr>
                    <w:t>Make-Whole Payment distribution costs</w:t>
                  </w:r>
                  <w:r w:rsidRPr="00A552C3">
                    <w:rPr>
                      <w:i/>
                      <w:iCs/>
                      <w:sz w:val="20"/>
                    </w:rPr>
                    <w:t xml:space="preserve"> </w:t>
                  </w:r>
                  <w:r w:rsidRPr="00A552C3">
                    <w:rPr>
                      <w:iCs/>
                      <w:sz w:val="20"/>
                    </w:rPr>
                    <w:t xml:space="preserve">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for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  Make-Whole Payment distribution costs represent charges from non-ERCOT Control Area from the time of shutdown in the other grid to two hours following the time ERCOT released the Resource.</w:t>
                  </w:r>
                </w:p>
              </w:tc>
            </w:tr>
            <w:tr w:rsidR="003B46CE" w:rsidRPr="00A552C3" w14:paraId="46DDE70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25F35C6" w14:textId="77777777" w:rsidR="003B46CE" w:rsidRPr="00A552C3" w:rsidRDefault="003B46CE" w:rsidP="003B46CE">
                  <w:pPr>
                    <w:spacing w:after="60"/>
                    <w:rPr>
                      <w:iCs/>
                      <w:sz w:val="20"/>
                    </w:rPr>
                  </w:pPr>
                  <w:r w:rsidRPr="00A552C3">
                    <w:rPr>
                      <w:iCs/>
                      <w:sz w:val="20"/>
                      <w:lang w:val="pt-BR"/>
                    </w:rPr>
                    <w:t>SWRTREV</w:t>
                  </w:r>
                  <w:r w:rsidRPr="00A552C3">
                    <w:rPr>
                      <w:i/>
                      <w:iCs/>
                      <w:sz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299EBE3B"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49F493FB" w14:textId="77777777" w:rsidR="003B46CE" w:rsidRPr="00A552C3" w:rsidRDefault="003B46CE" w:rsidP="003B46CE">
                  <w:pPr>
                    <w:spacing w:after="60"/>
                    <w:rPr>
                      <w:iCs/>
                      <w:sz w:val="20"/>
                    </w:rPr>
                  </w:pPr>
                  <w:r w:rsidRPr="00A552C3">
                    <w:rPr>
                      <w:i/>
                      <w:iCs/>
                      <w:sz w:val="20"/>
                    </w:rPr>
                    <w:t xml:space="preserve">Switchable Generation Real-Time Revenues – </w:t>
                  </w:r>
                  <w:r w:rsidRPr="00A552C3">
                    <w:rPr>
                      <w:iCs/>
                      <w:sz w:val="20"/>
                    </w:rPr>
                    <w:t xml:space="preserve">The sum of energy revenues for the Resource </w:t>
                  </w:r>
                  <w:r w:rsidRPr="00A552C3">
                    <w:rPr>
                      <w:i/>
                      <w:iCs/>
                      <w:sz w:val="20"/>
                    </w:rPr>
                    <w:t xml:space="preserve">r, </w:t>
                  </w:r>
                  <w:r w:rsidRPr="00A552C3">
                    <w:rPr>
                      <w:iCs/>
                      <w:sz w:val="20"/>
                    </w:rPr>
                    <w:t xml:space="preserve">represented by QSE </w:t>
                  </w:r>
                  <w:r w:rsidRPr="00A552C3">
                    <w:rPr>
                      <w:i/>
                      <w:iCs/>
                      <w:sz w:val="20"/>
                    </w:rPr>
                    <w:t xml:space="preserve">q, </w:t>
                  </w:r>
                  <w:r w:rsidRPr="00A552C3">
                    <w:rPr>
                      <w:iCs/>
                      <w:sz w:val="20"/>
                    </w:rPr>
                    <w:t xml:space="preserve">during all instructed hours for the Operating Day </w:t>
                  </w:r>
                  <w:r w:rsidRPr="00A552C3">
                    <w:rPr>
                      <w:i/>
                      <w:iCs/>
                      <w:sz w:val="20"/>
                    </w:rPr>
                    <w:t xml:space="preserve">d. </w:t>
                  </w:r>
                  <w:r w:rsidRPr="00A552C3">
                    <w:rPr>
                      <w:iCs/>
                      <w:sz w:val="20"/>
                    </w:rPr>
                    <w:t xml:space="preserve"> Where for a Combined Cycle Train, Resource</w:t>
                  </w:r>
                  <w:r w:rsidRPr="00A552C3">
                    <w:rPr>
                      <w:i/>
                      <w:iCs/>
                      <w:sz w:val="20"/>
                    </w:rPr>
                    <w:t xml:space="preserve"> r </w:t>
                  </w:r>
                  <w:r w:rsidRPr="00A552C3">
                    <w:rPr>
                      <w:iCs/>
                      <w:sz w:val="20"/>
                    </w:rPr>
                    <w:t>is the Combined Cycle Train.</w:t>
                  </w:r>
                </w:p>
              </w:tc>
            </w:tr>
            <w:tr w:rsidR="003B46CE" w:rsidRPr="00A552C3" w14:paraId="2EEFEFE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9F44E55" w14:textId="77777777" w:rsidR="003B46CE" w:rsidRPr="00A552C3" w:rsidRDefault="003B46CE" w:rsidP="003B46CE">
                  <w:pPr>
                    <w:spacing w:after="60"/>
                    <w:rPr>
                      <w:iCs/>
                      <w:sz w:val="20"/>
                    </w:rPr>
                  </w:pPr>
                  <w:r w:rsidRPr="00A552C3">
                    <w:rPr>
                      <w:iCs/>
                      <w:sz w:val="20"/>
                    </w:rPr>
                    <w:lastRenderedPageBreak/>
                    <w:t xml:space="preserve">GASPERSU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3C6DF077"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60AEDA0C" w14:textId="77777777" w:rsidR="003B46CE" w:rsidRPr="00A552C3" w:rsidRDefault="003B46CE" w:rsidP="003B46CE">
                  <w:pPr>
                    <w:spacing w:after="60"/>
                    <w:rPr>
                      <w:i/>
                      <w:iCs/>
                      <w:sz w:val="20"/>
                    </w:rPr>
                  </w:pPr>
                  <w:r w:rsidRPr="00A552C3">
                    <w:rPr>
                      <w:i/>
                      <w:iCs/>
                      <w:sz w:val="20"/>
                    </w:rPr>
                    <w:t>Percent of Natural Gas to Operate per Start</w:t>
                  </w:r>
                  <w:r w:rsidRPr="00A552C3">
                    <w:rPr>
                      <w:iCs/>
                      <w:sz w:val="20"/>
                    </w:rPr>
                    <w:t xml:space="preserve">—The percentage of natural gas used by Resource </w:t>
                  </w:r>
                  <w:r w:rsidRPr="00A552C3">
                    <w:rPr>
                      <w:i/>
                      <w:iCs/>
                      <w:sz w:val="20"/>
                    </w:rPr>
                    <w:t>r</w:t>
                  </w:r>
                  <w:r w:rsidRPr="00A552C3">
                    <w:rPr>
                      <w:iCs/>
                      <w:sz w:val="20"/>
                    </w:rPr>
                    <w:t xml:space="preserve"> to operate per start </w:t>
                  </w:r>
                  <w:r w:rsidRPr="00A552C3">
                    <w:rPr>
                      <w:i/>
                      <w:iCs/>
                      <w:sz w:val="20"/>
                    </w:rPr>
                    <w:t>s</w:t>
                  </w:r>
                  <w:r w:rsidRPr="00A552C3">
                    <w:rPr>
                      <w:iCs/>
                      <w:sz w:val="20"/>
                    </w:rPr>
                    <w:t xml:space="preserve">,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088A2DF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5D24555" w14:textId="77777777" w:rsidR="003B46CE" w:rsidRPr="00A552C3" w:rsidRDefault="003B46CE" w:rsidP="003B46CE">
                  <w:pPr>
                    <w:spacing w:after="60"/>
                    <w:rPr>
                      <w:iCs/>
                      <w:sz w:val="20"/>
                    </w:rPr>
                  </w:pPr>
                  <w:r w:rsidRPr="00A552C3">
                    <w:rPr>
                      <w:iCs/>
                      <w:sz w:val="20"/>
                    </w:rPr>
                    <w:t xml:space="preserve">OILPERSU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2EBAA95E"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4A004CAC" w14:textId="77777777" w:rsidR="003B46CE" w:rsidRPr="00A552C3" w:rsidRDefault="003B46CE" w:rsidP="003B46CE">
                  <w:pPr>
                    <w:spacing w:after="60"/>
                    <w:rPr>
                      <w:i/>
                      <w:iCs/>
                      <w:sz w:val="20"/>
                    </w:rPr>
                  </w:pPr>
                  <w:r w:rsidRPr="00A552C3">
                    <w:rPr>
                      <w:i/>
                      <w:iCs/>
                      <w:sz w:val="20"/>
                    </w:rPr>
                    <w:t>Percent of Oil to Operate per Start</w:t>
                  </w:r>
                  <w:r w:rsidRPr="00A552C3">
                    <w:rPr>
                      <w:iCs/>
                      <w:sz w:val="20"/>
                    </w:rPr>
                    <w:t xml:space="preserve">—The percentage of fuel oil used by Resource </w:t>
                  </w:r>
                  <w:r w:rsidRPr="00A552C3">
                    <w:rPr>
                      <w:i/>
                      <w:iCs/>
                      <w:sz w:val="20"/>
                    </w:rPr>
                    <w:t>r</w:t>
                  </w:r>
                  <w:r w:rsidRPr="00A552C3">
                    <w:rPr>
                      <w:iCs/>
                      <w:sz w:val="20"/>
                    </w:rPr>
                    <w:t xml:space="preserve"> to operate per start </w:t>
                  </w:r>
                  <w:r w:rsidRPr="00A552C3">
                    <w:rPr>
                      <w:i/>
                      <w:iCs/>
                      <w:sz w:val="20"/>
                    </w:rPr>
                    <w:t>s</w:t>
                  </w:r>
                  <w:r w:rsidRPr="00A552C3">
                    <w:rPr>
                      <w:iCs/>
                      <w:sz w:val="20"/>
                    </w:rPr>
                    <w:t xml:space="preserve">,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3AB36C9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81126A8" w14:textId="77777777" w:rsidR="003B46CE" w:rsidRPr="00A552C3" w:rsidRDefault="003B46CE" w:rsidP="003B46CE">
                  <w:pPr>
                    <w:spacing w:after="60"/>
                    <w:rPr>
                      <w:iCs/>
                      <w:sz w:val="20"/>
                    </w:rPr>
                  </w:pPr>
                  <w:r w:rsidRPr="00A552C3">
                    <w:rPr>
                      <w:iCs/>
                      <w:sz w:val="20"/>
                    </w:rPr>
                    <w:t xml:space="preserve">SFPERSU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0504C60A"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232E1A4B" w14:textId="77777777" w:rsidR="003B46CE" w:rsidRPr="00A552C3" w:rsidRDefault="003B46CE" w:rsidP="003B46CE">
                  <w:pPr>
                    <w:spacing w:after="60"/>
                    <w:rPr>
                      <w:i/>
                      <w:iCs/>
                      <w:sz w:val="20"/>
                    </w:rPr>
                  </w:pPr>
                  <w:r w:rsidRPr="00A552C3">
                    <w:rPr>
                      <w:i/>
                      <w:iCs/>
                      <w:sz w:val="20"/>
                    </w:rPr>
                    <w:t>Percent of Solid Fuel to Operate per Start</w:t>
                  </w:r>
                  <w:r w:rsidRPr="00A552C3">
                    <w:rPr>
                      <w:iCs/>
                      <w:sz w:val="20"/>
                    </w:rPr>
                    <w:t xml:space="preserve">—The percentage of solid fuel used by Resource </w:t>
                  </w:r>
                  <w:r w:rsidRPr="00A552C3">
                    <w:rPr>
                      <w:i/>
                      <w:iCs/>
                      <w:sz w:val="20"/>
                    </w:rPr>
                    <w:t>r</w:t>
                  </w:r>
                  <w:r w:rsidRPr="00A552C3">
                    <w:rPr>
                      <w:iCs/>
                      <w:sz w:val="20"/>
                    </w:rPr>
                    <w:t xml:space="preserve"> to operate per start </w:t>
                  </w:r>
                  <w:r w:rsidRPr="00A552C3">
                    <w:rPr>
                      <w:i/>
                      <w:iCs/>
                      <w:sz w:val="20"/>
                    </w:rPr>
                    <w:t>s</w:t>
                  </w:r>
                  <w:r w:rsidRPr="00A552C3">
                    <w:rPr>
                      <w:iCs/>
                      <w:sz w:val="20"/>
                    </w:rPr>
                    <w:t xml:space="preserve">,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300F637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05A93D0" w14:textId="77777777" w:rsidR="003B46CE" w:rsidRPr="00A552C3" w:rsidRDefault="003B46CE" w:rsidP="003B46CE">
                  <w:pPr>
                    <w:spacing w:after="60"/>
                    <w:rPr>
                      <w:iCs/>
                      <w:sz w:val="20"/>
                    </w:rPr>
                  </w:pPr>
                  <w:r w:rsidRPr="00A552C3">
                    <w:rPr>
                      <w:iCs/>
                      <w:sz w:val="20"/>
                    </w:rPr>
                    <w:t xml:space="preserve">GASPERME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DE53EB1"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5EA30BFA" w14:textId="77777777" w:rsidR="003B46CE" w:rsidRPr="00A552C3" w:rsidRDefault="003B46CE" w:rsidP="003B46CE">
                  <w:pPr>
                    <w:spacing w:after="60"/>
                    <w:rPr>
                      <w:iCs/>
                      <w:sz w:val="20"/>
                    </w:rPr>
                  </w:pPr>
                  <w:r w:rsidRPr="00A552C3">
                    <w:rPr>
                      <w:i/>
                      <w:iCs/>
                      <w:sz w:val="20"/>
                    </w:rPr>
                    <w:t>Percent of Natural Gas to Operate at LSL</w:t>
                  </w:r>
                  <w:r w:rsidRPr="00A552C3">
                    <w:rPr>
                      <w:iCs/>
                      <w:sz w:val="20"/>
                    </w:rPr>
                    <w:t xml:space="preserve">—The percentage of natural gas used by Resource </w:t>
                  </w:r>
                  <w:r w:rsidRPr="00A552C3">
                    <w:rPr>
                      <w:i/>
                      <w:iCs/>
                      <w:sz w:val="20"/>
                    </w:rPr>
                    <w:t>r</w:t>
                  </w:r>
                  <w:r w:rsidRPr="00A552C3">
                    <w:rPr>
                      <w:iCs/>
                      <w:sz w:val="20"/>
                    </w:rPr>
                    <w:t xml:space="preserve"> to operate at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7D5F7015"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966B5EC" w14:textId="77777777" w:rsidR="003B46CE" w:rsidRPr="00A552C3" w:rsidRDefault="003B46CE" w:rsidP="003B46CE">
                  <w:pPr>
                    <w:spacing w:after="60"/>
                    <w:rPr>
                      <w:iCs/>
                      <w:sz w:val="20"/>
                    </w:rPr>
                  </w:pPr>
                  <w:r w:rsidRPr="00A552C3">
                    <w:rPr>
                      <w:iCs/>
                      <w:sz w:val="20"/>
                    </w:rPr>
                    <w:t xml:space="preserve">OILPERME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45E10B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37B3876F" w14:textId="77777777" w:rsidR="003B46CE" w:rsidRPr="00A552C3" w:rsidRDefault="003B46CE" w:rsidP="003B46CE">
                  <w:pPr>
                    <w:spacing w:after="60"/>
                    <w:rPr>
                      <w:iCs/>
                      <w:sz w:val="20"/>
                    </w:rPr>
                  </w:pPr>
                  <w:r w:rsidRPr="00A552C3">
                    <w:rPr>
                      <w:i/>
                      <w:iCs/>
                      <w:sz w:val="20"/>
                    </w:rPr>
                    <w:t>Percent of Oil to Operate at LSL</w:t>
                  </w:r>
                  <w:r w:rsidRPr="00A552C3">
                    <w:rPr>
                      <w:iCs/>
                      <w:sz w:val="20"/>
                    </w:rPr>
                    <w:t xml:space="preserve">—The percentage of fuel oil used by Resource </w:t>
                  </w:r>
                  <w:r w:rsidRPr="00A552C3">
                    <w:rPr>
                      <w:i/>
                      <w:iCs/>
                      <w:sz w:val="20"/>
                    </w:rPr>
                    <w:t>r</w:t>
                  </w:r>
                  <w:r w:rsidRPr="00A552C3">
                    <w:rPr>
                      <w:iCs/>
                      <w:sz w:val="20"/>
                    </w:rPr>
                    <w:t xml:space="preserve"> to operate at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37FD441E"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15BCFC3" w14:textId="77777777" w:rsidR="003B46CE" w:rsidRPr="00A552C3" w:rsidRDefault="003B46CE" w:rsidP="003B46CE">
                  <w:pPr>
                    <w:spacing w:after="60"/>
                    <w:rPr>
                      <w:iCs/>
                      <w:sz w:val="20"/>
                    </w:rPr>
                  </w:pPr>
                  <w:r w:rsidRPr="00A552C3">
                    <w:rPr>
                      <w:iCs/>
                      <w:sz w:val="20"/>
                    </w:rPr>
                    <w:t xml:space="preserve">SFPERME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A3E48AD" w14:textId="77777777" w:rsidR="003B46CE" w:rsidRPr="00A552C3" w:rsidRDefault="003B46CE" w:rsidP="003B46CE">
                  <w:pPr>
                    <w:spacing w:after="60"/>
                    <w:rPr>
                      <w:iCs/>
                      <w:sz w:val="20"/>
                    </w:rPr>
                  </w:pPr>
                  <w:r w:rsidRPr="00A552C3">
                    <w:rPr>
                      <w:iCs/>
                      <w:sz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5276F0B5" w14:textId="77777777" w:rsidR="003B46CE" w:rsidRPr="00A552C3" w:rsidRDefault="003B46CE" w:rsidP="003B46CE">
                  <w:pPr>
                    <w:spacing w:after="60"/>
                    <w:rPr>
                      <w:iCs/>
                      <w:sz w:val="20"/>
                    </w:rPr>
                  </w:pPr>
                  <w:r w:rsidRPr="00A552C3">
                    <w:rPr>
                      <w:i/>
                      <w:iCs/>
                      <w:sz w:val="20"/>
                    </w:rPr>
                    <w:t>Percent of Solid Fuel to Operate at LSL</w:t>
                  </w:r>
                  <w:r w:rsidRPr="00A552C3">
                    <w:rPr>
                      <w:iCs/>
                      <w:sz w:val="20"/>
                    </w:rPr>
                    <w:t xml:space="preserve">—The percentage of solid fuel used by Resource </w:t>
                  </w:r>
                  <w:r w:rsidRPr="00A552C3">
                    <w:rPr>
                      <w:i/>
                      <w:iCs/>
                      <w:sz w:val="20"/>
                    </w:rPr>
                    <w:t>r</w:t>
                  </w:r>
                  <w:r w:rsidRPr="00A552C3">
                    <w:rPr>
                      <w:iCs/>
                      <w:sz w:val="20"/>
                    </w:rPr>
                    <w:t xml:space="preserve"> to operate at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1B293C6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A2B101D" w14:textId="77777777" w:rsidR="003B46CE" w:rsidRPr="00A552C3" w:rsidRDefault="003B46CE" w:rsidP="003B46CE">
                  <w:pPr>
                    <w:spacing w:after="60"/>
                    <w:rPr>
                      <w:iCs/>
                      <w:sz w:val="20"/>
                    </w:rPr>
                  </w:pPr>
                  <w:r w:rsidRPr="00A552C3">
                    <w:rPr>
                      <w:iCs/>
                      <w:sz w:val="20"/>
                    </w:rPr>
                    <w:t xml:space="preserve">DAFCRS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3115DA83" w14:textId="77777777" w:rsidR="003B46CE" w:rsidRPr="00A552C3" w:rsidRDefault="003B46CE" w:rsidP="003B46CE">
                  <w:pPr>
                    <w:spacing w:after="60"/>
                    <w:rPr>
                      <w:iCs/>
                      <w:sz w:val="20"/>
                    </w:rPr>
                  </w:pPr>
                  <w:r w:rsidRPr="00A552C3">
                    <w:rPr>
                      <w:iCs/>
                      <w:sz w:val="20"/>
                    </w:rPr>
                    <w:t>MMBtu/Start</w:t>
                  </w:r>
                </w:p>
              </w:tc>
              <w:tc>
                <w:tcPr>
                  <w:tcW w:w="3342" w:type="pct"/>
                  <w:tcBorders>
                    <w:top w:val="single" w:sz="6" w:space="0" w:color="auto"/>
                    <w:left w:val="single" w:sz="6" w:space="0" w:color="auto"/>
                    <w:bottom w:val="single" w:sz="6" w:space="0" w:color="auto"/>
                    <w:right w:val="single" w:sz="4" w:space="0" w:color="auto"/>
                  </w:tcBorders>
                </w:tcPr>
                <w:p w14:paraId="2E6CB359" w14:textId="77777777" w:rsidR="003B46CE" w:rsidRPr="00A552C3" w:rsidRDefault="003B46CE" w:rsidP="003B46CE">
                  <w:pPr>
                    <w:spacing w:after="60"/>
                    <w:rPr>
                      <w:i/>
                      <w:iCs/>
                      <w:sz w:val="20"/>
                    </w:rPr>
                  </w:pPr>
                  <w:r w:rsidRPr="00A552C3">
                    <w:rPr>
                      <w:i/>
                      <w:iCs/>
                      <w:sz w:val="20"/>
                    </w:rPr>
                    <w:t>Day-Ahead Actual Fuel Consumption Rate per Start</w:t>
                  </w:r>
                  <w:r w:rsidRPr="00A552C3">
                    <w:rPr>
                      <w:iCs/>
                      <w:sz w:val="20"/>
                    </w:rPr>
                    <w:t xml:space="preserve">—The actual fuel consumption rate for Resource </w:t>
                  </w:r>
                  <w:r w:rsidRPr="00A552C3">
                    <w:rPr>
                      <w:i/>
                      <w:iCs/>
                      <w:sz w:val="20"/>
                    </w:rPr>
                    <w:t>r</w:t>
                  </w:r>
                  <w:r w:rsidRPr="00A552C3">
                    <w:rPr>
                      <w:iCs/>
                      <w:sz w:val="20"/>
                    </w:rPr>
                    <w:t xml:space="preserve"> to startup per start type </w:t>
                  </w:r>
                  <w:r w:rsidRPr="00A552C3">
                    <w:rPr>
                      <w:i/>
                      <w:iCs/>
                      <w:sz w:val="20"/>
                    </w:rPr>
                    <w:t>s</w:t>
                  </w:r>
                  <w:r w:rsidRPr="00A552C3">
                    <w:rPr>
                      <w:iCs/>
                      <w:sz w:val="20"/>
                    </w:rPr>
                    <w:t xml:space="preserve">, adjusted by VOXR as defined in the Verifiable Cost Manual.  Where for a Combined Cycle Train, the Resource </w:t>
                  </w:r>
                  <w:r w:rsidRPr="00A552C3">
                    <w:rPr>
                      <w:i/>
                      <w:iCs/>
                      <w:sz w:val="20"/>
                    </w:rPr>
                    <w:t>r</w:t>
                  </w:r>
                  <w:r w:rsidRPr="00A552C3">
                    <w:rPr>
                      <w:iCs/>
                      <w:sz w:val="20"/>
                    </w:rPr>
                    <w:t xml:space="preserve"> is a Combined Cycle Generation Resource within the Combined Cycle Train.  For additional information, see Verifiable Cost Manual Section 3.3, Startup Fuel Consumption.</w:t>
                  </w:r>
                </w:p>
              </w:tc>
            </w:tr>
            <w:tr w:rsidR="003B46CE" w:rsidRPr="00A552C3" w14:paraId="4DA7F173"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7FF9B9B" w14:textId="77777777" w:rsidR="003B46CE" w:rsidRPr="00A552C3" w:rsidRDefault="003B46CE" w:rsidP="003B46CE">
                  <w:pPr>
                    <w:spacing w:after="60"/>
                    <w:rPr>
                      <w:iCs/>
                      <w:sz w:val="20"/>
                    </w:rPr>
                  </w:pPr>
                  <w:r w:rsidRPr="00A552C3">
                    <w:rPr>
                      <w:iCs/>
                      <w:sz w:val="20"/>
                    </w:rPr>
                    <w:t xml:space="preserve">VOMS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4014EC4" w14:textId="77777777" w:rsidR="003B46CE" w:rsidRPr="00A552C3" w:rsidRDefault="003B46CE" w:rsidP="003B46CE">
                  <w:pPr>
                    <w:spacing w:after="60"/>
                    <w:rPr>
                      <w:iCs/>
                      <w:sz w:val="20"/>
                    </w:rPr>
                  </w:pPr>
                  <w:r w:rsidRPr="00A552C3">
                    <w:rPr>
                      <w:sz w:val="20"/>
                    </w:rPr>
                    <w:t>$/Start</w:t>
                  </w:r>
                </w:p>
              </w:tc>
              <w:tc>
                <w:tcPr>
                  <w:tcW w:w="3342" w:type="pct"/>
                  <w:tcBorders>
                    <w:top w:val="single" w:sz="6" w:space="0" w:color="auto"/>
                    <w:left w:val="single" w:sz="6" w:space="0" w:color="auto"/>
                    <w:bottom w:val="single" w:sz="6" w:space="0" w:color="auto"/>
                    <w:right w:val="single" w:sz="4" w:space="0" w:color="auto"/>
                  </w:tcBorders>
                </w:tcPr>
                <w:p w14:paraId="01379DA8" w14:textId="77777777" w:rsidR="003B46CE" w:rsidRPr="00A552C3" w:rsidRDefault="003B46CE" w:rsidP="003B46CE">
                  <w:pPr>
                    <w:spacing w:after="60"/>
                    <w:rPr>
                      <w:i/>
                      <w:iCs/>
                      <w:sz w:val="20"/>
                    </w:rPr>
                  </w:pPr>
                  <w:r w:rsidRPr="00A552C3">
                    <w:rPr>
                      <w:i/>
                      <w:sz w:val="20"/>
                    </w:rPr>
                    <w:t>Variable Operations and Maintenance Cost per Start</w:t>
                  </w:r>
                  <w:r w:rsidRPr="00A552C3">
                    <w:rPr>
                      <w:iCs/>
                      <w:sz w:val="20"/>
                    </w:rPr>
                    <w:t>—</w:t>
                  </w:r>
                  <w:r w:rsidRPr="00A552C3">
                    <w:rPr>
                      <w:sz w:val="20"/>
                    </w:rPr>
                    <w:t xml:space="preserve">The operations and maintenance cost for Resource </w:t>
                  </w:r>
                  <w:r w:rsidRPr="00A552C3">
                    <w:rPr>
                      <w:i/>
                      <w:sz w:val="20"/>
                    </w:rPr>
                    <w:t>r</w:t>
                  </w:r>
                  <w:r w:rsidRPr="00A552C3">
                    <w:rPr>
                      <w:sz w:val="20"/>
                    </w:rPr>
                    <w:t xml:space="preserve"> to startup, per start </w:t>
                  </w:r>
                  <w:r w:rsidRPr="00A552C3">
                    <w:rPr>
                      <w:i/>
                      <w:sz w:val="20"/>
                    </w:rPr>
                    <w:t>s</w:t>
                  </w:r>
                  <w:r w:rsidRPr="00A552C3">
                    <w:rPr>
                      <w:sz w:val="20"/>
                    </w:rPr>
                    <w:t xml:space="preserve">, including an adjustment for emissions costs.  Where for a Combined Cycle Train, the Resource </w:t>
                  </w:r>
                  <w:r w:rsidRPr="00A552C3">
                    <w:rPr>
                      <w:i/>
                      <w:sz w:val="20"/>
                    </w:rPr>
                    <w:t>r</w:t>
                  </w:r>
                  <w:r w:rsidRPr="00A552C3">
                    <w:rPr>
                      <w:sz w:val="20"/>
                    </w:rPr>
                    <w:t xml:space="preserve"> is a Combined Cycle Generation Resource within the Combined Cycle Train.  For additional information, see Verifiable Cost Manual Section 3.2, Submitting Startup Costs.</w:t>
                  </w:r>
                </w:p>
              </w:tc>
            </w:tr>
            <w:tr w:rsidR="003B46CE" w:rsidRPr="00A552C3" w14:paraId="5D4BB63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EE6A431" w14:textId="77777777" w:rsidR="003B46CE" w:rsidRPr="00A552C3" w:rsidRDefault="003B46CE" w:rsidP="003B46CE">
                  <w:pPr>
                    <w:spacing w:after="60"/>
                    <w:rPr>
                      <w:iCs/>
                      <w:sz w:val="20"/>
                    </w:rPr>
                  </w:pPr>
                  <w:r w:rsidRPr="00A552C3">
                    <w:rPr>
                      <w:iCs/>
                      <w:sz w:val="20"/>
                    </w:rPr>
                    <w:t xml:space="preserve">VOMLSL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3135C1D2"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76595CD8" w14:textId="77777777" w:rsidR="003B46CE" w:rsidRPr="00A552C3" w:rsidRDefault="003B46CE" w:rsidP="003B46CE">
                  <w:pPr>
                    <w:spacing w:after="60"/>
                    <w:rPr>
                      <w:i/>
                      <w:iCs/>
                      <w:sz w:val="20"/>
                    </w:rPr>
                  </w:pPr>
                  <w:r w:rsidRPr="00A552C3">
                    <w:rPr>
                      <w:i/>
                      <w:iCs/>
                      <w:sz w:val="20"/>
                    </w:rPr>
                    <w:t>Variable Operations and Maintenance Cost at LSL</w:t>
                  </w:r>
                  <w:r w:rsidRPr="00A552C3">
                    <w:rPr>
                      <w:iCs/>
                      <w:sz w:val="20"/>
                    </w:rPr>
                    <w:t xml:space="preserve">—The operations and maintenance cost for Resource </w:t>
                  </w:r>
                  <w:r w:rsidRPr="00A552C3">
                    <w:rPr>
                      <w:i/>
                      <w:iCs/>
                      <w:sz w:val="20"/>
                    </w:rPr>
                    <w:t>r</w:t>
                  </w:r>
                  <w:r w:rsidRPr="00A552C3">
                    <w:rPr>
                      <w:iCs/>
                      <w:sz w:val="20"/>
                    </w:rPr>
                    <w:t xml:space="preserve"> to operate at LSL, including an adjustment for emissions costs.  Where for a Combined Cycle Train, the Resource </w:t>
                  </w:r>
                  <w:r w:rsidRPr="00A552C3">
                    <w:rPr>
                      <w:i/>
                      <w:iCs/>
                      <w:sz w:val="20"/>
                    </w:rPr>
                    <w:t>r</w:t>
                  </w:r>
                  <w:r w:rsidRPr="00A552C3">
                    <w:rPr>
                      <w:iCs/>
                      <w:sz w:val="20"/>
                    </w:rPr>
                    <w:t xml:space="preserve"> is a Combined Cycle Generation Resource within the Combined Cycle Train.  For additional information, see Verifiable Cost Manual Section 4.2, Submitting Minimum Energy Costs.</w:t>
                  </w:r>
                </w:p>
              </w:tc>
            </w:tr>
            <w:tr w:rsidR="003B46CE" w:rsidRPr="00A552C3" w14:paraId="0A52EDC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C9A3D9D" w14:textId="77777777" w:rsidR="003B46CE" w:rsidRPr="00A552C3" w:rsidRDefault="003B46CE" w:rsidP="003B46CE">
                  <w:pPr>
                    <w:spacing w:after="60"/>
                    <w:rPr>
                      <w:iCs/>
                      <w:sz w:val="20"/>
                    </w:rPr>
                  </w:pPr>
                  <w:r w:rsidRPr="00A552C3">
                    <w:rPr>
                      <w:iCs/>
                      <w:sz w:val="20"/>
                    </w:rPr>
                    <w:t xml:space="preserve">LSL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43A7D84" w14:textId="77777777" w:rsidR="003B46CE" w:rsidRPr="00A552C3" w:rsidRDefault="003B46CE" w:rsidP="003B46CE">
                  <w:pPr>
                    <w:spacing w:after="60"/>
                    <w:rPr>
                      <w:iCs/>
                      <w:sz w:val="20"/>
                    </w:rPr>
                  </w:pPr>
                  <w:r w:rsidRPr="00A552C3">
                    <w:rPr>
                      <w:iCs/>
                      <w:sz w:val="20"/>
                    </w:rPr>
                    <w:t>MW</w:t>
                  </w:r>
                </w:p>
              </w:tc>
              <w:tc>
                <w:tcPr>
                  <w:tcW w:w="3342" w:type="pct"/>
                  <w:tcBorders>
                    <w:top w:val="single" w:sz="6" w:space="0" w:color="auto"/>
                    <w:left w:val="single" w:sz="6" w:space="0" w:color="auto"/>
                    <w:bottom w:val="single" w:sz="6" w:space="0" w:color="auto"/>
                    <w:right w:val="single" w:sz="4" w:space="0" w:color="auto"/>
                  </w:tcBorders>
                </w:tcPr>
                <w:p w14:paraId="52EDDD63" w14:textId="77777777" w:rsidR="003B46CE" w:rsidRPr="00A552C3" w:rsidRDefault="003B46CE" w:rsidP="003B46CE">
                  <w:pPr>
                    <w:spacing w:after="60"/>
                    <w:rPr>
                      <w:i/>
                      <w:iCs/>
                      <w:sz w:val="20"/>
                    </w:rPr>
                  </w:pPr>
                  <w:r w:rsidRPr="00A552C3">
                    <w:rPr>
                      <w:i/>
                      <w:iCs/>
                      <w:sz w:val="20"/>
                    </w:rPr>
                    <w:t>Low Sustained Limit</w:t>
                  </w:r>
                  <w:r w:rsidRPr="00A552C3">
                    <w:rPr>
                      <w:iCs/>
                      <w:sz w:val="20"/>
                    </w:rPr>
                    <w:t xml:space="preserve">—The LSL of Generation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hour that includes the Settlement Interval </w:t>
                  </w:r>
                  <w:r w:rsidRPr="00A552C3">
                    <w:rPr>
                      <w:i/>
                      <w:iCs/>
                      <w:sz w:val="20"/>
                    </w:rPr>
                    <w:t>i</w:t>
                  </w:r>
                  <w:r w:rsidRPr="00A552C3">
                    <w:rPr>
                      <w:iCs/>
                      <w:sz w:val="20"/>
                    </w:rPr>
                    <w:t xml:space="preserve">, as submitted in the COP.  Where for a Combined Cycle Train, the Resource </w:t>
                  </w:r>
                  <w:r w:rsidRPr="00A552C3">
                    <w:rPr>
                      <w:i/>
                      <w:iCs/>
                      <w:sz w:val="20"/>
                    </w:rPr>
                    <w:t>r</w:t>
                  </w:r>
                  <w:r w:rsidRPr="00A552C3">
                    <w:rPr>
                      <w:iCs/>
                      <w:sz w:val="20"/>
                    </w:rPr>
                    <w:t xml:space="preserve"> is a Combined Cycle Generation Resource within the Combined Cycle Train.  </w:t>
                  </w:r>
                </w:p>
              </w:tc>
            </w:tr>
            <w:tr w:rsidR="003B46CE" w:rsidRPr="00A552C3" w14:paraId="7290A5A2"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A793B85" w14:textId="77777777" w:rsidR="003B46CE" w:rsidRPr="00A552C3" w:rsidRDefault="003B46CE" w:rsidP="003B46CE">
                  <w:pPr>
                    <w:spacing w:after="60"/>
                    <w:rPr>
                      <w:iCs/>
                      <w:sz w:val="20"/>
                    </w:rPr>
                  </w:pPr>
                  <w:r w:rsidRPr="00A552C3">
                    <w:rPr>
                      <w:iCs/>
                      <w:sz w:val="20"/>
                    </w:rPr>
                    <w:lastRenderedPageBreak/>
                    <w:t xml:space="preserve">RTMG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7ED2EB1"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3124F9D1" w14:textId="77777777" w:rsidR="003B46CE" w:rsidRPr="00A552C3" w:rsidRDefault="003B46CE" w:rsidP="003B46CE">
                  <w:pPr>
                    <w:spacing w:after="60"/>
                    <w:rPr>
                      <w:i/>
                      <w:iCs/>
                      <w:sz w:val="20"/>
                    </w:rPr>
                  </w:pPr>
                  <w:r w:rsidRPr="00A552C3">
                    <w:rPr>
                      <w:i/>
                      <w:iCs/>
                      <w:sz w:val="20"/>
                    </w:rPr>
                    <w:t>Real-Time Metered Generation per QSE per Resource by Settlement Interval by hour</w:t>
                  </w:r>
                  <w:r w:rsidRPr="00A552C3">
                    <w:rPr>
                      <w:iCs/>
                      <w:sz w:val="20"/>
                    </w:rPr>
                    <w:t xml:space="preserve">—The Real-Time energy from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t>
                  </w:r>
                  <w:r w:rsidRPr="00A552C3">
                    <w:rPr>
                      <w:i/>
                      <w:iCs/>
                      <w:sz w:val="20"/>
                    </w:rPr>
                    <w:t>i</w:t>
                  </w:r>
                  <w:r w:rsidRPr="00A552C3">
                    <w:rPr>
                      <w:iCs/>
                      <w:sz w:val="20"/>
                    </w:rPr>
                    <w:t xml:space="preserve">.  Where for a Combined Cycle Train, the Resource </w:t>
                  </w:r>
                  <w:r w:rsidRPr="00A552C3">
                    <w:rPr>
                      <w:i/>
                      <w:iCs/>
                      <w:sz w:val="20"/>
                    </w:rPr>
                    <w:t>r</w:t>
                  </w:r>
                  <w:r w:rsidRPr="00A552C3">
                    <w:rPr>
                      <w:iCs/>
                      <w:sz w:val="20"/>
                    </w:rPr>
                    <w:t xml:space="preserve"> is the Combined Cycle Train.</w:t>
                  </w:r>
                </w:p>
              </w:tc>
            </w:tr>
            <w:tr w:rsidR="003B46CE" w:rsidRPr="00A552C3" w14:paraId="50B3839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22F2878" w14:textId="77777777" w:rsidR="003B46CE" w:rsidRPr="00A552C3" w:rsidRDefault="003B46CE" w:rsidP="003B46CE">
                  <w:pPr>
                    <w:spacing w:after="60"/>
                    <w:rPr>
                      <w:iCs/>
                      <w:sz w:val="20"/>
                    </w:rPr>
                  </w:pPr>
                  <w:r w:rsidRPr="00A552C3">
                    <w:rPr>
                      <w:iCs/>
                      <w:sz w:val="20"/>
                    </w:rPr>
                    <w:t xml:space="preserve">AHR </w:t>
                  </w:r>
                  <w:r w:rsidRPr="00A552C3">
                    <w:rPr>
                      <w:i/>
                      <w:iCs/>
                      <w:sz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6305DBB" w14:textId="77777777" w:rsidR="003B46CE" w:rsidRPr="00A552C3" w:rsidRDefault="003B46CE" w:rsidP="003B46CE">
                  <w:pPr>
                    <w:spacing w:after="60"/>
                    <w:rPr>
                      <w:iCs/>
                      <w:sz w:val="20"/>
                    </w:rPr>
                  </w:pPr>
                  <w:r w:rsidRPr="00A552C3">
                    <w:rPr>
                      <w:iCs/>
                      <w:sz w:val="20"/>
                    </w:rPr>
                    <w:t>MMBtu / MWh</w:t>
                  </w:r>
                </w:p>
              </w:tc>
              <w:tc>
                <w:tcPr>
                  <w:tcW w:w="3342" w:type="pct"/>
                  <w:tcBorders>
                    <w:top w:val="single" w:sz="6" w:space="0" w:color="auto"/>
                    <w:left w:val="single" w:sz="6" w:space="0" w:color="auto"/>
                    <w:bottom w:val="single" w:sz="6" w:space="0" w:color="auto"/>
                    <w:right w:val="single" w:sz="4" w:space="0" w:color="auto"/>
                  </w:tcBorders>
                </w:tcPr>
                <w:p w14:paraId="1888BC7B" w14:textId="77777777" w:rsidR="003B46CE" w:rsidRPr="00A552C3" w:rsidRDefault="003B46CE" w:rsidP="003B46CE">
                  <w:pPr>
                    <w:spacing w:after="60"/>
                    <w:rPr>
                      <w:i/>
                      <w:iCs/>
                      <w:sz w:val="20"/>
                    </w:rPr>
                  </w:pPr>
                  <w:r w:rsidRPr="00A552C3">
                    <w:rPr>
                      <w:i/>
                      <w:iCs/>
                      <w:sz w:val="20"/>
                    </w:rPr>
                    <w:t>Average Heat Rate per Resource</w:t>
                  </w:r>
                  <w:r w:rsidRPr="00A552C3">
                    <w:rPr>
                      <w:iCs/>
                      <w:sz w:val="20"/>
                    </w:rPr>
                    <w:t xml:space="preserve">– The verifiable average heat rate for the Resource </w:t>
                  </w:r>
                  <w:r w:rsidRPr="00A552C3">
                    <w:rPr>
                      <w:i/>
                      <w:iCs/>
                      <w:sz w:val="20"/>
                    </w:rPr>
                    <w:t>r</w:t>
                  </w:r>
                  <w:r w:rsidRPr="00A552C3">
                    <w:rPr>
                      <w:iCs/>
                      <w:sz w:val="20"/>
                    </w:rPr>
                    <w:t xml:space="preserve">, for the operating level, for the 15-minute Settlement Interval </w:t>
                  </w:r>
                  <w:r w:rsidRPr="00A552C3">
                    <w:rPr>
                      <w:i/>
                      <w:iCs/>
                      <w:sz w:val="20"/>
                    </w:rPr>
                    <w:t>i</w:t>
                  </w:r>
                  <w:r w:rsidRPr="00A552C3">
                    <w:rPr>
                      <w:iCs/>
                      <w:sz w:val="20"/>
                    </w:rPr>
                    <w:t xml:space="preserve">.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4D7458B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1CC0795" w14:textId="77777777" w:rsidR="003B46CE" w:rsidRPr="00A552C3" w:rsidRDefault="003B46CE" w:rsidP="003B46CE">
                  <w:pPr>
                    <w:spacing w:after="60"/>
                    <w:rPr>
                      <w:iCs/>
                      <w:sz w:val="20"/>
                    </w:rPr>
                  </w:pPr>
                  <w:r w:rsidRPr="00A552C3">
                    <w:rPr>
                      <w:iCs/>
                      <w:sz w:val="20"/>
                    </w:rPr>
                    <w:t xml:space="preserve">OM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B4B9CCB"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7ECB0463" w14:textId="77777777" w:rsidR="003B46CE" w:rsidRPr="00A552C3" w:rsidRDefault="003B46CE" w:rsidP="003B46CE">
                  <w:pPr>
                    <w:spacing w:after="60"/>
                    <w:rPr>
                      <w:i/>
                      <w:iCs/>
                      <w:sz w:val="20"/>
                    </w:rPr>
                  </w:pPr>
                  <w:r w:rsidRPr="00A552C3">
                    <w:rPr>
                      <w:i/>
                      <w:iCs/>
                      <w:sz w:val="20"/>
                    </w:rPr>
                    <w:t>Verifiable Operations and Maintenance Cost Above LSL</w:t>
                  </w:r>
                  <w:r w:rsidRPr="00A552C3">
                    <w:rPr>
                      <w:iCs/>
                      <w:sz w:val="20"/>
                    </w:rPr>
                    <w:t xml:space="preserve">– The O&amp;M cost for Resource </w:t>
                  </w:r>
                  <w:r w:rsidRPr="00A552C3">
                    <w:rPr>
                      <w:i/>
                      <w:iCs/>
                      <w:sz w:val="20"/>
                    </w:rPr>
                    <w:t>r</w:t>
                  </w:r>
                  <w:r w:rsidRPr="00A552C3">
                    <w:rPr>
                      <w:iCs/>
                      <w:sz w:val="20"/>
                    </w:rPr>
                    <w:t xml:space="preserve"> to operate above LSL.  Where for a Combined Cycle Train, the Resource </w:t>
                  </w:r>
                  <w:r w:rsidRPr="00A552C3">
                    <w:rPr>
                      <w:i/>
                      <w:iCs/>
                      <w:sz w:val="20"/>
                    </w:rPr>
                    <w:t>r</w:t>
                  </w:r>
                  <w:r w:rsidRPr="00A552C3">
                    <w:rPr>
                      <w:iCs/>
                      <w:sz w:val="20"/>
                    </w:rPr>
                    <w:t xml:space="preserve"> is a Combined Cycle Generation Resource within the Combined Cycle Train.  See the Verifiable Cost Manual for additional information. </w:t>
                  </w:r>
                </w:p>
              </w:tc>
            </w:tr>
            <w:tr w:rsidR="003B46CE" w:rsidRPr="00A552C3" w14:paraId="122BAE98"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37BCC48" w14:textId="77777777" w:rsidR="003B46CE" w:rsidRPr="00A552C3" w:rsidRDefault="003B46CE" w:rsidP="003B46CE">
                  <w:pPr>
                    <w:spacing w:after="60"/>
                    <w:rPr>
                      <w:iCs/>
                      <w:sz w:val="20"/>
                    </w:rPr>
                  </w:pPr>
                  <w:r w:rsidRPr="00A552C3">
                    <w:rPr>
                      <w:iCs/>
                      <w:sz w:val="20"/>
                    </w:rPr>
                    <w:t xml:space="preserve">SWIHR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3F58A64C"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46F077AB" w14:textId="77777777" w:rsidR="003B46CE" w:rsidRPr="00A552C3" w:rsidRDefault="003B46CE" w:rsidP="003B46CE">
                  <w:pPr>
                    <w:spacing w:after="60"/>
                    <w:rPr>
                      <w:iCs/>
                      <w:sz w:val="20"/>
                    </w:rPr>
                  </w:pPr>
                  <w:r w:rsidRPr="00A552C3">
                    <w:rPr>
                      <w:i/>
                      <w:iCs/>
                      <w:sz w:val="20"/>
                    </w:rPr>
                    <w:t>Switchable Generation Instructed Hours</w:t>
                  </w:r>
                  <w:r w:rsidRPr="00A552C3">
                    <w:rPr>
                      <w:iCs/>
                      <w:sz w:val="20"/>
                    </w:rPr>
                    <w:t xml:space="preserve">—The total number of Switchable Generation instructed hours,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Operating Day </w:t>
                  </w:r>
                  <w:r w:rsidRPr="00A552C3">
                    <w:rPr>
                      <w:i/>
                      <w:iCs/>
                      <w:sz w:val="20"/>
                    </w:rPr>
                    <w:t>d</w:t>
                  </w:r>
                  <w:r w:rsidRPr="00A552C3">
                    <w:rPr>
                      <w:iCs/>
                      <w:sz w:val="20"/>
                    </w:rPr>
                    <w:t>.  When one or more Combined Cycle Generation Resources are committed by ERCOT, the total number of instructed hours is calculated for the Combined Cycle Train for all switchable instructed Combined Cycle Generation Resources.</w:t>
                  </w:r>
                </w:p>
              </w:tc>
            </w:tr>
            <w:tr w:rsidR="003B46CE" w:rsidRPr="00A552C3" w14:paraId="022A832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0D5BE08" w14:textId="77777777" w:rsidR="003B46CE" w:rsidRPr="00A552C3" w:rsidRDefault="003B46CE" w:rsidP="003B46CE">
                  <w:pPr>
                    <w:spacing w:after="60"/>
                    <w:rPr>
                      <w:iCs/>
                      <w:sz w:val="20"/>
                    </w:rPr>
                  </w:pPr>
                  <w:r w:rsidRPr="00A552C3">
                    <w:rPr>
                      <w:iCs/>
                      <w:sz w:val="20"/>
                    </w:rPr>
                    <w:t>SFP</w:t>
                  </w:r>
                </w:p>
              </w:tc>
              <w:tc>
                <w:tcPr>
                  <w:tcW w:w="692" w:type="pct"/>
                  <w:tcBorders>
                    <w:top w:val="single" w:sz="6" w:space="0" w:color="auto"/>
                    <w:left w:val="single" w:sz="6" w:space="0" w:color="auto"/>
                    <w:bottom w:val="single" w:sz="6" w:space="0" w:color="auto"/>
                    <w:right w:val="single" w:sz="6" w:space="0" w:color="auto"/>
                  </w:tcBorders>
                </w:tcPr>
                <w:p w14:paraId="12E81752"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tcPr>
                <w:p w14:paraId="6CD3532B" w14:textId="77777777" w:rsidR="003B46CE" w:rsidRPr="00A552C3" w:rsidRDefault="003B46CE" w:rsidP="003B46CE">
                  <w:pPr>
                    <w:spacing w:after="60"/>
                    <w:rPr>
                      <w:i/>
                      <w:iCs/>
                      <w:sz w:val="20"/>
                    </w:rPr>
                  </w:pPr>
                  <w:r w:rsidRPr="00A552C3">
                    <w:rPr>
                      <w:iCs/>
                      <w:sz w:val="20"/>
                    </w:rPr>
                    <w:t xml:space="preserve">Solid Fuel Price—The solid fuel index price is $1.50.  </w:t>
                  </w:r>
                </w:p>
              </w:tc>
            </w:tr>
            <w:tr w:rsidR="003B46CE" w:rsidRPr="00A552C3" w14:paraId="62EFEF05"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3F6EDDA" w14:textId="77777777" w:rsidR="003B46CE" w:rsidRPr="00A552C3" w:rsidRDefault="003B46CE" w:rsidP="003B46CE">
                  <w:pPr>
                    <w:spacing w:after="60"/>
                    <w:rPr>
                      <w:iCs/>
                      <w:sz w:val="20"/>
                    </w:rPr>
                  </w:pPr>
                  <w:r w:rsidRPr="00A552C3">
                    <w:rPr>
                      <w:iCs/>
                      <w:sz w:val="20"/>
                    </w:rPr>
                    <w:t xml:space="preserve">GASPEROL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230F86E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25B66FE8" w14:textId="77777777" w:rsidR="003B46CE" w:rsidRPr="00A552C3" w:rsidRDefault="003B46CE" w:rsidP="003B46CE">
                  <w:pPr>
                    <w:spacing w:after="60"/>
                    <w:rPr>
                      <w:i/>
                      <w:iCs/>
                      <w:sz w:val="20"/>
                    </w:rPr>
                  </w:pPr>
                  <w:r w:rsidRPr="00A552C3">
                    <w:rPr>
                      <w:i/>
                      <w:iCs/>
                      <w:sz w:val="20"/>
                    </w:rPr>
                    <w:t>Percent of Natural Gas to Operate Above LSL</w:t>
                  </w:r>
                  <w:r w:rsidRPr="00A552C3">
                    <w:rPr>
                      <w:iCs/>
                      <w:sz w:val="20"/>
                    </w:rPr>
                    <w:t xml:space="preserve">—The percentage of natural gas used by Resource </w:t>
                  </w:r>
                  <w:r w:rsidRPr="00A552C3">
                    <w:rPr>
                      <w:i/>
                      <w:iCs/>
                      <w:sz w:val="20"/>
                    </w:rPr>
                    <w:t xml:space="preserve">r </w:t>
                  </w:r>
                  <w:r w:rsidRPr="00A552C3">
                    <w:rPr>
                      <w:iCs/>
                      <w:sz w:val="20"/>
                    </w:rPr>
                    <w:t xml:space="preserve">to operate above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520413A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9B1878E" w14:textId="77777777" w:rsidR="003B46CE" w:rsidRPr="00A552C3" w:rsidRDefault="003B46CE" w:rsidP="003B46CE">
                  <w:pPr>
                    <w:spacing w:after="60"/>
                    <w:rPr>
                      <w:iCs/>
                      <w:sz w:val="20"/>
                    </w:rPr>
                  </w:pPr>
                  <w:r w:rsidRPr="00A552C3">
                    <w:rPr>
                      <w:iCs/>
                      <w:sz w:val="20"/>
                    </w:rPr>
                    <w:t xml:space="preserve">OILPEROL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1AAA2C47"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0D716388" w14:textId="77777777" w:rsidR="003B46CE" w:rsidRPr="00A552C3" w:rsidRDefault="003B46CE" w:rsidP="003B46CE">
                  <w:pPr>
                    <w:spacing w:after="60"/>
                    <w:rPr>
                      <w:iCs/>
                      <w:sz w:val="20"/>
                    </w:rPr>
                  </w:pPr>
                  <w:r w:rsidRPr="00A552C3">
                    <w:rPr>
                      <w:i/>
                      <w:iCs/>
                      <w:sz w:val="20"/>
                    </w:rPr>
                    <w:t>Percent of Oil to Operate Above LSL</w:t>
                  </w:r>
                  <w:r w:rsidRPr="00A552C3">
                    <w:rPr>
                      <w:iCs/>
                      <w:sz w:val="20"/>
                    </w:rPr>
                    <w:t xml:space="preserve">—The percentage of fuel oil used by Resource </w:t>
                  </w:r>
                  <w:r w:rsidRPr="00A552C3">
                    <w:rPr>
                      <w:i/>
                      <w:iCs/>
                      <w:sz w:val="20"/>
                    </w:rPr>
                    <w:t xml:space="preserve">r </w:t>
                  </w:r>
                  <w:r w:rsidRPr="00A552C3">
                    <w:rPr>
                      <w:iCs/>
                      <w:sz w:val="20"/>
                    </w:rPr>
                    <w:t xml:space="preserve">to operate above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05017A0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173A154" w14:textId="77777777" w:rsidR="003B46CE" w:rsidRPr="00A552C3" w:rsidRDefault="003B46CE" w:rsidP="003B46CE">
                  <w:pPr>
                    <w:spacing w:after="60"/>
                    <w:rPr>
                      <w:iCs/>
                      <w:sz w:val="20"/>
                    </w:rPr>
                  </w:pPr>
                  <w:r w:rsidRPr="00A552C3">
                    <w:rPr>
                      <w:iCs/>
                      <w:sz w:val="20"/>
                    </w:rPr>
                    <w:t xml:space="preserve">SFPEROL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C00BFF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53D09C1A" w14:textId="77777777" w:rsidR="003B46CE" w:rsidRPr="00A552C3" w:rsidRDefault="003B46CE" w:rsidP="003B46CE">
                  <w:pPr>
                    <w:spacing w:after="60"/>
                    <w:rPr>
                      <w:iCs/>
                      <w:sz w:val="20"/>
                    </w:rPr>
                  </w:pPr>
                  <w:r w:rsidRPr="00A552C3">
                    <w:rPr>
                      <w:i/>
                      <w:iCs/>
                      <w:sz w:val="20"/>
                    </w:rPr>
                    <w:t>Percent of Solid Fuel to Operate Above LSL</w:t>
                  </w:r>
                  <w:r w:rsidRPr="00A552C3">
                    <w:rPr>
                      <w:iCs/>
                      <w:sz w:val="20"/>
                    </w:rPr>
                    <w:t xml:space="preserve">—The percentage of solid fuel used by Resource </w:t>
                  </w:r>
                  <w:r w:rsidRPr="00A552C3">
                    <w:rPr>
                      <w:i/>
                      <w:iCs/>
                      <w:sz w:val="20"/>
                    </w:rPr>
                    <w:t>r</w:t>
                  </w:r>
                  <w:r w:rsidRPr="00A552C3">
                    <w:rPr>
                      <w:iCs/>
                      <w:sz w:val="20"/>
                    </w:rPr>
                    <w:t xml:space="preserve"> to operate above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480CFFF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4B3E7B7" w14:textId="77777777" w:rsidR="003B46CE" w:rsidRPr="00A552C3" w:rsidRDefault="003B46CE" w:rsidP="003B46CE">
                  <w:pPr>
                    <w:spacing w:after="60"/>
                    <w:rPr>
                      <w:iCs/>
                      <w:sz w:val="20"/>
                    </w:rPr>
                  </w:pPr>
                  <w:r w:rsidRPr="00A552C3">
                    <w:rPr>
                      <w:iCs/>
                      <w:sz w:val="20"/>
                    </w:rPr>
                    <w:t xml:space="preserve">ADJSWSUC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24CD2AA7"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6DEA13F8" w14:textId="77777777" w:rsidR="003B46CE" w:rsidRPr="00A552C3" w:rsidRDefault="003B46CE" w:rsidP="003B46CE">
                  <w:pPr>
                    <w:spacing w:after="60"/>
                    <w:rPr>
                      <w:iCs/>
                      <w:sz w:val="20"/>
                      <w:highlight w:val="yellow"/>
                    </w:rPr>
                  </w:pPr>
                  <w:r w:rsidRPr="00A552C3">
                    <w:rPr>
                      <w:i/>
                      <w:iCs/>
                      <w:sz w:val="20"/>
                    </w:rPr>
                    <w:t>Adjustment to Switchable Generation</w:t>
                  </w:r>
                  <w:r w:rsidRPr="00A552C3">
                    <w:rPr>
                      <w:iCs/>
                      <w:sz w:val="20"/>
                    </w:rPr>
                    <w:t xml:space="preserve"> </w:t>
                  </w:r>
                  <w:r w:rsidRPr="00A552C3">
                    <w:rPr>
                      <w:i/>
                      <w:iCs/>
                      <w:sz w:val="20"/>
                    </w:rPr>
                    <w:t xml:space="preserve">Start-Up Cost </w:t>
                  </w:r>
                  <w:r w:rsidRPr="00A552C3">
                    <w:rPr>
                      <w:iCs/>
                      <w:sz w:val="20"/>
                    </w:rPr>
                    <w:t xml:space="preserve">— Adjustment to Switchable Generation Start-up Cost for Resource </w:t>
                  </w:r>
                  <w:r w:rsidRPr="00A552C3">
                    <w:rPr>
                      <w:i/>
                      <w:iCs/>
                      <w:sz w:val="20"/>
                    </w:rPr>
                    <w:t xml:space="preserve">r </w:t>
                  </w:r>
                  <w:r w:rsidRPr="00A552C3">
                    <w:rPr>
                      <w:iCs/>
                      <w:sz w:val="20"/>
                    </w:rPr>
                    <w:t>represented by QSE</w:t>
                  </w:r>
                  <w:r w:rsidRPr="00A552C3">
                    <w:rPr>
                      <w:i/>
                      <w:iCs/>
                      <w:sz w:val="20"/>
                    </w:rPr>
                    <w:t xml:space="preserve"> q</w:t>
                  </w:r>
                  <w:r w:rsidRPr="00A552C3">
                    <w:rPr>
                      <w:iCs/>
                      <w:sz w:val="20"/>
                    </w:rPr>
                    <w:t xml:space="preserve">,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  This adjustment may include eligible startup transition costs for a Combined Cycle Train or costs for any SWGR not captured in other billing determinants.</w:t>
                  </w:r>
                </w:p>
              </w:tc>
            </w:tr>
            <w:tr w:rsidR="003B46CE" w:rsidRPr="00A552C3" w14:paraId="2952AB95"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5C56028" w14:textId="77777777" w:rsidR="003B46CE" w:rsidRPr="00A552C3" w:rsidRDefault="003B46CE" w:rsidP="003B46CE">
                  <w:pPr>
                    <w:spacing w:after="60"/>
                    <w:rPr>
                      <w:iCs/>
                      <w:sz w:val="20"/>
                    </w:rPr>
                  </w:pPr>
                  <w:r w:rsidRPr="00A552C3">
                    <w:rPr>
                      <w:iCs/>
                      <w:sz w:val="20"/>
                    </w:rPr>
                    <w:t xml:space="preserve">RCGSC </w:t>
                  </w:r>
                  <w:r w:rsidRPr="00A552C3">
                    <w:rPr>
                      <w:iCs/>
                      <w:sz w:val="20"/>
                      <w:vertAlign w:val="subscript"/>
                    </w:rPr>
                    <w:t xml:space="preserve">s, </w:t>
                  </w:r>
                  <w:r w:rsidRPr="00A552C3">
                    <w:rPr>
                      <w:i/>
                      <w:iCs/>
                      <w:sz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7006B0CD" w14:textId="77777777" w:rsidR="003B46CE" w:rsidRPr="00A552C3" w:rsidRDefault="003B46CE" w:rsidP="003B46CE">
                  <w:pPr>
                    <w:spacing w:after="60"/>
                    <w:rPr>
                      <w:iCs/>
                      <w:sz w:val="20"/>
                    </w:rPr>
                  </w:pPr>
                  <w:r w:rsidRPr="00A552C3">
                    <w:rPr>
                      <w:iCs/>
                      <w:sz w:val="20"/>
                    </w:rPr>
                    <w:t>$/Start</w:t>
                  </w:r>
                </w:p>
              </w:tc>
              <w:tc>
                <w:tcPr>
                  <w:tcW w:w="3342" w:type="pct"/>
                  <w:tcBorders>
                    <w:top w:val="single" w:sz="6" w:space="0" w:color="auto"/>
                    <w:left w:val="single" w:sz="6" w:space="0" w:color="auto"/>
                    <w:bottom w:val="single" w:sz="6" w:space="0" w:color="auto"/>
                    <w:right w:val="single" w:sz="4" w:space="0" w:color="auto"/>
                  </w:tcBorders>
                </w:tcPr>
                <w:p w14:paraId="4BB9933F" w14:textId="77777777" w:rsidR="003B46CE" w:rsidRPr="00A552C3" w:rsidRDefault="003B46CE" w:rsidP="003B46CE">
                  <w:pPr>
                    <w:spacing w:after="60"/>
                    <w:rPr>
                      <w:i/>
                      <w:iCs/>
                      <w:sz w:val="20"/>
                    </w:rPr>
                  </w:pPr>
                  <w:r w:rsidRPr="00A552C3">
                    <w:rPr>
                      <w:i/>
                      <w:iCs/>
                      <w:sz w:val="20"/>
                    </w:rPr>
                    <w:t>Resource Category Generic Startup Cost</w:t>
                  </w:r>
                  <w:r w:rsidRPr="00A552C3">
                    <w:rPr>
                      <w:iCs/>
                      <w:sz w:val="20"/>
                    </w:rPr>
                    <w:t xml:space="preserve">—The Resource Category Generic Startup Cost cap for the category of the Resource </w:t>
                  </w:r>
                  <w:r w:rsidRPr="00A552C3">
                    <w:rPr>
                      <w:i/>
                      <w:iCs/>
                      <w:sz w:val="20"/>
                    </w:rPr>
                    <w:t>rc</w:t>
                  </w:r>
                  <w:r w:rsidRPr="00A552C3">
                    <w:rPr>
                      <w:iCs/>
                      <w:sz w:val="20"/>
                    </w:rPr>
                    <w:t>, according to Section 4.4.9.2.3, Startup Offer and Minimum-Energy Offer Generic Caps, for the Operating Day.</w:t>
                  </w:r>
                </w:p>
              </w:tc>
            </w:tr>
            <w:tr w:rsidR="003B46CE" w:rsidRPr="00A552C3" w14:paraId="0714414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38D48D8" w14:textId="77777777" w:rsidR="003B46CE" w:rsidRPr="00A552C3" w:rsidRDefault="003B46CE" w:rsidP="003B46CE">
                  <w:pPr>
                    <w:spacing w:after="60"/>
                    <w:rPr>
                      <w:iCs/>
                      <w:sz w:val="20"/>
                    </w:rPr>
                  </w:pPr>
                  <w:r w:rsidRPr="00A552C3">
                    <w:rPr>
                      <w:iCs/>
                      <w:sz w:val="20"/>
                    </w:rPr>
                    <w:t xml:space="preserve">RCGMEC </w:t>
                  </w:r>
                  <w:r w:rsidRPr="00A552C3">
                    <w:rPr>
                      <w:i/>
                      <w:iCs/>
                      <w:sz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3E307EE1"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6580539B" w14:textId="77777777" w:rsidR="003B46CE" w:rsidRPr="00A552C3" w:rsidRDefault="003B46CE" w:rsidP="003B46CE">
                  <w:pPr>
                    <w:spacing w:after="60"/>
                    <w:rPr>
                      <w:iCs/>
                      <w:sz w:val="20"/>
                    </w:rPr>
                  </w:pPr>
                  <w:r w:rsidRPr="00A552C3">
                    <w:rPr>
                      <w:i/>
                      <w:iCs/>
                      <w:sz w:val="20"/>
                    </w:rPr>
                    <w:t>Resource Category Generic Minimum-Energy Cost</w:t>
                  </w:r>
                  <w:r w:rsidRPr="00A552C3">
                    <w:rPr>
                      <w:iCs/>
                      <w:sz w:val="20"/>
                    </w:rPr>
                    <w:t xml:space="preserve">—The Resource Category Generic Minimum Energy Cost cap for the category of the Resource </w:t>
                  </w:r>
                  <w:r w:rsidRPr="00A552C3">
                    <w:rPr>
                      <w:i/>
                      <w:iCs/>
                      <w:sz w:val="20"/>
                    </w:rPr>
                    <w:t>rc</w:t>
                  </w:r>
                  <w:r w:rsidRPr="00A552C3">
                    <w:rPr>
                      <w:iCs/>
                      <w:sz w:val="20"/>
                    </w:rPr>
                    <w:t>, according to Section 4.4.9.2.3, for the Operating Day.</w:t>
                  </w:r>
                </w:p>
              </w:tc>
            </w:tr>
            <w:tr w:rsidR="003B46CE" w:rsidRPr="00A552C3" w14:paraId="32E9DEF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F19A7E0" w14:textId="77777777" w:rsidR="003B46CE" w:rsidRPr="00A552C3" w:rsidRDefault="003B46CE" w:rsidP="003B46CE">
                  <w:pPr>
                    <w:spacing w:after="60"/>
                    <w:rPr>
                      <w:iCs/>
                      <w:sz w:val="20"/>
                    </w:rPr>
                  </w:pPr>
                  <w:r w:rsidRPr="00A552C3">
                    <w:rPr>
                      <w:iCs/>
                      <w:sz w:val="20"/>
                    </w:rPr>
                    <w:lastRenderedPageBreak/>
                    <w:t xml:space="preserve">PAHR </w:t>
                  </w:r>
                  <w:r w:rsidRPr="00A552C3">
                    <w:rPr>
                      <w:i/>
                      <w:iCs/>
                      <w:sz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0649F6BF" w14:textId="77777777" w:rsidR="003B46CE" w:rsidRPr="00A552C3" w:rsidRDefault="003B46CE" w:rsidP="003B46CE">
                  <w:pPr>
                    <w:spacing w:after="60"/>
                    <w:rPr>
                      <w:iCs/>
                      <w:sz w:val="20"/>
                    </w:rPr>
                  </w:pPr>
                  <w:r w:rsidRPr="00A552C3">
                    <w:rPr>
                      <w:iCs/>
                      <w:sz w:val="20"/>
                    </w:rPr>
                    <w:t>MMBtu / MWh</w:t>
                  </w:r>
                </w:p>
              </w:tc>
              <w:tc>
                <w:tcPr>
                  <w:tcW w:w="3342" w:type="pct"/>
                  <w:tcBorders>
                    <w:top w:val="single" w:sz="6" w:space="0" w:color="auto"/>
                    <w:left w:val="single" w:sz="6" w:space="0" w:color="auto"/>
                    <w:bottom w:val="single" w:sz="6" w:space="0" w:color="auto"/>
                    <w:right w:val="single" w:sz="4" w:space="0" w:color="auto"/>
                  </w:tcBorders>
                </w:tcPr>
                <w:p w14:paraId="5E8BC3F8" w14:textId="77777777" w:rsidR="003B46CE" w:rsidRPr="00A552C3" w:rsidRDefault="003B46CE" w:rsidP="003B46CE">
                  <w:pPr>
                    <w:spacing w:after="60"/>
                    <w:rPr>
                      <w:i/>
                      <w:iCs/>
                      <w:sz w:val="20"/>
                    </w:rPr>
                  </w:pPr>
                  <w:r w:rsidRPr="00A552C3">
                    <w:rPr>
                      <w:i/>
                      <w:iCs/>
                      <w:sz w:val="20"/>
                    </w:rPr>
                    <w:t>Proxy Average Heat Rate-</w:t>
                  </w:r>
                  <w:r w:rsidRPr="00A552C3">
                    <w:rPr>
                      <w:iCs/>
                      <w:sz w:val="20"/>
                    </w:rPr>
                    <w:t xml:space="preserve"> The proxy average heat rate for the Resource </w:t>
                  </w:r>
                  <w:r w:rsidRPr="00A552C3">
                    <w:rPr>
                      <w:i/>
                      <w:iCs/>
                      <w:sz w:val="20"/>
                    </w:rPr>
                    <w:t>r</w:t>
                  </w:r>
                  <w:r w:rsidRPr="00A552C3">
                    <w:rPr>
                      <w:iCs/>
                      <w:sz w:val="20"/>
                    </w:rPr>
                    <w:t xml:space="preserve"> for the 15-minute Settlement Interval </w:t>
                  </w:r>
                  <w:r w:rsidRPr="00A552C3">
                    <w:rPr>
                      <w:i/>
                      <w:iCs/>
                      <w:sz w:val="20"/>
                    </w:rPr>
                    <w:t>i</w:t>
                  </w:r>
                  <w:r w:rsidRPr="00A552C3">
                    <w:rPr>
                      <w:iCs/>
                      <w:sz w:val="20"/>
                    </w:rPr>
                    <w:t xml:space="preserve">.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6BA3A2BE"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511C0D83" w14:textId="77777777" w:rsidR="003B46CE" w:rsidRPr="00A552C3" w:rsidRDefault="003B46CE" w:rsidP="003B46CE">
                  <w:pPr>
                    <w:spacing w:after="60"/>
                    <w:rPr>
                      <w:iCs/>
                      <w:sz w:val="20"/>
                    </w:rPr>
                  </w:pPr>
                  <w:r w:rsidRPr="00A552C3">
                    <w:rPr>
                      <w:iCs/>
                      <w:sz w:val="20"/>
                    </w:rPr>
                    <w:t xml:space="preserve">STOM </w:t>
                  </w:r>
                  <w:r w:rsidRPr="00A552C3">
                    <w:rPr>
                      <w:i/>
                      <w:iCs/>
                      <w:sz w:val="20"/>
                      <w:vertAlign w:val="subscript"/>
                    </w:rPr>
                    <w:t>rc</w:t>
                  </w:r>
                  <w:r w:rsidRPr="00A552C3">
                    <w:rPr>
                      <w:iCs/>
                      <w:sz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3C3F3B9F"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hideMark/>
                </w:tcPr>
                <w:p w14:paraId="60DF2537" w14:textId="77777777" w:rsidR="003B46CE" w:rsidRPr="00A552C3" w:rsidRDefault="003B46CE" w:rsidP="003B46CE">
                  <w:pPr>
                    <w:spacing w:after="60"/>
                    <w:rPr>
                      <w:iCs/>
                      <w:sz w:val="20"/>
                    </w:rPr>
                  </w:pPr>
                  <w:r w:rsidRPr="00A552C3">
                    <w:rPr>
                      <w:i/>
                      <w:iCs/>
                      <w:sz w:val="20"/>
                    </w:rPr>
                    <w:t xml:space="preserve">Standard Operations and Maintenance Cost - </w:t>
                  </w:r>
                  <w:r w:rsidRPr="00A552C3">
                    <w:rPr>
                      <w:iCs/>
                      <w:sz w:val="20"/>
                    </w:rPr>
                    <w:t xml:space="preserve">The standard O&amp;M cost for the Resource Category </w:t>
                  </w:r>
                  <w:r w:rsidRPr="00A552C3">
                    <w:rPr>
                      <w:i/>
                      <w:iCs/>
                      <w:sz w:val="20"/>
                    </w:rPr>
                    <w:t>rc</w:t>
                  </w:r>
                  <w:r w:rsidRPr="00A552C3">
                    <w:rPr>
                      <w:iCs/>
                      <w:sz w:val="20"/>
                    </w:rPr>
                    <w:t xml:space="preserve"> for operations above LSL, shall be set to the minimum energy variable O&amp;M costs, as described in paragraph (6)(c) of Section 5.6.1, Verifiable Costs.  </w:t>
                  </w:r>
                </w:p>
              </w:tc>
            </w:tr>
            <w:tr w:rsidR="003B46CE" w:rsidRPr="00A552C3" w14:paraId="758975AF"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FA74536" w14:textId="77777777" w:rsidR="003B46CE" w:rsidRPr="00A552C3" w:rsidRDefault="003B46CE" w:rsidP="003B46CE">
                  <w:pPr>
                    <w:spacing w:after="60"/>
                    <w:rPr>
                      <w:iCs/>
                      <w:sz w:val="20"/>
                    </w:rPr>
                  </w:pPr>
                  <w:r w:rsidRPr="00A552C3">
                    <w:rPr>
                      <w:iCs/>
                      <w:sz w:val="20"/>
                    </w:rPr>
                    <w:t xml:space="preserve">RTSPP </w:t>
                  </w:r>
                  <w:r w:rsidRPr="00A552C3">
                    <w:rPr>
                      <w:i/>
                      <w:iCs/>
                      <w:sz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4F1721ED"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457D5DEF" w14:textId="77777777" w:rsidR="003B46CE" w:rsidRPr="00A552C3" w:rsidRDefault="003B46CE" w:rsidP="003B46CE">
                  <w:pPr>
                    <w:spacing w:after="60"/>
                    <w:rPr>
                      <w:i/>
                      <w:iCs/>
                      <w:sz w:val="20"/>
                    </w:rPr>
                  </w:pPr>
                  <w:r w:rsidRPr="00A552C3">
                    <w:rPr>
                      <w:i/>
                      <w:iCs/>
                      <w:sz w:val="20"/>
                    </w:rPr>
                    <w:t>Real-Time Settlement Point Price</w:t>
                  </w:r>
                  <w:r w:rsidRPr="00A552C3">
                    <w:rPr>
                      <w:iCs/>
                      <w:sz w:val="20"/>
                    </w:rPr>
                    <w:t xml:space="preserve">—The Real-Time Settlement Point Price at Settlement Point </w:t>
                  </w:r>
                  <w:r w:rsidRPr="00A552C3">
                    <w:rPr>
                      <w:i/>
                      <w:iCs/>
                      <w:sz w:val="20"/>
                    </w:rPr>
                    <w:t>p</w:t>
                  </w:r>
                  <w:r w:rsidRPr="00A552C3">
                    <w:rPr>
                      <w:iCs/>
                      <w:sz w:val="20"/>
                    </w:rPr>
                    <w:t xml:space="preserve">, for the 15-minute Settlement Interval </w:t>
                  </w:r>
                  <w:r w:rsidRPr="00A552C3">
                    <w:rPr>
                      <w:i/>
                      <w:iCs/>
                      <w:sz w:val="20"/>
                    </w:rPr>
                    <w:t>i</w:t>
                  </w:r>
                  <w:r w:rsidRPr="00A552C3">
                    <w:rPr>
                      <w:iCs/>
                      <w:sz w:val="20"/>
                    </w:rPr>
                    <w:t>.</w:t>
                  </w:r>
                </w:p>
              </w:tc>
            </w:tr>
            <w:tr w:rsidR="003B46CE" w:rsidRPr="00A552C3" w14:paraId="3E92435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574AEF0" w14:textId="77777777" w:rsidR="003B46CE" w:rsidRPr="00A552C3" w:rsidRDefault="003B46CE" w:rsidP="003B46CE">
                  <w:pPr>
                    <w:spacing w:after="60"/>
                    <w:rPr>
                      <w:iCs/>
                      <w:sz w:val="20"/>
                    </w:rPr>
                  </w:pPr>
                  <w:r w:rsidRPr="00A552C3">
                    <w:rPr>
                      <w:iCs/>
                      <w:sz w:val="20"/>
                    </w:rPr>
                    <w:t>FIP</w:t>
                  </w:r>
                </w:p>
              </w:tc>
              <w:tc>
                <w:tcPr>
                  <w:tcW w:w="692" w:type="pct"/>
                  <w:tcBorders>
                    <w:top w:val="single" w:sz="6" w:space="0" w:color="auto"/>
                    <w:left w:val="single" w:sz="6" w:space="0" w:color="auto"/>
                    <w:bottom w:val="single" w:sz="6" w:space="0" w:color="auto"/>
                    <w:right w:val="single" w:sz="6" w:space="0" w:color="auto"/>
                  </w:tcBorders>
                </w:tcPr>
                <w:p w14:paraId="58680A79"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tcPr>
                <w:p w14:paraId="2A66A344" w14:textId="77777777" w:rsidR="003B46CE" w:rsidRPr="00A552C3" w:rsidRDefault="003B46CE" w:rsidP="003B46CE">
                  <w:pPr>
                    <w:spacing w:after="60"/>
                    <w:rPr>
                      <w:i/>
                      <w:iCs/>
                      <w:sz w:val="20"/>
                    </w:rPr>
                  </w:pPr>
                  <w:r w:rsidRPr="00A552C3">
                    <w:rPr>
                      <w:i/>
                      <w:iCs/>
                      <w:sz w:val="20"/>
                    </w:rPr>
                    <w:t>Fuel Index Price</w:t>
                  </w:r>
                  <w:r w:rsidRPr="00A552C3">
                    <w:rPr>
                      <w:iCs/>
                      <w:sz w:val="20"/>
                    </w:rPr>
                    <w:t>—As defined in Section 2.1, Definitions.</w:t>
                  </w:r>
                </w:p>
              </w:tc>
            </w:tr>
            <w:tr w:rsidR="003B46CE" w:rsidRPr="00A552C3" w14:paraId="2C0EEF09"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C2E4011" w14:textId="77777777" w:rsidR="003B46CE" w:rsidRPr="00A552C3" w:rsidRDefault="003B46CE" w:rsidP="003B46CE">
                  <w:pPr>
                    <w:spacing w:after="60"/>
                    <w:rPr>
                      <w:iCs/>
                      <w:sz w:val="20"/>
                    </w:rPr>
                  </w:pPr>
                  <w:r w:rsidRPr="00A552C3">
                    <w:rPr>
                      <w:iCs/>
                      <w:sz w:val="20"/>
                    </w:rPr>
                    <w:t>FOP</w:t>
                  </w:r>
                </w:p>
              </w:tc>
              <w:tc>
                <w:tcPr>
                  <w:tcW w:w="692" w:type="pct"/>
                  <w:tcBorders>
                    <w:top w:val="single" w:sz="6" w:space="0" w:color="auto"/>
                    <w:left w:val="single" w:sz="6" w:space="0" w:color="auto"/>
                    <w:bottom w:val="single" w:sz="6" w:space="0" w:color="auto"/>
                    <w:right w:val="single" w:sz="6" w:space="0" w:color="auto"/>
                  </w:tcBorders>
                </w:tcPr>
                <w:p w14:paraId="655C8F62"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tcPr>
                <w:p w14:paraId="2AF5A02F" w14:textId="77777777" w:rsidR="003B46CE" w:rsidRPr="00A552C3" w:rsidRDefault="003B46CE" w:rsidP="003B46CE">
                  <w:pPr>
                    <w:spacing w:after="60"/>
                    <w:rPr>
                      <w:iCs/>
                      <w:sz w:val="20"/>
                    </w:rPr>
                  </w:pPr>
                  <w:r w:rsidRPr="00A552C3">
                    <w:rPr>
                      <w:i/>
                      <w:iCs/>
                      <w:sz w:val="20"/>
                    </w:rPr>
                    <w:t>Fuel Oil Price</w:t>
                  </w:r>
                  <w:r w:rsidRPr="00A552C3">
                    <w:rPr>
                      <w:iCs/>
                      <w:sz w:val="20"/>
                    </w:rPr>
                    <w:t>—As defined in Section 2.1.</w:t>
                  </w:r>
                </w:p>
              </w:tc>
            </w:tr>
            <w:tr w:rsidR="003B46CE" w:rsidRPr="00A552C3" w14:paraId="165BCFFE"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53F4FC71" w14:textId="77777777" w:rsidR="003B46CE" w:rsidRPr="00A552C3" w:rsidRDefault="003B46CE" w:rsidP="003B46CE">
                  <w:pPr>
                    <w:spacing w:after="60"/>
                    <w:rPr>
                      <w:i/>
                      <w:iCs/>
                      <w:sz w:val="20"/>
                    </w:rPr>
                  </w:pPr>
                  <w:r w:rsidRPr="00A552C3">
                    <w:rPr>
                      <w:iCs/>
                      <w:sz w:val="20"/>
                    </w:rPr>
                    <w:t xml:space="preserve">FA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78856286"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3021A8F7" w14:textId="77777777" w:rsidR="003B46CE" w:rsidRPr="00A552C3" w:rsidRDefault="003B46CE" w:rsidP="003B46CE">
                  <w:pPr>
                    <w:spacing w:after="60"/>
                    <w:rPr>
                      <w:iCs/>
                      <w:sz w:val="20"/>
                    </w:rPr>
                  </w:pPr>
                  <w:r w:rsidRPr="00A552C3">
                    <w:rPr>
                      <w:i/>
                      <w:iCs/>
                      <w:sz w:val="20"/>
                    </w:rPr>
                    <w:t>Fuel Adder</w:t>
                  </w:r>
                  <w:r w:rsidRPr="00A552C3">
                    <w:rPr>
                      <w:iCs/>
                      <w:sz w:val="20"/>
                    </w:rPr>
                    <w:t xml:space="preserve"> — The fuel adder is the average cost above the index price Resource </w:t>
                  </w:r>
                  <w:r w:rsidRPr="00A552C3">
                    <w:rPr>
                      <w:i/>
                      <w:iCs/>
                      <w:sz w:val="20"/>
                    </w:rPr>
                    <w:t xml:space="preserve">r </w:t>
                  </w:r>
                  <w:r w:rsidRPr="00A552C3">
                    <w:rPr>
                      <w:iCs/>
                      <w:sz w:val="20"/>
                    </w:rPr>
                    <w:t xml:space="preserve">has paid to obtain fuel.  Where for a Combined Cycle Train, the Resource </w:t>
                  </w:r>
                  <w:r w:rsidRPr="00A552C3">
                    <w:rPr>
                      <w:i/>
                      <w:iCs/>
                      <w:sz w:val="20"/>
                    </w:rPr>
                    <w:t xml:space="preserve">r </w:t>
                  </w:r>
                  <w:r w:rsidRPr="00A552C3">
                    <w:rPr>
                      <w:iCs/>
                      <w:sz w:val="20"/>
                    </w:rPr>
                    <w:t xml:space="preserve">is a Combined Cycle Generation Resource within the Combined Cycle Train.  See the Verifiable Cost Manual for additional information. </w:t>
                  </w:r>
                </w:p>
              </w:tc>
            </w:tr>
            <w:tr w:rsidR="003B46CE" w:rsidRPr="00A552C3" w14:paraId="11062EA0"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B4708F5" w14:textId="77777777" w:rsidR="003B46CE" w:rsidRPr="00A552C3" w:rsidRDefault="003B46CE" w:rsidP="003B46CE">
                  <w:pPr>
                    <w:spacing w:after="60"/>
                    <w:rPr>
                      <w:iCs/>
                      <w:sz w:val="20"/>
                    </w:rPr>
                  </w:pPr>
                  <w:r w:rsidRPr="00A552C3">
                    <w:rPr>
                      <w:iCs/>
                      <w:sz w:val="20"/>
                    </w:rPr>
                    <w:t xml:space="preserve">EMREAMT </w:t>
                  </w:r>
                  <w:r w:rsidRPr="00A552C3">
                    <w:rPr>
                      <w:i/>
                      <w:iCs/>
                      <w:sz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4F2F75FF"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6ACE8D0D" w14:textId="77777777" w:rsidR="003B46CE" w:rsidRPr="00A552C3" w:rsidRDefault="003B46CE" w:rsidP="003B46CE">
                  <w:pPr>
                    <w:spacing w:after="60"/>
                    <w:rPr>
                      <w:iCs/>
                      <w:sz w:val="20"/>
                    </w:rPr>
                  </w:pPr>
                  <w:r w:rsidRPr="00A552C3">
                    <w:rPr>
                      <w:i/>
                      <w:iCs/>
                      <w:sz w:val="20"/>
                    </w:rPr>
                    <w:t>Emergency Energy Amount per QSE per Settlement Point per unit per interval</w:t>
                  </w:r>
                  <w:r w:rsidRPr="00A552C3">
                    <w:rPr>
                      <w:iCs/>
                      <w:sz w:val="20"/>
                    </w:rPr>
                    <w:t xml:space="preserve">—The payment to QSE </w:t>
                  </w:r>
                  <w:r w:rsidRPr="00A552C3">
                    <w:rPr>
                      <w:i/>
                      <w:iCs/>
                      <w:sz w:val="20"/>
                    </w:rPr>
                    <w:t>q</w:t>
                  </w:r>
                  <w:r w:rsidRPr="00A552C3">
                    <w:rPr>
                      <w:iCs/>
                      <w:sz w:val="20"/>
                    </w:rPr>
                    <w:t xml:space="preserve"> for the additional energy or Ancillary Services produced or consumed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in Real-Time during the Emergency Condition, for the 15-minute Settlement Interval </w:t>
                  </w:r>
                  <w:r w:rsidRPr="00A552C3">
                    <w:rPr>
                      <w:i/>
                      <w:iCs/>
                      <w:sz w:val="20"/>
                    </w:rPr>
                    <w:t>i</w:t>
                  </w:r>
                  <w:r w:rsidRPr="00A552C3">
                    <w:rPr>
                      <w:iCs/>
                      <w:sz w:val="20"/>
                    </w:rPr>
                    <w:t>.  Payment for emergency energy is made to the Combined Cycle Train.</w:t>
                  </w:r>
                </w:p>
              </w:tc>
            </w:tr>
            <w:tr w:rsidR="003B46CE" w:rsidRPr="00A552C3" w14:paraId="20151FA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5377031" w14:textId="77777777" w:rsidR="003B46CE" w:rsidRPr="00A552C3" w:rsidRDefault="003B46CE" w:rsidP="003B46CE">
                  <w:pPr>
                    <w:spacing w:after="60"/>
                    <w:rPr>
                      <w:iCs/>
                      <w:sz w:val="20"/>
                    </w:rPr>
                  </w:pPr>
                  <w:r w:rsidRPr="00A552C3">
                    <w:rPr>
                      <w:iCs/>
                      <w:sz w:val="20"/>
                    </w:rPr>
                    <w:t xml:space="preserve">VSSVARAMT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2AD7C6E4"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32F5F06C" w14:textId="77777777" w:rsidR="003B46CE" w:rsidRPr="00A552C3" w:rsidRDefault="003B46CE" w:rsidP="003B46CE">
                  <w:pPr>
                    <w:spacing w:after="60"/>
                    <w:rPr>
                      <w:iCs/>
                      <w:sz w:val="20"/>
                    </w:rPr>
                  </w:pPr>
                  <w:r w:rsidRPr="00A552C3">
                    <w:rPr>
                      <w:i/>
                      <w:iCs/>
                      <w:sz w:val="20"/>
                    </w:rPr>
                    <w:t>Voltage Support Service VAr Amount per QSE per Generation Resource -</w:t>
                  </w:r>
                  <w:r w:rsidRPr="00A552C3">
                    <w:rPr>
                      <w:iCs/>
                      <w:sz w:val="20"/>
                    </w:rPr>
                    <w:t xml:space="preserve"> The payment to QSE </w:t>
                  </w:r>
                  <w:r w:rsidRPr="00A552C3">
                    <w:rPr>
                      <w:i/>
                      <w:iCs/>
                      <w:sz w:val="20"/>
                    </w:rPr>
                    <w:t>q</w:t>
                  </w:r>
                  <w:r w:rsidRPr="00A552C3">
                    <w:rPr>
                      <w:iCs/>
                      <w:sz w:val="20"/>
                    </w:rPr>
                    <w:t xml:space="preserve"> for the VSS provided by Generation Resource </w:t>
                  </w:r>
                  <w:r w:rsidRPr="00A552C3">
                    <w:rPr>
                      <w:i/>
                      <w:iCs/>
                      <w:sz w:val="20"/>
                    </w:rPr>
                    <w:t>r,</w:t>
                  </w:r>
                  <w:r w:rsidRPr="00A552C3">
                    <w:rPr>
                      <w:iCs/>
                      <w:sz w:val="20"/>
                    </w:rPr>
                    <w:t xml:space="preserve"> for the 15-minute Settlement Interval </w:t>
                  </w:r>
                  <w:r w:rsidRPr="00A552C3">
                    <w:rPr>
                      <w:i/>
                      <w:iCs/>
                      <w:sz w:val="20"/>
                    </w:rPr>
                    <w:t>i</w:t>
                  </w:r>
                  <w:r w:rsidRPr="00A552C3">
                    <w:rPr>
                      <w:iCs/>
                      <w:sz w:val="20"/>
                    </w:rPr>
                    <w:t>.  Where for a Combined Cycle Resource</w:t>
                  </w:r>
                  <w:r w:rsidRPr="00A552C3">
                    <w:rPr>
                      <w:i/>
                      <w:iCs/>
                      <w:sz w:val="20"/>
                    </w:rPr>
                    <w:t xml:space="preserve"> r</w:t>
                  </w:r>
                  <w:r w:rsidRPr="00A552C3">
                    <w:rPr>
                      <w:iCs/>
                      <w:sz w:val="20"/>
                    </w:rPr>
                    <w:t xml:space="preserve"> is a Combined Cycle Train.</w:t>
                  </w:r>
                </w:p>
              </w:tc>
            </w:tr>
            <w:tr w:rsidR="003B46CE" w:rsidRPr="00A552C3" w14:paraId="08815A20"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56CEB6A" w14:textId="77777777" w:rsidR="003B46CE" w:rsidRPr="00A552C3" w:rsidRDefault="003B46CE" w:rsidP="003B46CE">
                  <w:pPr>
                    <w:spacing w:after="60"/>
                    <w:rPr>
                      <w:iCs/>
                      <w:sz w:val="20"/>
                    </w:rPr>
                  </w:pPr>
                  <w:r w:rsidRPr="00A552C3">
                    <w:rPr>
                      <w:iCs/>
                      <w:sz w:val="20"/>
                    </w:rPr>
                    <w:t xml:space="preserve">VSSEAMT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E902ADC"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1BC8FC3C" w14:textId="77777777" w:rsidR="003B46CE" w:rsidRPr="00A552C3" w:rsidRDefault="003B46CE" w:rsidP="003B46CE">
                  <w:pPr>
                    <w:spacing w:after="60"/>
                    <w:rPr>
                      <w:iCs/>
                      <w:sz w:val="20"/>
                    </w:rPr>
                  </w:pPr>
                  <w:r w:rsidRPr="00A552C3">
                    <w:rPr>
                      <w:i/>
                      <w:iCs/>
                      <w:sz w:val="20"/>
                    </w:rPr>
                    <w:t>Voltage Support Service Energy Amount per QSE per Generation Resource</w:t>
                  </w:r>
                  <w:r w:rsidRPr="00A552C3">
                    <w:rPr>
                      <w:iCs/>
                      <w:sz w:val="20"/>
                    </w:rPr>
                    <w:t xml:space="preserve">—The lost opportunity payment to QSE </w:t>
                  </w:r>
                  <w:r w:rsidRPr="00A552C3">
                    <w:rPr>
                      <w:i/>
                      <w:iCs/>
                      <w:sz w:val="20"/>
                    </w:rPr>
                    <w:t>q</w:t>
                  </w:r>
                  <w:r w:rsidRPr="00A552C3">
                    <w:rPr>
                      <w:iCs/>
                      <w:sz w:val="20"/>
                    </w:rPr>
                    <w:t xml:space="preserve"> for ERCOT-directed VSS from Generation Resource </w:t>
                  </w:r>
                  <w:r w:rsidRPr="00A552C3">
                    <w:rPr>
                      <w:i/>
                      <w:iCs/>
                      <w:sz w:val="20"/>
                    </w:rPr>
                    <w:t>r</w:t>
                  </w:r>
                  <w:r w:rsidRPr="00A552C3">
                    <w:rPr>
                      <w:iCs/>
                      <w:sz w:val="20"/>
                    </w:rPr>
                    <w:t xml:space="preserve"> for the 15-minute Settlement Interval </w:t>
                  </w:r>
                  <w:r w:rsidRPr="00A552C3">
                    <w:rPr>
                      <w:i/>
                      <w:iCs/>
                      <w:sz w:val="20"/>
                    </w:rPr>
                    <w:t>i</w:t>
                  </w:r>
                  <w:r w:rsidRPr="00A552C3">
                    <w:rPr>
                      <w:iCs/>
                      <w:sz w:val="20"/>
                    </w:rPr>
                    <w:t>.  Where for a Combined Cycle Resource</w:t>
                  </w:r>
                  <w:r w:rsidRPr="00A552C3">
                    <w:rPr>
                      <w:i/>
                      <w:iCs/>
                      <w:sz w:val="20"/>
                    </w:rPr>
                    <w:t xml:space="preserve"> r </w:t>
                  </w:r>
                  <w:r w:rsidRPr="00A552C3">
                    <w:rPr>
                      <w:iCs/>
                      <w:sz w:val="20"/>
                    </w:rPr>
                    <w:t>is a Combined Cycle Train.</w:t>
                  </w:r>
                </w:p>
              </w:tc>
            </w:tr>
            <w:tr w:rsidR="003B46CE" w:rsidRPr="00A552C3" w14:paraId="652263E8"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56B264F" w14:textId="77777777" w:rsidR="003B46CE" w:rsidRPr="00A552C3" w:rsidRDefault="003B46CE" w:rsidP="003B46CE">
                  <w:pPr>
                    <w:spacing w:after="60"/>
                    <w:rPr>
                      <w:iCs/>
                      <w:sz w:val="20"/>
                    </w:rPr>
                  </w:pPr>
                  <w:r w:rsidRPr="00A552C3">
                    <w:rPr>
                      <w:sz w:val="20"/>
                    </w:rPr>
                    <w:t xml:space="preserve">RTRUREV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5AA996BD"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3708BC09" w14:textId="77777777" w:rsidR="003B46CE" w:rsidRPr="00A552C3" w:rsidRDefault="003B46CE" w:rsidP="003B46CE">
                  <w:pPr>
                    <w:spacing w:after="60"/>
                    <w:rPr>
                      <w:i/>
                      <w:iCs/>
                      <w:sz w:val="20"/>
                    </w:rPr>
                  </w:pPr>
                  <w:r w:rsidRPr="00A552C3">
                    <w:rPr>
                      <w:i/>
                      <w:sz w:val="20"/>
                    </w:rPr>
                    <w:t>Real-Time Reg-Up Revenue</w:t>
                  </w:r>
                  <w:r w:rsidRPr="00A552C3">
                    <w:rPr>
                      <w:sz w:val="20"/>
                    </w:rPr>
                    <w:t xml:space="preserve">— The Real-Time Reg-Up revenue for QSE </w:t>
                  </w:r>
                  <w:r w:rsidRPr="00A552C3">
                    <w:rPr>
                      <w:i/>
                      <w:sz w:val="20"/>
                    </w:rPr>
                    <w:t xml:space="preserve">q </w:t>
                  </w:r>
                  <w:r w:rsidRPr="00A552C3">
                    <w:rPr>
                      <w:sz w:val="20"/>
                    </w:rPr>
                    <w:t>calculated for</w:t>
                  </w:r>
                  <w:r w:rsidRPr="00A552C3">
                    <w:rPr>
                      <w:i/>
                      <w:sz w:val="20"/>
                    </w:rPr>
                    <w:t xml:space="preserve"> </w:t>
                  </w:r>
                  <w:r w:rsidRPr="00A552C3">
                    <w:rPr>
                      <w:sz w:val="20"/>
                    </w:rPr>
                    <w:t xml:space="preserve">Resource </w:t>
                  </w:r>
                  <w:r w:rsidRPr="00A552C3">
                    <w:rPr>
                      <w:i/>
                      <w:sz w:val="20"/>
                    </w:rPr>
                    <w:t xml:space="preserve">r </w:t>
                  </w:r>
                  <w:r w:rsidRPr="00A552C3">
                    <w:rPr>
                      <w:sz w:val="20"/>
                    </w:rPr>
                    <w:t xml:space="preserve">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3E16B55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35FB5C9" w14:textId="77777777" w:rsidR="003B46CE" w:rsidRPr="00A552C3" w:rsidRDefault="003B46CE" w:rsidP="003B46CE">
                  <w:pPr>
                    <w:spacing w:after="60"/>
                    <w:rPr>
                      <w:sz w:val="20"/>
                    </w:rPr>
                  </w:pPr>
                  <w:r w:rsidRPr="00A552C3">
                    <w:rPr>
                      <w:sz w:val="20"/>
                    </w:rPr>
                    <w:t xml:space="preserve">RTRDREV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39CDDF8C"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2A05DDB2" w14:textId="77777777" w:rsidR="003B46CE" w:rsidRPr="00A552C3" w:rsidRDefault="003B46CE" w:rsidP="003B46CE">
                  <w:pPr>
                    <w:spacing w:after="60"/>
                    <w:rPr>
                      <w:i/>
                      <w:sz w:val="20"/>
                    </w:rPr>
                  </w:pPr>
                  <w:r w:rsidRPr="00A552C3">
                    <w:rPr>
                      <w:i/>
                      <w:sz w:val="20"/>
                    </w:rPr>
                    <w:t>Real-Time Reg-Down Revenue</w:t>
                  </w:r>
                  <w:r w:rsidRPr="00A552C3">
                    <w:rPr>
                      <w:sz w:val="20"/>
                    </w:rPr>
                    <w:t xml:space="preserve">— The Real-Time Reg-Down revenue for QSE </w:t>
                  </w:r>
                  <w:r w:rsidRPr="00A552C3">
                    <w:rPr>
                      <w:i/>
                      <w:sz w:val="20"/>
                    </w:rPr>
                    <w:t xml:space="preserve">q </w:t>
                  </w:r>
                  <w:r w:rsidRPr="00A552C3">
                    <w:rPr>
                      <w:sz w:val="20"/>
                    </w:rPr>
                    <w:t xml:space="preserve">calculated for Resource </w:t>
                  </w:r>
                  <w:r w:rsidRPr="00A552C3">
                    <w:rPr>
                      <w:i/>
                      <w:sz w:val="20"/>
                    </w:rPr>
                    <w:t>r</w:t>
                  </w:r>
                  <w:r w:rsidRPr="00A552C3">
                    <w:rPr>
                      <w:sz w:val="20"/>
                    </w:rPr>
                    <w:t xml:space="preserve"> 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3DCB024F"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83826AC" w14:textId="77777777" w:rsidR="003B46CE" w:rsidRPr="00A552C3" w:rsidRDefault="003B46CE" w:rsidP="003B46CE">
                  <w:pPr>
                    <w:spacing w:after="60"/>
                    <w:rPr>
                      <w:sz w:val="20"/>
                    </w:rPr>
                  </w:pPr>
                  <w:r w:rsidRPr="00A552C3">
                    <w:rPr>
                      <w:sz w:val="20"/>
                    </w:rPr>
                    <w:t xml:space="preserve">RTRRREV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6D305A51"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7305BA5A" w14:textId="77777777" w:rsidR="003B46CE" w:rsidRPr="00A552C3" w:rsidRDefault="003B46CE" w:rsidP="003B46CE">
                  <w:pPr>
                    <w:spacing w:after="60"/>
                    <w:rPr>
                      <w:i/>
                      <w:sz w:val="20"/>
                    </w:rPr>
                  </w:pPr>
                  <w:r w:rsidRPr="00A552C3">
                    <w:rPr>
                      <w:i/>
                      <w:sz w:val="20"/>
                    </w:rPr>
                    <w:t>Real-Time Responsive Reserve Revenue</w:t>
                  </w:r>
                  <w:r w:rsidRPr="00A552C3">
                    <w:rPr>
                      <w:sz w:val="20"/>
                    </w:rPr>
                    <w:t xml:space="preserve">— The Real-Time RRS revenue for QSE </w:t>
                  </w:r>
                  <w:r w:rsidRPr="00A552C3">
                    <w:rPr>
                      <w:i/>
                      <w:sz w:val="20"/>
                    </w:rPr>
                    <w:t xml:space="preserve">q </w:t>
                  </w:r>
                  <w:r w:rsidRPr="00A552C3">
                    <w:rPr>
                      <w:sz w:val="20"/>
                    </w:rPr>
                    <w:t xml:space="preserve">calculated for Resource </w:t>
                  </w:r>
                  <w:r w:rsidRPr="00A552C3">
                    <w:rPr>
                      <w:i/>
                      <w:sz w:val="20"/>
                    </w:rPr>
                    <w:t xml:space="preserve">r </w:t>
                  </w:r>
                  <w:r w:rsidRPr="00A552C3">
                    <w:rPr>
                      <w:sz w:val="20"/>
                    </w:rPr>
                    <w:t xml:space="preserve">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4F98FCAF"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0247508" w14:textId="77777777" w:rsidR="003B46CE" w:rsidRPr="00A552C3" w:rsidRDefault="003B46CE" w:rsidP="003B46CE">
                  <w:pPr>
                    <w:spacing w:after="60"/>
                    <w:rPr>
                      <w:sz w:val="20"/>
                    </w:rPr>
                  </w:pPr>
                  <w:r w:rsidRPr="00A552C3">
                    <w:rPr>
                      <w:sz w:val="20"/>
                    </w:rPr>
                    <w:t xml:space="preserve">RTNSREV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01AA6FB4"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028BFDEC" w14:textId="77777777" w:rsidR="003B46CE" w:rsidRPr="00A552C3" w:rsidRDefault="003B46CE" w:rsidP="003B46CE">
                  <w:pPr>
                    <w:spacing w:after="60"/>
                    <w:rPr>
                      <w:i/>
                      <w:sz w:val="20"/>
                    </w:rPr>
                  </w:pPr>
                  <w:r w:rsidRPr="00A552C3">
                    <w:rPr>
                      <w:i/>
                      <w:sz w:val="20"/>
                    </w:rPr>
                    <w:t>Real-Time Non-Spin Revenue</w:t>
                  </w:r>
                  <w:r w:rsidRPr="00A552C3">
                    <w:rPr>
                      <w:sz w:val="20"/>
                    </w:rPr>
                    <w:t xml:space="preserve">— The Real-Time Non-Spin revenue for QSE </w:t>
                  </w:r>
                  <w:r w:rsidRPr="00A552C3">
                    <w:rPr>
                      <w:i/>
                      <w:sz w:val="20"/>
                    </w:rPr>
                    <w:t xml:space="preserve">q </w:t>
                  </w:r>
                  <w:r w:rsidRPr="00A552C3">
                    <w:rPr>
                      <w:sz w:val="20"/>
                    </w:rPr>
                    <w:t xml:space="preserve">calculated for Resource </w:t>
                  </w:r>
                  <w:r w:rsidRPr="00A552C3">
                    <w:rPr>
                      <w:i/>
                      <w:sz w:val="20"/>
                    </w:rPr>
                    <w:t>r</w:t>
                  </w:r>
                  <w:r w:rsidRPr="00A552C3">
                    <w:rPr>
                      <w:sz w:val="20"/>
                    </w:rPr>
                    <w:t xml:space="preserve"> 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6D02475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B22AE05" w14:textId="77777777" w:rsidR="003B46CE" w:rsidRPr="00A552C3" w:rsidRDefault="003B46CE" w:rsidP="003B46CE">
                  <w:pPr>
                    <w:spacing w:after="60"/>
                    <w:rPr>
                      <w:sz w:val="20"/>
                    </w:rPr>
                  </w:pPr>
                  <w:r w:rsidRPr="00A552C3">
                    <w:rPr>
                      <w:sz w:val="20"/>
                    </w:rPr>
                    <w:t xml:space="preserve">RTECRREV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3C7ACFF5"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4E88B12F" w14:textId="77777777" w:rsidR="003B46CE" w:rsidRPr="00A552C3" w:rsidRDefault="003B46CE" w:rsidP="003B46CE">
                  <w:pPr>
                    <w:spacing w:after="60"/>
                    <w:rPr>
                      <w:i/>
                      <w:sz w:val="20"/>
                    </w:rPr>
                  </w:pPr>
                  <w:r w:rsidRPr="00A552C3">
                    <w:rPr>
                      <w:i/>
                      <w:sz w:val="20"/>
                    </w:rPr>
                    <w:t>Real-Time ERCOT Contingency Reserve Service Revenue</w:t>
                  </w:r>
                  <w:r w:rsidRPr="00A552C3">
                    <w:rPr>
                      <w:sz w:val="20"/>
                    </w:rPr>
                    <w:t xml:space="preserve">— The Real-Time ECRS revenue for QSE </w:t>
                  </w:r>
                  <w:r w:rsidRPr="00A552C3">
                    <w:rPr>
                      <w:i/>
                      <w:sz w:val="20"/>
                    </w:rPr>
                    <w:t xml:space="preserve">q </w:t>
                  </w:r>
                  <w:r w:rsidRPr="00A552C3">
                    <w:rPr>
                      <w:sz w:val="20"/>
                    </w:rPr>
                    <w:t xml:space="preserve">calculated for Resource </w:t>
                  </w:r>
                  <w:r w:rsidRPr="00A552C3">
                    <w:rPr>
                      <w:i/>
                      <w:sz w:val="20"/>
                    </w:rPr>
                    <w:t>r</w:t>
                  </w:r>
                  <w:r w:rsidRPr="00A552C3">
                    <w:rPr>
                      <w:sz w:val="20"/>
                    </w:rPr>
                    <w:t xml:space="preserve"> 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0B24D046"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0B77CAB2" w14:textId="77777777" w:rsidR="003B46CE" w:rsidRPr="00A552C3" w:rsidRDefault="003B46CE" w:rsidP="003B46CE">
                  <w:pPr>
                    <w:spacing w:after="60"/>
                    <w:rPr>
                      <w:i/>
                      <w:iCs/>
                      <w:sz w:val="20"/>
                    </w:rPr>
                  </w:pPr>
                  <w:r w:rsidRPr="00A552C3">
                    <w:rPr>
                      <w:i/>
                      <w:iCs/>
                      <w:sz w:val="20"/>
                    </w:rPr>
                    <w:lastRenderedPageBreak/>
                    <w:t>q</w:t>
                  </w:r>
                </w:p>
              </w:tc>
              <w:tc>
                <w:tcPr>
                  <w:tcW w:w="692" w:type="pct"/>
                  <w:tcBorders>
                    <w:top w:val="single" w:sz="6" w:space="0" w:color="auto"/>
                    <w:left w:val="single" w:sz="6" w:space="0" w:color="auto"/>
                    <w:bottom w:val="single" w:sz="6" w:space="0" w:color="auto"/>
                    <w:right w:val="single" w:sz="6" w:space="0" w:color="auto"/>
                  </w:tcBorders>
                  <w:hideMark/>
                </w:tcPr>
                <w:p w14:paraId="0DA7CC55"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79569F29" w14:textId="77777777" w:rsidR="003B46CE" w:rsidRPr="00A552C3" w:rsidRDefault="003B46CE" w:rsidP="003B46CE">
                  <w:pPr>
                    <w:spacing w:after="60"/>
                    <w:rPr>
                      <w:iCs/>
                      <w:sz w:val="20"/>
                    </w:rPr>
                  </w:pPr>
                  <w:r w:rsidRPr="00A552C3">
                    <w:rPr>
                      <w:iCs/>
                      <w:sz w:val="20"/>
                    </w:rPr>
                    <w:t>A QSE.</w:t>
                  </w:r>
                </w:p>
              </w:tc>
            </w:tr>
            <w:tr w:rsidR="003B46CE" w:rsidRPr="00A552C3" w14:paraId="41F8A2F9"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1E56C1F5" w14:textId="77777777" w:rsidR="003B46CE" w:rsidRPr="00A552C3" w:rsidRDefault="003B46CE" w:rsidP="003B46CE">
                  <w:pPr>
                    <w:spacing w:after="60"/>
                    <w:rPr>
                      <w:i/>
                      <w:iCs/>
                      <w:sz w:val="20"/>
                    </w:rPr>
                  </w:pPr>
                  <w:r w:rsidRPr="00A552C3">
                    <w:rPr>
                      <w:i/>
                      <w:iCs/>
                      <w:sz w:val="20"/>
                    </w:rPr>
                    <w:t>r</w:t>
                  </w:r>
                </w:p>
              </w:tc>
              <w:tc>
                <w:tcPr>
                  <w:tcW w:w="692" w:type="pct"/>
                  <w:tcBorders>
                    <w:top w:val="single" w:sz="6" w:space="0" w:color="auto"/>
                    <w:left w:val="single" w:sz="6" w:space="0" w:color="auto"/>
                    <w:bottom w:val="single" w:sz="6" w:space="0" w:color="auto"/>
                    <w:right w:val="single" w:sz="6" w:space="0" w:color="auto"/>
                  </w:tcBorders>
                  <w:hideMark/>
                </w:tcPr>
                <w:p w14:paraId="015B9426"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314F1580" w14:textId="77777777" w:rsidR="003B46CE" w:rsidRPr="00A552C3" w:rsidRDefault="003B46CE" w:rsidP="003B46CE">
                  <w:pPr>
                    <w:spacing w:after="60"/>
                    <w:rPr>
                      <w:iCs/>
                      <w:sz w:val="20"/>
                    </w:rPr>
                  </w:pPr>
                  <w:r w:rsidRPr="00A552C3">
                    <w:rPr>
                      <w:iCs/>
                      <w:sz w:val="20"/>
                    </w:rPr>
                    <w:t>A Switchable Generation Resource.</w:t>
                  </w:r>
                </w:p>
              </w:tc>
            </w:tr>
            <w:tr w:rsidR="003B46CE" w:rsidRPr="00A552C3" w14:paraId="44D6596E"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7A90F6C5" w14:textId="77777777" w:rsidR="003B46CE" w:rsidRPr="00A552C3" w:rsidRDefault="003B46CE" w:rsidP="003B46CE">
                  <w:pPr>
                    <w:spacing w:after="60"/>
                    <w:rPr>
                      <w:i/>
                      <w:iCs/>
                      <w:sz w:val="20"/>
                    </w:rPr>
                  </w:pPr>
                  <w:r w:rsidRPr="00A552C3">
                    <w:rPr>
                      <w:i/>
                      <w:iCs/>
                      <w:sz w:val="20"/>
                    </w:rPr>
                    <w:t>d</w:t>
                  </w:r>
                </w:p>
              </w:tc>
              <w:tc>
                <w:tcPr>
                  <w:tcW w:w="692" w:type="pct"/>
                  <w:tcBorders>
                    <w:top w:val="single" w:sz="6" w:space="0" w:color="auto"/>
                    <w:left w:val="single" w:sz="6" w:space="0" w:color="auto"/>
                    <w:bottom w:val="single" w:sz="6" w:space="0" w:color="auto"/>
                    <w:right w:val="single" w:sz="6" w:space="0" w:color="auto"/>
                  </w:tcBorders>
                  <w:hideMark/>
                </w:tcPr>
                <w:p w14:paraId="2657D0AA"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1ECCF38" w14:textId="77777777" w:rsidR="003B46CE" w:rsidRPr="00A552C3" w:rsidRDefault="003B46CE" w:rsidP="003B46CE">
                  <w:pPr>
                    <w:spacing w:after="60"/>
                    <w:rPr>
                      <w:iCs/>
                      <w:sz w:val="20"/>
                    </w:rPr>
                  </w:pPr>
                  <w:r w:rsidRPr="00A552C3">
                    <w:rPr>
                      <w:iCs/>
                      <w:sz w:val="20"/>
                    </w:rPr>
                    <w:t xml:space="preserve">An Operating Day containing the RUC instruction to the SWGR. </w:t>
                  </w:r>
                </w:p>
              </w:tc>
            </w:tr>
            <w:tr w:rsidR="003B46CE" w:rsidRPr="00A552C3" w14:paraId="0B25EF1A"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6E31B2BD" w14:textId="77777777" w:rsidR="003B46CE" w:rsidRPr="00A552C3" w:rsidRDefault="003B46CE" w:rsidP="003B46CE">
                  <w:pPr>
                    <w:spacing w:after="60"/>
                    <w:rPr>
                      <w:i/>
                      <w:iCs/>
                      <w:sz w:val="20"/>
                    </w:rPr>
                  </w:pPr>
                  <w:r w:rsidRPr="00A552C3">
                    <w:rPr>
                      <w:i/>
                      <w:iCs/>
                      <w:sz w:val="20"/>
                    </w:rPr>
                    <w:t>i</w:t>
                  </w:r>
                </w:p>
              </w:tc>
              <w:tc>
                <w:tcPr>
                  <w:tcW w:w="692" w:type="pct"/>
                  <w:tcBorders>
                    <w:top w:val="single" w:sz="6" w:space="0" w:color="auto"/>
                    <w:left w:val="single" w:sz="6" w:space="0" w:color="auto"/>
                    <w:bottom w:val="single" w:sz="6" w:space="0" w:color="auto"/>
                    <w:right w:val="single" w:sz="6" w:space="0" w:color="auto"/>
                  </w:tcBorders>
                  <w:hideMark/>
                </w:tcPr>
                <w:p w14:paraId="03A2FE71"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F07D93E" w14:textId="77777777" w:rsidR="003B46CE" w:rsidRPr="00A552C3" w:rsidRDefault="003B46CE" w:rsidP="003B46CE">
                  <w:pPr>
                    <w:spacing w:after="60"/>
                    <w:rPr>
                      <w:iCs/>
                      <w:sz w:val="20"/>
                    </w:rPr>
                  </w:pPr>
                  <w:r w:rsidRPr="00A552C3">
                    <w:rPr>
                      <w:iCs/>
                      <w:sz w:val="20"/>
                    </w:rPr>
                    <w:t>A 15-minute Settlement Interval within the hour of an Operating Day during which the SWGR is instructed by ERCOT.</w:t>
                  </w:r>
                </w:p>
              </w:tc>
            </w:tr>
            <w:tr w:rsidR="003B46CE" w:rsidRPr="00A552C3" w14:paraId="07B60D26"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4952682D" w14:textId="77777777" w:rsidR="003B46CE" w:rsidRPr="00A552C3" w:rsidRDefault="003B46CE" w:rsidP="003B46CE">
                  <w:pPr>
                    <w:spacing w:after="60"/>
                    <w:rPr>
                      <w:i/>
                      <w:iCs/>
                      <w:sz w:val="20"/>
                    </w:rPr>
                  </w:pPr>
                  <w:r w:rsidRPr="00A552C3">
                    <w:rPr>
                      <w:i/>
                      <w:iCs/>
                      <w:sz w:val="20"/>
                    </w:rPr>
                    <w:t>s</w:t>
                  </w:r>
                </w:p>
              </w:tc>
              <w:tc>
                <w:tcPr>
                  <w:tcW w:w="692" w:type="pct"/>
                  <w:tcBorders>
                    <w:top w:val="single" w:sz="6" w:space="0" w:color="auto"/>
                    <w:left w:val="single" w:sz="6" w:space="0" w:color="auto"/>
                    <w:bottom w:val="single" w:sz="6" w:space="0" w:color="auto"/>
                    <w:right w:val="single" w:sz="6" w:space="0" w:color="auto"/>
                  </w:tcBorders>
                  <w:hideMark/>
                </w:tcPr>
                <w:p w14:paraId="797354DF"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88BD6A3" w14:textId="77777777" w:rsidR="003B46CE" w:rsidRPr="00A552C3" w:rsidRDefault="003B46CE" w:rsidP="003B46CE">
                  <w:pPr>
                    <w:spacing w:after="60"/>
                    <w:rPr>
                      <w:iCs/>
                      <w:sz w:val="20"/>
                      <w:highlight w:val="yellow"/>
                    </w:rPr>
                  </w:pPr>
                  <w:r w:rsidRPr="00A552C3">
                    <w:rPr>
                      <w:iCs/>
                      <w:sz w:val="20"/>
                    </w:rPr>
                    <w:t xml:space="preserve">An ERCOT area start that is eligible to have its costs included in the Switchable Generation Cost Guarantee. </w:t>
                  </w:r>
                </w:p>
              </w:tc>
            </w:tr>
            <w:tr w:rsidR="003B46CE" w:rsidRPr="00A552C3" w14:paraId="6C94CCD9"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6E232DCA" w14:textId="77777777" w:rsidR="003B46CE" w:rsidRPr="00A552C3" w:rsidRDefault="003B46CE" w:rsidP="003B46CE">
                  <w:pPr>
                    <w:spacing w:after="60"/>
                    <w:rPr>
                      <w:i/>
                      <w:iCs/>
                      <w:sz w:val="20"/>
                    </w:rPr>
                  </w:pPr>
                  <w:r w:rsidRPr="00A552C3">
                    <w:rPr>
                      <w:i/>
                      <w:iCs/>
                      <w:sz w:val="20"/>
                    </w:rPr>
                    <w:t>rc</w:t>
                  </w:r>
                </w:p>
              </w:tc>
              <w:tc>
                <w:tcPr>
                  <w:tcW w:w="692" w:type="pct"/>
                  <w:tcBorders>
                    <w:top w:val="single" w:sz="6" w:space="0" w:color="auto"/>
                    <w:left w:val="single" w:sz="6" w:space="0" w:color="auto"/>
                    <w:bottom w:val="single" w:sz="6" w:space="0" w:color="auto"/>
                    <w:right w:val="single" w:sz="6" w:space="0" w:color="auto"/>
                  </w:tcBorders>
                  <w:hideMark/>
                </w:tcPr>
                <w:p w14:paraId="56A0870E"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676A1AD8" w14:textId="77777777" w:rsidR="003B46CE" w:rsidRPr="00A552C3" w:rsidRDefault="003B46CE" w:rsidP="003B46CE">
                  <w:pPr>
                    <w:spacing w:after="60"/>
                    <w:rPr>
                      <w:iCs/>
                      <w:sz w:val="20"/>
                    </w:rPr>
                  </w:pPr>
                  <w:r w:rsidRPr="00A552C3">
                    <w:rPr>
                      <w:iCs/>
                      <w:sz w:val="20"/>
                    </w:rPr>
                    <w:t>A Resource Category.</w:t>
                  </w:r>
                </w:p>
              </w:tc>
            </w:tr>
            <w:tr w:rsidR="003B46CE" w:rsidRPr="00A552C3" w14:paraId="4D83613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3838EC1" w14:textId="77777777" w:rsidR="003B46CE" w:rsidRPr="00A552C3" w:rsidRDefault="003B46CE" w:rsidP="003B46CE">
                  <w:pPr>
                    <w:spacing w:after="60"/>
                    <w:rPr>
                      <w:i/>
                      <w:iCs/>
                      <w:sz w:val="20"/>
                    </w:rPr>
                  </w:pPr>
                  <w:r w:rsidRPr="00A552C3">
                    <w:rPr>
                      <w:i/>
                      <w:iCs/>
                      <w:sz w:val="20"/>
                    </w:rPr>
                    <w:t>p</w:t>
                  </w:r>
                </w:p>
              </w:tc>
              <w:tc>
                <w:tcPr>
                  <w:tcW w:w="692" w:type="pct"/>
                  <w:tcBorders>
                    <w:top w:val="single" w:sz="6" w:space="0" w:color="auto"/>
                    <w:left w:val="single" w:sz="6" w:space="0" w:color="auto"/>
                    <w:bottom w:val="single" w:sz="6" w:space="0" w:color="auto"/>
                    <w:right w:val="single" w:sz="6" w:space="0" w:color="auto"/>
                  </w:tcBorders>
                </w:tcPr>
                <w:p w14:paraId="0908479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1DAE947E" w14:textId="77777777" w:rsidR="003B46CE" w:rsidRPr="00A552C3" w:rsidRDefault="003B46CE" w:rsidP="003B46CE">
                  <w:pPr>
                    <w:spacing w:after="60"/>
                    <w:rPr>
                      <w:iCs/>
                      <w:sz w:val="20"/>
                    </w:rPr>
                  </w:pPr>
                  <w:r w:rsidRPr="00A552C3">
                    <w:rPr>
                      <w:iCs/>
                      <w:sz w:val="20"/>
                    </w:rPr>
                    <w:t>A Resource Node Settlement Point.</w:t>
                  </w:r>
                </w:p>
              </w:tc>
            </w:tr>
          </w:tbl>
          <w:p w14:paraId="2EB83648" w14:textId="690333C9" w:rsidR="00BE571E" w:rsidRPr="00B37C4B" w:rsidRDefault="00BE571E" w:rsidP="00BE571E">
            <w:pPr>
              <w:pStyle w:val="H3"/>
            </w:pPr>
          </w:p>
        </w:tc>
      </w:tr>
    </w:tbl>
    <w:p w14:paraId="724B9467" w14:textId="04EA6F34" w:rsidR="00236104" w:rsidRPr="004502BD" w:rsidRDefault="00236104" w:rsidP="00236104">
      <w:pPr>
        <w:pStyle w:val="BodyTextNumbered"/>
        <w:spacing w:before="240"/>
      </w:pPr>
      <w:r w:rsidRPr="004502BD">
        <w:lastRenderedPageBreak/>
        <w:t>(</w:t>
      </w:r>
      <w:r>
        <w:t>2</w:t>
      </w:r>
      <w:r w:rsidRPr="004502BD">
        <w:t>)</w:t>
      </w:r>
      <w:r w:rsidRPr="004502BD">
        <w:tab/>
        <w:t xml:space="preserve">The total compensation to each QSE for the </w:t>
      </w:r>
      <w:r>
        <w:t xml:space="preserve">Switchable Generation </w:t>
      </w:r>
      <w:r w:rsidRPr="004502BD">
        <w:t>Make-Whole Payment for</w:t>
      </w:r>
      <w:r>
        <w:t xml:space="preserve"> </w:t>
      </w:r>
      <w:r w:rsidRPr="004502BD">
        <w:t>a</w:t>
      </w:r>
      <w:r>
        <w:t xml:space="preserve"> given hour in the </w:t>
      </w:r>
      <w:r w:rsidRPr="004502BD">
        <w:t>Operating Day is calculated as follows:</w:t>
      </w:r>
    </w:p>
    <w:p w14:paraId="58892190" w14:textId="77777777" w:rsidR="00236104" w:rsidRPr="0058136B" w:rsidRDefault="00236104" w:rsidP="00236104">
      <w:pPr>
        <w:pStyle w:val="BodyTextNumbered"/>
        <w:ind w:left="1440"/>
        <w:rPr>
          <w:b/>
          <w:i/>
          <w:vertAlign w:val="subscript"/>
          <w:lang w:val="es-ES"/>
        </w:rPr>
      </w:pPr>
      <w:r w:rsidRPr="008A543E">
        <w:rPr>
          <w:b/>
        </w:rPr>
        <w:t>SWMWAMTQSETOT</w:t>
      </w:r>
      <w:r w:rsidRPr="0058136B">
        <w:rPr>
          <w:b/>
        </w:rPr>
        <w:t xml:space="preserve"> </w:t>
      </w:r>
      <w:r w:rsidRPr="008A543E">
        <w:rPr>
          <w:b/>
          <w:i/>
          <w:vertAlign w:val="subscript"/>
        </w:rPr>
        <w:t>q</w:t>
      </w:r>
      <w:r w:rsidRPr="0058136B">
        <w:rPr>
          <w:b/>
          <w:i/>
          <w:vertAlign w:val="subscript"/>
        </w:rPr>
        <w:tab/>
      </w:r>
      <w:r w:rsidRPr="0058136B">
        <w:rPr>
          <w:b/>
        </w:rPr>
        <w:t xml:space="preserve">=  </w:t>
      </w:r>
      <w:r w:rsidRPr="008A543E">
        <w:rPr>
          <w:b/>
          <w:position w:val="-18"/>
        </w:rPr>
        <w:object w:dxaOrig="220" w:dyaOrig="420" w14:anchorId="149310FE">
          <v:shape id="_x0000_i1309" type="#_x0000_t75" style="width:12pt;height:24pt" o:ole="">
            <v:imagedata r:id="rId382" o:title=""/>
          </v:shape>
          <o:OLEObject Type="Embed" ProgID="Equation.3" ShapeID="_x0000_i1309" DrawAspect="Content" ObjectID="_1815025498" r:id="rId383"/>
        </w:object>
      </w:r>
      <w:r w:rsidRPr="008A543E">
        <w:rPr>
          <w:b/>
        </w:rPr>
        <w:t xml:space="preserve"> SWMWAMT </w:t>
      </w:r>
      <w:r w:rsidRPr="008A543E">
        <w:rPr>
          <w:b/>
          <w:i/>
          <w:vertAlign w:val="subscript"/>
        </w:rPr>
        <w:t>q, r</w:t>
      </w:r>
    </w:p>
    <w:p w14:paraId="1FD97724" w14:textId="77777777" w:rsidR="00236104" w:rsidRPr="004502BD" w:rsidRDefault="00236104" w:rsidP="00236104">
      <w:pPr>
        <w:pStyle w:val="BodyTextNumbered"/>
        <w:spacing w:after="0"/>
      </w:pPr>
      <w:r w:rsidRPr="004502B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236104" w:rsidRPr="004502BD" w14:paraId="5FDAF585" w14:textId="77777777" w:rsidTr="00BA73E7">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74BC7425" w14:textId="77777777" w:rsidR="00236104" w:rsidRPr="004502BD" w:rsidRDefault="00236104" w:rsidP="00BA73E7">
            <w:pPr>
              <w:pStyle w:val="TableHead"/>
            </w:pPr>
            <w:r w:rsidRPr="004502BD">
              <w:t>Variable</w:t>
            </w:r>
          </w:p>
        </w:tc>
        <w:tc>
          <w:tcPr>
            <w:tcW w:w="433" w:type="pct"/>
            <w:tcBorders>
              <w:top w:val="single" w:sz="4" w:space="0" w:color="auto"/>
              <w:left w:val="single" w:sz="4" w:space="0" w:color="auto"/>
              <w:bottom w:val="single" w:sz="4" w:space="0" w:color="auto"/>
              <w:right w:val="single" w:sz="4" w:space="0" w:color="auto"/>
            </w:tcBorders>
            <w:hideMark/>
          </w:tcPr>
          <w:p w14:paraId="7CC0A7FF" w14:textId="77777777" w:rsidR="00236104" w:rsidRPr="004502BD" w:rsidRDefault="00236104" w:rsidP="00BA73E7">
            <w:pPr>
              <w:pStyle w:val="TableHead"/>
            </w:pPr>
            <w:r w:rsidRPr="004502BD">
              <w:t>Unit</w:t>
            </w:r>
          </w:p>
        </w:tc>
        <w:tc>
          <w:tcPr>
            <w:tcW w:w="3174" w:type="pct"/>
            <w:tcBorders>
              <w:top w:val="single" w:sz="4" w:space="0" w:color="auto"/>
              <w:left w:val="single" w:sz="4" w:space="0" w:color="auto"/>
              <w:bottom w:val="single" w:sz="4" w:space="0" w:color="auto"/>
              <w:right w:val="single" w:sz="4" w:space="0" w:color="auto"/>
            </w:tcBorders>
            <w:hideMark/>
          </w:tcPr>
          <w:p w14:paraId="05F9EBE2" w14:textId="77777777" w:rsidR="00236104" w:rsidRPr="004502BD" w:rsidRDefault="00236104" w:rsidP="00BA73E7">
            <w:pPr>
              <w:pStyle w:val="TableHead"/>
            </w:pPr>
            <w:r w:rsidRPr="004502BD">
              <w:t>Definition</w:t>
            </w:r>
          </w:p>
        </w:tc>
      </w:tr>
      <w:tr w:rsidR="00236104" w:rsidRPr="004502BD" w14:paraId="6AD8A9BF" w14:textId="77777777" w:rsidTr="00BA73E7">
        <w:trPr>
          <w:cantSplit/>
        </w:trPr>
        <w:tc>
          <w:tcPr>
            <w:tcW w:w="1393" w:type="pct"/>
            <w:tcBorders>
              <w:top w:val="single" w:sz="4" w:space="0" w:color="auto"/>
              <w:left w:val="single" w:sz="4" w:space="0" w:color="auto"/>
              <w:bottom w:val="single" w:sz="4" w:space="0" w:color="auto"/>
              <w:right w:val="single" w:sz="4" w:space="0" w:color="auto"/>
            </w:tcBorders>
            <w:hideMark/>
          </w:tcPr>
          <w:p w14:paraId="6E09E6E6" w14:textId="77777777" w:rsidR="00236104" w:rsidRPr="004502BD" w:rsidRDefault="00236104" w:rsidP="00BA73E7">
            <w:pPr>
              <w:pStyle w:val="TableBody"/>
            </w:pPr>
            <w:r w:rsidRPr="00C65DFA">
              <w:t>SWMWAMTQSETOT</w:t>
            </w:r>
            <w:r>
              <w:rPr>
                <w:b/>
              </w:rPr>
              <w:t xml:space="preserve"> </w:t>
            </w:r>
            <w:r w:rsidRPr="00067DC6">
              <w:rPr>
                <w:b/>
                <w:i/>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0CEC01DD"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hideMark/>
          </w:tcPr>
          <w:p w14:paraId="55103BF3" w14:textId="77777777" w:rsidR="00236104" w:rsidRPr="004502BD" w:rsidRDefault="00236104" w:rsidP="00BA73E7">
            <w:pPr>
              <w:pStyle w:val="TableBody"/>
            </w:pPr>
            <w:r w:rsidRPr="00C65DFA">
              <w:rPr>
                <w:i/>
              </w:rPr>
              <w:t xml:space="preserve">Switchable </w:t>
            </w:r>
            <w:r>
              <w:rPr>
                <w:i/>
              </w:rPr>
              <w:t xml:space="preserve">Generation </w:t>
            </w:r>
            <w:r w:rsidRPr="00C65DFA">
              <w:rPr>
                <w:i/>
              </w:rPr>
              <w:t>Make-Whole Payment</w:t>
            </w:r>
            <w:r>
              <w:rPr>
                <w:i/>
              </w:rPr>
              <w:t xml:space="preserve"> per QSE</w:t>
            </w:r>
            <w:r w:rsidRPr="00C65DFA">
              <w:t xml:space="preserve">—The </w:t>
            </w:r>
            <w:r>
              <w:t xml:space="preserve">total Switchable Generation </w:t>
            </w:r>
            <w:r w:rsidRPr="00C65DFA">
              <w:t xml:space="preserve">Make-Whole Payment to the QSE </w:t>
            </w:r>
            <w:r w:rsidRPr="00C65DFA">
              <w:rPr>
                <w:i/>
              </w:rPr>
              <w:t>q</w:t>
            </w:r>
            <w:r w:rsidRPr="00C65DFA">
              <w:t xml:space="preserve">, for the </w:t>
            </w:r>
            <w:r>
              <w:t>hour</w:t>
            </w:r>
            <w:r w:rsidRPr="00C65DFA">
              <w:t xml:space="preserve">.  </w:t>
            </w:r>
          </w:p>
        </w:tc>
      </w:tr>
      <w:tr w:rsidR="00236104" w:rsidRPr="004502BD" w14:paraId="7FCCDCF4"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14F507BD" w14:textId="77777777" w:rsidR="00236104" w:rsidRPr="004502BD" w:rsidRDefault="00236104" w:rsidP="00BA73E7">
            <w:pPr>
              <w:pStyle w:val="TableBody"/>
              <w:rPr>
                <w:b/>
              </w:rPr>
            </w:pPr>
            <w:r w:rsidRPr="00C65DFA">
              <w:t xml:space="preserve">SWMWAMT </w:t>
            </w:r>
            <w:r w:rsidRPr="00C65DFA">
              <w:rPr>
                <w:i/>
                <w:vertAlign w:val="subscript"/>
              </w:rPr>
              <w:t>q,</w:t>
            </w:r>
            <w:r>
              <w:rPr>
                <w:i/>
                <w:vertAlign w:val="subscript"/>
              </w:rPr>
              <w:t xml:space="preserve"> </w:t>
            </w:r>
            <w:r w:rsidRPr="00C65DFA">
              <w:rPr>
                <w:i/>
                <w:vertAlign w:val="subscript"/>
              </w:rPr>
              <w:t>r</w:t>
            </w:r>
          </w:p>
        </w:tc>
        <w:tc>
          <w:tcPr>
            <w:tcW w:w="433" w:type="pct"/>
            <w:tcBorders>
              <w:top w:val="single" w:sz="4" w:space="0" w:color="auto"/>
              <w:left w:val="single" w:sz="4" w:space="0" w:color="auto"/>
              <w:bottom w:val="single" w:sz="4" w:space="0" w:color="auto"/>
              <w:right w:val="single" w:sz="4" w:space="0" w:color="auto"/>
            </w:tcBorders>
          </w:tcPr>
          <w:p w14:paraId="1736A12C"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25D1E1B6" w14:textId="77777777" w:rsidR="00236104" w:rsidRPr="004A7166" w:rsidRDefault="00236104" w:rsidP="00BA73E7">
            <w:pPr>
              <w:pStyle w:val="TableBody"/>
              <w:rPr>
                <w:i/>
              </w:rPr>
            </w:pPr>
            <w:r w:rsidRPr="00C65DFA">
              <w:rPr>
                <w:i/>
              </w:rPr>
              <w:t xml:space="preserve">Switchable </w:t>
            </w:r>
            <w:r>
              <w:rPr>
                <w:i/>
              </w:rPr>
              <w:t xml:space="preserve">Generation </w:t>
            </w:r>
            <w:r w:rsidRPr="00C65DFA">
              <w:rPr>
                <w:i/>
              </w:rPr>
              <w:t>Make-Whole Payment</w:t>
            </w:r>
            <w:r w:rsidRPr="00C65DFA">
              <w:t xml:space="preserve">—The </w:t>
            </w:r>
            <w:r>
              <w:t xml:space="preserve">Switchable Generation </w:t>
            </w:r>
            <w:r w:rsidRPr="00C65DFA">
              <w:t xml:space="preserve">Make-Whole Payment to the QSE </w:t>
            </w:r>
            <w:r w:rsidRPr="00C65DFA">
              <w:rPr>
                <w:i/>
              </w:rPr>
              <w:t>q,</w:t>
            </w:r>
            <w:r w:rsidRPr="00C65DFA">
              <w:t xml:space="preserve"> for Resource </w:t>
            </w:r>
            <w:r w:rsidRPr="00C65DFA">
              <w:rPr>
                <w:i/>
              </w:rPr>
              <w:t>r</w:t>
            </w:r>
            <w:r w:rsidRPr="00C65DFA">
              <w:t xml:space="preserve">, for the </w:t>
            </w:r>
            <w:r>
              <w:t>hour</w:t>
            </w:r>
            <w:r w:rsidRPr="00C65DFA">
              <w:t xml:space="preserve">.  Where for a Combined Cycle Train, the Resource </w:t>
            </w:r>
            <w:r w:rsidRPr="00C65DFA">
              <w:rPr>
                <w:i/>
              </w:rPr>
              <w:t xml:space="preserve">r </w:t>
            </w:r>
            <w:r w:rsidRPr="00C65DFA">
              <w:t>is the Combined Cycle Train.</w:t>
            </w:r>
          </w:p>
        </w:tc>
      </w:tr>
      <w:tr w:rsidR="00236104" w:rsidRPr="004502BD" w14:paraId="512AF95E" w14:textId="77777777" w:rsidTr="00BA73E7">
        <w:trPr>
          <w:cantSplit/>
        </w:trPr>
        <w:tc>
          <w:tcPr>
            <w:tcW w:w="1393" w:type="pct"/>
            <w:tcBorders>
              <w:top w:val="single" w:sz="4" w:space="0" w:color="auto"/>
              <w:left w:val="single" w:sz="4" w:space="0" w:color="auto"/>
              <w:bottom w:val="single" w:sz="4" w:space="0" w:color="auto"/>
              <w:right w:val="single" w:sz="4" w:space="0" w:color="auto"/>
            </w:tcBorders>
            <w:hideMark/>
          </w:tcPr>
          <w:p w14:paraId="714574AC" w14:textId="77777777" w:rsidR="00236104" w:rsidRPr="004502BD" w:rsidRDefault="00236104" w:rsidP="00BA73E7">
            <w:pPr>
              <w:pStyle w:val="TableBody"/>
              <w:rPr>
                <w:i/>
              </w:rPr>
            </w:pPr>
            <w:r w:rsidRPr="004502BD">
              <w:rPr>
                <w:i/>
              </w:rPr>
              <w:t>q</w:t>
            </w:r>
          </w:p>
        </w:tc>
        <w:tc>
          <w:tcPr>
            <w:tcW w:w="433" w:type="pct"/>
            <w:tcBorders>
              <w:top w:val="single" w:sz="4" w:space="0" w:color="auto"/>
              <w:left w:val="single" w:sz="4" w:space="0" w:color="auto"/>
              <w:bottom w:val="single" w:sz="4" w:space="0" w:color="auto"/>
              <w:right w:val="single" w:sz="4" w:space="0" w:color="auto"/>
            </w:tcBorders>
            <w:hideMark/>
          </w:tcPr>
          <w:p w14:paraId="1099EA64" w14:textId="77777777" w:rsidR="00236104" w:rsidRPr="004502BD" w:rsidRDefault="00236104" w:rsidP="00BA73E7">
            <w:pPr>
              <w:pStyle w:val="TableBody"/>
            </w:pPr>
            <w:r w:rsidRPr="004502BD">
              <w:t>none</w:t>
            </w:r>
          </w:p>
        </w:tc>
        <w:tc>
          <w:tcPr>
            <w:tcW w:w="3174" w:type="pct"/>
            <w:tcBorders>
              <w:top w:val="single" w:sz="4" w:space="0" w:color="auto"/>
              <w:left w:val="single" w:sz="4" w:space="0" w:color="auto"/>
              <w:bottom w:val="single" w:sz="4" w:space="0" w:color="auto"/>
              <w:right w:val="single" w:sz="4" w:space="0" w:color="auto"/>
            </w:tcBorders>
            <w:hideMark/>
          </w:tcPr>
          <w:p w14:paraId="7BC1B433" w14:textId="77777777" w:rsidR="00236104" w:rsidRPr="004502BD" w:rsidRDefault="00236104" w:rsidP="00BA73E7">
            <w:pPr>
              <w:pStyle w:val="TableBody"/>
            </w:pPr>
            <w:r w:rsidRPr="004502BD">
              <w:t>A QSE.</w:t>
            </w:r>
          </w:p>
        </w:tc>
      </w:tr>
      <w:tr w:rsidR="00236104" w:rsidRPr="004502BD" w14:paraId="69AB95DE" w14:textId="77777777" w:rsidTr="00BA73E7">
        <w:trPr>
          <w:cantSplit/>
        </w:trPr>
        <w:tc>
          <w:tcPr>
            <w:tcW w:w="1393" w:type="pct"/>
            <w:tcBorders>
              <w:top w:val="single" w:sz="4" w:space="0" w:color="auto"/>
              <w:left w:val="single" w:sz="4" w:space="0" w:color="auto"/>
              <w:bottom w:val="single" w:sz="4" w:space="0" w:color="auto"/>
              <w:right w:val="single" w:sz="4" w:space="0" w:color="auto"/>
            </w:tcBorders>
            <w:hideMark/>
          </w:tcPr>
          <w:p w14:paraId="78AD7A44" w14:textId="77777777" w:rsidR="00236104" w:rsidRPr="004502BD" w:rsidRDefault="00236104" w:rsidP="00BA73E7">
            <w:pPr>
              <w:pStyle w:val="TableBody"/>
              <w:rPr>
                <w:i/>
              </w:rPr>
            </w:pPr>
            <w:r w:rsidRPr="004502BD">
              <w:rPr>
                <w:i/>
              </w:rPr>
              <w:t>r</w:t>
            </w:r>
          </w:p>
        </w:tc>
        <w:tc>
          <w:tcPr>
            <w:tcW w:w="433" w:type="pct"/>
            <w:tcBorders>
              <w:top w:val="single" w:sz="4" w:space="0" w:color="auto"/>
              <w:left w:val="single" w:sz="4" w:space="0" w:color="auto"/>
              <w:bottom w:val="single" w:sz="4" w:space="0" w:color="auto"/>
              <w:right w:val="single" w:sz="4" w:space="0" w:color="auto"/>
            </w:tcBorders>
            <w:hideMark/>
          </w:tcPr>
          <w:p w14:paraId="32386ADB" w14:textId="77777777" w:rsidR="00236104" w:rsidRPr="004502BD" w:rsidRDefault="00236104" w:rsidP="00BA73E7">
            <w:pPr>
              <w:pStyle w:val="TableBody"/>
            </w:pPr>
            <w:r w:rsidRPr="004502BD">
              <w:t>none</w:t>
            </w:r>
          </w:p>
        </w:tc>
        <w:tc>
          <w:tcPr>
            <w:tcW w:w="3174" w:type="pct"/>
            <w:tcBorders>
              <w:top w:val="single" w:sz="4" w:space="0" w:color="auto"/>
              <w:left w:val="single" w:sz="4" w:space="0" w:color="auto"/>
              <w:bottom w:val="single" w:sz="4" w:space="0" w:color="auto"/>
              <w:right w:val="single" w:sz="4" w:space="0" w:color="auto"/>
            </w:tcBorders>
            <w:hideMark/>
          </w:tcPr>
          <w:p w14:paraId="3968199E" w14:textId="77777777" w:rsidR="00236104" w:rsidRPr="004502BD" w:rsidRDefault="00236104" w:rsidP="00BA73E7">
            <w:pPr>
              <w:pStyle w:val="TableBody"/>
            </w:pPr>
            <w:r w:rsidRPr="004502BD">
              <w:t xml:space="preserve">A </w:t>
            </w:r>
            <w:r>
              <w:t xml:space="preserve">Switchable </w:t>
            </w:r>
            <w:r w:rsidRPr="004502BD">
              <w:t>Generation Resource.</w:t>
            </w:r>
          </w:p>
        </w:tc>
      </w:tr>
    </w:tbl>
    <w:p w14:paraId="76A14CD2" w14:textId="7AAEE3B6" w:rsidR="00236104" w:rsidRPr="00236104" w:rsidRDefault="00236104" w:rsidP="00236104">
      <w:pPr>
        <w:pStyle w:val="H4"/>
        <w:spacing w:before="480"/>
        <w:ind w:left="1267" w:hanging="1267"/>
      </w:pPr>
      <w:bookmarkStart w:id="2666" w:name="_Toc204411733"/>
      <w:r w:rsidRPr="00236104">
        <w:t>6.6.12.2</w:t>
      </w:r>
      <w:r w:rsidRPr="00236104">
        <w:tab/>
        <w:t>Switchable Generation Make-Whole Charge</w:t>
      </w:r>
      <w:bookmarkEnd w:id="2666"/>
      <w:r w:rsidRPr="00236104">
        <w:t xml:space="preserve"> </w:t>
      </w:r>
    </w:p>
    <w:p w14:paraId="250D1910" w14:textId="77777777" w:rsidR="00236104" w:rsidRPr="00830ABD" w:rsidRDefault="00236104" w:rsidP="00236104">
      <w:pPr>
        <w:spacing w:after="240"/>
        <w:ind w:left="720" w:hanging="720"/>
      </w:pPr>
      <w:r w:rsidRPr="00830ABD">
        <w:t>(1)</w:t>
      </w:r>
      <w:r w:rsidRPr="00830ABD">
        <w:tab/>
        <w:t>The total cost for Switchable Generation Make-Whole Payments associated with SWGRs that switch to the ERCOT Control Area from a non-ERCOT Control Area pursuant to an ERCOT RU</w:t>
      </w:r>
      <w:r>
        <w:t>C</w:t>
      </w:r>
      <w:r w:rsidRPr="00830ABD">
        <w:t xml:space="preserve"> instruction for an actual or anticipated EEA condition is allocated to QSEs representing Load based on HLRS.  The Switchable Generation Make-Whole Charge for a given hour is calculated as follows:  </w:t>
      </w:r>
    </w:p>
    <w:p w14:paraId="02874F8F" w14:textId="77777777" w:rsidR="00236104" w:rsidRPr="008A543E" w:rsidRDefault="00236104" w:rsidP="00236104">
      <w:pPr>
        <w:tabs>
          <w:tab w:val="left" w:pos="2610"/>
          <w:tab w:val="left" w:pos="3060"/>
        </w:tabs>
        <w:spacing w:after="240"/>
        <w:ind w:left="3060" w:hanging="2340"/>
        <w:rPr>
          <w:b/>
          <w:bCs/>
          <w:i/>
          <w:szCs w:val="24"/>
          <w:vertAlign w:val="subscript"/>
        </w:rPr>
      </w:pPr>
      <w:r w:rsidRPr="008A543E">
        <w:rPr>
          <w:b/>
          <w:bCs/>
          <w:szCs w:val="24"/>
        </w:rPr>
        <w:t xml:space="preserve">LASWMWAMT </w:t>
      </w:r>
      <w:r w:rsidRPr="008A543E">
        <w:rPr>
          <w:b/>
          <w:bCs/>
          <w:i/>
          <w:szCs w:val="24"/>
          <w:vertAlign w:val="subscript"/>
        </w:rPr>
        <w:t>q</w:t>
      </w:r>
      <w:r w:rsidRPr="008A543E">
        <w:rPr>
          <w:b/>
          <w:bCs/>
          <w:szCs w:val="24"/>
        </w:rPr>
        <w:tab/>
      </w:r>
      <w:r w:rsidRPr="008A543E">
        <w:rPr>
          <w:b/>
        </w:rPr>
        <w:tab/>
      </w:r>
      <w:r w:rsidRPr="008A543E">
        <w:rPr>
          <w:b/>
          <w:bCs/>
          <w:szCs w:val="24"/>
        </w:rPr>
        <w:t>=</w:t>
      </w:r>
      <w:r w:rsidRPr="008A543E">
        <w:rPr>
          <w:b/>
          <w:bCs/>
          <w:szCs w:val="24"/>
        </w:rPr>
        <w:tab/>
        <w:t xml:space="preserve">(-1) * </w:t>
      </w:r>
      <w:r w:rsidRPr="008A543E">
        <w:rPr>
          <w:b/>
          <w:szCs w:val="24"/>
        </w:rPr>
        <w:t>SWMWAMTTOT</w:t>
      </w:r>
      <w:r w:rsidRPr="008A543E">
        <w:rPr>
          <w:b/>
          <w:bCs/>
          <w:szCs w:val="24"/>
        </w:rPr>
        <w:t xml:space="preserve"> * HLRS </w:t>
      </w:r>
      <w:r w:rsidRPr="008A543E">
        <w:rPr>
          <w:b/>
          <w:bCs/>
          <w:i/>
          <w:szCs w:val="24"/>
          <w:vertAlign w:val="subscript"/>
        </w:rPr>
        <w:t>q</w:t>
      </w:r>
    </w:p>
    <w:p w14:paraId="1C03E523" w14:textId="77777777" w:rsidR="00236104" w:rsidRPr="00830ABD" w:rsidRDefault="00236104" w:rsidP="00236104">
      <w:pPr>
        <w:spacing w:before="240" w:after="240"/>
        <w:ind w:left="3600" w:hanging="2880"/>
        <w:rPr>
          <w:bCs/>
          <w:szCs w:val="24"/>
        </w:rPr>
      </w:pPr>
      <w:r w:rsidRPr="00830ABD">
        <w:rPr>
          <w:bCs/>
          <w:szCs w:val="24"/>
        </w:rPr>
        <w:t>Where:</w:t>
      </w:r>
    </w:p>
    <w:p w14:paraId="5C7A2E6E" w14:textId="77777777" w:rsidR="00236104" w:rsidRPr="00830ABD" w:rsidRDefault="00236104" w:rsidP="00236104">
      <w:pPr>
        <w:tabs>
          <w:tab w:val="left" w:pos="2610"/>
          <w:tab w:val="left" w:pos="3060"/>
        </w:tabs>
        <w:spacing w:after="240"/>
        <w:ind w:left="3060" w:hanging="2340"/>
        <w:rPr>
          <w:bCs/>
          <w:szCs w:val="24"/>
        </w:rPr>
      </w:pPr>
      <w:r w:rsidRPr="00830ABD">
        <w:rPr>
          <w:bCs/>
          <w:szCs w:val="24"/>
        </w:rPr>
        <w:t>SWMWAMTTOT</w:t>
      </w:r>
      <w:r>
        <w:tab/>
      </w:r>
      <w:r>
        <w:tab/>
      </w:r>
      <w:r w:rsidRPr="00830ABD">
        <w:rPr>
          <w:bCs/>
          <w:szCs w:val="24"/>
        </w:rPr>
        <w:t>=</w:t>
      </w:r>
      <w:r w:rsidRPr="00830ABD">
        <w:rPr>
          <w:bCs/>
          <w:szCs w:val="24"/>
        </w:rPr>
        <w:tab/>
        <w:t xml:space="preserve"> </w:t>
      </w:r>
      <w:r w:rsidR="00494238">
        <w:rPr>
          <w:bCs/>
          <w:position w:val="-22"/>
          <w:szCs w:val="24"/>
        </w:rPr>
        <w:pict w14:anchorId="68FF9CE3">
          <v:shape id="_x0000_i1310" type="#_x0000_t75" style="width:12pt;height:30pt">
            <v:imagedata r:id="rId384" o:title=""/>
          </v:shape>
        </w:pict>
      </w:r>
      <w:r w:rsidRPr="00830ABD">
        <w:rPr>
          <w:bCs/>
          <w:color w:val="000000"/>
          <w:szCs w:val="24"/>
        </w:rPr>
        <w:t xml:space="preserve"> </w:t>
      </w:r>
      <w:r w:rsidRPr="00830ABD">
        <w:rPr>
          <w:bCs/>
          <w:szCs w:val="24"/>
        </w:rPr>
        <w:t>SWMWAMTQSETOT</w:t>
      </w:r>
      <w:r w:rsidRPr="00830ABD">
        <w:rPr>
          <w:b/>
          <w:bCs/>
          <w:szCs w:val="24"/>
        </w:rPr>
        <w:t xml:space="preserve"> </w:t>
      </w:r>
      <w:r w:rsidRPr="00830ABD">
        <w:rPr>
          <w:bCs/>
          <w:i/>
          <w:szCs w:val="24"/>
          <w:vertAlign w:val="subscript"/>
        </w:rPr>
        <w:t>q</w:t>
      </w:r>
    </w:p>
    <w:p w14:paraId="56542413" w14:textId="77777777" w:rsidR="00236104" w:rsidRPr="00830ABD" w:rsidRDefault="00236104" w:rsidP="00236104">
      <w:pPr>
        <w:spacing w:before="120"/>
        <w:rPr>
          <w:szCs w:val="24"/>
        </w:rPr>
      </w:pPr>
      <w:r w:rsidRPr="00830ABD">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236104" w:rsidRPr="004502BD" w14:paraId="6764DF7C" w14:textId="77777777" w:rsidTr="00BA73E7">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74F8DF3D" w14:textId="77777777" w:rsidR="00236104" w:rsidRPr="004A7166" w:rsidRDefault="00236104" w:rsidP="00BA73E7">
            <w:pPr>
              <w:pStyle w:val="TableHead"/>
            </w:pPr>
            <w:r w:rsidRPr="004A7166">
              <w:lastRenderedPageBreak/>
              <w:t>Variable</w:t>
            </w:r>
          </w:p>
        </w:tc>
        <w:tc>
          <w:tcPr>
            <w:tcW w:w="433" w:type="pct"/>
            <w:tcBorders>
              <w:top w:val="single" w:sz="4" w:space="0" w:color="auto"/>
              <w:left w:val="single" w:sz="4" w:space="0" w:color="auto"/>
              <w:bottom w:val="single" w:sz="4" w:space="0" w:color="auto"/>
              <w:right w:val="single" w:sz="4" w:space="0" w:color="auto"/>
            </w:tcBorders>
            <w:hideMark/>
          </w:tcPr>
          <w:p w14:paraId="0A992E69" w14:textId="77777777" w:rsidR="00236104" w:rsidRPr="004502BD" w:rsidRDefault="00236104" w:rsidP="00BA73E7">
            <w:pPr>
              <w:pStyle w:val="TableHead"/>
            </w:pPr>
            <w:r w:rsidRPr="004502BD">
              <w:t>Unit</w:t>
            </w:r>
          </w:p>
        </w:tc>
        <w:tc>
          <w:tcPr>
            <w:tcW w:w="3174" w:type="pct"/>
            <w:tcBorders>
              <w:top w:val="single" w:sz="4" w:space="0" w:color="auto"/>
              <w:left w:val="single" w:sz="4" w:space="0" w:color="auto"/>
              <w:bottom w:val="single" w:sz="4" w:space="0" w:color="auto"/>
              <w:right w:val="single" w:sz="4" w:space="0" w:color="auto"/>
            </w:tcBorders>
            <w:hideMark/>
          </w:tcPr>
          <w:p w14:paraId="31962060" w14:textId="77777777" w:rsidR="00236104" w:rsidRPr="004502BD" w:rsidRDefault="00236104" w:rsidP="00BA73E7">
            <w:pPr>
              <w:pStyle w:val="TableHead"/>
            </w:pPr>
            <w:r w:rsidRPr="004502BD">
              <w:t>Definition</w:t>
            </w:r>
          </w:p>
        </w:tc>
      </w:tr>
      <w:tr w:rsidR="00236104" w:rsidRPr="004502BD" w14:paraId="2E1941C1"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23DE855F" w14:textId="77777777" w:rsidR="00236104" w:rsidRPr="004502BD" w:rsidRDefault="00236104" w:rsidP="00BA73E7">
            <w:pPr>
              <w:pStyle w:val="TableBody"/>
            </w:pPr>
            <w:r w:rsidRPr="005D1BEB">
              <w:rPr>
                <w:bCs/>
              </w:rPr>
              <w:t>LA</w:t>
            </w:r>
            <w:r>
              <w:rPr>
                <w:bCs/>
              </w:rPr>
              <w:t>SWMW</w:t>
            </w:r>
            <w:r w:rsidRPr="002B4F4F">
              <w:rPr>
                <w:bCs/>
              </w:rPr>
              <w:t>AMT</w:t>
            </w:r>
            <w:r w:rsidRPr="001752E6">
              <w:rPr>
                <w:i/>
                <w:vertAlign w:val="subscript"/>
              </w:rPr>
              <w:t xml:space="preserve"> q</w:t>
            </w:r>
          </w:p>
        </w:tc>
        <w:tc>
          <w:tcPr>
            <w:tcW w:w="433" w:type="pct"/>
            <w:tcBorders>
              <w:top w:val="single" w:sz="4" w:space="0" w:color="auto"/>
              <w:left w:val="single" w:sz="4" w:space="0" w:color="auto"/>
              <w:bottom w:val="single" w:sz="4" w:space="0" w:color="auto"/>
              <w:right w:val="single" w:sz="4" w:space="0" w:color="auto"/>
            </w:tcBorders>
          </w:tcPr>
          <w:p w14:paraId="2AAF4183"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20711AAE" w14:textId="77777777" w:rsidR="00236104" w:rsidRPr="00AB0B35" w:rsidRDefault="00236104" w:rsidP="00BA73E7">
            <w:pPr>
              <w:pStyle w:val="TableBody"/>
              <w:rPr>
                <w:i/>
              </w:rPr>
            </w:pPr>
            <w:r w:rsidRPr="00AB0B35">
              <w:rPr>
                <w:i/>
              </w:rPr>
              <w:t xml:space="preserve">Load Allocated </w:t>
            </w:r>
            <w:r>
              <w:rPr>
                <w:i/>
              </w:rPr>
              <w:t>Switchable Generation Make-Whole Charge Amount</w:t>
            </w:r>
            <w:r w:rsidRPr="00ED4A39">
              <w:rPr>
                <w:i/>
                <w:iCs w:val="0"/>
              </w:rPr>
              <w:t xml:space="preserve">– </w:t>
            </w:r>
            <w:r w:rsidRPr="004502BD">
              <w:t xml:space="preserve">The </w:t>
            </w:r>
            <w:r>
              <w:t>allocated</w:t>
            </w:r>
            <w:r w:rsidRPr="00AB0B35">
              <w:t xml:space="preserve"> charge to QSE</w:t>
            </w:r>
            <w:r>
              <w:t xml:space="preserve"> </w:t>
            </w:r>
            <w:r>
              <w:rPr>
                <w:i/>
              </w:rPr>
              <w:t>q</w:t>
            </w:r>
            <w:r w:rsidRPr="00AB0B35">
              <w:t xml:space="preserve"> for </w:t>
            </w:r>
            <w:r>
              <w:t>Switchable Generation Make-Whole Payments.</w:t>
            </w:r>
          </w:p>
        </w:tc>
      </w:tr>
      <w:tr w:rsidR="00236104" w:rsidRPr="004502BD" w14:paraId="78C03208"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19FC59F7" w14:textId="77777777" w:rsidR="00236104" w:rsidRPr="004502BD" w:rsidRDefault="00236104" w:rsidP="00BA73E7">
            <w:pPr>
              <w:pStyle w:val="TableBody"/>
            </w:pPr>
            <w:r w:rsidRPr="00C65DFA">
              <w:t>SWMWAMT</w:t>
            </w:r>
            <w:r w:rsidRPr="004502BD">
              <w:t>TOT</w:t>
            </w:r>
          </w:p>
        </w:tc>
        <w:tc>
          <w:tcPr>
            <w:tcW w:w="433" w:type="pct"/>
            <w:tcBorders>
              <w:top w:val="single" w:sz="4" w:space="0" w:color="auto"/>
              <w:left w:val="single" w:sz="4" w:space="0" w:color="auto"/>
              <w:bottom w:val="single" w:sz="4" w:space="0" w:color="auto"/>
              <w:right w:val="single" w:sz="4" w:space="0" w:color="auto"/>
            </w:tcBorders>
          </w:tcPr>
          <w:p w14:paraId="01140BD6"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7916BF92" w14:textId="77777777" w:rsidR="00236104" w:rsidRPr="00AB0B35" w:rsidRDefault="00236104" w:rsidP="00BA73E7">
            <w:pPr>
              <w:pStyle w:val="TableBody"/>
              <w:rPr>
                <w:i/>
              </w:rPr>
            </w:pPr>
            <w:r w:rsidRPr="00250272">
              <w:rPr>
                <w:i/>
              </w:rPr>
              <w:t xml:space="preserve">Switchable </w:t>
            </w:r>
            <w:r>
              <w:rPr>
                <w:i/>
              </w:rPr>
              <w:t xml:space="preserve">Generation </w:t>
            </w:r>
            <w:r w:rsidRPr="00250272">
              <w:rPr>
                <w:i/>
              </w:rPr>
              <w:t xml:space="preserve">Make-Whole Payment </w:t>
            </w:r>
            <w:r>
              <w:rPr>
                <w:i/>
              </w:rPr>
              <w:t>Total</w:t>
            </w:r>
            <w:r w:rsidRPr="00250272">
              <w:rPr>
                <w:i/>
              </w:rPr>
              <w:t>—</w:t>
            </w:r>
            <w:r w:rsidRPr="00067DC6">
              <w:t xml:space="preserve">The </w:t>
            </w:r>
            <w:r>
              <w:t xml:space="preserve">total </w:t>
            </w:r>
            <w:r w:rsidRPr="00067DC6">
              <w:t>Switchable Generation Make-Whole Payment</w:t>
            </w:r>
            <w:r>
              <w:t>s</w:t>
            </w:r>
            <w:r w:rsidRPr="00067DC6">
              <w:t xml:space="preserve"> to all QSEs for the hour</w:t>
            </w:r>
            <w:r>
              <w:t>.</w:t>
            </w:r>
            <w:r w:rsidRPr="00250272">
              <w:rPr>
                <w:i/>
              </w:rPr>
              <w:t xml:space="preserve">  </w:t>
            </w:r>
          </w:p>
        </w:tc>
      </w:tr>
      <w:tr w:rsidR="00236104" w:rsidRPr="004502BD" w14:paraId="27034025"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004C5B2A" w14:textId="77777777" w:rsidR="00236104" w:rsidRPr="00C65DFA" w:rsidDel="00FF5D22" w:rsidRDefault="00236104" w:rsidP="00BA73E7">
            <w:pPr>
              <w:pStyle w:val="TableBody"/>
            </w:pPr>
            <w:r w:rsidRPr="00C65DFA">
              <w:t>SWMWAMTQSETOT</w:t>
            </w:r>
            <w:r>
              <w:rPr>
                <w:b/>
              </w:rPr>
              <w:t xml:space="preserve"> </w:t>
            </w:r>
            <w:r w:rsidRPr="003C547A">
              <w:rPr>
                <w:b/>
                <w:i/>
                <w:vertAlign w:val="subscript"/>
              </w:rPr>
              <w:t>q</w:t>
            </w:r>
          </w:p>
        </w:tc>
        <w:tc>
          <w:tcPr>
            <w:tcW w:w="433" w:type="pct"/>
            <w:tcBorders>
              <w:top w:val="single" w:sz="4" w:space="0" w:color="auto"/>
              <w:left w:val="single" w:sz="4" w:space="0" w:color="auto"/>
              <w:bottom w:val="single" w:sz="4" w:space="0" w:color="auto"/>
              <w:right w:val="single" w:sz="4" w:space="0" w:color="auto"/>
            </w:tcBorders>
          </w:tcPr>
          <w:p w14:paraId="0C521049"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43477293" w14:textId="77777777" w:rsidR="00236104" w:rsidRPr="00250272" w:rsidRDefault="00236104" w:rsidP="00BA73E7">
            <w:pPr>
              <w:pStyle w:val="TableBody"/>
              <w:rPr>
                <w:i/>
              </w:rPr>
            </w:pPr>
            <w:r w:rsidRPr="00C65DFA">
              <w:rPr>
                <w:i/>
              </w:rPr>
              <w:t xml:space="preserve">Switchable </w:t>
            </w:r>
            <w:r>
              <w:rPr>
                <w:i/>
              </w:rPr>
              <w:t xml:space="preserve">Generation </w:t>
            </w:r>
            <w:r w:rsidRPr="00C65DFA">
              <w:rPr>
                <w:i/>
              </w:rPr>
              <w:t>Make-Whole Payment</w:t>
            </w:r>
            <w:r>
              <w:rPr>
                <w:i/>
              </w:rPr>
              <w:t xml:space="preserve"> per QSE </w:t>
            </w:r>
            <w:r w:rsidRPr="00C65DFA">
              <w:t xml:space="preserve">—The </w:t>
            </w:r>
            <w:r>
              <w:t xml:space="preserve">total Switchable Generation </w:t>
            </w:r>
            <w:r w:rsidRPr="00C65DFA">
              <w:t xml:space="preserve">Make-Whole Payment to the QSE </w:t>
            </w:r>
            <w:r w:rsidRPr="00C65DFA">
              <w:rPr>
                <w:i/>
              </w:rPr>
              <w:t>q</w:t>
            </w:r>
            <w:r w:rsidRPr="00C65DFA">
              <w:t xml:space="preserve"> for the </w:t>
            </w:r>
            <w:r>
              <w:t>hour</w:t>
            </w:r>
            <w:r w:rsidRPr="00C65DFA">
              <w:t xml:space="preserve">.  </w:t>
            </w:r>
          </w:p>
        </w:tc>
      </w:tr>
      <w:tr w:rsidR="00236104" w:rsidRPr="004502BD" w14:paraId="7CFD72B4"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42C09253" w14:textId="77777777" w:rsidR="00236104" w:rsidRPr="00C65DFA" w:rsidRDefault="00236104" w:rsidP="00BA73E7">
            <w:pPr>
              <w:pStyle w:val="TableBody"/>
            </w:pPr>
            <w:r w:rsidRPr="00132FF5">
              <w:t>HLRS</w:t>
            </w:r>
            <w:r w:rsidRPr="00067DC6">
              <w:rPr>
                <w:i/>
                <w:vertAlign w:val="subscript"/>
              </w:rPr>
              <w:t xml:space="preserve"> q</w:t>
            </w:r>
          </w:p>
        </w:tc>
        <w:tc>
          <w:tcPr>
            <w:tcW w:w="433" w:type="pct"/>
            <w:tcBorders>
              <w:top w:val="single" w:sz="4" w:space="0" w:color="auto"/>
              <w:left w:val="single" w:sz="4" w:space="0" w:color="auto"/>
              <w:bottom w:val="single" w:sz="4" w:space="0" w:color="auto"/>
              <w:right w:val="single" w:sz="4" w:space="0" w:color="auto"/>
            </w:tcBorders>
          </w:tcPr>
          <w:p w14:paraId="70BA4D8B" w14:textId="77777777" w:rsidR="00236104" w:rsidRPr="004502BD" w:rsidRDefault="00236104" w:rsidP="00BA73E7">
            <w:pPr>
              <w:pStyle w:val="TableBody"/>
            </w:pPr>
            <w:r w:rsidRPr="00132FF5">
              <w:t>none</w:t>
            </w:r>
          </w:p>
        </w:tc>
        <w:tc>
          <w:tcPr>
            <w:tcW w:w="3174" w:type="pct"/>
            <w:tcBorders>
              <w:top w:val="single" w:sz="4" w:space="0" w:color="auto"/>
              <w:left w:val="single" w:sz="4" w:space="0" w:color="auto"/>
              <w:bottom w:val="single" w:sz="4" w:space="0" w:color="auto"/>
              <w:right w:val="single" w:sz="4" w:space="0" w:color="auto"/>
            </w:tcBorders>
          </w:tcPr>
          <w:p w14:paraId="363DD411" w14:textId="77777777" w:rsidR="00236104" w:rsidRPr="00250272" w:rsidRDefault="00236104" w:rsidP="00BA73E7">
            <w:pPr>
              <w:pStyle w:val="TableBody"/>
              <w:rPr>
                <w:i/>
              </w:rPr>
            </w:pPr>
            <w:r w:rsidRPr="00FA31E9">
              <w:rPr>
                <w:i/>
              </w:rPr>
              <w:t xml:space="preserve">The </w:t>
            </w:r>
            <w:r>
              <w:rPr>
                <w:i/>
              </w:rPr>
              <w:t>H</w:t>
            </w:r>
            <w:r w:rsidRPr="00FA31E9">
              <w:rPr>
                <w:i/>
              </w:rPr>
              <w:t>ourly L</w:t>
            </w:r>
            <w:r>
              <w:rPr>
                <w:i/>
              </w:rPr>
              <w:t xml:space="preserve">oad </w:t>
            </w:r>
            <w:r w:rsidRPr="00FA31E9">
              <w:rPr>
                <w:i/>
              </w:rPr>
              <w:t>R</w:t>
            </w:r>
            <w:r>
              <w:rPr>
                <w:i/>
              </w:rPr>
              <w:t>atio</w:t>
            </w:r>
            <w:r w:rsidRPr="00FA31E9">
              <w:rPr>
                <w:i/>
              </w:rPr>
              <w:t xml:space="preserve"> S</w:t>
            </w:r>
            <w:r>
              <w:rPr>
                <w:i/>
              </w:rPr>
              <w:t>hare</w:t>
            </w:r>
            <w:r w:rsidRPr="00FA31E9">
              <w:rPr>
                <w:i/>
              </w:rPr>
              <w:t xml:space="preserve"> calculated for QSE q for the hour</w:t>
            </w:r>
            <w:r w:rsidRPr="00132FF5">
              <w:t>.  See Section 6.6.2.4, QSE Load Ratio Share for an Operating Hour.</w:t>
            </w:r>
          </w:p>
        </w:tc>
      </w:tr>
      <w:tr w:rsidR="00236104" w:rsidRPr="004502BD" w14:paraId="20CDE28D"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22265E20" w14:textId="77777777" w:rsidR="00236104" w:rsidRPr="00D52A9E" w:rsidRDefault="00236104" w:rsidP="00BA73E7">
            <w:pPr>
              <w:pStyle w:val="TableBody"/>
              <w:rPr>
                <w:i/>
              </w:rPr>
            </w:pPr>
            <w:r w:rsidRPr="004502BD">
              <w:rPr>
                <w:i/>
              </w:rPr>
              <w:t>q</w:t>
            </w:r>
          </w:p>
        </w:tc>
        <w:tc>
          <w:tcPr>
            <w:tcW w:w="433" w:type="pct"/>
            <w:tcBorders>
              <w:top w:val="single" w:sz="4" w:space="0" w:color="auto"/>
              <w:left w:val="single" w:sz="4" w:space="0" w:color="auto"/>
              <w:bottom w:val="single" w:sz="4" w:space="0" w:color="auto"/>
              <w:right w:val="single" w:sz="4" w:space="0" w:color="auto"/>
            </w:tcBorders>
          </w:tcPr>
          <w:p w14:paraId="34F5B97B" w14:textId="77777777" w:rsidR="00236104" w:rsidRPr="00D52A9E" w:rsidRDefault="00236104" w:rsidP="00BA73E7">
            <w:pPr>
              <w:pStyle w:val="TableBody"/>
            </w:pPr>
            <w:r w:rsidRPr="004502BD">
              <w:t>none</w:t>
            </w:r>
          </w:p>
        </w:tc>
        <w:tc>
          <w:tcPr>
            <w:tcW w:w="3174" w:type="pct"/>
            <w:tcBorders>
              <w:top w:val="single" w:sz="4" w:space="0" w:color="auto"/>
              <w:left w:val="single" w:sz="4" w:space="0" w:color="auto"/>
              <w:bottom w:val="single" w:sz="4" w:space="0" w:color="auto"/>
              <w:right w:val="single" w:sz="4" w:space="0" w:color="auto"/>
            </w:tcBorders>
          </w:tcPr>
          <w:p w14:paraId="51D984F1" w14:textId="77777777" w:rsidR="00236104" w:rsidRPr="00D52A9E" w:rsidRDefault="00236104" w:rsidP="00BA73E7">
            <w:pPr>
              <w:pStyle w:val="TableBody"/>
            </w:pPr>
            <w:r w:rsidRPr="004502BD">
              <w:t>A QSE.</w:t>
            </w:r>
          </w:p>
        </w:tc>
      </w:tr>
    </w:tbl>
    <w:p w14:paraId="1578FC43" w14:textId="3DD28978" w:rsidR="00236104" w:rsidRPr="00236104" w:rsidRDefault="00236104" w:rsidP="00236104">
      <w:pPr>
        <w:pStyle w:val="H4"/>
        <w:spacing w:before="480"/>
        <w:ind w:left="1267" w:hanging="1267"/>
      </w:pPr>
      <w:bookmarkStart w:id="2667" w:name="_Toc204411734"/>
      <w:r w:rsidRPr="00236104">
        <w:t>6.6.12.3</w:t>
      </w:r>
      <w:r w:rsidRPr="00236104">
        <w:tab/>
        <w:t>Miscellaneous Invoice for Switchable Generation Make-Whole Payments and Charges</w:t>
      </w:r>
      <w:bookmarkEnd w:id="2667"/>
      <w:r w:rsidRPr="00236104">
        <w:t xml:space="preserve"> </w:t>
      </w:r>
    </w:p>
    <w:p w14:paraId="5D72634A" w14:textId="77777777" w:rsidR="00236104" w:rsidRDefault="00236104" w:rsidP="00236104">
      <w:pPr>
        <w:spacing w:after="240"/>
        <w:ind w:left="720" w:hanging="720"/>
      </w:pPr>
      <w:r w:rsidRPr="004502BD">
        <w:t>(1)</w:t>
      </w:r>
      <w:r w:rsidRPr="004502BD">
        <w:tab/>
      </w:r>
      <w:r>
        <w:t xml:space="preserve">All approved disputes shall be settled as described in Section 9.14.2, </w:t>
      </w:r>
      <w:r w:rsidRPr="00067DC6">
        <w:t>Notice of Dispute</w:t>
      </w:r>
      <w:r>
        <w:t>.</w:t>
      </w:r>
      <w:r w:rsidDel="00A8410F">
        <w:t xml:space="preserve"> </w:t>
      </w:r>
    </w:p>
    <w:p w14:paraId="0857FCA1" w14:textId="77777777" w:rsidR="00236104" w:rsidRDefault="00236104" w:rsidP="00236104">
      <w:pPr>
        <w:spacing w:after="240"/>
        <w:ind w:left="720" w:hanging="720"/>
        <w:rPr>
          <w:bCs/>
        </w:rPr>
      </w:pPr>
      <w:r>
        <w:rPr>
          <w:bCs/>
          <w:iCs/>
        </w:rPr>
        <w:t xml:space="preserve">(2) </w:t>
      </w:r>
      <w:r>
        <w:rPr>
          <w:bCs/>
          <w:iCs/>
        </w:rPr>
        <w:tab/>
      </w:r>
      <w:r w:rsidRPr="00AF0BBA">
        <w:rPr>
          <w:bCs/>
          <w:iCs/>
        </w:rPr>
        <w:t>ERCOT shall issue a miscellaneous Invo</w:t>
      </w:r>
      <w:r w:rsidRPr="006A2E6F">
        <w:rPr>
          <w:bCs/>
          <w:iCs/>
        </w:rPr>
        <w:t xml:space="preserve">ice to a </w:t>
      </w:r>
      <w:r w:rsidRPr="006A2E6F">
        <w:t>QSE</w:t>
      </w:r>
      <w:r w:rsidRPr="006A2E6F">
        <w:rPr>
          <w:bCs/>
          <w:iCs/>
        </w:rPr>
        <w:t xml:space="preserve"> for </w:t>
      </w:r>
      <w:r w:rsidRPr="006A2E6F">
        <w:rPr>
          <w:bCs/>
        </w:rPr>
        <w:t>Switchable Generation Make-Whole Payments as described in Section 6.6.12.1, Switchable Generation Make-Whole Payment.</w:t>
      </w:r>
      <w:r w:rsidRPr="00AF0BBA">
        <w:rPr>
          <w:bCs/>
        </w:rPr>
        <w:t xml:space="preserve">  </w:t>
      </w:r>
    </w:p>
    <w:p w14:paraId="328371CC" w14:textId="77777777" w:rsidR="00236104" w:rsidRPr="00CB41C3" w:rsidRDefault="00236104" w:rsidP="00236104">
      <w:pPr>
        <w:spacing w:after="240"/>
        <w:ind w:left="720" w:hanging="720"/>
        <w:rPr>
          <w:bCs/>
          <w:iCs/>
        </w:rPr>
      </w:pPr>
      <w:r w:rsidRPr="00CB41C3">
        <w:rPr>
          <w:bCs/>
          <w:iCs/>
        </w:rPr>
        <w:t xml:space="preserve">(3)       ERCOT shall issue a miscellaneous Invoice to the QSE representing Load based on the HLRS as described in Section 6.6.12.2, Switchable Generation Make-Whole Charge. </w:t>
      </w:r>
    </w:p>
    <w:p w14:paraId="77B1799F" w14:textId="760E5A5B" w:rsidR="00234FA4" w:rsidRDefault="00236104" w:rsidP="00236104">
      <w:pPr>
        <w:spacing w:after="240"/>
        <w:ind w:left="720" w:hanging="720"/>
      </w:pPr>
      <w:r w:rsidRPr="00AF0BBA">
        <w:t>(</w:t>
      </w:r>
      <w:r>
        <w:t>4</w:t>
      </w:r>
      <w:r w:rsidRPr="00AF0BBA">
        <w:t xml:space="preserve">) </w:t>
      </w:r>
      <w:r w:rsidRPr="00AF0BBA">
        <w:tab/>
        <w:t xml:space="preserve">ERCOT </w:t>
      </w:r>
      <w:r w:rsidRPr="00236104">
        <w:rPr>
          <w:bCs/>
        </w:rPr>
        <w:t>shall</w:t>
      </w:r>
      <w:r w:rsidRPr="00AF0BBA">
        <w:t xml:space="preserve"> issue a Market Notice</w:t>
      </w:r>
      <w:r>
        <w:t xml:space="preserve"> in conjunction with the issuance of the miscellaneous Invoice.</w:t>
      </w:r>
    </w:p>
    <w:p w14:paraId="5F4A6E1E" w14:textId="77777777" w:rsidR="00EE47CF" w:rsidRPr="00EE47CF" w:rsidRDefault="00EE47CF" w:rsidP="00EE47CF">
      <w:pPr>
        <w:pStyle w:val="H3"/>
        <w:spacing w:before="480"/>
      </w:pPr>
      <w:bookmarkStart w:id="2668" w:name="_Toc204411735"/>
      <w:r w:rsidRPr="002935C8">
        <w:t>6.6.13</w:t>
      </w:r>
      <w:r w:rsidRPr="002935C8">
        <w:tab/>
        <w:t>Wholesale Storage Load Reconciliation for ESRs Operating in a Private Microgrid Island</w:t>
      </w:r>
      <w:bookmarkEnd w:id="2668"/>
    </w:p>
    <w:p w14:paraId="456F61EB" w14:textId="71C2FDB5" w:rsidR="00EE47CF" w:rsidRDefault="00EE47CF" w:rsidP="00EE47CF">
      <w:pPr>
        <w:spacing w:after="240"/>
        <w:ind w:left="720" w:hanging="720"/>
        <w:rPr>
          <w:rFonts w:cs="Arial"/>
          <w:color w:val="201F1E"/>
        </w:rPr>
      </w:pPr>
      <w:r w:rsidRPr="002935C8">
        <w:t>(1)</w:t>
      </w:r>
      <w:r w:rsidRPr="002935C8">
        <w:tab/>
      </w:r>
      <w:bookmarkStart w:id="2669" w:name="_Hlk100001339"/>
      <w:bookmarkStart w:id="2670" w:name="_Hlk100005710"/>
      <w:r w:rsidRPr="002935C8">
        <w:t xml:space="preserve">A QSE representing an ESR operating in a Private Microgrid Island (PMI) configuration shall, within 96 hours of the end of such operations, submit a Settlement and billing dispute notifying ERCOT of the date and time that PMI operation began and ended. </w:t>
      </w:r>
      <w:bookmarkStart w:id="2671" w:name="_Hlk100002098"/>
      <w:r w:rsidRPr="002935C8">
        <w:t xml:space="preserve"> </w:t>
      </w:r>
      <w:r>
        <w:t xml:space="preserve">The QSE shall also notify the interconnecting Transmission and/or Distribution Service Provider(s) (TDSP(s)) of the time and date the PMI configuration began and ended within 96 hours of the end of such operations.  </w:t>
      </w:r>
      <w:r w:rsidRPr="002935C8">
        <w:t xml:space="preserve">Following the submission of such a dispute, ERCOT shall use the outflow quantities recorded by the ERCOT-Polled Settlement (EPS) Meter measuring the ESR’s gross output net of any internal telemetered auxiliary Load, combined with any telemetered integrated auxiliary Load to determine the amount of Load served by the Resource during the period of PMI operation.  ERCOT shall then determine the minimum whole number of Operating Days including and successively preceding the beginning of PMI operation for which the cumulative amount of WSL consumed on those Operating Days would equal or exceed the amount of Load served by the Resource during the period of PMI operation.  ERCOT shall grant the </w:t>
      </w:r>
      <w:r w:rsidRPr="002935C8">
        <w:lastRenderedPageBreak/>
        <w:t xml:space="preserve">dispute and recharacterize all WSL previously settled on each such Operating Day as non-WSL.  </w:t>
      </w:r>
      <w:bookmarkEnd w:id="2669"/>
      <w:bookmarkEnd w:id="2671"/>
      <w:r w:rsidRPr="002935C8">
        <w:t xml:space="preserve">The adjustment to Settlements based on the recharacterization of WSL </w:t>
      </w:r>
      <w:r w:rsidRPr="002935C8">
        <w:rPr>
          <w:rFonts w:cs="Arial"/>
          <w:color w:val="201F1E"/>
        </w:rPr>
        <w:t>will be included in the RTM Final Settlement and/or RTM True-Up Settlement for each Operating Day.</w:t>
      </w:r>
      <w:bookmarkEnd w:id="2670"/>
    </w:p>
    <w:p w14:paraId="5F183220" w14:textId="77777777" w:rsidR="00281DEA" w:rsidRDefault="00281DEA" w:rsidP="000445FA">
      <w:pPr>
        <w:pStyle w:val="H3"/>
        <w:spacing w:before="480"/>
      </w:pPr>
      <w:bookmarkStart w:id="2672" w:name="_Toc204411736"/>
      <w:r>
        <w:t>6.6.14</w:t>
      </w:r>
      <w:r>
        <w:tab/>
        <w:t>Firm Fuel Supply Service Capability</w:t>
      </w:r>
      <w:bookmarkEnd w:id="2672"/>
    </w:p>
    <w:p w14:paraId="3E47EEDC" w14:textId="77777777" w:rsidR="00281DEA" w:rsidRPr="003F160F" w:rsidRDefault="00281DEA" w:rsidP="00F510E2">
      <w:pPr>
        <w:pStyle w:val="H4"/>
        <w:spacing w:before="480"/>
        <w:ind w:left="1267" w:hanging="1267"/>
      </w:pPr>
      <w:bookmarkStart w:id="2673" w:name="_Toc204411737"/>
      <w:r w:rsidRPr="003F160F">
        <w:t>6.6.14.1</w:t>
      </w:r>
      <w:r w:rsidRPr="003F160F">
        <w:tab/>
        <w:t>Firm Fuel Supply Service Fuel Replacement Costs Recovery</w:t>
      </w:r>
      <w:bookmarkEnd w:id="2673"/>
    </w:p>
    <w:p w14:paraId="68A343B6" w14:textId="5862C569" w:rsidR="00281DEA" w:rsidRPr="008C62A0" w:rsidRDefault="00281DEA" w:rsidP="00281DEA">
      <w:pPr>
        <w:pStyle w:val="BodyTextNumbered"/>
      </w:pPr>
      <w:r w:rsidRPr="00AA20BE">
        <w:t>(1)</w:t>
      </w:r>
      <w:r w:rsidRPr="00AA20BE">
        <w:tab/>
        <w:t xml:space="preserve">If ERCOT </w:t>
      </w:r>
      <w:r>
        <w:t>approves</w:t>
      </w:r>
      <w:r w:rsidRPr="00AA20BE">
        <w:t xml:space="preserve"> a </w:t>
      </w:r>
      <w:r>
        <w:t xml:space="preserve">Firm Fuel Supply Service Resource (FFSSR) </w:t>
      </w:r>
      <w:r w:rsidRPr="00AA20BE">
        <w:t xml:space="preserve">to switch to </w:t>
      </w:r>
      <w:r>
        <w:t>consume the reserved fuel</w:t>
      </w:r>
      <w:r w:rsidR="00792AED" w:rsidRPr="00792AED">
        <w:t xml:space="preserve"> </w:t>
      </w:r>
      <w:r w:rsidR="00792AED" w:rsidRPr="00DF6D6B">
        <w:t>and directs or approves a restocking pursuant to paragraph (5) of Section 3.14.5, Firm Fuel Supply Service</w:t>
      </w:r>
      <w:r w:rsidRPr="00AA20BE">
        <w:t xml:space="preserve">, </w:t>
      </w:r>
      <w:r>
        <w:t xml:space="preserve">ERCOT shall pay </w:t>
      </w:r>
      <w:r w:rsidRPr="00AA20BE">
        <w:t xml:space="preserve">the QSE representing the </w:t>
      </w:r>
      <w:r>
        <w:t>FFSSR for the replacement of burned fuel, if the QSE has</w:t>
      </w:r>
      <w:r w:rsidRPr="00AA20BE">
        <w:t>:</w:t>
      </w:r>
    </w:p>
    <w:p w14:paraId="5A699C7E" w14:textId="77777777" w:rsidR="00281DEA" w:rsidRDefault="00281DEA" w:rsidP="00281DEA">
      <w:pPr>
        <w:spacing w:after="240"/>
        <w:ind w:left="1440" w:hanging="720"/>
      </w:pPr>
      <w:r>
        <w:t>(a)</w:t>
      </w:r>
      <w:r>
        <w:tab/>
        <w:t>C</w:t>
      </w:r>
      <w:r w:rsidRPr="00C42B52">
        <w:t>omplied with</w:t>
      </w:r>
      <w:r>
        <w:t xml:space="preserve"> the Firm Fuel Supply Service (FFSS) i</w:t>
      </w:r>
      <w:r w:rsidRPr="00C42B52">
        <w:t xml:space="preserve">nstruction to switch to </w:t>
      </w:r>
      <w:r>
        <w:t>the reserved fuel</w:t>
      </w:r>
      <w:r w:rsidRPr="00C42B52">
        <w:t>;</w:t>
      </w:r>
    </w:p>
    <w:p w14:paraId="20A585E3" w14:textId="77777777" w:rsidR="00281DEA" w:rsidRPr="00F057BA" w:rsidRDefault="00281DEA" w:rsidP="00281DEA">
      <w:pPr>
        <w:spacing w:after="240"/>
        <w:ind w:left="1440" w:hanging="720"/>
      </w:pPr>
      <w:r w:rsidRPr="00F057BA">
        <w:t>(</w:t>
      </w:r>
      <w:r>
        <w:t>b</w:t>
      </w:r>
      <w:r w:rsidRPr="00F057BA">
        <w:t>)</w:t>
      </w:r>
      <w:r w:rsidRPr="00F057BA">
        <w:tab/>
        <w:t xml:space="preserve">Submitted a Settlement and billing dispute consistent with the dispute process described in Section 9.14, Settlement and Billing Dispute Process;  </w:t>
      </w:r>
    </w:p>
    <w:p w14:paraId="090E0F77" w14:textId="6B0872F2" w:rsidR="00281DEA" w:rsidRPr="00C42B52" w:rsidRDefault="00281DEA" w:rsidP="00281DEA">
      <w:pPr>
        <w:spacing w:after="240"/>
        <w:ind w:left="1440" w:hanging="720"/>
      </w:pPr>
      <w:r w:rsidRPr="00C42B52">
        <w:t>(</w:t>
      </w:r>
      <w:r>
        <w:t>c</w:t>
      </w:r>
      <w:r w:rsidRPr="00C42B52">
        <w:t>)</w:t>
      </w:r>
      <w:r w:rsidRPr="00C42B52">
        <w:tab/>
      </w:r>
      <w:r w:rsidRPr="00F057BA">
        <w:t>Submit</w:t>
      </w:r>
      <w:r>
        <w:t>ted</w:t>
      </w:r>
      <w:r w:rsidRPr="00F057BA">
        <w:t xml:space="preserve"> the following within </w:t>
      </w:r>
      <w:r>
        <w:t>90 days</w:t>
      </w:r>
      <w:r w:rsidRPr="00F057BA">
        <w:t xml:space="preserve"> of the issuance of a RTM Initial Statement for </w:t>
      </w:r>
      <w:r>
        <w:t xml:space="preserve">the </w:t>
      </w:r>
      <w:r w:rsidRPr="00F057BA">
        <w:t xml:space="preserve">Operating Day on which </w:t>
      </w:r>
      <w:r>
        <w:t>the FFSS instruction was issued:</w:t>
      </w:r>
    </w:p>
    <w:p w14:paraId="7B73EBF8" w14:textId="77777777" w:rsidR="00281DEA" w:rsidRDefault="00281DEA" w:rsidP="00281DEA">
      <w:pPr>
        <w:spacing w:after="240"/>
        <w:ind w:left="2160" w:hanging="720"/>
      </w:pPr>
      <w:r>
        <w:t>(i)</w:t>
      </w:r>
      <w:r>
        <w:tab/>
      </w:r>
      <w:r w:rsidRPr="00BB3C99">
        <w:t>An attestation signed by an officer or executive with authority to bind the QSE stating that the information contained in the dispute is accurate</w:t>
      </w:r>
      <w:r>
        <w:t>;</w:t>
      </w:r>
    </w:p>
    <w:p w14:paraId="29307B96" w14:textId="77777777" w:rsidR="00281DEA" w:rsidRDefault="00281DEA" w:rsidP="00281DEA">
      <w:pPr>
        <w:spacing w:after="240"/>
        <w:ind w:left="2160" w:hanging="720"/>
      </w:pPr>
      <w:r>
        <w:t>(ii)</w:t>
      </w:r>
      <w:r>
        <w:tab/>
      </w:r>
      <w:r w:rsidRPr="00987D98">
        <w:t>For each deployment of FFSS,</w:t>
      </w:r>
      <w:r>
        <w:t xml:space="preserve"> t</w:t>
      </w:r>
      <w:r w:rsidRPr="00C42B52">
        <w:t xml:space="preserve">he </w:t>
      </w:r>
      <w:r>
        <w:t>quantity of total fuel consumed for the hours in each instance when FFSS was deployed;</w:t>
      </w:r>
    </w:p>
    <w:p w14:paraId="4401F1F3" w14:textId="77777777" w:rsidR="00281DEA" w:rsidRDefault="00281DEA" w:rsidP="00281DEA">
      <w:pPr>
        <w:spacing w:after="240"/>
        <w:ind w:left="2160" w:hanging="720"/>
      </w:pPr>
      <w:r>
        <w:t>(iii)</w:t>
      </w:r>
      <w:r>
        <w:tab/>
      </w:r>
      <w:r w:rsidRPr="00BB3C99">
        <w:t>For thermal units, the input-output equation or other documentation that allows for verification of fuel consumption for the hours when FFSS was deployed</w:t>
      </w:r>
      <w:r>
        <w:t>;</w:t>
      </w:r>
    </w:p>
    <w:p w14:paraId="3FD7C203" w14:textId="77777777" w:rsidR="006E1C22" w:rsidRDefault="006E1C22" w:rsidP="006E1C22">
      <w:pPr>
        <w:spacing w:after="240"/>
        <w:ind w:left="2160" w:hanging="720"/>
      </w:pPr>
      <w:r>
        <w:t>(iv)</w:t>
      </w:r>
      <w:r>
        <w:tab/>
        <w:t>The heat content of the fuel, in terms of MMBtu/gal or similar units of measurement;</w:t>
      </w:r>
    </w:p>
    <w:p w14:paraId="19ABC38F" w14:textId="64E6A24A" w:rsidR="00281DEA" w:rsidRDefault="00281DEA" w:rsidP="00281DEA">
      <w:pPr>
        <w:spacing w:after="240"/>
        <w:ind w:left="2160" w:hanging="720"/>
      </w:pPr>
      <w:r>
        <w:t>(v)</w:t>
      </w:r>
      <w:r>
        <w:tab/>
        <w:t>The dollar amount and quantity of fuel purchased to replace the consumed fuel;</w:t>
      </w:r>
    </w:p>
    <w:p w14:paraId="6D79F4FA" w14:textId="3E78BD22" w:rsidR="00281DEA" w:rsidRDefault="00281DEA" w:rsidP="00281DEA">
      <w:pPr>
        <w:spacing w:after="240"/>
        <w:ind w:left="2160" w:hanging="720"/>
      </w:pPr>
      <w:r w:rsidRPr="00351C8F">
        <w:t>(</w:t>
      </w:r>
      <w:r>
        <w:t>v</w:t>
      </w:r>
      <w:r w:rsidR="006E1C22">
        <w:t>i</w:t>
      </w:r>
      <w:r w:rsidRPr="00351C8F">
        <w:t>)</w:t>
      </w:r>
      <w:r w:rsidRPr="00351C8F">
        <w:tab/>
        <w:t xml:space="preserve">Sufficient documentation to support the QSE’s </w:t>
      </w:r>
      <w:r>
        <w:t>determination</w:t>
      </w:r>
      <w:r w:rsidRPr="00351C8F">
        <w:t xml:space="preserve"> of the amount </w:t>
      </w:r>
      <w:r>
        <w:t xml:space="preserve">and cost </w:t>
      </w:r>
      <w:r w:rsidRPr="00351C8F">
        <w:t xml:space="preserve">of </w:t>
      </w:r>
      <w:r>
        <w:t>replaced fuel; and</w:t>
      </w:r>
      <w:r w:rsidRPr="00C42B52">
        <w:t xml:space="preserve"> </w:t>
      </w:r>
    </w:p>
    <w:p w14:paraId="3F259490" w14:textId="1E408659" w:rsidR="00792AED" w:rsidRPr="00DF6D6B" w:rsidRDefault="00281DEA" w:rsidP="00792AED">
      <w:pPr>
        <w:spacing w:after="240"/>
        <w:ind w:left="2160" w:hanging="720"/>
      </w:pPr>
      <w:r>
        <w:t>(vi</w:t>
      </w:r>
      <w:r w:rsidR="006E1C22">
        <w:t>i</w:t>
      </w:r>
      <w:r>
        <w:t>)</w:t>
      </w:r>
      <w:r>
        <w:tab/>
      </w:r>
      <w:r w:rsidRPr="00A413CF">
        <w:t>Any other technical documentation</w:t>
      </w:r>
      <w:r>
        <w:t xml:space="preserve"> within the possession of the QSE or Resource Entity which</w:t>
      </w:r>
      <w:r w:rsidRPr="00A413CF">
        <w:t xml:space="preserve"> ERCOT finds</w:t>
      </w:r>
      <w:r w:rsidRPr="008A630A">
        <w:t xml:space="preserve"> </w:t>
      </w:r>
      <w:r>
        <w:t>reasonably</w:t>
      </w:r>
      <w:r w:rsidRPr="00A413CF">
        <w:t xml:space="preserve"> necessary to verify </w:t>
      </w:r>
      <w:r>
        <w:t>paragraphs (i) through (v</w:t>
      </w:r>
      <w:r w:rsidR="006E1C22">
        <w:t>i</w:t>
      </w:r>
      <w:r>
        <w:t xml:space="preserve">) above.  Any additional request from ERCOT </w:t>
      </w:r>
      <w:r>
        <w:lastRenderedPageBreak/>
        <w:t>for documentation or clarification of previously submitted documentation must be honored within 15 Business Days.</w:t>
      </w:r>
      <w:r w:rsidRPr="00834567">
        <w:t xml:space="preserve">  </w:t>
      </w:r>
      <w:r w:rsidR="00792AED" w:rsidRPr="00DF6D6B">
        <w:t xml:space="preserve">  </w:t>
      </w:r>
    </w:p>
    <w:p w14:paraId="7AB80537" w14:textId="1FC11E73" w:rsidR="00281DEA" w:rsidRDefault="00792AED" w:rsidP="00792AED">
      <w:pPr>
        <w:pStyle w:val="BodyTextNumbered"/>
      </w:pPr>
      <w:r w:rsidRPr="00DF6D6B">
        <w:t>(2)</w:t>
      </w:r>
      <w:r w:rsidRPr="00DF6D6B">
        <w:tab/>
        <w:t>In addition to the requirements under paragraph (1)(c) above, for a Generation Resource that was awarded FFSS using reserved fuel based on a Firm Gas Storage Agreement and is requesting compensation for the cost of the replaced fuel, the QSE or Resource Entity representing the FFSSR must show proof that it purchased and nominated fuel in sufficient quantities (in MMBtu) that was consumed during the FFSS deployment and that its actual receipts and deliveries of such replacement fuel conformed with its nominated quantities.</w:t>
      </w:r>
    </w:p>
    <w:p w14:paraId="00AD0C7D" w14:textId="63245925" w:rsidR="00281DEA" w:rsidRDefault="00281DEA" w:rsidP="00281DEA">
      <w:pPr>
        <w:pStyle w:val="BodyTextNumbered"/>
      </w:pPr>
      <w:r>
        <w:t>(</w:t>
      </w:r>
      <w:r w:rsidR="00792AED">
        <w:t>3</w:t>
      </w:r>
      <w:r>
        <w:t>)</w:t>
      </w:r>
      <w:r>
        <w:tab/>
        <w:t xml:space="preserve">The </w:t>
      </w:r>
      <w:r w:rsidRPr="000064BF">
        <w:t xml:space="preserve">Firm Fuel Supply Service Fuel Replacement Cost </w:t>
      </w:r>
      <w:r>
        <w:t xml:space="preserve">shall only represent the replacement fuel costs not recovered during the FFSS deployment period through Day-Ahead energy sales and Real-Time energy imbalance settlement </w:t>
      </w:r>
      <w:r w:rsidRPr="00D90D69">
        <w:t>revenues</w:t>
      </w:r>
      <w:r>
        <w:t xml:space="preserve"> related to the Resource with the FFSS award</w:t>
      </w:r>
      <w:r w:rsidRPr="00F64458">
        <w:t>.</w:t>
      </w:r>
      <w:r w:rsidR="00792AED" w:rsidRPr="00792AED">
        <w:rPr>
          <w:shd w:val="clear" w:color="auto" w:fill="FFFFFF"/>
        </w:rPr>
        <w:t xml:space="preserve"> </w:t>
      </w:r>
      <w:r w:rsidR="00792AED">
        <w:rPr>
          <w:shd w:val="clear" w:color="auto" w:fill="FFFFFF"/>
        </w:rPr>
        <w:t xml:space="preserve"> </w:t>
      </w:r>
      <w:r w:rsidR="00792AED" w:rsidRPr="00DF6D6B">
        <w:rPr>
          <w:shd w:val="clear" w:color="auto" w:fill="FFFFFF"/>
        </w:rPr>
        <w:t>In addition, the Firm Fuel Supply Service Fuel Replacement Cost shall only include commodity and variable transportation costs directly attributable to the replenishment of fuel for the FFSSR.</w:t>
      </w:r>
    </w:p>
    <w:p w14:paraId="5032E45D" w14:textId="77777777" w:rsidR="00AD58D8" w:rsidRPr="00AD58D8" w:rsidRDefault="00AD58D8" w:rsidP="00AD58D8">
      <w:pPr>
        <w:spacing w:after="240"/>
        <w:ind w:left="720" w:hanging="720"/>
        <w:rPr>
          <w:iCs/>
          <w:shd w:val="clear" w:color="auto" w:fill="FFFFFF"/>
        </w:rPr>
      </w:pPr>
      <w:r w:rsidRPr="00AD58D8">
        <w:rPr>
          <w:iCs/>
        </w:rPr>
        <w:t xml:space="preserve">(4) </w:t>
      </w:r>
      <w:r w:rsidRPr="00AD58D8">
        <w:rPr>
          <w:iCs/>
        </w:rPr>
        <w:tab/>
        <w:t xml:space="preserve">If, after ERCOT approval, the fuel that was burned during FFSS deployment is replaced using existing fuel inventories, the </w:t>
      </w:r>
      <w:r w:rsidRPr="00AD58D8">
        <w:rPr>
          <w:iCs/>
          <w:shd w:val="clear" w:color="auto" w:fill="FFFFFF"/>
        </w:rPr>
        <w:t>Firm Fuel Supply Service Fuel Replacement Cost may be based on:</w:t>
      </w:r>
    </w:p>
    <w:p w14:paraId="4B6FB6CD" w14:textId="77777777" w:rsidR="00AD58D8" w:rsidRPr="00AD58D8" w:rsidRDefault="00AD58D8" w:rsidP="00AD58D8">
      <w:pPr>
        <w:spacing w:after="240"/>
        <w:ind w:left="1440" w:hanging="720"/>
        <w:rPr>
          <w:szCs w:val="24"/>
        </w:rPr>
      </w:pPr>
      <w:r w:rsidRPr="00AD58D8">
        <w:rPr>
          <w:szCs w:val="24"/>
        </w:rPr>
        <w:t>(a)</w:t>
      </w:r>
      <w:r w:rsidRPr="00AD58D8">
        <w:rPr>
          <w:szCs w:val="24"/>
        </w:rPr>
        <w:tab/>
        <w:t>New fuel purchases made within 30 days after ERCOT approves the restock of the burned fuel as described in paragraph (6) of Section 3.14.5; or</w:t>
      </w:r>
    </w:p>
    <w:p w14:paraId="17C4A959" w14:textId="77777777" w:rsidR="00AD58D8" w:rsidRPr="00AD58D8" w:rsidRDefault="00AD58D8" w:rsidP="00AD58D8">
      <w:pPr>
        <w:spacing w:after="240"/>
        <w:ind w:left="1440" w:hanging="720"/>
        <w:rPr>
          <w:szCs w:val="24"/>
        </w:rPr>
      </w:pPr>
      <w:r w:rsidRPr="00AD58D8">
        <w:rPr>
          <w:szCs w:val="24"/>
        </w:rPr>
        <w:t>(b)</w:t>
      </w:r>
      <w:r w:rsidRPr="00AD58D8">
        <w:rPr>
          <w:szCs w:val="24"/>
        </w:rPr>
        <w:tab/>
        <w:t>The Fuel Oil Index Price (FOP) for the Operating Day the QSE received approval to restock fuel, which includes $0.05/gallon to cover the cost of transportation.</w:t>
      </w:r>
    </w:p>
    <w:p w14:paraId="09C4D47B" w14:textId="66418761" w:rsidR="00281DEA" w:rsidRDefault="00281DEA" w:rsidP="000445FA">
      <w:pPr>
        <w:pStyle w:val="BodyTextNumbered"/>
      </w:pPr>
      <w:r>
        <w:t>(</w:t>
      </w:r>
      <w:r w:rsidR="00AD58D8">
        <w:t>5</w:t>
      </w:r>
      <w:r>
        <w:t>)</w:t>
      </w:r>
      <w:r>
        <w:tab/>
        <w:t xml:space="preserve">ERCOT shall allocate any approved fuel replacement costs to the hours of the corresponding FFSS deployment period </w:t>
      </w:r>
      <w:r w:rsidRPr="00D90D69">
        <w:t>when the fuel was consumed</w:t>
      </w:r>
      <w:r>
        <w:t xml:space="preserve"> following ERCOT’s approval to switch to utilize the awarded FFSS.</w:t>
      </w:r>
    </w:p>
    <w:p w14:paraId="5F182795" w14:textId="77777777" w:rsidR="00281DEA" w:rsidRDefault="00281DEA" w:rsidP="00426931">
      <w:pPr>
        <w:pStyle w:val="H4"/>
        <w:spacing w:before="480"/>
        <w:ind w:left="1267" w:hanging="1267"/>
      </w:pPr>
      <w:bookmarkStart w:id="2674" w:name="_Toc204411738"/>
      <w:r>
        <w:t>6.6.14.2</w:t>
      </w:r>
      <w:r>
        <w:tab/>
        <w:t>Firm Fuel Supply Service Hourly Standby Fee Payment and Fuel Replacement Cost Recovery</w:t>
      </w:r>
      <w:bookmarkEnd w:id="2674"/>
    </w:p>
    <w:p w14:paraId="160F9B52" w14:textId="77777777" w:rsidR="00426931" w:rsidRPr="00426931" w:rsidRDefault="00426931" w:rsidP="00426931">
      <w:pPr>
        <w:ind w:left="720" w:hanging="720"/>
      </w:pPr>
      <w:r w:rsidRPr="00426931">
        <w:t>(1)</w:t>
      </w:r>
      <w:r w:rsidRPr="00426931">
        <w:tab/>
        <w:t xml:space="preserve">ERCOT shall pay </w:t>
      </w:r>
      <w:r w:rsidRPr="00426931">
        <w:rPr>
          <w:iCs/>
        </w:rPr>
        <w:t>the FFSS</w:t>
      </w:r>
      <w:r w:rsidRPr="00426931">
        <w:t xml:space="preserve"> Hourly Standby Fee to the QSE representing </w:t>
      </w:r>
      <w:r w:rsidRPr="00426931">
        <w:rPr>
          <w:iCs/>
        </w:rPr>
        <w:t>the primary Generation Resource</w:t>
      </w:r>
      <w:r w:rsidRPr="00426931">
        <w:t xml:space="preserve">.  This standby fee is determined through a competitive bidding process, with an adjustment for reliability based on an Hourly Rolling Equivalent Availability Factor, as well as adjustments for capacity and deployment. </w:t>
      </w:r>
    </w:p>
    <w:p w14:paraId="6FC656AD" w14:textId="77777777" w:rsidR="00426931" w:rsidRPr="00426931" w:rsidRDefault="00426931" w:rsidP="00426931">
      <w:r w:rsidRPr="00426931">
        <w:t xml:space="preserve"> </w:t>
      </w:r>
    </w:p>
    <w:p w14:paraId="26F82C67" w14:textId="77777777" w:rsidR="00426931" w:rsidRPr="00426931" w:rsidRDefault="00426931" w:rsidP="00426931">
      <w:pPr>
        <w:spacing w:after="240"/>
        <w:ind w:left="720" w:hanging="720"/>
      </w:pPr>
      <w:r w:rsidRPr="00426931">
        <w:t>(2)</w:t>
      </w:r>
      <w:r w:rsidRPr="00426931">
        <w:tab/>
        <w:t>The FFSSR will be considered available when calculating the FFSS Hourly Rolling Equivalent Availability Factor:</w:t>
      </w:r>
    </w:p>
    <w:p w14:paraId="19CC2125" w14:textId="77777777" w:rsidR="00426931" w:rsidRPr="00426931" w:rsidRDefault="00426931" w:rsidP="00426931">
      <w:pPr>
        <w:spacing w:after="240"/>
        <w:ind w:left="1410" w:hanging="720"/>
      </w:pPr>
      <w:r w:rsidRPr="00426931">
        <w:t>(a)</w:t>
      </w:r>
      <w:r w:rsidRPr="00426931">
        <w:tab/>
        <w:t xml:space="preserve">During each non-FFSS deployment hour for which the FFSSR shows available in its Availability Plan; </w:t>
      </w:r>
    </w:p>
    <w:p w14:paraId="472044FC" w14:textId="5DF1A029" w:rsidR="00426931" w:rsidRPr="00426931" w:rsidRDefault="00426931" w:rsidP="00426931">
      <w:pPr>
        <w:spacing w:after="240"/>
        <w:ind w:left="1410" w:hanging="720"/>
      </w:pPr>
      <w:r w:rsidRPr="00426931">
        <w:lastRenderedPageBreak/>
        <w:t>(b)</w:t>
      </w:r>
      <w:r w:rsidRPr="00426931">
        <w:tab/>
        <w:t xml:space="preserve">During any successful FFSS deployment of the FFSSR in which the FFSSR shows available in its Availability Plan; </w:t>
      </w:r>
    </w:p>
    <w:p w14:paraId="3C034865" w14:textId="531E3DF9" w:rsidR="00426931" w:rsidRPr="00426931" w:rsidRDefault="00426931" w:rsidP="00426931">
      <w:pPr>
        <w:spacing w:after="240"/>
        <w:ind w:left="1410" w:hanging="720"/>
      </w:pPr>
      <w:r w:rsidRPr="00426931">
        <w:t>(c)</w:t>
      </w:r>
      <w:r w:rsidRPr="00426931">
        <w:tab/>
      </w:r>
      <w:r w:rsidR="005C7988" w:rsidRPr="000A0348">
        <w:rPr>
          <w:szCs w:val="24"/>
        </w:rPr>
        <w:t>If the reserved fuel was exhausted during an FFSS deployment, starting the hour after the FFSSR has consumed all the fuel reserved to provide FFSS, through the approved hours when reserved fuel for FFSS is being restocked following a final approval from ERCOT to do so, per paragraph (5) of Section 3.14.5, Firm Fuel Supply Service;</w:t>
      </w:r>
    </w:p>
    <w:p w14:paraId="508537AB" w14:textId="2DAD707F" w:rsidR="005C7988" w:rsidRPr="00E5321E" w:rsidRDefault="00426931" w:rsidP="005C7988">
      <w:pPr>
        <w:spacing w:after="240"/>
        <w:ind w:left="1410" w:hanging="720"/>
      </w:pPr>
      <w:r w:rsidRPr="00426931">
        <w:t>(d)</w:t>
      </w:r>
      <w:r w:rsidRPr="00426931">
        <w:tab/>
      </w:r>
      <w:r w:rsidR="005C7988" w:rsidRPr="00E5321E">
        <w:t>In the event the FFSSR has consumed all the fuel reserved to provide FFSS and ERCOT does not issue an instruction or approval to restore FFSS capability, the FFSSR shall be considered to be available for the remainder of the FFSS obligation period in progress; or</w:t>
      </w:r>
    </w:p>
    <w:p w14:paraId="64FD2427" w14:textId="1BF8387B" w:rsidR="00426931" w:rsidRPr="00426931" w:rsidRDefault="005C7988" w:rsidP="0087426F">
      <w:pPr>
        <w:spacing w:after="240"/>
        <w:ind w:left="1410" w:hanging="720"/>
      </w:pPr>
      <w:r w:rsidRPr="00E5321E">
        <w:t>(e)</w:t>
      </w:r>
      <w:r w:rsidRPr="00E5321E">
        <w:tab/>
        <w:t>If the FFSSR was deployed to provide FFSS and, as a result, has exhausted its emission hours allocated for the FFSSR, as specified in the FFSS Offer Submission Form.</w:t>
      </w:r>
    </w:p>
    <w:p w14:paraId="5E60E7B9" w14:textId="308FD1E4" w:rsidR="00426931" w:rsidRPr="00426931" w:rsidRDefault="00426931" w:rsidP="0087426F">
      <w:pPr>
        <w:spacing w:after="240"/>
        <w:ind w:left="720" w:hanging="720"/>
      </w:pPr>
      <w:r w:rsidRPr="00426931">
        <w:t>(3)</w:t>
      </w:r>
      <w:r w:rsidRPr="00426931">
        <w:tab/>
        <w:t>The FFSS Hourly Standby Fee is subject to reduction and</w:t>
      </w:r>
      <w:r w:rsidRPr="00426931">
        <w:rPr>
          <w:iCs/>
        </w:rPr>
        <w:t xml:space="preserve"> claw-back provisions as described in Section 8.1.1.2.1.6, </w:t>
      </w:r>
      <w:r w:rsidRPr="00426931">
        <w:t>Firm Fuel Supply Service Resource Qualification, Testing, Decertification, and Recertification</w:t>
      </w:r>
      <w:r w:rsidRPr="00426931">
        <w:rPr>
          <w:iCs/>
        </w:rPr>
        <w:t>.</w:t>
      </w:r>
      <w:r w:rsidRPr="00426931">
        <w:t xml:space="preserve">  </w:t>
      </w:r>
    </w:p>
    <w:p w14:paraId="46A69234" w14:textId="77777777" w:rsidR="00426931" w:rsidRPr="00426931" w:rsidRDefault="00426931" w:rsidP="00426931">
      <w:pPr>
        <w:spacing w:after="240"/>
        <w:ind w:left="720" w:hanging="720"/>
      </w:pPr>
      <w:r w:rsidRPr="00426931">
        <w:t>(4)</w:t>
      </w:r>
      <w:r w:rsidRPr="00426931">
        <w:tab/>
        <w:t>ERCOT shall pay an FFSS payment to each QSE for each FFSSR.  The FFSS payment for each hour of November 15, through March 15, i.e., during the FFSS obligation period, is calculated as follows:</w:t>
      </w:r>
    </w:p>
    <w:p w14:paraId="7F43A13D" w14:textId="77777777" w:rsidR="00426931" w:rsidRPr="00426931" w:rsidRDefault="00426931" w:rsidP="00426931">
      <w:pPr>
        <w:tabs>
          <w:tab w:val="left" w:pos="2250"/>
          <w:tab w:val="left" w:pos="3150"/>
          <w:tab w:val="left" w:pos="3960"/>
        </w:tabs>
        <w:spacing w:after="240"/>
        <w:ind w:left="3960" w:hanging="3240"/>
        <w:rPr>
          <w:b/>
          <w:bCs/>
          <w:szCs w:val="24"/>
        </w:rPr>
      </w:pPr>
      <w:r w:rsidRPr="00426931">
        <w:rPr>
          <w:b/>
          <w:bCs/>
          <w:szCs w:val="24"/>
        </w:rPr>
        <w:t xml:space="preserve">FFSSAMT </w:t>
      </w:r>
      <w:r w:rsidRPr="00426931">
        <w:rPr>
          <w:b/>
          <w:bCs/>
          <w:i/>
          <w:szCs w:val="24"/>
          <w:vertAlign w:val="subscript"/>
        </w:rPr>
        <w:t>q, r, h</w:t>
      </w:r>
      <w:r w:rsidRPr="00426931">
        <w:rPr>
          <w:b/>
          <w:bCs/>
          <w:szCs w:val="24"/>
        </w:rPr>
        <w:tab/>
        <w:t>=</w:t>
      </w:r>
      <w:r w:rsidRPr="00426931">
        <w:rPr>
          <w:b/>
          <w:bCs/>
          <w:szCs w:val="24"/>
        </w:rPr>
        <w:tab/>
        <w:t>(-1) * (FFSSSBF</w:t>
      </w:r>
      <w:r w:rsidRPr="00426931">
        <w:rPr>
          <w:b/>
          <w:bCs/>
          <w:i/>
          <w:szCs w:val="24"/>
          <w:vertAlign w:val="subscript"/>
        </w:rPr>
        <w:t xml:space="preserve"> q, r, h </w:t>
      </w:r>
      <w:r w:rsidRPr="00426931">
        <w:rPr>
          <w:b/>
          <w:bCs/>
          <w:i/>
          <w:szCs w:val="24"/>
        </w:rPr>
        <w:t xml:space="preserve">+ </w:t>
      </w:r>
      <w:r w:rsidRPr="00426931">
        <w:rPr>
          <w:b/>
          <w:bCs/>
          <w:szCs w:val="24"/>
        </w:rPr>
        <w:t xml:space="preserve">FFSSFRC </w:t>
      </w:r>
      <w:r w:rsidRPr="00426931">
        <w:rPr>
          <w:b/>
          <w:bCs/>
          <w:i/>
          <w:szCs w:val="24"/>
          <w:vertAlign w:val="subscript"/>
        </w:rPr>
        <w:t>q, r, h</w:t>
      </w:r>
      <w:r w:rsidRPr="00426931">
        <w:rPr>
          <w:b/>
          <w:bCs/>
          <w:szCs w:val="24"/>
        </w:rPr>
        <w:t>)</w:t>
      </w:r>
    </w:p>
    <w:p w14:paraId="608DA4E2" w14:textId="77777777" w:rsidR="00426931" w:rsidRPr="00426931" w:rsidRDefault="00426931" w:rsidP="00426931">
      <w:pPr>
        <w:tabs>
          <w:tab w:val="left" w:pos="2250"/>
          <w:tab w:val="left" w:pos="3150"/>
          <w:tab w:val="left" w:pos="3960"/>
        </w:tabs>
        <w:spacing w:after="240"/>
        <w:ind w:left="3960" w:hanging="3240"/>
        <w:rPr>
          <w:szCs w:val="24"/>
        </w:rPr>
      </w:pPr>
      <w:r w:rsidRPr="00426931">
        <w:rPr>
          <w:szCs w:val="24"/>
        </w:rPr>
        <w:t>Where:</w:t>
      </w:r>
    </w:p>
    <w:p w14:paraId="34FB5888" w14:textId="77777777" w:rsidR="00426931" w:rsidRPr="00426931" w:rsidRDefault="00426931" w:rsidP="00426931">
      <w:pPr>
        <w:spacing w:after="240"/>
        <w:ind w:left="2315" w:hanging="1595"/>
        <w:rPr>
          <w:iCs/>
        </w:rPr>
      </w:pPr>
      <w:r w:rsidRPr="00426931">
        <w:rPr>
          <w:iCs/>
        </w:rPr>
        <w:t>FFSSSBF</w:t>
      </w:r>
      <w:r w:rsidRPr="00426931">
        <w:rPr>
          <w:i/>
          <w:iCs/>
          <w:vertAlign w:val="subscript"/>
        </w:rPr>
        <w:t xml:space="preserve"> q, r, h</w:t>
      </w:r>
      <w:r w:rsidRPr="00426931">
        <w:rPr>
          <w:iCs/>
        </w:rPr>
        <w:tab/>
        <w:t>=</w:t>
      </w:r>
      <w:r w:rsidRPr="00426931">
        <w:rPr>
          <w:iCs/>
        </w:rPr>
        <w:tab/>
        <w:t xml:space="preserve"> FFSSAWARD </w:t>
      </w:r>
      <w:r w:rsidRPr="00426931">
        <w:rPr>
          <w:i/>
          <w:iCs/>
          <w:vertAlign w:val="subscript"/>
        </w:rPr>
        <w:t>q, r, h</w:t>
      </w:r>
      <w:r w:rsidRPr="00426931">
        <w:rPr>
          <w:iCs/>
        </w:rPr>
        <w:t xml:space="preserve"> * </w:t>
      </w:r>
      <w:r w:rsidRPr="00426931">
        <w:rPr>
          <w:iCs/>
          <w:lang w:val="pt-BR"/>
        </w:rPr>
        <w:t xml:space="preserve">FFSSCRF </w:t>
      </w:r>
      <w:r w:rsidRPr="00426931">
        <w:rPr>
          <w:i/>
          <w:iCs/>
          <w:vertAlign w:val="subscript"/>
        </w:rPr>
        <w:t>q, r, h</w:t>
      </w:r>
      <w:r w:rsidRPr="00426931">
        <w:rPr>
          <w:iCs/>
        </w:rPr>
        <w:t xml:space="preserve"> * FFSSARF </w:t>
      </w:r>
      <w:r w:rsidRPr="00426931">
        <w:rPr>
          <w:i/>
          <w:iCs/>
          <w:vertAlign w:val="subscript"/>
        </w:rPr>
        <w:t>q, r, h</w:t>
      </w:r>
      <w:r w:rsidRPr="00426931">
        <w:rPr>
          <w:iCs/>
        </w:rPr>
        <w:t xml:space="preserve"> * (1 - FFSSDRP</w:t>
      </w:r>
      <w:r w:rsidRPr="00426931">
        <w:rPr>
          <w:i/>
          <w:iCs/>
          <w:vertAlign w:val="subscript"/>
        </w:rPr>
        <w:t xml:space="preserve"> q, r, h</w:t>
      </w:r>
      <w:r w:rsidRPr="00426931">
        <w:rPr>
          <w:iCs/>
        </w:rPr>
        <w:t>)</w:t>
      </w:r>
    </w:p>
    <w:p w14:paraId="2980187F" w14:textId="77777777" w:rsidR="00426931" w:rsidRPr="00426931" w:rsidRDefault="00426931" w:rsidP="00426931">
      <w:pPr>
        <w:spacing w:after="240"/>
        <w:ind w:firstLine="720"/>
        <w:rPr>
          <w:iCs/>
        </w:rPr>
      </w:pPr>
      <w:r w:rsidRPr="00426931">
        <w:rPr>
          <w:iCs/>
        </w:rPr>
        <w:t>FFSSAWARD</w:t>
      </w:r>
      <w:r w:rsidRPr="00426931">
        <w:rPr>
          <w:i/>
          <w:iCs/>
          <w:vertAlign w:val="subscript"/>
        </w:rPr>
        <w:t xml:space="preserve"> q, r, h</w:t>
      </w:r>
      <w:r w:rsidRPr="00426931">
        <w:rPr>
          <w:iCs/>
        </w:rPr>
        <w:t xml:space="preserve"> = FFSSPR</w:t>
      </w:r>
      <w:r w:rsidRPr="00426931">
        <w:rPr>
          <w:i/>
          <w:iCs/>
          <w:vertAlign w:val="subscript"/>
        </w:rPr>
        <w:t xml:space="preserve"> q, r, h</w:t>
      </w:r>
      <w:r w:rsidRPr="00426931">
        <w:rPr>
          <w:iCs/>
        </w:rPr>
        <w:t xml:space="preserve"> * FFSSACAP</w:t>
      </w:r>
      <w:r w:rsidRPr="00426931">
        <w:rPr>
          <w:i/>
          <w:iCs/>
          <w:vertAlign w:val="subscript"/>
        </w:rPr>
        <w:t xml:space="preserve"> q, r, h</w:t>
      </w:r>
      <w:r w:rsidRPr="00426931">
        <w:rPr>
          <w:iCs/>
          <w:sz w:val="16"/>
          <w:szCs w:val="16"/>
        </w:rPr>
        <w:t xml:space="preserve"> </w:t>
      </w:r>
    </w:p>
    <w:p w14:paraId="323897BB" w14:textId="77777777" w:rsidR="00426931" w:rsidRPr="00426931" w:rsidRDefault="00426931" w:rsidP="00426931">
      <w:pPr>
        <w:spacing w:after="240"/>
        <w:ind w:firstLine="720"/>
        <w:rPr>
          <w:iCs/>
        </w:rPr>
      </w:pPr>
      <w:r w:rsidRPr="00426931">
        <w:rPr>
          <w:iCs/>
        </w:rPr>
        <w:t>And:</w:t>
      </w:r>
    </w:p>
    <w:p w14:paraId="4021A15F" w14:textId="77777777" w:rsidR="00426931" w:rsidRPr="00426931" w:rsidRDefault="00426931" w:rsidP="00426931">
      <w:pPr>
        <w:spacing w:after="240"/>
        <w:ind w:firstLine="720"/>
      </w:pPr>
      <w:r w:rsidRPr="00426931">
        <w:t>FFSS Capacity Reduction Factor</w:t>
      </w:r>
    </w:p>
    <w:p w14:paraId="65389B71" w14:textId="77777777" w:rsidR="00426931" w:rsidRPr="00426931" w:rsidRDefault="00426931" w:rsidP="00426931">
      <w:pPr>
        <w:spacing w:after="240"/>
        <w:ind w:firstLine="720"/>
      </w:pPr>
      <w:r w:rsidRPr="00426931">
        <w:t xml:space="preserve">If (FFSSTCAP </w:t>
      </w:r>
      <w:r w:rsidRPr="00426931">
        <w:rPr>
          <w:i/>
          <w:vertAlign w:val="subscript"/>
        </w:rPr>
        <w:t>q, r, h</w:t>
      </w:r>
      <w:r w:rsidRPr="00426931">
        <w:t xml:space="preserve"> ≥ FFSSACAP </w:t>
      </w:r>
      <w:r w:rsidRPr="00426931">
        <w:rPr>
          <w:i/>
          <w:vertAlign w:val="subscript"/>
        </w:rPr>
        <w:t>q, r, h</w:t>
      </w:r>
      <w:r w:rsidRPr="00426931">
        <w:t xml:space="preserve">) </w:t>
      </w:r>
    </w:p>
    <w:p w14:paraId="47B02766" w14:textId="77777777" w:rsidR="00426931" w:rsidRPr="00426931" w:rsidRDefault="00426931" w:rsidP="00426931">
      <w:pPr>
        <w:spacing w:after="240"/>
        <w:ind w:firstLine="720"/>
        <w:rPr>
          <w:lang w:val="pt-BR"/>
        </w:rPr>
      </w:pPr>
      <w:r w:rsidRPr="00426931">
        <w:rPr>
          <w:lang w:val="pt-BR"/>
        </w:rPr>
        <w:t xml:space="preserve">Then: </w:t>
      </w:r>
      <w:r w:rsidRPr="00426931">
        <w:rPr>
          <w:lang w:val="pt-BR"/>
        </w:rPr>
        <w:tab/>
      </w:r>
      <w:r w:rsidRPr="00426931">
        <w:rPr>
          <w:lang w:val="pt-BR"/>
        </w:rPr>
        <w:tab/>
        <w:t xml:space="preserve">FFSSCRF </w:t>
      </w:r>
      <w:r w:rsidRPr="00426931">
        <w:rPr>
          <w:i/>
          <w:vertAlign w:val="subscript"/>
          <w:lang w:val="pt-BR"/>
        </w:rPr>
        <w:t>q, r, h</w:t>
      </w:r>
      <w:r w:rsidRPr="00426931">
        <w:rPr>
          <w:lang w:val="pt-BR"/>
        </w:rPr>
        <w:t xml:space="preserve">  = 1</w:t>
      </w:r>
    </w:p>
    <w:p w14:paraId="4BE45CBB" w14:textId="77777777" w:rsidR="00426931" w:rsidRPr="00426931" w:rsidRDefault="00426931" w:rsidP="00426931">
      <w:pPr>
        <w:ind w:firstLine="720"/>
        <w:rPr>
          <w:sz w:val="32"/>
          <w:szCs w:val="32"/>
          <w:lang w:val="pt-BR"/>
        </w:rPr>
      </w:pPr>
      <w:r w:rsidRPr="00426931">
        <w:rPr>
          <w:lang w:val="pt-BR"/>
        </w:rPr>
        <w:t>Otherwise:</w:t>
      </w:r>
      <w:r w:rsidRPr="00426931">
        <w:rPr>
          <w:lang w:val="pt-BR"/>
        </w:rPr>
        <w:tab/>
        <w:t xml:space="preserve">FFSSCRF </w:t>
      </w:r>
      <w:r w:rsidRPr="00426931">
        <w:rPr>
          <w:i/>
          <w:vertAlign w:val="subscript"/>
          <w:lang w:val="pt-BR"/>
        </w:rPr>
        <w:t>q, r, h</w:t>
      </w:r>
      <w:r w:rsidRPr="00426931">
        <w:rPr>
          <w:lang w:val="pt-BR"/>
        </w:rPr>
        <w:t xml:space="preserve"> = Max (0, 1 – 2 * (FFSSACAP </w:t>
      </w:r>
      <w:r w:rsidRPr="00426931">
        <w:rPr>
          <w:i/>
          <w:vertAlign w:val="subscript"/>
          <w:lang w:val="pt-BR"/>
        </w:rPr>
        <w:t xml:space="preserve">q, r, h </w:t>
      </w:r>
      <w:r w:rsidRPr="00426931">
        <w:rPr>
          <w:lang w:val="pt-BR"/>
        </w:rPr>
        <w:t xml:space="preserve">– FFSSTCAP </w:t>
      </w:r>
      <w:r w:rsidRPr="00426931">
        <w:rPr>
          <w:i/>
          <w:vertAlign w:val="subscript"/>
          <w:lang w:val="pt-BR"/>
        </w:rPr>
        <w:t>q, r, h</w:t>
      </w:r>
      <w:r w:rsidRPr="00426931">
        <w:rPr>
          <w:lang w:val="pt-BR"/>
        </w:rPr>
        <w:t xml:space="preserve">) </w:t>
      </w:r>
      <w:r w:rsidRPr="00426931">
        <w:rPr>
          <w:b/>
          <w:sz w:val="32"/>
          <w:szCs w:val="32"/>
          <w:lang w:val="pt-BR"/>
        </w:rPr>
        <w:t>/</w:t>
      </w:r>
      <w:r w:rsidRPr="00426931">
        <w:rPr>
          <w:sz w:val="32"/>
          <w:szCs w:val="32"/>
          <w:lang w:val="pt-BR"/>
        </w:rPr>
        <w:t xml:space="preserve"> </w:t>
      </w:r>
    </w:p>
    <w:p w14:paraId="12C64243" w14:textId="77777777" w:rsidR="00426931" w:rsidRPr="00426931" w:rsidRDefault="00426931" w:rsidP="00426931">
      <w:pPr>
        <w:spacing w:after="240"/>
        <w:ind w:left="1440" w:firstLine="720"/>
        <w:rPr>
          <w:lang w:val="pt-BR"/>
        </w:rPr>
      </w:pPr>
      <w:r w:rsidRPr="00426931">
        <w:rPr>
          <w:lang w:val="pt-BR"/>
        </w:rPr>
        <w:t xml:space="preserve">FFSSACAP </w:t>
      </w:r>
      <w:r w:rsidRPr="00426931">
        <w:rPr>
          <w:i/>
          <w:vertAlign w:val="subscript"/>
          <w:lang w:val="pt-BR"/>
        </w:rPr>
        <w:t>q, r, h</w:t>
      </w:r>
      <w:r w:rsidRPr="00426931">
        <w:rPr>
          <w:lang w:val="pt-BR"/>
        </w:rPr>
        <w:t>)</w:t>
      </w:r>
    </w:p>
    <w:p w14:paraId="5AE8AD06" w14:textId="77777777" w:rsidR="00426931" w:rsidRPr="00426931" w:rsidRDefault="00426931" w:rsidP="00426931">
      <w:pPr>
        <w:spacing w:after="240"/>
        <w:ind w:firstLine="720"/>
      </w:pPr>
      <w:r w:rsidRPr="00426931">
        <w:t>FFSS Availability Reduction Factor</w:t>
      </w:r>
    </w:p>
    <w:p w14:paraId="2B42B139" w14:textId="77777777" w:rsidR="00426931" w:rsidRPr="00426931" w:rsidRDefault="00426931" w:rsidP="00426931">
      <w:pPr>
        <w:spacing w:after="240"/>
        <w:ind w:firstLine="720"/>
        <w:rPr>
          <w:lang w:val="pt-BR"/>
        </w:rPr>
      </w:pPr>
      <w:r w:rsidRPr="00426931">
        <w:rPr>
          <w:lang w:val="pt-BR"/>
        </w:rPr>
        <w:lastRenderedPageBreak/>
        <w:t xml:space="preserve">If (FFSSHREAF </w:t>
      </w:r>
      <w:r w:rsidRPr="00426931">
        <w:rPr>
          <w:i/>
          <w:vertAlign w:val="subscript"/>
          <w:lang w:val="pt-BR"/>
        </w:rPr>
        <w:t>q, r, h</w:t>
      </w:r>
      <w:r w:rsidRPr="00426931">
        <w:rPr>
          <w:lang w:val="pt-BR"/>
        </w:rPr>
        <w:t xml:space="preserve"> </w:t>
      </w:r>
      <w:r w:rsidRPr="00426931">
        <w:sym w:font="Symbol" w:char="F0B3"/>
      </w:r>
      <w:r w:rsidRPr="00426931">
        <w:rPr>
          <w:lang w:val="pt-BR"/>
        </w:rPr>
        <w:t xml:space="preserve"> 0.90)</w:t>
      </w:r>
    </w:p>
    <w:p w14:paraId="38959CB7" w14:textId="77777777" w:rsidR="00426931" w:rsidRPr="00426931" w:rsidRDefault="00426931" w:rsidP="00426931">
      <w:pPr>
        <w:spacing w:after="240"/>
        <w:ind w:firstLine="720"/>
        <w:rPr>
          <w:lang w:val="pt-BR"/>
        </w:rPr>
      </w:pPr>
      <w:r w:rsidRPr="00426931">
        <w:rPr>
          <w:lang w:val="pt-BR"/>
        </w:rPr>
        <w:t>Then:</w:t>
      </w:r>
      <w:r w:rsidRPr="00426931">
        <w:rPr>
          <w:lang w:val="pt-BR"/>
        </w:rPr>
        <w:tab/>
      </w:r>
      <w:r w:rsidRPr="00426931">
        <w:rPr>
          <w:lang w:val="pt-BR"/>
        </w:rPr>
        <w:tab/>
        <w:t xml:space="preserve">FFSSARF </w:t>
      </w:r>
      <w:r w:rsidRPr="00426931">
        <w:rPr>
          <w:i/>
          <w:vertAlign w:val="subscript"/>
          <w:lang w:val="pt-BR"/>
        </w:rPr>
        <w:t>q, r, h</w:t>
      </w:r>
      <w:r w:rsidRPr="00426931">
        <w:rPr>
          <w:lang w:val="pt-BR"/>
        </w:rPr>
        <w:t xml:space="preserve"> </w:t>
      </w:r>
      <w:r w:rsidRPr="00426931">
        <w:rPr>
          <w:lang w:val="pt-BR"/>
        </w:rPr>
        <w:tab/>
        <w:t>= 1</w:t>
      </w:r>
    </w:p>
    <w:p w14:paraId="5EA9FD7B" w14:textId="77777777" w:rsidR="00426931" w:rsidRPr="00426931" w:rsidRDefault="00426931" w:rsidP="00426931">
      <w:pPr>
        <w:spacing w:after="240"/>
        <w:ind w:firstLine="720"/>
        <w:rPr>
          <w:lang w:val="pt-BR"/>
        </w:rPr>
      </w:pPr>
      <w:r w:rsidRPr="00426931">
        <w:rPr>
          <w:lang w:val="pt-BR"/>
        </w:rPr>
        <w:t>Otherwise:</w:t>
      </w:r>
      <w:r w:rsidRPr="00426931">
        <w:rPr>
          <w:lang w:val="pt-BR"/>
        </w:rPr>
        <w:tab/>
        <w:t xml:space="preserve">FFSSARF </w:t>
      </w:r>
      <w:r w:rsidRPr="00426931">
        <w:rPr>
          <w:i/>
          <w:vertAlign w:val="subscript"/>
          <w:lang w:val="pt-BR"/>
        </w:rPr>
        <w:t>q, r, h</w:t>
      </w:r>
      <w:r w:rsidRPr="00426931">
        <w:rPr>
          <w:lang w:val="pt-BR"/>
        </w:rPr>
        <w:t xml:space="preserve"> </w:t>
      </w:r>
      <w:r w:rsidRPr="00426931">
        <w:rPr>
          <w:lang w:val="pt-BR"/>
        </w:rPr>
        <w:tab/>
        <w:t xml:space="preserve">= Max (0, 1 - (0.90 - FFSSHREAF </w:t>
      </w:r>
      <w:r w:rsidRPr="00426931">
        <w:rPr>
          <w:i/>
          <w:vertAlign w:val="subscript"/>
          <w:lang w:val="pt-BR"/>
        </w:rPr>
        <w:t>q, r, h</w:t>
      </w:r>
      <w:r w:rsidRPr="00426931">
        <w:rPr>
          <w:lang w:val="pt-BR"/>
        </w:rPr>
        <w:t>) * 2)</w:t>
      </w:r>
    </w:p>
    <w:p w14:paraId="3A6E5231" w14:textId="77777777" w:rsidR="00426931" w:rsidRPr="00426931" w:rsidRDefault="00426931" w:rsidP="00426931">
      <w:pPr>
        <w:spacing w:after="240"/>
        <w:ind w:firstLine="720"/>
      </w:pPr>
      <w:r w:rsidRPr="00426931">
        <w:t>FFSS Hourly Rolling Equivalent Availability Factor</w:t>
      </w:r>
    </w:p>
    <w:p w14:paraId="3553FAF7" w14:textId="77777777" w:rsidR="00426931" w:rsidRPr="00426931" w:rsidRDefault="00426931" w:rsidP="00426931">
      <w:pPr>
        <w:spacing w:after="240"/>
        <w:ind w:left="3600" w:hanging="2160"/>
        <w:rPr>
          <w:iCs/>
          <w:lang w:val="pt-BR"/>
        </w:rPr>
      </w:pPr>
    </w:p>
    <w:p w14:paraId="71CFB569" w14:textId="77777777" w:rsidR="00426931" w:rsidRPr="00426931" w:rsidRDefault="00426931" w:rsidP="00426931">
      <w:pPr>
        <w:spacing w:after="240"/>
        <w:ind w:left="3600" w:hanging="2160"/>
        <w:rPr>
          <w:iCs/>
          <w:lang w:val="pt-BR"/>
        </w:rPr>
      </w:pPr>
      <w:r w:rsidRPr="00426931">
        <w:rPr>
          <w:lang w:val="pt-BR"/>
        </w:rPr>
        <w:t xml:space="preserve">FFSSHREAF </w:t>
      </w:r>
      <w:r w:rsidRPr="00426931">
        <w:rPr>
          <w:i/>
          <w:vertAlign w:val="subscript"/>
          <w:lang w:val="pt-BR"/>
        </w:rPr>
        <w:t>q, r, h</w:t>
      </w:r>
      <w:r w:rsidRPr="00426931">
        <w:rPr>
          <w:lang w:val="pt-BR"/>
        </w:rPr>
        <w:t xml:space="preserve">  = </w:t>
      </w:r>
      <m:oMath>
        <m:nary>
          <m:naryPr>
            <m:chr m:val="∑"/>
            <m:limLoc m:val="undOvr"/>
            <m:ctrlPr>
              <w:rPr>
                <w:rFonts w:ascii="Cambria Math" w:hAnsi="Cambria Math"/>
                <w:i/>
                <w:lang w:val="pt-BR"/>
              </w:rPr>
            </m:ctrlPr>
          </m:naryPr>
          <m:sub>
            <m:r>
              <w:rPr>
                <w:rFonts w:ascii="Cambria Math" w:hAnsi="Cambria Math"/>
                <w:lang w:val="pt-BR"/>
              </w:rPr>
              <m:t>hr=h-</m:t>
            </m:r>
            <m:r>
              <w:rPr>
                <w:rFonts w:ascii="Cambria Math" w:hAnsi="Cambria Math"/>
                <w:lang w:val="pt-BR"/>
              </w:rPr>
              <m:t>1451</m:t>
            </m:r>
          </m:sub>
          <m:sup>
            <m:r>
              <w:rPr>
                <w:rFonts w:ascii="Cambria Math" w:hAnsi="Cambria Math"/>
                <w:lang w:val="pt-BR"/>
              </w:rPr>
              <m:t>h</m:t>
            </m:r>
          </m:sup>
          <m:e>
            <m:r>
              <w:rPr>
                <w:rFonts w:ascii="Cambria Math" w:hAnsi="Cambria Math"/>
                <w:lang w:val="pt-BR"/>
              </w:rPr>
              <m:t>(</m:t>
            </m:r>
          </m:e>
        </m:nary>
      </m:oMath>
      <w:r w:rsidRPr="00426931">
        <w:rPr>
          <w:lang w:val="pt-BR"/>
        </w:rPr>
        <w:t xml:space="preserve">max(AVCAP </w:t>
      </w:r>
      <w:r w:rsidRPr="00426931">
        <w:rPr>
          <w:i/>
          <w:vertAlign w:val="subscript"/>
          <w:lang w:val="pt-BR"/>
        </w:rPr>
        <w:t>q, r, hr</w:t>
      </w:r>
      <w:r w:rsidRPr="00426931">
        <w:rPr>
          <w:iCs/>
          <w:lang w:val="pt-BR"/>
        </w:rPr>
        <w:t>))</w:t>
      </w:r>
      <w:r w:rsidRPr="00426931">
        <w:rPr>
          <w:lang w:val="pt-BR"/>
        </w:rPr>
        <w:t xml:space="preserve"> / </w:t>
      </w:r>
      <m:oMath>
        <m:nary>
          <m:naryPr>
            <m:chr m:val="∑"/>
            <m:limLoc m:val="undOvr"/>
            <m:ctrlPr>
              <w:rPr>
                <w:rFonts w:ascii="Cambria Math" w:hAnsi="Cambria Math"/>
                <w:i/>
                <w:lang w:val="pt-BR"/>
              </w:rPr>
            </m:ctrlPr>
          </m:naryPr>
          <m:sub>
            <m:r>
              <w:rPr>
                <w:rFonts w:ascii="Cambria Math" w:hAnsi="Cambria Math"/>
                <w:lang w:val="pt-BR"/>
              </w:rPr>
              <m:t>hr=h-</m:t>
            </m:r>
            <m:r>
              <w:rPr>
                <w:rFonts w:ascii="Cambria Math" w:hAnsi="Cambria Math"/>
                <w:lang w:val="pt-BR"/>
              </w:rPr>
              <m:t>1451</m:t>
            </m:r>
          </m:sub>
          <m:sup>
            <m:r>
              <w:rPr>
                <w:rFonts w:ascii="Cambria Math" w:hAnsi="Cambria Math"/>
                <w:lang w:val="pt-BR"/>
              </w:rPr>
              <m:t>h</m:t>
            </m:r>
          </m:sup>
          <m:e>
            <m:r>
              <m:rPr>
                <m:sty m:val="p"/>
              </m:rPr>
              <w:rPr>
                <w:rFonts w:ascii="Cambria Math" w:hAnsi="Cambria Math"/>
                <w:lang w:val="pt-BR"/>
              </w:rPr>
              <m:t>(</m:t>
            </m:r>
          </m:e>
        </m:nary>
      </m:oMath>
      <w:r w:rsidRPr="00426931">
        <w:t xml:space="preserve">FFSSACAP </w:t>
      </w:r>
      <w:r w:rsidRPr="00426931">
        <w:rPr>
          <w:i/>
          <w:vertAlign w:val="subscript"/>
          <w:lang w:val="pt-BR"/>
        </w:rPr>
        <w:t>q, r, hr</w:t>
      </w:r>
      <w:r w:rsidRPr="00426931">
        <w:rPr>
          <w:iCs/>
          <w:lang w:val="pt-BR"/>
        </w:rPr>
        <w:t>)</w:t>
      </w:r>
    </w:p>
    <w:p w14:paraId="486F7BA0" w14:textId="77777777" w:rsidR="00426931" w:rsidRPr="00426931" w:rsidRDefault="00426931" w:rsidP="00426931">
      <w:pPr>
        <w:spacing w:after="240"/>
        <w:ind w:left="2880" w:hanging="2160"/>
      </w:pPr>
      <w:r w:rsidRPr="00426931">
        <w:rPr>
          <w:iCs/>
          <w:lang w:val="pt-BR"/>
        </w:rPr>
        <w:t>Where,</w:t>
      </w:r>
    </w:p>
    <w:p w14:paraId="77E673FA" w14:textId="77777777" w:rsidR="00426931" w:rsidRPr="00426931" w:rsidRDefault="00426931" w:rsidP="00426931">
      <w:pPr>
        <w:spacing w:after="240"/>
        <w:ind w:left="720" w:firstLine="720"/>
        <w:rPr>
          <w:lang w:val="pt-BR"/>
        </w:rPr>
      </w:pPr>
      <w:r w:rsidRPr="00426931">
        <w:rPr>
          <w:lang w:val="pt-BR"/>
        </w:rPr>
        <w:t>If the Resource is a Combined Cycle Train:</w:t>
      </w:r>
    </w:p>
    <w:p w14:paraId="5EFC2944" w14:textId="77777777" w:rsidR="00426931" w:rsidRPr="00426931" w:rsidRDefault="00426931" w:rsidP="00426931">
      <w:pPr>
        <w:spacing w:after="120"/>
        <w:ind w:left="3118" w:hanging="1710"/>
        <w:rPr>
          <w:i/>
          <w:vertAlign w:val="subscript"/>
          <w:lang w:val="pt-BR"/>
        </w:rPr>
      </w:pPr>
      <w:r w:rsidRPr="00426931">
        <w:rPr>
          <w:lang w:val="pt-BR"/>
        </w:rPr>
        <w:t>AVCAP</w:t>
      </w:r>
      <w:r w:rsidRPr="00426931">
        <w:rPr>
          <w:i/>
          <w:vertAlign w:val="subscript"/>
          <w:lang w:val="pt-BR"/>
        </w:rPr>
        <w:t xml:space="preserve">q, r, hr </w:t>
      </w:r>
      <w:r w:rsidRPr="00426931">
        <w:rPr>
          <w:lang w:val="pt-BR"/>
        </w:rPr>
        <w:t xml:space="preserve"> = max</w:t>
      </w:r>
      <w:r w:rsidRPr="00426931">
        <w:rPr>
          <w:i/>
          <w:vertAlign w:val="subscript"/>
          <w:lang w:val="pt-BR"/>
        </w:rPr>
        <w:t>train,hr</w:t>
      </w:r>
      <w:r w:rsidRPr="00426931">
        <w:rPr>
          <w:lang w:val="pt-BR"/>
        </w:rPr>
        <w:t xml:space="preserve"> (max(FFSEDFLAG </w:t>
      </w:r>
      <w:r w:rsidRPr="00426931">
        <w:rPr>
          <w:i/>
          <w:iCs/>
          <w:vertAlign w:val="subscript"/>
          <w:lang w:val="pt-BR"/>
        </w:rPr>
        <w:t>q, train, hr</w:t>
      </w:r>
      <w:r w:rsidRPr="00426931">
        <w:rPr>
          <w:lang w:val="pt-BR"/>
        </w:rPr>
        <w:t xml:space="preserve">, FFSSAFLAG </w:t>
      </w:r>
      <w:r w:rsidRPr="00426931">
        <w:rPr>
          <w:i/>
          <w:vertAlign w:val="subscript"/>
          <w:lang w:val="pt-BR"/>
        </w:rPr>
        <w:t>q, ccgr, hr</w:t>
      </w:r>
      <w:r w:rsidRPr="00426931">
        <w:rPr>
          <w:iCs/>
          <w:lang w:val="pt-BR"/>
        </w:rPr>
        <w:t>)</w:t>
      </w:r>
      <w:r w:rsidRPr="00426931">
        <w:rPr>
          <w:i/>
          <w:vertAlign w:val="subscript"/>
          <w:lang w:val="pt-BR"/>
        </w:rPr>
        <w:t xml:space="preserve"> </w:t>
      </w:r>
      <w:r w:rsidRPr="00426931">
        <w:rPr>
          <w:lang w:val="pt-BR"/>
        </w:rPr>
        <w:t>* min(HSL</w:t>
      </w:r>
      <w:r w:rsidRPr="00426931">
        <w:rPr>
          <w:i/>
          <w:vertAlign w:val="subscript"/>
          <w:lang w:val="pt-BR"/>
        </w:rPr>
        <w:t xml:space="preserve"> q, ccgr, hr</w:t>
      </w:r>
      <w:r w:rsidRPr="00426931">
        <w:rPr>
          <w:lang w:val="pt-BR"/>
        </w:rPr>
        <w:t xml:space="preserve">, </w:t>
      </w:r>
      <w:r w:rsidRPr="00426931">
        <w:t>FFSSACAP</w:t>
      </w:r>
      <w:r w:rsidRPr="00426931">
        <w:rPr>
          <w:i/>
          <w:vertAlign w:val="subscript"/>
          <w:lang w:val="pt-BR"/>
        </w:rPr>
        <w:t>q, train, hr</w:t>
      </w:r>
      <w:r w:rsidRPr="00426931">
        <w:rPr>
          <w:iCs/>
          <w:lang w:val="pt-BR"/>
        </w:rPr>
        <w:t>))</w:t>
      </w:r>
    </w:p>
    <w:p w14:paraId="0AC801D4" w14:textId="77777777" w:rsidR="00426931" w:rsidRPr="00426931" w:rsidRDefault="00426931" w:rsidP="00426931">
      <w:pPr>
        <w:spacing w:after="240"/>
        <w:ind w:left="720" w:firstLine="720"/>
        <w:rPr>
          <w:lang w:val="pt-BR"/>
        </w:rPr>
      </w:pPr>
      <w:r w:rsidRPr="00426931">
        <w:rPr>
          <w:lang w:val="pt-BR"/>
        </w:rPr>
        <w:t>Otherwise:</w:t>
      </w:r>
    </w:p>
    <w:p w14:paraId="35FAD99D" w14:textId="77777777" w:rsidR="00426931" w:rsidRPr="00426931" w:rsidRDefault="00426931" w:rsidP="00426931">
      <w:pPr>
        <w:spacing w:after="120"/>
        <w:ind w:left="3118" w:hanging="1710"/>
        <w:rPr>
          <w:iCs/>
          <w:lang w:val="pt-BR"/>
        </w:rPr>
      </w:pPr>
      <w:r w:rsidRPr="00426931">
        <w:rPr>
          <w:lang w:val="pt-BR"/>
        </w:rPr>
        <w:t xml:space="preserve">AVCAP </w:t>
      </w:r>
      <w:r w:rsidRPr="00426931">
        <w:rPr>
          <w:i/>
          <w:iCs/>
          <w:vertAlign w:val="subscript"/>
          <w:lang w:val="pt-BR"/>
        </w:rPr>
        <w:t>q, r, hr</w:t>
      </w:r>
      <w:r w:rsidRPr="00426931">
        <w:rPr>
          <w:lang w:val="pt-BR"/>
        </w:rPr>
        <w:t xml:space="preserve"> = max(FFSEDFLAG </w:t>
      </w:r>
      <w:r w:rsidRPr="00426931">
        <w:rPr>
          <w:i/>
          <w:iCs/>
          <w:vertAlign w:val="subscript"/>
          <w:lang w:val="pt-BR"/>
        </w:rPr>
        <w:t>q, r, hr</w:t>
      </w:r>
      <w:r w:rsidRPr="00426931">
        <w:rPr>
          <w:lang w:val="pt-BR"/>
        </w:rPr>
        <w:t xml:space="preserve">, FFSSAFLAG </w:t>
      </w:r>
      <w:r w:rsidRPr="00426931">
        <w:rPr>
          <w:i/>
          <w:vertAlign w:val="subscript"/>
          <w:lang w:val="pt-BR"/>
        </w:rPr>
        <w:t>q, r, hr</w:t>
      </w:r>
      <w:r w:rsidRPr="00426931">
        <w:rPr>
          <w:iCs/>
          <w:lang w:val="pt-BR"/>
        </w:rPr>
        <w:t>)</w:t>
      </w:r>
      <w:r w:rsidRPr="00426931">
        <w:rPr>
          <w:i/>
          <w:vertAlign w:val="subscript"/>
          <w:lang w:val="pt-BR"/>
        </w:rPr>
        <w:t xml:space="preserve"> </w:t>
      </w:r>
      <w:r w:rsidRPr="00426931">
        <w:rPr>
          <w:lang w:val="pt-BR"/>
        </w:rPr>
        <w:t>* min(HSL</w:t>
      </w:r>
      <w:r w:rsidRPr="00426931">
        <w:rPr>
          <w:i/>
          <w:vertAlign w:val="subscript"/>
          <w:lang w:val="pt-BR"/>
        </w:rPr>
        <w:t xml:space="preserve"> q, r, hr</w:t>
      </w:r>
      <w:r w:rsidRPr="00426931">
        <w:rPr>
          <w:lang w:val="pt-BR"/>
        </w:rPr>
        <w:t xml:space="preserve">, </w:t>
      </w:r>
      <w:r w:rsidRPr="00426931">
        <w:t xml:space="preserve">FFSSACAP </w:t>
      </w:r>
      <w:r w:rsidRPr="00426931">
        <w:rPr>
          <w:i/>
          <w:vertAlign w:val="subscript"/>
          <w:lang w:val="pt-BR"/>
        </w:rPr>
        <w:t>q, r, hr</w:t>
      </w:r>
      <w:r w:rsidRPr="00426931">
        <w:rPr>
          <w:iCs/>
          <w:lang w:val="pt-BR"/>
        </w:rPr>
        <w:t>)</w:t>
      </w:r>
    </w:p>
    <w:p w14:paraId="737B2D54" w14:textId="77777777" w:rsidR="00426931" w:rsidRPr="00426931" w:rsidRDefault="00426931" w:rsidP="00426931">
      <w:pPr>
        <w:spacing w:after="240"/>
        <w:ind w:left="1440"/>
        <w:rPr>
          <w:lang w:val="pt-BR"/>
        </w:rPr>
      </w:pPr>
      <w:r w:rsidRPr="00426931">
        <w:t>Availability for a Combined Cycle Train will be determined pursuant to terms set forth in the RFP but no more than once per hour.</w:t>
      </w:r>
      <w:r w:rsidRPr="00426931">
        <w:rPr>
          <w:lang w:val="pt-BR"/>
        </w:rPr>
        <w:t xml:space="preserve"> </w:t>
      </w:r>
    </w:p>
    <w:p w14:paraId="5786F2CA" w14:textId="77777777" w:rsidR="00426931" w:rsidRPr="00426931" w:rsidRDefault="00426931" w:rsidP="00426931">
      <w:r w:rsidRPr="00426931">
        <w:t>The above variables are defined as follows:</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1632"/>
        <w:gridCol w:w="5697"/>
      </w:tblGrid>
      <w:tr w:rsidR="00426931" w:rsidRPr="00426931" w14:paraId="02B949CA" w14:textId="77777777" w:rsidTr="00426931">
        <w:trPr>
          <w:cantSplit/>
          <w:trHeight w:val="332"/>
          <w:tblHeader/>
        </w:trPr>
        <w:tc>
          <w:tcPr>
            <w:tcW w:w="2483" w:type="dxa"/>
            <w:tcBorders>
              <w:top w:val="single" w:sz="4" w:space="0" w:color="auto"/>
              <w:left w:val="single" w:sz="4" w:space="0" w:color="auto"/>
              <w:bottom w:val="single" w:sz="4" w:space="0" w:color="auto"/>
              <w:right w:val="single" w:sz="4" w:space="0" w:color="auto"/>
            </w:tcBorders>
            <w:hideMark/>
          </w:tcPr>
          <w:p w14:paraId="6F1D1236" w14:textId="77777777" w:rsidR="00426931" w:rsidRPr="00426931" w:rsidRDefault="00426931" w:rsidP="00426931">
            <w:pPr>
              <w:spacing w:after="120"/>
              <w:rPr>
                <w:b/>
                <w:bCs/>
                <w:iCs/>
                <w:sz w:val="20"/>
              </w:rPr>
            </w:pPr>
            <w:r w:rsidRPr="00426931">
              <w:rPr>
                <w:b/>
                <w:bCs/>
                <w:sz w:val="20"/>
              </w:rPr>
              <w:t>Variable</w:t>
            </w:r>
          </w:p>
        </w:tc>
        <w:tc>
          <w:tcPr>
            <w:tcW w:w="1632" w:type="dxa"/>
            <w:tcBorders>
              <w:top w:val="single" w:sz="4" w:space="0" w:color="auto"/>
              <w:left w:val="single" w:sz="4" w:space="0" w:color="auto"/>
              <w:bottom w:val="single" w:sz="4" w:space="0" w:color="auto"/>
              <w:right w:val="single" w:sz="4" w:space="0" w:color="auto"/>
            </w:tcBorders>
            <w:hideMark/>
          </w:tcPr>
          <w:p w14:paraId="495091DC" w14:textId="77777777" w:rsidR="00426931" w:rsidRPr="00426931" w:rsidRDefault="00426931" w:rsidP="00426931">
            <w:pPr>
              <w:spacing w:after="120"/>
              <w:rPr>
                <w:b/>
                <w:iCs/>
                <w:sz w:val="20"/>
              </w:rPr>
            </w:pPr>
            <w:r w:rsidRPr="00426931">
              <w:rPr>
                <w:b/>
                <w:iCs/>
                <w:sz w:val="20"/>
              </w:rPr>
              <w:t>Unit</w:t>
            </w:r>
          </w:p>
        </w:tc>
        <w:tc>
          <w:tcPr>
            <w:tcW w:w="5697" w:type="dxa"/>
            <w:tcBorders>
              <w:top w:val="single" w:sz="4" w:space="0" w:color="auto"/>
              <w:left w:val="single" w:sz="4" w:space="0" w:color="auto"/>
              <w:bottom w:val="single" w:sz="4" w:space="0" w:color="auto"/>
              <w:right w:val="single" w:sz="4" w:space="0" w:color="auto"/>
            </w:tcBorders>
            <w:hideMark/>
          </w:tcPr>
          <w:p w14:paraId="32F882A9" w14:textId="77777777" w:rsidR="00426931" w:rsidRPr="00426931" w:rsidRDefault="00426931" w:rsidP="00426931">
            <w:pPr>
              <w:spacing w:after="120"/>
              <w:rPr>
                <w:b/>
                <w:iCs/>
                <w:sz w:val="20"/>
              </w:rPr>
            </w:pPr>
            <w:r w:rsidRPr="00426931">
              <w:rPr>
                <w:b/>
                <w:iCs/>
                <w:sz w:val="20"/>
              </w:rPr>
              <w:t>Definition</w:t>
            </w:r>
          </w:p>
        </w:tc>
      </w:tr>
      <w:tr w:rsidR="00426931" w:rsidRPr="00426931" w14:paraId="6E4292F6"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19508D4C" w14:textId="77777777" w:rsidR="00426931" w:rsidRPr="00426931" w:rsidRDefault="00426931" w:rsidP="00426931">
            <w:pPr>
              <w:spacing w:after="60"/>
              <w:rPr>
                <w:bCs/>
                <w:iCs/>
                <w:sz w:val="20"/>
              </w:rPr>
            </w:pPr>
            <w:r w:rsidRPr="00426931">
              <w:rPr>
                <w:bCs/>
                <w:iCs/>
                <w:sz w:val="20"/>
              </w:rPr>
              <w:t xml:space="preserve">FFSSAMT </w:t>
            </w:r>
            <w:r w:rsidRPr="00426931">
              <w:rPr>
                <w:bCs/>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424957F5" w14:textId="77777777" w:rsidR="00426931" w:rsidRPr="00426931" w:rsidRDefault="00426931" w:rsidP="00426931">
            <w:pPr>
              <w:spacing w:after="60"/>
              <w:rPr>
                <w:iCs/>
                <w:sz w:val="20"/>
              </w:rPr>
            </w:pPr>
            <w:r w:rsidRPr="00426931">
              <w:rPr>
                <w:iCs/>
                <w:sz w:val="20"/>
              </w:rPr>
              <w:t>$</w:t>
            </w:r>
          </w:p>
        </w:tc>
        <w:tc>
          <w:tcPr>
            <w:tcW w:w="5697" w:type="dxa"/>
            <w:tcBorders>
              <w:top w:val="single" w:sz="4" w:space="0" w:color="auto"/>
              <w:left w:val="single" w:sz="4" w:space="0" w:color="auto"/>
              <w:bottom w:val="single" w:sz="4" w:space="0" w:color="auto"/>
              <w:right w:val="single" w:sz="4" w:space="0" w:color="auto"/>
            </w:tcBorders>
            <w:hideMark/>
          </w:tcPr>
          <w:p w14:paraId="12C01717" w14:textId="77777777" w:rsidR="00426931" w:rsidRPr="00426931" w:rsidRDefault="00426931" w:rsidP="00426931">
            <w:pPr>
              <w:spacing w:after="60"/>
              <w:rPr>
                <w:iCs/>
                <w:sz w:val="20"/>
              </w:rPr>
            </w:pPr>
            <w:r w:rsidRPr="00426931">
              <w:rPr>
                <w:i/>
                <w:iCs/>
                <w:sz w:val="20"/>
              </w:rPr>
              <w:t>Firm Fuel Supply Service Amount per QSE per Resource by hour</w:t>
            </w:r>
            <w:r w:rsidRPr="00426931">
              <w:rPr>
                <w:iCs/>
                <w:sz w:val="20"/>
              </w:rPr>
              <w:t xml:space="preserve">—The payment to QSE </w:t>
            </w:r>
            <w:r w:rsidRPr="00426931">
              <w:rPr>
                <w:i/>
                <w:iCs/>
                <w:sz w:val="20"/>
              </w:rPr>
              <w:t>q</w:t>
            </w:r>
            <w:r w:rsidRPr="00426931">
              <w:rPr>
                <w:iCs/>
                <w:sz w:val="20"/>
              </w:rPr>
              <w:t xml:space="preserve"> assigned to the FFSS for the primary Generation Resource </w:t>
            </w:r>
            <w:r w:rsidRPr="00426931">
              <w:rPr>
                <w:i/>
                <w:iCs/>
                <w:sz w:val="20"/>
              </w:rPr>
              <w:t>r</w:t>
            </w:r>
            <w:r w:rsidRPr="00426931">
              <w:rPr>
                <w:iCs/>
                <w:sz w:val="20"/>
              </w:rPr>
              <w:t xml:space="preserve">, for the hour, calculated each hour of November 15 through March 15 during the awarded FFSS obligation period.  Where for a Combined Cycle Train, the Resource </w:t>
            </w:r>
            <w:r w:rsidRPr="00426931">
              <w:rPr>
                <w:i/>
                <w:iCs/>
                <w:sz w:val="20"/>
              </w:rPr>
              <w:t xml:space="preserve">r </w:t>
            </w:r>
            <w:r w:rsidRPr="00426931">
              <w:rPr>
                <w:iCs/>
                <w:sz w:val="20"/>
              </w:rPr>
              <w:t>is the Combined Cycle Train.</w:t>
            </w:r>
          </w:p>
        </w:tc>
      </w:tr>
      <w:tr w:rsidR="00426931" w:rsidRPr="00426931" w14:paraId="27A0C6E4"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0B0CDDC2" w14:textId="77777777" w:rsidR="00426931" w:rsidRPr="00426931" w:rsidRDefault="00426931" w:rsidP="00426931">
            <w:pPr>
              <w:spacing w:after="60"/>
              <w:rPr>
                <w:bCs/>
                <w:iCs/>
                <w:sz w:val="20"/>
              </w:rPr>
            </w:pPr>
            <w:r w:rsidRPr="00426931">
              <w:rPr>
                <w:bCs/>
                <w:iCs/>
                <w:sz w:val="20"/>
              </w:rPr>
              <w:t xml:space="preserve">FFSSAWARD </w:t>
            </w:r>
            <w:r w:rsidRPr="00426931">
              <w:rPr>
                <w:bCs/>
                <w:i/>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07A40EA8" w14:textId="77777777" w:rsidR="00426931" w:rsidRPr="00426931" w:rsidRDefault="00426931" w:rsidP="00426931">
            <w:pPr>
              <w:spacing w:after="60"/>
              <w:rPr>
                <w:iCs/>
                <w:sz w:val="20"/>
              </w:rPr>
            </w:pPr>
            <w:r w:rsidRPr="00426931">
              <w:rPr>
                <w:iCs/>
                <w:sz w:val="20"/>
              </w:rPr>
              <w:t>$</w:t>
            </w:r>
          </w:p>
        </w:tc>
        <w:tc>
          <w:tcPr>
            <w:tcW w:w="5697" w:type="dxa"/>
            <w:tcBorders>
              <w:top w:val="single" w:sz="4" w:space="0" w:color="auto"/>
              <w:left w:val="single" w:sz="4" w:space="0" w:color="auto"/>
              <w:bottom w:val="single" w:sz="4" w:space="0" w:color="auto"/>
              <w:right w:val="single" w:sz="4" w:space="0" w:color="auto"/>
            </w:tcBorders>
            <w:hideMark/>
          </w:tcPr>
          <w:p w14:paraId="3BD2F8D5" w14:textId="77777777" w:rsidR="00426931" w:rsidRPr="00426931" w:rsidRDefault="00426931" w:rsidP="00426931">
            <w:pPr>
              <w:spacing w:after="60"/>
              <w:rPr>
                <w:i/>
                <w:iCs/>
                <w:sz w:val="20"/>
              </w:rPr>
            </w:pPr>
            <w:r w:rsidRPr="00426931">
              <w:rPr>
                <w:i/>
                <w:iCs/>
                <w:sz w:val="20"/>
              </w:rPr>
              <w:t>Firm Fuel Supply Service Award Amount per QSE by hour—</w:t>
            </w:r>
            <w:r w:rsidRPr="00426931">
              <w:rPr>
                <w:sz w:val="20"/>
              </w:rPr>
              <w:t xml:space="preserve">The payment to the QSE </w:t>
            </w:r>
            <w:r w:rsidRPr="00426931">
              <w:rPr>
                <w:i/>
                <w:iCs/>
                <w:sz w:val="20"/>
              </w:rPr>
              <w:t>q</w:t>
            </w:r>
            <w:r w:rsidRPr="00426931">
              <w:rPr>
                <w:sz w:val="20"/>
              </w:rPr>
              <w:t xml:space="preserve"> for the FFSS awarded to the </w:t>
            </w:r>
            <w:r w:rsidRPr="00426931">
              <w:rPr>
                <w:iCs/>
                <w:sz w:val="20"/>
              </w:rPr>
              <w:t>primary Generation Resource</w:t>
            </w:r>
            <w:r w:rsidRPr="00426931">
              <w:rPr>
                <w:sz w:val="20"/>
              </w:rPr>
              <w:t xml:space="preserve"> </w:t>
            </w:r>
            <w:r w:rsidRPr="00426931">
              <w:rPr>
                <w:i/>
                <w:iCs/>
                <w:sz w:val="20"/>
              </w:rPr>
              <w:t>r</w:t>
            </w:r>
            <w:r w:rsidRPr="00426931">
              <w:rPr>
                <w:sz w:val="20"/>
              </w:rPr>
              <w:t xml:space="preserve"> for each hour </w:t>
            </w:r>
            <w:r w:rsidRPr="00426931">
              <w:rPr>
                <w:i/>
                <w:iCs/>
                <w:sz w:val="20"/>
              </w:rPr>
              <w:t>h</w:t>
            </w:r>
            <w:r w:rsidRPr="00426931">
              <w:rPr>
                <w:sz w:val="20"/>
              </w:rPr>
              <w:t xml:space="preserve">, </w:t>
            </w:r>
            <w:r w:rsidRPr="00426931">
              <w:rPr>
                <w:iCs/>
                <w:sz w:val="20"/>
              </w:rPr>
              <w:t>during the awarded FFSS obligation period.</w:t>
            </w:r>
            <w:r w:rsidRPr="00426931">
              <w:rPr>
                <w:sz w:val="20"/>
              </w:rPr>
              <w:t xml:space="preserve"> </w:t>
            </w:r>
            <w:r w:rsidRPr="00426931">
              <w:rPr>
                <w:iCs/>
                <w:sz w:val="20"/>
              </w:rPr>
              <w:t xml:space="preserve">Where for a Combined Cycle Train, the Resource </w:t>
            </w:r>
            <w:r w:rsidRPr="00426931">
              <w:rPr>
                <w:i/>
                <w:iCs/>
                <w:sz w:val="20"/>
              </w:rPr>
              <w:t xml:space="preserve">r </w:t>
            </w:r>
            <w:r w:rsidRPr="00426931">
              <w:rPr>
                <w:iCs/>
                <w:sz w:val="20"/>
              </w:rPr>
              <w:t>is the Combined Cycle Train.</w:t>
            </w:r>
          </w:p>
        </w:tc>
      </w:tr>
      <w:tr w:rsidR="00426931" w:rsidRPr="00426931" w14:paraId="7F6FBD9A"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5DFAE58E" w14:textId="77777777" w:rsidR="00426931" w:rsidRPr="00426931" w:rsidRDefault="00426931" w:rsidP="00426931">
            <w:pPr>
              <w:spacing w:after="60"/>
              <w:rPr>
                <w:iCs/>
                <w:sz w:val="20"/>
              </w:rPr>
            </w:pPr>
            <w:r w:rsidRPr="00426931">
              <w:rPr>
                <w:iCs/>
                <w:sz w:val="20"/>
              </w:rPr>
              <w:t xml:space="preserve">FFSSPR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7D45526C" w14:textId="77777777" w:rsidR="00426931" w:rsidRPr="00426931" w:rsidRDefault="00426931" w:rsidP="00426931">
            <w:pPr>
              <w:spacing w:after="60"/>
              <w:rPr>
                <w:iCs/>
                <w:sz w:val="20"/>
              </w:rPr>
            </w:pPr>
            <w:r w:rsidRPr="00426931">
              <w:rPr>
                <w:iCs/>
                <w:sz w:val="20"/>
              </w:rPr>
              <w:t>$/MW per hour</w:t>
            </w:r>
          </w:p>
        </w:tc>
        <w:tc>
          <w:tcPr>
            <w:tcW w:w="5697" w:type="dxa"/>
            <w:tcBorders>
              <w:top w:val="single" w:sz="4" w:space="0" w:color="auto"/>
              <w:left w:val="single" w:sz="4" w:space="0" w:color="auto"/>
              <w:bottom w:val="single" w:sz="4" w:space="0" w:color="auto"/>
              <w:right w:val="single" w:sz="4" w:space="0" w:color="auto"/>
            </w:tcBorders>
            <w:hideMark/>
          </w:tcPr>
          <w:p w14:paraId="6777F144" w14:textId="77777777" w:rsidR="00426931" w:rsidRPr="00426931" w:rsidRDefault="00426931" w:rsidP="00426931">
            <w:pPr>
              <w:spacing w:after="60"/>
              <w:rPr>
                <w:iCs/>
                <w:sz w:val="20"/>
              </w:rPr>
            </w:pPr>
            <w:r w:rsidRPr="00426931">
              <w:rPr>
                <w:i/>
                <w:iCs/>
                <w:sz w:val="20"/>
              </w:rPr>
              <w:t>Firm Fuel Supply Service Price per QSE per Resource by hour</w:t>
            </w:r>
            <w:r w:rsidRPr="00426931">
              <w:rPr>
                <w:iCs/>
                <w:sz w:val="20"/>
              </w:rPr>
              <w:t xml:space="preserve">—The standby price of the primary Generation Resource </w:t>
            </w:r>
            <w:r w:rsidRPr="00426931">
              <w:rPr>
                <w:i/>
                <w:iCs/>
                <w:sz w:val="20"/>
              </w:rPr>
              <w:t>r</w:t>
            </w:r>
            <w:r w:rsidRPr="00426931">
              <w:rPr>
                <w:iCs/>
                <w:sz w:val="20"/>
              </w:rPr>
              <w:t xml:space="preserve"> represented by QSE </w:t>
            </w:r>
            <w:r w:rsidRPr="00426931">
              <w:rPr>
                <w:i/>
                <w:iCs/>
                <w:sz w:val="20"/>
              </w:rPr>
              <w:t>q</w:t>
            </w:r>
            <w:r w:rsidRPr="00426931">
              <w:rPr>
                <w:iCs/>
                <w:sz w:val="20"/>
              </w:rPr>
              <w:t xml:space="preserve">, as specified in the FFSS award.  Where for a Combined Cycle Train, the Resource </w:t>
            </w:r>
            <w:r w:rsidRPr="00426931">
              <w:rPr>
                <w:i/>
                <w:iCs/>
                <w:sz w:val="20"/>
              </w:rPr>
              <w:t xml:space="preserve">r </w:t>
            </w:r>
            <w:r w:rsidRPr="00426931">
              <w:rPr>
                <w:iCs/>
                <w:sz w:val="20"/>
              </w:rPr>
              <w:t>is the Combined Cycle Train.</w:t>
            </w:r>
          </w:p>
        </w:tc>
      </w:tr>
      <w:tr w:rsidR="00426931" w:rsidRPr="00426931" w14:paraId="53030747"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7CC9BF78" w14:textId="77777777" w:rsidR="00426931" w:rsidRPr="00426931" w:rsidRDefault="00426931" w:rsidP="00426931">
            <w:pPr>
              <w:spacing w:after="60"/>
              <w:rPr>
                <w:iCs/>
                <w:sz w:val="20"/>
              </w:rPr>
            </w:pPr>
            <w:r w:rsidRPr="00426931">
              <w:rPr>
                <w:iCs/>
                <w:sz w:val="20"/>
              </w:rPr>
              <w:t xml:space="preserve">FFSSCRF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62C3489E"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78C5B022" w14:textId="77777777" w:rsidR="00426931" w:rsidRPr="00426931" w:rsidRDefault="00426931" w:rsidP="00426931">
            <w:pPr>
              <w:spacing w:after="60"/>
              <w:rPr>
                <w:i/>
                <w:iCs/>
                <w:sz w:val="20"/>
              </w:rPr>
            </w:pPr>
            <w:r w:rsidRPr="00426931">
              <w:rPr>
                <w:i/>
                <w:iCs/>
                <w:sz w:val="20"/>
              </w:rPr>
              <w:t xml:space="preserve">Firm Fuel Supply Service </w:t>
            </w:r>
            <w:r w:rsidRPr="00426931">
              <w:rPr>
                <w:i/>
                <w:sz w:val="20"/>
              </w:rPr>
              <w:t>Capacity Reduction Factor per QSE per Resource by hour</w:t>
            </w:r>
            <w:r w:rsidRPr="00426931">
              <w:rPr>
                <w:iCs/>
                <w:sz w:val="20"/>
              </w:rPr>
              <w:t xml:space="preserve">—The capacity reduction factor assigned to the primary Generation Resource </w:t>
            </w:r>
            <w:r w:rsidRPr="00426931">
              <w:rPr>
                <w:i/>
                <w:sz w:val="20"/>
              </w:rPr>
              <w:t>r</w:t>
            </w:r>
            <w:r w:rsidRPr="00426931">
              <w:rPr>
                <w:iCs/>
                <w:sz w:val="20"/>
              </w:rPr>
              <w:t xml:space="preserve">, represented by QSE </w:t>
            </w:r>
            <w:r w:rsidRPr="00426931">
              <w:rPr>
                <w:i/>
                <w:sz w:val="20"/>
              </w:rPr>
              <w:t>q</w:t>
            </w:r>
            <w:r w:rsidRPr="00426931">
              <w:rPr>
                <w:iCs/>
                <w:sz w:val="20"/>
              </w:rPr>
              <w:t xml:space="preserve">, for the hour.  Where for a Combined Cycle Train, the Resource </w:t>
            </w:r>
            <w:r w:rsidRPr="00426931">
              <w:rPr>
                <w:i/>
                <w:sz w:val="20"/>
              </w:rPr>
              <w:t>r</w:t>
            </w:r>
            <w:r w:rsidRPr="00426931">
              <w:rPr>
                <w:iCs/>
                <w:sz w:val="20"/>
              </w:rPr>
              <w:t xml:space="preserve"> is the Combined Cycle Train.</w:t>
            </w:r>
          </w:p>
        </w:tc>
      </w:tr>
      <w:tr w:rsidR="00426931" w:rsidRPr="00426931" w14:paraId="5CE9BFC2"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363B239B" w14:textId="77777777" w:rsidR="00426931" w:rsidRPr="00426931" w:rsidRDefault="00426931" w:rsidP="00426931">
            <w:pPr>
              <w:spacing w:after="60"/>
              <w:rPr>
                <w:iCs/>
                <w:sz w:val="20"/>
              </w:rPr>
            </w:pPr>
            <w:r w:rsidRPr="00426931">
              <w:rPr>
                <w:iCs/>
                <w:sz w:val="20"/>
              </w:rPr>
              <w:lastRenderedPageBreak/>
              <w:t xml:space="preserve">HSL </w:t>
            </w:r>
            <w:r w:rsidRPr="00426931">
              <w:rPr>
                <w:i/>
                <w:iCs/>
                <w:sz w:val="20"/>
                <w:vertAlign w:val="subscript"/>
              </w:rPr>
              <w:t>q, r, hr</w:t>
            </w:r>
          </w:p>
        </w:tc>
        <w:tc>
          <w:tcPr>
            <w:tcW w:w="1632" w:type="dxa"/>
            <w:tcBorders>
              <w:top w:val="single" w:sz="4" w:space="0" w:color="auto"/>
              <w:left w:val="single" w:sz="4" w:space="0" w:color="auto"/>
              <w:bottom w:val="single" w:sz="4" w:space="0" w:color="auto"/>
              <w:right w:val="single" w:sz="4" w:space="0" w:color="auto"/>
            </w:tcBorders>
            <w:hideMark/>
          </w:tcPr>
          <w:p w14:paraId="15D1D1F8" w14:textId="77777777" w:rsidR="00426931" w:rsidRPr="00426931" w:rsidRDefault="00426931" w:rsidP="00426931">
            <w:pPr>
              <w:spacing w:after="60"/>
              <w:rPr>
                <w:iCs/>
                <w:sz w:val="20"/>
              </w:rPr>
            </w:pPr>
            <w:r w:rsidRPr="00426931">
              <w:rPr>
                <w:iCs/>
                <w:sz w:val="20"/>
              </w:rPr>
              <w:t>MW</w:t>
            </w:r>
          </w:p>
        </w:tc>
        <w:tc>
          <w:tcPr>
            <w:tcW w:w="5697" w:type="dxa"/>
            <w:tcBorders>
              <w:top w:val="single" w:sz="4" w:space="0" w:color="auto"/>
              <w:left w:val="single" w:sz="4" w:space="0" w:color="auto"/>
              <w:bottom w:val="single" w:sz="4" w:space="0" w:color="auto"/>
              <w:right w:val="single" w:sz="4" w:space="0" w:color="auto"/>
            </w:tcBorders>
            <w:hideMark/>
          </w:tcPr>
          <w:p w14:paraId="2D70D6B6" w14:textId="77777777" w:rsidR="00426931" w:rsidRPr="00426931" w:rsidRDefault="00426931" w:rsidP="00426931">
            <w:pPr>
              <w:spacing w:after="60"/>
              <w:rPr>
                <w:i/>
                <w:iCs/>
                <w:sz w:val="20"/>
              </w:rPr>
            </w:pPr>
            <w:r w:rsidRPr="00426931">
              <w:rPr>
                <w:i/>
                <w:sz w:val="20"/>
              </w:rPr>
              <w:t>High Sustained Limit</w:t>
            </w:r>
            <w:r w:rsidRPr="00426931">
              <w:rPr>
                <w:iCs/>
                <w:sz w:val="20"/>
              </w:rPr>
              <w:t xml:space="preserve">—The HSL of the primary Generation Resource or the alternate Generation Resource </w:t>
            </w:r>
            <w:r w:rsidRPr="00426931">
              <w:rPr>
                <w:i/>
                <w:sz w:val="20"/>
              </w:rPr>
              <w:t>r</w:t>
            </w:r>
            <w:r w:rsidRPr="00426931">
              <w:rPr>
                <w:iCs/>
                <w:sz w:val="20"/>
              </w:rPr>
              <w:t xml:space="preserve"> represented by QSE </w:t>
            </w:r>
            <w:r w:rsidRPr="00426931">
              <w:rPr>
                <w:i/>
                <w:sz w:val="20"/>
              </w:rPr>
              <w:t>q</w:t>
            </w:r>
            <w:r w:rsidRPr="00426931">
              <w:rPr>
                <w:iCs/>
                <w:sz w:val="20"/>
              </w:rPr>
              <w:t xml:space="preserve"> as submitted in the COP, for the hour </w:t>
            </w:r>
            <w:r w:rsidRPr="00426931">
              <w:rPr>
                <w:i/>
                <w:sz w:val="20"/>
              </w:rPr>
              <w:t>h</w:t>
            </w:r>
            <w:r w:rsidRPr="00426931">
              <w:rPr>
                <w:iCs/>
                <w:sz w:val="20"/>
              </w:rPr>
              <w:t xml:space="preserve">.  Where for a combined cycle Resource </w:t>
            </w:r>
            <w:r w:rsidRPr="00426931">
              <w:rPr>
                <w:i/>
                <w:sz w:val="20"/>
              </w:rPr>
              <w:t>r</w:t>
            </w:r>
            <w:r w:rsidRPr="00426931">
              <w:rPr>
                <w:iCs/>
                <w:sz w:val="20"/>
              </w:rPr>
              <w:t xml:space="preserve"> is a Combined Cycle Generation Resource.</w:t>
            </w:r>
          </w:p>
        </w:tc>
      </w:tr>
      <w:tr w:rsidR="00426931" w:rsidRPr="00426931" w14:paraId="557D0D03"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0E6E65CC" w14:textId="77777777" w:rsidR="00426931" w:rsidRPr="00426931" w:rsidRDefault="00426931" w:rsidP="00426931">
            <w:pPr>
              <w:spacing w:after="60"/>
              <w:rPr>
                <w:iCs/>
                <w:sz w:val="20"/>
                <w:highlight w:val="yellow"/>
              </w:rPr>
            </w:pPr>
            <w:r w:rsidRPr="00426931">
              <w:rPr>
                <w:iCs/>
                <w:sz w:val="20"/>
              </w:rPr>
              <w:t xml:space="preserve">FFSSFRC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3C44014D" w14:textId="77777777" w:rsidR="00426931" w:rsidRPr="00426931" w:rsidRDefault="00426931" w:rsidP="00426931">
            <w:pPr>
              <w:spacing w:after="60"/>
              <w:rPr>
                <w:iCs/>
                <w:sz w:val="20"/>
              </w:rPr>
            </w:pPr>
            <w:r w:rsidRPr="00426931">
              <w:rPr>
                <w:iCs/>
                <w:sz w:val="20"/>
              </w:rPr>
              <w:t>$ per hour</w:t>
            </w:r>
          </w:p>
        </w:tc>
        <w:tc>
          <w:tcPr>
            <w:tcW w:w="5697" w:type="dxa"/>
            <w:tcBorders>
              <w:top w:val="single" w:sz="4" w:space="0" w:color="auto"/>
              <w:left w:val="single" w:sz="4" w:space="0" w:color="auto"/>
              <w:bottom w:val="single" w:sz="4" w:space="0" w:color="auto"/>
              <w:right w:val="single" w:sz="4" w:space="0" w:color="auto"/>
            </w:tcBorders>
            <w:hideMark/>
          </w:tcPr>
          <w:p w14:paraId="17F2B7AC" w14:textId="77777777" w:rsidR="00426931" w:rsidRPr="00426931" w:rsidRDefault="00426931" w:rsidP="00426931">
            <w:pPr>
              <w:spacing w:after="60"/>
              <w:rPr>
                <w:i/>
                <w:iCs/>
                <w:sz w:val="20"/>
              </w:rPr>
            </w:pPr>
            <w:r w:rsidRPr="00426931">
              <w:rPr>
                <w:i/>
                <w:sz w:val="20"/>
              </w:rPr>
              <w:t>Firm Fuel Supply Service Fuel Replacement Cost</w:t>
            </w:r>
            <w:r w:rsidRPr="00426931">
              <w:rPr>
                <w:iCs/>
                <w:sz w:val="20"/>
              </w:rPr>
              <w:t xml:space="preserve">—The fuel costs and fees to replace the burned fuel by the FFSSR, not recovered during the FFSS deployment period, paid to the primary Generation Resource </w:t>
            </w:r>
            <w:r w:rsidRPr="00426931">
              <w:rPr>
                <w:i/>
                <w:sz w:val="20"/>
              </w:rPr>
              <w:t>r</w:t>
            </w:r>
            <w:r w:rsidRPr="00426931">
              <w:rPr>
                <w:iCs/>
                <w:sz w:val="20"/>
              </w:rPr>
              <w:t xml:space="preserve"> represented by QSE </w:t>
            </w:r>
            <w:r w:rsidRPr="00426931">
              <w:rPr>
                <w:i/>
                <w:sz w:val="20"/>
              </w:rPr>
              <w:t>q</w:t>
            </w:r>
            <w:r w:rsidRPr="00426931">
              <w:rPr>
                <w:iCs/>
                <w:sz w:val="20"/>
              </w:rPr>
              <w:t xml:space="preserve"> for each FFSS instructed hour.  Where for a Combined Cycle Train, the Resource </w:t>
            </w:r>
            <w:r w:rsidRPr="00426931">
              <w:rPr>
                <w:i/>
                <w:sz w:val="20"/>
              </w:rPr>
              <w:t>r</w:t>
            </w:r>
            <w:r w:rsidRPr="00426931">
              <w:rPr>
                <w:iCs/>
                <w:sz w:val="20"/>
              </w:rPr>
              <w:t xml:space="preserve"> is the Combined Cycle Train.</w:t>
            </w:r>
          </w:p>
        </w:tc>
      </w:tr>
      <w:tr w:rsidR="00426931" w:rsidRPr="00426931" w14:paraId="2B5552FC"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39690987" w14:textId="77777777" w:rsidR="00426931" w:rsidRPr="00426931" w:rsidRDefault="00426931" w:rsidP="00426931">
            <w:pPr>
              <w:spacing w:after="60"/>
              <w:rPr>
                <w:iCs/>
                <w:sz w:val="20"/>
              </w:rPr>
            </w:pPr>
            <w:r w:rsidRPr="00426931">
              <w:rPr>
                <w:iCs/>
                <w:sz w:val="20"/>
              </w:rPr>
              <w:t>FFSSDRP</w:t>
            </w:r>
            <w:r w:rsidRPr="00426931">
              <w:rPr>
                <w:i/>
                <w:iCs/>
                <w:sz w:val="20"/>
                <w:vertAlign w:val="subscript"/>
              </w:rPr>
              <w:t xml:space="preserve"> q, r, h</w:t>
            </w:r>
          </w:p>
        </w:tc>
        <w:tc>
          <w:tcPr>
            <w:tcW w:w="1632" w:type="dxa"/>
            <w:tcBorders>
              <w:top w:val="single" w:sz="4" w:space="0" w:color="auto"/>
              <w:left w:val="single" w:sz="4" w:space="0" w:color="auto"/>
              <w:bottom w:val="single" w:sz="4" w:space="0" w:color="auto"/>
              <w:right w:val="single" w:sz="4" w:space="0" w:color="auto"/>
            </w:tcBorders>
            <w:hideMark/>
          </w:tcPr>
          <w:p w14:paraId="0D9F46EE"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3270C57E" w14:textId="77777777" w:rsidR="00426931" w:rsidRPr="00426931" w:rsidRDefault="00426931" w:rsidP="00426931">
            <w:pPr>
              <w:spacing w:after="60"/>
              <w:rPr>
                <w:i/>
                <w:iCs/>
                <w:sz w:val="20"/>
              </w:rPr>
            </w:pPr>
            <w:r w:rsidRPr="00426931">
              <w:rPr>
                <w:i/>
                <w:iCs/>
                <w:sz w:val="20"/>
              </w:rPr>
              <w:t>Firm Fuel Supply Service Deployment Reduction Percentage</w:t>
            </w:r>
            <w:r w:rsidRPr="00426931">
              <w:rPr>
                <w:iCs/>
                <w:sz w:val="20"/>
              </w:rPr>
              <w:t>—</w:t>
            </w:r>
            <w:r w:rsidRPr="00426931">
              <w:rPr>
                <w:sz w:val="20"/>
              </w:rPr>
              <w:t xml:space="preserve">The percentage of the </w:t>
            </w:r>
            <w:r w:rsidRPr="00426931">
              <w:rPr>
                <w:iCs/>
                <w:sz w:val="20"/>
              </w:rPr>
              <w:t>Firm Fuel Supply Service Standby Fee subject to clawback per paragraphs (9) through (16) of Section 8.1.1.2.1.6, Firm Fuel Supply Service Resource Qualification, Testing, Decertification, and Recertification,</w:t>
            </w:r>
            <w:r w:rsidRPr="00426931">
              <w:rPr>
                <w:i/>
                <w:iCs/>
                <w:sz w:val="20"/>
              </w:rPr>
              <w:t xml:space="preserve"> </w:t>
            </w:r>
            <w:r w:rsidRPr="00426931">
              <w:rPr>
                <w:sz w:val="20"/>
              </w:rPr>
              <w:t xml:space="preserve">for the QSE </w:t>
            </w:r>
            <w:r w:rsidRPr="00426931">
              <w:rPr>
                <w:i/>
                <w:iCs/>
                <w:sz w:val="20"/>
              </w:rPr>
              <w:t>q</w:t>
            </w:r>
            <w:r w:rsidRPr="00426931">
              <w:rPr>
                <w:sz w:val="20"/>
              </w:rPr>
              <w:t xml:space="preserve">, assigned to the </w:t>
            </w:r>
            <w:r w:rsidRPr="00426931">
              <w:rPr>
                <w:iCs/>
                <w:sz w:val="20"/>
              </w:rPr>
              <w:t>primary Generation Resource</w:t>
            </w:r>
            <w:r w:rsidRPr="00426931">
              <w:rPr>
                <w:sz w:val="20"/>
              </w:rPr>
              <w:t xml:space="preserve"> </w:t>
            </w:r>
            <w:r w:rsidRPr="00426931">
              <w:rPr>
                <w:i/>
                <w:iCs/>
                <w:sz w:val="20"/>
              </w:rPr>
              <w:t>r</w:t>
            </w:r>
            <w:r w:rsidRPr="00426931">
              <w:rPr>
                <w:sz w:val="20"/>
              </w:rPr>
              <w:t xml:space="preserve">, for the hour </w:t>
            </w:r>
            <w:r w:rsidRPr="00426931">
              <w:rPr>
                <w:i/>
                <w:iCs/>
                <w:sz w:val="20"/>
              </w:rPr>
              <w:t>h</w:t>
            </w:r>
            <w:r w:rsidRPr="00426931">
              <w:rPr>
                <w:sz w:val="20"/>
              </w:rPr>
              <w:t xml:space="preserve">.  </w:t>
            </w:r>
            <w:r w:rsidRPr="00426931">
              <w:rPr>
                <w:iCs/>
                <w:sz w:val="20"/>
              </w:rPr>
              <w:t xml:space="preserve">Where for a Combined Cycle Train, the Resource </w:t>
            </w:r>
            <w:r w:rsidRPr="00426931">
              <w:rPr>
                <w:i/>
                <w:iCs/>
                <w:sz w:val="20"/>
              </w:rPr>
              <w:t xml:space="preserve">r </w:t>
            </w:r>
            <w:r w:rsidRPr="00426931">
              <w:rPr>
                <w:iCs/>
                <w:sz w:val="20"/>
              </w:rPr>
              <w:t>is the Combined Cycle Train.</w:t>
            </w:r>
          </w:p>
        </w:tc>
      </w:tr>
      <w:tr w:rsidR="00426931" w:rsidRPr="00426931" w14:paraId="2052883E"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035D49B8" w14:textId="77777777" w:rsidR="00426931" w:rsidRPr="00426931" w:rsidRDefault="00426931" w:rsidP="00426931">
            <w:pPr>
              <w:spacing w:after="60"/>
              <w:rPr>
                <w:iCs/>
                <w:sz w:val="20"/>
              </w:rPr>
            </w:pPr>
            <w:r w:rsidRPr="00426931">
              <w:rPr>
                <w:iCs/>
                <w:sz w:val="20"/>
              </w:rPr>
              <w:t>FFSSSBF</w:t>
            </w:r>
            <w:r w:rsidRPr="00426931">
              <w:rPr>
                <w:i/>
                <w:iCs/>
                <w:sz w:val="20"/>
                <w:vertAlign w:val="subscript"/>
              </w:rPr>
              <w:t xml:space="preserve"> q, r, h</w:t>
            </w:r>
          </w:p>
        </w:tc>
        <w:tc>
          <w:tcPr>
            <w:tcW w:w="1632" w:type="dxa"/>
            <w:tcBorders>
              <w:top w:val="single" w:sz="4" w:space="0" w:color="auto"/>
              <w:left w:val="single" w:sz="4" w:space="0" w:color="auto"/>
              <w:bottom w:val="single" w:sz="4" w:space="0" w:color="auto"/>
              <w:right w:val="single" w:sz="4" w:space="0" w:color="auto"/>
            </w:tcBorders>
            <w:hideMark/>
          </w:tcPr>
          <w:p w14:paraId="2CE1C5DA" w14:textId="77777777" w:rsidR="00426931" w:rsidRPr="00426931" w:rsidRDefault="00426931" w:rsidP="00426931">
            <w:pPr>
              <w:spacing w:after="60"/>
              <w:rPr>
                <w:iCs/>
                <w:sz w:val="20"/>
              </w:rPr>
            </w:pPr>
            <w:r w:rsidRPr="00426931">
              <w:rPr>
                <w:iCs/>
                <w:sz w:val="20"/>
              </w:rPr>
              <w:t>$</w:t>
            </w:r>
          </w:p>
        </w:tc>
        <w:tc>
          <w:tcPr>
            <w:tcW w:w="5697" w:type="dxa"/>
            <w:tcBorders>
              <w:top w:val="single" w:sz="4" w:space="0" w:color="auto"/>
              <w:left w:val="single" w:sz="4" w:space="0" w:color="auto"/>
              <w:bottom w:val="single" w:sz="4" w:space="0" w:color="auto"/>
              <w:right w:val="single" w:sz="4" w:space="0" w:color="auto"/>
            </w:tcBorders>
            <w:hideMark/>
          </w:tcPr>
          <w:p w14:paraId="6C7003E6" w14:textId="77777777" w:rsidR="00426931" w:rsidRPr="00426931" w:rsidRDefault="00426931" w:rsidP="00426931">
            <w:pPr>
              <w:spacing w:after="60"/>
              <w:rPr>
                <w:iCs/>
                <w:sz w:val="20"/>
              </w:rPr>
            </w:pPr>
            <w:r w:rsidRPr="00426931">
              <w:rPr>
                <w:i/>
                <w:sz w:val="20"/>
              </w:rPr>
              <w:t>Firm Fuel Supply Service Standby Fee per QSE per Resource by hour</w:t>
            </w:r>
            <w:r w:rsidRPr="00426931">
              <w:rPr>
                <w:iCs/>
                <w:sz w:val="20"/>
              </w:rPr>
              <w:t xml:space="preserve">—The standby fee to QSE </w:t>
            </w:r>
            <w:r w:rsidRPr="00426931">
              <w:rPr>
                <w:i/>
                <w:iCs/>
                <w:sz w:val="20"/>
              </w:rPr>
              <w:t>q</w:t>
            </w:r>
            <w:r w:rsidRPr="00426931">
              <w:rPr>
                <w:iCs/>
                <w:sz w:val="20"/>
              </w:rPr>
              <w:t xml:space="preserve"> for the FFSS assigned to the primary Generation Resource </w:t>
            </w:r>
            <w:r w:rsidRPr="00426931">
              <w:rPr>
                <w:i/>
                <w:iCs/>
                <w:sz w:val="20"/>
              </w:rPr>
              <w:t>r</w:t>
            </w:r>
            <w:r w:rsidRPr="00426931">
              <w:rPr>
                <w:iCs/>
                <w:sz w:val="20"/>
              </w:rPr>
              <w:t xml:space="preserve">, for the hour.  Where for a Combined Cycle Train, the Resource </w:t>
            </w:r>
            <w:r w:rsidRPr="00426931">
              <w:rPr>
                <w:i/>
                <w:iCs/>
                <w:sz w:val="20"/>
              </w:rPr>
              <w:t xml:space="preserve">r </w:t>
            </w:r>
            <w:r w:rsidRPr="00426931">
              <w:rPr>
                <w:iCs/>
                <w:sz w:val="20"/>
              </w:rPr>
              <w:t>is the Combined Cycle Train.</w:t>
            </w:r>
          </w:p>
        </w:tc>
      </w:tr>
      <w:tr w:rsidR="00426931" w:rsidRPr="00426931" w14:paraId="63C1B80D"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19416567" w14:textId="77777777" w:rsidR="00426931" w:rsidRPr="00426931" w:rsidRDefault="00426931" w:rsidP="00426931">
            <w:pPr>
              <w:spacing w:after="60"/>
              <w:rPr>
                <w:iCs/>
                <w:sz w:val="20"/>
              </w:rPr>
            </w:pPr>
            <w:r w:rsidRPr="00426931">
              <w:rPr>
                <w:iCs/>
                <w:sz w:val="20"/>
              </w:rPr>
              <w:t xml:space="preserve">FFSSTCAP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7CDBE0B4" w14:textId="77777777" w:rsidR="00426931" w:rsidRPr="00426931" w:rsidRDefault="00426931" w:rsidP="00426931">
            <w:pPr>
              <w:spacing w:after="60"/>
              <w:rPr>
                <w:iCs/>
                <w:sz w:val="20"/>
              </w:rPr>
            </w:pPr>
            <w:r w:rsidRPr="00426931">
              <w:rPr>
                <w:iCs/>
                <w:sz w:val="20"/>
              </w:rPr>
              <w:t>MW</w:t>
            </w:r>
          </w:p>
        </w:tc>
        <w:tc>
          <w:tcPr>
            <w:tcW w:w="5697" w:type="dxa"/>
            <w:tcBorders>
              <w:top w:val="single" w:sz="4" w:space="0" w:color="auto"/>
              <w:left w:val="single" w:sz="4" w:space="0" w:color="auto"/>
              <w:bottom w:val="single" w:sz="4" w:space="0" w:color="auto"/>
              <w:right w:val="single" w:sz="4" w:space="0" w:color="auto"/>
            </w:tcBorders>
            <w:hideMark/>
          </w:tcPr>
          <w:p w14:paraId="1A4853C0" w14:textId="77777777" w:rsidR="00426931" w:rsidRPr="00426931" w:rsidRDefault="00426931" w:rsidP="00426931">
            <w:pPr>
              <w:spacing w:after="60"/>
              <w:rPr>
                <w:i/>
                <w:iCs/>
                <w:sz w:val="20"/>
              </w:rPr>
            </w:pPr>
            <w:r w:rsidRPr="00426931">
              <w:rPr>
                <w:i/>
                <w:iCs/>
                <w:sz w:val="20"/>
              </w:rPr>
              <w:t xml:space="preserve">Firm Fuel Supply Service </w:t>
            </w:r>
            <w:r w:rsidRPr="00426931">
              <w:rPr>
                <w:i/>
                <w:sz w:val="20"/>
              </w:rPr>
              <w:t>Testing Capacity per QSE per Resource</w:t>
            </w:r>
            <w:r w:rsidRPr="00426931">
              <w:rPr>
                <w:iCs/>
                <w:sz w:val="20"/>
              </w:rPr>
              <w:t xml:space="preserve">—The tested capacity of the primary Generation Resource </w:t>
            </w:r>
            <w:r w:rsidRPr="00426931">
              <w:rPr>
                <w:i/>
                <w:sz w:val="20"/>
              </w:rPr>
              <w:t>r</w:t>
            </w:r>
            <w:r w:rsidRPr="00426931">
              <w:rPr>
                <w:iCs/>
                <w:sz w:val="20"/>
              </w:rPr>
              <w:t xml:space="preserve">, represented by QSE </w:t>
            </w:r>
            <w:r w:rsidRPr="00426931">
              <w:rPr>
                <w:i/>
                <w:sz w:val="20"/>
              </w:rPr>
              <w:t>q</w:t>
            </w:r>
            <w:r w:rsidRPr="00426931">
              <w:rPr>
                <w:iCs/>
                <w:sz w:val="20"/>
              </w:rPr>
              <w:t xml:space="preserve">, for the hour.  Where for a Combined Cycle Train, the Resource </w:t>
            </w:r>
            <w:r w:rsidRPr="00426931">
              <w:rPr>
                <w:i/>
                <w:sz w:val="20"/>
              </w:rPr>
              <w:t>r</w:t>
            </w:r>
            <w:r w:rsidRPr="00426931">
              <w:rPr>
                <w:iCs/>
                <w:sz w:val="20"/>
              </w:rPr>
              <w:t xml:space="preserve"> is the Combined Cycle Train.</w:t>
            </w:r>
          </w:p>
        </w:tc>
      </w:tr>
      <w:tr w:rsidR="00426931" w:rsidRPr="00426931" w14:paraId="48EAFB64"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19BEB99F" w14:textId="77777777" w:rsidR="00426931" w:rsidRPr="00426931" w:rsidRDefault="00426931" w:rsidP="00426931">
            <w:pPr>
              <w:spacing w:after="60"/>
              <w:rPr>
                <w:iCs/>
                <w:sz w:val="20"/>
              </w:rPr>
            </w:pPr>
            <w:r w:rsidRPr="00426931">
              <w:rPr>
                <w:iCs/>
                <w:sz w:val="20"/>
              </w:rPr>
              <w:t xml:space="preserve">FFSSACAP </w:t>
            </w:r>
            <w:r w:rsidRPr="00426931">
              <w:rPr>
                <w:i/>
                <w:iCs/>
                <w:sz w:val="20"/>
                <w:vertAlign w:val="subscript"/>
              </w:rPr>
              <w:t>q, r, hr</w:t>
            </w:r>
          </w:p>
        </w:tc>
        <w:tc>
          <w:tcPr>
            <w:tcW w:w="1632" w:type="dxa"/>
            <w:tcBorders>
              <w:top w:val="single" w:sz="4" w:space="0" w:color="auto"/>
              <w:left w:val="single" w:sz="4" w:space="0" w:color="auto"/>
              <w:bottom w:val="single" w:sz="4" w:space="0" w:color="auto"/>
              <w:right w:val="single" w:sz="4" w:space="0" w:color="auto"/>
            </w:tcBorders>
            <w:hideMark/>
          </w:tcPr>
          <w:p w14:paraId="44E3B5A5" w14:textId="77777777" w:rsidR="00426931" w:rsidRPr="00426931" w:rsidRDefault="00426931" w:rsidP="00426931">
            <w:pPr>
              <w:spacing w:after="60"/>
              <w:rPr>
                <w:iCs/>
                <w:sz w:val="20"/>
              </w:rPr>
            </w:pPr>
            <w:r w:rsidRPr="00426931">
              <w:rPr>
                <w:iCs/>
                <w:sz w:val="20"/>
              </w:rPr>
              <w:t>MW</w:t>
            </w:r>
          </w:p>
        </w:tc>
        <w:tc>
          <w:tcPr>
            <w:tcW w:w="5697" w:type="dxa"/>
            <w:tcBorders>
              <w:top w:val="single" w:sz="4" w:space="0" w:color="auto"/>
              <w:left w:val="single" w:sz="4" w:space="0" w:color="auto"/>
              <w:bottom w:val="single" w:sz="4" w:space="0" w:color="auto"/>
              <w:right w:val="single" w:sz="4" w:space="0" w:color="auto"/>
            </w:tcBorders>
            <w:hideMark/>
          </w:tcPr>
          <w:p w14:paraId="6EBC4D36" w14:textId="77777777" w:rsidR="00426931" w:rsidRPr="00426931" w:rsidRDefault="00426931" w:rsidP="00426931">
            <w:pPr>
              <w:spacing w:after="60"/>
              <w:rPr>
                <w:i/>
                <w:iCs/>
                <w:sz w:val="20"/>
              </w:rPr>
            </w:pPr>
            <w:r w:rsidRPr="00426931">
              <w:rPr>
                <w:i/>
                <w:iCs/>
                <w:sz w:val="20"/>
              </w:rPr>
              <w:t xml:space="preserve">Firm Fuel Supply Service </w:t>
            </w:r>
            <w:r w:rsidRPr="00426931">
              <w:rPr>
                <w:i/>
                <w:sz w:val="20"/>
              </w:rPr>
              <w:t>Awarded Capacity per QSE per Resource</w:t>
            </w:r>
            <w:r w:rsidRPr="00426931">
              <w:rPr>
                <w:iCs/>
                <w:sz w:val="20"/>
              </w:rPr>
              <w:t xml:space="preserve">—The awarded FFSS capacity of the primary Generation Resource </w:t>
            </w:r>
            <w:r w:rsidRPr="00426931">
              <w:rPr>
                <w:i/>
                <w:sz w:val="20"/>
              </w:rPr>
              <w:t>r</w:t>
            </w:r>
            <w:r w:rsidRPr="00426931">
              <w:rPr>
                <w:iCs/>
                <w:sz w:val="20"/>
              </w:rPr>
              <w:t xml:space="preserve">, represented by QSE </w:t>
            </w:r>
            <w:r w:rsidRPr="00426931">
              <w:rPr>
                <w:i/>
                <w:sz w:val="20"/>
              </w:rPr>
              <w:t>q</w:t>
            </w:r>
            <w:r w:rsidRPr="00426931">
              <w:rPr>
                <w:iCs/>
                <w:sz w:val="20"/>
              </w:rPr>
              <w:t xml:space="preserve"> as specified in the FFSS award, applicable to each hour of November 15 through March 15 during the awarded FFSS obligation period.  Where for a Combined Cycle Train, the Resource </w:t>
            </w:r>
            <w:r w:rsidRPr="00426931">
              <w:rPr>
                <w:i/>
                <w:sz w:val="20"/>
              </w:rPr>
              <w:t>r</w:t>
            </w:r>
            <w:r w:rsidRPr="00426931">
              <w:rPr>
                <w:iCs/>
                <w:sz w:val="20"/>
              </w:rPr>
              <w:t xml:space="preserve"> is the Combined Cycle Train.</w:t>
            </w:r>
          </w:p>
        </w:tc>
      </w:tr>
      <w:tr w:rsidR="00426931" w:rsidRPr="00426931" w14:paraId="0ADD3CD1"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79BAFF05" w14:textId="77777777" w:rsidR="00426931" w:rsidRPr="00426931" w:rsidRDefault="00426931" w:rsidP="00426931">
            <w:pPr>
              <w:spacing w:after="60"/>
              <w:rPr>
                <w:iCs/>
                <w:sz w:val="20"/>
              </w:rPr>
            </w:pPr>
            <w:r w:rsidRPr="00426931">
              <w:rPr>
                <w:iCs/>
                <w:sz w:val="20"/>
              </w:rPr>
              <w:t xml:space="preserve">FFSSARF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15D65EE7"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5C036F9A" w14:textId="77777777" w:rsidR="00426931" w:rsidRPr="00426931" w:rsidRDefault="00426931" w:rsidP="00426931">
            <w:pPr>
              <w:spacing w:after="60"/>
              <w:rPr>
                <w:iCs/>
                <w:sz w:val="20"/>
              </w:rPr>
            </w:pPr>
            <w:r w:rsidRPr="00426931">
              <w:rPr>
                <w:i/>
                <w:iCs/>
                <w:sz w:val="20"/>
              </w:rPr>
              <w:t>Firm Fuel Supply Service Availability Reduction Factor per QSE per Resource by hour</w:t>
            </w:r>
            <w:r w:rsidRPr="00426931">
              <w:rPr>
                <w:iCs/>
                <w:sz w:val="20"/>
              </w:rPr>
              <w:t xml:space="preserve">—The availability reduction factor assigned to the primary Generation Resource </w:t>
            </w:r>
            <w:r w:rsidRPr="00426931">
              <w:rPr>
                <w:i/>
                <w:iCs/>
                <w:sz w:val="20"/>
              </w:rPr>
              <w:t>r</w:t>
            </w:r>
            <w:r w:rsidRPr="00426931">
              <w:rPr>
                <w:iCs/>
                <w:sz w:val="20"/>
              </w:rPr>
              <w:t xml:space="preserve"> represented by QSE </w:t>
            </w:r>
            <w:r w:rsidRPr="00426931">
              <w:rPr>
                <w:i/>
                <w:iCs/>
                <w:sz w:val="20"/>
              </w:rPr>
              <w:t>q</w:t>
            </w:r>
            <w:r w:rsidRPr="00426931">
              <w:rPr>
                <w:iCs/>
                <w:sz w:val="20"/>
              </w:rPr>
              <w:t xml:space="preserve"> for the hour.  Where for a Combined Cycle Train, the Resource </w:t>
            </w:r>
            <w:r w:rsidRPr="00426931">
              <w:rPr>
                <w:i/>
                <w:iCs/>
                <w:sz w:val="20"/>
              </w:rPr>
              <w:t xml:space="preserve">r </w:t>
            </w:r>
            <w:r w:rsidRPr="00426931">
              <w:rPr>
                <w:iCs/>
                <w:sz w:val="20"/>
              </w:rPr>
              <w:t>is the Combined Cycle Train.</w:t>
            </w:r>
          </w:p>
        </w:tc>
      </w:tr>
      <w:tr w:rsidR="00426931" w:rsidRPr="00426931" w14:paraId="7A5A7B3C"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6472D78B" w14:textId="77777777" w:rsidR="00426931" w:rsidRPr="00426931" w:rsidRDefault="00426931" w:rsidP="00426931">
            <w:pPr>
              <w:spacing w:after="60"/>
              <w:rPr>
                <w:iCs/>
                <w:sz w:val="20"/>
              </w:rPr>
            </w:pPr>
            <w:r w:rsidRPr="00426931">
              <w:rPr>
                <w:iCs/>
                <w:sz w:val="20"/>
              </w:rPr>
              <w:t xml:space="preserve">FFSSHREAF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24C3E37D"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09FAECC8" w14:textId="77777777" w:rsidR="00426931" w:rsidRPr="00426931" w:rsidRDefault="00426931" w:rsidP="00426931">
            <w:pPr>
              <w:spacing w:after="60"/>
              <w:rPr>
                <w:iCs/>
                <w:sz w:val="20"/>
              </w:rPr>
            </w:pPr>
            <w:r w:rsidRPr="00426931">
              <w:rPr>
                <w:i/>
                <w:iCs/>
                <w:sz w:val="20"/>
              </w:rPr>
              <w:t>Firm Fuel Supply Service Hourly Rolling Equivalent Availability Factor per QSE per Resource by hour</w:t>
            </w:r>
            <w:r w:rsidRPr="00426931">
              <w:rPr>
                <w:iCs/>
                <w:sz w:val="20"/>
              </w:rPr>
              <w:t xml:space="preserve">—The equivalent availability factor assigned to the primary Generation Resource </w:t>
            </w:r>
            <w:r w:rsidRPr="00426931">
              <w:rPr>
                <w:i/>
                <w:iCs/>
                <w:sz w:val="20"/>
              </w:rPr>
              <w:t>r</w:t>
            </w:r>
            <w:r w:rsidRPr="00426931">
              <w:rPr>
                <w:iCs/>
                <w:sz w:val="20"/>
              </w:rPr>
              <w:t xml:space="preserve"> represented by QSE </w:t>
            </w:r>
            <w:r w:rsidRPr="00426931">
              <w:rPr>
                <w:i/>
                <w:iCs/>
                <w:sz w:val="20"/>
              </w:rPr>
              <w:t>q</w:t>
            </w:r>
            <w:r w:rsidRPr="00426931">
              <w:rPr>
                <w:iCs/>
                <w:sz w:val="20"/>
              </w:rPr>
              <w:t xml:space="preserve"> over 1,452 hours, for the hour.  Where for a Combined Cycle Train, the Resource </w:t>
            </w:r>
            <w:r w:rsidRPr="00426931">
              <w:rPr>
                <w:i/>
                <w:iCs/>
                <w:sz w:val="20"/>
              </w:rPr>
              <w:t xml:space="preserve">r </w:t>
            </w:r>
            <w:r w:rsidRPr="00426931">
              <w:rPr>
                <w:iCs/>
                <w:sz w:val="20"/>
              </w:rPr>
              <w:t>is the Combined Cycle Train.</w:t>
            </w:r>
          </w:p>
        </w:tc>
      </w:tr>
      <w:tr w:rsidR="00426931" w:rsidRPr="00426931" w14:paraId="31C8D150"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7C36B10B" w14:textId="77777777" w:rsidR="00426931" w:rsidRPr="00426931" w:rsidRDefault="00426931" w:rsidP="00426931">
            <w:pPr>
              <w:spacing w:after="60"/>
              <w:rPr>
                <w:iCs/>
                <w:sz w:val="20"/>
              </w:rPr>
            </w:pPr>
            <w:r w:rsidRPr="00426931">
              <w:rPr>
                <w:iCs/>
                <w:sz w:val="20"/>
              </w:rPr>
              <w:t xml:space="preserve">FFSSAFLAG </w:t>
            </w:r>
            <w:r w:rsidRPr="00426931">
              <w:rPr>
                <w:i/>
                <w:iCs/>
                <w:sz w:val="20"/>
                <w:vertAlign w:val="subscript"/>
              </w:rPr>
              <w:t xml:space="preserve">q, r, </w:t>
            </w:r>
            <w:r w:rsidRPr="00426931">
              <w:rPr>
                <w:i/>
                <w:sz w:val="20"/>
                <w:vertAlign w:val="subscript"/>
              </w:rPr>
              <w:t>hr</w:t>
            </w:r>
          </w:p>
        </w:tc>
        <w:tc>
          <w:tcPr>
            <w:tcW w:w="1632" w:type="dxa"/>
            <w:tcBorders>
              <w:top w:val="single" w:sz="4" w:space="0" w:color="auto"/>
              <w:left w:val="single" w:sz="4" w:space="0" w:color="auto"/>
              <w:bottom w:val="single" w:sz="4" w:space="0" w:color="auto"/>
              <w:right w:val="single" w:sz="4" w:space="0" w:color="auto"/>
            </w:tcBorders>
            <w:hideMark/>
          </w:tcPr>
          <w:p w14:paraId="5932E3C3"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105897EB" w14:textId="77777777" w:rsidR="00426931" w:rsidRPr="00426931" w:rsidRDefault="00426931" w:rsidP="00426931">
            <w:pPr>
              <w:spacing w:after="60"/>
              <w:rPr>
                <w:iCs/>
                <w:sz w:val="20"/>
              </w:rPr>
            </w:pPr>
            <w:r w:rsidRPr="00426931">
              <w:rPr>
                <w:i/>
                <w:iCs/>
                <w:sz w:val="20"/>
              </w:rPr>
              <w:t>Firm Fuel Supply Service Availability Flag per QSE per Resource by hour</w:t>
            </w:r>
            <w:r w:rsidRPr="00426931">
              <w:rPr>
                <w:iCs/>
                <w:sz w:val="20"/>
              </w:rPr>
              <w:t>—The flag of the availability assigned to the primary Generation Resource or the alternate Generation Resource</w:t>
            </w:r>
            <w:r w:rsidRPr="00426931">
              <w:rPr>
                <w:i/>
                <w:iCs/>
                <w:sz w:val="20"/>
              </w:rPr>
              <w:t xml:space="preserve"> r</w:t>
            </w:r>
            <w:r w:rsidRPr="00426931">
              <w:rPr>
                <w:iCs/>
                <w:sz w:val="20"/>
              </w:rPr>
              <w:t xml:space="preserve"> represented by QSE </w:t>
            </w:r>
            <w:r w:rsidRPr="00426931">
              <w:rPr>
                <w:i/>
                <w:iCs/>
                <w:sz w:val="20"/>
              </w:rPr>
              <w:t>q</w:t>
            </w:r>
            <w:r w:rsidRPr="00426931">
              <w:rPr>
                <w:iCs/>
                <w:sz w:val="20"/>
              </w:rPr>
              <w:t xml:space="preserve">, 1 for available and 0 for unavailable, for the hour.  Where for a Combined Cycle Train, the Resource </w:t>
            </w:r>
            <w:r w:rsidRPr="00426931">
              <w:rPr>
                <w:i/>
                <w:iCs/>
                <w:sz w:val="20"/>
              </w:rPr>
              <w:t xml:space="preserve">r </w:t>
            </w:r>
            <w:r w:rsidRPr="00426931">
              <w:rPr>
                <w:iCs/>
                <w:sz w:val="20"/>
              </w:rPr>
              <w:t>is a Combined Cycle Generation Resource within the Combined Cycle Train.</w:t>
            </w:r>
          </w:p>
        </w:tc>
      </w:tr>
      <w:tr w:rsidR="00426931" w:rsidRPr="00426931" w14:paraId="0298E8F5"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0012B3B9" w14:textId="77777777" w:rsidR="00426931" w:rsidRPr="00426931" w:rsidRDefault="00426931" w:rsidP="00426931">
            <w:pPr>
              <w:spacing w:after="60"/>
              <w:rPr>
                <w:iCs/>
                <w:sz w:val="20"/>
              </w:rPr>
            </w:pPr>
            <w:r w:rsidRPr="00426931">
              <w:rPr>
                <w:iCs/>
                <w:sz w:val="20"/>
              </w:rPr>
              <w:lastRenderedPageBreak/>
              <w:t xml:space="preserve">FFSEDFLAG </w:t>
            </w:r>
            <w:r w:rsidRPr="00426931">
              <w:rPr>
                <w:i/>
                <w:iCs/>
                <w:sz w:val="20"/>
                <w:vertAlign w:val="subscript"/>
              </w:rPr>
              <w:t xml:space="preserve">q, r, </w:t>
            </w:r>
            <w:r w:rsidRPr="00426931">
              <w:rPr>
                <w:i/>
                <w:sz w:val="20"/>
                <w:vertAlign w:val="subscript"/>
              </w:rPr>
              <w:t>hr</w:t>
            </w:r>
          </w:p>
        </w:tc>
        <w:tc>
          <w:tcPr>
            <w:tcW w:w="1632" w:type="dxa"/>
            <w:tcBorders>
              <w:top w:val="single" w:sz="4" w:space="0" w:color="auto"/>
              <w:left w:val="single" w:sz="4" w:space="0" w:color="auto"/>
              <w:bottom w:val="single" w:sz="4" w:space="0" w:color="auto"/>
              <w:right w:val="single" w:sz="4" w:space="0" w:color="auto"/>
            </w:tcBorders>
            <w:hideMark/>
          </w:tcPr>
          <w:p w14:paraId="68856286"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3C7D8D0D" w14:textId="26A08F5F" w:rsidR="00A36EAA" w:rsidRPr="00426931" w:rsidRDefault="00426931" w:rsidP="00426931">
            <w:pPr>
              <w:spacing w:after="60"/>
              <w:rPr>
                <w:i/>
                <w:iCs/>
                <w:sz w:val="20"/>
              </w:rPr>
            </w:pPr>
            <w:r w:rsidRPr="00426931">
              <w:rPr>
                <w:i/>
                <w:iCs/>
                <w:sz w:val="20"/>
              </w:rPr>
              <w:t>Firm Fuel Supply Event Deployment Flag per QSE per Resource by hour</w:t>
            </w:r>
            <w:r w:rsidRPr="00426931">
              <w:rPr>
                <w:iCs/>
                <w:sz w:val="20"/>
              </w:rPr>
              <w:t>—</w:t>
            </w:r>
            <w:r w:rsidR="005C7988" w:rsidRPr="005C7988">
              <w:rPr>
                <w:iCs/>
                <w:sz w:val="20"/>
              </w:rPr>
              <w:t xml:space="preserve">The flag assigned to the primary Generation Resource </w:t>
            </w:r>
            <w:r w:rsidR="005C7988" w:rsidRPr="005C7988">
              <w:rPr>
                <w:i/>
                <w:sz w:val="20"/>
              </w:rPr>
              <w:t>r</w:t>
            </w:r>
            <w:r w:rsidR="005C7988" w:rsidRPr="005C7988">
              <w:rPr>
                <w:iCs/>
                <w:sz w:val="20"/>
              </w:rPr>
              <w:t xml:space="preserve">, represented by QSE </w:t>
            </w:r>
            <w:r w:rsidR="005C7988" w:rsidRPr="005C7988">
              <w:rPr>
                <w:i/>
                <w:sz w:val="20"/>
              </w:rPr>
              <w:t>q</w:t>
            </w:r>
            <w:r w:rsidR="005C7988" w:rsidRPr="005C7988">
              <w:rPr>
                <w:iCs/>
                <w:sz w:val="20"/>
              </w:rPr>
              <w:t xml:space="preserve">, that is used to determine if the FFSSR is considered available, as described in paragraph (2)(c) through (2)(e) above, 1 for available and 0 for unavailable, for the hour.  Where for a Combined Cycle Train, the Resource </w:t>
            </w:r>
            <w:r w:rsidR="005C7988" w:rsidRPr="005C7988">
              <w:rPr>
                <w:i/>
                <w:sz w:val="20"/>
              </w:rPr>
              <w:t>r</w:t>
            </w:r>
            <w:r w:rsidR="005C7988" w:rsidRPr="005C7988">
              <w:rPr>
                <w:iCs/>
                <w:sz w:val="20"/>
              </w:rPr>
              <w:t xml:space="preserve"> is the Combined Cycle Train.</w:t>
            </w:r>
          </w:p>
          <w:p w14:paraId="60218FDD" w14:textId="7CC569EC" w:rsidR="00426931" w:rsidRPr="00426931" w:rsidRDefault="00426931" w:rsidP="00426931">
            <w:pPr>
              <w:spacing w:after="60"/>
              <w:rPr>
                <w:i/>
                <w:iCs/>
                <w:sz w:val="20"/>
              </w:rPr>
            </w:pPr>
          </w:p>
        </w:tc>
      </w:tr>
      <w:tr w:rsidR="00426931" w:rsidRPr="00426931" w14:paraId="7D00366A"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3F2DA00C" w14:textId="77777777" w:rsidR="00426931" w:rsidRPr="00426931" w:rsidRDefault="00426931" w:rsidP="00426931">
            <w:pPr>
              <w:spacing w:after="60"/>
              <w:rPr>
                <w:iCs/>
                <w:sz w:val="20"/>
              </w:rPr>
            </w:pPr>
            <w:r w:rsidRPr="00426931">
              <w:rPr>
                <w:iCs/>
                <w:sz w:val="20"/>
                <w:lang w:val="pt-BR"/>
              </w:rPr>
              <w:t xml:space="preserve">AVCAP </w:t>
            </w:r>
            <w:r w:rsidRPr="00426931">
              <w:rPr>
                <w:i/>
                <w:iCs/>
                <w:sz w:val="20"/>
                <w:vertAlign w:val="subscript"/>
                <w:lang w:val="pt-BR"/>
              </w:rPr>
              <w:t>q, r, hr</w:t>
            </w:r>
          </w:p>
        </w:tc>
        <w:tc>
          <w:tcPr>
            <w:tcW w:w="1632" w:type="dxa"/>
            <w:tcBorders>
              <w:top w:val="single" w:sz="4" w:space="0" w:color="auto"/>
              <w:left w:val="single" w:sz="4" w:space="0" w:color="auto"/>
              <w:bottom w:val="single" w:sz="4" w:space="0" w:color="auto"/>
              <w:right w:val="single" w:sz="4" w:space="0" w:color="auto"/>
            </w:tcBorders>
            <w:hideMark/>
          </w:tcPr>
          <w:p w14:paraId="5461CA2C" w14:textId="77777777" w:rsidR="00426931" w:rsidRPr="00426931" w:rsidRDefault="00426931" w:rsidP="00426931">
            <w:pPr>
              <w:spacing w:after="60"/>
              <w:rPr>
                <w:iCs/>
                <w:sz w:val="20"/>
              </w:rPr>
            </w:pPr>
            <w:r w:rsidRPr="00426931">
              <w:rPr>
                <w:iCs/>
                <w:sz w:val="20"/>
              </w:rPr>
              <w:t>MW</w:t>
            </w:r>
          </w:p>
        </w:tc>
        <w:tc>
          <w:tcPr>
            <w:tcW w:w="5697" w:type="dxa"/>
            <w:tcBorders>
              <w:top w:val="single" w:sz="4" w:space="0" w:color="auto"/>
              <w:left w:val="single" w:sz="4" w:space="0" w:color="auto"/>
              <w:bottom w:val="single" w:sz="4" w:space="0" w:color="auto"/>
              <w:right w:val="single" w:sz="4" w:space="0" w:color="auto"/>
            </w:tcBorders>
            <w:hideMark/>
          </w:tcPr>
          <w:p w14:paraId="4695D459" w14:textId="77777777" w:rsidR="00426931" w:rsidRPr="00426931" w:rsidRDefault="00426931" w:rsidP="00426931">
            <w:pPr>
              <w:spacing w:after="60"/>
              <w:rPr>
                <w:i/>
                <w:iCs/>
                <w:sz w:val="20"/>
              </w:rPr>
            </w:pPr>
            <w:r w:rsidRPr="00426931">
              <w:rPr>
                <w:i/>
                <w:iCs/>
                <w:sz w:val="20"/>
              </w:rPr>
              <w:t>Available Capacity per Resource by hour</w:t>
            </w:r>
            <w:r w:rsidRPr="00426931">
              <w:rPr>
                <w:iCs/>
                <w:sz w:val="20"/>
              </w:rPr>
              <w:t xml:space="preserve">—The available capacity assigned to the primary Generation Resource </w:t>
            </w:r>
            <w:r w:rsidRPr="00426931">
              <w:rPr>
                <w:i/>
                <w:sz w:val="20"/>
              </w:rPr>
              <w:t xml:space="preserve">r </w:t>
            </w:r>
            <w:r w:rsidRPr="00426931">
              <w:rPr>
                <w:iCs/>
                <w:sz w:val="20"/>
              </w:rPr>
              <w:t xml:space="preserve">represented by QSE </w:t>
            </w:r>
            <w:r w:rsidRPr="00426931">
              <w:rPr>
                <w:i/>
                <w:sz w:val="20"/>
              </w:rPr>
              <w:t>q</w:t>
            </w:r>
            <w:r w:rsidRPr="00426931">
              <w:rPr>
                <w:iCs/>
                <w:sz w:val="20"/>
              </w:rPr>
              <w:t xml:space="preserve"> as calculated for the hour. Where for a Combined Cycle Train, the Resource </w:t>
            </w:r>
            <w:r w:rsidRPr="00426931">
              <w:rPr>
                <w:i/>
                <w:iCs/>
                <w:sz w:val="20"/>
              </w:rPr>
              <w:t xml:space="preserve">r </w:t>
            </w:r>
            <w:r w:rsidRPr="00426931">
              <w:rPr>
                <w:iCs/>
                <w:sz w:val="20"/>
              </w:rPr>
              <w:t>is the Combined Cycle Train.</w:t>
            </w:r>
          </w:p>
        </w:tc>
      </w:tr>
      <w:tr w:rsidR="00426931" w:rsidRPr="00426931" w14:paraId="44D5D7B1"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0C3489C8" w14:textId="77777777" w:rsidR="00426931" w:rsidRPr="00426931" w:rsidRDefault="00426931" w:rsidP="00426931">
            <w:pPr>
              <w:spacing w:after="60"/>
              <w:rPr>
                <w:i/>
                <w:iCs/>
                <w:sz w:val="20"/>
              </w:rPr>
            </w:pPr>
            <w:r w:rsidRPr="00426931">
              <w:rPr>
                <w:i/>
                <w:iCs/>
                <w:sz w:val="20"/>
              </w:rPr>
              <w:t>q</w:t>
            </w:r>
          </w:p>
        </w:tc>
        <w:tc>
          <w:tcPr>
            <w:tcW w:w="1632" w:type="dxa"/>
            <w:tcBorders>
              <w:top w:val="single" w:sz="4" w:space="0" w:color="auto"/>
              <w:left w:val="single" w:sz="4" w:space="0" w:color="auto"/>
              <w:bottom w:val="single" w:sz="4" w:space="0" w:color="auto"/>
              <w:right w:val="single" w:sz="4" w:space="0" w:color="auto"/>
            </w:tcBorders>
            <w:hideMark/>
          </w:tcPr>
          <w:p w14:paraId="56966824"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6326068A" w14:textId="77777777" w:rsidR="00426931" w:rsidRPr="00426931" w:rsidRDefault="00426931" w:rsidP="00426931">
            <w:pPr>
              <w:spacing w:after="60"/>
              <w:rPr>
                <w:iCs/>
                <w:sz w:val="20"/>
              </w:rPr>
            </w:pPr>
            <w:r w:rsidRPr="00426931">
              <w:rPr>
                <w:iCs/>
                <w:sz w:val="20"/>
              </w:rPr>
              <w:t>A QSE.</w:t>
            </w:r>
          </w:p>
        </w:tc>
      </w:tr>
      <w:tr w:rsidR="00426931" w:rsidRPr="00426931" w14:paraId="095FA209"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5AC068EE" w14:textId="77777777" w:rsidR="00426931" w:rsidRPr="00426931" w:rsidRDefault="00426931" w:rsidP="00426931">
            <w:pPr>
              <w:spacing w:after="60"/>
              <w:rPr>
                <w:i/>
                <w:iCs/>
                <w:sz w:val="20"/>
              </w:rPr>
            </w:pPr>
            <w:r w:rsidRPr="00426931">
              <w:rPr>
                <w:i/>
                <w:iCs/>
                <w:sz w:val="20"/>
              </w:rPr>
              <w:t>r</w:t>
            </w:r>
          </w:p>
        </w:tc>
        <w:tc>
          <w:tcPr>
            <w:tcW w:w="1632" w:type="dxa"/>
            <w:tcBorders>
              <w:top w:val="single" w:sz="4" w:space="0" w:color="auto"/>
              <w:left w:val="single" w:sz="4" w:space="0" w:color="auto"/>
              <w:bottom w:val="single" w:sz="4" w:space="0" w:color="auto"/>
              <w:right w:val="single" w:sz="4" w:space="0" w:color="auto"/>
            </w:tcBorders>
            <w:hideMark/>
          </w:tcPr>
          <w:p w14:paraId="2286652E"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18E44CB6" w14:textId="77777777" w:rsidR="00426931" w:rsidRPr="00426931" w:rsidRDefault="00426931" w:rsidP="00426931">
            <w:pPr>
              <w:spacing w:after="60"/>
              <w:rPr>
                <w:iCs/>
                <w:sz w:val="20"/>
              </w:rPr>
            </w:pPr>
            <w:r w:rsidRPr="00426931">
              <w:rPr>
                <w:iCs/>
                <w:sz w:val="20"/>
              </w:rPr>
              <w:t>A primary or alternate Generation Resource approved by ERCOT to provide FFSS.</w:t>
            </w:r>
          </w:p>
        </w:tc>
      </w:tr>
      <w:tr w:rsidR="00426931" w:rsidRPr="00426931" w14:paraId="47D93F0B"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34D7E46C" w14:textId="77777777" w:rsidR="00426931" w:rsidRPr="00426931" w:rsidRDefault="00426931" w:rsidP="00426931">
            <w:pPr>
              <w:spacing w:after="60"/>
              <w:rPr>
                <w:i/>
                <w:iCs/>
                <w:sz w:val="20"/>
              </w:rPr>
            </w:pPr>
            <w:r w:rsidRPr="00426931">
              <w:rPr>
                <w:i/>
                <w:iCs/>
                <w:sz w:val="20"/>
              </w:rPr>
              <w:t>hr</w:t>
            </w:r>
          </w:p>
        </w:tc>
        <w:tc>
          <w:tcPr>
            <w:tcW w:w="1632" w:type="dxa"/>
            <w:tcBorders>
              <w:top w:val="single" w:sz="4" w:space="0" w:color="auto"/>
              <w:left w:val="single" w:sz="4" w:space="0" w:color="auto"/>
              <w:bottom w:val="single" w:sz="4" w:space="0" w:color="auto"/>
              <w:right w:val="single" w:sz="4" w:space="0" w:color="auto"/>
            </w:tcBorders>
            <w:hideMark/>
          </w:tcPr>
          <w:p w14:paraId="5962E311"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41ADE93A" w14:textId="77777777" w:rsidR="00426931" w:rsidRPr="00426931" w:rsidRDefault="00426931" w:rsidP="00426931">
            <w:pPr>
              <w:spacing w:after="60"/>
              <w:rPr>
                <w:iCs/>
                <w:sz w:val="20"/>
              </w:rPr>
            </w:pPr>
            <w:r w:rsidRPr="00426931">
              <w:rPr>
                <w:iCs/>
                <w:sz w:val="20"/>
              </w:rPr>
              <w:t>The index of a given hour and the previous 1,451 hours counted only during each hour of November 15 through March 15 during the awarded FFSS obligation period.</w:t>
            </w:r>
          </w:p>
        </w:tc>
      </w:tr>
      <w:tr w:rsidR="00426931" w:rsidRPr="00426931" w14:paraId="2F77FB54"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74547531" w14:textId="77777777" w:rsidR="00426931" w:rsidRPr="00426931" w:rsidRDefault="00426931" w:rsidP="00426931">
            <w:pPr>
              <w:spacing w:after="60"/>
              <w:rPr>
                <w:i/>
                <w:iCs/>
                <w:sz w:val="20"/>
              </w:rPr>
            </w:pPr>
            <w:r w:rsidRPr="00426931">
              <w:rPr>
                <w:i/>
                <w:iCs/>
                <w:sz w:val="20"/>
              </w:rPr>
              <w:t>h</w:t>
            </w:r>
          </w:p>
        </w:tc>
        <w:tc>
          <w:tcPr>
            <w:tcW w:w="1632" w:type="dxa"/>
            <w:tcBorders>
              <w:top w:val="single" w:sz="4" w:space="0" w:color="auto"/>
              <w:left w:val="single" w:sz="4" w:space="0" w:color="auto"/>
              <w:bottom w:val="single" w:sz="4" w:space="0" w:color="auto"/>
              <w:right w:val="single" w:sz="4" w:space="0" w:color="auto"/>
            </w:tcBorders>
            <w:hideMark/>
          </w:tcPr>
          <w:p w14:paraId="6720BDBA"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6E1B7C2F" w14:textId="77777777" w:rsidR="00426931" w:rsidRPr="00426931" w:rsidRDefault="00426931" w:rsidP="00426931">
            <w:pPr>
              <w:spacing w:after="60"/>
              <w:rPr>
                <w:iCs/>
                <w:sz w:val="20"/>
              </w:rPr>
            </w:pPr>
            <w:r w:rsidRPr="00426931">
              <w:rPr>
                <w:iCs/>
                <w:sz w:val="20"/>
              </w:rPr>
              <w:t>The Operating Hour.</w:t>
            </w:r>
          </w:p>
        </w:tc>
      </w:tr>
      <w:tr w:rsidR="00426931" w:rsidRPr="00426931" w14:paraId="455BB46F"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28F1A0DB" w14:textId="77777777" w:rsidR="00426931" w:rsidRPr="00426931" w:rsidRDefault="00426931" w:rsidP="00426931">
            <w:pPr>
              <w:spacing w:after="60"/>
              <w:rPr>
                <w:i/>
                <w:iCs/>
                <w:sz w:val="20"/>
              </w:rPr>
            </w:pPr>
            <w:r w:rsidRPr="00426931">
              <w:rPr>
                <w:i/>
                <w:iCs/>
                <w:sz w:val="20"/>
              </w:rPr>
              <w:t>train</w:t>
            </w:r>
          </w:p>
        </w:tc>
        <w:tc>
          <w:tcPr>
            <w:tcW w:w="1632" w:type="dxa"/>
            <w:tcBorders>
              <w:top w:val="single" w:sz="4" w:space="0" w:color="auto"/>
              <w:left w:val="single" w:sz="4" w:space="0" w:color="auto"/>
              <w:bottom w:val="single" w:sz="4" w:space="0" w:color="auto"/>
              <w:right w:val="single" w:sz="4" w:space="0" w:color="auto"/>
            </w:tcBorders>
            <w:hideMark/>
          </w:tcPr>
          <w:p w14:paraId="58B4B525" w14:textId="77777777" w:rsidR="00426931" w:rsidRPr="00426931" w:rsidRDefault="00426931" w:rsidP="00426931">
            <w:pPr>
              <w:spacing w:after="60"/>
              <w:rPr>
                <w:iCs/>
                <w:sz w:val="20"/>
              </w:rPr>
            </w:pPr>
            <w:r w:rsidRPr="00426931">
              <w:rPr>
                <w:iCs/>
                <w:sz w:val="20"/>
              </w:rPr>
              <w:t xml:space="preserve">none </w:t>
            </w:r>
          </w:p>
        </w:tc>
        <w:tc>
          <w:tcPr>
            <w:tcW w:w="5697" w:type="dxa"/>
            <w:tcBorders>
              <w:top w:val="single" w:sz="4" w:space="0" w:color="auto"/>
              <w:left w:val="single" w:sz="4" w:space="0" w:color="auto"/>
              <w:bottom w:val="single" w:sz="4" w:space="0" w:color="auto"/>
              <w:right w:val="single" w:sz="4" w:space="0" w:color="auto"/>
            </w:tcBorders>
            <w:hideMark/>
          </w:tcPr>
          <w:p w14:paraId="27962023" w14:textId="77777777" w:rsidR="00426931" w:rsidRPr="00426931" w:rsidRDefault="00426931" w:rsidP="00426931">
            <w:pPr>
              <w:spacing w:after="60"/>
              <w:rPr>
                <w:iCs/>
                <w:sz w:val="20"/>
              </w:rPr>
            </w:pPr>
            <w:r w:rsidRPr="00426931">
              <w:rPr>
                <w:iCs/>
                <w:sz w:val="20"/>
              </w:rPr>
              <w:t>A Combined Cycle Train or an alternate Combined Cycle Train approved by ERCOT.</w:t>
            </w:r>
          </w:p>
        </w:tc>
      </w:tr>
      <w:tr w:rsidR="00426931" w:rsidRPr="00426931" w14:paraId="63A8D755"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6A25D85E" w14:textId="77777777" w:rsidR="00426931" w:rsidRPr="00426931" w:rsidRDefault="00426931" w:rsidP="00426931">
            <w:pPr>
              <w:spacing w:after="60"/>
              <w:rPr>
                <w:i/>
                <w:sz w:val="20"/>
              </w:rPr>
            </w:pPr>
            <w:r w:rsidRPr="00426931">
              <w:rPr>
                <w:i/>
                <w:sz w:val="20"/>
              </w:rPr>
              <w:t>ccgr</w:t>
            </w:r>
          </w:p>
        </w:tc>
        <w:tc>
          <w:tcPr>
            <w:tcW w:w="1632" w:type="dxa"/>
            <w:tcBorders>
              <w:top w:val="single" w:sz="4" w:space="0" w:color="auto"/>
              <w:left w:val="single" w:sz="4" w:space="0" w:color="auto"/>
              <w:bottom w:val="single" w:sz="4" w:space="0" w:color="auto"/>
              <w:right w:val="single" w:sz="4" w:space="0" w:color="auto"/>
            </w:tcBorders>
            <w:hideMark/>
          </w:tcPr>
          <w:p w14:paraId="48EA8A61"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68CB8B38" w14:textId="77777777" w:rsidR="00426931" w:rsidRPr="00426931" w:rsidRDefault="00426931" w:rsidP="00426931">
            <w:pPr>
              <w:spacing w:after="60"/>
              <w:rPr>
                <w:iCs/>
                <w:sz w:val="20"/>
              </w:rPr>
            </w:pPr>
            <w:r w:rsidRPr="00426931">
              <w:rPr>
                <w:iCs/>
                <w:sz w:val="20"/>
              </w:rPr>
              <w:t>A Combined Cycle Generation Resource within the Combined Cycle Train.</w:t>
            </w:r>
          </w:p>
        </w:tc>
      </w:tr>
    </w:tbl>
    <w:p w14:paraId="5F59B89C" w14:textId="77777777" w:rsidR="00426931" w:rsidRPr="00426931" w:rsidRDefault="00426931" w:rsidP="00426931">
      <w:pPr>
        <w:spacing w:before="240" w:after="240"/>
        <w:ind w:left="720" w:hanging="720"/>
      </w:pPr>
      <w:r w:rsidRPr="00426931">
        <w:t>(5)</w:t>
      </w:r>
      <w:r w:rsidRPr="00426931">
        <w:tab/>
        <w:t>The total of the payments to each QSE for all FFSSRs represented by this QSE for a given hour is calculated as follows:</w:t>
      </w:r>
    </w:p>
    <w:p w14:paraId="100C259F" w14:textId="77777777" w:rsidR="00426931" w:rsidRPr="00426931" w:rsidRDefault="00426931" w:rsidP="00426931">
      <w:pPr>
        <w:tabs>
          <w:tab w:val="left" w:pos="2250"/>
          <w:tab w:val="left" w:pos="3150"/>
          <w:tab w:val="left" w:pos="3960"/>
        </w:tabs>
        <w:spacing w:after="240"/>
        <w:ind w:left="3960" w:hanging="3240"/>
        <w:rPr>
          <w:b/>
          <w:bCs/>
          <w:szCs w:val="24"/>
        </w:rPr>
      </w:pPr>
      <w:r w:rsidRPr="00426931">
        <w:rPr>
          <w:b/>
          <w:bCs/>
          <w:szCs w:val="24"/>
        </w:rPr>
        <w:t xml:space="preserve">FFSSAMTQSETOT </w:t>
      </w:r>
      <w:r w:rsidRPr="00426931">
        <w:rPr>
          <w:b/>
          <w:bCs/>
          <w:i/>
          <w:szCs w:val="24"/>
          <w:vertAlign w:val="subscript"/>
        </w:rPr>
        <w:t>q</w:t>
      </w:r>
      <w:r w:rsidRPr="00426931">
        <w:rPr>
          <w:b/>
          <w:bCs/>
          <w:szCs w:val="24"/>
        </w:rPr>
        <w:tab/>
        <w:t>=</w:t>
      </w:r>
      <w:r w:rsidRPr="00426931">
        <w:rPr>
          <w:b/>
          <w:bCs/>
          <w:szCs w:val="24"/>
        </w:rPr>
        <w:tab/>
      </w:r>
      <w:r w:rsidRPr="00426931">
        <w:rPr>
          <w:b/>
          <w:bCs/>
          <w:position w:val="-18"/>
          <w:szCs w:val="24"/>
        </w:rPr>
        <w:object w:dxaOrig="240" w:dyaOrig="420" w14:anchorId="4584E345">
          <v:shape id="_x0000_i1311" type="#_x0000_t75" style="width:12pt;height:24pt" o:ole="">
            <v:imagedata r:id="rId238" o:title=""/>
          </v:shape>
          <o:OLEObject Type="Embed" ProgID="Equation.3" ShapeID="_x0000_i1311" DrawAspect="Content" ObjectID="_1815025499" r:id="rId385"/>
        </w:object>
      </w:r>
      <w:r w:rsidRPr="00426931">
        <w:rPr>
          <w:b/>
          <w:bCs/>
          <w:szCs w:val="24"/>
        </w:rPr>
        <w:t xml:space="preserve">FFSSAMT </w:t>
      </w:r>
      <w:r w:rsidRPr="00426931">
        <w:rPr>
          <w:b/>
          <w:bCs/>
          <w:i/>
          <w:szCs w:val="24"/>
          <w:vertAlign w:val="subscript"/>
        </w:rPr>
        <w:t>q, r</w:t>
      </w:r>
    </w:p>
    <w:p w14:paraId="3D0BFC49" w14:textId="77777777" w:rsidR="00426931" w:rsidRPr="00426931" w:rsidRDefault="00426931" w:rsidP="00426931">
      <w:r w:rsidRPr="00426931">
        <w:t>The above variables are defined as follows:</w:t>
      </w: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05"/>
        <w:gridCol w:w="7140"/>
      </w:tblGrid>
      <w:tr w:rsidR="00426931" w:rsidRPr="00426931" w14:paraId="0C07F16E" w14:textId="77777777" w:rsidTr="00426931">
        <w:trPr>
          <w:cantSplit/>
          <w:tblHeader/>
        </w:trPr>
        <w:tc>
          <w:tcPr>
            <w:tcW w:w="1998" w:type="dxa"/>
            <w:tcBorders>
              <w:top w:val="single" w:sz="4" w:space="0" w:color="auto"/>
              <w:left w:val="single" w:sz="4" w:space="0" w:color="auto"/>
              <w:bottom w:val="single" w:sz="4" w:space="0" w:color="auto"/>
              <w:right w:val="single" w:sz="4" w:space="0" w:color="auto"/>
            </w:tcBorders>
            <w:hideMark/>
          </w:tcPr>
          <w:p w14:paraId="0FDA46DA" w14:textId="77777777" w:rsidR="00426931" w:rsidRPr="00426931" w:rsidRDefault="00426931" w:rsidP="00426931">
            <w:pPr>
              <w:spacing w:after="120"/>
              <w:rPr>
                <w:b/>
                <w:iCs/>
                <w:sz w:val="20"/>
              </w:rPr>
            </w:pPr>
            <w:r w:rsidRPr="00426931">
              <w:rPr>
                <w:b/>
                <w:iCs/>
                <w:sz w:val="20"/>
              </w:rPr>
              <w:t>Variable</w:t>
            </w:r>
          </w:p>
        </w:tc>
        <w:tc>
          <w:tcPr>
            <w:tcW w:w="0" w:type="auto"/>
            <w:tcBorders>
              <w:top w:val="single" w:sz="4" w:space="0" w:color="auto"/>
              <w:left w:val="single" w:sz="4" w:space="0" w:color="auto"/>
              <w:bottom w:val="single" w:sz="4" w:space="0" w:color="auto"/>
              <w:right w:val="single" w:sz="4" w:space="0" w:color="auto"/>
            </w:tcBorders>
            <w:hideMark/>
          </w:tcPr>
          <w:p w14:paraId="43DCD3DD" w14:textId="77777777" w:rsidR="00426931" w:rsidRPr="00426931" w:rsidRDefault="00426931" w:rsidP="00426931">
            <w:pPr>
              <w:spacing w:after="120"/>
              <w:rPr>
                <w:b/>
                <w:iCs/>
                <w:sz w:val="20"/>
              </w:rPr>
            </w:pPr>
            <w:r w:rsidRPr="00426931">
              <w:rPr>
                <w:b/>
                <w:iCs/>
                <w:sz w:val="20"/>
              </w:rPr>
              <w:t>Unit</w:t>
            </w:r>
          </w:p>
        </w:tc>
        <w:tc>
          <w:tcPr>
            <w:tcW w:w="0" w:type="auto"/>
            <w:tcBorders>
              <w:top w:val="single" w:sz="4" w:space="0" w:color="auto"/>
              <w:left w:val="single" w:sz="4" w:space="0" w:color="auto"/>
              <w:bottom w:val="single" w:sz="4" w:space="0" w:color="auto"/>
              <w:right w:val="single" w:sz="4" w:space="0" w:color="auto"/>
            </w:tcBorders>
            <w:hideMark/>
          </w:tcPr>
          <w:p w14:paraId="09B8A7BF" w14:textId="77777777" w:rsidR="00426931" w:rsidRPr="00426931" w:rsidRDefault="00426931" w:rsidP="00426931">
            <w:pPr>
              <w:spacing w:after="120"/>
              <w:rPr>
                <w:b/>
                <w:iCs/>
                <w:sz w:val="20"/>
              </w:rPr>
            </w:pPr>
            <w:r w:rsidRPr="00426931">
              <w:rPr>
                <w:b/>
                <w:iCs/>
                <w:sz w:val="20"/>
              </w:rPr>
              <w:t>Definition</w:t>
            </w:r>
          </w:p>
        </w:tc>
      </w:tr>
      <w:tr w:rsidR="00426931" w:rsidRPr="00426931" w14:paraId="3FD2D3DF" w14:textId="77777777" w:rsidTr="00426931">
        <w:trPr>
          <w:cantSplit/>
        </w:trPr>
        <w:tc>
          <w:tcPr>
            <w:tcW w:w="1998" w:type="dxa"/>
            <w:tcBorders>
              <w:top w:val="single" w:sz="4" w:space="0" w:color="auto"/>
              <w:left w:val="single" w:sz="4" w:space="0" w:color="auto"/>
              <w:bottom w:val="single" w:sz="4" w:space="0" w:color="auto"/>
              <w:right w:val="single" w:sz="4" w:space="0" w:color="auto"/>
            </w:tcBorders>
            <w:hideMark/>
          </w:tcPr>
          <w:p w14:paraId="27C5AE6D" w14:textId="77777777" w:rsidR="00426931" w:rsidRPr="00426931" w:rsidRDefault="00426931" w:rsidP="00426931">
            <w:pPr>
              <w:spacing w:after="60"/>
              <w:rPr>
                <w:iCs/>
                <w:sz w:val="20"/>
              </w:rPr>
            </w:pPr>
            <w:r w:rsidRPr="00426931">
              <w:rPr>
                <w:iCs/>
                <w:sz w:val="20"/>
              </w:rPr>
              <w:t>FFSSAMTQSETOT</w:t>
            </w:r>
            <w:r w:rsidRPr="00426931">
              <w:rPr>
                <w:i/>
                <w:iCs/>
                <w:sz w:val="20"/>
              </w:rPr>
              <w:t xml:space="preserve"> </w:t>
            </w:r>
            <w:r w:rsidRPr="00426931">
              <w:rPr>
                <w:i/>
                <w:iCs/>
                <w:sz w:val="20"/>
                <w:vertAlign w:val="subscript"/>
              </w:rPr>
              <w:t>q</w:t>
            </w:r>
          </w:p>
        </w:tc>
        <w:tc>
          <w:tcPr>
            <w:tcW w:w="0" w:type="auto"/>
            <w:tcBorders>
              <w:top w:val="single" w:sz="4" w:space="0" w:color="auto"/>
              <w:left w:val="single" w:sz="4" w:space="0" w:color="auto"/>
              <w:bottom w:val="single" w:sz="4" w:space="0" w:color="auto"/>
              <w:right w:val="single" w:sz="4" w:space="0" w:color="auto"/>
            </w:tcBorders>
            <w:hideMark/>
          </w:tcPr>
          <w:p w14:paraId="65C15E8B" w14:textId="77777777" w:rsidR="00426931" w:rsidRPr="00426931" w:rsidRDefault="00426931" w:rsidP="00426931">
            <w:pPr>
              <w:spacing w:after="60"/>
              <w:rPr>
                <w:iCs/>
                <w:sz w:val="20"/>
              </w:rPr>
            </w:pPr>
            <w:r w:rsidRPr="00426931">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4654D742" w14:textId="77777777" w:rsidR="00426931" w:rsidRPr="00426931" w:rsidRDefault="00426931" w:rsidP="00426931">
            <w:pPr>
              <w:spacing w:after="60"/>
              <w:rPr>
                <w:iCs/>
                <w:sz w:val="20"/>
              </w:rPr>
            </w:pPr>
            <w:r w:rsidRPr="00426931">
              <w:rPr>
                <w:i/>
                <w:iCs/>
                <w:sz w:val="20"/>
              </w:rPr>
              <w:t>Firm Fuel Supply Service Amount QSE Total per QSE</w:t>
            </w:r>
            <w:r w:rsidRPr="00426931">
              <w:rPr>
                <w:iCs/>
                <w:sz w:val="20"/>
              </w:rPr>
              <w:sym w:font="Symbol" w:char="F0BE"/>
            </w:r>
            <w:r w:rsidRPr="00426931">
              <w:rPr>
                <w:iCs/>
                <w:sz w:val="20"/>
              </w:rPr>
              <w:t xml:space="preserve">The total of the payments to QSE </w:t>
            </w:r>
            <w:r w:rsidRPr="00426931">
              <w:rPr>
                <w:i/>
                <w:iCs/>
                <w:sz w:val="20"/>
              </w:rPr>
              <w:t>q</w:t>
            </w:r>
            <w:r w:rsidRPr="00426931">
              <w:rPr>
                <w:iCs/>
                <w:sz w:val="20"/>
              </w:rPr>
              <w:t xml:space="preserve"> for FFSS provided by all the FFSS Resources represented by this QSE for the hour.</w:t>
            </w:r>
          </w:p>
        </w:tc>
      </w:tr>
      <w:tr w:rsidR="00426931" w:rsidRPr="00426931" w14:paraId="75DBE1F8" w14:textId="77777777" w:rsidTr="00426931">
        <w:trPr>
          <w:cantSplit/>
        </w:trPr>
        <w:tc>
          <w:tcPr>
            <w:tcW w:w="1998" w:type="dxa"/>
            <w:tcBorders>
              <w:top w:val="single" w:sz="4" w:space="0" w:color="auto"/>
              <w:left w:val="single" w:sz="4" w:space="0" w:color="auto"/>
              <w:bottom w:val="single" w:sz="4" w:space="0" w:color="auto"/>
              <w:right w:val="single" w:sz="4" w:space="0" w:color="auto"/>
            </w:tcBorders>
            <w:hideMark/>
          </w:tcPr>
          <w:p w14:paraId="1616E423" w14:textId="77777777" w:rsidR="00426931" w:rsidRPr="00426931" w:rsidRDefault="00426931" w:rsidP="00426931">
            <w:pPr>
              <w:spacing w:after="60"/>
              <w:rPr>
                <w:iCs/>
                <w:sz w:val="20"/>
              </w:rPr>
            </w:pPr>
            <w:r w:rsidRPr="00426931">
              <w:rPr>
                <w:iCs/>
                <w:sz w:val="20"/>
              </w:rPr>
              <w:t xml:space="preserve">FFSSAMT </w:t>
            </w:r>
            <w:r w:rsidRPr="00426931">
              <w:rPr>
                <w:i/>
                <w:iCs/>
                <w:sz w:val="20"/>
                <w:vertAlign w:val="subscript"/>
              </w:rPr>
              <w:t>q, r</w:t>
            </w:r>
          </w:p>
        </w:tc>
        <w:tc>
          <w:tcPr>
            <w:tcW w:w="0" w:type="auto"/>
            <w:tcBorders>
              <w:top w:val="single" w:sz="4" w:space="0" w:color="auto"/>
              <w:left w:val="single" w:sz="4" w:space="0" w:color="auto"/>
              <w:bottom w:val="single" w:sz="4" w:space="0" w:color="auto"/>
              <w:right w:val="single" w:sz="4" w:space="0" w:color="auto"/>
            </w:tcBorders>
            <w:hideMark/>
          </w:tcPr>
          <w:p w14:paraId="073AC931" w14:textId="77777777" w:rsidR="00426931" w:rsidRPr="00426931" w:rsidRDefault="00426931" w:rsidP="00426931">
            <w:pPr>
              <w:spacing w:after="60"/>
              <w:rPr>
                <w:iCs/>
                <w:sz w:val="20"/>
              </w:rPr>
            </w:pPr>
            <w:r w:rsidRPr="00426931">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7545124C" w14:textId="77777777" w:rsidR="00426931" w:rsidRPr="00426931" w:rsidRDefault="00426931" w:rsidP="00426931">
            <w:pPr>
              <w:spacing w:after="60"/>
              <w:rPr>
                <w:iCs/>
                <w:sz w:val="20"/>
              </w:rPr>
            </w:pPr>
            <w:r w:rsidRPr="00426931">
              <w:rPr>
                <w:i/>
                <w:iCs/>
                <w:sz w:val="20"/>
              </w:rPr>
              <w:t>Firm Fuel Supply Service Amount per QSE per Resource</w:t>
            </w:r>
            <w:r w:rsidRPr="00426931">
              <w:rPr>
                <w:iCs/>
                <w:sz w:val="20"/>
              </w:rPr>
              <w:t xml:space="preserve">—The payment to QSE </w:t>
            </w:r>
            <w:r w:rsidRPr="00426931">
              <w:rPr>
                <w:i/>
                <w:iCs/>
                <w:sz w:val="20"/>
              </w:rPr>
              <w:t>q</w:t>
            </w:r>
            <w:r w:rsidRPr="00426931">
              <w:rPr>
                <w:iCs/>
                <w:sz w:val="20"/>
              </w:rPr>
              <w:t xml:space="preserve"> for the FFSS assigned to the primary Generation Resource </w:t>
            </w:r>
            <w:r w:rsidRPr="00426931">
              <w:rPr>
                <w:i/>
                <w:iCs/>
                <w:sz w:val="20"/>
              </w:rPr>
              <w:t>r</w:t>
            </w:r>
            <w:r w:rsidRPr="00426931">
              <w:rPr>
                <w:iCs/>
                <w:sz w:val="20"/>
              </w:rPr>
              <w:t xml:space="preserve">, for the hour, calculated each hour of November 15 through March 15 during the awarded FFSS obligation period.  Where for a Combined Cycle Train, the Resource </w:t>
            </w:r>
            <w:r w:rsidRPr="00426931">
              <w:rPr>
                <w:i/>
                <w:iCs/>
                <w:sz w:val="20"/>
              </w:rPr>
              <w:t xml:space="preserve">r </w:t>
            </w:r>
            <w:r w:rsidRPr="00426931">
              <w:rPr>
                <w:iCs/>
                <w:sz w:val="20"/>
              </w:rPr>
              <w:t>is the Combined Cycle Train.</w:t>
            </w:r>
          </w:p>
        </w:tc>
      </w:tr>
      <w:tr w:rsidR="00426931" w:rsidRPr="00426931" w14:paraId="51DDF34D" w14:textId="77777777" w:rsidTr="00426931">
        <w:trPr>
          <w:cantSplit/>
        </w:trPr>
        <w:tc>
          <w:tcPr>
            <w:tcW w:w="1998" w:type="dxa"/>
            <w:tcBorders>
              <w:top w:val="single" w:sz="4" w:space="0" w:color="auto"/>
              <w:left w:val="single" w:sz="4" w:space="0" w:color="auto"/>
              <w:bottom w:val="single" w:sz="4" w:space="0" w:color="auto"/>
              <w:right w:val="single" w:sz="4" w:space="0" w:color="auto"/>
            </w:tcBorders>
            <w:hideMark/>
          </w:tcPr>
          <w:p w14:paraId="0F78EABF" w14:textId="77777777" w:rsidR="00426931" w:rsidRPr="00426931" w:rsidRDefault="00426931" w:rsidP="00426931">
            <w:pPr>
              <w:spacing w:after="60"/>
              <w:rPr>
                <w:i/>
                <w:iCs/>
                <w:sz w:val="20"/>
              </w:rPr>
            </w:pPr>
            <w:r w:rsidRPr="00426931">
              <w:rPr>
                <w:i/>
                <w:iCs/>
                <w:sz w:val="20"/>
              </w:rPr>
              <w:t>q</w:t>
            </w:r>
          </w:p>
        </w:tc>
        <w:tc>
          <w:tcPr>
            <w:tcW w:w="0" w:type="auto"/>
            <w:tcBorders>
              <w:top w:val="single" w:sz="4" w:space="0" w:color="auto"/>
              <w:left w:val="single" w:sz="4" w:space="0" w:color="auto"/>
              <w:bottom w:val="single" w:sz="4" w:space="0" w:color="auto"/>
              <w:right w:val="single" w:sz="4" w:space="0" w:color="auto"/>
            </w:tcBorders>
            <w:hideMark/>
          </w:tcPr>
          <w:p w14:paraId="2CD25A69" w14:textId="77777777" w:rsidR="00426931" w:rsidRPr="00426931" w:rsidRDefault="00426931" w:rsidP="00426931">
            <w:pPr>
              <w:spacing w:after="60"/>
              <w:rPr>
                <w:iCs/>
                <w:sz w:val="20"/>
              </w:rPr>
            </w:pPr>
            <w:r w:rsidRPr="00426931">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1CE32A64" w14:textId="77777777" w:rsidR="00426931" w:rsidRPr="00426931" w:rsidRDefault="00426931" w:rsidP="00426931">
            <w:pPr>
              <w:spacing w:after="60"/>
              <w:rPr>
                <w:iCs/>
                <w:sz w:val="20"/>
              </w:rPr>
            </w:pPr>
            <w:r w:rsidRPr="00426931">
              <w:rPr>
                <w:iCs/>
                <w:sz w:val="20"/>
              </w:rPr>
              <w:t>A QSE.</w:t>
            </w:r>
          </w:p>
        </w:tc>
      </w:tr>
      <w:tr w:rsidR="00426931" w:rsidRPr="00426931" w14:paraId="38216D42" w14:textId="77777777" w:rsidTr="00426931">
        <w:trPr>
          <w:cantSplit/>
        </w:trPr>
        <w:tc>
          <w:tcPr>
            <w:tcW w:w="1998" w:type="dxa"/>
            <w:tcBorders>
              <w:top w:val="single" w:sz="4" w:space="0" w:color="auto"/>
              <w:left w:val="single" w:sz="4" w:space="0" w:color="auto"/>
              <w:bottom w:val="single" w:sz="4" w:space="0" w:color="auto"/>
              <w:right w:val="single" w:sz="4" w:space="0" w:color="auto"/>
            </w:tcBorders>
            <w:hideMark/>
          </w:tcPr>
          <w:p w14:paraId="4ACBBAEC" w14:textId="03B7EFBF" w:rsidR="00426931" w:rsidRPr="00426931" w:rsidRDefault="008417AF" w:rsidP="00426931">
            <w:pPr>
              <w:spacing w:after="60"/>
              <w:rPr>
                <w:i/>
                <w:iCs/>
                <w:sz w:val="20"/>
              </w:rPr>
            </w:pPr>
            <w:r>
              <w:rPr>
                <w:i/>
                <w:iCs/>
                <w:sz w:val="20"/>
              </w:rPr>
              <w:t>r</w:t>
            </w:r>
          </w:p>
        </w:tc>
        <w:tc>
          <w:tcPr>
            <w:tcW w:w="0" w:type="auto"/>
            <w:tcBorders>
              <w:top w:val="single" w:sz="4" w:space="0" w:color="auto"/>
              <w:left w:val="single" w:sz="4" w:space="0" w:color="auto"/>
              <w:bottom w:val="single" w:sz="4" w:space="0" w:color="auto"/>
              <w:right w:val="single" w:sz="4" w:space="0" w:color="auto"/>
            </w:tcBorders>
            <w:hideMark/>
          </w:tcPr>
          <w:p w14:paraId="04CEC36F" w14:textId="77777777" w:rsidR="00426931" w:rsidRPr="00426931" w:rsidRDefault="00426931" w:rsidP="00426931">
            <w:pPr>
              <w:spacing w:after="60"/>
              <w:rPr>
                <w:iCs/>
                <w:sz w:val="20"/>
              </w:rPr>
            </w:pPr>
            <w:r w:rsidRPr="00426931">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0B2C28AF" w14:textId="77777777" w:rsidR="00426931" w:rsidRPr="00426931" w:rsidRDefault="00426931" w:rsidP="00426931">
            <w:pPr>
              <w:spacing w:after="60"/>
              <w:rPr>
                <w:iCs/>
                <w:sz w:val="20"/>
              </w:rPr>
            </w:pPr>
            <w:r w:rsidRPr="00426931">
              <w:rPr>
                <w:iCs/>
                <w:sz w:val="20"/>
              </w:rPr>
              <w:t>A primary or alternate Generation Resource approved by ERCOT to provide FFSS.</w:t>
            </w:r>
          </w:p>
        </w:tc>
      </w:tr>
    </w:tbl>
    <w:p w14:paraId="08D5AA10" w14:textId="77777777" w:rsidR="00281DEA" w:rsidRDefault="00281DEA" w:rsidP="00281DEA">
      <w:pPr>
        <w:pStyle w:val="H4"/>
        <w:spacing w:before="480"/>
        <w:ind w:left="1267" w:hanging="1267"/>
      </w:pPr>
      <w:bookmarkStart w:id="2675" w:name="_Toc204411739"/>
      <w:r>
        <w:t>6.6.14.3</w:t>
      </w:r>
      <w:r>
        <w:tab/>
        <w:t>Firm Fuel Supply Service Capacity Charge</w:t>
      </w:r>
      <w:bookmarkEnd w:id="2675"/>
    </w:p>
    <w:p w14:paraId="07E9DDFE" w14:textId="77777777" w:rsidR="00281DEA" w:rsidRDefault="00281DEA" w:rsidP="00281DEA">
      <w:pPr>
        <w:pStyle w:val="BodyTextNumbered"/>
        <w:spacing w:before="240"/>
      </w:pPr>
      <w:r>
        <w:t>(1)</w:t>
      </w:r>
      <w:r>
        <w:tab/>
        <w:t>ERCOT shall allocate the total FFSS capacity and fuel replacement payment to the QSEs representing Loads based on an hourly LRS.  The resulting charge to each QSE for a given hour is calculated as follows:</w:t>
      </w:r>
    </w:p>
    <w:p w14:paraId="31F5FE67" w14:textId="77777777" w:rsidR="00281DEA" w:rsidRDefault="00281DEA" w:rsidP="00281DEA">
      <w:pPr>
        <w:pStyle w:val="FormulaBold"/>
      </w:pPr>
      <w:r>
        <w:lastRenderedPageBreak/>
        <w:t xml:space="preserve">LAFFSSAMT </w:t>
      </w:r>
      <w:r>
        <w:rPr>
          <w:i/>
          <w:vertAlign w:val="subscript"/>
        </w:rPr>
        <w:t>q</w:t>
      </w:r>
      <w:r>
        <w:tab/>
        <w:t>=</w:t>
      </w:r>
      <w:r>
        <w:tab/>
        <w:t xml:space="preserve">(-1) * FFSSAMTTOT * HLRS </w:t>
      </w:r>
      <w:r>
        <w:rPr>
          <w:i/>
          <w:vertAlign w:val="subscript"/>
        </w:rPr>
        <w:t>q</w:t>
      </w:r>
    </w:p>
    <w:p w14:paraId="452D7C30" w14:textId="77777777" w:rsidR="00281DEA" w:rsidRDefault="00281DEA" w:rsidP="00281DEA">
      <w:pPr>
        <w:pStyle w:val="BodyText"/>
      </w:pPr>
      <w:r>
        <w:t>Where:</w:t>
      </w:r>
    </w:p>
    <w:p w14:paraId="7D02198F" w14:textId="77777777" w:rsidR="00281DEA" w:rsidRDefault="00281DEA" w:rsidP="00281DEA">
      <w:pPr>
        <w:pStyle w:val="Formula"/>
        <w:ind w:left="2880" w:hanging="2160"/>
      </w:pPr>
      <w:r>
        <w:t>FFSSAMTTOT</w:t>
      </w:r>
      <w:r>
        <w:tab/>
        <w:t>=</w:t>
      </w:r>
      <w:r>
        <w:tab/>
      </w:r>
      <w:r w:rsidRPr="006F784F">
        <w:rPr>
          <w:position w:val="-22"/>
        </w:rPr>
        <w:object w:dxaOrig="255" w:dyaOrig="555" w14:anchorId="33BC6FC2">
          <v:shape id="_x0000_i1312" type="#_x0000_t75" style="width:12pt;height:30pt" o:ole="">
            <v:imagedata r:id="rId292" o:title=""/>
          </v:shape>
          <o:OLEObject Type="Embed" ProgID="Equation.3" ShapeID="_x0000_i1312" DrawAspect="Content" ObjectID="_1815025500" r:id="rId386"/>
        </w:object>
      </w:r>
      <w:r>
        <w:t xml:space="preserve">FFSSAMTQSETOT </w:t>
      </w:r>
      <w:r>
        <w:rPr>
          <w:i/>
          <w:vertAlign w:val="subscript"/>
        </w:rPr>
        <w:t>q</w:t>
      </w:r>
    </w:p>
    <w:p w14:paraId="549B7C7B" w14:textId="77777777" w:rsidR="00281DEA" w:rsidRDefault="00281DEA" w:rsidP="00281DEA">
      <w:r>
        <w:t>The above variables are defined as follows:</w:t>
      </w: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05"/>
        <w:gridCol w:w="7113"/>
      </w:tblGrid>
      <w:tr w:rsidR="00281DEA" w14:paraId="1E2292D9" w14:textId="77777777" w:rsidTr="00D90E98">
        <w:tc>
          <w:tcPr>
            <w:tcW w:w="1998" w:type="dxa"/>
          </w:tcPr>
          <w:p w14:paraId="6C036C7F" w14:textId="77777777" w:rsidR="00281DEA" w:rsidRDefault="00281DEA" w:rsidP="00D90E98">
            <w:pPr>
              <w:pStyle w:val="TableHead"/>
            </w:pPr>
            <w:r>
              <w:t>Variable</w:t>
            </w:r>
          </w:p>
        </w:tc>
        <w:tc>
          <w:tcPr>
            <w:tcW w:w="0" w:type="auto"/>
          </w:tcPr>
          <w:p w14:paraId="5A6640F7" w14:textId="77777777" w:rsidR="00281DEA" w:rsidRDefault="00281DEA" w:rsidP="00D90E98">
            <w:pPr>
              <w:pStyle w:val="TableHead"/>
            </w:pPr>
            <w:r>
              <w:t>Unit</w:t>
            </w:r>
          </w:p>
        </w:tc>
        <w:tc>
          <w:tcPr>
            <w:tcW w:w="0" w:type="auto"/>
          </w:tcPr>
          <w:p w14:paraId="1FD73540" w14:textId="77777777" w:rsidR="00281DEA" w:rsidRDefault="00281DEA" w:rsidP="00D90E98">
            <w:pPr>
              <w:pStyle w:val="TableHead"/>
            </w:pPr>
            <w:r>
              <w:t>Definition</w:t>
            </w:r>
          </w:p>
        </w:tc>
      </w:tr>
      <w:tr w:rsidR="00281DEA" w14:paraId="5AB0239A" w14:textId="77777777" w:rsidTr="00D90E98">
        <w:trPr>
          <w:cantSplit/>
        </w:trPr>
        <w:tc>
          <w:tcPr>
            <w:tcW w:w="1998" w:type="dxa"/>
          </w:tcPr>
          <w:p w14:paraId="2F6843F5" w14:textId="77777777" w:rsidR="00281DEA" w:rsidRDefault="00281DEA" w:rsidP="00D90E98">
            <w:pPr>
              <w:pStyle w:val="TableBody"/>
            </w:pPr>
            <w:r>
              <w:t xml:space="preserve">LAFFSSAMT </w:t>
            </w:r>
            <w:r w:rsidRPr="00E15B17">
              <w:rPr>
                <w:i/>
                <w:vertAlign w:val="subscript"/>
              </w:rPr>
              <w:t>q</w:t>
            </w:r>
          </w:p>
        </w:tc>
        <w:tc>
          <w:tcPr>
            <w:tcW w:w="0" w:type="auto"/>
          </w:tcPr>
          <w:p w14:paraId="4E03DF86" w14:textId="77777777" w:rsidR="00281DEA" w:rsidRDefault="00281DEA" w:rsidP="00D90E98">
            <w:pPr>
              <w:pStyle w:val="TableBody"/>
            </w:pPr>
            <w:r>
              <w:t>$</w:t>
            </w:r>
          </w:p>
        </w:tc>
        <w:tc>
          <w:tcPr>
            <w:tcW w:w="0" w:type="auto"/>
          </w:tcPr>
          <w:p w14:paraId="05A30980" w14:textId="77777777" w:rsidR="00281DEA" w:rsidRDefault="00281DEA" w:rsidP="00D90E98">
            <w:pPr>
              <w:pStyle w:val="TableBody"/>
            </w:pPr>
            <w:r>
              <w:rPr>
                <w:i/>
              </w:rPr>
              <w:t>Load-Allocated Firm Fuel Supply Service Amount per QSE</w:t>
            </w:r>
            <w:r>
              <w:t xml:space="preserve">—The charge allocated to QSE </w:t>
            </w:r>
            <w:r>
              <w:rPr>
                <w:i/>
              </w:rPr>
              <w:t>q</w:t>
            </w:r>
            <w:r>
              <w:t xml:space="preserve"> for the FFSS, for the hour.</w:t>
            </w:r>
          </w:p>
        </w:tc>
      </w:tr>
      <w:tr w:rsidR="00281DEA" w14:paraId="2BCCDB32" w14:textId="77777777" w:rsidTr="00D90E98">
        <w:trPr>
          <w:cantSplit/>
        </w:trPr>
        <w:tc>
          <w:tcPr>
            <w:tcW w:w="1998" w:type="dxa"/>
          </w:tcPr>
          <w:p w14:paraId="3252BC50" w14:textId="77777777" w:rsidR="00281DEA" w:rsidRDefault="00281DEA" w:rsidP="00D90E98">
            <w:pPr>
              <w:pStyle w:val="TableBody"/>
            </w:pPr>
            <w:r>
              <w:t xml:space="preserve">FFSSAMTQSETOT </w:t>
            </w:r>
            <w:r w:rsidRPr="00E15B17">
              <w:rPr>
                <w:i/>
                <w:iCs w:val="0"/>
                <w:vertAlign w:val="subscript"/>
              </w:rPr>
              <w:t>q</w:t>
            </w:r>
          </w:p>
        </w:tc>
        <w:tc>
          <w:tcPr>
            <w:tcW w:w="0" w:type="auto"/>
          </w:tcPr>
          <w:p w14:paraId="2B0F1C16" w14:textId="77777777" w:rsidR="00281DEA" w:rsidRDefault="00281DEA" w:rsidP="00D90E98">
            <w:pPr>
              <w:pStyle w:val="TableBody"/>
            </w:pPr>
            <w:r>
              <w:t>$</w:t>
            </w:r>
          </w:p>
        </w:tc>
        <w:tc>
          <w:tcPr>
            <w:tcW w:w="0" w:type="auto"/>
          </w:tcPr>
          <w:p w14:paraId="7DB5355B" w14:textId="77777777" w:rsidR="00281DEA" w:rsidRDefault="00281DEA" w:rsidP="00D90E98">
            <w:pPr>
              <w:pStyle w:val="TableBody"/>
            </w:pPr>
            <w:r>
              <w:rPr>
                <w:i/>
              </w:rPr>
              <w:t>Firm Fuel Supply Service Amount QSE Total per QSE</w:t>
            </w:r>
            <w:r>
              <w:sym w:font="Symbol" w:char="F0BE"/>
            </w:r>
            <w:r>
              <w:t xml:space="preserve">The total of the payments to QSE </w:t>
            </w:r>
            <w:r>
              <w:rPr>
                <w:i/>
              </w:rPr>
              <w:t>q</w:t>
            </w:r>
            <w:r>
              <w:t xml:space="preserve"> for FFSS provided by all the FFSSRs represented by this QSE for the hour.</w:t>
            </w:r>
          </w:p>
        </w:tc>
      </w:tr>
      <w:tr w:rsidR="00281DEA" w14:paraId="28EA32F9" w14:textId="77777777" w:rsidTr="00D90E98">
        <w:trPr>
          <w:cantSplit/>
        </w:trPr>
        <w:tc>
          <w:tcPr>
            <w:tcW w:w="1998" w:type="dxa"/>
          </w:tcPr>
          <w:p w14:paraId="6D01DFCF" w14:textId="77777777" w:rsidR="00281DEA" w:rsidRDefault="00281DEA" w:rsidP="00D90E98">
            <w:pPr>
              <w:pStyle w:val="TableBody"/>
            </w:pPr>
            <w:r>
              <w:t>FFSSAMTTOT</w:t>
            </w:r>
          </w:p>
        </w:tc>
        <w:tc>
          <w:tcPr>
            <w:tcW w:w="0" w:type="auto"/>
          </w:tcPr>
          <w:p w14:paraId="7BF3EF72" w14:textId="77777777" w:rsidR="00281DEA" w:rsidRDefault="00281DEA" w:rsidP="00D90E98">
            <w:pPr>
              <w:pStyle w:val="TableBody"/>
            </w:pPr>
            <w:r>
              <w:t>$</w:t>
            </w:r>
          </w:p>
        </w:tc>
        <w:tc>
          <w:tcPr>
            <w:tcW w:w="0" w:type="auto"/>
          </w:tcPr>
          <w:p w14:paraId="5835F44E" w14:textId="77777777" w:rsidR="00281DEA" w:rsidRDefault="00281DEA" w:rsidP="00D90E98">
            <w:pPr>
              <w:pStyle w:val="TableBody"/>
            </w:pPr>
            <w:r>
              <w:rPr>
                <w:i/>
              </w:rPr>
              <w:t>Firm Fuel Supply Service Amount QSE Total ERCOT-Wide—</w:t>
            </w:r>
            <w:r>
              <w:t>The total of the payments to all QSEs for FFSS for the hour.</w:t>
            </w:r>
          </w:p>
        </w:tc>
      </w:tr>
      <w:tr w:rsidR="00281DEA" w14:paraId="7C6DF40C" w14:textId="77777777" w:rsidTr="00D90E98">
        <w:trPr>
          <w:cantSplit/>
        </w:trPr>
        <w:tc>
          <w:tcPr>
            <w:tcW w:w="1998" w:type="dxa"/>
          </w:tcPr>
          <w:p w14:paraId="3BB23DBE" w14:textId="77777777" w:rsidR="00281DEA" w:rsidRDefault="00281DEA" w:rsidP="00D90E98">
            <w:pPr>
              <w:pStyle w:val="TableBody"/>
            </w:pPr>
            <w:r>
              <w:t xml:space="preserve">HLRS </w:t>
            </w:r>
            <w:r w:rsidRPr="00E15B17">
              <w:rPr>
                <w:i/>
                <w:vertAlign w:val="subscript"/>
              </w:rPr>
              <w:t>q</w:t>
            </w:r>
          </w:p>
        </w:tc>
        <w:tc>
          <w:tcPr>
            <w:tcW w:w="0" w:type="auto"/>
          </w:tcPr>
          <w:p w14:paraId="3FF78035" w14:textId="77777777" w:rsidR="00281DEA" w:rsidRDefault="00281DEA" w:rsidP="00D90E98">
            <w:pPr>
              <w:pStyle w:val="TableBody"/>
            </w:pPr>
            <w:r>
              <w:t>none</w:t>
            </w:r>
          </w:p>
        </w:tc>
        <w:tc>
          <w:tcPr>
            <w:tcW w:w="0" w:type="auto"/>
          </w:tcPr>
          <w:p w14:paraId="14FE5776" w14:textId="77777777" w:rsidR="00281DEA" w:rsidRDefault="00281DEA" w:rsidP="00D90E98">
            <w:pPr>
              <w:pStyle w:val="TableBody"/>
            </w:pPr>
            <w:r>
              <w:t xml:space="preserve">The hourly LRS calculated for QSE </w:t>
            </w:r>
            <w:r>
              <w:rPr>
                <w:i/>
              </w:rPr>
              <w:t>q</w:t>
            </w:r>
            <w:r>
              <w:t xml:space="preserve"> for the hour.  See Section 6.6.2.4, QSE Load Ratio Share for an Operating Hour.</w:t>
            </w:r>
          </w:p>
        </w:tc>
      </w:tr>
      <w:tr w:rsidR="00281DEA" w14:paraId="34B30D92" w14:textId="77777777" w:rsidTr="00D90E98">
        <w:trPr>
          <w:cantSplit/>
        </w:trPr>
        <w:tc>
          <w:tcPr>
            <w:tcW w:w="1998" w:type="dxa"/>
            <w:tcBorders>
              <w:top w:val="single" w:sz="4" w:space="0" w:color="auto"/>
              <w:left w:val="single" w:sz="4" w:space="0" w:color="auto"/>
              <w:bottom w:val="single" w:sz="4" w:space="0" w:color="auto"/>
              <w:right w:val="single" w:sz="4" w:space="0" w:color="auto"/>
            </w:tcBorders>
          </w:tcPr>
          <w:p w14:paraId="21387AAE" w14:textId="77777777" w:rsidR="00281DEA" w:rsidRPr="00E15B17" w:rsidRDefault="00281DEA" w:rsidP="00D90E98">
            <w:pPr>
              <w:pStyle w:val="TableBody"/>
              <w:rPr>
                <w:i/>
              </w:rPr>
            </w:pPr>
            <w:r>
              <w:rPr>
                <w:i/>
              </w:rPr>
              <w:t>q</w:t>
            </w:r>
          </w:p>
        </w:tc>
        <w:tc>
          <w:tcPr>
            <w:tcW w:w="0" w:type="auto"/>
            <w:tcBorders>
              <w:top w:val="single" w:sz="4" w:space="0" w:color="auto"/>
              <w:left w:val="single" w:sz="4" w:space="0" w:color="auto"/>
              <w:bottom w:val="single" w:sz="4" w:space="0" w:color="auto"/>
              <w:right w:val="single" w:sz="4" w:space="0" w:color="auto"/>
            </w:tcBorders>
          </w:tcPr>
          <w:p w14:paraId="0EC724AE" w14:textId="77777777" w:rsidR="00281DEA" w:rsidRDefault="00281DEA" w:rsidP="00D90E98">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08D6D4EC" w14:textId="77777777" w:rsidR="00281DEA" w:rsidRDefault="00281DEA" w:rsidP="00D90E98">
            <w:pPr>
              <w:pStyle w:val="TableBody"/>
            </w:pPr>
            <w:r>
              <w:t>A QSE.</w:t>
            </w:r>
          </w:p>
        </w:tc>
      </w:tr>
    </w:tbl>
    <w:p w14:paraId="6E93B2C8" w14:textId="77777777" w:rsidR="001F04FD" w:rsidRDefault="001F04FD" w:rsidP="001F04FD">
      <w:pPr>
        <w:pStyle w:val="H2"/>
        <w:spacing w:before="480"/>
        <w:ind w:left="907" w:hanging="907"/>
      </w:pPr>
      <w:bookmarkStart w:id="2676" w:name="_Toc204411740"/>
      <w:r>
        <w:t>6.7</w:t>
      </w:r>
      <w:r>
        <w:tab/>
        <w:t>Real-Time Settlement Calculations for the Ancillary Services</w:t>
      </w:r>
      <w:bookmarkEnd w:id="2592"/>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76"/>
    </w:p>
    <w:p w14:paraId="333EA3C2" w14:textId="77777777" w:rsidR="001F04FD" w:rsidRDefault="001F04FD" w:rsidP="001F04FD">
      <w:pPr>
        <w:pStyle w:val="H3"/>
      </w:pPr>
      <w:bookmarkStart w:id="2677" w:name="_Toc109009423"/>
      <w:bookmarkStart w:id="2678" w:name="_Toc397505046"/>
      <w:bookmarkStart w:id="2679" w:name="_Toc402357178"/>
      <w:bookmarkStart w:id="2680" w:name="_Toc422486558"/>
      <w:bookmarkStart w:id="2681" w:name="_Toc433093411"/>
      <w:bookmarkStart w:id="2682" w:name="_Toc433093569"/>
      <w:bookmarkStart w:id="2683" w:name="_Toc440874799"/>
      <w:bookmarkStart w:id="2684" w:name="_Toc448142356"/>
      <w:bookmarkStart w:id="2685" w:name="_Toc448142513"/>
      <w:bookmarkStart w:id="2686" w:name="_Toc458770354"/>
      <w:bookmarkStart w:id="2687" w:name="_Toc459294322"/>
      <w:bookmarkStart w:id="2688" w:name="_Toc463262816"/>
      <w:bookmarkStart w:id="2689" w:name="_Toc468286889"/>
      <w:bookmarkStart w:id="2690" w:name="_Toc481502929"/>
      <w:bookmarkStart w:id="2691" w:name="_Toc496080097"/>
      <w:bookmarkStart w:id="2692" w:name="_Toc204411741"/>
      <w:r>
        <w:t>6.7.1</w:t>
      </w:r>
      <w:r>
        <w:tab/>
        <w:t>Payments for Ancillary Service Capacity Sold in a Supplemental Ancillary Services Market</w:t>
      </w:r>
      <w:bookmarkEnd w:id="2677"/>
      <w:bookmarkEnd w:id="2678"/>
      <w:bookmarkEnd w:id="2679"/>
      <w:bookmarkEnd w:id="2680"/>
      <w:r>
        <w:t xml:space="preserve"> (SASM) </w:t>
      </w:r>
      <w:r w:rsidRPr="00671790">
        <w:t>or Reconfiguration Supplemental Ancillary Services Market (RSASM)</w:t>
      </w:r>
      <w:bookmarkEnd w:id="2681"/>
      <w:bookmarkEnd w:id="2682"/>
      <w:bookmarkEnd w:id="2683"/>
      <w:bookmarkEnd w:id="2684"/>
      <w:bookmarkEnd w:id="2685"/>
      <w:bookmarkEnd w:id="2686"/>
      <w:bookmarkEnd w:id="2687"/>
      <w:bookmarkEnd w:id="2688"/>
      <w:bookmarkEnd w:id="2689"/>
      <w:bookmarkEnd w:id="2690"/>
      <w:bookmarkEnd w:id="2691"/>
      <w:bookmarkEnd w:id="2692"/>
    </w:p>
    <w:p w14:paraId="051D221F" w14:textId="77777777" w:rsidR="001F04FD" w:rsidRDefault="001F04FD" w:rsidP="001F04FD">
      <w:pPr>
        <w:pStyle w:val="BodyText"/>
        <w:ind w:left="720" w:hanging="720"/>
      </w:pPr>
      <w:r>
        <w:t>(1)</w:t>
      </w:r>
      <w:r>
        <w:tab/>
        <w:t xml:space="preserve">If a Supplemental Ancillary Services Market (SASM) </w:t>
      </w:r>
      <w:r w:rsidRPr="00671790">
        <w:t xml:space="preserve">or a Reconfiguration Supplemental Ancillary Services Market (RSASM) </w:t>
      </w:r>
      <w:r>
        <w:t>is executed for one or more Operating Hours for any reason, ERCOT shall pay Qualified Scheduling Entities (QSEs) for their Ancillary Service Offers cleared in the SASM</w:t>
      </w:r>
      <w:r w:rsidRPr="00671790">
        <w:t xml:space="preserve"> or RSASM</w:t>
      </w:r>
      <w:r>
        <w:t>, based on the Market Clearing Price for Capacity (MCPC) for that SASM</w:t>
      </w:r>
      <w:r w:rsidRPr="00671790">
        <w:t xml:space="preserve"> or RSASM</w:t>
      </w:r>
      <w:r>
        <w:t xml:space="preserve"> and that service.  By service and by SASM</w:t>
      </w:r>
      <w:r w:rsidRPr="00671790">
        <w:t xml:space="preserve"> or RSASM</w:t>
      </w:r>
      <w:r>
        <w:t>, the payment to each QSE for a given Operating Hour is calculated as follows:</w:t>
      </w:r>
    </w:p>
    <w:p w14:paraId="49B2AE2B" w14:textId="69ECDC14" w:rsidR="001F04FD" w:rsidRDefault="001F04FD" w:rsidP="001F04FD">
      <w:pPr>
        <w:pStyle w:val="BodyTextNumbered"/>
        <w:ind w:left="1440"/>
      </w:pPr>
      <w:r>
        <w:t>(a)</w:t>
      </w:r>
      <w:r>
        <w:tab/>
        <w:t>For Regulation Up</w:t>
      </w:r>
      <w:r w:rsidR="00F510E2">
        <w:t xml:space="preserve"> Service</w:t>
      </w:r>
      <w:r>
        <w:t xml:space="preserve"> (Reg-Up), if applicable:</w:t>
      </w:r>
    </w:p>
    <w:p w14:paraId="66D07638" w14:textId="77777777" w:rsidR="001F04FD" w:rsidRDefault="001F04FD" w:rsidP="001F04FD">
      <w:pPr>
        <w:pStyle w:val="FormulaBold"/>
        <w:rPr>
          <w:i/>
          <w:vertAlign w:val="subscript"/>
        </w:rPr>
      </w:pPr>
      <w:r>
        <w:t xml:space="preserve">RTPCRUAMT </w:t>
      </w:r>
      <w:r>
        <w:rPr>
          <w:i/>
          <w:vertAlign w:val="subscript"/>
        </w:rPr>
        <w:t>q, m</w:t>
      </w:r>
      <w:r>
        <w:tab/>
        <w:t>=</w:t>
      </w:r>
      <w:r>
        <w:tab/>
        <w:t xml:space="preserve">(-1) * MCPCRU </w:t>
      </w:r>
      <w:r>
        <w:rPr>
          <w:i/>
          <w:vertAlign w:val="subscript"/>
        </w:rPr>
        <w:t>m</w:t>
      </w:r>
      <w:r>
        <w:t xml:space="preserve"> * RTPCRU </w:t>
      </w:r>
      <w:r>
        <w:rPr>
          <w:i/>
          <w:vertAlign w:val="subscript"/>
        </w:rPr>
        <w:t>q, m</w:t>
      </w:r>
    </w:p>
    <w:p w14:paraId="665430F0" w14:textId="77777777" w:rsidR="001F04FD" w:rsidRDefault="001F04FD" w:rsidP="001F04FD">
      <w:pPr>
        <w:pStyle w:val="BodyText"/>
        <w:rPr>
          <w:lang w:val="pt-BR"/>
        </w:rPr>
      </w:pPr>
      <w:r>
        <w:rPr>
          <w:lang w:val="pt-BR"/>
        </w:rPr>
        <w:t>Where:</w:t>
      </w:r>
    </w:p>
    <w:p w14:paraId="46E644EC" w14:textId="77777777" w:rsidR="001F04FD" w:rsidRDefault="001F04FD" w:rsidP="001F04FD">
      <w:pPr>
        <w:pStyle w:val="Formula"/>
        <w:ind w:left="2880" w:hanging="2160"/>
        <w:rPr>
          <w:lang w:val="pt-BR"/>
        </w:rPr>
      </w:pPr>
      <w:r>
        <w:rPr>
          <w:lang w:val="pt-BR"/>
        </w:rPr>
        <w:t xml:space="preserve">RTPCRU </w:t>
      </w:r>
      <w:r>
        <w:rPr>
          <w:i/>
          <w:vertAlign w:val="subscript"/>
          <w:lang w:val="pt-BR"/>
        </w:rPr>
        <w:t>q,</w:t>
      </w:r>
      <w:r>
        <w:rPr>
          <w:vertAlign w:val="subscript"/>
          <w:lang w:val="pt-BR"/>
        </w:rPr>
        <w:t xml:space="preserve"> </w:t>
      </w:r>
      <w:r>
        <w:rPr>
          <w:i/>
          <w:vertAlign w:val="subscript"/>
          <w:lang w:val="pt-BR"/>
        </w:rPr>
        <w:t>m</w:t>
      </w:r>
      <w:r>
        <w:rPr>
          <w:lang w:val="pt-BR"/>
        </w:rPr>
        <w:tab/>
        <w:t>=</w:t>
      </w:r>
      <w:r>
        <w:rPr>
          <w:lang w:val="pt-BR"/>
        </w:rPr>
        <w:tab/>
      </w:r>
      <w:r w:rsidRPr="006F784F">
        <w:rPr>
          <w:position w:val="-18"/>
        </w:rPr>
        <w:object w:dxaOrig="225" w:dyaOrig="420" w14:anchorId="3132AEA5">
          <v:shape id="_x0000_i1313" type="#_x0000_t75" style="width:12pt;height:24pt" o:ole="">
            <v:imagedata r:id="rId387" o:title=""/>
          </v:shape>
          <o:OLEObject Type="Embed" ProgID="Equation.3" ShapeID="_x0000_i1313" DrawAspect="Content" ObjectID="_1815025501" r:id="rId388"/>
        </w:object>
      </w:r>
      <w:r>
        <w:rPr>
          <w:lang w:val="pt-BR"/>
        </w:rPr>
        <w:t>PCRUR</w:t>
      </w:r>
      <w:r>
        <w:rPr>
          <w:i/>
          <w:lang w:val="pt-BR"/>
        </w:rPr>
        <w:t xml:space="preserve"> </w:t>
      </w:r>
      <w:r>
        <w:rPr>
          <w:i/>
          <w:vertAlign w:val="subscript"/>
          <w:lang w:val="pt-BR"/>
        </w:rPr>
        <w:t xml:space="preserve"> q, r, m</w:t>
      </w:r>
    </w:p>
    <w:p w14:paraId="0AEEF47E" w14:textId="77777777" w:rsidR="001F04FD" w:rsidRDefault="001F04FD" w:rsidP="001F04FD">
      <w:r>
        <w:t>The above variables are defined as follows: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948"/>
        <w:gridCol w:w="6948"/>
      </w:tblGrid>
      <w:tr w:rsidR="001F04FD" w14:paraId="46CEE39F" w14:textId="77777777" w:rsidTr="00AC4DEE">
        <w:trPr>
          <w:cantSplit/>
          <w:tblHeader/>
        </w:trPr>
        <w:tc>
          <w:tcPr>
            <w:tcW w:w="1565" w:type="dxa"/>
          </w:tcPr>
          <w:p w14:paraId="0C2648B0" w14:textId="77777777" w:rsidR="001F04FD" w:rsidRDefault="001F04FD" w:rsidP="00AC4DEE">
            <w:pPr>
              <w:pStyle w:val="TableHead"/>
            </w:pPr>
            <w:r>
              <w:t>Variable</w:t>
            </w:r>
          </w:p>
        </w:tc>
        <w:tc>
          <w:tcPr>
            <w:tcW w:w="948" w:type="dxa"/>
          </w:tcPr>
          <w:p w14:paraId="33BF4348" w14:textId="77777777" w:rsidR="001F04FD" w:rsidRDefault="001F04FD" w:rsidP="00AC4DEE">
            <w:pPr>
              <w:pStyle w:val="TableHead"/>
            </w:pPr>
            <w:r>
              <w:t>Unit</w:t>
            </w:r>
          </w:p>
        </w:tc>
        <w:tc>
          <w:tcPr>
            <w:tcW w:w="6948" w:type="dxa"/>
          </w:tcPr>
          <w:p w14:paraId="4B84F59A" w14:textId="77777777" w:rsidR="001F04FD" w:rsidRDefault="001F04FD" w:rsidP="00AC4DEE">
            <w:pPr>
              <w:pStyle w:val="TableHead"/>
            </w:pPr>
            <w:r>
              <w:t>Description</w:t>
            </w:r>
          </w:p>
        </w:tc>
      </w:tr>
      <w:tr w:rsidR="001F04FD" w14:paraId="6B5AC5D0" w14:textId="77777777" w:rsidTr="00AC4DEE">
        <w:trPr>
          <w:cantSplit/>
        </w:trPr>
        <w:tc>
          <w:tcPr>
            <w:tcW w:w="1565" w:type="dxa"/>
          </w:tcPr>
          <w:p w14:paraId="09FF19F7" w14:textId="77777777" w:rsidR="001F04FD" w:rsidRDefault="001F04FD" w:rsidP="00AC4DEE">
            <w:pPr>
              <w:pStyle w:val="TableBody"/>
            </w:pPr>
            <w:r>
              <w:t xml:space="preserve">RTPCRUAMT </w:t>
            </w:r>
            <w:r w:rsidRPr="00C26BA9">
              <w:rPr>
                <w:i/>
                <w:vertAlign w:val="subscript"/>
              </w:rPr>
              <w:t>q, m</w:t>
            </w:r>
          </w:p>
        </w:tc>
        <w:tc>
          <w:tcPr>
            <w:tcW w:w="948" w:type="dxa"/>
          </w:tcPr>
          <w:p w14:paraId="1A93CBFC" w14:textId="77777777" w:rsidR="001F04FD" w:rsidRDefault="001F04FD" w:rsidP="00AC4DEE">
            <w:pPr>
              <w:pStyle w:val="TableBody"/>
            </w:pPr>
            <w:r>
              <w:t>$</w:t>
            </w:r>
          </w:p>
        </w:tc>
        <w:tc>
          <w:tcPr>
            <w:tcW w:w="6948" w:type="dxa"/>
          </w:tcPr>
          <w:p w14:paraId="33053F51" w14:textId="77777777" w:rsidR="001F04FD" w:rsidRDefault="001F04FD" w:rsidP="00AC4DEE">
            <w:pPr>
              <w:pStyle w:val="TableBody"/>
            </w:pPr>
            <w:r>
              <w:rPr>
                <w:i/>
              </w:rPr>
              <w:t>Procured Capacity for Reg-Up Amount by QSE by market</w:t>
            </w:r>
            <w:r>
              <w:t xml:space="preserve">—The payment to QSE </w:t>
            </w:r>
            <w:r>
              <w:rPr>
                <w:i/>
              </w:rPr>
              <w:t>q</w:t>
            </w:r>
            <w:r>
              <w:t xml:space="preserve"> for the Ancillary Service Offers cleared in the market </w:t>
            </w:r>
            <w:r>
              <w:rPr>
                <w:i/>
              </w:rPr>
              <w:t>m</w:t>
            </w:r>
            <w:r>
              <w:t xml:space="preserve"> to provide Reg-Up, for the hour.</w:t>
            </w:r>
          </w:p>
        </w:tc>
      </w:tr>
      <w:tr w:rsidR="001F04FD" w14:paraId="2ABE32DA"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1463B008" w14:textId="77777777" w:rsidR="001F04FD" w:rsidRDefault="001F04FD" w:rsidP="00AC4DEE">
            <w:pPr>
              <w:pStyle w:val="TableBody"/>
            </w:pPr>
            <w:r>
              <w:lastRenderedPageBreak/>
              <w:t xml:space="preserve">MCPCRU </w:t>
            </w:r>
            <w:r w:rsidRPr="00C26BA9">
              <w:rPr>
                <w:i/>
                <w:vertAlign w:val="subscript"/>
              </w:rPr>
              <w:t>m</w:t>
            </w:r>
          </w:p>
        </w:tc>
        <w:tc>
          <w:tcPr>
            <w:tcW w:w="948" w:type="dxa"/>
            <w:tcBorders>
              <w:top w:val="single" w:sz="4" w:space="0" w:color="auto"/>
              <w:left w:val="single" w:sz="4" w:space="0" w:color="auto"/>
              <w:bottom w:val="single" w:sz="4" w:space="0" w:color="auto"/>
              <w:right w:val="single" w:sz="4" w:space="0" w:color="auto"/>
            </w:tcBorders>
          </w:tcPr>
          <w:p w14:paraId="4F64D2EF" w14:textId="77777777" w:rsidR="001F04FD" w:rsidRDefault="001F04FD" w:rsidP="00AC4DEE">
            <w:pPr>
              <w:pStyle w:val="TableBody"/>
            </w:pPr>
            <w:r>
              <w:t>$/MW per hour</w:t>
            </w:r>
          </w:p>
        </w:tc>
        <w:tc>
          <w:tcPr>
            <w:tcW w:w="6948" w:type="dxa"/>
            <w:tcBorders>
              <w:top w:val="single" w:sz="4" w:space="0" w:color="auto"/>
              <w:left w:val="single" w:sz="4" w:space="0" w:color="auto"/>
              <w:bottom w:val="single" w:sz="4" w:space="0" w:color="auto"/>
              <w:right w:val="single" w:sz="4" w:space="0" w:color="auto"/>
            </w:tcBorders>
          </w:tcPr>
          <w:p w14:paraId="69FD0538" w14:textId="77777777" w:rsidR="001F04FD" w:rsidRDefault="001F04FD" w:rsidP="00AC4DEE">
            <w:pPr>
              <w:pStyle w:val="TableBody"/>
              <w:rPr>
                <w:i/>
              </w:rPr>
            </w:pPr>
            <w:r>
              <w:rPr>
                <w:i/>
              </w:rPr>
              <w:t>Market Clearing Price for Capacity for Reg-Up by market—</w:t>
            </w:r>
            <w:r>
              <w:t xml:space="preserve">The MCPC for Reg-Up from the market </w:t>
            </w:r>
            <w:r>
              <w:rPr>
                <w:i/>
              </w:rPr>
              <w:t>m</w:t>
            </w:r>
            <w:r>
              <w:t>, for the hour.</w:t>
            </w:r>
          </w:p>
        </w:tc>
      </w:tr>
      <w:tr w:rsidR="001F04FD" w14:paraId="360B10B7"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5DB1922F" w14:textId="77777777" w:rsidR="001F04FD" w:rsidRDefault="001F04FD" w:rsidP="00AC4DEE">
            <w:pPr>
              <w:pStyle w:val="TableBody"/>
            </w:pPr>
            <w:r>
              <w:t xml:space="preserve">RTPCRU </w:t>
            </w:r>
            <w:r w:rsidRPr="00C26BA9">
              <w:rPr>
                <w:i/>
                <w:vertAlign w:val="subscript"/>
              </w:rPr>
              <w:t>q, m</w:t>
            </w:r>
          </w:p>
        </w:tc>
        <w:tc>
          <w:tcPr>
            <w:tcW w:w="948" w:type="dxa"/>
            <w:tcBorders>
              <w:top w:val="single" w:sz="4" w:space="0" w:color="auto"/>
              <w:left w:val="single" w:sz="4" w:space="0" w:color="auto"/>
              <w:bottom w:val="single" w:sz="4" w:space="0" w:color="auto"/>
              <w:right w:val="single" w:sz="4" w:space="0" w:color="auto"/>
            </w:tcBorders>
          </w:tcPr>
          <w:p w14:paraId="00420FBC" w14:textId="77777777" w:rsidR="001F04FD" w:rsidRDefault="001F04FD" w:rsidP="00AC4DEE">
            <w:pPr>
              <w:pStyle w:val="TableBody"/>
            </w:pPr>
            <w:r>
              <w:t>MW</w:t>
            </w:r>
          </w:p>
        </w:tc>
        <w:tc>
          <w:tcPr>
            <w:tcW w:w="6948" w:type="dxa"/>
            <w:tcBorders>
              <w:top w:val="single" w:sz="4" w:space="0" w:color="auto"/>
              <w:left w:val="single" w:sz="4" w:space="0" w:color="auto"/>
              <w:bottom w:val="single" w:sz="4" w:space="0" w:color="auto"/>
              <w:right w:val="single" w:sz="4" w:space="0" w:color="auto"/>
            </w:tcBorders>
          </w:tcPr>
          <w:p w14:paraId="0162600A" w14:textId="77777777" w:rsidR="001F04FD" w:rsidRDefault="001F04FD" w:rsidP="00AC4DEE">
            <w:pPr>
              <w:pStyle w:val="TableBody"/>
              <w:rPr>
                <w:i/>
              </w:rPr>
            </w:pPr>
            <w:r>
              <w:rPr>
                <w:i/>
              </w:rPr>
              <w:t>Procured Capacity for Reg-Up by QSE by market—</w:t>
            </w:r>
            <w:r>
              <w:t xml:space="preserve">The portion of QSE </w:t>
            </w:r>
            <w:r>
              <w:rPr>
                <w:i/>
              </w:rPr>
              <w:t>q</w:t>
            </w:r>
            <w:r>
              <w:t xml:space="preserve">’s Ancillary Service Offers cleared in the market </w:t>
            </w:r>
            <w:r>
              <w:rPr>
                <w:i/>
              </w:rPr>
              <w:t>m</w:t>
            </w:r>
            <w:r>
              <w:t xml:space="preserve"> to provide Reg-Up, for the hour.</w:t>
            </w:r>
          </w:p>
        </w:tc>
      </w:tr>
      <w:tr w:rsidR="001F04FD" w14:paraId="4A66303E"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618CFD5B" w14:textId="77777777" w:rsidR="001F04FD" w:rsidRDefault="001F04FD" w:rsidP="00AC4DEE">
            <w:pPr>
              <w:pStyle w:val="TableBody"/>
            </w:pPr>
            <w:r>
              <w:t xml:space="preserve">PCRUR </w:t>
            </w:r>
            <w:r w:rsidRPr="00C26BA9">
              <w:rPr>
                <w:i/>
                <w:vertAlign w:val="subscript"/>
              </w:rPr>
              <w:t>q, r, m</w:t>
            </w:r>
          </w:p>
        </w:tc>
        <w:tc>
          <w:tcPr>
            <w:tcW w:w="948" w:type="dxa"/>
            <w:tcBorders>
              <w:top w:val="single" w:sz="4" w:space="0" w:color="auto"/>
              <w:left w:val="single" w:sz="4" w:space="0" w:color="auto"/>
              <w:bottom w:val="single" w:sz="4" w:space="0" w:color="auto"/>
              <w:right w:val="single" w:sz="4" w:space="0" w:color="auto"/>
            </w:tcBorders>
          </w:tcPr>
          <w:p w14:paraId="78E0660B" w14:textId="77777777" w:rsidR="001F04FD" w:rsidRDefault="001F04FD" w:rsidP="00AC4DEE">
            <w:pPr>
              <w:pStyle w:val="TableBody"/>
            </w:pPr>
            <w:r>
              <w:t>MW</w:t>
            </w:r>
          </w:p>
        </w:tc>
        <w:tc>
          <w:tcPr>
            <w:tcW w:w="6948" w:type="dxa"/>
            <w:tcBorders>
              <w:top w:val="single" w:sz="4" w:space="0" w:color="auto"/>
              <w:left w:val="single" w:sz="4" w:space="0" w:color="auto"/>
              <w:bottom w:val="single" w:sz="4" w:space="0" w:color="auto"/>
              <w:right w:val="single" w:sz="4" w:space="0" w:color="auto"/>
            </w:tcBorders>
          </w:tcPr>
          <w:p w14:paraId="53B7B9F8" w14:textId="77777777" w:rsidR="001F04FD" w:rsidRDefault="001F04FD" w:rsidP="00AC4DEE">
            <w:pPr>
              <w:pStyle w:val="TableBody"/>
            </w:pPr>
            <w:r>
              <w:rPr>
                <w:i/>
              </w:rPr>
              <w:t>Procured Capacity for Reg-Up from Resource per Resource per QSE by market</w:t>
            </w:r>
            <w:r>
              <w:t xml:space="preserve">—The Reg-Up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7B2F5C03"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4D55897F" w14:textId="77777777" w:rsidR="001F04FD" w:rsidRPr="00C26BA9" w:rsidRDefault="001F04FD" w:rsidP="00AC4DEE">
            <w:pPr>
              <w:pStyle w:val="TableBody"/>
              <w:rPr>
                <w:i/>
              </w:rPr>
            </w:pPr>
            <w:r w:rsidRPr="00C26BA9">
              <w:rPr>
                <w:i/>
              </w:rPr>
              <w:t>m</w:t>
            </w:r>
          </w:p>
        </w:tc>
        <w:tc>
          <w:tcPr>
            <w:tcW w:w="948" w:type="dxa"/>
            <w:tcBorders>
              <w:top w:val="single" w:sz="4" w:space="0" w:color="auto"/>
              <w:left w:val="single" w:sz="4" w:space="0" w:color="auto"/>
              <w:bottom w:val="single" w:sz="4" w:space="0" w:color="auto"/>
              <w:right w:val="single" w:sz="4" w:space="0" w:color="auto"/>
            </w:tcBorders>
          </w:tcPr>
          <w:p w14:paraId="6588B835" w14:textId="77777777" w:rsidR="001F04FD" w:rsidRDefault="001F04FD" w:rsidP="00AC4DEE">
            <w:pPr>
              <w:pStyle w:val="TableBody"/>
            </w:pPr>
            <w:r>
              <w:t>none</w:t>
            </w:r>
          </w:p>
        </w:tc>
        <w:tc>
          <w:tcPr>
            <w:tcW w:w="6948" w:type="dxa"/>
            <w:tcBorders>
              <w:top w:val="single" w:sz="4" w:space="0" w:color="auto"/>
              <w:left w:val="single" w:sz="4" w:space="0" w:color="auto"/>
              <w:bottom w:val="single" w:sz="4" w:space="0" w:color="auto"/>
              <w:right w:val="single" w:sz="4" w:space="0" w:color="auto"/>
            </w:tcBorders>
          </w:tcPr>
          <w:p w14:paraId="490FB8BF" w14:textId="77777777" w:rsidR="001F04FD" w:rsidRDefault="001F04FD" w:rsidP="00AC4DEE">
            <w:pPr>
              <w:pStyle w:val="TableBody"/>
            </w:pPr>
            <w:r>
              <w:t>An Ancillary Service market (SASM</w:t>
            </w:r>
            <w:r w:rsidRPr="00671790">
              <w:t xml:space="preserve"> or RSASM</w:t>
            </w:r>
            <w:r>
              <w:t>).</w:t>
            </w:r>
          </w:p>
        </w:tc>
      </w:tr>
      <w:tr w:rsidR="001F04FD" w14:paraId="06E9EDF8"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62E9DD1E" w14:textId="77777777" w:rsidR="001F04FD" w:rsidRPr="00C26BA9" w:rsidRDefault="001F04FD" w:rsidP="00AC4DEE">
            <w:pPr>
              <w:pStyle w:val="TableBody"/>
              <w:rPr>
                <w:i/>
              </w:rPr>
            </w:pPr>
            <w:r>
              <w:rPr>
                <w:i/>
              </w:rPr>
              <w:t>q</w:t>
            </w:r>
          </w:p>
        </w:tc>
        <w:tc>
          <w:tcPr>
            <w:tcW w:w="948" w:type="dxa"/>
            <w:tcBorders>
              <w:top w:val="single" w:sz="4" w:space="0" w:color="auto"/>
              <w:left w:val="single" w:sz="4" w:space="0" w:color="auto"/>
              <w:bottom w:val="single" w:sz="4" w:space="0" w:color="auto"/>
              <w:right w:val="single" w:sz="4" w:space="0" w:color="auto"/>
            </w:tcBorders>
          </w:tcPr>
          <w:p w14:paraId="40D4B5D2" w14:textId="77777777" w:rsidR="001F04FD" w:rsidRDefault="001F04FD" w:rsidP="00AC4DEE">
            <w:pPr>
              <w:pStyle w:val="TableBody"/>
            </w:pPr>
            <w:r>
              <w:t>none</w:t>
            </w:r>
          </w:p>
        </w:tc>
        <w:tc>
          <w:tcPr>
            <w:tcW w:w="6948" w:type="dxa"/>
            <w:tcBorders>
              <w:top w:val="single" w:sz="4" w:space="0" w:color="auto"/>
              <w:left w:val="single" w:sz="4" w:space="0" w:color="auto"/>
              <w:bottom w:val="single" w:sz="4" w:space="0" w:color="auto"/>
              <w:right w:val="single" w:sz="4" w:space="0" w:color="auto"/>
            </w:tcBorders>
          </w:tcPr>
          <w:p w14:paraId="3B4FFEAC" w14:textId="77777777" w:rsidR="001F04FD" w:rsidRDefault="001F04FD" w:rsidP="00AC4DEE">
            <w:pPr>
              <w:pStyle w:val="TableBody"/>
            </w:pPr>
            <w:r>
              <w:t>A QSE.</w:t>
            </w:r>
          </w:p>
        </w:tc>
      </w:tr>
      <w:tr w:rsidR="001F04FD" w14:paraId="40EA8D19"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575B02A2" w14:textId="77777777" w:rsidR="001F04FD" w:rsidRPr="00C26BA9" w:rsidRDefault="001F04FD" w:rsidP="00AC4DEE">
            <w:pPr>
              <w:pStyle w:val="TableBody"/>
              <w:rPr>
                <w:i/>
              </w:rPr>
            </w:pPr>
            <w:r>
              <w:rPr>
                <w:i/>
              </w:rPr>
              <w:t>r</w:t>
            </w:r>
          </w:p>
        </w:tc>
        <w:tc>
          <w:tcPr>
            <w:tcW w:w="948" w:type="dxa"/>
            <w:tcBorders>
              <w:top w:val="single" w:sz="4" w:space="0" w:color="auto"/>
              <w:left w:val="single" w:sz="4" w:space="0" w:color="auto"/>
              <w:bottom w:val="single" w:sz="4" w:space="0" w:color="auto"/>
              <w:right w:val="single" w:sz="4" w:space="0" w:color="auto"/>
            </w:tcBorders>
          </w:tcPr>
          <w:p w14:paraId="5980DBE3" w14:textId="77777777" w:rsidR="001F04FD" w:rsidRDefault="001F04FD" w:rsidP="00AC4DEE">
            <w:pPr>
              <w:pStyle w:val="TableBody"/>
            </w:pPr>
            <w:r>
              <w:t>none</w:t>
            </w:r>
          </w:p>
        </w:tc>
        <w:tc>
          <w:tcPr>
            <w:tcW w:w="6948" w:type="dxa"/>
            <w:tcBorders>
              <w:top w:val="single" w:sz="4" w:space="0" w:color="auto"/>
              <w:left w:val="single" w:sz="4" w:space="0" w:color="auto"/>
              <w:bottom w:val="single" w:sz="4" w:space="0" w:color="auto"/>
              <w:right w:val="single" w:sz="4" w:space="0" w:color="auto"/>
            </w:tcBorders>
          </w:tcPr>
          <w:p w14:paraId="3F8087E7" w14:textId="77777777" w:rsidR="001F04FD" w:rsidRDefault="001F04FD" w:rsidP="00AC4DEE">
            <w:pPr>
              <w:pStyle w:val="TableBody"/>
            </w:pPr>
            <w:r>
              <w:t>A Generation Resource.</w:t>
            </w:r>
          </w:p>
        </w:tc>
      </w:tr>
    </w:tbl>
    <w:p w14:paraId="0133CC4E" w14:textId="77777777" w:rsidR="001F04FD" w:rsidRDefault="001F04FD" w:rsidP="001F04FD"/>
    <w:p w14:paraId="3B31861B" w14:textId="2F028396" w:rsidR="001F04FD" w:rsidRDefault="001F04FD" w:rsidP="001F04FD">
      <w:pPr>
        <w:pStyle w:val="BodyTextNumbered"/>
        <w:ind w:left="1440"/>
      </w:pPr>
      <w:r>
        <w:t>(b)</w:t>
      </w:r>
      <w:r>
        <w:tab/>
        <w:t>For Regulation Down</w:t>
      </w:r>
      <w:r w:rsidR="00F510E2">
        <w:t xml:space="preserve"> Service</w:t>
      </w:r>
      <w:r>
        <w:t xml:space="preserve"> (Reg-Down), if applicable:</w:t>
      </w:r>
    </w:p>
    <w:p w14:paraId="75F2955F" w14:textId="77777777" w:rsidR="001F04FD" w:rsidRDefault="001F04FD" w:rsidP="001F04FD">
      <w:pPr>
        <w:pStyle w:val="FormulaBold"/>
      </w:pPr>
      <w:r>
        <w:t xml:space="preserve">RTPCRDAMT </w:t>
      </w:r>
      <w:r>
        <w:rPr>
          <w:i/>
          <w:vertAlign w:val="subscript"/>
        </w:rPr>
        <w:t>q, m</w:t>
      </w:r>
      <w:r>
        <w:tab/>
        <w:t>=</w:t>
      </w:r>
      <w:r>
        <w:tab/>
        <w:t xml:space="preserve">(-1) * MCPCRD </w:t>
      </w:r>
      <w:r>
        <w:rPr>
          <w:i/>
          <w:vertAlign w:val="subscript"/>
        </w:rPr>
        <w:t>m</w:t>
      </w:r>
      <w:r>
        <w:t xml:space="preserve"> * RTPCRD </w:t>
      </w:r>
      <w:r>
        <w:rPr>
          <w:i/>
          <w:vertAlign w:val="subscript"/>
        </w:rPr>
        <w:t>q, m</w:t>
      </w:r>
    </w:p>
    <w:p w14:paraId="76594177" w14:textId="77777777" w:rsidR="001F04FD" w:rsidRDefault="001F04FD" w:rsidP="001F04FD">
      <w:pPr>
        <w:pStyle w:val="BodyText"/>
      </w:pPr>
      <w:r>
        <w:t>Where:</w:t>
      </w:r>
    </w:p>
    <w:p w14:paraId="5931580F" w14:textId="77777777" w:rsidR="001F04FD" w:rsidRDefault="001F04FD" w:rsidP="001F04FD">
      <w:pPr>
        <w:pStyle w:val="Formula"/>
        <w:ind w:left="2880" w:hanging="2160"/>
      </w:pPr>
      <w:r>
        <w:t xml:space="preserve">RTPCRD </w:t>
      </w:r>
      <w:r>
        <w:rPr>
          <w:i/>
          <w:vertAlign w:val="subscript"/>
        </w:rPr>
        <w:t>q,</w:t>
      </w:r>
      <w:r>
        <w:rPr>
          <w:vertAlign w:val="subscript"/>
        </w:rPr>
        <w:t xml:space="preserve"> </w:t>
      </w:r>
      <w:r>
        <w:rPr>
          <w:i/>
          <w:vertAlign w:val="subscript"/>
        </w:rPr>
        <w:t>m</w:t>
      </w:r>
      <w:r>
        <w:tab/>
        <w:t>=</w:t>
      </w:r>
      <w:r>
        <w:tab/>
      </w:r>
      <w:r w:rsidRPr="006F784F">
        <w:rPr>
          <w:position w:val="-18"/>
        </w:rPr>
        <w:object w:dxaOrig="225" w:dyaOrig="420" w14:anchorId="0062C54A">
          <v:shape id="_x0000_i1314" type="#_x0000_t75" style="width:12pt;height:24pt" o:ole="">
            <v:imagedata r:id="rId387" o:title=""/>
          </v:shape>
          <o:OLEObject Type="Embed" ProgID="Equation.3" ShapeID="_x0000_i1314" DrawAspect="Content" ObjectID="_1815025502" r:id="rId389"/>
        </w:object>
      </w:r>
      <w:r>
        <w:t>PCRDR</w:t>
      </w:r>
      <w:r>
        <w:rPr>
          <w:i/>
        </w:rPr>
        <w:t xml:space="preserve"> </w:t>
      </w:r>
      <w:r>
        <w:rPr>
          <w:i/>
          <w:vertAlign w:val="subscript"/>
        </w:rPr>
        <w:t>r, q, m</w:t>
      </w:r>
    </w:p>
    <w:p w14:paraId="550C0B98" w14:textId="77777777" w:rsidR="001F04FD" w:rsidRDefault="001F04FD" w:rsidP="001F04FD">
      <w:r>
        <w:t>The above variables are defined as follows: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1F04FD" w14:paraId="30A34212" w14:textId="77777777" w:rsidTr="00AC4DEE">
        <w:trPr>
          <w:cantSplit/>
          <w:tblHeader/>
        </w:trPr>
        <w:tc>
          <w:tcPr>
            <w:tcW w:w="2153" w:type="dxa"/>
          </w:tcPr>
          <w:p w14:paraId="4A259F62" w14:textId="77777777" w:rsidR="001F04FD" w:rsidRDefault="001F04FD" w:rsidP="00AC4DEE">
            <w:pPr>
              <w:pStyle w:val="TableHead"/>
            </w:pPr>
            <w:r>
              <w:t>Variable</w:t>
            </w:r>
          </w:p>
        </w:tc>
        <w:tc>
          <w:tcPr>
            <w:tcW w:w="810" w:type="dxa"/>
          </w:tcPr>
          <w:p w14:paraId="2060524A" w14:textId="77777777" w:rsidR="001F04FD" w:rsidRDefault="001F04FD" w:rsidP="00AC4DEE">
            <w:pPr>
              <w:pStyle w:val="TableHead"/>
            </w:pPr>
            <w:r>
              <w:t>Unit</w:t>
            </w:r>
          </w:p>
        </w:tc>
        <w:tc>
          <w:tcPr>
            <w:tcW w:w="6498" w:type="dxa"/>
          </w:tcPr>
          <w:p w14:paraId="2A4192A3" w14:textId="77777777" w:rsidR="001F04FD" w:rsidRDefault="001F04FD" w:rsidP="00AC4DEE">
            <w:pPr>
              <w:pStyle w:val="TableHead"/>
            </w:pPr>
            <w:r>
              <w:t>Description</w:t>
            </w:r>
          </w:p>
        </w:tc>
      </w:tr>
      <w:tr w:rsidR="001F04FD" w14:paraId="565DF255" w14:textId="77777777" w:rsidTr="00AC4DEE">
        <w:trPr>
          <w:cantSplit/>
        </w:trPr>
        <w:tc>
          <w:tcPr>
            <w:tcW w:w="2153" w:type="dxa"/>
          </w:tcPr>
          <w:p w14:paraId="022A71A1" w14:textId="77777777" w:rsidR="001F04FD" w:rsidRDefault="001F04FD" w:rsidP="00AC4DEE">
            <w:pPr>
              <w:pStyle w:val="TableBody"/>
            </w:pPr>
            <w:r>
              <w:t xml:space="preserve">RTPCRDAMT </w:t>
            </w:r>
            <w:r w:rsidRPr="00C26BA9">
              <w:rPr>
                <w:i/>
                <w:vertAlign w:val="subscript"/>
              </w:rPr>
              <w:t>q, m</w:t>
            </w:r>
          </w:p>
        </w:tc>
        <w:tc>
          <w:tcPr>
            <w:tcW w:w="810" w:type="dxa"/>
          </w:tcPr>
          <w:p w14:paraId="3155CCBC" w14:textId="77777777" w:rsidR="001F04FD" w:rsidRDefault="001F04FD" w:rsidP="00AC4DEE">
            <w:pPr>
              <w:pStyle w:val="TableBody"/>
            </w:pPr>
            <w:r>
              <w:t>$</w:t>
            </w:r>
          </w:p>
        </w:tc>
        <w:tc>
          <w:tcPr>
            <w:tcW w:w="6498" w:type="dxa"/>
          </w:tcPr>
          <w:p w14:paraId="439C1853" w14:textId="77777777" w:rsidR="001F04FD" w:rsidRDefault="001F04FD" w:rsidP="00AC4DEE">
            <w:pPr>
              <w:pStyle w:val="TableBody"/>
            </w:pPr>
            <w:r>
              <w:rPr>
                <w:i/>
              </w:rPr>
              <w:t>Procured Capacity for Reg-Down Amount by QSE by market</w:t>
            </w:r>
            <w:r>
              <w:t xml:space="preserve">—The payment to QSE </w:t>
            </w:r>
            <w:r>
              <w:rPr>
                <w:i/>
              </w:rPr>
              <w:t>q</w:t>
            </w:r>
            <w:r>
              <w:t xml:space="preserve"> for the Ancillary Service Offers cleared in the market </w:t>
            </w:r>
            <w:r>
              <w:rPr>
                <w:i/>
              </w:rPr>
              <w:t>m</w:t>
            </w:r>
            <w:r>
              <w:t xml:space="preserve"> to provide Reg-Down, for the hour.</w:t>
            </w:r>
          </w:p>
        </w:tc>
      </w:tr>
      <w:tr w:rsidR="001F04FD" w14:paraId="1B514D06"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6D2679F9" w14:textId="77777777" w:rsidR="001F04FD" w:rsidRDefault="001F04FD" w:rsidP="00AC4DEE">
            <w:pPr>
              <w:pStyle w:val="TableBody"/>
            </w:pPr>
            <w:r>
              <w:t xml:space="preserve">MCPCRD </w:t>
            </w:r>
            <w:r w:rsidRPr="00C26BA9">
              <w:rPr>
                <w:i/>
                <w:vertAlign w:val="subscript"/>
              </w:rPr>
              <w:t>m</w:t>
            </w:r>
          </w:p>
        </w:tc>
        <w:tc>
          <w:tcPr>
            <w:tcW w:w="810" w:type="dxa"/>
            <w:tcBorders>
              <w:top w:val="single" w:sz="4" w:space="0" w:color="auto"/>
              <w:left w:val="single" w:sz="4" w:space="0" w:color="auto"/>
              <w:bottom w:val="single" w:sz="4" w:space="0" w:color="auto"/>
              <w:right w:val="single" w:sz="4" w:space="0" w:color="auto"/>
            </w:tcBorders>
          </w:tcPr>
          <w:p w14:paraId="78223027" w14:textId="77777777" w:rsidR="001F04FD" w:rsidRDefault="001F04FD" w:rsidP="00AC4DEE">
            <w:pPr>
              <w:pStyle w:val="TableBody"/>
            </w:pPr>
            <w:r>
              <w:t>$/MW per hour</w:t>
            </w:r>
          </w:p>
        </w:tc>
        <w:tc>
          <w:tcPr>
            <w:tcW w:w="6498" w:type="dxa"/>
            <w:tcBorders>
              <w:top w:val="single" w:sz="4" w:space="0" w:color="auto"/>
              <w:left w:val="single" w:sz="4" w:space="0" w:color="auto"/>
              <w:bottom w:val="single" w:sz="4" w:space="0" w:color="auto"/>
              <w:right w:val="single" w:sz="4" w:space="0" w:color="auto"/>
            </w:tcBorders>
          </w:tcPr>
          <w:p w14:paraId="529E3B2F" w14:textId="77777777" w:rsidR="001F04FD" w:rsidRDefault="001F04FD" w:rsidP="00AC4DEE">
            <w:pPr>
              <w:pStyle w:val="TableBody"/>
              <w:rPr>
                <w:i/>
              </w:rPr>
            </w:pPr>
            <w:r>
              <w:rPr>
                <w:i/>
              </w:rPr>
              <w:t xml:space="preserve"> Market Clearing Price for Capacity for Reg-Down by market—</w:t>
            </w:r>
            <w:r>
              <w:t xml:space="preserve">The MCPC for Reg-Down from the market </w:t>
            </w:r>
            <w:r>
              <w:rPr>
                <w:i/>
              </w:rPr>
              <w:t>m</w:t>
            </w:r>
            <w:r>
              <w:t>, for the hour.</w:t>
            </w:r>
          </w:p>
        </w:tc>
      </w:tr>
      <w:tr w:rsidR="001F04FD" w14:paraId="26EF90CB"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9049595" w14:textId="77777777" w:rsidR="001F04FD" w:rsidRDefault="001F04FD" w:rsidP="00AC4DEE">
            <w:pPr>
              <w:pStyle w:val="TableBody"/>
            </w:pPr>
            <w:r>
              <w:t xml:space="preserve">RTPCRD </w:t>
            </w:r>
            <w:r w:rsidRPr="00C26BA9">
              <w:rPr>
                <w:i/>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5FEB23A8"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5AC3DC84" w14:textId="77777777" w:rsidR="001F04FD" w:rsidRDefault="001F04FD" w:rsidP="00AC4DEE">
            <w:pPr>
              <w:pStyle w:val="TableBody"/>
              <w:rPr>
                <w:i/>
              </w:rPr>
            </w:pPr>
            <w:r>
              <w:rPr>
                <w:i/>
              </w:rPr>
              <w:t>Procured Capacity for Reg-Down by QSE by market—</w:t>
            </w:r>
            <w:r>
              <w:t xml:space="preserve">The portion of QSE </w:t>
            </w:r>
            <w:r>
              <w:rPr>
                <w:i/>
              </w:rPr>
              <w:t>q</w:t>
            </w:r>
            <w:r>
              <w:t xml:space="preserve">’s Ancillary Service Offers cleared in the market </w:t>
            </w:r>
            <w:r>
              <w:rPr>
                <w:i/>
              </w:rPr>
              <w:t>m</w:t>
            </w:r>
            <w:r>
              <w:t xml:space="preserve"> to provide Reg-Down, for the hour.</w:t>
            </w:r>
          </w:p>
        </w:tc>
      </w:tr>
      <w:tr w:rsidR="001F04FD" w14:paraId="7BF5652F"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4F92713F" w14:textId="77777777" w:rsidR="001F04FD" w:rsidRDefault="001F04FD" w:rsidP="00AC4DEE">
            <w:pPr>
              <w:pStyle w:val="TableBody"/>
            </w:pPr>
            <w:r>
              <w:t xml:space="preserve">PCRDR </w:t>
            </w:r>
            <w:r w:rsidRPr="00C26BA9">
              <w:rPr>
                <w:i/>
                <w:vertAlign w:val="subscript"/>
              </w:rPr>
              <w:t>r,</w:t>
            </w:r>
            <w:r w:rsidRPr="00C26BA9">
              <w:rPr>
                <w:i/>
              </w:rPr>
              <w:t xml:space="preserve"> </w:t>
            </w:r>
            <w:r w:rsidRPr="00C26BA9">
              <w:rPr>
                <w:i/>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400F4BE3"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25DF20AD" w14:textId="77777777" w:rsidR="001F04FD" w:rsidRDefault="001F04FD" w:rsidP="00AC4DEE">
            <w:pPr>
              <w:pStyle w:val="TableBody"/>
            </w:pPr>
            <w:r>
              <w:rPr>
                <w:i/>
              </w:rPr>
              <w:t>Procured Capacity for Reg-Down from Resource per Resource per QSE by market</w:t>
            </w:r>
            <w:r>
              <w:t xml:space="preserve">—The Reg-Down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15F9F4CA"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037C233" w14:textId="77777777" w:rsidR="001F04FD" w:rsidRPr="00CE0FC9" w:rsidRDefault="001F04FD" w:rsidP="00AC4DEE">
            <w:pPr>
              <w:pStyle w:val="TableBody"/>
              <w:rPr>
                <w:i/>
              </w:rPr>
            </w:pPr>
            <w:r>
              <w:rPr>
                <w:i/>
              </w:rPr>
              <w:t>m</w:t>
            </w:r>
          </w:p>
        </w:tc>
        <w:tc>
          <w:tcPr>
            <w:tcW w:w="810" w:type="dxa"/>
            <w:tcBorders>
              <w:top w:val="single" w:sz="4" w:space="0" w:color="auto"/>
              <w:left w:val="single" w:sz="4" w:space="0" w:color="auto"/>
              <w:bottom w:val="single" w:sz="4" w:space="0" w:color="auto"/>
              <w:right w:val="single" w:sz="4" w:space="0" w:color="auto"/>
            </w:tcBorders>
          </w:tcPr>
          <w:p w14:paraId="4621D766"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1B5138BA" w14:textId="77777777" w:rsidR="001F04FD" w:rsidRDefault="001F04FD" w:rsidP="00AC4DEE">
            <w:pPr>
              <w:pStyle w:val="TableBody"/>
            </w:pPr>
            <w:r>
              <w:t>An Ancillary Service market (SASM or RSASM).</w:t>
            </w:r>
          </w:p>
        </w:tc>
      </w:tr>
      <w:tr w:rsidR="001F04FD" w14:paraId="041C6578"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3130AC38" w14:textId="77777777" w:rsidR="001F04FD" w:rsidRPr="00CE0FC9" w:rsidRDefault="001F04FD" w:rsidP="00AC4DEE">
            <w:pPr>
              <w:pStyle w:val="TableBody"/>
              <w:rPr>
                <w:i/>
              </w:rPr>
            </w:pPr>
            <w:r w:rsidRPr="00D661BC">
              <w:rPr>
                <w:i/>
              </w:rPr>
              <w:t>q</w:t>
            </w:r>
          </w:p>
        </w:tc>
        <w:tc>
          <w:tcPr>
            <w:tcW w:w="810" w:type="dxa"/>
            <w:tcBorders>
              <w:top w:val="single" w:sz="4" w:space="0" w:color="auto"/>
              <w:left w:val="single" w:sz="4" w:space="0" w:color="auto"/>
              <w:bottom w:val="single" w:sz="4" w:space="0" w:color="auto"/>
              <w:right w:val="single" w:sz="4" w:space="0" w:color="auto"/>
            </w:tcBorders>
          </w:tcPr>
          <w:p w14:paraId="334BBB15"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7B54ED31" w14:textId="77777777" w:rsidR="001F04FD" w:rsidRDefault="001F04FD" w:rsidP="00AC4DEE">
            <w:pPr>
              <w:pStyle w:val="TableBody"/>
            </w:pPr>
            <w:r>
              <w:t>A QSE.</w:t>
            </w:r>
          </w:p>
        </w:tc>
      </w:tr>
      <w:tr w:rsidR="001F04FD" w14:paraId="2C2EB8E5"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506D5907" w14:textId="77777777" w:rsidR="001F04FD" w:rsidRPr="00CE0FC9" w:rsidRDefault="001F04FD" w:rsidP="00AC4DEE">
            <w:pPr>
              <w:pStyle w:val="TableBody"/>
              <w:rPr>
                <w:i/>
              </w:rPr>
            </w:pPr>
            <w:r w:rsidRPr="00D661BC">
              <w:rPr>
                <w:i/>
              </w:rPr>
              <w:t>r</w:t>
            </w:r>
          </w:p>
        </w:tc>
        <w:tc>
          <w:tcPr>
            <w:tcW w:w="810" w:type="dxa"/>
            <w:tcBorders>
              <w:top w:val="single" w:sz="4" w:space="0" w:color="auto"/>
              <w:left w:val="single" w:sz="4" w:space="0" w:color="auto"/>
              <w:bottom w:val="single" w:sz="4" w:space="0" w:color="auto"/>
              <w:right w:val="single" w:sz="4" w:space="0" w:color="auto"/>
            </w:tcBorders>
          </w:tcPr>
          <w:p w14:paraId="0DFD305F"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45356349" w14:textId="77777777" w:rsidR="001F04FD" w:rsidRDefault="001F04FD" w:rsidP="00AC4DEE">
            <w:pPr>
              <w:pStyle w:val="TableBody"/>
            </w:pPr>
            <w:r>
              <w:t>A Generation Resource.</w:t>
            </w:r>
          </w:p>
        </w:tc>
      </w:tr>
    </w:tbl>
    <w:p w14:paraId="1777E6B6" w14:textId="77777777" w:rsidR="001F04FD" w:rsidRDefault="001F04FD" w:rsidP="001F04FD"/>
    <w:p w14:paraId="6DDA8C76" w14:textId="77777777" w:rsidR="001F04FD" w:rsidRDefault="001F04FD" w:rsidP="001F04FD">
      <w:pPr>
        <w:pStyle w:val="BodyTextNumbered"/>
        <w:ind w:left="1440"/>
      </w:pPr>
      <w:r>
        <w:t>(c)</w:t>
      </w:r>
      <w:r>
        <w:tab/>
      </w:r>
      <w:r w:rsidRPr="004D678D">
        <w:t>For Responsive Reserve (RRS), if applicable:</w:t>
      </w:r>
    </w:p>
    <w:p w14:paraId="744B7B7B" w14:textId="77777777" w:rsidR="001F04FD" w:rsidRDefault="001F04FD" w:rsidP="001F04FD">
      <w:pPr>
        <w:pStyle w:val="FormulaBold"/>
      </w:pPr>
      <w:r>
        <w:t xml:space="preserve">RTPCRRAMT </w:t>
      </w:r>
      <w:r>
        <w:rPr>
          <w:i/>
          <w:vertAlign w:val="subscript"/>
        </w:rPr>
        <w:t>q, m</w:t>
      </w:r>
      <w:r>
        <w:tab/>
        <w:t>=</w:t>
      </w:r>
      <w:r>
        <w:tab/>
        <w:t xml:space="preserve">(-1) * MCPCRR </w:t>
      </w:r>
      <w:r>
        <w:rPr>
          <w:i/>
          <w:vertAlign w:val="subscript"/>
        </w:rPr>
        <w:t>m</w:t>
      </w:r>
      <w:r>
        <w:t xml:space="preserve"> * RTPCRR </w:t>
      </w:r>
      <w:r>
        <w:rPr>
          <w:i/>
          <w:vertAlign w:val="subscript"/>
        </w:rPr>
        <w:t>q, m</w:t>
      </w:r>
    </w:p>
    <w:p w14:paraId="0ECD1E30" w14:textId="77777777" w:rsidR="001F04FD" w:rsidRDefault="001F04FD" w:rsidP="001F04FD">
      <w:pPr>
        <w:pStyle w:val="BodyText"/>
        <w:rPr>
          <w:lang w:val="pt-BR"/>
        </w:rPr>
      </w:pPr>
      <w:r>
        <w:rPr>
          <w:lang w:val="pt-BR"/>
        </w:rPr>
        <w:t>Where:</w:t>
      </w:r>
    </w:p>
    <w:p w14:paraId="6E0BDEB1" w14:textId="77777777" w:rsidR="001F04FD" w:rsidRDefault="001F04FD" w:rsidP="001F04FD">
      <w:pPr>
        <w:pStyle w:val="Formula"/>
        <w:ind w:left="2880" w:hanging="2160"/>
        <w:rPr>
          <w:lang w:val="pt-BR"/>
        </w:rPr>
      </w:pPr>
      <w:r>
        <w:rPr>
          <w:lang w:val="pt-BR"/>
        </w:rPr>
        <w:lastRenderedPageBreak/>
        <w:t xml:space="preserve">RTPCRR </w:t>
      </w:r>
      <w:r>
        <w:rPr>
          <w:i/>
          <w:vertAlign w:val="subscript"/>
          <w:lang w:val="pt-BR"/>
        </w:rPr>
        <w:t>q,</w:t>
      </w:r>
      <w:r>
        <w:rPr>
          <w:vertAlign w:val="subscript"/>
          <w:lang w:val="pt-BR"/>
        </w:rPr>
        <w:t xml:space="preserve"> </w:t>
      </w:r>
      <w:r>
        <w:rPr>
          <w:i/>
          <w:vertAlign w:val="subscript"/>
          <w:lang w:val="pt-BR"/>
        </w:rPr>
        <w:t>m</w:t>
      </w:r>
      <w:r>
        <w:rPr>
          <w:lang w:val="pt-BR"/>
        </w:rPr>
        <w:tab/>
        <w:t>=</w:t>
      </w:r>
      <w:r>
        <w:rPr>
          <w:lang w:val="pt-BR"/>
        </w:rPr>
        <w:tab/>
      </w:r>
      <w:r w:rsidRPr="006F784F">
        <w:rPr>
          <w:position w:val="-18"/>
        </w:rPr>
        <w:object w:dxaOrig="225" w:dyaOrig="420" w14:anchorId="68375716">
          <v:shape id="_x0000_i1315" type="#_x0000_t75" style="width:12pt;height:24pt" o:ole="">
            <v:imagedata r:id="rId387" o:title=""/>
          </v:shape>
          <o:OLEObject Type="Embed" ProgID="Equation.3" ShapeID="_x0000_i1315" DrawAspect="Content" ObjectID="_1815025503" r:id="rId390"/>
        </w:object>
      </w:r>
      <w:r>
        <w:rPr>
          <w:lang w:val="pt-BR"/>
        </w:rPr>
        <w:t>PCRRR</w:t>
      </w:r>
      <w:r>
        <w:rPr>
          <w:i/>
          <w:lang w:val="pt-BR"/>
        </w:rPr>
        <w:t xml:space="preserve"> </w:t>
      </w:r>
      <w:r>
        <w:rPr>
          <w:i/>
          <w:vertAlign w:val="subscript"/>
          <w:lang w:val="pt-BR"/>
        </w:rPr>
        <w:t xml:space="preserve"> q, r, m</w:t>
      </w:r>
    </w:p>
    <w:p w14:paraId="586B2289" w14:textId="77777777" w:rsidR="001F04FD" w:rsidRDefault="001F04FD" w:rsidP="001F04FD">
      <w:r>
        <w:t>The above variables are defined as follows: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1F04FD" w14:paraId="6C644757" w14:textId="77777777" w:rsidTr="00AC4DEE">
        <w:trPr>
          <w:cantSplit/>
          <w:tblHeader/>
        </w:trPr>
        <w:tc>
          <w:tcPr>
            <w:tcW w:w="2153" w:type="dxa"/>
          </w:tcPr>
          <w:p w14:paraId="2118D3E3" w14:textId="77777777" w:rsidR="001F04FD" w:rsidRDefault="001F04FD" w:rsidP="00AC4DEE">
            <w:pPr>
              <w:pStyle w:val="TableHead"/>
            </w:pPr>
            <w:r>
              <w:t>Variable</w:t>
            </w:r>
          </w:p>
        </w:tc>
        <w:tc>
          <w:tcPr>
            <w:tcW w:w="810" w:type="dxa"/>
          </w:tcPr>
          <w:p w14:paraId="50857771" w14:textId="77777777" w:rsidR="001F04FD" w:rsidRDefault="001F04FD" w:rsidP="00AC4DEE">
            <w:pPr>
              <w:pStyle w:val="TableHead"/>
            </w:pPr>
            <w:r>
              <w:t>Unit</w:t>
            </w:r>
          </w:p>
        </w:tc>
        <w:tc>
          <w:tcPr>
            <w:tcW w:w="6498" w:type="dxa"/>
          </w:tcPr>
          <w:p w14:paraId="2B440AEF" w14:textId="77777777" w:rsidR="001F04FD" w:rsidRDefault="001F04FD" w:rsidP="00AC4DEE">
            <w:pPr>
              <w:pStyle w:val="TableHead"/>
            </w:pPr>
            <w:r>
              <w:t>Description</w:t>
            </w:r>
          </w:p>
        </w:tc>
      </w:tr>
      <w:tr w:rsidR="001F04FD" w14:paraId="6AF9FA54" w14:textId="77777777" w:rsidTr="00AC4DEE">
        <w:trPr>
          <w:cantSplit/>
        </w:trPr>
        <w:tc>
          <w:tcPr>
            <w:tcW w:w="2153" w:type="dxa"/>
          </w:tcPr>
          <w:p w14:paraId="5E11D09C" w14:textId="77777777" w:rsidR="001F04FD" w:rsidRDefault="001F04FD" w:rsidP="00AC4DEE">
            <w:pPr>
              <w:pStyle w:val="TableBody"/>
            </w:pPr>
            <w:r>
              <w:t xml:space="preserve">RTPCRRAMT </w:t>
            </w:r>
            <w:r w:rsidRPr="00C26BA9">
              <w:rPr>
                <w:i/>
                <w:vertAlign w:val="subscript"/>
              </w:rPr>
              <w:t>q, m</w:t>
            </w:r>
          </w:p>
        </w:tc>
        <w:tc>
          <w:tcPr>
            <w:tcW w:w="810" w:type="dxa"/>
          </w:tcPr>
          <w:p w14:paraId="6C7CE230" w14:textId="77777777" w:rsidR="001F04FD" w:rsidRDefault="001F04FD" w:rsidP="00AC4DEE">
            <w:pPr>
              <w:pStyle w:val="TableBody"/>
            </w:pPr>
            <w:r>
              <w:t>$</w:t>
            </w:r>
          </w:p>
        </w:tc>
        <w:tc>
          <w:tcPr>
            <w:tcW w:w="6498" w:type="dxa"/>
          </w:tcPr>
          <w:p w14:paraId="0DFE2C66" w14:textId="77777777" w:rsidR="001F04FD" w:rsidRDefault="001F04FD" w:rsidP="00AC4DEE">
            <w:pPr>
              <w:pStyle w:val="TableBody"/>
            </w:pPr>
            <w:r>
              <w:rPr>
                <w:i/>
              </w:rPr>
              <w:t>Procured Capacity for Responsive Reserve Amount by QSE by market</w:t>
            </w:r>
            <w:r>
              <w:t xml:space="preserve">—The payment to QSE </w:t>
            </w:r>
            <w:r>
              <w:rPr>
                <w:i/>
              </w:rPr>
              <w:t>q</w:t>
            </w:r>
            <w:r>
              <w:t xml:space="preserve"> for the Ancillary Service Offer cleared in the market </w:t>
            </w:r>
            <w:r>
              <w:rPr>
                <w:i/>
              </w:rPr>
              <w:t>m</w:t>
            </w:r>
            <w:r>
              <w:t xml:space="preserve"> to provide RRS, for the hour.</w:t>
            </w:r>
          </w:p>
        </w:tc>
      </w:tr>
      <w:tr w:rsidR="001F04FD" w14:paraId="1A07F25E"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30547FA" w14:textId="77777777" w:rsidR="001F04FD" w:rsidRDefault="001F04FD" w:rsidP="00AC4DEE">
            <w:pPr>
              <w:pStyle w:val="TableBody"/>
            </w:pPr>
            <w:r>
              <w:t>MCPCRR</w:t>
            </w:r>
            <w:r w:rsidRPr="00C26BA9">
              <w:rPr>
                <w:i/>
              </w:rPr>
              <w:t xml:space="preserve"> </w:t>
            </w:r>
            <w:r w:rsidRPr="00C26BA9">
              <w:rPr>
                <w:i/>
                <w:vertAlign w:val="subscript"/>
              </w:rPr>
              <w:t>m</w:t>
            </w:r>
          </w:p>
        </w:tc>
        <w:tc>
          <w:tcPr>
            <w:tcW w:w="810" w:type="dxa"/>
            <w:tcBorders>
              <w:top w:val="single" w:sz="4" w:space="0" w:color="auto"/>
              <w:left w:val="single" w:sz="4" w:space="0" w:color="auto"/>
              <w:bottom w:val="single" w:sz="4" w:space="0" w:color="auto"/>
              <w:right w:val="single" w:sz="4" w:space="0" w:color="auto"/>
            </w:tcBorders>
          </w:tcPr>
          <w:p w14:paraId="4CA7052E" w14:textId="77777777" w:rsidR="001F04FD" w:rsidRDefault="001F04FD" w:rsidP="00AC4DEE">
            <w:pPr>
              <w:pStyle w:val="TableBody"/>
            </w:pPr>
            <w:r>
              <w:t>$/MW per hour</w:t>
            </w:r>
          </w:p>
        </w:tc>
        <w:tc>
          <w:tcPr>
            <w:tcW w:w="6498" w:type="dxa"/>
            <w:tcBorders>
              <w:top w:val="single" w:sz="4" w:space="0" w:color="auto"/>
              <w:left w:val="single" w:sz="4" w:space="0" w:color="auto"/>
              <w:bottom w:val="single" w:sz="4" w:space="0" w:color="auto"/>
              <w:right w:val="single" w:sz="4" w:space="0" w:color="auto"/>
            </w:tcBorders>
          </w:tcPr>
          <w:p w14:paraId="3E7E9ADD" w14:textId="77777777" w:rsidR="001F04FD" w:rsidRDefault="001F04FD" w:rsidP="00AC4DEE">
            <w:pPr>
              <w:pStyle w:val="TableBody"/>
              <w:rPr>
                <w:i/>
              </w:rPr>
            </w:pPr>
            <w:r>
              <w:rPr>
                <w:i/>
              </w:rPr>
              <w:t>Market Clearing Price for Capacity for Responsive Reserve by market—</w:t>
            </w:r>
            <w:r>
              <w:t xml:space="preserve">The MCPC for RRS from the market </w:t>
            </w:r>
            <w:r>
              <w:rPr>
                <w:i/>
              </w:rPr>
              <w:t>m</w:t>
            </w:r>
            <w:r>
              <w:t>, for the hour.</w:t>
            </w:r>
          </w:p>
        </w:tc>
      </w:tr>
      <w:tr w:rsidR="001F04FD" w14:paraId="3D19DD6A"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3DE9D112" w14:textId="77777777" w:rsidR="001F04FD" w:rsidRDefault="001F04FD" w:rsidP="00AC4DEE">
            <w:pPr>
              <w:pStyle w:val="TableBody"/>
            </w:pPr>
            <w:r>
              <w:t xml:space="preserve">RTPCRR </w:t>
            </w:r>
            <w:r w:rsidRPr="00C26BA9">
              <w:rPr>
                <w:i/>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4E067FF9"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6A684487" w14:textId="77777777" w:rsidR="001F04FD" w:rsidRDefault="001F04FD" w:rsidP="00AC4DEE">
            <w:pPr>
              <w:pStyle w:val="TableBody"/>
              <w:rPr>
                <w:i/>
              </w:rPr>
            </w:pPr>
            <w:r>
              <w:rPr>
                <w:i/>
              </w:rPr>
              <w:t>Procured Capacity for Responsive Reserve by QSE by market—</w:t>
            </w:r>
            <w:r>
              <w:t xml:space="preserve">The portion of QSE </w:t>
            </w:r>
            <w:r>
              <w:rPr>
                <w:i/>
              </w:rPr>
              <w:t>q</w:t>
            </w:r>
            <w:r>
              <w:t xml:space="preserve"> Ancillary Service Offers cleared in the market </w:t>
            </w:r>
            <w:r>
              <w:rPr>
                <w:i/>
              </w:rPr>
              <w:t>m</w:t>
            </w:r>
            <w:r>
              <w:t xml:space="preserve"> to provide RRS, for the hour.</w:t>
            </w:r>
          </w:p>
        </w:tc>
      </w:tr>
      <w:tr w:rsidR="001F04FD" w14:paraId="379AC050"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244FF457" w14:textId="77777777" w:rsidR="001F04FD" w:rsidRDefault="001F04FD" w:rsidP="00AC4DEE">
            <w:pPr>
              <w:pStyle w:val="TableBody"/>
            </w:pPr>
            <w:r>
              <w:t xml:space="preserve">PCRRR </w:t>
            </w:r>
            <w:r w:rsidRPr="00C26BA9">
              <w:rPr>
                <w:i/>
                <w:vertAlign w:val="subscript"/>
              </w:rPr>
              <w:t>q,r, m</w:t>
            </w:r>
          </w:p>
        </w:tc>
        <w:tc>
          <w:tcPr>
            <w:tcW w:w="810" w:type="dxa"/>
            <w:tcBorders>
              <w:top w:val="single" w:sz="4" w:space="0" w:color="auto"/>
              <w:left w:val="single" w:sz="4" w:space="0" w:color="auto"/>
              <w:bottom w:val="single" w:sz="4" w:space="0" w:color="auto"/>
              <w:right w:val="single" w:sz="4" w:space="0" w:color="auto"/>
            </w:tcBorders>
          </w:tcPr>
          <w:p w14:paraId="2A5D765D"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5E928F92" w14:textId="77777777" w:rsidR="001F04FD" w:rsidRDefault="001F04FD" w:rsidP="00AC4DEE">
            <w:pPr>
              <w:pStyle w:val="TableBody"/>
            </w:pPr>
            <w:r>
              <w:rPr>
                <w:i/>
              </w:rPr>
              <w:t>Procured Capacity for Responsive Reserve from Resource per Resource per QSE by market</w:t>
            </w:r>
            <w:r>
              <w:t xml:space="preserve">—The RRS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64C0BF29"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46D08299" w14:textId="77777777" w:rsidR="001F04FD" w:rsidRPr="00CE0FC9" w:rsidRDefault="001F04FD" w:rsidP="00AC4DEE">
            <w:pPr>
              <w:pStyle w:val="TableBody"/>
              <w:rPr>
                <w:i/>
              </w:rPr>
            </w:pPr>
            <w:r w:rsidRPr="00D661BC">
              <w:rPr>
                <w:i/>
              </w:rPr>
              <w:t>m</w:t>
            </w:r>
          </w:p>
        </w:tc>
        <w:tc>
          <w:tcPr>
            <w:tcW w:w="810" w:type="dxa"/>
            <w:tcBorders>
              <w:top w:val="single" w:sz="4" w:space="0" w:color="auto"/>
              <w:left w:val="single" w:sz="4" w:space="0" w:color="auto"/>
              <w:bottom w:val="single" w:sz="4" w:space="0" w:color="auto"/>
              <w:right w:val="single" w:sz="4" w:space="0" w:color="auto"/>
            </w:tcBorders>
          </w:tcPr>
          <w:p w14:paraId="482EF0A3"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4BD27AE0" w14:textId="77777777" w:rsidR="001F04FD" w:rsidRDefault="001F04FD" w:rsidP="00AC4DEE">
            <w:pPr>
              <w:pStyle w:val="TableBody"/>
            </w:pPr>
            <w:r>
              <w:t>An Ancillary Service market (SASM or RSASM).</w:t>
            </w:r>
          </w:p>
        </w:tc>
      </w:tr>
      <w:tr w:rsidR="001F04FD" w14:paraId="0485C933"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5172754A" w14:textId="77777777" w:rsidR="001F04FD" w:rsidRPr="00CE0FC9" w:rsidRDefault="001F04FD" w:rsidP="00AC4DEE">
            <w:pPr>
              <w:pStyle w:val="TableBody"/>
              <w:rPr>
                <w:i/>
              </w:rPr>
            </w:pPr>
            <w:r w:rsidRPr="00D661BC">
              <w:rPr>
                <w:i/>
              </w:rPr>
              <w:t>q</w:t>
            </w:r>
          </w:p>
        </w:tc>
        <w:tc>
          <w:tcPr>
            <w:tcW w:w="810" w:type="dxa"/>
            <w:tcBorders>
              <w:top w:val="single" w:sz="4" w:space="0" w:color="auto"/>
              <w:left w:val="single" w:sz="4" w:space="0" w:color="auto"/>
              <w:bottom w:val="single" w:sz="4" w:space="0" w:color="auto"/>
              <w:right w:val="single" w:sz="4" w:space="0" w:color="auto"/>
            </w:tcBorders>
          </w:tcPr>
          <w:p w14:paraId="2F0A7937"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3FD90AF2" w14:textId="77777777" w:rsidR="001F04FD" w:rsidRDefault="001F04FD" w:rsidP="00AC4DEE">
            <w:pPr>
              <w:pStyle w:val="TableBody"/>
            </w:pPr>
            <w:r>
              <w:t>A QSE.</w:t>
            </w:r>
          </w:p>
        </w:tc>
      </w:tr>
      <w:tr w:rsidR="001F04FD" w14:paraId="557682C2"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B84507E" w14:textId="77777777" w:rsidR="001F04FD" w:rsidRPr="00CE0FC9" w:rsidRDefault="001F04FD" w:rsidP="00AC4DEE">
            <w:pPr>
              <w:pStyle w:val="TableBody"/>
              <w:rPr>
                <w:i/>
              </w:rPr>
            </w:pPr>
            <w:r w:rsidRPr="00D661BC">
              <w:rPr>
                <w:i/>
              </w:rPr>
              <w:t>r</w:t>
            </w:r>
          </w:p>
        </w:tc>
        <w:tc>
          <w:tcPr>
            <w:tcW w:w="810" w:type="dxa"/>
            <w:tcBorders>
              <w:top w:val="single" w:sz="4" w:space="0" w:color="auto"/>
              <w:left w:val="single" w:sz="4" w:space="0" w:color="auto"/>
              <w:bottom w:val="single" w:sz="4" w:space="0" w:color="auto"/>
              <w:right w:val="single" w:sz="4" w:space="0" w:color="auto"/>
            </w:tcBorders>
          </w:tcPr>
          <w:p w14:paraId="3E10B6A2"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223B3BEC" w14:textId="77777777" w:rsidR="001F04FD" w:rsidRDefault="001F04FD" w:rsidP="00AC4DEE">
            <w:pPr>
              <w:pStyle w:val="TableBody"/>
            </w:pPr>
            <w:r>
              <w:t>A Generation Resource.</w:t>
            </w:r>
          </w:p>
        </w:tc>
      </w:tr>
    </w:tbl>
    <w:p w14:paraId="3E8324E4" w14:textId="77777777" w:rsidR="001F04FD" w:rsidRDefault="001F04FD" w:rsidP="001F04FD"/>
    <w:p w14:paraId="482B258E" w14:textId="77777777" w:rsidR="001F04FD" w:rsidRDefault="001F04FD" w:rsidP="001F04FD">
      <w:pPr>
        <w:pStyle w:val="BodyTextNumbered"/>
        <w:ind w:left="1440"/>
      </w:pPr>
      <w:r>
        <w:t>(d)</w:t>
      </w:r>
      <w:r>
        <w:tab/>
        <w:t>For Non-Spinning Reserve (Non-Spin), if applicable:</w:t>
      </w:r>
    </w:p>
    <w:p w14:paraId="3A4C938D" w14:textId="77777777" w:rsidR="001F04FD" w:rsidRDefault="001F04FD" w:rsidP="001F04FD">
      <w:pPr>
        <w:pStyle w:val="FormulaBold"/>
      </w:pPr>
      <w:r>
        <w:t xml:space="preserve">RTPCNSAMT </w:t>
      </w:r>
      <w:r>
        <w:rPr>
          <w:i/>
          <w:vertAlign w:val="subscript"/>
        </w:rPr>
        <w:t>q, m</w:t>
      </w:r>
      <w:r>
        <w:tab/>
        <w:t>=</w:t>
      </w:r>
      <w:r>
        <w:tab/>
        <w:t xml:space="preserve">(-1) * MCPCNS </w:t>
      </w:r>
      <w:r>
        <w:rPr>
          <w:i/>
          <w:vertAlign w:val="subscript"/>
        </w:rPr>
        <w:t>m</w:t>
      </w:r>
      <w:r>
        <w:t xml:space="preserve"> * RTPCNS </w:t>
      </w:r>
      <w:r>
        <w:rPr>
          <w:i/>
          <w:vertAlign w:val="subscript"/>
        </w:rPr>
        <w:t>q, m</w:t>
      </w:r>
    </w:p>
    <w:p w14:paraId="26C54F55" w14:textId="77777777" w:rsidR="001F04FD" w:rsidRDefault="001F04FD" w:rsidP="001F04FD">
      <w:pPr>
        <w:pStyle w:val="BodyText"/>
        <w:rPr>
          <w:lang w:val="pt-BR"/>
        </w:rPr>
      </w:pPr>
      <w:r>
        <w:rPr>
          <w:lang w:val="pt-BR"/>
        </w:rPr>
        <w:t>Where:</w:t>
      </w:r>
    </w:p>
    <w:p w14:paraId="7A8131D0" w14:textId="77777777" w:rsidR="001F04FD" w:rsidRDefault="001F04FD" w:rsidP="001F04FD">
      <w:pPr>
        <w:pStyle w:val="Formula"/>
        <w:ind w:left="2880" w:hanging="2160"/>
        <w:rPr>
          <w:lang w:val="pt-BR"/>
        </w:rPr>
      </w:pPr>
      <w:r>
        <w:rPr>
          <w:lang w:val="pt-BR"/>
        </w:rPr>
        <w:t xml:space="preserve">RTPCNS </w:t>
      </w:r>
      <w:r>
        <w:rPr>
          <w:i/>
          <w:vertAlign w:val="subscript"/>
          <w:lang w:val="pt-BR"/>
        </w:rPr>
        <w:t>q,</w:t>
      </w:r>
      <w:r>
        <w:rPr>
          <w:vertAlign w:val="subscript"/>
          <w:lang w:val="pt-BR"/>
        </w:rPr>
        <w:t xml:space="preserve"> </w:t>
      </w:r>
      <w:r>
        <w:rPr>
          <w:i/>
          <w:vertAlign w:val="subscript"/>
          <w:lang w:val="pt-BR"/>
        </w:rPr>
        <w:t>m</w:t>
      </w:r>
      <w:r>
        <w:rPr>
          <w:lang w:val="pt-BR"/>
        </w:rPr>
        <w:tab/>
        <w:t>=</w:t>
      </w:r>
      <w:r>
        <w:rPr>
          <w:lang w:val="pt-BR"/>
        </w:rPr>
        <w:tab/>
      </w:r>
      <w:r w:rsidRPr="006F784F">
        <w:rPr>
          <w:position w:val="-18"/>
        </w:rPr>
        <w:object w:dxaOrig="225" w:dyaOrig="420" w14:anchorId="2E14D178">
          <v:shape id="_x0000_i1316" type="#_x0000_t75" style="width:12pt;height:24pt" o:ole="">
            <v:imagedata r:id="rId387" o:title=""/>
          </v:shape>
          <o:OLEObject Type="Embed" ProgID="Equation.3" ShapeID="_x0000_i1316" DrawAspect="Content" ObjectID="_1815025504" r:id="rId391"/>
        </w:object>
      </w:r>
      <w:r>
        <w:rPr>
          <w:lang w:val="pt-BR"/>
        </w:rPr>
        <w:t>PCNSR</w:t>
      </w:r>
      <w:r>
        <w:rPr>
          <w:i/>
          <w:lang w:val="pt-BR"/>
        </w:rPr>
        <w:t xml:space="preserve"> </w:t>
      </w:r>
      <w:r>
        <w:rPr>
          <w:i/>
          <w:vertAlign w:val="subscript"/>
          <w:lang w:val="pt-BR"/>
        </w:rPr>
        <w:t xml:space="preserve"> q, r, m</w:t>
      </w:r>
    </w:p>
    <w:p w14:paraId="4960F2C5" w14:textId="77777777" w:rsidR="001F04FD" w:rsidRDefault="001F04FD" w:rsidP="001F04FD">
      <w:r>
        <w:t>The above variables are defined as follows:</w:t>
      </w:r>
    </w:p>
    <w:tbl>
      <w:tblPr>
        <w:tblW w:w="9583"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820"/>
        <w:gridCol w:w="6582"/>
      </w:tblGrid>
      <w:tr w:rsidR="001F04FD" w14:paraId="581F4566" w14:textId="77777777" w:rsidTr="00F371D4">
        <w:trPr>
          <w:cantSplit/>
          <w:tblHeader/>
        </w:trPr>
        <w:tc>
          <w:tcPr>
            <w:tcW w:w="2181" w:type="dxa"/>
          </w:tcPr>
          <w:p w14:paraId="274E534C" w14:textId="77777777" w:rsidR="001F04FD" w:rsidRDefault="001F04FD" w:rsidP="00AC4DEE">
            <w:pPr>
              <w:pStyle w:val="TableHead"/>
            </w:pPr>
            <w:r>
              <w:t>Variable</w:t>
            </w:r>
          </w:p>
        </w:tc>
        <w:tc>
          <w:tcPr>
            <w:tcW w:w="820" w:type="dxa"/>
          </w:tcPr>
          <w:p w14:paraId="02DE5B63" w14:textId="77777777" w:rsidR="001F04FD" w:rsidRDefault="001F04FD" w:rsidP="00AC4DEE">
            <w:pPr>
              <w:pStyle w:val="TableHead"/>
            </w:pPr>
            <w:r>
              <w:t>Unit</w:t>
            </w:r>
          </w:p>
        </w:tc>
        <w:tc>
          <w:tcPr>
            <w:tcW w:w="6582" w:type="dxa"/>
          </w:tcPr>
          <w:p w14:paraId="27649119" w14:textId="77777777" w:rsidR="001F04FD" w:rsidRDefault="001F04FD" w:rsidP="00AC4DEE">
            <w:pPr>
              <w:pStyle w:val="TableHead"/>
            </w:pPr>
            <w:r>
              <w:t>Description</w:t>
            </w:r>
          </w:p>
        </w:tc>
      </w:tr>
      <w:tr w:rsidR="001F04FD" w14:paraId="409CA309" w14:textId="77777777" w:rsidTr="00F371D4">
        <w:trPr>
          <w:cantSplit/>
        </w:trPr>
        <w:tc>
          <w:tcPr>
            <w:tcW w:w="2181" w:type="dxa"/>
          </w:tcPr>
          <w:p w14:paraId="42B63851" w14:textId="77777777" w:rsidR="001F04FD" w:rsidRDefault="001F04FD" w:rsidP="00AC4DEE">
            <w:pPr>
              <w:pStyle w:val="TableBody"/>
            </w:pPr>
            <w:r>
              <w:t xml:space="preserve">RTPCNSAMT </w:t>
            </w:r>
            <w:r w:rsidRPr="00C26BA9">
              <w:rPr>
                <w:i/>
                <w:vertAlign w:val="subscript"/>
              </w:rPr>
              <w:t>q, m</w:t>
            </w:r>
          </w:p>
        </w:tc>
        <w:tc>
          <w:tcPr>
            <w:tcW w:w="820" w:type="dxa"/>
          </w:tcPr>
          <w:p w14:paraId="639B423B" w14:textId="77777777" w:rsidR="001F04FD" w:rsidRDefault="001F04FD" w:rsidP="00AC4DEE">
            <w:pPr>
              <w:pStyle w:val="TableBody"/>
            </w:pPr>
            <w:r>
              <w:t>$</w:t>
            </w:r>
          </w:p>
        </w:tc>
        <w:tc>
          <w:tcPr>
            <w:tcW w:w="6582" w:type="dxa"/>
          </w:tcPr>
          <w:p w14:paraId="5648C439" w14:textId="77777777" w:rsidR="001F04FD" w:rsidRDefault="001F04FD" w:rsidP="00AC4DEE">
            <w:pPr>
              <w:pStyle w:val="TableBody"/>
            </w:pPr>
            <w:r>
              <w:rPr>
                <w:i/>
              </w:rPr>
              <w:t>Procured Capacity for Non-Spin Amount by QSE by market</w:t>
            </w:r>
            <w:r>
              <w:t xml:space="preserve">—The payment to QSE </w:t>
            </w:r>
            <w:r>
              <w:rPr>
                <w:i/>
              </w:rPr>
              <w:t>q</w:t>
            </w:r>
            <w:r>
              <w:t xml:space="preserve"> for Ancillary Service Offer cleared in the market </w:t>
            </w:r>
            <w:r>
              <w:rPr>
                <w:i/>
              </w:rPr>
              <w:t>m</w:t>
            </w:r>
            <w:r>
              <w:t xml:space="preserve"> to provide Non-Spin, for the hour.</w:t>
            </w:r>
          </w:p>
        </w:tc>
      </w:tr>
      <w:tr w:rsidR="001F04FD" w14:paraId="7902F4A7"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5427726D" w14:textId="77777777" w:rsidR="001F04FD" w:rsidRDefault="001F04FD" w:rsidP="00AC4DEE">
            <w:pPr>
              <w:pStyle w:val="TableBody"/>
            </w:pPr>
            <w:r>
              <w:t xml:space="preserve">MCPCNS </w:t>
            </w:r>
            <w:r w:rsidRPr="00C26BA9">
              <w:rPr>
                <w:i/>
                <w:vertAlign w:val="subscript"/>
              </w:rPr>
              <w:t>m</w:t>
            </w:r>
          </w:p>
        </w:tc>
        <w:tc>
          <w:tcPr>
            <w:tcW w:w="820" w:type="dxa"/>
            <w:tcBorders>
              <w:top w:val="single" w:sz="4" w:space="0" w:color="auto"/>
              <w:left w:val="single" w:sz="4" w:space="0" w:color="auto"/>
              <w:bottom w:val="single" w:sz="4" w:space="0" w:color="auto"/>
              <w:right w:val="single" w:sz="4" w:space="0" w:color="auto"/>
            </w:tcBorders>
          </w:tcPr>
          <w:p w14:paraId="085D977E" w14:textId="77777777" w:rsidR="001F04FD" w:rsidRDefault="001F04FD" w:rsidP="00AC4DEE">
            <w:pPr>
              <w:pStyle w:val="TableBody"/>
            </w:pPr>
            <w:r>
              <w:t>$/MW per hour</w:t>
            </w:r>
          </w:p>
        </w:tc>
        <w:tc>
          <w:tcPr>
            <w:tcW w:w="6582" w:type="dxa"/>
            <w:tcBorders>
              <w:top w:val="single" w:sz="4" w:space="0" w:color="auto"/>
              <w:left w:val="single" w:sz="4" w:space="0" w:color="auto"/>
              <w:bottom w:val="single" w:sz="4" w:space="0" w:color="auto"/>
              <w:right w:val="single" w:sz="4" w:space="0" w:color="auto"/>
            </w:tcBorders>
          </w:tcPr>
          <w:p w14:paraId="098972BA" w14:textId="77777777" w:rsidR="001F04FD" w:rsidRDefault="001F04FD" w:rsidP="00AC4DEE">
            <w:pPr>
              <w:pStyle w:val="TableBody"/>
              <w:rPr>
                <w:i/>
              </w:rPr>
            </w:pPr>
            <w:r>
              <w:rPr>
                <w:i/>
              </w:rPr>
              <w:t xml:space="preserve"> Market Clearing Price for Capacity for Non-Spin by market—</w:t>
            </w:r>
            <w:r>
              <w:t xml:space="preserve">The MCPC for Non-Spin from the market </w:t>
            </w:r>
            <w:r>
              <w:rPr>
                <w:i/>
              </w:rPr>
              <w:t>m</w:t>
            </w:r>
            <w:r>
              <w:t>, for the hour.</w:t>
            </w:r>
          </w:p>
        </w:tc>
      </w:tr>
      <w:tr w:rsidR="001F04FD" w14:paraId="5D435F69"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01709585" w14:textId="77777777" w:rsidR="001F04FD" w:rsidRDefault="001F04FD" w:rsidP="00AC4DEE">
            <w:pPr>
              <w:pStyle w:val="TableBody"/>
            </w:pPr>
            <w:r>
              <w:t xml:space="preserve">RTPCNS </w:t>
            </w:r>
            <w:r w:rsidRPr="00C26BA9">
              <w:rPr>
                <w:i/>
                <w:vertAlign w:val="subscript"/>
              </w:rPr>
              <w:t>q, m</w:t>
            </w:r>
          </w:p>
        </w:tc>
        <w:tc>
          <w:tcPr>
            <w:tcW w:w="820" w:type="dxa"/>
            <w:tcBorders>
              <w:top w:val="single" w:sz="4" w:space="0" w:color="auto"/>
              <w:left w:val="single" w:sz="4" w:space="0" w:color="auto"/>
              <w:bottom w:val="single" w:sz="4" w:space="0" w:color="auto"/>
              <w:right w:val="single" w:sz="4" w:space="0" w:color="auto"/>
            </w:tcBorders>
          </w:tcPr>
          <w:p w14:paraId="5724C3B1" w14:textId="77777777" w:rsidR="001F04FD" w:rsidRDefault="001F04FD" w:rsidP="00AC4DEE">
            <w:pPr>
              <w:pStyle w:val="TableBody"/>
            </w:pPr>
            <w:r>
              <w:t>MW</w:t>
            </w:r>
          </w:p>
        </w:tc>
        <w:tc>
          <w:tcPr>
            <w:tcW w:w="6582" w:type="dxa"/>
            <w:tcBorders>
              <w:top w:val="single" w:sz="4" w:space="0" w:color="auto"/>
              <w:left w:val="single" w:sz="4" w:space="0" w:color="auto"/>
              <w:bottom w:val="single" w:sz="4" w:space="0" w:color="auto"/>
              <w:right w:val="single" w:sz="4" w:space="0" w:color="auto"/>
            </w:tcBorders>
          </w:tcPr>
          <w:p w14:paraId="387435DE" w14:textId="77777777" w:rsidR="001F04FD" w:rsidRDefault="001F04FD" w:rsidP="00AC4DEE">
            <w:pPr>
              <w:pStyle w:val="TableBody"/>
              <w:rPr>
                <w:i/>
              </w:rPr>
            </w:pPr>
            <w:r>
              <w:rPr>
                <w:i/>
              </w:rPr>
              <w:t>Procured Capacity for Non-Spin by QSE by market—</w:t>
            </w:r>
            <w:r>
              <w:t xml:space="preserve">The portion of QSE </w:t>
            </w:r>
            <w:r>
              <w:rPr>
                <w:i/>
              </w:rPr>
              <w:t>q</w:t>
            </w:r>
            <w:r>
              <w:t xml:space="preserve">’s Ancillary Service Offer cleared in the market </w:t>
            </w:r>
            <w:r>
              <w:rPr>
                <w:i/>
              </w:rPr>
              <w:t>m</w:t>
            </w:r>
            <w:r>
              <w:t xml:space="preserve"> to provide Non-Spin, for the hour.</w:t>
            </w:r>
          </w:p>
        </w:tc>
      </w:tr>
      <w:tr w:rsidR="001F04FD" w14:paraId="3F3FB761"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7CB03035" w14:textId="77777777" w:rsidR="001F04FD" w:rsidRDefault="001F04FD" w:rsidP="00AC4DEE">
            <w:pPr>
              <w:pStyle w:val="TableBody"/>
            </w:pPr>
            <w:r>
              <w:t xml:space="preserve">PCNSR </w:t>
            </w:r>
            <w:r w:rsidRPr="00C26BA9">
              <w:rPr>
                <w:i/>
                <w:vertAlign w:val="subscript"/>
              </w:rPr>
              <w:t>q,r, m</w:t>
            </w:r>
          </w:p>
        </w:tc>
        <w:tc>
          <w:tcPr>
            <w:tcW w:w="820" w:type="dxa"/>
            <w:tcBorders>
              <w:top w:val="single" w:sz="4" w:space="0" w:color="auto"/>
              <w:left w:val="single" w:sz="4" w:space="0" w:color="auto"/>
              <w:bottom w:val="single" w:sz="4" w:space="0" w:color="auto"/>
              <w:right w:val="single" w:sz="4" w:space="0" w:color="auto"/>
            </w:tcBorders>
          </w:tcPr>
          <w:p w14:paraId="0E366522" w14:textId="77777777" w:rsidR="001F04FD" w:rsidRDefault="001F04FD" w:rsidP="00AC4DEE">
            <w:pPr>
              <w:pStyle w:val="TableBody"/>
            </w:pPr>
            <w:r>
              <w:t>MW</w:t>
            </w:r>
          </w:p>
        </w:tc>
        <w:tc>
          <w:tcPr>
            <w:tcW w:w="6582" w:type="dxa"/>
            <w:tcBorders>
              <w:top w:val="single" w:sz="4" w:space="0" w:color="auto"/>
              <w:left w:val="single" w:sz="4" w:space="0" w:color="auto"/>
              <w:bottom w:val="single" w:sz="4" w:space="0" w:color="auto"/>
              <w:right w:val="single" w:sz="4" w:space="0" w:color="auto"/>
            </w:tcBorders>
          </w:tcPr>
          <w:p w14:paraId="57D270D6" w14:textId="77777777" w:rsidR="001F04FD" w:rsidRDefault="001F04FD" w:rsidP="00AC4DEE">
            <w:pPr>
              <w:pStyle w:val="TableBody"/>
            </w:pPr>
            <w:r>
              <w:rPr>
                <w:i/>
              </w:rPr>
              <w:t>Procured Capacity for Non-Spin from Resource per Resource per QSE by market</w:t>
            </w:r>
            <w:r>
              <w:t xml:space="preserve">—The Non-Spin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2B13643E"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0A6AE4D3" w14:textId="77777777" w:rsidR="001F04FD" w:rsidRPr="00CE0FC9" w:rsidRDefault="001F04FD" w:rsidP="00AC4DEE">
            <w:pPr>
              <w:pStyle w:val="TableBody"/>
              <w:rPr>
                <w:i/>
              </w:rPr>
            </w:pPr>
            <w:r w:rsidRPr="00D661BC">
              <w:rPr>
                <w:i/>
              </w:rPr>
              <w:t>m</w:t>
            </w:r>
          </w:p>
        </w:tc>
        <w:tc>
          <w:tcPr>
            <w:tcW w:w="820" w:type="dxa"/>
            <w:tcBorders>
              <w:top w:val="single" w:sz="4" w:space="0" w:color="auto"/>
              <w:left w:val="single" w:sz="4" w:space="0" w:color="auto"/>
              <w:bottom w:val="single" w:sz="4" w:space="0" w:color="auto"/>
              <w:right w:val="single" w:sz="4" w:space="0" w:color="auto"/>
            </w:tcBorders>
          </w:tcPr>
          <w:p w14:paraId="41D92B4C" w14:textId="77777777" w:rsidR="001F04FD" w:rsidRDefault="001F04FD" w:rsidP="00AC4DEE">
            <w:pPr>
              <w:pStyle w:val="TableBody"/>
            </w:pPr>
            <w:r>
              <w:t>none</w:t>
            </w:r>
          </w:p>
        </w:tc>
        <w:tc>
          <w:tcPr>
            <w:tcW w:w="6582" w:type="dxa"/>
            <w:tcBorders>
              <w:top w:val="single" w:sz="4" w:space="0" w:color="auto"/>
              <w:left w:val="single" w:sz="4" w:space="0" w:color="auto"/>
              <w:bottom w:val="single" w:sz="4" w:space="0" w:color="auto"/>
              <w:right w:val="single" w:sz="4" w:space="0" w:color="auto"/>
            </w:tcBorders>
          </w:tcPr>
          <w:p w14:paraId="435EE8BD" w14:textId="77777777" w:rsidR="001F04FD" w:rsidRDefault="001F04FD" w:rsidP="00AC4DEE">
            <w:pPr>
              <w:pStyle w:val="TableBody"/>
            </w:pPr>
            <w:r>
              <w:t>An Ancillary Service market (SASM or RSASM).</w:t>
            </w:r>
          </w:p>
        </w:tc>
      </w:tr>
      <w:tr w:rsidR="001F04FD" w14:paraId="50BF5C33"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21F9603D" w14:textId="77777777" w:rsidR="001F04FD" w:rsidRPr="00CE0FC9" w:rsidRDefault="001F04FD" w:rsidP="00AC4DEE">
            <w:pPr>
              <w:pStyle w:val="TableBody"/>
              <w:rPr>
                <w:i/>
              </w:rPr>
            </w:pPr>
            <w:r w:rsidRPr="00D661BC">
              <w:rPr>
                <w:i/>
              </w:rPr>
              <w:t>q</w:t>
            </w:r>
          </w:p>
        </w:tc>
        <w:tc>
          <w:tcPr>
            <w:tcW w:w="820" w:type="dxa"/>
            <w:tcBorders>
              <w:top w:val="single" w:sz="4" w:space="0" w:color="auto"/>
              <w:left w:val="single" w:sz="4" w:space="0" w:color="auto"/>
              <w:bottom w:val="single" w:sz="4" w:space="0" w:color="auto"/>
              <w:right w:val="single" w:sz="4" w:space="0" w:color="auto"/>
            </w:tcBorders>
          </w:tcPr>
          <w:p w14:paraId="76EDC319" w14:textId="77777777" w:rsidR="001F04FD" w:rsidRDefault="001F04FD" w:rsidP="00AC4DEE">
            <w:pPr>
              <w:pStyle w:val="TableBody"/>
            </w:pPr>
            <w:r>
              <w:t>none</w:t>
            </w:r>
          </w:p>
        </w:tc>
        <w:tc>
          <w:tcPr>
            <w:tcW w:w="6582" w:type="dxa"/>
            <w:tcBorders>
              <w:top w:val="single" w:sz="4" w:space="0" w:color="auto"/>
              <w:left w:val="single" w:sz="4" w:space="0" w:color="auto"/>
              <w:bottom w:val="single" w:sz="4" w:space="0" w:color="auto"/>
              <w:right w:val="single" w:sz="4" w:space="0" w:color="auto"/>
            </w:tcBorders>
          </w:tcPr>
          <w:p w14:paraId="1A62861A" w14:textId="77777777" w:rsidR="001F04FD" w:rsidRDefault="001F04FD" w:rsidP="00AC4DEE">
            <w:pPr>
              <w:pStyle w:val="TableBody"/>
            </w:pPr>
            <w:r>
              <w:t>A QSE.</w:t>
            </w:r>
          </w:p>
        </w:tc>
      </w:tr>
      <w:tr w:rsidR="001F04FD" w14:paraId="4FF5162A"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5840F8AD" w14:textId="77777777" w:rsidR="001F04FD" w:rsidRPr="00CE0FC9" w:rsidRDefault="001F04FD" w:rsidP="00AC4DEE">
            <w:pPr>
              <w:pStyle w:val="TableBody"/>
              <w:rPr>
                <w:i/>
              </w:rPr>
            </w:pPr>
            <w:r w:rsidRPr="00D661BC">
              <w:rPr>
                <w:i/>
              </w:rPr>
              <w:lastRenderedPageBreak/>
              <w:t>r</w:t>
            </w:r>
          </w:p>
        </w:tc>
        <w:tc>
          <w:tcPr>
            <w:tcW w:w="820" w:type="dxa"/>
            <w:tcBorders>
              <w:top w:val="single" w:sz="4" w:space="0" w:color="auto"/>
              <w:left w:val="single" w:sz="4" w:space="0" w:color="auto"/>
              <w:bottom w:val="single" w:sz="4" w:space="0" w:color="auto"/>
              <w:right w:val="single" w:sz="4" w:space="0" w:color="auto"/>
            </w:tcBorders>
          </w:tcPr>
          <w:p w14:paraId="4F90F11E" w14:textId="77777777" w:rsidR="001F04FD" w:rsidRDefault="001F04FD" w:rsidP="00AC4DEE">
            <w:pPr>
              <w:pStyle w:val="TableBody"/>
            </w:pPr>
            <w:r>
              <w:t>none</w:t>
            </w:r>
          </w:p>
        </w:tc>
        <w:tc>
          <w:tcPr>
            <w:tcW w:w="6582" w:type="dxa"/>
            <w:tcBorders>
              <w:top w:val="single" w:sz="4" w:space="0" w:color="auto"/>
              <w:left w:val="single" w:sz="4" w:space="0" w:color="auto"/>
              <w:bottom w:val="single" w:sz="4" w:space="0" w:color="auto"/>
              <w:right w:val="single" w:sz="4" w:space="0" w:color="auto"/>
            </w:tcBorders>
          </w:tcPr>
          <w:p w14:paraId="067EF7CD" w14:textId="77777777" w:rsidR="001F04FD" w:rsidRDefault="001F04FD" w:rsidP="00AC4DEE">
            <w:pPr>
              <w:pStyle w:val="TableBody"/>
            </w:pPr>
            <w:r>
              <w:t>A Generation Resource.</w:t>
            </w:r>
          </w:p>
        </w:tc>
      </w:tr>
    </w:tbl>
    <w:p w14:paraId="0FEF3A6B" w14:textId="77777777" w:rsidR="00F371D4" w:rsidRPr="00F77320" w:rsidRDefault="00F371D4" w:rsidP="00F371D4">
      <w:pPr>
        <w:spacing w:before="240" w:after="240"/>
        <w:ind w:left="1440" w:hanging="720"/>
        <w:rPr>
          <w:iCs/>
        </w:rPr>
      </w:pPr>
      <w:r w:rsidRPr="0003648D">
        <w:t>(e)</w:t>
      </w:r>
      <w:r w:rsidRPr="0003648D">
        <w:tab/>
      </w:r>
      <w:r w:rsidRPr="00F77320">
        <w:rPr>
          <w:iCs/>
        </w:rPr>
        <w:t>For ERCOT Contingency Reserve Service (ECRS), if applicable:</w:t>
      </w:r>
    </w:p>
    <w:p w14:paraId="67A0C50E" w14:textId="77777777" w:rsidR="00F371D4" w:rsidRPr="00B9372B" w:rsidRDefault="00F371D4" w:rsidP="00F371D4">
      <w:pPr>
        <w:tabs>
          <w:tab w:val="left" w:pos="2340"/>
          <w:tab w:val="left" w:pos="3420"/>
        </w:tabs>
        <w:spacing w:after="240"/>
        <w:ind w:left="3420" w:hanging="2700"/>
        <w:rPr>
          <w:b/>
          <w:bCs/>
        </w:rPr>
      </w:pPr>
      <w:r w:rsidRPr="00B9372B">
        <w:rPr>
          <w:b/>
          <w:bCs/>
        </w:rPr>
        <w:t xml:space="preserve">RTPCECRAMT </w:t>
      </w:r>
      <w:r w:rsidRPr="00B9372B">
        <w:rPr>
          <w:b/>
          <w:bCs/>
          <w:i/>
          <w:vertAlign w:val="subscript"/>
        </w:rPr>
        <w:t>q, m</w:t>
      </w:r>
      <w:r w:rsidRPr="00B9372B">
        <w:rPr>
          <w:b/>
          <w:bCs/>
        </w:rPr>
        <w:tab/>
        <w:t>=</w:t>
      </w:r>
      <w:r w:rsidRPr="00B9372B">
        <w:rPr>
          <w:b/>
          <w:bCs/>
        </w:rPr>
        <w:tab/>
        <w:t xml:space="preserve">(-1) * MCPCECR </w:t>
      </w:r>
      <w:r w:rsidRPr="00B9372B">
        <w:rPr>
          <w:b/>
          <w:bCs/>
          <w:i/>
          <w:vertAlign w:val="subscript"/>
        </w:rPr>
        <w:t>m</w:t>
      </w:r>
      <w:r w:rsidRPr="00B9372B">
        <w:rPr>
          <w:b/>
          <w:bCs/>
        </w:rPr>
        <w:t xml:space="preserve"> * RTPCECR </w:t>
      </w:r>
      <w:r w:rsidRPr="00B9372B">
        <w:rPr>
          <w:b/>
          <w:bCs/>
          <w:i/>
          <w:vertAlign w:val="subscript"/>
        </w:rPr>
        <w:t>q, m</w:t>
      </w:r>
    </w:p>
    <w:p w14:paraId="1DB48E0B" w14:textId="77777777" w:rsidR="00F371D4" w:rsidRPr="00F77320" w:rsidRDefault="00F371D4" w:rsidP="00F371D4">
      <w:pPr>
        <w:spacing w:before="120" w:after="120"/>
        <w:rPr>
          <w:lang w:val="pt-BR"/>
        </w:rPr>
      </w:pPr>
      <w:r w:rsidRPr="00F77320">
        <w:rPr>
          <w:lang w:val="pt-BR"/>
        </w:rPr>
        <w:t>Where:</w:t>
      </w:r>
    </w:p>
    <w:p w14:paraId="32B9FB50" w14:textId="77777777" w:rsidR="00F371D4" w:rsidRPr="00F77320" w:rsidRDefault="00F371D4" w:rsidP="00F371D4">
      <w:pPr>
        <w:tabs>
          <w:tab w:val="left" w:pos="2340"/>
          <w:tab w:val="left" w:pos="3420"/>
        </w:tabs>
        <w:spacing w:after="240"/>
        <w:ind w:left="3420" w:hanging="2700"/>
        <w:rPr>
          <w:bCs/>
          <w:lang w:val="pt-BR"/>
        </w:rPr>
      </w:pPr>
      <w:r w:rsidRPr="00F77320">
        <w:rPr>
          <w:bCs/>
          <w:lang w:val="pt-BR"/>
        </w:rPr>
        <w:t xml:space="preserve">RTPCECR </w:t>
      </w:r>
      <w:r w:rsidRPr="00F77320">
        <w:rPr>
          <w:bCs/>
          <w:i/>
          <w:vertAlign w:val="subscript"/>
          <w:lang w:val="pt-BR"/>
        </w:rPr>
        <w:t>q,</w:t>
      </w:r>
      <w:r w:rsidRPr="00F77320">
        <w:rPr>
          <w:bCs/>
          <w:vertAlign w:val="subscript"/>
          <w:lang w:val="pt-BR"/>
        </w:rPr>
        <w:t xml:space="preserve"> </w:t>
      </w:r>
      <w:r w:rsidRPr="00F77320">
        <w:rPr>
          <w:bCs/>
          <w:i/>
          <w:vertAlign w:val="subscript"/>
          <w:lang w:val="pt-BR"/>
        </w:rPr>
        <w:t>m</w:t>
      </w:r>
      <w:r w:rsidRPr="00F77320">
        <w:rPr>
          <w:bCs/>
          <w:lang w:val="pt-BR"/>
        </w:rPr>
        <w:tab/>
        <w:t>=</w:t>
      </w:r>
      <w:r w:rsidRPr="00F77320">
        <w:rPr>
          <w:bCs/>
          <w:lang w:val="pt-BR"/>
        </w:rPr>
        <w:tab/>
      </w:r>
      <w:r w:rsidRPr="00F77320">
        <w:rPr>
          <w:bCs/>
          <w:position w:val="-18"/>
        </w:rPr>
        <w:object w:dxaOrig="225" w:dyaOrig="420" w14:anchorId="7E6F53CF">
          <v:shape id="_x0000_i1317" type="#_x0000_t75" style="width:12pt;height:24pt" o:ole="">
            <v:imagedata r:id="rId387" o:title=""/>
          </v:shape>
          <o:OLEObject Type="Embed" ProgID="Equation.3" ShapeID="_x0000_i1317" DrawAspect="Content" ObjectID="_1815025505" r:id="rId392"/>
        </w:object>
      </w:r>
      <w:r w:rsidRPr="00F77320">
        <w:rPr>
          <w:bCs/>
          <w:lang w:val="pt-BR"/>
        </w:rPr>
        <w:t>PCECRR</w:t>
      </w:r>
      <w:r w:rsidRPr="00F77320">
        <w:rPr>
          <w:bCs/>
          <w:i/>
          <w:lang w:val="pt-BR"/>
        </w:rPr>
        <w:t xml:space="preserve"> </w:t>
      </w:r>
      <w:r w:rsidRPr="00F77320">
        <w:rPr>
          <w:bCs/>
          <w:i/>
          <w:vertAlign w:val="subscript"/>
          <w:lang w:val="pt-BR"/>
        </w:rPr>
        <w:t xml:space="preserve"> q, r, m</w:t>
      </w:r>
    </w:p>
    <w:p w14:paraId="23EAF233" w14:textId="77777777" w:rsidR="00F371D4" w:rsidRPr="00F77320" w:rsidRDefault="00F371D4" w:rsidP="00F371D4">
      <w:r w:rsidRPr="00F77320">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392"/>
      </w:tblGrid>
      <w:tr w:rsidR="00F371D4" w:rsidRPr="00F77320" w14:paraId="0BB6CF3F" w14:textId="77777777" w:rsidTr="00B82144">
        <w:trPr>
          <w:cantSplit/>
          <w:tblHeader/>
        </w:trPr>
        <w:tc>
          <w:tcPr>
            <w:tcW w:w="2153" w:type="dxa"/>
          </w:tcPr>
          <w:p w14:paraId="075A429B" w14:textId="77777777" w:rsidR="00F371D4" w:rsidRPr="00F77320" w:rsidRDefault="00F371D4" w:rsidP="00B82144">
            <w:pPr>
              <w:spacing w:after="240"/>
              <w:rPr>
                <w:b/>
                <w:iCs/>
                <w:sz w:val="20"/>
              </w:rPr>
            </w:pPr>
            <w:r w:rsidRPr="00F77320">
              <w:rPr>
                <w:b/>
                <w:iCs/>
                <w:sz w:val="20"/>
              </w:rPr>
              <w:t>Variable</w:t>
            </w:r>
          </w:p>
        </w:tc>
        <w:tc>
          <w:tcPr>
            <w:tcW w:w="810" w:type="dxa"/>
          </w:tcPr>
          <w:p w14:paraId="2CB9F101" w14:textId="77777777" w:rsidR="00F371D4" w:rsidRPr="00F77320" w:rsidRDefault="00F371D4" w:rsidP="00B82144">
            <w:pPr>
              <w:spacing w:after="240"/>
              <w:rPr>
                <w:b/>
                <w:iCs/>
                <w:sz w:val="20"/>
              </w:rPr>
            </w:pPr>
            <w:r w:rsidRPr="00F77320">
              <w:rPr>
                <w:b/>
                <w:iCs/>
                <w:sz w:val="20"/>
              </w:rPr>
              <w:t>Unit</w:t>
            </w:r>
          </w:p>
        </w:tc>
        <w:tc>
          <w:tcPr>
            <w:tcW w:w="6392" w:type="dxa"/>
          </w:tcPr>
          <w:p w14:paraId="745F6BC8" w14:textId="77777777" w:rsidR="00F371D4" w:rsidRPr="00F77320" w:rsidRDefault="00F371D4" w:rsidP="00B82144">
            <w:pPr>
              <w:spacing w:after="240"/>
              <w:rPr>
                <w:b/>
                <w:iCs/>
                <w:sz w:val="20"/>
              </w:rPr>
            </w:pPr>
            <w:r w:rsidRPr="00F77320">
              <w:rPr>
                <w:b/>
                <w:iCs/>
                <w:sz w:val="20"/>
              </w:rPr>
              <w:t>Description</w:t>
            </w:r>
          </w:p>
        </w:tc>
      </w:tr>
      <w:tr w:rsidR="00F371D4" w:rsidRPr="00F77320" w14:paraId="50B90D9D" w14:textId="77777777" w:rsidTr="00B82144">
        <w:trPr>
          <w:cantSplit/>
        </w:trPr>
        <w:tc>
          <w:tcPr>
            <w:tcW w:w="2153" w:type="dxa"/>
          </w:tcPr>
          <w:p w14:paraId="7F395376" w14:textId="77777777" w:rsidR="00F371D4" w:rsidRPr="00F77320" w:rsidRDefault="00F371D4" w:rsidP="00B82144">
            <w:pPr>
              <w:spacing w:after="60"/>
              <w:rPr>
                <w:iCs/>
                <w:sz w:val="20"/>
              </w:rPr>
            </w:pPr>
            <w:r w:rsidRPr="00F77320">
              <w:rPr>
                <w:iCs/>
                <w:sz w:val="20"/>
              </w:rPr>
              <w:t xml:space="preserve">RTPCECRAMT </w:t>
            </w:r>
            <w:r w:rsidRPr="00F77320">
              <w:rPr>
                <w:i/>
                <w:iCs/>
                <w:sz w:val="20"/>
                <w:vertAlign w:val="subscript"/>
              </w:rPr>
              <w:t>q, m</w:t>
            </w:r>
          </w:p>
        </w:tc>
        <w:tc>
          <w:tcPr>
            <w:tcW w:w="810" w:type="dxa"/>
          </w:tcPr>
          <w:p w14:paraId="5543E32E" w14:textId="77777777" w:rsidR="00F371D4" w:rsidRPr="00F77320" w:rsidRDefault="00F371D4" w:rsidP="00B82144">
            <w:pPr>
              <w:spacing w:after="60"/>
              <w:rPr>
                <w:iCs/>
                <w:sz w:val="20"/>
              </w:rPr>
            </w:pPr>
            <w:r w:rsidRPr="00F77320">
              <w:rPr>
                <w:iCs/>
                <w:sz w:val="20"/>
              </w:rPr>
              <w:t>$</w:t>
            </w:r>
          </w:p>
        </w:tc>
        <w:tc>
          <w:tcPr>
            <w:tcW w:w="6392" w:type="dxa"/>
          </w:tcPr>
          <w:p w14:paraId="286F4BBB" w14:textId="77777777" w:rsidR="00F371D4" w:rsidRPr="00F77320" w:rsidRDefault="00F371D4" w:rsidP="00B82144">
            <w:pPr>
              <w:spacing w:after="60"/>
              <w:rPr>
                <w:iCs/>
                <w:sz w:val="20"/>
              </w:rPr>
            </w:pPr>
            <w:r w:rsidRPr="00F77320">
              <w:rPr>
                <w:i/>
                <w:iCs/>
                <w:sz w:val="20"/>
              </w:rPr>
              <w:t>Procured Capacity for ERCOT Contingency Reserve Service Amount by QSE by market</w:t>
            </w:r>
            <w:r w:rsidRPr="00F77320">
              <w:rPr>
                <w:iCs/>
                <w:sz w:val="20"/>
              </w:rPr>
              <w:t xml:space="preserve">—The payment to QSE </w:t>
            </w:r>
            <w:r w:rsidRPr="00F77320">
              <w:rPr>
                <w:i/>
                <w:iCs/>
                <w:sz w:val="20"/>
              </w:rPr>
              <w:t>q</w:t>
            </w:r>
            <w:r w:rsidRPr="00F77320">
              <w:rPr>
                <w:iCs/>
                <w:sz w:val="20"/>
              </w:rPr>
              <w:t xml:space="preserve"> for the Ancillary Service Offer cleared in the market </w:t>
            </w:r>
            <w:r w:rsidRPr="00F77320">
              <w:rPr>
                <w:i/>
                <w:iCs/>
                <w:sz w:val="20"/>
              </w:rPr>
              <w:t>m</w:t>
            </w:r>
            <w:r w:rsidRPr="00F77320">
              <w:rPr>
                <w:iCs/>
                <w:sz w:val="20"/>
              </w:rPr>
              <w:t xml:space="preserve"> to provide ECRS, for the hour.</w:t>
            </w:r>
          </w:p>
        </w:tc>
      </w:tr>
      <w:tr w:rsidR="00F371D4" w:rsidRPr="00F77320" w14:paraId="60B770D8"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664C2137" w14:textId="77777777" w:rsidR="00F371D4" w:rsidRPr="00F77320" w:rsidRDefault="00F371D4" w:rsidP="00B82144">
            <w:pPr>
              <w:spacing w:after="60"/>
              <w:rPr>
                <w:iCs/>
                <w:sz w:val="20"/>
              </w:rPr>
            </w:pPr>
            <w:r w:rsidRPr="00F77320">
              <w:rPr>
                <w:iCs/>
                <w:sz w:val="20"/>
              </w:rPr>
              <w:t>MCPCECR</w:t>
            </w:r>
            <w:r w:rsidRPr="00F77320">
              <w:rPr>
                <w:i/>
                <w:iCs/>
                <w:sz w:val="20"/>
              </w:rPr>
              <w:t xml:space="preserve"> </w:t>
            </w:r>
            <w:r w:rsidRPr="00F77320">
              <w:rPr>
                <w:i/>
                <w:iCs/>
                <w:sz w:val="20"/>
                <w:vertAlign w:val="subscript"/>
              </w:rPr>
              <w:t>m</w:t>
            </w:r>
          </w:p>
        </w:tc>
        <w:tc>
          <w:tcPr>
            <w:tcW w:w="810" w:type="dxa"/>
            <w:tcBorders>
              <w:top w:val="single" w:sz="4" w:space="0" w:color="auto"/>
              <w:left w:val="single" w:sz="4" w:space="0" w:color="auto"/>
              <w:bottom w:val="single" w:sz="4" w:space="0" w:color="auto"/>
              <w:right w:val="single" w:sz="4" w:space="0" w:color="auto"/>
            </w:tcBorders>
          </w:tcPr>
          <w:p w14:paraId="11A32B60" w14:textId="77777777" w:rsidR="00F371D4" w:rsidRPr="00F77320" w:rsidRDefault="00F371D4" w:rsidP="00B82144">
            <w:pPr>
              <w:spacing w:after="60"/>
              <w:rPr>
                <w:iCs/>
                <w:sz w:val="20"/>
              </w:rPr>
            </w:pPr>
            <w:r w:rsidRPr="00F77320">
              <w:rPr>
                <w:iCs/>
                <w:sz w:val="20"/>
              </w:rPr>
              <w:t>$/MW per hour</w:t>
            </w:r>
          </w:p>
        </w:tc>
        <w:tc>
          <w:tcPr>
            <w:tcW w:w="6392" w:type="dxa"/>
            <w:tcBorders>
              <w:top w:val="single" w:sz="4" w:space="0" w:color="auto"/>
              <w:left w:val="single" w:sz="4" w:space="0" w:color="auto"/>
              <w:bottom w:val="single" w:sz="4" w:space="0" w:color="auto"/>
              <w:right w:val="single" w:sz="4" w:space="0" w:color="auto"/>
            </w:tcBorders>
          </w:tcPr>
          <w:p w14:paraId="3BC3C709" w14:textId="77777777" w:rsidR="00F371D4" w:rsidRPr="00F77320" w:rsidRDefault="00F371D4" w:rsidP="00B82144">
            <w:pPr>
              <w:spacing w:after="60"/>
              <w:rPr>
                <w:i/>
                <w:iCs/>
                <w:sz w:val="20"/>
              </w:rPr>
            </w:pPr>
            <w:r w:rsidRPr="00F77320">
              <w:rPr>
                <w:i/>
                <w:iCs/>
                <w:sz w:val="20"/>
              </w:rPr>
              <w:t>Market Clearing Price for Capacity for ERCOT Contingency Reserve Service by market—</w:t>
            </w:r>
            <w:r w:rsidRPr="00F77320">
              <w:rPr>
                <w:iCs/>
                <w:sz w:val="20"/>
              </w:rPr>
              <w:t xml:space="preserve">The MCPC for ECRS from the market </w:t>
            </w:r>
            <w:r w:rsidRPr="00F77320">
              <w:rPr>
                <w:i/>
                <w:iCs/>
                <w:sz w:val="20"/>
              </w:rPr>
              <w:t>m</w:t>
            </w:r>
            <w:r w:rsidRPr="00F77320">
              <w:rPr>
                <w:iCs/>
                <w:sz w:val="20"/>
              </w:rPr>
              <w:t>, for the hour.</w:t>
            </w:r>
          </w:p>
        </w:tc>
      </w:tr>
      <w:tr w:rsidR="00F371D4" w:rsidRPr="00F77320" w14:paraId="462A9F3F"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787100BB" w14:textId="77777777" w:rsidR="00F371D4" w:rsidRPr="00F77320" w:rsidRDefault="00F371D4" w:rsidP="00B82144">
            <w:pPr>
              <w:spacing w:after="60"/>
              <w:rPr>
                <w:iCs/>
                <w:sz w:val="20"/>
              </w:rPr>
            </w:pPr>
            <w:r w:rsidRPr="00F77320">
              <w:rPr>
                <w:iCs/>
                <w:sz w:val="20"/>
              </w:rPr>
              <w:t xml:space="preserve">RTPCECR </w:t>
            </w:r>
            <w:r w:rsidRPr="00F77320">
              <w:rPr>
                <w:i/>
                <w:iCs/>
                <w:sz w:val="20"/>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22360637" w14:textId="77777777" w:rsidR="00F371D4" w:rsidRPr="00F77320" w:rsidRDefault="00F371D4" w:rsidP="00B82144">
            <w:pPr>
              <w:spacing w:after="60"/>
              <w:rPr>
                <w:iCs/>
                <w:sz w:val="20"/>
              </w:rPr>
            </w:pPr>
            <w:r w:rsidRPr="00F77320">
              <w:rPr>
                <w:iCs/>
                <w:sz w:val="20"/>
              </w:rPr>
              <w:t>MW</w:t>
            </w:r>
          </w:p>
        </w:tc>
        <w:tc>
          <w:tcPr>
            <w:tcW w:w="6392" w:type="dxa"/>
            <w:tcBorders>
              <w:top w:val="single" w:sz="4" w:space="0" w:color="auto"/>
              <w:left w:val="single" w:sz="4" w:space="0" w:color="auto"/>
              <w:bottom w:val="single" w:sz="4" w:space="0" w:color="auto"/>
              <w:right w:val="single" w:sz="4" w:space="0" w:color="auto"/>
            </w:tcBorders>
          </w:tcPr>
          <w:p w14:paraId="0D991E43" w14:textId="77777777" w:rsidR="00F371D4" w:rsidRPr="00F77320" w:rsidRDefault="00F371D4" w:rsidP="00B82144">
            <w:pPr>
              <w:spacing w:after="60"/>
              <w:rPr>
                <w:i/>
                <w:iCs/>
                <w:sz w:val="20"/>
              </w:rPr>
            </w:pPr>
            <w:r w:rsidRPr="00F77320">
              <w:rPr>
                <w:i/>
                <w:iCs/>
                <w:sz w:val="20"/>
              </w:rPr>
              <w:t>Procured Capacity for ERCOT Contingency Reserve Service by QSE by market—</w:t>
            </w:r>
            <w:r w:rsidRPr="00F77320">
              <w:rPr>
                <w:iCs/>
                <w:sz w:val="20"/>
              </w:rPr>
              <w:t xml:space="preserve">The portion of QSE </w:t>
            </w:r>
            <w:r w:rsidRPr="00F77320">
              <w:rPr>
                <w:i/>
                <w:iCs/>
                <w:sz w:val="20"/>
              </w:rPr>
              <w:t>q</w:t>
            </w:r>
            <w:r w:rsidRPr="00F77320">
              <w:rPr>
                <w:iCs/>
                <w:sz w:val="20"/>
              </w:rPr>
              <w:t xml:space="preserve"> Ancillary Service Offers cleared in the market </w:t>
            </w:r>
            <w:r w:rsidRPr="00F77320">
              <w:rPr>
                <w:i/>
                <w:iCs/>
                <w:sz w:val="20"/>
              </w:rPr>
              <w:t>m</w:t>
            </w:r>
            <w:r w:rsidRPr="00F77320">
              <w:rPr>
                <w:iCs/>
                <w:sz w:val="20"/>
              </w:rPr>
              <w:t xml:space="preserve"> to provide ECRS, for the hour.</w:t>
            </w:r>
          </w:p>
        </w:tc>
      </w:tr>
      <w:tr w:rsidR="00F371D4" w:rsidRPr="00F77320" w14:paraId="7759D1E4"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6C2C027C" w14:textId="77777777" w:rsidR="00F371D4" w:rsidRPr="00F77320" w:rsidRDefault="00F371D4" w:rsidP="00B82144">
            <w:pPr>
              <w:spacing w:after="60"/>
              <w:rPr>
                <w:iCs/>
                <w:sz w:val="20"/>
              </w:rPr>
            </w:pPr>
            <w:r w:rsidRPr="00F77320">
              <w:rPr>
                <w:iCs/>
                <w:sz w:val="20"/>
              </w:rPr>
              <w:t xml:space="preserve">PCECRR </w:t>
            </w:r>
            <w:r w:rsidRPr="00F77320">
              <w:rPr>
                <w:i/>
                <w:iCs/>
                <w:sz w:val="20"/>
                <w:vertAlign w:val="subscript"/>
              </w:rPr>
              <w:t>q, r, m</w:t>
            </w:r>
          </w:p>
        </w:tc>
        <w:tc>
          <w:tcPr>
            <w:tcW w:w="810" w:type="dxa"/>
            <w:tcBorders>
              <w:top w:val="single" w:sz="4" w:space="0" w:color="auto"/>
              <w:left w:val="single" w:sz="4" w:space="0" w:color="auto"/>
              <w:bottom w:val="single" w:sz="4" w:space="0" w:color="auto"/>
              <w:right w:val="single" w:sz="4" w:space="0" w:color="auto"/>
            </w:tcBorders>
          </w:tcPr>
          <w:p w14:paraId="6F683DA3" w14:textId="77777777" w:rsidR="00F371D4" w:rsidRPr="00F77320" w:rsidRDefault="00F371D4" w:rsidP="00B82144">
            <w:pPr>
              <w:spacing w:after="60"/>
              <w:rPr>
                <w:iCs/>
                <w:sz w:val="20"/>
              </w:rPr>
            </w:pPr>
            <w:r w:rsidRPr="00F77320">
              <w:rPr>
                <w:iCs/>
                <w:sz w:val="20"/>
              </w:rPr>
              <w:t>MW</w:t>
            </w:r>
          </w:p>
        </w:tc>
        <w:tc>
          <w:tcPr>
            <w:tcW w:w="6392" w:type="dxa"/>
            <w:tcBorders>
              <w:top w:val="single" w:sz="4" w:space="0" w:color="auto"/>
              <w:left w:val="single" w:sz="4" w:space="0" w:color="auto"/>
              <w:bottom w:val="single" w:sz="4" w:space="0" w:color="auto"/>
              <w:right w:val="single" w:sz="4" w:space="0" w:color="auto"/>
            </w:tcBorders>
          </w:tcPr>
          <w:p w14:paraId="0D119A51" w14:textId="77777777" w:rsidR="00F371D4" w:rsidRPr="00F77320" w:rsidRDefault="00F371D4" w:rsidP="00B82144">
            <w:pPr>
              <w:spacing w:after="60"/>
              <w:rPr>
                <w:iCs/>
                <w:sz w:val="20"/>
              </w:rPr>
            </w:pPr>
            <w:r w:rsidRPr="00F77320">
              <w:rPr>
                <w:i/>
                <w:iCs/>
                <w:sz w:val="20"/>
              </w:rPr>
              <w:t>Procured Capacity for ERCOT Contingency Reserve Service from Resource per Resource per QSE by market</w:t>
            </w:r>
            <w:r w:rsidRPr="00F77320">
              <w:rPr>
                <w:iCs/>
                <w:sz w:val="20"/>
              </w:rPr>
              <w:t xml:space="preserve">—The ECRS capacity quantity awarded to QSE </w:t>
            </w:r>
            <w:r w:rsidRPr="00F77320">
              <w:rPr>
                <w:i/>
                <w:iCs/>
                <w:sz w:val="20"/>
              </w:rPr>
              <w:t>q</w:t>
            </w:r>
            <w:r w:rsidRPr="00F77320">
              <w:rPr>
                <w:iCs/>
                <w:sz w:val="20"/>
              </w:rPr>
              <w:t xml:space="preserve"> in the market </w:t>
            </w:r>
            <w:r w:rsidRPr="00F77320">
              <w:rPr>
                <w:i/>
                <w:iCs/>
                <w:sz w:val="20"/>
              </w:rPr>
              <w:t>m</w:t>
            </w:r>
            <w:r w:rsidRPr="00F77320">
              <w:rPr>
                <w:iCs/>
                <w:sz w:val="20"/>
              </w:rPr>
              <w:t xml:space="preserve"> for Resource </w:t>
            </w:r>
            <w:r w:rsidRPr="00F77320">
              <w:rPr>
                <w:i/>
                <w:iCs/>
                <w:sz w:val="20"/>
              </w:rPr>
              <w:t>r</w:t>
            </w:r>
            <w:r w:rsidRPr="00F77320">
              <w:rPr>
                <w:iCs/>
                <w:sz w:val="20"/>
              </w:rPr>
              <w:t xml:space="preserve"> for the hour.  Where for a Combined Cycle Train, the Resource </w:t>
            </w:r>
            <w:r w:rsidRPr="00F77320">
              <w:rPr>
                <w:i/>
                <w:iCs/>
                <w:sz w:val="20"/>
              </w:rPr>
              <w:t xml:space="preserve">r </w:t>
            </w:r>
            <w:r w:rsidRPr="00F77320">
              <w:rPr>
                <w:iCs/>
                <w:sz w:val="20"/>
              </w:rPr>
              <w:t>is a Combined Cycle Generation Resource within the Combined Cycle Train.</w:t>
            </w:r>
          </w:p>
        </w:tc>
      </w:tr>
      <w:tr w:rsidR="00F371D4" w:rsidRPr="00F77320" w14:paraId="60C80C7F"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4BD60812" w14:textId="77777777" w:rsidR="00F371D4" w:rsidRPr="00F77320" w:rsidRDefault="00F371D4" w:rsidP="00B82144">
            <w:pPr>
              <w:spacing w:after="60"/>
              <w:rPr>
                <w:i/>
                <w:iCs/>
                <w:sz w:val="20"/>
              </w:rPr>
            </w:pPr>
            <w:r w:rsidRPr="00F77320">
              <w:rPr>
                <w:i/>
                <w:iCs/>
                <w:sz w:val="20"/>
              </w:rPr>
              <w:t>m</w:t>
            </w:r>
          </w:p>
        </w:tc>
        <w:tc>
          <w:tcPr>
            <w:tcW w:w="810" w:type="dxa"/>
            <w:tcBorders>
              <w:top w:val="single" w:sz="4" w:space="0" w:color="auto"/>
              <w:left w:val="single" w:sz="4" w:space="0" w:color="auto"/>
              <w:bottom w:val="single" w:sz="4" w:space="0" w:color="auto"/>
              <w:right w:val="single" w:sz="4" w:space="0" w:color="auto"/>
            </w:tcBorders>
          </w:tcPr>
          <w:p w14:paraId="6D007846" w14:textId="77777777" w:rsidR="00F371D4" w:rsidRPr="00F77320" w:rsidRDefault="00F371D4" w:rsidP="00B82144">
            <w:pPr>
              <w:spacing w:after="60"/>
              <w:rPr>
                <w:iCs/>
                <w:sz w:val="20"/>
              </w:rPr>
            </w:pPr>
            <w:r w:rsidRPr="00F77320">
              <w:rPr>
                <w:iCs/>
                <w:sz w:val="20"/>
              </w:rPr>
              <w:t>none</w:t>
            </w:r>
          </w:p>
        </w:tc>
        <w:tc>
          <w:tcPr>
            <w:tcW w:w="6392" w:type="dxa"/>
            <w:tcBorders>
              <w:top w:val="single" w:sz="4" w:space="0" w:color="auto"/>
              <w:left w:val="single" w:sz="4" w:space="0" w:color="auto"/>
              <w:bottom w:val="single" w:sz="4" w:space="0" w:color="auto"/>
              <w:right w:val="single" w:sz="4" w:space="0" w:color="auto"/>
            </w:tcBorders>
          </w:tcPr>
          <w:p w14:paraId="4612F82F" w14:textId="77777777" w:rsidR="00F371D4" w:rsidRPr="00F77320" w:rsidRDefault="00F371D4" w:rsidP="00B82144">
            <w:pPr>
              <w:spacing w:after="60"/>
              <w:rPr>
                <w:iCs/>
                <w:sz w:val="20"/>
              </w:rPr>
            </w:pPr>
            <w:r w:rsidRPr="00F77320">
              <w:rPr>
                <w:iCs/>
                <w:sz w:val="20"/>
              </w:rPr>
              <w:t>An Ancillary Service market (SASM or RSASM).</w:t>
            </w:r>
          </w:p>
        </w:tc>
      </w:tr>
      <w:tr w:rsidR="00F371D4" w:rsidRPr="00F77320" w14:paraId="7F4DCC5B"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759453C7" w14:textId="77777777" w:rsidR="00F371D4" w:rsidRPr="00F77320" w:rsidRDefault="00F371D4" w:rsidP="00B82144">
            <w:pPr>
              <w:spacing w:after="60"/>
              <w:rPr>
                <w:i/>
                <w:iCs/>
                <w:sz w:val="20"/>
              </w:rPr>
            </w:pPr>
            <w:r w:rsidRPr="00F77320">
              <w:rPr>
                <w:i/>
                <w:iCs/>
                <w:sz w:val="20"/>
              </w:rPr>
              <w:t>q</w:t>
            </w:r>
          </w:p>
        </w:tc>
        <w:tc>
          <w:tcPr>
            <w:tcW w:w="810" w:type="dxa"/>
            <w:tcBorders>
              <w:top w:val="single" w:sz="4" w:space="0" w:color="auto"/>
              <w:left w:val="single" w:sz="4" w:space="0" w:color="auto"/>
              <w:bottom w:val="single" w:sz="4" w:space="0" w:color="auto"/>
              <w:right w:val="single" w:sz="4" w:space="0" w:color="auto"/>
            </w:tcBorders>
          </w:tcPr>
          <w:p w14:paraId="565EEBDB" w14:textId="77777777" w:rsidR="00F371D4" w:rsidRPr="00F77320" w:rsidRDefault="00F371D4" w:rsidP="00B82144">
            <w:pPr>
              <w:spacing w:after="60"/>
              <w:rPr>
                <w:iCs/>
                <w:sz w:val="20"/>
              </w:rPr>
            </w:pPr>
            <w:r w:rsidRPr="00F77320">
              <w:rPr>
                <w:iCs/>
                <w:sz w:val="20"/>
              </w:rPr>
              <w:t>none</w:t>
            </w:r>
          </w:p>
        </w:tc>
        <w:tc>
          <w:tcPr>
            <w:tcW w:w="6392" w:type="dxa"/>
            <w:tcBorders>
              <w:top w:val="single" w:sz="4" w:space="0" w:color="auto"/>
              <w:left w:val="single" w:sz="4" w:space="0" w:color="auto"/>
              <w:bottom w:val="single" w:sz="4" w:space="0" w:color="auto"/>
              <w:right w:val="single" w:sz="4" w:space="0" w:color="auto"/>
            </w:tcBorders>
          </w:tcPr>
          <w:p w14:paraId="128B266D" w14:textId="77777777" w:rsidR="00F371D4" w:rsidRPr="00F77320" w:rsidRDefault="00F371D4" w:rsidP="00B82144">
            <w:pPr>
              <w:spacing w:after="60"/>
              <w:rPr>
                <w:iCs/>
                <w:sz w:val="20"/>
              </w:rPr>
            </w:pPr>
            <w:r w:rsidRPr="00F77320">
              <w:rPr>
                <w:iCs/>
                <w:sz w:val="20"/>
              </w:rPr>
              <w:t>A QSE.</w:t>
            </w:r>
          </w:p>
        </w:tc>
      </w:tr>
      <w:tr w:rsidR="00F371D4" w:rsidRPr="00F77320" w14:paraId="4EB7A67C"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66A5B811" w14:textId="77777777" w:rsidR="00F371D4" w:rsidRPr="00F77320" w:rsidRDefault="00F371D4" w:rsidP="00B82144">
            <w:pPr>
              <w:spacing w:after="60"/>
              <w:rPr>
                <w:i/>
                <w:iCs/>
                <w:sz w:val="20"/>
              </w:rPr>
            </w:pPr>
            <w:r w:rsidRPr="00F77320">
              <w:rPr>
                <w:i/>
                <w:iCs/>
                <w:sz w:val="20"/>
              </w:rPr>
              <w:t>r</w:t>
            </w:r>
          </w:p>
        </w:tc>
        <w:tc>
          <w:tcPr>
            <w:tcW w:w="810" w:type="dxa"/>
            <w:tcBorders>
              <w:top w:val="single" w:sz="4" w:space="0" w:color="auto"/>
              <w:left w:val="single" w:sz="4" w:space="0" w:color="auto"/>
              <w:bottom w:val="single" w:sz="4" w:space="0" w:color="auto"/>
              <w:right w:val="single" w:sz="4" w:space="0" w:color="auto"/>
            </w:tcBorders>
          </w:tcPr>
          <w:p w14:paraId="7E934B80" w14:textId="77777777" w:rsidR="00F371D4" w:rsidRPr="00F77320" w:rsidRDefault="00F371D4" w:rsidP="00B82144">
            <w:pPr>
              <w:spacing w:after="60"/>
              <w:rPr>
                <w:iCs/>
                <w:sz w:val="20"/>
              </w:rPr>
            </w:pPr>
            <w:r w:rsidRPr="00F77320">
              <w:rPr>
                <w:iCs/>
                <w:sz w:val="20"/>
              </w:rPr>
              <w:t>none</w:t>
            </w:r>
          </w:p>
        </w:tc>
        <w:tc>
          <w:tcPr>
            <w:tcW w:w="6392" w:type="dxa"/>
            <w:tcBorders>
              <w:top w:val="single" w:sz="4" w:space="0" w:color="auto"/>
              <w:left w:val="single" w:sz="4" w:space="0" w:color="auto"/>
              <w:bottom w:val="single" w:sz="4" w:space="0" w:color="auto"/>
              <w:right w:val="single" w:sz="4" w:space="0" w:color="auto"/>
            </w:tcBorders>
          </w:tcPr>
          <w:p w14:paraId="73C459D8" w14:textId="77777777" w:rsidR="00F371D4" w:rsidRPr="00F77320" w:rsidRDefault="00F371D4" w:rsidP="00B82144">
            <w:pPr>
              <w:spacing w:after="60"/>
              <w:rPr>
                <w:iCs/>
                <w:sz w:val="20"/>
              </w:rPr>
            </w:pPr>
            <w:r w:rsidRPr="00F77320">
              <w:rPr>
                <w:iCs/>
                <w:sz w:val="20"/>
              </w:rPr>
              <w:t>A Generation Resource.</w:t>
            </w:r>
          </w:p>
        </w:tc>
      </w:tr>
    </w:tbl>
    <w:p w14:paraId="086026EC" w14:textId="77777777" w:rsidR="004727D2" w:rsidRDefault="004727D2"/>
    <w:p w14:paraId="413CEB54" w14:textId="77777777" w:rsidR="00221BB6" w:rsidRPr="00221BB6" w:rsidRDefault="00221BB6" w:rsidP="00221BB6">
      <w:bookmarkStart w:id="2693" w:name="_Toc448142357"/>
      <w:bookmarkStart w:id="2694" w:name="_Toc448142514"/>
      <w:bookmarkStart w:id="2695" w:name="_Toc458770355"/>
      <w:bookmarkStart w:id="2696" w:name="_Toc459294323"/>
      <w:bookmarkStart w:id="2697" w:name="_Toc463262817"/>
      <w:bookmarkStart w:id="2698" w:name="_Toc468286890"/>
      <w:bookmarkStart w:id="2699" w:name="_Toc481502930"/>
      <w:bookmarkStart w:id="2700" w:name="_Toc496080098"/>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39A0A7C1" w14:textId="77777777" w:rsidTr="001138B9">
        <w:trPr>
          <w:trHeight w:val="206"/>
        </w:trPr>
        <w:tc>
          <w:tcPr>
            <w:tcW w:w="9350" w:type="dxa"/>
            <w:shd w:val="pct12" w:color="auto" w:fill="auto"/>
          </w:tcPr>
          <w:p w14:paraId="78503F7D" w14:textId="3796F723" w:rsidR="00221BB6" w:rsidRPr="00B06583" w:rsidRDefault="00221BB6" w:rsidP="00792C7F">
            <w:pPr>
              <w:pStyle w:val="Instructions"/>
              <w:spacing w:before="120"/>
            </w:pPr>
            <w:r>
              <w:t>[NPRR1010:  Delete Section 6.7.1 above upon system implementation of the Real-Time Co-Optimization (RTC) project</w:t>
            </w:r>
            <w:r w:rsidR="00792C7F">
              <w:t>.</w:t>
            </w:r>
            <w:r>
              <w:t>]</w:t>
            </w:r>
          </w:p>
        </w:tc>
      </w:tr>
    </w:tbl>
    <w:p w14:paraId="5BB48306" w14:textId="77777777" w:rsidR="001F04FD" w:rsidRPr="0050685E" w:rsidRDefault="001F04FD" w:rsidP="001F04FD">
      <w:pPr>
        <w:keepNext/>
        <w:tabs>
          <w:tab w:val="left" w:pos="1080"/>
        </w:tabs>
        <w:spacing w:before="480" w:after="240"/>
        <w:ind w:left="1080" w:hanging="1080"/>
        <w:outlineLvl w:val="2"/>
        <w:rPr>
          <w:b/>
          <w:bCs/>
          <w:i/>
        </w:rPr>
      </w:pPr>
      <w:bookmarkStart w:id="2701" w:name="_Hlk135904161"/>
      <w:bookmarkStart w:id="2702" w:name="_Toc204411742"/>
      <w:r w:rsidRPr="0050685E">
        <w:rPr>
          <w:b/>
          <w:bCs/>
          <w:i/>
        </w:rPr>
        <w:t>6.7.2</w:t>
      </w:r>
      <w:r w:rsidRPr="0050685E">
        <w:rPr>
          <w:b/>
          <w:bCs/>
          <w:i/>
        </w:rPr>
        <w:tab/>
        <w:t>Payments for Ancillary Service Capacity Assigned in Real-Time Operations</w:t>
      </w:r>
      <w:bookmarkEnd w:id="2693"/>
      <w:bookmarkEnd w:id="2694"/>
      <w:bookmarkEnd w:id="2695"/>
      <w:bookmarkEnd w:id="2696"/>
      <w:bookmarkEnd w:id="2697"/>
      <w:bookmarkEnd w:id="2698"/>
      <w:bookmarkEnd w:id="2699"/>
      <w:bookmarkEnd w:id="2700"/>
      <w:bookmarkEnd w:id="2702"/>
    </w:p>
    <w:p w14:paraId="37136DF3" w14:textId="1FDFD2DF" w:rsidR="001F04FD" w:rsidRPr="0050685E" w:rsidRDefault="001F04FD" w:rsidP="001F04FD">
      <w:pPr>
        <w:ind w:left="720" w:hanging="720"/>
      </w:pPr>
      <w:r w:rsidRPr="0050685E">
        <w:t>(1)</w:t>
      </w:r>
      <w:r w:rsidRPr="0050685E">
        <w:tab/>
        <w:t xml:space="preserve">Resources that have received an Ancillary Service Assignment during a Watch as set forth in paragraph (4) of Section 6.5.9.3.3, </w:t>
      </w:r>
      <w:r>
        <w:t xml:space="preserve">Watch, </w:t>
      </w:r>
      <w:r w:rsidRPr="0050685E">
        <w:t xml:space="preserve">may receive a payment for the un-deployed quantity of Ancillary Service reserves associated with each hour of the Ancillary Service Assignment </w:t>
      </w:r>
      <w:r w:rsidRPr="0050685E">
        <w:rPr>
          <w:szCs w:val="24"/>
        </w:rPr>
        <w:t xml:space="preserve">if the Resource’s dispatch is limited by the Ancillary Service </w:t>
      </w:r>
      <w:r>
        <w:rPr>
          <w:szCs w:val="24"/>
        </w:rPr>
        <w:t>A</w:t>
      </w:r>
      <w:r w:rsidRPr="0050685E">
        <w:rPr>
          <w:szCs w:val="24"/>
        </w:rPr>
        <w:t>ssignment</w:t>
      </w:r>
      <w:r w:rsidRPr="0050685E">
        <w:t xml:space="preserve">.  ERCOT will provide a Verbal Dispatch Instruction (VDI) to every QSE with an On-Line Resource with an Ancillary Service Assignment.  The QSE must file a Settlement dispute to be considered for the Real-Time assigned Ancillary Services </w:t>
      </w:r>
      <w:r w:rsidRPr="0050685E">
        <w:lastRenderedPageBreak/>
        <w:t xml:space="preserve">payment amount.  The payment to each QSE and Resource for the 15-minute Settlement Interval in which the Resource received an Ancillary Service Assignment </w:t>
      </w:r>
      <w:r w:rsidRPr="0050685E">
        <w:rPr>
          <w:szCs w:val="24"/>
        </w:rPr>
        <w:t>will be made when the Resource is dispatched to its High Ancillary Service Limit (HASL) in at least one Security</w:t>
      </w:r>
      <w:r w:rsidR="00446EB7">
        <w:rPr>
          <w:szCs w:val="24"/>
        </w:rPr>
        <w:t>-</w:t>
      </w:r>
      <w:r w:rsidRPr="0050685E">
        <w:rPr>
          <w:szCs w:val="24"/>
        </w:rPr>
        <w:t xml:space="preserve">Constrained Economic Dispatch (SCED) interval in the 15-minute Settlement Interval. The payment </w:t>
      </w:r>
      <w:r w:rsidRPr="0050685E">
        <w:t>shall be calculated as follows.</w:t>
      </w:r>
    </w:p>
    <w:p w14:paraId="7F6DC4E9" w14:textId="77777777" w:rsidR="001F04FD" w:rsidRPr="0050685E" w:rsidRDefault="001F04FD" w:rsidP="001F04FD"/>
    <w:bookmarkEnd w:id="2701"/>
    <w:p w14:paraId="5553B856" w14:textId="3DA29529" w:rsidR="00F371D4" w:rsidRDefault="00F371D4" w:rsidP="00F371D4">
      <w:pPr>
        <w:spacing w:after="240"/>
        <w:ind w:left="1440" w:hanging="720"/>
      </w:pPr>
      <w:r w:rsidRPr="0003648D">
        <w:t>(a)</w:t>
      </w:r>
      <w:r w:rsidRPr="0003648D">
        <w:tab/>
        <w:t>For Reg-Up, if applicable:</w:t>
      </w:r>
    </w:p>
    <w:p w14:paraId="07D3A26C" w14:textId="77777777" w:rsidR="00F371D4" w:rsidRPr="00F641A1" w:rsidRDefault="00F371D4" w:rsidP="00F371D4">
      <w:pPr>
        <w:spacing w:after="240"/>
        <w:ind w:left="3600" w:hanging="2880"/>
        <w:rPr>
          <w:b/>
          <w:i/>
          <w:vertAlign w:val="subscript"/>
        </w:rPr>
      </w:pPr>
      <w:r>
        <w:rPr>
          <w:b/>
        </w:rPr>
        <w:t>RTAU</w:t>
      </w:r>
      <w:r w:rsidRPr="001065E9">
        <w:rPr>
          <w:b/>
        </w:rPr>
        <w:t>R</w:t>
      </w:r>
      <w:r>
        <w:rPr>
          <w:b/>
        </w:rPr>
        <w:t>UAMT</w:t>
      </w:r>
      <w:r w:rsidRPr="001065E9">
        <w:rPr>
          <w:b/>
        </w:rPr>
        <w:t>QSETOT</w:t>
      </w:r>
      <w:r w:rsidRPr="00F641A1">
        <w:rPr>
          <w:b/>
          <w:i/>
          <w:vertAlign w:val="subscript"/>
        </w:rPr>
        <w:t xml:space="preserve"> q = </w:t>
      </w:r>
      <w:r w:rsidRPr="001065E9">
        <w:rPr>
          <w:b/>
        </w:rPr>
        <w:t xml:space="preserve"> </w:t>
      </w:r>
      <w:r w:rsidRPr="00F641A1">
        <w:rPr>
          <w:b/>
          <w:position w:val="-18"/>
        </w:rPr>
        <w:object w:dxaOrig="225" w:dyaOrig="420" w14:anchorId="4443C81C">
          <v:shape id="_x0000_i1318" type="#_x0000_t75" style="width:12pt;height:24pt" o:ole="">
            <v:imagedata r:id="rId387" o:title=""/>
          </v:shape>
          <o:OLEObject Type="Embed" ProgID="Equation.3" ShapeID="_x0000_i1318" DrawAspect="Content" ObjectID="_1815025506" r:id="rId393"/>
        </w:object>
      </w:r>
      <w:r>
        <w:rPr>
          <w:b/>
        </w:rPr>
        <w:t xml:space="preserve"> RTAU</w:t>
      </w:r>
      <w:r w:rsidRPr="00F641A1">
        <w:rPr>
          <w:b/>
        </w:rPr>
        <w:t>R</w:t>
      </w:r>
      <w:r>
        <w:rPr>
          <w:b/>
        </w:rPr>
        <w:t>U</w:t>
      </w:r>
      <w:r w:rsidRPr="00F641A1">
        <w:rPr>
          <w:b/>
        </w:rPr>
        <w:t xml:space="preserve">AMT </w:t>
      </w:r>
      <w:r w:rsidRPr="00F641A1">
        <w:rPr>
          <w:b/>
          <w:i/>
          <w:vertAlign w:val="subscript"/>
        </w:rPr>
        <w:t xml:space="preserve">q r, p, i </w:t>
      </w:r>
    </w:p>
    <w:p w14:paraId="5D0AC147" w14:textId="77777777" w:rsidR="00F371D4" w:rsidRPr="0003648D" w:rsidRDefault="00F371D4" w:rsidP="00F371D4">
      <w:pPr>
        <w:spacing w:after="240"/>
      </w:pPr>
      <w:r w:rsidRPr="0003648D">
        <w:t>Where:</w:t>
      </w:r>
    </w:p>
    <w:p w14:paraId="00A5BBE8" w14:textId="77777777" w:rsidR="00F371D4" w:rsidRPr="0062620E" w:rsidRDefault="00F371D4" w:rsidP="00F371D4">
      <w:pPr>
        <w:spacing w:after="240"/>
        <w:ind w:left="3600" w:hanging="2880"/>
      </w:pPr>
      <w:r w:rsidRPr="0062620E">
        <w:t xml:space="preserve">RTAURUAMT </w:t>
      </w:r>
      <w:r w:rsidRPr="0062620E">
        <w:rPr>
          <w:i/>
          <w:vertAlign w:val="subscript"/>
        </w:rPr>
        <w:t>q,</w:t>
      </w:r>
      <w:r>
        <w:rPr>
          <w:i/>
          <w:vertAlign w:val="subscript"/>
        </w:rPr>
        <w:t xml:space="preserve"> </w:t>
      </w:r>
      <w:r w:rsidRPr="0062620E">
        <w:rPr>
          <w:i/>
          <w:vertAlign w:val="subscript"/>
        </w:rPr>
        <w:t>r,</w:t>
      </w:r>
      <w:r>
        <w:rPr>
          <w:i/>
          <w:vertAlign w:val="subscript"/>
        </w:rPr>
        <w:t xml:space="preserve"> </w:t>
      </w:r>
      <w:r w:rsidRPr="0062620E">
        <w:rPr>
          <w:i/>
          <w:vertAlign w:val="subscript"/>
        </w:rPr>
        <w:t>p,</w:t>
      </w:r>
      <w:r>
        <w:rPr>
          <w:i/>
          <w:vertAlign w:val="subscript"/>
        </w:rPr>
        <w:t xml:space="preserve"> </w:t>
      </w:r>
      <w:r w:rsidRPr="0062620E">
        <w:rPr>
          <w:i/>
          <w:vertAlign w:val="subscript"/>
        </w:rPr>
        <w:t>i</w:t>
      </w:r>
      <w:r>
        <w:t xml:space="preserve"> </w:t>
      </w:r>
      <w:r w:rsidRPr="0062620E">
        <w:t>=</w:t>
      </w:r>
      <w:r w:rsidRPr="0062620E">
        <w:tab/>
        <w:t xml:space="preserve">(-1) * 1/4 * RTAURUR </w:t>
      </w:r>
      <w:r w:rsidRPr="0062620E">
        <w:rPr>
          <w:i/>
          <w:vertAlign w:val="subscript"/>
        </w:rPr>
        <w:t>q,</w:t>
      </w:r>
      <w:r>
        <w:rPr>
          <w:i/>
          <w:vertAlign w:val="subscript"/>
        </w:rPr>
        <w:t xml:space="preserve"> </w:t>
      </w:r>
      <w:r w:rsidRPr="0062620E">
        <w:rPr>
          <w:i/>
          <w:vertAlign w:val="subscript"/>
        </w:rPr>
        <w:t>r,</w:t>
      </w:r>
      <w:r>
        <w:rPr>
          <w:i/>
          <w:vertAlign w:val="subscript"/>
        </w:rPr>
        <w:t xml:space="preserve"> </w:t>
      </w:r>
      <w:r w:rsidRPr="0062620E">
        <w:rPr>
          <w:i/>
          <w:vertAlign w:val="subscript"/>
        </w:rPr>
        <w:t xml:space="preserve">p </w:t>
      </w:r>
      <w:r w:rsidRPr="0062620E">
        <w:t>* (RTSPP</w:t>
      </w:r>
      <w:r>
        <w:t xml:space="preserve"> </w:t>
      </w:r>
      <w:r w:rsidRPr="0062620E">
        <w:rPr>
          <w:i/>
          <w:vertAlign w:val="subscript"/>
        </w:rPr>
        <w:t>p,</w:t>
      </w:r>
      <w:r>
        <w:rPr>
          <w:i/>
          <w:vertAlign w:val="subscript"/>
        </w:rPr>
        <w:t xml:space="preserve"> </w:t>
      </w:r>
      <w:r w:rsidRPr="0062620E">
        <w:rPr>
          <w:i/>
          <w:vertAlign w:val="subscript"/>
        </w:rPr>
        <w:t xml:space="preserve">i </w:t>
      </w:r>
      <w:r w:rsidRPr="0062620E">
        <w:t>- RTRSVPOR</w:t>
      </w:r>
      <w:r w:rsidRPr="001C53B8">
        <w:t xml:space="preserve"> - RTRDP</w:t>
      </w:r>
      <w:r w:rsidRPr="0062620E">
        <w:t>)</w:t>
      </w:r>
    </w:p>
    <w:p w14:paraId="7126511A" w14:textId="77777777" w:rsidR="00F371D4" w:rsidRPr="0003648D" w:rsidRDefault="00F371D4" w:rsidP="00F371D4">
      <w:pPr>
        <w:spacing w:after="240"/>
        <w:ind w:left="2880" w:hanging="2160"/>
        <w:rPr>
          <w:bCs/>
        </w:rPr>
      </w:pPr>
      <w:r w:rsidRPr="0003648D">
        <w:rPr>
          <w:bCs/>
        </w:rPr>
        <w:t>RTRSVPOR</w:t>
      </w:r>
      <w:r w:rsidRPr="0003648D">
        <w:rPr>
          <w:bCs/>
        </w:rPr>
        <w:tab/>
        <w:t>=</w:t>
      </w:r>
      <w:r w:rsidRPr="0003648D">
        <w:rPr>
          <w:bCs/>
        </w:rPr>
        <w:tab/>
      </w:r>
      <w:r>
        <w:rPr>
          <w:noProof/>
          <w:position w:val="-22"/>
        </w:rPr>
        <w:drawing>
          <wp:inline distT="0" distB="0" distL="0" distR="0" wp14:anchorId="27FA30A7" wp14:editId="44294318">
            <wp:extent cx="142875" cy="295275"/>
            <wp:effectExtent l="0" t="0" r="9525" b="9525"/>
            <wp:docPr id="9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 xml:space="preserve">(RNWF </w:t>
      </w:r>
      <w:r w:rsidRPr="0003648D">
        <w:rPr>
          <w:bCs/>
          <w:i/>
          <w:iCs/>
          <w:vertAlign w:val="subscript"/>
        </w:rPr>
        <w:t xml:space="preserve">y </w:t>
      </w:r>
      <w:r w:rsidRPr="0003648D">
        <w:rPr>
          <w:bCs/>
        </w:rPr>
        <w:t>* RTORPA</w:t>
      </w:r>
      <w:r w:rsidRPr="0003648D">
        <w:rPr>
          <w:bCs/>
          <w:i/>
          <w:iCs/>
          <w:vertAlign w:val="subscript"/>
        </w:rPr>
        <w:t xml:space="preserve"> y</w:t>
      </w:r>
      <w:r w:rsidRPr="0003648D">
        <w:rPr>
          <w:bCs/>
        </w:rPr>
        <w:t>)</w:t>
      </w:r>
    </w:p>
    <w:p w14:paraId="66023786" w14:textId="77777777" w:rsidR="00F371D4" w:rsidRPr="0040142E" w:rsidRDefault="00F371D4" w:rsidP="00F371D4">
      <w:pPr>
        <w:spacing w:after="240"/>
        <w:ind w:left="2880" w:hanging="2160"/>
      </w:pPr>
      <w:r w:rsidRPr="006E4321">
        <w:rPr>
          <w:bCs/>
        </w:rPr>
        <w:t>RTRDP</w:t>
      </w:r>
      <w:r w:rsidRPr="006E4321">
        <w:rPr>
          <w:bCs/>
        </w:rPr>
        <w:tab/>
      </w:r>
      <w:r w:rsidRPr="006E4321">
        <w:t>=</w:t>
      </w:r>
      <w:r w:rsidRPr="006E4321">
        <w:tab/>
      </w:r>
      <w:r w:rsidRPr="0040142E">
        <w:rPr>
          <w:position w:val="-22"/>
        </w:rPr>
        <w:object w:dxaOrig="225" w:dyaOrig="465" w14:anchorId="7760BD86">
          <v:shape id="_x0000_i1319" type="#_x0000_t75" style="width:12pt;height:18pt" o:ole="">
            <v:imagedata r:id="rId22" o:title=""/>
          </v:shape>
          <o:OLEObject Type="Embed" ProgID="Equation.3" ShapeID="_x0000_i1319" DrawAspect="Content" ObjectID="_1815025507" r:id="rId395"/>
        </w:object>
      </w:r>
      <w:r w:rsidRPr="006E4321">
        <w:t>(RNWF</w:t>
      </w:r>
      <w:r w:rsidRPr="0040142E">
        <w:rPr>
          <w:i/>
          <w:iCs/>
          <w:vertAlign w:val="subscript"/>
        </w:rPr>
        <w:t xml:space="preserve"> y </w:t>
      </w:r>
      <w:r w:rsidRPr="0040142E">
        <w:t>* RTORDPA</w:t>
      </w:r>
      <w:r w:rsidRPr="0040142E">
        <w:rPr>
          <w:i/>
          <w:iCs/>
          <w:vertAlign w:val="subscript"/>
        </w:rPr>
        <w:t xml:space="preserve"> y</w:t>
      </w:r>
      <w:r w:rsidRPr="0040142E">
        <w:t>)</w:t>
      </w:r>
    </w:p>
    <w:p w14:paraId="7E18F667" w14:textId="77777777" w:rsidR="00F371D4" w:rsidRPr="0003648D" w:rsidRDefault="00F371D4" w:rsidP="00F371D4">
      <w:pPr>
        <w:widowControl w:val="0"/>
        <w:spacing w:after="240"/>
        <w:ind w:left="720"/>
        <w:rPr>
          <w:rFonts w:ascii="Arial" w:hAnsi="Arial" w:cs="Arial"/>
        </w:rPr>
      </w:pPr>
      <w:r w:rsidRPr="0003648D">
        <w:t xml:space="preserve">RNWF </w:t>
      </w:r>
      <w:r w:rsidRPr="0003648D">
        <w:rPr>
          <w:i/>
          <w:vertAlign w:val="subscript"/>
        </w:rPr>
        <w:t>y</w:t>
      </w:r>
      <w:r w:rsidRPr="0003648D">
        <w:rPr>
          <w:b/>
          <w:bCs/>
        </w:rPr>
        <w:tab/>
      </w:r>
      <w:r w:rsidRPr="0003648D">
        <w:rPr>
          <w:b/>
          <w:bCs/>
        </w:rPr>
        <w:tab/>
      </w:r>
      <w:r w:rsidRPr="0003648D">
        <w:t>=</w:t>
      </w:r>
      <w:r w:rsidRPr="0003648D">
        <w:rPr>
          <w:b/>
          <w:bCs/>
        </w:rPr>
        <w:tab/>
      </w:r>
      <w:r w:rsidRPr="0003648D">
        <w:t xml:space="preserve">TLMP </w:t>
      </w:r>
      <w:r w:rsidRPr="0003648D">
        <w:rPr>
          <w:i/>
          <w:vertAlign w:val="subscript"/>
        </w:rPr>
        <w:t>y</w:t>
      </w:r>
      <w:r w:rsidRPr="0003648D">
        <w:t xml:space="preserve"> </w:t>
      </w:r>
      <w:r w:rsidRPr="0003648D">
        <w:rPr>
          <w:color w:val="000000"/>
          <w:sz w:val="32"/>
          <w:szCs w:val="32"/>
        </w:rPr>
        <w:t>/</w:t>
      </w:r>
      <w:r w:rsidRPr="0003648D">
        <w:rPr>
          <w:color w:val="000000"/>
        </w:rPr>
        <w:t xml:space="preserve"> </w:t>
      </w:r>
      <w:r>
        <w:rPr>
          <w:noProof/>
          <w:position w:val="-22"/>
        </w:rPr>
        <w:drawing>
          <wp:inline distT="0" distB="0" distL="0" distR="0" wp14:anchorId="7DFFD40B" wp14:editId="5A76B284">
            <wp:extent cx="142875" cy="295275"/>
            <wp:effectExtent l="0" t="0" r="9525" b="9525"/>
            <wp:docPr id="9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t xml:space="preserve">TLMP </w:t>
      </w:r>
      <w:r w:rsidRPr="0003648D">
        <w:rPr>
          <w:i/>
          <w:vertAlign w:val="subscript"/>
        </w:rPr>
        <w:t>y</w:t>
      </w:r>
    </w:p>
    <w:p w14:paraId="1EB1CEBF" w14:textId="77777777" w:rsidR="00F371D4" w:rsidRPr="0003648D" w:rsidRDefault="00F371D4" w:rsidP="00F371D4">
      <w:r w:rsidRPr="0003648D">
        <w:t xml:space="preserve">The above variables are defined as follows: </w:t>
      </w: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46"/>
        <w:gridCol w:w="924"/>
        <w:gridCol w:w="5944"/>
      </w:tblGrid>
      <w:tr w:rsidR="00F371D4" w:rsidRPr="0003648D" w14:paraId="0E9D6573" w14:textId="77777777" w:rsidTr="00B82144">
        <w:trPr>
          <w:cantSplit/>
          <w:tblHeader/>
        </w:trPr>
        <w:tc>
          <w:tcPr>
            <w:tcW w:w="1352" w:type="pct"/>
            <w:tcBorders>
              <w:top w:val="single" w:sz="4" w:space="0" w:color="auto"/>
              <w:left w:val="single" w:sz="4" w:space="0" w:color="auto"/>
              <w:bottom w:val="single" w:sz="4" w:space="0" w:color="auto"/>
              <w:right w:val="single" w:sz="4" w:space="0" w:color="auto"/>
            </w:tcBorders>
          </w:tcPr>
          <w:p w14:paraId="26553CA5" w14:textId="77777777" w:rsidR="00F371D4" w:rsidRPr="0003648D" w:rsidRDefault="00F371D4" w:rsidP="00B82144">
            <w:pPr>
              <w:pStyle w:val="TableHead"/>
            </w:pPr>
            <w:r w:rsidRPr="0003648D">
              <w:t>Variable</w:t>
            </w:r>
          </w:p>
        </w:tc>
        <w:tc>
          <w:tcPr>
            <w:tcW w:w="491" w:type="pct"/>
            <w:tcBorders>
              <w:top w:val="single" w:sz="4" w:space="0" w:color="auto"/>
              <w:left w:val="single" w:sz="4" w:space="0" w:color="auto"/>
              <w:bottom w:val="single" w:sz="4" w:space="0" w:color="auto"/>
              <w:right w:val="single" w:sz="4" w:space="0" w:color="auto"/>
            </w:tcBorders>
          </w:tcPr>
          <w:p w14:paraId="2F0455D1" w14:textId="77777777" w:rsidR="00F371D4" w:rsidRPr="0003648D" w:rsidRDefault="00F371D4" w:rsidP="00B82144">
            <w:pPr>
              <w:pStyle w:val="TableHead"/>
            </w:pPr>
            <w:r w:rsidRPr="0003648D">
              <w:t>Unit</w:t>
            </w:r>
          </w:p>
        </w:tc>
        <w:tc>
          <w:tcPr>
            <w:tcW w:w="3157" w:type="pct"/>
            <w:tcBorders>
              <w:top w:val="single" w:sz="4" w:space="0" w:color="auto"/>
              <w:left w:val="single" w:sz="4" w:space="0" w:color="auto"/>
              <w:bottom w:val="single" w:sz="4" w:space="0" w:color="auto"/>
              <w:right w:val="single" w:sz="4" w:space="0" w:color="auto"/>
            </w:tcBorders>
          </w:tcPr>
          <w:p w14:paraId="545CFE87" w14:textId="77777777" w:rsidR="00F371D4" w:rsidRPr="0003648D" w:rsidRDefault="00F371D4" w:rsidP="00B82144">
            <w:pPr>
              <w:pStyle w:val="TableHead"/>
            </w:pPr>
            <w:r w:rsidRPr="0003648D">
              <w:t>Description</w:t>
            </w:r>
          </w:p>
        </w:tc>
      </w:tr>
      <w:tr w:rsidR="00F371D4" w:rsidRPr="0003648D" w14:paraId="02330E50"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4749AF8A" w14:textId="77777777" w:rsidR="00F371D4" w:rsidRPr="0003648D" w:rsidRDefault="00F371D4" w:rsidP="00B82144">
            <w:pPr>
              <w:pStyle w:val="TableHead"/>
              <w:rPr>
                <w:b w:val="0"/>
              </w:rPr>
            </w:pPr>
            <w:r>
              <w:rPr>
                <w:b w:val="0"/>
              </w:rPr>
              <w:t>RTAU</w:t>
            </w:r>
            <w:r w:rsidRPr="0003648D">
              <w:rPr>
                <w:b w:val="0"/>
              </w:rPr>
              <w:t>R</w:t>
            </w:r>
            <w:r>
              <w:rPr>
                <w:b w:val="0"/>
              </w:rPr>
              <w:t>UAMTQSETO</w:t>
            </w:r>
            <w:r w:rsidRPr="0003648D">
              <w:rPr>
                <w:b w:val="0"/>
              </w:rPr>
              <w:t xml:space="preserve">T </w:t>
            </w:r>
            <w:r>
              <w:rPr>
                <w:b w:val="0"/>
                <w:i/>
                <w:vertAlign w:val="subscript"/>
              </w:rPr>
              <w:t>q</w:t>
            </w:r>
          </w:p>
        </w:tc>
        <w:tc>
          <w:tcPr>
            <w:tcW w:w="491" w:type="pct"/>
            <w:tcBorders>
              <w:top w:val="single" w:sz="4" w:space="0" w:color="auto"/>
              <w:left w:val="single" w:sz="4" w:space="0" w:color="auto"/>
              <w:bottom w:val="single" w:sz="4" w:space="0" w:color="auto"/>
              <w:right w:val="single" w:sz="4" w:space="0" w:color="auto"/>
            </w:tcBorders>
          </w:tcPr>
          <w:p w14:paraId="70E014E6" w14:textId="77777777" w:rsidR="00F371D4" w:rsidRPr="0003648D" w:rsidRDefault="00F371D4" w:rsidP="00B82144">
            <w:pPr>
              <w:pStyle w:val="TableHead"/>
              <w:rPr>
                <w:b w:val="0"/>
              </w:rPr>
            </w:pPr>
            <w:r w:rsidRPr="0003648D">
              <w:rPr>
                <w:b w:val="0"/>
              </w:rPr>
              <w:t>$</w:t>
            </w:r>
          </w:p>
        </w:tc>
        <w:tc>
          <w:tcPr>
            <w:tcW w:w="3157" w:type="pct"/>
            <w:tcBorders>
              <w:top w:val="single" w:sz="4" w:space="0" w:color="auto"/>
              <w:left w:val="single" w:sz="4" w:space="0" w:color="auto"/>
              <w:bottom w:val="single" w:sz="4" w:space="0" w:color="auto"/>
              <w:right w:val="single" w:sz="4" w:space="0" w:color="auto"/>
            </w:tcBorders>
          </w:tcPr>
          <w:p w14:paraId="5F8EBE9A" w14:textId="394D4663" w:rsidR="00F371D4" w:rsidRPr="0003648D" w:rsidRDefault="00F371D4" w:rsidP="00B82144">
            <w:pPr>
              <w:pStyle w:val="TableHead"/>
              <w:rPr>
                <w:b w:val="0"/>
                <w:i/>
              </w:rPr>
            </w:pPr>
            <w:r w:rsidRPr="0003648D">
              <w:rPr>
                <w:b w:val="0"/>
                <w:i/>
              </w:rPr>
              <w:t xml:space="preserve">Real-Time Assigned Un-Deployed </w:t>
            </w:r>
            <w:r>
              <w:rPr>
                <w:b w:val="0"/>
                <w:i/>
              </w:rPr>
              <w:t>Regulation Up Payment Amount</w:t>
            </w:r>
            <w:r w:rsidRPr="0003648D">
              <w:rPr>
                <w:b w:val="0"/>
                <w:i/>
              </w:rPr>
              <w:t xml:space="preserve"> per QSE</w:t>
            </w:r>
            <w:r w:rsidR="00FC35DE" w:rsidRPr="0003648D">
              <w:sym w:font="Symbol" w:char="F0BE"/>
            </w:r>
            <w:r w:rsidR="00FC35DE" w:rsidRPr="0003648D">
              <w:rPr>
                <w:b w:val="0"/>
                <w:i/>
              </w:rPr>
              <w:t xml:space="preserve"> </w:t>
            </w:r>
            <w:r w:rsidRPr="0003648D">
              <w:rPr>
                <w:b w:val="0"/>
              </w:rPr>
              <w:t xml:space="preserve">The payment to QSE </w:t>
            </w:r>
            <w:r w:rsidRPr="0003648D">
              <w:rPr>
                <w:b w:val="0"/>
                <w:i/>
              </w:rPr>
              <w:t>q</w:t>
            </w:r>
            <w:r w:rsidRPr="0003648D">
              <w:rPr>
                <w:b w:val="0"/>
              </w:rPr>
              <w:t xml:space="preserve"> for a Real-Time un-deployed Reg-Up </w:t>
            </w:r>
            <w:r>
              <w:rPr>
                <w:b w:val="0"/>
              </w:rPr>
              <w:t xml:space="preserve">Ancillary Service Assignment. </w:t>
            </w:r>
          </w:p>
        </w:tc>
      </w:tr>
      <w:tr w:rsidR="00F371D4" w:rsidRPr="0003648D" w14:paraId="4F7F7DCB"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7BB8C9E8" w14:textId="77777777" w:rsidR="00F371D4" w:rsidRPr="0003648D" w:rsidRDefault="00F371D4" w:rsidP="00B82144">
            <w:pPr>
              <w:pStyle w:val="TableHead"/>
              <w:rPr>
                <w:b w:val="0"/>
              </w:rPr>
            </w:pPr>
            <w:r w:rsidRPr="0003648D">
              <w:rPr>
                <w:b w:val="0"/>
              </w:rPr>
              <w:t>RTAURUAMT</w:t>
            </w:r>
            <w:r>
              <w:rPr>
                <w:b w:val="0"/>
              </w:rPr>
              <w:t xml:space="preserve"> </w:t>
            </w:r>
            <w:r w:rsidRPr="0003648D">
              <w:rPr>
                <w:b w:val="0"/>
                <w:i/>
                <w:vertAlign w:val="subscript"/>
              </w:rPr>
              <w:t>q</w:t>
            </w:r>
            <w:r w:rsidRPr="0003648D">
              <w:rPr>
                <w:b w:val="0"/>
                <w:vertAlign w:val="subscript"/>
              </w:rPr>
              <w:t>,</w:t>
            </w:r>
            <w:r>
              <w:rPr>
                <w:b w:val="0"/>
                <w:vertAlign w:val="subscript"/>
              </w:rPr>
              <w:t xml:space="preserve"> </w:t>
            </w:r>
            <w:r w:rsidRPr="0003648D">
              <w:rPr>
                <w:b w:val="0"/>
                <w:i/>
                <w:vertAlign w:val="subscript"/>
              </w:rPr>
              <w:t>r,</w:t>
            </w:r>
            <w:r>
              <w:rPr>
                <w:b w:val="0"/>
                <w:i/>
                <w:vertAlign w:val="subscript"/>
              </w:rPr>
              <w:t xml:space="preserve"> </w:t>
            </w:r>
            <w:r w:rsidRPr="0003648D">
              <w:rPr>
                <w:b w:val="0"/>
                <w:i/>
                <w:vertAlign w:val="subscript"/>
              </w:rPr>
              <w:t>p,</w:t>
            </w:r>
            <w:r>
              <w:rPr>
                <w:b w:val="0"/>
                <w:i/>
                <w:vertAlign w:val="subscript"/>
              </w:rPr>
              <w:t xml:space="preserve"> </w:t>
            </w:r>
            <w:r w:rsidRPr="0003648D">
              <w:rPr>
                <w:b w:val="0"/>
                <w:i/>
                <w:vertAlign w:val="subscript"/>
              </w:rPr>
              <w:t>i</w:t>
            </w:r>
          </w:p>
        </w:tc>
        <w:tc>
          <w:tcPr>
            <w:tcW w:w="491" w:type="pct"/>
            <w:tcBorders>
              <w:top w:val="single" w:sz="4" w:space="0" w:color="auto"/>
              <w:left w:val="single" w:sz="4" w:space="0" w:color="auto"/>
              <w:bottom w:val="single" w:sz="4" w:space="0" w:color="auto"/>
              <w:right w:val="single" w:sz="4" w:space="0" w:color="auto"/>
            </w:tcBorders>
          </w:tcPr>
          <w:p w14:paraId="7B26C7FC" w14:textId="77777777" w:rsidR="00F371D4" w:rsidRPr="0003648D" w:rsidRDefault="00F371D4" w:rsidP="00B82144">
            <w:pPr>
              <w:pStyle w:val="TableHead"/>
              <w:rPr>
                <w:b w:val="0"/>
              </w:rPr>
            </w:pPr>
            <w:r w:rsidRPr="0003648D">
              <w:rPr>
                <w:b w:val="0"/>
              </w:rPr>
              <w:t>$</w:t>
            </w:r>
          </w:p>
        </w:tc>
        <w:tc>
          <w:tcPr>
            <w:tcW w:w="3157" w:type="pct"/>
            <w:tcBorders>
              <w:top w:val="single" w:sz="4" w:space="0" w:color="auto"/>
              <w:left w:val="single" w:sz="4" w:space="0" w:color="auto"/>
              <w:bottom w:val="single" w:sz="4" w:space="0" w:color="auto"/>
              <w:right w:val="single" w:sz="4" w:space="0" w:color="auto"/>
            </w:tcBorders>
          </w:tcPr>
          <w:p w14:paraId="19D30550" w14:textId="77777777" w:rsidR="00F371D4" w:rsidRPr="0003648D" w:rsidRDefault="00F371D4" w:rsidP="00B82144">
            <w:pPr>
              <w:pStyle w:val="TableHead"/>
              <w:rPr>
                <w:b w:val="0"/>
                <w:i/>
              </w:rPr>
            </w:pPr>
            <w:r w:rsidRPr="0003648D">
              <w:rPr>
                <w:b w:val="0"/>
                <w:i/>
              </w:rPr>
              <w:t>Real-Time Assigned Un-Deployed Regulation Up Payment Amount per Resource per QSE</w:t>
            </w:r>
            <w:r w:rsidRPr="0003648D">
              <w:sym w:font="Symbol" w:char="F0BE"/>
            </w:r>
            <w:r w:rsidRPr="0003648D">
              <w:rPr>
                <w:b w:val="0"/>
                <w:i/>
              </w:rPr>
              <w:t xml:space="preserve"> </w:t>
            </w:r>
            <w:r w:rsidRPr="0003648D">
              <w:rPr>
                <w:b w:val="0"/>
              </w:rPr>
              <w:t xml:space="preserve">The payment to QSE </w:t>
            </w:r>
            <w:r w:rsidRPr="0003648D">
              <w:rPr>
                <w:b w:val="0"/>
                <w:i/>
              </w:rPr>
              <w:t>q</w:t>
            </w:r>
            <w:r w:rsidRPr="0003648D">
              <w:rPr>
                <w:b w:val="0"/>
              </w:rPr>
              <w:t xml:space="preserve"> for a Real-Time un-deployed Reg-Up Ancillary Service Assignment to Resource </w:t>
            </w:r>
            <w:r w:rsidRPr="0003648D">
              <w:rPr>
                <w:b w:val="0"/>
                <w:i/>
              </w:rPr>
              <w:t>r</w:t>
            </w:r>
            <w:r w:rsidRPr="0003648D">
              <w:rPr>
                <w:b w:val="0"/>
              </w:rPr>
              <w:t xml:space="preserv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F371D4" w:rsidRPr="0003648D" w14:paraId="6F6185E9"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6909A345" w14:textId="77777777" w:rsidR="00F371D4" w:rsidRPr="0003648D" w:rsidRDefault="00F371D4" w:rsidP="00B82144">
            <w:pPr>
              <w:pStyle w:val="TableHead"/>
              <w:rPr>
                <w:b w:val="0"/>
              </w:rPr>
            </w:pPr>
            <w:r w:rsidRPr="0003648D">
              <w:rPr>
                <w:b w:val="0"/>
              </w:rPr>
              <w:t>RTAURUR</w:t>
            </w:r>
            <w:r w:rsidRPr="0003648D">
              <w:rPr>
                <w:b w:val="0"/>
                <w:i/>
                <w:vertAlign w:val="subscript"/>
              </w:rPr>
              <w:t xml:space="preserve"> q,</w:t>
            </w:r>
            <w:r>
              <w:rPr>
                <w:b w:val="0"/>
                <w:i/>
                <w:vertAlign w:val="subscript"/>
              </w:rPr>
              <w:t xml:space="preserve"> </w:t>
            </w:r>
            <w:r w:rsidRPr="0003648D">
              <w:rPr>
                <w:b w:val="0"/>
                <w:i/>
                <w:vertAlign w:val="subscript"/>
              </w:rPr>
              <w:t>r,</w:t>
            </w:r>
            <w:r>
              <w:rPr>
                <w:b w:val="0"/>
                <w:i/>
                <w:vertAlign w:val="subscript"/>
              </w:rPr>
              <w:t xml:space="preserve"> </w:t>
            </w:r>
            <w:r w:rsidRPr="0003648D">
              <w:rPr>
                <w:b w:val="0"/>
                <w:i/>
                <w:vertAlign w:val="subscript"/>
              </w:rPr>
              <w:t>p</w:t>
            </w:r>
          </w:p>
        </w:tc>
        <w:tc>
          <w:tcPr>
            <w:tcW w:w="491" w:type="pct"/>
            <w:tcBorders>
              <w:top w:val="single" w:sz="4" w:space="0" w:color="auto"/>
              <w:left w:val="single" w:sz="4" w:space="0" w:color="auto"/>
              <w:bottom w:val="single" w:sz="4" w:space="0" w:color="auto"/>
              <w:right w:val="single" w:sz="4" w:space="0" w:color="auto"/>
            </w:tcBorders>
          </w:tcPr>
          <w:p w14:paraId="31C975B2" w14:textId="77777777" w:rsidR="00F371D4" w:rsidRPr="0003648D" w:rsidRDefault="00F371D4" w:rsidP="00B82144">
            <w:pPr>
              <w:pStyle w:val="TableHead"/>
              <w:rPr>
                <w:b w:val="0"/>
              </w:rPr>
            </w:pPr>
            <w:r w:rsidRPr="0003648D">
              <w:rPr>
                <w:b w:val="0"/>
              </w:rPr>
              <w:t>MW</w:t>
            </w:r>
          </w:p>
        </w:tc>
        <w:tc>
          <w:tcPr>
            <w:tcW w:w="3157" w:type="pct"/>
            <w:tcBorders>
              <w:top w:val="single" w:sz="4" w:space="0" w:color="auto"/>
              <w:left w:val="single" w:sz="4" w:space="0" w:color="auto"/>
              <w:bottom w:val="single" w:sz="4" w:space="0" w:color="auto"/>
              <w:right w:val="single" w:sz="4" w:space="0" w:color="auto"/>
            </w:tcBorders>
          </w:tcPr>
          <w:p w14:paraId="18B4E929" w14:textId="77777777" w:rsidR="00F371D4" w:rsidRPr="0003648D" w:rsidRDefault="00F371D4" w:rsidP="00B82144">
            <w:pPr>
              <w:pStyle w:val="TableHead"/>
              <w:rPr>
                <w:b w:val="0"/>
                <w:i/>
              </w:rPr>
            </w:pPr>
            <w:r w:rsidRPr="0003648D">
              <w:rPr>
                <w:b w:val="0"/>
                <w:i/>
              </w:rPr>
              <w:t>Real-Time Assigned Un-Deployed Regulation Up Quantity per Resource per QSE</w:t>
            </w:r>
            <w:r w:rsidRPr="0003648D">
              <w:sym w:font="Symbol" w:char="F0BE"/>
            </w:r>
            <w:r w:rsidRPr="0003648D">
              <w:rPr>
                <w:b w:val="0"/>
              </w:rPr>
              <w:t>The quantity of un-deployed</w:t>
            </w:r>
            <w:r w:rsidRPr="0003648D">
              <w:rPr>
                <w:b w:val="0"/>
                <w:i/>
              </w:rPr>
              <w:t xml:space="preserve"> </w:t>
            </w:r>
            <w:r w:rsidRPr="0003648D">
              <w:rPr>
                <w:b w:val="0"/>
              </w:rPr>
              <w:t xml:space="preserve">Reg-Up assigned under a Watch to a QSE </w:t>
            </w:r>
            <w:r w:rsidRPr="0003648D">
              <w:rPr>
                <w:b w:val="0"/>
                <w:i/>
              </w:rPr>
              <w:t>q</w:t>
            </w:r>
            <w:r w:rsidRPr="0003648D">
              <w:rPr>
                <w:b w:val="0"/>
              </w:rPr>
              <w:t xml:space="preserve"> for Resource </w:t>
            </w:r>
            <w:r w:rsidRPr="0003648D">
              <w:rPr>
                <w:b w:val="0"/>
                <w:i/>
              </w:rPr>
              <w:t>r</w:t>
            </w:r>
            <w:r w:rsidRPr="0003648D">
              <w:rPr>
                <w:b w:val="0"/>
              </w:rPr>
              <w:t xml:space="preserve"> at Settlement Point </w:t>
            </w:r>
            <w:r w:rsidRPr="0003648D">
              <w:rPr>
                <w:b w:val="0"/>
                <w:i/>
              </w:rPr>
              <w:t>p</w:t>
            </w:r>
            <w:r w:rsidRPr="0003648D">
              <w:rPr>
                <w:b w:val="0"/>
              </w:rPr>
              <w:t xml:space="preserve"> for the hour.  Where for a Combined Cycle Train, the Resource </w:t>
            </w:r>
            <w:r w:rsidRPr="0003648D">
              <w:rPr>
                <w:b w:val="0"/>
                <w:i/>
              </w:rPr>
              <w:t xml:space="preserve">r </w:t>
            </w:r>
            <w:r w:rsidRPr="0003648D">
              <w:rPr>
                <w:b w:val="0"/>
              </w:rPr>
              <w:t>is a Combined Cycle Generation Resource within the Combined Cycle Train.</w:t>
            </w:r>
          </w:p>
        </w:tc>
      </w:tr>
      <w:tr w:rsidR="00F371D4" w:rsidRPr="0003648D" w14:paraId="7F5CCA52"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0B5B2872" w14:textId="77777777" w:rsidR="00F371D4" w:rsidRPr="0003648D" w:rsidRDefault="00F371D4" w:rsidP="00B82144">
            <w:pPr>
              <w:pStyle w:val="TableHead"/>
              <w:rPr>
                <w:b w:val="0"/>
                <w:vertAlign w:val="subscript"/>
              </w:rPr>
            </w:pPr>
            <w:r w:rsidRPr="0003648D">
              <w:rPr>
                <w:b w:val="0"/>
              </w:rPr>
              <w:t>RTSPP</w:t>
            </w:r>
            <w:r>
              <w:rPr>
                <w:b w:val="0"/>
              </w:rPr>
              <w:t xml:space="preserve"> </w:t>
            </w:r>
            <w:r w:rsidRPr="0003648D">
              <w:rPr>
                <w:b w:val="0"/>
                <w:i/>
                <w:vertAlign w:val="subscript"/>
              </w:rPr>
              <w:t>p,</w:t>
            </w:r>
            <w:r>
              <w:rPr>
                <w:b w:val="0"/>
                <w:i/>
                <w:vertAlign w:val="subscript"/>
              </w:rPr>
              <w:t xml:space="preserve"> </w:t>
            </w:r>
            <w:r w:rsidRPr="0003648D">
              <w:rPr>
                <w:b w:val="0"/>
                <w:i/>
                <w:vertAlign w:val="subscript"/>
              </w:rPr>
              <w:t>i</w:t>
            </w:r>
          </w:p>
        </w:tc>
        <w:tc>
          <w:tcPr>
            <w:tcW w:w="491" w:type="pct"/>
            <w:tcBorders>
              <w:top w:val="single" w:sz="4" w:space="0" w:color="auto"/>
              <w:left w:val="single" w:sz="4" w:space="0" w:color="auto"/>
              <w:bottom w:val="single" w:sz="4" w:space="0" w:color="auto"/>
              <w:right w:val="single" w:sz="4" w:space="0" w:color="auto"/>
            </w:tcBorders>
          </w:tcPr>
          <w:p w14:paraId="432B4700" w14:textId="77777777" w:rsidR="00F371D4" w:rsidRPr="0003648D" w:rsidRDefault="00F371D4" w:rsidP="00B82144">
            <w:pPr>
              <w:pStyle w:val="TableHead"/>
              <w:rPr>
                <w:b w:val="0"/>
              </w:rPr>
            </w:pPr>
            <w:r w:rsidRPr="0003648D">
              <w:rPr>
                <w:b w:val="0"/>
              </w:rPr>
              <w:t>$/MWh</w:t>
            </w:r>
          </w:p>
        </w:tc>
        <w:tc>
          <w:tcPr>
            <w:tcW w:w="3157" w:type="pct"/>
            <w:tcBorders>
              <w:top w:val="single" w:sz="4" w:space="0" w:color="auto"/>
              <w:left w:val="single" w:sz="4" w:space="0" w:color="auto"/>
              <w:bottom w:val="single" w:sz="4" w:space="0" w:color="auto"/>
              <w:right w:val="single" w:sz="4" w:space="0" w:color="auto"/>
            </w:tcBorders>
          </w:tcPr>
          <w:p w14:paraId="6E4F9D92" w14:textId="77777777" w:rsidR="00F371D4" w:rsidRPr="0003648D" w:rsidRDefault="00F371D4" w:rsidP="00B82144">
            <w:pPr>
              <w:pStyle w:val="TableHead"/>
              <w:rPr>
                <w:b w:val="0"/>
                <w:i/>
              </w:rPr>
            </w:pPr>
            <w:r w:rsidRPr="0003648D">
              <w:rPr>
                <w:b w:val="0"/>
                <w:i/>
              </w:rPr>
              <w:t>Real-Time Settlement Point Price per Settlement Point</w:t>
            </w:r>
            <w:r w:rsidRPr="0003648D">
              <w:sym w:font="Symbol" w:char="F0BE"/>
            </w:r>
            <w:r w:rsidRPr="0003648D">
              <w:rPr>
                <w:b w:val="0"/>
              </w:rPr>
              <w:t xml:space="preserve">The Real-Time Settlement Point Price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F371D4" w:rsidRPr="0003648D" w14:paraId="1E1AD438" w14:textId="77777777" w:rsidTr="00B82144">
        <w:trPr>
          <w:cantSplit/>
        </w:trPr>
        <w:tc>
          <w:tcPr>
            <w:tcW w:w="1352" w:type="pct"/>
          </w:tcPr>
          <w:p w14:paraId="25CA955D" w14:textId="77777777" w:rsidR="00F371D4" w:rsidRPr="0003648D" w:rsidRDefault="00F371D4" w:rsidP="00B82144">
            <w:pPr>
              <w:pStyle w:val="tablebody0"/>
              <w:rPr>
                <w:i/>
              </w:rPr>
            </w:pPr>
            <w:r w:rsidRPr="0003648D">
              <w:t>RTRSVPOR</w:t>
            </w:r>
          </w:p>
        </w:tc>
        <w:tc>
          <w:tcPr>
            <w:tcW w:w="491" w:type="pct"/>
          </w:tcPr>
          <w:p w14:paraId="67D0E813" w14:textId="77777777" w:rsidR="00F371D4" w:rsidRPr="0003648D" w:rsidRDefault="00F371D4" w:rsidP="00B82144">
            <w:pPr>
              <w:pStyle w:val="tablebody0"/>
            </w:pPr>
            <w:r w:rsidRPr="0003648D">
              <w:t>$/MWh</w:t>
            </w:r>
          </w:p>
        </w:tc>
        <w:tc>
          <w:tcPr>
            <w:tcW w:w="3157" w:type="pct"/>
          </w:tcPr>
          <w:p w14:paraId="54641231" w14:textId="77777777" w:rsidR="00F371D4" w:rsidRPr="0003648D" w:rsidRDefault="00F371D4" w:rsidP="00B82144">
            <w:pPr>
              <w:pStyle w:val="tablebody0"/>
            </w:pPr>
            <w:r w:rsidRPr="0003648D">
              <w:rPr>
                <w:i/>
              </w:rPr>
              <w:t>Real-Time Reserve Price for On-Line Reserves</w:t>
            </w:r>
            <w:r w:rsidRPr="0003648D">
              <w:sym w:font="Symbol" w:char="F0BE"/>
            </w:r>
            <w:r w:rsidRPr="0003648D">
              <w:t>The Real-Time Reserve Price for On-Line Reserves for the 15-minute Settlement Interval.</w:t>
            </w:r>
          </w:p>
        </w:tc>
      </w:tr>
      <w:tr w:rsidR="00F371D4" w:rsidRPr="0003648D" w14:paraId="1A3A6C9F" w14:textId="77777777" w:rsidTr="00B82144">
        <w:trPr>
          <w:cantSplit/>
        </w:trPr>
        <w:tc>
          <w:tcPr>
            <w:tcW w:w="1352" w:type="pct"/>
          </w:tcPr>
          <w:p w14:paraId="064C29D6" w14:textId="77777777" w:rsidR="00F371D4" w:rsidRPr="00A02D58" w:rsidRDefault="00F371D4" w:rsidP="00B82144">
            <w:pPr>
              <w:pStyle w:val="tablebody0"/>
            </w:pPr>
            <w:r w:rsidRPr="00181BDE">
              <w:lastRenderedPageBreak/>
              <w:t>RTRDP</w:t>
            </w:r>
          </w:p>
        </w:tc>
        <w:tc>
          <w:tcPr>
            <w:tcW w:w="491" w:type="pct"/>
          </w:tcPr>
          <w:p w14:paraId="32EDA0C7" w14:textId="77777777" w:rsidR="00F371D4" w:rsidRPr="00A02D58" w:rsidRDefault="00F371D4" w:rsidP="00B82144">
            <w:pPr>
              <w:pStyle w:val="tablebody0"/>
            </w:pPr>
            <w:r w:rsidRPr="00181BDE">
              <w:t>$/MWh</w:t>
            </w:r>
          </w:p>
        </w:tc>
        <w:tc>
          <w:tcPr>
            <w:tcW w:w="3157" w:type="pct"/>
          </w:tcPr>
          <w:p w14:paraId="613DC84F" w14:textId="77777777" w:rsidR="00F371D4" w:rsidRPr="00A02D58" w:rsidRDefault="00F371D4" w:rsidP="00B82144">
            <w:pPr>
              <w:pStyle w:val="tablebody0"/>
              <w:rPr>
                <w:i/>
              </w:rPr>
            </w:pPr>
            <w:r w:rsidRPr="00181BDE">
              <w:rPr>
                <w:i/>
              </w:rPr>
              <w:t>Real-Time On-Line Reliability Deployment Price</w:t>
            </w:r>
            <w:r w:rsidRPr="00181BDE">
              <w:sym w:font="Symbol" w:char="F0BE"/>
            </w:r>
            <w:r w:rsidRPr="00181BDE">
              <w:t xml:space="preserve">The Real-Time price for the 15-minute Settlement Interval, reflecting the impact of reliability deployments on energy prices that is calculated </w:t>
            </w:r>
            <w:r w:rsidRPr="00181BDE">
              <w:rPr>
                <w:bCs/>
              </w:rPr>
              <w:t>from the Real-</w:t>
            </w:r>
            <w:r>
              <w:rPr>
                <w:bCs/>
              </w:rPr>
              <w:t>T</w:t>
            </w:r>
            <w:r w:rsidRPr="00181BDE">
              <w:rPr>
                <w:bCs/>
              </w:rPr>
              <w:t>ime On-Line Reliability Deployment Price Adder</w:t>
            </w:r>
            <w:r w:rsidRPr="00181BDE">
              <w:t>.</w:t>
            </w:r>
          </w:p>
        </w:tc>
      </w:tr>
      <w:tr w:rsidR="00F371D4" w:rsidRPr="0003648D" w14:paraId="3A379441" w14:textId="77777777" w:rsidTr="00B82144">
        <w:trPr>
          <w:cantSplit/>
        </w:trPr>
        <w:tc>
          <w:tcPr>
            <w:tcW w:w="1352" w:type="pct"/>
          </w:tcPr>
          <w:p w14:paraId="4E65D525" w14:textId="77777777" w:rsidR="00F371D4" w:rsidRPr="0003648D" w:rsidRDefault="00F371D4" w:rsidP="00B82144">
            <w:pPr>
              <w:pStyle w:val="tablebody0"/>
            </w:pPr>
            <w:r w:rsidRPr="0003648D">
              <w:t xml:space="preserve">TLMP </w:t>
            </w:r>
            <w:r w:rsidRPr="0003648D">
              <w:rPr>
                <w:i/>
                <w:vertAlign w:val="subscript"/>
              </w:rPr>
              <w:t>y</w:t>
            </w:r>
          </w:p>
        </w:tc>
        <w:tc>
          <w:tcPr>
            <w:tcW w:w="491" w:type="pct"/>
          </w:tcPr>
          <w:p w14:paraId="33AECDED" w14:textId="77777777" w:rsidR="00F371D4" w:rsidRPr="0003648D" w:rsidRDefault="00F371D4" w:rsidP="00B82144">
            <w:pPr>
              <w:pStyle w:val="tablebody0"/>
              <w:rPr>
                <w:iCs/>
              </w:rPr>
            </w:pPr>
            <w:r w:rsidRPr="0003648D">
              <w:t>second</w:t>
            </w:r>
          </w:p>
        </w:tc>
        <w:tc>
          <w:tcPr>
            <w:tcW w:w="3157" w:type="pct"/>
          </w:tcPr>
          <w:p w14:paraId="541EBCA3" w14:textId="77777777" w:rsidR="00F371D4" w:rsidRPr="0003648D" w:rsidRDefault="00F371D4" w:rsidP="00B82144">
            <w:pPr>
              <w:pStyle w:val="tablebody0"/>
            </w:pPr>
            <w:r w:rsidRPr="0003648D">
              <w:rPr>
                <w:i/>
                <w:iCs/>
              </w:rPr>
              <w:t xml:space="preserve">Duration of </w:t>
            </w:r>
            <w:r w:rsidRPr="0003648D">
              <w:rPr>
                <w:i/>
              </w:rPr>
              <w:t>SCED</w:t>
            </w:r>
            <w:r w:rsidRPr="0003648D">
              <w:rPr>
                <w:i/>
                <w:iCs/>
              </w:rPr>
              <w:t xml:space="preserve"> interval per interval</w:t>
            </w:r>
            <w:r w:rsidRPr="0003648D">
              <w:sym w:font="Symbol" w:char="F0BE"/>
            </w:r>
            <w:r w:rsidRPr="0003648D">
              <w:t xml:space="preserve">The duration of the SCED interval </w:t>
            </w:r>
            <w:r w:rsidRPr="0003648D">
              <w:rPr>
                <w:i/>
                <w:iCs/>
              </w:rPr>
              <w:t>y</w:t>
            </w:r>
            <w:r w:rsidRPr="0003648D">
              <w:t>.</w:t>
            </w:r>
          </w:p>
        </w:tc>
      </w:tr>
      <w:tr w:rsidR="00F371D4" w:rsidRPr="0003648D" w14:paraId="26AB8093" w14:textId="77777777" w:rsidTr="00B82144">
        <w:trPr>
          <w:cantSplit/>
        </w:trPr>
        <w:tc>
          <w:tcPr>
            <w:tcW w:w="1352" w:type="pct"/>
          </w:tcPr>
          <w:p w14:paraId="013F4FB1" w14:textId="77777777" w:rsidR="00F371D4" w:rsidRPr="0003648D" w:rsidRDefault="00F371D4" w:rsidP="00B82144">
            <w:pPr>
              <w:pStyle w:val="tablebody0"/>
              <w:rPr>
                <w:i/>
              </w:rPr>
            </w:pPr>
            <w:r w:rsidRPr="0003648D">
              <w:t xml:space="preserve">RNWF </w:t>
            </w:r>
            <w:r w:rsidRPr="0003648D">
              <w:rPr>
                <w:i/>
                <w:vertAlign w:val="subscript"/>
              </w:rPr>
              <w:t>y</w:t>
            </w:r>
          </w:p>
        </w:tc>
        <w:tc>
          <w:tcPr>
            <w:tcW w:w="491" w:type="pct"/>
          </w:tcPr>
          <w:p w14:paraId="74E0F71D" w14:textId="77777777" w:rsidR="00F371D4" w:rsidRPr="0003648D" w:rsidRDefault="00F371D4" w:rsidP="00B82144">
            <w:pPr>
              <w:pStyle w:val="tablebody0"/>
            </w:pPr>
            <w:r w:rsidRPr="0003648D">
              <w:t>none</w:t>
            </w:r>
          </w:p>
        </w:tc>
        <w:tc>
          <w:tcPr>
            <w:tcW w:w="3157" w:type="pct"/>
          </w:tcPr>
          <w:p w14:paraId="75750E1E" w14:textId="77777777" w:rsidR="00F371D4" w:rsidRPr="0003648D" w:rsidRDefault="00F371D4" w:rsidP="00B82144">
            <w:pPr>
              <w:pStyle w:val="tablebody0"/>
            </w:pPr>
            <w:r w:rsidRPr="0003648D">
              <w:rPr>
                <w:i/>
              </w:rPr>
              <w:t>Resource Node Weighting Factor per interval</w:t>
            </w:r>
            <w:r w:rsidRPr="0003648D">
              <w:sym w:font="Symbol" w:char="F0BE"/>
            </w:r>
            <w:r w:rsidRPr="0003648D">
              <w:t xml:space="preserve">The weight used in the Resource Node Settlement Point Price calculation for the portion of the SCED interval </w:t>
            </w:r>
            <w:r w:rsidRPr="0003648D">
              <w:rPr>
                <w:i/>
              </w:rPr>
              <w:t>y</w:t>
            </w:r>
            <w:r w:rsidRPr="0003648D">
              <w:t xml:space="preserve"> within the 15-minute Settlement Interval.</w:t>
            </w:r>
          </w:p>
        </w:tc>
      </w:tr>
      <w:tr w:rsidR="00F371D4" w:rsidRPr="0003648D" w14:paraId="46CC4C06"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1C703BA1" w14:textId="77777777" w:rsidR="00F371D4" w:rsidRPr="0003648D" w:rsidRDefault="00F371D4" w:rsidP="00B82144">
            <w:pPr>
              <w:spacing w:after="60"/>
              <w:rPr>
                <w:sz w:val="20"/>
              </w:rPr>
            </w:pPr>
            <w:r w:rsidRPr="0003648D">
              <w:rPr>
                <w:sz w:val="20"/>
              </w:rPr>
              <w:t>RTORPA</w:t>
            </w:r>
            <w:r w:rsidRPr="0003648D">
              <w:rPr>
                <w:b/>
                <w:vertAlign w:val="subscript"/>
              </w:rPr>
              <w:t xml:space="preserve"> </w:t>
            </w:r>
            <w:r w:rsidRPr="0003648D">
              <w:rPr>
                <w:i/>
                <w:sz w:val="20"/>
                <w:vertAlign w:val="subscript"/>
              </w:rPr>
              <w:t>y</w:t>
            </w:r>
          </w:p>
        </w:tc>
        <w:tc>
          <w:tcPr>
            <w:tcW w:w="491" w:type="pct"/>
            <w:tcBorders>
              <w:top w:val="single" w:sz="4" w:space="0" w:color="auto"/>
              <w:left w:val="single" w:sz="4" w:space="0" w:color="auto"/>
              <w:bottom w:val="single" w:sz="4" w:space="0" w:color="auto"/>
              <w:right w:val="single" w:sz="4" w:space="0" w:color="auto"/>
            </w:tcBorders>
          </w:tcPr>
          <w:p w14:paraId="18AC5A1F" w14:textId="77777777" w:rsidR="00F371D4" w:rsidRPr="0003648D" w:rsidRDefault="00F371D4" w:rsidP="00B82144">
            <w:pPr>
              <w:pStyle w:val="TableHead"/>
              <w:spacing w:after="60"/>
              <w:rPr>
                <w:b w:val="0"/>
              </w:rPr>
            </w:pPr>
            <w:r w:rsidRPr="0003648D">
              <w:rPr>
                <w:b w:val="0"/>
              </w:rPr>
              <w:t>$/MWh</w:t>
            </w:r>
          </w:p>
        </w:tc>
        <w:tc>
          <w:tcPr>
            <w:tcW w:w="3157" w:type="pct"/>
            <w:tcBorders>
              <w:top w:val="single" w:sz="4" w:space="0" w:color="auto"/>
              <w:left w:val="single" w:sz="4" w:space="0" w:color="auto"/>
              <w:bottom w:val="single" w:sz="4" w:space="0" w:color="auto"/>
              <w:right w:val="single" w:sz="4" w:space="0" w:color="auto"/>
            </w:tcBorders>
          </w:tcPr>
          <w:p w14:paraId="270A0771" w14:textId="77777777" w:rsidR="00F371D4" w:rsidRPr="0003648D" w:rsidRDefault="00F371D4" w:rsidP="00B82144">
            <w:pPr>
              <w:pStyle w:val="TableHead"/>
              <w:spacing w:after="60"/>
              <w:rPr>
                <w:b w:val="0"/>
                <w:i/>
              </w:rPr>
            </w:pPr>
            <w:r w:rsidRPr="0003648D">
              <w:rPr>
                <w:b w:val="0"/>
                <w:i/>
              </w:rPr>
              <w:t>Real-Time On-Line Reserve Price Adder per interval</w:t>
            </w:r>
            <w:r w:rsidRPr="0003648D">
              <w:rPr>
                <w:b w:val="0"/>
              </w:rPr>
              <w:sym w:font="Symbol" w:char="F0BE"/>
            </w:r>
            <w:r w:rsidRPr="0003648D">
              <w:rPr>
                <w:b w:val="0"/>
              </w:rPr>
              <w:t xml:space="preserve">The Real-Time On-Line Reserve Price Adder for the SCED interval </w:t>
            </w:r>
            <w:r w:rsidRPr="0003648D">
              <w:rPr>
                <w:b w:val="0"/>
                <w:i/>
              </w:rPr>
              <w:t>y</w:t>
            </w:r>
            <w:r w:rsidRPr="0003648D">
              <w:rPr>
                <w:b w:val="0"/>
              </w:rPr>
              <w:t>.</w:t>
            </w:r>
          </w:p>
        </w:tc>
      </w:tr>
      <w:tr w:rsidR="00F371D4" w:rsidRPr="0003648D" w14:paraId="396D3218"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268D5115" w14:textId="77777777" w:rsidR="00F371D4" w:rsidRPr="00A02D58" w:rsidRDefault="00F371D4" w:rsidP="00B82144">
            <w:pPr>
              <w:spacing w:after="60"/>
              <w:rPr>
                <w:sz w:val="20"/>
              </w:rPr>
            </w:pPr>
            <w:r w:rsidRPr="000F4F25">
              <w:rPr>
                <w:sz w:val="20"/>
              </w:rPr>
              <w:t>RTORDPA</w:t>
            </w:r>
            <w:r w:rsidRPr="00181BDE">
              <w:rPr>
                <w:vertAlign w:val="subscript"/>
              </w:rPr>
              <w:t xml:space="preserve"> </w:t>
            </w:r>
            <w:r w:rsidRPr="00967A0A">
              <w:rPr>
                <w:i/>
                <w:vertAlign w:val="subscript"/>
              </w:rPr>
              <w:t>y</w:t>
            </w:r>
          </w:p>
        </w:tc>
        <w:tc>
          <w:tcPr>
            <w:tcW w:w="491" w:type="pct"/>
            <w:tcBorders>
              <w:top w:val="single" w:sz="4" w:space="0" w:color="auto"/>
              <w:left w:val="single" w:sz="4" w:space="0" w:color="auto"/>
              <w:bottom w:val="single" w:sz="4" w:space="0" w:color="auto"/>
              <w:right w:val="single" w:sz="4" w:space="0" w:color="auto"/>
            </w:tcBorders>
          </w:tcPr>
          <w:p w14:paraId="166C505F" w14:textId="77777777" w:rsidR="00F371D4" w:rsidRPr="00A02D58" w:rsidRDefault="00F371D4" w:rsidP="00B82144">
            <w:pPr>
              <w:pStyle w:val="TableHead"/>
              <w:spacing w:after="60"/>
              <w:rPr>
                <w:b w:val="0"/>
              </w:rPr>
            </w:pPr>
            <w:r w:rsidRPr="00214781">
              <w:rPr>
                <w:b w:val="0"/>
              </w:rPr>
              <w:t>$/MWh</w:t>
            </w:r>
          </w:p>
        </w:tc>
        <w:tc>
          <w:tcPr>
            <w:tcW w:w="3157" w:type="pct"/>
            <w:tcBorders>
              <w:top w:val="single" w:sz="4" w:space="0" w:color="auto"/>
              <w:left w:val="single" w:sz="4" w:space="0" w:color="auto"/>
              <w:bottom w:val="single" w:sz="4" w:space="0" w:color="auto"/>
              <w:right w:val="single" w:sz="4" w:space="0" w:color="auto"/>
            </w:tcBorders>
          </w:tcPr>
          <w:p w14:paraId="545419C3" w14:textId="77777777" w:rsidR="00F371D4" w:rsidRPr="00A02D58" w:rsidRDefault="00F371D4" w:rsidP="00B82144">
            <w:pPr>
              <w:pStyle w:val="TableHead"/>
              <w:spacing w:after="60"/>
              <w:rPr>
                <w:b w:val="0"/>
                <w:i/>
              </w:rPr>
            </w:pPr>
            <w:r w:rsidRPr="00214781">
              <w:rPr>
                <w:b w:val="0"/>
                <w:i/>
              </w:rPr>
              <w:t>Real-Time On-Line Reliability Deployment Price Adder</w:t>
            </w:r>
            <w:r w:rsidRPr="00214781">
              <w:rPr>
                <w:b w:val="0"/>
              </w:rPr>
              <w:sym w:font="Symbol" w:char="F0BE"/>
            </w:r>
            <w:r w:rsidRPr="00214781">
              <w:rPr>
                <w:b w:val="0"/>
              </w:rPr>
              <w:t xml:space="preserve">The Real-Time Price Adder that captures the impact of reliability deployments on energy prices for the SCED interval </w:t>
            </w:r>
            <w:r w:rsidRPr="00214781">
              <w:rPr>
                <w:b w:val="0"/>
                <w:i/>
              </w:rPr>
              <w:t>y</w:t>
            </w:r>
            <w:r w:rsidRPr="00214781">
              <w:rPr>
                <w:b w:val="0"/>
              </w:rPr>
              <w:t>.</w:t>
            </w:r>
          </w:p>
        </w:tc>
      </w:tr>
      <w:tr w:rsidR="00F371D4" w:rsidRPr="0003648D" w14:paraId="237DA60C"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2D279DE8" w14:textId="77777777" w:rsidR="00F371D4" w:rsidRPr="0003648D" w:rsidRDefault="00F371D4" w:rsidP="00B82144">
            <w:pPr>
              <w:pStyle w:val="TableHead"/>
              <w:spacing w:after="60"/>
              <w:rPr>
                <w:b w:val="0"/>
                <w:i/>
              </w:rPr>
            </w:pPr>
            <w:r w:rsidRPr="0003648D">
              <w:rPr>
                <w:b w:val="0"/>
                <w:i/>
              </w:rPr>
              <w:t>q</w:t>
            </w:r>
          </w:p>
        </w:tc>
        <w:tc>
          <w:tcPr>
            <w:tcW w:w="491" w:type="pct"/>
            <w:tcBorders>
              <w:top w:val="single" w:sz="4" w:space="0" w:color="auto"/>
              <w:left w:val="single" w:sz="4" w:space="0" w:color="auto"/>
              <w:bottom w:val="single" w:sz="4" w:space="0" w:color="auto"/>
              <w:right w:val="single" w:sz="4" w:space="0" w:color="auto"/>
            </w:tcBorders>
          </w:tcPr>
          <w:p w14:paraId="63E1A94B" w14:textId="77777777" w:rsidR="00F371D4" w:rsidRPr="0003648D" w:rsidRDefault="00F371D4" w:rsidP="00B82144">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63287E2E" w14:textId="77777777" w:rsidR="00F371D4" w:rsidRPr="0003648D" w:rsidRDefault="00F371D4" w:rsidP="00B82144">
            <w:pPr>
              <w:pStyle w:val="TableHead"/>
              <w:spacing w:after="60"/>
              <w:rPr>
                <w:b w:val="0"/>
              </w:rPr>
            </w:pPr>
            <w:r w:rsidRPr="0003648D">
              <w:rPr>
                <w:b w:val="0"/>
              </w:rPr>
              <w:t>A QSE.</w:t>
            </w:r>
          </w:p>
        </w:tc>
      </w:tr>
      <w:tr w:rsidR="00F371D4" w:rsidRPr="0003648D" w14:paraId="3D1A4EC1"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2657CD16" w14:textId="77777777" w:rsidR="00F371D4" w:rsidRPr="0003648D" w:rsidRDefault="00F371D4" w:rsidP="00B82144">
            <w:pPr>
              <w:pStyle w:val="TableHead"/>
              <w:spacing w:after="60"/>
              <w:rPr>
                <w:b w:val="0"/>
                <w:i/>
              </w:rPr>
            </w:pPr>
            <w:r>
              <w:rPr>
                <w:b w:val="0"/>
                <w:i/>
              </w:rPr>
              <w:t>r</w:t>
            </w:r>
          </w:p>
        </w:tc>
        <w:tc>
          <w:tcPr>
            <w:tcW w:w="491" w:type="pct"/>
            <w:tcBorders>
              <w:top w:val="single" w:sz="4" w:space="0" w:color="auto"/>
              <w:left w:val="single" w:sz="4" w:space="0" w:color="auto"/>
              <w:bottom w:val="single" w:sz="4" w:space="0" w:color="auto"/>
              <w:right w:val="single" w:sz="4" w:space="0" w:color="auto"/>
            </w:tcBorders>
          </w:tcPr>
          <w:p w14:paraId="11639DB6" w14:textId="77777777" w:rsidR="00F371D4" w:rsidRPr="0003648D" w:rsidRDefault="00F371D4" w:rsidP="00B82144">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35A604FE" w14:textId="77777777" w:rsidR="00F371D4" w:rsidRPr="0003648D" w:rsidRDefault="00F371D4" w:rsidP="00B82144">
            <w:pPr>
              <w:pStyle w:val="TableHead"/>
              <w:spacing w:after="60"/>
              <w:rPr>
                <w:b w:val="0"/>
                <w:i/>
              </w:rPr>
            </w:pPr>
            <w:r w:rsidRPr="0003648D">
              <w:rPr>
                <w:b w:val="0"/>
              </w:rPr>
              <w:t>A Generation Resource</w:t>
            </w:r>
            <w:r w:rsidRPr="0003648D">
              <w:rPr>
                <w:b w:val="0"/>
                <w:i/>
              </w:rPr>
              <w:t xml:space="preserve"> </w:t>
            </w:r>
            <w:r w:rsidRPr="0003648D">
              <w:rPr>
                <w:b w:val="0"/>
              </w:rPr>
              <w:t>that was allocated Reg-Up Ancillary Service Assignment by the QSE.</w:t>
            </w:r>
          </w:p>
        </w:tc>
      </w:tr>
      <w:tr w:rsidR="00F371D4" w:rsidRPr="0003648D" w14:paraId="5A0C58BA"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354C0AB8" w14:textId="77777777" w:rsidR="00F371D4" w:rsidRPr="0003648D" w:rsidRDefault="00F371D4" w:rsidP="00B82144">
            <w:pPr>
              <w:pStyle w:val="TableHead"/>
              <w:spacing w:after="60"/>
              <w:rPr>
                <w:b w:val="0"/>
                <w:i/>
              </w:rPr>
            </w:pPr>
            <w:r>
              <w:rPr>
                <w:b w:val="0"/>
                <w:i/>
              </w:rPr>
              <w:t>p</w:t>
            </w:r>
          </w:p>
        </w:tc>
        <w:tc>
          <w:tcPr>
            <w:tcW w:w="491" w:type="pct"/>
            <w:tcBorders>
              <w:top w:val="single" w:sz="4" w:space="0" w:color="auto"/>
              <w:left w:val="single" w:sz="4" w:space="0" w:color="auto"/>
              <w:bottom w:val="single" w:sz="4" w:space="0" w:color="auto"/>
              <w:right w:val="single" w:sz="4" w:space="0" w:color="auto"/>
            </w:tcBorders>
          </w:tcPr>
          <w:p w14:paraId="41440F0F" w14:textId="77777777" w:rsidR="00F371D4" w:rsidRPr="0003648D" w:rsidRDefault="00F371D4" w:rsidP="00B82144">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6B028099" w14:textId="77777777" w:rsidR="00F371D4" w:rsidRPr="0003648D" w:rsidRDefault="00F371D4" w:rsidP="00B82144">
            <w:pPr>
              <w:pStyle w:val="TableHead"/>
              <w:spacing w:after="60"/>
              <w:rPr>
                <w:b w:val="0"/>
                <w:i/>
              </w:rPr>
            </w:pPr>
            <w:r w:rsidRPr="0003648D">
              <w:rPr>
                <w:b w:val="0"/>
              </w:rPr>
              <w:t>A Settlement Point for the Resource Node that was allocated Reg-Up Ancillary Service Assignment by the QSE.</w:t>
            </w:r>
          </w:p>
        </w:tc>
      </w:tr>
      <w:tr w:rsidR="00F371D4" w:rsidRPr="0003648D" w14:paraId="5A520883"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26B4CE2F" w14:textId="77777777" w:rsidR="00F371D4" w:rsidRPr="0003648D" w:rsidRDefault="00F371D4" w:rsidP="00B82144">
            <w:pPr>
              <w:pStyle w:val="TableHead"/>
              <w:spacing w:after="60"/>
              <w:rPr>
                <w:b w:val="0"/>
                <w:i/>
              </w:rPr>
            </w:pPr>
            <w:r w:rsidRPr="0003648D">
              <w:rPr>
                <w:b w:val="0"/>
                <w:i/>
              </w:rPr>
              <w:t>i</w:t>
            </w:r>
          </w:p>
        </w:tc>
        <w:tc>
          <w:tcPr>
            <w:tcW w:w="491" w:type="pct"/>
            <w:tcBorders>
              <w:top w:val="single" w:sz="4" w:space="0" w:color="auto"/>
              <w:left w:val="single" w:sz="4" w:space="0" w:color="auto"/>
              <w:bottom w:val="single" w:sz="4" w:space="0" w:color="auto"/>
              <w:right w:val="single" w:sz="4" w:space="0" w:color="auto"/>
            </w:tcBorders>
          </w:tcPr>
          <w:p w14:paraId="0156A929" w14:textId="77777777" w:rsidR="00F371D4" w:rsidRPr="0003648D" w:rsidRDefault="00F371D4" w:rsidP="00B82144">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74A43354" w14:textId="77777777" w:rsidR="00F371D4" w:rsidRPr="0003648D" w:rsidRDefault="00F371D4" w:rsidP="00B82144">
            <w:pPr>
              <w:pStyle w:val="TableHead"/>
              <w:tabs>
                <w:tab w:val="left" w:pos="2010"/>
              </w:tabs>
              <w:spacing w:after="60"/>
              <w:rPr>
                <w:b w:val="0"/>
              </w:rPr>
            </w:pPr>
            <w:r w:rsidRPr="0003648D">
              <w:rPr>
                <w:b w:val="0"/>
              </w:rPr>
              <w:t xml:space="preserve">A 15-minute Settlement Interval in the Operating Hour. </w:t>
            </w:r>
          </w:p>
        </w:tc>
      </w:tr>
      <w:tr w:rsidR="00F371D4" w:rsidRPr="0003648D" w14:paraId="626DC3B7"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181D7DA8" w14:textId="77777777" w:rsidR="00F371D4" w:rsidRPr="0003648D" w:rsidRDefault="00F371D4" w:rsidP="00B82144">
            <w:pPr>
              <w:pStyle w:val="TableHead"/>
              <w:spacing w:after="60"/>
              <w:rPr>
                <w:b w:val="0"/>
                <w:i/>
              </w:rPr>
            </w:pPr>
            <w:r>
              <w:rPr>
                <w:b w:val="0"/>
                <w:i/>
              </w:rPr>
              <w:t>y</w:t>
            </w:r>
          </w:p>
        </w:tc>
        <w:tc>
          <w:tcPr>
            <w:tcW w:w="491" w:type="pct"/>
            <w:tcBorders>
              <w:top w:val="single" w:sz="4" w:space="0" w:color="auto"/>
              <w:left w:val="single" w:sz="4" w:space="0" w:color="auto"/>
              <w:bottom w:val="single" w:sz="4" w:space="0" w:color="auto"/>
              <w:right w:val="single" w:sz="4" w:space="0" w:color="auto"/>
            </w:tcBorders>
          </w:tcPr>
          <w:p w14:paraId="3E6A575F" w14:textId="77777777" w:rsidR="00F371D4" w:rsidRPr="0003648D" w:rsidRDefault="00F371D4" w:rsidP="00B82144">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10A699FA" w14:textId="77777777" w:rsidR="00F371D4" w:rsidRPr="0003648D" w:rsidRDefault="00F371D4" w:rsidP="00B82144">
            <w:pPr>
              <w:pStyle w:val="TableHead"/>
              <w:tabs>
                <w:tab w:val="left" w:pos="2010"/>
              </w:tabs>
              <w:spacing w:after="60"/>
              <w:rPr>
                <w:b w:val="0"/>
              </w:rPr>
            </w:pPr>
            <w:r w:rsidRPr="0003648D">
              <w:rPr>
                <w:b w:val="0"/>
              </w:rPr>
              <w:t>A SCED interval in the 15-minute Settlement Interval.</w:t>
            </w:r>
          </w:p>
        </w:tc>
      </w:tr>
    </w:tbl>
    <w:p w14:paraId="053BCD44" w14:textId="77777777" w:rsidR="00F371D4" w:rsidRPr="0003648D" w:rsidRDefault="00F371D4" w:rsidP="00F371D4">
      <w:pPr>
        <w:pStyle w:val="BodyTextNumbered"/>
        <w:spacing w:before="240"/>
        <w:ind w:left="1440"/>
      </w:pPr>
      <w:r w:rsidRPr="0003648D">
        <w:t>(b)</w:t>
      </w:r>
      <w:r w:rsidRPr="0003648D">
        <w:tab/>
        <w:t xml:space="preserve">For </w:t>
      </w:r>
      <w:r>
        <w:t>RRS</w:t>
      </w:r>
      <w:r w:rsidRPr="0003648D">
        <w:t>, if applicable:</w:t>
      </w:r>
    </w:p>
    <w:p w14:paraId="623E565C" w14:textId="77777777" w:rsidR="00F371D4" w:rsidRPr="00817153" w:rsidRDefault="00F371D4" w:rsidP="00F371D4">
      <w:pPr>
        <w:spacing w:after="240"/>
        <w:ind w:left="2880" w:hanging="2160"/>
        <w:rPr>
          <w:b/>
          <w:i/>
          <w:vertAlign w:val="subscript"/>
        </w:rPr>
      </w:pPr>
      <w:r>
        <w:rPr>
          <w:b/>
        </w:rPr>
        <w:t>RTAURRAMT</w:t>
      </w:r>
      <w:r w:rsidRPr="001065E9">
        <w:rPr>
          <w:b/>
        </w:rPr>
        <w:t>QSETOT</w:t>
      </w:r>
      <w:r w:rsidRPr="00F641A1">
        <w:rPr>
          <w:b/>
          <w:i/>
          <w:vertAlign w:val="subscript"/>
        </w:rPr>
        <w:t xml:space="preserve"> q = </w:t>
      </w:r>
      <w:r w:rsidRPr="001065E9">
        <w:rPr>
          <w:b/>
        </w:rPr>
        <w:t xml:space="preserve"> </w:t>
      </w:r>
      <w:r w:rsidRPr="00F641A1">
        <w:rPr>
          <w:b/>
          <w:position w:val="-18"/>
        </w:rPr>
        <w:object w:dxaOrig="225" w:dyaOrig="420" w14:anchorId="45537E1E">
          <v:shape id="_x0000_i1320" type="#_x0000_t75" style="width:12pt;height:24pt" o:ole="">
            <v:imagedata r:id="rId387" o:title=""/>
          </v:shape>
          <o:OLEObject Type="Embed" ProgID="Equation.3" ShapeID="_x0000_i1320" DrawAspect="Content" ObjectID="_1815025508" r:id="rId397"/>
        </w:object>
      </w:r>
      <w:r>
        <w:rPr>
          <w:b/>
        </w:rPr>
        <w:t xml:space="preserve"> </w:t>
      </w:r>
      <w:r w:rsidRPr="0003648D">
        <w:rPr>
          <w:b/>
        </w:rPr>
        <w:t>RTAU</w:t>
      </w:r>
      <w:r>
        <w:rPr>
          <w:b/>
        </w:rPr>
        <w:t>R</w:t>
      </w:r>
      <w:r w:rsidRPr="0003648D">
        <w:rPr>
          <w:b/>
        </w:rPr>
        <w:t xml:space="preserve">RAMT </w:t>
      </w:r>
      <w:r w:rsidRPr="00F641A1">
        <w:rPr>
          <w:b/>
          <w:i/>
          <w:vertAlign w:val="subscript"/>
        </w:rPr>
        <w:t xml:space="preserve">q r, p, i </w:t>
      </w:r>
    </w:p>
    <w:p w14:paraId="0C83EB28" w14:textId="77777777" w:rsidR="00F371D4" w:rsidRPr="0003648D" w:rsidRDefault="00F371D4" w:rsidP="00F371D4">
      <w:pPr>
        <w:spacing w:after="240"/>
      </w:pPr>
      <w:r w:rsidRPr="0003648D">
        <w:t>Where:</w:t>
      </w:r>
    </w:p>
    <w:p w14:paraId="3BE107F1" w14:textId="77777777" w:rsidR="00F371D4" w:rsidRPr="00222BF6" w:rsidRDefault="00F371D4" w:rsidP="00F371D4">
      <w:pPr>
        <w:spacing w:after="240"/>
        <w:ind w:left="2880" w:hanging="2160"/>
      </w:pPr>
      <w:r w:rsidRPr="0062620E">
        <w:t>RTAU</w:t>
      </w:r>
      <w:r>
        <w:t>R</w:t>
      </w:r>
      <w:r w:rsidRPr="0062620E">
        <w:t xml:space="preserve">RAMT </w:t>
      </w:r>
      <w:r w:rsidRPr="0062620E">
        <w:rPr>
          <w:i/>
          <w:vertAlign w:val="subscript"/>
        </w:rPr>
        <w:t>q</w:t>
      </w:r>
      <w:r>
        <w:rPr>
          <w:i/>
          <w:vertAlign w:val="subscript"/>
        </w:rPr>
        <w:t>,</w:t>
      </w:r>
      <w:r w:rsidRPr="0062620E">
        <w:rPr>
          <w:i/>
          <w:vertAlign w:val="subscript"/>
        </w:rPr>
        <w:t xml:space="preserve"> r,</w:t>
      </w:r>
      <w:r>
        <w:rPr>
          <w:i/>
          <w:vertAlign w:val="subscript"/>
        </w:rPr>
        <w:t xml:space="preserve"> </w:t>
      </w:r>
      <w:r w:rsidRPr="0062620E">
        <w:rPr>
          <w:i/>
          <w:vertAlign w:val="subscript"/>
        </w:rPr>
        <w:t>p,</w:t>
      </w:r>
      <w:r>
        <w:rPr>
          <w:i/>
          <w:vertAlign w:val="subscript"/>
        </w:rPr>
        <w:t xml:space="preserve"> </w:t>
      </w:r>
      <w:r w:rsidRPr="0062620E">
        <w:rPr>
          <w:i/>
          <w:vertAlign w:val="subscript"/>
        </w:rPr>
        <w:t xml:space="preserve">i </w:t>
      </w:r>
      <w:r w:rsidRPr="0062620E">
        <w:rPr>
          <w:i/>
          <w:vertAlign w:val="subscript"/>
        </w:rPr>
        <w:tab/>
      </w:r>
      <w:r w:rsidRPr="0062620E">
        <w:t>=</w:t>
      </w:r>
      <w:r w:rsidRPr="0062620E">
        <w:tab/>
        <w:t>(-1) * 1/4 * RTAU</w:t>
      </w:r>
      <w:r>
        <w:t>R</w:t>
      </w:r>
      <w:r w:rsidRPr="0062620E">
        <w:t xml:space="preserve">RR </w:t>
      </w:r>
      <w:r w:rsidRPr="0062620E">
        <w:rPr>
          <w:i/>
          <w:vertAlign w:val="subscript"/>
        </w:rPr>
        <w:t>q, r,</w:t>
      </w:r>
      <w:r>
        <w:rPr>
          <w:i/>
          <w:vertAlign w:val="subscript"/>
        </w:rPr>
        <w:t xml:space="preserve"> </w:t>
      </w:r>
      <w:r w:rsidRPr="0062620E">
        <w:rPr>
          <w:i/>
          <w:vertAlign w:val="subscript"/>
        </w:rPr>
        <w:t xml:space="preserve">p </w:t>
      </w:r>
      <w:r w:rsidRPr="0062620E">
        <w:t>* (RTSPP</w:t>
      </w:r>
      <w:r>
        <w:t xml:space="preserve"> </w:t>
      </w:r>
      <w:r w:rsidRPr="0062620E">
        <w:rPr>
          <w:i/>
          <w:vertAlign w:val="subscript"/>
        </w:rPr>
        <w:t>p,</w:t>
      </w:r>
      <w:r>
        <w:rPr>
          <w:i/>
          <w:vertAlign w:val="subscript"/>
        </w:rPr>
        <w:t xml:space="preserve"> </w:t>
      </w:r>
      <w:r w:rsidRPr="0062620E">
        <w:rPr>
          <w:i/>
          <w:vertAlign w:val="subscript"/>
        </w:rPr>
        <w:t xml:space="preserve">i </w:t>
      </w:r>
      <w:r w:rsidRPr="0062620E">
        <w:t>– RTRSVPOR)</w:t>
      </w:r>
    </w:p>
    <w:p w14:paraId="42FA7B0C" w14:textId="77777777" w:rsidR="00F371D4" w:rsidRPr="00B57B59" w:rsidRDefault="00F371D4" w:rsidP="00F371D4">
      <w:pPr>
        <w:pStyle w:val="FormulaBold"/>
        <w:ind w:left="2880" w:hanging="2160"/>
        <w:rPr>
          <w:b w:val="0"/>
        </w:rPr>
      </w:pPr>
      <w:r w:rsidRPr="00B57B59">
        <w:rPr>
          <w:b w:val="0"/>
        </w:rPr>
        <w:t>RTRSVPOR</w:t>
      </w:r>
      <w:r w:rsidRPr="00B57B59">
        <w:rPr>
          <w:b w:val="0"/>
        </w:rPr>
        <w:tab/>
        <w:t>=</w:t>
      </w:r>
      <w:r w:rsidRPr="00B57B59">
        <w:rPr>
          <w:b w:val="0"/>
        </w:rPr>
        <w:tab/>
      </w:r>
      <w:r w:rsidRPr="00B57B59">
        <w:rPr>
          <w:b w:val="0"/>
          <w:position w:val="-22"/>
          <w:lang w:val="pt-BR"/>
        </w:rPr>
        <w:object w:dxaOrig="220" w:dyaOrig="460" w14:anchorId="2F1A105A">
          <v:shape id="_x0000_i1321" type="#_x0000_t75" style="width:12pt;height:18pt" o:ole="">
            <v:imagedata r:id="rId398" o:title=""/>
          </v:shape>
          <o:OLEObject Type="Embed" ProgID="Equation.3" ShapeID="_x0000_i1321" DrawAspect="Content" ObjectID="_1815025509" r:id="rId399"/>
        </w:object>
      </w:r>
      <w:r w:rsidRPr="00B57B59">
        <w:rPr>
          <w:b w:val="0"/>
        </w:rPr>
        <w:t xml:space="preserve">(RNWF </w:t>
      </w:r>
      <w:r w:rsidRPr="00B57B59">
        <w:rPr>
          <w:b w:val="0"/>
          <w:i/>
          <w:iCs/>
          <w:vertAlign w:val="subscript"/>
        </w:rPr>
        <w:t xml:space="preserve">y </w:t>
      </w:r>
      <w:r w:rsidRPr="00B57B59">
        <w:rPr>
          <w:b w:val="0"/>
        </w:rPr>
        <w:t>* RTORPA</w:t>
      </w:r>
      <w:r w:rsidRPr="00B57B59">
        <w:rPr>
          <w:b w:val="0"/>
          <w:i/>
          <w:iCs/>
          <w:vertAlign w:val="subscript"/>
        </w:rPr>
        <w:t xml:space="preserve"> y</w:t>
      </w:r>
      <w:r w:rsidRPr="00B57B59">
        <w:rPr>
          <w:b w:val="0"/>
        </w:rPr>
        <w:t xml:space="preserve">) </w:t>
      </w:r>
    </w:p>
    <w:p w14:paraId="1E4F54AD" w14:textId="77777777" w:rsidR="00F371D4" w:rsidRPr="0003648D" w:rsidRDefault="00F371D4" w:rsidP="00F371D4">
      <w:pPr>
        <w:pStyle w:val="BodyTextNumbered"/>
        <w:ind w:left="2880" w:hanging="2160"/>
      </w:pPr>
      <w:r w:rsidRPr="0003648D">
        <w:t xml:space="preserve">RNWF </w:t>
      </w:r>
      <w:r w:rsidRPr="0003648D">
        <w:rPr>
          <w:i/>
          <w:vertAlign w:val="subscript"/>
        </w:rPr>
        <w:t>y</w:t>
      </w:r>
      <w:r w:rsidRPr="0003648D">
        <w:tab/>
        <w:t>=</w:t>
      </w:r>
      <w:r w:rsidRPr="0003648D">
        <w:tab/>
        <w:t xml:space="preserve">TLMP </w:t>
      </w:r>
      <w:r w:rsidRPr="0003648D">
        <w:rPr>
          <w:i/>
          <w:vertAlign w:val="subscript"/>
        </w:rPr>
        <w:t>y</w:t>
      </w:r>
      <w:r w:rsidRPr="0003648D">
        <w:t xml:space="preserve"> </w:t>
      </w:r>
      <w:r w:rsidRPr="0003648D">
        <w:rPr>
          <w:color w:val="000000"/>
          <w:sz w:val="32"/>
          <w:szCs w:val="32"/>
        </w:rPr>
        <w:t>/</w:t>
      </w:r>
      <w:r w:rsidRPr="0003648D">
        <w:rPr>
          <w:color w:val="000000"/>
        </w:rPr>
        <w:t xml:space="preserve"> </w:t>
      </w:r>
      <w:r w:rsidRPr="0003648D">
        <w:rPr>
          <w:position w:val="-22"/>
        </w:rPr>
        <w:object w:dxaOrig="225" w:dyaOrig="465" w14:anchorId="15F2232A">
          <v:shape id="_x0000_i1322" type="#_x0000_t75" style="width:12pt;height:18pt" o:ole="">
            <v:imagedata r:id="rId22" o:title=""/>
          </v:shape>
          <o:OLEObject Type="Embed" ProgID="Equation.3" ShapeID="_x0000_i1322" DrawAspect="Content" ObjectID="_1815025510" r:id="rId400"/>
        </w:object>
      </w:r>
      <w:r w:rsidRPr="0003648D">
        <w:t xml:space="preserve">TLMP </w:t>
      </w:r>
      <w:r w:rsidRPr="0003648D">
        <w:rPr>
          <w:i/>
          <w:vertAlign w:val="subscript"/>
        </w:rPr>
        <w:t>y</w:t>
      </w:r>
    </w:p>
    <w:p w14:paraId="6470381A" w14:textId="77777777" w:rsidR="00F371D4" w:rsidRPr="0003648D" w:rsidRDefault="00F371D4" w:rsidP="00F371D4">
      <w:pPr>
        <w:pStyle w:val="BodyTextNumbered"/>
        <w:spacing w:after="0"/>
        <w:rPr>
          <w:lang w:val="es-ES"/>
        </w:rPr>
      </w:pPr>
      <w:r w:rsidRPr="0003648D">
        <w:t>The above variables are defined as follows:</w:t>
      </w:r>
      <w:r w:rsidRPr="0003648D">
        <w:rPr>
          <w:lang w:val="es-E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29"/>
        <w:gridCol w:w="5939"/>
      </w:tblGrid>
      <w:tr w:rsidR="00F371D4" w:rsidRPr="0003648D" w14:paraId="103D74E1" w14:textId="77777777" w:rsidTr="00B82144">
        <w:trPr>
          <w:cantSplit/>
          <w:tblHeader/>
        </w:trPr>
        <w:tc>
          <w:tcPr>
            <w:tcW w:w="1327" w:type="pct"/>
            <w:tcBorders>
              <w:top w:val="single" w:sz="4" w:space="0" w:color="auto"/>
              <w:left w:val="single" w:sz="4" w:space="0" w:color="auto"/>
              <w:bottom w:val="single" w:sz="4" w:space="0" w:color="auto"/>
              <w:right w:val="single" w:sz="4" w:space="0" w:color="auto"/>
            </w:tcBorders>
          </w:tcPr>
          <w:p w14:paraId="402533AF" w14:textId="77777777" w:rsidR="00F371D4" w:rsidRPr="0003648D" w:rsidRDefault="00F371D4" w:rsidP="00B82144">
            <w:pPr>
              <w:pStyle w:val="TableHead"/>
            </w:pPr>
            <w:r w:rsidRPr="0003648D">
              <w:t>Variable</w:t>
            </w:r>
          </w:p>
        </w:tc>
        <w:tc>
          <w:tcPr>
            <w:tcW w:w="497" w:type="pct"/>
            <w:tcBorders>
              <w:top w:val="single" w:sz="4" w:space="0" w:color="auto"/>
              <w:left w:val="single" w:sz="4" w:space="0" w:color="auto"/>
              <w:bottom w:val="single" w:sz="4" w:space="0" w:color="auto"/>
              <w:right w:val="single" w:sz="4" w:space="0" w:color="auto"/>
            </w:tcBorders>
          </w:tcPr>
          <w:p w14:paraId="6E3C8C2D" w14:textId="77777777" w:rsidR="00F371D4" w:rsidRPr="0003648D" w:rsidRDefault="00F371D4" w:rsidP="00B82144">
            <w:pPr>
              <w:pStyle w:val="TableHead"/>
            </w:pPr>
            <w:r w:rsidRPr="0003648D">
              <w:t>Unit</w:t>
            </w:r>
          </w:p>
        </w:tc>
        <w:tc>
          <w:tcPr>
            <w:tcW w:w="3176" w:type="pct"/>
            <w:tcBorders>
              <w:top w:val="single" w:sz="4" w:space="0" w:color="auto"/>
              <w:left w:val="single" w:sz="4" w:space="0" w:color="auto"/>
              <w:bottom w:val="single" w:sz="4" w:space="0" w:color="auto"/>
              <w:right w:val="single" w:sz="4" w:space="0" w:color="auto"/>
            </w:tcBorders>
          </w:tcPr>
          <w:p w14:paraId="23DA7EC1" w14:textId="77777777" w:rsidR="00F371D4" w:rsidRPr="0003648D" w:rsidRDefault="00F371D4" w:rsidP="00B82144">
            <w:pPr>
              <w:pStyle w:val="TableHead"/>
            </w:pPr>
            <w:r w:rsidRPr="0003648D">
              <w:t>Description</w:t>
            </w:r>
          </w:p>
        </w:tc>
      </w:tr>
      <w:tr w:rsidR="00F371D4" w:rsidRPr="0003648D" w14:paraId="04DF9F41"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20B98926" w14:textId="77777777" w:rsidR="00F371D4" w:rsidRPr="0003648D" w:rsidRDefault="00F371D4" w:rsidP="00B82144">
            <w:pPr>
              <w:pStyle w:val="TableHead"/>
              <w:rPr>
                <w:b w:val="0"/>
              </w:rPr>
            </w:pPr>
            <w:r w:rsidRPr="0003648D">
              <w:rPr>
                <w:b w:val="0"/>
              </w:rPr>
              <w:t>RTAU</w:t>
            </w:r>
            <w:r>
              <w:rPr>
                <w:b w:val="0"/>
              </w:rPr>
              <w:t>R</w:t>
            </w:r>
            <w:r w:rsidRPr="0003648D">
              <w:rPr>
                <w:b w:val="0"/>
              </w:rPr>
              <w:t>R</w:t>
            </w:r>
            <w:r>
              <w:rPr>
                <w:b w:val="0"/>
              </w:rPr>
              <w:t>AMTQSETO</w:t>
            </w:r>
            <w:r w:rsidRPr="0003648D">
              <w:rPr>
                <w:b w:val="0"/>
              </w:rPr>
              <w:t xml:space="preserve">T </w:t>
            </w:r>
            <w:r>
              <w:rPr>
                <w:b w:val="0"/>
                <w:i/>
                <w:vertAlign w:val="subscript"/>
              </w:rPr>
              <w:t>q</w:t>
            </w:r>
          </w:p>
        </w:tc>
        <w:tc>
          <w:tcPr>
            <w:tcW w:w="497" w:type="pct"/>
            <w:tcBorders>
              <w:top w:val="single" w:sz="4" w:space="0" w:color="auto"/>
              <w:left w:val="single" w:sz="4" w:space="0" w:color="auto"/>
              <w:bottom w:val="single" w:sz="4" w:space="0" w:color="auto"/>
              <w:right w:val="single" w:sz="4" w:space="0" w:color="auto"/>
            </w:tcBorders>
          </w:tcPr>
          <w:p w14:paraId="08CF2D22" w14:textId="77777777" w:rsidR="00F371D4" w:rsidRPr="0003648D" w:rsidRDefault="00F371D4" w:rsidP="00B82144">
            <w:pPr>
              <w:pStyle w:val="TableHead"/>
              <w:rPr>
                <w:b w:val="0"/>
              </w:rPr>
            </w:pPr>
            <w:r w:rsidRPr="0003648D">
              <w:rPr>
                <w:b w:val="0"/>
              </w:rPr>
              <w:t>$</w:t>
            </w:r>
          </w:p>
        </w:tc>
        <w:tc>
          <w:tcPr>
            <w:tcW w:w="3176" w:type="pct"/>
            <w:tcBorders>
              <w:top w:val="single" w:sz="4" w:space="0" w:color="auto"/>
              <w:left w:val="single" w:sz="4" w:space="0" w:color="auto"/>
              <w:bottom w:val="single" w:sz="4" w:space="0" w:color="auto"/>
              <w:right w:val="single" w:sz="4" w:space="0" w:color="auto"/>
            </w:tcBorders>
          </w:tcPr>
          <w:p w14:paraId="0F0318EB" w14:textId="516E4E65" w:rsidR="00F371D4" w:rsidRPr="0003648D" w:rsidRDefault="00F371D4" w:rsidP="00B82144">
            <w:pPr>
              <w:pStyle w:val="TableHead"/>
              <w:rPr>
                <w:b w:val="0"/>
                <w:i/>
              </w:rPr>
            </w:pPr>
            <w:r w:rsidRPr="0003648D">
              <w:rPr>
                <w:b w:val="0"/>
                <w:i/>
              </w:rPr>
              <w:t>Real-Time</w:t>
            </w:r>
            <w:r>
              <w:rPr>
                <w:b w:val="0"/>
                <w:i/>
              </w:rPr>
              <w:t xml:space="preserve"> Assigned Un-Deployed Responsive Reserve Payment Amount</w:t>
            </w:r>
            <w:r w:rsidRPr="0003648D">
              <w:rPr>
                <w:b w:val="0"/>
                <w:i/>
              </w:rPr>
              <w:t xml:space="preserve"> per QSE</w:t>
            </w:r>
            <w:r w:rsidR="00FC35DE" w:rsidRPr="0003648D">
              <w:sym w:font="Symbol" w:char="F0BE"/>
            </w:r>
            <w:r w:rsidR="00FC35DE" w:rsidRPr="0003648D">
              <w:rPr>
                <w:b w:val="0"/>
                <w:i/>
              </w:rPr>
              <w:t xml:space="preserve"> </w:t>
            </w:r>
            <w:r w:rsidRPr="0003648D">
              <w:rPr>
                <w:b w:val="0"/>
              </w:rPr>
              <w:t xml:space="preserve">The payment to QSE </w:t>
            </w:r>
            <w:r w:rsidRPr="0003648D">
              <w:rPr>
                <w:b w:val="0"/>
                <w:i/>
              </w:rPr>
              <w:t>q</w:t>
            </w:r>
            <w:r w:rsidRPr="0003648D">
              <w:rPr>
                <w:b w:val="0"/>
              </w:rPr>
              <w:t xml:space="preserve"> for a Real-Time un-deployed </w:t>
            </w:r>
            <w:r>
              <w:rPr>
                <w:b w:val="0"/>
              </w:rPr>
              <w:t xml:space="preserve">RRS Ancillary Service Assignment. </w:t>
            </w:r>
          </w:p>
        </w:tc>
      </w:tr>
      <w:tr w:rsidR="00F371D4" w:rsidRPr="0003648D" w14:paraId="76E52F25"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11ED36B7" w14:textId="77777777" w:rsidR="00F371D4" w:rsidRPr="0003648D" w:rsidRDefault="00F371D4" w:rsidP="00B82144">
            <w:pPr>
              <w:pStyle w:val="TableHead"/>
              <w:rPr>
                <w:b w:val="0"/>
              </w:rPr>
            </w:pPr>
            <w:r w:rsidRPr="0003648D">
              <w:rPr>
                <w:b w:val="0"/>
              </w:rPr>
              <w:t>RTAU</w:t>
            </w:r>
            <w:r>
              <w:rPr>
                <w:b w:val="0"/>
              </w:rPr>
              <w:t>R</w:t>
            </w:r>
            <w:r w:rsidRPr="0003648D">
              <w:rPr>
                <w:b w:val="0"/>
              </w:rPr>
              <w:t xml:space="preserve">RAMT </w:t>
            </w:r>
            <w:r w:rsidRPr="0003648D">
              <w:rPr>
                <w:b w:val="0"/>
                <w:i/>
                <w:vertAlign w:val="subscript"/>
              </w:rPr>
              <w:t>q, r,</w:t>
            </w:r>
            <w:r>
              <w:rPr>
                <w:b w:val="0"/>
                <w:i/>
                <w:vertAlign w:val="subscript"/>
              </w:rPr>
              <w:t xml:space="preserve"> </w:t>
            </w:r>
            <w:r w:rsidRPr="0003648D">
              <w:rPr>
                <w:b w:val="0"/>
                <w:i/>
                <w:vertAlign w:val="subscript"/>
              </w:rPr>
              <w:t>p</w:t>
            </w:r>
            <w:r>
              <w:rPr>
                <w:b w:val="0"/>
                <w:i/>
                <w:vertAlign w:val="subscript"/>
              </w:rPr>
              <w:t>,</w:t>
            </w:r>
            <w:r w:rsidRPr="0003648D">
              <w:rPr>
                <w:i/>
                <w:vertAlign w:val="subscript"/>
              </w:rPr>
              <w:t xml:space="preserve"> </w:t>
            </w:r>
            <w:r w:rsidRPr="0003648D">
              <w:rPr>
                <w:b w:val="0"/>
                <w:i/>
                <w:vertAlign w:val="subscript"/>
              </w:rPr>
              <w:t>i</w:t>
            </w:r>
            <w:r w:rsidRPr="0003648D">
              <w:rPr>
                <w:b w:val="0"/>
              </w:rPr>
              <w:t xml:space="preserve"> </w:t>
            </w:r>
          </w:p>
        </w:tc>
        <w:tc>
          <w:tcPr>
            <w:tcW w:w="497" w:type="pct"/>
            <w:tcBorders>
              <w:top w:val="single" w:sz="4" w:space="0" w:color="auto"/>
              <w:left w:val="single" w:sz="4" w:space="0" w:color="auto"/>
              <w:bottom w:val="single" w:sz="4" w:space="0" w:color="auto"/>
              <w:right w:val="single" w:sz="4" w:space="0" w:color="auto"/>
            </w:tcBorders>
          </w:tcPr>
          <w:p w14:paraId="5458C380" w14:textId="77777777" w:rsidR="00F371D4" w:rsidRPr="0003648D" w:rsidRDefault="00F371D4" w:rsidP="00B82144">
            <w:pPr>
              <w:pStyle w:val="TableHead"/>
              <w:rPr>
                <w:b w:val="0"/>
              </w:rPr>
            </w:pPr>
            <w:r w:rsidRPr="0003648D">
              <w:rPr>
                <w:b w:val="0"/>
              </w:rPr>
              <w:t>$</w:t>
            </w:r>
          </w:p>
        </w:tc>
        <w:tc>
          <w:tcPr>
            <w:tcW w:w="3176" w:type="pct"/>
            <w:tcBorders>
              <w:top w:val="single" w:sz="4" w:space="0" w:color="auto"/>
              <w:left w:val="single" w:sz="4" w:space="0" w:color="auto"/>
              <w:bottom w:val="single" w:sz="4" w:space="0" w:color="auto"/>
              <w:right w:val="single" w:sz="4" w:space="0" w:color="auto"/>
            </w:tcBorders>
          </w:tcPr>
          <w:p w14:paraId="6C50E81A" w14:textId="1D88BF8E" w:rsidR="00F371D4" w:rsidRPr="0003648D" w:rsidRDefault="00F371D4" w:rsidP="00B82144">
            <w:pPr>
              <w:pStyle w:val="TableHead"/>
              <w:rPr>
                <w:b w:val="0"/>
                <w:i/>
              </w:rPr>
            </w:pPr>
            <w:r w:rsidRPr="0003648D">
              <w:rPr>
                <w:b w:val="0"/>
                <w:i/>
              </w:rPr>
              <w:t xml:space="preserve">Real-Time Assigned Un-Deployed </w:t>
            </w:r>
            <w:r>
              <w:rPr>
                <w:b w:val="0"/>
                <w:i/>
              </w:rPr>
              <w:t>Responsive Reserve</w:t>
            </w:r>
            <w:r w:rsidRPr="0003648D">
              <w:rPr>
                <w:b w:val="0"/>
                <w:i/>
              </w:rPr>
              <w:t xml:space="preserve"> Payment Amount per Resource per QSE</w:t>
            </w:r>
            <w:r w:rsidR="00FC35DE" w:rsidRPr="0003648D">
              <w:sym w:font="Symbol" w:char="F0BE"/>
            </w:r>
            <w:r w:rsidR="00FC35DE" w:rsidRPr="0003648D">
              <w:rPr>
                <w:b w:val="0"/>
                <w:i/>
              </w:rPr>
              <w:t xml:space="preserve"> </w:t>
            </w:r>
            <w:r w:rsidRPr="0003648D">
              <w:rPr>
                <w:b w:val="0"/>
              </w:rPr>
              <w:t xml:space="preserve">The payment to QSE </w:t>
            </w:r>
            <w:r w:rsidRPr="0003648D">
              <w:rPr>
                <w:b w:val="0"/>
                <w:i/>
              </w:rPr>
              <w:t>q</w:t>
            </w:r>
            <w:r w:rsidRPr="0003648D">
              <w:rPr>
                <w:b w:val="0"/>
              </w:rPr>
              <w:t xml:space="preserve"> for a Real-Time un-deployed </w:t>
            </w:r>
            <w:r>
              <w:rPr>
                <w:b w:val="0"/>
              </w:rPr>
              <w:t>R</w:t>
            </w:r>
            <w:r w:rsidRPr="0003648D">
              <w:rPr>
                <w:b w:val="0"/>
              </w:rPr>
              <w:t xml:space="preserve">RS Ancillary Service Assignment to Resource </w:t>
            </w:r>
            <w:r w:rsidRPr="0003648D">
              <w:rPr>
                <w:b w:val="0"/>
                <w:i/>
              </w:rPr>
              <w:t>r</w:t>
            </w:r>
            <w:r w:rsidRPr="0003648D">
              <w:rPr>
                <w:b w:val="0"/>
              </w:rPr>
              <w:t xml:space="preserv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F371D4" w:rsidRPr="0003648D" w14:paraId="1BCB8163" w14:textId="77777777" w:rsidTr="00B82144">
        <w:trPr>
          <w:cantSplit/>
          <w:trHeight w:val="593"/>
        </w:trPr>
        <w:tc>
          <w:tcPr>
            <w:tcW w:w="1327" w:type="pct"/>
            <w:tcBorders>
              <w:top w:val="single" w:sz="4" w:space="0" w:color="auto"/>
              <w:left w:val="single" w:sz="4" w:space="0" w:color="auto"/>
              <w:bottom w:val="single" w:sz="4" w:space="0" w:color="auto"/>
              <w:right w:val="single" w:sz="4" w:space="0" w:color="auto"/>
            </w:tcBorders>
          </w:tcPr>
          <w:p w14:paraId="514E8877" w14:textId="77777777" w:rsidR="00F371D4" w:rsidRPr="0003648D" w:rsidRDefault="00F371D4" w:rsidP="00B82144">
            <w:pPr>
              <w:spacing w:after="240"/>
            </w:pPr>
            <w:r w:rsidRPr="0003648D">
              <w:rPr>
                <w:sz w:val="20"/>
              </w:rPr>
              <w:lastRenderedPageBreak/>
              <w:t>RTAU</w:t>
            </w:r>
            <w:r>
              <w:rPr>
                <w:sz w:val="20"/>
              </w:rPr>
              <w:t>R</w:t>
            </w:r>
            <w:r w:rsidRPr="0003648D">
              <w:rPr>
                <w:sz w:val="20"/>
              </w:rPr>
              <w:t>RR</w:t>
            </w:r>
            <w:r w:rsidRPr="00C768E1">
              <w:rPr>
                <w:i/>
                <w:sz w:val="20"/>
                <w:vertAlign w:val="subscript"/>
              </w:rPr>
              <w:t xml:space="preserve"> q, r, p</w:t>
            </w:r>
          </w:p>
          <w:p w14:paraId="4CD617F8" w14:textId="77777777" w:rsidR="00F371D4" w:rsidRPr="0003648D" w:rsidRDefault="00F371D4" w:rsidP="00B82144">
            <w:pPr>
              <w:pStyle w:val="TableHead"/>
              <w:rPr>
                <w:b w:val="0"/>
              </w:rPr>
            </w:pPr>
          </w:p>
        </w:tc>
        <w:tc>
          <w:tcPr>
            <w:tcW w:w="497" w:type="pct"/>
            <w:tcBorders>
              <w:top w:val="single" w:sz="4" w:space="0" w:color="auto"/>
              <w:left w:val="single" w:sz="4" w:space="0" w:color="auto"/>
              <w:bottom w:val="single" w:sz="4" w:space="0" w:color="auto"/>
              <w:right w:val="single" w:sz="4" w:space="0" w:color="auto"/>
            </w:tcBorders>
          </w:tcPr>
          <w:p w14:paraId="4C625DA9" w14:textId="77777777" w:rsidR="00F371D4" w:rsidRPr="0003648D" w:rsidRDefault="00F371D4" w:rsidP="00B82144">
            <w:pPr>
              <w:pStyle w:val="TableHead"/>
              <w:rPr>
                <w:b w:val="0"/>
              </w:rPr>
            </w:pPr>
            <w:r w:rsidRPr="0003648D">
              <w:rPr>
                <w:b w:val="0"/>
              </w:rPr>
              <w:t>MW</w:t>
            </w:r>
          </w:p>
        </w:tc>
        <w:tc>
          <w:tcPr>
            <w:tcW w:w="3176" w:type="pct"/>
            <w:tcBorders>
              <w:top w:val="single" w:sz="4" w:space="0" w:color="auto"/>
              <w:left w:val="single" w:sz="4" w:space="0" w:color="auto"/>
              <w:bottom w:val="single" w:sz="4" w:space="0" w:color="auto"/>
              <w:right w:val="single" w:sz="4" w:space="0" w:color="auto"/>
            </w:tcBorders>
          </w:tcPr>
          <w:p w14:paraId="74AFEAB1" w14:textId="6FA96458" w:rsidR="00F371D4" w:rsidRPr="0003648D" w:rsidRDefault="00F371D4" w:rsidP="00B82144">
            <w:pPr>
              <w:pStyle w:val="TableHead"/>
              <w:rPr>
                <w:b w:val="0"/>
                <w:i/>
              </w:rPr>
            </w:pPr>
            <w:r w:rsidRPr="0003648D">
              <w:rPr>
                <w:b w:val="0"/>
                <w:i/>
              </w:rPr>
              <w:t xml:space="preserve">Real-Time Assigned Un-Deployed </w:t>
            </w:r>
            <w:r>
              <w:rPr>
                <w:b w:val="0"/>
                <w:i/>
              </w:rPr>
              <w:t>Responsive Reserve</w:t>
            </w:r>
            <w:r w:rsidRPr="0003648D">
              <w:rPr>
                <w:b w:val="0"/>
                <w:i/>
              </w:rPr>
              <w:t xml:space="preserve"> Quantity per Resource per QSE</w:t>
            </w:r>
            <w:r w:rsidR="00FC35DE" w:rsidRPr="0003648D">
              <w:sym w:font="Symbol" w:char="F0BE"/>
            </w:r>
            <w:r w:rsidR="00FC35DE" w:rsidRPr="0003648D">
              <w:rPr>
                <w:b w:val="0"/>
                <w:i/>
              </w:rPr>
              <w:t xml:space="preserve"> </w:t>
            </w:r>
            <w:r w:rsidRPr="0003648D">
              <w:rPr>
                <w:b w:val="0"/>
              </w:rPr>
              <w:t xml:space="preserve">The quantity of un-deployed </w:t>
            </w:r>
            <w:r>
              <w:rPr>
                <w:b w:val="0"/>
              </w:rPr>
              <w:t>RRS</w:t>
            </w:r>
            <w:r w:rsidRPr="0003648D">
              <w:rPr>
                <w:b w:val="0"/>
              </w:rPr>
              <w:t xml:space="preserve"> assigned under a Watch to a QSE </w:t>
            </w:r>
            <w:r w:rsidRPr="0003648D">
              <w:rPr>
                <w:b w:val="0"/>
                <w:i/>
              </w:rPr>
              <w:t>q</w:t>
            </w:r>
            <w:r w:rsidRPr="0003648D">
              <w:rPr>
                <w:b w:val="0"/>
              </w:rPr>
              <w:t xml:space="preserve"> for Resource </w:t>
            </w:r>
            <w:r w:rsidRPr="0003648D">
              <w:rPr>
                <w:b w:val="0"/>
                <w:i/>
              </w:rPr>
              <w:t>r</w:t>
            </w:r>
            <w:r w:rsidRPr="0003648D">
              <w:rPr>
                <w:b w:val="0"/>
              </w:rPr>
              <w:t xml:space="preserve"> at the Settlement Point </w:t>
            </w:r>
            <w:r w:rsidRPr="0003648D">
              <w:rPr>
                <w:b w:val="0"/>
                <w:i/>
              </w:rPr>
              <w:t>p</w:t>
            </w:r>
            <w:r w:rsidRPr="0003648D">
              <w:rPr>
                <w:b w:val="0"/>
              </w:rPr>
              <w:t xml:space="preserve"> for the hour.  Where for a Combined Cycle Train, the Resource </w:t>
            </w:r>
            <w:r w:rsidRPr="0003648D">
              <w:rPr>
                <w:b w:val="0"/>
                <w:i/>
              </w:rPr>
              <w:t xml:space="preserve">r </w:t>
            </w:r>
            <w:r w:rsidRPr="0003648D">
              <w:rPr>
                <w:b w:val="0"/>
              </w:rPr>
              <w:t>is a Combined Cycle Generation Resource within the Combined Cycle Train.</w:t>
            </w:r>
          </w:p>
        </w:tc>
      </w:tr>
      <w:tr w:rsidR="00F371D4" w:rsidRPr="0003648D" w14:paraId="285ABAF6"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692F7AD2" w14:textId="77777777" w:rsidR="00F371D4" w:rsidRPr="0003648D" w:rsidRDefault="00F371D4" w:rsidP="00B82144">
            <w:pPr>
              <w:pStyle w:val="TableHead"/>
              <w:rPr>
                <w:b w:val="0"/>
                <w:vertAlign w:val="subscript"/>
              </w:rPr>
            </w:pPr>
            <w:r w:rsidRPr="0003648D">
              <w:rPr>
                <w:b w:val="0"/>
              </w:rPr>
              <w:t>RTSPP</w:t>
            </w:r>
            <w:r>
              <w:rPr>
                <w:b w:val="0"/>
              </w:rPr>
              <w:t xml:space="preserve"> </w:t>
            </w:r>
            <w:r w:rsidRPr="0003648D">
              <w:rPr>
                <w:b w:val="0"/>
                <w:i/>
                <w:vertAlign w:val="subscript"/>
              </w:rPr>
              <w:t>p,</w:t>
            </w:r>
            <w:r>
              <w:rPr>
                <w:b w:val="0"/>
                <w:i/>
                <w:vertAlign w:val="subscript"/>
              </w:rPr>
              <w:t xml:space="preserve"> </w:t>
            </w:r>
            <w:r w:rsidRPr="0003648D">
              <w:rPr>
                <w:b w:val="0"/>
                <w:i/>
                <w:vertAlign w:val="subscript"/>
              </w:rPr>
              <w:t>i</w:t>
            </w:r>
          </w:p>
        </w:tc>
        <w:tc>
          <w:tcPr>
            <w:tcW w:w="497" w:type="pct"/>
            <w:tcBorders>
              <w:top w:val="single" w:sz="4" w:space="0" w:color="auto"/>
              <w:left w:val="single" w:sz="4" w:space="0" w:color="auto"/>
              <w:bottom w:val="single" w:sz="4" w:space="0" w:color="auto"/>
              <w:right w:val="single" w:sz="4" w:space="0" w:color="auto"/>
            </w:tcBorders>
          </w:tcPr>
          <w:p w14:paraId="5D87AB8B" w14:textId="77777777" w:rsidR="00F371D4" w:rsidRPr="0003648D" w:rsidRDefault="00F371D4" w:rsidP="00B82144">
            <w:pPr>
              <w:pStyle w:val="TableHead"/>
              <w:rPr>
                <w:b w:val="0"/>
              </w:rPr>
            </w:pPr>
            <w:r w:rsidRPr="0003648D">
              <w:rPr>
                <w:b w:val="0"/>
              </w:rPr>
              <w:t>$/MWh</w:t>
            </w:r>
          </w:p>
        </w:tc>
        <w:tc>
          <w:tcPr>
            <w:tcW w:w="3176" w:type="pct"/>
            <w:tcBorders>
              <w:top w:val="single" w:sz="4" w:space="0" w:color="auto"/>
              <w:left w:val="single" w:sz="4" w:space="0" w:color="auto"/>
              <w:bottom w:val="single" w:sz="4" w:space="0" w:color="auto"/>
              <w:right w:val="single" w:sz="4" w:space="0" w:color="auto"/>
            </w:tcBorders>
          </w:tcPr>
          <w:p w14:paraId="38CCEADC" w14:textId="301DF046" w:rsidR="00F371D4" w:rsidRPr="0003648D" w:rsidRDefault="00F371D4" w:rsidP="00B82144">
            <w:pPr>
              <w:pStyle w:val="TableHead"/>
              <w:rPr>
                <w:b w:val="0"/>
                <w:i/>
              </w:rPr>
            </w:pPr>
            <w:r w:rsidRPr="0003648D">
              <w:rPr>
                <w:b w:val="0"/>
                <w:i/>
              </w:rPr>
              <w:t>Real-Time Settlement Point Price per Settlement Point</w:t>
            </w:r>
            <w:r w:rsidRPr="0003648D">
              <w:rPr>
                <w:b w:val="0"/>
              </w:rPr>
              <w:sym w:font="Symbol" w:char="F0BE"/>
            </w:r>
            <w:r w:rsidRPr="0003648D">
              <w:rPr>
                <w:b w:val="0"/>
                <w:i/>
              </w:rPr>
              <w:t xml:space="preserve"> </w:t>
            </w:r>
            <w:r w:rsidRPr="0003648D">
              <w:rPr>
                <w:b w:val="0"/>
              </w:rPr>
              <w:t xml:space="preserve">The Real-Time Settlement Point Price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F371D4" w:rsidRPr="0003648D" w14:paraId="2D982EC3" w14:textId="77777777" w:rsidTr="00B82144">
        <w:trPr>
          <w:cantSplit/>
        </w:trPr>
        <w:tc>
          <w:tcPr>
            <w:tcW w:w="1327" w:type="pct"/>
          </w:tcPr>
          <w:p w14:paraId="3BC33C52" w14:textId="77777777" w:rsidR="00F371D4" w:rsidRPr="0003648D" w:rsidRDefault="00F371D4" w:rsidP="00B82144">
            <w:pPr>
              <w:pStyle w:val="tablebody0"/>
              <w:rPr>
                <w:i/>
              </w:rPr>
            </w:pPr>
            <w:r w:rsidRPr="0003648D">
              <w:t>RTRSVPOR</w:t>
            </w:r>
          </w:p>
        </w:tc>
        <w:tc>
          <w:tcPr>
            <w:tcW w:w="497" w:type="pct"/>
          </w:tcPr>
          <w:p w14:paraId="4BEDDE2B" w14:textId="77777777" w:rsidR="00F371D4" w:rsidRPr="0003648D" w:rsidRDefault="00F371D4" w:rsidP="00B82144">
            <w:pPr>
              <w:pStyle w:val="tablebody0"/>
            </w:pPr>
            <w:r w:rsidRPr="0003648D">
              <w:t>$/MWh</w:t>
            </w:r>
          </w:p>
        </w:tc>
        <w:tc>
          <w:tcPr>
            <w:tcW w:w="3176" w:type="pct"/>
          </w:tcPr>
          <w:p w14:paraId="7F71034A" w14:textId="77777777" w:rsidR="00F371D4" w:rsidRPr="0003648D" w:rsidRDefault="00F371D4" w:rsidP="00B82144">
            <w:pPr>
              <w:pStyle w:val="tablebody0"/>
            </w:pPr>
            <w:r w:rsidRPr="0003648D">
              <w:rPr>
                <w:i/>
              </w:rPr>
              <w:t>Real-Time Reserve Price for On-Line Reserves</w:t>
            </w:r>
            <w:r w:rsidRPr="0003648D">
              <w:sym w:font="Symbol" w:char="F0BE"/>
            </w:r>
            <w:r w:rsidRPr="0003648D">
              <w:t>The Real-Time Reserve Price for On-Line Reserves for the 15-minute Settlement Interval.</w:t>
            </w:r>
          </w:p>
        </w:tc>
      </w:tr>
      <w:tr w:rsidR="00F371D4" w:rsidRPr="0003648D" w14:paraId="2D845AFB" w14:textId="77777777" w:rsidTr="00B82144">
        <w:trPr>
          <w:cantSplit/>
        </w:trPr>
        <w:tc>
          <w:tcPr>
            <w:tcW w:w="1327" w:type="pct"/>
          </w:tcPr>
          <w:p w14:paraId="4246B280" w14:textId="77777777" w:rsidR="00F371D4" w:rsidRPr="0003648D" w:rsidRDefault="00F371D4" w:rsidP="00B82144">
            <w:pPr>
              <w:pStyle w:val="tablebody0"/>
            </w:pPr>
            <w:r w:rsidRPr="0003648D">
              <w:t xml:space="preserve">TLMP </w:t>
            </w:r>
            <w:r w:rsidRPr="0003648D">
              <w:rPr>
                <w:i/>
                <w:vertAlign w:val="subscript"/>
              </w:rPr>
              <w:t>y</w:t>
            </w:r>
          </w:p>
        </w:tc>
        <w:tc>
          <w:tcPr>
            <w:tcW w:w="497" w:type="pct"/>
          </w:tcPr>
          <w:p w14:paraId="2D3AB32A" w14:textId="77777777" w:rsidR="00F371D4" w:rsidRPr="0003648D" w:rsidRDefault="00F371D4" w:rsidP="00B82144">
            <w:pPr>
              <w:pStyle w:val="tablebody0"/>
              <w:rPr>
                <w:iCs/>
              </w:rPr>
            </w:pPr>
            <w:r w:rsidRPr="0003648D">
              <w:t>second</w:t>
            </w:r>
          </w:p>
        </w:tc>
        <w:tc>
          <w:tcPr>
            <w:tcW w:w="3176" w:type="pct"/>
          </w:tcPr>
          <w:p w14:paraId="3FF823DB" w14:textId="77777777" w:rsidR="00F371D4" w:rsidRPr="0003648D" w:rsidRDefault="00F371D4" w:rsidP="00B82144">
            <w:pPr>
              <w:pStyle w:val="tablebody0"/>
            </w:pPr>
            <w:r w:rsidRPr="0003648D">
              <w:rPr>
                <w:i/>
                <w:iCs/>
              </w:rPr>
              <w:t xml:space="preserve">Duration of </w:t>
            </w:r>
            <w:r w:rsidRPr="0003648D">
              <w:rPr>
                <w:i/>
              </w:rPr>
              <w:t>SCED</w:t>
            </w:r>
            <w:r w:rsidRPr="0003648D">
              <w:rPr>
                <w:i/>
                <w:iCs/>
              </w:rPr>
              <w:t xml:space="preserve"> interval per interval</w:t>
            </w:r>
            <w:r w:rsidRPr="0003648D">
              <w:sym w:font="Symbol" w:char="F0BE"/>
            </w:r>
            <w:r w:rsidRPr="0003648D">
              <w:t xml:space="preserve">The duration of the SCED interval </w:t>
            </w:r>
            <w:r w:rsidRPr="0003648D">
              <w:rPr>
                <w:i/>
                <w:iCs/>
              </w:rPr>
              <w:t>y</w:t>
            </w:r>
            <w:r w:rsidRPr="0003648D">
              <w:t>.</w:t>
            </w:r>
          </w:p>
        </w:tc>
      </w:tr>
      <w:tr w:rsidR="00F371D4" w:rsidRPr="0003648D" w14:paraId="0C8C6472" w14:textId="77777777" w:rsidTr="00B82144">
        <w:trPr>
          <w:cantSplit/>
        </w:trPr>
        <w:tc>
          <w:tcPr>
            <w:tcW w:w="1327" w:type="pct"/>
          </w:tcPr>
          <w:p w14:paraId="49A32188" w14:textId="77777777" w:rsidR="00F371D4" w:rsidRPr="0003648D" w:rsidRDefault="00F371D4" w:rsidP="00B82144">
            <w:pPr>
              <w:pStyle w:val="tablebody0"/>
              <w:rPr>
                <w:i/>
              </w:rPr>
            </w:pPr>
            <w:r w:rsidRPr="0003648D">
              <w:t xml:space="preserve">RNWF </w:t>
            </w:r>
            <w:r w:rsidRPr="0003648D">
              <w:rPr>
                <w:i/>
                <w:vertAlign w:val="subscript"/>
              </w:rPr>
              <w:t>y</w:t>
            </w:r>
          </w:p>
        </w:tc>
        <w:tc>
          <w:tcPr>
            <w:tcW w:w="497" w:type="pct"/>
          </w:tcPr>
          <w:p w14:paraId="124A29CA" w14:textId="77777777" w:rsidR="00F371D4" w:rsidRPr="0003648D" w:rsidRDefault="00F371D4" w:rsidP="00B82144">
            <w:pPr>
              <w:pStyle w:val="tablebody0"/>
            </w:pPr>
            <w:r w:rsidRPr="0003648D">
              <w:t>none</w:t>
            </w:r>
          </w:p>
        </w:tc>
        <w:tc>
          <w:tcPr>
            <w:tcW w:w="3176" w:type="pct"/>
          </w:tcPr>
          <w:p w14:paraId="4231D385" w14:textId="77777777" w:rsidR="00F371D4" w:rsidRPr="0003648D" w:rsidRDefault="00F371D4" w:rsidP="00B82144">
            <w:pPr>
              <w:pStyle w:val="tablebody0"/>
            </w:pPr>
            <w:r w:rsidRPr="0003648D">
              <w:rPr>
                <w:i/>
              </w:rPr>
              <w:t>Resource Node Weighting Factor per interval</w:t>
            </w:r>
            <w:r w:rsidRPr="0003648D">
              <w:sym w:font="Symbol" w:char="F0BE"/>
            </w:r>
            <w:r w:rsidRPr="0003648D">
              <w:t xml:space="preserve">The weight used in the Resource Node Settlement Point Price calculation for the portion of the SCED interval </w:t>
            </w:r>
            <w:r w:rsidRPr="0003648D">
              <w:rPr>
                <w:i/>
              </w:rPr>
              <w:t>y</w:t>
            </w:r>
            <w:r w:rsidRPr="0003648D">
              <w:t xml:space="preserve"> within the 15-minute Settlement Interval.</w:t>
            </w:r>
          </w:p>
        </w:tc>
      </w:tr>
      <w:tr w:rsidR="00F371D4" w:rsidRPr="0003648D" w14:paraId="64DBE433"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0F615B3" w14:textId="77777777" w:rsidR="00F371D4" w:rsidRPr="0003648D" w:rsidRDefault="00F371D4" w:rsidP="00B82144">
            <w:pPr>
              <w:spacing w:after="60"/>
              <w:rPr>
                <w:sz w:val="20"/>
              </w:rPr>
            </w:pPr>
            <w:r w:rsidRPr="0003648D">
              <w:rPr>
                <w:sz w:val="20"/>
              </w:rPr>
              <w:t>RTORPA</w:t>
            </w:r>
            <w:r w:rsidRPr="0003648D">
              <w:rPr>
                <w:b/>
                <w:vertAlign w:val="subscript"/>
              </w:rPr>
              <w:t xml:space="preserve"> </w:t>
            </w:r>
            <w:r w:rsidRPr="0003648D">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7BAB34E9" w14:textId="77777777" w:rsidR="00F371D4" w:rsidRPr="0003648D" w:rsidRDefault="00F371D4" w:rsidP="00B82144">
            <w:pPr>
              <w:pStyle w:val="TableHead"/>
              <w:spacing w:after="60"/>
              <w:rPr>
                <w:b w:val="0"/>
              </w:rPr>
            </w:pPr>
            <w:r w:rsidRPr="0003648D">
              <w:rPr>
                <w:b w:val="0"/>
              </w:rPr>
              <w:t>$/MWh</w:t>
            </w:r>
          </w:p>
        </w:tc>
        <w:tc>
          <w:tcPr>
            <w:tcW w:w="3176" w:type="pct"/>
            <w:tcBorders>
              <w:top w:val="single" w:sz="4" w:space="0" w:color="auto"/>
              <w:left w:val="single" w:sz="4" w:space="0" w:color="auto"/>
              <w:bottom w:val="single" w:sz="4" w:space="0" w:color="auto"/>
              <w:right w:val="single" w:sz="4" w:space="0" w:color="auto"/>
            </w:tcBorders>
          </w:tcPr>
          <w:p w14:paraId="7219DA62" w14:textId="77777777" w:rsidR="00F371D4" w:rsidRPr="0003648D" w:rsidRDefault="00F371D4" w:rsidP="00B82144">
            <w:pPr>
              <w:pStyle w:val="TableHead"/>
              <w:spacing w:after="60"/>
              <w:rPr>
                <w:b w:val="0"/>
                <w:i/>
              </w:rPr>
            </w:pPr>
            <w:r w:rsidRPr="0003648D">
              <w:rPr>
                <w:b w:val="0"/>
                <w:i/>
              </w:rPr>
              <w:t>Real-Time On-Line Reserve Price Adder per interval</w:t>
            </w:r>
            <w:r w:rsidRPr="0003648D">
              <w:rPr>
                <w:b w:val="0"/>
              </w:rPr>
              <w:sym w:font="Symbol" w:char="F0BE"/>
            </w:r>
            <w:r w:rsidRPr="0003648D">
              <w:rPr>
                <w:b w:val="0"/>
              </w:rPr>
              <w:t xml:space="preserve">The Real-Time On-Line Reserve Price Adder for the SCED interval </w:t>
            </w:r>
            <w:r w:rsidRPr="0003648D">
              <w:rPr>
                <w:b w:val="0"/>
                <w:i/>
              </w:rPr>
              <w:t>y</w:t>
            </w:r>
            <w:r w:rsidRPr="0003648D">
              <w:rPr>
                <w:b w:val="0"/>
              </w:rPr>
              <w:t>.</w:t>
            </w:r>
          </w:p>
        </w:tc>
      </w:tr>
      <w:tr w:rsidR="00F371D4" w:rsidRPr="0003648D" w14:paraId="37D8C5E4"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62CE6971" w14:textId="77777777" w:rsidR="00F371D4" w:rsidRPr="00A02D58" w:rsidRDefault="00F371D4" w:rsidP="00B82144">
            <w:pPr>
              <w:spacing w:after="60"/>
              <w:rPr>
                <w:sz w:val="20"/>
              </w:rPr>
            </w:pPr>
            <w:r w:rsidRPr="00214781">
              <w:rPr>
                <w:sz w:val="20"/>
              </w:rPr>
              <w:t>RTORDPA</w:t>
            </w:r>
            <w:r w:rsidRPr="00181BDE">
              <w:rPr>
                <w:vertAlign w:val="subscript"/>
              </w:rPr>
              <w:t xml:space="preserve"> </w:t>
            </w:r>
            <w:r w:rsidRPr="00967A0A">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23B009FD" w14:textId="77777777" w:rsidR="00F371D4" w:rsidRPr="00A02D58" w:rsidRDefault="00F371D4" w:rsidP="00B82144">
            <w:pPr>
              <w:pStyle w:val="TableHead"/>
              <w:spacing w:after="60"/>
              <w:rPr>
                <w:b w:val="0"/>
              </w:rPr>
            </w:pPr>
            <w:r w:rsidRPr="00D847BB">
              <w:rPr>
                <w:b w:val="0"/>
              </w:rPr>
              <w:t>$/MWh</w:t>
            </w:r>
          </w:p>
        </w:tc>
        <w:tc>
          <w:tcPr>
            <w:tcW w:w="3176" w:type="pct"/>
            <w:tcBorders>
              <w:top w:val="single" w:sz="4" w:space="0" w:color="auto"/>
              <w:left w:val="single" w:sz="4" w:space="0" w:color="auto"/>
              <w:bottom w:val="single" w:sz="4" w:space="0" w:color="auto"/>
              <w:right w:val="single" w:sz="4" w:space="0" w:color="auto"/>
            </w:tcBorders>
          </w:tcPr>
          <w:p w14:paraId="337C0501" w14:textId="77777777" w:rsidR="00F371D4" w:rsidRPr="00A02D58" w:rsidRDefault="00F371D4" w:rsidP="00B82144">
            <w:pPr>
              <w:pStyle w:val="TableHead"/>
              <w:spacing w:after="60"/>
              <w:rPr>
                <w:b w:val="0"/>
                <w:i/>
              </w:rPr>
            </w:pPr>
            <w:r w:rsidRPr="00D847BB">
              <w:rPr>
                <w:b w:val="0"/>
                <w:i/>
              </w:rPr>
              <w:t>Real-Time On-Line Reliability Deployment Price Adder</w:t>
            </w:r>
            <w:r w:rsidRPr="00D847BB">
              <w:rPr>
                <w:b w:val="0"/>
              </w:rPr>
              <w:sym w:font="Symbol" w:char="F0BE"/>
            </w:r>
            <w:r w:rsidRPr="00D847BB">
              <w:rPr>
                <w:b w:val="0"/>
              </w:rPr>
              <w:t xml:space="preserve">The Real-Time Price Adder that captures the impact of reliability deployments on energy prices for the SCED interval </w:t>
            </w:r>
            <w:r w:rsidRPr="00D847BB">
              <w:rPr>
                <w:b w:val="0"/>
                <w:i/>
              </w:rPr>
              <w:t>y</w:t>
            </w:r>
            <w:r w:rsidRPr="00D847BB">
              <w:rPr>
                <w:b w:val="0"/>
              </w:rPr>
              <w:t>.</w:t>
            </w:r>
          </w:p>
        </w:tc>
      </w:tr>
      <w:tr w:rsidR="00F371D4" w:rsidRPr="0003648D" w14:paraId="2C23FD6F"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122C7D18" w14:textId="77777777" w:rsidR="00F371D4" w:rsidRPr="0003648D" w:rsidRDefault="00F371D4" w:rsidP="00B82144">
            <w:pPr>
              <w:pStyle w:val="TableHead"/>
              <w:spacing w:after="60"/>
              <w:rPr>
                <w:b w:val="0"/>
                <w:i/>
              </w:rPr>
            </w:pPr>
            <w:r w:rsidRPr="0003648D">
              <w:rPr>
                <w:b w:val="0"/>
                <w:i/>
              </w:rPr>
              <w:t>q</w:t>
            </w:r>
          </w:p>
        </w:tc>
        <w:tc>
          <w:tcPr>
            <w:tcW w:w="497" w:type="pct"/>
            <w:tcBorders>
              <w:top w:val="single" w:sz="4" w:space="0" w:color="auto"/>
              <w:left w:val="single" w:sz="4" w:space="0" w:color="auto"/>
              <w:bottom w:val="single" w:sz="4" w:space="0" w:color="auto"/>
              <w:right w:val="single" w:sz="4" w:space="0" w:color="auto"/>
            </w:tcBorders>
          </w:tcPr>
          <w:p w14:paraId="4FC7BD36" w14:textId="77777777" w:rsidR="00F371D4" w:rsidRPr="0003648D" w:rsidRDefault="00F371D4" w:rsidP="00B82144">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3CB2A300" w14:textId="77777777" w:rsidR="00F371D4" w:rsidRPr="0003648D" w:rsidRDefault="00F371D4" w:rsidP="00B82144">
            <w:pPr>
              <w:pStyle w:val="TableHead"/>
              <w:spacing w:after="60"/>
              <w:rPr>
                <w:b w:val="0"/>
              </w:rPr>
            </w:pPr>
            <w:r w:rsidRPr="0003648D">
              <w:rPr>
                <w:b w:val="0"/>
              </w:rPr>
              <w:t>A QSE.</w:t>
            </w:r>
          </w:p>
        </w:tc>
      </w:tr>
      <w:tr w:rsidR="00F371D4" w:rsidRPr="0003648D" w14:paraId="26386A66"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7BBE5B45" w14:textId="77777777" w:rsidR="00F371D4" w:rsidRPr="0003648D" w:rsidRDefault="00F371D4" w:rsidP="00B82144">
            <w:pPr>
              <w:pStyle w:val="TableHead"/>
              <w:spacing w:after="60"/>
              <w:rPr>
                <w:b w:val="0"/>
                <w:i/>
              </w:rPr>
            </w:pPr>
            <w:r w:rsidRPr="0003648D">
              <w:rPr>
                <w:b w:val="0"/>
                <w:i/>
              </w:rPr>
              <w:t>r</w:t>
            </w:r>
          </w:p>
        </w:tc>
        <w:tc>
          <w:tcPr>
            <w:tcW w:w="497" w:type="pct"/>
            <w:tcBorders>
              <w:top w:val="single" w:sz="4" w:space="0" w:color="auto"/>
              <w:left w:val="single" w:sz="4" w:space="0" w:color="auto"/>
              <w:bottom w:val="single" w:sz="4" w:space="0" w:color="auto"/>
              <w:right w:val="single" w:sz="4" w:space="0" w:color="auto"/>
            </w:tcBorders>
          </w:tcPr>
          <w:p w14:paraId="50C05F00" w14:textId="77777777" w:rsidR="00F371D4" w:rsidRPr="0003648D" w:rsidRDefault="00F371D4" w:rsidP="00B82144">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7F09636E" w14:textId="77777777" w:rsidR="00F371D4" w:rsidRPr="0003648D" w:rsidRDefault="00F371D4" w:rsidP="00B82144">
            <w:pPr>
              <w:pStyle w:val="TableHead"/>
              <w:spacing w:after="60"/>
              <w:rPr>
                <w:b w:val="0"/>
                <w:i/>
              </w:rPr>
            </w:pPr>
            <w:r w:rsidRPr="0003648D">
              <w:rPr>
                <w:b w:val="0"/>
              </w:rPr>
              <w:t>A Generation Resource</w:t>
            </w:r>
            <w:r w:rsidRPr="0003648D">
              <w:rPr>
                <w:b w:val="0"/>
                <w:i/>
              </w:rPr>
              <w:t xml:space="preserve"> </w:t>
            </w:r>
            <w:r w:rsidRPr="0003648D">
              <w:rPr>
                <w:b w:val="0"/>
              </w:rPr>
              <w:t xml:space="preserve">that was allocated </w:t>
            </w:r>
            <w:r>
              <w:rPr>
                <w:b w:val="0"/>
              </w:rPr>
              <w:t>RRS</w:t>
            </w:r>
            <w:r w:rsidRPr="0003648D">
              <w:rPr>
                <w:b w:val="0"/>
              </w:rPr>
              <w:t xml:space="preserve"> Ancillary Service Assignment by the QSE.</w:t>
            </w:r>
          </w:p>
        </w:tc>
      </w:tr>
      <w:tr w:rsidR="00F371D4" w:rsidRPr="0003648D" w14:paraId="74166C38"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5D569336" w14:textId="77777777" w:rsidR="00F371D4" w:rsidRPr="0003648D" w:rsidRDefault="00F371D4" w:rsidP="00B82144">
            <w:pPr>
              <w:pStyle w:val="TableHead"/>
              <w:spacing w:after="60"/>
              <w:rPr>
                <w:b w:val="0"/>
                <w:i/>
              </w:rPr>
            </w:pPr>
            <w:r w:rsidRPr="0003648D">
              <w:rPr>
                <w:b w:val="0"/>
                <w:i/>
              </w:rPr>
              <w:t>p</w:t>
            </w:r>
          </w:p>
        </w:tc>
        <w:tc>
          <w:tcPr>
            <w:tcW w:w="497" w:type="pct"/>
            <w:tcBorders>
              <w:top w:val="single" w:sz="4" w:space="0" w:color="auto"/>
              <w:left w:val="single" w:sz="4" w:space="0" w:color="auto"/>
              <w:bottom w:val="single" w:sz="4" w:space="0" w:color="auto"/>
              <w:right w:val="single" w:sz="4" w:space="0" w:color="auto"/>
            </w:tcBorders>
          </w:tcPr>
          <w:p w14:paraId="5D5A5562" w14:textId="77777777" w:rsidR="00F371D4" w:rsidRPr="0003648D" w:rsidRDefault="00F371D4" w:rsidP="00B82144">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6D8A777A" w14:textId="77777777" w:rsidR="00F371D4" w:rsidRPr="0003648D" w:rsidRDefault="00F371D4" w:rsidP="00B82144">
            <w:pPr>
              <w:pStyle w:val="TableHead"/>
              <w:spacing w:after="60"/>
              <w:rPr>
                <w:b w:val="0"/>
                <w:i/>
              </w:rPr>
            </w:pPr>
            <w:r w:rsidRPr="0003648D">
              <w:rPr>
                <w:b w:val="0"/>
              </w:rPr>
              <w:t xml:space="preserve">A Settlement Point for the Resource Node that was allocated </w:t>
            </w:r>
            <w:r>
              <w:rPr>
                <w:b w:val="0"/>
              </w:rPr>
              <w:t>RRS</w:t>
            </w:r>
            <w:r w:rsidRPr="0003648D">
              <w:rPr>
                <w:b w:val="0"/>
              </w:rPr>
              <w:t xml:space="preserve"> Ancillary Service Assignment by the QSE.</w:t>
            </w:r>
          </w:p>
        </w:tc>
      </w:tr>
      <w:tr w:rsidR="00F371D4" w:rsidRPr="0003648D" w14:paraId="1A415F3B"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1B428593" w14:textId="77777777" w:rsidR="00F371D4" w:rsidRPr="0003648D" w:rsidRDefault="00F371D4" w:rsidP="00B82144">
            <w:pPr>
              <w:pStyle w:val="TableHead"/>
              <w:spacing w:after="60"/>
              <w:rPr>
                <w:b w:val="0"/>
                <w:i/>
              </w:rPr>
            </w:pPr>
            <w:r w:rsidRPr="0003648D">
              <w:rPr>
                <w:b w:val="0"/>
                <w:i/>
              </w:rPr>
              <w:t>i</w:t>
            </w:r>
          </w:p>
        </w:tc>
        <w:tc>
          <w:tcPr>
            <w:tcW w:w="497" w:type="pct"/>
            <w:tcBorders>
              <w:top w:val="single" w:sz="4" w:space="0" w:color="auto"/>
              <w:left w:val="single" w:sz="4" w:space="0" w:color="auto"/>
              <w:bottom w:val="single" w:sz="4" w:space="0" w:color="auto"/>
              <w:right w:val="single" w:sz="4" w:space="0" w:color="auto"/>
            </w:tcBorders>
          </w:tcPr>
          <w:p w14:paraId="620B1B29" w14:textId="77777777" w:rsidR="00F371D4" w:rsidRPr="0003648D" w:rsidRDefault="00F371D4" w:rsidP="00B82144">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5F1DEE07" w14:textId="77777777" w:rsidR="00F371D4" w:rsidRPr="0003648D" w:rsidRDefault="00F371D4" w:rsidP="00B82144">
            <w:pPr>
              <w:pStyle w:val="TableHead"/>
              <w:spacing w:after="60"/>
              <w:rPr>
                <w:b w:val="0"/>
              </w:rPr>
            </w:pPr>
            <w:r w:rsidRPr="0003648D">
              <w:rPr>
                <w:b w:val="0"/>
              </w:rPr>
              <w:t>A 15-minute Settlement Interval in the Operating Hour.</w:t>
            </w:r>
          </w:p>
        </w:tc>
      </w:tr>
      <w:tr w:rsidR="00F371D4" w:rsidRPr="0003648D" w14:paraId="44FC20BA"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58EF285C" w14:textId="77777777" w:rsidR="00F371D4" w:rsidRPr="0003648D" w:rsidRDefault="00F371D4" w:rsidP="00B82144">
            <w:pPr>
              <w:pStyle w:val="TableHead"/>
              <w:spacing w:after="60"/>
              <w:rPr>
                <w:b w:val="0"/>
                <w:i/>
              </w:rPr>
            </w:pPr>
            <w:r w:rsidRPr="0003648D">
              <w:rPr>
                <w:b w:val="0"/>
                <w:i/>
              </w:rPr>
              <w:t>y</w:t>
            </w:r>
          </w:p>
        </w:tc>
        <w:tc>
          <w:tcPr>
            <w:tcW w:w="497" w:type="pct"/>
            <w:tcBorders>
              <w:top w:val="single" w:sz="4" w:space="0" w:color="auto"/>
              <w:left w:val="single" w:sz="4" w:space="0" w:color="auto"/>
              <w:bottom w:val="single" w:sz="4" w:space="0" w:color="auto"/>
              <w:right w:val="single" w:sz="4" w:space="0" w:color="auto"/>
            </w:tcBorders>
          </w:tcPr>
          <w:p w14:paraId="69EC27A9" w14:textId="77777777" w:rsidR="00F371D4" w:rsidRPr="0003648D" w:rsidRDefault="00F371D4" w:rsidP="00B82144">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23BA8139" w14:textId="77777777" w:rsidR="00F371D4" w:rsidRPr="0003648D" w:rsidRDefault="00F371D4" w:rsidP="00B82144">
            <w:pPr>
              <w:pStyle w:val="TableHead"/>
              <w:spacing w:after="60"/>
              <w:rPr>
                <w:b w:val="0"/>
              </w:rPr>
            </w:pPr>
            <w:r w:rsidRPr="0003648D">
              <w:rPr>
                <w:b w:val="0"/>
              </w:rPr>
              <w:t>A SCED interval in the 15-minute Settlement Interval.</w:t>
            </w:r>
          </w:p>
        </w:tc>
      </w:tr>
    </w:tbl>
    <w:p w14:paraId="682C3DE1" w14:textId="77777777" w:rsidR="00F371D4" w:rsidRPr="00C94AB6" w:rsidRDefault="00F371D4" w:rsidP="00F371D4">
      <w:pPr>
        <w:spacing w:before="240" w:after="240"/>
        <w:ind w:left="1440" w:hanging="720"/>
        <w:rPr>
          <w:iCs/>
        </w:rPr>
      </w:pPr>
      <w:bookmarkStart w:id="2703" w:name="_Toc496080099"/>
      <w:bookmarkStart w:id="2704" w:name="_Toc397505047"/>
      <w:bookmarkStart w:id="2705" w:name="_Toc402357179"/>
      <w:bookmarkStart w:id="2706" w:name="_Toc422486559"/>
      <w:bookmarkStart w:id="2707" w:name="_Toc433093413"/>
      <w:bookmarkStart w:id="2708" w:name="_Toc433093571"/>
      <w:bookmarkStart w:id="2709" w:name="_Toc440874801"/>
      <w:bookmarkStart w:id="2710" w:name="_Toc448142358"/>
      <w:bookmarkStart w:id="2711" w:name="_Toc448142515"/>
      <w:bookmarkStart w:id="2712" w:name="_Toc458770356"/>
      <w:bookmarkStart w:id="2713" w:name="_Toc459294324"/>
      <w:bookmarkStart w:id="2714" w:name="_Toc463262818"/>
      <w:bookmarkStart w:id="2715" w:name="_Toc103141430"/>
      <w:bookmarkStart w:id="2716" w:name="_Toc109009424"/>
      <w:r w:rsidRPr="0003648D">
        <w:t>(c)</w:t>
      </w:r>
      <w:r w:rsidRPr="0003648D">
        <w:tab/>
      </w:r>
      <w:r w:rsidRPr="00C94AB6">
        <w:rPr>
          <w:iCs/>
        </w:rPr>
        <w:t>For ECRS, if applicable:</w:t>
      </w:r>
    </w:p>
    <w:p w14:paraId="044EDAF3" w14:textId="77777777" w:rsidR="00F371D4" w:rsidRPr="00C94AB6" w:rsidRDefault="00F371D4" w:rsidP="00F371D4">
      <w:pPr>
        <w:spacing w:after="240"/>
        <w:ind w:left="2880" w:hanging="2160"/>
        <w:rPr>
          <w:b/>
          <w:i/>
          <w:vertAlign w:val="subscript"/>
        </w:rPr>
      </w:pPr>
      <w:r w:rsidRPr="00C94AB6">
        <w:rPr>
          <w:b/>
        </w:rPr>
        <w:t>RTAUECRAMTQSETOT</w:t>
      </w:r>
      <w:r w:rsidRPr="00C94AB6">
        <w:rPr>
          <w:b/>
          <w:i/>
          <w:vertAlign w:val="subscript"/>
        </w:rPr>
        <w:t xml:space="preserve"> q = </w:t>
      </w:r>
      <w:r w:rsidRPr="00C94AB6">
        <w:rPr>
          <w:b/>
        </w:rPr>
        <w:t xml:space="preserve"> </w:t>
      </w:r>
      <w:r w:rsidRPr="00C94AB6">
        <w:rPr>
          <w:b/>
          <w:position w:val="-18"/>
        </w:rPr>
        <w:object w:dxaOrig="225" w:dyaOrig="420" w14:anchorId="1044D526">
          <v:shape id="_x0000_i1323" type="#_x0000_t75" style="width:12pt;height:24pt" o:ole="">
            <v:imagedata r:id="rId387" o:title=""/>
          </v:shape>
          <o:OLEObject Type="Embed" ProgID="Equation.3" ShapeID="_x0000_i1323" DrawAspect="Content" ObjectID="_1815025511" r:id="rId401"/>
        </w:object>
      </w:r>
      <w:r w:rsidRPr="00C94AB6">
        <w:rPr>
          <w:b/>
        </w:rPr>
        <w:t xml:space="preserve"> RTAUECRAMT </w:t>
      </w:r>
      <w:r w:rsidRPr="00C94AB6">
        <w:rPr>
          <w:b/>
          <w:i/>
          <w:vertAlign w:val="subscript"/>
        </w:rPr>
        <w:t xml:space="preserve">q r, p, i </w:t>
      </w:r>
    </w:p>
    <w:p w14:paraId="60325991" w14:textId="77777777" w:rsidR="00F371D4" w:rsidRPr="00C94AB6" w:rsidRDefault="00F371D4" w:rsidP="00F371D4">
      <w:pPr>
        <w:spacing w:after="240"/>
      </w:pPr>
      <w:r w:rsidRPr="00C94AB6">
        <w:t>Where:</w:t>
      </w:r>
    </w:p>
    <w:p w14:paraId="06A2FFD9" w14:textId="77777777" w:rsidR="00F371D4" w:rsidRPr="00C94AB6" w:rsidRDefault="00F371D4" w:rsidP="00F371D4">
      <w:pPr>
        <w:tabs>
          <w:tab w:val="left" w:pos="2880"/>
        </w:tabs>
        <w:spacing w:after="240"/>
        <w:ind w:left="3600" w:hanging="2880"/>
      </w:pPr>
      <w:r w:rsidRPr="00C94AB6">
        <w:t xml:space="preserve">RTAUECRAMT </w:t>
      </w:r>
      <w:r w:rsidRPr="00C94AB6">
        <w:rPr>
          <w:i/>
          <w:vertAlign w:val="subscript"/>
        </w:rPr>
        <w:t>q r,</w:t>
      </w:r>
      <w:r>
        <w:rPr>
          <w:i/>
          <w:vertAlign w:val="subscript"/>
        </w:rPr>
        <w:t xml:space="preserve"> </w:t>
      </w:r>
      <w:r w:rsidRPr="00C94AB6">
        <w:rPr>
          <w:i/>
          <w:vertAlign w:val="subscript"/>
        </w:rPr>
        <w:t>p,</w:t>
      </w:r>
      <w:r>
        <w:rPr>
          <w:i/>
          <w:vertAlign w:val="subscript"/>
        </w:rPr>
        <w:t xml:space="preserve"> </w:t>
      </w:r>
      <w:r w:rsidRPr="00C94AB6">
        <w:rPr>
          <w:i/>
          <w:vertAlign w:val="subscript"/>
        </w:rPr>
        <w:t>i</w:t>
      </w:r>
      <w:r>
        <w:rPr>
          <w:i/>
          <w:vertAlign w:val="subscript"/>
        </w:rPr>
        <w:t xml:space="preserve"> </w:t>
      </w:r>
      <w:r w:rsidRPr="00C94AB6">
        <w:t>=</w:t>
      </w:r>
      <w:r w:rsidRPr="00C94AB6">
        <w:tab/>
        <w:t xml:space="preserve">(-1) * 1/4 * RTAUECRR </w:t>
      </w:r>
      <w:r w:rsidRPr="00C94AB6">
        <w:rPr>
          <w:i/>
          <w:vertAlign w:val="subscript"/>
        </w:rPr>
        <w:t>q, r,</w:t>
      </w:r>
      <w:r>
        <w:rPr>
          <w:i/>
          <w:vertAlign w:val="subscript"/>
        </w:rPr>
        <w:t xml:space="preserve"> </w:t>
      </w:r>
      <w:r w:rsidRPr="00C94AB6">
        <w:rPr>
          <w:i/>
          <w:vertAlign w:val="subscript"/>
        </w:rPr>
        <w:t xml:space="preserve">p </w:t>
      </w:r>
      <w:r w:rsidRPr="00C94AB6">
        <w:t>* (RTSPP</w:t>
      </w:r>
      <w:r>
        <w:t xml:space="preserve"> </w:t>
      </w:r>
      <w:r w:rsidRPr="00C94AB6">
        <w:rPr>
          <w:i/>
          <w:vertAlign w:val="subscript"/>
        </w:rPr>
        <w:t>p,</w:t>
      </w:r>
      <w:r>
        <w:rPr>
          <w:i/>
          <w:vertAlign w:val="subscript"/>
        </w:rPr>
        <w:t xml:space="preserve"> </w:t>
      </w:r>
      <w:r w:rsidRPr="00C94AB6">
        <w:rPr>
          <w:i/>
          <w:vertAlign w:val="subscript"/>
        </w:rPr>
        <w:t xml:space="preserve">i </w:t>
      </w:r>
      <w:r w:rsidRPr="00C94AB6">
        <w:t xml:space="preserve">– RTRSVPOR </w:t>
      </w:r>
      <w:r w:rsidRPr="00C94AB6">
        <w:rPr>
          <w:b/>
        </w:rPr>
        <w:t xml:space="preserve">- </w:t>
      </w:r>
      <w:r w:rsidRPr="00C94AB6">
        <w:t>RTRDP)</w:t>
      </w:r>
    </w:p>
    <w:p w14:paraId="363DD816" w14:textId="77777777" w:rsidR="00F371D4" w:rsidRPr="00C94AB6" w:rsidRDefault="00F371D4" w:rsidP="00F371D4">
      <w:pPr>
        <w:spacing w:after="240"/>
        <w:ind w:left="2880" w:hanging="2160"/>
        <w:rPr>
          <w:bCs/>
        </w:rPr>
      </w:pPr>
      <w:r w:rsidRPr="00C94AB6">
        <w:rPr>
          <w:bCs/>
        </w:rPr>
        <w:t>RTRSVPOR</w:t>
      </w:r>
      <w:r w:rsidRPr="00C94AB6">
        <w:rPr>
          <w:bCs/>
        </w:rPr>
        <w:tab/>
        <w:t>=</w:t>
      </w:r>
      <w:r w:rsidRPr="00C94AB6">
        <w:rPr>
          <w:bCs/>
        </w:rPr>
        <w:tab/>
      </w:r>
      <w:r w:rsidRPr="00C94AB6">
        <w:rPr>
          <w:bCs/>
          <w:position w:val="-22"/>
          <w:lang w:val="pt-BR"/>
        </w:rPr>
        <w:object w:dxaOrig="220" w:dyaOrig="460" w14:anchorId="3BB1D32B">
          <v:shape id="_x0000_i1324" type="#_x0000_t75" style="width:12pt;height:18pt" o:ole="">
            <v:imagedata r:id="rId398" o:title=""/>
          </v:shape>
          <o:OLEObject Type="Embed" ProgID="Equation.3" ShapeID="_x0000_i1324" DrawAspect="Content" ObjectID="_1815025512" r:id="rId402"/>
        </w:object>
      </w:r>
      <w:r w:rsidRPr="00C94AB6">
        <w:rPr>
          <w:bCs/>
        </w:rPr>
        <w:t xml:space="preserve">(RNWF </w:t>
      </w:r>
      <w:r w:rsidRPr="00C94AB6">
        <w:rPr>
          <w:bCs/>
          <w:i/>
          <w:iCs/>
          <w:vertAlign w:val="subscript"/>
        </w:rPr>
        <w:t xml:space="preserve">y </w:t>
      </w:r>
      <w:r w:rsidRPr="00C94AB6">
        <w:rPr>
          <w:bCs/>
        </w:rPr>
        <w:t>* RTORPA</w:t>
      </w:r>
      <w:r w:rsidRPr="00C94AB6">
        <w:rPr>
          <w:bCs/>
          <w:i/>
          <w:iCs/>
          <w:vertAlign w:val="subscript"/>
        </w:rPr>
        <w:t xml:space="preserve"> y</w:t>
      </w:r>
      <w:r w:rsidRPr="00C94AB6">
        <w:rPr>
          <w:bCs/>
        </w:rPr>
        <w:t xml:space="preserve">) </w:t>
      </w:r>
    </w:p>
    <w:p w14:paraId="7D979CEE" w14:textId="77777777" w:rsidR="00F371D4" w:rsidRPr="00C94AB6" w:rsidRDefault="00F371D4" w:rsidP="00F371D4">
      <w:pPr>
        <w:spacing w:after="240"/>
        <w:ind w:left="2880" w:hanging="2160"/>
        <w:rPr>
          <w:bCs/>
        </w:rPr>
      </w:pPr>
      <w:r w:rsidRPr="00C94AB6">
        <w:rPr>
          <w:bCs/>
        </w:rPr>
        <w:t xml:space="preserve">RTRDP </w:t>
      </w:r>
      <w:r w:rsidRPr="00C94AB6">
        <w:rPr>
          <w:bCs/>
        </w:rPr>
        <w:tab/>
        <w:t>=</w:t>
      </w:r>
      <w:r w:rsidRPr="00C94AB6">
        <w:rPr>
          <w:bCs/>
        </w:rPr>
        <w:tab/>
      </w:r>
      <w:r w:rsidRPr="00C94AB6">
        <w:rPr>
          <w:bCs/>
          <w:position w:val="-22"/>
        </w:rPr>
        <w:object w:dxaOrig="225" w:dyaOrig="465" w14:anchorId="2FFEF396">
          <v:shape id="_x0000_i1325" type="#_x0000_t75" style="width:12pt;height:18pt" o:ole="">
            <v:imagedata r:id="rId22" o:title=""/>
          </v:shape>
          <o:OLEObject Type="Embed" ProgID="Equation.3" ShapeID="_x0000_i1325" DrawAspect="Content" ObjectID="_1815025513" r:id="rId403"/>
        </w:object>
      </w:r>
      <w:r w:rsidRPr="00C94AB6">
        <w:rPr>
          <w:bCs/>
        </w:rPr>
        <w:t xml:space="preserve">(RNWF </w:t>
      </w:r>
      <w:r w:rsidRPr="00C94AB6">
        <w:rPr>
          <w:bCs/>
          <w:i/>
          <w:iCs/>
          <w:vertAlign w:val="subscript"/>
        </w:rPr>
        <w:t xml:space="preserve">y </w:t>
      </w:r>
      <w:r w:rsidRPr="00C94AB6">
        <w:rPr>
          <w:bCs/>
        </w:rPr>
        <w:t>* RTORDPA</w:t>
      </w:r>
      <w:r w:rsidRPr="00C94AB6">
        <w:rPr>
          <w:bCs/>
          <w:i/>
          <w:iCs/>
          <w:vertAlign w:val="subscript"/>
        </w:rPr>
        <w:t xml:space="preserve"> y</w:t>
      </w:r>
      <w:r w:rsidRPr="00C94AB6">
        <w:rPr>
          <w:bCs/>
        </w:rPr>
        <w:t>)</w:t>
      </w:r>
    </w:p>
    <w:p w14:paraId="3C6C479A" w14:textId="77777777" w:rsidR="00F371D4" w:rsidRPr="00C94AB6" w:rsidRDefault="00F371D4" w:rsidP="00F371D4">
      <w:pPr>
        <w:spacing w:after="240"/>
        <w:ind w:left="2880" w:hanging="2160"/>
        <w:rPr>
          <w:iCs/>
        </w:rPr>
      </w:pPr>
      <w:r w:rsidRPr="00C94AB6">
        <w:rPr>
          <w:iCs/>
        </w:rPr>
        <w:t xml:space="preserve">RNWF </w:t>
      </w:r>
      <w:r w:rsidRPr="00C94AB6">
        <w:rPr>
          <w:i/>
          <w:iCs/>
          <w:vertAlign w:val="subscript"/>
        </w:rPr>
        <w:t>y</w:t>
      </w:r>
      <w:r w:rsidRPr="00C94AB6">
        <w:rPr>
          <w:iCs/>
        </w:rPr>
        <w:tab/>
        <w:t>=</w:t>
      </w:r>
      <w:r w:rsidRPr="00C94AB6">
        <w:rPr>
          <w:iCs/>
        </w:rPr>
        <w:tab/>
        <w:t xml:space="preserve">TLMP </w:t>
      </w:r>
      <w:r w:rsidRPr="00C94AB6">
        <w:rPr>
          <w:i/>
          <w:iCs/>
          <w:vertAlign w:val="subscript"/>
        </w:rPr>
        <w:t>y</w:t>
      </w:r>
      <w:r w:rsidRPr="00C94AB6">
        <w:rPr>
          <w:iCs/>
        </w:rPr>
        <w:t xml:space="preserve"> </w:t>
      </w:r>
      <w:r w:rsidRPr="00C94AB6">
        <w:rPr>
          <w:iCs/>
          <w:color w:val="000000"/>
          <w:sz w:val="32"/>
          <w:szCs w:val="32"/>
        </w:rPr>
        <w:t>/</w:t>
      </w:r>
      <w:r w:rsidRPr="00C94AB6">
        <w:rPr>
          <w:iCs/>
          <w:color w:val="000000"/>
        </w:rPr>
        <w:t xml:space="preserve"> </w:t>
      </w:r>
      <w:r w:rsidRPr="00C94AB6">
        <w:rPr>
          <w:iCs/>
          <w:position w:val="-22"/>
        </w:rPr>
        <w:object w:dxaOrig="225" w:dyaOrig="465" w14:anchorId="62D38899">
          <v:shape id="_x0000_i1326" type="#_x0000_t75" style="width:12pt;height:18pt" o:ole="">
            <v:imagedata r:id="rId22" o:title=""/>
          </v:shape>
          <o:OLEObject Type="Embed" ProgID="Equation.3" ShapeID="_x0000_i1326" DrawAspect="Content" ObjectID="_1815025514" r:id="rId404"/>
        </w:object>
      </w:r>
      <w:r w:rsidRPr="00C94AB6">
        <w:rPr>
          <w:iCs/>
        </w:rPr>
        <w:t xml:space="preserve">TLMP </w:t>
      </w:r>
      <w:r w:rsidRPr="00C94AB6">
        <w:rPr>
          <w:i/>
          <w:iCs/>
          <w:vertAlign w:val="subscript"/>
        </w:rPr>
        <w:t>y</w:t>
      </w:r>
    </w:p>
    <w:p w14:paraId="2103C394" w14:textId="77777777" w:rsidR="00F371D4" w:rsidRPr="00C94AB6" w:rsidRDefault="00F371D4" w:rsidP="00F371D4">
      <w:pPr>
        <w:ind w:left="720" w:hanging="720"/>
        <w:rPr>
          <w:iCs/>
          <w:lang w:val="es-ES"/>
        </w:rPr>
      </w:pPr>
      <w:r w:rsidRPr="00C94AB6">
        <w:rPr>
          <w:iCs/>
        </w:rPr>
        <w:lastRenderedPageBreak/>
        <w:t>The above variables are defined as follows:</w:t>
      </w:r>
      <w:r w:rsidRPr="00C94AB6">
        <w:rPr>
          <w:iCs/>
          <w:lang w:val="es-E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29"/>
        <w:gridCol w:w="5939"/>
      </w:tblGrid>
      <w:tr w:rsidR="00F371D4" w:rsidRPr="00C94AB6" w14:paraId="23D02EEF" w14:textId="77777777" w:rsidTr="00B82144">
        <w:trPr>
          <w:cantSplit/>
          <w:tblHeader/>
        </w:trPr>
        <w:tc>
          <w:tcPr>
            <w:tcW w:w="1327" w:type="pct"/>
            <w:tcBorders>
              <w:top w:val="single" w:sz="4" w:space="0" w:color="auto"/>
              <w:left w:val="single" w:sz="4" w:space="0" w:color="auto"/>
              <w:bottom w:val="single" w:sz="4" w:space="0" w:color="auto"/>
              <w:right w:val="single" w:sz="4" w:space="0" w:color="auto"/>
            </w:tcBorders>
          </w:tcPr>
          <w:p w14:paraId="2872B612" w14:textId="77777777" w:rsidR="00F371D4" w:rsidRPr="00C94AB6" w:rsidRDefault="00F371D4" w:rsidP="00B82144">
            <w:pPr>
              <w:spacing w:after="240"/>
              <w:rPr>
                <w:b/>
                <w:iCs/>
                <w:sz w:val="20"/>
              </w:rPr>
            </w:pPr>
            <w:r w:rsidRPr="00C94AB6">
              <w:rPr>
                <w:b/>
                <w:iCs/>
                <w:sz w:val="20"/>
              </w:rPr>
              <w:t>Variable</w:t>
            </w:r>
          </w:p>
        </w:tc>
        <w:tc>
          <w:tcPr>
            <w:tcW w:w="497" w:type="pct"/>
            <w:tcBorders>
              <w:top w:val="single" w:sz="4" w:space="0" w:color="auto"/>
              <w:left w:val="single" w:sz="4" w:space="0" w:color="auto"/>
              <w:bottom w:val="single" w:sz="4" w:space="0" w:color="auto"/>
              <w:right w:val="single" w:sz="4" w:space="0" w:color="auto"/>
            </w:tcBorders>
          </w:tcPr>
          <w:p w14:paraId="53BF97F2" w14:textId="77777777" w:rsidR="00F371D4" w:rsidRPr="00C94AB6" w:rsidRDefault="00F371D4" w:rsidP="00B82144">
            <w:pPr>
              <w:spacing w:after="240"/>
              <w:rPr>
                <w:b/>
                <w:iCs/>
                <w:sz w:val="20"/>
              </w:rPr>
            </w:pPr>
            <w:r w:rsidRPr="00C94AB6">
              <w:rPr>
                <w:b/>
                <w:iCs/>
                <w:sz w:val="20"/>
              </w:rPr>
              <w:t>Unit</w:t>
            </w:r>
          </w:p>
        </w:tc>
        <w:tc>
          <w:tcPr>
            <w:tcW w:w="3176" w:type="pct"/>
            <w:tcBorders>
              <w:top w:val="single" w:sz="4" w:space="0" w:color="auto"/>
              <w:left w:val="single" w:sz="4" w:space="0" w:color="auto"/>
              <w:bottom w:val="single" w:sz="4" w:space="0" w:color="auto"/>
              <w:right w:val="single" w:sz="4" w:space="0" w:color="auto"/>
            </w:tcBorders>
          </w:tcPr>
          <w:p w14:paraId="7834FCB9" w14:textId="77777777" w:rsidR="00F371D4" w:rsidRPr="00C94AB6" w:rsidRDefault="00F371D4" w:rsidP="00B82144">
            <w:pPr>
              <w:spacing w:after="240"/>
              <w:rPr>
                <w:b/>
                <w:iCs/>
                <w:sz w:val="20"/>
              </w:rPr>
            </w:pPr>
            <w:r w:rsidRPr="00C94AB6">
              <w:rPr>
                <w:b/>
                <w:iCs/>
                <w:sz w:val="20"/>
              </w:rPr>
              <w:t>Description</w:t>
            </w:r>
          </w:p>
        </w:tc>
      </w:tr>
      <w:tr w:rsidR="00F371D4" w:rsidRPr="00C94AB6" w14:paraId="21BA25ED"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4A545B1" w14:textId="77777777" w:rsidR="00F371D4" w:rsidRPr="00C94AB6" w:rsidRDefault="00F371D4" w:rsidP="00B82144">
            <w:pPr>
              <w:spacing w:after="240"/>
              <w:rPr>
                <w:iCs/>
                <w:sz w:val="20"/>
              </w:rPr>
            </w:pPr>
            <w:r w:rsidRPr="00C94AB6">
              <w:rPr>
                <w:iCs/>
                <w:sz w:val="20"/>
              </w:rPr>
              <w:t xml:space="preserve">RTAUECRAMTQSETOT </w:t>
            </w:r>
            <w:r w:rsidRPr="00C94AB6">
              <w:rPr>
                <w:i/>
                <w:iCs/>
                <w:sz w:val="20"/>
                <w:vertAlign w:val="subscript"/>
              </w:rPr>
              <w:t>q</w:t>
            </w:r>
          </w:p>
        </w:tc>
        <w:tc>
          <w:tcPr>
            <w:tcW w:w="497" w:type="pct"/>
            <w:tcBorders>
              <w:top w:val="single" w:sz="4" w:space="0" w:color="auto"/>
              <w:left w:val="single" w:sz="4" w:space="0" w:color="auto"/>
              <w:bottom w:val="single" w:sz="4" w:space="0" w:color="auto"/>
              <w:right w:val="single" w:sz="4" w:space="0" w:color="auto"/>
            </w:tcBorders>
          </w:tcPr>
          <w:p w14:paraId="536F59FC" w14:textId="77777777" w:rsidR="00F371D4" w:rsidRPr="00C94AB6" w:rsidRDefault="00F371D4" w:rsidP="00B82144">
            <w:pPr>
              <w:spacing w:after="240"/>
              <w:rPr>
                <w:iCs/>
                <w:sz w:val="20"/>
              </w:rPr>
            </w:pPr>
            <w:r w:rsidRPr="00C94AB6">
              <w:rPr>
                <w:iCs/>
                <w:sz w:val="20"/>
              </w:rPr>
              <w:t>$</w:t>
            </w:r>
          </w:p>
        </w:tc>
        <w:tc>
          <w:tcPr>
            <w:tcW w:w="3176" w:type="pct"/>
            <w:tcBorders>
              <w:top w:val="single" w:sz="4" w:space="0" w:color="auto"/>
              <w:left w:val="single" w:sz="4" w:space="0" w:color="auto"/>
              <w:bottom w:val="single" w:sz="4" w:space="0" w:color="auto"/>
              <w:right w:val="single" w:sz="4" w:space="0" w:color="auto"/>
            </w:tcBorders>
          </w:tcPr>
          <w:p w14:paraId="71DC0BB5" w14:textId="1265C1C8" w:rsidR="00F371D4" w:rsidRPr="00C94AB6" w:rsidRDefault="00F371D4" w:rsidP="00B82144">
            <w:pPr>
              <w:spacing w:after="240"/>
              <w:rPr>
                <w:i/>
                <w:iCs/>
                <w:sz w:val="20"/>
              </w:rPr>
            </w:pPr>
            <w:r w:rsidRPr="00C94AB6">
              <w:rPr>
                <w:i/>
                <w:iCs/>
                <w:sz w:val="20"/>
              </w:rPr>
              <w:t>Real-Time Assigned Un-Deployed ERCOT Contingency Reserve Service Payment Amount per QSE</w:t>
            </w:r>
            <w:r w:rsidR="00FC35DE" w:rsidRPr="0003648D">
              <w:sym w:font="Symbol" w:char="F0BE"/>
            </w:r>
            <w:r w:rsidR="00FC35DE" w:rsidRPr="0003648D">
              <w:rPr>
                <w:i/>
              </w:rPr>
              <w:t xml:space="preserve"> </w:t>
            </w:r>
            <w:r w:rsidRPr="00C94AB6">
              <w:rPr>
                <w:iCs/>
                <w:sz w:val="20"/>
              </w:rPr>
              <w:t xml:space="preserve">The payment to QSE </w:t>
            </w:r>
            <w:r w:rsidRPr="00C94AB6">
              <w:rPr>
                <w:i/>
                <w:iCs/>
                <w:sz w:val="20"/>
              </w:rPr>
              <w:t>q</w:t>
            </w:r>
            <w:r w:rsidRPr="00C94AB6">
              <w:rPr>
                <w:iCs/>
                <w:sz w:val="20"/>
              </w:rPr>
              <w:t xml:space="preserve"> for a Real-Time un-deployed ECRS Ancillary Service Assignment. </w:t>
            </w:r>
          </w:p>
        </w:tc>
      </w:tr>
      <w:tr w:rsidR="00F371D4" w:rsidRPr="00C94AB6" w14:paraId="455024C6"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7D4DC2A5" w14:textId="77777777" w:rsidR="00F371D4" w:rsidRPr="00C94AB6" w:rsidRDefault="00F371D4" w:rsidP="00B82144">
            <w:pPr>
              <w:spacing w:after="240"/>
              <w:rPr>
                <w:iCs/>
                <w:sz w:val="20"/>
              </w:rPr>
            </w:pPr>
            <w:r w:rsidRPr="00C94AB6">
              <w:rPr>
                <w:iCs/>
                <w:sz w:val="20"/>
              </w:rPr>
              <w:t xml:space="preserve">RTAUECRAMT </w:t>
            </w:r>
            <w:r w:rsidRPr="00C94AB6">
              <w:rPr>
                <w:i/>
                <w:iCs/>
                <w:sz w:val="20"/>
                <w:vertAlign w:val="subscript"/>
              </w:rPr>
              <w:t>q, r, p,</w:t>
            </w:r>
            <w:r w:rsidRPr="00C94AB6">
              <w:rPr>
                <w:b/>
                <w:i/>
                <w:iCs/>
                <w:sz w:val="20"/>
                <w:vertAlign w:val="subscript"/>
              </w:rPr>
              <w:t xml:space="preserve"> </w:t>
            </w:r>
            <w:r w:rsidRPr="00C94AB6">
              <w:rPr>
                <w:i/>
                <w:iCs/>
                <w:sz w:val="20"/>
                <w:vertAlign w:val="subscript"/>
              </w:rPr>
              <w:t>i</w:t>
            </w:r>
            <w:r w:rsidRPr="00C94AB6">
              <w:rPr>
                <w:iCs/>
                <w:sz w:val="20"/>
              </w:rPr>
              <w:t xml:space="preserve"> </w:t>
            </w:r>
          </w:p>
        </w:tc>
        <w:tc>
          <w:tcPr>
            <w:tcW w:w="497" w:type="pct"/>
            <w:tcBorders>
              <w:top w:val="single" w:sz="4" w:space="0" w:color="auto"/>
              <w:left w:val="single" w:sz="4" w:space="0" w:color="auto"/>
              <w:bottom w:val="single" w:sz="4" w:space="0" w:color="auto"/>
              <w:right w:val="single" w:sz="4" w:space="0" w:color="auto"/>
            </w:tcBorders>
          </w:tcPr>
          <w:p w14:paraId="2B313412" w14:textId="77777777" w:rsidR="00F371D4" w:rsidRPr="00C94AB6" w:rsidRDefault="00F371D4" w:rsidP="00B82144">
            <w:pPr>
              <w:spacing w:after="240"/>
              <w:rPr>
                <w:iCs/>
                <w:sz w:val="20"/>
              </w:rPr>
            </w:pPr>
            <w:r w:rsidRPr="00C94AB6">
              <w:rPr>
                <w:iCs/>
                <w:sz w:val="20"/>
              </w:rPr>
              <w:t>$</w:t>
            </w:r>
          </w:p>
        </w:tc>
        <w:tc>
          <w:tcPr>
            <w:tcW w:w="3176" w:type="pct"/>
            <w:tcBorders>
              <w:top w:val="single" w:sz="4" w:space="0" w:color="auto"/>
              <w:left w:val="single" w:sz="4" w:space="0" w:color="auto"/>
              <w:bottom w:val="single" w:sz="4" w:space="0" w:color="auto"/>
              <w:right w:val="single" w:sz="4" w:space="0" w:color="auto"/>
            </w:tcBorders>
          </w:tcPr>
          <w:p w14:paraId="19A76165" w14:textId="2E3ABF1E" w:rsidR="00F371D4" w:rsidRPr="00C94AB6" w:rsidRDefault="00F371D4" w:rsidP="00B82144">
            <w:pPr>
              <w:spacing w:after="240"/>
              <w:rPr>
                <w:i/>
                <w:iCs/>
                <w:sz w:val="20"/>
              </w:rPr>
            </w:pPr>
            <w:r w:rsidRPr="00C94AB6">
              <w:rPr>
                <w:i/>
                <w:iCs/>
                <w:sz w:val="20"/>
              </w:rPr>
              <w:t>Real-Time Assigned Un-Deployed ERCOT Contingency Reserve Service Payment Amount per Resource per QSE</w:t>
            </w:r>
            <w:r w:rsidR="00FC35DE" w:rsidRPr="0003648D">
              <w:sym w:font="Symbol" w:char="F0BE"/>
            </w:r>
            <w:r w:rsidR="00FC35DE" w:rsidRPr="0003648D">
              <w:rPr>
                <w:i/>
              </w:rPr>
              <w:t xml:space="preserve"> </w:t>
            </w:r>
            <w:r w:rsidRPr="00C94AB6">
              <w:rPr>
                <w:iCs/>
                <w:sz w:val="20"/>
              </w:rPr>
              <w:t xml:space="preserve">The payment to QSE </w:t>
            </w:r>
            <w:r w:rsidRPr="00C94AB6">
              <w:rPr>
                <w:i/>
                <w:iCs/>
                <w:sz w:val="20"/>
              </w:rPr>
              <w:t>q</w:t>
            </w:r>
            <w:r w:rsidRPr="00C94AB6">
              <w:rPr>
                <w:iCs/>
                <w:sz w:val="20"/>
              </w:rPr>
              <w:t xml:space="preserve"> for a Real-Time un-deployed ECRS Ancillary Service Assignment to Resource </w:t>
            </w:r>
            <w:r w:rsidRPr="00C94AB6">
              <w:rPr>
                <w:i/>
                <w:iCs/>
                <w:sz w:val="20"/>
              </w:rPr>
              <w:t>r</w:t>
            </w:r>
            <w:r w:rsidRPr="00C94AB6">
              <w:rPr>
                <w:iCs/>
                <w:sz w:val="20"/>
              </w:rPr>
              <w:t xml:space="preserve"> at the Settlement Point </w:t>
            </w:r>
            <w:r w:rsidRPr="00C94AB6">
              <w:rPr>
                <w:i/>
                <w:iCs/>
                <w:sz w:val="20"/>
              </w:rPr>
              <w:t>p</w:t>
            </w:r>
            <w:r w:rsidRPr="00C94AB6">
              <w:rPr>
                <w:iCs/>
                <w:sz w:val="20"/>
              </w:rPr>
              <w:t xml:space="preserve"> for the 15-minute Settlement Interval </w:t>
            </w:r>
            <w:r w:rsidRPr="00C94AB6">
              <w:rPr>
                <w:i/>
                <w:iCs/>
                <w:sz w:val="20"/>
              </w:rPr>
              <w:t>i</w:t>
            </w:r>
            <w:r w:rsidRPr="00C94AB6">
              <w:rPr>
                <w:iCs/>
                <w:sz w:val="20"/>
              </w:rPr>
              <w:t>.</w:t>
            </w:r>
          </w:p>
        </w:tc>
      </w:tr>
      <w:tr w:rsidR="00F371D4" w:rsidRPr="00C94AB6" w14:paraId="3EAAB2D4" w14:textId="77777777" w:rsidTr="00B82144">
        <w:trPr>
          <w:cantSplit/>
          <w:trHeight w:val="593"/>
        </w:trPr>
        <w:tc>
          <w:tcPr>
            <w:tcW w:w="1327" w:type="pct"/>
            <w:tcBorders>
              <w:top w:val="single" w:sz="4" w:space="0" w:color="auto"/>
              <w:left w:val="single" w:sz="4" w:space="0" w:color="auto"/>
              <w:bottom w:val="single" w:sz="4" w:space="0" w:color="auto"/>
              <w:right w:val="single" w:sz="4" w:space="0" w:color="auto"/>
            </w:tcBorders>
          </w:tcPr>
          <w:p w14:paraId="2E9FABE7" w14:textId="77777777" w:rsidR="00F371D4" w:rsidRPr="00C94AB6" w:rsidRDefault="00F371D4" w:rsidP="00B82144">
            <w:pPr>
              <w:spacing w:after="240"/>
            </w:pPr>
            <w:r w:rsidRPr="00C94AB6">
              <w:rPr>
                <w:sz w:val="20"/>
              </w:rPr>
              <w:t>RTAUECRR</w:t>
            </w:r>
            <w:r w:rsidRPr="00C94AB6">
              <w:rPr>
                <w:i/>
                <w:sz w:val="20"/>
                <w:vertAlign w:val="subscript"/>
              </w:rPr>
              <w:t xml:space="preserve"> q, r, p</w:t>
            </w:r>
          </w:p>
          <w:p w14:paraId="3E928CF1" w14:textId="77777777" w:rsidR="00F371D4" w:rsidRPr="00C94AB6" w:rsidRDefault="00F371D4" w:rsidP="00B82144">
            <w:pPr>
              <w:spacing w:after="240"/>
              <w:rPr>
                <w:iCs/>
                <w:sz w:val="20"/>
              </w:rPr>
            </w:pPr>
          </w:p>
        </w:tc>
        <w:tc>
          <w:tcPr>
            <w:tcW w:w="497" w:type="pct"/>
            <w:tcBorders>
              <w:top w:val="single" w:sz="4" w:space="0" w:color="auto"/>
              <w:left w:val="single" w:sz="4" w:space="0" w:color="auto"/>
              <w:bottom w:val="single" w:sz="4" w:space="0" w:color="auto"/>
              <w:right w:val="single" w:sz="4" w:space="0" w:color="auto"/>
            </w:tcBorders>
          </w:tcPr>
          <w:p w14:paraId="1735D318" w14:textId="77777777" w:rsidR="00F371D4" w:rsidRPr="00C94AB6" w:rsidRDefault="00F371D4" w:rsidP="00B82144">
            <w:pPr>
              <w:spacing w:after="240"/>
              <w:rPr>
                <w:iCs/>
                <w:sz w:val="20"/>
              </w:rPr>
            </w:pPr>
            <w:r w:rsidRPr="00C94AB6">
              <w:rPr>
                <w:iCs/>
                <w:sz w:val="20"/>
              </w:rPr>
              <w:t>MW</w:t>
            </w:r>
          </w:p>
        </w:tc>
        <w:tc>
          <w:tcPr>
            <w:tcW w:w="3176" w:type="pct"/>
            <w:tcBorders>
              <w:top w:val="single" w:sz="4" w:space="0" w:color="auto"/>
              <w:left w:val="single" w:sz="4" w:space="0" w:color="auto"/>
              <w:bottom w:val="single" w:sz="4" w:space="0" w:color="auto"/>
              <w:right w:val="single" w:sz="4" w:space="0" w:color="auto"/>
            </w:tcBorders>
          </w:tcPr>
          <w:p w14:paraId="06EFF585" w14:textId="3A2C304E" w:rsidR="00F371D4" w:rsidRPr="00C94AB6" w:rsidRDefault="00F371D4" w:rsidP="00B82144">
            <w:pPr>
              <w:spacing w:after="240"/>
              <w:rPr>
                <w:i/>
                <w:iCs/>
                <w:sz w:val="20"/>
              </w:rPr>
            </w:pPr>
            <w:r w:rsidRPr="00C94AB6">
              <w:rPr>
                <w:i/>
                <w:iCs/>
                <w:sz w:val="20"/>
              </w:rPr>
              <w:t>Real-Time Assigned Un-Deployed ERCOT Contingency Reserve Service Quantity per Resource per QSE</w:t>
            </w:r>
            <w:r w:rsidR="00FC35DE" w:rsidRPr="0003648D">
              <w:sym w:font="Symbol" w:char="F0BE"/>
            </w:r>
            <w:r w:rsidR="00FC35DE" w:rsidRPr="0003648D">
              <w:rPr>
                <w:i/>
              </w:rPr>
              <w:t xml:space="preserve"> </w:t>
            </w:r>
            <w:r w:rsidRPr="00C94AB6">
              <w:rPr>
                <w:iCs/>
                <w:sz w:val="20"/>
              </w:rPr>
              <w:t xml:space="preserve">The quantity of un-deployed ECRS assigned under a Watch to a QSE </w:t>
            </w:r>
            <w:r w:rsidRPr="00C94AB6">
              <w:rPr>
                <w:i/>
                <w:iCs/>
                <w:sz w:val="20"/>
              </w:rPr>
              <w:t>q</w:t>
            </w:r>
            <w:r w:rsidRPr="00C94AB6">
              <w:rPr>
                <w:iCs/>
                <w:sz w:val="20"/>
              </w:rPr>
              <w:t xml:space="preserve"> for Resource </w:t>
            </w:r>
            <w:r w:rsidRPr="00C94AB6">
              <w:rPr>
                <w:i/>
                <w:iCs/>
                <w:sz w:val="20"/>
              </w:rPr>
              <w:t>r</w:t>
            </w:r>
            <w:r w:rsidRPr="00C94AB6">
              <w:rPr>
                <w:iCs/>
                <w:sz w:val="20"/>
              </w:rPr>
              <w:t xml:space="preserve"> at the Settlement Point </w:t>
            </w:r>
            <w:r w:rsidRPr="00C94AB6">
              <w:rPr>
                <w:i/>
                <w:iCs/>
                <w:sz w:val="20"/>
              </w:rPr>
              <w:t>p</w:t>
            </w:r>
            <w:r w:rsidRPr="00C94AB6">
              <w:rPr>
                <w:iCs/>
                <w:sz w:val="20"/>
              </w:rPr>
              <w:t xml:space="preserve"> for the hour.  Where for a Combined Cycle Train, the Resource </w:t>
            </w:r>
            <w:r w:rsidRPr="00C94AB6">
              <w:rPr>
                <w:i/>
                <w:iCs/>
                <w:sz w:val="20"/>
              </w:rPr>
              <w:t xml:space="preserve">r </w:t>
            </w:r>
            <w:r w:rsidRPr="00C94AB6">
              <w:rPr>
                <w:iCs/>
                <w:sz w:val="20"/>
              </w:rPr>
              <w:t>is a Combined Cycle Generation Resource within the Combined Cycle Train.</w:t>
            </w:r>
          </w:p>
        </w:tc>
      </w:tr>
      <w:tr w:rsidR="00F371D4" w:rsidRPr="00C94AB6" w14:paraId="4276EC65"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359B3BBE" w14:textId="77777777" w:rsidR="00F371D4" w:rsidRPr="00C94AB6" w:rsidRDefault="00F371D4" w:rsidP="00B82144">
            <w:pPr>
              <w:spacing w:after="240"/>
              <w:rPr>
                <w:iCs/>
                <w:sz w:val="20"/>
                <w:vertAlign w:val="subscript"/>
              </w:rPr>
            </w:pPr>
            <w:r w:rsidRPr="00C94AB6">
              <w:rPr>
                <w:iCs/>
                <w:sz w:val="20"/>
              </w:rPr>
              <w:t xml:space="preserve">RTSPP </w:t>
            </w:r>
            <w:r w:rsidRPr="00C94AB6">
              <w:rPr>
                <w:i/>
                <w:iCs/>
                <w:sz w:val="20"/>
                <w:vertAlign w:val="subscript"/>
              </w:rPr>
              <w:t>p, i</w:t>
            </w:r>
          </w:p>
        </w:tc>
        <w:tc>
          <w:tcPr>
            <w:tcW w:w="497" w:type="pct"/>
            <w:tcBorders>
              <w:top w:val="single" w:sz="4" w:space="0" w:color="auto"/>
              <w:left w:val="single" w:sz="4" w:space="0" w:color="auto"/>
              <w:bottom w:val="single" w:sz="4" w:space="0" w:color="auto"/>
              <w:right w:val="single" w:sz="4" w:space="0" w:color="auto"/>
            </w:tcBorders>
          </w:tcPr>
          <w:p w14:paraId="1F4FC1DD" w14:textId="77777777" w:rsidR="00F371D4" w:rsidRPr="00C94AB6" w:rsidRDefault="00F371D4" w:rsidP="00B82144">
            <w:pPr>
              <w:spacing w:after="240"/>
              <w:rPr>
                <w:iCs/>
                <w:sz w:val="20"/>
              </w:rPr>
            </w:pPr>
            <w:r w:rsidRPr="00C94AB6">
              <w:rPr>
                <w:iCs/>
                <w:sz w:val="20"/>
              </w:rPr>
              <w:t>$/MWh</w:t>
            </w:r>
          </w:p>
        </w:tc>
        <w:tc>
          <w:tcPr>
            <w:tcW w:w="3176" w:type="pct"/>
            <w:tcBorders>
              <w:top w:val="single" w:sz="4" w:space="0" w:color="auto"/>
              <w:left w:val="single" w:sz="4" w:space="0" w:color="auto"/>
              <w:bottom w:val="single" w:sz="4" w:space="0" w:color="auto"/>
              <w:right w:val="single" w:sz="4" w:space="0" w:color="auto"/>
            </w:tcBorders>
          </w:tcPr>
          <w:p w14:paraId="51CD0CF5" w14:textId="6CE3609F" w:rsidR="00F371D4" w:rsidRPr="00C94AB6" w:rsidRDefault="00F371D4" w:rsidP="00B82144">
            <w:pPr>
              <w:spacing w:after="240"/>
              <w:rPr>
                <w:i/>
                <w:iCs/>
                <w:sz w:val="20"/>
              </w:rPr>
            </w:pPr>
            <w:r w:rsidRPr="00C94AB6">
              <w:rPr>
                <w:i/>
                <w:iCs/>
                <w:sz w:val="20"/>
              </w:rPr>
              <w:t>Real-Time Settlement Point Price per Settlement Point</w:t>
            </w:r>
            <w:r w:rsidRPr="00C94AB6">
              <w:rPr>
                <w:iCs/>
                <w:sz w:val="20"/>
              </w:rPr>
              <w:sym w:font="Symbol" w:char="F0BE"/>
            </w:r>
            <w:r w:rsidRPr="00C94AB6">
              <w:rPr>
                <w:i/>
                <w:iCs/>
                <w:sz w:val="20"/>
              </w:rPr>
              <w:t xml:space="preserve"> </w:t>
            </w:r>
            <w:r w:rsidRPr="00C94AB6">
              <w:rPr>
                <w:iCs/>
                <w:sz w:val="20"/>
              </w:rPr>
              <w:t xml:space="preserve">The Real-Time Settlement Point Price at the Settlement Point </w:t>
            </w:r>
            <w:r w:rsidRPr="00C94AB6">
              <w:rPr>
                <w:i/>
                <w:iCs/>
                <w:sz w:val="20"/>
              </w:rPr>
              <w:t>p</w:t>
            </w:r>
            <w:r w:rsidRPr="00C94AB6">
              <w:rPr>
                <w:iCs/>
                <w:sz w:val="20"/>
              </w:rPr>
              <w:t xml:space="preserve"> for the 15-minute Settlement Interval </w:t>
            </w:r>
            <w:r w:rsidRPr="00C94AB6">
              <w:rPr>
                <w:i/>
                <w:iCs/>
                <w:sz w:val="20"/>
              </w:rPr>
              <w:t>i</w:t>
            </w:r>
            <w:r w:rsidRPr="00C94AB6">
              <w:rPr>
                <w:iCs/>
                <w:sz w:val="20"/>
              </w:rPr>
              <w:t>.</w:t>
            </w:r>
          </w:p>
        </w:tc>
      </w:tr>
      <w:tr w:rsidR="00F371D4" w:rsidRPr="00C94AB6" w14:paraId="5BF186D4" w14:textId="77777777" w:rsidTr="00B82144">
        <w:trPr>
          <w:cantSplit/>
        </w:trPr>
        <w:tc>
          <w:tcPr>
            <w:tcW w:w="1327" w:type="pct"/>
          </w:tcPr>
          <w:p w14:paraId="6757ACEA" w14:textId="77777777" w:rsidR="00F371D4" w:rsidRPr="00C94AB6" w:rsidRDefault="00F371D4" w:rsidP="00B82144">
            <w:pPr>
              <w:spacing w:after="60"/>
              <w:rPr>
                <w:i/>
                <w:sz w:val="20"/>
              </w:rPr>
            </w:pPr>
            <w:r w:rsidRPr="00C94AB6">
              <w:rPr>
                <w:sz w:val="20"/>
              </w:rPr>
              <w:t>RTRSVPOR</w:t>
            </w:r>
          </w:p>
        </w:tc>
        <w:tc>
          <w:tcPr>
            <w:tcW w:w="497" w:type="pct"/>
          </w:tcPr>
          <w:p w14:paraId="29917F20" w14:textId="77777777" w:rsidR="00F371D4" w:rsidRPr="00C94AB6" w:rsidRDefault="00F371D4" w:rsidP="00B82144">
            <w:pPr>
              <w:spacing w:after="60"/>
              <w:rPr>
                <w:sz w:val="20"/>
              </w:rPr>
            </w:pPr>
            <w:r w:rsidRPr="00C94AB6">
              <w:rPr>
                <w:sz w:val="20"/>
              </w:rPr>
              <w:t>$/MWh</w:t>
            </w:r>
          </w:p>
        </w:tc>
        <w:tc>
          <w:tcPr>
            <w:tcW w:w="3176" w:type="pct"/>
          </w:tcPr>
          <w:p w14:paraId="4DC6BA9A" w14:textId="77777777" w:rsidR="00F371D4" w:rsidRPr="00C94AB6" w:rsidRDefault="00F371D4" w:rsidP="00B82144">
            <w:pPr>
              <w:spacing w:after="60"/>
              <w:rPr>
                <w:sz w:val="20"/>
              </w:rPr>
            </w:pPr>
            <w:r w:rsidRPr="00C94AB6">
              <w:rPr>
                <w:i/>
                <w:sz w:val="20"/>
              </w:rPr>
              <w:t>Real-Time Reserve Price for On-Line Reserves</w:t>
            </w:r>
            <w:r w:rsidRPr="00C94AB6">
              <w:rPr>
                <w:sz w:val="20"/>
              </w:rPr>
              <w:sym w:font="Symbol" w:char="F0BE"/>
            </w:r>
            <w:r w:rsidRPr="00C94AB6">
              <w:rPr>
                <w:sz w:val="20"/>
              </w:rPr>
              <w:t>The Real-Time Reserve Price for On-Line Reserves for the 15-minute Settlement Interval.</w:t>
            </w:r>
          </w:p>
        </w:tc>
      </w:tr>
      <w:tr w:rsidR="00F371D4" w:rsidRPr="00C94AB6" w14:paraId="7F96957A" w14:textId="77777777" w:rsidTr="00B82144">
        <w:trPr>
          <w:cantSplit/>
        </w:trPr>
        <w:tc>
          <w:tcPr>
            <w:tcW w:w="1327" w:type="pct"/>
          </w:tcPr>
          <w:p w14:paraId="5BCE4789" w14:textId="77777777" w:rsidR="00F371D4" w:rsidRPr="00C94AB6" w:rsidRDefault="00F371D4" w:rsidP="00B82144">
            <w:pPr>
              <w:spacing w:after="60"/>
              <w:rPr>
                <w:sz w:val="20"/>
              </w:rPr>
            </w:pPr>
            <w:r w:rsidRPr="00C94AB6">
              <w:rPr>
                <w:sz w:val="20"/>
              </w:rPr>
              <w:t>RTRDP</w:t>
            </w:r>
          </w:p>
        </w:tc>
        <w:tc>
          <w:tcPr>
            <w:tcW w:w="497" w:type="pct"/>
          </w:tcPr>
          <w:p w14:paraId="139B286A" w14:textId="77777777" w:rsidR="00F371D4" w:rsidRPr="00C94AB6" w:rsidRDefault="00F371D4" w:rsidP="00B82144">
            <w:pPr>
              <w:spacing w:after="60"/>
              <w:rPr>
                <w:sz w:val="20"/>
              </w:rPr>
            </w:pPr>
            <w:r w:rsidRPr="00C94AB6">
              <w:rPr>
                <w:sz w:val="20"/>
              </w:rPr>
              <w:t>$/MWh</w:t>
            </w:r>
          </w:p>
        </w:tc>
        <w:tc>
          <w:tcPr>
            <w:tcW w:w="3176" w:type="pct"/>
          </w:tcPr>
          <w:p w14:paraId="426A3596" w14:textId="77777777" w:rsidR="00F371D4" w:rsidRPr="00C94AB6" w:rsidRDefault="00F371D4" w:rsidP="00B82144">
            <w:pPr>
              <w:spacing w:after="60"/>
              <w:rPr>
                <w:i/>
                <w:sz w:val="20"/>
              </w:rPr>
            </w:pPr>
            <w:r w:rsidRPr="00C94AB6">
              <w:rPr>
                <w:i/>
                <w:sz w:val="20"/>
              </w:rPr>
              <w:t>Real-Time On-Line Reliability Deployment Price</w:t>
            </w:r>
            <w:r w:rsidRPr="00C94AB6">
              <w:rPr>
                <w:sz w:val="20"/>
              </w:rPr>
              <w:sym w:font="Symbol" w:char="F0BE"/>
            </w:r>
            <w:r w:rsidRPr="00C94AB6">
              <w:rPr>
                <w:sz w:val="20"/>
              </w:rPr>
              <w:t xml:space="preserve">The Real-Time price for the 15-minute Settlement Interval, reflecting the impact of reliability deployments on energy prices that is calculated </w:t>
            </w:r>
            <w:r w:rsidRPr="00C94AB6">
              <w:rPr>
                <w:bCs/>
                <w:sz w:val="20"/>
              </w:rPr>
              <w:t>from the Real-Time On-Line Reliability Deployment Price Adder</w:t>
            </w:r>
            <w:r w:rsidRPr="00C94AB6">
              <w:rPr>
                <w:sz w:val="20"/>
              </w:rPr>
              <w:t>.</w:t>
            </w:r>
          </w:p>
        </w:tc>
      </w:tr>
      <w:tr w:rsidR="00F371D4" w:rsidRPr="00C94AB6" w14:paraId="3ABB1AD5" w14:textId="77777777" w:rsidTr="00B82144">
        <w:trPr>
          <w:cantSplit/>
        </w:trPr>
        <w:tc>
          <w:tcPr>
            <w:tcW w:w="1327" w:type="pct"/>
          </w:tcPr>
          <w:p w14:paraId="4EF16F4B" w14:textId="77777777" w:rsidR="00F371D4" w:rsidRPr="00C94AB6" w:rsidRDefault="00F371D4" w:rsidP="00B82144">
            <w:pPr>
              <w:spacing w:after="60"/>
              <w:rPr>
                <w:sz w:val="20"/>
              </w:rPr>
            </w:pPr>
            <w:r w:rsidRPr="00C94AB6">
              <w:rPr>
                <w:sz w:val="20"/>
              </w:rPr>
              <w:t xml:space="preserve">TLMP </w:t>
            </w:r>
            <w:r w:rsidRPr="00C94AB6">
              <w:rPr>
                <w:i/>
                <w:sz w:val="20"/>
                <w:vertAlign w:val="subscript"/>
              </w:rPr>
              <w:t>y</w:t>
            </w:r>
          </w:p>
        </w:tc>
        <w:tc>
          <w:tcPr>
            <w:tcW w:w="497" w:type="pct"/>
          </w:tcPr>
          <w:p w14:paraId="1F476165" w14:textId="77777777" w:rsidR="00F371D4" w:rsidRPr="00C94AB6" w:rsidRDefault="00F371D4" w:rsidP="00B82144">
            <w:pPr>
              <w:spacing w:after="60"/>
              <w:rPr>
                <w:iCs/>
                <w:sz w:val="20"/>
              </w:rPr>
            </w:pPr>
            <w:r w:rsidRPr="00C94AB6">
              <w:rPr>
                <w:sz w:val="20"/>
              </w:rPr>
              <w:t>second</w:t>
            </w:r>
          </w:p>
        </w:tc>
        <w:tc>
          <w:tcPr>
            <w:tcW w:w="3176" w:type="pct"/>
          </w:tcPr>
          <w:p w14:paraId="10702EAB" w14:textId="77777777" w:rsidR="00F371D4" w:rsidRPr="00C94AB6" w:rsidRDefault="00F371D4" w:rsidP="00B82144">
            <w:pPr>
              <w:spacing w:after="60"/>
              <w:rPr>
                <w:sz w:val="20"/>
              </w:rPr>
            </w:pPr>
            <w:r w:rsidRPr="00C94AB6">
              <w:rPr>
                <w:i/>
                <w:iCs/>
                <w:sz w:val="20"/>
              </w:rPr>
              <w:t xml:space="preserve">Duration of </w:t>
            </w:r>
            <w:r w:rsidRPr="00C94AB6">
              <w:rPr>
                <w:i/>
                <w:sz w:val="20"/>
              </w:rPr>
              <w:t>SCED</w:t>
            </w:r>
            <w:r w:rsidRPr="00C94AB6">
              <w:rPr>
                <w:i/>
                <w:iCs/>
                <w:sz w:val="20"/>
              </w:rPr>
              <w:t xml:space="preserve"> interval per interval</w:t>
            </w:r>
            <w:r w:rsidRPr="00C94AB6">
              <w:rPr>
                <w:sz w:val="20"/>
              </w:rPr>
              <w:sym w:font="Symbol" w:char="F0BE"/>
            </w:r>
            <w:r w:rsidRPr="00C94AB6">
              <w:rPr>
                <w:sz w:val="20"/>
              </w:rPr>
              <w:t xml:space="preserve">The duration of the SCED interval </w:t>
            </w:r>
            <w:r w:rsidRPr="00C94AB6">
              <w:rPr>
                <w:i/>
                <w:iCs/>
                <w:sz w:val="20"/>
              </w:rPr>
              <w:t>y</w:t>
            </w:r>
            <w:r w:rsidRPr="00C94AB6">
              <w:rPr>
                <w:sz w:val="20"/>
              </w:rPr>
              <w:t>.</w:t>
            </w:r>
          </w:p>
        </w:tc>
      </w:tr>
      <w:tr w:rsidR="00F371D4" w:rsidRPr="00C94AB6" w14:paraId="2005327B" w14:textId="77777777" w:rsidTr="00B82144">
        <w:trPr>
          <w:cantSplit/>
        </w:trPr>
        <w:tc>
          <w:tcPr>
            <w:tcW w:w="1327" w:type="pct"/>
          </w:tcPr>
          <w:p w14:paraId="37012683" w14:textId="77777777" w:rsidR="00F371D4" w:rsidRPr="00C94AB6" w:rsidRDefault="00F371D4" w:rsidP="00B82144">
            <w:pPr>
              <w:spacing w:after="60"/>
              <w:rPr>
                <w:i/>
                <w:sz w:val="20"/>
              </w:rPr>
            </w:pPr>
            <w:r w:rsidRPr="00C94AB6">
              <w:rPr>
                <w:sz w:val="20"/>
              </w:rPr>
              <w:t xml:space="preserve">RNWF </w:t>
            </w:r>
            <w:r w:rsidRPr="00C94AB6">
              <w:rPr>
                <w:i/>
                <w:sz w:val="20"/>
                <w:vertAlign w:val="subscript"/>
              </w:rPr>
              <w:t>y</w:t>
            </w:r>
          </w:p>
        </w:tc>
        <w:tc>
          <w:tcPr>
            <w:tcW w:w="497" w:type="pct"/>
          </w:tcPr>
          <w:p w14:paraId="422F2DDB" w14:textId="77777777" w:rsidR="00F371D4" w:rsidRPr="00C94AB6" w:rsidRDefault="00F371D4" w:rsidP="00B82144">
            <w:pPr>
              <w:spacing w:after="60"/>
              <w:rPr>
                <w:sz w:val="20"/>
              </w:rPr>
            </w:pPr>
            <w:r w:rsidRPr="00C94AB6">
              <w:rPr>
                <w:sz w:val="20"/>
              </w:rPr>
              <w:t>none</w:t>
            </w:r>
          </w:p>
        </w:tc>
        <w:tc>
          <w:tcPr>
            <w:tcW w:w="3176" w:type="pct"/>
          </w:tcPr>
          <w:p w14:paraId="26FF023A" w14:textId="77777777" w:rsidR="00F371D4" w:rsidRPr="00C94AB6" w:rsidRDefault="00F371D4" w:rsidP="00B82144">
            <w:pPr>
              <w:spacing w:after="60"/>
              <w:rPr>
                <w:sz w:val="20"/>
              </w:rPr>
            </w:pPr>
            <w:r w:rsidRPr="00C94AB6">
              <w:rPr>
                <w:i/>
                <w:sz w:val="20"/>
              </w:rPr>
              <w:t>Resource Node Weighting Factor per interval</w:t>
            </w:r>
            <w:r w:rsidRPr="00C94AB6">
              <w:rPr>
                <w:sz w:val="20"/>
              </w:rPr>
              <w:sym w:font="Symbol" w:char="F0BE"/>
            </w:r>
            <w:r w:rsidRPr="00C94AB6">
              <w:rPr>
                <w:sz w:val="20"/>
              </w:rPr>
              <w:t xml:space="preserve">The weight used in the Resource Node Settlement Point Price calculation for the portion of the SCED interval </w:t>
            </w:r>
            <w:r w:rsidRPr="00C94AB6">
              <w:rPr>
                <w:i/>
                <w:sz w:val="20"/>
              </w:rPr>
              <w:t>y</w:t>
            </w:r>
            <w:r w:rsidRPr="00C94AB6">
              <w:rPr>
                <w:sz w:val="20"/>
              </w:rPr>
              <w:t xml:space="preserve"> within the 15-minute Settlement Interval.</w:t>
            </w:r>
          </w:p>
        </w:tc>
      </w:tr>
      <w:tr w:rsidR="00F371D4" w:rsidRPr="00C94AB6" w14:paraId="6E6C7226"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26E5022" w14:textId="77777777" w:rsidR="00F371D4" w:rsidRPr="00C94AB6" w:rsidRDefault="00F371D4" w:rsidP="00B82144">
            <w:pPr>
              <w:spacing w:after="60"/>
              <w:rPr>
                <w:sz w:val="20"/>
              </w:rPr>
            </w:pPr>
            <w:r w:rsidRPr="00C94AB6">
              <w:rPr>
                <w:sz w:val="20"/>
              </w:rPr>
              <w:t>RTORPA</w:t>
            </w:r>
            <w:r w:rsidRPr="00C94AB6">
              <w:rPr>
                <w:b/>
                <w:vertAlign w:val="subscript"/>
              </w:rPr>
              <w:t xml:space="preserve"> </w:t>
            </w:r>
            <w:r w:rsidRPr="00C94AB6">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5D04EBB6" w14:textId="77777777" w:rsidR="00F371D4" w:rsidRPr="00C94AB6" w:rsidRDefault="00F371D4" w:rsidP="00B82144">
            <w:pPr>
              <w:spacing w:after="60"/>
              <w:rPr>
                <w:iCs/>
                <w:sz w:val="20"/>
              </w:rPr>
            </w:pPr>
            <w:r w:rsidRPr="00C94AB6">
              <w:rPr>
                <w:iCs/>
                <w:sz w:val="20"/>
              </w:rPr>
              <w:t>$/MWh</w:t>
            </w:r>
          </w:p>
        </w:tc>
        <w:tc>
          <w:tcPr>
            <w:tcW w:w="3176" w:type="pct"/>
            <w:tcBorders>
              <w:top w:val="single" w:sz="4" w:space="0" w:color="auto"/>
              <w:left w:val="single" w:sz="4" w:space="0" w:color="auto"/>
              <w:bottom w:val="single" w:sz="4" w:space="0" w:color="auto"/>
              <w:right w:val="single" w:sz="4" w:space="0" w:color="auto"/>
            </w:tcBorders>
          </w:tcPr>
          <w:p w14:paraId="20D38A46" w14:textId="77777777" w:rsidR="00F371D4" w:rsidRPr="00C94AB6" w:rsidRDefault="00F371D4" w:rsidP="00B82144">
            <w:pPr>
              <w:spacing w:after="60"/>
              <w:rPr>
                <w:i/>
                <w:iCs/>
                <w:sz w:val="20"/>
              </w:rPr>
            </w:pPr>
            <w:r w:rsidRPr="00C94AB6">
              <w:rPr>
                <w:i/>
                <w:iCs/>
                <w:sz w:val="20"/>
              </w:rPr>
              <w:t>Real-Time On-Line Reserve Price Adder per interval</w:t>
            </w:r>
            <w:r w:rsidRPr="00C94AB6">
              <w:rPr>
                <w:iCs/>
                <w:sz w:val="20"/>
              </w:rPr>
              <w:sym w:font="Symbol" w:char="F0BE"/>
            </w:r>
            <w:r w:rsidRPr="00C94AB6">
              <w:rPr>
                <w:iCs/>
                <w:sz w:val="20"/>
              </w:rPr>
              <w:t xml:space="preserve">The Real-Time On-Line Reserve Price Adder for the SCED interval </w:t>
            </w:r>
            <w:r w:rsidRPr="00C94AB6">
              <w:rPr>
                <w:i/>
                <w:iCs/>
                <w:sz w:val="20"/>
              </w:rPr>
              <w:t>y</w:t>
            </w:r>
            <w:r w:rsidRPr="00C94AB6">
              <w:rPr>
                <w:iCs/>
                <w:sz w:val="20"/>
              </w:rPr>
              <w:t>.</w:t>
            </w:r>
          </w:p>
        </w:tc>
      </w:tr>
      <w:tr w:rsidR="00F371D4" w:rsidRPr="00C94AB6" w14:paraId="276490DE"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51640A06" w14:textId="77777777" w:rsidR="00F371D4" w:rsidRPr="00C94AB6" w:rsidRDefault="00F371D4" w:rsidP="00B82144">
            <w:pPr>
              <w:spacing w:after="60"/>
              <w:rPr>
                <w:sz w:val="20"/>
              </w:rPr>
            </w:pPr>
            <w:r w:rsidRPr="00C94AB6">
              <w:rPr>
                <w:sz w:val="20"/>
              </w:rPr>
              <w:t>RTORDPA</w:t>
            </w:r>
            <w:r w:rsidRPr="00C94AB6">
              <w:rPr>
                <w:vertAlign w:val="subscript"/>
              </w:rPr>
              <w:t xml:space="preserve"> </w:t>
            </w:r>
            <w:r w:rsidRPr="00C94AB6">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05E16984" w14:textId="77777777" w:rsidR="00F371D4" w:rsidRPr="00C94AB6" w:rsidRDefault="00F371D4" w:rsidP="00B82144">
            <w:pPr>
              <w:spacing w:after="60"/>
              <w:rPr>
                <w:iCs/>
                <w:sz w:val="20"/>
              </w:rPr>
            </w:pPr>
            <w:r w:rsidRPr="00C94AB6">
              <w:rPr>
                <w:iCs/>
                <w:sz w:val="20"/>
              </w:rPr>
              <w:t>$/MWh</w:t>
            </w:r>
          </w:p>
        </w:tc>
        <w:tc>
          <w:tcPr>
            <w:tcW w:w="3176" w:type="pct"/>
            <w:tcBorders>
              <w:top w:val="single" w:sz="4" w:space="0" w:color="auto"/>
              <w:left w:val="single" w:sz="4" w:space="0" w:color="auto"/>
              <w:bottom w:val="single" w:sz="4" w:space="0" w:color="auto"/>
              <w:right w:val="single" w:sz="4" w:space="0" w:color="auto"/>
            </w:tcBorders>
          </w:tcPr>
          <w:p w14:paraId="33999E8F" w14:textId="77777777" w:rsidR="00F371D4" w:rsidRPr="00C94AB6" w:rsidRDefault="00F371D4" w:rsidP="00B82144">
            <w:pPr>
              <w:spacing w:after="60"/>
              <w:rPr>
                <w:i/>
                <w:iCs/>
                <w:sz w:val="20"/>
              </w:rPr>
            </w:pPr>
            <w:r w:rsidRPr="00C94AB6">
              <w:rPr>
                <w:i/>
                <w:iCs/>
                <w:sz w:val="20"/>
              </w:rPr>
              <w:t>Real-Time On-Line Reliability Deployment Price Adder</w:t>
            </w:r>
            <w:r w:rsidRPr="00C94AB6">
              <w:rPr>
                <w:iCs/>
                <w:sz w:val="20"/>
              </w:rPr>
              <w:sym w:font="Symbol" w:char="F0BE"/>
            </w:r>
            <w:r w:rsidRPr="00C94AB6">
              <w:rPr>
                <w:iCs/>
                <w:sz w:val="20"/>
              </w:rPr>
              <w:t xml:space="preserve">The Real-Time Price Adder that captures the impact of reliability deployments on energy prices for the SCED interval </w:t>
            </w:r>
            <w:r w:rsidRPr="00C94AB6">
              <w:rPr>
                <w:i/>
                <w:iCs/>
                <w:sz w:val="20"/>
              </w:rPr>
              <w:t>y</w:t>
            </w:r>
            <w:r w:rsidRPr="00C94AB6">
              <w:rPr>
                <w:iCs/>
                <w:sz w:val="20"/>
              </w:rPr>
              <w:t>.</w:t>
            </w:r>
          </w:p>
        </w:tc>
      </w:tr>
      <w:tr w:rsidR="00F371D4" w:rsidRPr="00C94AB6" w14:paraId="5B2DBA54"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581661F9" w14:textId="77777777" w:rsidR="00F371D4" w:rsidRPr="00C94AB6" w:rsidRDefault="00F371D4" w:rsidP="00B82144">
            <w:pPr>
              <w:spacing w:after="60"/>
              <w:rPr>
                <w:i/>
                <w:iCs/>
                <w:sz w:val="20"/>
              </w:rPr>
            </w:pPr>
            <w:r w:rsidRPr="00C94AB6">
              <w:rPr>
                <w:i/>
                <w:iCs/>
                <w:sz w:val="20"/>
              </w:rPr>
              <w:t>q</w:t>
            </w:r>
          </w:p>
        </w:tc>
        <w:tc>
          <w:tcPr>
            <w:tcW w:w="497" w:type="pct"/>
            <w:tcBorders>
              <w:top w:val="single" w:sz="4" w:space="0" w:color="auto"/>
              <w:left w:val="single" w:sz="4" w:space="0" w:color="auto"/>
              <w:bottom w:val="single" w:sz="4" w:space="0" w:color="auto"/>
              <w:right w:val="single" w:sz="4" w:space="0" w:color="auto"/>
            </w:tcBorders>
          </w:tcPr>
          <w:p w14:paraId="6DB978AD" w14:textId="77777777" w:rsidR="00F371D4" w:rsidRPr="00C94AB6" w:rsidRDefault="00F371D4" w:rsidP="00B82144">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7F578246" w14:textId="77777777" w:rsidR="00F371D4" w:rsidRPr="00C94AB6" w:rsidRDefault="00F371D4" w:rsidP="00B82144">
            <w:pPr>
              <w:spacing w:after="60"/>
              <w:rPr>
                <w:iCs/>
                <w:sz w:val="20"/>
              </w:rPr>
            </w:pPr>
            <w:r w:rsidRPr="00C94AB6">
              <w:rPr>
                <w:iCs/>
                <w:sz w:val="20"/>
              </w:rPr>
              <w:t>A QSE.</w:t>
            </w:r>
          </w:p>
        </w:tc>
      </w:tr>
      <w:tr w:rsidR="00F371D4" w:rsidRPr="00C94AB6" w14:paraId="5CB40171"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4520EF2" w14:textId="77777777" w:rsidR="00F371D4" w:rsidRPr="00C94AB6" w:rsidRDefault="00F371D4" w:rsidP="00B82144">
            <w:pPr>
              <w:spacing w:after="60"/>
              <w:rPr>
                <w:i/>
                <w:iCs/>
                <w:sz w:val="20"/>
              </w:rPr>
            </w:pPr>
            <w:r w:rsidRPr="00C94AB6">
              <w:rPr>
                <w:i/>
                <w:iCs/>
                <w:sz w:val="20"/>
              </w:rPr>
              <w:t>r</w:t>
            </w:r>
          </w:p>
        </w:tc>
        <w:tc>
          <w:tcPr>
            <w:tcW w:w="497" w:type="pct"/>
            <w:tcBorders>
              <w:top w:val="single" w:sz="4" w:space="0" w:color="auto"/>
              <w:left w:val="single" w:sz="4" w:space="0" w:color="auto"/>
              <w:bottom w:val="single" w:sz="4" w:space="0" w:color="auto"/>
              <w:right w:val="single" w:sz="4" w:space="0" w:color="auto"/>
            </w:tcBorders>
          </w:tcPr>
          <w:p w14:paraId="5B141901" w14:textId="77777777" w:rsidR="00F371D4" w:rsidRPr="00C94AB6" w:rsidRDefault="00F371D4" w:rsidP="00B82144">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2D1012F5" w14:textId="77777777" w:rsidR="00F371D4" w:rsidRPr="00C94AB6" w:rsidRDefault="00F371D4" w:rsidP="00B82144">
            <w:pPr>
              <w:spacing w:after="60"/>
              <w:rPr>
                <w:i/>
                <w:iCs/>
                <w:sz w:val="20"/>
              </w:rPr>
            </w:pPr>
            <w:r w:rsidRPr="00C94AB6">
              <w:rPr>
                <w:iCs/>
                <w:sz w:val="20"/>
              </w:rPr>
              <w:t>A Generation Resource</w:t>
            </w:r>
            <w:r w:rsidRPr="00C94AB6">
              <w:rPr>
                <w:i/>
                <w:iCs/>
                <w:sz w:val="20"/>
              </w:rPr>
              <w:t xml:space="preserve"> </w:t>
            </w:r>
            <w:r w:rsidRPr="00C94AB6">
              <w:rPr>
                <w:iCs/>
                <w:sz w:val="20"/>
              </w:rPr>
              <w:t>that was allocated ECRS Ancillary Service Assignment by the QSE.</w:t>
            </w:r>
          </w:p>
        </w:tc>
      </w:tr>
      <w:tr w:rsidR="00F371D4" w:rsidRPr="00C94AB6" w14:paraId="062DFA6B"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0A82DFC" w14:textId="77777777" w:rsidR="00F371D4" w:rsidRPr="00C94AB6" w:rsidRDefault="00F371D4" w:rsidP="00B82144">
            <w:pPr>
              <w:spacing w:after="60"/>
              <w:rPr>
                <w:i/>
                <w:iCs/>
                <w:sz w:val="20"/>
              </w:rPr>
            </w:pPr>
            <w:r w:rsidRPr="00C94AB6">
              <w:rPr>
                <w:i/>
                <w:iCs/>
                <w:sz w:val="20"/>
              </w:rPr>
              <w:t>p</w:t>
            </w:r>
          </w:p>
        </w:tc>
        <w:tc>
          <w:tcPr>
            <w:tcW w:w="497" w:type="pct"/>
            <w:tcBorders>
              <w:top w:val="single" w:sz="4" w:space="0" w:color="auto"/>
              <w:left w:val="single" w:sz="4" w:space="0" w:color="auto"/>
              <w:bottom w:val="single" w:sz="4" w:space="0" w:color="auto"/>
              <w:right w:val="single" w:sz="4" w:space="0" w:color="auto"/>
            </w:tcBorders>
          </w:tcPr>
          <w:p w14:paraId="4EF8DF88" w14:textId="77777777" w:rsidR="00F371D4" w:rsidRPr="00C94AB6" w:rsidRDefault="00F371D4" w:rsidP="00B82144">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3CA44D15" w14:textId="77777777" w:rsidR="00F371D4" w:rsidRPr="00C94AB6" w:rsidRDefault="00F371D4" w:rsidP="00B82144">
            <w:pPr>
              <w:spacing w:after="60"/>
              <w:rPr>
                <w:i/>
                <w:iCs/>
                <w:sz w:val="20"/>
              </w:rPr>
            </w:pPr>
            <w:r w:rsidRPr="00C94AB6">
              <w:rPr>
                <w:iCs/>
                <w:sz w:val="20"/>
              </w:rPr>
              <w:t>A Settlement Point for the Resource Node that was allocated ECRS Ancillary Service Assignment by the QSE.</w:t>
            </w:r>
          </w:p>
        </w:tc>
      </w:tr>
      <w:tr w:rsidR="00F371D4" w:rsidRPr="00C94AB6" w14:paraId="622A5042"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2CECA1E8" w14:textId="77777777" w:rsidR="00F371D4" w:rsidRPr="00C94AB6" w:rsidRDefault="00F371D4" w:rsidP="00B82144">
            <w:pPr>
              <w:spacing w:after="60"/>
              <w:rPr>
                <w:i/>
                <w:iCs/>
                <w:sz w:val="20"/>
              </w:rPr>
            </w:pPr>
            <w:r w:rsidRPr="00C94AB6">
              <w:rPr>
                <w:i/>
                <w:iCs/>
                <w:sz w:val="20"/>
              </w:rPr>
              <w:t>i</w:t>
            </w:r>
          </w:p>
        </w:tc>
        <w:tc>
          <w:tcPr>
            <w:tcW w:w="497" w:type="pct"/>
            <w:tcBorders>
              <w:top w:val="single" w:sz="4" w:space="0" w:color="auto"/>
              <w:left w:val="single" w:sz="4" w:space="0" w:color="auto"/>
              <w:bottom w:val="single" w:sz="4" w:space="0" w:color="auto"/>
              <w:right w:val="single" w:sz="4" w:space="0" w:color="auto"/>
            </w:tcBorders>
          </w:tcPr>
          <w:p w14:paraId="0D0BFC41" w14:textId="77777777" w:rsidR="00F371D4" w:rsidRPr="00C94AB6" w:rsidRDefault="00F371D4" w:rsidP="00B82144">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1FD8FB38" w14:textId="77777777" w:rsidR="00F371D4" w:rsidRPr="00C94AB6" w:rsidRDefault="00F371D4" w:rsidP="00B82144">
            <w:pPr>
              <w:spacing w:after="60"/>
              <w:rPr>
                <w:iCs/>
                <w:sz w:val="20"/>
              </w:rPr>
            </w:pPr>
            <w:r w:rsidRPr="00C94AB6">
              <w:rPr>
                <w:iCs/>
                <w:sz w:val="20"/>
              </w:rPr>
              <w:t>A 15-minute Settlement Interval in the Operating Hour.</w:t>
            </w:r>
          </w:p>
        </w:tc>
      </w:tr>
      <w:tr w:rsidR="00F371D4" w:rsidRPr="00C94AB6" w14:paraId="7DC09EA2"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C55E7AB" w14:textId="77777777" w:rsidR="00F371D4" w:rsidRPr="00C94AB6" w:rsidRDefault="00F371D4" w:rsidP="00B82144">
            <w:pPr>
              <w:spacing w:after="60"/>
              <w:rPr>
                <w:i/>
                <w:iCs/>
                <w:sz w:val="20"/>
              </w:rPr>
            </w:pPr>
            <w:r w:rsidRPr="00C94AB6">
              <w:rPr>
                <w:i/>
                <w:iCs/>
                <w:sz w:val="20"/>
              </w:rPr>
              <w:t>y</w:t>
            </w:r>
          </w:p>
        </w:tc>
        <w:tc>
          <w:tcPr>
            <w:tcW w:w="497" w:type="pct"/>
            <w:tcBorders>
              <w:top w:val="single" w:sz="4" w:space="0" w:color="auto"/>
              <w:left w:val="single" w:sz="4" w:space="0" w:color="auto"/>
              <w:bottom w:val="single" w:sz="4" w:space="0" w:color="auto"/>
              <w:right w:val="single" w:sz="4" w:space="0" w:color="auto"/>
            </w:tcBorders>
          </w:tcPr>
          <w:p w14:paraId="56A54FFB" w14:textId="77777777" w:rsidR="00F371D4" w:rsidRPr="00C94AB6" w:rsidRDefault="00F371D4" w:rsidP="00B82144">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1EFA2741" w14:textId="77777777" w:rsidR="00F371D4" w:rsidRPr="00C94AB6" w:rsidRDefault="00F371D4" w:rsidP="00B82144">
            <w:pPr>
              <w:spacing w:after="60"/>
              <w:rPr>
                <w:iCs/>
                <w:sz w:val="20"/>
              </w:rPr>
            </w:pPr>
            <w:r w:rsidRPr="00C94AB6">
              <w:rPr>
                <w:iCs/>
                <w:sz w:val="20"/>
              </w:rPr>
              <w:t>A SCED interval in the 15-minute Settlement Interval.</w:t>
            </w:r>
          </w:p>
        </w:tc>
      </w:tr>
    </w:tbl>
    <w:p w14:paraId="2DCBB2A0" w14:textId="77777777" w:rsidR="00221BB6" w:rsidRPr="00221BB6" w:rsidRDefault="00221BB6" w:rsidP="00221BB6"/>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0F85F4B9" w14:textId="77777777" w:rsidTr="001138B9">
        <w:trPr>
          <w:trHeight w:val="206"/>
        </w:trPr>
        <w:tc>
          <w:tcPr>
            <w:tcW w:w="9350" w:type="dxa"/>
            <w:shd w:val="pct12" w:color="auto" w:fill="auto"/>
          </w:tcPr>
          <w:p w14:paraId="7A905E7E" w14:textId="543B581E" w:rsidR="00221BB6" w:rsidRPr="00B06583" w:rsidRDefault="00221BB6" w:rsidP="001F1397">
            <w:pPr>
              <w:pStyle w:val="Instructions"/>
              <w:spacing w:before="120"/>
            </w:pPr>
            <w:r>
              <w:lastRenderedPageBreak/>
              <w:t>[NPRR1010:  Delete Section 6.7.2 above upon system implementation of the Real-Time Co-Optimization (RTC) project</w:t>
            </w:r>
            <w:r w:rsidR="00792C7F">
              <w:t>.</w:t>
            </w:r>
            <w:r>
              <w:t>]</w:t>
            </w:r>
          </w:p>
        </w:tc>
      </w:tr>
    </w:tbl>
    <w:p w14:paraId="06CB1B29" w14:textId="77777777" w:rsidR="008C5104" w:rsidRPr="007779E2" w:rsidRDefault="008C5104" w:rsidP="008C5104">
      <w:pPr>
        <w:keepNext/>
        <w:widowControl w:val="0"/>
        <w:tabs>
          <w:tab w:val="left" w:pos="1260"/>
        </w:tabs>
        <w:spacing w:before="480" w:after="240"/>
        <w:ind w:left="1260" w:hanging="1260"/>
        <w:outlineLvl w:val="3"/>
        <w:rPr>
          <w:b/>
        </w:rPr>
      </w:pPr>
      <w:bookmarkStart w:id="2717" w:name="_Toc204411743"/>
      <w:r w:rsidRPr="007779E2">
        <w:rPr>
          <w:b/>
        </w:rPr>
        <w:t>6.7.2.1</w:t>
      </w:r>
      <w:r w:rsidRPr="007779E2">
        <w:rPr>
          <w:b/>
        </w:rPr>
        <w:tab/>
        <w:t>Charges for Infeasible Ancillary Service Capacity Due to Transmission Constraints</w:t>
      </w:r>
      <w:bookmarkEnd w:id="2703"/>
      <w:bookmarkEnd w:id="2717"/>
      <w:r w:rsidRPr="007779E2">
        <w:rPr>
          <w:b/>
        </w:rPr>
        <w:t xml:space="preserve"> </w:t>
      </w:r>
    </w:p>
    <w:p w14:paraId="38DD9C5B" w14:textId="77777777" w:rsidR="008C5104" w:rsidRPr="007779E2" w:rsidRDefault="008C5104" w:rsidP="008C5104">
      <w:pPr>
        <w:spacing w:after="240"/>
        <w:ind w:left="720" w:hanging="720"/>
      </w:pPr>
      <w:r>
        <w:t>(1)</w:t>
      </w:r>
      <w:r>
        <w:tab/>
      </w:r>
      <w:r w:rsidRPr="007779E2">
        <w:t>A charge to each QSE with Ancillary Service Supply Responsibility that is deemed infeasible by ERCOT as a result of a transmission con</w:t>
      </w:r>
      <w:r>
        <w:t>s</w:t>
      </w:r>
      <w:r w:rsidRPr="007779E2">
        <w:t>traint</w:t>
      </w:r>
      <w:r>
        <w:t>s</w:t>
      </w:r>
      <w:r w:rsidRPr="007779E2">
        <w:t>, whether or not a SASM is executed, is calculated as follows:</w:t>
      </w:r>
    </w:p>
    <w:p w14:paraId="28C42C32" w14:textId="77777777" w:rsidR="008C5104" w:rsidRPr="007779E2" w:rsidRDefault="008C5104" w:rsidP="008C5104">
      <w:pPr>
        <w:spacing w:after="240"/>
        <w:ind w:left="1260" w:hanging="540"/>
      </w:pPr>
      <w:r>
        <w:rPr>
          <w:iCs/>
        </w:rPr>
        <w:t>(a)</w:t>
      </w:r>
      <w:r>
        <w:rPr>
          <w:iCs/>
        </w:rPr>
        <w:tab/>
      </w:r>
      <w:r w:rsidRPr="007779E2">
        <w:rPr>
          <w:iCs/>
        </w:rPr>
        <w:t>For Reg-Up, if applicable:</w:t>
      </w:r>
    </w:p>
    <w:p w14:paraId="08E04B8A" w14:textId="77777777" w:rsidR="008C5104" w:rsidRPr="000468AC" w:rsidRDefault="008C5104" w:rsidP="008C5104">
      <w:pPr>
        <w:ind w:left="1080" w:firstLine="360"/>
        <w:rPr>
          <w:b/>
          <w:i/>
          <w:vertAlign w:val="subscript"/>
        </w:rPr>
      </w:pPr>
      <w:r w:rsidRPr="000468AC">
        <w:rPr>
          <w:b/>
        </w:rPr>
        <w:t xml:space="preserve">RUINFQAMT </w:t>
      </w:r>
      <w:r w:rsidRPr="000468AC">
        <w:rPr>
          <w:b/>
          <w:i/>
          <w:vertAlign w:val="subscript"/>
        </w:rPr>
        <w:t>q</w:t>
      </w:r>
      <w:r w:rsidRPr="000468AC">
        <w:rPr>
          <w:b/>
        </w:rPr>
        <w:t xml:space="preserve"> =  MCPCRU </w:t>
      </w:r>
      <w:r w:rsidRPr="000468AC">
        <w:rPr>
          <w:b/>
          <w:i/>
          <w:vertAlign w:val="subscript"/>
        </w:rPr>
        <w:t>DAM</w:t>
      </w:r>
      <w:r w:rsidRPr="000468AC">
        <w:rPr>
          <w:b/>
        </w:rPr>
        <w:t xml:space="preserve"> * RUINFQ </w:t>
      </w:r>
      <w:r w:rsidRPr="000468AC">
        <w:rPr>
          <w:b/>
          <w:i/>
          <w:vertAlign w:val="subscript"/>
        </w:rPr>
        <w:t>q</w:t>
      </w:r>
    </w:p>
    <w:p w14:paraId="1FBEAAA7" w14:textId="77777777" w:rsidR="008C5104" w:rsidRPr="007779E2" w:rsidRDefault="008C5104" w:rsidP="008C5104">
      <w:pPr>
        <w:ind w:left="1080" w:firstLine="360"/>
        <w:rPr>
          <w:vertAlign w:val="subscript"/>
        </w:rPr>
      </w:pPr>
    </w:p>
    <w:p w14:paraId="70A58103" w14:textId="77777777" w:rsidR="008C5104" w:rsidRPr="007779E2" w:rsidRDefault="008C5104" w:rsidP="008C5104">
      <w:r w:rsidRPr="007779E2">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8C5104" w:rsidRPr="007779E2" w14:paraId="589EA4C7" w14:textId="77777777" w:rsidTr="008C5104">
        <w:tc>
          <w:tcPr>
            <w:tcW w:w="1168" w:type="pct"/>
          </w:tcPr>
          <w:p w14:paraId="185340B6" w14:textId="77777777" w:rsidR="008C5104" w:rsidRPr="007779E2" w:rsidRDefault="008C5104" w:rsidP="008C5104">
            <w:pPr>
              <w:spacing w:after="240"/>
              <w:rPr>
                <w:b/>
                <w:iCs/>
                <w:sz w:val="20"/>
              </w:rPr>
            </w:pPr>
            <w:r w:rsidRPr="007779E2">
              <w:rPr>
                <w:b/>
                <w:iCs/>
                <w:sz w:val="20"/>
              </w:rPr>
              <w:t>Variable</w:t>
            </w:r>
          </w:p>
        </w:tc>
        <w:tc>
          <w:tcPr>
            <w:tcW w:w="386" w:type="pct"/>
          </w:tcPr>
          <w:p w14:paraId="4CE639E4" w14:textId="77777777" w:rsidR="008C5104" w:rsidRPr="007779E2" w:rsidRDefault="008C5104" w:rsidP="008C5104">
            <w:pPr>
              <w:spacing w:after="240"/>
              <w:rPr>
                <w:b/>
                <w:iCs/>
                <w:sz w:val="20"/>
              </w:rPr>
            </w:pPr>
            <w:r w:rsidRPr="007779E2">
              <w:rPr>
                <w:b/>
                <w:iCs/>
                <w:sz w:val="20"/>
              </w:rPr>
              <w:t>Unit</w:t>
            </w:r>
          </w:p>
        </w:tc>
        <w:tc>
          <w:tcPr>
            <w:tcW w:w="3446" w:type="pct"/>
          </w:tcPr>
          <w:p w14:paraId="3747CD60" w14:textId="77777777" w:rsidR="008C5104" w:rsidRPr="007779E2" w:rsidRDefault="008C5104" w:rsidP="008C5104">
            <w:pPr>
              <w:spacing w:after="240"/>
              <w:rPr>
                <w:b/>
                <w:iCs/>
                <w:sz w:val="20"/>
              </w:rPr>
            </w:pPr>
            <w:r w:rsidRPr="007779E2">
              <w:rPr>
                <w:b/>
                <w:iCs/>
                <w:sz w:val="20"/>
              </w:rPr>
              <w:t>Description</w:t>
            </w:r>
          </w:p>
        </w:tc>
      </w:tr>
      <w:tr w:rsidR="008C5104" w:rsidRPr="007779E2" w14:paraId="356528B5" w14:textId="77777777" w:rsidTr="008C5104">
        <w:tc>
          <w:tcPr>
            <w:tcW w:w="1168" w:type="pct"/>
          </w:tcPr>
          <w:p w14:paraId="59245C61" w14:textId="77777777" w:rsidR="008C5104" w:rsidRPr="007779E2" w:rsidRDefault="008C5104" w:rsidP="008C5104">
            <w:pPr>
              <w:spacing w:after="60"/>
              <w:rPr>
                <w:iCs/>
                <w:sz w:val="20"/>
              </w:rPr>
            </w:pPr>
            <w:r w:rsidRPr="007779E2">
              <w:rPr>
                <w:iCs/>
                <w:sz w:val="20"/>
              </w:rPr>
              <w:t xml:space="preserve">RUINFQAMT </w:t>
            </w:r>
            <w:r w:rsidRPr="007779E2">
              <w:rPr>
                <w:i/>
                <w:iCs/>
                <w:sz w:val="20"/>
                <w:vertAlign w:val="subscript"/>
              </w:rPr>
              <w:t>q</w:t>
            </w:r>
          </w:p>
        </w:tc>
        <w:tc>
          <w:tcPr>
            <w:tcW w:w="386" w:type="pct"/>
          </w:tcPr>
          <w:p w14:paraId="62F8D944" w14:textId="77777777" w:rsidR="008C5104" w:rsidRPr="007779E2" w:rsidRDefault="008C5104" w:rsidP="008C5104">
            <w:pPr>
              <w:spacing w:after="60"/>
              <w:rPr>
                <w:iCs/>
                <w:sz w:val="20"/>
              </w:rPr>
            </w:pPr>
            <w:r w:rsidRPr="007779E2">
              <w:rPr>
                <w:iCs/>
                <w:sz w:val="20"/>
              </w:rPr>
              <w:t>$</w:t>
            </w:r>
          </w:p>
        </w:tc>
        <w:tc>
          <w:tcPr>
            <w:tcW w:w="3446" w:type="pct"/>
          </w:tcPr>
          <w:p w14:paraId="7FB3F258" w14:textId="77777777" w:rsidR="008C5104" w:rsidRPr="007779E2" w:rsidRDefault="008C5104" w:rsidP="008C5104">
            <w:pPr>
              <w:spacing w:after="60"/>
              <w:rPr>
                <w:iCs/>
                <w:sz w:val="20"/>
              </w:rPr>
            </w:pPr>
            <w:r w:rsidRPr="007779E2">
              <w:rPr>
                <w:i/>
                <w:iCs/>
                <w:sz w:val="20"/>
              </w:rPr>
              <w:t>Reg-Up Infeasible Quantity Amount per  QSE</w:t>
            </w:r>
            <w:r w:rsidRPr="007779E2">
              <w:rPr>
                <w:iCs/>
                <w:sz w:val="20"/>
              </w:rPr>
              <w:t xml:space="preserve">— The charge to QSE </w:t>
            </w:r>
            <w:r w:rsidRPr="007779E2">
              <w:rPr>
                <w:i/>
                <w:iCs/>
                <w:sz w:val="20"/>
              </w:rPr>
              <w:t>q</w:t>
            </w:r>
            <w:r w:rsidRPr="007779E2">
              <w:rPr>
                <w:iCs/>
                <w:sz w:val="20"/>
              </w:rPr>
              <w:t xml:space="preserve"> for its total capacity associated with infeasible deployment of Ancilla</w:t>
            </w:r>
            <w:r>
              <w:rPr>
                <w:iCs/>
                <w:sz w:val="20"/>
              </w:rPr>
              <w:t>ry Service Supply Responsibilities</w:t>
            </w:r>
            <w:r w:rsidRPr="007779E2">
              <w:rPr>
                <w:iCs/>
                <w:sz w:val="20"/>
              </w:rPr>
              <w:t xml:space="preserve"> for Reg-Up, for the hour.</w:t>
            </w:r>
          </w:p>
        </w:tc>
      </w:tr>
      <w:tr w:rsidR="008C5104" w:rsidRPr="007779E2" w14:paraId="6A15E668" w14:textId="77777777" w:rsidTr="008C5104">
        <w:tc>
          <w:tcPr>
            <w:tcW w:w="1168" w:type="pct"/>
            <w:tcBorders>
              <w:top w:val="single" w:sz="4" w:space="0" w:color="auto"/>
              <w:left w:val="single" w:sz="4" w:space="0" w:color="auto"/>
              <w:bottom w:val="single" w:sz="4" w:space="0" w:color="auto"/>
              <w:right w:val="single" w:sz="4" w:space="0" w:color="auto"/>
            </w:tcBorders>
          </w:tcPr>
          <w:p w14:paraId="04D782A5" w14:textId="77777777" w:rsidR="008C5104" w:rsidRPr="007779E2" w:rsidRDefault="008C5104" w:rsidP="008C5104">
            <w:pPr>
              <w:spacing w:after="60"/>
              <w:rPr>
                <w:iCs/>
                <w:sz w:val="20"/>
              </w:rPr>
            </w:pPr>
            <w:r w:rsidRPr="007779E2">
              <w:rPr>
                <w:iCs/>
                <w:sz w:val="20"/>
              </w:rPr>
              <w:t xml:space="preserve">MCPCRU </w:t>
            </w:r>
            <w:r w:rsidRPr="007779E2">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5ABBB414" w14:textId="77777777" w:rsidR="008C5104" w:rsidRPr="007779E2" w:rsidRDefault="008C5104" w:rsidP="008C5104">
            <w:pPr>
              <w:spacing w:after="60"/>
              <w:rPr>
                <w:iCs/>
                <w:sz w:val="20"/>
              </w:rPr>
            </w:pPr>
            <w:r w:rsidRPr="007779E2">
              <w:rPr>
                <w:iCs/>
                <w:sz w:val="20"/>
              </w:rPr>
              <w:t>$/MW per hour</w:t>
            </w:r>
          </w:p>
        </w:tc>
        <w:tc>
          <w:tcPr>
            <w:tcW w:w="3446" w:type="pct"/>
            <w:tcBorders>
              <w:top w:val="single" w:sz="4" w:space="0" w:color="auto"/>
              <w:left w:val="single" w:sz="4" w:space="0" w:color="auto"/>
              <w:bottom w:val="single" w:sz="4" w:space="0" w:color="auto"/>
              <w:right w:val="single" w:sz="4" w:space="0" w:color="auto"/>
            </w:tcBorders>
          </w:tcPr>
          <w:p w14:paraId="6DF84FAF" w14:textId="77777777" w:rsidR="008C5104" w:rsidRPr="007779E2" w:rsidRDefault="008C5104" w:rsidP="008C5104">
            <w:pPr>
              <w:spacing w:after="60"/>
              <w:rPr>
                <w:i/>
                <w:iCs/>
                <w:sz w:val="20"/>
              </w:rPr>
            </w:pPr>
            <w:r w:rsidRPr="007779E2">
              <w:rPr>
                <w:i/>
                <w:iCs/>
                <w:sz w:val="20"/>
              </w:rPr>
              <w:t>Market Clearing Price for Capacity for Reg-Up in DAM</w:t>
            </w:r>
            <w:r w:rsidRPr="007779E2">
              <w:rPr>
                <w:iCs/>
                <w:sz w:val="20"/>
              </w:rPr>
              <w:t>—The DAM MCPC for Reg-Up</w:t>
            </w:r>
            <w:r w:rsidR="00EE4598" w:rsidRPr="007E46C9">
              <w:rPr>
                <w:iCs/>
                <w:sz w:val="20"/>
              </w:rPr>
              <w:t>,</w:t>
            </w:r>
            <w:r w:rsidRPr="007779E2">
              <w:rPr>
                <w:iCs/>
                <w:sz w:val="20"/>
              </w:rPr>
              <w:t xml:space="preserve"> for the hour.</w:t>
            </w:r>
          </w:p>
        </w:tc>
      </w:tr>
      <w:tr w:rsidR="008C5104" w:rsidRPr="007779E2" w14:paraId="060FCC35" w14:textId="77777777" w:rsidTr="008C5104">
        <w:tc>
          <w:tcPr>
            <w:tcW w:w="1168" w:type="pct"/>
            <w:tcBorders>
              <w:top w:val="single" w:sz="4" w:space="0" w:color="auto"/>
              <w:left w:val="single" w:sz="4" w:space="0" w:color="auto"/>
              <w:bottom w:val="single" w:sz="4" w:space="0" w:color="auto"/>
              <w:right w:val="single" w:sz="4" w:space="0" w:color="auto"/>
            </w:tcBorders>
          </w:tcPr>
          <w:p w14:paraId="65350B1B" w14:textId="77777777" w:rsidR="008C5104" w:rsidRPr="007779E2" w:rsidRDefault="008C5104" w:rsidP="008C5104">
            <w:pPr>
              <w:spacing w:after="60"/>
              <w:rPr>
                <w:iCs/>
                <w:sz w:val="20"/>
              </w:rPr>
            </w:pPr>
            <w:r w:rsidRPr="007779E2">
              <w:rPr>
                <w:iCs/>
                <w:sz w:val="20"/>
              </w:rPr>
              <w:t>RUINFQ</w:t>
            </w:r>
            <w:r>
              <w:rPr>
                <w:iCs/>
                <w:sz w:val="20"/>
              </w:rPr>
              <w:t xml:space="preserve"> </w:t>
            </w:r>
            <w:r w:rsidRPr="00F31BFC">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3EF7F728" w14:textId="77777777" w:rsidR="008C5104" w:rsidRPr="007779E2" w:rsidRDefault="008C5104" w:rsidP="008C5104">
            <w:pPr>
              <w:spacing w:after="60"/>
              <w:rPr>
                <w:iCs/>
                <w:sz w:val="20"/>
              </w:rPr>
            </w:pPr>
            <w:r w:rsidRPr="007779E2">
              <w:rPr>
                <w:iCs/>
                <w:sz w:val="20"/>
              </w:rPr>
              <w:t>MW</w:t>
            </w:r>
          </w:p>
        </w:tc>
        <w:tc>
          <w:tcPr>
            <w:tcW w:w="3446" w:type="pct"/>
            <w:tcBorders>
              <w:top w:val="single" w:sz="4" w:space="0" w:color="auto"/>
              <w:left w:val="single" w:sz="4" w:space="0" w:color="auto"/>
              <w:bottom w:val="single" w:sz="4" w:space="0" w:color="auto"/>
              <w:right w:val="single" w:sz="4" w:space="0" w:color="auto"/>
            </w:tcBorders>
          </w:tcPr>
          <w:p w14:paraId="49D18608" w14:textId="77777777" w:rsidR="008C5104" w:rsidRPr="007779E2" w:rsidRDefault="008C5104" w:rsidP="008C5104">
            <w:pPr>
              <w:spacing w:after="60"/>
              <w:rPr>
                <w:i/>
                <w:iCs/>
                <w:sz w:val="20"/>
              </w:rPr>
            </w:pPr>
            <w:r w:rsidRPr="007779E2">
              <w:rPr>
                <w:i/>
                <w:iCs/>
                <w:sz w:val="20"/>
              </w:rPr>
              <w:t>Reg-Up Infeasible Quantity per QSE —</w:t>
            </w:r>
            <w:r w:rsidRPr="007779E2">
              <w:rPr>
                <w:iCs/>
                <w:sz w:val="20"/>
              </w:rPr>
              <w:t xml:space="preserve">QSE </w:t>
            </w:r>
            <w:r w:rsidRPr="007779E2">
              <w:rPr>
                <w:i/>
                <w:iCs/>
                <w:sz w:val="20"/>
              </w:rPr>
              <w:t>q</w:t>
            </w:r>
            <w:r w:rsidRPr="007779E2">
              <w:rPr>
                <w:iCs/>
                <w:sz w:val="20"/>
              </w:rPr>
              <w:t xml:space="preserve">’s total capacity associated with </w:t>
            </w:r>
            <w:r w:rsidRPr="00B34409">
              <w:rPr>
                <w:iCs/>
                <w:sz w:val="20"/>
              </w:rPr>
              <w:t>infeasibl</w:t>
            </w:r>
            <w:r>
              <w:rPr>
                <w:iCs/>
                <w:sz w:val="20"/>
              </w:rPr>
              <w:t>e</w:t>
            </w:r>
            <w:r w:rsidRPr="007779E2">
              <w:rPr>
                <w:i/>
                <w:iCs/>
                <w:sz w:val="20"/>
              </w:rPr>
              <w:t xml:space="preserve"> </w:t>
            </w:r>
            <w:r w:rsidRPr="007779E2">
              <w:rPr>
                <w:iCs/>
                <w:sz w:val="20"/>
              </w:rPr>
              <w:t>Ancillary Service Supply Responsibilit</w:t>
            </w:r>
            <w:r>
              <w:rPr>
                <w:iCs/>
                <w:sz w:val="20"/>
              </w:rPr>
              <w:t>ies</w:t>
            </w:r>
            <w:r w:rsidRPr="007779E2">
              <w:rPr>
                <w:iCs/>
                <w:sz w:val="20"/>
              </w:rPr>
              <w:t xml:space="preserve"> for Reg-Up, for the hour.</w:t>
            </w:r>
          </w:p>
        </w:tc>
      </w:tr>
      <w:tr w:rsidR="008C5104" w:rsidRPr="007779E2" w14:paraId="0F12A29C" w14:textId="77777777" w:rsidTr="008C5104">
        <w:tc>
          <w:tcPr>
            <w:tcW w:w="1168" w:type="pct"/>
            <w:tcBorders>
              <w:top w:val="single" w:sz="4" w:space="0" w:color="auto"/>
              <w:left w:val="single" w:sz="4" w:space="0" w:color="auto"/>
              <w:bottom w:val="single" w:sz="4" w:space="0" w:color="auto"/>
              <w:right w:val="single" w:sz="4" w:space="0" w:color="auto"/>
            </w:tcBorders>
          </w:tcPr>
          <w:p w14:paraId="2719C4ED" w14:textId="77777777" w:rsidR="008C5104" w:rsidRPr="007779E2" w:rsidRDefault="008C5104" w:rsidP="008C5104">
            <w:pPr>
              <w:spacing w:after="60"/>
              <w:rPr>
                <w:i/>
                <w:iCs/>
                <w:sz w:val="20"/>
              </w:rPr>
            </w:pPr>
            <w:r w:rsidRPr="007779E2">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22A4905E" w14:textId="77777777" w:rsidR="008C5104" w:rsidRPr="007779E2" w:rsidRDefault="008C5104" w:rsidP="008C5104">
            <w:pPr>
              <w:spacing w:after="60"/>
              <w:rPr>
                <w:iCs/>
                <w:sz w:val="20"/>
              </w:rPr>
            </w:pPr>
            <w:r w:rsidRPr="007779E2">
              <w:rPr>
                <w:iCs/>
                <w:sz w:val="20"/>
              </w:rPr>
              <w:t>none</w:t>
            </w:r>
          </w:p>
        </w:tc>
        <w:tc>
          <w:tcPr>
            <w:tcW w:w="3446" w:type="pct"/>
            <w:tcBorders>
              <w:top w:val="single" w:sz="4" w:space="0" w:color="auto"/>
              <w:left w:val="single" w:sz="4" w:space="0" w:color="auto"/>
              <w:bottom w:val="single" w:sz="4" w:space="0" w:color="auto"/>
              <w:right w:val="single" w:sz="4" w:space="0" w:color="auto"/>
            </w:tcBorders>
          </w:tcPr>
          <w:p w14:paraId="1E431894" w14:textId="77777777" w:rsidR="008C5104" w:rsidRPr="007779E2" w:rsidRDefault="008C5104" w:rsidP="008C5104">
            <w:pPr>
              <w:spacing w:after="60"/>
              <w:rPr>
                <w:iCs/>
                <w:sz w:val="20"/>
              </w:rPr>
            </w:pPr>
            <w:r w:rsidRPr="007779E2">
              <w:rPr>
                <w:iCs/>
                <w:sz w:val="20"/>
              </w:rPr>
              <w:t>A QSE.</w:t>
            </w:r>
          </w:p>
        </w:tc>
      </w:tr>
    </w:tbl>
    <w:p w14:paraId="58F50107" w14:textId="77777777" w:rsidR="008C5104" w:rsidRPr="007779E2" w:rsidRDefault="008C5104" w:rsidP="008C5104">
      <w:pPr>
        <w:spacing w:before="240" w:after="240"/>
        <w:ind w:left="1260" w:hanging="540"/>
      </w:pPr>
      <w:r w:rsidRPr="007779E2">
        <w:rPr>
          <w:iCs/>
        </w:rPr>
        <w:t>(b)</w:t>
      </w:r>
      <w:r w:rsidRPr="007779E2">
        <w:rPr>
          <w:iCs/>
        </w:rPr>
        <w:tab/>
        <w:t xml:space="preserve">For Reg-Down, if applicable: </w:t>
      </w:r>
    </w:p>
    <w:p w14:paraId="4A3558E3" w14:textId="77777777" w:rsidR="008C5104" w:rsidRPr="000468AC" w:rsidRDefault="008C5104" w:rsidP="008C5104">
      <w:pPr>
        <w:ind w:left="720" w:firstLine="720"/>
        <w:rPr>
          <w:b/>
          <w:vertAlign w:val="subscript"/>
        </w:rPr>
      </w:pPr>
      <w:r w:rsidRPr="000468AC">
        <w:rPr>
          <w:b/>
        </w:rPr>
        <w:t xml:space="preserve">RDINFQAMT </w:t>
      </w:r>
      <w:r w:rsidRPr="000468AC">
        <w:rPr>
          <w:b/>
          <w:i/>
          <w:vertAlign w:val="subscript"/>
        </w:rPr>
        <w:t>q</w:t>
      </w:r>
      <w:r w:rsidRPr="000468AC">
        <w:rPr>
          <w:b/>
        </w:rPr>
        <w:t xml:space="preserve"> =  MCPCRD </w:t>
      </w:r>
      <w:r w:rsidRPr="000468AC">
        <w:rPr>
          <w:b/>
          <w:i/>
          <w:vertAlign w:val="subscript"/>
        </w:rPr>
        <w:t>DAM</w:t>
      </w:r>
      <w:r w:rsidRPr="000468AC">
        <w:rPr>
          <w:b/>
        </w:rPr>
        <w:t xml:space="preserve"> * RDINFQ </w:t>
      </w:r>
      <w:r w:rsidRPr="000468AC">
        <w:rPr>
          <w:b/>
          <w:i/>
          <w:vertAlign w:val="subscript"/>
        </w:rPr>
        <w:t>q</w:t>
      </w:r>
    </w:p>
    <w:p w14:paraId="7B9FD327" w14:textId="77777777" w:rsidR="008C5104" w:rsidRPr="007779E2" w:rsidRDefault="008C5104" w:rsidP="008C5104">
      <w:pPr>
        <w:ind w:firstLine="720"/>
      </w:pPr>
    </w:p>
    <w:p w14:paraId="3D748571" w14:textId="77777777" w:rsidR="008C5104" w:rsidRPr="007779E2" w:rsidRDefault="008C5104" w:rsidP="008C5104">
      <w:r w:rsidRPr="007779E2">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8C5104" w:rsidRPr="007779E2" w14:paraId="47F3A925" w14:textId="77777777" w:rsidTr="008C5104">
        <w:tc>
          <w:tcPr>
            <w:tcW w:w="1168" w:type="pct"/>
          </w:tcPr>
          <w:p w14:paraId="3A3006B5" w14:textId="77777777" w:rsidR="008C5104" w:rsidRPr="007779E2" w:rsidRDefault="008C5104" w:rsidP="008C5104">
            <w:pPr>
              <w:spacing w:after="240"/>
              <w:rPr>
                <w:b/>
                <w:iCs/>
                <w:sz w:val="20"/>
              </w:rPr>
            </w:pPr>
            <w:r w:rsidRPr="007779E2">
              <w:rPr>
                <w:b/>
                <w:iCs/>
                <w:sz w:val="20"/>
              </w:rPr>
              <w:t>Variable</w:t>
            </w:r>
          </w:p>
        </w:tc>
        <w:tc>
          <w:tcPr>
            <w:tcW w:w="386" w:type="pct"/>
          </w:tcPr>
          <w:p w14:paraId="5F7E329B" w14:textId="77777777" w:rsidR="008C5104" w:rsidRPr="007779E2" w:rsidRDefault="008C5104" w:rsidP="008C5104">
            <w:pPr>
              <w:spacing w:after="240"/>
              <w:rPr>
                <w:b/>
                <w:iCs/>
                <w:sz w:val="20"/>
              </w:rPr>
            </w:pPr>
            <w:r w:rsidRPr="007779E2">
              <w:rPr>
                <w:b/>
                <w:iCs/>
                <w:sz w:val="20"/>
              </w:rPr>
              <w:t>Unit</w:t>
            </w:r>
          </w:p>
        </w:tc>
        <w:tc>
          <w:tcPr>
            <w:tcW w:w="3446" w:type="pct"/>
          </w:tcPr>
          <w:p w14:paraId="076850E2" w14:textId="77777777" w:rsidR="008C5104" w:rsidRPr="007779E2" w:rsidRDefault="008C5104" w:rsidP="008C5104">
            <w:pPr>
              <w:spacing w:after="240"/>
              <w:rPr>
                <w:b/>
                <w:iCs/>
                <w:sz w:val="20"/>
              </w:rPr>
            </w:pPr>
            <w:r w:rsidRPr="007779E2">
              <w:rPr>
                <w:b/>
                <w:iCs/>
                <w:sz w:val="20"/>
              </w:rPr>
              <w:t>Description</w:t>
            </w:r>
          </w:p>
        </w:tc>
      </w:tr>
      <w:tr w:rsidR="008C5104" w:rsidRPr="007779E2" w14:paraId="5E32BCCB" w14:textId="77777777" w:rsidTr="008C5104">
        <w:tc>
          <w:tcPr>
            <w:tcW w:w="1168" w:type="pct"/>
          </w:tcPr>
          <w:p w14:paraId="69ACCF60" w14:textId="77777777" w:rsidR="008C5104" w:rsidRPr="007779E2" w:rsidRDefault="008C5104" w:rsidP="008C5104">
            <w:pPr>
              <w:spacing w:after="60"/>
              <w:rPr>
                <w:iCs/>
                <w:sz w:val="20"/>
              </w:rPr>
            </w:pPr>
            <w:r w:rsidRPr="007779E2">
              <w:rPr>
                <w:iCs/>
                <w:sz w:val="20"/>
              </w:rPr>
              <w:t xml:space="preserve">RDINFQAMT </w:t>
            </w:r>
            <w:r w:rsidRPr="007779E2">
              <w:rPr>
                <w:i/>
                <w:iCs/>
                <w:sz w:val="20"/>
                <w:vertAlign w:val="subscript"/>
              </w:rPr>
              <w:t>q</w:t>
            </w:r>
          </w:p>
        </w:tc>
        <w:tc>
          <w:tcPr>
            <w:tcW w:w="386" w:type="pct"/>
          </w:tcPr>
          <w:p w14:paraId="259C7509" w14:textId="77777777" w:rsidR="008C5104" w:rsidRPr="007779E2" w:rsidRDefault="008C5104" w:rsidP="008C5104">
            <w:pPr>
              <w:spacing w:after="60"/>
              <w:rPr>
                <w:iCs/>
                <w:sz w:val="20"/>
              </w:rPr>
            </w:pPr>
            <w:r w:rsidRPr="007779E2">
              <w:rPr>
                <w:iCs/>
                <w:sz w:val="20"/>
              </w:rPr>
              <w:t>$</w:t>
            </w:r>
          </w:p>
        </w:tc>
        <w:tc>
          <w:tcPr>
            <w:tcW w:w="3446" w:type="pct"/>
          </w:tcPr>
          <w:p w14:paraId="7E42A7F7" w14:textId="77777777" w:rsidR="008C5104" w:rsidRPr="007779E2" w:rsidRDefault="008C5104" w:rsidP="008C5104">
            <w:pPr>
              <w:spacing w:after="60"/>
              <w:rPr>
                <w:iCs/>
                <w:sz w:val="20"/>
              </w:rPr>
            </w:pPr>
            <w:r w:rsidRPr="007779E2">
              <w:rPr>
                <w:i/>
                <w:iCs/>
                <w:sz w:val="20"/>
              </w:rPr>
              <w:t>Reg-Down Infeasible Quantity Amount per  QSE</w:t>
            </w:r>
            <w:r w:rsidRPr="007779E2">
              <w:rPr>
                <w:iCs/>
                <w:sz w:val="20"/>
              </w:rPr>
              <w:t xml:space="preserve">— The charge to QSE </w:t>
            </w:r>
            <w:r w:rsidRPr="007779E2">
              <w:rPr>
                <w:i/>
                <w:iCs/>
                <w:sz w:val="20"/>
              </w:rPr>
              <w:t>q</w:t>
            </w:r>
            <w:r w:rsidRPr="007779E2">
              <w:rPr>
                <w:iCs/>
                <w:sz w:val="20"/>
              </w:rPr>
              <w:t xml:space="preserve"> for its total capacity associated with infeasible deployment of Ancilla</w:t>
            </w:r>
            <w:r>
              <w:rPr>
                <w:iCs/>
                <w:sz w:val="20"/>
              </w:rPr>
              <w:t>ry Service Supply Responsibilities</w:t>
            </w:r>
            <w:r w:rsidRPr="007779E2">
              <w:rPr>
                <w:iCs/>
                <w:sz w:val="20"/>
              </w:rPr>
              <w:t xml:space="preserve"> for Reg-Down, for the hour.</w:t>
            </w:r>
          </w:p>
        </w:tc>
      </w:tr>
      <w:tr w:rsidR="008C5104" w:rsidRPr="007779E2" w14:paraId="73B2EC15" w14:textId="77777777" w:rsidTr="008C5104">
        <w:tc>
          <w:tcPr>
            <w:tcW w:w="1168" w:type="pct"/>
            <w:tcBorders>
              <w:top w:val="single" w:sz="4" w:space="0" w:color="auto"/>
              <w:left w:val="single" w:sz="4" w:space="0" w:color="auto"/>
              <w:bottom w:val="single" w:sz="4" w:space="0" w:color="auto"/>
              <w:right w:val="single" w:sz="4" w:space="0" w:color="auto"/>
            </w:tcBorders>
          </w:tcPr>
          <w:p w14:paraId="5B81A092" w14:textId="77777777" w:rsidR="008C5104" w:rsidRPr="007779E2" w:rsidRDefault="008C5104" w:rsidP="008C5104">
            <w:pPr>
              <w:spacing w:after="60"/>
              <w:rPr>
                <w:iCs/>
                <w:sz w:val="20"/>
              </w:rPr>
            </w:pPr>
            <w:r w:rsidRPr="007779E2">
              <w:rPr>
                <w:iCs/>
                <w:sz w:val="20"/>
              </w:rPr>
              <w:t xml:space="preserve">MCPCRD </w:t>
            </w:r>
            <w:r w:rsidRPr="007779E2">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16F9DF4D" w14:textId="77777777" w:rsidR="008C5104" w:rsidRPr="007779E2" w:rsidRDefault="008C5104" w:rsidP="008C5104">
            <w:pPr>
              <w:spacing w:after="60"/>
              <w:rPr>
                <w:iCs/>
                <w:sz w:val="20"/>
              </w:rPr>
            </w:pPr>
            <w:r w:rsidRPr="007779E2">
              <w:rPr>
                <w:iCs/>
                <w:sz w:val="20"/>
              </w:rPr>
              <w:t>$/MW per hour</w:t>
            </w:r>
          </w:p>
        </w:tc>
        <w:tc>
          <w:tcPr>
            <w:tcW w:w="3446" w:type="pct"/>
            <w:tcBorders>
              <w:top w:val="single" w:sz="4" w:space="0" w:color="auto"/>
              <w:left w:val="single" w:sz="4" w:space="0" w:color="auto"/>
              <w:bottom w:val="single" w:sz="4" w:space="0" w:color="auto"/>
              <w:right w:val="single" w:sz="4" w:space="0" w:color="auto"/>
            </w:tcBorders>
          </w:tcPr>
          <w:p w14:paraId="0AF853C9" w14:textId="77777777" w:rsidR="008C5104" w:rsidRPr="007779E2" w:rsidRDefault="008C5104" w:rsidP="008C5104">
            <w:pPr>
              <w:spacing w:after="60"/>
              <w:rPr>
                <w:i/>
                <w:iCs/>
                <w:sz w:val="20"/>
              </w:rPr>
            </w:pPr>
            <w:r w:rsidRPr="007779E2">
              <w:rPr>
                <w:i/>
                <w:iCs/>
                <w:sz w:val="20"/>
              </w:rPr>
              <w:t>Market Clearing Price for Capacity for Reg-Down in DAM</w:t>
            </w:r>
            <w:r w:rsidRPr="007779E2">
              <w:rPr>
                <w:iCs/>
                <w:sz w:val="20"/>
              </w:rPr>
              <w:t>—The DAM MCPC for Reg-Down</w:t>
            </w:r>
            <w:r w:rsidR="00EE4598" w:rsidRPr="007E46C9">
              <w:rPr>
                <w:iCs/>
                <w:sz w:val="20"/>
              </w:rPr>
              <w:t>,</w:t>
            </w:r>
            <w:r w:rsidRPr="007779E2">
              <w:rPr>
                <w:iCs/>
                <w:sz w:val="20"/>
              </w:rPr>
              <w:t xml:space="preserve"> for the hour.</w:t>
            </w:r>
          </w:p>
        </w:tc>
      </w:tr>
      <w:tr w:rsidR="008C5104" w:rsidRPr="007779E2" w14:paraId="3B03EB39" w14:textId="77777777" w:rsidTr="008C5104">
        <w:tc>
          <w:tcPr>
            <w:tcW w:w="1168" w:type="pct"/>
            <w:tcBorders>
              <w:top w:val="single" w:sz="4" w:space="0" w:color="auto"/>
              <w:left w:val="single" w:sz="4" w:space="0" w:color="auto"/>
              <w:bottom w:val="single" w:sz="4" w:space="0" w:color="auto"/>
              <w:right w:val="single" w:sz="4" w:space="0" w:color="auto"/>
            </w:tcBorders>
          </w:tcPr>
          <w:p w14:paraId="3217C5F6" w14:textId="77777777" w:rsidR="008C5104" w:rsidRPr="007779E2" w:rsidRDefault="008C5104" w:rsidP="008C5104">
            <w:pPr>
              <w:spacing w:after="60"/>
              <w:rPr>
                <w:iCs/>
                <w:sz w:val="20"/>
              </w:rPr>
            </w:pPr>
            <w:r w:rsidRPr="007779E2">
              <w:rPr>
                <w:iCs/>
                <w:sz w:val="20"/>
              </w:rPr>
              <w:t>RDINFQ</w:t>
            </w:r>
            <w:r>
              <w:rPr>
                <w:iCs/>
                <w:sz w:val="20"/>
              </w:rPr>
              <w:t xml:space="preserve"> </w:t>
            </w:r>
            <w:r w:rsidRPr="00F31BFC">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55122A3C" w14:textId="77777777" w:rsidR="008C5104" w:rsidRPr="007779E2" w:rsidRDefault="008C5104" w:rsidP="008C5104">
            <w:pPr>
              <w:spacing w:after="60"/>
              <w:rPr>
                <w:iCs/>
                <w:sz w:val="20"/>
              </w:rPr>
            </w:pPr>
            <w:r w:rsidRPr="007779E2">
              <w:rPr>
                <w:iCs/>
                <w:sz w:val="20"/>
              </w:rPr>
              <w:t>MW</w:t>
            </w:r>
          </w:p>
        </w:tc>
        <w:tc>
          <w:tcPr>
            <w:tcW w:w="3446" w:type="pct"/>
            <w:tcBorders>
              <w:top w:val="single" w:sz="4" w:space="0" w:color="auto"/>
              <w:left w:val="single" w:sz="4" w:space="0" w:color="auto"/>
              <w:bottom w:val="single" w:sz="4" w:space="0" w:color="auto"/>
              <w:right w:val="single" w:sz="4" w:space="0" w:color="auto"/>
            </w:tcBorders>
          </w:tcPr>
          <w:p w14:paraId="34EB1EA8" w14:textId="77777777" w:rsidR="008C5104" w:rsidRPr="007779E2" w:rsidRDefault="008C5104" w:rsidP="000809F8">
            <w:pPr>
              <w:spacing w:after="60"/>
              <w:rPr>
                <w:i/>
                <w:iCs/>
                <w:sz w:val="20"/>
              </w:rPr>
            </w:pPr>
            <w:r w:rsidRPr="007779E2">
              <w:rPr>
                <w:i/>
                <w:iCs/>
                <w:sz w:val="20"/>
              </w:rPr>
              <w:t>Reg-Down Infeasib</w:t>
            </w:r>
            <w:r w:rsidR="000809F8">
              <w:rPr>
                <w:i/>
                <w:iCs/>
                <w:sz w:val="20"/>
              </w:rPr>
              <w:t>le</w:t>
            </w:r>
            <w:r w:rsidRPr="007779E2">
              <w:rPr>
                <w:i/>
                <w:iCs/>
                <w:sz w:val="20"/>
              </w:rPr>
              <w:t xml:space="preserve"> Quantity per QSE —</w:t>
            </w:r>
            <w:r w:rsidRPr="007779E2">
              <w:rPr>
                <w:iCs/>
                <w:sz w:val="20"/>
              </w:rPr>
              <w:t xml:space="preserve">QSE </w:t>
            </w:r>
            <w:r w:rsidRPr="007779E2">
              <w:rPr>
                <w:i/>
                <w:iCs/>
                <w:sz w:val="20"/>
              </w:rPr>
              <w:t>q</w:t>
            </w:r>
            <w:r w:rsidRPr="007779E2">
              <w:rPr>
                <w:iCs/>
                <w:sz w:val="20"/>
              </w:rPr>
              <w:t xml:space="preserve">’s total capacity associated with </w:t>
            </w:r>
            <w:r>
              <w:rPr>
                <w:iCs/>
                <w:sz w:val="20"/>
              </w:rPr>
              <w:t>infeasible</w:t>
            </w:r>
            <w:r w:rsidRPr="007779E2">
              <w:rPr>
                <w:i/>
                <w:iCs/>
                <w:sz w:val="20"/>
              </w:rPr>
              <w:t xml:space="preserve"> </w:t>
            </w:r>
            <w:r w:rsidRPr="007779E2">
              <w:rPr>
                <w:iCs/>
                <w:sz w:val="20"/>
              </w:rPr>
              <w:t>Ancillary Service Supply Responsibilit</w:t>
            </w:r>
            <w:r>
              <w:rPr>
                <w:iCs/>
                <w:sz w:val="20"/>
              </w:rPr>
              <w:t>ies</w:t>
            </w:r>
            <w:r w:rsidRPr="007779E2">
              <w:rPr>
                <w:iCs/>
                <w:sz w:val="20"/>
              </w:rPr>
              <w:t xml:space="preserve"> for Reg-Down, for the hou</w:t>
            </w:r>
            <w:r>
              <w:rPr>
                <w:iCs/>
                <w:sz w:val="20"/>
              </w:rPr>
              <w:t>r.</w:t>
            </w:r>
          </w:p>
        </w:tc>
      </w:tr>
      <w:tr w:rsidR="008C5104" w:rsidRPr="007779E2" w14:paraId="4463E7A3" w14:textId="77777777" w:rsidTr="008C5104">
        <w:tc>
          <w:tcPr>
            <w:tcW w:w="1168" w:type="pct"/>
            <w:tcBorders>
              <w:top w:val="single" w:sz="4" w:space="0" w:color="auto"/>
              <w:left w:val="single" w:sz="4" w:space="0" w:color="auto"/>
              <w:bottom w:val="single" w:sz="4" w:space="0" w:color="auto"/>
              <w:right w:val="single" w:sz="4" w:space="0" w:color="auto"/>
            </w:tcBorders>
          </w:tcPr>
          <w:p w14:paraId="2063BB88" w14:textId="77777777" w:rsidR="008C5104" w:rsidRPr="007779E2" w:rsidRDefault="008C5104" w:rsidP="008C5104">
            <w:pPr>
              <w:spacing w:after="60"/>
              <w:rPr>
                <w:i/>
                <w:iCs/>
                <w:sz w:val="20"/>
              </w:rPr>
            </w:pPr>
            <w:r w:rsidRPr="007779E2">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2D1E115F" w14:textId="77777777" w:rsidR="008C5104" w:rsidRPr="007779E2" w:rsidRDefault="008C5104" w:rsidP="008C5104">
            <w:pPr>
              <w:spacing w:after="60"/>
              <w:rPr>
                <w:iCs/>
                <w:sz w:val="20"/>
              </w:rPr>
            </w:pPr>
            <w:r w:rsidRPr="007779E2">
              <w:rPr>
                <w:iCs/>
                <w:sz w:val="20"/>
              </w:rPr>
              <w:t>none</w:t>
            </w:r>
          </w:p>
        </w:tc>
        <w:tc>
          <w:tcPr>
            <w:tcW w:w="3446" w:type="pct"/>
            <w:tcBorders>
              <w:top w:val="single" w:sz="4" w:space="0" w:color="auto"/>
              <w:left w:val="single" w:sz="4" w:space="0" w:color="auto"/>
              <w:bottom w:val="single" w:sz="4" w:space="0" w:color="auto"/>
              <w:right w:val="single" w:sz="4" w:space="0" w:color="auto"/>
            </w:tcBorders>
          </w:tcPr>
          <w:p w14:paraId="758D2F7E" w14:textId="77777777" w:rsidR="008C5104" w:rsidRPr="007779E2" w:rsidRDefault="008C5104" w:rsidP="008C5104">
            <w:pPr>
              <w:spacing w:after="60"/>
              <w:rPr>
                <w:iCs/>
                <w:sz w:val="20"/>
              </w:rPr>
            </w:pPr>
            <w:r w:rsidRPr="007779E2">
              <w:rPr>
                <w:iCs/>
                <w:sz w:val="20"/>
              </w:rPr>
              <w:t>A QSE.</w:t>
            </w:r>
          </w:p>
        </w:tc>
      </w:tr>
    </w:tbl>
    <w:p w14:paraId="47BA4396" w14:textId="77777777" w:rsidR="008C5104" w:rsidRPr="007779E2" w:rsidRDefault="008C5104" w:rsidP="008C5104">
      <w:pPr>
        <w:spacing w:before="240" w:after="240"/>
        <w:ind w:left="1260" w:hanging="540"/>
      </w:pPr>
      <w:r w:rsidRPr="007779E2">
        <w:rPr>
          <w:iCs/>
        </w:rPr>
        <w:lastRenderedPageBreak/>
        <w:t>(c)</w:t>
      </w:r>
      <w:r w:rsidRPr="007779E2">
        <w:rPr>
          <w:iCs/>
        </w:rPr>
        <w:tab/>
        <w:t xml:space="preserve">For RRS, if applicable: </w:t>
      </w:r>
    </w:p>
    <w:p w14:paraId="4FBFB67F" w14:textId="77777777" w:rsidR="008C5104" w:rsidRPr="000468AC" w:rsidRDefault="008C5104" w:rsidP="008C5104">
      <w:pPr>
        <w:ind w:left="720" w:firstLine="720"/>
        <w:rPr>
          <w:b/>
          <w:vertAlign w:val="subscript"/>
        </w:rPr>
      </w:pPr>
      <w:r w:rsidRPr="000468AC">
        <w:rPr>
          <w:b/>
        </w:rPr>
        <w:t xml:space="preserve">RRINFQAMT </w:t>
      </w:r>
      <w:r w:rsidRPr="000468AC">
        <w:rPr>
          <w:b/>
          <w:i/>
          <w:vertAlign w:val="subscript"/>
        </w:rPr>
        <w:t>q</w:t>
      </w:r>
      <w:r w:rsidRPr="000468AC">
        <w:rPr>
          <w:b/>
        </w:rPr>
        <w:t xml:space="preserve"> =  MCPCRR </w:t>
      </w:r>
      <w:r w:rsidRPr="000468AC">
        <w:rPr>
          <w:b/>
          <w:i/>
          <w:vertAlign w:val="subscript"/>
        </w:rPr>
        <w:t>DAM</w:t>
      </w:r>
      <w:r w:rsidRPr="000468AC">
        <w:rPr>
          <w:b/>
        </w:rPr>
        <w:t xml:space="preserve"> * RRINFQ </w:t>
      </w:r>
      <w:r w:rsidRPr="000468AC">
        <w:rPr>
          <w:b/>
          <w:i/>
          <w:vertAlign w:val="subscript"/>
        </w:rPr>
        <w:t>q</w:t>
      </w:r>
    </w:p>
    <w:p w14:paraId="08C8FA49" w14:textId="77777777" w:rsidR="008C5104" w:rsidRPr="007779E2" w:rsidRDefault="008C5104" w:rsidP="008C5104">
      <w:pPr>
        <w:ind w:firstLine="720"/>
      </w:pPr>
    </w:p>
    <w:p w14:paraId="21367553" w14:textId="77777777" w:rsidR="008C5104" w:rsidRPr="007779E2" w:rsidRDefault="008C5104" w:rsidP="008C5104">
      <w:r w:rsidRPr="007779E2">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8C5104" w:rsidRPr="007779E2" w14:paraId="12FCAA90" w14:textId="77777777" w:rsidTr="008C5104">
        <w:tc>
          <w:tcPr>
            <w:tcW w:w="1162" w:type="pct"/>
          </w:tcPr>
          <w:p w14:paraId="413FAA79" w14:textId="77777777" w:rsidR="008C5104" w:rsidRPr="007779E2" w:rsidRDefault="008C5104" w:rsidP="008C5104">
            <w:pPr>
              <w:spacing w:after="240"/>
              <w:rPr>
                <w:b/>
                <w:iCs/>
                <w:sz w:val="20"/>
              </w:rPr>
            </w:pPr>
            <w:r w:rsidRPr="007779E2">
              <w:rPr>
                <w:b/>
                <w:iCs/>
                <w:sz w:val="20"/>
              </w:rPr>
              <w:t>Variable</w:t>
            </w:r>
          </w:p>
        </w:tc>
        <w:tc>
          <w:tcPr>
            <w:tcW w:w="386" w:type="pct"/>
          </w:tcPr>
          <w:p w14:paraId="427BBC13" w14:textId="77777777" w:rsidR="008C5104" w:rsidRPr="007779E2" w:rsidRDefault="008C5104" w:rsidP="008C5104">
            <w:pPr>
              <w:spacing w:after="240"/>
              <w:rPr>
                <w:b/>
                <w:iCs/>
                <w:sz w:val="20"/>
              </w:rPr>
            </w:pPr>
            <w:r w:rsidRPr="007779E2">
              <w:rPr>
                <w:b/>
                <w:iCs/>
                <w:sz w:val="20"/>
              </w:rPr>
              <w:t>Unit</w:t>
            </w:r>
          </w:p>
        </w:tc>
        <w:tc>
          <w:tcPr>
            <w:tcW w:w="3452" w:type="pct"/>
          </w:tcPr>
          <w:p w14:paraId="1FEAEFC2" w14:textId="77777777" w:rsidR="008C5104" w:rsidRPr="007779E2" w:rsidRDefault="008C5104" w:rsidP="008C5104">
            <w:pPr>
              <w:spacing w:after="240"/>
              <w:rPr>
                <w:b/>
                <w:iCs/>
                <w:sz w:val="20"/>
              </w:rPr>
            </w:pPr>
            <w:r w:rsidRPr="007779E2">
              <w:rPr>
                <w:b/>
                <w:iCs/>
                <w:sz w:val="20"/>
              </w:rPr>
              <w:t>Description</w:t>
            </w:r>
          </w:p>
        </w:tc>
      </w:tr>
      <w:tr w:rsidR="008C5104" w:rsidRPr="007779E2" w14:paraId="503D249E" w14:textId="77777777" w:rsidTr="008C5104">
        <w:tc>
          <w:tcPr>
            <w:tcW w:w="1162" w:type="pct"/>
          </w:tcPr>
          <w:p w14:paraId="02281BED" w14:textId="77777777" w:rsidR="008C5104" w:rsidRPr="007779E2" w:rsidRDefault="008C5104" w:rsidP="008C5104">
            <w:pPr>
              <w:spacing w:after="60"/>
              <w:rPr>
                <w:iCs/>
                <w:sz w:val="20"/>
              </w:rPr>
            </w:pPr>
            <w:r w:rsidRPr="007779E2">
              <w:rPr>
                <w:iCs/>
                <w:sz w:val="20"/>
              </w:rPr>
              <w:t xml:space="preserve">RRINFQAMT </w:t>
            </w:r>
            <w:r w:rsidRPr="007779E2">
              <w:rPr>
                <w:i/>
                <w:iCs/>
                <w:sz w:val="20"/>
                <w:vertAlign w:val="subscript"/>
              </w:rPr>
              <w:t>q</w:t>
            </w:r>
          </w:p>
        </w:tc>
        <w:tc>
          <w:tcPr>
            <w:tcW w:w="386" w:type="pct"/>
          </w:tcPr>
          <w:p w14:paraId="57C3FCC2" w14:textId="77777777" w:rsidR="008C5104" w:rsidRPr="007779E2" w:rsidRDefault="008C5104" w:rsidP="008C5104">
            <w:pPr>
              <w:spacing w:after="60"/>
              <w:rPr>
                <w:iCs/>
                <w:sz w:val="20"/>
              </w:rPr>
            </w:pPr>
            <w:r w:rsidRPr="007779E2">
              <w:rPr>
                <w:iCs/>
                <w:sz w:val="20"/>
              </w:rPr>
              <w:t>$</w:t>
            </w:r>
          </w:p>
        </w:tc>
        <w:tc>
          <w:tcPr>
            <w:tcW w:w="3452" w:type="pct"/>
          </w:tcPr>
          <w:p w14:paraId="14C47805" w14:textId="77777777" w:rsidR="008C5104" w:rsidRPr="007779E2" w:rsidRDefault="008C5104" w:rsidP="000809F8">
            <w:pPr>
              <w:spacing w:after="60"/>
              <w:rPr>
                <w:iCs/>
                <w:sz w:val="20"/>
              </w:rPr>
            </w:pPr>
            <w:r w:rsidRPr="007779E2">
              <w:rPr>
                <w:i/>
                <w:iCs/>
                <w:sz w:val="20"/>
              </w:rPr>
              <w:t>Responsive Reserve Infeasible Quantity Amount per</w:t>
            </w:r>
            <w:r>
              <w:rPr>
                <w:i/>
                <w:iCs/>
                <w:sz w:val="20"/>
              </w:rPr>
              <w:t xml:space="preserve"> </w:t>
            </w:r>
            <w:r w:rsidRPr="007779E2">
              <w:rPr>
                <w:i/>
                <w:iCs/>
                <w:sz w:val="20"/>
              </w:rPr>
              <w:t>QSE</w:t>
            </w:r>
            <w:r>
              <w:rPr>
                <w:iCs/>
                <w:sz w:val="20"/>
              </w:rPr>
              <w:t>—</w:t>
            </w:r>
            <w:r w:rsidRPr="007779E2">
              <w:rPr>
                <w:iCs/>
                <w:sz w:val="20"/>
              </w:rPr>
              <w:t xml:space="preserve">The charge to QSE </w:t>
            </w:r>
            <w:r w:rsidRPr="007779E2">
              <w:rPr>
                <w:i/>
                <w:iCs/>
                <w:sz w:val="20"/>
              </w:rPr>
              <w:t>q</w:t>
            </w:r>
            <w:r w:rsidRPr="007779E2">
              <w:rPr>
                <w:iCs/>
                <w:sz w:val="20"/>
              </w:rPr>
              <w:t xml:space="preserve"> for its total capacity associated with infeasible deployment of Ancillary Service Supply Responsibilit</w:t>
            </w:r>
            <w:r>
              <w:rPr>
                <w:iCs/>
                <w:sz w:val="20"/>
              </w:rPr>
              <w:t>ies</w:t>
            </w:r>
            <w:r w:rsidRPr="007779E2">
              <w:rPr>
                <w:iCs/>
                <w:sz w:val="20"/>
              </w:rPr>
              <w:t xml:space="preserve"> for R</w:t>
            </w:r>
            <w:r>
              <w:rPr>
                <w:iCs/>
                <w:sz w:val="20"/>
              </w:rPr>
              <w:t>RS</w:t>
            </w:r>
            <w:r w:rsidRPr="007779E2">
              <w:rPr>
                <w:iCs/>
                <w:sz w:val="20"/>
              </w:rPr>
              <w:t>, for the hour.</w:t>
            </w:r>
          </w:p>
        </w:tc>
      </w:tr>
      <w:tr w:rsidR="008C5104" w:rsidRPr="007779E2" w14:paraId="08F20EA7" w14:textId="77777777" w:rsidTr="008C5104">
        <w:tc>
          <w:tcPr>
            <w:tcW w:w="1162" w:type="pct"/>
            <w:tcBorders>
              <w:top w:val="single" w:sz="4" w:space="0" w:color="auto"/>
              <w:left w:val="single" w:sz="4" w:space="0" w:color="auto"/>
              <w:bottom w:val="single" w:sz="4" w:space="0" w:color="auto"/>
              <w:right w:val="single" w:sz="4" w:space="0" w:color="auto"/>
            </w:tcBorders>
          </w:tcPr>
          <w:p w14:paraId="54B2A234" w14:textId="77777777" w:rsidR="008C5104" w:rsidRPr="007779E2" w:rsidRDefault="008C5104" w:rsidP="008C5104">
            <w:pPr>
              <w:spacing w:after="60"/>
              <w:rPr>
                <w:iCs/>
                <w:sz w:val="20"/>
              </w:rPr>
            </w:pPr>
            <w:r w:rsidRPr="007779E2">
              <w:rPr>
                <w:iCs/>
                <w:sz w:val="20"/>
              </w:rPr>
              <w:t xml:space="preserve">MCPCRR </w:t>
            </w:r>
            <w:r w:rsidRPr="007779E2">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640598CE" w14:textId="77777777" w:rsidR="008C5104" w:rsidRPr="007779E2" w:rsidRDefault="008C5104" w:rsidP="008C5104">
            <w:pPr>
              <w:spacing w:after="60"/>
              <w:rPr>
                <w:iCs/>
                <w:sz w:val="20"/>
              </w:rPr>
            </w:pPr>
            <w:r w:rsidRPr="007779E2">
              <w:rPr>
                <w:iCs/>
                <w:sz w:val="20"/>
              </w:rPr>
              <w:t>$/MW per hour</w:t>
            </w:r>
          </w:p>
        </w:tc>
        <w:tc>
          <w:tcPr>
            <w:tcW w:w="3452" w:type="pct"/>
            <w:tcBorders>
              <w:top w:val="single" w:sz="4" w:space="0" w:color="auto"/>
              <w:left w:val="single" w:sz="4" w:space="0" w:color="auto"/>
              <w:bottom w:val="single" w:sz="4" w:space="0" w:color="auto"/>
              <w:right w:val="single" w:sz="4" w:space="0" w:color="auto"/>
            </w:tcBorders>
          </w:tcPr>
          <w:p w14:paraId="45C3F09A" w14:textId="77777777" w:rsidR="008C5104" w:rsidRPr="007779E2" w:rsidRDefault="008C5104" w:rsidP="008C5104">
            <w:pPr>
              <w:spacing w:after="60"/>
              <w:rPr>
                <w:i/>
                <w:iCs/>
                <w:sz w:val="20"/>
              </w:rPr>
            </w:pPr>
            <w:r w:rsidRPr="007779E2">
              <w:rPr>
                <w:i/>
                <w:iCs/>
                <w:sz w:val="20"/>
              </w:rPr>
              <w:t>Market Clearing Price for Capacity for Responsive Reserve in DAM</w:t>
            </w:r>
            <w:r w:rsidRPr="007779E2">
              <w:rPr>
                <w:iCs/>
                <w:sz w:val="20"/>
              </w:rPr>
              <w:t xml:space="preserve">—The DAM MCPC for </w:t>
            </w:r>
            <w:r>
              <w:rPr>
                <w:iCs/>
                <w:sz w:val="20"/>
              </w:rPr>
              <w:t>RRS</w:t>
            </w:r>
            <w:r w:rsidR="00EE4598" w:rsidRPr="007E46C9">
              <w:rPr>
                <w:iCs/>
                <w:sz w:val="20"/>
              </w:rPr>
              <w:t>,</w:t>
            </w:r>
            <w:r w:rsidRPr="007779E2">
              <w:rPr>
                <w:iCs/>
                <w:sz w:val="20"/>
              </w:rPr>
              <w:t xml:space="preserve"> for the hour.</w:t>
            </w:r>
          </w:p>
        </w:tc>
      </w:tr>
      <w:tr w:rsidR="008C5104" w:rsidRPr="007779E2" w14:paraId="12B08E43" w14:textId="77777777" w:rsidTr="008C5104">
        <w:tc>
          <w:tcPr>
            <w:tcW w:w="1162" w:type="pct"/>
            <w:tcBorders>
              <w:top w:val="single" w:sz="4" w:space="0" w:color="auto"/>
              <w:left w:val="single" w:sz="4" w:space="0" w:color="auto"/>
              <w:bottom w:val="single" w:sz="4" w:space="0" w:color="auto"/>
              <w:right w:val="single" w:sz="4" w:space="0" w:color="auto"/>
            </w:tcBorders>
          </w:tcPr>
          <w:p w14:paraId="4928D3D1" w14:textId="77777777" w:rsidR="008C5104" w:rsidRPr="007779E2" w:rsidRDefault="008C5104" w:rsidP="008C5104">
            <w:pPr>
              <w:spacing w:after="60"/>
              <w:rPr>
                <w:iCs/>
                <w:sz w:val="20"/>
              </w:rPr>
            </w:pPr>
            <w:r w:rsidRPr="007779E2">
              <w:rPr>
                <w:iCs/>
                <w:sz w:val="20"/>
              </w:rPr>
              <w:t xml:space="preserve">RRINFQ </w:t>
            </w:r>
            <w:r w:rsidRPr="007779E2">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3E52C6C7" w14:textId="77777777" w:rsidR="008C5104" w:rsidRPr="007779E2" w:rsidRDefault="008C5104" w:rsidP="008C5104">
            <w:pPr>
              <w:spacing w:after="60"/>
              <w:rPr>
                <w:iCs/>
                <w:sz w:val="20"/>
              </w:rPr>
            </w:pPr>
            <w:r w:rsidRPr="007779E2">
              <w:rPr>
                <w:iCs/>
                <w:sz w:val="20"/>
              </w:rPr>
              <w:t>MW</w:t>
            </w:r>
          </w:p>
        </w:tc>
        <w:tc>
          <w:tcPr>
            <w:tcW w:w="3452" w:type="pct"/>
            <w:tcBorders>
              <w:top w:val="single" w:sz="4" w:space="0" w:color="auto"/>
              <w:left w:val="single" w:sz="4" w:space="0" w:color="auto"/>
              <w:bottom w:val="single" w:sz="4" w:space="0" w:color="auto"/>
              <w:right w:val="single" w:sz="4" w:space="0" w:color="auto"/>
            </w:tcBorders>
          </w:tcPr>
          <w:p w14:paraId="08A08F92" w14:textId="77777777" w:rsidR="008C5104" w:rsidRPr="007779E2" w:rsidRDefault="008C5104" w:rsidP="000809F8">
            <w:pPr>
              <w:spacing w:after="60"/>
              <w:rPr>
                <w:i/>
                <w:iCs/>
                <w:sz w:val="20"/>
              </w:rPr>
            </w:pPr>
            <w:r w:rsidRPr="007779E2">
              <w:rPr>
                <w:i/>
                <w:iCs/>
                <w:sz w:val="20"/>
              </w:rPr>
              <w:t>Responsive Reserve Infeasib</w:t>
            </w:r>
            <w:r w:rsidR="000809F8">
              <w:rPr>
                <w:i/>
                <w:iCs/>
                <w:sz w:val="20"/>
              </w:rPr>
              <w:t>le</w:t>
            </w:r>
            <w:r w:rsidRPr="007779E2">
              <w:rPr>
                <w:i/>
                <w:iCs/>
                <w:sz w:val="20"/>
              </w:rPr>
              <w:t xml:space="preserve"> Quantity per QSE —</w:t>
            </w:r>
            <w:r w:rsidRPr="007779E2">
              <w:rPr>
                <w:iCs/>
                <w:sz w:val="20"/>
              </w:rPr>
              <w:t xml:space="preserve">QSE </w:t>
            </w:r>
            <w:r w:rsidRPr="007779E2">
              <w:rPr>
                <w:i/>
                <w:iCs/>
                <w:sz w:val="20"/>
              </w:rPr>
              <w:t>q</w:t>
            </w:r>
            <w:r w:rsidRPr="007779E2">
              <w:rPr>
                <w:iCs/>
                <w:sz w:val="20"/>
              </w:rPr>
              <w:t xml:space="preserve">’s total capacity associated with </w:t>
            </w:r>
            <w:r>
              <w:rPr>
                <w:iCs/>
                <w:sz w:val="20"/>
              </w:rPr>
              <w:t>infeasible</w:t>
            </w:r>
            <w:r w:rsidRPr="007779E2">
              <w:rPr>
                <w:i/>
                <w:iCs/>
                <w:sz w:val="20"/>
              </w:rPr>
              <w:t xml:space="preserve"> </w:t>
            </w:r>
            <w:r w:rsidRPr="007779E2">
              <w:rPr>
                <w:iCs/>
                <w:sz w:val="20"/>
              </w:rPr>
              <w:t>Ancilla</w:t>
            </w:r>
            <w:r>
              <w:rPr>
                <w:iCs/>
                <w:sz w:val="20"/>
              </w:rPr>
              <w:t>ry Service Supply Responsibilities</w:t>
            </w:r>
            <w:r>
              <w:rPr>
                <w:i/>
                <w:iCs/>
                <w:sz w:val="20"/>
              </w:rPr>
              <w:t xml:space="preserve"> </w:t>
            </w:r>
            <w:r w:rsidRPr="007779E2">
              <w:rPr>
                <w:iCs/>
                <w:sz w:val="20"/>
              </w:rPr>
              <w:t xml:space="preserve">for </w:t>
            </w:r>
            <w:r>
              <w:rPr>
                <w:iCs/>
                <w:sz w:val="20"/>
              </w:rPr>
              <w:t>RRS</w:t>
            </w:r>
            <w:r w:rsidRPr="007779E2">
              <w:rPr>
                <w:iCs/>
                <w:sz w:val="20"/>
              </w:rPr>
              <w:t>, for the hour.</w:t>
            </w:r>
          </w:p>
        </w:tc>
      </w:tr>
      <w:tr w:rsidR="008C5104" w:rsidRPr="007779E2" w14:paraId="5004C4AC" w14:textId="77777777" w:rsidTr="008C5104">
        <w:tc>
          <w:tcPr>
            <w:tcW w:w="1162" w:type="pct"/>
            <w:tcBorders>
              <w:top w:val="single" w:sz="4" w:space="0" w:color="auto"/>
              <w:left w:val="single" w:sz="4" w:space="0" w:color="auto"/>
              <w:bottom w:val="single" w:sz="4" w:space="0" w:color="auto"/>
              <w:right w:val="single" w:sz="4" w:space="0" w:color="auto"/>
            </w:tcBorders>
          </w:tcPr>
          <w:p w14:paraId="1A4E58FD" w14:textId="77777777" w:rsidR="008C5104" w:rsidRPr="007779E2" w:rsidRDefault="008C5104" w:rsidP="008C5104">
            <w:pPr>
              <w:spacing w:after="60"/>
              <w:rPr>
                <w:i/>
                <w:iCs/>
                <w:sz w:val="20"/>
              </w:rPr>
            </w:pPr>
            <w:r>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4AB8A1AC" w14:textId="77777777" w:rsidR="008C5104" w:rsidRPr="007779E2" w:rsidRDefault="008C5104" w:rsidP="008C5104">
            <w:pPr>
              <w:spacing w:after="60"/>
              <w:rPr>
                <w:iCs/>
                <w:sz w:val="20"/>
              </w:rPr>
            </w:pPr>
            <w:r w:rsidRPr="007779E2">
              <w:rPr>
                <w:iCs/>
                <w:sz w:val="20"/>
              </w:rPr>
              <w:t>none</w:t>
            </w:r>
          </w:p>
        </w:tc>
        <w:tc>
          <w:tcPr>
            <w:tcW w:w="3452" w:type="pct"/>
            <w:tcBorders>
              <w:top w:val="single" w:sz="4" w:space="0" w:color="auto"/>
              <w:left w:val="single" w:sz="4" w:space="0" w:color="auto"/>
              <w:bottom w:val="single" w:sz="4" w:space="0" w:color="auto"/>
              <w:right w:val="single" w:sz="4" w:space="0" w:color="auto"/>
            </w:tcBorders>
          </w:tcPr>
          <w:p w14:paraId="281F336E" w14:textId="77777777" w:rsidR="008C5104" w:rsidRPr="007779E2" w:rsidRDefault="008C5104" w:rsidP="008C5104">
            <w:pPr>
              <w:spacing w:after="60"/>
              <w:rPr>
                <w:iCs/>
                <w:sz w:val="20"/>
              </w:rPr>
            </w:pPr>
            <w:r w:rsidRPr="007779E2">
              <w:rPr>
                <w:iCs/>
                <w:sz w:val="20"/>
              </w:rPr>
              <w:t>A QSE.</w:t>
            </w:r>
          </w:p>
        </w:tc>
      </w:tr>
    </w:tbl>
    <w:p w14:paraId="61F9DFC9" w14:textId="77777777" w:rsidR="008C5104" w:rsidRPr="007779E2" w:rsidRDefault="008C5104" w:rsidP="008C5104">
      <w:pPr>
        <w:spacing w:before="240" w:after="240"/>
        <w:ind w:left="1260" w:hanging="540"/>
      </w:pPr>
      <w:r w:rsidRPr="007779E2">
        <w:rPr>
          <w:iCs/>
        </w:rPr>
        <w:t>(d)</w:t>
      </w:r>
      <w:r w:rsidRPr="007779E2">
        <w:rPr>
          <w:iCs/>
        </w:rPr>
        <w:tab/>
        <w:t xml:space="preserve">For Non-Spin, if applicable: </w:t>
      </w:r>
    </w:p>
    <w:p w14:paraId="4A0B1209" w14:textId="77777777" w:rsidR="008C5104" w:rsidRPr="000468AC" w:rsidRDefault="008C5104" w:rsidP="008C5104">
      <w:pPr>
        <w:ind w:left="720" w:firstLine="720"/>
        <w:rPr>
          <w:b/>
        </w:rPr>
      </w:pPr>
      <w:r w:rsidRPr="000468AC">
        <w:rPr>
          <w:b/>
        </w:rPr>
        <w:t xml:space="preserve">NSINFQAMT </w:t>
      </w:r>
      <w:r w:rsidRPr="000468AC">
        <w:rPr>
          <w:b/>
          <w:i/>
          <w:vertAlign w:val="subscript"/>
        </w:rPr>
        <w:t>q</w:t>
      </w:r>
      <w:r w:rsidRPr="000468AC">
        <w:rPr>
          <w:b/>
        </w:rPr>
        <w:t xml:space="preserve"> =  MCPCNS </w:t>
      </w:r>
      <w:r w:rsidRPr="000468AC">
        <w:rPr>
          <w:b/>
          <w:i/>
          <w:vertAlign w:val="subscript"/>
        </w:rPr>
        <w:t>DAM</w:t>
      </w:r>
      <w:r w:rsidRPr="000468AC">
        <w:rPr>
          <w:b/>
        </w:rPr>
        <w:t xml:space="preserve"> * NSINFQ </w:t>
      </w:r>
      <w:r w:rsidRPr="000468AC">
        <w:rPr>
          <w:b/>
          <w:i/>
          <w:vertAlign w:val="subscript"/>
        </w:rPr>
        <w:t>q</w:t>
      </w:r>
    </w:p>
    <w:p w14:paraId="25BFD251" w14:textId="77777777" w:rsidR="008C5104" w:rsidRPr="007779E2" w:rsidRDefault="008C5104" w:rsidP="008C5104"/>
    <w:p w14:paraId="4AF4283F" w14:textId="77777777" w:rsidR="008C5104" w:rsidRPr="007779E2" w:rsidRDefault="008C5104" w:rsidP="008C5104">
      <w:r w:rsidRPr="007779E2">
        <w:t>The above variables are defined as follows:</w:t>
      </w:r>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6"/>
        <w:gridCol w:w="739"/>
        <w:gridCol w:w="6512"/>
      </w:tblGrid>
      <w:tr w:rsidR="008C5104" w:rsidRPr="007779E2" w14:paraId="4CD28E73" w14:textId="77777777" w:rsidTr="002F0DFA">
        <w:tc>
          <w:tcPr>
            <w:tcW w:w="1154" w:type="pct"/>
          </w:tcPr>
          <w:p w14:paraId="13B8C2EB" w14:textId="77777777" w:rsidR="008C5104" w:rsidRPr="007779E2" w:rsidRDefault="008C5104" w:rsidP="008C5104">
            <w:pPr>
              <w:spacing w:after="240"/>
              <w:rPr>
                <w:b/>
                <w:iCs/>
                <w:sz w:val="20"/>
              </w:rPr>
            </w:pPr>
            <w:r w:rsidRPr="007779E2">
              <w:rPr>
                <w:b/>
                <w:iCs/>
                <w:sz w:val="20"/>
              </w:rPr>
              <w:t>Variable</w:t>
            </w:r>
          </w:p>
        </w:tc>
        <w:tc>
          <w:tcPr>
            <w:tcW w:w="392" w:type="pct"/>
          </w:tcPr>
          <w:p w14:paraId="321A7688" w14:textId="77777777" w:rsidR="008C5104" w:rsidRPr="007779E2" w:rsidRDefault="008C5104" w:rsidP="008C5104">
            <w:pPr>
              <w:spacing w:after="240"/>
              <w:rPr>
                <w:b/>
                <w:iCs/>
                <w:sz w:val="20"/>
              </w:rPr>
            </w:pPr>
            <w:r w:rsidRPr="007779E2">
              <w:rPr>
                <w:b/>
                <w:iCs/>
                <w:sz w:val="20"/>
              </w:rPr>
              <w:t>Unit</w:t>
            </w:r>
          </w:p>
        </w:tc>
        <w:tc>
          <w:tcPr>
            <w:tcW w:w="3454" w:type="pct"/>
          </w:tcPr>
          <w:p w14:paraId="3C420BFC" w14:textId="77777777" w:rsidR="008C5104" w:rsidRPr="007779E2" w:rsidRDefault="008C5104" w:rsidP="008C5104">
            <w:pPr>
              <w:spacing w:after="240"/>
              <w:rPr>
                <w:b/>
                <w:iCs/>
                <w:sz w:val="20"/>
              </w:rPr>
            </w:pPr>
            <w:r w:rsidRPr="007779E2">
              <w:rPr>
                <w:b/>
                <w:iCs/>
                <w:sz w:val="20"/>
              </w:rPr>
              <w:t>Description</w:t>
            </w:r>
          </w:p>
        </w:tc>
      </w:tr>
      <w:tr w:rsidR="008C5104" w:rsidRPr="007779E2" w14:paraId="4A3555E3" w14:textId="77777777" w:rsidTr="002F0DFA">
        <w:tc>
          <w:tcPr>
            <w:tcW w:w="1154" w:type="pct"/>
          </w:tcPr>
          <w:p w14:paraId="44AFABB1" w14:textId="77777777" w:rsidR="008C5104" w:rsidRPr="007779E2" w:rsidRDefault="008C5104" w:rsidP="008C5104">
            <w:pPr>
              <w:spacing w:after="60"/>
              <w:rPr>
                <w:iCs/>
                <w:sz w:val="20"/>
              </w:rPr>
            </w:pPr>
            <w:r w:rsidRPr="007779E2">
              <w:rPr>
                <w:iCs/>
                <w:sz w:val="20"/>
              </w:rPr>
              <w:t xml:space="preserve">NSINFQAMT </w:t>
            </w:r>
            <w:r w:rsidRPr="007779E2">
              <w:rPr>
                <w:i/>
                <w:iCs/>
                <w:sz w:val="20"/>
                <w:vertAlign w:val="subscript"/>
              </w:rPr>
              <w:t>q</w:t>
            </w:r>
          </w:p>
        </w:tc>
        <w:tc>
          <w:tcPr>
            <w:tcW w:w="392" w:type="pct"/>
          </w:tcPr>
          <w:p w14:paraId="225A7DF1" w14:textId="77777777" w:rsidR="008C5104" w:rsidRPr="007779E2" w:rsidRDefault="008C5104" w:rsidP="008C5104">
            <w:pPr>
              <w:spacing w:after="60"/>
              <w:rPr>
                <w:iCs/>
                <w:sz w:val="20"/>
              </w:rPr>
            </w:pPr>
            <w:r w:rsidRPr="007779E2">
              <w:rPr>
                <w:iCs/>
                <w:sz w:val="20"/>
              </w:rPr>
              <w:t>$</w:t>
            </w:r>
          </w:p>
        </w:tc>
        <w:tc>
          <w:tcPr>
            <w:tcW w:w="3454" w:type="pct"/>
          </w:tcPr>
          <w:p w14:paraId="049E5BD3" w14:textId="77777777" w:rsidR="008C5104" w:rsidRPr="007779E2" w:rsidRDefault="008C5104" w:rsidP="008C5104">
            <w:pPr>
              <w:spacing w:after="60"/>
              <w:rPr>
                <w:iCs/>
                <w:sz w:val="20"/>
              </w:rPr>
            </w:pPr>
            <w:r w:rsidRPr="007779E2">
              <w:rPr>
                <w:i/>
                <w:iCs/>
                <w:sz w:val="20"/>
              </w:rPr>
              <w:t>Non-Spin Infeasible Quantity Amount per QSE</w:t>
            </w:r>
            <w:r w:rsidRPr="007779E2">
              <w:rPr>
                <w:iCs/>
                <w:sz w:val="20"/>
              </w:rPr>
              <w:t xml:space="preserve">—The charge to QSE </w:t>
            </w:r>
            <w:r w:rsidRPr="007779E2">
              <w:rPr>
                <w:i/>
                <w:iCs/>
                <w:sz w:val="20"/>
              </w:rPr>
              <w:t>q</w:t>
            </w:r>
            <w:r w:rsidRPr="007779E2">
              <w:rPr>
                <w:iCs/>
                <w:sz w:val="20"/>
              </w:rPr>
              <w:t xml:space="preserve"> for its total capacity associated with infeasible deployment of Ancillary Service Supply Responsibilit</w:t>
            </w:r>
            <w:r>
              <w:rPr>
                <w:iCs/>
                <w:sz w:val="20"/>
              </w:rPr>
              <w:t>ies</w:t>
            </w:r>
            <w:r w:rsidRPr="007779E2">
              <w:rPr>
                <w:iCs/>
                <w:sz w:val="20"/>
              </w:rPr>
              <w:t xml:space="preserve"> for Non-Spin, for the hour.</w:t>
            </w:r>
          </w:p>
        </w:tc>
      </w:tr>
      <w:tr w:rsidR="008C5104" w:rsidRPr="007779E2" w14:paraId="1A61902A" w14:textId="77777777" w:rsidTr="002F0DFA">
        <w:tc>
          <w:tcPr>
            <w:tcW w:w="1154" w:type="pct"/>
            <w:tcBorders>
              <w:top w:val="single" w:sz="4" w:space="0" w:color="auto"/>
              <w:left w:val="single" w:sz="4" w:space="0" w:color="auto"/>
              <w:bottom w:val="single" w:sz="4" w:space="0" w:color="auto"/>
              <w:right w:val="single" w:sz="4" w:space="0" w:color="auto"/>
            </w:tcBorders>
          </w:tcPr>
          <w:p w14:paraId="7B2CD40E" w14:textId="77777777" w:rsidR="008C5104" w:rsidRPr="007779E2" w:rsidRDefault="008C5104" w:rsidP="008C5104">
            <w:pPr>
              <w:spacing w:after="60"/>
              <w:rPr>
                <w:iCs/>
                <w:sz w:val="20"/>
              </w:rPr>
            </w:pPr>
            <w:r w:rsidRPr="007779E2">
              <w:rPr>
                <w:iCs/>
                <w:sz w:val="20"/>
              </w:rPr>
              <w:t xml:space="preserve">MCPCNS </w:t>
            </w:r>
            <w:r w:rsidRPr="007779E2">
              <w:rPr>
                <w:i/>
                <w:iCs/>
                <w:sz w:val="20"/>
                <w:vertAlign w:val="subscript"/>
              </w:rPr>
              <w:t>DAM</w:t>
            </w:r>
          </w:p>
        </w:tc>
        <w:tc>
          <w:tcPr>
            <w:tcW w:w="392" w:type="pct"/>
            <w:tcBorders>
              <w:top w:val="single" w:sz="4" w:space="0" w:color="auto"/>
              <w:left w:val="single" w:sz="4" w:space="0" w:color="auto"/>
              <w:bottom w:val="single" w:sz="4" w:space="0" w:color="auto"/>
              <w:right w:val="single" w:sz="4" w:space="0" w:color="auto"/>
            </w:tcBorders>
          </w:tcPr>
          <w:p w14:paraId="01D02130" w14:textId="77777777" w:rsidR="008C5104" w:rsidRPr="007779E2" w:rsidRDefault="008C5104" w:rsidP="008C5104">
            <w:pPr>
              <w:spacing w:after="60"/>
              <w:rPr>
                <w:iCs/>
                <w:sz w:val="20"/>
              </w:rPr>
            </w:pPr>
            <w:r w:rsidRPr="007779E2">
              <w:rPr>
                <w:iCs/>
                <w:sz w:val="20"/>
              </w:rPr>
              <w:t>$/MW per hour</w:t>
            </w:r>
          </w:p>
        </w:tc>
        <w:tc>
          <w:tcPr>
            <w:tcW w:w="3454" w:type="pct"/>
            <w:tcBorders>
              <w:top w:val="single" w:sz="4" w:space="0" w:color="auto"/>
              <w:left w:val="single" w:sz="4" w:space="0" w:color="auto"/>
              <w:bottom w:val="single" w:sz="4" w:space="0" w:color="auto"/>
              <w:right w:val="single" w:sz="4" w:space="0" w:color="auto"/>
            </w:tcBorders>
          </w:tcPr>
          <w:p w14:paraId="2895EAE8" w14:textId="77777777" w:rsidR="008C5104" w:rsidRPr="007779E2" w:rsidRDefault="008C5104" w:rsidP="008C5104">
            <w:pPr>
              <w:spacing w:after="60"/>
              <w:rPr>
                <w:i/>
                <w:iCs/>
                <w:sz w:val="20"/>
              </w:rPr>
            </w:pPr>
            <w:r w:rsidRPr="007779E2">
              <w:rPr>
                <w:i/>
                <w:iCs/>
                <w:sz w:val="20"/>
              </w:rPr>
              <w:t>Market Clearing Price for Capacity for Non-Spin in DAM</w:t>
            </w:r>
            <w:r w:rsidRPr="007779E2">
              <w:rPr>
                <w:iCs/>
                <w:sz w:val="20"/>
              </w:rPr>
              <w:t>—The DAM MCPC for Non-Spin</w:t>
            </w:r>
            <w:r w:rsidR="00EE4598" w:rsidRPr="007E46C9">
              <w:rPr>
                <w:iCs/>
                <w:sz w:val="20"/>
              </w:rPr>
              <w:t>,</w:t>
            </w:r>
            <w:r w:rsidRPr="007779E2">
              <w:rPr>
                <w:iCs/>
                <w:sz w:val="20"/>
              </w:rPr>
              <w:t xml:space="preserve"> for the hour.</w:t>
            </w:r>
          </w:p>
        </w:tc>
      </w:tr>
      <w:tr w:rsidR="008C5104" w:rsidRPr="007779E2" w14:paraId="5D857DCF" w14:textId="77777777" w:rsidTr="002F0DFA">
        <w:tc>
          <w:tcPr>
            <w:tcW w:w="1154" w:type="pct"/>
            <w:tcBorders>
              <w:top w:val="single" w:sz="4" w:space="0" w:color="auto"/>
              <w:left w:val="single" w:sz="4" w:space="0" w:color="auto"/>
              <w:bottom w:val="single" w:sz="4" w:space="0" w:color="auto"/>
              <w:right w:val="single" w:sz="4" w:space="0" w:color="auto"/>
            </w:tcBorders>
          </w:tcPr>
          <w:p w14:paraId="2BE4697C" w14:textId="77777777" w:rsidR="008C5104" w:rsidRPr="007779E2" w:rsidRDefault="008C5104" w:rsidP="008C5104">
            <w:pPr>
              <w:spacing w:after="60"/>
              <w:rPr>
                <w:iCs/>
                <w:sz w:val="20"/>
              </w:rPr>
            </w:pPr>
            <w:r w:rsidRPr="007779E2">
              <w:rPr>
                <w:iCs/>
                <w:sz w:val="20"/>
              </w:rPr>
              <w:t xml:space="preserve">NSINFQ </w:t>
            </w:r>
            <w:r w:rsidRPr="007779E2">
              <w:rPr>
                <w:i/>
                <w:iCs/>
                <w:sz w:val="20"/>
                <w:vertAlign w:val="subscript"/>
              </w:rPr>
              <w:t>q</w:t>
            </w:r>
          </w:p>
        </w:tc>
        <w:tc>
          <w:tcPr>
            <w:tcW w:w="392" w:type="pct"/>
            <w:tcBorders>
              <w:top w:val="single" w:sz="4" w:space="0" w:color="auto"/>
              <w:left w:val="single" w:sz="4" w:space="0" w:color="auto"/>
              <w:bottom w:val="single" w:sz="4" w:space="0" w:color="auto"/>
              <w:right w:val="single" w:sz="4" w:space="0" w:color="auto"/>
            </w:tcBorders>
          </w:tcPr>
          <w:p w14:paraId="74AF85CC" w14:textId="77777777" w:rsidR="008C5104" w:rsidRPr="007779E2" w:rsidRDefault="008C5104" w:rsidP="008C5104">
            <w:pPr>
              <w:spacing w:after="60"/>
              <w:rPr>
                <w:iCs/>
                <w:sz w:val="20"/>
              </w:rPr>
            </w:pPr>
            <w:r w:rsidRPr="007779E2">
              <w:rPr>
                <w:iCs/>
                <w:sz w:val="20"/>
              </w:rPr>
              <w:t>MW</w:t>
            </w:r>
          </w:p>
        </w:tc>
        <w:tc>
          <w:tcPr>
            <w:tcW w:w="3454" w:type="pct"/>
            <w:tcBorders>
              <w:top w:val="single" w:sz="4" w:space="0" w:color="auto"/>
              <w:left w:val="single" w:sz="4" w:space="0" w:color="auto"/>
              <w:bottom w:val="single" w:sz="4" w:space="0" w:color="auto"/>
              <w:right w:val="single" w:sz="4" w:space="0" w:color="auto"/>
            </w:tcBorders>
          </w:tcPr>
          <w:p w14:paraId="0CACD574" w14:textId="77777777" w:rsidR="008C5104" w:rsidRPr="007779E2" w:rsidRDefault="008C5104" w:rsidP="000809F8">
            <w:pPr>
              <w:spacing w:after="60"/>
              <w:rPr>
                <w:i/>
                <w:iCs/>
                <w:sz w:val="20"/>
              </w:rPr>
            </w:pPr>
            <w:r w:rsidRPr="007779E2">
              <w:rPr>
                <w:i/>
                <w:iCs/>
                <w:sz w:val="20"/>
              </w:rPr>
              <w:t>Non-Spin Infeasib</w:t>
            </w:r>
            <w:r w:rsidR="000809F8">
              <w:rPr>
                <w:i/>
                <w:iCs/>
                <w:sz w:val="20"/>
              </w:rPr>
              <w:t>le</w:t>
            </w:r>
            <w:r w:rsidRPr="007779E2">
              <w:rPr>
                <w:i/>
                <w:iCs/>
                <w:sz w:val="20"/>
              </w:rPr>
              <w:t xml:space="preserve"> Quantity per QSE—</w:t>
            </w:r>
            <w:r w:rsidRPr="007779E2">
              <w:rPr>
                <w:iCs/>
                <w:sz w:val="20"/>
              </w:rPr>
              <w:t xml:space="preserve">QSE </w:t>
            </w:r>
            <w:r w:rsidRPr="007779E2">
              <w:rPr>
                <w:i/>
                <w:iCs/>
                <w:sz w:val="20"/>
              </w:rPr>
              <w:t>q</w:t>
            </w:r>
            <w:r w:rsidRPr="007779E2">
              <w:rPr>
                <w:iCs/>
                <w:sz w:val="20"/>
              </w:rPr>
              <w:t xml:space="preserve">’s total capacity associated with </w:t>
            </w:r>
            <w:r>
              <w:rPr>
                <w:iCs/>
                <w:sz w:val="20"/>
              </w:rPr>
              <w:t xml:space="preserve">infeasible </w:t>
            </w:r>
            <w:r w:rsidRPr="007779E2">
              <w:rPr>
                <w:iCs/>
                <w:sz w:val="20"/>
              </w:rPr>
              <w:t>Ancillary Service Supply Responsibilit</w:t>
            </w:r>
            <w:r>
              <w:rPr>
                <w:iCs/>
                <w:sz w:val="20"/>
              </w:rPr>
              <w:t>ies</w:t>
            </w:r>
            <w:r w:rsidRPr="007779E2">
              <w:rPr>
                <w:iCs/>
                <w:sz w:val="20"/>
              </w:rPr>
              <w:t xml:space="preserve"> for Non-Spin, for the hour.</w:t>
            </w:r>
          </w:p>
        </w:tc>
      </w:tr>
      <w:tr w:rsidR="008C5104" w:rsidRPr="007779E2" w14:paraId="1C147B1E" w14:textId="77777777" w:rsidTr="002F0DFA">
        <w:tc>
          <w:tcPr>
            <w:tcW w:w="1154" w:type="pct"/>
            <w:tcBorders>
              <w:top w:val="single" w:sz="4" w:space="0" w:color="auto"/>
              <w:left w:val="single" w:sz="4" w:space="0" w:color="auto"/>
              <w:bottom w:val="single" w:sz="4" w:space="0" w:color="auto"/>
              <w:right w:val="single" w:sz="4" w:space="0" w:color="auto"/>
            </w:tcBorders>
          </w:tcPr>
          <w:p w14:paraId="653850A7" w14:textId="77777777" w:rsidR="008C5104" w:rsidRPr="007779E2" w:rsidRDefault="008C5104" w:rsidP="008C5104">
            <w:pPr>
              <w:spacing w:after="60"/>
              <w:rPr>
                <w:i/>
                <w:iCs/>
                <w:sz w:val="20"/>
              </w:rPr>
            </w:pPr>
            <w:r w:rsidRPr="007779E2">
              <w:rPr>
                <w:i/>
                <w:iCs/>
                <w:sz w:val="20"/>
              </w:rPr>
              <w:t>q</w:t>
            </w:r>
          </w:p>
        </w:tc>
        <w:tc>
          <w:tcPr>
            <w:tcW w:w="392" w:type="pct"/>
            <w:tcBorders>
              <w:top w:val="single" w:sz="4" w:space="0" w:color="auto"/>
              <w:left w:val="single" w:sz="4" w:space="0" w:color="auto"/>
              <w:bottom w:val="single" w:sz="4" w:space="0" w:color="auto"/>
              <w:right w:val="single" w:sz="4" w:space="0" w:color="auto"/>
            </w:tcBorders>
          </w:tcPr>
          <w:p w14:paraId="3C7B0A6F" w14:textId="77777777" w:rsidR="008C5104" w:rsidRPr="007779E2" w:rsidRDefault="008C5104" w:rsidP="008C5104">
            <w:pPr>
              <w:spacing w:after="60"/>
              <w:rPr>
                <w:iCs/>
                <w:sz w:val="20"/>
              </w:rPr>
            </w:pPr>
            <w:r w:rsidRPr="007779E2">
              <w:rPr>
                <w:iCs/>
                <w:sz w:val="20"/>
              </w:rPr>
              <w:t>none</w:t>
            </w:r>
          </w:p>
        </w:tc>
        <w:tc>
          <w:tcPr>
            <w:tcW w:w="3454" w:type="pct"/>
            <w:tcBorders>
              <w:top w:val="single" w:sz="4" w:space="0" w:color="auto"/>
              <w:left w:val="single" w:sz="4" w:space="0" w:color="auto"/>
              <w:bottom w:val="single" w:sz="4" w:space="0" w:color="auto"/>
              <w:right w:val="single" w:sz="4" w:space="0" w:color="auto"/>
            </w:tcBorders>
          </w:tcPr>
          <w:p w14:paraId="574C1027" w14:textId="77777777" w:rsidR="008C5104" w:rsidRPr="007779E2" w:rsidRDefault="008C5104" w:rsidP="008C5104">
            <w:pPr>
              <w:spacing w:after="60"/>
              <w:rPr>
                <w:iCs/>
                <w:sz w:val="20"/>
              </w:rPr>
            </w:pPr>
            <w:r w:rsidRPr="007779E2">
              <w:rPr>
                <w:iCs/>
                <w:sz w:val="20"/>
              </w:rPr>
              <w:t>A QSE.</w:t>
            </w:r>
          </w:p>
        </w:tc>
      </w:tr>
    </w:tbl>
    <w:p w14:paraId="6C1D4F06" w14:textId="77777777" w:rsidR="002F0DFA" w:rsidRPr="00BA035F" w:rsidRDefault="002F0DFA" w:rsidP="002F0DFA">
      <w:pPr>
        <w:spacing w:before="240" w:after="240"/>
        <w:ind w:left="1440" w:hanging="720"/>
      </w:pPr>
      <w:r>
        <w:rPr>
          <w:iCs/>
        </w:rPr>
        <w:t>(e)</w:t>
      </w:r>
      <w:r>
        <w:rPr>
          <w:iCs/>
        </w:rPr>
        <w:tab/>
      </w:r>
      <w:r w:rsidRPr="00BA035F">
        <w:rPr>
          <w:iCs/>
        </w:rPr>
        <w:t xml:space="preserve">For ECRS, if applicable: </w:t>
      </w:r>
    </w:p>
    <w:p w14:paraId="3B6D799D" w14:textId="77777777" w:rsidR="002F0DFA" w:rsidRPr="00BA035F" w:rsidRDefault="002F0DFA" w:rsidP="002F0DFA">
      <w:pPr>
        <w:ind w:left="720" w:firstLine="720"/>
        <w:rPr>
          <w:b/>
          <w:vertAlign w:val="subscript"/>
        </w:rPr>
      </w:pPr>
      <w:r w:rsidRPr="00BA035F">
        <w:rPr>
          <w:b/>
        </w:rPr>
        <w:t xml:space="preserve">ECRINFQAMT </w:t>
      </w:r>
      <w:r w:rsidRPr="00BA035F">
        <w:rPr>
          <w:b/>
          <w:i/>
          <w:vertAlign w:val="subscript"/>
        </w:rPr>
        <w:t>q</w:t>
      </w:r>
      <w:r w:rsidRPr="00BA035F">
        <w:rPr>
          <w:b/>
        </w:rPr>
        <w:t xml:space="preserve"> =  MCPCECR </w:t>
      </w:r>
      <w:r w:rsidRPr="00BA035F">
        <w:rPr>
          <w:b/>
          <w:i/>
          <w:vertAlign w:val="subscript"/>
        </w:rPr>
        <w:t>DAM</w:t>
      </w:r>
      <w:r w:rsidRPr="00BA035F">
        <w:rPr>
          <w:b/>
        </w:rPr>
        <w:t xml:space="preserve"> * ECRINFQ </w:t>
      </w:r>
      <w:r w:rsidRPr="00BA035F">
        <w:rPr>
          <w:b/>
          <w:i/>
          <w:vertAlign w:val="subscript"/>
        </w:rPr>
        <w:t>q</w:t>
      </w:r>
    </w:p>
    <w:p w14:paraId="71DF4D2E" w14:textId="77777777" w:rsidR="002F0DFA" w:rsidRPr="00BA035F" w:rsidRDefault="002F0DFA" w:rsidP="002F0DFA">
      <w:pPr>
        <w:ind w:firstLine="720"/>
      </w:pPr>
    </w:p>
    <w:p w14:paraId="1EA0D30D" w14:textId="77777777" w:rsidR="002F0DFA" w:rsidRPr="00BA035F" w:rsidRDefault="002F0DFA" w:rsidP="002F0DFA">
      <w:r w:rsidRPr="00BA035F">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2F0DFA" w:rsidRPr="00BA035F" w14:paraId="42B144A3" w14:textId="77777777" w:rsidTr="00B82144">
        <w:tc>
          <w:tcPr>
            <w:tcW w:w="1162" w:type="pct"/>
          </w:tcPr>
          <w:p w14:paraId="1ACD5E96" w14:textId="77777777" w:rsidR="002F0DFA" w:rsidRPr="00BA035F" w:rsidRDefault="002F0DFA" w:rsidP="00B82144">
            <w:pPr>
              <w:spacing w:after="240"/>
              <w:rPr>
                <w:b/>
                <w:iCs/>
                <w:sz w:val="20"/>
              </w:rPr>
            </w:pPr>
            <w:r w:rsidRPr="00BA035F">
              <w:rPr>
                <w:b/>
                <w:iCs/>
                <w:sz w:val="20"/>
              </w:rPr>
              <w:t>Variable</w:t>
            </w:r>
          </w:p>
        </w:tc>
        <w:tc>
          <w:tcPr>
            <w:tcW w:w="386" w:type="pct"/>
          </w:tcPr>
          <w:p w14:paraId="53B25132" w14:textId="77777777" w:rsidR="002F0DFA" w:rsidRPr="00BA035F" w:rsidRDefault="002F0DFA" w:rsidP="00B82144">
            <w:pPr>
              <w:spacing w:after="240"/>
              <w:rPr>
                <w:b/>
                <w:iCs/>
                <w:sz w:val="20"/>
              </w:rPr>
            </w:pPr>
            <w:r w:rsidRPr="00BA035F">
              <w:rPr>
                <w:b/>
                <w:iCs/>
                <w:sz w:val="20"/>
              </w:rPr>
              <w:t>Unit</w:t>
            </w:r>
          </w:p>
        </w:tc>
        <w:tc>
          <w:tcPr>
            <w:tcW w:w="3452" w:type="pct"/>
          </w:tcPr>
          <w:p w14:paraId="7AE1C78C" w14:textId="77777777" w:rsidR="002F0DFA" w:rsidRPr="00BA035F" w:rsidRDefault="002F0DFA" w:rsidP="00B82144">
            <w:pPr>
              <w:spacing w:after="240"/>
              <w:rPr>
                <w:b/>
                <w:iCs/>
                <w:sz w:val="20"/>
              </w:rPr>
            </w:pPr>
            <w:r w:rsidRPr="00BA035F">
              <w:rPr>
                <w:b/>
                <w:iCs/>
                <w:sz w:val="20"/>
              </w:rPr>
              <w:t>Description</w:t>
            </w:r>
          </w:p>
        </w:tc>
      </w:tr>
      <w:tr w:rsidR="002F0DFA" w:rsidRPr="00BA035F" w14:paraId="324EF5D3" w14:textId="77777777" w:rsidTr="00B82144">
        <w:tc>
          <w:tcPr>
            <w:tcW w:w="1162" w:type="pct"/>
          </w:tcPr>
          <w:p w14:paraId="25A307F2" w14:textId="77777777" w:rsidR="002F0DFA" w:rsidRPr="00BA035F" w:rsidRDefault="002F0DFA" w:rsidP="00B82144">
            <w:pPr>
              <w:spacing w:after="60"/>
              <w:rPr>
                <w:iCs/>
                <w:sz w:val="20"/>
              </w:rPr>
            </w:pPr>
            <w:r w:rsidRPr="00BA035F">
              <w:rPr>
                <w:iCs/>
                <w:sz w:val="20"/>
              </w:rPr>
              <w:t xml:space="preserve">ECRINFQAMT </w:t>
            </w:r>
            <w:r w:rsidRPr="00BA035F">
              <w:rPr>
                <w:i/>
                <w:iCs/>
                <w:sz w:val="20"/>
                <w:vertAlign w:val="subscript"/>
              </w:rPr>
              <w:t>q</w:t>
            </w:r>
          </w:p>
        </w:tc>
        <w:tc>
          <w:tcPr>
            <w:tcW w:w="386" w:type="pct"/>
          </w:tcPr>
          <w:p w14:paraId="7A748383" w14:textId="77777777" w:rsidR="002F0DFA" w:rsidRPr="00BA035F" w:rsidRDefault="002F0DFA" w:rsidP="00B82144">
            <w:pPr>
              <w:spacing w:after="60"/>
              <w:rPr>
                <w:iCs/>
                <w:sz w:val="20"/>
              </w:rPr>
            </w:pPr>
            <w:r w:rsidRPr="00BA035F">
              <w:rPr>
                <w:iCs/>
                <w:sz w:val="20"/>
              </w:rPr>
              <w:t>$</w:t>
            </w:r>
          </w:p>
        </w:tc>
        <w:tc>
          <w:tcPr>
            <w:tcW w:w="3452" w:type="pct"/>
          </w:tcPr>
          <w:p w14:paraId="62E6260F" w14:textId="77777777" w:rsidR="002F0DFA" w:rsidRPr="00BA035F" w:rsidRDefault="002F0DFA" w:rsidP="00B82144">
            <w:pPr>
              <w:spacing w:after="60"/>
              <w:rPr>
                <w:iCs/>
                <w:sz w:val="20"/>
              </w:rPr>
            </w:pPr>
            <w:r w:rsidRPr="00BA035F">
              <w:rPr>
                <w:i/>
                <w:iCs/>
                <w:sz w:val="20"/>
              </w:rPr>
              <w:t>ERCOT Contingency Reserve Service Infeasible Quantity Amount per QSE</w:t>
            </w:r>
            <w:r w:rsidRPr="00BA035F">
              <w:rPr>
                <w:iCs/>
                <w:sz w:val="20"/>
              </w:rPr>
              <w:t xml:space="preserve">—The charge to QSE </w:t>
            </w:r>
            <w:r w:rsidRPr="00BA035F">
              <w:rPr>
                <w:i/>
                <w:iCs/>
                <w:sz w:val="20"/>
              </w:rPr>
              <w:t>q</w:t>
            </w:r>
            <w:r w:rsidRPr="00BA035F">
              <w:rPr>
                <w:iCs/>
                <w:sz w:val="20"/>
              </w:rPr>
              <w:t xml:space="preserve"> for its total capacity associated with infeasible deployment of Ancillary Service Supply Responsibilities for ECRS, for the hour.</w:t>
            </w:r>
          </w:p>
        </w:tc>
      </w:tr>
      <w:tr w:rsidR="002F0DFA" w:rsidRPr="00BA035F" w14:paraId="75F11DB2" w14:textId="77777777" w:rsidTr="00B82144">
        <w:tc>
          <w:tcPr>
            <w:tcW w:w="1162" w:type="pct"/>
            <w:tcBorders>
              <w:top w:val="single" w:sz="4" w:space="0" w:color="auto"/>
              <w:left w:val="single" w:sz="4" w:space="0" w:color="auto"/>
              <w:bottom w:val="single" w:sz="4" w:space="0" w:color="auto"/>
              <w:right w:val="single" w:sz="4" w:space="0" w:color="auto"/>
            </w:tcBorders>
          </w:tcPr>
          <w:p w14:paraId="1A397A78" w14:textId="77777777" w:rsidR="002F0DFA" w:rsidRPr="00BA035F" w:rsidRDefault="002F0DFA" w:rsidP="00B82144">
            <w:pPr>
              <w:spacing w:after="60"/>
              <w:rPr>
                <w:iCs/>
                <w:sz w:val="20"/>
              </w:rPr>
            </w:pPr>
            <w:r w:rsidRPr="00BA035F">
              <w:rPr>
                <w:iCs/>
                <w:sz w:val="20"/>
              </w:rPr>
              <w:t xml:space="preserve">MCPCECR </w:t>
            </w:r>
            <w:r w:rsidRPr="00BA035F">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2A1C06C4" w14:textId="77777777" w:rsidR="002F0DFA" w:rsidRPr="00BA035F" w:rsidRDefault="002F0DFA" w:rsidP="00B82144">
            <w:pPr>
              <w:spacing w:after="60"/>
              <w:rPr>
                <w:iCs/>
                <w:sz w:val="20"/>
              </w:rPr>
            </w:pPr>
            <w:r w:rsidRPr="00BA035F">
              <w:rPr>
                <w:iCs/>
                <w:sz w:val="20"/>
              </w:rPr>
              <w:t>$/MW per hour</w:t>
            </w:r>
          </w:p>
        </w:tc>
        <w:tc>
          <w:tcPr>
            <w:tcW w:w="3452" w:type="pct"/>
            <w:tcBorders>
              <w:top w:val="single" w:sz="4" w:space="0" w:color="auto"/>
              <w:left w:val="single" w:sz="4" w:space="0" w:color="auto"/>
              <w:bottom w:val="single" w:sz="4" w:space="0" w:color="auto"/>
              <w:right w:val="single" w:sz="4" w:space="0" w:color="auto"/>
            </w:tcBorders>
          </w:tcPr>
          <w:p w14:paraId="103C5763" w14:textId="77777777" w:rsidR="002F0DFA" w:rsidRPr="00BA035F" w:rsidRDefault="002F0DFA" w:rsidP="00B82144">
            <w:pPr>
              <w:spacing w:after="60"/>
              <w:rPr>
                <w:i/>
                <w:iCs/>
                <w:sz w:val="20"/>
              </w:rPr>
            </w:pPr>
            <w:r w:rsidRPr="00BA035F">
              <w:rPr>
                <w:i/>
                <w:iCs/>
                <w:sz w:val="20"/>
              </w:rPr>
              <w:t>Market Clearing Price for Capacity for ERCOT Contingency Reserve Service in DAM</w:t>
            </w:r>
            <w:r w:rsidRPr="00BA035F">
              <w:rPr>
                <w:iCs/>
                <w:sz w:val="20"/>
              </w:rPr>
              <w:t>—The DAM MCPC for ECRS, for the hour.</w:t>
            </w:r>
          </w:p>
        </w:tc>
      </w:tr>
      <w:tr w:rsidR="002F0DFA" w:rsidRPr="00BA035F" w14:paraId="79F0CEBD" w14:textId="77777777" w:rsidTr="00B82144">
        <w:tc>
          <w:tcPr>
            <w:tcW w:w="1162" w:type="pct"/>
            <w:tcBorders>
              <w:top w:val="single" w:sz="4" w:space="0" w:color="auto"/>
              <w:left w:val="single" w:sz="4" w:space="0" w:color="auto"/>
              <w:bottom w:val="single" w:sz="4" w:space="0" w:color="auto"/>
              <w:right w:val="single" w:sz="4" w:space="0" w:color="auto"/>
            </w:tcBorders>
          </w:tcPr>
          <w:p w14:paraId="3E0D205D" w14:textId="77777777" w:rsidR="002F0DFA" w:rsidRPr="00BA035F" w:rsidRDefault="002F0DFA" w:rsidP="00B82144">
            <w:pPr>
              <w:spacing w:after="60"/>
              <w:rPr>
                <w:iCs/>
                <w:sz w:val="20"/>
              </w:rPr>
            </w:pPr>
            <w:r w:rsidRPr="00BA035F">
              <w:rPr>
                <w:iCs/>
                <w:sz w:val="20"/>
              </w:rPr>
              <w:lastRenderedPageBreak/>
              <w:t xml:space="preserve">ECRINFQ </w:t>
            </w:r>
            <w:r w:rsidRPr="00BA035F">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189F5C71" w14:textId="77777777" w:rsidR="002F0DFA" w:rsidRPr="00BA035F" w:rsidRDefault="002F0DFA" w:rsidP="00B82144">
            <w:pPr>
              <w:spacing w:after="60"/>
              <w:rPr>
                <w:iCs/>
                <w:sz w:val="20"/>
              </w:rPr>
            </w:pPr>
            <w:r w:rsidRPr="00BA035F">
              <w:rPr>
                <w:iCs/>
                <w:sz w:val="20"/>
              </w:rPr>
              <w:t>MW</w:t>
            </w:r>
          </w:p>
        </w:tc>
        <w:tc>
          <w:tcPr>
            <w:tcW w:w="3452" w:type="pct"/>
            <w:tcBorders>
              <w:top w:val="single" w:sz="4" w:space="0" w:color="auto"/>
              <w:left w:val="single" w:sz="4" w:space="0" w:color="auto"/>
              <w:bottom w:val="single" w:sz="4" w:space="0" w:color="auto"/>
              <w:right w:val="single" w:sz="4" w:space="0" w:color="auto"/>
            </w:tcBorders>
          </w:tcPr>
          <w:p w14:paraId="34AA078F" w14:textId="77777777" w:rsidR="002F0DFA" w:rsidRPr="00BA035F" w:rsidRDefault="002F0DFA" w:rsidP="00B82144">
            <w:pPr>
              <w:spacing w:after="60"/>
              <w:rPr>
                <w:i/>
                <w:iCs/>
                <w:sz w:val="20"/>
              </w:rPr>
            </w:pPr>
            <w:r w:rsidRPr="00BA035F">
              <w:rPr>
                <w:i/>
                <w:iCs/>
                <w:sz w:val="20"/>
              </w:rPr>
              <w:t>ERCOT Contingency Reserve Service Infeasib</w:t>
            </w:r>
            <w:r>
              <w:rPr>
                <w:i/>
                <w:iCs/>
                <w:sz w:val="20"/>
              </w:rPr>
              <w:t>le</w:t>
            </w:r>
            <w:r w:rsidRPr="00BA035F">
              <w:rPr>
                <w:i/>
                <w:iCs/>
                <w:sz w:val="20"/>
              </w:rPr>
              <w:t xml:space="preserve"> Quantity per QSE —</w:t>
            </w:r>
            <w:r w:rsidRPr="00BA035F">
              <w:rPr>
                <w:iCs/>
                <w:sz w:val="20"/>
              </w:rPr>
              <w:t xml:space="preserve">QSE </w:t>
            </w:r>
            <w:r w:rsidRPr="00BA035F">
              <w:rPr>
                <w:i/>
                <w:iCs/>
                <w:sz w:val="20"/>
              </w:rPr>
              <w:t>q</w:t>
            </w:r>
            <w:r w:rsidRPr="00BA035F">
              <w:rPr>
                <w:iCs/>
                <w:sz w:val="20"/>
              </w:rPr>
              <w:t>’s total capacity associated with infeasible</w:t>
            </w:r>
            <w:r w:rsidRPr="00BA035F">
              <w:rPr>
                <w:i/>
                <w:iCs/>
                <w:sz w:val="20"/>
              </w:rPr>
              <w:t xml:space="preserve"> </w:t>
            </w:r>
            <w:r w:rsidRPr="00BA035F">
              <w:rPr>
                <w:iCs/>
                <w:sz w:val="20"/>
              </w:rPr>
              <w:t>Ancillary Service Supply Responsibilities</w:t>
            </w:r>
            <w:r w:rsidRPr="00BA035F">
              <w:rPr>
                <w:i/>
                <w:iCs/>
                <w:sz w:val="20"/>
              </w:rPr>
              <w:t xml:space="preserve"> </w:t>
            </w:r>
            <w:r w:rsidRPr="00BA035F">
              <w:rPr>
                <w:iCs/>
                <w:sz w:val="20"/>
              </w:rPr>
              <w:t>for ECRS, for the hour.</w:t>
            </w:r>
          </w:p>
        </w:tc>
      </w:tr>
      <w:tr w:rsidR="002F0DFA" w:rsidRPr="00BA035F" w14:paraId="5B123DAF" w14:textId="77777777" w:rsidTr="00B82144">
        <w:tc>
          <w:tcPr>
            <w:tcW w:w="1162" w:type="pct"/>
            <w:tcBorders>
              <w:top w:val="single" w:sz="4" w:space="0" w:color="auto"/>
              <w:left w:val="single" w:sz="4" w:space="0" w:color="auto"/>
              <w:bottom w:val="single" w:sz="4" w:space="0" w:color="auto"/>
              <w:right w:val="single" w:sz="4" w:space="0" w:color="auto"/>
            </w:tcBorders>
          </w:tcPr>
          <w:p w14:paraId="2638280A" w14:textId="77777777" w:rsidR="002F0DFA" w:rsidRPr="00BA035F" w:rsidRDefault="002F0DFA" w:rsidP="00B82144">
            <w:pPr>
              <w:spacing w:after="60"/>
              <w:rPr>
                <w:i/>
                <w:iCs/>
                <w:sz w:val="20"/>
              </w:rPr>
            </w:pPr>
            <w:r w:rsidRPr="00BA035F">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5364D961" w14:textId="77777777" w:rsidR="002F0DFA" w:rsidRPr="00BA035F" w:rsidRDefault="002F0DFA" w:rsidP="00B82144">
            <w:pPr>
              <w:spacing w:after="60"/>
              <w:rPr>
                <w:iCs/>
                <w:sz w:val="20"/>
              </w:rPr>
            </w:pPr>
            <w:r w:rsidRPr="00BA035F">
              <w:rPr>
                <w:iCs/>
                <w:sz w:val="20"/>
              </w:rPr>
              <w:t>none</w:t>
            </w:r>
          </w:p>
        </w:tc>
        <w:tc>
          <w:tcPr>
            <w:tcW w:w="3452" w:type="pct"/>
            <w:tcBorders>
              <w:top w:val="single" w:sz="4" w:space="0" w:color="auto"/>
              <w:left w:val="single" w:sz="4" w:space="0" w:color="auto"/>
              <w:bottom w:val="single" w:sz="4" w:space="0" w:color="auto"/>
              <w:right w:val="single" w:sz="4" w:space="0" w:color="auto"/>
            </w:tcBorders>
          </w:tcPr>
          <w:p w14:paraId="5EF43E98" w14:textId="77777777" w:rsidR="002F0DFA" w:rsidRPr="00BA035F" w:rsidRDefault="002F0DFA" w:rsidP="00B82144">
            <w:pPr>
              <w:spacing w:after="60"/>
              <w:rPr>
                <w:iCs/>
                <w:sz w:val="20"/>
              </w:rPr>
            </w:pPr>
            <w:r w:rsidRPr="00BA035F">
              <w:rPr>
                <w:iCs/>
                <w:sz w:val="20"/>
              </w:rPr>
              <w:t>A QSE.</w:t>
            </w:r>
          </w:p>
        </w:tc>
      </w:tr>
    </w:tbl>
    <w:p w14:paraId="58C3E44C" w14:textId="77777777" w:rsidR="00036295" w:rsidRDefault="00036295"/>
    <w:p w14:paraId="6ED1733B" w14:textId="77777777" w:rsidR="00221BB6" w:rsidRPr="00221BB6" w:rsidRDefault="00221BB6" w:rsidP="00221BB6">
      <w:bookmarkStart w:id="2718" w:name="_Toc468286892"/>
      <w:bookmarkStart w:id="2719" w:name="_Toc481502932"/>
      <w:bookmarkStart w:id="2720" w:name="_Toc496080100"/>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1ED1E223" w14:textId="77777777" w:rsidTr="001138B9">
        <w:trPr>
          <w:trHeight w:val="206"/>
        </w:trPr>
        <w:tc>
          <w:tcPr>
            <w:tcW w:w="9350" w:type="dxa"/>
            <w:shd w:val="pct12" w:color="auto" w:fill="auto"/>
          </w:tcPr>
          <w:p w14:paraId="743E8DC6" w14:textId="586D0FF2" w:rsidR="00221BB6" w:rsidRPr="00B06583" w:rsidRDefault="00221BB6" w:rsidP="007656A7">
            <w:pPr>
              <w:pStyle w:val="Instructions"/>
              <w:spacing w:before="120"/>
            </w:pPr>
            <w:r>
              <w:t>[NPRR1010:  Delete Section 6.7.2.1 above upon system implementation of the Real-Time Co-Optimization (RTC) project</w:t>
            </w:r>
            <w:r w:rsidR="008C3F9B">
              <w:t>.</w:t>
            </w:r>
            <w:r>
              <w:t>]</w:t>
            </w:r>
          </w:p>
        </w:tc>
      </w:tr>
    </w:tbl>
    <w:p w14:paraId="2CEA73F7" w14:textId="77777777" w:rsidR="00D655D2" w:rsidRDefault="00D655D2" w:rsidP="00D655D2">
      <w:pPr>
        <w:pStyle w:val="H3"/>
        <w:spacing w:before="0" w:after="0"/>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558"/>
      </w:tblGrid>
      <w:tr w:rsidR="00D655D2" w:rsidRPr="00E566EB" w14:paraId="15E064E1" w14:textId="77777777" w:rsidTr="00236030">
        <w:tc>
          <w:tcPr>
            <w:tcW w:w="9558" w:type="dxa"/>
            <w:shd w:val="pct12" w:color="auto" w:fill="auto"/>
          </w:tcPr>
          <w:p w14:paraId="396FA34C" w14:textId="77777777" w:rsidR="00D655D2" w:rsidRDefault="00D655D2" w:rsidP="00236030">
            <w:pPr>
              <w:pStyle w:val="Instructions"/>
              <w:spacing w:before="120"/>
            </w:pPr>
            <w:r>
              <w:t>[NPRR841</w:t>
            </w:r>
            <w:r w:rsidR="003C1ACD">
              <w:t xml:space="preserve"> and NPRR863</w:t>
            </w:r>
            <w:r>
              <w:t xml:space="preserve">:  Insert </w:t>
            </w:r>
            <w:r w:rsidR="003C1ACD">
              <w:t xml:space="preserve">applicable portions of </w:t>
            </w:r>
            <w:r>
              <w:t>Section 6.7.2.2 below upon system implementation:]</w:t>
            </w:r>
          </w:p>
          <w:p w14:paraId="0AD868EA" w14:textId="77777777" w:rsidR="00F46726" w:rsidRPr="000547B6" w:rsidRDefault="00F46726" w:rsidP="00F46726">
            <w:pPr>
              <w:keepNext/>
              <w:widowControl w:val="0"/>
              <w:tabs>
                <w:tab w:val="left" w:pos="1260"/>
              </w:tabs>
              <w:spacing w:after="240"/>
              <w:ind w:left="1260" w:hanging="1260"/>
              <w:outlineLvl w:val="3"/>
              <w:rPr>
                <w:b/>
              </w:rPr>
            </w:pPr>
            <w:bookmarkStart w:id="2721" w:name="_Toc204411744"/>
            <w:r w:rsidRPr="00D04014">
              <w:rPr>
                <w:b/>
              </w:rPr>
              <w:t>6.7.2.2</w:t>
            </w:r>
            <w:r w:rsidRPr="00D04014">
              <w:rPr>
                <w:b/>
              </w:rPr>
              <w:tab/>
              <w:t xml:space="preserve">Real-Time Adjustments to </w:t>
            </w:r>
            <w:r>
              <w:rPr>
                <w:b/>
              </w:rPr>
              <w:t>Day-Ahead Make Whole Payments</w:t>
            </w:r>
            <w:r w:rsidRPr="00D04014">
              <w:rPr>
                <w:b/>
              </w:rPr>
              <w:t xml:space="preserve"> due to Ancillary Services Infeasibility Charges</w:t>
            </w:r>
            <w:bookmarkEnd w:id="2721"/>
          </w:p>
          <w:p w14:paraId="2B3D855E" w14:textId="77777777" w:rsidR="00F46726" w:rsidRDefault="00F46726" w:rsidP="00F46726">
            <w:pPr>
              <w:spacing w:after="240"/>
              <w:ind w:left="720" w:hanging="720"/>
            </w:pPr>
            <w:r w:rsidRPr="007E46C9">
              <w:rPr>
                <w:iCs/>
              </w:rPr>
              <w:t>(</w:t>
            </w:r>
            <w:r>
              <w:rPr>
                <w:iCs/>
              </w:rPr>
              <w:t>1</w:t>
            </w:r>
            <w:r w:rsidRPr="007E46C9">
              <w:rPr>
                <w:iCs/>
              </w:rPr>
              <w:t>)</w:t>
            </w:r>
            <w:r w:rsidRPr="007E46C9">
              <w:rPr>
                <w:iCs/>
              </w:rPr>
              <w:tab/>
            </w:r>
            <w:r>
              <w:rPr>
                <w:iCs/>
              </w:rPr>
              <w:t>ERCOT shall pay the</w:t>
            </w:r>
            <w:r w:rsidRPr="007E46C9">
              <w:rPr>
                <w:iCs/>
              </w:rPr>
              <w:t xml:space="preserve"> QSE for which ERCOT </w:t>
            </w:r>
            <w:r>
              <w:rPr>
                <w:iCs/>
              </w:rPr>
              <w:t xml:space="preserve">calculates a charge for infeasible </w:t>
            </w:r>
            <w:r w:rsidRPr="007E46C9">
              <w:rPr>
                <w:iCs/>
              </w:rPr>
              <w:t xml:space="preserve">Ancillary Service </w:t>
            </w:r>
            <w:r>
              <w:rPr>
                <w:iCs/>
              </w:rPr>
              <w:t>capacity due to transmission constraints a Real-Time Day-Ahead Make-Whole Payment for an eligible Resource for each Operating Hour in a DAM commitment period.</w:t>
            </w:r>
          </w:p>
          <w:p w14:paraId="72322F00" w14:textId="77777777" w:rsidR="00F46726" w:rsidRPr="007E46C9" w:rsidRDefault="00F46726" w:rsidP="00F46726">
            <w:pPr>
              <w:spacing w:after="240"/>
              <w:ind w:left="720" w:hanging="720"/>
              <w:rPr>
                <w:iCs/>
              </w:rPr>
            </w:pPr>
            <w:r>
              <w:rPr>
                <w:lang w:val="pt-BR"/>
              </w:rPr>
              <w:t>(2)</w:t>
            </w:r>
            <w:r>
              <w:rPr>
                <w:lang w:val="pt-BR"/>
              </w:rPr>
              <w:tab/>
              <w:t>T</w:t>
            </w:r>
            <w:r w:rsidRPr="00A16315">
              <w:rPr>
                <w:lang w:val="pt-BR"/>
              </w:rPr>
              <w:t xml:space="preserve">he guaranteed cost, energy revenue, and </w:t>
            </w:r>
            <w:r>
              <w:rPr>
                <w:lang w:val="pt-BR"/>
              </w:rPr>
              <w:t>A</w:t>
            </w:r>
            <w:r w:rsidRPr="00A16315">
              <w:rPr>
                <w:lang w:val="pt-BR"/>
              </w:rPr>
              <w:t xml:space="preserve">ncillary </w:t>
            </w:r>
            <w:r>
              <w:rPr>
                <w:lang w:val="pt-BR"/>
              </w:rPr>
              <w:t>S</w:t>
            </w:r>
            <w:r w:rsidRPr="00A16315">
              <w:rPr>
                <w:lang w:val="pt-BR"/>
              </w:rPr>
              <w:t xml:space="preserve">ervice revenue calculated for each Combined Cycle Generation Resource are each summed for the Combined Cycle Train, and the </w:t>
            </w:r>
            <w:r>
              <w:rPr>
                <w:lang w:val="pt-BR"/>
              </w:rPr>
              <w:t xml:space="preserve">Real-Time </w:t>
            </w:r>
            <w:r>
              <w:rPr>
                <w:iCs/>
              </w:rPr>
              <w:t>Day-Ahead</w:t>
            </w:r>
            <w:r>
              <w:rPr>
                <w:lang w:val="pt-BR"/>
              </w:rPr>
              <w:t xml:space="preserve"> M</w:t>
            </w:r>
            <w:r w:rsidRPr="00A16315">
              <w:rPr>
                <w:lang w:val="pt-BR"/>
              </w:rPr>
              <w:t xml:space="preserve">ake-Whole Amount is calculated for the Combined Cycle </w:t>
            </w:r>
            <w:r>
              <w:rPr>
                <w:lang w:val="pt-BR"/>
              </w:rPr>
              <w:t>Train.</w:t>
            </w:r>
          </w:p>
          <w:p w14:paraId="0A421AA0" w14:textId="77777777" w:rsidR="00F46726" w:rsidRPr="009E5A27" w:rsidRDefault="00F46726" w:rsidP="00F46726">
            <w:pPr>
              <w:pStyle w:val="FormulaBold"/>
            </w:pPr>
            <w:r w:rsidRPr="00A331D7">
              <w:rPr>
                <w:iCs/>
              </w:rPr>
              <w:t xml:space="preserve"> </w:t>
            </w:r>
            <w:r w:rsidRPr="00A331D7">
              <w:rPr>
                <w:color w:val="000000"/>
              </w:rPr>
              <w:t>RTDAMWAMT</w:t>
            </w:r>
            <w:r w:rsidRPr="00A331D7">
              <w:rPr>
                <w:i/>
                <w:vertAlign w:val="subscript"/>
              </w:rPr>
              <w:t xml:space="preserve"> q, r,</w:t>
            </w:r>
            <w:r w:rsidR="00E74C8B">
              <w:rPr>
                <w:i/>
                <w:vertAlign w:val="subscript"/>
              </w:rPr>
              <w:t xml:space="preserve"> </w:t>
            </w:r>
            <w:r w:rsidRPr="00A331D7">
              <w:rPr>
                <w:i/>
                <w:vertAlign w:val="subscript"/>
              </w:rPr>
              <w:t xml:space="preserve">p, h  </w:t>
            </w:r>
            <w:r w:rsidRPr="00A331D7">
              <w:t>=  (-1)*Max(0,</w:t>
            </w:r>
            <w:r w:rsidRPr="00A331D7">
              <w:rPr>
                <w:i/>
                <w:vertAlign w:val="subscript"/>
              </w:rPr>
              <w:t xml:space="preserve"> </w:t>
            </w:r>
            <w:r w:rsidRPr="00A331D7">
              <w:t>DAMGCOST</w:t>
            </w:r>
            <w:r w:rsidR="001F0DC8">
              <w:t xml:space="preserve"> </w:t>
            </w:r>
            <w:r w:rsidR="00065EC3" w:rsidRPr="00A331D7">
              <w:rPr>
                <w:i/>
                <w:color w:val="000000"/>
                <w:vertAlign w:val="subscript"/>
              </w:rPr>
              <w:t>q</w:t>
            </w:r>
            <w:r w:rsidR="00065EC3" w:rsidRPr="00A331D7">
              <w:rPr>
                <w:i/>
                <w:vertAlign w:val="subscript"/>
              </w:rPr>
              <w:t>,</w:t>
            </w:r>
            <w:r w:rsidR="00065EC3">
              <w:rPr>
                <w:i/>
                <w:vertAlign w:val="subscript"/>
              </w:rPr>
              <w:t xml:space="preserve"> </w:t>
            </w:r>
            <w:r w:rsidR="00065EC3" w:rsidRPr="00A331D7">
              <w:rPr>
                <w:i/>
                <w:vertAlign w:val="subscript"/>
              </w:rPr>
              <w:t>r, p</w:t>
            </w:r>
            <w:r w:rsidR="00065EC3" w:rsidRPr="00A331D7">
              <w:t xml:space="preserve"> </w:t>
            </w:r>
            <w:r w:rsidRPr="00A331D7">
              <w:t xml:space="preserve">+ </w:t>
            </w:r>
            <w:r w:rsidRPr="00A331D7">
              <w:rPr>
                <w:position w:val="-28"/>
              </w:rPr>
              <w:object w:dxaOrig="460" w:dyaOrig="540" w14:anchorId="4008BF36">
                <v:shape id="_x0000_i1327" type="#_x0000_t75" style="width:18pt;height:30pt" o:ole="">
                  <v:imagedata r:id="rId405" o:title=""/>
                </v:shape>
                <o:OLEObject Type="Embed" ProgID="Equation.3" ShapeID="_x0000_i1327" DrawAspect="Content" ObjectID="_1815025515" r:id="rId406"/>
              </w:object>
            </w:r>
            <w:r w:rsidRPr="00A331D7">
              <w:t>DAEREV</w:t>
            </w:r>
            <w:r w:rsidR="001F0DC8">
              <w:t xml:space="preserve"> </w:t>
            </w:r>
            <w:r w:rsidRPr="00A331D7">
              <w:rPr>
                <w:i/>
                <w:vertAlign w:val="subscript"/>
              </w:rPr>
              <w:t xml:space="preserve">q, r, p, h </w:t>
            </w:r>
            <w:r w:rsidRPr="00A331D7">
              <w:t xml:space="preserve">+ </w:t>
            </w:r>
            <w:r w:rsidRPr="00A331D7">
              <w:rPr>
                <w:position w:val="-28"/>
              </w:rPr>
              <w:object w:dxaOrig="460" w:dyaOrig="540" w14:anchorId="2A9C580E">
                <v:shape id="_x0000_i1328" type="#_x0000_t75" style="width:18pt;height:30pt" o:ole="">
                  <v:imagedata r:id="rId405" o:title=""/>
                </v:shape>
                <o:OLEObject Type="Embed" ProgID="Equation.3" ShapeID="_x0000_i1328" DrawAspect="Content" ObjectID="_1815025516" r:id="rId407"/>
              </w:object>
            </w:r>
            <w:r w:rsidRPr="00A331D7">
              <w:t>INFQAR</w:t>
            </w:r>
            <w:r w:rsidR="001F0DC8">
              <w:t xml:space="preserve"> </w:t>
            </w:r>
            <w:r w:rsidRPr="00A331D7">
              <w:rPr>
                <w:i/>
                <w:vertAlign w:val="subscript"/>
              </w:rPr>
              <w:t>q, r, p, h</w:t>
            </w:r>
            <w:r w:rsidRPr="00A331D7">
              <w:t xml:space="preserve"> + </w:t>
            </w:r>
            <w:r w:rsidRPr="00A331D7">
              <w:rPr>
                <w:position w:val="-28"/>
              </w:rPr>
              <w:object w:dxaOrig="460" w:dyaOrig="540" w14:anchorId="4AEAD7F8">
                <v:shape id="_x0000_i1329" type="#_x0000_t75" style="width:18pt;height:30pt" o:ole="">
                  <v:imagedata r:id="rId405" o:title=""/>
                </v:shape>
                <o:OLEObject Type="Embed" ProgID="Equation.3" ShapeID="_x0000_i1329" DrawAspect="Content" ObjectID="_1815025517" r:id="rId408"/>
              </w:object>
            </w:r>
            <w:r w:rsidRPr="00A331D7">
              <w:t>DAASREV</w:t>
            </w:r>
            <w:r w:rsidRPr="00A331D7">
              <w:rPr>
                <w:i/>
                <w:vertAlign w:val="subscript"/>
              </w:rPr>
              <w:t xml:space="preserve"> q, r, h</w:t>
            </w:r>
            <w:r w:rsidRPr="00A331D7">
              <w:t xml:space="preserve"> + </w:t>
            </w:r>
            <w:r w:rsidRPr="00A331D7">
              <w:rPr>
                <w:position w:val="-28"/>
              </w:rPr>
              <w:object w:dxaOrig="460" w:dyaOrig="540" w14:anchorId="2E6C187E">
                <v:shape id="_x0000_i1330" type="#_x0000_t75" style="width:18pt;height:30pt" o:ole="">
                  <v:imagedata r:id="rId405" o:title=""/>
                </v:shape>
                <o:OLEObject Type="Embed" ProgID="Equation.3" ShapeID="_x0000_i1330" DrawAspect="Content" ObjectID="_1815025518" r:id="rId409"/>
              </w:object>
            </w:r>
            <w:r w:rsidRPr="00A331D7">
              <w:t>DAMWAMT</w:t>
            </w:r>
            <w:r w:rsidR="001F0DC8">
              <w:t xml:space="preserve"> </w:t>
            </w:r>
            <w:r w:rsidRPr="00A331D7">
              <w:rPr>
                <w:i/>
                <w:vertAlign w:val="subscript"/>
              </w:rPr>
              <w:t>q, r, p, h</w:t>
            </w:r>
            <w:r w:rsidRPr="00A331D7">
              <w:t>) * ASINFQR</w:t>
            </w:r>
            <w:r w:rsidR="001F0DC8">
              <w:t xml:space="preserve"> </w:t>
            </w:r>
            <w:r w:rsidRPr="00A331D7">
              <w:rPr>
                <w:i/>
                <w:vertAlign w:val="subscript"/>
              </w:rPr>
              <w:t xml:space="preserve">q, r, p, h </w:t>
            </w:r>
            <w:r w:rsidRPr="00A331D7">
              <w:t xml:space="preserve">/ </w:t>
            </w:r>
            <w:r w:rsidRPr="00A331D7">
              <w:rPr>
                <w:position w:val="-28"/>
              </w:rPr>
              <w:object w:dxaOrig="460" w:dyaOrig="540" w14:anchorId="03F4539F">
                <v:shape id="_x0000_i1331" type="#_x0000_t75" style="width:18pt;height:30pt" o:ole="">
                  <v:imagedata r:id="rId405" o:title=""/>
                </v:shape>
                <o:OLEObject Type="Embed" ProgID="Equation.3" ShapeID="_x0000_i1331" DrawAspect="Content" ObjectID="_1815025519" r:id="rId410"/>
              </w:object>
            </w:r>
            <w:r w:rsidRPr="00A331D7">
              <w:t>ASINF</w:t>
            </w:r>
            <w:r w:rsidRPr="007873B3">
              <w:t>Q</w:t>
            </w:r>
            <w:r>
              <w:t>R</w:t>
            </w:r>
            <w:r w:rsidR="001F0DC8">
              <w:t xml:space="preserve"> </w:t>
            </w:r>
            <w:r w:rsidRPr="003626D9">
              <w:rPr>
                <w:i/>
                <w:vertAlign w:val="subscript"/>
              </w:rPr>
              <w:t>q, r,</w:t>
            </w:r>
            <w:r w:rsidRPr="00FD17F8">
              <w:rPr>
                <w:i/>
                <w:vertAlign w:val="subscript"/>
              </w:rPr>
              <w:t xml:space="preserve"> </w:t>
            </w:r>
            <w:r>
              <w:rPr>
                <w:i/>
                <w:vertAlign w:val="subscript"/>
              </w:rPr>
              <w:t>p,</w:t>
            </w:r>
            <w:r w:rsidRPr="003626D9">
              <w:rPr>
                <w:i/>
                <w:vertAlign w:val="subscript"/>
              </w:rPr>
              <w:t xml:space="preserve"> h</w:t>
            </w:r>
            <w:r>
              <w:rPr>
                <w:i/>
                <w:vertAlign w:val="subscript"/>
              </w:rPr>
              <w:t xml:space="preserve"> </w:t>
            </w:r>
          </w:p>
          <w:p w14:paraId="250416E9" w14:textId="77777777" w:rsidR="00F46726" w:rsidRPr="00E41B5C" w:rsidRDefault="00F46726" w:rsidP="00F46726">
            <w:pPr>
              <w:spacing w:after="240"/>
              <w:rPr>
                <w:bCs/>
                <w:lang w:val="pt-BR"/>
              </w:rPr>
            </w:pPr>
            <w:r w:rsidRPr="009E5A27">
              <w:rPr>
                <w:bCs/>
                <w:lang w:val="pt-BR"/>
              </w:rPr>
              <w:t>Where:</w:t>
            </w:r>
          </w:p>
          <w:p w14:paraId="28EFB79F" w14:textId="77777777" w:rsidR="00F46726" w:rsidRPr="004228A8" w:rsidRDefault="00F46726" w:rsidP="00065EC3">
            <w:pPr>
              <w:spacing w:after="240"/>
              <w:ind w:left="720"/>
              <w:rPr>
                <w:i/>
                <w:vertAlign w:val="subscript"/>
              </w:rPr>
            </w:pPr>
            <w:r w:rsidRPr="000064DA">
              <w:t>INFQA</w:t>
            </w:r>
            <w:r>
              <w:t>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Pr="00DB47EE">
              <w:rPr>
                <w:i/>
                <w:vertAlign w:val="subscript"/>
              </w:rPr>
              <w:t xml:space="preserve"> </w:t>
            </w:r>
            <w:r w:rsidRPr="000064DA">
              <w:rPr>
                <w:i/>
              </w:rPr>
              <w:t>=</w:t>
            </w:r>
            <w:r w:rsidRPr="004228A8">
              <w:rPr>
                <w:i/>
                <w:vertAlign w:val="subscript"/>
              </w:rPr>
              <w:t xml:space="preserve"> </w:t>
            </w:r>
            <w:r w:rsidRPr="000064DA">
              <w:t>RUINFQ</w:t>
            </w:r>
            <w:r w:rsidRPr="00A663EC">
              <w:t>AR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 xml:space="preserve">h </w:t>
            </w:r>
            <w:r w:rsidRPr="004228A8">
              <w:t>+ RDINFQ</w:t>
            </w:r>
            <w:r>
              <w:t>AR</w:t>
            </w:r>
            <w:r w:rsidR="001F0DC8">
              <w:t xml:space="preserve"> </w:t>
            </w:r>
            <w:r w:rsidRPr="000064DA">
              <w:rPr>
                <w:i/>
                <w:vertAlign w:val="subscript"/>
              </w:rPr>
              <w:t>q</w:t>
            </w:r>
            <w:r w:rsidRPr="004228A8">
              <w:rPr>
                <w:i/>
                <w:vertAlign w:val="subscript"/>
              </w:rPr>
              <w:t>, 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Pr="000064DA">
              <w:rPr>
                <w:i/>
                <w:vertAlign w:val="subscript"/>
              </w:rPr>
              <w:t xml:space="preserve"> </w:t>
            </w:r>
            <w:r w:rsidRPr="004228A8">
              <w:t>+ RRINFQA</w:t>
            </w:r>
            <w:r>
              <w:t>R</w:t>
            </w:r>
            <w:r w:rsidR="001F0DC8">
              <w:t xml:space="preserve"> </w:t>
            </w:r>
            <w:r w:rsidRPr="000064DA">
              <w:rPr>
                <w:i/>
                <w:vertAlign w:val="subscript"/>
              </w:rPr>
              <w:t>q</w:t>
            </w:r>
            <w:r w:rsidR="00065EC3">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Pr="000064DA">
              <w:t xml:space="preserve"> +</w:t>
            </w:r>
            <w:r w:rsidRPr="004228A8">
              <w:t xml:space="preserve"> NSINFQA</w:t>
            </w:r>
            <w:r>
              <w:t>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003C1ACD" w:rsidRPr="004228A8">
              <w:t xml:space="preserve"> + </w:t>
            </w:r>
            <w:r w:rsidR="003C1ACD">
              <w:t>EC</w:t>
            </w:r>
            <w:r w:rsidR="003C1ACD" w:rsidRPr="004228A8">
              <w:t>RINFQA</w:t>
            </w:r>
            <w:r w:rsidR="003C1ACD">
              <w:t xml:space="preserve">R </w:t>
            </w:r>
            <w:r w:rsidR="003C1ACD" w:rsidRPr="000064DA">
              <w:rPr>
                <w:i/>
                <w:vertAlign w:val="subscript"/>
              </w:rPr>
              <w:t>q</w:t>
            </w:r>
            <w:r w:rsidR="003C1ACD">
              <w:rPr>
                <w:i/>
                <w:vertAlign w:val="subscript"/>
              </w:rPr>
              <w:t xml:space="preserve">, </w:t>
            </w:r>
            <w:r w:rsidR="003C1ACD" w:rsidRPr="004228A8">
              <w:rPr>
                <w:i/>
                <w:vertAlign w:val="subscript"/>
              </w:rPr>
              <w:t>r,</w:t>
            </w:r>
            <w:r w:rsidR="003C1ACD" w:rsidRPr="00FD17F8">
              <w:rPr>
                <w:i/>
                <w:vertAlign w:val="subscript"/>
              </w:rPr>
              <w:t xml:space="preserve"> </w:t>
            </w:r>
            <w:r w:rsidR="003C1ACD">
              <w:rPr>
                <w:i/>
                <w:vertAlign w:val="subscript"/>
              </w:rPr>
              <w:t>p,</w:t>
            </w:r>
            <w:r w:rsidR="003C1ACD" w:rsidRPr="00064701">
              <w:rPr>
                <w:i/>
                <w:vertAlign w:val="subscript"/>
              </w:rPr>
              <w:t xml:space="preserve"> </w:t>
            </w:r>
            <w:r w:rsidR="003C1ACD" w:rsidRPr="004228A8">
              <w:rPr>
                <w:i/>
                <w:vertAlign w:val="subscript"/>
              </w:rPr>
              <w:t>h</w:t>
            </w:r>
          </w:p>
          <w:p w14:paraId="0F641379" w14:textId="77777777" w:rsidR="00F46726" w:rsidRPr="00DB47EE" w:rsidRDefault="00F46726" w:rsidP="00F46726">
            <w:pPr>
              <w:spacing w:after="240"/>
            </w:pPr>
            <w:r w:rsidRPr="00DB47EE">
              <w:t xml:space="preserve">And, </w:t>
            </w:r>
          </w:p>
          <w:p w14:paraId="0D4BD217" w14:textId="77777777" w:rsidR="00F46726" w:rsidRPr="004228A8" w:rsidRDefault="00F46726" w:rsidP="00F46726">
            <w:pPr>
              <w:spacing w:after="240"/>
              <w:ind w:left="1260" w:hanging="540"/>
            </w:pPr>
            <w:r w:rsidRPr="000064DA">
              <w:t>RUINFQ</w:t>
            </w:r>
            <w:r w:rsidRPr="003626D9">
              <w:t>AR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 xml:space="preserve">r, </w:t>
            </w:r>
            <w:r>
              <w:rPr>
                <w:i/>
                <w:vertAlign w:val="subscript"/>
              </w:rPr>
              <w:t>p,</w:t>
            </w:r>
            <w:r w:rsidRPr="00064701">
              <w:rPr>
                <w:i/>
                <w:vertAlign w:val="subscript"/>
              </w:rPr>
              <w:t xml:space="preserve"> </w:t>
            </w:r>
            <w:r w:rsidRPr="004228A8">
              <w:rPr>
                <w:i/>
                <w:vertAlign w:val="subscript"/>
              </w:rPr>
              <w:t xml:space="preserve">h </w:t>
            </w:r>
            <w:r w:rsidRPr="00065EC3">
              <w:rPr>
                <w:i/>
              </w:rPr>
              <w:t xml:space="preserve">=  </w:t>
            </w:r>
            <w:r w:rsidRPr="000064DA">
              <w:t>MCPCRU</w:t>
            </w:r>
            <w:r w:rsidRPr="000064DA">
              <w:rPr>
                <w:i/>
                <w:vertAlign w:val="subscript"/>
              </w:rPr>
              <w:t>DAM</w:t>
            </w:r>
            <w:r w:rsidRPr="004228A8">
              <w:rPr>
                <w:rFonts w:ascii="Arial" w:hAnsi="Arial" w:cs="Arial"/>
                <w:lang w:val="fr-FR"/>
              </w:rPr>
              <w:t xml:space="preserve"> </w:t>
            </w:r>
            <w:r w:rsidRPr="004228A8">
              <w:rPr>
                <w:rFonts w:ascii="Arial" w:hAnsi="Arial" w:cs="Arial"/>
                <w:sz w:val="52"/>
                <w:szCs w:val="52"/>
                <w:vertAlign w:val="subscript"/>
                <w:lang w:val="fr-FR"/>
              </w:rPr>
              <w:t>*</w:t>
            </w:r>
            <w:r w:rsidRPr="004228A8">
              <w:rPr>
                <w:rFonts w:ascii="Arial" w:hAnsi="Arial" w:cs="Arial"/>
                <w:lang w:val="fr-FR"/>
              </w:rPr>
              <w:t xml:space="preserve"> </w:t>
            </w:r>
            <w:r w:rsidRPr="000064DA">
              <w:t>RUINFQR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p,</w:t>
            </w:r>
            <w:r w:rsidRPr="00064701">
              <w:rPr>
                <w:i/>
                <w:vertAlign w:val="subscript"/>
              </w:rPr>
              <w:t xml:space="preserve"> </w:t>
            </w:r>
            <w:r w:rsidRPr="004C0093">
              <w:rPr>
                <w:i/>
                <w:vertAlign w:val="subscript"/>
              </w:rPr>
              <w:t>h</w:t>
            </w:r>
          </w:p>
          <w:p w14:paraId="30C77A9F" w14:textId="77777777" w:rsidR="00F46726" w:rsidRPr="004228A8" w:rsidRDefault="00F46726" w:rsidP="00F46726">
            <w:pPr>
              <w:spacing w:after="240"/>
              <w:ind w:left="1260" w:hanging="540"/>
            </w:pPr>
            <w:r w:rsidRPr="004228A8">
              <w:lastRenderedPageBreak/>
              <w:t>RDINFQA</w:t>
            </w:r>
            <w:r>
              <w:t>R</w:t>
            </w:r>
            <w:r w:rsidR="001F0DC8">
              <w:t xml:space="preserve"> </w:t>
            </w:r>
            <w:r w:rsidRPr="004228A8">
              <w:rPr>
                <w:i/>
                <w:vertAlign w:val="subscript"/>
              </w:rPr>
              <w:t>q,</w:t>
            </w:r>
            <w:r w:rsidR="001F0DC8">
              <w:rPr>
                <w:i/>
                <w:vertAlign w:val="subscript"/>
              </w:rPr>
              <w:t xml:space="preserve"> </w:t>
            </w:r>
            <w:r w:rsidRPr="004228A8">
              <w:rPr>
                <w:i/>
                <w:vertAlign w:val="subscript"/>
              </w:rPr>
              <w:t>r,</w:t>
            </w:r>
            <w:r w:rsidRPr="00DB47EE">
              <w:rPr>
                <w:i/>
                <w:vertAlign w:val="subscript"/>
              </w:rPr>
              <w:t xml:space="preserve"> </w:t>
            </w:r>
            <w:r>
              <w:rPr>
                <w:i/>
                <w:vertAlign w:val="subscript"/>
              </w:rPr>
              <w:t>p,</w:t>
            </w:r>
            <w:r w:rsidRPr="00064701">
              <w:rPr>
                <w:i/>
                <w:vertAlign w:val="subscript"/>
              </w:rPr>
              <w:t xml:space="preserve"> </w:t>
            </w:r>
            <w:r w:rsidRPr="00DB47EE">
              <w:rPr>
                <w:i/>
                <w:vertAlign w:val="subscript"/>
              </w:rPr>
              <w:t xml:space="preserve">h </w:t>
            </w:r>
            <w:r w:rsidRPr="00065EC3">
              <w:rPr>
                <w:i/>
              </w:rPr>
              <w:t xml:space="preserve">=  </w:t>
            </w:r>
            <w:r w:rsidRPr="000064DA">
              <w:t>MCPCRD</w:t>
            </w:r>
            <w:r w:rsidRPr="00DB47EE">
              <w:rPr>
                <w:i/>
                <w:vertAlign w:val="subscript"/>
              </w:rPr>
              <w:t>DAM</w:t>
            </w:r>
            <w:r w:rsidRPr="000064DA">
              <w:rPr>
                <w:i/>
                <w:vertAlign w:val="subscript"/>
              </w:rPr>
              <w:t xml:space="preserve"> </w:t>
            </w:r>
            <w:r w:rsidRPr="001F0DC8">
              <w:rPr>
                <w:rFonts w:ascii="Arial" w:hAnsi="Arial" w:cs="Arial"/>
                <w:sz w:val="52"/>
                <w:szCs w:val="52"/>
                <w:vertAlign w:val="subscript"/>
                <w:lang w:val="fr-FR"/>
              </w:rPr>
              <w:t>*</w:t>
            </w:r>
            <w:r w:rsidRPr="00DB47EE">
              <w:rPr>
                <w:rFonts w:ascii="Arial" w:hAnsi="Arial" w:cs="Arial"/>
                <w:lang w:val="fr-FR"/>
              </w:rPr>
              <w:t xml:space="preserve"> </w:t>
            </w:r>
            <w:r w:rsidRPr="000064DA">
              <w:t>RDINFQR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p,</w:t>
            </w:r>
            <w:r w:rsidRPr="00064701">
              <w:rPr>
                <w:i/>
                <w:vertAlign w:val="subscript"/>
              </w:rPr>
              <w:t xml:space="preserve"> </w:t>
            </w:r>
            <w:r w:rsidRPr="004C0093">
              <w:rPr>
                <w:i/>
                <w:vertAlign w:val="subscript"/>
              </w:rPr>
              <w:t>h</w:t>
            </w:r>
          </w:p>
          <w:p w14:paraId="6FB7FD6D" w14:textId="77777777" w:rsidR="00F46726" w:rsidRPr="004228A8" w:rsidRDefault="00F46726" w:rsidP="00F46726">
            <w:pPr>
              <w:spacing w:after="240"/>
              <w:ind w:left="1260" w:hanging="540"/>
            </w:pPr>
            <w:r w:rsidRPr="004228A8">
              <w:t>RRINFQ</w:t>
            </w:r>
            <w:r>
              <w:t>AR</w:t>
            </w:r>
            <w:r w:rsidR="001F0DC8">
              <w:t xml:space="preserve"> </w:t>
            </w:r>
            <w:r w:rsidRPr="004228A8">
              <w:rPr>
                <w:i/>
                <w:vertAlign w:val="subscript"/>
              </w:rPr>
              <w:t>q,</w:t>
            </w:r>
            <w:r>
              <w:rPr>
                <w:i/>
                <w:vertAlign w:val="subscript"/>
              </w:rPr>
              <w:t xml:space="preserve"> </w:t>
            </w:r>
            <w:r w:rsidRPr="004228A8">
              <w:rPr>
                <w:i/>
                <w:vertAlign w:val="subscript"/>
              </w:rPr>
              <w:t>r,</w:t>
            </w:r>
            <w:r w:rsidRPr="00DB47EE">
              <w:rPr>
                <w:i/>
                <w:vertAlign w:val="subscript"/>
              </w:rPr>
              <w:t xml:space="preserve"> </w:t>
            </w:r>
            <w:r>
              <w:rPr>
                <w:i/>
                <w:vertAlign w:val="subscript"/>
              </w:rPr>
              <w:t>p,</w:t>
            </w:r>
            <w:r w:rsidRPr="00064701">
              <w:rPr>
                <w:i/>
                <w:vertAlign w:val="subscript"/>
              </w:rPr>
              <w:t xml:space="preserve"> </w:t>
            </w:r>
            <w:r w:rsidRPr="00DB47EE">
              <w:rPr>
                <w:i/>
                <w:vertAlign w:val="subscript"/>
              </w:rPr>
              <w:t>h</w:t>
            </w:r>
            <w:r w:rsidRPr="00065EC3">
              <w:rPr>
                <w:i/>
              </w:rPr>
              <w:t xml:space="preserve"> =</w:t>
            </w:r>
            <w:r w:rsidRPr="00DB47EE">
              <w:rPr>
                <w:rFonts w:ascii="Arial" w:hAnsi="Arial" w:cs="Arial"/>
                <w:lang w:val="fr-FR"/>
              </w:rPr>
              <w:t xml:space="preserve">  </w:t>
            </w:r>
            <w:r w:rsidRPr="000064DA">
              <w:t>MCPCRR</w:t>
            </w:r>
            <w:r w:rsidRPr="00DB47EE">
              <w:rPr>
                <w:i/>
                <w:vertAlign w:val="subscript"/>
              </w:rPr>
              <w:t>DAM</w:t>
            </w:r>
            <w:r w:rsidRPr="00DB47EE">
              <w:rPr>
                <w:rFonts w:ascii="Arial" w:hAnsi="Arial" w:cs="Arial"/>
                <w:lang w:val="fr-FR"/>
              </w:rPr>
              <w:t xml:space="preserve"> </w:t>
            </w:r>
            <w:r w:rsidRPr="00DB47EE">
              <w:rPr>
                <w:rFonts w:ascii="Arial" w:hAnsi="Arial" w:cs="Arial"/>
                <w:sz w:val="52"/>
                <w:szCs w:val="52"/>
                <w:vertAlign w:val="subscript"/>
                <w:lang w:val="fr-FR"/>
              </w:rPr>
              <w:t>*</w:t>
            </w:r>
            <w:r w:rsidRPr="00DB47EE">
              <w:rPr>
                <w:rFonts w:ascii="Arial" w:hAnsi="Arial" w:cs="Arial"/>
                <w:lang w:val="fr-FR"/>
              </w:rPr>
              <w:t xml:space="preserve"> </w:t>
            </w:r>
            <w:r w:rsidRPr="000064DA">
              <w:t>RRINFQR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FD17F8">
              <w:rPr>
                <w:i/>
                <w:vertAlign w:val="subscript"/>
              </w:rPr>
              <w:t xml:space="preserve"> </w:t>
            </w:r>
            <w:r>
              <w:rPr>
                <w:i/>
                <w:vertAlign w:val="subscript"/>
              </w:rPr>
              <w:t>p,</w:t>
            </w:r>
            <w:r w:rsidRPr="004C0093">
              <w:rPr>
                <w:i/>
                <w:vertAlign w:val="subscript"/>
              </w:rPr>
              <w:t xml:space="preserve"> h</w:t>
            </w:r>
          </w:p>
          <w:p w14:paraId="00822C5F" w14:textId="77777777" w:rsidR="00F46726" w:rsidRPr="004228A8" w:rsidRDefault="00F46726" w:rsidP="00F46726">
            <w:pPr>
              <w:spacing w:after="240"/>
              <w:ind w:left="1260" w:hanging="540"/>
            </w:pPr>
            <w:r w:rsidRPr="004228A8">
              <w:t>NSINFQA</w:t>
            </w:r>
            <w:r>
              <w:t>R</w:t>
            </w:r>
            <w:r w:rsidR="001F0DC8">
              <w:t xml:space="preserve"> </w:t>
            </w:r>
            <w:r w:rsidRPr="004228A8">
              <w:rPr>
                <w:i/>
                <w:vertAlign w:val="subscript"/>
              </w:rPr>
              <w:t>q</w:t>
            </w:r>
            <w:r w:rsidRPr="00DB47EE">
              <w:rPr>
                <w:i/>
                <w:vertAlign w:val="subscript"/>
              </w:rPr>
              <w:t>,</w:t>
            </w:r>
            <w:r>
              <w:rPr>
                <w:i/>
                <w:vertAlign w:val="subscript"/>
              </w:rPr>
              <w:t xml:space="preserve"> </w:t>
            </w:r>
            <w:r w:rsidRPr="00DB47EE">
              <w:rPr>
                <w:i/>
                <w:vertAlign w:val="subscript"/>
              </w:rPr>
              <w:t xml:space="preserve">r, </w:t>
            </w:r>
            <w:r>
              <w:rPr>
                <w:i/>
                <w:vertAlign w:val="subscript"/>
              </w:rPr>
              <w:t>p,</w:t>
            </w:r>
            <w:r w:rsidRPr="00064701">
              <w:rPr>
                <w:i/>
                <w:vertAlign w:val="subscript"/>
              </w:rPr>
              <w:t xml:space="preserve"> </w:t>
            </w:r>
            <w:r w:rsidRPr="00DB47EE">
              <w:rPr>
                <w:i/>
                <w:vertAlign w:val="subscript"/>
              </w:rPr>
              <w:t xml:space="preserve">h </w:t>
            </w:r>
            <w:r w:rsidRPr="00065EC3">
              <w:rPr>
                <w:i/>
              </w:rPr>
              <w:t xml:space="preserve">=  </w:t>
            </w:r>
            <w:r w:rsidRPr="000064DA">
              <w:t>MCPCNS</w:t>
            </w:r>
            <w:r w:rsidRPr="00DB47EE">
              <w:rPr>
                <w:i/>
                <w:vertAlign w:val="subscript"/>
              </w:rPr>
              <w:t>DAM</w:t>
            </w:r>
            <w:r w:rsidRPr="00DB47EE">
              <w:rPr>
                <w:rFonts w:ascii="Arial" w:hAnsi="Arial" w:cs="Arial"/>
                <w:lang w:val="fr-FR"/>
              </w:rPr>
              <w:t xml:space="preserve"> </w:t>
            </w:r>
            <w:r w:rsidRPr="00DB47EE">
              <w:rPr>
                <w:rFonts w:ascii="Arial" w:hAnsi="Arial" w:cs="Arial"/>
                <w:sz w:val="52"/>
                <w:szCs w:val="52"/>
                <w:vertAlign w:val="subscript"/>
                <w:lang w:val="fr-FR"/>
              </w:rPr>
              <w:t>*</w:t>
            </w:r>
            <w:r w:rsidRPr="00DB47EE">
              <w:rPr>
                <w:rFonts w:ascii="Arial" w:hAnsi="Arial" w:cs="Arial"/>
                <w:lang w:val="fr-FR"/>
              </w:rPr>
              <w:t xml:space="preserve"> </w:t>
            </w:r>
            <w:r w:rsidRPr="000064DA">
              <w:t>NSINFQR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p,</w:t>
            </w:r>
            <w:r w:rsidRPr="00064701">
              <w:rPr>
                <w:i/>
                <w:vertAlign w:val="subscript"/>
              </w:rPr>
              <w:t xml:space="preserve"> </w:t>
            </w:r>
            <w:r w:rsidRPr="004C0093">
              <w:rPr>
                <w:i/>
                <w:vertAlign w:val="subscript"/>
              </w:rPr>
              <w:t>h</w:t>
            </w:r>
          </w:p>
          <w:p w14:paraId="1CECF009" w14:textId="77777777" w:rsidR="003C1ACD" w:rsidRPr="004228A8" w:rsidRDefault="003C1ACD" w:rsidP="003C1ACD">
            <w:pPr>
              <w:spacing w:after="240"/>
              <w:ind w:left="1260" w:hanging="540"/>
            </w:pPr>
            <w:r>
              <w:t>EC</w:t>
            </w:r>
            <w:r w:rsidRPr="004228A8">
              <w:t>RINFQ</w:t>
            </w:r>
            <w:r>
              <w:t xml:space="preserve">AR </w:t>
            </w:r>
            <w:r w:rsidRPr="004228A8">
              <w:rPr>
                <w:i/>
                <w:vertAlign w:val="subscript"/>
              </w:rPr>
              <w:t>q,</w:t>
            </w:r>
            <w:r>
              <w:rPr>
                <w:i/>
                <w:vertAlign w:val="subscript"/>
              </w:rPr>
              <w:t xml:space="preserve"> </w:t>
            </w:r>
            <w:r w:rsidRPr="004228A8">
              <w:rPr>
                <w:i/>
                <w:vertAlign w:val="subscript"/>
              </w:rPr>
              <w:t>r,</w:t>
            </w:r>
            <w:r w:rsidRPr="00DB47EE">
              <w:rPr>
                <w:i/>
                <w:vertAlign w:val="subscript"/>
              </w:rPr>
              <w:t xml:space="preserve"> </w:t>
            </w:r>
            <w:r>
              <w:rPr>
                <w:i/>
                <w:vertAlign w:val="subscript"/>
              </w:rPr>
              <w:t>p,</w:t>
            </w:r>
            <w:r w:rsidRPr="00064701">
              <w:rPr>
                <w:i/>
                <w:vertAlign w:val="subscript"/>
              </w:rPr>
              <w:t xml:space="preserve"> </w:t>
            </w:r>
            <w:r w:rsidRPr="00DB47EE">
              <w:rPr>
                <w:i/>
                <w:vertAlign w:val="subscript"/>
              </w:rPr>
              <w:t>h</w:t>
            </w:r>
            <w:r w:rsidRPr="00065EC3">
              <w:rPr>
                <w:i/>
              </w:rPr>
              <w:t xml:space="preserve"> =</w:t>
            </w:r>
            <w:r w:rsidRPr="00DB47EE">
              <w:rPr>
                <w:rFonts w:ascii="Arial" w:hAnsi="Arial" w:cs="Arial"/>
                <w:lang w:val="fr-FR"/>
              </w:rPr>
              <w:t xml:space="preserve">  </w:t>
            </w:r>
            <w:r w:rsidRPr="000064DA">
              <w:t>MCPC</w:t>
            </w:r>
            <w:r>
              <w:t>EC</w:t>
            </w:r>
            <w:r w:rsidRPr="000064DA">
              <w:t>R</w:t>
            </w:r>
            <w:r w:rsidRPr="00DB47EE">
              <w:rPr>
                <w:i/>
                <w:vertAlign w:val="subscript"/>
              </w:rPr>
              <w:t>DAM</w:t>
            </w:r>
            <w:r w:rsidRPr="00DB47EE">
              <w:rPr>
                <w:rFonts w:ascii="Arial" w:hAnsi="Arial" w:cs="Arial"/>
                <w:lang w:val="fr-FR"/>
              </w:rPr>
              <w:t xml:space="preserve"> </w:t>
            </w:r>
            <w:r w:rsidRPr="00DB47EE">
              <w:rPr>
                <w:rFonts w:ascii="Arial" w:hAnsi="Arial" w:cs="Arial"/>
                <w:sz w:val="52"/>
                <w:szCs w:val="52"/>
                <w:vertAlign w:val="subscript"/>
                <w:lang w:val="fr-FR"/>
              </w:rPr>
              <w:t>*</w:t>
            </w:r>
            <w:r w:rsidRPr="00DB47EE">
              <w:rPr>
                <w:rFonts w:ascii="Arial" w:hAnsi="Arial" w:cs="Arial"/>
                <w:lang w:val="fr-FR"/>
              </w:rPr>
              <w:t xml:space="preserve"> </w:t>
            </w:r>
            <w:r>
              <w:t>EC</w:t>
            </w:r>
            <w:r w:rsidRPr="000064DA">
              <w:t>RINFQR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FD17F8">
              <w:rPr>
                <w:i/>
                <w:vertAlign w:val="subscript"/>
              </w:rPr>
              <w:t xml:space="preserve"> </w:t>
            </w:r>
            <w:r>
              <w:rPr>
                <w:i/>
                <w:vertAlign w:val="subscript"/>
              </w:rPr>
              <w:t>p,</w:t>
            </w:r>
            <w:r w:rsidRPr="004C0093">
              <w:rPr>
                <w:i/>
                <w:vertAlign w:val="subscript"/>
              </w:rPr>
              <w:t xml:space="preserve"> h</w:t>
            </w:r>
          </w:p>
          <w:p w14:paraId="48C15399" w14:textId="77777777" w:rsidR="00E74C8B" w:rsidRDefault="00F46726" w:rsidP="00065EC3">
            <w:pPr>
              <w:ind w:left="1267" w:hanging="547"/>
            </w:pPr>
            <w:r w:rsidRPr="004228A8">
              <w:t>ASINFQ</w:t>
            </w:r>
            <w:r>
              <w:t>R</w:t>
            </w:r>
            <w:r w:rsidR="001F0DC8">
              <w:t xml:space="preserve"> </w:t>
            </w:r>
            <w:r w:rsidRPr="004C0093">
              <w:rPr>
                <w:i/>
                <w:vertAlign w:val="subscript"/>
              </w:rPr>
              <w:t xml:space="preserve">q, r, </w:t>
            </w:r>
            <w:r>
              <w:rPr>
                <w:i/>
                <w:vertAlign w:val="subscript"/>
              </w:rPr>
              <w:t>p,</w:t>
            </w:r>
            <w:r w:rsidRPr="00064701">
              <w:rPr>
                <w:i/>
                <w:vertAlign w:val="subscript"/>
              </w:rPr>
              <w:t xml:space="preserve"> </w:t>
            </w:r>
            <w:r w:rsidRPr="004C0093">
              <w:rPr>
                <w:i/>
                <w:vertAlign w:val="subscript"/>
              </w:rPr>
              <w:t>h</w:t>
            </w:r>
            <w:r w:rsidRPr="004228A8">
              <w:rPr>
                <w:i/>
                <w:vertAlign w:val="subscript"/>
              </w:rPr>
              <w:t xml:space="preserve"> </w:t>
            </w:r>
            <w:r w:rsidRPr="004228A8">
              <w:rPr>
                <w:i/>
              </w:rPr>
              <w:t>=</w:t>
            </w:r>
            <w:r w:rsidRPr="004228A8">
              <w:rPr>
                <w:i/>
                <w:vertAlign w:val="subscript"/>
              </w:rPr>
              <w:t xml:space="preserve"> </w:t>
            </w:r>
            <w:r w:rsidRPr="00DB47EE">
              <w:t>RUINFQ</w:t>
            </w:r>
            <w:r>
              <w:t>R</w:t>
            </w:r>
            <w:r w:rsidR="001F0DC8">
              <w:t xml:space="preserve"> </w:t>
            </w:r>
            <w:r w:rsidRPr="00DB47EE">
              <w:rPr>
                <w:i/>
                <w:vertAlign w:val="subscript"/>
              </w:rPr>
              <w:t xml:space="preserve">q, r, </w:t>
            </w:r>
            <w:r>
              <w:rPr>
                <w:i/>
                <w:vertAlign w:val="subscript"/>
              </w:rPr>
              <w:t>p,</w:t>
            </w:r>
            <w:r w:rsidRPr="00064701">
              <w:rPr>
                <w:i/>
                <w:vertAlign w:val="subscript"/>
              </w:rPr>
              <w:t xml:space="preserve"> </w:t>
            </w:r>
            <w:r w:rsidRPr="00DB47EE">
              <w:rPr>
                <w:i/>
                <w:vertAlign w:val="subscript"/>
              </w:rPr>
              <w:t xml:space="preserve">h </w:t>
            </w:r>
            <w:r w:rsidRPr="00DB47EE">
              <w:t>+ RDINFQ</w:t>
            </w:r>
            <w:r>
              <w:t>R</w:t>
            </w:r>
            <w:r w:rsidR="001F0DC8">
              <w:t xml:space="preserve"> </w:t>
            </w:r>
            <w:r w:rsidRPr="00DB47EE">
              <w:rPr>
                <w:i/>
                <w:vertAlign w:val="subscript"/>
              </w:rPr>
              <w:t>q,</w:t>
            </w:r>
            <w:r>
              <w:rPr>
                <w:i/>
                <w:vertAlign w:val="subscript"/>
              </w:rPr>
              <w:t xml:space="preserve"> </w:t>
            </w:r>
            <w:r w:rsidRPr="00DB47EE">
              <w:rPr>
                <w:i/>
                <w:vertAlign w:val="subscript"/>
              </w:rPr>
              <w:t xml:space="preserve">r, </w:t>
            </w:r>
            <w:r>
              <w:rPr>
                <w:i/>
                <w:vertAlign w:val="subscript"/>
              </w:rPr>
              <w:t>p,</w:t>
            </w:r>
            <w:r w:rsidRPr="00064701">
              <w:rPr>
                <w:i/>
                <w:vertAlign w:val="subscript"/>
              </w:rPr>
              <w:t xml:space="preserve"> </w:t>
            </w:r>
            <w:r w:rsidRPr="00854E01">
              <w:rPr>
                <w:i/>
                <w:vertAlign w:val="subscript"/>
              </w:rPr>
              <w:t xml:space="preserve">h </w:t>
            </w:r>
            <w:r w:rsidRPr="009E5A27">
              <w:t>+ RRINFQ</w:t>
            </w:r>
            <w:r>
              <w:t>R</w:t>
            </w:r>
            <w:r w:rsidR="001F0DC8">
              <w:t xml:space="preserve"> </w:t>
            </w:r>
            <w:r w:rsidRPr="009E5A27">
              <w:rPr>
                <w:i/>
                <w:vertAlign w:val="subscript"/>
              </w:rPr>
              <w:t>q,</w:t>
            </w:r>
            <w:r>
              <w:rPr>
                <w:i/>
                <w:vertAlign w:val="subscript"/>
              </w:rPr>
              <w:t xml:space="preserve"> </w:t>
            </w:r>
            <w:r w:rsidRPr="009E5A27">
              <w:rPr>
                <w:i/>
                <w:vertAlign w:val="subscript"/>
              </w:rPr>
              <w:t xml:space="preserve">r, </w:t>
            </w:r>
            <w:r>
              <w:rPr>
                <w:i/>
                <w:vertAlign w:val="subscript"/>
              </w:rPr>
              <w:t>p,</w:t>
            </w:r>
            <w:r w:rsidRPr="00064701">
              <w:rPr>
                <w:i/>
                <w:vertAlign w:val="subscript"/>
              </w:rPr>
              <w:t xml:space="preserve"> </w:t>
            </w:r>
            <w:r w:rsidRPr="009E5A27">
              <w:rPr>
                <w:i/>
                <w:vertAlign w:val="subscript"/>
              </w:rPr>
              <w:t>h</w:t>
            </w:r>
            <w:r w:rsidRPr="009E5A27">
              <w:t xml:space="preserve"> + </w:t>
            </w:r>
          </w:p>
          <w:p w14:paraId="3BB1011E" w14:textId="77777777" w:rsidR="00F46726" w:rsidRPr="009E5A27" w:rsidRDefault="00F46726" w:rsidP="003C1ACD">
            <w:pPr>
              <w:spacing w:after="240"/>
              <w:ind w:left="3150" w:hanging="540"/>
              <w:rPr>
                <w:i/>
                <w:vertAlign w:val="subscript"/>
              </w:rPr>
            </w:pPr>
            <w:r w:rsidRPr="003C1ACD">
              <w:rPr>
                <w:szCs w:val="24"/>
              </w:rPr>
              <w:t>NSINFQR</w:t>
            </w:r>
            <w:r w:rsidR="001F0DC8">
              <w:t xml:space="preserve"> </w:t>
            </w:r>
            <w:r w:rsidRPr="009E5A27">
              <w:rPr>
                <w:i/>
                <w:vertAlign w:val="subscript"/>
              </w:rPr>
              <w:t>q,</w:t>
            </w:r>
            <w:r>
              <w:rPr>
                <w:i/>
                <w:vertAlign w:val="subscript"/>
              </w:rPr>
              <w:t xml:space="preserve"> </w:t>
            </w:r>
            <w:r w:rsidRPr="009E5A27">
              <w:rPr>
                <w:i/>
                <w:vertAlign w:val="subscript"/>
              </w:rPr>
              <w:t>r,</w:t>
            </w:r>
            <w:r w:rsidRPr="00E41B5C">
              <w:rPr>
                <w:i/>
                <w:vertAlign w:val="subscript"/>
              </w:rPr>
              <w:t xml:space="preserve"> </w:t>
            </w:r>
            <w:r>
              <w:rPr>
                <w:i/>
                <w:vertAlign w:val="subscript"/>
              </w:rPr>
              <w:t>p,</w:t>
            </w:r>
            <w:r w:rsidRPr="00064701">
              <w:rPr>
                <w:i/>
                <w:vertAlign w:val="subscript"/>
              </w:rPr>
              <w:t xml:space="preserve"> </w:t>
            </w:r>
            <w:r w:rsidRPr="00E60B40">
              <w:rPr>
                <w:i/>
                <w:vertAlign w:val="subscript"/>
              </w:rPr>
              <w:t>h</w:t>
            </w:r>
            <w:r w:rsidR="003C1ACD" w:rsidRPr="009E5A27">
              <w:t xml:space="preserve"> + </w:t>
            </w:r>
            <w:r w:rsidR="003C1ACD">
              <w:t>EC</w:t>
            </w:r>
            <w:r w:rsidR="003C1ACD" w:rsidRPr="009E5A27">
              <w:t>RINFQ</w:t>
            </w:r>
            <w:r w:rsidR="003C1ACD">
              <w:t xml:space="preserve">R </w:t>
            </w:r>
            <w:r w:rsidR="003C1ACD" w:rsidRPr="009E5A27">
              <w:rPr>
                <w:i/>
                <w:vertAlign w:val="subscript"/>
              </w:rPr>
              <w:t>q,</w:t>
            </w:r>
            <w:r w:rsidR="003C1ACD">
              <w:rPr>
                <w:i/>
                <w:vertAlign w:val="subscript"/>
              </w:rPr>
              <w:t xml:space="preserve"> </w:t>
            </w:r>
            <w:r w:rsidR="003C1ACD" w:rsidRPr="009E5A27">
              <w:rPr>
                <w:i/>
                <w:vertAlign w:val="subscript"/>
              </w:rPr>
              <w:t xml:space="preserve">r, </w:t>
            </w:r>
            <w:r w:rsidR="003C1ACD">
              <w:rPr>
                <w:i/>
                <w:vertAlign w:val="subscript"/>
              </w:rPr>
              <w:t>p,</w:t>
            </w:r>
            <w:r w:rsidR="003C1ACD" w:rsidRPr="00064701">
              <w:rPr>
                <w:i/>
                <w:vertAlign w:val="subscript"/>
              </w:rPr>
              <w:t xml:space="preserve"> </w:t>
            </w:r>
            <w:r w:rsidR="003C1ACD" w:rsidRPr="009E5A27">
              <w:rPr>
                <w:i/>
                <w:vertAlign w:val="subscript"/>
              </w:rPr>
              <w:t>h</w:t>
            </w:r>
          </w:p>
          <w:p w14:paraId="1084A6AE" w14:textId="77777777" w:rsidR="00F46726" w:rsidRPr="004C0093" w:rsidRDefault="00F46726" w:rsidP="00F46726">
            <w:r w:rsidRPr="004C009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236030" w:rsidRPr="004C0093" w14:paraId="1BA29FE8" w14:textId="77777777" w:rsidTr="00236030">
              <w:tc>
                <w:tcPr>
                  <w:tcW w:w="1154" w:type="pct"/>
                  <w:shd w:val="clear" w:color="auto" w:fill="auto"/>
                </w:tcPr>
                <w:p w14:paraId="4BFB1F53" w14:textId="77777777" w:rsidR="00236030" w:rsidRPr="004C0093" w:rsidRDefault="00236030" w:rsidP="00236030">
                  <w:pPr>
                    <w:spacing w:after="240"/>
                    <w:rPr>
                      <w:b/>
                      <w:iCs/>
                      <w:sz w:val="20"/>
                    </w:rPr>
                  </w:pPr>
                  <w:r w:rsidRPr="004C0093">
                    <w:rPr>
                      <w:b/>
                      <w:iCs/>
                      <w:sz w:val="20"/>
                    </w:rPr>
                    <w:t>Variable</w:t>
                  </w:r>
                </w:p>
              </w:tc>
              <w:tc>
                <w:tcPr>
                  <w:tcW w:w="456" w:type="pct"/>
                  <w:shd w:val="clear" w:color="auto" w:fill="auto"/>
                </w:tcPr>
                <w:p w14:paraId="7BEDA33E" w14:textId="77777777" w:rsidR="00236030" w:rsidRPr="004C0093" w:rsidRDefault="00236030" w:rsidP="00236030">
                  <w:pPr>
                    <w:spacing w:after="240"/>
                    <w:rPr>
                      <w:b/>
                      <w:iCs/>
                      <w:sz w:val="20"/>
                    </w:rPr>
                  </w:pPr>
                  <w:r w:rsidRPr="004C0093">
                    <w:rPr>
                      <w:b/>
                      <w:iCs/>
                      <w:sz w:val="20"/>
                    </w:rPr>
                    <w:t>Unit</w:t>
                  </w:r>
                </w:p>
              </w:tc>
              <w:tc>
                <w:tcPr>
                  <w:tcW w:w="3390" w:type="pct"/>
                  <w:shd w:val="clear" w:color="auto" w:fill="auto"/>
                </w:tcPr>
                <w:p w14:paraId="669C7789" w14:textId="77777777" w:rsidR="00236030" w:rsidRPr="004C0093" w:rsidRDefault="00236030" w:rsidP="00236030">
                  <w:pPr>
                    <w:spacing w:after="240"/>
                    <w:rPr>
                      <w:b/>
                      <w:iCs/>
                      <w:sz w:val="20"/>
                    </w:rPr>
                  </w:pPr>
                  <w:r w:rsidRPr="004C0093">
                    <w:rPr>
                      <w:b/>
                      <w:iCs/>
                      <w:sz w:val="20"/>
                    </w:rPr>
                    <w:t>Description</w:t>
                  </w:r>
                </w:p>
              </w:tc>
            </w:tr>
            <w:tr w:rsidR="00236030" w:rsidRPr="004C0093" w14:paraId="423DF24B" w14:textId="77777777" w:rsidTr="00236030">
              <w:tc>
                <w:tcPr>
                  <w:tcW w:w="1154" w:type="pct"/>
                  <w:shd w:val="clear" w:color="auto" w:fill="auto"/>
                </w:tcPr>
                <w:p w14:paraId="48DD58A7" w14:textId="77777777" w:rsidR="00236030" w:rsidRPr="004C0093" w:rsidRDefault="00236030" w:rsidP="00236030">
                  <w:pPr>
                    <w:spacing w:after="60"/>
                    <w:rPr>
                      <w:iCs/>
                      <w:sz w:val="20"/>
                    </w:rPr>
                  </w:pPr>
                  <w:r w:rsidRPr="004C0093">
                    <w:rPr>
                      <w:color w:val="000000"/>
                      <w:sz w:val="20"/>
                    </w:rPr>
                    <w:t>RTDA</w:t>
                  </w:r>
                  <w:r>
                    <w:rPr>
                      <w:color w:val="000000"/>
                      <w:sz w:val="20"/>
                    </w:rPr>
                    <w:t>M</w:t>
                  </w:r>
                  <w:r w:rsidRPr="004C0093">
                    <w:rPr>
                      <w:color w:val="000000"/>
                      <w:sz w:val="20"/>
                    </w:rPr>
                    <w:t>WA</w:t>
                  </w:r>
                  <w:r>
                    <w:rPr>
                      <w:color w:val="000000"/>
                      <w:sz w:val="20"/>
                    </w:rPr>
                    <w:t>MT</w:t>
                  </w:r>
                  <w:r w:rsidRPr="004C0093">
                    <w:rPr>
                      <w:i/>
                      <w:vertAlign w:val="subscript"/>
                    </w:rPr>
                    <w:t xml:space="preserve"> </w:t>
                  </w:r>
                  <w:r w:rsidRPr="001E48BD">
                    <w:rPr>
                      <w:i/>
                      <w:sz w:val="20"/>
                      <w:vertAlign w:val="subscript"/>
                    </w:rPr>
                    <w:t>q,</w:t>
                  </w:r>
                  <w:r>
                    <w:rPr>
                      <w:i/>
                      <w:sz w:val="20"/>
                      <w:vertAlign w:val="subscript"/>
                    </w:rPr>
                    <w:t xml:space="preserve"> </w:t>
                  </w:r>
                  <w:r w:rsidRPr="001E48BD">
                    <w:rPr>
                      <w:i/>
                      <w:sz w:val="20"/>
                      <w:vertAlign w:val="subscript"/>
                    </w:rPr>
                    <w:t>r, p, h</w:t>
                  </w:r>
                  <w:r w:rsidRPr="004C0093">
                    <w:rPr>
                      <w:i/>
                      <w:sz w:val="20"/>
                      <w:vertAlign w:val="subscript"/>
                    </w:rPr>
                    <w:t xml:space="preserve">  </w:t>
                  </w:r>
                </w:p>
              </w:tc>
              <w:tc>
                <w:tcPr>
                  <w:tcW w:w="456" w:type="pct"/>
                  <w:shd w:val="clear" w:color="auto" w:fill="auto"/>
                </w:tcPr>
                <w:p w14:paraId="6E9EE28B"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6065F391" w14:textId="77777777" w:rsidR="00236030" w:rsidRPr="004C0093" w:rsidRDefault="00236030" w:rsidP="00236030">
                  <w:pPr>
                    <w:spacing w:after="60"/>
                    <w:rPr>
                      <w:iCs/>
                      <w:sz w:val="20"/>
                    </w:rPr>
                  </w:pPr>
                  <w:r w:rsidRPr="004C0093">
                    <w:rPr>
                      <w:i/>
                      <w:sz w:val="20"/>
                    </w:rPr>
                    <w:t xml:space="preserve">Real-Time Day-Ahead Make-Whole Payment </w:t>
                  </w:r>
                  <w:r>
                    <w:rPr>
                      <w:i/>
                      <w:sz w:val="20"/>
                    </w:rPr>
                    <w:t xml:space="preserve">Amount </w:t>
                  </w:r>
                  <w:r w:rsidRPr="004C0093">
                    <w:rPr>
                      <w:i/>
                      <w:sz w:val="20"/>
                    </w:rPr>
                    <w:t>per QSE per Resource per Settlement Point per hour</w:t>
                  </w:r>
                  <w:r>
                    <w:rPr>
                      <w:i/>
                      <w:sz w:val="20"/>
                    </w:rPr>
                    <w:t xml:space="preserve"> </w:t>
                  </w:r>
                  <w:r w:rsidRPr="004C0093">
                    <w:rPr>
                      <w:sz w:val="20"/>
                    </w:rPr>
                    <w:sym w:font="Symbol" w:char="F0BE"/>
                  </w:r>
                  <w:r w:rsidRPr="004C0093">
                    <w:rPr>
                      <w:sz w:val="20"/>
                    </w:rPr>
                    <w:t xml:space="preserve">The Real-Time calculated payment to QSE </w:t>
                  </w:r>
                  <w:r w:rsidRPr="004C0093">
                    <w:rPr>
                      <w:i/>
                      <w:sz w:val="20"/>
                    </w:rPr>
                    <w:t>q</w:t>
                  </w:r>
                  <w:r w:rsidRPr="004C0093">
                    <w:rPr>
                      <w:sz w:val="20"/>
                    </w:rPr>
                    <w:t xml:space="preserve"> to make-whole the Startup </w:t>
                  </w:r>
                  <w:r>
                    <w:rPr>
                      <w:sz w:val="20"/>
                    </w:rPr>
                    <w:t xml:space="preserve">Cost </w:t>
                  </w:r>
                  <w:r w:rsidRPr="004C0093">
                    <w:rPr>
                      <w:sz w:val="20"/>
                    </w:rPr>
                    <w:t xml:space="preserve">and </w:t>
                  </w:r>
                  <w:r>
                    <w:rPr>
                      <w:sz w:val="20"/>
                    </w:rPr>
                    <w:t>e</w:t>
                  </w:r>
                  <w:r w:rsidRPr="004C0093">
                    <w:rPr>
                      <w:sz w:val="20"/>
                    </w:rPr>
                    <w:t xml:space="preserve">nergy costs of Resource </w:t>
                  </w:r>
                  <w:r w:rsidRPr="004C0093">
                    <w:rPr>
                      <w:i/>
                      <w:sz w:val="20"/>
                    </w:rPr>
                    <w:t>r</w:t>
                  </w:r>
                  <w:r w:rsidRPr="004C0093">
                    <w:rPr>
                      <w:sz w:val="20"/>
                    </w:rPr>
                    <w:t xml:space="preserve"> committed in the DAM at Resource Node </w:t>
                  </w:r>
                  <w:r w:rsidRPr="004C0093">
                    <w:rPr>
                      <w:i/>
                      <w:sz w:val="20"/>
                    </w:rPr>
                    <w:t>p</w:t>
                  </w:r>
                  <w:r w:rsidRPr="004C0093">
                    <w:rPr>
                      <w:sz w:val="20"/>
                    </w:rPr>
                    <w:t xml:space="preserve"> for the hour </w:t>
                  </w:r>
                  <w:r w:rsidRPr="004C0093">
                    <w:rPr>
                      <w:i/>
                      <w:sz w:val="20"/>
                    </w:rPr>
                    <w:t>h</w:t>
                  </w:r>
                  <w:r w:rsidRPr="004C0093">
                    <w:rPr>
                      <w:sz w:val="20"/>
                    </w:rPr>
                    <w:t>.  When a Combined Cycle Generation Resource is committed in the DAM, payment is made to the Combined Cycle Train for the DAM-committed Combined Cycle Generation Resource.</w:t>
                  </w:r>
                </w:p>
              </w:tc>
            </w:tr>
            <w:tr w:rsidR="00236030" w:rsidRPr="004C0093" w14:paraId="09A661A4" w14:textId="77777777" w:rsidTr="00236030">
              <w:tc>
                <w:tcPr>
                  <w:tcW w:w="1154" w:type="pct"/>
                  <w:shd w:val="clear" w:color="auto" w:fill="auto"/>
                </w:tcPr>
                <w:p w14:paraId="5D85014F" w14:textId="77777777" w:rsidR="00236030" w:rsidRPr="004C0093" w:rsidRDefault="00236030" w:rsidP="00236030">
                  <w:pPr>
                    <w:spacing w:after="60"/>
                    <w:rPr>
                      <w:sz w:val="20"/>
                    </w:rPr>
                  </w:pPr>
                  <w:r w:rsidRPr="004C0093">
                    <w:rPr>
                      <w:sz w:val="20"/>
                    </w:rPr>
                    <w:t xml:space="preserve">DAMGCOST </w:t>
                  </w:r>
                  <w:r w:rsidRPr="004C0093">
                    <w:rPr>
                      <w:i/>
                      <w:sz w:val="20"/>
                      <w:vertAlign w:val="subscript"/>
                      <w:lang w:val="pt-BR"/>
                    </w:rPr>
                    <w:t>q,</w:t>
                  </w:r>
                  <w:r w:rsidRPr="00B019A1">
                    <w:rPr>
                      <w:i/>
                      <w:sz w:val="20"/>
                      <w:vertAlign w:val="subscript"/>
                      <w:lang w:val="pt-BR"/>
                    </w:rPr>
                    <w:t xml:space="preserve"> r, </w:t>
                  </w:r>
                  <w:r w:rsidRPr="000064DA">
                    <w:rPr>
                      <w:i/>
                      <w:sz w:val="20"/>
                      <w:vertAlign w:val="subscript"/>
                    </w:rPr>
                    <w:t>p</w:t>
                  </w:r>
                </w:p>
              </w:tc>
              <w:tc>
                <w:tcPr>
                  <w:tcW w:w="456" w:type="pct"/>
                  <w:shd w:val="clear" w:color="auto" w:fill="auto"/>
                </w:tcPr>
                <w:p w14:paraId="52901A46"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7D4CE2D1" w14:textId="77777777" w:rsidR="00236030" w:rsidRPr="004C0093" w:rsidRDefault="00236030" w:rsidP="00236030">
                  <w:pPr>
                    <w:spacing w:after="60"/>
                    <w:rPr>
                      <w:i/>
                      <w:sz w:val="20"/>
                    </w:rPr>
                  </w:pPr>
                  <w:r w:rsidRPr="004C0093">
                    <w:rPr>
                      <w:i/>
                      <w:sz w:val="20"/>
                    </w:rPr>
                    <w:t xml:space="preserve">Day-Ahead Market Guaranteed Amount per QSE per Resource per Settlement Point </w:t>
                  </w:r>
                  <w:r w:rsidRPr="004C0093">
                    <w:rPr>
                      <w:sz w:val="20"/>
                    </w:rPr>
                    <w:sym w:font="Symbol" w:char="F0BE"/>
                  </w:r>
                  <w:r w:rsidRPr="004C0093">
                    <w:rPr>
                      <w:i/>
                      <w:sz w:val="20"/>
                    </w:rPr>
                    <w:t xml:space="preserve"> </w:t>
                  </w:r>
                  <w:r w:rsidRPr="004C0093">
                    <w:rPr>
                      <w:sz w:val="20"/>
                    </w:rPr>
                    <w:t xml:space="preserve">The sum of the Startup Cost and the operating energy costs of the DAM-committed Resource </w:t>
                  </w:r>
                  <w:r w:rsidRPr="004C0093">
                    <w:rPr>
                      <w:i/>
                      <w:sz w:val="20"/>
                    </w:rPr>
                    <w:t>r</w:t>
                  </w:r>
                  <w:r w:rsidRPr="004C0093">
                    <w:rPr>
                      <w:sz w:val="20"/>
                    </w:rPr>
                    <w:t xml:space="preserve"> at Resource Node </w:t>
                  </w:r>
                  <w:r w:rsidRPr="004C0093">
                    <w:rPr>
                      <w:i/>
                      <w:sz w:val="20"/>
                    </w:rPr>
                    <w:t>p</w:t>
                  </w:r>
                  <w:r w:rsidRPr="004C0093">
                    <w:rPr>
                      <w:sz w:val="20"/>
                    </w:rPr>
                    <w:t xml:space="preserve"> represented by QSE </w:t>
                  </w:r>
                  <w:r w:rsidRPr="004C0093">
                    <w:rPr>
                      <w:i/>
                      <w:sz w:val="20"/>
                    </w:rPr>
                    <w:t>q</w:t>
                  </w:r>
                  <w:r w:rsidRPr="004C0093">
                    <w:rPr>
                      <w:sz w:val="20"/>
                    </w:rPr>
                    <w:t xml:space="preserve">, for the DAM-commitment period.  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06AA6530" w14:textId="77777777" w:rsidTr="00236030">
              <w:tc>
                <w:tcPr>
                  <w:tcW w:w="1154" w:type="pct"/>
                  <w:shd w:val="clear" w:color="auto" w:fill="auto"/>
                </w:tcPr>
                <w:p w14:paraId="4EFC91D7" w14:textId="77777777" w:rsidR="00236030" w:rsidRPr="004C0093" w:rsidRDefault="00236030" w:rsidP="00236030">
                  <w:pPr>
                    <w:spacing w:after="60"/>
                    <w:rPr>
                      <w:sz w:val="20"/>
                    </w:rPr>
                  </w:pPr>
                  <w:r w:rsidRPr="004C0093">
                    <w:rPr>
                      <w:sz w:val="20"/>
                      <w:lang w:val="pt-BR"/>
                    </w:rPr>
                    <w:t xml:space="preserve">DAEREV </w:t>
                  </w:r>
                  <w:r w:rsidRPr="004C0093">
                    <w:rPr>
                      <w:i/>
                      <w:sz w:val="20"/>
                      <w:vertAlign w:val="subscript"/>
                      <w:lang w:val="pt-BR"/>
                    </w:rPr>
                    <w:t>q,</w:t>
                  </w:r>
                  <w:r>
                    <w:rPr>
                      <w:i/>
                      <w:sz w:val="20"/>
                      <w:vertAlign w:val="subscript"/>
                      <w:lang w:val="pt-BR"/>
                    </w:rPr>
                    <w:t xml:space="preserve"> </w:t>
                  </w:r>
                  <w:r w:rsidRPr="004C0093">
                    <w:rPr>
                      <w:i/>
                      <w:sz w:val="20"/>
                      <w:vertAlign w:val="subscript"/>
                      <w:lang w:val="pt-BR"/>
                    </w:rPr>
                    <w:t>r</w:t>
                  </w:r>
                  <w:r w:rsidRPr="00B019A1">
                    <w:rPr>
                      <w:i/>
                      <w:sz w:val="20"/>
                      <w:vertAlign w:val="subscript"/>
                      <w:lang w:val="pt-BR"/>
                    </w:rPr>
                    <w:t xml:space="preserve">, </w:t>
                  </w:r>
                  <w:r w:rsidRPr="000064DA">
                    <w:rPr>
                      <w:i/>
                      <w:sz w:val="20"/>
                      <w:vertAlign w:val="subscript"/>
                    </w:rPr>
                    <w:t xml:space="preserve">p, </w:t>
                  </w:r>
                  <w:r w:rsidRPr="00B019A1">
                    <w:rPr>
                      <w:i/>
                      <w:sz w:val="20"/>
                      <w:vertAlign w:val="subscript"/>
                      <w:lang w:val="pt-BR"/>
                    </w:rPr>
                    <w:t>h</w:t>
                  </w:r>
                </w:p>
              </w:tc>
              <w:tc>
                <w:tcPr>
                  <w:tcW w:w="456" w:type="pct"/>
                  <w:shd w:val="clear" w:color="auto" w:fill="auto"/>
                </w:tcPr>
                <w:p w14:paraId="4A73C6F6"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56A4ADBF" w14:textId="77777777" w:rsidR="00236030" w:rsidRPr="004C0093" w:rsidRDefault="00236030" w:rsidP="00236030">
                  <w:pPr>
                    <w:spacing w:after="60"/>
                    <w:rPr>
                      <w:i/>
                      <w:sz w:val="20"/>
                    </w:rPr>
                  </w:pPr>
                  <w:r w:rsidRPr="004C0093">
                    <w:rPr>
                      <w:i/>
                      <w:sz w:val="20"/>
                    </w:rPr>
                    <w:t>Day-Ahead Energy Revenue per QSE per Resource per Settlement Point per hour</w:t>
                  </w:r>
                  <w:r w:rsidRPr="004C0093">
                    <w:rPr>
                      <w:sz w:val="20"/>
                    </w:rPr>
                    <w:t xml:space="preserve"> </w:t>
                  </w:r>
                  <w:r w:rsidRPr="004C0093">
                    <w:rPr>
                      <w:sz w:val="20"/>
                    </w:rPr>
                    <w:sym w:font="Symbol" w:char="F0BE"/>
                  </w:r>
                  <w:r w:rsidRPr="004C0093">
                    <w:rPr>
                      <w:sz w:val="20"/>
                    </w:rPr>
                    <w:t xml:space="preserve">The revenue received in the DAM for Resource </w:t>
                  </w:r>
                  <w:r w:rsidRPr="004C0093">
                    <w:rPr>
                      <w:i/>
                      <w:sz w:val="20"/>
                    </w:rPr>
                    <w:t>r</w:t>
                  </w:r>
                  <w:r w:rsidRPr="004C0093">
                    <w:rPr>
                      <w:sz w:val="20"/>
                    </w:rPr>
                    <w:t xml:space="preserve"> at Resource Node </w:t>
                  </w:r>
                  <w:r w:rsidRPr="004C0093">
                    <w:rPr>
                      <w:i/>
                      <w:sz w:val="20"/>
                    </w:rPr>
                    <w:t>p</w:t>
                  </w:r>
                  <w:r w:rsidRPr="004C0093">
                    <w:rPr>
                      <w:sz w:val="20"/>
                    </w:rPr>
                    <w:t xml:space="preserve"> represented by QSE </w:t>
                  </w:r>
                  <w:r w:rsidRPr="004C0093">
                    <w:rPr>
                      <w:i/>
                      <w:sz w:val="20"/>
                    </w:rPr>
                    <w:t>q</w:t>
                  </w:r>
                  <w:r w:rsidRPr="004C0093">
                    <w:rPr>
                      <w:sz w:val="20"/>
                    </w:rPr>
                    <w:t xml:space="preserve">, based on the DAM Settlement Point Price, for the hour </w:t>
                  </w:r>
                  <w:r w:rsidRPr="004C0093">
                    <w:rPr>
                      <w:i/>
                      <w:sz w:val="20"/>
                    </w:rPr>
                    <w:t>h</w:t>
                  </w:r>
                  <w:r w:rsidRPr="004C0093">
                    <w:rPr>
                      <w:sz w:val="20"/>
                    </w:rPr>
                    <w:t xml:space="preserve">.  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9AB9E67" w14:textId="77777777" w:rsidTr="00236030">
              <w:tc>
                <w:tcPr>
                  <w:tcW w:w="1154" w:type="pct"/>
                  <w:shd w:val="clear" w:color="auto" w:fill="auto"/>
                </w:tcPr>
                <w:p w14:paraId="51F88C06" w14:textId="77777777" w:rsidR="00236030" w:rsidRPr="004C0093" w:rsidRDefault="00236030" w:rsidP="00236030">
                  <w:pPr>
                    <w:spacing w:after="60"/>
                    <w:rPr>
                      <w:sz w:val="20"/>
                    </w:rPr>
                  </w:pPr>
                  <w:r w:rsidRPr="004C0093">
                    <w:rPr>
                      <w:sz w:val="20"/>
                    </w:rPr>
                    <w:t>INFQA</w:t>
                  </w:r>
                  <w:r>
                    <w:rPr>
                      <w:sz w:val="20"/>
                    </w:rPr>
                    <w:t>R</w:t>
                  </w:r>
                  <w:r w:rsidR="001F0DC8">
                    <w:rPr>
                      <w:sz w:val="20"/>
                    </w:rPr>
                    <w:t xml:space="preserve"> </w:t>
                  </w:r>
                  <w:r w:rsidRPr="000064DA">
                    <w:rPr>
                      <w:i/>
                      <w:sz w:val="22"/>
                      <w:vertAlign w:val="subscript"/>
                    </w:rPr>
                    <w:t>q, r, p, h</w:t>
                  </w:r>
                </w:p>
              </w:tc>
              <w:tc>
                <w:tcPr>
                  <w:tcW w:w="456" w:type="pct"/>
                  <w:shd w:val="clear" w:color="auto" w:fill="auto"/>
                </w:tcPr>
                <w:p w14:paraId="472094C0"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47F76A08" w14:textId="77777777" w:rsidR="00236030" w:rsidRPr="004C0093" w:rsidRDefault="00236030" w:rsidP="00236030">
                  <w:pPr>
                    <w:spacing w:after="60"/>
                    <w:rPr>
                      <w:i/>
                      <w:sz w:val="20"/>
                    </w:rPr>
                  </w:pPr>
                  <w:r w:rsidRPr="004C0093">
                    <w:rPr>
                      <w:i/>
                      <w:sz w:val="20"/>
                    </w:rPr>
                    <w:t>Infeasible Quantity Amount per QSE per Resource per Settlement Point per hour</w:t>
                  </w:r>
                  <w:r w:rsidRPr="004C0093">
                    <w:rPr>
                      <w:sz w:val="20"/>
                    </w:rPr>
                    <w:t xml:space="preserve"> —The </w:t>
                  </w:r>
                  <w:r>
                    <w:rPr>
                      <w:sz w:val="20"/>
                    </w:rPr>
                    <w:t>dollar amount</w:t>
                  </w:r>
                  <w:r w:rsidRPr="004C0093">
                    <w:rPr>
                      <w:sz w:val="20"/>
                    </w:rPr>
                    <w:t xml:space="preserve"> to QSE </w:t>
                  </w:r>
                  <w:r w:rsidRPr="004C0093">
                    <w:rPr>
                      <w:i/>
                      <w:sz w:val="20"/>
                    </w:rPr>
                    <w:t>q</w:t>
                  </w:r>
                  <w:r w:rsidRPr="004C0093">
                    <w:rPr>
                      <w:sz w:val="20"/>
                    </w:rPr>
                    <w:t xml:space="preserve"> for Resource </w:t>
                  </w:r>
                  <w:r w:rsidRPr="000064DA">
                    <w:rPr>
                      <w:i/>
                      <w:sz w:val="20"/>
                    </w:rPr>
                    <w:t>r</w:t>
                  </w:r>
                  <w:r w:rsidRPr="004C0093">
                    <w:rPr>
                      <w:sz w:val="20"/>
                    </w:rPr>
                    <w:t xml:space="preserve"> of its total capacity associated with infeasible deployment of Ancillary Service Supply </w:t>
                  </w:r>
                  <w:r w:rsidRPr="004C0093">
                    <w:rPr>
                      <w:iCs/>
                      <w:sz w:val="20"/>
                    </w:rPr>
                    <w:t>Responsibility</w:t>
                  </w:r>
                  <w:r w:rsidRPr="004C0093">
                    <w:rPr>
                      <w:sz w:val="20"/>
                    </w:rPr>
                    <w:t xml:space="preserve">, for the hour </w:t>
                  </w:r>
                  <w:r w:rsidRPr="004C0093">
                    <w:rPr>
                      <w:i/>
                      <w:sz w:val="20"/>
                    </w:rPr>
                    <w:t>h</w:t>
                  </w:r>
                  <w:r w:rsidRPr="004C0093">
                    <w:rPr>
                      <w:sz w:val="20"/>
                    </w:rPr>
                    <w:t>.</w:t>
                  </w:r>
                  <w:r>
                    <w:rPr>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2C8EFA4" w14:textId="77777777" w:rsidTr="00236030">
              <w:tc>
                <w:tcPr>
                  <w:tcW w:w="1154" w:type="pct"/>
                  <w:shd w:val="clear" w:color="auto" w:fill="auto"/>
                </w:tcPr>
                <w:p w14:paraId="47E8CC08" w14:textId="77777777" w:rsidR="00236030" w:rsidRPr="001F0DC8" w:rsidRDefault="00236030" w:rsidP="00236030">
                  <w:pPr>
                    <w:spacing w:after="60"/>
                    <w:rPr>
                      <w:sz w:val="20"/>
                    </w:rPr>
                  </w:pPr>
                  <w:r w:rsidRPr="001F0DC8">
                    <w:rPr>
                      <w:sz w:val="20"/>
                    </w:rPr>
                    <w:t xml:space="preserve">DAMWAMT </w:t>
                  </w:r>
                  <w:r w:rsidRPr="001F0DC8">
                    <w:rPr>
                      <w:i/>
                      <w:sz w:val="20"/>
                      <w:vertAlign w:val="subscript"/>
                      <w:lang w:val="pt-BR"/>
                    </w:rPr>
                    <w:t xml:space="preserve">q, </w:t>
                  </w:r>
                  <w:r w:rsidR="001F0DC8" w:rsidRPr="001F0DC8">
                    <w:rPr>
                      <w:i/>
                      <w:sz w:val="20"/>
                      <w:vertAlign w:val="subscript"/>
                    </w:rPr>
                    <w:t>r, p, h</w:t>
                  </w:r>
                </w:p>
              </w:tc>
              <w:tc>
                <w:tcPr>
                  <w:tcW w:w="456" w:type="pct"/>
                  <w:shd w:val="clear" w:color="auto" w:fill="auto"/>
                </w:tcPr>
                <w:p w14:paraId="48E81710"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0AC99795" w14:textId="77777777" w:rsidR="00236030" w:rsidRPr="004C0093" w:rsidRDefault="00236030" w:rsidP="00236030">
                  <w:pPr>
                    <w:spacing w:after="60"/>
                    <w:rPr>
                      <w:i/>
                      <w:iCs/>
                      <w:sz w:val="20"/>
                    </w:rPr>
                  </w:pPr>
                  <w:r w:rsidRPr="004C0093">
                    <w:rPr>
                      <w:i/>
                      <w:sz w:val="20"/>
                    </w:rPr>
                    <w:t>Day-Ahead Make-Whole Payment per QSE per Resource per Settlement Point per hour</w:t>
                  </w:r>
                  <w:r w:rsidRPr="004C0093">
                    <w:rPr>
                      <w:sz w:val="20"/>
                    </w:rPr>
                    <w:t xml:space="preserve"> </w:t>
                  </w:r>
                  <w:r w:rsidRPr="004C0093">
                    <w:rPr>
                      <w:sz w:val="20"/>
                    </w:rPr>
                    <w:sym w:font="Symbol" w:char="F0BE"/>
                  </w:r>
                  <w:r w:rsidRPr="004C0093">
                    <w:rPr>
                      <w:sz w:val="20"/>
                    </w:rPr>
                    <w:t xml:space="preserve">The payment to QSE </w:t>
                  </w:r>
                  <w:r w:rsidRPr="004C0093">
                    <w:rPr>
                      <w:i/>
                      <w:sz w:val="20"/>
                    </w:rPr>
                    <w:t>q</w:t>
                  </w:r>
                  <w:r w:rsidRPr="004C0093">
                    <w:rPr>
                      <w:sz w:val="20"/>
                    </w:rPr>
                    <w:t xml:space="preserve"> to make-whole the Startup Cost and energy cost of Resource </w:t>
                  </w:r>
                  <w:r w:rsidRPr="004C0093">
                    <w:rPr>
                      <w:i/>
                      <w:sz w:val="20"/>
                    </w:rPr>
                    <w:t>r</w:t>
                  </w:r>
                  <w:r w:rsidRPr="004C0093">
                    <w:rPr>
                      <w:sz w:val="20"/>
                    </w:rPr>
                    <w:t xml:space="preserve"> committed in the DAM at Resource Node </w:t>
                  </w:r>
                  <w:r w:rsidRPr="004C0093">
                    <w:rPr>
                      <w:i/>
                      <w:sz w:val="20"/>
                    </w:rPr>
                    <w:t>p</w:t>
                  </w:r>
                  <w:r w:rsidRPr="004C0093">
                    <w:rPr>
                      <w:sz w:val="20"/>
                    </w:rPr>
                    <w:t xml:space="preserve"> for the hour </w:t>
                  </w:r>
                  <w:r w:rsidRPr="004C0093">
                    <w:rPr>
                      <w:i/>
                      <w:sz w:val="20"/>
                    </w:rPr>
                    <w:t>h</w:t>
                  </w:r>
                  <w:r w:rsidRPr="004C0093">
                    <w:rPr>
                      <w:sz w:val="20"/>
                    </w:rPr>
                    <w:t>.  When a Combined Cycle Generation Resource is committed in the DAM, payment is made to the Combined Cycle Train for the DAM-committed Combined Cycle Generation Resource.</w:t>
                  </w:r>
                </w:p>
              </w:tc>
            </w:tr>
            <w:tr w:rsidR="00236030" w:rsidRPr="004C0093" w14:paraId="53B40E72" w14:textId="77777777" w:rsidTr="00236030">
              <w:trPr>
                <w:trHeight w:val="1178"/>
              </w:trPr>
              <w:tc>
                <w:tcPr>
                  <w:tcW w:w="1154" w:type="pct"/>
                  <w:shd w:val="clear" w:color="auto" w:fill="auto"/>
                </w:tcPr>
                <w:p w14:paraId="219E4F7B" w14:textId="77777777" w:rsidR="00236030" w:rsidRPr="001F0DC8" w:rsidRDefault="00236030" w:rsidP="00236030">
                  <w:pPr>
                    <w:spacing w:after="60"/>
                    <w:rPr>
                      <w:sz w:val="20"/>
                    </w:rPr>
                  </w:pPr>
                  <w:r w:rsidRPr="001F0DC8">
                    <w:rPr>
                      <w:sz w:val="20"/>
                      <w:lang w:val="pt-BR"/>
                    </w:rPr>
                    <w:lastRenderedPageBreak/>
                    <w:t xml:space="preserve">DAASREV </w:t>
                  </w:r>
                  <w:r w:rsidRPr="001F0DC8">
                    <w:rPr>
                      <w:i/>
                      <w:sz w:val="20"/>
                      <w:vertAlign w:val="subscript"/>
                      <w:lang w:val="pt-BR"/>
                    </w:rPr>
                    <w:t>q, r, h</w:t>
                  </w:r>
                </w:p>
              </w:tc>
              <w:tc>
                <w:tcPr>
                  <w:tcW w:w="456" w:type="pct"/>
                  <w:shd w:val="clear" w:color="auto" w:fill="auto"/>
                </w:tcPr>
                <w:p w14:paraId="515BE08C"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4CC243E9" w14:textId="77777777" w:rsidR="00236030" w:rsidRPr="004C0093" w:rsidRDefault="00236030" w:rsidP="00065EC3">
                  <w:pPr>
                    <w:spacing w:after="60"/>
                    <w:rPr>
                      <w:i/>
                      <w:iCs/>
                      <w:sz w:val="20"/>
                    </w:rPr>
                  </w:pPr>
                  <w:r w:rsidRPr="004C0093">
                    <w:rPr>
                      <w:i/>
                      <w:sz w:val="20"/>
                    </w:rPr>
                    <w:t>Day-Ahead Ancillary Service Revenue per QSE per Resource by hour</w:t>
                  </w:r>
                  <w:r w:rsidRPr="004C0093">
                    <w:rPr>
                      <w:sz w:val="20"/>
                    </w:rPr>
                    <w:sym w:font="Symbol" w:char="F0BE"/>
                  </w:r>
                  <w:r w:rsidRPr="004C0093">
                    <w:rPr>
                      <w:sz w:val="20"/>
                    </w:rPr>
                    <w:t xml:space="preserve">The revenue received in the DAM for Resource </w:t>
                  </w:r>
                  <w:r w:rsidRPr="004C0093">
                    <w:rPr>
                      <w:i/>
                      <w:sz w:val="20"/>
                    </w:rPr>
                    <w:t>r</w:t>
                  </w:r>
                  <w:r w:rsidRPr="004C0093">
                    <w:rPr>
                      <w:sz w:val="20"/>
                    </w:rPr>
                    <w:t xml:space="preserve"> represented by QSE </w:t>
                  </w:r>
                  <w:r w:rsidRPr="004C0093">
                    <w:rPr>
                      <w:i/>
                      <w:sz w:val="20"/>
                    </w:rPr>
                    <w:t>q</w:t>
                  </w:r>
                  <w:r w:rsidRPr="004C0093">
                    <w:rPr>
                      <w:sz w:val="20"/>
                    </w:rPr>
                    <w:t xml:space="preserve">, based on the MCPC for each Ancillary Service in the DAM, for the hour </w:t>
                  </w:r>
                  <w:r w:rsidRPr="004C0093">
                    <w:rPr>
                      <w:i/>
                      <w:sz w:val="20"/>
                    </w:rPr>
                    <w:t>h</w:t>
                  </w:r>
                  <w:r w:rsidRPr="004C0093">
                    <w:rPr>
                      <w:sz w:val="20"/>
                    </w:rPr>
                    <w:t xml:space="preserve">.  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140F0B78"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D9B0C39" w14:textId="77777777" w:rsidR="00236030" w:rsidRPr="001F0DC8" w:rsidRDefault="00236030" w:rsidP="00236030">
                  <w:pPr>
                    <w:spacing w:after="60"/>
                    <w:rPr>
                      <w:iCs/>
                      <w:sz w:val="20"/>
                    </w:rPr>
                  </w:pPr>
                  <w:r w:rsidRPr="001F0DC8">
                    <w:rPr>
                      <w:sz w:val="20"/>
                    </w:rPr>
                    <w:t xml:space="preserve">RUINFQAR </w:t>
                  </w:r>
                  <w:r w:rsidRPr="001F0DC8">
                    <w:rPr>
                      <w:i/>
                      <w:sz w:val="20"/>
                      <w:vertAlign w:val="subscript"/>
                    </w:rPr>
                    <w:t>q, r, p, h</w:t>
                  </w:r>
                </w:p>
                <w:p w14:paraId="0030B443" w14:textId="77777777" w:rsidR="00236030" w:rsidRPr="001F0DC8" w:rsidRDefault="00236030" w:rsidP="00236030">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78021BD"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99B40BB" w14:textId="77777777" w:rsidR="00236030" w:rsidRPr="004C0093" w:rsidRDefault="00236030" w:rsidP="00236030">
                  <w:pPr>
                    <w:spacing w:after="60"/>
                    <w:rPr>
                      <w:i/>
                      <w:iCs/>
                      <w:sz w:val="20"/>
                    </w:rPr>
                  </w:pPr>
                  <w:r>
                    <w:rPr>
                      <w:i/>
                      <w:iCs/>
                      <w:sz w:val="20"/>
                    </w:rPr>
                    <w:t xml:space="preserve">Reg-Up </w:t>
                  </w:r>
                  <w:r w:rsidRPr="004C0093">
                    <w:rPr>
                      <w:i/>
                      <w:iCs/>
                      <w:sz w:val="20"/>
                    </w:rPr>
                    <w:t xml:space="preserve">Infeasible Quantity Amount </w:t>
                  </w:r>
                  <w:r w:rsidRPr="004C0093">
                    <w:rPr>
                      <w:i/>
                      <w:sz w:val="20"/>
                    </w:rPr>
                    <w:t>per QSE per Resource per Settlement Point per hour</w:t>
                  </w:r>
                  <w:r w:rsidRPr="004C0093">
                    <w:rPr>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capacity associated with infeasible deployment of Ancillary Service Supply Responsibility for Reg-Up, for the hour</w:t>
                  </w:r>
                  <w:r w:rsidRPr="004C0093">
                    <w:rPr>
                      <w:sz w:val="20"/>
                    </w:rPr>
                    <w:t xml:space="preserve"> </w:t>
                  </w:r>
                  <w:r w:rsidRPr="004C0093">
                    <w:rPr>
                      <w:i/>
                      <w:sz w:val="20"/>
                    </w:rPr>
                    <w:t>h</w:t>
                  </w:r>
                  <w:r w:rsidRPr="004C0093">
                    <w:rPr>
                      <w:iCs/>
                      <w:sz w:val="20"/>
                    </w:rPr>
                    <w:t>.</w:t>
                  </w:r>
                  <w:r>
                    <w:rPr>
                      <w:iCs/>
                      <w:sz w:val="20"/>
                    </w:rPr>
                    <w:t xml:space="preserve">  </w:t>
                  </w:r>
                  <w:r w:rsidRPr="00F74B73">
                    <w:rPr>
                      <w:sz w:val="20"/>
                    </w:rPr>
                    <w:t xml:space="preserve">Where for a Combined Cycle Train, the Resource </w:t>
                  </w:r>
                  <w:r w:rsidRPr="00F74B73">
                    <w:rPr>
                      <w:i/>
                      <w:sz w:val="20"/>
                    </w:rPr>
                    <w:t xml:space="preserve">r </w:t>
                  </w:r>
                  <w:r w:rsidRPr="00F74B73">
                    <w:rPr>
                      <w:sz w:val="20"/>
                    </w:rPr>
                    <w:t>is a Combined Cycle Generation Resource within the Combined Cycle Train.</w:t>
                  </w:r>
                </w:p>
              </w:tc>
            </w:tr>
            <w:tr w:rsidR="00236030" w:rsidRPr="004C0093" w14:paraId="4504F3AA"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2037C3A7" w14:textId="77777777" w:rsidR="00236030" w:rsidRPr="001F0DC8" w:rsidRDefault="00236030" w:rsidP="00236030">
                  <w:pPr>
                    <w:spacing w:after="60"/>
                    <w:rPr>
                      <w:iCs/>
                      <w:sz w:val="20"/>
                    </w:rPr>
                  </w:pPr>
                  <w:r w:rsidRPr="001F0DC8">
                    <w:rPr>
                      <w:iCs/>
                      <w:sz w:val="20"/>
                    </w:rPr>
                    <w:t xml:space="preserve">MCPCRU </w:t>
                  </w:r>
                  <w:r w:rsidRPr="001F0DC8">
                    <w:rPr>
                      <w:i/>
                      <w:iCs/>
                      <w:sz w:val="20"/>
                      <w:vertAlign w:val="subscript"/>
                    </w:rPr>
                    <w:t>DAM</w:t>
                  </w:r>
                </w:p>
                <w:p w14:paraId="165994F8" w14:textId="77777777" w:rsidR="00236030" w:rsidRPr="001F0DC8" w:rsidRDefault="00236030" w:rsidP="00236030">
                  <w:pPr>
                    <w:spacing w:after="60"/>
                    <w:rPr>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5B4A386"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DF1EC58" w14:textId="77777777" w:rsidR="00236030" w:rsidRPr="004C0093" w:rsidRDefault="00236030" w:rsidP="00236030">
                  <w:pPr>
                    <w:spacing w:after="60"/>
                    <w:rPr>
                      <w:i/>
                      <w:iCs/>
                      <w:sz w:val="20"/>
                    </w:rPr>
                  </w:pPr>
                  <w:r w:rsidRPr="004C0093">
                    <w:rPr>
                      <w:i/>
                      <w:iCs/>
                      <w:sz w:val="20"/>
                    </w:rPr>
                    <w:t>Market Clearing Price for Capacity for Reg-Up in DAM</w:t>
                  </w:r>
                  <w:r w:rsidRPr="004C0093">
                    <w:rPr>
                      <w:iCs/>
                      <w:sz w:val="20"/>
                    </w:rPr>
                    <w:t>—The DAM MCPC for Reg-Up for the hour.</w:t>
                  </w:r>
                </w:p>
              </w:tc>
            </w:tr>
            <w:tr w:rsidR="00236030" w:rsidRPr="004C0093" w14:paraId="60D5E3C0"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6A0498CC" w14:textId="77777777" w:rsidR="00236030" w:rsidRPr="001F0DC8" w:rsidRDefault="00236030" w:rsidP="00236030">
                  <w:pPr>
                    <w:spacing w:after="60"/>
                    <w:rPr>
                      <w:iCs/>
                      <w:sz w:val="20"/>
                    </w:rPr>
                  </w:pPr>
                  <w:r w:rsidRPr="001F0DC8">
                    <w:rPr>
                      <w:sz w:val="20"/>
                    </w:rPr>
                    <w:t xml:space="preserve">RDINFQAR </w:t>
                  </w:r>
                  <w:r w:rsidRPr="001F0DC8">
                    <w:rPr>
                      <w:i/>
                      <w:sz w:val="20"/>
                      <w:vertAlign w:val="subscript"/>
                    </w:rPr>
                    <w:t>q, r, p, h</w:t>
                  </w:r>
                </w:p>
                <w:p w14:paraId="4D66B45B" w14:textId="77777777" w:rsidR="00236030" w:rsidRPr="001F0DC8" w:rsidRDefault="00236030" w:rsidP="00236030">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821F6A0"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9FF43B9" w14:textId="77777777" w:rsidR="00236030" w:rsidRPr="004C0093" w:rsidRDefault="00236030" w:rsidP="00236030">
                  <w:pPr>
                    <w:spacing w:after="60"/>
                    <w:rPr>
                      <w:i/>
                      <w:iCs/>
                      <w:sz w:val="20"/>
                    </w:rPr>
                  </w:pPr>
                  <w:r w:rsidRPr="004C0093">
                    <w:rPr>
                      <w:i/>
                      <w:iCs/>
                      <w:sz w:val="20"/>
                    </w:rPr>
                    <w:t xml:space="preserve">Reg-Down Infeasible Quantity Amount </w:t>
                  </w:r>
                  <w:r w:rsidRPr="004C0093">
                    <w:rPr>
                      <w:i/>
                      <w:sz w:val="20"/>
                    </w:rPr>
                    <w:t>per QSE per Resource per Settlement Point per hour</w:t>
                  </w:r>
                  <w:r w:rsidRPr="004C0093">
                    <w:rPr>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total capacity associated with infeasible deployment of Ancillary Service Supply Responsibility for Reg-Down,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9E07DF8"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088F2AE6" w14:textId="77777777" w:rsidR="00236030" w:rsidRPr="001F0DC8" w:rsidRDefault="00236030" w:rsidP="00236030">
                  <w:pPr>
                    <w:spacing w:after="60"/>
                    <w:rPr>
                      <w:iCs/>
                      <w:sz w:val="20"/>
                    </w:rPr>
                  </w:pPr>
                  <w:r w:rsidRPr="001F0DC8">
                    <w:rPr>
                      <w:iCs/>
                      <w:sz w:val="20"/>
                    </w:rPr>
                    <w:t xml:space="preserve">MCPCRD </w:t>
                  </w:r>
                  <w:r w:rsidRPr="001F0DC8">
                    <w:rPr>
                      <w:i/>
                      <w:iCs/>
                      <w:sz w:val="20"/>
                      <w:vertAlign w:val="subscript"/>
                    </w:rPr>
                    <w:t>DAM</w:t>
                  </w:r>
                </w:p>
                <w:p w14:paraId="776D6D7A" w14:textId="77777777" w:rsidR="00236030" w:rsidRPr="001F0DC8" w:rsidRDefault="00236030" w:rsidP="00236030">
                  <w:pPr>
                    <w:spacing w:after="60"/>
                    <w:rPr>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C0DDCCD"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ADC8B7F" w14:textId="77777777" w:rsidR="00236030" w:rsidRPr="004C0093" w:rsidRDefault="00236030" w:rsidP="00236030">
                  <w:pPr>
                    <w:spacing w:after="60"/>
                    <w:rPr>
                      <w:i/>
                      <w:iCs/>
                      <w:sz w:val="20"/>
                    </w:rPr>
                  </w:pPr>
                  <w:r w:rsidRPr="004C0093">
                    <w:rPr>
                      <w:i/>
                      <w:iCs/>
                      <w:sz w:val="20"/>
                    </w:rPr>
                    <w:t>Market Clearing Price for Capacity for Reg-Down in DAM</w:t>
                  </w:r>
                  <w:r w:rsidRPr="004C0093">
                    <w:rPr>
                      <w:iCs/>
                      <w:sz w:val="20"/>
                    </w:rPr>
                    <w:t>—The DAM MCPC for Reg-Down for the hour.</w:t>
                  </w:r>
                </w:p>
              </w:tc>
            </w:tr>
            <w:tr w:rsidR="00236030" w:rsidRPr="004C0093" w14:paraId="6DCCAEE5"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44D9698" w14:textId="77777777" w:rsidR="00236030" w:rsidRPr="001F0DC8" w:rsidRDefault="00236030" w:rsidP="00236030">
                  <w:pPr>
                    <w:spacing w:after="60"/>
                    <w:rPr>
                      <w:iCs/>
                      <w:sz w:val="20"/>
                    </w:rPr>
                  </w:pPr>
                  <w:r w:rsidRPr="001F0DC8">
                    <w:rPr>
                      <w:sz w:val="20"/>
                    </w:rPr>
                    <w:t>RRINFQAR</w:t>
                  </w:r>
                  <w:r w:rsidR="001F0DC8" w:rsidRPr="001F0DC8">
                    <w:rPr>
                      <w:sz w:val="20"/>
                    </w:rPr>
                    <w:t xml:space="preserve">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F9716AB"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24D629C" w14:textId="77777777" w:rsidR="00236030" w:rsidRPr="004C0093" w:rsidRDefault="00236030" w:rsidP="000809F8">
                  <w:pPr>
                    <w:spacing w:after="60"/>
                    <w:rPr>
                      <w:i/>
                      <w:iCs/>
                      <w:sz w:val="20"/>
                    </w:rPr>
                  </w:pPr>
                  <w:r w:rsidRPr="004C0093">
                    <w:rPr>
                      <w:i/>
                      <w:iCs/>
                      <w:sz w:val="20"/>
                    </w:rPr>
                    <w:t xml:space="preserve">Responsive Reserve Infeasible Quantity Amount </w:t>
                  </w:r>
                  <w:r w:rsidRPr="004C0093">
                    <w:rPr>
                      <w:i/>
                      <w:sz w:val="20"/>
                    </w:rPr>
                    <w:t>per QSE per Resource per Settlement Point per hour</w:t>
                  </w:r>
                  <w:r>
                    <w:rPr>
                      <w:i/>
                      <w:iCs/>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total capacity associated with infeasible deployment of Ancillary Service Supply Responsibility for RRS,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236031B4"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605E782F" w14:textId="77777777" w:rsidR="00236030" w:rsidRPr="001F0DC8" w:rsidRDefault="00236030" w:rsidP="00236030">
                  <w:pPr>
                    <w:spacing w:after="60"/>
                    <w:rPr>
                      <w:iCs/>
                      <w:sz w:val="20"/>
                    </w:rPr>
                  </w:pPr>
                  <w:r w:rsidRPr="001F0DC8">
                    <w:rPr>
                      <w:iCs/>
                      <w:sz w:val="20"/>
                    </w:rPr>
                    <w:t xml:space="preserve">MCPCRR </w:t>
                  </w:r>
                  <w:r w:rsidRPr="001F0DC8">
                    <w:rPr>
                      <w:i/>
                      <w:iCs/>
                      <w:sz w:val="20"/>
                      <w:vertAlign w:val="subscript"/>
                    </w:rPr>
                    <w:t>DAM</w:t>
                  </w:r>
                </w:p>
                <w:p w14:paraId="233590B2" w14:textId="77777777" w:rsidR="00236030" w:rsidRPr="001F0DC8" w:rsidRDefault="00236030" w:rsidP="00236030">
                  <w:pPr>
                    <w:spacing w:after="60"/>
                    <w:rPr>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8FCCC89"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53F95BC" w14:textId="77777777" w:rsidR="00236030" w:rsidRPr="004C0093" w:rsidRDefault="00236030" w:rsidP="000809F8">
                  <w:pPr>
                    <w:spacing w:after="60"/>
                    <w:rPr>
                      <w:i/>
                      <w:iCs/>
                      <w:sz w:val="20"/>
                    </w:rPr>
                  </w:pPr>
                  <w:r w:rsidRPr="004C0093">
                    <w:rPr>
                      <w:i/>
                      <w:iCs/>
                      <w:sz w:val="20"/>
                    </w:rPr>
                    <w:t>Market Clearing Price for Capacity for Responsive Reserve in DAM</w:t>
                  </w:r>
                  <w:r w:rsidRPr="004C0093">
                    <w:rPr>
                      <w:iCs/>
                      <w:sz w:val="20"/>
                    </w:rPr>
                    <w:t>—The DAM MCPC for RR</w:t>
                  </w:r>
                  <w:r w:rsidR="00065EC3">
                    <w:rPr>
                      <w:iCs/>
                      <w:sz w:val="20"/>
                    </w:rPr>
                    <w:t xml:space="preserve">S </w:t>
                  </w:r>
                  <w:r w:rsidRPr="004C0093">
                    <w:rPr>
                      <w:iCs/>
                      <w:sz w:val="20"/>
                    </w:rPr>
                    <w:t>for the hour.</w:t>
                  </w:r>
                </w:p>
              </w:tc>
            </w:tr>
            <w:tr w:rsidR="00236030" w:rsidRPr="004C0093" w14:paraId="1609F64E"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C5F8927" w14:textId="77777777" w:rsidR="00236030" w:rsidRPr="001F0DC8" w:rsidRDefault="00236030" w:rsidP="00236030">
                  <w:pPr>
                    <w:spacing w:after="60"/>
                    <w:rPr>
                      <w:iCs/>
                      <w:sz w:val="20"/>
                    </w:rPr>
                  </w:pPr>
                  <w:r w:rsidRPr="001F0DC8">
                    <w:rPr>
                      <w:iCs/>
                      <w:sz w:val="20"/>
                    </w:rPr>
                    <w:t xml:space="preserve">NSINFQAR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81D70F0"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C8283DF" w14:textId="77777777" w:rsidR="00236030" w:rsidRPr="004C0093" w:rsidRDefault="00236030" w:rsidP="00236030">
                  <w:pPr>
                    <w:spacing w:after="60"/>
                    <w:rPr>
                      <w:i/>
                      <w:iCs/>
                      <w:sz w:val="20"/>
                    </w:rPr>
                  </w:pPr>
                  <w:r w:rsidRPr="004C0093">
                    <w:rPr>
                      <w:i/>
                      <w:iCs/>
                      <w:sz w:val="20"/>
                    </w:rPr>
                    <w:t xml:space="preserve">Non-Spin Infeasible Quantity Amount </w:t>
                  </w:r>
                  <w:r w:rsidRPr="004C0093">
                    <w:rPr>
                      <w:i/>
                      <w:sz w:val="20"/>
                    </w:rPr>
                    <w:t>per QSE per Resource per Settlement Point per hour</w:t>
                  </w:r>
                  <w:r>
                    <w:rPr>
                      <w:i/>
                      <w:iCs/>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total capacity associated with infeasible deployment of Ancillary Service Supply Responsibility for Non-Spin,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1F1ED7CD"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173ABE38" w14:textId="77777777" w:rsidR="00236030" w:rsidRPr="001F0DC8" w:rsidRDefault="00236030" w:rsidP="00236030">
                  <w:pPr>
                    <w:spacing w:after="60"/>
                    <w:rPr>
                      <w:iCs/>
                      <w:sz w:val="20"/>
                    </w:rPr>
                  </w:pPr>
                  <w:r w:rsidRPr="001F0DC8">
                    <w:rPr>
                      <w:iCs/>
                      <w:sz w:val="20"/>
                    </w:rPr>
                    <w:t xml:space="preserve">MCPCNS </w:t>
                  </w:r>
                  <w:r w:rsidRPr="001F0DC8">
                    <w:rPr>
                      <w:i/>
                      <w:iCs/>
                      <w:sz w:val="20"/>
                      <w:vertAlign w:val="subscript"/>
                    </w:rPr>
                    <w:t>DAM</w:t>
                  </w:r>
                </w:p>
                <w:p w14:paraId="43A02071" w14:textId="77777777" w:rsidR="00236030" w:rsidRPr="001F0DC8" w:rsidRDefault="00236030" w:rsidP="00236030">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1096E6F"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1DE7AEF" w14:textId="77777777" w:rsidR="00236030" w:rsidRPr="004C0093" w:rsidRDefault="00236030" w:rsidP="00236030">
                  <w:pPr>
                    <w:spacing w:after="60"/>
                    <w:rPr>
                      <w:i/>
                      <w:iCs/>
                      <w:sz w:val="20"/>
                    </w:rPr>
                  </w:pPr>
                  <w:r w:rsidRPr="004C0093">
                    <w:rPr>
                      <w:i/>
                      <w:iCs/>
                      <w:sz w:val="20"/>
                    </w:rPr>
                    <w:t>Market Clearing Price for Capacity for Non-Spin Service in DAM</w:t>
                  </w:r>
                  <w:r w:rsidRPr="004C0093">
                    <w:rPr>
                      <w:iCs/>
                      <w:sz w:val="20"/>
                    </w:rPr>
                    <w:t>—The DAM MCPC for N</w:t>
                  </w:r>
                  <w:r>
                    <w:rPr>
                      <w:iCs/>
                      <w:sz w:val="20"/>
                    </w:rPr>
                    <w:t>on-</w:t>
                  </w:r>
                  <w:r w:rsidRPr="004C0093">
                    <w:rPr>
                      <w:iCs/>
                      <w:sz w:val="20"/>
                    </w:rPr>
                    <w:t>S</w:t>
                  </w:r>
                  <w:r>
                    <w:rPr>
                      <w:iCs/>
                      <w:sz w:val="20"/>
                    </w:rPr>
                    <w:t>pin</w:t>
                  </w:r>
                  <w:r w:rsidRPr="004C0093">
                    <w:rPr>
                      <w:iCs/>
                      <w:sz w:val="20"/>
                    </w:rPr>
                    <w:t xml:space="preserve"> for the hour.</w:t>
                  </w:r>
                </w:p>
              </w:tc>
            </w:tr>
            <w:tr w:rsidR="0058435E" w:rsidRPr="004C0093" w14:paraId="1D6DF1D0"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7D49970E" w14:textId="77777777" w:rsidR="0058435E" w:rsidRPr="001F0DC8" w:rsidRDefault="0058435E" w:rsidP="0058435E">
                  <w:pPr>
                    <w:spacing w:after="60"/>
                    <w:rPr>
                      <w:iCs/>
                      <w:sz w:val="20"/>
                    </w:rPr>
                  </w:pPr>
                  <w:r>
                    <w:rPr>
                      <w:sz w:val="20"/>
                    </w:rPr>
                    <w:t>EC</w:t>
                  </w:r>
                  <w:r w:rsidRPr="001F0DC8">
                    <w:rPr>
                      <w:sz w:val="20"/>
                    </w:rPr>
                    <w:t xml:space="preserve">RINFQAR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B34EE26" w14:textId="77777777" w:rsidR="0058435E" w:rsidRPr="004C0093" w:rsidRDefault="0058435E" w:rsidP="0058435E">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8A0D73D" w14:textId="77777777" w:rsidR="0058435E" w:rsidRPr="004C0093" w:rsidRDefault="0058435E" w:rsidP="0058435E">
                  <w:pPr>
                    <w:spacing w:after="60"/>
                    <w:rPr>
                      <w:i/>
                      <w:iCs/>
                      <w:sz w:val="20"/>
                    </w:rPr>
                  </w:pPr>
                  <w:r w:rsidRPr="006714C4">
                    <w:rPr>
                      <w:i/>
                      <w:iCs/>
                      <w:sz w:val="20"/>
                    </w:rPr>
                    <w:t>ERCOT Contingency Reserve Service</w:t>
                  </w:r>
                  <w:r w:rsidRPr="004C0093">
                    <w:rPr>
                      <w:i/>
                      <w:iCs/>
                      <w:sz w:val="20"/>
                    </w:rPr>
                    <w:t xml:space="preserve"> Infeasible Quantity Amount </w:t>
                  </w:r>
                  <w:r w:rsidRPr="004C0093">
                    <w:rPr>
                      <w:i/>
                      <w:sz w:val="20"/>
                    </w:rPr>
                    <w:t>per QSE per Resource per Settlement Point per hour</w:t>
                  </w:r>
                  <w:r>
                    <w:rPr>
                      <w:i/>
                      <w:iCs/>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total capacity associated with infeasible deployment of Ancillary Service Supply Responsibility for </w:t>
                  </w:r>
                  <w:r>
                    <w:rPr>
                      <w:iCs/>
                      <w:sz w:val="20"/>
                    </w:rPr>
                    <w:t>EC</w:t>
                  </w:r>
                  <w:r w:rsidRPr="004C0093">
                    <w:rPr>
                      <w:iCs/>
                      <w:sz w:val="20"/>
                    </w:rPr>
                    <w:t>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58435E" w:rsidRPr="004C0093" w14:paraId="0BBA69F1"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1DE28A50" w14:textId="77777777" w:rsidR="0058435E" w:rsidRPr="001F0DC8" w:rsidRDefault="0058435E" w:rsidP="0058435E">
                  <w:pPr>
                    <w:spacing w:after="60"/>
                    <w:rPr>
                      <w:iCs/>
                      <w:sz w:val="20"/>
                    </w:rPr>
                  </w:pPr>
                  <w:r w:rsidRPr="001F0DC8">
                    <w:rPr>
                      <w:iCs/>
                      <w:sz w:val="20"/>
                    </w:rPr>
                    <w:t>MCPC</w:t>
                  </w:r>
                  <w:r>
                    <w:rPr>
                      <w:iCs/>
                      <w:sz w:val="20"/>
                    </w:rPr>
                    <w:t>EC</w:t>
                  </w:r>
                  <w:r w:rsidRPr="001F0DC8">
                    <w:rPr>
                      <w:iCs/>
                      <w:sz w:val="20"/>
                    </w:rPr>
                    <w:t xml:space="preserve">R </w:t>
                  </w:r>
                  <w:r w:rsidRPr="001F0DC8">
                    <w:rPr>
                      <w:i/>
                      <w:iCs/>
                      <w:sz w:val="20"/>
                      <w:vertAlign w:val="subscript"/>
                    </w:rPr>
                    <w:t>DAM</w:t>
                  </w:r>
                </w:p>
                <w:p w14:paraId="16E0D90F" w14:textId="77777777" w:rsidR="0058435E" w:rsidRPr="001F0DC8" w:rsidRDefault="0058435E" w:rsidP="0058435E">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AF3DE8E" w14:textId="77777777" w:rsidR="0058435E" w:rsidRPr="004C0093" w:rsidRDefault="0058435E" w:rsidP="0058435E">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8ADB9B7" w14:textId="77777777" w:rsidR="0058435E" w:rsidRPr="004C0093" w:rsidRDefault="0058435E" w:rsidP="0058435E">
                  <w:pPr>
                    <w:spacing w:after="60"/>
                    <w:rPr>
                      <w:i/>
                      <w:iCs/>
                      <w:sz w:val="20"/>
                    </w:rPr>
                  </w:pPr>
                  <w:r w:rsidRPr="004C0093">
                    <w:rPr>
                      <w:i/>
                      <w:iCs/>
                      <w:sz w:val="20"/>
                    </w:rPr>
                    <w:t xml:space="preserve">Market Clearing Price for Capacity for </w:t>
                  </w:r>
                  <w:r w:rsidRPr="006714C4">
                    <w:rPr>
                      <w:i/>
                      <w:iCs/>
                      <w:sz w:val="20"/>
                    </w:rPr>
                    <w:t>ERCOT Contingency Reserve Service</w:t>
                  </w:r>
                  <w:r w:rsidRPr="004C0093">
                    <w:rPr>
                      <w:i/>
                      <w:iCs/>
                      <w:sz w:val="20"/>
                    </w:rPr>
                    <w:t xml:space="preserve"> in DAM</w:t>
                  </w:r>
                  <w:r w:rsidRPr="004C0093">
                    <w:rPr>
                      <w:iCs/>
                      <w:sz w:val="20"/>
                    </w:rPr>
                    <w:t xml:space="preserve">—The DAM MCPC for </w:t>
                  </w:r>
                  <w:r>
                    <w:rPr>
                      <w:iCs/>
                      <w:sz w:val="20"/>
                    </w:rPr>
                    <w:t>EC</w:t>
                  </w:r>
                  <w:r w:rsidRPr="004C0093">
                    <w:rPr>
                      <w:iCs/>
                      <w:sz w:val="20"/>
                    </w:rPr>
                    <w:t>R</w:t>
                  </w:r>
                  <w:r>
                    <w:rPr>
                      <w:iCs/>
                      <w:sz w:val="20"/>
                    </w:rPr>
                    <w:t xml:space="preserve">S </w:t>
                  </w:r>
                  <w:r w:rsidRPr="004C0093">
                    <w:rPr>
                      <w:iCs/>
                      <w:sz w:val="20"/>
                    </w:rPr>
                    <w:t>for the hour.</w:t>
                  </w:r>
                </w:p>
              </w:tc>
            </w:tr>
            <w:tr w:rsidR="00236030" w:rsidRPr="004C0093" w14:paraId="7CADCD08"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097EE878" w14:textId="77777777" w:rsidR="00236030" w:rsidRPr="001F0DC8" w:rsidRDefault="00236030" w:rsidP="00236030">
                  <w:pPr>
                    <w:spacing w:after="60"/>
                    <w:rPr>
                      <w:iCs/>
                      <w:sz w:val="20"/>
                    </w:rPr>
                  </w:pPr>
                  <w:r w:rsidRPr="001F0DC8">
                    <w:rPr>
                      <w:sz w:val="20"/>
                    </w:rPr>
                    <w:t>ASINFQR</w:t>
                  </w:r>
                  <w:r w:rsidR="001F0DC8" w:rsidRPr="001F0DC8">
                    <w:rPr>
                      <w:sz w:val="20"/>
                    </w:rPr>
                    <w:t xml:space="preserve">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4A8F39F"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0970529" w14:textId="77777777" w:rsidR="00236030" w:rsidRPr="004C0093" w:rsidRDefault="00236030" w:rsidP="00236030">
                  <w:pPr>
                    <w:spacing w:after="60"/>
                    <w:rPr>
                      <w:i/>
                      <w:iCs/>
                      <w:sz w:val="20"/>
                    </w:rPr>
                  </w:pPr>
                  <w:r w:rsidRPr="004C0093">
                    <w:rPr>
                      <w:i/>
                      <w:iCs/>
                      <w:sz w:val="20"/>
                    </w:rPr>
                    <w:t xml:space="preserve">Ancillary Service Infeasible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lastRenderedPageBreak/>
                    <w:t>Ancillary Service Supply Responsibility, for the hour</w:t>
                  </w:r>
                  <w:r>
                    <w:rPr>
                      <w:iCs/>
                      <w:sz w:val="20"/>
                    </w:rPr>
                    <w:t xml:space="preserve"> </w:t>
                  </w:r>
                  <w:r w:rsidRPr="00D518CB">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3C3E15AE"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29FB5A0" w14:textId="77777777" w:rsidR="00236030" w:rsidRPr="001F0DC8" w:rsidRDefault="00236030" w:rsidP="00236030">
                  <w:pPr>
                    <w:spacing w:after="60"/>
                    <w:rPr>
                      <w:sz w:val="20"/>
                    </w:rPr>
                  </w:pPr>
                  <w:r w:rsidRPr="001F0DC8">
                    <w:rPr>
                      <w:iCs/>
                      <w:sz w:val="20"/>
                    </w:rPr>
                    <w:lastRenderedPageBreak/>
                    <w:t xml:space="preserve">RUINFQR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4078F92"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11BA2B7" w14:textId="77777777" w:rsidR="00236030" w:rsidRPr="004C0093" w:rsidRDefault="00236030" w:rsidP="00236030">
                  <w:pPr>
                    <w:spacing w:after="60"/>
                    <w:rPr>
                      <w:i/>
                      <w:iCs/>
                      <w:sz w:val="20"/>
                    </w:rPr>
                  </w:pPr>
                  <w:r w:rsidRPr="004C0093">
                    <w:rPr>
                      <w:i/>
                      <w:iCs/>
                      <w:sz w:val="20"/>
                    </w:rPr>
                    <w:t xml:space="preserve">Reg-Up Infeasible Quantity </w:t>
                  </w:r>
                  <w:r w:rsidRPr="004C0093">
                    <w:rPr>
                      <w:i/>
                      <w:sz w:val="20"/>
                    </w:rPr>
                    <w:t>per QSE per Resource per Settlement Point per hour</w:t>
                  </w:r>
                  <w:r>
                    <w:rPr>
                      <w:i/>
                      <w:iCs/>
                      <w:sz w:val="20"/>
                    </w:rPr>
                    <w:t xml:space="preserve"> </w:t>
                  </w:r>
                  <w:r w:rsidRPr="004C0093">
                    <w:rPr>
                      <w:i/>
                      <w:iCs/>
                      <w:sz w:val="20"/>
                    </w:rPr>
                    <w:t>—</w:t>
                  </w:r>
                  <w:r w:rsidRPr="00065EC3">
                    <w:rPr>
                      <w:iCs/>
                      <w:sz w:val="20"/>
                    </w:rPr>
                    <w:t>The Resource</w:t>
                  </w:r>
                  <w:r w:rsidRPr="004C0093">
                    <w:rPr>
                      <w:i/>
                      <w:iCs/>
                      <w:sz w:val="20"/>
                    </w:rPr>
                    <w:t xml:space="preserve"> r </w:t>
                  </w:r>
                  <w:r w:rsidRPr="00065EC3">
                    <w:rPr>
                      <w:iCs/>
                      <w:sz w:val="20"/>
                    </w:rPr>
                    <w:t>total</w:t>
                  </w:r>
                  <w:r w:rsidRPr="004C0093">
                    <w:rPr>
                      <w:i/>
                      <w:iCs/>
                      <w:sz w:val="20"/>
                    </w:rPr>
                    <w:t xml:space="preserve"> </w:t>
                  </w:r>
                  <w:r w:rsidRPr="004C0093">
                    <w:rPr>
                      <w:iCs/>
                      <w:sz w:val="20"/>
                    </w:rPr>
                    <w:t>capacity associated with infeasible</w:t>
                  </w:r>
                  <w:r w:rsidRPr="004C0093">
                    <w:rPr>
                      <w:i/>
                      <w:iCs/>
                      <w:sz w:val="20"/>
                    </w:rPr>
                    <w:t xml:space="preserve"> </w:t>
                  </w:r>
                  <w:r w:rsidRPr="004C0093">
                    <w:rPr>
                      <w:iCs/>
                      <w:sz w:val="20"/>
                    </w:rPr>
                    <w:t>Ancillary Service Supply Responsibility for Reg-Up,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04163940"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4D28DD4" w14:textId="77777777" w:rsidR="00236030" w:rsidRPr="001F0DC8" w:rsidRDefault="00236030" w:rsidP="00236030">
                  <w:pPr>
                    <w:spacing w:after="60"/>
                    <w:rPr>
                      <w:iCs/>
                      <w:sz w:val="20"/>
                    </w:rPr>
                  </w:pPr>
                  <w:r w:rsidRPr="001F0DC8">
                    <w:rPr>
                      <w:iCs/>
                      <w:sz w:val="20"/>
                    </w:rPr>
                    <w:t xml:space="preserve">RDINFQR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C97BAC9"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3E57069" w14:textId="77777777" w:rsidR="00236030" w:rsidRPr="004C0093" w:rsidRDefault="00236030" w:rsidP="00236030">
                  <w:pPr>
                    <w:spacing w:after="60"/>
                    <w:rPr>
                      <w:i/>
                      <w:iCs/>
                      <w:sz w:val="20"/>
                    </w:rPr>
                  </w:pPr>
                  <w:r w:rsidRPr="004C0093">
                    <w:rPr>
                      <w:i/>
                      <w:iCs/>
                      <w:sz w:val="20"/>
                    </w:rPr>
                    <w:t>Reg-Down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Reg-Down,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635CD0B3"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639EFC34" w14:textId="77777777" w:rsidR="00236030" w:rsidRPr="001F0DC8" w:rsidRDefault="00236030" w:rsidP="00236030">
                  <w:pPr>
                    <w:spacing w:after="60"/>
                    <w:rPr>
                      <w:iCs/>
                      <w:sz w:val="20"/>
                    </w:rPr>
                  </w:pPr>
                  <w:r w:rsidRPr="001F0DC8">
                    <w:rPr>
                      <w:iCs/>
                      <w:sz w:val="20"/>
                    </w:rPr>
                    <w:t xml:space="preserve">RRINFQR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53E3A52"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F50370E" w14:textId="77777777" w:rsidR="00236030" w:rsidRPr="004C0093" w:rsidRDefault="00236030" w:rsidP="00236030">
                  <w:pPr>
                    <w:spacing w:after="60"/>
                    <w:rPr>
                      <w:i/>
                      <w:iCs/>
                      <w:sz w:val="20"/>
                    </w:rPr>
                  </w:pPr>
                  <w:r w:rsidRPr="004C0093">
                    <w:rPr>
                      <w:i/>
                      <w:iCs/>
                      <w:sz w:val="20"/>
                    </w:rPr>
                    <w:t>Responsive 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607AE25"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7ABF6134" w14:textId="77777777" w:rsidR="00236030" w:rsidRPr="001F0DC8" w:rsidRDefault="00236030" w:rsidP="00236030">
                  <w:pPr>
                    <w:spacing w:after="60"/>
                    <w:rPr>
                      <w:sz w:val="20"/>
                    </w:rPr>
                  </w:pPr>
                  <w:r w:rsidRPr="001F0DC8">
                    <w:rPr>
                      <w:iCs/>
                      <w:sz w:val="20"/>
                    </w:rPr>
                    <w:t xml:space="preserve">NSINFQR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B01039A"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0F3DA3A" w14:textId="77777777" w:rsidR="00236030" w:rsidRPr="004C0093" w:rsidRDefault="00236030" w:rsidP="00236030">
                  <w:pPr>
                    <w:spacing w:after="60"/>
                    <w:rPr>
                      <w:i/>
                      <w:iCs/>
                      <w:sz w:val="20"/>
                    </w:rPr>
                  </w:pPr>
                  <w:r w:rsidRPr="004C0093">
                    <w:rPr>
                      <w:i/>
                      <w:iCs/>
                      <w:sz w:val="20"/>
                    </w:rPr>
                    <w:t>Non-Spin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 </w:t>
                  </w:r>
                  <w:r w:rsidRPr="004C0093">
                    <w:rPr>
                      <w:iCs/>
                      <w:sz w:val="20"/>
                    </w:rPr>
                    <w:t>total capacity associated with infeasible Ancillary Service Supply Responsibility for Non-Spin,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3C098F" w:rsidRPr="004C0093" w14:paraId="57C7F61E"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1FB0C1CC" w14:textId="77777777" w:rsidR="003C098F" w:rsidRPr="000064DA" w:rsidRDefault="003C098F" w:rsidP="003C098F">
                  <w:pPr>
                    <w:spacing w:after="60"/>
                    <w:rPr>
                      <w:i/>
                      <w:sz w:val="20"/>
                    </w:rPr>
                  </w:pPr>
                  <w:r>
                    <w:rPr>
                      <w:iCs/>
                      <w:sz w:val="20"/>
                    </w:rPr>
                    <w:t>EC</w:t>
                  </w:r>
                  <w:r w:rsidRPr="001F0DC8">
                    <w:rPr>
                      <w:iCs/>
                      <w:sz w:val="20"/>
                    </w:rPr>
                    <w:t xml:space="preserve">RINFQR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B07686E" w14:textId="77777777" w:rsidR="003C098F" w:rsidRPr="004C0093" w:rsidRDefault="003C098F" w:rsidP="003C098F">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63E1C14" w14:textId="77777777" w:rsidR="003C098F" w:rsidRPr="000064DA" w:rsidRDefault="003C098F" w:rsidP="003C098F">
                  <w:pPr>
                    <w:spacing w:after="60"/>
                    <w:rPr>
                      <w:iCs/>
                      <w:sz w:val="20"/>
                    </w:rPr>
                  </w:pPr>
                  <w:r w:rsidRPr="006714C4">
                    <w:rPr>
                      <w:i/>
                      <w:iCs/>
                      <w:sz w:val="20"/>
                    </w:rPr>
                    <w:t>ERCOT Contingency Reserve Service</w:t>
                  </w:r>
                  <w:r w:rsidRPr="004C0093">
                    <w:rPr>
                      <w:i/>
                      <w:iCs/>
                      <w:sz w:val="20"/>
                    </w:rPr>
                    <w:t xml:space="p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 xml:space="preserve">Ancillary Service Supply Responsibility for </w:t>
                  </w:r>
                  <w:r>
                    <w:rPr>
                      <w:iCs/>
                      <w:sz w:val="20"/>
                    </w:rPr>
                    <w:t>EC</w:t>
                  </w:r>
                  <w:r w:rsidRPr="004C0093">
                    <w:rPr>
                      <w:iCs/>
                      <w:sz w:val="20"/>
                    </w:rPr>
                    <w:t>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4FE614F1"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2D39C859" w14:textId="77777777" w:rsidR="00236030" w:rsidRPr="000064DA" w:rsidRDefault="00236030" w:rsidP="00236030">
                  <w:pPr>
                    <w:spacing w:after="60"/>
                    <w:rPr>
                      <w:i/>
                      <w:sz w:val="20"/>
                    </w:rPr>
                  </w:pPr>
                  <w:r w:rsidRPr="000064DA">
                    <w:rPr>
                      <w:i/>
                      <w:sz w:val="20"/>
                    </w:rPr>
                    <w:t>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CC7C3F1" w14:textId="77777777" w:rsidR="00236030" w:rsidRPr="004C0093" w:rsidRDefault="00236030" w:rsidP="00236030">
                  <w:pPr>
                    <w:spacing w:after="60"/>
                    <w:rPr>
                      <w:iCs/>
                      <w:sz w:val="20"/>
                    </w:rPr>
                  </w:pPr>
                  <w:r w:rsidRPr="004C0093">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6B4C493" w14:textId="77777777" w:rsidR="00236030" w:rsidRPr="004C0093" w:rsidRDefault="00236030" w:rsidP="00236030">
                  <w:pPr>
                    <w:spacing w:after="60"/>
                    <w:rPr>
                      <w:i/>
                      <w:iCs/>
                      <w:sz w:val="20"/>
                    </w:rPr>
                  </w:pPr>
                  <w:r w:rsidRPr="000064DA">
                    <w:rPr>
                      <w:iCs/>
                      <w:sz w:val="20"/>
                    </w:rPr>
                    <w:t>An hour in the DAM-commitment period.</w:t>
                  </w:r>
                </w:p>
              </w:tc>
            </w:tr>
            <w:tr w:rsidR="00236030" w:rsidRPr="004C0093" w14:paraId="69F43AD6" w14:textId="77777777" w:rsidTr="00236030">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8BE3DB6" w14:textId="77777777" w:rsidR="00236030" w:rsidRPr="004C0093" w:rsidRDefault="00236030" w:rsidP="00236030">
                  <w:pPr>
                    <w:spacing w:after="60"/>
                    <w:rPr>
                      <w:i/>
                      <w:iCs/>
                      <w:sz w:val="20"/>
                    </w:rPr>
                  </w:pPr>
                  <w:r w:rsidRPr="004C0093">
                    <w:rPr>
                      <w:i/>
                      <w:iCs/>
                      <w:sz w:val="20"/>
                    </w:rPr>
                    <w:t>q</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55258FE" w14:textId="77777777" w:rsidR="00236030" w:rsidRPr="004C0093" w:rsidRDefault="00236030" w:rsidP="00236030">
                  <w:pPr>
                    <w:spacing w:after="60"/>
                    <w:rPr>
                      <w:iCs/>
                      <w:sz w:val="20"/>
                    </w:rPr>
                  </w:pPr>
                  <w:r w:rsidRPr="004C0093">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32CD501" w14:textId="77777777" w:rsidR="00236030" w:rsidRPr="004C0093" w:rsidRDefault="00236030" w:rsidP="00236030">
                  <w:pPr>
                    <w:spacing w:after="60"/>
                    <w:rPr>
                      <w:iCs/>
                      <w:sz w:val="20"/>
                    </w:rPr>
                  </w:pPr>
                  <w:r w:rsidRPr="004C0093">
                    <w:rPr>
                      <w:iCs/>
                      <w:sz w:val="20"/>
                    </w:rPr>
                    <w:t>A QSE.</w:t>
                  </w:r>
                </w:p>
              </w:tc>
            </w:tr>
            <w:tr w:rsidR="00236030" w:rsidRPr="004C0093" w14:paraId="1135D5BD" w14:textId="77777777" w:rsidTr="00236030">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9821BC7" w14:textId="77777777" w:rsidR="00236030" w:rsidRPr="004C0093" w:rsidRDefault="00236030" w:rsidP="00236030">
                  <w:pPr>
                    <w:spacing w:after="60"/>
                    <w:rPr>
                      <w:i/>
                      <w:iCs/>
                      <w:sz w:val="20"/>
                    </w:rPr>
                  </w:pPr>
                  <w:r w:rsidRPr="004C0093">
                    <w:rPr>
                      <w:i/>
                      <w:iCs/>
                      <w:sz w:val="20"/>
                    </w:rPr>
                    <w:t>r</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F7091AF" w14:textId="77777777" w:rsidR="00236030" w:rsidRPr="004C0093" w:rsidRDefault="00236030" w:rsidP="00236030">
                  <w:pPr>
                    <w:spacing w:after="60"/>
                    <w:rPr>
                      <w:iCs/>
                      <w:sz w:val="20"/>
                    </w:rPr>
                  </w:pPr>
                  <w:r w:rsidRPr="004C0093">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C91D219" w14:textId="77777777" w:rsidR="00236030" w:rsidRPr="004C0093" w:rsidRDefault="00236030" w:rsidP="00236030">
                  <w:pPr>
                    <w:spacing w:after="60"/>
                    <w:rPr>
                      <w:iCs/>
                      <w:sz w:val="20"/>
                    </w:rPr>
                  </w:pPr>
                  <w:r w:rsidRPr="000064DA">
                    <w:rPr>
                      <w:iCs/>
                      <w:sz w:val="20"/>
                    </w:rPr>
                    <w:t>A DAM-committed Generation Resource.</w:t>
                  </w:r>
                </w:p>
              </w:tc>
            </w:tr>
            <w:tr w:rsidR="00236030" w:rsidRPr="004C0093" w14:paraId="408B746D" w14:textId="77777777" w:rsidTr="00236030">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955602B" w14:textId="77777777" w:rsidR="00236030" w:rsidRPr="004C0093" w:rsidRDefault="00236030" w:rsidP="00236030">
                  <w:pPr>
                    <w:spacing w:after="60"/>
                    <w:rPr>
                      <w:i/>
                      <w:iCs/>
                      <w:sz w:val="20"/>
                    </w:rPr>
                  </w:pPr>
                  <w:r>
                    <w:rPr>
                      <w:i/>
                      <w:iCs/>
                      <w:sz w:val="20"/>
                    </w:rPr>
                    <w:t>p</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B57276A" w14:textId="77777777" w:rsidR="00236030" w:rsidRPr="004C0093" w:rsidRDefault="00236030" w:rsidP="00236030">
                  <w:pPr>
                    <w:spacing w:after="60"/>
                    <w:rPr>
                      <w:iCs/>
                      <w:sz w:val="20"/>
                    </w:rPr>
                  </w:pPr>
                  <w:r>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98FE686" w14:textId="77777777" w:rsidR="00236030" w:rsidRPr="00B019A1" w:rsidRDefault="00236030" w:rsidP="00236030">
                  <w:pPr>
                    <w:spacing w:after="60"/>
                    <w:rPr>
                      <w:iCs/>
                      <w:sz w:val="20"/>
                    </w:rPr>
                  </w:pPr>
                  <w:r w:rsidRPr="009D409E">
                    <w:rPr>
                      <w:iCs/>
                      <w:sz w:val="20"/>
                    </w:rPr>
                    <w:t>A Resource Node Settlement Point.</w:t>
                  </w:r>
                </w:p>
              </w:tc>
            </w:tr>
          </w:tbl>
          <w:p w14:paraId="40FE59F5" w14:textId="77777777" w:rsidR="003904E6" w:rsidRDefault="003904E6" w:rsidP="003904E6">
            <w:pPr>
              <w:pStyle w:val="BodyTextNumbered"/>
              <w:spacing w:before="240"/>
            </w:pPr>
            <w:r>
              <w:t>(3)</w:t>
            </w:r>
            <w:r>
              <w:tab/>
              <w:t xml:space="preserve">The total Real-Time </w:t>
            </w:r>
            <w:r>
              <w:rPr>
                <w:iCs/>
              </w:rPr>
              <w:t>Day-Ahead</w:t>
            </w:r>
            <w:r>
              <w:t xml:space="preserve"> Make-Whole Payments to each QSE for Generation Resources for a given hour is calculated as follows:</w:t>
            </w:r>
          </w:p>
          <w:p w14:paraId="78CDD61B" w14:textId="77777777" w:rsidR="003904E6" w:rsidRDefault="003904E6" w:rsidP="003904E6">
            <w:pPr>
              <w:pStyle w:val="FormulaBold"/>
              <w:rPr>
                <w:i/>
                <w:vertAlign w:val="subscript"/>
              </w:rPr>
            </w:pPr>
            <w:r w:rsidRPr="005F2651">
              <w:rPr>
                <w:color w:val="000000"/>
              </w:rPr>
              <w:t>RTDAMWA</w:t>
            </w:r>
            <w:r>
              <w:rPr>
                <w:color w:val="000000"/>
              </w:rPr>
              <w:t>MT</w:t>
            </w:r>
            <w:r>
              <w:t xml:space="preserve">QSETOT </w:t>
            </w:r>
            <w:r>
              <w:rPr>
                <w:i/>
                <w:vertAlign w:val="subscript"/>
              </w:rPr>
              <w:t>q,</w:t>
            </w:r>
            <w:r w:rsidR="001F0DC8">
              <w:rPr>
                <w:i/>
                <w:vertAlign w:val="subscript"/>
              </w:rPr>
              <w:t xml:space="preserve"> </w:t>
            </w:r>
            <w:r>
              <w:rPr>
                <w:i/>
                <w:vertAlign w:val="subscript"/>
              </w:rPr>
              <w:t>h</w:t>
            </w:r>
            <w:r>
              <w:tab/>
              <w:t xml:space="preserve"> = </w:t>
            </w:r>
            <w:r w:rsidRPr="006F784F">
              <w:rPr>
                <w:position w:val="-18"/>
              </w:rPr>
              <w:object w:dxaOrig="225" w:dyaOrig="420" w14:anchorId="4F38B6EE">
                <v:shape id="_x0000_i1332" type="#_x0000_t75" style="width:12pt;height:24pt" o:ole="">
                  <v:imagedata r:id="rId238" o:title=""/>
                </v:shape>
                <o:OLEObject Type="Embed" ProgID="Equation.3" ShapeID="_x0000_i1332" DrawAspect="Content" ObjectID="_1815025520" r:id="rId411"/>
              </w:object>
            </w:r>
            <w:r w:rsidRPr="00304F53">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 xml:space="preserve">q, r, </w:t>
            </w:r>
            <w:r>
              <w:rPr>
                <w:i/>
                <w:vertAlign w:val="subscript"/>
              </w:rPr>
              <w:t>p,</w:t>
            </w:r>
            <w:r w:rsidRPr="004C0093">
              <w:rPr>
                <w:i/>
                <w:vertAlign w:val="subscript"/>
              </w:rPr>
              <w:t xml:space="preserve"> h</w:t>
            </w:r>
            <w:r w:rsidRPr="004228A8">
              <w:rPr>
                <w:i/>
                <w:vertAlign w:val="subscript"/>
              </w:rPr>
              <w:t xml:space="preserve">  </w:t>
            </w:r>
          </w:p>
          <w:p w14:paraId="0B9BBC4D" w14:textId="77777777" w:rsidR="003904E6" w:rsidRPr="00703801" w:rsidRDefault="003904E6" w:rsidP="003904E6">
            <w:pPr>
              <w:pStyle w:val="BodyTextNumbered"/>
            </w:pPr>
            <w:r w:rsidRPr="00703801">
              <w:t>And,</w:t>
            </w:r>
          </w:p>
          <w:p w14:paraId="70939E6D" w14:textId="4194B57A" w:rsidR="003904E6" w:rsidRDefault="003904E6" w:rsidP="003904E6">
            <w:pPr>
              <w:pStyle w:val="FormulaBold"/>
            </w:pPr>
            <w:r w:rsidRPr="005F2651">
              <w:rPr>
                <w:color w:val="000000"/>
              </w:rPr>
              <w:t>RTDAMWA</w:t>
            </w:r>
            <w:r>
              <w:rPr>
                <w:color w:val="000000"/>
              </w:rPr>
              <w:t>MT</w:t>
            </w:r>
            <w:r>
              <w:t>TOT</w:t>
            </w:r>
            <w:r w:rsidRPr="00197458">
              <w:rPr>
                <w:i/>
                <w:vertAlign w:val="subscript"/>
              </w:rPr>
              <w:t xml:space="preserve"> </w:t>
            </w:r>
            <w:r>
              <w:rPr>
                <w:i/>
                <w:vertAlign w:val="subscript"/>
              </w:rPr>
              <w:t>h</w:t>
            </w:r>
            <w:r>
              <w:tab/>
              <w:t xml:space="preserve"> = </w:t>
            </w:r>
            <w:r w:rsidR="00952F33" w:rsidRPr="00F74B73">
              <w:rPr>
                <w:position w:val="-22"/>
              </w:rPr>
              <w:object w:dxaOrig="220" w:dyaOrig="460" w14:anchorId="4DCE9CD4">
                <v:shape id="_x0000_i1333" type="#_x0000_t75" style="width:18pt;height:24.6pt" o:ole="">
                  <v:imagedata r:id="rId384" o:title=""/>
                </v:shape>
                <o:OLEObject Type="Embed" ProgID="Equation.3" ShapeID="_x0000_i1333" DrawAspect="Content" ObjectID="_1815025521" r:id="rId412"/>
              </w:object>
            </w:r>
            <w:r w:rsidRPr="00304F53">
              <w:rPr>
                <w:color w:val="000000"/>
              </w:rPr>
              <w:t xml:space="preserve"> </w:t>
            </w:r>
            <w:r w:rsidRPr="005F2651">
              <w:rPr>
                <w:color w:val="000000"/>
              </w:rPr>
              <w:t>RTDAMWA</w:t>
            </w:r>
            <w:r>
              <w:rPr>
                <w:color w:val="000000"/>
              </w:rPr>
              <w:t>MT</w:t>
            </w:r>
            <w:r>
              <w:t xml:space="preserve">QSETOT </w:t>
            </w:r>
            <w:r>
              <w:rPr>
                <w:i/>
                <w:vertAlign w:val="subscript"/>
              </w:rPr>
              <w:t>q, h</w:t>
            </w:r>
          </w:p>
          <w:p w14:paraId="6A31AE3C" w14:textId="77777777" w:rsidR="003904E6" w:rsidRDefault="003904E6" w:rsidP="003904E6">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316"/>
            </w:tblGrid>
            <w:tr w:rsidR="003904E6" w14:paraId="447E76AE" w14:textId="77777777" w:rsidTr="002A7BFB">
              <w:trPr>
                <w:cantSplit/>
                <w:tblHeader/>
              </w:trPr>
              <w:tc>
                <w:tcPr>
                  <w:tcW w:w="1296" w:type="pct"/>
                </w:tcPr>
                <w:p w14:paraId="0EF630B5" w14:textId="77777777" w:rsidR="003904E6" w:rsidRDefault="003904E6" w:rsidP="003904E6">
                  <w:pPr>
                    <w:pStyle w:val="TableHead"/>
                  </w:pPr>
                  <w:r>
                    <w:lastRenderedPageBreak/>
                    <w:t>Variable</w:t>
                  </w:r>
                </w:p>
              </w:tc>
              <w:tc>
                <w:tcPr>
                  <w:tcW w:w="316" w:type="pct"/>
                </w:tcPr>
                <w:p w14:paraId="15B73B5D" w14:textId="77777777" w:rsidR="003904E6" w:rsidRDefault="003904E6" w:rsidP="003904E6">
                  <w:pPr>
                    <w:pStyle w:val="TableHead"/>
                  </w:pPr>
                  <w:r>
                    <w:t>Unit</w:t>
                  </w:r>
                </w:p>
              </w:tc>
              <w:tc>
                <w:tcPr>
                  <w:tcW w:w="3388" w:type="pct"/>
                </w:tcPr>
                <w:p w14:paraId="316D2DB0" w14:textId="77777777" w:rsidR="003904E6" w:rsidRDefault="003904E6" w:rsidP="003904E6">
                  <w:pPr>
                    <w:pStyle w:val="TableHead"/>
                  </w:pPr>
                  <w:r>
                    <w:t>Definition</w:t>
                  </w:r>
                </w:p>
              </w:tc>
            </w:tr>
            <w:tr w:rsidR="003904E6" w14:paraId="277CB8DE" w14:textId="77777777" w:rsidTr="002A7BFB">
              <w:trPr>
                <w:cantSplit/>
              </w:trPr>
              <w:tc>
                <w:tcPr>
                  <w:tcW w:w="1296" w:type="pct"/>
                </w:tcPr>
                <w:p w14:paraId="429BBE76" w14:textId="77777777" w:rsidR="003904E6" w:rsidRPr="004C0093" w:rsidRDefault="003904E6" w:rsidP="003904E6">
                  <w:pPr>
                    <w:pStyle w:val="TableBody"/>
                    <w:rPr>
                      <w:color w:val="000000"/>
                    </w:rPr>
                  </w:pPr>
                  <w:r w:rsidRPr="005F2651">
                    <w:rPr>
                      <w:color w:val="000000"/>
                    </w:rPr>
                    <w:t>RTDAMWA</w:t>
                  </w:r>
                  <w:r>
                    <w:rPr>
                      <w:color w:val="000000"/>
                    </w:rPr>
                    <w:t>MT</w:t>
                  </w:r>
                  <w:r>
                    <w:t xml:space="preserve">QSETOT </w:t>
                  </w:r>
                  <w:r>
                    <w:rPr>
                      <w:i/>
                      <w:vertAlign w:val="subscript"/>
                    </w:rPr>
                    <w:t>q, h</w:t>
                  </w:r>
                </w:p>
              </w:tc>
              <w:tc>
                <w:tcPr>
                  <w:tcW w:w="316" w:type="pct"/>
                </w:tcPr>
                <w:p w14:paraId="6BE6991E" w14:textId="77777777" w:rsidR="003904E6" w:rsidRDefault="003904E6" w:rsidP="003904E6">
                  <w:pPr>
                    <w:pStyle w:val="TableBody"/>
                  </w:pPr>
                  <w:r>
                    <w:t>$</w:t>
                  </w:r>
                </w:p>
              </w:tc>
              <w:tc>
                <w:tcPr>
                  <w:tcW w:w="3388" w:type="pct"/>
                </w:tcPr>
                <w:p w14:paraId="088D1574" w14:textId="77777777" w:rsidR="003904E6" w:rsidRPr="004C0093" w:rsidRDefault="003904E6" w:rsidP="003904E6">
                  <w:pPr>
                    <w:pStyle w:val="TableBody"/>
                    <w:rPr>
                      <w:i/>
                    </w:rPr>
                  </w:pPr>
                  <w:r w:rsidRPr="004C0093">
                    <w:rPr>
                      <w:i/>
                    </w:rPr>
                    <w:t xml:space="preserve">Real-Time Day-Ahead Make-Whole Payment </w:t>
                  </w:r>
                  <w:r>
                    <w:rPr>
                      <w:i/>
                    </w:rPr>
                    <w:t xml:space="preserve">Amount </w:t>
                  </w:r>
                  <w:r w:rsidRPr="004C0093">
                    <w:rPr>
                      <w:i/>
                    </w:rPr>
                    <w:t>per QSE per hour</w:t>
                  </w:r>
                  <w:r w:rsidRPr="004C0093">
                    <w:sym w:font="Symbol" w:char="F0BE"/>
                  </w:r>
                  <w:r w:rsidRPr="004C0093">
                    <w:t xml:space="preserve">The Real-Time calculated payment to QSE </w:t>
                  </w:r>
                  <w:r w:rsidRPr="004C0093">
                    <w:rPr>
                      <w:i/>
                    </w:rPr>
                    <w:t>q</w:t>
                  </w:r>
                  <w:r w:rsidRPr="004C0093">
                    <w:t xml:space="preserve"> to make-whole the Startup </w:t>
                  </w:r>
                  <w:r>
                    <w:t xml:space="preserve">Cost </w:t>
                  </w:r>
                  <w:r w:rsidRPr="004C0093">
                    <w:t xml:space="preserve">and </w:t>
                  </w:r>
                  <w:r>
                    <w:t>e</w:t>
                  </w:r>
                  <w:r w:rsidRPr="004C0093">
                    <w:t xml:space="preserve">nergy costs of </w:t>
                  </w:r>
                  <w:r>
                    <w:t xml:space="preserve">all </w:t>
                  </w:r>
                  <w:r w:rsidRPr="004C0093">
                    <w:t>Resource</w:t>
                  </w:r>
                  <w:r>
                    <w:t>s</w:t>
                  </w:r>
                  <w:r w:rsidRPr="004C0093">
                    <w:t xml:space="preserve"> </w:t>
                  </w:r>
                  <w:r w:rsidRPr="004C0093">
                    <w:rPr>
                      <w:i/>
                    </w:rPr>
                    <w:t>r</w:t>
                  </w:r>
                  <w:r w:rsidRPr="004C0093">
                    <w:t xml:space="preserve"> committed in the DAM at Resource Node </w:t>
                  </w:r>
                  <w:r w:rsidRPr="004C0093">
                    <w:rPr>
                      <w:i/>
                    </w:rPr>
                    <w:t>p</w:t>
                  </w:r>
                  <w:r w:rsidRPr="004C0093">
                    <w:t xml:space="preserve"> for the hour </w:t>
                  </w:r>
                  <w:r w:rsidRPr="004C0093">
                    <w:rPr>
                      <w:i/>
                    </w:rPr>
                    <w:t>h</w:t>
                  </w:r>
                  <w:r w:rsidRPr="004C0093">
                    <w:t xml:space="preserve">.  </w:t>
                  </w:r>
                </w:p>
              </w:tc>
            </w:tr>
            <w:tr w:rsidR="003904E6" w14:paraId="443B14A1" w14:textId="77777777" w:rsidTr="002A7BFB">
              <w:trPr>
                <w:cantSplit/>
              </w:trPr>
              <w:tc>
                <w:tcPr>
                  <w:tcW w:w="1296" w:type="pct"/>
                </w:tcPr>
                <w:p w14:paraId="76CCD930" w14:textId="77777777" w:rsidR="003904E6" w:rsidRDefault="003904E6" w:rsidP="003904E6">
                  <w:pPr>
                    <w:pStyle w:val="TableBody"/>
                  </w:pPr>
                  <w:r w:rsidRPr="004C0093">
                    <w:rPr>
                      <w:color w:val="000000"/>
                    </w:rPr>
                    <w:t>RTDA</w:t>
                  </w:r>
                  <w:r>
                    <w:rPr>
                      <w:color w:val="000000"/>
                    </w:rPr>
                    <w:t>M</w:t>
                  </w:r>
                  <w:r w:rsidRPr="004C0093">
                    <w:rPr>
                      <w:color w:val="000000"/>
                    </w:rPr>
                    <w:t>WA</w:t>
                  </w:r>
                  <w:r>
                    <w:rPr>
                      <w:color w:val="000000"/>
                    </w:rPr>
                    <w:t>MT</w:t>
                  </w:r>
                  <w:r w:rsidRPr="004C0093">
                    <w:rPr>
                      <w:i/>
                      <w:vertAlign w:val="subscript"/>
                    </w:rPr>
                    <w:t xml:space="preserve"> q, r, </w:t>
                  </w:r>
                  <w:r>
                    <w:rPr>
                      <w:i/>
                      <w:vertAlign w:val="subscript"/>
                    </w:rPr>
                    <w:t xml:space="preserve">p, </w:t>
                  </w:r>
                  <w:r w:rsidRPr="004C0093">
                    <w:rPr>
                      <w:i/>
                      <w:vertAlign w:val="subscript"/>
                    </w:rPr>
                    <w:t xml:space="preserve">h  </w:t>
                  </w:r>
                </w:p>
              </w:tc>
              <w:tc>
                <w:tcPr>
                  <w:tcW w:w="316" w:type="pct"/>
                </w:tcPr>
                <w:p w14:paraId="2BB4FDA6" w14:textId="77777777" w:rsidR="003904E6" w:rsidRDefault="003904E6" w:rsidP="003904E6">
                  <w:pPr>
                    <w:pStyle w:val="TableBody"/>
                  </w:pPr>
                  <w:r>
                    <w:t>$</w:t>
                  </w:r>
                </w:p>
              </w:tc>
              <w:tc>
                <w:tcPr>
                  <w:tcW w:w="3388" w:type="pct"/>
                </w:tcPr>
                <w:p w14:paraId="5973A2D8" w14:textId="77777777" w:rsidR="003904E6" w:rsidRDefault="003904E6" w:rsidP="003904E6">
                  <w:pPr>
                    <w:pStyle w:val="TableBody"/>
                  </w:pPr>
                  <w:r w:rsidRPr="004C0093">
                    <w:rPr>
                      <w:i/>
                    </w:rPr>
                    <w:t xml:space="preserve">Real-Time Day-Ahead Make-Whole Payment </w:t>
                  </w:r>
                  <w:r>
                    <w:rPr>
                      <w:i/>
                    </w:rPr>
                    <w:t xml:space="preserve">Amount </w:t>
                  </w:r>
                  <w:r w:rsidRPr="004C0093">
                    <w:rPr>
                      <w:i/>
                    </w:rPr>
                    <w:t>per QSE per Resource per Settlement Point per hour</w:t>
                  </w:r>
                  <w:r w:rsidRPr="004C0093">
                    <w:t xml:space="preserve"> </w:t>
                  </w:r>
                  <w:r w:rsidRPr="004C0093">
                    <w:sym w:font="Symbol" w:char="F0BE"/>
                  </w:r>
                  <w:r w:rsidRPr="004C0093">
                    <w:t xml:space="preserve">The Real-Time calculated payment to QSE </w:t>
                  </w:r>
                  <w:r w:rsidRPr="004C0093">
                    <w:rPr>
                      <w:i/>
                    </w:rPr>
                    <w:t>q</w:t>
                  </w:r>
                  <w:r w:rsidRPr="004C0093">
                    <w:t xml:space="preserve"> to make-whole the Startup and </w:t>
                  </w:r>
                  <w:r>
                    <w:t>e</w:t>
                  </w:r>
                  <w:r w:rsidRPr="004C0093">
                    <w:t xml:space="preserve">nergy costs of Resource </w:t>
                  </w:r>
                  <w:r w:rsidRPr="004C0093">
                    <w:rPr>
                      <w:i/>
                    </w:rPr>
                    <w:t>r</w:t>
                  </w:r>
                  <w:r w:rsidRPr="004C0093">
                    <w:t xml:space="preserve"> committed in the DAM at Resource Node </w:t>
                  </w:r>
                  <w:r w:rsidRPr="004C0093">
                    <w:rPr>
                      <w:i/>
                    </w:rPr>
                    <w:t>p</w:t>
                  </w:r>
                  <w:r w:rsidRPr="004C0093">
                    <w:t xml:space="preserve"> for the hour </w:t>
                  </w:r>
                  <w:r w:rsidRPr="004C0093">
                    <w:rPr>
                      <w:i/>
                    </w:rPr>
                    <w:t>h</w:t>
                  </w:r>
                  <w:r w:rsidRPr="004C0093">
                    <w:t xml:space="preserve">.  </w:t>
                  </w:r>
                  <w:r>
                    <w:t xml:space="preserve">For a </w:t>
                  </w:r>
                  <w:r w:rsidRPr="004C0093">
                    <w:t>Combined Cycle Generation Resource is committed in the DAM, payment is made to the Combined Cycle Train for the DAM-committed Combined Cycle Generation Resource.</w:t>
                  </w:r>
                </w:p>
              </w:tc>
            </w:tr>
            <w:tr w:rsidR="003904E6" w14:paraId="3FC61EA2" w14:textId="77777777" w:rsidTr="002A7BFB">
              <w:trPr>
                <w:cantSplit/>
              </w:trPr>
              <w:tc>
                <w:tcPr>
                  <w:tcW w:w="1296" w:type="pct"/>
                </w:tcPr>
                <w:p w14:paraId="29934E5D" w14:textId="77777777" w:rsidR="003904E6" w:rsidRPr="004C0093" w:rsidRDefault="003904E6" w:rsidP="003904E6">
                  <w:pPr>
                    <w:pStyle w:val="TableBody"/>
                    <w:rPr>
                      <w:color w:val="000000"/>
                    </w:rPr>
                  </w:pPr>
                  <w:r w:rsidRPr="005F2651">
                    <w:rPr>
                      <w:color w:val="000000"/>
                    </w:rPr>
                    <w:t>RTDAMWA</w:t>
                  </w:r>
                  <w:r>
                    <w:rPr>
                      <w:color w:val="000000"/>
                    </w:rPr>
                    <w:t>MT</w:t>
                  </w:r>
                  <w:r>
                    <w:t>TOT</w:t>
                  </w:r>
                  <w:r>
                    <w:rPr>
                      <w:i/>
                      <w:vertAlign w:val="subscript"/>
                    </w:rPr>
                    <w:t xml:space="preserve"> h</w:t>
                  </w:r>
                </w:p>
              </w:tc>
              <w:tc>
                <w:tcPr>
                  <w:tcW w:w="316" w:type="pct"/>
                </w:tcPr>
                <w:p w14:paraId="13321284" w14:textId="77777777" w:rsidR="003904E6" w:rsidRDefault="003904E6" w:rsidP="003904E6">
                  <w:pPr>
                    <w:pStyle w:val="TableBody"/>
                  </w:pPr>
                  <w:r>
                    <w:t>$</w:t>
                  </w:r>
                </w:p>
              </w:tc>
              <w:tc>
                <w:tcPr>
                  <w:tcW w:w="3388" w:type="pct"/>
                </w:tcPr>
                <w:p w14:paraId="02FD056F" w14:textId="77777777" w:rsidR="003904E6" w:rsidRPr="004C0093" w:rsidRDefault="003904E6" w:rsidP="003904E6">
                  <w:pPr>
                    <w:pStyle w:val="TableBody"/>
                    <w:rPr>
                      <w:i/>
                    </w:rPr>
                  </w:pPr>
                  <w:r w:rsidRPr="004C0093">
                    <w:rPr>
                      <w:i/>
                    </w:rPr>
                    <w:t xml:space="preserve">Real-Time Day-Ahead Make-Whole Payment </w:t>
                  </w:r>
                  <w:r>
                    <w:rPr>
                      <w:i/>
                    </w:rPr>
                    <w:t xml:space="preserve">Amount per </w:t>
                  </w:r>
                  <w:r w:rsidRPr="004C0093">
                    <w:rPr>
                      <w:i/>
                    </w:rPr>
                    <w:t>hour</w:t>
                  </w:r>
                  <w:r w:rsidRPr="004C0093">
                    <w:sym w:font="Symbol" w:char="F0BE"/>
                  </w:r>
                  <w:r w:rsidRPr="004C0093">
                    <w:t xml:space="preserve">The Real-Time calculated payment to </w:t>
                  </w:r>
                  <w:r>
                    <w:t xml:space="preserve">all </w:t>
                  </w:r>
                  <w:r w:rsidRPr="004C0093">
                    <w:t>QSE</w:t>
                  </w:r>
                  <w:r>
                    <w:t>s</w:t>
                  </w:r>
                  <w:r w:rsidRPr="004C0093">
                    <w:t xml:space="preserve"> to make-whole the Startup and </w:t>
                  </w:r>
                  <w:r>
                    <w:t>e</w:t>
                  </w:r>
                  <w:r w:rsidRPr="004C0093">
                    <w:t xml:space="preserve">nergy costs of </w:t>
                  </w:r>
                  <w:r>
                    <w:t xml:space="preserve">all </w:t>
                  </w:r>
                  <w:r w:rsidRPr="004C0093">
                    <w:t>Resource</w:t>
                  </w:r>
                  <w:r>
                    <w:t>s</w:t>
                  </w:r>
                  <w:r w:rsidRPr="004C0093">
                    <w:t xml:space="preserve"> </w:t>
                  </w:r>
                  <w:r w:rsidRPr="004C0093">
                    <w:rPr>
                      <w:i/>
                    </w:rPr>
                    <w:t>r</w:t>
                  </w:r>
                  <w:r w:rsidRPr="004C0093">
                    <w:t xml:space="preserve"> committed for the hour </w:t>
                  </w:r>
                  <w:r w:rsidRPr="004C0093">
                    <w:rPr>
                      <w:i/>
                    </w:rPr>
                    <w:t>h</w:t>
                  </w:r>
                  <w:r w:rsidRPr="004C0093">
                    <w:t xml:space="preserve">.  </w:t>
                  </w:r>
                </w:p>
              </w:tc>
            </w:tr>
            <w:tr w:rsidR="003904E6" w14:paraId="4ECBC046"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2E92063F" w14:textId="77777777" w:rsidR="003904E6" w:rsidRPr="00D661BC" w:rsidRDefault="003904E6" w:rsidP="003904E6">
                  <w:pPr>
                    <w:pStyle w:val="TableBody"/>
                    <w:rPr>
                      <w:i/>
                    </w:rPr>
                  </w:pPr>
                  <w:r>
                    <w:rPr>
                      <w:i/>
                    </w:rPr>
                    <w:t>h</w:t>
                  </w:r>
                </w:p>
              </w:tc>
              <w:tc>
                <w:tcPr>
                  <w:tcW w:w="316" w:type="pct"/>
                  <w:tcBorders>
                    <w:top w:val="single" w:sz="4" w:space="0" w:color="auto"/>
                    <w:left w:val="single" w:sz="4" w:space="0" w:color="auto"/>
                    <w:bottom w:val="single" w:sz="4" w:space="0" w:color="auto"/>
                    <w:right w:val="single" w:sz="4" w:space="0" w:color="auto"/>
                  </w:tcBorders>
                </w:tcPr>
                <w:p w14:paraId="33065DC1" w14:textId="77777777" w:rsidR="003904E6" w:rsidRDefault="003904E6" w:rsidP="003904E6">
                  <w:pPr>
                    <w:pStyle w:val="TableBody"/>
                  </w:pPr>
                  <w:r>
                    <w:t>none</w:t>
                  </w:r>
                </w:p>
              </w:tc>
              <w:tc>
                <w:tcPr>
                  <w:tcW w:w="3388" w:type="pct"/>
                  <w:tcBorders>
                    <w:top w:val="single" w:sz="4" w:space="0" w:color="auto"/>
                    <w:left w:val="single" w:sz="4" w:space="0" w:color="auto"/>
                    <w:bottom w:val="single" w:sz="4" w:space="0" w:color="auto"/>
                    <w:right w:val="single" w:sz="4" w:space="0" w:color="auto"/>
                  </w:tcBorders>
                </w:tcPr>
                <w:p w14:paraId="164777CD" w14:textId="77777777" w:rsidR="003904E6" w:rsidRDefault="003904E6" w:rsidP="003904E6">
                  <w:pPr>
                    <w:pStyle w:val="TableBody"/>
                  </w:pPr>
                  <w:r w:rsidRPr="003530E3">
                    <w:rPr>
                      <w:iCs w:val="0"/>
                    </w:rPr>
                    <w:t>An hour in the DAM-commitment period</w:t>
                  </w:r>
                  <w:r>
                    <w:rPr>
                      <w:iCs w:val="0"/>
                    </w:rPr>
                    <w:t>.</w:t>
                  </w:r>
                </w:p>
              </w:tc>
            </w:tr>
            <w:tr w:rsidR="003904E6" w14:paraId="45029AC0"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799C1E3C" w14:textId="77777777" w:rsidR="003904E6" w:rsidRPr="00A24281" w:rsidRDefault="003904E6" w:rsidP="003904E6">
                  <w:pPr>
                    <w:pStyle w:val="TableBody"/>
                    <w:rPr>
                      <w:i/>
                    </w:rPr>
                  </w:pPr>
                  <w:r w:rsidRPr="00D661BC">
                    <w:rPr>
                      <w:i/>
                    </w:rPr>
                    <w:t>q</w:t>
                  </w:r>
                </w:p>
              </w:tc>
              <w:tc>
                <w:tcPr>
                  <w:tcW w:w="316" w:type="pct"/>
                  <w:tcBorders>
                    <w:top w:val="single" w:sz="4" w:space="0" w:color="auto"/>
                    <w:left w:val="single" w:sz="4" w:space="0" w:color="auto"/>
                    <w:bottom w:val="single" w:sz="4" w:space="0" w:color="auto"/>
                    <w:right w:val="single" w:sz="4" w:space="0" w:color="auto"/>
                  </w:tcBorders>
                </w:tcPr>
                <w:p w14:paraId="7540D7B5" w14:textId="77777777" w:rsidR="003904E6" w:rsidRDefault="003904E6" w:rsidP="003904E6">
                  <w:pPr>
                    <w:pStyle w:val="TableBody"/>
                  </w:pPr>
                  <w:r>
                    <w:t>none</w:t>
                  </w:r>
                </w:p>
              </w:tc>
              <w:tc>
                <w:tcPr>
                  <w:tcW w:w="3388" w:type="pct"/>
                  <w:tcBorders>
                    <w:top w:val="single" w:sz="4" w:space="0" w:color="auto"/>
                    <w:left w:val="single" w:sz="4" w:space="0" w:color="auto"/>
                    <w:bottom w:val="single" w:sz="4" w:space="0" w:color="auto"/>
                    <w:right w:val="single" w:sz="4" w:space="0" w:color="auto"/>
                  </w:tcBorders>
                </w:tcPr>
                <w:p w14:paraId="53A03AF5" w14:textId="77777777" w:rsidR="003904E6" w:rsidRDefault="003904E6" w:rsidP="003904E6">
                  <w:pPr>
                    <w:pStyle w:val="TableBody"/>
                  </w:pPr>
                  <w:r>
                    <w:t>A QSE.</w:t>
                  </w:r>
                </w:p>
              </w:tc>
            </w:tr>
            <w:tr w:rsidR="003904E6" w14:paraId="42254D31"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0FF7981C" w14:textId="77777777" w:rsidR="003904E6" w:rsidRPr="00A24281" w:rsidRDefault="003904E6" w:rsidP="003904E6">
                  <w:pPr>
                    <w:pStyle w:val="TableBody"/>
                    <w:rPr>
                      <w:i/>
                    </w:rPr>
                  </w:pPr>
                  <w:r w:rsidRPr="00D661BC">
                    <w:rPr>
                      <w:i/>
                    </w:rPr>
                    <w:t>r</w:t>
                  </w:r>
                </w:p>
              </w:tc>
              <w:tc>
                <w:tcPr>
                  <w:tcW w:w="316" w:type="pct"/>
                  <w:tcBorders>
                    <w:top w:val="single" w:sz="4" w:space="0" w:color="auto"/>
                    <w:left w:val="single" w:sz="4" w:space="0" w:color="auto"/>
                    <w:bottom w:val="single" w:sz="4" w:space="0" w:color="auto"/>
                    <w:right w:val="single" w:sz="4" w:space="0" w:color="auto"/>
                  </w:tcBorders>
                </w:tcPr>
                <w:p w14:paraId="28933447" w14:textId="77777777" w:rsidR="003904E6" w:rsidRDefault="003904E6" w:rsidP="003904E6">
                  <w:pPr>
                    <w:pStyle w:val="TableBody"/>
                  </w:pPr>
                  <w:r>
                    <w:t>none</w:t>
                  </w:r>
                </w:p>
              </w:tc>
              <w:tc>
                <w:tcPr>
                  <w:tcW w:w="3388" w:type="pct"/>
                  <w:tcBorders>
                    <w:top w:val="single" w:sz="4" w:space="0" w:color="auto"/>
                    <w:left w:val="single" w:sz="4" w:space="0" w:color="auto"/>
                    <w:bottom w:val="single" w:sz="4" w:space="0" w:color="auto"/>
                    <w:right w:val="single" w:sz="4" w:space="0" w:color="auto"/>
                  </w:tcBorders>
                </w:tcPr>
                <w:p w14:paraId="324953EC" w14:textId="77777777" w:rsidR="003904E6" w:rsidRDefault="003904E6" w:rsidP="003904E6">
                  <w:pPr>
                    <w:pStyle w:val="TableBody"/>
                  </w:pPr>
                  <w:r w:rsidRPr="003530E3">
                    <w:rPr>
                      <w:iCs w:val="0"/>
                    </w:rPr>
                    <w:t>A DAM-committed Generation Resource</w:t>
                  </w:r>
                  <w:r>
                    <w:rPr>
                      <w:iCs w:val="0"/>
                    </w:rPr>
                    <w:t>.</w:t>
                  </w:r>
                </w:p>
              </w:tc>
            </w:tr>
            <w:tr w:rsidR="003904E6" w14:paraId="0C007C1B"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2C0F1D14" w14:textId="77777777" w:rsidR="003904E6" w:rsidRPr="00D661BC" w:rsidRDefault="003904E6" w:rsidP="003904E6">
                  <w:pPr>
                    <w:pStyle w:val="TableBody"/>
                    <w:rPr>
                      <w:i/>
                    </w:rPr>
                  </w:pPr>
                  <w:r>
                    <w:rPr>
                      <w:i/>
                      <w:iCs w:val="0"/>
                    </w:rPr>
                    <w:t>p</w:t>
                  </w:r>
                </w:p>
              </w:tc>
              <w:tc>
                <w:tcPr>
                  <w:tcW w:w="316" w:type="pct"/>
                  <w:tcBorders>
                    <w:top w:val="single" w:sz="4" w:space="0" w:color="auto"/>
                    <w:left w:val="single" w:sz="4" w:space="0" w:color="auto"/>
                    <w:bottom w:val="single" w:sz="4" w:space="0" w:color="auto"/>
                    <w:right w:val="single" w:sz="4" w:space="0" w:color="auto"/>
                  </w:tcBorders>
                </w:tcPr>
                <w:p w14:paraId="5ADB5EA8" w14:textId="77777777" w:rsidR="003904E6" w:rsidRDefault="003904E6" w:rsidP="003904E6">
                  <w:pPr>
                    <w:pStyle w:val="TableBody"/>
                  </w:pPr>
                  <w:r>
                    <w:rPr>
                      <w:iCs w:val="0"/>
                    </w:rPr>
                    <w:t>none</w:t>
                  </w:r>
                </w:p>
              </w:tc>
              <w:tc>
                <w:tcPr>
                  <w:tcW w:w="3388" w:type="pct"/>
                  <w:tcBorders>
                    <w:top w:val="single" w:sz="4" w:space="0" w:color="auto"/>
                    <w:left w:val="single" w:sz="4" w:space="0" w:color="auto"/>
                    <w:bottom w:val="single" w:sz="4" w:space="0" w:color="auto"/>
                    <w:right w:val="single" w:sz="4" w:space="0" w:color="auto"/>
                  </w:tcBorders>
                </w:tcPr>
                <w:p w14:paraId="2CCB3D6E" w14:textId="77777777" w:rsidR="003904E6" w:rsidRPr="003530E3" w:rsidRDefault="003904E6" w:rsidP="003904E6">
                  <w:pPr>
                    <w:pStyle w:val="TableBody"/>
                    <w:rPr>
                      <w:iCs w:val="0"/>
                    </w:rPr>
                  </w:pPr>
                  <w:r w:rsidRPr="009D409E">
                    <w:t>A Resource Node Settlement Point.</w:t>
                  </w:r>
                </w:p>
              </w:tc>
            </w:tr>
          </w:tbl>
          <w:p w14:paraId="09A5D4CE" w14:textId="77777777" w:rsidR="00293D76" w:rsidRPr="007779E2" w:rsidRDefault="003904E6" w:rsidP="00293D76">
            <w:pPr>
              <w:spacing w:before="240" w:after="240"/>
              <w:ind w:left="720" w:hanging="720"/>
            </w:pPr>
            <w:r w:rsidRPr="007E46C9">
              <w:rPr>
                <w:iCs/>
              </w:rPr>
              <w:t xml:space="preserve"> </w:t>
            </w:r>
            <w:r w:rsidR="00293D76" w:rsidRPr="007E46C9">
              <w:rPr>
                <w:iCs/>
              </w:rPr>
              <w:t>(</w:t>
            </w:r>
            <w:r w:rsidR="00293D76">
              <w:rPr>
                <w:iCs/>
              </w:rPr>
              <w:t>4</w:t>
            </w:r>
            <w:r w:rsidR="00293D76" w:rsidRPr="007E46C9">
              <w:rPr>
                <w:iCs/>
              </w:rPr>
              <w:t>)</w:t>
            </w:r>
            <w:r w:rsidR="00293D76" w:rsidRPr="007E46C9">
              <w:rPr>
                <w:iCs/>
              </w:rPr>
              <w:tab/>
            </w:r>
            <w:r w:rsidR="00293D76">
              <w:rPr>
                <w:iCs/>
              </w:rPr>
              <w:t>For e</w:t>
            </w:r>
            <w:r w:rsidR="00293D76" w:rsidRPr="007E46C9">
              <w:rPr>
                <w:iCs/>
              </w:rPr>
              <w:t xml:space="preserve">ach QSE for which ERCOT </w:t>
            </w:r>
            <w:r w:rsidR="00293D76">
              <w:rPr>
                <w:iCs/>
              </w:rPr>
              <w:t xml:space="preserve">calculates a Real-Time DAM Make-Whole payment an adjustment for each Ancillary Service is computed </w:t>
            </w:r>
            <w:r w:rsidR="00293D76" w:rsidRPr="007779E2">
              <w:t>as follows:</w:t>
            </w:r>
          </w:p>
          <w:p w14:paraId="39E190C5" w14:textId="77777777" w:rsidR="00293D76" w:rsidRDefault="00293D76" w:rsidP="00293D76">
            <w:pPr>
              <w:spacing w:after="240"/>
              <w:ind w:left="1260" w:hanging="540"/>
              <w:rPr>
                <w:i/>
                <w:vertAlign w:val="subscript"/>
              </w:rPr>
            </w:pPr>
            <w:r>
              <w:rPr>
                <w:color w:val="000000"/>
              </w:rPr>
              <w:t>RUMWINFA</w:t>
            </w:r>
            <w:r w:rsidRPr="00806A30">
              <w:rPr>
                <w:i/>
                <w:vertAlign w:val="subscript"/>
              </w:rPr>
              <w:t xml:space="preserve"> </w:t>
            </w:r>
            <w:r>
              <w:rPr>
                <w:i/>
                <w:vertAlign w:val="subscript"/>
              </w:rPr>
              <w:t>q ,</w:t>
            </w:r>
            <w:r w:rsidRPr="004C0093">
              <w:rPr>
                <w:i/>
                <w:vertAlign w:val="subscript"/>
              </w:rPr>
              <w:t xml:space="preserve">h  </w:t>
            </w:r>
            <w:r w:rsidRPr="004C0093">
              <w:t>=</w:t>
            </w:r>
            <w:r w:rsidRPr="004057CD">
              <w:rPr>
                <w:position w:val="-18"/>
                <w:lang w:val="pt-BR"/>
              </w:rPr>
              <w:object w:dxaOrig="220" w:dyaOrig="420" w14:anchorId="0A635F17">
                <v:shape id="_x0000_i1334" type="#_x0000_t75" style="width:12pt;height:24pt" o:ole="">
                  <v:imagedata r:id="rId413" o:title=""/>
                </v:shape>
                <o:OLEObject Type="Embed" ProgID="Equation.3" ShapeID="_x0000_i1334" DrawAspect="Content" ObjectID="_1815025522" r:id="rId414"/>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r w:rsidRPr="004228A8">
              <w:rPr>
                <w:i/>
                <w:vertAlign w:val="subscript"/>
              </w:rPr>
              <w:t xml:space="preserve"> </w:t>
            </w:r>
            <w:r w:rsidRPr="004C0093">
              <w:rPr>
                <w:i/>
                <w:vertAlign w:val="subscript"/>
              </w:rPr>
              <w:t xml:space="preserve"> </w:t>
            </w:r>
            <w:r>
              <w:t xml:space="preserve">* </w:t>
            </w:r>
            <w:r>
              <w:rPr>
                <w:lang w:val="pt-BR"/>
              </w:rPr>
              <w:t>R</w:t>
            </w:r>
            <w:r w:rsidRPr="00E07CAD">
              <w:t>UINFQ</w:t>
            </w:r>
            <w:r>
              <w:t>R</w:t>
            </w:r>
            <w:r w:rsidRPr="00E07CAD">
              <w:t xml:space="preserve"> </w:t>
            </w:r>
            <w:r w:rsidRPr="004C0093">
              <w:rPr>
                <w:i/>
                <w:vertAlign w:val="subscript"/>
              </w:rPr>
              <w:t>q</w:t>
            </w:r>
            <w:r>
              <w:rPr>
                <w:i/>
                <w:vertAlign w:val="subscript"/>
              </w:rPr>
              <w:t xml:space="preserve"> </w:t>
            </w:r>
            <w:r w:rsidRPr="004C0093">
              <w:rPr>
                <w:i/>
                <w:vertAlign w:val="subscript"/>
              </w:rPr>
              <w:t xml:space="preserve">, r,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1D7B964F" w14:textId="77777777" w:rsidR="00293D76" w:rsidRPr="00E07CAD" w:rsidRDefault="00293D76" w:rsidP="00293D76">
            <w:pPr>
              <w:spacing w:after="240"/>
              <w:ind w:left="1260" w:hanging="540"/>
              <w:rPr>
                <w:i/>
                <w:vertAlign w:val="subscript"/>
              </w:rPr>
            </w:pPr>
            <w:r>
              <w:rPr>
                <w:color w:val="000000"/>
              </w:rPr>
              <w:t>RDMWINFA</w:t>
            </w:r>
            <w:r w:rsidRPr="00806A30">
              <w:rPr>
                <w:i/>
                <w:vertAlign w:val="subscript"/>
              </w:rPr>
              <w:t xml:space="preserve"> </w:t>
            </w:r>
            <w:r>
              <w:rPr>
                <w:i/>
                <w:vertAlign w:val="subscript"/>
              </w:rPr>
              <w:t xml:space="preserve">q, </w:t>
            </w:r>
            <w:r w:rsidRPr="004C0093">
              <w:rPr>
                <w:i/>
                <w:vertAlign w:val="subscript"/>
              </w:rPr>
              <w:t xml:space="preserve">h  </w:t>
            </w:r>
            <w:r w:rsidRPr="004C0093">
              <w:t>=</w:t>
            </w:r>
            <w:r w:rsidRPr="004057CD">
              <w:rPr>
                <w:position w:val="-18"/>
                <w:lang w:val="pt-BR"/>
              </w:rPr>
              <w:object w:dxaOrig="220" w:dyaOrig="420" w14:anchorId="2143A251">
                <v:shape id="_x0000_i1335" type="#_x0000_t75" style="width:12pt;height:24pt" o:ole="">
                  <v:imagedata r:id="rId413" o:title=""/>
                </v:shape>
                <o:OLEObject Type="Embed" ProgID="Equation.3" ShapeID="_x0000_i1335" DrawAspect="Content" ObjectID="_1815025523" r:id="rId415"/>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r w:rsidRPr="004228A8">
              <w:rPr>
                <w:i/>
                <w:vertAlign w:val="subscript"/>
              </w:rPr>
              <w:t xml:space="preserve">  </w:t>
            </w:r>
            <w:r>
              <w:t>* RD</w:t>
            </w:r>
            <w:r w:rsidRPr="00E07CAD">
              <w:t>INFQ</w:t>
            </w:r>
            <w:r>
              <w:t>R</w:t>
            </w:r>
            <w:r w:rsidRPr="00E07CAD">
              <w:t xml:space="preserve"> </w:t>
            </w:r>
            <w:r w:rsidRPr="004C0093">
              <w:rPr>
                <w:i/>
                <w:vertAlign w:val="subscript"/>
              </w:rPr>
              <w:t xml:space="preserve">q, r, </w:t>
            </w:r>
            <w:r>
              <w:rPr>
                <w:i/>
                <w:vertAlign w:val="subscript"/>
              </w:rPr>
              <w:t>p,</w:t>
            </w:r>
            <w:r w:rsidRPr="004C0093">
              <w:rPr>
                <w:i/>
                <w:vertAlign w:val="subscript"/>
              </w:rPr>
              <w:t xml:space="preserve"> 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 xml:space="preserve">q, r, </w:t>
            </w:r>
            <w:r>
              <w:rPr>
                <w:i/>
                <w:vertAlign w:val="subscript"/>
              </w:rPr>
              <w:t xml:space="preserve">p, </w:t>
            </w:r>
            <w:r w:rsidRPr="004C0093">
              <w:rPr>
                <w:i/>
                <w:vertAlign w:val="subscript"/>
              </w:rPr>
              <w:t>h</w:t>
            </w:r>
          </w:p>
          <w:p w14:paraId="294205C7" w14:textId="77777777" w:rsidR="00293D76" w:rsidRPr="00E07CAD" w:rsidRDefault="00293D76" w:rsidP="00293D76">
            <w:pPr>
              <w:spacing w:after="240"/>
              <w:ind w:left="1260" w:hanging="540"/>
              <w:rPr>
                <w:i/>
                <w:vertAlign w:val="subscript"/>
              </w:rPr>
            </w:pPr>
            <w:r>
              <w:rPr>
                <w:color w:val="000000"/>
              </w:rPr>
              <w:t>RRMWINFA</w:t>
            </w:r>
            <w:r w:rsidRPr="00806A30">
              <w:rPr>
                <w:i/>
                <w:vertAlign w:val="subscript"/>
              </w:rPr>
              <w:t xml:space="preserve"> </w:t>
            </w:r>
            <w:r>
              <w:rPr>
                <w:i/>
                <w:vertAlign w:val="subscript"/>
              </w:rPr>
              <w:t xml:space="preserve">q, </w:t>
            </w:r>
            <w:r w:rsidRPr="004C0093">
              <w:rPr>
                <w:i/>
                <w:vertAlign w:val="subscript"/>
              </w:rPr>
              <w:t xml:space="preserve">h  </w:t>
            </w:r>
            <w:r w:rsidRPr="004C0093">
              <w:t>=</w:t>
            </w:r>
            <w:r w:rsidRPr="004057CD">
              <w:rPr>
                <w:position w:val="-18"/>
                <w:lang w:val="pt-BR"/>
              </w:rPr>
              <w:object w:dxaOrig="220" w:dyaOrig="420" w14:anchorId="3AB6B04E">
                <v:shape id="_x0000_i1336" type="#_x0000_t75" style="width:12pt;height:24pt" o:ole="">
                  <v:imagedata r:id="rId413" o:title=""/>
                </v:shape>
                <o:OLEObject Type="Embed" ProgID="Equation.3" ShapeID="_x0000_i1336" DrawAspect="Content" ObjectID="_1815025524" r:id="rId416"/>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3D17C5">
              <w:rPr>
                <w:i/>
                <w:vertAlign w:val="subscript"/>
              </w:rPr>
              <w:t xml:space="preserve"> </w:t>
            </w:r>
            <w:r>
              <w:rPr>
                <w:i/>
                <w:vertAlign w:val="subscript"/>
              </w:rPr>
              <w:t xml:space="preserve">p, </w:t>
            </w:r>
            <w:r w:rsidRPr="004C0093">
              <w:rPr>
                <w:i/>
                <w:vertAlign w:val="subscript"/>
              </w:rPr>
              <w:t xml:space="preserve"> h</w:t>
            </w:r>
            <w:r w:rsidRPr="004228A8">
              <w:rPr>
                <w:i/>
                <w:vertAlign w:val="subscript"/>
              </w:rPr>
              <w:t xml:space="preserve"> </w:t>
            </w:r>
            <w:r w:rsidRPr="004C0093">
              <w:rPr>
                <w:i/>
                <w:vertAlign w:val="subscript"/>
              </w:rPr>
              <w:t xml:space="preserve"> </w:t>
            </w:r>
            <w:r>
              <w:t xml:space="preserve">* </w:t>
            </w:r>
            <w:r w:rsidRPr="00E07CAD">
              <w:t>R</w:t>
            </w:r>
            <w:r>
              <w:t>RINFQR</w:t>
            </w:r>
            <w:r>
              <w:rPr>
                <w:color w:val="000000"/>
                <w:vertAlign w:val="subscript"/>
              </w:rPr>
              <w:t xml:space="preserve"> </w:t>
            </w:r>
            <w:r w:rsidRPr="004C0093">
              <w:rPr>
                <w:i/>
                <w:vertAlign w:val="subscript"/>
              </w:rPr>
              <w:t xml:space="preserve">q, r,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64E47C28" w14:textId="77777777" w:rsidR="00293D76" w:rsidRPr="00E07CAD" w:rsidRDefault="00293D76" w:rsidP="00293D76">
            <w:pPr>
              <w:spacing w:after="240"/>
              <w:ind w:left="1260" w:hanging="540"/>
              <w:rPr>
                <w:i/>
                <w:vertAlign w:val="subscript"/>
              </w:rPr>
            </w:pPr>
            <w:r>
              <w:rPr>
                <w:color w:val="000000"/>
              </w:rPr>
              <w:t>NSMWINFA</w:t>
            </w:r>
            <w:r w:rsidR="003E2347">
              <w:rPr>
                <w:color w:val="000000"/>
              </w:rPr>
              <w:t xml:space="preserve"> </w:t>
            </w:r>
            <w:r>
              <w:rPr>
                <w:i/>
                <w:vertAlign w:val="subscript"/>
              </w:rPr>
              <w:t>q,</w:t>
            </w:r>
            <w:r w:rsidRPr="004C0093">
              <w:rPr>
                <w:i/>
                <w:vertAlign w:val="subscript"/>
              </w:rPr>
              <w:t xml:space="preserve"> h  </w:t>
            </w:r>
            <w:r w:rsidRPr="004C0093">
              <w:t>=</w:t>
            </w:r>
            <w:r w:rsidRPr="004057CD">
              <w:rPr>
                <w:position w:val="-18"/>
                <w:lang w:val="pt-BR"/>
              </w:rPr>
              <w:object w:dxaOrig="220" w:dyaOrig="420" w14:anchorId="0D9660A1">
                <v:shape id="_x0000_i1337" type="#_x0000_t75" style="width:12pt;height:24pt" o:ole="">
                  <v:imagedata r:id="rId413" o:title=""/>
                </v:shape>
                <o:OLEObject Type="Embed" ProgID="Equation.3" ShapeID="_x0000_i1337" DrawAspect="Content" ObjectID="_1815025525" r:id="rId417"/>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 r, </w:t>
            </w:r>
            <w:r>
              <w:rPr>
                <w:i/>
                <w:vertAlign w:val="subscript"/>
              </w:rPr>
              <w:t xml:space="preserve">p, </w:t>
            </w:r>
            <w:r w:rsidRPr="004C0093">
              <w:rPr>
                <w:i/>
                <w:vertAlign w:val="subscript"/>
              </w:rPr>
              <w:t>h</w:t>
            </w:r>
            <w:r w:rsidRPr="004228A8">
              <w:rPr>
                <w:i/>
                <w:vertAlign w:val="subscript"/>
              </w:rPr>
              <w:t xml:space="preserve">  </w:t>
            </w:r>
            <w:r>
              <w:t>* NS</w:t>
            </w:r>
            <w:r w:rsidRPr="00E07CAD">
              <w:t>INFQ</w:t>
            </w:r>
            <w:r>
              <w:t>R</w:t>
            </w:r>
            <w:r w:rsidRPr="00E07CAD">
              <w:t xml:space="preserve"> </w:t>
            </w:r>
            <w:r w:rsidRPr="004C0093">
              <w:rPr>
                <w:i/>
                <w:vertAlign w:val="subscript"/>
              </w:rPr>
              <w:t>q, r,</w:t>
            </w:r>
            <w:r w:rsidRPr="003D17C5">
              <w:rPr>
                <w:i/>
                <w:vertAlign w:val="subscript"/>
              </w:rPr>
              <w:t xml:space="preserve">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2C7BF4B5" w14:textId="77777777" w:rsidR="003C098F" w:rsidRPr="00E07CAD" w:rsidRDefault="003C098F" w:rsidP="003C098F">
            <w:pPr>
              <w:spacing w:after="240"/>
              <w:ind w:left="1260" w:hanging="540"/>
              <w:rPr>
                <w:i/>
                <w:vertAlign w:val="subscript"/>
              </w:rPr>
            </w:pPr>
            <w:r>
              <w:rPr>
                <w:color w:val="000000"/>
              </w:rPr>
              <w:t>ECRMWINFA</w:t>
            </w:r>
            <w:r w:rsidRPr="00806A30">
              <w:rPr>
                <w:i/>
                <w:vertAlign w:val="subscript"/>
              </w:rPr>
              <w:t xml:space="preserve"> </w:t>
            </w:r>
            <w:r>
              <w:rPr>
                <w:i/>
                <w:vertAlign w:val="subscript"/>
              </w:rPr>
              <w:t xml:space="preserve">q, </w:t>
            </w:r>
            <w:r w:rsidRPr="004C0093">
              <w:rPr>
                <w:i/>
                <w:vertAlign w:val="subscript"/>
              </w:rPr>
              <w:t xml:space="preserve">h  </w:t>
            </w:r>
            <w:r w:rsidRPr="004C0093">
              <w:t>=</w:t>
            </w:r>
            <w:r w:rsidRPr="004057CD">
              <w:rPr>
                <w:position w:val="-18"/>
                <w:lang w:val="pt-BR"/>
              </w:rPr>
              <w:object w:dxaOrig="220" w:dyaOrig="420" w14:anchorId="5D05AE1E">
                <v:shape id="_x0000_i1338" type="#_x0000_t75" style="width:12pt;height:24pt" o:ole="">
                  <v:imagedata r:id="rId413" o:title=""/>
                </v:shape>
                <o:OLEObject Type="Embed" ProgID="Equation.3" ShapeID="_x0000_i1338" DrawAspect="Content" ObjectID="_1815025526" r:id="rId418"/>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3D17C5">
              <w:rPr>
                <w:i/>
                <w:vertAlign w:val="subscript"/>
              </w:rPr>
              <w:t xml:space="preserve"> </w:t>
            </w:r>
            <w:r>
              <w:rPr>
                <w:i/>
                <w:vertAlign w:val="subscript"/>
              </w:rPr>
              <w:t xml:space="preserve">p, </w:t>
            </w:r>
            <w:r w:rsidRPr="004C0093">
              <w:rPr>
                <w:i/>
                <w:vertAlign w:val="subscript"/>
              </w:rPr>
              <w:t xml:space="preserve"> h</w:t>
            </w:r>
            <w:r w:rsidRPr="004228A8">
              <w:rPr>
                <w:i/>
                <w:vertAlign w:val="subscript"/>
              </w:rPr>
              <w:t xml:space="preserve"> </w:t>
            </w:r>
            <w:r w:rsidRPr="004C0093">
              <w:rPr>
                <w:i/>
                <w:vertAlign w:val="subscript"/>
              </w:rPr>
              <w:t xml:space="preserve"> </w:t>
            </w:r>
            <w:r>
              <w:t>* ECRINFQR</w:t>
            </w:r>
            <w:r>
              <w:rPr>
                <w:color w:val="000000"/>
                <w:vertAlign w:val="subscript"/>
              </w:rPr>
              <w:t xml:space="preserve"> </w:t>
            </w:r>
            <w:r w:rsidRPr="004C0093">
              <w:rPr>
                <w:i/>
                <w:vertAlign w:val="subscript"/>
              </w:rPr>
              <w:t xml:space="preserve">q, r,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2A6785FE" w14:textId="77777777" w:rsidR="00D655D2" w:rsidRDefault="00293D76" w:rsidP="001F0DC8">
            <w:pPr>
              <w:spacing w:before="120"/>
            </w:pPr>
            <w:r w:rsidRPr="004228A8">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1F0DC8" w:rsidRPr="007873B3" w14:paraId="066B1EA3" w14:textId="77777777" w:rsidTr="002A7BFB">
              <w:tc>
                <w:tcPr>
                  <w:tcW w:w="1154" w:type="pct"/>
                  <w:shd w:val="clear" w:color="auto" w:fill="auto"/>
                </w:tcPr>
                <w:p w14:paraId="608C2AA0" w14:textId="77777777" w:rsidR="001F0DC8" w:rsidRPr="000064DA" w:rsidRDefault="001F0DC8" w:rsidP="001F0DC8">
                  <w:pPr>
                    <w:spacing w:after="240"/>
                    <w:rPr>
                      <w:b/>
                      <w:iCs/>
                      <w:sz w:val="20"/>
                    </w:rPr>
                  </w:pPr>
                  <w:r w:rsidRPr="000064DA">
                    <w:rPr>
                      <w:b/>
                      <w:iCs/>
                      <w:sz w:val="20"/>
                    </w:rPr>
                    <w:t>Variable</w:t>
                  </w:r>
                </w:p>
              </w:tc>
              <w:tc>
                <w:tcPr>
                  <w:tcW w:w="456" w:type="pct"/>
                  <w:shd w:val="clear" w:color="auto" w:fill="auto"/>
                </w:tcPr>
                <w:p w14:paraId="7C4C35A8" w14:textId="77777777" w:rsidR="001F0DC8" w:rsidRPr="000064DA" w:rsidRDefault="001F0DC8" w:rsidP="001F0DC8">
                  <w:pPr>
                    <w:spacing w:after="240"/>
                    <w:rPr>
                      <w:b/>
                      <w:iCs/>
                      <w:sz w:val="20"/>
                    </w:rPr>
                  </w:pPr>
                  <w:r w:rsidRPr="000064DA">
                    <w:rPr>
                      <w:b/>
                      <w:iCs/>
                      <w:sz w:val="20"/>
                    </w:rPr>
                    <w:t>Unit</w:t>
                  </w:r>
                </w:p>
              </w:tc>
              <w:tc>
                <w:tcPr>
                  <w:tcW w:w="3390" w:type="pct"/>
                  <w:shd w:val="clear" w:color="auto" w:fill="auto"/>
                </w:tcPr>
                <w:p w14:paraId="12B35FB3" w14:textId="77777777" w:rsidR="001F0DC8" w:rsidRPr="000064DA" w:rsidRDefault="001F0DC8" w:rsidP="001F0DC8">
                  <w:pPr>
                    <w:spacing w:after="240"/>
                    <w:rPr>
                      <w:b/>
                      <w:iCs/>
                      <w:sz w:val="20"/>
                    </w:rPr>
                  </w:pPr>
                  <w:r w:rsidRPr="000064DA">
                    <w:rPr>
                      <w:b/>
                      <w:iCs/>
                      <w:sz w:val="20"/>
                    </w:rPr>
                    <w:t>Description</w:t>
                  </w:r>
                </w:p>
              </w:tc>
            </w:tr>
            <w:tr w:rsidR="001F0DC8" w:rsidRPr="007873B3" w14:paraId="44573639" w14:textId="77777777" w:rsidTr="002A7BFB">
              <w:tc>
                <w:tcPr>
                  <w:tcW w:w="1154" w:type="pct"/>
                  <w:shd w:val="clear" w:color="auto" w:fill="auto"/>
                </w:tcPr>
                <w:p w14:paraId="56830710" w14:textId="77777777" w:rsidR="001F0DC8" w:rsidRPr="003E2347" w:rsidRDefault="001F0DC8" w:rsidP="001F0DC8">
                  <w:pPr>
                    <w:spacing w:after="240"/>
                    <w:rPr>
                      <w:iCs/>
                      <w:sz w:val="20"/>
                    </w:rPr>
                  </w:pPr>
                  <w:r w:rsidRPr="003E2347">
                    <w:rPr>
                      <w:color w:val="000000"/>
                      <w:sz w:val="20"/>
                    </w:rPr>
                    <w:t>RUMWINFA</w:t>
                  </w:r>
                  <w:r w:rsidRPr="003E2347">
                    <w:rPr>
                      <w:i/>
                      <w:sz w:val="20"/>
                      <w:vertAlign w:val="subscript"/>
                    </w:rPr>
                    <w:t xml:space="preserve"> q, h </w:t>
                  </w:r>
                </w:p>
              </w:tc>
              <w:tc>
                <w:tcPr>
                  <w:tcW w:w="456" w:type="pct"/>
                  <w:shd w:val="clear" w:color="auto" w:fill="auto"/>
                </w:tcPr>
                <w:p w14:paraId="7BB2E553" w14:textId="77777777" w:rsidR="001F0DC8" w:rsidRPr="000064DA" w:rsidRDefault="001F0DC8" w:rsidP="001F0DC8">
                  <w:pPr>
                    <w:spacing w:after="60"/>
                    <w:rPr>
                      <w:iCs/>
                      <w:sz w:val="20"/>
                    </w:rPr>
                  </w:pPr>
                  <w:r w:rsidRPr="000064DA">
                    <w:rPr>
                      <w:iCs/>
                      <w:sz w:val="20"/>
                    </w:rPr>
                    <w:t>$</w:t>
                  </w:r>
                </w:p>
              </w:tc>
              <w:tc>
                <w:tcPr>
                  <w:tcW w:w="3390" w:type="pct"/>
                  <w:shd w:val="clear" w:color="auto" w:fill="auto"/>
                </w:tcPr>
                <w:p w14:paraId="19148C4D" w14:textId="77777777" w:rsidR="001F0DC8" w:rsidRPr="000064DA" w:rsidRDefault="001F0DC8" w:rsidP="001F0DC8">
                  <w:pPr>
                    <w:spacing w:after="60"/>
                    <w:rPr>
                      <w:iCs/>
                      <w:sz w:val="20"/>
                    </w:rPr>
                  </w:pPr>
                  <w:r>
                    <w:rPr>
                      <w:i/>
                      <w:sz w:val="20"/>
                    </w:rPr>
                    <w:t>Regulation Up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Regulation Up Ancillary Service,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17D06848" w14:textId="77777777" w:rsidTr="002A7BFB">
              <w:tc>
                <w:tcPr>
                  <w:tcW w:w="1154" w:type="pct"/>
                  <w:shd w:val="clear" w:color="auto" w:fill="auto"/>
                </w:tcPr>
                <w:p w14:paraId="60C7F0C9" w14:textId="77777777" w:rsidR="001F0DC8" w:rsidRPr="003E2347" w:rsidRDefault="001F0DC8" w:rsidP="001F0DC8">
                  <w:pPr>
                    <w:spacing w:after="60"/>
                    <w:rPr>
                      <w:color w:val="000000"/>
                      <w:sz w:val="20"/>
                    </w:rPr>
                  </w:pPr>
                  <w:r w:rsidRPr="003E2347">
                    <w:rPr>
                      <w:color w:val="000000"/>
                      <w:sz w:val="20"/>
                    </w:rPr>
                    <w:t xml:space="preserve">RDMWINFA </w:t>
                  </w:r>
                  <w:r w:rsidRPr="003E2347">
                    <w:rPr>
                      <w:i/>
                      <w:sz w:val="20"/>
                      <w:vertAlign w:val="subscript"/>
                    </w:rPr>
                    <w:t>q, h</w:t>
                  </w:r>
                </w:p>
              </w:tc>
              <w:tc>
                <w:tcPr>
                  <w:tcW w:w="456" w:type="pct"/>
                  <w:shd w:val="clear" w:color="auto" w:fill="auto"/>
                </w:tcPr>
                <w:p w14:paraId="716D452E" w14:textId="77777777" w:rsidR="001F0DC8" w:rsidRPr="004228A8" w:rsidRDefault="001F0DC8" w:rsidP="001F0DC8">
                  <w:pPr>
                    <w:spacing w:after="60"/>
                    <w:rPr>
                      <w:iCs/>
                      <w:sz w:val="20"/>
                    </w:rPr>
                  </w:pPr>
                  <w:r>
                    <w:rPr>
                      <w:iCs/>
                      <w:sz w:val="20"/>
                    </w:rPr>
                    <w:t>$</w:t>
                  </w:r>
                </w:p>
              </w:tc>
              <w:tc>
                <w:tcPr>
                  <w:tcW w:w="3390" w:type="pct"/>
                  <w:shd w:val="clear" w:color="auto" w:fill="auto"/>
                </w:tcPr>
                <w:p w14:paraId="0803E0B6" w14:textId="77777777" w:rsidR="001F0DC8" w:rsidRPr="004C0093" w:rsidRDefault="001F0DC8" w:rsidP="00065EC3">
                  <w:pPr>
                    <w:spacing w:after="60"/>
                    <w:rPr>
                      <w:i/>
                      <w:sz w:val="20"/>
                    </w:rPr>
                  </w:pPr>
                  <w:r>
                    <w:rPr>
                      <w:i/>
                      <w:sz w:val="20"/>
                    </w:rPr>
                    <w:t xml:space="preserve">Regulation Down Make-Whole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for its contribution of Reg</w:t>
                  </w:r>
                  <w:r w:rsidR="00065EC3">
                    <w:rPr>
                      <w:sz w:val="20"/>
                    </w:rPr>
                    <w:t>-Down</w:t>
                  </w:r>
                  <w:r>
                    <w:rPr>
                      <w:sz w:val="20"/>
                    </w:rPr>
                    <w:t xml:space="preserve">,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379E801E" w14:textId="77777777" w:rsidTr="002A7BFB">
              <w:tc>
                <w:tcPr>
                  <w:tcW w:w="1154" w:type="pct"/>
                  <w:shd w:val="clear" w:color="auto" w:fill="auto"/>
                </w:tcPr>
                <w:p w14:paraId="313D548B" w14:textId="77777777" w:rsidR="001F0DC8" w:rsidRPr="003E2347" w:rsidRDefault="001F0DC8" w:rsidP="001F0DC8">
                  <w:pPr>
                    <w:spacing w:after="60"/>
                    <w:rPr>
                      <w:color w:val="000000"/>
                      <w:sz w:val="20"/>
                    </w:rPr>
                  </w:pPr>
                  <w:r w:rsidRPr="003E2347">
                    <w:rPr>
                      <w:color w:val="000000"/>
                      <w:sz w:val="20"/>
                    </w:rPr>
                    <w:lastRenderedPageBreak/>
                    <w:t xml:space="preserve">RRMWINFA </w:t>
                  </w:r>
                  <w:r w:rsidRPr="003E2347">
                    <w:rPr>
                      <w:i/>
                      <w:sz w:val="20"/>
                      <w:vertAlign w:val="subscript"/>
                    </w:rPr>
                    <w:t>q, h</w:t>
                  </w:r>
                </w:p>
              </w:tc>
              <w:tc>
                <w:tcPr>
                  <w:tcW w:w="456" w:type="pct"/>
                  <w:shd w:val="clear" w:color="auto" w:fill="auto"/>
                </w:tcPr>
                <w:p w14:paraId="18E12FCA" w14:textId="77777777" w:rsidR="001F0DC8" w:rsidRDefault="001F0DC8" w:rsidP="001F0DC8">
                  <w:pPr>
                    <w:spacing w:after="60"/>
                    <w:rPr>
                      <w:iCs/>
                      <w:sz w:val="20"/>
                    </w:rPr>
                  </w:pPr>
                  <w:r>
                    <w:rPr>
                      <w:iCs/>
                      <w:sz w:val="20"/>
                    </w:rPr>
                    <w:t>$</w:t>
                  </w:r>
                </w:p>
              </w:tc>
              <w:tc>
                <w:tcPr>
                  <w:tcW w:w="3390" w:type="pct"/>
                  <w:shd w:val="clear" w:color="auto" w:fill="auto"/>
                </w:tcPr>
                <w:p w14:paraId="11F32350" w14:textId="77777777" w:rsidR="001F0DC8" w:rsidRPr="004C0093" w:rsidRDefault="001F0DC8" w:rsidP="00065EC3">
                  <w:pPr>
                    <w:spacing w:after="60"/>
                    <w:rPr>
                      <w:i/>
                      <w:sz w:val="20"/>
                    </w:rPr>
                  </w:pPr>
                  <w:r>
                    <w:rPr>
                      <w:i/>
                      <w:sz w:val="20"/>
                    </w:rPr>
                    <w:t xml:space="preserve">Responsive Reserve Make-Whole Infeasible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for its contribution of R</w:t>
                  </w:r>
                  <w:r w:rsidR="00065EC3">
                    <w:rPr>
                      <w:sz w:val="20"/>
                    </w:rPr>
                    <w:t>RS</w:t>
                  </w:r>
                  <w:r>
                    <w:rPr>
                      <w:sz w:val="20"/>
                    </w:rPr>
                    <w:t xml:space="preserve">,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68A34D64" w14:textId="77777777" w:rsidTr="002A7BFB">
              <w:tc>
                <w:tcPr>
                  <w:tcW w:w="1154" w:type="pct"/>
                  <w:shd w:val="clear" w:color="auto" w:fill="auto"/>
                </w:tcPr>
                <w:p w14:paraId="56A5C062" w14:textId="77777777" w:rsidR="001F0DC8" w:rsidRPr="003E2347" w:rsidRDefault="001F0DC8" w:rsidP="001F0DC8">
                  <w:pPr>
                    <w:spacing w:after="60"/>
                    <w:rPr>
                      <w:color w:val="000000"/>
                      <w:sz w:val="20"/>
                    </w:rPr>
                  </w:pPr>
                  <w:r w:rsidRPr="003E2347">
                    <w:rPr>
                      <w:color w:val="000000"/>
                      <w:sz w:val="20"/>
                    </w:rPr>
                    <w:t xml:space="preserve">NSMWINFA </w:t>
                  </w:r>
                  <w:r w:rsidRPr="003E2347">
                    <w:rPr>
                      <w:i/>
                      <w:sz w:val="20"/>
                      <w:vertAlign w:val="subscript"/>
                    </w:rPr>
                    <w:t>q, h</w:t>
                  </w:r>
                </w:p>
              </w:tc>
              <w:tc>
                <w:tcPr>
                  <w:tcW w:w="456" w:type="pct"/>
                  <w:shd w:val="clear" w:color="auto" w:fill="auto"/>
                </w:tcPr>
                <w:p w14:paraId="2FD2665D" w14:textId="77777777" w:rsidR="001F0DC8" w:rsidRDefault="001F0DC8" w:rsidP="001F0DC8">
                  <w:pPr>
                    <w:spacing w:after="60"/>
                    <w:rPr>
                      <w:iCs/>
                      <w:sz w:val="20"/>
                    </w:rPr>
                  </w:pPr>
                  <w:r>
                    <w:rPr>
                      <w:iCs/>
                      <w:sz w:val="20"/>
                    </w:rPr>
                    <w:t>$</w:t>
                  </w:r>
                </w:p>
              </w:tc>
              <w:tc>
                <w:tcPr>
                  <w:tcW w:w="3390" w:type="pct"/>
                  <w:shd w:val="clear" w:color="auto" w:fill="auto"/>
                </w:tcPr>
                <w:p w14:paraId="35ADD3CE" w14:textId="77777777" w:rsidR="001F0DC8" w:rsidRPr="004C0093" w:rsidRDefault="001F0DC8" w:rsidP="00065EC3">
                  <w:pPr>
                    <w:spacing w:after="60"/>
                    <w:rPr>
                      <w:i/>
                      <w:sz w:val="20"/>
                    </w:rPr>
                  </w:pPr>
                  <w:r>
                    <w:rPr>
                      <w:i/>
                      <w:sz w:val="20"/>
                    </w:rPr>
                    <w:t xml:space="preserve">Non-Spin Make-Whole Infeasible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Non-Spin,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3C098F" w:rsidRPr="007873B3" w14:paraId="7C06BFE6" w14:textId="77777777" w:rsidTr="002A7BFB">
              <w:tc>
                <w:tcPr>
                  <w:tcW w:w="1154" w:type="pct"/>
                  <w:shd w:val="clear" w:color="auto" w:fill="auto"/>
                </w:tcPr>
                <w:p w14:paraId="5BDCE113" w14:textId="77777777" w:rsidR="003C098F" w:rsidRPr="003E2347" w:rsidRDefault="003C098F" w:rsidP="003C098F">
                  <w:pPr>
                    <w:spacing w:after="60"/>
                    <w:rPr>
                      <w:color w:val="000000"/>
                      <w:sz w:val="20"/>
                    </w:rPr>
                  </w:pPr>
                  <w:r>
                    <w:rPr>
                      <w:color w:val="000000"/>
                      <w:sz w:val="20"/>
                    </w:rPr>
                    <w:t>EC</w:t>
                  </w:r>
                  <w:r w:rsidRPr="003E2347">
                    <w:rPr>
                      <w:color w:val="000000"/>
                      <w:sz w:val="20"/>
                    </w:rPr>
                    <w:t xml:space="preserve">RMWINFA </w:t>
                  </w:r>
                  <w:r w:rsidRPr="003E2347">
                    <w:rPr>
                      <w:i/>
                      <w:sz w:val="20"/>
                      <w:vertAlign w:val="subscript"/>
                    </w:rPr>
                    <w:t>q, h</w:t>
                  </w:r>
                </w:p>
              </w:tc>
              <w:tc>
                <w:tcPr>
                  <w:tcW w:w="456" w:type="pct"/>
                  <w:shd w:val="clear" w:color="auto" w:fill="auto"/>
                </w:tcPr>
                <w:p w14:paraId="43B37762" w14:textId="77777777" w:rsidR="003C098F" w:rsidRDefault="003C098F" w:rsidP="003C098F">
                  <w:pPr>
                    <w:spacing w:after="60"/>
                    <w:rPr>
                      <w:iCs/>
                      <w:sz w:val="20"/>
                    </w:rPr>
                  </w:pPr>
                  <w:r>
                    <w:rPr>
                      <w:iCs/>
                      <w:sz w:val="20"/>
                    </w:rPr>
                    <w:t>$</w:t>
                  </w:r>
                </w:p>
              </w:tc>
              <w:tc>
                <w:tcPr>
                  <w:tcW w:w="3390" w:type="pct"/>
                  <w:shd w:val="clear" w:color="auto" w:fill="auto"/>
                </w:tcPr>
                <w:p w14:paraId="56F7D081" w14:textId="77777777" w:rsidR="003C098F" w:rsidRDefault="003C098F" w:rsidP="003C098F">
                  <w:pPr>
                    <w:spacing w:after="60"/>
                    <w:rPr>
                      <w:i/>
                      <w:sz w:val="20"/>
                    </w:rPr>
                  </w:pPr>
                  <w:r w:rsidRPr="006714C4">
                    <w:rPr>
                      <w:i/>
                      <w:sz w:val="20"/>
                    </w:rPr>
                    <w:t>ERCOT Contingency Reserve Service</w:t>
                  </w:r>
                  <w:r>
                    <w:rPr>
                      <w:i/>
                      <w:sz w:val="20"/>
                    </w:rPr>
                    <w:t xml:space="preserve"> Make-Whole Infeasible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ECRS,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6FAAB555" w14:textId="77777777" w:rsidTr="002A7BFB">
              <w:tc>
                <w:tcPr>
                  <w:tcW w:w="1154" w:type="pct"/>
                  <w:shd w:val="clear" w:color="auto" w:fill="auto"/>
                </w:tcPr>
                <w:p w14:paraId="29FCCEFF" w14:textId="77777777" w:rsidR="001F0DC8" w:rsidRPr="003E2347" w:rsidRDefault="001F0DC8" w:rsidP="001F0DC8">
                  <w:pPr>
                    <w:spacing w:after="60"/>
                    <w:rPr>
                      <w:color w:val="000000"/>
                      <w:sz w:val="20"/>
                    </w:rPr>
                  </w:pPr>
                  <w:r w:rsidRPr="003E2347">
                    <w:rPr>
                      <w:color w:val="000000"/>
                      <w:sz w:val="20"/>
                    </w:rPr>
                    <w:t>RTDAMWAMT</w:t>
                  </w:r>
                  <w:r w:rsidRPr="003E2347">
                    <w:rPr>
                      <w:i/>
                      <w:sz w:val="20"/>
                      <w:vertAlign w:val="subscript"/>
                    </w:rPr>
                    <w:t xml:space="preserve"> q, r, p, h  </w:t>
                  </w:r>
                </w:p>
              </w:tc>
              <w:tc>
                <w:tcPr>
                  <w:tcW w:w="456" w:type="pct"/>
                  <w:shd w:val="clear" w:color="auto" w:fill="auto"/>
                </w:tcPr>
                <w:p w14:paraId="629DCA9A" w14:textId="77777777" w:rsidR="001F0DC8" w:rsidRPr="004228A8" w:rsidRDefault="001F0DC8" w:rsidP="001F0DC8">
                  <w:pPr>
                    <w:spacing w:after="60"/>
                    <w:rPr>
                      <w:iCs/>
                      <w:sz w:val="20"/>
                    </w:rPr>
                  </w:pPr>
                  <w:r>
                    <w:rPr>
                      <w:iCs/>
                      <w:sz w:val="20"/>
                    </w:rPr>
                    <w:t>$</w:t>
                  </w:r>
                </w:p>
              </w:tc>
              <w:tc>
                <w:tcPr>
                  <w:tcW w:w="3390" w:type="pct"/>
                  <w:shd w:val="clear" w:color="auto" w:fill="auto"/>
                </w:tcPr>
                <w:p w14:paraId="5A72581A" w14:textId="77777777" w:rsidR="001F0DC8" w:rsidRPr="004C0093" w:rsidRDefault="001F0DC8" w:rsidP="001F0DC8">
                  <w:pPr>
                    <w:spacing w:after="60"/>
                    <w:rPr>
                      <w:i/>
                      <w:sz w:val="20"/>
                    </w:rPr>
                  </w:pPr>
                  <w:r w:rsidRPr="004C0093">
                    <w:rPr>
                      <w:i/>
                      <w:sz w:val="20"/>
                    </w:rPr>
                    <w:t xml:space="preserve">Real-Time Day-Ahead Make-Whole Payment </w:t>
                  </w:r>
                  <w:r>
                    <w:rPr>
                      <w:i/>
                      <w:sz w:val="20"/>
                    </w:rPr>
                    <w:t xml:space="preserve">Amount </w:t>
                  </w:r>
                  <w:r w:rsidRPr="004C0093">
                    <w:rPr>
                      <w:i/>
                      <w:sz w:val="20"/>
                    </w:rPr>
                    <w:t>per QSE per Resource per Settlement Point per hour</w:t>
                  </w:r>
                  <w:r w:rsidRPr="004C0093" w:rsidDel="00282BD0">
                    <w:rPr>
                      <w:i/>
                      <w:sz w:val="20"/>
                    </w:rPr>
                    <w:t xml:space="preserve"> </w:t>
                  </w:r>
                  <w:r w:rsidRPr="004C0093">
                    <w:rPr>
                      <w:sz w:val="20"/>
                    </w:rPr>
                    <w:sym w:font="Symbol" w:char="F0BE"/>
                  </w:r>
                  <w:r w:rsidRPr="004C0093">
                    <w:rPr>
                      <w:sz w:val="20"/>
                    </w:rPr>
                    <w:t xml:space="preserve">The Real-Time calculated payment to QSE </w:t>
                  </w:r>
                  <w:r w:rsidRPr="004C0093">
                    <w:rPr>
                      <w:i/>
                      <w:sz w:val="20"/>
                    </w:rPr>
                    <w:t>q</w:t>
                  </w:r>
                  <w:r w:rsidRPr="004C0093">
                    <w:rPr>
                      <w:sz w:val="20"/>
                    </w:rPr>
                    <w:t xml:space="preserve"> to make-whole the Startup </w:t>
                  </w:r>
                  <w:r>
                    <w:rPr>
                      <w:sz w:val="20"/>
                    </w:rPr>
                    <w:t xml:space="preserve">Cost </w:t>
                  </w:r>
                  <w:r w:rsidRPr="004C0093">
                    <w:rPr>
                      <w:sz w:val="20"/>
                    </w:rPr>
                    <w:t xml:space="preserve">and </w:t>
                  </w:r>
                  <w:r>
                    <w:rPr>
                      <w:sz w:val="20"/>
                    </w:rPr>
                    <w:t>e</w:t>
                  </w:r>
                  <w:r w:rsidRPr="004C0093">
                    <w:rPr>
                      <w:sz w:val="20"/>
                    </w:rPr>
                    <w:t xml:space="preserve">nergy costs of Resource </w:t>
                  </w:r>
                  <w:r w:rsidRPr="004C0093">
                    <w:rPr>
                      <w:i/>
                      <w:sz w:val="20"/>
                    </w:rPr>
                    <w:t>r</w:t>
                  </w:r>
                  <w:r w:rsidRPr="004C0093">
                    <w:rPr>
                      <w:sz w:val="20"/>
                    </w:rPr>
                    <w:t xml:space="preserve"> committed in the DAM at Resource Node </w:t>
                  </w:r>
                  <w:r w:rsidRPr="004C0093">
                    <w:rPr>
                      <w:i/>
                      <w:sz w:val="20"/>
                    </w:rPr>
                    <w:t>p</w:t>
                  </w:r>
                  <w:r w:rsidRPr="004C0093">
                    <w:rPr>
                      <w:sz w:val="20"/>
                    </w:rPr>
                    <w:t xml:space="preserve"> for the hour </w:t>
                  </w:r>
                  <w:r w:rsidRPr="004C0093">
                    <w:rPr>
                      <w:i/>
                      <w:sz w:val="20"/>
                    </w:rPr>
                    <w:t>h</w:t>
                  </w:r>
                  <w:r w:rsidRPr="004C0093">
                    <w:rPr>
                      <w:sz w:val="20"/>
                    </w:rPr>
                    <w:t>.  When a Combined Cycle Generation Resource is committed in the DAM, payment is made to the Combined Cycle Train for the DAM-committed Combined Cycle Generation Resource.</w:t>
                  </w:r>
                </w:p>
              </w:tc>
            </w:tr>
            <w:tr w:rsidR="001F0DC8" w:rsidRPr="007873B3" w14:paraId="33BC87B2" w14:textId="77777777" w:rsidTr="002A7BFB">
              <w:tc>
                <w:tcPr>
                  <w:tcW w:w="1154" w:type="pct"/>
                  <w:shd w:val="clear" w:color="auto" w:fill="auto"/>
                </w:tcPr>
                <w:p w14:paraId="02FB808F" w14:textId="77777777" w:rsidR="001F0DC8" w:rsidRPr="003E2347" w:rsidRDefault="001F0DC8" w:rsidP="001F0DC8">
                  <w:pPr>
                    <w:spacing w:after="60"/>
                    <w:rPr>
                      <w:color w:val="000000"/>
                      <w:sz w:val="20"/>
                    </w:rPr>
                  </w:pPr>
                  <w:r w:rsidRPr="003E2347">
                    <w:rPr>
                      <w:iCs/>
                      <w:sz w:val="20"/>
                    </w:rPr>
                    <w:t xml:space="preserve">RUINFQR </w:t>
                  </w:r>
                  <w:r w:rsidRPr="003E2347">
                    <w:rPr>
                      <w:i/>
                      <w:sz w:val="20"/>
                      <w:vertAlign w:val="subscript"/>
                    </w:rPr>
                    <w:t>q, r, p, h</w:t>
                  </w:r>
                </w:p>
              </w:tc>
              <w:tc>
                <w:tcPr>
                  <w:tcW w:w="456" w:type="pct"/>
                  <w:shd w:val="clear" w:color="auto" w:fill="auto"/>
                </w:tcPr>
                <w:p w14:paraId="057F9909" w14:textId="77777777" w:rsidR="001F0DC8" w:rsidRPr="004228A8" w:rsidRDefault="001F0DC8" w:rsidP="001F0DC8">
                  <w:pPr>
                    <w:spacing w:after="60"/>
                    <w:rPr>
                      <w:iCs/>
                      <w:sz w:val="20"/>
                    </w:rPr>
                  </w:pPr>
                  <w:r>
                    <w:rPr>
                      <w:iCs/>
                      <w:sz w:val="20"/>
                    </w:rPr>
                    <w:t>MW</w:t>
                  </w:r>
                </w:p>
              </w:tc>
              <w:tc>
                <w:tcPr>
                  <w:tcW w:w="3390" w:type="pct"/>
                  <w:shd w:val="clear" w:color="auto" w:fill="auto"/>
                </w:tcPr>
                <w:p w14:paraId="0B1EB2C3" w14:textId="77777777" w:rsidR="001F0DC8" w:rsidRPr="004C0093" w:rsidRDefault="001F0DC8" w:rsidP="001F0DC8">
                  <w:pPr>
                    <w:spacing w:after="60"/>
                    <w:rPr>
                      <w:i/>
                      <w:sz w:val="20"/>
                    </w:rPr>
                  </w:pPr>
                  <w:r w:rsidRPr="004C0093">
                    <w:rPr>
                      <w:i/>
                      <w:iCs/>
                      <w:sz w:val="20"/>
                    </w:rPr>
                    <w:t xml:space="preserve">Reg-Up Infeasible Quantity </w:t>
                  </w:r>
                  <w:r w:rsidRPr="004C0093">
                    <w:rPr>
                      <w:i/>
                      <w:sz w:val="20"/>
                    </w:rPr>
                    <w:t>per QSE per Resource per Settlement Point per hour</w:t>
                  </w:r>
                  <w:r>
                    <w:rPr>
                      <w:i/>
                      <w:iCs/>
                      <w:sz w:val="20"/>
                    </w:rPr>
                    <w:t xml:space="preserve"> </w:t>
                  </w:r>
                  <w:r w:rsidRPr="004C0093">
                    <w:rPr>
                      <w:i/>
                      <w:iCs/>
                      <w:sz w:val="20"/>
                    </w:rPr>
                    <w:t>—</w:t>
                  </w:r>
                  <w:r w:rsidRPr="00065EC3">
                    <w:rPr>
                      <w:iCs/>
                      <w:sz w:val="20"/>
                    </w:rPr>
                    <w:t>The Resource</w:t>
                  </w:r>
                  <w:r w:rsidRPr="004C0093">
                    <w:rPr>
                      <w:i/>
                      <w:iCs/>
                      <w:sz w:val="20"/>
                    </w:rPr>
                    <w:t xml:space="preserve"> r total </w:t>
                  </w:r>
                  <w:r w:rsidRPr="004C0093">
                    <w:rPr>
                      <w:iCs/>
                      <w:sz w:val="20"/>
                    </w:rPr>
                    <w:t>capacity associated with infeasible</w:t>
                  </w:r>
                  <w:r w:rsidRPr="004C0093">
                    <w:rPr>
                      <w:i/>
                      <w:iCs/>
                      <w:sz w:val="20"/>
                    </w:rPr>
                    <w:t xml:space="preserve"> </w:t>
                  </w:r>
                  <w:r w:rsidRPr="004C0093">
                    <w:rPr>
                      <w:iCs/>
                      <w:sz w:val="20"/>
                    </w:rPr>
                    <w:t>Ancillary Service Supply Responsibility for Reg-Up, for the hour</w:t>
                  </w:r>
                  <w:r>
                    <w:rPr>
                      <w:iCs/>
                      <w:sz w:val="20"/>
                    </w:rPr>
                    <w:t xml:space="preserve"> </w:t>
                  </w:r>
                  <w:r w:rsidRPr="00D518CB">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68D64330" w14:textId="77777777" w:rsidTr="002A7BFB">
              <w:tc>
                <w:tcPr>
                  <w:tcW w:w="1154" w:type="pct"/>
                  <w:shd w:val="clear" w:color="auto" w:fill="auto"/>
                </w:tcPr>
                <w:p w14:paraId="62AE9055" w14:textId="77777777" w:rsidR="001F0DC8" w:rsidRPr="003E2347" w:rsidRDefault="001F0DC8" w:rsidP="001F0DC8">
                  <w:pPr>
                    <w:spacing w:after="60"/>
                    <w:rPr>
                      <w:iCs/>
                      <w:sz w:val="20"/>
                    </w:rPr>
                  </w:pPr>
                  <w:r w:rsidRPr="003E2347">
                    <w:rPr>
                      <w:iCs/>
                      <w:sz w:val="20"/>
                    </w:rPr>
                    <w:t xml:space="preserve">RDINFQR </w:t>
                  </w:r>
                  <w:r w:rsidRPr="003E2347">
                    <w:rPr>
                      <w:i/>
                      <w:sz w:val="20"/>
                      <w:vertAlign w:val="subscript"/>
                    </w:rPr>
                    <w:t>q, r, p, h</w:t>
                  </w:r>
                </w:p>
              </w:tc>
              <w:tc>
                <w:tcPr>
                  <w:tcW w:w="456" w:type="pct"/>
                  <w:shd w:val="clear" w:color="auto" w:fill="auto"/>
                </w:tcPr>
                <w:p w14:paraId="5DE3E990" w14:textId="77777777" w:rsidR="001F0DC8" w:rsidRDefault="001F0DC8" w:rsidP="001F0DC8">
                  <w:pPr>
                    <w:spacing w:after="60"/>
                    <w:rPr>
                      <w:iCs/>
                      <w:sz w:val="20"/>
                    </w:rPr>
                  </w:pPr>
                  <w:r>
                    <w:rPr>
                      <w:iCs/>
                      <w:sz w:val="20"/>
                    </w:rPr>
                    <w:t>MW</w:t>
                  </w:r>
                </w:p>
              </w:tc>
              <w:tc>
                <w:tcPr>
                  <w:tcW w:w="3390" w:type="pct"/>
                  <w:shd w:val="clear" w:color="auto" w:fill="auto"/>
                </w:tcPr>
                <w:p w14:paraId="0B842D9B" w14:textId="77777777" w:rsidR="001F0DC8" w:rsidRPr="004C0093" w:rsidRDefault="001F0DC8" w:rsidP="001F0DC8">
                  <w:pPr>
                    <w:spacing w:after="60"/>
                    <w:rPr>
                      <w:i/>
                      <w:iCs/>
                      <w:sz w:val="20"/>
                    </w:rPr>
                  </w:pPr>
                  <w:r w:rsidRPr="004C0093">
                    <w:rPr>
                      <w:i/>
                      <w:iCs/>
                      <w:sz w:val="20"/>
                    </w:rPr>
                    <w:t>Reg-Down Infeasib</w:t>
                  </w:r>
                  <w:r>
                    <w:rPr>
                      <w:i/>
                      <w:iCs/>
                      <w:sz w:val="20"/>
                    </w:rPr>
                    <w:t>le</w:t>
                  </w:r>
                  <w:r w:rsidRPr="004C0093">
                    <w:rPr>
                      <w:i/>
                      <w:iCs/>
                      <w:sz w:val="20"/>
                    </w:rPr>
                    <w:t xml:space="preserve"> Quantity</w:t>
                  </w:r>
                  <w:r w:rsidRPr="004C0093">
                    <w:rPr>
                      <w:i/>
                      <w:sz w:val="20"/>
                    </w:rPr>
                    <w:t xml:space="preserve"> 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Reg-Down,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453975F4" w14:textId="77777777" w:rsidTr="002A7BFB">
              <w:tc>
                <w:tcPr>
                  <w:tcW w:w="1154" w:type="pct"/>
                  <w:shd w:val="clear" w:color="auto" w:fill="auto"/>
                </w:tcPr>
                <w:p w14:paraId="7EDC64E5" w14:textId="77777777" w:rsidR="001F0DC8" w:rsidRPr="003E2347" w:rsidRDefault="001F0DC8" w:rsidP="001F0DC8">
                  <w:pPr>
                    <w:spacing w:after="60"/>
                    <w:rPr>
                      <w:iCs/>
                      <w:sz w:val="20"/>
                    </w:rPr>
                  </w:pPr>
                  <w:r w:rsidRPr="003E2347">
                    <w:rPr>
                      <w:iCs/>
                      <w:sz w:val="20"/>
                    </w:rPr>
                    <w:t xml:space="preserve">RRINFQR </w:t>
                  </w:r>
                  <w:r w:rsidRPr="003E2347">
                    <w:rPr>
                      <w:i/>
                      <w:iCs/>
                      <w:sz w:val="20"/>
                      <w:vertAlign w:val="subscript"/>
                    </w:rPr>
                    <w:t xml:space="preserve">q, r, </w:t>
                  </w:r>
                  <w:r w:rsidRPr="003E2347">
                    <w:rPr>
                      <w:i/>
                      <w:sz w:val="20"/>
                      <w:vertAlign w:val="subscript"/>
                    </w:rPr>
                    <w:t xml:space="preserve">p, </w:t>
                  </w:r>
                  <w:r w:rsidRPr="003E2347">
                    <w:rPr>
                      <w:i/>
                      <w:iCs/>
                      <w:sz w:val="20"/>
                      <w:vertAlign w:val="subscript"/>
                    </w:rPr>
                    <w:t>h</w:t>
                  </w:r>
                </w:p>
              </w:tc>
              <w:tc>
                <w:tcPr>
                  <w:tcW w:w="456" w:type="pct"/>
                  <w:shd w:val="clear" w:color="auto" w:fill="auto"/>
                </w:tcPr>
                <w:p w14:paraId="6817AAF0" w14:textId="77777777" w:rsidR="001F0DC8" w:rsidRDefault="001F0DC8" w:rsidP="001F0DC8">
                  <w:pPr>
                    <w:spacing w:after="60"/>
                    <w:rPr>
                      <w:iCs/>
                      <w:sz w:val="20"/>
                    </w:rPr>
                  </w:pPr>
                  <w:r>
                    <w:rPr>
                      <w:iCs/>
                      <w:sz w:val="20"/>
                    </w:rPr>
                    <w:t>MW</w:t>
                  </w:r>
                </w:p>
              </w:tc>
              <w:tc>
                <w:tcPr>
                  <w:tcW w:w="3390" w:type="pct"/>
                  <w:shd w:val="clear" w:color="auto" w:fill="auto"/>
                </w:tcPr>
                <w:p w14:paraId="6F059BDE" w14:textId="77777777" w:rsidR="001F0DC8" w:rsidRPr="004C0093" w:rsidRDefault="001F0DC8" w:rsidP="001F0DC8">
                  <w:pPr>
                    <w:spacing w:after="60"/>
                    <w:rPr>
                      <w:i/>
                      <w:iCs/>
                      <w:sz w:val="20"/>
                    </w:rPr>
                  </w:pPr>
                  <w:r w:rsidRPr="004C0093">
                    <w:rPr>
                      <w:i/>
                      <w:iCs/>
                      <w:sz w:val="20"/>
                    </w:rPr>
                    <w:t>Responsive 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RRS,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52630D72" w14:textId="77777777" w:rsidTr="002A7BFB">
              <w:tc>
                <w:tcPr>
                  <w:tcW w:w="1154" w:type="pct"/>
                  <w:shd w:val="clear" w:color="auto" w:fill="auto"/>
                </w:tcPr>
                <w:p w14:paraId="486EF778" w14:textId="77777777" w:rsidR="001F0DC8" w:rsidRPr="003E2347" w:rsidRDefault="001F0DC8" w:rsidP="001F0DC8">
                  <w:pPr>
                    <w:spacing w:after="60"/>
                    <w:rPr>
                      <w:iCs/>
                      <w:sz w:val="20"/>
                    </w:rPr>
                  </w:pPr>
                  <w:r w:rsidRPr="003E2347">
                    <w:rPr>
                      <w:iCs/>
                      <w:sz w:val="20"/>
                    </w:rPr>
                    <w:t xml:space="preserve">NSINFQR </w:t>
                  </w:r>
                  <w:r w:rsidRPr="003E2347">
                    <w:rPr>
                      <w:i/>
                      <w:iCs/>
                      <w:sz w:val="20"/>
                      <w:vertAlign w:val="subscript"/>
                    </w:rPr>
                    <w:t xml:space="preserve">q, r, </w:t>
                  </w:r>
                  <w:r w:rsidRPr="003E2347">
                    <w:rPr>
                      <w:i/>
                      <w:sz w:val="20"/>
                      <w:vertAlign w:val="subscript"/>
                    </w:rPr>
                    <w:t xml:space="preserve">p, </w:t>
                  </w:r>
                  <w:r w:rsidRPr="003E2347">
                    <w:rPr>
                      <w:i/>
                      <w:iCs/>
                      <w:sz w:val="20"/>
                      <w:vertAlign w:val="subscript"/>
                    </w:rPr>
                    <w:t>h</w:t>
                  </w:r>
                </w:p>
              </w:tc>
              <w:tc>
                <w:tcPr>
                  <w:tcW w:w="456" w:type="pct"/>
                  <w:shd w:val="clear" w:color="auto" w:fill="auto"/>
                </w:tcPr>
                <w:p w14:paraId="64188AA9" w14:textId="77777777" w:rsidR="001F0DC8" w:rsidRDefault="001F0DC8" w:rsidP="001F0DC8">
                  <w:pPr>
                    <w:spacing w:after="60"/>
                    <w:rPr>
                      <w:iCs/>
                      <w:sz w:val="20"/>
                    </w:rPr>
                  </w:pPr>
                  <w:r>
                    <w:rPr>
                      <w:iCs/>
                      <w:sz w:val="20"/>
                    </w:rPr>
                    <w:t>MW</w:t>
                  </w:r>
                </w:p>
              </w:tc>
              <w:tc>
                <w:tcPr>
                  <w:tcW w:w="3390" w:type="pct"/>
                  <w:shd w:val="clear" w:color="auto" w:fill="auto"/>
                </w:tcPr>
                <w:p w14:paraId="1C8C6DF5" w14:textId="77777777" w:rsidR="001F0DC8" w:rsidRPr="004C0093" w:rsidRDefault="001F0DC8" w:rsidP="001F0DC8">
                  <w:pPr>
                    <w:spacing w:after="60"/>
                    <w:rPr>
                      <w:i/>
                      <w:iCs/>
                      <w:sz w:val="20"/>
                    </w:rPr>
                  </w:pPr>
                  <w:r w:rsidRPr="004C0093">
                    <w:rPr>
                      <w:i/>
                      <w:iCs/>
                      <w:sz w:val="20"/>
                    </w:rPr>
                    <w:t>Non-Spin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 Ancillary Service Supply Responsibility for Non-Spin,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3C098F" w:rsidRPr="007873B3" w14:paraId="60008731" w14:textId="77777777" w:rsidTr="002A7BFB">
              <w:tc>
                <w:tcPr>
                  <w:tcW w:w="1154" w:type="pct"/>
                  <w:shd w:val="clear" w:color="auto" w:fill="auto"/>
                </w:tcPr>
                <w:p w14:paraId="3D07A628" w14:textId="77777777" w:rsidR="003C098F" w:rsidRPr="003E2347" w:rsidRDefault="003C098F" w:rsidP="003C098F">
                  <w:pPr>
                    <w:spacing w:after="60"/>
                    <w:rPr>
                      <w:iCs/>
                      <w:sz w:val="20"/>
                    </w:rPr>
                  </w:pPr>
                  <w:r>
                    <w:rPr>
                      <w:iCs/>
                      <w:sz w:val="20"/>
                    </w:rPr>
                    <w:t>EC</w:t>
                  </w:r>
                  <w:r w:rsidRPr="003E2347">
                    <w:rPr>
                      <w:iCs/>
                      <w:sz w:val="20"/>
                    </w:rPr>
                    <w:t xml:space="preserve">RINFQR </w:t>
                  </w:r>
                  <w:r w:rsidRPr="003E2347">
                    <w:rPr>
                      <w:i/>
                      <w:iCs/>
                      <w:sz w:val="20"/>
                      <w:vertAlign w:val="subscript"/>
                    </w:rPr>
                    <w:t xml:space="preserve">q, r, </w:t>
                  </w:r>
                  <w:r w:rsidRPr="003E2347">
                    <w:rPr>
                      <w:i/>
                      <w:sz w:val="20"/>
                      <w:vertAlign w:val="subscript"/>
                    </w:rPr>
                    <w:t xml:space="preserve">p, </w:t>
                  </w:r>
                  <w:r w:rsidRPr="003E2347">
                    <w:rPr>
                      <w:i/>
                      <w:iCs/>
                      <w:sz w:val="20"/>
                      <w:vertAlign w:val="subscript"/>
                    </w:rPr>
                    <w:t>h</w:t>
                  </w:r>
                </w:p>
              </w:tc>
              <w:tc>
                <w:tcPr>
                  <w:tcW w:w="456" w:type="pct"/>
                  <w:shd w:val="clear" w:color="auto" w:fill="auto"/>
                </w:tcPr>
                <w:p w14:paraId="697E1AE7" w14:textId="77777777" w:rsidR="003C098F" w:rsidRDefault="003C098F" w:rsidP="003C098F">
                  <w:pPr>
                    <w:spacing w:after="60"/>
                    <w:rPr>
                      <w:iCs/>
                      <w:sz w:val="20"/>
                    </w:rPr>
                  </w:pPr>
                  <w:r>
                    <w:rPr>
                      <w:iCs/>
                      <w:sz w:val="20"/>
                    </w:rPr>
                    <w:t>MW</w:t>
                  </w:r>
                </w:p>
              </w:tc>
              <w:tc>
                <w:tcPr>
                  <w:tcW w:w="3390" w:type="pct"/>
                  <w:shd w:val="clear" w:color="auto" w:fill="auto"/>
                </w:tcPr>
                <w:p w14:paraId="25DB0FF9" w14:textId="77777777" w:rsidR="003C098F" w:rsidRPr="004C0093" w:rsidRDefault="003C098F" w:rsidP="003C098F">
                  <w:pPr>
                    <w:spacing w:after="60"/>
                    <w:rPr>
                      <w:i/>
                      <w:iCs/>
                      <w:sz w:val="20"/>
                    </w:rPr>
                  </w:pPr>
                  <w:r w:rsidRPr="006714C4">
                    <w:rPr>
                      <w:i/>
                      <w:iCs/>
                      <w:sz w:val="20"/>
                    </w:rPr>
                    <w:t>ERCOT Contingency Reserve Service</w:t>
                  </w:r>
                  <w:r w:rsidRPr="004C0093">
                    <w:rPr>
                      <w:i/>
                      <w:iCs/>
                      <w:sz w:val="20"/>
                    </w:rPr>
                    <w:t xml:space="p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 xml:space="preserve">Ancillary Service Supply Responsibility for </w:t>
                  </w:r>
                  <w:r>
                    <w:rPr>
                      <w:iCs/>
                      <w:sz w:val="20"/>
                    </w:rPr>
                    <w:t>EC</w:t>
                  </w:r>
                  <w:r w:rsidRPr="004C0093">
                    <w:rPr>
                      <w:iCs/>
                      <w:sz w:val="20"/>
                    </w:rPr>
                    <w:t>RS,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0C461FF8" w14:textId="77777777" w:rsidTr="002A7BFB">
              <w:tc>
                <w:tcPr>
                  <w:tcW w:w="1154" w:type="pct"/>
                  <w:shd w:val="clear" w:color="auto" w:fill="auto"/>
                </w:tcPr>
                <w:p w14:paraId="0F4F4470" w14:textId="77777777" w:rsidR="001F0DC8" w:rsidRPr="003E2347" w:rsidRDefault="001F0DC8" w:rsidP="001F0DC8">
                  <w:pPr>
                    <w:spacing w:after="60"/>
                    <w:rPr>
                      <w:iCs/>
                      <w:sz w:val="20"/>
                    </w:rPr>
                  </w:pPr>
                  <w:r w:rsidRPr="003E2347">
                    <w:rPr>
                      <w:sz w:val="20"/>
                    </w:rPr>
                    <w:t>ASINFQR</w:t>
                  </w:r>
                  <w:r w:rsidR="003E2347" w:rsidRPr="003E2347">
                    <w:rPr>
                      <w:sz w:val="20"/>
                    </w:rPr>
                    <w:t xml:space="preserve"> </w:t>
                  </w:r>
                  <w:r w:rsidRPr="003E2347">
                    <w:rPr>
                      <w:i/>
                      <w:sz w:val="20"/>
                      <w:vertAlign w:val="subscript"/>
                    </w:rPr>
                    <w:t>q, r, p, h</w:t>
                  </w:r>
                </w:p>
              </w:tc>
              <w:tc>
                <w:tcPr>
                  <w:tcW w:w="456" w:type="pct"/>
                  <w:shd w:val="clear" w:color="auto" w:fill="auto"/>
                </w:tcPr>
                <w:p w14:paraId="6F0123CC" w14:textId="77777777" w:rsidR="001F0DC8" w:rsidRDefault="001F0DC8" w:rsidP="001F0DC8">
                  <w:pPr>
                    <w:spacing w:after="60"/>
                    <w:rPr>
                      <w:iCs/>
                      <w:sz w:val="20"/>
                    </w:rPr>
                  </w:pPr>
                  <w:r>
                    <w:rPr>
                      <w:iCs/>
                      <w:sz w:val="20"/>
                    </w:rPr>
                    <w:t>MW</w:t>
                  </w:r>
                </w:p>
              </w:tc>
              <w:tc>
                <w:tcPr>
                  <w:tcW w:w="3390" w:type="pct"/>
                  <w:shd w:val="clear" w:color="auto" w:fill="auto"/>
                </w:tcPr>
                <w:p w14:paraId="19C74245" w14:textId="77777777" w:rsidR="001F0DC8" w:rsidRPr="004C0093" w:rsidRDefault="001F0DC8" w:rsidP="001F0DC8">
                  <w:pPr>
                    <w:spacing w:after="60"/>
                    <w:rPr>
                      <w:i/>
                      <w:iCs/>
                      <w:sz w:val="20"/>
                    </w:rPr>
                  </w:pPr>
                  <w:r w:rsidRPr="004C0093">
                    <w:rPr>
                      <w:i/>
                      <w:iCs/>
                      <w:sz w:val="20"/>
                    </w:rPr>
                    <w:t xml:space="preserve">Ancillary Service Infeasible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2A28BA2E" w14:textId="77777777" w:rsidTr="002A7BFB">
              <w:tc>
                <w:tcPr>
                  <w:tcW w:w="1154" w:type="pct"/>
                  <w:tcBorders>
                    <w:top w:val="single" w:sz="4" w:space="0" w:color="auto"/>
                    <w:left w:val="single" w:sz="4" w:space="0" w:color="auto"/>
                    <w:bottom w:val="single" w:sz="4" w:space="0" w:color="auto"/>
                    <w:right w:val="single" w:sz="4" w:space="0" w:color="auto"/>
                  </w:tcBorders>
                  <w:shd w:val="clear" w:color="auto" w:fill="auto"/>
                </w:tcPr>
                <w:p w14:paraId="79452AD5" w14:textId="77777777" w:rsidR="001F0DC8" w:rsidRPr="003E2347" w:rsidRDefault="001F0DC8" w:rsidP="001F0DC8">
                  <w:pPr>
                    <w:spacing w:after="60"/>
                    <w:rPr>
                      <w:i/>
                      <w:sz w:val="20"/>
                    </w:rPr>
                  </w:pPr>
                  <w:r w:rsidRPr="003E2347">
                    <w:rPr>
                      <w:i/>
                      <w:sz w:val="20"/>
                    </w:rPr>
                    <w:t>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D8920FE" w14:textId="77777777" w:rsidR="001F0DC8" w:rsidRPr="000064DA" w:rsidRDefault="001F0DC8" w:rsidP="001F0DC8">
                  <w:pPr>
                    <w:spacing w:after="60"/>
                    <w:rPr>
                      <w:iCs/>
                      <w:sz w:val="20"/>
                    </w:rPr>
                  </w:pPr>
                  <w:r w:rsidRPr="000064DA">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0C3949A" w14:textId="77777777" w:rsidR="001F0DC8" w:rsidRPr="000064DA" w:rsidRDefault="001F0DC8" w:rsidP="001F0DC8">
                  <w:pPr>
                    <w:spacing w:after="60"/>
                    <w:rPr>
                      <w:i/>
                      <w:iCs/>
                      <w:sz w:val="20"/>
                    </w:rPr>
                  </w:pPr>
                  <w:r w:rsidRPr="003530E3">
                    <w:rPr>
                      <w:iCs/>
                      <w:sz w:val="20"/>
                    </w:rPr>
                    <w:t>An hour in the DAM-commitment period.</w:t>
                  </w:r>
                </w:p>
              </w:tc>
            </w:tr>
            <w:tr w:rsidR="001F0DC8" w:rsidRPr="007873B3" w14:paraId="47166BFE" w14:textId="77777777" w:rsidTr="002A7BFB">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777B2F34" w14:textId="77777777" w:rsidR="001F0DC8" w:rsidRPr="003E2347" w:rsidRDefault="001F0DC8" w:rsidP="001F0DC8">
                  <w:pPr>
                    <w:spacing w:after="60"/>
                    <w:rPr>
                      <w:i/>
                      <w:iCs/>
                      <w:sz w:val="20"/>
                    </w:rPr>
                  </w:pPr>
                  <w:r w:rsidRPr="003E2347">
                    <w:rPr>
                      <w:i/>
                      <w:iCs/>
                      <w:sz w:val="20"/>
                    </w:rPr>
                    <w:t>q</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BCEDC72" w14:textId="77777777" w:rsidR="001F0DC8" w:rsidRPr="000064DA" w:rsidRDefault="001F0DC8" w:rsidP="001F0DC8">
                  <w:pPr>
                    <w:spacing w:after="60"/>
                    <w:rPr>
                      <w:iCs/>
                      <w:sz w:val="20"/>
                    </w:rPr>
                  </w:pPr>
                  <w:r w:rsidRPr="000064DA">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9EBD34F" w14:textId="77777777" w:rsidR="001F0DC8" w:rsidRPr="000064DA" w:rsidRDefault="001F0DC8" w:rsidP="001F0DC8">
                  <w:pPr>
                    <w:spacing w:after="60"/>
                    <w:rPr>
                      <w:iCs/>
                      <w:sz w:val="20"/>
                    </w:rPr>
                  </w:pPr>
                  <w:r w:rsidRPr="000064DA">
                    <w:rPr>
                      <w:iCs/>
                      <w:sz w:val="20"/>
                    </w:rPr>
                    <w:t>A QSE.</w:t>
                  </w:r>
                </w:p>
              </w:tc>
            </w:tr>
            <w:tr w:rsidR="001F0DC8" w:rsidRPr="007873B3" w14:paraId="5E8FF819" w14:textId="77777777" w:rsidTr="002A7BFB">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239D780" w14:textId="77777777" w:rsidR="001F0DC8" w:rsidRPr="003E2347" w:rsidRDefault="001F0DC8" w:rsidP="001F0DC8">
                  <w:pPr>
                    <w:spacing w:after="60"/>
                    <w:rPr>
                      <w:i/>
                      <w:iCs/>
                      <w:sz w:val="20"/>
                    </w:rPr>
                  </w:pPr>
                  <w:r w:rsidRPr="003E2347">
                    <w:rPr>
                      <w:i/>
                      <w:iCs/>
                      <w:sz w:val="20"/>
                    </w:rPr>
                    <w:lastRenderedPageBreak/>
                    <w:t>r</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00D1660" w14:textId="77777777" w:rsidR="001F0DC8" w:rsidRPr="000064DA" w:rsidRDefault="001F0DC8" w:rsidP="001F0DC8">
                  <w:pPr>
                    <w:spacing w:after="60"/>
                    <w:rPr>
                      <w:iCs/>
                      <w:sz w:val="20"/>
                    </w:rPr>
                  </w:pPr>
                  <w:r w:rsidRPr="000064DA">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12048A6" w14:textId="77777777" w:rsidR="001F0DC8" w:rsidRPr="000064DA" w:rsidRDefault="001F0DC8" w:rsidP="001F0DC8">
                  <w:pPr>
                    <w:spacing w:after="60"/>
                    <w:rPr>
                      <w:iCs/>
                      <w:sz w:val="20"/>
                    </w:rPr>
                  </w:pPr>
                  <w:r w:rsidRPr="003530E3">
                    <w:rPr>
                      <w:iCs/>
                      <w:sz w:val="20"/>
                    </w:rPr>
                    <w:t>A DAM-committed Generation Resource</w:t>
                  </w:r>
                  <w:r>
                    <w:rPr>
                      <w:iCs/>
                      <w:sz w:val="20"/>
                    </w:rPr>
                    <w:t>.</w:t>
                  </w:r>
                </w:p>
              </w:tc>
            </w:tr>
            <w:tr w:rsidR="001F0DC8" w:rsidRPr="007873B3" w14:paraId="1CFF5119" w14:textId="77777777" w:rsidTr="002A7BFB">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42DB138" w14:textId="77777777" w:rsidR="001F0DC8" w:rsidRPr="003E2347" w:rsidRDefault="001F0DC8" w:rsidP="001F0DC8">
                  <w:pPr>
                    <w:spacing w:after="60"/>
                    <w:rPr>
                      <w:i/>
                      <w:iCs/>
                      <w:sz w:val="20"/>
                    </w:rPr>
                  </w:pPr>
                  <w:r w:rsidRPr="003E2347">
                    <w:rPr>
                      <w:i/>
                      <w:iCs/>
                      <w:sz w:val="20"/>
                    </w:rPr>
                    <w:t>p</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7F49EE3" w14:textId="77777777" w:rsidR="001F0DC8" w:rsidRPr="00B019A1" w:rsidRDefault="001F0DC8" w:rsidP="001F0DC8">
                  <w:pPr>
                    <w:spacing w:after="60"/>
                    <w:rPr>
                      <w:iCs/>
                      <w:sz w:val="20"/>
                    </w:rPr>
                  </w:pPr>
                  <w:r>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E8059BB" w14:textId="77777777" w:rsidR="001F0DC8" w:rsidRPr="003530E3" w:rsidRDefault="001F0DC8" w:rsidP="001F0DC8">
                  <w:pPr>
                    <w:spacing w:after="60"/>
                    <w:rPr>
                      <w:iCs/>
                      <w:sz w:val="20"/>
                    </w:rPr>
                  </w:pPr>
                  <w:r w:rsidRPr="009D409E">
                    <w:rPr>
                      <w:iCs/>
                      <w:sz w:val="20"/>
                    </w:rPr>
                    <w:t>A Resource Node Settlement Point.</w:t>
                  </w:r>
                </w:p>
              </w:tc>
            </w:tr>
          </w:tbl>
          <w:p w14:paraId="09D6F0CB" w14:textId="77777777" w:rsidR="001F0DC8" w:rsidRPr="00F00076" w:rsidRDefault="001F0DC8" w:rsidP="00293D76">
            <w:pPr>
              <w:spacing w:before="120" w:after="240"/>
              <w:rPr>
                <w:b/>
                <w:i/>
                <w:iCs/>
              </w:rPr>
            </w:pPr>
          </w:p>
        </w:tc>
      </w:tr>
    </w:tbl>
    <w:p w14:paraId="48A92732" w14:textId="77777777" w:rsidR="00221BB6" w:rsidRPr="00221BB6" w:rsidRDefault="00221BB6" w:rsidP="00221BB6"/>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7C41445F" w14:textId="77777777" w:rsidTr="001138B9">
        <w:trPr>
          <w:trHeight w:val="206"/>
        </w:trPr>
        <w:tc>
          <w:tcPr>
            <w:tcW w:w="9350" w:type="dxa"/>
            <w:shd w:val="pct12" w:color="auto" w:fill="auto"/>
          </w:tcPr>
          <w:p w14:paraId="1C5176A4" w14:textId="2A1CFB94" w:rsidR="00221BB6" w:rsidRPr="00B06583" w:rsidRDefault="00221BB6" w:rsidP="008C3F9B">
            <w:pPr>
              <w:pStyle w:val="Instructions"/>
              <w:spacing w:before="120"/>
            </w:pPr>
            <w:r>
              <w:t>[NPRR1010:  Delete Section 6.7.2.2 above upon system implementation of the Real-Time Co-Optimization (RTC) project</w:t>
            </w:r>
            <w:r w:rsidR="008C3F9B">
              <w:t>.</w:t>
            </w:r>
            <w:r>
              <w:t>]</w:t>
            </w:r>
          </w:p>
        </w:tc>
      </w:tr>
    </w:tbl>
    <w:p w14:paraId="5C8ACA01" w14:textId="514F2BD3" w:rsidR="001F04FD" w:rsidRPr="000149E5" w:rsidRDefault="001F04FD" w:rsidP="001F04FD">
      <w:pPr>
        <w:pStyle w:val="H3"/>
        <w:spacing w:before="480"/>
      </w:pPr>
      <w:bookmarkStart w:id="2722" w:name="_Toc204411745"/>
      <w:r w:rsidRPr="000149E5">
        <w:t>6.7.</w:t>
      </w:r>
      <w:r>
        <w:t>3</w:t>
      </w:r>
      <w:r w:rsidRPr="000149E5">
        <w:tab/>
        <w:t xml:space="preserve">Charges for </w:t>
      </w:r>
      <w:r w:rsidR="00745851">
        <w:t xml:space="preserve">a Failure to Provide </w:t>
      </w:r>
      <w:r w:rsidRPr="000149E5">
        <w:t>Ancillary Service</w:t>
      </w:r>
      <w:bookmarkEnd w:id="2704"/>
      <w:bookmarkEnd w:id="2705"/>
      <w:bookmarkEnd w:id="2706"/>
      <w:bookmarkEnd w:id="2707"/>
      <w:bookmarkEnd w:id="2708"/>
      <w:bookmarkEnd w:id="2709"/>
      <w:bookmarkEnd w:id="2710"/>
      <w:bookmarkEnd w:id="2711"/>
      <w:bookmarkEnd w:id="2712"/>
      <w:bookmarkEnd w:id="2713"/>
      <w:bookmarkEnd w:id="2714"/>
      <w:bookmarkEnd w:id="2718"/>
      <w:bookmarkEnd w:id="2719"/>
      <w:bookmarkEnd w:id="2720"/>
      <w:bookmarkEnd w:id="2722"/>
    </w:p>
    <w:p w14:paraId="2C47F057" w14:textId="77777777" w:rsidR="00745851" w:rsidRPr="00DD1A20" w:rsidRDefault="00745851" w:rsidP="00745851">
      <w:pPr>
        <w:spacing w:after="240"/>
        <w:ind w:left="720" w:hanging="720"/>
      </w:pPr>
      <w:bookmarkStart w:id="2723" w:name="_Toc103141433"/>
      <w:bookmarkStart w:id="2724" w:name="_Toc109009425"/>
      <w:bookmarkStart w:id="2725" w:name="_Toc397505049"/>
      <w:bookmarkStart w:id="2726" w:name="_Toc402357181"/>
      <w:bookmarkStart w:id="2727" w:name="_Toc422486561"/>
      <w:bookmarkStart w:id="2728" w:name="_Toc433093414"/>
      <w:bookmarkStart w:id="2729" w:name="_Toc433093572"/>
      <w:bookmarkStart w:id="2730" w:name="_Toc440874802"/>
      <w:bookmarkStart w:id="2731" w:name="_Toc448142359"/>
      <w:bookmarkStart w:id="2732" w:name="_Toc448142516"/>
      <w:bookmarkStart w:id="2733" w:name="_Toc458770357"/>
      <w:bookmarkStart w:id="2734" w:name="_Toc459294325"/>
      <w:bookmarkStart w:id="2735" w:name="_Toc463262819"/>
      <w:bookmarkStart w:id="2736" w:name="_Toc468286893"/>
      <w:bookmarkStart w:id="2737" w:name="_Toc481502933"/>
      <w:bookmarkStart w:id="2738" w:name="_Toc496080101"/>
      <w:bookmarkEnd w:id="2715"/>
      <w:bookmarkEnd w:id="2716"/>
      <w:r w:rsidRPr="00DD1A20">
        <w:t>(1)</w:t>
      </w:r>
      <w:r w:rsidRPr="00DD1A20">
        <w:tab/>
        <w:t xml:space="preserve">A charge to each QSE that fails to provide its Ancillary Service Supply Responsibility, whether or not a SASM is executed due to its failure to provide, is calculated by service for a given Operating Hour, as follows: </w:t>
      </w:r>
    </w:p>
    <w:p w14:paraId="5EDBFEFD" w14:textId="77777777" w:rsidR="00745851" w:rsidRPr="00DD1A20" w:rsidRDefault="00745851" w:rsidP="00745851">
      <w:pPr>
        <w:spacing w:after="240"/>
        <w:ind w:left="1440" w:hanging="720"/>
        <w:rPr>
          <w:iCs/>
        </w:rPr>
      </w:pPr>
      <w:r w:rsidRPr="00DD1A20">
        <w:rPr>
          <w:iCs/>
        </w:rPr>
        <w:t>(a)</w:t>
      </w:r>
      <w:r w:rsidRPr="00DD1A20">
        <w:rPr>
          <w:iCs/>
        </w:rPr>
        <w:tab/>
        <w:t>The t</w:t>
      </w:r>
      <w:r w:rsidRPr="00DD1A20">
        <w:t>otal charge of failure on Ancillary Service Supply Responsibility for</w:t>
      </w:r>
      <w:r w:rsidRPr="00DD1A20">
        <w:rPr>
          <w:iCs/>
        </w:rPr>
        <w:t xml:space="preserve"> Reg-Up by QSE, if applicable:</w:t>
      </w:r>
    </w:p>
    <w:p w14:paraId="38D21165" w14:textId="77777777" w:rsidR="00745851" w:rsidRPr="00DD1A20" w:rsidRDefault="00745851" w:rsidP="00745851">
      <w:pPr>
        <w:spacing w:after="240"/>
        <w:ind w:left="2880" w:hanging="2160"/>
        <w:rPr>
          <w:b/>
          <w:i/>
          <w:vertAlign w:val="subscript"/>
        </w:rPr>
      </w:pPr>
      <w:r w:rsidRPr="00DD1A20">
        <w:rPr>
          <w:b/>
        </w:rPr>
        <w:t xml:space="preserve">RUFQAMTQSETOT </w:t>
      </w:r>
      <w:r w:rsidRPr="00DD1A20">
        <w:rPr>
          <w:b/>
          <w:i/>
          <w:vertAlign w:val="subscript"/>
        </w:rPr>
        <w:t>q</w:t>
      </w:r>
      <w:r w:rsidRPr="00DD1A20">
        <w:rPr>
          <w:b/>
        </w:rPr>
        <w:tab/>
        <w:t>=</w:t>
      </w:r>
      <w:r w:rsidRPr="00DD1A20">
        <w:rPr>
          <w:b/>
        </w:rPr>
        <w:tab/>
        <w:t xml:space="preserve">RUFQAMT </w:t>
      </w:r>
      <w:r w:rsidRPr="00DD1A20">
        <w:rPr>
          <w:b/>
          <w:i/>
          <w:vertAlign w:val="subscript"/>
        </w:rPr>
        <w:t xml:space="preserve">q </w:t>
      </w:r>
      <w:r w:rsidRPr="00DD1A20">
        <w:rPr>
          <w:b/>
          <w:i/>
        </w:rPr>
        <w:t>+</w:t>
      </w:r>
      <w:r w:rsidRPr="00DD1A20">
        <w:rPr>
          <w:b/>
          <w:i/>
          <w:vertAlign w:val="subscript"/>
        </w:rPr>
        <w:t xml:space="preserve"> </w:t>
      </w:r>
      <w:r w:rsidRPr="00DD1A20">
        <w:rPr>
          <w:b/>
        </w:rPr>
        <w:t xml:space="preserve">RRUFQAMT </w:t>
      </w:r>
      <w:r w:rsidRPr="00DD1A20">
        <w:rPr>
          <w:b/>
          <w:i/>
          <w:vertAlign w:val="subscript"/>
        </w:rPr>
        <w:t>q</w:t>
      </w:r>
    </w:p>
    <w:p w14:paraId="6DF20F3A" w14:textId="77777777" w:rsidR="00745851" w:rsidRPr="00DD1A20" w:rsidRDefault="00745851" w:rsidP="00745851">
      <w:pPr>
        <w:spacing w:after="240"/>
        <w:ind w:left="1440" w:hanging="720"/>
        <w:rPr>
          <w:iCs/>
        </w:rPr>
      </w:pPr>
      <w:r w:rsidRPr="00DD1A20">
        <w:t>Where:</w:t>
      </w:r>
    </w:p>
    <w:p w14:paraId="7A3F2578" w14:textId="77777777" w:rsidR="00745851" w:rsidRPr="00DD1A20" w:rsidRDefault="00745851" w:rsidP="00745851">
      <w:pPr>
        <w:tabs>
          <w:tab w:val="left" w:pos="2340"/>
          <w:tab w:val="left" w:pos="3420"/>
        </w:tabs>
        <w:spacing w:after="240"/>
        <w:ind w:left="3420" w:hanging="2700"/>
        <w:rPr>
          <w:bCs/>
        </w:rPr>
      </w:pPr>
      <w:r w:rsidRPr="00DD1A20">
        <w:t xml:space="preserve">RUFQAMT </w:t>
      </w:r>
      <w:r w:rsidRPr="00DD1A20">
        <w:rPr>
          <w:i/>
          <w:vertAlign w:val="subscript"/>
        </w:rPr>
        <w:t>q</w:t>
      </w:r>
      <w:r w:rsidRPr="00DD1A20">
        <w:tab/>
        <w:t xml:space="preserve">=    Max(MCPCRU </w:t>
      </w:r>
      <w:r w:rsidRPr="00DD1A20">
        <w:rPr>
          <w:i/>
          <w:vertAlign w:val="subscript"/>
        </w:rPr>
        <w:t>m</w:t>
      </w:r>
      <w:r w:rsidRPr="00DD1A20">
        <w:t xml:space="preserve">, AVGRTASIP) * (RUFQ </w:t>
      </w:r>
      <w:r w:rsidRPr="00DD1A20">
        <w:rPr>
          <w:i/>
          <w:vertAlign w:val="subscript"/>
        </w:rPr>
        <w:t>q</w:t>
      </w:r>
      <w:r w:rsidRPr="00C22DE9">
        <w:rPr>
          <w:iCs/>
          <w:vertAlign w:val="subscript"/>
        </w:rPr>
        <w:t xml:space="preserve"> </w:t>
      </w:r>
      <w:r w:rsidRPr="00DD1A20">
        <w:t>+</w:t>
      </w:r>
      <w:r w:rsidRPr="00C22DE9">
        <w:rPr>
          <w:iCs/>
          <w:vertAlign w:val="subscript"/>
        </w:rPr>
        <w:t xml:space="preserve"> </w:t>
      </w:r>
      <w:r w:rsidRPr="00DD1A20">
        <w:t xml:space="preserve">TRUFQ </w:t>
      </w:r>
      <w:r w:rsidRPr="00DD1A20">
        <w:rPr>
          <w:i/>
          <w:vertAlign w:val="subscript"/>
        </w:rPr>
        <w:t>q</w:t>
      </w:r>
      <w:r w:rsidRPr="00DD1A20">
        <w:t>)</w:t>
      </w:r>
    </w:p>
    <w:p w14:paraId="638D611B" w14:textId="77777777" w:rsidR="00745851" w:rsidRPr="00DD1A20" w:rsidRDefault="00745851" w:rsidP="00745851">
      <w:pPr>
        <w:spacing w:after="240"/>
        <w:ind w:left="720"/>
        <w:rPr>
          <w:bCs/>
          <w:i/>
          <w:vertAlign w:val="subscript"/>
        </w:rPr>
      </w:pPr>
      <w:r w:rsidRPr="00DD1A20">
        <w:t xml:space="preserve">RRUFQAMT </w:t>
      </w:r>
      <w:r w:rsidRPr="00DD1A20">
        <w:rPr>
          <w:i/>
          <w:vertAlign w:val="subscript"/>
        </w:rPr>
        <w:t>q</w:t>
      </w:r>
      <w:r w:rsidRPr="00DD1A20">
        <w:tab/>
      </w:r>
      <w:r w:rsidRPr="00DD1A20">
        <w:tab/>
        <w:t>=</w:t>
      </w:r>
      <w:r w:rsidRPr="00DD1A20">
        <w:tab/>
        <w:t xml:space="preserve">MCPCRU </w:t>
      </w:r>
      <w:r w:rsidRPr="00DD1A20">
        <w:rPr>
          <w:bCs/>
          <w:i/>
          <w:vertAlign w:val="subscript"/>
        </w:rPr>
        <w:t>rs</w:t>
      </w:r>
      <w:r w:rsidRPr="00DD1A20">
        <w:t xml:space="preserve"> * RRUFQ </w:t>
      </w:r>
      <w:r w:rsidRPr="00DD1A20">
        <w:rPr>
          <w:i/>
          <w:vertAlign w:val="subscript"/>
        </w:rPr>
        <w:t>q,</w:t>
      </w:r>
      <w:r w:rsidRPr="00DD1A20">
        <w:t xml:space="preserve"> </w:t>
      </w:r>
      <w:r w:rsidRPr="00DD1A20">
        <w:rPr>
          <w:bCs/>
          <w:i/>
          <w:vertAlign w:val="subscript"/>
        </w:rPr>
        <w:t>rs</w:t>
      </w:r>
    </w:p>
    <w:p w14:paraId="41D33408" w14:textId="77777777" w:rsidR="00745851" w:rsidRPr="00DD1A20" w:rsidRDefault="00745851" w:rsidP="00745851">
      <w:pPr>
        <w:spacing w:after="240"/>
        <w:ind w:left="720"/>
      </w:pPr>
      <w:r w:rsidRPr="00DD1A20">
        <w:t xml:space="preserve">AVGRTASIP </w:t>
      </w:r>
      <w:r w:rsidRPr="00DD1A20">
        <w:tab/>
      </w:r>
      <w:r w:rsidRPr="00DD1A20">
        <w:tab/>
      </w:r>
      <w:r w:rsidRPr="00DD1A20">
        <w:tab/>
        <w:t xml:space="preserve">= </w:t>
      </w:r>
      <w:r w:rsidRPr="00DD1A20">
        <w:tab/>
      </w:r>
      <w:r w:rsidRPr="00DD1A20">
        <w:rPr>
          <w:position w:val="-20"/>
        </w:rPr>
        <w:object w:dxaOrig="260" w:dyaOrig="580" w14:anchorId="367F9E00">
          <v:shape id="_x0000_i1339" type="#_x0000_t75" style="width:12pt;height:30pt" o:ole="">
            <v:imagedata r:id="rId419" o:title=""/>
          </v:shape>
          <o:OLEObject Type="Embed" ProgID="Equation.3" ShapeID="_x0000_i1339" DrawAspect="Content" ObjectID="_1815025527" r:id="rId420"/>
        </w:object>
      </w:r>
      <w:r w:rsidRPr="00DD1A20">
        <w:t xml:space="preserve">(RTRSVPOR </w:t>
      </w:r>
      <w:r w:rsidRPr="00DD1A20">
        <w:rPr>
          <w:i/>
          <w:vertAlign w:val="subscript"/>
        </w:rPr>
        <w:t>i</w:t>
      </w:r>
      <w:r w:rsidRPr="00DD1A20">
        <w:t xml:space="preserve"> + RTRDP </w:t>
      </w:r>
      <w:r w:rsidRPr="00DD1A20">
        <w:rPr>
          <w:i/>
          <w:vertAlign w:val="subscript"/>
        </w:rPr>
        <w:t>i</w:t>
      </w:r>
      <w:r w:rsidRPr="00DD1A20">
        <w:t>) / 4</w:t>
      </w:r>
    </w:p>
    <w:p w14:paraId="5E7FEDF9" w14:textId="77777777" w:rsidR="00745851" w:rsidRPr="00DD1A20" w:rsidRDefault="00745851" w:rsidP="00745851">
      <w:pPr>
        <w:spacing w:after="240"/>
        <w:ind w:firstLine="720"/>
      </w:pPr>
      <w:r w:rsidRPr="00DD1A20">
        <w:t>Where for all Resources:</w:t>
      </w:r>
    </w:p>
    <w:p w14:paraId="6CD945D7" w14:textId="77777777" w:rsidR="00745851" w:rsidRPr="00DD1A20" w:rsidRDefault="00745851" w:rsidP="00745851">
      <w:pPr>
        <w:spacing w:after="120"/>
        <w:ind w:leftChars="300" w:left="2880" w:hangingChars="900" w:hanging="2160"/>
        <w:rPr>
          <w:bCs/>
          <w:iCs/>
        </w:rPr>
      </w:pPr>
      <w:r w:rsidRPr="00DD1A20">
        <w:t xml:space="preserve">TRUFQ </w:t>
      </w:r>
      <w:r w:rsidRPr="00DD1A20">
        <w:rPr>
          <w:i/>
          <w:vertAlign w:val="subscript"/>
        </w:rPr>
        <w:t xml:space="preserve">q </w:t>
      </w:r>
      <w:r w:rsidRPr="00DD1A20">
        <w:rPr>
          <w:bCs/>
          <w:lang w:val="fr-FR"/>
        </w:rPr>
        <w:t>=</w:t>
      </w:r>
      <w:r w:rsidRPr="00DD1A20">
        <w:rPr>
          <w:i/>
          <w:vertAlign w:val="subscript"/>
        </w:rPr>
        <w:t xml:space="preserve"> </w:t>
      </w:r>
      <w:r w:rsidRPr="00DD1A20">
        <w:rPr>
          <w:iCs/>
        </w:rPr>
        <w:t>Max ([(</w:t>
      </w:r>
      <w:r w:rsidRPr="00DD1A20">
        <w:rPr>
          <w:bCs/>
          <w:lang w:val="fr-FR"/>
        </w:rPr>
        <w:t xml:space="preserve">SARUQ </w:t>
      </w:r>
      <w:r w:rsidRPr="00DD1A20">
        <w:rPr>
          <w:bCs/>
          <w:i/>
          <w:vertAlign w:val="subscript"/>
          <w:lang w:val="fr-FR"/>
        </w:rPr>
        <w:t xml:space="preserve">q </w:t>
      </w:r>
      <w:r w:rsidRPr="00DD1A20">
        <w:rPr>
          <w:bCs/>
          <w:iCs/>
        </w:rPr>
        <w:t>+ RUTRSQ</w:t>
      </w:r>
      <w:r w:rsidRPr="00DD1A20">
        <w:rPr>
          <w:bCs/>
          <w:i/>
          <w:vertAlign w:val="subscript"/>
          <w:lang w:val="fr-FR"/>
        </w:rPr>
        <w:t xml:space="preserve"> q</w:t>
      </w:r>
      <w:r w:rsidRPr="00DD1A20">
        <w:rPr>
          <w:bCs/>
          <w:iCs/>
        </w:rPr>
        <w:t xml:space="preserve"> + </w:t>
      </w:r>
      <w:r w:rsidRPr="00DD1A20">
        <w:rPr>
          <w:noProof/>
          <w:position w:val="-20"/>
        </w:rPr>
        <w:drawing>
          <wp:inline distT="0" distB="0" distL="0" distR="0" wp14:anchorId="23DA3009" wp14:editId="04717DCC">
            <wp:extent cx="142875" cy="2762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DD1A20">
        <w:rPr>
          <w:bCs/>
          <w:lang w:val="es-ES"/>
        </w:rPr>
        <w:t xml:space="preserve">(RTPCRU </w:t>
      </w:r>
      <w:r w:rsidRPr="00DD1A20">
        <w:rPr>
          <w:bCs/>
          <w:i/>
          <w:vertAlign w:val="subscript"/>
          <w:lang w:val="es-ES"/>
        </w:rPr>
        <w:t>q, m</w:t>
      </w:r>
      <w:r w:rsidRPr="00DD1A20">
        <w:rPr>
          <w:bCs/>
          <w:lang w:val="es-ES"/>
        </w:rPr>
        <w:t xml:space="preserve">) + PCRU </w:t>
      </w:r>
      <w:r w:rsidRPr="00DD1A20">
        <w:rPr>
          <w:bCs/>
          <w:i/>
          <w:vertAlign w:val="subscript"/>
          <w:lang w:val="es-ES"/>
        </w:rPr>
        <w:t>q</w:t>
      </w:r>
      <w:r w:rsidRPr="00DD1A20">
        <w:rPr>
          <w:bCs/>
          <w:lang w:val="es-ES"/>
        </w:rPr>
        <w:t xml:space="preserve"> + RUCRUQ </w:t>
      </w:r>
      <w:r w:rsidRPr="00DD1A20">
        <w:rPr>
          <w:bCs/>
          <w:i/>
          <w:vertAlign w:val="subscript"/>
          <w:lang w:val="es-ES"/>
        </w:rPr>
        <w:t>q</w:t>
      </w:r>
      <w:r w:rsidRPr="00DD1A20">
        <w:rPr>
          <w:bCs/>
          <w:lang w:val="es-ES"/>
        </w:rPr>
        <w:t>) – (</w:t>
      </w:r>
      <w:r w:rsidRPr="00DD1A20">
        <w:rPr>
          <w:bCs/>
          <w:iCs/>
        </w:rPr>
        <w:t>RUTRPQ</w:t>
      </w:r>
      <w:r w:rsidRPr="00DD1A20">
        <w:rPr>
          <w:bCs/>
          <w:i/>
          <w:vertAlign w:val="subscript"/>
          <w:lang w:val="es-ES"/>
        </w:rPr>
        <w:t xml:space="preserve"> q</w:t>
      </w:r>
      <w:r w:rsidRPr="00DD1A20">
        <w:rPr>
          <w:bCs/>
          <w:iCs/>
        </w:rPr>
        <w:t xml:space="preserve"> + </w:t>
      </w:r>
      <w:r w:rsidRPr="00DD1A20">
        <w:rPr>
          <w:bCs/>
          <w:lang w:val="es-ES"/>
        </w:rPr>
        <w:t xml:space="preserve">RUFQ </w:t>
      </w:r>
      <w:r w:rsidRPr="00DD1A20">
        <w:rPr>
          <w:bCs/>
          <w:i/>
          <w:vertAlign w:val="subscript"/>
          <w:lang w:val="es-ES"/>
        </w:rPr>
        <w:t>q</w:t>
      </w:r>
      <w:r w:rsidRPr="00DD1A20">
        <w:rPr>
          <w:bCs/>
          <w:lang w:val="es-ES"/>
        </w:rPr>
        <w:t xml:space="preserve"> + RRUFQ</w:t>
      </w:r>
      <w:r w:rsidRPr="00DD1A20">
        <w:rPr>
          <w:bCs/>
          <w:i/>
          <w:vertAlign w:val="subscript"/>
          <w:lang w:val="es-ES"/>
        </w:rPr>
        <w:t xml:space="preserve"> q,</w:t>
      </w:r>
      <w:r w:rsidRPr="00DD1A20">
        <w:rPr>
          <w:i/>
          <w:iCs/>
          <w:vertAlign w:val="subscript"/>
        </w:rPr>
        <w:t xml:space="preserve"> rs</w:t>
      </w:r>
      <w:r w:rsidRPr="00DD1A20">
        <w:rPr>
          <w:bCs/>
          <w:lang w:val="es-ES"/>
        </w:rPr>
        <w:t xml:space="preserve"> + RUINFQ</w:t>
      </w:r>
      <w:r w:rsidRPr="00DD1A20">
        <w:rPr>
          <w:bCs/>
          <w:i/>
          <w:vertAlign w:val="subscript"/>
          <w:lang w:val="es-ES"/>
        </w:rPr>
        <w:t xml:space="preserve"> q</w:t>
      </w:r>
      <w:r w:rsidRPr="00DD1A20">
        <w:rPr>
          <w:bCs/>
          <w:lang w:val="es-ES"/>
        </w:rPr>
        <w:t>)</w:t>
      </w:r>
      <w:r w:rsidRPr="00DD1A20">
        <w:rPr>
          <w:bCs/>
          <w:iCs/>
        </w:rPr>
        <w:t xml:space="preserve">] </w:t>
      </w:r>
      <w:r w:rsidRPr="00DD1A20">
        <w:rPr>
          <w:bCs/>
          <w:lang w:val="es-ES"/>
        </w:rPr>
        <w:t>–</w:t>
      </w:r>
      <w:r w:rsidRPr="00DD1A20">
        <w:rPr>
          <w:noProof/>
          <w:position w:val="-22"/>
        </w:rPr>
        <w:t xml:space="preserve"> </w:t>
      </w:r>
      <w:r w:rsidRPr="00DD1A20">
        <w:rPr>
          <w:position w:val="-18"/>
        </w:rPr>
        <w:object w:dxaOrig="225" w:dyaOrig="420" w14:anchorId="58DD4109">
          <v:shape id="_x0000_i1340" type="#_x0000_t75" style="width:12pt;height:24pt" o:ole="">
            <v:imagedata r:id="rId159" o:title=""/>
          </v:shape>
          <o:OLEObject Type="Embed" ProgID="Equation.3" ShapeID="_x0000_i1340" DrawAspect="Content" ObjectID="_1815025528" r:id="rId422"/>
        </w:object>
      </w:r>
      <w:r w:rsidRPr="00DD1A20">
        <w:rPr>
          <w:bCs/>
          <w:iCs/>
        </w:rPr>
        <w:t xml:space="preserve">TELRUR </w:t>
      </w:r>
      <w:r w:rsidRPr="00DD1A20">
        <w:rPr>
          <w:bCs/>
          <w:i/>
          <w:vertAlign w:val="subscript"/>
          <w:lang w:val="es-ES"/>
        </w:rPr>
        <w:t>q, r</w:t>
      </w:r>
      <w:r w:rsidRPr="00DD1A20">
        <w:rPr>
          <w:bCs/>
          <w:iCs/>
          <w:lang w:val="es-ES"/>
        </w:rPr>
        <w:t>, 0)</w:t>
      </w:r>
    </w:p>
    <w:p w14:paraId="665947E2" w14:textId="77777777" w:rsidR="00745851" w:rsidRPr="00DD1A20" w:rsidRDefault="00745851" w:rsidP="00745851">
      <w:pPr>
        <w:spacing w:after="240"/>
        <w:ind w:leftChars="300" w:left="2880" w:hangingChars="900" w:hanging="2160"/>
        <w:rPr>
          <w:bCs/>
          <w:i/>
          <w:vertAlign w:val="subscript"/>
          <w:lang w:val="fr-FR"/>
        </w:rPr>
      </w:pPr>
      <w:r w:rsidRPr="00DD1A20">
        <w:rPr>
          <w:bCs/>
          <w:lang w:val="fr-FR"/>
        </w:rPr>
        <w:t xml:space="preserve">SARUQ </w:t>
      </w:r>
      <w:r w:rsidRPr="00DD1A20">
        <w:rPr>
          <w:bCs/>
          <w:i/>
          <w:vertAlign w:val="subscript"/>
          <w:lang w:val="fr-FR"/>
        </w:rPr>
        <w:t xml:space="preserve">q </w:t>
      </w:r>
      <w:r w:rsidRPr="00DD1A20">
        <w:rPr>
          <w:bCs/>
          <w:lang w:val="fr-FR"/>
        </w:rPr>
        <w:t xml:space="preserve">= DASARUQ </w:t>
      </w:r>
      <w:r w:rsidRPr="00DD1A20">
        <w:rPr>
          <w:bCs/>
          <w:i/>
          <w:vertAlign w:val="subscript"/>
          <w:lang w:val="fr-FR"/>
        </w:rPr>
        <w:t>q</w:t>
      </w:r>
      <w:r w:rsidRPr="00DD1A20">
        <w:rPr>
          <w:bCs/>
          <w:lang w:val="fr-FR"/>
        </w:rPr>
        <w:t xml:space="preserve"> + RTSARUQ </w:t>
      </w:r>
      <w:r w:rsidRPr="00DD1A20">
        <w:rPr>
          <w:bCs/>
          <w:i/>
          <w:vertAlign w:val="subscript"/>
          <w:lang w:val="fr-FR"/>
        </w:rPr>
        <w:t>q</w:t>
      </w:r>
    </w:p>
    <w:p w14:paraId="0A278FD5" w14:textId="77777777" w:rsidR="00745851" w:rsidRPr="00DD1A20" w:rsidRDefault="00745851" w:rsidP="00745851">
      <w:r w:rsidRPr="00DD1A20">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840"/>
        <w:gridCol w:w="6549"/>
      </w:tblGrid>
      <w:tr w:rsidR="00745851" w:rsidRPr="00DD1A20" w14:paraId="32F5DFEC" w14:textId="77777777" w:rsidTr="00507A85">
        <w:tc>
          <w:tcPr>
            <w:tcW w:w="1049" w:type="pct"/>
          </w:tcPr>
          <w:p w14:paraId="2AC592FB" w14:textId="77777777" w:rsidR="00745851" w:rsidRPr="00DD1A20" w:rsidRDefault="00745851" w:rsidP="00507A85">
            <w:pPr>
              <w:spacing w:after="240"/>
              <w:rPr>
                <w:b/>
                <w:iCs/>
                <w:sz w:val="20"/>
              </w:rPr>
            </w:pPr>
            <w:r w:rsidRPr="00DD1A20">
              <w:rPr>
                <w:b/>
                <w:iCs/>
                <w:sz w:val="20"/>
              </w:rPr>
              <w:t>Variable</w:t>
            </w:r>
          </w:p>
        </w:tc>
        <w:tc>
          <w:tcPr>
            <w:tcW w:w="449" w:type="pct"/>
          </w:tcPr>
          <w:p w14:paraId="78A46E4A" w14:textId="77777777" w:rsidR="00745851" w:rsidRPr="00DD1A20" w:rsidRDefault="00745851" w:rsidP="00507A85">
            <w:pPr>
              <w:spacing w:after="240"/>
              <w:rPr>
                <w:b/>
                <w:iCs/>
                <w:sz w:val="20"/>
              </w:rPr>
            </w:pPr>
            <w:r w:rsidRPr="00DD1A20">
              <w:rPr>
                <w:b/>
                <w:iCs/>
                <w:sz w:val="20"/>
              </w:rPr>
              <w:t>Unit</w:t>
            </w:r>
          </w:p>
        </w:tc>
        <w:tc>
          <w:tcPr>
            <w:tcW w:w="3502" w:type="pct"/>
          </w:tcPr>
          <w:p w14:paraId="5727F52F" w14:textId="77777777" w:rsidR="00745851" w:rsidRPr="00DD1A20" w:rsidRDefault="00745851" w:rsidP="00507A85">
            <w:pPr>
              <w:spacing w:after="240"/>
              <w:rPr>
                <w:b/>
                <w:iCs/>
                <w:sz w:val="20"/>
              </w:rPr>
            </w:pPr>
            <w:r w:rsidRPr="00DD1A20">
              <w:rPr>
                <w:b/>
                <w:iCs/>
                <w:sz w:val="20"/>
              </w:rPr>
              <w:t>Description</w:t>
            </w:r>
          </w:p>
        </w:tc>
      </w:tr>
      <w:tr w:rsidR="00745851" w:rsidRPr="00DD1A20" w14:paraId="3A92DB38" w14:textId="77777777" w:rsidTr="00507A85">
        <w:tc>
          <w:tcPr>
            <w:tcW w:w="1049" w:type="pct"/>
          </w:tcPr>
          <w:p w14:paraId="1D9C1E07" w14:textId="77777777" w:rsidR="00745851" w:rsidRPr="00DD1A20" w:rsidRDefault="00745851" w:rsidP="00507A85">
            <w:pPr>
              <w:spacing w:after="60"/>
              <w:rPr>
                <w:iCs/>
                <w:sz w:val="20"/>
              </w:rPr>
            </w:pPr>
            <w:r w:rsidRPr="00DD1A20">
              <w:rPr>
                <w:iCs/>
                <w:sz w:val="20"/>
              </w:rPr>
              <w:t xml:space="preserve">RUFQAMTQSETOT </w:t>
            </w:r>
            <w:r w:rsidRPr="00DD1A20">
              <w:rPr>
                <w:i/>
                <w:iCs/>
                <w:sz w:val="20"/>
                <w:vertAlign w:val="subscript"/>
              </w:rPr>
              <w:t>q</w:t>
            </w:r>
          </w:p>
        </w:tc>
        <w:tc>
          <w:tcPr>
            <w:tcW w:w="449" w:type="pct"/>
          </w:tcPr>
          <w:p w14:paraId="0938BC5A" w14:textId="77777777" w:rsidR="00745851" w:rsidRPr="00DD1A20" w:rsidRDefault="00745851" w:rsidP="00507A85">
            <w:pPr>
              <w:spacing w:after="60"/>
              <w:rPr>
                <w:iCs/>
                <w:sz w:val="20"/>
              </w:rPr>
            </w:pPr>
            <w:r w:rsidRPr="00DD1A20">
              <w:rPr>
                <w:iCs/>
                <w:sz w:val="20"/>
              </w:rPr>
              <w:t>$</w:t>
            </w:r>
          </w:p>
        </w:tc>
        <w:tc>
          <w:tcPr>
            <w:tcW w:w="3502" w:type="pct"/>
          </w:tcPr>
          <w:p w14:paraId="609E78F3" w14:textId="77777777" w:rsidR="00745851" w:rsidRPr="00DD1A20" w:rsidRDefault="00745851" w:rsidP="00507A85">
            <w:pPr>
              <w:spacing w:after="60"/>
              <w:rPr>
                <w:i/>
                <w:iCs/>
                <w:sz w:val="20"/>
              </w:rPr>
            </w:pPr>
            <w:r w:rsidRPr="00DD1A20">
              <w:rPr>
                <w:i/>
                <w:iCs/>
                <w:sz w:val="20"/>
              </w:rPr>
              <w:t>Reg-Up Failure Quantity Amount per QSE</w:t>
            </w:r>
            <w:r w:rsidRPr="00DD1A20">
              <w:rPr>
                <w:iCs/>
                <w:sz w:val="20"/>
              </w:rPr>
              <w:t xml:space="preserve">—The total charge to QSE </w:t>
            </w:r>
            <w:r w:rsidRPr="00DD1A20">
              <w:rPr>
                <w:i/>
                <w:iCs/>
                <w:sz w:val="20"/>
              </w:rPr>
              <w:t>q</w:t>
            </w:r>
            <w:r w:rsidRPr="00DD1A20">
              <w:rPr>
                <w:iCs/>
                <w:sz w:val="20"/>
              </w:rPr>
              <w:t xml:space="preserve"> for its total capacity associated with failures and reconfiguration reductions on its Ancillary Service Supply Responsibility for Reg-Up, for the hour.</w:t>
            </w:r>
          </w:p>
        </w:tc>
      </w:tr>
      <w:tr w:rsidR="00745851" w:rsidRPr="00DD1A20" w14:paraId="1BFFFCC4" w14:textId="77777777" w:rsidTr="00507A85">
        <w:tc>
          <w:tcPr>
            <w:tcW w:w="1049" w:type="pct"/>
          </w:tcPr>
          <w:p w14:paraId="2EF0BE20" w14:textId="77777777" w:rsidR="00745851" w:rsidRPr="00DD1A20" w:rsidRDefault="00745851" w:rsidP="00507A85">
            <w:pPr>
              <w:spacing w:after="60"/>
              <w:rPr>
                <w:iCs/>
                <w:sz w:val="20"/>
              </w:rPr>
            </w:pPr>
            <w:r w:rsidRPr="00DD1A20">
              <w:rPr>
                <w:iCs/>
                <w:sz w:val="20"/>
              </w:rPr>
              <w:t xml:space="preserve">RRUFQAMT </w:t>
            </w:r>
            <w:r w:rsidRPr="00DD1A20">
              <w:rPr>
                <w:i/>
                <w:iCs/>
                <w:sz w:val="20"/>
                <w:vertAlign w:val="subscript"/>
              </w:rPr>
              <w:t>q</w:t>
            </w:r>
          </w:p>
        </w:tc>
        <w:tc>
          <w:tcPr>
            <w:tcW w:w="449" w:type="pct"/>
          </w:tcPr>
          <w:p w14:paraId="64BA8FBD" w14:textId="77777777" w:rsidR="00745851" w:rsidRPr="00DD1A20" w:rsidRDefault="00745851" w:rsidP="00507A85">
            <w:pPr>
              <w:spacing w:after="60"/>
              <w:rPr>
                <w:iCs/>
                <w:sz w:val="20"/>
              </w:rPr>
            </w:pPr>
            <w:r w:rsidRPr="00DD1A20">
              <w:rPr>
                <w:iCs/>
                <w:sz w:val="20"/>
              </w:rPr>
              <w:t>$</w:t>
            </w:r>
          </w:p>
        </w:tc>
        <w:tc>
          <w:tcPr>
            <w:tcW w:w="3502" w:type="pct"/>
          </w:tcPr>
          <w:p w14:paraId="642935C0" w14:textId="77777777" w:rsidR="00745851" w:rsidRPr="00DD1A20" w:rsidRDefault="00745851" w:rsidP="00507A85">
            <w:pPr>
              <w:spacing w:after="60"/>
              <w:rPr>
                <w:i/>
                <w:iCs/>
                <w:sz w:val="20"/>
              </w:rPr>
            </w:pPr>
            <w:r w:rsidRPr="00DD1A20">
              <w:rPr>
                <w:i/>
                <w:sz w:val="20"/>
              </w:rPr>
              <w:t xml:space="preserve">Reconfiguration </w:t>
            </w:r>
            <w:r w:rsidRPr="00DD1A20">
              <w:rPr>
                <w:i/>
                <w:iCs/>
                <w:sz w:val="20"/>
              </w:rPr>
              <w:t>Reg-Up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reconfiguration reductions on its Ancillary Service Supply Responsibility for Reg-Up, for the hour.</w:t>
            </w:r>
          </w:p>
        </w:tc>
      </w:tr>
      <w:tr w:rsidR="00745851" w:rsidRPr="00DD1A20" w14:paraId="3233BDB8" w14:textId="77777777" w:rsidTr="00507A85">
        <w:tc>
          <w:tcPr>
            <w:tcW w:w="1049" w:type="pct"/>
          </w:tcPr>
          <w:p w14:paraId="4690A1E7" w14:textId="77777777" w:rsidR="00745851" w:rsidRPr="00DD1A20" w:rsidRDefault="00745851" w:rsidP="00507A85">
            <w:pPr>
              <w:spacing w:after="60"/>
              <w:rPr>
                <w:iCs/>
                <w:sz w:val="20"/>
              </w:rPr>
            </w:pPr>
            <w:r w:rsidRPr="00DD1A20">
              <w:rPr>
                <w:iCs/>
                <w:sz w:val="20"/>
              </w:rPr>
              <w:lastRenderedPageBreak/>
              <w:t xml:space="preserve">RUFQAMT </w:t>
            </w:r>
            <w:r w:rsidRPr="00DD1A20">
              <w:rPr>
                <w:i/>
                <w:iCs/>
                <w:sz w:val="20"/>
                <w:vertAlign w:val="subscript"/>
              </w:rPr>
              <w:t>q</w:t>
            </w:r>
          </w:p>
        </w:tc>
        <w:tc>
          <w:tcPr>
            <w:tcW w:w="449" w:type="pct"/>
          </w:tcPr>
          <w:p w14:paraId="359FE553" w14:textId="77777777" w:rsidR="00745851" w:rsidRPr="00DD1A20" w:rsidRDefault="00745851" w:rsidP="00507A85">
            <w:pPr>
              <w:spacing w:after="60"/>
              <w:rPr>
                <w:iCs/>
                <w:sz w:val="20"/>
              </w:rPr>
            </w:pPr>
            <w:r w:rsidRPr="00DD1A20">
              <w:rPr>
                <w:iCs/>
                <w:sz w:val="20"/>
              </w:rPr>
              <w:t>$</w:t>
            </w:r>
          </w:p>
        </w:tc>
        <w:tc>
          <w:tcPr>
            <w:tcW w:w="3502" w:type="pct"/>
          </w:tcPr>
          <w:p w14:paraId="522D62CA" w14:textId="77777777" w:rsidR="00745851" w:rsidRPr="00DD1A20" w:rsidRDefault="00745851" w:rsidP="00507A85">
            <w:pPr>
              <w:spacing w:after="60"/>
              <w:rPr>
                <w:iCs/>
                <w:sz w:val="20"/>
              </w:rPr>
            </w:pPr>
            <w:r w:rsidRPr="00DD1A20">
              <w:rPr>
                <w:i/>
                <w:iCs/>
                <w:sz w:val="20"/>
              </w:rPr>
              <w:t>Reg-Up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failures on its Ancillary Service Supply Responsibility for Reg-Up, for the hour.</w:t>
            </w:r>
          </w:p>
        </w:tc>
      </w:tr>
      <w:tr w:rsidR="00745851" w:rsidRPr="00DD1A20" w14:paraId="1566EF60" w14:textId="77777777" w:rsidTr="00507A85">
        <w:tc>
          <w:tcPr>
            <w:tcW w:w="1049" w:type="pct"/>
            <w:tcBorders>
              <w:top w:val="single" w:sz="4" w:space="0" w:color="auto"/>
              <w:left w:val="single" w:sz="4" w:space="0" w:color="auto"/>
              <w:bottom w:val="single" w:sz="4" w:space="0" w:color="auto"/>
              <w:right w:val="single" w:sz="4" w:space="0" w:color="auto"/>
            </w:tcBorders>
          </w:tcPr>
          <w:p w14:paraId="060209A0" w14:textId="77777777" w:rsidR="00745851" w:rsidRPr="00DD1A20" w:rsidRDefault="00745851" w:rsidP="00507A85">
            <w:pPr>
              <w:spacing w:after="60"/>
              <w:rPr>
                <w:iCs/>
                <w:sz w:val="20"/>
              </w:rPr>
            </w:pPr>
            <w:r w:rsidRPr="00DD1A20">
              <w:rPr>
                <w:iCs/>
                <w:sz w:val="20"/>
              </w:rPr>
              <w:t>MCPCRU</w:t>
            </w:r>
            <w:r w:rsidRPr="00DD1A20">
              <w:rPr>
                <w:i/>
                <w:iCs/>
                <w:sz w:val="20"/>
              </w:rPr>
              <w:t xml:space="preserve"> </w:t>
            </w:r>
            <w:r w:rsidRPr="00DD1A20">
              <w:rPr>
                <w:i/>
                <w:iCs/>
                <w:sz w:val="20"/>
                <w:vertAlign w:val="subscript"/>
              </w:rPr>
              <w:t>m</w:t>
            </w:r>
          </w:p>
        </w:tc>
        <w:tc>
          <w:tcPr>
            <w:tcW w:w="449" w:type="pct"/>
            <w:tcBorders>
              <w:top w:val="single" w:sz="4" w:space="0" w:color="auto"/>
              <w:left w:val="single" w:sz="4" w:space="0" w:color="auto"/>
              <w:bottom w:val="single" w:sz="4" w:space="0" w:color="auto"/>
              <w:right w:val="single" w:sz="4" w:space="0" w:color="auto"/>
            </w:tcBorders>
          </w:tcPr>
          <w:p w14:paraId="1737E112" w14:textId="77777777" w:rsidR="00745851" w:rsidRPr="00DD1A20" w:rsidRDefault="00745851" w:rsidP="00507A85">
            <w:pPr>
              <w:spacing w:after="60"/>
              <w:rPr>
                <w:iCs/>
                <w:sz w:val="20"/>
              </w:rPr>
            </w:pPr>
            <w:r w:rsidRPr="00DD1A20">
              <w:rPr>
                <w:iCs/>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55C22DE1" w14:textId="77777777" w:rsidR="00745851" w:rsidRPr="00DD1A20" w:rsidRDefault="00745851" w:rsidP="00507A85">
            <w:pPr>
              <w:spacing w:after="60"/>
              <w:rPr>
                <w:i/>
                <w:iCs/>
                <w:sz w:val="20"/>
              </w:rPr>
            </w:pPr>
            <w:r w:rsidRPr="00DD1A20">
              <w:rPr>
                <w:i/>
                <w:iCs/>
                <w:sz w:val="20"/>
              </w:rPr>
              <w:t>Market Clearing Price for Capacity for Reg-Up by market—</w:t>
            </w:r>
            <w:r w:rsidRPr="00DD1A20">
              <w:rPr>
                <w:iCs/>
                <w:sz w:val="20"/>
              </w:rPr>
              <w:t xml:space="preserve">The MCPC for Reg-Up in the market </w:t>
            </w:r>
            <w:r w:rsidRPr="00DD1A20">
              <w:rPr>
                <w:i/>
                <w:iCs/>
                <w:sz w:val="20"/>
              </w:rPr>
              <w:t>m</w:t>
            </w:r>
            <w:r w:rsidRPr="00DD1A20">
              <w:rPr>
                <w:iCs/>
                <w:sz w:val="20"/>
              </w:rPr>
              <w:t>, for the hour.</w:t>
            </w:r>
          </w:p>
        </w:tc>
      </w:tr>
      <w:tr w:rsidR="00745851" w:rsidRPr="00DD1A20" w14:paraId="26713525" w14:textId="77777777" w:rsidTr="00507A85">
        <w:tc>
          <w:tcPr>
            <w:tcW w:w="1049" w:type="pct"/>
            <w:tcBorders>
              <w:top w:val="single" w:sz="4" w:space="0" w:color="auto"/>
              <w:left w:val="single" w:sz="4" w:space="0" w:color="auto"/>
              <w:bottom w:val="single" w:sz="4" w:space="0" w:color="auto"/>
              <w:right w:val="single" w:sz="4" w:space="0" w:color="auto"/>
            </w:tcBorders>
          </w:tcPr>
          <w:p w14:paraId="28F9F92A" w14:textId="77777777" w:rsidR="00745851" w:rsidRPr="00DD1A20" w:rsidRDefault="00745851" w:rsidP="00507A85">
            <w:pPr>
              <w:spacing w:after="60"/>
              <w:rPr>
                <w:iCs/>
                <w:sz w:val="20"/>
              </w:rPr>
            </w:pPr>
            <w:r w:rsidRPr="00DD1A20">
              <w:rPr>
                <w:sz w:val="20"/>
              </w:rPr>
              <w:t xml:space="preserve">MCPCRU </w:t>
            </w:r>
            <w:r w:rsidRPr="00DD1A20">
              <w:rPr>
                <w:i/>
                <w:sz w:val="20"/>
                <w:vertAlign w:val="subscript"/>
              </w:rPr>
              <w:t>rs</w:t>
            </w:r>
          </w:p>
        </w:tc>
        <w:tc>
          <w:tcPr>
            <w:tcW w:w="449" w:type="pct"/>
            <w:tcBorders>
              <w:top w:val="single" w:sz="4" w:space="0" w:color="auto"/>
              <w:left w:val="single" w:sz="4" w:space="0" w:color="auto"/>
              <w:bottom w:val="single" w:sz="4" w:space="0" w:color="auto"/>
              <w:right w:val="single" w:sz="4" w:space="0" w:color="auto"/>
            </w:tcBorders>
          </w:tcPr>
          <w:p w14:paraId="18D87815" w14:textId="77777777" w:rsidR="00745851" w:rsidRPr="00DD1A20" w:rsidRDefault="00745851" w:rsidP="00507A85">
            <w:pPr>
              <w:spacing w:after="60"/>
              <w:rPr>
                <w:iCs/>
                <w:sz w:val="20"/>
              </w:rPr>
            </w:pPr>
            <w:r w:rsidRPr="00DD1A20">
              <w:rPr>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43837D78" w14:textId="77777777" w:rsidR="00745851" w:rsidRPr="00DD1A20" w:rsidRDefault="00745851" w:rsidP="00507A85">
            <w:pPr>
              <w:spacing w:after="60"/>
              <w:rPr>
                <w:i/>
                <w:iCs/>
                <w:sz w:val="20"/>
              </w:rPr>
            </w:pPr>
            <w:r w:rsidRPr="00DD1A20">
              <w:rPr>
                <w:i/>
                <w:sz w:val="20"/>
              </w:rPr>
              <w:t>Market Clearing Price for Capacity for Reg-Up by RSASM—</w:t>
            </w:r>
            <w:r w:rsidRPr="00DD1A20">
              <w:rPr>
                <w:sz w:val="20"/>
              </w:rPr>
              <w:t xml:space="preserve">The MCPC for Reg-Up in the RSASM </w:t>
            </w:r>
            <w:r w:rsidRPr="00DD1A20">
              <w:rPr>
                <w:i/>
                <w:sz w:val="20"/>
              </w:rPr>
              <w:t>rs</w:t>
            </w:r>
            <w:r w:rsidRPr="00DD1A20">
              <w:rPr>
                <w:sz w:val="20"/>
              </w:rPr>
              <w:t>, for the hour.</w:t>
            </w:r>
          </w:p>
        </w:tc>
      </w:tr>
      <w:tr w:rsidR="00745851" w:rsidRPr="00DD1A20" w14:paraId="4A5E9E90" w14:textId="77777777" w:rsidTr="00507A85">
        <w:tc>
          <w:tcPr>
            <w:tcW w:w="1049" w:type="pct"/>
            <w:tcBorders>
              <w:top w:val="single" w:sz="4" w:space="0" w:color="auto"/>
              <w:left w:val="single" w:sz="4" w:space="0" w:color="auto"/>
              <w:bottom w:val="single" w:sz="4" w:space="0" w:color="auto"/>
              <w:right w:val="single" w:sz="4" w:space="0" w:color="auto"/>
            </w:tcBorders>
          </w:tcPr>
          <w:p w14:paraId="60108A08" w14:textId="77777777" w:rsidR="00745851" w:rsidRPr="00DD1A20" w:rsidRDefault="00745851" w:rsidP="00507A85">
            <w:pPr>
              <w:spacing w:after="60"/>
              <w:rPr>
                <w:iCs/>
                <w:sz w:val="20"/>
              </w:rPr>
            </w:pPr>
            <w:r w:rsidRPr="00DD1A20">
              <w:rPr>
                <w:iCs/>
                <w:sz w:val="20"/>
              </w:rPr>
              <w:t xml:space="preserve">RUFQ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758C3A95" w14:textId="77777777" w:rsidR="00745851" w:rsidRPr="00DD1A20" w:rsidRDefault="00745851" w:rsidP="00507A85">
            <w:pPr>
              <w:spacing w:after="60"/>
              <w:rPr>
                <w:iCs/>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1FB052A1" w14:textId="77777777" w:rsidR="00745851" w:rsidRPr="00DD1A20" w:rsidRDefault="00745851" w:rsidP="00507A85">
            <w:pPr>
              <w:spacing w:after="60"/>
              <w:rPr>
                <w:i/>
                <w:iCs/>
                <w:sz w:val="20"/>
              </w:rPr>
            </w:pPr>
            <w:r w:rsidRPr="00DD1A20">
              <w:rPr>
                <w:i/>
                <w:iCs/>
                <w:sz w:val="20"/>
              </w:rPr>
              <w:t>Reg-Up Failure Quantity per QSE—</w:t>
            </w:r>
            <w:r w:rsidRPr="00DD1A20">
              <w:rPr>
                <w:iCs/>
                <w:sz w:val="20"/>
              </w:rPr>
              <w:t xml:space="preserve">QSE </w:t>
            </w:r>
            <w:r w:rsidRPr="00DD1A20">
              <w:rPr>
                <w:i/>
                <w:iCs/>
                <w:sz w:val="20"/>
              </w:rPr>
              <w:t>q</w:t>
            </w:r>
            <w:r w:rsidRPr="00DD1A20">
              <w:rPr>
                <w:iCs/>
                <w:sz w:val="20"/>
              </w:rPr>
              <w:t xml:space="preserve"> total capacity associated with failures on its Ancillary Service Supply Responsibility for Reg-Up, for the hour.</w:t>
            </w:r>
          </w:p>
        </w:tc>
      </w:tr>
      <w:tr w:rsidR="00745851" w:rsidRPr="00DD1A20" w14:paraId="0088614E" w14:textId="77777777" w:rsidTr="00507A85">
        <w:tc>
          <w:tcPr>
            <w:tcW w:w="1049" w:type="pct"/>
            <w:tcBorders>
              <w:top w:val="single" w:sz="4" w:space="0" w:color="auto"/>
              <w:left w:val="single" w:sz="4" w:space="0" w:color="auto"/>
              <w:bottom w:val="single" w:sz="4" w:space="0" w:color="auto"/>
              <w:right w:val="single" w:sz="4" w:space="0" w:color="auto"/>
            </w:tcBorders>
          </w:tcPr>
          <w:p w14:paraId="2AF5DD5F" w14:textId="77777777" w:rsidR="00745851" w:rsidRPr="00DD1A20" w:rsidRDefault="00745851" w:rsidP="00507A85">
            <w:pPr>
              <w:spacing w:after="60"/>
              <w:rPr>
                <w:sz w:val="20"/>
              </w:rPr>
            </w:pPr>
            <w:r w:rsidRPr="00DD1A20">
              <w:rPr>
                <w:sz w:val="20"/>
              </w:rPr>
              <w:t xml:space="preserve">RRUFQ </w:t>
            </w:r>
            <w:r w:rsidRPr="00DD1A20">
              <w:rPr>
                <w:i/>
                <w:sz w:val="20"/>
                <w:vertAlign w:val="subscript"/>
              </w:rPr>
              <w:t>q, rs</w:t>
            </w:r>
          </w:p>
        </w:tc>
        <w:tc>
          <w:tcPr>
            <w:tcW w:w="449" w:type="pct"/>
            <w:tcBorders>
              <w:top w:val="single" w:sz="4" w:space="0" w:color="auto"/>
              <w:left w:val="single" w:sz="4" w:space="0" w:color="auto"/>
              <w:bottom w:val="single" w:sz="4" w:space="0" w:color="auto"/>
              <w:right w:val="single" w:sz="4" w:space="0" w:color="auto"/>
            </w:tcBorders>
          </w:tcPr>
          <w:p w14:paraId="353A3DEF"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1666CB0D" w14:textId="77777777" w:rsidR="00745851" w:rsidRPr="00DD1A20" w:rsidRDefault="00745851" w:rsidP="00507A85">
            <w:pPr>
              <w:spacing w:after="60"/>
              <w:rPr>
                <w:sz w:val="20"/>
              </w:rPr>
            </w:pPr>
            <w:r w:rsidRPr="00DD1A20">
              <w:rPr>
                <w:i/>
                <w:sz w:val="20"/>
              </w:rPr>
              <w:t>Reconfiguration Reg-Up Failure Quantity per QSE—</w:t>
            </w:r>
            <w:r w:rsidRPr="00DD1A20">
              <w:rPr>
                <w:sz w:val="20"/>
              </w:rPr>
              <w:t xml:space="preserve">QSE </w:t>
            </w:r>
            <w:r w:rsidRPr="00DD1A20">
              <w:rPr>
                <w:i/>
                <w:sz w:val="20"/>
              </w:rPr>
              <w:t>q</w:t>
            </w:r>
            <w:r w:rsidRPr="00DD1A20">
              <w:rPr>
                <w:sz w:val="20"/>
              </w:rPr>
              <w:t xml:space="preserve"> total capacity associated with reconfiguration reductions on its Ancillary Service Supply Responsibility for Reg-Up, for the hour.</w:t>
            </w:r>
          </w:p>
        </w:tc>
      </w:tr>
      <w:tr w:rsidR="00745851" w:rsidRPr="00DD1A20" w14:paraId="2153EF4C" w14:textId="77777777" w:rsidTr="00507A85">
        <w:tc>
          <w:tcPr>
            <w:tcW w:w="1049" w:type="pct"/>
            <w:tcBorders>
              <w:top w:val="single" w:sz="4" w:space="0" w:color="auto"/>
              <w:left w:val="single" w:sz="4" w:space="0" w:color="auto"/>
              <w:bottom w:val="single" w:sz="4" w:space="0" w:color="auto"/>
              <w:right w:val="single" w:sz="4" w:space="0" w:color="auto"/>
            </w:tcBorders>
          </w:tcPr>
          <w:p w14:paraId="0B09ADED" w14:textId="77777777" w:rsidR="00745851" w:rsidRPr="00DD1A20" w:rsidRDefault="00745851" w:rsidP="00507A85">
            <w:pPr>
              <w:spacing w:after="60"/>
              <w:rPr>
                <w:i/>
                <w:sz w:val="20"/>
              </w:rPr>
            </w:pPr>
            <w:r w:rsidRPr="00DD1A20">
              <w:rPr>
                <w:sz w:val="20"/>
              </w:rPr>
              <w:t xml:space="preserve">RTRDP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0D62269B" w14:textId="77777777" w:rsidR="00745851" w:rsidRPr="00DD1A20" w:rsidRDefault="00745851" w:rsidP="00507A85">
            <w:pPr>
              <w:spacing w:after="60"/>
              <w:rPr>
                <w:sz w:val="20"/>
              </w:rPr>
            </w:pPr>
            <w:r w:rsidRPr="00DD1A20">
              <w:rPr>
                <w:sz w:val="20"/>
              </w:rPr>
              <w:t>$/MWh</w:t>
            </w:r>
          </w:p>
        </w:tc>
        <w:tc>
          <w:tcPr>
            <w:tcW w:w="3502" w:type="pct"/>
            <w:tcBorders>
              <w:top w:val="single" w:sz="4" w:space="0" w:color="auto"/>
              <w:left w:val="single" w:sz="4" w:space="0" w:color="auto"/>
              <w:bottom w:val="single" w:sz="4" w:space="0" w:color="auto"/>
              <w:right w:val="single" w:sz="4" w:space="0" w:color="auto"/>
            </w:tcBorders>
          </w:tcPr>
          <w:p w14:paraId="096FCE8F" w14:textId="77777777" w:rsidR="00745851" w:rsidRPr="00DD1A20" w:rsidRDefault="00745851" w:rsidP="00507A85">
            <w:pPr>
              <w:spacing w:after="60"/>
              <w:rPr>
                <w:sz w:val="20"/>
              </w:rPr>
            </w:pPr>
            <w:r w:rsidRPr="00DD1A20">
              <w:rPr>
                <w:i/>
                <w:sz w:val="20"/>
              </w:rPr>
              <w:t>Real-Time On-Line Reliability Deployment Price—</w:t>
            </w:r>
            <w:r w:rsidRPr="00DD1A20">
              <w:rPr>
                <w:sz w:val="20"/>
              </w:rPr>
              <w:t xml:space="preserve">The Real-Time price for the 15-minute Settlement Interval </w:t>
            </w:r>
            <w:r w:rsidRPr="00DD1A20">
              <w:rPr>
                <w:i/>
                <w:sz w:val="20"/>
              </w:rPr>
              <w:t>i</w:t>
            </w:r>
            <w:r w:rsidRPr="00DD1A20">
              <w:rPr>
                <w:sz w:val="20"/>
              </w:rPr>
              <w:t>, reflecting the impact of reliability deployments on energy prices that is calculated from the Real-Time On-Line Reliability Deployment Price Adder.</w:t>
            </w:r>
          </w:p>
        </w:tc>
      </w:tr>
      <w:tr w:rsidR="00745851" w:rsidRPr="00DD1A20" w14:paraId="2B62E230" w14:textId="77777777" w:rsidTr="00507A85">
        <w:tc>
          <w:tcPr>
            <w:tcW w:w="1049" w:type="pct"/>
            <w:tcBorders>
              <w:top w:val="single" w:sz="4" w:space="0" w:color="auto"/>
              <w:left w:val="single" w:sz="4" w:space="0" w:color="auto"/>
              <w:bottom w:val="single" w:sz="4" w:space="0" w:color="auto"/>
              <w:right w:val="single" w:sz="4" w:space="0" w:color="auto"/>
            </w:tcBorders>
          </w:tcPr>
          <w:p w14:paraId="2C10004E" w14:textId="77777777" w:rsidR="00745851" w:rsidRPr="00DD1A20" w:rsidRDefault="00745851" w:rsidP="00507A85">
            <w:pPr>
              <w:spacing w:after="60"/>
              <w:rPr>
                <w:i/>
                <w:sz w:val="20"/>
              </w:rPr>
            </w:pPr>
            <w:r w:rsidRPr="00DD1A20">
              <w:rPr>
                <w:sz w:val="20"/>
              </w:rPr>
              <w:t xml:space="preserve">RTRSVPOR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7CE86951" w14:textId="77777777" w:rsidR="00745851" w:rsidRPr="00DD1A20" w:rsidRDefault="00745851" w:rsidP="00507A85">
            <w:pPr>
              <w:spacing w:after="60"/>
              <w:rPr>
                <w:sz w:val="20"/>
              </w:rPr>
            </w:pPr>
            <w:r w:rsidRPr="00DD1A20">
              <w:rPr>
                <w:sz w:val="20"/>
              </w:rPr>
              <w:t>$/MWh</w:t>
            </w:r>
          </w:p>
        </w:tc>
        <w:tc>
          <w:tcPr>
            <w:tcW w:w="3502" w:type="pct"/>
            <w:tcBorders>
              <w:top w:val="single" w:sz="4" w:space="0" w:color="auto"/>
              <w:left w:val="single" w:sz="4" w:space="0" w:color="auto"/>
              <w:bottom w:val="single" w:sz="4" w:space="0" w:color="auto"/>
              <w:right w:val="single" w:sz="4" w:space="0" w:color="auto"/>
            </w:tcBorders>
          </w:tcPr>
          <w:p w14:paraId="7B1D3ABA" w14:textId="77777777" w:rsidR="00745851" w:rsidRPr="00DD1A20" w:rsidRDefault="00745851" w:rsidP="00507A85">
            <w:pPr>
              <w:spacing w:after="60"/>
              <w:rPr>
                <w:sz w:val="20"/>
              </w:rPr>
            </w:pPr>
            <w:r w:rsidRPr="00DD1A20">
              <w:rPr>
                <w:i/>
                <w:iCs/>
                <w:sz w:val="20"/>
              </w:rPr>
              <w:t>Real-Time Reserve Price for On-Line Reserves—</w:t>
            </w:r>
            <w:r w:rsidRPr="00DD1A20">
              <w:rPr>
                <w:iCs/>
                <w:sz w:val="20"/>
              </w:rPr>
              <w:t xml:space="preserve">The Real-Time Reserve Price for On-Line Reserves for the 15-minute Settlement Interval </w:t>
            </w:r>
            <w:r w:rsidRPr="00DD1A20">
              <w:rPr>
                <w:i/>
                <w:iCs/>
                <w:sz w:val="20"/>
              </w:rPr>
              <w:t>i</w:t>
            </w:r>
            <w:r w:rsidRPr="00DD1A20">
              <w:rPr>
                <w:iCs/>
                <w:sz w:val="20"/>
              </w:rPr>
              <w:t>.</w:t>
            </w:r>
          </w:p>
        </w:tc>
      </w:tr>
      <w:tr w:rsidR="00745851" w:rsidRPr="00DD1A20" w14:paraId="27BFAECD" w14:textId="77777777" w:rsidTr="00507A85">
        <w:tc>
          <w:tcPr>
            <w:tcW w:w="1049" w:type="pct"/>
            <w:tcBorders>
              <w:top w:val="single" w:sz="4" w:space="0" w:color="auto"/>
              <w:left w:val="single" w:sz="4" w:space="0" w:color="auto"/>
              <w:bottom w:val="single" w:sz="4" w:space="0" w:color="auto"/>
              <w:right w:val="single" w:sz="4" w:space="0" w:color="auto"/>
            </w:tcBorders>
          </w:tcPr>
          <w:p w14:paraId="0B8C2594" w14:textId="77777777" w:rsidR="00745851" w:rsidRPr="00DD1A20" w:rsidRDefault="00745851" w:rsidP="00507A85">
            <w:pPr>
              <w:spacing w:after="60"/>
              <w:rPr>
                <w:i/>
                <w:sz w:val="20"/>
              </w:rPr>
            </w:pPr>
            <w:r w:rsidRPr="00DD1A20">
              <w:rPr>
                <w:iCs/>
                <w:sz w:val="20"/>
              </w:rPr>
              <w:t>AVGRTASIP</w:t>
            </w:r>
          </w:p>
        </w:tc>
        <w:tc>
          <w:tcPr>
            <w:tcW w:w="449" w:type="pct"/>
            <w:tcBorders>
              <w:top w:val="single" w:sz="4" w:space="0" w:color="auto"/>
              <w:left w:val="single" w:sz="4" w:space="0" w:color="auto"/>
              <w:bottom w:val="single" w:sz="4" w:space="0" w:color="auto"/>
              <w:right w:val="single" w:sz="4" w:space="0" w:color="auto"/>
            </w:tcBorders>
          </w:tcPr>
          <w:p w14:paraId="1A8A65F3" w14:textId="77777777" w:rsidR="00745851" w:rsidRPr="00DD1A20" w:rsidRDefault="00745851" w:rsidP="00507A85">
            <w:pPr>
              <w:spacing w:after="60"/>
              <w:rPr>
                <w:sz w:val="20"/>
              </w:rPr>
            </w:pPr>
            <w:r w:rsidRPr="00DD1A20">
              <w:rPr>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4A75E42F" w14:textId="77777777" w:rsidR="00745851" w:rsidRPr="00DD1A20" w:rsidRDefault="00745851" w:rsidP="00507A85">
            <w:pPr>
              <w:spacing w:after="60"/>
              <w:rPr>
                <w:sz w:val="20"/>
              </w:rPr>
            </w:pPr>
            <w:r w:rsidRPr="00DD1A20">
              <w:rPr>
                <w:i/>
                <w:sz w:val="20"/>
              </w:rPr>
              <w:t>Average Real-Time Ancillary Service Imbalance Price</w:t>
            </w:r>
            <w:r w:rsidRPr="00DD1A20">
              <w:rPr>
                <w:i/>
                <w:iCs/>
                <w:sz w:val="20"/>
              </w:rPr>
              <w:t>—</w:t>
            </w:r>
            <w:r w:rsidRPr="00DD1A20">
              <w:rPr>
                <w:iCs/>
                <w:sz w:val="20"/>
              </w:rPr>
              <w:t>The average of the sum of the Real-Time On-Line Reliability Deployment Price and the Real-Time Reserve Price for On-Line Reserves used in the calculation of Real</w:t>
            </w:r>
            <w:r>
              <w:rPr>
                <w:iCs/>
                <w:sz w:val="20"/>
              </w:rPr>
              <w:t>-</w:t>
            </w:r>
            <w:r w:rsidRPr="00DD1A20">
              <w:rPr>
                <w:iCs/>
                <w:sz w:val="20"/>
              </w:rPr>
              <w:t>Time Ancillary Service Imbalance Amount per Section 6.7.5, Real-Time Ancillary Service Imbalance Payment or Charge, for the Operating Hour.</w:t>
            </w:r>
          </w:p>
        </w:tc>
      </w:tr>
      <w:tr w:rsidR="00745851" w:rsidRPr="00DD1A20" w14:paraId="3AB498BD" w14:textId="77777777" w:rsidTr="00507A85">
        <w:tc>
          <w:tcPr>
            <w:tcW w:w="1049" w:type="pct"/>
            <w:tcBorders>
              <w:top w:val="single" w:sz="4" w:space="0" w:color="auto"/>
              <w:left w:val="single" w:sz="4" w:space="0" w:color="auto"/>
              <w:bottom w:val="single" w:sz="4" w:space="0" w:color="auto"/>
              <w:right w:val="single" w:sz="4" w:space="0" w:color="auto"/>
            </w:tcBorders>
          </w:tcPr>
          <w:p w14:paraId="7FA1AC23" w14:textId="77777777" w:rsidR="00745851" w:rsidRPr="00DD1A20" w:rsidRDefault="00745851" w:rsidP="00507A85">
            <w:pPr>
              <w:spacing w:after="60"/>
              <w:rPr>
                <w:i/>
                <w:sz w:val="20"/>
              </w:rPr>
            </w:pPr>
            <w:r w:rsidRPr="00DD1A20">
              <w:rPr>
                <w:bCs/>
                <w:iCs/>
                <w:sz w:val="20"/>
                <w:lang w:val="fr-FR"/>
              </w:rPr>
              <w:t xml:space="preserve">SARUQ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7855A75C"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09025CF3" w14:textId="77777777" w:rsidR="00745851" w:rsidRPr="00DD1A20" w:rsidRDefault="00745851" w:rsidP="00507A85">
            <w:pPr>
              <w:spacing w:after="60"/>
              <w:rPr>
                <w:sz w:val="20"/>
              </w:rPr>
            </w:pPr>
            <w:r w:rsidRPr="00DD1A20">
              <w:rPr>
                <w:i/>
                <w:iCs/>
                <w:sz w:val="20"/>
              </w:rPr>
              <w:t>Total Self-Arranged Reg-Up Quantity per QSE for all markets</w:t>
            </w:r>
            <w:r w:rsidRPr="00DD1A20">
              <w:rPr>
                <w:iCs/>
                <w:sz w:val="20"/>
              </w:rPr>
              <w:t xml:space="preserve">—The sum of all self-arranged Reg-Up quantities submitted by QSE </w:t>
            </w:r>
            <w:r w:rsidRPr="00DD1A20">
              <w:rPr>
                <w:i/>
                <w:iCs/>
                <w:sz w:val="20"/>
              </w:rPr>
              <w:t>q</w:t>
            </w:r>
            <w:r w:rsidRPr="00DD1A20">
              <w:rPr>
                <w:iCs/>
                <w:sz w:val="20"/>
              </w:rPr>
              <w:t xml:space="preserve"> for DAM and all SASMs.</w:t>
            </w:r>
          </w:p>
        </w:tc>
      </w:tr>
      <w:tr w:rsidR="00745851" w:rsidRPr="00DD1A20" w14:paraId="0F6DAE11" w14:textId="77777777" w:rsidTr="00507A85">
        <w:tc>
          <w:tcPr>
            <w:tcW w:w="1049" w:type="pct"/>
            <w:tcBorders>
              <w:top w:val="single" w:sz="4" w:space="0" w:color="auto"/>
              <w:left w:val="single" w:sz="4" w:space="0" w:color="auto"/>
              <w:bottom w:val="single" w:sz="4" w:space="0" w:color="auto"/>
              <w:right w:val="single" w:sz="4" w:space="0" w:color="auto"/>
            </w:tcBorders>
          </w:tcPr>
          <w:p w14:paraId="3D5468EC" w14:textId="77777777" w:rsidR="00745851" w:rsidRPr="00DD1A20" w:rsidRDefault="00745851" w:rsidP="00507A85">
            <w:pPr>
              <w:spacing w:after="60"/>
              <w:rPr>
                <w:i/>
                <w:sz w:val="20"/>
              </w:rPr>
            </w:pPr>
            <w:r w:rsidRPr="00DD1A20">
              <w:rPr>
                <w:bCs/>
                <w:sz w:val="20"/>
              </w:rPr>
              <w:t>RUTRSQ</w:t>
            </w:r>
            <w:r w:rsidRPr="00DD1A20">
              <w:rPr>
                <w:bCs/>
                <w:i/>
                <w:iCs/>
                <w:sz w:val="20"/>
                <w:vertAlign w:val="subscript"/>
                <w:lang w:val="fr-FR"/>
              </w:rPr>
              <w:t xml:space="preserve"> q</w:t>
            </w:r>
          </w:p>
        </w:tc>
        <w:tc>
          <w:tcPr>
            <w:tcW w:w="449" w:type="pct"/>
            <w:tcBorders>
              <w:top w:val="single" w:sz="4" w:space="0" w:color="auto"/>
              <w:left w:val="single" w:sz="4" w:space="0" w:color="auto"/>
              <w:bottom w:val="single" w:sz="4" w:space="0" w:color="auto"/>
              <w:right w:val="single" w:sz="4" w:space="0" w:color="auto"/>
            </w:tcBorders>
          </w:tcPr>
          <w:p w14:paraId="6A49EC8A"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31045CED" w14:textId="77777777" w:rsidR="00745851" w:rsidRPr="00DD1A20" w:rsidRDefault="00745851" w:rsidP="00507A85">
            <w:pPr>
              <w:spacing w:after="60"/>
              <w:rPr>
                <w:sz w:val="20"/>
              </w:rPr>
            </w:pPr>
            <w:r w:rsidRPr="00DD1A20">
              <w:rPr>
                <w:i/>
                <w:sz w:val="20"/>
              </w:rPr>
              <w:t>Reg-Up Trade Sale per QSE</w:t>
            </w:r>
            <w:r w:rsidRPr="00DD1A20">
              <w:rPr>
                <w:i/>
                <w:iCs/>
                <w:sz w:val="20"/>
              </w:rPr>
              <w:t>—</w:t>
            </w:r>
            <w:r w:rsidRPr="00DD1A20">
              <w:rPr>
                <w:iCs/>
                <w:sz w:val="20"/>
              </w:rPr>
              <w:t xml:space="preserve">QSE </w:t>
            </w:r>
            <w:r w:rsidRPr="00DD1A20">
              <w:rPr>
                <w:i/>
                <w:iCs/>
                <w:sz w:val="20"/>
              </w:rPr>
              <w:t>q</w:t>
            </w:r>
            <w:r w:rsidRPr="00DD1A20">
              <w:rPr>
                <w:iCs/>
                <w:sz w:val="20"/>
              </w:rPr>
              <w:t>’s total time-weighted average capacity Trade Sale for Reg-Up, for the hour.  The time-weighted average value is rounded to 0.1 MW.</w:t>
            </w:r>
          </w:p>
        </w:tc>
      </w:tr>
      <w:tr w:rsidR="00745851" w:rsidRPr="00DD1A20" w14:paraId="797FA63D" w14:textId="77777777" w:rsidTr="00507A85">
        <w:tc>
          <w:tcPr>
            <w:tcW w:w="1049" w:type="pct"/>
            <w:tcBorders>
              <w:top w:val="single" w:sz="4" w:space="0" w:color="auto"/>
              <w:left w:val="single" w:sz="4" w:space="0" w:color="auto"/>
              <w:bottom w:val="single" w:sz="4" w:space="0" w:color="auto"/>
              <w:right w:val="single" w:sz="4" w:space="0" w:color="auto"/>
            </w:tcBorders>
          </w:tcPr>
          <w:p w14:paraId="7DBB7DF7" w14:textId="77777777" w:rsidR="00745851" w:rsidRPr="00DD1A20" w:rsidRDefault="00745851" w:rsidP="00507A85">
            <w:pPr>
              <w:spacing w:after="60"/>
              <w:rPr>
                <w:i/>
                <w:sz w:val="20"/>
              </w:rPr>
            </w:pPr>
            <w:r w:rsidRPr="00DD1A20">
              <w:rPr>
                <w:bCs/>
                <w:iCs/>
                <w:sz w:val="20"/>
                <w:lang w:val="es-ES"/>
              </w:rPr>
              <w:t xml:space="preserve">RTPCRU </w:t>
            </w:r>
            <w:r w:rsidRPr="00DD1A20">
              <w:rPr>
                <w:bCs/>
                <w:i/>
                <w:iCs/>
                <w:sz w:val="20"/>
                <w:vertAlign w:val="subscript"/>
                <w:lang w:val="es-ES"/>
              </w:rPr>
              <w:t>q, m</w:t>
            </w:r>
          </w:p>
        </w:tc>
        <w:tc>
          <w:tcPr>
            <w:tcW w:w="449" w:type="pct"/>
            <w:tcBorders>
              <w:top w:val="single" w:sz="4" w:space="0" w:color="auto"/>
              <w:left w:val="single" w:sz="4" w:space="0" w:color="auto"/>
              <w:bottom w:val="single" w:sz="4" w:space="0" w:color="auto"/>
              <w:right w:val="single" w:sz="4" w:space="0" w:color="auto"/>
            </w:tcBorders>
          </w:tcPr>
          <w:p w14:paraId="1CDC6AFD"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4F0121EF" w14:textId="77777777" w:rsidR="00745851" w:rsidRPr="00DD1A20" w:rsidRDefault="00745851" w:rsidP="00507A85">
            <w:pPr>
              <w:spacing w:after="60"/>
              <w:rPr>
                <w:sz w:val="20"/>
              </w:rPr>
            </w:pPr>
            <w:r w:rsidRPr="00DD1A20">
              <w:rPr>
                <w:i/>
                <w:iCs/>
                <w:sz w:val="20"/>
              </w:rPr>
              <w:t>Procured Capacity for Reg-Up by QSE by market—</w:t>
            </w:r>
            <w:r w:rsidRPr="00DD1A20">
              <w:rPr>
                <w:iCs/>
                <w:sz w:val="20"/>
              </w:rPr>
              <w:t xml:space="preserve">The MW portion of QSE </w:t>
            </w:r>
            <w:r w:rsidRPr="00DD1A20">
              <w:rPr>
                <w:i/>
                <w:iCs/>
                <w:sz w:val="20"/>
              </w:rPr>
              <w:t>q</w:t>
            </w:r>
            <w:r w:rsidRPr="00DD1A20">
              <w:rPr>
                <w:iCs/>
                <w:sz w:val="20"/>
              </w:rPr>
              <w:t xml:space="preserve">’s Ancillary Service Offers cleared in the market </w:t>
            </w:r>
            <w:r w:rsidRPr="00DD1A20">
              <w:rPr>
                <w:i/>
                <w:iCs/>
                <w:sz w:val="20"/>
              </w:rPr>
              <w:t>m</w:t>
            </w:r>
            <w:r w:rsidRPr="00DD1A20">
              <w:rPr>
                <w:iCs/>
                <w:sz w:val="20"/>
              </w:rPr>
              <w:t xml:space="preserve"> (SASM or RSASM) to provide Reg-Up, for the hour.</w:t>
            </w:r>
          </w:p>
        </w:tc>
      </w:tr>
      <w:tr w:rsidR="00745851" w:rsidRPr="00DD1A20" w14:paraId="5898045E" w14:textId="77777777" w:rsidTr="00507A85">
        <w:tc>
          <w:tcPr>
            <w:tcW w:w="1049" w:type="pct"/>
            <w:tcBorders>
              <w:top w:val="single" w:sz="4" w:space="0" w:color="auto"/>
              <w:left w:val="single" w:sz="4" w:space="0" w:color="auto"/>
              <w:bottom w:val="single" w:sz="4" w:space="0" w:color="auto"/>
              <w:right w:val="single" w:sz="4" w:space="0" w:color="auto"/>
            </w:tcBorders>
          </w:tcPr>
          <w:p w14:paraId="311958E3" w14:textId="77777777" w:rsidR="00745851" w:rsidRPr="00DD1A20" w:rsidRDefault="00745851" w:rsidP="00507A85">
            <w:pPr>
              <w:spacing w:after="60"/>
              <w:rPr>
                <w:i/>
                <w:sz w:val="20"/>
              </w:rPr>
            </w:pPr>
            <w:r w:rsidRPr="00DD1A20">
              <w:rPr>
                <w:bCs/>
                <w:iCs/>
                <w:sz w:val="20"/>
                <w:lang w:val="es-ES"/>
              </w:rPr>
              <w:t xml:space="preserve">PCRU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3473D781"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5B1F3DF0" w14:textId="77777777" w:rsidR="00745851" w:rsidRPr="00DD1A20" w:rsidRDefault="00745851" w:rsidP="00507A85">
            <w:pPr>
              <w:spacing w:after="60"/>
              <w:rPr>
                <w:sz w:val="20"/>
              </w:rPr>
            </w:pPr>
            <w:r w:rsidRPr="00DD1A20">
              <w:rPr>
                <w:i/>
                <w:iCs/>
                <w:sz w:val="20"/>
              </w:rPr>
              <w:t>Procured Capacity for Reg-Up per QSE in DAM</w:t>
            </w:r>
            <w:r w:rsidRPr="00DD1A20">
              <w:rPr>
                <w:iCs/>
                <w:sz w:val="20"/>
              </w:rPr>
              <w:t xml:space="preserve">—The total Reg-Up Service capacity quantity awarded to QSE </w:t>
            </w:r>
            <w:r w:rsidRPr="00DD1A20">
              <w:rPr>
                <w:i/>
                <w:iCs/>
                <w:sz w:val="20"/>
              </w:rPr>
              <w:t>q</w:t>
            </w:r>
            <w:r w:rsidRPr="00DD1A20">
              <w:rPr>
                <w:iCs/>
                <w:sz w:val="20"/>
              </w:rPr>
              <w:t xml:space="preserve"> in the DAM for all the Resources represented by the QSE, for the hour.</w:t>
            </w:r>
          </w:p>
        </w:tc>
      </w:tr>
      <w:tr w:rsidR="00745851" w:rsidRPr="00DD1A20" w14:paraId="19145856" w14:textId="77777777" w:rsidTr="00507A85">
        <w:tc>
          <w:tcPr>
            <w:tcW w:w="1049" w:type="pct"/>
            <w:tcBorders>
              <w:top w:val="single" w:sz="4" w:space="0" w:color="auto"/>
              <w:left w:val="single" w:sz="4" w:space="0" w:color="auto"/>
              <w:bottom w:val="single" w:sz="4" w:space="0" w:color="auto"/>
              <w:right w:val="single" w:sz="4" w:space="0" w:color="auto"/>
            </w:tcBorders>
          </w:tcPr>
          <w:p w14:paraId="5AEC5E5E" w14:textId="77777777" w:rsidR="00745851" w:rsidRPr="00DD1A20" w:rsidRDefault="00745851" w:rsidP="00507A85">
            <w:pPr>
              <w:spacing w:after="60"/>
              <w:rPr>
                <w:i/>
                <w:sz w:val="20"/>
              </w:rPr>
            </w:pPr>
            <w:r w:rsidRPr="00DD1A20">
              <w:rPr>
                <w:bCs/>
                <w:iCs/>
                <w:sz w:val="20"/>
                <w:lang w:val="es-ES"/>
              </w:rPr>
              <w:t xml:space="preserve">RUCRUQ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38ED1C48"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7B62D1B7" w14:textId="77777777" w:rsidR="00745851" w:rsidRPr="00DD1A20" w:rsidRDefault="00745851" w:rsidP="00507A85">
            <w:pPr>
              <w:spacing w:after="60"/>
              <w:rPr>
                <w:sz w:val="20"/>
              </w:rPr>
            </w:pPr>
            <w:r w:rsidRPr="00DD1A20">
              <w:rPr>
                <w:i/>
                <w:sz w:val="20"/>
              </w:rPr>
              <w:t>RUC-committed for Reg-Up per QSE</w:t>
            </w:r>
            <w:r w:rsidRPr="00DD1A20">
              <w:rPr>
                <w:i/>
                <w:iCs/>
                <w:sz w:val="20"/>
              </w:rPr>
              <w:t>—</w:t>
            </w:r>
            <w:r w:rsidRPr="00DD1A20">
              <w:rPr>
                <w:sz w:val="20"/>
              </w:rPr>
              <w:t>The total</w:t>
            </w:r>
            <w:r w:rsidRPr="00DD1A20">
              <w:rPr>
                <w:iCs/>
                <w:sz w:val="20"/>
              </w:rPr>
              <w:t xml:space="preserve"> quantity of Reg-Up Service committed by the RUC Process for Resources represented by QSE </w:t>
            </w:r>
            <w:r w:rsidRPr="00DD1A20">
              <w:rPr>
                <w:i/>
                <w:sz w:val="20"/>
              </w:rPr>
              <w:t>q</w:t>
            </w:r>
            <w:r w:rsidRPr="00DD1A20">
              <w:rPr>
                <w:iCs/>
                <w:sz w:val="20"/>
              </w:rPr>
              <w:t>, for the hour</w:t>
            </w:r>
            <w:r>
              <w:rPr>
                <w:iCs/>
                <w:sz w:val="20"/>
              </w:rPr>
              <w:t>.</w:t>
            </w:r>
          </w:p>
        </w:tc>
      </w:tr>
      <w:tr w:rsidR="00745851" w:rsidRPr="00DD1A20" w14:paraId="4B641B21" w14:textId="77777777" w:rsidTr="00507A85">
        <w:tc>
          <w:tcPr>
            <w:tcW w:w="1049" w:type="pct"/>
            <w:tcBorders>
              <w:top w:val="single" w:sz="4" w:space="0" w:color="auto"/>
              <w:left w:val="single" w:sz="4" w:space="0" w:color="auto"/>
              <w:bottom w:val="single" w:sz="4" w:space="0" w:color="auto"/>
              <w:right w:val="single" w:sz="4" w:space="0" w:color="auto"/>
            </w:tcBorders>
          </w:tcPr>
          <w:p w14:paraId="3C8DA2A6" w14:textId="77777777" w:rsidR="00745851" w:rsidRPr="00DD1A20" w:rsidRDefault="00745851" w:rsidP="00507A85">
            <w:pPr>
              <w:spacing w:after="60"/>
              <w:rPr>
                <w:i/>
                <w:sz w:val="20"/>
              </w:rPr>
            </w:pPr>
            <w:r w:rsidRPr="00DD1A20">
              <w:rPr>
                <w:bCs/>
                <w:sz w:val="20"/>
              </w:rPr>
              <w:t>RUTRPQ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20A5981E"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0BC97A43" w14:textId="77777777" w:rsidR="00745851" w:rsidRPr="00DD1A20" w:rsidRDefault="00745851" w:rsidP="00507A85">
            <w:pPr>
              <w:spacing w:after="60"/>
              <w:rPr>
                <w:sz w:val="20"/>
              </w:rPr>
            </w:pPr>
            <w:r w:rsidRPr="00DD1A20">
              <w:rPr>
                <w:i/>
                <w:sz w:val="20"/>
              </w:rPr>
              <w:t>Reg-Up Trade Purchases per QSE</w:t>
            </w:r>
            <w:r w:rsidRPr="00DD1A20">
              <w:rPr>
                <w:i/>
                <w:iCs/>
                <w:sz w:val="20"/>
              </w:rPr>
              <w:t>—</w:t>
            </w:r>
            <w:r w:rsidRPr="00DD1A20">
              <w:rPr>
                <w:iCs/>
                <w:sz w:val="20"/>
              </w:rPr>
              <w:t xml:space="preserve">QSE </w:t>
            </w:r>
            <w:r w:rsidRPr="00DD1A20">
              <w:rPr>
                <w:i/>
                <w:iCs/>
                <w:sz w:val="20"/>
              </w:rPr>
              <w:t>q</w:t>
            </w:r>
            <w:r w:rsidRPr="00DD1A20">
              <w:rPr>
                <w:iCs/>
                <w:sz w:val="20"/>
              </w:rPr>
              <w:t>’s total time-weighted average capacity Trade Purchase</w:t>
            </w:r>
            <w:r w:rsidRPr="00DD1A20">
              <w:rPr>
                <w:i/>
                <w:iCs/>
                <w:sz w:val="20"/>
              </w:rPr>
              <w:t xml:space="preserve"> </w:t>
            </w:r>
            <w:r w:rsidRPr="00DD1A20">
              <w:rPr>
                <w:iCs/>
                <w:sz w:val="20"/>
              </w:rPr>
              <w:t>for Reg-Up, for the hour.  The time-weighted average value is rounded to 0.1 MW.</w:t>
            </w:r>
          </w:p>
        </w:tc>
      </w:tr>
      <w:tr w:rsidR="00745851" w:rsidRPr="00DD1A20" w14:paraId="52E1580B" w14:textId="77777777" w:rsidTr="00507A85">
        <w:tc>
          <w:tcPr>
            <w:tcW w:w="1049" w:type="pct"/>
            <w:tcBorders>
              <w:top w:val="single" w:sz="4" w:space="0" w:color="auto"/>
              <w:left w:val="single" w:sz="4" w:space="0" w:color="auto"/>
              <w:bottom w:val="single" w:sz="4" w:space="0" w:color="auto"/>
              <w:right w:val="single" w:sz="4" w:space="0" w:color="auto"/>
            </w:tcBorders>
          </w:tcPr>
          <w:p w14:paraId="5A71A311" w14:textId="77777777" w:rsidR="00745851" w:rsidRPr="00DD1A20" w:rsidRDefault="00745851" w:rsidP="00507A85">
            <w:pPr>
              <w:spacing w:after="60"/>
              <w:rPr>
                <w:i/>
                <w:sz w:val="20"/>
              </w:rPr>
            </w:pPr>
            <w:r w:rsidRPr="00DD1A20">
              <w:rPr>
                <w:bCs/>
                <w:iCs/>
                <w:sz w:val="20"/>
                <w:lang w:val="es-ES"/>
              </w:rPr>
              <w:t>RUINFQ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5489BA76"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42C3214D" w14:textId="77777777" w:rsidR="00745851" w:rsidRPr="00DD1A20" w:rsidRDefault="00745851" w:rsidP="00507A85">
            <w:pPr>
              <w:spacing w:after="60"/>
              <w:rPr>
                <w:sz w:val="20"/>
              </w:rPr>
            </w:pPr>
            <w:r w:rsidRPr="00DD1A20">
              <w:rPr>
                <w:i/>
                <w:iCs/>
                <w:sz w:val="20"/>
              </w:rPr>
              <w:t>Reg-Up Infeasible Quantity per QSE—</w:t>
            </w:r>
            <w:r w:rsidRPr="00DD1A20">
              <w:rPr>
                <w:iCs/>
                <w:sz w:val="20"/>
              </w:rPr>
              <w:t xml:space="preserve">QSE </w:t>
            </w:r>
            <w:r w:rsidRPr="00DD1A20">
              <w:rPr>
                <w:i/>
                <w:iCs/>
                <w:sz w:val="20"/>
              </w:rPr>
              <w:t>q</w:t>
            </w:r>
            <w:r w:rsidRPr="00DD1A20">
              <w:rPr>
                <w:iCs/>
                <w:sz w:val="20"/>
              </w:rPr>
              <w:t>’s total capacity associated with infeasible</w:t>
            </w:r>
            <w:r w:rsidRPr="00DD1A20">
              <w:rPr>
                <w:i/>
                <w:iCs/>
                <w:sz w:val="20"/>
              </w:rPr>
              <w:t xml:space="preserve"> </w:t>
            </w:r>
            <w:r w:rsidRPr="00DD1A20">
              <w:rPr>
                <w:iCs/>
                <w:sz w:val="20"/>
              </w:rPr>
              <w:t>Ancillary Service Supply Responsibilities</w:t>
            </w:r>
            <w:r w:rsidRPr="00DD1A20">
              <w:rPr>
                <w:i/>
                <w:iCs/>
                <w:sz w:val="20"/>
              </w:rPr>
              <w:t xml:space="preserve"> </w:t>
            </w:r>
            <w:r w:rsidRPr="00DD1A20">
              <w:rPr>
                <w:iCs/>
                <w:sz w:val="20"/>
              </w:rPr>
              <w:t>for Reg-Up, for the hour.</w:t>
            </w:r>
          </w:p>
        </w:tc>
      </w:tr>
      <w:tr w:rsidR="00745851" w:rsidRPr="00DD1A20" w14:paraId="72C59A56" w14:textId="77777777" w:rsidTr="00507A85">
        <w:tc>
          <w:tcPr>
            <w:tcW w:w="1049" w:type="pct"/>
            <w:tcBorders>
              <w:top w:val="single" w:sz="4" w:space="0" w:color="auto"/>
              <w:left w:val="single" w:sz="4" w:space="0" w:color="auto"/>
              <w:bottom w:val="single" w:sz="4" w:space="0" w:color="auto"/>
              <w:right w:val="single" w:sz="4" w:space="0" w:color="auto"/>
            </w:tcBorders>
          </w:tcPr>
          <w:p w14:paraId="29FB8C5E" w14:textId="77777777" w:rsidR="00745851" w:rsidRPr="00DD1A20" w:rsidRDefault="00745851" w:rsidP="00507A85">
            <w:pPr>
              <w:spacing w:after="60"/>
              <w:rPr>
                <w:i/>
                <w:sz w:val="20"/>
              </w:rPr>
            </w:pPr>
            <w:r w:rsidRPr="00DD1A20">
              <w:rPr>
                <w:bCs/>
                <w:sz w:val="20"/>
              </w:rPr>
              <w:t xml:space="preserve">TELRUR </w:t>
            </w:r>
            <w:r w:rsidRPr="00DD1A20">
              <w:rPr>
                <w:bCs/>
                <w:i/>
                <w:iCs/>
                <w:sz w:val="20"/>
                <w:vertAlign w:val="subscript"/>
                <w:lang w:val="es-ES"/>
              </w:rPr>
              <w:t>q, r</w:t>
            </w:r>
          </w:p>
        </w:tc>
        <w:tc>
          <w:tcPr>
            <w:tcW w:w="449" w:type="pct"/>
            <w:tcBorders>
              <w:top w:val="single" w:sz="4" w:space="0" w:color="auto"/>
              <w:left w:val="single" w:sz="4" w:space="0" w:color="auto"/>
              <w:bottom w:val="single" w:sz="4" w:space="0" w:color="auto"/>
              <w:right w:val="single" w:sz="4" w:space="0" w:color="auto"/>
            </w:tcBorders>
          </w:tcPr>
          <w:p w14:paraId="3244BAFB"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11C5F7F1" w14:textId="77777777" w:rsidR="00745851" w:rsidRPr="00DD1A20" w:rsidRDefault="00745851" w:rsidP="00507A85">
            <w:pPr>
              <w:spacing w:after="60"/>
              <w:rPr>
                <w:sz w:val="20"/>
              </w:rPr>
            </w:pPr>
            <w:r w:rsidRPr="00DD1A20">
              <w:rPr>
                <w:i/>
                <w:sz w:val="20"/>
              </w:rPr>
              <w:t>Telemetered Reg-Up Responsibility for the Resource</w:t>
            </w:r>
            <w:r w:rsidRPr="00DD1A20">
              <w:rPr>
                <w:i/>
                <w:iCs/>
                <w:sz w:val="20"/>
              </w:rPr>
              <w:t>—</w:t>
            </w:r>
            <w:r w:rsidRPr="00DD1A20">
              <w:rPr>
                <w:iCs/>
                <w:sz w:val="20"/>
              </w:rPr>
              <w:t xml:space="preserve">The time-weighted average telemetered Reg-Up </w:t>
            </w:r>
            <w:r w:rsidRPr="00DD1A20">
              <w:rPr>
                <w:iCs/>
                <w:sz w:val="20"/>
                <w:szCs w:val="18"/>
              </w:rPr>
              <w:t xml:space="preserve">Ancillary Service Resource </w:t>
            </w:r>
            <w:r w:rsidRPr="00DD1A20">
              <w:rPr>
                <w:iCs/>
                <w:sz w:val="20"/>
              </w:rPr>
              <w:t xml:space="preserve">Responsibility for the Resource </w:t>
            </w:r>
            <w:r w:rsidRPr="00DD1A20">
              <w:rPr>
                <w:i/>
                <w:sz w:val="20"/>
              </w:rPr>
              <w:t>r</w:t>
            </w:r>
            <w:r w:rsidRPr="00DD1A20">
              <w:rPr>
                <w:iCs/>
                <w:sz w:val="20"/>
              </w:rPr>
              <w:t xml:space="preserve">, represented by QSE </w:t>
            </w:r>
            <w:r w:rsidRPr="00DD1A20">
              <w:rPr>
                <w:i/>
                <w:sz w:val="20"/>
              </w:rPr>
              <w:t>q</w:t>
            </w:r>
            <w:r w:rsidRPr="00DD1A20">
              <w:rPr>
                <w:iCs/>
                <w:sz w:val="20"/>
              </w:rPr>
              <w:t>, for the hour.  The time-weighted average value is rounded to 0.1 MW.</w:t>
            </w:r>
          </w:p>
        </w:tc>
      </w:tr>
      <w:tr w:rsidR="00745851" w:rsidRPr="00DD1A20" w14:paraId="5B998AC8" w14:textId="77777777" w:rsidTr="00507A85">
        <w:tc>
          <w:tcPr>
            <w:tcW w:w="1049" w:type="pct"/>
            <w:tcBorders>
              <w:top w:val="single" w:sz="4" w:space="0" w:color="auto"/>
              <w:left w:val="single" w:sz="4" w:space="0" w:color="auto"/>
              <w:bottom w:val="single" w:sz="4" w:space="0" w:color="auto"/>
              <w:right w:val="single" w:sz="4" w:space="0" w:color="auto"/>
            </w:tcBorders>
          </w:tcPr>
          <w:p w14:paraId="21BEC184" w14:textId="77777777" w:rsidR="00745851" w:rsidRPr="00DD1A20" w:rsidRDefault="00745851" w:rsidP="00507A85">
            <w:pPr>
              <w:spacing w:after="60"/>
              <w:rPr>
                <w:i/>
                <w:sz w:val="20"/>
              </w:rPr>
            </w:pPr>
            <w:r w:rsidRPr="00DD1A20">
              <w:rPr>
                <w:bCs/>
                <w:iCs/>
                <w:sz w:val="20"/>
                <w:lang w:val="fr-FR"/>
              </w:rPr>
              <w:lastRenderedPageBreak/>
              <w:t xml:space="preserve">DASARUQ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2E12AA90"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1D262657" w14:textId="77777777" w:rsidR="00745851" w:rsidRPr="00DD1A20" w:rsidRDefault="00745851" w:rsidP="00507A85">
            <w:pPr>
              <w:spacing w:after="60"/>
              <w:rPr>
                <w:sz w:val="20"/>
              </w:rPr>
            </w:pPr>
            <w:r w:rsidRPr="00DD1A20">
              <w:rPr>
                <w:i/>
                <w:iCs/>
                <w:sz w:val="20"/>
              </w:rPr>
              <w:t>Day-Ahead Self-Arranged Reg-Up Quantity per QSE</w:t>
            </w:r>
            <w:r w:rsidRPr="00DD1A20">
              <w:rPr>
                <w:iCs/>
                <w:sz w:val="20"/>
              </w:rPr>
              <w:t xml:space="preserve">—The self-arranged Reg-Up quantity submitted by QSE </w:t>
            </w:r>
            <w:r w:rsidRPr="00DD1A20">
              <w:rPr>
                <w:i/>
                <w:iCs/>
                <w:sz w:val="20"/>
              </w:rPr>
              <w:t>q</w:t>
            </w:r>
            <w:r w:rsidRPr="00DD1A20">
              <w:rPr>
                <w:iCs/>
                <w:sz w:val="20"/>
              </w:rPr>
              <w:t xml:space="preserve"> before 1000 in the Day-Ahead.</w:t>
            </w:r>
          </w:p>
        </w:tc>
      </w:tr>
      <w:tr w:rsidR="00745851" w:rsidRPr="00DD1A20" w14:paraId="7A40F05D" w14:textId="77777777" w:rsidTr="00507A85">
        <w:tc>
          <w:tcPr>
            <w:tcW w:w="1049" w:type="pct"/>
            <w:tcBorders>
              <w:top w:val="single" w:sz="4" w:space="0" w:color="auto"/>
              <w:left w:val="single" w:sz="4" w:space="0" w:color="auto"/>
              <w:bottom w:val="single" w:sz="4" w:space="0" w:color="auto"/>
              <w:right w:val="single" w:sz="4" w:space="0" w:color="auto"/>
            </w:tcBorders>
          </w:tcPr>
          <w:p w14:paraId="2C6DF6D2" w14:textId="77777777" w:rsidR="00745851" w:rsidRPr="00DD1A20" w:rsidRDefault="00745851" w:rsidP="00507A85">
            <w:pPr>
              <w:spacing w:after="60"/>
              <w:rPr>
                <w:i/>
                <w:sz w:val="20"/>
              </w:rPr>
            </w:pPr>
            <w:r w:rsidRPr="00DD1A20">
              <w:rPr>
                <w:bCs/>
                <w:iCs/>
                <w:sz w:val="20"/>
                <w:lang w:val="fr-FR"/>
              </w:rPr>
              <w:t xml:space="preserve">RTSARUQ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11A299CD"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25F31A33" w14:textId="77777777" w:rsidR="00745851" w:rsidRPr="00DD1A20" w:rsidRDefault="00745851" w:rsidP="00507A85">
            <w:pPr>
              <w:spacing w:after="60"/>
              <w:rPr>
                <w:sz w:val="20"/>
              </w:rPr>
            </w:pPr>
            <w:r w:rsidRPr="00DD1A20">
              <w:rPr>
                <w:i/>
                <w:iCs/>
                <w:sz w:val="20"/>
              </w:rPr>
              <w:t>Self-Arranged Reg-Up Quantity per QSE for all SASMs</w:t>
            </w:r>
            <w:r w:rsidRPr="00DD1A20">
              <w:rPr>
                <w:iCs/>
                <w:sz w:val="20"/>
              </w:rPr>
              <w:t xml:space="preserve">—The sum of all self-arranged Reg-Up quantities submitted by QSE </w:t>
            </w:r>
            <w:r w:rsidRPr="00DD1A20">
              <w:rPr>
                <w:i/>
                <w:iCs/>
                <w:sz w:val="20"/>
              </w:rPr>
              <w:t>q</w:t>
            </w:r>
            <w:r w:rsidRPr="00DD1A20">
              <w:rPr>
                <w:iCs/>
                <w:sz w:val="20"/>
              </w:rPr>
              <w:t xml:space="preserve"> for all SASMs due to an increase in the Ancillary Service Plan per Section 4.4.7.1, Self-Arranged Ancillary Service Quantities.</w:t>
            </w:r>
          </w:p>
        </w:tc>
      </w:tr>
      <w:tr w:rsidR="00745851" w:rsidRPr="00DD1A20" w14:paraId="775B315E" w14:textId="77777777" w:rsidTr="00507A85">
        <w:tc>
          <w:tcPr>
            <w:tcW w:w="1049" w:type="pct"/>
            <w:tcBorders>
              <w:top w:val="single" w:sz="4" w:space="0" w:color="auto"/>
              <w:left w:val="single" w:sz="4" w:space="0" w:color="auto"/>
              <w:bottom w:val="single" w:sz="4" w:space="0" w:color="auto"/>
              <w:right w:val="single" w:sz="4" w:space="0" w:color="auto"/>
            </w:tcBorders>
          </w:tcPr>
          <w:p w14:paraId="285217D2" w14:textId="77777777" w:rsidR="00745851" w:rsidRPr="00DD1A20" w:rsidRDefault="00745851" w:rsidP="00507A85">
            <w:pPr>
              <w:spacing w:after="60"/>
              <w:rPr>
                <w:i/>
                <w:sz w:val="20"/>
              </w:rPr>
            </w:pPr>
            <w:r w:rsidRPr="00DD1A20">
              <w:rPr>
                <w:iCs/>
                <w:sz w:val="20"/>
              </w:rPr>
              <w:t xml:space="preserve">TRUFQ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7068ACD3"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7ABB1D2D" w14:textId="77777777" w:rsidR="00745851" w:rsidRPr="00DD1A20" w:rsidRDefault="00745851" w:rsidP="00507A85">
            <w:pPr>
              <w:spacing w:after="60"/>
              <w:rPr>
                <w:sz w:val="20"/>
              </w:rPr>
            </w:pPr>
            <w:r w:rsidRPr="00DD1A20">
              <w:rPr>
                <w:i/>
                <w:iCs/>
                <w:sz w:val="20"/>
              </w:rPr>
              <w:t>Telemetered Reg-Up Failure Quantity per QSE—</w:t>
            </w:r>
            <w:r w:rsidRPr="00DD1A20">
              <w:rPr>
                <w:iCs/>
                <w:sz w:val="20"/>
              </w:rPr>
              <w:t xml:space="preserve">Calculated failure quantity for QSE </w:t>
            </w:r>
            <w:r w:rsidRPr="00DD1A20">
              <w:rPr>
                <w:i/>
                <w:sz w:val="20"/>
              </w:rPr>
              <w:t>q</w:t>
            </w:r>
            <w:r w:rsidRPr="00DD1A20">
              <w:rPr>
                <w:iCs/>
                <w:sz w:val="20"/>
              </w:rPr>
              <w:t xml:space="preserve"> by comparing its average telemetered Reg-Up Responsibility sum to its Ancillary Service Supply Responsibility for Reg-Up as calculated per paragraph (1) of Section 4.4.7.4, </w:t>
            </w:r>
            <w:r>
              <w:rPr>
                <w:iCs/>
                <w:sz w:val="20"/>
              </w:rPr>
              <w:t xml:space="preserve">Ancillary Service Supply Responsibility, </w:t>
            </w:r>
            <w:r w:rsidRPr="00DD1A20">
              <w:rPr>
                <w:iCs/>
                <w:sz w:val="20"/>
              </w:rPr>
              <w:t>for the hour.</w:t>
            </w:r>
          </w:p>
        </w:tc>
      </w:tr>
      <w:tr w:rsidR="00745851" w:rsidRPr="00DD1A20" w14:paraId="035D3430" w14:textId="77777777" w:rsidTr="00507A85">
        <w:tc>
          <w:tcPr>
            <w:tcW w:w="1049" w:type="pct"/>
            <w:tcBorders>
              <w:top w:val="single" w:sz="4" w:space="0" w:color="auto"/>
              <w:left w:val="single" w:sz="4" w:space="0" w:color="auto"/>
              <w:bottom w:val="single" w:sz="4" w:space="0" w:color="auto"/>
              <w:right w:val="single" w:sz="4" w:space="0" w:color="auto"/>
            </w:tcBorders>
          </w:tcPr>
          <w:p w14:paraId="0081E441" w14:textId="77777777" w:rsidR="00745851" w:rsidRPr="00DD1A20" w:rsidRDefault="00745851" w:rsidP="00507A85">
            <w:pPr>
              <w:spacing w:after="60"/>
              <w:rPr>
                <w:i/>
                <w:sz w:val="20"/>
              </w:rPr>
            </w:pPr>
            <w:r w:rsidRPr="00DD1A20">
              <w:rPr>
                <w:i/>
                <w:iCs/>
                <w:sz w:val="20"/>
              </w:rPr>
              <w:t>i</w:t>
            </w:r>
          </w:p>
        </w:tc>
        <w:tc>
          <w:tcPr>
            <w:tcW w:w="449" w:type="pct"/>
            <w:tcBorders>
              <w:top w:val="single" w:sz="4" w:space="0" w:color="auto"/>
              <w:left w:val="single" w:sz="4" w:space="0" w:color="auto"/>
              <w:bottom w:val="single" w:sz="4" w:space="0" w:color="auto"/>
              <w:right w:val="single" w:sz="4" w:space="0" w:color="auto"/>
            </w:tcBorders>
          </w:tcPr>
          <w:p w14:paraId="121E43E5" w14:textId="77777777" w:rsidR="00745851" w:rsidRPr="00DD1A20" w:rsidRDefault="00745851" w:rsidP="00507A85">
            <w:pPr>
              <w:spacing w:after="60"/>
              <w:rPr>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2E1F5719" w14:textId="77777777" w:rsidR="00745851" w:rsidRPr="00DD1A20" w:rsidRDefault="00745851" w:rsidP="00507A85">
            <w:pPr>
              <w:spacing w:after="60"/>
              <w:rPr>
                <w:sz w:val="20"/>
              </w:rPr>
            </w:pPr>
            <w:r w:rsidRPr="00DD1A20">
              <w:rPr>
                <w:iCs/>
                <w:sz w:val="20"/>
              </w:rPr>
              <w:t>A 15-minute Settlement Interval within the Operating Hour.</w:t>
            </w:r>
          </w:p>
        </w:tc>
      </w:tr>
      <w:tr w:rsidR="00745851" w:rsidRPr="00DD1A20" w14:paraId="0A02982A" w14:textId="77777777" w:rsidTr="00507A85">
        <w:tc>
          <w:tcPr>
            <w:tcW w:w="1049" w:type="pct"/>
            <w:tcBorders>
              <w:top w:val="single" w:sz="4" w:space="0" w:color="auto"/>
              <w:left w:val="single" w:sz="4" w:space="0" w:color="auto"/>
              <w:bottom w:val="single" w:sz="4" w:space="0" w:color="auto"/>
              <w:right w:val="single" w:sz="4" w:space="0" w:color="auto"/>
            </w:tcBorders>
          </w:tcPr>
          <w:p w14:paraId="29A7C5F5" w14:textId="77777777" w:rsidR="00745851" w:rsidRPr="00DD1A20" w:rsidRDefault="00745851" w:rsidP="00507A85">
            <w:pPr>
              <w:spacing w:after="60"/>
              <w:rPr>
                <w:i/>
                <w:iCs/>
                <w:sz w:val="20"/>
              </w:rPr>
            </w:pPr>
            <w:r w:rsidRPr="00DD1A20">
              <w:rPr>
                <w:i/>
                <w:sz w:val="20"/>
              </w:rPr>
              <w:t>rs</w:t>
            </w:r>
          </w:p>
        </w:tc>
        <w:tc>
          <w:tcPr>
            <w:tcW w:w="449" w:type="pct"/>
            <w:tcBorders>
              <w:top w:val="single" w:sz="4" w:space="0" w:color="auto"/>
              <w:left w:val="single" w:sz="4" w:space="0" w:color="auto"/>
              <w:bottom w:val="single" w:sz="4" w:space="0" w:color="auto"/>
              <w:right w:val="single" w:sz="4" w:space="0" w:color="auto"/>
            </w:tcBorders>
          </w:tcPr>
          <w:p w14:paraId="2461FFCA" w14:textId="77777777" w:rsidR="00745851" w:rsidRPr="00DD1A20" w:rsidRDefault="00745851" w:rsidP="00507A85">
            <w:pPr>
              <w:spacing w:after="60"/>
              <w:rPr>
                <w:iCs/>
                <w:sz w:val="20"/>
              </w:rPr>
            </w:pPr>
            <w:r w:rsidRPr="00DD1A20">
              <w:rPr>
                <w:sz w:val="20"/>
              </w:rPr>
              <w:t>None</w:t>
            </w:r>
          </w:p>
        </w:tc>
        <w:tc>
          <w:tcPr>
            <w:tcW w:w="3502" w:type="pct"/>
            <w:tcBorders>
              <w:top w:val="single" w:sz="4" w:space="0" w:color="auto"/>
              <w:left w:val="single" w:sz="4" w:space="0" w:color="auto"/>
              <w:bottom w:val="single" w:sz="4" w:space="0" w:color="auto"/>
              <w:right w:val="single" w:sz="4" w:space="0" w:color="auto"/>
            </w:tcBorders>
          </w:tcPr>
          <w:p w14:paraId="5E9EB7EB" w14:textId="77777777" w:rsidR="00745851" w:rsidRPr="00DD1A20" w:rsidRDefault="00745851" w:rsidP="00507A85">
            <w:pPr>
              <w:spacing w:after="60"/>
              <w:rPr>
                <w:iCs/>
                <w:sz w:val="20"/>
              </w:rPr>
            </w:pPr>
            <w:r w:rsidRPr="00DD1A20">
              <w:rPr>
                <w:sz w:val="20"/>
              </w:rPr>
              <w:t>The RSASM for the given Operating Hour.</w:t>
            </w:r>
          </w:p>
        </w:tc>
      </w:tr>
      <w:tr w:rsidR="00745851" w:rsidRPr="00DD1A20" w14:paraId="676ED863" w14:textId="77777777" w:rsidTr="00507A85">
        <w:tc>
          <w:tcPr>
            <w:tcW w:w="1049" w:type="pct"/>
            <w:tcBorders>
              <w:top w:val="single" w:sz="4" w:space="0" w:color="auto"/>
              <w:left w:val="single" w:sz="4" w:space="0" w:color="auto"/>
              <w:bottom w:val="single" w:sz="4" w:space="0" w:color="auto"/>
              <w:right w:val="single" w:sz="4" w:space="0" w:color="auto"/>
            </w:tcBorders>
          </w:tcPr>
          <w:p w14:paraId="209440B4" w14:textId="77777777" w:rsidR="00745851" w:rsidRPr="00DD1A20" w:rsidRDefault="00745851" w:rsidP="00507A85">
            <w:pPr>
              <w:spacing w:after="60"/>
              <w:rPr>
                <w:i/>
                <w:iCs/>
                <w:sz w:val="20"/>
              </w:rPr>
            </w:pPr>
            <w:r w:rsidRPr="00DD1A20">
              <w:rPr>
                <w:i/>
                <w:iCs/>
                <w:sz w:val="20"/>
              </w:rPr>
              <w:t>m</w:t>
            </w:r>
          </w:p>
        </w:tc>
        <w:tc>
          <w:tcPr>
            <w:tcW w:w="449" w:type="pct"/>
            <w:tcBorders>
              <w:top w:val="single" w:sz="4" w:space="0" w:color="auto"/>
              <w:left w:val="single" w:sz="4" w:space="0" w:color="auto"/>
              <w:bottom w:val="single" w:sz="4" w:space="0" w:color="auto"/>
              <w:right w:val="single" w:sz="4" w:space="0" w:color="auto"/>
            </w:tcBorders>
          </w:tcPr>
          <w:p w14:paraId="7282EAC4"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237555F2" w14:textId="77777777" w:rsidR="00745851" w:rsidRPr="00DD1A20" w:rsidRDefault="00745851" w:rsidP="00507A85">
            <w:pPr>
              <w:spacing w:after="60"/>
              <w:rPr>
                <w:iCs/>
                <w:sz w:val="20"/>
              </w:rPr>
            </w:pPr>
            <w:r w:rsidRPr="00DD1A20">
              <w:rPr>
                <w:iCs/>
                <w:sz w:val="20"/>
              </w:rPr>
              <w:t>The DAM, SASM, or RSASM for the given Operating Hour.</w:t>
            </w:r>
          </w:p>
        </w:tc>
      </w:tr>
      <w:tr w:rsidR="00745851" w:rsidRPr="00DD1A20" w14:paraId="49633457" w14:textId="77777777" w:rsidTr="00507A85">
        <w:tc>
          <w:tcPr>
            <w:tcW w:w="1049" w:type="pct"/>
            <w:tcBorders>
              <w:top w:val="single" w:sz="4" w:space="0" w:color="auto"/>
              <w:left w:val="single" w:sz="4" w:space="0" w:color="auto"/>
              <w:bottom w:val="single" w:sz="4" w:space="0" w:color="auto"/>
              <w:right w:val="single" w:sz="4" w:space="0" w:color="auto"/>
            </w:tcBorders>
          </w:tcPr>
          <w:p w14:paraId="22704601" w14:textId="77777777" w:rsidR="00745851" w:rsidRPr="00DD1A20" w:rsidRDefault="00745851" w:rsidP="00507A85">
            <w:pPr>
              <w:spacing w:after="60"/>
              <w:rPr>
                <w:i/>
                <w:iCs/>
                <w:sz w:val="20"/>
              </w:rPr>
            </w:pPr>
            <w:r w:rsidRPr="00DD1A20">
              <w:rPr>
                <w:i/>
                <w:iCs/>
                <w:sz w:val="20"/>
              </w:rPr>
              <w:t>q</w:t>
            </w:r>
          </w:p>
        </w:tc>
        <w:tc>
          <w:tcPr>
            <w:tcW w:w="449" w:type="pct"/>
            <w:tcBorders>
              <w:top w:val="single" w:sz="4" w:space="0" w:color="auto"/>
              <w:left w:val="single" w:sz="4" w:space="0" w:color="auto"/>
              <w:bottom w:val="single" w:sz="4" w:space="0" w:color="auto"/>
              <w:right w:val="single" w:sz="4" w:space="0" w:color="auto"/>
            </w:tcBorders>
          </w:tcPr>
          <w:p w14:paraId="483A4764"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7ED1958D" w14:textId="77777777" w:rsidR="00745851" w:rsidRPr="00DD1A20" w:rsidRDefault="00745851" w:rsidP="00507A85">
            <w:pPr>
              <w:spacing w:after="60"/>
              <w:rPr>
                <w:iCs/>
                <w:sz w:val="20"/>
              </w:rPr>
            </w:pPr>
            <w:r w:rsidRPr="00DD1A20">
              <w:rPr>
                <w:iCs/>
                <w:sz w:val="20"/>
              </w:rPr>
              <w:t>A QSE.</w:t>
            </w:r>
          </w:p>
        </w:tc>
      </w:tr>
      <w:tr w:rsidR="00745851" w:rsidRPr="00DD1A20" w14:paraId="5B6B4B55" w14:textId="77777777" w:rsidTr="00507A85">
        <w:tc>
          <w:tcPr>
            <w:tcW w:w="1049" w:type="pct"/>
            <w:tcBorders>
              <w:top w:val="single" w:sz="4" w:space="0" w:color="auto"/>
              <w:left w:val="single" w:sz="4" w:space="0" w:color="auto"/>
              <w:bottom w:val="single" w:sz="4" w:space="0" w:color="auto"/>
              <w:right w:val="single" w:sz="4" w:space="0" w:color="auto"/>
            </w:tcBorders>
          </w:tcPr>
          <w:p w14:paraId="7DDBB9A7" w14:textId="77777777" w:rsidR="00745851" w:rsidRPr="00DD1A20" w:rsidRDefault="00745851" w:rsidP="00507A85">
            <w:pPr>
              <w:spacing w:after="60"/>
              <w:rPr>
                <w:i/>
                <w:iCs/>
                <w:sz w:val="20"/>
              </w:rPr>
            </w:pPr>
            <w:r w:rsidRPr="00DD1A20">
              <w:rPr>
                <w:i/>
                <w:iCs/>
                <w:sz w:val="20"/>
              </w:rPr>
              <w:t>r</w:t>
            </w:r>
          </w:p>
        </w:tc>
        <w:tc>
          <w:tcPr>
            <w:tcW w:w="449" w:type="pct"/>
            <w:tcBorders>
              <w:top w:val="single" w:sz="4" w:space="0" w:color="auto"/>
              <w:left w:val="single" w:sz="4" w:space="0" w:color="auto"/>
              <w:bottom w:val="single" w:sz="4" w:space="0" w:color="auto"/>
              <w:right w:val="single" w:sz="4" w:space="0" w:color="auto"/>
            </w:tcBorders>
          </w:tcPr>
          <w:p w14:paraId="716E49E1"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2F1533A7" w14:textId="77777777" w:rsidR="00745851" w:rsidRPr="00DD1A20" w:rsidRDefault="00745851" w:rsidP="00507A85">
            <w:pPr>
              <w:spacing w:after="60"/>
              <w:rPr>
                <w:iCs/>
                <w:sz w:val="20"/>
              </w:rPr>
            </w:pPr>
            <w:r w:rsidRPr="00DD1A20">
              <w:rPr>
                <w:iCs/>
                <w:sz w:val="20"/>
              </w:rPr>
              <w:t>A Resource that is qualified to provide Reg-Up.</w:t>
            </w:r>
          </w:p>
        </w:tc>
      </w:tr>
    </w:tbl>
    <w:p w14:paraId="3E35E886" w14:textId="77777777" w:rsidR="00745851" w:rsidRPr="00DD1A20" w:rsidRDefault="00745851" w:rsidP="00745851">
      <w:pPr>
        <w:spacing w:before="240" w:after="240"/>
        <w:ind w:left="1440" w:hanging="720"/>
        <w:rPr>
          <w:iCs/>
        </w:rPr>
      </w:pPr>
      <w:r w:rsidRPr="00DD1A20">
        <w:rPr>
          <w:iCs/>
        </w:rPr>
        <w:t>(b)</w:t>
      </w:r>
      <w:r w:rsidRPr="00DD1A20">
        <w:rPr>
          <w:iCs/>
        </w:rPr>
        <w:tab/>
        <w:t>The t</w:t>
      </w:r>
      <w:r w:rsidRPr="00DD1A20">
        <w:t>otal charge of failure on Ancillary Service Supply Responsibility for</w:t>
      </w:r>
      <w:r w:rsidRPr="00DD1A20">
        <w:rPr>
          <w:iCs/>
        </w:rPr>
        <w:t xml:space="preserve"> Reg-Down by QSE, if applicable:</w:t>
      </w:r>
    </w:p>
    <w:p w14:paraId="3526450E" w14:textId="77777777" w:rsidR="00745851" w:rsidRPr="00DD1A20" w:rsidRDefault="00745851" w:rsidP="00745851">
      <w:pPr>
        <w:spacing w:before="240" w:after="240"/>
        <w:ind w:left="2880" w:hanging="2160"/>
        <w:rPr>
          <w:iCs/>
        </w:rPr>
      </w:pPr>
      <w:r w:rsidRPr="00DD1A20">
        <w:rPr>
          <w:b/>
        </w:rPr>
        <w:t xml:space="preserve">RDFQAMTQSETOT </w:t>
      </w:r>
      <w:r w:rsidRPr="00DD1A20">
        <w:rPr>
          <w:b/>
          <w:i/>
          <w:vertAlign w:val="subscript"/>
        </w:rPr>
        <w:t>q</w:t>
      </w:r>
      <w:r w:rsidRPr="00DD1A20">
        <w:rPr>
          <w:b/>
          <w:i/>
          <w:vertAlign w:val="subscript"/>
        </w:rPr>
        <w:tab/>
      </w:r>
      <w:r w:rsidRPr="00DD1A20">
        <w:rPr>
          <w:b/>
        </w:rPr>
        <w:t>=</w:t>
      </w:r>
      <w:r w:rsidRPr="00DD1A20">
        <w:rPr>
          <w:b/>
        </w:rPr>
        <w:tab/>
        <w:t xml:space="preserve">RDFQAMT </w:t>
      </w:r>
      <w:r w:rsidRPr="00DD1A20">
        <w:rPr>
          <w:b/>
          <w:i/>
          <w:vertAlign w:val="subscript"/>
        </w:rPr>
        <w:t xml:space="preserve">q </w:t>
      </w:r>
      <w:r w:rsidRPr="00DD1A20">
        <w:rPr>
          <w:b/>
          <w:i/>
        </w:rPr>
        <w:t>+</w:t>
      </w:r>
      <w:r w:rsidRPr="00DD1A20">
        <w:rPr>
          <w:b/>
          <w:i/>
          <w:vertAlign w:val="subscript"/>
        </w:rPr>
        <w:t xml:space="preserve"> </w:t>
      </w:r>
      <w:r w:rsidRPr="00DD1A20">
        <w:rPr>
          <w:b/>
        </w:rPr>
        <w:t xml:space="preserve">RRDFQAMT </w:t>
      </w:r>
      <w:r w:rsidRPr="00DD1A20">
        <w:rPr>
          <w:b/>
          <w:i/>
          <w:vertAlign w:val="subscript"/>
        </w:rPr>
        <w:t>q</w:t>
      </w:r>
    </w:p>
    <w:p w14:paraId="183404E7" w14:textId="77777777" w:rsidR="00745851" w:rsidRPr="00DD1A20" w:rsidRDefault="00745851" w:rsidP="00745851">
      <w:pPr>
        <w:tabs>
          <w:tab w:val="left" w:pos="2340"/>
          <w:tab w:val="left" w:pos="3420"/>
        </w:tabs>
        <w:spacing w:after="240"/>
        <w:ind w:left="3420" w:hanging="2700"/>
        <w:rPr>
          <w:bCs/>
        </w:rPr>
      </w:pPr>
      <w:r w:rsidRPr="00DD1A20">
        <w:rPr>
          <w:bCs/>
        </w:rPr>
        <w:t>Where:</w:t>
      </w:r>
    </w:p>
    <w:p w14:paraId="1EACCB17" w14:textId="77777777" w:rsidR="00745851" w:rsidRPr="00DD1A20" w:rsidRDefault="00745851" w:rsidP="00745851">
      <w:pPr>
        <w:spacing w:after="240"/>
        <w:ind w:left="2880" w:hanging="2160"/>
        <w:rPr>
          <w:b/>
        </w:rPr>
      </w:pPr>
      <w:r w:rsidRPr="00DD1A20">
        <w:t xml:space="preserve">RDFQAMT </w:t>
      </w:r>
      <w:r w:rsidRPr="00DD1A20">
        <w:rPr>
          <w:i/>
          <w:vertAlign w:val="subscript"/>
        </w:rPr>
        <w:t>q</w:t>
      </w:r>
      <w:r w:rsidRPr="00DD1A20">
        <w:t xml:space="preserve">   =</w:t>
      </w:r>
      <w:r w:rsidRPr="00DD1A20">
        <w:tab/>
        <w:t>Max</w:t>
      </w:r>
      <w:r w:rsidRPr="00DD1A20" w:rsidDel="00C11E49">
        <w:t xml:space="preserve"> </w:t>
      </w:r>
      <w:r w:rsidRPr="00DD1A20">
        <w:t xml:space="preserve">(MCPCRD </w:t>
      </w:r>
      <w:r w:rsidRPr="00DD1A20">
        <w:rPr>
          <w:i/>
          <w:vertAlign w:val="subscript"/>
        </w:rPr>
        <w:t>m</w:t>
      </w:r>
      <w:r w:rsidRPr="00DD1A20">
        <w:t xml:space="preserve">, AVGRTASIP) * (RDFQ </w:t>
      </w:r>
      <w:r w:rsidRPr="00DD1A20">
        <w:rPr>
          <w:i/>
          <w:vertAlign w:val="subscript"/>
        </w:rPr>
        <w:t>q</w:t>
      </w:r>
      <w:r w:rsidRPr="00DD1A20">
        <w:t xml:space="preserve"> + TRDFQ </w:t>
      </w:r>
      <w:r w:rsidRPr="00DD1A20">
        <w:rPr>
          <w:i/>
          <w:vertAlign w:val="subscript"/>
        </w:rPr>
        <w:t>q</w:t>
      </w:r>
      <w:r w:rsidRPr="00DD1A20">
        <w:t>)</w:t>
      </w:r>
    </w:p>
    <w:p w14:paraId="65F7FB88" w14:textId="77777777" w:rsidR="00745851" w:rsidRPr="00DD1A20" w:rsidRDefault="00745851" w:rsidP="00745851">
      <w:pPr>
        <w:spacing w:before="240" w:after="240"/>
        <w:ind w:left="2880" w:hanging="2160"/>
        <w:rPr>
          <w:i/>
          <w:vertAlign w:val="subscript"/>
        </w:rPr>
      </w:pPr>
      <w:r w:rsidRPr="00DD1A20">
        <w:t xml:space="preserve">RRDFQAMT </w:t>
      </w:r>
      <w:r w:rsidRPr="00DD1A20">
        <w:rPr>
          <w:i/>
          <w:vertAlign w:val="subscript"/>
        </w:rPr>
        <w:t>q</w:t>
      </w:r>
      <w:r w:rsidRPr="00DD1A20">
        <w:tab/>
      </w:r>
      <w:r w:rsidRPr="00DD1A20">
        <w:tab/>
        <w:t>=</w:t>
      </w:r>
      <w:r w:rsidRPr="00DD1A20">
        <w:tab/>
        <w:t xml:space="preserve">MCPCRD </w:t>
      </w:r>
      <w:r w:rsidRPr="00DD1A20">
        <w:rPr>
          <w:i/>
          <w:vertAlign w:val="subscript"/>
        </w:rPr>
        <w:t>rs</w:t>
      </w:r>
      <w:r w:rsidRPr="00DD1A20">
        <w:t xml:space="preserve"> * RRDFQ </w:t>
      </w:r>
      <w:r w:rsidRPr="00DD1A20">
        <w:rPr>
          <w:i/>
          <w:vertAlign w:val="subscript"/>
        </w:rPr>
        <w:t>q,</w:t>
      </w:r>
      <w:r w:rsidRPr="00DD1A20">
        <w:t xml:space="preserve"> </w:t>
      </w:r>
      <w:r w:rsidRPr="00DD1A20">
        <w:rPr>
          <w:i/>
          <w:vertAlign w:val="subscript"/>
        </w:rPr>
        <w:t>rs</w:t>
      </w:r>
    </w:p>
    <w:p w14:paraId="757989DD" w14:textId="77777777" w:rsidR="00745851" w:rsidRPr="00DD1A20" w:rsidRDefault="00745851" w:rsidP="00745851">
      <w:pPr>
        <w:spacing w:after="240"/>
        <w:ind w:firstLine="720"/>
      </w:pPr>
      <w:r w:rsidRPr="00DD1A20">
        <w:t xml:space="preserve">AVGRTASIP </w:t>
      </w:r>
      <w:r w:rsidRPr="00DD1A20">
        <w:tab/>
      </w:r>
      <w:r w:rsidRPr="00DD1A20">
        <w:tab/>
      </w:r>
      <w:r w:rsidRPr="00DD1A20">
        <w:tab/>
        <w:t xml:space="preserve">= </w:t>
      </w:r>
      <w:r w:rsidRPr="00DD1A20">
        <w:tab/>
      </w:r>
      <w:r w:rsidRPr="00DD1A20">
        <w:rPr>
          <w:position w:val="-20"/>
        </w:rPr>
        <w:object w:dxaOrig="260" w:dyaOrig="580" w14:anchorId="3B14EAB5">
          <v:shape id="_x0000_i1341" type="#_x0000_t75" style="width:12pt;height:30pt" o:ole="">
            <v:imagedata r:id="rId419" o:title=""/>
          </v:shape>
          <o:OLEObject Type="Embed" ProgID="Equation.3" ShapeID="_x0000_i1341" DrawAspect="Content" ObjectID="_1815025529" r:id="rId423"/>
        </w:object>
      </w:r>
      <w:r w:rsidRPr="00DD1A20">
        <w:t xml:space="preserve">(RTRSVPOR </w:t>
      </w:r>
      <w:r w:rsidRPr="00DD1A20">
        <w:rPr>
          <w:i/>
          <w:vertAlign w:val="subscript"/>
        </w:rPr>
        <w:t>i</w:t>
      </w:r>
      <w:r w:rsidRPr="00DD1A20">
        <w:t xml:space="preserve"> + RTRDP </w:t>
      </w:r>
      <w:r w:rsidRPr="00DD1A20">
        <w:rPr>
          <w:i/>
          <w:vertAlign w:val="subscript"/>
        </w:rPr>
        <w:t>i</w:t>
      </w:r>
      <w:r w:rsidRPr="00DD1A20">
        <w:t>) / 4</w:t>
      </w:r>
    </w:p>
    <w:p w14:paraId="52AACDFB" w14:textId="77777777" w:rsidR="00745851" w:rsidRPr="00DD1A20" w:rsidRDefault="00745851" w:rsidP="00745851">
      <w:pPr>
        <w:spacing w:after="240"/>
        <w:ind w:firstLine="720"/>
      </w:pPr>
      <w:r w:rsidRPr="00DD1A20">
        <w:t>Where for all Resources:</w:t>
      </w:r>
    </w:p>
    <w:p w14:paraId="7DAD0932" w14:textId="77777777" w:rsidR="00745851" w:rsidRPr="00DD1A20" w:rsidRDefault="00745851" w:rsidP="00745851">
      <w:pPr>
        <w:spacing w:after="240"/>
        <w:ind w:leftChars="300" w:left="2880" w:hangingChars="900" w:hanging="2160"/>
        <w:rPr>
          <w:bCs/>
          <w:iCs/>
        </w:rPr>
      </w:pPr>
      <w:r w:rsidRPr="00DD1A20">
        <w:t xml:space="preserve">TRDFQ </w:t>
      </w:r>
      <w:r w:rsidRPr="00DD1A20">
        <w:rPr>
          <w:i/>
          <w:vertAlign w:val="subscript"/>
        </w:rPr>
        <w:t xml:space="preserve">q </w:t>
      </w:r>
      <w:r w:rsidRPr="00DD1A20">
        <w:rPr>
          <w:bCs/>
          <w:lang w:val="fr-FR"/>
        </w:rPr>
        <w:t>=</w:t>
      </w:r>
      <w:r w:rsidRPr="00DD1A20">
        <w:rPr>
          <w:iCs/>
        </w:rPr>
        <w:t>Max ([(</w:t>
      </w:r>
      <w:r w:rsidRPr="00DD1A20">
        <w:rPr>
          <w:bCs/>
          <w:lang w:val="fr-FR"/>
        </w:rPr>
        <w:t xml:space="preserve">SARDQ </w:t>
      </w:r>
      <w:r w:rsidRPr="00DD1A20">
        <w:rPr>
          <w:bCs/>
          <w:i/>
          <w:vertAlign w:val="subscript"/>
          <w:lang w:val="fr-FR"/>
        </w:rPr>
        <w:t xml:space="preserve">q </w:t>
      </w:r>
      <w:r w:rsidRPr="00DD1A20">
        <w:rPr>
          <w:bCs/>
          <w:iCs/>
        </w:rPr>
        <w:t>+ RDTRSQ</w:t>
      </w:r>
      <w:r w:rsidRPr="00DD1A20">
        <w:rPr>
          <w:bCs/>
          <w:i/>
          <w:vertAlign w:val="subscript"/>
          <w:lang w:val="fr-FR"/>
        </w:rPr>
        <w:t xml:space="preserve"> q</w:t>
      </w:r>
      <w:r w:rsidRPr="00DD1A20">
        <w:rPr>
          <w:bCs/>
          <w:iCs/>
        </w:rPr>
        <w:t xml:space="preserve"> + </w:t>
      </w:r>
      <w:r w:rsidRPr="00DD1A20">
        <w:rPr>
          <w:noProof/>
          <w:position w:val="-20"/>
        </w:rPr>
        <w:drawing>
          <wp:inline distT="0" distB="0" distL="0" distR="0" wp14:anchorId="10F3BB40" wp14:editId="71634C4E">
            <wp:extent cx="142875" cy="2762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DD1A20">
        <w:rPr>
          <w:bCs/>
          <w:lang w:val="es-ES"/>
        </w:rPr>
        <w:t xml:space="preserve">(RTPCRD </w:t>
      </w:r>
      <w:r w:rsidRPr="00DD1A20">
        <w:rPr>
          <w:bCs/>
          <w:i/>
          <w:vertAlign w:val="subscript"/>
          <w:lang w:val="es-ES"/>
        </w:rPr>
        <w:t>q, m</w:t>
      </w:r>
      <w:r w:rsidRPr="00DD1A20">
        <w:rPr>
          <w:bCs/>
          <w:lang w:val="es-ES"/>
        </w:rPr>
        <w:t xml:space="preserve">) + PCRD </w:t>
      </w:r>
      <w:r w:rsidRPr="00DD1A20">
        <w:rPr>
          <w:bCs/>
          <w:i/>
          <w:vertAlign w:val="subscript"/>
          <w:lang w:val="es-ES"/>
        </w:rPr>
        <w:t>q</w:t>
      </w:r>
      <w:r w:rsidRPr="00DD1A20">
        <w:rPr>
          <w:bCs/>
          <w:lang w:val="es-ES"/>
        </w:rPr>
        <w:t xml:space="preserve"> + RUCRDQ </w:t>
      </w:r>
      <w:r w:rsidRPr="00DD1A20">
        <w:rPr>
          <w:bCs/>
          <w:i/>
          <w:vertAlign w:val="subscript"/>
          <w:lang w:val="es-ES"/>
        </w:rPr>
        <w:t>q</w:t>
      </w:r>
      <w:r w:rsidRPr="00DD1A20">
        <w:rPr>
          <w:bCs/>
          <w:lang w:val="es-ES"/>
        </w:rPr>
        <w:t>) – (</w:t>
      </w:r>
      <w:r w:rsidRPr="00DD1A20">
        <w:rPr>
          <w:bCs/>
          <w:iCs/>
        </w:rPr>
        <w:t>RDTRPQ</w:t>
      </w:r>
      <w:r w:rsidRPr="00DD1A20">
        <w:rPr>
          <w:bCs/>
          <w:i/>
          <w:vertAlign w:val="subscript"/>
          <w:lang w:val="es-ES"/>
        </w:rPr>
        <w:t xml:space="preserve"> q</w:t>
      </w:r>
      <w:r w:rsidRPr="00DD1A20">
        <w:rPr>
          <w:bCs/>
          <w:iCs/>
        </w:rPr>
        <w:t xml:space="preserve"> + </w:t>
      </w:r>
      <w:r w:rsidRPr="00DD1A20">
        <w:rPr>
          <w:bCs/>
          <w:lang w:val="es-ES"/>
        </w:rPr>
        <w:t xml:space="preserve">RDFQ </w:t>
      </w:r>
      <w:r w:rsidRPr="00DD1A20">
        <w:rPr>
          <w:bCs/>
          <w:i/>
          <w:vertAlign w:val="subscript"/>
          <w:lang w:val="es-ES"/>
        </w:rPr>
        <w:t>q</w:t>
      </w:r>
      <w:r w:rsidRPr="00DD1A20">
        <w:rPr>
          <w:bCs/>
          <w:lang w:val="es-ES"/>
        </w:rPr>
        <w:t xml:space="preserve"> + RRDFQ</w:t>
      </w:r>
      <w:r w:rsidRPr="00DD1A20">
        <w:rPr>
          <w:bCs/>
          <w:i/>
          <w:vertAlign w:val="subscript"/>
          <w:lang w:val="es-ES"/>
        </w:rPr>
        <w:t xml:space="preserve"> q</w:t>
      </w:r>
      <w:r w:rsidRPr="00DD1A20">
        <w:rPr>
          <w:bCs/>
          <w:lang w:val="es-ES"/>
        </w:rPr>
        <w:t xml:space="preserve"> + RDINFQ </w:t>
      </w:r>
      <w:r w:rsidRPr="00DD1A20">
        <w:rPr>
          <w:bCs/>
          <w:i/>
          <w:vertAlign w:val="subscript"/>
          <w:lang w:val="es-ES"/>
        </w:rPr>
        <w:t>q</w:t>
      </w:r>
      <w:r w:rsidRPr="00DD1A20">
        <w:rPr>
          <w:bCs/>
          <w:lang w:val="es-ES"/>
        </w:rPr>
        <w:t>)</w:t>
      </w:r>
      <w:r w:rsidRPr="00DD1A20">
        <w:rPr>
          <w:bCs/>
          <w:iCs/>
        </w:rPr>
        <w:t xml:space="preserve">] </w:t>
      </w:r>
      <w:r w:rsidRPr="00DD1A20">
        <w:rPr>
          <w:bCs/>
          <w:lang w:val="es-ES"/>
        </w:rPr>
        <w:t>–</w:t>
      </w:r>
      <w:r w:rsidRPr="00DD1A20">
        <w:rPr>
          <w:noProof/>
          <w:position w:val="-22"/>
        </w:rPr>
        <w:t xml:space="preserve"> </w:t>
      </w:r>
      <w:r w:rsidRPr="00DD1A20">
        <w:rPr>
          <w:position w:val="-18"/>
        </w:rPr>
        <w:object w:dxaOrig="225" w:dyaOrig="420" w14:anchorId="2C7D05EF">
          <v:shape id="_x0000_i1342" type="#_x0000_t75" style="width:12pt;height:24pt" o:ole="">
            <v:imagedata r:id="rId159" o:title=""/>
          </v:shape>
          <o:OLEObject Type="Embed" ProgID="Equation.3" ShapeID="_x0000_i1342" DrawAspect="Content" ObjectID="_1815025530" r:id="rId424"/>
        </w:object>
      </w:r>
      <w:r w:rsidRPr="00DD1A20">
        <w:rPr>
          <w:noProof/>
          <w:position w:val="-22"/>
        </w:rPr>
        <w:t xml:space="preserve"> </w:t>
      </w:r>
      <w:r w:rsidRPr="00DD1A20">
        <w:rPr>
          <w:bCs/>
          <w:iCs/>
        </w:rPr>
        <w:t xml:space="preserve">TELRDR </w:t>
      </w:r>
      <w:r w:rsidRPr="00DD1A20">
        <w:rPr>
          <w:bCs/>
          <w:i/>
          <w:vertAlign w:val="subscript"/>
          <w:lang w:val="es-ES"/>
        </w:rPr>
        <w:t>q, r</w:t>
      </w:r>
      <w:r w:rsidRPr="00DD1A20">
        <w:rPr>
          <w:bCs/>
          <w:iCs/>
          <w:lang w:val="es-ES"/>
        </w:rPr>
        <w:t>, 0)</w:t>
      </w:r>
    </w:p>
    <w:p w14:paraId="7246BC65" w14:textId="77777777" w:rsidR="00745851" w:rsidRPr="00DD1A20" w:rsidRDefault="00745851" w:rsidP="00745851">
      <w:pPr>
        <w:spacing w:after="240"/>
        <w:ind w:leftChars="300" w:left="2880" w:hangingChars="900" w:hanging="2160"/>
        <w:rPr>
          <w:bCs/>
          <w:lang w:val="fr-FR"/>
        </w:rPr>
      </w:pPr>
      <w:r w:rsidRPr="00DD1A20">
        <w:rPr>
          <w:bCs/>
          <w:lang w:val="fr-FR"/>
        </w:rPr>
        <w:t xml:space="preserve">SARDQ </w:t>
      </w:r>
      <w:r w:rsidRPr="00DD1A20">
        <w:rPr>
          <w:bCs/>
          <w:i/>
          <w:vertAlign w:val="subscript"/>
          <w:lang w:val="fr-FR"/>
        </w:rPr>
        <w:t xml:space="preserve">q </w:t>
      </w:r>
      <w:r w:rsidRPr="00DD1A20">
        <w:rPr>
          <w:bCs/>
          <w:lang w:val="fr-FR"/>
        </w:rPr>
        <w:t xml:space="preserve">= DASARDQ </w:t>
      </w:r>
      <w:r w:rsidRPr="00DD1A20">
        <w:rPr>
          <w:bCs/>
          <w:i/>
          <w:vertAlign w:val="subscript"/>
          <w:lang w:val="fr-FR"/>
        </w:rPr>
        <w:t>q</w:t>
      </w:r>
      <w:r w:rsidRPr="00DD1A20">
        <w:rPr>
          <w:bCs/>
          <w:lang w:val="fr-FR"/>
        </w:rPr>
        <w:t xml:space="preserve"> + RTSARDQ </w:t>
      </w:r>
      <w:r w:rsidRPr="00DD1A20">
        <w:rPr>
          <w:bCs/>
          <w:i/>
          <w:vertAlign w:val="subscript"/>
          <w:lang w:val="fr-FR"/>
        </w:rPr>
        <w:t>q</w:t>
      </w:r>
    </w:p>
    <w:p w14:paraId="1EB66B00" w14:textId="77777777" w:rsidR="00745851" w:rsidRPr="00DD1A20" w:rsidRDefault="00745851" w:rsidP="00745851"/>
    <w:p w14:paraId="57339FA9" w14:textId="77777777" w:rsidR="00745851" w:rsidRPr="00DD1A20" w:rsidRDefault="00745851" w:rsidP="00745851">
      <w:r w:rsidRPr="00DD1A20">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840"/>
        <w:gridCol w:w="6549"/>
      </w:tblGrid>
      <w:tr w:rsidR="00745851" w:rsidRPr="00DD1A20" w14:paraId="1C34EB1E" w14:textId="77777777" w:rsidTr="00507A85">
        <w:tc>
          <w:tcPr>
            <w:tcW w:w="1049" w:type="pct"/>
          </w:tcPr>
          <w:p w14:paraId="72810D3A" w14:textId="77777777" w:rsidR="00745851" w:rsidRPr="00DD1A20" w:rsidRDefault="00745851" w:rsidP="00507A85">
            <w:pPr>
              <w:spacing w:after="240"/>
              <w:rPr>
                <w:b/>
                <w:iCs/>
                <w:sz w:val="20"/>
              </w:rPr>
            </w:pPr>
            <w:r w:rsidRPr="00DD1A20">
              <w:rPr>
                <w:b/>
                <w:iCs/>
                <w:sz w:val="20"/>
              </w:rPr>
              <w:t>Variable</w:t>
            </w:r>
          </w:p>
        </w:tc>
        <w:tc>
          <w:tcPr>
            <w:tcW w:w="449" w:type="pct"/>
          </w:tcPr>
          <w:p w14:paraId="5BE56D6B" w14:textId="77777777" w:rsidR="00745851" w:rsidRPr="00DD1A20" w:rsidRDefault="00745851" w:rsidP="00507A85">
            <w:pPr>
              <w:spacing w:after="240"/>
              <w:rPr>
                <w:b/>
                <w:iCs/>
                <w:sz w:val="20"/>
              </w:rPr>
            </w:pPr>
            <w:r w:rsidRPr="00DD1A20">
              <w:rPr>
                <w:b/>
                <w:iCs/>
                <w:sz w:val="20"/>
              </w:rPr>
              <w:t>Unit</w:t>
            </w:r>
          </w:p>
        </w:tc>
        <w:tc>
          <w:tcPr>
            <w:tcW w:w="3502" w:type="pct"/>
          </w:tcPr>
          <w:p w14:paraId="0BA38BC0" w14:textId="77777777" w:rsidR="00745851" w:rsidRPr="00DD1A20" w:rsidRDefault="00745851" w:rsidP="00507A85">
            <w:pPr>
              <w:spacing w:after="240"/>
              <w:rPr>
                <w:b/>
                <w:iCs/>
                <w:sz w:val="20"/>
              </w:rPr>
            </w:pPr>
            <w:r w:rsidRPr="00DD1A20">
              <w:rPr>
                <w:b/>
                <w:iCs/>
                <w:sz w:val="20"/>
              </w:rPr>
              <w:t>Description</w:t>
            </w:r>
          </w:p>
        </w:tc>
      </w:tr>
      <w:tr w:rsidR="00745851" w:rsidRPr="00DD1A20" w14:paraId="03BF127B" w14:textId="77777777" w:rsidTr="00507A85">
        <w:tc>
          <w:tcPr>
            <w:tcW w:w="1049" w:type="pct"/>
          </w:tcPr>
          <w:p w14:paraId="352C9160" w14:textId="77777777" w:rsidR="00745851" w:rsidRPr="00DD1A20" w:rsidRDefault="00745851" w:rsidP="00507A85">
            <w:pPr>
              <w:spacing w:after="60"/>
              <w:rPr>
                <w:iCs/>
                <w:sz w:val="20"/>
              </w:rPr>
            </w:pPr>
            <w:r w:rsidRPr="00DD1A20">
              <w:rPr>
                <w:iCs/>
                <w:sz w:val="20"/>
              </w:rPr>
              <w:t xml:space="preserve">RDFQAMTQSETOT </w:t>
            </w:r>
            <w:r w:rsidRPr="00DD1A20">
              <w:rPr>
                <w:i/>
                <w:iCs/>
                <w:sz w:val="20"/>
                <w:vertAlign w:val="subscript"/>
              </w:rPr>
              <w:t>q</w:t>
            </w:r>
          </w:p>
        </w:tc>
        <w:tc>
          <w:tcPr>
            <w:tcW w:w="449" w:type="pct"/>
          </w:tcPr>
          <w:p w14:paraId="09D1E18D" w14:textId="77777777" w:rsidR="00745851" w:rsidRPr="00DD1A20" w:rsidRDefault="00745851" w:rsidP="00507A85">
            <w:pPr>
              <w:spacing w:after="60"/>
              <w:rPr>
                <w:iCs/>
                <w:sz w:val="20"/>
              </w:rPr>
            </w:pPr>
            <w:r w:rsidRPr="00DD1A20">
              <w:rPr>
                <w:iCs/>
                <w:sz w:val="20"/>
              </w:rPr>
              <w:t>$</w:t>
            </w:r>
          </w:p>
        </w:tc>
        <w:tc>
          <w:tcPr>
            <w:tcW w:w="3502" w:type="pct"/>
          </w:tcPr>
          <w:p w14:paraId="53C6913F" w14:textId="77777777" w:rsidR="00745851" w:rsidRPr="00DD1A20" w:rsidRDefault="00745851" w:rsidP="00507A85">
            <w:pPr>
              <w:spacing w:after="60"/>
              <w:rPr>
                <w:i/>
                <w:iCs/>
                <w:sz w:val="20"/>
              </w:rPr>
            </w:pPr>
            <w:r w:rsidRPr="00DD1A20">
              <w:rPr>
                <w:i/>
                <w:iCs/>
                <w:sz w:val="20"/>
              </w:rPr>
              <w:t>Reg-Down Failure Quantity Amount per QSE</w:t>
            </w:r>
            <w:r w:rsidRPr="00DD1A20">
              <w:rPr>
                <w:iCs/>
                <w:sz w:val="20"/>
              </w:rPr>
              <w:t xml:space="preserve">—The total charge to QSE </w:t>
            </w:r>
            <w:r w:rsidRPr="00DD1A20">
              <w:rPr>
                <w:i/>
                <w:iCs/>
                <w:sz w:val="20"/>
              </w:rPr>
              <w:t>q</w:t>
            </w:r>
            <w:r w:rsidRPr="00DD1A20">
              <w:rPr>
                <w:iCs/>
                <w:sz w:val="20"/>
              </w:rPr>
              <w:t xml:space="preserve"> for its total capacity associated with failures and reconfiguration reductions on its Ancillary Service Supply Responsibility for Reg-Down, for the hour.</w:t>
            </w:r>
          </w:p>
        </w:tc>
      </w:tr>
      <w:tr w:rsidR="00745851" w:rsidRPr="00DD1A20" w14:paraId="0774BA49" w14:textId="77777777" w:rsidTr="00507A85">
        <w:tc>
          <w:tcPr>
            <w:tcW w:w="1049" w:type="pct"/>
          </w:tcPr>
          <w:p w14:paraId="54349E12" w14:textId="77777777" w:rsidR="00745851" w:rsidRPr="00DD1A20" w:rsidRDefault="00745851" w:rsidP="00507A85">
            <w:pPr>
              <w:spacing w:after="60"/>
              <w:rPr>
                <w:iCs/>
                <w:sz w:val="20"/>
              </w:rPr>
            </w:pPr>
            <w:r w:rsidRPr="00DD1A20">
              <w:rPr>
                <w:iCs/>
                <w:sz w:val="20"/>
              </w:rPr>
              <w:lastRenderedPageBreak/>
              <w:t xml:space="preserve">RRDFQAMT </w:t>
            </w:r>
            <w:r w:rsidRPr="00DD1A20">
              <w:rPr>
                <w:i/>
                <w:iCs/>
                <w:sz w:val="20"/>
                <w:vertAlign w:val="subscript"/>
              </w:rPr>
              <w:t>q</w:t>
            </w:r>
          </w:p>
        </w:tc>
        <w:tc>
          <w:tcPr>
            <w:tcW w:w="449" w:type="pct"/>
          </w:tcPr>
          <w:p w14:paraId="01A10AE2" w14:textId="77777777" w:rsidR="00745851" w:rsidRPr="00DD1A20" w:rsidRDefault="00745851" w:rsidP="00507A85">
            <w:pPr>
              <w:spacing w:after="60"/>
              <w:rPr>
                <w:iCs/>
                <w:sz w:val="20"/>
              </w:rPr>
            </w:pPr>
            <w:r w:rsidRPr="00DD1A20">
              <w:rPr>
                <w:iCs/>
                <w:sz w:val="20"/>
              </w:rPr>
              <w:t>$</w:t>
            </w:r>
          </w:p>
        </w:tc>
        <w:tc>
          <w:tcPr>
            <w:tcW w:w="3502" w:type="pct"/>
          </w:tcPr>
          <w:p w14:paraId="1A2B3AA0" w14:textId="77777777" w:rsidR="00745851" w:rsidRPr="00DD1A20" w:rsidRDefault="00745851" w:rsidP="00507A85">
            <w:pPr>
              <w:spacing w:after="60"/>
              <w:rPr>
                <w:i/>
                <w:iCs/>
                <w:sz w:val="20"/>
              </w:rPr>
            </w:pPr>
            <w:r w:rsidRPr="00DD1A20">
              <w:rPr>
                <w:i/>
                <w:sz w:val="20"/>
              </w:rPr>
              <w:t xml:space="preserve">Reconfiguration </w:t>
            </w:r>
            <w:r w:rsidRPr="00DD1A20">
              <w:rPr>
                <w:i/>
                <w:iCs/>
                <w:sz w:val="20"/>
              </w:rPr>
              <w:t>Reg-Down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reconfiguration reductions on its Ancillary Service Supply Responsibility for Reg-Down, for the hour.</w:t>
            </w:r>
          </w:p>
        </w:tc>
      </w:tr>
      <w:tr w:rsidR="00745851" w:rsidRPr="00DD1A20" w14:paraId="43A20D63" w14:textId="77777777" w:rsidTr="00507A85">
        <w:tc>
          <w:tcPr>
            <w:tcW w:w="1049" w:type="pct"/>
          </w:tcPr>
          <w:p w14:paraId="241B3D4E" w14:textId="77777777" w:rsidR="00745851" w:rsidRPr="00DD1A20" w:rsidRDefault="00745851" w:rsidP="00507A85">
            <w:pPr>
              <w:spacing w:after="60"/>
              <w:rPr>
                <w:iCs/>
                <w:sz w:val="20"/>
              </w:rPr>
            </w:pPr>
            <w:r w:rsidRPr="00DD1A20">
              <w:rPr>
                <w:iCs/>
                <w:sz w:val="20"/>
              </w:rPr>
              <w:t xml:space="preserve">RDFQAMT </w:t>
            </w:r>
            <w:r w:rsidRPr="00DD1A20">
              <w:rPr>
                <w:i/>
                <w:iCs/>
                <w:sz w:val="20"/>
                <w:vertAlign w:val="subscript"/>
              </w:rPr>
              <w:t>q</w:t>
            </w:r>
          </w:p>
        </w:tc>
        <w:tc>
          <w:tcPr>
            <w:tcW w:w="449" w:type="pct"/>
          </w:tcPr>
          <w:p w14:paraId="440B8CB3" w14:textId="77777777" w:rsidR="00745851" w:rsidRPr="00DD1A20" w:rsidRDefault="00745851" w:rsidP="00507A85">
            <w:pPr>
              <w:spacing w:after="60"/>
              <w:rPr>
                <w:iCs/>
                <w:sz w:val="20"/>
              </w:rPr>
            </w:pPr>
            <w:r w:rsidRPr="00DD1A20">
              <w:rPr>
                <w:iCs/>
                <w:sz w:val="20"/>
              </w:rPr>
              <w:t>$</w:t>
            </w:r>
          </w:p>
        </w:tc>
        <w:tc>
          <w:tcPr>
            <w:tcW w:w="3502" w:type="pct"/>
          </w:tcPr>
          <w:p w14:paraId="0A21896F" w14:textId="77777777" w:rsidR="00745851" w:rsidRPr="00DD1A20" w:rsidRDefault="00745851" w:rsidP="00507A85">
            <w:pPr>
              <w:spacing w:after="60"/>
              <w:rPr>
                <w:iCs/>
                <w:sz w:val="20"/>
              </w:rPr>
            </w:pPr>
            <w:r w:rsidRPr="00DD1A20">
              <w:rPr>
                <w:i/>
                <w:iCs/>
                <w:sz w:val="20"/>
              </w:rPr>
              <w:t>Reg-Down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failures on its Ancillary Service Supply Responsibility for Reg-Down, for the hour.</w:t>
            </w:r>
          </w:p>
        </w:tc>
      </w:tr>
      <w:tr w:rsidR="00745851" w:rsidRPr="00DD1A20" w14:paraId="661E1403" w14:textId="77777777" w:rsidTr="00507A85">
        <w:tc>
          <w:tcPr>
            <w:tcW w:w="1049" w:type="pct"/>
            <w:tcBorders>
              <w:top w:val="single" w:sz="4" w:space="0" w:color="auto"/>
              <w:left w:val="single" w:sz="4" w:space="0" w:color="auto"/>
              <w:bottom w:val="single" w:sz="4" w:space="0" w:color="auto"/>
              <w:right w:val="single" w:sz="4" w:space="0" w:color="auto"/>
            </w:tcBorders>
          </w:tcPr>
          <w:p w14:paraId="3AE8734B" w14:textId="77777777" w:rsidR="00745851" w:rsidRPr="00DD1A20" w:rsidRDefault="00745851" w:rsidP="00507A85">
            <w:pPr>
              <w:spacing w:after="60"/>
              <w:rPr>
                <w:iCs/>
                <w:sz w:val="20"/>
              </w:rPr>
            </w:pPr>
            <w:r w:rsidRPr="00DD1A20">
              <w:rPr>
                <w:iCs/>
                <w:sz w:val="20"/>
              </w:rPr>
              <w:t xml:space="preserve">MCPCRD </w:t>
            </w:r>
            <w:r w:rsidRPr="00DD1A20">
              <w:rPr>
                <w:i/>
                <w:iCs/>
                <w:sz w:val="20"/>
                <w:vertAlign w:val="subscript"/>
              </w:rPr>
              <w:t>m</w:t>
            </w:r>
          </w:p>
        </w:tc>
        <w:tc>
          <w:tcPr>
            <w:tcW w:w="449" w:type="pct"/>
            <w:tcBorders>
              <w:top w:val="single" w:sz="4" w:space="0" w:color="auto"/>
              <w:left w:val="single" w:sz="4" w:space="0" w:color="auto"/>
              <w:bottom w:val="single" w:sz="4" w:space="0" w:color="auto"/>
              <w:right w:val="single" w:sz="4" w:space="0" w:color="auto"/>
            </w:tcBorders>
          </w:tcPr>
          <w:p w14:paraId="029BE668" w14:textId="77777777" w:rsidR="00745851" w:rsidRPr="00DD1A20" w:rsidRDefault="00745851" w:rsidP="00507A85">
            <w:pPr>
              <w:spacing w:after="60"/>
              <w:rPr>
                <w:iCs/>
                <w:sz w:val="20"/>
              </w:rPr>
            </w:pPr>
            <w:r w:rsidRPr="00DD1A20">
              <w:rPr>
                <w:iCs/>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31E2D54F" w14:textId="77777777" w:rsidR="00745851" w:rsidRPr="00DD1A20" w:rsidRDefault="00745851" w:rsidP="00507A85">
            <w:pPr>
              <w:spacing w:after="60"/>
              <w:rPr>
                <w:i/>
                <w:iCs/>
                <w:sz w:val="20"/>
              </w:rPr>
            </w:pPr>
            <w:r w:rsidRPr="00DD1A20">
              <w:rPr>
                <w:i/>
                <w:iCs/>
                <w:sz w:val="20"/>
              </w:rPr>
              <w:t>Market Clearing Price for Capacity for Reg-Down by market—</w:t>
            </w:r>
            <w:r w:rsidRPr="00DD1A20">
              <w:rPr>
                <w:iCs/>
                <w:sz w:val="20"/>
              </w:rPr>
              <w:t xml:space="preserve">The MCPC for Reg-Down in the market </w:t>
            </w:r>
            <w:r w:rsidRPr="00DD1A20">
              <w:rPr>
                <w:i/>
                <w:iCs/>
                <w:sz w:val="20"/>
              </w:rPr>
              <w:t>m</w:t>
            </w:r>
            <w:r w:rsidRPr="00DD1A20">
              <w:rPr>
                <w:iCs/>
                <w:sz w:val="20"/>
              </w:rPr>
              <w:t>, for the hour.</w:t>
            </w:r>
          </w:p>
        </w:tc>
      </w:tr>
      <w:tr w:rsidR="00745851" w:rsidRPr="00DD1A20" w14:paraId="4D6F17CA" w14:textId="77777777" w:rsidTr="00507A85">
        <w:tc>
          <w:tcPr>
            <w:tcW w:w="1049" w:type="pct"/>
            <w:tcBorders>
              <w:top w:val="single" w:sz="4" w:space="0" w:color="auto"/>
              <w:left w:val="single" w:sz="4" w:space="0" w:color="auto"/>
              <w:bottom w:val="single" w:sz="4" w:space="0" w:color="auto"/>
              <w:right w:val="single" w:sz="4" w:space="0" w:color="auto"/>
            </w:tcBorders>
          </w:tcPr>
          <w:p w14:paraId="2AF29F8B" w14:textId="77777777" w:rsidR="00745851" w:rsidRPr="00DD1A20" w:rsidRDefault="00745851" w:rsidP="00507A85">
            <w:pPr>
              <w:spacing w:after="60"/>
              <w:rPr>
                <w:iCs/>
                <w:sz w:val="20"/>
              </w:rPr>
            </w:pPr>
            <w:r w:rsidRPr="00DD1A20">
              <w:rPr>
                <w:sz w:val="20"/>
              </w:rPr>
              <w:t xml:space="preserve">MCPCRD </w:t>
            </w:r>
            <w:r w:rsidRPr="00DD1A20">
              <w:rPr>
                <w:i/>
                <w:sz w:val="20"/>
                <w:vertAlign w:val="subscript"/>
              </w:rPr>
              <w:t>rs</w:t>
            </w:r>
          </w:p>
        </w:tc>
        <w:tc>
          <w:tcPr>
            <w:tcW w:w="449" w:type="pct"/>
            <w:tcBorders>
              <w:top w:val="single" w:sz="4" w:space="0" w:color="auto"/>
              <w:left w:val="single" w:sz="4" w:space="0" w:color="auto"/>
              <w:bottom w:val="single" w:sz="4" w:space="0" w:color="auto"/>
              <w:right w:val="single" w:sz="4" w:space="0" w:color="auto"/>
            </w:tcBorders>
          </w:tcPr>
          <w:p w14:paraId="38DF52EA" w14:textId="77777777" w:rsidR="00745851" w:rsidRPr="00DD1A20" w:rsidRDefault="00745851" w:rsidP="00507A85">
            <w:pPr>
              <w:spacing w:after="60"/>
              <w:rPr>
                <w:iCs/>
                <w:sz w:val="20"/>
              </w:rPr>
            </w:pPr>
            <w:r w:rsidRPr="00DD1A20">
              <w:rPr>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6A7CB66B" w14:textId="77777777" w:rsidR="00745851" w:rsidRPr="00DD1A20" w:rsidRDefault="00745851" w:rsidP="00507A85">
            <w:pPr>
              <w:spacing w:after="60"/>
              <w:rPr>
                <w:i/>
                <w:iCs/>
                <w:sz w:val="20"/>
              </w:rPr>
            </w:pPr>
            <w:r w:rsidRPr="00DD1A20">
              <w:rPr>
                <w:i/>
                <w:sz w:val="20"/>
              </w:rPr>
              <w:t>Market Clearing Price for Capacity for Reg-Down by RSASM—</w:t>
            </w:r>
            <w:r w:rsidRPr="00DD1A20">
              <w:rPr>
                <w:sz w:val="20"/>
              </w:rPr>
              <w:t xml:space="preserve">The MCPC for Reg-Down in the RSASM </w:t>
            </w:r>
            <w:r w:rsidRPr="00DD1A20">
              <w:rPr>
                <w:i/>
                <w:sz w:val="20"/>
              </w:rPr>
              <w:t>rs</w:t>
            </w:r>
            <w:r w:rsidRPr="00DD1A20">
              <w:rPr>
                <w:sz w:val="20"/>
              </w:rPr>
              <w:t>, for the hour.</w:t>
            </w:r>
          </w:p>
        </w:tc>
      </w:tr>
      <w:tr w:rsidR="00745851" w:rsidRPr="00DD1A20" w14:paraId="7C803AEE" w14:textId="77777777" w:rsidTr="00507A85">
        <w:tc>
          <w:tcPr>
            <w:tcW w:w="1049" w:type="pct"/>
            <w:tcBorders>
              <w:top w:val="single" w:sz="4" w:space="0" w:color="auto"/>
              <w:left w:val="single" w:sz="4" w:space="0" w:color="auto"/>
              <w:bottom w:val="single" w:sz="4" w:space="0" w:color="auto"/>
              <w:right w:val="single" w:sz="4" w:space="0" w:color="auto"/>
            </w:tcBorders>
          </w:tcPr>
          <w:p w14:paraId="39F06FF5" w14:textId="77777777" w:rsidR="00745851" w:rsidRPr="00DD1A20" w:rsidRDefault="00745851" w:rsidP="00507A85">
            <w:pPr>
              <w:spacing w:after="60"/>
              <w:rPr>
                <w:iCs/>
                <w:sz w:val="20"/>
              </w:rPr>
            </w:pPr>
            <w:r w:rsidRPr="00DD1A20">
              <w:rPr>
                <w:iCs/>
                <w:sz w:val="20"/>
              </w:rPr>
              <w:t>RDFQ</w:t>
            </w:r>
            <w:r w:rsidRPr="00DD1A20">
              <w:rPr>
                <w:i/>
                <w:iCs/>
                <w:sz w:val="20"/>
              </w:rPr>
              <w:t xml:space="preserve">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5803E018" w14:textId="77777777" w:rsidR="00745851" w:rsidRPr="00DD1A20" w:rsidRDefault="00745851" w:rsidP="00507A85">
            <w:pPr>
              <w:spacing w:after="60"/>
              <w:rPr>
                <w:iCs/>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27B8ED9C" w14:textId="77777777" w:rsidR="00745851" w:rsidRPr="00DD1A20" w:rsidRDefault="00745851" w:rsidP="00507A85">
            <w:pPr>
              <w:spacing w:after="60"/>
              <w:rPr>
                <w:i/>
                <w:iCs/>
                <w:sz w:val="20"/>
              </w:rPr>
            </w:pPr>
            <w:r w:rsidRPr="00DD1A20">
              <w:rPr>
                <w:i/>
                <w:iCs/>
                <w:sz w:val="20"/>
              </w:rPr>
              <w:t>Reg-Down Failure Quantity per QSE</w:t>
            </w:r>
            <w:r w:rsidRPr="00DD1A20">
              <w:rPr>
                <w:iCs/>
                <w:sz w:val="20"/>
              </w:rPr>
              <w:t xml:space="preserve">—QSE </w:t>
            </w:r>
            <w:r w:rsidRPr="00DD1A20">
              <w:rPr>
                <w:i/>
                <w:iCs/>
                <w:sz w:val="20"/>
              </w:rPr>
              <w:t>q</w:t>
            </w:r>
            <w:r w:rsidRPr="00DD1A20">
              <w:rPr>
                <w:iCs/>
                <w:sz w:val="20"/>
              </w:rPr>
              <w:t>’s total capacity associated with failures on its Ancillary Service Supply Responsibility for Reg-Down, for the hour.</w:t>
            </w:r>
          </w:p>
        </w:tc>
      </w:tr>
      <w:tr w:rsidR="00745851" w:rsidRPr="00DD1A20" w14:paraId="3F0B1466" w14:textId="77777777" w:rsidTr="00507A85">
        <w:tc>
          <w:tcPr>
            <w:tcW w:w="1049" w:type="pct"/>
            <w:tcBorders>
              <w:top w:val="single" w:sz="4" w:space="0" w:color="auto"/>
              <w:left w:val="single" w:sz="4" w:space="0" w:color="auto"/>
              <w:bottom w:val="single" w:sz="4" w:space="0" w:color="auto"/>
              <w:right w:val="single" w:sz="4" w:space="0" w:color="auto"/>
            </w:tcBorders>
          </w:tcPr>
          <w:p w14:paraId="5E61C4AE" w14:textId="77777777" w:rsidR="00745851" w:rsidRPr="00DD1A20" w:rsidRDefault="00745851" w:rsidP="00507A85">
            <w:pPr>
              <w:spacing w:after="60"/>
              <w:rPr>
                <w:iCs/>
                <w:sz w:val="20"/>
              </w:rPr>
            </w:pPr>
            <w:r w:rsidRPr="00DD1A20">
              <w:rPr>
                <w:sz w:val="20"/>
              </w:rPr>
              <w:t xml:space="preserve">RRDFQ </w:t>
            </w:r>
            <w:r w:rsidRPr="00DD1A20">
              <w:rPr>
                <w:i/>
                <w:sz w:val="20"/>
                <w:vertAlign w:val="subscript"/>
              </w:rPr>
              <w:t>q, rs</w:t>
            </w:r>
          </w:p>
        </w:tc>
        <w:tc>
          <w:tcPr>
            <w:tcW w:w="449" w:type="pct"/>
            <w:tcBorders>
              <w:top w:val="single" w:sz="4" w:space="0" w:color="auto"/>
              <w:left w:val="single" w:sz="4" w:space="0" w:color="auto"/>
              <w:bottom w:val="single" w:sz="4" w:space="0" w:color="auto"/>
              <w:right w:val="single" w:sz="4" w:space="0" w:color="auto"/>
            </w:tcBorders>
          </w:tcPr>
          <w:p w14:paraId="67C329BD" w14:textId="77777777" w:rsidR="00745851" w:rsidRPr="00DD1A20" w:rsidRDefault="00745851" w:rsidP="00507A85">
            <w:pPr>
              <w:spacing w:after="60"/>
              <w:rPr>
                <w:iCs/>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45253265" w14:textId="77777777" w:rsidR="00745851" w:rsidRPr="00DD1A20" w:rsidRDefault="00745851" w:rsidP="00507A85">
            <w:pPr>
              <w:spacing w:after="60"/>
              <w:rPr>
                <w:iCs/>
                <w:sz w:val="20"/>
              </w:rPr>
            </w:pPr>
            <w:r w:rsidRPr="00DD1A20">
              <w:rPr>
                <w:i/>
                <w:sz w:val="20"/>
              </w:rPr>
              <w:t>Reconfiguration Reg-Down Failure Quantity per QSE</w:t>
            </w:r>
            <w:r w:rsidRPr="00DD1A20">
              <w:rPr>
                <w:sz w:val="20"/>
              </w:rPr>
              <w:t xml:space="preserve">—QSE </w:t>
            </w:r>
            <w:r w:rsidRPr="00DD1A20">
              <w:rPr>
                <w:i/>
                <w:sz w:val="20"/>
              </w:rPr>
              <w:t>q</w:t>
            </w:r>
            <w:r w:rsidRPr="00DD1A20">
              <w:rPr>
                <w:sz w:val="20"/>
              </w:rPr>
              <w:t>’s total capacity associated with reconfiguration reductions on its Ancillary Service Supply Responsibility for Reg-Down, for the hour.</w:t>
            </w:r>
          </w:p>
        </w:tc>
      </w:tr>
      <w:tr w:rsidR="00745851" w:rsidRPr="00DD1A20" w14:paraId="25E3E46F" w14:textId="77777777" w:rsidTr="00507A85">
        <w:tc>
          <w:tcPr>
            <w:tcW w:w="1049" w:type="pct"/>
            <w:tcBorders>
              <w:top w:val="single" w:sz="4" w:space="0" w:color="auto"/>
              <w:left w:val="single" w:sz="4" w:space="0" w:color="auto"/>
              <w:bottom w:val="single" w:sz="4" w:space="0" w:color="auto"/>
              <w:right w:val="single" w:sz="4" w:space="0" w:color="auto"/>
            </w:tcBorders>
          </w:tcPr>
          <w:p w14:paraId="271A6060" w14:textId="77777777" w:rsidR="00745851" w:rsidRPr="00DD1A20" w:rsidRDefault="00745851" w:rsidP="00507A85">
            <w:pPr>
              <w:spacing w:after="60"/>
              <w:rPr>
                <w:sz w:val="20"/>
              </w:rPr>
            </w:pPr>
            <w:r w:rsidRPr="00DD1A20">
              <w:rPr>
                <w:sz w:val="20"/>
              </w:rPr>
              <w:t xml:space="preserve">RTRDP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39F01C1E" w14:textId="77777777" w:rsidR="00745851" w:rsidRPr="00DD1A20" w:rsidRDefault="00745851" w:rsidP="00507A85">
            <w:pPr>
              <w:spacing w:after="60"/>
              <w:rPr>
                <w:sz w:val="20"/>
              </w:rPr>
            </w:pPr>
            <w:r w:rsidRPr="00DD1A20">
              <w:rPr>
                <w:sz w:val="20"/>
              </w:rPr>
              <w:t>$/MWh</w:t>
            </w:r>
          </w:p>
        </w:tc>
        <w:tc>
          <w:tcPr>
            <w:tcW w:w="3502" w:type="pct"/>
            <w:tcBorders>
              <w:top w:val="single" w:sz="4" w:space="0" w:color="auto"/>
              <w:left w:val="single" w:sz="4" w:space="0" w:color="auto"/>
              <w:bottom w:val="single" w:sz="4" w:space="0" w:color="auto"/>
              <w:right w:val="single" w:sz="4" w:space="0" w:color="auto"/>
            </w:tcBorders>
          </w:tcPr>
          <w:p w14:paraId="4B736B30" w14:textId="77777777" w:rsidR="00745851" w:rsidRPr="00DD1A20" w:rsidRDefault="00745851" w:rsidP="00507A85">
            <w:pPr>
              <w:spacing w:after="60"/>
              <w:rPr>
                <w:i/>
                <w:sz w:val="20"/>
              </w:rPr>
            </w:pPr>
            <w:r w:rsidRPr="00DD1A20">
              <w:rPr>
                <w:i/>
                <w:sz w:val="20"/>
              </w:rPr>
              <w:t>Real-Time On-Line Reliability Deployment Price—</w:t>
            </w:r>
            <w:r w:rsidRPr="00DD1A20">
              <w:rPr>
                <w:sz w:val="20"/>
              </w:rPr>
              <w:t xml:space="preserve">The Real-Time price for the 15-minute Settlement Interval </w:t>
            </w:r>
            <w:r w:rsidRPr="00DD1A20">
              <w:rPr>
                <w:i/>
                <w:sz w:val="20"/>
              </w:rPr>
              <w:t>i</w:t>
            </w:r>
            <w:r w:rsidRPr="00DD1A20">
              <w:rPr>
                <w:sz w:val="20"/>
              </w:rPr>
              <w:t>, reflecting the impact of reliability deployments on energy prices that is calculated from the Real-</w:t>
            </w:r>
            <w:r>
              <w:rPr>
                <w:sz w:val="20"/>
              </w:rPr>
              <w:t>T</w:t>
            </w:r>
            <w:r w:rsidRPr="00DD1A20">
              <w:rPr>
                <w:sz w:val="20"/>
              </w:rPr>
              <w:t>ime On-Line Reliability Deployment Price Adder.</w:t>
            </w:r>
          </w:p>
        </w:tc>
      </w:tr>
      <w:tr w:rsidR="00745851" w:rsidRPr="00DD1A20" w14:paraId="52078508" w14:textId="77777777" w:rsidTr="00507A85">
        <w:tc>
          <w:tcPr>
            <w:tcW w:w="1049" w:type="pct"/>
            <w:tcBorders>
              <w:top w:val="single" w:sz="4" w:space="0" w:color="auto"/>
              <w:left w:val="single" w:sz="4" w:space="0" w:color="auto"/>
              <w:bottom w:val="single" w:sz="4" w:space="0" w:color="auto"/>
              <w:right w:val="single" w:sz="4" w:space="0" w:color="auto"/>
            </w:tcBorders>
          </w:tcPr>
          <w:p w14:paraId="32BF418E" w14:textId="77777777" w:rsidR="00745851" w:rsidRPr="00DD1A20" w:rsidRDefault="00745851" w:rsidP="00507A85">
            <w:pPr>
              <w:spacing w:after="60"/>
              <w:rPr>
                <w:sz w:val="20"/>
              </w:rPr>
            </w:pPr>
            <w:r w:rsidRPr="00DD1A20">
              <w:rPr>
                <w:sz w:val="20"/>
              </w:rPr>
              <w:t xml:space="preserve">RTRSVPOR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6E42A625" w14:textId="77777777" w:rsidR="00745851" w:rsidRPr="00DD1A20" w:rsidRDefault="00745851" w:rsidP="00507A85">
            <w:pPr>
              <w:spacing w:after="60"/>
              <w:rPr>
                <w:sz w:val="20"/>
              </w:rPr>
            </w:pPr>
            <w:r w:rsidRPr="00DD1A20">
              <w:rPr>
                <w:sz w:val="20"/>
              </w:rPr>
              <w:t>$/MWh</w:t>
            </w:r>
          </w:p>
        </w:tc>
        <w:tc>
          <w:tcPr>
            <w:tcW w:w="3502" w:type="pct"/>
            <w:tcBorders>
              <w:top w:val="single" w:sz="4" w:space="0" w:color="auto"/>
              <w:left w:val="single" w:sz="4" w:space="0" w:color="auto"/>
              <w:bottom w:val="single" w:sz="4" w:space="0" w:color="auto"/>
              <w:right w:val="single" w:sz="4" w:space="0" w:color="auto"/>
            </w:tcBorders>
          </w:tcPr>
          <w:p w14:paraId="0DECD72D" w14:textId="77777777" w:rsidR="00745851" w:rsidRPr="00DD1A20" w:rsidRDefault="00745851" w:rsidP="00507A85">
            <w:pPr>
              <w:spacing w:after="60"/>
              <w:rPr>
                <w:i/>
                <w:sz w:val="20"/>
              </w:rPr>
            </w:pPr>
            <w:r w:rsidRPr="00DD1A20">
              <w:rPr>
                <w:i/>
                <w:iCs/>
                <w:sz w:val="20"/>
              </w:rPr>
              <w:t>Real-Time Reserve Price for On-Line Reserves—</w:t>
            </w:r>
            <w:r w:rsidRPr="00DD1A20">
              <w:rPr>
                <w:iCs/>
                <w:sz w:val="20"/>
              </w:rPr>
              <w:t xml:space="preserve">The Real-Time Reserve Price for On-Line Reserves for the 15-minute Settlement Interval </w:t>
            </w:r>
            <w:r w:rsidRPr="00DD1A20">
              <w:rPr>
                <w:i/>
                <w:iCs/>
                <w:sz w:val="20"/>
              </w:rPr>
              <w:t>i</w:t>
            </w:r>
            <w:r w:rsidRPr="00DD1A20">
              <w:rPr>
                <w:iCs/>
                <w:sz w:val="20"/>
              </w:rPr>
              <w:t>.</w:t>
            </w:r>
          </w:p>
        </w:tc>
      </w:tr>
      <w:tr w:rsidR="00745851" w:rsidRPr="00DD1A20" w14:paraId="3CAFAD96" w14:textId="77777777" w:rsidTr="00507A85">
        <w:tc>
          <w:tcPr>
            <w:tcW w:w="1049" w:type="pct"/>
            <w:tcBorders>
              <w:top w:val="single" w:sz="4" w:space="0" w:color="auto"/>
              <w:left w:val="single" w:sz="4" w:space="0" w:color="auto"/>
              <w:bottom w:val="single" w:sz="4" w:space="0" w:color="auto"/>
              <w:right w:val="single" w:sz="4" w:space="0" w:color="auto"/>
            </w:tcBorders>
          </w:tcPr>
          <w:p w14:paraId="058759C7" w14:textId="77777777" w:rsidR="00745851" w:rsidRPr="00DD1A20" w:rsidRDefault="00745851" w:rsidP="00507A85">
            <w:pPr>
              <w:spacing w:after="60"/>
              <w:rPr>
                <w:sz w:val="20"/>
              </w:rPr>
            </w:pPr>
            <w:r w:rsidRPr="00DD1A20">
              <w:rPr>
                <w:iCs/>
                <w:sz w:val="20"/>
              </w:rPr>
              <w:t>AVGRTASIP</w:t>
            </w:r>
          </w:p>
        </w:tc>
        <w:tc>
          <w:tcPr>
            <w:tcW w:w="449" w:type="pct"/>
            <w:tcBorders>
              <w:top w:val="single" w:sz="4" w:space="0" w:color="auto"/>
              <w:left w:val="single" w:sz="4" w:space="0" w:color="auto"/>
              <w:bottom w:val="single" w:sz="4" w:space="0" w:color="auto"/>
              <w:right w:val="single" w:sz="4" w:space="0" w:color="auto"/>
            </w:tcBorders>
          </w:tcPr>
          <w:p w14:paraId="348BE0EA" w14:textId="77777777" w:rsidR="00745851" w:rsidRPr="00DD1A20" w:rsidRDefault="00745851" w:rsidP="00507A85">
            <w:pPr>
              <w:spacing w:after="60"/>
              <w:rPr>
                <w:sz w:val="20"/>
              </w:rPr>
            </w:pPr>
            <w:r w:rsidRPr="00DD1A20">
              <w:rPr>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75403EA1" w14:textId="77777777" w:rsidR="00745851" w:rsidRPr="00DD1A20" w:rsidRDefault="00745851" w:rsidP="00507A85">
            <w:pPr>
              <w:autoSpaceDE w:val="0"/>
              <w:autoSpaceDN w:val="0"/>
              <w:adjustRightInd w:val="0"/>
              <w:rPr>
                <w:i/>
                <w:iCs/>
                <w:color w:val="000000"/>
                <w:sz w:val="20"/>
              </w:rPr>
            </w:pPr>
            <w:r w:rsidRPr="00DD1A20">
              <w:rPr>
                <w:i/>
                <w:color w:val="000000"/>
                <w:sz w:val="20"/>
              </w:rPr>
              <w:t xml:space="preserve">Average Real-Time </w:t>
            </w:r>
            <w:r w:rsidRPr="00DD1A20">
              <w:rPr>
                <w:i/>
                <w:iCs/>
                <w:color w:val="000000"/>
                <w:sz w:val="20"/>
              </w:rPr>
              <w:t xml:space="preserve">Ancillary Service Imbalance </w:t>
            </w:r>
            <w:r w:rsidRPr="00DD1A20">
              <w:rPr>
                <w:i/>
                <w:color w:val="000000"/>
                <w:sz w:val="20"/>
              </w:rPr>
              <w:t>Price</w:t>
            </w:r>
            <w:r w:rsidRPr="00DD1A20">
              <w:rPr>
                <w:color w:val="000000"/>
                <w:sz w:val="20"/>
              </w:rPr>
              <w:t>—</w:t>
            </w:r>
            <w:r w:rsidRPr="00DD1A20">
              <w:rPr>
                <w:iCs/>
                <w:color w:val="000000"/>
                <w:sz w:val="20"/>
              </w:rPr>
              <w:t>T</w:t>
            </w:r>
            <w:r w:rsidRPr="00DD1A20">
              <w:rPr>
                <w:color w:val="000000"/>
                <w:sz w:val="20"/>
              </w:rPr>
              <w:t>he average of the sum of the Real-Time On-Line Reliability Deployment Price and the Real-Time Reserve Price for On-Line Reserves used in the calculation of Real</w:t>
            </w:r>
            <w:r>
              <w:rPr>
                <w:color w:val="000000"/>
                <w:sz w:val="20"/>
              </w:rPr>
              <w:t>-</w:t>
            </w:r>
            <w:r w:rsidRPr="00DD1A20">
              <w:rPr>
                <w:color w:val="000000"/>
                <w:sz w:val="20"/>
              </w:rPr>
              <w:t>Time Ancillary Service Imbalance Amount per Section 6.7.5 for the Operating Hour.</w:t>
            </w:r>
          </w:p>
        </w:tc>
      </w:tr>
      <w:tr w:rsidR="00745851" w:rsidRPr="00DD1A20" w14:paraId="0386525B" w14:textId="77777777" w:rsidTr="00507A85">
        <w:tc>
          <w:tcPr>
            <w:tcW w:w="1049" w:type="pct"/>
            <w:tcBorders>
              <w:top w:val="single" w:sz="4" w:space="0" w:color="auto"/>
              <w:left w:val="single" w:sz="4" w:space="0" w:color="auto"/>
              <w:bottom w:val="single" w:sz="4" w:space="0" w:color="auto"/>
              <w:right w:val="single" w:sz="4" w:space="0" w:color="auto"/>
            </w:tcBorders>
          </w:tcPr>
          <w:p w14:paraId="3AA31A26" w14:textId="77777777" w:rsidR="00745851" w:rsidRPr="00DD1A20" w:rsidRDefault="00745851" w:rsidP="00507A85">
            <w:pPr>
              <w:spacing w:after="60"/>
              <w:rPr>
                <w:iCs/>
                <w:sz w:val="20"/>
              </w:rPr>
            </w:pPr>
            <w:r w:rsidRPr="00DD1A20">
              <w:rPr>
                <w:bCs/>
                <w:iCs/>
                <w:sz w:val="20"/>
                <w:lang w:val="fr-FR"/>
              </w:rPr>
              <w:t xml:space="preserve">SARDQ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1E2F08A9"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0D6C019B" w14:textId="77777777" w:rsidR="00745851" w:rsidRPr="00DD1A20" w:rsidRDefault="00745851" w:rsidP="00507A85">
            <w:pPr>
              <w:autoSpaceDE w:val="0"/>
              <w:autoSpaceDN w:val="0"/>
              <w:adjustRightInd w:val="0"/>
              <w:rPr>
                <w:i/>
                <w:color w:val="000000"/>
                <w:sz w:val="20"/>
              </w:rPr>
            </w:pPr>
            <w:r w:rsidRPr="00DD1A20">
              <w:rPr>
                <w:i/>
                <w:color w:val="000000"/>
                <w:sz w:val="20"/>
              </w:rPr>
              <w:t>Total Self-Arranged Reg-Down Quantity per QSE for all markets</w:t>
            </w:r>
            <w:r w:rsidRPr="00DD1A20">
              <w:rPr>
                <w:color w:val="000000"/>
                <w:sz w:val="20"/>
              </w:rPr>
              <w:t xml:space="preserve">—The sum of all self-arranged Reg-Down quantities submitted by QSE </w:t>
            </w:r>
            <w:r w:rsidRPr="00DD1A20">
              <w:rPr>
                <w:i/>
                <w:color w:val="000000"/>
                <w:sz w:val="20"/>
              </w:rPr>
              <w:t>q</w:t>
            </w:r>
            <w:r w:rsidRPr="00DD1A20">
              <w:rPr>
                <w:color w:val="000000"/>
                <w:sz w:val="20"/>
              </w:rPr>
              <w:t xml:space="preserve"> for DAM and all SASMs.</w:t>
            </w:r>
          </w:p>
        </w:tc>
      </w:tr>
      <w:tr w:rsidR="00745851" w:rsidRPr="00DD1A20" w14:paraId="3C233424" w14:textId="77777777" w:rsidTr="00507A85">
        <w:tc>
          <w:tcPr>
            <w:tcW w:w="1049" w:type="pct"/>
            <w:tcBorders>
              <w:top w:val="single" w:sz="4" w:space="0" w:color="auto"/>
              <w:left w:val="single" w:sz="4" w:space="0" w:color="auto"/>
              <w:bottom w:val="single" w:sz="4" w:space="0" w:color="auto"/>
              <w:right w:val="single" w:sz="4" w:space="0" w:color="auto"/>
            </w:tcBorders>
          </w:tcPr>
          <w:p w14:paraId="531225A1" w14:textId="77777777" w:rsidR="00745851" w:rsidRPr="00DD1A20" w:rsidRDefault="00745851" w:rsidP="00507A85">
            <w:pPr>
              <w:spacing w:after="60"/>
              <w:rPr>
                <w:iCs/>
                <w:sz w:val="20"/>
              </w:rPr>
            </w:pPr>
            <w:r w:rsidRPr="00DD1A20">
              <w:rPr>
                <w:bCs/>
                <w:sz w:val="20"/>
              </w:rPr>
              <w:t>RDTRSQ</w:t>
            </w:r>
            <w:r w:rsidRPr="00DD1A20">
              <w:rPr>
                <w:bCs/>
                <w:i/>
                <w:iCs/>
                <w:sz w:val="20"/>
                <w:vertAlign w:val="subscript"/>
                <w:lang w:val="fr-FR"/>
              </w:rPr>
              <w:t xml:space="preserve"> q</w:t>
            </w:r>
          </w:p>
        </w:tc>
        <w:tc>
          <w:tcPr>
            <w:tcW w:w="449" w:type="pct"/>
            <w:tcBorders>
              <w:top w:val="single" w:sz="4" w:space="0" w:color="auto"/>
              <w:left w:val="single" w:sz="4" w:space="0" w:color="auto"/>
              <w:bottom w:val="single" w:sz="4" w:space="0" w:color="auto"/>
              <w:right w:val="single" w:sz="4" w:space="0" w:color="auto"/>
            </w:tcBorders>
          </w:tcPr>
          <w:p w14:paraId="7A3A70A5"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2F005E02" w14:textId="77777777" w:rsidR="00745851" w:rsidRPr="00DD1A20" w:rsidRDefault="00745851" w:rsidP="00507A85">
            <w:pPr>
              <w:autoSpaceDE w:val="0"/>
              <w:autoSpaceDN w:val="0"/>
              <w:adjustRightInd w:val="0"/>
              <w:rPr>
                <w:i/>
                <w:color w:val="000000"/>
                <w:sz w:val="20"/>
              </w:rPr>
            </w:pPr>
            <w:r w:rsidRPr="00DD1A20">
              <w:rPr>
                <w:i/>
                <w:iCs/>
                <w:color w:val="000000"/>
                <w:sz w:val="20"/>
              </w:rPr>
              <w:t>Reg-Down Trade Sale per QSE</w:t>
            </w:r>
            <w:r w:rsidRPr="00DD1A20">
              <w:rPr>
                <w:color w:val="000000"/>
                <w:sz w:val="20"/>
              </w:rPr>
              <w:t xml:space="preserve">—QSE </w:t>
            </w:r>
            <w:r w:rsidRPr="00DD1A20">
              <w:rPr>
                <w:i/>
                <w:color w:val="000000"/>
                <w:sz w:val="20"/>
              </w:rPr>
              <w:t>q</w:t>
            </w:r>
            <w:r w:rsidRPr="00DD1A20">
              <w:rPr>
                <w:color w:val="000000"/>
                <w:sz w:val="20"/>
              </w:rPr>
              <w:t>’s total time-weighted average capacity Trade Sale for Reg-Down, for the hour.  The time-weighted average value is rounded to 0.1 MW.</w:t>
            </w:r>
          </w:p>
        </w:tc>
      </w:tr>
      <w:tr w:rsidR="00745851" w:rsidRPr="00DD1A20" w14:paraId="6EC1E5C8" w14:textId="77777777" w:rsidTr="00507A85">
        <w:tc>
          <w:tcPr>
            <w:tcW w:w="1049" w:type="pct"/>
            <w:tcBorders>
              <w:top w:val="single" w:sz="4" w:space="0" w:color="auto"/>
              <w:left w:val="single" w:sz="4" w:space="0" w:color="auto"/>
              <w:bottom w:val="single" w:sz="4" w:space="0" w:color="auto"/>
              <w:right w:val="single" w:sz="4" w:space="0" w:color="auto"/>
            </w:tcBorders>
          </w:tcPr>
          <w:p w14:paraId="2D941282" w14:textId="77777777" w:rsidR="00745851" w:rsidRPr="00DD1A20" w:rsidRDefault="00745851" w:rsidP="00507A85">
            <w:pPr>
              <w:spacing w:after="60"/>
              <w:rPr>
                <w:iCs/>
                <w:sz w:val="20"/>
              </w:rPr>
            </w:pPr>
            <w:r w:rsidRPr="00DD1A20">
              <w:rPr>
                <w:bCs/>
                <w:iCs/>
                <w:sz w:val="20"/>
                <w:lang w:val="es-ES"/>
              </w:rPr>
              <w:t xml:space="preserve">RTPCRD </w:t>
            </w:r>
            <w:r w:rsidRPr="00DD1A20">
              <w:rPr>
                <w:bCs/>
                <w:i/>
                <w:iCs/>
                <w:sz w:val="20"/>
                <w:vertAlign w:val="subscript"/>
                <w:lang w:val="es-ES"/>
              </w:rPr>
              <w:t>q, m</w:t>
            </w:r>
          </w:p>
        </w:tc>
        <w:tc>
          <w:tcPr>
            <w:tcW w:w="449" w:type="pct"/>
            <w:tcBorders>
              <w:top w:val="single" w:sz="4" w:space="0" w:color="auto"/>
              <w:left w:val="single" w:sz="4" w:space="0" w:color="auto"/>
              <w:bottom w:val="single" w:sz="4" w:space="0" w:color="auto"/>
              <w:right w:val="single" w:sz="4" w:space="0" w:color="auto"/>
            </w:tcBorders>
          </w:tcPr>
          <w:p w14:paraId="2496DF5E"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4B03E054" w14:textId="77777777" w:rsidR="00745851" w:rsidRPr="00DD1A20" w:rsidRDefault="00745851" w:rsidP="00507A85">
            <w:pPr>
              <w:autoSpaceDE w:val="0"/>
              <w:autoSpaceDN w:val="0"/>
              <w:adjustRightInd w:val="0"/>
              <w:rPr>
                <w:i/>
                <w:color w:val="000000"/>
                <w:sz w:val="20"/>
              </w:rPr>
            </w:pPr>
            <w:r w:rsidRPr="00DD1A20">
              <w:rPr>
                <w:i/>
                <w:color w:val="000000"/>
                <w:sz w:val="20"/>
              </w:rPr>
              <w:t>Procured Capacity for Reg-Down by QSE by market—</w:t>
            </w:r>
            <w:r w:rsidRPr="00DD1A20">
              <w:rPr>
                <w:color w:val="000000"/>
                <w:sz w:val="20"/>
              </w:rPr>
              <w:t xml:space="preserve">The MW portion of QSE </w:t>
            </w:r>
            <w:r w:rsidRPr="00DD1A20">
              <w:rPr>
                <w:i/>
                <w:color w:val="000000"/>
                <w:sz w:val="20"/>
              </w:rPr>
              <w:t>q</w:t>
            </w:r>
            <w:r w:rsidRPr="00DD1A20">
              <w:rPr>
                <w:color w:val="000000"/>
                <w:sz w:val="20"/>
              </w:rPr>
              <w:t xml:space="preserve">’s Ancillary Service Offers cleared in the market </w:t>
            </w:r>
            <w:r w:rsidRPr="00DD1A20">
              <w:rPr>
                <w:i/>
                <w:color w:val="000000"/>
                <w:sz w:val="20"/>
              </w:rPr>
              <w:t>m</w:t>
            </w:r>
            <w:r w:rsidRPr="00DD1A20">
              <w:rPr>
                <w:color w:val="000000"/>
                <w:sz w:val="20"/>
              </w:rPr>
              <w:t xml:space="preserve"> (SASM or RSASM) to provide Reg-Down, for the hour.</w:t>
            </w:r>
          </w:p>
        </w:tc>
      </w:tr>
      <w:tr w:rsidR="00745851" w:rsidRPr="00DD1A20" w14:paraId="2FF4A186" w14:textId="77777777" w:rsidTr="00507A85">
        <w:tc>
          <w:tcPr>
            <w:tcW w:w="1049" w:type="pct"/>
            <w:tcBorders>
              <w:top w:val="single" w:sz="4" w:space="0" w:color="auto"/>
              <w:left w:val="single" w:sz="4" w:space="0" w:color="auto"/>
              <w:bottom w:val="single" w:sz="4" w:space="0" w:color="auto"/>
              <w:right w:val="single" w:sz="4" w:space="0" w:color="auto"/>
            </w:tcBorders>
          </w:tcPr>
          <w:p w14:paraId="1F991FBF" w14:textId="77777777" w:rsidR="00745851" w:rsidRPr="00DD1A20" w:rsidRDefault="00745851" w:rsidP="00507A85">
            <w:pPr>
              <w:spacing w:after="60"/>
              <w:rPr>
                <w:iCs/>
                <w:sz w:val="20"/>
              </w:rPr>
            </w:pPr>
            <w:r w:rsidRPr="00DD1A20">
              <w:rPr>
                <w:bCs/>
                <w:iCs/>
                <w:sz w:val="20"/>
                <w:lang w:val="es-ES"/>
              </w:rPr>
              <w:t xml:space="preserve">PCRD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5063A00D"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18FFFF5F" w14:textId="77777777" w:rsidR="00745851" w:rsidRPr="00DD1A20" w:rsidRDefault="00745851" w:rsidP="00507A85">
            <w:pPr>
              <w:autoSpaceDE w:val="0"/>
              <w:autoSpaceDN w:val="0"/>
              <w:adjustRightInd w:val="0"/>
              <w:rPr>
                <w:i/>
                <w:color w:val="000000"/>
                <w:sz w:val="20"/>
              </w:rPr>
            </w:pPr>
            <w:r w:rsidRPr="00DD1A20">
              <w:rPr>
                <w:i/>
                <w:color w:val="000000"/>
                <w:sz w:val="20"/>
              </w:rPr>
              <w:t>Procured Capacity for Reg-Down per QSE in DAM</w:t>
            </w:r>
            <w:r w:rsidRPr="00DD1A20">
              <w:rPr>
                <w:color w:val="000000"/>
                <w:sz w:val="20"/>
              </w:rPr>
              <w:t xml:space="preserve">—The total Reg-Down capacity quantity awarded to QSE </w:t>
            </w:r>
            <w:r w:rsidRPr="00DD1A20">
              <w:rPr>
                <w:i/>
                <w:color w:val="000000"/>
                <w:sz w:val="20"/>
              </w:rPr>
              <w:t>q</w:t>
            </w:r>
            <w:r w:rsidRPr="00DD1A20">
              <w:rPr>
                <w:color w:val="000000"/>
                <w:sz w:val="20"/>
              </w:rPr>
              <w:t xml:space="preserve"> in the DAM for all the Resources represented by the QSE, for the hour.</w:t>
            </w:r>
          </w:p>
        </w:tc>
      </w:tr>
      <w:tr w:rsidR="00745851" w:rsidRPr="00DD1A20" w14:paraId="4A274FD5" w14:textId="77777777" w:rsidTr="00507A85">
        <w:tc>
          <w:tcPr>
            <w:tcW w:w="1049" w:type="pct"/>
            <w:tcBorders>
              <w:top w:val="single" w:sz="4" w:space="0" w:color="auto"/>
              <w:left w:val="single" w:sz="4" w:space="0" w:color="auto"/>
              <w:bottom w:val="single" w:sz="4" w:space="0" w:color="auto"/>
              <w:right w:val="single" w:sz="4" w:space="0" w:color="auto"/>
            </w:tcBorders>
          </w:tcPr>
          <w:p w14:paraId="56E56C7E" w14:textId="77777777" w:rsidR="00745851" w:rsidRPr="00DD1A20" w:rsidRDefault="00745851" w:rsidP="00507A85">
            <w:pPr>
              <w:spacing w:after="60"/>
              <w:rPr>
                <w:iCs/>
                <w:sz w:val="20"/>
              </w:rPr>
            </w:pPr>
            <w:r w:rsidRPr="00DD1A20">
              <w:rPr>
                <w:bCs/>
                <w:iCs/>
                <w:sz w:val="20"/>
                <w:lang w:val="es-ES"/>
              </w:rPr>
              <w:t xml:space="preserve">RUCRDQ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3A7FFD4F"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5B2589E0" w14:textId="77777777" w:rsidR="00745851" w:rsidRPr="00DD1A20" w:rsidRDefault="00745851" w:rsidP="00507A85">
            <w:pPr>
              <w:autoSpaceDE w:val="0"/>
              <w:autoSpaceDN w:val="0"/>
              <w:adjustRightInd w:val="0"/>
              <w:rPr>
                <w:i/>
                <w:color w:val="000000"/>
                <w:sz w:val="20"/>
              </w:rPr>
            </w:pPr>
            <w:r w:rsidRPr="00DD1A20">
              <w:rPr>
                <w:i/>
                <w:iCs/>
                <w:color w:val="000000"/>
                <w:sz w:val="20"/>
              </w:rPr>
              <w:t>RUC-committed for Reg-Down per QSE</w:t>
            </w:r>
            <w:r w:rsidRPr="00DD1A20">
              <w:rPr>
                <w:color w:val="000000"/>
                <w:sz w:val="20"/>
              </w:rPr>
              <w:t xml:space="preserve">—The total quantity of Reg-Down committed by the RUC Process for </w:t>
            </w:r>
            <w:r w:rsidRPr="00DD1A20">
              <w:rPr>
                <w:iCs/>
                <w:color w:val="000000"/>
                <w:sz w:val="20"/>
              </w:rPr>
              <w:t xml:space="preserve">Resources represented by QSE </w:t>
            </w:r>
            <w:r w:rsidRPr="00DD1A20">
              <w:rPr>
                <w:i/>
                <w:color w:val="000000"/>
                <w:sz w:val="20"/>
              </w:rPr>
              <w:t>q</w:t>
            </w:r>
            <w:r w:rsidRPr="00DD1A20">
              <w:rPr>
                <w:iCs/>
                <w:color w:val="000000"/>
                <w:sz w:val="20"/>
              </w:rPr>
              <w:t>, for the hour.</w:t>
            </w:r>
          </w:p>
        </w:tc>
      </w:tr>
      <w:tr w:rsidR="00745851" w:rsidRPr="00DD1A20" w14:paraId="263BD251" w14:textId="77777777" w:rsidTr="00507A85">
        <w:tc>
          <w:tcPr>
            <w:tcW w:w="1049" w:type="pct"/>
            <w:tcBorders>
              <w:top w:val="single" w:sz="4" w:space="0" w:color="auto"/>
              <w:left w:val="single" w:sz="4" w:space="0" w:color="auto"/>
              <w:bottom w:val="single" w:sz="4" w:space="0" w:color="auto"/>
              <w:right w:val="single" w:sz="4" w:space="0" w:color="auto"/>
            </w:tcBorders>
          </w:tcPr>
          <w:p w14:paraId="612E8913" w14:textId="77777777" w:rsidR="00745851" w:rsidRPr="00DD1A20" w:rsidRDefault="00745851" w:rsidP="00507A85">
            <w:pPr>
              <w:spacing w:after="60"/>
              <w:rPr>
                <w:iCs/>
                <w:sz w:val="20"/>
              </w:rPr>
            </w:pPr>
            <w:r w:rsidRPr="00DD1A20">
              <w:rPr>
                <w:bCs/>
                <w:sz w:val="20"/>
              </w:rPr>
              <w:t>RDTRPQ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514D90EB"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27BD5A3E" w14:textId="77777777" w:rsidR="00745851" w:rsidRPr="00DD1A20" w:rsidRDefault="00745851" w:rsidP="00507A85">
            <w:pPr>
              <w:autoSpaceDE w:val="0"/>
              <w:autoSpaceDN w:val="0"/>
              <w:adjustRightInd w:val="0"/>
              <w:rPr>
                <w:i/>
                <w:color w:val="000000"/>
                <w:sz w:val="20"/>
              </w:rPr>
            </w:pPr>
            <w:r w:rsidRPr="00DD1A20">
              <w:rPr>
                <w:i/>
                <w:iCs/>
                <w:color w:val="000000"/>
                <w:sz w:val="20"/>
              </w:rPr>
              <w:t>Reg-Down Trade Purchases per QSE</w:t>
            </w:r>
            <w:r w:rsidRPr="00DD1A20">
              <w:rPr>
                <w:color w:val="000000"/>
                <w:sz w:val="20"/>
              </w:rPr>
              <w:t xml:space="preserve">—QSE </w:t>
            </w:r>
            <w:r w:rsidRPr="00DD1A20">
              <w:rPr>
                <w:i/>
                <w:color w:val="000000"/>
                <w:sz w:val="20"/>
              </w:rPr>
              <w:t>q</w:t>
            </w:r>
            <w:r w:rsidRPr="00DD1A20">
              <w:rPr>
                <w:color w:val="000000"/>
                <w:sz w:val="20"/>
              </w:rPr>
              <w:t>’s total time-weighted average capacity Trade Purchase</w:t>
            </w:r>
            <w:r w:rsidRPr="00DD1A20">
              <w:rPr>
                <w:i/>
                <w:color w:val="000000"/>
                <w:sz w:val="20"/>
              </w:rPr>
              <w:t xml:space="preserve"> </w:t>
            </w:r>
            <w:r w:rsidRPr="00DD1A20">
              <w:rPr>
                <w:color w:val="000000"/>
                <w:sz w:val="20"/>
              </w:rPr>
              <w:t>for Reg-Down, for the hour.  The time-weighted average value is rounded to 0.1 MW.</w:t>
            </w:r>
          </w:p>
        </w:tc>
      </w:tr>
      <w:tr w:rsidR="00745851" w:rsidRPr="00DD1A20" w14:paraId="36A04DB3" w14:textId="77777777" w:rsidTr="00507A85">
        <w:tc>
          <w:tcPr>
            <w:tcW w:w="1049" w:type="pct"/>
            <w:tcBorders>
              <w:top w:val="single" w:sz="4" w:space="0" w:color="auto"/>
              <w:left w:val="single" w:sz="4" w:space="0" w:color="auto"/>
              <w:bottom w:val="single" w:sz="4" w:space="0" w:color="auto"/>
              <w:right w:val="single" w:sz="4" w:space="0" w:color="auto"/>
            </w:tcBorders>
          </w:tcPr>
          <w:p w14:paraId="60004670" w14:textId="77777777" w:rsidR="00745851" w:rsidRPr="00DD1A20" w:rsidRDefault="00745851" w:rsidP="00507A85">
            <w:pPr>
              <w:spacing w:after="60"/>
              <w:rPr>
                <w:iCs/>
                <w:sz w:val="20"/>
              </w:rPr>
            </w:pPr>
            <w:r w:rsidRPr="00DD1A20">
              <w:rPr>
                <w:bCs/>
                <w:iCs/>
                <w:sz w:val="20"/>
                <w:lang w:val="es-ES"/>
              </w:rPr>
              <w:t>RDINFQ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059B2ECD"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2D5F2878" w14:textId="77777777" w:rsidR="00745851" w:rsidRPr="00DD1A20" w:rsidRDefault="00745851" w:rsidP="00507A85">
            <w:pPr>
              <w:autoSpaceDE w:val="0"/>
              <w:autoSpaceDN w:val="0"/>
              <w:adjustRightInd w:val="0"/>
              <w:rPr>
                <w:i/>
                <w:color w:val="000000"/>
                <w:sz w:val="20"/>
              </w:rPr>
            </w:pPr>
            <w:r w:rsidRPr="00DD1A20">
              <w:rPr>
                <w:i/>
                <w:color w:val="000000"/>
                <w:sz w:val="20"/>
              </w:rPr>
              <w:t>Reg-Down Infeasible Quantity per QSE—</w:t>
            </w:r>
            <w:r w:rsidRPr="00DD1A20">
              <w:rPr>
                <w:color w:val="000000"/>
                <w:sz w:val="20"/>
              </w:rPr>
              <w:t xml:space="preserve">QSE </w:t>
            </w:r>
            <w:r w:rsidRPr="00DD1A20">
              <w:rPr>
                <w:i/>
                <w:color w:val="000000"/>
                <w:sz w:val="20"/>
              </w:rPr>
              <w:t>q</w:t>
            </w:r>
            <w:r w:rsidRPr="00DD1A20">
              <w:rPr>
                <w:color w:val="000000"/>
                <w:sz w:val="20"/>
              </w:rPr>
              <w:t>’s total capacity associated with infeasible</w:t>
            </w:r>
            <w:r w:rsidRPr="00DD1A20">
              <w:rPr>
                <w:i/>
                <w:color w:val="000000"/>
                <w:sz w:val="20"/>
              </w:rPr>
              <w:t xml:space="preserve"> </w:t>
            </w:r>
            <w:r w:rsidRPr="00DD1A20">
              <w:rPr>
                <w:color w:val="000000"/>
                <w:sz w:val="20"/>
              </w:rPr>
              <w:t>Ancillary Service Supply Responsibilities</w:t>
            </w:r>
            <w:r w:rsidRPr="00DD1A20">
              <w:rPr>
                <w:i/>
                <w:color w:val="000000"/>
                <w:sz w:val="20"/>
              </w:rPr>
              <w:t xml:space="preserve"> </w:t>
            </w:r>
            <w:r w:rsidRPr="00DD1A20">
              <w:rPr>
                <w:color w:val="000000"/>
                <w:sz w:val="20"/>
              </w:rPr>
              <w:t>for Reg-Down, for the hour.</w:t>
            </w:r>
          </w:p>
        </w:tc>
      </w:tr>
      <w:tr w:rsidR="00745851" w:rsidRPr="00DD1A20" w14:paraId="1C4793D5" w14:textId="77777777" w:rsidTr="00507A85">
        <w:tc>
          <w:tcPr>
            <w:tcW w:w="1049" w:type="pct"/>
            <w:tcBorders>
              <w:top w:val="single" w:sz="4" w:space="0" w:color="auto"/>
              <w:left w:val="single" w:sz="4" w:space="0" w:color="auto"/>
              <w:bottom w:val="single" w:sz="4" w:space="0" w:color="auto"/>
              <w:right w:val="single" w:sz="4" w:space="0" w:color="auto"/>
            </w:tcBorders>
          </w:tcPr>
          <w:p w14:paraId="3ED19828" w14:textId="77777777" w:rsidR="00745851" w:rsidRPr="00DD1A20" w:rsidRDefault="00745851" w:rsidP="00507A85">
            <w:pPr>
              <w:spacing w:after="60"/>
              <w:rPr>
                <w:iCs/>
                <w:sz w:val="20"/>
              </w:rPr>
            </w:pPr>
            <w:r w:rsidRPr="00DD1A20">
              <w:rPr>
                <w:bCs/>
                <w:sz w:val="20"/>
              </w:rPr>
              <w:t>TELRDR</w:t>
            </w:r>
            <w:r>
              <w:rPr>
                <w:bCs/>
                <w:i/>
                <w:iCs/>
                <w:sz w:val="20"/>
                <w:vertAlign w:val="subscript"/>
                <w:lang w:val="es-ES"/>
              </w:rPr>
              <w:t xml:space="preserve"> </w:t>
            </w:r>
            <w:r w:rsidRPr="00DD1A20">
              <w:rPr>
                <w:bCs/>
                <w:i/>
                <w:iCs/>
                <w:sz w:val="20"/>
                <w:vertAlign w:val="subscript"/>
                <w:lang w:val="es-ES"/>
              </w:rPr>
              <w:t>q, r</w:t>
            </w:r>
          </w:p>
        </w:tc>
        <w:tc>
          <w:tcPr>
            <w:tcW w:w="449" w:type="pct"/>
            <w:tcBorders>
              <w:top w:val="single" w:sz="4" w:space="0" w:color="auto"/>
              <w:left w:val="single" w:sz="4" w:space="0" w:color="auto"/>
              <w:bottom w:val="single" w:sz="4" w:space="0" w:color="auto"/>
              <w:right w:val="single" w:sz="4" w:space="0" w:color="auto"/>
            </w:tcBorders>
          </w:tcPr>
          <w:p w14:paraId="09C6FEFE"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3230FC30" w14:textId="77777777" w:rsidR="00745851" w:rsidRPr="00DD1A20" w:rsidRDefault="00745851" w:rsidP="00507A85">
            <w:pPr>
              <w:autoSpaceDE w:val="0"/>
              <w:autoSpaceDN w:val="0"/>
              <w:adjustRightInd w:val="0"/>
              <w:rPr>
                <w:i/>
                <w:color w:val="000000"/>
                <w:sz w:val="20"/>
              </w:rPr>
            </w:pPr>
            <w:r w:rsidRPr="00DD1A20">
              <w:rPr>
                <w:i/>
                <w:iCs/>
                <w:color w:val="000000"/>
                <w:sz w:val="20"/>
              </w:rPr>
              <w:t>Telemetered Reg-Down Responsibility for the Resource</w:t>
            </w:r>
            <w:r w:rsidRPr="00DD1A20">
              <w:rPr>
                <w:color w:val="000000"/>
                <w:sz w:val="20"/>
              </w:rPr>
              <w:t xml:space="preserve">—The time-weighted average telemetered Reg-Down </w:t>
            </w:r>
            <w:r w:rsidRPr="00DD1A20">
              <w:rPr>
                <w:color w:val="000000"/>
                <w:sz w:val="20"/>
                <w:szCs w:val="18"/>
              </w:rPr>
              <w:t xml:space="preserve">Ancillary Service Resource </w:t>
            </w:r>
            <w:r w:rsidRPr="00DD1A20">
              <w:rPr>
                <w:color w:val="000000"/>
                <w:sz w:val="20"/>
              </w:rPr>
              <w:t xml:space="preserve">Responsibility for the Resource </w:t>
            </w:r>
            <w:r w:rsidRPr="00DD1A20">
              <w:rPr>
                <w:i/>
                <w:iCs/>
                <w:color w:val="000000"/>
                <w:sz w:val="20"/>
              </w:rPr>
              <w:t>r</w:t>
            </w:r>
            <w:r w:rsidRPr="00DD1A20">
              <w:rPr>
                <w:color w:val="000000"/>
                <w:sz w:val="20"/>
              </w:rPr>
              <w:t xml:space="preserve"> that is qualified to provide Reg-Down Ancillary Service, </w:t>
            </w:r>
            <w:r w:rsidRPr="00DD1A20">
              <w:rPr>
                <w:color w:val="000000"/>
                <w:sz w:val="20"/>
              </w:rPr>
              <w:lastRenderedPageBreak/>
              <w:t xml:space="preserve">represented by QSE </w:t>
            </w:r>
            <w:r w:rsidRPr="00DD1A20">
              <w:rPr>
                <w:i/>
                <w:iCs/>
                <w:color w:val="000000"/>
                <w:sz w:val="20"/>
              </w:rPr>
              <w:t>q,</w:t>
            </w:r>
            <w:r w:rsidRPr="00DD1A20">
              <w:rPr>
                <w:color w:val="000000"/>
                <w:sz w:val="20"/>
              </w:rPr>
              <w:t xml:space="preserve"> for the hour.  The time-weighted average value is rounded to 0.1 MW.</w:t>
            </w:r>
          </w:p>
        </w:tc>
      </w:tr>
      <w:tr w:rsidR="00745851" w:rsidRPr="00DD1A20" w14:paraId="081DB928" w14:textId="77777777" w:rsidTr="00507A85">
        <w:tc>
          <w:tcPr>
            <w:tcW w:w="1049" w:type="pct"/>
            <w:tcBorders>
              <w:top w:val="single" w:sz="4" w:space="0" w:color="auto"/>
              <w:left w:val="single" w:sz="4" w:space="0" w:color="auto"/>
              <w:bottom w:val="single" w:sz="4" w:space="0" w:color="auto"/>
              <w:right w:val="single" w:sz="4" w:space="0" w:color="auto"/>
            </w:tcBorders>
          </w:tcPr>
          <w:p w14:paraId="00FF166B" w14:textId="77777777" w:rsidR="00745851" w:rsidRPr="00DD1A20" w:rsidRDefault="00745851" w:rsidP="00507A85">
            <w:pPr>
              <w:spacing w:after="60"/>
              <w:rPr>
                <w:iCs/>
                <w:sz w:val="20"/>
              </w:rPr>
            </w:pPr>
            <w:r w:rsidRPr="00DD1A20">
              <w:rPr>
                <w:bCs/>
                <w:iCs/>
                <w:sz w:val="20"/>
                <w:lang w:val="fr-FR"/>
              </w:rPr>
              <w:lastRenderedPageBreak/>
              <w:t xml:space="preserve">DASARDQ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550BB7A6"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3D913EA9" w14:textId="77777777" w:rsidR="00745851" w:rsidRPr="00DD1A20" w:rsidRDefault="00745851" w:rsidP="00507A85">
            <w:pPr>
              <w:autoSpaceDE w:val="0"/>
              <w:autoSpaceDN w:val="0"/>
              <w:adjustRightInd w:val="0"/>
              <w:rPr>
                <w:i/>
                <w:color w:val="000000"/>
                <w:sz w:val="20"/>
              </w:rPr>
            </w:pPr>
            <w:r w:rsidRPr="00DD1A20">
              <w:rPr>
                <w:i/>
                <w:color w:val="000000"/>
                <w:sz w:val="20"/>
              </w:rPr>
              <w:t>Day-Ahead Self-Arranged Reg-Down Quantity per QSE</w:t>
            </w:r>
            <w:r w:rsidRPr="00DD1A20">
              <w:rPr>
                <w:color w:val="000000"/>
                <w:sz w:val="20"/>
              </w:rPr>
              <w:t xml:space="preserve">—The self-arranged Reg-Down quantity submitted by QSE </w:t>
            </w:r>
            <w:r w:rsidRPr="00DD1A20">
              <w:rPr>
                <w:i/>
                <w:color w:val="000000"/>
                <w:sz w:val="20"/>
              </w:rPr>
              <w:t>q</w:t>
            </w:r>
            <w:r w:rsidRPr="00DD1A20">
              <w:rPr>
                <w:color w:val="000000"/>
                <w:sz w:val="20"/>
              </w:rPr>
              <w:t xml:space="preserve"> before 1000 in the Day-Ahead.</w:t>
            </w:r>
          </w:p>
        </w:tc>
      </w:tr>
      <w:tr w:rsidR="00745851" w:rsidRPr="00DD1A20" w14:paraId="64D33CD5" w14:textId="77777777" w:rsidTr="00507A85">
        <w:tc>
          <w:tcPr>
            <w:tcW w:w="1049" w:type="pct"/>
            <w:tcBorders>
              <w:top w:val="single" w:sz="4" w:space="0" w:color="auto"/>
              <w:left w:val="single" w:sz="4" w:space="0" w:color="auto"/>
              <w:bottom w:val="single" w:sz="4" w:space="0" w:color="auto"/>
              <w:right w:val="single" w:sz="4" w:space="0" w:color="auto"/>
            </w:tcBorders>
          </w:tcPr>
          <w:p w14:paraId="7754EC40" w14:textId="77777777" w:rsidR="00745851" w:rsidRPr="00DD1A20" w:rsidRDefault="00745851" w:rsidP="00507A85">
            <w:pPr>
              <w:spacing w:after="60"/>
              <w:rPr>
                <w:iCs/>
                <w:sz w:val="20"/>
              </w:rPr>
            </w:pPr>
            <w:r w:rsidRPr="00DD1A20">
              <w:rPr>
                <w:bCs/>
                <w:iCs/>
                <w:sz w:val="20"/>
                <w:lang w:val="fr-FR"/>
              </w:rPr>
              <w:t xml:space="preserve">RTSARDQ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0FF84059"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41C95BCA" w14:textId="77777777" w:rsidR="00745851" w:rsidRPr="00DD1A20" w:rsidRDefault="00745851" w:rsidP="00507A85">
            <w:pPr>
              <w:autoSpaceDE w:val="0"/>
              <w:autoSpaceDN w:val="0"/>
              <w:adjustRightInd w:val="0"/>
              <w:rPr>
                <w:i/>
                <w:color w:val="000000"/>
                <w:sz w:val="20"/>
              </w:rPr>
            </w:pPr>
            <w:r w:rsidRPr="00DD1A20">
              <w:rPr>
                <w:i/>
                <w:color w:val="000000"/>
                <w:sz w:val="20"/>
              </w:rPr>
              <w:t>Self-Arranged Reg-Down Quantity per QSE for all SASMs</w:t>
            </w:r>
            <w:r w:rsidRPr="00DD1A20">
              <w:rPr>
                <w:color w:val="000000"/>
                <w:sz w:val="20"/>
              </w:rPr>
              <w:t xml:space="preserve">—The sum of all self-arranged Reg-Down quantities submitted by QSE </w:t>
            </w:r>
            <w:r w:rsidRPr="00DD1A20">
              <w:rPr>
                <w:i/>
                <w:color w:val="000000"/>
                <w:sz w:val="20"/>
              </w:rPr>
              <w:t>q</w:t>
            </w:r>
            <w:r w:rsidRPr="00DD1A20">
              <w:rPr>
                <w:color w:val="000000"/>
                <w:sz w:val="20"/>
              </w:rPr>
              <w:t xml:space="preserve"> for all SASMs due to an increase in the Ancillary Service Plan per Section 4.4.7.1.</w:t>
            </w:r>
          </w:p>
        </w:tc>
      </w:tr>
      <w:tr w:rsidR="00745851" w:rsidRPr="00DD1A20" w14:paraId="307A0731" w14:textId="77777777" w:rsidTr="00507A85">
        <w:tc>
          <w:tcPr>
            <w:tcW w:w="1049" w:type="pct"/>
            <w:tcBorders>
              <w:top w:val="single" w:sz="4" w:space="0" w:color="auto"/>
              <w:left w:val="single" w:sz="4" w:space="0" w:color="auto"/>
              <w:bottom w:val="single" w:sz="4" w:space="0" w:color="auto"/>
              <w:right w:val="single" w:sz="4" w:space="0" w:color="auto"/>
            </w:tcBorders>
          </w:tcPr>
          <w:p w14:paraId="16D1992A" w14:textId="77777777" w:rsidR="00745851" w:rsidRPr="00DD1A20" w:rsidRDefault="00745851" w:rsidP="00507A85">
            <w:pPr>
              <w:spacing w:after="60"/>
              <w:rPr>
                <w:bCs/>
                <w:iCs/>
                <w:sz w:val="20"/>
                <w:lang w:val="fr-FR"/>
              </w:rPr>
            </w:pPr>
            <w:r w:rsidRPr="00DD1A20">
              <w:rPr>
                <w:iCs/>
                <w:sz w:val="20"/>
              </w:rPr>
              <w:t xml:space="preserve">TRDFQ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01ED9550" w14:textId="77777777" w:rsidR="00745851" w:rsidRPr="00DD1A20" w:rsidRDefault="00745851" w:rsidP="00507A85">
            <w:pPr>
              <w:spacing w:after="60"/>
              <w:rPr>
                <w:iCs/>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1285C242" w14:textId="77777777" w:rsidR="00745851" w:rsidRPr="00DD1A20" w:rsidRDefault="00745851" w:rsidP="00507A85">
            <w:pPr>
              <w:spacing w:after="60"/>
              <w:rPr>
                <w:i/>
                <w:iCs/>
                <w:sz w:val="20"/>
              </w:rPr>
            </w:pPr>
            <w:r w:rsidRPr="00DD1A20">
              <w:rPr>
                <w:i/>
                <w:iCs/>
                <w:sz w:val="20"/>
              </w:rPr>
              <w:t>Telemetered Reg-Down Failure Quantity per QSE—</w:t>
            </w:r>
            <w:r w:rsidRPr="00DD1A20">
              <w:rPr>
                <w:iCs/>
                <w:sz w:val="20"/>
              </w:rPr>
              <w:t xml:space="preserve">Calculated failure quantity for QSE </w:t>
            </w:r>
            <w:r w:rsidRPr="00DD1A20">
              <w:rPr>
                <w:i/>
                <w:sz w:val="20"/>
              </w:rPr>
              <w:t>q</w:t>
            </w:r>
            <w:r w:rsidRPr="00DD1A20">
              <w:rPr>
                <w:iCs/>
                <w:sz w:val="20"/>
              </w:rPr>
              <w:t xml:space="preserve"> by comparing its average telemetered Reg-Down Responsibility sum to its Ancillary Service Supply Responsibility for Reg-Down as calculated per paragraph (1) of Section 4.4.7.4, for the hour.</w:t>
            </w:r>
          </w:p>
        </w:tc>
      </w:tr>
      <w:tr w:rsidR="00745851" w:rsidRPr="00DD1A20" w14:paraId="01F3271A" w14:textId="77777777" w:rsidTr="00507A85">
        <w:tc>
          <w:tcPr>
            <w:tcW w:w="1049" w:type="pct"/>
            <w:tcBorders>
              <w:top w:val="single" w:sz="4" w:space="0" w:color="auto"/>
              <w:left w:val="single" w:sz="4" w:space="0" w:color="auto"/>
              <w:bottom w:val="single" w:sz="4" w:space="0" w:color="auto"/>
              <w:right w:val="single" w:sz="4" w:space="0" w:color="auto"/>
            </w:tcBorders>
          </w:tcPr>
          <w:p w14:paraId="5472A988" w14:textId="77777777" w:rsidR="00745851" w:rsidRPr="00DD1A20" w:rsidRDefault="00745851" w:rsidP="00507A85">
            <w:pPr>
              <w:spacing w:after="60"/>
              <w:rPr>
                <w:sz w:val="20"/>
              </w:rPr>
            </w:pPr>
            <w:r w:rsidRPr="00DD1A20">
              <w:rPr>
                <w:i/>
                <w:iCs/>
                <w:sz w:val="20"/>
              </w:rPr>
              <w:t>i</w:t>
            </w:r>
          </w:p>
        </w:tc>
        <w:tc>
          <w:tcPr>
            <w:tcW w:w="449" w:type="pct"/>
            <w:tcBorders>
              <w:top w:val="single" w:sz="4" w:space="0" w:color="auto"/>
              <w:left w:val="single" w:sz="4" w:space="0" w:color="auto"/>
              <w:bottom w:val="single" w:sz="4" w:space="0" w:color="auto"/>
              <w:right w:val="single" w:sz="4" w:space="0" w:color="auto"/>
            </w:tcBorders>
          </w:tcPr>
          <w:p w14:paraId="4DDEB23A" w14:textId="77777777" w:rsidR="00745851" w:rsidRPr="00DD1A20" w:rsidRDefault="00745851" w:rsidP="00507A85">
            <w:pPr>
              <w:spacing w:after="60"/>
              <w:rPr>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73684384" w14:textId="77777777" w:rsidR="00745851" w:rsidRPr="00DD1A20" w:rsidRDefault="00745851" w:rsidP="00507A85">
            <w:pPr>
              <w:spacing w:after="60"/>
              <w:rPr>
                <w:i/>
                <w:sz w:val="20"/>
              </w:rPr>
            </w:pPr>
            <w:r w:rsidRPr="00DD1A20">
              <w:rPr>
                <w:iCs/>
                <w:sz w:val="20"/>
              </w:rPr>
              <w:t>A 15-minute Settlement Interval within the Operating Hour.</w:t>
            </w:r>
          </w:p>
        </w:tc>
      </w:tr>
      <w:tr w:rsidR="00745851" w:rsidRPr="00DD1A20" w14:paraId="07B1CBF9" w14:textId="77777777" w:rsidTr="00507A85">
        <w:tc>
          <w:tcPr>
            <w:tcW w:w="1049" w:type="pct"/>
            <w:tcBorders>
              <w:top w:val="single" w:sz="4" w:space="0" w:color="auto"/>
              <w:left w:val="single" w:sz="4" w:space="0" w:color="auto"/>
              <w:bottom w:val="single" w:sz="4" w:space="0" w:color="auto"/>
              <w:right w:val="single" w:sz="4" w:space="0" w:color="auto"/>
            </w:tcBorders>
          </w:tcPr>
          <w:p w14:paraId="682FC591" w14:textId="77777777" w:rsidR="00745851" w:rsidRPr="00DD1A20" w:rsidRDefault="00745851" w:rsidP="00507A85">
            <w:pPr>
              <w:spacing w:after="60"/>
              <w:rPr>
                <w:i/>
                <w:iCs/>
                <w:sz w:val="20"/>
              </w:rPr>
            </w:pPr>
            <w:r w:rsidRPr="00DD1A20">
              <w:rPr>
                <w:i/>
                <w:sz w:val="20"/>
              </w:rPr>
              <w:t>rs</w:t>
            </w:r>
          </w:p>
        </w:tc>
        <w:tc>
          <w:tcPr>
            <w:tcW w:w="449" w:type="pct"/>
            <w:tcBorders>
              <w:top w:val="single" w:sz="4" w:space="0" w:color="auto"/>
              <w:left w:val="single" w:sz="4" w:space="0" w:color="auto"/>
              <w:bottom w:val="single" w:sz="4" w:space="0" w:color="auto"/>
              <w:right w:val="single" w:sz="4" w:space="0" w:color="auto"/>
            </w:tcBorders>
          </w:tcPr>
          <w:p w14:paraId="0BBB4391" w14:textId="77777777" w:rsidR="00745851" w:rsidRPr="00DD1A20" w:rsidRDefault="00745851" w:rsidP="00507A85">
            <w:pPr>
              <w:spacing w:after="60"/>
              <w:rPr>
                <w:iCs/>
                <w:sz w:val="20"/>
              </w:rPr>
            </w:pPr>
            <w:r w:rsidRPr="00DD1A20">
              <w:rPr>
                <w:sz w:val="20"/>
              </w:rPr>
              <w:t>None</w:t>
            </w:r>
          </w:p>
        </w:tc>
        <w:tc>
          <w:tcPr>
            <w:tcW w:w="3502" w:type="pct"/>
            <w:tcBorders>
              <w:top w:val="single" w:sz="4" w:space="0" w:color="auto"/>
              <w:left w:val="single" w:sz="4" w:space="0" w:color="auto"/>
              <w:bottom w:val="single" w:sz="4" w:space="0" w:color="auto"/>
              <w:right w:val="single" w:sz="4" w:space="0" w:color="auto"/>
            </w:tcBorders>
          </w:tcPr>
          <w:p w14:paraId="2A1BCDC5" w14:textId="77777777" w:rsidR="00745851" w:rsidRPr="00DD1A20" w:rsidRDefault="00745851" w:rsidP="00507A85">
            <w:pPr>
              <w:spacing w:after="60"/>
              <w:rPr>
                <w:iCs/>
                <w:sz w:val="20"/>
              </w:rPr>
            </w:pPr>
            <w:r w:rsidRPr="00DD1A20">
              <w:rPr>
                <w:sz w:val="20"/>
              </w:rPr>
              <w:t>The RSASM for the given Operating Hour.</w:t>
            </w:r>
          </w:p>
        </w:tc>
      </w:tr>
      <w:tr w:rsidR="00745851" w:rsidRPr="00DD1A20" w14:paraId="2B4C2C5A" w14:textId="77777777" w:rsidTr="00507A85">
        <w:tc>
          <w:tcPr>
            <w:tcW w:w="1049" w:type="pct"/>
            <w:tcBorders>
              <w:top w:val="single" w:sz="4" w:space="0" w:color="auto"/>
              <w:left w:val="single" w:sz="4" w:space="0" w:color="auto"/>
              <w:bottom w:val="single" w:sz="4" w:space="0" w:color="auto"/>
              <w:right w:val="single" w:sz="4" w:space="0" w:color="auto"/>
            </w:tcBorders>
          </w:tcPr>
          <w:p w14:paraId="4AEAB4EC" w14:textId="77777777" w:rsidR="00745851" w:rsidRPr="00DD1A20" w:rsidRDefault="00745851" w:rsidP="00507A85">
            <w:pPr>
              <w:spacing w:after="60"/>
              <w:rPr>
                <w:i/>
                <w:iCs/>
                <w:sz w:val="20"/>
              </w:rPr>
            </w:pPr>
            <w:r w:rsidRPr="00DD1A20">
              <w:rPr>
                <w:i/>
                <w:iCs/>
                <w:sz w:val="20"/>
              </w:rPr>
              <w:t>m</w:t>
            </w:r>
          </w:p>
        </w:tc>
        <w:tc>
          <w:tcPr>
            <w:tcW w:w="449" w:type="pct"/>
            <w:tcBorders>
              <w:top w:val="single" w:sz="4" w:space="0" w:color="auto"/>
              <w:left w:val="single" w:sz="4" w:space="0" w:color="auto"/>
              <w:bottom w:val="single" w:sz="4" w:space="0" w:color="auto"/>
              <w:right w:val="single" w:sz="4" w:space="0" w:color="auto"/>
            </w:tcBorders>
          </w:tcPr>
          <w:p w14:paraId="292B94AF"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07F3B3FA" w14:textId="77777777" w:rsidR="00745851" w:rsidRPr="00DD1A20" w:rsidRDefault="00745851" w:rsidP="00507A85">
            <w:pPr>
              <w:spacing w:after="60"/>
              <w:rPr>
                <w:iCs/>
                <w:sz w:val="20"/>
              </w:rPr>
            </w:pPr>
            <w:r w:rsidRPr="00DD1A20">
              <w:rPr>
                <w:iCs/>
                <w:sz w:val="20"/>
              </w:rPr>
              <w:t>The DAM, SASM, or RSASM for the given Operating Hour.</w:t>
            </w:r>
          </w:p>
        </w:tc>
      </w:tr>
      <w:tr w:rsidR="00745851" w:rsidRPr="00DD1A20" w14:paraId="5B669B64" w14:textId="77777777" w:rsidTr="00507A85">
        <w:tc>
          <w:tcPr>
            <w:tcW w:w="1049" w:type="pct"/>
            <w:tcBorders>
              <w:top w:val="single" w:sz="4" w:space="0" w:color="auto"/>
              <w:left w:val="single" w:sz="4" w:space="0" w:color="auto"/>
              <w:bottom w:val="single" w:sz="4" w:space="0" w:color="auto"/>
              <w:right w:val="single" w:sz="4" w:space="0" w:color="auto"/>
            </w:tcBorders>
          </w:tcPr>
          <w:p w14:paraId="244E4AD2" w14:textId="77777777" w:rsidR="00745851" w:rsidRPr="00DD1A20" w:rsidRDefault="00745851" w:rsidP="00507A85">
            <w:pPr>
              <w:spacing w:after="60"/>
              <w:rPr>
                <w:i/>
                <w:iCs/>
                <w:sz w:val="20"/>
              </w:rPr>
            </w:pPr>
            <w:r w:rsidRPr="00DD1A20">
              <w:rPr>
                <w:i/>
                <w:iCs/>
                <w:sz w:val="20"/>
              </w:rPr>
              <w:t>q</w:t>
            </w:r>
          </w:p>
        </w:tc>
        <w:tc>
          <w:tcPr>
            <w:tcW w:w="449" w:type="pct"/>
            <w:tcBorders>
              <w:top w:val="single" w:sz="4" w:space="0" w:color="auto"/>
              <w:left w:val="single" w:sz="4" w:space="0" w:color="auto"/>
              <w:bottom w:val="single" w:sz="4" w:space="0" w:color="auto"/>
              <w:right w:val="single" w:sz="4" w:space="0" w:color="auto"/>
            </w:tcBorders>
          </w:tcPr>
          <w:p w14:paraId="6A9910C2"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0D24E4B5" w14:textId="77777777" w:rsidR="00745851" w:rsidRPr="00DD1A20" w:rsidRDefault="00745851" w:rsidP="00507A85">
            <w:pPr>
              <w:spacing w:after="60"/>
              <w:rPr>
                <w:iCs/>
                <w:sz w:val="20"/>
              </w:rPr>
            </w:pPr>
            <w:r w:rsidRPr="00DD1A20">
              <w:rPr>
                <w:iCs/>
                <w:sz w:val="20"/>
              </w:rPr>
              <w:t>A QSE.</w:t>
            </w:r>
          </w:p>
        </w:tc>
      </w:tr>
      <w:tr w:rsidR="00745851" w:rsidRPr="00DD1A20" w14:paraId="0206A692" w14:textId="77777777" w:rsidTr="00507A85">
        <w:trPr>
          <w:trHeight w:val="143"/>
        </w:trPr>
        <w:tc>
          <w:tcPr>
            <w:tcW w:w="1049" w:type="pct"/>
            <w:tcBorders>
              <w:top w:val="single" w:sz="4" w:space="0" w:color="auto"/>
              <w:left w:val="single" w:sz="4" w:space="0" w:color="auto"/>
              <w:bottom w:val="single" w:sz="4" w:space="0" w:color="auto"/>
              <w:right w:val="single" w:sz="4" w:space="0" w:color="auto"/>
            </w:tcBorders>
          </w:tcPr>
          <w:p w14:paraId="0A64288B" w14:textId="77777777" w:rsidR="00745851" w:rsidRPr="00DD1A20" w:rsidRDefault="00745851" w:rsidP="00507A85">
            <w:pPr>
              <w:spacing w:after="60"/>
              <w:rPr>
                <w:i/>
                <w:iCs/>
                <w:sz w:val="20"/>
              </w:rPr>
            </w:pPr>
            <w:r w:rsidRPr="00DD1A20">
              <w:rPr>
                <w:i/>
                <w:iCs/>
                <w:sz w:val="20"/>
              </w:rPr>
              <w:t>r</w:t>
            </w:r>
          </w:p>
        </w:tc>
        <w:tc>
          <w:tcPr>
            <w:tcW w:w="449" w:type="pct"/>
            <w:tcBorders>
              <w:top w:val="single" w:sz="4" w:space="0" w:color="auto"/>
              <w:left w:val="single" w:sz="4" w:space="0" w:color="auto"/>
              <w:bottom w:val="single" w:sz="4" w:space="0" w:color="auto"/>
              <w:right w:val="single" w:sz="4" w:space="0" w:color="auto"/>
            </w:tcBorders>
          </w:tcPr>
          <w:p w14:paraId="3F740E79"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625C17B7" w14:textId="77777777" w:rsidR="00745851" w:rsidRPr="00DD1A20" w:rsidRDefault="00745851" w:rsidP="00507A85">
            <w:pPr>
              <w:spacing w:after="60"/>
              <w:rPr>
                <w:iCs/>
                <w:sz w:val="20"/>
              </w:rPr>
            </w:pPr>
            <w:r w:rsidRPr="00DD1A20">
              <w:rPr>
                <w:iCs/>
                <w:sz w:val="20"/>
              </w:rPr>
              <w:t>A Resource that is qualified to provide Reg-Down.</w:t>
            </w:r>
          </w:p>
        </w:tc>
      </w:tr>
    </w:tbl>
    <w:p w14:paraId="5430CF68" w14:textId="77777777" w:rsidR="00745851" w:rsidRPr="00DD1A20" w:rsidRDefault="00745851" w:rsidP="00745851">
      <w:pPr>
        <w:spacing w:before="240" w:after="240"/>
        <w:ind w:left="1440" w:hanging="720"/>
        <w:rPr>
          <w:iCs/>
        </w:rPr>
      </w:pPr>
      <w:r w:rsidRPr="00DD1A20">
        <w:rPr>
          <w:iCs/>
        </w:rPr>
        <w:t>(c)</w:t>
      </w:r>
      <w:r w:rsidRPr="00DD1A20">
        <w:rPr>
          <w:iCs/>
        </w:rPr>
        <w:tab/>
        <w:t>The t</w:t>
      </w:r>
      <w:r w:rsidRPr="00DD1A20">
        <w:t>otal charge of failure on Ancillary Service Supply Responsibility for</w:t>
      </w:r>
      <w:r w:rsidRPr="00DD1A20">
        <w:rPr>
          <w:iCs/>
        </w:rPr>
        <w:t xml:space="preserve"> RRS by QSE, if applicable:</w:t>
      </w:r>
    </w:p>
    <w:p w14:paraId="6F91B49A" w14:textId="77777777" w:rsidR="00745851" w:rsidRPr="00DD1A20" w:rsidRDefault="00745851" w:rsidP="00745851">
      <w:pPr>
        <w:spacing w:before="240" w:after="240"/>
        <w:ind w:left="2880" w:hanging="2160"/>
        <w:rPr>
          <w:b/>
          <w:i/>
          <w:vertAlign w:val="subscript"/>
        </w:rPr>
      </w:pPr>
      <w:r w:rsidRPr="00DD1A20">
        <w:rPr>
          <w:b/>
        </w:rPr>
        <w:t xml:space="preserve">RRFQAMTQSETOT </w:t>
      </w:r>
      <w:r w:rsidRPr="00DD1A20">
        <w:rPr>
          <w:b/>
          <w:i/>
          <w:vertAlign w:val="subscript"/>
        </w:rPr>
        <w:t>q</w:t>
      </w:r>
      <w:r w:rsidRPr="00DD1A20">
        <w:rPr>
          <w:b/>
          <w:i/>
          <w:vertAlign w:val="subscript"/>
        </w:rPr>
        <w:tab/>
      </w:r>
      <w:r w:rsidRPr="00DD1A20">
        <w:rPr>
          <w:b/>
        </w:rPr>
        <w:t>=</w:t>
      </w:r>
      <w:r w:rsidRPr="00DD1A20">
        <w:rPr>
          <w:b/>
        </w:rPr>
        <w:tab/>
        <w:t xml:space="preserve">RRFQAMT </w:t>
      </w:r>
      <w:r w:rsidRPr="00DD1A20">
        <w:rPr>
          <w:b/>
          <w:i/>
          <w:vertAlign w:val="subscript"/>
        </w:rPr>
        <w:t xml:space="preserve">q </w:t>
      </w:r>
      <w:r w:rsidRPr="00DD1A20">
        <w:rPr>
          <w:b/>
          <w:i/>
        </w:rPr>
        <w:t>+</w:t>
      </w:r>
      <w:r w:rsidRPr="00DD1A20">
        <w:rPr>
          <w:b/>
          <w:i/>
          <w:vertAlign w:val="subscript"/>
        </w:rPr>
        <w:t xml:space="preserve"> </w:t>
      </w:r>
      <w:r w:rsidRPr="00DD1A20">
        <w:rPr>
          <w:b/>
        </w:rPr>
        <w:t xml:space="preserve">RRRFQAMT </w:t>
      </w:r>
      <w:r w:rsidRPr="00DD1A20">
        <w:rPr>
          <w:b/>
          <w:i/>
          <w:vertAlign w:val="subscript"/>
        </w:rPr>
        <w:t>q</w:t>
      </w:r>
    </w:p>
    <w:p w14:paraId="43CA7766" w14:textId="77777777" w:rsidR="00745851" w:rsidRPr="00DD1A20" w:rsidRDefault="00745851" w:rsidP="00745851">
      <w:pPr>
        <w:spacing w:before="240" w:after="240"/>
        <w:ind w:left="1440" w:hanging="720"/>
        <w:rPr>
          <w:iCs/>
        </w:rPr>
      </w:pPr>
      <w:r w:rsidRPr="00DD1A20">
        <w:t>Where:</w:t>
      </w:r>
    </w:p>
    <w:p w14:paraId="49535CD8" w14:textId="77777777" w:rsidR="00745851" w:rsidRPr="00DD1A20" w:rsidRDefault="00745851" w:rsidP="00745851">
      <w:pPr>
        <w:spacing w:after="240"/>
        <w:ind w:left="2880" w:hanging="2160"/>
        <w:rPr>
          <w:bCs/>
        </w:rPr>
      </w:pPr>
      <w:r w:rsidRPr="00DD1A20">
        <w:t xml:space="preserve">RRFQAMT </w:t>
      </w:r>
      <w:r w:rsidRPr="00DD1A20">
        <w:rPr>
          <w:i/>
          <w:vertAlign w:val="subscript"/>
        </w:rPr>
        <w:t>q</w:t>
      </w:r>
      <w:r w:rsidRPr="00DD1A20">
        <w:t xml:space="preserve">    =</w:t>
      </w:r>
      <w:r w:rsidRPr="00DD1A20">
        <w:tab/>
        <w:t>Max</w:t>
      </w:r>
      <w:r w:rsidRPr="00DD1A20">
        <w:rPr>
          <w:iCs/>
        </w:rPr>
        <w:t>(</w:t>
      </w:r>
      <w:r w:rsidRPr="00DD1A20">
        <w:t xml:space="preserve">MCPCRR </w:t>
      </w:r>
      <w:r w:rsidRPr="00DD1A20">
        <w:rPr>
          <w:i/>
          <w:vertAlign w:val="subscript"/>
        </w:rPr>
        <w:t>m</w:t>
      </w:r>
      <w:r w:rsidRPr="00DD1A20">
        <w:t xml:space="preserve">, AVGRTASIP) * (RRFQ </w:t>
      </w:r>
      <w:r w:rsidRPr="00DD1A20">
        <w:rPr>
          <w:i/>
          <w:vertAlign w:val="subscript"/>
        </w:rPr>
        <w:t xml:space="preserve">q </w:t>
      </w:r>
      <w:r w:rsidRPr="00DD1A20">
        <w:t xml:space="preserve">+ TRRFQ </w:t>
      </w:r>
      <w:r w:rsidRPr="00DD1A20">
        <w:rPr>
          <w:i/>
          <w:vertAlign w:val="subscript"/>
        </w:rPr>
        <w:t>q</w:t>
      </w:r>
      <w:r w:rsidRPr="00DD1A20">
        <w:t>)</w:t>
      </w:r>
    </w:p>
    <w:p w14:paraId="1E1DADAD" w14:textId="77777777" w:rsidR="00745851" w:rsidRPr="00DD1A20" w:rsidRDefault="00745851" w:rsidP="00745851">
      <w:pPr>
        <w:spacing w:before="240" w:after="240"/>
        <w:ind w:left="2880" w:hanging="2160"/>
        <w:rPr>
          <w:bCs/>
          <w:i/>
          <w:vertAlign w:val="subscript"/>
        </w:rPr>
      </w:pPr>
      <w:r w:rsidRPr="00DD1A20">
        <w:t xml:space="preserve">RRRFQAMT </w:t>
      </w:r>
      <w:r w:rsidRPr="00DD1A20">
        <w:rPr>
          <w:i/>
          <w:vertAlign w:val="subscript"/>
        </w:rPr>
        <w:t>q</w:t>
      </w:r>
      <w:r w:rsidRPr="00DD1A20">
        <w:tab/>
      </w:r>
      <w:r w:rsidRPr="00DD1A20">
        <w:tab/>
        <w:t>=</w:t>
      </w:r>
      <w:r w:rsidRPr="00DD1A20">
        <w:tab/>
      </w:r>
      <w:r w:rsidRPr="00DD1A20">
        <w:rPr>
          <w:bCs/>
        </w:rPr>
        <w:t xml:space="preserve">MCPCRR </w:t>
      </w:r>
      <w:r w:rsidRPr="00DD1A20">
        <w:rPr>
          <w:bCs/>
          <w:i/>
          <w:vertAlign w:val="subscript"/>
        </w:rPr>
        <w:t>rs</w:t>
      </w:r>
      <w:r w:rsidRPr="00DD1A20">
        <w:rPr>
          <w:bCs/>
        </w:rPr>
        <w:t xml:space="preserve"> * RRRFQ </w:t>
      </w:r>
      <w:r w:rsidRPr="00DD1A20">
        <w:rPr>
          <w:i/>
          <w:vertAlign w:val="subscript"/>
        </w:rPr>
        <w:t>q,</w:t>
      </w:r>
      <w:r w:rsidRPr="00DD1A20">
        <w:rPr>
          <w:bCs/>
        </w:rPr>
        <w:t xml:space="preserve"> </w:t>
      </w:r>
      <w:r w:rsidRPr="00DD1A20">
        <w:rPr>
          <w:bCs/>
          <w:i/>
          <w:vertAlign w:val="subscript"/>
        </w:rPr>
        <w:t>rs</w:t>
      </w:r>
    </w:p>
    <w:p w14:paraId="739C8C34" w14:textId="77777777" w:rsidR="00745851" w:rsidRPr="00DD1A20" w:rsidRDefault="00745851" w:rsidP="00745851">
      <w:pPr>
        <w:spacing w:after="240"/>
        <w:ind w:firstLine="720"/>
      </w:pPr>
      <w:r w:rsidRPr="00DD1A20">
        <w:t xml:space="preserve">AVGRTASIP </w:t>
      </w:r>
      <w:r w:rsidRPr="00DD1A20">
        <w:tab/>
      </w:r>
      <w:r w:rsidRPr="00DD1A20">
        <w:tab/>
      </w:r>
      <w:r w:rsidRPr="00DD1A20">
        <w:tab/>
        <w:t xml:space="preserve">= </w:t>
      </w:r>
      <w:r w:rsidRPr="00DD1A20">
        <w:tab/>
      </w:r>
      <w:r w:rsidRPr="00DD1A20">
        <w:rPr>
          <w:position w:val="-20"/>
        </w:rPr>
        <w:object w:dxaOrig="260" w:dyaOrig="580" w14:anchorId="5359760B">
          <v:shape id="_x0000_i1343" type="#_x0000_t75" style="width:12pt;height:30pt" o:ole="">
            <v:imagedata r:id="rId419" o:title=""/>
          </v:shape>
          <o:OLEObject Type="Embed" ProgID="Equation.3" ShapeID="_x0000_i1343" DrawAspect="Content" ObjectID="_1815025531" r:id="rId425"/>
        </w:object>
      </w:r>
      <w:r w:rsidRPr="00DD1A20">
        <w:t xml:space="preserve">(RTRSVPOR </w:t>
      </w:r>
      <w:r w:rsidRPr="00DD1A20">
        <w:rPr>
          <w:i/>
          <w:vertAlign w:val="subscript"/>
        </w:rPr>
        <w:t>i</w:t>
      </w:r>
      <w:r w:rsidRPr="00DD1A20">
        <w:t xml:space="preserve"> + RTRDP </w:t>
      </w:r>
      <w:r w:rsidRPr="00DD1A20">
        <w:rPr>
          <w:i/>
          <w:vertAlign w:val="subscript"/>
        </w:rPr>
        <w:t>i</w:t>
      </w:r>
      <w:r w:rsidRPr="00DD1A20">
        <w:t xml:space="preserve">) / 4 </w:t>
      </w:r>
    </w:p>
    <w:p w14:paraId="57BB963C" w14:textId="77777777" w:rsidR="00745851" w:rsidRPr="00DD1A20" w:rsidRDefault="00745851" w:rsidP="00745851">
      <w:pPr>
        <w:spacing w:after="240"/>
        <w:ind w:firstLine="720"/>
      </w:pPr>
      <w:r w:rsidRPr="00DD1A20">
        <w:t>Where for all Resources:</w:t>
      </w:r>
    </w:p>
    <w:p w14:paraId="527F52A3" w14:textId="77777777" w:rsidR="00745851" w:rsidRPr="00DD1A20" w:rsidRDefault="00745851" w:rsidP="00745851">
      <w:pPr>
        <w:spacing w:after="240"/>
        <w:ind w:leftChars="300" w:left="2880" w:hangingChars="900" w:hanging="2160"/>
        <w:rPr>
          <w:bCs/>
          <w:iCs/>
        </w:rPr>
      </w:pPr>
      <w:r w:rsidRPr="00DD1A20">
        <w:t xml:space="preserve">TRRFQ </w:t>
      </w:r>
      <w:r w:rsidRPr="00DD1A20">
        <w:rPr>
          <w:i/>
          <w:vertAlign w:val="subscript"/>
        </w:rPr>
        <w:t>q =</w:t>
      </w:r>
      <w:r w:rsidRPr="00DD1A20">
        <w:rPr>
          <w:iCs/>
        </w:rPr>
        <w:t xml:space="preserve"> Max([(</w:t>
      </w:r>
      <w:r w:rsidRPr="00DD1A20">
        <w:rPr>
          <w:bCs/>
          <w:lang w:val="fr-FR"/>
        </w:rPr>
        <w:t xml:space="preserve">SARRQ </w:t>
      </w:r>
      <w:r w:rsidRPr="00DD1A20">
        <w:rPr>
          <w:bCs/>
          <w:i/>
          <w:vertAlign w:val="subscript"/>
          <w:lang w:val="fr-FR"/>
        </w:rPr>
        <w:t xml:space="preserve">q </w:t>
      </w:r>
      <w:r w:rsidRPr="00DD1A20">
        <w:rPr>
          <w:bCs/>
          <w:iCs/>
        </w:rPr>
        <w:t>+ RRTRSQ</w:t>
      </w:r>
      <w:r w:rsidRPr="00DD1A20">
        <w:rPr>
          <w:bCs/>
          <w:i/>
          <w:vertAlign w:val="subscript"/>
          <w:lang w:val="fr-FR"/>
        </w:rPr>
        <w:t xml:space="preserve"> q</w:t>
      </w:r>
      <w:r w:rsidRPr="00DD1A20">
        <w:rPr>
          <w:bCs/>
          <w:iCs/>
        </w:rPr>
        <w:t xml:space="preserve"> + </w:t>
      </w:r>
      <w:r w:rsidRPr="00DD1A20">
        <w:rPr>
          <w:noProof/>
          <w:position w:val="-20"/>
        </w:rPr>
        <w:drawing>
          <wp:inline distT="0" distB="0" distL="0" distR="0" wp14:anchorId="0973462C" wp14:editId="2657C6F3">
            <wp:extent cx="142875" cy="27622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DD1A20">
        <w:rPr>
          <w:bCs/>
          <w:lang w:val="es-ES"/>
        </w:rPr>
        <w:t xml:space="preserve">(RTPCRR </w:t>
      </w:r>
      <w:r w:rsidRPr="00DD1A20">
        <w:rPr>
          <w:bCs/>
          <w:i/>
          <w:vertAlign w:val="subscript"/>
          <w:lang w:val="es-ES"/>
        </w:rPr>
        <w:t>q, m</w:t>
      </w:r>
      <w:r w:rsidRPr="00DD1A20">
        <w:rPr>
          <w:bCs/>
          <w:lang w:val="es-ES"/>
        </w:rPr>
        <w:t xml:space="preserve">) + PCRR </w:t>
      </w:r>
      <w:r w:rsidRPr="00DD1A20">
        <w:rPr>
          <w:bCs/>
          <w:i/>
          <w:vertAlign w:val="subscript"/>
          <w:lang w:val="es-ES"/>
        </w:rPr>
        <w:t>q</w:t>
      </w:r>
      <w:r w:rsidRPr="00DD1A20">
        <w:rPr>
          <w:bCs/>
          <w:lang w:val="es-ES"/>
        </w:rPr>
        <w:t xml:space="preserve"> + RUCRRQ </w:t>
      </w:r>
      <w:r w:rsidRPr="00DD1A20">
        <w:rPr>
          <w:bCs/>
          <w:i/>
          <w:vertAlign w:val="subscript"/>
          <w:lang w:val="es-ES"/>
        </w:rPr>
        <w:t>q</w:t>
      </w:r>
      <w:r w:rsidRPr="00DD1A20">
        <w:rPr>
          <w:bCs/>
          <w:lang w:val="es-ES"/>
        </w:rPr>
        <w:t>) – (</w:t>
      </w:r>
      <w:r w:rsidRPr="00DD1A20">
        <w:rPr>
          <w:bCs/>
          <w:iCs/>
        </w:rPr>
        <w:t>RRTRPQ</w:t>
      </w:r>
      <w:r w:rsidRPr="00DD1A20">
        <w:rPr>
          <w:bCs/>
          <w:i/>
          <w:vertAlign w:val="subscript"/>
          <w:lang w:val="es-ES"/>
        </w:rPr>
        <w:t xml:space="preserve"> q</w:t>
      </w:r>
      <w:r w:rsidRPr="00DD1A20">
        <w:rPr>
          <w:bCs/>
          <w:iCs/>
        </w:rPr>
        <w:t xml:space="preserve"> + </w:t>
      </w:r>
      <w:r w:rsidRPr="00DD1A20">
        <w:rPr>
          <w:bCs/>
          <w:lang w:val="es-ES"/>
        </w:rPr>
        <w:t xml:space="preserve">RRFQ </w:t>
      </w:r>
      <w:r w:rsidRPr="00DD1A20">
        <w:rPr>
          <w:bCs/>
          <w:i/>
          <w:vertAlign w:val="subscript"/>
          <w:lang w:val="es-ES"/>
        </w:rPr>
        <w:t>q</w:t>
      </w:r>
      <w:r w:rsidRPr="00DD1A20">
        <w:rPr>
          <w:bCs/>
          <w:lang w:val="es-ES"/>
        </w:rPr>
        <w:t xml:space="preserve"> + RRRFQ</w:t>
      </w:r>
      <w:r w:rsidRPr="00DD1A20">
        <w:rPr>
          <w:bCs/>
          <w:i/>
          <w:vertAlign w:val="subscript"/>
          <w:lang w:val="es-ES"/>
        </w:rPr>
        <w:t xml:space="preserve"> q</w:t>
      </w:r>
      <w:r w:rsidRPr="00DD1A20">
        <w:rPr>
          <w:bCs/>
          <w:lang w:val="es-ES"/>
        </w:rPr>
        <w:t xml:space="preserve"> + RRINFQ </w:t>
      </w:r>
      <w:r w:rsidRPr="00DD1A20">
        <w:rPr>
          <w:bCs/>
          <w:i/>
          <w:vertAlign w:val="subscript"/>
          <w:lang w:val="es-ES"/>
        </w:rPr>
        <w:t>q</w:t>
      </w:r>
      <w:r w:rsidRPr="00DD1A20">
        <w:rPr>
          <w:bCs/>
          <w:lang w:val="es-ES"/>
        </w:rPr>
        <w:t>)</w:t>
      </w:r>
      <w:r w:rsidRPr="00DD1A20">
        <w:rPr>
          <w:bCs/>
          <w:iCs/>
        </w:rPr>
        <w:t xml:space="preserve">] </w:t>
      </w:r>
      <w:r w:rsidRPr="00DD1A20">
        <w:rPr>
          <w:bCs/>
          <w:lang w:val="es-ES"/>
        </w:rPr>
        <w:t>–</w:t>
      </w:r>
      <w:r w:rsidRPr="00DD1A20">
        <w:rPr>
          <w:noProof/>
          <w:position w:val="-22"/>
        </w:rPr>
        <w:t xml:space="preserve"> </w:t>
      </w:r>
      <w:r w:rsidRPr="00DD1A20">
        <w:rPr>
          <w:position w:val="-18"/>
        </w:rPr>
        <w:object w:dxaOrig="225" w:dyaOrig="420" w14:anchorId="2A126421">
          <v:shape id="_x0000_i1344" type="#_x0000_t75" style="width:12pt;height:24pt" o:ole="">
            <v:imagedata r:id="rId159" o:title=""/>
          </v:shape>
          <o:OLEObject Type="Embed" ProgID="Equation.3" ShapeID="_x0000_i1344" DrawAspect="Content" ObjectID="_1815025532" r:id="rId426"/>
        </w:object>
      </w:r>
      <w:r w:rsidRPr="00DD1A20">
        <w:rPr>
          <w:noProof/>
          <w:position w:val="-22"/>
        </w:rPr>
        <w:t xml:space="preserve"> </w:t>
      </w:r>
      <w:r w:rsidRPr="00DD1A20">
        <w:rPr>
          <w:bCs/>
          <w:iCs/>
        </w:rPr>
        <w:t xml:space="preserve">TELRRSRC </w:t>
      </w:r>
      <w:r w:rsidRPr="00DD1A20">
        <w:rPr>
          <w:bCs/>
          <w:i/>
          <w:vertAlign w:val="subscript"/>
          <w:lang w:val="es-ES"/>
        </w:rPr>
        <w:t>q, r</w:t>
      </w:r>
      <w:r w:rsidRPr="00DD1A20">
        <w:rPr>
          <w:bCs/>
          <w:iCs/>
          <w:lang w:val="es-ES"/>
        </w:rPr>
        <w:t>, 0)</w:t>
      </w:r>
    </w:p>
    <w:p w14:paraId="7992250E" w14:textId="77777777" w:rsidR="00745851" w:rsidRPr="00DD1A20" w:rsidRDefault="00745851" w:rsidP="00745851">
      <w:pPr>
        <w:spacing w:after="240"/>
        <w:ind w:leftChars="300" w:left="780" w:hangingChars="25" w:hanging="60"/>
        <w:rPr>
          <w:bCs/>
          <w:iCs/>
        </w:rPr>
      </w:pPr>
      <w:r w:rsidRPr="00DD1A20">
        <w:rPr>
          <w:bCs/>
          <w:iCs/>
        </w:rPr>
        <w:t>Where for Load Resources, other than Controllable Load Resources, during an RRS deployment event:</w:t>
      </w:r>
    </w:p>
    <w:p w14:paraId="76A4953A" w14:textId="77777777" w:rsidR="00745851" w:rsidRPr="00DD1A20" w:rsidRDefault="00745851" w:rsidP="00745851">
      <w:pPr>
        <w:spacing w:after="240"/>
        <w:ind w:leftChars="300" w:left="2880" w:hangingChars="900" w:hanging="2160"/>
        <w:rPr>
          <w:bCs/>
          <w:iCs/>
          <w:lang w:val="es-ES"/>
        </w:rPr>
      </w:pPr>
      <w:r w:rsidRPr="00DD1A20">
        <w:rPr>
          <w:bCs/>
          <w:iCs/>
        </w:rPr>
        <w:t>TELRRSRC</w:t>
      </w:r>
      <w:r w:rsidRPr="00DD1A20">
        <w:rPr>
          <w:bCs/>
          <w:i/>
          <w:vertAlign w:val="subscript"/>
          <w:lang w:val="es-ES"/>
        </w:rPr>
        <w:t xml:space="preserve"> q, r  </w:t>
      </w:r>
      <w:r w:rsidRPr="00DD1A20">
        <w:t>=</w:t>
      </w:r>
      <w:r w:rsidRPr="00DD1A20">
        <w:rPr>
          <w:bCs/>
          <w:i/>
          <w:vertAlign w:val="subscript"/>
          <w:lang w:val="es-ES"/>
        </w:rPr>
        <w:t xml:space="preserve"> </w:t>
      </w:r>
      <w:r w:rsidRPr="00DD1A20">
        <w:rPr>
          <w:bCs/>
          <w:iCs/>
          <w:lang w:val="es-ES"/>
        </w:rPr>
        <w:t xml:space="preserve">Min (NPF </w:t>
      </w:r>
      <w:r w:rsidRPr="00DD1A20">
        <w:rPr>
          <w:bCs/>
          <w:i/>
          <w:vertAlign w:val="subscript"/>
          <w:lang w:val="es-ES"/>
        </w:rPr>
        <w:t>q, r</w:t>
      </w:r>
      <w:r w:rsidRPr="00DD1A20">
        <w:rPr>
          <w:bCs/>
          <w:iCs/>
          <w:lang w:val="es-ES"/>
        </w:rPr>
        <w:t xml:space="preserve"> – LPC </w:t>
      </w:r>
      <w:r w:rsidRPr="00DD1A20">
        <w:rPr>
          <w:bCs/>
          <w:i/>
          <w:vertAlign w:val="subscript"/>
          <w:lang w:val="es-ES"/>
        </w:rPr>
        <w:t>q, r</w:t>
      </w:r>
      <w:r w:rsidRPr="00DD1A20">
        <w:rPr>
          <w:bCs/>
          <w:iCs/>
          <w:lang w:val="es-ES"/>
        </w:rPr>
        <w:t xml:space="preserve">, TELRRSR </w:t>
      </w:r>
      <w:r w:rsidRPr="00DD1A20">
        <w:rPr>
          <w:bCs/>
          <w:i/>
          <w:vertAlign w:val="subscript"/>
          <w:lang w:val="es-ES"/>
        </w:rPr>
        <w:t>q, r</w:t>
      </w:r>
      <w:r w:rsidRPr="00DD1A20">
        <w:rPr>
          <w:bCs/>
          <w:iCs/>
          <w:lang w:val="es-ES"/>
        </w:rPr>
        <w:t xml:space="preserve">) </w:t>
      </w:r>
      <w:r>
        <w:rPr>
          <w:bCs/>
          <w:iCs/>
          <w:lang w:val="es-ES"/>
        </w:rPr>
        <w:t xml:space="preserve">where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q, r</w:t>
      </w:r>
      <w:r w:rsidRPr="00DD1A20">
        <w:rPr>
          <w:bCs/>
          <w:iCs/>
          <w:lang w:val="es-ES"/>
        </w:rPr>
        <w:t xml:space="preserve"> </w:t>
      </w:r>
      <w:r>
        <w:rPr>
          <w:bCs/>
          <w:iCs/>
          <w:lang w:val="es-ES"/>
        </w:rPr>
        <w:t xml:space="preserve">are derived from respective </w:t>
      </w:r>
      <w:r w:rsidRPr="00DD1A20">
        <w:rPr>
          <w:bCs/>
          <w:iCs/>
          <w:lang w:val="es-ES"/>
        </w:rPr>
        <w:t>snapshot</w:t>
      </w:r>
      <w:r>
        <w:rPr>
          <w:bCs/>
          <w:iCs/>
          <w:lang w:val="es-ES"/>
        </w:rPr>
        <w:t>s</w:t>
      </w:r>
      <w:r w:rsidRPr="00DD1A20">
        <w:rPr>
          <w:bCs/>
          <w:iCs/>
          <w:lang w:val="es-ES"/>
        </w:rPr>
        <w:t xml:space="preserve"> </w:t>
      </w:r>
      <w:r>
        <w:rPr>
          <w:bCs/>
          <w:iCs/>
          <w:lang w:val="es-ES"/>
        </w:rPr>
        <w:t>taken immediately prior to the</w:t>
      </w:r>
      <w:r w:rsidRPr="00DD1A20">
        <w:rPr>
          <w:bCs/>
          <w:iCs/>
          <w:lang w:val="es-ES"/>
        </w:rPr>
        <w:t xml:space="preserve"> time of deployment </w:t>
      </w:r>
      <w:r>
        <w:rPr>
          <w:bCs/>
          <w:iCs/>
          <w:lang w:val="es-ES"/>
        </w:rPr>
        <w:t xml:space="preserve">which will be used from deployment </w:t>
      </w:r>
      <w:r w:rsidRPr="00DD1A20">
        <w:rPr>
          <w:bCs/>
          <w:iCs/>
          <w:lang w:val="es-ES"/>
        </w:rPr>
        <w:t>until 180 minutes after recall or if</w:t>
      </w:r>
      <w:r w:rsidRPr="00DD1A20">
        <w:t xml:space="preserve"> the time between a recall of Load Resources and a redeployment is less than 180 minutes, the snapshot to be used </w:t>
      </w:r>
      <w:r>
        <w:t xml:space="preserve">for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q, r</w:t>
      </w:r>
      <w:r w:rsidRPr="00DD1A20">
        <w:rPr>
          <w:bCs/>
          <w:iCs/>
          <w:lang w:val="es-ES"/>
        </w:rPr>
        <w:t xml:space="preserve"> </w:t>
      </w:r>
      <w:r w:rsidRPr="00DD1A20">
        <w:t>will be the time of the first deployment</w:t>
      </w:r>
    </w:p>
    <w:p w14:paraId="22FDB7C0" w14:textId="77777777" w:rsidR="00745851" w:rsidRPr="00DD1A20" w:rsidRDefault="00745851" w:rsidP="00745851">
      <w:pPr>
        <w:spacing w:after="240"/>
        <w:ind w:leftChars="300" w:left="780" w:hangingChars="25" w:hanging="60"/>
        <w:rPr>
          <w:bCs/>
          <w:iCs/>
        </w:rPr>
      </w:pPr>
      <w:r w:rsidRPr="00DD1A20">
        <w:rPr>
          <w:bCs/>
          <w:iCs/>
        </w:rPr>
        <w:lastRenderedPageBreak/>
        <w:t>Where for Load Resources, other than Controllable Load Resources, prior to an RRS deployment event:</w:t>
      </w:r>
    </w:p>
    <w:p w14:paraId="7A7F06F4" w14:textId="77777777" w:rsidR="00745851" w:rsidRPr="00DD1A20" w:rsidRDefault="00745851" w:rsidP="00745851">
      <w:pPr>
        <w:spacing w:after="240"/>
        <w:ind w:leftChars="300" w:left="2880" w:hangingChars="900" w:hanging="2160"/>
        <w:rPr>
          <w:bCs/>
          <w:iCs/>
          <w:lang w:val="fr-FR"/>
        </w:rPr>
      </w:pPr>
      <w:r w:rsidRPr="00DD1A20">
        <w:rPr>
          <w:bCs/>
          <w:iCs/>
        </w:rPr>
        <w:t>TELRRSRC</w:t>
      </w:r>
      <w:r w:rsidRPr="00DD1A20">
        <w:rPr>
          <w:bCs/>
          <w:i/>
          <w:vertAlign w:val="subscript"/>
          <w:lang w:val="es-ES"/>
        </w:rPr>
        <w:t xml:space="preserve"> q, r  </w:t>
      </w:r>
      <w:r w:rsidRPr="00DD1A20">
        <w:t>=</w:t>
      </w:r>
      <w:r w:rsidRPr="00DD1A20">
        <w:rPr>
          <w:bCs/>
          <w:i/>
          <w:vertAlign w:val="subscript"/>
          <w:lang w:val="es-ES"/>
        </w:rPr>
        <w:t xml:space="preserve"> </w:t>
      </w:r>
      <w:r w:rsidRPr="00DD1A20">
        <w:rPr>
          <w:bCs/>
          <w:iCs/>
          <w:lang w:val="es-ES"/>
        </w:rPr>
        <w:t xml:space="preserve">Min (NPF </w:t>
      </w:r>
      <w:r w:rsidRPr="00DD1A20">
        <w:rPr>
          <w:bCs/>
          <w:i/>
          <w:vertAlign w:val="subscript"/>
          <w:lang w:val="es-ES"/>
        </w:rPr>
        <w:t>q, r</w:t>
      </w:r>
      <w:r w:rsidRPr="00DD1A20">
        <w:rPr>
          <w:bCs/>
          <w:iCs/>
          <w:lang w:val="es-ES"/>
        </w:rPr>
        <w:t xml:space="preserve"> – LPC</w:t>
      </w:r>
      <w:r w:rsidRPr="00DD1A20">
        <w:rPr>
          <w:bCs/>
          <w:i/>
          <w:vertAlign w:val="subscript"/>
          <w:lang w:val="es-ES"/>
        </w:rPr>
        <w:t xml:space="preserve"> q, r</w:t>
      </w:r>
      <w:r w:rsidRPr="00DD1A20">
        <w:rPr>
          <w:bCs/>
          <w:iCs/>
          <w:lang w:val="es-ES"/>
        </w:rPr>
        <w:t xml:space="preserve">, TELRRSR </w:t>
      </w:r>
      <w:r w:rsidRPr="00DD1A20">
        <w:rPr>
          <w:bCs/>
          <w:i/>
          <w:vertAlign w:val="subscript"/>
          <w:lang w:val="es-ES"/>
        </w:rPr>
        <w:t>q, r</w:t>
      </w:r>
      <w:r w:rsidRPr="00DD1A20">
        <w:rPr>
          <w:bCs/>
          <w:iCs/>
          <w:lang w:val="es-ES"/>
        </w:rPr>
        <w:t xml:space="preserve">) </w:t>
      </w:r>
    </w:p>
    <w:p w14:paraId="763AC668" w14:textId="77777777" w:rsidR="00745851" w:rsidRPr="00DD1A20" w:rsidRDefault="00745851" w:rsidP="00745851">
      <w:pPr>
        <w:spacing w:after="240"/>
        <w:ind w:leftChars="300" w:left="2880" w:hangingChars="900" w:hanging="2160"/>
        <w:rPr>
          <w:bCs/>
          <w:lang w:val="fr-FR"/>
        </w:rPr>
      </w:pPr>
      <w:r w:rsidRPr="00DD1A20">
        <w:rPr>
          <w:bCs/>
          <w:lang w:val="fr-FR"/>
        </w:rPr>
        <w:t xml:space="preserve">SARRQ </w:t>
      </w:r>
      <w:r w:rsidRPr="00DD1A20">
        <w:rPr>
          <w:bCs/>
          <w:i/>
          <w:vertAlign w:val="subscript"/>
          <w:lang w:val="fr-FR"/>
        </w:rPr>
        <w:t xml:space="preserve">q </w:t>
      </w:r>
      <w:r w:rsidRPr="00DD1A20">
        <w:rPr>
          <w:bCs/>
          <w:lang w:val="fr-FR"/>
        </w:rPr>
        <w:t xml:space="preserve">= DASARRQ </w:t>
      </w:r>
      <w:r w:rsidRPr="00DD1A20">
        <w:rPr>
          <w:bCs/>
          <w:i/>
          <w:vertAlign w:val="subscript"/>
          <w:lang w:val="fr-FR"/>
        </w:rPr>
        <w:t>q</w:t>
      </w:r>
      <w:r w:rsidRPr="00DD1A20">
        <w:rPr>
          <w:bCs/>
          <w:lang w:val="fr-FR"/>
        </w:rPr>
        <w:t xml:space="preserve"> + RTSARRQ </w:t>
      </w:r>
      <w:r w:rsidRPr="00DD1A20">
        <w:rPr>
          <w:bCs/>
          <w:i/>
          <w:vertAlign w:val="subscript"/>
          <w:lang w:val="fr-FR"/>
        </w:rPr>
        <w:t>q</w:t>
      </w:r>
    </w:p>
    <w:p w14:paraId="47DA8914" w14:textId="77777777" w:rsidR="00745851" w:rsidRPr="00DD1A20" w:rsidRDefault="00745851" w:rsidP="00745851">
      <w:r w:rsidRPr="00DD1A20">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840"/>
        <w:gridCol w:w="6560"/>
      </w:tblGrid>
      <w:tr w:rsidR="00745851" w:rsidRPr="00DD1A20" w14:paraId="1859F8BB" w14:textId="77777777" w:rsidTr="00507A85">
        <w:tc>
          <w:tcPr>
            <w:tcW w:w="1043" w:type="pct"/>
          </w:tcPr>
          <w:p w14:paraId="25C9A380" w14:textId="77777777" w:rsidR="00745851" w:rsidRPr="00DD1A20" w:rsidRDefault="00745851" w:rsidP="00507A85">
            <w:pPr>
              <w:spacing w:after="240"/>
              <w:rPr>
                <w:b/>
                <w:iCs/>
                <w:sz w:val="20"/>
              </w:rPr>
            </w:pPr>
            <w:r w:rsidRPr="00DD1A20">
              <w:rPr>
                <w:b/>
                <w:iCs/>
                <w:sz w:val="20"/>
              </w:rPr>
              <w:t>Variable</w:t>
            </w:r>
          </w:p>
        </w:tc>
        <w:tc>
          <w:tcPr>
            <w:tcW w:w="449" w:type="pct"/>
          </w:tcPr>
          <w:p w14:paraId="43923A2B" w14:textId="77777777" w:rsidR="00745851" w:rsidRPr="00DD1A20" w:rsidRDefault="00745851" w:rsidP="00507A85">
            <w:pPr>
              <w:spacing w:after="240"/>
              <w:rPr>
                <w:b/>
                <w:iCs/>
                <w:sz w:val="20"/>
              </w:rPr>
            </w:pPr>
            <w:r w:rsidRPr="00DD1A20">
              <w:rPr>
                <w:b/>
                <w:iCs/>
                <w:sz w:val="20"/>
              </w:rPr>
              <w:t>Unit</w:t>
            </w:r>
          </w:p>
        </w:tc>
        <w:tc>
          <w:tcPr>
            <w:tcW w:w="3508" w:type="pct"/>
          </w:tcPr>
          <w:p w14:paraId="5BCE6733" w14:textId="77777777" w:rsidR="00745851" w:rsidRPr="00DD1A20" w:rsidRDefault="00745851" w:rsidP="00507A85">
            <w:pPr>
              <w:spacing w:after="240"/>
              <w:rPr>
                <w:b/>
                <w:iCs/>
                <w:sz w:val="20"/>
              </w:rPr>
            </w:pPr>
            <w:r w:rsidRPr="00DD1A20">
              <w:rPr>
                <w:b/>
                <w:iCs/>
                <w:sz w:val="20"/>
              </w:rPr>
              <w:t>Description</w:t>
            </w:r>
          </w:p>
        </w:tc>
      </w:tr>
      <w:tr w:rsidR="00745851" w:rsidRPr="00DD1A20" w14:paraId="282D1D16" w14:textId="77777777" w:rsidTr="00507A85">
        <w:tc>
          <w:tcPr>
            <w:tcW w:w="1043" w:type="pct"/>
          </w:tcPr>
          <w:p w14:paraId="4EA7D24F" w14:textId="77777777" w:rsidR="00745851" w:rsidRPr="00DD1A20" w:rsidRDefault="00745851" w:rsidP="00507A85">
            <w:pPr>
              <w:spacing w:after="60"/>
              <w:rPr>
                <w:iCs/>
                <w:sz w:val="20"/>
              </w:rPr>
            </w:pPr>
            <w:r w:rsidRPr="00DD1A20">
              <w:rPr>
                <w:iCs/>
                <w:sz w:val="20"/>
              </w:rPr>
              <w:t>RRFQAMTQSETOT</w:t>
            </w:r>
            <w:r w:rsidRPr="00DD1A20">
              <w:rPr>
                <w:i/>
                <w:iCs/>
                <w:sz w:val="20"/>
              </w:rPr>
              <w:t xml:space="preserve"> </w:t>
            </w:r>
            <w:r w:rsidRPr="00DD1A20">
              <w:rPr>
                <w:i/>
                <w:iCs/>
                <w:sz w:val="20"/>
                <w:vertAlign w:val="subscript"/>
              </w:rPr>
              <w:t>q</w:t>
            </w:r>
          </w:p>
        </w:tc>
        <w:tc>
          <w:tcPr>
            <w:tcW w:w="449" w:type="pct"/>
          </w:tcPr>
          <w:p w14:paraId="173BF944" w14:textId="77777777" w:rsidR="00745851" w:rsidRPr="00DD1A20" w:rsidRDefault="00745851" w:rsidP="00507A85">
            <w:pPr>
              <w:spacing w:after="60"/>
              <w:rPr>
                <w:iCs/>
                <w:sz w:val="20"/>
              </w:rPr>
            </w:pPr>
            <w:r w:rsidRPr="00DD1A20">
              <w:rPr>
                <w:iCs/>
                <w:sz w:val="20"/>
              </w:rPr>
              <w:t>$</w:t>
            </w:r>
          </w:p>
        </w:tc>
        <w:tc>
          <w:tcPr>
            <w:tcW w:w="3508" w:type="pct"/>
          </w:tcPr>
          <w:p w14:paraId="72D67400" w14:textId="77777777" w:rsidR="00745851" w:rsidRPr="00DD1A20" w:rsidRDefault="00745851" w:rsidP="00507A85">
            <w:pPr>
              <w:spacing w:after="60"/>
              <w:rPr>
                <w:i/>
                <w:iCs/>
                <w:sz w:val="20"/>
              </w:rPr>
            </w:pPr>
            <w:r w:rsidRPr="00DD1A20">
              <w:rPr>
                <w:i/>
                <w:iCs/>
                <w:sz w:val="20"/>
              </w:rPr>
              <w:t>Responsive Reserve Failure Quantity Amount per QSE</w:t>
            </w:r>
            <w:r w:rsidRPr="00DD1A20">
              <w:rPr>
                <w:iCs/>
                <w:sz w:val="20"/>
              </w:rPr>
              <w:t xml:space="preserve">—The total charge to QSE </w:t>
            </w:r>
            <w:r w:rsidRPr="00DD1A20">
              <w:rPr>
                <w:i/>
                <w:iCs/>
                <w:sz w:val="20"/>
              </w:rPr>
              <w:t>q</w:t>
            </w:r>
            <w:r w:rsidRPr="00DD1A20">
              <w:rPr>
                <w:iCs/>
                <w:sz w:val="20"/>
              </w:rPr>
              <w:t xml:space="preserve"> for its total capacity associated with failures and </w:t>
            </w:r>
            <w:r w:rsidRPr="00DD1A20">
              <w:rPr>
                <w:sz w:val="20"/>
              </w:rPr>
              <w:t xml:space="preserve">reconfiguration reductions </w:t>
            </w:r>
            <w:r w:rsidRPr="00DD1A20">
              <w:rPr>
                <w:iCs/>
                <w:sz w:val="20"/>
              </w:rPr>
              <w:t>on its Ancillary Service Supply Responsibility for RRS, for the hour.</w:t>
            </w:r>
          </w:p>
        </w:tc>
      </w:tr>
      <w:tr w:rsidR="00745851" w:rsidRPr="00DD1A20" w14:paraId="218FDD19" w14:textId="77777777" w:rsidTr="00507A85">
        <w:tc>
          <w:tcPr>
            <w:tcW w:w="1043" w:type="pct"/>
          </w:tcPr>
          <w:p w14:paraId="65C19CD9" w14:textId="77777777" w:rsidR="00745851" w:rsidRPr="00DD1A20" w:rsidRDefault="00745851" w:rsidP="00507A85">
            <w:pPr>
              <w:spacing w:after="60"/>
              <w:rPr>
                <w:iCs/>
                <w:sz w:val="20"/>
              </w:rPr>
            </w:pPr>
            <w:r w:rsidRPr="00DD1A20">
              <w:rPr>
                <w:iCs/>
                <w:sz w:val="20"/>
              </w:rPr>
              <w:t>RRRFQAMT</w:t>
            </w:r>
            <w:r w:rsidRPr="00DD1A20">
              <w:rPr>
                <w:i/>
                <w:iCs/>
                <w:sz w:val="20"/>
              </w:rPr>
              <w:t xml:space="preserve"> </w:t>
            </w:r>
            <w:r w:rsidRPr="00DD1A20">
              <w:rPr>
                <w:i/>
                <w:iCs/>
                <w:sz w:val="20"/>
                <w:vertAlign w:val="subscript"/>
              </w:rPr>
              <w:t>q</w:t>
            </w:r>
          </w:p>
        </w:tc>
        <w:tc>
          <w:tcPr>
            <w:tcW w:w="449" w:type="pct"/>
          </w:tcPr>
          <w:p w14:paraId="4FAB1217" w14:textId="77777777" w:rsidR="00745851" w:rsidRPr="00DD1A20" w:rsidRDefault="00745851" w:rsidP="00507A85">
            <w:pPr>
              <w:spacing w:after="60"/>
              <w:rPr>
                <w:iCs/>
                <w:sz w:val="20"/>
              </w:rPr>
            </w:pPr>
            <w:r w:rsidRPr="00DD1A20">
              <w:rPr>
                <w:iCs/>
                <w:sz w:val="20"/>
              </w:rPr>
              <w:t>$</w:t>
            </w:r>
          </w:p>
        </w:tc>
        <w:tc>
          <w:tcPr>
            <w:tcW w:w="3508" w:type="pct"/>
          </w:tcPr>
          <w:p w14:paraId="70E1CD5A" w14:textId="77777777" w:rsidR="00745851" w:rsidRPr="00DD1A20" w:rsidRDefault="00745851" w:rsidP="00507A85">
            <w:pPr>
              <w:spacing w:after="60"/>
              <w:rPr>
                <w:i/>
                <w:iCs/>
                <w:sz w:val="20"/>
              </w:rPr>
            </w:pPr>
            <w:r w:rsidRPr="00DD1A20">
              <w:rPr>
                <w:i/>
                <w:sz w:val="20"/>
              </w:rPr>
              <w:t xml:space="preserve">Reconfiguration </w:t>
            </w:r>
            <w:r w:rsidRPr="00DD1A20">
              <w:rPr>
                <w:i/>
                <w:iCs/>
                <w:sz w:val="20"/>
              </w:rPr>
              <w:t>Responsive Reserve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w:t>
            </w:r>
            <w:r w:rsidRPr="00DD1A20">
              <w:rPr>
                <w:sz w:val="20"/>
              </w:rPr>
              <w:t xml:space="preserve">reconfiguration reductions </w:t>
            </w:r>
            <w:r w:rsidRPr="00DD1A20">
              <w:rPr>
                <w:iCs/>
                <w:sz w:val="20"/>
              </w:rPr>
              <w:t>on its Ancillary Service Supply Responsibility for RRS, for the hour.</w:t>
            </w:r>
          </w:p>
        </w:tc>
      </w:tr>
      <w:tr w:rsidR="00745851" w:rsidRPr="00DD1A20" w14:paraId="20952256" w14:textId="77777777" w:rsidTr="00507A85">
        <w:tc>
          <w:tcPr>
            <w:tcW w:w="1043" w:type="pct"/>
          </w:tcPr>
          <w:p w14:paraId="2721D509" w14:textId="77777777" w:rsidR="00745851" w:rsidRPr="00DD1A20" w:rsidRDefault="00745851" w:rsidP="00507A85">
            <w:pPr>
              <w:spacing w:after="60"/>
              <w:rPr>
                <w:iCs/>
                <w:sz w:val="20"/>
              </w:rPr>
            </w:pPr>
            <w:r w:rsidRPr="00DD1A20">
              <w:rPr>
                <w:iCs/>
                <w:sz w:val="20"/>
              </w:rPr>
              <w:t>RRFQAMT</w:t>
            </w:r>
            <w:r w:rsidRPr="00DD1A20">
              <w:rPr>
                <w:i/>
                <w:iCs/>
                <w:sz w:val="20"/>
              </w:rPr>
              <w:t xml:space="preserve"> </w:t>
            </w:r>
            <w:r w:rsidRPr="00DD1A20">
              <w:rPr>
                <w:i/>
                <w:iCs/>
                <w:sz w:val="20"/>
                <w:vertAlign w:val="subscript"/>
              </w:rPr>
              <w:t>q</w:t>
            </w:r>
          </w:p>
        </w:tc>
        <w:tc>
          <w:tcPr>
            <w:tcW w:w="449" w:type="pct"/>
          </w:tcPr>
          <w:p w14:paraId="57F682A6" w14:textId="77777777" w:rsidR="00745851" w:rsidRPr="00DD1A20" w:rsidRDefault="00745851" w:rsidP="00507A85">
            <w:pPr>
              <w:spacing w:after="60"/>
              <w:rPr>
                <w:iCs/>
                <w:sz w:val="20"/>
              </w:rPr>
            </w:pPr>
            <w:r w:rsidRPr="00DD1A20">
              <w:rPr>
                <w:iCs/>
                <w:sz w:val="20"/>
              </w:rPr>
              <w:t>$</w:t>
            </w:r>
          </w:p>
        </w:tc>
        <w:tc>
          <w:tcPr>
            <w:tcW w:w="3508" w:type="pct"/>
          </w:tcPr>
          <w:p w14:paraId="26FF05FA" w14:textId="77777777" w:rsidR="00745851" w:rsidRPr="00DD1A20" w:rsidRDefault="00745851" w:rsidP="00507A85">
            <w:pPr>
              <w:spacing w:after="60"/>
              <w:rPr>
                <w:iCs/>
                <w:sz w:val="20"/>
              </w:rPr>
            </w:pPr>
            <w:r w:rsidRPr="00DD1A20">
              <w:rPr>
                <w:i/>
                <w:iCs/>
                <w:sz w:val="20"/>
              </w:rPr>
              <w:t>Responsive Reserve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failures on its Ancillary Service Supply Responsibility for RRS, for the hour.</w:t>
            </w:r>
          </w:p>
        </w:tc>
      </w:tr>
      <w:tr w:rsidR="00745851" w:rsidRPr="00DD1A20" w14:paraId="57E75AFE" w14:textId="77777777" w:rsidTr="00507A85">
        <w:tc>
          <w:tcPr>
            <w:tcW w:w="1043" w:type="pct"/>
            <w:tcBorders>
              <w:top w:val="single" w:sz="4" w:space="0" w:color="auto"/>
              <w:left w:val="single" w:sz="4" w:space="0" w:color="auto"/>
              <w:bottom w:val="single" w:sz="4" w:space="0" w:color="auto"/>
              <w:right w:val="single" w:sz="4" w:space="0" w:color="auto"/>
            </w:tcBorders>
          </w:tcPr>
          <w:p w14:paraId="145300E8" w14:textId="77777777" w:rsidR="00745851" w:rsidRPr="00DD1A20" w:rsidRDefault="00745851" w:rsidP="00507A85">
            <w:pPr>
              <w:spacing w:after="60"/>
              <w:rPr>
                <w:iCs/>
                <w:sz w:val="20"/>
              </w:rPr>
            </w:pPr>
            <w:r w:rsidRPr="00DD1A20">
              <w:rPr>
                <w:iCs/>
                <w:sz w:val="20"/>
              </w:rPr>
              <w:t xml:space="preserve">MCPCRR </w:t>
            </w:r>
            <w:r w:rsidRPr="00DD1A20">
              <w:rPr>
                <w:i/>
                <w:iCs/>
                <w:sz w:val="20"/>
                <w:vertAlign w:val="subscript"/>
              </w:rPr>
              <w:t>m</w:t>
            </w:r>
          </w:p>
        </w:tc>
        <w:tc>
          <w:tcPr>
            <w:tcW w:w="449" w:type="pct"/>
            <w:tcBorders>
              <w:top w:val="single" w:sz="4" w:space="0" w:color="auto"/>
              <w:left w:val="single" w:sz="4" w:space="0" w:color="auto"/>
              <w:bottom w:val="single" w:sz="4" w:space="0" w:color="auto"/>
              <w:right w:val="single" w:sz="4" w:space="0" w:color="auto"/>
            </w:tcBorders>
          </w:tcPr>
          <w:p w14:paraId="4F567895" w14:textId="77777777" w:rsidR="00745851" w:rsidRPr="00DD1A20" w:rsidRDefault="00745851" w:rsidP="00507A85">
            <w:pPr>
              <w:spacing w:after="60"/>
              <w:rPr>
                <w:iCs/>
                <w:sz w:val="20"/>
              </w:rPr>
            </w:pPr>
            <w:r w:rsidRPr="00DD1A20">
              <w:rPr>
                <w:iCs/>
                <w:sz w:val="20"/>
              </w:rPr>
              <w:t>$/MW per hour</w:t>
            </w:r>
          </w:p>
        </w:tc>
        <w:tc>
          <w:tcPr>
            <w:tcW w:w="3508" w:type="pct"/>
            <w:tcBorders>
              <w:top w:val="single" w:sz="4" w:space="0" w:color="auto"/>
              <w:left w:val="single" w:sz="4" w:space="0" w:color="auto"/>
              <w:bottom w:val="single" w:sz="4" w:space="0" w:color="auto"/>
              <w:right w:val="single" w:sz="4" w:space="0" w:color="auto"/>
            </w:tcBorders>
          </w:tcPr>
          <w:p w14:paraId="435CBDBA" w14:textId="77777777" w:rsidR="00745851" w:rsidRPr="00DD1A20" w:rsidRDefault="00745851" w:rsidP="00507A85">
            <w:pPr>
              <w:spacing w:after="60"/>
              <w:rPr>
                <w:i/>
                <w:iCs/>
                <w:sz w:val="20"/>
              </w:rPr>
            </w:pPr>
            <w:r w:rsidRPr="00DD1A20">
              <w:rPr>
                <w:i/>
                <w:iCs/>
                <w:sz w:val="20"/>
              </w:rPr>
              <w:t>Market Clearing Price for Capacity for Responsive Reserve per market—</w:t>
            </w:r>
            <w:r w:rsidRPr="00DD1A20">
              <w:rPr>
                <w:iCs/>
                <w:sz w:val="20"/>
              </w:rPr>
              <w:t xml:space="preserve">The MCPC for RRS in the market </w:t>
            </w:r>
            <w:r w:rsidRPr="00DD1A20">
              <w:rPr>
                <w:i/>
                <w:iCs/>
                <w:sz w:val="20"/>
              </w:rPr>
              <w:t>m</w:t>
            </w:r>
            <w:r w:rsidRPr="00DD1A20">
              <w:rPr>
                <w:iCs/>
                <w:sz w:val="20"/>
              </w:rPr>
              <w:t>, for the hour.</w:t>
            </w:r>
          </w:p>
        </w:tc>
      </w:tr>
      <w:tr w:rsidR="00745851" w:rsidRPr="00DD1A20" w14:paraId="46409BE4" w14:textId="77777777" w:rsidTr="00507A85">
        <w:tc>
          <w:tcPr>
            <w:tcW w:w="1043" w:type="pct"/>
            <w:tcBorders>
              <w:top w:val="single" w:sz="4" w:space="0" w:color="auto"/>
              <w:left w:val="single" w:sz="4" w:space="0" w:color="auto"/>
              <w:bottom w:val="single" w:sz="4" w:space="0" w:color="auto"/>
              <w:right w:val="single" w:sz="4" w:space="0" w:color="auto"/>
            </w:tcBorders>
          </w:tcPr>
          <w:p w14:paraId="619A949E" w14:textId="77777777" w:rsidR="00745851" w:rsidRPr="00DD1A20" w:rsidRDefault="00745851" w:rsidP="00507A85">
            <w:pPr>
              <w:spacing w:after="60"/>
              <w:rPr>
                <w:iCs/>
                <w:sz w:val="20"/>
              </w:rPr>
            </w:pPr>
            <w:r w:rsidRPr="00DD1A20">
              <w:rPr>
                <w:sz w:val="20"/>
              </w:rPr>
              <w:t xml:space="preserve">MCPCRR </w:t>
            </w:r>
            <w:r w:rsidRPr="00DD1A20">
              <w:rPr>
                <w:i/>
                <w:sz w:val="20"/>
                <w:vertAlign w:val="subscript"/>
              </w:rPr>
              <w:t>rs</w:t>
            </w:r>
          </w:p>
        </w:tc>
        <w:tc>
          <w:tcPr>
            <w:tcW w:w="449" w:type="pct"/>
            <w:tcBorders>
              <w:top w:val="single" w:sz="4" w:space="0" w:color="auto"/>
              <w:left w:val="single" w:sz="4" w:space="0" w:color="auto"/>
              <w:bottom w:val="single" w:sz="4" w:space="0" w:color="auto"/>
              <w:right w:val="single" w:sz="4" w:space="0" w:color="auto"/>
            </w:tcBorders>
          </w:tcPr>
          <w:p w14:paraId="02446325" w14:textId="77777777" w:rsidR="00745851" w:rsidRPr="00DD1A20" w:rsidRDefault="00745851" w:rsidP="00507A85">
            <w:pPr>
              <w:spacing w:after="60"/>
              <w:rPr>
                <w:iCs/>
                <w:sz w:val="20"/>
              </w:rPr>
            </w:pPr>
            <w:r w:rsidRPr="00DD1A20">
              <w:rPr>
                <w:sz w:val="20"/>
              </w:rPr>
              <w:t>$/MW per hour</w:t>
            </w:r>
          </w:p>
        </w:tc>
        <w:tc>
          <w:tcPr>
            <w:tcW w:w="3508" w:type="pct"/>
            <w:tcBorders>
              <w:top w:val="single" w:sz="4" w:space="0" w:color="auto"/>
              <w:left w:val="single" w:sz="4" w:space="0" w:color="auto"/>
              <w:bottom w:val="single" w:sz="4" w:space="0" w:color="auto"/>
              <w:right w:val="single" w:sz="4" w:space="0" w:color="auto"/>
            </w:tcBorders>
          </w:tcPr>
          <w:p w14:paraId="149C2B94" w14:textId="77777777" w:rsidR="00745851" w:rsidRPr="00DD1A20" w:rsidRDefault="00745851" w:rsidP="00507A85">
            <w:pPr>
              <w:spacing w:after="60"/>
              <w:rPr>
                <w:i/>
                <w:iCs/>
                <w:sz w:val="20"/>
              </w:rPr>
            </w:pPr>
            <w:r w:rsidRPr="00DD1A20">
              <w:rPr>
                <w:i/>
                <w:sz w:val="20"/>
              </w:rPr>
              <w:t>Market Clearing Price for Capacity for Responsive Reserve per RSASM—</w:t>
            </w:r>
            <w:r w:rsidRPr="00DD1A20">
              <w:rPr>
                <w:sz w:val="20"/>
              </w:rPr>
              <w:t xml:space="preserve">The MCPC for RRS in the RSASM </w:t>
            </w:r>
            <w:r w:rsidRPr="00DD1A20">
              <w:rPr>
                <w:i/>
                <w:sz w:val="20"/>
              </w:rPr>
              <w:t>rs</w:t>
            </w:r>
            <w:r w:rsidRPr="00DD1A20">
              <w:rPr>
                <w:sz w:val="20"/>
              </w:rPr>
              <w:t>, for the hour.</w:t>
            </w:r>
          </w:p>
        </w:tc>
      </w:tr>
      <w:tr w:rsidR="00745851" w:rsidRPr="00DD1A20" w14:paraId="67B090B9" w14:textId="77777777" w:rsidTr="00507A85">
        <w:tc>
          <w:tcPr>
            <w:tcW w:w="1043" w:type="pct"/>
            <w:tcBorders>
              <w:top w:val="single" w:sz="4" w:space="0" w:color="auto"/>
              <w:left w:val="single" w:sz="4" w:space="0" w:color="auto"/>
              <w:bottom w:val="single" w:sz="4" w:space="0" w:color="auto"/>
              <w:right w:val="single" w:sz="4" w:space="0" w:color="auto"/>
            </w:tcBorders>
          </w:tcPr>
          <w:p w14:paraId="37A9637A" w14:textId="77777777" w:rsidR="00745851" w:rsidRPr="00DD1A20" w:rsidRDefault="00745851" w:rsidP="00507A85">
            <w:pPr>
              <w:spacing w:after="60"/>
              <w:rPr>
                <w:iCs/>
                <w:sz w:val="20"/>
              </w:rPr>
            </w:pPr>
            <w:r w:rsidRPr="00DD1A20">
              <w:rPr>
                <w:iCs/>
                <w:sz w:val="20"/>
              </w:rPr>
              <w:t xml:space="preserve">RRFQ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785A1D81" w14:textId="77777777" w:rsidR="00745851" w:rsidRPr="00DD1A20" w:rsidRDefault="00745851" w:rsidP="00507A85">
            <w:pPr>
              <w:spacing w:after="60"/>
              <w:rPr>
                <w:iCs/>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342AC411" w14:textId="77777777" w:rsidR="00745851" w:rsidRPr="00DD1A20" w:rsidRDefault="00745851" w:rsidP="00507A85">
            <w:pPr>
              <w:spacing w:after="60"/>
              <w:rPr>
                <w:i/>
                <w:iCs/>
                <w:sz w:val="20"/>
              </w:rPr>
            </w:pPr>
            <w:r w:rsidRPr="00DD1A20">
              <w:rPr>
                <w:i/>
                <w:iCs/>
                <w:sz w:val="20"/>
              </w:rPr>
              <w:t>Responsive Reserve Failure Quantity per QSE</w:t>
            </w:r>
            <w:r w:rsidRPr="00DD1A20">
              <w:rPr>
                <w:iCs/>
                <w:sz w:val="20"/>
              </w:rPr>
              <w:t xml:space="preserve">—QSE </w:t>
            </w:r>
            <w:r w:rsidRPr="00DD1A20">
              <w:rPr>
                <w:i/>
                <w:iCs/>
                <w:sz w:val="20"/>
              </w:rPr>
              <w:t>q</w:t>
            </w:r>
            <w:r w:rsidRPr="00DD1A20">
              <w:rPr>
                <w:iCs/>
                <w:sz w:val="20"/>
              </w:rPr>
              <w:t>’s total capacity associated with failures on its Ancillary Service Supply Responsibility for RRS, for the hour.</w:t>
            </w:r>
          </w:p>
        </w:tc>
      </w:tr>
      <w:tr w:rsidR="00745851" w:rsidRPr="00DD1A20" w14:paraId="42143614" w14:textId="77777777" w:rsidTr="00507A85">
        <w:tc>
          <w:tcPr>
            <w:tcW w:w="1043" w:type="pct"/>
            <w:tcBorders>
              <w:top w:val="single" w:sz="4" w:space="0" w:color="auto"/>
              <w:left w:val="single" w:sz="4" w:space="0" w:color="auto"/>
              <w:bottom w:val="single" w:sz="4" w:space="0" w:color="auto"/>
              <w:right w:val="single" w:sz="4" w:space="0" w:color="auto"/>
            </w:tcBorders>
          </w:tcPr>
          <w:p w14:paraId="7BACED28" w14:textId="77777777" w:rsidR="00745851" w:rsidRPr="00DD1A20" w:rsidRDefault="00745851" w:rsidP="00507A85">
            <w:pPr>
              <w:spacing w:after="60"/>
              <w:rPr>
                <w:iCs/>
                <w:sz w:val="20"/>
              </w:rPr>
            </w:pPr>
            <w:r w:rsidRPr="00DD1A20">
              <w:rPr>
                <w:sz w:val="20"/>
              </w:rPr>
              <w:t>RRRFQ</w:t>
            </w:r>
            <w:r w:rsidRPr="00DD1A20">
              <w:rPr>
                <w:i/>
                <w:sz w:val="20"/>
              </w:rPr>
              <w:t xml:space="preserve"> </w:t>
            </w:r>
            <w:r w:rsidRPr="00DD1A20">
              <w:rPr>
                <w:i/>
                <w:iCs/>
                <w:sz w:val="20"/>
                <w:vertAlign w:val="subscript"/>
              </w:rPr>
              <w:t>q,</w:t>
            </w:r>
            <w:r w:rsidRPr="00DD1A20">
              <w:rPr>
                <w:i/>
                <w:sz w:val="20"/>
                <w:vertAlign w:val="subscript"/>
              </w:rPr>
              <w:t xml:space="preserve"> rs</w:t>
            </w:r>
          </w:p>
        </w:tc>
        <w:tc>
          <w:tcPr>
            <w:tcW w:w="449" w:type="pct"/>
            <w:tcBorders>
              <w:top w:val="single" w:sz="4" w:space="0" w:color="auto"/>
              <w:left w:val="single" w:sz="4" w:space="0" w:color="auto"/>
              <w:bottom w:val="single" w:sz="4" w:space="0" w:color="auto"/>
              <w:right w:val="single" w:sz="4" w:space="0" w:color="auto"/>
            </w:tcBorders>
          </w:tcPr>
          <w:p w14:paraId="34132393" w14:textId="77777777" w:rsidR="00745851" w:rsidRPr="00DD1A20" w:rsidRDefault="00745851" w:rsidP="00507A85">
            <w:pPr>
              <w:spacing w:after="60"/>
              <w:rPr>
                <w:iCs/>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5D48849C" w14:textId="77777777" w:rsidR="00745851" w:rsidRPr="00DD1A20" w:rsidRDefault="00745851" w:rsidP="00507A85">
            <w:pPr>
              <w:spacing w:after="60"/>
              <w:rPr>
                <w:iCs/>
                <w:sz w:val="20"/>
              </w:rPr>
            </w:pPr>
            <w:r w:rsidRPr="00DD1A20">
              <w:rPr>
                <w:i/>
                <w:sz w:val="20"/>
              </w:rPr>
              <w:t>Reconfiguration Responsive Reserve Failure Quantity per QSE—</w:t>
            </w:r>
            <w:r w:rsidRPr="00DD1A20">
              <w:rPr>
                <w:sz w:val="20"/>
              </w:rPr>
              <w:t xml:space="preserve">QSE </w:t>
            </w:r>
            <w:r w:rsidRPr="00DD1A20">
              <w:rPr>
                <w:i/>
                <w:sz w:val="20"/>
              </w:rPr>
              <w:t>q</w:t>
            </w:r>
            <w:r w:rsidRPr="00DD1A20">
              <w:rPr>
                <w:sz w:val="20"/>
              </w:rPr>
              <w:t>’s total capacity associated with reconfiguration reductions on its Ancillary Service Supply Responsibility for RRS, for the hour.</w:t>
            </w:r>
          </w:p>
        </w:tc>
      </w:tr>
      <w:tr w:rsidR="00745851" w:rsidRPr="00DD1A20" w14:paraId="28D9F4EB" w14:textId="77777777" w:rsidTr="00507A85">
        <w:tc>
          <w:tcPr>
            <w:tcW w:w="1043" w:type="pct"/>
            <w:tcBorders>
              <w:top w:val="single" w:sz="4" w:space="0" w:color="auto"/>
              <w:left w:val="single" w:sz="4" w:space="0" w:color="auto"/>
              <w:bottom w:val="single" w:sz="4" w:space="0" w:color="auto"/>
              <w:right w:val="single" w:sz="4" w:space="0" w:color="auto"/>
            </w:tcBorders>
          </w:tcPr>
          <w:p w14:paraId="1C6B7C34" w14:textId="77777777" w:rsidR="00745851" w:rsidRPr="00DD1A20" w:rsidRDefault="00745851" w:rsidP="00507A85">
            <w:pPr>
              <w:spacing w:after="60"/>
              <w:rPr>
                <w:bCs/>
                <w:iCs/>
                <w:sz w:val="20"/>
                <w:lang w:val="fr-FR"/>
              </w:rPr>
            </w:pPr>
            <w:r w:rsidRPr="00DD1A20">
              <w:rPr>
                <w:sz w:val="20"/>
              </w:rPr>
              <w:t xml:space="preserve">RTRDP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62888FAF" w14:textId="77777777" w:rsidR="00745851" w:rsidRPr="00DD1A20" w:rsidRDefault="00745851" w:rsidP="00507A85">
            <w:pPr>
              <w:spacing w:after="60"/>
              <w:rPr>
                <w:iCs/>
                <w:sz w:val="20"/>
              </w:rPr>
            </w:pPr>
            <w:r w:rsidRPr="00DD1A20">
              <w:rPr>
                <w:sz w:val="20"/>
              </w:rPr>
              <w:t>$/MWh</w:t>
            </w:r>
          </w:p>
        </w:tc>
        <w:tc>
          <w:tcPr>
            <w:tcW w:w="3508" w:type="pct"/>
            <w:tcBorders>
              <w:top w:val="single" w:sz="4" w:space="0" w:color="auto"/>
              <w:left w:val="single" w:sz="4" w:space="0" w:color="auto"/>
              <w:bottom w:val="single" w:sz="4" w:space="0" w:color="auto"/>
              <w:right w:val="single" w:sz="4" w:space="0" w:color="auto"/>
            </w:tcBorders>
          </w:tcPr>
          <w:p w14:paraId="2BFD20A4" w14:textId="77777777" w:rsidR="00745851" w:rsidRPr="00DD1A20" w:rsidRDefault="00745851" w:rsidP="00507A85">
            <w:pPr>
              <w:spacing w:after="60"/>
              <w:rPr>
                <w:i/>
                <w:iCs/>
                <w:sz w:val="20"/>
              </w:rPr>
            </w:pPr>
            <w:r w:rsidRPr="00DD1A20">
              <w:rPr>
                <w:i/>
                <w:sz w:val="20"/>
              </w:rPr>
              <w:t>Real-Time On-Line Reliability Deployment Price—</w:t>
            </w:r>
            <w:r w:rsidRPr="00DD1A20">
              <w:rPr>
                <w:sz w:val="20"/>
              </w:rPr>
              <w:t xml:space="preserve">The Real-Time price for the 15-minute Settlement Interval </w:t>
            </w:r>
            <w:r w:rsidRPr="00DD1A20">
              <w:rPr>
                <w:i/>
                <w:sz w:val="20"/>
              </w:rPr>
              <w:t>i</w:t>
            </w:r>
            <w:r w:rsidRPr="00DD1A20">
              <w:rPr>
                <w:sz w:val="20"/>
              </w:rPr>
              <w:t>, reflecting the impact of reliability deployments on energy prices that is calculated from the Real-</w:t>
            </w:r>
            <w:r>
              <w:rPr>
                <w:sz w:val="20"/>
              </w:rPr>
              <w:t>T</w:t>
            </w:r>
            <w:r w:rsidRPr="00DD1A20">
              <w:rPr>
                <w:sz w:val="20"/>
              </w:rPr>
              <w:t>ime On-Line Reliability Deployment Price Adder.</w:t>
            </w:r>
          </w:p>
        </w:tc>
      </w:tr>
      <w:tr w:rsidR="00745851" w:rsidRPr="00DD1A20" w14:paraId="292C3665" w14:textId="77777777" w:rsidTr="00507A85">
        <w:tc>
          <w:tcPr>
            <w:tcW w:w="1043" w:type="pct"/>
            <w:tcBorders>
              <w:top w:val="single" w:sz="4" w:space="0" w:color="auto"/>
              <w:left w:val="single" w:sz="4" w:space="0" w:color="auto"/>
              <w:bottom w:val="single" w:sz="4" w:space="0" w:color="auto"/>
              <w:right w:val="single" w:sz="4" w:space="0" w:color="auto"/>
            </w:tcBorders>
          </w:tcPr>
          <w:p w14:paraId="4C959DD5" w14:textId="77777777" w:rsidR="00745851" w:rsidRPr="00DD1A20" w:rsidRDefault="00745851" w:rsidP="00507A85">
            <w:pPr>
              <w:spacing w:after="60"/>
              <w:rPr>
                <w:bCs/>
                <w:iCs/>
                <w:sz w:val="20"/>
                <w:lang w:val="fr-FR"/>
              </w:rPr>
            </w:pPr>
            <w:r w:rsidRPr="00DD1A20">
              <w:rPr>
                <w:sz w:val="20"/>
              </w:rPr>
              <w:t xml:space="preserve">RTRSVPOR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22D4D2A4" w14:textId="77777777" w:rsidR="00745851" w:rsidRPr="00DD1A20" w:rsidRDefault="00745851" w:rsidP="00507A85">
            <w:pPr>
              <w:spacing w:after="60"/>
              <w:rPr>
                <w:iCs/>
                <w:sz w:val="20"/>
              </w:rPr>
            </w:pPr>
            <w:r w:rsidRPr="00DD1A20">
              <w:rPr>
                <w:sz w:val="20"/>
              </w:rPr>
              <w:t>$/MWh</w:t>
            </w:r>
          </w:p>
        </w:tc>
        <w:tc>
          <w:tcPr>
            <w:tcW w:w="3508" w:type="pct"/>
            <w:tcBorders>
              <w:top w:val="single" w:sz="4" w:space="0" w:color="auto"/>
              <w:left w:val="single" w:sz="4" w:space="0" w:color="auto"/>
              <w:bottom w:val="single" w:sz="4" w:space="0" w:color="auto"/>
              <w:right w:val="single" w:sz="4" w:space="0" w:color="auto"/>
            </w:tcBorders>
          </w:tcPr>
          <w:p w14:paraId="59A1A462" w14:textId="77777777" w:rsidR="00745851" w:rsidRPr="00DD1A20" w:rsidRDefault="00745851" w:rsidP="00507A85">
            <w:pPr>
              <w:spacing w:after="60"/>
              <w:rPr>
                <w:i/>
                <w:iCs/>
                <w:sz w:val="20"/>
              </w:rPr>
            </w:pPr>
            <w:r w:rsidRPr="00DD1A20">
              <w:rPr>
                <w:i/>
                <w:iCs/>
                <w:sz w:val="20"/>
              </w:rPr>
              <w:t>Real-Time Reserve Price for On-Line Reserves—</w:t>
            </w:r>
            <w:r w:rsidRPr="00DD1A20">
              <w:rPr>
                <w:iCs/>
                <w:sz w:val="20"/>
              </w:rPr>
              <w:t>The Real-Time Reserve Price for On-Line Reserves for the 15-minute Settlement Interval</w:t>
            </w:r>
            <w:r w:rsidRPr="00DD1A20">
              <w:rPr>
                <w:sz w:val="20"/>
              </w:rPr>
              <w:t xml:space="preserve"> </w:t>
            </w:r>
            <w:r w:rsidRPr="00DD1A20">
              <w:rPr>
                <w:i/>
                <w:sz w:val="20"/>
              </w:rPr>
              <w:t>i</w:t>
            </w:r>
            <w:r w:rsidRPr="00DD1A20">
              <w:rPr>
                <w:iCs/>
                <w:sz w:val="20"/>
              </w:rPr>
              <w:t>.</w:t>
            </w:r>
          </w:p>
        </w:tc>
      </w:tr>
      <w:tr w:rsidR="00745851" w:rsidRPr="00DD1A20" w14:paraId="1B08F4D4" w14:textId="77777777" w:rsidTr="00507A85">
        <w:tc>
          <w:tcPr>
            <w:tcW w:w="1043" w:type="pct"/>
            <w:tcBorders>
              <w:top w:val="single" w:sz="4" w:space="0" w:color="auto"/>
              <w:left w:val="single" w:sz="4" w:space="0" w:color="auto"/>
              <w:bottom w:val="single" w:sz="4" w:space="0" w:color="auto"/>
              <w:right w:val="single" w:sz="4" w:space="0" w:color="auto"/>
            </w:tcBorders>
          </w:tcPr>
          <w:p w14:paraId="202F7EA9" w14:textId="77777777" w:rsidR="00745851" w:rsidRPr="00DD1A20" w:rsidRDefault="00745851" w:rsidP="00507A85">
            <w:pPr>
              <w:spacing w:after="60"/>
              <w:rPr>
                <w:bCs/>
                <w:iCs/>
                <w:sz w:val="20"/>
                <w:lang w:val="fr-FR"/>
              </w:rPr>
            </w:pPr>
            <w:r w:rsidRPr="00DD1A20">
              <w:rPr>
                <w:iCs/>
                <w:sz w:val="20"/>
              </w:rPr>
              <w:t>AVGRTASIP</w:t>
            </w:r>
          </w:p>
        </w:tc>
        <w:tc>
          <w:tcPr>
            <w:tcW w:w="449" w:type="pct"/>
            <w:tcBorders>
              <w:top w:val="single" w:sz="4" w:space="0" w:color="auto"/>
              <w:left w:val="single" w:sz="4" w:space="0" w:color="auto"/>
              <w:bottom w:val="single" w:sz="4" w:space="0" w:color="auto"/>
              <w:right w:val="single" w:sz="4" w:space="0" w:color="auto"/>
            </w:tcBorders>
          </w:tcPr>
          <w:p w14:paraId="591AD530" w14:textId="77777777" w:rsidR="00745851" w:rsidRPr="00DD1A20" w:rsidRDefault="00745851" w:rsidP="00507A85">
            <w:pPr>
              <w:spacing w:after="60"/>
              <w:rPr>
                <w:iCs/>
                <w:sz w:val="20"/>
              </w:rPr>
            </w:pPr>
            <w:r w:rsidRPr="00DD1A20">
              <w:rPr>
                <w:sz w:val="20"/>
              </w:rPr>
              <w:t>$/MW per hour</w:t>
            </w:r>
          </w:p>
        </w:tc>
        <w:tc>
          <w:tcPr>
            <w:tcW w:w="3508" w:type="pct"/>
            <w:tcBorders>
              <w:top w:val="single" w:sz="4" w:space="0" w:color="auto"/>
              <w:left w:val="single" w:sz="4" w:space="0" w:color="auto"/>
              <w:bottom w:val="single" w:sz="4" w:space="0" w:color="auto"/>
              <w:right w:val="single" w:sz="4" w:space="0" w:color="auto"/>
            </w:tcBorders>
          </w:tcPr>
          <w:p w14:paraId="75716A53" w14:textId="77777777" w:rsidR="00745851" w:rsidRPr="00DD1A20" w:rsidRDefault="00745851" w:rsidP="00507A85">
            <w:pPr>
              <w:spacing w:after="60"/>
              <w:rPr>
                <w:i/>
                <w:iCs/>
                <w:sz w:val="20"/>
              </w:rPr>
            </w:pPr>
            <w:r w:rsidRPr="00DD1A20">
              <w:rPr>
                <w:i/>
                <w:iCs/>
                <w:sz w:val="20"/>
              </w:rPr>
              <w:t xml:space="preserve">Average Real-Time </w:t>
            </w:r>
            <w:r w:rsidRPr="00DD1A20">
              <w:rPr>
                <w:i/>
                <w:sz w:val="20"/>
              </w:rPr>
              <w:t xml:space="preserve">Ancillary Service Imbalance </w:t>
            </w:r>
            <w:r w:rsidRPr="00DD1A20">
              <w:rPr>
                <w:i/>
                <w:iCs/>
                <w:sz w:val="20"/>
              </w:rPr>
              <w:t>Price</w:t>
            </w:r>
            <w:r w:rsidRPr="00DD1A20">
              <w:rPr>
                <w:iCs/>
                <w:sz w:val="20"/>
              </w:rPr>
              <w:t>—The average of the sum of the Real-Time On-Line Reliability Deployment Price and the Real-Time Reserve Price for On-Line Reserves used in the calculation of Real</w:t>
            </w:r>
            <w:r>
              <w:rPr>
                <w:iCs/>
                <w:sz w:val="20"/>
              </w:rPr>
              <w:t>-</w:t>
            </w:r>
            <w:r w:rsidRPr="00DD1A20">
              <w:rPr>
                <w:iCs/>
                <w:sz w:val="20"/>
              </w:rPr>
              <w:t>Time Ancillary Service Imbalance Amount per Section 6.7.5 for the Operating Hour.</w:t>
            </w:r>
          </w:p>
        </w:tc>
      </w:tr>
      <w:tr w:rsidR="00745851" w:rsidRPr="00DD1A20" w14:paraId="27C08B3F" w14:textId="77777777" w:rsidTr="00507A85">
        <w:tc>
          <w:tcPr>
            <w:tcW w:w="1043" w:type="pct"/>
            <w:tcBorders>
              <w:top w:val="single" w:sz="4" w:space="0" w:color="auto"/>
              <w:left w:val="single" w:sz="4" w:space="0" w:color="auto"/>
              <w:bottom w:val="single" w:sz="4" w:space="0" w:color="auto"/>
              <w:right w:val="single" w:sz="4" w:space="0" w:color="auto"/>
            </w:tcBorders>
          </w:tcPr>
          <w:p w14:paraId="41A53A77" w14:textId="77777777" w:rsidR="00745851" w:rsidRPr="00DD1A20" w:rsidRDefault="00745851" w:rsidP="00507A85">
            <w:pPr>
              <w:spacing w:after="60"/>
              <w:rPr>
                <w:sz w:val="20"/>
              </w:rPr>
            </w:pPr>
            <w:r w:rsidRPr="00DD1A20">
              <w:rPr>
                <w:bCs/>
                <w:iCs/>
                <w:sz w:val="20"/>
                <w:lang w:val="fr-FR"/>
              </w:rPr>
              <w:t xml:space="preserve">SARRQ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7AC0ABB6"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4C886611" w14:textId="77777777" w:rsidR="00745851" w:rsidRPr="00DD1A20" w:rsidRDefault="00745851" w:rsidP="00507A85">
            <w:pPr>
              <w:spacing w:after="60"/>
              <w:rPr>
                <w:i/>
                <w:sz w:val="20"/>
              </w:rPr>
            </w:pPr>
            <w:r w:rsidRPr="00DD1A20">
              <w:rPr>
                <w:i/>
                <w:iCs/>
                <w:sz w:val="20"/>
              </w:rPr>
              <w:t>Total Self-Arranged Responsive Reserve Quantity per QSE for all markets</w:t>
            </w:r>
            <w:r w:rsidRPr="00DD1A20">
              <w:rPr>
                <w:iCs/>
                <w:sz w:val="20"/>
              </w:rPr>
              <w:t xml:space="preserve">—The sum of all self-arranged RRS quantities submitted by QSE </w:t>
            </w:r>
            <w:r w:rsidRPr="00DD1A20">
              <w:rPr>
                <w:i/>
                <w:iCs/>
                <w:sz w:val="20"/>
              </w:rPr>
              <w:t>q</w:t>
            </w:r>
            <w:r w:rsidRPr="00DD1A20">
              <w:rPr>
                <w:iCs/>
                <w:sz w:val="20"/>
              </w:rPr>
              <w:t xml:space="preserve"> for DAM and all SASMs.</w:t>
            </w:r>
          </w:p>
        </w:tc>
      </w:tr>
      <w:tr w:rsidR="00745851" w:rsidRPr="00DD1A20" w14:paraId="6C656E5A" w14:textId="77777777" w:rsidTr="00507A85">
        <w:tc>
          <w:tcPr>
            <w:tcW w:w="1043" w:type="pct"/>
            <w:tcBorders>
              <w:top w:val="single" w:sz="4" w:space="0" w:color="auto"/>
              <w:left w:val="single" w:sz="4" w:space="0" w:color="auto"/>
              <w:bottom w:val="single" w:sz="4" w:space="0" w:color="auto"/>
              <w:right w:val="single" w:sz="4" w:space="0" w:color="auto"/>
            </w:tcBorders>
          </w:tcPr>
          <w:p w14:paraId="20AAA709" w14:textId="77777777" w:rsidR="00745851" w:rsidRPr="00DD1A20" w:rsidRDefault="00745851" w:rsidP="00507A85">
            <w:pPr>
              <w:spacing w:after="60"/>
              <w:rPr>
                <w:sz w:val="20"/>
              </w:rPr>
            </w:pPr>
            <w:r w:rsidRPr="00DD1A20">
              <w:rPr>
                <w:bCs/>
                <w:sz w:val="20"/>
              </w:rPr>
              <w:t>RRTRSQ</w:t>
            </w:r>
            <w:r w:rsidRPr="00DD1A20">
              <w:rPr>
                <w:bCs/>
                <w:i/>
                <w:iCs/>
                <w:sz w:val="20"/>
                <w:vertAlign w:val="subscript"/>
                <w:lang w:val="fr-FR"/>
              </w:rPr>
              <w:t xml:space="preserve"> q</w:t>
            </w:r>
          </w:p>
        </w:tc>
        <w:tc>
          <w:tcPr>
            <w:tcW w:w="449" w:type="pct"/>
            <w:tcBorders>
              <w:top w:val="single" w:sz="4" w:space="0" w:color="auto"/>
              <w:left w:val="single" w:sz="4" w:space="0" w:color="auto"/>
              <w:bottom w:val="single" w:sz="4" w:space="0" w:color="auto"/>
              <w:right w:val="single" w:sz="4" w:space="0" w:color="auto"/>
            </w:tcBorders>
          </w:tcPr>
          <w:p w14:paraId="4DD6D21F"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4547BE89" w14:textId="77777777" w:rsidR="00745851" w:rsidRPr="00DD1A20" w:rsidRDefault="00745851" w:rsidP="00507A85">
            <w:pPr>
              <w:spacing w:after="60"/>
              <w:rPr>
                <w:i/>
                <w:sz w:val="20"/>
              </w:rPr>
            </w:pPr>
            <w:r w:rsidRPr="00DD1A20">
              <w:rPr>
                <w:i/>
                <w:sz w:val="20"/>
              </w:rPr>
              <w:t>Responsive Reserve Trade Sale per QSE</w:t>
            </w:r>
            <w:r w:rsidRPr="00DD1A20">
              <w:rPr>
                <w:iCs/>
                <w:sz w:val="20"/>
              </w:rPr>
              <w:t xml:space="preserve">—QSE </w:t>
            </w:r>
            <w:r w:rsidRPr="00DD1A20">
              <w:rPr>
                <w:i/>
                <w:iCs/>
                <w:sz w:val="20"/>
              </w:rPr>
              <w:t>q</w:t>
            </w:r>
            <w:r w:rsidRPr="00DD1A20">
              <w:rPr>
                <w:iCs/>
                <w:sz w:val="20"/>
              </w:rPr>
              <w:t>’s total time-weighted average capacity Trade Sale for RRS, for the hour.  The time-weighted average value is rounded to 0.1 MW.</w:t>
            </w:r>
          </w:p>
        </w:tc>
      </w:tr>
      <w:tr w:rsidR="00745851" w:rsidRPr="00DD1A20" w14:paraId="21D9606B" w14:textId="77777777" w:rsidTr="00507A85">
        <w:tc>
          <w:tcPr>
            <w:tcW w:w="1043" w:type="pct"/>
            <w:tcBorders>
              <w:top w:val="single" w:sz="4" w:space="0" w:color="auto"/>
              <w:left w:val="single" w:sz="4" w:space="0" w:color="auto"/>
              <w:bottom w:val="single" w:sz="4" w:space="0" w:color="auto"/>
              <w:right w:val="single" w:sz="4" w:space="0" w:color="auto"/>
            </w:tcBorders>
          </w:tcPr>
          <w:p w14:paraId="0A4751B5" w14:textId="77777777" w:rsidR="00745851" w:rsidRPr="00DD1A20" w:rsidRDefault="00745851" w:rsidP="00507A85">
            <w:pPr>
              <w:spacing w:after="60"/>
              <w:rPr>
                <w:sz w:val="20"/>
              </w:rPr>
            </w:pPr>
            <w:r w:rsidRPr="00DD1A20">
              <w:rPr>
                <w:bCs/>
                <w:iCs/>
                <w:sz w:val="20"/>
                <w:lang w:val="es-ES"/>
              </w:rPr>
              <w:lastRenderedPageBreak/>
              <w:t xml:space="preserve">RTPCRR </w:t>
            </w:r>
            <w:r w:rsidRPr="00DD1A20">
              <w:rPr>
                <w:bCs/>
                <w:i/>
                <w:iCs/>
                <w:sz w:val="20"/>
                <w:vertAlign w:val="subscript"/>
                <w:lang w:val="es-ES"/>
              </w:rPr>
              <w:t>q, m</w:t>
            </w:r>
          </w:p>
        </w:tc>
        <w:tc>
          <w:tcPr>
            <w:tcW w:w="449" w:type="pct"/>
            <w:tcBorders>
              <w:top w:val="single" w:sz="4" w:space="0" w:color="auto"/>
              <w:left w:val="single" w:sz="4" w:space="0" w:color="auto"/>
              <w:bottom w:val="single" w:sz="4" w:space="0" w:color="auto"/>
              <w:right w:val="single" w:sz="4" w:space="0" w:color="auto"/>
            </w:tcBorders>
          </w:tcPr>
          <w:p w14:paraId="6D164C84"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0B8253E6" w14:textId="77777777" w:rsidR="00745851" w:rsidRPr="00DD1A20" w:rsidRDefault="00745851" w:rsidP="00507A85">
            <w:pPr>
              <w:spacing w:after="60"/>
              <w:rPr>
                <w:i/>
                <w:sz w:val="20"/>
              </w:rPr>
            </w:pPr>
            <w:r w:rsidRPr="00DD1A20">
              <w:rPr>
                <w:i/>
                <w:iCs/>
                <w:sz w:val="20"/>
              </w:rPr>
              <w:t>Procured Capacity for Responsive Reserve per QSE by market—</w:t>
            </w:r>
            <w:r w:rsidRPr="00DD1A20">
              <w:rPr>
                <w:iCs/>
                <w:sz w:val="20"/>
              </w:rPr>
              <w:t xml:space="preserve">The MW portion of QSE </w:t>
            </w:r>
            <w:r w:rsidRPr="00DD1A20">
              <w:rPr>
                <w:i/>
                <w:iCs/>
                <w:sz w:val="20"/>
              </w:rPr>
              <w:t>q</w:t>
            </w:r>
            <w:r w:rsidRPr="00DD1A20">
              <w:rPr>
                <w:iCs/>
                <w:sz w:val="20"/>
              </w:rPr>
              <w:t xml:space="preserve">’s Ancillary Service Offers cleared in the market </w:t>
            </w:r>
            <w:r w:rsidRPr="00DD1A20">
              <w:rPr>
                <w:i/>
                <w:iCs/>
                <w:sz w:val="20"/>
              </w:rPr>
              <w:t>m</w:t>
            </w:r>
            <w:r w:rsidRPr="00DD1A20">
              <w:rPr>
                <w:iCs/>
                <w:sz w:val="20"/>
              </w:rPr>
              <w:t xml:space="preserve"> (SASM or RSASM) to provide RRS, for the hour.</w:t>
            </w:r>
          </w:p>
        </w:tc>
      </w:tr>
      <w:tr w:rsidR="00745851" w:rsidRPr="00DD1A20" w14:paraId="30630614" w14:textId="77777777" w:rsidTr="00507A85">
        <w:tc>
          <w:tcPr>
            <w:tcW w:w="1043" w:type="pct"/>
            <w:tcBorders>
              <w:top w:val="single" w:sz="4" w:space="0" w:color="auto"/>
              <w:left w:val="single" w:sz="4" w:space="0" w:color="auto"/>
              <w:bottom w:val="single" w:sz="4" w:space="0" w:color="auto"/>
              <w:right w:val="single" w:sz="4" w:space="0" w:color="auto"/>
            </w:tcBorders>
          </w:tcPr>
          <w:p w14:paraId="2B54B5C0" w14:textId="77777777" w:rsidR="00745851" w:rsidRPr="00DD1A20" w:rsidRDefault="00745851" w:rsidP="00507A85">
            <w:pPr>
              <w:spacing w:after="60"/>
              <w:rPr>
                <w:sz w:val="20"/>
              </w:rPr>
            </w:pPr>
            <w:r w:rsidRPr="00DD1A20">
              <w:rPr>
                <w:bCs/>
                <w:iCs/>
                <w:sz w:val="20"/>
                <w:lang w:val="es-ES"/>
              </w:rPr>
              <w:t xml:space="preserve">PCRR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6BCD4829"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3D563CB0" w14:textId="77777777" w:rsidR="00745851" w:rsidRPr="00DD1A20" w:rsidRDefault="00745851" w:rsidP="00507A85">
            <w:pPr>
              <w:spacing w:after="60"/>
              <w:rPr>
                <w:i/>
                <w:sz w:val="20"/>
              </w:rPr>
            </w:pPr>
            <w:r w:rsidRPr="00DD1A20">
              <w:rPr>
                <w:i/>
                <w:iCs/>
                <w:sz w:val="20"/>
              </w:rPr>
              <w:t>Procured Capacity for Responsive Reserve per QSE in DAM</w:t>
            </w:r>
            <w:r w:rsidRPr="00DD1A20">
              <w:rPr>
                <w:iCs/>
                <w:sz w:val="20"/>
              </w:rPr>
              <w:t xml:space="preserve">—The total RRS capacity quantity awarded to QSE </w:t>
            </w:r>
            <w:r w:rsidRPr="00DD1A20">
              <w:rPr>
                <w:i/>
                <w:iCs/>
                <w:sz w:val="20"/>
              </w:rPr>
              <w:t>q</w:t>
            </w:r>
            <w:r w:rsidRPr="00DD1A20">
              <w:rPr>
                <w:iCs/>
                <w:sz w:val="20"/>
              </w:rPr>
              <w:t xml:space="preserve"> in the DAM for all the Resources represented by the QSE, for the hour.</w:t>
            </w:r>
          </w:p>
        </w:tc>
      </w:tr>
      <w:tr w:rsidR="00745851" w:rsidRPr="00DD1A20" w14:paraId="576274A3" w14:textId="77777777" w:rsidTr="00507A85">
        <w:tc>
          <w:tcPr>
            <w:tcW w:w="1043" w:type="pct"/>
            <w:tcBorders>
              <w:top w:val="single" w:sz="4" w:space="0" w:color="auto"/>
              <w:left w:val="single" w:sz="4" w:space="0" w:color="auto"/>
              <w:bottom w:val="single" w:sz="4" w:space="0" w:color="auto"/>
              <w:right w:val="single" w:sz="4" w:space="0" w:color="auto"/>
            </w:tcBorders>
          </w:tcPr>
          <w:p w14:paraId="61ECF472" w14:textId="77777777" w:rsidR="00745851" w:rsidRPr="00DD1A20" w:rsidRDefault="00745851" w:rsidP="00507A85">
            <w:pPr>
              <w:spacing w:after="60"/>
              <w:rPr>
                <w:sz w:val="20"/>
              </w:rPr>
            </w:pPr>
            <w:r w:rsidRPr="00DD1A20">
              <w:rPr>
                <w:bCs/>
                <w:iCs/>
                <w:sz w:val="20"/>
                <w:lang w:val="es-ES"/>
              </w:rPr>
              <w:t xml:space="preserve">RUCRRQ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5A6AA8AE"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48D6114C" w14:textId="77777777" w:rsidR="00745851" w:rsidRPr="00DD1A20" w:rsidRDefault="00745851" w:rsidP="00507A85">
            <w:pPr>
              <w:spacing w:after="60"/>
              <w:rPr>
                <w:iCs/>
                <w:sz w:val="20"/>
              </w:rPr>
            </w:pPr>
            <w:r w:rsidRPr="00DD1A20">
              <w:rPr>
                <w:i/>
                <w:sz w:val="20"/>
              </w:rPr>
              <w:t>RUC-committed for Responsive Reserve per QSE</w:t>
            </w:r>
            <w:r w:rsidRPr="00DD1A20">
              <w:rPr>
                <w:iCs/>
                <w:sz w:val="20"/>
              </w:rPr>
              <w:t xml:space="preserve">—The total quantity of RRS committed by the RUC Process for Resources represented by QSE </w:t>
            </w:r>
            <w:r w:rsidRPr="00DD1A20">
              <w:rPr>
                <w:i/>
                <w:sz w:val="20"/>
              </w:rPr>
              <w:t>q</w:t>
            </w:r>
            <w:r w:rsidRPr="00DD1A20">
              <w:rPr>
                <w:iCs/>
                <w:sz w:val="20"/>
              </w:rPr>
              <w:t>, for the hour.</w:t>
            </w:r>
          </w:p>
        </w:tc>
      </w:tr>
      <w:tr w:rsidR="00745851" w:rsidRPr="00DD1A20" w14:paraId="65D6C5A3" w14:textId="77777777" w:rsidTr="00507A85">
        <w:tc>
          <w:tcPr>
            <w:tcW w:w="1043" w:type="pct"/>
            <w:tcBorders>
              <w:top w:val="single" w:sz="4" w:space="0" w:color="auto"/>
              <w:left w:val="single" w:sz="4" w:space="0" w:color="auto"/>
              <w:bottom w:val="single" w:sz="4" w:space="0" w:color="auto"/>
              <w:right w:val="single" w:sz="4" w:space="0" w:color="auto"/>
            </w:tcBorders>
          </w:tcPr>
          <w:p w14:paraId="77217DDC" w14:textId="77777777" w:rsidR="00745851" w:rsidRPr="00DD1A20" w:rsidRDefault="00745851" w:rsidP="00507A85">
            <w:pPr>
              <w:spacing w:after="60"/>
              <w:rPr>
                <w:sz w:val="20"/>
              </w:rPr>
            </w:pPr>
            <w:r w:rsidRPr="00DD1A20">
              <w:rPr>
                <w:bCs/>
                <w:sz w:val="20"/>
              </w:rPr>
              <w:t>RRTRPQ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5AE6494C"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4F96C37F" w14:textId="77777777" w:rsidR="00745851" w:rsidRPr="00DD1A20" w:rsidRDefault="00745851" w:rsidP="00507A85">
            <w:pPr>
              <w:spacing w:after="60"/>
              <w:rPr>
                <w:i/>
                <w:sz w:val="20"/>
              </w:rPr>
            </w:pPr>
            <w:r w:rsidRPr="00DD1A20">
              <w:rPr>
                <w:i/>
                <w:sz w:val="20"/>
              </w:rPr>
              <w:t>Responsive Reserve Trade Purchases per QSE</w:t>
            </w:r>
            <w:r w:rsidRPr="00DD1A20">
              <w:rPr>
                <w:iCs/>
                <w:sz w:val="20"/>
              </w:rPr>
              <w:t xml:space="preserve">—QSE </w:t>
            </w:r>
            <w:r w:rsidRPr="00DD1A20">
              <w:rPr>
                <w:i/>
                <w:iCs/>
                <w:sz w:val="20"/>
              </w:rPr>
              <w:t>q</w:t>
            </w:r>
            <w:r w:rsidRPr="00DD1A20">
              <w:rPr>
                <w:iCs/>
                <w:sz w:val="20"/>
              </w:rPr>
              <w:t>’s total time-weighted average capacity Trade Purchase</w:t>
            </w:r>
            <w:r w:rsidRPr="00DD1A20">
              <w:rPr>
                <w:i/>
                <w:iCs/>
                <w:sz w:val="20"/>
              </w:rPr>
              <w:t xml:space="preserve"> </w:t>
            </w:r>
            <w:r w:rsidRPr="00DD1A20">
              <w:rPr>
                <w:iCs/>
                <w:sz w:val="20"/>
              </w:rPr>
              <w:t>for RRS, for the hour.  The time-weighted average value is rounded to 0.1 MW.</w:t>
            </w:r>
          </w:p>
        </w:tc>
      </w:tr>
      <w:tr w:rsidR="00745851" w:rsidRPr="00DD1A20" w14:paraId="1581D5E8" w14:textId="77777777" w:rsidTr="00507A85">
        <w:tc>
          <w:tcPr>
            <w:tcW w:w="1043" w:type="pct"/>
            <w:tcBorders>
              <w:top w:val="single" w:sz="4" w:space="0" w:color="auto"/>
              <w:left w:val="single" w:sz="4" w:space="0" w:color="auto"/>
              <w:bottom w:val="single" w:sz="4" w:space="0" w:color="auto"/>
              <w:right w:val="single" w:sz="4" w:space="0" w:color="auto"/>
            </w:tcBorders>
          </w:tcPr>
          <w:p w14:paraId="7B68EAA2" w14:textId="77777777" w:rsidR="00745851" w:rsidRPr="00DD1A20" w:rsidRDefault="00745851" w:rsidP="00507A85">
            <w:pPr>
              <w:spacing w:after="60"/>
              <w:rPr>
                <w:sz w:val="20"/>
              </w:rPr>
            </w:pPr>
            <w:r w:rsidRPr="00DD1A20">
              <w:rPr>
                <w:bCs/>
                <w:iCs/>
                <w:sz w:val="20"/>
                <w:lang w:val="es-ES"/>
              </w:rPr>
              <w:t>RRINFQ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02FE42B0"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6F511AE6" w14:textId="77777777" w:rsidR="00745851" w:rsidRPr="00DD1A20" w:rsidRDefault="00745851" w:rsidP="00507A85">
            <w:pPr>
              <w:spacing w:after="60"/>
              <w:rPr>
                <w:i/>
                <w:sz w:val="20"/>
              </w:rPr>
            </w:pPr>
            <w:r w:rsidRPr="00DD1A20">
              <w:rPr>
                <w:i/>
                <w:iCs/>
                <w:sz w:val="20"/>
              </w:rPr>
              <w:t>Responsive Reserve Infeasible Quantity per QSE—</w:t>
            </w:r>
            <w:r w:rsidRPr="00DD1A20">
              <w:rPr>
                <w:iCs/>
                <w:sz w:val="20"/>
              </w:rPr>
              <w:t xml:space="preserve">QSE </w:t>
            </w:r>
            <w:r w:rsidRPr="00DD1A20">
              <w:rPr>
                <w:i/>
                <w:iCs/>
                <w:sz w:val="20"/>
              </w:rPr>
              <w:t>q</w:t>
            </w:r>
            <w:r w:rsidRPr="00DD1A20">
              <w:rPr>
                <w:iCs/>
                <w:sz w:val="20"/>
              </w:rPr>
              <w:t>’s total capacity associated with infeasible</w:t>
            </w:r>
            <w:r w:rsidRPr="00DD1A20">
              <w:rPr>
                <w:i/>
                <w:iCs/>
                <w:sz w:val="20"/>
              </w:rPr>
              <w:t xml:space="preserve"> </w:t>
            </w:r>
            <w:r w:rsidRPr="00DD1A20">
              <w:rPr>
                <w:iCs/>
                <w:sz w:val="20"/>
              </w:rPr>
              <w:t>Ancillary Service Supply Responsibilities</w:t>
            </w:r>
            <w:r w:rsidRPr="00DD1A20">
              <w:rPr>
                <w:i/>
                <w:iCs/>
                <w:sz w:val="20"/>
              </w:rPr>
              <w:t xml:space="preserve"> </w:t>
            </w:r>
            <w:r w:rsidRPr="00DD1A20">
              <w:rPr>
                <w:iCs/>
                <w:sz w:val="20"/>
              </w:rPr>
              <w:t>for RRS, for the hour.</w:t>
            </w:r>
          </w:p>
        </w:tc>
      </w:tr>
      <w:tr w:rsidR="00745851" w:rsidRPr="00DD1A20" w14:paraId="5902C1BF" w14:textId="77777777" w:rsidTr="00507A85">
        <w:tc>
          <w:tcPr>
            <w:tcW w:w="1043" w:type="pct"/>
            <w:tcBorders>
              <w:top w:val="single" w:sz="4" w:space="0" w:color="auto"/>
              <w:left w:val="single" w:sz="4" w:space="0" w:color="auto"/>
              <w:bottom w:val="single" w:sz="4" w:space="0" w:color="auto"/>
              <w:right w:val="single" w:sz="4" w:space="0" w:color="auto"/>
            </w:tcBorders>
          </w:tcPr>
          <w:p w14:paraId="30F7E280" w14:textId="77777777" w:rsidR="00745851" w:rsidRPr="00DD1A20" w:rsidRDefault="00745851" w:rsidP="00507A85">
            <w:pPr>
              <w:spacing w:after="60"/>
              <w:rPr>
                <w:sz w:val="20"/>
              </w:rPr>
            </w:pPr>
            <w:r w:rsidRPr="00DD1A20">
              <w:rPr>
                <w:bCs/>
                <w:sz w:val="20"/>
              </w:rPr>
              <w:t xml:space="preserve">TELRRSR </w:t>
            </w:r>
            <w:r w:rsidRPr="00DD1A20">
              <w:rPr>
                <w:bCs/>
                <w:i/>
                <w:iCs/>
                <w:sz w:val="20"/>
                <w:vertAlign w:val="subscript"/>
                <w:lang w:val="es-ES"/>
              </w:rPr>
              <w:t>q, r</w:t>
            </w:r>
          </w:p>
        </w:tc>
        <w:tc>
          <w:tcPr>
            <w:tcW w:w="449" w:type="pct"/>
            <w:tcBorders>
              <w:top w:val="single" w:sz="4" w:space="0" w:color="auto"/>
              <w:left w:val="single" w:sz="4" w:space="0" w:color="auto"/>
              <w:bottom w:val="single" w:sz="4" w:space="0" w:color="auto"/>
              <w:right w:val="single" w:sz="4" w:space="0" w:color="auto"/>
            </w:tcBorders>
          </w:tcPr>
          <w:p w14:paraId="30B90B56"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45F4BCFB" w14:textId="77777777" w:rsidR="00745851" w:rsidRPr="00DD1A20" w:rsidRDefault="00745851" w:rsidP="00507A85">
            <w:pPr>
              <w:spacing w:after="60"/>
              <w:rPr>
                <w:iCs/>
                <w:sz w:val="20"/>
              </w:rPr>
            </w:pPr>
            <w:r w:rsidRPr="00DD1A20">
              <w:rPr>
                <w:i/>
                <w:sz w:val="20"/>
              </w:rPr>
              <w:t>Telemetered Responsive Reserve Responsibility for the Resource</w:t>
            </w:r>
            <w:r w:rsidRPr="00DD1A20">
              <w:rPr>
                <w:iCs/>
                <w:sz w:val="20"/>
              </w:rPr>
              <w:t xml:space="preserve">—The average time-weighted telemetered RRS </w:t>
            </w:r>
            <w:r w:rsidRPr="00DD1A20">
              <w:rPr>
                <w:iCs/>
                <w:sz w:val="20"/>
                <w:szCs w:val="18"/>
              </w:rPr>
              <w:t xml:space="preserve">Ancillary Service Resource </w:t>
            </w:r>
            <w:r w:rsidRPr="00DD1A20">
              <w:rPr>
                <w:iCs/>
                <w:sz w:val="20"/>
              </w:rPr>
              <w:t xml:space="preserve">Responsibility for the Resource </w:t>
            </w:r>
            <w:r w:rsidRPr="00DD1A20">
              <w:rPr>
                <w:i/>
                <w:sz w:val="20"/>
              </w:rPr>
              <w:t>r</w:t>
            </w:r>
            <w:r w:rsidRPr="00DD1A20">
              <w:rPr>
                <w:iCs/>
                <w:sz w:val="20"/>
              </w:rPr>
              <w:t xml:space="preserve">, represented by the QSE </w:t>
            </w:r>
            <w:r w:rsidRPr="00DD1A20">
              <w:rPr>
                <w:i/>
                <w:sz w:val="20"/>
              </w:rPr>
              <w:t>q,</w:t>
            </w:r>
            <w:r w:rsidRPr="00DD1A20">
              <w:rPr>
                <w:iCs/>
                <w:sz w:val="20"/>
              </w:rPr>
              <w:t xml:space="preserve"> for the hour.  The time-weighted average value is rounded to 0.1 MW.</w:t>
            </w:r>
          </w:p>
        </w:tc>
      </w:tr>
      <w:tr w:rsidR="00745851" w:rsidRPr="00DD1A20" w14:paraId="6B1EA352" w14:textId="77777777" w:rsidTr="00507A85">
        <w:tc>
          <w:tcPr>
            <w:tcW w:w="1043" w:type="pct"/>
            <w:tcBorders>
              <w:top w:val="single" w:sz="4" w:space="0" w:color="auto"/>
              <w:left w:val="single" w:sz="4" w:space="0" w:color="auto"/>
              <w:bottom w:val="single" w:sz="4" w:space="0" w:color="auto"/>
              <w:right w:val="single" w:sz="4" w:space="0" w:color="auto"/>
            </w:tcBorders>
          </w:tcPr>
          <w:p w14:paraId="59CFB10C" w14:textId="77777777" w:rsidR="00745851" w:rsidRPr="00DD1A20" w:rsidRDefault="00745851" w:rsidP="00507A85">
            <w:pPr>
              <w:spacing w:after="60"/>
              <w:rPr>
                <w:bCs/>
                <w:sz w:val="20"/>
              </w:rPr>
            </w:pPr>
            <w:r w:rsidRPr="00DD1A20">
              <w:rPr>
                <w:bCs/>
                <w:sz w:val="20"/>
              </w:rPr>
              <w:t xml:space="preserve">TELRRSRC </w:t>
            </w:r>
            <w:r w:rsidRPr="00DD1A20">
              <w:rPr>
                <w:bCs/>
                <w:i/>
                <w:iCs/>
                <w:sz w:val="20"/>
                <w:vertAlign w:val="subscript"/>
                <w:lang w:val="es-ES"/>
              </w:rPr>
              <w:t>q, r</w:t>
            </w:r>
          </w:p>
        </w:tc>
        <w:tc>
          <w:tcPr>
            <w:tcW w:w="449" w:type="pct"/>
            <w:tcBorders>
              <w:top w:val="single" w:sz="4" w:space="0" w:color="auto"/>
              <w:left w:val="single" w:sz="4" w:space="0" w:color="auto"/>
              <w:bottom w:val="single" w:sz="4" w:space="0" w:color="auto"/>
              <w:right w:val="single" w:sz="4" w:space="0" w:color="auto"/>
            </w:tcBorders>
          </w:tcPr>
          <w:p w14:paraId="0FC81272"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09786746" w14:textId="77777777" w:rsidR="00745851" w:rsidRPr="00DD1A20" w:rsidRDefault="00745851" w:rsidP="00507A85">
            <w:pPr>
              <w:spacing w:after="60"/>
              <w:rPr>
                <w:i/>
                <w:sz w:val="20"/>
              </w:rPr>
            </w:pPr>
            <w:r w:rsidRPr="00DD1A20">
              <w:rPr>
                <w:i/>
                <w:sz w:val="20"/>
              </w:rPr>
              <w:t>Telemetered Responsive Reserve Responsibility for the Resource as Calculated</w:t>
            </w:r>
            <w:r w:rsidRPr="00DD1A20">
              <w:rPr>
                <w:iCs/>
                <w:sz w:val="20"/>
              </w:rPr>
              <w:t xml:space="preserve">—The calculated comparison of the time-weighted average telemetered RRS </w:t>
            </w:r>
            <w:r w:rsidRPr="00DD1A20">
              <w:rPr>
                <w:iCs/>
                <w:sz w:val="20"/>
                <w:szCs w:val="18"/>
              </w:rPr>
              <w:t xml:space="preserve">Ancillary Service Resource </w:t>
            </w:r>
            <w:r w:rsidRPr="00DD1A20">
              <w:rPr>
                <w:iCs/>
                <w:sz w:val="20"/>
              </w:rPr>
              <w:t xml:space="preserve">Responsibility as compared to available capacity for the Resource </w:t>
            </w:r>
            <w:r w:rsidRPr="00DD1A20">
              <w:rPr>
                <w:i/>
                <w:sz w:val="20"/>
              </w:rPr>
              <w:t>r</w:t>
            </w:r>
            <w:r w:rsidRPr="00DD1A20">
              <w:rPr>
                <w:iCs/>
                <w:sz w:val="20"/>
              </w:rPr>
              <w:t xml:space="preserve">, represented by the QSE </w:t>
            </w:r>
            <w:r w:rsidRPr="00DD1A20">
              <w:rPr>
                <w:i/>
                <w:sz w:val="20"/>
              </w:rPr>
              <w:t>q,</w:t>
            </w:r>
            <w:r w:rsidRPr="00DD1A20">
              <w:rPr>
                <w:iCs/>
                <w:sz w:val="20"/>
              </w:rPr>
              <w:t xml:space="preserve"> for the hour.</w:t>
            </w:r>
          </w:p>
        </w:tc>
      </w:tr>
      <w:tr w:rsidR="00745851" w:rsidRPr="00DD1A20" w14:paraId="1485A287" w14:textId="77777777" w:rsidTr="00507A85">
        <w:tc>
          <w:tcPr>
            <w:tcW w:w="1043" w:type="pct"/>
            <w:tcBorders>
              <w:top w:val="single" w:sz="4" w:space="0" w:color="auto"/>
              <w:left w:val="single" w:sz="4" w:space="0" w:color="auto"/>
              <w:bottom w:val="single" w:sz="4" w:space="0" w:color="auto"/>
              <w:right w:val="single" w:sz="4" w:space="0" w:color="auto"/>
            </w:tcBorders>
          </w:tcPr>
          <w:p w14:paraId="116C7827" w14:textId="77777777" w:rsidR="00745851" w:rsidRPr="00DD1A20" w:rsidRDefault="00745851" w:rsidP="00507A85">
            <w:pPr>
              <w:spacing w:after="60"/>
              <w:rPr>
                <w:bCs/>
                <w:sz w:val="20"/>
              </w:rPr>
            </w:pPr>
            <w:r w:rsidRPr="00DD1A20">
              <w:rPr>
                <w:bCs/>
                <w:sz w:val="20"/>
                <w:lang w:val="es-ES"/>
              </w:rPr>
              <w:t>NPF</w:t>
            </w:r>
            <w:r w:rsidRPr="00DD1A20">
              <w:rPr>
                <w:bCs/>
                <w:i/>
                <w:iCs/>
                <w:sz w:val="20"/>
                <w:vertAlign w:val="subscript"/>
                <w:lang w:val="es-ES"/>
              </w:rPr>
              <w:t xml:space="preserve"> q, r</w:t>
            </w:r>
          </w:p>
        </w:tc>
        <w:tc>
          <w:tcPr>
            <w:tcW w:w="449" w:type="pct"/>
            <w:tcBorders>
              <w:top w:val="single" w:sz="4" w:space="0" w:color="auto"/>
              <w:left w:val="single" w:sz="4" w:space="0" w:color="auto"/>
              <w:bottom w:val="single" w:sz="4" w:space="0" w:color="auto"/>
              <w:right w:val="single" w:sz="4" w:space="0" w:color="auto"/>
            </w:tcBorders>
          </w:tcPr>
          <w:p w14:paraId="094A3149"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7E516B13" w14:textId="77777777" w:rsidR="00745851" w:rsidRPr="00DD1A20" w:rsidRDefault="00745851" w:rsidP="00507A85">
            <w:pPr>
              <w:spacing w:after="60"/>
              <w:rPr>
                <w:i/>
                <w:sz w:val="20"/>
              </w:rPr>
            </w:pPr>
            <w:r w:rsidRPr="00DD1A20">
              <w:rPr>
                <w:i/>
                <w:iCs/>
                <w:sz w:val="20"/>
              </w:rPr>
              <w:t>Non-Controllable Load Resource Net Power Consumption</w:t>
            </w:r>
            <w:r w:rsidRPr="00DD1A20">
              <w:rPr>
                <w:i/>
                <w:iCs/>
                <w:sz w:val="20"/>
                <w:szCs w:val="18"/>
              </w:rPr>
              <w:t xml:space="preserve"> for the QSE</w:t>
            </w:r>
            <w:r w:rsidRPr="00DD1A20">
              <w:rPr>
                <w:iCs/>
                <w:sz w:val="20"/>
              </w:rPr>
              <w:t>—</w:t>
            </w:r>
            <w:r w:rsidRPr="00DD1A20">
              <w:rPr>
                <w:sz w:val="20"/>
                <w:szCs w:val="18"/>
              </w:rPr>
              <w:t xml:space="preserve">The average NPF from Load Resource other than Controllable Load Resources </w:t>
            </w:r>
            <w:r w:rsidRPr="00DD1A20">
              <w:rPr>
                <w:i/>
                <w:iCs/>
                <w:sz w:val="20"/>
                <w:szCs w:val="18"/>
              </w:rPr>
              <w:t>r</w:t>
            </w:r>
            <w:r w:rsidRPr="00DD1A20">
              <w:rPr>
                <w:sz w:val="20"/>
                <w:szCs w:val="18"/>
              </w:rPr>
              <w:t xml:space="preserve">, represented by QSE </w:t>
            </w:r>
            <w:r w:rsidRPr="00DD1A20">
              <w:rPr>
                <w:i/>
                <w:sz w:val="20"/>
                <w:szCs w:val="18"/>
              </w:rPr>
              <w:t xml:space="preserve">q, </w:t>
            </w:r>
            <w:r w:rsidRPr="00DD1A20">
              <w:rPr>
                <w:sz w:val="20"/>
                <w:szCs w:val="18"/>
              </w:rPr>
              <w:t>for the hour.</w:t>
            </w:r>
          </w:p>
        </w:tc>
      </w:tr>
      <w:tr w:rsidR="00745851" w:rsidRPr="00DD1A20" w14:paraId="55CC7FBF" w14:textId="77777777" w:rsidTr="00507A85">
        <w:tc>
          <w:tcPr>
            <w:tcW w:w="1043" w:type="pct"/>
            <w:tcBorders>
              <w:top w:val="single" w:sz="4" w:space="0" w:color="auto"/>
              <w:left w:val="single" w:sz="4" w:space="0" w:color="auto"/>
              <w:bottom w:val="single" w:sz="4" w:space="0" w:color="auto"/>
              <w:right w:val="single" w:sz="4" w:space="0" w:color="auto"/>
            </w:tcBorders>
          </w:tcPr>
          <w:p w14:paraId="65B8DACD" w14:textId="77777777" w:rsidR="00745851" w:rsidRPr="00DD1A20" w:rsidRDefault="00745851" w:rsidP="00507A85">
            <w:pPr>
              <w:spacing w:after="60"/>
              <w:rPr>
                <w:bCs/>
                <w:sz w:val="20"/>
                <w:lang w:val="es-ES"/>
              </w:rPr>
            </w:pPr>
            <w:r w:rsidRPr="00DD1A20">
              <w:rPr>
                <w:bCs/>
                <w:sz w:val="20"/>
                <w:lang w:val="es-ES"/>
              </w:rPr>
              <w:t>LPC</w:t>
            </w:r>
            <w:r w:rsidRPr="00DD1A20">
              <w:rPr>
                <w:bCs/>
                <w:i/>
                <w:iCs/>
                <w:sz w:val="20"/>
                <w:vertAlign w:val="subscript"/>
                <w:lang w:val="es-ES"/>
              </w:rPr>
              <w:t xml:space="preserve"> q, r</w:t>
            </w:r>
          </w:p>
        </w:tc>
        <w:tc>
          <w:tcPr>
            <w:tcW w:w="449" w:type="pct"/>
            <w:tcBorders>
              <w:top w:val="single" w:sz="4" w:space="0" w:color="auto"/>
              <w:left w:val="single" w:sz="4" w:space="0" w:color="auto"/>
              <w:bottom w:val="single" w:sz="4" w:space="0" w:color="auto"/>
              <w:right w:val="single" w:sz="4" w:space="0" w:color="auto"/>
            </w:tcBorders>
          </w:tcPr>
          <w:p w14:paraId="7FAEC86E"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6F4C1B9E" w14:textId="77777777" w:rsidR="00745851" w:rsidRPr="00DD1A20" w:rsidRDefault="00745851" w:rsidP="00507A85">
            <w:pPr>
              <w:spacing w:after="60"/>
              <w:rPr>
                <w:sz w:val="20"/>
              </w:rPr>
            </w:pPr>
            <w:r w:rsidRPr="00DD1A20">
              <w:rPr>
                <w:i/>
                <w:iCs/>
                <w:sz w:val="20"/>
              </w:rPr>
              <w:t>Non-Controllable Load Resource Low Power Consumption</w:t>
            </w:r>
            <w:r w:rsidRPr="00DD1A20">
              <w:rPr>
                <w:i/>
                <w:iCs/>
                <w:sz w:val="20"/>
                <w:szCs w:val="18"/>
              </w:rPr>
              <w:t xml:space="preserve"> for the QSE</w:t>
            </w:r>
            <w:r w:rsidRPr="00DD1A20">
              <w:rPr>
                <w:iCs/>
                <w:sz w:val="20"/>
              </w:rPr>
              <w:t>—</w:t>
            </w:r>
            <w:r w:rsidRPr="00DD1A20">
              <w:rPr>
                <w:sz w:val="20"/>
                <w:szCs w:val="18"/>
              </w:rPr>
              <w:t xml:space="preserve">The average </w:t>
            </w:r>
            <w:r>
              <w:rPr>
                <w:sz w:val="20"/>
                <w:szCs w:val="18"/>
              </w:rPr>
              <w:t>Low Power Consumption (</w:t>
            </w:r>
            <w:r w:rsidRPr="00DD1A20">
              <w:rPr>
                <w:sz w:val="20"/>
                <w:szCs w:val="18"/>
              </w:rPr>
              <w:t>LPC</w:t>
            </w:r>
            <w:r>
              <w:rPr>
                <w:sz w:val="20"/>
                <w:szCs w:val="18"/>
              </w:rPr>
              <w:t>)</w:t>
            </w:r>
            <w:r w:rsidRPr="00DD1A20">
              <w:rPr>
                <w:sz w:val="20"/>
                <w:szCs w:val="18"/>
              </w:rPr>
              <w:t xml:space="preserve"> from Load Resource other than Controllable Load Resources</w:t>
            </w:r>
            <w:r w:rsidRPr="00DD1A20">
              <w:rPr>
                <w:i/>
                <w:iCs/>
                <w:sz w:val="20"/>
                <w:szCs w:val="18"/>
              </w:rPr>
              <w:t xml:space="preserve"> r</w:t>
            </w:r>
            <w:r w:rsidRPr="00DD1A20">
              <w:rPr>
                <w:sz w:val="20"/>
                <w:szCs w:val="18"/>
              </w:rPr>
              <w:t xml:space="preserve">, represented by QSE </w:t>
            </w:r>
            <w:r w:rsidRPr="00DD1A20">
              <w:rPr>
                <w:i/>
                <w:sz w:val="20"/>
                <w:szCs w:val="18"/>
              </w:rPr>
              <w:t xml:space="preserve">q, </w:t>
            </w:r>
            <w:r w:rsidRPr="00DD1A20">
              <w:rPr>
                <w:sz w:val="20"/>
                <w:szCs w:val="18"/>
              </w:rPr>
              <w:t>for the hour.</w:t>
            </w:r>
          </w:p>
        </w:tc>
      </w:tr>
      <w:tr w:rsidR="00745851" w:rsidRPr="00DD1A20" w14:paraId="5C57A420" w14:textId="77777777" w:rsidTr="00507A85">
        <w:tc>
          <w:tcPr>
            <w:tcW w:w="1043" w:type="pct"/>
            <w:tcBorders>
              <w:top w:val="single" w:sz="4" w:space="0" w:color="auto"/>
              <w:left w:val="single" w:sz="4" w:space="0" w:color="auto"/>
              <w:bottom w:val="single" w:sz="4" w:space="0" w:color="auto"/>
              <w:right w:val="single" w:sz="4" w:space="0" w:color="auto"/>
            </w:tcBorders>
          </w:tcPr>
          <w:p w14:paraId="214DAC43" w14:textId="77777777" w:rsidR="00745851" w:rsidRPr="00DD1A20" w:rsidRDefault="00745851" w:rsidP="00507A85">
            <w:pPr>
              <w:spacing w:after="60"/>
              <w:rPr>
                <w:bCs/>
                <w:sz w:val="20"/>
              </w:rPr>
            </w:pPr>
            <w:r w:rsidRPr="00DD1A20">
              <w:rPr>
                <w:bCs/>
                <w:iCs/>
                <w:sz w:val="20"/>
                <w:lang w:val="fr-FR"/>
              </w:rPr>
              <w:t xml:space="preserve">DASARRQ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3BD65311"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283D8D04" w14:textId="77777777" w:rsidR="00745851" w:rsidRPr="00DD1A20" w:rsidRDefault="00745851" w:rsidP="00507A85">
            <w:pPr>
              <w:spacing w:after="60"/>
              <w:rPr>
                <w:i/>
                <w:sz w:val="20"/>
              </w:rPr>
            </w:pPr>
            <w:r w:rsidRPr="00DD1A20">
              <w:rPr>
                <w:i/>
                <w:iCs/>
                <w:sz w:val="20"/>
              </w:rPr>
              <w:t>Day-Ahead Self-Arranged Responsive Reserve Quantity per QSE</w:t>
            </w:r>
            <w:r w:rsidRPr="00DD1A20">
              <w:rPr>
                <w:iCs/>
                <w:sz w:val="20"/>
              </w:rPr>
              <w:t xml:space="preserve">—The self-arranged RRS quantity submitted by QSE </w:t>
            </w:r>
            <w:r w:rsidRPr="00DD1A20">
              <w:rPr>
                <w:i/>
                <w:iCs/>
                <w:sz w:val="20"/>
              </w:rPr>
              <w:t>q</w:t>
            </w:r>
            <w:r w:rsidRPr="00DD1A20">
              <w:rPr>
                <w:iCs/>
                <w:sz w:val="20"/>
              </w:rPr>
              <w:t xml:space="preserve"> before 1000 in the Day-Ahead.</w:t>
            </w:r>
          </w:p>
        </w:tc>
      </w:tr>
      <w:tr w:rsidR="00745851" w:rsidRPr="00DD1A20" w14:paraId="2E9E71B6" w14:textId="77777777" w:rsidTr="00507A85">
        <w:tc>
          <w:tcPr>
            <w:tcW w:w="1043" w:type="pct"/>
            <w:tcBorders>
              <w:top w:val="single" w:sz="4" w:space="0" w:color="auto"/>
              <w:left w:val="single" w:sz="4" w:space="0" w:color="auto"/>
              <w:bottom w:val="single" w:sz="4" w:space="0" w:color="auto"/>
              <w:right w:val="single" w:sz="4" w:space="0" w:color="auto"/>
            </w:tcBorders>
          </w:tcPr>
          <w:p w14:paraId="29403904" w14:textId="77777777" w:rsidR="00745851" w:rsidRPr="00DD1A20" w:rsidRDefault="00745851" w:rsidP="00507A85">
            <w:pPr>
              <w:spacing w:after="60"/>
              <w:rPr>
                <w:bCs/>
                <w:iCs/>
                <w:sz w:val="20"/>
                <w:lang w:val="fr-FR"/>
              </w:rPr>
            </w:pPr>
            <w:r w:rsidRPr="00DD1A20">
              <w:rPr>
                <w:bCs/>
                <w:iCs/>
                <w:sz w:val="20"/>
                <w:lang w:val="fr-FR"/>
              </w:rPr>
              <w:t xml:space="preserve">RTSARRQ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1FD81CAE"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40D10AF7" w14:textId="77777777" w:rsidR="00745851" w:rsidRPr="00DD1A20" w:rsidRDefault="00745851" w:rsidP="00507A85">
            <w:pPr>
              <w:spacing w:after="60"/>
              <w:rPr>
                <w:i/>
                <w:sz w:val="20"/>
              </w:rPr>
            </w:pPr>
            <w:r w:rsidRPr="00DD1A20">
              <w:rPr>
                <w:i/>
                <w:iCs/>
                <w:sz w:val="20"/>
              </w:rPr>
              <w:t>Self-Arranged Responsive Reserve Quantity per QSE for all SASMs</w:t>
            </w:r>
            <w:r w:rsidRPr="00DD1A20">
              <w:rPr>
                <w:iCs/>
                <w:sz w:val="20"/>
              </w:rPr>
              <w:t xml:space="preserve">—The sum of all self-arranged RRS quantities submitted by QSE </w:t>
            </w:r>
            <w:r w:rsidRPr="00DD1A20">
              <w:rPr>
                <w:i/>
                <w:iCs/>
                <w:sz w:val="20"/>
              </w:rPr>
              <w:t>q</w:t>
            </w:r>
            <w:r w:rsidRPr="00DD1A20">
              <w:rPr>
                <w:iCs/>
                <w:sz w:val="20"/>
              </w:rPr>
              <w:t xml:space="preserve"> for all SASMs due to an increase in the Ancillary Service Plan per Section 4.4.7.1.</w:t>
            </w:r>
          </w:p>
        </w:tc>
      </w:tr>
      <w:tr w:rsidR="00745851" w:rsidRPr="00DD1A20" w14:paraId="16128FA2" w14:textId="77777777" w:rsidTr="00507A85">
        <w:tc>
          <w:tcPr>
            <w:tcW w:w="1043" w:type="pct"/>
            <w:tcBorders>
              <w:top w:val="single" w:sz="4" w:space="0" w:color="auto"/>
              <w:left w:val="single" w:sz="4" w:space="0" w:color="auto"/>
              <w:bottom w:val="single" w:sz="4" w:space="0" w:color="auto"/>
              <w:right w:val="single" w:sz="4" w:space="0" w:color="auto"/>
            </w:tcBorders>
          </w:tcPr>
          <w:p w14:paraId="0F7D0DA4" w14:textId="77777777" w:rsidR="00745851" w:rsidRPr="00DD1A20" w:rsidRDefault="00745851" w:rsidP="00507A85">
            <w:pPr>
              <w:spacing w:after="60"/>
              <w:rPr>
                <w:iCs/>
                <w:sz w:val="20"/>
              </w:rPr>
            </w:pPr>
            <w:r w:rsidRPr="00DD1A20">
              <w:rPr>
                <w:iCs/>
                <w:sz w:val="20"/>
              </w:rPr>
              <w:t xml:space="preserve">TRRFQ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4B80FABC" w14:textId="77777777" w:rsidR="00745851" w:rsidRPr="00DD1A20" w:rsidRDefault="00745851" w:rsidP="00507A85">
            <w:pPr>
              <w:spacing w:after="60"/>
              <w:rPr>
                <w:sz w:val="20"/>
              </w:rPr>
            </w:pPr>
            <w:r w:rsidRPr="00DD1A20">
              <w:rPr>
                <w:color w:val="000000"/>
                <w:sz w:val="20"/>
              </w:rPr>
              <w:t>MW</w:t>
            </w:r>
          </w:p>
        </w:tc>
        <w:tc>
          <w:tcPr>
            <w:tcW w:w="3508" w:type="pct"/>
            <w:tcBorders>
              <w:top w:val="single" w:sz="4" w:space="0" w:color="auto"/>
              <w:left w:val="single" w:sz="4" w:space="0" w:color="auto"/>
              <w:bottom w:val="single" w:sz="4" w:space="0" w:color="auto"/>
              <w:right w:val="single" w:sz="4" w:space="0" w:color="auto"/>
            </w:tcBorders>
          </w:tcPr>
          <w:p w14:paraId="2E1FD3F1" w14:textId="77777777" w:rsidR="00745851" w:rsidRPr="00DD1A20" w:rsidRDefault="00745851" w:rsidP="00507A85">
            <w:pPr>
              <w:autoSpaceDE w:val="0"/>
              <w:autoSpaceDN w:val="0"/>
              <w:adjustRightInd w:val="0"/>
              <w:rPr>
                <w:i/>
                <w:color w:val="000000"/>
                <w:sz w:val="20"/>
              </w:rPr>
            </w:pPr>
            <w:r w:rsidRPr="00DD1A20">
              <w:rPr>
                <w:i/>
                <w:color w:val="000000"/>
                <w:sz w:val="20"/>
              </w:rPr>
              <w:t>Telemetered Responsive Reserve Failure Quantity per QSE—</w:t>
            </w:r>
            <w:r w:rsidRPr="00DD1A20">
              <w:rPr>
                <w:color w:val="000000"/>
                <w:sz w:val="20"/>
              </w:rPr>
              <w:t xml:space="preserve">Calculated failure quantity for QSE </w:t>
            </w:r>
            <w:r w:rsidRPr="00C22DE9">
              <w:rPr>
                <w:i/>
                <w:iCs/>
                <w:color w:val="000000"/>
                <w:sz w:val="20"/>
              </w:rPr>
              <w:t>q</w:t>
            </w:r>
            <w:r w:rsidRPr="00DD1A20">
              <w:rPr>
                <w:color w:val="000000"/>
                <w:sz w:val="20"/>
              </w:rPr>
              <w:t xml:space="preserve"> by comparing its average telemetered Responsive Reserve Responsibility sum to its Ancillary Service Supply Responsibility for RRS as calculated per paragraph (1) of Section 4.4.7.4, for the hour.</w:t>
            </w:r>
          </w:p>
        </w:tc>
      </w:tr>
      <w:tr w:rsidR="00745851" w:rsidRPr="00DD1A20" w14:paraId="67FC1EA5" w14:textId="77777777" w:rsidTr="00507A85">
        <w:tc>
          <w:tcPr>
            <w:tcW w:w="1043" w:type="pct"/>
            <w:tcBorders>
              <w:top w:val="single" w:sz="4" w:space="0" w:color="auto"/>
              <w:left w:val="single" w:sz="4" w:space="0" w:color="auto"/>
              <w:bottom w:val="single" w:sz="4" w:space="0" w:color="auto"/>
              <w:right w:val="single" w:sz="4" w:space="0" w:color="auto"/>
            </w:tcBorders>
          </w:tcPr>
          <w:p w14:paraId="611CED7A" w14:textId="77777777" w:rsidR="00745851" w:rsidRPr="00DD1A20" w:rsidRDefault="00745851" w:rsidP="00507A85">
            <w:pPr>
              <w:spacing w:after="60"/>
              <w:rPr>
                <w:sz w:val="20"/>
              </w:rPr>
            </w:pPr>
            <w:r w:rsidRPr="00DD1A20">
              <w:rPr>
                <w:i/>
                <w:iCs/>
                <w:sz w:val="20"/>
              </w:rPr>
              <w:t>i</w:t>
            </w:r>
          </w:p>
        </w:tc>
        <w:tc>
          <w:tcPr>
            <w:tcW w:w="449" w:type="pct"/>
            <w:tcBorders>
              <w:top w:val="single" w:sz="4" w:space="0" w:color="auto"/>
              <w:left w:val="single" w:sz="4" w:space="0" w:color="auto"/>
              <w:bottom w:val="single" w:sz="4" w:space="0" w:color="auto"/>
              <w:right w:val="single" w:sz="4" w:space="0" w:color="auto"/>
            </w:tcBorders>
          </w:tcPr>
          <w:p w14:paraId="2DCF40EE" w14:textId="77777777" w:rsidR="00745851" w:rsidRPr="00DD1A20" w:rsidRDefault="00745851" w:rsidP="00507A85">
            <w:pPr>
              <w:spacing w:after="60"/>
              <w:rPr>
                <w:sz w:val="20"/>
              </w:rPr>
            </w:pPr>
            <w:r w:rsidRPr="00DD1A20">
              <w:rPr>
                <w:iCs/>
                <w:sz w:val="20"/>
              </w:rPr>
              <w:t>None</w:t>
            </w:r>
          </w:p>
        </w:tc>
        <w:tc>
          <w:tcPr>
            <w:tcW w:w="3508" w:type="pct"/>
            <w:tcBorders>
              <w:top w:val="single" w:sz="4" w:space="0" w:color="auto"/>
              <w:left w:val="single" w:sz="4" w:space="0" w:color="auto"/>
              <w:bottom w:val="single" w:sz="4" w:space="0" w:color="auto"/>
              <w:right w:val="single" w:sz="4" w:space="0" w:color="auto"/>
            </w:tcBorders>
          </w:tcPr>
          <w:p w14:paraId="02FABB9D" w14:textId="77777777" w:rsidR="00745851" w:rsidRPr="00DD1A20" w:rsidRDefault="00745851" w:rsidP="00507A85">
            <w:pPr>
              <w:spacing w:after="60"/>
              <w:rPr>
                <w:i/>
                <w:sz w:val="20"/>
              </w:rPr>
            </w:pPr>
            <w:r w:rsidRPr="00DD1A20">
              <w:rPr>
                <w:iCs/>
                <w:sz w:val="20"/>
              </w:rPr>
              <w:t>A 15-minute Settlement Interval within the Operating Hour.</w:t>
            </w:r>
          </w:p>
        </w:tc>
      </w:tr>
      <w:tr w:rsidR="00745851" w:rsidRPr="00DD1A20" w14:paraId="311CE794" w14:textId="77777777" w:rsidTr="00507A85">
        <w:tc>
          <w:tcPr>
            <w:tcW w:w="1043" w:type="pct"/>
            <w:tcBorders>
              <w:top w:val="single" w:sz="4" w:space="0" w:color="auto"/>
              <w:left w:val="single" w:sz="4" w:space="0" w:color="auto"/>
              <w:bottom w:val="single" w:sz="4" w:space="0" w:color="auto"/>
              <w:right w:val="single" w:sz="4" w:space="0" w:color="auto"/>
            </w:tcBorders>
          </w:tcPr>
          <w:p w14:paraId="4E308B04" w14:textId="77777777" w:rsidR="00745851" w:rsidRPr="00DD1A20" w:rsidRDefault="00745851" w:rsidP="00507A85">
            <w:pPr>
              <w:spacing w:after="60"/>
              <w:rPr>
                <w:i/>
                <w:iCs/>
                <w:sz w:val="20"/>
              </w:rPr>
            </w:pPr>
            <w:r w:rsidRPr="00DD1A20">
              <w:rPr>
                <w:i/>
                <w:sz w:val="20"/>
              </w:rPr>
              <w:t>rs</w:t>
            </w:r>
          </w:p>
        </w:tc>
        <w:tc>
          <w:tcPr>
            <w:tcW w:w="449" w:type="pct"/>
            <w:tcBorders>
              <w:top w:val="single" w:sz="4" w:space="0" w:color="auto"/>
              <w:left w:val="single" w:sz="4" w:space="0" w:color="auto"/>
              <w:bottom w:val="single" w:sz="4" w:space="0" w:color="auto"/>
              <w:right w:val="single" w:sz="4" w:space="0" w:color="auto"/>
            </w:tcBorders>
          </w:tcPr>
          <w:p w14:paraId="3751F896" w14:textId="77777777" w:rsidR="00745851" w:rsidRPr="00DD1A20" w:rsidRDefault="00745851" w:rsidP="00507A85">
            <w:pPr>
              <w:spacing w:after="60"/>
              <w:rPr>
                <w:iCs/>
                <w:sz w:val="20"/>
              </w:rPr>
            </w:pPr>
            <w:r w:rsidRPr="00DD1A20">
              <w:rPr>
                <w:sz w:val="20"/>
              </w:rPr>
              <w:t>None</w:t>
            </w:r>
          </w:p>
        </w:tc>
        <w:tc>
          <w:tcPr>
            <w:tcW w:w="3508" w:type="pct"/>
            <w:tcBorders>
              <w:top w:val="single" w:sz="4" w:space="0" w:color="auto"/>
              <w:left w:val="single" w:sz="4" w:space="0" w:color="auto"/>
              <w:bottom w:val="single" w:sz="4" w:space="0" w:color="auto"/>
              <w:right w:val="single" w:sz="4" w:space="0" w:color="auto"/>
            </w:tcBorders>
          </w:tcPr>
          <w:p w14:paraId="5EBA6E0E" w14:textId="77777777" w:rsidR="00745851" w:rsidRPr="00DD1A20" w:rsidRDefault="00745851" w:rsidP="00507A85">
            <w:pPr>
              <w:spacing w:after="60"/>
              <w:rPr>
                <w:iCs/>
                <w:sz w:val="20"/>
              </w:rPr>
            </w:pPr>
            <w:r w:rsidRPr="00DD1A20">
              <w:rPr>
                <w:sz w:val="20"/>
              </w:rPr>
              <w:t>The RSASM for the given Operating Hour.</w:t>
            </w:r>
          </w:p>
        </w:tc>
      </w:tr>
      <w:tr w:rsidR="00745851" w:rsidRPr="00DD1A20" w14:paraId="2F76AE8C" w14:textId="77777777" w:rsidTr="00507A85">
        <w:tc>
          <w:tcPr>
            <w:tcW w:w="1043" w:type="pct"/>
            <w:tcBorders>
              <w:top w:val="single" w:sz="4" w:space="0" w:color="auto"/>
              <w:left w:val="single" w:sz="4" w:space="0" w:color="auto"/>
              <w:bottom w:val="single" w:sz="4" w:space="0" w:color="auto"/>
              <w:right w:val="single" w:sz="4" w:space="0" w:color="auto"/>
            </w:tcBorders>
          </w:tcPr>
          <w:p w14:paraId="3CECE019" w14:textId="77777777" w:rsidR="00745851" w:rsidRPr="00DD1A20" w:rsidRDefault="00745851" w:rsidP="00507A85">
            <w:pPr>
              <w:spacing w:after="60"/>
              <w:rPr>
                <w:i/>
                <w:iCs/>
                <w:sz w:val="20"/>
              </w:rPr>
            </w:pPr>
            <w:r w:rsidRPr="00DD1A20">
              <w:rPr>
                <w:i/>
                <w:iCs/>
                <w:sz w:val="20"/>
              </w:rPr>
              <w:t>m</w:t>
            </w:r>
          </w:p>
        </w:tc>
        <w:tc>
          <w:tcPr>
            <w:tcW w:w="449" w:type="pct"/>
            <w:tcBorders>
              <w:top w:val="single" w:sz="4" w:space="0" w:color="auto"/>
              <w:left w:val="single" w:sz="4" w:space="0" w:color="auto"/>
              <w:bottom w:val="single" w:sz="4" w:space="0" w:color="auto"/>
              <w:right w:val="single" w:sz="4" w:space="0" w:color="auto"/>
            </w:tcBorders>
          </w:tcPr>
          <w:p w14:paraId="665DF5EC" w14:textId="77777777" w:rsidR="00745851" w:rsidRPr="00DD1A20" w:rsidRDefault="00745851" w:rsidP="00507A85">
            <w:pPr>
              <w:spacing w:after="60"/>
              <w:rPr>
                <w:iCs/>
                <w:sz w:val="20"/>
              </w:rPr>
            </w:pPr>
            <w:r w:rsidRPr="00DD1A20">
              <w:rPr>
                <w:iCs/>
                <w:sz w:val="20"/>
              </w:rPr>
              <w:t>None</w:t>
            </w:r>
          </w:p>
        </w:tc>
        <w:tc>
          <w:tcPr>
            <w:tcW w:w="3508" w:type="pct"/>
            <w:tcBorders>
              <w:top w:val="single" w:sz="4" w:space="0" w:color="auto"/>
              <w:left w:val="single" w:sz="4" w:space="0" w:color="auto"/>
              <w:bottom w:val="single" w:sz="4" w:space="0" w:color="auto"/>
              <w:right w:val="single" w:sz="4" w:space="0" w:color="auto"/>
            </w:tcBorders>
          </w:tcPr>
          <w:p w14:paraId="3DB04C94" w14:textId="77777777" w:rsidR="00745851" w:rsidRPr="00DD1A20" w:rsidRDefault="00745851" w:rsidP="00507A85">
            <w:pPr>
              <w:spacing w:after="60"/>
              <w:rPr>
                <w:iCs/>
                <w:sz w:val="20"/>
              </w:rPr>
            </w:pPr>
            <w:r w:rsidRPr="00DD1A20">
              <w:rPr>
                <w:iCs/>
                <w:sz w:val="20"/>
              </w:rPr>
              <w:t>The DAM, SASM, or RSASM for the given Operating Hour.</w:t>
            </w:r>
          </w:p>
        </w:tc>
      </w:tr>
      <w:tr w:rsidR="00745851" w:rsidRPr="00DD1A20" w14:paraId="2CA0F0FD" w14:textId="77777777" w:rsidTr="00507A85">
        <w:tc>
          <w:tcPr>
            <w:tcW w:w="1043" w:type="pct"/>
            <w:tcBorders>
              <w:top w:val="single" w:sz="4" w:space="0" w:color="auto"/>
              <w:left w:val="single" w:sz="4" w:space="0" w:color="auto"/>
              <w:bottom w:val="single" w:sz="4" w:space="0" w:color="auto"/>
              <w:right w:val="single" w:sz="4" w:space="0" w:color="auto"/>
            </w:tcBorders>
          </w:tcPr>
          <w:p w14:paraId="7712F019" w14:textId="77777777" w:rsidR="00745851" w:rsidRPr="00DD1A20" w:rsidRDefault="00745851" w:rsidP="00507A85">
            <w:pPr>
              <w:spacing w:after="60"/>
              <w:rPr>
                <w:i/>
                <w:iCs/>
                <w:sz w:val="20"/>
              </w:rPr>
            </w:pPr>
            <w:r w:rsidRPr="00DD1A20">
              <w:rPr>
                <w:i/>
                <w:iCs/>
                <w:sz w:val="20"/>
              </w:rPr>
              <w:t>q</w:t>
            </w:r>
          </w:p>
        </w:tc>
        <w:tc>
          <w:tcPr>
            <w:tcW w:w="449" w:type="pct"/>
            <w:tcBorders>
              <w:top w:val="single" w:sz="4" w:space="0" w:color="auto"/>
              <w:left w:val="single" w:sz="4" w:space="0" w:color="auto"/>
              <w:bottom w:val="single" w:sz="4" w:space="0" w:color="auto"/>
              <w:right w:val="single" w:sz="4" w:space="0" w:color="auto"/>
            </w:tcBorders>
          </w:tcPr>
          <w:p w14:paraId="2C91D49D" w14:textId="77777777" w:rsidR="00745851" w:rsidRPr="00DD1A20" w:rsidRDefault="00745851" w:rsidP="00507A85">
            <w:pPr>
              <w:spacing w:after="60"/>
              <w:rPr>
                <w:iCs/>
                <w:sz w:val="20"/>
              </w:rPr>
            </w:pPr>
            <w:r w:rsidRPr="00DD1A20">
              <w:rPr>
                <w:iCs/>
                <w:sz w:val="20"/>
              </w:rPr>
              <w:t>None</w:t>
            </w:r>
          </w:p>
        </w:tc>
        <w:tc>
          <w:tcPr>
            <w:tcW w:w="3508" w:type="pct"/>
            <w:tcBorders>
              <w:top w:val="single" w:sz="4" w:space="0" w:color="auto"/>
              <w:left w:val="single" w:sz="4" w:space="0" w:color="auto"/>
              <w:bottom w:val="single" w:sz="4" w:space="0" w:color="auto"/>
              <w:right w:val="single" w:sz="4" w:space="0" w:color="auto"/>
            </w:tcBorders>
          </w:tcPr>
          <w:p w14:paraId="7196434E" w14:textId="77777777" w:rsidR="00745851" w:rsidRPr="00DD1A20" w:rsidRDefault="00745851" w:rsidP="00507A85">
            <w:pPr>
              <w:spacing w:after="60"/>
              <w:rPr>
                <w:iCs/>
                <w:sz w:val="20"/>
              </w:rPr>
            </w:pPr>
            <w:r w:rsidRPr="00DD1A20">
              <w:rPr>
                <w:iCs/>
                <w:sz w:val="20"/>
              </w:rPr>
              <w:t>A QSE.</w:t>
            </w:r>
          </w:p>
        </w:tc>
      </w:tr>
      <w:tr w:rsidR="00745851" w:rsidRPr="00DD1A20" w14:paraId="3B8F62C6" w14:textId="77777777" w:rsidTr="00507A85">
        <w:tc>
          <w:tcPr>
            <w:tcW w:w="1043" w:type="pct"/>
            <w:tcBorders>
              <w:top w:val="single" w:sz="4" w:space="0" w:color="auto"/>
              <w:left w:val="single" w:sz="4" w:space="0" w:color="auto"/>
              <w:bottom w:val="single" w:sz="4" w:space="0" w:color="auto"/>
              <w:right w:val="single" w:sz="4" w:space="0" w:color="auto"/>
            </w:tcBorders>
          </w:tcPr>
          <w:p w14:paraId="3549D1E2" w14:textId="77777777" w:rsidR="00745851" w:rsidRPr="00DD1A20" w:rsidRDefault="00745851" w:rsidP="00507A85">
            <w:pPr>
              <w:spacing w:after="60"/>
              <w:rPr>
                <w:i/>
                <w:iCs/>
                <w:sz w:val="20"/>
              </w:rPr>
            </w:pPr>
            <w:r w:rsidRPr="00DD1A20">
              <w:rPr>
                <w:i/>
                <w:iCs/>
                <w:sz w:val="20"/>
              </w:rPr>
              <w:t>r</w:t>
            </w:r>
          </w:p>
        </w:tc>
        <w:tc>
          <w:tcPr>
            <w:tcW w:w="449" w:type="pct"/>
            <w:tcBorders>
              <w:top w:val="single" w:sz="4" w:space="0" w:color="auto"/>
              <w:left w:val="single" w:sz="4" w:space="0" w:color="auto"/>
              <w:bottom w:val="single" w:sz="4" w:space="0" w:color="auto"/>
              <w:right w:val="single" w:sz="4" w:space="0" w:color="auto"/>
            </w:tcBorders>
          </w:tcPr>
          <w:p w14:paraId="6C0598E0" w14:textId="77777777" w:rsidR="00745851" w:rsidRPr="00DD1A20" w:rsidRDefault="00745851" w:rsidP="00507A85">
            <w:pPr>
              <w:spacing w:after="60"/>
              <w:rPr>
                <w:iCs/>
                <w:sz w:val="20"/>
              </w:rPr>
            </w:pPr>
            <w:r w:rsidRPr="00DD1A20">
              <w:rPr>
                <w:iCs/>
                <w:sz w:val="20"/>
              </w:rPr>
              <w:t>None</w:t>
            </w:r>
          </w:p>
        </w:tc>
        <w:tc>
          <w:tcPr>
            <w:tcW w:w="3508" w:type="pct"/>
            <w:tcBorders>
              <w:top w:val="single" w:sz="4" w:space="0" w:color="auto"/>
              <w:left w:val="single" w:sz="4" w:space="0" w:color="auto"/>
              <w:bottom w:val="single" w:sz="4" w:space="0" w:color="auto"/>
              <w:right w:val="single" w:sz="4" w:space="0" w:color="auto"/>
            </w:tcBorders>
          </w:tcPr>
          <w:p w14:paraId="2DC6B80C" w14:textId="77777777" w:rsidR="00745851" w:rsidRPr="00DD1A20" w:rsidRDefault="00745851" w:rsidP="00507A85">
            <w:pPr>
              <w:spacing w:after="60"/>
              <w:rPr>
                <w:iCs/>
                <w:sz w:val="20"/>
              </w:rPr>
            </w:pPr>
            <w:r w:rsidRPr="00DD1A20">
              <w:rPr>
                <w:iCs/>
                <w:sz w:val="20"/>
              </w:rPr>
              <w:t>A Resource that is qualified to provide RRS.</w:t>
            </w:r>
          </w:p>
        </w:tc>
      </w:tr>
    </w:tbl>
    <w:p w14:paraId="06CD2B89" w14:textId="77777777" w:rsidR="00745851" w:rsidRPr="00DD1A20" w:rsidRDefault="00745851" w:rsidP="00745851">
      <w:pPr>
        <w:spacing w:before="240" w:after="240"/>
        <w:ind w:left="1440" w:hanging="720"/>
        <w:rPr>
          <w:iCs/>
        </w:rPr>
      </w:pPr>
      <w:r w:rsidRPr="00DD1A20">
        <w:rPr>
          <w:iCs/>
        </w:rPr>
        <w:t>(d)</w:t>
      </w:r>
      <w:r w:rsidRPr="00DD1A20">
        <w:rPr>
          <w:iCs/>
        </w:rPr>
        <w:tab/>
        <w:t>The t</w:t>
      </w:r>
      <w:r w:rsidRPr="00DD1A20">
        <w:t>otal charge of failure on Ancillary Service Supply Responsibility for</w:t>
      </w:r>
      <w:r w:rsidRPr="00DD1A20">
        <w:rPr>
          <w:iCs/>
        </w:rPr>
        <w:t xml:space="preserve"> Non-Spin by QSE, if applicable:</w:t>
      </w:r>
    </w:p>
    <w:p w14:paraId="080BE5F0" w14:textId="77777777" w:rsidR="00745851" w:rsidRPr="00DD1A20" w:rsidRDefault="00745851" w:rsidP="00745851">
      <w:pPr>
        <w:spacing w:before="240" w:after="240"/>
        <w:ind w:left="2880" w:hanging="2160"/>
        <w:rPr>
          <w:b/>
          <w:i/>
          <w:vertAlign w:val="subscript"/>
        </w:rPr>
      </w:pPr>
      <w:r w:rsidRPr="00DD1A20">
        <w:rPr>
          <w:b/>
        </w:rPr>
        <w:t xml:space="preserve">NSFQAMTQSETOT </w:t>
      </w:r>
      <w:r w:rsidRPr="00DD1A20">
        <w:rPr>
          <w:b/>
          <w:i/>
          <w:vertAlign w:val="subscript"/>
        </w:rPr>
        <w:t>q</w:t>
      </w:r>
      <w:r w:rsidRPr="00DD1A20">
        <w:rPr>
          <w:b/>
        </w:rPr>
        <w:tab/>
        <w:t>=</w:t>
      </w:r>
      <w:r w:rsidRPr="00DD1A20">
        <w:rPr>
          <w:b/>
        </w:rPr>
        <w:tab/>
        <w:t xml:space="preserve">NSFQAMT </w:t>
      </w:r>
      <w:r w:rsidRPr="00DD1A20">
        <w:rPr>
          <w:b/>
          <w:i/>
          <w:vertAlign w:val="subscript"/>
        </w:rPr>
        <w:t xml:space="preserve">q </w:t>
      </w:r>
      <w:r w:rsidRPr="00DD1A20">
        <w:rPr>
          <w:b/>
          <w:i/>
        </w:rPr>
        <w:t>+</w:t>
      </w:r>
      <w:r w:rsidRPr="00DD1A20">
        <w:rPr>
          <w:b/>
          <w:i/>
          <w:vertAlign w:val="subscript"/>
        </w:rPr>
        <w:t xml:space="preserve"> </w:t>
      </w:r>
      <w:r w:rsidRPr="00DD1A20">
        <w:rPr>
          <w:b/>
        </w:rPr>
        <w:t xml:space="preserve">RNSFQAMT </w:t>
      </w:r>
      <w:r w:rsidRPr="00DD1A20">
        <w:rPr>
          <w:b/>
          <w:i/>
          <w:vertAlign w:val="subscript"/>
        </w:rPr>
        <w:t>q</w:t>
      </w:r>
    </w:p>
    <w:p w14:paraId="4B80E062" w14:textId="77777777" w:rsidR="00745851" w:rsidRPr="00DD1A20" w:rsidRDefault="00745851" w:rsidP="00745851">
      <w:pPr>
        <w:spacing w:before="240" w:after="240"/>
        <w:ind w:left="1440" w:hanging="720"/>
        <w:rPr>
          <w:iCs/>
        </w:rPr>
      </w:pPr>
      <w:r w:rsidRPr="00DD1A20">
        <w:t>Where:</w:t>
      </w:r>
    </w:p>
    <w:p w14:paraId="2A2CF249" w14:textId="77777777" w:rsidR="00745851" w:rsidRPr="00DD1A20" w:rsidRDefault="00745851" w:rsidP="00745851">
      <w:pPr>
        <w:spacing w:before="240" w:after="240"/>
        <w:ind w:left="3420" w:hanging="2700"/>
        <w:rPr>
          <w:bCs/>
        </w:rPr>
      </w:pPr>
      <w:r w:rsidRPr="00DD1A20">
        <w:lastRenderedPageBreak/>
        <w:t xml:space="preserve">NSFQAMT </w:t>
      </w:r>
      <w:r w:rsidRPr="00DD1A20">
        <w:rPr>
          <w:i/>
          <w:vertAlign w:val="subscript"/>
        </w:rPr>
        <w:t>q</w:t>
      </w:r>
      <w:r w:rsidRPr="00DD1A20">
        <w:t xml:space="preserve">    =      Max </w:t>
      </w:r>
      <w:r w:rsidRPr="00DD1A20">
        <w:rPr>
          <w:iCs/>
        </w:rPr>
        <w:t>(</w:t>
      </w:r>
      <w:r w:rsidRPr="00DD1A20">
        <w:t xml:space="preserve">MCPCNS </w:t>
      </w:r>
      <w:r w:rsidRPr="00DD1A20">
        <w:rPr>
          <w:i/>
          <w:vertAlign w:val="subscript"/>
        </w:rPr>
        <w:t>m</w:t>
      </w:r>
      <w:r w:rsidRPr="00DD1A20">
        <w:t xml:space="preserve">, AVGRTASIP) * (NSFQ </w:t>
      </w:r>
      <w:r w:rsidRPr="00DD1A20">
        <w:rPr>
          <w:i/>
          <w:vertAlign w:val="subscript"/>
        </w:rPr>
        <w:t>q</w:t>
      </w:r>
      <w:r w:rsidRPr="00DD1A20">
        <w:t xml:space="preserve"> + TNSFQ </w:t>
      </w:r>
      <w:r w:rsidRPr="00DD1A20">
        <w:rPr>
          <w:i/>
          <w:vertAlign w:val="subscript"/>
        </w:rPr>
        <w:t>q</w:t>
      </w:r>
      <w:r w:rsidRPr="00DD1A20">
        <w:t>)</w:t>
      </w:r>
    </w:p>
    <w:p w14:paraId="19579677" w14:textId="77777777" w:rsidR="00745851" w:rsidRPr="00DD1A20" w:rsidRDefault="00745851" w:rsidP="00745851">
      <w:pPr>
        <w:spacing w:before="240" w:after="240"/>
        <w:ind w:left="1440" w:hanging="720"/>
        <w:rPr>
          <w:bCs/>
          <w:i/>
          <w:vertAlign w:val="subscript"/>
        </w:rPr>
      </w:pPr>
      <w:r w:rsidRPr="00DD1A20">
        <w:t xml:space="preserve">RNSFQAMT </w:t>
      </w:r>
      <w:r w:rsidRPr="00DD1A20">
        <w:rPr>
          <w:i/>
          <w:vertAlign w:val="subscript"/>
        </w:rPr>
        <w:t>q</w:t>
      </w:r>
      <w:r w:rsidRPr="00DD1A20">
        <w:tab/>
      </w:r>
      <w:r w:rsidRPr="00DD1A20">
        <w:tab/>
        <w:t>=</w:t>
      </w:r>
      <w:r w:rsidRPr="00DD1A20">
        <w:tab/>
      </w:r>
      <w:r w:rsidRPr="00DD1A20">
        <w:rPr>
          <w:bCs/>
        </w:rPr>
        <w:t xml:space="preserve">MCPCNS </w:t>
      </w:r>
      <w:r w:rsidRPr="00DD1A20">
        <w:rPr>
          <w:bCs/>
          <w:i/>
          <w:vertAlign w:val="subscript"/>
        </w:rPr>
        <w:t>rs</w:t>
      </w:r>
      <w:r w:rsidRPr="00DD1A20">
        <w:rPr>
          <w:bCs/>
        </w:rPr>
        <w:t xml:space="preserve"> * RNSFQ</w:t>
      </w:r>
      <w:r w:rsidRPr="00DD1A20">
        <w:rPr>
          <w:i/>
          <w:vertAlign w:val="subscript"/>
        </w:rPr>
        <w:t xml:space="preserve"> q,</w:t>
      </w:r>
      <w:r w:rsidRPr="00DD1A20">
        <w:rPr>
          <w:bCs/>
        </w:rPr>
        <w:t xml:space="preserve"> </w:t>
      </w:r>
      <w:r w:rsidRPr="00DD1A20">
        <w:rPr>
          <w:bCs/>
          <w:i/>
          <w:vertAlign w:val="subscript"/>
        </w:rPr>
        <w:t>rs</w:t>
      </w:r>
    </w:p>
    <w:p w14:paraId="503412B2" w14:textId="77777777" w:rsidR="00745851" w:rsidRPr="00DD1A20" w:rsidRDefault="00745851" w:rsidP="00745851">
      <w:pPr>
        <w:spacing w:after="240"/>
        <w:ind w:firstLine="720"/>
      </w:pPr>
      <w:r w:rsidRPr="00DD1A20">
        <w:t>AVGRTASIP</w:t>
      </w:r>
      <w:r w:rsidRPr="00DD1A20">
        <w:tab/>
      </w:r>
      <w:r w:rsidRPr="00DD1A20">
        <w:tab/>
      </w:r>
      <w:r w:rsidRPr="00DD1A20">
        <w:tab/>
        <w:t xml:space="preserve">= </w:t>
      </w:r>
      <w:r w:rsidRPr="00DD1A20">
        <w:tab/>
      </w:r>
      <w:r w:rsidRPr="00DD1A20">
        <w:rPr>
          <w:position w:val="-20"/>
        </w:rPr>
        <w:object w:dxaOrig="260" w:dyaOrig="580" w14:anchorId="1E98218E">
          <v:shape id="_x0000_i1345" type="#_x0000_t75" style="width:12pt;height:30pt" o:ole="">
            <v:imagedata r:id="rId419" o:title=""/>
          </v:shape>
          <o:OLEObject Type="Embed" ProgID="Equation.3" ShapeID="_x0000_i1345" DrawAspect="Content" ObjectID="_1815025533" r:id="rId427"/>
        </w:object>
      </w:r>
      <w:r w:rsidRPr="00DD1A20">
        <w:t xml:space="preserve">(RTRSVPOR </w:t>
      </w:r>
      <w:r w:rsidRPr="00DD1A20">
        <w:rPr>
          <w:i/>
          <w:vertAlign w:val="subscript"/>
        </w:rPr>
        <w:t>i</w:t>
      </w:r>
      <w:r w:rsidRPr="00DD1A20">
        <w:t xml:space="preserve"> + RTRDP </w:t>
      </w:r>
      <w:r w:rsidRPr="00DD1A20">
        <w:rPr>
          <w:i/>
          <w:vertAlign w:val="subscript"/>
        </w:rPr>
        <w:t>i</w:t>
      </w:r>
      <w:r w:rsidRPr="00DD1A20">
        <w:t xml:space="preserve">) / 4 </w:t>
      </w:r>
    </w:p>
    <w:p w14:paraId="78BE0ABB" w14:textId="77777777" w:rsidR="00745851" w:rsidRPr="00DD1A20" w:rsidRDefault="00745851" w:rsidP="00745851">
      <w:pPr>
        <w:spacing w:after="240"/>
        <w:ind w:firstLine="720"/>
      </w:pPr>
      <w:r w:rsidRPr="00DD1A20">
        <w:t>Where for all Resources:</w:t>
      </w:r>
    </w:p>
    <w:p w14:paraId="2DAEA07F" w14:textId="77777777" w:rsidR="00745851" w:rsidRPr="00DD1A20" w:rsidRDefault="00745851" w:rsidP="00745851">
      <w:pPr>
        <w:spacing w:after="240"/>
        <w:ind w:leftChars="300" w:left="2880" w:hangingChars="900" w:hanging="2160"/>
        <w:rPr>
          <w:bCs/>
          <w:iCs/>
        </w:rPr>
      </w:pPr>
      <w:r w:rsidRPr="00DD1A20">
        <w:t xml:space="preserve">TNSFQ </w:t>
      </w:r>
      <w:r w:rsidRPr="00DD1A20">
        <w:rPr>
          <w:i/>
          <w:vertAlign w:val="subscript"/>
        </w:rPr>
        <w:t>q =</w:t>
      </w:r>
      <w:r w:rsidRPr="00DD1A20">
        <w:rPr>
          <w:iCs/>
        </w:rPr>
        <w:t xml:space="preserve"> Max([(</w:t>
      </w:r>
      <w:r w:rsidRPr="00DD1A20">
        <w:rPr>
          <w:bCs/>
          <w:lang w:val="fr-FR"/>
        </w:rPr>
        <w:t xml:space="preserve">SANSQ </w:t>
      </w:r>
      <w:r w:rsidRPr="00DD1A20">
        <w:rPr>
          <w:bCs/>
          <w:i/>
          <w:vertAlign w:val="subscript"/>
          <w:lang w:val="fr-FR"/>
        </w:rPr>
        <w:t xml:space="preserve">q </w:t>
      </w:r>
      <w:r w:rsidRPr="00DD1A20">
        <w:rPr>
          <w:bCs/>
          <w:iCs/>
        </w:rPr>
        <w:t xml:space="preserve">+ NSTRSQ </w:t>
      </w:r>
      <w:r w:rsidRPr="00DD1A20">
        <w:rPr>
          <w:bCs/>
          <w:i/>
          <w:vertAlign w:val="subscript"/>
        </w:rPr>
        <w:t>q</w:t>
      </w:r>
      <w:r w:rsidRPr="00DD1A20">
        <w:rPr>
          <w:bCs/>
          <w:iCs/>
        </w:rPr>
        <w:t xml:space="preserve"> + </w:t>
      </w:r>
      <w:r w:rsidRPr="00DD1A20">
        <w:rPr>
          <w:noProof/>
          <w:position w:val="-20"/>
        </w:rPr>
        <w:drawing>
          <wp:inline distT="0" distB="0" distL="0" distR="0" wp14:anchorId="10781E43" wp14:editId="6B2DBCD7">
            <wp:extent cx="142875" cy="2762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DD1A20">
        <w:rPr>
          <w:bCs/>
          <w:lang w:val="es-ES"/>
        </w:rPr>
        <w:t xml:space="preserve">(RTPCNS </w:t>
      </w:r>
      <w:r w:rsidRPr="00DD1A20">
        <w:rPr>
          <w:bCs/>
          <w:i/>
          <w:vertAlign w:val="subscript"/>
          <w:lang w:val="es-ES"/>
        </w:rPr>
        <w:t>q, m</w:t>
      </w:r>
      <w:r w:rsidRPr="00DD1A20">
        <w:rPr>
          <w:bCs/>
          <w:lang w:val="es-ES"/>
        </w:rPr>
        <w:t xml:space="preserve">) + PCNS </w:t>
      </w:r>
      <w:r w:rsidRPr="00DD1A20">
        <w:rPr>
          <w:bCs/>
          <w:i/>
          <w:vertAlign w:val="subscript"/>
          <w:lang w:val="es-ES"/>
        </w:rPr>
        <w:t>q</w:t>
      </w:r>
      <w:r w:rsidRPr="00DD1A20">
        <w:rPr>
          <w:bCs/>
          <w:lang w:val="es-ES"/>
        </w:rPr>
        <w:t xml:space="preserve"> + RUCNSQ </w:t>
      </w:r>
      <w:r w:rsidRPr="00DD1A20">
        <w:rPr>
          <w:bCs/>
          <w:i/>
          <w:vertAlign w:val="subscript"/>
          <w:lang w:val="es-ES"/>
        </w:rPr>
        <w:t>q</w:t>
      </w:r>
      <w:r w:rsidRPr="00DD1A20">
        <w:rPr>
          <w:bCs/>
          <w:lang w:val="es-ES"/>
        </w:rPr>
        <w:t>) – (</w:t>
      </w:r>
      <w:r w:rsidRPr="00DD1A20">
        <w:rPr>
          <w:bCs/>
          <w:iCs/>
        </w:rPr>
        <w:t xml:space="preserve">NSTRPQ </w:t>
      </w:r>
      <w:r w:rsidRPr="00DD1A20">
        <w:rPr>
          <w:bCs/>
          <w:i/>
          <w:vertAlign w:val="subscript"/>
        </w:rPr>
        <w:t>q</w:t>
      </w:r>
      <w:r w:rsidRPr="00DD1A20">
        <w:rPr>
          <w:bCs/>
          <w:iCs/>
        </w:rPr>
        <w:t xml:space="preserve"> + </w:t>
      </w:r>
      <w:r w:rsidRPr="00DD1A20">
        <w:rPr>
          <w:bCs/>
          <w:lang w:val="es-ES"/>
        </w:rPr>
        <w:t xml:space="preserve">NSFQ </w:t>
      </w:r>
      <w:r w:rsidRPr="00DD1A20">
        <w:rPr>
          <w:bCs/>
          <w:i/>
          <w:vertAlign w:val="subscript"/>
          <w:lang w:val="es-ES"/>
        </w:rPr>
        <w:t>q</w:t>
      </w:r>
      <w:r w:rsidRPr="00DD1A20">
        <w:rPr>
          <w:bCs/>
          <w:lang w:val="es-ES"/>
        </w:rPr>
        <w:t xml:space="preserve"> + RNSFQ</w:t>
      </w:r>
      <w:r w:rsidRPr="00DD1A20">
        <w:rPr>
          <w:bCs/>
          <w:i/>
          <w:vertAlign w:val="subscript"/>
          <w:lang w:val="es-ES"/>
        </w:rPr>
        <w:t xml:space="preserve"> q</w:t>
      </w:r>
      <w:r w:rsidRPr="00DD1A20">
        <w:rPr>
          <w:bCs/>
          <w:lang w:val="es-ES"/>
        </w:rPr>
        <w:t xml:space="preserve"> + NSINFQ </w:t>
      </w:r>
      <w:r w:rsidRPr="00DD1A20">
        <w:rPr>
          <w:bCs/>
          <w:i/>
          <w:iCs/>
          <w:vertAlign w:val="subscript"/>
          <w:lang w:val="es-ES"/>
        </w:rPr>
        <w:t>q</w:t>
      </w:r>
      <w:r w:rsidRPr="00DD1A20">
        <w:rPr>
          <w:bCs/>
          <w:lang w:val="es-ES"/>
        </w:rPr>
        <w:t>)</w:t>
      </w:r>
      <w:r w:rsidRPr="00DD1A20">
        <w:rPr>
          <w:bCs/>
          <w:iCs/>
        </w:rPr>
        <w:t xml:space="preserve">] </w:t>
      </w:r>
      <w:r w:rsidRPr="00DD1A20">
        <w:rPr>
          <w:bCs/>
          <w:lang w:val="es-ES"/>
        </w:rPr>
        <w:t>–</w:t>
      </w:r>
      <w:r w:rsidRPr="00DD1A20">
        <w:rPr>
          <w:position w:val="-18"/>
        </w:rPr>
        <w:object w:dxaOrig="225" w:dyaOrig="420" w14:anchorId="4D4BF6B6">
          <v:shape id="_x0000_i1346" type="#_x0000_t75" style="width:12pt;height:24pt" o:ole="">
            <v:imagedata r:id="rId159" o:title=""/>
          </v:shape>
          <o:OLEObject Type="Embed" ProgID="Equation.3" ShapeID="_x0000_i1346" DrawAspect="Content" ObjectID="_1815025534" r:id="rId428"/>
        </w:object>
      </w:r>
      <w:r w:rsidRPr="00DD1A20">
        <w:rPr>
          <w:bCs/>
          <w:iCs/>
        </w:rPr>
        <w:t>TELNSRC</w:t>
      </w:r>
      <w:r w:rsidRPr="00DD1A20">
        <w:rPr>
          <w:bCs/>
          <w:i/>
          <w:vertAlign w:val="subscript"/>
          <w:lang w:val="es-ES"/>
        </w:rPr>
        <w:t xml:space="preserve"> q, r</w:t>
      </w:r>
      <w:r w:rsidRPr="00DD1A20">
        <w:rPr>
          <w:bCs/>
          <w:iCs/>
          <w:lang w:val="es-ES"/>
        </w:rPr>
        <w:t>, 0)</w:t>
      </w:r>
    </w:p>
    <w:p w14:paraId="1F4FE5A8" w14:textId="77777777" w:rsidR="00745851" w:rsidRPr="00DD1A20" w:rsidRDefault="00745851" w:rsidP="00745851">
      <w:pPr>
        <w:spacing w:after="240"/>
        <w:ind w:leftChars="300" w:left="780" w:hangingChars="25" w:hanging="60"/>
        <w:rPr>
          <w:bCs/>
          <w:iCs/>
        </w:rPr>
      </w:pPr>
      <w:r w:rsidRPr="00C22DE9">
        <w:t>Where</w:t>
      </w:r>
      <w:r w:rsidRPr="00DD1A20">
        <w:rPr>
          <w:bCs/>
          <w:iCs/>
        </w:rPr>
        <w:t xml:space="preserve"> for Load Resources, other than Controllable Load Resources, during a Non-Spin deployment event:</w:t>
      </w:r>
    </w:p>
    <w:p w14:paraId="572A1660" w14:textId="77777777" w:rsidR="00745851" w:rsidRPr="00DD1A20" w:rsidRDefault="00745851" w:rsidP="00745851">
      <w:pPr>
        <w:spacing w:after="240"/>
        <w:ind w:leftChars="300" w:left="2880" w:hangingChars="900" w:hanging="2160"/>
      </w:pPr>
      <w:r w:rsidRPr="00DD1A20">
        <w:rPr>
          <w:bCs/>
          <w:iCs/>
        </w:rPr>
        <w:t xml:space="preserve">TELNSRC </w:t>
      </w:r>
      <w:r w:rsidRPr="00DD1A20">
        <w:rPr>
          <w:bCs/>
          <w:i/>
          <w:vertAlign w:val="subscript"/>
        </w:rPr>
        <w:t>q</w:t>
      </w:r>
      <w:r w:rsidRPr="00DD1A20">
        <w:rPr>
          <w:bCs/>
          <w:i/>
          <w:vertAlign w:val="subscript"/>
          <w:lang w:val="es-ES"/>
        </w:rPr>
        <w:t xml:space="preserve">, r  </w:t>
      </w:r>
      <w:r w:rsidRPr="00DD1A20">
        <w:t xml:space="preserve">= </w:t>
      </w:r>
      <w:r w:rsidRPr="00DD1A20">
        <w:rPr>
          <w:bCs/>
          <w:iCs/>
          <w:lang w:val="es-ES"/>
        </w:rPr>
        <w:t>Min(NPF</w:t>
      </w:r>
      <w:r w:rsidRPr="00DD1A20">
        <w:rPr>
          <w:bCs/>
          <w:i/>
          <w:vertAlign w:val="subscript"/>
        </w:rPr>
        <w:t xml:space="preserve"> q</w:t>
      </w:r>
      <w:r w:rsidRPr="00DD1A20">
        <w:rPr>
          <w:bCs/>
          <w:i/>
          <w:vertAlign w:val="subscript"/>
          <w:lang w:val="es-ES"/>
        </w:rPr>
        <w:t>, r</w:t>
      </w:r>
      <w:r w:rsidRPr="00DD1A20">
        <w:rPr>
          <w:bCs/>
          <w:iCs/>
          <w:lang w:val="es-ES"/>
        </w:rPr>
        <w:t xml:space="preserve"> – LPC</w:t>
      </w:r>
      <w:r w:rsidRPr="00DD1A20">
        <w:rPr>
          <w:bCs/>
          <w:i/>
          <w:vertAlign w:val="subscript"/>
        </w:rPr>
        <w:t xml:space="preserve"> q</w:t>
      </w:r>
      <w:r w:rsidRPr="00DD1A20">
        <w:rPr>
          <w:bCs/>
          <w:i/>
          <w:vertAlign w:val="subscript"/>
          <w:lang w:val="es-ES"/>
        </w:rPr>
        <w:t>, r</w:t>
      </w:r>
      <w:r w:rsidRPr="00DD1A20">
        <w:rPr>
          <w:bCs/>
          <w:iCs/>
          <w:lang w:val="es-ES"/>
        </w:rPr>
        <w:t>, TELNSR</w:t>
      </w:r>
      <w:r w:rsidRPr="00DD1A20">
        <w:rPr>
          <w:bCs/>
          <w:i/>
          <w:vertAlign w:val="subscript"/>
        </w:rPr>
        <w:t xml:space="preserve"> q</w:t>
      </w:r>
      <w:r w:rsidRPr="00DD1A20">
        <w:rPr>
          <w:bCs/>
          <w:i/>
          <w:vertAlign w:val="subscript"/>
          <w:lang w:val="es-ES"/>
        </w:rPr>
        <w:t>, r</w:t>
      </w:r>
      <w:r w:rsidRPr="00DD1A20">
        <w:rPr>
          <w:bCs/>
          <w:iCs/>
          <w:lang w:val="es-ES"/>
        </w:rPr>
        <w:t xml:space="preserve">) </w:t>
      </w:r>
      <w:r>
        <w:rPr>
          <w:bCs/>
          <w:iCs/>
          <w:lang w:val="es-ES"/>
        </w:rPr>
        <w:t xml:space="preserve">where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q, r</w:t>
      </w:r>
      <w:r w:rsidRPr="00DD1A20">
        <w:rPr>
          <w:bCs/>
          <w:iCs/>
          <w:lang w:val="es-ES"/>
        </w:rPr>
        <w:t xml:space="preserve"> </w:t>
      </w:r>
      <w:r>
        <w:rPr>
          <w:bCs/>
          <w:iCs/>
          <w:lang w:val="es-ES"/>
        </w:rPr>
        <w:t xml:space="preserve">are derived from respective </w:t>
      </w:r>
      <w:r w:rsidRPr="00DD1A20">
        <w:rPr>
          <w:bCs/>
          <w:iCs/>
          <w:lang w:val="es-ES"/>
        </w:rPr>
        <w:t>snapshot</w:t>
      </w:r>
      <w:r>
        <w:rPr>
          <w:bCs/>
          <w:iCs/>
          <w:lang w:val="es-ES"/>
        </w:rPr>
        <w:t>s</w:t>
      </w:r>
      <w:r w:rsidRPr="00DD1A20">
        <w:rPr>
          <w:bCs/>
          <w:iCs/>
          <w:lang w:val="es-ES"/>
        </w:rPr>
        <w:t xml:space="preserve"> </w:t>
      </w:r>
      <w:r>
        <w:rPr>
          <w:bCs/>
          <w:iCs/>
          <w:lang w:val="es-ES"/>
        </w:rPr>
        <w:t>taken immediately prior to the</w:t>
      </w:r>
      <w:r w:rsidRPr="00DD1A20">
        <w:rPr>
          <w:bCs/>
          <w:iCs/>
          <w:lang w:val="es-ES"/>
        </w:rPr>
        <w:t xml:space="preserve"> time of deployment </w:t>
      </w:r>
      <w:r>
        <w:rPr>
          <w:bCs/>
          <w:iCs/>
          <w:lang w:val="es-ES"/>
        </w:rPr>
        <w:t>which will be used from deployment</w:t>
      </w:r>
      <w:r w:rsidRPr="00DD1A20">
        <w:rPr>
          <w:bCs/>
          <w:iCs/>
          <w:lang w:val="es-ES"/>
        </w:rPr>
        <w:t xml:space="preserve"> until 180 minutes after recall or if</w:t>
      </w:r>
      <w:r w:rsidRPr="00DD1A20">
        <w:t xml:space="preserve"> the time between a recall of Load Resources and a redeployment is less than 180 minutes, the snapshot to be used </w:t>
      </w:r>
      <w:r>
        <w:t xml:space="preserve">for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 xml:space="preserve">q, </w:t>
      </w:r>
      <w:r>
        <w:rPr>
          <w:bCs/>
          <w:i/>
          <w:vertAlign w:val="subscript"/>
          <w:lang w:val="es-ES"/>
        </w:rPr>
        <w:t>r</w:t>
      </w:r>
      <w:r w:rsidRPr="00DD1A20">
        <w:rPr>
          <w:bCs/>
          <w:iCs/>
          <w:lang w:val="es-ES"/>
        </w:rPr>
        <w:t xml:space="preserve"> </w:t>
      </w:r>
      <w:r w:rsidRPr="00DD1A20">
        <w:t>will be the time of the first deployment</w:t>
      </w:r>
    </w:p>
    <w:p w14:paraId="04A9517F" w14:textId="77777777" w:rsidR="00745851" w:rsidRPr="00DD1A20" w:rsidRDefault="00745851" w:rsidP="00745851">
      <w:pPr>
        <w:spacing w:after="240"/>
        <w:ind w:leftChars="300" w:left="780" w:hangingChars="25" w:hanging="60"/>
        <w:rPr>
          <w:bCs/>
          <w:iCs/>
        </w:rPr>
      </w:pPr>
      <w:r w:rsidRPr="00DD1A20">
        <w:rPr>
          <w:bCs/>
          <w:iCs/>
        </w:rPr>
        <w:t>Where for Load Resources, other than Controllable Load Resources, prior to a Non-Spin deployment event:</w:t>
      </w:r>
    </w:p>
    <w:p w14:paraId="6EA828D6" w14:textId="77777777" w:rsidR="00745851" w:rsidRPr="00DD1A20" w:rsidRDefault="00745851" w:rsidP="00745851">
      <w:pPr>
        <w:spacing w:after="240"/>
        <w:ind w:leftChars="300" w:left="2880" w:hangingChars="900" w:hanging="2160"/>
        <w:rPr>
          <w:bCs/>
          <w:iCs/>
          <w:lang w:val="fr-FR"/>
        </w:rPr>
      </w:pPr>
      <w:r w:rsidRPr="00DD1A20">
        <w:rPr>
          <w:bCs/>
          <w:iCs/>
        </w:rPr>
        <w:t>TELNSRC</w:t>
      </w:r>
      <w:r w:rsidRPr="00DD1A20">
        <w:rPr>
          <w:bCs/>
          <w:i/>
          <w:vertAlign w:val="subscript"/>
        </w:rPr>
        <w:t xml:space="preserve"> q, </w:t>
      </w:r>
      <w:r w:rsidRPr="00DD1A20">
        <w:rPr>
          <w:bCs/>
          <w:i/>
          <w:vertAlign w:val="subscript"/>
          <w:lang w:val="es-ES"/>
        </w:rPr>
        <w:t>r</w:t>
      </w:r>
      <w:r w:rsidRPr="00DD1A20">
        <w:rPr>
          <w:bCs/>
          <w:iCs/>
        </w:rPr>
        <w:t xml:space="preserve"> </w:t>
      </w:r>
      <w:r w:rsidRPr="00DD1A20">
        <w:t>=</w:t>
      </w:r>
      <w:r w:rsidRPr="00DD1A20">
        <w:rPr>
          <w:bCs/>
          <w:iCs/>
        </w:rPr>
        <w:t xml:space="preserve"> </w:t>
      </w:r>
      <w:r w:rsidRPr="00DD1A20">
        <w:rPr>
          <w:bCs/>
          <w:iCs/>
          <w:lang w:val="es-ES"/>
        </w:rPr>
        <w:t>Min(NPF</w:t>
      </w:r>
      <w:r w:rsidRPr="00DD1A20">
        <w:rPr>
          <w:bCs/>
          <w:i/>
          <w:vertAlign w:val="subscript"/>
        </w:rPr>
        <w:t xml:space="preserve"> q</w:t>
      </w:r>
      <w:r w:rsidRPr="00DD1A20">
        <w:rPr>
          <w:bCs/>
          <w:i/>
          <w:vertAlign w:val="subscript"/>
          <w:lang w:val="es-ES"/>
        </w:rPr>
        <w:t>, r</w:t>
      </w:r>
      <w:r w:rsidRPr="00DD1A20">
        <w:rPr>
          <w:bCs/>
          <w:iCs/>
          <w:lang w:val="es-ES"/>
        </w:rPr>
        <w:t xml:space="preserve"> – LPC</w:t>
      </w:r>
      <w:r w:rsidRPr="00DD1A20">
        <w:rPr>
          <w:bCs/>
          <w:i/>
          <w:vertAlign w:val="subscript"/>
        </w:rPr>
        <w:t xml:space="preserve"> q</w:t>
      </w:r>
      <w:r w:rsidRPr="00DD1A20">
        <w:rPr>
          <w:bCs/>
          <w:i/>
          <w:vertAlign w:val="subscript"/>
          <w:lang w:val="es-ES"/>
        </w:rPr>
        <w:t>, r</w:t>
      </w:r>
      <w:r w:rsidRPr="00DD1A20">
        <w:rPr>
          <w:bCs/>
          <w:iCs/>
          <w:lang w:val="es-ES"/>
        </w:rPr>
        <w:t>, TELNSR</w:t>
      </w:r>
      <w:r w:rsidRPr="00DD1A20">
        <w:rPr>
          <w:bCs/>
          <w:i/>
          <w:vertAlign w:val="subscript"/>
        </w:rPr>
        <w:t xml:space="preserve"> q</w:t>
      </w:r>
      <w:r w:rsidRPr="00DD1A20">
        <w:rPr>
          <w:bCs/>
          <w:i/>
          <w:vertAlign w:val="subscript"/>
          <w:lang w:val="es-ES"/>
        </w:rPr>
        <w:t>, r</w:t>
      </w:r>
      <w:r w:rsidRPr="00DD1A20">
        <w:rPr>
          <w:bCs/>
          <w:iCs/>
          <w:lang w:val="es-ES"/>
        </w:rPr>
        <w:t xml:space="preserve">) </w:t>
      </w:r>
    </w:p>
    <w:p w14:paraId="44338052" w14:textId="77777777" w:rsidR="00745851" w:rsidRPr="00DD1A20" w:rsidRDefault="00745851" w:rsidP="00745851">
      <w:pPr>
        <w:spacing w:after="240"/>
        <w:ind w:leftChars="300" w:left="2880" w:hangingChars="900" w:hanging="2160"/>
        <w:rPr>
          <w:bCs/>
          <w:lang w:val="fr-FR"/>
        </w:rPr>
      </w:pPr>
      <w:r w:rsidRPr="00DD1A20">
        <w:rPr>
          <w:bCs/>
          <w:lang w:val="fr-FR"/>
        </w:rPr>
        <w:t xml:space="preserve">SANSQ </w:t>
      </w:r>
      <w:r w:rsidRPr="00DD1A20">
        <w:rPr>
          <w:bCs/>
          <w:i/>
          <w:vertAlign w:val="subscript"/>
          <w:lang w:val="fr-FR"/>
        </w:rPr>
        <w:t xml:space="preserve">q </w:t>
      </w:r>
      <w:r w:rsidRPr="00DD1A20">
        <w:rPr>
          <w:bCs/>
          <w:lang w:val="fr-FR"/>
        </w:rPr>
        <w:t xml:space="preserve">= DASANSQ </w:t>
      </w:r>
      <w:r w:rsidRPr="00DD1A20">
        <w:rPr>
          <w:bCs/>
          <w:i/>
          <w:vertAlign w:val="subscript"/>
          <w:lang w:val="fr-FR"/>
        </w:rPr>
        <w:t>q</w:t>
      </w:r>
      <w:r w:rsidRPr="00DD1A20">
        <w:rPr>
          <w:bCs/>
          <w:lang w:val="fr-FR"/>
        </w:rPr>
        <w:t xml:space="preserve"> + RTSANSQ </w:t>
      </w:r>
      <w:r w:rsidRPr="00DD1A20">
        <w:rPr>
          <w:bCs/>
          <w:i/>
          <w:vertAlign w:val="subscript"/>
          <w:lang w:val="fr-FR"/>
        </w:rPr>
        <w:t>q</w:t>
      </w:r>
    </w:p>
    <w:p w14:paraId="06CE96E5" w14:textId="77777777" w:rsidR="00745851" w:rsidRPr="00DD1A20" w:rsidRDefault="00745851" w:rsidP="00745851">
      <w:r w:rsidRPr="00DD1A20">
        <w:t>The above variables are defined as follows:</w:t>
      </w: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839"/>
        <w:gridCol w:w="6421"/>
      </w:tblGrid>
      <w:tr w:rsidR="00745851" w:rsidRPr="00DD1A20" w14:paraId="48AEA769" w14:textId="77777777" w:rsidTr="00507A85">
        <w:tc>
          <w:tcPr>
            <w:tcW w:w="1054" w:type="pct"/>
          </w:tcPr>
          <w:p w14:paraId="3E7F7F25" w14:textId="77777777" w:rsidR="00745851" w:rsidRPr="00DD1A20" w:rsidRDefault="00745851" w:rsidP="00507A85">
            <w:pPr>
              <w:spacing w:after="240"/>
              <w:rPr>
                <w:b/>
                <w:iCs/>
                <w:sz w:val="20"/>
              </w:rPr>
            </w:pPr>
            <w:r w:rsidRPr="00DD1A20">
              <w:rPr>
                <w:b/>
                <w:iCs/>
                <w:sz w:val="20"/>
              </w:rPr>
              <w:t>Variable</w:t>
            </w:r>
          </w:p>
        </w:tc>
        <w:tc>
          <w:tcPr>
            <w:tcW w:w="456" w:type="pct"/>
          </w:tcPr>
          <w:p w14:paraId="3C3D91DF" w14:textId="77777777" w:rsidR="00745851" w:rsidRPr="00DD1A20" w:rsidRDefault="00745851" w:rsidP="00507A85">
            <w:pPr>
              <w:spacing w:after="240"/>
              <w:rPr>
                <w:b/>
                <w:iCs/>
                <w:sz w:val="20"/>
              </w:rPr>
            </w:pPr>
            <w:r w:rsidRPr="00DD1A20">
              <w:rPr>
                <w:b/>
                <w:iCs/>
                <w:sz w:val="20"/>
              </w:rPr>
              <w:t>Unit</w:t>
            </w:r>
          </w:p>
        </w:tc>
        <w:tc>
          <w:tcPr>
            <w:tcW w:w="3490" w:type="pct"/>
          </w:tcPr>
          <w:p w14:paraId="2111F347" w14:textId="77777777" w:rsidR="00745851" w:rsidRPr="00DD1A20" w:rsidRDefault="00745851" w:rsidP="00507A85">
            <w:pPr>
              <w:spacing w:after="240"/>
              <w:rPr>
                <w:b/>
                <w:iCs/>
                <w:sz w:val="20"/>
              </w:rPr>
            </w:pPr>
            <w:r w:rsidRPr="00DD1A20">
              <w:rPr>
                <w:b/>
                <w:iCs/>
                <w:sz w:val="20"/>
              </w:rPr>
              <w:t>Description</w:t>
            </w:r>
          </w:p>
        </w:tc>
      </w:tr>
      <w:tr w:rsidR="00745851" w:rsidRPr="00DD1A20" w14:paraId="445ACAEB" w14:textId="77777777" w:rsidTr="00507A85">
        <w:tc>
          <w:tcPr>
            <w:tcW w:w="1054" w:type="pct"/>
          </w:tcPr>
          <w:p w14:paraId="6F593EF5" w14:textId="77777777" w:rsidR="00745851" w:rsidRPr="00DD1A20" w:rsidRDefault="00745851" w:rsidP="00507A85">
            <w:pPr>
              <w:spacing w:after="60"/>
              <w:rPr>
                <w:iCs/>
                <w:sz w:val="20"/>
              </w:rPr>
            </w:pPr>
            <w:r w:rsidRPr="00DD1A20">
              <w:rPr>
                <w:iCs/>
                <w:sz w:val="20"/>
              </w:rPr>
              <w:t xml:space="preserve">NSFQAMTQSETOT </w:t>
            </w:r>
            <w:r w:rsidRPr="00DD1A20">
              <w:rPr>
                <w:i/>
                <w:iCs/>
                <w:sz w:val="20"/>
                <w:vertAlign w:val="subscript"/>
              </w:rPr>
              <w:t>q</w:t>
            </w:r>
          </w:p>
        </w:tc>
        <w:tc>
          <w:tcPr>
            <w:tcW w:w="456" w:type="pct"/>
          </w:tcPr>
          <w:p w14:paraId="4DD138B6" w14:textId="77777777" w:rsidR="00745851" w:rsidRPr="00DD1A20" w:rsidRDefault="00745851" w:rsidP="00507A85">
            <w:pPr>
              <w:spacing w:after="60"/>
              <w:rPr>
                <w:iCs/>
                <w:sz w:val="20"/>
              </w:rPr>
            </w:pPr>
            <w:r w:rsidRPr="00DD1A20">
              <w:rPr>
                <w:iCs/>
                <w:sz w:val="20"/>
              </w:rPr>
              <w:t>$</w:t>
            </w:r>
          </w:p>
        </w:tc>
        <w:tc>
          <w:tcPr>
            <w:tcW w:w="3490" w:type="pct"/>
          </w:tcPr>
          <w:p w14:paraId="6E7973C2" w14:textId="77777777" w:rsidR="00745851" w:rsidRPr="00DD1A20" w:rsidRDefault="00745851" w:rsidP="00507A85">
            <w:pPr>
              <w:spacing w:after="60"/>
              <w:rPr>
                <w:i/>
                <w:iCs/>
                <w:sz w:val="20"/>
              </w:rPr>
            </w:pPr>
            <w:r w:rsidRPr="00DD1A20">
              <w:rPr>
                <w:i/>
                <w:iCs/>
                <w:sz w:val="20"/>
              </w:rPr>
              <w:t>Non-Spin Failure Quantity Amount per QSE</w:t>
            </w:r>
            <w:r w:rsidRPr="00DD1A20">
              <w:rPr>
                <w:iCs/>
                <w:sz w:val="20"/>
              </w:rPr>
              <w:t xml:space="preserve">—The total charge to QSE </w:t>
            </w:r>
            <w:r w:rsidRPr="00DD1A20">
              <w:rPr>
                <w:i/>
                <w:iCs/>
                <w:sz w:val="20"/>
              </w:rPr>
              <w:t>q</w:t>
            </w:r>
            <w:r w:rsidRPr="00DD1A20">
              <w:rPr>
                <w:iCs/>
                <w:sz w:val="20"/>
              </w:rPr>
              <w:t xml:space="preserve"> for its total capacity associated with failures and reconfiguration reductions on its Ancillary Service Supply Responsibility for Non-Spin, for the hour.</w:t>
            </w:r>
          </w:p>
        </w:tc>
      </w:tr>
      <w:tr w:rsidR="00745851" w:rsidRPr="00DD1A20" w14:paraId="45A7EC77" w14:textId="77777777" w:rsidTr="00507A85">
        <w:tc>
          <w:tcPr>
            <w:tcW w:w="1054" w:type="pct"/>
          </w:tcPr>
          <w:p w14:paraId="6A277382" w14:textId="77777777" w:rsidR="00745851" w:rsidRPr="00DD1A20" w:rsidRDefault="00745851" w:rsidP="00507A85">
            <w:pPr>
              <w:spacing w:after="60"/>
              <w:rPr>
                <w:iCs/>
                <w:sz w:val="20"/>
              </w:rPr>
            </w:pPr>
            <w:r w:rsidRPr="00DD1A20">
              <w:rPr>
                <w:iCs/>
                <w:sz w:val="20"/>
              </w:rPr>
              <w:t xml:space="preserve">RNSFQAMT </w:t>
            </w:r>
            <w:r w:rsidRPr="00DD1A20">
              <w:rPr>
                <w:i/>
                <w:iCs/>
                <w:sz w:val="20"/>
                <w:vertAlign w:val="subscript"/>
              </w:rPr>
              <w:t>q</w:t>
            </w:r>
          </w:p>
        </w:tc>
        <w:tc>
          <w:tcPr>
            <w:tcW w:w="456" w:type="pct"/>
          </w:tcPr>
          <w:p w14:paraId="06872FC7" w14:textId="77777777" w:rsidR="00745851" w:rsidRPr="00DD1A20" w:rsidRDefault="00745851" w:rsidP="00507A85">
            <w:pPr>
              <w:spacing w:after="60"/>
              <w:rPr>
                <w:iCs/>
                <w:sz w:val="20"/>
              </w:rPr>
            </w:pPr>
            <w:r w:rsidRPr="00DD1A20">
              <w:rPr>
                <w:iCs/>
                <w:sz w:val="20"/>
              </w:rPr>
              <w:t>$</w:t>
            </w:r>
          </w:p>
        </w:tc>
        <w:tc>
          <w:tcPr>
            <w:tcW w:w="3490" w:type="pct"/>
          </w:tcPr>
          <w:p w14:paraId="0B4087D7" w14:textId="77777777" w:rsidR="00745851" w:rsidRPr="00DD1A20" w:rsidRDefault="00745851" w:rsidP="00507A85">
            <w:pPr>
              <w:spacing w:after="60"/>
              <w:rPr>
                <w:i/>
                <w:iCs/>
                <w:sz w:val="20"/>
              </w:rPr>
            </w:pPr>
            <w:r w:rsidRPr="00DD1A20">
              <w:rPr>
                <w:i/>
                <w:sz w:val="20"/>
              </w:rPr>
              <w:t xml:space="preserve">Reconfiguration </w:t>
            </w:r>
            <w:r w:rsidRPr="00DD1A20">
              <w:rPr>
                <w:i/>
                <w:iCs/>
                <w:sz w:val="20"/>
              </w:rPr>
              <w:t>Non-Spin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reconfiguration reductions on its Ancillary Service Supply Responsibility for Non-Spin, for the hour.</w:t>
            </w:r>
          </w:p>
        </w:tc>
      </w:tr>
      <w:tr w:rsidR="00745851" w:rsidRPr="00DD1A20" w14:paraId="28F8FE88" w14:textId="77777777" w:rsidTr="00507A85">
        <w:tc>
          <w:tcPr>
            <w:tcW w:w="1054" w:type="pct"/>
          </w:tcPr>
          <w:p w14:paraId="56277542" w14:textId="77777777" w:rsidR="00745851" w:rsidRPr="00DD1A20" w:rsidRDefault="00745851" w:rsidP="00507A85">
            <w:pPr>
              <w:spacing w:after="60"/>
              <w:rPr>
                <w:iCs/>
                <w:sz w:val="20"/>
              </w:rPr>
            </w:pPr>
            <w:r w:rsidRPr="00DD1A20">
              <w:rPr>
                <w:iCs/>
                <w:sz w:val="20"/>
              </w:rPr>
              <w:t xml:space="preserve">NSFQAMT </w:t>
            </w:r>
            <w:r w:rsidRPr="00DD1A20">
              <w:rPr>
                <w:i/>
                <w:iCs/>
                <w:sz w:val="20"/>
                <w:vertAlign w:val="subscript"/>
              </w:rPr>
              <w:t>q</w:t>
            </w:r>
          </w:p>
        </w:tc>
        <w:tc>
          <w:tcPr>
            <w:tcW w:w="456" w:type="pct"/>
          </w:tcPr>
          <w:p w14:paraId="42CA519F" w14:textId="77777777" w:rsidR="00745851" w:rsidRPr="00DD1A20" w:rsidRDefault="00745851" w:rsidP="00507A85">
            <w:pPr>
              <w:spacing w:after="60"/>
              <w:rPr>
                <w:iCs/>
                <w:sz w:val="20"/>
              </w:rPr>
            </w:pPr>
            <w:r w:rsidRPr="00DD1A20">
              <w:rPr>
                <w:iCs/>
                <w:sz w:val="20"/>
              </w:rPr>
              <w:t>$</w:t>
            </w:r>
          </w:p>
        </w:tc>
        <w:tc>
          <w:tcPr>
            <w:tcW w:w="3490" w:type="pct"/>
          </w:tcPr>
          <w:p w14:paraId="66AA2923" w14:textId="77777777" w:rsidR="00745851" w:rsidRPr="00DD1A20" w:rsidRDefault="00745851" w:rsidP="00507A85">
            <w:pPr>
              <w:spacing w:after="60"/>
              <w:rPr>
                <w:iCs/>
                <w:sz w:val="20"/>
              </w:rPr>
            </w:pPr>
            <w:r w:rsidRPr="00DD1A20">
              <w:rPr>
                <w:i/>
                <w:iCs/>
                <w:sz w:val="20"/>
              </w:rPr>
              <w:t>Non-Spin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failures on its Ancillary Service Supply Responsibility for Non-Spin, for the hour.</w:t>
            </w:r>
          </w:p>
        </w:tc>
      </w:tr>
      <w:tr w:rsidR="00745851" w:rsidRPr="00DD1A20" w14:paraId="6090212A" w14:textId="77777777" w:rsidTr="00507A85">
        <w:tc>
          <w:tcPr>
            <w:tcW w:w="1054" w:type="pct"/>
            <w:tcBorders>
              <w:top w:val="single" w:sz="4" w:space="0" w:color="auto"/>
              <w:left w:val="single" w:sz="4" w:space="0" w:color="auto"/>
              <w:bottom w:val="single" w:sz="4" w:space="0" w:color="auto"/>
              <w:right w:val="single" w:sz="4" w:space="0" w:color="auto"/>
            </w:tcBorders>
          </w:tcPr>
          <w:p w14:paraId="73496093" w14:textId="77777777" w:rsidR="00745851" w:rsidRPr="00DD1A20" w:rsidRDefault="00745851" w:rsidP="00507A85">
            <w:pPr>
              <w:spacing w:after="60"/>
              <w:rPr>
                <w:iCs/>
                <w:sz w:val="20"/>
              </w:rPr>
            </w:pPr>
            <w:r w:rsidRPr="00DD1A20">
              <w:rPr>
                <w:iCs/>
                <w:sz w:val="20"/>
              </w:rPr>
              <w:t xml:space="preserve">MCPCNS </w:t>
            </w:r>
            <w:r w:rsidRPr="00DD1A20">
              <w:rPr>
                <w:i/>
                <w:iCs/>
                <w:sz w:val="20"/>
                <w:vertAlign w:val="subscript"/>
              </w:rPr>
              <w:t>m</w:t>
            </w:r>
          </w:p>
        </w:tc>
        <w:tc>
          <w:tcPr>
            <w:tcW w:w="456" w:type="pct"/>
            <w:tcBorders>
              <w:top w:val="single" w:sz="4" w:space="0" w:color="auto"/>
              <w:left w:val="single" w:sz="4" w:space="0" w:color="auto"/>
              <w:bottom w:val="single" w:sz="4" w:space="0" w:color="auto"/>
              <w:right w:val="single" w:sz="4" w:space="0" w:color="auto"/>
            </w:tcBorders>
          </w:tcPr>
          <w:p w14:paraId="610AD7F1" w14:textId="77777777" w:rsidR="00745851" w:rsidRPr="00DD1A20" w:rsidRDefault="00745851" w:rsidP="00507A85">
            <w:pPr>
              <w:spacing w:after="60"/>
              <w:rPr>
                <w:iCs/>
                <w:sz w:val="20"/>
              </w:rPr>
            </w:pPr>
            <w:r w:rsidRPr="00DD1A20">
              <w:rPr>
                <w:iCs/>
                <w:sz w:val="20"/>
              </w:rPr>
              <w:t>$/MW per hour</w:t>
            </w:r>
          </w:p>
        </w:tc>
        <w:tc>
          <w:tcPr>
            <w:tcW w:w="3490" w:type="pct"/>
            <w:tcBorders>
              <w:top w:val="single" w:sz="4" w:space="0" w:color="auto"/>
              <w:left w:val="single" w:sz="4" w:space="0" w:color="auto"/>
              <w:bottom w:val="single" w:sz="4" w:space="0" w:color="auto"/>
              <w:right w:val="single" w:sz="4" w:space="0" w:color="auto"/>
            </w:tcBorders>
          </w:tcPr>
          <w:p w14:paraId="780B3228" w14:textId="77777777" w:rsidR="00745851" w:rsidRPr="00DD1A20" w:rsidRDefault="00745851" w:rsidP="00507A85">
            <w:pPr>
              <w:spacing w:after="60"/>
              <w:rPr>
                <w:i/>
                <w:iCs/>
                <w:sz w:val="20"/>
              </w:rPr>
            </w:pPr>
            <w:r w:rsidRPr="00DD1A20">
              <w:rPr>
                <w:i/>
                <w:iCs/>
                <w:sz w:val="20"/>
              </w:rPr>
              <w:t>Market Clearing Price for Capacity for Non-Spin by market—</w:t>
            </w:r>
            <w:r w:rsidRPr="00DD1A20">
              <w:rPr>
                <w:iCs/>
                <w:sz w:val="20"/>
              </w:rPr>
              <w:t xml:space="preserve">The MCPC for Non-Spin in the market </w:t>
            </w:r>
            <w:r w:rsidRPr="00DD1A20">
              <w:rPr>
                <w:i/>
                <w:iCs/>
                <w:sz w:val="20"/>
              </w:rPr>
              <w:t>m</w:t>
            </w:r>
            <w:r w:rsidRPr="00DD1A20">
              <w:rPr>
                <w:iCs/>
                <w:sz w:val="20"/>
              </w:rPr>
              <w:t>, for the hour.</w:t>
            </w:r>
          </w:p>
        </w:tc>
      </w:tr>
      <w:tr w:rsidR="00745851" w:rsidRPr="00DD1A20" w14:paraId="750CDC51" w14:textId="77777777" w:rsidTr="00507A85">
        <w:tc>
          <w:tcPr>
            <w:tcW w:w="1054" w:type="pct"/>
            <w:tcBorders>
              <w:top w:val="single" w:sz="4" w:space="0" w:color="auto"/>
              <w:left w:val="single" w:sz="4" w:space="0" w:color="auto"/>
              <w:bottom w:val="single" w:sz="4" w:space="0" w:color="auto"/>
              <w:right w:val="single" w:sz="4" w:space="0" w:color="auto"/>
            </w:tcBorders>
          </w:tcPr>
          <w:p w14:paraId="1455332F" w14:textId="77777777" w:rsidR="00745851" w:rsidRPr="00DD1A20" w:rsidRDefault="00745851" w:rsidP="00507A85">
            <w:pPr>
              <w:spacing w:after="60"/>
              <w:rPr>
                <w:iCs/>
                <w:sz w:val="20"/>
              </w:rPr>
            </w:pPr>
            <w:r w:rsidRPr="00DD1A20">
              <w:rPr>
                <w:sz w:val="20"/>
              </w:rPr>
              <w:lastRenderedPageBreak/>
              <w:t xml:space="preserve">MCPCNS </w:t>
            </w:r>
            <w:r w:rsidRPr="00DD1A20">
              <w:rPr>
                <w:i/>
                <w:sz w:val="20"/>
                <w:vertAlign w:val="subscript"/>
              </w:rPr>
              <w:t>rs</w:t>
            </w:r>
          </w:p>
        </w:tc>
        <w:tc>
          <w:tcPr>
            <w:tcW w:w="456" w:type="pct"/>
            <w:tcBorders>
              <w:top w:val="single" w:sz="4" w:space="0" w:color="auto"/>
              <w:left w:val="single" w:sz="4" w:space="0" w:color="auto"/>
              <w:bottom w:val="single" w:sz="4" w:space="0" w:color="auto"/>
              <w:right w:val="single" w:sz="4" w:space="0" w:color="auto"/>
            </w:tcBorders>
          </w:tcPr>
          <w:p w14:paraId="23994D45" w14:textId="77777777" w:rsidR="00745851" w:rsidRPr="00DD1A20" w:rsidRDefault="00745851" w:rsidP="00507A85">
            <w:pPr>
              <w:spacing w:after="60"/>
              <w:rPr>
                <w:iCs/>
                <w:sz w:val="20"/>
              </w:rPr>
            </w:pPr>
            <w:r w:rsidRPr="00DD1A20">
              <w:rPr>
                <w:sz w:val="20"/>
              </w:rPr>
              <w:t>$/MW per hour</w:t>
            </w:r>
          </w:p>
        </w:tc>
        <w:tc>
          <w:tcPr>
            <w:tcW w:w="3490" w:type="pct"/>
            <w:tcBorders>
              <w:top w:val="single" w:sz="4" w:space="0" w:color="auto"/>
              <w:left w:val="single" w:sz="4" w:space="0" w:color="auto"/>
              <w:bottom w:val="single" w:sz="4" w:space="0" w:color="auto"/>
              <w:right w:val="single" w:sz="4" w:space="0" w:color="auto"/>
            </w:tcBorders>
          </w:tcPr>
          <w:p w14:paraId="4B361693" w14:textId="77777777" w:rsidR="00745851" w:rsidRPr="00DD1A20" w:rsidRDefault="00745851" w:rsidP="00507A85">
            <w:pPr>
              <w:spacing w:after="60"/>
              <w:rPr>
                <w:i/>
                <w:iCs/>
                <w:sz w:val="20"/>
              </w:rPr>
            </w:pPr>
            <w:r w:rsidRPr="00DD1A20">
              <w:rPr>
                <w:i/>
                <w:sz w:val="20"/>
              </w:rPr>
              <w:t>Market Clearing Price for Capacity for Non-Spin by RSASM—</w:t>
            </w:r>
            <w:r w:rsidRPr="00DD1A20">
              <w:rPr>
                <w:sz w:val="20"/>
              </w:rPr>
              <w:t xml:space="preserve">The MCPC for Non-Spin in the RSASM </w:t>
            </w:r>
            <w:r w:rsidRPr="00DD1A20">
              <w:rPr>
                <w:i/>
                <w:sz w:val="20"/>
              </w:rPr>
              <w:t>rs</w:t>
            </w:r>
            <w:r w:rsidRPr="00DD1A20">
              <w:rPr>
                <w:sz w:val="20"/>
              </w:rPr>
              <w:t>, for the hour.</w:t>
            </w:r>
          </w:p>
        </w:tc>
      </w:tr>
      <w:tr w:rsidR="00745851" w:rsidRPr="00DD1A20" w14:paraId="202E1CD1" w14:textId="77777777" w:rsidTr="00507A85">
        <w:tc>
          <w:tcPr>
            <w:tcW w:w="1054" w:type="pct"/>
            <w:tcBorders>
              <w:top w:val="single" w:sz="4" w:space="0" w:color="auto"/>
              <w:left w:val="single" w:sz="4" w:space="0" w:color="auto"/>
              <w:bottom w:val="single" w:sz="4" w:space="0" w:color="auto"/>
              <w:right w:val="single" w:sz="4" w:space="0" w:color="auto"/>
            </w:tcBorders>
          </w:tcPr>
          <w:p w14:paraId="096D043E" w14:textId="77777777" w:rsidR="00745851" w:rsidRPr="00DD1A20" w:rsidRDefault="00745851" w:rsidP="00507A85">
            <w:pPr>
              <w:spacing w:after="60"/>
              <w:rPr>
                <w:iCs/>
                <w:sz w:val="20"/>
              </w:rPr>
            </w:pPr>
            <w:r w:rsidRPr="00DD1A20">
              <w:rPr>
                <w:iCs/>
                <w:sz w:val="20"/>
              </w:rPr>
              <w:t xml:space="preserve">NSFQ </w:t>
            </w:r>
            <w:r w:rsidRPr="00DD1A20">
              <w:rPr>
                <w:i/>
                <w:iCs/>
                <w:sz w:val="20"/>
                <w:vertAlign w:val="subscript"/>
              </w:rPr>
              <w:t>q</w:t>
            </w:r>
          </w:p>
        </w:tc>
        <w:tc>
          <w:tcPr>
            <w:tcW w:w="456" w:type="pct"/>
            <w:tcBorders>
              <w:top w:val="single" w:sz="4" w:space="0" w:color="auto"/>
              <w:left w:val="single" w:sz="4" w:space="0" w:color="auto"/>
              <w:bottom w:val="single" w:sz="4" w:space="0" w:color="auto"/>
              <w:right w:val="single" w:sz="4" w:space="0" w:color="auto"/>
            </w:tcBorders>
          </w:tcPr>
          <w:p w14:paraId="364878E5" w14:textId="77777777" w:rsidR="00745851" w:rsidRPr="00DD1A20" w:rsidRDefault="00745851" w:rsidP="00507A85">
            <w:pPr>
              <w:spacing w:after="60"/>
              <w:rPr>
                <w:iCs/>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1552AFC7" w14:textId="77777777" w:rsidR="00745851" w:rsidRPr="00DD1A20" w:rsidRDefault="00745851" w:rsidP="00507A85">
            <w:pPr>
              <w:spacing w:after="60"/>
              <w:rPr>
                <w:i/>
                <w:iCs/>
                <w:sz w:val="20"/>
              </w:rPr>
            </w:pPr>
            <w:r w:rsidRPr="00DD1A20">
              <w:rPr>
                <w:i/>
                <w:iCs/>
                <w:sz w:val="20"/>
              </w:rPr>
              <w:t>Non-Spin Failure Quantity per QSE—</w:t>
            </w:r>
            <w:r w:rsidRPr="00DD1A20">
              <w:rPr>
                <w:iCs/>
                <w:sz w:val="20"/>
              </w:rPr>
              <w:t xml:space="preserve">QSE </w:t>
            </w:r>
            <w:r w:rsidRPr="00DD1A20">
              <w:rPr>
                <w:i/>
                <w:iCs/>
                <w:sz w:val="20"/>
              </w:rPr>
              <w:t>q</w:t>
            </w:r>
            <w:r w:rsidRPr="00DD1A20">
              <w:rPr>
                <w:iCs/>
                <w:sz w:val="20"/>
              </w:rPr>
              <w:t>’s total capacity associated with failures on its Ancillary Service Supply Responsibility for Non-Spin, for the hour.</w:t>
            </w:r>
          </w:p>
        </w:tc>
      </w:tr>
      <w:tr w:rsidR="00745851" w:rsidRPr="00DD1A20" w14:paraId="4AFB3875" w14:textId="77777777" w:rsidTr="00507A85">
        <w:tc>
          <w:tcPr>
            <w:tcW w:w="1054" w:type="pct"/>
            <w:tcBorders>
              <w:top w:val="single" w:sz="4" w:space="0" w:color="auto"/>
              <w:left w:val="single" w:sz="4" w:space="0" w:color="auto"/>
              <w:bottom w:val="single" w:sz="4" w:space="0" w:color="auto"/>
              <w:right w:val="single" w:sz="4" w:space="0" w:color="auto"/>
            </w:tcBorders>
          </w:tcPr>
          <w:p w14:paraId="24144842" w14:textId="77777777" w:rsidR="00745851" w:rsidRPr="00DD1A20" w:rsidRDefault="00745851" w:rsidP="00507A85">
            <w:pPr>
              <w:spacing w:after="60"/>
              <w:rPr>
                <w:iCs/>
                <w:sz w:val="20"/>
              </w:rPr>
            </w:pPr>
            <w:r w:rsidRPr="00DD1A20">
              <w:rPr>
                <w:sz w:val="20"/>
              </w:rPr>
              <w:t xml:space="preserve">RNSFQ </w:t>
            </w:r>
            <w:r w:rsidRPr="00DD1A20">
              <w:rPr>
                <w:i/>
                <w:iCs/>
                <w:sz w:val="20"/>
                <w:vertAlign w:val="subscript"/>
              </w:rPr>
              <w:t>q,</w:t>
            </w:r>
            <w:r w:rsidRPr="00DD1A20">
              <w:rPr>
                <w:i/>
                <w:sz w:val="20"/>
                <w:vertAlign w:val="subscript"/>
              </w:rPr>
              <w:t xml:space="preserve"> rs</w:t>
            </w:r>
          </w:p>
        </w:tc>
        <w:tc>
          <w:tcPr>
            <w:tcW w:w="456" w:type="pct"/>
            <w:tcBorders>
              <w:top w:val="single" w:sz="4" w:space="0" w:color="auto"/>
              <w:left w:val="single" w:sz="4" w:space="0" w:color="auto"/>
              <w:bottom w:val="single" w:sz="4" w:space="0" w:color="auto"/>
              <w:right w:val="single" w:sz="4" w:space="0" w:color="auto"/>
            </w:tcBorders>
          </w:tcPr>
          <w:p w14:paraId="3924C6A5" w14:textId="77777777" w:rsidR="00745851" w:rsidRPr="00DD1A20" w:rsidRDefault="00745851" w:rsidP="00507A85">
            <w:pPr>
              <w:spacing w:after="60"/>
              <w:rPr>
                <w:iCs/>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52E58A65" w14:textId="77777777" w:rsidR="00745851" w:rsidRPr="00DD1A20" w:rsidRDefault="00745851" w:rsidP="00507A85">
            <w:pPr>
              <w:spacing w:after="60"/>
              <w:rPr>
                <w:iCs/>
                <w:sz w:val="20"/>
              </w:rPr>
            </w:pPr>
            <w:r w:rsidRPr="00DD1A20">
              <w:rPr>
                <w:i/>
                <w:sz w:val="20"/>
              </w:rPr>
              <w:t>Reconfiguration Non-Spin Failure Quantity per QSE—</w:t>
            </w:r>
            <w:r w:rsidRPr="00DD1A20">
              <w:rPr>
                <w:sz w:val="20"/>
              </w:rPr>
              <w:t xml:space="preserve">QSE </w:t>
            </w:r>
            <w:r w:rsidRPr="00DD1A20">
              <w:rPr>
                <w:i/>
                <w:sz w:val="20"/>
              </w:rPr>
              <w:t>q</w:t>
            </w:r>
            <w:r w:rsidRPr="00DD1A20">
              <w:rPr>
                <w:sz w:val="20"/>
              </w:rPr>
              <w:t>’s total capacity associated with reconfiguration reductions on its Ancillary Service Supply Responsibility for Non-Spin, for the hour.</w:t>
            </w:r>
          </w:p>
        </w:tc>
      </w:tr>
      <w:tr w:rsidR="00745851" w:rsidRPr="00DD1A20" w14:paraId="2B040967" w14:textId="77777777" w:rsidTr="00507A85">
        <w:tc>
          <w:tcPr>
            <w:tcW w:w="1054" w:type="pct"/>
            <w:tcBorders>
              <w:top w:val="single" w:sz="4" w:space="0" w:color="auto"/>
              <w:left w:val="single" w:sz="4" w:space="0" w:color="auto"/>
              <w:bottom w:val="single" w:sz="4" w:space="0" w:color="auto"/>
              <w:right w:val="single" w:sz="4" w:space="0" w:color="auto"/>
            </w:tcBorders>
          </w:tcPr>
          <w:p w14:paraId="22B1AC55" w14:textId="77777777" w:rsidR="00745851" w:rsidRPr="00DD1A20" w:rsidRDefault="00745851" w:rsidP="00507A85">
            <w:pPr>
              <w:spacing w:after="60"/>
              <w:rPr>
                <w:bCs/>
                <w:iCs/>
                <w:sz w:val="20"/>
                <w:lang w:val="fr-FR"/>
              </w:rPr>
            </w:pPr>
            <w:r w:rsidRPr="00DD1A20">
              <w:rPr>
                <w:sz w:val="20"/>
              </w:rPr>
              <w:t xml:space="preserve">RTRDP </w:t>
            </w:r>
            <w:r w:rsidRPr="00DD1A20">
              <w:rPr>
                <w:i/>
                <w:sz w:val="20"/>
                <w:vertAlign w:val="subscript"/>
              </w:rPr>
              <w:t>i</w:t>
            </w:r>
          </w:p>
        </w:tc>
        <w:tc>
          <w:tcPr>
            <w:tcW w:w="456" w:type="pct"/>
            <w:tcBorders>
              <w:top w:val="single" w:sz="4" w:space="0" w:color="auto"/>
              <w:left w:val="single" w:sz="4" w:space="0" w:color="auto"/>
              <w:bottom w:val="single" w:sz="4" w:space="0" w:color="auto"/>
              <w:right w:val="single" w:sz="4" w:space="0" w:color="auto"/>
            </w:tcBorders>
          </w:tcPr>
          <w:p w14:paraId="152D0BD4" w14:textId="77777777" w:rsidR="00745851" w:rsidRPr="00DD1A20" w:rsidRDefault="00745851" w:rsidP="00507A85">
            <w:pPr>
              <w:spacing w:after="60"/>
              <w:rPr>
                <w:iCs/>
                <w:sz w:val="20"/>
              </w:rPr>
            </w:pPr>
            <w:r w:rsidRPr="00DD1A20">
              <w:rPr>
                <w:sz w:val="20"/>
              </w:rPr>
              <w:t>$/MWh</w:t>
            </w:r>
          </w:p>
        </w:tc>
        <w:tc>
          <w:tcPr>
            <w:tcW w:w="3490" w:type="pct"/>
            <w:tcBorders>
              <w:top w:val="single" w:sz="4" w:space="0" w:color="auto"/>
              <w:left w:val="single" w:sz="4" w:space="0" w:color="auto"/>
              <w:bottom w:val="single" w:sz="4" w:space="0" w:color="auto"/>
              <w:right w:val="single" w:sz="4" w:space="0" w:color="auto"/>
            </w:tcBorders>
          </w:tcPr>
          <w:p w14:paraId="7C2B7A69" w14:textId="77777777" w:rsidR="00745851" w:rsidRPr="00DD1A20" w:rsidRDefault="00745851" w:rsidP="00507A85">
            <w:pPr>
              <w:spacing w:after="60"/>
              <w:rPr>
                <w:i/>
                <w:iCs/>
                <w:sz w:val="20"/>
              </w:rPr>
            </w:pPr>
            <w:r w:rsidRPr="00DD1A20">
              <w:rPr>
                <w:i/>
                <w:sz w:val="20"/>
              </w:rPr>
              <w:t>Real-Time On-Line Reliability Deployment Price—</w:t>
            </w:r>
            <w:r w:rsidRPr="00DD1A20">
              <w:rPr>
                <w:sz w:val="20"/>
              </w:rPr>
              <w:t xml:space="preserve">The Real-Time price for the 15-minute Settlement Interval </w:t>
            </w:r>
            <w:r w:rsidRPr="00DD1A20">
              <w:rPr>
                <w:i/>
                <w:sz w:val="20"/>
              </w:rPr>
              <w:t>i</w:t>
            </w:r>
            <w:r w:rsidRPr="00DD1A20">
              <w:rPr>
                <w:sz w:val="20"/>
              </w:rPr>
              <w:t>, reflecting the impact of reliability deployments on energy prices that is calculated from the Real-</w:t>
            </w:r>
            <w:r>
              <w:rPr>
                <w:sz w:val="20"/>
              </w:rPr>
              <w:t>T</w:t>
            </w:r>
            <w:r w:rsidRPr="00DD1A20">
              <w:rPr>
                <w:sz w:val="20"/>
              </w:rPr>
              <w:t>ime On-Line Reliability Deployment Price Adder.</w:t>
            </w:r>
          </w:p>
        </w:tc>
      </w:tr>
      <w:tr w:rsidR="00745851" w:rsidRPr="00DD1A20" w14:paraId="7DDE9E34" w14:textId="77777777" w:rsidTr="00507A85">
        <w:tc>
          <w:tcPr>
            <w:tcW w:w="1054" w:type="pct"/>
            <w:tcBorders>
              <w:top w:val="single" w:sz="4" w:space="0" w:color="auto"/>
              <w:left w:val="single" w:sz="4" w:space="0" w:color="auto"/>
              <w:bottom w:val="single" w:sz="4" w:space="0" w:color="auto"/>
              <w:right w:val="single" w:sz="4" w:space="0" w:color="auto"/>
            </w:tcBorders>
          </w:tcPr>
          <w:p w14:paraId="54E9869D" w14:textId="77777777" w:rsidR="00745851" w:rsidRPr="00DD1A20" w:rsidRDefault="00745851" w:rsidP="00507A85">
            <w:pPr>
              <w:spacing w:after="60"/>
              <w:rPr>
                <w:bCs/>
                <w:iCs/>
                <w:sz w:val="20"/>
                <w:lang w:val="fr-FR"/>
              </w:rPr>
            </w:pPr>
            <w:r w:rsidRPr="00DD1A20">
              <w:rPr>
                <w:sz w:val="20"/>
              </w:rPr>
              <w:t xml:space="preserve">RTRSVPOR </w:t>
            </w:r>
            <w:r w:rsidRPr="00DD1A20">
              <w:rPr>
                <w:i/>
                <w:sz w:val="20"/>
                <w:vertAlign w:val="subscript"/>
              </w:rPr>
              <w:t>i</w:t>
            </w:r>
          </w:p>
        </w:tc>
        <w:tc>
          <w:tcPr>
            <w:tcW w:w="456" w:type="pct"/>
            <w:tcBorders>
              <w:top w:val="single" w:sz="4" w:space="0" w:color="auto"/>
              <w:left w:val="single" w:sz="4" w:space="0" w:color="auto"/>
              <w:bottom w:val="single" w:sz="4" w:space="0" w:color="auto"/>
              <w:right w:val="single" w:sz="4" w:space="0" w:color="auto"/>
            </w:tcBorders>
          </w:tcPr>
          <w:p w14:paraId="1DDE18D8" w14:textId="77777777" w:rsidR="00745851" w:rsidRPr="00DD1A20" w:rsidRDefault="00745851" w:rsidP="00507A85">
            <w:pPr>
              <w:spacing w:after="60"/>
              <w:rPr>
                <w:iCs/>
                <w:sz w:val="20"/>
              </w:rPr>
            </w:pPr>
            <w:r w:rsidRPr="00DD1A20">
              <w:rPr>
                <w:sz w:val="20"/>
              </w:rPr>
              <w:t>$/MWh</w:t>
            </w:r>
          </w:p>
        </w:tc>
        <w:tc>
          <w:tcPr>
            <w:tcW w:w="3490" w:type="pct"/>
            <w:tcBorders>
              <w:top w:val="single" w:sz="4" w:space="0" w:color="auto"/>
              <w:left w:val="single" w:sz="4" w:space="0" w:color="auto"/>
              <w:bottom w:val="single" w:sz="4" w:space="0" w:color="auto"/>
              <w:right w:val="single" w:sz="4" w:space="0" w:color="auto"/>
            </w:tcBorders>
          </w:tcPr>
          <w:p w14:paraId="6C6BC7D8" w14:textId="77777777" w:rsidR="00745851" w:rsidRPr="00DD1A20" w:rsidRDefault="00745851" w:rsidP="00507A85">
            <w:pPr>
              <w:spacing w:after="60"/>
              <w:rPr>
                <w:i/>
                <w:iCs/>
                <w:sz w:val="20"/>
              </w:rPr>
            </w:pPr>
            <w:r w:rsidRPr="00DD1A20">
              <w:rPr>
                <w:i/>
                <w:iCs/>
                <w:sz w:val="20"/>
              </w:rPr>
              <w:t>Real-Time Reserve Price for On-Line Reserves—</w:t>
            </w:r>
            <w:r w:rsidRPr="00DD1A20">
              <w:rPr>
                <w:iCs/>
                <w:sz w:val="20"/>
              </w:rPr>
              <w:t>The Real-Time Reserve Price for On-Line Reserves for the 15-minute Settlement Interval</w:t>
            </w:r>
            <w:r w:rsidRPr="00DD1A20">
              <w:rPr>
                <w:sz w:val="20"/>
              </w:rPr>
              <w:t xml:space="preserve"> </w:t>
            </w:r>
            <w:r w:rsidRPr="00DD1A20">
              <w:rPr>
                <w:i/>
                <w:sz w:val="20"/>
              </w:rPr>
              <w:t>i</w:t>
            </w:r>
            <w:r w:rsidRPr="00DD1A20">
              <w:rPr>
                <w:iCs/>
                <w:sz w:val="20"/>
              </w:rPr>
              <w:t>.</w:t>
            </w:r>
          </w:p>
        </w:tc>
      </w:tr>
      <w:tr w:rsidR="00745851" w:rsidRPr="00DD1A20" w14:paraId="239F5AF6" w14:textId="77777777" w:rsidTr="00507A85">
        <w:tc>
          <w:tcPr>
            <w:tcW w:w="1054" w:type="pct"/>
            <w:tcBorders>
              <w:top w:val="single" w:sz="4" w:space="0" w:color="auto"/>
              <w:left w:val="single" w:sz="4" w:space="0" w:color="auto"/>
              <w:bottom w:val="single" w:sz="4" w:space="0" w:color="auto"/>
              <w:right w:val="single" w:sz="4" w:space="0" w:color="auto"/>
            </w:tcBorders>
          </w:tcPr>
          <w:p w14:paraId="60683117" w14:textId="77777777" w:rsidR="00745851" w:rsidRPr="00DD1A20" w:rsidRDefault="00745851" w:rsidP="00507A85">
            <w:pPr>
              <w:spacing w:after="60"/>
              <w:rPr>
                <w:bCs/>
                <w:iCs/>
                <w:sz w:val="20"/>
                <w:lang w:val="fr-FR"/>
              </w:rPr>
            </w:pPr>
            <w:r w:rsidRPr="00DD1A20">
              <w:rPr>
                <w:iCs/>
                <w:sz w:val="20"/>
              </w:rPr>
              <w:t>AVGRTASIP</w:t>
            </w:r>
          </w:p>
        </w:tc>
        <w:tc>
          <w:tcPr>
            <w:tcW w:w="456" w:type="pct"/>
            <w:tcBorders>
              <w:top w:val="single" w:sz="4" w:space="0" w:color="auto"/>
              <w:left w:val="single" w:sz="4" w:space="0" w:color="auto"/>
              <w:bottom w:val="single" w:sz="4" w:space="0" w:color="auto"/>
              <w:right w:val="single" w:sz="4" w:space="0" w:color="auto"/>
            </w:tcBorders>
          </w:tcPr>
          <w:p w14:paraId="18303778" w14:textId="77777777" w:rsidR="00745851" w:rsidRPr="00DD1A20" w:rsidRDefault="00745851" w:rsidP="00507A85">
            <w:pPr>
              <w:spacing w:after="60"/>
              <w:rPr>
                <w:iCs/>
                <w:sz w:val="20"/>
              </w:rPr>
            </w:pPr>
            <w:r w:rsidRPr="00DD1A20">
              <w:rPr>
                <w:sz w:val="20"/>
              </w:rPr>
              <w:t>$/MW per hour</w:t>
            </w:r>
          </w:p>
        </w:tc>
        <w:tc>
          <w:tcPr>
            <w:tcW w:w="3490" w:type="pct"/>
            <w:tcBorders>
              <w:top w:val="single" w:sz="4" w:space="0" w:color="auto"/>
              <w:left w:val="single" w:sz="4" w:space="0" w:color="auto"/>
              <w:bottom w:val="single" w:sz="4" w:space="0" w:color="auto"/>
              <w:right w:val="single" w:sz="4" w:space="0" w:color="auto"/>
            </w:tcBorders>
          </w:tcPr>
          <w:p w14:paraId="0CCCB097" w14:textId="77777777" w:rsidR="00745851" w:rsidRPr="00DD1A20" w:rsidRDefault="00745851" w:rsidP="00507A85">
            <w:pPr>
              <w:spacing w:after="60"/>
              <w:rPr>
                <w:i/>
                <w:iCs/>
                <w:sz w:val="20"/>
              </w:rPr>
            </w:pPr>
            <w:r w:rsidRPr="00DD1A20">
              <w:rPr>
                <w:i/>
                <w:sz w:val="20"/>
              </w:rPr>
              <w:t>Average Real-Time Ancillary Service Imbalance Price</w:t>
            </w:r>
            <w:r w:rsidRPr="00DD1A20">
              <w:rPr>
                <w:iCs/>
                <w:sz w:val="20"/>
              </w:rPr>
              <w:t>—The average of the sum of the Real-Time On-Line Reliability Deployment Price and the Real-Time Reserve Price for On-Line Reserves used in the calculation of Real</w:t>
            </w:r>
            <w:r>
              <w:rPr>
                <w:iCs/>
                <w:sz w:val="20"/>
              </w:rPr>
              <w:t>-</w:t>
            </w:r>
            <w:r w:rsidRPr="00DD1A20">
              <w:rPr>
                <w:iCs/>
                <w:sz w:val="20"/>
              </w:rPr>
              <w:t>Time Ancillary Service Imbalance Amount per Section 6.7.5 for the Operating Hour.</w:t>
            </w:r>
          </w:p>
        </w:tc>
      </w:tr>
      <w:tr w:rsidR="00745851" w:rsidRPr="00DD1A20" w14:paraId="48B75C87" w14:textId="77777777" w:rsidTr="00507A85">
        <w:tc>
          <w:tcPr>
            <w:tcW w:w="1054" w:type="pct"/>
            <w:tcBorders>
              <w:top w:val="single" w:sz="4" w:space="0" w:color="auto"/>
              <w:left w:val="single" w:sz="4" w:space="0" w:color="auto"/>
              <w:bottom w:val="single" w:sz="4" w:space="0" w:color="auto"/>
              <w:right w:val="single" w:sz="4" w:space="0" w:color="auto"/>
            </w:tcBorders>
          </w:tcPr>
          <w:p w14:paraId="33715B7F" w14:textId="77777777" w:rsidR="00745851" w:rsidRPr="00DD1A20" w:rsidRDefault="00745851" w:rsidP="00507A85">
            <w:pPr>
              <w:spacing w:after="60"/>
              <w:rPr>
                <w:sz w:val="20"/>
              </w:rPr>
            </w:pPr>
            <w:r w:rsidRPr="00DD1A20">
              <w:rPr>
                <w:bCs/>
                <w:iCs/>
                <w:sz w:val="20"/>
                <w:lang w:val="fr-FR"/>
              </w:rPr>
              <w:t xml:space="preserve">SANSQ </w:t>
            </w:r>
            <w:r w:rsidRPr="00DD1A20">
              <w:rPr>
                <w:bCs/>
                <w:i/>
                <w:iCs/>
                <w:sz w:val="20"/>
                <w:vertAlign w:val="subscript"/>
                <w:lang w:val="fr-FR"/>
              </w:rPr>
              <w:t>q</w:t>
            </w:r>
          </w:p>
        </w:tc>
        <w:tc>
          <w:tcPr>
            <w:tcW w:w="456" w:type="pct"/>
            <w:tcBorders>
              <w:top w:val="single" w:sz="4" w:space="0" w:color="auto"/>
              <w:left w:val="single" w:sz="4" w:space="0" w:color="auto"/>
              <w:bottom w:val="single" w:sz="4" w:space="0" w:color="auto"/>
              <w:right w:val="single" w:sz="4" w:space="0" w:color="auto"/>
            </w:tcBorders>
          </w:tcPr>
          <w:p w14:paraId="1ECFDF98"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27C1967F" w14:textId="77777777" w:rsidR="00745851" w:rsidRPr="00DD1A20" w:rsidRDefault="00745851" w:rsidP="00507A85">
            <w:pPr>
              <w:spacing w:after="60"/>
              <w:rPr>
                <w:i/>
                <w:sz w:val="20"/>
              </w:rPr>
            </w:pPr>
            <w:r w:rsidRPr="00DD1A20">
              <w:rPr>
                <w:i/>
                <w:iCs/>
                <w:sz w:val="20"/>
              </w:rPr>
              <w:t>Total Self-Arranged Non-Spin Quantity per QSE for all markets</w:t>
            </w:r>
            <w:r w:rsidRPr="00DD1A20">
              <w:rPr>
                <w:iCs/>
                <w:sz w:val="20"/>
              </w:rPr>
              <w:t xml:space="preserve">—The sum of all self-arranged Non-Spin quantities submitted by QSE </w:t>
            </w:r>
            <w:r w:rsidRPr="00DD1A20">
              <w:rPr>
                <w:i/>
                <w:iCs/>
                <w:sz w:val="20"/>
              </w:rPr>
              <w:t>q</w:t>
            </w:r>
            <w:r w:rsidRPr="00DD1A20">
              <w:rPr>
                <w:iCs/>
                <w:sz w:val="20"/>
              </w:rPr>
              <w:t xml:space="preserve"> for DAM and all SASMs.</w:t>
            </w:r>
          </w:p>
        </w:tc>
      </w:tr>
      <w:tr w:rsidR="00745851" w:rsidRPr="00DD1A20" w14:paraId="01008CFB" w14:textId="77777777" w:rsidTr="00507A85">
        <w:tc>
          <w:tcPr>
            <w:tcW w:w="1054" w:type="pct"/>
            <w:tcBorders>
              <w:top w:val="single" w:sz="4" w:space="0" w:color="auto"/>
              <w:left w:val="single" w:sz="4" w:space="0" w:color="auto"/>
              <w:bottom w:val="single" w:sz="4" w:space="0" w:color="auto"/>
              <w:right w:val="single" w:sz="4" w:space="0" w:color="auto"/>
            </w:tcBorders>
          </w:tcPr>
          <w:p w14:paraId="3D659171" w14:textId="77777777" w:rsidR="00745851" w:rsidRPr="00DD1A20" w:rsidRDefault="00745851" w:rsidP="00507A85">
            <w:pPr>
              <w:spacing w:after="60"/>
              <w:rPr>
                <w:sz w:val="20"/>
              </w:rPr>
            </w:pPr>
            <w:r w:rsidRPr="00DD1A20">
              <w:rPr>
                <w:bCs/>
                <w:sz w:val="20"/>
              </w:rPr>
              <w:t>NSTRSQ</w:t>
            </w:r>
            <w:r w:rsidRPr="00DD1A20">
              <w:rPr>
                <w:bCs/>
                <w:i/>
                <w:iCs/>
                <w:sz w:val="20"/>
                <w:vertAlign w:val="subscript"/>
                <w:lang w:val="fr-FR"/>
              </w:rPr>
              <w:t xml:space="preserve"> q</w:t>
            </w:r>
          </w:p>
        </w:tc>
        <w:tc>
          <w:tcPr>
            <w:tcW w:w="456" w:type="pct"/>
            <w:tcBorders>
              <w:top w:val="single" w:sz="4" w:space="0" w:color="auto"/>
              <w:left w:val="single" w:sz="4" w:space="0" w:color="auto"/>
              <w:bottom w:val="single" w:sz="4" w:space="0" w:color="auto"/>
              <w:right w:val="single" w:sz="4" w:space="0" w:color="auto"/>
            </w:tcBorders>
          </w:tcPr>
          <w:p w14:paraId="7C897330"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40150228" w14:textId="77777777" w:rsidR="00745851" w:rsidRPr="00DD1A20" w:rsidRDefault="00745851" w:rsidP="00507A85">
            <w:pPr>
              <w:spacing w:after="60"/>
              <w:rPr>
                <w:i/>
                <w:sz w:val="20"/>
              </w:rPr>
            </w:pPr>
            <w:r w:rsidRPr="00DD1A20">
              <w:rPr>
                <w:i/>
                <w:sz w:val="20"/>
              </w:rPr>
              <w:t>Non-Spinning Reserve Trade Sale per QSE</w:t>
            </w:r>
            <w:r w:rsidRPr="00DD1A20">
              <w:rPr>
                <w:iCs/>
                <w:sz w:val="20"/>
              </w:rPr>
              <w:t xml:space="preserve">—QSE </w:t>
            </w:r>
            <w:r w:rsidRPr="00DD1A20">
              <w:rPr>
                <w:i/>
                <w:iCs/>
                <w:sz w:val="20"/>
              </w:rPr>
              <w:t>q</w:t>
            </w:r>
            <w:r w:rsidRPr="00DD1A20">
              <w:rPr>
                <w:iCs/>
                <w:sz w:val="20"/>
              </w:rPr>
              <w:t>’s total time-weighted average capacity Trade Sale for Non-Spin, for the hour.  The time-weighted average value is rounded to 0.1 MW.</w:t>
            </w:r>
          </w:p>
        </w:tc>
      </w:tr>
      <w:tr w:rsidR="00745851" w:rsidRPr="00DD1A20" w14:paraId="348CB0D7" w14:textId="77777777" w:rsidTr="00507A85">
        <w:tc>
          <w:tcPr>
            <w:tcW w:w="1054" w:type="pct"/>
            <w:tcBorders>
              <w:top w:val="single" w:sz="4" w:space="0" w:color="auto"/>
              <w:left w:val="single" w:sz="4" w:space="0" w:color="auto"/>
              <w:bottom w:val="single" w:sz="4" w:space="0" w:color="auto"/>
              <w:right w:val="single" w:sz="4" w:space="0" w:color="auto"/>
            </w:tcBorders>
          </w:tcPr>
          <w:p w14:paraId="0D2D2180" w14:textId="77777777" w:rsidR="00745851" w:rsidRPr="00DD1A20" w:rsidRDefault="00745851" w:rsidP="00507A85">
            <w:pPr>
              <w:spacing w:after="60"/>
              <w:rPr>
                <w:sz w:val="20"/>
              </w:rPr>
            </w:pPr>
            <w:r w:rsidRPr="00DD1A20">
              <w:rPr>
                <w:bCs/>
                <w:iCs/>
                <w:sz w:val="20"/>
                <w:lang w:val="es-ES"/>
              </w:rPr>
              <w:t xml:space="preserve">RTPCNS </w:t>
            </w:r>
            <w:r w:rsidRPr="00DD1A20">
              <w:rPr>
                <w:bCs/>
                <w:i/>
                <w:iCs/>
                <w:sz w:val="20"/>
                <w:vertAlign w:val="subscript"/>
                <w:lang w:val="es-ES"/>
              </w:rPr>
              <w:t>q, m</w:t>
            </w:r>
          </w:p>
        </w:tc>
        <w:tc>
          <w:tcPr>
            <w:tcW w:w="456" w:type="pct"/>
            <w:tcBorders>
              <w:top w:val="single" w:sz="4" w:space="0" w:color="auto"/>
              <w:left w:val="single" w:sz="4" w:space="0" w:color="auto"/>
              <w:bottom w:val="single" w:sz="4" w:space="0" w:color="auto"/>
              <w:right w:val="single" w:sz="4" w:space="0" w:color="auto"/>
            </w:tcBorders>
          </w:tcPr>
          <w:p w14:paraId="176AD457"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7860CC5B" w14:textId="77777777" w:rsidR="00745851" w:rsidRPr="00DD1A20" w:rsidRDefault="00745851" w:rsidP="00507A85">
            <w:pPr>
              <w:spacing w:after="60"/>
              <w:rPr>
                <w:i/>
                <w:sz w:val="20"/>
              </w:rPr>
            </w:pPr>
            <w:r w:rsidRPr="00DD1A20">
              <w:rPr>
                <w:i/>
                <w:iCs/>
                <w:sz w:val="20"/>
              </w:rPr>
              <w:t>Procured Capacity for Non-Spin Reserve per QSE by market—</w:t>
            </w:r>
            <w:r w:rsidRPr="00DD1A20">
              <w:rPr>
                <w:iCs/>
                <w:sz w:val="20"/>
              </w:rPr>
              <w:t xml:space="preserve">The MW portion of QSE </w:t>
            </w:r>
            <w:r w:rsidRPr="00DD1A20">
              <w:rPr>
                <w:i/>
                <w:iCs/>
                <w:sz w:val="20"/>
              </w:rPr>
              <w:t>q</w:t>
            </w:r>
            <w:r w:rsidRPr="00DD1A20">
              <w:rPr>
                <w:iCs/>
                <w:sz w:val="20"/>
              </w:rPr>
              <w:t xml:space="preserve">’s Ancillary Service Offers cleared in the market </w:t>
            </w:r>
            <w:r w:rsidRPr="00DD1A20">
              <w:rPr>
                <w:i/>
                <w:iCs/>
                <w:sz w:val="20"/>
              </w:rPr>
              <w:t>m</w:t>
            </w:r>
            <w:r w:rsidRPr="00DD1A20">
              <w:rPr>
                <w:iCs/>
                <w:sz w:val="20"/>
              </w:rPr>
              <w:t xml:space="preserve"> (SASM or RSASM) to provide Non-Spin, for the hour.</w:t>
            </w:r>
          </w:p>
        </w:tc>
      </w:tr>
      <w:tr w:rsidR="00745851" w:rsidRPr="00DD1A20" w14:paraId="4310EF2B" w14:textId="77777777" w:rsidTr="00507A85">
        <w:tc>
          <w:tcPr>
            <w:tcW w:w="1054" w:type="pct"/>
            <w:tcBorders>
              <w:top w:val="single" w:sz="4" w:space="0" w:color="auto"/>
              <w:left w:val="single" w:sz="4" w:space="0" w:color="auto"/>
              <w:bottom w:val="single" w:sz="4" w:space="0" w:color="auto"/>
              <w:right w:val="single" w:sz="4" w:space="0" w:color="auto"/>
            </w:tcBorders>
          </w:tcPr>
          <w:p w14:paraId="1468E806" w14:textId="77777777" w:rsidR="00745851" w:rsidRPr="00DD1A20" w:rsidRDefault="00745851" w:rsidP="00507A85">
            <w:pPr>
              <w:spacing w:after="60"/>
              <w:rPr>
                <w:sz w:val="20"/>
              </w:rPr>
            </w:pPr>
            <w:r w:rsidRPr="00DD1A20">
              <w:rPr>
                <w:bCs/>
                <w:iCs/>
                <w:sz w:val="20"/>
                <w:lang w:val="es-ES"/>
              </w:rPr>
              <w:t xml:space="preserve">PCNS </w:t>
            </w:r>
            <w:r w:rsidRPr="00DD1A20">
              <w:rPr>
                <w:bCs/>
                <w:i/>
                <w:iCs/>
                <w:sz w:val="20"/>
                <w:vertAlign w:val="subscript"/>
                <w:lang w:val="es-ES"/>
              </w:rPr>
              <w:t>q</w:t>
            </w:r>
          </w:p>
        </w:tc>
        <w:tc>
          <w:tcPr>
            <w:tcW w:w="456" w:type="pct"/>
            <w:tcBorders>
              <w:top w:val="single" w:sz="4" w:space="0" w:color="auto"/>
              <w:left w:val="single" w:sz="4" w:space="0" w:color="auto"/>
              <w:bottom w:val="single" w:sz="4" w:space="0" w:color="auto"/>
              <w:right w:val="single" w:sz="4" w:space="0" w:color="auto"/>
            </w:tcBorders>
          </w:tcPr>
          <w:p w14:paraId="1799DF56"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05199FB7" w14:textId="77777777" w:rsidR="00745851" w:rsidRPr="00DD1A20" w:rsidRDefault="00745851" w:rsidP="00507A85">
            <w:pPr>
              <w:spacing w:after="60"/>
              <w:rPr>
                <w:i/>
                <w:sz w:val="20"/>
              </w:rPr>
            </w:pPr>
            <w:r w:rsidRPr="00DD1A20">
              <w:rPr>
                <w:i/>
                <w:iCs/>
                <w:sz w:val="20"/>
              </w:rPr>
              <w:t>Procured Capacity for Non-Spin Reserve per QSE in DAM</w:t>
            </w:r>
            <w:r w:rsidRPr="00DD1A20">
              <w:rPr>
                <w:iCs/>
                <w:sz w:val="20"/>
              </w:rPr>
              <w:t xml:space="preserve">—The total Non-Spin capacity quantity awarded to QSE </w:t>
            </w:r>
            <w:r w:rsidRPr="00DD1A20">
              <w:rPr>
                <w:i/>
                <w:iCs/>
                <w:sz w:val="20"/>
              </w:rPr>
              <w:t>q</w:t>
            </w:r>
            <w:r w:rsidRPr="00DD1A20">
              <w:rPr>
                <w:iCs/>
                <w:sz w:val="20"/>
              </w:rPr>
              <w:t xml:space="preserve"> in the DAM for all the Resources represented by the QSE, for the hour.</w:t>
            </w:r>
          </w:p>
        </w:tc>
      </w:tr>
      <w:tr w:rsidR="00745851" w:rsidRPr="00DD1A20" w14:paraId="35F74CDD" w14:textId="77777777" w:rsidTr="00507A85">
        <w:tc>
          <w:tcPr>
            <w:tcW w:w="1054" w:type="pct"/>
            <w:tcBorders>
              <w:top w:val="single" w:sz="4" w:space="0" w:color="auto"/>
              <w:left w:val="single" w:sz="4" w:space="0" w:color="auto"/>
              <w:bottom w:val="single" w:sz="4" w:space="0" w:color="auto"/>
              <w:right w:val="single" w:sz="4" w:space="0" w:color="auto"/>
            </w:tcBorders>
          </w:tcPr>
          <w:p w14:paraId="7BB42D98" w14:textId="77777777" w:rsidR="00745851" w:rsidRPr="00DD1A20" w:rsidRDefault="00745851" w:rsidP="00507A85">
            <w:pPr>
              <w:spacing w:after="60"/>
              <w:rPr>
                <w:sz w:val="20"/>
              </w:rPr>
            </w:pPr>
            <w:r w:rsidRPr="00DD1A20">
              <w:rPr>
                <w:bCs/>
                <w:iCs/>
                <w:sz w:val="20"/>
                <w:lang w:val="es-ES"/>
              </w:rPr>
              <w:t xml:space="preserve">RUCNSQ </w:t>
            </w:r>
            <w:r w:rsidRPr="00DD1A20">
              <w:rPr>
                <w:bCs/>
                <w:i/>
                <w:iCs/>
                <w:sz w:val="20"/>
                <w:vertAlign w:val="subscript"/>
                <w:lang w:val="es-ES"/>
              </w:rPr>
              <w:t>q</w:t>
            </w:r>
          </w:p>
        </w:tc>
        <w:tc>
          <w:tcPr>
            <w:tcW w:w="456" w:type="pct"/>
            <w:tcBorders>
              <w:top w:val="single" w:sz="4" w:space="0" w:color="auto"/>
              <w:left w:val="single" w:sz="4" w:space="0" w:color="auto"/>
              <w:bottom w:val="single" w:sz="4" w:space="0" w:color="auto"/>
              <w:right w:val="single" w:sz="4" w:space="0" w:color="auto"/>
            </w:tcBorders>
          </w:tcPr>
          <w:p w14:paraId="4A460C6A"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7C57236F" w14:textId="77777777" w:rsidR="00745851" w:rsidRPr="00DD1A20" w:rsidRDefault="00745851" w:rsidP="00507A85">
            <w:pPr>
              <w:spacing w:after="60"/>
              <w:rPr>
                <w:i/>
                <w:sz w:val="20"/>
              </w:rPr>
            </w:pPr>
            <w:r w:rsidRPr="00DD1A20">
              <w:rPr>
                <w:i/>
                <w:sz w:val="20"/>
              </w:rPr>
              <w:t>RUC-committed for Non-Spin Reserve per QSE</w:t>
            </w:r>
            <w:r w:rsidRPr="00DD1A20">
              <w:rPr>
                <w:iCs/>
                <w:sz w:val="20"/>
              </w:rPr>
              <w:t>—The total quantity of Non-Spin committed by the RUC Process for Resources</w:t>
            </w:r>
            <w:r w:rsidRPr="00DD1A20">
              <w:rPr>
                <w:sz w:val="20"/>
              </w:rPr>
              <w:t xml:space="preserve"> represented by QSE </w:t>
            </w:r>
            <w:r w:rsidRPr="00DD1A20">
              <w:rPr>
                <w:i/>
                <w:iCs/>
                <w:sz w:val="20"/>
              </w:rPr>
              <w:t>q</w:t>
            </w:r>
            <w:r w:rsidRPr="00DD1A20">
              <w:rPr>
                <w:iCs/>
                <w:sz w:val="20"/>
              </w:rPr>
              <w:t>, for the hour.</w:t>
            </w:r>
          </w:p>
        </w:tc>
      </w:tr>
      <w:tr w:rsidR="00745851" w:rsidRPr="00DD1A20" w14:paraId="7719E9C5" w14:textId="77777777" w:rsidTr="00507A85">
        <w:tc>
          <w:tcPr>
            <w:tcW w:w="1054" w:type="pct"/>
            <w:tcBorders>
              <w:top w:val="single" w:sz="4" w:space="0" w:color="auto"/>
              <w:left w:val="single" w:sz="4" w:space="0" w:color="auto"/>
              <w:bottom w:val="single" w:sz="4" w:space="0" w:color="auto"/>
              <w:right w:val="single" w:sz="4" w:space="0" w:color="auto"/>
            </w:tcBorders>
          </w:tcPr>
          <w:p w14:paraId="6B4C97B8" w14:textId="77777777" w:rsidR="00745851" w:rsidRPr="00DD1A20" w:rsidRDefault="00745851" w:rsidP="00507A85">
            <w:pPr>
              <w:spacing w:after="60"/>
              <w:rPr>
                <w:sz w:val="20"/>
              </w:rPr>
            </w:pPr>
            <w:r w:rsidRPr="00DD1A20">
              <w:rPr>
                <w:bCs/>
                <w:sz w:val="20"/>
              </w:rPr>
              <w:t>NSTRPQ</w:t>
            </w:r>
            <w:r w:rsidRPr="00DD1A20">
              <w:rPr>
                <w:bCs/>
                <w:i/>
                <w:iCs/>
                <w:sz w:val="20"/>
                <w:vertAlign w:val="subscript"/>
                <w:lang w:val="es-ES"/>
              </w:rPr>
              <w:t xml:space="preserve"> q</w:t>
            </w:r>
          </w:p>
        </w:tc>
        <w:tc>
          <w:tcPr>
            <w:tcW w:w="456" w:type="pct"/>
            <w:tcBorders>
              <w:top w:val="single" w:sz="4" w:space="0" w:color="auto"/>
              <w:left w:val="single" w:sz="4" w:space="0" w:color="auto"/>
              <w:bottom w:val="single" w:sz="4" w:space="0" w:color="auto"/>
              <w:right w:val="single" w:sz="4" w:space="0" w:color="auto"/>
            </w:tcBorders>
          </w:tcPr>
          <w:p w14:paraId="74655B16"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6F6454E6" w14:textId="77777777" w:rsidR="00745851" w:rsidRPr="00DD1A20" w:rsidRDefault="00745851" w:rsidP="00507A85">
            <w:pPr>
              <w:spacing w:after="60"/>
              <w:rPr>
                <w:i/>
                <w:sz w:val="20"/>
              </w:rPr>
            </w:pPr>
            <w:r w:rsidRPr="00DD1A20">
              <w:rPr>
                <w:i/>
                <w:sz w:val="20"/>
              </w:rPr>
              <w:t>Non-Spin Reserve Trade Purchases per QSE</w:t>
            </w:r>
            <w:r w:rsidRPr="00DD1A20">
              <w:rPr>
                <w:iCs/>
                <w:sz w:val="20"/>
              </w:rPr>
              <w:t xml:space="preserve">—QSE </w:t>
            </w:r>
            <w:r w:rsidRPr="00DD1A20">
              <w:rPr>
                <w:i/>
                <w:iCs/>
                <w:sz w:val="20"/>
              </w:rPr>
              <w:t>q</w:t>
            </w:r>
            <w:r w:rsidRPr="00DD1A20">
              <w:rPr>
                <w:iCs/>
                <w:sz w:val="20"/>
              </w:rPr>
              <w:t>’s total time-weighted average capacity Trade Purchase</w:t>
            </w:r>
            <w:r w:rsidRPr="00DD1A20">
              <w:rPr>
                <w:i/>
                <w:iCs/>
                <w:sz w:val="20"/>
              </w:rPr>
              <w:t xml:space="preserve"> </w:t>
            </w:r>
            <w:r w:rsidRPr="00DD1A20">
              <w:rPr>
                <w:iCs/>
                <w:sz w:val="20"/>
              </w:rPr>
              <w:t>for Non-Spin, for the hour.  The time-weighted average value is rounded to 0.1 MW.</w:t>
            </w:r>
          </w:p>
        </w:tc>
      </w:tr>
      <w:tr w:rsidR="00745851" w:rsidRPr="00DD1A20" w14:paraId="14DEB79E" w14:textId="77777777" w:rsidTr="00507A85">
        <w:tc>
          <w:tcPr>
            <w:tcW w:w="1054" w:type="pct"/>
            <w:tcBorders>
              <w:top w:val="single" w:sz="4" w:space="0" w:color="auto"/>
              <w:left w:val="single" w:sz="4" w:space="0" w:color="auto"/>
              <w:bottom w:val="single" w:sz="4" w:space="0" w:color="auto"/>
              <w:right w:val="single" w:sz="4" w:space="0" w:color="auto"/>
            </w:tcBorders>
          </w:tcPr>
          <w:p w14:paraId="382A3243" w14:textId="77777777" w:rsidR="00745851" w:rsidRPr="00DD1A20" w:rsidRDefault="00745851" w:rsidP="00507A85">
            <w:pPr>
              <w:spacing w:after="60"/>
              <w:rPr>
                <w:sz w:val="20"/>
              </w:rPr>
            </w:pPr>
            <w:r w:rsidRPr="00DD1A20">
              <w:rPr>
                <w:bCs/>
                <w:iCs/>
                <w:sz w:val="20"/>
                <w:lang w:val="es-ES"/>
              </w:rPr>
              <w:t>NSINFQ</w:t>
            </w:r>
            <w:r w:rsidRPr="00DD1A20">
              <w:rPr>
                <w:bCs/>
                <w:i/>
                <w:iCs/>
                <w:sz w:val="20"/>
                <w:vertAlign w:val="subscript"/>
                <w:lang w:val="es-ES"/>
              </w:rPr>
              <w:t xml:space="preserve"> q</w:t>
            </w:r>
          </w:p>
        </w:tc>
        <w:tc>
          <w:tcPr>
            <w:tcW w:w="456" w:type="pct"/>
            <w:tcBorders>
              <w:top w:val="single" w:sz="4" w:space="0" w:color="auto"/>
              <w:left w:val="single" w:sz="4" w:space="0" w:color="auto"/>
              <w:bottom w:val="single" w:sz="4" w:space="0" w:color="auto"/>
              <w:right w:val="single" w:sz="4" w:space="0" w:color="auto"/>
            </w:tcBorders>
          </w:tcPr>
          <w:p w14:paraId="45D70C61"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6602CF7C" w14:textId="77777777" w:rsidR="00745851" w:rsidRPr="00DD1A20" w:rsidRDefault="00745851" w:rsidP="00507A85">
            <w:pPr>
              <w:spacing w:after="60"/>
              <w:rPr>
                <w:i/>
                <w:sz w:val="20"/>
              </w:rPr>
            </w:pPr>
            <w:r w:rsidRPr="00DD1A20">
              <w:rPr>
                <w:i/>
                <w:iCs/>
                <w:sz w:val="20"/>
              </w:rPr>
              <w:t>Non-Spin Reserve Infeasible Quantity per QSE—</w:t>
            </w:r>
            <w:r w:rsidRPr="00DD1A20">
              <w:rPr>
                <w:iCs/>
                <w:sz w:val="20"/>
              </w:rPr>
              <w:t xml:space="preserve">QSE </w:t>
            </w:r>
            <w:r w:rsidRPr="00DD1A20">
              <w:rPr>
                <w:i/>
                <w:iCs/>
                <w:sz w:val="20"/>
              </w:rPr>
              <w:t>q</w:t>
            </w:r>
            <w:r w:rsidRPr="00DD1A20">
              <w:rPr>
                <w:iCs/>
                <w:sz w:val="20"/>
              </w:rPr>
              <w:t>’s total capacity associated with infeasible</w:t>
            </w:r>
            <w:r w:rsidRPr="00DD1A20">
              <w:rPr>
                <w:i/>
                <w:iCs/>
                <w:sz w:val="20"/>
              </w:rPr>
              <w:t xml:space="preserve"> </w:t>
            </w:r>
            <w:r w:rsidRPr="00DD1A20">
              <w:rPr>
                <w:iCs/>
                <w:sz w:val="20"/>
              </w:rPr>
              <w:t>Ancillary Service Supply Responsibilities</w:t>
            </w:r>
            <w:r w:rsidRPr="00DD1A20">
              <w:rPr>
                <w:i/>
                <w:iCs/>
                <w:sz w:val="20"/>
              </w:rPr>
              <w:t xml:space="preserve"> </w:t>
            </w:r>
            <w:r w:rsidRPr="00DD1A20">
              <w:rPr>
                <w:iCs/>
                <w:sz w:val="20"/>
              </w:rPr>
              <w:t>for Non-Spin, for the hour.</w:t>
            </w:r>
          </w:p>
        </w:tc>
      </w:tr>
      <w:tr w:rsidR="00745851" w:rsidRPr="00DD1A20" w14:paraId="354CC708" w14:textId="77777777" w:rsidTr="00507A85">
        <w:tc>
          <w:tcPr>
            <w:tcW w:w="1054" w:type="pct"/>
            <w:tcBorders>
              <w:top w:val="single" w:sz="4" w:space="0" w:color="auto"/>
              <w:left w:val="single" w:sz="4" w:space="0" w:color="auto"/>
              <w:bottom w:val="single" w:sz="4" w:space="0" w:color="auto"/>
              <w:right w:val="single" w:sz="4" w:space="0" w:color="auto"/>
            </w:tcBorders>
          </w:tcPr>
          <w:p w14:paraId="3F36EDA2" w14:textId="77777777" w:rsidR="00745851" w:rsidRPr="00DD1A20" w:rsidRDefault="00745851" w:rsidP="00507A85">
            <w:pPr>
              <w:spacing w:after="60"/>
              <w:rPr>
                <w:sz w:val="20"/>
              </w:rPr>
            </w:pPr>
            <w:r w:rsidRPr="00DD1A20">
              <w:rPr>
                <w:bCs/>
                <w:sz w:val="20"/>
              </w:rPr>
              <w:t xml:space="preserve">TELNSR </w:t>
            </w:r>
            <w:r w:rsidRPr="00DD1A20">
              <w:rPr>
                <w:bCs/>
                <w:i/>
                <w:iCs/>
                <w:sz w:val="20"/>
                <w:vertAlign w:val="subscript"/>
                <w:lang w:val="es-ES"/>
              </w:rPr>
              <w:t>q, r</w:t>
            </w:r>
          </w:p>
        </w:tc>
        <w:tc>
          <w:tcPr>
            <w:tcW w:w="456" w:type="pct"/>
            <w:tcBorders>
              <w:top w:val="single" w:sz="4" w:space="0" w:color="auto"/>
              <w:left w:val="single" w:sz="4" w:space="0" w:color="auto"/>
              <w:bottom w:val="single" w:sz="4" w:space="0" w:color="auto"/>
              <w:right w:val="single" w:sz="4" w:space="0" w:color="auto"/>
            </w:tcBorders>
          </w:tcPr>
          <w:p w14:paraId="39473366"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7B8B97D5" w14:textId="77777777" w:rsidR="00745851" w:rsidRPr="00DD1A20" w:rsidRDefault="00745851" w:rsidP="00507A85">
            <w:pPr>
              <w:spacing w:after="60"/>
              <w:rPr>
                <w:i/>
                <w:sz w:val="20"/>
              </w:rPr>
            </w:pPr>
            <w:r w:rsidRPr="00DD1A20">
              <w:rPr>
                <w:i/>
                <w:sz w:val="20"/>
              </w:rPr>
              <w:t>Telemetered Non-Spin Reserve Responsibility for the Resource</w:t>
            </w:r>
            <w:r w:rsidRPr="00DD1A20">
              <w:rPr>
                <w:iCs/>
                <w:sz w:val="20"/>
              </w:rPr>
              <w:t xml:space="preserve">—The time-weighted average telemetered Non-Spin </w:t>
            </w:r>
            <w:r w:rsidRPr="00DD1A20">
              <w:rPr>
                <w:iCs/>
                <w:sz w:val="20"/>
                <w:szCs w:val="18"/>
              </w:rPr>
              <w:t xml:space="preserve">Ancillary Service Resource </w:t>
            </w:r>
            <w:r w:rsidRPr="00DD1A20">
              <w:rPr>
                <w:iCs/>
                <w:sz w:val="20"/>
              </w:rPr>
              <w:t>Responsibility for the Resource, for the hour.  The time-weighted average value is rounded to 0.1 MW.</w:t>
            </w:r>
          </w:p>
        </w:tc>
      </w:tr>
      <w:tr w:rsidR="00745851" w:rsidRPr="00DD1A20" w14:paraId="4819BDC2" w14:textId="77777777" w:rsidTr="00507A85">
        <w:tc>
          <w:tcPr>
            <w:tcW w:w="1054" w:type="pct"/>
            <w:tcBorders>
              <w:top w:val="single" w:sz="4" w:space="0" w:color="auto"/>
              <w:left w:val="single" w:sz="4" w:space="0" w:color="auto"/>
              <w:bottom w:val="single" w:sz="4" w:space="0" w:color="auto"/>
              <w:right w:val="single" w:sz="4" w:space="0" w:color="auto"/>
            </w:tcBorders>
          </w:tcPr>
          <w:p w14:paraId="5D7C5319" w14:textId="77777777" w:rsidR="00745851" w:rsidRPr="00DD1A20" w:rsidRDefault="00745851" w:rsidP="00507A85">
            <w:pPr>
              <w:spacing w:after="60"/>
              <w:rPr>
                <w:bCs/>
                <w:sz w:val="20"/>
              </w:rPr>
            </w:pPr>
            <w:r w:rsidRPr="00DD1A20">
              <w:rPr>
                <w:bCs/>
                <w:sz w:val="20"/>
              </w:rPr>
              <w:t xml:space="preserve">TELNSRC </w:t>
            </w:r>
            <w:r w:rsidRPr="00DD1A20">
              <w:rPr>
                <w:bCs/>
                <w:i/>
                <w:iCs/>
                <w:sz w:val="20"/>
                <w:vertAlign w:val="subscript"/>
                <w:lang w:val="es-ES"/>
              </w:rPr>
              <w:t>q, r</w:t>
            </w:r>
          </w:p>
        </w:tc>
        <w:tc>
          <w:tcPr>
            <w:tcW w:w="456" w:type="pct"/>
            <w:tcBorders>
              <w:top w:val="single" w:sz="4" w:space="0" w:color="auto"/>
              <w:left w:val="single" w:sz="4" w:space="0" w:color="auto"/>
              <w:bottom w:val="single" w:sz="4" w:space="0" w:color="auto"/>
              <w:right w:val="single" w:sz="4" w:space="0" w:color="auto"/>
            </w:tcBorders>
          </w:tcPr>
          <w:p w14:paraId="058CD415"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06B0CF9F" w14:textId="77777777" w:rsidR="00745851" w:rsidRPr="00DD1A20" w:rsidRDefault="00745851" w:rsidP="00507A85">
            <w:pPr>
              <w:spacing w:after="60"/>
              <w:rPr>
                <w:i/>
                <w:sz w:val="20"/>
              </w:rPr>
            </w:pPr>
            <w:r w:rsidRPr="00DD1A20">
              <w:rPr>
                <w:i/>
                <w:sz w:val="20"/>
              </w:rPr>
              <w:t>Telemetered Non-Spin Reserve Responsibility for the Resource as Calculated</w:t>
            </w:r>
            <w:r w:rsidRPr="00DD1A20">
              <w:rPr>
                <w:iCs/>
                <w:sz w:val="20"/>
              </w:rPr>
              <w:t xml:space="preserve">—The time-weighted average calculated telemetered Non-Spin </w:t>
            </w:r>
            <w:r w:rsidRPr="00DD1A20">
              <w:rPr>
                <w:iCs/>
                <w:sz w:val="20"/>
                <w:szCs w:val="18"/>
              </w:rPr>
              <w:t xml:space="preserve">Ancillary Service Resource </w:t>
            </w:r>
            <w:r w:rsidRPr="00DD1A20">
              <w:rPr>
                <w:iCs/>
                <w:sz w:val="20"/>
              </w:rPr>
              <w:t>Responsibility as compared to available capacity for the Resource, for the hour.</w:t>
            </w:r>
          </w:p>
        </w:tc>
      </w:tr>
      <w:tr w:rsidR="00745851" w:rsidRPr="00DD1A20" w14:paraId="2CEB6FD8" w14:textId="77777777" w:rsidTr="00507A85">
        <w:tc>
          <w:tcPr>
            <w:tcW w:w="1054" w:type="pct"/>
            <w:tcBorders>
              <w:top w:val="single" w:sz="4" w:space="0" w:color="auto"/>
              <w:left w:val="single" w:sz="4" w:space="0" w:color="auto"/>
              <w:bottom w:val="single" w:sz="4" w:space="0" w:color="auto"/>
              <w:right w:val="single" w:sz="4" w:space="0" w:color="auto"/>
            </w:tcBorders>
          </w:tcPr>
          <w:p w14:paraId="1E91A1C2" w14:textId="77777777" w:rsidR="00745851" w:rsidRPr="00DD1A20" w:rsidRDefault="00745851" w:rsidP="00507A85">
            <w:pPr>
              <w:spacing w:after="60"/>
              <w:rPr>
                <w:sz w:val="20"/>
              </w:rPr>
            </w:pPr>
            <w:r w:rsidRPr="00DD1A20">
              <w:rPr>
                <w:bCs/>
                <w:sz w:val="20"/>
                <w:lang w:val="es-ES"/>
              </w:rPr>
              <w:lastRenderedPageBreak/>
              <w:t>NPF</w:t>
            </w:r>
            <w:r w:rsidRPr="00DD1A20">
              <w:rPr>
                <w:bCs/>
                <w:i/>
                <w:iCs/>
                <w:sz w:val="20"/>
                <w:vertAlign w:val="subscript"/>
                <w:lang w:val="es-ES"/>
              </w:rPr>
              <w:t xml:space="preserve"> q, r</w:t>
            </w:r>
          </w:p>
        </w:tc>
        <w:tc>
          <w:tcPr>
            <w:tcW w:w="456" w:type="pct"/>
            <w:tcBorders>
              <w:top w:val="single" w:sz="4" w:space="0" w:color="auto"/>
              <w:left w:val="single" w:sz="4" w:space="0" w:color="auto"/>
              <w:bottom w:val="single" w:sz="4" w:space="0" w:color="auto"/>
              <w:right w:val="single" w:sz="4" w:space="0" w:color="auto"/>
            </w:tcBorders>
          </w:tcPr>
          <w:p w14:paraId="53F740A1"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4F774052" w14:textId="77777777" w:rsidR="00745851" w:rsidRPr="00DD1A20" w:rsidRDefault="00745851" w:rsidP="00507A85">
            <w:pPr>
              <w:spacing w:after="60"/>
              <w:rPr>
                <w:i/>
                <w:sz w:val="20"/>
              </w:rPr>
            </w:pPr>
            <w:r w:rsidRPr="00DD1A20">
              <w:rPr>
                <w:i/>
                <w:iCs/>
                <w:sz w:val="20"/>
              </w:rPr>
              <w:t>Non-Controllable Load Resource Net Power Consumption</w:t>
            </w:r>
            <w:r w:rsidRPr="00DD1A20">
              <w:rPr>
                <w:i/>
                <w:iCs/>
                <w:sz w:val="20"/>
                <w:szCs w:val="18"/>
              </w:rPr>
              <w:t xml:space="preserve"> for the QSE</w:t>
            </w:r>
            <w:r w:rsidRPr="00DD1A20">
              <w:rPr>
                <w:iCs/>
                <w:sz w:val="20"/>
              </w:rPr>
              <w:t>—</w:t>
            </w:r>
            <w:r w:rsidRPr="00DD1A20">
              <w:rPr>
                <w:sz w:val="20"/>
                <w:szCs w:val="18"/>
              </w:rPr>
              <w:t>The average NPF from Load Resource other than Controllable Load Resources</w:t>
            </w:r>
            <w:r w:rsidRPr="00DD1A20">
              <w:rPr>
                <w:i/>
                <w:iCs/>
                <w:sz w:val="20"/>
                <w:szCs w:val="18"/>
              </w:rPr>
              <w:t xml:space="preserve"> r</w:t>
            </w:r>
            <w:r w:rsidRPr="00DD1A20">
              <w:rPr>
                <w:sz w:val="20"/>
                <w:szCs w:val="18"/>
              </w:rPr>
              <w:t xml:space="preserve">, represented by QSE </w:t>
            </w:r>
            <w:r w:rsidRPr="00DD1A20">
              <w:rPr>
                <w:i/>
                <w:sz w:val="20"/>
                <w:szCs w:val="18"/>
              </w:rPr>
              <w:t xml:space="preserve">q, </w:t>
            </w:r>
            <w:r w:rsidRPr="00DD1A20">
              <w:rPr>
                <w:sz w:val="20"/>
                <w:szCs w:val="18"/>
              </w:rPr>
              <w:t>for the hour.</w:t>
            </w:r>
          </w:p>
        </w:tc>
      </w:tr>
      <w:tr w:rsidR="00745851" w:rsidRPr="00DD1A20" w14:paraId="169F8D4A" w14:textId="77777777" w:rsidTr="00507A85">
        <w:tc>
          <w:tcPr>
            <w:tcW w:w="1054" w:type="pct"/>
            <w:tcBorders>
              <w:top w:val="single" w:sz="4" w:space="0" w:color="auto"/>
              <w:left w:val="single" w:sz="4" w:space="0" w:color="auto"/>
              <w:bottom w:val="single" w:sz="4" w:space="0" w:color="auto"/>
              <w:right w:val="single" w:sz="4" w:space="0" w:color="auto"/>
            </w:tcBorders>
          </w:tcPr>
          <w:p w14:paraId="5F2E7414" w14:textId="77777777" w:rsidR="00745851" w:rsidRPr="00DD1A20" w:rsidRDefault="00745851" w:rsidP="00507A85">
            <w:pPr>
              <w:spacing w:after="60"/>
              <w:rPr>
                <w:sz w:val="20"/>
              </w:rPr>
            </w:pPr>
            <w:r w:rsidRPr="00DD1A20">
              <w:rPr>
                <w:bCs/>
                <w:sz w:val="20"/>
                <w:lang w:val="es-ES"/>
              </w:rPr>
              <w:t>LPC</w:t>
            </w:r>
            <w:r w:rsidRPr="00DD1A20">
              <w:rPr>
                <w:bCs/>
                <w:i/>
                <w:iCs/>
                <w:sz w:val="20"/>
                <w:vertAlign w:val="subscript"/>
                <w:lang w:val="es-ES"/>
              </w:rPr>
              <w:t xml:space="preserve"> q, r</w:t>
            </w:r>
          </w:p>
        </w:tc>
        <w:tc>
          <w:tcPr>
            <w:tcW w:w="456" w:type="pct"/>
            <w:tcBorders>
              <w:top w:val="single" w:sz="4" w:space="0" w:color="auto"/>
              <w:left w:val="single" w:sz="4" w:space="0" w:color="auto"/>
              <w:bottom w:val="single" w:sz="4" w:space="0" w:color="auto"/>
              <w:right w:val="single" w:sz="4" w:space="0" w:color="auto"/>
            </w:tcBorders>
          </w:tcPr>
          <w:p w14:paraId="14280F77"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5FE606CB" w14:textId="77777777" w:rsidR="00745851" w:rsidRPr="00DD1A20" w:rsidRDefault="00745851" w:rsidP="00507A85">
            <w:pPr>
              <w:spacing w:after="60"/>
              <w:rPr>
                <w:i/>
                <w:sz w:val="20"/>
              </w:rPr>
            </w:pPr>
            <w:r w:rsidRPr="00DD1A20">
              <w:rPr>
                <w:i/>
                <w:iCs/>
                <w:sz w:val="20"/>
              </w:rPr>
              <w:t>Non-Controllable Load Resource Low Power Consumption</w:t>
            </w:r>
            <w:r w:rsidRPr="00DD1A20">
              <w:rPr>
                <w:i/>
                <w:iCs/>
                <w:sz w:val="20"/>
                <w:szCs w:val="18"/>
              </w:rPr>
              <w:t xml:space="preserve"> for the QSE</w:t>
            </w:r>
            <w:r w:rsidRPr="00DD1A20">
              <w:rPr>
                <w:iCs/>
                <w:sz w:val="20"/>
              </w:rPr>
              <w:t>—</w:t>
            </w:r>
            <w:r w:rsidRPr="00DD1A20">
              <w:rPr>
                <w:sz w:val="20"/>
                <w:szCs w:val="18"/>
              </w:rPr>
              <w:t>The average LPC from Load Resource other than Controllable Load Resources</w:t>
            </w:r>
            <w:r w:rsidRPr="00DD1A20">
              <w:rPr>
                <w:i/>
                <w:iCs/>
                <w:sz w:val="20"/>
                <w:szCs w:val="18"/>
              </w:rPr>
              <w:t xml:space="preserve"> r</w:t>
            </w:r>
            <w:r w:rsidRPr="00DD1A20">
              <w:rPr>
                <w:sz w:val="20"/>
                <w:szCs w:val="18"/>
              </w:rPr>
              <w:t xml:space="preserve">, represented by QSE </w:t>
            </w:r>
            <w:r w:rsidRPr="00DD1A20">
              <w:rPr>
                <w:i/>
                <w:sz w:val="20"/>
                <w:szCs w:val="18"/>
              </w:rPr>
              <w:t xml:space="preserve">q, </w:t>
            </w:r>
            <w:r w:rsidRPr="00DD1A20">
              <w:rPr>
                <w:sz w:val="20"/>
                <w:szCs w:val="18"/>
              </w:rPr>
              <w:t>for the hour.</w:t>
            </w:r>
          </w:p>
        </w:tc>
      </w:tr>
      <w:tr w:rsidR="00745851" w:rsidRPr="00DD1A20" w14:paraId="6F43ACBA" w14:textId="77777777" w:rsidTr="00507A85">
        <w:tc>
          <w:tcPr>
            <w:tcW w:w="1054" w:type="pct"/>
            <w:tcBorders>
              <w:top w:val="single" w:sz="4" w:space="0" w:color="auto"/>
              <w:left w:val="single" w:sz="4" w:space="0" w:color="auto"/>
              <w:bottom w:val="single" w:sz="4" w:space="0" w:color="auto"/>
              <w:right w:val="single" w:sz="4" w:space="0" w:color="auto"/>
            </w:tcBorders>
          </w:tcPr>
          <w:p w14:paraId="01FC06CF" w14:textId="77777777" w:rsidR="00745851" w:rsidRPr="00DD1A20" w:rsidRDefault="00745851" w:rsidP="00507A85">
            <w:pPr>
              <w:spacing w:after="60"/>
              <w:rPr>
                <w:sz w:val="20"/>
              </w:rPr>
            </w:pPr>
            <w:r w:rsidRPr="00DD1A20">
              <w:rPr>
                <w:bCs/>
                <w:iCs/>
                <w:sz w:val="20"/>
                <w:lang w:val="fr-FR"/>
              </w:rPr>
              <w:t xml:space="preserve">DASANSQ </w:t>
            </w:r>
            <w:r w:rsidRPr="00DD1A20">
              <w:rPr>
                <w:bCs/>
                <w:i/>
                <w:iCs/>
                <w:sz w:val="20"/>
                <w:vertAlign w:val="subscript"/>
                <w:lang w:val="fr-FR"/>
              </w:rPr>
              <w:t>q</w:t>
            </w:r>
          </w:p>
        </w:tc>
        <w:tc>
          <w:tcPr>
            <w:tcW w:w="456" w:type="pct"/>
            <w:tcBorders>
              <w:top w:val="single" w:sz="4" w:space="0" w:color="auto"/>
              <w:left w:val="single" w:sz="4" w:space="0" w:color="auto"/>
              <w:bottom w:val="single" w:sz="4" w:space="0" w:color="auto"/>
              <w:right w:val="single" w:sz="4" w:space="0" w:color="auto"/>
            </w:tcBorders>
          </w:tcPr>
          <w:p w14:paraId="3C9DEC25"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11792316" w14:textId="77777777" w:rsidR="00745851" w:rsidRPr="00DD1A20" w:rsidRDefault="00745851" w:rsidP="00507A85">
            <w:pPr>
              <w:spacing w:after="60"/>
              <w:rPr>
                <w:i/>
                <w:sz w:val="20"/>
              </w:rPr>
            </w:pPr>
            <w:r w:rsidRPr="00DD1A20">
              <w:rPr>
                <w:i/>
                <w:iCs/>
                <w:sz w:val="20"/>
              </w:rPr>
              <w:t>Day-Ahead Self-Arranged Non-Spin Reserve Quantity per QSE</w:t>
            </w:r>
            <w:r w:rsidRPr="00DD1A20">
              <w:rPr>
                <w:iCs/>
                <w:sz w:val="20"/>
              </w:rPr>
              <w:t xml:space="preserve">—The self-arranged Non-Spin quantity submitted by QSE </w:t>
            </w:r>
            <w:r w:rsidRPr="00DD1A20">
              <w:rPr>
                <w:i/>
                <w:iCs/>
                <w:sz w:val="20"/>
              </w:rPr>
              <w:t>q</w:t>
            </w:r>
            <w:r w:rsidRPr="00DD1A20">
              <w:rPr>
                <w:iCs/>
                <w:sz w:val="20"/>
              </w:rPr>
              <w:t xml:space="preserve"> before 1000 in the Day-Ahead.</w:t>
            </w:r>
          </w:p>
        </w:tc>
      </w:tr>
      <w:tr w:rsidR="00745851" w:rsidRPr="00DD1A20" w14:paraId="225930B3" w14:textId="77777777" w:rsidTr="00507A85">
        <w:tc>
          <w:tcPr>
            <w:tcW w:w="1054" w:type="pct"/>
            <w:tcBorders>
              <w:top w:val="single" w:sz="4" w:space="0" w:color="auto"/>
              <w:left w:val="single" w:sz="4" w:space="0" w:color="auto"/>
              <w:bottom w:val="single" w:sz="4" w:space="0" w:color="auto"/>
              <w:right w:val="single" w:sz="4" w:space="0" w:color="auto"/>
            </w:tcBorders>
          </w:tcPr>
          <w:p w14:paraId="12463C15" w14:textId="77777777" w:rsidR="00745851" w:rsidRPr="00DD1A20" w:rsidRDefault="00745851" w:rsidP="00507A85">
            <w:pPr>
              <w:spacing w:after="60"/>
              <w:rPr>
                <w:sz w:val="20"/>
              </w:rPr>
            </w:pPr>
            <w:r w:rsidRPr="00DD1A20">
              <w:rPr>
                <w:bCs/>
                <w:iCs/>
                <w:sz w:val="20"/>
                <w:lang w:val="fr-FR"/>
              </w:rPr>
              <w:t xml:space="preserve">RTSANSQ </w:t>
            </w:r>
            <w:r w:rsidRPr="00DD1A20">
              <w:rPr>
                <w:bCs/>
                <w:i/>
                <w:iCs/>
                <w:sz w:val="20"/>
                <w:vertAlign w:val="subscript"/>
                <w:lang w:val="fr-FR"/>
              </w:rPr>
              <w:t>q</w:t>
            </w:r>
          </w:p>
        </w:tc>
        <w:tc>
          <w:tcPr>
            <w:tcW w:w="456" w:type="pct"/>
            <w:tcBorders>
              <w:top w:val="single" w:sz="4" w:space="0" w:color="auto"/>
              <w:left w:val="single" w:sz="4" w:space="0" w:color="auto"/>
              <w:bottom w:val="single" w:sz="4" w:space="0" w:color="auto"/>
              <w:right w:val="single" w:sz="4" w:space="0" w:color="auto"/>
            </w:tcBorders>
          </w:tcPr>
          <w:p w14:paraId="2B7BA34F"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4134D196" w14:textId="77777777" w:rsidR="00745851" w:rsidRPr="00DD1A20" w:rsidRDefault="00745851" w:rsidP="00507A85">
            <w:pPr>
              <w:spacing w:after="60"/>
              <w:rPr>
                <w:i/>
                <w:sz w:val="20"/>
              </w:rPr>
            </w:pPr>
            <w:r w:rsidRPr="00DD1A20">
              <w:rPr>
                <w:i/>
                <w:iCs/>
                <w:sz w:val="20"/>
              </w:rPr>
              <w:t>Self-Arranged Non-Spinning Reserve Quantity per QSE for all SASMs</w:t>
            </w:r>
            <w:r w:rsidRPr="00DD1A20">
              <w:rPr>
                <w:iCs/>
                <w:sz w:val="20"/>
              </w:rPr>
              <w:t xml:space="preserve">—The sum of all self-arranged Non-Spin quantities submitted by QSE </w:t>
            </w:r>
            <w:r w:rsidRPr="00DD1A20">
              <w:rPr>
                <w:i/>
                <w:iCs/>
                <w:sz w:val="20"/>
              </w:rPr>
              <w:t>q</w:t>
            </w:r>
            <w:r w:rsidRPr="00DD1A20">
              <w:rPr>
                <w:iCs/>
                <w:sz w:val="20"/>
              </w:rPr>
              <w:t xml:space="preserve"> for all SASMs due to an increase in the Ancillary Service Plan per Section 4.4.7.1.</w:t>
            </w:r>
          </w:p>
        </w:tc>
      </w:tr>
      <w:tr w:rsidR="00745851" w:rsidRPr="00DD1A20" w14:paraId="22211454" w14:textId="77777777" w:rsidTr="00507A85">
        <w:tc>
          <w:tcPr>
            <w:tcW w:w="1054" w:type="pct"/>
            <w:tcBorders>
              <w:top w:val="single" w:sz="4" w:space="0" w:color="auto"/>
              <w:left w:val="single" w:sz="4" w:space="0" w:color="auto"/>
              <w:bottom w:val="single" w:sz="4" w:space="0" w:color="auto"/>
              <w:right w:val="single" w:sz="4" w:space="0" w:color="auto"/>
            </w:tcBorders>
          </w:tcPr>
          <w:p w14:paraId="52AE0843" w14:textId="77777777" w:rsidR="00745851" w:rsidRPr="00DD1A20" w:rsidRDefault="00745851" w:rsidP="00507A85">
            <w:pPr>
              <w:spacing w:after="60"/>
              <w:rPr>
                <w:iCs/>
                <w:sz w:val="20"/>
              </w:rPr>
            </w:pPr>
            <w:r w:rsidRPr="00DD1A20">
              <w:rPr>
                <w:iCs/>
                <w:sz w:val="20"/>
              </w:rPr>
              <w:t xml:space="preserve">TNSFQ </w:t>
            </w:r>
            <w:r w:rsidRPr="00DD1A20">
              <w:rPr>
                <w:i/>
                <w:iCs/>
                <w:sz w:val="20"/>
                <w:vertAlign w:val="subscript"/>
              </w:rPr>
              <w:t>q</w:t>
            </w:r>
          </w:p>
        </w:tc>
        <w:tc>
          <w:tcPr>
            <w:tcW w:w="456" w:type="pct"/>
            <w:tcBorders>
              <w:top w:val="single" w:sz="4" w:space="0" w:color="auto"/>
              <w:left w:val="single" w:sz="4" w:space="0" w:color="auto"/>
              <w:bottom w:val="single" w:sz="4" w:space="0" w:color="auto"/>
              <w:right w:val="single" w:sz="4" w:space="0" w:color="auto"/>
            </w:tcBorders>
          </w:tcPr>
          <w:p w14:paraId="797FC5E2"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35D75D3F" w14:textId="77777777" w:rsidR="00745851" w:rsidRPr="00DD1A20" w:rsidRDefault="00745851" w:rsidP="00507A85">
            <w:pPr>
              <w:spacing w:after="60"/>
              <w:rPr>
                <w:i/>
                <w:sz w:val="20"/>
              </w:rPr>
            </w:pPr>
            <w:r w:rsidRPr="00DD1A20">
              <w:rPr>
                <w:i/>
                <w:iCs/>
                <w:sz w:val="20"/>
              </w:rPr>
              <w:t>Telemetered Non-Spin Failure Quantity per QSE—</w:t>
            </w:r>
            <w:r w:rsidRPr="00DD1A20">
              <w:rPr>
                <w:iCs/>
                <w:sz w:val="20"/>
              </w:rPr>
              <w:t xml:space="preserve">Calculated failure quantity for QSE </w:t>
            </w:r>
            <w:r w:rsidRPr="00DD1A20">
              <w:rPr>
                <w:i/>
                <w:sz w:val="20"/>
              </w:rPr>
              <w:t>q</w:t>
            </w:r>
            <w:r w:rsidRPr="00DD1A20">
              <w:rPr>
                <w:iCs/>
                <w:sz w:val="20"/>
              </w:rPr>
              <w:t xml:space="preserve"> by comparing its average telemetered Non-Spin Responsibility to its Ancillary Service Supply Responsibility for Non-Spin as calculated per paragraph (1) of Section 4.4.7.4, for the hour.</w:t>
            </w:r>
          </w:p>
        </w:tc>
      </w:tr>
      <w:tr w:rsidR="00745851" w:rsidRPr="00DD1A20" w14:paraId="458BFA80" w14:textId="77777777" w:rsidTr="00507A85">
        <w:tc>
          <w:tcPr>
            <w:tcW w:w="1054" w:type="pct"/>
            <w:tcBorders>
              <w:top w:val="single" w:sz="4" w:space="0" w:color="auto"/>
              <w:left w:val="single" w:sz="4" w:space="0" w:color="auto"/>
              <w:bottom w:val="single" w:sz="4" w:space="0" w:color="auto"/>
              <w:right w:val="single" w:sz="4" w:space="0" w:color="auto"/>
            </w:tcBorders>
          </w:tcPr>
          <w:p w14:paraId="6A159735" w14:textId="77777777" w:rsidR="00745851" w:rsidRPr="00DD1A20" w:rsidRDefault="00745851" w:rsidP="00507A85">
            <w:pPr>
              <w:spacing w:after="60"/>
              <w:rPr>
                <w:sz w:val="20"/>
              </w:rPr>
            </w:pPr>
            <w:r w:rsidRPr="00DD1A20">
              <w:rPr>
                <w:i/>
                <w:iCs/>
                <w:sz w:val="20"/>
              </w:rPr>
              <w:t>i</w:t>
            </w:r>
          </w:p>
        </w:tc>
        <w:tc>
          <w:tcPr>
            <w:tcW w:w="456" w:type="pct"/>
            <w:tcBorders>
              <w:top w:val="single" w:sz="4" w:space="0" w:color="auto"/>
              <w:left w:val="single" w:sz="4" w:space="0" w:color="auto"/>
              <w:bottom w:val="single" w:sz="4" w:space="0" w:color="auto"/>
              <w:right w:val="single" w:sz="4" w:space="0" w:color="auto"/>
            </w:tcBorders>
          </w:tcPr>
          <w:p w14:paraId="5956AB09" w14:textId="77777777" w:rsidR="00745851" w:rsidRPr="00DD1A20" w:rsidRDefault="00745851" w:rsidP="00507A85">
            <w:pPr>
              <w:spacing w:after="60"/>
              <w:rPr>
                <w:sz w:val="20"/>
              </w:rPr>
            </w:pPr>
            <w:r w:rsidRPr="00DD1A20">
              <w:rPr>
                <w:iCs/>
                <w:sz w:val="20"/>
              </w:rPr>
              <w:t>None</w:t>
            </w:r>
          </w:p>
        </w:tc>
        <w:tc>
          <w:tcPr>
            <w:tcW w:w="3490" w:type="pct"/>
            <w:tcBorders>
              <w:top w:val="single" w:sz="4" w:space="0" w:color="auto"/>
              <w:left w:val="single" w:sz="4" w:space="0" w:color="auto"/>
              <w:bottom w:val="single" w:sz="4" w:space="0" w:color="auto"/>
              <w:right w:val="single" w:sz="4" w:space="0" w:color="auto"/>
            </w:tcBorders>
          </w:tcPr>
          <w:p w14:paraId="6CEC6FDA" w14:textId="77777777" w:rsidR="00745851" w:rsidRPr="00DD1A20" w:rsidRDefault="00745851" w:rsidP="00507A85">
            <w:pPr>
              <w:spacing w:after="60"/>
              <w:rPr>
                <w:i/>
                <w:sz w:val="20"/>
              </w:rPr>
            </w:pPr>
            <w:r w:rsidRPr="00DD1A20">
              <w:rPr>
                <w:iCs/>
                <w:sz w:val="20"/>
              </w:rPr>
              <w:t>A 15-minute Settlement Interval within the Operating Hour.</w:t>
            </w:r>
          </w:p>
        </w:tc>
      </w:tr>
      <w:tr w:rsidR="00745851" w:rsidRPr="00DD1A20" w14:paraId="755A9AFC" w14:textId="77777777" w:rsidTr="00507A85">
        <w:tc>
          <w:tcPr>
            <w:tcW w:w="1054" w:type="pct"/>
            <w:tcBorders>
              <w:top w:val="single" w:sz="4" w:space="0" w:color="auto"/>
              <w:left w:val="single" w:sz="4" w:space="0" w:color="auto"/>
              <w:bottom w:val="single" w:sz="4" w:space="0" w:color="auto"/>
              <w:right w:val="single" w:sz="4" w:space="0" w:color="auto"/>
            </w:tcBorders>
          </w:tcPr>
          <w:p w14:paraId="2615E787" w14:textId="77777777" w:rsidR="00745851" w:rsidRPr="00DD1A20" w:rsidRDefault="00745851" w:rsidP="00507A85">
            <w:pPr>
              <w:spacing w:after="60"/>
              <w:rPr>
                <w:i/>
                <w:iCs/>
                <w:sz w:val="20"/>
              </w:rPr>
            </w:pPr>
            <w:r w:rsidRPr="00DD1A20">
              <w:rPr>
                <w:i/>
                <w:sz w:val="20"/>
              </w:rPr>
              <w:t>rs</w:t>
            </w:r>
          </w:p>
        </w:tc>
        <w:tc>
          <w:tcPr>
            <w:tcW w:w="456" w:type="pct"/>
            <w:tcBorders>
              <w:top w:val="single" w:sz="4" w:space="0" w:color="auto"/>
              <w:left w:val="single" w:sz="4" w:space="0" w:color="auto"/>
              <w:bottom w:val="single" w:sz="4" w:space="0" w:color="auto"/>
              <w:right w:val="single" w:sz="4" w:space="0" w:color="auto"/>
            </w:tcBorders>
          </w:tcPr>
          <w:p w14:paraId="315FF684" w14:textId="77777777" w:rsidR="00745851" w:rsidRPr="00DD1A20" w:rsidRDefault="00745851" w:rsidP="00507A85">
            <w:pPr>
              <w:spacing w:after="60"/>
              <w:rPr>
                <w:iCs/>
                <w:sz w:val="20"/>
              </w:rPr>
            </w:pPr>
            <w:r w:rsidRPr="00DD1A20">
              <w:rPr>
                <w:sz w:val="20"/>
              </w:rPr>
              <w:t>None</w:t>
            </w:r>
          </w:p>
        </w:tc>
        <w:tc>
          <w:tcPr>
            <w:tcW w:w="3490" w:type="pct"/>
            <w:tcBorders>
              <w:top w:val="single" w:sz="4" w:space="0" w:color="auto"/>
              <w:left w:val="single" w:sz="4" w:space="0" w:color="auto"/>
              <w:bottom w:val="single" w:sz="4" w:space="0" w:color="auto"/>
              <w:right w:val="single" w:sz="4" w:space="0" w:color="auto"/>
            </w:tcBorders>
          </w:tcPr>
          <w:p w14:paraId="498102F0" w14:textId="77777777" w:rsidR="00745851" w:rsidRPr="00DD1A20" w:rsidRDefault="00745851" w:rsidP="00507A85">
            <w:pPr>
              <w:spacing w:after="60"/>
              <w:rPr>
                <w:iCs/>
                <w:sz w:val="20"/>
              </w:rPr>
            </w:pPr>
            <w:r w:rsidRPr="00DD1A20">
              <w:rPr>
                <w:sz w:val="20"/>
              </w:rPr>
              <w:t>The RSASM for the given Operating Hour.</w:t>
            </w:r>
          </w:p>
        </w:tc>
      </w:tr>
      <w:tr w:rsidR="00745851" w:rsidRPr="00DD1A20" w14:paraId="5BA93C0C" w14:textId="77777777" w:rsidTr="00507A85">
        <w:tc>
          <w:tcPr>
            <w:tcW w:w="1054" w:type="pct"/>
            <w:tcBorders>
              <w:top w:val="single" w:sz="4" w:space="0" w:color="auto"/>
              <w:left w:val="single" w:sz="4" w:space="0" w:color="auto"/>
              <w:bottom w:val="single" w:sz="4" w:space="0" w:color="auto"/>
              <w:right w:val="single" w:sz="4" w:space="0" w:color="auto"/>
            </w:tcBorders>
          </w:tcPr>
          <w:p w14:paraId="2FF8A1AB" w14:textId="77777777" w:rsidR="00745851" w:rsidRPr="00DD1A20" w:rsidRDefault="00745851" w:rsidP="00507A85">
            <w:pPr>
              <w:spacing w:after="60"/>
              <w:rPr>
                <w:i/>
                <w:iCs/>
                <w:sz w:val="20"/>
              </w:rPr>
            </w:pPr>
            <w:r w:rsidRPr="00DD1A20">
              <w:rPr>
                <w:i/>
                <w:iCs/>
                <w:sz w:val="20"/>
              </w:rPr>
              <w:t>m</w:t>
            </w:r>
          </w:p>
        </w:tc>
        <w:tc>
          <w:tcPr>
            <w:tcW w:w="456" w:type="pct"/>
            <w:tcBorders>
              <w:top w:val="single" w:sz="4" w:space="0" w:color="auto"/>
              <w:left w:val="single" w:sz="4" w:space="0" w:color="auto"/>
              <w:bottom w:val="single" w:sz="4" w:space="0" w:color="auto"/>
              <w:right w:val="single" w:sz="4" w:space="0" w:color="auto"/>
            </w:tcBorders>
          </w:tcPr>
          <w:p w14:paraId="705EFB27" w14:textId="77777777" w:rsidR="00745851" w:rsidRPr="00DD1A20" w:rsidRDefault="00745851" w:rsidP="00507A85">
            <w:pPr>
              <w:spacing w:after="60"/>
              <w:rPr>
                <w:iCs/>
                <w:sz w:val="20"/>
              </w:rPr>
            </w:pPr>
            <w:r w:rsidRPr="00DD1A20">
              <w:rPr>
                <w:iCs/>
                <w:sz w:val="20"/>
              </w:rPr>
              <w:t>None</w:t>
            </w:r>
          </w:p>
        </w:tc>
        <w:tc>
          <w:tcPr>
            <w:tcW w:w="3490" w:type="pct"/>
            <w:tcBorders>
              <w:top w:val="single" w:sz="4" w:space="0" w:color="auto"/>
              <w:left w:val="single" w:sz="4" w:space="0" w:color="auto"/>
              <w:bottom w:val="single" w:sz="4" w:space="0" w:color="auto"/>
              <w:right w:val="single" w:sz="4" w:space="0" w:color="auto"/>
            </w:tcBorders>
          </w:tcPr>
          <w:p w14:paraId="06D605CD" w14:textId="77777777" w:rsidR="00745851" w:rsidRPr="00DD1A20" w:rsidRDefault="00745851" w:rsidP="00507A85">
            <w:pPr>
              <w:spacing w:after="60"/>
              <w:rPr>
                <w:iCs/>
                <w:sz w:val="20"/>
              </w:rPr>
            </w:pPr>
            <w:r w:rsidRPr="00DD1A20">
              <w:rPr>
                <w:iCs/>
                <w:sz w:val="20"/>
              </w:rPr>
              <w:t>The DAM, SASM, or RSASM for the given Operating Hour.</w:t>
            </w:r>
          </w:p>
        </w:tc>
      </w:tr>
      <w:tr w:rsidR="00745851" w:rsidRPr="00DD1A20" w14:paraId="1D5ABDA9" w14:textId="77777777" w:rsidTr="00507A85">
        <w:tc>
          <w:tcPr>
            <w:tcW w:w="1054" w:type="pct"/>
            <w:tcBorders>
              <w:top w:val="single" w:sz="4" w:space="0" w:color="auto"/>
              <w:left w:val="single" w:sz="4" w:space="0" w:color="auto"/>
              <w:bottom w:val="single" w:sz="4" w:space="0" w:color="auto"/>
              <w:right w:val="single" w:sz="4" w:space="0" w:color="auto"/>
            </w:tcBorders>
          </w:tcPr>
          <w:p w14:paraId="06718981" w14:textId="77777777" w:rsidR="00745851" w:rsidRPr="00DD1A20" w:rsidRDefault="00745851" w:rsidP="00507A85">
            <w:pPr>
              <w:spacing w:after="60"/>
              <w:rPr>
                <w:i/>
                <w:iCs/>
                <w:sz w:val="20"/>
              </w:rPr>
            </w:pPr>
            <w:r w:rsidRPr="00DD1A20">
              <w:rPr>
                <w:i/>
                <w:iCs/>
                <w:sz w:val="20"/>
              </w:rPr>
              <w:t>q</w:t>
            </w:r>
          </w:p>
        </w:tc>
        <w:tc>
          <w:tcPr>
            <w:tcW w:w="456" w:type="pct"/>
            <w:tcBorders>
              <w:top w:val="single" w:sz="4" w:space="0" w:color="auto"/>
              <w:left w:val="single" w:sz="4" w:space="0" w:color="auto"/>
              <w:bottom w:val="single" w:sz="4" w:space="0" w:color="auto"/>
              <w:right w:val="single" w:sz="4" w:space="0" w:color="auto"/>
            </w:tcBorders>
          </w:tcPr>
          <w:p w14:paraId="4CB4D7FA" w14:textId="77777777" w:rsidR="00745851" w:rsidRPr="00DD1A20" w:rsidRDefault="00745851" w:rsidP="00507A85">
            <w:pPr>
              <w:spacing w:after="60"/>
              <w:rPr>
                <w:iCs/>
                <w:sz w:val="20"/>
              </w:rPr>
            </w:pPr>
            <w:r w:rsidRPr="00DD1A20">
              <w:rPr>
                <w:iCs/>
                <w:sz w:val="20"/>
              </w:rPr>
              <w:t>None</w:t>
            </w:r>
          </w:p>
        </w:tc>
        <w:tc>
          <w:tcPr>
            <w:tcW w:w="3490" w:type="pct"/>
            <w:tcBorders>
              <w:top w:val="single" w:sz="4" w:space="0" w:color="auto"/>
              <w:left w:val="single" w:sz="4" w:space="0" w:color="auto"/>
              <w:bottom w:val="single" w:sz="4" w:space="0" w:color="auto"/>
              <w:right w:val="single" w:sz="4" w:space="0" w:color="auto"/>
            </w:tcBorders>
          </w:tcPr>
          <w:p w14:paraId="50CE81EA" w14:textId="77777777" w:rsidR="00745851" w:rsidRPr="00DD1A20" w:rsidRDefault="00745851" w:rsidP="00507A85">
            <w:pPr>
              <w:spacing w:after="60"/>
              <w:rPr>
                <w:iCs/>
                <w:sz w:val="20"/>
              </w:rPr>
            </w:pPr>
            <w:r w:rsidRPr="00DD1A20">
              <w:rPr>
                <w:iCs/>
                <w:sz w:val="20"/>
              </w:rPr>
              <w:t>A QSE.</w:t>
            </w:r>
          </w:p>
        </w:tc>
      </w:tr>
      <w:tr w:rsidR="00745851" w:rsidRPr="00DD1A20" w14:paraId="58075BAC" w14:textId="77777777" w:rsidTr="00507A85">
        <w:tc>
          <w:tcPr>
            <w:tcW w:w="1054" w:type="pct"/>
            <w:tcBorders>
              <w:top w:val="single" w:sz="4" w:space="0" w:color="auto"/>
              <w:left w:val="single" w:sz="4" w:space="0" w:color="auto"/>
              <w:bottom w:val="single" w:sz="4" w:space="0" w:color="auto"/>
              <w:right w:val="single" w:sz="4" w:space="0" w:color="auto"/>
            </w:tcBorders>
          </w:tcPr>
          <w:p w14:paraId="3D2AB318" w14:textId="77777777" w:rsidR="00745851" w:rsidRPr="00DD1A20" w:rsidRDefault="00745851" w:rsidP="00507A85">
            <w:pPr>
              <w:spacing w:after="60"/>
              <w:rPr>
                <w:i/>
                <w:iCs/>
                <w:sz w:val="20"/>
              </w:rPr>
            </w:pPr>
            <w:r w:rsidRPr="00DD1A20">
              <w:rPr>
                <w:i/>
                <w:iCs/>
                <w:sz w:val="20"/>
              </w:rPr>
              <w:t>r</w:t>
            </w:r>
          </w:p>
        </w:tc>
        <w:tc>
          <w:tcPr>
            <w:tcW w:w="456" w:type="pct"/>
            <w:tcBorders>
              <w:top w:val="single" w:sz="4" w:space="0" w:color="auto"/>
              <w:left w:val="single" w:sz="4" w:space="0" w:color="auto"/>
              <w:bottom w:val="single" w:sz="4" w:space="0" w:color="auto"/>
              <w:right w:val="single" w:sz="4" w:space="0" w:color="auto"/>
            </w:tcBorders>
          </w:tcPr>
          <w:p w14:paraId="2A256A20" w14:textId="77777777" w:rsidR="00745851" w:rsidRPr="00DD1A20" w:rsidRDefault="00745851" w:rsidP="00507A85">
            <w:pPr>
              <w:spacing w:after="60"/>
              <w:rPr>
                <w:iCs/>
                <w:sz w:val="20"/>
              </w:rPr>
            </w:pPr>
            <w:r w:rsidRPr="00DD1A20">
              <w:rPr>
                <w:iCs/>
                <w:sz w:val="20"/>
              </w:rPr>
              <w:t>None</w:t>
            </w:r>
          </w:p>
        </w:tc>
        <w:tc>
          <w:tcPr>
            <w:tcW w:w="3490" w:type="pct"/>
            <w:tcBorders>
              <w:top w:val="single" w:sz="4" w:space="0" w:color="auto"/>
              <w:left w:val="single" w:sz="4" w:space="0" w:color="auto"/>
              <w:bottom w:val="single" w:sz="4" w:space="0" w:color="auto"/>
              <w:right w:val="single" w:sz="4" w:space="0" w:color="auto"/>
            </w:tcBorders>
          </w:tcPr>
          <w:p w14:paraId="78650F42" w14:textId="77777777" w:rsidR="00745851" w:rsidRPr="00DD1A20" w:rsidRDefault="00745851" w:rsidP="00507A85">
            <w:pPr>
              <w:spacing w:after="60"/>
              <w:rPr>
                <w:iCs/>
                <w:sz w:val="20"/>
              </w:rPr>
            </w:pPr>
            <w:r w:rsidRPr="00DD1A20">
              <w:rPr>
                <w:iCs/>
                <w:sz w:val="20"/>
              </w:rPr>
              <w:t>A Resource that is qualified to provide Non-Spin.</w:t>
            </w:r>
          </w:p>
        </w:tc>
      </w:tr>
    </w:tbl>
    <w:p w14:paraId="2D54C9B3" w14:textId="77777777" w:rsidR="00745851" w:rsidRPr="00DD1A20" w:rsidRDefault="00745851" w:rsidP="00745851">
      <w:pPr>
        <w:spacing w:before="240" w:after="240"/>
        <w:ind w:left="1440" w:hanging="720"/>
      </w:pPr>
      <w:r w:rsidRPr="00DD1A20">
        <w:rPr>
          <w:iCs/>
        </w:rPr>
        <w:t>(e)</w:t>
      </w:r>
      <w:r w:rsidRPr="00DD1A20">
        <w:rPr>
          <w:iCs/>
        </w:rPr>
        <w:tab/>
      </w:r>
      <w:r w:rsidRPr="00DD1A20">
        <w:t>The t</w:t>
      </w:r>
      <w:r w:rsidRPr="00DD1A20">
        <w:rPr>
          <w:iCs/>
        </w:rPr>
        <w:t>otal charge of failure on Ancillary Service Supply Responsibility for</w:t>
      </w:r>
      <w:r w:rsidRPr="00DD1A20">
        <w:t xml:space="preserve"> ECRS by QSE, if applicable:</w:t>
      </w:r>
    </w:p>
    <w:p w14:paraId="28CAA74E" w14:textId="77777777" w:rsidR="00745851" w:rsidRPr="00DD1A20" w:rsidRDefault="00745851" w:rsidP="00745851">
      <w:pPr>
        <w:spacing w:before="240" w:after="240"/>
        <w:ind w:left="2880" w:hanging="2160"/>
        <w:rPr>
          <w:b/>
          <w:i/>
          <w:iCs/>
          <w:vertAlign w:val="subscript"/>
        </w:rPr>
      </w:pPr>
      <w:r w:rsidRPr="00DD1A20">
        <w:rPr>
          <w:b/>
          <w:iCs/>
        </w:rPr>
        <w:t xml:space="preserve">ECRFQAMTQSETOT </w:t>
      </w:r>
      <w:r w:rsidRPr="00DD1A20">
        <w:rPr>
          <w:b/>
          <w:i/>
          <w:iCs/>
          <w:vertAlign w:val="subscript"/>
        </w:rPr>
        <w:t>q</w:t>
      </w:r>
      <w:r w:rsidRPr="00DD1A20">
        <w:rPr>
          <w:b/>
          <w:i/>
          <w:iCs/>
          <w:vertAlign w:val="subscript"/>
        </w:rPr>
        <w:tab/>
      </w:r>
      <w:r w:rsidRPr="00DD1A20">
        <w:rPr>
          <w:b/>
          <w:iCs/>
        </w:rPr>
        <w:t>=</w:t>
      </w:r>
      <w:r w:rsidRPr="00DD1A20">
        <w:rPr>
          <w:b/>
          <w:iCs/>
        </w:rPr>
        <w:tab/>
        <w:t xml:space="preserve">ECRFQAMT </w:t>
      </w:r>
      <w:r w:rsidRPr="00DD1A20">
        <w:rPr>
          <w:b/>
          <w:i/>
          <w:iCs/>
          <w:vertAlign w:val="subscript"/>
        </w:rPr>
        <w:t xml:space="preserve">q </w:t>
      </w:r>
      <w:r w:rsidRPr="00DD1A20">
        <w:rPr>
          <w:b/>
          <w:i/>
          <w:iCs/>
        </w:rPr>
        <w:t>+</w:t>
      </w:r>
      <w:r w:rsidRPr="00DD1A20">
        <w:rPr>
          <w:b/>
          <w:i/>
          <w:iCs/>
          <w:vertAlign w:val="subscript"/>
        </w:rPr>
        <w:t xml:space="preserve"> </w:t>
      </w:r>
      <w:r w:rsidRPr="00DD1A20">
        <w:rPr>
          <w:b/>
          <w:iCs/>
        </w:rPr>
        <w:t xml:space="preserve">RECRFQAMT </w:t>
      </w:r>
      <w:r w:rsidRPr="00DD1A20">
        <w:rPr>
          <w:b/>
          <w:i/>
          <w:iCs/>
          <w:vertAlign w:val="subscript"/>
        </w:rPr>
        <w:t>q</w:t>
      </w:r>
    </w:p>
    <w:p w14:paraId="0181158F" w14:textId="77777777" w:rsidR="00745851" w:rsidRPr="00DD1A20" w:rsidRDefault="00745851" w:rsidP="00745851">
      <w:pPr>
        <w:spacing w:before="240" w:after="240"/>
        <w:ind w:left="1440" w:hanging="720"/>
      </w:pPr>
      <w:r w:rsidRPr="00DD1A20">
        <w:rPr>
          <w:iCs/>
        </w:rPr>
        <w:t>Where:</w:t>
      </w:r>
    </w:p>
    <w:p w14:paraId="5024C798" w14:textId="77777777" w:rsidR="00745851" w:rsidRPr="00DD1A20" w:rsidRDefault="00745851" w:rsidP="00745851">
      <w:pPr>
        <w:spacing w:after="240"/>
        <w:ind w:left="2880" w:hanging="2160"/>
        <w:rPr>
          <w:bCs/>
        </w:rPr>
      </w:pPr>
      <w:r w:rsidRPr="00DD1A20">
        <w:t xml:space="preserve">ECRFQAMT </w:t>
      </w:r>
      <w:r w:rsidRPr="00DD1A20">
        <w:rPr>
          <w:i/>
          <w:vertAlign w:val="subscript"/>
        </w:rPr>
        <w:t>q</w:t>
      </w:r>
      <w:r w:rsidRPr="00DD1A20">
        <w:t xml:space="preserve"> =</w:t>
      </w:r>
      <w:r w:rsidRPr="00DD1A20">
        <w:tab/>
        <w:t xml:space="preserve">Max(MCPCECR </w:t>
      </w:r>
      <w:r w:rsidRPr="00DD1A20">
        <w:rPr>
          <w:i/>
          <w:vertAlign w:val="subscript"/>
        </w:rPr>
        <w:t>m</w:t>
      </w:r>
      <w:r w:rsidRPr="00DD1A20">
        <w:t xml:space="preserve">, AVGRTASIP) * (ECRFQ </w:t>
      </w:r>
      <w:r w:rsidRPr="00DD1A20">
        <w:rPr>
          <w:i/>
          <w:vertAlign w:val="subscript"/>
        </w:rPr>
        <w:t xml:space="preserve">q </w:t>
      </w:r>
      <w:r w:rsidRPr="00DD1A20">
        <w:t xml:space="preserve">+ TECRFQ </w:t>
      </w:r>
      <w:r w:rsidRPr="00DD1A20">
        <w:rPr>
          <w:i/>
          <w:vertAlign w:val="subscript"/>
        </w:rPr>
        <w:t>q</w:t>
      </w:r>
      <w:r w:rsidRPr="00DD1A20">
        <w:t>)</w:t>
      </w:r>
    </w:p>
    <w:p w14:paraId="2E09F859" w14:textId="77777777" w:rsidR="00745851" w:rsidRPr="00DD1A20" w:rsidRDefault="00745851" w:rsidP="00745851">
      <w:pPr>
        <w:spacing w:before="240" w:after="240"/>
        <w:ind w:left="2880" w:hanging="2160"/>
        <w:rPr>
          <w:bCs/>
          <w:i/>
          <w:iCs/>
          <w:vertAlign w:val="subscript"/>
        </w:rPr>
      </w:pPr>
      <w:r w:rsidRPr="00DD1A20">
        <w:rPr>
          <w:iCs/>
        </w:rPr>
        <w:t xml:space="preserve">RECRFQAMT </w:t>
      </w:r>
      <w:r w:rsidRPr="00DD1A20">
        <w:rPr>
          <w:i/>
          <w:iCs/>
          <w:vertAlign w:val="subscript"/>
        </w:rPr>
        <w:t>q</w:t>
      </w:r>
      <w:r w:rsidRPr="00DD1A20">
        <w:rPr>
          <w:iCs/>
        </w:rPr>
        <w:tab/>
      </w:r>
      <w:r w:rsidRPr="00DD1A20">
        <w:rPr>
          <w:iCs/>
        </w:rPr>
        <w:tab/>
        <w:t>=</w:t>
      </w:r>
      <w:r w:rsidRPr="00DD1A20">
        <w:rPr>
          <w:iCs/>
        </w:rPr>
        <w:tab/>
      </w:r>
      <w:r w:rsidRPr="00DD1A20">
        <w:rPr>
          <w:bCs/>
          <w:iCs/>
        </w:rPr>
        <w:t xml:space="preserve">MCPCECR </w:t>
      </w:r>
      <w:r w:rsidRPr="00DD1A20">
        <w:rPr>
          <w:bCs/>
          <w:i/>
          <w:iCs/>
          <w:vertAlign w:val="subscript"/>
        </w:rPr>
        <w:t>rs</w:t>
      </w:r>
      <w:r w:rsidRPr="00DD1A20">
        <w:rPr>
          <w:bCs/>
          <w:iCs/>
        </w:rPr>
        <w:t xml:space="preserve"> * RECRFQ </w:t>
      </w:r>
      <w:r w:rsidRPr="00DD1A20">
        <w:rPr>
          <w:i/>
          <w:iCs/>
          <w:vertAlign w:val="subscript"/>
        </w:rPr>
        <w:t>q,</w:t>
      </w:r>
      <w:r w:rsidRPr="00DD1A20">
        <w:rPr>
          <w:bCs/>
          <w:iCs/>
        </w:rPr>
        <w:t xml:space="preserve"> </w:t>
      </w:r>
      <w:r w:rsidRPr="00DD1A20">
        <w:rPr>
          <w:bCs/>
          <w:i/>
          <w:iCs/>
          <w:vertAlign w:val="subscript"/>
        </w:rPr>
        <w:t>rs</w:t>
      </w:r>
    </w:p>
    <w:p w14:paraId="4F894360" w14:textId="77777777" w:rsidR="00745851" w:rsidRPr="00DD1A20" w:rsidRDefault="00745851" w:rsidP="00745851">
      <w:pPr>
        <w:spacing w:after="240"/>
        <w:ind w:firstLine="720"/>
      </w:pPr>
      <w:r w:rsidRPr="00DD1A20">
        <w:t xml:space="preserve">AVGRTASIP </w:t>
      </w:r>
      <w:r w:rsidRPr="00DD1A20">
        <w:tab/>
      </w:r>
      <w:r w:rsidRPr="00DD1A20">
        <w:tab/>
        <w:t xml:space="preserve">            = </w:t>
      </w:r>
      <w:r w:rsidRPr="00DD1A20">
        <w:tab/>
      </w:r>
      <w:r w:rsidRPr="00DD1A20">
        <w:rPr>
          <w:position w:val="-20"/>
        </w:rPr>
        <w:object w:dxaOrig="260" w:dyaOrig="580" w14:anchorId="764491CF">
          <v:shape id="_x0000_i1347" type="#_x0000_t75" style="width:12pt;height:30pt" o:ole="">
            <v:imagedata r:id="rId419" o:title=""/>
          </v:shape>
          <o:OLEObject Type="Embed" ProgID="Equation.3" ShapeID="_x0000_i1347" DrawAspect="Content" ObjectID="_1815025535" r:id="rId429"/>
        </w:object>
      </w:r>
      <w:r w:rsidRPr="00DD1A20">
        <w:t xml:space="preserve">(RTRSVPOR </w:t>
      </w:r>
      <w:r w:rsidRPr="00DD1A20">
        <w:rPr>
          <w:i/>
          <w:vertAlign w:val="subscript"/>
        </w:rPr>
        <w:t>i</w:t>
      </w:r>
      <w:r w:rsidRPr="00DD1A20">
        <w:t xml:space="preserve"> + RTRDP </w:t>
      </w:r>
      <w:r w:rsidRPr="00DD1A20">
        <w:rPr>
          <w:i/>
          <w:vertAlign w:val="subscript"/>
        </w:rPr>
        <w:t>i</w:t>
      </w:r>
      <w:r w:rsidRPr="00DD1A20">
        <w:t xml:space="preserve">) / 4 </w:t>
      </w:r>
    </w:p>
    <w:p w14:paraId="5FEA99EE" w14:textId="77777777" w:rsidR="00745851" w:rsidRPr="00DD1A20" w:rsidRDefault="00745851" w:rsidP="00745851">
      <w:pPr>
        <w:spacing w:after="240"/>
        <w:ind w:firstLine="720"/>
      </w:pPr>
      <w:r w:rsidRPr="00DD1A20">
        <w:t>Where for all Resources:</w:t>
      </w:r>
    </w:p>
    <w:p w14:paraId="46203A6B" w14:textId="77777777" w:rsidR="00745851" w:rsidRPr="00DD1A20" w:rsidRDefault="00745851" w:rsidP="00745851">
      <w:pPr>
        <w:spacing w:after="120"/>
        <w:ind w:leftChars="300" w:left="2880" w:hangingChars="900" w:hanging="2160"/>
        <w:rPr>
          <w:bCs/>
          <w:iCs/>
        </w:rPr>
      </w:pPr>
      <w:r w:rsidRPr="00DD1A20">
        <w:t xml:space="preserve">TECRFQ </w:t>
      </w:r>
      <w:r w:rsidRPr="00DD1A20">
        <w:rPr>
          <w:i/>
          <w:vertAlign w:val="subscript"/>
        </w:rPr>
        <w:t>q =</w:t>
      </w:r>
      <w:r w:rsidRPr="00DD1A20">
        <w:rPr>
          <w:iCs/>
        </w:rPr>
        <w:t xml:space="preserve"> Max ([(</w:t>
      </w:r>
      <w:r w:rsidRPr="00DD1A20">
        <w:rPr>
          <w:bCs/>
          <w:lang w:val="fr-FR"/>
        </w:rPr>
        <w:t xml:space="preserve">SAECRQ </w:t>
      </w:r>
      <w:r w:rsidRPr="00DD1A20">
        <w:rPr>
          <w:bCs/>
          <w:i/>
          <w:vertAlign w:val="subscript"/>
          <w:lang w:val="fr-FR"/>
        </w:rPr>
        <w:t xml:space="preserve">q </w:t>
      </w:r>
      <w:r w:rsidRPr="00DD1A20">
        <w:rPr>
          <w:bCs/>
          <w:iCs/>
        </w:rPr>
        <w:t>+ ECRTRSQ</w:t>
      </w:r>
      <w:r w:rsidRPr="00DD1A20">
        <w:rPr>
          <w:bCs/>
          <w:i/>
          <w:vertAlign w:val="subscript"/>
          <w:lang w:val="fr-FR"/>
        </w:rPr>
        <w:t xml:space="preserve"> q</w:t>
      </w:r>
      <w:r w:rsidRPr="00DD1A20">
        <w:rPr>
          <w:bCs/>
          <w:iCs/>
        </w:rPr>
        <w:t xml:space="preserve"> +</w:t>
      </w:r>
      <w:r>
        <w:rPr>
          <w:bCs/>
          <w:iCs/>
        </w:rPr>
        <w:t xml:space="preserve"> </w:t>
      </w:r>
      <w:r w:rsidRPr="00DD1A20">
        <w:rPr>
          <w:noProof/>
          <w:position w:val="-20"/>
        </w:rPr>
        <w:drawing>
          <wp:inline distT="0" distB="0" distL="0" distR="0" wp14:anchorId="54B26F67" wp14:editId="5C68A074">
            <wp:extent cx="142875" cy="27622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DD1A20">
        <w:rPr>
          <w:bCs/>
          <w:iCs/>
        </w:rPr>
        <w:t xml:space="preserve"> </w:t>
      </w:r>
      <w:r w:rsidRPr="00DD1A20">
        <w:rPr>
          <w:bCs/>
          <w:lang w:val="es-ES"/>
        </w:rPr>
        <w:t xml:space="preserve">(RTPCECR </w:t>
      </w:r>
      <w:r w:rsidRPr="00DD1A20">
        <w:rPr>
          <w:bCs/>
          <w:i/>
          <w:vertAlign w:val="subscript"/>
          <w:lang w:val="es-ES"/>
        </w:rPr>
        <w:t>q, m</w:t>
      </w:r>
      <w:r w:rsidRPr="00DD1A20">
        <w:rPr>
          <w:bCs/>
          <w:lang w:val="es-ES"/>
        </w:rPr>
        <w:t xml:space="preserve">) + PCECR </w:t>
      </w:r>
      <w:r w:rsidRPr="00DD1A20">
        <w:rPr>
          <w:bCs/>
          <w:i/>
          <w:vertAlign w:val="subscript"/>
          <w:lang w:val="es-ES"/>
        </w:rPr>
        <w:t>q</w:t>
      </w:r>
      <w:r w:rsidRPr="00DD1A20">
        <w:rPr>
          <w:bCs/>
          <w:lang w:val="es-ES"/>
        </w:rPr>
        <w:t xml:space="preserve"> + RUCECRQ </w:t>
      </w:r>
      <w:r w:rsidRPr="00DD1A20">
        <w:rPr>
          <w:bCs/>
          <w:i/>
          <w:vertAlign w:val="subscript"/>
          <w:lang w:val="es-ES"/>
        </w:rPr>
        <w:t>q</w:t>
      </w:r>
      <w:r w:rsidRPr="00DD1A20">
        <w:rPr>
          <w:bCs/>
          <w:lang w:val="es-ES"/>
        </w:rPr>
        <w:t>) – (</w:t>
      </w:r>
      <w:r w:rsidRPr="00DD1A20">
        <w:rPr>
          <w:bCs/>
          <w:iCs/>
        </w:rPr>
        <w:t>ECRTRPQ</w:t>
      </w:r>
      <w:r w:rsidRPr="00DD1A20">
        <w:rPr>
          <w:bCs/>
          <w:i/>
          <w:vertAlign w:val="subscript"/>
          <w:lang w:val="fr-FR"/>
        </w:rPr>
        <w:t xml:space="preserve"> q</w:t>
      </w:r>
      <w:r w:rsidRPr="00DD1A20">
        <w:rPr>
          <w:bCs/>
          <w:iCs/>
        </w:rPr>
        <w:t xml:space="preserve"> + ECR</w:t>
      </w:r>
      <w:r w:rsidRPr="00DD1A20">
        <w:rPr>
          <w:bCs/>
          <w:lang w:val="es-ES"/>
        </w:rPr>
        <w:t xml:space="preserve">FQ </w:t>
      </w:r>
      <w:r w:rsidRPr="00DD1A20">
        <w:rPr>
          <w:bCs/>
          <w:i/>
          <w:vertAlign w:val="subscript"/>
          <w:lang w:val="es-ES"/>
        </w:rPr>
        <w:t>q</w:t>
      </w:r>
      <w:r w:rsidRPr="00DD1A20">
        <w:rPr>
          <w:bCs/>
          <w:lang w:val="es-ES"/>
        </w:rPr>
        <w:t xml:space="preserve"> + RECRFQ</w:t>
      </w:r>
      <w:r w:rsidRPr="00DD1A20">
        <w:rPr>
          <w:bCs/>
          <w:i/>
          <w:vertAlign w:val="subscript"/>
          <w:lang w:val="es-ES"/>
        </w:rPr>
        <w:t xml:space="preserve"> q</w:t>
      </w:r>
      <w:r w:rsidRPr="00DD1A20">
        <w:rPr>
          <w:bCs/>
          <w:lang w:val="es-ES"/>
        </w:rPr>
        <w:t xml:space="preserve"> + ECRINFQ </w:t>
      </w:r>
      <w:r w:rsidRPr="00DD1A20">
        <w:rPr>
          <w:bCs/>
          <w:i/>
          <w:vertAlign w:val="subscript"/>
          <w:lang w:val="es-ES"/>
        </w:rPr>
        <w:t>q</w:t>
      </w:r>
      <w:r w:rsidRPr="00DD1A20">
        <w:rPr>
          <w:bCs/>
          <w:lang w:val="es-ES"/>
        </w:rPr>
        <w:t>)</w:t>
      </w:r>
      <w:r w:rsidRPr="00DD1A20">
        <w:rPr>
          <w:bCs/>
          <w:iCs/>
        </w:rPr>
        <w:t xml:space="preserve">] </w:t>
      </w:r>
      <w:r w:rsidRPr="00DD1A20">
        <w:rPr>
          <w:bCs/>
          <w:lang w:val="es-ES"/>
        </w:rPr>
        <w:t>–</w:t>
      </w:r>
      <w:r w:rsidRPr="00DD1A20">
        <w:rPr>
          <w:bCs/>
          <w:iCs/>
        </w:rPr>
        <w:t xml:space="preserve"> </w:t>
      </w:r>
      <w:r w:rsidRPr="00DD1A20">
        <w:rPr>
          <w:position w:val="-18"/>
        </w:rPr>
        <w:object w:dxaOrig="225" w:dyaOrig="420" w14:anchorId="3F9AAF68">
          <v:shape id="_x0000_i1348" type="#_x0000_t75" style="width:12pt;height:24pt" o:ole="">
            <v:imagedata r:id="rId159" o:title=""/>
          </v:shape>
          <o:OLEObject Type="Embed" ProgID="Equation.3" ShapeID="_x0000_i1348" DrawAspect="Content" ObjectID="_1815025536" r:id="rId430"/>
        </w:object>
      </w:r>
      <w:r w:rsidRPr="00DD1A20">
        <w:rPr>
          <w:bCs/>
          <w:iCs/>
        </w:rPr>
        <w:t>TELECRRC</w:t>
      </w:r>
      <w:r w:rsidRPr="00DD1A20">
        <w:rPr>
          <w:bCs/>
          <w:i/>
          <w:vertAlign w:val="subscript"/>
          <w:lang w:val="es-ES"/>
        </w:rPr>
        <w:t xml:space="preserve"> q, r</w:t>
      </w:r>
      <w:r w:rsidRPr="00DD1A20">
        <w:rPr>
          <w:bCs/>
          <w:iCs/>
          <w:lang w:val="es-ES"/>
        </w:rPr>
        <w:t>, 0)</w:t>
      </w:r>
    </w:p>
    <w:p w14:paraId="5D6DF77B" w14:textId="77777777" w:rsidR="00745851" w:rsidRPr="00DD1A20" w:rsidRDefault="00745851" w:rsidP="00745851">
      <w:pPr>
        <w:spacing w:after="240"/>
        <w:ind w:leftChars="300" w:left="780" w:hangingChars="25" w:hanging="60"/>
        <w:rPr>
          <w:bCs/>
          <w:iCs/>
        </w:rPr>
      </w:pPr>
      <w:r w:rsidRPr="00DD1A20">
        <w:rPr>
          <w:bCs/>
          <w:iCs/>
        </w:rPr>
        <w:t>Where for Load Resources, other than Controllable Load Resources, during an ECRS deployment event:</w:t>
      </w:r>
    </w:p>
    <w:p w14:paraId="5EBC1701" w14:textId="77777777" w:rsidR="00745851" w:rsidRPr="00DD1A20" w:rsidRDefault="00745851" w:rsidP="00745851">
      <w:pPr>
        <w:spacing w:after="240"/>
        <w:ind w:leftChars="300" w:left="2880" w:hangingChars="900" w:hanging="2160"/>
      </w:pPr>
      <w:r w:rsidRPr="00DD1A20">
        <w:rPr>
          <w:bCs/>
          <w:iCs/>
        </w:rPr>
        <w:t>TELECRRC</w:t>
      </w:r>
      <w:r w:rsidRPr="00DD1A20">
        <w:rPr>
          <w:bCs/>
          <w:i/>
          <w:vertAlign w:val="subscript"/>
          <w:lang w:val="es-ES"/>
        </w:rPr>
        <w:t xml:space="preserve"> q, r  = </w:t>
      </w:r>
      <w:r w:rsidRPr="00DD1A20">
        <w:rPr>
          <w:bCs/>
          <w:iCs/>
          <w:lang w:val="es-ES"/>
        </w:rPr>
        <w:t>Min(</w:t>
      </w:r>
      <w:r>
        <w:rPr>
          <w:bCs/>
          <w:iCs/>
          <w:lang w:val="es-ES"/>
        </w:rPr>
        <w:t>Max(</w:t>
      </w:r>
      <w:r w:rsidRPr="00DD1A20">
        <w:rPr>
          <w:bCs/>
          <w:iCs/>
          <w:lang w:val="es-ES"/>
        </w:rPr>
        <w:t xml:space="preserve">NPF </w:t>
      </w:r>
      <w:r w:rsidRPr="00DD1A20">
        <w:rPr>
          <w:bCs/>
          <w:i/>
          <w:vertAlign w:val="subscript"/>
          <w:lang w:val="es-ES"/>
        </w:rPr>
        <w:t>q, r</w:t>
      </w:r>
      <w:r w:rsidRPr="00DD1A20">
        <w:rPr>
          <w:bCs/>
          <w:iCs/>
          <w:lang w:val="es-ES"/>
        </w:rPr>
        <w:t xml:space="preserve"> – LPC</w:t>
      </w:r>
      <w:r w:rsidRPr="00DD1A20">
        <w:rPr>
          <w:bCs/>
          <w:i/>
          <w:vertAlign w:val="subscript"/>
          <w:lang w:val="es-ES"/>
        </w:rPr>
        <w:t xml:space="preserve"> q, r</w:t>
      </w:r>
      <w:r>
        <w:rPr>
          <w:bCs/>
          <w:iCs/>
          <w:lang w:val="es-ES"/>
        </w:rPr>
        <w:t xml:space="preserve"> </w:t>
      </w:r>
      <w:r w:rsidRPr="00DD1A20">
        <w:rPr>
          <w:bCs/>
          <w:iCs/>
          <w:lang w:val="es-ES"/>
        </w:rPr>
        <w:t>–</w:t>
      </w:r>
      <w:r>
        <w:rPr>
          <w:bCs/>
          <w:iCs/>
          <w:lang w:val="es-ES"/>
        </w:rPr>
        <w:t xml:space="preserve"> </w:t>
      </w:r>
      <w:r w:rsidRPr="00DD1A20">
        <w:rPr>
          <w:bCs/>
          <w:iCs/>
          <w:lang w:val="es-ES"/>
        </w:rPr>
        <w:t xml:space="preserve">TELRRSR </w:t>
      </w:r>
      <w:r w:rsidRPr="00DD1A20">
        <w:rPr>
          <w:bCs/>
          <w:i/>
          <w:vertAlign w:val="subscript"/>
          <w:lang w:val="es-ES"/>
        </w:rPr>
        <w:t>q, r</w:t>
      </w:r>
      <w:r>
        <w:rPr>
          <w:bCs/>
          <w:iCs/>
          <w:lang w:val="es-ES"/>
        </w:rPr>
        <w:t>, 0)</w:t>
      </w:r>
      <w:r w:rsidRPr="00DD1A20">
        <w:rPr>
          <w:bCs/>
          <w:iCs/>
          <w:lang w:val="es-ES"/>
        </w:rPr>
        <w:t>, TELECRR</w:t>
      </w:r>
      <w:r w:rsidRPr="00DD1A20">
        <w:rPr>
          <w:bCs/>
          <w:i/>
          <w:vertAlign w:val="subscript"/>
          <w:lang w:val="es-ES"/>
        </w:rPr>
        <w:t xml:space="preserve"> q, r</w:t>
      </w:r>
      <w:r w:rsidRPr="00DD1A20">
        <w:rPr>
          <w:bCs/>
          <w:iCs/>
          <w:lang w:val="es-ES"/>
        </w:rPr>
        <w:t xml:space="preserve">) </w:t>
      </w:r>
      <w:r>
        <w:rPr>
          <w:bCs/>
          <w:iCs/>
          <w:lang w:val="es-ES"/>
        </w:rPr>
        <w:t xml:space="preserve">where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q, r</w:t>
      </w:r>
      <w:r w:rsidRPr="00DD1A20">
        <w:rPr>
          <w:bCs/>
          <w:iCs/>
          <w:lang w:val="es-ES"/>
        </w:rPr>
        <w:t xml:space="preserve"> </w:t>
      </w:r>
      <w:r>
        <w:rPr>
          <w:bCs/>
          <w:iCs/>
          <w:lang w:val="es-ES"/>
        </w:rPr>
        <w:t xml:space="preserve">are derived from respective </w:t>
      </w:r>
      <w:r w:rsidRPr="00DD1A20">
        <w:rPr>
          <w:bCs/>
          <w:iCs/>
          <w:lang w:val="es-ES"/>
        </w:rPr>
        <w:t>snapshot</w:t>
      </w:r>
      <w:r>
        <w:rPr>
          <w:bCs/>
          <w:iCs/>
          <w:lang w:val="es-ES"/>
        </w:rPr>
        <w:t>s</w:t>
      </w:r>
      <w:r w:rsidRPr="00DD1A20">
        <w:rPr>
          <w:bCs/>
          <w:iCs/>
          <w:lang w:val="es-ES"/>
        </w:rPr>
        <w:t xml:space="preserve"> </w:t>
      </w:r>
      <w:r>
        <w:rPr>
          <w:bCs/>
          <w:iCs/>
          <w:lang w:val="es-ES"/>
        </w:rPr>
        <w:t>taken immediately prior to the</w:t>
      </w:r>
      <w:r w:rsidRPr="00DD1A20">
        <w:rPr>
          <w:bCs/>
          <w:iCs/>
          <w:lang w:val="es-ES"/>
        </w:rPr>
        <w:t xml:space="preserve"> time of deployment </w:t>
      </w:r>
      <w:r>
        <w:rPr>
          <w:bCs/>
          <w:iCs/>
          <w:lang w:val="es-ES"/>
        </w:rPr>
        <w:t xml:space="preserve">which will be used </w:t>
      </w:r>
      <w:r>
        <w:rPr>
          <w:bCs/>
          <w:iCs/>
          <w:lang w:val="es-ES"/>
        </w:rPr>
        <w:lastRenderedPageBreak/>
        <w:t>from deployment</w:t>
      </w:r>
      <w:r w:rsidRPr="00DD1A20">
        <w:rPr>
          <w:bCs/>
          <w:iCs/>
          <w:lang w:val="es-ES"/>
        </w:rPr>
        <w:t xml:space="preserve"> until 180 minutes after recall or if</w:t>
      </w:r>
      <w:r w:rsidRPr="00DD1A20">
        <w:t xml:space="preserve"> the time between a recall of Load Resources and a redeployment is less than 180 minutes, the snapshot to be used </w:t>
      </w:r>
      <w:r>
        <w:t xml:space="preserve">for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q, r</w:t>
      </w:r>
      <w:r>
        <w:rPr>
          <w:bCs/>
          <w:iCs/>
          <w:lang w:val="es-ES"/>
        </w:rPr>
        <w:t xml:space="preserve"> </w:t>
      </w:r>
      <w:r w:rsidRPr="00DD1A20">
        <w:t>will be the time of the first deployment</w:t>
      </w:r>
    </w:p>
    <w:p w14:paraId="70CB5BB9" w14:textId="77777777" w:rsidR="00745851" w:rsidRPr="00DD1A20" w:rsidRDefault="00745851" w:rsidP="00745851">
      <w:pPr>
        <w:spacing w:after="240"/>
        <w:ind w:leftChars="300" w:left="780" w:hangingChars="25" w:hanging="60"/>
        <w:rPr>
          <w:bCs/>
          <w:iCs/>
        </w:rPr>
      </w:pPr>
      <w:r w:rsidRPr="00DD1A20">
        <w:rPr>
          <w:bCs/>
          <w:iCs/>
        </w:rPr>
        <w:t>Where for Load Resources, other than Controllable Load Resources, prior to an ECRS deployment event:</w:t>
      </w:r>
    </w:p>
    <w:p w14:paraId="448ACAA8" w14:textId="77777777" w:rsidR="00745851" w:rsidRPr="00DD1A20" w:rsidRDefault="00745851" w:rsidP="00745851">
      <w:pPr>
        <w:spacing w:after="240"/>
        <w:ind w:leftChars="300" w:left="2880" w:hangingChars="900" w:hanging="2160"/>
        <w:rPr>
          <w:bCs/>
          <w:iCs/>
          <w:lang w:val="fr-FR"/>
        </w:rPr>
      </w:pPr>
      <w:r w:rsidRPr="00DD1A20">
        <w:rPr>
          <w:bCs/>
          <w:iCs/>
        </w:rPr>
        <w:t>TELECRRC</w:t>
      </w:r>
      <w:r w:rsidRPr="00DD1A20">
        <w:rPr>
          <w:bCs/>
          <w:i/>
          <w:vertAlign w:val="subscript"/>
          <w:lang w:val="es-ES"/>
        </w:rPr>
        <w:t xml:space="preserve"> q, r  = </w:t>
      </w:r>
      <w:r w:rsidRPr="00DD1A20">
        <w:rPr>
          <w:bCs/>
          <w:iCs/>
          <w:lang w:val="es-ES"/>
        </w:rPr>
        <w:t>Min(</w:t>
      </w:r>
      <w:r>
        <w:rPr>
          <w:bCs/>
          <w:iCs/>
          <w:lang w:val="es-ES"/>
        </w:rPr>
        <w:t>Max(</w:t>
      </w:r>
      <w:r w:rsidRPr="00DD1A20">
        <w:rPr>
          <w:bCs/>
          <w:iCs/>
          <w:lang w:val="es-ES"/>
        </w:rPr>
        <w:t>NPF</w:t>
      </w:r>
      <w:r w:rsidRPr="00DD1A20">
        <w:rPr>
          <w:bCs/>
          <w:i/>
          <w:vertAlign w:val="subscript"/>
          <w:lang w:val="es-ES"/>
        </w:rPr>
        <w:t xml:space="preserve"> q,</w:t>
      </w:r>
      <w:r>
        <w:rPr>
          <w:bCs/>
          <w:i/>
          <w:vertAlign w:val="subscript"/>
          <w:lang w:val="es-ES"/>
        </w:rPr>
        <w:t xml:space="preserve"> </w:t>
      </w:r>
      <w:r w:rsidRPr="00DD1A20">
        <w:rPr>
          <w:bCs/>
          <w:i/>
          <w:vertAlign w:val="subscript"/>
          <w:lang w:val="es-ES"/>
        </w:rPr>
        <w:t>r</w:t>
      </w:r>
      <w:r w:rsidRPr="00DD1A20">
        <w:rPr>
          <w:bCs/>
          <w:iCs/>
          <w:lang w:val="es-ES"/>
        </w:rPr>
        <w:t xml:space="preserve"> – LPC</w:t>
      </w:r>
      <w:r w:rsidRPr="00DD1A20">
        <w:rPr>
          <w:bCs/>
          <w:i/>
          <w:vertAlign w:val="subscript"/>
          <w:lang w:val="es-ES"/>
        </w:rPr>
        <w:t xml:space="preserve"> q, r</w:t>
      </w:r>
      <w:r>
        <w:rPr>
          <w:bCs/>
          <w:iCs/>
          <w:lang w:val="es-ES"/>
        </w:rPr>
        <w:t xml:space="preserve"> </w:t>
      </w:r>
      <w:r w:rsidRPr="00DD1A20">
        <w:rPr>
          <w:bCs/>
          <w:iCs/>
          <w:lang w:val="es-ES"/>
        </w:rPr>
        <w:t>–</w:t>
      </w:r>
      <w:r>
        <w:rPr>
          <w:bCs/>
          <w:iCs/>
          <w:lang w:val="es-ES"/>
        </w:rPr>
        <w:t xml:space="preserve"> </w:t>
      </w:r>
      <w:r w:rsidRPr="00DD1A20">
        <w:rPr>
          <w:bCs/>
          <w:iCs/>
          <w:lang w:val="es-ES"/>
        </w:rPr>
        <w:t xml:space="preserve">TELRRSR </w:t>
      </w:r>
      <w:r w:rsidRPr="00DD1A20">
        <w:rPr>
          <w:bCs/>
          <w:i/>
          <w:vertAlign w:val="subscript"/>
          <w:lang w:val="es-ES"/>
        </w:rPr>
        <w:t>q, r</w:t>
      </w:r>
      <w:r>
        <w:rPr>
          <w:bCs/>
          <w:iCs/>
          <w:lang w:val="es-ES"/>
        </w:rPr>
        <w:t>, 0)</w:t>
      </w:r>
      <w:r w:rsidRPr="00DD1A20">
        <w:rPr>
          <w:bCs/>
          <w:iCs/>
          <w:lang w:val="es-ES"/>
        </w:rPr>
        <w:t>, TELECRR</w:t>
      </w:r>
      <w:r w:rsidRPr="00DD1A20">
        <w:rPr>
          <w:bCs/>
          <w:i/>
          <w:vertAlign w:val="subscript"/>
          <w:lang w:val="es-ES"/>
        </w:rPr>
        <w:t xml:space="preserve"> q, r</w:t>
      </w:r>
      <w:r w:rsidRPr="00DD1A20">
        <w:rPr>
          <w:bCs/>
          <w:iCs/>
          <w:lang w:val="es-ES"/>
        </w:rPr>
        <w:t xml:space="preserve">) </w:t>
      </w:r>
    </w:p>
    <w:p w14:paraId="1B8D7204" w14:textId="77777777" w:rsidR="00745851" w:rsidRPr="00DD1A20" w:rsidRDefault="00745851" w:rsidP="00745851">
      <w:pPr>
        <w:spacing w:after="240"/>
        <w:ind w:leftChars="300" w:left="2880" w:hangingChars="900" w:hanging="2160"/>
        <w:rPr>
          <w:bCs/>
          <w:lang w:val="fr-FR"/>
        </w:rPr>
      </w:pPr>
      <w:r w:rsidRPr="00DD1A20">
        <w:rPr>
          <w:bCs/>
          <w:lang w:val="fr-FR"/>
        </w:rPr>
        <w:t xml:space="preserve">SAECRQ </w:t>
      </w:r>
      <w:r w:rsidRPr="00DD1A20">
        <w:rPr>
          <w:bCs/>
          <w:i/>
          <w:vertAlign w:val="subscript"/>
          <w:lang w:val="fr-FR"/>
        </w:rPr>
        <w:t xml:space="preserve">q </w:t>
      </w:r>
      <w:r w:rsidRPr="00DD1A20">
        <w:rPr>
          <w:bCs/>
          <w:lang w:val="fr-FR"/>
        </w:rPr>
        <w:t xml:space="preserve">= DASAECRQ </w:t>
      </w:r>
      <w:r w:rsidRPr="00DD1A20">
        <w:rPr>
          <w:bCs/>
          <w:i/>
          <w:vertAlign w:val="subscript"/>
          <w:lang w:val="fr-FR"/>
        </w:rPr>
        <w:t>q</w:t>
      </w:r>
      <w:r w:rsidRPr="00DD1A20">
        <w:rPr>
          <w:bCs/>
          <w:lang w:val="fr-FR"/>
        </w:rPr>
        <w:t xml:space="preserve"> + RTSAECRQ </w:t>
      </w:r>
      <w:r w:rsidRPr="00DD1A20">
        <w:rPr>
          <w:bCs/>
          <w:i/>
          <w:vertAlign w:val="subscript"/>
          <w:lang w:val="fr-FR"/>
        </w:rPr>
        <w:t>q</w:t>
      </w:r>
    </w:p>
    <w:p w14:paraId="1C5BB4E9" w14:textId="77777777" w:rsidR="00745851" w:rsidRPr="00DD1A20" w:rsidRDefault="00745851" w:rsidP="00745851">
      <w:r w:rsidRPr="00DD1A20">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5"/>
        <w:gridCol w:w="853"/>
        <w:gridCol w:w="6392"/>
      </w:tblGrid>
      <w:tr w:rsidR="00745851" w:rsidRPr="00DD1A20" w14:paraId="1F97B20B" w14:textId="77777777" w:rsidTr="00507A85">
        <w:tc>
          <w:tcPr>
            <w:tcW w:w="1126" w:type="pct"/>
          </w:tcPr>
          <w:p w14:paraId="0537FDA1" w14:textId="77777777" w:rsidR="00745851" w:rsidRPr="00DD1A20" w:rsidRDefault="00745851" w:rsidP="00507A85">
            <w:pPr>
              <w:spacing w:after="240"/>
              <w:rPr>
                <w:b/>
                <w:iCs/>
                <w:sz w:val="20"/>
              </w:rPr>
            </w:pPr>
            <w:r w:rsidRPr="00DD1A20">
              <w:rPr>
                <w:b/>
                <w:iCs/>
                <w:sz w:val="20"/>
              </w:rPr>
              <w:t>Variable</w:t>
            </w:r>
          </w:p>
        </w:tc>
        <w:tc>
          <w:tcPr>
            <w:tcW w:w="456" w:type="pct"/>
          </w:tcPr>
          <w:p w14:paraId="5009B8B1" w14:textId="77777777" w:rsidR="00745851" w:rsidRPr="00DD1A20" w:rsidRDefault="00745851" w:rsidP="00507A85">
            <w:pPr>
              <w:spacing w:after="240"/>
              <w:rPr>
                <w:b/>
                <w:iCs/>
                <w:sz w:val="20"/>
              </w:rPr>
            </w:pPr>
            <w:r w:rsidRPr="00DD1A20">
              <w:rPr>
                <w:b/>
                <w:iCs/>
                <w:sz w:val="20"/>
              </w:rPr>
              <w:t>Unit</w:t>
            </w:r>
          </w:p>
        </w:tc>
        <w:tc>
          <w:tcPr>
            <w:tcW w:w="3418" w:type="pct"/>
          </w:tcPr>
          <w:p w14:paraId="1FFF48C7" w14:textId="77777777" w:rsidR="00745851" w:rsidRPr="00DD1A20" w:rsidRDefault="00745851" w:rsidP="00507A85">
            <w:pPr>
              <w:spacing w:after="240"/>
              <w:rPr>
                <w:b/>
                <w:iCs/>
                <w:sz w:val="20"/>
              </w:rPr>
            </w:pPr>
            <w:r w:rsidRPr="00DD1A20">
              <w:rPr>
                <w:b/>
                <w:iCs/>
                <w:sz w:val="20"/>
              </w:rPr>
              <w:t>Description</w:t>
            </w:r>
          </w:p>
        </w:tc>
      </w:tr>
      <w:tr w:rsidR="00745851" w:rsidRPr="00DD1A20" w14:paraId="7F03638F" w14:textId="77777777" w:rsidTr="00507A85">
        <w:tc>
          <w:tcPr>
            <w:tcW w:w="1126" w:type="pct"/>
          </w:tcPr>
          <w:p w14:paraId="199608DF" w14:textId="77777777" w:rsidR="00745851" w:rsidRPr="00DD1A20" w:rsidRDefault="00745851" w:rsidP="00507A85">
            <w:pPr>
              <w:spacing w:after="60"/>
              <w:rPr>
                <w:iCs/>
                <w:sz w:val="20"/>
              </w:rPr>
            </w:pPr>
            <w:r w:rsidRPr="00DD1A20">
              <w:rPr>
                <w:iCs/>
                <w:sz w:val="20"/>
              </w:rPr>
              <w:t>ECRFQAMTQSETOT</w:t>
            </w:r>
            <w:r w:rsidRPr="00DD1A20">
              <w:rPr>
                <w:i/>
                <w:iCs/>
                <w:sz w:val="20"/>
              </w:rPr>
              <w:t xml:space="preserve"> </w:t>
            </w:r>
            <w:r w:rsidRPr="00DD1A20">
              <w:rPr>
                <w:i/>
                <w:iCs/>
                <w:sz w:val="20"/>
                <w:vertAlign w:val="subscript"/>
              </w:rPr>
              <w:t>q</w:t>
            </w:r>
          </w:p>
        </w:tc>
        <w:tc>
          <w:tcPr>
            <w:tcW w:w="456" w:type="pct"/>
          </w:tcPr>
          <w:p w14:paraId="2BDF0152" w14:textId="77777777" w:rsidR="00745851" w:rsidRPr="00DD1A20" w:rsidRDefault="00745851" w:rsidP="00507A85">
            <w:pPr>
              <w:spacing w:after="60"/>
              <w:rPr>
                <w:iCs/>
                <w:sz w:val="20"/>
              </w:rPr>
            </w:pPr>
            <w:r w:rsidRPr="00DD1A20">
              <w:rPr>
                <w:iCs/>
                <w:sz w:val="20"/>
              </w:rPr>
              <w:t>$</w:t>
            </w:r>
          </w:p>
        </w:tc>
        <w:tc>
          <w:tcPr>
            <w:tcW w:w="3418" w:type="pct"/>
          </w:tcPr>
          <w:p w14:paraId="25426402" w14:textId="77777777" w:rsidR="00745851" w:rsidRPr="00DD1A20" w:rsidRDefault="00745851" w:rsidP="00507A85">
            <w:pPr>
              <w:spacing w:after="60"/>
              <w:rPr>
                <w:i/>
                <w:iCs/>
                <w:sz w:val="20"/>
              </w:rPr>
            </w:pPr>
            <w:r w:rsidRPr="00DD1A20">
              <w:rPr>
                <w:i/>
                <w:iCs/>
                <w:sz w:val="20"/>
              </w:rPr>
              <w:t>ERCOT Contingency Reserve Service Failure Quantity Amount per QSE</w:t>
            </w:r>
            <w:r w:rsidRPr="00DD1A20">
              <w:rPr>
                <w:iCs/>
                <w:sz w:val="20"/>
              </w:rPr>
              <w:t xml:space="preserve">—The total charge to QSE </w:t>
            </w:r>
            <w:r w:rsidRPr="00DD1A20">
              <w:rPr>
                <w:i/>
                <w:iCs/>
                <w:sz w:val="20"/>
              </w:rPr>
              <w:t>q</w:t>
            </w:r>
            <w:r w:rsidRPr="00DD1A20">
              <w:rPr>
                <w:iCs/>
                <w:sz w:val="20"/>
              </w:rPr>
              <w:t xml:space="preserve"> for its total capacity associated with failures and </w:t>
            </w:r>
            <w:r w:rsidRPr="00DD1A20">
              <w:rPr>
                <w:sz w:val="20"/>
              </w:rPr>
              <w:t xml:space="preserve">reconfiguration reductions </w:t>
            </w:r>
            <w:r w:rsidRPr="00DD1A20">
              <w:rPr>
                <w:iCs/>
                <w:sz w:val="20"/>
              </w:rPr>
              <w:t>on its Ancillary Service Supply Responsibility for ECRS, for the hour.</w:t>
            </w:r>
          </w:p>
        </w:tc>
      </w:tr>
      <w:tr w:rsidR="00745851" w:rsidRPr="00DD1A20" w14:paraId="667FD9AF" w14:textId="77777777" w:rsidTr="00507A85">
        <w:tc>
          <w:tcPr>
            <w:tcW w:w="1126" w:type="pct"/>
          </w:tcPr>
          <w:p w14:paraId="400F660D" w14:textId="77777777" w:rsidR="00745851" w:rsidRPr="00DD1A20" w:rsidRDefault="00745851" w:rsidP="00507A85">
            <w:pPr>
              <w:spacing w:after="60"/>
              <w:rPr>
                <w:iCs/>
                <w:sz w:val="20"/>
              </w:rPr>
            </w:pPr>
            <w:r w:rsidRPr="00DD1A20">
              <w:rPr>
                <w:iCs/>
                <w:sz w:val="20"/>
              </w:rPr>
              <w:t>RECRFQAMT</w:t>
            </w:r>
            <w:r w:rsidRPr="00DD1A20">
              <w:rPr>
                <w:i/>
                <w:iCs/>
                <w:sz w:val="20"/>
              </w:rPr>
              <w:t xml:space="preserve"> </w:t>
            </w:r>
            <w:r w:rsidRPr="00DD1A20">
              <w:rPr>
                <w:i/>
                <w:iCs/>
                <w:sz w:val="20"/>
                <w:vertAlign w:val="subscript"/>
              </w:rPr>
              <w:t>q</w:t>
            </w:r>
          </w:p>
        </w:tc>
        <w:tc>
          <w:tcPr>
            <w:tcW w:w="456" w:type="pct"/>
          </w:tcPr>
          <w:p w14:paraId="29CAD95D" w14:textId="77777777" w:rsidR="00745851" w:rsidRPr="00DD1A20" w:rsidRDefault="00745851" w:rsidP="00507A85">
            <w:pPr>
              <w:spacing w:after="60"/>
              <w:rPr>
                <w:iCs/>
                <w:sz w:val="20"/>
              </w:rPr>
            </w:pPr>
            <w:r w:rsidRPr="00DD1A20">
              <w:rPr>
                <w:iCs/>
                <w:sz w:val="20"/>
              </w:rPr>
              <w:t>$</w:t>
            </w:r>
          </w:p>
        </w:tc>
        <w:tc>
          <w:tcPr>
            <w:tcW w:w="3418" w:type="pct"/>
          </w:tcPr>
          <w:p w14:paraId="66019A0D" w14:textId="77777777" w:rsidR="00745851" w:rsidRPr="00DD1A20" w:rsidRDefault="00745851" w:rsidP="00507A85">
            <w:pPr>
              <w:spacing w:after="60"/>
              <w:rPr>
                <w:i/>
                <w:iCs/>
                <w:sz w:val="20"/>
              </w:rPr>
            </w:pPr>
            <w:r w:rsidRPr="00DD1A20">
              <w:rPr>
                <w:i/>
                <w:sz w:val="20"/>
              </w:rPr>
              <w:t xml:space="preserve">Reconfiguration </w:t>
            </w:r>
            <w:r w:rsidRPr="00DD1A20">
              <w:rPr>
                <w:i/>
                <w:iCs/>
                <w:sz w:val="20"/>
              </w:rPr>
              <w:t>ERCOT Contingency Reserve Service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w:t>
            </w:r>
            <w:r w:rsidRPr="00DD1A20">
              <w:rPr>
                <w:sz w:val="20"/>
              </w:rPr>
              <w:t xml:space="preserve">reconfiguration reductions </w:t>
            </w:r>
            <w:r w:rsidRPr="00DD1A20">
              <w:rPr>
                <w:iCs/>
                <w:sz w:val="20"/>
              </w:rPr>
              <w:t>on its Ancillary Service Supply Responsibility for ECRS, for the hour.</w:t>
            </w:r>
          </w:p>
        </w:tc>
      </w:tr>
      <w:tr w:rsidR="00745851" w:rsidRPr="00DD1A20" w14:paraId="2DBB5DD7" w14:textId="77777777" w:rsidTr="00507A85">
        <w:tc>
          <w:tcPr>
            <w:tcW w:w="1126" w:type="pct"/>
          </w:tcPr>
          <w:p w14:paraId="51CEFD2B" w14:textId="77777777" w:rsidR="00745851" w:rsidRPr="00DD1A20" w:rsidRDefault="00745851" w:rsidP="00507A85">
            <w:pPr>
              <w:spacing w:after="60"/>
              <w:rPr>
                <w:iCs/>
                <w:sz w:val="20"/>
              </w:rPr>
            </w:pPr>
            <w:r w:rsidRPr="00DD1A20">
              <w:rPr>
                <w:iCs/>
                <w:sz w:val="20"/>
              </w:rPr>
              <w:t>ECRFQAMT</w:t>
            </w:r>
            <w:r w:rsidRPr="00DD1A20">
              <w:rPr>
                <w:i/>
                <w:iCs/>
                <w:sz w:val="20"/>
              </w:rPr>
              <w:t xml:space="preserve"> </w:t>
            </w:r>
            <w:r w:rsidRPr="00DD1A20">
              <w:rPr>
                <w:i/>
                <w:iCs/>
                <w:sz w:val="20"/>
                <w:vertAlign w:val="subscript"/>
              </w:rPr>
              <w:t>q</w:t>
            </w:r>
          </w:p>
        </w:tc>
        <w:tc>
          <w:tcPr>
            <w:tcW w:w="456" w:type="pct"/>
          </w:tcPr>
          <w:p w14:paraId="0CD3385C" w14:textId="77777777" w:rsidR="00745851" w:rsidRPr="00DD1A20" w:rsidRDefault="00745851" w:rsidP="00507A85">
            <w:pPr>
              <w:spacing w:after="60"/>
              <w:rPr>
                <w:iCs/>
                <w:sz w:val="20"/>
              </w:rPr>
            </w:pPr>
            <w:r w:rsidRPr="00DD1A20">
              <w:rPr>
                <w:iCs/>
                <w:sz w:val="20"/>
              </w:rPr>
              <w:t>$</w:t>
            </w:r>
          </w:p>
        </w:tc>
        <w:tc>
          <w:tcPr>
            <w:tcW w:w="3418" w:type="pct"/>
          </w:tcPr>
          <w:p w14:paraId="1E25DDD1" w14:textId="77777777" w:rsidR="00745851" w:rsidRPr="00DD1A20" w:rsidRDefault="00745851" w:rsidP="00507A85">
            <w:pPr>
              <w:spacing w:after="60"/>
              <w:rPr>
                <w:iCs/>
                <w:sz w:val="20"/>
              </w:rPr>
            </w:pPr>
            <w:r w:rsidRPr="00DD1A20">
              <w:rPr>
                <w:i/>
                <w:iCs/>
                <w:sz w:val="20"/>
              </w:rPr>
              <w:t>ERCOT Contingency Reserve Service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failures on its Ancillary Service Supply Responsibility for ECRS, for the hour.</w:t>
            </w:r>
          </w:p>
        </w:tc>
      </w:tr>
      <w:tr w:rsidR="00745851" w:rsidRPr="00DD1A20" w14:paraId="50980FCD" w14:textId="77777777" w:rsidTr="00507A85">
        <w:tc>
          <w:tcPr>
            <w:tcW w:w="1126" w:type="pct"/>
          </w:tcPr>
          <w:p w14:paraId="080BBC74" w14:textId="77777777" w:rsidR="00745851" w:rsidRPr="00DD1A20" w:rsidRDefault="00745851" w:rsidP="00507A85">
            <w:pPr>
              <w:spacing w:after="60"/>
              <w:rPr>
                <w:iCs/>
                <w:sz w:val="20"/>
              </w:rPr>
            </w:pPr>
            <w:r w:rsidRPr="00DD1A20">
              <w:rPr>
                <w:iCs/>
                <w:sz w:val="20"/>
              </w:rPr>
              <w:t xml:space="preserve">RTRDP </w:t>
            </w:r>
            <w:r w:rsidRPr="00DD1A20">
              <w:rPr>
                <w:i/>
                <w:iCs/>
                <w:sz w:val="20"/>
                <w:vertAlign w:val="subscript"/>
              </w:rPr>
              <w:t>i</w:t>
            </w:r>
          </w:p>
        </w:tc>
        <w:tc>
          <w:tcPr>
            <w:tcW w:w="456" w:type="pct"/>
          </w:tcPr>
          <w:p w14:paraId="45495C39" w14:textId="77777777" w:rsidR="00745851" w:rsidRPr="00DD1A20" w:rsidRDefault="00745851" w:rsidP="00507A85">
            <w:pPr>
              <w:spacing w:after="60"/>
              <w:rPr>
                <w:sz w:val="20"/>
              </w:rPr>
            </w:pPr>
            <w:r w:rsidRPr="00DD1A20">
              <w:rPr>
                <w:iCs/>
                <w:sz w:val="20"/>
              </w:rPr>
              <w:t>$/MWh</w:t>
            </w:r>
          </w:p>
        </w:tc>
        <w:tc>
          <w:tcPr>
            <w:tcW w:w="3418" w:type="pct"/>
          </w:tcPr>
          <w:p w14:paraId="2A63C562" w14:textId="77777777" w:rsidR="00745851" w:rsidRPr="00DD1A20" w:rsidRDefault="00745851" w:rsidP="00507A85">
            <w:pPr>
              <w:spacing w:after="60"/>
              <w:rPr>
                <w:i/>
                <w:sz w:val="20"/>
              </w:rPr>
            </w:pPr>
            <w:r w:rsidRPr="00DD1A20">
              <w:rPr>
                <w:i/>
                <w:sz w:val="20"/>
              </w:rPr>
              <w:t>Real-Time On-Line Reliability Deployment Price</w:t>
            </w:r>
            <w:r w:rsidRPr="00DD1A20">
              <w:rPr>
                <w:i/>
                <w:iCs/>
                <w:sz w:val="20"/>
              </w:rPr>
              <w:t>—</w:t>
            </w:r>
            <w:r w:rsidRPr="00DD1A20">
              <w:rPr>
                <w:sz w:val="20"/>
              </w:rPr>
              <w:t>The Real-Time price for the 15-minute Settlement Interval</w:t>
            </w:r>
            <w:r w:rsidRPr="00DD1A20">
              <w:rPr>
                <w:iCs/>
                <w:sz w:val="20"/>
              </w:rPr>
              <w:t xml:space="preserve"> </w:t>
            </w:r>
            <w:r w:rsidRPr="00DD1A20">
              <w:rPr>
                <w:i/>
                <w:iCs/>
                <w:sz w:val="20"/>
              </w:rPr>
              <w:t>i</w:t>
            </w:r>
            <w:r w:rsidRPr="00DD1A20">
              <w:rPr>
                <w:sz w:val="20"/>
              </w:rPr>
              <w:t>, reflecting the impact of reliability deployments on energy prices that is calculated from the Real-</w:t>
            </w:r>
            <w:r>
              <w:rPr>
                <w:sz w:val="20"/>
              </w:rPr>
              <w:t>T</w:t>
            </w:r>
            <w:r w:rsidRPr="00DD1A20">
              <w:rPr>
                <w:sz w:val="20"/>
              </w:rPr>
              <w:t>ime On-Line Reliability Deployment Price Adder.</w:t>
            </w:r>
          </w:p>
        </w:tc>
      </w:tr>
      <w:tr w:rsidR="00745851" w:rsidRPr="00DD1A20" w14:paraId="26A8330E" w14:textId="77777777" w:rsidTr="00507A85">
        <w:tc>
          <w:tcPr>
            <w:tcW w:w="1126" w:type="pct"/>
          </w:tcPr>
          <w:p w14:paraId="74A30516" w14:textId="77777777" w:rsidR="00745851" w:rsidRPr="00DD1A20" w:rsidRDefault="00745851" w:rsidP="00507A85">
            <w:pPr>
              <w:spacing w:after="60"/>
              <w:rPr>
                <w:iCs/>
                <w:sz w:val="20"/>
              </w:rPr>
            </w:pPr>
            <w:r w:rsidRPr="00DD1A20">
              <w:rPr>
                <w:iCs/>
                <w:sz w:val="20"/>
              </w:rPr>
              <w:t xml:space="preserve">RTRSVPOR </w:t>
            </w:r>
            <w:r w:rsidRPr="00DD1A20">
              <w:rPr>
                <w:i/>
                <w:iCs/>
                <w:sz w:val="20"/>
                <w:vertAlign w:val="subscript"/>
              </w:rPr>
              <w:t>i</w:t>
            </w:r>
          </w:p>
        </w:tc>
        <w:tc>
          <w:tcPr>
            <w:tcW w:w="456" w:type="pct"/>
          </w:tcPr>
          <w:p w14:paraId="2D070020" w14:textId="77777777" w:rsidR="00745851" w:rsidRPr="00DD1A20" w:rsidRDefault="00745851" w:rsidP="00507A85">
            <w:pPr>
              <w:spacing w:after="60"/>
              <w:rPr>
                <w:sz w:val="20"/>
              </w:rPr>
            </w:pPr>
            <w:r w:rsidRPr="00DD1A20">
              <w:rPr>
                <w:iCs/>
                <w:sz w:val="20"/>
              </w:rPr>
              <w:t>$/MWh</w:t>
            </w:r>
          </w:p>
        </w:tc>
        <w:tc>
          <w:tcPr>
            <w:tcW w:w="3418" w:type="pct"/>
          </w:tcPr>
          <w:tbl>
            <w:tblPr>
              <w:tblW w:w="0" w:type="auto"/>
              <w:tblBorders>
                <w:top w:val="nil"/>
                <w:left w:val="nil"/>
                <w:bottom w:val="nil"/>
                <w:right w:val="nil"/>
              </w:tblBorders>
              <w:tblLook w:val="0000" w:firstRow="0" w:lastRow="0" w:firstColumn="0" w:lastColumn="0" w:noHBand="0" w:noVBand="0"/>
            </w:tblPr>
            <w:tblGrid>
              <w:gridCol w:w="6176"/>
            </w:tblGrid>
            <w:tr w:rsidR="00745851" w:rsidRPr="00DD1A20" w14:paraId="1090C56E" w14:textId="77777777" w:rsidTr="00507A85">
              <w:trPr>
                <w:trHeight w:val="363"/>
              </w:trPr>
              <w:tc>
                <w:tcPr>
                  <w:tcW w:w="0" w:type="auto"/>
                </w:tcPr>
                <w:p w14:paraId="009C8B18" w14:textId="77777777" w:rsidR="00745851" w:rsidRPr="00DD1A20" w:rsidRDefault="00745851" w:rsidP="00507A85">
                  <w:pPr>
                    <w:autoSpaceDE w:val="0"/>
                    <w:autoSpaceDN w:val="0"/>
                    <w:adjustRightInd w:val="0"/>
                    <w:ind w:left="-58"/>
                    <w:rPr>
                      <w:color w:val="000000"/>
                      <w:sz w:val="20"/>
                    </w:rPr>
                  </w:pPr>
                  <w:r w:rsidRPr="00DD1A20">
                    <w:rPr>
                      <w:i/>
                      <w:iCs/>
                      <w:color w:val="000000"/>
                      <w:sz w:val="20"/>
                    </w:rPr>
                    <w:t>Real-Time Reserve Price for On-Line Reserves—</w:t>
                  </w:r>
                  <w:r w:rsidRPr="00DD1A20">
                    <w:rPr>
                      <w:color w:val="000000"/>
                      <w:sz w:val="20"/>
                    </w:rPr>
                    <w:t>The Real-Time Reserve Price for On-Line Reserves for the 15-minute Settlement Interval</w:t>
                  </w:r>
                  <w:r w:rsidRPr="00DD1A20">
                    <w:rPr>
                      <w:iCs/>
                      <w:color w:val="000000"/>
                      <w:sz w:val="20"/>
                    </w:rPr>
                    <w:t xml:space="preserve"> </w:t>
                  </w:r>
                  <w:r w:rsidRPr="00DD1A20">
                    <w:rPr>
                      <w:i/>
                      <w:iCs/>
                      <w:color w:val="000000"/>
                      <w:sz w:val="20"/>
                    </w:rPr>
                    <w:t>i</w:t>
                  </w:r>
                  <w:r w:rsidRPr="00DD1A20">
                    <w:rPr>
                      <w:color w:val="000000"/>
                      <w:sz w:val="20"/>
                    </w:rPr>
                    <w:t xml:space="preserve">. </w:t>
                  </w:r>
                </w:p>
              </w:tc>
            </w:tr>
          </w:tbl>
          <w:p w14:paraId="1CF2B8CC" w14:textId="77777777" w:rsidR="00745851" w:rsidRPr="00DD1A20" w:rsidRDefault="00745851" w:rsidP="00507A85">
            <w:pPr>
              <w:spacing w:after="60"/>
              <w:rPr>
                <w:i/>
                <w:sz w:val="20"/>
              </w:rPr>
            </w:pPr>
          </w:p>
        </w:tc>
      </w:tr>
      <w:tr w:rsidR="00745851" w:rsidRPr="00DD1A20" w14:paraId="4C3CD76A" w14:textId="77777777" w:rsidTr="00507A85">
        <w:tc>
          <w:tcPr>
            <w:tcW w:w="1126" w:type="pct"/>
          </w:tcPr>
          <w:p w14:paraId="1DBB601D" w14:textId="77777777" w:rsidR="00745851" w:rsidRPr="00DD1A20" w:rsidRDefault="00745851" w:rsidP="00507A85">
            <w:pPr>
              <w:spacing w:after="60"/>
              <w:rPr>
                <w:iCs/>
                <w:sz w:val="20"/>
              </w:rPr>
            </w:pPr>
            <w:r w:rsidRPr="00DD1A20">
              <w:rPr>
                <w:sz w:val="20"/>
              </w:rPr>
              <w:t>AVGRTASIP</w:t>
            </w:r>
          </w:p>
        </w:tc>
        <w:tc>
          <w:tcPr>
            <w:tcW w:w="456" w:type="pct"/>
          </w:tcPr>
          <w:p w14:paraId="38630753" w14:textId="77777777" w:rsidR="00745851" w:rsidRPr="00DD1A20" w:rsidRDefault="00745851" w:rsidP="00507A85">
            <w:pPr>
              <w:spacing w:after="60"/>
              <w:rPr>
                <w:sz w:val="20"/>
              </w:rPr>
            </w:pPr>
            <w:r w:rsidRPr="00DD1A20">
              <w:rPr>
                <w:sz w:val="20"/>
              </w:rPr>
              <w:t>$/MW per hour</w:t>
            </w:r>
          </w:p>
        </w:tc>
        <w:tc>
          <w:tcPr>
            <w:tcW w:w="3418" w:type="pct"/>
          </w:tcPr>
          <w:p w14:paraId="4A1CC19F" w14:textId="77777777" w:rsidR="00745851" w:rsidRPr="00DD1A20" w:rsidRDefault="00745851" w:rsidP="00507A85">
            <w:pPr>
              <w:spacing w:after="60"/>
              <w:rPr>
                <w:i/>
                <w:sz w:val="20"/>
              </w:rPr>
            </w:pPr>
            <w:r w:rsidRPr="00DD1A20">
              <w:rPr>
                <w:i/>
                <w:sz w:val="20"/>
              </w:rPr>
              <w:t xml:space="preserve">Average Real-Time </w:t>
            </w:r>
            <w:r w:rsidRPr="00DD1A20">
              <w:rPr>
                <w:i/>
                <w:iCs/>
                <w:sz w:val="20"/>
              </w:rPr>
              <w:t xml:space="preserve">Ancillary Service Imbalance </w:t>
            </w:r>
            <w:r w:rsidRPr="00DD1A20">
              <w:rPr>
                <w:i/>
                <w:sz w:val="20"/>
              </w:rPr>
              <w:t>Price</w:t>
            </w:r>
            <w:r w:rsidRPr="00DD1A20">
              <w:t>—</w:t>
            </w:r>
            <w:r w:rsidRPr="00DD1A20">
              <w:rPr>
                <w:sz w:val="20"/>
              </w:rPr>
              <w:t>The average of the sum of the Real-Time On-Line Reliability Deployment Price and the Real-Time Reserve Price for On-Line Reserves used in the calculation of Real</w:t>
            </w:r>
            <w:r>
              <w:rPr>
                <w:sz w:val="20"/>
              </w:rPr>
              <w:t>-</w:t>
            </w:r>
            <w:r w:rsidRPr="00DD1A20">
              <w:rPr>
                <w:sz w:val="20"/>
              </w:rPr>
              <w:t>Time Ancillary Service Imbalance Amount per Section 6.7.5 for the Operating Hour.</w:t>
            </w:r>
          </w:p>
        </w:tc>
      </w:tr>
      <w:tr w:rsidR="00745851" w:rsidRPr="00DD1A20" w14:paraId="51298886" w14:textId="77777777" w:rsidTr="00507A85">
        <w:tc>
          <w:tcPr>
            <w:tcW w:w="1126" w:type="pct"/>
          </w:tcPr>
          <w:p w14:paraId="5520D180" w14:textId="77777777" w:rsidR="00745851" w:rsidRPr="00DD1A20" w:rsidRDefault="00745851" w:rsidP="00507A85">
            <w:pPr>
              <w:spacing w:after="60"/>
              <w:rPr>
                <w:iCs/>
                <w:sz w:val="20"/>
              </w:rPr>
            </w:pPr>
            <w:r w:rsidRPr="00DD1A20">
              <w:rPr>
                <w:iCs/>
                <w:sz w:val="20"/>
              </w:rPr>
              <w:t xml:space="preserve">SAECRQ </w:t>
            </w:r>
            <w:r w:rsidRPr="00DD1A20">
              <w:rPr>
                <w:i/>
                <w:sz w:val="20"/>
                <w:vertAlign w:val="subscript"/>
              </w:rPr>
              <w:t>q</w:t>
            </w:r>
          </w:p>
        </w:tc>
        <w:tc>
          <w:tcPr>
            <w:tcW w:w="456" w:type="pct"/>
          </w:tcPr>
          <w:p w14:paraId="67120D17" w14:textId="77777777" w:rsidR="00745851" w:rsidRPr="00DD1A20" w:rsidRDefault="00745851" w:rsidP="00507A85">
            <w:pPr>
              <w:spacing w:after="60"/>
              <w:rPr>
                <w:iCs/>
                <w:sz w:val="20"/>
              </w:rPr>
            </w:pPr>
            <w:r w:rsidRPr="00DD1A20">
              <w:rPr>
                <w:sz w:val="20"/>
              </w:rPr>
              <w:t>MW</w:t>
            </w:r>
          </w:p>
        </w:tc>
        <w:tc>
          <w:tcPr>
            <w:tcW w:w="3418" w:type="pct"/>
          </w:tcPr>
          <w:p w14:paraId="3A8D1348" w14:textId="77777777" w:rsidR="00745851" w:rsidRPr="00DD1A20" w:rsidRDefault="00745851" w:rsidP="00507A85">
            <w:pPr>
              <w:spacing w:after="60"/>
              <w:rPr>
                <w:i/>
                <w:sz w:val="20"/>
              </w:rPr>
            </w:pPr>
            <w:r w:rsidRPr="00DD1A20">
              <w:rPr>
                <w:i/>
                <w:sz w:val="20"/>
              </w:rPr>
              <w:t>Total Self-Arranged ERCOT Contingency Reserve Service Quantity per QSE for all markets—</w:t>
            </w:r>
            <w:r w:rsidRPr="00DD1A20">
              <w:rPr>
                <w:iCs/>
                <w:sz w:val="20"/>
              </w:rPr>
              <w:t xml:space="preserve">The sum of all self-arranged ECRS quantities submitted by QSE </w:t>
            </w:r>
            <w:r w:rsidRPr="00DD1A20">
              <w:rPr>
                <w:i/>
                <w:sz w:val="20"/>
              </w:rPr>
              <w:t>q</w:t>
            </w:r>
            <w:r w:rsidRPr="00DD1A20">
              <w:rPr>
                <w:iCs/>
                <w:sz w:val="20"/>
              </w:rPr>
              <w:t xml:space="preserve"> for DAM and all SASMs.</w:t>
            </w:r>
          </w:p>
        </w:tc>
      </w:tr>
      <w:tr w:rsidR="00745851" w:rsidRPr="00DD1A20" w14:paraId="06CF9EB5" w14:textId="77777777" w:rsidTr="00507A85">
        <w:tc>
          <w:tcPr>
            <w:tcW w:w="1126" w:type="pct"/>
          </w:tcPr>
          <w:p w14:paraId="41674E94" w14:textId="77777777" w:rsidR="00745851" w:rsidRPr="00DD1A20" w:rsidRDefault="00745851" w:rsidP="00507A85">
            <w:pPr>
              <w:spacing w:after="60"/>
              <w:rPr>
                <w:iCs/>
                <w:sz w:val="20"/>
              </w:rPr>
            </w:pPr>
            <w:r w:rsidRPr="00DD1A20">
              <w:rPr>
                <w:iCs/>
                <w:sz w:val="20"/>
              </w:rPr>
              <w:t xml:space="preserve">ECRTRSQ </w:t>
            </w:r>
            <w:r w:rsidRPr="00DD1A20">
              <w:rPr>
                <w:i/>
                <w:sz w:val="20"/>
                <w:vertAlign w:val="subscript"/>
              </w:rPr>
              <w:t>q</w:t>
            </w:r>
          </w:p>
        </w:tc>
        <w:tc>
          <w:tcPr>
            <w:tcW w:w="456" w:type="pct"/>
          </w:tcPr>
          <w:p w14:paraId="333E4BB3" w14:textId="77777777" w:rsidR="00745851" w:rsidRPr="000E4CFB" w:rsidRDefault="00745851" w:rsidP="00507A85">
            <w:pPr>
              <w:spacing w:after="60"/>
              <w:rPr>
                <w:iCs/>
                <w:sz w:val="20"/>
              </w:rPr>
            </w:pPr>
            <w:r w:rsidRPr="00C22DE9">
              <w:rPr>
                <w:iCs/>
                <w:sz w:val="20"/>
              </w:rPr>
              <w:t>MW</w:t>
            </w:r>
          </w:p>
        </w:tc>
        <w:tc>
          <w:tcPr>
            <w:tcW w:w="3418" w:type="pct"/>
          </w:tcPr>
          <w:p w14:paraId="77EAD3E3" w14:textId="77777777" w:rsidR="00745851" w:rsidRPr="00DD1A20" w:rsidRDefault="00745851" w:rsidP="00507A85">
            <w:pPr>
              <w:spacing w:after="60"/>
              <w:rPr>
                <w:i/>
                <w:sz w:val="20"/>
              </w:rPr>
            </w:pPr>
            <w:r w:rsidRPr="00DD1A20">
              <w:rPr>
                <w:i/>
                <w:sz w:val="20"/>
              </w:rPr>
              <w:t>ERCOT Contingency Reserve Service Trade Sale per QSE</w:t>
            </w:r>
            <w:r w:rsidRPr="00DD1A20">
              <w:t>—</w:t>
            </w:r>
            <w:r w:rsidRPr="00DD1A20">
              <w:rPr>
                <w:iCs/>
                <w:sz w:val="20"/>
              </w:rPr>
              <w:t xml:space="preserve">QSE </w:t>
            </w:r>
            <w:r w:rsidRPr="00DD1A20">
              <w:rPr>
                <w:i/>
                <w:sz w:val="20"/>
              </w:rPr>
              <w:t>q’s</w:t>
            </w:r>
            <w:r w:rsidRPr="00DD1A20">
              <w:rPr>
                <w:iCs/>
                <w:sz w:val="20"/>
              </w:rPr>
              <w:t xml:space="preserve"> total time-weighted average capacity Trade Sale for ECRS, for the hour.  </w:t>
            </w:r>
            <w:r w:rsidRPr="00DD1A20">
              <w:rPr>
                <w:sz w:val="20"/>
              </w:rPr>
              <w:t>The time-weighted average value is rounded to 0.1 MW.</w:t>
            </w:r>
          </w:p>
        </w:tc>
      </w:tr>
      <w:tr w:rsidR="00745851" w:rsidRPr="00DD1A20" w14:paraId="1CB857E0" w14:textId="77777777" w:rsidTr="00507A85">
        <w:tc>
          <w:tcPr>
            <w:tcW w:w="1126" w:type="pct"/>
          </w:tcPr>
          <w:p w14:paraId="66084750" w14:textId="77777777" w:rsidR="00745851" w:rsidRPr="00DD1A20" w:rsidRDefault="00745851" w:rsidP="00507A85">
            <w:pPr>
              <w:spacing w:after="60"/>
              <w:rPr>
                <w:iCs/>
                <w:sz w:val="20"/>
              </w:rPr>
            </w:pPr>
            <w:r w:rsidRPr="00DD1A20">
              <w:rPr>
                <w:iCs/>
                <w:sz w:val="20"/>
              </w:rPr>
              <w:t xml:space="preserve">RTPCECR </w:t>
            </w:r>
            <w:r w:rsidRPr="00DD1A20">
              <w:rPr>
                <w:i/>
                <w:sz w:val="20"/>
                <w:vertAlign w:val="subscript"/>
              </w:rPr>
              <w:t>q, m</w:t>
            </w:r>
          </w:p>
        </w:tc>
        <w:tc>
          <w:tcPr>
            <w:tcW w:w="456" w:type="pct"/>
          </w:tcPr>
          <w:p w14:paraId="66A4C5CA" w14:textId="77777777" w:rsidR="00745851" w:rsidRPr="00DD1A20" w:rsidRDefault="00745851" w:rsidP="00507A85">
            <w:pPr>
              <w:spacing w:after="60"/>
              <w:rPr>
                <w:iCs/>
                <w:sz w:val="20"/>
              </w:rPr>
            </w:pPr>
            <w:r w:rsidRPr="00DD1A20">
              <w:rPr>
                <w:iCs/>
                <w:sz w:val="20"/>
              </w:rPr>
              <w:t>MW</w:t>
            </w:r>
          </w:p>
        </w:tc>
        <w:tc>
          <w:tcPr>
            <w:tcW w:w="3418" w:type="pct"/>
          </w:tcPr>
          <w:p w14:paraId="5A44CEA4" w14:textId="77777777" w:rsidR="00745851" w:rsidRPr="00DD1A20" w:rsidRDefault="00745851" w:rsidP="00507A85">
            <w:pPr>
              <w:spacing w:after="60"/>
              <w:rPr>
                <w:i/>
                <w:sz w:val="20"/>
              </w:rPr>
            </w:pPr>
            <w:r w:rsidRPr="00DD1A20">
              <w:rPr>
                <w:i/>
                <w:sz w:val="20"/>
              </w:rPr>
              <w:t>Procured Capacity for ERCOT Contingency Reserve Service per QSE by market</w:t>
            </w:r>
            <w:r w:rsidRPr="00DD1A20">
              <w:t>—</w:t>
            </w:r>
            <w:r w:rsidRPr="00DD1A20">
              <w:rPr>
                <w:iCs/>
                <w:sz w:val="20"/>
              </w:rPr>
              <w:t xml:space="preserve">The MW portion of QSE </w:t>
            </w:r>
            <w:r w:rsidRPr="00DD1A20">
              <w:rPr>
                <w:i/>
                <w:sz w:val="20"/>
              </w:rPr>
              <w:t xml:space="preserve">q’s </w:t>
            </w:r>
            <w:r w:rsidRPr="00DD1A20">
              <w:rPr>
                <w:iCs/>
                <w:sz w:val="20"/>
              </w:rPr>
              <w:t xml:space="preserve">Ancillary Service Offers cleared in the market </w:t>
            </w:r>
            <w:r w:rsidRPr="00C22DE9">
              <w:rPr>
                <w:i/>
                <w:sz w:val="20"/>
              </w:rPr>
              <w:t>m</w:t>
            </w:r>
            <w:r w:rsidRPr="00DD1A20">
              <w:rPr>
                <w:sz w:val="20"/>
              </w:rPr>
              <w:t xml:space="preserve"> (SASM or RSASM)</w:t>
            </w:r>
            <w:r w:rsidRPr="00DD1A20">
              <w:rPr>
                <w:iCs/>
                <w:sz w:val="20"/>
              </w:rPr>
              <w:t xml:space="preserve"> to provide ECRS, for the hour.</w:t>
            </w:r>
          </w:p>
        </w:tc>
      </w:tr>
      <w:tr w:rsidR="00745851" w:rsidRPr="00DD1A20" w14:paraId="724911C9" w14:textId="77777777" w:rsidTr="00507A85">
        <w:tc>
          <w:tcPr>
            <w:tcW w:w="1126" w:type="pct"/>
          </w:tcPr>
          <w:p w14:paraId="670FEE3C" w14:textId="77777777" w:rsidR="00745851" w:rsidRPr="00DD1A20" w:rsidRDefault="00745851" w:rsidP="00507A85">
            <w:pPr>
              <w:spacing w:after="60"/>
              <w:rPr>
                <w:iCs/>
                <w:sz w:val="20"/>
              </w:rPr>
            </w:pPr>
            <w:r w:rsidRPr="00DD1A20">
              <w:rPr>
                <w:iCs/>
                <w:sz w:val="20"/>
              </w:rPr>
              <w:t xml:space="preserve">PCECR </w:t>
            </w:r>
            <w:r w:rsidRPr="00DD1A20">
              <w:rPr>
                <w:i/>
                <w:sz w:val="20"/>
                <w:vertAlign w:val="subscript"/>
              </w:rPr>
              <w:t>q</w:t>
            </w:r>
          </w:p>
        </w:tc>
        <w:tc>
          <w:tcPr>
            <w:tcW w:w="456" w:type="pct"/>
          </w:tcPr>
          <w:p w14:paraId="69336709" w14:textId="77777777" w:rsidR="00745851" w:rsidRPr="00DD1A20" w:rsidRDefault="00745851" w:rsidP="00507A85">
            <w:pPr>
              <w:spacing w:after="60"/>
              <w:rPr>
                <w:iCs/>
                <w:sz w:val="20"/>
              </w:rPr>
            </w:pPr>
            <w:r w:rsidRPr="00DD1A20">
              <w:rPr>
                <w:sz w:val="20"/>
              </w:rPr>
              <w:t>MW</w:t>
            </w:r>
          </w:p>
        </w:tc>
        <w:tc>
          <w:tcPr>
            <w:tcW w:w="3418" w:type="pct"/>
          </w:tcPr>
          <w:p w14:paraId="7404AC0B" w14:textId="77777777" w:rsidR="00745851" w:rsidRPr="00DD1A20" w:rsidRDefault="00745851" w:rsidP="00507A85">
            <w:pPr>
              <w:spacing w:after="60"/>
              <w:rPr>
                <w:i/>
                <w:sz w:val="20"/>
              </w:rPr>
            </w:pPr>
            <w:r w:rsidRPr="00DD1A20">
              <w:rPr>
                <w:i/>
                <w:sz w:val="20"/>
              </w:rPr>
              <w:t>Procured Capacity for ERCOT Contingency Reserve Service per QSE in DAM—</w:t>
            </w:r>
            <w:r w:rsidRPr="00DD1A20">
              <w:rPr>
                <w:iCs/>
                <w:sz w:val="20"/>
              </w:rPr>
              <w:t>The total ECRS capacity quantity awarded to QSE</w:t>
            </w:r>
            <w:r w:rsidRPr="00DD1A20">
              <w:rPr>
                <w:i/>
                <w:sz w:val="20"/>
              </w:rPr>
              <w:t xml:space="preserve"> q</w:t>
            </w:r>
            <w:r w:rsidRPr="00DD1A20">
              <w:rPr>
                <w:iCs/>
                <w:sz w:val="20"/>
              </w:rPr>
              <w:t xml:space="preserve"> in the DAM for all the Resources represented by the QSE, for the hour.</w:t>
            </w:r>
          </w:p>
        </w:tc>
      </w:tr>
      <w:tr w:rsidR="00745851" w:rsidRPr="00DD1A20" w14:paraId="455CCB49" w14:textId="77777777" w:rsidTr="00507A85">
        <w:tc>
          <w:tcPr>
            <w:tcW w:w="1126" w:type="pct"/>
          </w:tcPr>
          <w:p w14:paraId="783C4C85" w14:textId="77777777" w:rsidR="00745851" w:rsidRPr="00DD1A20" w:rsidRDefault="00745851" w:rsidP="00507A85">
            <w:pPr>
              <w:spacing w:after="60"/>
              <w:rPr>
                <w:iCs/>
                <w:sz w:val="20"/>
              </w:rPr>
            </w:pPr>
            <w:r w:rsidRPr="00DD1A20">
              <w:rPr>
                <w:iCs/>
                <w:sz w:val="20"/>
              </w:rPr>
              <w:lastRenderedPageBreak/>
              <w:t xml:space="preserve">RUCECRQ </w:t>
            </w:r>
            <w:r w:rsidRPr="00DD1A20">
              <w:rPr>
                <w:i/>
                <w:sz w:val="20"/>
                <w:vertAlign w:val="subscript"/>
              </w:rPr>
              <w:t>q</w:t>
            </w:r>
          </w:p>
        </w:tc>
        <w:tc>
          <w:tcPr>
            <w:tcW w:w="456" w:type="pct"/>
          </w:tcPr>
          <w:p w14:paraId="3C5077F0" w14:textId="77777777" w:rsidR="00745851" w:rsidRPr="000E4CFB" w:rsidRDefault="00745851" w:rsidP="00507A85">
            <w:pPr>
              <w:spacing w:after="60"/>
              <w:rPr>
                <w:iCs/>
                <w:sz w:val="20"/>
              </w:rPr>
            </w:pPr>
            <w:r w:rsidRPr="00C22DE9">
              <w:rPr>
                <w:iCs/>
                <w:sz w:val="20"/>
              </w:rPr>
              <w:t>MW</w:t>
            </w:r>
          </w:p>
        </w:tc>
        <w:tc>
          <w:tcPr>
            <w:tcW w:w="3418" w:type="pct"/>
          </w:tcPr>
          <w:p w14:paraId="76160222" w14:textId="77777777" w:rsidR="00745851" w:rsidRPr="00DD1A20" w:rsidRDefault="00745851" w:rsidP="00507A85">
            <w:pPr>
              <w:spacing w:after="60"/>
              <w:rPr>
                <w:i/>
                <w:sz w:val="20"/>
              </w:rPr>
            </w:pPr>
            <w:r w:rsidRPr="00DD1A20">
              <w:rPr>
                <w:i/>
                <w:sz w:val="20"/>
              </w:rPr>
              <w:t>RUC-committed for ERCOT Contingency Reserve Service per QSE</w:t>
            </w:r>
            <w:r w:rsidRPr="00DD1A20">
              <w:t>—</w:t>
            </w:r>
            <w:r w:rsidRPr="00DD1A20">
              <w:rPr>
                <w:sz w:val="20"/>
              </w:rPr>
              <w:t xml:space="preserve">The total quantity of ECRS committed by the RUC Process for </w:t>
            </w:r>
            <w:r w:rsidRPr="00DD1A20">
              <w:rPr>
                <w:iCs/>
                <w:sz w:val="20"/>
              </w:rPr>
              <w:t>Resources</w:t>
            </w:r>
            <w:r>
              <w:rPr>
                <w:iCs/>
                <w:sz w:val="20"/>
              </w:rPr>
              <w:t xml:space="preserve"> </w:t>
            </w:r>
            <w:r w:rsidRPr="00DD1A20">
              <w:rPr>
                <w:iCs/>
                <w:sz w:val="20"/>
              </w:rPr>
              <w:t xml:space="preserve">represented by QSE </w:t>
            </w:r>
            <w:r w:rsidRPr="00DD1A20">
              <w:rPr>
                <w:i/>
                <w:sz w:val="20"/>
              </w:rPr>
              <w:t>q</w:t>
            </w:r>
            <w:r w:rsidRPr="00DD1A20">
              <w:rPr>
                <w:iCs/>
                <w:sz w:val="20"/>
              </w:rPr>
              <w:t>, for the hour.</w:t>
            </w:r>
          </w:p>
        </w:tc>
      </w:tr>
      <w:tr w:rsidR="00745851" w:rsidRPr="00DD1A20" w14:paraId="063A5C3F" w14:textId="77777777" w:rsidTr="00507A85">
        <w:tc>
          <w:tcPr>
            <w:tcW w:w="1126" w:type="pct"/>
          </w:tcPr>
          <w:p w14:paraId="13EF8FF5" w14:textId="77777777" w:rsidR="00745851" w:rsidRPr="00DD1A20" w:rsidRDefault="00745851" w:rsidP="00507A85">
            <w:pPr>
              <w:spacing w:after="60"/>
              <w:rPr>
                <w:iCs/>
                <w:sz w:val="20"/>
              </w:rPr>
            </w:pPr>
            <w:r w:rsidRPr="00DD1A20">
              <w:rPr>
                <w:iCs/>
                <w:sz w:val="20"/>
              </w:rPr>
              <w:t>ECRTRPQ</w:t>
            </w:r>
            <w:r w:rsidRPr="00DD1A20">
              <w:rPr>
                <w:i/>
                <w:sz w:val="20"/>
              </w:rPr>
              <w:t xml:space="preserve"> </w:t>
            </w:r>
            <w:r w:rsidRPr="00DD1A20">
              <w:rPr>
                <w:i/>
                <w:sz w:val="20"/>
                <w:vertAlign w:val="subscript"/>
              </w:rPr>
              <w:t>q</w:t>
            </w:r>
          </w:p>
        </w:tc>
        <w:tc>
          <w:tcPr>
            <w:tcW w:w="456" w:type="pct"/>
          </w:tcPr>
          <w:p w14:paraId="687254B6" w14:textId="77777777" w:rsidR="00745851" w:rsidRPr="00DD1A20" w:rsidRDefault="00745851" w:rsidP="00507A85">
            <w:pPr>
              <w:spacing w:after="60"/>
              <w:rPr>
                <w:iCs/>
                <w:sz w:val="20"/>
              </w:rPr>
            </w:pPr>
            <w:r w:rsidRPr="00DD1A20">
              <w:rPr>
                <w:iCs/>
                <w:sz w:val="20"/>
              </w:rPr>
              <w:t>MW</w:t>
            </w:r>
          </w:p>
        </w:tc>
        <w:tc>
          <w:tcPr>
            <w:tcW w:w="3418" w:type="pct"/>
          </w:tcPr>
          <w:p w14:paraId="0528B87E" w14:textId="77777777" w:rsidR="00745851" w:rsidRPr="00DD1A20" w:rsidRDefault="00745851" w:rsidP="00507A85">
            <w:pPr>
              <w:spacing w:after="60"/>
              <w:rPr>
                <w:i/>
                <w:sz w:val="20"/>
              </w:rPr>
            </w:pPr>
            <w:r w:rsidRPr="00DD1A20">
              <w:rPr>
                <w:i/>
                <w:sz w:val="20"/>
              </w:rPr>
              <w:t>ERCOT Contingency Reserve Service Trade Purchases per QSE</w:t>
            </w:r>
            <w:r w:rsidRPr="00DD1A20">
              <w:t>—</w:t>
            </w:r>
            <w:r w:rsidRPr="00DD1A20">
              <w:rPr>
                <w:iCs/>
                <w:sz w:val="20"/>
              </w:rPr>
              <w:t xml:space="preserve">QSE </w:t>
            </w:r>
            <w:r w:rsidRPr="00DD1A20">
              <w:rPr>
                <w:i/>
                <w:sz w:val="20"/>
              </w:rPr>
              <w:t>q’s</w:t>
            </w:r>
            <w:r w:rsidRPr="00DD1A20">
              <w:rPr>
                <w:iCs/>
                <w:sz w:val="20"/>
              </w:rPr>
              <w:t xml:space="preserve"> total time-weighted average capacity Trade Purchase for ECRS, for the hour.  </w:t>
            </w:r>
            <w:r w:rsidRPr="00DD1A20">
              <w:rPr>
                <w:sz w:val="20"/>
              </w:rPr>
              <w:t>The time-weighted average value is rounded to 0.1 MW.</w:t>
            </w:r>
          </w:p>
        </w:tc>
      </w:tr>
      <w:tr w:rsidR="00745851" w:rsidRPr="00DD1A20" w14:paraId="1F5D4730" w14:textId="77777777" w:rsidTr="00507A85">
        <w:tc>
          <w:tcPr>
            <w:tcW w:w="1126" w:type="pct"/>
          </w:tcPr>
          <w:p w14:paraId="07F17F48" w14:textId="77777777" w:rsidR="00745851" w:rsidRPr="00DD1A20" w:rsidRDefault="00745851" w:rsidP="00507A85">
            <w:pPr>
              <w:spacing w:after="60"/>
              <w:rPr>
                <w:iCs/>
                <w:sz w:val="20"/>
              </w:rPr>
            </w:pPr>
            <w:r w:rsidRPr="00DD1A20">
              <w:rPr>
                <w:iCs/>
                <w:sz w:val="20"/>
              </w:rPr>
              <w:t>ECRINFQ</w:t>
            </w:r>
            <w:r w:rsidRPr="00DD1A20">
              <w:rPr>
                <w:i/>
                <w:sz w:val="20"/>
              </w:rPr>
              <w:t xml:space="preserve"> </w:t>
            </w:r>
            <w:r w:rsidRPr="00DD1A20">
              <w:rPr>
                <w:i/>
                <w:sz w:val="20"/>
                <w:vertAlign w:val="subscript"/>
              </w:rPr>
              <w:t>q</w:t>
            </w:r>
          </w:p>
        </w:tc>
        <w:tc>
          <w:tcPr>
            <w:tcW w:w="456" w:type="pct"/>
          </w:tcPr>
          <w:p w14:paraId="56ACAEF1" w14:textId="77777777" w:rsidR="00745851" w:rsidRPr="00DD1A20" w:rsidRDefault="00745851" w:rsidP="00507A85">
            <w:pPr>
              <w:spacing w:after="60"/>
              <w:rPr>
                <w:iCs/>
                <w:sz w:val="20"/>
              </w:rPr>
            </w:pPr>
            <w:r w:rsidRPr="00DD1A20">
              <w:rPr>
                <w:iCs/>
                <w:sz w:val="20"/>
              </w:rPr>
              <w:t>MW</w:t>
            </w:r>
          </w:p>
        </w:tc>
        <w:tc>
          <w:tcPr>
            <w:tcW w:w="3418" w:type="pct"/>
          </w:tcPr>
          <w:p w14:paraId="39C03FD3" w14:textId="77777777" w:rsidR="00745851" w:rsidRPr="00DD1A20" w:rsidRDefault="00745851" w:rsidP="00507A85">
            <w:pPr>
              <w:spacing w:after="60"/>
              <w:rPr>
                <w:i/>
                <w:sz w:val="20"/>
              </w:rPr>
            </w:pPr>
            <w:r w:rsidRPr="00DD1A20">
              <w:rPr>
                <w:i/>
                <w:sz w:val="20"/>
              </w:rPr>
              <w:t>ERCOT Contingency Reserve Service Infeasible Quantity per QSE—</w:t>
            </w:r>
            <w:r w:rsidRPr="00DD1A20">
              <w:rPr>
                <w:iCs/>
                <w:sz w:val="20"/>
              </w:rPr>
              <w:t xml:space="preserve">QSE </w:t>
            </w:r>
            <w:r w:rsidRPr="00DD1A20">
              <w:rPr>
                <w:i/>
                <w:sz w:val="20"/>
              </w:rPr>
              <w:t>q’s</w:t>
            </w:r>
            <w:r w:rsidRPr="00DD1A20">
              <w:rPr>
                <w:iCs/>
                <w:sz w:val="20"/>
              </w:rPr>
              <w:t xml:space="preserve"> total capacity associated with infeasible Ancillary Service Supply Responsibilities for ECRS, for the hour.</w:t>
            </w:r>
          </w:p>
        </w:tc>
      </w:tr>
      <w:tr w:rsidR="00745851" w:rsidRPr="00DD1A20" w14:paraId="45D7B591" w14:textId="77777777" w:rsidTr="00507A85">
        <w:tc>
          <w:tcPr>
            <w:tcW w:w="1126" w:type="pct"/>
          </w:tcPr>
          <w:p w14:paraId="5880C57E" w14:textId="77777777" w:rsidR="00745851" w:rsidRPr="00DD1A20" w:rsidRDefault="00745851" w:rsidP="00507A85">
            <w:pPr>
              <w:spacing w:after="60"/>
              <w:rPr>
                <w:iCs/>
                <w:sz w:val="20"/>
              </w:rPr>
            </w:pPr>
            <w:r w:rsidRPr="00DD1A20">
              <w:rPr>
                <w:iCs/>
                <w:sz w:val="20"/>
              </w:rPr>
              <w:t xml:space="preserve">TELECRR </w:t>
            </w:r>
            <w:r w:rsidRPr="00DD1A20">
              <w:rPr>
                <w:i/>
                <w:sz w:val="20"/>
                <w:vertAlign w:val="subscript"/>
              </w:rPr>
              <w:t>q, r</w:t>
            </w:r>
          </w:p>
        </w:tc>
        <w:tc>
          <w:tcPr>
            <w:tcW w:w="456" w:type="pct"/>
          </w:tcPr>
          <w:p w14:paraId="5F25506F" w14:textId="77777777" w:rsidR="00745851" w:rsidRPr="000E4CFB" w:rsidRDefault="00745851" w:rsidP="00507A85">
            <w:pPr>
              <w:spacing w:after="60"/>
              <w:rPr>
                <w:iCs/>
                <w:sz w:val="20"/>
              </w:rPr>
            </w:pPr>
            <w:r w:rsidRPr="00C22DE9">
              <w:rPr>
                <w:iCs/>
                <w:sz w:val="20"/>
              </w:rPr>
              <w:t>MW</w:t>
            </w:r>
          </w:p>
        </w:tc>
        <w:tc>
          <w:tcPr>
            <w:tcW w:w="3418" w:type="pct"/>
          </w:tcPr>
          <w:p w14:paraId="358B8E1D" w14:textId="77777777" w:rsidR="00745851" w:rsidRPr="00DD1A20" w:rsidRDefault="00745851" w:rsidP="00507A85">
            <w:pPr>
              <w:spacing w:after="60"/>
              <w:rPr>
                <w:i/>
                <w:sz w:val="20"/>
              </w:rPr>
            </w:pPr>
            <w:r w:rsidRPr="00DD1A20">
              <w:rPr>
                <w:i/>
                <w:sz w:val="20"/>
              </w:rPr>
              <w:t>Telemetered ERCOT Contingency Reserve Service Responsibility for the Resource</w:t>
            </w:r>
            <w:r w:rsidRPr="00DD1A20">
              <w:t>—</w:t>
            </w:r>
            <w:r w:rsidRPr="00DD1A20">
              <w:rPr>
                <w:iCs/>
                <w:sz w:val="20"/>
              </w:rPr>
              <w:t xml:space="preserve">The time-weighted average telemetered ECRS </w:t>
            </w:r>
            <w:r w:rsidRPr="00DD1A20">
              <w:rPr>
                <w:sz w:val="20"/>
                <w:szCs w:val="18"/>
              </w:rPr>
              <w:t xml:space="preserve">Ancillary Service Resource </w:t>
            </w:r>
            <w:r w:rsidRPr="00DD1A20">
              <w:rPr>
                <w:iCs/>
                <w:sz w:val="20"/>
              </w:rPr>
              <w:t xml:space="preserve">Responsibility for the Resource </w:t>
            </w:r>
            <w:r w:rsidRPr="00DD1A20">
              <w:rPr>
                <w:i/>
                <w:sz w:val="20"/>
              </w:rPr>
              <w:t>r</w:t>
            </w:r>
            <w:r w:rsidRPr="00DD1A20">
              <w:rPr>
                <w:iCs/>
                <w:sz w:val="20"/>
              </w:rPr>
              <w:t xml:space="preserve">, represented by QSE </w:t>
            </w:r>
            <w:r w:rsidRPr="00DD1A20">
              <w:rPr>
                <w:i/>
                <w:sz w:val="20"/>
              </w:rPr>
              <w:t xml:space="preserve">q, </w:t>
            </w:r>
            <w:r w:rsidRPr="00DD1A20">
              <w:rPr>
                <w:iCs/>
                <w:sz w:val="20"/>
              </w:rPr>
              <w:t xml:space="preserve">for the hour.  </w:t>
            </w:r>
            <w:r w:rsidRPr="00DD1A20">
              <w:rPr>
                <w:sz w:val="20"/>
              </w:rPr>
              <w:t>The time-weighted average value is rounded to 0.1 MW.</w:t>
            </w:r>
          </w:p>
        </w:tc>
      </w:tr>
      <w:tr w:rsidR="00745851" w:rsidRPr="00DD1A20" w14:paraId="33701B33" w14:textId="77777777" w:rsidTr="00507A85">
        <w:tc>
          <w:tcPr>
            <w:tcW w:w="1126" w:type="pct"/>
          </w:tcPr>
          <w:p w14:paraId="7F5D5D01" w14:textId="77777777" w:rsidR="00745851" w:rsidRPr="00DD1A20" w:rsidRDefault="00745851" w:rsidP="00507A85">
            <w:pPr>
              <w:spacing w:after="60"/>
              <w:rPr>
                <w:iCs/>
                <w:sz w:val="20"/>
              </w:rPr>
            </w:pPr>
            <w:r w:rsidRPr="00DD1A20">
              <w:rPr>
                <w:iCs/>
                <w:sz w:val="20"/>
              </w:rPr>
              <w:t xml:space="preserve">TELECRRC </w:t>
            </w:r>
            <w:r w:rsidRPr="00DD1A20">
              <w:rPr>
                <w:i/>
                <w:sz w:val="20"/>
                <w:vertAlign w:val="subscript"/>
              </w:rPr>
              <w:t>q, r</w:t>
            </w:r>
          </w:p>
        </w:tc>
        <w:tc>
          <w:tcPr>
            <w:tcW w:w="456" w:type="pct"/>
          </w:tcPr>
          <w:p w14:paraId="3BC5EDB1" w14:textId="77777777" w:rsidR="00745851" w:rsidRPr="00237AE8" w:rsidRDefault="00745851" w:rsidP="00507A85">
            <w:pPr>
              <w:spacing w:after="60"/>
              <w:rPr>
                <w:iCs/>
                <w:sz w:val="20"/>
              </w:rPr>
            </w:pPr>
            <w:r w:rsidRPr="00237AE8">
              <w:rPr>
                <w:iCs/>
                <w:sz w:val="20"/>
              </w:rPr>
              <w:t>MW</w:t>
            </w:r>
          </w:p>
        </w:tc>
        <w:tc>
          <w:tcPr>
            <w:tcW w:w="3418" w:type="pct"/>
          </w:tcPr>
          <w:p w14:paraId="333C82BB" w14:textId="77777777" w:rsidR="00745851" w:rsidRPr="00DD1A20" w:rsidRDefault="00745851" w:rsidP="00507A85">
            <w:pPr>
              <w:spacing w:after="60"/>
              <w:rPr>
                <w:i/>
                <w:sz w:val="20"/>
              </w:rPr>
            </w:pPr>
            <w:r w:rsidRPr="00DD1A20">
              <w:rPr>
                <w:i/>
                <w:sz w:val="20"/>
              </w:rPr>
              <w:t>Telemetered ERCOT Contingency Reserve Service Responsibility for the Resource as Calculated</w:t>
            </w:r>
            <w:r w:rsidRPr="00DD1A20">
              <w:t>—</w:t>
            </w:r>
            <w:r w:rsidRPr="00DD1A20">
              <w:rPr>
                <w:iCs/>
                <w:sz w:val="20"/>
              </w:rPr>
              <w:t xml:space="preserve">The time-weighted average telemetered ECRS </w:t>
            </w:r>
            <w:r w:rsidRPr="00DD1A20">
              <w:rPr>
                <w:sz w:val="20"/>
                <w:szCs w:val="18"/>
              </w:rPr>
              <w:t xml:space="preserve">Ancillary Service Resource </w:t>
            </w:r>
            <w:r w:rsidRPr="00DD1A20">
              <w:rPr>
                <w:iCs/>
                <w:sz w:val="20"/>
              </w:rPr>
              <w:t xml:space="preserve">Responsibility as compared to available capacity for the Resource </w:t>
            </w:r>
            <w:r w:rsidRPr="00DD1A20">
              <w:rPr>
                <w:i/>
                <w:sz w:val="20"/>
              </w:rPr>
              <w:t>r</w:t>
            </w:r>
            <w:r w:rsidRPr="00DD1A20">
              <w:rPr>
                <w:iCs/>
                <w:sz w:val="20"/>
              </w:rPr>
              <w:t xml:space="preserve">, represented by QSE </w:t>
            </w:r>
            <w:r w:rsidRPr="00DD1A20">
              <w:rPr>
                <w:i/>
                <w:sz w:val="20"/>
              </w:rPr>
              <w:t xml:space="preserve">q, </w:t>
            </w:r>
            <w:r w:rsidRPr="00DD1A20">
              <w:rPr>
                <w:iCs/>
                <w:sz w:val="20"/>
              </w:rPr>
              <w:t>for the hour.</w:t>
            </w:r>
          </w:p>
        </w:tc>
      </w:tr>
      <w:tr w:rsidR="00745851" w:rsidRPr="00DD1A20" w14:paraId="62E7FF5B" w14:textId="77777777" w:rsidTr="00507A85">
        <w:tc>
          <w:tcPr>
            <w:tcW w:w="1126" w:type="pct"/>
          </w:tcPr>
          <w:p w14:paraId="6ED03024" w14:textId="77777777" w:rsidR="00745851" w:rsidRPr="00DD1A20" w:rsidRDefault="00745851" w:rsidP="00507A85">
            <w:pPr>
              <w:spacing w:after="60"/>
              <w:rPr>
                <w:iCs/>
                <w:sz w:val="20"/>
              </w:rPr>
            </w:pPr>
            <w:r w:rsidRPr="00DD1A20">
              <w:rPr>
                <w:iCs/>
                <w:sz w:val="20"/>
              </w:rPr>
              <w:t>NPF</w:t>
            </w:r>
            <w:r w:rsidRPr="00DD1A20">
              <w:rPr>
                <w:i/>
                <w:sz w:val="20"/>
                <w:vertAlign w:val="subscript"/>
              </w:rPr>
              <w:t xml:space="preserve"> q, r</w:t>
            </w:r>
          </w:p>
        </w:tc>
        <w:tc>
          <w:tcPr>
            <w:tcW w:w="456" w:type="pct"/>
          </w:tcPr>
          <w:p w14:paraId="43D3D342" w14:textId="77777777" w:rsidR="00745851" w:rsidRPr="000E4CFB" w:rsidRDefault="00745851" w:rsidP="00507A85">
            <w:pPr>
              <w:spacing w:after="60"/>
              <w:rPr>
                <w:iCs/>
                <w:sz w:val="20"/>
              </w:rPr>
            </w:pPr>
            <w:r w:rsidRPr="00237AE8">
              <w:rPr>
                <w:iCs/>
                <w:sz w:val="20"/>
              </w:rPr>
              <w:t>MW</w:t>
            </w:r>
          </w:p>
        </w:tc>
        <w:tc>
          <w:tcPr>
            <w:tcW w:w="3418" w:type="pct"/>
          </w:tcPr>
          <w:p w14:paraId="305C6052" w14:textId="77777777" w:rsidR="00745851" w:rsidRPr="00DD1A20" w:rsidRDefault="00745851" w:rsidP="00507A85">
            <w:pPr>
              <w:spacing w:after="60"/>
              <w:rPr>
                <w:i/>
                <w:sz w:val="20"/>
              </w:rPr>
            </w:pPr>
            <w:r w:rsidRPr="00DD1A20">
              <w:rPr>
                <w:i/>
                <w:sz w:val="20"/>
              </w:rPr>
              <w:t>Non-Controllable Load Resource Net Power Consumption for the QSE</w:t>
            </w:r>
            <w:r w:rsidRPr="00DD1A20">
              <w:t>—</w:t>
            </w:r>
            <w:r w:rsidRPr="00DD1A20">
              <w:rPr>
                <w:iCs/>
                <w:sz w:val="20"/>
              </w:rPr>
              <w:t xml:space="preserve">The average NPF from Load Resource other than Controllable Load Resources </w:t>
            </w:r>
            <w:r w:rsidRPr="00DD1A20">
              <w:rPr>
                <w:i/>
                <w:sz w:val="20"/>
              </w:rPr>
              <w:t>r</w:t>
            </w:r>
            <w:r w:rsidRPr="00DD1A20">
              <w:rPr>
                <w:iCs/>
                <w:sz w:val="20"/>
              </w:rPr>
              <w:t xml:space="preserve">, represented by QSE </w:t>
            </w:r>
            <w:r w:rsidRPr="00DD1A20">
              <w:rPr>
                <w:i/>
                <w:sz w:val="20"/>
              </w:rPr>
              <w:t>q,</w:t>
            </w:r>
            <w:r w:rsidRPr="00DD1A20">
              <w:rPr>
                <w:iCs/>
                <w:sz w:val="20"/>
              </w:rPr>
              <w:t xml:space="preserve"> for the hour.</w:t>
            </w:r>
          </w:p>
        </w:tc>
      </w:tr>
      <w:tr w:rsidR="00745851" w:rsidRPr="00DD1A20" w14:paraId="1C05181C" w14:textId="77777777" w:rsidTr="00507A85">
        <w:tc>
          <w:tcPr>
            <w:tcW w:w="1126" w:type="pct"/>
          </w:tcPr>
          <w:p w14:paraId="793C3087" w14:textId="77777777" w:rsidR="00745851" w:rsidRPr="00DD1A20" w:rsidRDefault="00745851" w:rsidP="00507A85">
            <w:pPr>
              <w:spacing w:after="60"/>
              <w:rPr>
                <w:iCs/>
                <w:sz w:val="20"/>
              </w:rPr>
            </w:pPr>
            <w:r w:rsidRPr="00DD1A20">
              <w:rPr>
                <w:iCs/>
                <w:sz w:val="20"/>
              </w:rPr>
              <w:t>LPC</w:t>
            </w:r>
            <w:r w:rsidRPr="00DD1A20">
              <w:rPr>
                <w:i/>
                <w:sz w:val="20"/>
                <w:vertAlign w:val="subscript"/>
              </w:rPr>
              <w:t xml:space="preserve"> q, r</w:t>
            </w:r>
          </w:p>
        </w:tc>
        <w:tc>
          <w:tcPr>
            <w:tcW w:w="456" w:type="pct"/>
          </w:tcPr>
          <w:p w14:paraId="151EAF85" w14:textId="77777777" w:rsidR="00745851" w:rsidRPr="000E4CFB" w:rsidRDefault="00745851" w:rsidP="00507A85">
            <w:pPr>
              <w:spacing w:after="60"/>
              <w:rPr>
                <w:iCs/>
                <w:sz w:val="20"/>
              </w:rPr>
            </w:pPr>
            <w:r w:rsidRPr="00237AE8">
              <w:rPr>
                <w:iCs/>
                <w:sz w:val="20"/>
              </w:rPr>
              <w:t>MW</w:t>
            </w:r>
          </w:p>
        </w:tc>
        <w:tc>
          <w:tcPr>
            <w:tcW w:w="3418" w:type="pct"/>
          </w:tcPr>
          <w:p w14:paraId="55403A30" w14:textId="77777777" w:rsidR="00745851" w:rsidRPr="00DD1A20" w:rsidRDefault="00745851" w:rsidP="00507A85">
            <w:pPr>
              <w:spacing w:after="60"/>
              <w:rPr>
                <w:i/>
                <w:sz w:val="20"/>
              </w:rPr>
            </w:pPr>
            <w:r w:rsidRPr="00DD1A20">
              <w:rPr>
                <w:i/>
                <w:sz w:val="20"/>
              </w:rPr>
              <w:t>Non-Controllable Load Resource Low Power Consumption for the QSE</w:t>
            </w:r>
            <w:r w:rsidRPr="00DD1A20">
              <w:t>—</w:t>
            </w:r>
            <w:r w:rsidRPr="00DD1A20">
              <w:rPr>
                <w:iCs/>
                <w:sz w:val="20"/>
              </w:rPr>
              <w:t xml:space="preserve">The average LPC from Load Resource other than Controllable Load Resources </w:t>
            </w:r>
            <w:r w:rsidRPr="00DD1A20">
              <w:rPr>
                <w:i/>
                <w:sz w:val="20"/>
              </w:rPr>
              <w:t>r</w:t>
            </w:r>
            <w:r w:rsidRPr="00DD1A20">
              <w:rPr>
                <w:iCs/>
                <w:sz w:val="20"/>
              </w:rPr>
              <w:t xml:space="preserve">, represented by QSE </w:t>
            </w:r>
            <w:r w:rsidRPr="00DD1A20">
              <w:rPr>
                <w:i/>
                <w:sz w:val="20"/>
              </w:rPr>
              <w:t>q,</w:t>
            </w:r>
            <w:r w:rsidRPr="00DD1A20">
              <w:rPr>
                <w:iCs/>
                <w:sz w:val="20"/>
              </w:rPr>
              <w:t xml:space="preserve"> for the hour.</w:t>
            </w:r>
          </w:p>
        </w:tc>
      </w:tr>
      <w:tr w:rsidR="00745851" w:rsidRPr="00DD1A20" w14:paraId="3A4EBA34" w14:textId="77777777" w:rsidTr="00507A85">
        <w:tc>
          <w:tcPr>
            <w:tcW w:w="1126" w:type="pct"/>
          </w:tcPr>
          <w:p w14:paraId="0A7AA764" w14:textId="77777777" w:rsidR="00745851" w:rsidRPr="00DD1A20" w:rsidRDefault="00745851" w:rsidP="00507A85">
            <w:pPr>
              <w:spacing w:after="60"/>
              <w:rPr>
                <w:iCs/>
                <w:sz w:val="20"/>
              </w:rPr>
            </w:pPr>
            <w:r w:rsidRPr="00DD1A20">
              <w:rPr>
                <w:iCs/>
                <w:sz w:val="20"/>
              </w:rPr>
              <w:t xml:space="preserve">DASAECRQ </w:t>
            </w:r>
            <w:r w:rsidRPr="00DD1A20">
              <w:rPr>
                <w:i/>
                <w:sz w:val="20"/>
                <w:vertAlign w:val="subscript"/>
              </w:rPr>
              <w:t>q</w:t>
            </w:r>
          </w:p>
        </w:tc>
        <w:tc>
          <w:tcPr>
            <w:tcW w:w="456" w:type="pct"/>
          </w:tcPr>
          <w:p w14:paraId="1E746A2B" w14:textId="77777777" w:rsidR="00745851" w:rsidRPr="00DD1A20" w:rsidRDefault="00745851" w:rsidP="00507A85">
            <w:pPr>
              <w:spacing w:after="60"/>
              <w:rPr>
                <w:iCs/>
                <w:sz w:val="20"/>
              </w:rPr>
            </w:pPr>
            <w:r w:rsidRPr="00DD1A20">
              <w:rPr>
                <w:iCs/>
                <w:sz w:val="20"/>
              </w:rPr>
              <w:t>MW</w:t>
            </w:r>
          </w:p>
        </w:tc>
        <w:tc>
          <w:tcPr>
            <w:tcW w:w="3418" w:type="pct"/>
          </w:tcPr>
          <w:p w14:paraId="7319A7FE" w14:textId="77777777" w:rsidR="00745851" w:rsidRPr="00DD1A20" w:rsidRDefault="00745851" w:rsidP="00507A85">
            <w:pPr>
              <w:spacing w:after="60"/>
              <w:rPr>
                <w:i/>
                <w:iCs/>
                <w:sz w:val="20"/>
              </w:rPr>
            </w:pPr>
            <w:r w:rsidRPr="00DD1A20">
              <w:rPr>
                <w:i/>
                <w:iCs/>
                <w:sz w:val="20"/>
              </w:rPr>
              <w:t xml:space="preserve">Day-Ahead Self-Arranged </w:t>
            </w:r>
            <w:r w:rsidRPr="00DD1A20">
              <w:rPr>
                <w:i/>
                <w:sz w:val="20"/>
              </w:rPr>
              <w:t xml:space="preserve">ERCOT Contingency Reserve Service </w:t>
            </w:r>
            <w:r w:rsidRPr="00DD1A20">
              <w:rPr>
                <w:i/>
                <w:iCs/>
                <w:sz w:val="20"/>
              </w:rPr>
              <w:t>Quantity per QSE</w:t>
            </w:r>
            <w:r w:rsidRPr="00DD1A20">
              <w:rPr>
                <w:iCs/>
                <w:sz w:val="20"/>
              </w:rPr>
              <w:t>—The self-arranged</w:t>
            </w:r>
            <w:r w:rsidRPr="00595F3F">
              <w:rPr>
                <w:iCs/>
                <w:sz w:val="20"/>
              </w:rPr>
              <w:t xml:space="preserve"> </w:t>
            </w:r>
            <w:r w:rsidRPr="00237AE8">
              <w:rPr>
                <w:sz w:val="20"/>
              </w:rPr>
              <w:t>ECRS</w:t>
            </w:r>
            <w:r w:rsidRPr="00DD1A20">
              <w:rPr>
                <w:iCs/>
                <w:sz w:val="20"/>
              </w:rPr>
              <w:t xml:space="preserve"> quantity submitted by QSE </w:t>
            </w:r>
            <w:r w:rsidRPr="00DD1A20">
              <w:rPr>
                <w:i/>
                <w:iCs/>
                <w:sz w:val="20"/>
              </w:rPr>
              <w:t>q</w:t>
            </w:r>
            <w:r w:rsidRPr="00DD1A20">
              <w:rPr>
                <w:iCs/>
                <w:sz w:val="20"/>
              </w:rPr>
              <w:t xml:space="preserve"> before 1000 in the Day-Ahead.</w:t>
            </w:r>
          </w:p>
        </w:tc>
      </w:tr>
      <w:tr w:rsidR="00745851" w:rsidRPr="00DD1A20" w14:paraId="1A39862D" w14:textId="77777777" w:rsidTr="00507A85">
        <w:tc>
          <w:tcPr>
            <w:tcW w:w="1126" w:type="pct"/>
          </w:tcPr>
          <w:p w14:paraId="794A2B56" w14:textId="77777777" w:rsidR="00745851" w:rsidRPr="00DD1A20" w:rsidRDefault="00745851" w:rsidP="00507A85">
            <w:pPr>
              <w:spacing w:after="60"/>
              <w:rPr>
                <w:iCs/>
                <w:sz w:val="20"/>
              </w:rPr>
            </w:pPr>
            <w:r w:rsidRPr="00DD1A20">
              <w:rPr>
                <w:iCs/>
                <w:sz w:val="20"/>
              </w:rPr>
              <w:t xml:space="preserve">RTSAECRQ </w:t>
            </w:r>
            <w:r w:rsidRPr="00DD1A20">
              <w:rPr>
                <w:i/>
                <w:sz w:val="20"/>
                <w:vertAlign w:val="subscript"/>
              </w:rPr>
              <w:t>q</w:t>
            </w:r>
          </w:p>
        </w:tc>
        <w:tc>
          <w:tcPr>
            <w:tcW w:w="456" w:type="pct"/>
          </w:tcPr>
          <w:p w14:paraId="2D6D8944" w14:textId="77777777" w:rsidR="00745851" w:rsidRPr="00DD1A20" w:rsidRDefault="00745851" w:rsidP="00507A85">
            <w:pPr>
              <w:spacing w:after="60"/>
              <w:rPr>
                <w:iCs/>
                <w:sz w:val="20"/>
              </w:rPr>
            </w:pPr>
            <w:r w:rsidRPr="00DD1A20">
              <w:rPr>
                <w:iCs/>
                <w:sz w:val="20"/>
              </w:rPr>
              <w:t>MW</w:t>
            </w:r>
          </w:p>
        </w:tc>
        <w:tc>
          <w:tcPr>
            <w:tcW w:w="3418" w:type="pct"/>
          </w:tcPr>
          <w:p w14:paraId="5E37B577" w14:textId="77777777" w:rsidR="00745851" w:rsidRPr="00DD1A20" w:rsidRDefault="00745851" w:rsidP="00507A85">
            <w:pPr>
              <w:spacing w:after="60"/>
              <w:rPr>
                <w:i/>
                <w:iCs/>
                <w:sz w:val="20"/>
              </w:rPr>
            </w:pPr>
            <w:r w:rsidRPr="00DD1A20">
              <w:rPr>
                <w:i/>
                <w:iCs/>
                <w:sz w:val="20"/>
              </w:rPr>
              <w:t xml:space="preserve">Self-Arranged </w:t>
            </w:r>
            <w:r w:rsidRPr="00DD1A20">
              <w:rPr>
                <w:i/>
                <w:sz w:val="20"/>
              </w:rPr>
              <w:t xml:space="preserve">ERCOT Contingency Reserve Service </w:t>
            </w:r>
            <w:r w:rsidRPr="00DD1A20">
              <w:rPr>
                <w:i/>
                <w:iCs/>
                <w:sz w:val="20"/>
              </w:rPr>
              <w:t>Quantity per QSE for all SASMs</w:t>
            </w:r>
            <w:r w:rsidRPr="00DD1A20">
              <w:rPr>
                <w:iCs/>
                <w:sz w:val="20"/>
              </w:rPr>
              <w:t xml:space="preserve">—The sum of all self-arranged ECRS quantities submitted by QSE </w:t>
            </w:r>
            <w:r w:rsidRPr="00DD1A20">
              <w:rPr>
                <w:i/>
                <w:iCs/>
                <w:sz w:val="20"/>
              </w:rPr>
              <w:t>q</w:t>
            </w:r>
            <w:r w:rsidRPr="00DD1A20">
              <w:rPr>
                <w:iCs/>
                <w:sz w:val="20"/>
              </w:rPr>
              <w:t xml:space="preserve"> for all SASMs due to an increase in the Ancillary Service Plan per Section 4.4.7.1.</w:t>
            </w:r>
          </w:p>
        </w:tc>
      </w:tr>
      <w:tr w:rsidR="00745851" w:rsidRPr="00DD1A20" w14:paraId="03E83940" w14:textId="77777777" w:rsidTr="00507A85">
        <w:tc>
          <w:tcPr>
            <w:tcW w:w="1126" w:type="pct"/>
            <w:tcBorders>
              <w:top w:val="single" w:sz="4" w:space="0" w:color="auto"/>
              <w:left w:val="single" w:sz="4" w:space="0" w:color="auto"/>
              <w:bottom w:val="single" w:sz="4" w:space="0" w:color="auto"/>
              <w:right w:val="single" w:sz="4" w:space="0" w:color="auto"/>
            </w:tcBorders>
          </w:tcPr>
          <w:p w14:paraId="2BDD2E10" w14:textId="77777777" w:rsidR="00745851" w:rsidRPr="00DD1A20" w:rsidRDefault="00745851" w:rsidP="00507A85">
            <w:pPr>
              <w:spacing w:after="60"/>
              <w:rPr>
                <w:iCs/>
                <w:sz w:val="20"/>
              </w:rPr>
            </w:pPr>
            <w:r w:rsidRPr="00DD1A20">
              <w:rPr>
                <w:iCs/>
                <w:sz w:val="20"/>
              </w:rPr>
              <w:t xml:space="preserve">MCPCECR </w:t>
            </w:r>
            <w:r w:rsidRPr="00DD1A20">
              <w:rPr>
                <w:i/>
                <w:iCs/>
                <w:sz w:val="20"/>
                <w:vertAlign w:val="subscript"/>
              </w:rPr>
              <w:t>m</w:t>
            </w:r>
          </w:p>
        </w:tc>
        <w:tc>
          <w:tcPr>
            <w:tcW w:w="456" w:type="pct"/>
            <w:tcBorders>
              <w:top w:val="single" w:sz="4" w:space="0" w:color="auto"/>
              <w:left w:val="single" w:sz="4" w:space="0" w:color="auto"/>
              <w:bottom w:val="single" w:sz="4" w:space="0" w:color="auto"/>
              <w:right w:val="single" w:sz="4" w:space="0" w:color="auto"/>
            </w:tcBorders>
          </w:tcPr>
          <w:p w14:paraId="5F3CDAC0" w14:textId="77777777" w:rsidR="00745851" w:rsidRPr="00DD1A20" w:rsidRDefault="00745851" w:rsidP="00507A85">
            <w:pPr>
              <w:spacing w:after="60"/>
              <w:rPr>
                <w:iCs/>
                <w:sz w:val="20"/>
              </w:rPr>
            </w:pPr>
            <w:r w:rsidRPr="00DD1A20">
              <w:rPr>
                <w:iCs/>
                <w:sz w:val="20"/>
              </w:rPr>
              <w:t>$/MW per hour</w:t>
            </w:r>
          </w:p>
        </w:tc>
        <w:tc>
          <w:tcPr>
            <w:tcW w:w="3418" w:type="pct"/>
            <w:tcBorders>
              <w:top w:val="single" w:sz="4" w:space="0" w:color="auto"/>
              <w:left w:val="single" w:sz="4" w:space="0" w:color="auto"/>
              <w:bottom w:val="single" w:sz="4" w:space="0" w:color="auto"/>
              <w:right w:val="single" w:sz="4" w:space="0" w:color="auto"/>
            </w:tcBorders>
          </w:tcPr>
          <w:p w14:paraId="3CA0E7C5" w14:textId="77777777" w:rsidR="00745851" w:rsidRPr="00DD1A20" w:rsidRDefault="00745851" w:rsidP="00507A85">
            <w:pPr>
              <w:spacing w:after="60"/>
              <w:rPr>
                <w:i/>
                <w:iCs/>
                <w:sz w:val="20"/>
              </w:rPr>
            </w:pPr>
            <w:r w:rsidRPr="00DD1A20">
              <w:rPr>
                <w:i/>
                <w:iCs/>
                <w:sz w:val="20"/>
              </w:rPr>
              <w:t>Market Clearing Price for Capacity for ERCOT Contingency Reserve Service per market—</w:t>
            </w:r>
            <w:r w:rsidRPr="00DD1A20">
              <w:rPr>
                <w:iCs/>
                <w:sz w:val="20"/>
              </w:rPr>
              <w:t xml:space="preserve">The MCPC for ECRS in the market </w:t>
            </w:r>
            <w:r w:rsidRPr="00DD1A20">
              <w:rPr>
                <w:i/>
                <w:iCs/>
                <w:sz w:val="20"/>
              </w:rPr>
              <w:t>m</w:t>
            </w:r>
            <w:r w:rsidRPr="00DD1A20">
              <w:rPr>
                <w:iCs/>
                <w:sz w:val="20"/>
              </w:rPr>
              <w:t>, for the hour.</w:t>
            </w:r>
          </w:p>
        </w:tc>
      </w:tr>
      <w:tr w:rsidR="00745851" w:rsidRPr="00DD1A20" w14:paraId="1A083E1B" w14:textId="77777777" w:rsidTr="00507A85">
        <w:tc>
          <w:tcPr>
            <w:tcW w:w="1126" w:type="pct"/>
            <w:tcBorders>
              <w:top w:val="single" w:sz="4" w:space="0" w:color="auto"/>
              <w:left w:val="single" w:sz="4" w:space="0" w:color="auto"/>
              <w:bottom w:val="single" w:sz="4" w:space="0" w:color="auto"/>
              <w:right w:val="single" w:sz="4" w:space="0" w:color="auto"/>
            </w:tcBorders>
          </w:tcPr>
          <w:p w14:paraId="7EE90711" w14:textId="77777777" w:rsidR="00745851" w:rsidRPr="00DD1A20" w:rsidRDefault="00745851" w:rsidP="00507A85">
            <w:pPr>
              <w:spacing w:after="60"/>
              <w:rPr>
                <w:iCs/>
                <w:sz w:val="20"/>
              </w:rPr>
            </w:pPr>
            <w:r w:rsidRPr="00DD1A20">
              <w:rPr>
                <w:sz w:val="20"/>
              </w:rPr>
              <w:t xml:space="preserve">MCPCECR </w:t>
            </w:r>
            <w:r w:rsidRPr="00DD1A20">
              <w:rPr>
                <w:i/>
                <w:sz w:val="20"/>
                <w:vertAlign w:val="subscript"/>
              </w:rPr>
              <w:t>rs</w:t>
            </w:r>
          </w:p>
        </w:tc>
        <w:tc>
          <w:tcPr>
            <w:tcW w:w="456" w:type="pct"/>
            <w:tcBorders>
              <w:top w:val="single" w:sz="4" w:space="0" w:color="auto"/>
              <w:left w:val="single" w:sz="4" w:space="0" w:color="auto"/>
              <w:bottom w:val="single" w:sz="4" w:space="0" w:color="auto"/>
              <w:right w:val="single" w:sz="4" w:space="0" w:color="auto"/>
            </w:tcBorders>
          </w:tcPr>
          <w:p w14:paraId="4CC10791" w14:textId="77777777" w:rsidR="00745851" w:rsidRPr="00DD1A20" w:rsidRDefault="00745851" w:rsidP="00507A85">
            <w:pPr>
              <w:spacing w:after="60"/>
              <w:rPr>
                <w:iCs/>
                <w:sz w:val="20"/>
              </w:rPr>
            </w:pPr>
            <w:r w:rsidRPr="00DD1A20">
              <w:rPr>
                <w:sz w:val="20"/>
              </w:rPr>
              <w:t>$/MW per hour</w:t>
            </w:r>
          </w:p>
        </w:tc>
        <w:tc>
          <w:tcPr>
            <w:tcW w:w="3418" w:type="pct"/>
            <w:tcBorders>
              <w:top w:val="single" w:sz="4" w:space="0" w:color="auto"/>
              <w:left w:val="single" w:sz="4" w:space="0" w:color="auto"/>
              <w:bottom w:val="single" w:sz="4" w:space="0" w:color="auto"/>
              <w:right w:val="single" w:sz="4" w:space="0" w:color="auto"/>
            </w:tcBorders>
          </w:tcPr>
          <w:p w14:paraId="244C3133" w14:textId="77777777" w:rsidR="00745851" w:rsidRPr="00DD1A20" w:rsidRDefault="00745851" w:rsidP="00507A85">
            <w:pPr>
              <w:spacing w:after="60"/>
              <w:rPr>
                <w:i/>
                <w:iCs/>
                <w:sz w:val="20"/>
              </w:rPr>
            </w:pPr>
            <w:r w:rsidRPr="00DD1A20">
              <w:rPr>
                <w:i/>
                <w:sz w:val="20"/>
              </w:rPr>
              <w:t xml:space="preserve">Market Clearing Price for Capacity for </w:t>
            </w:r>
            <w:r w:rsidRPr="00DD1A20">
              <w:rPr>
                <w:i/>
                <w:iCs/>
                <w:sz w:val="20"/>
              </w:rPr>
              <w:t>ERCOT Contingency Reserve Service</w:t>
            </w:r>
            <w:r w:rsidRPr="00DD1A20">
              <w:rPr>
                <w:i/>
                <w:sz w:val="20"/>
              </w:rPr>
              <w:t xml:space="preserve"> per RSASM—</w:t>
            </w:r>
            <w:r w:rsidRPr="00DD1A20">
              <w:rPr>
                <w:sz w:val="20"/>
              </w:rPr>
              <w:t xml:space="preserve">The MCPC for ECRS in the RSASM </w:t>
            </w:r>
            <w:r w:rsidRPr="00DD1A20">
              <w:rPr>
                <w:i/>
                <w:sz w:val="20"/>
              </w:rPr>
              <w:t>rs</w:t>
            </w:r>
            <w:r w:rsidRPr="00DD1A20">
              <w:rPr>
                <w:sz w:val="20"/>
              </w:rPr>
              <w:t>, for the hour.</w:t>
            </w:r>
          </w:p>
        </w:tc>
      </w:tr>
      <w:tr w:rsidR="00745851" w:rsidRPr="00DD1A20" w14:paraId="0CF7C022" w14:textId="77777777" w:rsidTr="00507A85">
        <w:tc>
          <w:tcPr>
            <w:tcW w:w="1126" w:type="pct"/>
            <w:tcBorders>
              <w:top w:val="single" w:sz="4" w:space="0" w:color="auto"/>
              <w:left w:val="single" w:sz="4" w:space="0" w:color="auto"/>
              <w:bottom w:val="single" w:sz="4" w:space="0" w:color="auto"/>
              <w:right w:val="single" w:sz="4" w:space="0" w:color="auto"/>
            </w:tcBorders>
          </w:tcPr>
          <w:p w14:paraId="49435DB6" w14:textId="77777777" w:rsidR="00745851" w:rsidRPr="00DD1A20" w:rsidRDefault="00745851" w:rsidP="00507A85">
            <w:pPr>
              <w:spacing w:after="60"/>
              <w:rPr>
                <w:iCs/>
                <w:sz w:val="20"/>
              </w:rPr>
            </w:pPr>
            <w:r w:rsidRPr="00DD1A20">
              <w:rPr>
                <w:iCs/>
                <w:sz w:val="20"/>
              </w:rPr>
              <w:t xml:space="preserve">ECRFQ </w:t>
            </w:r>
            <w:r w:rsidRPr="00DD1A20">
              <w:rPr>
                <w:i/>
                <w:iCs/>
                <w:sz w:val="20"/>
                <w:vertAlign w:val="subscript"/>
              </w:rPr>
              <w:t>q</w:t>
            </w:r>
          </w:p>
        </w:tc>
        <w:tc>
          <w:tcPr>
            <w:tcW w:w="456" w:type="pct"/>
            <w:tcBorders>
              <w:top w:val="single" w:sz="4" w:space="0" w:color="auto"/>
              <w:left w:val="single" w:sz="4" w:space="0" w:color="auto"/>
              <w:bottom w:val="single" w:sz="4" w:space="0" w:color="auto"/>
              <w:right w:val="single" w:sz="4" w:space="0" w:color="auto"/>
            </w:tcBorders>
          </w:tcPr>
          <w:p w14:paraId="386EE908" w14:textId="77777777" w:rsidR="00745851" w:rsidRPr="00DD1A20" w:rsidRDefault="00745851" w:rsidP="00507A85">
            <w:pPr>
              <w:spacing w:after="60"/>
              <w:rPr>
                <w:iCs/>
                <w:sz w:val="20"/>
              </w:rPr>
            </w:pPr>
            <w:r w:rsidRPr="00DD1A20">
              <w:rPr>
                <w:iCs/>
                <w:sz w:val="20"/>
              </w:rPr>
              <w:t>MW</w:t>
            </w:r>
          </w:p>
        </w:tc>
        <w:tc>
          <w:tcPr>
            <w:tcW w:w="3418" w:type="pct"/>
            <w:tcBorders>
              <w:top w:val="single" w:sz="4" w:space="0" w:color="auto"/>
              <w:left w:val="single" w:sz="4" w:space="0" w:color="auto"/>
              <w:bottom w:val="single" w:sz="4" w:space="0" w:color="auto"/>
              <w:right w:val="single" w:sz="4" w:space="0" w:color="auto"/>
            </w:tcBorders>
          </w:tcPr>
          <w:p w14:paraId="11EEB08D" w14:textId="77777777" w:rsidR="00745851" w:rsidRPr="00DD1A20" w:rsidRDefault="00745851" w:rsidP="00507A85">
            <w:pPr>
              <w:spacing w:after="60"/>
              <w:rPr>
                <w:i/>
                <w:iCs/>
                <w:sz w:val="20"/>
              </w:rPr>
            </w:pPr>
            <w:r w:rsidRPr="00DD1A20">
              <w:rPr>
                <w:i/>
                <w:iCs/>
                <w:sz w:val="20"/>
              </w:rPr>
              <w:t>ERCOT Contingency Reserve Service Failure Quantity per QSE</w:t>
            </w:r>
            <w:r w:rsidRPr="00DD1A20">
              <w:rPr>
                <w:i/>
                <w:sz w:val="20"/>
              </w:rPr>
              <w:t>—</w:t>
            </w:r>
            <w:r w:rsidRPr="00DD1A20">
              <w:rPr>
                <w:iCs/>
                <w:sz w:val="20"/>
              </w:rPr>
              <w:t xml:space="preserve">QSE </w:t>
            </w:r>
            <w:r w:rsidRPr="00DD1A20">
              <w:rPr>
                <w:i/>
                <w:iCs/>
                <w:sz w:val="20"/>
              </w:rPr>
              <w:t>q</w:t>
            </w:r>
            <w:r w:rsidRPr="00DD1A20">
              <w:rPr>
                <w:iCs/>
                <w:sz w:val="20"/>
              </w:rPr>
              <w:t>’s total capacity associated with failures on its Ancillary Service Supply Responsibility for ECRS, for the hour.</w:t>
            </w:r>
          </w:p>
        </w:tc>
      </w:tr>
      <w:tr w:rsidR="00745851" w:rsidRPr="00DD1A20" w14:paraId="0A4C9854" w14:textId="77777777" w:rsidTr="00507A85">
        <w:tc>
          <w:tcPr>
            <w:tcW w:w="1126" w:type="pct"/>
            <w:tcBorders>
              <w:top w:val="single" w:sz="4" w:space="0" w:color="auto"/>
              <w:left w:val="single" w:sz="4" w:space="0" w:color="auto"/>
              <w:bottom w:val="single" w:sz="4" w:space="0" w:color="auto"/>
              <w:right w:val="single" w:sz="4" w:space="0" w:color="auto"/>
            </w:tcBorders>
          </w:tcPr>
          <w:p w14:paraId="17928097" w14:textId="77777777" w:rsidR="00745851" w:rsidRPr="00DD1A20" w:rsidRDefault="00745851" w:rsidP="00507A85">
            <w:pPr>
              <w:spacing w:after="60"/>
              <w:rPr>
                <w:iCs/>
                <w:sz w:val="20"/>
              </w:rPr>
            </w:pPr>
            <w:r w:rsidRPr="00DD1A20">
              <w:rPr>
                <w:sz w:val="20"/>
              </w:rPr>
              <w:t>RECRFQ</w:t>
            </w:r>
            <w:r w:rsidRPr="00DD1A20">
              <w:rPr>
                <w:i/>
                <w:sz w:val="20"/>
              </w:rPr>
              <w:t xml:space="preserve"> </w:t>
            </w:r>
            <w:r w:rsidRPr="00DD1A20">
              <w:rPr>
                <w:i/>
                <w:iCs/>
                <w:sz w:val="20"/>
                <w:vertAlign w:val="subscript"/>
              </w:rPr>
              <w:t>q,</w:t>
            </w:r>
            <w:r w:rsidRPr="00DD1A20">
              <w:rPr>
                <w:i/>
                <w:sz w:val="20"/>
                <w:vertAlign w:val="subscript"/>
              </w:rPr>
              <w:t xml:space="preserve"> rs</w:t>
            </w:r>
          </w:p>
        </w:tc>
        <w:tc>
          <w:tcPr>
            <w:tcW w:w="456" w:type="pct"/>
            <w:tcBorders>
              <w:top w:val="single" w:sz="4" w:space="0" w:color="auto"/>
              <w:left w:val="single" w:sz="4" w:space="0" w:color="auto"/>
              <w:bottom w:val="single" w:sz="4" w:space="0" w:color="auto"/>
              <w:right w:val="single" w:sz="4" w:space="0" w:color="auto"/>
            </w:tcBorders>
          </w:tcPr>
          <w:p w14:paraId="6A5BE916" w14:textId="77777777" w:rsidR="00745851" w:rsidRPr="00DD1A20" w:rsidRDefault="00745851" w:rsidP="00507A85">
            <w:pPr>
              <w:spacing w:after="60"/>
              <w:rPr>
                <w:iCs/>
                <w:sz w:val="20"/>
              </w:rPr>
            </w:pPr>
            <w:r w:rsidRPr="00DD1A20">
              <w:rPr>
                <w:sz w:val="20"/>
              </w:rPr>
              <w:t>MW</w:t>
            </w:r>
          </w:p>
        </w:tc>
        <w:tc>
          <w:tcPr>
            <w:tcW w:w="3418" w:type="pct"/>
            <w:tcBorders>
              <w:top w:val="single" w:sz="4" w:space="0" w:color="auto"/>
              <w:left w:val="single" w:sz="4" w:space="0" w:color="auto"/>
              <w:bottom w:val="single" w:sz="4" w:space="0" w:color="auto"/>
              <w:right w:val="single" w:sz="4" w:space="0" w:color="auto"/>
            </w:tcBorders>
          </w:tcPr>
          <w:p w14:paraId="6309CEBA" w14:textId="77777777" w:rsidR="00745851" w:rsidRPr="00DD1A20" w:rsidRDefault="00745851" w:rsidP="00507A85">
            <w:pPr>
              <w:spacing w:after="60"/>
              <w:rPr>
                <w:iCs/>
                <w:sz w:val="20"/>
              </w:rPr>
            </w:pPr>
            <w:r w:rsidRPr="00DD1A20">
              <w:rPr>
                <w:i/>
                <w:sz w:val="20"/>
              </w:rPr>
              <w:t xml:space="preserve">Reconfiguration </w:t>
            </w:r>
            <w:r w:rsidRPr="00DD1A20">
              <w:rPr>
                <w:i/>
                <w:iCs/>
                <w:sz w:val="20"/>
              </w:rPr>
              <w:t>ERCOT Contingency Reserve Service</w:t>
            </w:r>
            <w:r w:rsidRPr="00DD1A20">
              <w:rPr>
                <w:i/>
                <w:sz w:val="20"/>
              </w:rPr>
              <w:t xml:space="preserve"> Failure Quantity per QSE—</w:t>
            </w:r>
            <w:r w:rsidRPr="00DD1A20">
              <w:rPr>
                <w:sz w:val="20"/>
              </w:rPr>
              <w:t xml:space="preserve">QSE </w:t>
            </w:r>
            <w:r w:rsidRPr="00DD1A20">
              <w:rPr>
                <w:i/>
                <w:sz w:val="20"/>
              </w:rPr>
              <w:t>q</w:t>
            </w:r>
            <w:r w:rsidRPr="00DD1A20">
              <w:rPr>
                <w:sz w:val="20"/>
              </w:rPr>
              <w:t>’s total capacity associated with reconfiguration reductions on its Ancillary Service Supply Responsibility for ECRS, for the hour.</w:t>
            </w:r>
          </w:p>
        </w:tc>
      </w:tr>
      <w:tr w:rsidR="00745851" w:rsidRPr="00DD1A20" w14:paraId="64ECBF54" w14:textId="77777777" w:rsidTr="00507A85">
        <w:tc>
          <w:tcPr>
            <w:tcW w:w="1126" w:type="pct"/>
            <w:tcBorders>
              <w:top w:val="single" w:sz="4" w:space="0" w:color="auto"/>
              <w:left w:val="single" w:sz="4" w:space="0" w:color="auto"/>
              <w:bottom w:val="single" w:sz="4" w:space="0" w:color="auto"/>
              <w:right w:val="single" w:sz="4" w:space="0" w:color="auto"/>
            </w:tcBorders>
          </w:tcPr>
          <w:p w14:paraId="377C916D" w14:textId="77777777" w:rsidR="00745851" w:rsidRPr="00DD1A20" w:rsidRDefault="00745851" w:rsidP="00507A85">
            <w:pPr>
              <w:spacing w:after="60"/>
              <w:rPr>
                <w:sz w:val="20"/>
              </w:rPr>
            </w:pPr>
            <w:r w:rsidRPr="00DD1A20">
              <w:rPr>
                <w:bCs/>
                <w:sz w:val="20"/>
              </w:rPr>
              <w:t xml:space="preserve">TELRRSR </w:t>
            </w:r>
            <w:r w:rsidRPr="00DD1A20">
              <w:rPr>
                <w:bCs/>
                <w:i/>
                <w:iCs/>
                <w:sz w:val="20"/>
                <w:vertAlign w:val="subscript"/>
                <w:lang w:val="es-ES"/>
              </w:rPr>
              <w:t>q, r</w:t>
            </w:r>
          </w:p>
        </w:tc>
        <w:tc>
          <w:tcPr>
            <w:tcW w:w="456" w:type="pct"/>
            <w:tcBorders>
              <w:top w:val="single" w:sz="4" w:space="0" w:color="auto"/>
              <w:left w:val="single" w:sz="4" w:space="0" w:color="auto"/>
              <w:bottom w:val="single" w:sz="4" w:space="0" w:color="auto"/>
              <w:right w:val="single" w:sz="4" w:space="0" w:color="auto"/>
            </w:tcBorders>
          </w:tcPr>
          <w:p w14:paraId="40E3E44E" w14:textId="77777777" w:rsidR="00745851" w:rsidRPr="00DD1A20" w:rsidRDefault="00745851" w:rsidP="00507A85">
            <w:pPr>
              <w:spacing w:after="60"/>
              <w:rPr>
                <w:sz w:val="20"/>
              </w:rPr>
            </w:pPr>
            <w:r w:rsidRPr="00DD1A20">
              <w:rPr>
                <w:sz w:val="20"/>
              </w:rPr>
              <w:t>MW</w:t>
            </w:r>
          </w:p>
        </w:tc>
        <w:tc>
          <w:tcPr>
            <w:tcW w:w="3418" w:type="pct"/>
            <w:tcBorders>
              <w:top w:val="single" w:sz="4" w:space="0" w:color="auto"/>
              <w:left w:val="single" w:sz="4" w:space="0" w:color="auto"/>
              <w:bottom w:val="single" w:sz="4" w:space="0" w:color="auto"/>
              <w:right w:val="single" w:sz="4" w:space="0" w:color="auto"/>
            </w:tcBorders>
          </w:tcPr>
          <w:p w14:paraId="01BA58C9" w14:textId="77777777" w:rsidR="00745851" w:rsidRPr="00DD1A20" w:rsidRDefault="00745851" w:rsidP="00507A85">
            <w:pPr>
              <w:spacing w:after="60"/>
              <w:rPr>
                <w:i/>
                <w:sz w:val="20"/>
              </w:rPr>
            </w:pPr>
            <w:r w:rsidRPr="00DD1A20">
              <w:rPr>
                <w:i/>
                <w:sz w:val="20"/>
              </w:rPr>
              <w:t>Telemetered Responsive Reserve Responsibility for the Resource</w:t>
            </w:r>
            <w:r w:rsidRPr="00DD1A20">
              <w:rPr>
                <w:iCs/>
                <w:sz w:val="20"/>
              </w:rPr>
              <w:t xml:space="preserve">—The average time-weighted telemetered RRS </w:t>
            </w:r>
            <w:r w:rsidRPr="00DD1A20">
              <w:rPr>
                <w:iCs/>
                <w:sz w:val="20"/>
                <w:szCs w:val="18"/>
              </w:rPr>
              <w:t xml:space="preserve">Ancillary Service Resource </w:t>
            </w:r>
            <w:r w:rsidRPr="00DD1A20">
              <w:rPr>
                <w:iCs/>
                <w:sz w:val="20"/>
              </w:rPr>
              <w:t xml:space="preserve">Responsibility for the Resource </w:t>
            </w:r>
            <w:r w:rsidRPr="00DD1A20">
              <w:rPr>
                <w:i/>
                <w:sz w:val="20"/>
              </w:rPr>
              <w:t>r</w:t>
            </w:r>
            <w:r w:rsidRPr="00DD1A20">
              <w:rPr>
                <w:iCs/>
                <w:sz w:val="20"/>
              </w:rPr>
              <w:t xml:space="preserve">, represented by the QSE </w:t>
            </w:r>
            <w:r w:rsidRPr="00DD1A20">
              <w:rPr>
                <w:i/>
                <w:sz w:val="20"/>
              </w:rPr>
              <w:t>q,</w:t>
            </w:r>
            <w:r w:rsidRPr="00DD1A20">
              <w:rPr>
                <w:iCs/>
                <w:sz w:val="20"/>
              </w:rPr>
              <w:t xml:space="preserve"> for the hour.  The time-weighted average value is rounded to 0.1 MW.</w:t>
            </w:r>
          </w:p>
        </w:tc>
      </w:tr>
      <w:tr w:rsidR="00745851" w:rsidRPr="00DD1A20" w14:paraId="25525BD6" w14:textId="77777777" w:rsidTr="00507A85">
        <w:tc>
          <w:tcPr>
            <w:tcW w:w="1126" w:type="pct"/>
            <w:tcBorders>
              <w:top w:val="single" w:sz="4" w:space="0" w:color="auto"/>
              <w:left w:val="single" w:sz="4" w:space="0" w:color="auto"/>
              <w:bottom w:val="single" w:sz="4" w:space="0" w:color="auto"/>
              <w:right w:val="single" w:sz="4" w:space="0" w:color="auto"/>
            </w:tcBorders>
          </w:tcPr>
          <w:p w14:paraId="6974EF14" w14:textId="77777777" w:rsidR="00745851" w:rsidRPr="00DD1A20" w:rsidRDefault="00745851" w:rsidP="00507A85">
            <w:pPr>
              <w:spacing w:after="60"/>
              <w:rPr>
                <w:sz w:val="20"/>
              </w:rPr>
            </w:pPr>
            <w:r w:rsidRPr="00DD1A20">
              <w:rPr>
                <w:sz w:val="20"/>
              </w:rPr>
              <w:t xml:space="preserve">TECRFQ </w:t>
            </w:r>
            <w:r w:rsidRPr="00DD1A20">
              <w:rPr>
                <w:i/>
                <w:sz w:val="20"/>
                <w:vertAlign w:val="subscript"/>
              </w:rPr>
              <w:t>q</w:t>
            </w:r>
          </w:p>
        </w:tc>
        <w:tc>
          <w:tcPr>
            <w:tcW w:w="456" w:type="pct"/>
            <w:tcBorders>
              <w:top w:val="single" w:sz="4" w:space="0" w:color="auto"/>
              <w:left w:val="single" w:sz="4" w:space="0" w:color="auto"/>
              <w:bottom w:val="single" w:sz="4" w:space="0" w:color="auto"/>
              <w:right w:val="single" w:sz="4" w:space="0" w:color="auto"/>
            </w:tcBorders>
          </w:tcPr>
          <w:p w14:paraId="4604C2E2" w14:textId="77777777" w:rsidR="00745851" w:rsidRPr="00DD1A20" w:rsidRDefault="00745851" w:rsidP="00507A85">
            <w:pPr>
              <w:spacing w:after="60"/>
              <w:rPr>
                <w:sz w:val="20"/>
              </w:rPr>
            </w:pPr>
            <w:r w:rsidRPr="00DD1A20">
              <w:rPr>
                <w:sz w:val="20"/>
              </w:rPr>
              <w:t>MW</w:t>
            </w:r>
          </w:p>
        </w:tc>
        <w:tc>
          <w:tcPr>
            <w:tcW w:w="3418" w:type="pct"/>
            <w:tcBorders>
              <w:top w:val="single" w:sz="4" w:space="0" w:color="auto"/>
              <w:left w:val="single" w:sz="4" w:space="0" w:color="auto"/>
              <w:bottom w:val="single" w:sz="4" w:space="0" w:color="auto"/>
              <w:right w:val="single" w:sz="4" w:space="0" w:color="auto"/>
            </w:tcBorders>
          </w:tcPr>
          <w:p w14:paraId="3FB5322A" w14:textId="77777777" w:rsidR="00745851" w:rsidRPr="00DD1A20" w:rsidRDefault="00745851" w:rsidP="00507A85">
            <w:pPr>
              <w:autoSpaceDE w:val="0"/>
              <w:autoSpaceDN w:val="0"/>
              <w:adjustRightInd w:val="0"/>
              <w:ind w:left="-58"/>
              <w:rPr>
                <w:i/>
                <w:color w:val="000000"/>
                <w:sz w:val="20"/>
              </w:rPr>
            </w:pPr>
            <w:r w:rsidRPr="00DD1A20">
              <w:rPr>
                <w:i/>
                <w:color w:val="000000"/>
                <w:sz w:val="20"/>
              </w:rPr>
              <w:t>Telemetered ERCOT Contingency Reserve Service Failure Quantity per QSE—</w:t>
            </w:r>
            <w:r w:rsidRPr="00DD1A20">
              <w:rPr>
                <w:color w:val="000000"/>
                <w:sz w:val="20"/>
              </w:rPr>
              <w:t xml:space="preserve">Calculated failure quantity for QSE </w:t>
            </w:r>
            <w:r w:rsidRPr="00DD1A20">
              <w:rPr>
                <w:i/>
                <w:iCs/>
                <w:color w:val="000000"/>
                <w:sz w:val="20"/>
              </w:rPr>
              <w:t xml:space="preserve">q </w:t>
            </w:r>
            <w:r w:rsidRPr="00DD1A20">
              <w:rPr>
                <w:color w:val="000000"/>
                <w:sz w:val="20"/>
              </w:rPr>
              <w:t xml:space="preserve">by comparing its average telemetered ECRS Responsibility to its Ancillary Service Supply </w:t>
            </w:r>
            <w:r w:rsidRPr="00DD1A20">
              <w:rPr>
                <w:color w:val="000000"/>
                <w:sz w:val="20"/>
              </w:rPr>
              <w:lastRenderedPageBreak/>
              <w:t>Responsibility for ECRS as calculated per paragraph (1) of Section 4.4.7.4, for the hour.</w:t>
            </w:r>
          </w:p>
        </w:tc>
      </w:tr>
      <w:tr w:rsidR="00745851" w:rsidRPr="00DD1A20" w14:paraId="64C8F5D6" w14:textId="77777777" w:rsidTr="00507A85">
        <w:tc>
          <w:tcPr>
            <w:tcW w:w="1126" w:type="pct"/>
            <w:tcBorders>
              <w:top w:val="single" w:sz="4" w:space="0" w:color="auto"/>
              <w:left w:val="single" w:sz="4" w:space="0" w:color="auto"/>
              <w:bottom w:val="single" w:sz="4" w:space="0" w:color="auto"/>
              <w:right w:val="single" w:sz="4" w:space="0" w:color="auto"/>
            </w:tcBorders>
          </w:tcPr>
          <w:p w14:paraId="6399EDC4" w14:textId="77777777" w:rsidR="00745851" w:rsidRPr="00DD1A20" w:rsidRDefault="00745851" w:rsidP="00507A85">
            <w:pPr>
              <w:spacing w:after="60"/>
              <w:rPr>
                <w:sz w:val="20"/>
              </w:rPr>
            </w:pPr>
            <w:r w:rsidRPr="00DD1A20">
              <w:rPr>
                <w:i/>
                <w:sz w:val="20"/>
              </w:rPr>
              <w:lastRenderedPageBreak/>
              <w:t>i</w:t>
            </w:r>
          </w:p>
        </w:tc>
        <w:tc>
          <w:tcPr>
            <w:tcW w:w="456" w:type="pct"/>
            <w:tcBorders>
              <w:top w:val="single" w:sz="4" w:space="0" w:color="auto"/>
              <w:left w:val="single" w:sz="4" w:space="0" w:color="auto"/>
              <w:bottom w:val="single" w:sz="4" w:space="0" w:color="auto"/>
              <w:right w:val="single" w:sz="4" w:space="0" w:color="auto"/>
            </w:tcBorders>
          </w:tcPr>
          <w:p w14:paraId="23436DEB" w14:textId="77777777" w:rsidR="00745851" w:rsidRPr="00DD1A20" w:rsidRDefault="00745851" w:rsidP="00507A85">
            <w:pPr>
              <w:spacing w:after="60"/>
              <w:rPr>
                <w:sz w:val="20"/>
              </w:rPr>
            </w:pPr>
            <w:r w:rsidRPr="00DD1A20">
              <w:rPr>
                <w:sz w:val="20"/>
              </w:rPr>
              <w:t>none</w:t>
            </w:r>
          </w:p>
        </w:tc>
        <w:tc>
          <w:tcPr>
            <w:tcW w:w="3418" w:type="pct"/>
            <w:tcBorders>
              <w:top w:val="single" w:sz="4" w:space="0" w:color="auto"/>
              <w:left w:val="single" w:sz="4" w:space="0" w:color="auto"/>
              <w:bottom w:val="single" w:sz="4" w:space="0" w:color="auto"/>
              <w:right w:val="single" w:sz="4" w:space="0" w:color="auto"/>
            </w:tcBorders>
          </w:tcPr>
          <w:p w14:paraId="6CDC918E" w14:textId="77777777" w:rsidR="00745851" w:rsidRPr="00DD1A20" w:rsidRDefault="00745851" w:rsidP="00507A85">
            <w:pPr>
              <w:spacing w:after="60"/>
              <w:rPr>
                <w:i/>
                <w:sz w:val="20"/>
              </w:rPr>
            </w:pPr>
            <w:r w:rsidRPr="00DD1A20">
              <w:rPr>
                <w:sz w:val="20"/>
              </w:rPr>
              <w:t>A 15-minute Settlement Interval within the Operating Hour.</w:t>
            </w:r>
          </w:p>
        </w:tc>
      </w:tr>
      <w:tr w:rsidR="00745851" w:rsidRPr="00DD1A20" w14:paraId="1139850F" w14:textId="77777777" w:rsidTr="00507A85">
        <w:tc>
          <w:tcPr>
            <w:tcW w:w="1126" w:type="pct"/>
            <w:tcBorders>
              <w:top w:val="single" w:sz="4" w:space="0" w:color="auto"/>
              <w:left w:val="single" w:sz="4" w:space="0" w:color="auto"/>
              <w:bottom w:val="single" w:sz="4" w:space="0" w:color="auto"/>
              <w:right w:val="single" w:sz="4" w:space="0" w:color="auto"/>
            </w:tcBorders>
          </w:tcPr>
          <w:p w14:paraId="0C8BF953" w14:textId="77777777" w:rsidR="00745851" w:rsidRPr="00DD1A20" w:rsidRDefault="00745851" w:rsidP="00507A85">
            <w:pPr>
              <w:spacing w:after="60"/>
              <w:rPr>
                <w:i/>
                <w:iCs/>
                <w:sz w:val="20"/>
              </w:rPr>
            </w:pPr>
            <w:r w:rsidRPr="00DD1A20">
              <w:rPr>
                <w:i/>
                <w:sz w:val="20"/>
              </w:rPr>
              <w:t>rs</w:t>
            </w:r>
          </w:p>
        </w:tc>
        <w:tc>
          <w:tcPr>
            <w:tcW w:w="456" w:type="pct"/>
            <w:tcBorders>
              <w:top w:val="single" w:sz="4" w:space="0" w:color="auto"/>
              <w:left w:val="single" w:sz="4" w:space="0" w:color="auto"/>
              <w:bottom w:val="single" w:sz="4" w:space="0" w:color="auto"/>
              <w:right w:val="single" w:sz="4" w:space="0" w:color="auto"/>
            </w:tcBorders>
          </w:tcPr>
          <w:p w14:paraId="70E88BD0" w14:textId="77777777" w:rsidR="00745851" w:rsidRPr="00DD1A20" w:rsidRDefault="00745851" w:rsidP="00507A85">
            <w:pPr>
              <w:spacing w:after="60"/>
              <w:rPr>
                <w:iCs/>
                <w:sz w:val="20"/>
              </w:rPr>
            </w:pPr>
            <w:r w:rsidRPr="00DD1A20">
              <w:rPr>
                <w:sz w:val="20"/>
              </w:rPr>
              <w:t>none</w:t>
            </w:r>
          </w:p>
        </w:tc>
        <w:tc>
          <w:tcPr>
            <w:tcW w:w="3418" w:type="pct"/>
            <w:tcBorders>
              <w:top w:val="single" w:sz="4" w:space="0" w:color="auto"/>
              <w:left w:val="single" w:sz="4" w:space="0" w:color="auto"/>
              <w:bottom w:val="single" w:sz="4" w:space="0" w:color="auto"/>
              <w:right w:val="single" w:sz="4" w:space="0" w:color="auto"/>
            </w:tcBorders>
          </w:tcPr>
          <w:p w14:paraId="2448A047" w14:textId="77777777" w:rsidR="00745851" w:rsidRPr="00DD1A20" w:rsidRDefault="00745851" w:rsidP="00507A85">
            <w:pPr>
              <w:spacing w:after="60"/>
              <w:rPr>
                <w:iCs/>
                <w:sz w:val="20"/>
              </w:rPr>
            </w:pPr>
            <w:r w:rsidRPr="00DD1A20">
              <w:rPr>
                <w:sz w:val="20"/>
              </w:rPr>
              <w:t>The RSASM for the given Operating Hour.</w:t>
            </w:r>
          </w:p>
        </w:tc>
      </w:tr>
      <w:tr w:rsidR="00745851" w:rsidRPr="00DD1A20" w14:paraId="15F63CEE" w14:textId="77777777" w:rsidTr="00507A85">
        <w:tc>
          <w:tcPr>
            <w:tcW w:w="1126" w:type="pct"/>
            <w:tcBorders>
              <w:top w:val="single" w:sz="4" w:space="0" w:color="auto"/>
              <w:left w:val="single" w:sz="4" w:space="0" w:color="auto"/>
              <w:bottom w:val="single" w:sz="4" w:space="0" w:color="auto"/>
              <w:right w:val="single" w:sz="4" w:space="0" w:color="auto"/>
            </w:tcBorders>
          </w:tcPr>
          <w:p w14:paraId="66B24BF1" w14:textId="77777777" w:rsidR="00745851" w:rsidRPr="00DD1A20" w:rsidRDefault="00745851" w:rsidP="00507A85">
            <w:pPr>
              <w:spacing w:after="60"/>
              <w:rPr>
                <w:i/>
                <w:iCs/>
                <w:sz w:val="20"/>
              </w:rPr>
            </w:pPr>
            <w:r w:rsidRPr="00DD1A20">
              <w:rPr>
                <w:i/>
                <w:iCs/>
                <w:sz w:val="20"/>
              </w:rPr>
              <w:t>m</w:t>
            </w:r>
          </w:p>
        </w:tc>
        <w:tc>
          <w:tcPr>
            <w:tcW w:w="456" w:type="pct"/>
            <w:tcBorders>
              <w:top w:val="single" w:sz="4" w:space="0" w:color="auto"/>
              <w:left w:val="single" w:sz="4" w:space="0" w:color="auto"/>
              <w:bottom w:val="single" w:sz="4" w:space="0" w:color="auto"/>
              <w:right w:val="single" w:sz="4" w:space="0" w:color="auto"/>
            </w:tcBorders>
          </w:tcPr>
          <w:p w14:paraId="61183EEE" w14:textId="77777777" w:rsidR="00745851" w:rsidRPr="00DD1A20" w:rsidRDefault="00745851" w:rsidP="00507A85">
            <w:pPr>
              <w:spacing w:after="60"/>
              <w:rPr>
                <w:iCs/>
                <w:sz w:val="20"/>
              </w:rPr>
            </w:pPr>
            <w:r w:rsidRPr="00DD1A20">
              <w:rPr>
                <w:iCs/>
                <w:sz w:val="20"/>
              </w:rPr>
              <w:t>none</w:t>
            </w:r>
          </w:p>
        </w:tc>
        <w:tc>
          <w:tcPr>
            <w:tcW w:w="3418" w:type="pct"/>
            <w:tcBorders>
              <w:top w:val="single" w:sz="4" w:space="0" w:color="auto"/>
              <w:left w:val="single" w:sz="4" w:space="0" w:color="auto"/>
              <w:bottom w:val="single" w:sz="4" w:space="0" w:color="auto"/>
              <w:right w:val="single" w:sz="4" w:space="0" w:color="auto"/>
            </w:tcBorders>
          </w:tcPr>
          <w:p w14:paraId="7A331D41" w14:textId="77777777" w:rsidR="00745851" w:rsidRPr="00DD1A20" w:rsidRDefault="00745851" w:rsidP="00507A85">
            <w:pPr>
              <w:spacing w:after="60"/>
              <w:rPr>
                <w:iCs/>
                <w:sz w:val="20"/>
              </w:rPr>
            </w:pPr>
            <w:r w:rsidRPr="00DD1A20">
              <w:rPr>
                <w:iCs/>
                <w:sz w:val="20"/>
              </w:rPr>
              <w:t>The DAM, SASM, or RSASM for the given Operating Hour.</w:t>
            </w:r>
          </w:p>
        </w:tc>
      </w:tr>
      <w:tr w:rsidR="00745851" w:rsidRPr="00DD1A20" w14:paraId="17DF79E6" w14:textId="77777777" w:rsidTr="00507A85">
        <w:tc>
          <w:tcPr>
            <w:tcW w:w="1126" w:type="pct"/>
            <w:tcBorders>
              <w:top w:val="single" w:sz="4" w:space="0" w:color="auto"/>
              <w:left w:val="single" w:sz="4" w:space="0" w:color="auto"/>
              <w:bottom w:val="single" w:sz="4" w:space="0" w:color="auto"/>
              <w:right w:val="single" w:sz="4" w:space="0" w:color="auto"/>
            </w:tcBorders>
          </w:tcPr>
          <w:p w14:paraId="228C22BF" w14:textId="77777777" w:rsidR="00745851" w:rsidRPr="00DD1A20" w:rsidRDefault="00745851" w:rsidP="00507A85">
            <w:pPr>
              <w:spacing w:after="60"/>
              <w:rPr>
                <w:i/>
                <w:iCs/>
                <w:sz w:val="20"/>
              </w:rPr>
            </w:pPr>
            <w:r w:rsidRPr="00DD1A20">
              <w:rPr>
                <w:i/>
                <w:iCs/>
                <w:sz w:val="20"/>
              </w:rPr>
              <w:t>q</w:t>
            </w:r>
          </w:p>
        </w:tc>
        <w:tc>
          <w:tcPr>
            <w:tcW w:w="456" w:type="pct"/>
            <w:tcBorders>
              <w:top w:val="single" w:sz="4" w:space="0" w:color="auto"/>
              <w:left w:val="single" w:sz="4" w:space="0" w:color="auto"/>
              <w:bottom w:val="single" w:sz="4" w:space="0" w:color="auto"/>
              <w:right w:val="single" w:sz="4" w:space="0" w:color="auto"/>
            </w:tcBorders>
          </w:tcPr>
          <w:p w14:paraId="751DBA46" w14:textId="77777777" w:rsidR="00745851" w:rsidRPr="00DD1A20" w:rsidRDefault="00745851" w:rsidP="00507A85">
            <w:pPr>
              <w:spacing w:after="60"/>
              <w:rPr>
                <w:iCs/>
                <w:sz w:val="20"/>
              </w:rPr>
            </w:pPr>
            <w:r w:rsidRPr="00DD1A20">
              <w:rPr>
                <w:iCs/>
                <w:sz w:val="20"/>
              </w:rPr>
              <w:t>none</w:t>
            </w:r>
          </w:p>
        </w:tc>
        <w:tc>
          <w:tcPr>
            <w:tcW w:w="3418" w:type="pct"/>
            <w:tcBorders>
              <w:top w:val="single" w:sz="4" w:space="0" w:color="auto"/>
              <w:left w:val="single" w:sz="4" w:space="0" w:color="auto"/>
              <w:bottom w:val="single" w:sz="4" w:space="0" w:color="auto"/>
              <w:right w:val="single" w:sz="4" w:space="0" w:color="auto"/>
            </w:tcBorders>
          </w:tcPr>
          <w:p w14:paraId="107FF4D0" w14:textId="77777777" w:rsidR="00745851" w:rsidRPr="00DD1A20" w:rsidRDefault="00745851" w:rsidP="00507A85">
            <w:pPr>
              <w:spacing w:after="60"/>
              <w:rPr>
                <w:iCs/>
                <w:sz w:val="20"/>
              </w:rPr>
            </w:pPr>
            <w:r w:rsidRPr="00DD1A20">
              <w:rPr>
                <w:iCs/>
                <w:sz w:val="20"/>
              </w:rPr>
              <w:t>A QSE.</w:t>
            </w:r>
          </w:p>
        </w:tc>
      </w:tr>
      <w:tr w:rsidR="00745851" w:rsidRPr="00DD1A20" w14:paraId="39238CB8" w14:textId="77777777" w:rsidTr="00507A85">
        <w:trPr>
          <w:trHeight w:val="161"/>
        </w:trPr>
        <w:tc>
          <w:tcPr>
            <w:tcW w:w="1126" w:type="pct"/>
            <w:tcBorders>
              <w:top w:val="single" w:sz="4" w:space="0" w:color="auto"/>
              <w:left w:val="single" w:sz="4" w:space="0" w:color="auto"/>
              <w:bottom w:val="single" w:sz="4" w:space="0" w:color="auto"/>
              <w:right w:val="single" w:sz="4" w:space="0" w:color="auto"/>
            </w:tcBorders>
          </w:tcPr>
          <w:p w14:paraId="73543814" w14:textId="77777777" w:rsidR="00745851" w:rsidRPr="00DD1A20" w:rsidRDefault="00745851" w:rsidP="00507A85">
            <w:pPr>
              <w:spacing w:after="60"/>
              <w:rPr>
                <w:i/>
                <w:iCs/>
                <w:sz w:val="20"/>
              </w:rPr>
            </w:pPr>
            <w:r w:rsidRPr="00DD1A20">
              <w:rPr>
                <w:i/>
                <w:sz w:val="20"/>
              </w:rPr>
              <w:t>r</w:t>
            </w:r>
          </w:p>
        </w:tc>
        <w:tc>
          <w:tcPr>
            <w:tcW w:w="456" w:type="pct"/>
            <w:tcBorders>
              <w:top w:val="single" w:sz="4" w:space="0" w:color="auto"/>
              <w:left w:val="single" w:sz="4" w:space="0" w:color="auto"/>
              <w:bottom w:val="single" w:sz="4" w:space="0" w:color="auto"/>
              <w:right w:val="single" w:sz="4" w:space="0" w:color="auto"/>
            </w:tcBorders>
          </w:tcPr>
          <w:p w14:paraId="00F85B12" w14:textId="77777777" w:rsidR="00745851" w:rsidRPr="00DD1A20" w:rsidRDefault="00745851" w:rsidP="00507A85">
            <w:pPr>
              <w:spacing w:after="60"/>
              <w:rPr>
                <w:iCs/>
                <w:sz w:val="20"/>
              </w:rPr>
            </w:pPr>
            <w:r w:rsidRPr="00DD1A20">
              <w:rPr>
                <w:sz w:val="20"/>
              </w:rPr>
              <w:t>none</w:t>
            </w:r>
          </w:p>
        </w:tc>
        <w:tc>
          <w:tcPr>
            <w:tcW w:w="3418" w:type="pct"/>
            <w:tcBorders>
              <w:top w:val="single" w:sz="4" w:space="0" w:color="auto"/>
              <w:left w:val="single" w:sz="4" w:space="0" w:color="auto"/>
              <w:bottom w:val="single" w:sz="4" w:space="0" w:color="auto"/>
              <w:right w:val="single" w:sz="4" w:space="0" w:color="auto"/>
            </w:tcBorders>
          </w:tcPr>
          <w:p w14:paraId="52CA6222" w14:textId="77777777" w:rsidR="00745851" w:rsidRPr="00DD1A20" w:rsidRDefault="00745851" w:rsidP="00507A85">
            <w:pPr>
              <w:spacing w:after="60"/>
              <w:rPr>
                <w:iCs/>
                <w:sz w:val="20"/>
              </w:rPr>
            </w:pPr>
            <w:r w:rsidRPr="00DD1A20">
              <w:rPr>
                <w:sz w:val="20"/>
              </w:rPr>
              <w:t>A Resource that is qualified to provide ECRS.</w:t>
            </w:r>
          </w:p>
        </w:tc>
      </w:tr>
    </w:tbl>
    <w:p w14:paraId="65AB846E" w14:textId="77777777" w:rsidR="00070608" w:rsidRPr="00221BB6" w:rsidRDefault="00070608" w:rsidP="00221BB6"/>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043D0AFD" w14:textId="77777777" w:rsidTr="001138B9">
        <w:trPr>
          <w:trHeight w:val="206"/>
        </w:trPr>
        <w:tc>
          <w:tcPr>
            <w:tcW w:w="9350" w:type="dxa"/>
            <w:shd w:val="pct12" w:color="auto" w:fill="auto"/>
          </w:tcPr>
          <w:p w14:paraId="0E058146" w14:textId="41CAF539" w:rsidR="00221BB6" w:rsidRPr="00B06583" w:rsidRDefault="00221BB6" w:rsidP="008222B8">
            <w:pPr>
              <w:pStyle w:val="Instructions"/>
              <w:spacing w:before="120"/>
            </w:pPr>
            <w:r>
              <w:t>[NPRR1010:  Delete Section 6.7.3 above upon system implementation of the Real-Time Co-Optimization (RTC) project</w:t>
            </w:r>
            <w:r w:rsidR="008C3F9B">
              <w:t>.</w:t>
            </w:r>
            <w:r>
              <w:t>]</w:t>
            </w:r>
          </w:p>
        </w:tc>
      </w:tr>
    </w:tbl>
    <w:p w14:paraId="51557BBE" w14:textId="77777777" w:rsidR="001F04FD" w:rsidRDefault="001F04FD" w:rsidP="001F04FD">
      <w:pPr>
        <w:pStyle w:val="H3"/>
        <w:spacing w:before="480"/>
      </w:pPr>
      <w:bookmarkStart w:id="2739" w:name="_Toc204411746"/>
      <w:r>
        <w:t>6.7.4</w:t>
      </w:r>
      <w:r>
        <w:tab/>
        <w:t>Adjustments to Cost Allocations for Ancillary Services Procurement</w:t>
      </w:r>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p>
    <w:p w14:paraId="577902D6" w14:textId="45F80E0E" w:rsidR="008C5104" w:rsidRPr="007E46C9" w:rsidRDefault="008C5104" w:rsidP="008C5104">
      <w:pPr>
        <w:spacing w:after="240"/>
        <w:ind w:left="720" w:hanging="720"/>
        <w:rPr>
          <w:iCs/>
        </w:rPr>
      </w:pPr>
      <w:r w:rsidRPr="007E46C9">
        <w:rPr>
          <w:iCs/>
        </w:rPr>
        <w:t>(1)</w:t>
      </w:r>
      <w:r w:rsidRPr="007E46C9">
        <w:rPr>
          <w:iCs/>
        </w:rPr>
        <w:tab/>
        <w:t>Each QSE for which ERCOT purchases Ancillary Service capacity in the DAM, a SASM, or an RSASM, is charged for the QSE’s share of the net costs incurred for each service.  For each QSE, its share of the DAM costs has been calculated in Section 4.6.4, Settlement of Ancillary Services Procured in the DAM; its share of the net total costs incurred in the DAM, a SASM, or an RSASM less its DAM charge is calculated in this section.</w:t>
      </w:r>
    </w:p>
    <w:p w14:paraId="586EAB46" w14:textId="77777777" w:rsidR="008C5104" w:rsidRPr="007E46C9" w:rsidRDefault="008C5104" w:rsidP="008C5104">
      <w:pPr>
        <w:spacing w:after="240"/>
        <w:ind w:left="720" w:hanging="720"/>
        <w:rPr>
          <w:iCs/>
        </w:rPr>
      </w:pPr>
      <w:r w:rsidRPr="007E46C9">
        <w:rPr>
          <w:iCs/>
        </w:rPr>
        <w:t>(2)</w:t>
      </w:r>
      <w:r w:rsidRPr="007E46C9">
        <w:rPr>
          <w:iCs/>
        </w:rPr>
        <w:tab/>
        <w:t>For Reg-Up, if applicable:</w:t>
      </w:r>
    </w:p>
    <w:p w14:paraId="28AD8CF9" w14:textId="77777777" w:rsidR="008C5104" w:rsidRPr="007E46C9" w:rsidRDefault="008C5104" w:rsidP="008C5104">
      <w:pPr>
        <w:spacing w:after="240"/>
        <w:ind w:left="1440" w:hanging="720"/>
      </w:pPr>
      <w:r w:rsidRPr="007E46C9">
        <w:t>(a)</w:t>
      </w:r>
      <w:r w:rsidRPr="007E46C9">
        <w:tab/>
        <w:t>The net total costs for Reg-Up for a given Operating Hour is calculated as follows:</w:t>
      </w:r>
    </w:p>
    <w:p w14:paraId="2505FF8E" w14:textId="0DA0B1DB" w:rsidR="008C5104" w:rsidRDefault="008C5104" w:rsidP="008C5104">
      <w:pPr>
        <w:spacing w:after="120"/>
        <w:ind w:left="2880" w:hanging="2160"/>
        <w:rPr>
          <w:b/>
          <w:bCs/>
        </w:rPr>
      </w:pPr>
      <w:r w:rsidRPr="007E46C9">
        <w:rPr>
          <w:b/>
          <w:bCs/>
        </w:rPr>
        <w:t>RUCOSTTOT</w:t>
      </w:r>
      <w:r w:rsidRPr="007E46C9">
        <w:rPr>
          <w:b/>
          <w:bCs/>
        </w:rPr>
        <w:tab/>
        <w:t>=</w:t>
      </w:r>
      <w:r w:rsidRPr="007E46C9">
        <w:rPr>
          <w:b/>
          <w:bCs/>
        </w:rPr>
        <w:tab/>
        <w:t>(-1) * (</w:t>
      </w:r>
      <w:r w:rsidR="00A94020">
        <w:rPr>
          <w:b/>
          <w:bCs/>
          <w:noProof/>
          <w:position w:val="-20"/>
        </w:rPr>
        <w:drawing>
          <wp:inline distT="0" distB="0" distL="0" distR="0" wp14:anchorId="369AD666" wp14:editId="3E3B8D18">
            <wp:extent cx="142875" cy="2762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(RTPCRUAMTTOT </w:t>
      </w:r>
      <w:r w:rsidRPr="007E46C9">
        <w:rPr>
          <w:b/>
          <w:bCs/>
          <w:i/>
          <w:vertAlign w:val="subscript"/>
        </w:rPr>
        <w:t>m</w:t>
      </w:r>
      <w:r w:rsidRPr="007E46C9">
        <w:rPr>
          <w:b/>
          <w:bCs/>
        </w:rPr>
        <w:t xml:space="preserve">) + </w:t>
      </w:r>
      <w:r w:rsidRPr="007E46C9">
        <w:rPr>
          <w:b/>
          <w:bCs/>
        </w:rPr>
        <w:tab/>
      </w:r>
      <w:r w:rsidRPr="007E46C9">
        <w:rPr>
          <w:b/>
          <w:bCs/>
        </w:rPr>
        <w:tab/>
      </w:r>
      <w:r w:rsidRPr="007E46C9">
        <w:rPr>
          <w:b/>
          <w:bCs/>
        </w:rPr>
        <w:tab/>
        <w:t>PCRUAMTTOT</w:t>
      </w:r>
      <w:r w:rsidRPr="007E46C9">
        <w:rPr>
          <w:b/>
          <w:bCs/>
          <w:i/>
          <w:vertAlign w:val="subscript"/>
        </w:rPr>
        <w:t xml:space="preserve"> </w:t>
      </w:r>
      <w:r w:rsidRPr="007E46C9">
        <w:rPr>
          <w:b/>
          <w:bCs/>
        </w:rPr>
        <w:t xml:space="preserve"> + RUFQAMTTOT</w:t>
      </w:r>
      <w:r>
        <w:rPr>
          <w:b/>
          <w:bCs/>
        </w:rPr>
        <w:t xml:space="preserve"> </w:t>
      </w:r>
      <w:r w:rsidRPr="00E8083C">
        <w:rPr>
          <w:b/>
          <w:bCs/>
        </w:rPr>
        <w:t>+</w:t>
      </w:r>
      <w:r>
        <w:rPr>
          <w:b/>
          <w:bCs/>
        </w:rPr>
        <w:t xml:space="preserve"> </w:t>
      </w:r>
    </w:p>
    <w:p w14:paraId="7229AEEB" w14:textId="77777777" w:rsidR="008C5104" w:rsidRPr="007E46C9" w:rsidRDefault="008C5104" w:rsidP="008C5104">
      <w:pPr>
        <w:spacing w:after="240"/>
        <w:ind w:left="2880" w:firstLine="720"/>
        <w:rPr>
          <w:b/>
          <w:bCs/>
        </w:rPr>
      </w:pPr>
      <w:r w:rsidRPr="00E8083C">
        <w:rPr>
          <w:b/>
          <w:bCs/>
        </w:rPr>
        <w:t>RUINFQAMTTOT</w:t>
      </w:r>
      <w:r w:rsidRPr="007E46C9">
        <w:rPr>
          <w:b/>
          <w:bCs/>
        </w:rPr>
        <w:t>)</w:t>
      </w:r>
    </w:p>
    <w:p w14:paraId="44286063" w14:textId="77777777" w:rsidR="008C5104" w:rsidRPr="007E46C9" w:rsidRDefault="008C5104" w:rsidP="008C5104">
      <w:pPr>
        <w:spacing w:after="240"/>
        <w:rPr>
          <w:iCs/>
        </w:rPr>
      </w:pPr>
      <w:r w:rsidRPr="007E46C9">
        <w:rPr>
          <w:iCs/>
        </w:rPr>
        <w:t xml:space="preserve">Where: </w:t>
      </w:r>
    </w:p>
    <w:p w14:paraId="5C0688E9" w14:textId="77777777" w:rsidR="008C5104" w:rsidRPr="007E46C9" w:rsidRDefault="008C5104" w:rsidP="008C5104">
      <w:r w:rsidRPr="007E46C9">
        <w:t>Total payment of SASM- and RSASM-procured capacity for Reg-Up by market</w:t>
      </w:r>
    </w:p>
    <w:p w14:paraId="01BF2F69" w14:textId="0738247E" w:rsidR="008C5104" w:rsidRPr="007E46C9" w:rsidRDefault="008C5104" w:rsidP="008C5104">
      <w:pPr>
        <w:spacing w:after="240"/>
        <w:ind w:leftChars="300" w:left="2880" w:hangingChars="900" w:hanging="2160"/>
        <w:rPr>
          <w:bCs/>
          <w:i/>
          <w:vertAlign w:val="subscript"/>
        </w:rPr>
      </w:pPr>
      <w:r w:rsidRPr="007E46C9">
        <w:rPr>
          <w:bCs/>
        </w:rPr>
        <w:t xml:space="preserve">RTPCRUAMTTOT </w:t>
      </w:r>
      <w:r w:rsidRPr="007E46C9">
        <w:rPr>
          <w:bCs/>
          <w:i/>
          <w:vertAlign w:val="subscript"/>
        </w:rPr>
        <w:t>m</w:t>
      </w:r>
      <w:r w:rsidRPr="007E46C9">
        <w:rPr>
          <w:bCs/>
        </w:rPr>
        <w:tab/>
      </w:r>
      <w:r w:rsidRPr="007E46C9">
        <w:rPr>
          <w:bCs/>
        </w:rPr>
        <w:tab/>
        <w:t>=</w:t>
      </w:r>
      <w:r w:rsidRPr="007E46C9">
        <w:rPr>
          <w:bCs/>
        </w:rPr>
        <w:tab/>
      </w:r>
      <w:r w:rsidR="00A94020">
        <w:rPr>
          <w:bCs/>
          <w:noProof/>
          <w:position w:val="-22"/>
        </w:rPr>
        <w:drawing>
          <wp:inline distT="0" distB="0" distL="0" distR="0" wp14:anchorId="6D1FD1D5" wp14:editId="7E40638D">
            <wp:extent cx="142875" cy="2952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RTPCRUAMT </w:t>
      </w:r>
      <w:r w:rsidRPr="007E46C9">
        <w:rPr>
          <w:bCs/>
          <w:i/>
          <w:vertAlign w:val="subscript"/>
        </w:rPr>
        <w:t xml:space="preserve">q, m </w:t>
      </w:r>
    </w:p>
    <w:p w14:paraId="1E8A7DAD" w14:textId="77777777" w:rsidR="008C5104" w:rsidRPr="007E46C9" w:rsidRDefault="008C5104" w:rsidP="008C5104">
      <w:r w:rsidRPr="007E46C9">
        <w:t>Total payment of DAM-procured capacity for Reg-Up</w:t>
      </w:r>
    </w:p>
    <w:p w14:paraId="420427F9" w14:textId="6C0986C8" w:rsidR="008C5104" w:rsidRPr="007E46C9" w:rsidRDefault="008C5104" w:rsidP="008C5104">
      <w:pPr>
        <w:spacing w:after="240"/>
        <w:ind w:leftChars="300" w:left="2880" w:hangingChars="900" w:hanging="2160"/>
        <w:rPr>
          <w:bCs/>
        </w:rPr>
      </w:pPr>
      <w:r w:rsidRPr="007E46C9">
        <w:rPr>
          <w:bCs/>
        </w:rPr>
        <w:t>PCRUAMTTOT</w:t>
      </w:r>
      <w:r w:rsidRPr="007E46C9">
        <w:rPr>
          <w:bCs/>
        </w:rPr>
        <w:tab/>
      </w:r>
      <w:r w:rsidRPr="007E46C9">
        <w:rPr>
          <w:bCs/>
        </w:rPr>
        <w:tab/>
        <w:t>=</w:t>
      </w:r>
      <w:r w:rsidRPr="007E46C9">
        <w:rPr>
          <w:bCs/>
        </w:rPr>
        <w:tab/>
      </w:r>
      <w:r w:rsidR="00A94020">
        <w:rPr>
          <w:bCs/>
          <w:noProof/>
          <w:position w:val="-22"/>
        </w:rPr>
        <w:drawing>
          <wp:inline distT="0" distB="0" distL="0" distR="0" wp14:anchorId="78C1BCDB" wp14:editId="115103C0">
            <wp:extent cx="142875" cy="2952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PCRUAMT </w:t>
      </w:r>
      <w:r w:rsidRPr="007E46C9">
        <w:rPr>
          <w:bCs/>
          <w:i/>
          <w:vertAlign w:val="subscript"/>
        </w:rPr>
        <w:t>q</w:t>
      </w:r>
    </w:p>
    <w:p w14:paraId="347E48EF" w14:textId="77777777" w:rsidR="008C5104" w:rsidRPr="007E46C9" w:rsidRDefault="008C5104" w:rsidP="008C5104">
      <w:r w:rsidRPr="007E46C9">
        <w:t>Total charge of failure on Ancillary Service Supply Responsibility for Reg-Up</w:t>
      </w:r>
    </w:p>
    <w:p w14:paraId="6BC0CB9E" w14:textId="42695527" w:rsidR="008C5104" w:rsidRPr="007E46C9" w:rsidRDefault="008C5104" w:rsidP="008C5104">
      <w:pPr>
        <w:spacing w:after="240"/>
        <w:ind w:leftChars="300" w:left="2880" w:hangingChars="900" w:hanging="2160"/>
        <w:rPr>
          <w:bCs/>
          <w:i/>
          <w:vertAlign w:val="subscript"/>
        </w:rPr>
      </w:pPr>
      <w:r w:rsidRPr="007E46C9">
        <w:rPr>
          <w:bCs/>
        </w:rPr>
        <w:t>RUFQAMTTOT</w:t>
      </w:r>
      <w:r w:rsidRPr="007E46C9">
        <w:rPr>
          <w:bCs/>
        </w:rPr>
        <w:tab/>
      </w:r>
      <w:r w:rsidRPr="007E46C9">
        <w:rPr>
          <w:bCs/>
        </w:rPr>
        <w:tab/>
        <w:t>=</w:t>
      </w:r>
      <w:r w:rsidRPr="007E46C9">
        <w:rPr>
          <w:bCs/>
        </w:rPr>
        <w:tab/>
      </w:r>
      <w:r w:rsidR="00A94020">
        <w:rPr>
          <w:bCs/>
          <w:noProof/>
          <w:position w:val="-22"/>
        </w:rPr>
        <w:drawing>
          <wp:inline distT="0" distB="0" distL="0" distR="0" wp14:anchorId="3B770DBA" wp14:editId="208FA994">
            <wp:extent cx="142875" cy="2952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RUFQAMTQSETOT </w:t>
      </w:r>
      <w:r w:rsidRPr="007E46C9">
        <w:rPr>
          <w:bCs/>
          <w:i/>
          <w:vertAlign w:val="subscript"/>
        </w:rPr>
        <w:t>q</w:t>
      </w:r>
    </w:p>
    <w:p w14:paraId="5E506196" w14:textId="77777777" w:rsidR="008C5104" w:rsidRPr="007E46C9" w:rsidRDefault="008C5104" w:rsidP="008C5104">
      <w:pPr>
        <w:tabs>
          <w:tab w:val="left" w:pos="2160"/>
          <w:tab w:val="left" w:pos="2880"/>
        </w:tabs>
        <w:ind w:left="300" w:hangingChars="125" w:hanging="300"/>
        <w:rPr>
          <w:bCs/>
        </w:rPr>
      </w:pPr>
      <w:r w:rsidRPr="007E46C9">
        <w:rPr>
          <w:bCs/>
        </w:rPr>
        <w:t>Total payment of SASM- and RSASM-procured capacity for Reg-Up by QSE</w:t>
      </w:r>
    </w:p>
    <w:p w14:paraId="4CBC94A1" w14:textId="0691A0E3" w:rsidR="008C5104" w:rsidRPr="007E46C9" w:rsidRDefault="008C5104" w:rsidP="008C5104">
      <w:pPr>
        <w:spacing w:after="240"/>
        <w:ind w:leftChars="300" w:left="2880" w:hangingChars="900" w:hanging="2160"/>
        <w:rPr>
          <w:bCs/>
        </w:rPr>
      </w:pPr>
      <w:r w:rsidRPr="007E46C9">
        <w:rPr>
          <w:bCs/>
        </w:rPr>
        <w:lastRenderedPageBreak/>
        <w:t xml:space="preserve">RTPCRUAMTQSETOT </w:t>
      </w:r>
      <w:r w:rsidRPr="0046190C">
        <w:rPr>
          <w:bCs/>
          <w:i/>
          <w:vertAlign w:val="subscript"/>
        </w:rPr>
        <w:t>q</w:t>
      </w:r>
      <w:r w:rsidRPr="007E46C9">
        <w:rPr>
          <w:bCs/>
        </w:rPr>
        <w:tab/>
        <w:t>=</w:t>
      </w:r>
      <w:r w:rsidRPr="007E46C9">
        <w:rPr>
          <w:bCs/>
        </w:rPr>
        <w:tab/>
      </w:r>
      <w:r w:rsidR="00A94020">
        <w:rPr>
          <w:bCs/>
          <w:noProof/>
          <w:position w:val="-20"/>
        </w:rPr>
        <w:drawing>
          <wp:inline distT="0" distB="0" distL="0" distR="0" wp14:anchorId="61566F43" wp14:editId="7ABB82B0">
            <wp:extent cx="142875" cy="2762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RTPCRUAMT </w:t>
      </w:r>
      <w:r w:rsidRPr="007E46C9">
        <w:rPr>
          <w:bCs/>
          <w:i/>
          <w:vertAlign w:val="subscript"/>
        </w:rPr>
        <w:t>q, m</w:t>
      </w:r>
    </w:p>
    <w:p w14:paraId="799EB5DB" w14:textId="77777777" w:rsidR="008C5104" w:rsidRDefault="008C5104" w:rsidP="008C5104">
      <w:r>
        <w:t>Total charge of infeasible Ancillary Service Supply Responsibility for Reg-Up</w:t>
      </w:r>
    </w:p>
    <w:p w14:paraId="58B39CCD" w14:textId="77777777" w:rsidR="008C5104" w:rsidRDefault="008C5104" w:rsidP="00EE4598">
      <w:pPr>
        <w:spacing w:after="240"/>
        <w:ind w:left="2880" w:hanging="2160"/>
      </w:pPr>
      <w:r>
        <w:t>RUINFQAMTTOT</w:t>
      </w:r>
      <w:r>
        <w:tab/>
        <w:t>=</w:t>
      </w:r>
      <w:r>
        <w:tab/>
      </w:r>
      <w:r w:rsidRPr="006F784F">
        <w:rPr>
          <w:position w:val="-22"/>
          <w:lang w:val="pt-BR"/>
        </w:rPr>
        <w:object w:dxaOrig="225" w:dyaOrig="465" w14:anchorId="4BF73D3F">
          <v:shape id="_x0000_i1349" type="#_x0000_t75" style="width:12pt;height:18pt" o:ole="">
            <v:imagedata r:id="rId433" o:title=""/>
          </v:shape>
          <o:OLEObject Type="Embed" ProgID="Equation.3" ShapeID="_x0000_i1349" DrawAspect="Content" ObjectID="_1815025537" r:id="rId434"/>
        </w:object>
      </w:r>
      <w:r w:rsidRPr="002A7C17">
        <w:t xml:space="preserve"> </w:t>
      </w:r>
      <w:r>
        <w:t xml:space="preserve">RUINFQAMT </w:t>
      </w:r>
      <w:r w:rsidRPr="00E8083C">
        <w:rPr>
          <w:i/>
          <w:vertAlign w:val="subscript"/>
        </w:rPr>
        <w:t>q</w:t>
      </w:r>
    </w:p>
    <w:p w14:paraId="7D934341" w14:textId="77777777" w:rsidR="008C5104" w:rsidRPr="007E46C9" w:rsidRDefault="008C5104" w:rsidP="008C5104">
      <w:r w:rsidRPr="007E46C9">
        <w:t>The above variables are defined as follows:</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614"/>
        <w:gridCol w:w="6329"/>
      </w:tblGrid>
      <w:tr w:rsidR="008C5104" w:rsidRPr="007E46C9" w14:paraId="0B13E45E" w14:textId="77777777" w:rsidTr="008C5104">
        <w:tc>
          <w:tcPr>
            <w:tcW w:w="1315" w:type="pct"/>
          </w:tcPr>
          <w:p w14:paraId="15880C34" w14:textId="77777777" w:rsidR="008C5104" w:rsidRPr="007E46C9" w:rsidRDefault="008C5104" w:rsidP="008C5104">
            <w:pPr>
              <w:spacing w:after="120"/>
              <w:rPr>
                <w:b/>
                <w:iCs/>
                <w:sz w:val="20"/>
              </w:rPr>
            </w:pPr>
            <w:r w:rsidRPr="007E46C9">
              <w:rPr>
                <w:b/>
                <w:iCs/>
                <w:sz w:val="20"/>
              </w:rPr>
              <w:t>Variable</w:t>
            </w:r>
          </w:p>
        </w:tc>
        <w:tc>
          <w:tcPr>
            <w:tcW w:w="326" w:type="pct"/>
          </w:tcPr>
          <w:p w14:paraId="1F48D679" w14:textId="77777777" w:rsidR="008C5104" w:rsidRPr="007E46C9" w:rsidRDefault="008C5104" w:rsidP="008C5104">
            <w:pPr>
              <w:spacing w:after="120"/>
              <w:rPr>
                <w:b/>
                <w:iCs/>
                <w:sz w:val="20"/>
              </w:rPr>
            </w:pPr>
            <w:r w:rsidRPr="007E46C9">
              <w:rPr>
                <w:b/>
                <w:iCs/>
                <w:sz w:val="20"/>
              </w:rPr>
              <w:t>Unit</w:t>
            </w:r>
          </w:p>
        </w:tc>
        <w:tc>
          <w:tcPr>
            <w:tcW w:w="3359" w:type="pct"/>
          </w:tcPr>
          <w:p w14:paraId="4858A08C" w14:textId="77777777" w:rsidR="008C5104" w:rsidRPr="007E46C9" w:rsidRDefault="008C5104" w:rsidP="008C5104">
            <w:pPr>
              <w:spacing w:after="120"/>
              <w:rPr>
                <w:b/>
                <w:iCs/>
                <w:sz w:val="20"/>
              </w:rPr>
            </w:pPr>
            <w:r w:rsidRPr="007E46C9">
              <w:rPr>
                <w:b/>
                <w:iCs/>
                <w:sz w:val="20"/>
              </w:rPr>
              <w:t>Description</w:t>
            </w:r>
          </w:p>
        </w:tc>
      </w:tr>
      <w:tr w:rsidR="008C5104" w:rsidRPr="007E46C9" w14:paraId="45FBB38B" w14:textId="77777777" w:rsidTr="008C5104">
        <w:tc>
          <w:tcPr>
            <w:tcW w:w="1315" w:type="pct"/>
          </w:tcPr>
          <w:p w14:paraId="152CA4E5" w14:textId="77777777" w:rsidR="008C5104" w:rsidRPr="007E46C9" w:rsidRDefault="008C5104" w:rsidP="008C5104">
            <w:pPr>
              <w:spacing w:after="60"/>
              <w:rPr>
                <w:iCs/>
                <w:sz w:val="20"/>
              </w:rPr>
            </w:pPr>
            <w:r w:rsidRPr="007E46C9">
              <w:rPr>
                <w:iCs/>
                <w:sz w:val="20"/>
              </w:rPr>
              <w:t>RUCOSTTOT</w:t>
            </w:r>
          </w:p>
        </w:tc>
        <w:tc>
          <w:tcPr>
            <w:tcW w:w="326" w:type="pct"/>
          </w:tcPr>
          <w:p w14:paraId="6CBEA840" w14:textId="77777777" w:rsidR="008C5104" w:rsidRPr="007E46C9" w:rsidRDefault="008C5104" w:rsidP="008C5104">
            <w:pPr>
              <w:spacing w:after="60"/>
              <w:rPr>
                <w:iCs/>
                <w:sz w:val="20"/>
              </w:rPr>
            </w:pPr>
            <w:r w:rsidRPr="007E46C9">
              <w:rPr>
                <w:iCs/>
                <w:sz w:val="20"/>
              </w:rPr>
              <w:t>$</w:t>
            </w:r>
          </w:p>
        </w:tc>
        <w:tc>
          <w:tcPr>
            <w:tcW w:w="3359" w:type="pct"/>
          </w:tcPr>
          <w:p w14:paraId="69498EE4" w14:textId="77777777" w:rsidR="008C5104" w:rsidRPr="007E46C9" w:rsidRDefault="008C5104" w:rsidP="008C5104">
            <w:pPr>
              <w:spacing w:after="60"/>
              <w:rPr>
                <w:iCs/>
                <w:sz w:val="20"/>
              </w:rPr>
            </w:pPr>
            <w:r w:rsidRPr="007E46C9">
              <w:rPr>
                <w:i/>
                <w:iCs/>
                <w:sz w:val="20"/>
              </w:rPr>
              <w:t>Reg-Up Cost Total</w:t>
            </w:r>
            <w:r w:rsidRPr="007E46C9">
              <w:rPr>
                <w:iCs/>
                <w:sz w:val="20"/>
              </w:rPr>
              <w:t>—The net total costs for Reg-Up for the hour.</w:t>
            </w:r>
          </w:p>
        </w:tc>
      </w:tr>
      <w:tr w:rsidR="008C5104" w:rsidRPr="007E46C9" w14:paraId="496FAFCF" w14:textId="77777777" w:rsidTr="008C5104">
        <w:tc>
          <w:tcPr>
            <w:tcW w:w="1315" w:type="pct"/>
            <w:tcBorders>
              <w:top w:val="single" w:sz="4" w:space="0" w:color="auto"/>
              <w:left w:val="single" w:sz="4" w:space="0" w:color="auto"/>
              <w:bottom w:val="single" w:sz="4" w:space="0" w:color="auto"/>
              <w:right w:val="single" w:sz="4" w:space="0" w:color="auto"/>
            </w:tcBorders>
          </w:tcPr>
          <w:p w14:paraId="6423B8DB" w14:textId="77777777" w:rsidR="008C5104" w:rsidRPr="007E46C9" w:rsidRDefault="008C5104" w:rsidP="008C5104">
            <w:pPr>
              <w:spacing w:after="60"/>
              <w:rPr>
                <w:iCs/>
                <w:sz w:val="20"/>
              </w:rPr>
            </w:pPr>
            <w:r w:rsidRPr="007E46C9">
              <w:rPr>
                <w:iCs/>
                <w:sz w:val="20"/>
              </w:rPr>
              <w:t xml:space="preserve">RTPCRUAMTTOT </w:t>
            </w:r>
            <w:r w:rsidRPr="007E46C9">
              <w:rPr>
                <w:i/>
                <w:iCs/>
                <w:sz w:val="20"/>
                <w:vertAlign w:val="subscript"/>
              </w:rPr>
              <w:t>m</w:t>
            </w:r>
          </w:p>
        </w:tc>
        <w:tc>
          <w:tcPr>
            <w:tcW w:w="326" w:type="pct"/>
            <w:tcBorders>
              <w:top w:val="single" w:sz="4" w:space="0" w:color="auto"/>
              <w:left w:val="single" w:sz="4" w:space="0" w:color="auto"/>
              <w:bottom w:val="single" w:sz="4" w:space="0" w:color="auto"/>
              <w:right w:val="single" w:sz="4" w:space="0" w:color="auto"/>
            </w:tcBorders>
          </w:tcPr>
          <w:p w14:paraId="49778FD6"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0AD5DC43" w14:textId="77777777" w:rsidR="008C5104" w:rsidRPr="007E46C9" w:rsidRDefault="008C5104" w:rsidP="008C5104">
            <w:pPr>
              <w:spacing w:after="60"/>
              <w:rPr>
                <w:i/>
                <w:iCs/>
                <w:sz w:val="20"/>
              </w:rPr>
            </w:pPr>
            <w:r w:rsidRPr="007E46C9">
              <w:rPr>
                <w:i/>
                <w:iCs/>
                <w:sz w:val="20"/>
              </w:rPr>
              <w:t>Procured Capacity for Reg-Up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Reg-Up, for the hour.</w:t>
            </w:r>
          </w:p>
        </w:tc>
      </w:tr>
      <w:tr w:rsidR="008C5104" w:rsidRPr="007E46C9" w14:paraId="4EB456D9" w14:textId="77777777" w:rsidTr="008C5104">
        <w:tc>
          <w:tcPr>
            <w:tcW w:w="1315" w:type="pct"/>
            <w:tcBorders>
              <w:top w:val="single" w:sz="4" w:space="0" w:color="auto"/>
              <w:left w:val="single" w:sz="4" w:space="0" w:color="auto"/>
              <w:bottom w:val="single" w:sz="4" w:space="0" w:color="auto"/>
              <w:right w:val="single" w:sz="4" w:space="0" w:color="auto"/>
            </w:tcBorders>
          </w:tcPr>
          <w:p w14:paraId="5CB87E40" w14:textId="77777777" w:rsidR="008C5104" w:rsidRPr="007E46C9" w:rsidRDefault="008C5104" w:rsidP="008C5104">
            <w:pPr>
              <w:spacing w:after="60"/>
              <w:rPr>
                <w:iCs/>
                <w:sz w:val="20"/>
              </w:rPr>
            </w:pPr>
            <w:r w:rsidRPr="007E46C9">
              <w:rPr>
                <w:iCs/>
                <w:sz w:val="20"/>
              </w:rPr>
              <w:t xml:space="preserve">RTPCRUAMT </w:t>
            </w:r>
            <w:r w:rsidRPr="007E46C9">
              <w:rPr>
                <w:i/>
                <w:iCs/>
                <w:sz w:val="20"/>
                <w:vertAlign w:val="subscript"/>
              </w:rPr>
              <w:t>q, m</w:t>
            </w:r>
          </w:p>
        </w:tc>
        <w:tc>
          <w:tcPr>
            <w:tcW w:w="326" w:type="pct"/>
            <w:tcBorders>
              <w:top w:val="single" w:sz="4" w:space="0" w:color="auto"/>
              <w:left w:val="single" w:sz="4" w:space="0" w:color="auto"/>
              <w:bottom w:val="single" w:sz="4" w:space="0" w:color="auto"/>
              <w:right w:val="single" w:sz="4" w:space="0" w:color="auto"/>
            </w:tcBorders>
          </w:tcPr>
          <w:p w14:paraId="2CD0463A"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D22E4E7" w14:textId="77777777" w:rsidR="008C5104" w:rsidRPr="007E46C9" w:rsidRDefault="008C5104" w:rsidP="008C5104">
            <w:pPr>
              <w:spacing w:after="60"/>
              <w:rPr>
                <w:i/>
                <w:iCs/>
                <w:sz w:val="20"/>
              </w:rPr>
            </w:pPr>
            <w:r w:rsidRPr="007E46C9">
              <w:rPr>
                <w:i/>
                <w:iCs/>
                <w:sz w:val="20"/>
              </w:rPr>
              <w:t>Procured Capacity for Reg-Up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Reg-Up, for the hour.</w:t>
            </w:r>
          </w:p>
        </w:tc>
      </w:tr>
      <w:tr w:rsidR="008C5104" w:rsidRPr="007E46C9" w14:paraId="4A409890" w14:textId="77777777" w:rsidTr="008C5104">
        <w:tc>
          <w:tcPr>
            <w:tcW w:w="1315" w:type="pct"/>
            <w:tcBorders>
              <w:top w:val="single" w:sz="4" w:space="0" w:color="auto"/>
              <w:left w:val="single" w:sz="4" w:space="0" w:color="auto"/>
              <w:bottom w:val="single" w:sz="4" w:space="0" w:color="auto"/>
              <w:right w:val="single" w:sz="4" w:space="0" w:color="auto"/>
            </w:tcBorders>
          </w:tcPr>
          <w:p w14:paraId="77749001" w14:textId="77777777" w:rsidR="008C5104" w:rsidRPr="007E46C9" w:rsidRDefault="008C5104" w:rsidP="008C5104">
            <w:pPr>
              <w:spacing w:after="60"/>
              <w:rPr>
                <w:iCs/>
                <w:sz w:val="20"/>
              </w:rPr>
            </w:pPr>
            <w:r w:rsidRPr="007E46C9">
              <w:rPr>
                <w:iCs/>
                <w:sz w:val="20"/>
              </w:rPr>
              <w:t>RUFQAMTTOT</w:t>
            </w:r>
          </w:p>
        </w:tc>
        <w:tc>
          <w:tcPr>
            <w:tcW w:w="326" w:type="pct"/>
            <w:tcBorders>
              <w:top w:val="single" w:sz="4" w:space="0" w:color="auto"/>
              <w:left w:val="single" w:sz="4" w:space="0" w:color="auto"/>
              <w:bottom w:val="single" w:sz="4" w:space="0" w:color="auto"/>
              <w:right w:val="single" w:sz="4" w:space="0" w:color="auto"/>
            </w:tcBorders>
          </w:tcPr>
          <w:p w14:paraId="4DC57A03"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2BE6A47A" w14:textId="77777777" w:rsidR="008C5104" w:rsidRPr="007E46C9" w:rsidRDefault="008C5104" w:rsidP="008C5104">
            <w:pPr>
              <w:spacing w:after="60"/>
              <w:rPr>
                <w:i/>
                <w:iCs/>
                <w:sz w:val="20"/>
              </w:rPr>
            </w:pPr>
            <w:r w:rsidRPr="007E46C9">
              <w:rPr>
                <w:i/>
                <w:iCs/>
                <w:sz w:val="20"/>
              </w:rPr>
              <w:t>Reg-Up Failure Quantity Amount Total</w:t>
            </w:r>
            <w:r w:rsidRPr="007E46C9">
              <w:rPr>
                <w:iCs/>
                <w:sz w:val="20"/>
              </w:rPr>
              <w:t>—The total charges to all QSEs for their capacity associated with failures and reconfiguration reductions on their Ancillary Service Supply Responsibilities for Reg-Up, for the hour.</w:t>
            </w:r>
          </w:p>
        </w:tc>
      </w:tr>
      <w:tr w:rsidR="008C5104" w:rsidRPr="007E46C9" w14:paraId="3FE7367E" w14:textId="77777777" w:rsidTr="008C5104">
        <w:tc>
          <w:tcPr>
            <w:tcW w:w="1315" w:type="pct"/>
            <w:tcBorders>
              <w:top w:val="single" w:sz="4" w:space="0" w:color="auto"/>
              <w:left w:val="single" w:sz="4" w:space="0" w:color="auto"/>
              <w:bottom w:val="single" w:sz="4" w:space="0" w:color="auto"/>
              <w:right w:val="single" w:sz="4" w:space="0" w:color="auto"/>
            </w:tcBorders>
          </w:tcPr>
          <w:p w14:paraId="2B29A7A7" w14:textId="77777777" w:rsidR="008C5104" w:rsidRPr="007E46C9" w:rsidRDefault="008C5104" w:rsidP="008C5104">
            <w:pPr>
              <w:spacing w:after="60"/>
              <w:rPr>
                <w:iCs/>
                <w:sz w:val="20"/>
              </w:rPr>
            </w:pPr>
            <w:r w:rsidRPr="007E46C9">
              <w:rPr>
                <w:iCs/>
                <w:sz w:val="20"/>
              </w:rPr>
              <w:t xml:space="preserve">RUFQAMTQSETOT </w:t>
            </w:r>
            <w:r w:rsidRPr="007E46C9">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78117540"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50CC124F" w14:textId="77777777" w:rsidR="008C5104" w:rsidRPr="007E46C9" w:rsidRDefault="008C5104" w:rsidP="008C5104">
            <w:pPr>
              <w:spacing w:after="60"/>
              <w:rPr>
                <w:i/>
                <w:iCs/>
                <w:sz w:val="20"/>
              </w:rPr>
            </w:pPr>
            <w:r w:rsidRPr="007E46C9">
              <w:rPr>
                <w:i/>
                <w:iCs/>
                <w:sz w:val="20"/>
              </w:rPr>
              <w:t>Reg-Up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Reg-Up, for the hour.</w:t>
            </w:r>
          </w:p>
        </w:tc>
      </w:tr>
      <w:tr w:rsidR="008C5104" w:rsidRPr="007E46C9" w14:paraId="74FB316F" w14:textId="77777777" w:rsidTr="008C5104">
        <w:tc>
          <w:tcPr>
            <w:tcW w:w="1315" w:type="pct"/>
            <w:tcBorders>
              <w:top w:val="single" w:sz="4" w:space="0" w:color="auto"/>
              <w:left w:val="single" w:sz="4" w:space="0" w:color="auto"/>
              <w:bottom w:val="single" w:sz="4" w:space="0" w:color="auto"/>
              <w:right w:val="single" w:sz="4" w:space="0" w:color="auto"/>
            </w:tcBorders>
          </w:tcPr>
          <w:p w14:paraId="242258CA" w14:textId="77777777" w:rsidR="008C5104" w:rsidRPr="007E46C9" w:rsidRDefault="008C5104" w:rsidP="008C5104">
            <w:pPr>
              <w:spacing w:after="60"/>
              <w:rPr>
                <w:iCs/>
                <w:sz w:val="20"/>
              </w:rPr>
            </w:pPr>
            <w:r w:rsidRPr="007E46C9">
              <w:rPr>
                <w:iCs/>
                <w:sz w:val="20"/>
              </w:rPr>
              <w:t xml:space="preserve">RTPCRUAMTQSETOT </w:t>
            </w:r>
            <w:r w:rsidRPr="007E46C9">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54B50F21"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1124559" w14:textId="77777777" w:rsidR="008C5104" w:rsidRPr="007E46C9" w:rsidRDefault="008C5104" w:rsidP="008C5104">
            <w:pPr>
              <w:spacing w:after="60"/>
              <w:rPr>
                <w:iCs/>
                <w:sz w:val="20"/>
              </w:rPr>
            </w:pPr>
            <w:r w:rsidRPr="007E46C9">
              <w:rPr>
                <w:i/>
                <w:iCs/>
                <w:sz w:val="20"/>
              </w:rPr>
              <w:t>Procured Capacity for Reg-Up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Reg-Up, for the hour.</w:t>
            </w:r>
          </w:p>
        </w:tc>
      </w:tr>
      <w:tr w:rsidR="008C5104" w:rsidRPr="007E46C9" w14:paraId="243C8C22" w14:textId="77777777" w:rsidTr="008C51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63A461D0" w14:textId="77777777" w:rsidR="008C5104" w:rsidRPr="007E46C9" w:rsidRDefault="008C5104" w:rsidP="008C5104">
            <w:pPr>
              <w:spacing w:after="60"/>
              <w:rPr>
                <w:iCs/>
                <w:sz w:val="20"/>
              </w:rPr>
            </w:pPr>
            <w:r w:rsidRPr="007E46C9">
              <w:rPr>
                <w:iCs/>
                <w:sz w:val="20"/>
              </w:rPr>
              <w:t xml:space="preserve">PCRUAMT </w:t>
            </w:r>
            <w:r w:rsidRPr="007E46C9">
              <w:rPr>
                <w:i/>
                <w:iCs/>
                <w:sz w:val="20"/>
                <w:vertAlign w:val="subscript"/>
              </w:rPr>
              <w:t>q</w:t>
            </w:r>
          </w:p>
        </w:tc>
        <w:tc>
          <w:tcPr>
            <w:tcW w:w="326" w:type="pct"/>
          </w:tcPr>
          <w:p w14:paraId="34495762" w14:textId="77777777" w:rsidR="008C5104" w:rsidRPr="007E46C9" w:rsidRDefault="008C5104" w:rsidP="008C5104">
            <w:pPr>
              <w:spacing w:after="60"/>
              <w:rPr>
                <w:iCs/>
                <w:sz w:val="20"/>
              </w:rPr>
            </w:pPr>
            <w:r w:rsidRPr="007E46C9">
              <w:rPr>
                <w:iCs/>
                <w:sz w:val="20"/>
              </w:rPr>
              <w:t>$</w:t>
            </w:r>
          </w:p>
        </w:tc>
        <w:tc>
          <w:tcPr>
            <w:tcW w:w="3359" w:type="pct"/>
          </w:tcPr>
          <w:p w14:paraId="7CAA16E0" w14:textId="77777777" w:rsidR="008C5104" w:rsidRPr="007E46C9" w:rsidRDefault="008C5104" w:rsidP="008C5104">
            <w:pPr>
              <w:spacing w:after="60"/>
              <w:rPr>
                <w:iCs/>
                <w:sz w:val="20"/>
              </w:rPr>
            </w:pPr>
            <w:r w:rsidRPr="007E46C9">
              <w:rPr>
                <w:i/>
                <w:iCs/>
                <w:sz w:val="20"/>
              </w:rPr>
              <w:t>Procured Capacity for Reg-Up Amount per QSE in DAM</w:t>
            </w:r>
            <w:r w:rsidRPr="007E46C9">
              <w:rPr>
                <w:iCs/>
                <w:sz w:val="20"/>
              </w:rPr>
              <w:t xml:space="preserve">—The DAM Reg-Up payment for QSE </w:t>
            </w:r>
            <w:r w:rsidRPr="007E46C9">
              <w:rPr>
                <w:i/>
                <w:iCs/>
                <w:sz w:val="20"/>
              </w:rPr>
              <w:t>q</w:t>
            </w:r>
            <w:r w:rsidR="00EE4598" w:rsidRPr="007E46C9">
              <w:rPr>
                <w:iCs/>
                <w:sz w:val="20"/>
              </w:rPr>
              <w:t>,</w:t>
            </w:r>
            <w:r w:rsidRPr="007E46C9">
              <w:rPr>
                <w:iCs/>
                <w:sz w:val="20"/>
              </w:rPr>
              <w:t xml:space="preserve"> for the hour.</w:t>
            </w:r>
          </w:p>
        </w:tc>
      </w:tr>
      <w:tr w:rsidR="008C5104" w:rsidRPr="007E46C9" w14:paraId="026FAFC2" w14:textId="77777777" w:rsidTr="008C51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41D8B876" w14:textId="77777777" w:rsidR="008C5104" w:rsidRPr="007E46C9" w:rsidRDefault="008C5104" w:rsidP="008C5104">
            <w:pPr>
              <w:spacing w:after="60"/>
              <w:rPr>
                <w:iCs/>
                <w:sz w:val="20"/>
              </w:rPr>
            </w:pPr>
            <w:r w:rsidRPr="00736C3C">
              <w:rPr>
                <w:sz w:val="20"/>
              </w:rPr>
              <w:t>RU</w:t>
            </w:r>
            <w:r>
              <w:rPr>
                <w:sz w:val="20"/>
              </w:rPr>
              <w:t>INF</w:t>
            </w:r>
            <w:r w:rsidRPr="00736C3C">
              <w:rPr>
                <w:sz w:val="20"/>
              </w:rPr>
              <w:t>QAMTTOT</w:t>
            </w:r>
          </w:p>
        </w:tc>
        <w:tc>
          <w:tcPr>
            <w:tcW w:w="326" w:type="pct"/>
          </w:tcPr>
          <w:p w14:paraId="322964FA" w14:textId="77777777" w:rsidR="008C5104" w:rsidRPr="007E46C9" w:rsidRDefault="008C5104" w:rsidP="008C5104">
            <w:pPr>
              <w:spacing w:after="60"/>
              <w:rPr>
                <w:iCs/>
                <w:sz w:val="20"/>
              </w:rPr>
            </w:pPr>
            <w:r>
              <w:rPr>
                <w:sz w:val="20"/>
              </w:rPr>
              <w:t>$</w:t>
            </w:r>
          </w:p>
        </w:tc>
        <w:tc>
          <w:tcPr>
            <w:tcW w:w="3359" w:type="pct"/>
          </w:tcPr>
          <w:p w14:paraId="7913AA0D" w14:textId="77777777" w:rsidR="008C5104" w:rsidRPr="007E46C9" w:rsidRDefault="008C5104" w:rsidP="008C5104">
            <w:pPr>
              <w:spacing w:after="60"/>
              <w:rPr>
                <w:i/>
                <w:iCs/>
                <w:sz w:val="20"/>
              </w:rPr>
            </w:pPr>
            <w:r w:rsidRPr="002F2E4C">
              <w:rPr>
                <w:i/>
                <w:sz w:val="20"/>
              </w:rPr>
              <w:t>Reg-Up Infeasible Quantity Amount</w:t>
            </w:r>
            <w:r>
              <w:rPr>
                <w:i/>
                <w:sz w:val="20"/>
              </w:rPr>
              <w:t xml:space="preserve"> Total </w:t>
            </w:r>
            <w:r w:rsidRPr="002F2E4C">
              <w:rPr>
                <w:i/>
                <w:sz w:val="20"/>
              </w:rPr>
              <w:t xml:space="preserve">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w:t>
            </w:r>
            <w:r>
              <w:rPr>
                <w:sz w:val="20"/>
              </w:rPr>
              <w:t>ry Service Supply Responsibilities</w:t>
            </w:r>
            <w:r w:rsidRPr="002F2E4C">
              <w:rPr>
                <w:sz w:val="20"/>
              </w:rPr>
              <w:t xml:space="preserve"> for Reg-Up, for the hour.</w:t>
            </w:r>
          </w:p>
        </w:tc>
      </w:tr>
      <w:tr w:rsidR="008C5104" w:rsidRPr="007E46C9" w14:paraId="1C236B6E" w14:textId="77777777" w:rsidTr="008C51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11B662D9" w14:textId="77777777" w:rsidR="008C5104" w:rsidRPr="007E46C9" w:rsidRDefault="008C5104" w:rsidP="008C5104">
            <w:pPr>
              <w:spacing w:after="60"/>
              <w:rPr>
                <w:iCs/>
                <w:sz w:val="20"/>
              </w:rPr>
            </w:pPr>
            <w:r w:rsidRPr="00736C3C">
              <w:rPr>
                <w:sz w:val="20"/>
              </w:rPr>
              <w:t>RUINFQAMT</w:t>
            </w:r>
            <w:r>
              <w:rPr>
                <w:sz w:val="20"/>
              </w:rPr>
              <w:t xml:space="preserve"> </w:t>
            </w:r>
            <w:r w:rsidRPr="00E8083C">
              <w:rPr>
                <w:i/>
                <w:sz w:val="20"/>
                <w:vertAlign w:val="subscript"/>
              </w:rPr>
              <w:t>q</w:t>
            </w:r>
          </w:p>
        </w:tc>
        <w:tc>
          <w:tcPr>
            <w:tcW w:w="326" w:type="pct"/>
          </w:tcPr>
          <w:p w14:paraId="1CFAC93F" w14:textId="77777777" w:rsidR="008C5104" w:rsidRPr="007E46C9" w:rsidRDefault="008C5104" w:rsidP="008C5104">
            <w:pPr>
              <w:spacing w:after="60"/>
              <w:rPr>
                <w:iCs/>
                <w:sz w:val="20"/>
              </w:rPr>
            </w:pPr>
            <w:r>
              <w:rPr>
                <w:sz w:val="20"/>
              </w:rPr>
              <w:t>$</w:t>
            </w:r>
          </w:p>
        </w:tc>
        <w:tc>
          <w:tcPr>
            <w:tcW w:w="3359" w:type="pct"/>
          </w:tcPr>
          <w:p w14:paraId="5C073905" w14:textId="77777777" w:rsidR="008C5104" w:rsidRPr="007E46C9" w:rsidRDefault="008C5104" w:rsidP="008C5104">
            <w:pPr>
              <w:spacing w:after="60"/>
              <w:rPr>
                <w:i/>
                <w:iCs/>
                <w:sz w:val="20"/>
              </w:rPr>
            </w:pPr>
            <w:r w:rsidRPr="00736C3C">
              <w:rPr>
                <w:i/>
                <w:sz w:val="20"/>
              </w:rPr>
              <w:t>Reg-Up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 Ancillary Service Supply Responsibilit</w:t>
            </w:r>
            <w:r>
              <w:rPr>
                <w:sz w:val="20"/>
              </w:rPr>
              <w:t>ies</w:t>
            </w:r>
            <w:r w:rsidRPr="00736C3C">
              <w:rPr>
                <w:sz w:val="20"/>
              </w:rPr>
              <w:t xml:space="preserve"> for Reg-Up, for the hour</w:t>
            </w:r>
            <w:r w:rsidRPr="003B731C">
              <w:t>.</w:t>
            </w:r>
          </w:p>
        </w:tc>
      </w:tr>
      <w:tr w:rsidR="008C5104" w:rsidRPr="007E46C9" w14:paraId="28102B8D" w14:textId="77777777" w:rsidTr="008C5104">
        <w:tc>
          <w:tcPr>
            <w:tcW w:w="1315" w:type="pct"/>
            <w:tcBorders>
              <w:top w:val="single" w:sz="4" w:space="0" w:color="auto"/>
              <w:left w:val="single" w:sz="4" w:space="0" w:color="auto"/>
              <w:bottom w:val="single" w:sz="4" w:space="0" w:color="auto"/>
              <w:right w:val="single" w:sz="4" w:space="0" w:color="auto"/>
            </w:tcBorders>
          </w:tcPr>
          <w:p w14:paraId="15DD230B" w14:textId="77777777" w:rsidR="008C5104" w:rsidRPr="007E46C9" w:rsidRDefault="008C5104" w:rsidP="008C5104">
            <w:pPr>
              <w:spacing w:after="60"/>
              <w:rPr>
                <w:sz w:val="20"/>
              </w:rPr>
            </w:pPr>
            <w:r w:rsidRPr="007E46C9">
              <w:rPr>
                <w:sz w:val="20"/>
              </w:rPr>
              <w:t>PCRUAMTTOT</w:t>
            </w:r>
          </w:p>
        </w:tc>
        <w:tc>
          <w:tcPr>
            <w:tcW w:w="326" w:type="pct"/>
            <w:tcBorders>
              <w:top w:val="single" w:sz="4" w:space="0" w:color="auto"/>
              <w:left w:val="single" w:sz="4" w:space="0" w:color="auto"/>
              <w:bottom w:val="single" w:sz="4" w:space="0" w:color="auto"/>
              <w:right w:val="single" w:sz="4" w:space="0" w:color="auto"/>
            </w:tcBorders>
          </w:tcPr>
          <w:p w14:paraId="5F962CCB" w14:textId="77777777" w:rsidR="008C5104" w:rsidRPr="007E46C9" w:rsidRDefault="008C5104" w:rsidP="008C5104">
            <w:pPr>
              <w:spacing w:after="60"/>
              <w:rPr>
                <w:sz w:val="20"/>
              </w:rPr>
            </w:pPr>
            <w:r w:rsidRPr="007E46C9">
              <w:rPr>
                <w:sz w:val="20"/>
              </w:rPr>
              <w:t>$</w:t>
            </w:r>
          </w:p>
        </w:tc>
        <w:tc>
          <w:tcPr>
            <w:tcW w:w="3359" w:type="pct"/>
            <w:tcBorders>
              <w:top w:val="single" w:sz="4" w:space="0" w:color="auto"/>
              <w:left w:val="single" w:sz="4" w:space="0" w:color="auto"/>
              <w:bottom w:val="single" w:sz="4" w:space="0" w:color="auto"/>
              <w:right w:val="single" w:sz="4" w:space="0" w:color="auto"/>
            </w:tcBorders>
          </w:tcPr>
          <w:p w14:paraId="1F4152BF" w14:textId="77777777" w:rsidR="008C5104" w:rsidRPr="007E46C9" w:rsidRDefault="008C5104" w:rsidP="008C5104">
            <w:pPr>
              <w:spacing w:after="60"/>
              <w:rPr>
                <w:sz w:val="20"/>
              </w:rPr>
            </w:pPr>
            <w:r w:rsidRPr="007E46C9">
              <w:rPr>
                <w:i/>
                <w:sz w:val="20"/>
              </w:rPr>
              <w:t>Procured Capacity for Reg-Up Amount Total in DAM</w:t>
            </w:r>
            <w:r w:rsidRPr="007E46C9">
              <w:rPr>
                <w:sz w:val="20"/>
              </w:rPr>
              <w:t>—The total of the DAM Reg-Up payments for all QSEs</w:t>
            </w:r>
            <w:r w:rsidR="00EE4598" w:rsidRPr="007E46C9">
              <w:rPr>
                <w:iCs/>
                <w:sz w:val="20"/>
              </w:rPr>
              <w:t>,</w:t>
            </w:r>
            <w:r w:rsidRPr="007E46C9">
              <w:rPr>
                <w:sz w:val="20"/>
              </w:rPr>
              <w:t xml:space="preserve"> for the hour.</w:t>
            </w:r>
          </w:p>
        </w:tc>
      </w:tr>
      <w:tr w:rsidR="008C5104" w:rsidRPr="007E46C9" w14:paraId="265DAE73" w14:textId="77777777" w:rsidTr="008C5104">
        <w:tc>
          <w:tcPr>
            <w:tcW w:w="1315" w:type="pct"/>
            <w:tcBorders>
              <w:top w:val="single" w:sz="4" w:space="0" w:color="auto"/>
              <w:left w:val="single" w:sz="4" w:space="0" w:color="auto"/>
              <w:bottom w:val="single" w:sz="4" w:space="0" w:color="auto"/>
              <w:right w:val="single" w:sz="4" w:space="0" w:color="auto"/>
            </w:tcBorders>
          </w:tcPr>
          <w:p w14:paraId="0F63829D" w14:textId="77777777" w:rsidR="008C5104" w:rsidRPr="007E46C9" w:rsidRDefault="008C5104" w:rsidP="008C5104">
            <w:pPr>
              <w:spacing w:after="60"/>
              <w:rPr>
                <w:i/>
                <w:iCs/>
                <w:sz w:val="20"/>
              </w:rPr>
            </w:pPr>
            <w:r w:rsidRPr="007E46C9">
              <w:rPr>
                <w:i/>
                <w:iCs/>
                <w:sz w:val="20"/>
              </w:rPr>
              <w:t>q</w:t>
            </w:r>
          </w:p>
        </w:tc>
        <w:tc>
          <w:tcPr>
            <w:tcW w:w="326" w:type="pct"/>
            <w:tcBorders>
              <w:top w:val="single" w:sz="4" w:space="0" w:color="auto"/>
              <w:left w:val="single" w:sz="4" w:space="0" w:color="auto"/>
              <w:bottom w:val="single" w:sz="4" w:space="0" w:color="auto"/>
              <w:right w:val="single" w:sz="4" w:space="0" w:color="auto"/>
            </w:tcBorders>
          </w:tcPr>
          <w:p w14:paraId="779671F6" w14:textId="77777777" w:rsidR="008C5104" w:rsidRPr="007E46C9" w:rsidRDefault="008C5104" w:rsidP="008C5104">
            <w:pPr>
              <w:spacing w:after="60"/>
              <w:rPr>
                <w:iCs/>
                <w:sz w:val="20"/>
              </w:rPr>
            </w:pPr>
            <w:r w:rsidRPr="007E46C9">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619EDBA8" w14:textId="77777777" w:rsidR="008C5104" w:rsidRPr="007E46C9" w:rsidRDefault="008C5104" w:rsidP="008C5104">
            <w:pPr>
              <w:spacing w:after="60"/>
              <w:rPr>
                <w:iCs/>
                <w:sz w:val="20"/>
              </w:rPr>
            </w:pPr>
            <w:r w:rsidRPr="007E46C9">
              <w:rPr>
                <w:iCs/>
                <w:sz w:val="20"/>
              </w:rPr>
              <w:t>A QSE.</w:t>
            </w:r>
          </w:p>
        </w:tc>
      </w:tr>
      <w:tr w:rsidR="008C5104" w:rsidRPr="007E46C9" w14:paraId="2B7F33A9" w14:textId="77777777" w:rsidTr="008C5104">
        <w:tc>
          <w:tcPr>
            <w:tcW w:w="1315" w:type="pct"/>
            <w:tcBorders>
              <w:top w:val="single" w:sz="4" w:space="0" w:color="auto"/>
              <w:left w:val="single" w:sz="4" w:space="0" w:color="auto"/>
              <w:bottom w:val="single" w:sz="4" w:space="0" w:color="auto"/>
              <w:right w:val="single" w:sz="4" w:space="0" w:color="auto"/>
            </w:tcBorders>
          </w:tcPr>
          <w:p w14:paraId="72FA3343" w14:textId="77777777" w:rsidR="008C5104" w:rsidRPr="007E46C9" w:rsidRDefault="008C5104" w:rsidP="008C5104">
            <w:pPr>
              <w:spacing w:after="60"/>
              <w:rPr>
                <w:i/>
                <w:iCs/>
                <w:sz w:val="20"/>
              </w:rPr>
            </w:pPr>
            <w:r w:rsidRPr="007E46C9">
              <w:rPr>
                <w:i/>
                <w:iCs/>
                <w:sz w:val="20"/>
              </w:rPr>
              <w:t>m</w:t>
            </w:r>
          </w:p>
        </w:tc>
        <w:tc>
          <w:tcPr>
            <w:tcW w:w="326" w:type="pct"/>
            <w:tcBorders>
              <w:top w:val="single" w:sz="4" w:space="0" w:color="auto"/>
              <w:left w:val="single" w:sz="4" w:space="0" w:color="auto"/>
              <w:bottom w:val="single" w:sz="4" w:space="0" w:color="auto"/>
              <w:right w:val="single" w:sz="4" w:space="0" w:color="auto"/>
            </w:tcBorders>
          </w:tcPr>
          <w:p w14:paraId="038D881B" w14:textId="77777777" w:rsidR="008C5104" w:rsidRPr="007E46C9" w:rsidRDefault="008C5104" w:rsidP="008C5104">
            <w:pPr>
              <w:spacing w:after="60"/>
              <w:rPr>
                <w:iCs/>
                <w:sz w:val="20"/>
              </w:rPr>
            </w:pPr>
            <w:r w:rsidRPr="007E46C9">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67AB2389"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49ED9BA8"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A4849" w14:paraId="4DDBE6A9" w14:textId="77777777" w:rsidTr="002A7BFB">
        <w:trPr>
          <w:trHeight w:val="1547"/>
        </w:trPr>
        <w:tc>
          <w:tcPr>
            <w:tcW w:w="9576" w:type="dxa"/>
            <w:shd w:val="pct12" w:color="auto" w:fill="auto"/>
          </w:tcPr>
          <w:p w14:paraId="3B795DE3" w14:textId="77777777" w:rsidR="004A4849" w:rsidRDefault="004A4849" w:rsidP="002A7BFB">
            <w:pPr>
              <w:pStyle w:val="Instructions"/>
              <w:spacing w:before="120"/>
            </w:pPr>
            <w:r>
              <w:t>[NPRR841:  Replace paragraph (a) above with the following upon system implementation:]</w:t>
            </w:r>
          </w:p>
          <w:p w14:paraId="3A13AFD9" w14:textId="77777777" w:rsidR="004A4849" w:rsidRPr="00E5030A" w:rsidRDefault="004A4849" w:rsidP="004A4849">
            <w:pPr>
              <w:spacing w:after="240"/>
              <w:ind w:left="1440" w:hanging="720"/>
            </w:pPr>
            <w:r w:rsidRPr="00E5030A">
              <w:t>(a)</w:t>
            </w:r>
            <w:r w:rsidRPr="00E5030A">
              <w:tab/>
              <w:t>The net total costs for Reg-Up for a given Operating Hour is calculated as follows:</w:t>
            </w:r>
          </w:p>
          <w:p w14:paraId="204DDE44" w14:textId="1D3999BA" w:rsidR="004A4849" w:rsidRPr="00E5030A" w:rsidRDefault="004A4849" w:rsidP="004A4849">
            <w:pPr>
              <w:spacing w:after="120"/>
              <w:ind w:left="2880" w:hanging="2160"/>
              <w:rPr>
                <w:b/>
                <w:bCs/>
              </w:rPr>
            </w:pPr>
            <w:r w:rsidRPr="00E5030A">
              <w:rPr>
                <w:b/>
                <w:bCs/>
              </w:rPr>
              <w:t>RUCOSTTOT</w:t>
            </w:r>
            <w:r w:rsidRPr="00E5030A">
              <w:rPr>
                <w:b/>
                <w:bCs/>
              </w:rPr>
              <w:tab/>
              <w:t>=</w:t>
            </w:r>
            <w:r w:rsidRPr="00E5030A">
              <w:rPr>
                <w:b/>
                <w:bCs/>
              </w:rPr>
              <w:tab/>
              <w:t>(-1) * (</w:t>
            </w:r>
            <w:r w:rsidR="00A94020">
              <w:rPr>
                <w:b/>
                <w:bCs/>
                <w:noProof/>
                <w:position w:val="-20"/>
              </w:rPr>
              <w:drawing>
                <wp:inline distT="0" distB="0" distL="0" distR="0" wp14:anchorId="66F586E8" wp14:editId="2FC1146E">
                  <wp:extent cx="142875" cy="2762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(RTPCRUAMTTOT </w:t>
            </w:r>
            <w:r w:rsidRPr="00E5030A">
              <w:rPr>
                <w:b/>
                <w:bCs/>
                <w:i/>
                <w:vertAlign w:val="subscript"/>
              </w:rPr>
              <w:t>m</w:t>
            </w:r>
            <w:r w:rsidRPr="00E5030A">
              <w:rPr>
                <w:b/>
                <w:bCs/>
              </w:rPr>
              <w:t xml:space="preserve">) + </w:t>
            </w:r>
            <w:r w:rsidRPr="00E5030A">
              <w:rPr>
                <w:b/>
                <w:bCs/>
              </w:rPr>
              <w:tab/>
            </w:r>
            <w:r w:rsidRPr="00E5030A">
              <w:rPr>
                <w:b/>
                <w:bCs/>
              </w:rPr>
              <w:tab/>
            </w:r>
            <w:r w:rsidRPr="00E5030A">
              <w:rPr>
                <w:b/>
                <w:bCs/>
              </w:rPr>
              <w:tab/>
              <w:t>PCRUAMTTOT</w:t>
            </w:r>
            <w:r w:rsidRPr="00E5030A">
              <w:rPr>
                <w:b/>
                <w:bCs/>
                <w:i/>
                <w:vertAlign w:val="subscript"/>
              </w:rPr>
              <w:t xml:space="preserve"> </w:t>
            </w:r>
            <w:r w:rsidRPr="00E5030A">
              <w:rPr>
                <w:b/>
                <w:bCs/>
              </w:rPr>
              <w:t xml:space="preserve"> + RUFQAMTTOT + </w:t>
            </w:r>
          </w:p>
          <w:p w14:paraId="6654A6A6" w14:textId="77777777" w:rsidR="004A4849" w:rsidRPr="00E5030A" w:rsidRDefault="004A4849" w:rsidP="004A4849">
            <w:pPr>
              <w:spacing w:after="240"/>
              <w:ind w:left="2880" w:firstLine="720"/>
              <w:rPr>
                <w:b/>
                <w:bCs/>
              </w:rPr>
            </w:pPr>
            <w:r w:rsidRPr="00E5030A">
              <w:rPr>
                <w:b/>
                <w:bCs/>
              </w:rPr>
              <w:lastRenderedPageBreak/>
              <w:t>RUINFQAMTTOT</w:t>
            </w:r>
            <w:r w:rsidRPr="003675AD">
              <w:rPr>
                <w:b/>
                <w:bCs/>
              </w:rPr>
              <w:t xml:space="preserve"> + </w:t>
            </w:r>
            <w:r w:rsidRPr="003675AD">
              <w:rPr>
                <w:b/>
                <w:color w:val="000000"/>
              </w:rPr>
              <w:t>RUMWINFATOT</w:t>
            </w:r>
            <w:r w:rsidRPr="00E5030A">
              <w:rPr>
                <w:b/>
                <w:bCs/>
              </w:rPr>
              <w:t>)</w:t>
            </w:r>
          </w:p>
          <w:p w14:paraId="588A273D" w14:textId="77777777" w:rsidR="004A4849" w:rsidRPr="00E5030A" w:rsidRDefault="004A4849" w:rsidP="004A4849">
            <w:pPr>
              <w:spacing w:after="240"/>
              <w:rPr>
                <w:iCs/>
              </w:rPr>
            </w:pPr>
            <w:r w:rsidRPr="00E5030A">
              <w:rPr>
                <w:iCs/>
              </w:rPr>
              <w:t xml:space="preserve">Where: </w:t>
            </w:r>
          </w:p>
          <w:p w14:paraId="47102F71" w14:textId="77777777" w:rsidR="004A4849" w:rsidRPr="00E5030A" w:rsidRDefault="004A4849" w:rsidP="004A4849">
            <w:r w:rsidRPr="00E5030A">
              <w:t>Total payment of SASM- and RSASM-procured capacity for Reg-Up by market</w:t>
            </w:r>
          </w:p>
          <w:p w14:paraId="52F8EB8D" w14:textId="66F034F8" w:rsidR="004A4849" w:rsidRPr="00E5030A" w:rsidRDefault="004A4849" w:rsidP="004A4849">
            <w:pPr>
              <w:spacing w:after="240"/>
              <w:ind w:leftChars="300" w:left="2880" w:hangingChars="900" w:hanging="2160"/>
              <w:rPr>
                <w:bCs/>
                <w:i/>
                <w:vertAlign w:val="subscript"/>
              </w:rPr>
            </w:pPr>
            <w:r w:rsidRPr="00E5030A">
              <w:rPr>
                <w:bCs/>
              </w:rPr>
              <w:t xml:space="preserve">RTPCRUAMTTOT </w:t>
            </w:r>
            <w:r w:rsidRPr="00E5030A">
              <w:rPr>
                <w:bCs/>
                <w:i/>
                <w:vertAlign w:val="subscript"/>
              </w:rPr>
              <w:t>m</w:t>
            </w:r>
            <w:r w:rsidRPr="00E5030A">
              <w:rPr>
                <w:bCs/>
              </w:rPr>
              <w:tab/>
            </w:r>
            <w:r w:rsidRPr="00E5030A">
              <w:rPr>
                <w:bCs/>
              </w:rPr>
              <w:tab/>
              <w:t>=</w:t>
            </w:r>
            <w:r w:rsidRPr="00E5030A">
              <w:rPr>
                <w:bCs/>
              </w:rPr>
              <w:tab/>
            </w:r>
            <w:r w:rsidR="00A94020">
              <w:rPr>
                <w:bCs/>
                <w:noProof/>
                <w:position w:val="-22"/>
              </w:rPr>
              <w:drawing>
                <wp:inline distT="0" distB="0" distL="0" distR="0" wp14:anchorId="74455722" wp14:editId="0C6056D7">
                  <wp:extent cx="142875" cy="2952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RTPCRUAMT </w:t>
            </w:r>
            <w:r w:rsidRPr="00E5030A">
              <w:rPr>
                <w:bCs/>
                <w:i/>
                <w:vertAlign w:val="subscript"/>
              </w:rPr>
              <w:t xml:space="preserve">q, m </w:t>
            </w:r>
          </w:p>
          <w:p w14:paraId="32715079" w14:textId="77777777" w:rsidR="004A4849" w:rsidRPr="00E5030A" w:rsidRDefault="004A4849" w:rsidP="004A4849">
            <w:r w:rsidRPr="00E5030A">
              <w:t>Total payment of DAM-procured capacity for Reg-Up</w:t>
            </w:r>
          </w:p>
          <w:p w14:paraId="4028FA0A" w14:textId="0D7450A4" w:rsidR="004A4849" w:rsidRPr="00E5030A" w:rsidRDefault="004A4849" w:rsidP="004A4849">
            <w:pPr>
              <w:spacing w:after="240"/>
              <w:ind w:leftChars="300" w:left="2880" w:hangingChars="900" w:hanging="2160"/>
              <w:rPr>
                <w:bCs/>
              </w:rPr>
            </w:pPr>
            <w:r w:rsidRPr="00E5030A">
              <w:rPr>
                <w:bCs/>
              </w:rPr>
              <w:t>PCRUAMTTOT</w:t>
            </w:r>
            <w:r w:rsidRPr="00E5030A">
              <w:rPr>
                <w:bCs/>
              </w:rPr>
              <w:tab/>
            </w:r>
            <w:r w:rsidRPr="00E5030A">
              <w:rPr>
                <w:bCs/>
              </w:rPr>
              <w:tab/>
              <w:t>=</w:t>
            </w:r>
            <w:r w:rsidRPr="00E5030A">
              <w:rPr>
                <w:bCs/>
              </w:rPr>
              <w:tab/>
            </w:r>
            <w:r w:rsidR="00A94020">
              <w:rPr>
                <w:bCs/>
                <w:noProof/>
                <w:position w:val="-22"/>
              </w:rPr>
              <w:drawing>
                <wp:inline distT="0" distB="0" distL="0" distR="0" wp14:anchorId="232C9FED" wp14:editId="779E42C4">
                  <wp:extent cx="142875" cy="2952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PCRUAMT </w:t>
            </w:r>
            <w:r w:rsidRPr="00E5030A">
              <w:rPr>
                <w:bCs/>
                <w:i/>
                <w:vertAlign w:val="subscript"/>
              </w:rPr>
              <w:t>q</w:t>
            </w:r>
          </w:p>
          <w:p w14:paraId="7F0D216E" w14:textId="77777777" w:rsidR="004A4849" w:rsidRPr="00E5030A" w:rsidRDefault="004A4849" w:rsidP="004A4849">
            <w:r w:rsidRPr="00E5030A">
              <w:t>Total charge of failure on Ancillary Service Supply Responsibility for Reg-Up</w:t>
            </w:r>
          </w:p>
          <w:p w14:paraId="35C863F6" w14:textId="5BB9DA3A" w:rsidR="004A4849" w:rsidRPr="00E5030A" w:rsidRDefault="004A4849" w:rsidP="004A4849">
            <w:pPr>
              <w:spacing w:after="240"/>
              <w:ind w:leftChars="300" w:left="2880" w:hangingChars="900" w:hanging="2160"/>
              <w:rPr>
                <w:bCs/>
                <w:i/>
                <w:vertAlign w:val="subscript"/>
              </w:rPr>
            </w:pPr>
            <w:r w:rsidRPr="00E5030A">
              <w:rPr>
                <w:bCs/>
              </w:rPr>
              <w:t>RUFQAMTTOT</w:t>
            </w:r>
            <w:r w:rsidRPr="00E5030A">
              <w:rPr>
                <w:bCs/>
              </w:rPr>
              <w:tab/>
            </w:r>
            <w:r w:rsidRPr="00E5030A">
              <w:rPr>
                <w:bCs/>
              </w:rPr>
              <w:tab/>
              <w:t>=</w:t>
            </w:r>
            <w:r w:rsidRPr="00E5030A">
              <w:rPr>
                <w:bCs/>
              </w:rPr>
              <w:tab/>
            </w:r>
            <w:r w:rsidR="00A94020">
              <w:rPr>
                <w:bCs/>
                <w:noProof/>
                <w:position w:val="-22"/>
              </w:rPr>
              <w:drawing>
                <wp:inline distT="0" distB="0" distL="0" distR="0" wp14:anchorId="02000238" wp14:editId="65828875">
                  <wp:extent cx="142875" cy="2952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RUFQAMTQSETOT </w:t>
            </w:r>
            <w:r w:rsidRPr="00E5030A">
              <w:rPr>
                <w:bCs/>
                <w:i/>
                <w:vertAlign w:val="subscript"/>
              </w:rPr>
              <w:t>q</w:t>
            </w:r>
          </w:p>
          <w:p w14:paraId="63AF9687" w14:textId="77777777" w:rsidR="004A4849" w:rsidRPr="00E5030A" w:rsidRDefault="004A4849" w:rsidP="004A4849">
            <w:pPr>
              <w:tabs>
                <w:tab w:val="left" w:pos="2160"/>
                <w:tab w:val="left" w:pos="2880"/>
              </w:tabs>
              <w:ind w:left="300" w:hangingChars="125" w:hanging="300"/>
              <w:rPr>
                <w:bCs/>
              </w:rPr>
            </w:pPr>
            <w:r w:rsidRPr="00E5030A">
              <w:rPr>
                <w:bCs/>
              </w:rPr>
              <w:t>Total payment of SASM- and RSASM-procured capacity for Reg-Up by QSE</w:t>
            </w:r>
          </w:p>
          <w:p w14:paraId="622EA1CA" w14:textId="10AE8297" w:rsidR="004A4849" w:rsidRPr="00E5030A" w:rsidRDefault="004A4849" w:rsidP="004A4849">
            <w:pPr>
              <w:spacing w:after="240"/>
              <w:ind w:leftChars="300" w:left="2880" w:hangingChars="900" w:hanging="2160"/>
              <w:rPr>
                <w:bCs/>
              </w:rPr>
            </w:pPr>
            <w:r w:rsidRPr="00E5030A">
              <w:rPr>
                <w:bCs/>
              </w:rPr>
              <w:t xml:space="preserve">RTPCRUAMTQSETOT </w:t>
            </w:r>
            <w:r w:rsidRPr="00E5030A">
              <w:rPr>
                <w:bCs/>
                <w:i/>
                <w:vertAlign w:val="subscript"/>
              </w:rPr>
              <w:t>q</w:t>
            </w:r>
            <w:r w:rsidRPr="00E5030A">
              <w:rPr>
                <w:bCs/>
              </w:rPr>
              <w:tab/>
              <w:t>=</w:t>
            </w:r>
            <w:r w:rsidRPr="00E5030A">
              <w:rPr>
                <w:bCs/>
              </w:rPr>
              <w:tab/>
            </w:r>
            <w:r w:rsidR="00A94020">
              <w:rPr>
                <w:bCs/>
                <w:noProof/>
                <w:position w:val="-20"/>
              </w:rPr>
              <w:drawing>
                <wp:inline distT="0" distB="0" distL="0" distR="0" wp14:anchorId="5561DDE2" wp14:editId="7C8B8D09">
                  <wp:extent cx="142875" cy="2762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RTPCRUAMT </w:t>
            </w:r>
            <w:r w:rsidRPr="00E5030A">
              <w:rPr>
                <w:bCs/>
                <w:i/>
                <w:vertAlign w:val="subscript"/>
              </w:rPr>
              <w:t>q, m</w:t>
            </w:r>
          </w:p>
          <w:p w14:paraId="3201C00A" w14:textId="77777777" w:rsidR="004A4849" w:rsidRPr="00E5030A" w:rsidRDefault="004A4849" w:rsidP="004A4849">
            <w:r w:rsidRPr="00E5030A">
              <w:t>Total charge of infeasible Ancillary Service Supply Responsibility for Reg-Up</w:t>
            </w:r>
          </w:p>
          <w:p w14:paraId="08310A91" w14:textId="55434736" w:rsidR="004A4849" w:rsidRPr="00E5030A" w:rsidRDefault="004A4849" w:rsidP="004A4849">
            <w:pPr>
              <w:spacing w:after="240"/>
              <w:ind w:left="2880" w:hanging="2160"/>
            </w:pPr>
            <w:r w:rsidRPr="00E5030A">
              <w:t>RUINFQAMTTOT</w:t>
            </w:r>
            <w:r w:rsidRPr="00E5030A">
              <w:tab/>
              <w:t>=</w:t>
            </w:r>
            <w:r w:rsidRPr="00E5030A">
              <w:tab/>
            </w:r>
            <w:r w:rsidR="00A94020">
              <w:rPr>
                <w:noProof/>
                <w:position w:val="-22"/>
              </w:rPr>
              <w:drawing>
                <wp:inline distT="0" distB="0" distL="0" distR="0" wp14:anchorId="268A0225" wp14:editId="26DF0804">
                  <wp:extent cx="142875" cy="2952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RUINFQAMT </w:t>
            </w:r>
            <w:r w:rsidRPr="00E5030A">
              <w:rPr>
                <w:i/>
                <w:vertAlign w:val="subscript"/>
              </w:rPr>
              <w:t>q</w:t>
            </w:r>
          </w:p>
          <w:p w14:paraId="5C6F025D" w14:textId="77777777" w:rsidR="004A4849" w:rsidRDefault="004A4849" w:rsidP="00065EC3">
            <w:pPr>
              <w:pStyle w:val="Formula"/>
              <w:ind w:leftChars="9" w:left="322" w:hangingChars="125" w:hanging="300"/>
            </w:pPr>
            <w:r>
              <w:t>Total Real-Time DAM Make-Whole Payment for Reg-Up</w:t>
            </w:r>
          </w:p>
          <w:p w14:paraId="29BA91A3" w14:textId="77777777" w:rsidR="004A4849" w:rsidRDefault="004A4849" w:rsidP="004A4849">
            <w:pPr>
              <w:spacing w:after="240"/>
              <w:ind w:left="2880" w:hanging="2160"/>
            </w:pPr>
            <w:r w:rsidRPr="00E5030A">
              <w:t>RUMWINFATOT</w:t>
            </w:r>
            <w:r>
              <w:tab/>
              <w:t>=</w:t>
            </w:r>
            <w:r>
              <w:tab/>
            </w:r>
            <w:r w:rsidRPr="004C0093">
              <w:rPr>
                <w:position w:val="-22"/>
                <w:lang w:val="pt-BR"/>
              </w:rPr>
              <w:object w:dxaOrig="220" w:dyaOrig="460" w14:anchorId="17810429">
                <v:shape id="_x0000_i1350" type="#_x0000_t75" style="width:12pt;height:18pt" o:ole="">
                  <v:imagedata r:id="rId435" o:title=""/>
                </v:shape>
                <o:OLEObject Type="Embed" ProgID="Equation.3" ShapeID="_x0000_i1350" DrawAspect="Content" ObjectID="_1815025538" r:id="rId436"/>
              </w:object>
            </w:r>
            <w:r w:rsidRPr="00627431">
              <w:rPr>
                <w:color w:val="000000"/>
              </w:rPr>
              <w:t xml:space="preserve"> </w:t>
            </w:r>
            <w:r>
              <w:rPr>
                <w:color w:val="000000"/>
              </w:rPr>
              <w:t xml:space="preserve">RUMWINFA </w:t>
            </w:r>
            <w:r>
              <w:rPr>
                <w:i/>
                <w:vertAlign w:val="subscript"/>
              </w:rPr>
              <w:t>q,</w:t>
            </w:r>
            <w:r w:rsidRPr="004C0093">
              <w:rPr>
                <w:i/>
                <w:vertAlign w:val="subscript"/>
              </w:rPr>
              <w:t xml:space="preserve"> h  </w:t>
            </w:r>
          </w:p>
          <w:p w14:paraId="7571EA9C" w14:textId="77777777" w:rsidR="004A4849" w:rsidRPr="00E5030A" w:rsidRDefault="004A4849" w:rsidP="004A4849">
            <w:r w:rsidRPr="00E5030A">
              <w:t>The above variables are defined as follows:</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163"/>
            </w:tblGrid>
            <w:tr w:rsidR="006A63DD" w:rsidRPr="00E5030A" w14:paraId="71242FA2" w14:textId="77777777" w:rsidTr="002A7BFB">
              <w:tc>
                <w:tcPr>
                  <w:tcW w:w="1315" w:type="pct"/>
                </w:tcPr>
                <w:p w14:paraId="2E425F0E" w14:textId="77777777" w:rsidR="006A63DD" w:rsidRPr="00E5030A" w:rsidRDefault="006A63DD" w:rsidP="006A63DD">
                  <w:pPr>
                    <w:spacing w:after="120"/>
                    <w:rPr>
                      <w:b/>
                      <w:iCs/>
                      <w:sz w:val="20"/>
                    </w:rPr>
                  </w:pPr>
                  <w:r w:rsidRPr="00E5030A">
                    <w:rPr>
                      <w:b/>
                      <w:iCs/>
                      <w:sz w:val="20"/>
                    </w:rPr>
                    <w:t>Variable</w:t>
                  </w:r>
                </w:p>
              </w:tc>
              <w:tc>
                <w:tcPr>
                  <w:tcW w:w="326" w:type="pct"/>
                </w:tcPr>
                <w:p w14:paraId="434563A5" w14:textId="77777777" w:rsidR="006A63DD" w:rsidRPr="00E5030A" w:rsidRDefault="006A63DD" w:rsidP="006A63DD">
                  <w:pPr>
                    <w:spacing w:after="120"/>
                    <w:rPr>
                      <w:b/>
                      <w:iCs/>
                      <w:sz w:val="20"/>
                    </w:rPr>
                  </w:pPr>
                  <w:r w:rsidRPr="00E5030A">
                    <w:rPr>
                      <w:b/>
                      <w:iCs/>
                      <w:sz w:val="20"/>
                    </w:rPr>
                    <w:t>Unit</w:t>
                  </w:r>
                </w:p>
              </w:tc>
              <w:tc>
                <w:tcPr>
                  <w:tcW w:w="3359" w:type="pct"/>
                </w:tcPr>
                <w:p w14:paraId="580C7653" w14:textId="77777777" w:rsidR="006A63DD" w:rsidRPr="00E5030A" w:rsidRDefault="006A63DD" w:rsidP="006A63DD">
                  <w:pPr>
                    <w:spacing w:after="120"/>
                    <w:rPr>
                      <w:b/>
                      <w:iCs/>
                      <w:sz w:val="20"/>
                    </w:rPr>
                  </w:pPr>
                  <w:r w:rsidRPr="00E5030A">
                    <w:rPr>
                      <w:b/>
                      <w:iCs/>
                      <w:sz w:val="20"/>
                    </w:rPr>
                    <w:t>Description</w:t>
                  </w:r>
                </w:p>
              </w:tc>
            </w:tr>
            <w:tr w:rsidR="006A63DD" w:rsidRPr="00E5030A" w14:paraId="7DC5F6B3" w14:textId="77777777" w:rsidTr="002A7BFB">
              <w:tc>
                <w:tcPr>
                  <w:tcW w:w="1315" w:type="pct"/>
                </w:tcPr>
                <w:p w14:paraId="14443FC2" w14:textId="77777777" w:rsidR="006A63DD" w:rsidRPr="00E5030A" w:rsidRDefault="006A63DD" w:rsidP="006A63DD">
                  <w:pPr>
                    <w:spacing w:after="60"/>
                    <w:rPr>
                      <w:iCs/>
                      <w:sz w:val="20"/>
                    </w:rPr>
                  </w:pPr>
                  <w:r w:rsidRPr="00E5030A">
                    <w:rPr>
                      <w:iCs/>
                      <w:sz w:val="20"/>
                    </w:rPr>
                    <w:t>RUCOSTTOT</w:t>
                  </w:r>
                </w:p>
              </w:tc>
              <w:tc>
                <w:tcPr>
                  <w:tcW w:w="326" w:type="pct"/>
                </w:tcPr>
                <w:p w14:paraId="194EAA27" w14:textId="77777777" w:rsidR="006A63DD" w:rsidRPr="00E5030A" w:rsidRDefault="006A63DD" w:rsidP="006A63DD">
                  <w:pPr>
                    <w:spacing w:after="60"/>
                    <w:rPr>
                      <w:iCs/>
                      <w:sz w:val="20"/>
                    </w:rPr>
                  </w:pPr>
                  <w:r w:rsidRPr="00E5030A">
                    <w:rPr>
                      <w:iCs/>
                      <w:sz w:val="20"/>
                    </w:rPr>
                    <w:t>$</w:t>
                  </w:r>
                </w:p>
              </w:tc>
              <w:tc>
                <w:tcPr>
                  <w:tcW w:w="3359" w:type="pct"/>
                </w:tcPr>
                <w:p w14:paraId="79E2683D" w14:textId="77777777" w:rsidR="006A63DD" w:rsidRPr="00E5030A" w:rsidRDefault="006A63DD" w:rsidP="006A63DD">
                  <w:pPr>
                    <w:spacing w:after="60"/>
                    <w:rPr>
                      <w:iCs/>
                      <w:sz w:val="20"/>
                    </w:rPr>
                  </w:pPr>
                  <w:r w:rsidRPr="00E5030A">
                    <w:rPr>
                      <w:i/>
                      <w:iCs/>
                      <w:sz w:val="20"/>
                    </w:rPr>
                    <w:t>Reg-Up Cost Total</w:t>
                  </w:r>
                  <w:r w:rsidRPr="00E5030A">
                    <w:rPr>
                      <w:iCs/>
                      <w:sz w:val="20"/>
                    </w:rPr>
                    <w:t>—The net total costs for Reg-Up for the hour.</w:t>
                  </w:r>
                </w:p>
              </w:tc>
            </w:tr>
            <w:tr w:rsidR="006A63DD" w:rsidRPr="00E5030A" w14:paraId="676A84A3" w14:textId="77777777" w:rsidTr="002A7BFB">
              <w:tc>
                <w:tcPr>
                  <w:tcW w:w="1315" w:type="pct"/>
                  <w:tcBorders>
                    <w:top w:val="single" w:sz="4" w:space="0" w:color="auto"/>
                    <w:left w:val="single" w:sz="4" w:space="0" w:color="auto"/>
                    <w:bottom w:val="single" w:sz="4" w:space="0" w:color="auto"/>
                    <w:right w:val="single" w:sz="4" w:space="0" w:color="auto"/>
                  </w:tcBorders>
                </w:tcPr>
                <w:p w14:paraId="2E962BB0" w14:textId="77777777" w:rsidR="006A63DD" w:rsidRPr="00E5030A" w:rsidRDefault="006A63DD" w:rsidP="006A63DD">
                  <w:pPr>
                    <w:spacing w:after="60"/>
                    <w:rPr>
                      <w:iCs/>
                      <w:sz w:val="20"/>
                    </w:rPr>
                  </w:pPr>
                  <w:r w:rsidRPr="00E5030A">
                    <w:rPr>
                      <w:iCs/>
                      <w:sz w:val="20"/>
                    </w:rPr>
                    <w:t xml:space="preserve">RTPCRUAMTTOT </w:t>
                  </w:r>
                  <w:r w:rsidRPr="00E5030A">
                    <w:rPr>
                      <w:i/>
                      <w:iCs/>
                      <w:sz w:val="20"/>
                      <w:vertAlign w:val="subscript"/>
                    </w:rPr>
                    <w:t>m</w:t>
                  </w:r>
                </w:p>
              </w:tc>
              <w:tc>
                <w:tcPr>
                  <w:tcW w:w="326" w:type="pct"/>
                  <w:tcBorders>
                    <w:top w:val="single" w:sz="4" w:space="0" w:color="auto"/>
                    <w:left w:val="single" w:sz="4" w:space="0" w:color="auto"/>
                    <w:bottom w:val="single" w:sz="4" w:space="0" w:color="auto"/>
                    <w:right w:val="single" w:sz="4" w:space="0" w:color="auto"/>
                  </w:tcBorders>
                </w:tcPr>
                <w:p w14:paraId="5216BFC0"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DC70729" w14:textId="77777777" w:rsidR="006A63DD" w:rsidRPr="00E5030A" w:rsidRDefault="006A63DD" w:rsidP="006A63DD">
                  <w:pPr>
                    <w:spacing w:after="60"/>
                    <w:rPr>
                      <w:i/>
                      <w:iCs/>
                      <w:sz w:val="20"/>
                    </w:rPr>
                  </w:pPr>
                  <w:r w:rsidRPr="00E5030A">
                    <w:rPr>
                      <w:i/>
                      <w:iCs/>
                      <w:sz w:val="20"/>
                    </w:rPr>
                    <w:t>Procured Capacity for Reg-Up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Reg-Up, for the hour.</w:t>
                  </w:r>
                </w:p>
              </w:tc>
            </w:tr>
            <w:tr w:rsidR="006A63DD" w:rsidRPr="00E5030A" w14:paraId="5E830FF6" w14:textId="77777777" w:rsidTr="002A7BFB">
              <w:tc>
                <w:tcPr>
                  <w:tcW w:w="1315" w:type="pct"/>
                  <w:tcBorders>
                    <w:top w:val="single" w:sz="4" w:space="0" w:color="auto"/>
                    <w:left w:val="single" w:sz="4" w:space="0" w:color="auto"/>
                    <w:bottom w:val="single" w:sz="4" w:space="0" w:color="auto"/>
                    <w:right w:val="single" w:sz="4" w:space="0" w:color="auto"/>
                  </w:tcBorders>
                </w:tcPr>
                <w:p w14:paraId="7C6F4BC2" w14:textId="77777777" w:rsidR="006A63DD" w:rsidRPr="009200FD" w:rsidRDefault="006A63DD" w:rsidP="006A63DD">
                  <w:pPr>
                    <w:spacing w:after="60"/>
                    <w:rPr>
                      <w:iCs/>
                      <w:sz w:val="20"/>
                    </w:rPr>
                  </w:pPr>
                  <w:r w:rsidRPr="0004464F">
                    <w:rPr>
                      <w:color w:val="000000"/>
                      <w:sz w:val="20"/>
                    </w:rPr>
                    <w:t>RUMWINFA</w:t>
                  </w:r>
                  <w:r w:rsidRPr="004C0093">
                    <w:rPr>
                      <w:color w:val="000000"/>
                      <w:sz w:val="20"/>
                    </w:rPr>
                    <w:t>TOT</w:t>
                  </w:r>
                  <w:r>
                    <w:rPr>
                      <w:i/>
                      <w:sz w:val="20"/>
                      <w:vertAlign w:val="subscript"/>
                    </w:rPr>
                    <w:t xml:space="preserve"> </w:t>
                  </w:r>
                </w:p>
              </w:tc>
              <w:tc>
                <w:tcPr>
                  <w:tcW w:w="326" w:type="pct"/>
                  <w:tcBorders>
                    <w:top w:val="single" w:sz="4" w:space="0" w:color="auto"/>
                    <w:left w:val="single" w:sz="4" w:space="0" w:color="auto"/>
                    <w:bottom w:val="single" w:sz="4" w:space="0" w:color="auto"/>
                    <w:right w:val="single" w:sz="4" w:space="0" w:color="auto"/>
                  </w:tcBorders>
                </w:tcPr>
                <w:p w14:paraId="54BA5CEB" w14:textId="77777777" w:rsidR="006A63DD" w:rsidRPr="009200FD" w:rsidRDefault="006A63DD" w:rsidP="006A63DD">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0C8B7E90" w14:textId="77777777" w:rsidR="006A63DD" w:rsidRPr="009200FD" w:rsidRDefault="006A63DD" w:rsidP="00065EC3">
                  <w:pPr>
                    <w:spacing w:after="60"/>
                    <w:rPr>
                      <w:i/>
                      <w:iCs/>
                      <w:sz w:val="20"/>
                    </w:rPr>
                  </w:pPr>
                  <w:r>
                    <w:rPr>
                      <w:i/>
                      <w:sz w:val="20"/>
                    </w:rPr>
                    <w:t>Reg-Up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Reg-Up,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r w:rsidRPr="004C0093">
                    <w:rPr>
                      <w:sz w:val="20"/>
                    </w:rPr>
                    <w:t xml:space="preserve"> </w:t>
                  </w:r>
                </w:p>
              </w:tc>
            </w:tr>
            <w:tr w:rsidR="006A63DD" w:rsidRPr="00E5030A" w14:paraId="52573C50" w14:textId="77777777" w:rsidTr="002A7BFB">
              <w:tc>
                <w:tcPr>
                  <w:tcW w:w="1315" w:type="pct"/>
                  <w:tcBorders>
                    <w:top w:val="single" w:sz="4" w:space="0" w:color="auto"/>
                    <w:left w:val="single" w:sz="4" w:space="0" w:color="auto"/>
                    <w:bottom w:val="single" w:sz="4" w:space="0" w:color="auto"/>
                    <w:right w:val="single" w:sz="4" w:space="0" w:color="auto"/>
                  </w:tcBorders>
                </w:tcPr>
                <w:p w14:paraId="65082C4D" w14:textId="77777777" w:rsidR="006A63DD" w:rsidRPr="009200FD" w:rsidRDefault="006A63DD" w:rsidP="006A63DD">
                  <w:pPr>
                    <w:spacing w:after="60"/>
                    <w:rPr>
                      <w:iCs/>
                      <w:sz w:val="20"/>
                    </w:rPr>
                  </w:pPr>
                  <w:r w:rsidRPr="003530E3">
                    <w:rPr>
                      <w:color w:val="000000"/>
                      <w:sz w:val="20"/>
                    </w:rPr>
                    <w:t>RUMWINFA</w:t>
                  </w:r>
                  <w:r>
                    <w:rPr>
                      <w:color w:val="000000"/>
                      <w:sz w:val="20"/>
                    </w:rPr>
                    <w:t xml:space="preserve"> </w:t>
                  </w:r>
                  <w:r w:rsidRPr="004C0093">
                    <w:rPr>
                      <w:i/>
                      <w:sz w:val="20"/>
                      <w:vertAlign w:val="subscript"/>
                    </w:rPr>
                    <w:t>q</w:t>
                  </w:r>
                  <w:r>
                    <w:rPr>
                      <w:i/>
                      <w:sz w:val="20"/>
                      <w:vertAlign w:val="subscript"/>
                    </w:rPr>
                    <w:t>, h</w:t>
                  </w:r>
                </w:p>
              </w:tc>
              <w:tc>
                <w:tcPr>
                  <w:tcW w:w="326" w:type="pct"/>
                  <w:tcBorders>
                    <w:top w:val="single" w:sz="4" w:space="0" w:color="auto"/>
                    <w:left w:val="single" w:sz="4" w:space="0" w:color="auto"/>
                    <w:bottom w:val="single" w:sz="4" w:space="0" w:color="auto"/>
                    <w:right w:val="single" w:sz="4" w:space="0" w:color="auto"/>
                  </w:tcBorders>
                </w:tcPr>
                <w:p w14:paraId="0598814F" w14:textId="77777777" w:rsidR="006A63DD" w:rsidRPr="009200FD" w:rsidRDefault="006A63DD" w:rsidP="006A63DD">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6A5666D" w14:textId="77777777" w:rsidR="006A63DD" w:rsidRPr="009200FD" w:rsidRDefault="006A63DD" w:rsidP="00065EC3">
                  <w:pPr>
                    <w:spacing w:after="60"/>
                    <w:rPr>
                      <w:i/>
                      <w:iCs/>
                      <w:sz w:val="20"/>
                    </w:rPr>
                  </w:pPr>
                  <w:r>
                    <w:rPr>
                      <w:i/>
                      <w:sz w:val="20"/>
                    </w:rPr>
                    <w:t>Reg-Up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Reg-Up,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6A63DD" w:rsidRPr="00E5030A" w14:paraId="75DEA86A" w14:textId="77777777" w:rsidTr="002A7BFB">
              <w:tc>
                <w:tcPr>
                  <w:tcW w:w="1315" w:type="pct"/>
                  <w:tcBorders>
                    <w:top w:val="single" w:sz="4" w:space="0" w:color="auto"/>
                    <w:left w:val="single" w:sz="4" w:space="0" w:color="auto"/>
                    <w:bottom w:val="single" w:sz="4" w:space="0" w:color="auto"/>
                    <w:right w:val="single" w:sz="4" w:space="0" w:color="auto"/>
                  </w:tcBorders>
                </w:tcPr>
                <w:p w14:paraId="77B1A54C" w14:textId="77777777" w:rsidR="006A63DD" w:rsidRPr="00E5030A" w:rsidRDefault="006A63DD" w:rsidP="006A63DD">
                  <w:pPr>
                    <w:spacing w:after="60"/>
                    <w:rPr>
                      <w:iCs/>
                      <w:sz w:val="20"/>
                    </w:rPr>
                  </w:pPr>
                  <w:r w:rsidRPr="00E5030A">
                    <w:rPr>
                      <w:iCs/>
                      <w:sz w:val="20"/>
                    </w:rPr>
                    <w:t xml:space="preserve">RTPCRUAMT </w:t>
                  </w:r>
                  <w:r w:rsidRPr="00E5030A">
                    <w:rPr>
                      <w:i/>
                      <w:iCs/>
                      <w:sz w:val="20"/>
                      <w:vertAlign w:val="subscript"/>
                    </w:rPr>
                    <w:t>q, m</w:t>
                  </w:r>
                </w:p>
              </w:tc>
              <w:tc>
                <w:tcPr>
                  <w:tcW w:w="326" w:type="pct"/>
                  <w:tcBorders>
                    <w:top w:val="single" w:sz="4" w:space="0" w:color="auto"/>
                    <w:left w:val="single" w:sz="4" w:space="0" w:color="auto"/>
                    <w:bottom w:val="single" w:sz="4" w:space="0" w:color="auto"/>
                    <w:right w:val="single" w:sz="4" w:space="0" w:color="auto"/>
                  </w:tcBorders>
                </w:tcPr>
                <w:p w14:paraId="751F4573"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BB83BE5" w14:textId="77777777" w:rsidR="006A63DD" w:rsidRPr="00E5030A" w:rsidRDefault="006A63DD" w:rsidP="006A63DD">
                  <w:pPr>
                    <w:spacing w:after="60"/>
                    <w:rPr>
                      <w:i/>
                      <w:iCs/>
                      <w:sz w:val="20"/>
                    </w:rPr>
                  </w:pPr>
                  <w:r w:rsidRPr="00E5030A">
                    <w:rPr>
                      <w:i/>
                      <w:iCs/>
                      <w:sz w:val="20"/>
                    </w:rPr>
                    <w:t>Procured Capacity for Reg-Up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Reg-Up, for the hour.</w:t>
                  </w:r>
                </w:p>
              </w:tc>
            </w:tr>
            <w:tr w:rsidR="006A63DD" w:rsidRPr="00E5030A" w14:paraId="453A81BB" w14:textId="77777777" w:rsidTr="002A7BFB">
              <w:tc>
                <w:tcPr>
                  <w:tcW w:w="1315" w:type="pct"/>
                  <w:tcBorders>
                    <w:top w:val="single" w:sz="4" w:space="0" w:color="auto"/>
                    <w:left w:val="single" w:sz="4" w:space="0" w:color="auto"/>
                    <w:bottom w:val="single" w:sz="4" w:space="0" w:color="auto"/>
                    <w:right w:val="single" w:sz="4" w:space="0" w:color="auto"/>
                  </w:tcBorders>
                </w:tcPr>
                <w:p w14:paraId="79EFDDBF" w14:textId="77777777" w:rsidR="006A63DD" w:rsidRPr="00E5030A" w:rsidRDefault="006A63DD" w:rsidP="006A63DD">
                  <w:pPr>
                    <w:spacing w:after="60"/>
                    <w:rPr>
                      <w:iCs/>
                      <w:sz w:val="20"/>
                    </w:rPr>
                  </w:pPr>
                  <w:r w:rsidRPr="00E5030A">
                    <w:rPr>
                      <w:iCs/>
                      <w:sz w:val="20"/>
                    </w:rPr>
                    <w:t>RUFQAMTTOT</w:t>
                  </w:r>
                </w:p>
              </w:tc>
              <w:tc>
                <w:tcPr>
                  <w:tcW w:w="326" w:type="pct"/>
                  <w:tcBorders>
                    <w:top w:val="single" w:sz="4" w:space="0" w:color="auto"/>
                    <w:left w:val="single" w:sz="4" w:space="0" w:color="auto"/>
                    <w:bottom w:val="single" w:sz="4" w:space="0" w:color="auto"/>
                    <w:right w:val="single" w:sz="4" w:space="0" w:color="auto"/>
                  </w:tcBorders>
                </w:tcPr>
                <w:p w14:paraId="021AD051"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59B66481" w14:textId="77777777" w:rsidR="006A63DD" w:rsidRPr="00E5030A" w:rsidRDefault="006A63DD" w:rsidP="006A63DD">
                  <w:pPr>
                    <w:spacing w:after="60"/>
                    <w:rPr>
                      <w:i/>
                      <w:iCs/>
                      <w:sz w:val="20"/>
                    </w:rPr>
                  </w:pPr>
                  <w:r w:rsidRPr="00E5030A">
                    <w:rPr>
                      <w:i/>
                      <w:iCs/>
                      <w:sz w:val="20"/>
                    </w:rPr>
                    <w:t>Reg-Up Failure Quantity Amount Total</w:t>
                  </w:r>
                  <w:r w:rsidRPr="00E5030A">
                    <w:rPr>
                      <w:iCs/>
                      <w:sz w:val="20"/>
                    </w:rPr>
                    <w:t>—The total charges to all QSEs for their capacity associated with failures and reconfiguration reductions on their Ancillary Service Supply Responsibilities for Reg-Up, for the hour.</w:t>
                  </w:r>
                </w:p>
              </w:tc>
            </w:tr>
            <w:tr w:rsidR="006A63DD" w:rsidRPr="00E5030A" w14:paraId="5E8B8DF9" w14:textId="77777777" w:rsidTr="002A7BFB">
              <w:tc>
                <w:tcPr>
                  <w:tcW w:w="1315" w:type="pct"/>
                  <w:tcBorders>
                    <w:top w:val="single" w:sz="4" w:space="0" w:color="auto"/>
                    <w:left w:val="single" w:sz="4" w:space="0" w:color="auto"/>
                    <w:bottom w:val="single" w:sz="4" w:space="0" w:color="auto"/>
                    <w:right w:val="single" w:sz="4" w:space="0" w:color="auto"/>
                  </w:tcBorders>
                </w:tcPr>
                <w:p w14:paraId="708FBDBE" w14:textId="77777777" w:rsidR="006A63DD" w:rsidRPr="00E5030A" w:rsidRDefault="006A63DD" w:rsidP="006A63DD">
                  <w:pPr>
                    <w:spacing w:after="60"/>
                    <w:rPr>
                      <w:iCs/>
                      <w:sz w:val="20"/>
                    </w:rPr>
                  </w:pPr>
                  <w:r w:rsidRPr="00E5030A">
                    <w:rPr>
                      <w:iCs/>
                      <w:sz w:val="20"/>
                    </w:rPr>
                    <w:lastRenderedPageBreak/>
                    <w:t xml:space="preserve">RUFQAMTQSETOT </w:t>
                  </w:r>
                  <w:r w:rsidRPr="00E5030A">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556F27EB"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245B52FE" w14:textId="77777777" w:rsidR="006A63DD" w:rsidRPr="00E5030A" w:rsidRDefault="006A63DD" w:rsidP="006A63DD">
                  <w:pPr>
                    <w:spacing w:after="60"/>
                    <w:rPr>
                      <w:i/>
                      <w:iCs/>
                      <w:sz w:val="20"/>
                    </w:rPr>
                  </w:pPr>
                  <w:r w:rsidRPr="00E5030A">
                    <w:rPr>
                      <w:i/>
                      <w:iCs/>
                      <w:sz w:val="20"/>
                    </w:rPr>
                    <w:t>Reg-Up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Reg-Up, for the hour.</w:t>
                  </w:r>
                </w:p>
              </w:tc>
            </w:tr>
            <w:tr w:rsidR="006A63DD" w:rsidRPr="00E5030A" w14:paraId="222DCE8F" w14:textId="77777777" w:rsidTr="002A7BFB">
              <w:tc>
                <w:tcPr>
                  <w:tcW w:w="1315" w:type="pct"/>
                  <w:tcBorders>
                    <w:top w:val="single" w:sz="4" w:space="0" w:color="auto"/>
                    <w:left w:val="single" w:sz="4" w:space="0" w:color="auto"/>
                    <w:bottom w:val="single" w:sz="4" w:space="0" w:color="auto"/>
                    <w:right w:val="single" w:sz="4" w:space="0" w:color="auto"/>
                  </w:tcBorders>
                </w:tcPr>
                <w:p w14:paraId="2AD27009" w14:textId="77777777" w:rsidR="006A63DD" w:rsidRPr="00E5030A" w:rsidRDefault="006A63DD" w:rsidP="006A63DD">
                  <w:pPr>
                    <w:spacing w:after="60"/>
                    <w:rPr>
                      <w:iCs/>
                      <w:sz w:val="20"/>
                    </w:rPr>
                  </w:pPr>
                  <w:r w:rsidRPr="00E5030A">
                    <w:rPr>
                      <w:iCs/>
                      <w:sz w:val="20"/>
                    </w:rPr>
                    <w:t xml:space="preserve">RTPCRUAMTQSETOT </w:t>
                  </w:r>
                  <w:r w:rsidRPr="00E5030A">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6620D64B"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14C9F0F6" w14:textId="77777777" w:rsidR="006A63DD" w:rsidRPr="00E5030A" w:rsidRDefault="006A63DD" w:rsidP="006A63DD">
                  <w:pPr>
                    <w:spacing w:after="60"/>
                    <w:rPr>
                      <w:iCs/>
                      <w:sz w:val="20"/>
                    </w:rPr>
                  </w:pPr>
                  <w:r w:rsidRPr="00E5030A">
                    <w:rPr>
                      <w:i/>
                      <w:iCs/>
                      <w:sz w:val="20"/>
                    </w:rPr>
                    <w:t>Procured Capacity for Reg-Up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Reg-Up, for the hour.</w:t>
                  </w:r>
                </w:p>
              </w:tc>
            </w:tr>
            <w:tr w:rsidR="006A63DD" w:rsidRPr="00E5030A" w14:paraId="743F9B91" w14:textId="77777777" w:rsidTr="002A7B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5259F879" w14:textId="77777777" w:rsidR="006A63DD" w:rsidRPr="00E5030A" w:rsidRDefault="006A63DD" w:rsidP="006A63DD">
                  <w:pPr>
                    <w:spacing w:after="60"/>
                    <w:rPr>
                      <w:iCs/>
                      <w:sz w:val="20"/>
                    </w:rPr>
                  </w:pPr>
                  <w:r w:rsidRPr="00E5030A">
                    <w:rPr>
                      <w:iCs/>
                      <w:sz w:val="20"/>
                    </w:rPr>
                    <w:t xml:space="preserve">PCRUAMT </w:t>
                  </w:r>
                  <w:r w:rsidRPr="00E5030A">
                    <w:rPr>
                      <w:i/>
                      <w:iCs/>
                      <w:sz w:val="20"/>
                      <w:vertAlign w:val="subscript"/>
                    </w:rPr>
                    <w:t>q</w:t>
                  </w:r>
                </w:p>
              </w:tc>
              <w:tc>
                <w:tcPr>
                  <w:tcW w:w="326" w:type="pct"/>
                </w:tcPr>
                <w:p w14:paraId="609E2075" w14:textId="77777777" w:rsidR="006A63DD" w:rsidRPr="00E5030A" w:rsidRDefault="006A63DD" w:rsidP="006A63DD">
                  <w:pPr>
                    <w:spacing w:after="60"/>
                    <w:rPr>
                      <w:iCs/>
                      <w:sz w:val="20"/>
                    </w:rPr>
                  </w:pPr>
                  <w:r w:rsidRPr="00E5030A">
                    <w:rPr>
                      <w:iCs/>
                      <w:sz w:val="20"/>
                    </w:rPr>
                    <w:t>$</w:t>
                  </w:r>
                </w:p>
              </w:tc>
              <w:tc>
                <w:tcPr>
                  <w:tcW w:w="3359" w:type="pct"/>
                </w:tcPr>
                <w:p w14:paraId="2D5014ED" w14:textId="77777777" w:rsidR="006A63DD" w:rsidRPr="00E5030A" w:rsidRDefault="006A63DD" w:rsidP="006A63DD">
                  <w:pPr>
                    <w:spacing w:after="60"/>
                    <w:rPr>
                      <w:iCs/>
                      <w:sz w:val="20"/>
                    </w:rPr>
                  </w:pPr>
                  <w:r w:rsidRPr="00E5030A">
                    <w:rPr>
                      <w:i/>
                      <w:iCs/>
                      <w:sz w:val="20"/>
                    </w:rPr>
                    <w:t>Procured Capacity for Reg-Up Amount per QSE in DAM</w:t>
                  </w:r>
                  <w:r w:rsidRPr="00E5030A">
                    <w:rPr>
                      <w:iCs/>
                      <w:sz w:val="20"/>
                    </w:rPr>
                    <w:t xml:space="preserve">—The DAM Reg-Up payment for QSE </w:t>
                  </w:r>
                  <w:r w:rsidRPr="00E5030A">
                    <w:rPr>
                      <w:i/>
                      <w:iCs/>
                      <w:sz w:val="20"/>
                    </w:rPr>
                    <w:t>q</w:t>
                  </w:r>
                  <w:r w:rsidRPr="00E5030A">
                    <w:rPr>
                      <w:iCs/>
                      <w:sz w:val="20"/>
                    </w:rPr>
                    <w:t>, for the hour.</w:t>
                  </w:r>
                </w:p>
              </w:tc>
            </w:tr>
            <w:tr w:rsidR="006A63DD" w:rsidRPr="00E5030A" w14:paraId="134DFB2A" w14:textId="77777777" w:rsidTr="002A7B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473FF0DA" w14:textId="77777777" w:rsidR="006A63DD" w:rsidRPr="00E5030A" w:rsidRDefault="006A63DD" w:rsidP="006A63DD">
                  <w:pPr>
                    <w:spacing w:after="60"/>
                    <w:rPr>
                      <w:iCs/>
                      <w:sz w:val="20"/>
                    </w:rPr>
                  </w:pPr>
                  <w:r w:rsidRPr="00E5030A">
                    <w:rPr>
                      <w:sz w:val="20"/>
                    </w:rPr>
                    <w:t>RUINFQAMTTOT</w:t>
                  </w:r>
                </w:p>
              </w:tc>
              <w:tc>
                <w:tcPr>
                  <w:tcW w:w="326" w:type="pct"/>
                </w:tcPr>
                <w:p w14:paraId="7B07B9AD" w14:textId="77777777" w:rsidR="006A63DD" w:rsidRPr="00E5030A" w:rsidRDefault="006A63DD" w:rsidP="006A63DD">
                  <w:pPr>
                    <w:spacing w:after="60"/>
                    <w:rPr>
                      <w:iCs/>
                      <w:sz w:val="20"/>
                    </w:rPr>
                  </w:pPr>
                  <w:r w:rsidRPr="00E5030A">
                    <w:rPr>
                      <w:sz w:val="20"/>
                    </w:rPr>
                    <w:t>$</w:t>
                  </w:r>
                </w:p>
              </w:tc>
              <w:tc>
                <w:tcPr>
                  <w:tcW w:w="3359" w:type="pct"/>
                </w:tcPr>
                <w:p w14:paraId="726B23EC" w14:textId="77777777" w:rsidR="006A63DD" w:rsidRPr="00E5030A" w:rsidRDefault="006A63DD" w:rsidP="006A63DD">
                  <w:pPr>
                    <w:spacing w:after="60"/>
                    <w:rPr>
                      <w:i/>
                      <w:iCs/>
                      <w:sz w:val="20"/>
                    </w:rPr>
                  </w:pPr>
                  <w:r w:rsidRPr="00E5030A">
                    <w:rPr>
                      <w:i/>
                      <w:sz w:val="20"/>
                    </w:rPr>
                    <w:t xml:space="preserve">Reg-Up Infeasible Quantity Amount Total  </w:t>
                  </w:r>
                  <w:r w:rsidRPr="00E5030A">
                    <w:rPr>
                      <w:sz w:val="20"/>
                    </w:rPr>
                    <w:t>— The charge to all QSEs for their total capacity associated with infeasible deployment of Ancillary Service Supply Responsibilities for Reg-Up, for the hour.</w:t>
                  </w:r>
                </w:p>
              </w:tc>
            </w:tr>
            <w:tr w:rsidR="006A63DD" w:rsidRPr="00E5030A" w14:paraId="7EAADFE6" w14:textId="77777777" w:rsidTr="002A7B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31A9396C" w14:textId="77777777" w:rsidR="006A63DD" w:rsidRPr="00E5030A" w:rsidRDefault="006A63DD" w:rsidP="006A63DD">
                  <w:pPr>
                    <w:spacing w:after="60"/>
                    <w:rPr>
                      <w:iCs/>
                      <w:sz w:val="20"/>
                    </w:rPr>
                  </w:pPr>
                  <w:r w:rsidRPr="00E5030A">
                    <w:rPr>
                      <w:sz w:val="20"/>
                    </w:rPr>
                    <w:t xml:space="preserve">RUINFQAMT </w:t>
                  </w:r>
                  <w:r w:rsidRPr="00E5030A">
                    <w:rPr>
                      <w:i/>
                      <w:sz w:val="20"/>
                      <w:vertAlign w:val="subscript"/>
                    </w:rPr>
                    <w:t>q</w:t>
                  </w:r>
                </w:p>
              </w:tc>
              <w:tc>
                <w:tcPr>
                  <w:tcW w:w="326" w:type="pct"/>
                </w:tcPr>
                <w:p w14:paraId="440CC2CB" w14:textId="77777777" w:rsidR="006A63DD" w:rsidRPr="00E5030A" w:rsidRDefault="006A63DD" w:rsidP="006A63DD">
                  <w:pPr>
                    <w:spacing w:after="60"/>
                    <w:rPr>
                      <w:iCs/>
                      <w:sz w:val="20"/>
                    </w:rPr>
                  </w:pPr>
                  <w:r w:rsidRPr="00E5030A">
                    <w:rPr>
                      <w:sz w:val="20"/>
                    </w:rPr>
                    <w:t>$</w:t>
                  </w:r>
                </w:p>
              </w:tc>
              <w:tc>
                <w:tcPr>
                  <w:tcW w:w="3359" w:type="pct"/>
                </w:tcPr>
                <w:p w14:paraId="3899C86D" w14:textId="77777777" w:rsidR="006A63DD" w:rsidRPr="00E5030A" w:rsidRDefault="006A63DD" w:rsidP="00065EC3">
                  <w:pPr>
                    <w:rPr>
                      <w:i/>
                      <w:iCs/>
                      <w:sz w:val="20"/>
                    </w:rPr>
                  </w:pPr>
                  <w:r w:rsidRPr="00E5030A">
                    <w:rPr>
                      <w:i/>
                      <w:sz w:val="20"/>
                    </w:rPr>
                    <w:t>Reg-Up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Ancillary Service Supply Responsibilities for Reg-Up, for the hour</w:t>
                  </w:r>
                  <w:r w:rsidRPr="00E5030A">
                    <w:t>.</w:t>
                  </w:r>
                </w:p>
              </w:tc>
            </w:tr>
            <w:tr w:rsidR="006A63DD" w:rsidRPr="00E5030A" w14:paraId="47C49B98" w14:textId="77777777" w:rsidTr="002A7BFB">
              <w:tc>
                <w:tcPr>
                  <w:tcW w:w="1315" w:type="pct"/>
                  <w:tcBorders>
                    <w:top w:val="single" w:sz="4" w:space="0" w:color="auto"/>
                    <w:left w:val="single" w:sz="4" w:space="0" w:color="auto"/>
                    <w:bottom w:val="single" w:sz="4" w:space="0" w:color="auto"/>
                    <w:right w:val="single" w:sz="4" w:space="0" w:color="auto"/>
                  </w:tcBorders>
                </w:tcPr>
                <w:p w14:paraId="7C5C86BE" w14:textId="77777777" w:rsidR="006A63DD" w:rsidRPr="00E5030A" w:rsidRDefault="006A63DD" w:rsidP="006A63DD">
                  <w:pPr>
                    <w:spacing w:after="60"/>
                    <w:rPr>
                      <w:sz w:val="20"/>
                    </w:rPr>
                  </w:pPr>
                  <w:r w:rsidRPr="00E5030A">
                    <w:rPr>
                      <w:sz w:val="20"/>
                    </w:rPr>
                    <w:t>PCRUAMTTOT</w:t>
                  </w:r>
                </w:p>
              </w:tc>
              <w:tc>
                <w:tcPr>
                  <w:tcW w:w="326" w:type="pct"/>
                  <w:tcBorders>
                    <w:top w:val="single" w:sz="4" w:space="0" w:color="auto"/>
                    <w:left w:val="single" w:sz="4" w:space="0" w:color="auto"/>
                    <w:bottom w:val="single" w:sz="4" w:space="0" w:color="auto"/>
                    <w:right w:val="single" w:sz="4" w:space="0" w:color="auto"/>
                  </w:tcBorders>
                </w:tcPr>
                <w:p w14:paraId="04AA2189" w14:textId="77777777" w:rsidR="006A63DD" w:rsidRPr="00E5030A" w:rsidRDefault="006A63DD" w:rsidP="006A63DD">
                  <w:pPr>
                    <w:spacing w:after="60"/>
                    <w:rPr>
                      <w:sz w:val="20"/>
                    </w:rPr>
                  </w:pPr>
                  <w:r w:rsidRPr="00E5030A">
                    <w:rPr>
                      <w:sz w:val="20"/>
                    </w:rPr>
                    <w:t>$</w:t>
                  </w:r>
                </w:p>
              </w:tc>
              <w:tc>
                <w:tcPr>
                  <w:tcW w:w="3359" w:type="pct"/>
                  <w:tcBorders>
                    <w:top w:val="single" w:sz="4" w:space="0" w:color="auto"/>
                    <w:left w:val="single" w:sz="4" w:space="0" w:color="auto"/>
                    <w:bottom w:val="single" w:sz="4" w:space="0" w:color="auto"/>
                    <w:right w:val="single" w:sz="4" w:space="0" w:color="auto"/>
                  </w:tcBorders>
                </w:tcPr>
                <w:p w14:paraId="0DD537A6" w14:textId="77777777" w:rsidR="006A63DD" w:rsidRPr="00E5030A" w:rsidRDefault="006A63DD" w:rsidP="006A63DD">
                  <w:pPr>
                    <w:spacing w:after="60"/>
                    <w:rPr>
                      <w:sz w:val="20"/>
                    </w:rPr>
                  </w:pPr>
                  <w:r w:rsidRPr="00E5030A">
                    <w:rPr>
                      <w:i/>
                      <w:sz w:val="20"/>
                    </w:rPr>
                    <w:t>Procured Capacity for Reg-Up Amount Total in DAM</w:t>
                  </w:r>
                  <w:r w:rsidRPr="00E5030A">
                    <w:rPr>
                      <w:sz w:val="20"/>
                    </w:rPr>
                    <w:t>—The total of the DAM Reg-Up payments for all QSEs</w:t>
                  </w:r>
                  <w:r w:rsidRPr="00E5030A">
                    <w:rPr>
                      <w:iCs/>
                      <w:sz w:val="20"/>
                    </w:rPr>
                    <w:t>,</w:t>
                  </w:r>
                  <w:r w:rsidRPr="00E5030A">
                    <w:rPr>
                      <w:sz w:val="20"/>
                    </w:rPr>
                    <w:t xml:space="preserve"> for the hour.</w:t>
                  </w:r>
                </w:p>
              </w:tc>
            </w:tr>
            <w:tr w:rsidR="006A63DD" w:rsidRPr="00E5030A" w14:paraId="37AF3414" w14:textId="77777777" w:rsidTr="002A7BFB">
              <w:tc>
                <w:tcPr>
                  <w:tcW w:w="1315" w:type="pct"/>
                  <w:tcBorders>
                    <w:top w:val="single" w:sz="4" w:space="0" w:color="auto"/>
                    <w:left w:val="single" w:sz="4" w:space="0" w:color="auto"/>
                    <w:bottom w:val="single" w:sz="4" w:space="0" w:color="auto"/>
                    <w:right w:val="single" w:sz="4" w:space="0" w:color="auto"/>
                  </w:tcBorders>
                </w:tcPr>
                <w:p w14:paraId="5C91EA36" w14:textId="77777777" w:rsidR="006A63DD" w:rsidRPr="00E5030A" w:rsidRDefault="006A63DD" w:rsidP="006A63DD">
                  <w:pPr>
                    <w:spacing w:after="60"/>
                    <w:rPr>
                      <w:i/>
                      <w:iCs/>
                      <w:sz w:val="20"/>
                    </w:rPr>
                  </w:pPr>
                  <w:r w:rsidRPr="00E5030A">
                    <w:rPr>
                      <w:i/>
                      <w:iCs/>
                      <w:sz w:val="20"/>
                    </w:rPr>
                    <w:t>q</w:t>
                  </w:r>
                </w:p>
              </w:tc>
              <w:tc>
                <w:tcPr>
                  <w:tcW w:w="326" w:type="pct"/>
                  <w:tcBorders>
                    <w:top w:val="single" w:sz="4" w:space="0" w:color="auto"/>
                    <w:left w:val="single" w:sz="4" w:space="0" w:color="auto"/>
                    <w:bottom w:val="single" w:sz="4" w:space="0" w:color="auto"/>
                    <w:right w:val="single" w:sz="4" w:space="0" w:color="auto"/>
                  </w:tcBorders>
                </w:tcPr>
                <w:p w14:paraId="64D30B35" w14:textId="77777777" w:rsidR="006A63DD" w:rsidRPr="00E5030A" w:rsidRDefault="006A63DD" w:rsidP="006A63DD">
                  <w:pPr>
                    <w:spacing w:after="60"/>
                    <w:rPr>
                      <w:iCs/>
                      <w:sz w:val="20"/>
                    </w:rPr>
                  </w:pPr>
                  <w:r w:rsidRPr="00E5030A">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0F61D82F" w14:textId="77777777" w:rsidR="006A63DD" w:rsidRPr="00E5030A" w:rsidRDefault="006A63DD" w:rsidP="006A63DD">
                  <w:pPr>
                    <w:spacing w:after="60"/>
                    <w:rPr>
                      <w:iCs/>
                      <w:sz w:val="20"/>
                    </w:rPr>
                  </w:pPr>
                  <w:r w:rsidRPr="00E5030A">
                    <w:rPr>
                      <w:iCs/>
                      <w:sz w:val="20"/>
                    </w:rPr>
                    <w:t>A QSE.</w:t>
                  </w:r>
                </w:p>
              </w:tc>
            </w:tr>
            <w:tr w:rsidR="006A63DD" w:rsidRPr="00E5030A" w14:paraId="0AB6CFA3" w14:textId="77777777" w:rsidTr="002A7BFB">
              <w:tc>
                <w:tcPr>
                  <w:tcW w:w="1315" w:type="pct"/>
                  <w:tcBorders>
                    <w:top w:val="single" w:sz="4" w:space="0" w:color="auto"/>
                    <w:left w:val="single" w:sz="4" w:space="0" w:color="auto"/>
                    <w:bottom w:val="single" w:sz="4" w:space="0" w:color="auto"/>
                    <w:right w:val="single" w:sz="4" w:space="0" w:color="auto"/>
                  </w:tcBorders>
                </w:tcPr>
                <w:p w14:paraId="576DB529" w14:textId="77777777" w:rsidR="006A63DD" w:rsidRPr="00E5030A" w:rsidRDefault="006A63DD" w:rsidP="006A63DD">
                  <w:pPr>
                    <w:spacing w:after="60"/>
                    <w:rPr>
                      <w:i/>
                      <w:iCs/>
                      <w:sz w:val="20"/>
                    </w:rPr>
                  </w:pPr>
                  <w:r w:rsidRPr="00E5030A">
                    <w:rPr>
                      <w:i/>
                      <w:iCs/>
                      <w:sz w:val="20"/>
                    </w:rPr>
                    <w:t>m</w:t>
                  </w:r>
                </w:p>
              </w:tc>
              <w:tc>
                <w:tcPr>
                  <w:tcW w:w="326" w:type="pct"/>
                  <w:tcBorders>
                    <w:top w:val="single" w:sz="4" w:space="0" w:color="auto"/>
                    <w:left w:val="single" w:sz="4" w:space="0" w:color="auto"/>
                    <w:bottom w:val="single" w:sz="4" w:space="0" w:color="auto"/>
                    <w:right w:val="single" w:sz="4" w:space="0" w:color="auto"/>
                  </w:tcBorders>
                </w:tcPr>
                <w:p w14:paraId="26CBD431" w14:textId="77777777" w:rsidR="006A63DD" w:rsidRPr="00E5030A" w:rsidRDefault="006A63DD" w:rsidP="006A63DD">
                  <w:pPr>
                    <w:spacing w:after="60"/>
                    <w:rPr>
                      <w:iCs/>
                      <w:sz w:val="20"/>
                    </w:rPr>
                  </w:pPr>
                  <w:r w:rsidRPr="00E5030A">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74981DA9" w14:textId="77777777" w:rsidR="006A63DD" w:rsidRPr="00E5030A" w:rsidRDefault="006A63DD" w:rsidP="006A63DD">
                  <w:pPr>
                    <w:spacing w:after="60"/>
                    <w:rPr>
                      <w:iCs/>
                      <w:sz w:val="20"/>
                    </w:rPr>
                  </w:pPr>
                  <w:r w:rsidRPr="00E5030A">
                    <w:rPr>
                      <w:iCs/>
                      <w:sz w:val="20"/>
                    </w:rPr>
                    <w:t>An Ancillary Service market (SASM or RSASM) for the given Operating Hour.</w:t>
                  </w:r>
                </w:p>
              </w:tc>
            </w:tr>
          </w:tbl>
          <w:p w14:paraId="224861C7" w14:textId="77777777" w:rsidR="004A4849" w:rsidRPr="006C5A42" w:rsidRDefault="004A4849" w:rsidP="002A7BFB">
            <w:pPr>
              <w:spacing w:after="240"/>
              <w:ind w:left="1440" w:hanging="720"/>
            </w:pPr>
          </w:p>
        </w:tc>
      </w:tr>
    </w:tbl>
    <w:p w14:paraId="082CB34B" w14:textId="77777777" w:rsidR="008C5104" w:rsidRPr="007E46C9" w:rsidRDefault="008C5104" w:rsidP="008A4924">
      <w:pPr>
        <w:spacing w:before="240" w:after="240"/>
        <w:ind w:left="1440" w:hanging="720"/>
      </w:pPr>
      <w:r w:rsidRPr="007E46C9">
        <w:lastRenderedPageBreak/>
        <w:t>(b)</w:t>
      </w:r>
      <w:r w:rsidRPr="007E46C9">
        <w:tab/>
        <w:t>Each QSE’s share of the net total costs for Reg-Up for the Operating Hour is calculated as follows:</w:t>
      </w:r>
    </w:p>
    <w:p w14:paraId="35E70C2E" w14:textId="77777777" w:rsidR="008C5104" w:rsidRPr="007E46C9" w:rsidRDefault="008C5104" w:rsidP="008C5104">
      <w:pPr>
        <w:spacing w:after="240"/>
        <w:ind w:left="2880" w:hanging="2160"/>
        <w:rPr>
          <w:b/>
          <w:bCs/>
        </w:rPr>
      </w:pPr>
      <w:r w:rsidRPr="007E46C9">
        <w:rPr>
          <w:b/>
          <w:bCs/>
        </w:rPr>
        <w:t xml:space="preserve">RUCOST </w:t>
      </w:r>
      <w:r w:rsidRPr="007E46C9">
        <w:rPr>
          <w:b/>
          <w:bCs/>
          <w:i/>
          <w:vertAlign w:val="subscript"/>
        </w:rPr>
        <w:t>q</w:t>
      </w:r>
      <w:r w:rsidRPr="007E46C9">
        <w:rPr>
          <w:b/>
          <w:bCs/>
        </w:rPr>
        <w:tab/>
        <w:t>=</w:t>
      </w:r>
      <w:r w:rsidRPr="007E46C9">
        <w:rPr>
          <w:b/>
          <w:bCs/>
        </w:rPr>
        <w:tab/>
        <w:t xml:space="preserve">RUPR * RUQ </w:t>
      </w:r>
      <w:r w:rsidRPr="007E46C9">
        <w:rPr>
          <w:b/>
          <w:bCs/>
          <w:i/>
          <w:vertAlign w:val="subscript"/>
        </w:rPr>
        <w:t>q</w:t>
      </w:r>
    </w:p>
    <w:p w14:paraId="7BCB0292" w14:textId="77777777" w:rsidR="008C5104" w:rsidRPr="007E46C9" w:rsidRDefault="008C5104" w:rsidP="008C5104">
      <w:pPr>
        <w:spacing w:after="240"/>
        <w:rPr>
          <w:iCs/>
        </w:rPr>
      </w:pPr>
      <w:r w:rsidRPr="007E46C9">
        <w:rPr>
          <w:iCs/>
        </w:rPr>
        <w:t>Where:</w:t>
      </w:r>
    </w:p>
    <w:p w14:paraId="362E8E48" w14:textId="77777777" w:rsidR="008C5104" w:rsidRPr="007E46C9" w:rsidRDefault="008C5104" w:rsidP="008C5104">
      <w:pPr>
        <w:tabs>
          <w:tab w:val="left" w:pos="2160"/>
          <w:tab w:val="left" w:pos="2880"/>
        </w:tabs>
        <w:spacing w:after="120"/>
        <w:ind w:leftChars="300" w:left="2880" w:hangingChars="900" w:hanging="2160"/>
        <w:rPr>
          <w:bCs/>
        </w:rPr>
      </w:pPr>
      <w:r w:rsidRPr="007E46C9">
        <w:rPr>
          <w:bCs/>
        </w:rPr>
        <w:t>RUPR</w:t>
      </w:r>
      <w:r w:rsidRPr="007E46C9">
        <w:rPr>
          <w:bCs/>
        </w:rPr>
        <w:tab/>
      </w:r>
      <w:r w:rsidRPr="007E46C9">
        <w:rPr>
          <w:bCs/>
        </w:rPr>
        <w:tab/>
        <w:t>=</w:t>
      </w:r>
      <w:r w:rsidRPr="007E46C9">
        <w:rPr>
          <w:bCs/>
        </w:rPr>
        <w:tab/>
        <w:t>RUCOSTTOT / RUQTOT</w:t>
      </w:r>
    </w:p>
    <w:p w14:paraId="331521B8" w14:textId="0A0A6D4D" w:rsidR="008C5104" w:rsidRPr="007E46C9" w:rsidRDefault="008C5104" w:rsidP="008C5104">
      <w:pPr>
        <w:tabs>
          <w:tab w:val="left" w:pos="2160"/>
          <w:tab w:val="left" w:pos="2880"/>
        </w:tabs>
        <w:spacing w:after="120"/>
        <w:ind w:leftChars="300" w:left="2880" w:hangingChars="900" w:hanging="2160"/>
        <w:rPr>
          <w:bCs/>
        </w:rPr>
      </w:pPr>
      <w:r w:rsidRPr="007E46C9">
        <w:rPr>
          <w:bCs/>
        </w:rPr>
        <w:t>RUQTOT</w:t>
      </w:r>
      <w:r w:rsidRPr="007E46C9">
        <w:rPr>
          <w:bCs/>
        </w:rPr>
        <w:tab/>
      </w:r>
      <w:r w:rsidRPr="007E46C9">
        <w:rPr>
          <w:bCs/>
        </w:rPr>
        <w:tab/>
        <w:t>=</w:t>
      </w:r>
      <w:r w:rsidRPr="007E46C9">
        <w:rPr>
          <w:bCs/>
        </w:rPr>
        <w:tab/>
      </w:r>
      <w:r w:rsidR="00A94020">
        <w:rPr>
          <w:bCs/>
          <w:noProof/>
          <w:position w:val="-22"/>
        </w:rPr>
        <w:drawing>
          <wp:inline distT="0" distB="0" distL="0" distR="0" wp14:anchorId="4B894DA5" wp14:editId="72AA4AF4">
            <wp:extent cx="142875" cy="2952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RUQ </w:t>
      </w:r>
      <w:r w:rsidRPr="007E46C9">
        <w:rPr>
          <w:bCs/>
          <w:i/>
          <w:vertAlign w:val="subscript"/>
        </w:rPr>
        <w:t>q</w:t>
      </w:r>
    </w:p>
    <w:p w14:paraId="4CBB6736" w14:textId="77777777" w:rsidR="008C5104" w:rsidRPr="007E46C9" w:rsidRDefault="008C5104" w:rsidP="008C5104">
      <w:pPr>
        <w:tabs>
          <w:tab w:val="left" w:pos="2160"/>
          <w:tab w:val="left" w:pos="2880"/>
        </w:tabs>
        <w:spacing w:after="120"/>
        <w:ind w:leftChars="300" w:left="2880" w:hangingChars="900" w:hanging="2160"/>
        <w:rPr>
          <w:bCs/>
        </w:rPr>
      </w:pPr>
      <w:r w:rsidRPr="007E46C9">
        <w:rPr>
          <w:bCs/>
        </w:rPr>
        <w:t xml:space="preserve">RUQ </w:t>
      </w:r>
      <w:r w:rsidRPr="007E46C9">
        <w:rPr>
          <w:bCs/>
          <w:i/>
          <w:vertAlign w:val="subscript"/>
        </w:rPr>
        <w:t>q</w:t>
      </w:r>
      <w:r w:rsidRPr="007E46C9">
        <w:rPr>
          <w:bCs/>
        </w:rPr>
        <w:tab/>
      </w:r>
      <w:r w:rsidRPr="007E46C9">
        <w:rPr>
          <w:bCs/>
        </w:rPr>
        <w:tab/>
        <w:t>=</w:t>
      </w:r>
      <w:r w:rsidRPr="007E46C9">
        <w:rPr>
          <w:bCs/>
        </w:rPr>
        <w:tab/>
        <w:t xml:space="preserve">RUO </w:t>
      </w:r>
      <w:r w:rsidRPr="007E46C9">
        <w:rPr>
          <w:bCs/>
          <w:i/>
          <w:vertAlign w:val="subscript"/>
        </w:rPr>
        <w:t>q</w:t>
      </w:r>
      <w:r w:rsidRPr="007E46C9">
        <w:rPr>
          <w:bCs/>
        </w:rPr>
        <w:t xml:space="preserve"> – SARUQ </w:t>
      </w:r>
      <w:r w:rsidRPr="007E46C9">
        <w:rPr>
          <w:bCs/>
          <w:i/>
          <w:vertAlign w:val="subscript"/>
        </w:rPr>
        <w:t>q</w:t>
      </w:r>
    </w:p>
    <w:p w14:paraId="4C735483" w14:textId="08FD47D0" w:rsidR="008C5104" w:rsidRPr="007E46C9" w:rsidRDefault="008C5104" w:rsidP="008C5104">
      <w:pPr>
        <w:tabs>
          <w:tab w:val="left" w:pos="2160"/>
          <w:tab w:val="left" w:pos="2880"/>
        </w:tabs>
        <w:spacing w:after="120"/>
        <w:ind w:leftChars="300" w:left="2880" w:hangingChars="900" w:hanging="2160"/>
        <w:rPr>
          <w:bCs/>
        </w:rPr>
      </w:pPr>
      <w:r w:rsidRPr="007E46C9">
        <w:rPr>
          <w:bCs/>
        </w:rPr>
        <w:t xml:space="preserve">RUO </w:t>
      </w:r>
      <w:r w:rsidRPr="007E46C9">
        <w:rPr>
          <w:bCs/>
          <w:i/>
          <w:vertAlign w:val="subscript"/>
        </w:rPr>
        <w:t>q</w:t>
      </w:r>
      <w:r w:rsidRPr="007E46C9">
        <w:rPr>
          <w:bCs/>
        </w:rPr>
        <w:tab/>
      </w:r>
      <w:r w:rsidRPr="007E46C9">
        <w:rPr>
          <w:bCs/>
        </w:rPr>
        <w:tab/>
        <w:t>=</w:t>
      </w:r>
      <w:r w:rsidRPr="007E46C9">
        <w:rPr>
          <w:bCs/>
        </w:rPr>
        <w:tab/>
      </w:r>
      <w:r w:rsidR="00A94020">
        <w:rPr>
          <w:bCs/>
          <w:noProof/>
          <w:position w:val="-22"/>
        </w:rPr>
        <w:drawing>
          <wp:inline distT="0" distB="0" distL="0" distR="0" wp14:anchorId="6D7487FC" wp14:editId="128EBD35">
            <wp:extent cx="142875" cy="2952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(SARUQ </w:t>
      </w:r>
      <w:r w:rsidRPr="007E46C9">
        <w:rPr>
          <w:bCs/>
          <w:i/>
          <w:vertAlign w:val="subscript"/>
        </w:rPr>
        <w:t>q</w:t>
      </w:r>
      <w:r w:rsidRPr="007E46C9">
        <w:rPr>
          <w:bCs/>
        </w:rPr>
        <w:t xml:space="preserve"> + </w:t>
      </w:r>
      <w:r w:rsidR="00A94020">
        <w:rPr>
          <w:bCs/>
          <w:noProof/>
          <w:position w:val="-20"/>
        </w:rPr>
        <w:drawing>
          <wp:inline distT="0" distB="0" distL="0" distR="0" wp14:anchorId="2A91AE9B" wp14:editId="5D99CF5B">
            <wp:extent cx="142875" cy="2762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(RTPCRU </w:t>
      </w:r>
      <w:r w:rsidRPr="007E46C9">
        <w:rPr>
          <w:bCs/>
          <w:i/>
          <w:vertAlign w:val="subscript"/>
        </w:rPr>
        <w:t>q, m</w:t>
      </w:r>
      <w:r w:rsidRPr="007E46C9">
        <w:rPr>
          <w:bCs/>
        </w:rPr>
        <w:t>)</w:t>
      </w:r>
      <w:r w:rsidRPr="007E46C9">
        <w:rPr>
          <w:bCs/>
          <w:i/>
        </w:rPr>
        <w:t xml:space="preserve"> </w:t>
      </w:r>
      <w:r w:rsidRPr="007E46C9">
        <w:rPr>
          <w:bCs/>
        </w:rPr>
        <w:t xml:space="preserve">+ PCRU </w:t>
      </w:r>
      <w:r w:rsidRPr="007E46C9">
        <w:rPr>
          <w:bCs/>
          <w:i/>
          <w:vertAlign w:val="subscript"/>
        </w:rPr>
        <w:t xml:space="preserve">q </w:t>
      </w:r>
      <w:r w:rsidRPr="007E46C9">
        <w:rPr>
          <w:bCs/>
        </w:rPr>
        <w:t xml:space="preserve">–   </w:t>
      </w:r>
    </w:p>
    <w:p w14:paraId="7F7E13E1" w14:textId="77777777" w:rsidR="008C5104" w:rsidRPr="007E46C9" w:rsidRDefault="008C5104" w:rsidP="008C5104">
      <w:pPr>
        <w:tabs>
          <w:tab w:val="left" w:pos="2160"/>
          <w:tab w:val="left" w:pos="2880"/>
        </w:tabs>
        <w:spacing w:after="120"/>
        <w:ind w:leftChars="300" w:left="2880" w:hangingChars="900" w:hanging="2160"/>
        <w:rPr>
          <w:bCs/>
          <w:vertAlign w:val="subscript"/>
        </w:rPr>
      </w:pPr>
      <w:r w:rsidRPr="007E46C9">
        <w:rPr>
          <w:bCs/>
        </w:rPr>
        <w:t xml:space="preserve">                                                 RUFQ</w:t>
      </w:r>
      <w:r w:rsidRPr="007E46C9">
        <w:rPr>
          <w:bCs/>
          <w:i/>
        </w:rPr>
        <w:t xml:space="preserve"> </w:t>
      </w:r>
      <w:r w:rsidRPr="007E46C9">
        <w:rPr>
          <w:bCs/>
          <w:i/>
          <w:vertAlign w:val="subscript"/>
        </w:rPr>
        <w:t xml:space="preserve">q </w:t>
      </w:r>
      <w:r w:rsidRPr="007E46C9">
        <w:rPr>
          <w:bCs/>
        </w:rPr>
        <w:t>– RRUFQ</w:t>
      </w:r>
      <w:r w:rsidRPr="007E46C9">
        <w:rPr>
          <w:bCs/>
          <w:i/>
        </w:rPr>
        <w:t xml:space="preserve"> </w:t>
      </w:r>
      <w:r w:rsidRPr="007E46C9">
        <w:rPr>
          <w:bCs/>
          <w:i/>
          <w:vertAlign w:val="subscript"/>
        </w:rPr>
        <w:t>q</w:t>
      </w:r>
      <w:r w:rsidRPr="007E46C9">
        <w:rPr>
          <w:bCs/>
        </w:rPr>
        <w:t>) * HLRS</w:t>
      </w:r>
      <w:r w:rsidRPr="007E46C9">
        <w:rPr>
          <w:bCs/>
          <w:i/>
        </w:rPr>
        <w:t xml:space="preserve"> </w:t>
      </w:r>
      <w:r w:rsidRPr="007E46C9">
        <w:rPr>
          <w:bCs/>
          <w:i/>
          <w:vertAlign w:val="subscript"/>
        </w:rPr>
        <w:t>q</w:t>
      </w:r>
    </w:p>
    <w:p w14:paraId="22CDAD54" w14:textId="77777777" w:rsidR="008C5104" w:rsidRPr="007E46C9" w:rsidRDefault="008C5104" w:rsidP="008C5104">
      <w:pPr>
        <w:tabs>
          <w:tab w:val="left" w:pos="2160"/>
          <w:tab w:val="left" w:pos="2880"/>
        </w:tabs>
        <w:spacing w:after="120"/>
        <w:ind w:leftChars="300" w:left="2880" w:hangingChars="900" w:hanging="2160"/>
        <w:rPr>
          <w:bCs/>
          <w:vertAlign w:val="subscript"/>
          <w:lang w:val="fr-FR"/>
        </w:rPr>
      </w:pPr>
      <w:r w:rsidRPr="007E46C9">
        <w:rPr>
          <w:bCs/>
          <w:lang w:val="fr-FR"/>
        </w:rPr>
        <w:t xml:space="preserve">SARUQ </w:t>
      </w:r>
      <w:r w:rsidRPr="007E46C9">
        <w:rPr>
          <w:bCs/>
          <w:i/>
          <w:vertAlign w:val="subscript"/>
          <w:lang w:val="fr-FR"/>
        </w:rPr>
        <w:t>q</w:t>
      </w:r>
      <w:r w:rsidRPr="007E46C9">
        <w:rPr>
          <w:bCs/>
          <w:vertAlign w:val="subscript"/>
          <w:lang w:val="fr-FR"/>
        </w:rPr>
        <w:tab/>
      </w:r>
      <w:r w:rsidRPr="007E46C9">
        <w:rPr>
          <w:bCs/>
          <w:vertAlign w:val="subscript"/>
          <w:lang w:val="fr-FR"/>
        </w:rPr>
        <w:tab/>
      </w:r>
      <w:r w:rsidRPr="007E46C9">
        <w:rPr>
          <w:bCs/>
          <w:lang w:val="fr-FR"/>
        </w:rPr>
        <w:t>=</w:t>
      </w:r>
      <w:r w:rsidRPr="007E46C9">
        <w:rPr>
          <w:bCs/>
          <w:lang w:val="fr-FR"/>
        </w:rPr>
        <w:tab/>
        <w:t xml:space="preserve">DASARUQ </w:t>
      </w:r>
      <w:r w:rsidRPr="007E46C9">
        <w:rPr>
          <w:bCs/>
          <w:i/>
          <w:vertAlign w:val="subscript"/>
          <w:lang w:val="fr-FR"/>
        </w:rPr>
        <w:t>q</w:t>
      </w:r>
      <w:r w:rsidRPr="007E46C9">
        <w:rPr>
          <w:bCs/>
          <w:lang w:val="fr-FR"/>
        </w:rPr>
        <w:t xml:space="preserve"> + RTSARUQ </w:t>
      </w:r>
      <w:r w:rsidRPr="007E46C9">
        <w:rPr>
          <w:bCs/>
          <w:i/>
          <w:vertAlign w:val="subscript"/>
          <w:lang w:val="fr-FR"/>
        </w:rPr>
        <w:t>q</w:t>
      </w:r>
    </w:p>
    <w:p w14:paraId="477F3C78" w14:textId="77777777" w:rsidR="008C5104" w:rsidRPr="007E46C9" w:rsidRDefault="008C5104" w:rsidP="008C5104">
      <w:pPr>
        <w:tabs>
          <w:tab w:val="left" w:pos="2160"/>
          <w:tab w:val="left" w:pos="2880"/>
        </w:tabs>
        <w:spacing w:after="120"/>
        <w:ind w:leftChars="300" w:left="2880" w:hangingChars="900" w:hanging="2160"/>
        <w:rPr>
          <w:bCs/>
          <w:lang w:val="fr-FR"/>
        </w:rPr>
      </w:pPr>
    </w:p>
    <w:p w14:paraId="773F8FF9" w14:textId="77777777" w:rsidR="008C5104" w:rsidRPr="007E46C9" w:rsidRDefault="008C5104" w:rsidP="008C5104">
      <w:pPr>
        <w:keepNext/>
      </w:pPr>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487D283C" w14:textId="77777777" w:rsidTr="008C5104">
        <w:tc>
          <w:tcPr>
            <w:tcW w:w="849" w:type="pct"/>
          </w:tcPr>
          <w:p w14:paraId="5C832F21" w14:textId="77777777" w:rsidR="008C5104" w:rsidRPr="007E46C9" w:rsidRDefault="008C5104" w:rsidP="008C5104">
            <w:pPr>
              <w:keepNext/>
              <w:spacing w:after="120"/>
              <w:rPr>
                <w:b/>
                <w:iCs/>
                <w:sz w:val="20"/>
              </w:rPr>
            </w:pPr>
            <w:r w:rsidRPr="007E46C9">
              <w:rPr>
                <w:b/>
                <w:iCs/>
                <w:sz w:val="20"/>
              </w:rPr>
              <w:t>Variable</w:t>
            </w:r>
          </w:p>
        </w:tc>
        <w:tc>
          <w:tcPr>
            <w:tcW w:w="460" w:type="pct"/>
          </w:tcPr>
          <w:p w14:paraId="2FB3DF94" w14:textId="77777777" w:rsidR="008C5104" w:rsidRPr="007E46C9" w:rsidRDefault="008C5104" w:rsidP="008C5104">
            <w:pPr>
              <w:keepNext/>
              <w:spacing w:after="120"/>
              <w:rPr>
                <w:b/>
                <w:iCs/>
                <w:sz w:val="20"/>
              </w:rPr>
            </w:pPr>
            <w:r w:rsidRPr="007E46C9">
              <w:rPr>
                <w:b/>
                <w:iCs/>
                <w:sz w:val="20"/>
              </w:rPr>
              <w:t>Unit</w:t>
            </w:r>
          </w:p>
        </w:tc>
        <w:tc>
          <w:tcPr>
            <w:tcW w:w="3691" w:type="pct"/>
          </w:tcPr>
          <w:p w14:paraId="2294FB65"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7C638C7D" w14:textId="77777777" w:rsidTr="008C5104">
        <w:tc>
          <w:tcPr>
            <w:tcW w:w="849" w:type="pct"/>
          </w:tcPr>
          <w:p w14:paraId="047D57C6" w14:textId="77777777" w:rsidR="008C5104" w:rsidRPr="007E46C9" w:rsidRDefault="008C5104" w:rsidP="008C5104">
            <w:pPr>
              <w:spacing w:after="60"/>
              <w:rPr>
                <w:iCs/>
                <w:sz w:val="20"/>
              </w:rPr>
            </w:pPr>
            <w:r w:rsidRPr="007E46C9">
              <w:rPr>
                <w:iCs/>
                <w:sz w:val="20"/>
              </w:rPr>
              <w:t xml:space="preserve">RUCOST </w:t>
            </w:r>
            <w:r w:rsidRPr="007E46C9">
              <w:rPr>
                <w:i/>
                <w:iCs/>
                <w:sz w:val="20"/>
                <w:vertAlign w:val="subscript"/>
              </w:rPr>
              <w:t>q</w:t>
            </w:r>
          </w:p>
        </w:tc>
        <w:tc>
          <w:tcPr>
            <w:tcW w:w="460" w:type="pct"/>
          </w:tcPr>
          <w:p w14:paraId="579CEF77" w14:textId="77777777" w:rsidR="008C5104" w:rsidRPr="007E46C9" w:rsidRDefault="008C5104" w:rsidP="008C5104">
            <w:pPr>
              <w:keepNext/>
              <w:spacing w:after="60"/>
              <w:rPr>
                <w:iCs/>
                <w:sz w:val="20"/>
              </w:rPr>
            </w:pPr>
            <w:r w:rsidRPr="007E46C9">
              <w:rPr>
                <w:iCs/>
                <w:sz w:val="20"/>
              </w:rPr>
              <w:t>$</w:t>
            </w:r>
          </w:p>
        </w:tc>
        <w:tc>
          <w:tcPr>
            <w:tcW w:w="3691" w:type="pct"/>
          </w:tcPr>
          <w:p w14:paraId="3A9B8C56" w14:textId="77777777" w:rsidR="008C5104" w:rsidRPr="007E46C9" w:rsidRDefault="008C5104" w:rsidP="008C5104">
            <w:pPr>
              <w:keepNext/>
              <w:spacing w:after="60"/>
              <w:rPr>
                <w:iCs/>
                <w:sz w:val="20"/>
              </w:rPr>
            </w:pPr>
            <w:r w:rsidRPr="007E46C9">
              <w:rPr>
                <w:i/>
                <w:iCs/>
                <w:sz w:val="20"/>
              </w:rPr>
              <w:t>Reg-Up Cost per QSE</w:t>
            </w:r>
            <w:r w:rsidRPr="007E46C9">
              <w:rPr>
                <w:iCs/>
                <w:sz w:val="20"/>
              </w:rPr>
              <w:t xml:space="preserve">—QSE </w:t>
            </w:r>
            <w:r w:rsidRPr="007E46C9">
              <w:rPr>
                <w:i/>
                <w:iCs/>
                <w:sz w:val="20"/>
              </w:rPr>
              <w:t>q</w:t>
            </w:r>
            <w:r w:rsidRPr="007E46C9">
              <w:rPr>
                <w:iCs/>
                <w:sz w:val="20"/>
              </w:rPr>
              <w:t>’s share of the net total costs for Reg-Up, for the hour.</w:t>
            </w:r>
          </w:p>
        </w:tc>
      </w:tr>
      <w:tr w:rsidR="008C5104" w:rsidRPr="007E46C9" w14:paraId="685B39A1" w14:textId="77777777" w:rsidTr="008C5104">
        <w:tc>
          <w:tcPr>
            <w:tcW w:w="849" w:type="pct"/>
            <w:tcBorders>
              <w:top w:val="single" w:sz="4" w:space="0" w:color="auto"/>
              <w:left w:val="single" w:sz="4" w:space="0" w:color="auto"/>
              <w:bottom w:val="single" w:sz="4" w:space="0" w:color="auto"/>
              <w:right w:val="single" w:sz="4" w:space="0" w:color="auto"/>
            </w:tcBorders>
          </w:tcPr>
          <w:p w14:paraId="1211A208" w14:textId="77777777" w:rsidR="008C5104" w:rsidRPr="007E46C9" w:rsidRDefault="008C5104" w:rsidP="008C5104">
            <w:pPr>
              <w:spacing w:after="60"/>
              <w:rPr>
                <w:iCs/>
                <w:sz w:val="20"/>
              </w:rPr>
            </w:pPr>
            <w:r w:rsidRPr="007E46C9">
              <w:rPr>
                <w:iCs/>
                <w:sz w:val="20"/>
              </w:rPr>
              <w:t>RUPR</w:t>
            </w:r>
          </w:p>
        </w:tc>
        <w:tc>
          <w:tcPr>
            <w:tcW w:w="460" w:type="pct"/>
            <w:tcBorders>
              <w:top w:val="single" w:sz="4" w:space="0" w:color="auto"/>
              <w:left w:val="single" w:sz="4" w:space="0" w:color="auto"/>
              <w:bottom w:val="single" w:sz="4" w:space="0" w:color="auto"/>
              <w:right w:val="single" w:sz="4" w:space="0" w:color="auto"/>
            </w:tcBorders>
          </w:tcPr>
          <w:p w14:paraId="4981C1E1"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11F7BEB1" w14:textId="77777777" w:rsidR="008C5104" w:rsidRPr="007E46C9" w:rsidRDefault="008C5104" w:rsidP="008C5104">
            <w:pPr>
              <w:spacing w:after="60"/>
              <w:rPr>
                <w:i/>
                <w:iCs/>
                <w:sz w:val="20"/>
              </w:rPr>
            </w:pPr>
            <w:r w:rsidRPr="007E46C9">
              <w:rPr>
                <w:i/>
                <w:iCs/>
                <w:sz w:val="20"/>
              </w:rPr>
              <w:t>Reg-Up Price—</w:t>
            </w:r>
            <w:r w:rsidRPr="007E46C9">
              <w:rPr>
                <w:iCs/>
                <w:sz w:val="20"/>
              </w:rPr>
              <w:t>The price for Reg-Up calculated based on the net total costs for Reg-Up, for the hour.</w:t>
            </w:r>
          </w:p>
        </w:tc>
      </w:tr>
      <w:tr w:rsidR="008C5104" w:rsidRPr="007E46C9" w14:paraId="6E5774E7" w14:textId="77777777" w:rsidTr="008C5104">
        <w:tc>
          <w:tcPr>
            <w:tcW w:w="849" w:type="pct"/>
            <w:tcBorders>
              <w:top w:val="single" w:sz="4" w:space="0" w:color="auto"/>
              <w:left w:val="single" w:sz="4" w:space="0" w:color="auto"/>
              <w:bottom w:val="single" w:sz="4" w:space="0" w:color="auto"/>
              <w:right w:val="single" w:sz="4" w:space="0" w:color="auto"/>
            </w:tcBorders>
          </w:tcPr>
          <w:p w14:paraId="0EBED193" w14:textId="77777777" w:rsidR="008C5104" w:rsidRPr="007E46C9" w:rsidRDefault="008C5104" w:rsidP="008C5104">
            <w:pPr>
              <w:spacing w:after="60"/>
              <w:rPr>
                <w:iCs/>
                <w:sz w:val="20"/>
              </w:rPr>
            </w:pPr>
            <w:r w:rsidRPr="007E46C9">
              <w:rPr>
                <w:iCs/>
                <w:sz w:val="20"/>
              </w:rPr>
              <w:lastRenderedPageBreak/>
              <w:t>RUCOSTTOT</w:t>
            </w:r>
          </w:p>
        </w:tc>
        <w:tc>
          <w:tcPr>
            <w:tcW w:w="460" w:type="pct"/>
            <w:tcBorders>
              <w:top w:val="single" w:sz="4" w:space="0" w:color="auto"/>
              <w:left w:val="single" w:sz="4" w:space="0" w:color="auto"/>
              <w:bottom w:val="single" w:sz="4" w:space="0" w:color="auto"/>
              <w:right w:val="single" w:sz="4" w:space="0" w:color="auto"/>
            </w:tcBorders>
          </w:tcPr>
          <w:p w14:paraId="497AA016"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005C41DD" w14:textId="77777777" w:rsidR="008C5104" w:rsidRPr="007E46C9" w:rsidRDefault="008C5104" w:rsidP="00637160">
            <w:pPr>
              <w:spacing w:after="60"/>
              <w:rPr>
                <w:i/>
                <w:iCs/>
                <w:sz w:val="20"/>
              </w:rPr>
            </w:pPr>
            <w:r w:rsidRPr="007E46C9">
              <w:rPr>
                <w:i/>
                <w:iCs/>
                <w:sz w:val="20"/>
              </w:rPr>
              <w:t>Reg-Up Cost Total</w:t>
            </w:r>
            <w:r w:rsidRPr="007E46C9">
              <w:rPr>
                <w:iCs/>
                <w:sz w:val="20"/>
              </w:rPr>
              <w:t>—The net total costs for Reg-Up</w:t>
            </w:r>
            <w:r w:rsidR="00637160">
              <w:rPr>
                <w:iCs/>
                <w:sz w:val="20"/>
              </w:rPr>
              <w:t>,</w:t>
            </w:r>
            <w:r w:rsidRPr="007E46C9">
              <w:rPr>
                <w:iCs/>
                <w:sz w:val="20"/>
              </w:rPr>
              <w:t xml:space="preserve"> for the hour.  See item</w:t>
            </w:r>
            <w:r w:rsidR="00637160">
              <w:rPr>
                <w:iCs/>
                <w:sz w:val="20"/>
              </w:rPr>
              <w:t xml:space="preserve"> (2)</w:t>
            </w:r>
            <w:r w:rsidRPr="007E46C9">
              <w:rPr>
                <w:iCs/>
                <w:sz w:val="20"/>
              </w:rPr>
              <w:t>(a) above.</w:t>
            </w:r>
          </w:p>
        </w:tc>
      </w:tr>
      <w:tr w:rsidR="008C5104" w:rsidRPr="007E46C9" w14:paraId="397A982A" w14:textId="77777777" w:rsidTr="008C5104">
        <w:tc>
          <w:tcPr>
            <w:tcW w:w="849" w:type="pct"/>
            <w:tcBorders>
              <w:top w:val="single" w:sz="4" w:space="0" w:color="auto"/>
              <w:left w:val="single" w:sz="4" w:space="0" w:color="auto"/>
              <w:bottom w:val="single" w:sz="4" w:space="0" w:color="auto"/>
              <w:right w:val="single" w:sz="4" w:space="0" w:color="auto"/>
            </w:tcBorders>
          </w:tcPr>
          <w:p w14:paraId="2C2CB5E9" w14:textId="77777777" w:rsidR="008C5104" w:rsidRPr="007E46C9" w:rsidRDefault="008C5104" w:rsidP="008C5104">
            <w:pPr>
              <w:spacing w:after="60"/>
              <w:rPr>
                <w:iCs/>
                <w:sz w:val="20"/>
              </w:rPr>
            </w:pPr>
            <w:r w:rsidRPr="007E46C9">
              <w:rPr>
                <w:iCs/>
                <w:sz w:val="20"/>
              </w:rPr>
              <w:t>RUQTOT</w:t>
            </w:r>
          </w:p>
        </w:tc>
        <w:tc>
          <w:tcPr>
            <w:tcW w:w="460" w:type="pct"/>
            <w:tcBorders>
              <w:top w:val="single" w:sz="4" w:space="0" w:color="auto"/>
              <w:left w:val="single" w:sz="4" w:space="0" w:color="auto"/>
              <w:bottom w:val="single" w:sz="4" w:space="0" w:color="auto"/>
              <w:right w:val="single" w:sz="4" w:space="0" w:color="auto"/>
            </w:tcBorders>
          </w:tcPr>
          <w:p w14:paraId="4A4B746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BBD5534" w14:textId="77777777" w:rsidR="008C5104" w:rsidRPr="007E46C9" w:rsidRDefault="008C5104" w:rsidP="008C5104">
            <w:pPr>
              <w:spacing w:after="60"/>
              <w:rPr>
                <w:i/>
                <w:iCs/>
                <w:sz w:val="20"/>
              </w:rPr>
            </w:pPr>
            <w:r w:rsidRPr="007E46C9">
              <w:rPr>
                <w:i/>
                <w:iCs/>
                <w:sz w:val="20"/>
              </w:rPr>
              <w:t>Reg-Up Quantity Total</w:t>
            </w:r>
            <w:r w:rsidRPr="007E46C9">
              <w:rPr>
                <w:iCs/>
                <w:sz w:val="20"/>
              </w:rPr>
              <w:t>—The sum of every QSE’s Ancillary Service Obligation minus its self-arranged Reg-Up quantity in the DAM and any and all SASMs</w:t>
            </w:r>
            <w:r w:rsidR="00637160" w:rsidRPr="007E46C9">
              <w:rPr>
                <w:iCs/>
                <w:sz w:val="20"/>
              </w:rPr>
              <w:t>,</w:t>
            </w:r>
            <w:r w:rsidRPr="007E46C9">
              <w:rPr>
                <w:iCs/>
                <w:sz w:val="20"/>
              </w:rPr>
              <w:t xml:space="preserve"> for the hour.</w:t>
            </w:r>
          </w:p>
        </w:tc>
      </w:tr>
      <w:tr w:rsidR="008C5104" w:rsidRPr="007E46C9" w14:paraId="5498AE23" w14:textId="77777777" w:rsidTr="008C5104">
        <w:tc>
          <w:tcPr>
            <w:tcW w:w="849" w:type="pct"/>
            <w:tcBorders>
              <w:top w:val="single" w:sz="4" w:space="0" w:color="auto"/>
              <w:left w:val="single" w:sz="4" w:space="0" w:color="auto"/>
              <w:bottom w:val="single" w:sz="4" w:space="0" w:color="auto"/>
              <w:right w:val="single" w:sz="4" w:space="0" w:color="auto"/>
            </w:tcBorders>
          </w:tcPr>
          <w:p w14:paraId="2F2C48CB" w14:textId="77777777" w:rsidR="008C5104" w:rsidRPr="007E46C9" w:rsidRDefault="008C5104" w:rsidP="008C5104">
            <w:pPr>
              <w:spacing w:after="60"/>
              <w:rPr>
                <w:iCs/>
                <w:sz w:val="20"/>
              </w:rPr>
            </w:pPr>
            <w:r w:rsidRPr="007E46C9">
              <w:rPr>
                <w:iCs/>
                <w:sz w:val="20"/>
              </w:rPr>
              <w:t xml:space="preserve">RUQ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50F15CCD"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6820222" w14:textId="77777777" w:rsidR="008C5104" w:rsidRPr="007E46C9" w:rsidRDefault="008C5104" w:rsidP="008C5104">
            <w:pPr>
              <w:spacing w:after="60"/>
              <w:rPr>
                <w:i/>
                <w:iCs/>
                <w:sz w:val="20"/>
              </w:rPr>
            </w:pPr>
            <w:r w:rsidRPr="007E46C9">
              <w:rPr>
                <w:i/>
                <w:iCs/>
                <w:sz w:val="20"/>
              </w:rPr>
              <w:t>Reg-Up Quantity per QSE</w:t>
            </w:r>
            <w:r w:rsidRPr="007E46C9">
              <w:rPr>
                <w:iCs/>
                <w:sz w:val="20"/>
              </w:rPr>
              <w:t xml:space="preserve">—The QSE </w:t>
            </w:r>
            <w:r w:rsidRPr="007E46C9">
              <w:rPr>
                <w:i/>
                <w:iCs/>
                <w:sz w:val="20"/>
              </w:rPr>
              <w:t>q</w:t>
            </w:r>
            <w:r w:rsidRPr="007E46C9">
              <w:rPr>
                <w:iCs/>
                <w:sz w:val="20"/>
              </w:rPr>
              <w:t>’s Ancillary Service Obligation minus its self-arranged Reg-Up quantity in the DAM and any and all SASMs</w:t>
            </w:r>
            <w:r w:rsidR="00637160">
              <w:rPr>
                <w:iCs/>
                <w:sz w:val="20"/>
              </w:rPr>
              <w:t>,</w:t>
            </w:r>
            <w:r w:rsidRPr="007E46C9">
              <w:rPr>
                <w:iCs/>
                <w:sz w:val="20"/>
              </w:rPr>
              <w:t xml:space="preserve"> for the hour.</w:t>
            </w:r>
          </w:p>
        </w:tc>
      </w:tr>
      <w:tr w:rsidR="008C5104" w:rsidRPr="007E46C9" w14:paraId="013687AB" w14:textId="77777777" w:rsidTr="008C5104">
        <w:tc>
          <w:tcPr>
            <w:tcW w:w="849" w:type="pct"/>
            <w:tcBorders>
              <w:top w:val="single" w:sz="4" w:space="0" w:color="auto"/>
              <w:left w:val="single" w:sz="4" w:space="0" w:color="auto"/>
              <w:bottom w:val="single" w:sz="4" w:space="0" w:color="auto"/>
              <w:right w:val="single" w:sz="4" w:space="0" w:color="auto"/>
            </w:tcBorders>
          </w:tcPr>
          <w:p w14:paraId="005D621D" w14:textId="77777777" w:rsidR="008C5104" w:rsidRPr="007E46C9" w:rsidRDefault="008C5104" w:rsidP="008C5104">
            <w:pPr>
              <w:spacing w:after="60"/>
              <w:rPr>
                <w:iCs/>
                <w:sz w:val="20"/>
              </w:rPr>
            </w:pPr>
            <w:r w:rsidRPr="007E46C9">
              <w:rPr>
                <w:iCs/>
                <w:sz w:val="20"/>
              </w:rPr>
              <w:t xml:space="preserve">RUO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989AD82"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1D205D4" w14:textId="77777777" w:rsidR="008C5104" w:rsidRPr="007E46C9" w:rsidRDefault="008C5104" w:rsidP="008C5104">
            <w:pPr>
              <w:spacing w:after="60"/>
              <w:rPr>
                <w:i/>
                <w:iCs/>
                <w:sz w:val="20"/>
              </w:rPr>
            </w:pPr>
            <w:r w:rsidRPr="007E46C9">
              <w:rPr>
                <w:i/>
                <w:iCs/>
                <w:sz w:val="20"/>
              </w:rPr>
              <w:t>Reg-Up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12565F31" w14:textId="77777777" w:rsidTr="008C5104">
        <w:tc>
          <w:tcPr>
            <w:tcW w:w="849" w:type="pct"/>
            <w:tcBorders>
              <w:top w:val="single" w:sz="4" w:space="0" w:color="auto"/>
              <w:left w:val="single" w:sz="4" w:space="0" w:color="auto"/>
              <w:bottom w:val="single" w:sz="4" w:space="0" w:color="auto"/>
              <w:right w:val="single" w:sz="4" w:space="0" w:color="auto"/>
            </w:tcBorders>
          </w:tcPr>
          <w:p w14:paraId="23FF5528" w14:textId="77777777" w:rsidR="008C5104" w:rsidRPr="007E46C9" w:rsidRDefault="008C5104" w:rsidP="008C5104">
            <w:pPr>
              <w:spacing w:after="60"/>
              <w:rPr>
                <w:iCs/>
                <w:sz w:val="20"/>
              </w:rPr>
            </w:pPr>
            <w:r w:rsidRPr="007E46C9">
              <w:rPr>
                <w:iCs/>
                <w:sz w:val="20"/>
              </w:rPr>
              <w:t xml:space="preserve">DASARUQ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572B58E"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6CABB547" w14:textId="77777777" w:rsidR="008C5104" w:rsidRPr="007E46C9" w:rsidRDefault="008C5104" w:rsidP="008C5104">
            <w:pPr>
              <w:spacing w:after="60"/>
              <w:rPr>
                <w:i/>
                <w:iCs/>
                <w:sz w:val="20"/>
              </w:rPr>
            </w:pPr>
            <w:r w:rsidRPr="007E46C9">
              <w:rPr>
                <w:i/>
                <w:iCs/>
                <w:sz w:val="20"/>
              </w:rPr>
              <w:t>Day-Ahead Self-Arranged Reg-Up Quantity per QSE</w:t>
            </w:r>
            <w:r w:rsidRPr="007E46C9">
              <w:rPr>
                <w:iCs/>
                <w:sz w:val="20"/>
              </w:rPr>
              <w:t xml:space="preserve">—The self-arranged Reg-Up quantity submitted by QSE </w:t>
            </w:r>
            <w:r w:rsidRPr="007E46C9">
              <w:rPr>
                <w:i/>
                <w:iCs/>
                <w:sz w:val="20"/>
              </w:rPr>
              <w:t>q</w:t>
            </w:r>
            <w:r w:rsidRPr="007E46C9">
              <w:rPr>
                <w:iCs/>
                <w:sz w:val="20"/>
              </w:rPr>
              <w:t xml:space="preserve"> before 1000 in the Day-Ahead.</w:t>
            </w:r>
          </w:p>
        </w:tc>
      </w:tr>
      <w:tr w:rsidR="008C5104" w:rsidRPr="007E46C9" w14:paraId="22D450F6" w14:textId="77777777" w:rsidTr="008C5104">
        <w:tc>
          <w:tcPr>
            <w:tcW w:w="849" w:type="pct"/>
            <w:tcBorders>
              <w:top w:val="single" w:sz="4" w:space="0" w:color="auto"/>
              <w:left w:val="single" w:sz="4" w:space="0" w:color="auto"/>
              <w:bottom w:val="single" w:sz="4" w:space="0" w:color="auto"/>
              <w:right w:val="single" w:sz="4" w:space="0" w:color="auto"/>
            </w:tcBorders>
          </w:tcPr>
          <w:p w14:paraId="168E965F" w14:textId="77777777" w:rsidR="008C5104" w:rsidRPr="007E46C9" w:rsidRDefault="008C5104" w:rsidP="008C5104">
            <w:pPr>
              <w:spacing w:after="60"/>
              <w:rPr>
                <w:iCs/>
                <w:sz w:val="20"/>
              </w:rPr>
            </w:pPr>
            <w:r w:rsidRPr="007E46C9">
              <w:rPr>
                <w:iCs/>
                <w:sz w:val="20"/>
              </w:rPr>
              <w:t xml:space="preserve">RTSARUQ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72B7D7F"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A7A59CF" w14:textId="77777777" w:rsidR="008C5104" w:rsidRPr="007E46C9" w:rsidRDefault="008C5104" w:rsidP="008C5104">
            <w:pPr>
              <w:spacing w:after="60"/>
              <w:rPr>
                <w:i/>
                <w:iCs/>
                <w:sz w:val="20"/>
              </w:rPr>
            </w:pPr>
            <w:r w:rsidRPr="007E46C9">
              <w:rPr>
                <w:i/>
                <w:iCs/>
                <w:sz w:val="20"/>
              </w:rPr>
              <w:t>Self-Arranged Reg-Up Quantity per QSE for all SASMs</w:t>
            </w:r>
            <w:r w:rsidRPr="007E46C9">
              <w:rPr>
                <w:iCs/>
                <w:sz w:val="20"/>
              </w:rPr>
              <w:t xml:space="preserve">—The sum of all self-arranged Reg-Up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Pr>
                <w:iCs/>
                <w:sz w:val="20"/>
              </w:rPr>
              <w:t>,</w:t>
            </w:r>
            <w:r w:rsidRPr="00A94A62">
              <w:rPr>
                <w:iCs/>
                <w:sz w:val="20"/>
              </w:rPr>
              <w:t xml:space="preserve"> Self-Arranged Ancillary Service Quantities</w:t>
            </w:r>
            <w:r w:rsidRPr="007E46C9">
              <w:rPr>
                <w:iCs/>
                <w:sz w:val="20"/>
              </w:rPr>
              <w:t>.</w:t>
            </w:r>
          </w:p>
        </w:tc>
      </w:tr>
      <w:tr w:rsidR="008C5104" w:rsidRPr="007E46C9" w14:paraId="65478D4B" w14:textId="77777777" w:rsidTr="008C5104">
        <w:tc>
          <w:tcPr>
            <w:tcW w:w="849" w:type="pct"/>
            <w:tcBorders>
              <w:top w:val="single" w:sz="4" w:space="0" w:color="auto"/>
              <w:left w:val="single" w:sz="4" w:space="0" w:color="auto"/>
              <w:bottom w:val="single" w:sz="4" w:space="0" w:color="auto"/>
              <w:right w:val="single" w:sz="4" w:space="0" w:color="auto"/>
            </w:tcBorders>
          </w:tcPr>
          <w:p w14:paraId="4632C363" w14:textId="77777777" w:rsidR="008C5104" w:rsidRPr="007E46C9" w:rsidRDefault="008C5104" w:rsidP="008C5104">
            <w:pPr>
              <w:spacing w:after="60"/>
              <w:rPr>
                <w:iCs/>
                <w:sz w:val="20"/>
              </w:rPr>
            </w:pPr>
            <w:r w:rsidRPr="007E46C9">
              <w:rPr>
                <w:iCs/>
                <w:sz w:val="20"/>
              </w:rPr>
              <w:t xml:space="preserve">RTPCRU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247E748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2248FE11" w14:textId="77777777" w:rsidR="008C5104" w:rsidRPr="007E46C9" w:rsidRDefault="008C5104" w:rsidP="008C5104">
            <w:pPr>
              <w:spacing w:after="60"/>
              <w:rPr>
                <w:i/>
                <w:iCs/>
                <w:sz w:val="20"/>
              </w:rPr>
            </w:pPr>
            <w:r w:rsidRPr="007E46C9">
              <w:rPr>
                <w:i/>
                <w:iCs/>
                <w:sz w:val="20"/>
              </w:rPr>
              <w:t>Procured Capacity for Reg-Up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Reg-Up, for the hour.</w:t>
            </w:r>
          </w:p>
        </w:tc>
      </w:tr>
      <w:tr w:rsidR="008C5104" w:rsidRPr="007E46C9" w14:paraId="6AF46CAC" w14:textId="77777777" w:rsidTr="008C5104">
        <w:tc>
          <w:tcPr>
            <w:tcW w:w="849" w:type="pct"/>
            <w:tcBorders>
              <w:top w:val="single" w:sz="4" w:space="0" w:color="auto"/>
              <w:left w:val="single" w:sz="4" w:space="0" w:color="auto"/>
              <w:bottom w:val="single" w:sz="4" w:space="0" w:color="auto"/>
              <w:right w:val="single" w:sz="4" w:space="0" w:color="auto"/>
            </w:tcBorders>
          </w:tcPr>
          <w:p w14:paraId="05045C27" w14:textId="77777777" w:rsidR="008C5104" w:rsidRPr="007E46C9" w:rsidRDefault="008C5104" w:rsidP="008C5104">
            <w:pPr>
              <w:spacing w:after="60"/>
              <w:rPr>
                <w:iCs/>
                <w:sz w:val="20"/>
              </w:rPr>
            </w:pPr>
            <w:r w:rsidRPr="007E46C9">
              <w:rPr>
                <w:iCs/>
                <w:sz w:val="20"/>
              </w:rPr>
              <w:t xml:space="preserve">RUFQ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34FF8D8"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7E0A448A" w14:textId="77777777" w:rsidR="008C5104" w:rsidRPr="007E46C9" w:rsidRDefault="008C5104" w:rsidP="008C5104">
            <w:pPr>
              <w:spacing w:after="60"/>
              <w:rPr>
                <w:iCs/>
                <w:sz w:val="20"/>
              </w:rPr>
            </w:pPr>
            <w:r w:rsidRPr="007E46C9">
              <w:rPr>
                <w:i/>
                <w:iCs/>
                <w:sz w:val="20"/>
              </w:rPr>
              <w:t>Reg-Up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Reg-Up, for the hour.</w:t>
            </w:r>
          </w:p>
        </w:tc>
      </w:tr>
      <w:tr w:rsidR="008C5104" w:rsidRPr="007E46C9" w14:paraId="4F7003EC" w14:textId="77777777" w:rsidTr="008C5104">
        <w:tc>
          <w:tcPr>
            <w:tcW w:w="849" w:type="pct"/>
            <w:tcBorders>
              <w:top w:val="single" w:sz="4" w:space="0" w:color="auto"/>
              <w:left w:val="single" w:sz="4" w:space="0" w:color="auto"/>
              <w:bottom w:val="single" w:sz="4" w:space="0" w:color="auto"/>
              <w:right w:val="single" w:sz="4" w:space="0" w:color="auto"/>
            </w:tcBorders>
          </w:tcPr>
          <w:p w14:paraId="3DF9FD24" w14:textId="77777777" w:rsidR="008C5104" w:rsidRPr="007E46C9" w:rsidRDefault="008C5104" w:rsidP="008C5104">
            <w:pPr>
              <w:spacing w:after="60"/>
              <w:rPr>
                <w:iCs/>
                <w:sz w:val="20"/>
              </w:rPr>
            </w:pPr>
            <w:r w:rsidRPr="007E46C9">
              <w:rPr>
                <w:sz w:val="20"/>
              </w:rPr>
              <w:t xml:space="preserve">RRUFQ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A713541"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2414DD06" w14:textId="77777777" w:rsidR="008C5104" w:rsidRPr="007E46C9" w:rsidRDefault="008C5104" w:rsidP="008C5104">
            <w:pPr>
              <w:spacing w:after="60"/>
              <w:rPr>
                <w:i/>
                <w:iCs/>
                <w:sz w:val="20"/>
              </w:rPr>
            </w:pPr>
            <w:r w:rsidRPr="007E46C9">
              <w:rPr>
                <w:i/>
                <w:sz w:val="20"/>
              </w:rPr>
              <w:t>Reconfiguration Reg-Up Failure Quantity per QSE—</w:t>
            </w:r>
            <w:r w:rsidRPr="007E46C9">
              <w:rPr>
                <w:sz w:val="20"/>
              </w:rPr>
              <w:t xml:space="preserve">QSE </w:t>
            </w:r>
            <w:r w:rsidRPr="007E46C9">
              <w:rPr>
                <w:i/>
                <w:sz w:val="20"/>
              </w:rPr>
              <w:t>q</w:t>
            </w:r>
            <w:r w:rsidRPr="007E46C9">
              <w:rPr>
                <w:sz w:val="20"/>
              </w:rPr>
              <w:t xml:space="preserve"> total capacity associated with reconfiguration reductions on its Ancillary Service Supply Responsibility for Reg-Up, for the hour.</w:t>
            </w:r>
          </w:p>
        </w:tc>
      </w:tr>
      <w:tr w:rsidR="008C5104" w:rsidRPr="007E46C9" w14:paraId="66D379B0" w14:textId="77777777" w:rsidTr="008C5104">
        <w:tc>
          <w:tcPr>
            <w:tcW w:w="849" w:type="pct"/>
            <w:tcBorders>
              <w:top w:val="single" w:sz="4" w:space="0" w:color="auto"/>
              <w:left w:val="single" w:sz="4" w:space="0" w:color="auto"/>
              <w:bottom w:val="single" w:sz="4" w:space="0" w:color="auto"/>
              <w:right w:val="single" w:sz="4" w:space="0" w:color="auto"/>
            </w:tcBorders>
          </w:tcPr>
          <w:p w14:paraId="17535F49"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47B323B"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354302E9"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 QSE Load Ratio Share for an Operating Hour.</w:t>
            </w:r>
          </w:p>
        </w:tc>
      </w:tr>
      <w:tr w:rsidR="008C5104" w:rsidRPr="007E46C9" w14:paraId="302C9E51" w14:textId="77777777" w:rsidTr="008C5104">
        <w:tc>
          <w:tcPr>
            <w:tcW w:w="849" w:type="pct"/>
            <w:tcBorders>
              <w:top w:val="single" w:sz="4" w:space="0" w:color="auto"/>
              <w:left w:val="single" w:sz="4" w:space="0" w:color="auto"/>
              <w:bottom w:val="single" w:sz="4" w:space="0" w:color="auto"/>
              <w:right w:val="single" w:sz="4" w:space="0" w:color="auto"/>
            </w:tcBorders>
          </w:tcPr>
          <w:p w14:paraId="59F034FF" w14:textId="77777777" w:rsidR="008C5104" w:rsidRPr="007E46C9" w:rsidRDefault="008C5104" w:rsidP="008C5104">
            <w:pPr>
              <w:rPr>
                <w:sz w:val="20"/>
              </w:rPr>
            </w:pPr>
            <w:r w:rsidRPr="007E46C9">
              <w:rPr>
                <w:sz w:val="20"/>
              </w:rPr>
              <w:t xml:space="preserve">PCRU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F2DEF3A"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503F870B" w14:textId="77777777" w:rsidR="008C5104" w:rsidRPr="007E46C9" w:rsidRDefault="008C5104" w:rsidP="008C5104">
            <w:pPr>
              <w:rPr>
                <w:sz w:val="20"/>
              </w:rPr>
            </w:pPr>
            <w:r w:rsidRPr="007E46C9">
              <w:rPr>
                <w:i/>
                <w:sz w:val="20"/>
              </w:rPr>
              <w:t>Procured Capacity for Reg-Up per QSE in DAM</w:t>
            </w:r>
            <w:r w:rsidRPr="007E46C9">
              <w:rPr>
                <w:sz w:val="20"/>
              </w:rPr>
              <w:t xml:space="preserve">—The total Reg-Up capacity quantity awarded to QSE </w:t>
            </w:r>
            <w:r w:rsidRPr="007E46C9">
              <w:rPr>
                <w:i/>
                <w:sz w:val="20"/>
              </w:rPr>
              <w:t>q</w:t>
            </w:r>
            <w:r w:rsidRPr="007E46C9">
              <w:rPr>
                <w:sz w:val="20"/>
              </w:rPr>
              <w:t xml:space="preserve"> in the DAM for all the Resources represented by the QSE</w:t>
            </w:r>
            <w:r w:rsidR="00EE4598" w:rsidRPr="007E46C9">
              <w:rPr>
                <w:iCs/>
                <w:sz w:val="20"/>
              </w:rPr>
              <w:t>,</w:t>
            </w:r>
            <w:r w:rsidRPr="007E46C9">
              <w:rPr>
                <w:sz w:val="20"/>
              </w:rPr>
              <w:t xml:space="preserve"> for the hour.</w:t>
            </w:r>
          </w:p>
        </w:tc>
      </w:tr>
      <w:tr w:rsidR="008C5104" w:rsidRPr="007E46C9" w14:paraId="71A87D58" w14:textId="77777777" w:rsidTr="008C5104">
        <w:tc>
          <w:tcPr>
            <w:tcW w:w="849" w:type="pct"/>
            <w:tcBorders>
              <w:top w:val="single" w:sz="4" w:space="0" w:color="auto"/>
              <w:left w:val="single" w:sz="4" w:space="0" w:color="auto"/>
              <w:bottom w:val="single" w:sz="4" w:space="0" w:color="auto"/>
              <w:right w:val="single" w:sz="4" w:space="0" w:color="auto"/>
            </w:tcBorders>
          </w:tcPr>
          <w:p w14:paraId="3AC263CA" w14:textId="77777777" w:rsidR="008C5104" w:rsidRPr="007E46C9" w:rsidRDefault="008C5104" w:rsidP="008C5104">
            <w:pPr>
              <w:spacing w:after="60"/>
              <w:rPr>
                <w:sz w:val="20"/>
              </w:rPr>
            </w:pPr>
            <w:r w:rsidRPr="007E46C9">
              <w:rPr>
                <w:sz w:val="20"/>
              </w:rPr>
              <w:t>SARUQ</w:t>
            </w:r>
            <w:r w:rsidRPr="007E46C9">
              <w:rPr>
                <w:sz w:val="20"/>
                <w:vertAlign w:val="subscript"/>
              </w:rPr>
              <w:t xml:space="preserve">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E7B1878" w14:textId="77777777" w:rsidR="008C5104" w:rsidRPr="007E46C9" w:rsidRDefault="008C5104" w:rsidP="008C5104">
            <w:pPr>
              <w:spacing w:after="60"/>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6366967F" w14:textId="77777777" w:rsidR="008C5104" w:rsidRPr="007E46C9" w:rsidRDefault="008C5104" w:rsidP="008C5104">
            <w:pPr>
              <w:spacing w:after="60"/>
              <w:rPr>
                <w:sz w:val="20"/>
              </w:rPr>
            </w:pPr>
            <w:r w:rsidRPr="007E46C9">
              <w:rPr>
                <w:i/>
                <w:sz w:val="20"/>
              </w:rPr>
              <w:t>Total Self-Arranged Reg-Up Quantity per QSE for all markets</w:t>
            </w:r>
            <w:r w:rsidRPr="007E46C9">
              <w:rPr>
                <w:sz w:val="20"/>
              </w:rPr>
              <w:t xml:space="preserve">—The sum of all self-arranged Reg-Up quantities submitted by QSE </w:t>
            </w:r>
            <w:r w:rsidRPr="007E46C9">
              <w:rPr>
                <w:i/>
                <w:sz w:val="20"/>
              </w:rPr>
              <w:t>q</w:t>
            </w:r>
            <w:r w:rsidRPr="007E46C9">
              <w:rPr>
                <w:sz w:val="20"/>
              </w:rPr>
              <w:t xml:space="preserve"> for DAM and all SASMs.</w:t>
            </w:r>
          </w:p>
        </w:tc>
      </w:tr>
      <w:tr w:rsidR="008C5104" w:rsidRPr="007E46C9" w14:paraId="187EDC3B" w14:textId="77777777" w:rsidTr="008C5104">
        <w:tc>
          <w:tcPr>
            <w:tcW w:w="849" w:type="pct"/>
            <w:tcBorders>
              <w:top w:val="single" w:sz="4" w:space="0" w:color="auto"/>
              <w:left w:val="single" w:sz="4" w:space="0" w:color="auto"/>
              <w:bottom w:val="single" w:sz="4" w:space="0" w:color="auto"/>
              <w:right w:val="single" w:sz="4" w:space="0" w:color="auto"/>
            </w:tcBorders>
          </w:tcPr>
          <w:p w14:paraId="67DD98CB" w14:textId="77777777" w:rsidR="008C5104" w:rsidRPr="007E46C9" w:rsidRDefault="008C5104" w:rsidP="008C5104">
            <w:pPr>
              <w:spacing w:after="60"/>
              <w:rPr>
                <w:i/>
                <w:iCs/>
                <w:sz w:val="20"/>
              </w:rPr>
            </w:pPr>
            <w:r w:rsidRPr="007E46C9">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3B3B9F74"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7960FAB5" w14:textId="77777777" w:rsidR="008C5104" w:rsidRPr="007E46C9" w:rsidRDefault="008C5104" w:rsidP="008C5104">
            <w:pPr>
              <w:spacing w:after="60"/>
              <w:rPr>
                <w:iCs/>
                <w:sz w:val="20"/>
              </w:rPr>
            </w:pPr>
            <w:r w:rsidRPr="007E46C9">
              <w:rPr>
                <w:iCs/>
                <w:sz w:val="20"/>
              </w:rPr>
              <w:t>A QSE.</w:t>
            </w:r>
          </w:p>
        </w:tc>
      </w:tr>
      <w:tr w:rsidR="008C5104" w:rsidRPr="007E46C9" w14:paraId="6589C1E9" w14:textId="77777777" w:rsidTr="008C5104">
        <w:tc>
          <w:tcPr>
            <w:tcW w:w="849" w:type="pct"/>
            <w:tcBorders>
              <w:top w:val="single" w:sz="4" w:space="0" w:color="auto"/>
              <w:left w:val="single" w:sz="4" w:space="0" w:color="auto"/>
              <w:bottom w:val="single" w:sz="4" w:space="0" w:color="auto"/>
              <w:right w:val="single" w:sz="4" w:space="0" w:color="auto"/>
            </w:tcBorders>
          </w:tcPr>
          <w:p w14:paraId="55D37B41" w14:textId="77777777" w:rsidR="008C5104" w:rsidRPr="007E46C9" w:rsidRDefault="008C5104" w:rsidP="008C5104">
            <w:pPr>
              <w:spacing w:after="60"/>
              <w:rPr>
                <w:i/>
                <w:iCs/>
                <w:sz w:val="20"/>
              </w:rPr>
            </w:pPr>
            <w:r w:rsidRPr="007E46C9">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2D2C52D1"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1871EC7A" w14:textId="77777777" w:rsidR="008C5104" w:rsidRPr="007E46C9" w:rsidRDefault="008C5104" w:rsidP="008C5104">
            <w:pPr>
              <w:spacing w:after="60"/>
              <w:rPr>
                <w:iCs/>
                <w:sz w:val="20"/>
              </w:rPr>
            </w:pPr>
            <w:r w:rsidRPr="007E46C9">
              <w:rPr>
                <w:iCs/>
                <w:sz w:val="20"/>
              </w:rPr>
              <w:t>A SASM for the given Operating Hour.</w:t>
            </w:r>
          </w:p>
        </w:tc>
      </w:tr>
    </w:tbl>
    <w:p w14:paraId="70E0ED52" w14:textId="77777777" w:rsidR="008C5104" w:rsidRPr="007E46C9" w:rsidRDefault="008C5104" w:rsidP="008C5104"/>
    <w:p w14:paraId="7FFD4F48" w14:textId="77777777" w:rsidR="008C5104" w:rsidRPr="007E46C9" w:rsidRDefault="008C5104" w:rsidP="008C5104">
      <w:pPr>
        <w:spacing w:after="240"/>
        <w:ind w:left="1440" w:hanging="720"/>
      </w:pPr>
      <w:r w:rsidRPr="007E46C9">
        <w:t>(c)</w:t>
      </w:r>
      <w:r w:rsidRPr="007E46C9">
        <w:tab/>
        <w:t>The adjustment to each QSE’s DAM charge for the Reg-Up for the Operating Hour, due to changes during the Adjustment Period or Real-Time operations, is calculated as follows:</w:t>
      </w:r>
    </w:p>
    <w:p w14:paraId="33D77DF6" w14:textId="77777777" w:rsidR="008C5104" w:rsidRPr="007E46C9" w:rsidRDefault="008C5104" w:rsidP="008C5104">
      <w:pPr>
        <w:spacing w:after="240"/>
        <w:ind w:left="2880" w:hanging="2160"/>
      </w:pPr>
      <w:r w:rsidRPr="007E46C9">
        <w:rPr>
          <w:b/>
        </w:rPr>
        <w:t xml:space="preserve">RTRUAMT </w:t>
      </w:r>
      <w:r w:rsidRPr="007E46C9">
        <w:rPr>
          <w:b/>
          <w:i/>
          <w:vertAlign w:val="subscript"/>
        </w:rPr>
        <w:t>q</w:t>
      </w:r>
      <w:r w:rsidRPr="007E46C9">
        <w:rPr>
          <w:b/>
          <w:vertAlign w:val="subscript"/>
        </w:rPr>
        <w:tab/>
      </w:r>
      <w:r w:rsidRPr="007E46C9">
        <w:rPr>
          <w:b/>
          <w:vertAlign w:val="subscript"/>
        </w:rPr>
        <w:tab/>
      </w:r>
      <w:r w:rsidRPr="007E46C9">
        <w:rPr>
          <w:b/>
        </w:rPr>
        <w:t>=</w:t>
      </w:r>
      <w:r w:rsidRPr="007E46C9">
        <w:rPr>
          <w:b/>
        </w:rPr>
        <w:tab/>
        <w:t xml:space="preserve">RUCOST </w:t>
      </w:r>
      <w:r w:rsidRPr="007E46C9">
        <w:rPr>
          <w:b/>
          <w:i/>
          <w:vertAlign w:val="subscript"/>
        </w:rPr>
        <w:t>q</w:t>
      </w:r>
      <w:r w:rsidRPr="007E46C9">
        <w:rPr>
          <w:b/>
        </w:rPr>
        <w:t xml:space="preserve"> – DARUAMT </w:t>
      </w:r>
      <w:r w:rsidRPr="007E46C9">
        <w:rPr>
          <w:b/>
          <w:i/>
          <w:vertAlign w:val="subscript"/>
        </w:rPr>
        <w:t>q</w:t>
      </w:r>
    </w:p>
    <w:p w14:paraId="6D080322"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8C5104" w:rsidRPr="007E46C9" w14:paraId="52D25594" w14:textId="77777777" w:rsidTr="008C5104">
        <w:tc>
          <w:tcPr>
            <w:tcW w:w="824" w:type="pct"/>
          </w:tcPr>
          <w:p w14:paraId="676D151A" w14:textId="77777777" w:rsidR="008C5104" w:rsidRPr="007E46C9" w:rsidRDefault="008C5104" w:rsidP="008C5104">
            <w:pPr>
              <w:spacing w:after="120"/>
              <w:rPr>
                <w:b/>
                <w:iCs/>
                <w:sz w:val="20"/>
              </w:rPr>
            </w:pPr>
            <w:r w:rsidRPr="007E46C9">
              <w:rPr>
                <w:b/>
                <w:iCs/>
                <w:sz w:val="20"/>
              </w:rPr>
              <w:t>Variable</w:t>
            </w:r>
          </w:p>
        </w:tc>
        <w:tc>
          <w:tcPr>
            <w:tcW w:w="463" w:type="pct"/>
          </w:tcPr>
          <w:p w14:paraId="5ECF7A0F" w14:textId="77777777" w:rsidR="008C5104" w:rsidRPr="007E46C9" w:rsidRDefault="008C5104" w:rsidP="008C5104">
            <w:pPr>
              <w:spacing w:after="120"/>
              <w:rPr>
                <w:b/>
                <w:iCs/>
                <w:sz w:val="20"/>
              </w:rPr>
            </w:pPr>
            <w:r w:rsidRPr="007E46C9">
              <w:rPr>
                <w:b/>
                <w:iCs/>
                <w:sz w:val="20"/>
              </w:rPr>
              <w:t>Unit</w:t>
            </w:r>
          </w:p>
        </w:tc>
        <w:tc>
          <w:tcPr>
            <w:tcW w:w="3713" w:type="pct"/>
          </w:tcPr>
          <w:p w14:paraId="588A75B4" w14:textId="77777777" w:rsidR="008C5104" w:rsidRPr="007E46C9" w:rsidRDefault="008C5104" w:rsidP="008C5104">
            <w:pPr>
              <w:spacing w:after="120"/>
              <w:rPr>
                <w:b/>
                <w:iCs/>
                <w:sz w:val="20"/>
              </w:rPr>
            </w:pPr>
            <w:r w:rsidRPr="007E46C9">
              <w:rPr>
                <w:b/>
                <w:iCs/>
                <w:sz w:val="20"/>
              </w:rPr>
              <w:t>Description</w:t>
            </w:r>
          </w:p>
        </w:tc>
      </w:tr>
      <w:tr w:rsidR="008C5104" w:rsidRPr="007E46C9" w14:paraId="021DF483" w14:textId="77777777" w:rsidTr="008C5104">
        <w:tc>
          <w:tcPr>
            <w:tcW w:w="824" w:type="pct"/>
          </w:tcPr>
          <w:p w14:paraId="6A29EAC6" w14:textId="77777777" w:rsidR="008C5104" w:rsidRPr="007E46C9" w:rsidRDefault="008C5104" w:rsidP="008C5104">
            <w:pPr>
              <w:spacing w:after="60"/>
              <w:rPr>
                <w:iCs/>
                <w:sz w:val="20"/>
              </w:rPr>
            </w:pPr>
            <w:r w:rsidRPr="007E46C9">
              <w:rPr>
                <w:iCs/>
                <w:sz w:val="20"/>
              </w:rPr>
              <w:t xml:space="preserve">RTRUAMT </w:t>
            </w:r>
            <w:r w:rsidRPr="007E46C9">
              <w:rPr>
                <w:i/>
                <w:iCs/>
                <w:sz w:val="20"/>
                <w:vertAlign w:val="subscript"/>
              </w:rPr>
              <w:t>q</w:t>
            </w:r>
          </w:p>
        </w:tc>
        <w:tc>
          <w:tcPr>
            <w:tcW w:w="463" w:type="pct"/>
          </w:tcPr>
          <w:p w14:paraId="6520B03A" w14:textId="77777777" w:rsidR="008C5104" w:rsidRPr="007E46C9" w:rsidRDefault="008C5104" w:rsidP="008C5104">
            <w:pPr>
              <w:spacing w:after="60"/>
              <w:rPr>
                <w:iCs/>
                <w:sz w:val="20"/>
              </w:rPr>
            </w:pPr>
            <w:r w:rsidRPr="007E46C9">
              <w:rPr>
                <w:iCs/>
                <w:sz w:val="20"/>
              </w:rPr>
              <w:t>$</w:t>
            </w:r>
          </w:p>
        </w:tc>
        <w:tc>
          <w:tcPr>
            <w:tcW w:w="3713" w:type="pct"/>
          </w:tcPr>
          <w:p w14:paraId="32159C67" w14:textId="77777777" w:rsidR="008C5104" w:rsidRPr="007E46C9" w:rsidRDefault="008C5104" w:rsidP="008C5104">
            <w:pPr>
              <w:spacing w:after="60"/>
              <w:rPr>
                <w:iCs/>
                <w:sz w:val="20"/>
              </w:rPr>
            </w:pPr>
            <w:r w:rsidRPr="007E46C9">
              <w:rPr>
                <w:i/>
                <w:iCs/>
                <w:sz w:val="20"/>
              </w:rPr>
              <w:t>Real-Time Reg-Up Amount per QSE</w:t>
            </w:r>
            <w:r w:rsidRPr="007E46C9">
              <w:rPr>
                <w:iCs/>
                <w:sz w:val="20"/>
              </w:rPr>
              <w:t xml:space="preserve">—The adjustment to QSE </w:t>
            </w:r>
            <w:r w:rsidRPr="007E46C9">
              <w:rPr>
                <w:i/>
                <w:iCs/>
                <w:sz w:val="20"/>
              </w:rPr>
              <w:t>q</w:t>
            </w:r>
            <w:r w:rsidRPr="007E46C9">
              <w:rPr>
                <w:iCs/>
                <w:sz w:val="20"/>
              </w:rPr>
              <w:t>’s share of the costs for Reg-Up, for the hour.</w:t>
            </w:r>
          </w:p>
        </w:tc>
      </w:tr>
      <w:tr w:rsidR="008C5104" w:rsidRPr="007E46C9" w14:paraId="22E12631" w14:textId="77777777" w:rsidTr="008C5104">
        <w:tc>
          <w:tcPr>
            <w:tcW w:w="824" w:type="pct"/>
          </w:tcPr>
          <w:p w14:paraId="5239F7F1" w14:textId="77777777" w:rsidR="008C5104" w:rsidRPr="007E46C9" w:rsidRDefault="008C5104" w:rsidP="008C5104">
            <w:pPr>
              <w:spacing w:after="60"/>
              <w:rPr>
                <w:iCs/>
                <w:sz w:val="20"/>
              </w:rPr>
            </w:pPr>
            <w:r w:rsidRPr="007E46C9">
              <w:rPr>
                <w:iCs/>
                <w:sz w:val="20"/>
              </w:rPr>
              <w:t xml:space="preserve">RUCOST </w:t>
            </w:r>
            <w:r w:rsidRPr="007E46C9">
              <w:rPr>
                <w:i/>
                <w:iCs/>
                <w:sz w:val="20"/>
                <w:vertAlign w:val="subscript"/>
              </w:rPr>
              <w:t>q</w:t>
            </w:r>
          </w:p>
        </w:tc>
        <w:tc>
          <w:tcPr>
            <w:tcW w:w="463" w:type="pct"/>
          </w:tcPr>
          <w:p w14:paraId="14E9B4CB" w14:textId="77777777" w:rsidR="008C5104" w:rsidRPr="007E46C9" w:rsidRDefault="008C5104" w:rsidP="008C5104">
            <w:pPr>
              <w:spacing w:after="60"/>
              <w:rPr>
                <w:iCs/>
                <w:sz w:val="20"/>
              </w:rPr>
            </w:pPr>
            <w:r w:rsidRPr="007E46C9">
              <w:rPr>
                <w:iCs/>
                <w:sz w:val="20"/>
              </w:rPr>
              <w:t>$</w:t>
            </w:r>
          </w:p>
        </w:tc>
        <w:tc>
          <w:tcPr>
            <w:tcW w:w="3713" w:type="pct"/>
          </w:tcPr>
          <w:p w14:paraId="64C98ADD" w14:textId="77777777" w:rsidR="008C5104" w:rsidRPr="007E46C9" w:rsidRDefault="008C5104" w:rsidP="008C5104">
            <w:pPr>
              <w:spacing w:after="60"/>
              <w:rPr>
                <w:iCs/>
                <w:sz w:val="20"/>
              </w:rPr>
            </w:pPr>
            <w:r w:rsidRPr="007E46C9">
              <w:rPr>
                <w:i/>
                <w:iCs/>
                <w:sz w:val="20"/>
              </w:rPr>
              <w:t>Reg-Up Cost per QSE</w:t>
            </w:r>
            <w:r w:rsidRPr="007E46C9">
              <w:rPr>
                <w:iCs/>
                <w:sz w:val="20"/>
              </w:rPr>
              <w:t xml:space="preserve">—QSE </w:t>
            </w:r>
            <w:r w:rsidRPr="007E46C9">
              <w:rPr>
                <w:i/>
                <w:iCs/>
                <w:sz w:val="20"/>
              </w:rPr>
              <w:t>q</w:t>
            </w:r>
            <w:r w:rsidRPr="007E46C9">
              <w:rPr>
                <w:iCs/>
                <w:sz w:val="20"/>
              </w:rPr>
              <w:t>’s share of the net total costs for Reg-Up, for the hour.</w:t>
            </w:r>
          </w:p>
        </w:tc>
      </w:tr>
      <w:tr w:rsidR="008C5104" w:rsidRPr="007E46C9" w14:paraId="2AC4F53C" w14:textId="77777777" w:rsidTr="008C5104">
        <w:tc>
          <w:tcPr>
            <w:tcW w:w="824" w:type="pct"/>
          </w:tcPr>
          <w:p w14:paraId="3282DA7A" w14:textId="77777777" w:rsidR="008C5104" w:rsidRPr="007E46C9" w:rsidRDefault="008C5104" w:rsidP="008C5104">
            <w:pPr>
              <w:spacing w:after="60"/>
              <w:rPr>
                <w:iCs/>
                <w:sz w:val="20"/>
              </w:rPr>
            </w:pPr>
            <w:r w:rsidRPr="007E46C9">
              <w:rPr>
                <w:iCs/>
                <w:sz w:val="20"/>
              </w:rPr>
              <w:t xml:space="preserve">DARUAMT </w:t>
            </w:r>
            <w:r w:rsidRPr="007E46C9">
              <w:rPr>
                <w:i/>
                <w:iCs/>
                <w:sz w:val="20"/>
                <w:vertAlign w:val="subscript"/>
              </w:rPr>
              <w:t>q</w:t>
            </w:r>
          </w:p>
        </w:tc>
        <w:tc>
          <w:tcPr>
            <w:tcW w:w="463" w:type="pct"/>
          </w:tcPr>
          <w:p w14:paraId="61044865" w14:textId="77777777" w:rsidR="008C5104" w:rsidRPr="007E46C9" w:rsidRDefault="008C5104" w:rsidP="008C5104">
            <w:pPr>
              <w:spacing w:after="60"/>
              <w:rPr>
                <w:iCs/>
                <w:sz w:val="20"/>
              </w:rPr>
            </w:pPr>
            <w:r w:rsidRPr="007E46C9">
              <w:rPr>
                <w:iCs/>
                <w:sz w:val="20"/>
              </w:rPr>
              <w:t>$</w:t>
            </w:r>
          </w:p>
        </w:tc>
        <w:tc>
          <w:tcPr>
            <w:tcW w:w="3713" w:type="pct"/>
          </w:tcPr>
          <w:p w14:paraId="7C5A2EDE" w14:textId="77777777" w:rsidR="008C5104" w:rsidRPr="007E46C9" w:rsidRDefault="008C5104" w:rsidP="008C5104">
            <w:pPr>
              <w:spacing w:after="60"/>
              <w:rPr>
                <w:iCs/>
                <w:sz w:val="20"/>
              </w:rPr>
            </w:pPr>
            <w:r w:rsidRPr="007E46C9">
              <w:rPr>
                <w:i/>
                <w:iCs/>
                <w:sz w:val="20"/>
              </w:rPr>
              <w:t>Day-Ahead Reg-Up Amount per QSE</w:t>
            </w:r>
            <w:r w:rsidRPr="007E46C9">
              <w:rPr>
                <w:iCs/>
                <w:sz w:val="20"/>
              </w:rPr>
              <w:t xml:space="preserve">—QSE </w:t>
            </w:r>
            <w:r w:rsidRPr="007E46C9">
              <w:rPr>
                <w:i/>
                <w:iCs/>
                <w:sz w:val="20"/>
              </w:rPr>
              <w:t>q</w:t>
            </w:r>
            <w:r w:rsidRPr="007E46C9">
              <w:rPr>
                <w:iCs/>
                <w:sz w:val="20"/>
              </w:rPr>
              <w:t>’s share of the DAM cost for Reg-Up, for the hour.</w:t>
            </w:r>
          </w:p>
        </w:tc>
      </w:tr>
      <w:tr w:rsidR="008C5104" w:rsidRPr="007E46C9" w14:paraId="1333B814" w14:textId="77777777" w:rsidTr="008C5104">
        <w:tc>
          <w:tcPr>
            <w:tcW w:w="824" w:type="pct"/>
            <w:tcBorders>
              <w:top w:val="single" w:sz="4" w:space="0" w:color="auto"/>
              <w:left w:val="single" w:sz="4" w:space="0" w:color="auto"/>
              <w:bottom w:val="single" w:sz="4" w:space="0" w:color="auto"/>
              <w:right w:val="single" w:sz="4" w:space="0" w:color="auto"/>
            </w:tcBorders>
          </w:tcPr>
          <w:p w14:paraId="6100B891" w14:textId="77777777" w:rsidR="008C5104" w:rsidRPr="007E46C9" w:rsidRDefault="008C5104" w:rsidP="008C5104">
            <w:pPr>
              <w:spacing w:after="60"/>
              <w:rPr>
                <w:i/>
                <w:iCs/>
                <w:sz w:val="20"/>
              </w:rPr>
            </w:pPr>
            <w:r w:rsidRPr="007E46C9">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73B56E3C" w14:textId="77777777" w:rsidR="008C5104" w:rsidRPr="007E46C9" w:rsidRDefault="008C5104" w:rsidP="008C5104">
            <w:pPr>
              <w:spacing w:after="60"/>
              <w:rPr>
                <w:iCs/>
                <w:sz w:val="20"/>
              </w:rPr>
            </w:pPr>
            <w:r w:rsidRPr="007E46C9">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1252F2A7" w14:textId="77777777" w:rsidR="008C5104" w:rsidRPr="007E46C9" w:rsidRDefault="008C5104" w:rsidP="008C5104">
            <w:pPr>
              <w:spacing w:after="60"/>
              <w:rPr>
                <w:iCs/>
                <w:sz w:val="20"/>
              </w:rPr>
            </w:pPr>
            <w:r w:rsidRPr="007E46C9">
              <w:rPr>
                <w:iCs/>
                <w:sz w:val="20"/>
              </w:rPr>
              <w:t>A QSE.</w:t>
            </w:r>
          </w:p>
        </w:tc>
      </w:tr>
    </w:tbl>
    <w:p w14:paraId="42298EB6" w14:textId="77777777" w:rsidR="008C5104" w:rsidRPr="007E46C9" w:rsidRDefault="008C5104" w:rsidP="008C5104">
      <w:pPr>
        <w:spacing w:before="240" w:after="240"/>
        <w:ind w:left="720" w:hanging="720"/>
        <w:rPr>
          <w:iCs/>
        </w:rPr>
      </w:pPr>
      <w:r w:rsidRPr="007E46C9">
        <w:rPr>
          <w:iCs/>
        </w:rPr>
        <w:lastRenderedPageBreak/>
        <w:t>(3)</w:t>
      </w:r>
      <w:r w:rsidRPr="007E46C9">
        <w:rPr>
          <w:iCs/>
        </w:rPr>
        <w:tab/>
        <w:t>For Reg-Down, if applicable:</w:t>
      </w:r>
    </w:p>
    <w:p w14:paraId="4F54C5D7" w14:textId="77777777" w:rsidR="008C5104" w:rsidRPr="007E46C9" w:rsidRDefault="008C5104" w:rsidP="008C5104">
      <w:pPr>
        <w:spacing w:after="240"/>
        <w:ind w:left="1440" w:hanging="720"/>
      </w:pPr>
      <w:r w:rsidRPr="007E46C9">
        <w:t>(a)</w:t>
      </w:r>
      <w:r w:rsidRPr="007E46C9">
        <w:tab/>
        <w:t>The net total costs for Reg-Down for a given Operating Hour is calculated as follows:</w:t>
      </w:r>
    </w:p>
    <w:p w14:paraId="0236AE43" w14:textId="03858E9C" w:rsidR="008C5104" w:rsidRDefault="008C5104" w:rsidP="008C5104">
      <w:pPr>
        <w:spacing w:after="120"/>
        <w:ind w:left="3600" w:hanging="2880"/>
        <w:rPr>
          <w:b/>
          <w:bCs/>
        </w:rPr>
      </w:pPr>
      <w:r w:rsidRPr="007E46C9">
        <w:rPr>
          <w:b/>
          <w:bCs/>
        </w:rPr>
        <w:t>RDCOSTTOT</w:t>
      </w:r>
      <w:r w:rsidRPr="007E46C9">
        <w:rPr>
          <w:b/>
          <w:bCs/>
        </w:rPr>
        <w:tab/>
        <w:t>=</w:t>
      </w:r>
      <w:r w:rsidRPr="007E46C9">
        <w:rPr>
          <w:b/>
          <w:bCs/>
        </w:rPr>
        <w:tab/>
        <w:t>(-1) * (</w:t>
      </w:r>
      <w:r w:rsidR="00A94020">
        <w:rPr>
          <w:b/>
          <w:bCs/>
          <w:noProof/>
          <w:position w:val="-20"/>
        </w:rPr>
        <w:drawing>
          <wp:inline distT="0" distB="0" distL="0" distR="0" wp14:anchorId="31E4450E" wp14:editId="44837E00">
            <wp:extent cx="142875" cy="2762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(RTPCRDAMTTOT </w:t>
      </w:r>
      <w:r w:rsidRPr="007E46C9">
        <w:rPr>
          <w:b/>
          <w:bCs/>
          <w:i/>
          <w:vertAlign w:val="subscript"/>
        </w:rPr>
        <w:t>m</w:t>
      </w:r>
      <w:r w:rsidRPr="007E46C9">
        <w:rPr>
          <w:b/>
          <w:bCs/>
        </w:rPr>
        <w:t xml:space="preserve">) + </w:t>
      </w:r>
      <w:r w:rsidRPr="007E46C9">
        <w:rPr>
          <w:b/>
          <w:bCs/>
        </w:rPr>
        <w:tab/>
        <w:t>PCRDAMTTOT + RDFQAMTTOT</w:t>
      </w:r>
      <w:r w:rsidRPr="00D66F53">
        <w:rPr>
          <w:b/>
          <w:bCs/>
        </w:rPr>
        <w:t xml:space="preserve"> +</w:t>
      </w:r>
    </w:p>
    <w:p w14:paraId="06C7FC10" w14:textId="77777777" w:rsidR="008C5104" w:rsidRPr="007E46C9" w:rsidRDefault="008C5104" w:rsidP="008C5104">
      <w:pPr>
        <w:spacing w:after="240"/>
        <w:ind w:left="3600" w:firstLine="720"/>
        <w:rPr>
          <w:b/>
          <w:bCs/>
        </w:rPr>
      </w:pPr>
      <w:r w:rsidRPr="00D66F53">
        <w:rPr>
          <w:b/>
          <w:bCs/>
        </w:rPr>
        <w:t>RDINFQAMTTOT</w:t>
      </w:r>
      <w:r w:rsidRPr="007E46C9">
        <w:rPr>
          <w:b/>
          <w:bCs/>
        </w:rPr>
        <w:t>)</w:t>
      </w:r>
    </w:p>
    <w:p w14:paraId="411D9C60" w14:textId="77777777" w:rsidR="008C5104" w:rsidRPr="007E46C9" w:rsidRDefault="008C5104" w:rsidP="008C5104">
      <w:pPr>
        <w:spacing w:after="240"/>
        <w:rPr>
          <w:iCs/>
        </w:rPr>
      </w:pPr>
      <w:r w:rsidRPr="007E46C9">
        <w:rPr>
          <w:iCs/>
        </w:rPr>
        <w:t xml:space="preserve">Where: </w:t>
      </w:r>
    </w:p>
    <w:p w14:paraId="2804DFF1" w14:textId="77777777" w:rsidR="008C5104" w:rsidRPr="007E46C9" w:rsidRDefault="008C5104" w:rsidP="008C5104">
      <w:r w:rsidRPr="007E46C9">
        <w:t>Total payment of SASM- and RSASM-procured capacity for Reg-Down by market</w:t>
      </w:r>
    </w:p>
    <w:p w14:paraId="5E0FD945" w14:textId="234FA01B" w:rsidR="008C5104" w:rsidRPr="007E46C9" w:rsidRDefault="008C5104" w:rsidP="008C5104">
      <w:pPr>
        <w:spacing w:after="240"/>
        <w:ind w:leftChars="300" w:left="2880" w:hangingChars="900" w:hanging="2160"/>
        <w:rPr>
          <w:bCs/>
          <w:vertAlign w:val="subscript"/>
        </w:rPr>
      </w:pPr>
      <w:r w:rsidRPr="007E46C9">
        <w:rPr>
          <w:bCs/>
        </w:rPr>
        <w:t xml:space="preserve">RTPCRDAMTTOT </w:t>
      </w:r>
      <w:r w:rsidRPr="007E46C9">
        <w:rPr>
          <w:bCs/>
          <w:i/>
          <w:vertAlign w:val="subscript"/>
        </w:rPr>
        <w:t>m</w:t>
      </w:r>
      <w:r w:rsidRPr="007E46C9">
        <w:rPr>
          <w:bCs/>
        </w:rPr>
        <w:tab/>
      </w:r>
      <w:r w:rsidRPr="007E46C9">
        <w:rPr>
          <w:bCs/>
        </w:rPr>
        <w:tab/>
        <w:t>=</w:t>
      </w:r>
      <w:r w:rsidRPr="007E46C9">
        <w:rPr>
          <w:bCs/>
        </w:rPr>
        <w:tab/>
      </w:r>
      <w:r w:rsidR="00A94020">
        <w:rPr>
          <w:bCs/>
          <w:noProof/>
          <w:position w:val="-22"/>
        </w:rPr>
        <w:drawing>
          <wp:inline distT="0" distB="0" distL="0" distR="0" wp14:anchorId="1D39EE46" wp14:editId="7D00D09A">
            <wp:extent cx="142875" cy="2952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RTPCRDAMT </w:t>
      </w:r>
      <w:r w:rsidRPr="007E46C9">
        <w:rPr>
          <w:bCs/>
          <w:i/>
          <w:vertAlign w:val="subscript"/>
        </w:rPr>
        <w:t xml:space="preserve">q, m </w:t>
      </w:r>
    </w:p>
    <w:p w14:paraId="210F192A" w14:textId="77777777" w:rsidR="008C5104" w:rsidRPr="007E46C9" w:rsidRDefault="008C5104" w:rsidP="008C5104">
      <w:r w:rsidRPr="007E46C9">
        <w:t>Total payment of DAM-procured capacity for Reg-Down</w:t>
      </w:r>
    </w:p>
    <w:p w14:paraId="5B4525B7" w14:textId="14D283C2" w:rsidR="008C5104" w:rsidRPr="007E46C9" w:rsidRDefault="008C5104" w:rsidP="008C5104">
      <w:pPr>
        <w:spacing w:after="240"/>
        <w:ind w:leftChars="300" w:left="2880" w:hangingChars="900" w:hanging="2160"/>
        <w:rPr>
          <w:bCs/>
        </w:rPr>
      </w:pPr>
      <w:r w:rsidRPr="007E46C9">
        <w:rPr>
          <w:bCs/>
        </w:rPr>
        <w:t>PCRDAMTTOT</w:t>
      </w:r>
      <w:r w:rsidRPr="007E46C9">
        <w:rPr>
          <w:bCs/>
          <w:i/>
          <w:vertAlign w:val="subscript"/>
        </w:rPr>
        <w:tab/>
      </w:r>
      <w:r w:rsidRPr="007E46C9">
        <w:rPr>
          <w:bCs/>
          <w:i/>
          <w:vertAlign w:val="subscript"/>
        </w:rPr>
        <w:tab/>
      </w:r>
      <w:r w:rsidRPr="007E46C9">
        <w:rPr>
          <w:bCs/>
        </w:rPr>
        <w:t>=</w:t>
      </w:r>
      <w:r w:rsidRPr="007E46C9">
        <w:rPr>
          <w:bCs/>
        </w:rPr>
        <w:tab/>
      </w:r>
      <w:r w:rsidRPr="007E46C9">
        <w:rPr>
          <w:bCs/>
          <w:i/>
          <w:vertAlign w:val="subscript"/>
        </w:rPr>
        <w:t xml:space="preserve"> </w:t>
      </w:r>
      <w:r w:rsidR="00A94020">
        <w:rPr>
          <w:bCs/>
          <w:noProof/>
          <w:position w:val="-22"/>
        </w:rPr>
        <w:drawing>
          <wp:inline distT="0" distB="0" distL="0" distR="0" wp14:anchorId="5276B225" wp14:editId="14DD9CBC">
            <wp:extent cx="142875" cy="2952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PCRDAMT </w:t>
      </w:r>
      <w:r w:rsidRPr="007E46C9">
        <w:rPr>
          <w:bCs/>
          <w:i/>
          <w:vertAlign w:val="subscript"/>
        </w:rPr>
        <w:t>q</w:t>
      </w:r>
    </w:p>
    <w:p w14:paraId="06C4C5EF" w14:textId="77777777" w:rsidR="008C5104" w:rsidRPr="007E46C9" w:rsidRDefault="008C5104" w:rsidP="008C5104">
      <w:r w:rsidRPr="007E46C9">
        <w:t>Total charge of failure on Ancillary Service Supply Responsibility for Reg-Down</w:t>
      </w:r>
    </w:p>
    <w:p w14:paraId="45EA1D3E" w14:textId="4137F8E6" w:rsidR="008C5104" w:rsidRPr="007E46C9" w:rsidRDefault="008C5104" w:rsidP="008C5104">
      <w:pPr>
        <w:spacing w:after="240"/>
        <w:ind w:leftChars="300" w:left="2880" w:hangingChars="900" w:hanging="2160"/>
        <w:rPr>
          <w:bCs/>
          <w:i/>
          <w:vertAlign w:val="subscript"/>
        </w:rPr>
      </w:pPr>
      <w:r w:rsidRPr="007E46C9">
        <w:rPr>
          <w:bCs/>
        </w:rPr>
        <w:t>RDFQAMTTOT</w:t>
      </w:r>
      <w:r w:rsidRPr="007E46C9">
        <w:rPr>
          <w:bCs/>
        </w:rPr>
        <w:tab/>
      </w:r>
      <w:r w:rsidRPr="007E46C9">
        <w:rPr>
          <w:bCs/>
        </w:rPr>
        <w:tab/>
        <w:t>=</w:t>
      </w:r>
      <w:r w:rsidRPr="007E46C9">
        <w:rPr>
          <w:bCs/>
        </w:rPr>
        <w:tab/>
      </w:r>
      <w:r w:rsidR="00A94020">
        <w:rPr>
          <w:bCs/>
          <w:noProof/>
          <w:position w:val="-22"/>
        </w:rPr>
        <w:drawing>
          <wp:inline distT="0" distB="0" distL="0" distR="0" wp14:anchorId="2E9D108E" wp14:editId="1B41AA89">
            <wp:extent cx="142875" cy="2952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RDFQAMTQSETOT </w:t>
      </w:r>
      <w:r w:rsidRPr="007E46C9">
        <w:rPr>
          <w:bCs/>
          <w:i/>
          <w:vertAlign w:val="subscript"/>
        </w:rPr>
        <w:t>q</w:t>
      </w:r>
    </w:p>
    <w:p w14:paraId="4170AEF0" w14:textId="77777777" w:rsidR="008C5104" w:rsidRPr="007E46C9" w:rsidRDefault="008C5104" w:rsidP="008C5104">
      <w:pPr>
        <w:tabs>
          <w:tab w:val="left" w:pos="2160"/>
          <w:tab w:val="left" w:pos="2880"/>
        </w:tabs>
        <w:ind w:left="300" w:hangingChars="125" w:hanging="300"/>
        <w:rPr>
          <w:bCs/>
        </w:rPr>
      </w:pPr>
      <w:r w:rsidRPr="007E46C9">
        <w:rPr>
          <w:bCs/>
        </w:rPr>
        <w:t>Total payment of SASM- and RSASM-procured capacity for Reg-Down by QSE</w:t>
      </w:r>
    </w:p>
    <w:p w14:paraId="1AF3F7BE" w14:textId="713BC9BF" w:rsidR="008C5104" w:rsidRPr="007E46C9" w:rsidRDefault="008C5104" w:rsidP="008C5104">
      <w:pPr>
        <w:spacing w:after="240"/>
        <w:ind w:leftChars="300" w:left="2880" w:hangingChars="900" w:hanging="2160"/>
        <w:rPr>
          <w:bCs/>
          <w:i/>
          <w:vertAlign w:val="subscript"/>
        </w:rPr>
      </w:pPr>
      <w:r w:rsidRPr="007E46C9">
        <w:rPr>
          <w:bCs/>
        </w:rPr>
        <w:t xml:space="preserve">RTPCRDAMTQSETOT </w:t>
      </w:r>
      <w:r w:rsidRPr="007E46C9">
        <w:rPr>
          <w:bCs/>
          <w:i/>
          <w:vertAlign w:val="subscript"/>
        </w:rPr>
        <w:t>q</w:t>
      </w:r>
      <w:r w:rsidRPr="007E46C9">
        <w:rPr>
          <w:bCs/>
          <w:i/>
          <w:vertAlign w:val="subscript"/>
        </w:rPr>
        <w:tab/>
      </w:r>
      <w:r w:rsidRPr="007E46C9">
        <w:rPr>
          <w:bCs/>
        </w:rPr>
        <w:t>=</w:t>
      </w:r>
      <w:r w:rsidRPr="007E46C9">
        <w:rPr>
          <w:bCs/>
        </w:rPr>
        <w:tab/>
      </w:r>
      <w:r w:rsidR="00A94020">
        <w:rPr>
          <w:bCs/>
          <w:noProof/>
          <w:position w:val="-20"/>
        </w:rPr>
        <w:drawing>
          <wp:inline distT="0" distB="0" distL="0" distR="0" wp14:anchorId="5A90ECA1" wp14:editId="05BAFAFF">
            <wp:extent cx="142875" cy="2762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RTPCRDAMT </w:t>
      </w:r>
      <w:r w:rsidRPr="007E46C9">
        <w:rPr>
          <w:bCs/>
          <w:i/>
          <w:vertAlign w:val="subscript"/>
        </w:rPr>
        <w:t>q, m</w:t>
      </w:r>
    </w:p>
    <w:p w14:paraId="1C74039A" w14:textId="77777777" w:rsidR="008C5104" w:rsidRDefault="008C5104" w:rsidP="008C5104">
      <w:r>
        <w:t>Total charge of infeasible Ancillary Service Supply Responsibility for Reg-Down</w:t>
      </w:r>
    </w:p>
    <w:p w14:paraId="29BADAAD" w14:textId="77777777" w:rsidR="008C5104" w:rsidRDefault="008C5104" w:rsidP="00EE4598">
      <w:pPr>
        <w:spacing w:after="240"/>
        <w:ind w:left="2880" w:hanging="2160"/>
      </w:pPr>
      <w:r>
        <w:t>RDINF</w:t>
      </w:r>
      <w:r w:rsidRPr="0070611B">
        <w:t>QAMT</w:t>
      </w:r>
      <w:r>
        <w:t>TOT</w:t>
      </w:r>
      <w:r>
        <w:tab/>
        <w:t>=</w:t>
      </w:r>
      <w:r>
        <w:tab/>
      </w:r>
      <w:r w:rsidRPr="006F784F">
        <w:rPr>
          <w:position w:val="-22"/>
          <w:lang w:val="pt-BR"/>
        </w:rPr>
        <w:object w:dxaOrig="225" w:dyaOrig="465" w14:anchorId="04D2BC8D">
          <v:shape id="_x0000_i1351" type="#_x0000_t75" style="width:12pt;height:18pt" o:ole="">
            <v:imagedata r:id="rId433" o:title=""/>
          </v:shape>
          <o:OLEObject Type="Embed" ProgID="Equation.3" ShapeID="_x0000_i1351" DrawAspect="Content" ObjectID="_1815025539" r:id="rId438"/>
        </w:object>
      </w:r>
      <w:r w:rsidRPr="002A7C17">
        <w:t xml:space="preserve"> </w:t>
      </w:r>
      <w:r>
        <w:t xml:space="preserve">RDINFQAMT </w:t>
      </w:r>
      <w:r w:rsidRPr="00D66F53">
        <w:rPr>
          <w:i/>
          <w:vertAlign w:val="subscript"/>
        </w:rPr>
        <w:t>q</w:t>
      </w:r>
      <w:r>
        <w:rPr>
          <w:vertAlign w:val="subscript"/>
        </w:rPr>
        <w:t xml:space="preserve"> </w:t>
      </w:r>
    </w:p>
    <w:p w14:paraId="0063ED60"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703"/>
        <w:gridCol w:w="6257"/>
      </w:tblGrid>
      <w:tr w:rsidR="008C5104" w:rsidRPr="007E46C9" w14:paraId="32494CE3" w14:textId="77777777" w:rsidTr="008C5104">
        <w:trPr>
          <w:tblHeader/>
        </w:trPr>
        <w:tc>
          <w:tcPr>
            <w:tcW w:w="1278" w:type="pct"/>
          </w:tcPr>
          <w:p w14:paraId="14963D24" w14:textId="77777777" w:rsidR="008C5104" w:rsidRPr="007E46C9" w:rsidRDefault="008C5104" w:rsidP="008C5104">
            <w:pPr>
              <w:spacing w:after="120"/>
              <w:rPr>
                <w:b/>
                <w:iCs/>
                <w:sz w:val="20"/>
              </w:rPr>
            </w:pPr>
            <w:r w:rsidRPr="007E46C9">
              <w:rPr>
                <w:b/>
                <w:iCs/>
                <w:sz w:val="20"/>
              </w:rPr>
              <w:t>Variable</w:t>
            </w:r>
          </w:p>
        </w:tc>
        <w:tc>
          <w:tcPr>
            <w:tcW w:w="376" w:type="pct"/>
          </w:tcPr>
          <w:p w14:paraId="62B44992" w14:textId="77777777" w:rsidR="008C5104" w:rsidRPr="007E46C9" w:rsidRDefault="008C5104" w:rsidP="008C5104">
            <w:pPr>
              <w:spacing w:after="120"/>
              <w:rPr>
                <w:b/>
                <w:iCs/>
                <w:sz w:val="20"/>
              </w:rPr>
            </w:pPr>
            <w:r w:rsidRPr="007E46C9">
              <w:rPr>
                <w:b/>
                <w:iCs/>
                <w:sz w:val="20"/>
              </w:rPr>
              <w:t>Unit</w:t>
            </w:r>
          </w:p>
        </w:tc>
        <w:tc>
          <w:tcPr>
            <w:tcW w:w="3346" w:type="pct"/>
          </w:tcPr>
          <w:p w14:paraId="397756CA" w14:textId="77777777" w:rsidR="008C5104" w:rsidRPr="007E46C9" w:rsidRDefault="008C5104" w:rsidP="008C5104">
            <w:pPr>
              <w:spacing w:after="120"/>
              <w:rPr>
                <w:b/>
                <w:iCs/>
                <w:sz w:val="20"/>
              </w:rPr>
            </w:pPr>
            <w:r w:rsidRPr="007E46C9">
              <w:rPr>
                <w:b/>
                <w:iCs/>
                <w:sz w:val="20"/>
              </w:rPr>
              <w:t>Description</w:t>
            </w:r>
          </w:p>
        </w:tc>
      </w:tr>
      <w:tr w:rsidR="008C5104" w:rsidRPr="007E46C9" w14:paraId="2963F2CB" w14:textId="77777777" w:rsidTr="008C5104">
        <w:tc>
          <w:tcPr>
            <w:tcW w:w="1278" w:type="pct"/>
          </w:tcPr>
          <w:p w14:paraId="41178192" w14:textId="77777777" w:rsidR="008C5104" w:rsidRPr="007E46C9" w:rsidRDefault="008C5104" w:rsidP="008C5104">
            <w:pPr>
              <w:spacing w:after="60"/>
              <w:rPr>
                <w:iCs/>
                <w:sz w:val="20"/>
              </w:rPr>
            </w:pPr>
            <w:r w:rsidRPr="007E46C9">
              <w:rPr>
                <w:iCs/>
                <w:sz w:val="20"/>
              </w:rPr>
              <w:t>RDCOSTTOT</w:t>
            </w:r>
          </w:p>
        </w:tc>
        <w:tc>
          <w:tcPr>
            <w:tcW w:w="376" w:type="pct"/>
          </w:tcPr>
          <w:p w14:paraId="3DD2A777" w14:textId="77777777" w:rsidR="008C5104" w:rsidRPr="007E46C9" w:rsidRDefault="008C5104" w:rsidP="008C5104">
            <w:pPr>
              <w:spacing w:after="60"/>
              <w:rPr>
                <w:iCs/>
                <w:sz w:val="20"/>
              </w:rPr>
            </w:pPr>
            <w:r w:rsidRPr="007E46C9">
              <w:rPr>
                <w:iCs/>
                <w:sz w:val="20"/>
              </w:rPr>
              <w:t>$</w:t>
            </w:r>
          </w:p>
        </w:tc>
        <w:tc>
          <w:tcPr>
            <w:tcW w:w="3346" w:type="pct"/>
          </w:tcPr>
          <w:p w14:paraId="556F4982" w14:textId="77777777" w:rsidR="008C5104" w:rsidRPr="007E46C9" w:rsidRDefault="008C5104" w:rsidP="008C5104">
            <w:pPr>
              <w:spacing w:after="60"/>
              <w:rPr>
                <w:iCs/>
                <w:sz w:val="20"/>
              </w:rPr>
            </w:pPr>
            <w:r w:rsidRPr="007E46C9">
              <w:rPr>
                <w:i/>
                <w:iCs/>
                <w:sz w:val="20"/>
              </w:rPr>
              <w:t>Reg-Down Cost Total</w:t>
            </w:r>
            <w:r w:rsidRPr="007E46C9">
              <w:rPr>
                <w:iCs/>
                <w:sz w:val="20"/>
              </w:rPr>
              <w:t>—The net total costs for Reg-Down</w:t>
            </w:r>
            <w:r w:rsidR="00EE4598" w:rsidRPr="007E46C9">
              <w:rPr>
                <w:iCs/>
                <w:sz w:val="20"/>
              </w:rPr>
              <w:t>,</w:t>
            </w:r>
            <w:r w:rsidRPr="007E46C9">
              <w:rPr>
                <w:iCs/>
                <w:sz w:val="20"/>
              </w:rPr>
              <w:t xml:space="preserve"> for the hour.</w:t>
            </w:r>
          </w:p>
        </w:tc>
      </w:tr>
      <w:tr w:rsidR="008C5104" w:rsidRPr="007E46C9" w14:paraId="058EAD38" w14:textId="77777777" w:rsidTr="008C5104">
        <w:tc>
          <w:tcPr>
            <w:tcW w:w="1278" w:type="pct"/>
            <w:tcBorders>
              <w:top w:val="single" w:sz="4" w:space="0" w:color="auto"/>
              <w:left w:val="single" w:sz="4" w:space="0" w:color="auto"/>
              <w:bottom w:val="single" w:sz="4" w:space="0" w:color="auto"/>
              <w:right w:val="single" w:sz="4" w:space="0" w:color="auto"/>
            </w:tcBorders>
          </w:tcPr>
          <w:p w14:paraId="7A66252B" w14:textId="77777777" w:rsidR="008C5104" w:rsidRPr="007E46C9" w:rsidRDefault="008C5104" w:rsidP="008C5104">
            <w:pPr>
              <w:spacing w:after="60"/>
              <w:rPr>
                <w:iCs/>
                <w:sz w:val="20"/>
              </w:rPr>
            </w:pPr>
            <w:r w:rsidRPr="007E46C9">
              <w:rPr>
                <w:iCs/>
                <w:sz w:val="20"/>
              </w:rPr>
              <w:t xml:space="preserve">RTPCRDAMTTOT </w:t>
            </w:r>
            <w:r w:rsidRPr="007E46C9">
              <w:rPr>
                <w:i/>
                <w:iCs/>
                <w:sz w:val="20"/>
                <w:vertAlign w:val="subscript"/>
              </w:rPr>
              <w:t>m</w:t>
            </w:r>
          </w:p>
        </w:tc>
        <w:tc>
          <w:tcPr>
            <w:tcW w:w="376" w:type="pct"/>
            <w:tcBorders>
              <w:top w:val="single" w:sz="4" w:space="0" w:color="auto"/>
              <w:left w:val="single" w:sz="4" w:space="0" w:color="auto"/>
              <w:bottom w:val="single" w:sz="4" w:space="0" w:color="auto"/>
              <w:right w:val="single" w:sz="4" w:space="0" w:color="auto"/>
            </w:tcBorders>
          </w:tcPr>
          <w:p w14:paraId="3BACD124"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6FE028EB" w14:textId="77777777" w:rsidR="008C5104" w:rsidRPr="007E46C9" w:rsidRDefault="008C5104" w:rsidP="008C5104">
            <w:pPr>
              <w:spacing w:after="60"/>
              <w:rPr>
                <w:i/>
                <w:iCs/>
                <w:sz w:val="20"/>
              </w:rPr>
            </w:pPr>
            <w:r w:rsidRPr="007E46C9">
              <w:rPr>
                <w:i/>
                <w:iCs/>
                <w:sz w:val="20"/>
              </w:rPr>
              <w:t>Procured Capacity for Reg-Down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Reg-Down, for the hour.</w:t>
            </w:r>
          </w:p>
        </w:tc>
      </w:tr>
      <w:tr w:rsidR="008C5104" w:rsidRPr="007E46C9" w14:paraId="4B7D5DB6" w14:textId="77777777" w:rsidTr="008C5104">
        <w:tc>
          <w:tcPr>
            <w:tcW w:w="1278" w:type="pct"/>
            <w:tcBorders>
              <w:top w:val="single" w:sz="4" w:space="0" w:color="auto"/>
              <w:left w:val="single" w:sz="4" w:space="0" w:color="auto"/>
              <w:bottom w:val="single" w:sz="4" w:space="0" w:color="auto"/>
              <w:right w:val="single" w:sz="4" w:space="0" w:color="auto"/>
            </w:tcBorders>
          </w:tcPr>
          <w:p w14:paraId="4D97FBE9" w14:textId="77777777" w:rsidR="008C5104" w:rsidRPr="007E46C9" w:rsidRDefault="008C5104" w:rsidP="008C5104">
            <w:pPr>
              <w:spacing w:after="60"/>
              <w:rPr>
                <w:iCs/>
                <w:sz w:val="20"/>
              </w:rPr>
            </w:pPr>
            <w:r w:rsidRPr="007E46C9">
              <w:rPr>
                <w:iCs/>
                <w:sz w:val="20"/>
              </w:rPr>
              <w:t xml:space="preserve">RTPCRDAMT </w:t>
            </w:r>
            <w:r w:rsidRPr="007E46C9">
              <w:rPr>
                <w:i/>
                <w:iCs/>
                <w:sz w:val="20"/>
                <w:vertAlign w:val="subscript"/>
              </w:rPr>
              <w:t>q,  m</w:t>
            </w:r>
          </w:p>
        </w:tc>
        <w:tc>
          <w:tcPr>
            <w:tcW w:w="376" w:type="pct"/>
            <w:tcBorders>
              <w:top w:val="single" w:sz="4" w:space="0" w:color="auto"/>
              <w:left w:val="single" w:sz="4" w:space="0" w:color="auto"/>
              <w:bottom w:val="single" w:sz="4" w:space="0" w:color="auto"/>
              <w:right w:val="single" w:sz="4" w:space="0" w:color="auto"/>
            </w:tcBorders>
          </w:tcPr>
          <w:p w14:paraId="5AA7E6D2"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764EE392" w14:textId="77777777" w:rsidR="008C5104" w:rsidRPr="007E46C9" w:rsidRDefault="008C5104" w:rsidP="008C5104">
            <w:pPr>
              <w:spacing w:after="60"/>
              <w:rPr>
                <w:i/>
                <w:iCs/>
                <w:sz w:val="20"/>
              </w:rPr>
            </w:pPr>
            <w:r w:rsidRPr="007E46C9">
              <w:rPr>
                <w:i/>
                <w:iCs/>
                <w:sz w:val="20"/>
              </w:rPr>
              <w:t>Procured Capacity for Reg-Down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Reg-Down, for the hour.</w:t>
            </w:r>
          </w:p>
        </w:tc>
      </w:tr>
      <w:tr w:rsidR="008C5104" w:rsidRPr="007E46C9" w14:paraId="0AC7B541" w14:textId="77777777" w:rsidTr="008C5104">
        <w:tc>
          <w:tcPr>
            <w:tcW w:w="1278" w:type="pct"/>
            <w:tcBorders>
              <w:top w:val="single" w:sz="4" w:space="0" w:color="auto"/>
              <w:left w:val="single" w:sz="4" w:space="0" w:color="auto"/>
              <w:bottom w:val="single" w:sz="4" w:space="0" w:color="auto"/>
              <w:right w:val="single" w:sz="4" w:space="0" w:color="auto"/>
            </w:tcBorders>
          </w:tcPr>
          <w:p w14:paraId="2380EAC2" w14:textId="77777777" w:rsidR="008C5104" w:rsidRPr="007E46C9" w:rsidRDefault="008C5104" w:rsidP="008C5104">
            <w:pPr>
              <w:spacing w:after="60"/>
              <w:rPr>
                <w:iCs/>
                <w:sz w:val="20"/>
              </w:rPr>
            </w:pPr>
            <w:r w:rsidRPr="007E46C9">
              <w:rPr>
                <w:iCs/>
                <w:sz w:val="20"/>
              </w:rPr>
              <w:t>RDFQAMTTOT</w:t>
            </w:r>
          </w:p>
        </w:tc>
        <w:tc>
          <w:tcPr>
            <w:tcW w:w="376" w:type="pct"/>
            <w:tcBorders>
              <w:top w:val="single" w:sz="4" w:space="0" w:color="auto"/>
              <w:left w:val="single" w:sz="4" w:space="0" w:color="auto"/>
              <w:bottom w:val="single" w:sz="4" w:space="0" w:color="auto"/>
              <w:right w:val="single" w:sz="4" w:space="0" w:color="auto"/>
            </w:tcBorders>
          </w:tcPr>
          <w:p w14:paraId="23BACD93"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506D439D" w14:textId="77777777" w:rsidR="008C5104" w:rsidRPr="007E46C9" w:rsidRDefault="008C5104" w:rsidP="008C5104">
            <w:pPr>
              <w:spacing w:after="60"/>
              <w:rPr>
                <w:i/>
                <w:iCs/>
                <w:sz w:val="20"/>
              </w:rPr>
            </w:pPr>
            <w:r w:rsidRPr="007E46C9">
              <w:rPr>
                <w:i/>
                <w:iCs/>
                <w:sz w:val="20"/>
              </w:rPr>
              <w:t>Reg-Down Failure Quantity Amount Total</w:t>
            </w:r>
            <w:r w:rsidRPr="007E46C9">
              <w:rPr>
                <w:iCs/>
                <w:sz w:val="20"/>
              </w:rPr>
              <w:t>—The total charges to all QSEs for their capacity associated with failures on their Ancillary Service Supply Responsibilities for Reg-Down, for the hour.</w:t>
            </w:r>
          </w:p>
        </w:tc>
      </w:tr>
      <w:tr w:rsidR="008C5104" w:rsidRPr="007E46C9" w14:paraId="4C5F1AA8" w14:textId="77777777" w:rsidTr="008C5104">
        <w:tc>
          <w:tcPr>
            <w:tcW w:w="1278" w:type="pct"/>
            <w:tcBorders>
              <w:top w:val="single" w:sz="4" w:space="0" w:color="auto"/>
              <w:left w:val="single" w:sz="4" w:space="0" w:color="auto"/>
              <w:bottom w:val="single" w:sz="4" w:space="0" w:color="auto"/>
              <w:right w:val="single" w:sz="4" w:space="0" w:color="auto"/>
            </w:tcBorders>
          </w:tcPr>
          <w:p w14:paraId="2A814293" w14:textId="77777777" w:rsidR="008C5104" w:rsidRPr="007E46C9" w:rsidRDefault="008C5104" w:rsidP="008C5104">
            <w:pPr>
              <w:spacing w:after="60"/>
              <w:rPr>
                <w:iCs/>
                <w:sz w:val="20"/>
              </w:rPr>
            </w:pPr>
            <w:r w:rsidRPr="007E46C9">
              <w:rPr>
                <w:iCs/>
                <w:sz w:val="20"/>
              </w:rPr>
              <w:t xml:space="preserve">RDFQAMTQSETOT </w:t>
            </w:r>
            <w:r w:rsidRPr="007E46C9">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3BE3D194"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DEBDBE1" w14:textId="77777777" w:rsidR="008C5104" w:rsidRPr="007E46C9" w:rsidRDefault="008C5104" w:rsidP="008C5104">
            <w:pPr>
              <w:spacing w:after="60"/>
              <w:rPr>
                <w:i/>
                <w:iCs/>
                <w:sz w:val="20"/>
              </w:rPr>
            </w:pPr>
            <w:r w:rsidRPr="007E46C9">
              <w:rPr>
                <w:i/>
                <w:iCs/>
                <w:sz w:val="20"/>
              </w:rPr>
              <w:t>Reg-Down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Reg-Down, for the hour.</w:t>
            </w:r>
          </w:p>
        </w:tc>
      </w:tr>
      <w:tr w:rsidR="008C5104" w:rsidRPr="007E46C9" w14:paraId="70FCBD1D" w14:textId="77777777" w:rsidTr="008C5104">
        <w:tc>
          <w:tcPr>
            <w:tcW w:w="1278" w:type="pct"/>
            <w:tcBorders>
              <w:top w:val="single" w:sz="4" w:space="0" w:color="auto"/>
              <w:left w:val="single" w:sz="4" w:space="0" w:color="auto"/>
              <w:bottom w:val="single" w:sz="4" w:space="0" w:color="auto"/>
              <w:right w:val="single" w:sz="4" w:space="0" w:color="auto"/>
            </w:tcBorders>
          </w:tcPr>
          <w:p w14:paraId="778E89A7" w14:textId="77777777" w:rsidR="008C5104" w:rsidRPr="007E46C9" w:rsidRDefault="008C5104" w:rsidP="008C5104">
            <w:pPr>
              <w:spacing w:after="60"/>
              <w:rPr>
                <w:iCs/>
                <w:sz w:val="20"/>
              </w:rPr>
            </w:pPr>
            <w:r w:rsidRPr="007E46C9">
              <w:rPr>
                <w:iCs/>
                <w:sz w:val="20"/>
              </w:rPr>
              <w:t xml:space="preserve">RTPCRDAMTQSETOT </w:t>
            </w:r>
            <w:r w:rsidRPr="007E46C9">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3243B7B7"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6AEBBE9F" w14:textId="77777777" w:rsidR="008C5104" w:rsidRPr="007E46C9" w:rsidRDefault="008C5104" w:rsidP="008C5104">
            <w:pPr>
              <w:spacing w:after="60"/>
              <w:rPr>
                <w:iCs/>
                <w:sz w:val="20"/>
              </w:rPr>
            </w:pPr>
            <w:r w:rsidRPr="007E46C9">
              <w:rPr>
                <w:i/>
                <w:iCs/>
                <w:sz w:val="20"/>
              </w:rPr>
              <w:t>Procured Capacity for Reg-Down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Reg-Down, for the hour.</w:t>
            </w:r>
          </w:p>
        </w:tc>
      </w:tr>
      <w:tr w:rsidR="008C5104" w:rsidRPr="007E46C9" w14:paraId="79CFC794" w14:textId="77777777" w:rsidTr="008C5104">
        <w:tc>
          <w:tcPr>
            <w:tcW w:w="1278" w:type="pct"/>
            <w:tcBorders>
              <w:top w:val="single" w:sz="4" w:space="0" w:color="auto"/>
              <w:left w:val="single" w:sz="4" w:space="0" w:color="auto"/>
              <w:bottom w:val="single" w:sz="4" w:space="0" w:color="auto"/>
              <w:right w:val="single" w:sz="4" w:space="0" w:color="auto"/>
            </w:tcBorders>
          </w:tcPr>
          <w:p w14:paraId="2AEFFC58" w14:textId="77777777" w:rsidR="008C5104" w:rsidRPr="007E46C9" w:rsidRDefault="008C5104" w:rsidP="008C5104">
            <w:pPr>
              <w:rPr>
                <w:b/>
                <w:sz w:val="20"/>
              </w:rPr>
            </w:pPr>
            <w:r w:rsidRPr="007E46C9">
              <w:rPr>
                <w:sz w:val="20"/>
              </w:rPr>
              <w:lastRenderedPageBreak/>
              <w:t xml:space="preserve">PCRDAMT </w:t>
            </w:r>
            <w:r w:rsidRPr="007E46C9">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53B08AB8" w14:textId="77777777" w:rsidR="008C5104" w:rsidRPr="007E46C9" w:rsidRDefault="008C5104" w:rsidP="008C5104">
            <w:pPr>
              <w:rPr>
                <w:b/>
                <w:sz w:val="20"/>
              </w:rPr>
            </w:pPr>
            <w:r w:rsidRPr="007E46C9">
              <w:rPr>
                <w:sz w:val="20"/>
              </w:rPr>
              <w:t>$</w:t>
            </w:r>
          </w:p>
        </w:tc>
        <w:tc>
          <w:tcPr>
            <w:tcW w:w="3346" w:type="pct"/>
            <w:tcBorders>
              <w:top w:val="single" w:sz="4" w:space="0" w:color="auto"/>
              <w:left w:val="single" w:sz="4" w:space="0" w:color="auto"/>
              <w:bottom w:val="single" w:sz="4" w:space="0" w:color="auto"/>
              <w:right w:val="single" w:sz="4" w:space="0" w:color="auto"/>
            </w:tcBorders>
          </w:tcPr>
          <w:p w14:paraId="36C68B03" w14:textId="77777777" w:rsidR="008C5104" w:rsidRPr="007E46C9" w:rsidRDefault="008C5104" w:rsidP="008C5104">
            <w:pPr>
              <w:rPr>
                <w:b/>
                <w:sz w:val="20"/>
              </w:rPr>
            </w:pPr>
            <w:r w:rsidRPr="007E46C9">
              <w:rPr>
                <w:i/>
                <w:sz w:val="20"/>
              </w:rPr>
              <w:t>Procured Capacity for Reg-Down Amount per QSE for DAM</w:t>
            </w:r>
            <w:r w:rsidRPr="007E46C9">
              <w:rPr>
                <w:sz w:val="20"/>
              </w:rPr>
              <w:t>—The DAM Reg-Down payment for QSE</w:t>
            </w:r>
            <w:r w:rsidRPr="007E46C9">
              <w:rPr>
                <w:i/>
                <w:sz w:val="20"/>
              </w:rPr>
              <w:t xml:space="preserve"> q</w:t>
            </w:r>
            <w:r w:rsidR="00EE4598" w:rsidRPr="007E46C9">
              <w:rPr>
                <w:iCs/>
                <w:sz w:val="20"/>
              </w:rPr>
              <w:t>,</w:t>
            </w:r>
            <w:r w:rsidRPr="007E46C9">
              <w:rPr>
                <w:sz w:val="20"/>
              </w:rPr>
              <w:t xml:space="preserve"> for the hour.</w:t>
            </w:r>
          </w:p>
        </w:tc>
      </w:tr>
      <w:tr w:rsidR="008C5104" w:rsidRPr="007E46C9" w14:paraId="7255C299" w14:textId="77777777" w:rsidTr="008C5104">
        <w:tc>
          <w:tcPr>
            <w:tcW w:w="1278" w:type="pct"/>
            <w:tcBorders>
              <w:top w:val="single" w:sz="4" w:space="0" w:color="auto"/>
              <w:left w:val="single" w:sz="4" w:space="0" w:color="auto"/>
              <w:bottom w:val="single" w:sz="4" w:space="0" w:color="auto"/>
              <w:right w:val="single" w:sz="4" w:space="0" w:color="auto"/>
            </w:tcBorders>
          </w:tcPr>
          <w:p w14:paraId="332882A3" w14:textId="77777777" w:rsidR="008C5104" w:rsidRPr="007E46C9" w:rsidRDefault="008C5104" w:rsidP="008C5104">
            <w:pPr>
              <w:rPr>
                <w:sz w:val="20"/>
              </w:rPr>
            </w:pPr>
            <w:r w:rsidRPr="007E46C9">
              <w:rPr>
                <w:sz w:val="20"/>
              </w:rPr>
              <w:t>PCRDAMTTOT</w:t>
            </w:r>
          </w:p>
        </w:tc>
        <w:tc>
          <w:tcPr>
            <w:tcW w:w="376" w:type="pct"/>
            <w:tcBorders>
              <w:top w:val="single" w:sz="4" w:space="0" w:color="auto"/>
              <w:left w:val="single" w:sz="4" w:space="0" w:color="auto"/>
              <w:bottom w:val="single" w:sz="4" w:space="0" w:color="auto"/>
              <w:right w:val="single" w:sz="4" w:space="0" w:color="auto"/>
            </w:tcBorders>
          </w:tcPr>
          <w:p w14:paraId="34286315" w14:textId="77777777" w:rsidR="008C5104" w:rsidRPr="007E46C9" w:rsidRDefault="008C5104" w:rsidP="008C5104">
            <w:pPr>
              <w:rPr>
                <w:sz w:val="20"/>
              </w:rPr>
            </w:pPr>
            <w:r w:rsidRPr="007E46C9">
              <w:rPr>
                <w:sz w:val="20"/>
              </w:rPr>
              <w:t>$</w:t>
            </w:r>
          </w:p>
        </w:tc>
        <w:tc>
          <w:tcPr>
            <w:tcW w:w="3346" w:type="pct"/>
            <w:tcBorders>
              <w:top w:val="single" w:sz="4" w:space="0" w:color="auto"/>
              <w:left w:val="single" w:sz="4" w:space="0" w:color="auto"/>
              <w:bottom w:val="single" w:sz="4" w:space="0" w:color="auto"/>
              <w:right w:val="single" w:sz="4" w:space="0" w:color="auto"/>
            </w:tcBorders>
          </w:tcPr>
          <w:p w14:paraId="0C6DFB7E" w14:textId="77777777" w:rsidR="008C5104" w:rsidRPr="007E46C9" w:rsidRDefault="008C5104" w:rsidP="008C5104">
            <w:pPr>
              <w:rPr>
                <w:sz w:val="20"/>
              </w:rPr>
            </w:pPr>
            <w:r w:rsidRPr="007E46C9">
              <w:rPr>
                <w:i/>
                <w:sz w:val="20"/>
              </w:rPr>
              <w:t>Procured Capacity for Reg-Down Amount Total in DAM</w:t>
            </w:r>
            <w:r w:rsidRPr="007E46C9">
              <w:rPr>
                <w:sz w:val="20"/>
              </w:rPr>
              <w:t>—The total of the DAM Reg-Down payments for all QSEs for the hour.</w:t>
            </w:r>
          </w:p>
        </w:tc>
      </w:tr>
      <w:tr w:rsidR="008C5104" w:rsidRPr="007E46C9" w14:paraId="107CC4D5" w14:textId="77777777" w:rsidTr="008C5104">
        <w:tc>
          <w:tcPr>
            <w:tcW w:w="1278" w:type="pct"/>
            <w:tcBorders>
              <w:top w:val="single" w:sz="4" w:space="0" w:color="auto"/>
              <w:left w:val="single" w:sz="4" w:space="0" w:color="auto"/>
              <w:bottom w:val="single" w:sz="4" w:space="0" w:color="auto"/>
              <w:right w:val="single" w:sz="4" w:space="0" w:color="auto"/>
            </w:tcBorders>
          </w:tcPr>
          <w:p w14:paraId="5F175FC4" w14:textId="77777777" w:rsidR="008C5104" w:rsidRPr="007E46C9" w:rsidRDefault="008C5104" w:rsidP="008C5104">
            <w:pPr>
              <w:spacing w:after="60"/>
              <w:rPr>
                <w:i/>
                <w:iCs/>
                <w:sz w:val="20"/>
              </w:rPr>
            </w:pPr>
            <w:r w:rsidRPr="00F662FF">
              <w:rPr>
                <w:sz w:val="20"/>
              </w:rPr>
              <w:t>RDINF</w:t>
            </w:r>
            <w:r w:rsidRPr="00736C3C">
              <w:rPr>
                <w:sz w:val="20"/>
              </w:rPr>
              <w:t>QAMTTOT</w:t>
            </w:r>
          </w:p>
        </w:tc>
        <w:tc>
          <w:tcPr>
            <w:tcW w:w="376" w:type="pct"/>
            <w:tcBorders>
              <w:top w:val="single" w:sz="4" w:space="0" w:color="auto"/>
              <w:left w:val="single" w:sz="4" w:space="0" w:color="auto"/>
              <w:bottom w:val="single" w:sz="4" w:space="0" w:color="auto"/>
              <w:right w:val="single" w:sz="4" w:space="0" w:color="auto"/>
            </w:tcBorders>
          </w:tcPr>
          <w:p w14:paraId="1EC1C988" w14:textId="77777777" w:rsidR="008C5104" w:rsidRPr="007E46C9" w:rsidRDefault="008C5104" w:rsidP="008C5104">
            <w:pPr>
              <w:spacing w:after="60"/>
              <w:rPr>
                <w:iCs/>
                <w:sz w:val="20"/>
              </w:rPr>
            </w:pPr>
            <w:r>
              <w:rPr>
                <w:sz w:val="20"/>
              </w:rPr>
              <w:t>$</w:t>
            </w:r>
          </w:p>
        </w:tc>
        <w:tc>
          <w:tcPr>
            <w:tcW w:w="3346" w:type="pct"/>
            <w:tcBorders>
              <w:top w:val="single" w:sz="4" w:space="0" w:color="auto"/>
              <w:left w:val="single" w:sz="4" w:space="0" w:color="auto"/>
              <w:bottom w:val="single" w:sz="4" w:space="0" w:color="auto"/>
              <w:right w:val="single" w:sz="4" w:space="0" w:color="auto"/>
            </w:tcBorders>
          </w:tcPr>
          <w:p w14:paraId="0B5D2C65" w14:textId="77777777" w:rsidR="008C5104" w:rsidRPr="007E46C9" w:rsidRDefault="008C5104" w:rsidP="008C5104">
            <w:pPr>
              <w:spacing w:after="60"/>
              <w:rPr>
                <w:iCs/>
                <w:sz w:val="20"/>
              </w:rPr>
            </w:pPr>
            <w:r>
              <w:rPr>
                <w:i/>
                <w:sz w:val="20"/>
              </w:rPr>
              <w:t>Reg-Down</w:t>
            </w:r>
            <w:r w:rsidRPr="002F2E4C">
              <w:rPr>
                <w:i/>
                <w:sz w:val="20"/>
              </w:rPr>
              <w:t xml:space="preserve"> Infeasible Quantity Amount </w:t>
            </w:r>
            <w:r>
              <w:rPr>
                <w:i/>
                <w:sz w:val="20"/>
              </w:rPr>
              <w:t xml:space="preserve">Total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Ancillary Service Supply Responsibilit</w:t>
            </w:r>
            <w:r>
              <w:rPr>
                <w:sz w:val="20"/>
              </w:rPr>
              <w:t>ies for Reg-Down</w:t>
            </w:r>
            <w:r w:rsidRPr="002F2E4C">
              <w:rPr>
                <w:sz w:val="20"/>
              </w:rPr>
              <w:t>, for the hour.</w:t>
            </w:r>
          </w:p>
        </w:tc>
      </w:tr>
      <w:tr w:rsidR="008C5104" w:rsidRPr="007E46C9" w14:paraId="15D57120" w14:textId="77777777" w:rsidTr="008C5104">
        <w:tc>
          <w:tcPr>
            <w:tcW w:w="1278" w:type="pct"/>
            <w:tcBorders>
              <w:top w:val="single" w:sz="4" w:space="0" w:color="auto"/>
              <w:left w:val="single" w:sz="4" w:space="0" w:color="auto"/>
              <w:bottom w:val="single" w:sz="4" w:space="0" w:color="auto"/>
              <w:right w:val="single" w:sz="4" w:space="0" w:color="auto"/>
            </w:tcBorders>
          </w:tcPr>
          <w:p w14:paraId="1D97E451" w14:textId="77777777" w:rsidR="008C5104" w:rsidRPr="007E46C9" w:rsidRDefault="008C5104" w:rsidP="008C5104">
            <w:pPr>
              <w:spacing w:after="60"/>
              <w:rPr>
                <w:i/>
                <w:iCs/>
                <w:sz w:val="20"/>
              </w:rPr>
            </w:pPr>
            <w:r w:rsidRPr="00736C3C">
              <w:rPr>
                <w:sz w:val="20"/>
              </w:rPr>
              <w:t>RDINFQAMT</w:t>
            </w:r>
            <w:r>
              <w:rPr>
                <w:sz w:val="20"/>
              </w:rPr>
              <w:t xml:space="preserve"> </w:t>
            </w:r>
            <w:r w:rsidRPr="00D66F53">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671EAF18" w14:textId="77777777" w:rsidR="008C5104" w:rsidRPr="007E46C9" w:rsidRDefault="008C5104" w:rsidP="008C5104">
            <w:pPr>
              <w:spacing w:after="60"/>
              <w:rPr>
                <w:iCs/>
                <w:sz w:val="20"/>
              </w:rPr>
            </w:pPr>
            <w:r>
              <w:rPr>
                <w:sz w:val="20"/>
              </w:rPr>
              <w:t>$</w:t>
            </w:r>
          </w:p>
        </w:tc>
        <w:tc>
          <w:tcPr>
            <w:tcW w:w="3346" w:type="pct"/>
            <w:tcBorders>
              <w:top w:val="single" w:sz="4" w:space="0" w:color="auto"/>
              <w:left w:val="single" w:sz="4" w:space="0" w:color="auto"/>
              <w:bottom w:val="single" w:sz="4" w:space="0" w:color="auto"/>
              <w:right w:val="single" w:sz="4" w:space="0" w:color="auto"/>
            </w:tcBorders>
          </w:tcPr>
          <w:p w14:paraId="1F302A5A" w14:textId="77777777" w:rsidR="008C5104" w:rsidRPr="007E46C9" w:rsidRDefault="008C5104" w:rsidP="008C5104">
            <w:pPr>
              <w:spacing w:after="60"/>
              <w:rPr>
                <w:iCs/>
                <w:sz w:val="20"/>
              </w:rPr>
            </w:pPr>
            <w:r w:rsidRPr="00736C3C">
              <w:rPr>
                <w:i/>
                <w:sz w:val="20"/>
              </w:rPr>
              <w:t>Reg-Down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 </w:t>
            </w:r>
            <w:r>
              <w:rPr>
                <w:sz w:val="20"/>
              </w:rPr>
              <w:t xml:space="preserve">its </w:t>
            </w:r>
            <w:r w:rsidRPr="00736C3C">
              <w:rPr>
                <w:sz w:val="20"/>
              </w:rPr>
              <w:t>Ancillary</w:t>
            </w:r>
            <w:r>
              <w:rPr>
                <w:sz w:val="20"/>
              </w:rPr>
              <w:t xml:space="preserve"> Service Supply Responsibilities</w:t>
            </w:r>
            <w:r w:rsidRPr="00736C3C">
              <w:rPr>
                <w:sz w:val="20"/>
              </w:rPr>
              <w:t xml:space="preserve"> for Reg-Down, for the hour.</w:t>
            </w:r>
          </w:p>
        </w:tc>
      </w:tr>
      <w:tr w:rsidR="008C5104" w:rsidRPr="007E46C9" w14:paraId="733A7173" w14:textId="77777777" w:rsidTr="008C5104">
        <w:tc>
          <w:tcPr>
            <w:tcW w:w="1278" w:type="pct"/>
            <w:tcBorders>
              <w:top w:val="single" w:sz="4" w:space="0" w:color="auto"/>
              <w:left w:val="single" w:sz="4" w:space="0" w:color="auto"/>
              <w:bottom w:val="single" w:sz="4" w:space="0" w:color="auto"/>
              <w:right w:val="single" w:sz="4" w:space="0" w:color="auto"/>
            </w:tcBorders>
          </w:tcPr>
          <w:p w14:paraId="38619578" w14:textId="77777777" w:rsidR="008C5104" w:rsidRPr="007E46C9" w:rsidRDefault="008C5104" w:rsidP="008C5104">
            <w:pPr>
              <w:spacing w:after="60"/>
              <w:rPr>
                <w:i/>
                <w:iCs/>
                <w:sz w:val="20"/>
              </w:rPr>
            </w:pPr>
            <w:r w:rsidRPr="007E46C9">
              <w:rPr>
                <w:i/>
                <w:iCs/>
                <w:sz w:val="20"/>
              </w:rPr>
              <w:t>q</w:t>
            </w:r>
          </w:p>
        </w:tc>
        <w:tc>
          <w:tcPr>
            <w:tcW w:w="376" w:type="pct"/>
            <w:tcBorders>
              <w:top w:val="single" w:sz="4" w:space="0" w:color="auto"/>
              <w:left w:val="single" w:sz="4" w:space="0" w:color="auto"/>
              <w:bottom w:val="single" w:sz="4" w:space="0" w:color="auto"/>
              <w:right w:val="single" w:sz="4" w:space="0" w:color="auto"/>
            </w:tcBorders>
          </w:tcPr>
          <w:p w14:paraId="12AFE2F4" w14:textId="77777777" w:rsidR="008C5104" w:rsidRPr="007E46C9" w:rsidRDefault="008C5104" w:rsidP="008C5104">
            <w:pPr>
              <w:spacing w:after="60"/>
              <w:rPr>
                <w:iCs/>
                <w:sz w:val="20"/>
              </w:rPr>
            </w:pPr>
            <w:r w:rsidRPr="007E46C9">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00A273A0" w14:textId="77777777" w:rsidR="008C5104" w:rsidRPr="007E46C9" w:rsidRDefault="008C5104" w:rsidP="008C5104">
            <w:pPr>
              <w:spacing w:after="60"/>
              <w:rPr>
                <w:iCs/>
                <w:sz w:val="20"/>
              </w:rPr>
            </w:pPr>
            <w:r w:rsidRPr="007E46C9">
              <w:rPr>
                <w:iCs/>
                <w:sz w:val="20"/>
              </w:rPr>
              <w:t>A QSE.</w:t>
            </w:r>
          </w:p>
        </w:tc>
      </w:tr>
      <w:tr w:rsidR="008C5104" w:rsidRPr="007E46C9" w14:paraId="482FD417" w14:textId="77777777" w:rsidTr="008C5104">
        <w:tc>
          <w:tcPr>
            <w:tcW w:w="1278" w:type="pct"/>
            <w:tcBorders>
              <w:top w:val="single" w:sz="4" w:space="0" w:color="auto"/>
              <w:left w:val="single" w:sz="4" w:space="0" w:color="auto"/>
              <w:bottom w:val="single" w:sz="4" w:space="0" w:color="auto"/>
              <w:right w:val="single" w:sz="4" w:space="0" w:color="auto"/>
            </w:tcBorders>
          </w:tcPr>
          <w:p w14:paraId="241F4F0D" w14:textId="77777777" w:rsidR="008C5104" w:rsidRPr="007E46C9" w:rsidRDefault="008C5104" w:rsidP="008C5104">
            <w:pPr>
              <w:spacing w:after="60"/>
              <w:rPr>
                <w:i/>
                <w:iCs/>
                <w:sz w:val="20"/>
              </w:rPr>
            </w:pPr>
            <w:r w:rsidRPr="007E46C9">
              <w:rPr>
                <w:i/>
                <w:iCs/>
                <w:sz w:val="20"/>
              </w:rPr>
              <w:t>m</w:t>
            </w:r>
          </w:p>
        </w:tc>
        <w:tc>
          <w:tcPr>
            <w:tcW w:w="376" w:type="pct"/>
            <w:tcBorders>
              <w:top w:val="single" w:sz="4" w:space="0" w:color="auto"/>
              <w:left w:val="single" w:sz="4" w:space="0" w:color="auto"/>
              <w:bottom w:val="single" w:sz="4" w:space="0" w:color="auto"/>
              <w:right w:val="single" w:sz="4" w:space="0" w:color="auto"/>
            </w:tcBorders>
          </w:tcPr>
          <w:p w14:paraId="602877EB" w14:textId="77777777" w:rsidR="008C5104" w:rsidRPr="007E46C9" w:rsidRDefault="008C5104" w:rsidP="008C5104">
            <w:pPr>
              <w:spacing w:after="60"/>
              <w:rPr>
                <w:iCs/>
                <w:sz w:val="20"/>
              </w:rPr>
            </w:pPr>
            <w:r w:rsidRPr="007E46C9">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0B8D562E"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6DE844BA"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A63DD" w14:paraId="2527A01E" w14:textId="77777777" w:rsidTr="002A7BFB">
        <w:trPr>
          <w:trHeight w:val="1547"/>
        </w:trPr>
        <w:tc>
          <w:tcPr>
            <w:tcW w:w="9576" w:type="dxa"/>
            <w:shd w:val="pct12" w:color="auto" w:fill="auto"/>
          </w:tcPr>
          <w:p w14:paraId="02A193A0" w14:textId="77777777" w:rsidR="006A63DD" w:rsidRDefault="006A63DD" w:rsidP="002A7BFB">
            <w:pPr>
              <w:pStyle w:val="Instructions"/>
              <w:spacing w:before="120"/>
            </w:pPr>
            <w:r>
              <w:t>[NPRR841:  Replace paragraph (a) above with the following upon system implementation:]</w:t>
            </w:r>
          </w:p>
          <w:p w14:paraId="0BA924F0" w14:textId="77777777" w:rsidR="00A74F89" w:rsidRPr="00E5030A" w:rsidRDefault="00A74F89" w:rsidP="00A74F89">
            <w:pPr>
              <w:spacing w:after="240"/>
              <w:ind w:left="1440" w:hanging="720"/>
            </w:pPr>
            <w:r w:rsidRPr="00E5030A">
              <w:t>(a)</w:t>
            </w:r>
            <w:r w:rsidRPr="00E5030A">
              <w:tab/>
              <w:t>The net total costs for Reg-Down for a given Operating Hour is calculated as follows:</w:t>
            </w:r>
          </w:p>
          <w:p w14:paraId="72FACD6C" w14:textId="01E2F144" w:rsidR="00A74F89" w:rsidRPr="00E5030A" w:rsidRDefault="00A74F89" w:rsidP="00A74F89">
            <w:pPr>
              <w:spacing w:after="120"/>
              <w:ind w:left="3600" w:hanging="2880"/>
              <w:rPr>
                <w:b/>
                <w:bCs/>
              </w:rPr>
            </w:pPr>
            <w:r w:rsidRPr="00E5030A">
              <w:rPr>
                <w:b/>
                <w:bCs/>
              </w:rPr>
              <w:t>RDCOSTTOT</w:t>
            </w:r>
            <w:r w:rsidRPr="00E5030A">
              <w:rPr>
                <w:b/>
                <w:bCs/>
              </w:rPr>
              <w:tab/>
              <w:t>=</w:t>
            </w:r>
            <w:r w:rsidRPr="00E5030A">
              <w:rPr>
                <w:b/>
                <w:bCs/>
              </w:rPr>
              <w:tab/>
              <w:t>(-1) * (</w:t>
            </w:r>
            <w:r w:rsidR="00A94020">
              <w:rPr>
                <w:b/>
                <w:bCs/>
                <w:noProof/>
                <w:position w:val="-20"/>
              </w:rPr>
              <w:drawing>
                <wp:inline distT="0" distB="0" distL="0" distR="0" wp14:anchorId="23981B75" wp14:editId="48EE87F7">
                  <wp:extent cx="142875" cy="2762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(RTPCRDAMTTOT </w:t>
            </w:r>
            <w:r w:rsidRPr="00E5030A">
              <w:rPr>
                <w:b/>
                <w:bCs/>
                <w:i/>
                <w:vertAlign w:val="subscript"/>
              </w:rPr>
              <w:t>m</w:t>
            </w:r>
            <w:r w:rsidRPr="00E5030A">
              <w:rPr>
                <w:b/>
                <w:bCs/>
              </w:rPr>
              <w:t xml:space="preserve">) + </w:t>
            </w:r>
            <w:r w:rsidRPr="00E5030A">
              <w:rPr>
                <w:b/>
                <w:bCs/>
              </w:rPr>
              <w:tab/>
              <w:t>PCRDAMTTOT + RDFQAMTTOT +</w:t>
            </w:r>
          </w:p>
          <w:p w14:paraId="1AA7AEF3" w14:textId="77777777" w:rsidR="00A74F89" w:rsidRPr="00E5030A" w:rsidRDefault="00A74F89" w:rsidP="00A74F89">
            <w:pPr>
              <w:spacing w:after="240"/>
              <w:ind w:left="3600" w:firstLine="720"/>
              <w:rPr>
                <w:b/>
                <w:bCs/>
              </w:rPr>
            </w:pPr>
            <w:r w:rsidRPr="00E5030A">
              <w:rPr>
                <w:b/>
                <w:bCs/>
              </w:rPr>
              <w:t>RDINFQAMTTOT</w:t>
            </w:r>
            <w:r>
              <w:rPr>
                <w:b/>
                <w:bCs/>
              </w:rPr>
              <w:t xml:space="preserve"> </w:t>
            </w:r>
            <w:r>
              <w:t xml:space="preserve">+ </w:t>
            </w:r>
            <w:r w:rsidRPr="00D04014">
              <w:rPr>
                <w:b/>
                <w:bCs/>
              </w:rPr>
              <w:t>RDMWINFATOT</w:t>
            </w:r>
            <w:r w:rsidRPr="00E5030A">
              <w:rPr>
                <w:b/>
                <w:bCs/>
              </w:rPr>
              <w:t>)</w:t>
            </w:r>
          </w:p>
          <w:p w14:paraId="2DEF5B3F" w14:textId="77777777" w:rsidR="00A74F89" w:rsidRPr="00E5030A" w:rsidRDefault="00A74F89" w:rsidP="00A74F89">
            <w:pPr>
              <w:spacing w:after="240"/>
              <w:rPr>
                <w:iCs/>
              </w:rPr>
            </w:pPr>
            <w:r w:rsidRPr="00E5030A">
              <w:rPr>
                <w:iCs/>
              </w:rPr>
              <w:t xml:space="preserve">Where: </w:t>
            </w:r>
          </w:p>
          <w:p w14:paraId="528C57DA" w14:textId="77777777" w:rsidR="00A74F89" w:rsidRPr="00E5030A" w:rsidRDefault="00A74F89" w:rsidP="00A74F89">
            <w:r w:rsidRPr="00E5030A">
              <w:t>Total payment of SASM- and RSASM-procured capacity for Reg-Down by market</w:t>
            </w:r>
          </w:p>
          <w:p w14:paraId="6D132979" w14:textId="28076B97" w:rsidR="00A74F89" w:rsidRPr="00E5030A" w:rsidRDefault="00A74F89" w:rsidP="00A74F89">
            <w:pPr>
              <w:spacing w:after="240"/>
              <w:ind w:leftChars="300" w:left="2880" w:hangingChars="900" w:hanging="2160"/>
              <w:rPr>
                <w:bCs/>
                <w:vertAlign w:val="subscript"/>
              </w:rPr>
            </w:pPr>
            <w:r w:rsidRPr="00E5030A">
              <w:rPr>
                <w:bCs/>
              </w:rPr>
              <w:t xml:space="preserve">RTPCRDAMTTOT </w:t>
            </w:r>
            <w:r w:rsidRPr="00E5030A">
              <w:rPr>
                <w:bCs/>
                <w:i/>
                <w:vertAlign w:val="subscript"/>
              </w:rPr>
              <w:t>m</w:t>
            </w:r>
            <w:r w:rsidRPr="00E5030A">
              <w:rPr>
                <w:bCs/>
              </w:rPr>
              <w:tab/>
            </w:r>
            <w:r w:rsidRPr="00E5030A">
              <w:rPr>
                <w:bCs/>
              </w:rPr>
              <w:tab/>
              <w:t>=</w:t>
            </w:r>
            <w:r w:rsidRPr="00E5030A">
              <w:rPr>
                <w:bCs/>
              </w:rPr>
              <w:tab/>
            </w:r>
            <w:r w:rsidR="00A94020">
              <w:rPr>
                <w:bCs/>
                <w:noProof/>
                <w:position w:val="-22"/>
              </w:rPr>
              <w:drawing>
                <wp:inline distT="0" distB="0" distL="0" distR="0" wp14:anchorId="1D620DC1" wp14:editId="4120F297">
                  <wp:extent cx="142875" cy="2952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RTPCRDAMT </w:t>
            </w:r>
            <w:r w:rsidRPr="00E5030A">
              <w:rPr>
                <w:bCs/>
                <w:i/>
                <w:vertAlign w:val="subscript"/>
              </w:rPr>
              <w:t xml:space="preserve">q, m </w:t>
            </w:r>
          </w:p>
          <w:p w14:paraId="132AFAA6" w14:textId="77777777" w:rsidR="00A74F89" w:rsidRPr="00E5030A" w:rsidRDefault="00A74F89" w:rsidP="00A74F89">
            <w:r w:rsidRPr="00E5030A">
              <w:t>Total payment of DAM-procured capacity for Reg-Down</w:t>
            </w:r>
          </w:p>
          <w:p w14:paraId="72DE7729" w14:textId="1FA350E3" w:rsidR="00A74F89" w:rsidRPr="00E5030A" w:rsidRDefault="00A74F89" w:rsidP="00A74F89">
            <w:pPr>
              <w:spacing w:after="240"/>
              <w:ind w:leftChars="300" w:left="2880" w:hangingChars="900" w:hanging="2160"/>
              <w:rPr>
                <w:bCs/>
              </w:rPr>
            </w:pPr>
            <w:r w:rsidRPr="00E5030A">
              <w:rPr>
                <w:bCs/>
              </w:rPr>
              <w:t>PCRDAMTTOT</w:t>
            </w:r>
            <w:r w:rsidRPr="00E5030A">
              <w:rPr>
                <w:bCs/>
                <w:i/>
                <w:vertAlign w:val="subscript"/>
              </w:rPr>
              <w:tab/>
            </w:r>
            <w:r w:rsidRPr="00E5030A">
              <w:rPr>
                <w:bCs/>
                <w:i/>
                <w:vertAlign w:val="subscript"/>
              </w:rPr>
              <w:tab/>
            </w:r>
            <w:r w:rsidRPr="00E5030A">
              <w:rPr>
                <w:bCs/>
              </w:rPr>
              <w:t>=</w:t>
            </w:r>
            <w:r w:rsidRPr="00E5030A">
              <w:rPr>
                <w:bCs/>
              </w:rPr>
              <w:tab/>
            </w:r>
            <w:r w:rsidRPr="00E5030A">
              <w:rPr>
                <w:bCs/>
                <w:i/>
                <w:vertAlign w:val="subscript"/>
              </w:rPr>
              <w:t xml:space="preserve"> </w:t>
            </w:r>
            <w:r w:rsidR="00A94020">
              <w:rPr>
                <w:bCs/>
                <w:noProof/>
                <w:position w:val="-22"/>
              </w:rPr>
              <w:drawing>
                <wp:inline distT="0" distB="0" distL="0" distR="0" wp14:anchorId="55B66C12" wp14:editId="0B3F8A24">
                  <wp:extent cx="142875" cy="2952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PCRDAMT </w:t>
            </w:r>
            <w:r w:rsidRPr="00E5030A">
              <w:rPr>
                <w:bCs/>
                <w:i/>
                <w:vertAlign w:val="subscript"/>
              </w:rPr>
              <w:t>q</w:t>
            </w:r>
          </w:p>
          <w:p w14:paraId="5B8E5D53" w14:textId="77777777" w:rsidR="00A74F89" w:rsidRPr="00E5030A" w:rsidRDefault="00A74F89" w:rsidP="00A74F89">
            <w:r w:rsidRPr="00E5030A">
              <w:t>Total charge of failure on Ancillary Service Supply Responsibility for Reg-Down</w:t>
            </w:r>
          </w:p>
          <w:p w14:paraId="7F9F15AF" w14:textId="5118EFDF" w:rsidR="00A74F89" w:rsidRPr="00E5030A" w:rsidRDefault="00A74F89" w:rsidP="00A74F89">
            <w:pPr>
              <w:spacing w:after="240"/>
              <w:ind w:leftChars="300" w:left="2880" w:hangingChars="900" w:hanging="2160"/>
              <w:rPr>
                <w:bCs/>
                <w:i/>
                <w:vertAlign w:val="subscript"/>
              </w:rPr>
            </w:pPr>
            <w:r w:rsidRPr="00E5030A">
              <w:rPr>
                <w:bCs/>
              </w:rPr>
              <w:t>RDFQAMTTOT</w:t>
            </w:r>
            <w:r w:rsidRPr="00E5030A">
              <w:rPr>
                <w:bCs/>
              </w:rPr>
              <w:tab/>
            </w:r>
            <w:r w:rsidRPr="00E5030A">
              <w:rPr>
                <w:bCs/>
              </w:rPr>
              <w:tab/>
              <w:t>=</w:t>
            </w:r>
            <w:r w:rsidRPr="00E5030A">
              <w:rPr>
                <w:bCs/>
              </w:rPr>
              <w:tab/>
            </w:r>
            <w:r w:rsidR="00A94020">
              <w:rPr>
                <w:bCs/>
                <w:noProof/>
                <w:position w:val="-22"/>
              </w:rPr>
              <w:drawing>
                <wp:inline distT="0" distB="0" distL="0" distR="0" wp14:anchorId="525CC8E7" wp14:editId="2E6E1B45">
                  <wp:extent cx="142875" cy="2952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RDFQAMTQSETOT </w:t>
            </w:r>
            <w:r w:rsidRPr="00E5030A">
              <w:rPr>
                <w:bCs/>
                <w:i/>
                <w:vertAlign w:val="subscript"/>
              </w:rPr>
              <w:t>q</w:t>
            </w:r>
          </w:p>
          <w:p w14:paraId="150FE74B" w14:textId="77777777" w:rsidR="00A74F89" w:rsidRPr="00E5030A" w:rsidRDefault="00A74F89" w:rsidP="00A74F89">
            <w:pPr>
              <w:tabs>
                <w:tab w:val="left" w:pos="2160"/>
                <w:tab w:val="left" w:pos="2880"/>
              </w:tabs>
              <w:ind w:left="300" w:hangingChars="125" w:hanging="300"/>
              <w:rPr>
                <w:bCs/>
              </w:rPr>
            </w:pPr>
            <w:r w:rsidRPr="00E5030A">
              <w:rPr>
                <w:bCs/>
              </w:rPr>
              <w:t>Total payment of SASM- and RSASM-procured capacity for Reg-Down by QSE</w:t>
            </w:r>
          </w:p>
          <w:p w14:paraId="1E28E085" w14:textId="09D1A9D9" w:rsidR="00A74F89" w:rsidRPr="00E5030A" w:rsidRDefault="00A74F89" w:rsidP="00A74F89">
            <w:pPr>
              <w:spacing w:after="240"/>
              <w:ind w:leftChars="300" w:left="2880" w:hangingChars="900" w:hanging="2160"/>
              <w:rPr>
                <w:bCs/>
                <w:i/>
                <w:vertAlign w:val="subscript"/>
              </w:rPr>
            </w:pPr>
            <w:r w:rsidRPr="00E5030A">
              <w:rPr>
                <w:bCs/>
              </w:rPr>
              <w:t xml:space="preserve">RTPCRDAMTQSETOT </w:t>
            </w:r>
            <w:r w:rsidRPr="00E5030A">
              <w:rPr>
                <w:bCs/>
                <w:i/>
                <w:vertAlign w:val="subscript"/>
              </w:rPr>
              <w:t>q</w:t>
            </w:r>
            <w:r w:rsidRPr="00E5030A">
              <w:rPr>
                <w:bCs/>
                <w:i/>
                <w:vertAlign w:val="subscript"/>
              </w:rPr>
              <w:tab/>
            </w:r>
            <w:r w:rsidRPr="00E5030A">
              <w:rPr>
                <w:bCs/>
              </w:rPr>
              <w:t>=</w:t>
            </w:r>
            <w:r w:rsidRPr="00E5030A">
              <w:rPr>
                <w:bCs/>
              </w:rPr>
              <w:tab/>
            </w:r>
            <w:r w:rsidR="00A94020">
              <w:rPr>
                <w:bCs/>
                <w:noProof/>
                <w:position w:val="-20"/>
              </w:rPr>
              <w:drawing>
                <wp:inline distT="0" distB="0" distL="0" distR="0" wp14:anchorId="4C942201" wp14:editId="0395184B">
                  <wp:extent cx="142875" cy="2762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RTPCRDAMT </w:t>
            </w:r>
            <w:r w:rsidRPr="00E5030A">
              <w:rPr>
                <w:bCs/>
                <w:i/>
                <w:vertAlign w:val="subscript"/>
              </w:rPr>
              <w:t>q, m</w:t>
            </w:r>
          </w:p>
          <w:p w14:paraId="213A119B" w14:textId="77777777" w:rsidR="00A74F89" w:rsidRPr="00E5030A" w:rsidRDefault="00A74F89" w:rsidP="00A74F89">
            <w:r w:rsidRPr="00E5030A">
              <w:t>Total charge of infeasible Ancillary Service Supply Responsibility for Reg-Down</w:t>
            </w:r>
          </w:p>
          <w:p w14:paraId="4BC21F21" w14:textId="3759A89E" w:rsidR="00A74F89" w:rsidRPr="00E5030A" w:rsidRDefault="00A74F89" w:rsidP="00A74F89">
            <w:pPr>
              <w:spacing w:after="240"/>
              <w:ind w:left="2880" w:hanging="2160"/>
            </w:pPr>
            <w:r w:rsidRPr="00E5030A">
              <w:t>RDINFQAMTTOT</w:t>
            </w:r>
            <w:r w:rsidRPr="00E5030A">
              <w:tab/>
              <w:t>=</w:t>
            </w:r>
            <w:r w:rsidRPr="00E5030A">
              <w:tab/>
            </w:r>
            <w:r w:rsidR="00A94020">
              <w:rPr>
                <w:noProof/>
                <w:position w:val="-22"/>
              </w:rPr>
              <w:drawing>
                <wp:inline distT="0" distB="0" distL="0" distR="0" wp14:anchorId="69E96344" wp14:editId="09B672AA">
                  <wp:extent cx="142875" cy="2952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RDINFQAMT </w:t>
            </w:r>
            <w:r w:rsidRPr="00E5030A">
              <w:rPr>
                <w:i/>
                <w:vertAlign w:val="subscript"/>
              </w:rPr>
              <w:t>q</w:t>
            </w:r>
            <w:r w:rsidRPr="00E5030A">
              <w:rPr>
                <w:vertAlign w:val="subscript"/>
              </w:rPr>
              <w:t xml:space="preserve"> </w:t>
            </w:r>
          </w:p>
          <w:p w14:paraId="71311B30" w14:textId="77777777" w:rsidR="00A74F89" w:rsidRDefault="00A74F89" w:rsidP="00065EC3">
            <w:pPr>
              <w:pStyle w:val="Formula"/>
              <w:ind w:leftChars="9" w:left="322" w:hangingChars="125" w:hanging="300"/>
            </w:pPr>
            <w:r>
              <w:t xml:space="preserve">Total Real-Time </w:t>
            </w:r>
            <w:r>
              <w:rPr>
                <w:iCs/>
              </w:rPr>
              <w:t>Day-Ahead</w:t>
            </w:r>
            <w:r>
              <w:t xml:space="preserve"> Make-Whole Payment for Reg-Down</w:t>
            </w:r>
          </w:p>
          <w:p w14:paraId="03ECF75A" w14:textId="77777777" w:rsidR="00A74F89" w:rsidRDefault="00A74F89" w:rsidP="00A74F89">
            <w:pPr>
              <w:spacing w:after="240"/>
              <w:ind w:left="2880" w:hanging="2160"/>
            </w:pPr>
            <w:r w:rsidRPr="00E5030A">
              <w:lastRenderedPageBreak/>
              <w:t>RDMWINFATOT</w:t>
            </w:r>
            <w:r>
              <w:tab/>
              <w:t>=</w:t>
            </w:r>
            <w:r>
              <w:tab/>
            </w:r>
            <w:r w:rsidRPr="004C0093">
              <w:rPr>
                <w:position w:val="-22"/>
                <w:lang w:val="pt-BR"/>
              </w:rPr>
              <w:object w:dxaOrig="220" w:dyaOrig="460" w14:anchorId="39921EEA">
                <v:shape id="_x0000_i1352" type="#_x0000_t75" style="width:12pt;height:18pt" o:ole="">
                  <v:imagedata r:id="rId435" o:title=""/>
                </v:shape>
                <o:OLEObject Type="Embed" ProgID="Equation.3" ShapeID="_x0000_i1352" DrawAspect="Content" ObjectID="_1815025540" r:id="rId439"/>
              </w:object>
            </w:r>
            <w:r w:rsidRPr="00627431">
              <w:rPr>
                <w:color w:val="000000"/>
              </w:rPr>
              <w:t xml:space="preserve"> </w:t>
            </w:r>
            <w:r>
              <w:rPr>
                <w:color w:val="000000"/>
              </w:rPr>
              <w:t>RDMWINFA</w:t>
            </w:r>
            <w:r w:rsidRPr="00806A30">
              <w:rPr>
                <w:i/>
                <w:vertAlign w:val="subscript"/>
              </w:rPr>
              <w:t xml:space="preserve"> </w:t>
            </w:r>
            <w:r>
              <w:rPr>
                <w:i/>
                <w:vertAlign w:val="subscript"/>
              </w:rPr>
              <w:t>q,</w:t>
            </w:r>
            <w:r w:rsidRPr="004C0093">
              <w:rPr>
                <w:i/>
                <w:vertAlign w:val="subscript"/>
              </w:rPr>
              <w:t xml:space="preserve"> h  </w:t>
            </w:r>
          </w:p>
          <w:p w14:paraId="34D9F55D" w14:textId="77777777" w:rsidR="00A74F89" w:rsidRPr="00E5030A" w:rsidRDefault="00A74F89" w:rsidP="00A74F89">
            <w:r w:rsidRPr="00E5030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85"/>
              <w:gridCol w:w="6096"/>
            </w:tblGrid>
            <w:tr w:rsidR="0091302C" w:rsidRPr="00E5030A" w14:paraId="14CE6BCE" w14:textId="77777777" w:rsidTr="002A7BFB">
              <w:trPr>
                <w:tblHeader/>
              </w:trPr>
              <w:tc>
                <w:tcPr>
                  <w:tcW w:w="1278" w:type="pct"/>
                </w:tcPr>
                <w:p w14:paraId="28A6B712" w14:textId="77777777" w:rsidR="0091302C" w:rsidRPr="00E5030A" w:rsidRDefault="0091302C" w:rsidP="0091302C">
                  <w:pPr>
                    <w:spacing w:after="120"/>
                    <w:rPr>
                      <w:b/>
                      <w:iCs/>
                      <w:sz w:val="20"/>
                    </w:rPr>
                  </w:pPr>
                  <w:r w:rsidRPr="00E5030A">
                    <w:rPr>
                      <w:b/>
                      <w:iCs/>
                      <w:sz w:val="20"/>
                    </w:rPr>
                    <w:t>Variable</w:t>
                  </w:r>
                </w:p>
              </w:tc>
              <w:tc>
                <w:tcPr>
                  <w:tcW w:w="376" w:type="pct"/>
                </w:tcPr>
                <w:p w14:paraId="1EC9EF8E" w14:textId="77777777" w:rsidR="0091302C" w:rsidRPr="00E5030A" w:rsidRDefault="0091302C" w:rsidP="0091302C">
                  <w:pPr>
                    <w:spacing w:after="120"/>
                    <w:rPr>
                      <w:b/>
                      <w:iCs/>
                      <w:sz w:val="20"/>
                    </w:rPr>
                  </w:pPr>
                  <w:r w:rsidRPr="00E5030A">
                    <w:rPr>
                      <w:b/>
                      <w:iCs/>
                      <w:sz w:val="20"/>
                    </w:rPr>
                    <w:t>Unit</w:t>
                  </w:r>
                </w:p>
              </w:tc>
              <w:tc>
                <w:tcPr>
                  <w:tcW w:w="3346" w:type="pct"/>
                </w:tcPr>
                <w:p w14:paraId="43F7CF09" w14:textId="77777777" w:rsidR="0091302C" w:rsidRPr="00E5030A" w:rsidRDefault="0091302C" w:rsidP="0091302C">
                  <w:pPr>
                    <w:spacing w:after="120"/>
                    <w:rPr>
                      <w:b/>
                      <w:iCs/>
                      <w:sz w:val="20"/>
                    </w:rPr>
                  </w:pPr>
                  <w:r w:rsidRPr="00E5030A">
                    <w:rPr>
                      <w:b/>
                      <w:iCs/>
                      <w:sz w:val="20"/>
                    </w:rPr>
                    <w:t>Description</w:t>
                  </w:r>
                </w:p>
              </w:tc>
            </w:tr>
            <w:tr w:rsidR="0091302C" w:rsidRPr="00E5030A" w14:paraId="112ADF9B" w14:textId="77777777" w:rsidTr="002A7BFB">
              <w:tc>
                <w:tcPr>
                  <w:tcW w:w="1278" w:type="pct"/>
                </w:tcPr>
                <w:p w14:paraId="4E0A8804" w14:textId="77777777" w:rsidR="0091302C" w:rsidRPr="00E5030A" w:rsidRDefault="0091302C" w:rsidP="0091302C">
                  <w:pPr>
                    <w:spacing w:after="60"/>
                    <w:rPr>
                      <w:iCs/>
                      <w:sz w:val="20"/>
                    </w:rPr>
                  </w:pPr>
                  <w:r w:rsidRPr="00E5030A">
                    <w:rPr>
                      <w:iCs/>
                      <w:sz w:val="20"/>
                    </w:rPr>
                    <w:t>RDCOSTTOT</w:t>
                  </w:r>
                </w:p>
              </w:tc>
              <w:tc>
                <w:tcPr>
                  <w:tcW w:w="376" w:type="pct"/>
                </w:tcPr>
                <w:p w14:paraId="0510D48D" w14:textId="77777777" w:rsidR="0091302C" w:rsidRPr="00E5030A" w:rsidRDefault="0091302C" w:rsidP="0091302C">
                  <w:pPr>
                    <w:spacing w:after="60"/>
                    <w:rPr>
                      <w:iCs/>
                      <w:sz w:val="20"/>
                    </w:rPr>
                  </w:pPr>
                  <w:r w:rsidRPr="00E5030A">
                    <w:rPr>
                      <w:iCs/>
                      <w:sz w:val="20"/>
                    </w:rPr>
                    <w:t>$</w:t>
                  </w:r>
                </w:p>
              </w:tc>
              <w:tc>
                <w:tcPr>
                  <w:tcW w:w="3346" w:type="pct"/>
                </w:tcPr>
                <w:p w14:paraId="71B6E98E" w14:textId="77777777" w:rsidR="0091302C" w:rsidRPr="00E5030A" w:rsidRDefault="0091302C" w:rsidP="0091302C">
                  <w:pPr>
                    <w:spacing w:after="60"/>
                    <w:rPr>
                      <w:iCs/>
                      <w:sz w:val="20"/>
                    </w:rPr>
                  </w:pPr>
                  <w:r w:rsidRPr="00E5030A">
                    <w:rPr>
                      <w:i/>
                      <w:iCs/>
                      <w:sz w:val="20"/>
                    </w:rPr>
                    <w:t>Reg-Down Cost Total</w:t>
                  </w:r>
                  <w:r w:rsidRPr="00E5030A">
                    <w:rPr>
                      <w:iCs/>
                      <w:sz w:val="20"/>
                    </w:rPr>
                    <w:t>—The net total costs for Reg-Down, for the hour.</w:t>
                  </w:r>
                </w:p>
              </w:tc>
            </w:tr>
            <w:tr w:rsidR="0091302C" w:rsidRPr="00E5030A" w14:paraId="4C9D24DF" w14:textId="77777777" w:rsidTr="002A7BFB">
              <w:tc>
                <w:tcPr>
                  <w:tcW w:w="1278" w:type="pct"/>
                  <w:tcBorders>
                    <w:top w:val="single" w:sz="4" w:space="0" w:color="auto"/>
                    <w:left w:val="single" w:sz="4" w:space="0" w:color="auto"/>
                    <w:bottom w:val="single" w:sz="4" w:space="0" w:color="auto"/>
                    <w:right w:val="single" w:sz="4" w:space="0" w:color="auto"/>
                  </w:tcBorders>
                </w:tcPr>
                <w:p w14:paraId="34D0E9E4" w14:textId="77777777" w:rsidR="0091302C" w:rsidRPr="00E5030A" w:rsidRDefault="0091302C" w:rsidP="0091302C">
                  <w:pPr>
                    <w:spacing w:after="60"/>
                    <w:rPr>
                      <w:iCs/>
                      <w:sz w:val="20"/>
                    </w:rPr>
                  </w:pPr>
                  <w:r w:rsidRPr="00E5030A">
                    <w:rPr>
                      <w:iCs/>
                      <w:sz w:val="20"/>
                    </w:rPr>
                    <w:t xml:space="preserve">RTPCRDAMTTOT </w:t>
                  </w:r>
                  <w:r w:rsidRPr="00E5030A">
                    <w:rPr>
                      <w:i/>
                      <w:iCs/>
                      <w:sz w:val="20"/>
                      <w:vertAlign w:val="subscript"/>
                    </w:rPr>
                    <w:t>m</w:t>
                  </w:r>
                </w:p>
              </w:tc>
              <w:tc>
                <w:tcPr>
                  <w:tcW w:w="376" w:type="pct"/>
                  <w:tcBorders>
                    <w:top w:val="single" w:sz="4" w:space="0" w:color="auto"/>
                    <w:left w:val="single" w:sz="4" w:space="0" w:color="auto"/>
                    <w:bottom w:val="single" w:sz="4" w:space="0" w:color="auto"/>
                    <w:right w:val="single" w:sz="4" w:space="0" w:color="auto"/>
                  </w:tcBorders>
                </w:tcPr>
                <w:p w14:paraId="4DA9AC97"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014EF1C1" w14:textId="77777777" w:rsidR="0091302C" w:rsidRPr="00E5030A" w:rsidRDefault="0091302C" w:rsidP="0091302C">
                  <w:pPr>
                    <w:spacing w:after="60"/>
                    <w:rPr>
                      <w:i/>
                      <w:iCs/>
                      <w:sz w:val="20"/>
                    </w:rPr>
                  </w:pPr>
                  <w:r w:rsidRPr="00E5030A">
                    <w:rPr>
                      <w:i/>
                      <w:iCs/>
                      <w:sz w:val="20"/>
                    </w:rPr>
                    <w:t>Procured Capacity for Reg-Down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Reg-Down, for the hour.</w:t>
                  </w:r>
                </w:p>
              </w:tc>
            </w:tr>
            <w:tr w:rsidR="0091302C" w:rsidRPr="00E5030A" w14:paraId="2D55193E" w14:textId="77777777" w:rsidTr="002A7BFB">
              <w:tc>
                <w:tcPr>
                  <w:tcW w:w="1278" w:type="pct"/>
                  <w:tcBorders>
                    <w:top w:val="single" w:sz="4" w:space="0" w:color="auto"/>
                    <w:left w:val="single" w:sz="4" w:space="0" w:color="auto"/>
                    <w:bottom w:val="single" w:sz="4" w:space="0" w:color="auto"/>
                    <w:right w:val="single" w:sz="4" w:space="0" w:color="auto"/>
                  </w:tcBorders>
                </w:tcPr>
                <w:p w14:paraId="439C5BD9" w14:textId="77777777" w:rsidR="0091302C" w:rsidRPr="00E5030A" w:rsidRDefault="0091302C" w:rsidP="0091302C">
                  <w:pPr>
                    <w:spacing w:after="60"/>
                    <w:rPr>
                      <w:iCs/>
                      <w:sz w:val="20"/>
                    </w:rPr>
                  </w:pPr>
                  <w:r w:rsidRPr="00E5030A">
                    <w:rPr>
                      <w:iCs/>
                      <w:sz w:val="20"/>
                    </w:rPr>
                    <w:t xml:space="preserve">RTPCRDAMT </w:t>
                  </w:r>
                  <w:r w:rsidRPr="00E5030A">
                    <w:rPr>
                      <w:i/>
                      <w:iCs/>
                      <w:sz w:val="20"/>
                      <w:vertAlign w:val="subscript"/>
                    </w:rPr>
                    <w:t>q,  m</w:t>
                  </w:r>
                </w:p>
              </w:tc>
              <w:tc>
                <w:tcPr>
                  <w:tcW w:w="376" w:type="pct"/>
                  <w:tcBorders>
                    <w:top w:val="single" w:sz="4" w:space="0" w:color="auto"/>
                    <w:left w:val="single" w:sz="4" w:space="0" w:color="auto"/>
                    <w:bottom w:val="single" w:sz="4" w:space="0" w:color="auto"/>
                    <w:right w:val="single" w:sz="4" w:space="0" w:color="auto"/>
                  </w:tcBorders>
                </w:tcPr>
                <w:p w14:paraId="607C7B28"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28D99E1" w14:textId="77777777" w:rsidR="0091302C" w:rsidRPr="00E5030A" w:rsidRDefault="0091302C" w:rsidP="0091302C">
                  <w:pPr>
                    <w:spacing w:after="60"/>
                    <w:rPr>
                      <w:i/>
                      <w:iCs/>
                      <w:sz w:val="20"/>
                    </w:rPr>
                  </w:pPr>
                  <w:r w:rsidRPr="00E5030A">
                    <w:rPr>
                      <w:i/>
                      <w:iCs/>
                      <w:sz w:val="20"/>
                    </w:rPr>
                    <w:t>Procured Capacity for Reg-Down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Reg-Down, for the hour.</w:t>
                  </w:r>
                </w:p>
              </w:tc>
            </w:tr>
            <w:tr w:rsidR="0091302C" w:rsidRPr="00E5030A" w14:paraId="460899D8" w14:textId="77777777" w:rsidTr="002A7BFB">
              <w:tc>
                <w:tcPr>
                  <w:tcW w:w="1278" w:type="pct"/>
                  <w:tcBorders>
                    <w:top w:val="single" w:sz="4" w:space="0" w:color="auto"/>
                    <w:left w:val="single" w:sz="4" w:space="0" w:color="auto"/>
                    <w:bottom w:val="single" w:sz="4" w:space="0" w:color="auto"/>
                    <w:right w:val="single" w:sz="4" w:space="0" w:color="auto"/>
                  </w:tcBorders>
                </w:tcPr>
                <w:p w14:paraId="34B62475" w14:textId="77777777" w:rsidR="0091302C" w:rsidRPr="00E5030A" w:rsidRDefault="0091302C" w:rsidP="0091302C">
                  <w:pPr>
                    <w:spacing w:after="60"/>
                    <w:rPr>
                      <w:iCs/>
                      <w:sz w:val="20"/>
                    </w:rPr>
                  </w:pPr>
                  <w:r w:rsidRPr="00E5030A">
                    <w:rPr>
                      <w:iCs/>
                      <w:sz w:val="20"/>
                    </w:rPr>
                    <w:t>RDFQAMTTOT</w:t>
                  </w:r>
                </w:p>
              </w:tc>
              <w:tc>
                <w:tcPr>
                  <w:tcW w:w="376" w:type="pct"/>
                  <w:tcBorders>
                    <w:top w:val="single" w:sz="4" w:space="0" w:color="auto"/>
                    <w:left w:val="single" w:sz="4" w:space="0" w:color="auto"/>
                    <w:bottom w:val="single" w:sz="4" w:space="0" w:color="auto"/>
                    <w:right w:val="single" w:sz="4" w:space="0" w:color="auto"/>
                  </w:tcBorders>
                </w:tcPr>
                <w:p w14:paraId="4AA17A8A"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FE6D866" w14:textId="77777777" w:rsidR="0091302C" w:rsidRPr="00E5030A" w:rsidRDefault="0091302C" w:rsidP="0091302C">
                  <w:pPr>
                    <w:spacing w:after="60"/>
                    <w:rPr>
                      <w:i/>
                      <w:iCs/>
                      <w:sz w:val="20"/>
                    </w:rPr>
                  </w:pPr>
                  <w:r w:rsidRPr="00E5030A">
                    <w:rPr>
                      <w:i/>
                      <w:iCs/>
                      <w:sz w:val="20"/>
                    </w:rPr>
                    <w:t>Reg-Down Failure Quantity Amount Total</w:t>
                  </w:r>
                  <w:r w:rsidRPr="00E5030A">
                    <w:rPr>
                      <w:iCs/>
                      <w:sz w:val="20"/>
                    </w:rPr>
                    <w:t>—The total charges to all QSEs for their capacity associated with failures on their Ancillary Service Supply Responsibilities for Reg-Down, for the hour.</w:t>
                  </w:r>
                </w:p>
              </w:tc>
            </w:tr>
            <w:tr w:rsidR="0091302C" w:rsidRPr="00E5030A" w14:paraId="2E011F7E" w14:textId="77777777" w:rsidTr="002A7BFB">
              <w:tc>
                <w:tcPr>
                  <w:tcW w:w="1278" w:type="pct"/>
                  <w:tcBorders>
                    <w:top w:val="single" w:sz="4" w:space="0" w:color="auto"/>
                    <w:left w:val="single" w:sz="4" w:space="0" w:color="auto"/>
                    <w:bottom w:val="single" w:sz="4" w:space="0" w:color="auto"/>
                    <w:right w:val="single" w:sz="4" w:space="0" w:color="auto"/>
                  </w:tcBorders>
                </w:tcPr>
                <w:p w14:paraId="5302D6AC" w14:textId="77777777" w:rsidR="0091302C" w:rsidRPr="00E5030A" w:rsidRDefault="0091302C" w:rsidP="0091302C">
                  <w:pPr>
                    <w:spacing w:after="60"/>
                    <w:rPr>
                      <w:iCs/>
                      <w:sz w:val="20"/>
                    </w:rPr>
                  </w:pPr>
                  <w:r w:rsidRPr="00D04014">
                    <w:rPr>
                      <w:iCs/>
                      <w:sz w:val="20"/>
                    </w:rPr>
                    <w:t>RDMWINFATOT</w:t>
                  </w:r>
                </w:p>
              </w:tc>
              <w:tc>
                <w:tcPr>
                  <w:tcW w:w="376" w:type="pct"/>
                  <w:tcBorders>
                    <w:top w:val="single" w:sz="4" w:space="0" w:color="auto"/>
                    <w:left w:val="single" w:sz="4" w:space="0" w:color="auto"/>
                    <w:bottom w:val="single" w:sz="4" w:space="0" w:color="auto"/>
                    <w:right w:val="single" w:sz="4" w:space="0" w:color="auto"/>
                  </w:tcBorders>
                </w:tcPr>
                <w:p w14:paraId="2EF27135" w14:textId="77777777" w:rsidR="0091302C" w:rsidRPr="00E5030A" w:rsidRDefault="0091302C" w:rsidP="0091302C">
                  <w:pPr>
                    <w:spacing w:after="60"/>
                    <w:rPr>
                      <w:iCs/>
                      <w:sz w:val="20"/>
                    </w:rPr>
                  </w:pPr>
                  <w:r>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5EDC73C" w14:textId="77777777" w:rsidR="0091302C" w:rsidRPr="00E5030A" w:rsidRDefault="0091302C" w:rsidP="0091302C">
                  <w:pPr>
                    <w:spacing w:after="60"/>
                    <w:rPr>
                      <w:i/>
                      <w:iCs/>
                      <w:sz w:val="20"/>
                    </w:rPr>
                  </w:pPr>
                  <w:r>
                    <w:rPr>
                      <w:i/>
                      <w:sz w:val="20"/>
                    </w:rPr>
                    <w:t>Reg-Down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Reg-Down,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p>
              </w:tc>
            </w:tr>
            <w:tr w:rsidR="0091302C" w:rsidRPr="00E5030A" w14:paraId="7BB0B524" w14:textId="77777777" w:rsidTr="002A7BFB">
              <w:tc>
                <w:tcPr>
                  <w:tcW w:w="1278" w:type="pct"/>
                  <w:tcBorders>
                    <w:top w:val="single" w:sz="4" w:space="0" w:color="auto"/>
                    <w:left w:val="single" w:sz="4" w:space="0" w:color="auto"/>
                    <w:bottom w:val="single" w:sz="4" w:space="0" w:color="auto"/>
                    <w:right w:val="single" w:sz="4" w:space="0" w:color="auto"/>
                  </w:tcBorders>
                </w:tcPr>
                <w:p w14:paraId="7C21DE51" w14:textId="77777777" w:rsidR="0091302C" w:rsidRPr="00E5030A" w:rsidRDefault="0091302C" w:rsidP="0091302C">
                  <w:pPr>
                    <w:spacing w:after="60"/>
                    <w:rPr>
                      <w:iCs/>
                      <w:sz w:val="20"/>
                    </w:rPr>
                  </w:pPr>
                  <w:r w:rsidRPr="003530E3">
                    <w:rPr>
                      <w:color w:val="000000"/>
                      <w:sz w:val="20"/>
                    </w:rPr>
                    <w:t>R</w:t>
                  </w:r>
                  <w:r>
                    <w:rPr>
                      <w:color w:val="000000"/>
                      <w:sz w:val="20"/>
                    </w:rPr>
                    <w:t>D</w:t>
                  </w:r>
                  <w:r w:rsidRPr="003530E3">
                    <w:rPr>
                      <w:color w:val="000000"/>
                      <w:sz w:val="20"/>
                    </w:rPr>
                    <w:t>MWINFA</w:t>
                  </w:r>
                  <w:r>
                    <w:rPr>
                      <w:color w:val="000000"/>
                      <w:sz w:val="20"/>
                    </w:rPr>
                    <w:t xml:space="preserve"> </w:t>
                  </w:r>
                  <w:r w:rsidRPr="004C0093">
                    <w:rPr>
                      <w:i/>
                      <w:sz w:val="20"/>
                      <w:vertAlign w:val="subscript"/>
                    </w:rPr>
                    <w:t>q</w:t>
                  </w:r>
                  <w:r>
                    <w:rPr>
                      <w:i/>
                      <w:sz w:val="20"/>
                      <w:vertAlign w:val="subscript"/>
                    </w:rPr>
                    <w:t>, h</w:t>
                  </w:r>
                </w:p>
              </w:tc>
              <w:tc>
                <w:tcPr>
                  <w:tcW w:w="376" w:type="pct"/>
                  <w:tcBorders>
                    <w:top w:val="single" w:sz="4" w:space="0" w:color="auto"/>
                    <w:left w:val="single" w:sz="4" w:space="0" w:color="auto"/>
                    <w:bottom w:val="single" w:sz="4" w:space="0" w:color="auto"/>
                    <w:right w:val="single" w:sz="4" w:space="0" w:color="auto"/>
                  </w:tcBorders>
                </w:tcPr>
                <w:p w14:paraId="3A5AB672" w14:textId="77777777" w:rsidR="0091302C" w:rsidRPr="00E5030A" w:rsidRDefault="0091302C" w:rsidP="0091302C">
                  <w:pPr>
                    <w:spacing w:after="60"/>
                    <w:rPr>
                      <w:iCs/>
                      <w:sz w:val="20"/>
                    </w:rPr>
                  </w:pPr>
                  <w:r>
                    <w:rPr>
                      <w:iCs/>
                      <w:sz w:val="20"/>
                    </w:rPr>
                    <w:t>$</w:t>
                  </w:r>
                </w:p>
              </w:tc>
              <w:tc>
                <w:tcPr>
                  <w:tcW w:w="3346" w:type="pct"/>
                  <w:tcBorders>
                    <w:top w:val="single" w:sz="4" w:space="0" w:color="auto"/>
                    <w:left w:val="single" w:sz="4" w:space="0" w:color="auto"/>
                    <w:bottom w:val="single" w:sz="4" w:space="0" w:color="auto"/>
                    <w:right w:val="single" w:sz="4" w:space="0" w:color="auto"/>
                  </w:tcBorders>
                </w:tcPr>
                <w:p w14:paraId="45161858" w14:textId="77777777" w:rsidR="0091302C" w:rsidRPr="00E5030A" w:rsidRDefault="0091302C" w:rsidP="00065EC3">
                  <w:pPr>
                    <w:spacing w:after="60"/>
                    <w:rPr>
                      <w:i/>
                      <w:iCs/>
                      <w:sz w:val="20"/>
                    </w:rPr>
                  </w:pPr>
                  <w:r>
                    <w:rPr>
                      <w:i/>
                      <w:sz w:val="20"/>
                    </w:rPr>
                    <w:t>Reg-Down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Reg-Down,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91302C" w:rsidRPr="00E5030A" w14:paraId="51150E39" w14:textId="77777777" w:rsidTr="002A7BFB">
              <w:tc>
                <w:tcPr>
                  <w:tcW w:w="1278" w:type="pct"/>
                  <w:tcBorders>
                    <w:top w:val="single" w:sz="4" w:space="0" w:color="auto"/>
                    <w:left w:val="single" w:sz="4" w:space="0" w:color="auto"/>
                    <w:bottom w:val="single" w:sz="4" w:space="0" w:color="auto"/>
                    <w:right w:val="single" w:sz="4" w:space="0" w:color="auto"/>
                  </w:tcBorders>
                </w:tcPr>
                <w:p w14:paraId="452229BA" w14:textId="77777777" w:rsidR="0091302C" w:rsidRPr="00E5030A" w:rsidRDefault="0091302C" w:rsidP="0091302C">
                  <w:pPr>
                    <w:spacing w:after="60"/>
                    <w:rPr>
                      <w:iCs/>
                      <w:sz w:val="20"/>
                    </w:rPr>
                  </w:pPr>
                  <w:r w:rsidRPr="00E5030A">
                    <w:rPr>
                      <w:iCs/>
                      <w:sz w:val="20"/>
                    </w:rPr>
                    <w:t xml:space="preserve">RDFQAMTQSETOT </w:t>
                  </w:r>
                  <w:r w:rsidRPr="00E5030A">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4AA7A3F4"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1C49AA40" w14:textId="77777777" w:rsidR="0091302C" w:rsidRPr="00E5030A" w:rsidRDefault="0091302C" w:rsidP="0091302C">
                  <w:pPr>
                    <w:spacing w:after="60"/>
                    <w:rPr>
                      <w:i/>
                      <w:iCs/>
                      <w:sz w:val="20"/>
                    </w:rPr>
                  </w:pPr>
                  <w:r w:rsidRPr="00E5030A">
                    <w:rPr>
                      <w:i/>
                      <w:iCs/>
                      <w:sz w:val="20"/>
                    </w:rPr>
                    <w:t>Reg-Down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Reg-Down, for the hour.</w:t>
                  </w:r>
                </w:p>
              </w:tc>
            </w:tr>
            <w:tr w:rsidR="0091302C" w:rsidRPr="00E5030A" w14:paraId="33735BEE" w14:textId="77777777" w:rsidTr="002A7BFB">
              <w:tc>
                <w:tcPr>
                  <w:tcW w:w="1278" w:type="pct"/>
                  <w:tcBorders>
                    <w:top w:val="single" w:sz="4" w:space="0" w:color="auto"/>
                    <w:left w:val="single" w:sz="4" w:space="0" w:color="auto"/>
                    <w:bottom w:val="single" w:sz="4" w:space="0" w:color="auto"/>
                    <w:right w:val="single" w:sz="4" w:space="0" w:color="auto"/>
                  </w:tcBorders>
                </w:tcPr>
                <w:p w14:paraId="2FCF8AA8" w14:textId="77777777" w:rsidR="0091302C" w:rsidRPr="00E5030A" w:rsidRDefault="0091302C" w:rsidP="0091302C">
                  <w:pPr>
                    <w:spacing w:after="60"/>
                    <w:rPr>
                      <w:iCs/>
                      <w:sz w:val="20"/>
                    </w:rPr>
                  </w:pPr>
                  <w:r w:rsidRPr="00E5030A">
                    <w:rPr>
                      <w:iCs/>
                      <w:sz w:val="20"/>
                    </w:rPr>
                    <w:t xml:space="preserve">RTPCRDAMTQSETOT </w:t>
                  </w:r>
                  <w:r w:rsidRPr="00E5030A">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480722BA"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54CC0F4A" w14:textId="77777777" w:rsidR="0091302C" w:rsidRPr="00E5030A" w:rsidRDefault="0091302C" w:rsidP="0091302C">
                  <w:pPr>
                    <w:spacing w:after="60"/>
                    <w:rPr>
                      <w:iCs/>
                      <w:sz w:val="20"/>
                    </w:rPr>
                  </w:pPr>
                  <w:r w:rsidRPr="00E5030A">
                    <w:rPr>
                      <w:i/>
                      <w:iCs/>
                      <w:sz w:val="20"/>
                    </w:rPr>
                    <w:t>Procured Capacity for Reg-Down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Reg-Down, for the hour.</w:t>
                  </w:r>
                </w:p>
              </w:tc>
            </w:tr>
            <w:tr w:rsidR="0091302C" w:rsidRPr="00E5030A" w14:paraId="08F3893B" w14:textId="77777777" w:rsidTr="002A7BFB">
              <w:tc>
                <w:tcPr>
                  <w:tcW w:w="1278" w:type="pct"/>
                  <w:tcBorders>
                    <w:top w:val="single" w:sz="4" w:space="0" w:color="auto"/>
                    <w:left w:val="single" w:sz="4" w:space="0" w:color="auto"/>
                    <w:bottom w:val="single" w:sz="4" w:space="0" w:color="auto"/>
                    <w:right w:val="single" w:sz="4" w:space="0" w:color="auto"/>
                  </w:tcBorders>
                </w:tcPr>
                <w:p w14:paraId="6B9A8F54" w14:textId="77777777" w:rsidR="0091302C" w:rsidRPr="00E5030A" w:rsidRDefault="0091302C" w:rsidP="0091302C">
                  <w:pPr>
                    <w:rPr>
                      <w:b/>
                      <w:sz w:val="20"/>
                    </w:rPr>
                  </w:pPr>
                  <w:r w:rsidRPr="00E5030A">
                    <w:rPr>
                      <w:sz w:val="20"/>
                    </w:rPr>
                    <w:t xml:space="preserve">PCRDAMT </w:t>
                  </w:r>
                  <w:r w:rsidRPr="00E5030A">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23796980" w14:textId="77777777" w:rsidR="0091302C" w:rsidRPr="00E5030A" w:rsidRDefault="0091302C" w:rsidP="0091302C">
                  <w:pPr>
                    <w:rPr>
                      <w:b/>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03D12134" w14:textId="77777777" w:rsidR="0091302C" w:rsidRPr="00E5030A" w:rsidRDefault="0091302C" w:rsidP="0091302C">
                  <w:pPr>
                    <w:rPr>
                      <w:b/>
                      <w:sz w:val="20"/>
                    </w:rPr>
                  </w:pPr>
                  <w:r w:rsidRPr="00E5030A">
                    <w:rPr>
                      <w:i/>
                      <w:sz w:val="20"/>
                    </w:rPr>
                    <w:t>Procured Capacity for Reg-Down Amount per QSE for DAM</w:t>
                  </w:r>
                  <w:r w:rsidRPr="00E5030A">
                    <w:rPr>
                      <w:sz w:val="20"/>
                    </w:rPr>
                    <w:t>—The DAM Reg-Down payment for QSE</w:t>
                  </w:r>
                  <w:r w:rsidRPr="00E5030A">
                    <w:rPr>
                      <w:i/>
                      <w:sz w:val="20"/>
                    </w:rPr>
                    <w:t xml:space="preserve"> q</w:t>
                  </w:r>
                  <w:r w:rsidRPr="00E5030A">
                    <w:rPr>
                      <w:iCs/>
                      <w:sz w:val="20"/>
                    </w:rPr>
                    <w:t>,</w:t>
                  </w:r>
                  <w:r w:rsidRPr="00E5030A">
                    <w:rPr>
                      <w:sz w:val="20"/>
                    </w:rPr>
                    <w:t xml:space="preserve"> for the hour.</w:t>
                  </w:r>
                </w:p>
              </w:tc>
            </w:tr>
            <w:tr w:rsidR="0091302C" w:rsidRPr="00E5030A" w14:paraId="1ABA92B6" w14:textId="77777777" w:rsidTr="002A7BFB">
              <w:tc>
                <w:tcPr>
                  <w:tcW w:w="1278" w:type="pct"/>
                  <w:tcBorders>
                    <w:top w:val="single" w:sz="4" w:space="0" w:color="auto"/>
                    <w:left w:val="single" w:sz="4" w:space="0" w:color="auto"/>
                    <w:bottom w:val="single" w:sz="4" w:space="0" w:color="auto"/>
                    <w:right w:val="single" w:sz="4" w:space="0" w:color="auto"/>
                  </w:tcBorders>
                </w:tcPr>
                <w:p w14:paraId="01E45EE6" w14:textId="77777777" w:rsidR="0091302C" w:rsidRPr="00E5030A" w:rsidRDefault="0091302C" w:rsidP="0091302C">
                  <w:pPr>
                    <w:rPr>
                      <w:sz w:val="20"/>
                    </w:rPr>
                  </w:pPr>
                  <w:r w:rsidRPr="00E5030A">
                    <w:rPr>
                      <w:sz w:val="20"/>
                    </w:rPr>
                    <w:t>PCRDAMTTOT</w:t>
                  </w:r>
                </w:p>
              </w:tc>
              <w:tc>
                <w:tcPr>
                  <w:tcW w:w="376" w:type="pct"/>
                  <w:tcBorders>
                    <w:top w:val="single" w:sz="4" w:space="0" w:color="auto"/>
                    <w:left w:val="single" w:sz="4" w:space="0" w:color="auto"/>
                    <w:bottom w:val="single" w:sz="4" w:space="0" w:color="auto"/>
                    <w:right w:val="single" w:sz="4" w:space="0" w:color="auto"/>
                  </w:tcBorders>
                </w:tcPr>
                <w:p w14:paraId="31195574" w14:textId="77777777" w:rsidR="0091302C" w:rsidRPr="00E5030A" w:rsidRDefault="0091302C" w:rsidP="0091302C">
                  <w:pPr>
                    <w:rPr>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33F009F4" w14:textId="77777777" w:rsidR="0091302C" w:rsidRPr="00E5030A" w:rsidRDefault="0091302C" w:rsidP="0091302C">
                  <w:pPr>
                    <w:rPr>
                      <w:sz w:val="20"/>
                    </w:rPr>
                  </w:pPr>
                  <w:r w:rsidRPr="00E5030A">
                    <w:rPr>
                      <w:i/>
                      <w:sz w:val="20"/>
                    </w:rPr>
                    <w:t>Procured Capacity for Reg-Down Amount Total in DAM</w:t>
                  </w:r>
                  <w:r w:rsidRPr="00E5030A">
                    <w:rPr>
                      <w:sz w:val="20"/>
                    </w:rPr>
                    <w:t>—The total of the DAM Reg-Down payments for all QSEs for the hour.</w:t>
                  </w:r>
                </w:p>
              </w:tc>
            </w:tr>
            <w:tr w:rsidR="0091302C" w:rsidRPr="00E5030A" w14:paraId="52F5186C" w14:textId="77777777" w:rsidTr="002A7BFB">
              <w:tc>
                <w:tcPr>
                  <w:tcW w:w="1278" w:type="pct"/>
                  <w:tcBorders>
                    <w:top w:val="single" w:sz="4" w:space="0" w:color="auto"/>
                    <w:left w:val="single" w:sz="4" w:space="0" w:color="auto"/>
                    <w:bottom w:val="single" w:sz="4" w:space="0" w:color="auto"/>
                    <w:right w:val="single" w:sz="4" w:space="0" w:color="auto"/>
                  </w:tcBorders>
                </w:tcPr>
                <w:p w14:paraId="029B0505" w14:textId="77777777" w:rsidR="0091302C" w:rsidRPr="00E5030A" w:rsidRDefault="0091302C" w:rsidP="0091302C">
                  <w:pPr>
                    <w:spacing w:after="60"/>
                    <w:rPr>
                      <w:i/>
                      <w:iCs/>
                      <w:sz w:val="20"/>
                    </w:rPr>
                  </w:pPr>
                  <w:r w:rsidRPr="00E5030A">
                    <w:rPr>
                      <w:sz w:val="20"/>
                    </w:rPr>
                    <w:t>RDINFQAMTTOT</w:t>
                  </w:r>
                </w:p>
              </w:tc>
              <w:tc>
                <w:tcPr>
                  <w:tcW w:w="376" w:type="pct"/>
                  <w:tcBorders>
                    <w:top w:val="single" w:sz="4" w:space="0" w:color="auto"/>
                    <w:left w:val="single" w:sz="4" w:space="0" w:color="auto"/>
                    <w:bottom w:val="single" w:sz="4" w:space="0" w:color="auto"/>
                    <w:right w:val="single" w:sz="4" w:space="0" w:color="auto"/>
                  </w:tcBorders>
                </w:tcPr>
                <w:p w14:paraId="101C4D70" w14:textId="77777777" w:rsidR="0091302C" w:rsidRPr="00E5030A" w:rsidRDefault="0091302C" w:rsidP="0091302C">
                  <w:pPr>
                    <w:spacing w:after="60"/>
                    <w:rPr>
                      <w:iCs/>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28D37325" w14:textId="77777777" w:rsidR="0091302C" w:rsidRPr="00E5030A" w:rsidRDefault="0091302C" w:rsidP="0091302C">
                  <w:pPr>
                    <w:spacing w:after="60"/>
                    <w:rPr>
                      <w:iCs/>
                      <w:sz w:val="20"/>
                    </w:rPr>
                  </w:pPr>
                  <w:r w:rsidRPr="00E5030A">
                    <w:rPr>
                      <w:i/>
                      <w:sz w:val="20"/>
                    </w:rPr>
                    <w:t xml:space="preserve">Reg-Down Infeasible Quantity Amount Total </w:t>
                  </w:r>
                  <w:r w:rsidRPr="00E5030A">
                    <w:rPr>
                      <w:sz w:val="20"/>
                    </w:rPr>
                    <w:t>— The charge to all QSEs for their total capacity associated with infeasible deployment of Ancillary Service Supply Responsibilities for Reg-Down, for the hour.</w:t>
                  </w:r>
                </w:p>
              </w:tc>
            </w:tr>
            <w:tr w:rsidR="0091302C" w:rsidRPr="00E5030A" w14:paraId="0FCF7CB3" w14:textId="77777777" w:rsidTr="002A7BFB">
              <w:tc>
                <w:tcPr>
                  <w:tcW w:w="1278" w:type="pct"/>
                  <w:tcBorders>
                    <w:top w:val="single" w:sz="4" w:space="0" w:color="auto"/>
                    <w:left w:val="single" w:sz="4" w:space="0" w:color="auto"/>
                    <w:bottom w:val="single" w:sz="4" w:space="0" w:color="auto"/>
                    <w:right w:val="single" w:sz="4" w:space="0" w:color="auto"/>
                  </w:tcBorders>
                </w:tcPr>
                <w:p w14:paraId="1FB6DA1A" w14:textId="77777777" w:rsidR="0091302C" w:rsidRPr="00E5030A" w:rsidRDefault="0091302C" w:rsidP="0091302C">
                  <w:pPr>
                    <w:spacing w:after="60"/>
                    <w:rPr>
                      <w:i/>
                      <w:iCs/>
                      <w:sz w:val="20"/>
                    </w:rPr>
                  </w:pPr>
                  <w:r w:rsidRPr="00E5030A">
                    <w:rPr>
                      <w:sz w:val="20"/>
                    </w:rPr>
                    <w:t xml:space="preserve">RDINFQAMT </w:t>
                  </w:r>
                  <w:r w:rsidRPr="00E5030A">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44D9DC61" w14:textId="77777777" w:rsidR="0091302C" w:rsidRPr="00E5030A" w:rsidRDefault="0091302C" w:rsidP="0091302C">
                  <w:pPr>
                    <w:spacing w:after="60"/>
                    <w:rPr>
                      <w:iCs/>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74E85345" w14:textId="77777777" w:rsidR="0091302C" w:rsidRPr="00E5030A" w:rsidRDefault="0091302C" w:rsidP="0091302C">
                  <w:pPr>
                    <w:spacing w:after="60"/>
                    <w:rPr>
                      <w:iCs/>
                      <w:sz w:val="20"/>
                    </w:rPr>
                  </w:pPr>
                  <w:r w:rsidRPr="00E5030A">
                    <w:rPr>
                      <w:i/>
                      <w:sz w:val="20"/>
                    </w:rPr>
                    <w:t>Reg-Down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its Ancillary Service Supply Responsibilities for Reg-Down, for the hour.</w:t>
                  </w:r>
                </w:p>
              </w:tc>
            </w:tr>
            <w:tr w:rsidR="0091302C" w:rsidRPr="00E5030A" w14:paraId="630F1DC2" w14:textId="77777777" w:rsidTr="002A7BFB">
              <w:tc>
                <w:tcPr>
                  <w:tcW w:w="1278" w:type="pct"/>
                  <w:tcBorders>
                    <w:top w:val="single" w:sz="4" w:space="0" w:color="auto"/>
                    <w:left w:val="single" w:sz="4" w:space="0" w:color="auto"/>
                    <w:bottom w:val="single" w:sz="4" w:space="0" w:color="auto"/>
                    <w:right w:val="single" w:sz="4" w:space="0" w:color="auto"/>
                  </w:tcBorders>
                </w:tcPr>
                <w:p w14:paraId="25EF919B" w14:textId="77777777" w:rsidR="0091302C" w:rsidRPr="00E5030A" w:rsidRDefault="0091302C" w:rsidP="0091302C">
                  <w:pPr>
                    <w:spacing w:after="60"/>
                    <w:rPr>
                      <w:i/>
                      <w:iCs/>
                      <w:sz w:val="20"/>
                    </w:rPr>
                  </w:pPr>
                  <w:r w:rsidRPr="00E5030A">
                    <w:rPr>
                      <w:i/>
                      <w:iCs/>
                      <w:sz w:val="20"/>
                    </w:rPr>
                    <w:t>q</w:t>
                  </w:r>
                </w:p>
              </w:tc>
              <w:tc>
                <w:tcPr>
                  <w:tcW w:w="376" w:type="pct"/>
                  <w:tcBorders>
                    <w:top w:val="single" w:sz="4" w:space="0" w:color="auto"/>
                    <w:left w:val="single" w:sz="4" w:space="0" w:color="auto"/>
                    <w:bottom w:val="single" w:sz="4" w:space="0" w:color="auto"/>
                    <w:right w:val="single" w:sz="4" w:space="0" w:color="auto"/>
                  </w:tcBorders>
                </w:tcPr>
                <w:p w14:paraId="72B1B216" w14:textId="77777777" w:rsidR="0091302C" w:rsidRPr="00E5030A" w:rsidRDefault="0091302C" w:rsidP="0091302C">
                  <w:pPr>
                    <w:spacing w:after="60"/>
                    <w:rPr>
                      <w:iCs/>
                      <w:sz w:val="20"/>
                    </w:rPr>
                  </w:pPr>
                  <w:r w:rsidRPr="00E5030A">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2609DA79" w14:textId="77777777" w:rsidR="0091302C" w:rsidRPr="00E5030A" w:rsidRDefault="0091302C" w:rsidP="0091302C">
                  <w:pPr>
                    <w:spacing w:after="60"/>
                    <w:rPr>
                      <w:iCs/>
                      <w:sz w:val="20"/>
                    </w:rPr>
                  </w:pPr>
                  <w:r w:rsidRPr="00E5030A">
                    <w:rPr>
                      <w:iCs/>
                      <w:sz w:val="20"/>
                    </w:rPr>
                    <w:t>A QSE.</w:t>
                  </w:r>
                </w:p>
              </w:tc>
            </w:tr>
            <w:tr w:rsidR="0091302C" w:rsidRPr="00E5030A" w14:paraId="5031BD47" w14:textId="77777777" w:rsidTr="002A7BFB">
              <w:tc>
                <w:tcPr>
                  <w:tcW w:w="1278" w:type="pct"/>
                  <w:tcBorders>
                    <w:top w:val="single" w:sz="4" w:space="0" w:color="auto"/>
                    <w:left w:val="single" w:sz="4" w:space="0" w:color="auto"/>
                    <w:bottom w:val="single" w:sz="4" w:space="0" w:color="auto"/>
                    <w:right w:val="single" w:sz="4" w:space="0" w:color="auto"/>
                  </w:tcBorders>
                </w:tcPr>
                <w:p w14:paraId="55F59875" w14:textId="77777777" w:rsidR="0091302C" w:rsidRPr="00E5030A" w:rsidRDefault="0091302C" w:rsidP="0091302C">
                  <w:pPr>
                    <w:spacing w:after="60"/>
                    <w:rPr>
                      <w:i/>
                      <w:iCs/>
                      <w:sz w:val="20"/>
                    </w:rPr>
                  </w:pPr>
                  <w:r w:rsidRPr="00E5030A">
                    <w:rPr>
                      <w:i/>
                      <w:iCs/>
                      <w:sz w:val="20"/>
                    </w:rPr>
                    <w:t>m</w:t>
                  </w:r>
                </w:p>
              </w:tc>
              <w:tc>
                <w:tcPr>
                  <w:tcW w:w="376" w:type="pct"/>
                  <w:tcBorders>
                    <w:top w:val="single" w:sz="4" w:space="0" w:color="auto"/>
                    <w:left w:val="single" w:sz="4" w:space="0" w:color="auto"/>
                    <w:bottom w:val="single" w:sz="4" w:space="0" w:color="auto"/>
                    <w:right w:val="single" w:sz="4" w:space="0" w:color="auto"/>
                  </w:tcBorders>
                </w:tcPr>
                <w:p w14:paraId="49E69972" w14:textId="77777777" w:rsidR="0091302C" w:rsidRPr="00E5030A" w:rsidRDefault="0091302C" w:rsidP="0091302C">
                  <w:pPr>
                    <w:spacing w:after="60"/>
                    <w:rPr>
                      <w:iCs/>
                      <w:sz w:val="20"/>
                    </w:rPr>
                  </w:pPr>
                  <w:r w:rsidRPr="00E5030A">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2E997532" w14:textId="77777777" w:rsidR="0091302C" w:rsidRPr="00E5030A" w:rsidRDefault="0091302C" w:rsidP="0091302C">
                  <w:pPr>
                    <w:spacing w:after="60"/>
                    <w:rPr>
                      <w:iCs/>
                      <w:sz w:val="20"/>
                    </w:rPr>
                  </w:pPr>
                  <w:r w:rsidRPr="00E5030A">
                    <w:rPr>
                      <w:iCs/>
                      <w:sz w:val="20"/>
                    </w:rPr>
                    <w:t>An Ancillary Service market (SASM or RSASM) for the given Operating Hour.</w:t>
                  </w:r>
                </w:p>
              </w:tc>
            </w:tr>
          </w:tbl>
          <w:p w14:paraId="1F373CE3" w14:textId="77777777" w:rsidR="006A63DD" w:rsidRPr="006C5A42" w:rsidRDefault="006A63DD" w:rsidP="006A63DD">
            <w:pPr>
              <w:spacing w:after="240"/>
            </w:pPr>
          </w:p>
        </w:tc>
      </w:tr>
    </w:tbl>
    <w:p w14:paraId="7C365598" w14:textId="77777777" w:rsidR="008C5104" w:rsidRPr="007E46C9" w:rsidRDefault="008C5104" w:rsidP="008A4924">
      <w:pPr>
        <w:spacing w:before="240" w:after="240"/>
        <w:ind w:left="1440" w:hanging="720"/>
      </w:pPr>
      <w:r w:rsidRPr="007E46C9">
        <w:lastRenderedPageBreak/>
        <w:t>(b)</w:t>
      </w:r>
      <w:r w:rsidRPr="007E46C9">
        <w:tab/>
        <w:t>Each QSE’s share of the net total costs for Reg-Down for the Operating Hour is calculated as follows:</w:t>
      </w:r>
    </w:p>
    <w:p w14:paraId="4B7E98FC" w14:textId="77777777" w:rsidR="008C5104" w:rsidRPr="007E46C9" w:rsidRDefault="008C5104" w:rsidP="008C5104">
      <w:pPr>
        <w:spacing w:after="240"/>
        <w:ind w:left="2880" w:hanging="2160"/>
        <w:rPr>
          <w:b/>
          <w:bCs/>
        </w:rPr>
      </w:pPr>
      <w:r w:rsidRPr="007E46C9">
        <w:rPr>
          <w:b/>
          <w:bCs/>
        </w:rPr>
        <w:t xml:space="preserve">RDCOST </w:t>
      </w:r>
      <w:r w:rsidRPr="007E46C9">
        <w:rPr>
          <w:b/>
          <w:bCs/>
          <w:i/>
          <w:vertAlign w:val="subscript"/>
        </w:rPr>
        <w:t>q</w:t>
      </w:r>
      <w:r w:rsidRPr="007E46C9">
        <w:rPr>
          <w:b/>
          <w:bCs/>
          <w:i/>
          <w:vertAlign w:val="subscript"/>
        </w:rPr>
        <w:tab/>
      </w:r>
      <w:r w:rsidRPr="007E46C9">
        <w:rPr>
          <w:b/>
          <w:bCs/>
        </w:rPr>
        <w:t>=</w:t>
      </w:r>
      <w:r w:rsidRPr="007E46C9">
        <w:rPr>
          <w:b/>
          <w:bCs/>
        </w:rPr>
        <w:tab/>
        <w:t xml:space="preserve">RDPR * RDQ </w:t>
      </w:r>
      <w:r w:rsidRPr="007E46C9">
        <w:rPr>
          <w:b/>
          <w:bCs/>
          <w:i/>
          <w:vertAlign w:val="subscript"/>
        </w:rPr>
        <w:t>q</w:t>
      </w:r>
    </w:p>
    <w:p w14:paraId="52BFE39F" w14:textId="77777777" w:rsidR="008C5104" w:rsidRPr="007E46C9" w:rsidRDefault="008C5104" w:rsidP="008C5104">
      <w:pPr>
        <w:spacing w:after="240"/>
        <w:rPr>
          <w:iCs/>
        </w:rPr>
      </w:pPr>
      <w:r w:rsidRPr="007E46C9">
        <w:rPr>
          <w:iCs/>
        </w:rPr>
        <w:t>Where:</w:t>
      </w:r>
    </w:p>
    <w:p w14:paraId="268C3011" w14:textId="77777777" w:rsidR="008C5104" w:rsidRPr="007E46C9" w:rsidRDefault="008C5104" w:rsidP="008C5104">
      <w:pPr>
        <w:tabs>
          <w:tab w:val="left" w:pos="2160"/>
          <w:tab w:val="left" w:pos="2880"/>
        </w:tabs>
        <w:spacing w:after="120"/>
        <w:ind w:leftChars="300" w:left="2880" w:hangingChars="900" w:hanging="2160"/>
        <w:rPr>
          <w:bCs/>
        </w:rPr>
      </w:pPr>
      <w:r w:rsidRPr="007E46C9">
        <w:rPr>
          <w:bCs/>
        </w:rPr>
        <w:lastRenderedPageBreak/>
        <w:t>RDPR</w:t>
      </w:r>
      <w:r w:rsidRPr="007E46C9">
        <w:rPr>
          <w:bCs/>
        </w:rPr>
        <w:tab/>
      </w:r>
      <w:r w:rsidRPr="007E46C9">
        <w:rPr>
          <w:bCs/>
        </w:rPr>
        <w:tab/>
        <w:t>=</w:t>
      </w:r>
      <w:r w:rsidRPr="007E46C9">
        <w:rPr>
          <w:bCs/>
        </w:rPr>
        <w:tab/>
        <w:t>RDCOSTTOT / RDQTOT</w:t>
      </w:r>
    </w:p>
    <w:p w14:paraId="6B1CC5D4" w14:textId="585EEBB6" w:rsidR="008C5104" w:rsidRPr="007E46C9" w:rsidRDefault="008C5104" w:rsidP="008C5104">
      <w:pPr>
        <w:tabs>
          <w:tab w:val="left" w:pos="2160"/>
          <w:tab w:val="left" w:pos="2880"/>
        </w:tabs>
        <w:spacing w:after="120"/>
        <w:ind w:leftChars="300" w:left="2880" w:hangingChars="900" w:hanging="2160"/>
        <w:rPr>
          <w:bCs/>
        </w:rPr>
      </w:pPr>
      <w:r w:rsidRPr="007E46C9">
        <w:rPr>
          <w:bCs/>
        </w:rPr>
        <w:t>RDQTOT</w:t>
      </w:r>
      <w:r w:rsidRPr="007E46C9">
        <w:rPr>
          <w:bCs/>
        </w:rPr>
        <w:tab/>
      </w:r>
      <w:r w:rsidRPr="007E46C9">
        <w:rPr>
          <w:bCs/>
        </w:rPr>
        <w:tab/>
        <w:t>=</w:t>
      </w:r>
      <w:r w:rsidRPr="007E46C9">
        <w:rPr>
          <w:bCs/>
        </w:rPr>
        <w:tab/>
      </w:r>
      <w:r w:rsidR="00A94020">
        <w:rPr>
          <w:bCs/>
          <w:noProof/>
          <w:position w:val="-22"/>
        </w:rPr>
        <w:drawing>
          <wp:inline distT="0" distB="0" distL="0" distR="0" wp14:anchorId="35B8D079" wp14:editId="79E16EA7">
            <wp:extent cx="142875" cy="2952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RDQ </w:t>
      </w:r>
      <w:r w:rsidRPr="007E46C9">
        <w:rPr>
          <w:bCs/>
          <w:i/>
          <w:vertAlign w:val="subscript"/>
        </w:rPr>
        <w:t>q</w:t>
      </w:r>
    </w:p>
    <w:p w14:paraId="49DE450F" w14:textId="77777777" w:rsidR="008C5104" w:rsidRPr="007E46C9" w:rsidRDefault="008C5104" w:rsidP="008C5104">
      <w:pPr>
        <w:tabs>
          <w:tab w:val="left" w:pos="2160"/>
          <w:tab w:val="left" w:pos="2880"/>
        </w:tabs>
        <w:spacing w:after="120"/>
        <w:ind w:leftChars="300" w:left="2880" w:hangingChars="900" w:hanging="2160"/>
        <w:rPr>
          <w:bCs/>
          <w:lang w:val="it-IT"/>
        </w:rPr>
      </w:pPr>
      <w:r w:rsidRPr="007E46C9">
        <w:rPr>
          <w:bCs/>
          <w:lang w:val="it-IT"/>
        </w:rPr>
        <w:t xml:space="preserve">RDQ </w:t>
      </w:r>
      <w:r w:rsidRPr="007E46C9">
        <w:rPr>
          <w:bCs/>
          <w:i/>
          <w:vertAlign w:val="subscript"/>
          <w:lang w:val="it-IT"/>
        </w:rPr>
        <w:t>q</w:t>
      </w:r>
      <w:r w:rsidRPr="007E46C9">
        <w:rPr>
          <w:bCs/>
          <w:lang w:val="it-IT"/>
        </w:rPr>
        <w:tab/>
      </w:r>
      <w:r w:rsidRPr="007E46C9">
        <w:rPr>
          <w:bCs/>
          <w:lang w:val="it-IT"/>
        </w:rPr>
        <w:tab/>
        <w:t>=</w:t>
      </w:r>
      <w:r w:rsidRPr="007E46C9">
        <w:rPr>
          <w:bCs/>
          <w:lang w:val="it-IT"/>
        </w:rPr>
        <w:tab/>
        <w:t xml:space="preserve">RDO </w:t>
      </w:r>
      <w:r w:rsidRPr="007E46C9">
        <w:rPr>
          <w:bCs/>
          <w:i/>
          <w:vertAlign w:val="subscript"/>
          <w:lang w:val="it-IT"/>
        </w:rPr>
        <w:t>q</w:t>
      </w:r>
      <w:r w:rsidRPr="007E46C9">
        <w:rPr>
          <w:bCs/>
          <w:lang w:val="it-IT"/>
        </w:rPr>
        <w:t xml:space="preserve"> – SARDQ </w:t>
      </w:r>
      <w:r w:rsidRPr="007E46C9">
        <w:rPr>
          <w:bCs/>
          <w:i/>
          <w:vertAlign w:val="subscript"/>
          <w:lang w:val="it-IT"/>
        </w:rPr>
        <w:t>q</w:t>
      </w:r>
    </w:p>
    <w:p w14:paraId="6F0C31C7" w14:textId="7E0C1825" w:rsidR="008C5104" w:rsidRPr="007E46C9" w:rsidRDefault="008C5104" w:rsidP="008C5104">
      <w:pPr>
        <w:tabs>
          <w:tab w:val="left" w:pos="2160"/>
          <w:tab w:val="left" w:pos="2880"/>
        </w:tabs>
        <w:spacing w:after="120"/>
        <w:ind w:leftChars="300" w:left="2880" w:hangingChars="900" w:hanging="2160"/>
        <w:rPr>
          <w:bCs/>
          <w:lang w:val="it-IT"/>
        </w:rPr>
      </w:pPr>
      <w:r w:rsidRPr="007E46C9">
        <w:rPr>
          <w:bCs/>
          <w:lang w:val="it-IT"/>
        </w:rPr>
        <w:t xml:space="preserve">RDO </w:t>
      </w:r>
      <w:r w:rsidRPr="007E46C9">
        <w:rPr>
          <w:bCs/>
          <w:i/>
          <w:vertAlign w:val="subscript"/>
          <w:lang w:val="it-IT"/>
        </w:rPr>
        <w:t>q</w:t>
      </w:r>
      <w:r w:rsidRPr="007E46C9">
        <w:rPr>
          <w:bCs/>
          <w:lang w:val="it-IT"/>
        </w:rPr>
        <w:tab/>
      </w:r>
      <w:r w:rsidRPr="007E46C9">
        <w:rPr>
          <w:bCs/>
          <w:lang w:val="it-IT"/>
        </w:rPr>
        <w:tab/>
        <w:t>=</w:t>
      </w:r>
      <w:r w:rsidRPr="007E46C9">
        <w:rPr>
          <w:bCs/>
          <w:lang w:val="it-IT"/>
        </w:rPr>
        <w:tab/>
      </w:r>
      <w:r w:rsidR="00A94020">
        <w:rPr>
          <w:bCs/>
          <w:noProof/>
          <w:position w:val="-22"/>
        </w:rPr>
        <w:drawing>
          <wp:inline distT="0" distB="0" distL="0" distR="0" wp14:anchorId="0E228727" wp14:editId="24842F02">
            <wp:extent cx="142875" cy="2952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lang w:val="it-IT"/>
        </w:rPr>
        <w:t xml:space="preserve">(SARDQ </w:t>
      </w:r>
      <w:r w:rsidRPr="007E46C9">
        <w:rPr>
          <w:bCs/>
          <w:i/>
          <w:vertAlign w:val="subscript"/>
          <w:lang w:val="it-IT"/>
        </w:rPr>
        <w:t>q</w:t>
      </w:r>
      <w:r w:rsidRPr="007E46C9">
        <w:rPr>
          <w:bCs/>
          <w:lang w:val="it-IT"/>
        </w:rPr>
        <w:t xml:space="preserve"> + </w:t>
      </w:r>
      <w:r w:rsidR="00A94020">
        <w:rPr>
          <w:bCs/>
          <w:noProof/>
          <w:position w:val="-20"/>
        </w:rPr>
        <w:drawing>
          <wp:inline distT="0" distB="0" distL="0" distR="0" wp14:anchorId="5DA7AACC" wp14:editId="21551173">
            <wp:extent cx="142875" cy="2762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lang w:val="it-IT"/>
        </w:rPr>
        <w:t xml:space="preserve">(RTPCRD </w:t>
      </w:r>
      <w:r w:rsidRPr="007E46C9">
        <w:rPr>
          <w:bCs/>
          <w:i/>
          <w:vertAlign w:val="subscript"/>
          <w:lang w:val="it-IT"/>
        </w:rPr>
        <w:t>q, m</w:t>
      </w:r>
      <w:r w:rsidRPr="007E46C9">
        <w:rPr>
          <w:bCs/>
          <w:lang w:val="it-IT"/>
        </w:rPr>
        <w:t xml:space="preserve">) + PCRD </w:t>
      </w:r>
      <w:r w:rsidRPr="007E46C9">
        <w:rPr>
          <w:bCs/>
          <w:i/>
          <w:vertAlign w:val="subscript"/>
          <w:lang w:val="it-IT"/>
        </w:rPr>
        <w:t>q</w:t>
      </w:r>
      <w:r w:rsidRPr="007E46C9">
        <w:rPr>
          <w:bCs/>
          <w:lang w:val="it-IT"/>
        </w:rPr>
        <w:t xml:space="preserve"> –  </w:t>
      </w:r>
    </w:p>
    <w:p w14:paraId="41DE9D9F" w14:textId="77777777" w:rsidR="008C5104" w:rsidRPr="007E46C9" w:rsidRDefault="008C5104" w:rsidP="008C5104">
      <w:pPr>
        <w:tabs>
          <w:tab w:val="left" w:pos="2160"/>
          <w:tab w:val="left" w:pos="2880"/>
        </w:tabs>
        <w:spacing w:after="120"/>
        <w:ind w:leftChars="300" w:left="2880" w:hangingChars="900" w:hanging="2160"/>
        <w:rPr>
          <w:bCs/>
          <w:i/>
          <w:vertAlign w:val="subscript"/>
          <w:lang w:val="it-IT"/>
        </w:rPr>
      </w:pPr>
      <w:r w:rsidRPr="007E46C9">
        <w:rPr>
          <w:bCs/>
          <w:lang w:val="it-IT"/>
        </w:rPr>
        <w:tab/>
      </w:r>
      <w:r w:rsidRPr="007E46C9">
        <w:rPr>
          <w:bCs/>
          <w:lang w:val="it-IT"/>
        </w:rPr>
        <w:tab/>
      </w:r>
      <w:r w:rsidRPr="007E46C9">
        <w:rPr>
          <w:bCs/>
          <w:lang w:val="it-IT"/>
        </w:rPr>
        <w:tab/>
        <w:t xml:space="preserve">RDFQ </w:t>
      </w:r>
      <w:r w:rsidRPr="007E46C9">
        <w:rPr>
          <w:bCs/>
          <w:i/>
          <w:vertAlign w:val="subscript"/>
          <w:lang w:val="it-IT"/>
        </w:rPr>
        <w:t>q</w:t>
      </w:r>
      <w:r w:rsidRPr="007E46C9">
        <w:rPr>
          <w:bCs/>
          <w:lang w:val="it-IT"/>
        </w:rPr>
        <w:t xml:space="preserve"> – RRDFQ </w:t>
      </w:r>
      <w:r w:rsidRPr="007E46C9">
        <w:rPr>
          <w:bCs/>
          <w:i/>
          <w:vertAlign w:val="subscript"/>
          <w:lang w:val="it-IT"/>
        </w:rPr>
        <w:t>q</w:t>
      </w:r>
      <w:r w:rsidRPr="007E46C9">
        <w:rPr>
          <w:bCs/>
          <w:lang w:val="it-IT"/>
        </w:rPr>
        <w:t xml:space="preserve">) * HLRS </w:t>
      </w:r>
      <w:r w:rsidRPr="007E46C9">
        <w:rPr>
          <w:bCs/>
          <w:i/>
          <w:vertAlign w:val="subscript"/>
          <w:lang w:val="it-IT"/>
        </w:rPr>
        <w:t>q</w:t>
      </w:r>
    </w:p>
    <w:p w14:paraId="1451C032" w14:textId="77777777" w:rsidR="008C5104" w:rsidRPr="007E46C9" w:rsidRDefault="008C5104" w:rsidP="008C5104">
      <w:pPr>
        <w:tabs>
          <w:tab w:val="left" w:pos="2160"/>
          <w:tab w:val="left" w:pos="2880"/>
        </w:tabs>
        <w:spacing w:after="120"/>
        <w:ind w:leftChars="300" w:left="2880" w:hangingChars="900" w:hanging="2160"/>
        <w:rPr>
          <w:bCs/>
          <w:lang w:val="fr-FR"/>
        </w:rPr>
      </w:pPr>
      <w:r w:rsidRPr="007E46C9">
        <w:rPr>
          <w:bCs/>
          <w:lang w:val="fr-FR"/>
        </w:rPr>
        <w:t xml:space="preserve">SARDQ </w:t>
      </w:r>
      <w:r w:rsidRPr="007E46C9">
        <w:rPr>
          <w:bCs/>
          <w:i/>
          <w:vertAlign w:val="subscript"/>
          <w:lang w:val="fr-FR"/>
        </w:rPr>
        <w:t>q</w:t>
      </w:r>
      <w:r w:rsidRPr="007E46C9">
        <w:rPr>
          <w:bCs/>
          <w:lang w:val="fr-FR"/>
        </w:rPr>
        <w:tab/>
      </w:r>
      <w:r w:rsidRPr="007E46C9">
        <w:rPr>
          <w:bCs/>
          <w:lang w:val="fr-FR"/>
        </w:rPr>
        <w:tab/>
        <w:t>=</w:t>
      </w:r>
      <w:r w:rsidRPr="007E46C9">
        <w:rPr>
          <w:bCs/>
          <w:lang w:val="fr-FR"/>
        </w:rPr>
        <w:tab/>
        <w:t xml:space="preserve">DASARDQ </w:t>
      </w:r>
      <w:r w:rsidRPr="007E46C9">
        <w:rPr>
          <w:bCs/>
          <w:i/>
          <w:vertAlign w:val="subscript"/>
          <w:lang w:val="fr-FR"/>
        </w:rPr>
        <w:t>q</w:t>
      </w:r>
      <w:r w:rsidRPr="007E46C9">
        <w:rPr>
          <w:bCs/>
          <w:lang w:val="fr-FR"/>
        </w:rPr>
        <w:t xml:space="preserve"> + RTSARDQ </w:t>
      </w:r>
      <w:r w:rsidRPr="007E46C9">
        <w:rPr>
          <w:bCs/>
          <w:i/>
          <w:vertAlign w:val="subscript"/>
          <w:lang w:val="fr-FR"/>
        </w:rPr>
        <w:t>q</w:t>
      </w:r>
    </w:p>
    <w:p w14:paraId="1F46F311" w14:textId="77777777" w:rsidR="008C5104" w:rsidRPr="007E46C9" w:rsidRDefault="008C5104" w:rsidP="008C5104">
      <w:pPr>
        <w:keepNext/>
      </w:pPr>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18E88DAD" w14:textId="77777777" w:rsidTr="008C5104">
        <w:trPr>
          <w:tblHeader/>
        </w:trPr>
        <w:tc>
          <w:tcPr>
            <w:tcW w:w="849" w:type="pct"/>
          </w:tcPr>
          <w:p w14:paraId="7FE78FCA" w14:textId="77777777" w:rsidR="008C5104" w:rsidRPr="007E46C9" w:rsidRDefault="008C5104" w:rsidP="008C5104">
            <w:pPr>
              <w:keepNext/>
              <w:spacing w:after="120"/>
              <w:rPr>
                <w:b/>
                <w:iCs/>
                <w:sz w:val="20"/>
              </w:rPr>
            </w:pPr>
            <w:r w:rsidRPr="007E46C9">
              <w:rPr>
                <w:b/>
                <w:iCs/>
                <w:sz w:val="20"/>
              </w:rPr>
              <w:t>Variable</w:t>
            </w:r>
          </w:p>
        </w:tc>
        <w:tc>
          <w:tcPr>
            <w:tcW w:w="460" w:type="pct"/>
          </w:tcPr>
          <w:p w14:paraId="7184368F" w14:textId="77777777" w:rsidR="008C5104" w:rsidRPr="007E46C9" w:rsidRDefault="008C5104" w:rsidP="008C5104">
            <w:pPr>
              <w:keepNext/>
              <w:spacing w:after="120"/>
              <w:rPr>
                <w:b/>
                <w:iCs/>
                <w:sz w:val="20"/>
              </w:rPr>
            </w:pPr>
            <w:r w:rsidRPr="007E46C9">
              <w:rPr>
                <w:b/>
                <w:iCs/>
                <w:sz w:val="20"/>
              </w:rPr>
              <w:t>Unit</w:t>
            </w:r>
          </w:p>
        </w:tc>
        <w:tc>
          <w:tcPr>
            <w:tcW w:w="3691" w:type="pct"/>
          </w:tcPr>
          <w:p w14:paraId="782E07A7"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2C61524C" w14:textId="77777777" w:rsidTr="008C5104">
        <w:tc>
          <w:tcPr>
            <w:tcW w:w="849" w:type="pct"/>
          </w:tcPr>
          <w:p w14:paraId="2C8FF101" w14:textId="77777777" w:rsidR="008C5104" w:rsidRPr="007E46C9" w:rsidRDefault="008C5104" w:rsidP="008C5104">
            <w:pPr>
              <w:spacing w:after="60"/>
              <w:rPr>
                <w:iCs/>
                <w:sz w:val="20"/>
              </w:rPr>
            </w:pPr>
            <w:r w:rsidRPr="007E46C9">
              <w:rPr>
                <w:iCs/>
                <w:sz w:val="20"/>
              </w:rPr>
              <w:t xml:space="preserve">RDCOST </w:t>
            </w:r>
            <w:r w:rsidRPr="007E46C9">
              <w:rPr>
                <w:i/>
                <w:iCs/>
                <w:sz w:val="20"/>
                <w:vertAlign w:val="subscript"/>
              </w:rPr>
              <w:t>q</w:t>
            </w:r>
          </w:p>
        </w:tc>
        <w:tc>
          <w:tcPr>
            <w:tcW w:w="460" w:type="pct"/>
          </w:tcPr>
          <w:p w14:paraId="291D6DF5" w14:textId="77777777" w:rsidR="008C5104" w:rsidRPr="007E46C9" w:rsidRDefault="008C5104" w:rsidP="008C5104">
            <w:pPr>
              <w:keepNext/>
              <w:spacing w:after="60"/>
              <w:rPr>
                <w:iCs/>
                <w:sz w:val="20"/>
              </w:rPr>
            </w:pPr>
            <w:r w:rsidRPr="007E46C9">
              <w:rPr>
                <w:iCs/>
                <w:sz w:val="20"/>
              </w:rPr>
              <w:t>$</w:t>
            </w:r>
          </w:p>
        </w:tc>
        <w:tc>
          <w:tcPr>
            <w:tcW w:w="3691" w:type="pct"/>
          </w:tcPr>
          <w:p w14:paraId="69102B7D" w14:textId="77777777" w:rsidR="008C5104" w:rsidRPr="007E46C9" w:rsidRDefault="008C5104" w:rsidP="008C5104">
            <w:pPr>
              <w:keepNext/>
              <w:spacing w:after="60"/>
              <w:rPr>
                <w:iCs/>
                <w:sz w:val="20"/>
              </w:rPr>
            </w:pPr>
            <w:r w:rsidRPr="007E46C9">
              <w:rPr>
                <w:i/>
                <w:iCs/>
                <w:sz w:val="20"/>
              </w:rPr>
              <w:t>Reg-Down Cost per QSE</w:t>
            </w:r>
            <w:r w:rsidRPr="007E46C9">
              <w:rPr>
                <w:iCs/>
                <w:sz w:val="20"/>
              </w:rPr>
              <w:t xml:space="preserve">—QSE </w:t>
            </w:r>
            <w:r w:rsidRPr="007E46C9">
              <w:rPr>
                <w:i/>
                <w:iCs/>
                <w:sz w:val="20"/>
              </w:rPr>
              <w:t>q</w:t>
            </w:r>
            <w:r w:rsidRPr="007E46C9">
              <w:rPr>
                <w:iCs/>
                <w:sz w:val="20"/>
              </w:rPr>
              <w:t>’s share of the net total costs for Reg-Down, for the hour.</w:t>
            </w:r>
          </w:p>
        </w:tc>
      </w:tr>
      <w:tr w:rsidR="008C5104" w:rsidRPr="007E46C9" w14:paraId="01A711EB" w14:textId="77777777" w:rsidTr="008C5104">
        <w:tc>
          <w:tcPr>
            <w:tcW w:w="849" w:type="pct"/>
            <w:tcBorders>
              <w:top w:val="single" w:sz="4" w:space="0" w:color="auto"/>
              <w:left w:val="single" w:sz="4" w:space="0" w:color="auto"/>
              <w:bottom w:val="single" w:sz="4" w:space="0" w:color="auto"/>
              <w:right w:val="single" w:sz="4" w:space="0" w:color="auto"/>
            </w:tcBorders>
          </w:tcPr>
          <w:p w14:paraId="2C9EF910" w14:textId="77777777" w:rsidR="008C5104" w:rsidRPr="007E46C9" w:rsidRDefault="008C5104" w:rsidP="008C5104">
            <w:pPr>
              <w:spacing w:after="60"/>
              <w:rPr>
                <w:iCs/>
                <w:sz w:val="20"/>
              </w:rPr>
            </w:pPr>
            <w:r w:rsidRPr="007E46C9">
              <w:rPr>
                <w:iCs/>
                <w:sz w:val="20"/>
              </w:rPr>
              <w:t>RDPR</w:t>
            </w:r>
          </w:p>
        </w:tc>
        <w:tc>
          <w:tcPr>
            <w:tcW w:w="460" w:type="pct"/>
            <w:tcBorders>
              <w:top w:val="single" w:sz="4" w:space="0" w:color="auto"/>
              <w:left w:val="single" w:sz="4" w:space="0" w:color="auto"/>
              <w:bottom w:val="single" w:sz="4" w:space="0" w:color="auto"/>
              <w:right w:val="single" w:sz="4" w:space="0" w:color="auto"/>
            </w:tcBorders>
          </w:tcPr>
          <w:p w14:paraId="69C5B147"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602EE228" w14:textId="77777777" w:rsidR="008C5104" w:rsidRPr="007E46C9" w:rsidRDefault="008C5104" w:rsidP="008C5104">
            <w:pPr>
              <w:spacing w:after="60"/>
              <w:rPr>
                <w:i/>
                <w:iCs/>
                <w:sz w:val="20"/>
              </w:rPr>
            </w:pPr>
            <w:r w:rsidRPr="007E46C9">
              <w:rPr>
                <w:i/>
                <w:iCs/>
                <w:sz w:val="20"/>
              </w:rPr>
              <w:t>Reg-Down Price—</w:t>
            </w:r>
            <w:r w:rsidRPr="007E46C9">
              <w:rPr>
                <w:iCs/>
                <w:sz w:val="20"/>
              </w:rPr>
              <w:t>The price for Reg-Down calculated based on the net total costs for Reg-Down, for the hour.</w:t>
            </w:r>
          </w:p>
        </w:tc>
      </w:tr>
      <w:tr w:rsidR="008C5104" w:rsidRPr="007E46C9" w14:paraId="70BFBAC9" w14:textId="77777777" w:rsidTr="008C5104">
        <w:tc>
          <w:tcPr>
            <w:tcW w:w="849" w:type="pct"/>
            <w:tcBorders>
              <w:top w:val="single" w:sz="4" w:space="0" w:color="auto"/>
              <w:left w:val="single" w:sz="4" w:space="0" w:color="auto"/>
              <w:bottom w:val="single" w:sz="4" w:space="0" w:color="auto"/>
              <w:right w:val="single" w:sz="4" w:space="0" w:color="auto"/>
            </w:tcBorders>
          </w:tcPr>
          <w:p w14:paraId="016721BE" w14:textId="77777777" w:rsidR="008C5104" w:rsidRPr="007E46C9" w:rsidRDefault="008C5104" w:rsidP="008C5104">
            <w:pPr>
              <w:spacing w:after="60"/>
              <w:rPr>
                <w:iCs/>
                <w:sz w:val="20"/>
              </w:rPr>
            </w:pPr>
            <w:r w:rsidRPr="007E46C9">
              <w:rPr>
                <w:iCs/>
                <w:sz w:val="20"/>
              </w:rPr>
              <w:t>RDCOSTTOT</w:t>
            </w:r>
          </w:p>
        </w:tc>
        <w:tc>
          <w:tcPr>
            <w:tcW w:w="460" w:type="pct"/>
            <w:tcBorders>
              <w:top w:val="single" w:sz="4" w:space="0" w:color="auto"/>
              <w:left w:val="single" w:sz="4" w:space="0" w:color="auto"/>
              <w:bottom w:val="single" w:sz="4" w:space="0" w:color="auto"/>
              <w:right w:val="single" w:sz="4" w:space="0" w:color="auto"/>
            </w:tcBorders>
          </w:tcPr>
          <w:p w14:paraId="6C86206E"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70972051" w14:textId="77777777" w:rsidR="008C5104" w:rsidRPr="007E46C9" w:rsidRDefault="008C5104" w:rsidP="008C5104">
            <w:pPr>
              <w:spacing w:after="60"/>
              <w:rPr>
                <w:i/>
                <w:iCs/>
                <w:sz w:val="20"/>
              </w:rPr>
            </w:pPr>
            <w:r w:rsidRPr="007E46C9">
              <w:rPr>
                <w:i/>
                <w:iCs/>
                <w:sz w:val="20"/>
              </w:rPr>
              <w:t>Reg-Down Cost Total</w:t>
            </w:r>
            <w:r w:rsidRPr="007E46C9">
              <w:rPr>
                <w:iCs/>
                <w:sz w:val="20"/>
              </w:rPr>
              <w:t>—The net total costs for Reg-Down</w:t>
            </w:r>
            <w:r w:rsidR="00637160" w:rsidRPr="007E46C9">
              <w:rPr>
                <w:iCs/>
                <w:sz w:val="20"/>
              </w:rPr>
              <w:t>,</w:t>
            </w:r>
            <w:r w:rsidRPr="007E46C9">
              <w:rPr>
                <w:iCs/>
                <w:sz w:val="20"/>
              </w:rPr>
              <w:t xml:space="preserve"> for the hour.  See item</w:t>
            </w:r>
            <w:r w:rsidR="00637160">
              <w:rPr>
                <w:iCs/>
                <w:sz w:val="20"/>
              </w:rPr>
              <w:t xml:space="preserve"> (3)</w:t>
            </w:r>
            <w:r w:rsidRPr="007E46C9">
              <w:rPr>
                <w:iCs/>
                <w:sz w:val="20"/>
              </w:rPr>
              <w:t>(a) above.</w:t>
            </w:r>
          </w:p>
        </w:tc>
      </w:tr>
      <w:tr w:rsidR="008C5104" w:rsidRPr="007E46C9" w14:paraId="14A840B2" w14:textId="77777777" w:rsidTr="008C5104">
        <w:tc>
          <w:tcPr>
            <w:tcW w:w="849" w:type="pct"/>
            <w:tcBorders>
              <w:top w:val="single" w:sz="4" w:space="0" w:color="auto"/>
              <w:left w:val="single" w:sz="4" w:space="0" w:color="auto"/>
              <w:bottom w:val="single" w:sz="4" w:space="0" w:color="auto"/>
              <w:right w:val="single" w:sz="4" w:space="0" w:color="auto"/>
            </w:tcBorders>
          </w:tcPr>
          <w:p w14:paraId="066D9880" w14:textId="77777777" w:rsidR="008C5104" w:rsidRPr="007E46C9" w:rsidRDefault="008C5104" w:rsidP="008C5104">
            <w:pPr>
              <w:spacing w:after="60"/>
              <w:rPr>
                <w:iCs/>
                <w:sz w:val="20"/>
              </w:rPr>
            </w:pPr>
            <w:r w:rsidRPr="007E46C9">
              <w:rPr>
                <w:iCs/>
                <w:sz w:val="20"/>
              </w:rPr>
              <w:t>RDQTOT</w:t>
            </w:r>
          </w:p>
        </w:tc>
        <w:tc>
          <w:tcPr>
            <w:tcW w:w="460" w:type="pct"/>
            <w:tcBorders>
              <w:top w:val="single" w:sz="4" w:space="0" w:color="auto"/>
              <w:left w:val="single" w:sz="4" w:space="0" w:color="auto"/>
              <w:bottom w:val="single" w:sz="4" w:space="0" w:color="auto"/>
              <w:right w:val="single" w:sz="4" w:space="0" w:color="auto"/>
            </w:tcBorders>
          </w:tcPr>
          <w:p w14:paraId="35801422"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D912795" w14:textId="77777777" w:rsidR="008C5104" w:rsidRPr="007E46C9" w:rsidRDefault="008C5104" w:rsidP="008C5104">
            <w:pPr>
              <w:spacing w:after="60"/>
              <w:rPr>
                <w:i/>
                <w:iCs/>
                <w:sz w:val="20"/>
              </w:rPr>
            </w:pPr>
            <w:r w:rsidRPr="007E46C9">
              <w:rPr>
                <w:i/>
                <w:iCs/>
                <w:sz w:val="20"/>
              </w:rPr>
              <w:t>Reg-Down Quantity Total</w:t>
            </w:r>
            <w:r w:rsidRPr="007E46C9">
              <w:rPr>
                <w:iCs/>
                <w:sz w:val="20"/>
              </w:rPr>
              <w:t>—The sum of every QSE’s Ancillary Service Obligation minus its self-arranged Reg-Down quantity in the DAM and any and all SASMs for the hour.</w:t>
            </w:r>
          </w:p>
        </w:tc>
      </w:tr>
      <w:tr w:rsidR="008C5104" w:rsidRPr="007E46C9" w14:paraId="3100259D" w14:textId="77777777" w:rsidTr="008C5104">
        <w:tc>
          <w:tcPr>
            <w:tcW w:w="849" w:type="pct"/>
            <w:tcBorders>
              <w:top w:val="single" w:sz="4" w:space="0" w:color="auto"/>
              <w:left w:val="single" w:sz="4" w:space="0" w:color="auto"/>
              <w:bottom w:val="single" w:sz="4" w:space="0" w:color="auto"/>
              <w:right w:val="single" w:sz="4" w:space="0" w:color="auto"/>
            </w:tcBorders>
          </w:tcPr>
          <w:p w14:paraId="15C69DAC" w14:textId="77777777" w:rsidR="008C5104" w:rsidRPr="007E46C9" w:rsidRDefault="008C5104" w:rsidP="008C5104">
            <w:pPr>
              <w:spacing w:after="60"/>
              <w:rPr>
                <w:iCs/>
                <w:sz w:val="20"/>
              </w:rPr>
            </w:pPr>
            <w:r w:rsidRPr="007E46C9">
              <w:rPr>
                <w:iCs/>
                <w:sz w:val="20"/>
              </w:rPr>
              <w:t xml:space="preserve">RDQ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F9B7B04"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ACB36C0" w14:textId="77777777" w:rsidR="008C5104" w:rsidRPr="007E46C9" w:rsidRDefault="008C5104" w:rsidP="008C5104">
            <w:pPr>
              <w:spacing w:after="60"/>
              <w:rPr>
                <w:i/>
                <w:iCs/>
                <w:sz w:val="20"/>
              </w:rPr>
            </w:pPr>
            <w:r w:rsidRPr="007E46C9">
              <w:rPr>
                <w:i/>
                <w:iCs/>
                <w:sz w:val="20"/>
              </w:rPr>
              <w:t>Reg-Down Quantity per QSE</w:t>
            </w:r>
            <w:r w:rsidRPr="007E46C9">
              <w:rPr>
                <w:iCs/>
                <w:sz w:val="20"/>
              </w:rPr>
              <w:t xml:space="preserve">—The QSE </w:t>
            </w:r>
            <w:r w:rsidRPr="007E46C9">
              <w:rPr>
                <w:i/>
                <w:iCs/>
                <w:sz w:val="20"/>
              </w:rPr>
              <w:t>q</w:t>
            </w:r>
            <w:r w:rsidRPr="007E46C9">
              <w:rPr>
                <w:iCs/>
                <w:sz w:val="20"/>
              </w:rPr>
              <w:t>’s Ancillary Service Obligation minus its self-arranged Reg-Down quantity in the DAM and any and all SASMs</w:t>
            </w:r>
            <w:r w:rsidR="00637160" w:rsidRPr="007E46C9">
              <w:rPr>
                <w:iCs/>
                <w:sz w:val="20"/>
              </w:rPr>
              <w:t>,</w:t>
            </w:r>
            <w:r w:rsidRPr="007E46C9">
              <w:rPr>
                <w:iCs/>
                <w:sz w:val="20"/>
              </w:rPr>
              <w:t xml:space="preserve"> for the hour.</w:t>
            </w:r>
          </w:p>
        </w:tc>
      </w:tr>
      <w:tr w:rsidR="008C5104" w:rsidRPr="007E46C9" w14:paraId="17A401C5" w14:textId="77777777" w:rsidTr="008C5104">
        <w:tc>
          <w:tcPr>
            <w:tcW w:w="849" w:type="pct"/>
            <w:tcBorders>
              <w:top w:val="single" w:sz="4" w:space="0" w:color="auto"/>
              <w:left w:val="single" w:sz="4" w:space="0" w:color="auto"/>
              <w:bottom w:val="single" w:sz="4" w:space="0" w:color="auto"/>
              <w:right w:val="single" w:sz="4" w:space="0" w:color="auto"/>
            </w:tcBorders>
          </w:tcPr>
          <w:p w14:paraId="6DAFC4E9" w14:textId="77777777" w:rsidR="008C5104" w:rsidRPr="007E46C9" w:rsidRDefault="008C5104" w:rsidP="008C5104">
            <w:pPr>
              <w:spacing w:after="60"/>
              <w:rPr>
                <w:iCs/>
                <w:sz w:val="20"/>
              </w:rPr>
            </w:pPr>
            <w:r w:rsidRPr="007E46C9">
              <w:rPr>
                <w:iCs/>
                <w:sz w:val="20"/>
              </w:rPr>
              <w:t xml:space="preserve">RDO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B22066C"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335D26BD" w14:textId="77777777" w:rsidR="008C5104" w:rsidRPr="007E46C9" w:rsidRDefault="008C5104" w:rsidP="008C5104">
            <w:pPr>
              <w:spacing w:after="60"/>
              <w:rPr>
                <w:i/>
                <w:iCs/>
                <w:sz w:val="20"/>
              </w:rPr>
            </w:pPr>
            <w:r w:rsidRPr="007E46C9">
              <w:rPr>
                <w:i/>
                <w:iCs/>
                <w:sz w:val="20"/>
              </w:rPr>
              <w:t>Reg-Down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79EEEBFD" w14:textId="77777777" w:rsidTr="008C5104">
        <w:tc>
          <w:tcPr>
            <w:tcW w:w="849" w:type="pct"/>
            <w:tcBorders>
              <w:top w:val="single" w:sz="4" w:space="0" w:color="auto"/>
              <w:left w:val="single" w:sz="4" w:space="0" w:color="auto"/>
              <w:bottom w:val="single" w:sz="4" w:space="0" w:color="auto"/>
              <w:right w:val="single" w:sz="4" w:space="0" w:color="auto"/>
            </w:tcBorders>
          </w:tcPr>
          <w:p w14:paraId="09E4A5A1" w14:textId="77777777" w:rsidR="008C5104" w:rsidRPr="007E46C9" w:rsidRDefault="008C5104" w:rsidP="008C5104">
            <w:pPr>
              <w:spacing w:after="60"/>
              <w:rPr>
                <w:iCs/>
                <w:sz w:val="20"/>
              </w:rPr>
            </w:pPr>
            <w:r w:rsidRPr="007E46C9">
              <w:rPr>
                <w:iCs/>
                <w:sz w:val="20"/>
              </w:rPr>
              <w:t xml:space="preserve">DASARDQ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3B2DAC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F7F83C5" w14:textId="77777777" w:rsidR="008C5104" w:rsidRPr="007E46C9" w:rsidRDefault="008C5104" w:rsidP="008C5104">
            <w:pPr>
              <w:spacing w:after="60"/>
              <w:rPr>
                <w:i/>
                <w:iCs/>
                <w:sz w:val="20"/>
              </w:rPr>
            </w:pPr>
            <w:r w:rsidRPr="007E46C9">
              <w:rPr>
                <w:i/>
                <w:iCs/>
                <w:sz w:val="20"/>
              </w:rPr>
              <w:t>Self-Arranged Reg-Down Quantity per QSE for DAM</w:t>
            </w:r>
            <w:r w:rsidRPr="007E46C9">
              <w:rPr>
                <w:iCs/>
                <w:sz w:val="20"/>
              </w:rPr>
              <w:t xml:space="preserve">—The self-arranged Reg-Down quantity submitted by QSE </w:t>
            </w:r>
            <w:r w:rsidRPr="007E46C9">
              <w:rPr>
                <w:i/>
                <w:iCs/>
                <w:sz w:val="20"/>
              </w:rPr>
              <w:t>q</w:t>
            </w:r>
            <w:r w:rsidRPr="007E46C9">
              <w:rPr>
                <w:iCs/>
                <w:sz w:val="20"/>
              </w:rPr>
              <w:t xml:space="preserve"> before 1000 in the Day-Ahead.</w:t>
            </w:r>
          </w:p>
        </w:tc>
      </w:tr>
      <w:tr w:rsidR="008C5104" w:rsidRPr="007E46C9" w14:paraId="6780CB5A" w14:textId="77777777" w:rsidTr="008C5104">
        <w:tc>
          <w:tcPr>
            <w:tcW w:w="849" w:type="pct"/>
            <w:tcBorders>
              <w:top w:val="single" w:sz="4" w:space="0" w:color="auto"/>
              <w:left w:val="single" w:sz="4" w:space="0" w:color="auto"/>
              <w:bottom w:val="single" w:sz="4" w:space="0" w:color="auto"/>
              <w:right w:val="single" w:sz="4" w:space="0" w:color="auto"/>
            </w:tcBorders>
          </w:tcPr>
          <w:p w14:paraId="5DE0376E" w14:textId="77777777" w:rsidR="008C5104" w:rsidRPr="007E46C9" w:rsidRDefault="008C5104" w:rsidP="008C5104">
            <w:pPr>
              <w:spacing w:after="60"/>
              <w:rPr>
                <w:iCs/>
                <w:sz w:val="20"/>
              </w:rPr>
            </w:pPr>
            <w:r w:rsidRPr="007E46C9">
              <w:rPr>
                <w:iCs/>
                <w:sz w:val="20"/>
              </w:rPr>
              <w:t xml:space="preserve">RTSARDQ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DBB4DCD"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5A49F52" w14:textId="77777777" w:rsidR="008C5104" w:rsidRPr="007E46C9" w:rsidRDefault="008C5104" w:rsidP="008C5104">
            <w:pPr>
              <w:spacing w:after="60"/>
              <w:rPr>
                <w:i/>
                <w:iCs/>
                <w:sz w:val="20"/>
              </w:rPr>
            </w:pPr>
            <w:r w:rsidRPr="007E46C9">
              <w:rPr>
                <w:i/>
                <w:iCs/>
                <w:sz w:val="20"/>
              </w:rPr>
              <w:t>Self-Arranged Reg-Down Quantity per QSE for all SASMs</w:t>
            </w:r>
            <w:r w:rsidRPr="007E46C9">
              <w:rPr>
                <w:iCs/>
                <w:sz w:val="20"/>
              </w:rPr>
              <w:t xml:space="preserve">—The sum of all self-arranged Reg-Down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sidRPr="007E46C9">
              <w:rPr>
                <w:iCs/>
                <w:sz w:val="20"/>
              </w:rPr>
              <w:t>.</w:t>
            </w:r>
          </w:p>
        </w:tc>
      </w:tr>
      <w:tr w:rsidR="008C5104" w:rsidRPr="007E46C9" w14:paraId="4D4924D3" w14:textId="77777777" w:rsidTr="008C5104">
        <w:tc>
          <w:tcPr>
            <w:tcW w:w="849" w:type="pct"/>
            <w:tcBorders>
              <w:top w:val="single" w:sz="4" w:space="0" w:color="auto"/>
              <w:left w:val="single" w:sz="4" w:space="0" w:color="auto"/>
              <w:bottom w:val="single" w:sz="4" w:space="0" w:color="auto"/>
              <w:right w:val="single" w:sz="4" w:space="0" w:color="auto"/>
            </w:tcBorders>
          </w:tcPr>
          <w:p w14:paraId="53062F3C" w14:textId="77777777" w:rsidR="008C5104" w:rsidRPr="007E46C9" w:rsidRDefault="008C5104" w:rsidP="008C5104">
            <w:pPr>
              <w:spacing w:after="60"/>
              <w:rPr>
                <w:iCs/>
                <w:sz w:val="20"/>
              </w:rPr>
            </w:pPr>
            <w:r w:rsidRPr="007E46C9">
              <w:rPr>
                <w:iCs/>
                <w:sz w:val="20"/>
              </w:rPr>
              <w:t xml:space="preserve">RTPCRD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2F4EEE1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2107AF1" w14:textId="77777777" w:rsidR="008C5104" w:rsidRPr="007E46C9" w:rsidRDefault="008C5104" w:rsidP="008C5104">
            <w:pPr>
              <w:spacing w:after="60"/>
              <w:rPr>
                <w:i/>
                <w:iCs/>
                <w:sz w:val="20"/>
              </w:rPr>
            </w:pPr>
            <w:r w:rsidRPr="007E46C9">
              <w:rPr>
                <w:i/>
                <w:iCs/>
                <w:sz w:val="20"/>
              </w:rPr>
              <w:t>Procured Capacity for Reg-Down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Reg-Down, for the hour.</w:t>
            </w:r>
          </w:p>
        </w:tc>
      </w:tr>
      <w:tr w:rsidR="008C5104" w:rsidRPr="007E46C9" w14:paraId="1006E5B5" w14:textId="77777777" w:rsidTr="008C5104">
        <w:tc>
          <w:tcPr>
            <w:tcW w:w="849" w:type="pct"/>
            <w:tcBorders>
              <w:top w:val="single" w:sz="4" w:space="0" w:color="auto"/>
              <w:left w:val="single" w:sz="4" w:space="0" w:color="auto"/>
              <w:bottom w:val="single" w:sz="4" w:space="0" w:color="auto"/>
              <w:right w:val="single" w:sz="4" w:space="0" w:color="auto"/>
            </w:tcBorders>
          </w:tcPr>
          <w:p w14:paraId="0A16921E" w14:textId="77777777" w:rsidR="008C5104" w:rsidRPr="007E46C9" w:rsidRDefault="008C5104" w:rsidP="008C5104">
            <w:pPr>
              <w:spacing w:after="60"/>
              <w:rPr>
                <w:iCs/>
                <w:sz w:val="20"/>
              </w:rPr>
            </w:pPr>
            <w:r w:rsidRPr="007E46C9">
              <w:rPr>
                <w:iCs/>
                <w:sz w:val="20"/>
              </w:rPr>
              <w:t xml:space="preserve">RDFQ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EF03CC0"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1575FE8" w14:textId="77777777" w:rsidR="008C5104" w:rsidRPr="007E46C9" w:rsidRDefault="008C5104" w:rsidP="008C5104">
            <w:pPr>
              <w:spacing w:after="60"/>
              <w:rPr>
                <w:iCs/>
                <w:sz w:val="20"/>
              </w:rPr>
            </w:pPr>
            <w:r w:rsidRPr="007E46C9">
              <w:rPr>
                <w:i/>
                <w:iCs/>
                <w:sz w:val="20"/>
              </w:rPr>
              <w:t>Reg-Down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Reg-Down, for the hour.</w:t>
            </w:r>
          </w:p>
        </w:tc>
      </w:tr>
      <w:tr w:rsidR="008C5104" w:rsidRPr="007E46C9" w14:paraId="46D89C8B" w14:textId="77777777" w:rsidTr="008C5104">
        <w:tc>
          <w:tcPr>
            <w:tcW w:w="849" w:type="pct"/>
            <w:tcBorders>
              <w:top w:val="single" w:sz="4" w:space="0" w:color="auto"/>
              <w:left w:val="single" w:sz="4" w:space="0" w:color="auto"/>
              <w:bottom w:val="single" w:sz="4" w:space="0" w:color="auto"/>
              <w:right w:val="single" w:sz="4" w:space="0" w:color="auto"/>
            </w:tcBorders>
          </w:tcPr>
          <w:p w14:paraId="73A6FA7D" w14:textId="77777777" w:rsidR="008C5104" w:rsidRPr="007E46C9" w:rsidRDefault="008C5104" w:rsidP="008C5104">
            <w:pPr>
              <w:spacing w:after="60"/>
              <w:rPr>
                <w:iCs/>
                <w:sz w:val="20"/>
              </w:rPr>
            </w:pPr>
            <w:r w:rsidRPr="007E46C9">
              <w:rPr>
                <w:sz w:val="20"/>
              </w:rPr>
              <w:t xml:space="preserve">RRDFQ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7E4796B"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4312E499" w14:textId="77777777" w:rsidR="008C5104" w:rsidRPr="007E46C9" w:rsidRDefault="008C5104" w:rsidP="008C5104">
            <w:pPr>
              <w:spacing w:after="60"/>
              <w:rPr>
                <w:i/>
                <w:iCs/>
                <w:sz w:val="20"/>
              </w:rPr>
            </w:pPr>
            <w:r w:rsidRPr="007E46C9">
              <w:rPr>
                <w:i/>
                <w:sz w:val="20"/>
              </w:rPr>
              <w:t>Reconfiguration Reg-Down Failure Quantity per QSE</w:t>
            </w:r>
            <w:r w:rsidRPr="007E46C9">
              <w:rPr>
                <w:sz w:val="20"/>
              </w:rPr>
              <w:t xml:space="preserve">—QSE </w:t>
            </w:r>
            <w:r w:rsidRPr="007E46C9">
              <w:rPr>
                <w:i/>
                <w:sz w:val="20"/>
              </w:rPr>
              <w:t>q</w:t>
            </w:r>
            <w:r w:rsidRPr="007E46C9">
              <w:rPr>
                <w:sz w:val="20"/>
              </w:rPr>
              <w:t>’s total capacity associated with reconfiguration reductions on its Ancillary Service Supply Responsibility for Reg-Down, for the hour.</w:t>
            </w:r>
          </w:p>
        </w:tc>
      </w:tr>
      <w:tr w:rsidR="008C5104" w:rsidRPr="007E46C9" w14:paraId="44A04468" w14:textId="77777777" w:rsidTr="008C5104">
        <w:tc>
          <w:tcPr>
            <w:tcW w:w="849" w:type="pct"/>
            <w:tcBorders>
              <w:top w:val="single" w:sz="4" w:space="0" w:color="auto"/>
              <w:left w:val="single" w:sz="4" w:space="0" w:color="auto"/>
              <w:bottom w:val="single" w:sz="4" w:space="0" w:color="auto"/>
              <w:right w:val="single" w:sz="4" w:space="0" w:color="auto"/>
            </w:tcBorders>
          </w:tcPr>
          <w:p w14:paraId="7EFA6DF6"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8598507" w14:textId="77777777" w:rsidR="008C5104" w:rsidRPr="007E46C9" w:rsidRDefault="008C5104" w:rsidP="008C5104">
            <w:pPr>
              <w:spacing w:after="60"/>
              <w:rPr>
                <w:iCs/>
                <w:sz w:val="20"/>
              </w:rPr>
            </w:pPr>
          </w:p>
        </w:tc>
        <w:tc>
          <w:tcPr>
            <w:tcW w:w="3691" w:type="pct"/>
            <w:tcBorders>
              <w:top w:val="single" w:sz="4" w:space="0" w:color="auto"/>
              <w:left w:val="single" w:sz="4" w:space="0" w:color="auto"/>
              <w:bottom w:val="single" w:sz="4" w:space="0" w:color="auto"/>
              <w:right w:val="single" w:sz="4" w:space="0" w:color="auto"/>
            </w:tcBorders>
          </w:tcPr>
          <w:p w14:paraId="4D5157C0"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w:t>
            </w:r>
          </w:p>
        </w:tc>
      </w:tr>
      <w:tr w:rsidR="008C5104" w:rsidRPr="007E46C9" w14:paraId="49651A50" w14:textId="77777777" w:rsidTr="008C5104">
        <w:tc>
          <w:tcPr>
            <w:tcW w:w="849" w:type="pct"/>
            <w:tcBorders>
              <w:top w:val="single" w:sz="4" w:space="0" w:color="auto"/>
              <w:left w:val="single" w:sz="4" w:space="0" w:color="auto"/>
              <w:bottom w:val="single" w:sz="4" w:space="0" w:color="auto"/>
              <w:right w:val="single" w:sz="4" w:space="0" w:color="auto"/>
            </w:tcBorders>
          </w:tcPr>
          <w:p w14:paraId="536D1396" w14:textId="77777777" w:rsidR="008C5104" w:rsidRPr="007E46C9" w:rsidRDefault="008C5104" w:rsidP="008C5104">
            <w:pPr>
              <w:rPr>
                <w:sz w:val="20"/>
              </w:rPr>
            </w:pPr>
            <w:r w:rsidRPr="007E46C9">
              <w:rPr>
                <w:sz w:val="20"/>
              </w:rPr>
              <w:t xml:space="preserve">PCRD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A95381D"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6996631C" w14:textId="77777777" w:rsidR="008C5104" w:rsidRPr="007E46C9" w:rsidRDefault="008C5104" w:rsidP="008C5104">
            <w:pPr>
              <w:rPr>
                <w:sz w:val="20"/>
              </w:rPr>
            </w:pPr>
            <w:r w:rsidRPr="007E46C9">
              <w:rPr>
                <w:i/>
                <w:sz w:val="20"/>
              </w:rPr>
              <w:t>Procured Capacity for Reg-Down per QSE in DAM</w:t>
            </w:r>
            <w:r w:rsidRPr="007E46C9">
              <w:rPr>
                <w:sz w:val="20"/>
              </w:rPr>
              <w:t xml:space="preserve">—The total Reg-Down capacity quantity awarded to QSE </w:t>
            </w:r>
            <w:r w:rsidRPr="007E46C9">
              <w:rPr>
                <w:i/>
                <w:sz w:val="20"/>
              </w:rPr>
              <w:t>q</w:t>
            </w:r>
            <w:r w:rsidRPr="007E46C9">
              <w:rPr>
                <w:sz w:val="20"/>
              </w:rPr>
              <w:t xml:space="preserve"> in the DAM for all the Resources represented by the QSE</w:t>
            </w:r>
            <w:r w:rsidR="00637160" w:rsidRPr="007E46C9">
              <w:rPr>
                <w:iCs/>
                <w:sz w:val="20"/>
              </w:rPr>
              <w:t>,</w:t>
            </w:r>
            <w:r w:rsidRPr="007E46C9">
              <w:rPr>
                <w:sz w:val="20"/>
              </w:rPr>
              <w:t xml:space="preserve"> for the hour.</w:t>
            </w:r>
          </w:p>
        </w:tc>
      </w:tr>
      <w:tr w:rsidR="008C5104" w:rsidRPr="007E46C9" w14:paraId="67479CE7" w14:textId="77777777" w:rsidTr="008C5104">
        <w:tc>
          <w:tcPr>
            <w:tcW w:w="849" w:type="pct"/>
            <w:tcBorders>
              <w:top w:val="single" w:sz="4" w:space="0" w:color="auto"/>
              <w:left w:val="single" w:sz="4" w:space="0" w:color="auto"/>
              <w:bottom w:val="single" w:sz="4" w:space="0" w:color="auto"/>
              <w:right w:val="single" w:sz="4" w:space="0" w:color="auto"/>
            </w:tcBorders>
          </w:tcPr>
          <w:p w14:paraId="46AF538B" w14:textId="77777777" w:rsidR="008C5104" w:rsidRPr="007E46C9" w:rsidRDefault="008C5104" w:rsidP="008C5104">
            <w:pPr>
              <w:rPr>
                <w:sz w:val="20"/>
              </w:rPr>
            </w:pPr>
            <w:r w:rsidRPr="007E46C9">
              <w:rPr>
                <w:sz w:val="20"/>
              </w:rPr>
              <w:t xml:space="preserve">SARDQ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F24C53A"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50AF11B8" w14:textId="77777777" w:rsidR="008C5104" w:rsidRPr="007E46C9" w:rsidRDefault="008C5104" w:rsidP="008C5104">
            <w:pPr>
              <w:rPr>
                <w:sz w:val="20"/>
              </w:rPr>
            </w:pPr>
            <w:r w:rsidRPr="007E46C9">
              <w:rPr>
                <w:i/>
                <w:sz w:val="20"/>
              </w:rPr>
              <w:t>Total Self-Arranged Reg-Down Quantity per QSE for all markets</w:t>
            </w:r>
            <w:r w:rsidRPr="007E46C9">
              <w:rPr>
                <w:sz w:val="20"/>
              </w:rPr>
              <w:t xml:space="preserve">—The sum of all self-arranged Reg-Down quantities submitted by QSE </w:t>
            </w:r>
            <w:r w:rsidRPr="007E46C9">
              <w:rPr>
                <w:i/>
                <w:sz w:val="20"/>
              </w:rPr>
              <w:t>q</w:t>
            </w:r>
            <w:r w:rsidRPr="007E46C9">
              <w:rPr>
                <w:sz w:val="20"/>
              </w:rPr>
              <w:t xml:space="preserve"> for DAM and all SASMs.</w:t>
            </w:r>
          </w:p>
        </w:tc>
      </w:tr>
      <w:tr w:rsidR="008C5104" w:rsidRPr="007E46C9" w14:paraId="53025C6F" w14:textId="77777777" w:rsidTr="008C5104">
        <w:trPr>
          <w:trHeight w:val="143"/>
        </w:trPr>
        <w:tc>
          <w:tcPr>
            <w:tcW w:w="849" w:type="pct"/>
            <w:tcBorders>
              <w:top w:val="single" w:sz="4" w:space="0" w:color="auto"/>
              <w:left w:val="single" w:sz="4" w:space="0" w:color="auto"/>
              <w:bottom w:val="single" w:sz="4" w:space="0" w:color="auto"/>
              <w:right w:val="single" w:sz="4" w:space="0" w:color="auto"/>
            </w:tcBorders>
          </w:tcPr>
          <w:p w14:paraId="415B3AAF" w14:textId="77777777" w:rsidR="008C5104" w:rsidRPr="007E46C9" w:rsidRDefault="008C5104" w:rsidP="008C5104">
            <w:pPr>
              <w:spacing w:after="60"/>
              <w:rPr>
                <w:i/>
                <w:iCs/>
                <w:sz w:val="20"/>
              </w:rPr>
            </w:pPr>
            <w:r w:rsidRPr="007E46C9">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63E73393"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37B26CBD" w14:textId="77777777" w:rsidR="008C5104" w:rsidRPr="007E46C9" w:rsidRDefault="008C5104" w:rsidP="008C5104">
            <w:pPr>
              <w:spacing w:after="60"/>
              <w:rPr>
                <w:iCs/>
                <w:sz w:val="20"/>
              </w:rPr>
            </w:pPr>
            <w:r w:rsidRPr="007E46C9">
              <w:rPr>
                <w:iCs/>
                <w:sz w:val="20"/>
              </w:rPr>
              <w:t>A QSE.</w:t>
            </w:r>
          </w:p>
        </w:tc>
      </w:tr>
      <w:tr w:rsidR="008C5104" w:rsidRPr="007E46C9" w14:paraId="022FACCB" w14:textId="77777777" w:rsidTr="008C5104">
        <w:tc>
          <w:tcPr>
            <w:tcW w:w="849" w:type="pct"/>
            <w:tcBorders>
              <w:top w:val="single" w:sz="4" w:space="0" w:color="auto"/>
              <w:left w:val="single" w:sz="4" w:space="0" w:color="auto"/>
              <w:bottom w:val="single" w:sz="4" w:space="0" w:color="auto"/>
              <w:right w:val="single" w:sz="4" w:space="0" w:color="auto"/>
            </w:tcBorders>
          </w:tcPr>
          <w:p w14:paraId="1CA0FCFF" w14:textId="77777777" w:rsidR="008C5104" w:rsidRPr="007E46C9" w:rsidRDefault="008C5104" w:rsidP="008C5104">
            <w:pPr>
              <w:spacing w:after="60"/>
              <w:rPr>
                <w:i/>
                <w:iCs/>
                <w:sz w:val="20"/>
              </w:rPr>
            </w:pPr>
            <w:r w:rsidRPr="007E46C9">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671680FA"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655ED574"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7A049F91" w14:textId="77777777" w:rsidR="008C5104" w:rsidRPr="007E46C9" w:rsidRDefault="008C5104" w:rsidP="008C5104"/>
    <w:p w14:paraId="1E6A63E2" w14:textId="77777777" w:rsidR="008C5104" w:rsidRPr="007E46C9" w:rsidRDefault="008C5104" w:rsidP="008C5104">
      <w:pPr>
        <w:spacing w:after="240"/>
        <w:ind w:left="1440" w:hanging="720"/>
      </w:pPr>
      <w:r w:rsidRPr="007E46C9">
        <w:t>(c)</w:t>
      </w:r>
      <w:r w:rsidRPr="007E46C9">
        <w:tab/>
        <w:t>The adjustment to each QSE’s DAM charge for the Reg-Down for the Operating Hour, due to changes during the Adjustment Period or Real-Time operations, is calculated as follows:</w:t>
      </w:r>
    </w:p>
    <w:p w14:paraId="7286965D" w14:textId="77777777" w:rsidR="008C5104" w:rsidRPr="007E46C9" w:rsidRDefault="008C5104" w:rsidP="008C5104">
      <w:pPr>
        <w:spacing w:after="240"/>
        <w:ind w:left="2880" w:hanging="2160"/>
        <w:rPr>
          <w:b/>
          <w:bCs/>
        </w:rPr>
      </w:pPr>
      <w:r w:rsidRPr="007E46C9">
        <w:rPr>
          <w:b/>
          <w:bCs/>
        </w:rPr>
        <w:t xml:space="preserve">RTRDAMT </w:t>
      </w:r>
      <w:r w:rsidRPr="007E46C9">
        <w:rPr>
          <w:b/>
          <w:bCs/>
          <w:i/>
          <w:vertAlign w:val="subscript"/>
        </w:rPr>
        <w:t>q</w:t>
      </w:r>
      <w:r w:rsidRPr="007E46C9">
        <w:rPr>
          <w:b/>
          <w:bCs/>
        </w:rPr>
        <w:tab/>
        <w:t>=</w:t>
      </w:r>
      <w:r w:rsidRPr="007E46C9">
        <w:rPr>
          <w:b/>
          <w:bCs/>
        </w:rPr>
        <w:tab/>
        <w:t xml:space="preserve">RDCOST </w:t>
      </w:r>
      <w:r w:rsidRPr="007E46C9">
        <w:rPr>
          <w:b/>
          <w:bCs/>
          <w:i/>
          <w:vertAlign w:val="subscript"/>
        </w:rPr>
        <w:t>q</w:t>
      </w:r>
      <w:r w:rsidRPr="007E46C9">
        <w:rPr>
          <w:b/>
          <w:bCs/>
        </w:rPr>
        <w:t xml:space="preserve"> – DARDAMT </w:t>
      </w:r>
      <w:r w:rsidRPr="007E46C9">
        <w:rPr>
          <w:b/>
          <w:bCs/>
          <w:i/>
          <w:vertAlign w:val="subscript"/>
        </w:rPr>
        <w:t>q</w:t>
      </w:r>
    </w:p>
    <w:p w14:paraId="30434FA5"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8C5104" w:rsidRPr="007E46C9" w14:paraId="28E5CD36" w14:textId="77777777" w:rsidTr="008C5104">
        <w:tc>
          <w:tcPr>
            <w:tcW w:w="824" w:type="pct"/>
          </w:tcPr>
          <w:p w14:paraId="2153291C" w14:textId="77777777" w:rsidR="008C5104" w:rsidRPr="007E46C9" w:rsidRDefault="008C5104" w:rsidP="008C5104">
            <w:pPr>
              <w:spacing w:after="120"/>
              <w:rPr>
                <w:b/>
                <w:iCs/>
                <w:sz w:val="20"/>
              </w:rPr>
            </w:pPr>
            <w:r w:rsidRPr="007E46C9">
              <w:rPr>
                <w:b/>
                <w:iCs/>
                <w:sz w:val="20"/>
              </w:rPr>
              <w:t>Variable</w:t>
            </w:r>
          </w:p>
        </w:tc>
        <w:tc>
          <w:tcPr>
            <w:tcW w:w="463" w:type="pct"/>
          </w:tcPr>
          <w:p w14:paraId="0E5CEB8B" w14:textId="77777777" w:rsidR="008C5104" w:rsidRPr="007E46C9" w:rsidRDefault="008C5104" w:rsidP="008C5104">
            <w:pPr>
              <w:spacing w:after="120"/>
              <w:rPr>
                <w:b/>
                <w:iCs/>
                <w:sz w:val="20"/>
              </w:rPr>
            </w:pPr>
            <w:r w:rsidRPr="007E46C9">
              <w:rPr>
                <w:b/>
                <w:iCs/>
                <w:sz w:val="20"/>
              </w:rPr>
              <w:t>Unit</w:t>
            </w:r>
          </w:p>
        </w:tc>
        <w:tc>
          <w:tcPr>
            <w:tcW w:w="3713" w:type="pct"/>
          </w:tcPr>
          <w:p w14:paraId="1DC4FB34" w14:textId="77777777" w:rsidR="008C5104" w:rsidRPr="007E46C9" w:rsidRDefault="008C5104" w:rsidP="008C5104">
            <w:pPr>
              <w:spacing w:after="120"/>
              <w:rPr>
                <w:b/>
                <w:iCs/>
                <w:sz w:val="20"/>
              </w:rPr>
            </w:pPr>
            <w:r w:rsidRPr="007E46C9">
              <w:rPr>
                <w:b/>
                <w:iCs/>
                <w:sz w:val="20"/>
              </w:rPr>
              <w:t>Description</w:t>
            </w:r>
          </w:p>
        </w:tc>
      </w:tr>
      <w:tr w:rsidR="008C5104" w:rsidRPr="007E46C9" w14:paraId="185D3644" w14:textId="77777777" w:rsidTr="008C5104">
        <w:tc>
          <w:tcPr>
            <w:tcW w:w="824" w:type="pct"/>
          </w:tcPr>
          <w:p w14:paraId="12FE69DC" w14:textId="77777777" w:rsidR="008C5104" w:rsidRPr="007E46C9" w:rsidRDefault="008C5104" w:rsidP="008C5104">
            <w:pPr>
              <w:spacing w:after="60"/>
              <w:rPr>
                <w:iCs/>
                <w:sz w:val="20"/>
              </w:rPr>
            </w:pPr>
            <w:r w:rsidRPr="007E46C9">
              <w:rPr>
                <w:iCs/>
                <w:sz w:val="20"/>
              </w:rPr>
              <w:t xml:space="preserve">RTRDAMT </w:t>
            </w:r>
            <w:r w:rsidRPr="007E46C9">
              <w:rPr>
                <w:i/>
                <w:iCs/>
                <w:sz w:val="20"/>
                <w:vertAlign w:val="subscript"/>
              </w:rPr>
              <w:t>q</w:t>
            </w:r>
          </w:p>
        </w:tc>
        <w:tc>
          <w:tcPr>
            <w:tcW w:w="463" w:type="pct"/>
          </w:tcPr>
          <w:p w14:paraId="452FDD36" w14:textId="77777777" w:rsidR="008C5104" w:rsidRPr="007E46C9" w:rsidRDefault="008C5104" w:rsidP="008C5104">
            <w:pPr>
              <w:spacing w:after="60"/>
              <w:rPr>
                <w:iCs/>
                <w:sz w:val="20"/>
              </w:rPr>
            </w:pPr>
            <w:r w:rsidRPr="007E46C9">
              <w:rPr>
                <w:iCs/>
                <w:sz w:val="20"/>
              </w:rPr>
              <w:t>$</w:t>
            </w:r>
          </w:p>
        </w:tc>
        <w:tc>
          <w:tcPr>
            <w:tcW w:w="3713" w:type="pct"/>
          </w:tcPr>
          <w:p w14:paraId="5846349C" w14:textId="77777777" w:rsidR="008C5104" w:rsidRPr="007E46C9" w:rsidRDefault="008C5104" w:rsidP="008C5104">
            <w:pPr>
              <w:spacing w:after="60"/>
              <w:rPr>
                <w:iCs/>
                <w:sz w:val="20"/>
              </w:rPr>
            </w:pPr>
            <w:r w:rsidRPr="007E46C9">
              <w:rPr>
                <w:i/>
                <w:iCs/>
                <w:sz w:val="20"/>
              </w:rPr>
              <w:t>Real-Time Reg-Down Amount per QSE</w:t>
            </w:r>
            <w:r w:rsidRPr="007E46C9">
              <w:rPr>
                <w:iCs/>
                <w:sz w:val="20"/>
              </w:rPr>
              <w:t xml:space="preserve">—The adjustment to QSE </w:t>
            </w:r>
            <w:r w:rsidRPr="007E46C9">
              <w:rPr>
                <w:i/>
                <w:iCs/>
                <w:sz w:val="20"/>
              </w:rPr>
              <w:t>q</w:t>
            </w:r>
            <w:r w:rsidRPr="007E46C9">
              <w:rPr>
                <w:iCs/>
                <w:sz w:val="20"/>
              </w:rPr>
              <w:t>’s share of the costs for Reg-Down, for the hour.</w:t>
            </w:r>
          </w:p>
        </w:tc>
      </w:tr>
      <w:tr w:rsidR="008C5104" w:rsidRPr="007E46C9" w14:paraId="0AAB9C9F" w14:textId="77777777" w:rsidTr="008C5104">
        <w:tc>
          <w:tcPr>
            <w:tcW w:w="824" w:type="pct"/>
          </w:tcPr>
          <w:p w14:paraId="4AF79044" w14:textId="77777777" w:rsidR="008C5104" w:rsidRPr="007E46C9" w:rsidRDefault="008C5104" w:rsidP="008C5104">
            <w:pPr>
              <w:spacing w:after="60"/>
              <w:rPr>
                <w:iCs/>
                <w:sz w:val="20"/>
              </w:rPr>
            </w:pPr>
            <w:r w:rsidRPr="007E46C9">
              <w:rPr>
                <w:iCs/>
                <w:sz w:val="20"/>
              </w:rPr>
              <w:t xml:space="preserve">RDCOST </w:t>
            </w:r>
            <w:r w:rsidRPr="007E46C9">
              <w:rPr>
                <w:i/>
                <w:iCs/>
                <w:sz w:val="20"/>
                <w:vertAlign w:val="subscript"/>
              </w:rPr>
              <w:t>q</w:t>
            </w:r>
          </w:p>
        </w:tc>
        <w:tc>
          <w:tcPr>
            <w:tcW w:w="463" w:type="pct"/>
          </w:tcPr>
          <w:p w14:paraId="16665813" w14:textId="77777777" w:rsidR="008C5104" w:rsidRPr="007E46C9" w:rsidRDefault="008C5104" w:rsidP="008C5104">
            <w:pPr>
              <w:spacing w:after="60"/>
              <w:rPr>
                <w:iCs/>
                <w:sz w:val="20"/>
              </w:rPr>
            </w:pPr>
            <w:r w:rsidRPr="007E46C9">
              <w:rPr>
                <w:iCs/>
                <w:sz w:val="20"/>
              </w:rPr>
              <w:t>$</w:t>
            </w:r>
          </w:p>
        </w:tc>
        <w:tc>
          <w:tcPr>
            <w:tcW w:w="3713" w:type="pct"/>
          </w:tcPr>
          <w:p w14:paraId="6F4D7C6F" w14:textId="77777777" w:rsidR="008C5104" w:rsidRPr="007E46C9" w:rsidRDefault="008C5104" w:rsidP="008C5104">
            <w:pPr>
              <w:spacing w:after="60"/>
              <w:rPr>
                <w:iCs/>
                <w:sz w:val="20"/>
              </w:rPr>
            </w:pPr>
            <w:r w:rsidRPr="007E46C9">
              <w:rPr>
                <w:i/>
                <w:iCs/>
                <w:sz w:val="20"/>
              </w:rPr>
              <w:t>Reg-Down Cost per QSE</w:t>
            </w:r>
            <w:r w:rsidRPr="007E46C9">
              <w:rPr>
                <w:iCs/>
                <w:sz w:val="20"/>
              </w:rPr>
              <w:t xml:space="preserve">—QSE </w:t>
            </w:r>
            <w:r w:rsidRPr="007E46C9">
              <w:rPr>
                <w:i/>
                <w:iCs/>
                <w:sz w:val="20"/>
              </w:rPr>
              <w:t>q</w:t>
            </w:r>
            <w:r w:rsidRPr="007E46C9">
              <w:rPr>
                <w:iCs/>
                <w:sz w:val="20"/>
              </w:rPr>
              <w:t>’s share of the net total costs for Reg-Down, for the hour.</w:t>
            </w:r>
          </w:p>
        </w:tc>
      </w:tr>
      <w:tr w:rsidR="008C5104" w:rsidRPr="007E46C9" w14:paraId="75F2CA76" w14:textId="77777777" w:rsidTr="008C5104">
        <w:tc>
          <w:tcPr>
            <w:tcW w:w="824" w:type="pct"/>
          </w:tcPr>
          <w:p w14:paraId="74A4419F" w14:textId="77777777" w:rsidR="008C5104" w:rsidRPr="007E46C9" w:rsidRDefault="008C5104" w:rsidP="008C5104">
            <w:pPr>
              <w:spacing w:after="60"/>
              <w:rPr>
                <w:iCs/>
                <w:sz w:val="20"/>
              </w:rPr>
            </w:pPr>
            <w:r w:rsidRPr="007E46C9">
              <w:rPr>
                <w:iCs/>
                <w:sz w:val="20"/>
              </w:rPr>
              <w:t xml:space="preserve">DARDAMT </w:t>
            </w:r>
            <w:r w:rsidRPr="007E46C9">
              <w:rPr>
                <w:i/>
                <w:iCs/>
                <w:sz w:val="20"/>
                <w:vertAlign w:val="subscript"/>
              </w:rPr>
              <w:t>q</w:t>
            </w:r>
          </w:p>
        </w:tc>
        <w:tc>
          <w:tcPr>
            <w:tcW w:w="463" w:type="pct"/>
          </w:tcPr>
          <w:p w14:paraId="5C766400" w14:textId="77777777" w:rsidR="008C5104" w:rsidRPr="007E46C9" w:rsidRDefault="008C5104" w:rsidP="008C5104">
            <w:pPr>
              <w:spacing w:after="60"/>
              <w:rPr>
                <w:iCs/>
                <w:sz w:val="20"/>
              </w:rPr>
            </w:pPr>
            <w:r w:rsidRPr="007E46C9">
              <w:rPr>
                <w:iCs/>
                <w:sz w:val="20"/>
              </w:rPr>
              <w:t>$</w:t>
            </w:r>
          </w:p>
        </w:tc>
        <w:tc>
          <w:tcPr>
            <w:tcW w:w="3713" w:type="pct"/>
          </w:tcPr>
          <w:p w14:paraId="44E73BED" w14:textId="77777777" w:rsidR="008C5104" w:rsidRPr="007E46C9" w:rsidRDefault="008C5104" w:rsidP="008C5104">
            <w:pPr>
              <w:spacing w:after="60"/>
              <w:rPr>
                <w:iCs/>
                <w:sz w:val="20"/>
              </w:rPr>
            </w:pPr>
            <w:r w:rsidRPr="007E46C9">
              <w:rPr>
                <w:i/>
                <w:iCs/>
                <w:sz w:val="20"/>
              </w:rPr>
              <w:t>Day-Ahead Reg-Down Amount per QSE</w:t>
            </w:r>
            <w:r w:rsidRPr="007E46C9">
              <w:rPr>
                <w:iCs/>
                <w:sz w:val="20"/>
              </w:rPr>
              <w:t xml:space="preserve">—QSE </w:t>
            </w:r>
            <w:r w:rsidRPr="007E46C9">
              <w:rPr>
                <w:i/>
                <w:iCs/>
                <w:sz w:val="20"/>
              </w:rPr>
              <w:t>q</w:t>
            </w:r>
            <w:r w:rsidRPr="007E46C9">
              <w:rPr>
                <w:iCs/>
                <w:sz w:val="20"/>
              </w:rPr>
              <w:t>’s share of the DAM cost for Reg-Down, for the hour.</w:t>
            </w:r>
          </w:p>
        </w:tc>
      </w:tr>
      <w:tr w:rsidR="008C5104" w:rsidRPr="007E46C9" w14:paraId="458FB538" w14:textId="77777777" w:rsidTr="008C5104">
        <w:tc>
          <w:tcPr>
            <w:tcW w:w="824" w:type="pct"/>
            <w:tcBorders>
              <w:top w:val="single" w:sz="4" w:space="0" w:color="auto"/>
              <w:left w:val="single" w:sz="4" w:space="0" w:color="auto"/>
              <w:bottom w:val="single" w:sz="4" w:space="0" w:color="auto"/>
              <w:right w:val="single" w:sz="4" w:space="0" w:color="auto"/>
            </w:tcBorders>
          </w:tcPr>
          <w:p w14:paraId="7E4E0920" w14:textId="77777777" w:rsidR="008C5104" w:rsidRPr="007E46C9" w:rsidRDefault="008C5104" w:rsidP="008C5104">
            <w:pPr>
              <w:spacing w:after="60"/>
              <w:rPr>
                <w:i/>
                <w:iCs/>
                <w:sz w:val="20"/>
              </w:rPr>
            </w:pPr>
            <w:r w:rsidRPr="007E46C9">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12C0FEFF" w14:textId="77777777" w:rsidR="008C5104" w:rsidRPr="007E46C9" w:rsidRDefault="008C5104" w:rsidP="008C5104">
            <w:pPr>
              <w:spacing w:after="60"/>
              <w:rPr>
                <w:iCs/>
                <w:sz w:val="20"/>
              </w:rPr>
            </w:pPr>
            <w:r w:rsidRPr="007E46C9">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1103458C" w14:textId="77777777" w:rsidR="008C5104" w:rsidRPr="007E46C9" w:rsidRDefault="008C5104" w:rsidP="008C5104">
            <w:pPr>
              <w:spacing w:after="60"/>
              <w:rPr>
                <w:iCs/>
                <w:sz w:val="20"/>
              </w:rPr>
            </w:pPr>
            <w:r w:rsidRPr="007E46C9">
              <w:rPr>
                <w:iCs/>
                <w:sz w:val="20"/>
              </w:rPr>
              <w:t>A QSE.</w:t>
            </w:r>
          </w:p>
        </w:tc>
      </w:tr>
    </w:tbl>
    <w:p w14:paraId="35280960" w14:textId="77777777" w:rsidR="008C5104" w:rsidRPr="007E46C9" w:rsidRDefault="008C5104" w:rsidP="008C5104">
      <w:pPr>
        <w:spacing w:before="240" w:after="240"/>
        <w:ind w:left="720" w:hanging="720"/>
        <w:rPr>
          <w:iCs/>
        </w:rPr>
      </w:pPr>
      <w:r w:rsidRPr="007E46C9">
        <w:rPr>
          <w:iCs/>
        </w:rPr>
        <w:t>(4)</w:t>
      </w:r>
      <w:r w:rsidRPr="007E46C9">
        <w:rPr>
          <w:iCs/>
        </w:rPr>
        <w:tab/>
        <w:t>For RRS, if applicable:</w:t>
      </w:r>
    </w:p>
    <w:p w14:paraId="5BFC6E28" w14:textId="77777777" w:rsidR="008C5104" w:rsidRPr="007E46C9" w:rsidRDefault="008C5104" w:rsidP="008C5104">
      <w:pPr>
        <w:spacing w:after="240"/>
        <w:ind w:left="1440" w:hanging="720"/>
      </w:pPr>
      <w:r w:rsidRPr="007E46C9">
        <w:t>(a)</w:t>
      </w:r>
      <w:r w:rsidRPr="007E46C9">
        <w:tab/>
        <w:t>The net total costs for RRS for a given Operating Hour is calculated as follows:</w:t>
      </w:r>
    </w:p>
    <w:p w14:paraId="7E1ADCE7" w14:textId="57EB02C1" w:rsidR="008C5104" w:rsidRDefault="008C5104" w:rsidP="008C5104">
      <w:pPr>
        <w:spacing w:after="120"/>
        <w:ind w:left="3600" w:hanging="2880"/>
        <w:rPr>
          <w:b/>
          <w:bCs/>
        </w:rPr>
      </w:pPr>
      <w:r w:rsidRPr="007E46C9">
        <w:rPr>
          <w:b/>
          <w:bCs/>
        </w:rPr>
        <w:t>RRCOSTTOT</w:t>
      </w:r>
      <w:r w:rsidRPr="007E46C9">
        <w:rPr>
          <w:b/>
          <w:bCs/>
        </w:rPr>
        <w:tab/>
        <w:t>=</w:t>
      </w:r>
      <w:r w:rsidRPr="007E46C9">
        <w:rPr>
          <w:b/>
          <w:bCs/>
        </w:rPr>
        <w:tab/>
        <w:t>(-1) * (</w:t>
      </w:r>
      <w:r w:rsidR="00A94020">
        <w:rPr>
          <w:b/>
          <w:bCs/>
          <w:noProof/>
          <w:position w:val="-20"/>
        </w:rPr>
        <w:drawing>
          <wp:inline distT="0" distB="0" distL="0" distR="0" wp14:anchorId="045046D4" wp14:editId="265CF9E1">
            <wp:extent cx="142875" cy="2762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(RTPCRRAMTTOT </w:t>
      </w:r>
      <w:r w:rsidRPr="007E46C9">
        <w:rPr>
          <w:b/>
          <w:bCs/>
          <w:i/>
          <w:vertAlign w:val="subscript"/>
        </w:rPr>
        <w:t>m</w:t>
      </w:r>
      <w:r w:rsidRPr="007E46C9">
        <w:rPr>
          <w:rFonts w:ascii="Times New Roman Bold" w:hAnsi="Times New Roman Bold"/>
          <w:b/>
          <w:bCs/>
        </w:rPr>
        <w:t>)</w:t>
      </w:r>
      <w:r w:rsidRPr="007E46C9">
        <w:rPr>
          <w:b/>
          <w:bCs/>
        </w:rPr>
        <w:t xml:space="preserve"> +    </w:t>
      </w:r>
      <w:r w:rsidRPr="007E46C9">
        <w:rPr>
          <w:b/>
          <w:bCs/>
        </w:rPr>
        <w:tab/>
        <w:t>PCRRAMTTOT  + RRFQAMTTOT</w:t>
      </w:r>
      <w:r w:rsidRPr="00D66F53">
        <w:rPr>
          <w:b/>
          <w:bCs/>
        </w:rPr>
        <w:t xml:space="preserve"> + </w:t>
      </w:r>
    </w:p>
    <w:p w14:paraId="67998B18" w14:textId="77777777" w:rsidR="008C5104" w:rsidRPr="007E46C9" w:rsidRDefault="008C5104" w:rsidP="008C5104">
      <w:pPr>
        <w:spacing w:after="240"/>
        <w:ind w:left="3600" w:firstLine="720"/>
        <w:rPr>
          <w:b/>
          <w:bCs/>
        </w:rPr>
      </w:pPr>
      <w:r w:rsidRPr="00D66F53">
        <w:rPr>
          <w:b/>
          <w:bCs/>
        </w:rPr>
        <w:t>RRINFQAMTTOT</w:t>
      </w:r>
      <w:r w:rsidRPr="007E46C9">
        <w:rPr>
          <w:b/>
          <w:bCs/>
        </w:rPr>
        <w:t>)</w:t>
      </w:r>
    </w:p>
    <w:p w14:paraId="0879F742" w14:textId="77777777" w:rsidR="008C5104" w:rsidRPr="007E46C9" w:rsidRDefault="008C5104" w:rsidP="008C5104">
      <w:pPr>
        <w:spacing w:after="240"/>
        <w:rPr>
          <w:iCs/>
        </w:rPr>
      </w:pPr>
      <w:r w:rsidRPr="007E46C9">
        <w:rPr>
          <w:iCs/>
        </w:rPr>
        <w:t xml:space="preserve">Where: </w:t>
      </w:r>
    </w:p>
    <w:p w14:paraId="4A0F42CB" w14:textId="77777777" w:rsidR="008C5104" w:rsidRPr="007E46C9" w:rsidRDefault="008C5104" w:rsidP="008C5104">
      <w:r w:rsidRPr="007E46C9">
        <w:t>Total payment of SASM- and RSASM-procured capacity for RRS by market</w:t>
      </w:r>
    </w:p>
    <w:p w14:paraId="468238D7" w14:textId="62B20F2B" w:rsidR="008C5104" w:rsidRPr="007E46C9" w:rsidRDefault="008C5104" w:rsidP="008C5104">
      <w:pPr>
        <w:spacing w:after="240"/>
        <w:ind w:leftChars="300" w:left="2880" w:hangingChars="900" w:hanging="2160"/>
        <w:rPr>
          <w:bCs/>
          <w:i/>
          <w:vertAlign w:val="subscript"/>
        </w:rPr>
      </w:pPr>
      <w:r w:rsidRPr="007E46C9">
        <w:rPr>
          <w:bCs/>
        </w:rPr>
        <w:t xml:space="preserve">RTPCRRAMTTOT </w:t>
      </w:r>
      <w:r w:rsidRPr="007E46C9">
        <w:rPr>
          <w:bCs/>
          <w:i/>
          <w:vertAlign w:val="subscript"/>
        </w:rPr>
        <w:t>m</w:t>
      </w:r>
      <w:r w:rsidRPr="007E46C9">
        <w:rPr>
          <w:bCs/>
        </w:rPr>
        <w:tab/>
      </w:r>
      <w:r w:rsidRPr="007E46C9">
        <w:rPr>
          <w:bCs/>
        </w:rPr>
        <w:tab/>
        <w:t>=</w:t>
      </w:r>
      <w:r w:rsidRPr="007E46C9">
        <w:rPr>
          <w:bCs/>
        </w:rPr>
        <w:tab/>
      </w:r>
      <w:r w:rsidR="00A94020">
        <w:rPr>
          <w:bCs/>
          <w:noProof/>
          <w:position w:val="-22"/>
        </w:rPr>
        <w:drawing>
          <wp:inline distT="0" distB="0" distL="0" distR="0" wp14:anchorId="16B9EA04" wp14:editId="1986C7F7">
            <wp:extent cx="142875" cy="2952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RTPCRRAMT </w:t>
      </w:r>
      <w:r w:rsidRPr="007E46C9">
        <w:rPr>
          <w:bCs/>
          <w:i/>
          <w:vertAlign w:val="subscript"/>
        </w:rPr>
        <w:t>q, m</w:t>
      </w:r>
    </w:p>
    <w:p w14:paraId="0CCB7ACF" w14:textId="77777777" w:rsidR="008C5104" w:rsidRPr="007E46C9" w:rsidRDefault="008C5104" w:rsidP="008C5104">
      <w:r w:rsidRPr="007E46C9">
        <w:t>Total payment of DAM-procured capacity for RRS</w:t>
      </w:r>
    </w:p>
    <w:p w14:paraId="7532FD7C" w14:textId="1585BA99" w:rsidR="008C5104" w:rsidRPr="007E46C9" w:rsidRDefault="008C5104" w:rsidP="008C5104">
      <w:pPr>
        <w:spacing w:after="240"/>
        <w:ind w:leftChars="300" w:left="2880" w:hangingChars="900" w:hanging="2160"/>
        <w:rPr>
          <w:bCs/>
        </w:rPr>
      </w:pPr>
      <w:r w:rsidRPr="007E46C9">
        <w:rPr>
          <w:bCs/>
        </w:rPr>
        <w:t>PCRRAMTTOT</w:t>
      </w:r>
      <w:r w:rsidRPr="007E46C9">
        <w:rPr>
          <w:bCs/>
          <w:i/>
          <w:vertAlign w:val="subscript"/>
        </w:rPr>
        <w:tab/>
      </w:r>
      <w:r w:rsidRPr="007E46C9">
        <w:rPr>
          <w:bCs/>
          <w:i/>
          <w:vertAlign w:val="subscript"/>
        </w:rPr>
        <w:tab/>
      </w:r>
      <w:r w:rsidRPr="007E46C9">
        <w:rPr>
          <w:bCs/>
        </w:rPr>
        <w:t>=</w:t>
      </w:r>
      <w:r w:rsidRPr="007E46C9">
        <w:rPr>
          <w:bCs/>
        </w:rPr>
        <w:tab/>
      </w:r>
      <w:r w:rsidR="00A94020">
        <w:rPr>
          <w:bCs/>
          <w:noProof/>
          <w:position w:val="-22"/>
        </w:rPr>
        <w:drawing>
          <wp:inline distT="0" distB="0" distL="0" distR="0" wp14:anchorId="75535B5D" wp14:editId="144AD2CD">
            <wp:extent cx="142875" cy="2952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PCRRAMT </w:t>
      </w:r>
      <w:r w:rsidRPr="007E46C9">
        <w:rPr>
          <w:bCs/>
          <w:i/>
          <w:vertAlign w:val="subscript"/>
        </w:rPr>
        <w:t>q</w:t>
      </w:r>
    </w:p>
    <w:p w14:paraId="40337748" w14:textId="77777777" w:rsidR="008C5104" w:rsidRPr="007E46C9" w:rsidRDefault="008C5104" w:rsidP="008C5104">
      <w:r w:rsidRPr="007E46C9">
        <w:t>Total charge of failure on Ancillary Service Supply Responsibility for RRS</w:t>
      </w:r>
    </w:p>
    <w:p w14:paraId="1173DB1A" w14:textId="567C3087" w:rsidR="008C5104" w:rsidRPr="007E46C9" w:rsidRDefault="008C5104" w:rsidP="008C5104">
      <w:pPr>
        <w:spacing w:after="240"/>
        <w:ind w:leftChars="300" w:left="2880" w:hangingChars="900" w:hanging="2160"/>
        <w:rPr>
          <w:bCs/>
          <w:i/>
          <w:vertAlign w:val="subscript"/>
        </w:rPr>
      </w:pPr>
      <w:r w:rsidRPr="007E46C9">
        <w:rPr>
          <w:bCs/>
        </w:rPr>
        <w:t>RRFQAMTTOT</w:t>
      </w:r>
      <w:r w:rsidRPr="007E46C9">
        <w:rPr>
          <w:bCs/>
        </w:rPr>
        <w:tab/>
      </w:r>
      <w:r w:rsidRPr="007E46C9">
        <w:rPr>
          <w:bCs/>
        </w:rPr>
        <w:tab/>
        <w:t>=</w:t>
      </w:r>
      <w:r w:rsidRPr="007E46C9">
        <w:rPr>
          <w:bCs/>
        </w:rPr>
        <w:tab/>
      </w:r>
      <w:r w:rsidR="00A94020">
        <w:rPr>
          <w:bCs/>
          <w:noProof/>
          <w:position w:val="-22"/>
        </w:rPr>
        <w:drawing>
          <wp:inline distT="0" distB="0" distL="0" distR="0" wp14:anchorId="19E4FCAB" wp14:editId="73C7E3D4">
            <wp:extent cx="142875" cy="2952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RRFQAMTQSETOT </w:t>
      </w:r>
      <w:r w:rsidRPr="007E46C9">
        <w:rPr>
          <w:bCs/>
          <w:i/>
          <w:vertAlign w:val="subscript"/>
        </w:rPr>
        <w:t>q</w:t>
      </w:r>
    </w:p>
    <w:p w14:paraId="24A93509" w14:textId="77777777" w:rsidR="008C5104" w:rsidRPr="007E46C9" w:rsidRDefault="008C5104" w:rsidP="008C5104">
      <w:pPr>
        <w:ind w:left="300" w:hangingChars="125" w:hanging="300"/>
        <w:rPr>
          <w:bCs/>
        </w:rPr>
      </w:pPr>
      <w:r w:rsidRPr="007E46C9">
        <w:rPr>
          <w:bCs/>
        </w:rPr>
        <w:t>Total payment of SASM- and RSASM-procured capacity RRS Service by QSE</w:t>
      </w:r>
    </w:p>
    <w:p w14:paraId="0A6463C7" w14:textId="4AC37BF2" w:rsidR="008C5104" w:rsidRPr="007E46C9" w:rsidRDefault="008C5104" w:rsidP="008C5104">
      <w:pPr>
        <w:spacing w:after="240"/>
        <w:ind w:leftChars="300" w:left="2880" w:hangingChars="900" w:hanging="2160"/>
        <w:rPr>
          <w:bCs/>
          <w:i/>
          <w:vertAlign w:val="subscript"/>
        </w:rPr>
      </w:pPr>
      <w:r w:rsidRPr="007E46C9">
        <w:rPr>
          <w:bCs/>
        </w:rPr>
        <w:t xml:space="preserve">RTPCRRAMTQSETOT </w:t>
      </w:r>
      <w:r w:rsidRPr="007E46C9">
        <w:rPr>
          <w:bCs/>
          <w:i/>
          <w:vertAlign w:val="subscript"/>
        </w:rPr>
        <w:t>q</w:t>
      </w:r>
      <w:r w:rsidRPr="007E46C9">
        <w:rPr>
          <w:bCs/>
        </w:rPr>
        <w:t xml:space="preserve"> </w:t>
      </w:r>
      <w:r w:rsidRPr="007E46C9">
        <w:rPr>
          <w:bCs/>
        </w:rPr>
        <w:tab/>
        <w:t>=</w:t>
      </w:r>
      <w:r w:rsidRPr="007E46C9">
        <w:rPr>
          <w:bCs/>
        </w:rPr>
        <w:tab/>
      </w:r>
      <w:r w:rsidR="00A94020">
        <w:rPr>
          <w:bCs/>
          <w:noProof/>
          <w:position w:val="-20"/>
        </w:rPr>
        <w:drawing>
          <wp:inline distT="0" distB="0" distL="0" distR="0" wp14:anchorId="00BDE598" wp14:editId="5B78F7B3">
            <wp:extent cx="142875" cy="2762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RTPCRRAMT </w:t>
      </w:r>
      <w:r w:rsidRPr="007E46C9">
        <w:rPr>
          <w:bCs/>
          <w:i/>
          <w:vertAlign w:val="subscript"/>
        </w:rPr>
        <w:t>q, m</w:t>
      </w:r>
    </w:p>
    <w:p w14:paraId="48548409" w14:textId="77777777" w:rsidR="008C5104" w:rsidRDefault="008C5104" w:rsidP="008C5104">
      <w:r>
        <w:t>Total charge of infeasible Ancillary Service Supply Responsibility for RRS</w:t>
      </w:r>
    </w:p>
    <w:p w14:paraId="6D5A36B1" w14:textId="77777777" w:rsidR="008C5104" w:rsidRDefault="008C5104" w:rsidP="00EE4598">
      <w:pPr>
        <w:spacing w:after="240"/>
        <w:ind w:left="2880" w:hanging="2160"/>
      </w:pPr>
      <w:r>
        <w:t>RRINF</w:t>
      </w:r>
      <w:r w:rsidRPr="0070611B">
        <w:t>QAMT</w:t>
      </w:r>
      <w:r>
        <w:t>TOT</w:t>
      </w:r>
      <w:r>
        <w:tab/>
        <w:t>=</w:t>
      </w:r>
      <w:r>
        <w:tab/>
      </w:r>
      <w:r w:rsidRPr="006F784F">
        <w:rPr>
          <w:position w:val="-22"/>
          <w:lang w:val="pt-BR"/>
        </w:rPr>
        <w:object w:dxaOrig="225" w:dyaOrig="465" w14:anchorId="101DB7E9">
          <v:shape id="_x0000_i1353" type="#_x0000_t75" style="width:12pt;height:18pt" o:ole="">
            <v:imagedata r:id="rId433" o:title=""/>
          </v:shape>
          <o:OLEObject Type="Embed" ProgID="Equation.3" ShapeID="_x0000_i1353" DrawAspect="Content" ObjectID="_1815025541" r:id="rId440"/>
        </w:object>
      </w:r>
      <w:r w:rsidRPr="002A7C17">
        <w:t xml:space="preserve"> </w:t>
      </w:r>
      <w:r>
        <w:t xml:space="preserve">RRINFQAMT </w:t>
      </w:r>
      <w:r w:rsidRPr="00D66F53">
        <w:rPr>
          <w:i/>
          <w:vertAlign w:val="subscript"/>
        </w:rPr>
        <w:t>q</w:t>
      </w:r>
      <w:r>
        <w:rPr>
          <w:vertAlign w:val="subscript"/>
        </w:rPr>
        <w:t xml:space="preserve"> </w:t>
      </w:r>
    </w:p>
    <w:p w14:paraId="38F113F2"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8C5104" w:rsidRPr="007E46C9" w14:paraId="5941B6DF" w14:textId="77777777" w:rsidTr="008C5104">
        <w:trPr>
          <w:tblHeader/>
        </w:trPr>
        <w:tc>
          <w:tcPr>
            <w:tcW w:w="1278" w:type="pct"/>
          </w:tcPr>
          <w:p w14:paraId="1396F745" w14:textId="77777777" w:rsidR="008C5104" w:rsidRPr="007E46C9" w:rsidRDefault="008C5104" w:rsidP="008C5104">
            <w:pPr>
              <w:spacing w:after="120"/>
              <w:rPr>
                <w:b/>
                <w:iCs/>
                <w:sz w:val="20"/>
              </w:rPr>
            </w:pPr>
            <w:r w:rsidRPr="007E46C9">
              <w:rPr>
                <w:b/>
                <w:iCs/>
                <w:sz w:val="20"/>
              </w:rPr>
              <w:lastRenderedPageBreak/>
              <w:t>Variable</w:t>
            </w:r>
          </w:p>
        </w:tc>
        <w:tc>
          <w:tcPr>
            <w:tcW w:w="329" w:type="pct"/>
          </w:tcPr>
          <w:p w14:paraId="2198C911" w14:textId="77777777" w:rsidR="008C5104" w:rsidRPr="007E46C9" w:rsidRDefault="008C5104" w:rsidP="008C5104">
            <w:pPr>
              <w:spacing w:after="120"/>
              <w:rPr>
                <w:b/>
                <w:iCs/>
                <w:sz w:val="20"/>
              </w:rPr>
            </w:pPr>
            <w:r w:rsidRPr="007E46C9">
              <w:rPr>
                <w:b/>
                <w:iCs/>
                <w:sz w:val="20"/>
              </w:rPr>
              <w:t>Unit</w:t>
            </w:r>
          </w:p>
        </w:tc>
        <w:tc>
          <w:tcPr>
            <w:tcW w:w="3393" w:type="pct"/>
          </w:tcPr>
          <w:p w14:paraId="7D665116" w14:textId="77777777" w:rsidR="008C5104" w:rsidRPr="007E46C9" w:rsidRDefault="008C5104" w:rsidP="008C5104">
            <w:pPr>
              <w:spacing w:after="120"/>
              <w:rPr>
                <w:b/>
                <w:iCs/>
                <w:sz w:val="20"/>
              </w:rPr>
            </w:pPr>
            <w:r w:rsidRPr="007E46C9">
              <w:rPr>
                <w:b/>
                <w:iCs/>
                <w:sz w:val="20"/>
              </w:rPr>
              <w:t>Description</w:t>
            </w:r>
          </w:p>
        </w:tc>
      </w:tr>
      <w:tr w:rsidR="008C5104" w:rsidRPr="007E46C9" w14:paraId="12458A15" w14:textId="77777777" w:rsidTr="008C5104">
        <w:tc>
          <w:tcPr>
            <w:tcW w:w="1278" w:type="pct"/>
          </w:tcPr>
          <w:p w14:paraId="491168D8" w14:textId="77777777" w:rsidR="008C5104" w:rsidRPr="007E46C9" w:rsidRDefault="008C5104" w:rsidP="008C5104">
            <w:pPr>
              <w:spacing w:after="60"/>
              <w:rPr>
                <w:iCs/>
                <w:sz w:val="20"/>
              </w:rPr>
            </w:pPr>
            <w:r w:rsidRPr="007E46C9">
              <w:rPr>
                <w:iCs/>
                <w:sz w:val="20"/>
              </w:rPr>
              <w:t>RRCOSTTOT</w:t>
            </w:r>
          </w:p>
        </w:tc>
        <w:tc>
          <w:tcPr>
            <w:tcW w:w="329" w:type="pct"/>
          </w:tcPr>
          <w:p w14:paraId="3BF00C86" w14:textId="77777777" w:rsidR="008C5104" w:rsidRPr="007E46C9" w:rsidRDefault="008C5104" w:rsidP="008C5104">
            <w:pPr>
              <w:spacing w:after="60"/>
              <w:rPr>
                <w:iCs/>
                <w:sz w:val="20"/>
              </w:rPr>
            </w:pPr>
            <w:r w:rsidRPr="007E46C9">
              <w:rPr>
                <w:iCs/>
                <w:sz w:val="20"/>
              </w:rPr>
              <w:t>$</w:t>
            </w:r>
          </w:p>
        </w:tc>
        <w:tc>
          <w:tcPr>
            <w:tcW w:w="3393" w:type="pct"/>
          </w:tcPr>
          <w:p w14:paraId="031D334C" w14:textId="77777777" w:rsidR="008C5104" w:rsidRPr="007E46C9" w:rsidRDefault="008C5104" w:rsidP="008C5104">
            <w:pPr>
              <w:spacing w:after="60"/>
              <w:rPr>
                <w:iCs/>
                <w:sz w:val="20"/>
              </w:rPr>
            </w:pPr>
            <w:r w:rsidRPr="007E46C9">
              <w:rPr>
                <w:i/>
                <w:iCs/>
                <w:sz w:val="20"/>
              </w:rPr>
              <w:t>Responsive Reserve Cost Total</w:t>
            </w:r>
            <w:r w:rsidRPr="007E46C9">
              <w:rPr>
                <w:iCs/>
                <w:sz w:val="20"/>
              </w:rPr>
              <w:t>—The net total costs for RRS</w:t>
            </w:r>
            <w:r w:rsidR="00EE4598" w:rsidRPr="007E46C9">
              <w:rPr>
                <w:iCs/>
                <w:sz w:val="20"/>
              </w:rPr>
              <w:t>,</w:t>
            </w:r>
            <w:r w:rsidRPr="007E46C9">
              <w:rPr>
                <w:iCs/>
                <w:sz w:val="20"/>
              </w:rPr>
              <w:t xml:space="preserve"> for the hour.</w:t>
            </w:r>
          </w:p>
        </w:tc>
      </w:tr>
      <w:tr w:rsidR="008C5104" w:rsidRPr="007E46C9" w14:paraId="40359592" w14:textId="77777777" w:rsidTr="008C5104">
        <w:tc>
          <w:tcPr>
            <w:tcW w:w="1278" w:type="pct"/>
            <w:tcBorders>
              <w:top w:val="single" w:sz="4" w:space="0" w:color="auto"/>
              <w:left w:val="single" w:sz="4" w:space="0" w:color="auto"/>
              <w:bottom w:val="single" w:sz="4" w:space="0" w:color="auto"/>
              <w:right w:val="single" w:sz="4" w:space="0" w:color="auto"/>
            </w:tcBorders>
          </w:tcPr>
          <w:p w14:paraId="10CF0633" w14:textId="77777777" w:rsidR="008C5104" w:rsidRPr="007E46C9" w:rsidRDefault="008C5104" w:rsidP="008C5104">
            <w:pPr>
              <w:spacing w:after="60"/>
              <w:rPr>
                <w:iCs/>
                <w:sz w:val="20"/>
              </w:rPr>
            </w:pPr>
            <w:r w:rsidRPr="007E46C9">
              <w:rPr>
                <w:iCs/>
                <w:sz w:val="20"/>
              </w:rPr>
              <w:t xml:space="preserve">RTPCRRAMTTOT </w:t>
            </w:r>
            <w:r w:rsidRPr="007E46C9">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712D9057"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C07542F" w14:textId="77777777" w:rsidR="008C5104" w:rsidRPr="007E46C9" w:rsidRDefault="008C5104" w:rsidP="008C5104">
            <w:pPr>
              <w:spacing w:after="60"/>
              <w:rPr>
                <w:i/>
                <w:iCs/>
                <w:sz w:val="20"/>
              </w:rPr>
            </w:pPr>
            <w:r w:rsidRPr="007E46C9">
              <w:rPr>
                <w:i/>
                <w:iCs/>
                <w:sz w:val="20"/>
              </w:rPr>
              <w:t>Procured Capacity for Responsive Reserve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RRS, for the hour.</w:t>
            </w:r>
          </w:p>
        </w:tc>
      </w:tr>
      <w:tr w:rsidR="008C5104" w:rsidRPr="007E46C9" w14:paraId="7D26D3DC" w14:textId="77777777" w:rsidTr="008C5104">
        <w:tc>
          <w:tcPr>
            <w:tcW w:w="1278" w:type="pct"/>
            <w:tcBorders>
              <w:top w:val="single" w:sz="4" w:space="0" w:color="auto"/>
              <w:left w:val="single" w:sz="4" w:space="0" w:color="auto"/>
              <w:bottom w:val="single" w:sz="4" w:space="0" w:color="auto"/>
              <w:right w:val="single" w:sz="4" w:space="0" w:color="auto"/>
            </w:tcBorders>
          </w:tcPr>
          <w:p w14:paraId="62B7DDAD" w14:textId="77777777" w:rsidR="008C5104" w:rsidRPr="007E46C9" w:rsidRDefault="008C5104" w:rsidP="008C5104">
            <w:pPr>
              <w:spacing w:after="60"/>
              <w:rPr>
                <w:iCs/>
                <w:sz w:val="20"/>
              </w:rPr>
            </w:pPr>
            <w:r w:rsidRPr="007E46C9">
              <w:rPr>
                <w:iCs/>
                <w:sz w:val="20"/>
              </w:rPr>
              <w:t xml:space="preserve">RTPCRRAMT </w:t>
            </w:r>
            <w:r w:rsidRPr="007E46C9">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42C0154E"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5DFE3AE9" w14:textId="77777777" w:rsidR="008C5104" w:rsidRPr="007E46C9" w:rsidRDefault="008C5104" w:rsidP="008C5104">
            <w:pPr>
              <w:spacing w:after="60"/>
              <w:rPr>
                <w:i/>
                <w:iCs/>
                <w:sz w:val="20"/>
              </w:rPr>
            </w:pPr>
            <w:r w:rsidRPr="007E46C9">
              <w:rPr>
                <w:i/>
                <w:iCs/>
                <w:sz w:val="20"/>
              </w:rPr>
              <w:t>Procured Capacity for Responsive Reserve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RRS, for the hour.</w:t>
            </w:r>
          </w:p>
        </w:tc>
      </w:tr>
      <w:tr w:rsidR="008C5104" w:rsidRPr="007E46C9" w14:paraId="211E45E9" w14:textId="77777777" w:rsidTr="008C5104">
        <w:tc>
          <w:tcPr>
            <w:tcW w:w="1278" w:type="pct"/>
            <w:tcBorders>
              <w:top w:val="single" w:sz="4" w:space="0" w:color="auto"/>
              <w:left w:val="single" w:sz="4" w:space="0" w:color="auto"/>
              <w:bottom w:val="single" w:sz="4" w:space="0" w:color="auto"/>
              <w:right w:val="single" w:sz="4" w:space="0" w:color="auto"/>
            </w:tcBorders>
          </w:tcPr>
          <w:p w14:paraId="559A893E" w14:textId="77777777" w:rsidR="008C5104" w:rsidRPr="007E46C9" w:rsidRDefault="008C5104" w:rsidP="008C5104">
            <w:pPr>
              <w:spacing w:after="60"/>
              <w:rPr>
                <w:iCs/>
                <w:sz w:val="20"/>
              </w:rPr>
            </w:pPr>
            <w:r w:rsidRPr="007E46C9">
              <w:rPr>
                <w:iCs/>
                <w:sz w:val="20"/>
              </w:rPr>
              <w:t>RRFQAMTTOT</w:t>
            </w:r>
          </w:p>
        </w:tc>
        <w:tc>
          <w:tcPr>
            <w:tcW w:w="329" w:type="pct"/>
            <w:tcBorders>
              <w:top w:val="single" w:sz="4" w:space="0" w:color="auto"/>
              <w:left w:val="single" w:sz="4" w:space="0" w:color="auto"/>
              <w:bottom w:val="single" w:sz="4" w:space="0" w:color="auto"/>
              <w:right w:val="single" w:sz="4" w:space="0" w:color="auto"/>
            </w:tcBorders>
          </w:tcPr>
          <w:p w14:paraId="24900623"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444834CC" w14:textId="77777777" w:rsidR="008C5104" w:rsidRPr="007E46C9" w:rsidRDefault="008C5104" w:rsidP="008C5104">
            <w:pPr>
              <w:spacing w:after="60"/>
              <w:rPr>
                <w:i/>
                <w:iCs/>
                <w:sz w:val="20"/>
              </w:rPr>
            </w:pPr>
            <w:r w:rsidRPr="007E46C9">
              <w:rPr>
                <w:i/>
                <w:iCs/>
                <w:sz w:val="20"/>
              </w:rPr>
              <w:t>Responsive Reserve Failure Quantity Amount Total</w:t>
            </w:r>
            <w:r w:rsidRPr="007E46C9">
              <w:rPr>
                <w:iCs/>
                <w:sz w:val="20"/>
              </w:rPr>
              <w:t>—The total charges to all QSEs for their capacity associated with failures and reconfiguration reductions on their Ancillary Service Supply Responsibilities for RRS, for the hour.</w:t>
            </w:r>
          </w:p>
        </w:tc>
      </w:tr>
      <w:tr w:rsidR="008C5104" w:rsidRPr="007E46C9" w14:paraId="23ED9DA4" w14:textId="77777777" w:rsidTr="008C5104">
        <w:tc>
          <w:tcPr>
            <w:tcW w:w="1278" w:type="pct"/>
            <w:tcBorders>
              <w:top w:val="single" w:sz="4" w:space="0" w:color="auto"/>
              <w:left w:val="single" w:sz="4" w:space="0" w:color="auto"/>
              <w:bottom w:val="single" w:sz="4" w:space="0" w:color="auto"/>
              <w:right w:val="single" w:sz="4" w:space="0" w:color="auto"/>
            </w:tcBorders>
          </w:tcPr>
          <w:p w14:paraId="216CC048" w14:textId="77777777" w:rsidR="008C5104" w:rsidRPr="007E46C9" w:rsidRDefault="008C5104" w:rsidP="008C5104">
            <w:pPr>
              <w:spacing w:after="60"/>
              <w:rPr>
                <w:iCs/>
                <w:sz w:val="20"/>
              </w:rPr>
            </w:pPr>
            <w:r w:rsidRPr="007E46C9">
              <w:rPr>
                <w:iCs/>
                <w:sz w:val="20"/>
              </w:rPr>
              <w:t xml:space="preserve">RRFQAMTQSETOT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64194C51"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3991A82D" w14:textId="77777777" w:rsidR="008C5104" w:rsidRPr="007E46C9" w:rsidRDefault="008C5104" w:rsidP="008C5104">
            <w:pPr>
              <w:spacing w:after="60"/>
              <w:rPr>
                <w:i/>
                <w:iCs/>
                <w:sz w:val="20"/>
              </w:rPr>
            </w:pPr>
            <w:r w:rsidRPr="007E46C9">
              <w:rPr>
                <w:i/>
                <w:iCs/>
                <w:sz w:val="20"/>
              </w:rPr>
              <w:t>Responsive Reserve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RRS, for the hour.</w:t>
            </w:r>
          </w:p>
        </w:tc>
      </w:tr>
      <w:tr w:rsidR="008C5104" w:rsidRPr="007E46C9" w14:paraId="4D6DAB36" w14:textId="77777777" w:rsidTr="008C5104">
        <w:tc>
          <w:tcPr>
            <w:tcW w:w="1278" w:type="pct"/>
            <w:tcBorders>
              <w:top w:val="single" w:sz="4" w:space="0" w:color="auto"/>
              <w:left w:val="single" w:sz="4" w:space="0" w:color="auto"/>
              <w:bottom w:val="single" w:sz="4" w:space="0" w:color="auto"/>
              <w:right w:val="single" w:sz="4" w:space="0" w:color="auto"/>
            </w:tcBorders>
          </w:tcPr>
          <w:p w14:paraId="6DC56781" w14:textId="77777777" w:rsidR="008C5104" w:rsidRPr="007E46C9" w:rsidRDefault="008C5104" w:rsidP="008C5104">
            <w:pPr>
              <w:spacing w:after="60"/>
              <w:rPr>
                <w:iCs/>
                <w:sz w:val="20"/>
              </w:rPr>
            </w:pPr>
            <w:r w:rsidRPr="007E46C9">
              <w:rPr>
                <w:iCs/>
                <w:sz w:val="20"/>
              </w:rPr>
              <w:t xml:space="preserve">RTPCRRAMTQSETOT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920B247"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66435B9" w14:textId="77777777" w:rsidR="008C5104" w:rsidRPr="007E46C9" w:rsidRDefault="008C5104" w:rsidP="008C5104">
            <w:pPr>
              <w:spacing w:after="60"/>
              <w:rPr>
                <w:iCs/>
                <w:sz w:val="20"/>
              </w:rPr>
            </w:pPr>
            <w:r w:rsidRPr="007E46C9">
              <w:rPr>
                <w:i/>
                <w:iCs/>
                <w:sz w:val="20"/>
              </w:rPr>
              <w:t>Procured Capacity for Responsive Reserve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RRS, for the hour.</w:t>
            </w:r>
          </w:p>
        </w:tc>
      </w:tr>
      <w:tr w:rsidR="008C5104" w:rsidRPr="007E46C9" w14:paraId="1264D766" w14:textId="77777777" w:rsidTr="008C5104">
        <w:tc>
          <w:tcPr>
            <w:tcW w:w="1278" w:type="pct"/>
            <w:tcBorders>
              <w:top w:val="single" w:sz="4" w:space="0" w:color="auto"/>
              <w:left w:val="single" w:sz="4" w:space="0" w:color="auto"/>
              <w:bottom w:val="single" w:sz="4" w:space="0" w:color="auto"/>
              <w:right w:val="single" w:sz="4" w:space="0" w:color="auto"/>
            </w:tcBorders>
          </w:tcPr>
          <w:p w14:paraId="034E0885" w14:textId="77777777" w:rsidR="008C5104" w:rsidRPr="007E46C9" w:rsidRDefault="008C5104" w:rsidP="008C5104">
            <w:pPr>
              <w:rPr>
                <w:b/>
                <w:sz w:val="20"/>
              </w:rPr>
            </w:pPr>
            <w:r w:rsidRPr="007E46C9">
              <w:rPr>
                <w:sz w:val="20"/>
              </w:rPr>
              <w:t xml:space="preserve">PCRRAMT </w:t>
            </w:r>
            <w:r w:rsidRPr="007E46C9">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63A977E2" w14:textId="77777777" w:rsidR="008C5104" w:rsidRPr="007E46C9" w:rsidRDefault="008C5104" w:rsidP="008C5104">
            <w:pPr>
              <w:rPr>
                <w:b/>
                <w:sz w:val="20"/>
              </w:rPr>
            </w:pPr>
            <w:r w:rsidRPr="007E46C9">
              <w:rPr>
                <w:sz w:val="20"/>
              </w:rPr>
              <w:t>$</w:t>
            </w:r>
          </w:p>
        </w:tc>
        <w:tc>
          <w:tcPr>
            <w:tcW w:w="3393" w:type="pct"/>
            <w:tcBorders>
              <w:top w:val="single" w:sz="4" w:space="0" w:color="auto"/>
              <w:left w:val="single" w:sz="4" w:space="0" w:color="auto"/>
              <w:bottom w:val="single" w:sz="4" w:space="0" w:color="auto"/>
              <w:right w:val="single" w:sz="4" w:space="0" w:color="auto"/>
            </w:tcBorders>
          </w:tcPr>
          <w:p w14:paraId="77690153" w14:textId="77777777" w:rsidR="008C5104" w:rsidRPr="007E46C9" w:rsidRDefault="008C5104" w:rsidP="008C5104">
            <w:pPr>
              <w:rPr>
                <w:b/>
                <w:sz w:val="20"/>
              </w:rPr>
            </w:pPr>
            <w:r w:rsidRPr="007E46C9">
              <w:rPr>
                <w:i/>
                <w:sz w:val="20"/>
              </w:rPr>
              <w:t>Procured Capacity for Responsive Reserve Amount per QSE for DAM</w:t>
            </w:r>
            <w:r w:rsidRPr="007E46C9">
              <w:rPr>
                <w:sz w:val="20"/>
              </w:rPr>
              <w:t xml:space="preserve">—The DAM RRS payment for QSE </w:t>
            </w:r>
            <w:r w:rsidRPr="007E46C9">
              <w:rPr>
                <w:i/>
                <w:sz w:val="20"/>
              </w:rPr>
              <w:t>q</w:t>
            </w:r>
            <w:r w:rsidRPr="007E46C9">
              <w:rPr>
                <w:sz w:val="20"/>
              </w:rPr>
              <w:t>, for the hour.</w:t>
            </w:r>
          </w:p>
        </w:tc>
      </w:tr>
      <w:tr w:rsidR="008C5104" w:rsidRPr="007E46C9" w14:paraId="0F9C9EA4" w14:textId="77777777" w:rsidTr="008C5104">
        <w:tc>
          <w:tcPr>
            <w:tcW w:w="1278" w:type="pct"/>
            <w:tcBorders>
              <w:top w:val="single" w:sz="4" w:space="0" w:color="auto"/>
              <w:left w:val="single" w:sz="4" w:space="0" w:color="auto"/>
              <w:bottom w:val="single" w:sz="4" w:space="0" w:color="auto"/>
              <w:right w:val="single" w:sz="4" w:space="0" w:color="auto"/>
            </w:tcBorders>
          </w:tcPr>
          <w:p w14:paraId="41A81C7A" w14:textId="77777777" w:rsidR="008C5104" w:rsidRPr="007E46C9" w:rsidRDefault="008C5104" w:rsidP="008C5104">
            <w:pPr>
              <w:spacing w:after="60"/>
              <w:rPr>
                <w:sz w:val="20"/>
              </w:rPr>
            </w:pPr>
            <w:r w:rsidRPr="007E46C9">
              <w:rPr>
                <w:sz w:val="20"/>
              </w:rPr>
              <w:t xml:space="preserve">PCRRAMTTOT </w:t>
            </w:r>
          </w:p>
        </w:tc>
        <w:tc>
          <w:tcPr>
            <w:tcW w:w="329" w:type="pct"/>
            <w:tcBorders>
              <w:top w:val="single" w:sz="4" w:space="0" w:color="auto"/>
              <w:left w:val="single" w:sz="4" w:space="0" w:color="auto"/>
              <w:bottom w:val="single" w:sz="4" w:space="0" w:color="auto"/>
              <w:right w:val="single" w:sz="4" w:space="0" w:color="auto"/>
            </w:tcBorders>
          </w:tcPr>
          <w:p w14:paraId="6959458A" w14:textId="77777777" w:rsidR="008C5104" w:rsidRPr="007E46C9" w:rsidRDefault="008C5104" w:rsidP="008C5104">
            <w:pPr>
              <w:spacing w:after="60"/>
              <w:rPr>
                <w:sz w:val="20"/>
              </w:rPr>
            </w:pPr>
            <w:r w:rsidRPr="007E46C9">
              <w:rPr>
                <w:sz w:val="20"/>
              </w:rPr>
              <w:t>$</w:t>
            </w:r>
          </w:p>
        </w:tc>
        <w:tc>
          <w:tcPr>
            <w:tcW w:w="3393" w:type="pct"/>
            <w:tcBorders>
              <w:top w:val="single" w:sz="4" w:space="0" w:color="auto"/>
              <w:left w:val="single" w:sz="4" w:space="0" w:color="auto"/>
              <w:bottom w:val="single" w:sz="4" w:space="0" w:color="auto"/>
              <w:right w:val="single" w:sz="4" w:space="0" w:color="auto"/>
            </w:tcBorders>
          </w:tcPr>
          <w:p w14:paraId="20CDBB71" w14:textId="77777777" w:rsidR="008C5104" w:rsidRPr="007E46C9" w:rsidRDefault="008C5104" w:rsidP="008C5104">
            <w:pPr>
              <w:spacing w:after="60"/>
              <w:rPr>
                <w:sz w:val="20"/>
              </w:rPr>
            </w:pPr>
            <w:r w:rsidRPr="007E46C9">
              <w:rPr>
                <w:i/>
                <w:sz w:val="20"/>
              </w:rPr>
              <w:t>Procured Capacity for Responsive Reserve Amount Total in DAM</w:t>
            </w:r>
            <w:r w:rsidRPr="007E46C9">
              <w:rPr>
                <w:sz w:val="20"/>
              </w:rPr>
              <w:t>—The total of the DAM RRS payments for all QSEs, for the hour.</w:t>
            </w:r>
          </w:p>
        </w:tc>
      </w:tr>
      <w:tr w:rsidR="008C5104" w:rsidRPr="007E46C9" w14:paraId="0207A87E" w14:textId="77777777" w:rsidTr="008C5104">
        <w:tc>
          <w:tcPr>
            <w:tcW w:w="1278" w:type="pct"/>
            <w:tcBorders>
              <w:top w:val="single" w:sz="4" w:space="0" w:color="auto"/>
              <w:left w:val="single" w:sz="4" w:space="0" w:color="auto"/>
              <w:bottom w:val="single" w:sz="4" w:space="0" w:color="auto"/>
              <w:right w:val="single" w:sz="4" w:space="0" w:color="auto"/>
            </w:tcBorders>
          </w:tcPr>
          <w:p w14:paraId="067EC316" w14:textId="77777777" w:rsidR="008C5104" w:rsidRPr="007E46C9" w:rsidRDefault="008C5104" w:rsidP="008C5104">
            <w:pPr>
              <w:spacing w:after="60"/>
              <w:rPr>
                <w:sz w:val="20"/>
              </w:rPr>
            </w:pPr>
            <w:r w:rsidRPr="00F662FF">
              <w:rPr>
                <w:sz w:val="20"/>
              </w:rPr>
              <w:t>RRINF</w:t>
            </w:r>
            <w:r w:rsidRPr="00736C3C">
              <w:rPr>
                <w:sz w:val="20"/>
              </w:rPr>
              <w:t>QAMTTOT</w:t>
            </w:r>
          </w:p>
        </w:tc>
        <w:tc>
          <w:tcPr>
            <w:tcW w:w="329" w:type="pct"/>
            <w:tcBorders>
              <w:top w:val="single" w:sz="4" w:space="0" w:color="auto"/>
              <w:left w:val="single" w:sz="4" w:space="0" w:color="auto"/>
              <w:bottom w:val="single" w:sz="4" w:space="0" w:color="auto"/>
              <w:right w:val="single" w:sz="4" w:space="0" w:color="auto"/>
            </w:tcBorders>
          </w:tcPr>
          <w:p w14:paraId="480EDDBC" w14:textId="77777777" w:rsidR="008C5104" w:rsidRPr="007E46C9" w:rsidRDefault="008C5104" w:rsidP="008C5104">
            <w:pPr>
              <w:spacing w:after="60"/>
              <w:rPr>
                <w:sz w:val="20"/>
              </w:rPr>
            </w:pPr>
            <w:r>
              <w:rPr>
                <w:sz w:val="20"/>
              </w:rPr>
              <w:t>$</w:t>
            </w:r>
          </w:p>
        </w:tc>
        <w:tc>
          <w:tcPr>
            <w:tcW w:w="3393" w:type="pct"/>
            <w:tcBorders>
              <w:top w:val="single" w:sz="4" w:space="0" w:color="auto"/>
              <w:left w:val="single" w:sz="4" w:space="0" w:color="auto"/>
              <w:bottom w:val="single" w:sz="4" w:space="0" w:color="auto"/>
              <w:right w:val="single" w:sz="4" w:space="0" w:color="auto"/>
            </w:tcBorders>
          </w:tcPr>
          <w:p w14:paraId="7D5D5EB8" w14:textId="77777777" w:rsidR="008C5104" w:rsidRPr="007E46C9" w:rsidRDefault="008C5104" w:rsidP="008C5104">
            <w:pPr>
              <w:spacing w:after="60"/>
              <w:rPr>
                <w:i/>
                <w:sz w:val="20"/>
              </w:rPr>
            </w:pPr>
            <w:r>
              <w:rPr>
                <w:i/>
                <w:sz w:val="20"/>
              </w:rPr>
              <w:t>Responsive Reserve</w:t>
            </w:r>
            <w:r w:rsidRPr="002F2E4C">
              <w:rPr>
                <w:i/>
                <w:sz w:val="20"/>
              </w:rPr>
              <w:t xml:space="preserve"> Infeasible Quantity Amount </w:t>
            </w:r>
            <w:r>
              <w:rPr>
                <w:i/>
                <w:sz w:val="20"/>
              </w:rPr>
              <w:t xml:space="preserve">Total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Ancillary Service Supply Responsibilit</w:t>
            </w:r>
            <w:r>
              <w:rPr>
                <w:sz w:val="20"/>
              </w:rPr>
              <w:t>ies for RRS</w:t>
            </w:r>
            <w:r w:rsidRPr="002F2E4C">
              <w:rPr>
                <w:sz w:val="20"/>
              </w:rPr>
              <w:t>, for the hour.</w:t>
            </w:r>
          </w:p>
        </w:tc>
      </w:tr>
      <w:tr w:rsidR="008C5104" w:rsidRPr="007E46C9" w14:paraId="7CCA4184" w14:textId="77777777" w:rsidTr="008C5104">
        <w:tc>
          <w:tcPr>
            <w:tcW w:w="1278" w:type="pct"/>
            <w:tcBorders>
              <w:top w:val="single" w:sz="4" w:space="0" w:color="auto"/>
              <w:left w:val="single" w:sz="4" w:space="0" w:color="auto"/>
              <w:bottom w:val="single" w:sz="4" w:space="0" w:color="auto"/>
              <w:right w:val="single" w:sz="4" w:space="0" w:color="auto"/>
            </w:tcBorders>
          </w:tcPr>
          <w:p w14:paraId="7AD78FC2" w14:textId="77777777" w:rsidR="008C5104" w:rsidRPr="007E46C9" w:rsidRDefault="008C5104" w:rsidP="008C5104">
            <w:pPr>
              <w:spacing w:after="60"/>
              <w:rPr>
                <w:sz w:val="20"/>
              </w:rPr>
            </w:pPr>
            <w:r w:rsidRPr="00736C3C">
              <w:rPr>
                <w:sz w:val="20"/>
              </w:rPr>
              <w:t>RRINFQAMT</w:t>
            </w:r>
            <w:r>
              <w:rPr>
                <w:sz w:val="20"/>
              </w:rPr>
              <w:t xml:space="preserve"> </w:t>
            </w:r>
            <w:r w:rsidRPr="00D26EA8">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3AB30934" w14:textId="77777777" w:rsidR="008C5104" w:rsidRPr="007E46C9" w:rsidRDefault="008C5104" w:rsidP="008C5104">
            <w:pPr>
              <w:spacing w:after="60"/>
              <w:rPr>
                <w:sz w:val="20"/>
              </w:rPr>
            </w:pPr>
            <w:r>
              <w:rPr>
                <w:sz w:val="20"/>
              </w:rPr>
              <w:t>$</w:t>
            </w:r>
          </w:p>
        </w:tc>
        <w:tc>
          <w:tcPr>
            <w:tcW w:w="3393" w:type="pct"/>
            <w:tcBorders>
              <w:top w:val="single" w:sz="4" w:space="0" w:color="auto"/>
              <w:left w:val="single" w:sz="4" w:space="0" w:color="auto"/>
              <w:bottom w:val="single" w:sz="4" w:space="0" w:color="auto"/>
              <w:right w:val="single" w:sz="4" w:space="0" w:color="auto"/>
            </w:tcBorders>
          </w:tcPr>
          <w:p w14:paraId="0174E6E3" w14:textId="77777777" w:rsidR="008C5104" w:rsidRPr="007E46C9" w:rsidRDefault="008C5104" w:rsidP="008C5104">
            <w:pPr>
              <w:spacing w:after="60"/>
              <w:rPr>
                <w:i/>
                <w:sz w:val="20"/>
              </w:rPr>
            </w:pPr>
            <w:r w:rsidRPr="00736C3C">
              <w:rPr>
                <w:i/>
                <w:sz w:val="20"/>
              </w:rPr>
              <w:t>R</w:t>
            </w:r>
            <w:r>
              <w:rPr>
                <w:i/>
                <w:sz w:val="20"/>
              </w:rPr>
              <w:t>esponsive Reserve</w:t>
            </w:r>
            <w:r w:rsidRPr="00736C3C">
              <w:rPr>
                <w:i/>
                <w:sz w:val="20"/>
              </w:rPr>
              <w:t xml:space="preserve">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w:t>
            </w:r>
            <w:r>
              <w:rPr>
                <w:sz w:val="20"/>
              </w:rPr>
              <w:t xml:space="preserve"> </w:t>
            </w:r>
            <w:r w:rsidRPr="00736C3C">
              <w:rPr>
                <w:sz w:val="20"/>
              </w:rPr>
              <w:t>Ancillary</w:t>
            </w:r>
            <w:r>
              <w:rPr>
                <w:sz w:val="20"/>
              </w:rPr>
              <w:t xml:space="preserve"> Service Supply Responsibilities</w:t>
            </w:r>
            <w:r w:rsidRPr="00736C3C">
              <w:rPr>
                <w:sz w:val="20"/>
              </w:rPr>
              <w:t xml:space="preserve"> for </w:t>
            </w:r>
            <w:r>
              <w:rPr>
                <w:sz w:val="20"/>
              </w:rPr>
              <w:t>RRS</w:t>
            </w:r>
            <w:r w:rsidRPr="00736C3C">
              <w:rPr>
                <w:sz w:val="20"/>
              </w:rPr>
              <w:t>, for the hour.</w:t>
            </w:r>
          </w:p>
        </w:tc>
      </w:tr>
      <w:tr w:rsidR="008C5104" w:rsidRPr="007E46C9" w14:paraId="6FCEB99A" w14:textId="77777777" w:rsidTr="008C5104">
        <w:tc>
          <w:tcPr>
            <w:tcW w:w="1278" w:type="pct"/>
            <w:tcBorders>
              <w:top w:val="single" w:sz="4" w:space="0" w:color="auto"/>
              <w:left w:val="single" w:sz="4" w:space="0" w:color="auto"/>
              <w:bottom w:val="single" w:sz="4" w:space="0" w:color="auto"/>
              <w:right w:val="single" w:sz="4" w:space="0" w:color="auto"/>
            </w:tcBorders>
          </w:tcPr>
          <w:p w14:paraId="764067DA" w14:textId="77777777" w:rsidR="008C5104" w:rsidRPr="007E46C9" w:rsidRDefault="008C5104" w:rsidP="008C5104">
            <w:pPr>
              <w:spacing w:after="60"/>
              <w:rPr>
                <w:i/>
                <w:iCs/>
                <w:sz w:val="20"/>
              </w:rPr>
            </w:pPr>
            <w:r w:rsidRPr="007E46C9">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1FDD082A" w14:textId="77777777" w:rsidR="008C5104" w:rsidRPr="007E46C9" w:rsidRDefault="008C5104" w:rsidP="008C5104">
            <w:pPr>
              <w:spacing w:after="60"/>
              <w:rPr>
                <w:iCs/>
                <w:sz w:val="20"/>
              </w:rPr>
            </w:pPr>
            <w:r w:rsidRPr="007E46C9">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7D8EF15F" w14:textId="77777777" w:rsidR="008C5104" w:rsidRPr="007E46C9" w:rsidRDefault="008C5104" w:rsidP="008C5104">
            <w:pPr>
              <w:spacing w:after="60"/>
              <w:rPr>
                <w:iCs/>
                <w:sz w:val="20"/>
              </w:rPr>
            </w:pPr>
            <w:r w:rsidRPr="007E46C9">
              <w:rPr>
                <w:iCs/>
                <w:sz w:val="20"/>
              </w:rPr>
              <w:t>A QSE.</w:t>
            </w:r>
          </w:p>
        </w:tc>
      </w:tr>
      <w:tr w:rsidR="008C5104" w:rsidRPr="007E46C9" w14:paraId="32E127A8" w14:textId="77777777" w:rsidTr="008C5104">
        <w:tc>
          <w:tcPr>
            <w:tcW w:w="1278" w:type="pct"/>
            <w:tcBorders>
              <w:top w:val="single" w:sz="4" w:space="0" w:color="auto"/>
              <w:left w:val="single" w:sz="4" w:space="0" w:color="auto"/>
              <w:bottom w:val="single" w:sz="4" w:space="0" w:color="auto"/>
              <w:right w:val="single" w:sz="4" w:space="0" w:color="auto"/>
            </w:tcBorders>
          </w:tcPr>
          <w:p w14:paraId="68B33EF5" w14:textId="77777777" w:rsidR="008C5104" w:rsidRPr="007E46C9" w:rsidRDefault="008C5104" w:rsidP="008C5104">
            <w:pPr>
              <w:spacing w:after="60"/>
              <w:rPr>
                <w:i/>
                <w:iCs/>
                <w:sz w:val="20"/>
              </w:rPr>
            </w:pPr>
            <w:r w:rsidRPr="007E46C9">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3F831A24" w14:textId="77777777" w:rsidR="008C5104" w:rsidRPr="007E46C9" w:rsidRDefault="008C5104" w:rsidP="008C5104">
            <w:pPr>
              <w:spacing w:after="60"/>
              <w:rPr>
                <w:iCs/>
                <w:sz w:val="20"/>
              </w:rPr>
            </w:pPr>
            <w:r w:rsidRPr="007E46C9">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238EA874"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02BB36BF"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2672B" w14:paraId="54A5E987" w14:textId="77777777" w:rsidTr="002A7BFB">
        <w:trPr>
          <w:trHeight w:val="1547"/>
        </w:trPr>
        <w:tc>
          <w:tcPr>
            <w:tcW w:w="9576" w:type="dxa"/>
            <w:shd w:val="pct12" w:color="auto" w:fill="auto"/>
          </w:tcPr>
          <w:p w14:paraId="632FE147" w14:textId="77777777" w:rsidR="00F2672B" w:rsidRDefault="00F2672B" w:rsidP="002A7BFB">
            <w:pPr>
              <w:pStyle w:val="Instructions"/>
              <w:spacing w:before="120"/>
            </w:pPr>
            <w:r>
              <w:t>[NPRR841:  Replace paragraph (a) above with the following upon system implementation:]</w:t>
            </w:r>
          </w:p>
          <w:p w14:paraId="3EE23ADC" w14:textId="77777777" w:rsidR="00F2672B" w:rsidRPr="00E5030A" w:rsidRDefault="00F2672B" w:rsidP="00F2672B">
            <w:pPr>
              <w:spacing w:after="240"/>
              <w:ind w:left="1440" w:hanging="720"/>
            </w:pPr>
            <w:r w:rsidRPr="00E5030A">
              <w:t>(a)</w:t>
            </w:r>
            <w:r w:rsidRPr="00E5030A">
              <w:tab/>
              <w:t>The net total costs for RRS for a given Operating Hour is calculated as follows:</w:t>
            </w:r>
          </w:p>
          <w:p w14:paraId="07F8E124" w14:textId="65E2C855" w:rsidR="00F2672B" w:rsidRPr="00E5030A" w:rsidRDefault="00F2672B" w:rsidP="00F2672B">
            <w:pPr>
              <w:spacing w:after="120"/>
              <w:ind w:left="3600" w:hanging="2880"/>
              <w:rPr>
                <w:b/>
                <w:bCs/>
              </w:rPr>
            </w:pPr>
            <w:r w:rsidRPr="00E5030A">
              <w:rPr>
                <w:b/>
                <w:bCs/>
              </w:rPr>
              <w:t>RRCOSTTOT</w:t>
            </w:r>
            <w:r w:rsidRPr="00E5030A">
              <w:rPr>
                <w:b/>
                <w:bCs/>
              </w:rPr>
              <w:tab/>
              <w:t>=</w:t>
            </w:r>
            <w:r w:rsidRPr="00E5030A">
              <w:rPr>
                <w:b/>
                <w:bCs/>
              </w:rPr>
              <w:tab/>
              <w:t>(-1) * (</w:t>
            </w:r>
            <w:r w:rsidR="00A94020">
              <w:rPr>
                <w:b/>
                <w:bCs/>
                <w:noProof/>
                <w:position w:val="-20"/>
              </w:rPr>
              <w:drawing>
                <wp:inline distT="0" distB="0" distL="0" distR="0" wp14:anchorId="5F252841" wp14:editId="4AF64C88">
                  <wp:extent cx="142875" cy="2762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(RTPCRRAMTTOT </w:t>
            </w:r>
            <w:r w:rsidRPr="00E5030A">
              <w:rPr>
                <w:b/>
                <w:bCs/>
                <w:i/>
                <w:vertAlign w:val="subscript"/>
              </w:rPr>
              <w:t>m</w:t>
            </w:r>
            <w:r w:rsidRPr="00E5030A">
              <w:rPr>
                <w:rFonts w:ascii="Times New Roman Bold" w:hAnsi="Times New Roman Bold"/>
                <w:b/>
                <w:bCs/>
              </w:rPr>
              <w:t>)</w:t>
            </w:r>
            <w:r w:rsidRPr="00E5030A">
              <w:rPr>
                <w:b/>
                <w:bCs/>
              </w:rPr>
              <w:t xml:space="preserve"> +    </w:t>
            </w:r>
            <w:r w:rsidRPr="00E5030A">
              <w:rPr>
                <w:b/>
                <w:bCs/>
              </w:rPr>
              <w:tab/>
              <w:t xml:space="preserve">PCRRAMTTOT  + RRFQAMTTOT + </w:t>
            </w:r>
          </w:p>
          <w:p w14:paraId="71E1E609" w14:textId="77777777" w:rsidR="00F2672B" w:rsidRPr="00E5030A" w:rsidRDefault="00F2672B" w:rsidP="00F2672B">
            <w:pPr>
              <w:spacing w:after="240"/>
              <w:ind w:left="3600" w:firstLine="720"/>
              <w:rPr>
                <w:b/>
                <w:bCs/>
              </w:rPr>
            </w:pPr>
            <w:r w:rsidRPr="00E5030A">
              <w:rPr>
                <w:b/>
                <w:bCs/>
              </w:rPr>
              <w:t>RRINFQAMTTOT</w:t>
            </w:r>
            <w:r>
              <w:rPr>
                <w:b/>
                <w:bCs/>
              </w:rPr>
              <w:t xml:space="preserve"> </w:t>
            </w:r>
            <w:r w:rsidRPr="003675AD">
              <w:rPr>
                <w:b/>
              </w:rPr>
              <w:t xml:space="preserve">+ </w:t>
            </w:r>
            <w:r w:rsidRPr="003675AD">
              <w:rPr>
                <w:b/>
                <w:color w:val="000000"/>
              </w:rPr>
              <w:t>RRMWINFATOT</w:t>
            </w:r>
            <w:r w:rsidRPr="00E5030A">
              <w:rPr>
                <w:b/>
                <w:bCs/>
              </w:rPr>
              <w:t>)</w:t>
            </w:r>
          </w:p>
          <w:p w14:paraId="0242DDCF" w14:textId="77777777" w:rsidR="00F2672B" w:rsidRPr="00E5030A" w:rsidRDefault="00F2672B" w:rsidP="00F2672B">
            <w:pPr>
              <w:spacing w:after="240"/>
              <w:rPr>
                <w:iCs/>
              </w:rPr>
            </w:pPr>
            <w:r w:rsidRPr="00E5030A">
              <w:rPr>
                <w:iCs/>
              </w:rPr>
              <w:t xml:space="preserve">Where: </w:t>
            </w:r>
          </w:p>
          <w:p w14:paraId="5A440F76" w14:textId="77777777" w:rsidR="00F2672B" w:rsidRPr="00E5030A" w:rsidRDefault="00F2672B" w:rsidP="00F2672B">
            <w:r w:rsidRPr="00E5030A">
              <w:t>Total payment of SASM- and RSASM-procured capacity for RRS by market</w:t>
            </w:r>
          </w:p>
          <w:p w14:paraId="001203BB" w14:textId="49C9E38C" w:rsidR="00F2672B" w:rsidRPr="00E5030A" w:rsidRDefault="00F2672B" w:rsidP="00F2672B">
            <w:pPr>
              <w:spacing w:after="240"/>
              <w:ind w:leftChars="300" w:left="2880" w:hangingChars="900" w:hanging="2160"/>
              <w:rPr>
                <w:bCs/>
                <w:i/>
                <w:vertAlign w:val="subscript"/>
              </w:rPr>
            </w:pPr>
            <w:r w:rsidRPr="00E5030A">
              <w:rPr>
                <w:bCs/>
              </w:rPr>
              <w:t xml:space="preserve">RTPCRRAMTTOT </w:t>
            </w:r>
            <w:r w:rsidRPr="00E5030A">
              <w:rPr>
                <w:bCs/>
                <w:i/>
                <w:vertAlign w:val="subscript"/>
              </w:rPr>
              <w:t>m</w:t>
            </w:r>
            <w:r w:rsidRPr="00E5030A">
              <w:rPr>
                <w:bCs/>
              </w:rPr>
              <w:tab/>
            </w:r>
            <w:r w:rsidRPr="00E5030A">
              <w:rPr>
                <w:bCs/>
              </w:rPr>
              <w:tab/>
              <w:t>=</w:t>
            </w:r>
            <w:r w:rsidRPr="00E5030A">
              <w:rPr>
                <w:bCs/>
              </w:rPr>
              <w:tab/>
            </w:r>
            <w:r w:rsidR="00A94020">
              <w:rPr>
                <w:bCs/>
                <w:noProof/>
                <w:position w:val="-22"/>
              </w:rPr>
              <w:drawing>
                <wp:inline distT="0" distB="0" distL="0" distR="0" wp14:anchorId="2F863D50" wp14:editId="10C0A6C1">
                  <wp:extent cx="142875" cy="2952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RTPCRRAMT </w:t>
            </w:r>
            <w:r w:rsidRPr="00E5030A">
              <w:rPr>
                <w:bCs/>
                <w:i/>
                <w:vertAlign w:val="subscript"/>
              </w:rPr>
              <w:t>q, m</w:t>
            </w:r>
          </w:p>
          <w:p w14:paraId="4E25C997" w14:textId="77777777" w:rsidR="00F2672B" w:rsidRPr="00E5030A" w:rsidRDefault="00F2672B" w:rsidP="00F2672B">
            <w:r w:rsidRPr="00E5030A">
              <w:lastRenderedPageBreak/>
              <w:t>Total payment of DAM-procured capacity for RRS</w:t>
            </w:r>
          </w:p>
          <w:p w14:paraId="1AB38997" w14:textId="4E92B127" w:rsidR="00F2672B" w:rsidRPr="00E5030A" w:rsidRDefault="00F2672B" w:rsidP="00F2672B">
            <w:pPr>
              <w:spacing w:after="240"/>
              <w:ind w:leftChars="300" w:left="2880" w:hangingChars="900" w:hanging="2160"/>
              <w:rPr>
                <w:bCs/>
              </w:rPr>
            </w:pPr>
            <w:r w:rsidRPr="00E5030A">
              <w:rPr>
                <w:bCs/>
              </w:rPr>
              <w:t>PCRRAMTTOT</w:t>
            </w:r>
            <w:r w:rsidRPr="00E5030A">
              <w:rPr>
                <w:bCs/>
                <w:i/>
                <w:vertAlign w:val="subscript"/>
              </w:rPr>
              <w:tab/>
            </w:r>
            <w:r w:rsidRPr="00E5030A">
              <w:rPr>
                <w:bCs/>
                <w:i/>
                <w:vertAlign w:val="subscript"/>
              </w:rPr>
              <w:tab/>
            </w:r>
            <w:r w:rsidRPr="00E5030A">
              <w:rPr>
                <w:bCs/>
              </w:rPr>
              <w:t>=</w:t>
            </w:r>
            <w:r w:rsidRPr="00E5030A">
              <w:rPr>
                <w:bCs/>
              </w:rPr>
              <w:tab/>
            </w:r>
            <w:r w:rsidR="00A94020">
              <w:rPr>
                <w:bCs/>
                <w:noProof/>
                <w:position w:val="-22"/>
              </w:rPr>
              <w:drawing>
                <wp:inline distT="0" distB="0" distL="0" distR="0" wp14:anchorId="4BEAF33D" wp14:editId="6F69F2C0">
                  <wp:extent cx="142875" cy="2952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PCRRAMT </w:t>
            </w:r>
            <w:r w:rsidRPr="00E5030A">
              <w:rPr>
                <w:bCs/>
                <w:i/>
                <w:vertAlign w:val="subscript"/>
              </w:rPr>
              <w:t>q</w:t>
            </w:r>
          </w:p>
          <w:p w14:paraId="74B21DE6" w14:textId="77777777" w:rsidR="00F2672B" w:rsidRPr="00E5030A" w:rsidRDefault="00F2672B" w:rsidP="00F2672B">
            <w:r w:rsidRPr="00E5030A">
              <w:t>Total charge of failure on Ancillary Service Supply Responsibility for RRS</w:t>
            </w:r>
          </w:p>
          <w:p w14:paraId="7031FBA9" w14:textId="6BBDD9C2" w:rsidR="00F2672B" w:rsidRPr="00E5030A" w:rsidRDefault="00F2672B" w:rsidP="00F2672B">
            <w:pPr>
              <w:spacing w:after="240"/>
              <w:ind w:leftChars="300" w:left="2880" w:hangingChars="900" w:hanging="2160"/>
              <w:rPr>
                <w:bCs/>
                <w:i/>
                <w:vertAlign w:val="subscript"/>
              </w:rPr>
            </w:pPr>
            <w:r w:rsidRPr="00E5030A">
              <w:rPr>
                <w:bCs/>
              </w:rPr>
              <w:t>RRFQAMTTOT</w:t>
            </w:r>
            <w:r w:rsidRPr="00E5030A">
              <w:rPr>
                <w:bCs/>
              </w:rPr>
              <w:tab/>
            </w:r>
            <w:r w:rsidRPr="00E5030A">
              <w:rPr>
                <w:bCs/>
              </w:rPr>
              <w:tab/>
              <w:t>=</w:t>
            </w:r>
            <w:r w:rsidRPr="00E5030A">
              <w:rPr>
                <w:bCs/>
              </w:rPr>
              <w:tab/>
            </w:r>
            <w:r w:rsidR="00A94020">
              <w:rPr>
                <w:bCs/>
                <w:noProof/>
                <w:position w:val="-22"/>
              </w:rPr>
              <w:drawing>
                <wp:inline distT="0" distB="0" distL="0" distR="0" wp14:anchorId="0F824873" wp14:editId="0012C936">
                  <wp:extent cx="142875" cy="2952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RRFQAMTQSETOT </w:t>
            </w:r>
            <w:r w:rsidRPr="00E5030A">
              <w:rPr>
                <w:bCs/>
                <w:i/>
                <w:vertAlign w:val="subscript"/>
              </w:rPr>
              <w:t>q</w:t>
            </w:r>
          </w:p>
          <w:p w14:paraId="48906D04" w14:textId="77777777" w:rsidR="00F2672B" w:rsidRPr="00E5030A" w:rsidRDefault="00F2672B" w:rsidP="00F2672B">
            <w:pPr>
              <w:ind w:left="300" w:hangingChars="125" w:hanging="300"/>
              <w:rPr>
                <w:bCs/>
              </w:rPr>
            </w:pPr>
            <w:r w:rsidRPr="00E5030A">
              <w:rPr>
                <w:bCs/>
              </w:rPr>
              <w:t xml:space="preserve">Total payment of SASM- and RSASM-procured capacity </w:t>
            </w:r>
            <w:r w:rsidR="000809F8">
              <w:rPr>
                <w:bCs/>
              </w:rPr>
              <w:t xml:space="preserve">for </w:t>
            </w:r>
            <w:r w:rsidRPr="00E5030A">
              <w:rPr>
                <w:bCs/>
              </w:rPr>
              <w:t>RRS by QSE</w:t>
            </w:r>
          </w:p>
          <w:p w14:paraId="67B31E93" w14:textId="7C33ACBD" w:rsidR="00F2672B" w:rsidRPr="00E5030A" w:rsidRDefault="00F2672B" w:rsidP="00F2672B">
            <w:pPr>
              <w:spacing w:after="240"/>
              <w:ind w:leftChars="300" w:left="2880" w:hangingChars="900" w:hanging="2160"/>
              <w:rPr>
                <w:bCs/>
                <w:i/>
                <w:vertAlign w:val="subscript"/>
              </w:rPr>
            </w:pPr>
            <w:r w:rsidRPr="00E5030A">
              <w:rPr>
                <w:bCs/>
              </w:rPr>
              <w:t xml:space="preserve">RTPCRRAMTQSETOT </w:t>
            </w:r>
            <w:r w:rsidRPr="00E5030A">
              <w:rPr>
                <w:bCs/>
                <w:i/>
                <w:vertAlign w:val="subscript"/>
              </w:rPr>
              <w:t>q</w:t>
            </w:r>
            <w:r w:rsidRPr="00E5030A">
              <w:rPr>
                <w:bCs/>
              </w:rPr>
              <w:t xml:space="preserve"> </w:t>
            </w:r>
            <w:r w:rsidRPr="00E5030A">
              <w:rPr>
                <w:bCs/>
              </w:rPr>
              <w:tab/>
              <w:t>=</w:t>
            </w:r>
            <w:r w:rsidRPr="00E5030A">
              <w:rPr>
                <w:bCs/>
              </w:rPr>
              <w:tab/>
            </w:r>
            <w:r w:rsidR="00A94020">
              <w:rPr>
                <w:bCs/>
                <w:noProof/>
                <w:position w:val="-20"/>
              </w:rPr>
              <w:drawing>
                <wp:inline distT="0" distB="0" distL="0" distR="0" wp14:anchorId="14221CBA" wp14:editId="5550149D">
                  <wp:extent cx="142875" cy="2762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RTPCRRAMT </w:t>
            </w:r>
            <w:r w:rsidRPr="00E5030A">
              <w:rPr>
                <w:bCs/>
                <w:i/>
                <w:vertAlign w:val="subscript"/>
              </w:rPr>
              <w:t>q, m</w:t>
            </w:r>
          </w:p>
          <w:p w14:paraId="5DA8CB5C" w14:textId="77777777" w:rsidR="00F2672B" w:rsidRPr="00E5030A" w:rsidRDefault="00F2672B" w:rsidP="00F2672B">
            <w:r w:rsidRPr="00E5030A">
              <w:t>Total charge of infeasible Ancillary Service Supply Responsibility for RRS</w:t>
            </w:r>
          </w:p>
          <w:p w14:paraId="2F8E8015" w14:textId="7320CCC6" w:rsidR="00F2672B" w:rsidRPr="00E5030A" w:rsidRDefault="00F2672B" w:rsidP="00F2672B">
            <w:pPr>
              <w:spacing w:after="240"/>
              <w:ind w:left="2880" w:hanging="2160"/>
            </w:pPr>
            <w:r w:rsidRPr="00E5030A">
              <w:t>RRINFQAMTTOT</w:t>
            </w:r>
            <w:r w:rsidRPr="00E5030A">
              <w:tab/>
              <w:t>=</w:t>
            </w:r>
            <w:r w:rsidRPr="00E5030A">
              <w:tab/>
            </w:r>
            <w:r w:rsidR="00A94020">
              <w:rPr>
                <w:noProof/>
                <w:position w:val="-22"/>
              </w:rPr>
              <w:drawing>
                <wp:inline distT="0" distB="0" distL="0" distR="0" wp14:anchorId="7BB4C0D7" wp14:editId="0A1C1A12">
                  <wp:extent cx="142875" cy="2952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RRINFQAMT </w:t>
            </w:r>
            <w:r w:rsidRPr="00E5030A">
              <w:rPr>
                <w:i/>
                <w:vertAlign w:val="subscript"/>
              </w:rPr>
              <w:t>q</w:t>
            </w:r>
            <w:r w:rsidRPr="00E5030A">
              <w:rPr>
                <w:vertAlign w:val="subscript"/>
              </w:rPr>
              <w:t xml:space="preserve"> </w:t>
            </w:r>
          </w:p>
          <w:p w14:paraId="08D4828B" w14:textId="77777777" w:rsidR="00F2672B" w:rsidRDefault="00F2672B" w:rsidP="00065EC3">
            <w:pPr>
              <w:pStyle w:val="Formula"/>
              <w:ind w:leftChars="8" w:left="319" w:hangingChars="125" w:hanging="300"/>
            </w:pPr>
            <w:r>
              <w:t xml:space="preserve">Total Real-Time </w:t>
            </w:r>
            <w:r>
              <w:rPr>
                <w:iCs/>
              </w:rPr>
              <w:t>Day-Ahead</w:t>
            </w:r>
            <w:r>
              <w:t xml:space="preserve"> Make-Whole Payment for RRS</w:t>
            </w:r>
          </w:p>
          <w:p w14:paraId="5BA0CAF6" w14:textId="77777777" w:rsidR="00F2672B" w:rsidRDefault="00F2672B" w:rsidP="00F2672B">
            <w:pPr>
              <w:spacing w:after="240"/>
              <w:ind w:left="2880" w:hanging="2160"/>
            </w:pPr>
            <w:r w:rsidRPr="00F074B4">
              <w:t>RRMWINFATOT</w:t>
            </w:r>
            <w:r>
              <w:tab/>
              <w:t>=</w:t>
            </w:r>
            <w:r>
              <w:tab/>
            </w:r>
            <w:r w:rsidRPr="004C0093">
              <w:rPr>
                <w:position w:val="-22"/>
                <w:lang w:val="pt-BR"/>
              </w:rPr>
              <w:object w:dxaOrig="220" w:dyaOrig="460" w14:anchorId="6056FDED">
                <v:shape id="_x0000_i1354" type="#_x0000_t75" style="width:12pt;height:18pt" o:ole="">
                  <v:imagedata r:id="rId435" o:title=""/>
                </v:shape>
                <o:OLEObject Type="Embed" ProgID="Equation.3" ShapeID="_x0000_i1354" DrawAspect="Content" ObjectID="_1815025542" r:id="rId441"/>
              </w:object>
            </w:r>
            <w:r w:rsidRPr="00627431">
              <w:rPr>
                <w:color w:val="000000"/>
              </w:rPr>
              <w:t xml:space="preserve"> </w:t>
            </w:r>
            <w:r>
              <w:rPr>
                <w:color w:val="000000"/>
              </w:rPr>
              <w:t>RRMWINFA</w:t>
            </w:r>
            <w:r w:rsidRPr="004C0093" w:rsidDel="00601212">
              <w:rPr>
                <w:color w:val="000000"/>
              </w:rPr>
              <w:t xml:space="preserve"> </w:t>
            </w:r>
            <w:r>
              <w:rPr>
                <w:i/>
                <w:vertAlign w:val="subscript"/>
              </w:rPr>
              <w:t>q,</w:t>
            </w:r>
            <w:r w:rsidRPr="004C0093">
              <w:rPr>
                <w:i/>
                <w:vertAlign w:val="subscript"/>
              </w:rPr>
              <w:t xml:space="preserve"> h  </w:t>
            </w:r>
          </w:p>
          <w:p w14:paraId="42972F9C" w14:textId="77777777" w:rsidR="00F2672B" w:rsidRPr="00E5030A" w:rsidRDefault="00F2672B" w:rsidP="00F2672B">
            <w:r w:rsidRPr="00E5030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753A11" w:rsidRPr="00E5030A" w14:paraId="3FCFC14C" w14:textId="77777777" w:rsidTr="002A7BFB">
              <w:trPr>
                <w:tblHeader/>
              </w:trPr>
              <w:tc>
                <w:tcPr>
                  <w:tcW w:w="1278" w:type="pct"/>
                </w:tcPr>
                <w:p w14:paraId="3D0A5142" w14:textId="77777777" w:rsidR="00753A11" w:rsidRPr="00E5030A" w:rsidRDefault="00753A11" w:rsidP="00753A11">
                  <w:pPr>
                    <w:spacing w:after="120"/>
                    <w:rPr>
                      <w:b/>
                      <w:iCs/>
                      <w:sz w:val="20"/>
                    </w:rPr>
                  </w:pPr>
                  <w:r w:rsidRPr="00E5030A">
                    <w:rPr>
                      <w:b/>
                      <w:iCs/>
                      <w:sz w:val="20"/>
                    </w:rPr>
                    <w:t>Variable</w:t>
                  </w:r>
                </w:p>
              </w:tc>
              <w:tc>
                <w:tcPr>
                  <w:tcW w:w="329" w:type="pct"/>
                </w:tcPr>
                <w:p w14:paraId="4FDC25CB" w14:textId="77777777" w:rsidR="00753A11" w:rsidRPr="00E5030A" w:rsidRDefault="00753A11" w:rsidP="00753A11">
                  <w:pPr>
                    <w:spacing w:after="120"/>
                    <w:rPr>
                      <w:b/>
                      <w:iCs/>
                      <w:sz w:val="20"/>
                    </w:rPr>
                  </w:pPr>
                  <w:r w:rsidRPr="00E5030A">
                    <w:rPr>
                      <w:b/>
                      <w:iCs/>
                      <w:sz w:val="20"/>
                    </w:rPr>
                    <w:t>Unit</w:t>
                  </w:r>
                </w:p>
              </w:tc>
              <w:tc>
                <w:tcPr>
                  <w:tcW w:w="3393" w:type="pct"/>
                </w:tcPr>
                <w:p w14:paraId="4BA2CE43" w14:textId="77777777" w:rsidR="00753A11" w:rsidRPr="00E5030A" w:rsidRDefault="00753A11" w:rsidP="00753A11">
                  <w:pPr>
                    <w:spacing w:after="120"/>
                    <w:rPr>
                      <w:b/>
                      <w:iCs/>
                      <w:sz w:val="20"/>
                    </w:rPr>
                  </w:pPr>
                  <w:r w:rsidRPr="00E5030A">
                    <w:rPr>
                      <w:b/>
                      <w:iCs/>
                      <w:sz w:val="20"/>
                    </w:rPr>
                    <w:t>Description</w:t>
                  </w:r>
                </w:p>
              </w:tc>
            </w:tr>
            <w:tr w:rsidR="00753A11" w:rsidRPr="00E5030A" w14:paraId="6F43BC4E" w14:textId="77777777" w:rsidTr="002A7BFB">
              <w:tc>
                <w:tcPr>
                  <w:tcW w:w="1278" w:type="pct"/>
                </w:tcPr>
                <w:p w14:paraId="20375C19" w14:textId="77777777" w:rsidR="00753A11" w:rsidRPr="00E5030A" w:rsidRDefault="00753A11" w:rsidP="00753A11">
                  <w:pPr>
                    <w:spacing w:after="60"/>
                    <w:rPr>
                      <w:iCs/>
                      <w:sz w:val="20"/>
                    </w:rPr>
                  </w:pPr>
                  <w:r w:rsidRPr="00E5030A">
                    <w:rPr>
                      <w:iCs/>
                      <w:sz w:val="20"/>
                    </w:rPr>
                    <w:t>RRCOSTTOT</w:t>
                  </w:r>
                </w:p>
              </w:tc>
              <w:tc>
                <w:tcPr>
                  <w:tcW w:w="329" w:type="pct"/>
                </w:tcPr>
                <w:p w14:paraId="06D4FC9C" w14:textId="77777777" w:rsidR="00753A11" w:rsidRPr="00E5030A" w:rsidRDefault="00753A11" w:rsidP="00753A11">
                  <w:pPr>
                    <w:spacing w:after="60"/>
                    <w:rPr>
                      <w:iCs/>
                      <w:sz w:val="20"/>
                    </w:rPr>
                  </w:pPr>
                  <w:r w:rsidRPr="00E5030A">
                    <w:rPr>
                      <w:iCs/>
                      <w:sz w:val="20"/>
                    </w:rPr>
                    <w:t>$</w:t>
                  </w:r>
                </w:p>
              </w:tc>
              <w:tc>
                <w:tcPr>
                  <w:tcW w:w="3393" w:type="pct"/>
                </w:tcPr>
                <w:p w14:paraId="33EB91C3" w14:textId="77777777" w:rsidR="00753A11" w:rsidRPr="00E5030A" w:rsidRDefault="00753A11" w:rsidP="00753A11">
                  <w:pPr>
                    <w:spacing w:after="60"/>
                    <w:rPr>
                      <w:iCs/>
                      <w:sz w:val="20"/>
                    </w:rPr>
                  </w:pPr>
                  <w:r w:rsidRPr="00E5030A">
                    <w:rPr>
                      <w:i/>
                      <w:iCs/>
                      <w:sz w:val="20"/>
                    </w:rPr>
                    <w:t>Responsive Reserve Cost Total</w:t>
                  </w:r>
                  <w:r w:rsidRPr="00E5030A">
                    <w:rPr>
                      <w:iCs/>
                      <w:sz w:val="20"/>
                    </w:rPr>
                    <w:t>—The net total costs for RRS, for the hour.</w:t>
                  </w:r>
                </w:p>
              </w:tc>
            </w:tr>
            <w:tr w:rsidR="00753A11" w:rsidRPr="00E5030A" w14:paraId="19835C0B" w14:textId="77777777" w:rsidTr="002A7BFB">
              <w:tc>
                <w:tcPr>
                  <w:tcW w:w="1278" w:type="pct"/>
                  <w:tcBorders>
                    <w:top w:val="single" w:sz="4" w:space="0" w:color="auto"/>
                    <w:left w:val="single" w:sz="4" w:space="0" w:color="auto"/>
                    <w:bottom w:val="single" w:sz="4" w:space="0" w:color="auto"/>
                    <w:right w:val="single" w:sz="4" w:space="0" w:color="auto"/>
                  </w:tcBorders>
                </w:tcPr>
                <w:p w14:paraId="149BEDB5" w14:textId="77777777" w:rsidR="00753A11" w:rsidRPr="00E5030A" w:rsidRDefault="00753A11" w:rsidP="00753A11">
                  <w:pPr>
                    <w:spacing w:after="60"/>
                    <w:rPr>
                      <w:iCs/>
                      <w:sz w:val="20"/>
                    </w:rPr>
                  </w:pPr>
                  <w:r w:rsidRPr="00E5030A">
                    <w:rPr>
                      <w:iCs/>
                      <w:sz w:val="20"/>
                    </w:rPr>
                    <w:t xml:space="preserve">RTPCRRAMTTOT </w:t>
                  </w:r>
                  <w:r w:rsidRPr="00E5030A">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3CFAE57D"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042B0C0" w14:textId="77777777" w:rsidR="00753A11" w:rsidRPr="00E5030A" w:rsidRDefault="00753A11" w:rsidP="00753A11">
                  <w:pPr>
                    <w:spacing w:after="60"/>
                    <w:rPr>
                      <w:i/>
                      <w:iCs/>
                      <w:sz w:val="20"/>
                    </w:rPr>
                  </w:pPr>
                  <w:r w:rsidRPr="00E5030A">
                    <w:rPr>
                      <w:i/>
                      <w:iCs/>
                      <w:sz w:val="20"/>
                    </w:rPr>
                    <w:t>Procured Capacity for Responsive Reserve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RRS, for the hour.</w:t>
                  </w:r>
                </w:p>
              </w:tc>
            </w:tr>
            <w:tr w:rsidR="00753A11" w:rsidRPr="00E5030A" w14:paraId="12DE049D" w14:textId="77777777" w:rsidTr="002A7BFB">
              <w:tc>
                <w:tcPr>
                  <w:tcW w:w="1278" w:type="pct"/>
                  <w:tcBorders>
                    <w:top w:val="single" w:sz="4" w:space="0" w:color="auto"/>
                    <w:left w:val="single" w:sz="4" w:space="0" w:color="auto"/>
                    <w:bottom w:val="single" w:sz="4" w:space="0" w:color="auto"/>
                    <w:right w:val="single" w:sz="4" w:space="0" w:color="auto"/>
                  </w:tcBorders>
                </w:tcPr>
                <w:p w14:paraId="5F6EBE81" w14:textId="77777777" w:rsidR="00753A11" w:rsidRPr="00E5030A" w:rsidRDefault="00753A11" w:rsidP="00753A11">
                  <w:pPr>
                    <w:spacing w:after="60"/>
                    <w:rPr>
                      <w:iCs/>
                      <w:sz w:val="20"/>
                    </w:rPr>
                  </w:pPr>
                  <w:r w:rsidRPr="00E5030A">
                    <w:rPr>
                      <w:iCs/>
                      <w:sz w:val="20"/>
                    </w:rPr>
                    <w:t xml:space="preserve">RTPCRRAMT </w:t>
                  </w:r>
                  <w:r w:rsidRPr="00E5030A">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368F3F06"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3071A545" w14:textId="77777777" w:rsidR="00753A11" w:rsidRPr="00E5030A" w:rsidRDefault="00753A11" w:rsidP="00753A11">
                  <w:pPr>
                    <w:spacing w:after="60"/>
                    <w:rPr>
                      <w:i/>
                      <w:iCs/>
                      <w:sz w:val="20"/>
                    </w:rPr>
                  </w:pPr>
                  <w:r w:rsidRPr="00E5030A">
                    <w:rPr>
                      <w:i/>
                      <w:iCs/>
                      <w:sz w:val="20"/>
                    </w:rPr>
                    <w:t>Procured Capacity for Responsive Reserve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RRS, for the hour.</w:t>
                  </w:r>
                </w:p>
              </w:tc>
            </w:tr>
            <w:tr w:rsidR="00753A11" w:rsidRPr="00E5030A" w14:paraId="38A963D4" w14:textId="77777777" w:rsidTr="002A7BFB">
              <w:tc>
                <w:tcPr>
                  <w:tcW w:w="1278" w:type="pct"/>
                  <w:tcBorders>
                    <w:top w:val="single" w:sz="4" w:space="0" w:color="auto"/>
                    <w:left w:val="single" w:sz="4" w:space="0" w:color="auto"/>
                    <w:bottom w:val="single" w:sz="4" w:space="0" w:color="auto"/>
                    <w:right w:val="single" w:sz="4" w:space="0" w:color="auto"/>
                  </w:tcBorders>
                </w:tcPr>
                <w:p w14:paraId="6A63A584" w14:textId="77777777" w:rsidR="00753A11" w:rsidRPr="00E5030A" w:rsidRDefault="00753A11" w:rsidP="00753A11">
                  <w:pPr>
                    <w:spacing w:after="60"/>
                    <w:rPr>
                      <w:iCs/>
                      <w:sz w:val="20"/>
                    </w:rPr>
                  </w:pPr>
                  <w:r w:rsidRPr="00E5030A">
                    <w:rPr>
                      <w:iCs/>
                      <w:sz w:val="20"/>
                    </w:rPr>
                    <w:t>RRFQAMTTOT</w:t>
                  </w:r>
                </w:p>
              </w:tc>
              <w:tc>
                <w:tcPr>
                  <w:tcW w:w="329" w:type="pct"/>
                  <w:tcBorders>
                    <w:top w:val="single" w:sz="4" w:space="0" w:color="auto"/>
                    <w:left w:val="single" w:sz="4" w:space="0" w:color="auto"/>
                    <w:bottom w:val="single" w:sz="4" w:space="0" w:color="auto"/>
                    <w:right w:val="single" w:sz="4" w:space="0" w:color="auto"/>
                  </w:tcBorders>
                </w:tcPr>
                <w:p w14:paraId="0BD1B8C9"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7AAA5DA" w14:textId="77777777" w:rsidR="00753A11" w:rsidRPr="00E5030A" w:rsidRDefault="00753A11" w:rsidP="00753A11">
                  <w:pPr>
                    <w:spacing w:after="60"/>
                    <w:rPr>
                      <w:i/>
                      <w:iCs/>
                      <w:sz w:val="20"/>
                    </w:rPr>
                  </w:pPr>
                  <w:r w:rsidRPr="00E5030A">
                    <w:rPr>
                      <w:i/>
                      <w:iCs/>
                      <w:sz w:val="20"/>
                    </w:rPr>
                    <w:t>Responsive Reserve Failure Quantity Amount Total</w:t>
                  </w:r>
                  <w:r w:rsidRPr="00E5030A">
                    <w:rPr>
                      <w:iCs/>
                      <w:sz w:val="20"/>
                    </w:rPr>
                    <w:t>—The total charges to all QSEs for their capacity associated with failures and reconfiguration reductions on their Ancillary Service Supply Responsibilities for RRS, for the hour.</w:t>
                  </w:r>
                </w:p>
              </w:tc>
            </w:tr>
            <w:tr w:rsidR="00753A11" w:rsidRPr="00E5030A" w14:paraId="641EDC74" w14:textId="77777777" w:rsidTr="002A7BFB">
              <w:tc>
                <w:tcPr>
                  <w:tcW w:w="1278" w:type="pct"/>
                  <w:tcBorders>
                    <w:top w:val="single" w:sz="4" w:space="0" w:color="auto"/>
                    <w:left w:val="single" w:sz="4" w:space="0" w:color="auto"/>
                    <w:bottom w:val="single" w:sz="4" w:space="0" w:color="auto"/>
                    <w:right w:val="single" w:sz="4" w:space="0" w:color="auto"/>
                  </w:tcBorders>
                </w:tcPr>
                <w:p w14:paraId="5567885E" w14:textId="77777777" w:rsidR="00753A11" w:rsidRPr="00E5030A" w:rsidRDefault="00753A11" w:rsidP="00753A11">
                  <w:pPr>
                    <w:spacing w:after="60"/>
                    <w:rPr>
                      <w:iCs/>
                      <w:sz w:val="20"/>
                    </w:rPr>
                  </w:pPr>
                  <w:r w:rsidRPr="003530E3">
                    <w:rPr>
                      <w:color w:val="000000"/>
                      <w:sz w:val="20"/>
                    </w:rPr>
                    <w:t>R</w:t>
                  </w:r>
                  <w:r>
                    <w:rPr>
                      <w:color w:val="000000"/>
                      <w:sz w:val="20"/>
                    </w:rPr>
                    <w:t>R</w:t>
                  </w:r>
                  <w:r w:rsidRPr="003530E3">
                    <w:rPr>
                      <w:color w:val="000000"/>
                      <w:sz w:val="20"/>
                    </w:rPr>
                    <w:t>MWINFA</w:t>
                  </w:r>
                  <w:r w:rsidRPr="004C0093">
                    <w:rPr>
                      <w:color w:val="000000"/>
                      <w:sz w:val="20"/>
                    </w:rPr>
                    <w:t>TOT</w:t>
                  </w:r>
                </w:p>
              </w:tc>
              <w:tc>
                <w:tcPr>
                  <w:tcW w:w="329" w:type="pct"/>
                  <w:tcBorders>
                    <w:top w:val="single" w:sz="4" w:space="0" w:color="auto"/>
                    <w:left w:val="single" w:sz="4" w:space="0" w:color="auto"/>
                    <w:bottom w:val="single" w:sz="4" w:space="0" w:color="auto"/>
                    <w:right w:val="single" w:sz="4" w:space="0" w:color="auto"/>
                  </w:tcBorders>
                </w:tcPr>
                <w:p w14:paraId="7FE75B81" w14:textId="77777777" w:rsidR="00753A11" w:rsidRPr="00E5030A" w:rsidRDefault="00753A11" w:rsidP="00753A11">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69AE7080" w14:textId="77777777" w:rsidR="00753A11" w:rsidRPr="00E5030A" w:rsidRDefault="00753A11" w:rsidP="00065EC3">
                  <w:pPr>
                    <w:spacing w:after="60"/>
                    <w:rPr>
                      <w:i/>
                      <w:iCs/>
                      <w:sz w:val="20"/>
                    </w:rPr>
                  </w:pPr>
                  <w:r>
                    <w:rPr>
                      <w:i/>
                      <w:sz w:val="20"/>
                    </w:rPr>
                    <w:t>Responsive Reserve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RRS,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p>
              </w:tc>
            </w:tr>
            <w:tr w:rsidR="00753A11" w:rsidRPr="00E5030A" w14:paraId="12C94EBC" w14:textId="77777777" w:rsidTr="002A7BFB">
              <w:tc>
                <w:tcPr>
                  <w:tcW w:w="1278" w:type="pct"/>
                  <w:tcBorders>
                    <w:top w:val="single" w:sz="4" w:space="0" w:color="auto"/>
                    <w:left w:val="single" w:sz="4" w:space="0" w:color="auto"/>
                    <w:bottom w:val="single" w:sz="4" w:space="0" w:color="auto"/>
                    <w:right w:val="single" w:sz="4" w:space="0" w:color="auto"/>
                  </w:tcBorders>
                </w:tcPr>
                <w:p w14:paraId="0EFC34F2" w14:textId="77777777" w:rsidR="00753A11" w:rsidRPr="00E5030A" w:rsidRDefault="00753A11" w:rsidP="00753A11">
                  <w:pPr>
                    <w:spacing w:after="60"/>
                    <w:rPr>
                      <w:iCs/>
                      <w:sz w:val="20"/>
                    </w:rPr>
                  </w:pPr>
                  <w:r w:rsidRPr="003530E3">
                    <w:rPr>
                      <w:color w:val="000000"/>
                      <w:sz w:val="20"/>
                    </w:rPr>
                    <w:t>R</w:t>
                  </w:r>
                  <w:r>
                    <w:rPr>
                      <w:color w:val="000000"/>
                      <w:sz w:val="20"/>
                    </w:rPr>
                    <w:t>R</w:t>
                  </w:r>
                  <w:r w:rsidRPr="003530E3">
                    <w:rPr>
                      <w:color w:val="000000"/>
                      <w:sz w:val="20"/>
                    </w:rPr>
                    <w:t>MWINFA</w:t>
                  </w:r>
                  <w:r>
                    <w:rPr>
                      <w:color w:val="000000"/>
                      <w:sz w:val="20"/>
                    </w:rPr>
                    <w:t xml:space="preserve"> </w:t>
                  </w:r>
                  <w:r w:rsidRPr="004C0093">
                    <w:rPr>
                      <w:i/>
                      <w:sz w:val="20"/>
                      <w:vertAlign w:val="subscript"/>
                    </w:rPr>
                    <w:t>q</w:t>
                  </w:r>
                  <w:r>
                    <w:rPr>
                      <w:i/>
                      <w:sz w:val="20"/>
                      <w:vertAlign w:val="subscript"/>
                    </w:rPr>
                    <w:t>, h</w:t>
                  </w:r>
                </w:p>
              </w:tc>
              <w:tc>
                <w:tcPr>
                  <w:tcW w:w="329" w:type="pct"/>
                  <w:tcBorders>
                    <w:top w:val="single" w:sz="4" w:space="0" w:color="auto"/>
                    <w:left w:val="single" w:sz="4" w:space="0" w:color="auto"/>
                    <w:bottom w:val="single" w:sz="4" w:space="0" w:color="auto"/>
                    <w:right w:val="single" w:sz="4" w:space="0" w:color="auto"/>
                  </w:tcBorders>
                </w:tcPr>
                <w:p w14:paraId="7C87E37B" w14:textId="77777777" w:rsidR="00753A11" w:rsidRPr="00E5030A" w:rsidRDefault="00753A11" w:rsidP="00753A11">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42ECF09" w14:textId="77777777" w:rsidR="00753A11" w:rsidRPr="00E5030A" w:rsidRDefault="00753A11" w:rsidP="00065EC3">
                  <w:pPr>
                    <w:spacing w:after="60"/>
                    <w:rPr>
                      <w:i/>
                      <w:iCs/>
                      <w:sz w:val="20"/>
                    </w:rPr>
                  </w:pPr>
                  <w:r>
                    <w:rPr>
                      <w:i/>
                      <w:sz w:val="20"/>
                    </w:rPr>
                    <w:t>Responsive Reserve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RRS,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753A11" w:rsidRPr="00E5030A" w14:paraId="5C4F746E" w14:textId="77777777" w:rsidTr="002A7BFB">
              <w:tc>
                <w:tcPr>
                  <w:tcW w:w="1278" w:type="pct"/>
                  <w:tcBorders>
                    <w:top w:val="single" w:sz="4" w:space="0" w:color="auto"/>
                    <w:left w:val="single" w:sz="4" w:space="0" w:color="auto"/>
                    <w:bottom w:val="single" w:sz="4" w:space="0" w:color="auto"/>
                    <w:right w:val="single" w:sz="4" w:space="0" w:color="auto"/>
                  </w:tcBorders>
                </w:tcPr>
                <w:p w14:paraId="4FDE3A31" w14:textId="77777777" w:rsidR="00753A11" w:rsidRPr="00E5030A" w:rsidRDefault="00753A11" w:rsidP="00753A11">
                  <w:pPr>
                    <w:spacing w:after="60"/>
                    <w:rPr>
                      <w:iCs/>
                      <w:sz w:val="20"/>
                    </w:rPr>
                  </w:pPr>
                  <w:r w:rsidRPr="00E5030A">
                    <w:rPr>
                      <w:iCs/>
                      <w:sz w:val="20"/>
                    </w:rPr>
                    <w:t xml:space="preserve">RRFQAMTQSETOT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1B6B56F9"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FF45AE1" w14:textId="77777777" w:rsidR="00753A11" w:rsidRPr="00E5030A" w:rsidRDefault="00753A11" w:rsidP="00753A11">
                  <w:pPr>
                    <w:spacing w:after="60"/>
                    <w:rPr>
                      <w:i/>
                      <w:iCs/>
                      <w:sz w:val="20"/>
                    </w:rPr>
                  </w:pPr>
                  <w:r w:rsidRPr="00E5030A">
                    <w:rPr>
                      <w:i/>
                      <w:iCs/>
                      <w:sz w:val="20"/>
                    </w:rPr>
                    <w:t>Responsive Reserve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RRS, for the hour.</w:t>
                  </w:r>
                </w:p>
              </w:tc>
            </w:tr>
            <w:tr w:rsidR="00753A11" w:rsidRPr="00E5030A" w14:paraId="62B19B21" w14:textId="77777777" w:rsidTr="002A7BFB">
              <w:tc>
                <w:tcPr>
                  <w:tcW w:w="1278" w:type="pct"/>
                  <w:tcBorders>
                    <w:top w:val="single" w:sz="4" w:space="0" w:color="auto"/>
                    <w:left w:val="single" w:sz="4" w:space="0" w:color="auto"/>
                    <w:bottom w:val="single" w:sz="4" w:space="0" w:color="auto"/>
                    <w:right w:val="single" w:sz="4" w:space="0" w:color="auto"/>
                  </w:tcBorders>
                </w:tcPr>
                <w:p w14:paraId="6F328230" w14:textId="77777777" w:rsidR="00753A11" w:rsidRPr="00E5030A" w:rsidRDefault="00753A11" w:rsidP="00753A11">
                  <w:pPr>
                    <w:spacing w:after="60"/>
                    <w:rPr>
                      <w:iCs/>
                      <w:sz w:val="20"/>
                    </w:rPr>
                  </w:pPr>
                  <w:r w:rsidRPr="00E5030A">
                    <w:rPr>
                      <w:iCs/>
                      <w:sz w:val="20"/>
                    </w:rPr>
                    <w:t xml:space="preserve">RTPCRRAMTQSETOT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7FB970A8"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823DBBD" w14:textId="77777777" w:rsidR="00753A11" w:rsidRPr="00E5030A" w:rsidRDefault="00753A11" w:rsidP="00753A11">
                  <w:pPr>
                    <w:spacing w:after="60"/>
                    <w:rPr>
                      <w:iCs/>
                      <w:sz w:val="20"/>
                    </w:rPr>
                  </w:pPr>
                  <w:r w:rsidRPr="00E5030A">
                    <w:rPr>
                      <w:i/>
                      <w:iCs/>
                      <w:sz w:val="20"/>
                    </w:rPr>
                    <w:t>Procured Capacity for Responsive Reserve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RRS, for the hour.</w:t>
                  </w:r>
                </w:p>
              </w:tc>
            </w:tr>
            <w:tr w:rsidR="00753A11" w:rsidRPr="00E5030A" w14:paraId="367372CB" w14:textId="77777777" w:rsidTr="002A7BFB">
              <w:tc>
                <w:tcPr>
                  <w:tcW w:w="1278" w:type="pct"/>
                  <w:tcBorders>
                    <w:top w:val="single" w:sz="4" w:space="0" w:color="auto"/>
                    <w:left w:val="single" w:sz="4" w:space="0" w:color="auto"/>
                    <w:bottom w:val="single" w:sz="4" w:space="0" w:color="auto"/>
                    <w:right w:val="single" w:sz="4" w:space="0" w:color="auto"/>
                  </w:tcBorders>
                </w:tcPr>
                <w:p w14:paraId="5299270A" w14:textId="77777777" w:rsidR="00753A11" w:rsidRPr="00E5030A" w:rsidRDefault="00753A11" w:rsidP="00753A11">
                  <w:pPr>
                    <w:rPr>
                      <w:b/>
                      <w:sz w:val="20"/>
                    </w:rPr>
                  </w:pPr>
                  <w:r w:rsidRPr="00E5030A">
                    <w:rPr>
                      <w:sz w:val="20"/>
                    </w:rPr>
                    <w:lastRenderedPageBreak/>
                    <w:t xml:space="preserve">PCRRAMT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87B939B" w14:textId="77777777" w:rsidR="00753A11" w:rsidRPr="00E5030A" w:rsidRDefault="00753A11" w:rsidP="00753A11">
                  <w:pPr>
                    <w:rPr>
                      <w:b/>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17DA8D82" w14:textId="77777777" w:rsidR="00753A11" w:rsidRPr="00E5030A" w:rsidRDefault="00753A11" w:rsidP="000809F8">
                  <w:pPr>
                    <w:rPr>
                      <w:b/>
                      <w:sz w:val="20"/>
                    </w:rPr>
                  </w:pPr>
                  <w:r w:rsidRPr="00E5030A">
                    <w:rPr>
                      <w:i/>
                      <w:sz w:val="20"/>
                    </w:rPr>
                    <w:t xml:space="preserve">Procured Capacity for Responsive Reserve Amount per QSE </w:t>
                  </w:r>
                  <w:r w:rsidR="000809F8">
                    <w:rPr>
                      <w:i/>
                      <w:sz w:val="20"/>
                    </w:rPr>
                    <w:t>in</w:t>
                  </w:r>
                  <w:r w:rsidRPr="00E5030A">
                    <w:rPr>
                      <w:i/>
                      <w:sz w:val="20"/>
                    </w:rPr>
                    <w:t xml:space="preserve"> DAM</w:t>
                  </w:r>
                  <w:r w:rsidRPr="00E5030A">
                    <w:rPr>
                      <w:sz w:val="20"/>
                    </w:rPr>
                    <w:t xml:space="preserve">—The DAM RRS payment for QSE </w:t>
                  </w:r>
                  <w:r w:rsidRPr="00E5030A">
                    <w:rPr>
                      <w:i/>
                      <w:sz w:val="20"/>
                    </w:rPr>
                    <w:t>q</w:t>
                  </w:r>
                  <w:r w:rsidRPr="00E5030A">
                    <w:rPr>
                      <w:sz w:val="20"/>
                    </w:rPr>
                    <w:t>, for the hour.</w:t>
                  </w:r>
                </w:p>
              </w:tc>
            </w:tr>
            <w:tr w:rsidR="00753A11" w:rsidRPr="00E5030A" w14:paraId="08C1E744" w14:textId="77777777" w:rsidTr="002A7BFB">
              <w:tc>
                <w:tcPr>
                  <w:tcW w:w="1278" w:type="pct"/>
                  <w:tcBorders>
                    <w:top w:val="single" w:sz="4" w:space="0" w:color="auto"/>
                    <w:left w:val="single" w:sz="4" w:space="0" w:color="auto"/>
                    <w:bottom w:val="single" w:sz="4" w:space="0" w:color="auto"/>
                    <w:right w:val="single" w:sz="4" w:space="0" w:color="auto"/>
                  </w:tcBorders>
                </w:tcPr>
                <w:p w14:paraId="0607A2ED" w14:textId="77777777" w:rsidR="00753A11" w:rsidRPr="00E5030A" w:rsidRDefault="00753A11" w:rsidP="00753A11">
                  <w:pPr>
                    <w:spacing w:after="60"/>
                    <w:rPr>
                      <w:sz w:val="20"/>
                    </w:rPr>
                  </w:pPr>
                  <w:r w:rsidRPr="00E5030A">
                    <w:rPr>
                      <w:sz w:val="20"/>
                    </w:rPr>
                    <w:t xml:space="preserve">PCRRAMTTOT </w:t>
                  </w:r>
                </w:p>
              </w:tc>
              <w:tc>
                <w:tcPr>
                  <w:tcW w:w="329" w:type="pct"/>
                  <w:tcBorders>
                    <w:top w:val="single" w:sz="4" w:space="0" w:color="auto"/>
                    <w:left w:val="single" w:sz="4" w:space="0" w:color="auto"/>
                    <w:bottom w:val="single" w:sz="4" w:space="0" w:color="auto"/>
                    <w:right w:val="single" w:sz="4" w:space="0" w:color="auto"/>
                  </w:tcBorders>
                </w:tcPr>
                <w:p w14:paraId="6E021505" w14:textId="77777777" w:rsidR="00753A11" w:rsidRPr="00E5030A" w:rsidRDefault="00753A11" w:rsidP="00753A11">
                  <w:pPr>
                    <w:spacing w:after="60"/>
                    <w:rPr>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60ED4020" w14:textId="77777777" w:rsidR="00753A11" w:rsidRPr="00E5030A" w:rsidRDefault="00753A11" w:rsidP="00753A11">
                  <w:pPr>
                    <w:spacing w:after="60"/>
                    <w:rPr>
                      <w:sz w:val="20"/>
                    </w:rPr>
                  </w:pPr>
                  <w:r w:rsidRPr="00E5030A">
                    <w:rPr>
                      <w:i/>
                      <w:sz w:val="20"/>
                    </w:rPr>
                    <w:t>Procured Capacity for Responsive Reserve Amount Total in DAM</w:t>
                  </w:r>
                  <w:r w:rsidRPr="00E5030A">
                    <w:rPr>
                      <w:sz w:val="20"/>
                    </w:rPr>
                    <w:t>—The total of the DAM RRS payments for all QSEs, for the hour.</w:t>
                  </w:r>
                </w:p>
              </w:tc>
            </w:tr>
            <w:tr w:rsidR="00753A11" w:rsidRPr="00E5030A" w14:paraId="7B67B6B4" w14:textId="77777777" w:rsidTr="002A7BFB">
              <w:tc>
                <w:tcPr>
                  <w:tcW w:w="1278" w:type="pct"/>
                  <w:tcBorders>
                    <w:top w:val="single" w:sz="4" w:space="0" w:color="auto"/>
                    <w:left w:val="single" w:sz="4" w:space="0" w:color="auto"/>
                    <w:bottom w:val="single" w:sz="4" w:space="0" w:color="auto"/>
                    <w:right w:val="single" w:sz="4" w:space="0" w:color="auto"/>
                  </w:tcBorders>
                </w:tcPr>
                <w:p w14:paraId="11D1D4CD" w14:textId="77777777" w:rsidR="00753A11" w:rsidRPr="00E5030A" w:rsidRDefault="00753A11" w:rsidP="00753A11">
                  <w:pPr>
                    <w:spacing w:after="60"/>
                    <w:rPr>
                      <w:sz w:val="20"/>
                    </w:rPr>
                  </w:pPr>
                  <w:r w:rsidRPr="00E5030A">
                    <w:rPr>
                      <w:sz w:val="20"/>
                    </w:rPr>
                    <w:t>RRINFQAMTTOT</w:t>
                  </w:r>
                </w:p>
              </w:tc>
              <w:tc>
                <w:tcPr>
                  <w:tcW w:w="329" w:type="pct"/>
                  <w:tcBorders>
                    <w:top w:val="single" w:sz="4" w:space="0" w:color="auto"/>
                    <w:left w:val="single" w:sz="4" w:space="0" w:color="auto"/>
                    <w:bottom w:val="single" w:sz="4" w:space="0" w:color="auto"/>
                    <w:right w:val="single" w:sz="4" w:space="0" w:color="auto"/>
                  </w:tcBorders>
                </w:tcPr>
                <w:p w14:paraId="39DD7FAF" w14:textId="77777777" w:rsidR="00753A11" w:rsidRPr="00E5030A" w:rsidRDefault="00753A11" w:rsidP="00753A11">
                  <w:pPr>
                    <w:spacing w:after="60"/>
                    <w:rPr>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017833CB" w14:textId="77777777" w:rsidR="00753A11" w:rsidRPr="00E5030A" w:rsidRDefault="00753A11" w:rsidP="00753A11">
                  <w:pPr>
                    <w:spacing w:after="60"/>
                    <w:rPr>
                      <w:i/>
                      <w:sz w:val="20"/>
                    </w:rPr>
                  </w:pPr>
                  <w:r w:rsidRPr="00E5030A">
                    <w:rPr>
                      <w:i/>
                      <w:sz w:val="20"/>
                    </w:rPr>
                    <w:t xml:space="preserve">Responsive Reserve Infeasible Quantity Amount Total </w:t>
                  </w:r>
                  <w:r w:rsidRPr="00E5030A">
                    <w:rPr>
                      <w:sz w:val="20"/>
                    </w:rPr>
                    <w:t>— The charge to all QSEs for their total capacity associated with infeasible deployment of Ancillary Service Supply Responsibilities for RRS, for the hour.</w:t>
                  </w:r>
                </w:p>
              </w:tc>
            </w:tr>
            <w:tr w:rsidR="00753A11" w:rsidRPr="00E5030A" w14:paraId="5808BA93" w14:textId="77777777" w:rsidTr="002A7BFB">
              <w:tc>
                <w:tcPr>
                  <w:tcW w:w="1278" w:type="pct"/>
                  <w:tcBorders>
                    <w:top w:val="single" w:sz="4" w:space="0" w:color="auto"/>
                    <w:left w:val="single" w:sz="4" w:space="0" w:color="auto"/>
                    <w:bottom w:val="single" w:sz="4" w:space="0" w:color="auto"/>
                    <w:right w:val="single" w:sz="4" w:space="0" w:color="auto"/>
                  </w:tcBorders>
                </w:tcPr>
                <w:p w14:paraId="54D90DED" w14:textId="77777777" w:rsidR="00753A11" w:rsidRPr="00E5030A" w:rsidRDefault="00753A11" w:rsidP="00753A11">
                  <w:pPr>
                    <w:spacing w:after="60"/>
                    <w:rPr>
                      <w:sz w:val="20"/>
                    </w:rPr>
                  </w:pPr>
                  <w:r w:rsidRPr="00E5030A">
                    <w:rPr>
                      <w:sz w:val="20"/>
                    </w:rPr>
                    <w:t xml:space="preserve">RRINFQAMT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25F8301D" w14:textId="77777777" w:rsidR="00753A11" w:rsidRPr="00E5030A" w:rsidRDefault="00753A11" w:rsidP="00753A11">
                  <w:pPr>
                    <w:spacing w:after="60"/>
                    <w:rPr>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3D5A9B68" w14:textId="77777777" w:rsidR="00753A11" w:rsidRPr="00E5030A" w:rsidRDefault="00753A11" w:rsidP="00753A11">
                  <w:pPr>
                    <w:spacing w:after="60"/>
                    <w:rPr>
                      <w:i/>
                      <w:sz w:val="20"/>
                    </w:rPr>
                  </w:pPr>
                  <w:r w:rsidRPr="00E5030A">
                    <w:rPr>
                      <w:i/>
                      <w:sz w:val="20"/>
                    </w:rPr>
                    <w:t>Responsive Reserve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Ancillary Service Supply Responsibilities for RRS, for the hour.</w:t>
                  </w:r>
                </w:p>
              </w:tc>
            </w:tr>
            <w:tr w:rsidR="00753A11" w:rsidRPr="00E5030A" w14:paraId="299C79BB" w14:textId="77777777" w:rsidTr="002A7BFB">
              <w:tc>
                <w:tcPr>
                  <w:tcW w:w="1278" w:type="pct"/>
                  <w:tcBorders>
                    <w:top w:val="single" w:sz="4" w:space="0" w:color="auto"/>
                    <w:left w:val="single" w:sz="4" w:space="0" w:color="auto"/>
                    <w:bottom w:val="single" w:sz="4" w:space="0" w:color="auto"/>
                    <w:right w:val="single" w:sz="4" w:space="0" w:color="auto"/>
                  </w:tcBorders>
                </w:tcPr>
                <w:p w14:paraId="61EA726A" w14:textId="77777777" w:rsidR="00753A11" w:rsidRPr="00E5030A" w:rsidRDefault="00753A11" w:rsidP="00753A11">
                  <w:pPr>
                    <w:spacing w:after="60"/>
                    <w:rPr>
                      <w:i/>
                      <w:iCs/>
                      <w:sz w:val="20"/>
                    </w:rPr>
                  </w:pPr>
                  <w:r w:rsidRPr="00E5030A">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7A34449D" w14:textId="77777777" w:rsidR="00753A11" w:rsidRPr="00E5030A" w:rsidRDefault="00753A11" w:rsidP="00753A11">
                  <w:pPr>
                    <w:spacing w:after="60"/>
                    <w:rPr>
                      <w:iCs/>
                      <w:sz w:val="20"/>
                    </w:rPr>
                  </w:pPr>
                  <w:r w:rsidRPr="00E5030A">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423941C2" w14:textId="77777777" w:rsidR="00753A11" w:rsidRPr="00E5030A" w:rsidRDefault="00753A11" w:rsidP="00753A11">
                  <w:pPr>
                    <w:spacing w:after="60"/>
                    <w:rPr>
                      <w:iCs/>
                      <w:sz w:val="20"/>
                    </w:rPr>
                  </w:pPr>
                  <w:r w:rsidRPr="00E5030A">
                    <w:rPr>
                      <w:iCs/>
                      <w:sz w:val="20"/>
                    </w:rPr>
                    <w:t>A QSE.</w:t>
                  </w:r>
                </w:p>
              </w:tc>
            </w:tr>
            <w:tr w:rsidR="00753A11" w:rsidRPr="00E5030A" w14:paraId="1C53E3F3" w14:textId="77777777" w:rsidTr="002A7BFB">
              <w:tc>
                <w:tcPr>
                  <w:tcW w:w="1278" w:type="pct"/>
                  <w:tcBorders>
                    <w:top w:val="single" w:sz="4" w:space="0" w:color="auto"/>
                    <w:left w:val="single" w:sz="4" w:space="0" w:color="auto"/>
                    <w:bottom w:val="single" w:sz="4" w:space="0" w:color="auto"/>
                    <w:right w:val="single" w:sz="4" w:space="0" w:color="auto"/>
                  </w:tcBorders>
                </w:tcPr>
                <w:p w14:paraId="72F6D4FF" w14:textId="77777777" w:rsidR="00753A11" w:rsidRPr="00E5030A" w:rsidRDefault="00753A11" w:rsidP="00753A11">
                  <w:pPr>
                    <w:spacing w:after="60"/>
                    <w:rPr>
                      <w:i/>
                      <w:iCs/>
                      <w:sz w:val="20"/>
                    </w:rPr>
                  </w:pPr>
                  <w:r w:rsidRPr="00E5030A">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02562138" w14:textId="77777777" w:rsidR="00753A11" w:rsidRPr="00E5030A" w:rsidRDefault="00753A11" w:rsidP="00753A11">
                  <w:pPr>
                    <w:spacing w:after="60"/>
                    <w:rPr>
                      <w:iCs/>
                      <w:sz w:val="20"/>
                    </w:rPr>
                  </w:pPr>
                  <w:r w:rsidRPr="00E5030A">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3D450815" w14:textId="77777777" w:rsidR="00753A11" w:rsidRPr="00E5030A" w:rsidRDefault="00753A11" w:rsidP="00753A11">
                  <w:pPr>
                    <w:spacing w:after="60"/>
                    <w:rPr>
                      <w:iCs/>
                      <w:sz w:val="20"/>
                    </w:rPr>
                  </w:pPr>
                  <w:r w:rsidRPr="00E5030A">
                    <w:rPr>
                      <w:iCs/>
                      <w:sz w:val="20"/>
                    </w:rPr>
                    <w:t>An Ancillary Service market (SASM or RSASM) for the given Operating Hour.</w:t>
                  </w:r>
                </w:p>
              </w:tc>
            </w:tr>
          </w:tbl>
          <w:p w14:paraId="595CB558" w14:textId="77777777" w:rsidR="00F2672B" w:rsidRPr="006C5A42" w:rsidRDefault="00F2672B" w:rsidP="002A7BFB">
            <w:pPr>
              <w:spacing w:after="240"/>
            </w:pPr>
          </w:p>
        </w:tc>
      </w:tr>
    </w:tbl>
    <w:p w14:paraId="7BFCC3D8" w14:textId="77777777" w:rsidR="008C5104" w:rsidRPr="007E46C9" w:rsidRDefault="008C5104" w:rsidP="008A4924">
      <w:pPr>
        <w:spacing w:before="240" w:after="240"/>
        <w:ind w:left="1440" w:hanging="720"/>
      </w:pPr>
      <w:r w:rsidRPr="007E46C9">
        <w:lastRenderedPageBreak/>
        <w:t>(b)</w:t>
      </w:r>
      <w:r w:rsidRPr="007E46C9">
        <w:tab/>
        <w:t>Each QSE’s share of the net total costs for RRS for the Operating Hour is calculated as follows:</w:t>
      </w:r>
    </w:p>
    <w:p w14:paraId="2AF23393" w14:textId="77777777" w:rsidR="008C5104" w:rsidRPr="007E46C9" w:rsidRDefault="008C5104" w:rsidP="008C5104">
      <w:pPr>
        <w:spacing w:after="240"/>
        <w:ind w:left="2880" w:hanging="2160"/>
        <w:rPr>
          <w:b/>
          <w:bCs/>
        </w:rPr>
      </w:pPr>
      <w:r w:rsidRPr="007E46C9">
        <w:rPr>
          <w:b/>
          <w:bCs/>
        </w:rPr>
        <w:t xml:space="preserve">RRCOST </w:t>
      </w:r>
      <w:r w:rsidRPr="007E46C9">
        <w:rPr>
          <w:b/>
          <w:bCs/>
          <w:i/>
          <w:vertAlign w:val="subscript"/>
        </w:rPr>
        <w:t>q</w:t>
      </w:r>
      <w:r w:rsidRPr="007E46C9">
        <w:rPr>
          <w:b/>
          <w:bCs/>
          <w:i/>
          <w:vertAlign w:val="subscript"/>
        </w:rPr>
        <w:tab/>
      </w:r>
      <w:r w:rsidRPr="007E46C9">
        <w:rPr>
          <w:b/>
          <w:bCs/>
        </w:rPr>
        <w:t>=</w:t>
      </w:r>
      <w:r w:rsidRPr="007E46C9">
        <w:rPr>
          <w:b/>
          <w:bCs/>
        </w:rPr>
        <w:tab/>
        <w:t xml:space="preserve">RRPR * RRQ </w:t>
      </w:r>
      <w:r w:rsidRPr="007E46C9">
        <w:rPr>
          <w:b/>
          <w:bCs/>
          <w:i/>
          <w:vertAlign w:val="subscript"/>
        </w:rPr>
        <w:t>q</w:t>
      </w:r>
    </w:p>
    <w:p w14:paraId="28B15CDB" w14:textId="77777777" w:rsidR="008C5104" w:rsidRPr="007E46C9" w:rsidRDefault="008C5104" w:rsidP="008C5104">
      <w:pPr>
        <w:spacing w:after="240"/>
        <w:rPr>
          <w:iCs/>
        </w:rPr>
      </w:pPr>
      <w:r w:rsidRPr="007E46C9">
        <w:rPr>
          <w:iCs/>
        </w:rPr>
        <w:t>Where:</w:t>
      </w:r>
    </w:p>
    <w:p w14:paraId="3743F7DB" w14:textId="77777777" w:rsidR="008C5104" w:rsidRPr="007E46C9" w:rsidRDefault="008C5104" w:rsidP="008C5104">
      <w:pPr>
        <w:spacing w:after="120"/>
        <w:ind w:leftChars="300" w:left="2880" w:hangingChars="900" w:hanging="2160"/>
        <w:rPr>
          <w:bCs/>
        </w:rPr>
      </w:pPr>
      <w:r w:rsidRPr="007E46C9">
        <w:rPr>
          <w:bCs/>
        </w:rPr>
        <w:t>RRPR</w:t>
      </w:r>
      <w:r w:rsidRPr="007E46C9">
        <w:rPr>
          <w:bCs/>
        </w:rPr>
        <w:tab/>
        <w:t>=</w:t>
      </w:r>
      <w:r w:rsidRPr="007E46C9">
        <w:rPr>
          <w:bCs/>
        </w:rPr>
        <w:tab/>
        <w:t>RRCOSTTOT / RRQTOT</w:t>
      </w:r>
    </w:p>
    <w:p w14:paraId="45884C2C" w14:textId="0C42650C" w:rsidR="008C5104" w:rsidRPr="007E46C9" w:rsidRDefault="008C5104" w:rsidP="008C5104">
      <w:pPr>
        <w:spacing w:after="120"/>
        <w:ind w:leftChars="300" w:left="2880" w:hangingChars="900" w:hanging="2160"/>
        <w:rPr>
          <w:bCs/>
        </w:rPr>
      </w:pPr>
      <w:r w:rsidRPr="007E46C9">
        <w:rPr>
          <w:bCs/>
        </w:rPr>
        <w:t>RRQTOT</w:t>
      </w:r>
      <w:r w:rsidRPr="007E46C9">
        <w:rPr>
          <w:bCs/>
        </w:rPr>
        <w:tab/>
        <w:t>=</w:t>
      </w:r>
      <w:r w:rsidRPr="007E46C9">
        <w:rPr>
          <w:bCs/>
        </w:rPr>
        <w:tab/>
      </w:r>
      <w:r w:rsidR="00A94020">
        <w:rPr>
          <w:bCs/>
          <w:noProof/>
          <w:position w:val="-22"/>
        </w:rPr>
        <w:drawing>
          <wp:inline distT="0" distB="0" distL="0" distR="0" wp14:anchorId="045856D3" wp14:editId="3280A4E3">
            <wp:extent cx="142875" cy="2952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RRQ </w:t>
      </w:r>
      <w:r w:rsidRPr="007E46C9">
        <w:rPr>
          <w:bCs/>
          <w:i/>
          <w:vertAlign w:val="subscript"/>
        </w:rPr>
        <w:t>q</w:t>
      </w:r>
    </w:p>
    <w:p w14:paraId="18DF15FE" w14:textId="77777777" w:rsidR="008C5104" w:rsidRPr="007E46C9" w:rsidRDefault="008C5104" w:rsidP="008C5104">
      <w:pPr>
        <w:spacing w:after="120"/>
        <w:ind w:leftChars="300" w:left="2880" w:hangingChars="900" w:hanging="2160"/>
        <w:rPr>
          <w:bCs/>
          <w:lang w:val="es-ES"/>
        </w:rPr>
      </w:pPr>
      <w:r w:rsidRPr="007E46C9">
        <w:rPr>
          <w:bCs/>
          <w:lang w:val="es-ES"/>
        </w:rPr>
        <w:t xml:space="preserve">RRQ </w:t>
      </w:r>
      <w:r w:rsidRPr="007E46C9">
        <w:rPr>
          <w:bCs/>
          <w:i/>
          <w:vertAlign w:val="subscript"/>
          <w:lang w:val="es-ES"/>
        </w:rPr>
        <w:t>q</w:t>
      </w:r>
      <w:r w:rsidRPr="007E46C9">
        <w:rPr>
          <w:bCs/>
          <w:lang w:val="es-ES"/>
        </w:rPr>
        <w:tab/>
        <w:t>=</w:t>
      </w:r>
      <w:r w:rsidRPr="007E46C9">
        <w:rPr>
          <w:bCs/>
          <w:lang w:val="es-ES"/>
        </w:rPr>
        <w:tab/>
        <w:t xml:space="preserve">RRO </w:t>
      </w:r>
      <w:r w:rsidRPr="007E46C9">
        <w:rPr>
          <w:bCs/>
          <w:i/>
          <w:vertAlign w:val="subscript"/>
          <w:lang w:val="es-ES"/>
        </w:rPr>
        <w:t>q</w:t>
      </w:r>
      <w:r w:rsidRPr="007E46C9">
        <w:rPr>
          <w:bCs/>
          <w:lang w:val="es-ES"/>
        </w:rPr>
        <w:t xml:space="preserve"> – SARRQ </w:t>
      </w:r>
      <w:r w:rsidRPr="007E46C9">
        <w:rPr>
          <w:bCs/>
          <w:i/>
          <w:vertAlign w:val="subscript"/>
          <w:lang w:val="es-ES"/>
        </w:rPr>
        <w:t>q</w:t>
      </w:r>
    </w:p>
    <w:p w14:paraId="415B7B3A" w14:textId="1A679B93" w:rsidR="008C5104" w:rsidRPr="007E46C9" w:rsidRDefault="008C5104" w:rsidP="008C5104">
      <w:pPr>
        <w:spacing w:after="120"/>
        <w:ind w:leftChars="300" w:left="2880" w:hangingChars="900" w:hanging="2160"/>
        <w:rPr>
          <w:bCs/>
          <w:lang w:val="es-ES"/>
        </w:rPr>
      </w:pPr>
      <w:r w:rsidRPr="007E46C9">
        <w:rPr>
          <w:bCs/>
          <w:lang w:val="es-ES"/>
        </w:rPr>
        <w:t xml:space="preserve">RRO </w:t>
      </w:r>
      <w:r w:rsidRPr="007E46C9">
        <w:rPr>
          <w:bCs/>
          <w:i/>
          <w:vertAlign w:val="subscript"/>
          <w:lang w:val="es-ES"/>
        </w:rPr>
        <w:t>q</w:t>
      </w:r>
      <w:r w:rsidRPr="007E46C9">
        <w:rPr>
          <w:bCs/>
          <w:lang w:val="es-ES"/>
        </w:rPr>
        <w:tab/>
        <w:t>=</w:t>
      </w:r>
      <w:r w:rsidRPr="007E46C9">
        <w:rPr>
          <w:bCs/>
          <w:lang w:val="es-ES"/>
        </w:rPr>
        <w:tab/>
      </w:r>
      <w:r w:rsidR="00A94020">
        <w:rPr>
          <w:bCs/>
          <w:noProof/>
          <w:position w:val="-22"/>
        </w:rPr>
        <w:drawing>
          <wp:inline distT="0" distB="0" distL="0" distR="0" wp14:anchorId="4C079B71" wp14:editId="5117D588">
            <wp:extent cx="142875" cy="2952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lang w:val="es-ES"/>
        </w:rPr>
        <w:t>(SARRQ</w:t>
      </w:r>
      <w:r w:rsidRPr="007E46C9">
        <w:rPr>
          <w:bCs/>
          <w:i/>
          <w:vertAlign w:val="subscript"/>
          <w:lang w:val="es-ES"/>
        </w:rPr>
        <w:t>q</w:t>
      </w:r>
      <w:r w:rsidRPr="007E46C9">
        <w:rPr>
          <w:bCs/>
          <w:lang w:val="es-ES"/>
        </w:rPr>
        <w:t xml:space="preserve"> + </w:t>
      </w:r>
      <w:r w:rsidR="00A94020">
        <w:rPr>
          <w:bCs/>
          <w:noProof/>
          <w:position w:val="-20"/>
        </w:rPr>
        <w:drawing>
          <wp:inline distT="0" distB="0" distL="0" distR="0" wp14:anchorId="5AE32021" wp14:editId="404BBF15">
            <wp:extent cx="142875" cy="2762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lang w:val="es-ES"/>
        </w:rPr>
        <w:t xml:space="preserve">(RTPCRR </w:t>
      </w:r>
      <w:r w:rsidRPr="007E46C9">
        <w:rPr>
          <w:bCs/>
          <w:i/>
          <w:vertAlign w:val="subscript"/>
          <w:lang w:val="es-ES"/>
        </w:rPr>
        <w:t>q, m</w:t>
      </w:r>
      <w:r w:rsidRPr="007E46C9">
        <w:rPr>
          <w:bCs/>
          <w:lang w:val="es-ES"/>
        </w:rPr>
        <w:t xml:space="preserve">) + PCRR </w:t>
      </w:r>
      <w:r w:rsidRPr="007E46C9">
        <w:rPr>
          <w:bCs/>
          <w:i/>
          <w:vertAlign w:val="subscript"/>
          <w:lang w:val="es-ES"/>
        </w:rPr>
        <w:t>q</w:t>
      </w:r>
      <w:r w:rsidRPr="007E46C9">
        <w:rPr>
          <w:bCs/>
          <w:lang w:val="es-ES"/>
        </w:rPr>
        <w:t xml:space="preserve"> –  </w:t>
      </w:r>
    </w:p>
    <w:p w14:paraId="6D93449F" w14:textId="77777777" w:rsidR="008C5104" w:rsidRPr="007E46C9" w:rsidRDefault="008C5104" w:rsidP="008C5104">
      <w:pPr>
        <w:spacing w:after="120"/>
        <w:ind w:leftChars="1200" w:left="2880" w:firstLine="720"/>
        <w:rPr>
          <w:bCs/>
          <w:i/>
          <w:vertAlign w:val="subscript"/>
          <w:lang w:val="es-ES"/>
        </w:rPr>
      </w:pPr>
      <w:r w:rsidRPr="007E46C9">
        <w:rPr>
          <w:bCs/>
          <w:lang w:val="es-ES"/>
        </w:rPr>
        <w:t xml:space="preserve">RRFQ </w:t>
      </w:r>
      <w:r w:rsidRPr="007E46C9">
        <w:rPr>
          <w:bCs/>
          <w:i/>
          <w:vertAlign w:val="subscript"/>
          <w:lang w:val="es-ES"/>
        </w:rPr>
        <w:t>q</w:t>
      </w:r>
      <w:r w:rsidRPr="007E46C9">
        <w:rPr>
          <w:bCs/>
          <w:lang w:val="es-ES"/>
        </w:rPr>
        <w:t xml:space="preserve"> – RRRFQ </w:t>
      </w:r>
      <w:r w:rsidRPr="007E46C9">
        <w:rPr>
          <w:bCs/>
          <w:i/>
          <w:vertAlign w:val="subscript"/>
          <w:lang w:val="es-ES"/>
        </w:rPr>
        <w:t>q</w:t>
      </w:r>
      <w:r w:rsidRPr="007E46C9">
        <w:rPr>
          <w:bCs/>
          <w:lang w:val="es-ES"/>
        </w:rPr>
        <w:t xml:space="preserve">) * HLRS </w:t>
      </w:r>
      <w:r w:rsidRPr="007E46C9">
        <w:rPr>
          <w:bCs/>
          <w:i/>
          <w:vertAlign w:val="subscript"/>
          <w:lang w:val="es-ES"/>
        </w:rPr>
        <w:t>q</w:t>
      </w:r>
    </w:p>
    <w:p w14:paraId="45BC7ED3" w14:textId="77777777" w:rsidR="008C5104" w:rsidRPr="007E46C9" w:rsidRDefault="008C5104" w:rsidP="00EE4598">
      <w:pPr>
        <w:spacing w:after="240"/>
        <w:ind w:leftChars="300" w:left="2880" w:hangingChars="900" w:hanging="2160"/>
        <w:rPr>
          <w:bCs/>
          <w:lang w:val="fr-FR"/>
        </w:rPr>
      </w:pPr>
      <w:r w:rsidRPr="007E46C9">
        <w:rPr>
          <w:bCs/>
          <w:lang w:val="fr-FR"/>
        </w:rPr>
        <w:t xml:space="preserve">SARRQ </w:t>
      </w:r>
      <w:r w:rsidRPr="007E46C9">
        <w:rPr>
          <w:bCs/>
          <w:i/>
          <w:vertAlign w:val="subscript"/>
          <w:lang w:val="fr-FR"/>
        </w:rPr>
        <w:t>q</w:t>
      </w:r>
      <w:r w:rsidRPr="007E46C9">
        <w:rPr>
          <w:bCs/>
          <w:lang w:val="fr-FR"/>
        </w:rPr>
        <w:tab/>
        <w:t>=</w:t>
      </w:r>
      <w:r w:rsidRPr="007E46C9">
        <w:rPr>
          <w:bCs/>
          <w:lang w:val="fr-FR"/>
        </w:rPr>
        <w:tab/>
        <w:t xml:space="preserve">DASARRQ </w:t>
      </w:r>
      <w:r w:rsidRPr="007E46C9">
        <w:rPr>
          <w:bCs/>
          <w:i/>
          <w:vertAlign w:val="subscript"/>
          <w:lang w:val="fr-FR"/>
        </w:rPr>
        <w:t>q</w:t>
      </w:r>
      <w:r w:rsidRPr="007E46C9">
        <w:rPr>
          <w:bCs/>
          <w:lang w:val="fr-FR"/>
        </w:rPr>
        <w:t xml:space="preserve"> + RTSARRQ </w:t>
      </w:r>
      <w:r w:rsidRPr="007E46C9">
        <w:rPr>
          <w:bCs/>
          <w:i/>
          <w:vertAlign w:val="subscript"/>
          <w:lang w:val="fr-FR"/>
        </w:rPr>
        <w:t>q</w:t>
      </w:r>
    </w:p>
    <w:p w14:paraId="6B5A3041" w14:textId="77777777" w:rsidR="008C5104" w:rsidRPr="007E46C9" w:rsidRDefault="008C5104" w:rsidP="008C5104">
      <w:pPr>
        <w:keepNext/>
      </w:pPr>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07890D68" w14:textId="77777777" w:rsidTr="008C5104">
        <w:trPr>
          <w:tblHeader/>
        </w:trPr>
        <w:tc>
          <w:tcPr>
            <w:tcW w:w="849" w:type="pct"/>
          </w:tcPr>
          <w:p w14:paraId="7DFA1204" w14:textId="77777777" w:rsidR="008C5104" w:rsidRPr="007E46C9" w:rsidRDefault="008C5104" w:rsidP="008C5104">
            <w:pPr>
              <w:keepNext/>
              <w:spacing w:after="120"/>
              <w:rPr>
                <w:b/>
                <w:iCs/>
                <w:sz w:val="20"/>
              </w:rPr>
            </w:pPr>
            <w:r w:rsidRPr="007E46C9">
              <w:rPr>
                <w:b/>
                <w:iCs/>
                <w:sz w:val="20"/>
              </w:rPr>
              <w:t>Variable</w:t>
            </w:r>
          </w:p>
        </w:tc>
        <w:tc>
          <w:tcPr>
            <w:tcW w:w="460" w:type="pct"/>
          </w:tcPr>
          <w:p w14:paraId="7D920C93" w14:textId="77777777" w:rsidR="008C5104" w:rsidRPr="007E46C9" w:rsidRDefault="008C5104" w:rsidP="008C5104">
            <w:pPr>
              <w:keepNext/>
              <w:spacing w:after="120"/>
              <w:rPr>
                <w:b/>
                <w:iCs/>
                <w:sz w:val="20"/>
              </w:rPr>
            </w:pPr>
            <w:r w:rsidRPr="007E46C9">
              <w:rPr>
                <w:b/>
                <w:iCs/>
                <w:sz w:val="20"/>
              </w:rPr>
              <w:t>Unit</w:t>
            </w:r>
          </w:p>
        </w:tc>
        <w:tc>
          <w:tcPr>
            <w:tcW w:w="3691" w:type="pct"/>
          </w:tcPr>
          <w:p w14:paraId="66F95D9C"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4C68EE5B" w14:textId="77777777" w:rsidTr="008C5104">
        <w:tc>
          <w:tcPr>
            <w:tcW w:w="849" w:type="pct"/>
          </w:tcPr>
          <w:p w14:paraId="2FD3F931" w14:textId="77777777" w:rsidR="008C5104" w:rsidRPr="007E46C9" w:rsidRDefault="008C5104" w:rsidP="008C5104">
            <w:pPr>
              <w:spacing w:after="60"/>
              <w:rPr>
                <w:iCs/>
                <w:sz w:val="20"/>
              </w:rPr>
            </w:pPr>
            <w:r w:rsidRPr="007E46C9">
              <w:rPr>
                <w:iCs/>
                <w:sz w:val="20"/>
              </w:rPr>
              <w:t xml:space="preserve">RRCOST </w:t>
            </w:r>
            <w:r w:rsidRPr="007E46C9">
              <w:rPr>
                <w:i/>
                <w:iCs/>
                <w:sz w:val="20"/>
                <w:vertAlign w:val="subscript"/>
              </w:rPr>
              <w:t>q</w:t>
            </w:r>
          </w:p>
        </w:tc>
        <w:tc>
          <w:tcPr>
            <w:tcW w:w="460" w:type="pct"/>
          </w:tcPr>
          <w:p w14:paraId="720B9F4B" w14:textId="77777777" w:rsidR="008C5104" w:rsidRPr="007E46C9" w:rsidRDefault="008C5104" w:rsidP="008C5104">
            <w:pPr>
              <w:keepNext/>
              <w:spacing w:after="60"/>
              <w:rPr>
                <w:iCs/>
                <w:sz w:val="20"/>
              </w:rPr>
            </w:pPr>
            <w:r w:rsidRPr="007E46C9">
              <w:rPr>
                <w:iCs/>
                <w:sz w:val="20"/>
              </w:rPr>
              <w:t>$</w:t>
            </w:r>
          </w:p>
        </w:tc>
        <w:tc>
          <w:tcPr>
            <w:tcW w:w="3691" w:type="pct"/>
          </w:tcPr>
          <w:p w14:paraId="42EAFFED" w14:textId="77777777" w:rsidR="008C5104" w:rsidRPr="007E46C9" w:rsidRDefault="008C5104" w:rsidP="008C5104">
            <w:pPr>
              <w:keepNext/>
              <w:spacing w:after="60"/>
              <w:rPr>
                <w:iCs/>
                <w:sz w:val="20"/>
              </w:rPr>
            </w:pPr>
            <w:r w:rsidRPr="007E46C9">
              <w:rPr>
                <w:i/>
                <w:iCs/>
                <w:sz w:val="20"/>
              </w:rPr>
              <w:t>Responsive Reserve Cost per QSE</w:t>
            </w:r>
            <w:r w:rsidRPr="007E46C9">
              <w:rPr>
                <w:iCs/>
                <w:sz w:val="20"/>
              </w:rPr>
              <w:t xml:space="preserve">—QSE </w:t>
            </w:r>
            <w:r w:rsidRPr="007E46C9">
              <w:rPr>
                <w:i/>
                <w:iCs/>
                <w:sz w:val="20"/>
              </w:rPr>
              <w:t>q</w:t>
            </w:r>
            <w:r w:rsidRPr="007E46C9">
              <w:rPr>
                <w:iCs/>
                <w:sz w:val="20"/>
              </w:rPr>
              <w:t>’s share of the net total costs for RRS, for the hour.</w:t>
            </w:r>
          </w:p>
        </w:tc>
      </w:tr>
      <w:tr w:rsidR="008C5104" w:rsidRPr="007E46C9" w14:paraId="6BA0DEFE" w14:textId="77777777" w:rsidTr="008C5104">
        <w:tc>
          <w:tcPr>
            <w:tcW w:w="849" w:type="pct"/>
            <w:tcBorders>
              <w:top w:val="single" w:sz="4" w:space="0" w:color="auto"/>
              <w:left w:val="single" w:sz="4" w:space="0" w:color="auto"/>
              <w:bottom w:val="single" w:sz="4" w:space="0" w:color="auto"/>
              <w:right w:val="single" w:sz="4" w:space="0" w:color="auto"/>
            </w:tcBorders>
          </w:tcPr>
          <w:p w14:paraId="708CE8EE" w14:textId="77777777" w:rsidR="008C5104" w:rsidRPr="007E46C9" w:rsidRDefault="008C5104" w:rsidP="008C5104">
            <w:pPr>
              <w:spacing w:after="60"/>
              <w:rPr>
                <w:iCs/>
                <w:sz w:val="20"/>
              </w:rPr>
            </w:pPr>
            <w:r w:rsidRPr="007E46C9">
              <w:rPr>
                <w:iCs/>
                <w:sz w:val="20"/>
              </w:rPr>
              <w:t>RRPR</w:t>
            </w:r>
          </w:p>
        </w:tc>
        <w:tc>
          <w:tcPr>
            <w:tcW w:w="460" w:type="pct"/>
            <w:tcBorders>
              <w:top w:val="single" w:sz="4" w:space="0" w:color="auto"/>
              <w:left w:val="single" w:sz="4" w:space="0" w:color="auto"/>
              <w:bottom w:val="single" w:sz="4" w:space="0" w:color="auto"/>
              <w:right w:val="single" w:sz="4" w:space="0" w:color="auto"/>
            </w:tcBorders>
          </w:tcPr>
          <w:p w14:paraId="68D0E46D"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30D80E14" w14:textId="77777777" w:rsidR="008C5104" w:rsidRPr="007E46C9" w:rsidRDefault="008C5104" w:rsidP="008C5104">
            <w:pPr>
              <w:spacing w:after="60"/>
              <w:rPr>
                <w:i/>
                <w:iCs/>
                <w:sz w:val="20"/>
              </w:rPr>
            </w:pPr>
            <w:r w:rsidRPr="007E46C9">
              <w:rPr>
                <w:i/>
                <w:iCs/>
                <w:sz w:val="20"/>
              </w:rPr>
              <w:t>Responsive Reserve Price—</w:t>
            </w:r>
            <w:r w:rsidRPr="007E46C9">
              <w:rPr>
                <w:iCs/>
                <w:sz w:val="20"/>
              </w:rPr>
              <w:t>The price for RRS calculated based on the net total costs for RRS, for the hour.</w:t>
            </w:r>
          </w:p>
        </w:tc>
      </w:tr>
      <w:tr w:rsidR="008C5104" w:rsidRPr="007E46C9" w14:paraId="14FCEA73" w14:textId="77777777" w:rsidTr="008C5104">
        <w:tc>
          <w:tcPr>
            <w:tcW w:w="849" w:type="pct"/>
            <w:tcBorders>
              <w:top w:val="single" w:sz="4" w:space="0" w:color="auto"/>
              <w:left w:val="single" w:sz="4" w:space="0" w:color="auto"/>
              <w:bottom w:val="single" w:sz="4" w:space="0" w:color="auto"/>
              <w:right w:val="single" w:sz="4" w:space="0" w:color="auto"/>
            </w:tcBorders>
          </w:tcPr>
          <w:p w14:paraId="1597AC4A" w14:textId="77777777" w:rsidR="008C5104" w:rsidRPr="007E46C9" w:rsidRDefault="008C5104" w:rsidP="008C5104">
            <w:pPr>
              <w:spacing w:after="60"/>
              <w:rPr>
                <w:iCs/>
                <w:sz w:val="20"/>
              </w:rPr>
            </w:pPr>
            <w:r w:rsidRPr="007E46C9">
              <w:rPr>
                <w:iCs/>
                <w:sz w:val="20"/>
              </w:rPr>
              <w:t>RRCOSTTOT</w:t>
            </w:r>
          </w:p>
        </w:tc>
        <w:tc>
          <w:tcPr>
            <w:tcW w:w="460" w:type="pct"/>
            <w:tcBorders>
              <w:top w:val="single" w:sz="4" w:space="0" w:color="auto"/>
              <w:left w:val="single" w:sz="4" w:space="0" w:color="auto"/>
              <w:bottom w:val="single" w:sz="4" w:space="0" w:color="auto"/>
              <w:right w:val="single" w:sz="4" w:space="0" w:color="auto"/>
            </w:tcBorders>
          </w:tcPr>
          <w:p w14:paraId="76B949A7"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3D4B8367" w14:textId="77777777" w:rsidR="008C5104" w:rsidRPr="007E46C9" w:rsidRDefault="008C5104" w:rsidP="008C5104">
            <w:pPr>
              <w:spacing w:after="60"/>
              <w:rPr>
                <w:i/>
                <w:iCs/>
                <w:sz w:val="20"/>
              </w:rPr>
            </w:pPr>
            <w:r w:rsidRPr="007E46C9">
              <w:rPr>
                <w:i/>
                <w:iCs/>
                <w:sz w:val="20"/>
              </w:rPr>
              <w:t>Responsive Reserve Cost Total</w:t>
            </w:r>
            <w:r w:rsidRPr="007E46C9">
              <w:rPr>
                <w:iCs/>
                <w:sz w:val="20"/>
              </w:rPr>
              <w:t>—The net total costs for RRS</w:t>
            </w:r>
            <w:r w:rsidR="00637160" w:rsidRPr="007E46C9">
              <w:rPr>
                <w:iCs/>
                <w:sz w:val="20"/>
              </w:rPr>
              <w:t>,</w:t>
            </w:r>
            <w:r w:rsidRPr="007E46C9">
              <w:rPr>
                <w:iCs/>
                <w:sz w:val="20"/>
              </w:rPr>
              <w:t xml:space="preserve"> for the hour.  See item</w:t>
            </w:r>
            <w:r w:rsidR="00637160">
              <w:rPr>
                <w:iCs/>
                <w:sz w:val="20"/>
              </w:rPr>
              <w:t xml:space="preserve"> (4)</w:t>
            </w:r>
            <w:r w:rsidRPr="007E46C9">
              <w:rPr>
                <w:iCs/>
                <w:sz w:val="20"/>
              </w:rPr>
              <w:t>(a) above.</w:t>
            </w:r>
          </w:p>
        </w:tc>
      </w:tr>
      <w:tr w:rsidR="008C5104" w:rsidRPr="007E46C9" w14:paraId="5FB45CC3" w14:textId="77777777" w:rsidTr="008C5104">
        <w:tc>
          <w:tcPr>
            <w:tcW w:w="849" w:type="pct"/>
            <w:tcBorders>
              <w:top w:val="single" w:sz="4" w:space="0" w:color="auto"/>
              <w:left w:val="single" w:sz="4" w:space="0" w:color="auto"/>
              <w:bottom w:val="single" w:sz="4" w:space="0" w:color="auto"/>
              <w:right w:val="single" w:sz="4" w:space="0" w:color="auto"/>
            </w:tcBorders>
          </w:tcPr>
          <w:p w14:paraId="45BB040F" w14:textId="77777777" w:rsidR="008C5104" w:rsidRPr="007E46C9" w:rsidRDefault="008C5104" w:rsidP="008C5104">
            <w:pPr>
              <w:spacing w:after="60"/>
              <w:rPr>
                <w:iCs/>
                <w:sz w:val="20"/>
              </w:rPr>
            </w:pPr>
            <w:r w:rsidRPr="007E46C9">
              <w:rPr>
                <w:iCs/>
                <w:sz w:val="20"/>
              </w:rPr>
              <w:t>RRQTOT</w:t>
            </w:r>
          </w:p>
        </w:tc>
        <w:tc>
          <w:tcPr>
            <w:tcW w:w="460" w:type="pct"/>
            <w:tcBorders>
              <w:top w:val="single" w:sz="4" w:space="0" w:color="auto"/>
              <w:left w:val="single" w:sz="4" w:space="0" w:color="auto"/>
              <w:bottom w:val="single" w:sz="4" w:space="0" w:color="auto"/>
              <w:right w:val="single" w:sz="4" w:space="0" w:color="auto"/>
            </w:tcBorders>
          </w:tcPr>
          <w:p w14:paraId="32979BD3"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7D41C876" w14:textId="77777777" w:rsidR="008C5104" w:rsidRPr="007E46C9" w:rsidRDefault="008C5104" w:rsidP="008C5104">
            <w:pPr>
              <w:spacing w:after="60"/>
              <w:rPr>
                <w:i/>
                <w:iCs/>
                <w:sz w:val="20"/>
              </w:rPr>
            </w:pPr>
            <w:r w:rsidRPr="007E46C9">
              <w:rPr>
                <w:i/>
                <w:iCs/>
                <w:sz w:val="20"/>
              </w:rPr>
              <w:t>Responsive Reserve Quantity Total</w:t>
            </w:r>
            <w:r w:rsidRPr="007E46C9">
              <w:rPr>
                <w:iCs/>
                <w:sz w:val="20"/>
              </w:rPr>
              <w:t>—The sum of every QSE’s Ancillary Service Obligation minus its self-arranged RRS quantity in the DAM and any and all SASMs for the hour.</w:t>
            </w:r>
          </w:p>
        </w:tc>
      </w:tr>
      <w:tr w:rsidR="008C5104" w:rsidRPr="007E46C9" w14:paraId="67E3E2A3" w14:textId="77777777" w:rsidTr="008C5104">
        <w:tc>
          <w:tcPr>
            <w:tcW w:w="849" w:type="pct"/>
            <w:tcBorders>
              <w:top w:val="single" w:sz="4" w:space="0" w:color="auto"/>
              <w:left w:val="single" w:sz="4" w:space="0" w:color="auto"/>
              <w:bottom w:val="single" w:sz="4" w:space="0" w:color="auto"/>
              <w:right w:val="single" w:sz="4" w:space="0" w:color="auto"/>
            </w:tcBorders>
          </w:tcPr>
          <w:p w14:paraId="25579576" w14:textId="77777777" w:rsidR="008C5104" w:rsidRPr="007E46C9" w:rsidRDefault="008C5104" w:rsidP="008C5104">
            <w:pPr>
              <w:spacing w:after="60"/>
              <w:rPr>
                <w:iCs/>
                <w:sz w:val="20"/>
              </w:rPr>
            </w:pPr>
            <w:r w:rsidRPr="007E46C9">
              <w:rPr>
                <w:iCs/>
                <w:sz w:val="20"/>
              </w:rPr>
              <w:t xml:space="preserve">RRQ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C0D8392"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D7D3841" w14:textId="77777777" w:rsidR="008C5104" w:rsidRPr="007E46C9" w:rsidRDefault="008C5104" w:rsidP="008C5104">
            <w:pPr>
              <w:spacing w:after="60"/>
              <w:rPr>
                <w:i/>
                <w:iCs/>
                <w:sz w:val="20"/>
              </w:rPr>
            </w:pPr>
            <w:r w:rsidRPr="007E46C9">
              <w:rPr>
                <w:i/>
                <w:iCs/>
                <w:sz w:val="20"/>
              </w:rPr>
              <w:t>Responsive Reserve Quantity per QSE</w:t>
            </w:r>
            <w:r w:rsidRPr="007E46C9">
              <w:rPr>
                <w:iCs/>
                <w:sz w:val="20"/>
              </w:rPr>
              <w:t xml:space="preserve">—The QSE </w:t>
            </w:r>
            <w:r w:rsidRPr="007E46C9">
              <w:rPr>
                <w:i/>
                <w:iCs/>
                <w:sz w:val="20"/>
              </w:rPr>
              <w:t>q</w:t>
            </w:r>
            <w:r w:rsidRPr="007E46C9">
              <w:rPr>
                <w:iCs/>
                <w:sz w:val="20"/>
              </w:rPr>
              <w:t>’s Ancillary Service Obligation minus its self-arranged RRS quantity in the DAM and any and all SASMs</w:t>
            </w:r>
            <w:r w:rsidR="00EE4598" w:rsidRPr="007E46C9">
              <w:rPr>
                <w:iCs/>
                <w:sz w:val="20"/>
              </w:rPr>
              <w:t>,</w:t>
            </w:r>
            <w:r w:rsidRPr="007E46C9">
              <w:rPr>
                <w:iCs/>
                <w:sz w:val="20"/>
              </w:rPr>
              <w:t xml:space="preserve"> for the hour.</w:t>
            </w:r>
          </w:p>
        </w:tc>
      </w:tr>
      <w:tr w:rsidR="008C5104" w:rsidRPr="007E46C9" w14:paraId="41D29C61" w14:textId="77777777" w:rsidTr="008C5104">
        <w:tc>
          <w:tcPr>
            <w:tcW w:w="849" w:type="pct"/>
            <w:tcBorders>
              <w:top w:val="single" w:sz="4" w:space="0" w:color="auto"/>
              <w:left w:val="single" w:sz="4" w:space="0" w:color="auto"/>
              <w:bottom w:val="single" w:sz="4" w:space="0" w:color="auto"/>
              <w:right w:val="single" w:sz="4" w:space="0" w:color="auto"/>
            </w:tcBorders>
          </w:tcPr>
          <w:p w14:paraId="2C7A7CEE" w14:textId="77777777" w:rsidR="008C5104" w:rsidRPr="007E46C9" w:rsidRDefault="008C5104" w:rsidP="008C5104">
            <w:pPr>
              <w:spacing w:after="60"/>
              <w:rPr>
                <w:iCs/>
                <w:sz w:val="20"/>
              </w:rPr>
            </w:pPr>
            <w:r w:rsidRPr="007E46C9">
              <w:rPr>
                <w:iCs/>
                <w:sz w:val="20"/>
              </w:rPr>
              <w:lastRenderedPageBreak/>
              <w:t xml:space="preserve">RRO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21777A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955F632" w14:textId="77777777" w:rsidR="008C5104" w:rsidRPr="007E46C9" w:rsidRDefault="008C5104" w:rsidP="008C5104">
            <w:pPr>
              <w:spacing w:after="60"/>
              <w:rPr>
                <w:i/>
                <w:iCs/>
                <w:sz w:val="20"/>
              </w:rPr>
            </w:pPr>
            <w:r w:rsidRPr="007E46C9">
              <w:rPr>
                <w:i/>
                <w:iCs/>
                <w:sz w:val="20"/>
              </w:rPr>
              <w:t>Responsive Reserve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22559452" w14:textId="77777777" w:rsidTr="008C5104">
        <w:tc>
          <w:tcPr>
            <w:tcW w:w="849" w:type="pct"/>
            <w:tcBorders>
              <w:top w:val="single" w:sz="4" w:space="0" w:color="auto"/>
              <w:left w:val="single" w:sz="4" w:space="0" w:color="auto"/>
              <w:bottom w:val="single" w:sz="4" w:space="0" w:color="auto"/>
              <w:right w:val="single" w:sz="4" w:space="0" w:color="auto"/>
            </w:tcBorders>
          </w:tcPr>
          <w:p w14:paraId="47C60244" w14:textId="77777777" w:rsidR="008C5104" w:rsidRPr="007E46C9" w:rsidRDefault="008C5104" w:rsidP="008C5104">
            <w:pPr>
              <w:spacing w:after="60"/>
              <w:rPr>
                <w:iCs/>
                <w:sz w:val="20"/>
              </w:rPr>
            </w:pPr>
            <w:r w:rsidRPr="007E46C9">
              <w:rPr>
                <w:iCs/>
                <w:sz w:val="20"/>
              </w:rPr>
              <w:t>DASARRQ</w:t>
            </w:r>
            <w:r w:rsidRPr="007E46C9">
              <w:rPr>
                <w:i/>
                <w:iCs/>
                <w:sz w:val="20"/>
              </w:rPr>
              <w:t xml:space="preserve">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251BA0E"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645B6C46" w14:textId="77777777" w:rsidR="008C5104" w:rsidRPr="007E46C9" w:rsidRDefault="008C5104" w:rsidP="008C5104">
            <w:pPr>
              <w:spacing w:after="60"/>
              <w:rPr>
                <w:i/>
                <w:iCs/>
                <w:sz w:val="20"/>
              </w:rPr>
            </w:pPr>
            <w:r w:rsidRPr="007E46C9">
              <w:rPr>
                <w:i/>
                <w:iCs/>
                <w:sz w:val="20"/>
              </w:rPr>
              <w:t>Day-Ahead Self-Arranged Responsive Reserve Quantity per QSE</w:t>
            </w:r>
            <w:r w:rsidRPr="007E46C9">
              <w:rPr>
                <w:iCs/>
                <w:sz w:val="20"/>
              </w:rPr>
              <w:t xml:space="preserve">—The self-arranged RRS quantity submitted by QSE </w:t>
            </w:r>
            <w:r w:rsidRPr="007E46C9">
              <w:rPr>
                <w:i/>
                <w:iCs/>
                <w:sz w:val="20"/>
              </w:rPr>
              <w:t>q</w:t>
            </w:r>
            <w:r w:rsidRPr="007E46C9">
              <w:rPr>
                <w:iCs/>
                <w:sz w:val="20"/>
              </w:rPr>
              <w:t xml:space="preserve"> before 1000 in the Day-Ahead.</w:t>
            </w:r>
          </w:p>
        </w:tc>
      </w:tr>
      <w:tr w:rsidR="008C5104" w:rsidRPr="007E46C9" w14:paraId="765E1431" w14:textId="77777777" w:rsidTr="008C5104">
        <w:tc>
          <w:tcPr>
            <w:tcW w:w="849" w:type="pct"/>
            <w:tcBorders>
              <w:top w:val="single" w:sz="4" w:space="0" w:color="auto"/>
              <w:left w:val="single" w:sz="4" w:space="0" w:color="auto"/>
              <w:bottom w:val="single" w:sz="4" w:space="0" w:color="auto"/>
              <w:right w:val="single" w:sz="4" w:space="0" w:color="auto"/>
            </w:tcBorders>
          </w:tcPr>
          <w:p w14:paraId="4827CDED" w14:textId="77777777" w:rsidR="008C5104" w:rsidRPr="007E46C9" w:rsidRDefault="008C5104" w:rsidP="008C5104">
            <w:pPr>
              <w:spacing w:after="60"/>
              <w:rPr>
                <w:iCs/>
                <w:sz w:val="20"/>
              </w:rPr>
            </w:pPr>
            <w:r w:rsidRPr="007E46C9">
              <w:rPr>
                <w:iCs/>
                <w:sz w:val="20"/>
              </w:rPr>
              <w:t>RTSARRQ</w:t>
            </w:r>
            <w:r w:rsidRPr="007E46C9">
              <w:rPr>
                <w:i/>
                <w:iCs/>
                <w:sz w:val="20"/>
              </w:rPr>
              <w:t xml:space="preserve">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A13E98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28F266CA" w14:textId="77777777" w:rsidR="008C5104" w:rsidRPr="007E46C9" w:rsidRDefault="008C5104" w:rsidP="008C5104">
            <w:pPr>
              <w:spacing w:after="60"/>
              <w:rPr>
                <w:i/>
                <w:iCs/>
                <w:sz w:val="20"/>
              </w:rPr>
            </w:pPr>
            <w:r w:rsidRPr="007E46C9">
              <w:rPr>
                <w:i/>
                <w:iCs/>
                <w:sz w:val="20"/>
              </w:rPr>
              <w:t>Self-Arranged Responsive Reserve Quantity per QSE for all SASMs</w:t>
            </w:r>
            <w:r w:rsidRPr="007E46C9">
              <w:rPr>
                <w:iCs/>
                <w:sz w:val="20"/>
              </w:rPr>
              <w:t xml:space="preserve">—The sum of all self-arranged RRS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sidRPr="007E46C9">
              <w:rPr>
                <w:iCs/>
                <w:sz w:val="20"/>
              </w:rPr>
              <w:t>.</w:t>
            </w:r>
          </w:p>
        </w:tc>
      </w:tr>
      <w:tr w:rsidR="008C5104" w:rsidRPr="007E46C9" w14:paraId="1D302BFE" w14:textId="77777777" w:rsidTr="008C5104">
        <w:tc>
          <w:tcPr>
            <w:tcW w:w="849" w:type="pct"/>
            <w:tcBorders>
              <w:top w:val="single" w:sz="4" w:space="0" w:color="auto"/>
              <w:left w:val="single" w:sz="4" w:space="0" w:color="auto"/>
              <w:bottom w:val="single" w:sz="4" w:space="0" w:color="auto"/>
              <w:right w:val="single" w:sz="4" w:space="0" w:color="auto"/>
            </w:tcBorders>
          </w:tcPr>
          <w:p w14:paraId="1239A094" w14:textId="77777777" w:rsidR="008C5104" w:rsidRPr="007E46C9" w:rsidRDefault="008C5104" w:rsidP="008C5104">
            <w:pPr>
              <w:spacing w:after="60"/>
              <w:rPr>
                <w:iCs/>
                <w:sz w:val="20"/>
              </w:rPr>
            </w:pPr>
            <w:r w:rsidRPr="007E46C9">
              <w:rPr>
                <w:iCs/>
                <w:sz w:val="20"/>
              </w:rPr>
              <w:t xml:space="preserve">RTPCRR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47D1FC2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DC301FD" w14:textId="77777777" w:rsidR="008C5104" w:rsidRPr="007E46C9" w:rsidRDefault="008C5104" w:rsidP="008C5104">
            <w:pPr>
              <w:spacing w:after="60"/>
              <w:rPr>
                <w:i/>
                <w:iCs/>
                <w:sz w:val="20"/>
              </w:rPr>
            </w:pPr>
            <w:r w:rsidRPr="007E46C9">
              <w:rPr>
                <w:i/>
                <w:iCs/>
                <w:sz w:val="20"/>
              </w:rPr>
              <w:t>Procured Capacity for Responsive Reserve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RRS, for the hour.</w:t>
            </w:r>
          </w:p>
        </w:tc>
      </w:tr>
      <w:tr w:rsidR="008C5104" w:rsidRPr="007E46C9" w14:paraId="2C0A7CCC" w14:textId="77777777" w:rsidTr="008C5104">
        <w:tc>
          <w:tcPr>
            <w:tcW w:w="849" w:type="pct"/>
            <w:tcBorders>
              <w:top w:val="single" w:sz="4" w:space="0" w:color="auto"/>
              <w:left w:val="single" w:sz="4" w:space="0" w:color="auto"/>
              <w:bottom w:val="single" w:sz="4" w:space="0" w:color="auto"/>
              <w:right w:val="single" w:sz="4" w:space="0" w:color="auto"/>
            </w:tcBorders>
          </w:tcPr>
          <w:p w14:paraId="5C146406" w14:textId="77777777" w:rsidR="008C5104" w:rsidRPr="007E46C9" w:rsidRDefault="008C5104" w:rsidP="008C5104">
            <w:pPr>
              <w:spacing w:after="60"/>
              <w:rPr>
                <w:iCs/>
                <w:sz w:val="20"/>
              </w:rPr>
            </w:pPr>
            <w:r w:rsidRPr="007E46C9">
              <w:rPr>
                <w:iCs/>
                <w:sz w:val="20"/>
              </w:rPr>
              <w:t xml:space="preserve">RRFQ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54E0F3A"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6EAADDC3" w14:textId="77777777" w:rsidR="008C5104" w:rsidRPr="007E46C9" w:rsidRDefault="008C5104" w:rsidP="008C5104">
            <w:pPr>
              <w:spacing w:after="60"/>
              <w:rPr>
                <w:iCs/>
                <w:sz w:val="20"/>
              </w:rPr>
            </w:pPr>
            <w:r w:rsidRPr="007E46C9">
              <w:rPr>
                <w:i/>
                <w:iCs/>
                <w:sz w:val="20"/>
              </w:rPr>
              <w:t>Responsive Reserve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RRS, for the hour.</w:t>
            </w:r>
          </w:p>
        </w:tc>
      </w:tr>
      <w:tr w:rsidR="008C5104" w:rsidRPr="007E46C9" w14:paraId="516C530D" w14:textId="77777777" w:rsidTr="008C5104">
        <w:tc>
          <w:tcPr>
            <w:tcW w:w="849" w:type="pct"/>
            <w:tcBorders>
              <w:top w:val="single" w:sz="4" w:space="0" w:color="auto"/>
              <w:left w:val="single" w:sz="4" w:space="0" w:color="auto"/>
              <w:bottom w:val="single" w:sz="4" w:space="0" w:color="auto"/>
              <w:right w:val="single" w:sz="4" w:space="0" w:color="auto"/>
            </w:tcBorders>
          </w:tcPr>
          <w:p w14:paraId="29627ACC" w14:textId="77777777" w:rsidR="008C5104" w:rsidRPr="007E46C9" w:rsidRDefault="008C5104" w:rsidP="008C5104">
            <w:pPr>
              <w:spacing w:after="60"/>
              <w:rPr>
                <w:iCs/>
                <w:sz w:val="20"/>
              </w:rPr>
            </w:pPr>
            <w:r w:rsidRPr="007E46C9">
              <w:rPr>
                <w:sz w:val="20"/>
              </w:rPr>
              <w:t xml:space="preserve">RRRFQ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20DB209"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2273D984" w14:textId="77777777" w:rsidR="008C5104" w:rsidRPr="007E46C9" w:rsidRDefault="008C5104" w:rsidP="008C5104">
            <w:pPr>
              <w:spacing w:after="60"/>
              <w:rPr>
                <w:i/>
                <w:iCs/>
                <w:sz w:val="20"/>
              </w:rPr>
            </w:pPr>
            <w:r w:rsidRPr="007E46C9">
              <w:rPr>
                <w:i/>
                <w:sz w:val="20"/>
              </w:rPr>
              <w:t>Reconfiguration Responsive Reserve Failure Quantity per QSE—</w:t>
            </w:r>
            <w:r w:rsidRPr="007E46C9">
              <w:rPr>
                <w:sz w:val="20"/>
              </w:rPr>
              <w:t xml:space="preserve">QSE </w:t>
            </w:r>
            <w:r w:rsidRPr="007E46C9">
              <w:rPr>
                <w:i/>
                <w:sz w:val="20"/>
              </w:rPr>
              <w:t>q</w:t>
            </w:r>
            <w:r w:rsidRPr="007E46C9">
              <w:rPr>
                <w:sz w:val="20"/>
              </w:rPr>
              <w:t>’s total capacity associated with reconfiguration reductions on its Ancillary Service Supply Responsibility for RRS, for the hour.</w:t>
            </w:r>
          </w:p>
        </w:tc>
      </w:tr>
      <w:tr w:rsidR="008C5104" w:rsidRPr="007E46C9" w14:paraId="2ADBAC7E" w14:textId="77777777" w:rsidTr="008C5104">
        <w:tc>
          <w:tcPr>
            <w:tcW w:w="849" w:type="pct"/>
            <w:tcBorders>
              <w:top w:val="single" w:sz="4" w:space="0" w:color="auto"/>
              <w:left w:val="single" w:sz="4" w:space="0" w:color="auto"/>
              <w:bottom w:val="single" w:sz="4" w:space="0" w:color="auto"/>
              <w:right w:val="single" w:sz="4" w:space="0" w:color="auto"/>
            </w:tcBorders>
          </w:tcPr>
          <w:p w14:paraId="43BAF91B"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6F36369"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7239B4D8"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w:t>
            </w:r>
          </w:p>
        </w:tc>
      </w:tr>
      <w:tr w:rsidR="008C5104" w:rsidRPr="007E46C9" w14:paraId="2DE4BC1A" w14:textId="77777777" w:rsidTr="008C5104">
        <w:tc>
          <w:tcPr>
            <w:tcW w:w="849" w:type="pct"/>
            <w:tcBorders>
              <w:top w:val="single" w:sz="4" w:space="0" w:color="auto"/>
              <w:left w:val="single" w:sz="4" w:space="0" w:color="auto"/>
              <w:bottom w:val="single" w:sz="4" w:space="0" w:color="auto"/>
              <w:right w:val="single" w:sz="4" w:space="0" w:color="auto"/>
            </w:tcBorders>
          </w:tcPr>
          <w:p w14:paraId="48753883" w14:textId="77777777" w:rsidR="008C5104" w:rsidRPr="007E46C9" w:rsidRDefault="008C5104" w:rsidP="008C5104">
            <w:pPr>
              <w:rPr>
                <w:sz w:val="20"/>
              </w:rPr>
            </w:pPr>
            <w:r w:rsidRPr="007E46C9">
              <w:rPr>
                <w:sz w:val="20"/>
              </w:rPr>
              <w:t xml:space="preserve">PCRR </w:t>
            </w:r>
            <w:r w:rsidRPr="007E46C9">
              <w:rPr>
                <w:i/>
                <w:sz w:val="20"/>
                <w:vertAlign w:val="subscript"/>
              </w:rPr>
              <w:t>q</w:t>
            </w:r>
            <w:r w:rsidRPr="007E46C9">
              <w:rPr>
                <w:i/>
                <w:sz w:val="20"/>
              </w:rPr>
              <w:t xml:space="preserve"> </w:t>
            </w:r>
          </w:p>
        </w:tc>
        <w:tc>
          <w:tcPr>
            <w:tcW w:w="460" w:type="pct"/>
            <w:tcBorders>
              <w:top w:val="single" w:sz="4" w:space="0" w:color="auto"/>
              <w:left w:val="single" w:sz="4" w:space="0" w:color="auto"/>
              <w:bottom w:val="single" w:sz="4" w:space="0" w:color="auto"/>
              <w:right w:val="single" w:sz="4" w:space="0" w:color="auto"/>
            </w:tcBorders>
          </w:tcPr>
          <w:p w14:paraId="5405D227"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7E5C16D4" w14:textId="77777777" w:rsidR="008C5104" w:rsidRPr="007E46C9" w:rsidRDefault="008C5104" w:rsidP="008C5104">
            <w:pPr>
              <w:rPr>
                <w:sz w:val="20"/>
              </w:rPr>
            </w:pPr>
            <w:r w:rsidRPr="007E46C9">
              <w:rPr>
                <w:i/>
                <w:sz w:val="20"/>
              </w:rPr>
              <w:t>Procured Capacity for Responsive Reserve per QSE in DAM</w:t>
            </w:r>
            <w:r w:rsidRPr="007E46C9">
              <w:rPr>
                <w:sz w:val="20"/>
              </w:rPr>
              <w:t xml:space="preserve">—The total RRS capacity quantity awarded to QSE </w:t>
            </w:r>
            <w:r w:rsidRPr="007E46C9">
              <w:rPr>
                <w:i/>
                <w:sz w:val="20"/>
              </w:rPr>
              <w:t>q</w:t>
            </w:r>
            <w:r w:rsidRPr="007E46C9">
              <w:rPr>
                <w:sz w:val="20"/>
              </w:rPr>
              <w:t xml:space="preserve"> in the DAM for all the Resources represented by the QSE</w:t>
            </w:r>
            <w:r w:rsidR="00637160" w:rsidRPr="007E46C9">
              <w:rPr>
                <w:sz w:val="20"/>
              </w:rPr>
              <w:t>,</w:t>
            </w:r>
            <w:r w:rsidRPr="007E46C9">
              <w:rPr>
                <w:sz w:val="20"/>
              </w:rPr>
              <w:t xml:space="preserve"> for the hour.</w:t>
            </w:r>
          </w:p>
        </w:tc>
      </w:tr>
      <w:tr w:rsidR="008C5104" w:rsidRPr="007E46C9" w14:paraId="6FF34B5C" w14:textId="77777777" w:rsidTr="008C5104">
        <w:tc>
          <w:tcPr>
            <w:tcW w:w="849" w:type="pct"/>
            <w:tcBorders>
              <w:top w:val="single" w:sz="4" w:space="0" w:color="auto"/>
              <w:left w:val="single" w:sz="4" w:space="0" w:color="auto"/>
              <w:bottom w:val="single" w:sz="4" w:space="0" w:color="auto"/>
              <w:right w:val="single" w:sz="4" w:space="0" w:color="auto"/>
            </w:tcBorders>
          </w:tcPr>
          <w:p w14:paraId="3B10F94D" w14:textId="77777777" w:rsidR="008C5104" w:rsidRPr="007E46C9" w:rsidRDefault="008C5104" w:rsidP="008C5104">
            <w:pPr>
              <w:spacing w:after="60"/>
              <w:rPr>
                <w:sz w:val="20"/>
              </w:rPr>
            </w:pPr>
            <w:r w:rsidRPr="007E46C9">
              <w:rPr>
                <w:sz w:val="20"/>
              </w:rPr>
              <w:t xml:space="preserve">SARRQ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538E03C" w14:textId="77777777" w:rsidR="008C5104" w:rsidRPr="007E46C9" w:rsidRDefault="008C5104" w:rsidP="008C5104">
            <w:pPr>
              <w:spacing w:after="60"/>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41FF086E" w14:textId="77777777" w:rsidR="008C5104" w:rsidRPr="007E46C9" w:rsidRDefault="008C5104" w:rsidP="008C5104">
            <w:pPr>
              <w:spacing w:after="60"/>
              <w:rPr>
                <w:i/>
                <w:sz w:val="20"/>
              </w:rPr>
            </w:pPr>
            <w:r w:rsidRPr="007E46C9">
              <w:rPr>
                <w:i/>
                <w:sz w:val="20"/>
              </w:rPr>
              <w:t>Total Self-Arranged Responsive Reserve Quantity per QSE for all markets</w:t>
            </w:r>
            <w:r w:rsidRPr="007E46C9">
              <w:rPr>
                <w:sz w:val="20"/>
              </w:rPr>
              <w:t xml:space="preserve">—The sum of all self-arranged RRS quantities submitted by QSE </w:t>
            </w:r>
            <w:r w:rsidRPr="007E46C9">
              <w:rPr>
                <w:i/>
                <w:sz w:val="20"/>
              </w:rPr>
              <w:t>q</w:t>
            </w:r>
            <w:r w:rsidRPr="007E46C9">
              <w:rPr>
                <w:sz w:val="20"/>
              </w:rPr>
              <w:t xml:space="preserve"> for DAM and all SASMs.</w:t>
            </w:r>
          </w:p>
        </w:tc>
      </w:tr>
      <w:tr w:rsidR="008C5104" w:rsidRPr="007E46C9" w14:paraId="59E5EDBD" w14:textId="77777777" w:rsidTr="008C5104">
        <w:tc>
          <w:tcPr>
            <w:tcW w:w="849" w:type="pct"/>
            <w:tcBorders>
              <w:top w:val="single" w:sz="4" w:space="0" w:color="auto"/>
              <w:left w:val="single" w:sz="4" w:space="0" w:color="auto"/>
              <w:bottom w:val="single" w:sz="4" w:space="0" w:color="auto"/>
              <w:right w:val="single" w:sz="4" w:space="0" w:color="auto"/>
            </w:tcBorders>
          </w:tcPr>
          <w:p w14:paraId="639EFBBC" w14:textId="77777777" w:rsidR="008C5104" w:rsidRPr="007E46C9" w:rsidRDefault="008C5104" w:rsidP="008C5104">
            <w:pPr>
              <w:spacing w:after="60"/>
              <w:rPr>
                <w:i/>
                <w:iCs/>
                <w:sz w:val="20"/>
              </w:rPr>
            </w:pPr>
            <w:r w:rsidRPr="007E46C9">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652C4A1D"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6F242D2C" w14:textId="77777777" w:rsidR="008C5104" w:rsidRPr="007E46C9" w:rsidRDefault="008C5104" w:rsidP="008C5104">
            <w:pPr>
              <w:spacing w:after="60"/>
              <w:rPr>
                <w:iCs/>
                <w:sz w:val="20"/>
              </w:rPr>
            </w:pPr>
            <w:r w:rsidRPr="007E46C9">
              <w:rPr>
                <w:iCs/>
                <w:sz w:val="20"/>
              </w:rPr>
              <w:t>A QSE.</w:t>
            </w:r>
          </w:p>
        </w:tc>
      </w:tr>
      <w:tr w:rsidR="008C5104" w:rsidRPr="007E46C9" w14:paraId="197E241E" w14:textId="77777777" w:rsidTr="008C5104">
        <w:tc>
          <w:tcPr>
            <w:tcW w:w="849" w:type="pct"/>
            <w:tcBorders>
              <w:top w:val="single" w:sz="4" w:space="0" w:color="auto"/>
              <w:left w:val="single" w:sz="4" w:space="0" w:color="auto"/>
              <w:bottom w:val="single" w:sz="4" w:space="0" w:color="auto"/>
              <w:right w:val="single" w:sz="4" w:space="0" w:color="auto"/>
            </w:tcBorders>
          </w:tcPr>
          <w:p w14:paraId="64DE5622" w14:textId="77777777" w:rsidR="008C5104" w:rsidRPr="007E46C9" w:rsidRDefault="008C5104" w:rsidP="008C5104">
            <w:pPr>
              <w:spacing w:after="60"/>
              <w:rPr>
                <w:i/>
                <w:iCs/>
                <w:sz w:val="20"/>
              </w:rPr>
            </w:pPr>
            <w:r w:rsidRPr="007E46C9">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409B3476"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1D38721A"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173C501E" w14:textId="77777777" w:rsidR="008C5104" w:rsidRPr="007E46C9" w:rsidRDefault="008C5104" w:rsidP="008C5104"/>
    <w:p w14:paraId="7FDA51BB" w14:textId="77777777" w:rsidR="008C5104" w:rsidRPr="007E46C9" w:rsidRDefault="008C5104" w:rsidP="008C5104">
      <w:pPr>
        <w:spacing w:after="240"/>
        <w:ind w:left="1440" w:hanging="720"/>
      </w:pPr>
      <w:r w:rsidRPr="007E46C9">
        <w:t>(c)</w:t>
      </w:r>
      <w:r w:rsidRPr="007E46C9">
        <w:tab/>
        <w:t>The adjustment to each QSE’s DAM charge for the RRS for the Operating Hour, due to changes during the Adjustment Period or Real-Time operations, is calculated as follows:</w:t>
      </w:r>
    </w:p>
    <w:p w14:paraId="757E7408" w14:textId="77777777" w:rsidR="008C5104" w:rsidRPr="007E46C9" w:rsidRDefault="008C5104" w:rsidP="008C5104">
      <w:pPr>
        <w:spacing w:after="240"/>
        <w:ind w:left="2880" w:hanging="2160"/>
        <w:rPr>
          <w:b/>
          <w:bCs/>
          <w:lang w:val="pt-BR"/>
        </w:rPr>
      </w:pPr>
      <w:r w:rsidRPr="007E46C9">
        <w:rPr>
          <w:b/>
          <w:bCs/>
          <w:lang w:val="pt-BR"/>
        </w:rPr>
        <w:t xml:space="preserve">RTRRAMT </w:t>
      </w:r>
      <w:r w:rsidRPr="007E46C9">
        <w:rPr>
          <w:b/>
          <w:bCs/>
          <w:i/>
          <w:vertAlign w:val="subscript"/>
          <w:lang w:val="pt-BR"/>
        </w:rPr>
        <w:t>q</w:t>
      </w:r>
      <w:r w:rsidRPr="007E46C9">
        <w:rPr>
          <w:b/>
          <w:bCs/>
          <w:lang w:val="pt-BR"/>
        </w:rPr>
        <w:tab/>
        <w:t>=</w:t>
      </w:r>
      <w:r w:rsidRPr="007E46C9">
        <w:rPr>
          <w:b/>
          <w:bCs/>
          <w:lang w:val="pt-BR"/>
        </w:rPr>
        <w:tab/>
        <w:t xml:space="preserve">RRCOST </w:t>
      </w:r>
      <w:r w:rsidRPr="007E46C9">
        <w:rPr>
          <w:b/>
          <w:bCs/>
          <w:i/>
          <w:vertAlign w:val="subscript"/>
          <w:lang w:val="pt-BR"/>
        </w:rPr>
        <w:t>q</w:t>
      </w:r>
      <w:r w:rsidRPr="007E46C9">
        <w:rPr>
          <w:b/>
          <w:bCs/>
          <w:lang w:val="pt-BR"/>
        </w:rPr>
        <w:t xml:space="preserve"> – DARRAMT </w:t>
      </w:r>
      <w:r w:rsidRPr="007E46C9">
        <w:rPr>
          <w:b/>
          <w:bCs/>
          <w:i/>
          <w:vertAlign w:val="subscript"/>
          <w:lang w:val="pt-BR"/>
        </w:rPr>
        <w:t>q</w:t>
      </w:r>
    </w:p>
    <w:p w14:paraId="0F3655EA"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8C5104" w:rsidRPr="007E46C9" w14:paraId="137C8ADC" w14:textId="77777777" w:rsidTr="008C5104">
        <w:trPr>
          <w:cantSplit/>
        </w:trPr>
        <w:tc>
          <w:tcPr>
            <w:tcW w:w="824" w:type="pct"/>
          </w:tcPr>
          <w:p w14:paraId="328AA0FD" w14:textId="77777777" w:rsidR="008C5104" w:rsidRPr="007E46C9" w:rsidRDefault="008C5104" w:rsidP="008C5104">
            <w:pPr>
              <w:spacing w:after="120"/>
              <w:rPr>
                <w:b/>
                <w:iCs/>
                <w:sz w:val="20"/>
              </w:rPr>
            </w:pPr>
            <w:r w:rsidRPr="007E46C9">
              <w:rPr>
                <w:b/>
                <w:iCs/>
                <w:sz w:val="20"/>
              </w:rPr>
              <w:t>Variable</w:t>
            </w:r>
          </w:p>
        </w:tc>
        <w:tc>
          <w:tcPr>
            <w:tcW w:w="463" w:type="pct"/>
          </w:tcPr>
          <w:p w14:paraId="0B4EDF7B" w14:textId="77777777" w:rsidR="008C5104" w:rsidRPr="007E46C9" w:rsidRDefault="008C5104" w:rsidP="008C5104">
            <w:pPr>
              <w:spacing w:after="120"/>
              <w:rPr>
                <w:b/>
                <w:iCs/>
                <w:sz w:val="20"/>
              </w:rPr>
            </w:pPr>
            <w:r w:rsidRPr="007E46C9">
              <w:rPr>
                <w:b/>
                <w:iCs/>
                <w:sz w:val="20"/>
              </w:rPr>
              <w:t>Unit</w:t>
            </w:r>
          </w:p>
        </w:tc>
        <w:tc>
          <w:tcPr>
            <w:tcW w:w="3713" w:type="pct"/>
          </w:tcPr>
          <w:p w14:paraId="6BE035CB" w14:textId="77777777" w:rsidR="008C5104" w:rsidRPr="007E46C9" w:rsidRDefault="008C5104" w:rsidP="008C5104">
            <w:pPr>
              <w:spacing w:after="120"/>
              <w:rPr>
                <w:b/>
                <w:iCs/>
                <w:sz w:val="20"/>
              </w:rPr>
            </w:pPr>
            <w:r w:rsidRPr="007E46C9">
              <w:rPr>
                <w:b/>
                <w:iCs/>
                <w:sz w:val="20"/>
              </w:rPr>
              <w:t>Description</w:t>
            </w:r>
          </w:p>
        </w:tc>
      </w:tr>
      <w:tr w:rsidR="008C5104" w:rsidRPr="007E46C9" w14:paraId="4AB47D44" w14:textId="77777777" w:rsidTr="008C5104">
        <w:trPr>
          <w:cantSplit/>
        </w:trPr>
        <w:tc>
          <w:tcPr>
            <w:tcW w:w="824" w:type="pct"/>
          </w:tcPr>
          <w:p w14:paraId="2BE7D2CB" w14:textId="77777777" w:rsidR="008C5104" w:rsidRPr="007E46C9" w:rsidRDefault="008C5104" w:rsidP="008C5104">
            <w:pPr>
              <w:spacing w:after="60"/>
              <w:rPr>
                <w:iCs/>
                <w:sz w:val="20"/>
              </w:rPr>
            </w:pPr>
            <w:r w:rsidRPr="007E46C9">
              <w:rPr>
                <w:iCs/>
                <w:sz w:val="20"/>
              </w:rPr>
              <w:t xml:space="preserve">RTRRAMT </w:t>
            </w:r>
            <w:r w:rsidRPr="007E46C9">
              <w:rPr>
                <w:i/>
                <w:iCs/>
                <w:sz w:val="20"/>
                <w:vertAlign w:val="subscript"/>
              </w:rPr>
              <w:t>q</w:t>
            </w:r>
          </w:p>
        </w:tc>
        <w:tc>
          <w:tcPr>
            <w:tcW w:w="463" w:type="pct"/>
          </w:tcPr>
          <w:p w14:paraId="778E8A69" w14:textId="77777777" w:rsidR="008C5104" w:rsidRPr="007E46C9" w:rsidRDefault="008C5104" w:rsidP="008C5104">
            <w:pPr>
              <w:spacing w:after="60"/>
              <w:rPr>
                <w:iCs/>
                <w:sz w:val="20"/>
              </w:rPr>
            </w:pPr>
            <w:r w:rsidRPr="007E46C9">
              <w:rPr>
                <w:iCs/>
                <w:sz w:val="20"/>
              </w:rPr>
              <w:t>$</w:t>
            </w:r>
          </w:p>
        </w:tc>
        <w:tc>
          <w:tcPr>
            <w:tcW w:w="3713" w:type="pct"/>
          </w:tcPr>
          <w:p w14:paraId="3260E817" w14:textId="77777777" w:rsidR="008C5104" w:rsidRPr="007E46C9" w:rsidRDefault="008C5104" w:rsidP="008C5104">
            <w:pPr>
              <w:spacing w:after="60"/>
              <w:rPr>
                <w:iCs/>
                <w:sz w:val="20"/>
              </w:rPr>
            </w:pPr>
            <w:r w:rsidRPr="007E46C9">
              <w:rPr>
                <w:i/>
                <w:iCs/>
                <w:sz w:val="20"/>
              </w:rPr>
              <w:t>Real-Time Responsive Reserve Amount per QSE</w:t>
            </w:r>
            <w:r w:rsidRPr="007E46C9">
              <w:rPr>
                <w:iCs/>
                <w:sz w:val="20"/>
              </w:rPr>
              <w:t xml:space="preserve">—The adjustment to QSE </w:t>
            </w:r>
            <w:r w:rsidRPr="007E46C9">
              <w:rPr>
                <w:i/>
                <w:iCs/>
                <w:sz w:val="20"/>
              </w:rPr>
              <w:t>q</w:t>
            </w:r>
            <w:r w:rsidRPr="007E46C9">
              <w:rPr>
                <w:iCs/>
                <w:sz w:val="20"/>
              </w:rPr>
              <w:t>’s share of the costs for RRS, for the hour.</w:t>
            </w:r>
          </w:p>
        </w:tc>
      </w:tr>
      <w:tr w:rsidR="008C5104" w:rsidRPr="007E46C9" w14:paraId="285FFA9B" w14:textId="77777777" w:rsidTr="008C5104">
        <w:trPr>
          <w:cantSplit/>
        </w:trPr>
        <w:tc>
          <w:tcPr>
            <w:tcW w:w="824" w:type="pct"/>
          </w:tcPr>
          <w:p w14:paraId="09367B6A" w14:textId="77777777" w:rsidR="008C5104" w:rsidRPr="007E46C9" w:rsidRDefault="008C5104" w:rsidP="008C5104">
            <w:pPr>
              <w:spacing w:after="60"/>
              <w:rPr>
                <w:iCs/>
                <w:sz w:val="20"/>
              </w:rPr>
            </w:pPr>
            <w:r w:rsidRPr="007E46C9">
              <w:rPr>
                <w:iCs/>
                <w:sz w:val="20"/>
              </w:rPr>
              <w:t xml:space="preserve">RRCOST </w:t>
            </w:r>
            <w:r w:rsidRPr="007E46C9">
              <w:rPr>
                <w:i/>
                <w:iCs/>
                <w:sz w:val="20"/>
                <w:vertAlign w:val="subscript"/>
              </w:rPr>
              <w:t>q</w:t>
            </w:r>
          </w:p>
        </w:tc>
        <w:tc>
          <w:tcPr>
            <w:tcW w:w="463" w:type="pct"/>
          </w:tcPr>
          <w:p w14:paraId="0A293F98" w14:textId="77777777" w:rsidR="008C5104" w:rsidRPr="007E46C9" w:rsidRDefault="008C5104" w:rsidP="008C5104">
            <w:pPr>
              <w:spacing w:after="60"/>
              <w:rPr>
                <w:iCs/>
                <w:sz w:val="20"/>
              </w:rPr>
            </w:pPr>
            <w:r w:rsidRPr="007E46C9">
              <w:rPr>
                <w:iCs/>
                <w:sz w:val="20"/>
              </w:rPr>
              <w:t>$</w:t>
            </w:r>
          </w:p>
        </w:tc>
        <w:tc>
          <w:tcPr>
            <w:tcW w:w="3713" w:type="pct"/>
          </w:tcPr>
          <w:p w14:paraId="6B795287" w14:textId="77777777" w:rsidR="008C5104" w:rsidRPr="007E46C9" w:rsidRDefault="008C5104" w:rsidP="008C5104">
            <w:pPr>
              <w:spacing w:after="60"/>
              <w:rPr>
                <w:iCs/>
                <w:sz w:val="20"/>
              </w:rPr>
            </w:pPr>
            <w:r w:rsidRPr="007E46C9">
              <w:rPr>
                <w:i/>
                <w:iCs/>
                <w:sz w:val="20"/>
              </w:rPr>
              <w:t>Responsive Reserve Cost per QSE</w:t>
            </w:r>
            <w:r w:rsidRPr="007E46C9">
              <w:rPr>
                <w:iCs/>
                <w:sz w:val="20"/>
              </w:rPr>
              <w:t xml:space="preserve">—QSE </w:t>
            </w:r>
            <w:r w:rsidRPr="007E46C9">
              <w:rPr>
                <w:i/>
                <w:iCs/>
                <w:sz w:val="20"/>
              </w:rPr>
              <w:t>q</w:t>
            </w:r>
            <w:r w:rsidRPr="007E46C9">
              <w:rPr>
                <w:iCs/>
                <w:sz w:val="20"/>
              </w:rPr>
              <w:t>’s share of the net total costs for RRS, for the hour.</w:t>
            </w:r>
          </w:p>
        </w:tc>
      </w:tr>
      <w:tr w:rsidR="008C5104" w:rsidRPr="007E46C9" w14:paraId="3E49C9F0" w14:textId="77777777" w:rsidTr="008C5104">
        <w:trPr>
          <w:cantSplit/>
        </w:trPr>
        <w:tc>
          <w:tcPr>
            <w:tcW w:w="824" w:type="pct"/>
          </w:tcPr>
          <w:p w14:paraId="051DE600" w14:textId="77777777" w:rsidR="008C5104" w:rsidRPr="007E46C9" w:rsidRDefault="008C5104" w:rsidP="008C5104">
            <w:pPr>
              <w:spacing w:after="60"/>
              <w:rPr>
                <w:iCs/>
                <w:sz w:val="20"/>
              </w:rPr>
            </w:pPr>
            <w:r w:rsidRPr="007E46C9">
              <w:rPr>
                <w:iCs/>
                <w:sz w:val="20"/>
              </w:rPr>
              <w:t xml:space="preserve">DARRAMT </w:t>
            </w:r>
            <w:r w:rsidRPr="007E46C9">
              <w:rPr>
                <w:i/>
                <w:iCs/>
                <w:sz w:val="20"/>
                <w:vertAlign w:val="subscript"/>
              </w:rPr>
              <w:t>q</w:t>
            </w:r>
          </w:p>
        </w:tc>
        <w:tc>
          <w:tcPr>
            <w:tcW w:w="463" w:type="pct"/>
          </w:tcPr>
          <w:p w14:paraId="670D51BC" w14:textId="77777777" w:rsidR="008C5104" w:rsidRPr="007E46C9" w:rsidRDefault="008C5104" w:rsidP="008C5104">
            <w:pPr>
              <w:spacing w:after="60"/>
              <w:rPr>
                <w:iCs/>
                <w:sz w:val="20"/>
              </w:rPr>
            </w:pPr>
            <w:r w:rsidRPr="007E46C9">
              <w:rPr>
                <w:iCs/>
                <w:sz w:val="20"/>
              </w:rPr>
              <w:t>$</w:t>
            </w:r>
          </w:p>
        </w:tc>
        <w:tc>
          <w:tcPr>
            <w:tcW w:w="3713" w:type="pct"/>
          </w:tcPr>
          <w:p w14:paraId="05057AEF" w14:textId="77777777" w:rsidR="008C5104" w:rsidRPr="007E46C9" w:rsidRDefault="008C5104" w:rsidP="008C5104">
            <w:pPr>
              <w:spacing w:after="60"/>
              <w:rPr>
                <w:iCs/>
                <w:sz w:val="20"/>
              </w:rPr>
            </w:pPr>
            <w:r w:rsidRPr="007E46C9">
              <w:rPr>
                <w:i/>
                <w:iCs/>
                <w:sz w:val="20"/>
              </w:rPr>
              <w:t>Day-Ahead Responsive Reserve Amount per QSE</w:t>
            </w:r>
            <w:r w:rsidRPr="007E46C9">
              <w:rPr>
                <w:iCs/>
                <w:sz w:val="20"/>
              </w:rPr>
              <w:t xml:space="preserve">—QSE </w:t>
            </w:r>
            <w:r w:rsidRPr="007E46C9">
              <w:rPr>
                <w:i/>
                <w:iCs/>
                <w:sz w:val="20"/>
              </w:rPr>
              <w:t>q</w:t>
            </w:r>
            <w:r w:rsidRPr="007E46C9">
              <w:rPr>
                <w:iCs/>
                <w:sz w:val="20"/>
              </w:rPr>
              <w:t>’s share of the DAM cost for RRS, for the hour.</w:t>
            </w:r>
          </w:p>
        </w:tc>
      </w:tr>
      <w:tr w:rsidR="008C5104" w:rsidRPr="007E46C9" w14:paraId="124A6EAE" w14:textId="77777777" w:rsidTr="008C5104">
        <w:trPr>
          <w:cantSplit/>
        </w:trPr>
        <w:tc>
          <w:tcPr>
            <w:tcW w:w="824" w:type="pct"/>
            <w:tcBorders>
              <w:top w:val="single" w:sz="4" w:space="0" w:color="auto"/>
              <w:left w:val="single" w:sz="4" w:space="0" w:color="auto"/>
              <w:bottom w:val="single" w:sz="4" w:space="0" w:color="auto"/>
              <w:right w:val="single" w:sz="4" w:space="0" w:color="auto"/>
            </w:tcBorders>
          </w:tcPr>
          <w:p w14:paraId="2FD4CEFC" w14:textId="77777777" w:rsidR="008C5104" w:rsidRPr="007E46C9" w:rsidRDefault="008C5104" w:rsidP="008C5104">
            <w:pPr>
              <w:spacing w:after="60"/>
              <w:rPr>
                <w:i/>
                <w:iCs/>
                <w:sz w:val="20"/>
              </w:rPr>
            </w:pPr>
            <w:r w:rsidRPr="007E46C9">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12156860" w14:textId="77777777" w:rsidR="008C5104" w:rsidRPr="007E46C9" w:rsidRDefault="008C5104" w:rsidP="008C5104">
            <w:pPr>
              <w:spacing w:after="60"/>
              <w:rPr>
                <w:iCs/>
                <w:sz w:val="20"/>
              </w:rPr>
            </w:pPr>
            <w:r w:rsidRPr="007E46C9">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5A51E1A5" w14:textId="77777777" w:rsidR="008C5104" w:rsidRPr="007E46C9" w:rsidRDefault="008C5104" w:rsidP="008C5104">
            <w:pPr>
              <w:spacing w:after="60"/>
              <w:rPr>
                <w:iCs/>
                <w:sz w:val="20"/>
              </w:rPr>
            </w:pPr>
            <w:r w:rsidRPr="007E46C9">
              <w:rPr>
                <w:iCs/>
                <w:sz w:val="20"/>
              </w:rPr>
              <w:t>A QSE.</w:t>
            </w:r>
          </w:p>
        </w:tc>
      </w:tr>
    </w:tbl>
    <w:p w14:paraId="4C84C6BA" w14:textId="77777777" w:rsidR="008C5104" w:rsidRPr="007E46C9" w:rsidRDefault="008C5104" w:rsidP="008C5104">
      <w:pPr>
        <w:spacing w:before="240" w:after="240"/>
        <w:ind w:left="720" w:hanging="720"/>
        <w:rPr>
          <w:iCs/>
        </w:rPr>
      </w:pPr>
      <w:r w:rsidRPr="007E46C9">
        <w:rPr>
          <w:iCs/>
        </w:rPr>
        <w:t>(5)</w:t>
      </w:r>
      <w:r w:rsidRPr="007E46C9">
        <w:rPr>
          <w:iCs/>
        </w:rPr>
        <w:tab/>
        <w:t>For Non-Spin, if applicable:</w:t>
      </w:r>
    </w:p>
    <w:p w14:paraId="1CC8AC48" w14:textId="77777777" w:rsidR="008C5104" w:rsidRPr="007E46C9" w:rsidRDefault="008C5104" w:rsidP="008C5104">
      <w:pPr>
        <w:spacing w:after="240"/>
        <w:ind w:left="1440" w:hanging="720"/>
      </w:pPr>
      <w:r w:rsidRPr="007E46C9">
        <w:t>(a)</w:t>
      </w:r>
      <w:r w:rsidRPr="007E46C9">
        <w:tab/>
        <w:t>The net total costs for Non-Spin for a given Operating Hour is calculated as follows:</w:t>
      </w:r>
    </w:p>
    <w:p w14:paraId="59861069" w14:textId="6442BB4B" w:rsidR="008C5104" w:rsidRDefault="008C5104" w:rsidP="008C5104">
      <w:pPr>
        <w:spacing w:after="120"/>
        <w:ind w:left="3600" w:hanging="2880"/>
        <w:rPr>
          <w:b/>
          <w:bCs/>
        </w:rPr>
      </w:pPr>
      <w:r w:rsidRPr="007E46C9">
        <w:rPr>
          <w:b/>
          <w:bCs/>
        </w:rPr>
        <w:lastRenderedPageBreak/>
        <w:t xml:space="preserve">NSCOSTTOT </w:t>
      </w:r>
      <w:r w:rsidRPr="007E46C9">
        <w:rPr>
          <w:b/>
          <w:bCs/>
        </w:rPr>
        <w:tab/>
        <w:t>=</w:t>
      </w:r>
      <w:r w:rsidRPr="007E46C9">
        <w:rPr>
          <w:b/>
          <w:bCs/>
        </w:rPr>
        <w:tab/>
        <w:t>(-1) * (</w:t>
      </w:r>
      <w:r w:rsidR="00A94020">
        <w:rPr>
          <w:b/>
          <w:bCs/>
          <w:noProof/>
          <w:position w:val="-20"/>
        </w:rPr>
        <w:drawing>
          <wp:inline distT="0" distB="0" distL="0" distR="0" wp14:anchorId="56548946" wp14:editId="5AC21F97">
            <wp:extent cx="142875" cy="2762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(RTPCNSAMTTOT </w:t>
      </w:r>
      <w:r w:rsidRPr="007E46C9">
        <w:rPr>
          <w:b/>
          <w:bCs/>
          <w:i/>
          <w:vertAlign w:val="subscript"/>
        </w:rPr>
        <w:t>m</w:t>
      </w:r>
      <w:r w:rsidRPr="007E46C9">
        <w:rPr>
          <w:bCs/>
        </w:rPr>
        <w:t>)</w:t>
      </w:r>
      <w:r w:rsidRPr="007E46C9">
        <w:rPr>
          <w:b/>
          <w:bCs/>
        </w:rPr>
        <w:t xml:space="preserve"> + </w:t>
      </w:r>
      <w:r w:rsidRPr="007E46C9">
        <w:rPr>
          <w:b/>
          <w:bCs/>
        </w:rPr>
        <w:tab/>
        <w:t>PCNSAMTTOT + NSFQAMTTOT</w:t>
      </w:r>
      <w:r w:rsidRPr="00D26EA8">
        <w:rPr>
          <w:b/>
          <w:bCs/>
        </w:rPr>
        <w:t xml:space="preserve"> + </w:t>
      </w:r>
    </w:p>
    <w:p w14:paraId="07306636" w14:textId="77777777" w:rsidR="008C5104" w:rsidRPr="007E46C9" w:rsidRDefault="008C5104" w:rsidP="008C5104">
      <w:pPr>
        <w:spacing w:after="240"/>
        <w:ind w:left="3600" w:firstLine="720"/>
        <w:rPr>
          <w:b/>
          <w:bCs/>
        </w:rPr>
      </w:pPr>
      <w:r w:rsidRPr="00D26EA8">
        <w:rPr>
          <w:b/>
          <w:bCs/>
        </w:rPr>
        <w:t>NSINFQAMTTOT</w:t>
      </w:r>
      <w:r w:rsidRPr="007E46C9">
        <w:rPr>
          <w:b/>
          <w:bCs/>
        </w:rPr>
        <w:t>)</w:t>
      </w:r>
    </w:p>
    <w:p w14:paraId="66CDE5D4" w14:textId="77777777" w:rsidR="008C5104" w:rsidRPr="007E46C9" w:rsidRDefault="008C5104" w:rsidP="008C5104">
      <w:pPr>
        <w:spacing w:after="240"/>
        <w:rPr>
          <w:iCs/>
        </w:rPr>
      </w:pPr>
      <w:r w:rsidRPr="007E46C9">
        <w:rPr>
          <w:iCs/>
        </w:rPr>
        <w:t xml:space="preserve">Where: </w:t>
      </w:r>
    </w:p>
    <w:p w14:paraId="03F6E969" w14:textId="77777777" w:rsidR="008C5104" w:rsidRPr="007E46C9" w:rsidRDefault="008C5104" w:rsidP="008C5104">
      <w:r w:rsidRPr="007E46C9">
        <w:t>Total payment of SASM- and RSASM-procured capacity for Non-Spin by market</w:t>
      </w:r>
    </w:p>
    <w:p w14:paraId="32650A22" w14:textId="31161BBF" w:rsidR="008C5104" w:rsidRPr="007E46C9" w:rsidRDefault="008C5104" w:rsidP="008C5104">
      <w:pPr>
        <w:spacing w:after="240"/>
        <w:ind w:leftChars="300" w:left="2880" w:hangingChars="900" w:hanging="2160"/>
        <w:rPr>
          <w:bCs/>
        </w:rPr>
      </w:pPr>
      <w:r w:rsidRPr="007E46C9">
        <w:rPr>
          <w:bCs/>
        </w:rPr>
        <w:t xml:space="preserve">RTPCNSAMTTOT </w:t>
      </w:r>
      <w:r w:rsidRPr="007E46C9">
        <w:rPr>
          <w:bCs/>
          <w:i/>
          <w:vertAlign w:val="subscript"/>
        </w:rPr>
        <w:t>m</w:t>
      </w:r>
      <w:r w:rsidRPr="007E46C9">
        <w:rPr>
          <w:bCs/>
          <w:i/>
          <w:vertAlign w:val="subscript"/>
        </w:rPr>
        <w:tab/>
      </w:r>
      <w:r w:rsidRPr="007E46C9">
        <w:rPr>
          <w:bCs/>
          <w:i/>
          <w:vertAlign w:val="subscript"/>
        </w:rPr>
        <w:tab/>
      </w:r>
      <w:r w:rsidRPr="007E46C9">
        <w:rPr>
          <w:bCs/>
        </w:rPr>
        <w:t>=</w:t>
      </w:r>
      <w:r w:rsidRPr="007E46C9">
        <w:rPr>
          <w:bCs/>
        </w:rPr>
        <w:tab/>
      </w:r>
      <w:r w:rsidR="00A94020">
        <w:rPr>
          <w:bCs/>
          <w:noProof/>
          <w:position w:val="-22"/>
        </w:rPr>
        <w:drawing>
          <wp:inline distT="0" distB="0" distL="0" distR="0" wp14:anchorId="042322DE" wp14:editId="5BA70275">
            <wp:extent cx="142875" cy="2952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RTPCNSAMT </w:t>
      </w:r>
      <w:r w:rsidRPr="007E46C9">
        <w:rPr>
          <w:bCs/>
          <w:i/>
          <w:vertAlign w:val="subscript"/>
        </w:rPr>
        <w:t>q, m</w:t>
      </w:r>
    </w:p>
    <w:p w14:paraId="69427B89" w14:textId="77777777" w:rsidR="008C5104" w:rsidRPr="007E46C9" w:rsidRDefault="008C5104" w:rsidP="008C5104">
      <w:r w:rsidRPr="007E46C9">
        <w:t>Total payment of DAM-procured capacity for Non-Spin</w:t>
      </w:r>
    </w:p>
    <w:p w14:paraId="368A3806" w14:textId="67D46FB3" w:rsidR="008C5104" w:rsidRPr="007E46C9" w:rsidRDefault="008C5104" w:rsidP="008C5104">
      <w:pPr>
        <w:spacing w:after="240"/>
        <w:ind w:leftChars="300" w:left="2880" w:hangingChars="900" w:hanging="2160"/>
        <w:rPr>
          <w:bCs/>
        </w:rPr>
      </w:pPr>
      <w:r w:rsidRPr="007E46C9">
        <w:rPr>
          <w:bCs/>
        </w:rPr>
        <w:t>PCNSAMTTOT</w:t>
      </w:r>
      <w:r w:rsidRPr="007E46C9">
        <w:rPr>
          <w:bCs/>
        </w:rPr>
        <w:tab/>
      </w:r>
      <w:r w:rsidRPr="007E46C9">
        <w:rPr>
          <w:bCs/>
        </w:rPr>
        <w:tab/>
        <w:t>=</w:t>
      </w:r>
      <w:r w:rsidRPr="007E46C9">
        <w:rPr>
          <w:bCs/>
        </w:rPr>
        <w:tab/>
      </w:r>
      <w:r w:rsidR="00A94020">
        <w:rPr>
          <w:bCs/>
          <w:noProof/>
          <w:position w:val="-22"/>
        </w:rPr>
        <w:drawing>
          <wp:inline distT="0" distB="0" distL="0" distR="0" wp14:anchorId="52FD495B" wp14:editId="399A1996">
            <wp:extent cx="142875" cy="2952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PCNSAMT </w:t>
      </w:r>
      <w:r w:rsidRPr="007E46C9">
        <w:rPr>
          <w:bCs/>
          <w:i/>
          <w:vertAlign w:val="subscript"/>
        </w:rPr>
        <w:t>q</w:t>
      </w:r>
    </w:p>
    <w:p w14:paraId="6F93FE51" w14:textId="77777777" w:rsidR="008C5104" w:rsidRPr="007E46C9" w:rsidRDefault="008C5104" w:rsidP="008C5104">
      <w:r w:rsidRPr="007E46C9">
        <w:t>Total charge of failure on Ancillary Service Supply Responsibility for Non-Spin</w:t>
      </w:r>
    </w:p>
    <w:p w14:paraId="1B9055D9" w14:textId="7B957754" w:rsidR="008C5104" w:rsidRPr="007E46C9" w:rsidRDefault="008C5104" w:rsidP="008C5104">
      <w:pPr>
        <w:spacing w:after="240"/>
        <w:ind w:leftChars="300" w:left="2880" w:hangingChars="900" w:hanging="2160"/>
        <w:rPr>
          <w:bCs/>
        </w:rPr>
      </w:pPr>
      <w:r w:rsidRPr="007E46C9">
        <w:rPr>
          <w:bCs/>
        </w:rPr>
        <w:t>NSFQAMTTOT</w:t>
      </w:r>
      <w:r w:rsidRPr="007E46C9">
        <w:rPr>
          <w:bCs/>
        </w:rPr>
        <w:tab/>
      </w:r>
      <w:r w:rsidRPr="007E46C9">
        <w:rPr>
          <w:bCs/>
        </w:rPr>
        <w:tab/>
        <w:t>=</w:t>
      </w:r>
      <w:r w:rsidRPr="007E46C9">
        <w:rPr>
          <w:bCs/>
        </w:rPr>
        <w:tab/>
      </w:r>
      <w:r w:rsidR="00A94020">
        <w:rPr>
          <w:bCs/>
          <w:noProof/>
          <w:position w:val="-22"/>
        </w:rPr>
        <w:drawing>
          <wp:inline distT="0" distB="0" distL="0" distR="0" wp14:anchorId="59F4166D" wp14:editId="57D0AD4E">
            <wp:extent cx="142875" cy="2952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NSFQAMTQSETOT </w:t>
      </w:r>
      <w:r w:rsidRPr="007E46C9">
        <w:rPr>
          <w:bCs/>
          <w:i/>
          <w:vertAlign w:val="subscript"/>
        </w:rPr>
        <w:t>q</w:t>
      </w:r>
    </w:p>
    <w:p w14:paraId="0B3A3961" w14:textId="77777777" w:rsidR="008C5104" w:rsidRPr="007E46C9" w:rsidRDefault="008C5104" w:rsidP="008C5104">
      <w:pPr>
        <w:ind w:left="300" w:hangingChars="125" w:hanging="300"/>
        <w:rPr>
          <w:bCs/>
        </w:rPr>
      </w:pPr>
      <w:r w:rsidRPr="007E46C9">
        <w:rPr>
          <w:bCs/>
        </w:rPr>
        <w:t>Total payment of SASM- and RSASM-procured capacity for Non-Spin by QSE</w:t>
      </w:r>
    </w:p>
    <w:p w14:paraId="53B80605" w14:textId="1B7417AA" w:rsidR="008C5104" w:rsidRPr="007E46C9" w:rsidRDefault="008C5104" w:rsidP="008C5104">
      <w:pPr>
        <w:spacing w:after="240"/>
        <w:ind w:leftChars="300" w:left="2880" w:hangingChars="900" w:hanging="2160"/>
        <w:rPr>
          <w:bCs/>
          <w:i/>
          <w:vertAlign w:val="subscript"/>
        </w:rPr>
      </w:pPr>
      <w:r w:rsidRPr="007E46C9">
        <w:rPr>
          <w:bCs/>
        </w:rPr>
        <w:t xml:space="preserve">RTPCNSAMTQSETOT </w:t>
      </w:r>
      <w:r w:rsidRPr="007E46C9">
        <w:rPr>
          <w:bCs/>
          <w:i/>
          <w:vertAlign w:val="subscript"/>
        </w:rPr>
        <w:t>q</w:t>
      </w:r>
      <w:r w:rsidRPr="007E46C9">
        <w:rPr>
          <w:bCs/>
          <w:i/>
          <w:vertAlign w:val="subscript"/>
        </w:rPr>
        <w:tab/>
      </w:r>
      <w:r w:rsidRPr="007E46C9">
        <w:rPr>
          <w:bCs/>
        </w:rPr>
        <w:t>=</w:t>
      </w:r>
      <w:r w:rsidRPr="007E46C9">
        <w:rPr>
          <w:bCs/>
        </w:rPr>
        <w:tab/>
      </w:r>
      <w:r w:rsidR="00A94020">
        <w:rPr>
          <w:bCs/>
          <w:noProof/>
          <w:position w:val="-20"/>
        </w:rPr>
        <w:drawing>
          <wp:inline distT="0" distB="0" distL="0" distR="0" wp14:anchorId="040D42CC" wp14:editId="066CEAB0">
            <wp:extent cx="142875" cy="2762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RTPCNSAMT </w:t>
      </w:r>
      <w:r w:rsidRPr="007E46C9">
        <w:rPr>
          <w:bCs/>
          <w:i/>
          <w:vertAlign w:val="subscript"/>
        </w:rPr>
        <w:t>q, m</w:t>
      </w:r>
    </w:p>
    <w:p w14:paraId="55CBC81B" w14:textId="77777777" w:rsidR="008C5104" w:rsidRDefault="008C5104" w:rsidP="008C5104">
      <w:r>
        <w:t>Total charge of infeasible Ancillary Service Supply Responsibility for Non-Spin</w:t>
      </w:r>
    </w:p>
    <w:p w14:paraId="05C888EE" w14:textId="77777777" w:rsidR="008C5104" w:rsidRDefault="008C5104" w:rsidP="00EE4598">
      <w:pPr>
        <w:spacing w:after="240"/>
        <w:ind w:left="2880" w:hanging="2160"/>
        <w:rPr>
          <w:i/>
          <w:vertAlign w:val="subscript"/>
        </w:rPr>
      </w:pPr>
      <w:r>
        <w:t>NSINFQAMTTOT</w:t>
      </w:r>
      <w:r>
        <w:tab/>
        <w:t>=</w:t>
      </w:r>
      <w:r>
        <w:tab/>
      </w:r>
      <w:r w:rsidRPr="006F784F">
        <w:rPr>
          <w:position w:val="-22"/>
          <w:lang w:val="pt-BR"/>
        </w:rPr>
        <w:object w:dxaOrig="225" w:dyaOrig="465" w14:anchorId="0BC82E81">
          <v:shape id="_x0000_i1355" type="#_x0000_t75" style="width:12pt;height:18pt" o:ole="">
            <v:imagedata r:id="rId433" o:title=""/>
          </v:shape>
          <o:OLEObject Type="Embed" ProgID="Equation.3" ShapeID="_x0000_i1355" DrawAspect="Content" ObjectID="_1815025543" r:id="rId442"/>
        </w:object>
      </w:r>
      <w:r w:rsidRPr="002A7C17">
        <w:t xml:space="preserve"> </w:t>
      </w:r>
      <w:r>
        <w:t xml:space="preserve">NSINFQAMT </w:t>
      </w:r>
      <w:r w:rsidRPr="00D26EA8">
        <w:rPr>
          <w:i/>
          <w:vertAlign w:val="subscript"/>
        </w:rPr>
        <w:t>q</w:t>
      </w:r>
    </w:p>
    <w:p w14:paraId="7939D31F"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615"/>
        <w:gridCol w:w="6433"/>
      </w:tblGrid>
      <w:tr w:rsidR="008C5104" w:rsidRPr="007E46C9" w14:paraId="78435C5B" w14:textId="77777777" w:rsidTr="008C5104">
        <w:trPr>
          <w:tblHeader/>
        </w:trPr>
        <w:tc>
          <w:tcPr>
            <w:tcW w:w="1231" w:type="pct"/>
          </w:tcPr>
          <w:p w14:paraId="3A654319" w14:textId="77777777" w:rsidR="008C5104" w:rsidRPr="007E46C9" w:rsidRDefault="008C5104" w:rsidP="008C5104">
            <w:pPr>
              <w:spacing w:after="120"/>
              <w:rPr>
                <w:b/>
                <w:iCs/>
                <w:sz w:val="20"/>
              </w:rPr>
            </w:pPr>
            <w:r w:rsidRPr="007E46C9">
              <w:rPr>
                <w:b/>
                <w:iCs/>
                <w:sz w:val="20"/>
              </w:rPr>
              <w:t>Variable</w:t>
            </w:r>
          </w:p>
        </w:tc>
        <w:tc>
          <w:tcPr>
            <w:tcW w:w="329" w:type="pct"/>
          </w:tcPr>
          <w:p w14:paraId="59CBF337" w14:textId="77777777" w:rsidR="008C5104" w:rsidRPr="007E46C9" w:rsidRDefault="008C5104" w:rsidP="008C5104">
            <w:pPr>
              <w:spacing w:after="120"/>
              <w:rPr>
                <w:b/>
                <w:iCs/>
                <w:sz w:val="20"/>
              </w:rPr>
            </w:pPr>
            <w:r w:rsidRPr="007E46C9">
              <w:rPr>
                <w:b/>
                <w:iCs/>
                <w:sz w:val="20"/>
              </w:rPr>
              <w:t>Unit</w:t>
            </w:r>
          </w:p>
        </w:tc>
        <w:tc>
          <w:tcPr>
            <w:tcW w:w="3440" w:type="pct"/>
          </w:tcPr>
          <w:p w14:paraId="003E7CB8" w14:textId="77777777" w:rsidR="008C5104" w:rsidRPr="007E46C9" w:rsidRDefault="008C5104" w:rsidP="008C5104">
            <w:pPr>
              <w:spacing w:after="120"/>
              <w:rPr>
                <w:b/>
                <w:iCs/>
                <w:sz w:val="20"/>
              </w:rPr>
            </w:pPr>
            <w:r w:rsidRPr="007E46C9">
              <w:rPr>
                <w:b/>
                <w:iCs/>
                <w:sz w:val="20"/>
              </w:rPr>
              <w:t>Description</w:t>
            </w:r>
          </w:p>
        </w:tc>
      </w:tr>
      <w:tr w:rsidR="008C5104" w:rsidRPr="007E46C9" w14:paraId="35A9A819" w14:textId="77777777" w:rsidTr="008C5104">
        <w:tc>
          <w:tcPr>
            <w:tcW w:w="1231" w:type="pct"/>
          </w:tcPr>
          <w:p w14:paraId="4B3B1422" w14:textId="77777777" w:rsidR="008C5104" w:rsidRPr="007E46C9" w:rsidRDefault="008C5104" w:rsidP="008C5104">
            <w:pPr>
              <w:spacing w:after="60"/>
              <w:rPr>
                <w:iCs/>
                <w:sz w:val="20"/>
              </w:rPr>
            </w:pPr>
            <w:r w:rsidRPr="007E46C9">
              <w:rPr>
                <w:iCs/>
                <w:sz w:val="20"/>
              </w:rPr>
              <w:t>NSCOSTTOT</w:t>
            </w:r>
          </w:p>
        </w:tc>
        <w:tc>
          <w:tcPr>
            <w:tcW w:w="329" w:type="pct"/>
          </w:tcPr>
          <w:p w14:paraId="348034FE" w14:textId="77777777" w:rsidR="008C5104" w:rsidRPr="007E46C9" w:rsidRDefault="008C5104" w:rsidP="008C5104">
            <w:pPr>
              <w:spacing w:after="60"/>
              <w:rPr>
                <w:iCs/>
                <w:sz w:val="20"/>
              </w:rPr>
            </w:pPr>
            <w:r w:rsidRPr="007E46C9">
              <w:rPr>
                <w:iCs/>
                <w:sz w:val="20"/>
              </w:rPr>
              <w:t>$</w:t>
            </w:r>
          </w:p>
        </w:tc>
        <w:tc>
          <w:tcPr>
            <w:tcW w:w="3440" w:type="pct"/>
          </w:tcPr>
          <w:p w14:paraId="357DC98B" w14:textId="77777777" w:rsidR="008C5104" w:rsidRPr="007E46C9" w:rsidRDefault="008C5104" w:rsidP="008C5104">
            <w:pPr>
              <w:spacing w:after="60"/>
              <w:rPr>
                <w:iCs/>
                <w:sz w:val="20"/>
              </w:rPr>
            </w:pPr>
            <w:r w:rsidRPr="007E46C9">
              <w:rPr>
                <w:i/>
                <w:iCs/>
                <w:sz w:val="20"/>
              </w:rPr>
              <w:t>Non-Spin Cost Total</w:t>
            </w:r>
            <w:r w:rsidRPr="007E46C9">
              <w:rPr>
                <w:iCs/>
                <w:sz w:val="20"/>
              </w:rPr>
              <w:t>—The net total costs for Non-Spin</w:t>
            </w:r>
            <w:r w:rsidR="00EE4598" w:rsidRPr="007E46C9">
              <w:rPr>
                <w:iCs/>
                <w:sz w:val="20"/>
              </w:rPr>
              <w:t>,</w:t>
            </w:r>
            <w:r w:rsidRPr="007E46C9">
              <w:rPr>
                <w:iCs/>
                <w:sz w:val="20"/>
              </w:rPr>
              <w:t xml:space="preserve"> for the hour.</w:t>
            </w:r>
          </w:p>
        </w:tc>
      </w:tr>
      <w:tr w:rsidR="008C5104" w:rsidRPr="007E46C9" w14:paraId="7A89208E" w14:textId="77777777" w:rsidTr="008C5104">
        <w:tc>
          <w:tcPr>
            <w:tcW w:w="1231" w:type="pct"/>
            <w:tcBorders>
              <w:top w:val="single" w:sz="4" w:space="0" w:color="auto"/>
              <w:left w:val="single" w:sz="4" w:space="0" w:color="auto"/>
              <w:bottom w:val="single" w:sz="4" w:space="0" w:color="auto"/>
              <w:right w:val="single" w:sz="4" w:space="0" w:color="auto"/>
            </w:tcBorders>
          </w:tcPr>
          <w:p w14:paraId="48A28F50" w14:textId="77777777" w:rsidR="008C5104" w:rsidRPr="007E46C9" w:rsidRDefault="008C5104" w:rsidP="008C5104">
            <w:pPr>
              <w:spacing w:after="60"/>
              <w:rPr>
                <w:iCs/>
                <w:sz w:val="20"/>
              </w:rPr>
            </w:pPr>
            <w:r w:rsidRPr="007E46C9">
              <w:rPr>
                <w:iCs/>
                <w:sz w:val="20"/>
              </w:rPr>
              <w:t xml:space="preserve">RTPCNSAMTTOT </w:t>
            </w:r>
            <w:r w:rsidRPr="007E46C9">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1F60CDCD"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5FC3EDDD" w14:textId="77777777" w:rsidR="008C5104" w:rsidRPr="007E46C9" w:rsidRDefault="008C5104" w:rsidP="008C5104">
            <w:pPr>
              <w:spacing w:after="60"/>
              <w:rPr>
                <w:i/>
                <w:iCs/>
                <w:sz w:val="20"/>
              </w:rPr>
            </w:pPr>
            <w:r w:rsidRPr="007E46C9">
              <w:rPr>
                <w:i/>
                <w:iCs/>
                <w:sz w:val="20"/>
              </w:rPr>
              <w:t>Procured Capacity for Non-Spin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Non-Spin, for the hour.</w:t>
            </w:r>
          </w:p>
        </w:tc>
      </w:tr>
      <w:tr w:rsidR="008C5104" w:rsidRPr="007E46C9" w14:paraId="598F57B5" w14:textId="77777777" w:rsidTr="008C5104">
        <w:tc>
          <w:tcPr>
            <w:tcW w:w="1231" w:type="pct"/>
            <w:tcBorders>
              <w:top w:val="single" w:sz="4" w:space="0" w:color="auto"/>
              <w:left w:val="single" w:sz="4" w:space="0" w:color="auto"/>
              <w:bottom w:val="single" w:sz="4" w:space="0" w:color="auto"/>
              <w:right w:val="single" w:sz="4" w:space="0" w:color="auto"/>
            </w:tcBorders>
          </w:tcPr>
          <w:p w14:paraId="79B2EFA7" w14:textId="77777777" w:rsidR="008C5104" w:rsidRPr="007E46C9" w:rsidRDefault="008C5104" w:rsidP="008C5104">
            <w:pPr>
              <w:spacing w:after="60"/>
              <w:rPr>
                <w:iCs/>
                <w:sz w:val="20"/>
              </w:rPr>
            </w:pPr>
            <w:r w:rsidRPr="007E46C9">
              <w:rPr>
                <w:iCs/>
                <w:sz w:val="20"/>
              </w:rPr>
              <w:t xml:space="preserve">RTPCNSAMT </w:t>
            </w:r>
            <w:r w:rsidRPr="007E46C9">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60A0D479"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15041B13" w14:textId="77777777" w:rsidR="008C5104" w:rsidRPr="007E46C9" w:rsidRDefault="008C5104" w:rsidP="008C5104">
            <w:pPr>
              <w:spacing w:after="60"/>
              <w:rPr>
                <w:i/>
                <w:iCs/>
                <w:sz w:val="20"/>
              </w:rPr>
            </w:pPr>
            <w:r w:rsidRPr="007E46C9">
              <w:rPr>
                <w:i/>
                <w:iCs/>
                <w:sz w:val="20"/>
              </w:rPr>
              <w:t>Procured Capacity for Non-Spin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Non-Spin, for the hour.</w:t>
            </w:r>
          </w:p>
        </w:tc>
      </w:tr>
      <w:tr w:rsidR="008C5104" w:rsidRPr="007E46C9" w14:paraId="5BF8B6E2" w14:textId="77777777" w:rsidTr="008C5104">
        <w:tc>
          <w:tcPr>
            <w:tcW w:w="1231" w:type="pct"/>
            <w:tcBorders>
              <w:top w:val="single" w:sz="4" w:space="0" w:color="auto"/>
              <w:left w:val="single" w:sz="4" w:space="0" w:color="auto"/>
              <w:bottom w:val="single" w:sz="4" w:space="0" w:color="auto"/>
              <w:right w:val="single" w:sz="4" w:space="0" w:color="auto"/>
            </w:tcBorders>
          </w:tcPr>
          <w:p w14:paraId="6B24903F" w14:textId="77777777" w:rsidR="008C5104" w:rsidRPr="007E46C9" w:rsidRDefault="008C5104" w:rsidP="008C5104">
            <w:pPr>
              <w:spacing w:after="60"/>
              <w:rPr>
                <w:iCs/>
                <w:sz w:val="20"/>
              </w:rPr>
            </w:pPr>
            <w:r w:rsidRPr="007E46C9">
              <w:rPr>
                <w:iCs/>
                <w:sz w:val="20"/>
              </w:rPr>
              <w:t>NSFQAMTTOT</w:t>
            </w:r>
          </w:p>
        </w:tc>
        <w:tc>
          <w:tcPr>
            <w:tcW w:w="329" w:type="pct"/>
            <w:tcBorders>
              <w:top w:val="single" w:sz="4" w:space="0" w:color="auto"/>
              <w:left w:val="single" w:sz="4" w:space="0" w:color="auto"/>
              <w:bottom w:val="single" w:sz="4" w:space="0" w:color="auto"/>
              <w:right w:val="single" w:sz="4" w:space="0" w:color="auto"/>
            </w:tcBorders>
          </w:tcPr>
          <w:p w14:paraId="74BEA463"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50B5728F" w14:textId="77777777" w:rsidR="008C5104" w:rsidRPr="007E46C9" w:rsidRDefault="008C5104" w:rsidP="008C5104">
            <w:pPr>
              <w:spacing w:after="60"/>
              <w:rPr>
                <w:i/>
                <w:iCs/>
                <w:sz w:val="20"/>
              </w:rPr>
            </w:pPr>
            <w:r w:rsidRPr="007E46C9">
              <w:rPr>
                <w:i/>
                <w:iCs/>
                <w:sz w:val="20"/>
              </w:rPr>
              <w:t>Non-Spin Failure Quantity Amount Total</w:t>
            </w:r>
            <w:r w:rsidRPr="007E46C9">
              <w:rPr>
                <w:iCs/>
                <w:sz w:val="20"/>
              </w:rPr>
              <w:t>—The total charges to all QSEs for their capacity associated with failures and reconfiguration reductions on their Ancillary Service Supply Responsibilities for Non-Spin, for the hour.</w:t>
            </w:r>
          </w:p>
        </w:tc>
      </w:tr>
      <w:tr w:rsidR="008C5104" w:rsidRPr="007E46C9" w14:paraId="16E1CF94" w14:textId="77777777" w:rsidTr="008C5104">
        <w:tc>
          <w:tcPr>
            <w:tcW w:w="1231" w:type="pct"/>
            <w:tcBorders>
              <w:top w:val="single" w:sz="4" w:space="0" w:color="auto"/>
              <w:left w:val="single" w:sz="4" w:space="0" w:color="auto"/>
              <w:bottom w:val="single" w:sz="4" w:space="0" w:color="auto"/>
              <w:right w:val="single" w:sz="4" w:space="0" w:color="auto"/>
            </w:tcBorders>
          </w:tcPr>
          <w:p w14:paraId="6F8CDB42" w14:textId="77777777" w:rsidR="008C5104" w:rsidRPr="007E46C9" w:rsidRDefault="008C5104" w:rsidP="008C5104">
            <w:pPr>
              <w:spacing w:after="60"/>
              <w:rPr>
                <w:iCs/>
                <w:sz w:val="20"/>
              </w:rPr>
            </w:pPr>
            <w:r w:rsidRPr="007E46C9">
              <w:rPr>
                <w:iCs/>
                <w:sz w:val="20"/>
              </w:rPr>
              <w:t xml:space="preserve">NSFQAMTQSETOT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09C4670B"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4EB1D268" w14:textId="77777777" w:rsidR="008C5104" w:rsidRPr="007E46C9" w:rsidRDefault="008C5104" w:rsidP="008C5104">
            <w:pPr>
              <w:spacing w:after="60"/>
              <w:rPr>
                <w:i/>
                <w:iCs/>
                <w:sz w:val="20"/>
              </w:rPr>
            </w:pPr>
            <w:r w:rsidRPr="007E46C9">
              <w:rPr>
                <w:i/>
                <w:iCs/>
                <w:sz w:val="20"/>
              </w:rPr>
              <w:t>Non-Spin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Non-Spin, for the hour.</w:t>
            </w:r>
          </w:p>
        </w:tc>
      </w:tr>
      <w:tr w:rsidR="008C5104" w:rsidRPr="007E46C9" w14:paraId="21C8115E" w14:textId="77777777" w:rsidTr="008C5104">
        <w:tc>
          <w:tcPr>
            <w:tcW w:w="1231" w:type="pct"/>
            <w:tcBorders>
              <w:top w:val="single" w:sz="4" w:space="0" w:color="auto"/>
              <w:left w:val="single" w:sz="4" w:space="0" w:color="auto"/>
              <w:bottom w:val="single" w:sz="4" w:space="0" w:color="auto"/>
              <w:right w:val="single" w:sz="4" w:space="0" w:color="auto"/>
            </w:tcBorders>
          </w:tcPr>
          <w:p w14:paraId="6FE5148A" w14:textId="77777777" w:rsidR="008C5104" w:rsidRPr="007E46C9" w:rsidRDefault="008C5104" w:rsidP="008C5104">
            <w:pPr>
              <w:spacing w:after="60"/>
              <w:rPr>
                <w:iCs/>
                <w:sz w:val="20"/>
              </w:rPr>
            </w:pPr>
            <w:r w:rsidRPr="007E46C9">
              <w:rPr>
                <w:iCs/>
                <w:sz w:val="20"/>
              </w:rPr>
              <w:t xml:space="preserve">RTPCNSAMTQSETOT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251DFAE"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59FEDF44" w14:textId="77777777" w:rsidR="008C5104" w:rsidRPr="007E46C9" w:rsidRDefault="008C5104" w:rsidP="008C5104">
            <w:pPr>
              <w:spacing w:after="60"/>
              <w:rPr>
                <w:iCs/>
                <w:sz w:val="20"/>
              </w:rPr>
            </w:pPr>
            <w:r w:rsidRPr="007E46C9">
              <w:rPr>
                <w:i/>
                <w:iCs/>
                <w:sz w:val="20"/>
              </w:rPr>
              <w:t>Procured Capacity for Non-Spin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Non-Spin, for the hour.</w:t>
            </w:r>
          </w:p>
        </w:tc>
      </w:tr>
      <w:tr w:rsidR="008C5104" w:rsidRPr="007E46C9" w14:paraId="03053200" w14:textId="77777777" w:rsidTr="008C5104">
        <w:tc>
          <w:tcPr>
            <w:tcW w:w="1231" w:type="pct"/>
            <w:tcBorders>
              <w:top w:val="single" w:sz="4" w:space="0" w:color="auto"/>
              <w:left w:val="single" w:sz="4" w:space="0" w:color="auto"/>
              <w:bottom w:val="single" w:sz="4" w:space="0" w:color="auto"/>
              <w:right w:val="single" w:sz="4" w:space="0" w:color="auto"/>
            </w:tcBorders>
          </w:tcPr>
          <w:p w14:paraId="134EF893" w14:textId="77777777" w:rsidR="008C5104" w:rsidRPr="007E46C9" w:rsidRDefault="008C5104" w:rsidP="008C5104">
            <w:pPr>
              <w:rPr>
                <w:b/>
                <w:sz w:val="20"/>
              </w:rPr>
            </w:pPr>
            <w:r w:rsidRPr="007E46C9">
              <w:rPr>
                <w:sz w:val="20"/>
              </w:rPr>
              <w:t xml:space="preserve">PCNSAMT </w:t>
            </w:r>
            <w:r w:rsidRPr="007E46C9">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7A2E66F" w14:textId="77777777" w:rsidR="008C5104" w:rsidRPr="007E46C9" w:rsidRDefault="008C5104" w:rsidP="008C5104">
            <w:pPr>
              <w:rPr>
                <w:b/>
                <w:sz w:val="20"/>
              </w:rPr>
            </w:pPr>
            <w:r w:rsidRPr="007E46C9">
              <w:rPr>
                <w:sz w:val="20"/>
              </w:rPr>
              <w:t>$</w:t>
            </w:r>
          </w:p>
        </w:tc>
        <w:tc>
          <w:tcPr>
            <w:tcW w:w="3440" w:type="pct"/>
            <w:tcBorders>
              <w:top w:val="single" w:sz="4" w:space="0" w:color="auto"/>
              <w:left w:val="single" w:sz="4" w:space="0" w:color="auto"/>
              <w:bottom w:val="single" w:sz="4" w:space="0" w:color="auto"/>
              <w:right w:val="single" w:sz="4" w:space="0" w:color="auto"/>
            </w:tcBorders>
          </w:tcPr>
          <w:p w14:paraId="1F6F11A9" w14:textId="77777777" w:rsidR="008C5104" w:rsidRPr="007E46C9" w:rsidRDefault="008C5104" w:rsidP="008C5104">
            <w:pPr>
              <w:rPr>
                <w:b/>
                <w:sz w:val="20"/>
              </w:rPr>
            </w:pPr>
            <w:r w:rsidRPr="007E46C9">
              <w:rPr>
                <w:i/>
                <w:sz w:val="20"/>
              </w:rPr>
              <w:t>Procured Capacity for Non-Spin Amount per QSE in DAM—</w:t>
            </w:r>
            <w:r w:rsidRPr="007E46C9">
              <w:rPr>
                <w:sz w:val="20"/>
              </w:rPr>
              <w:t>The DAM Non-Spin payment for QSE</w:t>
            </w:r>
            <w:r w:rsidRPr="007E46C9">
              <w:rPr>
                <w:i/>
                <w:sz w:val="20"/>
              </w:rPr>
              <w:t xml:space="preserve"> q</w:t>
            </w:r>
            <w:r w:rsidR="00637160" w:rsidRPr="007E46C9">
              <w:rPr>
                <w:sz w:val="20"/>
              </w:rPr>
              <w:t>,</w:t>
            </w:r>
            <w:r w:rsidRPr="007E46C9">
              <w:rPr>
                <w:sz w:val="20"/>
              </w:rPr>
              <w:t xml:space="preserve"> for the hour.</w:t>
            </w:r>
          </w:p>
        </w:tc>
      </w:tr>
      <w:tr w:rsidR="008C5104" w:rsidRPr="007E46C9" w14:paraId="6092B0B3" w14:textId="77777777" w:rsidTr="008C5104">
        <w:tc>
          <w:tcPr>
            <w:tcW w:w="1231" w:type="pct"/>
            <w:tcBorders>
              <w:top w:val="single" w:sz="4" w:space="0" w:color="auto"/>
              <w:left w:val="single" w:sz="4" w:space="0" w:color="auto"/>
              <w:bottom w:val="single" w:sz="4" w:space="0" w:color="auto"/>
              <w:right w:val="single" w:sz="4" w:space="0" w:color="auto"/>
            </w:tcBorders>
          </w:tcPr>
          <w:p w14:paraId="795BE6EA" w14:textId="77777777" w:rsidR="008C5104" w:rsidRPr="007E46C9" w:rsidRDefault="008C5104" w:rsidP="008C5104">
            <w:pPr>
              <w:spacing w:after="60"/>
              <w:rPr>
                <w:sz w:val="20"/>
              </w:rPr>
            </w:pPr>
            <w:r w:rsidRPr="007E46C9">
              <w:rPr>
                <w:sz w:val="20"/>
              </w:rPr>
              <w:t>PCNSAMTTOT</w:t>
            </w:r>
          </w:p>
        </w:tc>
        <w:tc>
          <w:tcPr>
            <w:tcW w:w="329" w:type="pct"/>
            <w:tcBorders>
              <w:top w:val="single" w:sz="4" w:space="0" w:color="auto"/>
              <w:left w:val="single" w:sz="4" w:space="0" w:color="auto"/>
              <w:bottom w:val="single" w:sz="4" w:space="0" w:color="auto"/>
              <w:right w:val="single" w:sz="4" w:space="0" w:color="auto"/>
            </w:tcBorders>
          </w:tcPr>
          <w:p w14:paraId="55B692B3" w14:textId="77777777" w:rsidR="008C5104" w:rsidRPr="007E46C9" w:rsidRDefault="008C5104" w:rsidP="008C5104">
            <w:pPr>
              <w:spacing w:after="60"/>
              <w:rPr>
                <w:sz w:val="20"/>
              </w:rPr>
            </w:pPr>
            <w:r w:rsidRPr="007E46C9">
              <w:rPr>
                <w:sz w:val="20"/>
              </w:rPr>
              <w:t>$</w:t>
            </w:r>
          </w:p>
        </w:tc>
        <w:tc>
          <w:tcPr>
            <w:tcW w:w="3440" w:type="pct"/>
            <w:tcBorders>
              <w:top w:val="single" w:sz="4" w:space="0" w:color="auto"/>
              <w:left w:val="single" w:sz="4" w:space="0" w:color="auto"/>
              <w:bottom w:val="single" w:sz="4" w:space="0" w:color="auto"/>
              <w:right w:val="single" w:sz="4" w:space="0" w:color="auto"/>
            </w:tcBorders>
          </w:tcPr>
          <w:p w14:paraId="5826B8F7" w14:textId="77777777" w:rsidR="008C5104" w:rsidRPr="007E46C9" w:rsidRDefault="008C5104" w:rsidP="008C5104">
            <w:pPr>
              <w:spacing w:after="60"/>
              <w:rPr>
                <w:sz w:val="20"/>
              </w:rPr>
            </w:pPr>
            <w:r w:rsidRPr="007E46C9">
              <w:rPr>
                <w:i/>
                <w:sz w:val="20"/>
              </w:rPr>
              <w:t>Procured Capacity for Non-Spin Amount Total in DAM</w:t>
            </w:r>
            <w:r w:rsidRPr="007E46C9">
              <w:rPr>
                <w:sz w:val="20"/>
              </w:rPr>
              <w:t>—The total of the DAM Non-Spin payments for all QSEs</w:t>
            </w:r>
            <w:r w:rsidR="00637160" w:rsidRPr="007E46C9">
              <w:rPr>
                <w:sz w:val="20"/>
              </w:rPr>
              <w:t>,</w:t>
            </w:r>
            <w:r w:rsidRPr="007E46C9">
              <w:rPr>
                <w:sz w:val="20"/>
              </w:rPr>
              <w:t xml:space="preserve"> for the hour.</w:t>
            </w:r>
          </w:p>
        </w:tc>
      </w:tr>
      <w:tr w:rsidR="008C5104" w:rsidRPr="007E46C9" w14:paraId="7B9199E8" w14:textId="77777777" w:rsidTr="008C5104">
        <w:tc>
          <w:tcPr>
            <w:tcW w:w="1231" w:type="pct"/>
            <w:tcBorders>
              <w:top w:val="single" w:sz="4" w:space="0" w:color="auto"/>
              <w:left w:val="single" w:sz="4" w:space="0" w:color="auto"/>
              <w:bottom w:val="single" w:sz="4" w:space="0" w:color="auto"/>
              <w:right w:val="single" w:sz="4" w:space="0" w:color="auto"/>
            </w:tcBorders>
          </w:tcPr>
          <w:p w14:paraId="76919C1D" w14:textId="77777777" w:rsidR="008C5104" w:rsidRPr="007E46C9" w:rsidRDefault="008C5104" w:rsidP="008C5104">
            <w:pPr>
              <w:spacing w:after="60"/>
              <w:rPr>
                <w:sz w:val="20"/>
              </w:rPr>
            </w:pPr>
            <w:r w:rsidRPr="00F662FF">
              <w:rPr>
                <w:sz w:val="20"/>
              </w:rPr>
              <w:lastRenderedPageBreak/>
              <w:t>NSINF</w:t>
            </w:r>
            <w:r w:rsidRPr="00736C3C">
              <w:rPr>
                <w:sz w:val="20"/>
              </w:rPr>
              <w:t>QAMTTOT</w:t>
            </w:r>
          </w:p>
        </w:tc>
        <w:tc>
          <w:tcPr>
            <w:tcW w:w="329" w:type="pct"/>
            <w:tcBorders>
              <w:top w:val="single" w:sz="4" w:space="0" w:color="auto"/>
              <w:left w:val="single" w:sz="4" w:space="0" w:color="auto"/>
              <w:bottom w:val="single" w:sz="4" w:space="0" w:color="auto"/>
              <w:right w:val="single" w:sz="4" w:space="0" w:color="auto"/>
            </w:tcBorders>
          </w:tcPr>
          <w:p w14:paraId="4B1F039D" w14:textId="77777777" w:rsidR="008C5104" w:rsidRPr="007E46C9" w:rsidRDefault="008C5104" w:rsidP="008C5104">
            <w:pPr>
              <w:spacing w:after="60"/>
              <w:rPr>
                <w:sz w:val="20"/>
              </w:rPr>
            </w:pPr>
            <w:r>
              <w:rPr>
                <w:sz w:val="20"/>
              </w:rPr>
              <w:t>$</w:t>
            </w:r>
          </w:p>
        </w:tc>
        <w:tc>
          <w:tcPr>
            <w:tcW w:w="3440" w:type="pct"/>
            <w:tcBorders>
              <w:top w:val="single" w:sz="4" w:space="0" w:color="auto"/>
              <w:left w:val="single" w:sz="4" w:space="0" w:color="auto"/>
              <w:bottom w:val="single" w:sz="4" w:space="0" w:color="auto"/>
              <w:right w:val="single" w:sz="4" w:space="0" w:color="auto"/>
            </w:tcBorders>
          </w:tcPr>
          <w:p w14:paraId="7FDA7A45" w14:textId="77777777" w:rsidR="008C5104" w:rsidRPr="007E46C9" w:rsidRDefault="008C5104" w:rsidP="008C5104">
            <w:pPr>
              <w:spacing w:after="60"/>
              <w:rPr>
                <w:i/>
                <w:sz w:val="20"/>
              </w:rPr>
            </w:pPr>
            <w:r>
              <w:rPr>
                <w:i/>
                <w:sz w:val="20"/>
              </w:rPr>
              <w:t>Non-Spin</w:t>
            </w:r>
            <w:r w:rsidRPr="002F2E4C">
              <w:rPr>
                <w:i/>
                <w:sz w:val="20"/>
              </w:rPr>
              <w:t xml:space="preserve"> Infeasible Quantity Amount </w:t>
            </w:r>
            <w:r>
              <w:rPr>
                <w:i/>
                <w:sz w:val="20"/>
              </w:rPr>
              <w:t xml:space="preserve">Total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Ancillary Service Supply Responsibilit</w:t>
            </w:r>
            <w:r>
              <w:rPr>
                <w:sz w:val="20"/>
              </w:rPr>
              <w:t>ies for Non-Spin</w:t>
            </w:r>
            <w:r w:rsidRPr="002F2E4C">
              <w:rPr>
                <w:sz w:val="20"/>
              </w:rPr>
              <w:t>, for the hour.</w:t>
            </w:r>
          </w:p>
        </w:tc>
      </w:tr>
      <w:tr w:rsidR="008C5104" w:rsidRPr="007E46C9" w14:paraId="068CD6B0" w14:textId="77777777" w:rsidTr="008C5104">
        <w:tc>
          <w:tcPr>
            <w:tcW w:w="1231" w:type="pct"/>
            <w:tcBorders>
              <w:top w:val="single" w:sz="4" w:space="0" w:color="auto"/>
              <w:left w:val="single" w:sz="4" w:space="0" w:color="auto"/>
              <w:bottom w:val="single" w:sz="4" w:space="0" w:color="auto"/>
              <w:right w:val="single" w:sz="4" w:space="0" w:color="auto"/>
            </w:tcBorders>
          </w:tcPr>
          <w:p w14:paraId="1BCA4867" w14:textId="77777777" w:rsidR="008C5104" w:rsidRPr="007E46C9" w:rsidRDefault="008C5104" w:rsidP="008C5104">
            <w:pPr>
              <w:spacing w:after="60"/>
              <w:rPr>
                <w:sz w:val="20"/>
              </w:rPr>
            </w:pPr>
            <w:r w:rsidRPr="003B731C">
              <w:rPr>
                <w:sz w:val="20"/>
              </w:rPr>
              <w:t>NSINFQAMT</w:t>
            </w:r>
            <w:r>
              <w:rPr>
                <w:sz w:val="20"/>
              </w:rPr>
              <w:t xml:space="preserve"> </w:t>
            </w:r>
            <w:r w:rsidRPr="00D26EA8">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3A485948" w14:textId="77777777" w:rsidR="008C5104" w:rsidRPr="007E46C9" w:rsidRDefault="008C5104" w:rsidP="008C5104">
            <w:pPr>
              <w:spacing w:after="60"/>
              <w:rPr>
                <w:sz w:val="20"/>
              </w:rPr>
            </w:pPr>
            <w:r>
              <w:rPr>
                <w:sz w:val="20"/>
              </w:rPr>
              <w:t>$</w:t>
            </w:r>
          </w:p>
        </w:tc>
        <w:tc>
          <w:tcPr>
            <w:tcW w:w="3440" w:type="pct"/>
            <w:tcBorders>
              <w:top w:val="single" w:sz="4" w:space="0" w:color="auto"/>
              <w:left w:val="single" w:sz="4" w:space="0" w:color="auto"/>
              <w:bottom w:val="single" w:sz="4" w:space="0" w:color="auto"/>
              <w:right w:val="single" w:sz="4" w:space="0" w:color="auto"/>
            </w:tcBorders>
          </w:tcPr>
          <w:p w14:paraId="0495EC09" w14:textId="77777777" w:rsidR="008C5104" w:rsidRPr="007E46C9" w:rsidRDefault="008C5104" w:rsidP="008C5104">
            <w:pPr>
              <w:spacing w:after="60"/>
              <w:rPr>
                <w:i/>
                <w:sz w:val="20"/>
              </w:rPr>
            </w:pPr>
            <w:r>
              <w:rPr>
                <w:i/>
                <w:sz w:val="20"/>
              </w:rPr>
              <w:t>Non-Spin</w:t>
            </w:r>
            <w:r w:rsidRPr="00736C3C">
              <w:rPr>
                <w:i/>
                <w:sz w:val="20"/>
              </w:rPr>
              <w:t xml:space="preserve">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 Ancillary</w:t>
            </w:r>
            <w:r>
              <w:rPr>
                <w:sz w:val="20"/>
              </w:rPr>
              <w:t xml:space="preserve"> Service Supply Responsibilities</w:t>
            </w:r>
            <w:r w:rsidRPr="00736C3C">
              <w:rPr>
                <w:sz w:val="20"/>
              </w:rPr>
              <w:t xml:space="preserve"> for </w:t>
            </w:r>
            <w:r>
              <w:rPr>
                <w:sz w:val="20"/>
              </w:rPr>
              <w:t>Non-Spin</w:t>
            </w:r>
            <w:r w:rsidRPr="00736C3C">
              <w:rPr>
                <w:sz w:val="20"/>
              </w:rPr>
              <w:t>, for the hour.</w:t>
            </w:r>
          </w:p>
        </w:tc>
      </w:tr>
      <w:tr w:rsidR="008C5104" w:rsidRPr="007E46C9" w14:paraId="4E458644" w14:textId="77777777" w:rsidTr="008C5104">
        <w:tc>
          <w:tcPr>
            <w:tcW w:w="1231" w:type="pct"/>
            <w:tcBorders>
              <w:top w:val="single" w:sz="4" w:space="0" w:color="auto"/>
              <w:left w:val="single" w:sz="4" w:space="0" w:color="auto"/>
              <w:bottom w:val="single" w:sz="4" w:space="0" w:color="auto"/>
              <w:right w:val="single" w:sz="4" w:space="0" w:color="auto"/>
            </w:tcBorders>
          </w:tcPr>
          <w:p w14:paraId="6414C101" w14:textId="77777777" w:rsidR="008C5104" w:rsidRPr="007E46C9" w:rsidRDefault="008C5104" w:rsidP="008C5104">
            <w:pPr>
              <w:spacing w:after="60"/>
              <w:rPr>
                <w:i/>
                <w:iCs/>
                <w:sz w:val="20"/>
              </w:rPr>
            </w:pPr>
            <w:r w:rsidRPr="007E46C9">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0B3D1D81" w14:textId="77777777" w:rsidR="008C5104" w:rsidRPr="007E46C9" w:rsidRDefault="008C5104" w:rsidP="008C5104">
            <w:pPr>
              <w:spacing w:after="60"/>
              <w:rPr>
                <w:iCs/>
                <w:sz w:val="20"/>
              </w:rPr>
            </w:pPr>
            <w:r w:rsidRPr="007E46C9">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42A1A50C" w14:textId="77777777" w:rsidR="008C5104" w:rsidRPr="007E46C9" w:rsidRDefault="008C5104" w:rsidP="008C5104">
            <w:pPr>
              <w:spacing w:after="60"/>
              <w:rPr>
                <w:iCs/>
                <w:sz w:val="20"/>
              </w:rPr>
            </w:pPr>
            <w:r w:rsidRPr="007E46C9">
              <w:rPr>
                <w:iCs/>
                <w:sz w:val="20"/>
              </w:rPr>
              <w:t>A QSE.</w:t>
            </w:r>
          </w:p>
        </w:tc>
      </w:tr>
      <w:tr w:rsidR="008C5104" w:rsidRPr="007E46C9" w14:paraId="74DC22F0" w14:textId="77777777" w:rsidTr="008C5104">
        <w:tc>
          <w:tcPr>
            <w:tcW w:w="1231" w:type="pct"/>
            <w:tcBorders>
              <w:top w:val="single" w:sz="4" w:space="0" w:color="auto"/>
              <w:left w:val="single" w:sz="4" w:space="0" w:color="auto"/>
              <w:bottom w:val="single" w:sz="4" w:space="0" w:color="auto"/>
              <w:right w:val="single" w:sz="4" w:space="0" w:color="auto"/>
            </w:tcBorders>
          </w:tcPr>
          <w:p w14:paraId="5C3CAE6D" w14:textId="77777777" w:rsidR="008C5104" w:rsidRPr="007E46C9" w:rsidRDefault="008C5104" w:rsidP="008C5104">
            <w:pPr>
              <w:spacing w:after="60"/>
              <w:rPr>
                <w:i/>
                <w:iCs/>
                <w:sz w:val="20"/>
              </w:rPr>
            </w:pPr>
            <w:r w:rsidRPr="007E46C9">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1EFC6FA1" w14:textId="77777777" w:rsidR="008C5104" w:rsidRPr="007E46C9" w:rsidRDefault="008C5104" w:rsidP="008C5104">
            <w:pPr>
              <w:spacing w:after="60"/>
              <w:rPr>
                <w:iCs/>
                <w:sz w:val="20"/>
              </w:rPr>
            </w:pPr>
            <w:r w:rsidRPr="007E46C9">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555339C5"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3C35525D"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24CA4" w14:paraId="6A09FB25" w14:textId="77777777" w:rsidTr="002914A3">
        <w:trPr>
          <w:trHeight w:val="566"/>
        </w:trPr>
        <w:tc>
          <w:tcPr>
            <w:tcW w:w="9576" w:type="dxa"/>
            <w:shd w:val="pct12" w:color="auto" w:fill="auto"/>
          </w:tcPr>
          <w:p w14:paraId="64A59951" w14:textId="77777777" w:rsidR="00124CA4" w:rsidRDefault="00124CA4" w:rsidP="002A7BFB">
            <w:pPr>
              <w:pStyle w:val="Instructions"/>
              <w:spacing w:before="120"/>
            </w:pPr>
            <w:r>
              <w:t>[NPRR841:  Replace paragraph (a) above with the following upon system implementation:]</w:t>
            </w:r>
          </w:p>
          <w:p w14:paraId="3FF7A8F8" w14:textId="77777777" w:rsidR="00124CA4" w:rsidRPr="00E5030A" w:rsidRDefault="00124CA4" w:rsidP="00124CA4">
            <w:pPr>
              <w:spacing w:after="240"/>
              <w:ind w:left="1440" w:hanging="720"/>
            </w:pPr>
            <w:r w:rsidRPr="00E5030A">
              <w:t>(a)</w:t>
            </w:r>
            <w:r w:rsidRPr="00E5030A">
              <w:tab/>
              <w:t>The net total costs for Non-Spin for a given Operating Hour is calculated as follows:</w:t>
            </w:r>
          </w:p>
          <w:p w14:paraId="1B1A0531" w14:textId="5770FA2B" w:rsidR="00124CA4" w:rsidRPr="00E5030A" w:rsidRDefault="00124CA4" w:rsidP="00124CA4">
            <w:pPr>
              <w:spacing w:after="120"/>
              <w:ind w:left="3600" w:hanging="2880"/>
              <w:rPr>
                <w:b/>
                <w:bCs/>
              </w:rPr>
            </w:pPr>
            <w:r w:rsidRPr="00E5030A">
              <w:rPr>
                <w:b/>
                <w:bCs/>
              </w:rPr>
              <w:t xml:space="preserve">NSCOSTTOT </w:t>
            </w:r>
            <w:r w:rsidRPr="00E5030A">
              <w:rPr>
                <w:b/>
                <w:bCs/>
              </w:rPr>
              <w:tab/>
              <w:t>=</w:t>
            </w:r>
            <w:r w:rsidRPr="00E5030A">
              <w:rPr>
                <w:b/>
                <w:bCs/>
              </w:rPr>
              <w:tab/>
              <w:t>(-1) * (</w:t>
            </w:r>
            <w:r w:rsidR="00A94020">
              <w:rPr>
                <w:b/>
                <w:bCs/>
                <w:noProof/>
                <w:position w:val="-20"/>
              </w:rPr>
              <w:drawing>
                <wp:inline distT="0" distB="0" distL="0" distR="0" wp14:anchorId="19ACCCA7" wp14:editId="2BDCFA09">
                  <wp:extent cx="142875" cy="2762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(RTPCNSAMTTOT </w:t>
            </w:r>
            <w:r w:rsidRPr="00E5030A">
              <w:rPr>
                <w:b/>
                <w:bCs/>
                <w:i/>
                <w:vertAlign w:val="subscript"/>
              </w:rPr>
              <w:t>m</w:t>
            </w:r>
            <w:r w:rsidRPr="00E5030A">
              <w:rPr>
                <w:bCs/>
              </w:rPr>
              <w:t>)</w:t>
            </w:r>
            <w:r w:rsidRPr="00E5030A">
              <w:rPr>
                <w:b/>
                <w:bCs/>
              </w:rPr>
              <w:t xml:space="preserve"> + </w:t>
            </w:r>
            <w:r w:rsidRPr="00E5030A">
              <w:rPr>
                <w:b/>
                <w:bCs/>
              </w:rPr>
              <w:tab/>
              <w:t xml:space="preserve">PCNSAMTTOT + NSFQAMTTOT + </w:t>
            </w:r>
          </w:p>
          <w:p w14:paraId="5045ED22" w14:textId="77777777" w:rsidR="00124CA4" w:rsidRPr="00E5030A" w:rsidRDefault="00124CA4" w:rsidP="00124CA4">
            <w:pPr>
              <w:spacing w:after="240"/>
              <w:ind w:left="3600" w:firstLine="720"/>
              <w:rPr>
                <w:b/>
                <w:bCs/>
              </w:rPr>
            </w:pPr>
            <w:r w:rsidRPr="00E5030A">
              <w:rPr>
                <w:b/>
                <w:bCs/>
              </w:rPr>
              <w:t>NSINFQAMTTOT</w:t>
            </w:r>
            <w:r>
              <w:rPr>
                <w:b/>
                <w:bCs/>
              </w:rPr>
              <w:t xml:space="preserve"> </w:t>
            </w:r>
            <w:r w:rsidRPr="003675AD">
              <w:rPr>
                <w:b/>
              </w:rPr>
              <w:t xml:space="preserve">+ </w:t>
            </w:r>
            <w:r w:rsidRPr="003675AD">
              <w:rPr>
                <w:b/>
                <w:color w:val="000000"/>
              </w:rPr>
              <w:t>NSMWINFATOT</w:t>
            </w:r>
            <w:r w:rsidRPr="00E5030A">
              <w:rPr>
                <w:b/>
                <w:bCs/>
              </w:rPr>
              <w:t>)</w:t>
            </w:r>
          </w:p>
          <w:p w14:paraId="25A7245E" w14:textId="77777777" w:rsidR="00124CA4" w:rsidRPr="00E5030A" w:rsidRDefault="00124CA4" w:rsidP="00124CA4">
            <w:pPr>
              <w:spacing w:after="240"/>
              <w:rPr>
                <w:iCs/>
              </w:rPr>
            </w:pPr>
            <w:r w:rsidRPr="00E5030A">
              <w:rPr>
                <w:iCs/>
              </w:rPr>
              <w:t xml:space="preserve">Where: </w:t>
            </w:r>
          </w:p>
          <w:p w14:paraId="182AFD06" w14:textId="77777777" w:rsidR="00124CA4" w:rsidRPr="00E5030A" w:rsidRDefault="00124CA4" w:rsidP="00124CA4">
            <w:r w:rsidRPr="00E5030A">
              <w:t>Total payment of SASM- and RSASM-procured capacity for Non-Spin by market</w:t>
            </w:r>
          </w:p>
          <w:p w14:paraId="44397E9C" w14:textId="743D52D0" w:rsidR="00124CA4" w:rsidRPr="00E5030A" w:rsidRDefault="00124CA4" w:rsidP="00124CA4">
            <w:pPr>
              <w:spacing w:after="240"/>
              <w:ind w:leftChars="300" w:left="2880" w:hangingChars="900" w:hanging="2160"/>
              <w:rPr>
                <w:bCs/>
              </w:rPr>
            </w:pPr>
            <w:r w:rsidRPr="00E5030A">
              <w:rPr>
                <w:bCs/>
              </w:rPr>
              <w:t xml:space="preserve">RTPCNSAMTTOT </w:t>
            </w:r>
            <w:r w:rsidRPr="00E5030A">
              <w:rPr>
                <w:bCs/>
                <w:i/>
                <w:vertAlign w:val="subscript"/>
              </w:rPr>
              <w:t>m</w:t>
            </w:r>
            <w:r w:rsidRPr="00E5030A">
              <w:rPr>
                <w:bCs/>
                <w:i/>
                <w:vertAlign w:val="subscript"/>
              </w:rPr>
              <w:tab/>
            </w:r>
            <w:r w:rsidRPr="00E5030A">
              <w:rPr>
                <w:bCs/>
                <w:i/>
                <w:vertAlign w:val="subscript"/>
              </w:rPr>
              <w:tab/>
            </w:r>
            <w:r w:rsidRPr="00E5030A">
              <w:rPr>
                <w:bCs/>
              </w:rPr>
              <w:t>=</w:t>
            </w:r>
            <w:r w:rsidRPr="00E5030A">
              <w:rPr>
                <w:bCs/>
              </w:rPr>
              <w:tab/>
            </w:r>
            <w:r w:rsidR="00A94020">
              <w:rPr>
                <w:bCs/>
                <w:noProof/>
                <w:position w:val="-22"/>
              </w:rPr>
              <w:drawing>
                <wp:inline distT="0" distB="0" distL="0" distR="0" wp14:anchorId="1533E894" wp14:editId="54D46BED">
                  <wp:extent cx="142875" cy="2952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RTPCNSAMT </w:t>
            </w:r>
            <w:r w:rsidRPr="00E5030A">
              <w:rPr>
                <w:bCs/>
                <w:i/>
                <w:vertAlign w:val="subscript"/>
              </w:rPr>
              <w:t>q, m</w:t>
            </w:r>
          </w:p>
          <w:p w14:paraId="6CBAFFAF" w14:textId="77777777" w:rsidR="00124CA4" w:rsidRPr="00E5030A" w:rsidRDefault="00124CA4" w:rsidP="00124CA4">
            <w:r w:rsidRPr="00E5030A">
              <w:t>Total payment of DAM-procured capacity for Non-Spin</w:t>
            </w:r>
          </w:p>
          <w:p w14:paraId="5CEFD4AF" w14:textId="52E4893E" w:rsidR="00124CA4" w:rsidRPr="00E5030A" w:rsidRDefault="00124CA4" w:rsidP="00124CA4">
            <w:pPr>
              <w:spacing w:after="240"/>
              <w:ind w:leftChars="300" w:left="2880" w:hangingChars="900" w:hanging="2160"/>
              <w:rPr>
                <w:bCs/>
              </w:rPr>
            </w:pPr>
            <w:r w:rsidRPr="00E5030A">
              <w:rPr>
                <w:bCs/>
              </w:rPr>
              <w:t>PCNSAMTTOT</w:t>
            </w:r>
            <w:r w:rsidRPr="00E5030A">
              <w:rPr>
                <w:bCs/>
              </w:rPr>
              <w:tab/>
            </w:r>
            <w:r w:rsidRPr="00E5030A">
              <w:rPr>
                <w:bCs/>
              </w:rPr>
              <w:tab/>
              <w:t>=</w:t>
            </w:r>
            <w:r w:rsidRPr="00E5030A">
              <w:rPr>
                <w:bCs/>
              </w:rPr>
              <w:tab/>
            </w:r>
            <w:r w:rsidR="00A94020">
              <w:rPr>
                <w:bCs/>
                <w:noProof/>
                <w:position w:val="-22"/>
              </w:rPr>
              <w:drawing>
                <wp:inline distT="0" distB="0" distL="0" distR="0" wp14:anchorId="036E3B4E" wp14:editId="7FA75E95">
                  <wp:extent cx="142875" cy="2952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PCNSAMT </w:t>
            </w:r>
            <w:r w:rsidRPr="00E5030A">
              <w:rPr>
                <w:bCs/>
                <w:i/>
                <w:vertAlign w:val="subscript"/>
              </w:rPr>
              <w:t>q</w:t>
            </w:r>
          </w:p>
          <w:p w14:paraId="77BF1E01" w14:textId="77777777" w:rsidR="00124CA4" w:rsidRPr="00E5030A" w:rsidRDefault="00124CA4" w:rsidP="00124CA4">
            <w:r w:rsidRPr="00E5030A">
              <w:t>Total charge of failure on Ancillary Service Supply Responsibility for Non-Spin</w:t>
            </w:r>
          </w:p>
          <w:p w14:paraId="79EF03CC" w14:textId="5C6A3975" w:rsidR="00124CA4" w:rsidRPr="00E5030A" w:rsidRDefault="00124CA4" w:rsidP="00124CA4">
            <w:pPr>
              <w:spacing w:after="240"/>
              <w:ind w:leftChars="300" w:left="2880" w:hangingChars="900" w:hanging="2160"/>
              <w:rPr>
                <w:bCs/>
              </w:rPr>
            </w:pPr>
            <w:r w:rsidRPr="00E5030A">
              <w:rPr>
                <w:bCs/>
              </w:rPr>
              <w:t>NSFQAMTTOT</w:t>
            </w:r>
            <w:r w:rsidRPr="00E5030A">
              <w:rPr>
                <w:bCs/>
              </w:rPr>
              <w:tab/>
            </w:r>
            <w:r w:rsidRPr="00E5030A">
              <w:rPr>
                <w:bCs/>
              </w:rPr>
              <w:tab/>
              <w:t>=</w:t>
            </w:r>
            <w:r w:rsidRPr="00E5030A">
              <w:rPr>
                <w:bCs/>
              </w:rPr>
              <w:tab/>
            </w:r>
            <w:r w:rsidR="00A94020">
              <w:rPr>
                <w:bCs/>
                <w:noProof/>
                <w:position w:val="-22"/>
              </w:rPr>
              <w:drawing>
                <wp:inline distT="0" distB="0" distL="0" distR="0" wp14:anchorId="36E5C207" wp14:editId="04195F50">
                  <wp:extent cx="142875" cy="2952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NSFQAMTQSETOT </w:t>
            </w:r>
            <w:r w:rsidRPr="00E5030A">
              <w:rPr>
                <w:bCs/>
                <w:i/>
                <w:vertAlign w:val="subscript"/>
              </w:rPr>
              <w:t>q</w:t>
            </w:r>
          </w:p>
          <w:p w14:paraId="617197A0" w14:textId="77777777" w:rsidR="00124CA4" w:rsidRPr="00E5030A" w:rsidRDefault="00124CA4" w:rsidP="00124CA4">
            <w:pPr>
              <w:ind w:left="300" w:hangingChars="125" w:hanging="300"/>
              <w:rPr>
                <w:bCs/>
              </w:rPr>
            </w:pPr>
            <w:r w:rsidRPr="00E5030A">
              <w:rPr>
                <w:bCs/>
              </w:rPr>
              <w:t>Total payment of SASM- and RSASM-procured capacity for Non-Spin by QSE</w:t>
            </w:r>
          </w:p>
          <w:p w14:paraId="5DD2D254" w14:textId="7E2B0F5D" w:rsidR="00124CA4" w:rsidRPr="00E5030A" w:rsidRDefault="00124CA4" w:rsidP="00124CA4">
            <w:pPr>
              <w:spacing w:after="240"/>
              <w:ind w:leftChars="300" w:left="2880" w:hangingChars="900" w:hanging="2160"/>
              <w:rPr>
                <w:bCs/>
                <w:i/>
                <w:vertAlign w:val="subscript"/>
              </w:rPr>
            </w:pPr>
            <w:r w:rsidRPr="00E5030A">
              <w:rPr>
                <w:bCs/>
              </w:rPr>
              <w:t xml:space="preserve">RTPCNSAMTQSETOT </w:t>
            </w:r>
            <w:r w:rsidRPr="00E5030A">
              <w:rPr>
                <w:bCs/>
                <w:i/>
                <w:vertAlign w:val="subscript"/>
              </w:rPr>
              <w:t>q</w:t>
            </w:r>
            <w:r w:rsidRPr="00E5030A">
              <w:rPr>
                <w:bCs/>
                <w:i/>
                <w:vertAlign w:val="subscript"/>
              </w:rPr>
              <w:tab/>
            </w:r>
            <w:r w:rsidRPr="00E5030A">
              <w:rPr>
                <w:bCs/>
              </w:rPr>
              <w:t>=</w:t>
            </w:r>
            <w:r w:rsidRPr="00E5030A">
              <w:rPr>
                <w:bCs/>
              </w:rPr>
              <w:tab/>
            </w:r>
            <w:r w:rsidR="00A94020">
              <w:rPr>
                <w:bCs/>
                <w:noProof/>
                <w:position w:val="-20"/>
              </w:rPr>
              <w:drawing>
                <wp:inline distT="0" distB="0" distL="0" distR="0" wp14:anchorId="27516435" wp14:editId="02D9F224">
                  <wp:extent cx="142875" cy="2762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RTPCNSAMT </w:t>
            </w:r>
            <w:r w:rsidRPr="00E5030A">
              <w:rPr>
                <w:bCs/>
                <w:i/>
                <w:vertAlign w:val="subscript"/>
              </w:rPr>
              <w:t>q, m</w:t>
            </w:r>
          </w:p>
          <w:p w14:paraId="7BDBCE5B" w14:textId="77777777" w:rsidR="00124CA4" w:rsidRPr="00E5030A" w:rsidRDefault="00124CA4" w:rsidP="00124CA4">
            <w:r w:rsidRPr="00E5030A">
              <w:t>Total charge of infeasible Ancillary Service Supply Responsibility for Non-Spin</w:t>
            </w:r>
          </w:p>
          <w:p w14:paraId="3A888433" w14:textId="614F06E3" w:rsidR="00124CA4" w:rsidRPr="00E5030A" w:rsidRDefault="00124CA4" w:rsidP="00124CA4">
            <w:pPr>
              <w:spacing w:after="240"/>
              <w:ind w:left="2880" w:hanging="2160"/>
              <w:rPr>
                <w:i/>
                <w:vertAlign w:val="subscript"/>
              </w:rPr>
            </w:pPr>
            <w:r w:rsidRPr="00E5030A">
              <w:t>NSINFQAMTTOT</w:t>
            </w:r>
            <w:r w:rsidRPr="00E5030A">
              <w:tab/>
              <w:t>=</w:t>
            </w:r>
            <w:r w:rsidRPr="00E5030A">
              <w:tab/>
            </w:r>
            <w:r w:rsidR="00A94020">
              <w:rPr>
                <w:noProof/>
                <w:position w:val="-22"/>
              </w:rPr>
              <w:drawing>
                <wp:inline distT="0" distB="0" distL="0" distR="0" wp14:anchorId="787DFAAD" wp14:editId="1F8C380D">
                  <wp:extent cx="142875" cy="2952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NSINFQAMT </w:t>
            </w:r>
            <w:r w:rsidRPr="00E5030A">
              <w:rPr>
                <w:i/>
                <w:vertAlign w:val="subscript"/>
              </w:rPr>
              <w:t>q</w:t>
            </w:r>
          </w:p>
          <w:p w14:paraId="22447E35" w14:textId="77777777" w:rsidR="00124CA4" w:rsidRDefault="00124CA4" w:rsidP="00065EC3">
            <w:pPr>
              <w:pStyle w:val="Formula"/>
              <w:ind w:leftChars="9" w:left="322" w:hangingChars="125" w:hanging="300"/>
            </w:pPr>
            <w:r>
              <w:t xml:space="preserve">Total Real-Time </w:t>
            </w:r>
            <w:r>
              <w:rPr>
                <w:iCs/>
              </w:rPr>
              <w:t>Day-Ahead</w:t>
            </w:r>
            <w:r>
              <w:t xml:space="preserve"> Make-Whole Payment for Non-Spin </w:t>
            </w:r>
          </w:p>
          <w:p w14:paraId="38AA7D63" w14:textId="77777777" w:rsidR="00124CA4" w:rsidRDefault="00124CA4" w:rsidP="00124CA4">
            <w:pPr>
              <w:spacing w:after="240"/>
              <w:ind w:leftChars="300" w:left="2880" w:hangingChars="900" w:hanging="2160"/>
            </w:pPr>
            <w:r w:rsidRPr="00AE4A9E">
              <w:rPr>
                <w:bCs/>
              </w:rPr>
              <w:t>NSMWINFATOT</w:t>
            </w:r>
            <w:r>
              <w:tab/>
              <w:t>=</w:t>
            </w:r>
            <w:r>
              <w:tab/>
            </w:r>
            <w:r w:rsidRPr="004C0093">
              <w:rPr>
                <w:position w:val="-22"/>
                <w:lang w:val="pt-BR"/>
              </w:rPr>
              <w:object w:dxaOrig="220" w:dyaOrig="460" w14:anchorId="1406AC3F">
                <v:shape id="_x0000_i1356" type="#_x0000_t75" style="width:12pt;height:18pt" o:ole="">
                  <v:imagedata r:id="rId435" o:title=""/>
                </v:shape>
                <o:OLEObject Type="Embed" ProgID="Equation.3" ShapeID="_x0000_i1356" DrawAspect="Content" ObjectID="_1815025544" r:id="rId443"/>
              </w:object>
            </w:r>
            <w:r w:rsidRPr="00627431">
              <w:rPr>
                <w:color w:val="000000"/>
              </w:rPr>
              <w:t xml:space="preserve"> </w:t>
            </w:r>
            <w:r>
              <w:rPr>
                <w:color w:val="000000"/>
              </w:rPr>
              <w:t>NSMWINFA</w:t>
            </w:r>
            <w:r w:rsidRPr="004C0093" w:rsidDel="003A6C36">
              <w:rPr>
                <w:color w:val="000000"/>
              </w:rPr>
              <w:t xml:space="preserve"> </w:t>
            </w:r>
            <w:r>
              <w:rPr>
                <w:i/>
                <w:vertAlign w:val="subscript"/>
              </w:rPr>
              <w:t>q,</w:t>
            </w:r>
            <w:r w:rsidRPr="004C0093">
              <w:rPr>
                <w:i/>
                <w:vertAlign w:val="subscript"/>
              </w:rPr>
              <w:t xml:space="preserve"> h  </w:t>
            </w:r>
          </w:p>
          <w:p w14:paraId="7F991966" w14:textId="77777777" w:rsidR="00124CA4" w:rsidRDefault="00124CA4" w:rsidP="002914A3">
            <w:r w:rsidRPr="00E5030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605"/>
              <w:gridCol w:w="6265"/>
            </w:tblGrid>
            <w:tr w:rsidR="002914A3" w:rsidRPr="00E5030A" w14:paraId="479FFF9C" w14:textId="77777777" w:rsidTr="002A7BFB">
              <w:trPr>
                <w:tblHeader/>
              </w:trPr>
              <w:tc>
                <w:tcPr>
                  <w:tcW w:w="1231" w:type="pct"/>
                </w:tcPr>
                <w:p w14:paraId="2F706779" w14:textId="77777777" w:rsidR="002914A3" w:rsidRPr="00E5030A" w:rsidRDefault="002914A3" w:rsidP="002914A3">
                  <w:pPr>
                    <w:spacing w:after="120"/>
                    <w:rPr>
                      <w:b/>
                      <w:iCs/>
                      <w:sz w:val="20"/>
                    </w:rPr>
                  </w:pPr>
                  <w:r w:rsidRPr="00E5030A">
                    <w:rPr>
                      <w:b/>
                      <w:iCs/>
                      <w:sz w:val="20"/>
                    </w:rPr>
                    <w:lastRenderedPageBreak/>
                    <w:t>Variable</w:t>
                  </w:r>
                </w:p>
              </w:tc>
              <w:tc>
                <w:tcPr>
                  <w:tcW w:w="329" w:type="pct"/>
                </w:tcPr>
                <w:p w14:paraId="063E6BE5" w14:textId="77777777" w:rsidR="002914A3" w:rsidRPr="00E5030A" w:rsidRDefault="002914A3" w:rsidP="002914A3">
                  <w:pPr>
                    <w:spacing w:after="120"/>
                    <w:rPr>
                      <w:b/>
                      <w:iCs/>
                      <w:sz w:val="20"/>
                    </w:rPr>
                  </w:pPr>
                  <w:r w:rsidRPr="00E5030A">
                    <w:rPr>
                      <w:b/>
                      <w:iCs/>
                      <w:sz w:val="20"/>
                    </w:rPr>
                    <w:t>Unit</w:t>
                  </w:r>
                </w:p>
              </w:tc>
              <w:tc>
                <w:tcPr>
                  <w:tcW w:w="3440" w:type="pct"/>
                </w:tcPr>
                <w:p w14:paraId="23BDE8FD" w14:textId="77777777" w:rsidR="002914A3" w:rsidRPr="00E5030A" w:rsidRDefault="002914A3" w:rsidP="002914A3">
                  <w:pPr>
                    <w:spacing w:after="120"/>
                    <w:rPr>
                      <w:b/>
                      <w:iCs/>
                      <w:sz w:val="20"/>
                    </w:rPr>
                  </w:pPr>
                  <w:r w:rsidRPr="00E5030A">
                    <w:rPr>
                      <w:b/>
                      <w:iCs/>
                      <w:sz w:val="20"/>
                    </w:rPr>
                    <w:t>Description</w:t>
                  </w:r>
                </w:p>
              </w:tc>
            </w:tr>
            <w:tr w:rsidR="002914A3" w:rsidRPr="00E5030A" w14:paraId="24EFDCD3" w14:textId="77777777" w:rsidTr="002A7BFB">
              <w:tc>
                <w:tcPr>
                  <w:tcW w:w="1231" w:type="pct"/>
                </w:tcPr>
                <w:p w14:paraId="601DEB5F" w14:textId="77777777" w:rsidR="002914A3" w:rsidRPr="00E5030A" w:rsidRDefault="002914A3" w:rsidP="002914A3">
                  <w:pPr>
                    <w:spacing w:after="60"/>
                    <w:rPr>
                      <w:iCs/>
                      <w:sz w:val="20"/>
                    </w:rPr>
                  </w:pPr>
                  <w:r w:rsidRPr="00E5030A">
                    <w:rPr>
                      <w:iCs/>
                      <w:sz w:val="20"/>
                    </w:rPr>
                    <w:t>NSCOSTTOT</w:t>
                  </w:r>
                </w:p>
              </w:tc>
              <w:tc>
                <w:tcPr>
                  <w:tcW w:w="329" w:type="pct"/>
                </w:tcPr>
                <w:p w14:paraId="76DB8455" w14:textId="77777777" w:rsidR="002914A3" w:rsidRPr="00E5030A" w:rsidRDefault="002914A3" w:rsidP="002914A3">
                  <w:pPr>
                    <w:spacing w:after="60"/>
                    <w:rPr>
                      <w:iCs/>
                      <w:sz w:val="20"/>
                    </w:rPr>
                  </w:pPr>
                  <w:r w:rsidRPr="00E5030A">
                    <w:rPr>
                      <w:iCs/>
                      <w:sz w:val="20"/>
                    </w:rPr>
                    <w:t>$</w:t>
                  </w:r>
                </w:p>
              </w:tc>
              <w:tc>
                <w:tcPr>
                  <w:tcW w:w="3440" w:type="pct"/>
                </w:tcPr>
                <w:p w14:paraId="5E70B580" w14:textId="77777777" w:rsidR="002914A3" w:rsidRPr="00E5030A" w:rsidRDefault="002914A3" w:rsidP="002914A3">
                  <w:pPr>
                    <w:spacing w:after="60"/>
                    <w:rPr>
                      <w:iCs/>
                      <w:sz w:val="20"/>
                    </w:rPr>
                  </w:pPr>
                  <w:r w:rsidRPr="00E5030A">
                    <w:rPr>
                      <w:i/>
                      <w:iCs/>
                      <w:sz w:val="20"/>
                    </w:rPr>
                    <w:t>Non-Spin Cost Total</w:t>
                  </w:r>
                  <w:r w:rsidRPr="00E5030A">
                    <w:rPr>
                      <w:iCs/>
                      <w:sz w:val="20"/>
                    </w:rPr>
                    <w:t>—The net total costs for Non-Spin, for the hour.</w:t>
                  </w:r>
                </w:p>
              </w:tc>
            </w:tr>
            <w:tr w:rsidR="002914A3" w:rsidRPr="00E5030A" w14:paraId="7BD46BA9" w14:textId="77777777" w:rsidTr="002A7BFB">
              <w:tc>
                <w:tcPr>
                  <w:tcW w:w="1231" w:type="pct"/>
                  <w:tcBorders>
                    <w:top w:val="single" w:sz="4" w:space="0" w:color="auto"/>
                    <w:left w:val="single" w:sz="4" w:space="0" w:color="auto"/>
                    <w:bottom w:val="single" w:sz="4" w:space="0" w:color="auto"/>
                    <w:right w:val="single" w:sz="4" w:space="0" w:color="auto"/>
                  </w:tcBorders>
                </w:tcPr>
                <w:p w14:paraId="20F73EA8" w14:textId="77777777" w:rsidR="002914A3" w:rsidRPr="00E5030A" w:rsidRDefault="002914A3" w:rsidP="002914A3">
                  <w:pPr>
                    <w:spacing w:after="60"/>
                    <w:rPr>
                      <w:iCs/>
                      <w:sz w:val="20"/>
                    </w:rPr>
                  </w:pPr>
                  <w:r w:rsidRPr="00E5030A">
                    <w:rPr>
                      <w:iCs/>
                      <w:sz w:val="20"/>
                    </w:rPr>
                    <w:t xml:space="preserve">RTPCNSAMTTOT </w:t>
                  </w:r>
                  <w:r w:rsidRPr="00E5030A">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482B68C1"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445E9705" w14:textId="77777777" w:rsidR="002914A3" w:rsidRPr="00E5030A" w:rsidRDefault="002914A3" w:rsidP="002914A3">
                  <w:pPr>
                    <w:spacing w:after="60"/>
                    <w:rPr>
                      <w:i/>
                      <w:iCs/>
                      <w:sz w:val="20"/>
                    </w:rPr>
                  </w:pPr>
                  <w:r w:rsidRPr="00E5030A">
                    <w:rPr>
                      <w:i/>
                      <w:iCs/>
                      <w:sz w:val="20"/>
                    </w:rPr>
                    <w:t>Procured Capacity for Non-Spin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Non-Spin, for the hour.</w:t>
                  </w:r>
                </w:p>
              </w:tc>
            </w:tr>
            <w:tr w:rsidR="002914A3" w:rsidRPr="00E5030A" w14:paraId="1DDF035C" w14:textId="77777777" w:rsidTr="002A7BFB">
              <w:tc>
                <w:tcPr>
                  <w:tcW w:w="1231" w:type="pct"/>
                  <w:tcBorders>
                    <w:top w:val="single" w:sz="4" w:space="0" w:color="auto"/>
                    <w:left w:val="single" w:sz="4" w:space="0" w:color="auto"/>
                    <w:bottom w:val="single" w:sz="4" w:space="0" w:color="auto"/>
                    <w:right w:val="single" w:sz="4" w:space="0" w:color="auto"/>
                  </w:tcBorders>
                </w:tcPr>
                <w:p w14:paraId="1F333239" w14:textId="77777777" w:rsidR="002914A3" w:rsidRPr="00E5030A" w:rsidRDefault="002914A3" w:rsidP="002914A3">
                  <w:pPr>
                    <w:spacing w:after="60"/>
                    <w:rPr>
                      <w:iCs/>
                      <w:sz w:val="20"/>
                    </w:rPr>
                  </w:pPr>
                  <w:r w:rsidRPr="00E5030A">
                    <w:rPr>
                      <w:iCs/>
                      <w:sz w:val="20"/>
                    </w:rPr>
                    <w:t xml:space="preserve">RTPCNSAMT </w:t>
                  </w:r>
                  <w:r w:rsidRPr="00E5030A">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0A1A8A0E"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372EEA4B" w14:textId="77777777" w:rsidR="002914A3" w:rsidRPr="00E5030A" w:rsidRDefault="002914A3" w:rsidP="002914A3">
                  <w:pPr>
                    <w:spacing w:after="60"/>
                    <w:rPr>
                      <w:i/>
                      <w:iCs/>
                      <w:sz w:val="20"/>
                    </w:rPr>
                  </w:pPr>
                  <w:r w:rsidRPr="00E5030A">
                    <w:rPr>
                      <w:i/>
                      <w:iCs/>
                      <w:sz w:val="20"/>
                    </w:rPr>
                    <w:t>Procured Capacity for Non-Spin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Non-Spin, for the hour.</w:t>
                  </w:r>
                </w:p>
              </w:tc>
            </w:tr>
            <w:tr w:rsidR="002914A3" w:rsidRPr="00E5030A" w14:paraId="021BAAA7" w14:textId="77777777" w:rsidTr="002A7BFB">
              <w:tc>
                <w:tcPr>
                  <w:tcW w:w="1231" w:type="pct"/>
                  <w:tcBorders>
                    <w:top w:val="single" w:sz="4" w:space="0" w:color="auto"/>
                    <w:left w:val="single" w:sz="4" w:space="0" w:color="auto"/>
                    <w:bottom w:val="single" w:sz="4" w:space="0" w:color="auto"/>
                    <w:right w:val="single" w:sz="4" w:space="0" w:color="auto"/>
                  </w:tcBorders>
                </w:tcPr>
                <w:p w14:paraId="0F90982C" w14:textId="77777777" w:rsidR="002914A3" w:rsidRPr="00E5030A" w:rsidRDefault="002914A3" w:rsidP="002914A3">
                  <w:pPr>
                    <w:spacing w:after="60"/>
                    <w:rPr>
                      <w:iCs/>
                      <w:sz w:val="20"/>
                    </w:rPr>
                  </w:pPr>
                  <w:r w:rsidRPr="00E5030A">
                    <w:rPr>
                      <w:iCs/>
                      <w:sz w:val="20"/>
                    </w:rPr>
                    <w:t>NSFQAMTTOT</w:t>
                  </w:r>
                </w:p>
              </w:tc>
              <w:tc>
                <w:tcPr>
                  <w:tcW w:w="329" w:type="pct"/>
                  <w:tcBorders>
                    <w:top w:val="single" w:sz="4" w:space="0" w:color="auto"/>
                    <w:left w:val="single" w:sz="4" w:space="0" w:color="auto"/>
                    <w:bottom w:val="single" w:sz="4" w:space="0" w:color="auto"/>
                    <w:right w:val="single" w:sz="4" w:space="0" w:color="auto"/>
                  </w:tcBorders>
                </w:tcPr>
                <w:p w14:paraId="392A88DB"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2FD10E3B" w14:textId="77777777" w:rsidR="002914A3" w:rsidRPr="00E5030A" w:rsidRDefault="002914A3" w:rsidP="002914A3">
                  <w:pPr>
                    <w:spacing w:after="60"/>
                    <w:rPr>
                      <w:i/>
                      <w:iCs/>
                      <w:sz w:val="20"/>
                    </w:rPr>
                  </w:pPr>
                  <w:r w:rsidRPr="00E5030A">
                    <w:rPr>
                      <w:i/>
                      <w:iCs/>
                      <w:sz w:val="20"/>
                    </w:rPr>
                    <w:t>Non-Spin Failure Quantity Amount Total</w:t>
                  </w:r>
                  <w:r w:rsidRPr="00E5030A">
                    <w:rPr>
                      <w:iCs/>
                      <w:sz w:val="20"/>
                    </w:rPr>
                    <w:t>—The total charges to all QSEs for their capacity associated with failures and reconfiguration reductions on their Ancillary Service Supply Responsibilities for Non-Spin, for the hour.</w:t>
                  </w:r>
                </w:p>
              </w:tc>
            </w:tr>
            <w:tr w:rsidR="002914A3" w:rsidRPr="00E5030A" w14:paraId="41604243" w14:textId="77777777" w:rsidTr="002A7BFB">
              <w:tc>
                <w:tcPr>
                  <w:tcW w:w="1231" w:type="pct"/>
                  <w:tcBorders>
                    <w:top w:val="single" w:sz="4" w:space="0" w:color="auto"/>
                    <w:left w:val="single" w:sz="4" w:space="0" w:color="auto"/>
                    <w:bottom w:val="single" w:sz="4" w:space="0" w:color="auto"/>
                    <w:right w:val="single" w:sz="4" w:space="0" w:color="auto"/>
                  </w:tcBorders>
                </w:tcPr>
                <w:p w14:paraId="7A6E8B80" w14:textId="77777777" w:rsidR="002914A3" w:rsidRPr="00E5030A" w:rsidRDefault="002914A3" w:rsidP="002914A3">
                  <w:pPr>
                    <w:spacing w:after="60"/>
                    <w:rPr>
                      <w:iCs/>
                      <w:sz w:val="20"/>
                    </w:rPr>
                  </w:pPr>
                  <w:r>
                    <w:rPr>
                      <w:color w:val="000000"/>
                      <w:sz w:val="20"/>
                    </w:rPr>
                    <w:t>NS</w:t>
                  </w:r>
                  <w:r w:rsidRPr="003530E3">
                    <w:rPr>
                      <w:color w:val="000000"/>
                      <w:sz w:val="20"/>
                    </w:rPr>
                    <w:t>MWINFA</w:t>
                  </w:r>
                  <w:r w:rsidRPr="004C0093">
                    <w:rPr>
                      <w:color w:val="000000"/>
                      <w:sz w:val="20"/>
                    </w:rPr>
                    <w:t>TOT</w:t>
                  </w:r>
                </w:p>
              </w:tc>
              <w:tc>
                <w:tcPr>
                  <w:tcW w:w="329" w:type="pct"/>
                  <w:tcBorders>
                    <w:top w:val="single" w:sz="4" w:space="0" w:color="auto"/>
                    <w:left w:val="single" w:sz="4" w:space="0" w:color="auto"/>
                    <w:bottom w:val="single" w:sz="4" w:space="0" w:color="auto"/>
                    <w:right w:val="single" w:sz="4" w:space="0" w:color="auto"/>
                  </w:tcBorders>
                </w:tcPr>
                <w:p w14:paraId="7DEAAE9A" w14:textId="77777777" w:rsidR="002914A3" w:rsidRPr="00E5030A" w:rsidRDefault="002914A3" w:rsidP="002914A3">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2F393984" w14:textId="77777777" w:rsidR="002914A3" w:rsidRPr="00E5030A" w:rsidRDefault="002914A3" w:rsidP="00065EC3">
                  <w:pPr>
                    <w:spacing w:after="60"/>
                    <w:rPr>
                      <w:i/>
                      <w:iCs/>
                      <w:sz w:val="20"/>
                    </w:rPr>
                  </w:pPr>
                  <w:r>
                    <w:rPr>
                      <w:i/>
                      <w:sz w:val="20"/>
                    </w:rPr>
                    <w:t>Non Spin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Non-Spin,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p>
              </w:tc>
            </w:tr>
            <w:tr w:rsidR="002914A3" w:rsidRPr="00E5030A" w14:paraId="71A05478" w14:textId="77777777" w:rsidTr="002A7BFB">
              <w:tc>
                <w:tcPr>
                  <w:tcW w:w="1231" w:type="pct"/>
                  <w:tcBorders>
                    <w:top w:val="single" w:sz="4" w:space="0" w:color="auto"/>
                    <w:left w:val="single" w:sz="4" w:space="0" w:color="auto"/>
                    <w:bottom w:val="single" w:sz="4" w:space="0" w:color="auto"/>
                    <w:right w:val="single" w:sz="4" w:space="0" w:color="auto"/>
                  </w:tcBorders>
                </w:tcPr>
                <w:p w14:paraId="24DADEDB" w14:textId="77777777" w:rsidR="002914A3" w:rsidRPr="00E5030A" w:rsidRDefault="002914A3" w:rsidP="002914A3">
                  <w:pPr>
                    <w:spacing w:after="60"/>
                    <w:rPr>
                      <w:iCs/>
                      <w:sz w:val="20"/>
                    </w:rPr>
                  </w:pPr>
                  <w:r>
                    <w:rPr>
                      <w:color w:val="000000"/>
                      <w:sz w:val="20"/>
                    </w:rPr>
                    <w:t>NS</w:t>
                  </w:r>
                  <w:r w:rsidRPr="003530E3">
                    <w:rPr>
                      <w:color w:val="000000"/>
                      <w:sz w:val="20"/>
                    </w:rPr>
                    <w:t>MWINFA</w:t>
                  </w:r>
                  <w:r w:rsidDel="003A6C36">
                    <w:rPr>
                      <w:color w:val="000000"/>
                      <w:sz w:val="20"/>
                    </w:rPr>
                    <w:t xml:space="preserve"> </w:t>
                  </w:r>
                  <w:r w:rsidRPr="004C0093">
                    <w:rPr>
                      <w:i/>
                      <w:sz w:val="20"/>
                      <w:vertAlign w:val="subscript"/>
                    </w:rPr>
                    <w:t>q</w:t>
                  </w:r>
                  <w:r>
                    <w:rPr>
                      <w:i/>
                      <w:sz w:val="20"/>
                      <w:vertAlign w:val="subscript"/>
                    </w:rPr>
                    <w:t>, h</w:t>
                  </w:r>
                </w:p>
              </w:tc>
              <w:tc>
                <w:tcPr>
                  <w:tcW w:w="329" w:type="pct"/>
                  <w:tcBorders>
                    <w:top w:val="single" w:sz="4" w:space="0" w:color="auto"/>
                    <w:left w:val="single" w:sz="4" w:space="0" w:color="auto"/>
                    <w:bottom w:val="single" w:sz="4" w:space="0" w:color="auto"/>
                    <w:right w:val="single" w:sz="4" w:space="0" w:color="auto"/>
                  </w:tcBorders>
                </w:tcPr>
                <w:p w14:paraId="7BA43B37" w14:textId="77777777" w:rsidR="002914A3" w:rsidRPr="00E5030A" w:rsidRDefault="002914A3" w:rsidP="002914A3">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6680AE01" w14:textId="77777777" w:rsidR="002914A3" w:rsidRPr="00E5030A" w:rsidRDefault="002914A3" w:rsidP="00065EC3">
                  <w:pPr>
                    <w:spacing w:after="60"/>
                    <w:rPr>
                      <w:i/>
                      <w:iCs/>
                      <w:sz w:val="20"/>
                    </w:rPr>
                  </w:pPr>
                  <w:r>
                    <w:rPr>
                      <w:i/>
                      <w:sz w:val="20"/>
                    </w:rPr>
                    <w:t>Non Spin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Non-Spin,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2914A3" w:rsidRPr="00E5030A" w14:paraId="6CD03001" w14:textId="77777777" w:rsidTr="002A7BFB">
              <w:tc>
                <w:tcPr>
                  <w:tcW w:w="1231" w:type="pct"/>
                  <w:tcBorders>
                    <w:top w:val="single" w:sz="4" w:space="0" w:color="auto"/>
                    <w:left w:val="single" w:sz="4" w:space="0" w:color="auto"/>
                    <w:bottom w:val="single" w:sz="4" w:space="0" w:color="auto"/>
                    <w:right w:val="single" w:sz="4" w:space="0" w:color="auto"/>
                  </w:tcBorders>
                </w:tcPr>
                <w:p w14:paraId="2ED58651" w14:textId="77777777" w:rsidR="002914A3" w:rsidRPr="00E5030A" w:rsidRDefault="002914A3" w:rsidP="002914A3">
                  <w:pPr>
                    <w:spacing w:after="60"/>
                    <w:rPr>
                      <w:iCs/>
                      <w:sz w:val="20"/>
                    </w:rPr>
                  </w:pPr>
                  <w:r w:rsidRPr="00E5030A">
                    <w:rPr>
                      <w:iCs/>
                      <w:sz w:val="20"/>
                    </w:rPr>
                    <w:t xml:space="preserve">NSFQAMTQSETOT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08E9BAE"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09F73C47" w14:textId="77777777" w:rsidR="002914A3" w:rsidRPr="00E5030A" w:rsidRDefault="002914A3" w:rsidP="002914A3">
                  <w:pPr>
                    <w:spacing w:after="60"/>
                    <w:rPr>
                      <w:i/>
                      <w:iCs/>
                      <w:sz w:val="20"/>
                    </w:rPr>
                  </w:pPr>
                  <w:r w:rsidRPr="00E5030A">
                    <w:rPr>
                      <w:i/>
                      <w:iCs/>
                      <w:sz w:val="20"/>
                    </w:rPr>
                    <w:t>Non-Spin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Non-Spin, for the hour.</w:t>
                  </w:r>
                </w:p>
              </w:tc>
            </w:tr>
            <w:tr w:rsidR="002914A3" w:rsidRPr="00E5030A" w14:paraId="1E60E1C3" w14:textId="77777777" w:rsidTr="002A7BFB">
              <w:tc>
                <w:tcPr>
                  <w:tcW w:w="1231" w:type="pct"/>
                  <w:tcBorders>
                    <w:top w:val="single" w:sz="4" w:space="0" w:color="auto"/>
                    <w:left w:val="single" w:sz="4" w:space="0" w:color="auto"/>
                    <w:bottom w:val="single" w:sz="4" w:space="0" w:color="auto"/>
                    <w:right w:val="single" w:sz="4" w:space="0" w:color="auto"/>
                  </w:tcBorders>
                </w:tcPr>
                <w:p w14:paraId="09CE89C2" w14:textId="77777777" w:rsidR="002914A3" w:rsidRPr="00E5030A" w:rsidRDefault="002914A3" w:rsidP="002914A3">
                  <w:pPr>
                    <w:spacing w:after="60"/>
                    <w:rPr>
                      <w:iCs/>
                      <w:sz w:val="20"/>
                    </w:rPr>
                  </w:pPr>
                  <w:r w:rsidRPr="00E5030A">
                    <w:rPr>
                      <w:iCs/>
                      <w:sz w:val="20"/>
                    </w:rPr>
                    <w:t xml:space="preserve">RTPCNSAMTQSETOT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3878076"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1058166C" w14:textId="77777777" w:rsidR="002914A3" w:rsidRPr="00E5030A" w:rsidRDefault="002914A3" w:rsidP="002914A3">
                  <w:pPr>
                    <w:spacing w:after="60"/>
                    <w:rPr>
                      <w:iCs/>
                      <w:sz w:val="20"/>
                    </w:rPr>
                  </w:pPr>
                  <w:r w:rsidRPr="00E5030A">
                    <w:rPr>
                      <w:i/>
                      <w:iCs/>
                      <w:sz w:val="20"/>
                    </w:rPr>
                    <w:t>Procured Capacity for Non-Spin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Non-Spin, for the hour.</w:t>
                  </w:r>
                </w:p>
              </w:tc>
            </w:tr>
            <w:tr w:rsidR="002914A3" w:rsidRPr="00E5030A" w14:paraId="4660C499" w14:textId="77777777" w:rsidTr="002A7BFB">
              <w:tc>
                <w:tcPr>
                  <w:tcW w:w="1231" w:type="pct"/>
                  <w:tcBorders>
                    <w:top w:val="single" w:sz="4" w:space="0" w:color="auto"/>
                    <w:left w:val="single" w:sz="4" w:space="0" w:color="auto"/>
                    <w:bottom w:val="single" w:sz="4" w:space="0" w:color="auto"/>
                    <w:right w:val="single" w:sz="4" w:space="0" w:color="auto"/>
                  </w:tcBorders>
                </w:tcPr>
                <w:p w14:paraId="05C1B5FB" w14:textId="77777777" w:rsidR="002914A3" w:rsidRPr="00E5030A" w:rsidRDefault="002914A3" w:rsidP="002914A3">
                  <w:pPr>
                    <w:rPr>
                      <w:b/>
                      <w:sz w:val="20"/>
                    </w:rPr>
                  </w:pPr>
                  <w:r w:rsidRPr="00E5030A">
                    <w:rPr>
                      <w:sz w:val="20"/>
                    </w:rPr>
                    <w:t xml:space="preserve">PCNSAMT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736F243D" w14:textId="77777777" w:rsidR="002914A3" w:rsidRPr="00E5030A" w:rsidRDefault="002914A3" w:rsidP="002914A3">
                  <w:pPr>
                    <w:rPr>
                      <w:b/>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09CE31FF" w14:textId="77777777" w:rsidR="002914A3" w:rsidRPr="00E5030A" w:rsidRDefault="002914A3" w:rsidP="002914A3">
                  <w:pPr>
                    <w:rPr>
                      <w:b/>
                      <w:sz w:val="20"/>
                    </w:rPr>
                  </w:pPr>
                  <w:r w:rsidRPr="00E5030A">
                    <w:rPr>
                      <w:i/>
                      <w:sz w:val="20"/>
                    </w:rPr>
                    <w:t>Procured Capacity for Non-Spin Amount per QSE in DAM—</w:t>
                  </w:r>
                  <w:r w:rsidRPr="00E5030A">
                    <w:rPr>
                      <w:sz w:val="20"/>
                    </w:rPr>
                    <w:t>The DAM Non-Spin payment for QSE</w:t>
                  </w:r>
                  <w:r w:rsidRPr="00E5030A">
                    <w:rPr>
                      <w:i/>
                      <w:sz w:val="20"/>
                    </w:rPr>
                    <w:t xml:space="preserve"> q</w:t>
                  </w:r>
                  <w:r w:rsidRPr="00E5030A">
                    <w:rPr>
                      <w:sz w:val="20"/>
                    </w:rPr>
                    <w:t>, for the hour.</w:t>
                  </w:r>
                </w:p>
              </w:tc>
            </w:tr>
            <w:tr w:rsidR="002914A3" w:rsidRPr="00E5030A" w14:paraId="522DE6CB" w14:textId="77777777" w:rsidTr="002A7BFB">
              <w:tc>
                <w:tcPr>
                  <w:tcW w:w="1231" w:type="pct"/>
                  <w:tcBorders>
                    <w:top w:val="single" w:sz="4" w:space="0" w:color="auto"/>
                    <w:left w:val="single" w:sz="4" w:space="0" w:color="auto"/>
                    <w:bottom w:val="single" w:sz="4" w:space="0" w:color="auto"/>
                    <w:right w:val="single" w:sz="4" w:space="0" w:color="auto"/>
                  </w:tcBorders>
                </w:tcPr>
                <w:p w14:paraId="09630DEF" w14:textId="77777777" w:rsidR="002914A3" w:rsidRPr="00E5030A" w:rsidRDefault="002914A3" w:rsidP="002914A3">
                  <w:pPr>
                    <w:spacing w:after="60"/>
                    <w:rPr>
                      <w:sz w:val="20"/>
                    </w:rPr>
                  </w:pPr>
                  <w:r w:rsidRPr="00E5030A">
                    <w:rPr>
                      <w:sz w:val="20"/>
                    </w:rPr>
                    <w:t>PCNSAMTTOT</w:t>
                  </w:r>
                </w:p>
              </w:tc>
              <w:tc>
                <w:tcPr>
                  <w:tcW w:w="329" w:type="pct"/>
                  <w:tcBorders>
                    <w:top w:val="single" w:sz="4" w:space="0" w:color="auto"/>
                    <w:left w:val="single" w:sz="4" w:space="0" w:color="auto"/>
                    <w:bottom w:val="single" w:sz="4" w:space="0" w:color="auto"/>
                    <w:right w:val="single" w:sz="4" w:space="0" w:color="auto"/>
                  </w:tcBorders>
                </w:tcPr>
                <w:p w14:paraId="381A2FF7" w14:textId="77777777" w:rsidR="002914A3" w:rsidRPr="00E5030A" w:rsidRDefault="002914A3" w:rsidP="002914A3">
                  <w:pPr>
                    <w:spacing w:after="60"/>
                    <w:rPr>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5FAEDBAA" w14:textId="77777777" w:rsidR="002914A3" w:rsidRPr="00E5030A" w:rsidRDefault="002914A3" w:rsidP="002914A3">
                  <w:pPr>
                    <w:spacing w:after="60"/>
                    <w:rPr>
                      <w:sz w:val="20"/>
                    </w:rPr>
                  </w:pPr>
                  <w:r w:rsidRPr="00E5030A">
                    <w:rPr>
                      <w:i/>
                      <w:sz w:val="20"/>
                    </w:rPr>
                    <w:t>Procured Capacity for Non-Spin Amount Total in DAM</w:t>
                  </w:r>
                  <w:r w:rsidRPr="00E5030A">
                    <w:rPr>
                      <w:sz w:val="20"/>
                    </w:rPr>
                    <w:t>—The total of the DAM Non-Spin payments for all QSEs, for the hour.</w:t>
                  </w:r>
                </w:p>
              </w:tc>
            </w:tr>
            <w:tr w:rsidR="002914A3" w:rsidRPr="00E5030A" w14:paraId="18C4F946" w14:textId="77777777" w:rsidTr="002A7BFB">
              <w:tc>
                <w:tcPr>
                  <w:tcW w:w="1231" w:type="pct"/>
                  <w:tcBorders>
                    <w:top w:val="single" w:sz="4" w:space="0" w:color="auto"/>
                    <w:left w:val="single" w:sz="4" w:space="0" w:color="auto"/>
                    <w:bottom w:val="single" w:sz="4" w:space="0" w:color="auto"/>
                    <w:right w:val="single" w:sz="4" w:space="0" w:color="auto"/>
                  </w:tcBorders>
                </w:tcPr>
                <w:p w14:paraId="45FBD203" w14:textId="77777777" w:rsidR="002914A3" w:rsidRPr="00E5030A" w:rsidRDefault="002914A3" w:rsidP="002914A3">
                  <w:pPr>
                    <w:spacing w:after="60"/>
                    <w:rPr>
                      <w:sz w:val="20"/>
                    </w:rPr>
                  </w:pPr>
                  <w:r w:rsidRPr="00E5030A">
                    <w:rPr>
                      <w:sz w:val="20"/>
                    </w:rPr>
                    <w:t>NSINFQAMTTOT</w:t>
                  </w:r>
                </w:p>
              </w:tc>
              <w:tc>
                <w:tcPr>
                  <w:tcW w:w="329" w:type="pct"/>
                  <w:tcBorders>
                    <w:top w:val="single" w:sz="4" w:space="0" w:color="auto"/>
                    <w:left w:val="single" w:sz="4" w:space="0" w:color="auto"/>
                    <w:bottom w:val="single" w:sz="4" w:space="0" w:color="auto"/>
                    <w:right w:val="single" w:sz="4" w:space="0" w:color="auto"/>
                  </w:tcBorders>
                </w:tcPr>
                <w:p w14:paraId="68B495E1" w14:textId="77777777" w:rsidR="002914A3" w:rsidRPr="00E5030A" w:rsidRDefault="002914A3" w:rsidP="002914A3">
                  <w:pPr>
                    <w:spacing w:after="60"/>
                    <w:rPr>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72E6BBF1" w14:textId="77777777" w:rsidR="002914A3" w:rsidRPr="00E5030A" w:rsidRDefault="002914A3" w:rsidP="002914A3">
                  <w:pPr>
                    <w:spacing w:after="60"/>
                    <w:rPr>
                      <w:i/>
                      <w:sz w:val="20"/>
                    </w:rPr>
                  </w:pPr>
                  <w:r w:rsidRPr="00E5030A">
                    <w:rPr>
                      <w:i/>
                      <w:sz w:val="20"/>
                    </w:rPr>
                    <w:t xml:space="preserve">Non-Spin Infeasible Quantity Amount Total </w:t>
                  </w:r>
                  <w:r w:rsidRPr="00E5030A">
                    <w:rPr>
                      <w:sz w:val="20"/>
                    </w:rPr>
                    <w:t>— The charge to all QSEs for their total capacity associated with infeasible deployment of Ancillary Service Supply Responsibilities for Non-Spin, for the hour.</w:t>
                  </w:r>
                </w:p>
              </w:tc>
            </w:tr>
            <w:tr w:rsidR="002914A3" w:rsidRPr="00E5030A" w14:paraId="79E6F386" w14:textId="77777777" w:rsidTr="002A7BFB">
              <w:tc>
                <w:tcPr>
                  <w:tcW w:w="1231" w:type="pct"/>
                  <w:tcBorders>
                    <w:top w:val="single" w:sz="4" w:space="0" w:color="auto"/>
                    <w:left w:val="single" w:sz="4" w:space="0" w:color="auto"/>
                    <w:bottom w:val="single" w:sz="4" w:space="0" w:color="auto"/>
                    <w:right w:val="single" w:sz="4" w:space="0" w:color="auto"/>
                  </w:tcBorders>
                </w:tcPr>
                <w:p w14:paraId="579BBB7C" w14:textId="77777777" w:rsidR="002914A3" w:rsidRPr="00E5030A" w:rsidRDefault="002914A3" w:rsidP="002914A3">
                  <w:pPr>
                    <w:spacing w:after="60"/>
                    <w:rPr>
                      <w:sz w:val="20"/>
                    </w:rPr>
                  </w:pPr>
                  <w:r w:rsidRPr="00E5030A">
                    <w:rPr>
                      <w:sz w:val="20"/>
                    </w:rPr>
                    <w:t xml:space="preserve">NSINFQAMT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0C7461B6" w14:textId="77777777" w:rsidR="002914A3" w:rsidRPr="00E5030A" w:rsidRDefault="002914A3" w:rsidP="002914A3">
                  <w:pPr>
                    <w:spacing w:after="60"/>
                    <w:rPr>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67D5388A" w14:textId="77777777" w:rsidR="002914A3" w:rsidRPr="00E5030A" w:rsidRDefault="002914A3" w:rsidP="002914A3">
                  <w:pPr>
                    <w:spacing w:after="60"/>
                    <w:rPr>
                      <w:i/>
                      <w:sz w:val="20"/>
                    </w:rPr>
                  </w:pPr>
                  <w:r w:rsidRPr="00E5030A">
                    <w:rPr>
                      <w:i/>
                      <w:sz w:val="20"/>
                    </w:rPr>
                    <w:t>Non-Spin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Ancillary Service Supply Responsibilities for Non-Spin, for the hour.</w:t>
                  </w:r>
                </w:p>
              </w:tc>
            </w:tr>
            <w:tr w:rsidR="002914A3" w:rsidRPr="00E5030A" w14:paraId="0DD0552F" w14:textId="77777777" w:rsidTr="002A7BFB">
              <w:tc>
                <w:tcPr>
                  <w:tcW w:w="1231" w:type="pct"/>
                  <w:tcBorders>
                    <w:top w:val="single" w:sz="4" w:space="0" w:color="auto"/>
                    <w:left w:val="single" w:sz="4" w:space="0" w:color="auto"/>
                    <w:bottom w:val="single" w:sz="4" w:space="0" w:color="auto"/>
                    <w:right w:val="single" w:sz="4" w:space="0" w:color="auto"/>
                  </w:tcBorders>
                </w:tcPr>
                <w:p w14:paraId="2C196360" w14:textId="77777777" w:rsidR="002914A3" w:rsidRPr="00E5030A" w:rsidRDefault="002914A3" w:rsidP="002914A3">
                  <w:pPr>
                    <w:spacing w:after="60"/>
                    <w:rPr>
                      <w:i/>
                      <w:iCs/>
                      <w:sz w:val="20"/>
                    </w:rPr>
                  </w:pPr>
                  <w:r w:rsidRPr="00E5030A">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650631EA" w14:textId="77777777" w:rsidR="002914A3" w:rsidRPr="00E5030A" w:rsidRDefault="002914A3" w:rsidP="002914A3">
                  <w:pPr>
                    <w:spacing w:after="60"/>
                    <w:rPr>
                      <w:iCs/>
                      <w:sz w:val="20"/>
                    </w:rPr>
                  </w:pPr>
                  <w:r w:rsidRPr="00E5030A">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39B5C842" w14:textId="77777777" w:rsidR="002914A3" w:rsidRPr="00E5030A" w:rsidRDefault="002914A3" w:rsidP="002914A3">
                  <w:pPr>
                    <w:spacing w:after="60"/>
                    <w:rPr>
                      <w:iCs/>
                      <w:sz w:val="20"/>
                    </w:rPr>
                  </w:pPr>
                  <w:r w:rsidRPr="00E5030A">
                    <w:rPr>
                      <w:iCs/>
                      <w:sz w:val="20"/>
                    </w:rPr>
                    <w:t>A QSE.</w:t>
                  </w:r>
                </w:p>
              </w:tc>
            </w:tr>
            <w:tr w:rsidR="002914A3" w:rsidRPr="00E5030A" w14:paraId="3B93C18F" w14:textId="77777777" w:rsidTr="002A7BFB">
              <w:tc>
                <w:tcPr>
                  <w:tcW w:w="1231" w:type="pct"/>
                  <w:tcBorders>
                    <w:top w:val="single" w:sz="4" w:space="0" w:color="auto"/>
                    <w:left w:val="single" w:sz="4" w:space="0" w:color="auto"/>
                    <w:bottom w:val="single" w:sz="4" w:space="0" w:color="auto"/>
                    <w:right w:val="single" w:sz="4" w:space="0" w:color="auto"/>
                  </w:tcBorders>
                </w:tcPr>
                <w:p w14:paraId="0C60B150" w14:textId="77777777" w:rsidR="002914A3" w:rsidRPr="00E5030A" w:rsidRDefault="002914A3" w:rsidP="002914A3">
                  <w:pPr>
                    <w:spacing w:after="60"/>
                    <w:rPr>
                      <w:i/>
                      <w:iCs/>
                      <w:sz w:val="20"/>
                    </w:rPr>
                  </w:pPr>
                  <w:r w:rsidRPr="00E5030A">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747EF73E" w14:textId="77777777" w:rsidR="002914A3" w:rsidRPr="00E5030A" w:rsidRDefault="002914A3" w:rsidP="002914A3">
                  <w:pPr>
                    <w:spacing w:after="60"/>
                    <w:rPr>
                      <w:iCs/>
                      <w:sz w:val="20"/>
                    </w:rPr>
                  </w:pPr>
                  <w:r w:rsidRPr="00E5030A">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45DFF3AB" w14:textId="77777777" w:rsidR="002914A3" w:rsidRPr="00E5030A" w:rsidRDefault="002914A3" w:rsidP="002914A3">
                  <w:pPr>
                    <w:spacing w:after="60"/>
                    <w:rPr>
                      <w:iCs/>
                      <w:sz w:val="20"/>
                    </w:rPr>
                  </w:pPr>
                  <w:r w:rsidRPr="00E5030A">
                    <w:rPr>
                      <w:iCs/>
                      <w:sz w:val="20"/>
                    </w:rPr>
                    <w:t>An Ancillary Service market (SASM or RSASM) for the given Operating Hour.</w:t>
                  </w:r>
                </w:p>
              </w:tc>
            </w:tr>
          </w:tbl>
          <w:p w14:paraId="2E756E01" w14:textId="77777777" w:rsidR="00124CA4" w:rsidRPr="006C5A42" w:rsidRDefault="00124CA4" w:rsidP="00124CA4">
            <w:pPr>
              <w:spacing w:after="240"/>
            </w:pPr>
          </w:p>
        </w:tc>
      </w:tr>
    </w:tbl>
    <w:p w14:paraId="1BF4B208" w14:textId="77777777" w:rsidR="008C5104" w:rsidRPr="007E46C9" w:rsidRDefault="008C5104" w:rsidP="008A4924">
      <w:pPr>
        <w:spacing w:before="240" w:after="240"/>
        <w:ind w:left="1440" w:hanging="720"/>
      </w:pPr>
      <w:r w:rsidRPr="007E46C9">
        <w:lastRenderedPageBreak/>
        <w:t>(b)</w:t>
      </w:r>
      <w:r w:rsidRPr="007E46C9">
        <w:tab/>
        <w:t>Each QSE’s share of the net total costs for Non-Spin for the Operating Hour is calculated as follows:</w:t>
      </w:r>
    </w:p>
    <w:p w14:paraId="155E8C7D" w14:textId="77777777" w:rsidR="008C5104" w:rsidRPr="007E46C9" w:rsidRDefault="008C5104" w:rsidP="008C5104">
      <w:pPr>
        <w:spacing w:after="240"/>
        <w:ind w:left="2880" w:hanging="2160"/>
        <w:rPr>
          <w:b/>
          <w:bCs/>
        </w:rPr>
      </w:pPr>
      <w:r w:rsidRPr="007E46C9">
        <w:rPr>
          <w:b/>
          <w:bCs/>
        </w:rPr>
        <w:t xml:space="preserve">NSCOST </w:t>
      </w:r>
      <w:r w:rsidRPr="007E46C9">
        <w:rPr>
          <w:b/>
          <w:bCs/>
          <w:i/>
          <w:vertAlign w:val="subscript"/>
        </w:rPr>
        <w:t>q</w:t>
      </w:r>
      <w:r w:rsidRPr="007E46C9">
        <w:rPr>
          <w:b/>
          <w:bCs/>
        </w:rPr>
        <w:tab/>
        <w:t>=</w:t>
      </w:r>
      <w:r w:rsidRPr="007E46C9">
        <w:rPr>
          <w:b/>
          <w:bCs/>
        </w:rPr>
        <w:tab/>
        <w:t xml:space="preserve">NSPR * NSQ </w:t>
      </w:r>
      <w:r w:rsidRPr="007E46C9">
        <w:rPr>
          <w:b/>
          <w:bCs/>
          <w:i/>
          <w:vertAlign w:val="subscript"/>
        </w:rPr>
        <w:t>q</w:t>
      </w:r>
    </w:p>
    <w:p w14:paraId="674057FF" w14:textId="77777777" w:rsidR="008C5104" w:rsidRPr="007E46C9" w:rsidRDefault="008C5104" w:rsidP="008C5104">
      <w:pPr>
        <w:spacing w:after="240"/>
        <w:rPr>
          <w:iCs/>
        </w:rPr>
      </w:pPr>
      <w:r w:rsidRPr="007E46C9">
        <w:rPr>
          <w:iCs/>
        </w:rPr>
        <w:t>Where:</w:t>
      </w:r>
    </w:p>
    <w:p w14:paraId="2A7CC182" w14:textId="77777777" w:rsidR="008C5104" w:rsidRPr="007E46C9" w:rsidRDefault="008C5104" w:rsidP="008C5104">
      <w:pPr>
        <w:spacing w:after="120"/>
        <w:ind w:leftChars="300" w:left="2880" w:hangingChars="900" w:hanging="2160"/>
        <w:rPr>
          <w:bCs/>
        </w:rPr>
      </w:pPr>
      <w:r w:rsidRPr="007E46C9">
        <w:rPr>
          <w:bCs/>
        </w:rPr>
        <w:t>NSPR</w:t>
      </w:r>
      <w:r w:rsidRPr="007E46C9">
        <w:rPr>
          <w:bCs/>
        </w:rPr>
        <w:tab/>
        <w:t>=</w:t>
      </w:r>
      <w:r w:rsidRPr="007E46C9">
        <w:rPr>
          <w:bCs/>
        </w:rPr>
        <w:tab/>
        <w:t>NSCOSTTOT / NSQTOT</w:t>
      </w:r>
    </w:p>
    <w:p w14:paraId="0F1852F9" w14:textId="32AC4644" w:rsidR="008C5104" w:rsidRPr="007E46C9" w:rsidRDefault="008C5104" w:rsidP="008C5104">
      <w:pPr>
        <w:spacing w:after="120"/>
        <w:ind w:leftChars="300" w:left="2880" w:hangingChars="900" w:hanging="2160"/>
        <w:rPr>
          <w:bCs/>
        </w:rPr>
      </w:pPr>
      <w:r w:rsidRPr="007E46C9">
        <w:rPr>
          <w:bCs/>
        </w:rPr>
        <w:t>NSQTOT</w:t>
      </w:r>
      <w:r w:rsidRPr="007E46C9">
        <w:rPr>
          <w:bCs/>
        </w:rPr>
        <w:tab/>
        <w:t>=</w:t>
      </w:r>
      <w:r w:rsidRPr="007E46C9">
        <w:rPr>
          <w:bCs/>
        </w:rPr>
        <w:tab/>
      </w:r>
      <w:r w:rsidR="00A94020">
        <w:rPr>
          <w:bCs/>
          <w:noProof/>
          <w:position w:val="-22"/>
        </w:rPr>
        <w:drawing>
          <wp:inline distT="0" distB="0" distL="0" distR="0" wp14:anchorId="5F0AA7DB" wp14:editId="6FB29FE0">
            <wp:extent cx="142875" cy="2952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NSQ </w:t>
      </w:r>
      <w:r w:rsidRPr="007E46C9">
        <w:rPr>
          <w:bCs/>
          <w:i/>
          <w:vertAlign w:val="subscript"/>
        </w:rPr>
        <w:t>q</w:t>
      </w:r>
    </w:p>
    <w:p w14:paraId="3333DD85" w14:textId="77777777" w:rsidR="008C5104" w:rsidRPr="007E46C9" w:rsidRDefault="008C5104" w:rsidP="008C5104">
      <w:pPr>
        <w:spacing w:after="120"/>
        <w:ind w:leftChars="300" w:left="2880" w:hangingChars="900" w:hanging="2160"/>
        <w:rPr>
          <w:bCs/>
          <w:lang w:val="fr-FR"/>
        </w:rPr>
      </w:pPr>
      <w:r w:rsidRPr="007E46C9">
        <w:rPr>
          <w:bCs/>
          <w:lang w:val="fr-FR"/>
        </w:rPr>
        <w:lastRenderedPageBreak/>
        <w:t xml:space="preserve">NSQ </w:t>
      </w:r>
      <w:r w:rsidRPr="007E46C9">
        <w:rPr>
          <w:bCs/>
          <w:i/>
          <w:vertAlign w:val="subscript"/>
          <w:lang w:val="fr-FR"/>
        </w:rPr>
        <w:t>q</w:t>
      </w:r>
      <w:r w:rsidRPr="007E46C9">
        <w:rPr>
          <w:bCs/>
          <w:lang w:val="fr-FR"/>
        </w:rPr>
        <w:tab/>
        <w:t>=</w:t>
      </w:r>
      <w:r w:rsidRPr="007E46C9">
        <w:rPr>
          <w:bCs/>
          <w:lang w:val="fr-FR"/>
        </w:rPr>
        <w:tab/>
        <w:t xml:space="preserve">NSO </w:t>
      </w:r>
      <w:r w:rsidRPr="007E46C9">
        <w:rPr>
          <w:bCs/>
          <w:i/>
          <w:vertAlign w:val="subscript"/>
          <w:lang w:val="fr-FR"/>
        </w:rPr>
        <w:t>q</w:t>
      </w:r>
      <w:r w:rsidRPr="007E46C9">
        <w:rPr>
          <w:bCs/>
          <w:lang w:val="fr-FR"/>
        </w:rPr>
        <w:t xml:space="preserve"> – SANSQ </w:t>
      </w:r>
      <w:r w:rsidRPr="007E46C9">
        <w:rPr>
          <w:bCs/>
          <w:i/>
          <w:vertAlign w:val="subscript"/>
          <w:lang w:val="fr-FR"/>
        </w:rPr>
        <w:t>q</w:t>
      </w:r>
    </w:p>
    <w:p w14:paraId="67C60098" w14:textId="7C1A1CEA" w:rsidR="008C5104" w:rsidRPr="007E46C9" w:rsidRDefault="008C5104" w:rsidP="008C5104">
      <w:pPr>
        <w:spacing w:after="120"/>
        <w:ind w:leftChars="300" w:left="2880" w:hangingChars="900" w:hanging="2160"/>
        <w:rPr>
          <w:bCs/>
          <w:lang w:val="fr-FR"/>
        </w:rPr>
      </w:pPr>
      <w:r w:rsidRPr="007E46C9">
        <w:rPr>
          <w:bCs/>
          <w:lang w:val="fr-FR"/>
        </w:rPr>
        <w:t xml:space="preserve">NSO </w:t>
      </w:r>
      <w:r w:rsidRPr="007E46C9">
        <w:rPr>
          <w:bCs/>
          <w:i/>
          <w:vertAlign w:val="subscript"/>
          <w:lang w:val="fr-FR"/>
        </w:rPr>
        <w:t>q</w:t>
      </w:r>
      <w:r w:rsidRPr="007E46C9">
        <w:rPr>
          <w:bCs/>
          <w:lang w:val="fr-FR"/>
        </w:rPr>
        <w:tab/>
        <w:t>=</w:t>
      </w:r>
      <w:r w:rsidRPr="007E46C9">
        <w:rPr>
          <w:bCs/>
          <w:lang w:val="fr-FR"/>
        </w:rPr>
        <w:tab/>
      </w:r>
      <w:r w:rsidR="00A94020">
        <w:rPr>
          <w:bCs/>
          <w:noProof/>
          <w:position w:val="-22"/>
        </w:rPr>
        <w:drawing>
          <wp:inline distT="0" distB="0" distL="0" distR="0" wp14:anchorId="36D65486" wp14:editId="39B1FBEA">
            <wp:extent cx="142875" cy="2952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lang w:val="fr-FR"/>
        </w:rPr>
        <w:t xml:space="preserve">(SANSQ </w:t>
      </w:r>
      <w:r w:rsidRPr="007E46C9">
        <w:rPr>
          <w:bCs/>
          <w:i/>
          <w:vertAlign w:val="subscript"/>
          <w:lang w:val="fr-FR"/>
        </w:rPr>
        <w:t>q</w:t>
      </w:r>
      <w:r w:rsidRPr="007E46C9">
        <w:rPr>
          <w:bCs/>
          <w:lang w:val="fr-FR"/>
        </w:rPr>
        <w:t xml:space="preserve"> + </w:t>
      </w:r>
      <w:r w:rsidR="00A94020">
        <w:rPr>
          <w:bCs/>
          <w:noProof/>
          <w:position w:val="-20"/>
        </w:rPr>
        <w:drawing>
          <wp:inline distT="0" distB="0" distL="0" distR="0" wp14:anchorId="57757BF5" wp14:editId="03B661D6">
            <wp:extent cx="142875" cy="2762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lang w:val="fr-FR"/>
        </w:rPr>
        <w:t xml:space="preserve">(RTPCNS </w:t>
      </w:r>
      <w:r w:rsidRPr="007E46C9">
        <w:rPr>
          <w:bCs/>
          <w:i/>
          <w:vertAlign w:val="subscript"/>
          <w:lang w:val="fr-FR"/>
        </w:rPr>
        <w:t>q, m</w:t>
      </w:r>
      <w:r w:rsidRPr="007E46C9">
        <w:rPr>
          <w:bCs/>
          <w:lang w:val="fr-FR"/>
        </w:rPr>
        <w:t xml:space="preserve">) + PCNS </w:t>
      </w:r>
      <w:r w:rsidRPr="007E46C9">
        <w:rPr>
          <w:bCs/>
          <w:i/>
          <w:vertAlign w:val="subscript"/>
          <w:lang w:val="fr-FR"/>
        </w:rPr>
        <w:t xml:space="preserve">q </w:t>
      </w:r>
      <w:r w:rsidRPr="007E46C9">
        <w:rPr>
          <w:bCs/>
          <w:lang w:val="fr-FR"/>
        </w:rPr>
        <w:t xml:space="preserve">– </w:t>
      </w:r>
    </w:p>
    <w:p w14:paraId="3211B9C9" w14:textId="77777777" w:rsidR="008C5104" w:rsidRPr="007E46C9" w:rsidRDefault="008C5104" w:rsidP="008C5104">
      <w:pPr>
        <w:spacing w:after="120"/>
        <w:ind w:leftChars="1200" w:left="2880" w:firstLine="720"/>
        <w:rPr>
          <w:bCs/>
          <w:i/>
          <w:vertAlign w:val="subscript"/>
          <w:lang w:val="fr-FR"/>
        </w:rPr>
      </w:pPr>
      <w:r w:rsidRPr="007E46C9">
        <w:rPr>
          <w:bCs/>
          <w:lang w:val="fr-FR"/>
        </w:rPr>
        <w:t xml:space="preserve">NSFQ </w:t>
      </w:r>
      <w:r w:rsidRPr="007E46C9">
        <w:rPr>
          <w:bCs/>
          <w:i/>
          <w:vertAlign w:val="subscript"/>
          <w:lang w:val="fr-FR"/>
        </w:rPr>
        <w:t xml:space="preserve">q </w:t>
      </w:r>
      <w:r w:rsidRPr="007E46C9">
        <w:rPr>
          <w:bCs/>
          <w:lang w:val="fr-FR"/>
        </w:rPr>
        <w:t xml:space="preserve">– RNSFQ </w:t>
      </w:r>
      <w:r w:rsidRPr="007E46C9">
        <w:rPr>
          <w:bCs/>
          <w:i/>
          <w:vertAlign w:val="subscript"/>
          <w:lang w:val="fr-FR"/>
        </w:rPr>
        <w:t>q</w:t>
      </w:r>
      <w:r w:rsidRPr="007E46C9">
        <w:rPr>
          <w:bCs/>
          <w:lang w:val="fr-FR"/>
        </w:rPr>
        <w:t xml:space="preserve">) * HLRS </w:t>
      </w:r>
      <w:r w:rsidRPr="007E46C9">
        <w:rPr>
          <w:bCs/>
          <w:i/>
          <w:vertAlign w:val="subscript"/>
          <w:lang w:val="fr-FR"/>
        </w:rPr>
        <w:t>q</w:t>
      </w:r>
    </w:p>
    <w:p w14:paraId="6D112371" w14:textId="77777777" w:rsidR="008C5104" w:rsidRPr="007E46C9" w:rsidRDefault="008C5104" w:rsidP="00EE4598">
      <w:pPr>
        <w:spacing w:after="240"/>
        <w:ind w:leftChars="300" w:left="2880" w:hangingChars="900" w:hanging="2160"/>
        <w:rPr>
          <w:bCs/>
          <w:lang w:val="fr-FR"/>
        </w:rPr>
      </w:pPr>
      <w:r w:rsidRPr="007E46C9">
        <w:rPr>
          <w:bCs/>
          <w:lang w:val="fr-FR"/>
        </w:rPr>
        <w:t xml:space="preserve">SANSQ </w:t>
      </w:r>
      <w:r w:rsidRPr="007E46C9">
        <w:rPr>
          <w:bCs/>
          <w:i/>
          <w:vertAlign w:val="subscript"/>
          <w:lang w:val="fr-FR"/>
        </w:rPr>
        <w:t>q</w:t>
      </w:r>
      <w:r w:rsidRPr="007E46C9">
        <w:rPr>
          <w:bCs/>
          <w:i/>
          <w:vertAlign w:val="subscript"/>
          <w:lang w:val="fr-FR"/>
        </w:rPr>
        <w:tab/>
      </w:r>
      <w:r w:rsidRPr="007E46C9">
        <w:rPr>
          <w:bCs/>
          <w:lang w:val="fr-FR"/>
        </w:rPr>
        <w:t>=</w:t>
      </w:r>
      <w:r w:rsidRPr="007E46C9">
        <w:rPr>
          <w:bCs/>
          <w:lang w:val="fr-FR"/>
        </w:rPr>
        <w:tab/>
        <w:t xml:space="preserve">DASANSQ </w:t>
      </w:r>
      <w:r w:rsidRPr="007E46C9">
        <w:rPr>
          <w:bCs/>
          <w:i/>
          <w:vertAlign w:val="subscript"/>
          <w:lang w:val="fr-FR"/>
        </w:rPr>
        <w:t>q</w:t>
      </w:r>
      <w:r w:rsidRPr="007E46C9">
        <w:rPr>
          <w:bCs/>
          <w:lang w:val="fr-FR"/>
        </w:rPr>
        <w:t xml:space="preserve"> + RTSANSQ </w:t>
      </w:r>
      <w:r w:rsidRPr="007E46C9">
        <w:rPr>
          <w:bCs/>
          <w:i/>
          <w:vertAlign w:val="subscript"/>
          <w:lang w:val="fr-FR"/>
        </w:rPr>
        <w:t>q</w:t>
      </w:r>
    </w:p>
    <w:p w14:paraId="45899492" w14:textId="77777777" w:rsidR="008C5104" w:rsidRPr="007E46C9" w:rsidRDefault="008C5104" w:rsidP="008C5104">
      <w:pPr>
        <w:tabs>
          <w:tab w:val="left" w:pos="2160"/>
          <w:tab w:val="left" w:pos="2880"/>
        </w:tabs>
        <w:ind w:leftChars="31" w:left="374" w:hangingChars="125" w:hanging="300"/>
        <w:rPr>
          <w:bCs/>
        </w:rPr>
      </w:pPr>
      <w:r w:rsidRPr="007E46C9">
        <w:rPr>
          <w:bCs/>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2F3EF5E3" w14:textId="77777777" w:rsidTr="008C5104">
        <w:trPr>
          <w:tblHeader/>
        </w:trPr>
        <w:tc>
          <w:tcPr>
            <w:tcW w:w="849" w:type="pct"/>
          </w:tcPr>
          <w:p w14:paraId="4A157BE1" w14:textId="77777777" w:rsidR="008C5104" w:rsidRPr="007E46C9" w:rsidRDefault="008C5104" w:rsidP="008C5104">
            <w:pPr>
              <w:keepNext/>
              <w:spacing w:after="120"/>
              <w:rPr>
                <w:b/>
                <w:iCs/>
                <w:sz w:val="20"/>
              </w:rPr>
            </w:pPr>
            <w:r w:rsidRPr="007E46C9">
              <w:rPr>
                <w:b/>
                <w:iCs/>
                <w:sz w:val="20"/>
              </w:rPr>
              <w:t>Variable</w:t>
            </w:r>
          </w:p>
        </w:tc>
        <w:tc>
          <w:tcPr>
            <w:tcW w:w="460" w:type="pct"/>
          </w:tcPr>
          <w:p w14:paraId="353E5496" w14:textId="77777777" w:rsidR="008C5104" w:rsidRPr="007E46C9" w:rsidRDefault="008C5104" w:rsidP="008C5104">
            <w:pPr>
              <w:keepNext/>
              <w:spacing w:after="120"/>
              <w:rPr>
                <w:b/>
                <w:iCs/>
                <w:sz w:val="20"/>
              </w:rPr>
            </w:pPr>
            <w:r w:rsidRPr="007E46C9">
              <w:rPr>
                <w:b/>
                <w:iCs/>
                <w:sz w:val="20"/>
              </w:rPr>
              <w:t>Unit</w:t>
            </w:r>
          </w:p>
        </w:tc>
        <w:tc>
          <w:tcPr>
            <w:tcW w:w="3691" w:type="pct"/>
          </w:tcPr>
          <w:p w14:paraId="333FBCE9"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4EE7FFF0" w14:textId="77777777" w:rsidTr="008C5104">
        <w:tc>
          <w:tcPr>
            <w:tcW w:w="849" w:type="pct"/>
          </w:tcPr>
          <w:p w14:paraId="1D6BC4A2" w14:textId="77777777" w:rsidR="008C5104" w:rsidRPr="007E46C9" w:rsidRDefault="008C5104" w:rsidP="008C5104">
            <w:pPr>
              <w:spacing w:after="60"/>
              <w:rPr>
                <w:iCs/>
                <w:sz w:val="20"/>
              </w:rPr>
            </w:pPr>
            <w:r w:rsidRPr="007E46C9">
              <w:rPr>
                <w:iCs/>
                <w:sz w:val="20"/>
              </w:rPr>
              <w:t xml:space="preserve">NSCOST </w:t>
            </w:r>
            <w:r w:rsidRPr="007E46C9">
              <w:rPr>
                <w:i/>
                <w:iCs/>
                <w:sz w:val="20"/>
                <w:vertAlign w:val="subscript"/>
              </w:rPr>
              <w:t>q</w:t>
            </w:r>
          </w:p>
        </w:tc>
        <w:tc>
          <w:tcPr>
            <w:tcW w:w="460" w:type="pct"/>
          </w:tcPr>
          <w:p w14:paraId="4A63330C" w14:textId="77777777" w:rsidR="008C5104" w:rsidRPr="007E46C9" w:rsidRDefault="008C5104" w:rsidP="008C5104">
            <w:pPr>
              <w:keepNext/>
              <w:spacing w:after="60"/>
              <w:rPr>
                <w:iCs/>
                <w:sz w:val="20"/>
              </w:rPr>
            </w:pPr>
            <w:r w:rsidRPr="007E46C9">
              <w:rPr>
                <w:iCs/>
                <w:sz w:val="20"/>
              </w:rPr>
              <w:t>$</w:t>
            </w:r>
          </w:p>
        </w:tc>
        <w:tc>
          <w:tcPr>
            <w:tcW w:w="3691" w:type="pct"/>
          </w:tcPr>
          <w:p w14:paraId="5AAA360A" w14:textId="77777777" w:rsidR="008C5104" w:rsidRPr="007E46C9" w:rsidRDefault="008C5104" w:rsidP="008C5104">
            <w:pPr>
              <w:keepNext/>
              <w:spacing w:after="60"/>
              <w:rPr>
                <w:iCs/>
                <w:sz w:val="20"/>
              </w:rPr>
            </w:pPr>
            <w:r w:rsidRPr="007E46C9">
              <w:rPr>
                <w:i/>
                <w:iCs/>
                <w:sz w:val="20"/>
              </w:rPr>
              <w:t>Non-Spin Cost per QSE</w:t>
            </w:r>
            <w:r w:rsidRPr="007E46C9">
              <w:rPr>
                <w:iCs/>
                <w:sz w:val="20"/>
              </w:rPr>
              <w:t xml:space="preserve">—QSE </w:t>
            </w:r>
            <w:r w:rsidRPr="007E46C9">
              <w:rPr>
                <w:i/>
                <w:iCs/>
                <w:sz w:val="20"/>
              </w:rPr>
              <w:t>q</w:t>
            </w:r>
            <w:r w:rsidRPr="007E46C9">
              <w:rPr>
                <w:iCs/>
                <w:sz w:val="20"/>
              </w:rPr>
              <w:t>’s share of the net total costs for Non-Spin, for the hour.</w:t>
            </w:r>
          </w:p>
        </w:tc>
      </w:tr>
      <w:tr w:rsidR="008C5104" w:rsidRPr="007E46C9" w14:paraId="50E6182E" w14:textId="77777777" w:rsidTr="008C5104">
        <w:tc>
          <w:tcPr>
            <w:tcW w:w="849" w:type="pct"/>
            <w:tcBorders>
              <w:top w:val="single" w:sz="4" w:space="0" w:color="auto"/>
              <w:left w:val="single" w:sz="4" w:space="0" w:color="auto"/>
              <w:bottom w:val="single" w:sz="4" w:space="0" w:color="auto"/>
              <w:right w:val="single" w:sz="4" w:space="0" w:color="auto"/>
            </w:tcBorders>
          </w:tcPr>
          <w:p w14:paraId="35528004" w14:textId="77777777" w:rsidR="008C5104" w:rsidRPr="007E46C9" w:rsidRDefault="008C5104" w:rsidP="008C5104">
            <w:pPr>
              <w:spacing w:after="60"/>
              <w:rPr>
                <w:iCs/>
                <w:sz w:val="20"/>
              </w:rPr>
            </w:pPr>
            <w:r w:rsidRPr="007E46C9">
              <w:rPr>
                <w:iCs/>
                <w:sz w:val="20"/>
              </w:rPr>
              <w:t>NSPR</w:t>
            </w:r>
          </w:p>
        </w:tc>
        <w:tc>
          <w:tcPr>
            <w:tcW w:w="460" w:type="pct"/>
            <w:tcBorders>
              <w:top w:val="single" w:sz="4" w:space="0" w:color="auto"/>
              <w:left w:val="single" w:sz="4" w:space="0" w:color="auto"/>
              <w:bottom w:val="single" w:sz="4" w:space="0" w:color="auto"/>
              <w:right w:val="single" w:sz="4" w:space="0" w:color="auto"/>
            </w:tcBorders>
          </w:tcPr>
          <w:p w14:paraId="3905ED86"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3375FFE1" w14:textId="77777777" w:rsidR="008C5104" w:rsidRPr="007E46C9" w:rsidRDefault="008C5104" w:rsidP="008C5104">
            <w:pPr>
              <w:spacing w:after="60"/>
              <w:rPr>
                <w:i/>
                <w:iCs/>
                <w:sz w:val="20"/>
              </w:rPr>
            </w:pPr>
            <w:r w:rsidRPr="007E46C9">
              <w:rPr>
                <w:i/>
                <w:iCs/>
                <w:sz w:val="20"/>
              </w:rPr>
              <w:t>Non-Spin Price—</w:t>
            </w:r>
            <w:r w:rsidRPr="007E46C9">
              <w:rPr>
                <w:iCs/>
                <w:sz w:val="20"/>
              </w:rPr>
              <w:t>The price for Non-Spin calculated based on the net total costs for Non-Spin, for the hour.</w:t>
            </w:r>
          </w:p>
        </w:tc>
      </w:tr>
      <w:tr w:rsidR="008C5104" w:rsidRPr="007E46C9" w14:paraId="37CDEEAD" w14:textId="77777777" w:rsidTr="008C5104">
        <w:tc>
          <w:tcPr>
            <w:tcW w:w="849" w:type="pct"/>
            <w:tcBorders>
              <w:top w:val="single" w:sz="4" w:space="0" w:color="auto"/>
              <w:left w:val="single" w:sz="4" w:space="0" w:color="auto"/>
              <w:bottom w:val="single" w:sz="4" w:space="0" w:color="auto"/>
              <w:right w:val="single" w:sz="4" w:space="0" w:color="auto"/>
            </w:tcBorders>
          </w:tcPr>
          <w:p w14:paraId="263A7474" w14:textId="77777777" w:rsidR="008C5104" w:rsidRPr="007E46C9" w:rsidRDefault="008C5104" w:rsidP="008C5104">
            <w:pPr>
              <w:spacing w:after="60"/>
              <w:rPr>
                <w:iCs/>
                <w:sz w:val="20"/>
              </w:rPr>
            </w:pPr>
            <w:r w:rsidRPr="007E46C9">
              <w:rPr>
                <w:iCs/>
                <w:sz w:val="20"/>
              </w:rPr>
              <w:t>NSCOSTTOT</w:t>
            </w:r>
          </w:p>
        </w:tc>
        <w:tc>
          <w:tcPr>
            <w:tcW w:w="460" w:type="pct"/>
            <w:tcBorders>
              <w:top w:val="single" w:sz="4" w:space="0" w:color="auto"/>
              <w:left w:val="single" w:sz="4" w:space="0" w:color="auto"/>
              <w:bottom w:val="single" w:sz="4" w:space="0" w:color="auto"/>
              <w:right w:val="single" w:sz="4" w:space="0" w:color="auto"/>
            </w:tcBorders>
          </w:tcPr>
          <w:p w14:paraId="2B925484"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27C125A5" w14:textId="77777777" w:rsidR="008C5104" w:rsidRPr="007E46C9" w:rsidRDefault="008C5104" w:rsidP="008C5104">
            <w:pPr>
              <w:spacing w:after="60"/>
              <w:rPr>
                <w:i/>
                <w:iCs/>
                <w:sz w:val="20"/>
              </w:rPr>
            </w:pPr>
            <w:r w:rsidRPr="007E46C9">
              <w:rPr>
                <w:i/>
                <w:iCs/>
                <w:sz w:val="20"/>
              </w:rPr>
              <w:t>Non-Spin Cost Total</w:t>
            </w:r>
            <w:r w:rsidRPr="007E46C9">
              <w:rPr>
                <w:iCs/>
                <w:sz w:val="20"/>
              </w:rPr>
              <w:t>—The net total costs for Non-Spin for the hour.  See item</w:t>
            </w:r>
            <w:r w:rsidR="00637160">
              <w:rPr>
                <w:iCs/>
                <w:sz w:val="20"/>
              </w:rPr>
              <w:t xml:space="preserve"> (5)</w:t>
            </w:r>
            <w:r w:rsidRPr="007E46C9">
              <w:rPr>
                <w:iCs/>
                <w:sz w:val="20"/>
              </w:rPr>
              <w:t>(a) above.</w:t>
            </w:r>
          </w:p>
        </w:tc>
      </w:tr>
      <w:tr w:rsidR="008C5104" w:rsidRPr="007E46C9" w14:paraId="2D203FDE" w14:textId="77777777" w:rsidTr="008C5104">
        <w:tc>
          <w:tcPr>
            <w:tcW w:w="849" w:type="pct"/>
            <w:tcBorders>
              <w:top w:val="single" w:sz="4" w:space="0" w:color="auto"/>
              <w:left w:val="single" w:sz="4" w:space="0" w:color="auto"/>
              <w:bottom w:val="single" w:sz="4" w:space="0" w:color="auto"/>
              <w:right w:val="single" w:sz="4" w:space="0" w:color="auto"/>
            </w:tcBorders>
          </w:tcPr>
          <w:p w14:paraId="724A447A" w14:textId="77777777" w:rsidR="008C5104" w:rsidRPr="007E46C9" w:rsidRDefault="008C5104" w:rsidP="008C5104">
            <w:pPr>
              <w:spacing w:after="60"/>
              <w:rPr>
                <w:iCs/>
                <w:sz w:val="20"/>
              </w:rPr>
            </w:pPr>
            <w:r w:rsidRPr="007E46C9">
              <w:rPr>
                <w:iCs/>
                <w:sz w:val="20"/>
              </w:rPr>
              <w:t>NSQTOT</w:t>
            </w:r>
          </w:p>
        </w:tc>
        <w:tc>
          <w:tcPr>
            <w:tcW w:w="460" w:type="pct"/>
            <w:tcBorders>
              <w:top w:val="single" w:sz="4" w:space="0" w:color="auto"/>
              <w:left w:val="single" w:sz="4" w:space="0" w:color="auto"/>
              <w:bottom w:val="single" w:sz="4" w:space="0" w:color="auto"/>
              <w:right w:val="single" w:sz="4" w:space="0" w:color="auto"/>
            </w:tcBorders>
          </w:tcPr>
          <w:p w14:paraId="2631F029"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64D727D7" w14:textId="77777777" w:rsidR="008C5104" w:rsidRPr="007E46C9" w:rsidRDefault="008C5104" w:rsidP="008C5104">
            <w:pPr>
              <w:spacing w:after="60"/>
              <w:rPr>
                <w:i/>
                <w:iCs/>
                <w:sz w:val="20"/>
              </w:rPr>
            </w:pPr>
            <w:r w:rsidRPr="007E46C9">
              <w:rPr>
                <w:i/>
                <w:iCs/>
                <w:sz w:val="20"/>
              </w:rPr>
              <w:t>Non-Spin Quantity Total</w:t>
            </w:r>
            <w:r w:rsidRPr="007E46C9">
              <w:rPr>
                <w:iCs/>
                <w:sz w:val="20"/>
              </w:rPr>
              <w:t>—The sum of every QSE’s Ancillary Service Obligation minus its self-arranged Non-Spin quantity in the DAM and any and all SASMs</w:t>
            </w:r>
            <w:r w:rsidR="00EE4598" w:rsidRPr="007E46C9">
              <w:rPr>
                <w:iCs/>
                <w:sz w:val="20"/>
              </w:rPr>
              <w:t>,</w:t>
            </w:r>
            <w:r w:rsidRPr="007E46C9">
              <w:rPr>
                <w:iCs/>
                <w:sz w:val="20"/>
              </w:rPr>
              <w:t xml:space="preserve"> for the hour.</w:t>
            </w:r>
          </w:p>
        </w:tc>
      </w:tr>
      <w:tr w:rsidR="008C5104" w:rsidRPr="007E46C9" w14:paraId="39EC3DA9" w14:textId="77777777" w:rsidTr="008C5104">
        <w:tc>
          <w:tcPr>
            <w:tcW w:w="849" w:type="pct"/>
            <w:tcBorders>
              <w:top w:val="single" w:sz="4" w:space="0" w:color="auto"/>
              <w:left w:val="single" w:sz="4" w:space="0" w:color="auto"/>
              <w:bottom w:val="single" w:sz="4" w:space="0" w:color="auto"/>
              <w:right w:val="single" w:sz="4" w:space="0" w:color="auto"/>
            </w:tcBorders>
          </w:tcPr>
          <w:p w14:paraId="493EFC8B" w14:textId="77777777" w:rsidR="008C5104" w:rsidRPr="007E46C9" w:rsidRDefault="008C5104" w:rsidP="008C5104">
            <w:pPr>
              <w:spacing w:after="60"/>
              <w:rPr>
                <w:iCs/>
                <w:sz w:val="20"/>
              </w:rPr>
            </w:pPr>
            <w:r w:rsidRPr="007E46C9">
              <w:rPr>
                <w:iCs/>
                <w:sz w:val="20"/>
              </w:rPr>
              <w:t xml:space="preserve">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06B329F"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7B81B43B" w14:textId="77777777" w:rsidR="008C5104" w:rsidRPr="007E46C9" w:rsidRDefault="008C5104" w:rsidP="008C5104">
            <w:pPr>
              <w:spacing w:after="60"/>
              <w:rPr>
                <w:i/>
                <w:iCs/>
                <w:sz w:val="20"/>
              </w:rPr>
            </w:pPr>
            <w:r w:rsidRPr="007E46C9">
              <w:rPr>
                <w:i/>
                <w:iCs/>
                <w:sz w:val="20"/>
              </w:rPr>
              <w:t>Non-Spin Quantity per QSE</w:t>
            </w:r>
            <w:r w:rsidRPr="007E46C9">
              <w:rPr>
                <w:iCs/>
                <w:sz w:val="20"/>
              </w:rPr>
              <w:t xml:space="preserve">—The difference in QSE </w:t>
            </w:r>
            <w:r w:rsidRPr="007E46C9">
              <w:rPr>
                <w:i/>
                <w:iCs/>
                <w:sz w:val="20"/>
              </w:rPr>
              <w:t>q</w:t>
            </w:r>
            <w:r w:rsidRPr="007E46C9">
              <w:rPr>
                <w:iCs/>
                <w:sz w:val="20"/>
              </w:rPr>
              <w:t>’s Ancillary Service Obligation minus its self-arranged Non-Spin quantity in the DAM and any and all SASMs</w:t>
            </w:r>
            <w:r w:rsidR="00EE4598" w:rsidRPr="007E46C9">
              <w:rPr>
                <w:iCs/>
                <w:sz w:val="20"/>
              </w:rPr>
              <w:t>,</w:t>
            </w:r>
            <w:r w:rsidRPr="007E46C9">
              <w:rPr>
                <w:iCs/>
                <w:sz w:val="20"/>
              </w:rPr>
              <w:t xml:space="preserve"> for the hour.</w:t>
            </w:r>
          </w:p>
        </w:tc>
      </w:tr>
      <w:tr w:rsidR="008C5104" w:rsidRPr="007E46C9" w14:paraId="3D9EEB24" w14:textId="77777777" w:rsidTr="008C5104">
        <w:tc>
          <w:tcPr>
            <w:tcW w:w="849" w:type="pct"/>
            <w:tcBorders>
              <w:top w:val="single" w:sz="4" w:space="0" w:color="auto"/>
              <w:left w:val="single" w:sz="4" w:space="0" w:color="auto"/>
              <w:bottom w:val="single" w:sz="4" w:space="0" w:color="auto"/>
              <w:right w:val="single" w:sz="4" w:space="0" w:color="auto"/>
            </w:tcBorders>
          </w:tcPr>
          <w:p w14:paraId="37064A8C" w14:textId="77777777" w:rsidR="008C5104" w:rsidRPr="007E46C9" w:rsidRDefault="008C5104" w:rsidP="008C5104">
            <w:pPr>
              <w:spacing w:after="60"/>
              <w:rPr>
                <w:iCs/>
                <w:sz w:val="20"/>
              </w:rPr>
            </w:pPr>
            <w:r w:rsidRPr="007E46C9">
              <w:rPr>
                <w:iCs/>
                <w:sz w:val="20"/>
              </w:rPr>
              <w:t xml:space="preserve">NSO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766A1A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0754070B" w14:textId="77777777" w:rsidR="008C5104" w:rsidRPr="007E46C9" w:rsidRDefault="008C5104" w:rsidP="008C5104">
            <w:pPr>
              <w:spacing w:after="60"/>
              <w:rPr>
                <w:i/>
                <w:iCs/>
                <w:sz w:val="20"/>
              </w:rPr>
            </w:pPr>
            <w:r w:rsidRPr="007E46C9">
              <w:rPr>
                <w:i/>
                <w:iCs/>
                <w:sz w:val="20"/>
              </w:rPr>
              <w:t>Non-Spin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4E846453" w14:textId="77777777" w:rsidTr="008C5104">
        <w:tc>
          <w:tcPr>
            <w:tcW w:w="849" w:type="pct"/>
            <w:tcBorders>
              <w:top w:val="single" w:sz="4" w:space="0" w:color="auto"/>
              <w:left w:val="single" w:sz="4" w:space="0" w:color="auto"/>
              <w:bottom w:val="single" w:sz="4" w:space="0" w:color="auto"/>
              <w:right w:val="single" w:sz="4" w:space="0" w:color="auto"/>
            </w:tcBorders>
          </w:tcPr>
          <w:p w14:paraId="14AF9C1F" w14:textId="77777777" w:rsidR="008C5104" w:rsidRPr="007E46C9" w:rsidRDefault="008C5104" w:rsidP="008C5104">
            <w:pPr>
              <w:spacing w:after="60"/>
              <w:rPr>
                <w:iCs/>
                <w:sz w:val="20"/>
              </w:rPr>
            </w:pPr>
            <w:r w:rsidRPr="007E46C9">
              <w:rPr>
                <w:iCs/>
                <w:sz w:val="20"/>
              </w:rPr>
              <w:t xml:space="preserve">DASANSQ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005152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E091C02" w14:textId="77777777" w:rsidR="008C5104" w:rsidRPr="007E46C9" w:rsidRDefault="008C5104" w:rsidP="008C5104">
            <w:pPr>
              <w:spacing w:after="60"/>
              <w:rPr>
                <w:i/>
                <w:iCs/>
                <w:sz w:val="20"/>
              </w:rPr>
            </w:pPr>
            <w:r w:rsidRPr="007E46C9">
              <w:rPr>
                <w:i/>
                <w:iCs/>
                <w:sz w:val="20"/>
              </w:rPr>
              <w:t>Day-Ahead Self-Arranged Non-Spin Quantity per QSE for DAM</w:t>
            </w:r>
            <w:r w:rsidRPr="007E46C9">
              <w:rPr>
                <w:iCs/>
                <w:sz w:val="20"/>
              </w:rPr>
              <w:t xml:space="preserve">—The self-arranged Non-Spin quantity submitted by QSE </w:t>
            </w:r>
            <w:r w:rsidRPr="007E46C9">
              <w:rPr>
                <w:i/>
                <w:iCs/>
                <w:sz w:val="20"/>
              </w:rPr>
              <w:t>q</w:t>
            </w:r>
            <w:r w:rsidRPr="007E46C9">
              <w:rPr>
                <w:iCs/>
                <w:sz w:val="20"/>
              </w:rPr>
              <w:t xml:space="preserve"> before 1000 in the Day-Ahead.</w:t>
            </w:r>
          </w:p>
        </w:tc>
      </w:tr>
      <w:tr w:rsidR="008C5104" w:rsidRPr="007E46C9" w14:paraId="4D1B7087" w14:textId="77777777" w:rsidTr="008C5104">
        <w:trPr>
          <w:cantSplit/>
        </w:trPr>
        <w:tc>
          <w:tcPr>
            <w:tcW w:w="849" w:type="pct"/>
            <w:tcBorders>
              <w:top w:val="single" w:sz="4" w:space="0" w:color="auto"/>
              <w:left w:val="single" w:sz="4" w:space="0" w:color="auto"/>
              <w:bottom w:val="single" w:sz="4" w:space="0" w:color="auto"/>
              <w:right w:val="single" w:sz="4" w:space="0" w:color="auto"/>
            </w:tcBorders>
          </w:tcPr>
          <w:p w14:paraId="480997B2" w14:textId="77777777" w:rsidR="008C5104" w:rsidRPr="007E46C9" w:rsidRDefault="008C5104" w:rsidP="008C5104">
            <w:pPr>
              <w:spacing w:after="60"/>
              <w:rPr>
                <w:iCs/>
                <w:sz w:val="20"/>
              </w:rPr>
            </w:pPr>
            <w:r w:rsidRPr="007E46C9">
              <w:rPr>
                <w:iCs/>
                <w:sz w:val="20"/>
              </w:rPr>
              <w:t xml:space="preserve">RTSANSQ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30D75CF"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266D607D" w14:textId="77777777" w:rsidR="008C5104" w:rsidRPr="007E46C9" w:rsidRDefault="008C5104" w:rsidP="008C5104">
            <w:pPr>
              <w:spacing w:after="60"/>
              <w:rPr>
                <w:i/>
                <w:iCs/>
                <w:sz w:val="20"/>
              </w:rPr>
            </w:pPr>
            <w:r w:rsidRPr="007E46C9">
              <w:rPr>
                <w:i/>
                <w:iCs/>
                <w:sz w:val="20"/>
              </w:rPr>
              <w:t>Self-Arranged Non-Spin Quantity per QSE for all SASMs</w:t>
            </w:r>
            <w:r w:rsidRPr="007E46C9">
              <w:rPr>
                <w:iCs/>
                <w:sz w:val="20"/>
              </w:rPr>
              <w:t xml:space="preserve">—The sum of all self-arranged Non-Spin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sidRPr="007E46C9">
              <w:rPr>
                <w:iCs/>
                <w:sz w:val="20"/>
              </w:rPr>
              <w:t>.</w:t>
            </w:r>
          </w:p>
        </w:tc>
      </w:tr>
      <w:tr w:rsidR="008C5104" w:rsidRPr="007E46C9" w14:paraId="4656C7B3" w14:textId="77777777" w:rsidTr="008C5104">
        <w:tc>
          <w:tcPr>
            <w:tcW w:w="849" w:type="pct"/>
            <w:tcBorders>
              <w:top w:val="single" w:sz="4" w:space="0" w:color="auto"/>
              <w:left w:val="single" w:sz="4" w:space="0" w:color="auto"/>
              <w:bottom w:val="single" w:sz="4" w:space="0" w:color="auto"/>
              <w:right w:val="single" w:sz="4" w:space="0" w:color="auto"/>
            </w:tcBorders>
          </w:tcPr>
          <w:p w14:paraId="30B8D212" w14:textId="77777777" w:rsidR="008C5104" w:rsidRPr="007E46C9" w:rsidRDefault="008C5104" w:rsidP="008C5104">
            <w:pPr>
              <w:spacing w:after="60"/>
              <w:rPr>
                <w:iCs/>
                <w:sz w:val="20"/>
              </w:rPr>
            </w:pPr>
            <w:r w:rsidRPr="007E46C9">
              <w:rPr>
                <w:iCs/>
                <w:sz w:val="20"/>
              </w:rPr>
              <w:t xml:space="preserve">RTPCNS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3D5FCD03"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F48C914" w14:textId="77777777" w:rsidR="008C5104" w:rsidRPr="007E46C9" w:rsidRDefault="008C5104" w:rsidP="008C5104">
            <w:pPr>
              <w:spacing w:after="60"/>
              <w:rPr>
                <w:i/>
                <w:iCs/>
                <w:sz w:val="20"/>
              </w:rPr>
            </w:pPr>
            <w:r w:rsidRPr="007E46C9">
              <w:rPr>
                <w:i/>
                <w:iCs/>
                <w:sz w:val="20"/>
              </w:rPr>
              <w:t>Procured Capacity for Non-Spin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Non-Spin, for the hour.</w:t>
            </w:r>
          </w:p>
        </w:tc>
      </w:tr>
      <w:tr w:rsidR="008C5104" w:rsidRPr="007E46C9" w14:paraId="1BA0F46A" w14:textId="77777777" w:rsidTr="008C5104">
        <w:tc>
          <w:tcPr>
            <w:tcW w:w="849" w:type="pct"/>
            <w:tcBorders>
              <w:top w:val="single" w:sz="4" w:space="0" w:color="auto"/>
              <w:left w:val="single" w:sz="4" w:space="0" w:color="auto"/>
              <w:bottom w:val="single" w:sz="4" w:space="0" w:color="auto"/>
              <w:right w:val="single" w:sz="4" w:space="0" w:color="auto"/>
            </w:tcBorders>
          </w:tcPr>
          <w:p w14:paraId="0A380A27" w14:textId="77777777" w:rsidR="008C5104" w:rsidRPr="007E46C9" w:rsidRDefault="008C5104" w:rsidP="008C5104">
            <w:pPr>
              <w:spacing w:after="60"/>
              <w:rPr>
                <w:iCs/>
                <w:sz w:val="20"/>
              </w:rPr>
            </w:pPr>
            <w:r w:rsidRPr="007E46C9">
              <w:rPr>
                <w:iCs/>
                <w:sz w:val="20"/>
              </w:rPr>
              <w:t xml:space="preserve">NSFQ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2EA31C4"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D83FD81" w14:textId="77777777" w:rsidR="008C5104" w:rsidRPr="007E46C9" w:rsidRDefault="008C5104" w:rsidP="008C5104">
            <w:pPr>
              <w:spacing w:after="60"/>
              <w:rPr>
                <w:iCs/>
                <w:sz w:val="20"/>
              </w:rPr>
            </w:pPr>
            <w:r w:rsidRPr="007E46C9">
              <w:rPr>
                <w:i/>
                <w:iCs/>
                <w:sz w:val="20"/>
              </w:rPr>
              <w:t>Non-Spin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Non-Spin, for the hour.</w:t>
            </w:r>
          </w:p>
        </w:tc>
      </w:tr>
      <w:tr w:rsidR="008C5104" w:rsidRPr="007E46C9" w14:paraId="7DF5D5DA" w14:textId="77777777" w:rsidTr="008C5104">
        <w:tc>
          <w:tcPr>
            <w:tcW w:w="849" w:type="pct"/>
            <w:tcBorders>
              <w:top w:val="single" w:sz="4" w:space="0" w:color="auto"/>
              <w:left w:val="single" w:sz="4" w:space="0" w:color="auto"/>
              <w:bottom w:val="single" w:sz="4" w:space="0" w:color="auto"/>
              <w:right w:val="single" w:sz="4" w:space="0" w:color="auto"/>
            </w:tcBorders>
          </w:tcPr>
          <w:p w14:paraId="08CD42FB" w14:textId="77777777" w:rsidR="008C5104" w:rsidRPr="007E46C9" w:rsidRDefault="008C5104" w:rsidP="008C5104">
            <w:pPr>
              <w:spacing w:after="60"/>
              <w:rPr>
                <w:iCs/>
                <w:sz w:val="20"/>
              </w:rPr>
            </w:pPr>
            <w:r w:rsidRPr="007E46C9">
              <w:rPr>
                <w:sz w:val="20"/>
              </w:rPr>
              <w:t xml:space="preserve">RNSFQ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58F3AB3"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22CBC29D" w14:textId="77777777" w:rsidR="008C5104" w:rsidRPr="007E46C9" w:rsidRDefault="008C5104" w:rsidP="008C5104">
            <w:pPr>
              <w:spacing w:after="60"/>
              <w:rPr>
                <w:i/>
                <w:iCs/>
                <w:sz w:val="20"/>
              </w:rPr>
            </w:pPr>
            <w:r w:rsidRPr="007E46C9">
              <w:rPr>
                <w:i/>
                <w:sz w:val="20"/>
              </w:rPr>
              <w:t>Reconfiguration Non-Spin Failure Quantity per QSE—</w:t>
            </w:r>
            <w:r w:rsidRPr="007E46C9">
              <w:rPr>
                <w:sz w:val="20"/>
              </w:rPr>
              <w:t xml:space="preserve">QSE </w:t>
            </w:r>
            <w:r w:rsidRPr="007E46C9">
              <w:rPr>
                <w:i/>
                <w:sz w:val="20"/>
              </w:rPr>
              <w:t>q</w:t>
            </w:r>
            <w:r w:rsidRPr="007E46C9">
              <w:rPr>
                <w:sz w:val="20"/>
              </w:rPr>
              <w:t>’s total capacity associated with reconfiguration reductions on its Ancillary Service Supply Responsibility for Non-Spin, for the hour.</w:t>
            </w:r>
          </w:p>
        </w:tc>
      </w:tr>
      <w:tr w:rsidR="008C5104" w:rsidRPr="007E46C9" w14:paraId="5F4A2BBD" w14:textId="77777777" w:rsidTr="008C5104">
        <w:tc>
          <w:tcPr>
            <w:tcW w:w="849" w:type="pct"/>
            <w:tcBorders>
              <w:top w:val="single" w:sz="4" w:space="0" w:color="auto"/>
              <w:left w:val="single" w:sz="4" w:space="0" w:color="auto"/>
              <w:bottom w:val="single" w:sz="4" w:space="0" w:color="auto"/>
              <w:right w:val="single" w:sz="4" w:space="0" w:color="auto"/>
            </w:tcBorders>
          </w:tcPr>
          <w:p w14:paraId="5B19FDB6"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F271027"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68A36442"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w:t>
            </w:r>
          </w:p>
        </w:tc>
      </w:tr>
      <w:tr w:rsidR="008C5104" w:rsidRPr="007E46C9" w14:paraId="68FB06FF" w14:textId="77777777" w:rsidTr="008C5104">
        <w:tc>
          <w:tcPr>
            <w:tcW w:w="849" w:type="pct"/>
            <w:tcBorders>
              <w:top w:val="single" w:sz="4" w:space="0" w:color="auto"/>
              <w:left w:val="single" w:sz="4" w:space="0" w:color="auto"/>
              <w:bottom w:val="single" w:sz="4" w:space="0" w:color="auto"/>
              <w:right w:val="single" w:sz="4" w:space="0" w:color="auto"/>
            </w:tcBorders>
          </w:tcPr>
          <w:p w14:paraId="3B7CE3DA" w14:textId="77777777" w:rsidR="008C5104" w:rsidRPr="007E46C9" w:rsidRDefault="008C5104" w:rsidP="008C5104">
            <w:pPr>
              <w:rPr>
                <w:sz w:val="20"/>
              </w:rPr>
            </w:pPr>
            <w:r w:rsidRPr="007E46C9">
              <w:rPr>
                <w:sz w:val="20"/>
              </w:rPr>
              <w:t xml:space="preserve">PCNS </w:t>
            </w:r>
            <w:r w:rsidRPr="007E46C9">
              <w:rPr>
                <w:i/>
                <w:sz w:val="20"/>
                <w:vertAlign w:val="subscript"/>
              </w:rPr>
              <w:t>q</w:t>
            </w:r>
            <w:r w:rsidRPr="007E46C9">
              <w:rPr>
                <w:i/>
                <w:sz w:val="20"/>
              </w:rPr>
              <w:t xml:space="preserve"> </w:t>
            </w:r>
          </w:p>
        </w:tc>
        <w:tc>
          <w:tcPr>
            <w:tcW w:w="460" w:type="pct"/>
            <w:tcBorders>
              <w:top w:val="single" w:sz="4" w:space="0" w:color="auto"/>
              <w:left w:val="single" w:sz="4" w:space="0" w:color="auto"/>
              <w:bottom w:val="single" w:sz="4" w:space="0" w:color="auto"/>
              <w:right w:val="single" w:sz="4" w:space="0" w:color="auto"/>
            </w:tcBorders>
          </w:tcPr>
          <w:p w14:paraId="413DF524"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00F242D8" w14:textId="77777777" w:rsidR="008C5104" w:rsidRPr="007E46C9" w:rsidRDefault="008C5104" w:rsidP="008C5104">
            <w:pPr>
              <w:rPr>
                <w:sz w:val="20"/>
              </w:rPr>
            </w:pPr>
            <w:r w:rsidRPr="007E46C9">
              <w:rPr>
                <w:i/>
                <w:sz w:val="20"/>
              </w:rPr>
              <w:t>Procured Capacity for Non-Spin Service per QSE in DAM</w:t>
            </w:r>
            <w:r w:rsidRPr="007E46C9">
              <w:rPr>
                <w:sz w:val="20"/>
              </w:rPr>
              <w:t xml:space="preserve">—The total Non-Spin capacity quantity awarded to QSE </w:t>
            </w:r>
            <w:r w:rsidRPr="007E46C9">
              <w:rPr>
                <w:i/>
                <w:sz w:val="20"/>
              </w:rPr>
              <w:t>q</w:t>
            </w:r>
            <w:r w:rsidRPr="007E46C9">
              <w:rPr>
                <w:sz w:val="20"/>
              </w:rPr>
              <w:t xml:space="preserve"> in the DAM for all the Resources represented by the QSE</w:t>
            </w:r>
            <w:r w:rsidR="00EE4598" w:rsidRPr="007E46C9">
              <w:rPr>
                <w:iCs/>
                <w:sz w:val="20"/>
              </w:rPr>
              <w:t>,</w:t>
            </w:r>
            <w:r w:rsidRPr="007E46C9">
              <w:rPr>
                <w:sz w:val="20"/>
              </w:rPr>
              <w:t xml:space="preserve"> for the hour.</w:t>
            </w:r>
          </w:p>
        </w:tc>
      </w:tr>
      <w:tr w:rsidR="008C5104" w:rsidRPr="007E46C9" w14:paraId="30F53BA7" w14:textId="77777777" w:rsidTr="008C5104">
        <w:tc>
          <w:tcPr>
            <w:tcW w:w="849" w:type="pct"/>
            <w:tcBorders>
              <w:top w:val="single" w:sz="4" w:space="0" w:color="auto"/>
              <w:left w:val="single" w:sz="4" w:space="0" w:color="auto"/>
              <w:bottom w:val="single" w:sz="4" w:space="0" w:color="auto"/>
              <w:right w:val="single" w:sz="4" w:space="0" w:color="auto"/>
            </w:tcBorders>
          </w:tcPr>
          <w:p w14:paraId="01485D20" w14:textId="77777777" w:rsidR="008C5104" w:rsidRPr="007E46C9" w:rsidRDefault="008C5104" w:rsidP="008C5104">
            <w:pPr>
              <w:spacing w:after="60"/>
              <w:rPr>
                <w:iCs/>
                <w:sz w:val="20"/>
              </w:rPr>
            </w:pPr>
            <w:r w:rsidRPr="007E46C9">
              <w:rPr>
                <w:iCs/>
                <w:sz w:val="20"/>
              </w:rPr>
              <w:t xml:space="preserve">SANSQ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50295690"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CEAA628" w14:textId="77777777" w:rsidR="008C5104" w:rsidRPr="007E46C9" w:rsidRDefault="008C5104" w:rsidP="008C5104">
            <w:pPr>
              <w:spacing w:after="60"/>
              <w:rPr>
                <w:i/>
                <w:iCs/>
                <w:sz w:val="20"/>
              </w:rPr>
            </w:pPr>
            <w:r w:rsidRPr="007E46C9">
              <w:rPr>
                <w:i/>
                <w:iCs/>
                <w:sz w:val="20"/>
              </w:rPr>
              <w:t>Total Self-Arranged Non-Spin Supplied Quantity per QSE for all markets</w:t>
            </w:r>
            <w:r w:rsidRPr="007E46C9">
              <w:rPr>
                <w:iCs/>
                <w:sz w:val="20"/>
              </w:rPr>
              <w:t xml:space="preserve">—The sum of all self-arranged Non-Spin quantities submitted by QSE </w:t>
            </w:r>
            <w:r w:rsidRPr="007E46C9">
              <w:rPr>
                <w:i/>
                <w:iCs/>
                <w:sz w:val="20"/>
              </w:rPr>
              <w:t>q</w:t>
            </w:r>
            <w:r w:rsidRPr="007E46C9">
              <w:rPr>
                <w:iCs/>
                <w:sz w:val="20"/>
              </w:rPr>
              <w:t xml:space="preserve"> for DAM and all SASMs.</w:t>
            </w:r>
          </w:p>
        </w:tc>
      </w:tr>
      <w:tr w:rsidR="008C5104" w:rsidRPr="007E46C9" w14:paraId="78B7C80C" w14:textId="77777777" w:rsidTr="008C5104">
        <w:tc>
          <w:tcPr>
            <w:tcW w:w="849" w:type="pct"/>
            <w:tcBorders>
              <w:top w:val="single" w:sz="4" w:space="0" w:color="auto"/>
              <w:left w:val="single" w:sz="4" w:space="0" w:color="auto"/>
              <w:bottom w:val="single" w:sz="4" w:space="0" w:color="auto"/>
              <w:right w:val="single" w:sz="4" w:space="0" w:color="auto"/>
            </w:tcBorders>
          </w:tcPr>
          <w:p w14:paraId="4AFE3774" w14:textId="77777777" w:rsidR="008C5104" w:rsidRPr="007E46C9" w:rsidRDefault="008C5104" w:rsidP="008C5104">
            <w:pPr>
              <w:spacing w:after="60"/>
              <w:rPr>
                <w:i/>
                <w:sz w:val="20"/>
              </w:rPr>
            </w:pPr>
            <w:r w:rsidRPr="007E46C9">
              <w:rPr>
                <w:i/>
                <w:sz w:val="20"/>
              </w:rPr>
              <w:t>q</w:t>
            </w:r>
          </w:p>
        </w:tc>
        <w:tc>
          <w:tcPr>
            <w:tcW w:w="460" w:type="pct"/>
            <w:tcBorders>
              <w:top w:val="single" w:sz="4" w:space="0" w:color="auto"/>
              <w:left w:val="single" w:sz="4" w:space="0" w:color="auto"/>
              <w:bottom w:val="single" w:sz="4" w:space="0" w:color="auto"/>
              <w:right w:val="single" w:sz="4" w:space="0" w:color="auto"/>
            </w:tcBorders>
          </w:tcPr>
          <w:p w14:paraId="15A2496A" w14:textId="77777777" w:rsidR="008C5104" w:rsidRPr="007E46C9" w:rsidRDefault="008C5104" w:rsidP="008C5104">
            <w:pPr>
              <w:spacing w:after="60"/>
              <w:rPr>
                <w:sz w:val="20"/>
              </w:rPr>
            </w:pPr>
            <w:r w:rsidRPr="007E46C9">
              <w:rPr>
                <w:sz w:val="20"/>
              </w:rPr>
              <w:t>none</w:t>
            </w:r>
          </w:p>
        </w:tc>
        <w:tc>
          <w:tcPr>
            <w:tcW w:w="3691" w:type="pct"/>
            <w:tcBorders>
              <w:top w:val="single" w:sz="4" w:space="0" w:color="auto"/>
              <w:left w:val="single" w:sz="4" w:space="0" w:color="auto"/>
              <w:bottom w:val="single" w:sz="4" w:space="0" w:color="auto"/>
              <w:right w:val="single" w:sz="4" w:space="0" w:color="auto"/>
            </w:tcBorders>
          </w:tcPr>
          <w:p w14:paraId="0DE72D0B" w14:textId="77777777" w:rsidR="008C5104" w:rsidRPr="007E46C9" w:rsidRDefault="008C5104" w:rsidP="008C5104">
            <w:pPr>
              <w:spacing w:after="60"/>
              <w:rPr>
                <w:sz w:val="20"/>
              </w:rPr>
            </w:pPr>
            <w:r w:rsidRPr="007E46C9">
              <w:rPr>
                <w:sz w:val="20"/>
              </w:rPr>
              <w:t>A QSE.</w:t>
            </w:r>
          </w:p>
        </w:tc>
      </w:tr>
      <w:tr w:rsidR="008C5104" w:rsidRPr="007E46C9" w14:paraId="4C3AD089" w14:textId="77777777" w:rsidTr="008C5104">
        <w:tc>
          <w:tcPr>
            <w:tcW w:w="849" w:type="pct"/>
            <w:tcBorders>
              <w:top w:val="single" w:sz="4" w:space="0" w:color="auto"/>
              <w:left w:val="single" w:sz="4" w:space="0" w:color="auto"/>
              <w:bottom w:val="single" w:sz="4" w:space="0" w:color="auto"/>
              <w:right w:val="single" w:sz="4" w:space="0" w:color="auto"/>
            </w:tcBorders>
          </w:tcPr>
          <w:p w14:paraId="3D827862" w14:textId="77777777" w:rsidR="008C5104" w:rsidRPr="007E46C9" w:rsidRDefault="008C5104" w:rsidP="008C5104">
            <w:pPr>
              <w:spacing w:after="60"/>
              <w:rPr>
                <w:i/>
                <w:sz w:val="20"/>
              </w:rPr>
            </w:pPr>
            <w:r w:rsidRPr="007E46C9">
              <w:rPr>
                <w:i/>
                <w:sz w:val="20"/>
              </w:rPr>
              <w:t>m</w:t>
            </w:r>
          </w:p>
        </w:tc>
        <w:tc>
          <w:tcPr>
            <w:tcW w:w="460" w:type="pct"/>
            <w:tcBorders>
              <w:top w:val="single" w:sz="4" w:space="0" w:color="auto"/>
              <w:left w:val="single" w:sz="4" w:space="0" w:color="auto"/>
              <w:bottom w:val="single" w:sz="4" w:space="0" w:color="auto"/>
              <w:right w:val="single" w:sz="4" w:space="0" w:color="auto"/>
            </w:tcBorders>
          </w:tcPr>
          <w:p w14:paraId="5151238A" w14:textId="77777777" w:rsidR="008C5104" w:rsidRPr="007E46C9" w:rsidRDefault="008C5104" w:rsidP="008C5104">
            <w:pPr>
              <w:spacing w:after="60"/>
              <w:rPr>
                <w:sz w:val="20"/>
              </w:rPr>
            </w:pPr>
            <w:r w:rsidRPr="007E46C9">
              <w:rPr>
                <w:sz w:val="20"/>
              </w:rPr>
              <w:t>none</w:t>
            </w:r>
          </w:p>
        </w:tc>
        <w:tc>
          <w:tcPr>
            <w:tcW w:w="3691" w:type="pct"/>
            <w:tcBorders>
              <w:top w:val="single" w:sz="4" w:space="0" w:color="auto"/>
              <w:left w:val="single" w:sz="4" w:space="0" w:color="auto"/>
              <w:bottom w:val="single" w:sz="4" w:space="0" w:color="auto"/>
              <w:right w:val="single" w:sz="4" w:space="0" w:color="auto"/>
            </w:tcBorders>
          </w:tcPr>
          <w:p w14:paraId="30CD3A1A" w14:textId="77777777" w:rsidR="008C5104" w:rsidRPr="007E46C9" w:rsidRDefault="008C5104" w:rsidP="008C5104">
            <w:pPr>
              <w:spacing w:after="60"/>
              <w:rPr>
                <w:sz w:val="20"/>
              </w:rPr>
            </w:pPr>
            <w:r w:rsidRPr="007E46C9">
              <w:rPr>
                <w:sz w:val="20"/>
              </w:rPr>
              <w:t>An Ancillary Service market (SASM or RSASM) for the given Operating Hour.</w:t>
            </w:r>
          </w:p>
        </w:tc>
      </w:tr>
    </w:tbl>
    <w:p w14:paraId="075EF07D" w14:textId="77777777" w:rsidR="008C5104" w:rsidRPr="007E46C9" w:rsidRDefault="008C5104" w:rsidP="008C5104"/>
    <w:p w14:paraId="603CA148" w14:textId="77777777" w:rsidR="008C5104" w:rsidRPr="007E46C9" w:rsidRDefault="008C5104" w:rsidP="008C5104">
      <w:pPr>
        <w:spacing w:after="240"/>
        <w:ind w:left="1440" w:hanging="720"/>
      </w:pPr>
      <w:r w:rsidRPr="007E46C9">
        <w:lastRenderedPageBreak/>
        <w:t>(c)</w:t>
      </w:r>
      <w:r w:rsidRPr="007E46C9">
        <w:tab/>
        <w:t>The adjustment to each QSE’s DAM charge for the Non-Spin for the Operating Hour, due to changes during the Adjustment Period or Real-Time operations, is calculated as follows:</w:t>
      </w:r>
    </w:p>
    <w:p w14:paraId="11043800" w14:textId="77777777" w:rsidR="008C5104" w:rsidRPr="007E46C9" w:rsidRDefault="008C5104" w:rsidP="008C5104">
      <w:pPr>
        <w:spacing w:after="240"/>
        <w:ind w:left="2880" w:hanging="2160"/>
        <w:rPr>
          <w:b/>
          <w:bCs/>
          <w:lang w:val="pt-BR"/>
        </w:rPr>
      </w:pPr>
      <w:r w:rsidRPr="007E46C9">
        <w:rPr>
          <w:b/>
          <w:bCs/>
          <w:lang w:val="pt-BR"/>
        </w:rPr>
        <w:t xml:space="preserve">RTNSAMT </w:t>
      </w:r>
      <w:r w:rsidRPr="007E46C9">
        <w:rPr>
          <w:b/>
          <w:bCs/>
          <w:i/>
          <w:vertAlign w:val="subscript"/>
          <w:lang w:val="pt-BR"/>
        </w:rPr>
        <w:t>q</w:t>
      </w:r>
      <w:r w:rsidRPr="007E46C9">
        <w:rPr>
          <w:b/>
          <w:bCs/>
          <w:lang w:val="pt-BR"/>
        </w:rPr>
        <w:tab/>
        <w:t>=</w:t>
      </w:r>
      <w:r w:rsidRPr="007E46C9">
        <w:rPr>
          <w:b/>
          <w:bCs/>
          <w:lang w:val="pt-BR"/>
        </w:rPr>
        <w:tab/>
        <w:t xml:space="preserve">NSCOST </w:t>
      </w:r>
      <w:r w:rsidRPr="007E46C9">
        <w:rPr>
          <w:b/>
          <w:bCs/>
          <w:i/>
          <w:vertAlign w:val="subscript"/>
          <w:lang w:val="pt-BR"/>
        </w:rPr>
        <w:t>q</w:t>
      </w:r>
      <w:r w:rsidRPr="007E46C9">
        <w:rPr>
          <w:b/>
          <w:bCs/>
          <w:lang w:val="pt-BR"/>
        </w:rPr>
        <w:t xml:space="preserve"> – DANSAMT </w:t>
      </w:r>
      <w:r w:rsidRPr="007E46C9">
        <w:rPr>
          <w:b/>
          <w:bCs/>
          <w:i/>
          <w:vertAlign w:val="subscript"/>
          <w:lang w:val="pt-BR"/>
        </w:rPr>
        <w:t>q</w:t>
      </w:r>
    </w:p>
    <w:p w14:paraId="69E5209A" w14:textId="77777777" w:rsidR="008C5104" w:rsidRPr="007E46C9" w:rsidRDefault="008C5104" w:rsidP="008C5104">
      <w:r w:rsidRPr="007E46C9">
        <w:t>The above variables are defined as follows:</w:t>
      </w:r>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876"/>
        <w:gridCol w:w="7021"/>
      </w:tblGrid>
      <w:tr w:rsidR="008C5104" w:rsidRPr="007E46C9" w14:paraId="255E0182" w14:textId="77777777" w:rsidTr="006E1ADE">
        <w:tc>
          <w:tcPr>
            <w:tcW w:w="824" w:type="pct"/>
          </w:tcPr>
          <w:p w14:paraId="1620B486" w14:textId="77777777" w:rsidR="008C5104" w:rsidRPr="007E46C9" w:rsidRDefault="008C5104" w:rsidP="008C5104">
            <w:pPr>
              <w:spacing w:after="120"/>
              <w:rPr>
                <w:b/>
                <w:iCs/>
                <w:sz w:val="20"/>
              </w:rPr>
            </w:pPr>
            <w:r w:rsidRPr="007E46C9">
              <w:rPr>
                <w:b/>
                <w:iCs/>
                <w:sz w:val="20"/>
              </w:rPr>
              <w:t>Variable</w:t>
            </w:r>
          </w:p>
        </w:tc>
        <w:tc>
          <w:tcPr>
            <w:tcW w:w="463" w:type="pct"/>
          </w:tcPr>
          <w:p w14:paraId="7FBA46D4" w14:textId="77777777" w:rsidR="008C5104" w:rsidRPr="007E46C9" w:rsidRDefault="008C5104" w:rsidP="008C5104">
            <w:pPr>
              <w:spacing w:after="120"/>
              <w:rPr>
                <w:b/>
                <w:iCs/>
                <w:sz w:val="20"/>
              </w:rPr>
            </w:pPr>
            <w:r w:rsidRPr="007E46C9">
              <w:rPr>
                <w:b/>
                <w:iCs/>
                <w:sz w:val="20"/>
              </w:rPr>
              <w:t>Unit</w:t>
            </w:r>
          </w:p>
        </w:tc>
        <w:tc>
          <w:tcPr>
            <w:tcW w:w="3713" w:type="pct"/>
          </w:tcPr>
          <w:p w14:paraId="283C1E2A" w14:textId="77777777" w:rsidR="008C5104" w:rsidRPr="007E46C9" w:rsidRDefault="008C5104" w:rsidP="008C5104">
            <w:pPr>
              <w:spacing w:after="120"/>
              <w:rPr>
                <w:b/>
                <w:iCs/>
                <w:sz w:val="20"/>
              </w:rPr>
            </w:pPr>
            <w:r w:rsidRPr="007E46C9">
              <w:rPr>
                <w:b/>
                <w:iCs/>
                <w:sz w:val="20"/>
              </w:rPr>
              <w:t>Description</w:t>
            </w:r>
          </w:p>
        </w:tc>
      </w:tr>
      <w:tr w:rsidR="008C5104" w:rsidRPr="007E46C9" w14:paraId="6FC6BDE0" w14:textId="77777777" w:rsidTr="006E1ADE">
        <w:tc>
          <w:tcPr>
            <w:tcW w:w="824" w:type="pct"/>
          </w:tcPr>
          <w:p w14:paraId="226CA04F" w14:textId="77777777" w:rsidR="008C5104" w:rsidRPr="007E46C9" w:rsidRDefault="008C5104" w:rsidP="008C5104">
            <w:pPr>
              <w:spacing w:after="60"/>
              <w:rPr>
                <w:iCs/>
                <w:sz w:val="20"/>
              </w:rPr>
            </w:pPr>
            <w:r w:rsidRPr="007E46C9">
              <w:rPr>
                <w:iCs/>
                <w:sz w:val="20"/>
              </w:rPr>
              <w:t xml:space="preserve">RTNSAMT </w:t>
            </w:r>
            <w:r w:rsidRPr="007E46C9">
              <w:rPr>
                <w:i/>
                <w:iCs/>
                <w:sz w:val="20"/>
                <w:vertAlign w:val="subscript"/>
              </w:rPr>
              <w:t>q</w:t>
            </w:r>
          </w:p>
        </w:tc>
        <w:tc>
          <w:tcPr>
            <w:tcW w:w="463" w:type="pct"/>
          </w:tcPr>
          <w:p w14:paraId="3C4EC680" w14:textId="77777777" w:rsidR="008C5104" w:rsidRPr="007E46C9" w:rsidRDefault="008C5104" w:rsidP="008C5104">
            <w:pPr>
              <w:spacing w:after="60"/>
              <w:rPr>
                <w:iCs/>
                <w:sz w:val="20"/>
              </w:rPr>
            </w:pPr>
            <w:r w:rsidRPr="007E46C9">
              <w:rPr>
                <w:iCs/>
                <w:sz w:val="20"/>
              </w:rPr>
              <w:t>$</w:t>
            </w:r>
          </w:p>
        </w:tc>
        <w:tc>
          <w:tcPr>
            <w:tcW w:w="3713" w:type="pct"/>
          </w:tcPr>
          <w:p w14:paraId="3521E123" w14:textId="77777777" w:rsidR="008C5104" w:rsidRPr="007E46C9" w:rsidRDefault="008C5104" w:rsidP="008C5104">
            <w:pPr>
              <w:spacing w:after="60"/>
              <w:rPr>
                <w:iCs/>
                <w:sz w:val="20"/>
              </w:rPr>
            </w:pPr>
            <w:r w:rsidRPr="007E46C9">
              <w:rPr>
                <w:i/>
                <w:iCs/>
                <w:sz w:val="20"/>
              </w:rPr>
              <w:t>Real-Time Non-Spin Amount per QSE</w:t>
            </w:r>
            <w:r w:rsidRPr="007E46C9">
              <w:rPr>
                <w:iCs/>
                <w:sz w:val="20"/>
              </w:rPr>
              <w:t xml:space="preserve">—The adjustment to QSE </w:t>
            </w:r>
            <w:r w:rsidRPr="007E46C9">
              <w:rPr>
                <w:i/>
                <w:iCs/>
                <w:sz w:val="20"/>
              </w:rPr>
              <w:t>q</w:t>
            </w:r>
            <w:r w:rsidRPr="007E46C9">
              <w:rPr>
                <w:iCs/>
                <w:sz w:val="20"/>
              </w:rPr>
              <w:t>’s share of the costs for Non-Spin, for the hour.</w:t>
            </w:r>
          </w:p>
        </w:tc>
      </w:tr>
      <w:tr w:rsidR="008C5104" w:rsidRPr="007E46C9" w14:paraId="5857C4CE" w14:textId="77777777" w:rsidTr="006E1ADE">
        <w:tc>
          <w:tcPr>
            <w:tcW w:w="824" w:type="pct"/>
          </w:tcPr>
          <w:p w14:paraId="366F2320" w14:textId="77777777" w:rsidR="008C5104" w:rsidRPr="007E46C9" w:rsidRDefault="008C5104" w:rsidP="008C5104">
            <w:pPr>
              <w:spacing w:after="60"/>
              <w:rPr>
                <w:iCs/>
                <w:sz w:val="20"/>
              </w:rPr>
            </w:pPr>
            <w:r w:rsidRPr="007E46C9">
              <w:rPr>
                <w:iCs/>
                <w:sz w:val="20"/>
              </w:rPr>
              <w:t xml:space="preserve">NSCOST </w:t>
            </w:r>
            <w:r w:rsidRPr="007E46C9">
              <w:rPr>
                <w:i/>
                <w:iCs/>
                <w:sz w:val="20"/>
                <w:vertAlign w:val="subscript"/>
              </w:rPr>
              <w:t>q</w:t>
            </w:r>
          </w:p>
        </w:tc>
        <w:tc>
          <w:tcPr>
            <w:tcW w:w="463" w:type="pct"/>
          </w:tcPr>
          <w:p w14:paraId="60A35A11" w14:textId="77777777" w:rsidR="008C5104" w:rsidRPr="007E46C9" w:rsidRDefault="008C5104" w:rsidP="008C5104">
            <w:pPr>
              <w:spacing w:after="60"/>
              <w:rPr>
                <w:iCs/>
                <w:sz w:val="20"/>
              </w:rPr>
            </w:pPr>
            <w:r w:rsidRPr="007E46C9">
              <w:rPr>
                <w:iCs/>
                <w:sz w:val="20"/>
              </w:rPr>
              <w:t>$</w:t>
            </w:r>
          </w:p>
        </w:tc>
        <w:tc>
          <w:tcPr>
            <w:tcW w:w="3713" w:type="pct"/>
          </w:tcPr>
          <w:p w14:paraId="75C3170A" w14:textId="77777777" w:rsidR="008C5104" w:rsidRPr="007E46C9" w:rsidRDefault="008C5104" w:rsidP="008C5104">
            <w:pPr>
              <w:spacing w:after="60"/>
              <w:rPr>
                <w:iCs/>
                <w:sz w:val="20"/>
              </w:rPr>
            </w:pPr>
            <w:r w:rsidRPr="007E46C9">
              <w:rPr>
                <w:i/>
                <w:iCs/>
                <w:sz w:val="20"/>
              </w:rPr>
              <w:t>Non-Spin Cost per QSE</w:t>
            </w:r>
            <w:r w:rsidRPr="007E46C9">
              <w:rPr>
                <w:iCs/>
                <w:sz w:val="20"/>
              </w:rPr>
              <w:t xml:space="preserve">—QSE </w:t>
            </w:r>
            <w:r w:rsidRPr="007E46C9">
              <w:rPr>
                <w:i/>
                <w:iCs/>
                <w:sz w:val="20"/>
              </w:rPr>
              <w:t>q</w:t>
            </w:r>
            <w:r w:rsidRPr="007E46C9">
              <w:rPr>
                <w:iCs/>
                <w:sz w:val="20"/>
              </w:rPr>
              <w:t>’s share of the net total costs for Non-Spin, for the hour.</w:t>
            </w:r>
          </w:p>
        </w:tc>
      </w:tr>
      <w:tr w:rsidR="008C5104" w:rsidRPr="007E46C9" w14:paraId="556F0B20" w14:textId="77777777" w:rsidTr="006E1ADE">
        <w:tc>
          <w:tcPr>
            <w:tcW w:w="824" w:type="pct"/>
          </w:tcPr>
          <w:p w14:paraId="3A25FB83" w14:textId="77777777" w:rsidR="008C5104" w:rsidRPr="007E46C9" w:rsidRDefault="008C5104" w:rsidP="008C5104">
            <w:pPr>
              <w:spacing w:after="60"/>
              <w:rPr>
                <w:iCs/>
                <w:sz w:val="20"/>
              </w:rPr>
            </w:pPr>
            <w:r w:rsidRPr="007E46C9">
              <w:rPr>
                <w:iCs/>
                <w:sz w:val="20"/>
              </w:rPr>
              <w:t xml:space="preserve">DANSAMT </w:t>
            </w:r>
            <w:r w:rsidRPr="007E46C9">
              <w:rPr>
                <w:i/>
                <w:iCs/>
                <w:sz w:val="20"/>
                <w:vertAlign w:val="subscript"/>
              </w:rPr>
              <w:t>q</w:t>
            </w:r>
          </w:p>
        </w:tc>
        <w:tc>
          <w:tcPr>
            <w:tcW w:w="463" w:type="pct"/>
          </w:tcPr>
          <w:p w14:paraId="5E2EA0E9" w14:textId="77777777" w:rsidR="008C5104" w:rsidRPr="007E46C9" w:rsidRDefault="008C5104" w:rsidP="008C5104">
            <w:pPr>
              <w:spacing w:after="60"/>
              <w:rPr>
                <w:iCs/>
                <w:sz w:val="20"/>
              </w:rPr>
            </w:pPr>
            <w:r w:rsidRPr="007E46C9">
              <w:rPr>
                <w:iCs/>
                <w:sz w:val="20"/>
              </w:rPr>
              <w:t>$</w:t>
            </w:r>
          </w:p>
        </w:tc>
        <w:tc>
          <w:tcPr>
            <w:tcW w:w="3713" w:type="pct"/>
          </w:tcPr>
          <w:p w14:paraId="3DE0000F" w14:textId="77777777" w:rsidR="008C5104" w:rsidRPr="007E46C9" w:rsidRDefault="008C5104" w:rsidP="008C5104">
            <w:pPr>
              <w:spacing w:after="60"/>
              <w:rPr>
                <w:iCs/>
                <w:sz w:val="20"/>
              </w:rPr>
            </w:pPr>
            <w:r w:rsidRPr="007E46C9">
              <w:rPr>
                <w:i/>
                <w:iCs/>
                <w:sz w:val="20"/>
              </w:rPr>
              <w:t>Day-Ahead Non-Spin Amount per QSE</w:t>
            </w:r>
            <w:r w:rsidRPr="007E46C9">
              <w:rPr>
                <w:iCs/>
                <w:sz w:val="20"/>
              </w:rPr>
              <w:t xml:space="preserve">—QSE </w:t>
            </w:r>
            <w:r w:rsidRPr="007E46C9">
              <w:rPr>
                <w:i/>
                <w:iCs/>
                <w:sz w:val="20"/>
              </w:rPr>
              <w:t>q</w:t>
            </w:r>
            <w:r w:rsidRPr="007E46C9">
              <w:rPr>
                <w:iCs/>
                <w:sz w:val="20"/>
              </w:rPr>
              <w:t>’s share of the DAM cost for Non-Spin, for the hour.</w:t>
            </w:r>
          </w:p>
        </w:tc>
      </w:tr>
      <w:tr w:rsidR="008C5104" w:rsidRPr="007E46C9" w14:paraId="6CB5B95F" w14:textId="77777777" w:rsidTr="006E1ADE">
        <w:tc>
          <w:tcPr>
            <w:tcW w:w="824" w:type="pct"/>
            <w:tcBorders>
              <w:top w:val="single" w:sz="4" w:space="0" w:color="auto"/>
              <w:left w:val="single" w:sz="4" w:space="0" w:color="auto"/>
              <w:bottom w:val="single" w:sz="4" w:space="0" w:color="auto"/>
              <w:right w:val="single" w:sz="4" w:space="0" w:color="auto"/>
            </w:tcBorders>
          </w:tcPr>
          <w:p w14:paraId="200AB600" w14:textId="77777777" w:rsidR="008C5104" w:rsidRPr="007E46C9" w:rsidRDefault="008C5104" w:rsidP="008C5104">
            <w:pPr>
              <w:spacing w:after="60"/>
              <w:rPr>
                <w:i/>
                <w:iCs/>
                <w:sz w:val="20"/>
              </w:rPr>
            </w:pPr>
            <w:r w:rsidRPr="007E46C9">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55F4DCA4" w14:textId="77777777" w:rsidR="008C5104" w:rsidRPr="007E46C9" w:rsidRDefault="008C5104" w:rsidP="008C5104">
            <w:pPr>
              <w:spacing w:after="60"/>
              <w:rPr>
                <w:iCs/>
                <w:sz w:val="20"/>
              </w:rPr>
            </w:pPr>
            <w:r w:rsidRPr="007E46C9">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2DC153B9" w14:textId="77777777" w:rsidR="008C5104" w:rsidRPr="007E46C9" w:rsidRDefault="008C5104" w:rsidP="008C5104">
            <w:pPr>
              <w:spacing w:after="60"/>
              <w:rPr>
                <w:iCs/>
                <w:sz w:val="20"/>
              </w:rPr>
            </w:pPr>
            <w:r w:rsidRPr="007E46C9">
              <w:rPr>
                <w:iCs/>
                <w:sz w:val="20"/>
              </w:rPr>
              <w:t>A QSE.</w:t>
            </w:r>
          </w:p>
        </w:tc>
      </w:tr>
    </w:tbl>
    <w:p w14:paraId="2078A8BA" w14:textId="18005F2D" w:rsidR="006E1ADE" w:rsidRPr="0003648D" w:rsidRDefault="006E1ADE" w:rsidP="006E1ADE">
      <w:pPr>
        <w:spacing w:before="240" w:after="240"/>
        <w:ind w:left="720" w:hanging="720"/>
        <w:rPr>
          <w:iCs/>
        </w:rPr>
      </w:pPr>
      <w:bookmarkStart w:id="2740" w:name="_Hlk135905291"/>
      <w:r w:rsidRPr="0003648D">
        <w:rPr>
          <w:iCs/>
        </w:rPr>
        <w:t>(</w:t>
      </w:r>
      <w:r>
        <w:rPr>
          <w:iCs/>
        </w:rPr>
        <w:t>6</w:t>
      </w:r>
      <w:r w:rsidRPr="0003648D">
        <w:rPr>
          <w:iCs/>
        </w:rPr>
        <w:t>)</w:t>
      </w:r>
      <w:r w:rsidRPr="0003648D">
        <w:rPr>
          <w:iCs/>
        </w:rPr>
        <w:tab/>
        <w:t xml:space="preserve">For </w:t>
      </w:r>
      <w:r>
        <w:rPr>
          <w:iCs/>
        </w:rPr>
        <w:t>ECRS</w:t>
      </w:r>
      <w:r w:rsidRPr="0003648D">
        <w:rPr>
          <w:iCs/>
        </w:rPr>
        <w:t>, if applicable:</w:t>
      </w:r>
    </w:p>
    <w:p w14:paraId="4FEDA922" w14:textId="77777777" w:rsidR="006E1ADE" w:rsidRPr="0003648D" w:rsidRDefault="006E1ADE" w:rsidP="006E1ADE">
      <w:pPr>
        <w:spacing w:after="240"/>
        <w:ind w:left="1440" w:hanging="720"/>
      </w:pPr>
      <w:r w:rsidRPr="0003648D">
        <w:t>(a)</w:t>
      </w:r>
      <w:r w:rsidRPr="0003648D">
        <w:tab/>
        <w:t xml:space="preserve">The net total costs for </w:t>
      </w:r>
      <w:r>
        <w:t>ECRS</w:t>
      </w:r>
      <w:r w:rsidRPr="0003648D">
        <w:t xml:space="preserve"> for a given Operating Hour is calculated as follows:</w:t>
      </w:r>
    </w:p>
    <w:p w14:paraId="6B7E54B7" w14:textId="3A31E61B" w:rsidR="006E1ADE" w:rsidRPr="0003648D" w:rsidRDefault="006E1ADE" w:rsidP="006E1ADE">
      <w:pPr>
        <w:spacing w:after="120"/>
        <w:ind w:left="3600" w:hanging="2880"/>
        <w:rPr>
          <w:b/>
          <w:bCs/>
        </w:rPr>
      </w:pPr>
      <w:r>
        <w:rPr>
          <w:b/>
          <w:bCs/>
        </w:rPr>
        <w:t>EC</w:t>
      </w:r>
      <w:r w:rsidRPr="0003648D">
        <w:rPr>
          <w:b/>
          <w:bCs/>
        </w:rPr>
        <w:t>RCOSTTOT</w:t>
      </w:r>
      <w:r w:rsidRPr="0003648D">
        <w:rPr>
          <w:b/>
          <w:bCs/>
        </w:rPr>
        <w:tab/>
        <w:t>=</w:t>
      </w:r>
      <w:r w:rsidRPr="0003648D">
        <w:rPr>
          <w:b/>
          <w:bCs/>
        </w:rPr>
        <w:tab/>
        <w:t>(-1) * (</w:t>
      </w:r>
      <w:r>
        <w:rPr>
          <w:b/>
          <w:noProof/>
          <w:position w:val="-20"/>
        </w:rPr>
        <w:drawing>
          <wp:inline distT="0" distB="0" distL="0" distR="0" wp14:anchorId="03923C7E" wp14:editId="51C97F9F">
            <wp:extent cx="142875" cy="276225"/>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
          <w:bCs/>
        </w:rPr>
        <w:t>(RTPC</w:t>
      </w:r>
      <w:r>
        <w:rPr>
          <w:b/>
          <w:bCs/>
        </w:rPr>
        <w:t>EC</w:t>
      </w:r>
      <w:r w:rsidRPr="0003648D">
        <w:rPr>
          <w:b/>
          <w:bCs/>
        </w:rPr>
        <w:t xml:space="preserve">RAMTTOT </w:t>
      </w:r>
      <w:r w:rsidRPr="0003648D">
        <w:rPr>
          <w:b/>
          <w:bCs/>
          <w:i/>
          <w:vertAlign w:val="subscript"/>
        </w:rPr>
        <w:t>m</w:t>
      </w:r>
      <w:r w:rsidRPr="0003648D">
        <w:rPr>
          <w:rFonts w:ascii="Times New Roman Bold" w:hAnsi="Times New Roman Bold"/>
          <w:b/>
          <w:bCs/>
        </w:rPr>
        <w:t>)</w:t>
      </w:r>
      <w:r w:rsidRPr="0003648D">
        <w:rPr>
          <w:b/>
          <w:bCs/>
        </w:rPr>
        <w:t xml:space="preserve"> +    </w:t>
      </w:r>
      <w:r w:rsidRPr="0003648D">
        <w:rPr>
          <w:b/>
          <w:bCs/>
        </w:rPr>
        <w:tab/>
        <w:t>PC</w:t>
      </w:r>
      <w:r>
        <w:rPr>
          <w:b/>
          <w:bCs/>
        </w:rPr>
        <w:t>EC</w:t>
      </w:r>
      <w:r w:rsidRPr="0003648D">
        <w:rPr>
          <w:b/>
          <w:bCs/>
        </w:rPr>
        <w:t xml:space="preserve">RAMTTOT  + </w:t>
      </w:r>
      <w:r>
        <w:rPr>
          <w:b/>
          <w:bCs/>
        </w:rPr>
        <w:t>EC</w:t>
      </w:r>
      <w:r w:rsidRPr="0003648D">
        <w:rPr>
          <w:b/>
          <w:bCs/>
        </w:rPr>
        <w:t xml:space="preserve">RFQAMTTOT + </w:t>
      </w:r>
    </w:p>
    <w:p w14:paraId="6884E8BD" w14:textId="77777777" w:rsidR="006E1ADE" w:rsidRPr="0003648D" w:rsidRDefault="006E1ADE" w:rsidP="006E1ADE">
      <w:pPr>
        <w:spacing w:after="240"/>
        <w:ind w:left="3600" w:firstLine="720"/>
        <w:rPr>
          <w:b/>
          <w:bCs/>
        </w:rPr>
      </w:pPr>
      <w:r>
        <w:rPr>
          <w:b/>
          <w:bCs/>
        </w:rPr>
        <w:t>EC</w:t>
      </w:r>
      <w:r w:rsidRPr="0003648D">
        <w:rPr>
          <w:b/>
          <w:bCs/>
        </w:rPr>
        <w:t>RINFQAMTTOT)</w:t>
      </w:r>
    </w:p>
    <w:p w14:paraId="4DE18907" w14:textId="77777777" w:rsidR="006E1ADE" w:rsidRPr="0003648D" w:rsidRDefault="006E1ADE" w:rsidP="006E1ADE">
      <w:pPr>
        <w:spacing w:after="240"/>
        <w:rPr>
          <w:iCs/>
        </w:rPr>
      </w:pPr>
      <w:r w:rsidRPr="0003648D">
        <w:rPr>
          <w:iCs/>
        </w:rPr>
        <w:t xml:space="preserve">Where: </w:t>
      </w:r>
    </w:p>
    <w:p w14:paraId="6052C0BC" w14:textId="77777777" w:rsidR="006E1ADE" w:rsidRPr="0003648D" w:rsidRDefault="006E1ADE" w:rsidP="006E1ADE">
      <w:r w:rsidRPr="0003648D">
        <w:t xml:space="preserve">Total payment of SASM- and RSASM-procured capacity for </w:t>
      </w:r>
      <w:r>
        <w:t>ECRS</w:t>
      </w:r>
      <w:r w:rsidRPr="0003648D">
        <w:t xml:space="preserve"> by market</w:t>
      </w:r>
    </w:p>
    <w:p w14:paraId="61B8DB6A" w14:textId="68E6DC36" w:rsidR="006E1ADE" w:rsidRPr="0003648D" w:rsidRDefault="006E1ADE" w:rsidP="006E1ADE">
      <w:pPr>
        <w:spacing w:after="240"/>
        <w:ind w:leftChars="300" w:left="2880" w:hangingChars="900" w:hanging="2160"/>
        <w:rPr>
          <w:bCs/>
          <w:i/>
          <w:vertAlign w:val="subscript"/>
        </w:rPr>
      </w:pPr>
      <w:r w:rsidRPr="0003648D">
        <w:rPr>
          <w:bCs/>
        </w:rPr>
        <w:t>RTPC</w:t>
      </w:r>
      <w:r>
        <w:rPr>
          <w:bCs/>
        </w:rPr>
        <w:t>EC</w:t>
      </w:r>
      <w:r w:rsidRPr="0003648D">
        <w:rPr>
          <w:bCs/>
        </w:rPr>
        <w:t xml:space="preserve">RAMTTOT </w:t>
      </w:r>
      <w:r w:rsidRPr="0003648D">
        <w:rPr>
          <w:bCs/>
          <w:i/>
          <w:vertAlign w:val="subscript"/>
        </w:rPr>
        <w:t>m</w:t>
      </w:r>
      <w:r w:rsidRPr="0003648D">
        <w:rPr>
          <w:bCs/>
        </w:rPr>
        <w:tab/>
      </w:r>
      <w:r w:rsidRPr="0003648D">
        <w:rPr>
          <w:bCs/>
        </w:rPr>
        <w:tab/>
        <w:t>=</w:t>
      </w:r>
      <w:r w:rsidRPr="0003648D">
        <w:rPr>
          <w:bCs/>
        </w:rPr>
        <w:tab/>
      </w:r>
      <w:r>
        <w:rPr>
          <w:noProof/>
          <w:position w:val="-22"/>
        </w:rPr>
        <w:drawing>
          <wp:inline distT="0" distB="0" distL="0" distR="0" wp14:anchorId="1C275B1C" wp14:editId="1C4046BF">
            <wp:extent cx="142875" cy="29527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RTPC</w:t>
      </w:r>
      <w:r>
        <w:rPr>
          <w:bCs/>
        </w:rPr>
        <w:t>EC</w:t>
      </w:r>
      <w:r w:rsidRPr="0003648D">
        <w:rPr>
          <w:bCs/>
        </w:rPr>
        <w:t xml:space="preserve">RAMT </w:t>
      </w:r>
      <w:r w:rsidRPr="0003648D">
        <w:rPr>
          <w:bCs/>
          <w:i/>
          <w:vertAlign w:val="subscript"/>
        </w:rPr>
        <w:t>q, m</w:t>
      </w:r>
    </w:p>
    <w:p w14:paraId="0BC659A9" w14:textId="77777777" w:rsidR="006E1ADE" w:rsidRPr="0003648D" w:rsidRDefault="006E1ADE" w:rsidP="006E1ADE">
      <w:r w:rsidRPr="0003648D">
        <w:t xml:space="preserve">Total payment of DAM-procured capacity for </w:t>
      </w:r>
      <w:r>
        <w:t>ECRS</w:t>
      </w:r>
    </w:p>
    <w:p w14:paraId="536A6E4D" w14:textId="18100790" w:rsidR="006E1ADE" w:rsidRPr="0003648D" w:rsidRDefault="006E1ADE" w:rsidP="006E1ADE">
      <w:pPr>
        <w:spacing w:after="240"/>
        <w:ind w:leftChars="300" w:left="2880" w:hangingChars="900" w:hanging="2160"/>
        <w:rPr>
          <w:bCs/>
        </w:rPr>
      </w:pPr>
      <w:r w:rsidRPr="0003648D">
        <w:rPr>
          <w:bCs/>
        </w:rPr>
        <w:t>PC</w:t>
      </w:r>
      <w:r>
        <w:rPr>
          <w:bCs/>
        </w:rPr>
        <w:t>EC</w:t>
      </w:r>
      <w:r w:rsidRPr="0003648D">
        <w:rPr>
          <w:bCs/>
        </w:rPr>
        <w:t>RAMTTOT</w:t>
      </w:r>
      <w:r w:rsidRPr="0003648D">
        <w:rPr>
          <w:bCs/>
          <w:i/>
          <w:vertAlign w:val="subscript"/>
        </w:rPr>
        <w:tab/>
      </w:r>
      <w:r w:rsidRPr="0003648D">
        <w:rPr>
          <w:bCs/>
          <w:i/>
          <w:vertAlign w:val="subscript"/>
        </w:rPr>
        <w:tab/>
      </w:r>
      <w:r w:rsidRPr="0003648D">
        <w:rPr>
          <w:bCs/>
        </w:rPr>
        <w:t>=</w:t>
      </w:r>
      <w:r w:rsidRPr="0003648D">
        <w:rPr>
          <w:bCs/>
        </w:rPr>
        <w:tab/>
      </w:r>
      <w:r>
        <w:rPr>
          <w:noProof/>
          <w:position w:val="-22"/>
        </w:rPr>
        <w:drawing>
          <wp:inline distT="0" distB="0" distL="0" distR="0" wp14:anchorId="2CDEF087" wp14:editId="79ADB545">
            <wp:extent cx="142875" cy="29527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PC</w:t>
      </w:r>
      <w:r>
        <w:rPr>
          <w:bCs/>
        </w:rPr>
        <w:t>EC</w:t>
      </w:r>
      <w:r w:rsidRPr="0003648D">
        <w:rPr>
          <w:bCs/>
        </w:rPr>
        <w:t xml:space="preserve">RAMT </w:t>
      </w:r>
      <w:r w:rsidRPr="0003648D">
        <w:rPr>
          <w:bCs/>
          <w:i/>
          <w:vertAlign w:val="subscript"/>
        </w:rPr>
        <w:t>q</w:t>
      </w:r>
    </w:p>
    <w:p w14:paraId="35166BDF" w14:textId="77777777" w:rsidR="006E1ADE" w:rsidRPr="0003648D" w:rsidRDefault="006E1ADE" w:rsidP="006E1ADE">
      <w:r w:rsidRPr="0003648D">
        <w:t xml:space="preserve">Total charge of failure on Ancillary Service Supply Responsibility for </w:t>
      </w:r>
      <w:r>
        <w:t>ECRS</w:t>
      </w:r>
    </w:p>
    <w:p w14:paraId="38351311" w14:textId="0F36E61D" w:rsidR="006E1ADE" w:rsidRPr="0003648D" w:rsidRDefault="006E1ADE" w:rsidP="006E1ADE">
      <w:pPr>
        <w:spacing w:after="240"/>
        <w:ind w:leftChars="300" w:left="2880" w:hangingChars="900" w:hanging="2160"/>
        <w:rPr>
          <w:bCs/>
          <w:i/>
          <w:vertAlign w:val="subscript"/>
        </w:rPr>
      </w:pPr>
      <w:r>
        <w:rPr>
          <w:bCs/>
        </w:rPr>
        <w:t>EC</w:t>
      </w:r>
      <w:r w:rsidRPr="0003648D">
        <w:rPr>
          <w:bCs/>
        </w:rPr>
        <w:t>RFQAMTTOT</w:t>
      </w:r>
      <w:r w:rsidRPr="0003648D">
        <w:rPr>
          <w:bCs/>
        </w:rPr>
        <w:tab/>
      </w:r>
      <w:r w:rsidRPr="0003648D">
        <w:rPr>
          <w:bCs/>
        </w:rPr>
        <w:tab/>
        <w:t>=</w:t>
      </w:r>
      <w:r w:rsidRPr="0003648D">
        <w:rPr>
          <w:bCs/>
        </w:rPr>
        <w:tab/>
      </w:r>
      <w:r>
        <w:rPr>
          <w:noProof/>
          <w:position w:val="-22"/>
        </w:rPr>
        <w:drawing>
          <wp:inline distT="0" distB="0" distL="0" distR="0" wp14:anchorId="7FBE3D16" wp14:editId="2CF35CAB">
            <wp:extent cx="142875" cy="29527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Pr>
          <w:bCs/>
        </w:rPr>
        <w:t>EC</w:t>
      </w:r>
      <w:r w:rsidRPr="0003648D">
        <w:rPr>
          <w:bCs/>
        </w:rPr>
        <w:t xml:space="preserve">RFQAMTQSETOT </w:t>
      </w:r>
      <w:r w:rsidRPr="0003648D">
        <w:rPr>
          <w:bCs/>
          <w:i/>
          <w:vertAlign w:val="subscript"/>
        </w:rPr>
        <w:t>q</w:t>
      </w:r>
    </w:p>
    <w:p w14:paraId="672950D6" w14:textId="77777777" w:rsidR="006E1ADE" w:rsidRPr="0003648D" w:rsidRDefault="006E1ADE" w:rsidP="006E1ADE">
      <w:pPr>
        <w:ind w:left="300" w:hangingChars="125" w:hanging="300"/>
        <w:rPr>
          <w:bCs/>
        </w:rPr>
      </w:pPr>
      <w:r w:rsidRPr="0003648D">
        <w:rPr>
          <w:bCs/>
        </w:rPr>
        <w:t xml:space="preserve">Total payment of SASM- and RSASM-procured capacity </w:t>
      </w:r>
      <w:r>
        <w:rPr>
          <w:bCs/>
        </w:rPr>
        <w:t>ECRS</w:t>
      </w:r>
      <w:r w:rsidRPr="0003648D">
        <w:rPr>
          <w:bCs/>
        </w:rPr>
        <w:t xml:space="preserve"> Service by QSE</w:t>
      </w:r>
    </w:p>
    <w:p w14:paraId="370EFD88" w14:textId="6ECF7718" w:rsidR="006E1ADE" w:rsidRPr="0003648D" w:rsidRDefault="006E1ADE" w:rsidP="006E1ADE">
      <w:pPr>
        <w:spacing w:after="240"/>
        <w:ind w:leftChars="300" w:left="2880" w:hangingChars="900" w:hanging="2160"/>
        <w:rPr>
          <w:bCs/>
          <w:i/>
          <w:vertAlign w:val="subscript"/>
        </w:rPr>
      </w:pPr>
      <w:r w:rsidRPr="0003648D">
        <w:rPr>
          <w:bCs/>
        </w:rPr>
        <w:t>RTPC</w:t>
      </w:r>
      <w:r>
        <w:rPr>
          <w:bCs/>
        </w:rPr>
        <w:t>EC</w:t>
      </w:r>
      <w:r w:rsidRPr="0003648D">
        <w:rPr>
          <w:bCs/>
        </w:rPr>
        <w:t xml:space="preserve">RAMTQSETOT </w:t>
      </w:r>
      <w:r w:rsidRPr="0003648D">
        <w:rPr>
          <w:bCs/>
          <w:i/>
          <w:vertAlign w:val="subscript"/>
        </w:rPr>
        <w:t>q</w:t>
      </w:r>
      <w:r w:rsidRPr="0003648D">
        <w:rPr>
          <w:bCs/>
        </w:rPr>
        <w:t xml:space="preserve"> </w:t>
      </w:r>
      <w:r w:rsidRPr="0003648D">
        <w:rPr>
          <w:bCs/>
        </w:rPr>
        <w:tab/>
        <w:t>=</w:t>
      </w:r>
      <w:r w:rsidRPr="0003648D">
        <w:rPr>
          <w:bCs/>
        </w:rPr>
        <w:tab/>
      </w:r>
      <w:r>
        <w:rPr>
          <w:noProof/>
          <w:position w:val="-20"/>
        </w:rPr>
        <w:drawing>
          <wp:inline distT="0" distB="0" distL="0" distR="0" wp14:anchorId="403A7139" wp14:editId="4AE92F7C">
            <wp:extent cx="142875" cy="2762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Cs/>
        </w:rPr>
        <w:t>RTPC</w:t>
      </w:r>
      <w:r>
        <w:rPr>
          <w:bCs/>
        </w:rPr>
        <w:t>EC</w:t>
      </w:r>
      <w:r w:rsidRPr="0003648D">
        <w:rPr>
          <w:bCs/>
        </w:rPr>
        <w:t xml:space="preserve">RAMT </w:t>
      </w:r>
      <w:r w:rsidRPr="0003648D">
        <w:rPr>
          <w:bCs/>
          <w:i/>
          <w:vertAlign w:val="subscript"/>
        </w:rPr>
        <w:t>q, m</w:t>
      </w:r>
    </w:p>
    <w:p w14:paraId="55211170" w14:textId="77777777" w:rsidR="006E1ADE" w:rsidRPr="0003648D" w:rsidRDefault="006E1ADE" w:rsidP="006E1ADE">
      <w:r w:rsidRPr="0003648D">
        <w:t xml:space="preserve">Total charge of infeasible Ancillary Service Supply Responsibility for </w:t>
      </w:r>
      <w:r>
        <w:t>ECRS</w:t>
      </w:r>
    </w:p>
    <w:p w14:paraId="70A6D704" w14:textId="77777777" w:rsidR="006E1ADE" w:rsidRPr="0003648D" w:rsidRDefault="006E1ADE" w:rsidP="006E1ADE">
      <w:pPr>
        <w:spacing w:after="240"/>
        <w:ind w:left="2880" w:hanging="2160"/>
      </w:pPr>
      <w:r>
        <w:t>EC</w:t>
      </w:r>
      <w:r w:rsidRPr="0003648D">
        <w:t>RINFQAMTTOT</w:t>
      </w:r>
      <w:r w:rsidRPr="0003648D">
        <w:tab/>
        <w:t>=</w:t>
      </w:r>
      <w:r w:rsidRPr="0003648D">
        <w:tab/>
      </w:r>
      <w:r w:rsidRPr="0003648D">
        <w:rPr>
          <w:position w:val="-22"/>
          <w:lang w:val="pt-BR"/>
        </w:rPr>
        <w:object w:dxaOrig="225" w:dyaOrig="465" w14:anchorId="1D1677D8">
          <v:shape id="_x0000_i1357" type="#_x0000_t75" style="width:12pt;height:24.6pt" o:ole="">
            <v:imagedata r:id="rId433" o:title=""/>
          </v:shape>
          <o:OLEObject Type="Embed" ProgID="Equation.3" ShapeID="_x0000_i1357" DrawAspect="Content" ObjectID="_1815025545" r:id="rId444"/>
        </w:object>
      </w:r>
      <w:r w:rsidRPr="0003648D">
        <w:t xml:space="preserve"> </w:t>
      </w:r>
      <w:r>
        <w:t>EC</w:t>
      </w:r>
      <w:r w:rsidRPr="0003648D">
        <w:t xml:space="preserve">RINFQAMT </w:t>
      </w:r>
      <w:r w:rsidRPr="0003648D">
        <w:rPr>
          <w:i/>
          <w:vertAlign w:val="subscript"/>
        </w:rPr>
        <w:t>q</w:t>
      </w:r>
      <w:r w:rsidRPr="0003648D">
        <w:rPr>
          <w:vertAlign w:val="subscript"/>
        </w:rPr>
        <w:t xml:space="preserve"> </w:t>
      </w:r>
    </w:p>
    <w:p w14:paraId="4B93B2C8" w14:textId="77777777" w:rsidR="006E1ADE" w:rsidRPr="0003648D" w:rsidRDefault="006E1ADE" w:rsidP="006E1ADE">
      <w:r w:rsidRPr="0003648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6E1ADE" w:rsidRPr="0003648D" w14:paraId="4B83BBC7" w14:textId="77777777" w:rsidTr="00B82144">
        <w:trPr>
          <w:tblHeader/>
        </w:trPr>
        <w:tc>
          <w:tcPr>
            <w:tcW w:w="1278" w:type="pct"/>
          </w:tcPr>
          <w:p w14:paraId="7C3E8615" w14:textId="77777777" w:rsidR="006E1ADE" w:rsidRPr="0003648D" w:rsidRDefault="006E1ADE" w:rsidP="00B82144">
            <w:pPr>
              <w:spacing w:after="120"/>
              <w:rPr>
                <w:b/>
                <w:iCs/>
                <w:sz w:val="20"/>
              </w:rPr>
            </w:pPr>
            <w:r w:rsidRPr="0003648D">
              <w:rPr>
                <w:b/>
                <w:iCs/>
                <w:sz w:val="20"/>
              </w:rPr>
              <w:lastRenderedPageBreak/>
              <w:t>Variable</w:t>
            </w:r>
          </w:p>
        </w:tc>
        <w:tc>
          <w:tcPr>
            <w:tcW w:w="329" w:type="pct"/>
          </w:tcPr>
          <w:p w14:paraId="05AAD542" w14:textId="77777777" w:rsidR="006E1ADE" w:rsidRPr="0003648D" w:rsidRDefault="006E1ADE" w:rsidP="00B82144">
            <w:pPr>
              <w:spacing w:after="120"/>
              <w:rPr>
                <w:b/>
                <w:iCs/>
                <w:sz w:val="20"/>
              </w:rPr>
            </w:pPr>
            <w:r w:rsidRPr="0003648D">
              <w:rPr>
                <w:b/>
                <w:iCs/>
                <w:sz w:val="20"/>
              </w:rPr>
              <w:t>Unit</w:t>
            </w:r>
          </w:p>
        </w:tc>
        <w:tc>
          <w:tcPr>
            <w:tcW w:w="3393" w:type="pct"/>
          </w:tcPr>
          <w:p w14:paraId="05C401BF" w14:textId="77777777" w:rsidR="006E1ADE" w:rsidRPr="0003648D" w:rsidRDefault="006E1ADE" w:rsidP="00B82144">
            <w:pPr>
              <w:spacing w:after="120"/>
              <w:rPr>
                <w:b/>
                <w:iCs/>
                <w:sz w:val="20"/>
              </w:rPr>
            </w:pPr>
            <w:r w:rsidRPr="0003648D">
              <w:rPr>
                <w:b/>
                <w:iCs/>
                <w:sz w:val="20"/>
              </w:rPr>
              <w:t>Description</w:t>
            </w:r>
          </w:p>
        </w:tc>
      </w:tr>
      <w:tr w:rsidR="006E1ADE" w:rsidRPr="0003648D" w14:paraId="029E90CC" w14:textId="77777777" w:rsidTr="00B82144">
        <w:tc>
          <w:tcPr>
            <w:tcW w:w="1278" w:type="pct"/>
          </w:tcPr>
          <w:p w14:paraId="17C78E66" w14:textId="77777777" w:rsidR="006E1ADE" w:rsidRPr="0003648D" w:rsidRDefault="006E1ADE" w:rsidP="00B82144">
            <w:pPr>
              <w:spacing w:after="60"/>
              <w:rPr>
                <w:iCs/>
                <w:sz w:val="20"/>
              </w:rPr>
            </w:pPr>
            <w:r>
              <w:rPr>
                <w:iCs/>
                <w:sz w:val="20"/>
              </w:rPr>
              <w:t>EC</w:t>
            </w:r>
            <w:r w:rsidRPr="0003648D">
              <w:rPr>
                <w:iCs/>
                <w:sz w:val="20"/>
              </w:rPr>
              <w:t>RCOSTTOT</w:t>
            </w:r>
          </w:p>
        </w:tc>
        <w:tc>
          <w:tcPr>
            <w:tcW w:w="329" w:type="pct"/>
          </w:tcPr>
          <w:p w14:paraId="5DAE8F02" w14:textId="77777777" w:rsidR="006E1ADE" w:rsidRPr="0003648D" w:rsidRDefault="006E1ADE" w:rsidP="00B82144">
            <w:pPr>
              <w:spacing w:after="60"/>
              <w:rPr>
                <w:iCs/>
                <w:sz w:val="20"/>
              </w:rPr>
            </w:pPr>
            <w:r w:rsidRPr="0003648D">
              <w:rPr>
                <w:iCs/>
                <w:sz w:val="20"/>
              </w:rPr>
              <w:t>$</w:t>
            </w:r>
          </w:p>
        </w:tc>
        <w:tc>
          <w:tcPr>
            <w:tcW w:w="3393" w:type="pct"/>
          </w:tcPr>
          <w:p w14:paraId="0CB12329" w14:textId="77777777" w:rsidR="006E1ADE" w:rsidRPr="0003648D" w:rsidRDefault="006E1ADE" w:rsidP="00B82144">
            <w:pPr>
              <w:spacing w:after="60"/>
              <w:rPr>
                <w:iCs/>
                <w:sz w:val="20"/>
              </w:rPr>
            </w:pPr>
            <w:r w:rsidRPr="006B6435">
              <w:rPr>
                <w:i/>
                <w:iCs/>
                <w:sz w:val="20"/>
              </w:rPr>
              <w:t>ERCOT Contingency Reserve Service</w:t>
            </w:r>
            <w:r w:rsidRPr="0003648D">
              <w:rPr>
                <w:i/>
                <w:iCs/>
                <w:sz w:val="20"/>
              </w:rPr>
              <w:t xml:space="preserve"> Cost Total</w:t>
            </w:r>
            <w:r w:rsidRPr="0003648D">
              <w:rPr>
                <w:iCs/>
                <w:sz w:val="20"/>
              </w:rPr>
              <w:t xml:space="preserve">—The net total costs for </w:t>
            </w:r>
            <w:r>
              <w:rPr>
                <w:iCs/>
                <w:sz w:val="20"/>
              </w:rPr>
              <w:t>ECRS</w:t>
            </w:r>
            <w:r w:rsidRPr="0003648D">
              <w:rPr>
                <w:iCs/>
                <w:sz w:val="20"/>
              </w:rPr>
              <w:t>, for the hour.</w:t>
            </w:r>
          </w:p>
        </w:tc>
      </w:tr>
      <w:tr w:rsidR="006E1ADE" w:rsidRPr="0003648D" w14:paraId="143908B8" w14:textId="77777777" w:rsidTr="00B82144">
        <w:tc>
          <w:tcPr>
            <w:tcW w:w="1278" w:type="pct"/>
            <w:tcBorders>
              <w:top w:val="single" w:sz="4" w:space="0" w:color="auto"/>
              <w:left w:val="single" w:sz="4" w:space="0" w:color="auto"/>
              <w:bottom w:val="single" w:sz="4" w:space="0" w:color="auto"/>
              <w:right w:val="single" w:sz="4" w:space="0" w:color="auto"/>
            </w:tcBorders>
          </w:tcPr>
          <w:p w14:paraId="18259EBB"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RAMTTOT </w:t>
            </w:r>
            <w:r w:rsidRPr="0003648D">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76471D63"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213F4B50" w14:textId="77777777" w:rsidR="006E1ADE" w:rsidRPr="0003648D" w:rsidRDefault="006E1ADE" w:rsidP="00B82144">
            <w:pPr>
              <w:spacing w:after="60"/>
              <w:rPr>
                <w:i/>
                <w:iCs/>
                <w:sz w:val="20"/>
              </w:rPr>
            </w:pPr>
            <w:r w:rsidRPr="0003648D">
              <w:rPr>
                <w:i/>
                <w:iCs/>
                <w:sz w:val="20"/>
              </w:rPr>
              <w:t xml:space="preserve">Procured Capacity for </w:t>
            </w:r>
            <w:r w:rsidRPr="006B6435">
              <w:rPr>
                <w:i/>
                <w:iCs/>
                <w:sz w:val="20"/>
              </w:rPr>
              <w:t>ERCOT Contingency Reserve Service</w:t>
            </w:r>
            <w:r w:rsidRPr="0003648D">
              <w:rPr>
                <w:i/>
                <w:iCs/>
                <w:sz w:val="20"/>
              </w:rPr>
              <w:t xml:space="preserve"> Amount Total by market—</w:t>
            </w:r>
            <w:r w:rsidRPr="0003648D">
              <w:rPr>
                <w:iCs/>
                <w:sz w:val="20"/>
              </w:rPr>
              <w:t xml:space="preserve">The total payments to all QSEs for the Ancillary Service Offers cleared in the market </w:t>
            </w:r>
            <w:r w:rsidRPr="0003648D">
              <w:rPr>
                <w:i/>
                <w:iCs/>
                <w:sz w:val="20"/>
              </w:rPr>
              <w:t>m</w:t>
            </w:r>
            <w:r w:rsidRPr="0003648D">
              <w:rPr>
                <w:iCs/>
                <w:sz w:val="20"/>
              </w:rPr>
              <w:t xml:space="preserve"> for </w:t>
            </w:r>
            <w:r>
              <w:rPr>
                <w:iCs/>
                <w:sz w:val="20"/>
              </w:rPr>
              <w:t>ECRS</w:t>
            </w:r>
            <w:r w:rsidRPr="0003648D">
              <w:rPr>
                <w:iCs/>
                <w:sz w:val="20"/>
              </w:rPr>
              <w:t>, for the hour.</w:t>
            </w:r>
          </w:p>
        </w:tc>
      </w:tr>
      <w:tr w:rsidR="006E1ADE" w:rsidRPr="0003648D" w14:paraId="648DF037" w14:textId="77777777" w:rsidTr="00B82144">
        <w:tc>
          <w:tcPr>
            <w:tcW w:w="1278" w:type="pct"/>
            <w:tcBorders>
              <w:top w:val="single" w:sz="4" w:space="0" w:color="auto"/>
              <w:left w:val="single" w:sz="4" w:space="0" w:color="auto"/>
              <w:bottom w:val="single" w:sz="4" w:space="0" w:color="auto"/>
              <w:right w:val="single" w:sz="4" w:space="0" w:color="auto"/>
            </w:tcBorders>
          </w:tcPr>
          <w:p w14:paraId="6B102759"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RAMT </w:t>
            </w:r>
            <w:r w:rsidRPr="0003648D">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65C27D7C"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154FD7F" w14:textId="77777777" w:rsidR="006E1ADE" w:rsidRPr="0003648D" w:rsidRDefault="006E1ADE" w:rsidP="00B82144">
            <w:pPr>
              <w:spacing w:after="60"/>
              <w:rPr>
                <w:i/>
                <w:iCs/>
                <w:sz w:val="20"/>
              </w:rPr>
            </w:pPr>
            <w:r w:rsidRPr="0003648D">
              <w:rPr>
                <w:i/>
                <w:iCs/>
                <w:sz w:val="20"/>
              </w:rPr>
              <w:t xml:space="preserve">Procured Capacity for </w:t>
            </w:r>
            <w:r w:rsidRPr="006B6435">
              <w:rPr>
                <w:i/>
                <w:iCs/>
                <w:sz w:val="20"/>
              </w:rPr>
              <w:t>ERCOT Contingency Reserve Service</w:t>
            </w:r>
            <w:r w:rsidRPr="0003648D">
              <w:rPr>
                <w:i/>
                <w:iCs/>
                <w:sz w:val="20"/>
              </w:rPr>
              <w:t xml:space="preserve"> Amount per QSE by market</w:t>
            </w:r>
            <w:r w:rsidRPr="0003648D">
              <w:rPr>
                <w:iCs/>
                <w:sz w:val="20"/>
              </w:rPr>
              <w:t xml:space="preserve">—The payment to QSE </w:t>
            </w:r>
            <w:r w:rsidRPr="0003648D">
              <w:rPr>
                <w:i/>
                <w:iCs/>
                <w:sz w:val="20"/>
              </w:rPr>
              <w:t>q</w:t>
            </w:r>
            <w:r w:rsidRPr="0003648D">
              <w:rPr>
                <w:iCs/>
                <w:sz w:val="20"/>
              </w:rPr>
              <w:t xml:space="preserve"> for its Ancillary Service Offers cleared in the market </w:t>
            </w:r>
            <w:r w:rsidRPr="0003648D">
              <w:rPr>
                <w:i/>
                <w:iCs/>
                <w:sz w:val="20"/>
              </w:rPr>
              <w:t>m</w:t>
            </w:r>
            <w:r w:rsidRPr="0003648D">
              <w:rPr>
                <w:iCs/>
                <w:sz w:val="20"/>
              </w:rPr>
              <w:t xml:space="preserve"> for </w:t>
            </w:r>
            <w:r>
              <w:rPr>
                <w:iCs/>
                <w:sz w:val="20"/>
              </w:rPr>
              <w:t>ECRS</w:t>
            </w:r>
            <w:r w:rsidRPr="0003648D">
              <w:rPr>
                <w:iCs/>
                <w:sz w:val="20"/>
              </w:rPr>
              <w:t>, for the hour.</w:t>
            </w:r>
          </w:p>
        </w:tc>
      </w:tr>
      <w:tr w:rsidR="006E1ADE" w:rsidRPr="0003648D" w14:paraId="6F43B930" w14:textId="77777777" w:rsidTr="00B82144">
        <w:tc>
          <w:tcPr>
            <w:tcW w:w="1278" w:type="pct"/>
            <w:tcBorders>
              <w:top w:val="single" w:sz="4" w:space="0" w:color="auto"/>
              <w:left w:val="single" w:sz="4" w:space="0" w:color="auto"/>
              <w:bottom w:val="single" w:sz="4" w:space="0" w:color="auto"/>
              <w:right w:val="single" w:sz="4" w:space="0" w:color="auto"/>
            </w:tcBorders>
          </w:tcPr>
          <w:p w14:paraId="34454A38" w14:textId="77777777" w:rsidR="006E1ADE" w:rsidRPr="0003648D" w:rsidRDefault="006E1ADE" w:rsidP="00B82144">
            <w:pPr>
              <w:spacing w:after="60"/>
              <w:rPr>
                <w:iCs/>
                <w:sz w:val="20"/>
              </w:rPr>
            </w:pPr>
            <w:r>
              <w:rPr>
                <w:iCs/>
                <w:sz w:val="20"/>
              </w:rPr>
              <w:t>EC</w:t>
            </w:r>
            <w:r w:rsidRPr="0003648D">
              <w:rPr>
                <w:iCs/>
                <w:sz w:val="20"/>
              </w:rPr>
              <w:t>RFQAMTTOT</w:t>
            </w:r>
          </w:p>
        </w:tc>
        <w:tc>
          <w:tcPr>
            <w:tcW w:w="329" w:type="pct"/>
            <w:tcBorders>
              <w:top w:val="single" w:sz="4" w:space="0" w:color="auto"/>
              <w:left w:val="single" w:sz="4" w:space="0" w:color="auto"/>
              <w:bottom w:val="single" w:sz="4" w:space="0" w:color="auto"/>
              <w:right w:val="single" w:sz="4" w:space="0" w:color="auto"/>
            </w:tcBorders>
          </w:tcPr>
          <w:p w14:paraId="613D10D2"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EBB3741" w14:textId="77777777" w:rsidR="006E1ADE" w:rsidRPr="0003648D" w:rsidRDefault="006E1ADE" w:rsidP="00B82144">
            <w:pPr>
              <w:spacing w:after="60"/>
              <w:rPr>
                <w:i/>
                <w:iCs/>
                <w:sz w:val="20"/>
              </w:rPr>
            </w:pPr>
            <w:r w:rsidRPr="006B6435">
              <w:rPr>
                <w:i/>
                <w:iCs/>
                <w:sz w:val="20"/>
              </w:rPr>
              <w:t>ERCOT Contingency Reserve Service</w:t>
            </w:r>
            <w:r w:rsidRPr="0003648D">
              <w:rPr>
                <w:i/>
                <w:iCs/>
                <w:sz w:val="20"/>
              </w:rPr>
              <w:t xml:space="preserve"> Failure Quantity Amount Total</w:t>
            </w:r>
            <w:r w:rsidRPr="0003648D">
              <w:rPr>
                <w:iCs/>
                <w:sz w:val="20"/>
              </w:rPr>
              <w:t xml:space="preserve">—The total charges to all QSEs for their capacity associated with failures and reconfiguration reductions on their Ancillary Service Supply Responsibilities for </w:t>
            </w:r>
            <w:r>
              <w:rPr>
                <w:iCs/>
                <w:sz w:val="20"/>
              </w:rPr>
              <w:t>ECRS</w:t>
            </w:r>
            <w:r w:rsidRPr="0003648D">
              <w:rPr>
                <w:iCs/>
                <w:sz w:val="20"/>
              </w:rPr>
              <w:t>, for the hour.</w:t>
            </w:r>
          </w:p>
        </w:tc>
      </w:tr>
      <w:tr w:rsidR="006E1ADE" w:rsidRPr="0003648D" w14:paraId="6004E710" w14:textId="77777777" w:rsidTr="00B82144">
        <w:tc>
          <w:tcPr>
            <w:tcW w:w="1278" w:type="pct"/>
            <w:tcBorders>
              <w:top w:val="single" w:sz="4" w:space="0" w:color="auto"/>
              <w:left w:val="single" w:sz="4" w:space="0" w:color="auto"/>
              <w:bottom w:val="single" w:sz="4" w:space="0" w:color="auto"/>
              <w:right w:val="single" w:sz="4" w:space="0" w:color="auto"/>
            </w:tcBorders>
          </w:tcPr>
          <w:p w14:paraId="14245AF4" w14:textId="77777777" w:rsidR="006E1ADE" w:rsidRPr="0003648D" w:rsidRDefault="006E1ADE" w:rsidP="00B82144">
            <w:pPr>
              <w:spacing w:after="60"/>
              <w:rPr>
                <w:iCs/>
                <w:sz w:val="20"/>
              </w:rPr>
            </w:pPr>
            <w:r>
              <w:rPr>
                <w:iCs/>
                <w:sz w:val="20"/>
              </w:rPr>
              <w:t>EC</w:t>
            </w:r>
            <w:r w:rsidRPr="0003648D">
              <w:rPr>
                <w:iCs/>
                <w:sz w:val="20"/>
              </w:rPr>
              <w:t xml:space="preserve">RFQAMTQSETOT </w:t>
            </w:r>
            <w:r w:rsidRPr="0003648D">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1C20780"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1BA69092" w14:textId="77777777" w:rsidR="006E1ADE" w:rsidRPr="0003648D" w:rsidRDefault="006E1ADE" w:rsidP="00B82144">
            <w:pPr>
              <w:spacing w:after="60"/>
              <w:rPr>
                <w:i/>
                <w:iCs/>
                <w:sz w:val="20"/>
              </w:rPr>
            </w:pPr>
            <w:r w:rsidRPr="006B6435">
              <w:rPr>
                <w:i/>
                <w:iCs/>
                <w:sz w:val="20"/>
              </w:rPr>
              <w:t>ERCOT Contingency Reserve Service</w:t>
            </w:r>
            <w:r w:rsidRPr="0003648D">
              <w:rPr>
                <w:i/>
                <w:iCs/>
                <w:sz w:val="20"/>
              </w:rPr>
              <w:t xml:space="preserve"> Failure Quantity Amount Total per QSE</w:t>
            </w:r>
            <w:r w:rsidRPr="0003648D">
              <w:rPr>
                <w:iCs/>
                <w:sz w:val="20"/>
              </w:rPr>
              <w:t xml:space="preserve">—The charge to QSE </w:t>
            </w:r>
            <w:r w:rsidRPr="0003648D">
              <w:rPr>
                <w:i/>
                <w:iCs/>
                <w:sz w:val="20"/>
              </w:rPr>
              <w:t>q</w:t>
            </w:r>
            <w:r w:rsidRPr="0003648D">
              <w:rPr>
                <w:iCs/>
                <w:sz w:val="20"/>
              </w:rPr>
              <w:t xml:space="preserve"> for its total capacity associated with failures and reconfiguration reductions on its Ancillary Service Supply Responsibility for </w:t>
            </w:r>
            <w:r>
              <w:rPr>
                <w:iCs/>
                <w:sz w:val="20"/>
              </w:rPr>
              <w:t>ECRS</w:t>
            </w:r>
            <w:r w:rsidRPr="0003648D">
              <w:rPr>
                <w:iCs/>
                <w:sz w:val="20"/>
              </w:rPr>
              <w:t>, for the hour.</w:t>
            </w:r>
          </w:p>
        </w:tc>
      </w:tr>
      <w:tr w:rsidR="006E1ADE" w:rsidRPr="0003648D" w14:paraId="10209503" w14:textId="77777777" w:rsidTr="00B82144">
        <w:tc>
          <w:tcPr>
            <w:tcW w:w="1278" w:type="pct"/>
            <w:tcBorders>
              <w:top w:val="single" w:sz="4" w:space="0" w:color="auto"/>
              <w:left w:val="single" w:sz="4" w:space="0" w:color="auto"/>
              <w:bottom w:val="single" w:sz="4" w:space="0" w:color="auto"/>
              <w:right w:val="single" w:sz="4" w:space="0" w:color="auto"/>
            </w:tcBorders>
          </w:tcPr>
          <w:p w14:paraId="3721293B"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RAMTQSETOT </w:t>
            </w:r>
            <w:r w:rsidRPr="0003648D">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0E377CCD"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1BB7914" w14:textId="77777777" w:rsidR="006E1ADE" w:rsidRPr="0003648D" w:rsidRDefault="006E1ADE" w:rsidP="00B82144">
            <w:pPr>
              <w:spacing w:after="60"/>
              <w:rPr>
                <w:iCs/>
                <w:sz w:val="20"/>
              </w:rPr>
            </w:pPr>
            <w:r w:rsidRPr="0003648D">
              <w:rPr>
                <w:i/>
                <w:iCs/>
                <w:sz w:val="20"/>
              </w:rPr>
              <w:t xml:space="preserve">Procured Capacity for </w:t>
            </w:r>
            <w:r w:rsidRPr="006B6435">
              <w:rPr>
                <w:i/>
                <w:iCs/>
                <w:sz w:val="20"/>
              </w:rPr>
              <w:t>ERCOT Contingency Reserve Service</w:t>
            </w:r>
            <w:r w:rsidRPr="0003648D">
              <w:rPr>
                <w:i/>
                <w:iCs/>
                <w:sz w:val="20"/>
              </w:rPr>
              <w:t xml:space="preserve"> Amount Total per QSE</w:t>
            </w:r>
            <w:r w:rsidRPr="0003648D">
              <w:rPr>
                <w:iCs/>
                <w:sz w:val="20"/>
              </w:rPr>
              <w:t xml:space="preserve">—The total payments to a QSE </w:t>
            </w:r>
            <w:r w:rsidRPr="0003648D">
              <w:rPr>
                <w:i/>
                <w:iCs/>
                <w:sz w:val="20"/>
              </w:rPr>
              <w:t>q</w:t>
            </w:r>
            <w:r w:rsidRPr="0003648D">
              <w:rPr>
                <w:iCs/>
                <w:sz w:val="20"/>
              </w:rPr>
              <w:t xml:space="preserve"> in all SASMs and RSASMs for the Ancillary Service Offers cleared for </w:t>
            </w:r>
            <w:r>
              <w:rPr>
                <w:iCs/>
                <w:sz w:val="20"/>
              </w:rPr>
              <w:t>ECRS</w:t>
            </w:r>
            <w:r w:rsidRPr="0003648D">
              <w:rPr>
                <w:iCs/>
                <w:sz w:val="20"/>
              </w:rPr>
              <w:t>, for the hour.</w:t>
            </w:r>
          </w:p>
        </w:tc>
      </w:tr>
      <w:tr w:rsidR="006E1ADE" w:rsidRPr="0003648D" w14:paraId="5A995D00" w14:textId="77777777" w:rsidTr="00B82144">
        <w:tc>
          <w:tcPr>
            <w:tcW w:w="1278" w:type="pct"/>
            <w:tcBorders>
              <w:top w:val="single" w:sz="4" w:space="0" w:color="auto"/>
              <w:left w:val="single" w:sz="4" w:space="0" w:color="auto"/>
              <w:bottom w:val="single" w:sz="4" w:space="0" w:color="auto"/>
              <w:right w:val="single" w:sz="4" w:space="0" w:color="auto"/>
            </w:tcBorders>
          </w:tcPr>
          <w:p w14:paraId="4D015607" w14:textId="77777777" w:rsidR="006E1ADE" w:rsidRPr="0003648D" w:rsidRDefault="006E1ADE" w:rsidP="00B82144">
            <w:pPr>
              <w:rPr>
                <w:b/>
                <w:sz w:val="20"/>
              </w:rPr>
            </w:pPr>
            <w:r w:rsidRPr="0003648D">
              <w:rPr>
                <w:sz w:val="20"/>
              </w:rPr>
              <w:t>PC</w:t>
            </w:r>
            <w:r>
              <w:rPr>
                <w:sz w:val="20"/>
              </w:rPr>
              <w:t>EC</w:t>
            </w:r>
            <w:r w:rsidRPr="0003648D">
              <w:rPr>
                <w:sz w:val="20"/>
              </w:rPr>
              <w:t xml:space="preserve">RAMT </w:t>
            </w:r>
            <w:r w:rsidRPr="0003648D">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74E3564" w14:textId="77777777" w:rsidR="006E1ADE" w:rsidRPr="0003648D" w:rsidRDefault="006E1ADE" w:rsidP="00B82144">
            <w:pPr>
              <w:rPr>
                <w:b/>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1E6317EB" w14:textId="77777777" w:rsidR="006E1ADE" w:rsidRPr="0003648D" w:rsidRDefault="006E1ADE" w:rsidP="00B82144">
            <w:pPr>
              <w:rPr>
                <w:b/>
                <w:sz w:val="20"/>
              </w:rPr>
            </w:pPr>
            <w:r w:rsidRPr="0003648D">
              <w:rPr>
                <w:i/>
                <w:sz w:val="20"/>
              </w:rPr>
              <w:t xml:space="preserve">Procured Capacity for </w:t>
            </w:r>
            <w:r w:rsidRPr="006B6435">
              <w:rPr>
                <w:i/>
                <w:iCs/>
                <w:sz w:val="20"/>
              </w:rPr>
              <w:t>ERCOT Contingency Reserve Service</w:t>
            </w:r>
            <w:r w:rsidRPr="0003648D">
              <w:rPr>
                <w:i/>
                <w:sz w:val="20"/>
              </w:rPr>
              <w:t xml:space="preserve"> Amount per QSE for DAM</w:t>
            </w:r>
            <w:r w:rsidRPr="0003648D">
              <w:rPr>
                <w:sz w:val="20"/>
              </w:rPr>
              <w:t xml:space="preserve">—The DAM </w:t>
            </w:r>
            <w:r>
              <w:rPr>
                <w:sz w:val="20"/>
              </w:rPr>
              <w:t>EC</w:t>
            </w:r>
            <w:r w:rsidRPr="0003648D">
              <w:rPr>
                <w:sz w:val="20"/>
              </w:rPr>
              <w:t xml:space="preserve">RS payment for QSE </w:t>
            </w:r>
            <w:r w:rsidRPr="0003648D">
              <w:rPr>
                <w:i/>
                <w:sz w:val="20"/>
              </w:rPr>
              <w:t>q</w:t>
            </w:r>
            <w:r w:rsidRPr="0003648D">
              <w:rPr>
                <w:sz w:val="20"/>
              </w:rPr>
              <w:t>, for the hour.</w:t>
            </w:r>
          </w:p>
        </w:tc>
      </w:tr>
      <w:tr w:rsidR="006E1ADE" w:rsidRPr="0003648D" w14:paraId="425498E1" w14:textId="77777777" w:rsidTr="00B82144">
        <w:tc>
          <w:tcPr>
            <w:tcW w:w="1278" w:type="pct"/>
            <w:tcBorders>
              <w:top w:val="single" w:sz="4" w:space="0" w:color="auto"/>
              <w:left w:val="single" w:sz="4" w:space="0" w:color="auto"/>
              <w:bottom w:val="single" w:sz="4" w:space="0" w:color="auto"/>
              <w:right w:val="single" w:sz="4" w:space="0" w:color="auto"/>
            </w:tcBorders>
          </w:tcPr>
          <w:p w14:paraId="48919F8B" w14:textId="77777777" w:rsidR="006E1ADE" w:rsidRPr="0003648D" w:rsidRDefault="006E1ADE" w:rsidP="00B82144">
            <w:pPr>
              <w:spacing w:after="60"/>
              <w:rPr>
                <w:sz w:val="20"/>
              </w:rPr>
            </w:pPr>
            <w:r w:rsidRPr="0003648D">
              <w:rPr>
                <w:sz w:val="20"/>
              </w:rPr>
              <w:t>PC</w:t>
            </w:r>
            <w:r>
              <w:rPr>
                <w:sz w:val="20"/>
              </w:rPr>
              <w:t>EC</w:t>
            </w:r>
            <w:r w:rsidRPr="0003648D">
              <w:rPr>
                <w:sz w:val="20"/>
              </w:rPr>
              <w:t xml:space="preserve">RAMTTOT </w:t>
            </w:r>
          </w:p>
        </w:tc>
        <w:tc>
          <w:tcPr>
            <w:tcW w:w="329" w:type="pct"/>
            <w:tcBorders>
              <w:top w:val="single" w:sz="4" w:space="0" w:color="auto"/>
              <w:left w:val="single" w:sz="4" w:space="0" w:color="auto"/>
              <w:bottom w:val="single" w:sz="4" w:space="0" w:color="auto"/>
              <w:right w:val="single" w:sz="4" w:space="0" w:color="auto"/>
            </w:tcBorders>
          </w:tcPr>
          <w:p w14:paraId="15A26978"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12B4EF7F" w14:textId="77777777" w:rsidR="006E1ADE" w:rsidRPr="0003648D" w:rsidRDefault="006E1ADE" w:rsidP="00B82144">
            <w:pPr>
              <w:spacing w:after="60"/>
              <w:rPr>
                <w:sz w:val="20"/>
              </w:rPr>
            </w:pPr>
            <w:r w:rsidRPr="0003648D">
              <w:rPr>
                <w:i/>
                <w:sz w:val="20"/>
              </w:rPr>
              <w:t xml:space="preserve">Procured Capacity for </w:t>
            </w:r>
            <w:r w:rsidRPr="006B6435">
              <w:rPr>
                <w:i/>
                <w:iCs/>
                <w:sz w:val="20"/>
              </w:rPr>
              <w:t>ERCOT Contingency Reserve Service</w:t>
            </w:r>
            <w:r w:rsidRPr="0003648D">
              <w:rPr>
                <w:i/>
                <w:sz w:val="20"/>
              </w:rPr>
              <w:t xml:space="preserve"> Amount Total in DAM</w:t>
            </w:r>
            <w:r w:rsidRPr="0003648D">
              <w:rPr>
                <w:sz w:val="20"/>
              </w:rPr>
              <w:t xml:space="preserve">—The total of the DAM </w:t>
            </w:r>
            <w:r>
              <w:rPr>
                <w:sz w:val="20"/>
              </w:rPr>
              <w:t>EC</w:t>
            </w:r>
            <w:r w:rsidRPr="0003648D">
              <w:rPr>
                <w:sz w:val="20"/>
              </w:rPr>
              <w:t>RS payments for all QSEs, for the hour.</w:t>
            </w:r>
          </w:p>
        </w:tc>
      </w:tr>
      <w:tr w:rsidR="006E1ADE" w:rsidRPr="0003648D" w14:paraId="32F1296D" w14:textId="77777777" w:rsidTr="00B82144">
        <w:tc>
          <w:tcPr>
            <w:tcW w:w="1278" w:type="pct"/>
            <w:tcBorders>
              <w:top w:val="single" w:sz="4" w:space="0" w:color="auto"/>
              <w:left w:val="single" w:sz="4" w:space="0" w:color="auto"/>
              <w:bottom w:val="single" w:sz="4" w:space="0" w:color="auto"/>
              <w:right w:val="single" w:sz="4" w:space="0" w:color="auto"/>
            </w:tcBorders>
          </w:tcPr>
          <w:p w14:paraId="4279BCFD" w14:textId="77777777" w:rsidR="006E1ADE" w:rsidRPr="0003648D" w:rsidRDefault="006E1ADE" w:rsidP="00B82144">
            <w:pPr>
              <w:spacing w:after="60"/>
              <w:rPr>
                <w:sz w:val="20"/>
              </w:rPr>
            </w:pPr>
            <w:r>
              <w:rPr>
                <w:sz w:val="20"/>
              </w:rPr>
              <w:t>EC</w:t>
            </w:r>
            <w:r w:rsidRPr="0003648D">
              <w:rPr>
                <w:sz w:val="20"/>
              </w:rPr>
              <w:t>RINFQAMTTOT</w:t>
            </w:r>
          </w:p>
        </w:tc>
        <w:tc>
          <w:tcPr>
            <w:tcW w:w="329" w:type="pct"/>
            <w:tcBorders>
              <w:top w:val="single" w:sz="4" w:space="0" w:color="auto"/>
              <w:left w:val="single" w:sz="4" w:space="0" w:color="auto"/>
              <w:bottom w:val="single" w:sz="4" w:space="0" w:color="auto"/>
              <w:right w:val="single" w:sz="4" w:space="0" w:color="auto"/>
            </w:tcBorders>
          </w:tcPr>
          <w:p w14:paraId="53541A2A"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5C7C9872" w14:textId="77777777" w:rsidR="006E1ADE" w:rsidRPr="0003648D" w:rsidRDefault="006E1ADE" w:rsidP="00B82144">
            <w:pPr>
              <w:spacing w:after="60"/>
              <w:rPr>
                <w:i/>
                <w:sz w:val="20"/>
              </w:rPr>
            </w:pPr>
            <w:r w:rsidRPr="006B6435">
              <w:rPr>
                <w:i/>
                <w:iCs/>
                <w:sz w:val="20"/>
              </w:rPr>
              <w:t>ERCOT Contingency Reserve Service</w:t>
            </w:r>
            <w:r w:rsidRPr="0003648D">
              <w:rPr>
                <w:i/>
                <w:sz w:val="20"/>
              </w:rPr>
              <w:t xml:space="preserve"> Infeasible Quantity Amount Total </w:t>
            </w:r>
            <w:r w:rsidRPr="0003648D">
              <w:rPr>
                <w:sz w:val="20"/>
              </w:rPr>
              <w:t xml:space="preserve">— The charge to all QSEs for their total capacity associated with infeasible deployment of Ancillary Service Supply Responsibilities for </w:t>
            </w:r>
            <w:r>
              <w:rPr>
                <w:sz w:val="20"/>
              </w:rPr>
              <w:t>EC</w:t>
            </w:r>
            <w:r w:rsidRPr="0003648D">
              <w:rPr>
                <w:sz w:val="20"/>
              </w:rPr>
              <w:t>RS, for the hour.</w:t>
            </w:r>
          </w:p>
        </w:tc>
      </w:tr>
      <w:tr w:rsidR="006E1ADE" w:rsidRPr="0003648D" w14:paraId="1ED8E78B" w14:textId="77777777" w:rsidTr="00B82144">
        <w:tc>
          <w:tcPr>
            <w:tcW w:w="1278" w:type="pct"/>
            <w:tcBorders>
              <w:top w:val="single" w:sz="4" w:space="0" w:color="auto"/>
              <w:left w:val="single" w:sz="4" w:space="0" w:color="auto"/>
              <w:bottom w:val="single" w:sz="4" w:space="0" w:color="auto"/>
              <w:right w:val="single" w:sz="4" w:space="0" w:color="auto"/>
            </w:tcBorders>
          </w:tcPr>
          <w:p w14:paraId="68CF1688" w14:textId="77777777" w:rsidR="006E1ADE" w:rsidRPr="0003648D" w:rsidRDefault="006E1ADE" w:rsidP="00B82144">
            <w:pPr>
              <w:spacing w:after="60"/>
              <w:rPr>
                <w:sz w:val="20"/>
              </w:rPr>
            </w:pPr>
            <w:r>
              <w:rPr>
                <w:sz w:val="20"/>
              </w:rPr>
              <w:t>EC</w:t>
            </w:r>
            <w:r w:rsidRPr="0003648D">
              <w:rPr>
                <w:sz w:val="20"/>
              </w:rPr>
              <w:t xml:space="preserve">RINFQAMT </w:t>
            </w:r>
            <w:r w:rsidRPr="0003648D">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6BA05ABC"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01C5DDC1" w14:textId="77777777" w:rsidR="006E1ADE" w:rsidRPr="0003648D" w:rsidRDefault="006E1ADE" w:rsidP="00B82144">
            <w:pPr>
              <w:spacing w:after="60"/>
              <w:rPr>
                <w:i/>
                <w:sz w:val="20"/>
              </w:rPr>
            </w:pPr>
            <w:r w:rsidRPr="006B6435">
              <w:rPr>
                <w:i/>
                <w:iCs/>
                <w:sz w:val="20"/>
              </w:rPr>
              <w:t>ERCOT Contingency Reserve Service</w:t>
            </w:r>
            <w:r w:rsidRPr="0003648D">
              <w:rPr>
                <w:i/>
                <w:sz w:val="20"/>
              </w:rPr>
              <w:t xml:space="preserve"> Infeasible Quantity Amount per QSE</w:t>
            </w:r>
            <w:r w:rsidRPr="0003648D">
              <w:rPr>
                <w:sz w:val="20"/>
              </w:rPr>
              <w:t xml:space="preserve">—The total charge to QSE </w:t>
            </w:r>
            <w:r w:rsidRPr="0003648D">
              <w:rPr>
                <w:i/>
                <w:sz w:val="20"/>
              </w:rPr>
              <w:t>q</w:t>
            </w:r>
            <w:r w:rsidRPr="0003648D">
              <w:rPr>
                <w:sz w:val="20"/>
              </w:rPr>
              <w:t xml:space="preserve"> for its total capacity associated with infeasible deployment of Ancillary Service Supply Responsibilities for </w:t>
            </w:r>
            <w:r>
              <w:rPr>
                <w:sz w:val="20"/>
              </w:rPr>
              <w:t>EC</w:t>
            </w:r>
            <w:r w:rsidRPr="0003648D">
              <w:rPr>
                <w:sz w:val="20"/>
              </w:rPr>
              <w:t>RS, for the hour.</w:t>
            </w:r>
          </w:p>
        </w:tc>
      </w:tr>
      <w:tr w:rsidR="006E1ADE" w:rsidRPr="0003648D" w14:paraId="7D043F3E" w14:textId="77777777" w:rsidTr="00B82144">
        <w:tc>
          <w:tcPr>
            <w:tcW w:w="1278" w:type="pct"/>
            <w:tcBorders>
              <w:top w:val="single" w:sz="4" w:space="0" w:color="auto"/>
              <w:left w:val="single" w:sz="4" w:space="0" w:color="auto"/>
              <w:bottom w:val="single" w:sz="4" w:space="0" w:color="auto"/>
              <w:right w:val="single" w:sz="4" w:space="0" w:color="auto"/>
            </w:tcBorders>
          </w:tcPr>
          <w:p w14:paraId="02377C58" w14:textId="77777777" w:rsidR="006E1ADE" w:rsidRPr="0003648D" w:rsidRDefault="006E1ADE" w:rsidP="00B82144">
            <w:pPr>
              <w:spacing w:after="60"/>
              <w:rPr>
                <w:i/>
                <w:iCs/>
                <w:sz w:val="20"/>
              </w:rPr>
            </w:pPr>
            <w:r>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25A9F2F8" w14:textId="77777777" w:rsidR="006E1ADE" w:rsidRPr="0003648D" w:rsidRDefault="006E1ADE" w:rsidP="00B82144">
            <w:pPr>
              <w:spacing w:after="60"/>
              <w:rPr>
                <w:iCs/>
                <w:sz w:val="20"/>
              </w:rPr>
            </w:pPr>
            <w:r w:rsidRPr="0003648D">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03DAD404" w14:textId="77777777" w:rsidR="006E1ADE" w:rsidRPr="0003648D" w:rsidRDefault="006E1ADE" w:rsidP="00B82144">
            <w:pPr>
              <w:spacing w:after="60"/>
              <w:rPr>
                <w:iCs/>
                <w:sz w:val="20"/>
              </w:rPr>
            </w:pPr>
            <w:r w:rsidRPr="0003648D">
              <w:rPr>
                <w:iCs/>
                <w:sz w:val="20"/>
              </w:rPr>
              <w:t>A QSE.</w:t>
            </w:r>
          </w:p>
        </w:tc>
      </w:tr>
      <w:tr w:rsidR="006E1ADE" w:rsidRPr="0003648D" w14:paraId="12706BB4" w14:textId="77777777" w:rsidTr="00B82144">
        <w:tc>
          <w:tcPr>
            <w:tcW w:w="1278" w:type="pct"/>
            <w:tcBorders>
              <w:top w:val="single" w:sz="4" w:space="0" w:color="auto"/>
              <w:left w:val="single" w:sz="4" w:space="0" w:color="auto"/>
              <w:bottom w:val="single" w:sz="4" w:space="0" w:color="auto"/>
              <w:right w:val="single" w:sz="4" w:space="0" w:color="auto"/>
            </w:tcBorders>
          </w:tcPr>
          <w:p w14:paraId="26FB2AA8" w14:textId="77777777" w:rsidR="006E1ADE" w:rsidRPr="0003648D" w:rsidRDefault="006E1ADE" w:rsidP="00B82144">
            <w:pPr>
              <w:spacing w:after="60"/>
              <w:rPr>
                <w:i/>
                <w:iCs/>
                <w:sz w:val="20"/>
              </w:rPr>
            </w:pPr>
            <w:r>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0CA02FB3" w14:textId="77777777" w:rsidR="006E1ADE" w:rsidRPr="0003648D" w:rsidRDefault="006E1ADE" w:rsidP="00B82144">
            <w:pPr>
              <w:spacing w:after="60"/>
              <w:rPr>
                <w:iCs/>
                <w:sz w:val="20"/>
              </w:rPr>
            </w:pPr>
            <w:r w:rsidRPr="0003648D">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78529022" w14:textId="77777777" w:rsidR="006E1ADE" w:rsidRPr="0003648D" w:rsidRDefault="006E1ADE" w:rsidP="00B82144">
            <w:pPr>
              <w:spacing w:after="60"/>
              <w:rPr>
                <w:iCs/>
                <w:sz w:val="20"/>
              </w:rPr>
            </w:pPr>
            <w:r w:rsidRPr="0003648D">
              <w:rPr>
                <w:iCs/>
                <w:sz w:val="20"/>
              </w:rPr>
              <w:t>An Ancillary Service market (SASM or RSASM) for the given Operating Hour.</w:t>
            </w:r>
          </w:p>
        </w:tc>
      </w:tr>
    </w:tbl>
    <w:p w14:paraId="7DE09BE6" w14:textId="77777777" w:rsidR="006E1ADE" w:rsidRPr="0003648D" w:rsidRDefault="006E1ADE" w:rsidP="006E1A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E1ADE" w:rsidRPr="0003648D" w14:paraId="7D691F96" w14:textId="77777777" w:rsidTr="006E1ADE">
        <w:trPr>
          <w:trHeight w:val="1016"/>
        </w:trPr>
        <w:tc>
          <w:tcPr>
            <w:tcW w:w="9576" w:type="dxa"/>
            <w:shd w:val="pct12" w:color="auto" w:fill="auto"/>
          </w:tcPr>
          <w:p w14:paraId="2CC9B9A5" w14:textId="77777777" w:rsidR="006E1ADE" w:rsidRPr="0003648D" w:rsidRDefault="006E1ADE" w:rsidP="00B82144">
            <w:pPr>
              <w:pStyle w:val="Instructions"/>
              <w:spacing w:before="120"/>
            </w:pPr>
            <w:r w:rsidRPr="0003648D">
              <w:t>[NPRR841:  Replace paragraph (a) above with the following upon system implementation:]</w:t>
            </w:r>
          </w:p>
          <w:p w14:paraId="51E3C8C8" w14:textId="77777777" w:rsidR="006E1ADE" w:rsidRPr="0003648D" w:rsidRDefault="006E1ADE" w:rsidP="00B82144">
            <w:pPr>
              <w:spacing w:after="240"/>
              <w:ind w:left="1440" w:hanging="720"/>
            </w:pPr>
            <w:r w:rsidRPr="0003648D">
              <w:t>(a)</w:t>
            </w:r>
            <w:r w:rsidRPr="0003648D">
              <w:tab/>
              <w:t xml:space="preserve">The net total costs for </w:t>
            </w:r>
            <w:r>
              <w:t>EC</w:t>
            </w:r>
            <w:r w:rsidRPr="0003648D">
              <w:t>RS for a given Operating Hour is calculated as follows:</w:t>
            </w:r>
          </w:p>
          <w:p w14:paraId="2A9A7254" w14:textId="0D8E637A" w:rsidR="006E1ADE" w:rsidRPr="0003648D" w:rsidRDefault="006E1ADE" w:rsidP="00B82144">
            <w:pPr>
              <w:spacing w:after="120"/>
              <w:ind w:left="3600" w:hanging="2880"/>
              <w:rPr>
                <w:b/>
                <w:bCs/>
              </w:rPr>
            </w:pPr>
            <w:r>
              <w:rPr>
                <w:b/>
                <w:bCs/>
              </w:rPr>
              <w:t>EC</w:t>
            </w:r>
            <w:r w:rsidRPr="0003648D">
              <w:rPr>
                <w:b/>
                <w:bCs/>
              </w:rPr>
              <w:t>RCOSTTOT</w:t>
            </w:r>
            <w:r w:rsidRPr="0003648D">
              <w:rPr>
                <w:b/>
                <w:bCs/>
              </w:rPr>
              <w:tab/>
              <w:t>=</w:t>
            </w:r>
            <w:r w:rsidRPr="0003648D">
              <w:rPr>
                <w:b/>
                <w:bCs/>
              </w:rPr>
              <w:tab/>
              <w:t>(-1) * (</w:t>
            </w:r>
            <w:r>
              <w:rPr>
                <w:b/>
                <w:noProof/>
                <w:position w:val="-20"/>
              </w:rPr>
              <w:drawing>
                <wp:inline distT="0" distB="0" distL="0" distR="0" wp14:anchorId="02004EAC" wp14:editId="6F64EABE">
                  <wp:extent cx="142875" cy="2762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
                <w:bCs/>
              </w:rPr>
              <w:t>(RTPC</w:t>
            </w:r>
            <w:r>
              <w:rPr>
                <w:b/>
                <w:bCs/>
              </w:rPr>
              <w:t>EC</w:t>
            </w:r>
            <w:r w:rsidRPr="0003648D">
              <w:rPr>
                <w:b/>
                <w:bCs/>
              </w:rPr>
              <w:t xml:space="preserve">RAMTTOT </w:t>
            </w:r>
            <w:r w:rsidRPr="0003648D">
              <w:rPr>
                <w:b/>
                <w:bCs/>
                <w:i/>
                <w:vertAlign w:val="subscript"/>
              </w:rPr>
              <w:t>m</w:t>
            </w:r>
            <w:r w:rsidRPr="0003648D">
              <w:rPr>
                <w:rFonts w:ascii="Times New Roman Bold" w:hAnsi="Times New Roman Bold"/>
                <w:b/>
                <w:bCs/>
              </w:rPr>
              <w:t>)</w:t>
            </w:r>
            <w:r w:rsidRPr="0003648D">
              <w:rPr>
                <w:b/>
                <w:bCs/>
              </w:rPr>
              <w:t xml:space="preserve"> +    </w:t>
            </w:r>
            <w:r w:rsidRPr="0003648D">
              <w:rPr>
                <w:b/>
                <w:bCs/>
              </w:rPr>
              <w:tab/>
              <w:t>PC</w:t>
            </w:r>
            <w:r>
              <w:rPr>
                <w:b/>
                <w:bCs/>
              </w:rPr>
              <w:t>EC</w:t>
            </w:r>
            <w:r w:rsidRPr="0003648D">
              <w:rPr>
                <w:b/>
                <w:bCs/>
              </w:rPr>
              <w:t xml:space="preserve">RAMTTOT  + </w:t>
            </w:r>
            <w:r>
              <w:rPr>
                <w:b/>
                <w:bCs/>
              </w:rPr>
              <w:t>EC</w:t>
            </w:r>
            <w:r w:rsidRPr="0003648D">
              <w:rPr>
                <w:b/>
                <w:bCs/>
              </w:rPr>
              <w:t xml:space="preserve">RFQAMTTOT + </w:t>
            </w:r>
          </w:p>
          <w:p w14:paraId="0220D9E9" w14:textId="77777777" w:rsidR="006E1ADE" w:rsidRPr="0003648D" w:rsidRDefault="006E1ADE" w:rsidP="00B82144">
            <w:pPr>
              <w:spacing w:after="240"/>
              <w:ind w:left="3600" w:firstLine="720"/>
              <w:rPr>
                <w:b/>
                <w:bCs/>
              </w:rPr>
            </w:pPr>
            <w:r>
              <w:rPr>
                <w:b/>
                <w:bCs/>
              </w:rPr>
              <w:t>EC</w:t>
            </w:r>
            <w:r w:rsidRPr="0003648D">
              <w:rPr>
                <w:b/>
                <w:bCs/>
              </w:rPr>
              <w:t xml:space="preserve">RINFQAMTTOT </w:t>
            </w:r>
            <w:r w:rsidRPr="0003648D">
              <w:rPr>
                <w:b/>
              </w:rPr>
              <w:t xml:space="preserve">+ </w:t>
            </w:r>
            <w:r>
              <w:rPr>
                <w:b/>
                <w:color w:val="000000"/>
              </w:rPr>
              <w:t>EC</w:t>
            </w:r>
            <w:r w:rsidRPr="0003648D">
              <w:rPr>
                <w:b/>
                <w:color w:val="000000"/>
              </w:rPr>
              <w:t>RMWINFATOT</w:t>
            </w:r>
            <w:r w:rsidRPr="0003648D">
              <w:rPr>
                <w:b/>
                <w:bCs/>
              </w:rPr>
              <w:t>)</w:t>
            </w:r>
          </w:p>
          <w:p w14:paraId="41546782" w14:textId="77777777" w:rsidR="006E1ADE" w:rsidRPr="0003648D" w:rsidRDefault="006E1ADE" w:rsidP="00B82144">
            <w:pPr>
              <w:spacing w:after="240"/>
              <w:rPr>
                <w:iCs/>
              </w:rPr>
            </w:pPr>
            <w:r w:rsidRPr="0003648D">
              <w:rPr>
                <w:iCs/>
              </w:rPr>
              <w:t xml:space="preserve">Where: </w:t>
            </w:r>
          </w:p>
          <w:p w14:paraId="5E13B1FB" w14:textId="77777777" w:rsidR="006E1ADE" w:rsidRPr="0003648D" w:rsidRDefault="006E1ADE" w:rsidP="00B82144">
            <w:r w:rsidRPr="0003648D">
              <w:lastRenderedPageBreak/>
              <w:t xml:space="preserve">Total payment of SASM- and RSASM-procured capacity for </w:t>
            </w:r>
            <w:r>
              <w:t>ECRS</w:t>
            </w:r>
            <w:r w:rsidRPr="0003648D">
              <w:t xml:space="preserve"> by market</w:t>
            </w:r>
          </w:p>
          <w:p w14:paraId="349FCD2A" w14:textId="516ECF5D" w:rsidR="006E1ADE" w:rsidRPr="0003648D" w:rsidRDefault="006E1ADE" w:rsidP="00B82144">
            <w:pPr>
              <w:spacing w:after="240"/>
              <w:ind w:leftChars="300" w:left="2880" w:hangingChars="900" w:hanging="2160"/>
              <w:rPr>
                <w:bCs/>
                <w:i/>
                <w:vertAlign w:val="subscript"/>
              </w:rPr>
            </w:pPr>
            <w:r w:rsidRPr="0003648D">
              <w:rPr>
                <w:bCs/>
              </w:rPr>
              <w:t>RTPC</w:t>
            </w:r>
            <w:r>
              <w:rPr>
                <w:bCs/>
              </w:rPr>
              <w:t>EC</w:t>
            </w:r>
            <w:r w:rsidRPr="0003648D">
              <w:rPr>
                <w:bCs/>
              </w:rPr>
              <w:t xml:space="preserve">RAMTTOT </w:t>
            </w:r>
            <w:r w:rsidRPr="0003648D">
              <w:rPr>
                <w:bCs/>
                <w:i/>
                <w:vertAlign w:val="subscript"/>
              </w:rPr>
              <w:t>m</w:t>
            </w:r>
            <w:r w:rsidRPr="0003648D">
              <w:rPr>
                <w:bCs/>
              </w:rPr>
              <w:tab/>
            </w:r>
            <w:r w:rsidRPr="0003648D">
              <w:rPr>
                <w:bCs/>
              </w:rPr>
              <w:tab/>
              <w:t>=</w:t>
            </w:r>
            <w:r w:rsidRPr="0003648D">
              <w:rPr>
                <w:bCs/>
              </w:rPr>
              <w:tab/>
            </w:r>
            <w:r>
              <w:rPr>
                <w:noProof/>
                <w:position w:val="-22"/>
              </w:rPr>
              <w:drawing>
                <wp:inline distT="0" distB="0" distL="0" distR="0" wp14:anchorId="60D6CE9C" wp14:editId="2C4796BE">
                  <wp:extent cx="142875" cy="29527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RTPC</w:t>
            </w:r>
            <w:r>
              <w:rPr>
                <w:bCs/>
              </w:rPr>
              <w:t>EC</w:t>
            </w:r>
            <w:r w:rsidRPr="0003648D">
              <w:rPr>
                <w:bCs/>
              </w:rPr>
              <w:t xml:space="preserve">RAMT </w:t>
            </w:r>
            <w:r w:rsidRPr="0003648D">
              <w:rPr>
                <w:bCs/>
                <w:i/>
                <w:vertAlign w:val="subscript"/>
              </w:rPr>
              <w:t>q, m</w:t>
            </w:r>
          </w:p>
          <w:p w14:paraId="718E9C12" w14:textId="77777777" w:rsidR="006E1ADE" w:rsidRPr="0003648D" w:rsidRDefault="006E1ADE" w:rsidP="00B82144">
            <w:r w:rsidRPr="0003648D">
              <w:t xml:space="preserve">Total payment of DAM-procured capacity for </w:t>
            </w:r>
            <w:r>
              <w:t>ECRS</w:t>
            </w:r>
          </w:p>
          <w:p w14:paraId="07065A40" w14:textId="1550D6C6" w:rsidR="006E1ADE" w:rsidRPr="0003648D" w:rsidRDefault="006E1ADE" w:rsidP="00B82144">
            <w:pPr>
              <w:spacing w:after="240"/>
              <w:ind w:leftChars="300" w:left="2880" w:hangingChars="900" w:hanging="2160"/>
              <w:rPr>
                <w:bCs/>
              </w:rPr>
            </w:pPr>
            <w:r w:rsidRPr="0003648D">
              <w:rPr>
                <w:bCs/>
              </w:rPr>
              <w:t>PC</w:t>
            </w:r>
            <w:r>
              <w:rPr>
                <w:bCs/>
              </w:rPr>
              <w:t>EC</w:t>
            </w:r>
            <w:r w:rsidRPr="0003648D">
              <w:rPr>
                <w:bCs/>
              </w:rPr>
              <w:t>RAMTTOT</w:t>
            </w:r>
            <w:r w:rsidRPr="0003648D">
              <w:rPr>
                <w:bCs/>
                <w:i/>
                <w:vertAlign w:val="subscript"/>
              </w:rPr>
              <w:tab/>
            </w:r>
            <w:r w:rsidRPr="0003648D">
              <w:rPr>
                <w:bCs/>
                <w:i/>
                <w:vertAlign w:val="subscript"/>
              </w:rPr>
              <w:tab/>
            </w:r>
            <w:r w:rsidRPr="0003648D">
              <w:rPr>
                <w:bCs/>
              </w:rPr>
              <w:t>=</w:t>
            </w:r>
            <w:r w:rsidRPr="0003648D">
              <w:rPr>
                <w:bCs/>
              </w:rPr>
              <w:tab/>
            </w:r>
            <w:r>
              <w:rPr>
                <w:noProof/>
                <w:position w:val="-22"/>
              </w:rPr>
              <w:drawing>
                <wp:inline distT="0" distB="0" distL="0" distR="0" wp14:anchorId="2BC1245F" wp14:editId="7FD7CFEE">
                  <wp:extent cx="142875" cy="29527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PC</w:t>
            </w:r>
            <w:r>
              <w:rPr>
                <w:bCs/>
              </w:rPr>
              <w:t>EC</w:t>
            </w:r>
            <w:r w:rsidRPr="0003648D">
              <w:rPr>
                <w:bCs/>
              </w:rPr>
              <w:t xml:space="preserve">RAMT </w:t>
            </w:r>
            <w:r w:rsidRPr="0003648D">
              <w:rPr>
                <w:bCs/>
                <w:i/>
                <w:vertAlign w:val="subscript"/>
              </w:rPr>
              <w:t>q</w:t>
            </w:r>
          </w:p>
          <w:p w14:paraId="19C0F888" w14:textId="77777777" w:rsidR="006E1ADE" w:rsidRPr="0003648D" w:rsidRDefault="006E1ADE" w:rsidP="00B82144">
            <w:r w:rsidRPr="0003648D">
              <w:t xml:space="preserve">Total charge of failure on Ancillary Service Supply Responsibility for </w:t>
            </w:r>
            <w:r>
              <w:t>ECRS</w:t>
            </w:r>
          </w:p>
          <w:p w14:paraId="1B0B447D" w14:textId="21F25113" w:rsidR="006E1ADE" w:rsidRPr="0003648D" w:rsidRDefault="006E1ADE" w:rsidP="00B82144">
            <w:pPr>
              <w:spacing w:after="240"/>
              <w:ind w:leftChars="300" w:left="2880" w:hangingChars="900" w:hanging="2160"/>
              <w:rPr>
                <w:bCs/>
                <w:i/>
                <w:vertAlign w:val="subscript"/>
              </w:rPr>
            </w:pPr>
            <w:r>
              <w:rPr>
                <w:bCs/>
              </w:rPr>
              <w:t>EC</w:t>
            </w:r>
            <w:r w:rsidRPr="0003648D">
              <w:rPr>
                <w:bCs/>
              </w:rPr>
              <w:t>RFQAMTTOT</w:t>
            </w:r>
            <w:r w:rsidRPr="0003648D">
              <w:rPr>
                <w:bCs/>
              </w:rPr>
              <w:tab/>
            </w:r>
            <w:r w:rsidRPr="0003648D">
              <w:rPr>
                <w:bCs/>
              </w:rPr>
              <w:tab/>
              <w:t>=</w:t>
            </w:r>
            <w:r w:rsidRPr="0003648D">
              <w:rPr>
                <w:bCs/>
              </w:rPr>
              <w:tab/>
            </w:r>
            <w:r>
              <w:rPr>
                <w:noProof/>
                <w:position w:val="-22"/>
              </w:rPr>
              <w:drawing>
                <wp:inline distT="0" distB="0" distL="0" distR="0" wp14:anchorId="2B9D17FF" wp14:editId="34E3CB12">
                  <wp:extent cx="142875" cy="2952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Pr>
                <w:bCs/>
              </w:rPr>
              <w:t>EC</w:t>
            </w:r>
            <w:r w:rsidRPr="0003648D">
              <w:rPr>
                <w:bCs/>
              </w:rPr>
              <w:t xml:space="preserve">RFQAMTQSETOT </w:t>
            </w:r>
            <w:r w:rsidRPr="0003648D">
              <w:rPr>
                <w:bCs/>
                <w:i/>
                <w:vertAlign w:val="subscript"/>
              </w:rPr>
              <w:t>q</w:t>
            </w:r>
          </w:p>
          <w:p w14:paraId="1A4F230A" w14:textId="77777777" w:rsidR="006E1ADE" w:rsidRPr="0003648D" w:rsidRDefault="006E1ADE" w:rsidP="00B82144">
            <w:pPr>
              <w:ind w:left="300" w:hangingChars="125" w:hanging="300"/>
              <w:rPr>
                <w:bCs/>
              </w:rPr>
            </w:pPr>
            <w:r w:rsidRPr="0003648D">
              <w:rPr>
                <w:bCs/>
              </w:rPr>
              <w:t xml:space="preserve">Total payment of SASM- and RSASM-procured capacity </w:t>
            </w:r>
            <w:r>
              <w:rPr>
                <w:bCs/>
              </w:rPr>
              <w:t>ECRS</w:t>
            </w:r>
            <w:r w:rsidRPr="0003648D">
              <w:rPr>
                <w:bCs/>
              </w:rPr>
              <w:t xml:space="preserve"> Service by QSE</w:t>
            </w:r>
          </w:p>
          <w:p w14:paraId="68FFEFE0" w14:textId="48F20E12" w:rsidR="006E1ADE" w:rsidRPr="0003648D" w:rsidRDefault="006E1ADE" w:rsidP="00B82144">
            <w:pPr>
              <w:spacing w:after="240"/>
              <w:ind w:leftChars="300" w:left="2880" w:hangingChars="900" w:hanging="2160"/>
              <w:rPr>
                <w:bCs/>
                <w:i/>
                <w:vertAlign w:val="subscript"/>
              </w:rPr>
            </w:pPr>
            <w:r w:rsidRPr="0003648D">
              <w:rPr>
                <w:bCs/>
              </w:rPr>
              <w:t>RTPC</w:t>
            </w:r>
            <w:r>
              <w:rPr>
                <w:bCs/>
              </w:rPr>
              <w:t>EC</w:t>
            </w:r>
            <w:r w:rsidRPr="0003648D">
              <w:rPr>
                <w:bCs/>
              </w:rPr>
              <w:t xml:space="preserve">RAMTQSETOT </w:t>
            </w:r>
            <w:r w:rsidRPr="0003648D">
              <w:rPr>
                <w:bCs/>
                <w:i/>
                <w:vertAlign w:val="subscript"/>
              </w:rPr>
              <w:t>q</w:t>
            </w:r>
            <w:r w:rsidRPr="0003648D">
              <w:rPr>
                <w:bCs/>
              </w:rPr>
              <w:t xml:space="preserve"> </w:t>
            </w:r>
            <w:r w:rsidRPr="0003648D">
              <w:rPr>
                <w:bCs/>
              </w:rPr>
              <w:tab/>
              <w:t>=</w:t>
            </w:r>
            <w:r w:rsidRPr="0003648D">
              <w:rPr>
                <w:bCs/>
              </w:rPr>
              <w:tab/>
            </w:r>
            <w:r>
              <w:rPr>
                <w:noProof/>
                <w:position w:val="-20"/>
              </w:rPr>
              <w:drawing>
                <wp:inline distT="0" distB="0" distL="0" distR="0" wp14:anchorId="44AE500D" wp14:editId="7A70802C">
                  <wp:extent cx="142875" cy="27622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Cs/>
              </w:rPr>
              <w:t>RTPC</w:t>
            </w:r>
            <w:r>
              <w:rPr>
                <w:bCs/>
              </w:rPr>
              <w:t>EC</w:t>
            </w:r>
            <w:r w:rsidRPr="0003648D">
              <w:rPr>
                <w:bCs/>
              </w:rPr>
              <w:t xml:space="preserve">RAMT </w:t>
            </w:r>
            <w:r w:rsidRPr="0003648D">
              <w:rPr>
                <w:bCs/>
                <w:i/>
                <w:vertAlign w:val="subscript"/>
              </w:rPr>
              <w:t>q, m</w:t>
            </w:r>
          </w:p>
          <w:p w14:paraId="3DA25BE3" w14:textId="77777777" w:rsidR="006E1ADE" w:rsidRPr="0003648D" w:rsidRDefault="006E1ADE" w:rsidP="00B82144">
            <w:r w:rsidRPr="0003648D">
              <w:t xml:space="preserve">Total charge of infeasible Ancillary Service Supply Responsibility for </w:t>
            </w:r>
            <w:r>
              <w:t>ECRS</w:t>
            </w:r>
          </w:p>
          <w:p w14:paraId="18ABE271" w14:textId="6A946547" w:rsidR="006E1ADE" w:rsidRPr="0003648D" w:rsidRDefault="006E1ADE" w:rsidP="00B82144">
            <w:pPr>
              <w:spacing w:after="240"/>
              <w:ind w:left="2880" w:hanging="2160"/>
            </w:pPr>
            <w:r>
              <w:t>EC</w:t>
            </w:r>
            <w:r w:rsidRPr="0003648D">
              <w:t>RINFQAMTTOT</w:t>
            </w:r>
            <w:r w:rsidRPr="0003648D">
              <w:tab/>
              <w:t>=</w:t>
            </w:r>
            <w:r w:rsidRPr="0003648D">
              <w:tab/>
            </w:r>
            <w:r>
              <w:rPr>
                <w:noProof/>
                <w:position w:val="-22"/>
              </w:rPr>
              <w:drawing>
                <wp:inline distT="0" distB="0" distL="0" distR="0" wp14:anchorId="6E41E853" wp14:editId="35647976">
                  <wp:extent cx="142875" cy="29527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t xml:space="preserve"> </w:t>
            </w:r>
            <w:r>
              <w:t>EC</w:t>
            </w:r>
            <w:r w:rsidRPr="0003648D">
              <w:t xml:space="preserve">RINFQAMT </w:t>
            </w:r>
            <w:r w:rsidRPr="0003648D">
              <w:rPr>
                <w:i/>
                <w:vertAlign w:val="subscript"/>
              </w:rPr>
              <w:t>q</w:t>
            </w:r>
            <w:r w:rsidRPr="0003648D">
              <w:rPr>
                <w:vertAlign w:val="subscript"/>
              </w:rPr>
              <w:t xml:space="preserve"> </w:t>
            </w:r>
          </w:p>
          <w:p w14:paraId="151ACDC3" w14:textId="77777777" w:rsidR="006E1ADE" w:rsidRPr="0003648D" w:rsidRDefault="006E1ADE" w:rsidP="00B82144">
            <w:pPr>
              <w:pStyle w:val="Formula"/>
              <w:ind w:left="2880" w:hanging="2160"/>
            </w:pPr>
            <w:r w:rsidRPr="0003648D">
              <w:t xml:space="preserve">Total Real-Time </w:t>
            </w:r>
            <w:r w:rsidRPr="0003648D">
              <w:rPr>
                <w:iCs/>
              </w:rPr>
              <w:t>Day-Ahead</w:t>
            </w:r>
            <w:r w:rsidRPr="0003648D">
              <w:t xml:space="preserve"> Make-Whole Payment for </w:t>
            </w:r>
            <w:r>
              <w:t>ECRS</w:t>
            </w:r>
          </w:p>
          <w:p w14:paraId="40547AF8" w14:textId="77777777" w:rsidR="006E1ADE" w:rsidRPr="0003648D" w:rsidRDefault="006E1ADE" w:rsidP="00B82144">
            <w:pPr>
              <w:spacing w:after="240"/>
              <w:ind w:left="2880" w:hanging="2160"/>
            </w:pPr>
            <w:r>
              <w:t>EC</w:t>
            </w:r>
            <w:r w:rsidRPr="0003648D">
              <w:t>RMWINFATOT</w:t>
            </w:r>
            <w:r w:rsidRPr="0003648D">
              <w:tab/>
              <w:t>=</w:t>
            </w:r>
            <w:r w:rsidRPr="0003648D">
              <w:tab/>
            </w:r>
            <w:r w:rsidRPr="0003648D">
              <w:rPr>
                <w:position w:val="-22"/>
                <w:lang w:val="pt-BR"/>
              </w:rPr>
              <w:object w:dxaOrig="220" w:dyaOrig="460" w14:anchorId="717A9DAD">
                <v:shape id="_x0000_i1358" type="#_x0000_t75" style="width:12pt;height:24.6pt" o:ole="">
                  <v:imagedata r:id="rId435" o:title=""/>
                </v:shape>
                <o:OLEObject Type="Embed" ProgID="Equation.3" ShapeID="_x0000_i1358" DrawAspect="Content" ObjectID="_1815025546" r:id="rId445"/>
              </w:object>
            </w:r>
            <w:r w:rsidRPr="0003648D">
              <w:rPr>
                <w:color w:val="000000"/>
              </w:rPr>
              <w:t xml:space="preserve"> </w:t>
            </w:r>
            <w:r>
              <w:rPr>
                <w:color w:val="000000"/>
              </w:rPr>
              <w:t>EC</w:t>
            </w:r>
            <w:r w:rsidRPr="0003648D">
              <w:rPr>
                <w:color w:val="000000"/>
              </w:rPr>
              <w:t>RMWINFA</w:t>
            </w:r>
            <w:r w:rsidRPr="0003648D" w:rsidDel="00601212">
              <w:rPr>
                <w:color w:val="000000"/>
              </w:rPr>
              <w:t xml:space="preserve"> </w:t>
            </w:r>
            <w:r w:rsidRPr="0003648D">
              <w:rPr>
                <w:i/>
                <w:vertAlign w:val="subscript"/>
              </w:rPr>
              <w:t xml:space="preserve">q, h  </w:t>
            </w:r>
          </w:p>
          <w:p w14:paraId="03FE60BA" w14:textId="77777777" w:rsidR="006E1ADE" w:rsidRPr="0003648D" w:rsidRDefault="006E1ADE" w:rsidP="00B82144">
            <w:r w:rsidRPr="0003648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6E1ADE" w:rsidRPr="0003648D" w14:paraId="0F64C4F5" w14:textId="77777777" w:rsidTr="00B82144">
              <w:trPr>
                <w:tblHeader/>
              </w:trPr>
              <w:tc>
                <w:tcPr>
                  <w:tcW w:w="1278" w:type="pct"/>
                </w:tcPr>
                <w:p w14:paraId="50D170DF" w14:textId="77777777" w:rsidR="006E1ADE" w:rsidRPr="0003648D" w:rsidRDefault="006E1ADE" w:rsidP="00B82144">
                  <w:pPr>
                    <w:spacing w:after="120"/>
                    <w:rPr>
                      <w:b/>
                      <w:iCs/>
                      <w:sz w:val="20"/>
                    </w:rPr>
                  </w:pPr>
                  <w:r w:rsidRPr="0003648D">
                    <w:rPr>
                      <w:b/>
                      <w:iCs/>
                      <w:sz w:val="20"/>
                    </w:rPr>
                    <w:t>Variable</w:t>
                  </w:r>
                </w:p>
              </w:tc>
              <w:tc>
                <w:tcPr>
                  <w:tcW w:w="329" w:type="pct"/>
                </w:tcPr>
                <w:p w14:paraId="0DE408C9" w14:textId="77777777" w:rsidR="006E1ADE" w:rsidRPr="0003648D" w:rsidRDefault="006E1ADE" w:rsidP="00B82144">
                  <w:pPr>
                    <w:spacing w:after="120"/>
                    <w:rPr>
                      <w:b/>
                      <w:iCs/>
                      <w:sz w:val="20"/>
                    </w:rPr>
                  </w:pPr>
                  <w:r w:rsidRPr="0003648D">
                    <w:rPr>
                      <w:b/>
                      <w:iCs/>
                      <w:sz w:val="20"/>
                    </w:rPr>
                    <w:t>Unit</w:t>
                  </w:r>
                </w:p>
              </w:tc>
              <w:tc>
                <w:tcPr>
                  <w:tcW w:w="3393" w:type="pct"/>
                </w:tcPr>
                <w:p w14:paraId="0031BE78" w14:textId="77777777" w:rsidR="006E1ADE" w:rsidRPr="0003648D" w:rsidRDefault="006E1ADE" w:rsidP="00B82144">
                  <w:pPr>
                    <w:spacing w:after="120"/>
                    <w:rPr>
                      <w:b/>
                      <w:iCs/>
                      <w:sz w:val="20"/>
                    </w:rPr>
                  </w:pPr>
                  <w:r w:rsidRPr="0003648D">
                    <w:rPr>
                      <w:b/>
                      <w:iCs/>
                      <w:sz w:val="20"/>
                    </w:rPr>
                    <w:t>Description</w:t>
                  </w:r>
                </w:p>
              </w:tc>
            </w:tr>
            <w:tr w:rsidR="006E1ADE" w:rsidRPr="0003648D" w14:paraId="28174320" w14:textId="77777777" w:rsidTr="00B82144">
              <w:tc>
                <w:tcPr>
                  <w:tcW w:w="1278" w:type="pct"/>
                </w:tcPr>
                <w:p w14:paraId="27E4A9CC" w14:textId="77777777" w:rsidR="006E1ADE" w:rsidRPr="0003648D" w:rsidRDefault="006E1ADE" w:rsidP="00B82144">
                  <w:pPr>
                    <w:spacing w:after="60"/>
                    <w:rPr>
                      <w:iCs/>
                      <w:sz w:val="20"/>
                    </w:rPr>
                  </w:pPr>
                  <w:r>
                    <w:rPr>
                      <w:iCs/>
                      <w:sz w:val="20"/>
                    </w:rPr>
                    <w:t>EC</w:t>
                  </w:r>
                  <w:r w:rsidRPr="0003648D">
                    <w:rPr>
                      <w:iCs/>
                      <w:sz w:val="20"/>
                    </w:rPr>
                    <w:t>RCOSTTOT</w:t>
                  </w:r>
                </w:p>
              </w:tc>
              <w:tc>
                <w:tcPr>
                  <w:tcW w:w="329" w:type="pct"/>
                </w:tcPr>
                <w:p w14:paraId="0A52C133" w14:textId="77777777" w:rsidR="006E1ADE" w:rsidRPr="0003648D" w:rsidRDefault="006E1ADE" w:rsidP="00B82144">
                  <w:pPr>
                    <w:spacing w:after="60"/>
                    <w:rPr>
                      <w:iCs/>
                      <w:sz w:val="20"/>
                    </w:rPr>
                  </w:pPr>
                  <w:r w:rsidRPr="0003648D">
                    <w:rPr>
                      <w:iCs/>
                      <w:sz w:val="20"/>
                    </w:rPr>
                    <w:t>$</w:t>
                  </w:r>
                </w:p>
              </w:tc>
              <w:tc>
                <w:tcPr>
                  <w:tcW w:w="3393" w:type="pct"/>
                </w:tcPr>
                <w:p w14:paraId="23CA6F29" w14:textId="77777777" w:rsidR="006E1ADE" w:rsidRPr="0003648D" w:rsidRDefault="006E1ADE" w:rsidP="00B82144">
                  <w:pPr>
                    <w:spacing w:after="60"/>
                    <w:rPr>
                      <w:iCs/>
                      <w:sz w:val="20"/>
                    </w:rPr>
                  </w:pPr>
                  <w:r>
                    <w:rPr>
                      <w:i/>
                      <w:iCs/>
                      <w:sz w:val="20"/>
                    </w:rPr>
                    <w:t>ERCOT Contingency Reserve Service</w:t>
                  </w:r>
                  <w:r w:rsidRPr="0003648D">
                    <w:rPr>
                      <w:i/>
                      <w:iCs/>
                      <w:sz w:val="20"/>
                    </w:rPr>
                    <w:t xml:space="preserve"> Cost Total</w:t>
                  </w:r>
                  <w:r w:rsidRPr="0003648D">
                    <w:rPr>
                      <w:iCs/>
                      <w:sz w:val="20"/>
                    </w:rPr>
                    <w:t xml:space="preserve">—The net total costs for </w:t>
                  </w:r>
                  <w:r>
                    <w:rPr>
                      <w:iCs/>
                      <w:sz w:val="20"/>
                    </w:rPr>
                    <w:t>ECRS</w:t>
                  </w:r>
                  <w:r w:rsidRPr="0003648D">
                    <w:rPr>
                      <w:iCs/>
                      <w:sz w:val="20"/>
                    </w:rPr>
                    <w:t>, for the hour.</w:t>
                  </w:r>
                </w:p>
              </w:tc>
            </w:tr>
            <w:tr w:rsidR="006E1ADE" w:rsidRPr="0003648D" w14:paraId="663CA03A" w14:textId="77777777" w:rsidTr="00B82144">
              <w:tc>
                <w:tcPr>
                  <w:tcW w:w="1278" w:type="pct"/>
                  <w:tcBorders>
                    <w:top w:val="single" w:sz="4" w:space="0" w:color="auto"/>
                    <w:left w:val="single" w:sz="4" w:space="0" w:color="auto"/>
                    <w:bottom w:val="single" w:sz="4" w:space="0" w:color="auto"/>
                    <w:right w:val="single" w:sz="4" w:space="0" w:color="auto"/>
                  </w:tcBorders>
                </w:tcPr>
                <w:p w14:paraId="1F76E431"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RAMTTOT </w:t>
                  </w:r>
                  <w:r w:rsidRPr="0003648D">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2F1CDCCE"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14F9CBD" w14:textId="77777777" w:rsidR="006E1ADE" w:rsidRPr="0003648D" w:rsidRDefault="006E1ADE" w:rsidP="00B82144">
                  <w:pPr>
                    <w:spacing w:after="60"/>
                    <w:rPr>
                      <w:i/>
                      <w:iCs/>
                      <w:sz w:val="20"/>
                    </w:rPr>
                  </w:pPr>
                  <w:r w:rsidRPr="0003648D">
                    <w:rPr>
                      <w:i/>
                      <w:iCs/>
                      <w:sz w:val="20"/>
                    </w:rPr>
                    <w:t xml:space="preserve">Procured Capacity for </w:t>
                  </w:r>
                  <w:r>
                    <w:rPr>
                      <w:i/>
                      <w:iCs/>
                      <w:sz w:val="20"/>
                    </w:rPr>
                    <w:t>ERCOT Contingency Reserve Service</w:t>
                  </w:r>
                  <w:r w:rsidRPr="0003648D">
                    <w:rPr>
                      <w:i/>
                      <w:iCs/>
                      <w:sz w:val="20"/>
                    </w:rPr>
                    <w:t xml:space="preserve"> Amount Total by market—</w:t>
                  </w:r>
                  <w:r w:rsidRPr="0003648D">
                    <w:rPr>
                      <w:iCs/>
                      <w:sz w:val="20"/>
                    </w:rPr>
                    <w:t xml:space="preserve">The total payments to all QSEs for the Ancillary Service Offers cleared in the market </w:t>
                  </w:r>
                  <w:r w:rsidRPr="0003648D">
                    <w:rPr>
                      <w:i/>
                      <w:iCs/>
                      <w:sz w:val="20"/>
                    </w:rPr>
                    <w:t>m</w:t>
                  </w:r>
                  <w:r w:rsidRPr="0003648D">
                    <w:rPr>
                      <w:iCs/>
                      <w:sz w:val="20"/>
                    </w:rPr>
                    <w:t xml:space="preserve"> for </w:t>
                  </w:r>
                  <w:r>
                    <w:rPr>
                      <w:iCs/>
                      <w:sz w:val="20"/>
                    </w:rPr>
                    <w:t>ECRS</w:t>
                  </w:r>
                  <w:r w:rsidRPr="0003648D">
                    <w:rPr>
                      <w:iCs/>
                      <w:sz w:val="20"/>
                    </w:rPr>
                    <w:t>, for the hour.</w:t>
                  </w:r>
                </w:p>
              </w:tc>
            </w:tr>
            <w:tr w:rsidR="006E1ADE" w:rsidRPr="0003648D" w14:paraId="595A0A5A" w14:textId="77777777" w:rsidTr="00B82144">
              <w:tc>
                <w:tcPr>
                  <w:tcW w:w="1278" w:type="pct"/>
                  <w:tcBorders>
                    <w:top w:val="single" w:sz="4" w:space="0" w:color="auto"/>
                    <w:left w:val="single" w:sz="4" w:space="0" w:color="auto"/>
                    <w:bottom w:val="single" w:sz="4" w:space="0" w:color="auto"/>
                    <w:right w:val="single" w:sz="4" w:space="0" w:color="auto"/>
                  </w:tcBorders>
                </w:tcPr>
                <w:p w14:paraId="3EDBB94C"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RAMT </w:t>
                  </w:r>
                  <w:r w:rsidRPr="0003648D">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0E6070F4"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24D9FA0A" w14:textId="77777777" w:rsidR="006E1ADE" w:rsidRPr="0003648D" w:rsidRDefault="006E1ADE" w:rsidP="00B82144">
                  <w:pPr>
                    <w:spacing w:after="60"/>
                    <w:rPr>
                      <w:i/>
                      <w:iCs/>
                      <w:sz w:val="20"/>
                    </w:rPr>
                  </w:pPr>
                  <w:r w:rsidRPr="0003648D">
                    <w:rPr>
                      <w:i/>
                      <w:iCs/>
                      <w:sz w:val="20"/>
                    </w:rPr>
                    <w:t xml:space="preserve">Procured Capacity for </w:t>
                  </w:r>
                  <w:r>
                    <w:rPr>
                      <w:i/>
                      <w:iCs/>
                      <w:sz w:val="20"/>
                    </w:rPr>
                    <w:t>ERCOT Contingency Reserve Service</w:t>
                  </w:r>
                  <w:r w:rsidRPr="0003648D">
                    <w:rPr>
                      <w:i/>
                      <w:iCs/>
                      <w:sz w:val="20"/>
                    </w:rPr>
                    <w:t xml:space="preserve"> Amount per QSE by market</w:t>
                  </w:r>
                  <w:r w:rsidRPr="0003648D">
                    <w:rPr>
                      <w:iCs/>
                      <w:sz w:val="20"/>
                    </w:rPr>
                    <w:t xml:space="preserve">—The payment to QSE </w:t>
                  </w:r>
                  <w:r w:rsidRPr="0003648D">
                    <w:rPr>
                      <w:i/>
                      <w:iCs/>
                      <w:sz w:val="20"/>
                    </w:rPr>
                    <w:t>q</w:t>
                  </w:r>
                  <w:r w:rsidRPr="0003648D">
                    <w:rPr>
                      <w:iCs/>
                      <w:sz w:val="20"/>
                    </w:rPr>
                    <w:t xml:space="preserve"> for its Ancillary Service Offers cleared in the market </w:t>
                  </w:r>
                  <w:r w:rsidRPr="0003648D">
                    <w:rPr>
                      <w:i/>
                      <w:iCs/>
                      <w:sz w:val="20"/>
                    </w:rPr>
                    <w:t>m</w:t>
                  </w:r>
                  <w:r w:rsidRPr="0003648D">
                    <w:rPr>
                      <w:iCs/>
                      <w:sz w:val="20"/>
                    </w:rPr>
                    <w:t xml:space="preserve"> for </w:t>
                  </w:r>
                  <w:r>
                    <w:rPr>
                      <w:iCs/>
                      <w:sz w:val="20"/>
                    </w:rPr>
                    <w:t>ECRS</w:t>
                  </w:r>
                  <w:r w:rsidRPr="0003648D">
                    <w:rPr>
                      <w:iCs/>
                      <w:sz w:val="20"/>
                    </w:rPr>
                    <w:t>, for the hour.</w:t>
                  </w:r>
                </w:p>
              </w:tc>
            </w:tr>
            <w:tr w:rsidR="006E1ADE" w:rsidRPr="0003648D" w14:paraId="6C5E8255" w14:textId="77777777" w:rsidTr="00B82144">
              <w:tc>
                <w:tcPr>
                  <w:tcW w:w="1278" w:type="pct"/>
                  <w:tcBorders>
                    <w:top w:val="single" w:sz="4" w:space="0" w:color="auto"/>
                    <w:left w:val="single" w:sz="4" w:space="0" w:color="auto"/>
                    <w:bottom w:val="single" w:sz="4" w:space="0" w:color="auto"/>
                    <w:right w:val="single" w:sz="4" w:space="0" w:color="auto"/>
                  </w:tcBorders>
                </w:tcPr>
                <w:p w14:paraId="6E4C0BCA" w14:textId="77777777" w:rsidR="006E1ADE" w:rsidRPr="0003648D" w:rsidRDefault="006E1ADE" w:rsidP="00B82144">
                  <w:pPr>
                    <w:spacing w:after="60"/>
                    <w:rPr>
                      <w:iCs/>
                      <w:sz w:val="20"/>
                    </w:rPr>
                  </w:pPr>
                  <w:r>
                    <w:rPr>
                      <w:iCs/>
                      <w:sz w:val="20"/>
                    </w:rPr>
                    <w:t>EC</w:t>
                  </w:r>
                  <w:r w:rsidRPr="0003648D">
                    <w:rPr>
                      <w:iCs/>
                      <w:sz w:val="20"/>
                    </w:rPr>
                    <w:t>RFQAMTTOT</w:t>
                  </w:r>
                </w:p>
              </w:tc>
              <w:tc>
                <w:tcPr>
                  <w:tcW w:w="329" w:type="pct"/>
                  <w:tcBorders>
                    <w:top w:val="single" w:sz="4" w:space="0" w:color="auto"/>
                    <w:left w:val="single" w:sz="4" w:space="0" w:color="auto"/>
                    <w:bottom w:val="single" w:sz="4" w:space="0" w:color="auto"/>
                    <w:right w:val="single" w:sz="4" w:space="0" w:color="auto"/>
                  </w:tcBorders>
                </w:tcPr>
                <w:p w14:paraId="766D3034"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55DF236A"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Failure Quantity Amount Total</w:t>
                  </w:r>
                  <w:r w:rsidRPr="0003648D">
                    <w:rPr>
                      <w:iCs/>
                      <w:sz w:val="20"/>
                    </w:rPr>
                    <w:t xml:space="preserve">—The total charges to all QSEs for their capacity associated with failures and reconfiguration reductions on their Ancillary Service Supply Responsibilities for </w:t>
                  </w:r>
                  <w:r>
                    <w:rPr>
                      <w:iCs/>
                      <w:sz w:val="20"/>
                    </w:rPr>
                    <w:t>ECRS</w:t>
                  </w:r>
                  <w:r w:rsidRPr="0003648D">
                    <w:rPr>
                      <w:iCs/>
                      <w:sz w:val="20"/>
                    </w:rPr>
                    <w:t>, for the hour.</w:t>
                  </w:r>
                </w:p>
              </w:tc>
            </w:tr>
            <w:tr w:rsidR="006E1ADE" w:rsidRPr="0003648D" w14:paraId="13AE6A71" w14:textId="77777777" w:rsidTr="00B82144">
              <w:tc>
                <w:tcPr>
                  <w:tcW w:w="1278" w:type="pct"/>
                  <w:tcBorders>
                    <w:top w:val="single" w:sz="4" w:space="0" w:color="auto"/>
                    <w:left w:val="single" w:sz="4" w:space="0" w:color="auto"/>
                    <w:bottom w:val="single" w:sz="4" w:space="0" w:color="auto"/>
                    <w:right w:val="single" w:sz="4" w:space="0" w:color="auto"/>
                  </w:tcBorders>
                </w:tcPr>
                <w:p w14:paraId="00BAD525" w14:textId="77777777" w:rsidR="006E1ADE" w:rsidRPr="0003648D" w:rsidRDefault="006E1ADE" w:rsidP="00B82144">
                  <w:pPr>
                    <w:spacing w:after="60"/>
                    <w:rPr>
                      <w:iCs/>
                      <w:sz w:val="20"/>
                    </w:rPr>
                  </w:pPr>
                  <w:r>
                    <w:rPr>
                      <w:color w:val="000000"/>
                      <w:sz w:val="20"/>
                    </w:rPr>
                    <w:t>EC</w:t>
                  </w:r>
                  <w:r w:rsidRPr="0003648D">
                    <w:rPr>
                      <w:color w:val="000000"/>
                      <w:sz w:val="20"/>
                    </w:rPr>
                    <w:t>RMWINFATOT</w:t>
                  </w:r>
                </w:p>
              </w:tc>
              <w:tc>
                <w:tcPr>
                  <w:tcW w:w="329" w:type="pct"/>
                  <w:tcBorders>
                    <w:top w:val="single" w:sz="4" w:space="0" w:color="auto"/>
                    <w:left w:val="single" w:sz="4" w:space="0" w:color="auto"/>
                    <w:bottom w:val="single" w:sz="4" w:space="0" w:color="auto"/>
                    <w:right w:val="single" w:sz="4" w:space="0" w:color="auto"/>
                  </w:tcBorders>
                </w:tcPr>
                <w:p w14:paraId="1A8F8D0A"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10226CA3" w14:textId="77777777" w:rsidR="006E1ADE" w:rsidRPr="0003648D" w:rsidRDefault="006E1ADE" w:rsidP="00B82144">
                  <w:pPr>
                    <w:spacing w:after="60"/>
                    <w:rPr>
                      <w:i/>
                      <w:iCs/>
                      <w:sz w:val="20"/>
                    </w:rPr>
                  </w:pPr>
                  <w:r>
                    <w:rPr>
                      <w:i/>
                      <w:sz w:val="20"/>
                    </w:rPr>
                    <w:t>ERCOT Contingency Reserve Service</w:t>
                  </w:r>
                  <w:r w:rsidRPr="0003648D">
                    <w:rPr>
                      <w:i/>
                      <w:sz w:val="20"/>
                    </w:rPr>
                    <w:t xml:space="preserve"> Make-Whole Infeasible Amount total</w:t>
                  </w:r>
                  <w:r w:rsidRPr="0003648D">
                    <w:rPr>
                      <w:sz w:val="20"/>
                    </w:rPr>
                    <w:sym w:font="Symbol" w:char="F0BE"/>
                  </w:r>
                  <w:r w:rsidRPr="0003648D">
                    <w:rPr>
                      <w:sz w:val="20"/>
                    </w:rPr>
                    <w:t xml:space="preserve"> The total Real-Time calculated payment to all QSEs</w:t>
                  </w:r>
                  <w:r w:rsidRPr="0003648D">
                    <w:rPr>
                      <w:i/>
                      <w:sz w:val="20"/>
                    </w:rPr>
                    <w:t>,</w:t>
                  </w:r>
                  <w:r w:rsidRPr="0003648D">
                    <w:rPr>
                      <w:sz w:val="20"/>
                    </w:rPr>
                    <w:t xml:space="preserve"> for their contribution of </w:t>
                  </w:r>
                  <w:r>
                    <w:rPr>
                      <w:sz w:val="20"/>
                    </w:rPr>
                    <w:t>ECRS</w:t>
                  </w:r>
                  <w:r w:rsidRPr="0003648D">
                    <w:rPr>
                      <w:sz w:val="20"/>
                    </w:rPr>
                    <w:t>, to make-whole the Startup and energy costs of all Resources committed in the DAM, for the hour.</w:t>
                  </w:r>
                </w:p>
              </w:tc>
            </w:tr>
            <w:tr w:rsidR="006E1ADE" w:rsidRPr="0003648D" w14:paraId="1FE3926A" w14:textId="77777777" w:rsidTr="00B82144">
              <w:tc>
                <w:tcPr>
                  <w:tcW w:w="1278" w:type="pct"/>
                  <w:tcBorders>
                    <w:top w:val="single" w:sz="4" w:space="0" w:color="auto"/>
                    <w:left w:val="single" w:sz="4" w:space="0" w:color="auto"/>
                    <w:bottom w:val="single" w:sz="4" w:space="0" w:color="auto"/>
                    <w:right w:val="single" w:sz="4" w:space="0" w:color="auto"/>
                  </w:tcBorders>
                </w:tcPr>
                <w:p w14:paraId="25363C3E" w14:textId="77777777" w:rsidR="006E1ADE" w:rsidRPr="0003648D" w:rsidRDefault="006E1ADE" w:rsidP="00B82144">
                  <w:pPr>
                    <w:spacing w:after="60"/>
                    <w:rPr>
                      <w:iCs/>
                      <w:sz w:val="20"/>
                    </w:rPr>
                  </w:pPr>
                  <w:r>
                    <w:rPr>
                      <w:color w:val="000000"/>
                      <w:sz w:val="20"/>
                    </w:rPr>
                    <w:t>EC</w:t>
                  </w:r>
                  <w:r w:rsidRPr="0003648D">
                    <w:rPr>
                      <w:color w:val="000000"/>
                      <w:sz w:val="20"/>
                    </w:rPr>
                    <w:t xml:space="preserve">RMWINFA </w:t>
                  </w:r>
                  <w:r w:rsidRPr="0003648D">
                    <w:rPr>
                      <w:i/>
                      <w:sz w:val="20"/>
                      <w:vertAlign w:val="subscript"/>
                    </w:rPr>
                    <w:t>q, h</w:t>
                  </w:r>
                </w:p>
              </w:tc>
              <w:tc>
                <w:tcPr>
                  <w:tcW w:w="329" w:type="pct"/>
                  <w:tcBorders>
                    <w:top w:val="single" w:sz="4" w:space="0" w:color="auto"/>
                    <w:left w:val="single" w:sz="4" w:space="0" w:color="auto"/>
                    <w:bottom w:val="single" w:sz="4" w:space="0" w:color="auto"/>
                    <w:right w:val="single" w:sz="4" w:space="0" w:color="auto"/>
                  </w:tcBorders>
                </w:tcPr>
                <w:p w14:paraId="2CB1E7C9"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4015D044" w14:textId="77777777" w:rsidR="006E1ADE" w:rsidRPr="0003648D" w:rsidRDefault="006E1ADE" w:rsidP="00B82144">
                  <w:pPr>
                    <w:spacing w:after="60"/>
                    <w:rPr>
                      <w:i/>
                      <w:iCs/>
                      <w:sz w:val="20"/>
                    </w:rPr>
                  </w:pPr>
                  <w:r>
                    <w:rPr>
                      <w:i/>
                      <w:sz w:val="20"/>
                    </w:rPr>
                    <w:t>ERCOT Contingency Reserve Service</w:t>
                  </w:r>
                  <w:r w:rsidRPr="0003648D">
                    <w:rPr>
                      <w:i/>
                      <w:sz w:val="20"/>
                    </w:rPr>
                    <w:t xml:space="preserve"> Make-Whole Infeasible Amount per QSE per hour</w:t>
                  </w:r>
                  <w:r w:rsidRPr="0003648D">
                    <w:rPr>
                      <w:sz w:val="20"/>
                    </w:rPr>
                    <w:sym w:font="Symbol" w:char="F0BE"/>
                  </w:r>
                  <w:r w:rsidRPr="0003648D">
                    <w:rPr>
                      <w:sz w:val="20"/>
                    </w:rPr>
                    <w:t xml:space="preserve"> The total Real-Time calculated payment to QSE </w:t>
                  </w:r>
                  <w:r w:rsidRPr="0003648D">
                    <w:rPr>
                      <w:i/>
                      <w:sz w:val="20"/>
                    </w:rPr>
                    <w:t>q,</w:t>
                  </w:r>
                  <w:r w:rsidRPr="0003648D">
                    <w:rPr>
                      <w:sz w:val="20"/>
                    </w:rPr>
                    <w:t xml:space="preserve"> for its contribution of </w:t>
                  </w:r>
                  <w:r>
                    <w:rPr>
                      <w:sz w:val="20"/>
                    </w:rPr>
                    <w:t>ECRS</w:t>
                  </w:r>
                  <w:r w:rsidRPr="0003648D">
                    <w:rPr>
                      <w:sz w:val="20"/>
                    </w:rPr>
                    <w:t xml:space="preserve">, to make-whole the Startup and energy costs of all Resources committed in the DAM, for the hour </w:t>
                  </w:r>
                  <w:r w:rsidRPr="0003648D">
                    <w:rPr>
                      <w:i/>
                      <w:sz w:val="20"/>
                    </w:rPr>
                    <w:t>h</w:t>
                  </w:r>
                  <w:r w:rsidRPr="0003648D">
                    <w:rPr>
                      <w:sz w:val="20"/>
                    </w:rPr>
                    <w:t xml:space="preserve">.  </w:t>
                  </w:r>
                </w:p>
              </w:tc>
            </w:tr>
            <w:tr w:rsidR="006E1ADE" w:rsidRPr="0003648D" w14:paraId="4DB1279D" w14:textId="77777777" w:rsidTr="00B82144">
              <w:tc>
                <w:tcPr>
                  <w:tcW w:w="1278" w:type="pct"/>
                  <w:tcBorders>
                    <w:top w:val="single" w:sz="4" w:space="0" w:color="auto"/>
                    <w:left w:val="single" w:sz="4" w:space="0" w:color="auto"/>
                    <w:bottom w:val="single" w:sz="4" w:space="0" w:color="auto"/>
                    <w:right w:val="single" w:sz="4" w:space="0" w:color="auto"/>
                  </w:tcBorders>
                </w:tcPr>
                <w:p w14:paraId="7874B63C" w14:textId="77777777" w:rsidR="006E1ADE" w:rsidRPr="0003648D" w:rsidRDefault="006E1ADE" w:rsidP="00B82144">
                  <w:pPr>
                    <w:spacing w:after="60"/>
                    <w:rPr>
                      <w:iCs/>
                      <w:sz w:val="20"/>
                    </w:rPr>
                  </w:pPr>
                  <w:r>
                    <w:rPr>
                      <w:iCs/>
                      <w:sz w:val="20"/>
                    </w:rPr>
                    <w:t>EC</w:t>
                  </w:r>
                  <w:r w:rsidRPr="0003648D">
                    <w:rPr>
                      <w:iCs/>
                      <w:sz w:val="20"/>
                    </w:rPr>
                    <w:t xml:space="preserve">RFQAMTQSETOT </w:t>
                  </w:r>
                  <w:r w:rsidRPr="0003648D">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308011CF"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3C380F56"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Failure Quantity Amount Total per QSE</w:t>
                  </w:r>
                  <w:r w:rsidRPr="0003648D">
                    <w:rPr>
                      <w:iCs/>
                      <w:sz w:val="20"/>
                    </w:rPr>
                    <w:t xml:space="preserve">—The charge to QSE </w:t>
                  </w:r>
                  <w:r w:rsidRPr="0003648D">
                    <w:rPr>
                      <w:i/>
                      <w:iCs/>
                      <w:sz w:val="20"/>
                    </w:rPr>
                    <w:t>q</w:t>
                  </w:r>
                  <w:r w:rsidRPr="0003648D">
                    <w:rPr>
                      <w:iCs/>
                      <w:sz w:val="20"/>
                    </w:rPr>
                    <w:t xml:space="preserve"> for its total capacity associated with failures </w:t>
                  </w:r>
                  <w:r w:rsidRPr="0003648D">
                    <w:rPr>
                      <w:iCs/>
                      <w:sz w:val="20"/>
                    </w:rPr>
                    <w:lastRenderedPageBreak/>
                    <w:t xml:space="preserve">and reconfiguration reductions on its Ancillary Service Supply Responsibility for </w:t>
                  </w:r>
                  <w:r>
                    <w:rPr>
                      <w:iCs/>
                      <w:sz w:val="20"/>
                    </w:rPr>
                    <w:t>ECRS</w:t>
                  </w:r>
                  <w:r w:rsidRPr="0003648D">
                    <w:rPr>
                      <w:iCs/>
                      <w:sz w:val="20"/>
                    </w:rPr>
                    <w:t>, for the hour.</w:t>
                  </w:r>
                </w:p>
              </w:tc>
            </w:tr>
            <w:tr w:rsidR="006E1ADE" w:rsidRPr="0003648D" w14:paraId="7075F225" w14:textId="77777777" w:rsidTr="00B82144">
              <w:tc>
                <w:tcPr>
                  <w:tcW w:w="1278" w:type="pct"/>
                  <w:tcBorders>
                    <w:top w:val="single" w:sz="4" w:space="0" w:color="auto"/>
                    <w:left w:val="single" w:sz="4" w:space="0" w:color="auto"/>
                    <w:bottom w:val="single" w:sz="4" w:space="0" w:color="auto"/>
                    <w:right w:val="single" w:sz="4" w:space="0" w:color="auto"/>
                  </w:tcBorders>
                </w:tcPr>
                <w:p w14:paraId="204995EB" w14:textId="77777777" w:rsidR="006E1ADE" w:rsidRPr="0003648D" w:rsidRDefault="006E1ADE" w:rsidP="00B82144">
                  <w:pPr>
                    <w:spacing w:after="60"/>
                    <w:rPr>
                      <w:iCs/>
                      <w:sz w:val="20"/>
                    </w:rPr>
                  </w:pPr>
                  <w:r w:rsidRPr="0003648D">
                    <w:rPr>
                      <w:iCs/>
                      <w:sz w:val="20"/>
                    </w:rPr>
                    <w:lastRenderedPageBreak/>
                    <w:t>RTPC</w:t>
                  </w:r>
                  <w:r>
                    <w:rPr>
                      <w:iCs/>
                      <w:sz w:val="20"/>
                    </w:rPr>
                    <w:t>EC</w:t>
                  </w:r>
                  <w:r w:rsidRPr="0003648D">
                    <w:rPr>
                      <w:iCs/>
                      <w:sz w:val="20"/>
                    </w:rPr>
                    <w:t xml:space="preserve">RAMTQSETOT </w:t>
                  </w:r>
                  <w:r w:rsidRPr="0003648D">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20910B8"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0D32D18" w14:textId="77777777" w:rsidR="006E1ADE" w:rsidRPr="0003648D" w:rsidRDefault="006E1ADE" w:rsidP="00B82144">
                  <w:pPr>
                    <w:spacing w:after="60"/>
                    <w:rPr>
                      <w:iCs/>
                      <w:sz w:val="20"/>
                    </w:rPr>
                  </w:pPr>
                  <w:r w:rsidRPr="0003648D">
                    <w:rPr>
                      <w:i/>
                      <w:iCs/>
                      <w:sz w:val="20"/>
                    </w:rPr>
                    <w:t xml:space="preserve">Procured Capacity for </w:t>
                  </w:r>
                  <w:r>
                    <w:rPr>
                      <w:i/>
                      <w:iCs/>
                      <w:sz w:val="20"/>
                    </w:rPr>
                    <w:t>ERCOT Contingency Reserve Service</w:t>
                  </w:r>
                  <w:r w:rsidRPr="0003648D">
                    <w:rPr>
                      <w:i/>
                      <w:iCs/>
                      <w:sz w:val="20"/>
                    </w:rPr>
                    <w:t xml:space="preserve"> Amount Total per QSE</w:t>
                  </w:r>
                  <w:r w:rsidRPr="0003648D">
                    <w:rPr>
                      <w:iCs/>
                      <w:sz w:val="20"/>
                    </w:rPr>
                    <w:t xml:space="preserve">—The total payments to a QSE </w:t>
                  </w:r>
                  <w:r w:rsidRPr="0003648D">
                    <w:rPr>
                      <w:i/>
                      <w:iCs/>
                      <w:sz w:val="20"/>
                    </w:rPr>
                    <w:t>q</w:t>
                  </w:r>
                  <w:r w:rsidRPr="0003648D">
                    <w:rPr>
                      <w:iCs/>
                      <w:sz w:val="20"/>
                    </w:rPr>
                    <w:t xml:space="preserve"> in all SASMs and RSASMs for the Ancillary Service Offers cleared for </w:t>
                  </w:r>
                  <w:r>
                    <w:rPr>
                      <w:iCs/>
                      <w:sz w:val="20"/>
                    </w:rPr>
                    <w:t>ECRS</w:t>
                  </w:r>
                  <w:r w:rsidRPr="0003648D">
                    <w:rPr>
                      <w:iCs/>
                      <w:sz w:val="20"/>
                    </w:rPr>
                    <w:t>, for the hour.</w:t>
                  </w:r>
                </w:p>
              </w:tc>
            </w:tr>
            <w:tr w:rsidR="006E1ADE" w:rsidRPr="0003648D" w14:paraId="413934A5" w14:textId="77777777" w:rsidTr="00B82144">
              <w:tc>
                <w:tcPr>
                  <w:tcW w:w="1278" w:type="pct"/>
                  <w:tcBorders>
                    <w:top w:val="single" w:sz="4" w:space="0" w:color="auto"/>
                    <w:left w:val="single" w:sz="4" w:space="0" w:color="auto"/>
                    <w:bottom w:val="single" w:sz="4" w:space="0" w:color="auto"/>
                    <w:right w:val="single" w:sz="4" w:space="0" w:color="auto"/>
                  </w:tcBorders>
                </w:tcPr>
                <w:p w14:paraId="77D75C2A" w14:textId="77777777" w:rsidR="006E1ADE" w:rsidRPr="0003648D" w:rsidRDefault="006E1ADE" w:rsidP="00B82144">
                  <w:pPr>
                    <w:rPr>
                      <w:b/>
                      <w:sz w:val="20"/>
                    </w:rPr>
                  </w:pPr>
                  <w:r w:rsidRPr="0003648D">
                    <w:rPr>
                      <w:sz w:val="20"/>
                    </w:rPr>
                    <w:t>PC</w:t>
                  </w:r>
                  <w:r>
                    <w:rPr>
                      <w:sz w:val="20"/>
                    </w:rPr>
                    <w:t>EC</w:t>
                  </w:r>
                  <w:r w:rsidRPr="0003648D">
                    <w:rPr>
                      <w:sz w:val="20"/>
                    </w:rPr>
                    <w:t xml:space="preserve">RAMT </w:t>
                  </w:r>
                  <w:r w:rsidRPr="0003648D">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1BF7B8A9" w14:textId="77777777" w:rsidR="006E1ADE" w:rsidRPr="0003648D" w:rsidRDefault="006E1ADE" w:rsidP="00B82144">
                  <w:pPr>
                    <w:rPr>
                      <w:b/>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0973F98C" w14:textId="77777777" w:rsidR="006E1ADE" w:rsidRPr="0003648D" w:rsidRDefault="006E1ADE" w:rsidP="00B82144">
                  <w:pPr>
                    <w:rPr>
                      <w:b/>
                      <w:sz w:val="20"/>
                    </w:rPr>
                  </w:pPr>
                  <w:r w:rsidRPr="0003648D">
                    <w:rPr>
                      <w:i/>
                      <w:sz w:val="20"/>
                    </w:rPr>
                    <w:t xml:space="preserve">Procured Capacity for </w:t>
                  </w:r>
                  <w:r>
                    <w:rPr>
                      <w:i/>
                      <w:sz w:val="20"/>
                    </w:rPr>
                    <w:t>ERCOT Contingency Reserve Service</w:t>
                  </w:r>
                  <w:r w:rsidRPr="0003648D">
                    <w:rPr>
                      <w:i/>
                      <w:sz w:val="20"/>
                    </w:rPr>
                    <w:t xml:space="preserve"> Amount per QSE for DAM</w:t>
                  </w:r>
                  <w:r w:rsidRPr="0003648D">
                    <w:rPr>
                      <w:sz w:val="20"/>
                    </w:rPr>
                    <w:t xml:space="preserve">—The DAM </w:t>
                  </w:r>
                  <w:r>
                    <w:rPr>
                      <w:sz w:val="20"/>
                    </w:rPr>
                    <w:t>ECRS</w:t>
                  </w:r>
                  <w:r w:rsidRPr="0003648D">
                    <w:rPr>
                      <w:sz w:val="20"/>
                    </w:rPr>
                    <w:t xml:space="preserve"> payment for QSE </w:t>
                  </w:r>
                  <w:r w:rsidRPr="0003648D">
                    <w:rPr>
                      <w:i/>
                      <w:sz w:val="20"/>
                    </w:rPr>
                    <w:t>q</w:t>
                  </w:r>
                  <w:r w:rsidRPr="0003648D">
                    <w:rPr>
                      <w:sz w:val="20"/>
                    </w:rPr>
                    <w:t>, for the hour.</w:t>
                  </w:r>
                </w:p>
              </w:tc>
            </w:tr>
            <w:tr w:rsidR="006E1ADE" w:rsidRPr="0003648D" w14:paraId="7E141825" w14:textId="77777777" w:rsidTr="00B82144">
              <w:tc>
                <w:tcPr>
                  <w:tcW w:w="1278" w:type="pct"/>
                  <w:tcBorders>
                    <w:top w:val="single" w:sz="4" w:space="0" w:color="auto"/>
                    <w:left w:val="single" w:sz="4" w:space="0" w:color="auto"/>
                    <w:bottom w:val="single" w:sz="4" w:space="0" w:color="auto"/>
                    <w:right w:val="single" w:sz="4" w:space="0" w:color="auto"/>
                  </w:tcBorders>
                </w:tcPr>
                <w:p w14:paraId="4AA56E0A" w14:textId="77777777" w:rsidR="006E1ADE" w:rsidRPr="0003648D" w:rsidRDefault="006E1ADE" w:rsidP="00B82144">
                  <w:pPr>
                    <w:spacing w:after="60"/>
                    <w:rPr>
                      <w:sz w:val="20"/>
                    </w:rPr>
                  </w:pPr>
                  <w:r w:rsidRPr="0003648D">
                    <w:rPr>
                      <w:sz w:val="20"/>
                    </w:rPr>
                    <w:t>PC</w:t>
                  </w:r>
                  <w:r>
                    <w:rPr>
                      <w:sz w:val="20"/>
                    </w:rPr>
                    <w:t>EC</w:t>
                  </w:r>
                  <w:r w:rsidRPr="0003648D">
                    <w:rPr>
                      <w:sz w:val="20"/>
                    </w:rPr>
                    <w:t xml:space="preserve">RAMTTOT </w:t>
                  </w:r>
                </w:p>
              </w:tc>
              <w:tc>
                <w:tcPr>
                  <w:tcW w:w="329" w:type="pct"/>
                  <w:tcBorders>
                    <w:top w:val="single" w:sz="4" w:space="0" w:color="auto"/>
                    <w:left w:val="single" w:sz="4" w:space="0" w:color="auto"/>
                    <w:bottom w:val="single" w:sz="4" w:space="0" w:color="auto"/>
                    <w:right w:val="single" w:sz="4" w:space="0" w:color="auto"/>
                  </w:tcBorders>
                </w:tcPr>
                <w:p w14:paraId="477B5624"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61A47B1E" w14:textId="77777777" w:rsidR="006E1ADE" w:rsidRPr="0003648D" w:rsidRDefault="006E1ADE" w:rsidP="00B82144">
                  <w:pPr>
                    <w:spacing w:after="60"/>
                    <w:rPr>
                      <w:sz w:val="20"/>
                    </w:rPr>
                  </w:pPr>
                  <w:r w:rsidRPr="0003648D">
                    <w:rPr>
                      <w:i/>
                      <w:sz w:val="20"/>
                    </w:rPr>
                    <w:t xml:space="preserve">Procured Capacity for </w:t>
                  </w:r>
                  <w:r>
                    <w:rPr>
                      <w:i/>
                      <w:sz w:val="20"/>
                    </w:rPr>
                    <w:t>ERCOT Contingency Reserve Service</w:t>
                  </w:r>
                  <w:r w:rsidRPr="0003648D">
                    <w:rPr>
                      <w:i/>
                      <w:sz w:val="20"/>
                    </w:rPr>
                    <w:t xml:space="preserve"> Amount Total in DAM</w:t>
                  </w:r>
                  <w:r w:rsidRPr="0003648D">
                    <w:rPr>
                      <w:sz w:val="20"/>
                    </w:rPr>
                    <w:t xml:space="preserve">—The total of the DAM </w:t>
                  </w:r>
                  <w:r>
                    <w:rPr>
                      <w:sz w:val="20"/>
                    </w:rPr>
                    <w:t>ECRS</w:t>
                  </w:r>
                  <w:r w:rsidRPr="0003648D">
                    <w:rPr>
                      <w:sz w:val="20"/>
                    </w:rPr>
                    <w:t xml:space="preserve"> payments for all QSEs, for the hour.</w:t>
                  </w:r>
                </w:p>
              </w:tc>
            </w:tr>
            <w:tr w:rsidR="006E1ADE" w:rsidRPr="0003648D" w14:paraId="45CA52B3" w14:textId="77777777" w:rsidTr="00B82144">
              <w:tc>
                <w:tcPr>
                  <w:tcW w:w="1278" w:type="pct"/>
                  <w:tcBorders>
                    <w:top w:val="single" w:sz="4" w:space="0" w:color="auto"/>
                    <w:left w:val="single" w:sz="4" w:space="0" w:color="auto"/>
                    <w:bottom w:val="single" w:sz="4" w:space="0" w:color="auto"/>
                    <w:right w:val="single" w:sz="4" w:space="0" w:color="auto"/>
                  </w:tcBorders>
                </w:tcPr>
                <w:p w14:paraId="63EF3302" w14:textId="77777777" w:rsidR="006E1ADE" w:rsidRPr="0003648D" w:rsidRDefault="006E1ADE" w:rsidP="00B82144">
                  <w:pPr>
                    <w:spacing w:after="60"/>
                    <w:rPr>
                      <w:sz w:val="20"/>
                    </w:rPr>
                  </w:pPr>
                  <w:r>
                    <w:rPr>
                      <w:sz w:val="20"/>
                    </w:rPr>
                    <w:t>EC</w:t>
                  </w:r>
                  <w:r w:rsidRPr="0003648D">
                    <w:rPr>
                      <w:sz w:val="20"/>
                    </w:rPr>
                    <w:t>RINFQAMTTOT</w:t>
                  </w:r>
                </w:p>
              </w:tc>
              <w:tc>
                <w:tcPr>
                  <w:tcW w:w="329" w:type="pct"/>
                  <w:tcBorders>
                    <w:top w:val="single" w:sz="4" w:space="0" w:color="auto"/>
                    <w:left w:val="single" w:sz="4" w:space="0" w:color="auto"/>
                    <w:bottom w:val="single" w:sz="4" w:space="0" w:color="auto"/>
                    <w:right w:val="single" w:sz="4" w:space="0" w:color="auto"/>
                  </w:tcBorders>
                </w:tcPr>
                <w:p w14:paraId="6A84BF65"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01AF8692" w14:textId="77777777" w:rsidR="006E1ADE" w:rsidRPr="0003648D" w:rsidRDefault="006E1ADE" w:rsidP="00B82144">
                  <w:pPr>
                    <w:spacing w:after="60"/>
                    <w:rPr>
                      <w:i/>
                      <w:sz w:val="20"/>
                    </w:rPr>
                  </w:pPr>
                  <w:r>
                    <w:rPr>
                      <w:i/>
                      <w:sz w:val="20"/>
                    </w:rPr>
                    <w:t>ERCOT Contingency Reserve Service</w:t>
                  </w:r>
                  <w:r w:rsidRPr="0003648D">
                    <w:rPr>
                      <w:i/>
                      <w:sz w:val="20"/>
                    </w:rPr>
                    <w:t xml:space="preserve"> Infeasible Quantity Amount Total </w:t>
                  </w:r>
                  <w:r w:rsidRPr="0003648D">
                    <w:rPr>
                      <w:sz w:val="20"/>
                    </w:rPr>
                    <w:t xml:space="preserve">— The charge to all QSEs for their total capacity associated with infeasible deployment of Ancillary Service Supply Responsibilities for </w:t>
                  </w:r>
                  <w:r>
                    <w:rPr>
                      <w:sz w:val="20"/>
                    </w:rPr>
                    <w:t>ECRS</w:t>
                  </w:r>
                  <w:r w:rsidRPr="0003648D">
                    <w:rPr>
                      <w:sz w:val="20"/>
                    </w:rPr>
                    <w:t>, for the hour.</w:t>
                  </w:r>
                </w:p>
              </w:tc>
            </w:tr>
            <w:tr w:rsidR="006E1ADE" w:rsidRPr="0003648D" w14:paraId="43DE6C9A" w14:textId="77777777" w:rsidTr="00B82144">
              <w:tc>
                <w:tcPr>
                  <w:tcW w:w="1278" w:type="pct"/>
                  <w:tcBorders>
                    <w:top w:val="single" w:sz="4" w:space="0" w:color="auto"/>
                    <w:left w:val="single" w:sz="4" w:space="0" w:color="auto"/>
                    <w:bottom w:val="single" w:sz="4" w:space="0" w:color="auto"/>
                    <w:right w:val="single" w:sz="4" w:space="0" w:color="auto"/>
                  </w:tcBorders>
                </w:tcPr>
                <w:p w14:paraId="7DD377B1" w14:textId="77777777" w:rsidR="006E1ADE" w:rsidRPr="0003648D" w:rsidRDefault="006E1ADE" w:rsidP="00B82144">
                  <w:pPr>
                    <w:spacing w:after="60"/>
                    <w:rPr>
                      <w:sz w:val="20"/>
                    </w:rPr>
                  </w:pPr>
                  <w:r>
                    <w:rPr>
                      <w:sz w:val="20"/>
                    </w:rPr>
                    <w:t>EC</w:t>
                  </w:r>
                  <w:r w:rsidRPr="0003648D">
                    <w:rPr>
                      <w:sz w:val="20"/>
                    </w:rPr>
                    <w:t xml:space="preserve">RINFQAMT </w:t>
                  </w:r>
                  <w:r w:rsidRPr="0003648D">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34A3A9E7"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05B9CC47" w14:textId="77777777" w:rsidR="006E1ADE" w:rsidRPr="0003648D" w:rsidRDefault="006E1ADE" w:rsidP="00B82144">
                  <w:pPr>
                    <w:spacing w:after="60"/>
                    <w:rPr>
                      <w:i/>
                      <w:sz w:val="20"/>
                    </w:rPr>
                  </w:pPr>
                  <w:r>
                    <w:rPr>
                      <w:i/>
                      <w:sz w:val="20"/>
                    </w:rPr>
                    <w:t>ERCOT Contingency Reserve Service</w:t>
                  </w:r>
                  <w:r w:rsidRPr="0003648D">
                    <w:rPr>
                      <w:i/>
                      <w:sz w:val="20"/>
                    </w:rPr>
                    <w:t xml:space="preserve"> Infeasible Quantity Amount per QSE</w:t>
                  </w:r>
                  <w:r w:rsidRPr="0003648D">
                    <w:rPr>
                      <w:sz w:val="20"/>
                    </w:rPr>
                    <w:t xml:space="preserve">—The total charge to QSE </w:t>
                  </w:r>
                  <w:r w:rsidRPr="0003648D">
                    <w:rPr>
                      <w:i/>
                      <w:sz w:val="20"/>
                    </w:rPr>
                    <w:t>q</w:t>
                  </w:r>
                  <w:r w:rsidRPr="0003648D">
                    <w:rPr>
                      <w:sz w:val="20"/>
                    </w:rPr>
                    <w:t xml:space="preserve"> for its total capacity associated with infeasible deployment of Ancillary Service Supply Responsibilities for </w:t>
                  </w:r>
                  <w:r>
                    <w:rPr>
                      <w:sz w:val="20"/>
                    </w:rPr>
                    <w:t>ECRS</w:t>
                  </w:r>
                  <w:r w:rsidRPr="0003648D">
                    <w:rPr>
                      <w:sz w:val="20"/>
                    </w:rPr>
                    <w:t>, for the hour.</w:t>
                  </w:r>
                </w:p>
              </w:tc>
            </w:tr>
            <w:tr w:rsidR="006E1ADE" w:rsidRPr="0003648D" w14:paraId="3E864D31" w14:textId="77777777" w:rsidTr="00B82144">
              <w:tc>
                <w:tcPr>
                  <w:tcW w:w="1278" w:type="pct"/>
                  <w:tcBorders>
                    <w:top w:val="single" w:sz="4" w:space="0" w:color="auto"/>
                    <w:left w:val="single" w:sz="4" w:space="0" w:color="auto"/>
                    <w:bottom w:val="single" w:sz="4" w:space="0" w:color="auto"/>
                    <w:right w:val="single" w:sz="4" w:space="0" w:color="auto"/>
                  </w:tcBorders>
                </w:tcPr>
                <w:p w14:paraId="46F91B40" w14:textId="77777777" w:rsidR="006E1ADE" w:rsidRPr="0003648D" w:rsidRDefault="006E1ADE" w:rsidP="00B82144">
                  <w:pPr>
                    <w:spacing w:after="60"/>
                    <w:rPr>
                      <w:i/>
                      <w:iCs/>
                      <w:sz w:val="20"/>
                    </w:rPr>
                  </w:pPr>
                  <w:r>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5D972EC7" w14:textId="77777777" w:rsidR="006E1ADE" w:rsidRPr="0003648D" w:rsidRDefault="006E1ADE" w:rsidP="00B82144">
                  <w:pPr>
                    <w:spacing w:after="60"/>
                    <w:rPr>
                      <w:iCs/>
                      <w:sz w:val="20"/>
                    </w:rPr>
                  </w:pPr>
                  <w:r w:rsidRPr="0003648D">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0BEA81E8" w14:textId="77777777" w:rsidR="006E1ADE" w:rsidRPr="0003648D" w:rsidRDefault="006E1ADE" w:rsidP="00B82144">
                  <w:pPr>
                    <w:spacing w:after="60"/>
                    <w:rPr>
                      <w:iCs/>
                      <w:sz w:val="20"/>
                    </w:rPr>
                  </w:pPr>
                  <w:r w:rsidRPr="0003648D">
                    <w:rPr>
                      <w:iCs/>
                      <w:sz w:val="20"/>
                    </w:rPr>
                    <w:t>A QSE.</w:t>
                  </w:r>
                </w:p>
              </w:tc>
            </w:tr>
            <w:tr w:rsidR="006E1ADE" w:rsidRPr="0003648D" w14:paraId="43E496D0" w14:textId="77777777" w:rsidTr="00B82144">
              <w:tc>
                <w:tcPr>
                  <w:tcW w:w="1278" w:type="pct"/>
                  <w:tcBorders>
                    <w:top w:val="single" w:sz="4" w:space="0" w:color="auto"/>
                    <w:left w:val="single" w:sz="4" w:space="0" w:color="auto"/>
                    <w:bottom w:val="single" w:sz="4" w:space="0" w:color="auto"/>
                    <w:right w:val="single" w:sz="4" w:space="0" w:color="auto"/>
                  </w:tcBorders>
                </w:tcPr>
                <w:p w14:paraId="414C1536" w14:textId="77777777" w:rsidR="006E1ADE" w:rsidRPr="0003648D" w:rsidRDefault="006E1ADE" w:rsidP="00B82144">
                  <w:pPr>
                    <w:spacing w:after="60"/>
                    <w:rPr>
                      <w:i/>
                      <w:iCs/>
                      <w:sz w:val="20"/>
                    </w:rPr>
                  </w:pPr>
                  <w:r>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1ED68C3D" w14:textId="77777777" w:rsidR="006E1ADE" w:rsidRPr="0003648D" w:rsidRDefault="006E1ADE" w:rsidP="00B82144">
                  <w:pPr>
                    <w:spacing w:after="60"/>
                    <w:rPr>
                      <w:iCs/>
                      <w:sz w:val="20"/>
                    </w:rPr>
                  </w:pPr>
                  <w:r w:rsidRPr="0003648D">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27CECEE9" w14:textId="77777777" w:rsidR="006E1ADE" w:rsidRPr="0003648D" w:rsidRDefault="006E1ADE" w:rsidP="00B82144">
                  <w:pPr>
                    <w:spacing w:after="60"/>
                    <w:rPr>
                      <w:iCs/>
                      <w:sz w:val="20"/>
                    </w:rPr>
                  </w:pPr>
                  <w:r w:rsidRPr="0003648D">
                    <w:rPr>
                      <w:iCs/>
                      <w:sz w:val="20"/>
                    </w:rPr>
                    <w:t>An Ancillary Service market (SASM or RSASM) for the given Operating Hour.</w:t>
                  </w:r>
                </w:p>
              </w:tc>
            </w:tr>
          </w:tbl>
          <w:p w14:paraId="337A7F0F" w14:textId="77777777" w:rsidR="006E1ADE" w:rsidRPr="0003648D" w:rsidRDefault="006E1ADE" w:rsidP="00B82144">
            <w:pPr>
              <w:spacing w:after="240"/>
            </w:pPr>
          </w:p>
        </w:tc>
      </w:tr>
    </w:tbl>
    <w:p w14:paraId="44EDC616" w14:textId="77777777" w:rsidR="006E1ADE" w:rsidRPr="0003648D" w:rsidRDefault="006E1ADE" w:rsidP="006E1ADE">
      <w:pPr>
        <w:spacing w:before="240" w:after="240"/>
        <w:ind w:left="1440" w:hanging="720"/>
      </w:pPr>
      <w:r w:rsidRPr="0003648D">
        <w:lastRenderedPageBreak/>
        <w:t>(b)</w:t>
      </w:r>
      <w:r w:rsidRPr="0003648D">
        <w:tab/>
        <w:t xml:space="preserve">Each QSE’s share of the net total costs for </w:t>
      </w:r>
      <w:r>
        <w:t>ECRS</w:t>
      </w:r>
      <w:r w:rsidRPr="0003648D">
        <w:t xml:space="preserve"> for the Operating Hour is calculated as follows:</w:t>
      </w:r>
    </w:p>
    <w:p w14:paraId="70D518EC" w14:textId="77777777" w:rsidR="006E1ADE" w:rsidRPr="0003648D" w:rsidRDefault="006E1ADE" w:rsidP="006E1ADE">
      <w:pPr>
        <w:spacing w:after="240"/>
        <w:ind w:left="2880" w:hanging="2160"/>
        <w:rPr>
          <w:b/>
          <w:bCs/>
        </w:rPr>
      </w:pPr>
      <w:r>
        <w:rPr>
          <w:b/>
          <w:bCs/>
        </w:rPr>
        <w:t>EC</w:t>
      </w:r>
      <w:r w:rsidRPr="0003648D">
        <w:rPr>
          <w:b/>
          <w:bCs/>
        </w:rPr>
        <w:t xml:space="preserve">RCOST </w:t>
      </w:r>
      <w:r w:rsidRPr="0003648D">
        <w:rPr>
          <w:b/>
          <w:bCs/>
          <w:i/>
          <w:vertAlign w:val="subscript"/>
        </w:rPr>
        <w:t>q</w:t>
      </w:r>
      <w:r w:rsidRPr="0003648D">
        <w:rPr>
          <w:b/>
          <w:bCs/>
          <w:i/>
          <w:vertAlign w:val="subscript"/>
        </w:rPr>
        <w:tab/>
      </w:r>
      <w:r w:rsidRPr="0003648D">
        <w:rPr>
          <w:b/>
          <w:bCs/>
        </w:rPr>
        <w:t>=</w:t>
      </w:r>
      <w:r w:rsidRPr="0003648D">
        <w:rPr>
          <w:b/>
          <w:bCs/>
        </w:rPr>
        <w:tab/>
      </w:r>
      <w:r>
        <w:rPr>
          <w:b/>
          <w:bCs/>
        </w:rPr>
        <w:t>EC</w:t>
      </w:r>
      <w:r w:rsidRPr="0003648D">
        <w:rPr>
          <w:b/>
          <w:bCs/>
        </w:rPr>
        <w:t xml:space="preserve">RPR * </w:t>
      </w:r>
      <w:r>
        <w:rPr>
          <w:b/>
          <w:bCs/>
        </w:rPr>
        <w:t>EC</w:t>
      </w:r>
      <w:r w:rsidRPr="0003648D">
        <w:rPr>
          <w:b/>
          <w:bCs/>
        </w:rPr>
        <w:t xml:space="preserve">RQ </w:t>
      </w:r>
      <w:r w:rsidRPr="0003648D">
        <w:rPr>
          <w:b/>
          <w:bCs/>
          <w:i/>
          <w:vertAlign w:val="subscript"/>
        </w:rPr>
        <w:t>q</w:t>
      </w:r>
    </w:p>
    <w:p w14:paraId="3A2A1B42" w14:textId="77777777" w:rsidR="006E1ADE" w:rsidRPr="0003648D" w:rsidRDefault="006E1ADE" w:rsidP="006E1ADE">
      <w:pPr>
        <w:spacing w:after="240"/>
        <w:rPr>
          <w:iCs/>
        </w:rPr>
      </w:pPr>
      <w:r w:rsidRPr="0003648D">
        <w:rPr>
          <w:iCs/>
        </w:rPr>
        <w:t>Where:</w:t>
      </w:r>
    </w:p>
    <w:p w14:paraId="7C6480D3" w14:textId="77777777" w:rsidR="006E1ADE" w:rsidRPr="0003648D" w:rsidRDefault="006E1ADE" w:rsidP="006E1ADE">
      <w:pPr>
        <w:spacing w:after="120"/>
        <w:ind w:leftChars="300" w:left="2880" w:hangingChars="900" w:hanging="2160"/>
        <w:rPr>
          <w:bCs/>
        </w:rPr>
      </w:pPr>
      <w:r>
        <w:rPr>
          <w:bCs/>
        </w:rPr>
        <w:t>EC</w:t>
      </w:r>
      <w:r w:rsidRPr="0003648D">
        <w:rPr>
          <w:bCs/>
        </w:rPr>
        <w:t>RPR</w:t>
      </w:r>
      <w:r w:rsidRPr="0003648D">
        <w:rPr>
          <w:bCs/>
        </w:rPr>
        <w:tab/>
        <w:t>=</w:t>
      </w:r>
      <w:r w:rsidRPr="0003648D">
        <w:rPr>
          <w:bCs/>
        </w:rPr>
        <w:tab/>
      </w:r>
      <w:r>
        <w:rPr>
          <w:bCs/>
        </w:rPr>
        <w:t>EC</w:t>
      </w:r>
      <w:r w:rsidRPr="0003648D">
        <w:rPr>
          <w:bCs/>
        </w:rPr>
        <w:t xml:space="preserve">RCOSTTOT / </w:t>
      </w:r>
      <w:r>
        <w:rPr>
          <w:bCs/>
        </w:rPr>
        <w:t>EC</w:t>
      </w:r>
      <w:r w:rsidRPr="0003648D">
        <w:rPr>
          <w:bCs/>
        </w:rPr>
        <w:t>RQTOT</w:t>
      </w:r>
    </w:p>
    <w:p w14:paraId="36AF144A" w14:textId="26217877" w:rsidR="006E1ADE" w:rsidRPr="0003648D" w:rsidRDefault="006E1ADE" w:rsidP="006E1ADE">
      <w:pPr>
        <w:spacing w:after="120"/>
        <w:ind w:leftChars="300" w:left="2880" w:hangingChars="900" w:hanging="2160"/>
        <w:rPr>
          <w:bCs/>
        </w:rPr>
      </w:pPr>
      <w:r>
        <w:rPr>
          <w:bCs/>
        </w:rPr>
        <w:t>EC</w:t>
      </w:r>
      <w:r w:rsidRPr="0003648D">
        <w:rPr>
          <w:bCs/>
        </w:rPr>
        <w:t>RQTOT</w:t>
      </w:r>
      <w:r w:rsidRPr="0003648D">
        <w:rPr>
          <w:bCs/>
        </w:rPr>
        <w:tab/>
        <w:t>=</w:t>
      </w:r>
      <w:r w:rsidRPr="0003648D">
        <w:rPr>
          <w:bCs/>
        </w:rPr>
        <w:tab/>
      </w:r>
      <w:r>
        <w:rPr>
          <w:noProof/>
          <w:position w:val="-22"/>
        </w:rPr>
        <w:drawing>
          <wp:inline distT="0" distB="0" distL="0" distR="0" wp14:anchorId="07FFFAD9" wp14:editId="1BC9C1EE">
            <wp:extent cx="142875" cy="29527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Pr>
          <w:bCs/>
        </w:rPr>
        <w:t>EC</w:t>
      </w:r>
      <w:r w:rsidRPr="0003648D">
        <w:rPr>
          <w:bCs/>
        </w:rPr>
        <w:t xml:space="preserve">RQ </w:t>
      </w:r>
      <w:r w:rsidRPr="0003648D">
        <w:rPr>
          <w:bCs/>
          <w:i/>
          <w:vertAlign w:val="subscript"/>
        </w:rPr>
        <w:t>q</w:t>
      </w:r>
    </w:p>
    <w:p w14:paraId="75AA3B9D" w14:textId="77777777" w:rsidR="006E1ADE" w:rsidRPr="0003648D" w:rsidRDefault="006E1ADE" w:rsidP="006E1ADE">
      <w:pPr>
        <w:spacing w:after="120"/>
        <w:ind w:leftChars="300" w:left="2880" w:hangingChars="900" w:hanging="2160"/>
        <w:rPr>
          <w:bCs/>
          <w:lang w:val="es-ES"/>
        </w:rPr>
      </w:pPr>
      <w:r>
        <w:rPr>
          <w:bCs/>
          <w:lang w:val="es-ES"/>
        </w:rPr>
        <w:t>EC</w:t>
      </w:r>
      <w:r w:rsidRPr="0003648D">
        <w:rPr>
          <w:bCs/>
          <w:lang w:val="es-ES"/>
        </w:rPr>
        <w:t xml:space="preserve">RQ </w:t>
      </w:r>
      <w:r w:rsidRPr="0003648D">
        <w:rPr>
          <w:bCs/>
          <w:i/>
          <w:vertAlign w:val="subscript"/>
          <w:lang w:val="es-ES"/>
        </w:rPr>
        <w:t>q</w:t>
      </w:r>
      <w:r w:rsidRPr="0003648D">
        <w:rPr>
          <w:bCs/>
          <w:lang w:val="es-ES"/>
        </w:rPr>
        <w:tab/>
        <w:t>=</w:t>
      </w:r>
      <w:r w:rsidRPr="0003648D">
        <w:rPr>
          <w:bCs/>
          <w:lang w:val="es-ES"/>
        </w:rPr>
        <w:tab/>
      </w:r>
      <w:r>
        <w:rPr>
          <w:bCs/>
          <w:lang w:val="es-ES"/>
        </w:rPr>
        <w:t>EC</w:t>
      </w:r>
      <w:r w:rsidRPr="0003648D">
        <w:rPr>
          <w:bCs/>
          <w:lang w:val="es-ES"/>
        </w:rPr>
        <w:t xml:space="preserve">RO </w:t>
      </w:r>
      <w:r w:rsidRPr="0003648D">
        <w:rPr>
          <w:bCs/>
          <w:i/>
          <w:vertAlign w:val="subscript"/>
          <w:lang w:val="es-ES"/>
        </w:rPr>
        <w:t>q</w:t>
      </w:r>
      <w:r w:rsidRPr="0003648D">
        <w:rPr>
          <w:bCs/>
          <w:lang w:val="es-ES"/>
        </w:rPr>
        <w:t xml:space="preserve"> – SA</w:t>
      </w:r>
      <w:r>
        <w:rPr>
          <w:bCs/>
          <w:lang w:val="es-ES"/>
        </w:rPr>
        <w:t>EC</w:t>
      </w:r>
      <w:r w:rsidRPr="0003648D">
        <w:rPr>
          <w:bCs/>
          <w:lang w:val="es-ES"/>
        </w:rPr>
        <w:t xml:space="preserve">RQ </w:t>
      </w:r>
      <w:r w:rsidRPr="0003648D">
        <w:rPr>
          <w:bCs/>
          <w:i/>
          <w:vertAlign w:val="subscript"/>
          <w:lang w:val="es-ES"/>
        </w:rPr>
        <w:t>q</w:t>
      </w:r>
    </w:p>
    <w:p w14:paraId="1EBDE2FC" w14:textId="00414B88" w:rsidR="006E1ADE" w:rsidRPr="0003648D" w:rsidRDefault="006E1ADE" w:rsidP="006E1ADE">
      <w:pPr>
        <w:spacing w:after="120"/>
        <w:ind w:leftChars="300" w:left="2880" w:hangingChars="900" w:hanging="2160"/>
        <w:rPr>
          <w:bCs/>
          <w:lang w:val="es-ES"/>
        </w:rPr>
      </w:pPr>
      <w:r>
        <w:rPr>
          <w:bCs/>
          <w:lang w:val="es-ES"/>
        </w:rPr>
        <w:t>EC</w:t>
      </w:r>
      <w:r w:rsidRPr="0003648D">
        <w:rPr>
          <w:bCs/>
          <w:lang w:val="es-ES"/>
        </w:rPr>
        <w:t xml:space="preserve">RO </w:t>
      </w:r>
      <w:r w:rsidRPr="0003648D">
        <w:rPr>
          <w:bCs/>
          <w:i/>
          <w:vertAlign w:val="subscript"/>
          <w:lang w:val="es-ES"/>
        </w:rPr>
        <w:t>q</w:t>
      </w:r>
      <w:r w:rsidRPr="0003648D">
        <w:rPr>
          <w:bCs/>
          <w:lang w:val="es-ES"/>
        </w:rPr>
        <w:tab/>
        <w:t>=</w:t>
      </w:r>
      <w:r w:rsidRPr="0003648D">
        <w:rPr>
          <w:bCs/>
          <w:lang w:val="es-ES"/>
        </w:rPr>
        <w:tab/>
      </w:r>
      <w:r>
        <w:rPr>
          <w:noProof/>
          <w:position w:val="-22"/>
        </w:rPr>
        <w:drawing>
          <wp:inline distT="0" distB="0" distL="0" distR="0" wp14:anchorId="02471A32" wp14:editId="33708F96">
            <wp:extent cx="142875" cy="2952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lang w:val="es-ES"/>
        </w:rPr>
        <w:t>(SA</w:t>
      </w:r>
      <w:r>
        <w:rPr>
          <w:bCs/>
          <w:lang w:val="es-ES"/>
        </w:rPr>
        <w:t>EC</w:t>
      </w:r>
      <w:r w:rsidRPr="0003648D">
        <w:rPr>
          <w:bCs/>
          <w:lang w:val="es-ES"/>
        </w:rPr>
        <w:t>RQ</w:t>
      </w:r>
      <w:r w:rsidRPr="0003648D">
        <w:rPr>
          <w:bCs/>
          <w:i/>
          <w:vertAlign w:val="subscript"/>
          <w:lang w:val="es-ES"/>
        </w:rPr>
        <w:t>q</w:t>
      </w:r>
      <w:r w:rsidRPr="0003648D">
        <w:rPr>
          <w:bCs/>
          <w:lang w:val="es-ES"/>
        </w:rPr>
        <w:t xml:space="preserve"> + </w:t>
      </w:r>
      <w:r>
        <w:rPr>
          <w:noProof/>
          <w:position w:val="-20"/>
        </w:rPr>
        <w:drawing>
          <wp:inline distT="0" distB="0" distL="0" distR="0" wp14:anchorId="7CC4AEF3" wp14:editId="7F26B247">
            <wp:extent cx="142875" cy="27622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Cs/>
          <w:lang w:val="es-ES"/>
        </w:rPr>
        <w:t>(RTPC</w:t>
      </w:r>
      <w:r>
        <w:rPr>
          <w:bCs/>
          <w:lang w:val="es-ES"/>
        </w:rPr>
        <w:t>EC</w:t>
      </w:r>
      <w:r w:rsidRPr="0003648D">
        <w:rPr>
          <w:bCs/>
          <w:lang w:val="es-ES"/>
        </w:rPr>
        <w:t xml:space="preserve">R </w:t>
      </w:r>
      <w:r w:rsidRPr="0003648D">
        <w:rPr>
          <w:bCs/>
          <w:i/>
          <w:vertAlign w:val="subscript"/>
          <w:lang w:val="es-ES"/>
        </w:rPr>
        <w:t>q, m</w:t>
      </w:r>
      <w:r w:rsidRPr="0003648D">
        <w:rPr>
          <w:bCs/>
          <w:lang w:val="es-ES"/>
        </w:rPr>
        <w:t>) + PC</w:t>
      </w:r>
      <w:r>
        <w:rPr>
          <w:bCs/>
          <w:lang w:val="es-ES"/>
        </w:rPr>
        <w:t>EC</w:t>
      </w:r>
      <w:r w:rsidRPr="0003648D">
        <w:rPr>
          <w:bCs/>
          <w:lang w:val="es-ES"/>
        </w:rPr>
        <w:t xml:space="preserve">R </w:t>
      </w:r>
      <w:r w:rsidRPr="0003648D">
        <w:rPr>
          <w:bCs/>
          <w:i/>
          <w:vertAlign w:val="subscript"/>
          <w:lang w:val="es-ES"/>
        </w:rPr>
        <w:t>q</w:t>
      </w:r>
      <w:r w:rsidRPr="0003648D">
        <w:rPr>
          <w:bCs/>
          <w:lang w:val="es-ES"/>
        </w:rPr>
        <w:t xml:space="preserve"> –  </w:t>
      </w:r>
    </w:p>
    <w:p w14:paraId="75B99537" w14:textId="77777777" w:rsidR="006E1ADE" w:rsidRPr="0003648D" w:rsidRDefault="006E1ADE" w:rsidP="006E1ADE">
      <w:pPr>
        <w:spacing w:after="120"/>
        <w:ind w:leftChars="1200" w:left="2880" w:firstLine="720"/>
        <w:rPr>
          <w:bCs/>
          <w:i/>
          <w:vertAlign w:val="subscript"/>
          <w:lang w:val="es-ES"/>
        </w:rPr>
      </w:pPr>
      <w:r>
        <w:rPr>
          <w:bCs/>
          <w:lang w:val="es-ES"/>
        </w:rPr>
        <w:t>EC</w:t>
      </w:r>
      <w:r w:rsidRPr="0003648D">
        <w:rPr>
          <w:bCs/>
          <w:lang w:val="es-ES"/>
        </w:rPr>
        <w:t xml:space="preserve">RFQ </w:t>
      </w:r>
      <w:r w:rsidRPr="0003648D">
        <w:rPr>
          <w:bCs/>
          <w:i/>
          <w:vertAlign w:val="subscript"/>
          <w:lang w:val="es-ES"/>
        </w:rPr>
        <w:t>q</w:t>
      </w:r>
      <w:r w:rsidRPr="0003648D">
        <w:rPr>
          <w:bCs/>
          <w:lang w:val="es-ES"/>
        </w:rPr>
        <w:t xml:space="preserve"> – </w:t>
      </w:r>
      <w:r>
        <w:rPr>
          <w:bCs/>
          <w:lang w:val="es-ES"/>
        </w:rPr>
        <w:t>REC</w:t>
      </w:r>
      <w:r w:rsidRPr="0003648D">
        <w:rPr>
          <w:bCs/>
          <w:lang w:val="es-ES"/>
        </w:rPr>
        <w:t xml:space="preserve">RFQ </w:t>
      </w:r>
      <w:r w:rsidRPr="0003648D">
        <w:rPr>
          <w:bCs/>
          <w:i/>
          <w:vertAlign w:val="subscript"/>
          <w:lang w:val="es-ES"/>
        </w:rPr>
        <w:t>q</w:t>
      </w:r>
      <w:r w:rsidRPr="0003648D">
        <w:rPr>
          <w:bCs/>
          <w:lang w:val="es-ES"/>
        </w:rPr>
        <w:t xml:space="preserve">) * HLRS </w:t>
      </w:r>
      <w:r w:rsidRPr="0003648D">
        <w:rPr>
          <w:bCs/>
          <w:i/>
          <w:vertAlign w:val="subscript"/>
          <w:lang w:val="es-ES"/>
        </w:rPr>
        <w:t>q</w:t>
      </w:r>
    </w:p>
    <w:p w14:paraId="6B9E5D9B" w14:textId="77777777" w:rsidR="006E1ADE" w:rsidRPr="0003648D" w:rsidRDefault="006E1ADE" w:rsidP="006E1ADE">
      <w:pPr>
        <w:spacing w:after="240"/>
        <w:ind w:leftChars="300" w:left="2880" w:hangingChars="900" w:hanging="2160"/>
        <w:rPr>
          <w:bCs/>
          <w:lang w:val="fr-FR"/>
        </w:rPr>
      </w:pPr>
      <w:r w:rsidRPr="0003648D">
        <w:rPr>
          <w:bCs/>
          <w:lang w:val="fr-FR"/>
        </w:rPr>
        <w:t>SA</w:t>
      </w:r>
      <w:r>
        <w:rPr>
          <w:bCs/>
          <w:lang w:val="fr-FR"/>
        </w:rPr>
        <w:t>EC</w:t>
      </w:r>
      <w:r w:rsidRPr="0003648D">
        <w:rPr>
          <w:bCs/>
          <w:lang w:val="fr-FR"/>
        </w:rPr>
        <w:t xml:space="preserve">RQ </w:t>
      </w:r>
      <w:r w:rsidRPr="0003648D">
        <w:rPr>
          <w:bCs/>
          <w:i/>
          <w:vertAlign w:val="subscript"/>
          <w:lang w:val="fr-FR"/>
        </w:rPr>
        <w:t>q</w:t>
      </w:r>
      <w:r w:rsidRPr="0003648D">
        <w:rPr>
          <w:bCs/>
          <w:lang w:val="fr-FR"/>
        </w:rPr>
        <w:tab/>
        <w:t>=</w:t>
      </w:r>
      <w:r w:rsidRPr="0003648D">
        <w:rPr>
          <w:bCs/>
          <w:lang w:val="fr-FR"/>
        </w:rPr>
        <w:tab/>
        <w:t>DASA</w:t>
      </w:r>
      <w:r>
        <w:rPr>
          <w:bCs/>
          <w:lang w:val="fr-FR"/>
        </w:rPr>
        <w:t>EC</w:t>
      </w:r>
      <w:r w:rsidRPr="0003648D">
        <w:rPr>
          <w:bCs/>
          <w:lang w:val="fr-FR"/>
        </w:rPr>
        <w:t xml:space="preserve">RQ </w:t>
      </w:r>
      <w:r w:rsidRPr="0003648D">
        <w:rPr>
          <w:bCs/>
          <w:i/>
          <w:vertAlign w:val="subscript"/>
          <w:lang w:val="fr-FR"/>
        </w:rPr>
        <w:t>q</w:t>
      </w:r>
      <w:r w:rsidRPr="0003648D">
        <w:rPr>
          <w:bCs/>
          <w:lang w:val="fr-FR"/>
        </w:rPr>
        <w:t xml:space="preserve"> + RTSA</w:t>
      </w:r>
      <w:r>
        <w:rPr>
          <w:bCs/>
          <w:lang w:val="fr-FR"/>
        </w:rPr>
        <w:t>EC</w:t>
      </w:r>
      <w:r w:rsidRPr="0003648D">
        <w:rPr>
          <w:bCs/>
          <w:lang w:val="fr-FR"/>
        </w:rPr>
        <w:t xml:space="preserve">RQ </w:t>
      </w:r>
      <w:r w:rsidRPr="0003648D">
        <w:rPr>
          <w:bCs/>
          <w:i/>
          <w:vertAlign w:val="subscript"/>
          <w:lang w:val="fr-FR"/>
        </w:rPr>
        <w:t>q</w:t>
      </w:r>
    </w:p>
    <w:p w14:paraId="357A029D" w14:textId="77777777" w:rsidR="006E1ADE" w:rsidRPr="0003648D" w:rsidRDefault="006E1ADE" w:rsidP="006E1ADE">
      <w:pPr>
        <w:keepNext/>
      </w:pPr>
      <w:r w:rsidRPr="0003648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6E1ADE" w:rsidRPr="0003648D" w14:paraId="0DFD196D" w14:textId="77777777" w:rsidTr="00B82144">
        <w:trPr>
          <w:tblHeader/>
        </w:trPr>
        <w:tc>
          <w:tcPr>
            <w:tcW w:w="849" w:type="pct"/>
          </w:tcPr>
          <w:p w14:paraId="24C30BE4" w14:textId="77777777" w:rsidR="006E1ADE" w:rsidRPr="0003648D" w:rsidRDefault="006E1ADE" w:rsidP="00B82144">
            <w:pPr>
              <w:keepNext/>
              <w:spacing w:after="120"/>
              <w:rPr>
                <w:b/>
                <w:iCs/>
                <w:sz w:val="20"/>
              </w:rPr>
            </w:pPr>
            <w:r w:rsidRPr="0003648D">
              <w:rPr>
                <w:b/>
                <w:iCs/>
                <w:sz w:val="20"/>
              </w:rPr>
              <w:t>Variable</w:t>
            </w:r>
          </w:p>
        </w:tc>
        <w:tc>
          <w:tcPr>
            <w:tcW w:w="460" w:type="pct"/>
          </w:tcPr>
          <w:p w14:paraId="69ABEEE9" w14:textId="77777777" w:rsidR="006E1ADE" w:rsidRPr="0003648D" w:rsidRDefault="006E1ADE" w:rsidP="00B82144">
            <w:pPr>
              <w:keepNext/>
              <w:spacing w:after="120"/>
              <w:rPr>
                <w:b/>
                <w:iCs/>
                <w:sz w:val="20"/>
              </w:rPr>
            </w:pPr>
            <w:r w:rsidRPr="0003648D">
              <w:rPr>
                <w:b/>
                <w:iCs/>
                <w:sz w:val="20"/>
              </w:rPr>
              <w:t>Unit</w:t>
            </w:r>
          </w:p>
        </w:tc>
        <w:tc>
          <w:tcPr>
            <w:tcW w:w="3691" w:type="pct"/>
          </w:tcPr>
          <w:p w14:paraId="03F94C9F" w14:textId="77777777" w:rsidR="006E1ADE" w:rsidRPr="0003648D" w:rsidRDefault="006E1ADE" w:rsidP="00B82144">
            <w:pPr>
              <w:keepNext/>
              <w:spacing w:after="120"/>
              <w:rPr>
                <w:b/>
                <w:iCs/>
                <w:sz w:val="20"/>
              </w:rPr>
            </w:pPr>
            <w:r w:rsidRPr="0003648D">
              <w:rPr>
                <w:b/>
                <w:iCs/>
                <w:sz w:val="20"/>
              </w:rPr>
              <w:t>Description</w:t>
            </w:r>
          </w:p>
        </w:tc>
      </w:tr>
      <w:tr w:rsidR="006E1ADE" w:rsidRPr="0003648D" w14:paraId="3EFD6929" w14:textId="77777777" w:rsidTr="00B82144">
        <w:tc>
          <w:tcPr>
            <w:tcW w:w="849" w:type="pct"/>
          </w:tcPr>
          <w:p w14:paraId="41C51DC6" w14:textId="77777777" w:rsidR="006E1ADE" w:rsidRPr="0003648D" w:rsidRDefault="006E1ADE" w:rsidP="00B82144">
            <w:pPr>
              <w:spacing w:after="60"/>
              <w:rPr>
                <w:iCs/>
                <w:sz w:val="20"/>
              </w:rPr>
            </w:pPr>
            <w:r>
              <w:rPr>
                <w:iCs/>
                <w:sz w:val="20"/>
              </w:rPr>
              <w:t>EC</w:t>
            </w:r>
            <w:r w:rsidRPr="0003648D">
              <w:rPr>
                <w:iCs/>
                <w:sz w:val="20"/>
              </w:rPr>
              <w:t xml:space="preserve">RCOST </w:t>
            </w:r>
            <w:r w:rsidRPr="0003648D">
              <w:rPr>
                <w:i/>
                <w:iCs/>
                <w:sz w:val="20"/>
                <w:vertAlign w:val="subscript"/>
              </w:rPr>
              <w:t>q</w:t>
            </w:r>
          </w:p>
        </w:tc>
        <w:tc>
          <w:tcPr>
            <w:tcW w:w="460" w:type="pct"/>
          </w:tcPr>
          <w:p w14:paraId="42141117" w14:textId="77777777" w:rsidR="006E1ADE" w:rsidRPr="0003648D" w:rsidRDefault="006E1ADE" w:rsidP="00B82144">
            <w:pPr>
              <w:keepNext/>
              <w:spacing w:after="60"/>
              <w:rPr>
                <w:iCs/>
                <w:sz w:val="20"/>
              </w:rPr>
            </w:pPr>
            <w:r w:rsidRPr="0003648D">
              <w:rPr>
                <w:iCs/>
                <w:sz w:val="20"/>
              </w:rPr>
              <w:t>$</w:t>
            </w:r>
          </w:p>
        </w:tc>
        <w:tc>
          <w:tcPr>
            <w:tcW w:w="3691" w:type="pct"/>
          </w:tcPr>
          <w:p w14:paraId="16E0893B" w14:textId="77777777" w:rsidR="006E1ADE" w:rsidRPr="0003648D" w:rsidRDefault="006E1ADE" w:rsidP="00B82144">
            <w:pPr>
              <w:keepNext/>
              <w:spacing w:after="60"/>
              <w:rPr>
                <w:iCs/>
                <w:sz w:val="20"/>
              </w:rPr>
            </w:pPr>
            <w:r>
              <w:rPr>
                <w:i/>
                <w:iCs/>
                <w:sz w:val="20"/>
              </w:rPr>
              <w:t>ERCOT Contingency Reserve Service</w:t>
            </w:r>
            <w:r w:rsidRPr="0003648D">
              <w:rPr>
                <w:i/>
                <w:iCs/>
                <w:sz w:val="20"/>
              </w:rPr>
              <w:t xml:space="preserve"> Cost per QSE</w:t>
            </w:r>
            <w:r w:rsidRPr="0003648D">
              <w:rPr>
                <w:iCs/>
                <w:sz w:val="20"/>
              </w:rPr>
              <w:t xml:space="preserve">—QSE </w:t>
            </w:r>
            <w:r w:rsidRPr="0003648D">
              <w:rPr>
                <w:i/>
                <w:iCs/>
                <w:sz w:val="20"/>
              </w:rPr>
              <w:t>q</w:t>
            </w:r>
            <w:r w:rsidRPr="0003648D">
              <w:rPr>
                <w:iCs/>
                <w:sz w:val="20"/>
              </w:rPr>
              <w:t xml:space="preserve">’s share of the net total costs for </w:t>
            </w:r>
            <w:r>
              <w:rPr>
                <w:iCs/>
                <w:sz w:val="20"/>
              </w:rPr>
              <w:t>ECRS</w:t>
            </w:r>
            <w:r w:rsidRPr="0003648D">
              <w:rPr>
                <w:iCs/>
                <w:sz w:val="20"/>
              </w:rPr>
              <w:t>, for the hour.</w:t>
            </w:r>
          </w:p>
        </w:tc>
      </w:tr>
      <w:tr w:rsidR="006E1ADE" w:rsidRPr="0003648D" w14:paraId="7BA4CE45" w14:textId="77777777" w:rsidTr="00B82144">
        <w:tc>
          <w:tcPr>
            <w:tcW w:w="849" w:type="pct"/>
            <w:tcBorders>
              <w:top w:val="single" w:sz="4" w:space="0" w:color="auto"/>
              <w:left w:val="single" w:sz="4" w:space="0" w:color="auto"/>
              <w:bottom w:val="single" w:sz="4" w:space="0" w:color="auto"/>
              <w:right w:val="single" w:sz="4" w:space="0" w:color="auto"/>
            </w:tcBorders>
          </w:tcPr>
          <w:p w14:paraId="1AB823BC" w14:textId="77777777" w:rsidR="006E1ADE" w:rsidRPr="0003648D" w:rsidRDefault="006E1ADE" w:rsidP="00B82144">
            <w:pPr>
              <w:spacing w:after="60"/>
              <w:rPr>
                <w:iCs/>
                <w:sz w:val="20"/>
              </w:rPr>
            </w:pPr>
            <w:r>
              <w:rPr>
                <w:iCs/>
                <w:sz w:val="20"/>
              </w:rPr>
              <w:t>EC</w:t>
            </w:r>
            <w:r w:rsidRPr="0003648D">
              <w:rPr>
                <w:iCs/>
                <w:sz w:val="20"/>
              </w:rPr>
              <w:t>RPR</w:t>
            </w:r>
          </w:p>
        </w:tc>
        <w:tc>
          <w:tcPr>
            <w:tcW w:w="460" w:type="pct"/>
            <w:tcBorders>
              <w:top w:val="single" w:sz="4" w:space="0" w:color="auto"/>
              <w:left w:val="single" w:sz="4" w:space="0" w:color="auto"/>
              <w:bottom w:val="single" w:sz="4" w:space="0" w:color="auto"/>
              <w:right w:val="single" w:sz="4" w:space="0" w:color="auto"/>
            </w:tcBorders>
          </w:tcPr>
          <w:p w14:paraId="253FB4F8" w14:textId="77777777" w:rsidR="006E1ADE" w:rsidRPr="0003648D" w:rsidRDefault="006E1ADE" w:rsidP="00B82144">
            <w:pPr>
              <w:spacing w:after="60"/>
              <w:rPr>
                <w:iCs/>
                <w:sz w:val="20"/>
              </w:rPr>
            </w:pPr>
            <w:r w:rsidRPr="0003648D">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180E677C"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Price—</w:t>
            </w:r>
            <w:r w:rsidRPr="0003648D">
              <w:rPr>
                <w:iCs/>
                <w:sz w:val="20"/>
              </w:rPr>
              <w:t xml:space="preserve">The price for </w:t>
            </w:r>
            <w:r>
              <w:rPr>
                <w:iCs/>
                <w:sz w:val="20"/>
              </w:rPr>
              <w:t>ECRS</w:t>
            </w:r>
            <w:r w:rsidRPr="0003648D">
              <w:rPr>
                <w:iCs/>
                <w:sz w:val="20"/>
              </w:rPr>
              <w:t xml:space="preserve"> calculated based on the net total costs for </w:t>
            </w:r>
            <w:r>
              <w:rPr>
                <w:iCs/>
                <w:sz w:val="20"/>
              </w:rPr>
              <w:t>ECRS</w:t>
            </w:r>
            <w:r w:rsidRPr="0003648D">
              <w:rPr>
                <w:iCs/>
                <w:sz w:val="20"/>
              </w:rPr>
              <w:t>, for the hour.</w:t>
            </w:r>
          </w:p>
        </w:tc>
      </w:tr>
      <w:tr w:rsidR="006E1ADE" w:rsidRPr="0003648D" w14:paraId="465B6997" w14:textId="77777777" w:rsidTr="00B82144">
        <w:tc>
          <w:tcPr>
            <w:tcW w:w="849" w:type="pct"/>
            <w:tcBorders>
              <w:top w:val="single" w:sz="4" w:space="0" w:color="auto"/>
              <w:left w:val="single" w:sz="4" w:space="0" w:color="auto"/>
              <w:bottom w:val="single" w:sz="4" w:space="0" w:color="auto"/>
              <w:right w:val="single" w:sz="4" w:space="0" w:color="auto"/>
            </w:tcBorders>
          </w:tcPr>
          <w:p w14:paraId="7C8A1F2E" w14:textId="77777777" w:rsidR="006E1ADE" w:rsidRPr="0003648D" w:rsidRDefault="006E1ADE" w:rsidP="00B82144">
            <w:pPr>
              <w:spacing w:after="60"/>
              <w:rPr>
                <w:iCs/>
                <w:sz w:val="20"/>
              </w:rPr>
            </w:pPr>
            <w:r>
              <w:rPr>
                <w:iCs/>
                <w:sz w:val="20"/>
              </w:rPr>
              <w:t>EC</w:t>
            </w:r>
            <w:r w:rsidRPr="0003648D">
              <w:rPr>
                <w:iCs/>
                <w:sz w:val="20"/>
              </w:rPr>
              <w:t>RCOSTTOT</w:t>
            </w:r>
          </w:p>
        </w:tc>
        <w:tc>
          <w:tcPr>
            <w:tcW w:w="460" w:type="pct"/>
            <w:tcBorders>
              <w:top w:val="single" w:sz="4" w:space="0" w:color="auto"/>
              <w:left w:val="single" w:sz="4" w:space="0" w:color="auto"/>
              <w:bottom w:val="single" w:sz="4" w:space="0" w:color="auto"/>
              <w:right w:val="single" w:sz="4" w:space="0" w:color="auto"/>
            </w:tcBorders>
          </w:tcPr>
          <w:p w14:paraId="59DB1A20" w14:textId="77777777" w:rsidR="006E1ADE" w:rsidRPr="0003648D" w:rsidRDefault="006E1ADE" w:rsidP="00B82144">
            <w:pPr>
              <w:spacing w:after="60"/>
              <w:rPr>
                <w:iCs/>
                <w:sz w:val="20"/>
              </w:rPr>
            </w:pPr>
            <w:r w:rsidRPr="0003648D">
              <w:rPr>
                <w:iCs/>
                <w:sz w:val="20"/>
              </w:rPr>
              <w:t>$</w:t>
            </w:r>
          </w:p>
        </w:tc>
        <w:tc>
          <w:tcPr>
            <w:tcW w:w="3691" w:type="pct"/>
            <w:tcBorders>
              <w:top w:val="single" w:sz="4" w:space="0" w:color="auto"/>
              <w:left w:val="single" w:sz="4" w:space="0" w:color="auto"/>
              <w:bottom w:val="single" w:sz="4" w:space="0" w:color="auto"/>
              <w:right w:val="single" w:sz="4" w:space="0" w:color="auto"/>
            </w:tcBorders>
          </w:tcPr>
          <w:p w14:paraId="4586258D" w14:textId="2572EE07" w:rsidR="006E1ADE" w:rsidRPr="0003648D" w:rsidRDefault="006E1ADE" w:rsidP="00B82144">
            <w:pPr>
              <w:spacing w:after="60"/>
              <w:rPr>
                <w:i/>
                <w:iCs/>
                <w:sz w:val="20"/>
              </w:rPr>
            </w:pPr>
            <w:r>
              <w:rPr>
                <w:i/>
                <w:iCs/>
                <w:sz w:val="20"/>
              </w:rPr>
              <w:t>ERCOT Contingency Reserve Service</w:t>
            </w:r>
            <w:r w:rsidRPr="0003648D">
              <w:rPr>
                <w:i/>
                <w:iCs/>
                <w:sz w:val="20"/>
              </w:rPr>
              <w:t xml:space="preserve"> Cost Total</w:t>
            </w:r>
            <w:r w:rsidRPr="0003648D">
              <w:rPr>
                <w:iCs/>
                <w:sz w:val="20"/>
              </w:rPr>
              <w:t xml:space="preserve">—The net total costs for </w:t>
            </w:r>
            <w:r>
              <w:rPr>
                <w:iCs/>
                <w:sz w:val="20"/>
              </w:rPr>
              <w:t>ECRS</w:t>
            </w:r>
            <w:r w:rsidRPr="0003648D">
              <w:rPr>
                <w:iCs/>
                <w:sz w:val="20"/>
              </w:rPr>
              <w:t>, for the hour.  See item (</w:t>
            </w:r>
            <w:r w:rsidR="00DE555F">
              <w:rPr>
                <w:iCs/>
                <w:sz w:val="20"/>
              </w:rPr>
              <w:t>6</w:t>
            </w:r>
            <w:r w:rsidRPr="0003648D">
              <w:rPr>
                <w:iCs/>
                <w:sz w:val="20"/>
              </w:rPr>
              <w:t>)(a) above.</w:t>
            </w:r>
          </w:p>
        </w:tc>
      </w:tr>
      <w:tr w:rsidR="006E1ADE" w:rsidRPr="0003648D" w14:paraId="08B63496" w14:textId="77777777" w:rsidTr="00B82144">
        <w:tc>
          <w:tcPr>
            <w:tcW w:w="849" w:type="pct"/>
            <w:tcBorders>
              <w:top w:val="single" w:sz="4" w:space="0" w:color="auto"/>
              <w:left w:val="single" w:sz="4" w:space="0" w:color="auto"/>
              <w:bottom w:val="single" w:sz="4" w:space="0" w:color="auto"/>
              <w:right w:val="single" w:sz="4" w:space="0" w:color="auto"/>
            </w:tcBorders>
          </w:tcPr>
          <w:p w14:paraId="3BEE97C1" w14:textId="77777777" w:rsidR="006E1ADE" w:rsidRPr="0003648D" w:rsidRDefault="006E1ADE" w:rsidP="00B82144">
            <w:pPr>
              <w:spacing w:after="60"/>
              <w:rPr>
                <w:iCs/>
                <w:sz w:val="20"/>
              </w:rPr>
            </w:pPr>
            <w:r>
              <w:rPr>
                <w:iCs/>
                <w:sz w:val="20"/>
              </w:rPr>
              <w:lastRenderedPageBreak/>
              <w:t>EC</w:t>
            </w:r>
            <w:r w:rsidRPr="0003648D">
              <w:rPr>
                <w:iCs/>
                <w:sz w:val="20"/>
              </w:rPr>
              <w:t>RQTOT</w:t>
            </w:r>
          </w:p>
        </w:tc>
        <w:tc>
          <w:tcPr>
            <w:tcW w:w="460" w:type="pct"/>
            <w:tcBorders>
              <w:top w:val="single" w:sz="4" w:space="0" w:color="auto"/>
              <w:left w:val="single" w:sz="4" w:space="0" w:color="auto"/>
              <w:bottom w:val="single" w:sz="4" w:space="0" w:color="auto"/>
              <w:right w:val="single" w:sz="4" w:space="0" w:color="auto"/>
            </w:tcBorders>
          </w:tcPr>
          <w:p w14:paraId="4B408F0B"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6BC813A"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Quantity Total</w:t>
            </w:r>
            <w:r w:rsidRPr="0003648D">
              <w:rPr>
                <w:iCs/>
                <w:sz w:val="20"/>
              </w:rPr>
              <w:t xml:space="preserve">—The sum of every QSE’s Ancillary Service Obligation minus its self-arranged </w:t>
            </w:r>
            <w:r>
              <w:rPr>
                <w:iCs/>
                <w:sz w:val="20"/>
              </w:rPr>
              <w:t>ECRS</w:t>
            </w:r>
            <w:r w:rsidRPr="0003648D">
              <w:rPr>
                <w:iCs/>
                <w:sz w:val="20"/>
              </w:rPr>
              <w:t xml:space="preserve"> quantity in the DAM and any and all SASMs for the hour.</w:t>
            </w:r>
          </w:p>
        </w:tc>
      </w:tr>
      <w:tr w:rsidR="006E1ADE" w:rsidRPr="0003648D" w14:paraId="2E4D9B29" w14:textId="77777777" w:rsidTr="00B82144">
        <w:tc>
          <w:tcPr>
            <w:tcW w:w="849" w:type="pct"/>
            <w:tcBorders>
              <w:top w:val="single" w:sz="4" w:space="0" w:color="auto"/>
              <w:left w:val="single" w:sz="4" w:space="0" w:color="auto"/>
              <w:bottom w:val="single" w:sz="4" w:space="0" w:color="auto"/>
              <w:right w:val="single" w:sz="4" w:space="0" w:color="auto"/>
            </w:tcBorders>
          </w:tcPr>
          <w:p w14:paraId="510C1FE7" w14:textId="77777777" w:rsidR="006E1ADE" w:rsidRPr="0003648D" w:rsidRDefault="006E1ADE" w:rsidP="00B82144">
            <w:pPr>
              <w:spacing w:after="60"/>
              <w:rPr>
                <w:iCs/>
                <w:sz w:val="20"/>
              </w:rPr>
            </w:pPr>
            <w:r>
              <w:rPr>
                <w:iCs/>
                <w:sz w:val="20"/>
              </w:rPr>
              <w:t>EC</w:t>
            </w:r>
            <w:r w:rsidRPr="0003648D">
              <w:rPr>
                <w:iCs/>
                <w:sz w:val="20"/>
              </w:rPr>
              <w:t xml:space="preserve">RQ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5930D0B6"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0C3B042"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Quantity per QSE</w:t>
            </w:r>
            <w:r w:rsidRPr="0003648D">
              <w:rPr>
                <w:iCs/>
                <w:sz w:val="20"/>
              </w:rPr>
              <w:t xml:space="preserve">—The QSE </w:t>
            </w:r>
            <w:r w:rsidRPr="0003648D">
              <w:rPr>
                <w:i/>
                <w:iCs/>
                <w:sz w:val="20"/>
              </w:rPr>
              <w:t>q</w:t>
            </w:r>
            <w:r w:rsidRPr="0003648D">
              <w:rPr>
                <w:iCs/>
                <w:sz w:val="20"/>
              </w:rPr>
              <w:t xml:space="preserve">’s Ancillary Service Obligation minus its self-arranged </w:t>
            </w:r>
            <w:r>
              <w:rPr>
                <w:iCs/>
                <w:sz w:val="20"/>
              </w:rPr>
              <w:t>ECRS</w:t>
            </w:r>
            <w:r w:rsidRPr="0003648D">
              <w:rPr>
                <w:iCs/>
                <w:sz w:val="20"/>
              </w:rPr>
              <w:t xml:space="preserve"> quantity in the DAM and any and all SASMs, for the hour.</w:t>
            </w:r>
          </w:p>
        </w:tc>
      </w:tr>
      <w:tr w:rsidR="006E1ADE" w:rsidRPr="0003648D" w14:paraId="76DCD272" w14:textId="77777777" w:rsidTr="00B82144">
        <w:tc>
          <w:tcPr>
            <w:tcW w:w="849" w:type="pct"/>
            <w:tcBorders>
              <w:top w:val="single" w:sz="4" w:space="0" w:color="auto"/>
              <w:left w:val="single" w:sz="4" w:space="0" w:color="auto"/>
              <w:bottom w:val="single" w:sz="4" w:space="0" w:color="auto"/>
              <w:right w:val="single" w:sz="4" w:space="0" w:color="auto"/>
            </w:tcBorders>
          </w:tcPr>
          <w:p w14:paraId="72463CCC" w14:textId="77777777" w:rsidR="006E1ADE" w:rsidRPr="0003648D" w:rsidRDefault="006E1ADE" w:rsidP="00B82144">
            <w:pPr>
              <w:spacing w:after="60"/>
              <w:rPr>
                <w:iCs/>
                <w:sz w:val="20"/>
              </w:rPr>
            </w:pPr>
            <w:r>
              <w:rPr>
                <w:iCs/>
                <w:sz w:val="20"/>
              </w:rPr>
              <w:t>EC</w:t>
            </w:r>
            <w:r w:rsidRPr="0003648D">
              <w:rPr>
                <w:iCs/>
                <w:sz w:val="20"/>
              </w:rPr>
              <w:t xml:space="preserve">RO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B975433"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785E631"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Obligation per QSE</w:t>
            </w:r>
            <w:r w:rsidRPr="0003648D">
              <w:rPr>
                <w:iCs/>
                <w:sz w:val="20"/>
              </w:rPr>
              <w:t xml:space="preserve">—The Ancillary Service Obligation of QSE </w:t>
            </w:r>
            <w:r w:rsidRPr="0003648D">
              <w:rPr>
                <w:i/>
                <w:iCs/>
                <w:sz w:val="20"/>
              </w:rPr>
              <w:t>q</w:t>
            </w:r>
            <w:r w:rsidRPr="0003648D">
              <w:rPr>
                <w:iCs/>
                <w:sz w:val="20"/>
              </w:rPr>
              <w:t>, for the hour.</w:t>
            </w:r>
          </w:p>
        </w:tc>
      </w:tr>
      <w:tr w:rsidR="006E1ADE" w:rsidRPr="0003648D" w14:paraId="1021531A" w14:textId="77777777" w:rsidTr="00B82144">
        <w:tc>
          <w:tcPr>
            <w:tcW w:w="849" w:type="pct"/>
            <w:tcBorders>
              <w:top w:val="single" w:sz="4" w:space="0" w:color="auto"/>
              <w:left w:val="single" w:sz="4" w:space="0" w:color="auto"/>
              <w:bottom w:val="single" w:sz="4" w:space="0" w:color="auto"/>
              <w:right w:val="single" w:sz="4" w:space="0" w:color="auto"/>
            </w:tcBorders>
          </w:tcPr>
          <w:p w14:paraId="108247CB" w14:textId="77777777" w:rsidR="006E1ADE" w:rsidRPr="0003648D" w:rsidRDefault="006E1ADE" w:rsidP="00B82144">
            <w:pPr>
              <w:spacing w:after="60"/>
              <w:rPr>
                <w:iCs/>
                <w:sz w:val="20"/>
              </w:rPr>
            </w:pPr>
            <w:r w:rsidRPr="0003648D">
              <w:rPr>
                <w:iCs/>
                <w:sz w:val="20"/>
              </w:rPr>
              <w:t>DASA</w:t>
            </w:r>
            <w:r>
              <w:rPr>
                <w:iCs/>
                <w:sz w:val="20"/>
              </w:rPr>
              <w:t>EC</w:t>
            </w:r>
            <w:r w:rsidRPr="0003648D">
              <w:rPr>
                <w:iCs/>
                <w:sz w:val="20"/>
              </w:rPr>
              <w:t>RQ</w:t>
            </w:r>
            <w:r w:rsidRPr="0003648D">
              <w:rPr>
                <w:i/>
                <w:iCs/>
                <w:sz w:val="20"/>
              </w:rPr>
              <w:t xml:space="preserve">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108EB45"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7E369C91" w14:textId="77777777" w:rsidR="006E1ADE" w:rsidRPr="0003648D" w:rsidRDefault="006E1ADE" w:rsidP="00B82144">
            <w:pPr>
              <w:spacing w:after="60"/>
              <w:rPr>
                <w:i/>
                <w:iCs/>
                <w:sz w:val="20"/>
              </w:rPr>
            </w:pPr>
            <w:r w:rsidRPr="0003648D">
              <w:rPr>
                <w:i/>
                <w:iCs/>
                <w:sz w:val="20"/>
              </w:rPr>
              <w:t xml:space="preserve">Day-Ahead Self-Arranged </w:t>
            </w:r>
            <w:r>
              <w:rPr>
                <w:i/>
                <w:iCs/>
                <w:sz w:val="20"/>
              </w:rPr>
              <w:t>ERCOT Contingency Reserve Service</w:t>
            </w:r>
            <w:r w:rsidRPr="0003648D">
              <w:rPr>
                <w:i/>
                <w:iCs/>
                <w:sz w:val="20"/>
              </w:rPr>
              <w:t xml:space="preserve"> Quantity per QSE</w:t>
            </w:r>
            <w:r w:rsidRPr="0003648D">
              <w:rPr>
                <w:iCs/>
                <w:sz w:val="20"/>
              </w:rPr>
              <w:t xml:space="preserve">—The self-arranged </w:t>
            </w:r>
            <w:r>
              <w:rPr>
                <w:iCs/>
                <w:sz w:val="20"/>
              </w:rPr>
              <w:t>ECRS</w:t>
            </w:r>
            <w:r w:rsidRPr="0003648D">
              <w:rPr>
                <w:iCs/>
                <w:sz w:val="20"/>
              </w:rPr>
              <w:t xml:space="preserve"> quantity submitted by QSE </w:t>
            </w:r>
            <w:r w:rsidRPr="0003648D">
              <w:rPr>
                <w:i/>
                <w:iCs/>
                <w:sz w:val="20"/>
              </w:rPr>
              <w:t>q</w:t>
            </w:r>
            <w:r w:rsidRPr="0003648D">
              <w:rPr>
                <w:iCs/>
                <w:sz w:val="20"/>
              </w:rPr>
              <w:t xml:space="preserve"> before 1000 in the Day-Ahead.</w:t>
            </w:r>
          </w:p>
        </w:tc>
      </w:tr>
      <w:tr w:rsidR="006E1ADE" w:rsidRPr="0003648D" w14:paraId="4E0C0A2D" w14:textId="77777777" w:rsidTr="00B82144">
        <w:tc>
          <w:tcPr>
            <w:tcW w:w="849" w:type="pct"/>
            <w:tcBorders>
              <w:top w:val="single" w:sz="4" w:space="0" w:color="auto"/>
              <w:left w:val="single" w:sz="4" w:space="0" w:color="auto"/>
              <w:bottom w:val="single" w:sz="4" w:space="0" w:color="auto"/>
              <w:right w:val="single" w:sz="4" w:space="0" w:color="auto"/>
            </w:tcBorders>
          </w:tcPr>
          <w:p w14:paraId="697DB9A0" w14:textId="77777777" w:rsidR="006E1ADE" w:rsidRPr="0003648D" w:rsidRDefault="006E1ADE" w:rsidP="00B82144">
            <w:pPr>
              <w:spacing w:after="60"/>
              <w:rPr>
                <w:iCs/>
                <w:sz w:val="20"/>
              </w:rPr>
            </w:pPr>
            <w:r w:rsidRPr="0003648D">
              <w:rPr>
                <w:iCs/>
                <w:sz w:val="20"/>
              </w:rPr>
              <w:t>RTSA</w:t>
            </w:r>
            <w:r>
              <w:rPr>
                <w:iCs/>
                <w:sz w:val="20"/>
              </w:rPr>
              <w:t>EC</w:t>
            </w:r>
            <w:r w:rsidRPr="0003648D">
              <w:rPr>
                <w:iCs/>
                <w:sz w:val="20"/>
              </w:rPr>
              <w:t>RQ</w:t>
            </w:r>
            <w:r w:rsidRPr="0003648D">
              <w:rPr>
                <w:i/>
                <w:iCs/>
                <w:sz w:val="20"/>
              </w:rPr>
              <w:t xml:space="preserve">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7471D46"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E3ABA5B" w14:textId="77777777" w:rsidR="006E1ADE" w:rsidRPr="0003648D" w:rsidRDefault="006E1ADE" w:rsidP="00B82144">
            <w:pPr>
              <w:spacing w:after="60"/>
              <w:rPr>
                <w:i/>
                <w:iCs/>
                <w:sz w:val="20"/>
              </w:rPr>
            </w:pPr>
            <w:r w:rsidRPr="0003648D">
              <w:rPr>
                <w:i/>
                <w:iCs/>
                <w:sz w:val="20"/>
              </w:rPr>
              <w:t xml:space="preserve">Self-Arranged </w:t>
            </w:r>
            <w:r>
              <w:rPr>
                <w:i/>
                <w:iCs/>
                <w:sz w:val="20"/>
              </w:rPr>
              <w:t>ERCOT Contingency Reserve Service</w:t>
            </w:r>
            <w:r w:rsidRPr="0003648D">
              <w:rPr>
                <w:i/>
                <w:iCs/>
                <w:sz w:val="20"/>
              </w:rPr>
              <w:t xml:space="preserve"> Quantity per QSE for all SASMs</w:t>
            </w:r>
            <w:r w:rsidRPr="0003648D">
              <w:rPr>
                <w:iCs/>
                <w:sz w:val="20"/>
              </w:rPr>
              <w:t xml:space="preserve">—The sum of all self-arranged </w:t>
            </w:r>
            <w:r>
              <w:rPr>
                <w:iCs/>
                <w:sz w:val="20"/>
              </w:rPr>
              <w:t>ECRS</w:t>
            </w:r>
            <w:r w:rsidRPr="0003648D">
              <w:rPr>
                <w:iCs/>
                <w:sz w:val="20"/>
              </w:rPr>
              <w:t xml:space="preserve"> quantities submitted by QSE </w:t>
            </w:r>
            <w:r w:rsidRPr="0003648D">
              <w:rPr>
                <w:i/>
                <w:iCs/>
                <w:sz w:val="20"/>
              </w:rPr>
              <w:t>q</w:t>
            </w:r>
            <w:r w:rsidRPr="0003648D">
              <w:rPr>
                <w:iCs/>
                <w:sz w:val="20"/>
              </w:rPr>
              <w:t xml:space="preserve"> for all SASMs due to an increase in the Ancillary Service Plan per Section 4.4.7.1.</w:t>
            </w:r>
          </w:p>
        </w:tc>
      </w:tr>
      <w:tr w:rsidR="006E1ADE" w:rsidRPr="0003648D" w14:paraId="7056024C" w14:textId="77777777" w:rsidTr="00B82144">
        <w:tc>
          <w:tcPr>
            <w:tcW w:w="849" w:type="pct"/>
            <w:tcBorders>
              <w:top w:val="single" w:sz="4" w:space="0" w:color="auto"/>
              <w:left w:val="single" w:sz="4" w:space="0" w:color="auto"/>
              <w:bottom w:val="single" w:sz="4" w:space="0" w:color="auto"/>
              <w:right w:val="single" w:sz="4" w:space="0" w:color="auto"/>
            </w:tcBorders>
          </w:tcPr>
          <w:p w14:paraId="3EEF4760"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 </w:t>
            </w:r>
            <w:r w:rsidRPr="0003648D">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7C91FE58"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7D77952" w14:textId="77777777" w:rsidR="006E1ADE" w:rsidRPr="0003648D" w:rsidRDefault="006E1ADE" w:rsidP="00B82144">
            <w:pPr>
              <w:spacing w:after="60"/>
              <w:rPr>
                <w:i/>
                <w:iCs/>
                <w:sz w:val="20"/>
              </w:rPr>
            </w:pPr>
            <w:r w:rsidRPr="0003648D">
              <w:rPr>
                <w:i/>
                <w:iCs/>
                <w:sz w:val="20"/>
              </w:rPr>
              <w:t xml:space="preserve">Procured Capacity for </w:t>
            </w:r>
            <w:r>
              <w:rPr>
                <w:i/>
                <w:iCs/>
                <w:sz w:val="20"/>
              </w:rPr>
              <w:t>ERCOT Contingency Reserve Service</w:t>
            </w:r>
            <w:r w:rsidRPr="0003648D">
              <w:rPr>
                <w:i/>
                <w:iCs/>
                <w:sz w:val="20"/>
              </w:rPr>
              <w:t xml:space="preserve"> per QSE by market—</w:t>
            </w:r>
            <w:r w:rsidRPr="0003648D">
              <w:rPr>
                <w:iCs/>
                <w:sz w:val="20"/>
              </w:rPr>
              <w:t xml:space="preserve">The MW portion of QSE </w:t>
            </w:r>
            <w:r w:rsidRPr="0003648D">
              <w:rPr>
                <w:i/>
                <w:iCs/>
                <w:sz w:val="20"/>
              </w:rPr>
              <w:t>q</w:t>
            </w:r>
            <w:r w:rsidRPr="0003648D">
              <w:rPr>
                <w:iCs/>
                <w:sz w:val="20"/>
              </w:rPr>
              <w:t xml:space="preserve">’s Ancillary Service Offers cleared in the market </w:t>
            </w:r>
            <w:r w:rsidRPr="0003648D">
              <w:rPr>
                <w:i/>
                <w:iCs/>
                <w:sz w:val="20"/>
              </w:rPr>
              <w:t>m</w:t>
            </w:r>
            <w:r w:rsidRPr="0003648D">
              <w:rPr>
                <w:iCs/>
                <w:sz w:val="20"/>
              </w:rPr>
              <w:t xml:space="preserve"> to provide </w:t>
            </w:r>
            <w:r>
              <w:rPr>
                <w:iCs/>
                <w:sz w:val="20"/>
              </w:rPr>
              <w:t>ECRS</w:t>
            </w:r>
            <w:r w:rsidRPr="0003648D">
              <w:rPr>
                <w:iCs/>
                <w:sz w:val="20"/>
              </w:rPr>
              <w:t>, for the hour.</w:t>
            </w:r>
          </w:p>
        </w:tc>
      </w:tr>
      <w:tr w:rsidR="006E1ADE" w:rsidRPr="0003648D" w14:paraId="3FEC7D2E" w14:textId="77777777" w:rsidTr="00B82144">
        <w:tc>
          <w:tcPr>
            <w:tcW w:w="849" w:type="pct"/>
            <w:tcBorders>
              <w:top w:val="single" w:sz="4" w:space="0" w:color="auto"/>
              <w:left w:val="single" w:sz="4" w:space="0" w:color="auto"/>
              <w:bottom w:val="single" w:sz="4" w:space="0" w:color="auto"/>
              <w:right w:val="single" w:sz="4" w:space="0" w:color="auto"/>
            </w:tcBorders>
          </w:tcPr>
          <w:p w14:paraId="2EA310B3" w14:textId="77777777" w:rsidR="006E1ADE" w:rsidRPr="0003648D" w:rsidRDefault="006E1ADE" w:rsidP="00B82144">
            <w:pPr>
              <w:spacing w:after="60"/>
              <w:rPr>
                <w:iCs/>
                <w:sz w:val="20"/>
              </w:rPr>
            </w:pPr>
            <w:r>
              <w:rPr>
                <w:iCs/>
                <w:sz w:val="20"/>
              </w:rPr>
              <w:t>EC</w:t>
            </w:r>
            <w:r w:rsidRPr="0003648D">
              <w:rPr>
                <w:iCs/>
                <w:sz w:val="20"/>
              </w:rPr>
              <w:t xml:space="preserve">RFQ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0C47CDE"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CF72252" w14:textId="77777777" w:rsidR="006E1ADE" w:rsidRPr="0003648D" w:rsidRDefault="006E1ADE" w:rsidP="00B82144">
            <w:pPr>
              <w:spacing w:after="60"/>
              <w:rPr>
                <w:iCs/>
                <w:sz w:val="20"/>
              </w:rPr>
            </w:pPr>
            <w:r>
              <w:rPr>
                <w:i/>
                <w:iCs/>
                <w:sz w:val="20"/>
              </w:rPr>
              <w:t>ERCOT Contingency Reserve Service</w:t>
            </w:r>
            <w:r w:rsidRPr="0003648D">
              <w:rPr>
                <w:i/>
                <w:iCs/>
                <w:sz w:val="20"/>
              </w:rPr>
              <w:t xml:space="preserve"> Failure Quantity per QSE—</w:t>
            </w:r>
            <w:r w:rsidRPr="0003648D">
              <w:rPr>
                <w:iCs/>
                <w:sz w:val="20"/>
              </w:rPr>
              <w:t xml:space="preserve">QSE </w:t>
            </w:r>
            <w:r w:rsidRPr="0003648D">
              <w:rPr>
                <w:i/>
                <w:iCs/>
                <w:sz w:val="20"/>
              </w:rPr>
              <w:t>q</w:t>
            </w:r>
            <w:r w:rsidRPr="0003648D">
              <w:rPr>
                <w:iCs/>
                <w:sz w:val="20"/>
              </w:rPr>
              <w:t xml:space="preserve">’s total capacity associated with failures on its Ancillary Service Supply Responsibility for </w:t>
            </w:r>
            <w:r>
              <w:rPr>
                <w:iCs/>
                <w:sz w:val="20"/>
              </w:rPr>
              <w:t>ECRS</w:t>
            </w:r>
            <w:r w:rsidRPr="0003648D">
              <w:rPr>
                <w:iCs/>
                <w:sz w:val="20"/>
              </w:rPr>
              <w:t>, for the hour.</w:t>
            </w:r>
          </w:p>
        </w:tc>
      </w:tr>
      <w:tr w:rsidR="006E1ADE" w:rsidRPr="0003648D" w14:paraId="6BD079CB" w14:textId="77777777" w:rsidTr="00B82144">
        <w:tc>
          <w:tcPr>
            <w:tcW w:w="849" w:type="pct"/>
            <w:tcBorders>
              <w:top w:val="single" w:sz="4" w:space="0" w:color="auto"/>
              <w:left w:val="single" w:sz="4" w:space="0" w:color="auto"/>
              <w:bottom w:val="single" w:sz="4" w:space="0" w:color="auto"/>
              <w:right w:val="single" w:sz="4" w:space="0" w:color="auto"/>
            </w:tcBorders>
          </w:tcPr>
          <w:p w14:paraId="6E8B1BEF" w14:textId="77777777" w:rsidR="006E1ADE" w:rsidRPr="0003648D" w:rsidRDefault="006E1ADE" w:rsidP="00B82144">
            <w:pPr>
              <w:spacing w:after="60"/>
              <w:rPr>
                <w:iCs/>
                <w:sz w:val="20"/>
              </w:rPr>
            </w:pPr>
            <w:r>
              <w:rPr>
                <w:sz w:val="20"/>
              </w:rPr>
              <w:t>REC</w:t>
            </w:r>
            <w:r w:rsidRPr="0003648D">
              <w:rPr>
                <w:sz w:val="20"/>
              </w:rPr>
              <w:t xml:space="preserve">RFQ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9BB91F0" w14:textId="77777777" w:rsidR="006E1ADE" w:rsidRPr="0003648D" w:rsidRDefault="006E1ADE" w:rsidP="00B82144">
            <w:pPr>
              <w:spacing w:after="60"/>
              <w:rPr>
                <w:iCs/>
                <w:sz w:val="20"/>
              </w:rPr>
            </w:pPr>
            <w:r w:rsidRPr="0003648D">
              <w:rPr>
                <w:sz w:val="20"/>
              </w:rPr>
              <w:t>MW</w:t>
            </w:r>
          </w:p>
        </w:tc>
        <w:tc>
          <w:tcPr>
            <w:tcW w:w="3691" w:type="pct"/>
            <w:tcBorders>
              <w:top w:val="single" w:sz="4" w:space="0" w:color="auto"/>
              <w:left w:val="single" w:sz="4" w:space="0" w:color="auto"/>
              <w:bottom w:val="single" w:sz="4" w:space="0" w:color="auto"/>
              <w:right w:val="single" w:sz="4" w:space="0" w:color="auto"/>
            </w:tcBorders>
          </w:tcPr>
          <w:p w14:paraId="5BDA969A" w14:textId="77777777" w:rsidR="006E1ADE" w:rsidRPr="0003648D" w:rsidRDefault="006E1ADE" w:rsidP="00B82144">
            <w:pPr>
              <w:spacing w:after="60"/>
              <w:rPr>
                <w:i/>
                <w:iCs/>
                <w:sz w:val="20"/>
              </w:rPr>
            </w:pPr>
            <w:r w:rsidRPr="0003648D">
              <w:rPr>
                <w:i/>
                <w:sz w:val="20"/>
              </w:rPr>
              <w:t xml:space="preserve">Reconfiguration </w:t>
            </w:r>
            <w:r>
              <w:rPr>
                <w:i/>
                <w:sz w:val="20"/>
              </w:rPr>
              <w:t>ERCOT Contingency Reserve Service</w:t>
            </w:r>
            <w:r w:rsidRPr="0003648D">
              <w:rPr>
                <w:i/>
                <w:sz w:val="20"/>
              </w:rPr>
              <w:t xml:space="preserve"> Failure Quantity per QSE—</w:t>
            </w:r>
            <w:r w:rsidRPr="0003648D">
              <w:rPr>
                <w:sz w:val="20"/>
              </w:rPr>
              <w:t xml:space="preserve">QSE </w:t>
            </w:r>
            <w:r w:rsidRPr="0003648D">
              <w:rPr>
                <w:i/>
                <w:sz w:val="20"/>
              </w:rPr>
              <w:t>q</w:t>
            </w:r>
            <w:r w:rsidRPr="0003648D">
              <w:rPr>
                <w:sz w:val="20"/>
              </w:rPr>
              <w:t xml:space="preserve">’s total capacity associated with reconfiguration reductions on its Ancillary Service Supply Responsibility for </w:t>
            </w:r>
            <w:r>
              <w:rPr>
                <w:sz w:val="20"/>
              </w:rPr>
              <w:t>ECRS</w:t>
            </w:r>
            <w:r w:rsidRPr="0003648D">
              <w:rPr>
                <w:sz w:val="20"/>
              </w:rPr>
              <w:t>, for the hour.</w:t>
            </w:r>
          </w:p>
        </w:tc>
      </w:tr>
      <w:tr w:rsidR="006E1ADE" w:rsidRPr="0003648D" w14:paraId="7C3DE8AF" w14:textId="77777777" w:rsidTr="00B82144">
        <w:tc>
          <w:tcPr>
            <w:tcW w:w="849" w:type="pct"/>
            <w:tcBorders>
              <w:top w:val="single" w:sz="4" w:space="0" w:color="auto"/>
              <w:left w:val="single" w:sz="4" w:space="0" w:color="auto"/>
              <w:bottom w:val="single" w:sz="4" w:space="0" w:color="auto"/>
              <w:right w:val="single" w:sz="4" w:space="0" w:color="auto"/>
            </w:tcBorders>
          </w:tcPr>
          <w:p w14:paraId="37DD5782" w14:textId="77777777" w:rsidR="006E1ADE" w:rsidRPr="0003648D" w:rsidRDefault="006E1ADE" w:rsidP="00B82144">
            <w:pPr>
              <w:spacing w:after="60"/>
              <w:rPr>
                <w:iCs/>
                <w:sz w:val="20"/>
              </w:rPr>
            </w:pPr>
            <w:r w:rsidRPr="0003648D">
              <w:rPr>
                <w:iCs/>
                <w:sz w:val="20"/>
              </w:rPr>
              <w:t xml:space="preserve">HLRS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172EC52" w14:textId="77777777" w:rsidR="006E1ADE" w:rsidRPr="0003648D" w:rsidRDefault="006E1ADE" w:rsidP="00B82144">
            <w:pPr>
              <w:spacing w:after="60"/>
              <w:rPr>
                <w:iCs/>
                <w:sz w:val="20"/>
              </w:rPr>
            </w:pPr>
            <w:r w:rsidRPr="0003648D">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70E0D450" w14:textId="77777777" w:rsidR="006E1ADE" w:rsidRPr="0003648D" w:rsidRDefault="006E1ADE" w:rsidP="00B82144">
            <w:pPr>
              <w:spacing w:after="60"/>
              <w:rPr>
                <w:iCs/>
                <w:sz w:val="20"/>
              </w:rPr>
            </w:pPr>
            <w:r w:rsidRPr="0003648D">
              <w:rPr>
                <w:i/>
                <w:iCs/>
                <w:sz w:val="20"/>
              </w:rPr>
              <w:t>The Hourly Load Ratio Share calculated for QSE q for the hour</w:t>
            </w:r>
            <w:r w:rsidRPr="0003648D">
              <w:rPr>
                <w:iCs/>
                <w:sz w:val="20"/>
              </w:rPr>
              <w:t>.  See Section 6.6.2.4.</w:t>
            </w:r>
          </w:p>
        </w:tc>
      </w:tr>
      <w:tr w:rsidR="006E1ADE" w:rsidRPr="0003648D" w14:paraId="1F775C26" w14:textId="77777777" w:rsidTr="00B82144">
        <w:tc>
          <w:tcPr>
            <w:tcW w:w="849" w:type="pct"/>
            <w:tcBorders>
              <w:top w:val="single" w:sz="4" w:space="0" w:color="auto"/>
              <w:left w:val="single" w:sz="4" w:space="0" w:color="auto"/>
              <w:bottom w:val="single" w:sz="4" w:space="0" w:color="auto"/>
              <w:right w:val="single" w:sz="4" w:space="0" w:color="auto"/>
            </w:tcBorders>
          </w:tcPr>
          <w:p w14:paraId="6E1489DE" w14:textId="77777777" w:rsidR="006E1ADE" w:rsidRPr="0003648D" w:rsidRDefault="006E1ADE" w:rsidP="00B82144">
            <w:pPr>
              <w:rPr>
                <w:sz w:val="20"/>
              </w:rPr>
            </w:pPr>
            <w:r w:rsidRPr="0003648D">
              <w:rPr>
                <w:sz w:val="20"/>
              </w:rPr>
              <w:t>PC</w:t>
            </w:r>
            <w:r>
              <w:rPr>
                <w:sz w:val="20"/>
              </w:rPr>
              <w:t>EC</w:t>
            </w:r>
            <w:r w:rsidRPr="0003648D">
              <w:rPr>
                <w:sz w:val="20"/>
              </w:rPr>
              <w:t xml:space="preserve">R </w:t>
            </w:r>
            <w:r w:rsidRPr="0003648D">
              <w:rPr>
                <w:i/>
                <w:sz w:val="20"/>
                <w:vertAlign w:val="subscript"/>
              </w:rPr>
              <w:t>q</w:t>
            </w:r>
            <w:r w:rsidRPr="0003648D">
              <w:rPr>
                <w:i/>
                <w:sz w:val="20"/>
              </w:rPr>
              <w:t xml:space="preserve"> </w:t>
            </w:r>
          </w:p>
        </w:tc>
        <w:tc>
          <w:tcPr>
            <w:tcW w:w="460" w:type="pct"/>
            <w:tcBorders>
              <w:top w:val="single" w:sz="4" w:space="0" w:color="auto"/>
              <w:left w:val="single" w:sz="4" w:space="0" w:color="auto"/>
              <w:bottom w:val="single" w:sz="4" w:space="0" w:color="auto"/>
              <w:right w:val="single" w:sz="4" w:space="0" w:color="auto"/>
            </w:tcBorders>
          </w:tcPr>
          <w:p w14:paraId="24F9F313" w14:textId="77777777" w:rsidR="006E1ADE" w:rsidRPr="0003648D" w:rsidRDefault="006E1ADE" w:rsidP="00B82144">
            <w:pPr>
              <w:rPr>
                <w:sz w:val="20"/>
              </w:rPr>
            </w:pPr>
            <w:r w:rsidRPr="0003648D">
              <w:rPr>
                <w:sz w:val="20"/>
              </w:rPr>
              <w:t>MW</w:t>
            </w:r>
          </w:p>
        </w:tc>
        <w:tc>
          <w:tcPr>
            <w:tcW w:w="3691" w:type="pct"/>
            <w:tcBorders>
              <w:top w:val="single" w:sz="4" w:space="0" w:color="auto"/>
              <w:left w:val="single" w:sz="4" w:space="0" w:color="auto"/>
              <w:bottom w:val="single" w:sz="4" w:space="0" w:color="auto"/>
              <w:right w:val="single" w:sz="4" w:space="0" w:color="auto"/>
            </w:tcBorders>
          </w:tcPr>
          <w:p w14:paraId="23EEE942" w14:textId="77777777" w:rsidR="006E1ADE" w:rsidRPr="0003648D" w:rsidRDefault="006E1ADE" w:rsidP="00B82144">
            <w:pPr>
              <w:rPr>
                <w:sz w:val="20"/>
              </w:rPr>
            </w:pPr>
            <w:r w:rsidRPr="0003648D">
              <w:rPr>
                <w:i/>
                <w:sz w:val="20"/>
              </w:rPr>
              <w:t xml:space="preserve">Procured Capacity for </w:t>
            </w:r>
            <w:r>
              <w:rPr>
                <w:i/>
                <w:sz w:val="20"/>
              </w:rPr>
              <w:t>ERCOT Contingency Reserve Service</w:t>
            </w:r>
            <w:r w:rsidRPr="0003648D">
              <w:rPr>
                <w:i/>
                <w:sz w:val="20"/>
              </w:rPr>
              <w:t xml:space="preserve"> per QSE in DAM</w:t>
            </w:r>
            <w:r w:rsidRPr="0003648D">
              <w:rPr>
                <w:sz w:val="20"/>
              </w:rPr>
              <w:t xml:space="preserve">—The total </w:t>
            </w:r>
            <w:r>
              <w:rPr>
                <w:sz w:val="20"/>
              </w:rPr>
              <w:t>ECRS</w:t>
            </w:r>
            <w:r w:rsidRPr="0003648D">
              <w:rPr>
                <w:sz w:val="20"/>
              </w:rPr>
              <w:t xml:space="preserve"> capacity quantity awarded to QSE </w:t>
            </w:r>
            <w:r w:rsidRPr="0003648D">
              <w:rPr>
                <w:i/>
                <w:sz w:val="20"/>
              </w:rPr>
              <w:t>q</w:t>
            </w:r>
            <w:r w:rsidRPr="0003648D">
              <w:rPr>
                <w:sz w:val="20"/>
              </w:rPr>
              <w:t xml:space="preserve"> in the DAM for all the Resources represented by the QSE, for the hour.</w:t>
            </w:r>
          </w:p>
        </w:tc>
      </w:tr>
      <w:tr w:rsidR="006E1ADE" w:rsidRPr="0003648D" w14:paraId="6643327C" w14:textId="77777777" w:rsidTr="00B82144">
        <w:tc>
          <w:tcPr>
            <w:tcW w:w="849" w:type="pct"/>
            <w:tcBorders>
              <w:top w:val="single" w:sz="4" w:space="0" w:color="auto"/>
              <w:left w:val="single" w:sz="4" w:space="0" w:color="auto"/>
              <w:bottom w:val="single" w:sz="4" w:space="0" w:color="auto"/>
              <w:right w:val="single" w:sz="4" w:space="0" w:color="auto"/>
            </w:tcBorders>
          </w:tcPr>
          <w:p w14:paraId="4116E91C" w14:textId="77777777" w:rsidR="006E1ADE" w:rsidRPr="0003648D" w:rsidRDefault="006E1ADE" w:rsidP="00B82144">
            <w:pPr>
              <w:spacing w:after="60"/>
              <w:rPr>
                <w:sz w:val="20"/>
              </w:rPr>
            </w:pPr>
            <w:r w:rsidRPr="0003648D">
              <w:rPr>
                <w:sz w:val="20"/>
              </w:rPr>
              <w:t>SA</w:t>
            </w:r>
            <w:r>
              <w:rPr>
                <w:sz w:val="20"/>
              </w:rPr>
              <w:t>EC</w:t>
            </w:r>
            <w:r w:rsidRPr="0003648D">
              <w:rPr>
                <w:sz w:val="20"/>
              </w:rPr>
              <w:t xml:space="preserve">RQ </w:t>
            </w:r>
            <w:r w:rsidRPr="0003648D">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6F99FB4" w14:textId="77777777" w:rsidR="006E1ADE" w:rsidRPr="0003648D" w:rsidRDefault="006E1ADE" w:rsidP="00B82144">
            <w:pPr>
              <w:spacing w:after="60"/>
              <w:rPr>
                <w:sz w:val="20"/>
              </w:rPr>
            </w:pPr>
            <w:r w:rsidRPr="0003648D">
              <w:rPr>
                <w:sz w:val="20"/>
              </w:rPr>
              <w:t>MW</w:t>
            </w:r>
          </w:p>
        </w:tc>
        <w:tc>
          <w:tcPr>
            <w:tcW w:w="3691" w:type="pct"/>
            <w:tcBorders>
              <w:top w:val="single" w:sz="4" w:space="0" w:color="auto"/>
              <w:left w:val="single" w:sz="4" w:space="0" w:color="auto"/>
              <w:bottom w:val="single" w:sz="4" w:space="0" w:color="auto"/>
              <w:right w:val="single" w:sz="4" w:space="0" w:color="auto"/>
            </w:tcBorders>
          </w:tcPr>
          <w:p w14:paraId="51708FA3" w14:textId="77777777" w:rsidR="006E1ADE" w:rsidRPr="0003648D" w:rsidRDefault="006E1ADE" w:rsidP="00B82144">
            <w:pPr>
              <w:spacing w:after="60"/>
              <w:rPr>
                <w:i/>
                <w:sz w:val="20"/>
              </w:rPr>
            </w:pPr>
            <w:r w:rsidRPr="0003648D">
              <w:rPr>
                <w:i/>
                <w:sz w:val="20"/>
              </w:rPr>
              <w:t xml:space="preserve">Total Self-Arranged </w:t>
            </w:r>
            <w:r>
              <w:rPr>
                <w:i/>
                <w:sz w:val="20"/>
              </w:rPr>
              <w:t>ERCOT Contingency Reserve Service</w:t>
            </w:r>
            <w:r w:rsidRPr="0003648D">
              <w:rPr>
                <w:i/>
                <w:sz w:val="20"/>
              </w:rPr>
              <w:t xml:space="preserve"> Quantity per QSE for all markets</w:t>
            </w:r>
            <w:r w:rsidRPr="0003648D">
              <w:rPr>
                <w:sz w:val="20"/>
              </w:rPr>
              <w:t xml:space="preserve">—The sum of all self-arranged </w:t>
            </w:r>
            <w:r>
              <w:rPr>
                <w:sz w:val="20"/>
              </w:rPr>
              <w:t>ECRS</w:t>
            </w:r>
            <w:r w:rsidRPr="0003648D">
              <w:rPr>
                <w:sz w:val="20"/>
              </w:rPr>
              <w:t xml:space="preserve"> quantities submitted by QSE </w:t>
            </w:r>
            <w:r w:rsidRPr="0003648D">
              <w:rPr>
                <w:i/>
                <w:sz w:val="20"/>
              </w:rPr>
              <w:t>q</w:t>
            </w:r>
            <w:r w:rsidRPr="0003648D">
              <w:rPr>
                <w:sz w:val="20"/>
              </w:rPr>
              <w:t xml:space="preserve"> for DAM and all SASMs.</w:t>
            </w:r>
          </w:p>
        </w:tc>
      </w:tr>
      <w:tr w:rsidR="006E1ADE" w:rsidRPr="0003648D" w14:paraId="24DD5DDC" w14:textId="77777777" w:rsidTr="00B82144">
        <w:tc>
          <w:tcPr>
            <w:tcW w:w="849" w:type="pct"/>
            <w:tcBorders>
              <w:top w:val="single" w:sz="4" w:space="0" w:color="auto"/>
              <w:left w:val="single" w:sz="4" w:space="0" w:color="auto"/>
              <w:bottom w:val="single" w:sz="4" w:space="0" w:color="auto"/>
              <w:right w:val="single" w:sz="4" w:space="0" w:color="auto"/>
            </w:tcBorders>
          </w:tcPr>
          <w:p w14:paraId="3AF4A9D2" w14:textId="77777777" w:rsidR="006E1ADE" w:rsidRPr="0003648D" w:rsidRDefault="006E1ADE" w:rsidP="00B82144">
            <w:pPr>
              <w:spacing w:after="60"/>
              <w:rPr>
                <w:i/>
                <w:iCs/>
                <w:sz w:val="20"/>
              </w:rPr>
            </w:pPr>
            <w:r>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5723B0E8" w14:textId="77777777" w:rsidR="006E1ADE" w:rsidRPr="0003648D" w:rsidRDefault="006E1ADE" w:rsidP="00B82144">
            <w:pPr>
              <w:spacing w:after="60"/>
              <w:rPr>
                <w:iCs/>
                <w:sz w:val="20"/>
              </w:rPr>
            </w:pPr>
            <w:r w:rsidRPr="0003648D">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0F46A966" w14:textId="77777777" w:rsidR="006E1ADE" w:rsidRPr="0003648D" w:rsidRDefault="006E1ADE" w:rsidP="00B82144">
            <w:pPr>
              <w:spacing w:after="60"/>
              <w:rPr>
                <w:iCs/>
                <w:sz w:val="20"/>
              </w:rPr>
            </w:pPr>
            <w:r w:rsidRPr="0003648D">
              <w:rPr>
                <w:iCs/>
                <w:sz w:val="20"/>
              </w:rPr>
              <w:t>A QSE.</w:t>
            </w:r>
          </w:p>
        </w:tc>
      </w:tr>
      <w:tr w:rsidR="006E1ADE" w:rsidRPr="0003648D" w14:paraId="3B856DA6" w14:textId="77777777" w:rsidTr="00B82144">
        <w:tc>
          <w:tcPr>
            <w:tcW w:w="849" w:type="pct"/>
            <w:tcBorders>
              <w:top w:val="single" w:sz="4" w:space="0" w:color="auto"/>
              <w:left w:val="single" w:sz="4" w:space="0" w:color="auto"/>
              <w:bottom w:val="single" w:sz="4" w:space="0" w:color="auto"/>
              <w:right w:val="single" w:sz="4" w:space="0" w:color="auto"/>
            </w:tcBorders>
          </w:tcPr>
          <w:p w14:paraId="5B66966A" w14:textId="77777777" w:rsidR="006E1ADE" w:rsidRPr="0003648D" w:rsidRDefault="006E1ADE" w:rsidP="00B82144">
            <w:pPr>
              <w:spacing w:after="60"/>
              <w:rPr>
                <w:i/>
                <w:iCs/>
                <w:sz w:val="20"/>
              </w:rPr>
            </w:pPr>
            <w:r>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09A54404" w14:textId="77777777" w:rsidR="006E1ADE" w:rsidRPr="0003648D" w:rsidRDefault="006E1ADE" w:rsidP="00B82144">
            <w:pPr>
              <w:spacing w:after="60"/>
              <w:rPr>
                <w:iCs/>
                <w:sz w:val="20"/>
              </w:rPr>
            </w:pPr>
            <w:r w:rsidRPr="0003648D">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242F0953" w14:textId="77777777" w:rsidR="006E1ADE" w:rsidRPr="0003648D" w:rsidRDefault="006E1ADE" w:rsidP="00B82144">
            <w:pPr>
              <w:spacing w:after="60"/>
              <w:rPr>
                <w:iCs/>
                <w:sz w:val="20"/>
              </w:rPr>
            </w:pPr>
            <w:r w:rsidRPr="0003648D">
              <w:rPr>
                <w:iCs/>
                <w:sz w:val="20"/>
              </w:rPr>
              <w:t>An Ancillary Service market (SASM or RSASM) for the given Operating Hour.</w:t>
            </w:r>
          </w:p>
        </w:tc>
      </w:tr>
    </w:tbl>
    <w:p w14:paraId="08CC5180" w14:textId="77777777" w:rsidR="006E1ADE" w:rsidRPr="0003648D" w:rsidRDefault="006E1ADE" w:rsidP="006E1ADE"/>
    <w:p w14:paraId="215F46F6" w14:textId="77777777" w:rsidR="006E1ADE" w:rsidRPr="0003648D" w:rsidRDefault="006E1ADE" w:rsidP="006E1ADE">
      <w:pPr>
        <w:spacing w:after="240"/>
        <w:ind w:left="1440" w:hanging="720"/>
      </w:pPr>
      <w:r w:rsidRPr="0003648D">
        <w:t>(c)</w:t>
      </w:r>
      <w:r w:rsidRPr="0003648D">
        <w:tab/>
        <w:t xml:space="preserve">The adjustment to each QSE’s DAM charge for the </w:t>
      </w:r>
      <w:r>
        <w:t>ECRS</w:t>
      </w:r>
      <w:r w:rsidRPr="0003648D">
        <w:t xml:space="preserve"> for the Operating Hour, due to changes during the Adjustment Period or Real-Time operations, is calculated as follows:</w:t>
      </w:r>
    </w:p>
    <w:p w14:paraId="5F320C54" w14:textId="77777777" w:rsidR="006E1ADE" w:rsidRPr="0003648D" w:rsidRDefault="006E1ADE" w:rsidP="006E1ADE">
      <w:pPr>
        <w:spacing w:after="240"/>
        <w:ind w:left="2880" w:hanging="2160"/>
        <w:rPr>
          <w:b/>
          <w:bCs/>
          <w:lang w:val="pt-BR"/>
        </w:rPr>
      </w:pPr>
      <w:r w:rsidRPr="0003648D">
        <w:rPr>
          <w:b/>
          <w:bCs/>
          <w:lang w:val="pt-BR"/>
        </w:rPr>
        <w:t>RT</w:t>
      </w:r>
      <w:r>
        <w:rPr>
          <w:b/>
          <w:bCs/>
          <w:lang w:val="pt-BR"/>
        </w:rPr>
        <w:t>EC</w:t>
      </w:r>
      <w:r w:rsidRPr="0003648D">
        <w:rPr>
          <w:b/>
          <w:bCs/>
          <w:lang w:val="pt-BR"/>
        </w:rPr>
        <w:t xml:space="preserve">RAMT </w:t>
      </w:r>
      <w:r w:rsidRPr="0003648D">
        <w:rPr>
          <w:b/>
          <w:bCs/>
          <w:i/>
          <w:vertAlign w:val="subscript"/>
          <w:lang w:val="pt-BR"/>
        </w:rPr>
        <w:t>q</w:t>
      </w:r>
      <w:r w:rsidRPr="0003648D">
        <w:rPr>
          <w:b/>
          <w:bCs/>
          <w:lang w:val="pt-BR"/>
        </w:rPr>
        <w:tab/>
        <w:t>=</w:t>
      </w:r>
      <w:r w:rsidRPr="0003648D">
        <w:rPr>
          <w:b/>
          <w:bCs/>
          <w:lang w:val="pt-BR"/>
        </w:rPr>
        <w:tab/>
      </w:r>
      <w:r>
        <w:rPr>
          <w:b/>
          <w:bCs/>
          <w:lang w:val="pt-BR"/>
        </w:rPr>
        <w:t>EC</w:t>
      </w:r>
      <w:r w:rsidRPr="0003648D">
        <w:rPr>
          <w:b/>
          <w:bCs/>
          <w:lang w:val="pt-BR"/>
        </w:rPr>
        <w:t xml:space="preserve">RCOST </w:t>
      </w:r>
      <w:r w:rsidRPr="0003648D">
        <w:rPr>
          <w:b/>
          <w:bCs/>
          <w:i/>
          <w:vertAlign w:val="subscript"/>
          <w:lang w:val="pt-BR"/>
        </w:rPr>
        <w:t>q</w:t>
      </w:r>
      <w:r w:rsidRPr="0003648D">
        <w:rPr>
          <w:b/>
          <w:bCs/>
          <w:lang w:val="pt-BR"/>
        </w:rPr>
        <w:t xml:space="preserve"> – DA</w:t>
      </w:r>
      <w:r>
        <w:rPr>
          <w:b/>
          <w:bCs/>
          <w:lang w:val="pt-BR"/>
        </w:rPr>
        <w:t>EC</w:t>
      </w:r>
      <w:r w:rsidRPr="0003648D">
        <w:rPr>
          <w:b/>
          <w:bCs/>
          <w:lang w:val="pt-BR"/>
        </w:rPr>
        <w:t xml:space="preserve">RAMT </w:t>
      </w:r>
      <w:r w:rsidRPr="0003648D">
        <w:rPr>
          <w:b/>
          <w:bCs/>
          <w:i/>
          <w:vertAlign w:val="subscript"/>
          <w:lang w:val="pt-BR"/>
        </w:rPr>
        <w:t>q</w:t>
      </w:r>
    </w:p>
    <w:p w14:paraId="1E0FDEDD" w14:textId="77777777" w:rsidR="006E1ADE" w:rsidRPr="0003648D" w:rsidRDefault="006E1ADE" w:rsidP="006E1ADE">
      <w:r w:rsidRPr="0003648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6E1ADE" w:rsidRPr="0003648D" w14:paraId="2C828E22" w14:textId="77777777" w:rsidTr="00B82144">
        <w:trPr>
          <w:cantSplit/>
        </w:trPr>
        <w:tc>
          <w:tcPr>
            <w:tcW w:w="824" w:type="pct"/>
          </w:tcPr>
          <w:p w14:paraId="61E590C9" w14:textId="77777777" w:rsidR="006E1ADE" w:rsidRPr="0003648D" w:rsidRDefault="006E1ADE" w:rsidP="00B82144">
            <w:pPr>
              <w:spacing w:after="120"/>
              <w:rPr>
                <w:b/>
                <w:iCs/>
                <w:sz w:val="20"/>
              </w:rPr>
            </w:pPr>
            <w:r w:rsidRPr="0003648D">
              <w:rPr>
                <w:b/>
                <w:iCs/>
                <w:sz w:val="20"/>
              </w:rPr>
              <w:t>Variable</w:t>
            </w:r>
          </w:p>
        </w:tc>
        <w:tc>
          <w:tcPr>
            <w:tcW w:w="463" w:type="pct"/>
          </w:tcPr>
          <w:p w14:paraId="3EF05A51" w14:textId="77777777" w:rsidR="006E1ADE" w:rsidRPr="0003648D" w:rsidRDefault="006E1ADE" w:rsidP="00B82144">
            <w:pPr>
              <w:spacing w:after="120"/>
              <w:rPr>
                <w:b/>
                <w:iCs/>
                <w:sz w:val="20"/>
              </w:rPr>
            </w:pPr>
            <w:r w:rsidRPr="0003648D">
              <w:rPr>
                <w:b/>
                <w:iCs/>
                <w:sz w:val="20"/>
              </w:rPr>
              <w:t>Unit</w:t>
            </w:r>
          </w:p>
        </w:tc>
        <w:tc>
          <w:tcPr>
            <w:tcW w:w="3713" w:type="pct"/>
          </w:tcPr>
          <w:p w14:paraId="25C5B376" w14:textId="77777777" w:rsidR="006E1ADE" w:rsidRPr="0003648D" w:rsidRDefault="006E1ADE" w:rsidP="00B82144">
            <w:pPr>
              <w:spacing w:after="120"/>
              <w:rPr>
                <w:b/>
                <w:iCs/>
                <w:sz w:val="20"/>
              </w:rPr>
            </w:pPr>
            <w:r w:rsidRPr="0003648D">
              <w:rPr>
                <w:b/>
                <w:iCs/>
                <w:sz w:val="20"/>
              </w:rPr>
              <w:t>Description</w:t>
            </w:r>
          </w:p>
        </w:tc>
      </w:tr>
      <w:tr w:rsidR="006E1ADE" w:rsidRPr="0003648D" w14:paraId="3CABC9B8" w14:textId="77777777" w:rsidTr="00B82144">
        <w:trPr>
          <w:cantSplit/>
        </w:trPr>
        <w:tc>
          <w:tcPr>
            <w:tcW w:w="824" w:type="pct"/>
          </w:tcPr>
          <w:p w14:paraId="27938725" w14:textId="77777777" w:rsidR="006E1ADE" w:rsidRPr="0003648D" w:rsidRDefault="006E1ADE" w:rsidP="00B82144">
            <w:pPr>
              <w:spacing w:after="60"/>
              <w:rPr>
                <w:iCs/>
                <w:sz w:val="20"/>
              </w:rPr>
            </w:pPr>
            <w:r w:rsidRPr="0003648D">
              <w:rPr>
                <w:iCs/>
                <w:sz w:val="20"/>
              </w:rPr>
              <w:t>RT</w:t>
            </w:r>
            <w:r>
              <w:rPr>
                <w:iCs/>
                <w:sz w:val="20"/>
              </w:rPr>
              <w:t>EC</w:t>
            </w:r>
            <w:r w:rsidRPr="0003648D">
              <w:rPr>
                <w:iCs/>
                <w:sz w:val="20"/>
              </w:rPr>
              <w:t xml:space="preserve">RAMT </w:t>
            </w:r>
            <w:r w:rsidRPr="0003648D">
              <w:rPr>
                <w:i/>
                <w:iCs/>
                <w:sz w:val="20"/>
                <w:vertAlign w:val="subscript"/>
              </w:rPr>
              <w:t>q</w:t>
            </w:r>
          </w:p>
        </w:tc>
        <w:tc>
          <w:tcPr>
            <w:tcW w:w="463" w:type="pct"/>
          </w:tcPr>
          <w:p w14:paraId="61B45348" w14:textId="77777777" w:rsidR="006E1ADE" w:rsidRPr="0003648D" w:rsidRDefault="006E1ADE" w:rsidP="00B82144">
            <w:pPr>
              <w:spacing w:after="60"/>
              <w:rPr>
                <w:iCs/>
                <w:sz w:val="20"/>
              </w:rPr>
            </w:pPr>
            <w:r w:rsidRPr="0003648D">
              <w:rPr>
                <w:iCs/>
                <w:sz w:val="20"/>
              </w:rPr>
              <w:t>$</w:t>
            </w:r>
          </w:p>
        </w:tc>
        <w:tc>
          <w:tcPr>
            <w:tcW w:w="3713" w:type="pct"/>
          </w:tcPr>
          <w:p w14:paraId="5DEBDDE0" w14:textId="77777777" w:rsidR="006E1ADE" w:rsidRPr="0003648D" w:rsidRDefault="006E1ADE" w:rsidP="00B82144">
            <w:pPr>
              <w:spacing w:after="60"/>
              <w:rPr>
                <w:iCs/>
                <w:sz w:val="20"/>
              </w:rPr>
            </w:pPr>
            <w:r w:rsidRPr="0003648D">
              <w:rPr>
                <w:i/>
                <w:iCs/>
                <w:sz w:val="20"/>
              </w:rPr>
              <w:t xml:space="preserve">Real-Time </w:t>
            </w:r>
            <w:r>
              <w:rPr>
                <w:i/>
                <w:iCs/>
                <w:sz w:val="20"/>
              </w:rPr>
              <w:t>ERCOT Contingency Reserve Service</w:t>
            </w:r>
            <w:r w:rsidRPr="0003648D">
              <w:rPr>
                <w:i/>
                <w:iCs/>
                <w:sz w:val="20"/>
              </w:rPr>
              <w:t xml:space="preserve"> Amount per QSE</w:t>
            </w:r>
            <w:r w:rsidRPr="0003648D">
              <w:rPr>
                <w:iCs/>
                <w:sz w:val="20"/>
              </w:rPr>
              <w:t xml:space="preserve">—The adjustment to QSE </w:t>
            </w:r>
            <w:r w:rsidRPr="0003648D">
              <w:rPr>
                <w:i/>
                <w:iCs/>
                <w:sz w:val="20"/>
              </w:rPr>
              <w:t>q</w:t>
            </w:r>
            <w:r w:rsidRPr="0003648D">
              <w:rPr>
                <w:iCs/>
                <w:sz w:val="20"/>
              </w:rPr>
              <w:t xml:space="preserve">’s share of the costs for </w:t>
            </w:r>
            <w:r>
              <w:rPr>
                <w:iCs/>
                <w:sz w:val="20"/>
              </w:rPr>
              <w:t>ECRS</w:t>
            </w:r>
            <w:r w:rsidRPr="0003648D">
              <w:rPr>
                <w:iCs/>
                <w:sz w:val="20"/>
              </w:rPr>
              <w:t>, for the hour.</w:t>
            </w:r>
          </w:p>
        </w:tc>
      </w:tr>
      <w:tr w:rsidR="006E1ADE" w:rsidRPr="0003648D" w14:paraId="76B60380" w14:textId="77777777" w:rsidTr="00B82144">
        <w:trPr>
          <w:cantSplit/>
        </w:trPr>
        <w:tc>
          <w:tcPr>
            <w:tcW w:w="824" w:type="pct"/>
          </w:tcPr>
          <w:p w14:paraId="25666E8A" w14:textId="77777777" w:rsidR="006E1ADE" w:rsidRPr="0003648D" w:rsidRDefault="006E1ADE" w:rsidP="00B82144">
            <w:pPr>
              <w:spacing w:after="60"/>
              <w:rPr>
                <w:iCs/>
                <w:sz w:val="20"/>
              </w:rPr>
            </w:pPr>
            <w:r>
              <w:rPr>
                <w:iCs/>
                <w:sz w:val="20"/>
              </w:rPr>
              <w:t>EC</w:t>
            </w:r>
            <w:r w:rsidRPr="0003648D">
              <w:rPr>
                <w:iCs/>
                <w:sz w:val="20"/>
              </w:rPr>
              <w:t xml:space="preserve">RCOST </w:t>
            </w:r>
            <w:r w:rsidRPr="0003648D">
              <w:rPr>
                <w:i/>
                <w:iCs/>
                <w:sz w:val="20"/>
                <w:vertAlign w:val="subscript"/>
              </w:rPr>
              <w:t>q</w:t>
            </w:r>
          </w:p>
        </w:tc>
        <w:tc>
          <w:tcPr>
            <w:tcW w:w="463" w:type="pct"/>
          </w:tcPr>
          <w:p w14:paraId="65AB5DAD" w14:textId="77777777" w:rsidR="006E1ADE" w:rsidRPr="0003648D" w:rsidRDefault="006E1ADE" w:rsidP="00B82144">
            <w:pPr>
              <w:spacing w:after="60"/>
              <w:rPr>
                <w:iCs/>
                <w:sz w:val="20"/>
              </w:rPr>
            </w:pPr>
            <w:r w:rsidRPr="0003648D">
              <w:rPr>
                <w:iCs/>
                <w:sz w:val="20"/>
              </w:rPr>
              <w:t>$</w:t>
            </w:r>
          </w:p>
        </w:tc>
        <w:tc>
          <w:tcPr>
            <w:tcW w:w="3713" w:type="pct"/>
          </w:tcPr>
          <w:p w14:paraId="7A35A2DD" w14:textId="77777777" w:rsidR="006E1ADE" w:rsidRPr="0003648D" w:rsidRDefault="006E1ADE" w:rsidP="00B82144">
            <w:pPr>
              <w:spacing w:after="60"/>
              <w:rPr>
                <w:iCs/>
                <w:sz w:val="20"/>
              </w:rPr>
            </w:pPr>
            <w:r>
              <w:rPr>
                <w:i/>
                <w:iCs/>
                <w:sz w:val="20"/>
              </w:rPr>
              <w:t>ERCOT Contingency Reserve Service</w:t>
            </w:r>
            <w:r w:rsidRPr="0003648D">
              <w:rPr>
                <w:i/>
                <w:iCs/>
                <w:sz w:val="20"/>
              </w:rPr>
              <w:t xml:space="preserve"> Cost per QSE</w:t>
            </w:r>
            <w:r w:rsidRPr="0003648D">
              <w:rPr>
                <w:iCs/>
                <w:sz w:val="20"/>
              </w:rPr>
              <w:t xml:space="preserve">—QSE </w:t>
            </w:r>
            <w:r w:rsidRPr="0003648D">
              <w:rPr>
                <w:i/>
                <w:iCs/>
                <w:sz w:val="20"/>
              </w:rPr>
              <w:t>q</w:t>
            </w:r>
            <w:r w:rsidRPr="0003648D">
              <w:rPr>
                <w:iCs/>
                <w:sz w:val="20"/>
              </w:rPr>
              <w:t xml:space="preserve">’s share of the net total costs for </w:t>
            </w:r>
            <w:r>
              <w:rPr>
                <w:iCs/>
                <w:sz w:val="20"/>
              </w:rPr>
              <w:t>ECRS</w:t>
            </w:r>
            <w:r w:rsidRPr="0003648D">
              <w:rPr>
                <w:iCs/>
                <w:sz w:val="20"/>
              </w:rPr>
              <w:t>, for the hour.</w:t>
            </w:r>
          </w:p>
        </w:tc>
      </w:tr>
      <w:tr w:rsidR="006E1ADE" w:rsidRPr="0003648D" w14:paraId="0B392D4A" w14:textId="77777777" w:rsidTr="00B82144">
        <w:trPr>
          <w:cantSplit/>
        </w:trPr>
        <w:tc>
          <w:tcPr>
            <w:tcW w:w="824" w:type="pct"/>
          </w:tcPr>
          <w:p w14:paraId="3FB13239" w14:textId="77777777" w:rsidR="006E1ADE" w:rsidRPr="0003648D" w:rsidRDefault="006E1ADE" w:rsidP="00B82144">
            <w:pPr>
              <w:spacing w:after="60"/>
              <w:rPr>
                <w:iCs/>
                <w:sz w:val="20"/>
              </w:rPr>
            </w:pPr>
            <w:r w:rsidRPr="0003648D">
              <w:rPr>
                <w:iCs/>
                <w:sz w:val="20"/>
              </w:rPr>
              <w:t>DA</w:t>
            </w:r>
            <w:r>
              <w:rPr>
                <w:iCs/>
                <w:sz w:val="20"/>
              </w:rPr>
              <w:t>EC</w:t>
            </w:r>
            <w:r w:rsidRPr="0003648D">
              <w:rPr>
                <w:iCs/>
                <w:sz w:val="20"/>
              </w:rPr>
              <w:t xml:space="preserve">RAMT </w:t>
            </w:r>
            <w:r w:rsidRPr="0003648D">
              <w:rPr>
                <w:i/>
                <w:iCs/>
                <w:sz w:val="20"/>
                <w:vertAlign w:val="subscript"/>
              </w:rPr>
              <w:t>q</w:t>
            </w:r>
          </w:p>
        </w:tc>
        <w:tc>
          <w:tcPr>
            <w:tcW w:w="463" w:type="pct"/>
          </w:tcPr>
          <w:p w14:paraId="0BE07DC4" w14:textId="77777777" w:rsidR="006E1ADE" w:rsidRPr="0003648D" w:rsidRDefault="006E1ADE" w:rsidP="00B82144">
            <w:pPr>
              <w:spacing w:after="60"/>
              <w:rPr>
                <w:iCs/>
                <w:sz w:val="20"/>
              </w:rPr>
            </w:pPr>
            <w:r w:rsidRPr="0003648D">
              <w:rPr>
                <w:iCs/>
                <w:sz w:val="20"/>
              </w:rPr>
              <w:t>$</w:t>
            </w:r>
          </w:p>
        </w:tc>
        <w:tc>
          <w:tcPr>
            <w:tcW w:w="3713" w:type="pct"/>
          </w:tcPr>
          <w:p w14:paraId="3E457F80" w14:textId="77777777" w:rsidR="006E1ADE" w:rsidRPr="0003648D" w:rsidRDefault="006E1ADE" w:rsidP="00B82144">
            <w:pPr>
              <w:spacing w:after="60"/>
              <w:rPr>
                <w:iCs/>
                <w:sz w:val="20"/>
              </w:rPr>
            </w:pPr>
            <w:r w:rsidRPr="0003648D">
              <w:rPr>
                <w:i/>
                <w:iCs/>
                <w:sz w:val="20"/>
              </w:rPr>
              <w:t xml:space="preserve">Day-Ahead </w:t>
            </w:r>
            <w:r>
              <w:rPr>
                <w:i/>
                <w:iCs/>
                <w:sz w:val="20"/>
              </w:rPr>
              <w:t>ERCOT Contingency Reserve Service</w:t>
            </w:r>
            <w:r w:rsidRPr="0003648D">
              <w:rPr>
                <w:i/>
                <w:iCs/>
                <w:sz w:val="20"/>
              </w:rPr>
              <w:t xml:space="preserve"> Amount per QSE</w:t>
            </w:r>
            <w:r w:rsidRPr="0003648D">
              <w:rPr>
                <w:iCs/>
                <w:sz w:val="20"/>
              </w:rPr>
              <w:t xml:space="preserve">—QSE </w:t>
            </w:r>
            <w:r w:rsidRPr="0003648D">
              <w:rPr>
                <w:i/>
                <w:iCs/>
                <w:sz w:val="20"/>
              </w:rPr>
              <w:t>q</w:t>
            </w:r>
            <w:r w:rsidRPr="0003648D">
              <w:rPr>
                <w:iCs/>
                <w:sz w:val="20"/>
              </w:rPr>
              <w:t xml:space="preserve">’s share of the DAM cost for </w:t>
            </w:r>
            <w:r>
              <w:rPr>
                <w:iCs/>
                <w:sz w:val="20"/>
              </w:rPr>
              <w:t>ECRS</w:t>
            </w:r>
            <w:r w:rsidRPr="0003648D">
              <w:rPr>
                <w:iCs/>
                <w:sz w:val="20"/>
              </w:rPr>
              <w:t>, for the hour.</w:t>
            </w:r>
          </w:p>
        </w:tc>
      </w:tr>
      <w:tr w:rsidR="006E1ADE" w:rsidRPr="0003648D" w14:paraId="35269152" w14:textId="77777777" w:rsidTr="00B82144">
        <w:trPr>
          <w:cantSplit/>
        </w:trPr>
        <w:tc>
          <w:tcPr>
            <w:tcW w:w="824" w:type="pct"/>
            <w:tcBorders>
              <w:top w:val="single" w:sz="4" w:space="0" w:color="auto"/>
              <w:left w:val="single" w:sz="4" w:space="0" w:color="auto"/>
              <w:bottom w:val="single" w:sz="4" w:space="0" w:color="auto"/>
              <w:right w:val="single" w:sz="4" w:space="0" w:color="auto"/>
            </w:tcBorders>
          </w:tcPr>
          <w:p w14:paraId="2B8B36EB" w14:textId="77777777" w:rsidR="006E1ADE" w:rsidRPr="0003648D" w:rsidRDefault="006E1ADE" w:rsidP="00B82144">
            <w:pPr>
              <w:spacing w:after="60"/>
              <w:rPr>
                <w:i/>
                <w:iCs/>
                <w:sz w:val="20"/>
              </w:rPr>
            </w:pPr>
            <w:r w:rsidRPr="0003648D">
              <w:rPr>
                <w:i/>
                <w:iCs/>
                <w:sz w:val="20"/>
              </w:rPr>
              <w:lastRenderedPageBreak/>
              <w:t>q</w:t>
            </w:r>
          </w:p>
        </w:tc>
        <w:tc>
          <w:tcPr>
            <w:tcW w:w="463" w:type="pct"/>
            <w:tcBorders>
              <w:top w:val="single" w:sz="4" w:space="0" w:color="auto"/>
              <w:left w:val="single" w:sz="4" w:space="0" w:color="auto"/>
              <w:bottom w:val="single" w:sz="4" w:space="0" w:color="auto"/>
              <w:right w:val="single" w:sz="4" w:space="0" w:color="auto"/>
            </w:tcBorders>
          </w:tcPr>
          <w:p w14:paraId="16C69058" w14:textId="77777777" w:rsidR="006E1ADE" w:rsidRPr="0003648D" w:rsidRDefault="006E1ADE" w:rsidP="00B82144">
            <w:pPr>
              <w:spacing w:after="60"/>
              <w:rPr>
                <w:iCs/>
                <w:sz w:val="20"/>
              </w:rPr>
            </w:pPr>
            <w:r w:rsidRPr="0003648D">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5A9C3192" w14:textId="77777777" w:rsidR="006E1ADE" w:rsidRPr="0003648D" w:rsidRDefault="006E1ADE" w:rsidP="00B82144">
            <w:pPr>
              <w:spacing w:after="60"/>
              <w:rPr>
                <w:iCs/>
                <w:sz w:val="20"/>
              </w:rPr>
            </w:pPr>
            <w:r w:rsidRPr="0003648D">
              <w:rPr>
                <w:iCs/>
                <w:sz w:val="20"/>
              </w:rPr>
              <w:t>A QSE.</w:t>
            </w:r>
          </w:p>
        </w:tc>
      </w:tr>
      <w:bookmarkEnd w:id="2740"/>
    </w:tbl>
    <w:p w14:paraId="12955133" w14:textId="77777777" w:rsidR="003C098F" w:rsidRDefault="003C098F"/>
    <w:p w14:paraId="0B539F11" w14:textId="77777777" w:rsidR="008871B2" w:rsidRPr="00221BB6" w:rsidRDefault="008871B2" w:rsidP="008871B2">
      <w:bookmarkStart w:id="2741" w:name="_Toc397505050"/>
      <w:bookmarkStart w:id="2742" w:name="_Toc402357182"/>
      <w:bookmarkStart w:id="2743" w:name="_Toc422486562"/>
      <w:bookmarkStart w:id="2744" w:name="_Toc433093415"/>
      <w:bookmarkStart w:id="2745" w:name="_Toc433093573"/>
      <w:bookmarkStart w:id="2746" w:name="_Toc440874803"/>
      <w:bookmarkStart w:id="2747" w:name="_Toc448142360"/>
      <w:bookmarkStart w:id="2748" w:name="_Toc448142517"/>
      <w:bookmarkStart w:id="2749" w:name="_Toc458770358"/>
      <w:bookmarkStart w:id="2750" w:name="_Toc459294326"/>
      <w:bookmarkStart w:id="2751" w:name="_Toc463262820"/>
      <w:bookmarkStart w:id="2752" w:name="_Toc468286895"/>
      <w:bookmarkStart w:id="2753" w:name="_Toc481502935"/>
      <w:bookmarkStart w:id="2754" w:name="_Toc496080102"/>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8871B2" w14:paraId="74B8967A" w14:textId="77777777" w:rsidTr="001138B9">
        <w:trPr>
          <w:trHeight w:val="206"/>
        </w:trPr>
        <w:tc>
          <w:tcPr>
            <w:tcW w:w="9350" w:type="dxa"/>
            <w:shd w:val="pct12" w:color="auto" w:fill="auto"/>
          </w:tcPr>
          <w:p w14:paraId="32B32A4D" w14:textId="1672A4C5" w:rsidR="008871B2" w:rsidRDefault="008871B2" w:rsidP="008871B2">
            <w:pPr>
              <w:pStyle w:val="Instructions"/>
              <w:spacing w:before="120"/>
            </w:pPr>
            <w:r>
              <w:t>[NPRR1010</w:t>
            </w:r>
            <w:r w:rsidR="00103BC5">
              <w:t xml:space="preserve"> and NPRR1245</w:t>
            </w:r>
            <w:r>
              <w:t xml:space="preserve">:  Replace Section 6.7.4 above </w:t>
            </w:r>
            <w:r w:rsidR="008C3F9B">
              <w:t xml:space="preserve">with the following </w:t>
            </w:r>
            <w:r>
              <w:t>upon system implementation of the Real-Time Co-Optimization (RTC) project:]</w:t>
            </w:r>
          </w:p>
          <w:p w14:paraId="05724ED1" w14:textId="3589618D" w:rsidR="008871B2" w:rsidRDefault="008871B2" w:rsidP="008871B2">
            <w:pPr>
              <w:pStyle w:val="H3"/>
            </w:pPr>
            <w:bookmarkStart w:id="2755" w:name="_Toc60040748"/>
            <w:bookmarkStart w:id="2756" w:name="_Toc65151807"/>
            <w:bookmarkStart w:id="2757" w:name="_Toc80174833"/>
            <w:bookmarkStart w:id="2758" w:name="_Toc108712599"/>
            <w:bookmarkStart w:id="2759" w:name="_Toc112417718"/>
            <w:bookmarkStart w:id="2760" w:name="_Toc119310387"/>
            <w:bookmarkStart w:id="2761" w:name="_Toc125966320"/>
            <w:bookmarkStart w:id="2762" w:name="_Toc135992419"/>
            <w:bookmarkStart w:id="2763" w:name="_Toc170303614"/>
            <w:bookmarkStart w:id="2764" w:name="_Toc175157518"/>
            <w:bookmarkStart w:id="2765" w:name="_Toc204411747"/>
            <w:r>
              <w:t>6.7.4</w:t>
            </w:r>
            <w:r>
              <w:tab/>
              <w:t>Real-Time Settlement for Updated Day-Ahead Market Ancillary Service Obligations</w:t>
            </w:r>
            <w:bookmarkEnd w:id="2755"/>
            <w:bookmarkEnd w:id="2756"/>
            <w:bookmarkEnd w:id="2757"/>
            <w:bookmarkEnd w:id="2758"/>
            <w:bookmarkEnd w:id="2759"/>
            <w:bookmarkEnd w:id="2760"/>
            <w:bookmarkEnd w:id="2761"/>
            <w:bookmarkEnd w:id="2762"/>
            <w:bookmarkEnd w:id="2763"/>
            <w:bookmarkEnd w:id="2764"/>
            <w:bookmarkEnd w:id="2765"/>
          </w:p>
          <w:p w14:paraId="0D4661C6" w14:textId="77777777" w:rsidR="008871B2" w:rsidRDefault="008871B2" w:rsidP="008871B2">
            <w:pPr>
              <w:spacing w:after="240"/>
              <w:ind w:left="720" w:hanging="720"/>
              <w:rPr>
                <w:iCs/>
              </w:rPr>
            </w:pPr>
            <w:r>
              <w:t>(1)</w:t>
            </w:r>
            <w:r>
              <w:tab/>
            </w:r>
            <w:r>
              <w:rPr>
                <w:iCs/>
              </w:rPr>
              <w:t xml:space="preserve">Each QSE is charged or paid for net obligations for each Ancillary Service procured in the DAM.  DAM costs are calculated for each QSE in accordance with Section 4.6.4, Settlement of Ancillary Services Procured in the DAM.  DAM net total costs for Ancillary Service procured in the DAM are re-calculated for each QSE under this Section based on Real-Time Load Ratio Share (LRS).  </w:t>
            </w:r>
            <w:r>
              <w:t xml:space="preserve">Payments and/or charges for Ancillary Service obligations are calculated by Operating Hour as follows:      </w:t>
            </w:r>
          </w:p>
          <w:p w14:paraId="6021A518" w14:textId="77777777" w:rsidR="008871B2" w:rsidRDefault="008871B2" w:rsidP="008871B2">
            <w:pPr>
              <w:pStyle w:val="BodyTextNumbered"/>
              <w:ind w:left="1440"/>
              <w:rPr>
                <w:iCs/>
              </w:rPr>
            </w:pPr>
            <w:r>
              <w:rPr>
                <w:iCs/>
              </w:rPr>
              <w:t>(a)</w:t>
            </w:r>
            <w:r>
              <w:rPr>
                <w:iCs/>
              </w:rPr>
              <w:tab/>
              <w:t>For Regulation Up Service (Reg-Up), if applicable:</w:t>
            </w:r>
          </w:p>
          <w:p w14:paraId="05C78475" w14:textId="77777777" w:rsidR="008871B2" w:rsidRDefault="008871B2" w:rsidP="008871B2">
            <w:pPr>
              <w:pStyle w:val="BodyTextNumbered"/>
              <w:ind w:left="1440"/>
              <w:rPr>
                <w:iCs/>
              </w:rPr>
            </w:pPr>
            <w:r>
              <w:rPr>
                <w:iCs/>
              </w:rPr>
              <w:t xml:space="preserve">DARTPCRUAMT </w:t>
            </w:r>
            <w:r>
              <w:rPr>
                <w:i/>
                <w:iCs/>
                <w:vertAlign w:val="subscript"/>
              </w:rPr>
              <w:t>q</w:t>
            </w:r>
            <w:r>
              <w:rPr>
                <w:iCs/>
                <w:vertAlign w:val="subscript"/>
              </w:rPr>
              <w:t xml:space="preserve">  </w:t>
            </w:r>
            <w:r>
              <w:rPr>
                <w:iCs/>
              </w:rPr>
              <w:t>=  (DARUNOBL</w:t>
            </w:r>
            <w:r>
              <w:rPr>
                <w:iCs/>
                <w:vertAlign w:val="subscript"/>
              </w:rPr>
              <w:t xml:space="preserve"> </w:t>
            </w:r>
            <w:r>
              <w:rPr>
                <w:i/>
                <w:iCs/>
                <w:vertAlign w:val="subscript"/>
              </w:rPr>
              <w:t>q</w:t>
            </w:r>
            <w:r>
              <w:rPr>
                <w:iCs/>
              </w:rPr>
              <w:t xml:space="preserve"> -</w:t>
            </w:r>
            <w:r>
              <w:rPr>
                <w:i/>
                <w:iCs/>
                <w:vertAlign w:val="subscript"/>
              </w:rPr>
              <w:t xml:space="preserve"> </w:t>
            </w:r>
            <w:r>
              <w:rPr>
                <w:iCs/>
              </w:rPr>
              <w:t xml:space="preserve">DASARUQ </w:t>
            </w:r>
            <w:r>
              <w:rPr>
                <w:i/>
                <w:iCs/>
                <w:vertAlign w:val="subscript"/>
              </w:rPr>
              <w:t>q</w:t>
            </w:r>
            <w:r>
              <w:rPr>
                <w:iCs/>
              </w:rPr>
              <w:t xml:space="preserve">) * DARUPR - DARUAMT </w:t>
            </w:r>
            <w:r>
              <w:rPr>
                <w:i/>
                <w:iCs/>
                <w:vertAlign w:val="subscript"/>
              </w:rPr>
              <w:t>q</w:t>
            </w:r>
          </w:p>
          <w:p w14:paraId="52311DD9" w14:textId="77777777" w:rsidR="008871B2" w:rsidRDefault="008871B2" w:rsidP="008871B2">
            <w:pPr>
              <w:pStyle w:val="BodyText"/>
              <w:tabs>
                <w:tab w:val="left" w:pos="2340"/>
              </w:tabs>
              <w:rPr>
                <w:iCs w:val="0"/>
                <w:szCs w:val="24"/>
                <w:lang w:val="pt-BR"/>
              </w:rPr>
            </w:pPr>
            <w:r>
              <w:rPr>
                <w:lang w:val="pt-BR"/>
              </w:rPr>
              <w:t>Where:</w:t>
            </w:r>
          </w:p>
          <w:p w14:paraId="4152E127" w14:textId="77777777" w:rsidR="008871B2" w:rsidRDefault="008871B2" w:rsidP="008871B2">
            <w:pPr>
              <w:pStyle w:val="BodyTextNumbered"/>
              <w:ind w:left="1440"/>
              <w:rPr>
                <w:iCs/>
                <w:vertAlign w:val="subscript"/>
              </w:rPr>
            </w:pPr>
            <w:r>
              <w:rPr>
                <w:iCs/>
              </w:rPr>
              <w:t xml:space="preserve">DARUNOBL </w:t>
            </w:r>
            <w:r>
              <w:rPr>
                <w:i/>
                <w:iCs/>
                <w:vertAlign w:val="subscript"/>
              </w:rPr>
              <w:t>q</w:t>
            </w:r>
            <w:r>
              <w:rPr>
                <w:iCs/>
              </w:rPr>
              <w:tab/>
              <w:t>=  DAPCRU</w:t>
            </w:r>
            <w:r>
              <w:rPr>
                <w:iCs/>
                <w:lang w:val="pt-BR"/>
              </w:rPr>
              <w:t xml:space="preserve">QTOT </w:t>
            </w:r>
            <w:r>
              <w:rPr>
                <w:iCs/>
              </w:rPr>
              <w:t xml:space="preserve">* HLRS </w:t>
            </w:r>
            <w:r>
              <w:rPr>
                <w:i/>
                <w:iCs/>
                <w:vertAlign w:val="subscript"/>
              </w:rPr>
              <w:t>q</w:t>
            </w:r>
          </w:p>
          <w:p w14:paraId="23946E69" w14:textId="1B1AB2F4" w:rsidR="008871B2" w:rsidRDefault="008871B2" w:rsidP="008871B2">
            <w:pPr>
              <w:pStyle w:val="BodyTextNumbered"/>
              <w:ind w:left="1440"/>
              <w:rPr>
                <w:iCs/>
                <w:lang w:val="pt-BR"/>
              </w:rPr>
            </w:pPr>
            <w:r>
              <w:rPr>
                <w:iCs/>
              </w:rPr>
              <w:t>DAPCRU</w:t>
            </w:r>
            <w:r>
              <w:rPr>
                <w:iCs/>
                <w:lang w:val="pt-BR"/>
              </w:rPr>
              <w:t>QTOT  =</w:t>
            </w:r>
            <w:r w:rsidR="00443E82" w:rsidRPr="00D476E3">
              <w:rPr>
                <w:iCs/>
                <w:position w:val="-22"/>
              </w:rPr>
              <w:object w:dxaOrig="285" w:dyaOrig="285" w14:anchorId="34420ED6">
                <v:shape id="_x0000_i1359" type="#_x0000_t75" style="width:18pt;height:35.4pt" o:ole="">
                  <v:imagedata r:id="rId446" o:title=""/>
                </v:shape>
                <o:OLEObject Type="Embed" ProgID="Equation.3" ShapeID="_x0000_i1359" DrawAspect="Content" ObjectID="_1815025547" r:id="rId447"/>
              </w:object>
            </w:r>
            <w:r>
              <w:rPr>
                <w:iCs/>
              </w:rPr>
              <w:t xml:space="preserve"> (</w:t>
            </w:r>
            <w:r>
              <w:rPr>
                <w:iCs/>
                <w:position w:val="-18"/>
              </w:rPr>
              <w:object w:dxaOrig="285" w:dyaOrig="570" w14:anchorId="7A48EF3C">
                <v:shape id="_x0000_i1360" type="#_x0000_t75" style="width:12pt;height:30pt" o:ole="">
                  <v:imagedata r:id="rId387" o:title=""/>
                </v:shape>
                <o:OLEObject Type="Embed" ProgID="Equation.3" ShapeID="_x0000_i1360" DrawAspect="Content" ObjectID="_1815025548" r:id="rId448"/>
              </w:object>
            </w:r>
            <w:r>
              <w:rPr>
                <w:iCs/>
              </w:rPr>
              <w:t>PCRUR</w:t>
            </w:r>
            <w:r>
              <w:rPr>
                <w:i/>
                <w:iCs/>
              </w:rPr>
              <w:t xml:space="preserve"> </w:t>
            </w:r>
            <w:r>
              <w:rPr>
                <w:i/>
                <w:iCs/>
                <w:vertAlign w:val="subscript"/>
              </w:rPr>
              <w:t>r, q, DAM</w:t>
            </w:r>
            <w:r>
              <w:rPr>
                <w:iCs/>
              </w:rPr>
              <w:t xml:space="preserve"> </w:t>
            </w:r>
            <w:r>
              <w:rPr>
                <w:i/>
                <w:iCs/>
              </w:rPr>
              <w:t xml:space="preserve">+ </w:t>
            </w:r>
            <w:r>
              <w:rPr>
                <w:iCs/>
              </w:rPr>
              <w:t xml:space="preserve">DARUOAWD </w:t>
            </w:r>
            <w:r>
              <w:rPr>
                <w:i/>
                <w:iCs/>
                <w:vertAlign w:val="subscript"/>
              </w:rPr>
              <w:t xml:space="preserve">q </w:t>
            </w:r>
            <w:r>
              <w:rPr>
                <w:iCs/>
              </w:rPr>
              <w:t>+</w:t>
            </w:r>
            <w:r>
              <w:rPr>
                <w:i/>
                <w:iCs/>
                <w:vertAlign w:val="subscript"/>
              </w:rPr>
              <w:t xml:space="preserve"> </w:t>
            </w:r>
            <w:r>
              <w:rPr>
                <w:iCs/>
              </w:rPr>
              <w:t xml:space="preserve">DASARUQ </w:t>
            </w:r>
            <w:r>
              <w:rPr>
                <w:i/>
                <w:iCs/>
                <w:vertAlign w:val="subscript"/>
              </w:rPr>
              <w:t>q</w:t>
            </w:r>
            <w:r>
              <w:rPr>
                <w:iCs/>
                <w:color w:val="000000"/>
              </w:rPr>
              <w:t xml:space="preserve">) </w:t>
            </w:r>
          </w:p>
          <w:p w14:paraId="105C7270" w14:textId="77777777" w:rsidR="008871B2" w:rsidRDefault="008871B2" w:rsidP="008871B2">
            <w:pPr>
              <w:rPr>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964"/>
              <w:gridCol w:w="6259"/>
            </w:tblGrid>
            <w:tr w:rsidR="008871B2" w14:paraId="01761AAF"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459EE052" w14:textId="77777777" w:rsidR="008871B2" w:rsidRPr="00CC1DA5" w:rsidRDefault="008871B2" w:rsidP="008871B2">
                  <w:pPr>
                    <w:pStyle w:val="TableHead"/>
                  </w:pPr>
                  <w:r w:rsidRPr="00221A13">
                    <w:rPr>
                      <w:iCs w:val="0"/>
                    </w:rPr>
                    <w:t>Variable</w:t>
                  </w:r>
                </w:p>
              </w:tc>
              <w:tc>
                <w:tcPr>
                  <w:tcW w:w="990" w:type="dxa"/>
                  <w:tcBorders>
                    <w:top w:val="single" w:sz="4" w:space="0" w:color="auto"/>
                    <w:left w:val="single" w:sz="4" w:space="0" w:color="auto"/>
                    <w:bottom w:val="single" w:sz="4" w:space="0" w:color="auto"/>
                    <w:right w:val="single" w:sz="4" w:space="0" w:color="auto"/>
                  </w:tcBorders>
                  <w:hideMark/>
                </w:tcPr>
                <w:p w14:paraId="7B107504"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41660261" w14:textId="77777777" w:rsidR="008871B2" w:rsidRDefault="008871B2" w:rsidP="008871B2">
                  <w:pPr>
                    <w:pStyle w:val="TableHead"/>
                  </w:pPr>
                  <w:r>
                    <w:t>Description</w:t>
                  </w:r>
                </w:p>
              </w:tc>
            </w:tr>
            <w:tr w:rsidR="008871B2" w14:paraId="11936868"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2AEA5E14" w14:textId="77777777" w:rsidR="008871B2" w:rsidRPr="001F5155" w:rsidRDefault="008871B2" w:rsidP="008871B2">
                  <w:pPr>
                    <w:pStyle w:val="TableBody"/>
                  </w:pPr>
                  <w:r w:rsidRPr="00221A13">
                    <w:t xml:space="preserve">DARTPCRUAMT </w:t>
                  </w:r>
                  <w:r w:rsidRPr="00221A13">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7C27E913"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22257202" w14:textId="170BA937" w:rsidR="008871B2" w:rsidRDefault="008871B2" w:rsidP="008871B2">
                  <w:pPr>
                    <w:pStyle w:val="TableBody"/>
                  </w:pPr>
                  <w:r>
                    <w:rPr>
                      <w:i/>
                    </w:rPr>
                    <w:t>Day-Ahead Updated Real-Time Procured Capacity for Reg-Up Amount by QSE</w:t>
                  </w:r>
                  <w:r w:rsidR="00AA0DDA" w:rsidRPr="00A552C3">
                    <w:t>—</w:t>
                  </w:r>
                  <w:r>
                    <w:t xml:space="preserve">The payment or charge to QSE </w:t>
                  </w:r>
                  <w:r>
                    <w:rPr>
                      <w:i/>
                    </w:rPr>
                    <w:t>q</w:t>
                  </w:r>
                  <w:r>
                    <w:t xml:space="preserve"> for Reg-Up, for the re-calculated Real-Time obligation, for the Operating Hour.</w:t>
                  </w:r>
                </w:p>
              </w:tc>
            </w:tr>
            <w:tr w:rsidR="008871B2" w14:paraId="6AD4BE4B"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5F1921AA" w14:textId="77777777" w:rsidR="008871B2" w:rsidRDefault="008871B2" w:rsidP="008871B2">
                  <w:pPr>
                    <w:pStyle w:val="TableBody"/>
                  </w:pPr>
                  <w:r>
                    <w:t>DARUPR</w:t>
                  </w:r>
                </w:p>
              </w:tc>
              <w:tc>
                <w:tcPr>
                  <w:tcW w:w="990" w:type="dxa"/>
                  <w:tcBorders>
                    <w:top w:val="single" w:sz="4" w:space="0" w:color="auto"/>
                    <w:left w:val="single" w:sz="4" w:space="0" w:color="auto"/>
                    <w:bottom w:val="single" w:sz="4" w:space="0" w:color="auto"/>
                    <w:right w:val="single" w:sz="4" w:space="0" w:color="auto"/>
                  </w:tcBorders>
                  <w:hideMark/>
                </w:tcPr>
                <w:p w14:paraId="622D6653" w14:textId="77777777" w:rsidR="008871B2" w:rsidRDefault="008871B2" w:rsidP="008871B2">
                  <w:pPr>
                    <w:pStyle w:val="TableBody"/>
                  </w:pPr>
                  <w:r>
                    <w:t xml:space="preserve">$/MW </w:t>
                  </w:r>
                </w:p>
              </w:tc>
              <w:tc>
                <w:tcPr>
                  <w:tcW w:w="6840" w:type="dxa"/>
                  <w:tcBorders>
                    <w:top w:val="single" w:sz="4" w:space="0" w:color="auto"/>
                    <w:left w:val="single" w:sz="4" w:space="0" w:color="auto"/>
                    <w:bottom w:val="single" w:sz="4" w:space="0" w:color="auto"/>
                    <w:right w:val="single" w:sz="4" w:space="0" w:color="auto"/>
                  </w:tcBorders>
                  <w:hideMark/>
                </w:tcPr>
                <w:p w14:paraId="02BB69C1" w14:textId="77777777" w:rsidR="008871B2" w:rsidRDefault="008871B2" w:rsidP="008871B2">
                  <w:pPr>
                    <w:pStyle w:val="TableBody"/>
                    <w:rPr>
                      <w:i/>
                    </w:rPr>
                  </w:pPr>
                  <w:r>
                    <w:rPr>
                      <w:i/>
                    </w:rPr>
                    <w:t>Day-Ahead Reg-Up Price</w:t>
                  </w:r>
                  <w:r>
                    <w:t>—The DAM Reg-Up price for the Operating Hour.</w:t>
                  </w:r>
                </w:p>
              </w:tc>
            </w:tr>
            <w:tr w:rsidR="008871B2" w14:paraId="79752A2C"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E953164" w14:textId="77777777" w:rsidR="008871B2" w:rsidRDefault="008871B2" w:rsidP="008871B2">
                  <w:pPr>
                    <w:pStyle w:val="TableBody"/>
                  </w:pPr>
                  <w:r>
                    <w:t>DARUNOBL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3C94BAB2"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30CB11C3" w14:textId="77777777" w:rsidR="008871B2" w:rsidRDefault="008871B2" w:rsidP="008871B2">
                  <w:pPr>
                    <w:pStyle w:val="TableBody"/>
                    <w:rPr>
                      <w:i/>
                    </w:rPr>
                  </w:pPr>
                  <w:r>
                    <w:rPr>
                      <w:i/>
                    </w:rPr>
                    <w:t>Day-Ahead Reg-Up New Obligation per QSE—</w:t>
                  </w:r>
                  <w:r>
                    <w:t xml:space="preserve">The updated Reg-Up Ancillary Service Obligation in Real-Time for QSE </w:t>
                  </w:r>
                  <w:r>
                    <w:rPr>
                      <w:i/>
                    </w:rPr>
                    <w:t>q</w:t>
                  </w:r>
                  <w:r>
                    <w:t xml:space="preserve"> for the Operating Hour.</w:t>
                  </w:r>
                </w:p>
              </w:tc>
            </w:tr>
            <w:tr w:rsidR="008871B2" w14:paraId="126144BF"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1EDFCD00" w14:textId="77777777" w:rsidR="008871B2" w:rsidRDefault="008871B2" w:rsidP="008871B2">
                  <w:pPr>
                    <w:pStyle w:val="TableBody"/>
                    <w:rPr>
                      <w:i/>
                    </w:rPr>
                  </w:pPr>
                  <w:r>
                    <w:t xml:space="preserve">DARUAMT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AC84BF3"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41165FAD" w14:textId="77777777" w:rsidR="008871B2" w:rsidRDefault="008871B2" w:rsidP="008871B2">
                  <w:pPr>
                    <w:pStyle w:val="TableBody"/>
                  </w:pPr>
                  <w:r>
                    <w:rPr>
                      <w:i/>
                    </w:rPr>
                    <w:t>Day-Ahead Reg-Up Amount per QSE</w:t>
                  </w:r>
                  <w:r>
                    <w:t xml:space="preserve">—QSE </w:t>
                  </w:r>
                  <w:r>
                    <w:rPr>
                      <w:i/>
                    </w:rPr>
                    <w:t>q</w:t>
                  </w:r>
                  <w:r>
                    <w:t>’s share of the DAM costs for Reg-Up for the Operating Hour.</w:t>
                  </w:r>
                </w:p>
              </w:tc>
            </w:tr>
            <w:tr w:rsidR="008871B2" w14:paraId="1EEFC109"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896FF25" w14:textId="77777777" w:rsidR="008871B2" w:rsidRDefault="008871B2" w:rsidP="008871B2">
                  <w:pPr>
                    <w:pStyle w:val="TableBody"/>
                  </w:pPr>
                  <w:r>
                    <w:t xml:space="preserve">PCRUR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13C70B48"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56087EA7" w14:textId="77777777" w:rsidR="008871B2" w:rsidRDefault="008871B2" w:rsidP="008871B2">
                  <w:pPr>
                    <w:pStyle w:val="TableBody"/>
                    <w:rPr>
                      <w:i/>
                    </w:rPr>
                  </w:pPr>
                  <w:r>
                    <w:rPr>
                      <w:i/>
                    </w:rPr>
                    <w:t>Procured Capacity for Reg-Up per Resource per QSE in DAM</w:t>
                  </w:r>
                  <w:r>
                    <w:t xml:space="preserve">—The Reg-Up capacity awarded to QSE </w:t>
                  </w:r>
                  <w:r>
                    <w:rPr>
                      <w:i/>
                    </w:rPr>
                    <w:t>q</w:t>
                  </w:r>
                  <w:r>
                    <w:t xml:space="preserve"> in the DAM for Resource </w:t>
                  </w:r>
                  <w:r>
                    <w:rPr>
                      <w:i/>
                    </w:rPr>
                    <w:t>r</w:t>
                  </w:r>
                  <w:r>
                    <w:t xml:space="preserve"> for the Operating Hour.  Where for a Combined Cycle Train, the Resource </w:t>
                  </w:r>
                  <w:r>
                    <w:rPr>
                      <w:i/>
                    </w:rPr>
                    <w:t>r</w:t>
                  </w:r>
                  <w:r>
                    <w:t xml:space="preserve"> is a Combined Cycle Generation Resource within the Combined Cycle Train.</w:t>
                  </w:r>
                </w:p>
              </w:tc>
            </w:tr>
            <w:tr w:rsidR="008871B2" w14:paraId="39A63D54"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6ECD2D1D" w14:textId="77777777" w:rsidR="008871B2" w:rsidRDefault="008871B2" w:rsidP="008871B2">
                  <w:pPr>
                    <w:pStyle w:val="TableBody"/>
                  </w:pPr>
                  <w:r>
                    <w:t xml:space="preserve">DARUOAWD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5048B03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F9DF3FF" w14:textId="6D9E395F" w:rsidR="008871B2" w:rsidRDefault="008871B2" w:rsidP="008871B2">
                  <w:pPr>
                    <w:pStyle w:val="TableBody"/>
                    <w:rPr>
                      <w:i/>
                    </w:rPr>
                  </w:pPr>
                  <w:r>
                    <w:rPr>
                      <w:i/>
                    </w:rPr>
                    <w:t>Day-Ahead Reg-Up Award for the QSE</w:t>
                  </w:r>
                  <w:r>
                    <w:t xml:space="preserve">—The Reg-Up Only capacity awarded in the DAM to QSE </w:t>
                  </w:r>
                  <w:r>
                    <w:rPr>
                      <w:i/>
                    </w:rPr>
                    <w:t>q</w:t>
                  </w:r>
                  <w:r>
                    <w:t xml:space="preserve"> for the Operating Hour.</w:t>
                  </w:r>
                </w:p>
              </w:tc>
            </w:tr>
            <w:tr w:rsidR="008871B2" w14:paraId="314E3385"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98B8221" w14:textId="77777777" w:rsidR="008871B2" w:rsidRDefault="008871B2" w:rsidP="008871B2">
                  <w:pPr>
                    <w:pStyle w:val="TableBody"/>
                  </w:pPr>
                  <w:r>
                    <w:lastRenderedPageBreak/>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380BF1D2"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3D48EA38" w14:textId="77777777" w:rsidR="008871B2" w:rsidRDefault="008871B2" w:rsidP="008871B2">
                  <w:pPr>
                    <w:pStyle w:val="TableBody"/>
                  </w:pPr>
                  <w:r>
                    <w:rPr>
                      <w:i/>
                    </w:rPr>
                    <w:t>Hourly Load Ratio Share per QSE</w:t>
                  </w:r>
                  <w:r>
                    <w:t xml:space="preserve">—The Real-Time LRS as defined in Section 6.6.2.4, QSE Load Ratio Share for an Operating Hour, for QSE </w:t>
                  </w:r>
                  <w:r>
                    <w:rPr>
                      <w:i/>
                    </w:rPr>
                    <w:t>q</w:t>
                  </w:r>
                  <w:r>
                    <w:t>, for the Operating Hour.</w:t>
                  </w:r>
                </w:p>
              </w:tc>
            </w:tr>
            <w:tr w:rsidR="008871B2" w14:paraId="023B70B6"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01B529B" w14:textId="77777777" w:rsidR="008871B2" w:rsidRDefault="008871B2" w:rsidP="008871B2">
                  <w:pPr>
                    <w:pStyle w:val="TableBody"/>
                  </w:pPr>
                  <w:r>
                    <w:t xml:space="preserve">DAPCRUQTOT  </w:t>
                  </w:r>
                </w:p>
              </w:tc>
              <w:tc>
                <w:tcPr>
                  <w:tcW w:w="990" w:type="dxa"/>
                  <w:tcBorders>
                    <w:top w:val="single" w:sz="4" w:space="0" w:color="auto"/>
                    <w:left w:val="single" w:sz="4" w:space="0" w:color="auto"/>
                    <w:bottom w:val="single" w:sz="4" w:space="0" w:color="auto"/>
                    <w:right w:val="single" w:sz="4" w:space="0" w:color="auto"/>
                  </w:tcBorders>
                  <w:hideMark/>
                </w:tcPr>
                <w:p w14:paraId="533CBD4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5C354240" w14:textId="77777777" w:rsidR="008871B2" w:rsidRDefault="008871B2" w:rsidP="008871B2">
                  <w:pPr>
                    <w:pStyle w:val="TableBody"/>
                    <w:rPr>
                      <w:i/>
                    </w:rPr>
                  </w:pPr>
                  <w:r>
                    <w:rPr>
                      <w:i/>
                    </w:rPr>
                    <w:t>Day-Ahead Procured Capacity for Reg-Up Total</w:t>
                  </w:r>
                  <w:r>
                    <w:t>—The total Reg-Up capacity for all QSEs for all Reg-Up awarded and self-arranged in the DAM for the Operating Hour.</w:t>
                  </w:r>
                </w:p>
              </w:tc>
            </w:tr>
            <w:tr w:rsidR="008871B2" w14:paraId="65DE8E72"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D5FB954" w14:textId="77777777" w:rsidR="008871B2" w:rsidRDefault="008871B2" w:rsidP="008871B2">
                  <w:pPr>
                    <w:pStyle w:val="TableBody"/>
                  </w:pPr>
                  <w:r>
                    <w:t xml:space="preserve">DASARUQ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1C55A2B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C50E143" w14:textId="77777777" w:rsidR="008871B2" w:rsidRDefault="008871B2" w:rsidP="008871B2">
                  <w:pPr>
                    <w:pStyle w:val="TableBody"/>
                    <w:rPr>
                      <w:i/>
                    </w:rPr>
                  </w:pPr>
                  <w:r>
                    <w:rPr>
                      <w:i/>
                    </w:rPr>
                    <w:t>Day-Ahead Self-Arranged Reg-Up Quantity per QSE</w:t>
                  </w:r>
                  <w:r>
                    <w:t xml:space="preserve">—The self-arranged Reg-Up capacity submitted by QSE </w:t>
                  </w:r>
                  <w:r>
                    <w:rPr>
                      <w:i/>
                    </w:rPr>
                    <w:t>q</w:t>
                  </w:r>
                  <w:r>
                    <w:t xml:space="preserve"> before 1000 in the DAM for the Operating Hour.</w:t>
                  </w:r>
                </w:p>
              </w:tc>
            </w:tr>
            <w:tr w:rsidR="008871B2" w14:paraId="719D1500"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260B93B7"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252EA754"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09D5FED0" w14:textId="77777777" w:rsidR="008871B2" w:rsidRDefault="008871B2" w:rsidP="008871B2">
                  <w:pPr>
                    <w:pStyle w:val="TableBody"/>
                  </w:pPr>
                  <w:r>
                    <w:t>A QSE.</w:t>
                  </w:r>
                </w:p>
              </w:tc>
            </w:tr>
            <w:tr w:rsidR="008871B2" w14:paraId="275288E6"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323B9DFB" w14:textId="77777777" w:rsidR="008871B2" w:rsidRDefault="008871B2" w:rsidP="008871B2">
                  <w:pPr>
                    <w:pStyle w:val="TableBody"/>
                    <w:rPr>
                      <w:i/>
                    </w:rPr>
                  </w:pPr>
                  <w:r>
                    <w:rPr>
                      <w:i/>
                    </w:rPr>
                    <w:t>r</w:t>
                  </w:r>
                </w:p>
              </w:tc>
              <w:tc>
                <w:tcPr>
                  <w:tcW w:w="990" w:type="dxa"/>
                  <w:tcBorders>
                    <w:top w:val="single" w:sz="4" w:space="0" w:color="auto"/>
                    <w:left w:val="single" w:sz="4" w:space="0" w:color="auto"/>
                    <w:bottom w:val="single" w:sz="4" w:space="0" w:color="auto"/>
                    <w:right w:val="single" w:sz="4" w:space="0" w:color="auto"/>
                  </w:tcBorders>
                  <w:hideMark/>
                </w:tcPr>
                <w:p w14:paraId="34287F20"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10A1B968" w14:textId="77777777" w:rsidR="008871B2" w:rsidRDefault="008871B2" w:rsidP="008871B2">
                  <w:pPr>
                    <w:pStyle w:val="TableBody"/>
                  </w:pPr>
                  <w:r>
                    <w:t>A Resource.</w:t>
                  </w:r>
                </w:p>
              </w:tc>
            </w:tr>
          </w:tbl>
          <w:p w14:paraId="245AA949" w14:textId="77777777" w:rsidR="008871B2" w:rsidRDefault="008871B2" w:rsidP="008871B2">
            <w:pPr>
              <w:pStyle w:val="BodyTextNumbered"/>
              <w:spacing w:before="240"/>
              <w:ind w:left="1440"/>
              <w:rPr>
                <w:iCs/>
              </w:rPr>
            </w:pPr>
            <w:r>
              <w:rPr>
                <w:iCs/>
              </w:rPr>
              <w:t>(b)</w:t>
            </w:r>
            <w:r>
              <w:rPr>
                <w:iCs/>
              </w:rPr>
              <w:tab/>
              <w:t>For Regulation Down Service (Reg-Down), if applicable:</w:t>
            </w:r>
          </w:p>
          <w:p w14:paraId="451D252B" w14:textId="77777777" w:rsidR="008871B2" w:rsidRDefault="008871B2" w:rsidP="008871B2">
            <w:pPr>
              <w:pStyle w:val="BodyTextNumbered"/>
              <w:ind w:left="1440"/>
              <w:rPr>
                <w:iCs/>
              </w:rPr>
            </w:pPr>
            <w:r>
              <w:rPr>
                <w:iCs/>
              </w:rPr>
              <w:t xml:space="preserve">DARTPCRDAMT </w:t>
            </w:r>
            <w:r>
              <w:rPr>
                <w:i/>
                <w:iCs/>
                <w:vertAlign w:val="subscript"/>
              </w:rPr>
              <w:t>q</w:t>
            </w:r>
            <w:r>
              <w:rPr>
                <w:iCs/>
                <w:vertAlign w:val="subscript"/>
              </w:rPr>
              <w:t xml:space="preserve"> </w:t>
            </w:r>
            <w:r>
              <w:rPr>
                <w:iCs/>
              </w:rPr>
              <w:t>= (DARDNOBL</w:t>
            </w:r>
            <w:r>
              <w:rPr>
                <w:iCs/>
                <w:vertAlign w:val="subscript"/>
              </w:rPr>
              <w:t xml:space="preserve"> </w:t>
            </w:r>
            <w:r>
              <w:rPr>
                <w:i/>
                <w:iCs/>
                <w:vertAlign w:val="subscript"/>
              </w:rPr>
              <w:t>q</w:t>
            </w:r>
            <w:r>
              <w:rPr>
                <w:iCs/>
                <w:vertAlign w:val="subscript"/>
              </w:rPr>
              <w:t xml:space="preserve"> </w:t>
            </w:r>
            <w:r>
              <w:rPr>
                <w:iCs/>
              </w:rPr>
              <w:t xml:space="preserve">- DASARDQ </w:t>
            </w:r>
            <w:r>
              <w:rPr>
                <w:i/>
                <w:iCs/>
                <w:vertAlign w:val="subscript"/>
              </w:rPr>
              <w:t>q</w:t>
            </w:r>
            <w:r>
              <w:rPr>
                <w:iCs/>
              </w:rPr>
              <w:t xml:space="preserve">) * DARDPR - DARDAMT </w:t>
            </w:r>
            <w:r>
              <w:rPr>
                <w:i/>
                <w:iCs/>
                <w:vertAlign w:val="subscript"/>
              </w:rPr>
              <w:t>q</w:t>
            </w:r>
          </w:p>
          <w:p w14:paraId="0A27BFB0" w14:textId="77777777" w:rsidR="008871B2" w:rsidRDefault="008871B2" w:rsidP="008871B2">
            <w:pPr>
              <w:pStyle w:val="BodyText"/>
              <w:rPr>
                <w:iCs w:val="0"/>
                <w:szCs w:val="24"/>
                <w:lang w:val="pt-BR"/>
              </w:rPr>
            </w:pPr>
            <w:r>
              <w:rPr>
                <w:lang w:val="pt-BR"/>
              </w:rPr>
              <w:t>Where:</w:t>
            </w:r>
          </w:p>
          <w:p w14:paraId="31F166FB" w14:textId="77777777" w:rsidR="008871B2" w:rsidRDefault="008871B2" w:rsidP="008871B2">
            <w:pPr>
              <w:pStyle w:val="BodyTextNumbered"/>
              <w:ind w:left="1440"/>
              <w:rPr>
                <w:iCs/>
              </w:rPr>
            </w:pPr>
            <w:r>
              <w:rPr>
                <w:iCs/>
              </w:rPr>
              <w:t xml:space="preserve">DARDNOBL </w:t>
            </w:r>
            <w:r>
              <w:rPr>
                <w:i/>
                <w:iCs/>
                <w:vertAlign w:val="subscript"/>
              </w:rPr>
              <w:t xml:space="preserve">q     </w:t>
            </w:r>
            <w:r>
              <w:rPr>
                <w:iCs/>
              </w:rPr>
              <w:t xml:space="preserve">=  DAPCRDQTOT * HLRS </w:t>
            </w:r>
            <w:r>
              <w:rPr>
                <w:i/>
                <w:iCs/>
                <w:vertAlign w:val="subscript"/>
              </w:rPr>
              <w:t>q</w:t>
            </w:r>
            <w:r>
              <w:rPr>
                <w:iCs/>
              </w:rPr>
              <w:t xml:space="preserve"> </w:t>
            </w:r>
          </w:p>
          <w:p w14:paraId="15086CD3" w14:textId="1AF84C21" w:rsidR="008871B2" w:rsidRDefault="008871B2" w:rsidP="008871B2">
            <w:pPr>
              <w:pStyle w:val="BodyTextNumbered"/>
              <w:ind w:left="1440"/>
              <w:rPr>
                <w:iCs/>
              </w:rPr>
            </w:pPr>
            <w:r>
              <w:rPr>
                <w:iCs/>
              </w:rPr>
              <w:t xml:space="preserve">DAPCRDQTOT       = </w:t>
            </w:r>
            <w:r w:rsidR="00443E82" w:rsidRPr="00443E82">
              <w:rPr>
                <w:iCs/>
                <w:position w:val="-22"/>
              </w:rPr>
              <w:object w:dxaOrig="285" w:dyaOrig="285" w14:anchorId="5B0EC383">
                <v:shape id="_x0000_i1361" type="#_x0000_t75" style="width:30pt;height:30pt" o:ole="">
                  <v:imagedata r:id="rId446" o:title=""/>
                </v:shape>
                <o:OLEObject Type="Embed" ProgID="Equation.3" ShapeID="_x0000_i1361" DrawAspect="Content" ObjectID="_1815025549" r:id="rId449"/>
              </w:object>
            </w:r>
            <w:r>
              <w:rPr>
                <w:iCs/>
              </w:rPr>
              <w:t xml:space="preserve"> (</w:t>
            </w:r>
            <w:r>
              <w:rPr>
                <w:iCs/>
                <w:position w:val="-18"/>
              </w:rPr>
              <w:object w:dxaOrig="285" w:dyaOrig="570" w14:anchorId="606F5606">
                <v:shape id="_x0000_i1362" type="#_x0000_t75" style="width:12pt;height:30pt" o:ole="">
                  <v:imagedata r:id="rId387" o:title=""/>
                </v:shape>
                <o:OLEObject Type="Embed" ProgID="Equation.3" ShapeID="_x0000_i1362" DrawAspect="Content" ObjectID="_1815025550" r:id="rId450"/>
              </w:object>
            </w:r>
            <w:r>
              <w:rPr>
                <w:iCs/>
              </w:rPr>
              <w:t>PCRDR</w:t>
            </w:r>
            <w:r>
              <w:rPr>
                <w:i/>
                <w:iCs/>
              </w:rPr>
              <w:t xml:space="preserve"> </w:t>
            </w:r>
            <w:r>
              <w:rPr>
                <w:i/>
                <w:iCs/>
                <w:vertAlign w:val="subscript"/>
              </w:rPr>
              <w:t>r, q, DAM</w:t>
            </w:r>
            <w:r>
              <w:rPr>
                <w:iCs/>
              </w:rPr>
              <w:t xml:space="preserve"> + DARDOAWD </w:t>
            </w:r>
            <w:r>
              <w:rPr>
                <w:i/>
                <w:iCs/>
                <w:vertAlign w:val="subscript"/>
              </w:rPr>
              <w:t>q</w:t>
            </w:r>
            <w:r>
              <w:rPr>
                <w:iCs/>
              </w:rPr>
              <w:t xml:space="preserve"> + DASARDQ </w:t>
            </w:r>
            <w:r>
              <w:rPr>
                <w:i/>
                <w:iCs/>
                <w:vertAlign w:val="subscript"/>
              </w:rPr>
              <w:t>q</w:t>
            </w:r>
            <w:r>
              <w:rPr>
                <w:iCs/>
              </w:rPr>
              <w:t>)</w:t>
            </w:r>
          </w:p>
          <w:p w14:paraId="7F43929F" w14:textId="77777777" w:rsidR="008871B2" w:rsidRDefault="008871B2" w:rsidP="008871B2">
            <w:pPr>
              <w:pStyle w:val="BodyText"/>
              <w:spacing w:after="0"/>
              <w:rPr>
                <w:iCs w:val="0"/>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964"/>
              <w:gridCol w:w="6259"/>
            </w:tblGrid>
            <w:tr w:rsidR="008871B2" w14:paraId="0B89EC90"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5E5CD1E6" w14:textId="77777777" w:rsidR="008871B2" w:rsidRPr="00CC1DA5" w:rsidRDefault="008871B2" w:rsidP="008871B2">
                  <w:pPr>
                    <w:pStyle w:val="TableHead"/>
                  </w:pPr>
                  <w:r w:rsidRPr="00221A13">
                    <w:rPr>
                      <w:iCs w:val="0"/>
                    </w:rPr>
                    <w:t>Variable</w:t>
                  </w:r>
                </w:p>
              </w:tc>
              <w:tc>
                <w:tcPr>
                  <w:tcW w:w="990" w:type="dxa"/>
                  <w:tcBorders>
                    <w:top w:val="single" w:sz="4" w:space="0" w:color="auto"/>
                    <w:left w:val="single" w:sz="4" w:space="0" w:color="auto"/>
                    <w:bottom w:val="single" w:sz="4" w:space="0" w:color="auto"/>
                    <w:right w:val="single" w:sz="4" w:space="0" w:color="auto"/>
                  </w:tcBorders>
                  <w:hideMark/>
                </w:tcPr>
                <w:p w14:paraId="29ED5360"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10A45628" w14:textId="77777777" w:rsidR="008871B2" w:rsidRDefault="008871B2" w:rsidP="008871B2">
                  <w:pPr>
                    <w:pStyle w:val="TableHead"/>
                  </w:pPr>
                  <w:r>
                    <w:t>Description</w:t>
                  </w:r>
                </w:p>
              </w:tc>
            </w:tr>
            <w:tr w:rsidR="008871B2" w14:paraId="0BDB5B5C"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45451459" w14:textId="77777777" w:rsidR="008871B2" w:rsidRPr="001F5155" w:rsidRDefault="008871B2" w:rsidP="008871B2">
                  <w:pPr>
                    <w:pStyle w:val="TableBody"/>
                  </w:pPr>
                  <w:r w:rsidRPr="00221A13">
                    <w:t xml:space="preserve">DARTPCRDAMT </w:t>
                  </w:r>
                  <w:r w:rsidRPr="00221A13">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62A717A"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25501250" w14:textId="7C0EF15B" w:rsidR="008871B2" w:rsidRDefault="008871B2" w:rsidP="008871B2">
                  <w:pPr>
                    <w:pStyle w:val="TableBody"/>
                  </w:pPr>
                  <w:r>
                    <w:rPr>
                      <w:i/>
                    </w:rPr>
                    <w:t>Day-Ahead Updated Real-Time Procured Capacity for Reg-Down Amount by QSE</w:t>
                  </w:r>
                  <w:r w:rsidR="00CF4B13" w:rsidRPr="00A552C3">
                    <w:t>—</w:t>
                  </w:r>
                  <w:r>
                    <w:t xml:space="preserve">The payment or charge to QSE </w:t>
                  </w:r>
                  <w:r>
                    <w:rPr>
                      <w:i/>
                    </w:rPr>
                    <w:t>q</w:t>
                  </w:r>
                  <w:r>
                    <w:t xml:space="preserve"> for Reg-Down, for the re-calculated Real-Time obligation, for the Operating Hour.</w:t>
                  </w:r>
                </w:p>
              </w:tc>
            </w:tr>
            <w:tr w:rsidR="008871B2" w14:paraId="604FFADA"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94C9928" w14:textId="77777777" w:rsidR="008871B2" w:rsidRDefault="008871B2" w:rsidP="008871B2">
                  <w:pPr>
                    <w:pStyle w:val="TableBody"/>
                  </w:pPr>
                  <w:r>
                    <w:t>DARDPR</w:t>
                  </w:r>
                </w:p>
              </w:tc>
              <w:tc>
                <w:tcPr>
                  <w:tcW w:w="990" w:type="dxa"/>
                  <w:tcBorders>
                    <w:top w:val="single" w:sz="4" w:space="0" w:color="auto"/>
                    <w:left w:val="single" w:sz="4" w:space="0" w:color="auto"/>
                    <w:bottom w:val="single" w:sz="4" w:space="0" w:color="auto"/>
                    <w:right w:val="single" w:sz="4" w:space="0" w:color="auto"/>
                  </w:tcBorders>
                  <w:hideMark/>
                </w:tcPr>
                <w:p w14:paraId="0A9C9157" w14:textId="77777777" w:rsidR="008871B2" w:rsidRDefault="008871B2" w:rsidP="008871B2">
                  <w:pPr>
                    <w:pStyle w:val="TableBody"/>
                  </w:pPr>
                  <w:r>
                    <w:t xml:space="preserve">$/MW </w:t>
                  </w:r>
                </w:p>
              </w:tc>
              <w:tc>
                <w:tcPr>
                  <w:tcW w:w="6840" w:type="dxa"/>
                  <w:tcBorders>
                    <w:top w:val="single" w:sz="4" w:space="0" w:color="auto"/>
                    <w:left w:val="single" w:sz="4" w:space="0" w:color="auto"/>
                    <w:bottom w:val="single" w:sz="4" w:space="0" w:color="auto"/>
                    <w:right w:val="single" w:sz="4" w:space="0" w:color="auto"/>
                  </w:tcBorders>
                  <w:hideMark/>
                </w:tcPr>
                <w:p w14:paraId="3380692F" w14:textId="77777777" w:rsidR="008871B2" w:rsidRDefault="008871B2" w:rsidP="008871B2">
                  <w:pPr>
                    <w:pStyle w:val="TableBody"/>
                    <w:rPr>
                      <w:i/>
                    </w:rPr>
                  </w:pPr>
                  <w:r>
                    <w:rPr>
                      <w:i/>
                    </w:rPr>
                    <w:t>Day-Ahead Reg-Down Price</w:t>
                  </w:r>
                  <w:r>
                    <w:t>—The DAM Reg-Down price for the Operating Hour.</w:t>
                  </w:r>
                </w:p>
              </w:tc>
            </w:tr>
            <w:tr w:rsidR="008871B2" w14:paraId="63A073A4"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75761AC" w14:textId="77777777" w:rsidR="008871B2" w:rsidRDefault="008871B2" w:rsidP="008871B2">
                  <w:pPr>
                    <w:pStyle w:val="TableBody"/>
                  </w:pPr>
                  <w:r>
                    <w:t>DARDNOBL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E4AF393"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C6F446A" w14:textId="77E8F38D" w:rsidR="008871B2" w:rsidRDefault="008871B2" w:rsidP="0014600D">
                  <w:pPr>
                    <w:pStyle w:val="TableBody"/>
                    <w:rPr>
                      <w:i/>
                    </w:rPr>
                  </w:pPr>
                  <w:r>
                    <w:rPr>
                      <w:i/>
                    </w:rPr>
                    <w:t>Day-Ahead Reg-Down New Obligation per QSE—</w:t>
                  </w:r>
                  <w:r>
                    <w:t xml:space="preserve">The updated Reg-Down Ancillary Service Obligation in Real-Time, for QSE </w:t>
                  </w:r>
                  <w:r w:rsidRPr="00221A13">
                    <w:rPr>
                      <w:i/>
                    </w:rPr>
                    <w:t>q</w:t>
                  </w:r>
                  <w:r>
                    <w:t>, for the Operating Hour.</w:t>
                  </w:r>
                </w:p>
              </w:tc>
            </w:tr>
            <w:tr w:rsidR="008871B2" w14:paraId="36C8DA9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1D815251" w14:textId="77777777" w:rsidR="008871B2" w:rsidRDefault="008871B2" w:rsidP="008871B2">
                  <w:pPr>
                    <w:pStyle w:val="TableBody"/>
                    <w:rPr>
                      <w:i/>
                    </w:rPr>
                  </w:pPr>
                  <w:r>
                    <w:t xml:space="preserve">DARDAMT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53FAAF2"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768DBE42" w14:textId="77777777" w:rsidR="008871B2" w:rsidRDefault="008871B2" w:rsidP="008871B2">
                  <w:pPr>
                    <w:pStyle w:val="TableBody"/>
                  </w:pPr>
                  <w:r>
                    <w:rPr>
                      <w:i/>
                    </w:rPr>
                    <w:t>Day-Ahead Reg-Down Amount per QSE</w:t>
                  </w:r>
                  <w:r>
                    <w:t xml:space="preserve">—QSE </w:t>
                  </w:r>
                  <w:r>
                    <w:rPr>
                      <w:i/>
                    </w:rPr>
                    <w:t>q</w:t>
                  </w:r>
                  <w:r>
                    <w:t>’s share of the DAM cost for Reg-Down, for the Operating Hour.</w:t>
                  </w:r>
                </w:p>
              </w:tc>
            </w:tr>
            <w:tr w:rsidR="008871B2" w14:paraId="7DF153B3"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5276D35B" w14:textId="77777777" w:rsidR="008871B2" w:rsidRDefault="008871B2" w:rsidP="008871B2">
                  <w:pPr>
                    <w:pStyle w:val="TableBody"/>
                  </w:pPr>
                  <w:r>
                    <w:t xml:space="preserve">PCRDR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3397379B"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B3CFE37" w14:textId="77777777" w:rsidR="008871B2" w:rsidRDefault="008871B2" w:rsidP="008871B2">
                  <w:pPr>
                    <w:pStyle w:val="TableBody"/>
                    <w:rPr>
                      <w:i/>
                    </w:rPr>
                  </w:pPr>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Operating Hour.  Where for a Combined Cycle Train, the Resource </w:t>
                  </w:r>
                  <w:r>
                    <w:rPr>
                      <w:i/>
                    </w:rPr>
                    <w:t xml:space="preserve">r </w:t>
                  </w:r>
                  <w:r>
                    <w:t>is a Combined Cycle Generation Resource within the Combined Cycle Train.</w:t>
                  </w:r>
                </w:p>
              </w:tc>
            </w:tr>
            <w:tr w:rsidR="008871B2" w14:paraId="51D63C3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E25046C" w14:textId="77777777" w:rsidR="008871B2" w:rsidRDefault="008871B2" w:rsidP="008871B2">
                  <w:pPr>
                    <w:pStyle w:val="TableBody"/>
                  </w:pPr>
                  <w:r>
                    <w:t xml:space="preserve">DARDOAWD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5D276997"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C0AB533" w14:textId="14A607F1" w:rsidR="008871B2" w:rsidRDefault="008871B2" w:rsidP="008871B2">
                  <w:pPr>
                    <w:pStyle w:val="TableBody"/>
                  </w:pPr>
                  <w:r>
                    <w:rPr>
                      <w:i/>
                    </w:rPr>
                    <w:t>Day-Ahead Reg-Down Only Award for the QSE</w:t>
                  </w:r>
                  <w:r>
                    <w:t xml:space="preserve">—The Reg-Down Only capacity awarded in the DAM to QSE </w:t>
                  </w:r>
                  <w:r>
                    <w:rPr>
                      <w:i/>
                    </w:rPr>
                    <w:t>q</w:t>
                  </w:r>
                  <w:r>
                    <w:t xml:space="preserve"> for the Operating Hour.</w:t>
                  </w:r>
                </w:p>
              </w:tc>
            </w:tr>
            <w:tr w:rsidR="008871B2" w14:paraId="781986F0"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2D11041" w14:textId="77777777" w:rsidR="008871B2" w:rsidRDefault="008871B2" w:rsidP="008871B2">
                  <w:pPr>
                    <w:pStyle w:val="TableBody"/>
                  </w:pPr>
                  <w:r>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49695445"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68D2BFEB" w14:textId="132C21B8" w:rsidR="008871B2" w:rsidRDefault="008871B2" w:rsidP="008871B2">
                  <w:pPr>
                    <w:pStyle w:val="TableBody"/>
                  </w:pPr>
                  <w:r>
                    <w:rPr>
                      <w:i/>
                    </w:rPr>
                    <w:t>Hourly Load Ratio Share per QSE</w:t>
                  </w:r>
                  <w:r>
                    <w:t>—The Real-Time as defined in Section 6.6.2.4, QSE Load Ratio Share for an Operating Hour</w:t>
                  </w:r>
                  <w:r w:rsidR="000D534C">
                    <w:t>,</w:t>
                  </w:r>
                  <w:r>
                    <w:t xml:space="preserve"> for QSE </w:t>
                  </w:r>
                  <w:r>
                    <w:rPr>
                      <w:i/>
                    </w:rPr>
                    <w:t>q</w:t>
                  </w:r>
                  <w:r>
                    <w:t>, for the Operating Hour.</w:t>
                  </w:r>
                </w:p>
              </w:tc>
            </w:tr>
            <w:tr w:rsidR="008871B2" w14:paraId="15B03B09"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65AACF6" w14:textId="77777777" w:rsidR="008871B2" w:rsidRDefault="008871B2" w:rsidP="008871B2">
                  <w:pPr>
                    <w:pStyle w:val="TableBody"/>
                  </w:pPr>
                  <w:r>
                    <w:t xml:space="preserve">DAPCRDQTOT  </w:t>
                  </w:r>
                </w:p>
              </w:tc>
              <w:tc>
                <w:tcPr>
                  <w:tcW w:w="990" w:type="dxa"/>
                  <w:tcBorders>
                    <w:top w:val="single" w:sz="4" w:space="0" w:color="auto"/>
                    <w:left w:val="single" w:sz="4" w:space="0" w:color="auto"/>
                    <w:bottom w:val="single" w:sz="4" w:space="0" w:color="auto"/>
                    <w:right w:val="single" w:sz="4" w:space="0" w:color="auto"/>
                  </w:tcBorders>
                  <w:hideMark/>
                </w:tcPr>
                <w:p w14:paraId="5FAA11F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A7F0359" w14:textId="77777777" w:rsidR="008871B2" w:rsidRDefault="008871B2" w:rsidP="008871B2">
                  <w:pPr>
                    <w:pStyle w:val="TableBody"/>
                    <w:rPr>
                      <w:i/>
                    </w:rPr>
                  </w:pPr>
                  <w:r>
                    <w:rPr>
                      <w:i/>
                    </w:rPr>
                    <w:t>Day-Ahead Procured Capacity for Reg-Down Total</w:t>
                  </w:r>
                  <w:r>
                    <w:t>—The total Reg-Down capacity for all QSEs for all Reg-Down awarded and self-arranged, in the DAM for the Operating Hour.</w:t>
                  </w:r>
                </w:p>
              </w:tc>
            </w:tr>
            <w:tr w:rsidR="008871B2" w14:paraId="2B98D3D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4D5899C" w14:textId="77777777" w:rsidR="008871B2" w:rsidRDefault="008871B2" w:rsidP="008871B2">
                  <w:pPr>
                    <w:pStyle w:val="TableBody"/>
                  </w:pPr>
                  <w:r>
                    <w:lastRenderedPageBreak/>
                    <w:t xml:space="preserve">DASARDQ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2F0CE822"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D323E9D" w14:textId="77777777" w:rsidR="008871B2" w:rsidRDefault="008871B2" w:rsidP="008871B2">
                  <w:pPr>
                    <w:pStyle w:val="TableBody"/>
                  </w:pPr>
                  <w:r>
                    <w:rPr>
                      <w:i/>
                    </w:rPr>
                    <w:t>Day-Ahead Self-Arranged Reg-Down Quantity per QSE</w:t>
                  </w:r>
                  <w:r>
                    <w:t xml:space="preserve">—The self-arranged Reg-Down capacity submitted by QSE </w:t>
                  </w:r>
                  <w:r>
                    <w:rPr>
                      <w:i/>
                    </w:rPr>
                    <w:t>q</w:t>
                  </w:r>
                  <w:r>
                    <w:t xml:space="preserve"> before 1000 in the DAM for the Operating Hour.</w:t>
                  </w:r>
                </w:p>
              </w:tc>
            </w:tr>
            <w:tr w:rsidR="008871B2" w14:paraId="75773BD8"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2103D1E6"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2A982286"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29712A79" w14:textId="77777777" w:rsidR="008871B2" w:rsidRDefault="008871B2" w:rsidP="008871B2">
                  <w:pPr>
                    <w:pStyle w:val="TableBody"/>
                  </w:pPr>
                  <w:r>
                    <w:t>A QSE.</w:t>
                  </w:r>
                </w:p>
              </w:tc>
            </w:tr>
            <w:tr w:rsidR="008871B2" w14:paraId="13B7D699"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A3FD024" w14:textId="77777777" w:rsidR="008871B2" w:rsidRDefault="008871B2" w:rsidP="008871B2">
                  <w:pPr>
                    <w:pStyle w:val="TableBody"/>
                    <w:rPr>
                      <w:i/>
                    </w:rPr>
                  </w:pPr>
                  <w:r>
                    <w:rPr>
                      <w:i/>
                    </w:rPr>
                    <w:t>r</w:t>
                  </w:r>
                </w:p>
              </w:tc>
              <w:tc>
                <w:tcPr>
                  <w:tcW w:w="990" w:type="dxa"/>
                  <w:tcBorders>
                    <w:top w:val="single" w:sz="4" w:space="0" w:color="auto"/>
                    <w:left w:val="single" w:sz="4" w:space="0" w:color="auto"/>
                    <w:bottom w:val="single" w:sz="4" w:space="0" w:color="auto"/>
                    <w:right w:val="single" w:sz="4" w:space="0" w:color="auto"/>
                  </w:tcBorders>
                  <w:hideMark/>
                </w:tcPr>
                <w:p w14:paraId="7D20ECE3"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732CAB62" w14:textId="77777777" w:rsidR="008871B2" w:rsidRDefault="008871B2" w:rsidP="008871B2">
                  <w:pPr>
                    <w:pStyle w:val="TableBody"/>
                  </w:pPr>
                  <w:r>
                    <w:t>A Resource.</w:t>
                  </w:r>
                </w:p>
              </w:tc>
            </w:tr>
          </w:tbl>
          <w:p w14:paraId="0EB07923" w14:textId="77777777" w:rsidR="008871B2" w:rsidRDefault="008871B2" w:rsidP="008871B2">
            <w:pPr>
              <w:pStyle w:val="BodyTextNumbered"/>
              <w:spacing w:before="240"/>
              <w:ind w:left="1440"/>
              <w:rPr>
                <w:iCs/>
              </w:rPr>
            </w:pPr>
            <w:r>
              <w:rPr>
                <w:iCs/>
              </w:rPr>
              <w:t>(c)</w:t>
            </w:r>
            <w:r>
              <w:rPr>
                <w:iCs/>
              </w:rPr>
              <w:tab/>
              <w:t>For Responsive Reserve (RRS), if applicable:</w:t>
            </w:r>
          </w:p>
          <w:p w14:paraId="2323E71E" w14:textId="77777777" w:rsidR="008871B2" w:rsidRDefault="008871B2" w:rsidP="008871B2">
            <w:pPr>
              <w:pStyle w:val="BodyTextNumbered"/>
              <w:ind w:left="1440"/>
              <w:rPr>
                <w:iCs/>
              </w:rPr>
            </w:pPr>
            <w:r>
              <w:rPr>
                <w:iCs/>
              </w:rPr>
              <w:t xml:space="preserve">DARTPCRRAMT </w:t>
            </w:r>
            <w:r>
              <w:rPr>
                <w:i/>
                <w:iCs/>
                <w:vertAlign w:val="subscript"/>
              </w:rPr>
              <w:t>q</w:t>
            </w:r>
            <w:r>
              <w:rPr>
                <w:iCs/>
              </w:rPr>
              <w:t xml:space="preserve">  =  (DARRNOBL </w:t>
            </w:r>
            <w:r>
              <w:rPr>
                <w:i/>
                <w:iCs/>
                <w:vertAlign w:val="subscript"/>
              </w:rPr>
              <w:t>q</w:t>
            </w:r>
            <w:r>
              <w:rPr>
                <w:iCs/>
              </w:rPr>
              <w:t xml:space="preserve"> – DASARRQ </w:t>
            </w:r>
            <w:r>
              <w:rPr>
                <w:i/>
                <w:iCs/>
                <w:vertAlign w:val="subscript"/>
              </w:rPr>
              <w:t>q</w:t>
            </w:r>
            <w:r>
              <w:rPr>
                <w:iCs/>
              </w:rPr>
              <w:t xml:space="preserve">) * DARRPR - DARRAMT </w:t>
            </w:r>
            <w:r>
              <w:rPr>
                <w:i/>
                <w:iCs/>
                <w:vertAlign w:val="subscript"/>
              </w:rPr>
              <w:t>q</w:t>
            </w:r>
          </w:p>
          <w:p w14:paraId="3366349A" w14:textId="77777777" w:rsidR="008871B2" w:rsidRDefault="008871B2" w:rsidP="008871B2">
            <w:pPr>
              <w:pStyle w:val="BodyTextNumbered"/>
              <w:rPr>
                <w:iCs/>
              </w:rPr>
            </w:pPr>
            <w:r>
              <w:rPr>
                <w:iCs/>
              </w:rPr>
              <w:t>Where:</w:t>
            </w:r>
          </w:p>
          <w:p w14:paraId="72FCD574" w14:textId="77777777" w:rsidR="008871B2" w:rsidRDefault="008871B2" w:rsidP="008871B2">
            <w:pPr>
              <w:pStyle w:val="BodyTextNumbered"/>
              <w:ind w:left="1440"/>
              <w:rPr>
                <w:iCs/>
              </w:rPr>
            </w:pPr>
            <w:r>
              <w:rPr>
                <w:iCs/>
              </w:rPr>
              <w:t xml:space="preserve">DARRNOBL </w:t>
            </w:r>
            <w:r>
              <w:rPr>
                <w:i/>
                <w:iCs/>
                <w:vertAlign w:val="subscript"/>
              </w:rPr>
              <w:t>q</w:t>
            </w:r>
            <w:r>
              <w:rPr>
                <w:iCs/>
              </w:rPr>
              <w:tab/>
              <w:t xml:space="preserve">=  DAPCRRQTOT * HLRS </w:t>
            </w:r>
            <w:r>
              <w:rPr>
                <w:i/>
                <w:iCs/>
                <w:vertAlign w:val="subscript"/>
              </w:rPr>
              <w:t>q</w:t>
            </w:r>
            <w:r>
              <w:rPr>
                <w:iCs/>
              </w:rPr>
              <w:t xml:space="preserve"> </w:t>
            </w:r>
          </w:p>
          <w:p w14:paraId="6895B75A" w14:textId="2A31696E" w:rsidR="008871B2" w:rsidRDefault="008871B2" w:rsidP="008871B2">
            <w:pPr>
              <w:pStyle w:val="BodyTextNumbered"/>
              <w:ind w:left="1440"/>
              <w:rPr>
                <w:iCs/>
              </w:rPr>
            </w:pPr>
            <w:r>
              <w:rPr>
                <w:iCs/>
              </w:rPr>
              <w:t xml:space="preserve">DAPCRRQTOT  =  </w:t>
            </w:r>
            <w:r w:rsidR="00103BC5">
              <w:rPr>
                <w:iCs/>
                <w:position w:val="-22"/>
              </w:rPr>
              <w:object w:dxaOrig="285" w:dyaOrig="285" w14:anchorId="2A44116D">
                <v:shape id="_x0000_i1363" type="#_x0000_t75" style="width:18pt;height:30pt" o:ole="">
                  <v:imagedata r:id="rId446" o:title=""/>
                </v:shape>
                <o:OLEObject Type="Embed" ProgID="Equation.3" ShapeID="_x0000_i1363" DrawAspect="Content" ObjectID="_1815025551" r:id="rId451"/>
              </w:object>
            </w:r>
            <w:r>
              <w:rPr>
                <w:iCs/>
              </w:rPr>
              <w:t>(</w:t>
            </w:r>
            <w:r w:rsidR="00103BC5" w:rsidRPr="00D476E3">
              <w:rPr>
                <w:iCs/>
                <w:position w:val="-18"/>
              </w:rPr>
              <w:object w:dxaOrig="285" w:dyaOrig="570" w14:anchorId="5675BD60">
                <v:shape id="_x0000_i1364" type="#_x0000_t75" style="width:12pt;height:30pt" o:ole="">
                  <v:imagedata r:id="rId387" o:title=""/>
                </v:shape>
                <o:OLEObject Type="Embed" ProgID="Equation.3" ShapeID="_x0000_i1364" DrawAspect="Content" ObjectID="_1815025552" r:id="rId452"/>
              </w:object>
            </w:r>
            <w:r>
              <w:rPr>
                <w:iCs/>
              </w:rPr>
              <w:fldChar w:fldCharType="begin"/>
            </w:r>
            <w:r>
              <w:rPr>
                <w:iCs/>
              </w:rPr>
              <w:fldChar w:fldCharType="separate"/>
            </w:r>
            <w:r>
              <w:rPr>
                <w:iCs/>
                <w:noProof/>
                <w:position w:val="-18"/>
              </w:rPr>
              <w:drawing>
                <wp:inline distT="0" distB="0" distL="0" distR="0" wp14:anchorId="105D55FF" wp14:editId="3C95B40F">
                  <wp:extent cx="155575" cy="310515"/>
                  <wp:effectExtent l="0" t="0" r="0" b="0"/>
                  <wp:docPr id="3751"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55575" cy="310515"/>
                          </a:xfrm>
                          <a:prstGeom prst="rect">
                            <a:avLst/>
                          </a:prstGeom>
                          <a:noFill/>
                          <a:ln>
                            <a:noFill/>
                          </a:ln>
                        </pic:spPr>
                      </pic:pic>
                    </a:graphicData>
                  </a:graphic>
                </wp:inline>
              </w:drawing>
            </w:r>
            <w:r>
              <w:rPr>
                <w:iCs/>
              </w:rPr>
              <w:fldChar w:fldCharType="end"/>
            </w:r>
            <w:r>
              <w:rPr>
                <w:iCs/>
              </w:rPr>
              <w:t>PCRRR</w:t>
            </w:r>
            <w:r>
              <w:rPr>
                <w:i/>
                <w:iCs/>
              </w:rPr>
              <w:t xml:space="preserve"> </w:t>
            </w:r>
            <w:r>
              <w:rPr>
                <w:i/>
                <w:iCs/>
                <w:vertAlign w:val="subscript"/>
              </w:rPr>
              <w:t>r, q, DAM</w:t>
            </w:r>
            <w:r>
              <w:rPr>
                <w:iCs/>
              </w:rPr>
              <w:t xml:space="preserve"> + DARROAWD </w:t>
            </w:r>
            <w:r>
              <w:rPr>
                <w:i/>
                <w:iCs/>
                <w:vertAlign w:val="subscript"/>
              </w:rPr>
              <w:t>q</w:t>
            </w:r>
            <w:r>
              <w:rPr>
                <w:iCs/>
              </w:rPr>
              <w:t xml:space="preserve"> + DASARRQ </w:t>
            </w:r>
            <w:r>
              <w:rPr>
                <w:i/>
                <w:iCs/>
                <w:vertAlign w:val="subscript"/>
              </w:rPr>
              <w:t>q</w:t>
            </w:r>
            <w:r>
              <w:rPr>
                <w:iCs/>
              </w:rPr>
              <w:t>)</w:t>
            </w:r>
          </w:p>
          <w:p w14:paraId="52A7ED68" w14:textId="77777777" w:rsidR="008871B2" w:rsidRDefault="008871B2" w:rsidP="008871B2">
            <w:pPr>
              <w:rPr>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964"/>
              <w:gridCol w:w="6260"/>
            </w:tblGrid>
            <w:tr w:rsidR="008871B2" w14:paraId="0FFD73D1"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0F4B9656" w14:textId="77777777" w:rsidR="008871B2" w:rsidRPr="00CC1DA5" w:rsidRDefault="008871B2" w:rsidP="008871B2">
                  <w:pPr>
                    <w:pStyle w:val="TableHead"/>
                  </w:pPr>
                  <w:r w:rsidRPr="00233C78">
                    <w:rPr>
                      <w:iCs w:val="0"/>
                    </w:rPr>
                    <w:t>Variable</w:t>
                  </w:r>
                </w:p>
              </w:tc>
              <w:tc>
                <w:tcPr>
                  <w:tcW w:w="990" w:type="dxa"/>
                  <w:tcBorders>
                    <w:top w:val="single" w:sz="4" w:space="0" w:color="auto"/>
                    <w:left w:val="single" w:sz="4" w:space="0" w:color="auto"/>
                    <w:bottom w:val="single" w:sz="4" w:space="0" w:color="auto"/>
                    <w:right w:val="single" w:sz="4" w:space="0" w:color="auto"/>
                  </w:tcBorders>
                  <w:hideMark/>
                </w:tcPr>
                <w:p w14:paraId="61D315C4"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79F6E6B4" w14:textId="77777777" w:rsidR="008871B2" w:rsidRDefault="008871B2" w:rsidP="008871B2">
                  <w:pPr>
                    <w:pStyle w:val="TableHead"/>
                  </w:pPr>
                  <w:r>
                    <w:t>Description</w:t>
                  </w:r>
                </w:p>
              </w:tc>
            </w:tr>
            <w:tr w:rsidR="008871B2" w14:paraId="5C4C60A7"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0950C61C" w14:textId="77777777" w:rsidR="008871B2" w:rsidRPr="00CC1DA5" w:rsidRDefault="008871B2" w:rsidP="008871B2">
                  <w:pPr>
                    <w:pStyle w:val="TableBody"/>
                  </w:pPr>
                  <w:r w:rsidRPr="00233C78">
                    <w:t xml:space="preserve">DARTPCRRAMT </w:t>
                  </w:r>
                  <w:r w:rsidRPr="00233C78">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7ACCE7F3"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21EB55EE" w14:textId="1661A35D" w:rsidR="008871B2" w:rsidRDefault="008871B2" w:rsidP="008871B2">
                  <w:pPr>
                    <w:pStyle w:val="TableBody"/>
                  </w:pPr>
                  <w:r>
                    <w:rPr>
                      <w:i/>
                    </w:rPr>
                    <w:t>Day-Ahead Updated Real-Time Procured Capacity for Responsive Reserve Amount by QSE</w:t>
                  </w:r>
                  <w:r w:rsidR="001C51B4" w:rsidRPr="00A552C3">
                    <w:t>—</w:t>
                  </w:r>
                  <w:r>
                    <w:t xml:space="preserve">The payment or charge to QSE </w:t>
                  </w:r>
                  <w:r>
                    <w:rPr>
                      <w:i/>
                    </w:rPr>
                    <w:t>q</w:t>
                  </w:r>
                  <w:r>
                    <w:t xml:space="preserve"> for RRS, for the re-calculated Real-Time obligation, for the Operating Hour.</w:t>
                  </w:r>
                </w:p>
              </w:tc>
            </w:tr>
            <w:tr w:rsidR="008871B2" w14:paraId="24A3B48E"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924D4A9" w14:textId="77777777" w:rsidR="008871B2" w:rsidRDefault="008871B2" w:rsidP="008871B2">
                  <w:pPr>
                    <w:pStyle w:val="TableBody"/>
                  </w:pPr>
                  <w:r>
                    <w:t>DARRPR</w:t>
                  </w:r>
                </w:p>
              </w:tc>
              <w:tc>
                <w:tcPr>
                  <w:tcW w:w="990" w:type="dxa"/>
                  <w:tcBorders>
                    <w:top w:val="single" w:sz="4" w:space="0" w:color="auto"/>
                    <w:left w:val="single" w:sz="4" w:space="0" w:color="auto"/>
                    <w:bottom w:val="single" w:sz="4" w:space="0" w:color="auto"/>
                    <w:right w:val="single" w:sz="4" w:space="0" w:color="auto"/>
                  </w:tcBorders>
                  <w:hideMark/>
                </w:tcPr>
                <w:p w14:paraId="14FF4A1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20CAF19C" w14:textId="77777777" w:rsidR="008871B2" w:rsidRDefault="008871B2" w:rsidP="008871B2">
                  <w:pPr>
                    <w:pStyle w:val="TableBody"/>
                    <w:rPr>
                      <w:i/>
                    </w:rPr>
                  </w:pPr>
                  <w:r>
                    <w:rPr>
                      <w:i/>
                    </w:rPr>
                    <w:t>Day-Ahead Responsive Reserve Price</w:t>
                  </w:r>
                  <w:r>
                    <w:t>—The DAM RRS price for the Operating Hour.</w:t>
                  </w:r>
                </w:p>
              </w:tc>
            </w:tr>
            <w:tr w:rsidR="008871B2" w14:paraId="5C3B0D5D"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37527EFB" w14:textId="77777777" w:rsidR="008871B2" w:rsidRDefault="008871B2" w:rsidP="008871B2">
                  <w:pPr>
                    <w:pStyle w:val="TableBody"/>
                  </w:pPr>
                  <w:r>
                    <w:t>DARRNOBL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72DE4364"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53CC35DC" w14:textId="77777777" w:rsidR="008871B2" w:rsidRDefault="008871B2" w:rsidP="008871B2">
                  <w:pPr>
                    <w:pStyle w:val="TableBody"/>
                    <w:rPr>
                      <w:i/>
                    </w:rPr>
                  </w:pPr>
                  <w:r>
                    <w:rPr>
                      <w:i/>
                    </w:rPr>
                    <w:t>Day-Ahead Responsive Reserve New Obligation per QSE—</w:t>
                  </w:r>
                  <w:r>
                    <w:t xml:space="preserve">The updated RRS Ancillary Service Obligation in Real-Time for QSE </w:t>
                  </w:r>
                  <w:r w:rsidRPr="00233C78">
                    <w:rPr>
                      <w:i/>
                    </w:rPr>
                    <w:t>q</w:t>
                  </w:r>
                  <w:r>
                    <w:t xml:space="preserve"> for the Operating Hour.</w:t>
                  </w:r>
                </w:p>
              </w:tc>
            </w:tr>
            <w:tr w:rsidR="008871B2" w14:paraId="55BE8254"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607C9DD2" w14:textId="77777777" w:rsidR="008871B2" w:rsidRDefault="008871B2" w:rsidP="008871B2">
                  <w:pPr>
                    <w:pStyle w:val="TableBody"/>
                  </w:pPr>
                  <w:r>
                    <w:t xml:space="preserve">DARRAMT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27BF76DA"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773F62CE" w14:textId="77777777" w:rsidR="008871B2" w:rsidRDefault="008871B2" w:rsidP="008871B2">
                  <w:pPr>
                    <w:pStyle w:val="TableBody"/>
                    <w:rPr>
                      <w:i/>
                    </w:rPr>
                  </w:pPr>
                  <w:r>
                    <w:rPr>
                      <w:i/>
                    </w:rPr>
                    <w:t>Day-Ahead Responsive Reserve Amount per QSE</w:t>
                  </w:r>
                  <w:r>
                    <w:t xml:space="preserve">—QSE </w:t>
                  </w:r>
                  <w:r>
                    <w:rPr>
                      <w:i/>
                    </w:rPr>
                    <w:t>q</w:t>
                  </w:r>
                  <w:r>
                    <w:t>’s share of the DAM cost for RRS for the Operating Hour.</w:t>
                  </w:r>
                </w:p>
              </w:tc>
            </w:tr>
            <w:tr w:rsidR="008871B2" w14:paraId="12FCC7D3"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89AB659" w14:textId="77777777" w:rsidR="008871B2" w:rsidRDefault="008871B2" w:rsidP="008871B2">
                  <w:pPr>
                    <w:pStyle w:val="TableBody"/>
                  </w:pPr>
                  <w:r>
                    <w:t xml:space="preserve">PCRRR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3252220A"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3F0ABD5" w14:textId="77777777" w:rsidR="008871B2" w:rsidRDefault="008871B2" w:rsidP="008871B2">
                  <w:pPr>
                    <w:pStyle w:val="TableBody"/>
                    <w:rPr>
                      <w:i/>
                    </w:rPr>
                  </w:pPr>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Operating Hour.  Where for a Combined Cycle Train, the Resource </w:t>
                  </w:r>
                  <w:r>
                    <w:rPr>
                      <w:i/>
                    </w:rPr>
                    <w:t xml:space="preserve">r </w:t>
                  </w:r>
                  <w:r>
                    <w:t>is a Combined Cycle Generation Resource within the Combined Cycle Train.</w:t>
                  </w:r>
                </w:p>
              </w:tc>
            </w:tr>
            <w:tr w:rsidR="008871B2" w14:paraId="737E4F90"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68A9B09" w14:textId="77777777" w:rsidR="008871B2" w:rsidRDefault="008871B2" w:rsidP="008871B2">
                  <w:pPr>
                    <w:pStyle w:val="TableBody"/>
                  </w:pPr>
                  <w:r>
                    <w:t xml:space="preserve">DARROAWD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E6A5049"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F96B3D9" w14:textId="0DC4718C" w:rsidR="008871B2" w:rsidRDefault="008871B2" w:rsidP="008871B2">
                  <w:pPr>
                    <w:pStyle w:val="TableBody"/>
                  </w:pPr>
                  <w:r>
                    <w:rPr>
                      <w:i/>
                    </w:rPr>
                    <w:t>Day-Ahead Responsive Reserve Only Award for the QSE</w:t>
                  </w:r>
                  <w:r>
                    <w:t xml:space="preserve">—The RRS Only capacity awarded in the DAM to QSE </w:t>
                  </w:r>
                  <w:r>
                    <w:rPr>
                      <w:i/>
                    </w:rPr>
                    <w:t>q</w:t>
                  </w:r>
                  <w:r>
                    <w:t xml:space="preserve"> for the Operating Hour.  </w:t>
                  </w:r>
                </w:p>
              </w:tc>
            </w:tr>
            <w:tr w:rsidR="008871B2" w14:paraId="3BDBC04F"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4FBF4F4F" w14:textId="77777777" w:rsidR="008871B2" w:rsidRDefault="008871B2" w:rsidP="008871B2">
                  <w:pPr>
                    <w:pStyle w:val="TableBody"/>
                  </w:pPr>
                  <w:r>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7952573F"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66EA0C03" w14:textId="2D540CB7" w:rsidR="008871B2" w:rsidRDefault="008871B2" w:rsidP="008871B2">
                  <w:pPr>
                    <w:pStyle w:val="TableBody"/>
                  </w:pPr>
                  <w:r w:rsidRPr="00952F33">
                    <w:rPr>
                      <w:i/>
                      <w:iCs w:val="0"/>
                    </w:rPr>
                    <w:t>Hourly Load Ratio Share per QSE</w:t>
                  </w:r>
                  <w:r>
                    <w:t>—The Real-Time LRS as defined in Section 6.6.2.4, QSE Load Ratio Share for an Operating Hour</w:t>
                  </w:r>
                  <w:r w:rsidR="00CA3010">
                    <w:t>,</w:t>
                  </w:r>
                  <w:r>
                    <w:t xml:space="preserve"> for QSE </w:t>
                  </w:r>
                  <w:r>
                    <w:rPr>
                      <w:i/>
                    </w:rPr>
                    <w:t>q</w:t>
                  </w:r>
                  <w:r>
                    <w:t xml:space="preserve"> for the Operating Hour.</w:t>
                  </w:r>
                </w:p>
              </w:tc>
            </w:tr>
            <w:tr w:rsidR="008871B2" w14:paraId="586A5600"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786D5BC8" w14:textId="77777777" w:rsidR="008871B2" w:rsidRDefault="008871B2" w:rsidP="008871B2">
                  <w:pPr>
                    <w:pStyle w:val="TableBody"/>
                  </w:pPr>
                  <w:r>
                    <w:t xml:space="preserve">DAPCRRQTOT  </w:t>
                  </w:r>
                </w:p>
              </w:tc>
              <w:tc>
                <w:tcPr>
                  <w:tcW w:w="990" w:type="dxa"/>
                  <w:tcBorders>
                    <w:top w:val="single" w:sz="4" w:space="0" w:color="auto"/>
                    <w:left w:val="single" w:sz="4" w:space="0" w:color="auto"/>
                    <w:bottom w:val="single" w:sz="4" w:space="0" w:color="auto"/>
                    <w:right w:val="single" w:sz="4" w:space="0" w:color="auto"/>
                  </w:tcBorders>
                  <w:hideMark/>
                </w:tcPr>
                <w:p w14:paraId="1666F3A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69D3797" w14:textId="0433306E" w:rsidR="008871B2" w:rsidRDefault="008871B2" w:rsidP="008871B2">
                  <w:pPr>
                    <w:pStyle w:val="TableBody"/>
                  </w:pPr>
                  <w:r>
                    <w:rPr>
                      <w:i/>
                    </w:rPr>
                    <w:t>Day-Ahead Procured Capacity for Responsive Reserve Total</w:t>
                  </w:r>
                  <w:r>
                    <w:t>—The total RRS capacity for all QSEs for all RRS awarded and self-arranged in the DAM for the Operating Hour.</w:t>
                  </w:r>
                </w:p>
              </w:tc>
            </w:tr>
            <w:tr w:rsidR="008871B2" w14:paraId="70153CEF"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272160B" w14:textId="77777777" w:rsidR="008871B2" w:rsidRDefault="008871B2" w:rsidP="008871B2">
                  <w:pPr>
                    <w:pStyle w:val="TableBody"/>
                  </w:pPr>
                  <w:r>
                    <w:t xml:space="preserve">DASARRQ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DC467E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22D21250" w14:textId="77777777" w:rsidR="008871B2" w:rsidRDefault="008871B2" w:rsidP="008871B2">
                  <w:pPr>
                    <w:pStyle w:val="TableBody"/>
                    <w:rPr>
                      <w:i/>
                    </w:rPr>
                  </w:pPr>
                  <w:r>
                    <w:rPr>
                      <w:i/>
                    </w:rPr>
                    <w:t>Day-Ahead Self-Arranged Responsive Reserve Quantity per QSE</w:t>
                  </w:r>
                  <w:r>
                    <w:t xml:space="preserve">—The self-arranged RRS capacity submitted by QSE </w:t>
                  </w:r>
                  <w:r>
                    <w:rPr>
                      <w:i/>
                    </w:rPr>
                    <w:t>q</w:t>
                  </w:r>
                  <w:r>
                    <w:t xml:space="preserve"> before 1000 in the DAM for the Operating Hour.</w:t>
                  </w:r>
                </w:p>
              </w:tc>
            </w:tr>
            <w:tr w:rsidR="008871B2" w14:paraId="63213ED2"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9CF8DAA"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2A7AA1E1"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3DA0F69A" w14:textId="77777777" w:rsidR="008871B2" w:rsidRDefault="008871B2" w:rsidP="008871B2">
                  <w:pPr>
                    <w:pStyle w:val="TableBody"/>
                  </w:pPr>
                  <w:r>
                    <w:t>A QSE.</w:t>
                  </w:r>
                </w:p>
              </w:tc>
            </w:tr>
            <w:tr w:rsidR="008871B2" w14:paraId="2EEF81F6"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0D73E611" w14:textId="77777777" w:rsidR="008871B2" w:rsidRDefault="008871B2" w:rsidP="008871B2">
                  <w:pPr>
                    <w:pStyle w:val="TableBody"/>
                    <w:rPr>
                      <w:i/>
                    </w:rPr>
                  </w:pPr>
                  <w:r>
                    <w:rPr>
                      <w:i/>
                    </w:rPr>
                    <w:t>r</w:t>
                  </w:r>
                </w:p>
              </w:tc>
              <w:tc>
                <w:tcPr>
                  <w:tcW w:w="990" w:type="dxa"/>
                  <w:tcBorders>
                    <w:top w:val="single" w:sz="4" w:space="0" w:color="auto"/>
                    <w:left w:val="single" w:sz="4" w:space="0" w:color="auto"/>
                    <w:bottom w:val="single" w:sz="4" w:space="0" w:color="auto"/>
                    <w:right w:val="single" w:sz="4" w:space="0" w:color="auto"/>
                  </w:tcBorders>
                  <w:hideMark/>
                </w:tcPr>
                <w:p w14:paraId="324DE39B"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71218B72" w14:textId="77777777" w:rsidR="008871B2" w:rsidRDefault="008871B2" w:rsidP="008871B2">
                  <w:pPr>
                    <w:pStyle w:val="TableBody"/>
                  </w:pPr>
                  <w:r>
                    <w:t>A Resource.</w:t>
                  </w:r>
                </w:p>
              </w:tc>
            </w:tr>
          </w:tbl>
          <w:p w14:paraId="3559836C" w14:textId="77777777" w:rsidR="008871B2" w:rsidRDefault="008871B2" w:rsidP="008871B2">
            <w:pPr>
              <w:pStyle w:val="BodyTextNumbered"/>
              <w:spacing w:before="240"/>
              <w:ind w:left="1440"/>
              <w:rPr>
                <w:iCs/>
              </w:rPr>
            </w:pPr>
            <w:r>
              <w:rPr>
                <w:iCs/>
              </w:rPr>
              <w:lastRenderedPageBreak/>
              <w:t>(d)</w:t>
            </w:r>
            <w:r>
              <w:rPr>
                <w:iCs/>
              </w:rPr>
              <w:tab/>
              <w:t xml:space="preserve">For Non-Spinning Reserve (Non-Spin), if applicable: </w:t>
            </w:r>
          </w:p>
          <w:p w14:paraId="4613A3E5" w14:textId="77777777" w:rsidR="008871B2" w:rsidRDefault="008871B2" w:rsidP="008871B2">
            <w:pPr>
              <w:pStyle w:val="BodyTextNumbered"/>
              <w:ind w:left="1440"/>
              <w:rPr>
                <w:iCs/>
              </w:rPr>
            </w:pPr>
            <w:r>
              <w:rPr>
                <w:iCs/>
              </w:rPr>
              <w:t xml:space="preserve">DARTPCNSAMT </w:t>
            </w:r>
            <w:r>
              <w:rPr>
                <w:i/>
                <w:iCs/>
                <w:vertAlign w:val="subscript"/>
              </w:rPr>
              <w:t>q</w:t>
            </w:r>
            <w:r>
              <w:rPr>
                <w:iCs/>
              </w:rPr>
              <w:t xml:space="preserve"> = (DANSNOBL </w:t>
            </w:r>
            <w:r>
              <w:rPr>
                <w:i/>
                <w:iCs/>
                <w:vertAlign w:val="subscript"/>
              </w:rPr>
              <w:t>q</w:t>
            </w:r>
            <w:r>
              <w:rPr>
                <w:iCs/>
              </w:rPr>
              <w:t xml:space="preserve"> – DASANSQ </w:t>
            </w:r>
            <w:r>
              <w:rPr>
                <w:i/>
                <w:iCs/>
                <w:vertAlign w:val="subscript"/>
              </w:rPr>
              <w:t>q</w:t>
            </w:r>
            <w:r>
              <w:rPr>
                <w:iCs/>
              </w:rPr>
              <w:t xml:space="preserve">) * DANSPR - DANSAMT </w:t>
            </w:r>
            <w:r>
              <w:rPr>
                <w:i/>
                <w:iCs/>
                <w:vertAlign w:val="subscript"/>
              </w:rPr>
              <w:t>q</w:t>
            </w:r>
          </w:p>
          <w:p w14:paraId="7A8363FA" w14:textId="77777777" w:rsidR="008871B2" w:rsidRDefault="008871B2" w:rsidP="008871B2">
            <w:pPr>
              <w:pStyle w:val="BodyTextNumbered"/>
              <w:rPr>
                <w:iCs/>
              </w:rPr>
            </w:pPr>
            <w:r>
              <w:rPr>
                <w:iCs/>
              </w:rPr>
              <w:t>Where:</w:t>
            </w:r>
          </w:p>
          <w:p w14:paraId="1D9F5B38" w14:textId="77777777" w:rsidR="008871B2" w:rsidRDefault="008871B2" w:rsidP="008871B2">
            <w:pPr>
              <w:pStyle w:val="BodyTextNumbered"/>
              <w:ind w:left="1440"/>
              <w:rPr>
                <w:iCs/>
              </w:rPr>
            </w:pPr>
            <w:r>
              <w:rPr>
                <w:iCs/>
              </w:rPr>
              <w:t xml:space="preserve">DANSNOBL </w:t>
            </w:r>
            <w:r>
              <w:rPr>
                <w:i/>
                <w:iCs/>
                <w:vertAlign w:val="subscript"/>
              </w:rPr>
              <w:t xml:space="preserve">q </w:t>
            </w:r>
            <w:r>
              <w:rPr>
                <w:iCs/>
              </w:rPr>
              <w:t xml:space="preserve">    =  DAPCNSQTOT * HLRS </w:t>
            </w:r>
            <w:r>
              <w:rPr>
                <w:i/>
                <w:iCs/>
                <w:vertAlign w:val="subscript"/>
              </w:rPr>
              <w:t>q</w:t>
            </w:r>
            <w:r>
              <w:rPr>
                <w:iCs/>
              </w:rPr>
              <w:t xml:space="preserve"> </w:t>
            </w:r>
          </w:p>
          <w:p w14:paraId="057B2E51" w14:textId="3F88722B" w:rsidR="008871B2" w:rsidRDefault="008871B2" w:rsidP="008871B2">
            <w:pPr>
              <w:pStyle w:val="BodyTextNumbered"/>
              <w:ind w:left="1440"/>
              <w:rPr>
                <w:iCs/>
              </w:rPr>
            </w:pPr>
            <w:r>
              <w:rPr>
                <w:iCs/>
              </w:rPr>
              <w:t xml:space="preserve">DAPCNSQTOT      =  </w:t>
            </w:r>
            <w:r w:rsidR="00443E82">
              <w:rPr>
                <w:iCs/>
                <w:position w:val="-22"/>
              </w:rPr>
              <w:object w:dxaOrig="285" w:dyaOrig="285" w14:anchorId="67B8D17B">
                <v:shape id="_x0000_i1365" type="#_x0000_t75" style="width:30pt;height:30pt" o:ole="">
                  <v:imagedata r:id="rId446" o:title=""/>
                </v:shape>
                <o:OLEObject Type="Embed" ProgID="Equation.3" ShapeID="_x0000_i1365" DrawAspect="Content" ObjectID="_1815025553" r:id="rId454"/>
              </w:object>
            </w:r>
            <w:r>
              <w:rPr>
                <w:iCs/>
              </w:rPr>
              <w:t xml:space="preserve"> (</w:t>
            </w:r>
            <w:r>
              <w:rPr>
                <w:iCs/>
                <w:position w:val="-18"/>
              </w:rPr>
              <w:object w:dxaOrig="285" w:dyaOrig="570" w14:anchorId="38493E37">
                <v:shape id="_x0000_i1366" type="#_x0000_t75" style="width:12pt;height:30pt" o:ole="">
                  <v:imagedata r:id="rId387" o:title=""/>
                </v:shape>
                <o:OLEObject Type="Embed" ProgID="Equation.3" ShapeID="_x0000_i1366" DrawAspect="Content" ObjectID="_1815025554" r:id="rId455"/>
              </w:object>
            </w:r>
            <w:r>
              <w:rPr>
                <w:iCs/>
              </w:rPr>
              <w:t>PCNSR</w:t>
            </w:r>
            <w:r>
              <w:rPr>
                <w:i/>
                <w:iCs/>
              </w:rPr>
              <w:t xml:space="preserve"> </w:t>
            </w:r>
            <w:r>
              <w:rPr>
                <w:i/>
                <w:iCs/>
                <w:vertAlign w:val="subscript"/>
              </w:rPr>
              <w:t>r, q, DAM</w:t>
            </w:r>
            <w:r>
              <w:rPr>
                <w:iCs/>
              </w:rPr>
              <w:t xml:space="preserve"> + DANSOAWD </w:t>
            </w:r>
            <w:r>
              <w:rPr>
                <w:i/>
                <w:iCs/>
                <w:vertAlign w:val="subscript"/>
              </w:rPr>
              <w:t>q</w:t>
            </w:r>
            <w:r>
              <w:rPr>
                <w:iCs/>
              </w:rPr>
              <w:t xml:space="preserve"> + DASANSQ </w:t>
            </w:r>
            <w:r>
              <w:rPr>
                <w:i/>
                <w:iCs/>
                <w:vertAlign w:val="subscript"/>
              </w:rPr>
              <w:t>q</w:t>
            </w:r>
            <w:r>
              <w:rPr>
                <w:iCs/>
              </w:rPr>
              <w:t>)</w:t>
            </w:r>
          </w:p>
          <w:p w14:paraId="61AC8B07" w14:textId="77777777" w:rsidR="008871B2" w:rsidRDefault="008871B2" w:rsidP="008871B2">
            <w:pPr>
              <w:pStyle w:val="BodyTextNumbered"/>
              <w:spacing w:after="0"/>
              <w:rPr>
                <w:iCs/>
              </w:rPr>
            </w:pPr>
            <w:r>
              <w:rPr>
                <w:iCs/>
              </w:rP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5"/>
              <w:gridCol w:w="964"/>
              <w:gridCol w:w="6261"/>
            </w:tblGrid>
            <w:tr w:rsidR="008871B2" w14:paraId="5D8F4010"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335E6ED3" w14:textId="77777777" w:rsidR="008871B2" w:rsidRPr="00D222D9" w:rsidRDefault="008871B2" w:rsidP="008871B2">
                  <w:pPr>
                    <w:pStyle w:val="TableHead"/>
                  </w:pPr>
                  <w:r w:rsidRPr="00233C78">
                    <w:rPr>
                      <w:iCs w:val="0"/>
                    </w:rPr>
                    <w:t>Variable</w:t>
                  </w:r>
                </w:p>
              </w:tc>
              <w:tc>
                <w:tcPr>
                  <w:tcW w:w="990" w:type="dxa"/>
                  <w:tcBorders>
                    <w:top w:val="single" w:sz="4" w:space="0" w:color="auto"/>
                    <w:left w:val="single" w:sz="4" w:space="0" w:color="auto"/>
                    <w:bottom w:val="single" w:sz="4" w:space="0" w:color="auto"/>
                    <w:right w:val="single" w:sz="4" w:space="0" w:color="auto"/>
                  </w:tcBorders>
                  <w:hideMark/>
                </w:tcPr>
                <w:p w14:paraId="48CE61FA"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30919F0B" w14:textId="77777777" w:rsidR="008871B2" w:rsidRDefault="008871B2" w:rsidP="008871B2">
                  <w:pPr>
                    <w:pStyle w:val="TableHead"/>
                  </w:pPr>
                  <w:r>
                    <w:t>Description</w:t>
                  </w:r>
                </w:p>
              </w:tc>
            </w:tr>
            <w:tr w:rsidR="008871B2" w14:paraId="06AED8C2"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5B998233" w14:textId="77777777" w:rsidR="008871B2" w:rsidRPr="00D222D9" w:rsidRDefault="008871B2" w:rsidP="008871B2">
                  <w:pPr>
                    <w:pStyle w:val="TableBody"/>
                  </w:pPr>
                  <w:r w:rsidRPr="00233C78">
                    <w:t xml:space="preserve">DARTPCNSAMT </w:t>
                  </w:r>
                  <w:r w:rsidRPr="00233C78">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2B24B6F2"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3A8B2247" w14:textId="5B147372" w:rsidR="008871B2" w:rsidRDefault="008871B2" w:rsidP="008871B2">
                  <w:pPr>
                    <w:pStyle w:val="TableBody"/>
                  </w:pPr>
                  <w:r>
                    <w:rPr>
                      <w:i/>
                    </w:rPr>
                    <w:t>Day-Ahead Updated Real-Time Procured Capacity for Non-Spin Amount by QSE</w:t>
                  </w:r>
                  <w:r w:rsidR="004B6A08" w:rsidRPr="00A552C3">
                    <w:t>—</w:t>
                  </w:r>
                  <w:r>
                    <w:t xml:space="preserve">The payment or charge to QSE </w:t>
                  </w:r>
                  <w:r w:rsidRPr="00233C78">
                    <w:rPr>
                      <w:i/>
                    </w:rPr>
                    <w:t>q</w:t>
                  </w:r>
                  <w:r>
                    <w:t xml:space="preserve"> for Non-Spin for the re-calculated Real-Time obligation for the Operating Hour.</w:t>
                  </w:r>
                </w:p>
              </w:tc>
            </w:tr>
            <w:tr w:rsidR="008871B2" w14:paraId="4681267E"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CBE5195" w14:textId="77777777" w:rsidR="008871B2" w:rsidRDefault="008871B2" w:rsidP="008871B2">
                  <w:pPr>
                    <w:pStyle w:val="TableBody"/>
                  </w:pPr>
                  <w:r>
                    <w:t>DANSPR</w:t>
                  </w:r>
                </w:p>
              </w:tc>
              <w:tc>
                <w:tcPr>
                  <w:tcW w:w="990" w:type="dxa"/>
                  <w:tcBorders>
                    <w:top w:val="single" w:sz="4" w:space="0" w:color="auto"/>
                    <w:left w:val="single" w:sz="4" w:space="0" w:color="auto"/>
                    <w:bottom w:val="single" w:sz="4" w:space="0" w:color="auto"/>
                    <w:right w:val="single" w:sz="4" w:space="0" w:color="auto"/>
                  </w:tcBorders>
                  <w:hideMark/>
                </w:tcPr>
                <w:p w14:paraId="2C4CA96E"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40CB4CF" w14:textId="77777777" w:rsidR="008871B2" w:rsidRDefault="008871B2" w:rsidP="008871B2">
                  <w:pPr>
                    <w:pStyle w:val="TableBody"/>
                    <w:rPr>
                      <w:i/>
                    </w:rPr>
                  </w:pPr>
                  <w:r>
                    <w:rPr>
                      <w:i/>
                    </w:rPr>
                    <w:t>Day-Ahead Non-Spin Price</w:t>
                  </w:r>
                  <w:r>
                    <w:t>—The DAM Non-Spin price for the Operating Hour.</w:t>
                  </w:r>
                </w:p>
              </w:tc>
            </w:tr>
            <w:tr w:rsidR="008871B2" w14:paraId="2AB48847"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63AE7993" w14:textId="77777777" w:rsidR="008871B2" w:rsidRDefault="008871B2" w:rsidP="008871B2">
                  <w:pPr>
                    <w:pStyle w:val="TableBody"/>
                  </w:pPr>
                  <w:r>
                    <w:t>DANSNOBL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377AF962"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3BDFD8C" w14:textId="3ED46BDF" w:rsidR="008871B2" w:rsidRDefault="008871B2" w:rsidP="00D222D9">
                  <w:pPr>
                    <w:pStyle w:val="TableBody"/>
                    <w:rPr>
                      <w:i/>
                    </w:rPr>
                  </w:pPr>
                  <w:r>
                    <w:rPr>
                      <w:i/>
                    </w:rPr>
                    <w:t>Day-Ahead Non-Spin New Obligation per QSE—</w:t>
                  </w:r>
                  <w:r>
                    <w:t xml:space="preserve">The updated Non-Spin Ancillary Service Obligation in Real-Time for QSE </w:t>
                  </w:r>
                  <w:r>
                    <w:rPr>
                      <w:i/>
                    </w:rPr>
                    <w:t>q</w:t>
                  </w:r>
                  <w:r>
                    <w:t xml:space="preserve"> for the Operating Hour.</w:t>
                  </w:r>
                </w:p>
              </w:tc>
            </w:tr>
            <w:tr w:rsidR="008871B2" w14:paraId="181E5CBE"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6ADCC9E8" w14:textId="77777777" w:rsidR="008871B2" w:rsidRDefault="008871B2" w:rsidP="008871B2">
                  <w:pPr>
                    <w:pStyle w:val="TableBody"/>
                  </w:pPr>
                  <w:r>
                    <w:t xml:space="preserve">PCNSR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333AB96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6EE66785" w14:textId="77777777" w:rsidR="008871B2" w:rsidRDefault="008871B2" w:rsidP="008871B2">
                  <w:pPr>
                    <w:pStyle w:val="TableBody"/>
                    <w:rPr>
                      <w:i/>
                    </w:rPr>
                  </w:pPr>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Operating Hour.  Where for a Combined Cycle Train, the Resource </w:t>
                  </w:r>
                  <w:r>
                    <w:rPr>
                      <w:i/>
                    </w:rPr>
                    <w:t xml:space="preserve">r </w:t>
                  </w:r>
                  <w:r>
                    <w:t>is a Combined Cycle Generation Resource within the Combined Cycle Train.</w:t>
                  </w:r>
                </w:p>
              </w:tc>
            </w:tr>
            <w:tr w:rsidR="008871B2" w14:paraId="15DCB48E"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5FD8AF93" w14:textId="77777777" w:rsidR="008871B2" w:rsidRDefault="008871B2" w:rsidP="008871B2">
                  <w:pPr>
                    <w:pStyle w:val="TableBody"/>
                  </w:pPr>
                  <w:r>
                    <w:t xml:space="preserve">DANSOAWD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16D49058"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73B22FB2" w14:textId="3DF36C1E" w:rsidR="008871B2" w:rsidRDefault="008871B2" w:rsidP="008871B2">
                  <w:pPr>
                    <w:pStyle w:val="TableBody"/>
                    <w:rPr>
                      <w:i/>
                    </w:rPr>
                  </w:pPr>
                  <w:r>
                    <w:rPr>
                      <w:i/>
                    </w:rPr>
                    <w:t>Day-Ahead Non-Spin Only Award for the QSE</w:t>
                  </w:r>
                  <w:r>
                    <w:t xml:space="preserve">—The Non-Spin Only capacity awarded in the DAM to QSE </w:t>
                  </w:r>
                  <w:r>
                    <w:rPr>
                      <w:i/>
                    </w:rPr>
                    <w:t>q</w:t>
                  </w:r>
                  <w:r>
                    <w:t xml:space="preserve"> for the Operating Hour.  </w:t>
                  </w:r>
                </w:p>
              </w:tc>
            </w:tr>
            <w:tr w:rsidR="008871B2" w14:paraId="1CA03C4D"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4F076CD9" w14:textId="77777777" w:rsidR="008871B2" w:rsidRDefault="008871B2" w:rsidP="008871B2">
                  <w:pPr>
                    <w:pStyle w:val="TableBody"/>
                    <w:rPr>
                      <w:i/>
                    </w:rPr>
                  </w:pPr>
                  <w:r>
                    <w:t xml:space="preserve">DANSAMT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AE7A2B0"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53591C51" w14:textId="77777777" w:rsidR="008871B2" w:rsidRDefault="008871B2" w:rsidP="008871B2">
                  <w:pPr>
                    <w:pStyle w:val="TableBody"/>
                  </w:pPr>
                  <w:r>
                    <w:rPr>
                      <w:i/>
                    </w:rPr>
                    <w:t>Day-Ahead Non-Spin Amount per QSE</w:t>
                  </w:r>
                  <w:r>
                    <w:t xml:space="preserve">—QSE </w:t>
                  </w:r>
                  <w:r>
                    <w:rPr>
                      <w:i/>
                    </w:rPr>
                    <w:t>q</w:t>
                  </w:r>
                  <w:r>
                    <w:t>’s share of the DAM cost for Non-Spin for the Operating Hour.</w:t>
                  </w:r>
                </w:p>
              </w:tc>
            </w:tr>
            <w:tr w:rsidR="008871B2" w14:paraId="2DC60AF1"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4A360687" w14:textId="77777777" w:rsidR="008871B2" w:rsidRDefault="008871B2" w:rsidP="008871B2">
                  <w:pPr>
                    <w:pStyle w:val="TableBody"/>
                  </w:pPr>
                  <w:r>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15A5377F"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7E4EBD6D" w14:textId="71EBC264" w:rsidR="008871B2" w:rsidRDefault="008871B2" w:rsidP="008871B2">
                  <w:pPr>
                    <w:pStyle w:val="TableBody"/>
                  </w:pPr>
                  <w:r w:rsidRPr="00221A13">
                    <w:rPr>
                      <w:i/>
                    </w:rPr>
                    <w:t>Hourly Load Ratio Share per QSE</w:t>
                  </w:r>
                  <w:r>
                    <w:t>—The Real-Time LRS as defined in Section 6.6.2.4, QSE Load Ratio Share for an Operating Hour</w:t>
                  </w:r>
                  <w:r w:rsidR="00972E17">
                    <w:t>,</w:t>
                  </w:r>
                  <w:r>
                    <w:t xml:space="preserve"> for QSE </w:t>
                  </w:r>
                  <w:r>
                    <w:rPr>
                      <w:i/>
                    </w:rPr>
                    <w:t>q</w:t>
                  </w:r>
                  <w:r>
                    <w:t xml:space="preserve"> for the Operating Hour.</w:t>
                  </w:r>
                </w:p>
              </w:tc>
            </w:tr>
            <w:tr w:rsidR="008871B2" w14:paraId="55B2690A"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19E7B45" w14:textId="77777777" w:rsidR="008871B2" w:rsidRDefault="008871B2" w:rsidP="008871B2">
                  <w:pPr>
                    <w:pStyle w:val="TableBody"/>
                  </w:pPr>
                  <w:r>
                    <w:t xml:space="preserve">DAPCNSQTOT  </w:t>
                  </w:r>
                </w:p>
              </w:tc>
              <w:tc>
                <w:tcPr>
                  <w:tcW w:w="990" w:type="dxa"/>
                  <w:tcBorders>
                    <w:top w:val="single" w:sz="4" w:space="0" w:color="auto"/>
                    <w:left w:val="single" w:sz="4" w:space="0" w:color="auto"/>
                    <w:bottom w:val="single" w:sz="4" w:space="0" w:color="auto"/>
                    <w:right w:val="single" w:sz="4" w:space="0" w:color="auto"/>
                  </w:tcBorders>
                  <w:hideMark/>
                </w:tcPr>
                <w:p w14:paraId="57EBD6F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DA38859" w14:textId="44C576D9" w:rsidR="008871B2" w:rsidRDefault="008871B2" w:rsidP="008871B2">
                  <w:pPr>
                    <w:pStyle w:val="TableBody"/>
                  </w:pPr>
                  <w:r>
                    <w:rPr>
                      <w:i/>
                    </w:rPr>
                    <w:t>Day-Ahead Procured Capacity for Non-Spin Total</w:t>
                  </w:r>
                  <w:r>
                    <w:t>—The total Non-Spin capacity for all QSEs for all Non-Spin awarded and self-arranged in the DAM for the Operating Hour.</w:t>
                  </w:r>
                </w:p>
              </w:tc>
            </w:tr>
            <w:tr w:rsidR="008871B2" w14:paraId="64AB139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8749301" w14:textId="77777777" w:rsidR="008871B2" w:rsidRDefault="008871B2" w:rsidP="008871B2">
                  <w:pPr>
                    <w:pStyle w:val="TableBody"/>
                  </w:pPr>
                  <w:r>
                    <w:t xml:space="preserve">DASANSQ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B38563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6B4F84EB" w14:textId="77777777" w:rsidR="008871B2" w:rsidRDefault="008871B2" w:rsidP="008871B2">
                  <w:pPr>
                    <w:pStyle w:val="TableBody"/>
                  </w:pPr>
                  <w:r>
                    <w:rPr>
                      <w:i/>
                    </w:rPr>
                    <w:t>Day-Ahead Self-Arranged Non-Spin Quantity per QSE</w:t>
                  </w:r>
                  <w:r>
                    <w:t xml:space="preserve">—The self-arranged Non-Spin capacity submitted by QSE </w:t>
                  </w:r>
                  <w:r>
                    <w:rPr>
                      <w:i/>
                    </w:rPr>
                    <w:t>q</w:t>
                  </w:r>
                  <w:r>
                    <w:t xml:space="preserve"> before 1000 in the DAM for the Operating Hour.</w:t>
                  </w:r>
                </w:p>
              </w:tc>
            </w:tr>
            <w:tr w:rsidR="008871B2" w14:paraId="6CBA20D5"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121BA189"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4910CD26"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249B167B" w14:textId="77777777" w:rsidR="008871B2" w:rsidRDefault="008871B2" w:rsidP="008871B2">
                  <w:pPr>
                    <w:pStyle w:val="TableBody"/>
                  </w:pPr>
                  <w:r>
                    <w:t>A QSE.</w:t>
                  </w:r>
                </w:p>
              </w:tc>
            </w:tr>
            <w:tr w:rsidR="008871B2" w14:paraId="62C70B61"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3B8A7567" w14:textId="77777777" w:rsidR="008871B2" w:rsidRDefault="008871B2" w:rsidP="008871B2">
                  <w:pPr>
                    <w:pStyle w:val="TableBody"/>
                    <w:rPr>
                      <w:i/>
                    </w:rPr>
                  </w:pPr>
                  <w:r>
                    <w:rPr>
                      <w:i/>
                    </w:rPr>
                    <w:t>r</w:t>
                  </w:r>
                </w:p>
              </w:tc>
              <w:tc>
                <w:tcPr>
                  <w:tcW w:w="990" w:type="dxa"/>
                  <w:tcBorders>
                    <w:top w:val="single" w:sz="4" w:space="0" w:color="auto"/>
                    <w:left w:val="single" w:sz="4" w:space="0" w:color="auto"/>
                    <w:bottom w:val="single" w:sz="4" w:space="0" w:color="auto"/>
                    <w:right w:val="single" w:sz="4" w:space="0" w:color="auto"/>
                  </w:tcBorders>
                  <w:hideMark/>
                </w:tcPr>
                <w:p w14:paraId="49C6CB28"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6A6C9618" w14:textId="77777777" w:rsidR="008871B2" w:rsidRDefault="008871B2" w:rsidP="008871B2">
                  <w:pPr>
                    <w:pStyle w:val="TableBody"/>
                  </w:pPr>
                  <w:r>
                    <w:t>A Resource.</w:t>
                  </w:r>
                </w:p>
              </w:tc>
            </w:tr>
          </w:tbl>
          <w:p w14:paraId="090C8153" w14:textId="77777777" w:rsidR="008871B2" w:rsidRDefault="008871B2" w:rsidP="008871B2">
            <w:pPr>
              <w:pStyle w:val="BodyTextNumbered"/>
              <w:spacing w:before="240"/>
              <w:ind w:left="1440"/>
              <w:rPr>
                <w:iCs/>
              </w:rPr>
            </w:pPr>
            <w:r>
              <w:rPr>
                <w:iCs/>
              </w:rPr>
              <w:t>(e)</w:t>
            </w:r>
            <w:r>
              <w:rPr>
                <w:iCs/>
              </w:rPr>
              <w:tab/>
              <w:t>For ERCOT Contingency Reserve Service</w:t>
            </w:r>
            <w:r>
              <w:rPr>
                <w:i/>
                <w:sz w:val="20"/>
              </w:rPr>
              <w:t xml:space="preserve"> </w:t>
            </w:r>
            <w:r>
              <w:rPr>
                <w:iCs/>
              </w:rPr>
              <w:t>(ECRS), if applicable:</w:t>
            </w:r>
          </w:p>
          <w:p w14:paraId="3FCA1502" w14:textId="77777777" w:rsidR="008871B2" w:rsidRDefault="008871B2" w:rsidP="008871B2">
            <w:pPr>
              <w:pStyle w:val="BodyTextNumbered"/>
              <w:spacing w:after="0"/>
              <w:ind w:left="1440"/>
              <w:rPr>
                <w:iCs/>
              </w:rPr>
            </w:pPr>
            <w:r>
              <w:rPr>
                <w:iCs/>
              </w:rPr>
              <w:t xml:space="preserve">DARTPCECRAMT </w:t>
            </w:r>
            <w:r>
              <w:rPr>
                <w:i/>
                <w:iCs/>
                <w:vertAlign w:val="subscript"/>
              </w:rPr>
              <w:t>q</w:t>
            </w:r>
            <w:r>
              <w:rPr>
                <w:iCs/>
              </w:rPr>
              <w:t xml:space="preserve"> = (DAECRNOBL </w:t>
            </w:r>
            <w:r>
              <w:rPr>
                <w:i/>
                <w:iCs/>
                <w:vertAlign w:val="subscript"/>
              </w:rPr>
              <w:t>q</w:t>
            </w:r>
            <w:r>
              <w:rPr>
                <w:iCs/>
              </w:rPr>
              <w:t xml:space="preserve"> – DASAECRQ </w:t>
            </w:r>
            <w:r>
              <w:rPr>
                <w:i/>
                <w:iCs/>
                <w:vertAlign w:val="subscript"/>
              </w:rPr>
              <w:t>q</w:t>
            </w:r>
            <w:r>
              <w:rPr>
                <w:iCs/>
              </w:rPr>
              <w:t xml:space="preserve">) * DAECRPR –  </w:t>
            </w:r>
          </w:p>
          <w:p w14:paraId="4694CEFC" w14:textId="77777777" w:rsidR="008871B2" w:rsidRDefault="008871B2" w:rsidP="008871B2">
            <w:pPr>
              <w:pStyle w:val="BodyTextNumbered"/>
              <w:ind w:left="2880" w:firstLine="0"/>
              <w:rPr>
                <w:iCs/>
              </w:rPr>
            </w:pPr>
            <w:r>
              <w:rPr>
                <w:iCs/>
              </w:rPr>
              <w:t xml:space="preserve">      DAECRAMT </w:t>
            </w:r>
            <w:r>
              <w:rPr>
                <w:i/>
                <w:iCs/>
                <w:vertAlign w:val="subscript"/>
              </w:rPr>
              <w:t>q</w:t>
            </w:r>
          </w:p>
          <w:p w14:paraId="55D56A8B" w14:textId="77777777" w:rsidR="008871B2" w:rsidRDefault="008871B2" w:rsidP="008871B2">
            <w:pPr>
              <w:pStyle w:val="BodyTextNumbered"/>
              <w:rPr>
                <w:iCs/>
              </w:rPr>
            </w:pPr>
            <w:r>
              <w:rPr>
                <w:iCs/>
              </w:rPr>
              <w:lastRenderedPageBreak/>
              <w:t>Where:</w:t>
            </w:r>
          </w:p>
          <w:p w14:paraId="77653DE5" w14:textId="77777777" w:rsidR="008871B2" w:rsidRDefault="008871B2" w:rsidP="008871B2">
            <w:pPr>
              <w:pStyle w:val="BodyTextNumbered"/>
              <w:ind w:left="1440"/>
              <w:rPr>
                <w:iCs/>
              </w:rPr>
            </w:pPr>
            <w:r>
              <w:rPr>
                <w:iCs/>
              </w:rPr>
              <w:t xml:space="preserve">DAECRNOBL </w:t>
            </w:r>
            <w:r>
              <w:rPr>
                <w:i/>
                <w:iCs/>
                <w:vertAlign w:val="subscript"/>
              </w:rPr>
              <w:t>q</w:t>
            </w:r>
            <w:r>
              <w:rPr>
                <w:iCs/>
              </w:rPr>
              <w:t xml:space="preserve"> = DAPCECRQTOT * HLRS </w:t>
            </w:r>
            <w:r>
              <w:rPr>
                <w:i/>
                <w:iCs/>
                <w:vertAlign w:val="subscript"/>
              </w:rPr>
              <w:t>q</w:t>
            </w:r>
            <w:r>
              <w:rPr>
                <w:iCs/>
              </w:rPr>
              <w:t xml:space="preserve"> </w:t>
            </w:r>
          </w:p>
          <w:p w14:paraId="02046D83" w14:textId="0483E968" w:rsidR="008871B2" w:rsidRDefault="008871B2" w:rsidP="008871B2">
            <w:pPr>
              <w:pStyle w:val="BodyTextNumbered"/>
              <w:ind w:left="1440"/>
              <w:rPr>
                <w:iCs/>
              </w:rPr>
            </w:pPr>
            <w:r>
              <w:rPr>
                <w:iCs/>
              </w:rPr>
              <w:t xml:space="preserve">DAPCECRQTOT  =  </w:t>
            </w:r>
            <w:r w:rsidR="00443E82">
              <w:rPr>
                <w:iCs/>
                <w:position w:val="-22"/>
              </w:rPr>
              <w:object w:dxaOrig="285" w:dyaOrig="285" w14:anchorId="6CE49859">
                <v:shape id="_x0000_i1367" type="#_x0000_t75" style="width:30pt;height:30pt" o:ole="">
                  <v:imagedata r:id="rId446" o:title=""/>
                </v:shape>
                <o:OLEObject Type="Embed" ProgID="Equation.3" ShapeID="_x0000_i1367" DrawAspect="Content" ObjectID="_1815025555" r:id="rId456"/>
              </w:object>
            </w:r>
            <w:r>
              <w:rPr>
                <w:iCs/>
              </w:rPr>
              <w:t>(</w:t>
            </w:r>
            <w:r>
              <w:rPr>
                <w:iCs/>
                <w:position w:val="-18"/>
              </w:rPr>
              <w:object w:dxaOrig="285" w:dyaOrig="570" w14:anchorId="18B57C68">
                <v:shape id="_x0000_i1368" type="#_x0000_t75" style="width:12pt;height:30pt" o:ole="">
                  <v:imagedata r:id="rId387" o:title=""/>
                </v:shape>
                <o:OLEObject Type="Embed" ProgID="Equation.3" ShapeID="_x0000_i1368" DrawAspect="Content" ObjectID="_1815025556" r:id="rId457"/>
              </w:object>
            </w:r>
            <w:r>
              <w:rPr>
                <w:bCs/>
                <w:iCs/>
              </w:rPr>
              <w:t>PCECRR</w:t>
            </w:r>
            <w:r>
              <w:rPr>
                <w:bCs/>
                <w:i/>
                <w:iCs/>
              </w:rPr>
              <w:t xml:space="preserve"> </w:t>
            </w:r>
            <w:r>
              <w:rPr>
                <w:bCs/>
                <w:i/>
                <w:iCs/>
                <w:vertAlign w:val="subscript"/>
              </w:rPr>
              <w:t>r, q, DAM</w:t>
            </w:r>
            <w:r>
              <w:rPr>
                <w:iCs/>
              </w:rPr>
              <w:t xml:space="preserve"> + DAECROAWD </w:t>
            </w:r>
            <w:r>
              <w:rPr>
                <w:i/>
                <w:iCs/>
                <w:vertAlign w:val="subscript"/>
              </w:rPr>
              <w:t>q</w:t>
            </w:r>
            <w:r>
              <w:rPr>
                <w:iCs/>
              </w:rPr>
              <w:t xml:space="preserve"> + DASAECRQ </w:t>
            </w:r>
            <w:r>
              <w:rPr>
                <w:i/>
                <w:iCs/>
                <w:vertAlign w:val="subscript"/>
              </w:rPr>
              <w:t>q</w:t>
            </w:r>
            <w:r>
              <w:rPr>
                <w:iCs/>
              </w:rPr>
              <w:t>)</w:t>
            </w:r>
          </w:p>
          <w:p w14:paraId="7EE9DCAE" w14:textId="77777777" w:rsidR="008871B2" w:rsidRDefault="008871B2" w:rsidP="008871B2">
            <w:pPr>
              <w:rPr>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883"/>
              <w:gridCol w:w="6248"/>
            </w:tblGrid>
            <w:tr w:rsidR="008871B2" w14:paraId="69AF9A2A" w14:textId="77777777" w:rsidTr="008871B2">
              <w:trPr>
                <w:cantSplit/>
                <w:tblHeader/>
              </w:trPr>
              <w:tc>
                <w:tcPr>
                  <w:tcW w:w="1973" w:type="dxa"/>
                  <w:tcBorders>
                    <w:top w:val="single" w:sz="4" w:space="0" w:color="auto"/>
                    <w:left w:val="single" w:sz="4" w:space="0" w:color="auto"/>
                    <w:bottom w:val="single" w:sz="4" w:space="0" w:color="auto"/>
                    <w:right w:val="single" w:sz="4" w:space="0" w:color="auto"/>
                  </w:tcBorders>
                  <w:hideMark/>
                </w:tcPr>
                <w:p w14:paraId="6CC3F1DA" w14:textId="77777777" w:rsidR="008871B2" w:rsidRPr="008E28C2" w:rsidRDefault="008871B2" w:rsidP="008871B2">
                  <w:pPr>
                    <w:pStyle w:val="TableHead"/>
                  </w:pPr>
                  <w:r w:rsidRPr="00221A13">
                    <w:rPr>
                      <w:iCs w:val="0"/>
                    </w:rPr>
                    <w:t>Variable</w:t>
                  </w:r>
                </w:p>
              </w:tc>
              <w:tc>
                <w:tcPr>
                  <w:tcW w:w="900" w:type="dxa"/>
                  <w:tcBorders>
                    <w:top w:val="single" w:sz="4" w:space="0" w:color="auto"/>
                    <w:left w:val="single" w:sz="4" w:space="0" w:color="auto"/>
                    <w:bottom w:val="single" w:sz="4" w:space="0" w:color="auto"/>
                    <w:right w:val="single" w:sz="4" w:space="0" w:color="auto"/>
                  </w:tcBorders>
                  <w:hideMark/>
                </w:tcPr>
                <w:p w14:paraId="342225AB"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1D0BD323" w14:textId="77777777" w:rsidR="008871B2" w:rsidRDefault="008871B2" w:rsidP="008871B2">
                  <w:pPr>
                    <w:pStyle w:val="TableHead"/>
                  </w:pPr>
                  <w:r>
                    <w:t>Description</w:t>
                  </w:r>
                </w:p>
              </w:tc>
            </w:tr>
            <w:tr w:rsidR="008871B2" w14:paraId="3C1E0680"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10BA1CCB" w14:textId="77777777" w:rsidR="008871B2" w:rsidRPr="008E28C2" w:rsidRDefault="008871B2" w:rsidP="008871B2">
                  <w:pPr>
                    <w:pStyle w:val="TableBody"/>
                  </w:pPr>
                  <w:r w:rsidRPr="00221A13">
                    <w:t xml:space="preserve">DARTPCECRAMT </w:t>
                  </w:r>
                  <w:r w:rsidRPr="00221A13">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4EEF61ED"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508C9431" w14:textId="2A1BDA2D" w:rsidR="008871B2" w:rsidRDefault="008871B2" w:rsidP="008871B2">
                  <w:pPr>
                    <w:pStyle w:val="TableBody"/>
                  </w:pPr>
                  <w:r>
                    <w:rPr>
                      <w:i/>
                    </w:rPr>
                    <w:t xml:space="preserve">Day-Ahead Updated Real-Time Procured Capacity for </w:t>
                  </w:r>
                  <w:r>
                    <w:rPr>
                      <w:i/>
                      <w:iCs w:val="0"/>
                    </w:rPr>
                    <w:t xml:space="preserve">ERCOT Contingency Reserve Service </w:t>
                  </w:r>
                  <w:r>
                    <w:rPr>
                      <w:i/>
                    </w:rPr>
                    <w:t>Amount by QSE</w:t>
                  </w:r>
                  <w:r w:rsidR="00B36370" w:rsidRPr="00A552C3">
                    <w:t>—</w:t>
                  </w:r>
                  <w:r>
                    <w:t xml:space="preserve">The payment or charge to QSE </w:t>
                  </w:r>
                  <w:r w:rsidRPr="00221A13">
                    <w:rPr>
                      <w:i/>
                    </w:rPr>
                    <w:t>q</w:t>
                  </w:r>
                  <w:r>
                    <w:t xml:space="preserve"> for ECRS for the re-calculated Real-Time obligation for the Operating Hour.</w:t>
                  </w:r>
                </w:p>
              </w:tc>
            </w:tr>
            <w:tr w:rsidR="008871B2" w14:paraId="7C7C1F9C"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66EC2926" w14:textId="77777777" w:rsidR="008871B2" w:rsidRDefault="008871B2" w:rsidP="008871B2">
                  <w:pPr>
                    <w:pStyle w:val="TableBody"/>
                  </w:pPr>
                  <w:r>
                    <w:t>DAECRPR</w:t>
                  </w:r>
                </w:p>
              </w:tc>
              <w:tc>
                <w:tcPr>
                  <w:tcW w:w="900" w:type="dxa"/>
                  <w:tcBorders>
                    <w:top w:val="single" w:sz="4" w:space="0" w:color="auto"/>
                    <w:left w:val="single" w:sz="4" w:space="0" w:color="auto"/>
                    <w:bottom w:val="single" w:sz="4" w:space="0" w:color="auto"/>
                    <w:right w:val="single" w:sz="4" w:space="0" w:color="auto"/>
                  </w:tcBorders>
                  <w:hideMark/>
                </w:tcPr>
                <w:p w14:paraId="0CF3900B"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76E9A56C" w14:textId="77777777" w:rsidR="008871B2" w:rsidRDefault="008871B2" w:rsidP="008871B2">
                  <w:pPr>
                    <w:pStyle w:val="TableBody"/>
                    <w:rPr>
                      <w:i/>
                    </w:rPr>
                  </w:pPr>
                  <w:r>
                    <w:rPr>
                      <w:i/>
                    </w:rPr>
                    <w:t>Day-Ahead ERCOT Contingency Reserve Price</w:t>
                  </w:r>
                  <w:r>
                    <w:t>—The DAM ECRS price for the Operating Hour.</w:t>
                  </w:r>
                </w:p>
              </w:tc>
            </w:tr>
            <w:tr w:rsidR="008871B2" w14:paraId="1E1502F8"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40D59BC8" w14:textId="77777777" w:rsidR="008871B2" w:rsidRDefault="008871B2" w:rsidP="008871B2">
                  <w:pPr>
                    <w:pStyle w:val="TableBody"/>
                  </w:pPr>
                  <w:r>
                    <w:t>DAECRNOBL</w:t>
                  </w:r>
                  <w:r>
                    <w:rPr>
                      <w:vertAlign w:val="subscript"/>
                    </w:rPr>
                    <w:t xml:space="preserve"> </w:t>
                  </w:r>
                  <w:r>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5DC62816"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5FCCB6E" w14:textId="763B2964" w:rsidR="008871B2" w:rsidRDefault="008871B2" w:rsidP="00B21E3A">
                  <w:pPr>
                    <w:pStyle w:val="TableBody"/>
                  </w:pPr>
                  <w:r>
                    <w:rPr>
                      <w:i/>
                    </w:rPr>
                    <w:t>Day-Ahead ERCOT Contingency Reserve Service New Obligation per QSE</w:t>
                  </w:r>
                  <w:r>
                    <w:t xml:space="preserve">—The updated ECRS Ancillary Service Obligation in Real-Time for QSE </w:t>
                  </w:r>
                  <w:r>
                    <w:rPr>
                      <w:i/>
                    </w:rPr>
                    <w:t>q</w:t>
                  </w:r>
                  <w:r>
                    <w:t xml:space="preserve"> for the Operating Hour.</w:t>
                  </w:r>
                </w:p>
              </w:tc>
            </w:tr>
            <w:tr w:rsidR="008871B2" w14:paraId="39808B3E"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271FACED" w14:textId="77777777" w:rsidR="008871B2" w:rsidRDefault="008871B2" w:rsidP="008871B2">
                  <w:pPr>
                    <w:pStyle w:val="TableBody"/>
                    <w:rPr>
                      <w:iCs w:val="0"/>
                    </w:rPr>
                  </w:pPr>
                  <w:r>
                    <w:t xml:space="preserve">PCECRR </w:t>
                  </w:r>
                  <w:r>
                    <w:rPr>
                      <w:i/>
                      <w:vertAlign w:val="subscript"/>
                    </w:rPr>
                    <w:t>r,</w:t>
                  </w:r>
                  <w:r>
                    <w:rPr>
                      <w:i/>
                    </w:rPr>
                    <w:t xml:space="preserve"> </w:t>
                  </w:r>
                  <w:r>
                    <w:rPr>
                      <w:i/>
                      <w:vertAlign w:val="subscript"/>
                    </w:rPr>
                    <w:t>q, DAM</w:t>
                  </w:r>
                </w:p>
              </w:tc>
              <w:tc>
                <w:tcPr>
                  <w:tcW w:w="900" w:type="dxa"/>
                  <w:tcBorders>
                    <w:top w:val="single" w:sz="4" w:space="0" w:color="auto"/>
                    <w:left w:val="single" w:sz="4" w:space="0" w:color="auto"/>
                    <w:bottom w:val="single" w:sz="4" w:space="0" w:color="auto"/>
                    <w:right w:val="single" w:sz="4" w:space="0" w:color="auto"/>
                  </w:tcBorders>
                  <w:hideMark/>
                </w:tcPr>
                <w:p w14:paraId="0539C8DB" w14:textId="77777777" w:rsidR="008871B2" w:rsidRDefault="008871B2" w:rsidP="008871B2">
                  <w:pPr>
                    <w:pStyle w:val="TableBody"/>
                    <w:rPr>
                      <w:iCs w:val="0"/>
                    </w:rPr>
                  </w:pPr>
                  <w:r>
                    <w:t>MW</w:t>
                  </w:r>
                </w:p>
              </w:tc>
              <w:tc>
                <w:tcPr>
                  <w:tcW w:w="6840" w:type="dxa"/>
                  <w:tcBorders>
                    <w:top w:val="single" w:sz="4" w:space="0" w:color="auto"/>
                    <w:left w:val="single" w:sz="4" w:space="0" w:color="auto"/>
                    <w:bottom w:val="single" w:sz="4" w:space="0" w:color="auto"/>
                    <w:right w:val="single" w:sz="4" w:space="0" w:color="auto"/>
                  </w:tcBorders>
                  <w:hideMark/>
                </w:tcPr>
                <w:p w14:paraId="14DB3B59" w14:textId="77777777" w:rsidR="008871B2" w:rsidRDefault="008871B2" w:rsidP="008871B2">
                  <w:pPr>
                    <w:pStyle w:val="TableBody"/>
                    <w:rPr>
                      <w:i/>
                    </w:rPr>
                  </w:pPr>
                  <w:r>
                    <w:rPr>
                      <w:i/>
                      <w:iCs w:val="0"/>
                    </w:rPr>
                    <w:t>Procured Capacity for ERCOT Contingency Reserve Service per Resource per QSE in DAM</w:t>
                  </w:r>
                  <w:r>
                    <w:rPr>
                      <w:iCs w:val="0"/>
                    </w:rPr>
                    <w:t xml:space="preserve">—The ECRS capacity awarded to QSE </w:t>
                  </w:r>
                  <w:r>
                    <w:rPr>
                      <w:i/>
                      <w:iCs w:val="0"/>
                    </w:rPr>
                    <w:t>q</w:t>
                  </w:r>
                  <w:r>
                    <w:rPr>
                      <w:iCs w:val="0"/>
                    </w:rPr>
                    <w:t xml:space="preserve"> in the DAM for Resource </w:t>
                  </w:r>
                  <w:r>
                    <w:rPr>
                      <w:i/>
                      <w:iCs w:val="0"/>
                    </w:rPr>
                    <w:t>r</w:t>
                  </w:r>
                  <w:r>
                    <w:rPr>
                      <w:iCs w:val="0"/>
                    </w:rPr>
                    <w:t xml:space="preserve"> for the </w:t>
                  </w:r>
                  <w:r>
                    <w:t>Operating Hour</w:t>
                  </w:r>
                  <w:r>
                    <w:rPr>
                      <w:iCs w:val="0"/>
                    </w:rPr>
                    <w:t xml:space="preserve">.  Where for a Combined Cycle Train, the Resource </w:t>
                  </w:r>
                  <w:r>
                    <w:rPr>
                      <w:i/>
                      <w:iCs w:val="0"/>
                    </w:rPr>
                    <w:t xml:space="preserve">r </w:t>
                  </w:r>
                  <w:r>
                    <w:rPr>
                      <w:iCs w:val="0"/>
                    </w:rPr>
                    <w:t>is a Combined Cycle Generation Resource within the Combined Cycle Train.</w:t>
                  </w:r>
                </w:p>
              </w:tc>
            </w:tr>
            <w:tr w:rsidR="008871B2" w14:paraId="0AC12D9F"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136A8F0F" w14:textId="77777777" w:rsidR="008871B2" w:rsidRDefault="008871B2" w:rsidP="008871B2">
                  <w:pPr>
                    <w:pStyle w:val="TableBody"/>
                    <w:rPr>
                      <w:iCs w:val="0"/>
                    </w:rPr>
                  </w:pPr>
                  <w:r>
                    <w:t>DAECROAWD</w:t>
                  </w:r>
                  <w:r>
                    <w:rPr>
                      <w:i/>
                      <w:iCs w:val="0"/>
                    </w:rPr>
                    <w:t xml:space="preserve"> </w:t>
                  </w:r>
                  <w:r>
                    <w:rPr>
                      <w:i/>
                      <w:iCs w:val="0"/>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79FEFB8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6036186" w14:textId="44BBF046" w:rsidR="008871B2" w:rsidRDefault="008871B2" w:rsidP="008871B2">
                  <w:pPr>
                    <w:pStyle w:val="TableBody"/>
                    <w:rPr>
                      <w:i/>
                    </w:rPr>
                  </w:pPr>
                  <w:r>
                    <w:rPr>
                      <w:i/>
                    </w:rPr>
                    <w:t xml:space="preserve">Day-Ahead </w:t>
                  </w:r>
                  <w:r>
                    <w:rPr>
                      <w:i/>
                      <w:iCs w:val="0"/>
                    </w:rPr>
                    <w:t>ERCOT Contingency Reserve Service Only</w:t>
                  </w:r>
                  <w:r>
                    <w:rPr>
                      <w:i/>
                    </w:rPr>
                    <w:t xml:space="preserve"> Award for the QSE—</w:t>
                  </w:r>
                  <w:r>
                    <w:t xml:space="preserve">The </w:t>
                  </w:r>
                  <w:r>
                    <w:rPr>
                      <w:iCs w:val="0"/>
                    </w:rPr>
                    <w:t>ECRS</w:t>
                  </w:r>
                  <w:r>
                    <w:t xml:space="preserve"> Only capacity awarded in the DAM to QSE </w:t>
                  </w:r>
                  <w:r>
                    <w:rPr>
                      <w:i/>
                    </w:rPr>
                    <w:t>q</w:t>
                  </w:r>
                  <w:r>
                    <w:t xml:space="preserve"> for the Operating Hour.  </w:t>
                  </w:r>
                </w:p>
              </w:tc>
            </w:tr>
            <w:tr w:rsidR="008871B2" w14:paraId="0542E79E"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2FFFDB5E" w14:textId="77777777" w:rsidR="008871B2" w:rsidRDefault="008871B2" w:rsidP="008871B2">
                  <w:pPr>
                    <w:pStyle w:val="TableBody"/>
                    <w:rPr>
                      <w:i/>
                    </w:rPr>
                  </w:pPr>
                  <w:r>
                    <w:rPr>
                      <w:iCs w:val="0"/>
                    </w:rPr>
                    <w:t xml:space="preserve">DAECRAMT </w:t>
                  </w:r>
                  <w:r>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058F7E3E"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6CEAC2DF" w14:textId="77777777" w:rsidR="008871B2" w:rsidRDefault="008871B2" w:rsidP="008871B2">
                  <w:pPr>
                    <w:pStyle w:val="TableBody"/>
                  </w:pPr>
                  <w:r>
                    <w:rPr>
                      <w:i/>
                    </w:rPr>
                    <w:t>Day-Ahead ERCOT Contingency Reserve Amount per QSE</w:t>
                  </w:r>
                  <w:r>
                    <w:t xml:space="preserve">—QSE </w:t>
                  </w:r>
                  <w:r>
                    <w:rPr>
                      <w:i/>
                    </w:rPr>
                    <w:t>q</w:t>
                  </w:r>
                  <w:r>
                    <w:t>’s share of the DAM cost for ECRS for the Operating Hour.</w:t>
                  </w:r>
                </w:p>
              </w:tc>
            </w:tr>
            <w:tr w:rsidR="008871B2" w14:paraId="17F78D5B"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72BC3C96" w14:textId="77777777" w:rsidR="008871B2" w:rsidRDefault="008871B2" w:rsidP="008871B2">
                  <w:pPr>
                    <w:pStyle w:val="TableBody"/>
                  </w:pPr>
                  <w:r>
                    <w:t>HLRS</w:t>
                  </w:r>
                  <w:r>
                    <w:rPr>
                      <w:i/>
                      <w:vertAlign w:val="subscript"/>
                    </w:rPr>
                    <w:t xml:space="preserve"> q</w:t>
                  </w:r>
                </w:p>
              </w:tc>
              <w:tc>
                <w:tcPr>
                  <w:tcW w:w="900" w:type="dxa"/>
                  <w:tcBorders>
                    <w:top w:val="single" w:sz="4" w:space="0" w:color="auto"/>
                    <w:left w:val="single" w:sz="4" w:space="0" w:color="auto"/>
                    <w:bottom w:val="single" w:sz="4" w:space="0" w:color="auto"/>
                    <w:right w:val="single" w:sz="4" w:space="0" w:color="auto"/>
                  </w:tcBorders>
                  <w:hideMark/>
                </w:tcPr>
                <w:p w14:paraId="3A6D3C6E"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0BB41E35" w14:textId="1B789EDD" w:rsidR="008871B2" w:rsidRDefault="008871B2" w:rsidP="008871B2">
                  <w:pPr>
                    <w:pStyle w:val="TableBody"/>
                  </w:pPr>
                  <w:r>
                    <w:rPr>
                      <w:i/>
                    </w:rPr>
                    <w:t>Hourly Load Ratio Share per QSE</w:t>
                  </w:r>
                  <w:r>
                    <w:t>—The Real-Time LRS as defined in Section 6.6.2.4, QSE Load Ratio Share for an Operating Hour</w:t>
                  </w:r>
                  <w:r w:rsidR="00CA3010">
                    <w:t>,</w:t>
                  </w:r>
                  <w:r>
                    <w:t xml:space="preserve"> for QSE </w:t>
                  </w:r>
                  <w:r>
                    <w:rPr>
                      <w:i/>
                    </w:rPr>
                    <w:t>q</w:t>
                  </w:r>
                  <w:r>
                    <w:t xml:space="preserve"> for the Operating Hour.</w:t>
                  </w:r>
                </w:p>
              </w:tc>
            </w:tr>
            <w:tr w:rsidR="008871B2" w14:paraId="6F1B4047"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0EF69515" w14:textId="77777777" w:rsidR="008871B2" w:rsidRDefault="008871B2" w:rsidP="008871B2">
                  <w:pPr>
                    <w:pStyle w:val="TableBody"/>
                  </w:pPr>
                  <w:r>
                    <w:t xml:space="preserve">DAPCECRQTOT  </w:t>
                  </w:r>
                </w:p>
              </w:tc>
              <w:tc>
                <w:tcPr>
                  <w:tcW w:w="900" w:type="dxa"/>
                  <w:tcBorders>
                    <w:top w:val="single" w:sz="4" w:space="0" w:color="auto"/>
                    <w:left w:val="single" w:sz="4" w:space="0" w:color="auto"/>
                    <w:bottom w:val="single" w:sz="4" w:space="0" w:color="auto"/>
                    <w:right w:val="single" w:sz="4" w:space="0" w:color="auto"/>
                  </w:tcBorders>
                  <w:hideMark/>
                </w:tcPr>
                <w:p w14:paraId="24C202E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1F50059" w14:textId="77777777" w:rsidR="008871B2" w:rsidRDefault="008871B2" w:rsidP="008871B2">
                  <w:pPr>
                    <w:pStyle w:val="TableBody"/>
                  </w:pPr>
                  <w:r>
                    <w:rPr>
                      <w:i/>
                    </w:rPr>
                    <w:t>Day-Ahead Procured Capacity for ERCOT Contingency Reserve Total</w:t>
                  </w:r>
                  <w:r>
                    <w:t>—The total ECRS capacity for all QSEs for all ECRS awarded and self-arranged in the DAM for the Operating Hour.</w:t>
                  </w:r>
                </w:p>
              </w:tc>
            </w:tr>
            <w:tr w:rsidR="008871B2" w14:paraId="00C3A0D9"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037DDDDB" w14:textId="77777777" w:rsidR="008871B2" w:rsidRDefault="008871B2" w:rsidP="008871B2">
                  <w:pPr>
                    <w:pStyle w:val="TableBody"/>
                  </w:pPr>
                  <w:r>
                    <w:t xml:space="preserve">DASAECRQ </w:t>
                  </w:r>
                  <w:r>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0EB4C9FE"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8B5C7ED" w14:textId="77777777" w:rsidR="008871B2" w:rsidRDefault="008871B2" w:rsidP="008871B2">
                  <w:pPr>
                    <w:pStyle w:val="TableBody"/>
                  </w:pPr>
                  <w:r>
                    <w:rPr>
                      <w:i/>
                    </w:rPr>
                    <w:t>Day-Ahead Self-Arranged ERCOT Contingency Reserve Quantity per QSE</w:t>
                  </w:r>
                  <w:r>
                    <w:t xml:space="preserve">—The self-arranged ECRS capacity submitted by QSE </w:t>
                  </w:r>
                  <w:r>
                    <w:rPr>
                      <w:i/>
                    </w:rPr>
                    <w:t>q</w:t>
                  </w:r>
                  <w:r>
                    <w:t xml:space="preserve"> before 1000 in the DAM for the Operating Hour.</w:t>
                  </w:r>
                </w:p>
              </w:tc>
            </w:tr>
            <w:tr w:rsidR="008871B2" w14:paraId="44EC7ABD"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6BFE5ED3" w14:textId="77777777" w:rsidR="008871B2" w:rsidRDefault="008871B2" w:rsidP="008871B2">
                  <w:pPr>
                    <w:pStyle w:val="TableBody"/>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1888B520"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4F993E01" w14:textId="77777777" w:rsidR="008871B2" w:rsidRDefault="008871B2" w:rsidP="008871B2">
                  <w:pPr>
                    <w:pStyle w:val="TableBody"/>
                  </w:pPr>
                  <w:r>
                    <w:t>A QSE.</w:t>
                  </w:r>
                </w:p>
              </w:tc>
            </w:tr>
            <w:tr w:rsidR="008871B2" w14:paraId="59CC13B1"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3F2D7E5A" w14:textId="77777777" w:rsidR="008871B2" w:rsidRDefault="008871B2" w:rsidP="008871B2">
                  <w:pPr>
                    <w:pStyle w:val="TableBody"/>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4F55066E"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0BE48B99" w14:textId="77777777" w:rsidR="008871B2" w:rsidRDefault="008871B2" w:rsidP="008871B2">
                  <w:pPr>
                    <w:pStyle w:val="TableBody"/>
                  </w:pPr>
                  <w:r>
                    <w:t>A Resource.</w:t>
                  </w:r>
                </w:p>
              </w:tc>
            </w:tr>
          </w:tbl>
          <w:p w14:paraId="220A0042" w14:textId="0AE94971" w:rsidR="008871B2" w:rsidRPr="00B06583" w:rsidRDefault="008871B2" w:rsidP="008871B2">
            <w:pPr>
              <w:pStyle w:val="Instructions"/>
              <w:spacing w:before="120"/>
            </w:pPr>
          </w:p>
        </w:tc>
      </w:tr>
    </w:tbl>
    <w:p w14:paraId="01B72A0B" w14:textId="77777777" w:rsidR="001F04FD" w:rsidRPr="0080555B" w:rsidRDefault="001F04FD" w:rsidP="001F04FD">
      <w:pPr>
        <w:pStyle w:val="H3"/>
        <w:spacing w:before="480"/>
        <w:ind w:left="0" w:firstLine="0"/>
      </w:pPr>
      <w:bookmarkStart w:id="2766" w:name="_Hlk174606168"/>
      <w:bookmarkStart w:id="2767" w:name="_Hlk102565182"/>
      <w:bookmarkStart w:id="2768" w:name="_Toc204411748"/>
      <w:r w:rsidRPr="0080555B">
        <w:lastRenderedPageBreak/>
        <w:t>6.7.</w:t>
      </w:r>
      <w:r>
        <w:t>5</w:t>
      </w:r>
      <w:r w:rsidRPr="0080555B">
        <w:tab/>
        <w:t>Real-Time Ancillary Service Imbalance Payment or Charge</w:t>
      </w:r>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68"/>
    </w:p>
    <w:p w14:paraId="6AD49793" w14:textId="77777777" w:rsidR="001F04FD" w:rsidRDefault="001F04FD" w:rsidP="001F04FD">
      <w:pPr>
        <w:pStyle w:val="BodyTextNumbered"/>
        <w:rPr>
          <w:color w:val="000000"/>
        </w:rPr>
      </w:pPr>
      <w:r w:rsidRPr="0080555B">
        <w:t>(1)</w:t>
      </w:r>
      <w:r w:rsidRPr="0080555B">
        <w:tab/>
      </w:r>
      <w:r w:rsidRPr="0080555B">
        <w:rPr>
          <w:color w:val="000000"/>
        </w:rPr>
        <w:t xml:space="preserve">Based on the </w:t>
      </w:r>
      <w:r>
        <w:rPr>
          <w:color w:val="000000"/>
        </w:rPr>
        <w:t xml:space="preserve">Real-Time On-Line Reliability Deployment Price Adders, </w:t>
      </w:r>
      <w:r w:rsidRPr="0080555B">
        <w:rPr>
          <w:color w:val="000000"/>
        </w:rPr>
        <w:t>Real-Time On-Line Reserve Price Adders and a Real-Time Off-Line Reserve Price Adders, ERCOT shall calculate Ancillary Service imbalance Settlement, which will make Resources indifferent to the utilization of their capacity for energy or Ancillary Service reserves, as set forth in this Section.</w:t>
      </w:r>
    </w:p>
    <w:p w14:paraId="78C7C95A" w14:textId="77777777" w:rsidR="001F04FD" w:rsidRPr="0080555B" w:rsidRDefault="001F04FD" w:rsidP="001F04FD">
      <w:pPr>
        <w:pStyle w:val="BodyTextNumbered"/>
      </w:pPr>
      <w:r w:rsidRPr="0080555B">
        <w:lastRenderedPageBreak/>
        <w:t>(2)</w:t>
      </w:r>
      <w:r w:rsidRPr="0080555B">
        <w:tab/>
        <w:t>The payment or charge to each QSE for Ancillary Service imbalance is calculated based on the price calculation set forth in paragraph (</w:t>
      </w:r>
      <w:r>
        <w:t>1</w:t>
      </w:r>
      <w:r w:rsidR="008301B1">
        <w:t>2</w:t>
      </w:r>
      <w:r w:rsidRPr="0080555B">
        <w:t>) of Section 6.5.7.3, Security Constrained Economic Dispatch, and applied to the following amounts for each QSE:</w:t>
      </w:r>
    </w:p>
    <w:p w14:paraId="238488A5" w14:textId="77777777" w:rsidR="001F04FD" w:rsidRPr="0080555B" w:rsidRDefault="001F04FD" w:rsidP="001F04FD">
      <w:pPr>
        <w:pStyle w:val="List"/>
      </w:pPr>
      <w:r w:rsidRPr="0080555B">
        <w:t>(a)</w:t>
      </w:r>
      <w:r w:rsidRPr="0080555B">
        <w:tab/>
        <w:t xml:space="preserve">The amount of Real-Time </w:t>
      </w:r>
      <w:r>
        <w:t>M</w:t>
      </w:r>
      <w:r w:rsidRPr="0080555B">
        <w:t xml:space="preserve">etered </w:t>
      </w:r>
      <w:r>
        <w:t>Generation</w:t>
      </w:r>
      <w:r w:rsidRPr="0080555B">
        <w:t xml:space="preserve"> from all Generation Resources, represented by the QSE for the 15-minute Settlement Interval;</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800062" w14:paraId="4C986BBC" w14:textId="77777777" w:rsidTr="000169BA">
        <w:trPr>
          <w:trHeight w:val="206"/>
        </w:trPr>
        <w:tc>
          <w:tcPr>
            <w:tcW w:w="9576" w:type="dxa"/>
            <w:shd w:val="pct12" w:color="auto" w:fill="auto"/>
          </w:tcPr>
          <w:p w14:paraId="37DE5F88" w14:textId="14CC7E7E" w:rsidR="00800062" w:rsidRDefault="00800062" w:rsidP="000169BA">
            <w:pPr>
              <w:pStyle w:val="Instructions"/>
              <w:spacing w:before="120"/>
            </w:pPr>
            <w:r>
              <w:t>[NPRR987:  Replace paragraph (a) above with the following upon system implementation:]</w:t>
            </w:r>
          </w:p>
          <w:p w14:paraId="6903A9DD" w14:textId="4729CA84" w:rsidR="00800062" w:rsidRPr="008F39F7" w:rsidRDefault="00800062" w:rsidP="00800062">
            <w:pPr>
              <w:spacing w:after="240"/>
              <w:ind w:left="1440" w:hanging="720"/>
            </w:pPr>
            <w:r w:rsidRPr="0021367F">
              <w:t>(a)</w:t>
            </w:r>
            <w:r w:rsidRPr="0021367F">
              <w:tab/>
              <w:t>The amount of Real-Time Metered Generation from all Generation Resources</w:t>
            </w:r>
            <w:r>
              <w:t xml:space="preserve"> and Energy Storage Resources (ESRs)</w:t>
            </w:r>
            <w:r w:rsidRPr="0021367F">
              <w:t>, represented by the QSE for the 15-minute Settlement Interval;</w:t>
            </w:r>
          </w:p>
        </w:tc>
      </w:tr>
    </w:tbl>
    <w:p w14:paraId="2E7ADAAA" w14:textId="0645411C" w:rsidR="001F04FD" w:rsidRDefault="001F04FD" w:rsidP="001B11AD">
      <w:pPr>
        <w:pStyle w:val="List"/>
        <w:spacing w:before="240"/>
      </w:pPr>
      <w:r w:rsidRPr="0080555B">
        <w:t>(b)</w:t>
      </w:r>
      <w:r w:rsidRPr="0080555B">
        <w:tab/>
        <w:t xml:space="preserve">The amount of On-Line capacity based on the telemetered High Sustained Limit (HSL) for all On-Line Generation Resources, the </w:t>
      </w:r>
      <w:r w:rsidRPr="00540AB6">
        <w:t xml:space="preserve">telemetered consumption from Load Resources with a validated </w:t>
      </w:r>
      <w:r w:rsidRPr="0080555B">
        <w:t xml:space="preserve">Ancillary Service Schedule for </w:t>
      </w:r>
      <w:r w:rsidR="006E1ADE">
        <w:t xml:space="preserve">ECRS or </w:t>
      </w:r>
      <w:r w:rsidRPr="0080555B">
        <w:t>RRS controlled by high-set under-frequency relay</w:t>
      </w:r>
      <w:r w:rsidR="00013237">
        <w:t xml:space="preserve"> or Non-Spin</w:t>
      </w:r>
      <w:r w:rsidRPr="0080555B">
        <w:t>, and the capacity from Controllable Load Resources available to SCED;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4007D1" w14:paraId="075DECE3" w14:textId="77777777" w:rsidTr="00060778">
        <w:trPr>
          <w:trHeight w:val="206"/>
        </w:trPr>
        <w:tc>
          <w:tcPr>
            <w:tcW w:w="9576" w:type="dxa"/>
            <w:shd w:val="pct12" w:color="auto" w:fill="auto"/>
          </w:tcPr>
          <w:p w14:paraId="3A23727E" w14:textId="6C935A8C" w:rsidR="004007D1" w:rsidRDefault="004007D1" w:rsidP="00060778">
            <w:pPr>
              <w:pStyle w:val="Instructions"/>
              <w:spacing w:before="120"/>
            </w:pPr>
            <w:r>
              <w:t>[</w:t>
            </w:r>
            <w:r w:rsidR="00800062">
              <w:t>NPRR987</w:t>
            </w:r>
            <w:r>
              <w:t>:  Replace</w:t>
            </w:r>
            <w:r w:rsidR="00800062">
              <w:t xml:space="preserve"> </w:t>
            </w:r>
            <w:r>
              <w:t>paragraph (b) above with the following upon system implementation:]</w:t>
            </w:r>
          </w:p>
          <w:p w14:paraId="7CEC113B" w14:textId="63C49B36" w:rsidR="004007D1" w:rsidRPr="008F39F7" w:rsidRDefault="004007D1" w:rsidP="004007D1">
            <w:pPr>
              <w:pStyle w:val="List"/>
            </w:pPr>
            <w:r w:rsidRPr="0080555B">
              <w:t>(b)</w:t>
            </w:r>
            <w:r w:rsidRPr="0080555B">
              <w:tab/>
              <w:t>The amount of On-Line capacity based on the telemetered High Sustained Limit (HSL) for all On-Line Generation Resources</w:t>
            </w:r>
            <w:r w:rsidR="00800062">
              <w:t xml:space="preserve"> and ESRs</w:t>
            </w:r>
            <w:r w:rsidRPr="0080555B">
              <w:t xml:space="preserve">, the </w:t>
            </w:r>
            <w:r w:rsidRPr="00540AB6">
              <w:t xml:space="preserve">telemetered consumption from Load Resources with a validated </w:t>
            </w:r>
            <w:r w:rsidRPr="0080555B">
              <w:t xml:space="preserve">Ancillary Service Schedule for </w:t>
            </w:r>
            <w:r>
              <w:t xml:space="preserve">ECRS or </w:t>
            </w:r>
            <w:r w:rsidRPr="0080555B">
              <w:t>RRS controlled by high-set under-frequency relay</w:t>
            </w:r>
            <w:r w:rsidR="005009AD">
              <w:t xml:space="preserve"> or Non-Spin</w:t>
            </w:r>
            <w:r w:rsidRPr="0080555B">
              <w:t>, and the capacity from Controllable Load Resources available to SCED</w:t>
            </w:r>
            <w:r w:rsidR="00800062">
              <w:t>, including capacity from modeled Controllable Load Resources associated with ESRs</w:t>
            </w:r>
            <w:r w:rsidRPr="0080555B">
              <w:t>;</w:t>
            </w:r>
          </w:p>
        </w:tc>
      </w:tr>
    </w:tbl>
    <w:p w14:paraId="39557C09" w14:textId="380144B2" w:rsidR="001F04FD" w:rsidRPr="0080555B" w:rsidRDefault="001F04FD" w:rsidP="00D56BB3">
      <w:pPr>
        <w:pStyle w:val="List"/>
        <w:spacing w:before="240"/>
      </w:pPr>
      <w:r>
        <w:t>(c</w:t>
      </w:r>
      <w:r w:rsidRPr="0080555B">
        <w:t>)</w:t>
      </w:r>
      <w:r w:rsidRPr="0080555B">
        <w:tab/>
        <w:t>The amount of Ancillary Service Resource Responsibility</w:t>
      </w:r>
      <w:r>
        <w:t xml:space="preserve"> for Reg-Up, </w:t>
      </w:r>
      <w:r w:rsidR="006E1ADE">
        <w:t xml:space="preserve">ECRS, </w:t>
      </w:r>
      <w:r>
        <w:t>RRS and Non-Spin</w:t>
      </w:r>
      <w:r w:rsidRPr="0080555B">
        <w:t xml:space="preserve"> for the QSE for the 15-minute Settlement Interval. </w:t>
      </w:r>
    </w:p>
    <w:p w14:paraId="2B38C94E" w14:textId="77777777" w:rsidR="001F04FD" w:rsidRPr="00B6611B" w:rsidRDefault="001F04FD" w:rsidP="00B55307">
      <w:pPr>
        <w:pStyle w:val="BodyTextNumbered"/>
      </w:pPr>
      <w:r w:rsidRPr="00B6611B">
        <w:rPr>
          <w:szCs w:val="24"/>
        </w:rPr>
        <w:t>(3)</w:t>
      </w:r>
      <w:r w:rsidRPr="00B6611B">
        <w:rPr>
          <w:szCs w:val="24"/>
        </w:rPr>
        <w:tab/>
      </w:r>
      <w:r w:rsidRPr="00B6611B">
        <w:t>Resources meeting one or more of the following conditions will be excluded from the amounts calculated pursuant to paragraphs (2)(a) and (b) above:</w:t>
      </w:r>
    </w:p>
    <w:p w14:paraId="3C8F8117" w14:textId="77777777" w:rsidR="001F04FD" w:rsidRPr="00B6611B" w:rsidRDefault="001F04FD" w:rsidP="00163B6D">
      <w:pPr>
        <w:pStyle w:val="List"/>
      </w:pPr>
      <w:r w:rsidRPr="00B6611B">
        <w:t>(</w:t>
      </w:r>
      <w:r w:rsidR="006F59E4">
        <w:t>a</w:t>
      </w:r>
      <w:r w:rsidRPr="00B6611B">
        <w:t>)</w:t>
      </w:r>
      <w:r w:rsidRPr="00B6611B">
        <w:tab/>
        <w:t>Nuclear Resources;</w:t>
      </w:r>
    </w:p>
    <w:p w14:paraId="68581B55" w14:textId="0EFBFB0D" w:rsidR="001F04FD" w:rsidRPr="00B6611B" w:rsidRDefault="001F04FD" w:rsidP="001F04FD">
      <w:pPr>
        <w:pStyle w:val="List"/>
      </w:pPr>
      <w:r w:rsidRPr="00B6611B">
        <w:t>(</w:t>
      </w:r>
      <w:r w:rsidR="006F59E4">
        <w:t>b</w:t>
      </w:r>
      <w:r w:rsidRPr="00B6611B">
        <w:t>)</w:t>
      </w:r>
      <w:r w:rsidRPr="00B6611B">
        <w:tab/>
        <w:t xml:space="preserve">Resources with a telemetered ONTEST, </w:t>
      </w:r>
      <w:r w:rsidR="00DE555F">
        <w:t xml:space="preserve">ONHOLD, </w:t>
      </w:r>
      <w:r w:rsidRPr="00B6611B">
        <w:t>STARTUP</w:t>
      </w:r>
      <w:r w:rsidRPr="00D443AA">
        <w:t xml:space="preserve"> </w:t>
      </w:r>
      <w:r w:rsidRPr="00D443AA">
        <w:rPr>
          <w:szCs w:val="24"/>
        </w:rPr>
        <w:t>(except Resources with Non-Spin Ancillary Service Resource Responsibility greater than zero)</w:t>
      </w:r>
      <w:r w:rsidRPr="00B6611B">
        <w:t>, or SHUTDOWN Resource Status excluding Resources telemetering both STARTUP Resource Status and greater than zero Non-Spin Ancillary Service Responsibility; or</w:t>
      </w:r>
    </w:p>
    <w:p w14:paraId="171D6CC4" w14:textId="35CE64C8" w:rsidR="001F04FD" w:rsidRPr="00980528" w:rsidRDefault="001F04FD" w:rsidP="00F969DB">
      <w:pPr>
        <w:pStyle w:val="List"/>
        <w:rPr>
          <w:szCs w:val="24"/>
        </w:rPr>
      </w:pPr>
      <w:r w:rsidRPr="00B6611B">
        <w:t>(</w:t>
      </w:r>
      <w:r w:rsidR="006F59E4">
        <w:t>c</w:t>
      </w:r>
      <w:r w:rsidRPr="00B6611B">
        <w:t>)</w:t>
      </w:r>
      <w:r w:rsidRPr="00B6611B">
        <w:tab/>
        <w:t xml:space="preserve">Resources with a telemetered net real power (in MW) less than 95% of their telemetered Low Sustained Limit (LSL) excluding Resources telemetering both </w:t>
      </w:r>
      <w:r w:rsidRPr="00B6611B">
        <w:lastRenderedPageBreak/>
        <w:t>STARTUP Resource Status and greater than zero Non-Spin Ancillary Service Responsibility.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800062" w14:paraId="6CB21869" w14:textId="77777777" w:rsidTr="000169BA">
        <w:trPr>
          <w:trHeight w:val="206"/>
        </w:trPr>
        <w:tc>
          <w:tcPr>
            <w:tcW w:w="9576" w:type="dxa"/>
            <w:shd w:val="pct12" w:color="auto" w:fill="auto"/>
          </w:tcPr>
          <w:p w14:paraId="56DEE4FE" w14:textId="6CECC287" w:rsidR="00800062" w:rsidRDefault="00800062" w:rsidP="000169BA">
            <w:pPr>
              <w:pStyle w:val="Instructions"/>
              <w:spacing w:before="120"/>
            </w:pPr>
            <w:r>
              <w:t>[NPRR987:  Replace paragraph (c) above with the following upon system implementation:]</w:t>
            </w:r>
          </w:p>
          <w:p w14:paraId="678A6CA3" w14:textId="77777777" w:rsidR="00800062" w:rsidRDefault="00800062" w:rsidP="00800062">
            <w:pPr>
              <w:spacing w:after="240"/>
              <w:ind w:left="1440" w:hanging="720"/>
            </w:pPr>
            <w:r w:rsidRPr="0021367F">
              <w:t>(c)</w:t>
            </w:r>
            <w:r w:rsidRPr="0021367F">
              <w:tab/>
              <w:t>Resources with a telemetered net real power (in MW) less than 95% of their telemetered Low Sustained Limit (LSL) excluding</w:t>
            </w:r>
            <w:r>
              <w:t xml:space="preserve"> the following: </w:t>
            </w:r>
          </w:p>
          <w:p w14:paraId="44769915" w14:textId="77777777" w:rsidR="00800062" w:rsidRDefault="00800062" w:rsidP="00800062">
            <w:pPr>
              <w:spacing w:after="240"/>
              <w:ind w:left="2160" w:hanging="720"/>
            </w:pPr>
            <w:r>
              <w:t>(i)</w:t>
            </w:r>
            <w:r>
              <w:tab/>
            </w:r>
            <w:r w:rsidRPr="009A6F07">
              <w:t>Resources telemetering both STARTUP Resource Status and greater than zero Non-Spin Ancillary Service Responsibility</w:t>
            </w:r>
            <w:r>
              <w:t>; or</w:t>
            </w:r>
          </w:p>
          <w:p w14:paraId="4003CBE6" w14:textId="1AE737FD" w:rsidR="00800062" w:rsidRPr="008F39F7" w:rsidRDefault="00800062" w:rsidP="00800062">
            <w:pPr>
              <w:spacing w:after="240"/>
              <w:ind w:left="2160" w:hanging="720"/>
            </w:pPr>
            <w:r>
              <w:t>(ii)</w:t>
            </w:r>
            <w:r>
              <w:tab/>
              <w:t>ESRs</w:t>
            </w:r>
            <w:r w:rsidRPr="009A6F07">
              <w:t>.</w:t>
            </w:r>
          </w:p>
        </w:tc>
      </w:tr>
    </w:tbl>
    <w:p w14:paraId="1BEE530C" w14:textId="648950CD" w:rsidR="00C552D9" w:rsidRDefault="001F04FD" w:rsidP="001B11AD">
      <w:pPr>
        <w:pStyle w:val="BodyTextNumbered"/>
        <w:spacing w:before="240"/>
      </w:pPr>
      <w:bookmarkStart w:id="2769" w:name="_Hlk156913587"/>
      <w:r w:rsidRPr="0080555B">
        <w:t>(4)</w:t>
      </w:r>
      <w:r w:rsidRPr="0080555B">
        <w:tab/>
      </w:r>
      <w:r w:rsidR="00B5219D" w:rsidRPr="00061A64">
        <w:t>Reliability Must-Run (RMR) Units and Reliability Unit Commitment (RUC) Resources On-Line during the hour due to an ERCOT instruction</w:t>
      </w:r>
      <w:r w:rsidR="00C552D9" w:rsidRPr="00C552D9">
        <w:rPr>
          <w:iCs/>
        </w:rPr>
        <w:t xml:space="preserve"> </w:t>
      </w:r>
      <w:r w:rsidR="00C552D9" w:rsidRPr="00EA71DD">
        <w:rPr>
          <w:iCs/>
        </w:rPr>
        <w:t>will be excluded from the amounts calculated for the 15-minute Settlement Interval pursuant to paragraphs (2)(a), (b), and (c) above</w:t>
      </w:r>
      <w:r w:rsidR="00B5219D" w:rsidRPr="00061A64">
        <w:t xml:space="preserve">, except </w:t>
      </w:r>
      <w:r w:rsidR="00B5219D">
        <w:t>for</w:t>
      </w:r>
      <w:r w:rsidR="00C552D9">
        <w:t>:</w:t>
      </w:r>
    </w:p>
    <w:p w14:paraId="407A8D72" w14:textId="08EAA8DD" w:rsidR="00C552D9" w:rsidRDefault="00C552D9" w:rsidP="00C552D9">
      <w:pPr>
        <w:pStyle w:val="List"/>
      </w:pPr>
      <w:r>
        <w:t>(a)</w:t>
      </w:r>
      <w:r>
        <w:tab/>
        <w:t>T</w:t>
      </w:r>
      <w:r w:rsidR="005728E5">
        <w:t>hose RUC Resources that had a Three-Part Supply Offer cleared in the DAM for the hour</w:t>
      </w:r>
      <w:r>
        <w:t>;</w:t>
      </w:r>
      <w:r w:rsidR="005728E5" w:rsidRPr="007A5ADA">
        <w:t xml:space="preserve"> </w:t>
      </w:r>
    </w:p>
    <w:p w14:paraId="6E4031AA" w14:textId="2A4E963A" w:rsidR="00C552D9" w:rsidRDefault="00C552D9" w:rsidP="00C552D9">
      <w:pPr>
        <w:pStyle w:val="List"/>
      </w:pPr>
      <w:r w:rsidRPr="00C552D9">
        <w:t>(b)</w:t>
      </w:r>
      <w:r w:rsidRPr="00C552D9">
        <w:tab/>
      </w:r>
      <w:r>
        <w:t>A</w:t>
      </w:r>
      <w:r w:rsidR="005728E5" w:rsidRPr="007A5ADA">
        <w:t xml:space="preserve"> Switchable Generation Resource (SWGR) released by a non-ERCOT Control Area </w:t>
      </w:r>
      <w:r w:rsidR="008301B1" w:rsidRPr="00C552D9">
        <w:rPr>
          <w:szCs w:val="24"/>
        </w:rPr>
        <w:t>Operator</w:t>
      </w:r>
      <w:r w:rsidR="008301B1">
        <w:t xml:space="preserve"> (CAO)</w:t>
      </w:r>
      <w:r w:rsidR="008301B1" w:rsidRPr="007A5ADA">
        <w:t xml:space="preserve"> to </w:t>
      </w:r>
      <w:r w:rsidR="005728E5" w:rsidRPr="007A5ADA">
        <w:t>operate in the ERCOT Control Area due to an ERCOT RUC instruction</w:t>
      </w:r>
      <w:r w:rsidR="005728E5">
        <w:t xml:space="preserve"> for an actual or anticipated Energy Emergency Alert (EEA) condition</w:t>
      </w:r>
      <w:r>
        <w:t>;</w:t>
      </w:r>
      <w:r w:rsidR="005728E5" w:rsidRPr="00061A64">
        <w:t xml:space="preserve"> </w:t>
      </w:r>
    </w:p>
    <w:p w14:paraId="5EE2495B" w14:textId="1193477F" w:rsidR="001F04FD" w:rsidRDefault="00C552D9" w:rsidP="00C552D9">
      <w:pPr>
        <w:pStyle w:val="List"/>
      </w:pPr>
      <w:r>
        <w:t>(c)</w:t>
      </w:r>
      <w:r>
        <w:tab/>
        <w:t>A</w:t>
      </w:r>
      <w:r w:rsidR="006722C1">
        <w:t>ny Combined Cycle Generation Resource that was RUC-committed from one On-Line configuration to a different configuration with additional capacity, as described in paragraph (3) of Section 5.5.2,</w:t>
      </w:r>
      <w:r w:rsidRPr="00C552D9">
        <w:rPr>
          <w:lang w:val="x-none" w:eastAsia="x-none"/>
        </w:rPr>
        <w:t xml:space="preserve"> </w:t>
      </w:r>
      <w:r w:rsidRPr="00EA71DD">
        <w:rPr>
          <w:lang w:val="x-none" w:eastAsia="x-none"/>
        </w:rPr>
        <w:t>Reliability Unit Commitment (RUC) Process</w:t>
      </w:r>
      <w:r w:rsidRPr="00EA71DD">
        <w:rPr>
          <w:lang w:eastAsia="x-none"/>
        </w:rPr>
        <w:t>;</w:t>
      </w:r>
      <w:r w:rsidR="006722C1">
        <w:t xml:space="preserve"> </w:t>
      </w:r>
      <w:r>
        <w:t>or</w:t>
      </w:r>
    </w:p>
    <w:p w14:paraId="043C12E0" w14:textId="00871033" w:rsidR="00C552D9" w:rsidRPr="0080555B" w:rsidRDefault="00C552D9" w:rsidP="00EF74C5">
      <w:pPr>
        <w:pStyle w:val="List"/>
      </w:pPr>
      <w:r>
        <w:t>(d)</w:t>
      </w:r>
      <w:r>
        <w:tab/>
      </w:r>
      <w:r w:rsidRPr="00EA71DD">
        <w:rPr>
          <w:lang w:val="x-none" w:eastAsia="x-none"/>
        </w:rPr>
        <w:t>Any RUC Resource committed by a RUC Dispatch Instruction where that Resource’s QSE subsequently opted out of RUC Settlement pursuant to paragraph (14) of Section 5.5.2.</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132EA" w14:paraId="1550769B" w14:textId="77777777" w:rsidTr="00A16AF1">
        <w:trPr>
          <w:trHeight w:val="206"/>
        </w:trPr>
        <w:tc>
          <w:tcPr>
            <w:tcW w:w="9576" w:type="dxa"/>
            <w:shd w:val="pct12" w:color="auto" w:fill="auto"/>
          </w:tcPr>
          <w:bookmarkEnd w:id="2769"/>
          <w:p w14:paraId="2A252411" w14:textId="401E2DD0" w:rsidR="00C132EA" w:rsidRDefault="00C132EA" w:rsidP="00A16AF1">
            <w:pPr>
              <w:pStyle w:val="Instructions"/>
              <w:spacing w:before="120"/>
            </w:pPr>
            <w:r>
              <w:t>[</w:t>
            </w:r>
            <w:r w:rsidR="00614118">
              <w:t>NPRR885</w:t>
            </w:r>
            <w:r>
              <w:t>:  Replace paragraph (4) above with the following upon system implementation:]</w:t>
            </w:r>
          </w:p>
          <w:p w14:paraId="367C39EB" w14:textId="56F3C28A" w:rsidR="006F1BB9" w:rsidRDefault="00C132EA" w:rsidP="008A543E">
            <w:pPr>
              <w:pStyle w:val="BodyTextNumbered"/>
            </w:pPr>
            <w:bookmarkStart w:id="2770" w:name="_Hlk102564913"/>
            <w:r w:rsidRPr="0080555B">
              <w:t>(4)</w:t>
            </w:r>
            <w:r w:rsidRPr="0080555B">
              <w:tab/>
            </w:r>
            <w:r w:rsidRPr="00061A64">
              <w:t>Reliability Must-Run (RMR) Units</w:t>
            </w:r>
            <w:r w:rsidR="00614118">
              <w:t>, and Must-Run Alternatives (MRAs),</w:t>
            </w:r>
            <w:r w:rsidRPr="00061A64">
              <w:t xml:space="preserve"> and Reliability Unit Commitment (RUC) Resources On-Line during the hour due to an ERCOT instruction</w:t>
            </w:r>
            <w:r w:rsidR="006F1BB9" w:rsidRPr="00EA71DD">
              <w:rPr>
                <w:iCs/>
              </w:rPr>
              <w:t xml:space="preserve"> will be excluded from the amounts calculated for the 15-minute Settlement Interval pursuant to paragraphs (2)(a), (b), and (c) above except for:</w:t>
            </w:r>
            <w:r w:rsidR="000809F8">
              <w:t xml:space="preserve"> </w:t>
            </w:r>
          </w:p>
          <w:p w14:paraId="3AE02F86" w14:textId="7E200237" w:rsidR="006F1BB9" w:rsidRDefault="006F1BB9" w:rsidP="007472E5">
            <w:pPr>
              <w:pStyle w:val="BodyTextNumbered"/>
              <w:ind w:left="1410"/>
            </w:pPr>
            <w:r>
              <w:t>(a)</w:t>
            </w:r>
            <w:r w:rsidRPr="0080555B">
              <w:tab/>
            </w:r>
            <w:r>
              <w:t>T</w:t>
            </w:r>
            <w:r w:rsidR="000809F8">
              <w:t>hose RUC Resources that had a Three-Part Supply Offer cleared in the DAM for the hour</w:t>
            </w:r>
            <w:r>
              <w:t>;</w:t>
            </w:r>
          </w:p>
          <w:p w14:paraId="02FB2819" w14:textId="6BB1CEAA" w:rsidR="006F1BB9" w:rsidRDefault="006F1BB9" w:rsidP="007472E5">
            <w:pPr>
              <w:pStyle w:val="BodyTextNumbered"/>
              <w:ind w:left="1410"/>
            </w:pPr>
            <w:r>
              <w:lastRenderedPageBreak/>
              <w:t>(b)</w:t>
            </w:r>
            <w:r w:rsidRPr="0080555B">
              <w:tab/>
            </w:r>
            <w:r>
              <w:t>A</w:t>
            </w:r>
            <w:r w:rsidR="00234FA4" w:rsidRPr="007A5ADA">
              <w:t xml:space="preserve"> Switchable Generation Resource (SWGR) released by a non-ERCOT Control Area</w:t>
            </w:r>
            <w:r w:rsidR="008A543E" w:rsidRPr="007A5ADA">
              <w:t xml:space="preserve"> Operator</w:t>
            </w:r>
            <w:r w:rsidR="008A543E">
              <w:t xml:space="preserve"> (CAO)</w:t>
            </w:r>
            <w:r w:rsidR="008A543E" w:rsidRPr="007A5ADA">
              <w:t xml:space="preserve"> to operate in the ERCOT Control Area due to an ERCOT RUC instruction</w:t>
            </w:r>
            <w:r w:rsidR="008A543E">
              <w:t xml:space="preserve"> for an actual or anticipated Energy Emergency Alert (EEA) condition</w:t>
            </w:r>
            <w:r>
              <w:t>;</w:t>
            </w:r>
          </w:p>
          <w:p w14:paraId="50BFB447" w14:textId="02F63E89" w:rsidR="00C132EA" w:rsidRDefault="006F1BB9" w:rsidP="007472E5">
            <w:pPr>
              <w:pStyle w:val="BodyTextNumbered"/>
              <w:ind w:left="1410"/>
            </w:pPr>
            <w:r>
              <w:t>(c)</w:t>
            </w:r>
            <w:r w:rsidRPr="0080555B">
              <w:tab/>
            </w:r>
            <w:r>
              <w:t>A</w:t>
            </w:r>
            <w:r w:rsidR="00C132EA">
              <w:t>ny Combined Cycle Generation Resource that was RUC-committed from one On-Line configuration to a different configuration with additional capacity, as described in paragraph (3) of Section 5.5.2,</w:t>
            </w:r>
            <w:r w:rsidRPr="00EA71DD">
              <w:rPr>
                <w:lang w:eastAsia="x-none"/>
              </w:rPr>
              <w:t xml:space="preserve"> Reliability Unit Commitment (RUC) Process</w:t>
            </w:r>
            <w:r>
              <w:rPr>
                <w:lang w:eastAsia="x-none"/>
              </w:rPr>
              <w:t>; or</w:t>
            </w:r>
          </w:p>
          <w:p w14:paraId="6DE56B40" w14:textId="75921613" w:rsidR="006F1BB9" w:rsidRPr="008F39F7" w:rsidRDefault="006F1BB9" w:rsidP="007472E5">
            <w:pPr>
              <w:pStyle w:val="BodyTextNumbered"/>
              <w:ind w:left="1410"/>
            </w:pPr>
            <w:r>
              <w:t>(d)</w:t>
            </w:r>
            <w:r w:rsidRPr="0080555B">
              <w:tab/>
            </w:r>
            <w:r w:rsidRPr="00EA71DD">
              <w:rPr>
                <w:lang w:eastAsia="x-none"/>
              </w:rPr>
              <w:t>Any RUC Resource committed by a RUC Dispatch Instruction where that Resource’s QSE subsequently opted out of RUC Settlement pursuant to paragraph (14) of Section 5.5.2.</w:t>
            </w:r>
            <w:bookmarkEnd w:id="2770"/>
          </w:p>
        </w:tc>
      </w:tr>
    </w:tbl>
    <w:p w14:paraId="4AE2D1A1" w14:textId="77777777" w:rsidR="001F04FD" w:rsidRDefault="001F04FD" w:rsidP="008D7D6C">
      <w:pPr>
        <w:pStyle w:val="BodyTextNumbered"/>
        <w:spacing w:before="240"/>
      </w:pPr>
      <w:r w:rsidRPr="0080555B">
        <w:lastRenderedPageBreak/>
        <w:t>(5)</w:t>
      </w:r>
      <w:r w:rsidRPr="0080555B">
        <w:tab/>
      </w:r>
      <w:r>
        <w:t>The Real-Time Off-Line Reserve Capacity for the QSE (RTOFFCAP) shall be</w:t>
      </w:r>
      <w:r>
        <w:rPr>
          <w:color w:val="000000"/>
        </w:rPr>
        <w:t xml:space="preserve"> administratively </w:t>
      </w:r>
      <w:r>
        <w:t>set to zero when the SCED snapshot of the Physical Responsive Capability</w:t>
      </w:r>
      <w:r>
        <w:rPr>
          <w:color w:val="000000"/>
        </w:rPr>
        <w:t xml:space="preserve"> (</w:t>
      </w:r>
      <w:r>
        <w:t>PRC) is less than or equal to the PRC MW at which EEA Level 1 is initiated.</w:t>
      </w:r>
    </w:p>
    <w:p w14:paraId="7A90E59A" w14:textId="77777777" w:rsidR="001F04FD" w:rsidRDefault="001F04FD" w:rsidP="001F04FD">
      <w:pPr>
        <w:pStyle w:val="BodyTextNumbered"/>
      </w:pPr>
      <w:r w:rsidRPr="00B6611B">
        <w:t>(</w:t>
      </w:r>
      <w:r>
        <w:t>6</w:t>
      </w:r>
      <w:r w:rsidRPr="00B6611B">
        <w:t>)</w:t>
      </w:r>
      <w:r w:rsidRPr="00B6611B">
        <w:tab/>
        <w:t>Resources that ha</w:t>
      </w:r>
      <w:r>
        <w:t>ve a</w:t>
      </w:r>
      <w:r w:rsidRPr="00B6611B">
        <w:t xml:space="preserve"> </w:t>
      </w:r>
      <w:r>
        <w:t>U</w:t>
      </w:r>
      <w:r w:rsidRPr="00B6611B">
        <w:t xml:space="preserve">nder </w:t>
      </w:r>
      <w:r>
        <w:t>G</w:t>
      </w:r>
      <w:r w:rsidRPr="00B6611B">
        <w:t xml:space="preserve">eneration </w:t>
      </w:r>
      <w:r>
        <w:t>V</w:t>
      </w:r>
      <w:r w:rsidRPr="00B6611B">
        <w:t>olume</w:t>
      </w:r>
      <w:r>
        <w:t xml:space="preserve"> (UGEN)</w:t>
      </w:r>
      <w:r w:rsidRPr="00B6611B">
        <w:t xml:space="preserve"> greater than zero</w:t>
      </w:r>
      <w:r>
        <w:t xml:space="preserve">, and are not-exempt from a </w:t>
      </w:r>
      <w:r w:rsidRPr="00B6611B">
        <w:t>Base Point Deviation Charge</w:t>
      </w:r>
      <w:r>
        <w:t xml:space="preserve">, </w:t>
      </w:r>
      <w:r w:rsidRPr="00B6611B">
        <w:t>as set forth in Section 6.6.5</w:t>
      </w:r>
      <w:r>
        <w:t>,</w:t>
      </w:r>
      <w:r w:rsidRPr="00B6611B">
        <w:t xml:space="preserve"> Base Point Deviation Charge,</w:t>
      </w:r>
      <w:r>
        <w:t xml:space="preserve"> or are not already excluded in paragraphs (3) or (4) above,</w:t>
      </w:r>
      <w:r w:rsidRPr="00B6611B">
        <w:t xml:space="preserve"> for the 15-minute Settlement Interval</w:t>
      </w:r>
      <w:r>
        <w:t xml:space="preserve"> </w:t>
      </w:r>
      <w:r w:rsidRPr="00B6611B">
        <w:t xml:space="preserve">will </w:t>
      </w:r>
      <w:r>
        <w:t xml:space="preserve">have the UGEN amounts removed from </w:t>
      </w:r>
      <w:r w:rsidRPr="00B6611B">
        <w:t xml:space="preserve">the amounts calculated </w:t>
      </w:r>
      <w:r>
        <w:t xml:space="preserve">pursuant to </w:t>
      </w:r>
      <w:r w:rsidRPr="00B6611B">
        <w:t>paragraphs (2)(a) and (b) above</w:t>
      </w:r>
      <w: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20F10DCD" w14:textId="77777777" w:rsidTr="000169BA">
        <w:trPr>
          <w:trHeight w:val="206"/>
        </w:trPr>
        <w:tc>
          <w:tcPr>
            <w:tcW w:w="9576" w:type="dxa"/>
            <w:shd w:val="pct12" w:color="auto" w:fill="auto"/>
          </w:tcPr>
          <w:p w14:paraId="20901E2B" w14:textId="018D0950" w:rsidR="000169BA" w:rsidRDefault="000169BA" w:rsidP="000169BA">
            <w:pPr>
              <w:pStyle w:val="Instructions"/>
              <w:spacing w:before="120"/>
            </w:pPr>
            <w:r>
              <w:t>[NPRR987:  Replace paragraph (6) above with the following upon system implementation:]</w:t>
            </w:r>
          </w:p>
          <w:p w14:paraId="11A5CE89" w14:textId="0E16BDF7" w:rsidR="000169BA" w:rsidRPr="008F39F7" w:rsidRDefault="000169BA" w:rsidP="000169BA">
            <w:pPr>
              <w:spacing w:after="240"/>
              <w:ind w:left="720" w:hanging="720"/>
            </w:pPr>
            <w:r w:rsidRPr="0021367F">
              <w:t>(6)</w:t>
            </w:r>
            <w:r w:rsidRPr="0021367F">
              <w:tab/>
              <w:t>Resources that have a</w:t>
            </w:r>
            <w:r>
              <w:t>n</w:t>
            </w:r>
            <w:r w:rsidRPr="0021367F">
              <w:t xml:space="preserve"> Under Generation Volume (UGEN) </w:t>
            </w:r>
            <w:r>
              <w:t xml:space="preserve">or an Under Performance Volume (UPESR) </w:t>
            </w:r>
            <w:r w:rsidRPr="0021367F">
              <w:t>greater than zero, and are not</w:t>
            </w:r>
            <w:r>
              <w:t xml:space="preserve"> </w:t>
            </w:r>
            <w:r w:rsidRPr="0021367F">
              <w:t xml:space="preserve">exempt from a Base Point Deviation Charge, as set forth in Section 6.6.5, Base Point Deviation Charge, or are not already excluded in paragraphs (3) or (4) above, for the 15-minute Settlement Interval will have the UGEN </w:t>
            </w:r>
            <w:r>
              <w:t xml:space="preserve">or UPESR </w:t>
            </w:r>
            <w:r w:rsidRPr="0021367F">
              <w:t>amounts removed from the amounts calculated pursuant to paragraphs (2)(a) and (b) above.</w:t>
            </w:r>
          </w:p>
        </w:tc>
      </w:tr>
    </w:tbl>
    <w:p w14:paraId="23C5362A" w14:textId="7530935E" w:rsidR="001F04FD" w:rsidRPr="0080555B" w:rsidRDefault="001F04FD" w:rsidP="001B11AD">
      <w:pPr>
        <w:pStyle w:val="BodyTextNumbered"/>
        <w:spacing w:before="240"/>
      </w:pPr>
      <w:r>
        <w:t>(7)</w:t>
      </w:r>
      <w:r>
        <w:tab/>
      </w:r>
      <w:r w:rsidRPr="0080555B">
        <w:t xml:space="preserve">The payment or charge to each QSE for the Ancillary Service </w:t>
      </w:r>
      <w:r w:rsidR="008301B1">
        <w:t>i</w:t>
      </w:r>
      <w:r w:rsidRPr="0080555B">
        <w:t>mbalance for a given 15</w:t>
      </w:r>
      <w:r>
        <w:t>-</w:t>
      </w:r>
      <w:r w:rsidRPr="0080555B">
        <w:t>minute Settlement Interval is calculated as follows:</w:t>
      </w:r>
    </w:p>
    <w:p w14:paraId="5FBBAE6A" w14:textId="77777777" w:rsidR="001F04FD" w:rsidRDefault="001F04FD" w:rsidP="001F04FD">
      <w:pPr>
        <w:pStyle w:val="FormulaBold"/>
      </w:pPr>
      <w:r w:rsidRPr="000275BF">
        <w:t>RTASIAMT</w:t>
      </w:r>
      <w:r w:rsidRPr="000275BF">
        <w:rPr>
          <w:i/>
          <w:vertAlign w:val="subscript"/>
        </w:rPr>
        <w:t xml:space="preserve"> q</w:t>
      </w:r>
      <w:r w:rsidRPr="000275BF">
        <w:tab/>
        <w:t>=</w:t>
      </w:r>
      <w:r w:rsidRPr="000275BF">
        <w:tab/>
      </w:r>
      <w:r w:rsidRPr="000275BF">
        <w:tab/>
        <w:t xml:space="preserve">(-1) * </w:t>
      </w:r>
      <w:r>
        <w:t>[</w:t>
      </w:r>
      <w:r w:rsidRPr="000275BF">
        <w:t>(RTASOLIMB</w:t>
      </w:r>
      <w:r w:rsidRPr="000275BF">
        <w:rPr>
          <w:i/>
          <w:vertAlign w:val="subscript"/>
        </w:rPr>
        <w:t xml:space="preserve"> q</w:t>
      </w:r>
      <w:r w:rsidRPr="000275BF">
        <w:t xml:space="preserve"> * RTRSVPOR) + (RTASOFFIMB</w:t>
      </w:r>
      <w:r w:rsidRPr="000275BF">
        <w:rPr>
          <w:i/>
          <w:vertAlign w:val="subscript"/>
        </w:rPr>
        <w:t xml:space="preserve"> q</w:t>
      </w:r>
      <w:r w:rsidRPr="000275BF">
        <w:t xml:space="preserve"> * RTRSVPOFF)</w:t>
      </w:r>
      <w:r>
        <w:t>]</w:t>
      </w:r>
    </w:p>
    <w:p w14:paraId="3E1F0B73" w14:textId="77777777" w:rsidR="001F04FD" w:rsidRDefault="001F04FD" w:rsidP="001F04FD">
      <w:pPr>
        <w:pStyle w:val="FormulaBold"/>
      </w:pPr>
      <w:r w:rsidRPr="00193B05">
        <w:t>RT</w:t>
      </w:r>
      <w:r>
        <w:t>RD</w:t>
      </w:r>
      <w:r w:rsidRPr="00193B05">
        <w:t>ASIAMT</w:t>
      </w:r>
      <w:r w:rsidRPr="00193B05">
        <w:rPr>
          <w:i/>
          <w:vertAlign w:val="subscript"/>
        </w:rPr>
        <w:t xml:space="preserve"> q</w:t>
      </w:r>
      <w:r w:rsidRPr="00193B05">
        <w:t>=</w:t>
      </w:r>
      <w:r w:rsidRPr="00193B05">
        <w:tab/>
      </w:r>
      <w:r w:rsidRPr="00193B05">
        <w:tab/>
        <w:t>(-1) * (RTASOLIMB</w:t>
      </w:r>
      <w:r w:rsidRPr="00193B05">
        <w:rPr>
          <w:i/>
          <w:vertAlign w:val="subscript"/>
        </w:rPr>
        <w:t xml:space="preserve"> q</w:t>
      </w:r>
      <w:r w:rsidRPr="00193B05">
        <w:t xml:space="preserve"> * </w:t>
      </w:r>
      <w:r>
        <w:t>RTRDP)</w:t>
      </w:r>
    </w:p>
    <w:p w14:paraId="480706AE" w14:textId="77777777" w:rsidR="001F04FD" w:rsidRPr="0080555B" w:rsidRDefault="001F04FD" w:rsidP="001F04FD">
      <w:pPr>
        <w:spacing w:before="120" w:after="240"/>
      </w:pPr>
      <w:r w:rsidRPr="0080555B">
        <w:t>Where:</w:t>
      </w:r>
    </w:p>
    <w:p w14:paraId="50981B20" w14:textId="0A8F43A9" w:rsidR="001F04FD" w:rsidRPr="00602C41" w:rsidRDefault="001F04FD" w:rsidP="00B074A0">
      <w:pPr>
        <w:spacing w:after="240"/>
        <w:ind w:left="3600" w:hanging="2880"/>
      </w:pPr>
      <w:r w:rsidRPr="00602C41">
        <w:lastRenderedPageBreak/>
        <w:t>RTASOLIMB</w:t>
      </w:r>
      <w:r w:rsidRPr="00602C41">
        <w:rPr>
          <w:i/>
          <w:vertAlign w:val="subscript"/>
        </w:rPr>
        <w:t xml:space="preserve"> q</w:t>
      </w:r>
      <w:r w:rsidRPr="00602C41">
        <w:t>=</w:t>
      </w:r>
      <w:r>
        <w:tab/>
      </w:r>
      <w:r w:rsidRPr="00602C41">
        <w:t>RTOLCAP</w:t>
      </w:r>
      <w:r w:rsidRPr="00602C41">
        <w:rPr>
          <w:i/>
          <w:vertAlign w:val="subscript"/>
        </w:rPr>
        <w:t xml:space="preserve"> q</w:t>
      </w:r>
      <w:r w:rsidRPr="00602C41">
        <w:t xml:space="preserve"> – [(</w:t>
      </w:r>
      <w:r>
        <w:t xml:space="preserve">(SYS_GEN_DISCFACTOR * </w:t>
      </w:r>
      <w:r w:rsidRPr="00602C41">
        <w:t>RTASRESP</w:t>
      </w:r>
      <w:r w:rsidRPr="00602C41">
        <w:rPr>
          <w:i/>
          <w:vertAlign w:val="subscript"/>
        </w:rPr>
        <w:t xml:space="preserve"> q</w:t>
      </w:r>
      <w:r w:rsidRPr="00602C41">
        <w:t xml:space="preserve"> </w:t>
      </w:r>
      <w:r>
        <w:t xml:space="preserve">) </w:t>
      </w:r>
      <w:r w:rsidRPr="00602C41">
        <w:t>* ¼)</w:t>
      </w:r>
      <w:r w:rsidRPr="00602C41">
        <w:rPr>
          <w:rFonts w:ascii="Times New Roman Bold" w:hAnsi="Times New Roman Bold"/>
        </w:rPr>
        <w:t xml:space="preserve"> </w:t>
      </w:r>
      <w:r w:rsidRPr="00602C41">
        <w:t>– RTASOFF</w:t>
      </w:r>
      <w:r w:rsidRPr="00602C41">
        <w:rPr>
          <w:i/>
          <w:vertAlign w:val="subscript"/>
        </w:rPr>
        <w:t xml:space="preserve"> q </w:t>
      </w:r>
      <w:r w:rsidRPr="00602C41">
        <w:t>–</w:t>
      </w:r>
      <w:r>
        <w:t xml:space="preserve"> RTRUCNBBRESP </w:t>
      </w:r>
      <w:r w:rsidRPr="00DB7534">
        <w:rPr>
          <w:i/>
          <w:vertAlign w:val="subscript"/>
        </w:rPr>
        <w:t>q</w:t>
      </w:r>
      <w:r w:rsidRPr="008F1530">
        <w:t xml:space="preserve"> </w:t>
      </w:r>
      <w:r w:rsidR="00013237" w:rsidRPr="00602C41">
        <w:t>–</w:t>
      </w:r>
      <w:r w:rsidR="00013237">
        <w:t xml:space="preserve"> </w:t>
      </w:r>
      <w:r w:rsidR="00013237" w:rsidRPr="00876C1F">
        <w:rPr>
          <w:bCs/>
        </w:rPr>
        <w:t>RTNCL</w:t>
      </w:r>
      <w:r w:rsidR="00013237">
        <w:rPr>
          <w:bCs/>
        </w:rPr>
        <w:t>RNSRESP</w:t>
      </w:r>
      <w:r w:rsidR="00013237" w:rsidRPr="00876C1F">
        <w:rPr>
          <w:bCs/>
          <w:i/>
          <w:vertAlign w:val="subscript"/>
        </w:rPr>
        <w:t xml:space="preserve"> q</w:t>
      </w:r>
      <w:r w:rsidR="00013237">
        <w:t xml:space="preserve"> </w:t>
      </w:r>
      <w:r>
        <w:t>– RTRMRRESP </w:t>
      </w:r>
      <w:r w:rsidRPr="00DB7534">
        <w:rPr>
          <w:i/>
          <w:vertAlign w:val="subscript"/>
        </w:rPr>
        <w:t>q</w:t>
      </w:r>
      <w:r w:rsidRPr="00602C41">
        <w:t>]</w:t>
      </w:r>
    </w:p>
    <w:p w14:paraId="76557343" w14:textId="77777777" w:rsidR="001F04FD" w:rsidRDefault="001F04FD" w:rsidP="00F468C2">
      <w:pPr>
        <w:spacing w:after="240"/>
      </w:pPr>
      <w:r w:rsidRPr="001E69BE">
        <w:t>Where:</w:t>
      </w:r>
    </w:p>
    <w:p w14:paraId="4733CCF9" w14:textId="77777777" w:rsidR="001F04FD" w:rsidRDefault="001F04FD" w:rsidP="001F04FD">
      <w:pPr>
        <w:spacing w:after="240"/>
        <w:rPr>
          <w:i/>
          <w:vertAlign w:val="subscript"/>
        </w:rPr>
      </w:pPr>
      <w:r>
        <w:tab/>
      </w:r>
      <w:r w:rsidRPr="00A94098">
        <w:t>RT</w:t>
      </w:r>
      <w:r>
        <w:t>ASOFF</w:t>
      </w:r>
      <w:r w:rsidRPr="000275BF">
        <w:rPr>
          <w:i/>
          <w:vertAlign w:val="subscript"/>
        </w:rPr>
        <w:t xml:space="preserve"> q</w:t>
      </w:r>
      <w:r w:rsidRPr="00A94098">
        <w:t xml:space="preserve"> =</w:t>
      </w:r>
      <w:r>
        <w:tab/>
      </w:r>
      <w:r>
        <w:tab/>
      </w:r>
      <w:r>
        <w:tab/>
      </w:r>
      <w:r w:rsidRPr="0010409C">
        <w:t xml:space="preserve">SYS_GEN_DISCFACTOR * </w:t>
      </w:r>
      <w:r w:rsidRPr="000275BF">
        <w:rPr>
          <w:position w:val="-18"/>
        </w:rPr>
        <w:object w:dxaOrig="225" w:dyaOrig="420" w14:anchorId="5753758C">
          <v:shape id="_x0000_i1369" type="#_x0000_t75" style="width:12pt;height:24pt" o:ole="">
            <v:imagedata r:id="rId159" o:title=""/>
          </v:shape>
          <o:OLEObject Type="Embed" ProgID="Equation.3" ShapeID="_x0000_i1369" DrawAspect="Content" ObjectID="_1815025557" r:id="rId458"/>
        </w:object>
      </w:r>
      <w:r w:rsidRPr="000275BF">
        <w:rPr>
          <w:position w:val="-22"/>
        </w:rPr>
        <w:object w:dxaOrig="225" w:dyaOrig="465" w14:anchorId="37D16C07">
          <v:shape id="_x0000_i1370" type="#_x0000_t75" style="width:12pt;height:18pt" o:ole="">
            <v:imagedata r:id="rId172" o:title=""/>
          </v:shape>
          <o:OLEObject Type="Embed" ProgID="Equation.3" ShapeID="_x0000_i1370" DrawAspect="Content" ObjectID="_1815025558" r:id="rId459"/>
        </w:object>
      </w:r>
      <w:r w:rsidRPr="00A94098">
        <w:t>RT</w:t>
      </w:r>
      <w:r>
        <w:t>ASOFFR</w:t>
      </w:r>
      <w:r w:rsidRPr="000275BF">
        <w:rPr>
          <w:i/>
          <w:vertAlign w:val="subscript"/>
        </w:rPr>
        <w:t xml:space="preserve"> q, r, p</w:t>
      </w:r>
    </w:p>
    <w:p w14:paraId="294B3B35" w14:textId="77777777" w:rsidR="001F04FD" w:rsidRDefault="001F04FD" w:rsidP="001F04FD">
      <w:pPr>
        <w:spacing w:after="240"/>
      </w:pPr>
      <w:r>
        <w:tab/>
      </w:r>
      <w:r w:rsidRPr="00C42571">
        <w:t>RTRUCNBBRESP</w:t>
      </w:r>
      <w:r>
        <w:t> </w:t>
      </w:r>
      <w:r w:rsidRPr="00DB7534">
        <w:rPr>
          <w:i/>
          <w:vertAlign w:val="subscript"/>
        </w:rPr>
        <w:t>q</w:t>
      </w:r>
      <w:r>
        <w:rPr>
          <w:vertAlign w:val="subscript"/>
        </w:rPr>
        <w:t xml:space="preserve">  </w:t>
      </w:r>
      <w:r w:rsidRPr="00B074A0">
        <w:t>=</w:t>
      </w:r>
      <w:r>
        <w:tab/>
      </w:r>
      <w:r w:rsidRPr="0010409C">
        <w:t xml:space="preserve">SYS_GEN_DISCFACTOR * </w:t>
      </w:r>
      <w:r w:rsidRPr="000275BF">
        <w:rPr>
          <w:position w:val="-18"/>
        </w:rPr>
        <w:object w:dxaOrig="225" w:dyaOrig="420" w14:anchorId="782A1F28">
          <v:shape id="_x0000_i1371" type="#_x0000_t75" style="width:12pt;height:24pt" o:ole="">
            <v:imagedata r:id="rId159" o:title=""/>
          </v:shape>
          <o:OLEObject Type="Embed" ProgID="Equation.3" ShapeID="_x0000_i1371" DrawAspect="Content" ObjectID="_1815025559" r:id="rId460"/>
        </w:object>
      </w:r>
      <w:r w:rsidRPr="00DD5118">
        <w:t xml:space="preserve"> </w:t>
      </w:r>
      <w:r>
        <w:t>RTRUCASA</w:t>
      </w:r>
      <w:r w:rsidRPr="000275BF">
        <w:rPr>
          <w:i/>
          <w:vertAlign w:val="subscript"/>
        </w:rPr>
        <w:t xml:space="preserve"> q, r</w:t>
      </w:r>
      <w:r>
        <w:t xml:space="preserve"> *  ¼</w:t>
      </w:r>
    </w:p>
    <w:p w14:paraId="0C70B1D3" w14:textId="41967EE0" w:rsidR="00013237" w:rsidRDefault="001F04FD" w:rsidP="00F468C2">
      <w:pPr>
        <w:spacing w:after="240"/>
      </w:pPr>
      <w:r>
        <w:rPr>
          <w:szCs w:val="18"/>
        </w:rPr>
        <w:tab/>
      </w:r>
      <w:r w:rsidR="00013237">
        <w:rPr>
          <w:szCs w:val="18"/>
        </w:rPr>
        <w:t>RTN</w:t>
      </w:r>
      <w:r w:rsidR="00013237" w:rsidRPr="00A60945">
        <w:rPr>
          <w:szCs w:val="18"/>
        </w:rPr>
        <w:t>CLRNSRESP</w:t>
      </w:r>
      <w:r w:rsidR="00013237">
        <w:rPr>
          <w:szCs w:val="18"/>
        </w:rPr>
        <w:t> </w:t>
      </w:r>
      <w:r w:rsidR="00013237" w:rsidRPr="00DB7534">
        <w:rPr>
          <w:i/>
          <w:vertAlign w:val="subscript"/>
        </w:rPr>
        <w:t>q</w:t>
      </w:r>
      <w:r w:rsidR="00013237">
        <w:rPr>
          <w:vertAlign w:val="subscript"/>
        </w:rPr>
        <w:t xml:space="preserve"> =</w:t>
      </w:r>
      <w:r w:rsidR="00013237">
        <w:rPr>
          <w:vertAlign w:val="subscript"/>
        </w:rPr>
        <w:tab/>
        <w:t xml:space="preserve"> </w:t>
      </w:r>
      <w:r w:rsidR="00013237">
        <w:t xml:space="preserve">        </w:t>
      </w:r>
      <w:r w:rsidR="00013237" w:rsidRPr="0010409C">
        <w:t xml:space="preserve">SYS_GEN_DISCFACTOR * </w:t>
      </w:r>
      <w:r w:rsidR="00013237" w:rsidRPr="000275BF">
        <w:rPr>
          <w:position w:val="-18"/>
        </w:rPr>
        <w:object w:dxaOrig="288" w:dyaOrig="438" w14:anchorId="5A629C5B">
          <v:shape id="_x0000_i1372" type="#_x0000_t75" style="width:12pt;height:24pt" o:ole="">
            <v:imagedata r:id="rId159" o:title=""/>
          </v:shape>
          <o:OLEObject Type="Embed" ProgID="Equation.3" ShapeID="_x0000_i1372" DrawAspect="Content" ObjectID="_1815025560" r:id="rId461"/>
        </w:object>
      </w:r>
      <w:r w:rsidR="00013237" w:rsidRPr="000275BF">
        <w:rPr>
          <w:position w:val="-22"/>
        </w:rPr>
        <w:object w:dxaOrig="288" w:dyaOrig="426" w14:anchorId="14152B73">
          <v:shape id="_x0000_i1373" type="#_x0000_t75" style="width:12pt;height:24.6pt" o:ole="">
            <v:imagedata r:id="rId172" o:title=""/>
          </v:shape>
          <o:OLEObject Type="Embed" ProgID="Equation.3" ShapeID="_x0000_i1373" DrawAspect="Content" ObjectID="_1815025561" r:id="rId462"/>
        </w:object>
      </w:r>
      <w:r w:rsidR="00013237" w:rsidRPr="0080555B">
        <w:t>RT</w:t>
      </w:r>
      <w:r w:rsidR="00013237">
        <w:t>N</w:t>
      </w:r>
      <w:r w:rsidR="00013237" w:rsidRPr="0080555B">
        <w:t>CLRNSRESP</w:t>
      </w:r>
      <w:r w:rsidR="00013237">
        <w:t>R</w:t>
      </w:r>
      <w:r w:rsidR="00013237" w:rsidRPr="000275BF">
        <w:rPr>
          <w:i/>
          <w:vertAlign w:val="subscript"/>
        </w:rPr>
        <w:t xml:space="preserve"> q, r, p</w:t>
      </w:r>
    </w:p>
    <w:p w14:paraId="02D3A2BB" w14:textId="596BA34E" w:rsidR="001F04FD" w:rsidRPr="003E514A" w:rsidRDefault="001F04FD" w:rsidP="00C02A98">
      <w:pPr>
        <w:pStyle w:val="FormulaBold"/>
        <w:tabs>
          <w:tab w:val="clear" w:pos="2250"/>
          <w:tab w:val="clear" w:pos="3150"/>
          <w:tab w:val="clear" w:pos="3960"/>
        </w:tabs>
        <w:ind w:left="3600" w:hanging="2880"/>
        <w:rPr>
          <w:b w:val="0"/>
        </w:rPr>
      </w:pPr>
      <w:r w:rsidRPr="003E514A">
        <w:rPr>
          <w:b w:val="0"/>
          <w:szCs w:val="18"/>
        </w:rPr>
        <w:t>RTRMRRESP </w:t>
      </w:r>
      <w:r w:rsidRPr="003E514A">
        <w:rPr>
          <w:b w:val="0"/>
          <w:i/>
          <w:szCs w:val="18"/>
          <w:vertAlign w:val="subscript"/>
        </w:rPr>
        <w:t>q</w:t>
      </w:r>
      <w:r w:rsidRPr="003E514A">
        <w:rPr>
          <w:b w:val="0"/>
          <w:szCs w:val="18"/>
          <w:vertAlign w:val="subscript"/>
        </w:rPr>
        <w:t xml:space="preserve"> </w:t>
      </w:r>
      <w:r w:rsidRPr="003E514A">
        <w:rPr>
          <w:b w:val="0"/>
          <w:vertAlign w:val="subscript"/>
        </w:rPr>
        <w:t>=</w:t>
      </w:r>
      <w:r>
        <w:rPr>
          <w:b w:val="0"/>
          <w:vertAlign w:val="subscript"/>
        </w:rPr>
        <w:tab/>
      </w:r>
      <w:r w:rsidRPr="00775EDD">
        <w:rPr>
          <w:b w:val="0"/>
        </w:rPr>
        <w:t>SYS_GEN_DISCFACTOR *</w:t>
      </w:r>
      <w:r w:rsidRPr="0010409C">
        <w:t xml:space="preserve"> </w:t>
      </w:r>
      <w:r w:rsidRPr="003E514A">
        <w:rPr>
          <w:b w:val="0"/>
          <w:position w:val="-22"/>
        </w:rPr>
        <w:object w:dxaOrig="225" w:dyaOrig="465" w14:anchorId="7AD3DEAA">
          <v:shape id="_x0000_i1374" type="#_x0000_t75" style="width:12pt;height:18pt" o:ole="">
            <v:imagedata r:id="rId463" o:title=""/>
          </v:shape>
          <o:OLEObject Type="Embed" ProgID="Equation.3" ShapeID="_x0000_i1374" DrawAspect="Content" ObjectID="_1815025562" r:id="rId464"/>
        </w:object>
      </w:r>
      <w:r w:rsidRPr="003E514A">
        <w:rPr>
          <w:b w:val="0"/>
          <w:position w:val="-18"/>
        </w:rPr>
        <w:object w:dxaOrig="225" w:dyaOrig="420" w14:anchorId="2D1222BC">
          <v:shape id="_x0000_i1375" type="#_x0000_t75" style="width:12pt;height:24pt" o:ole="">
            <v:imagedata r:id="rId159" o:title=""/>
          </v:shape>
          <o:OLEObject Type="Embed" ProgID="Equation.3" ShapeID="_x0000_i1375" DrawAspect="Content" ObjectID="_1815025563" r:id="rId465"/>
        </w:object>
      </w:r>
      <w:r w:rsidRPr="003E514A">
        <w:rPr>
          <w:b w:val="0"/>
          <w:position w:val="-22"/>
        </w:rPr>
        <w:object w:dxaOrig="225" w:dyaOrig="465" w14:anchorId="2BCB4D41">
          <v:shape id="_x0000_i1376" type="#_x0000_t75" style="width:12pt;height:18pt" o:ole="">
            <v:imagedata r:id="rId172" o:title=""/>
          </v:shape>
          <o:OLEObject Type="Embed" ProgID="Equation.3" ShapeID="_x0000_i1376" DrawAspect="Content" ObjectID="_1815025564" r:id="rId466"/>
        </w:object>
      </w:r>
      <w:r w:rsidRPr="003E514A">
        <w:rPr>
          <w:b w:val="0"/>
        </w:rPr>
        <w:t>(HRRADJ</w:t>
      </w:r>
      <w:r w:rsidRPr="003E514A">
        <w:rPr>
          <w:b w:val="0"/>
          <w:i/>
          <w:vertAlign w:val="subscript"/>
        </w:rPr>
        <w:t xml:space="preserve"> q, r, p</w:t>
      </w:r>
      <w:r w:rsidRPr="003E514A">
        <w:rPr>
          <w:b w:val="0"/>
        </w:rPr>
        <w:t xml:space="preserve"> + </w:t>
      </w:r>
      <w:r w:rsidR="00BA7613" w:rsidRPr="004007D1">
        <w:rPr>
          <w:b w:val="0"/>
        </w:rPr>
        <w:t>HECRADJ</w:t>
      </w:r>
      <w:r w:rsidR="00BA7613" w:rsidRPr="004007D1">
        <w:rPr>
          <w:b w:val="0"/>
          <w:i/>
          <w:vertAlign w:val="subscript"/>
        </w:rPr>
        <w:t xml:space="preserve"> q, r, p</w:t>
      </w:r>
      <w:r w:rsidR="00BA7613" w:rsidRPr="004007D1">
        <w:rPr>
          <w:b w:val="0"/>
        </w:rPr>
        <w:t xml:space="preserve"> </w:t>
      </w:r>
      <w:r w:rsidR="00BA7613" w:rsidRPr="00E22517">
        <w:rPr>
          <w:b w:val="0"/>
        </w:rPr>
        <w:t>+</w:t>
      </w:r>
      <w:r w:rsidR="00BA7613">
        <w:rPr>
          <w:b w:val="0"/>
        </w:rPr>
        <w:t xml:space="preserve"> </w:t>
      </w:r>
      <w:r w:rsidRPr="003E514A">
        <w:rPr>
          <w:b w:val="0"/>
        </w:rPr>
        <w:t>HRUADJ</w:t>
      </w:r>
      <w:r w:rsidRPr="003E514A">
        <w:rPr>
          <w:b w:val="0"/>
          <w:i/>
          <w:vertAlign w:val="subscript"/>
        </w:rPr>
        <w:t xml:space="preserve"> q, r, p</w:t>
      </w:r>
      <w:r w:rsidRPr="003E514A">
        <w:rPr>
          <w:b w:val="0"/>
        </w:rPr>
        <w:t xml:space="preserve"> + HNSADJ</w:t>
      </w:r>
      <w:r w:rsidRPr="003E514A">
        <w:rPr>
          <w:b w:val="0"/>
          <w:i/>
          <w:vertAlign w:val="subscript"/>
        </w:rPr>
        <w:t xml:space="preserve"> q, r, p</w:t>
      </w:r>
      <w:r w:rsidRPr="003E514A">
        <w:rPr>
          <w:b w:val="0"/>
        </w:rPr>
        <w:t>) *  ¼</w:t>
      </w:r>
    </w:p>
    <w:p w14:paraId="4E39AB18" w14:textId="77777777" w:rsidR="001F04FD" w:rsidRDefault="001F04FD" w:rsidP="00F969DB">
      <w:pPr>
        <w:pStyle w:val="FormulaBold"/>
        <w:tabs>
          <w:tab w:val="clear" w:pos="2250"/>
          <w:tab w:val="clear" w:pos="3150"/>
          <w:tab w:val="clear" w:pos="3960"/>
        </w:tabs>
        <w:ind w:left="3600" w:hanging="2880"/>
        <w:rPr>
          <w:rFonts w:ascii="Times New Roman Bold" w:hAnsi="Times New Roman Bold"/>
          <w:b w:val="0"/>
        </w:rPr>
      </w:pPr>
      <w:r w:rsidRPr="000275BF">
        <w:rPr>
          <w:b w:val="0"/>
        </w:rPr>
        <w:t xml:space="preserve">RTOLCAP </w:t>
      </w:r>
      <w:r w:rsidRPr="000275BF">
        <w:rPr>
          <w:b w:val="0"/>
          <w:i/>
          <w:vertAlign w:val="subscript"/>
        </w:rPr>
        <w:t xml:space="preserve">q </w:t>
      </w:r>
      <w:r w:rsidRPr="000275BF">
        <w:rPr>
          <w:b w:val="0"/>
        </w:rPr>
        <w:t>=</w:t>
      </w:r>
      <w:r>
        <w:rPr>
          <w:b w:val="0"/>
        </w:rPr>
        <w:tab/>
      </w:r>
      <w:r w:rsidRPr="000275BF">
        <w:rPr>
          <w:b w:val="0"/>
        </w:rPr>
        <w:t>(RTOLHSL</w:t>
      </w:r>
      <w:r w:rsidRPr="000275BF">
        <w:rPr>
          <w:b w:val="0"/>
          <w:i/>
          <w:vertAlign w:val="subscript"/>
        </w:rPr>
        <w:t xml:space="preserve"> q</w:t>
      </w:r>
      <w:r>
        <w:rPr>
          <w:b w:val="0"/>
          <w:i/>
          <w:vertAlign w:val="subscript"/>
        </w:rPr>
        <w:t xml:space="preserve"> </w:t>
      </w:r>
      <w:r w:rsidRPr="000275BF">
        <w:rPr>
          <w:b w:val="0"/>
        </w:rPr>
        <w:t>– RTMG</w:t>
      </w:r>
      <w:r>
        <w:rPr>
          <w:b w:val="0"/>
        </w:rPr>
        <w:t>Q</w:t>
      </w:r>
      <w:r w:rsidRPr="000275BF">
        <w:rPr>
          <w:b w:val="0"/>
        </w:rPr>
        <w:t xml:space="preserve"> </w:t>
      </w:r>
      <w:r w:rsidRPr="000275BF">
        <w:rPr>
          <w:b w:val="0"/>
          <w:i/>
          <w:vertAlign w:val="subscript"/>
        </w:rPr>
        <w:t>q</w:t>
      </w:r>
      <w:r>
        <w:rPr>
          <w:b w:val="0"/>
          <w:i/>
          <w:vertAlign w:val="subscript"/>
        </w:rPr>
        <w:t xml:space="preserve"> </w:t>
      </w:r>
      <w:r w:rsidRPr="007329DC">
        <w:rPr>
          <w:b w:val="0"/>
        </w:rPr>
        <w:t xml:space="preserve">– SYS_GEN_DISCFACTOR * </w:t>
      </w:r>
      <w:r>
        <w:rPr>
          <w:b w:val="0"/>
        </w:rPr>
        <w:t xml:space="preserve"> </w:t>
      </w:r>
      <w:r w:rsidRPr="007329DC">
        <w:rPr>
          <w:b w:val="0"/>
        </w:rPr>
        <w:t>(</w:t>
      </w:r>
      <w:r w:rsidRPr="002C0ED5">
        <w:rPr>
          <w:position w:val="-18"/>
        </w:rPr>
        <w:object w:dxaOrig="225" w:dyaOrig="420" w14:anchorId="0C97DF4A">
          <v:shape id="_x0000_i1377" type="#_x0000_t75" style="width:12pt;height:24pt" o:ole="">
            <v:imagedata r:id="rId159" o:title=""/>
          </v:shape>
          <o:OLEObject Type="Embed" ProgID="Equation.3" ShapeID="_x0000_i1377" DrawAspect="Content" ObjectID="_1815025565" r:id="rId467"/>
        </w:object>
      </w:r>
      <w:r w:rsidRPr="002C0ED5">
        <w:rPr>
          <w:position w:val="-22"/>
        </w:rPr>
        <w:object w:dxaOrig="225" w:dyaOrig="465" w14:anchorId="395DCCFC">
          <v:shape id="_x0000_i1378" type="#_x0000_t75" style="width:12pt;height:18pt" o:ole="">
            <v:imagedata r:id="rId172" o:title=""/>
          </v:shape>
          <o:OLEObject Type="Embed" ProgID="Equation.3" ShapeID="_x0000_i1378" DrawAspect="Content" ObjectID="_1815025566" r:id="rId468"/>
        </w:object>
      </w:r>
      <w:r w:rsidRPr="007329DC">
        <w:rPr>
          <w:b w:val="0"/>
        </w:rPr>
        <w:t xml:space="preserve">UGENA </w:t>
      </w:r>
      <w:r w:rsidRPr="007329DC">
        <w:rPr>
          <w:b w:val="0"/>
          <w:i/>
          <w:vertAlign w:val="subscript"/>
        </w:rPr>
        <w:t>q, r, p</w:t>
      </w:r>
      <w:r w:rsidRPr="007329DC">
        <w:rPr>
          <w:b w:val="0"/>
        </w:rPr>
        <w:t>)</w:t>
      </w:r>
      <w:r w:rsidRPr="000275BF">
        <w:rPr>
          <w:b w:val="0"/>
        </w:rPr>
        <w:t>) + RTCLRCAP</w:t>
      </w:r>
      <w:r w:rsidRPr="000275BF">
        <w:rPr>
          <w:b w:val="0"/>
          <w:i/>
          <w:vertAlign w:val="subscript"/>
        </w:rPr>
        <w:t xml:space="preserve"> q </w:t>
      </w:r>
      <w:r w:rsidRPr="000275BF">
        <w:rPr>
          <w:b w:val="0"/>
        </w:rPr>
        <w:t>+ RTNCLR</w:t>
      </w:r>
      <w:r>
        <w:rPr>
          <w:b w:val="0"/>
        </w:rPr>
        <w:t>CAP</w:t>
      </w:r>
      <w:r w:rsidRPr="000275BF">
        <w:rPr>
          <w:b w:val="0"/>
          <w:i/>
          <w:vertAlign w:val="subscript"/>
        </w:rPr>
        <w:t xml:space="preserve"> q</w:t>
      </w:r>
      <w:r w:rsidRPr="003275D8">
        <w:rPr>
          <w:rFonts w:ascii="Times New Roman Bold" w:hAnsi="Times New Roman Bold"/>
          <w:b w:val="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0D2F298B" w14:textId="77777777" w:rsidTr="000169BA">
        <w:trPr>
          <w:trHeight w:val="206"/>
        </w:trPr>
        <w:tc>
          <w:tcPr>
            <w:tcW w:w="9576" w:type="dxa"/>
            <w:shd w:val="pct12" w:color="auto" w:fill="auto"/>
          </w:tcPr>
          <w:p w14:paraId="5B3D2767" w14:textId="14EACAA7" w:rsidR="000169BA" w:rsidRDefault="000169BA" w:rsidP="000169BA">
            <w:pPr>
              <w:pStyle w:val="Instructions"/>
              <w:spacing w:before="120"/>
            </w:pPr>
            <w:r>
              <w:t>[NPRR987:  Replace the formula “</w:t>
            </w:r>
            <w:r w:rsidRPr="0021367F">
              <w:rPr>
                <w:bCs/>
              </w:rPr>
              <w:t xml:space="preserve">RTOLCAP </w:t>
            </w:r>
            <w:r w:rsidRPr="0021367F">
              <w:rPr>
                <w:bCs/>
                <w:vertAlign w:val="subscript"/>
              </w:rPr>
              <w:t>q</w:t>
            </w:r>
            <w:r>
              <w:t>” above with the following upon system implementation:]</w:t>
            </w:r>
          </w:p>
          <w:p w14:paraId="541D9021" w14:textId="563B6843" w:rsidR="000169BA" w:rsidRPr="000169BA" w:rsidRDefault="000169BA" w:rsidP="000169BA">
            <w:pPr>
              <w:spacing w:before="240" w:after="240"/>
              <w:ind w:left="3600" w:hanging="2880"/>
              <w:rPr>
                <w:rFonts w:ascii="Times New Roman Bold" w:hAnsi="Times New Roman Bold"/>
                <w:bCs/>
              </w:rPr>
            </w:pPr>
            <w:r w:rsidRPr="0021367F">
              <w:rPr>
                <w:bCs/>
              </w:rPr>
              <w:t xml:space="preserve">RTOLCAP </w:t>
            </w:r>
            <w:r w:rsidRPr="0021367F">
              <w:rPr>
                <w:bCs/>
                <w:i/>
                <w:vertAlign w:val="subscript"/>
              </w:rPr>
              <w:t xml:space="preserve">q </w:t>
            </w:r>
            <w:r w:rsidRPr="0021367F">
              <w:rPr>
                <w:bCs/>
              </w:rPr>
              <w:t>=</w:t>
            </w:r>
            <w:r w:rsidRPr="0021367F">
              <w:rPr>
                <w:bCs/>
              </w:rPr>
              <w:tab/>
              <w:t>(RTOLHSL</w:t>
            </w:r>
            <w:r w:rsidRPr="0021367F">
              <w:rPr>
                <w:bCs/>
                <w:i/>
                <w:vertAlign w:val="subscript"/>
              </w:rPr>
              <w:t xml:space="preserve"> q </w:t>
            </w:r>
            <w:r w:rsidRPr="0021367F">
              <w:rPr>
                <w:bCs/>
              </w:rPr>
              <w:t xml:space="preserve">– RTMGQ </w:t>
            </w:r>
            <w:r w:rsidRPr="0021367F">
              <w:rPr>
                <w:bCs/>
                <w:i/>
                <w:vertAlign w:val="subscript"/>
              </w:rPr>
              <w:t xml:space="preserve">q </w:t>
            </w:r>
            <w:r w:rsidRPr="0021367F">
              <w:rPr>
                <w:bCs/>
              </w:rPr>
              <w:t>– SYS_GEN_DISCFACTOR *  (</w:t>
            </w:r>
            <w:r w:rsidRPr="0021367F">
              <w:rPr>
                <w:b/>
                <w:bCs/>
                <w:position w:val="-18"/>
              </w:rPr>
              <w:object w:dxaOrig="225" w:dyaOrig="420" w14:anchorId="395FE65B">
                <v:shape id="_x0000_i1379" type="#_x0000_t75" style="width:12pt;height:24pt" o:ole="">
                  <v:imagedata r:id="rId159" o:title=""/>
                </v:shape>
                <o:OLEObject Type="Embed" ProgID="Equation.3" ShapeID="_x0000_i1379" DrawAspect="Content" ObjectID="_1815025567" r:id="rId469"/>
              </w:object>
            </w:r>
            <w:r w:rsidRPr="0021367F">
              <w:rPr>
                <w:b/>
                <w:bCs/>
                <w:position w:val="-22"/>
              </w:rPr>
              <w:object w:dxaOrig="225" w:dyaOrig="465" w14:anchorId="2F151550">
                <v:shape id="_x0000_i1380" type="#_x0000_t75" style="width:12pt;height:18pt" o:ole="">
                  <v:imagedata r:id="rId172" o:title=""/>
                </v:shape>
                <o:OLEObject Type="Embed" ProgID="Equation.3" ShapeID="_x0000_i1380" DrawAspect="Content" ObjectID="_1815025568" r:id="rId470"/>
              </w:object>
            </w:r>
            <w:r w:rsidRPr="0021367F">
              <w:rPr>
                <w:bCs/>
              </w:rPr>
              <w:t xml:space="preserve">(UGENA </w:t>
            </w:r>
            <w:r w:rsidRPr="0021367F">
              <w:rPr>
                <w:bCs/>
                <w:i/>
                <w:vertAlign w:val="subscript"/>
              </w:rPr>
              <w:t>q, r, p</w:t>
            </w:r>
            <w:r>
              <w:rPr>
                <w:b/>
              </w:rPr>
              <w:t xml:space="preserve"> + </w:t>
            </w:r>
            <w:r w:rsidRPr="00AA1C33">
              <w:t>UPESR</w:t>
            </w:r>
            <w:r>
              <w:t>A</w:t>
            </w:r>
            <w:r w:rsidRPr="00AA1C33">
              <w:rPr>
                <w:i/>
                <w:vertAlign w:val="subscript"/>
              </w:rPr>
              <w:t xml:space="preserve"> q, r, p</w:t>
            </w:r>
            <w:r w:rsidRPr="0021367F">
              <w:rPr>
                <w:bCs/>
              </w:rPr>
              <w:t>)</w:t>
            </w:r>
            <w:r>
              <w:rPr>
                <w:bCs/>
              </w:rPr>
              <w:t>)</w:t>
            </w:r>
            <w:r w:rsidRPr="0021367F">
              <w:rPr>
                <w:bCs/>
              </w:rPr>
              <w:t>) + RTCLRCAP</w:t>
            </w:r>
            <w:r w:rsidRPr="0021367F">
              <w:rPr>
                <w:bCs/>
                <w:i/>
                <w:vertAlign w:val="subscript"/>
              </w:rPr>
              <w:t xml:space="preserve"> q </w:t>
            </w:r>
            <w:r w:rsidRPr="0021367F">
              <w:rPr>
                <w:bCs/>
              </w:rPr>
              <w:t>+ RTNCLRCAP</w:t>
            </w:r>
            <w:r w:rsidRPr="0021367F">
              <w:rPr>
                <w:bCs/>
                <w:i/>
                <w:vertAlign w:val="subscript"/>
              </w:rPr>
              <w:t xml:space="preserve"> q</w:t>
            </w:r>
            <w:r w:rsidRPr="0021367F">
              <w:rPr>
                <w:rFonts w:ascii="Times New Roman Bold" w:hAnsi="Times New Roman Bold"/>
                <w:bCs/>
              </w:rPr>
              <w:t xml:space="preserve"> </w:t>
            </w:r>
            <w:r w:rsidRPr="00AA1C33">
              <w:rPr>
                <w:rFonts w:ascii="Times New Roman Bold" w:hAnsi="Times New Roman Bold"/>
                <w:b/>
                <w:bCs/>
              </w:rPr>
              <w:t xml:space="preserve">+ </w:t>
            </w:r>
            <w:r w:rsidRPr="00AA1C33">
              <w:rPr>
                <w:bCs/>
              </w:rPr>
              <w:t xml:space="preserve">RTESRCAP </w:t>
            </w:r>
            <w:r w:rsidRPr="00AA1C33">
              <w:rPr>
                <w:bCs/>
                <w:i/>
                <w:vertAlign w:val="subscript"/>
              </w:rPr>
              <w:t>q</w:t>
            </w:r>
          </w:p>
        </w:tc>
      </w:tr>
    </w:tbl>
    <w:p w14:paraId="15658845" w14:textId="77777777" w:rsidR="001F04FD" w:rsidRDefault="001F04FD" w:rsidP="001B11AD">
      <w:pPr>
        <w:spacing w:before="240"/>
      </w:pPr>
      <w:r w:rsidRPr="001E69BE">
        <w:t>Where</w:t>
      </w:r>
      <w:r>
        <w:t>:</w:t>
      </w:r>
    </w:p>
    <w:p w14:paraId="73297CA8" w14:textId="7D2FFC86" w:rsidR="00A53AA1" w:rsidRDefault="001F04FD" w:rsidP="00A53AA1">
      <w:pPr>
        <w:tabs>
          <w:tab w:val="left" w:pos="2250"/>
          <w:tab w:val="left" w:pos="3150"/>
          <w:tab w:val="left" w:pos="3960"/>
        </w:tabs>
        <w:spacing w:after="240"/>
        <w:ind w:left="3600" w:hanging="2430"/>
        <w:rPr>
          <w:bCs/>
        </w:rPr>
      </w:pPr>
      <w:r w:rsidRPr="00A05195">
        <w:rPr>
          <w:bCs/>
        </w:rPr>
        <w:t>RTNCLRCAP</w:t>
      </w:r>
      <w:r w:rsidRPr="00A05195">
        <w:rPr>
          <w:bCs/>
          <w:i/>
          <w:vertAlign w:val="subscript"/>
        </w:rPr>
        <w:t xml:space="preserve"> q    </w:t>
      </w:r>
      <w:r w:rsidRPr="00A05195">
        <w:rPr>
          <w:bCs/>
        </w:rPr>
        <w:t>=</w:t>
      </w:r>
      <w:r w:rsidRPr="00A05195">
        <w:rPr>
          <w:bCs/>
        </w:rPr>
        <w:tab/>
      </w:r>
      <w:r w:rsidRPr="00A05195">
        <w:rPr>
          <w:bCs/>
        </w:rPr>
        <w:tab/>
      </w:r>
      <w:r w:rsidR="00A53AA1" w:rsidRPr="00876C1F">
        <w:rPr>
          <w:bCs/>
        </w:rPr>
        <w:t>Min(Max(RTNCLRNPC</w:t>
      </w:r>
      <w:r w:rsidR="00A53AA1" w:rsidRPr="00876C1F">
        <w:rPr>
          <w:bCs/>
          <w:i/>
          <w:vertAlign w:val="subscript"/>
        </w:rPr>
        <w:t xml:space="preserve"> q</w:t>
      </w:r>
      <w:r w:rsidR="00A53AA1" w:rsidRPr="00876C1F">
        <w:rPr>
          <w:bCs/>
        </w:rPr>
        <w:t xml:space="preserve"> – RTNCLRLPC</w:t>
      </w:r>
      <w:r w:rsidR="00A53AA1" w:rsidRPr="00876C1F">
        <w:rPr>
          <w:bCs/>
          <w:i/>
          <w:vertAlign w:val="subscript"/>
        </w:rPr>
        <w:t xml:space="preserve"> q</w:t>
      </w:r>
      <w:r w:rsidR="00A53AA1" w:rsidRPr="00876C1F">
        <w:rPr>
          <w:bCs/>
        </w:rPr>
        <w:t xml:space="preserve">, 0.0), </w:t>
      </w:r>
      <w:r w:rsidR="00BA7613">
        <w:rPr>
          <w:bCs/>
        </w:rPr>
        <w:t>(</w:t>
      </w:r>
      <w:r w:rsidR="00BA7613" w:rsidRPr="0003648D">
        <w:rPr>
          <w:bCs/>
        </w:rPr>
        <w:t>RTNCLR</w:t>
      </w:r>
      <w:r w:rsidR="00BA7613">
        <w:rPr>
          <w:bCs/>
        </w:rPr>
        <w:t>ECR</w:t>
      </w:r>
      <w:r w:rsidR="00BA7613" w:rsidRPr="0003648D">
        <w:rPr>
          <w:bCs/>
        </w:rPr>
        <w:t>S</w:t>
      </w:r>
      <w:r w:rsidR="00BA7613" w:rsidRPr="0003648D">
        <w:rPr>
          <w:bCs/>
          <w:i/>
          <w:vertAlign w:val="subscript"/>
        </w:rPr>
        <w:t xml:space="preserve"> q </w:t>
      </w:r>
      <w:r w:rsidR="00BA7613" w:rsidRPr="00EF2396">
        <w:rPr>
          <w:bCs/>
          <w:i/>
        </w:rPr>
        <w:t xml:space="preserve">+ </w:t>
      </w:r>
      <w:r w:rsidR="00A53AA1" w:rsidRPr="00876C1F">
        <w:rPr>
          <w:bCs/>
        </w:rPr>
        <w:t>RTNCLRRRS</w:t>
      </w:r>
      <w:r w:rsidR="00A53AA1" w:rsidRPr="00876C1F">
        <w:rPr>
          <w:bCs/>
          <w:i/>
          <w:vertAlign w:val="subscript"/>
        </w:rPr>
        <w:t xml:space="preserve"> q</w:t>
      </w:r>
      <w:r w:rsidR="00BA7613" w:rsidRPr="00876C1F">
        <w:rPr>
          <w:bCs/>
        </w:rPr>
        <w:t>)</w:t>
      </w:r>
      <w:r w:rsidR="00A53AA1" w:rsidRPr="00876C1F">
        <w:rPr>
          <w:bCs/>
          <w:i/>
          <w:vertAlign w:val="subscript"/>
        </w:rPr>
        <w:t xml:space="preserve"> </w:t>
      </w:r>
      <w:r w:rsidR="00A53AA1" w:rsidRPr="00876C1F">
        <w:rPr>
          <w:bCs/>
        </w:rPr>
        <w:t>* 1.5)</w:t>
      </w:r>
    </w:p>
    <w:p w14:paraId="5E38BBE2" w14:textId="27FBDA1B" w:rsidR="001F04FD" w:rsidRDefault="00A53AA1" w:rsidP="00BA7613">
      <w:pPr>
        <w:tabs>
          <w:tab w:val="left" w:pos="2250"/>
          <w:tab w:val="left" w:pos="3150"/>
          <w:tab w:val="left" w:pos="3960"/>
        </w:tabs>
        <w:spacing w:after="240"/>
        <w:ind w:left="3600" w:hanging="2430"/>
        <w:rPr>
          <w:bCs/>
        </w:rPr>
      </w:pPr>
      <w:r w:rsidRPr="00A05195">
        <w:t>RTNCLR</w:t>
      </w:r>
      <w:r>
        <w:t>RRS</w:t>
      </w:r>
      <w:r w:rsidRPr="00A05195">
        <w:rPr>
          <w:i/>
          <w:vertAlign w:val="subscript"/>
        </w:rPr>
        <w:t xml:space="preserve"> q    </w:t>
      </w:r>
      <w:r w:rsidRPr="00A05195">
        <w:rPr>
          <w:i/>
        </w:rPr>
        <w:t>=</w:t>
      </w:r>
      <w:r w:rsidRPr="00A05195">
        <w:t xml:space="preserve"> </w:t>
      </w:r>
      <w:r w:rsidRPr="00A05195">
        <w:tab/>
      </w:r>
      <w:r>
        <w:tab/>
      </w:r>
      <w:r w:rsidRPr="00A05195">
        <w:t xml:space="preserve">SYS_GEN_DISCFACTOR * </w:t>
      </w:r>
      <w:r w:rsidR="00A94020">
        <w:rPr>
          <w:noProof/>
          <w:position w:val="-18"/>
        </w:rPr>
        <w:drawing>
          <wp:inline distT="0" distB="0" distL="0" distR="0" wp14:anchorId="5E8DB4BD" wp14:editId="031C9088">
            <wp:extent cx="142875" cy="266700"/>
            <wp:effectExtent l="0" t="0" r="9525" b="0"/>
            <wp:docPr id="31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A94020">
        <w:rPr>
          <w:noProof/>
          <w:position w:val="-22"/>
        </w:rPr>
        <w:drawing>
          <wp:inline distT="0" distB="0" distL="0" distR="0" wp14:anchorId="7D5BA4A7" wp14:editId="12677A92">
            <wp:extent cx="142875" cy="295275"/>
            <wp:effectExtent l="0" t="0" r="9525" b="9525"/>
            <wp:docPr id="3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C30EF">
        <w:t xml:space="preserve"> </w:t>
      </w:r>
      <w:r w:rsidRPr="00A05195">
        <w:t>RTNCLR</w:t>
      </w:r>
      <w:r>
        <w:t>RRS</w:t>
      </w:r>
      <w:r w:rsidRPr="00A05195">
        <w:rPr>
          <w:bCs/>
        </w:rPr>
        <w:t xml:space="preserve">R </w:t>
      </w:r>
      <w:r w:rsidRPr="00932083">
        <w:rPr>
          <w:i/>
          <w:vertAlign w:val="subscript"/>
        </w:rPr>
        <w:t>q, r, p</w:t>
      </w:r>
      <w:r w:rsidRPr="00A05195" w:rsidDel="00A53AA1">
        <w:rPr>
          <w:bCs/>
        </w:rPr>
        <w:t xml:space="preserve"> </w:t>
      </w:r>
    </w:p>
    <w:p w14:paraId="03EB188D" w14:textId="57430206" w:rsidR="00BA7613" w:rsidRPr="00A05195" w:rsidRDefault="00BA7613" w:rsidP="00BA7613">
      <w:pPr>
        <w:tabs>
          <w:tab w:val="left" w:pos="2250"/>
          <w:tab w:val="left" w:pos="3150"/>
          <w:tab w:val="left" w:pos="3960"/>
        </w:tabs>
        <w:spacing w:after="240"/>
        <w:ind w:left="3600" w:hanging="2430"/>
        <w:rPr>
          <w:bCs/>
        </w:rPr>
      </w:pPr>
      <w:r w:rsidRPr="0003648D">
        <w:t>RTNCLR</w:t>
      </w:r>
      <w:r>
        <w:t>ECR</w:t>
      </w:r>
      <w:r w:rsidRPr="0003648D">
        <w:t>S</w:t>
      </w:r>
      <w:r w:rsidRPr="0003648D">
        <w:rPr>
          <w:i/>
          <w:vertAlign w:val="subscript"/>
        </w:rPr>
        <w:t xml:space="preserve"> q    </w:t>
      </w:r>
      <w:r w:rsidRPr="0003648D">
        <w:rPr>
          <w:i/>
        </w:rPr>
        <w:t>=</w:t>
      </w:r>
      <w:r w:rsidRPr="0003648D">
        <w:t xml:space="preserve"> </w:t>
      </w:r>
      <w:r w:rsidRPr="0003648D">
        <w:tab/>
        <w:t xml:space="preserve">SYS_GEN_DISCFACTOR * </w:t>
      </w:r>
      <w:r>
        <w:rPr>
          <w:noProof/>
          <w:position w:val="-18"/>
        </w:rPr>
        <w:drawing>
          <wp:inline distT="0" distB="0" distL="0" distR="0" wp14:anchorId="40B1888E" wp14:editId="75D08A65">
            <wp:extent cx="142875" cy="266700"/>
            <wp:effectExtent l="0" t="0" r="9525" b="0"/>
            <wp:docPr id="150"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Pr>
          <w:noProof/>
          <w:position w:val="-22"/>
        </w:rPr>
        <w:drawing>
          <wp:inline distT="0" distB="0" distL="0" distR="0" wp14:anchorId="5C5A4A96" wp14:editId="0EEC4D1D">
            <wp:extent cx="142875" cy="295275"/>
            <wp:effectExtent l="0" t="0" r="9525" b="9525"/>
            <wp:docPr id="151"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t xml:space="preserve"> RTNCLR</w:t>
      </w:r>
      <w:r>
        <w:t>ECR</w:t>
      </w:r>
      <w:r w:rsidRPr="0003648D">
        <w:t>S</w:t>
      </w:r>
      <w:r w:rsidRPr="0003648D">
        <w:rPr>
          <w:bCs/>
        </w:rPr>
        <w:t xml:space="preserve">R </w:t>
      </w:r>
      <w:r w:rsidRPr="0003648D">
        <w:rPr>
          <w:i/>
          <w:vertAlign w:val="subscript"/>
        </w:rPr>
        <w:t>q, r, p</w:t>
      </w:r>
    </w:p>
    <w:p w14:paraId="4F2604B4" w14:textId="37ADA257" w:rsidR="001F04FD" w:rsidRPr="00A05195" w:rsidRDefault="001F04FD" w:rsidP="00F969DB">
      <w:pPr>
        <w:spacing w:after="240"/>
        <w:ind w:left="2880" w:hanging="1710"/>
        <w:rPr>
          <w:b/>
          <w:i/>
          <w:vertAlign w:val="subscript"/>
        </w:rPr>
      </w:pPr>
      <w:r w:rsidRPr="00A05195">
        <w:t>RTNCLRNP</w:t>
      </w:r>
      <w:r>
        <w:t>C</w:t>
      </w:r>
      <w:r w:rsidRPr="00A05195">
        <w:rPr>
          <w:i/>
          <w:vertAlign w:val="subscript"/>
        </w:rPr>
        <w:t xml:space="preserve"> q    </w:t>
      </w:r>
      <w:r w:rsidRPr="00A05195">
        <w:rPr>
          <w:i/>
        </w:rPr>
        <w:t>=</w:t>
      </w:r>
      <w:r w:rsidRPr="00A05195">
        <w:t xml:space="preserve"> </w:t>
      </w:r>
      <w:r w:rsidRPr="00A05195">
        <w:tab/>
        <w:t xml:space="preserve">SYS_GEN_DISCFACTOR * </w:t>
      </w:r>
      <w:r w:rsidR="00A94020">
        <w:rPr>
          <w:noProof/>
          <w:position w:val="-18"/>
        </w:rPr>
        <w:drawing>
          <wp:inline distT="0" distB="0" distL="0" distR="0" wp14:anchorId="628E3483" wp14:editId="520F7FFB">
            <wp:extent cx="142875" cy="2667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A94020">
        <w:rPr>
          <w:noProof/>
          <w:position w:val="-22"/>
        </w:rPr>
        <w:drawing>
          <wp:inline distT="0" distB="0" distL="0" distR="0" wp14:anchorId="04817F5A" wp14:editId="32CA242A">
            <wp:extent cx="142875" cy="2952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A05195">
        <w:rPr>
          <w:bCs/>
        </w:rPr>
        <w:t>RTNCLRNP</w:t>
      </w:r>
      <w:r>
        <w:rPr>
          <w:bCs/>
        </w:rPr>
        <w:t>C</w:t>
      </w:r>
      <w:r w:rsidRPr="00A05195">
        <w:rPr>
          <w:bCs/>
        </w:rPr>
        <w:t xml:space="preserve">R </w:t>
      </w:r>
      <w:r w:rsidRPr="00932083">
        <w:rPr>
          <w:i/>
          <w:vertAlign w:val="subscript"/>
        </w:rPr>
        <w:t>q, r, p</w:t>
      </w:r>
    </w:p>
    <w:p w14:paraId="008F4BBB" w14:textId="5C59A2AD" w:rsidR="001F04FD" w:rsidRPr="00932083" w:rsidRDefault="001F04FD" w:rsidP="001F04FD">
      <w:pPr>
        <w:spacing w:after="240"/>
        <w:ind w:left="2880" w:hanging="1710"/>
        <w:rPr>
          <w:bCs/>
        </w:rPr>
      </w:pPr>
      <w:r w:rsidRPr="00A05195">
        <w:t>RTNCLRL</w:t>
      </w:r>
      <w:r>
        <w:t>PC</w:t>
      </w:r>
      <w:r w:rsidRPr="00A05195">
        <w:rPr>
          <w:i/>
          <w:vertAlign w:val="subscript"/>
        </w:rPr>
        <w:t xml:space="preserve"> q    </w:t>
      </w:r>
      <w:r w:rsidRPr="00A05195">
        <w:rPr>
          <w:i/>
        </w:rPr>
        <w:t>=</w:t>
      </w:r>
      <w:r w:rsidRPr="00A05195">
        <w:t xml:space="preserve"> </w:t>
      </w:r>
      <w:r w:rsidRPr="00A05195">
        <w:tab/>
        <w:t xml:space="preserve">SYS_GEN_DISCFACTOR * </w:t>
      </w:r>
      <w:r w:rsidR="00A94020">
        <w:rPr>
          <w:noProof/>
          <w:position w:val="-18"/>
        </w:rPr>
        <w:drawing>
          <wp:inline distT="0" distB="0" distL="0" distR="0" wp14:anchorId="76FF5989" wp14:editId="5F1FA714">
            <wp:extent cx="142875" cy="266700"/>
            <wp:effectExtent l="0" t="0" r="9525" b="0"/>
            <wp:docPr id="32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A94020">
        <w:rPr>
          <w:noProof/>
          <w:position w:val="-22"/>
        </w:rPr>
        <w:drawing>
          <wp:inline distT="0" distB="0" distL="0" distR="0" wp14:anchorId="3D1AE5AA" wp14:editId="314B420B">
            <wp:extent cx="142875" cy="295275"/>
            <wp:effectExtent l="0" t="0" r="9525" b="9525"/>
            <wp:docPr id="32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A05195">
        <w:rPr>
          <w:bCs/>
        </w:rPr>
        <w:t>RTNCLRL</w:t>
      </w:r>
      <w:r>
        <w:rPr>
          <w:bCs/>
        </w:rPr>
        <w:t>PC</w:t>
      </w:r>
      <w:r w:rsidRPr="00A05195">
        <w:rPr>
          <w:bCs/>
        </w:rPr>
        <w:t xml:space="preserve">R </w:t>
      </w:r>
      <w:r w:rsidRPr="00932083">
        <w:rPr>
          <w:i/>
          <w:vertAlign w:val="subscript"/>
        </w:rPr>
        <w:t>q, r, p</w:t>
      </w:r>
    </w:p>
    <w:p w14:paraId="1458EC59" w14:textId="77777777" w:rsidR="001F04FD" w:rsidRPr="00C42571" w:rsidRDefault="001F04FD" w:rsidP="001F04FD">
      <w:pPr>
        <w:spacing w:after="240"/>
        <w:ind w:left="2880" w:hanging="1710"/>
      </w:pPr>
      <w:r w:rsidRPr="00C42571">
        <w:lastRenderedPageBreak/>
        <w:t>RTOLHSL</w:t>
      </w:r>
      <w:r w:rsidRPr="000275BF">
        <w:rPr>
          <w:i/>
          <w:vertAlign w:val="subscript"/>
        </w:rPr>
        <w:t xml:space="preserve"> q</w:t>
      </w:r>
      <w:r w:rsidRPr="00C42571">
        <w:t xml:space="preserve"> =</w:t>
      </w:r>
      <w:r>
        <w:tab/>
      </w:r>
      <w:r>
        <w:tab/>
      </w:r>
      <w:r w:rsidRPr="0010409C">
        <w:t xml:space="preserve">SYS_GEN_DISCFACTOR * </w:t>
      </w:r>
      <w:r w:rsidRPr="000275BF">
        <w:rPr>
          <w:position w:val="-18"/>
        </w:rPr>
        <w:object w:dxaOrig="225" w:dyaOrig="420" w14:anchorId="4BE97F34">
          <v:shape id="_x0000_i1381" type="#_x0000_t75" style="width:12pt;height:24pt" o:ole="">
            <v:imagedata r:id="rId159" o:title=""/>
          </v:shape>
          <o:OLEObject Type="Embed" ProgID="Equation.3" ShapeID="_x0000_i1381" DrawAspect="Content" ObjectID="_1815025569" r:id="rId472"/>
        </w:object>
      </w:r>
      <w:r w:rsidRPr="000275BF">
        <w:rPr>
          <w:position w:val="-22"/>
        </w:rPr>
        <w:object w:dxaOrig="225" w:dyaOrig="465" w14:anchorId="57C1BC90">
          <v:shape id="_x0000_i1382" type="#_x0000_t75" style="width:12pt;height:18pt" o:ole="">
            <v:imagedata r:id="rId172" o:title=""/>
          </v:shape>
          <o:OLEObject Type="Embed" ProgID="Equation.3" ShapeID="_x0000_i1382" DrawAspect="Content" ObjectID="_1815025570" r:id="rId473"/>
        </w:object>
      </w:r>
      <w:r w:rsidRPr="00C42571">
        <w:t>RTOLHSLR</w:t>
      </w:r>
      <w:r>
        <w:t>A</w:t>
      </w:r>
      <w:r w:rsidRPr="000275BF">
        <w:rPr>
          <w:i/>
          <w:vertAlign w:val="subscript"/>
        </w:rPr>
        <w:t xml:space="preserve"> q, r, p</w:t>
      </w:r>
    </w:p>
    <w:p w14:paraId="326FDAA4" w14:textId="77777777" w:rsidR="001F04FD" w:rsidRDefault="001F04FD" w:rsidP="001F04FD">
      <w:pPr>
        <w:spacing w:after="240"/>
        <w:ind w:left="2880" w:hanging="1710"/>
      </w:pPr>
      <w:r w:rsidRPr="00A94098">
        <w:t>RT</w:t>
      </w:r>
      <w:r>
        <w:t>MGQ</w:t>
      </w:r>
      <w:r w:rsidRPr="000275BF">
        <w:rPr>
          <w:i/>
          <w:vertAlign w:val="subscript"/>
        </w:rPr>
        <w:t xml:space="preserve"> q</w:t>
      </w:r>
      <w:r w:rsidRPr="00A94098">
        <w:t xml:space="preserve"> =</w:t>
      </w:r>
      <w:r>
        <w:tab/>
      </w:r>
      <w:r>
        <w:tab/>
      </w:r>
      <w:r w:rsidRPr="0010409C">
        <w:t xml:space="preserve">SYS_GEN_DISCFACTOR * </w:t>
      </w:r>
      <w:r w:rsidRPr="000275BF">
        <w:rPr>
          <w:position w:val="-18"/>
        </w:rPr>
        <w:object w:dxaOrig="225" w:dyaOrig="420" w14:anchorId="3E6BD5E0">
          <v:shape id="_x0000_i1383" type="#_x0000_t75" style="width:12pt;height:24pt" o:ole="">
            <v:imagedata r:id="rId159" o:title=""/>
          </v:shape>
          <o:OLEObject Type="Embed" ProgID="Equation.3" ShapeID="_x0000_i1383" DrawAspect="Content" ObjectID="_1815025571" r:id="rId474"/>
        </w:object>
      </w:r>
      <w:r w:rsidRPr="000275BF">
        <w:rPr>
          <w:position w:val="-22"/>
        </w:rPr>
        <w:object w:dxaOrig="225" w:dyaOrig="465" w14:anchorId="49F8CBFD">
          <v:shape id="_x0000_i1384" type="#_x0000_t75" style="width:12pt;height:18pt" o:ole="">
            <v:imagedata r:id="rId172" o:title=""/>
          </v:shape>
          <o:OLEObject Type="Embed" ProgID="Equation.3" ShapeID="_x0000_i1384" DrawAspect="Content" ObjectID="_1815025572" r:id="rId475"/>
        </w:object>
      </w:r>
      <w:r w:rsidRPr="00A94098">
        <w:t>RT</w:t>
      </w:r>
      <w:r>
        <w:t>MGA</w:t>
      </w:r>
      <w:r w:rsidRPr="000275BF">
        <w:rPr>
          <w:i/>
          <w:vertAlign w:val="subscript"/>
        </w:rPr>
        <w:t xml:space="preserve"> q, r, p</w:t>
      </w:r>
      <w:r>
        <w:t xml:space="preserve"> </w:t>
      </w:r>
    </w:p>
    <w:p w14:paraId="08238F6C" w14:textId="77777777" w:rsidR="001F04FD" w:rsidRPr="00B6611B" w:rsidRDefault="001F04FD" w:rsidP="001F04FD">
      <w:pPr>
        <w:spacing w:after="240"/>
        <w:ind w:left="720" w:firstLine="720"/>
      </w:pPr>
      <w:r>
        <w:t xml:space="preserve">        </w:t>
      </w:r>
      <w:r w:rsidRPr="00B6611B">
        <w:t>If  RTMGA</w:t>
      </w:r>
      <w:r w:rsidRPr="00B6611B">
        <w:rPr>
          <w:i/>
          <w:vertAlign w:val="subscript"/>
        </w:rPr>
        <w:t xml:space="preserve"> q, r, p</w:t>
      </w:r>
      <w:r w:rsidRPr="00B6611B">
        <w:t xml:space="preserve"> &gt; RTOLHSLRA</w:t>
      </w:r>
      <w:r w:rsidRPr="00B6611B">
        <w:rPr>
          <w:i/>
          <w:vertAlign w:val="subscript"/>
        </w:rPr>
        <w:t xml:space="preserve"> q, r, p </w:t>
      </w:r>
      <w:r w:rsidRPr="00B6611B">
        <w:t xml:space="preserve"> </w:t>
      </w:r>
    </w:p>
    <w:p w14:paraId="5741E927" w14:textId="77777777" w:rsidR="001F04FD" w:rsidRPr="003E514A" w:rsidRDefault="001F04FD" w:rsidP="001F04FD">
      <w:pPr>
        <w:spacing w:after="240"/>
        <w:ind w:left="2880" w:hanging="1710"/>
        <w:rPr>
          <w:i/>
          <w:vertAlign w:val="subscript"/>
        </w:rPr>
      </w:pPr>
      <w:r w:rsidRPr="00B6611B">
        <w:t xml:space="preserve">            Then RTMGA</w:t>
      </w:r>
      <w:r w:rsidRPr="00B6611B">
        <w:rPr>
          <w:i/>
          <w:vertAlign w:val="subscript"/>
        </w:rPr>
        <w:t xml:space="preserve"> q, r, p</w:t>
      </w:r>
      <w:r w:rsidRPr="00B6611B">
        <w:t xml:space="preserve"> = RTOLHSLRA</w:t>
      </w:r>
      <w:r w:rsidRPr="00B6611B">
        <w:rPr>
          <w:i/>
          <w:vertAlign w:val="subscript"/>
        </w:rPr>
        <w:t xml:space="preserve"> q, r, p </w:t>
      </w:r>
      <w:r w:rsidRPr="00B6611B">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14D02991" w14:textId="77777777" w:rsidTr="000169BA">
        <w:trPr>
          <w:trHeight w:val="206"/>
        </w:trPr>
        <w:tc>
          <w:tcPr>
            <w:tcW w:w="9576" w:type="dxa"/>
            <w:shd w:val="pct12" w:color="auto" w:fill="auto"/>
          </w:tcPr>
          <w:p w14:paraId="1F226851" w14:textId="38E05134" w:rsidR="000169BA" w:rsidRDefault="000169BA" w:rsidP="000169BA">
            <w:pPr>
              <w:pStyle w:val="Instructions"/>
              <w:spacing w:before="120"/>
            </w:pPr>
            <w:r>
              <w:t>[NPRR987:  Insert the language below upon system implementation:]</w:t>
            </w:r>
          </w:p>
          <w:p w14:paraId="0608A5E0" w14:textId="1834D10A" w:rsidR="000169BA" w:rsidRPr="000169BA" w:rsidRDefault="000169BA" w:rsidP="000169BA">
            <w:pPr>
              <w:spacing w:after="240"/>
              <w:rPr>
                <w:i/>
                <w:vertAlign w:val="subscript"/>
              </w:rPr>
            </w:pPr>
            <w:r w:rsidRPr="001E69BE">
              <w:t>Where</w:t>
            </w:r>
            <w:r>
              <w:t xml:space="preserve"> for a Controllable Load Resource other than a modeled Controllable Load Resource associated with an Energy Storage Resource (ESR)</w:t>
            </w:r>
            <w:r w:rsidRPr="001E69BE">
              <w:t>:</w:t>
            </w:r>
          </w:p>
        </w:tc>
      </w:tr>
    </w:tbl>
    <w:p w14:paraId="169A673B" w14:textId="2C5C4CC5" w:rsidR="001F04FD" w:rsidRPr="009E20B5" w:rsidRDefault="001F04FD" w:rsidP="001B11AD">
      <w:pPr>
        <w:pStyle w:val="FormulaBold"/>
        <w:tabs>
          <w:tab w:val="clear" w:pos="2250"/>
          <w:tab w:val="clear" w:pos="3150"/>
          <w:tab w:val="clear" w:pos="3960"/>
        </w:tabs>
        <w:spacing w:before="240"/>
        <w:ind w:left="3600" w:hanging="2430"/>
        <w:rPr>
          <w:b w:val="0"/>
        </w:rPr>
      </w:pPr>
      <w:r w:rsidRPr="009E20B5">
        <w:rPr>
          <w:b w:val="0"/>
        </w:rPr>
        <w:t>RTCLRCAP</w:t>
      </w:r>
      <w:r w:rsidRPr="009E20B5">
        <w:rPr>
          <w:b w:val="0"/>
          <w:i/>
          <w:vertAlign w:val="subscript"/>
        </w:rPr>
        <w:t xml:space="preserve"> q</w:t>
      </w:r>
      <w:r w:rsidR="003459E8">
        <w:rPr>
          <w:b w:val="0"/>
          <w:i/>
          <w:vertAlign w:val="subscript"/>
        </w:rPr>
        <w:t xml:space="preserve"> </w:t>
      </w:r>
      <w:r w:rsidRPr="009E20B5">
        <w:rPr>
          <w:b w:val="0"/>
        </w:rPr>
        <w:t>=</w:t>
      </w:r>
      <w:r w:rsidRPr="009E20B5">
        <w:rPr>
          <w:b w:val="0"/>
        </w:rPr>
        <w:tab/>
        <w:t>RTCLRNP</w:t>
      </w:r>
      <w:r>
        <w:rPr>
          <w:b w:val="0"/>
        </w:rPr>
        <w:t>C</w:t>
      </w:r>
      <w:r w:rsidRPr="009E20B5">
        <w:rPr>
          <w:b w:val="0"/>
          <w:i/>
          <w:vertAlign w:val="subscript"/>
        </w:rPr>
        <w:t xml:space="preserve"> q</w:t>
      </w:r>
      <w:r w:rsidRPr="009E20B5">
        <w:rPr>
          <w:b w:val="0"/>
        </w:rPr>
        <w:t xml:space="preserve"> – RTCLRL</w:t>
      </w:r>
      <w:r>
        <w:rPr>
          <w:b w:val="0"/>
        </w:rPr>
        <w:t>PC</w:t>
      </w:r>
      <w:r w:rsidRPr="009E20B5">
        <w:rPr>
          <w:b w:val="0"/>
          <w:i/>
          <w:vertAlign w:val="subscript"/>
        </w:rPr>
        <w:t xml:space="preserve"> q</w:t>
      </w:r>
      <w:r w:rsidRPr="003E514A">
        <w:rPr>
          <w:b w:val="0"/>
        </w:rPr>
        <w:t xml:space="preserve"> + RTCLRREG</w:t>
      </w:r>
      <w:r w:rsidRPr="003E514A">
        <w:rPr>
          <w:b w:val="0"/>
          <w:i/>
          <w:vertAlign w:val="subscript"/>
        </w:rPr>
        <w:t xml:space="preserve"> q</w:t>
      </w:r>
    </w:p>
    <w:p w14:paraId="3E4874D6" w14:textId="57188299" w:rsidR="001F04FD" w:rsidRPr="00DD5118" w:rsidRDefault="001F04FD" w:rsidP="00F468C2">
      <w:pPr>
        <w:spacing w:after="240"/>
        <w:ind w:left="2880" w:hanging="1710"/>
        <w:rPr>
          <w:bCs/>
        </w:rPr>
      </w:pPr>
      <w:r w:rsidRPr="00177E15">
        <w:t>RTCLRNP</w:t>
      </w:r>
      <w:r>
        <w:t>C </w:t>
      </w:r>
      <w:r w:rsidRPr="00177E15">
        <w:rPr>
          <w:i/>
          <w:vertAlign w:val="subscript"/>
        </w:rPr>
        <w:t>q</w:t>
      </w:r>
      <w:r w:rsidR="003459E8">
        <w:rPr>
          <w:i/>
          <w:vertAlign w:val="subscript"/>
        </w:rPr>
        <w:t xml:space="preserve"> </w:t>
      </w:r>
      <w:r w:rsidRPr="001E69BE">
        <w:rPr>
          <w:bCs/>
        </w:rPr>
        <w:t>=</w:t>
      </w:r>
      <w:r>
        <w:rPr>
          <w:bCs/>
        </w:rPr>
        <w:tab/>
      </w:r>
      <w:r>
        <w:rPr>
          <w:bCs/>
        </w:rPr>
        <w:tab/>
      </w:r>
      <w:r w:rsidRPr="0010409C">
        <w:t xml:space="preserve">SYS_GEN_DISCFACTOR * </w:t>
      </w:r>
      <w:r w:rsidRPr="000275BF">
        <w:rPr>
          <w:position w:val="-18"/>
        </w:rPr>
        <w:object w:dxaOrig="225" w:dyaOrig="420" w14:anchorId="68B68C0A">
          <v:shape id="_x0000_i1385" type="#_x0000_t75" style="width:12pt;height:24pt" o:ole="">
            <v:imagedata r:id="rId159" o:title=""/>
          </v:shape>
          <o:OLEObject Type="Embed" ProgID="Equation.3" ShapeID="_x0000_i1385" DrawAspect="Content" ObjectID="_1815025573" r:id="rId476"/>
        </w:object>
      </w:r>
      <w:r w:rsidRPr="000275BF">
        <w:rPr>
          <w:position w:val="-22"/>
        </w:rPr>
        <w:object w:dxaOrig="225" w:dyaOrig="465" w14:anchorId="3E274163">
          <v:shape id="_x0000_i1386" type="#_x0000_t75" style="width:12pt;height:18pt" o:ole="">
            <v:imagedata r:id="rId172" o:title=""/>
          </v:shape>
          <o:OLEObject Type="Embed" ProgID="Equation.3" ShapeID="_x0000_i1386" DrawAspect="Content" ObjectID="_1815025574" r:id="rId477"/>
        </w:object>
      </w:r>
      <w:r w:rsidRPr="00DD5118">
        <w:rPr>
          <w:bCs/>
        </w:rPr>
        <w:t>RTCLRNP</w:t>
      </w:r>
      <w:r>
        <w:rPr>
          <w:bCs/>
        </w:rPr>
        <w:t>C</w:t>
      </w:r>
      <w:r w:rsidRPr="00DD5118">
        <w:rPr>
          <w:bCs/>
        </w:rPr>
        <w:t>R</w:t>
      </w:r>
      <w:r>
        <w:rPr>
          <w:bCs/>
        </w:rPr>
        <w:t xml:space="preserve"> </w:t>
      </w:r>
      <w:r w:rsidRPr="000275BF">
        <w:rPr>
          <w:b/>
          <w:i/>
          <w:vertAlign w:val="subscript"/>
        </w:rPr>
        <w:t>q, r, p</w:t>
      </w:r>
    </w:p>
    <w:p w14:paraId="7CB71D97" w14:textId="77777777" w:rsidR="001F04FD" w:rsidRPr="00DD5118" w:rsidRDefault="001F04FD" w:rsidP="001F04FD">
      <w:pPr>
        <w:spacing w:after="240"/>
        <w:ind w:left="2880" w:hanging="1710"/>
        <w:rPr>
          <w:bCs/>
        </w:rPr>
      </w:pPr>
      <w:r w:rsidRPr="00177E15">
        <w:t>RTCLRL</w:t>
      </w:r>
      <w:r>
        <w:t>PC </w:t>
      </w:r>
      <w:r w:rsidRPr="00177E15">
        <w:rPr>
          <w:i/>
          <w:vertAlign w:val="subscript"/>
        </w:rPr>
        <w:t>q</w:t>
      </w:r>
      <w:r w:rsidRPr="00DD5118">
        <w:rPr>
          <w:bCs/>
        </w:rPr>
        <w:t xml:space="preserve"> =</w:t>
      </w:r>
      <w:r>
        <w:rPr>
          <w:bCs/>
        </w:rPr>
        <w:tab/>
      </w:r>
      <w:r>
        <w:rPr>
          <w:bCs/>
        </w:rPr>
        <w:tab/>
      </w:r>
      <w:r w:rsidRPr="0010409C">
        <w:t xml:space="preserve">SYS_GEN_DISCFACTOR * </w:t>
      </w:r>
      <w:r w:rsidRPr="000275BF">
        <w:rPr>
          <w:position w:val="-18"/>
        </w:rPr>
        <w:object w:dxaOrig="225" w:dyaOrig="420" w14:anchorId="03044012">
          <v:shape id="_x0000_i1387" type="#_x0000_t75" style="width:12pt;height:24pt" o:ole="">
            <v:imagedata r:id="rId159" o:title=""/>
          </v:shape>
          <o:OLEObject Type="Embed" ProgID="Equation.3" ShapeID="_x0000_i1387" DrawAspect="Content" ObjectID="_1815025575" r:id="rId478"/>
        </w:object>
      </w:r>
      <w:r w:rsidRPr="000275BF">
        <w:rPr>
          <w:position w:val="-22"/>
        </w:rPr>
        <w:object w:dxaOrig="225" w:dyaOrig="465" w14:anchorId="551AA27E">
          <v:shape id="_x0000_i1388" type="#_x0000_t75" style="width:12pt;height:18pt" o:ole="">
            <v:imagedata r:id="rId172" o:title=""/>
          </v:shape>
          <o:OLEObject Type="Embed" ProgID="Equation.3" ShapeID="_x0000_i1388" DrawAspect="Content" ObjectID="_1815025576" r:id="rId479"/>
        </w:object>
      </w:r>
      <w:r w:rsidRPr="00DD5118">
        <w:rPr>
          <w:bCs/>
        </w:rPr>
        <w:t>RTCLRL</w:t>
      </w:r>
      <w:r>
        <w:rPr>
          <w:bCs/>
        </w:rPr>
        <w:t>PC</w:t>
      </w:r>
      <w:r w:rsidRPr="00DD5118">
        <w:rPr>
          <w:bCs/>
        </w:rPr>
        <w:t>R</w:t>
      </w:r>
      <w:r w:rsidRPr="000275BF">
        <w:rPr>
          <w:b/>
          <w:i/>
          <w:vertAlign w:val="subscript"/>
        </w:rPr>
        <w:t xml:space="preserve"> q, r, p</w:t>
      </w:r>
    </w:p>
    <w:p w14:paraId="7EAB237D" w14:textId="77777777" w:rsidR="001F04FD" w:rsidRPr="009E20B5" w:rsidRDefault="001F04FD" w:rsidP="00F468C2">
      <w:pPr>
        <w:pStyle w:val="FormulaBold"/>
        <w:tabs>
          <w:tab w:val="clear" w:pos="2250"/>
          <w:tab w:val="clear" w:pos="3150"/>
          <w:tab w:val="clear" w:pos="3960"/>
        </w:tabs>
        <w:ind w:left="3600" w:hanging="2430"/>
        <w:rPr>
          <w:b w:val="0"/>
        </w:rPr>
      </w:pPr>
      <w:r w:rsidRPr="003E514A">
        <w:rPr>
          <w:b w:val="0"/>
        </w:rPr>
        <w:t>RTCLRREG </w:t>
      </w:r>
      <w:r w:rsidRPr="003E514A">
        <w:rPr>
          <w:b w:val="0"/>
          <w:bCs w:val="0"/>
          <w:i/>
          <w:vertAlign w:val="subscript"/>
        </w:rPr>
        <w:t>q</w:t>
      </w:r>
      <w:r>
        <w:rPr>
          <w:b w:val="0"/>
          <w:bCs w:val="0"/>
          <w:i/>
          <w:vertAlign w:val="subscript"/>
        </w:rPr>
        <w:t xml:space="preserve"> </w:t>
      </w:r>
      <w:r w:rsidRPr="003E514A">
        <w:rPr>
          <w:b w:val="0"/>
          <w:bCs w:val="0"/>
        </w:rPr>
        <w:t>=</w:t>
      </w:r>
      <w:r>
        <w:rPr>
          <w:b w:val="0"/>
          <w:bCs w:val="0"/>
        </w:rPr>
        <w:tab/>
      </w:r>
      <w:r w:rsidRPr="00775EDD">
        <w:rPr>
          <w:b w:val="0"/>
        </w:rPr>
        <w:t>SYS_GEN_DISCFACTOR *</w:t>
      </w:r>
      <w:r w:rsidRPr="0010409C">
        <w:t xml:space="preserve"> </w:t>
      </w:r>
      <w:r w:rsidRPr="003E514A">
        <w:rPr>
          <w:b w:val="0"/>
          <w:position w:val="-18"/>
        </w:rPr>
        <w:object w:dxaOrig="225" w:dyaOrig="420" w14:anchorId="3F215885">
          <v:shape id="_x0000_i1389" type="#_x0000_t75" style="width:12pt;height:24pt" o:ole="">
            <v:imagedata r:id="rId159" o:title=""/>
          </v:shape>
          <o:OLEObject Type="Embed" ProgID="Equation.3" ShapeID="_x0000_i1389" DrawAspect="Content" ObjectID="_1815025577" r:id="rId480"/>
        </w:object>
      </w:r>
      <w:r w:rsidRPr="003E514A">
        <w:rPr>
          <w:b w:val="0"/>
          <w:position w:val="-22"/>
        </w:rPr>
        <w:object w:dxaOrig="225" w:dyaOrig="465" w14:anchorId="7D4DC5EC">
          <v:shape id="_x0000_i1390" type="#_x0000_t75" style="width:12pt;height:18pt" o:ole="">
            <v:imagedata r:id="rId172" o:title=""/>
          </v:shape>
          <o:OLEObject Type="Embed" ProgID="Equation.3" ShapeID="_x0000_i1390" DrawAspect="Content" ObjectID="_1815025578" r:id="rId481"/>
        </w:object>
      </w:r>
      <w:r w:rsidRPr="003E514A">
        <w:rPr>
          <w:b w:val="0"/>
          <w:bCs w:val="0"/>
        </w:rPr>
        <w:t xml:space="preserve"> </w:t>
      </w:r>
      <w:r w:rsidRPr="003E514A">
        <w:rPr>
          <w:b w:val="0"/>
        </w:rPr>
        <w:t>RTCLRREGR</w:t>
      </w:r>
      <w:r w:rsidRPr="003E514A">
        <w:rPr>
          <w:b w:val="0"/>
          <w:i/>
          <w:vertAlign w:val="subscript"/>
        </w:rPr>
        <w:t xml:space="preserve"> </w:t>
      </w:r>
      <w:r w:rsidRPr="009E20B5">
        <w:rPr>
          <w:b w:val="0"/>
          <w:i/>
          <w:vertAlign w:val="subscript"/>
        </w:rPr>
        <w:t>q, r, p</w:t>
      </w:r>
    </w:p>
    <w:p w14:paraId="74134D5D" w14:textId="77777777" w:rsidR="000169BA" w:rsidRPr="001E69BE" w:rsidRDefault="000169BA" w:rsidP="000169BA">
      <w:pPr>
        <w:spacing w:after="240"/>
      </w:pPr>
      <w:r w:rsidRPr="001E69BE">
        <w:t>Where:</w:t>
      </w:r>
    </w:p>
    <w:p w14:paraId="067D674D" w14:textId="04F064EC" w:rsidR="001F04FD" w:rsidRPr="000275BF" w:rsidRDefault="001F04FD" w:rsidP="001F04FD">
      <w:pPr>
        <w:pStyle w:val="FormulaBold"/>
        <w:tabs>
          <w:tab w:val="clear" w:pos="2250"/>
          <w:tab w:val="clear" w:pos="3150"/>
          <w:tab w:val="clear" w:pos="3960"/>
        </w:tabs>
        <w:ind w:left="3600" w:hanging="2430"/>
        <w:rPr>
          <w:b w:val="0"/>
        </w:rPr>
      </w:pPr>
      <w:r w:rsidRPr="000275BF">
        <w:rPr>
          <w:b w:val="0"/>
        </w:rPr>
        <w:t>RTRSVPOR</w:t>
      </w:r>
      <w:r w:rsidR="00B815D4">
        <w:rPr>
          <w:b w:val="0"/>
        </w:rPr>
        <w:t xml:space="preserve"> </w:t>
      </w:r>
      <w:r w:rsidRPr="000275BF">
        <w:rPr>
          <w:b w:val="0"/>
        </w:rPr>
        <w:t>=</w:t>
      </w:r>
      <w:r w:rsidRPr="000275BF">
        <w:rPr>
          <w:b w:val="0"/>
        </w:rPr>
        <w:tab/>
      </w:r>
      <w:r w:rsidR="00A94020">
        <w:rPr>
          <w:b w:val="0"/>
          <w:noProof/>
        </w:rPr>
        <w:drawing>
          <wp:inline distT="0" distB="0" distL="0" distR="0" wp14:anchorId="2BAEE63F" wp14:editId="6BDFD4B7">
            <wp:extent cx="142875" cy="295275"/>
            <wp:effectExtent l="0" t="0" r="9525" b="9525"/>
            <wp:docPr id="337" name="Picture 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275BF">
        <w:rPr>
          <w:b w:val="0"/>
        </w:rPr>
        <w:t xml:space="preserve">(RNWF </w:t>
      </w:r>
      <w:r w:rsidRPr="000275BF">
        <w:rPr>
          <w:b w:val="0"/>
          <w:i/>
          <w:iCs/>
          <w:vertAlign w:val="subscript"/>
        </w:rPr>
        <w:t xml:space="preserve"> y </w:t>
      </w:r>
      <w:r w:rsidRPr="000275BF">
        <w:rPr>
          <w:b w:val="0"/>
        </w:rPr>
        <w:t>* RTORPA</w:t>
      </w:r>
      <w:r w:rsidRPr="000275BF">
        <w:rPr>
          <w:b w:val="0"/>
          <w:i/>
          <w:iCs/>
          <w:vertAlign w:val="subscript"/>
        </w:rPr>
        <w:t xml:space="preserve"> y</w:t>
      </w:r>
      <w:r w:rsidRPr="000275BF">
        <w:rPr>
          <w:b w:val="0"/>
        </w:rPr>
        <w:t>)</w:t>
      </w:r>
    </w:p>
    <w:p w14:paraId="13F0B63D" w14:textId="0F9E68DE" w:rsidR="001F04FD" w:rsidRPr="00602C41" w:rsidRDefault="001F04FD" w:rsidP="001F04FD">
      <w:pPr>
        <w:spacing w:after="240"/>
        <w:ind w:left="3600" w:hanging="2430"/>
      </w:pPr>
      <w:r w:rsidRPr="00602C41">
        <w:t>RTASOFFIMB</w:t>
      </w:r>
      <w:r w:rsidRPr="00602C41">
        <w:rPr>
          <w:i/>
          <w:vertAlign w:val="subscript"/>
        </w:rPr>
        <w:t xml:space="preserve"> q</w:t>
      </w:r>
      <w:r w:rsidRPr="00602C41">
        <w:t xml:space="preserve"> =</w:t>
      </w:r>
      <w:r w:rsidRPr="00602C41">
        <w:tab/>
        <w:t>RTOFFCAP</w:t>
      </w:r>
      <w:r w:rsidRPr="00602C41">
        <w:rPr>
          <w:i/>
          <w:vertAlign w:val="subscript"/>
        </w:rPr>
        <w:t xml:space="preserve"> q</w:t>
      </w:r>
      <w:r w:rsidRPr="00602C41">
        <w:t xml:space="preserve"> – (RTASOFF</w:t>
      </w:r>
      <w:r w:rsidRPr="00602C41">
        <w:rPr>
          <w:i/>
          <w:vertAlign w:val="subscript"/>
        </w:rPr>
        <w:t xml:space="preserve"> q</w:t>
      </w:r>
      <w:r w:rsidR="00013237" w:rsidRPr="00602C41">
        <w:t xml:space="preserve"> + RT</w:t>
      </w:r>
      <w:r w:rsidR="00013237">
        <w:t>N</w:t>
      </w:r>
      <w:r w:rsidR="00013237" w:rsidRPr="00602C41">
        <w:t xml:space="preserve">CLRNSRESP </w:t>
      </w:r>
      <w:r w:rsidR="00013237" w:rsidRPr="00602C41">
        <w:rPr>
          <w:i/>
          <w:vertAlign w:val="subscript"/>
        </w:rPr>
        <w:t>q</w:t>
      </w:r>
      <w:r w:rsidRPr="00602C41">
        <w:t>)</w:t>
      </w:r>
    </w:p>
    <w:p w14:paraId="148BFDA8" w14:textId="1CB90FDF" w:rsidR="001F04FD" w:rsidRDefault="001F04FD" w:rsidP="00F468C2">
      <w:pPr>
        <w:pStyle w:val="FormulaBold"/>
        <w:tabs>
          <w:tab w:val="clear" w:pos="2250"/>
          <w:tab w:val="clear" w:pos="3150"/>
          <w:tab w:val="clear" w:pos="3960"/>
        </w:tabs>
        <w:ind w:left="3600" w:hanging="2430"/>
        <w:rPr>
          <w:b w:val="0"/>
          <w:i/>
          <w:vertAlign w:val="subscript"/>
        </w:rPr>
      </w:pPr>
      <w:r w:rsidRPr="000275BF">
        <w:rPr>
          <w:b w:val="0"/>
        </w:rPr>
        <w:t>RTOFFCAP</w:t>
      </w:r>
      <w:r w:rsidRPr="000275BF">
        <w:rPr>
          <w:b w:val="0"/>
          <w:i/>
          <w:vertAlign w:val="subscript"/>
        </w:rPr>
        <w:t xml:space="preserve"> q </w:t>
      </w:r>
      <w:r w:rsidRPr="000275BF">
        <w:rPr>
          <w:b w:val="0"/>
        </w:rPr>
        <w:t>=</w:t>
      </w:r>
      <w:r w:rsidRPr="000275BF">
        <w:rPr>
          <w:b w:val="0"/>
        </w:rPr>
        <w:tab/>
      </w:r>
      <w:r>
        <w:rPr>
          <w:b w:val="0"/>
        </w:rPr>
        <w:t>(</w:t>
      </w:r>
      <w:r w:rsidRPr="00775EDD">
        <w:rPr>
          <w:b w:val="0"/>
        </w:rPr>
        <w:t xml:space="preserve">SYS_GEN_DISCFACTOR * </w:t>
      </w:r>
      <w:r w:rsidRPr="003E514A">
        <w:rPr>
          <w:b w:val="0"/>
        </w:rPr>
        <w:t>RTCST30HSL</w:t>
      </w:r>
      <w:r>
        <w:rPr>
          <w:b w:val="0"/>
        </w:rPr>
        <w:t xml:space="preserve"> </w:t>
      </w:r>
      <w:r w:rsidRPr="003E514A">
        <w:rPr>
          <w:b w:val="0"/>
          <w:i/>
          <w:vertAlign w:val="subscript"/>
        </w:rPr>
        <w:t>q</w:t>
      </w:r>
      <w:r>
        <w:rPr>
          <w:b w:val="0"/>
        </w:rPr>
        <w:t xml:space="preserve">) </w:t>
      </w:r>
      <w:r w:rsidRPr="003E514A">
        <w:rPr>
          <w:b w:val="0"/>
        </w:rPr>
        <w:t xml:space="preserve">+ </w:t>
      </w:r>
      <w:r>
        <w:rPr>
          <w:b w:val="0"/>
        </w:rPr>
        <w:t>(</w:t>
      </w:r>
      <w:r w:rsidRPr="00775EDD">
        <w:rPr>
          <w:b w:val="0"/>
        </w:rPr>
        <w:t xml:space="preserve">SYS_GEN_DISCFACTOR * </w:t>
      </w:r>
      <w:r w:rsidRPr="003E514A">
        <w:rPr>
          <w:b w:val="0"/>
        </w:rPr>
        <w:t>RTOFFNSHSL</w:t>
      </w:r>
      <w:r>
        <w:rPr>
          <w:b w:val="0"/>
        </w:rPr>
        <w:t xml:space="preserve"> </w:t>
      </w:r>
      <w:r w:rsidRPr="003E514A">
        <w:rPr>
          <w:b w:val="0"/>
          <w:i/>
          <w:vertAlign w:val="subscript"/>
        </w:rPr>
        <w:t>q</w:t>
      </w:r>
      <w:r>
        <w:rPr>
          <w:b w:val="0"/>
        </w:rPr>
        <w:t>)</w:t>
      </w:r>
      <w:r w:rsidRPr="003275D8">
        <w:rPr>
          <w:rFonts w:ascii="Times New Roman Bold" w:hAnsi="Times New Roman Bold"/>
          <w:b w:val="0"/>
        </w:rPr>
        <w:t xml:space="preserve"> </w:t>
      </w:r>
      <w:r w:rsidR="00013237" w:rsidRPr="00210F92">
        <w:rPr>
          <w:b w:val="0"/>
        </w:rPr>
        <w:t>+ RTNCLRNSCAP</w:t>
      </w:r>
      <w:r w:rsidR="00013237" w:rsidRPr="00885CB2">
        <w:rPr>
          <w:bCs w:val="0"/>
          <w:i/>
          <w:vertAlign w:val="subscript"/>
        </w:rPr>
        <w:t xml:space="preserve"> </w:t>
      </w:r>
      <w:r w:rsidR="00013237" w:rsidRPr="00210F92">
        <w:rPr>
          <w:b w:val="0"/>
          <w:i/>
          <w:vertAlign w:val="subscript"/>
        </w:rPr>
        <w:t>q</w:t>
      </w:r>
    </w:p>
    <w:p w14:paraId="4C7FF3A5" w14:textId="40892C4D" w:rsidR="00013237" w:rsidRDefault="00013237" w:rsidP="00F468C2">
      <w:pPr>
        <w:tabs>
          <w:tab w:val="left" w:pos="2250"/>
          <w:tab w:val="left" w:pos="3150"/>
          <w:tab w:val="left" w:pos="3960"/>
        </w:tabs>
        <w:spacing w:after="240"/>
        <w:ind w:left="3600" w:hanging="2430"/>
        <w:rPr>
          <w:bCs/>
        </w:rPr>
      </w:pPr>
      <w:r w:rsidRPr="00A05195">
        <w:rPr>
          <w:bCs/>
        </w:rPr>
        <w:t>RTNCLR</w:t>
      </w:r>
      <w:r>
        <w:rPr>
          <w:bCs/>
        </w:rPr>
        <w:t>NS</w:t>
      </w:r>
      <w:r w:rsidRPr="00A05195">
        <w:rPr>
          <w:bCs/>
        </w:rPr>
        <w:t>CAP</w:t>
      </w:r>
      <w:r w:rsidRPr="00A05195">
        <w:rPr>
          <w:bCs/>
          <w:i/>
          <w:vertAlign w:val="subscript"/>
        </w:rPr>
        <w:t xml:space="preserve"> q    </w:t>
      </w:r>
      <w:r w:rsidRPr="00A05195">
        <w:rPr>
          <w:bCs/>
        </w:rPr>
        <w:t>=</w:t>
      </w:r>
      <w:r w:rsidRPr="00A05195">
        <w:rPr>
          <w:bCs/>
        </w:rPr>
        <w:tab/>
      </w:r>
      <w:r w:rsidRPr="00876C1F">
        <w:rPr>
          <w:bCs/>
        </w:rPr>
        <w:t>Min(Max(RTNCLRNPC</w:t>
      </w:r>
      <w:r w:rsidRPr="00876C1F">
        <w:rPr>
          <w:bCs/>
          <w:i/>
          <w:vertAlign w:val="subscript"/>
        </w:rPr>
        <w:t xml:space="preserve"> q</w:t>
      </w:r>
      <w:r w:rsidRPr="00876C1F">
        <w:rPr>
          <w:bCs/>
        </w:rPr>
        <w:t xml:space="preserve"> – RTNCLRLPC</w:t>
      </w:r>
      <w:r w:rsidRPr="00876C1F">
        <w:rPr>
          <w:bCs/>
          <w:i/>
          <w:vertAlign w:val="subscript"/>
        </w:rPr>
        <w:t xml:space="preserve"> q</w:t>
      </w:r>
      <w:r w:rsidRPr="00876C1F">
        <w:rPr>
          <w:bCs/>
        </w:rPr>
        <w:t>, 0.0), RTNCL</w:t>
      </w:r>
      <w:r>
        <w:rPr>
          <w:bCs/>
        </w:rPr>
        <w:t>RNS</w:t>
      </w:r>
      <w:r w:rsidRPr="00876C1F">
        <w:rPr>
          <w:bCs/>
          <w:i/>
          <w:vertAlign w:val="subscript"/>
        </w:rPr>
        <w:t xml:space="preserve"> q</w:t>
      </w:r>
      <w:r w:rsidRPr="00876C1F">
        <w:rPr>
          <w:bCs/>
        </w:rPr>
        <w:t xml:space="preserve"> * 1.5)</w:t>
      </w:r>
    </w:p>
    <w:p w14:paraId="50948E5D" w14:textId="2A2297B6" w:rsidR="00013237" w:rsidRPr="00013237" w:rsidRDefault="00013237" w:rsidP="00013237">
      <w:pPr>
        <w:pStyle w:val="FormulaBold"/>
        <w:tabs>
          <w:tab w:val="clear" w:pos="2250"/>
          <w:tab w:val="clear" w:pos="3150"/>
          <w:tab w:val="clear" w:pos="3960"/>
        </w:tabs>
        <w:ind w:left="3600" w:hanging="2430"/>
        <w:rPr>
          <w:rFonts w:ascii="Times New Roman Bold" w:hAnsi="Times New Roman Bold"/>
          <w:b w:val="0"/>
          <w:bCs w:val="0"/>
        </w:rPr>
      </w:pPr>
      <w:r w:rsidRPr="00013237">
        <w:rPr>
          <w:b w:val="0"/>
          <w:bCs w:val="0"/>
        </w:rPr>
        <w:t xml:space="preserve">RTNCLRNS </w:t>
      </w:r>
      <w:r w:rsidRPr="00013237">
        <w:rPr>
          <w:b w:val="0"/>
          <w:bCs w:val="0"/>
          <w:i/>
          <w:iCs/>
          <w:vertAlign w:val="subscript"/>
        </w:rPr>
        <w:t xml:space="preserve">q </w:t>
      </w:r>
      <w:r w:rsidRPr="00013237">
        <w:rPr>
          <w:b w:val="0"/>
          <w:bCs w:val="0"/>
        </w:rPr>
        <w:t>=</w:t>
      </w:r>
      <w:r w:rsidRPr="00013237">
        <w:rPr>
          <w:b w:val="0"/>
          <w:bCs w:val="0"/>
        </w:rPr>
        <w:tab/>
        <w:t xml:space="preserve">SYS_GEN_DISCFACTOR * </w:t>
      </w:r>
      <w:r w:rsidRPr="00013237">
        <w:rPr>
          <w:b w:val="0"/>
          <w:bCs w:val="0"/>
          <w:position w:val="-18"/>
        </w:rPr>
        <w:object w:dxaOrig="225" w:dyaOrig="420" w14:anchorId="6E26549B">
          <v:shape id="_x0000_i1391" type="#_x0000_t75" style="width:12pt;height:24pt" o:ole="">
            <v:imagedata r:id="rId159" o:title=""/>
          </v:shape>
          <o:OLEObject Type="Embed" ProgID="Equation.3" ShapeID="_x0000_i1391" DrawAspect="Content" ObjectID="_1815025579" r:id="rId482"/>
        </w:object>
      </w:r>
      <w:r w:rsidRPr="00013237">
        <w:rPr>
          <w:b w:val="0"/>
          <w:bCs w:val="0"/>
          <w:position w:val="-22"/>
        </w:rPr>
        <w:object w:dxaOrig="225" w:dyaOrig="465" w14:anchorId="4F88C1CF">
          <v:shape id="_x0000_i1392" type="#_x0000_t75" style="width:18pt;height:24.6pt" o:ole="">
            <v:imagedata r:id="rId172" o:title=""/>
          </v:shape>
          <o:OLEObject Type="Embed" ProgID="Equation.3" ShapeID="_x0000_i1392" DrawAspect="Content" ObjectID="_1815025580" r:id="rId483"/>
        </w:object>
      </w:r>
      <w:r w:rsidRPr="00013237">
        <w:rPr>
          <w:b w:val="0"/>
          <w:bCs w:val="0"/>
        </w:rPr>
        <w:t>RTNCLRNSR</w:t>
      </w:r>
      <w:r w:rsidRPr="00013237">
        <w:rPr>
          <w:b w:val="0"/>
          <w:bCs w:val="0"/>
          <w:i/>
          <w:vertAlign w:val="subscript"/>
        </w:rPr>
        <w:t xml:space="preserve"> q, r, p</w:t>
      </w:r>
    </w:p>
    <w:p w14:paraId="598ED20C" w14:textId="7C716EB9" w:rsidR="001F04FD" w:rsidRDefault="001F04FD" w:rsidP="00C02A98">
      <w:pPr>
        <w:pStyle w:val="FormulaBold"/>
        <w:tabs>
          <w:tab w:val="clear" w:pos="2250"/>
          <w:tab w:val="clear" w:pos="3150"/>
          <w:tab w:val="clear" w:pos="3960"/>
        </w:tabs>
        <w:ind w:left="3600" w:hanging="2520"/>
        <w:rPr>
          <w:b w:val="0"/>
        </w:rPr>
      </w:pPr>
      <w:r w:rsidRPr="000275BF">
        <w:rPr>
          <w:b w:val="0"/>
        </w:rPr>
        <w:t>RTRSVPOFF</w:t>
      </w:r>
      <w:r w:rsidR="00B815D4">
        <w:rPr>
          <w:b w:val="0"/>
        </w:rPr>
        <w:t xml:space="preserve"> </w:t>
      </w:r>
      <w:r w:rsidRPr="000275BF">
        <w:rPr>
          <w:b w:val="0"/>
        </w:rPr>
        <w:t>=</w:t>
      </w:r>
      <w:r w:rsidRPr="000275BF">
        <w:rPr>
          <w:b w:val="0"/>
        </w:rPr>
        <w:tab/>
      </w:r>
      <w:r w:rsidR="00A94020">
        <w:rPr>
          <w:b w:val="0"/>
          <w:noProof/>
        </w:rPr>
        <w:drawing>
          <wp:inline distT="0" distB="0" distL="0" distR="0" wp14:anchorId="6FC3CDEF" wp14:editId="67DEE54C">
            <wp:extent cx="142875" cy="295275"/>
            <wp:effectExtent l="0" t="0" r="9525" b="9525"/>
            <wp:docPr id="338" name="Picture 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275BF">
        <w:rPr>
          <w:b w:val="0"/>
        </w:rPr>
        <w:t xml:space="preserve">(RNWF </w:t>
      </w:r>
      <w:r w:rsidRPr="000275BF">
        <w:rPr>
          <w:b w:val="0"/>
          <w:i/>
          <w:iCs/>
          <w:vertAlign w:val="subscript"/>
        </w:rPr>
        <w:t xml:space="preserve"> y </w:t>
      </w:r>
      <w:r w:rsidRPr="000275BF">
        <w:rPr>
          <w:b w:val="0"/>
        </w:rPr>
        <w:t>* RTOFFPA</w:t>
      </w:r>
      <w:r w:rsidRPr="000275BF">
        <w:rPr>
          <w:b w:val="0"/>
          <w:i/>
          <w:iCs/>
          <w:vertAlign w:val="subscript"/>
        </w:rPr>
        <w:t xml:space="preserve"> y</w:t>
      </w:r>
      <w:r w:rsidRPr="000275BF">
        <w:rPr>
          <w:b w:val="0"/>
        </w:rPr>
        <w:t>)</w:t>
      </w:r>
    </w:p>
    <w:p w14:paraId="571D0327" w14:textId="41E221BA" w:rsidR="001F04FD" w:rsidRPr="000275BF" w:rsidRDefault="001F04FD" w:rsidP="001F04FD">
      <w:pPr>
        <w:pStyle w:val="FormulaBold"/>
        <w:tabs>
          <w:tab w:val="clear" w:pos="2250"/>
          <w:tab w:val="clear" w:pos="3150"/>
          <w:tab w:val="clear" w:pos="3960"/>
        </w:tabs>
        <w:ind w:left="3600" w:hanging="2520"/>
        <w:rPr>
          <w:b w:val="0"/>
        </w:rPr>
      </w:pPr>
      <w:r w:rsidRPr="00695338">
        <w:rPr>
          <w:b w:val="0"/>
        </w:rPr>
        <w:lastRenderedPageBreak/>
        <w:t>RTRDP =</w:t>
      </w:r>
      <w:r w:rsidRPr="00695338">
        <w:rPr>
          <w:b w:val="0"/>
        </w:rPr>
        <w:tab/>
      </w:r>
      <w:r w:rsidR="000333B4" w:rsidRPr="00695338">
        <w:rPr>
          <w:b w:val="0"/>
          <w:position w:val="-22"/>
        </w:rPr>
        <w:object w:dxaOrig="225" w:dyaOrig="465" w14:anchorId="45C03BDD">
          <v:shape id="_x0000_i1393" type="#_x0000_t75" style="width:18pt;height:30pt" o:ole="">
            <v:imagedata r:id="rId22" o:title=""/>
          </v:shape>
          <o:OLEObject Type="Embed" ProgID="Equation.3" ShapeID="_x0000_i1393" DrawAspect="Content" ObjectID="_1815025581" r:id="rId484"/>
        </w:object>
      </w:r>
      <w:r w:rsidRPr="00695338">
        <w:rPr>
          <w:b w:val="0"/>
        </w:rPr>
        <w:t xml:space="preserve">(RNWF </w:t>
      </w:r>
      <w:r w:rsidRPr="00695338">
        <w:rPr>
          <w:b w:val="0"/>
          <w:i/>
          <w:iCs/>
          <w:vertAlign w:val="subscript"/>
        </w:rPr>
        <w:t xml:space="preserve"> y </w:t>
      </w:r>
      <w:r w:rsidRPr="00695338">
        <w:rPr>
          <w:b w:val="0"/>
        </w:rPr>
        <w:t>* RTORDPA</w:t>
      </w:r>
      <w:r w:rsidRPr="00695338">
        <w:rPr>
          <w:b w:val="0"/>
          <w:i/>
          <w:iCs/>
          <w:vertAlign w:val="subscript"/>
        </w:rPr>
        <w:t xml:space="preserve"> y</w:t>
      </w:r>
      <w:r w:rsidRPr="00695338">
        <w:rPr>
          <w:b w:val="0"/>
        </w:rPr>
        <w:t>)</w:t>
      </w:r>
    </w:p>
    <w:p w14:paraId="0F0EE57C" w14:textId="078045AA" w:rsidR="001F04FD" w:rsidRPr="000275BF" w:rsidRDefault="001F04FD" w:rsidP="001F04FD">
      <w:pPr>
        <w:pStyle w:val="FormulaBold"/>
        <w:tabs>
          <w:tab w:val="clear" w:pos="2250"/>
          <w:tab w:val="clear" w:pos="3150"/>
          <w:tab w:val="clear" w:pos="3960"/>
        </w:tabs>
        <w:ind w:left="3600" w:hanging="2520"/>
        <w:rPr>
          <w:b w:val="0"/>
        </w:rPr>
      </w:pPr>
      <w:r w:rsidRPr="000275BF">
        <w:rPr>
          <w:b w:val="0"/>
        </w:rPr>
        <w:t xml:space="preserve">RNWF </w:t>
      </w:r>
      <w:r w:rsidRPr="000275BF">
        <w:rPr>
          <w:b w:val="0"/>
          <w:i/>
          <w:vertAlign w:val="subscript"/>
        </w:rPr>
        <w:t>y</w:t>
      </w:r>
      <w:r w:rsidRPr="000275BF">
        <w:rPr>
          <w:b w:val="0"/>
        </w:rPr>
        <w:t>=</w:t>
      </w:r>
      <w:r w:rsidRPr="000275BF">
        <w:rPr>
          <w:b w:val="0"/>
        </w:rPr>
        <w:tab/>
        <w:t xml:space="preserve">TLMP </w:t>
      </w:r>
      <w:r w:rsidRPr="000275BF">
        <w:rPr>
          <w:b w:val="0"/>
          <w:i/>
          <w:vertAlign w:val="subscript"/>
        </w:rPr>
        <w:t>y</w:t>
      </w:r>
      <w:r w:rsidRPr="000275BF">
        <w:rPr>
          <w:b w:val="0"/>
        </w:rPr>
        <w:t xml:space="preserve"> </w:t>
      </w:r>
      <w:r w:rsidRPr="000275BF">
        <w:rPr>
          <w:b w:val="0"/>
          <w:color w:val="000000"/>
          <w:sz w:val="32"/>
          <w:szCs w:val="32"/>
        </w:rPr>
        <w:t>/</w:t>
      </w:r>
      <w:r w:rsidRPr="000275BF">
        <w:rPr>
          <w:b w:val="0"/>
          <w:color w:val="000000"/>
        </w:rPr>
        <w:t xml:space="preserve"> </w:t>
      </w:r>
      <w:r w:rsidR="000333B4" w:rsidRPr="000275BF">
        <w:rPr>
          <w:b w:val="0"/>
          <w:position w:val="-22"/>
        </w:rPr>
        <w:object w:dxaOrig="225" w:dyaOrig="465" w14:anchorId="7AC578CE">
          <v:shape id="_x0000_i1394" type="#_x0000_t75" style="width:18pt;height:30pt" o:ole="">
            <v:imagedata r:id="rId22" o:title=""/>
          </v:shape>
          <o:OLEObject Type="Embed" ProgID="Equation.3" ShapeID="_x0000_i1394" DrawAspect="Content" ObjectID="_1815025582" r:id="rId485"/>
        </w:object>
      </w:r>
      <w:r w:rsidRPr="000275BF">
        <w:rPr>
          <w:b w:val="0"/>
        </w:rPr>
        <w:t xml:space="preserve">TLMP </w:t>
      </w:r>
      <w:r w:rsidRPr="000275BF">
        <w:rPr>
          <w:b w:val="0"/>
          <w:i/>
          <w:vertAlign w:val="subscript"/>
        </w:rPr>
        <w:t>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54419BBC" w14:textId="77777777" w:rsidTr="000169BA">
        <w:trPr>
          <w:trHeight w:val="206"/>
        </w:trPr>
        <w:tc>
          <w:tcPr>
            <w:tcW w:w="9576" w:type="dxa"/>
            <w:shd w:val="pct12" w:color="auto" w:fill="auto"/>
          </w:tcPr>
          <w:p w14:paraId="42959B32" w14:textId="77777777" w:rsidR="000169BA" w:rsidRDefault="000169BA" w:rsidP="000169BA">
            <w:pPr>
              <w:pStyle w:val="Instructions"/>
              <w:spacing w:before="120"/>
            </w:pPr>
            <w:r>
              <w:t>[NPRR987:  Insert the language below upon system implementation:]</w:t>
            </w:r>
          </w:p>
          <w:p w14:paraId="7CEC2B82" w14:textId="77777777" w:rsidR="000169BA" w:rsidRPr="00372D9A" w:rsidRDefault="000169BA" w:rsidP="000169BA">
            <w:pPr>
              <w:pStyle w:val="ListParagraph"/>
              <w:spacing w:after="240"/>
              <w:ind w:left="0"/>
              <w:rPr>
                <w:rFonts w:cs="Arial"/>
                <w:iCs/>
              </w:rPr>
            </w:pPr>
            <w:r w:rsidRPr="00372D9A">
              <w:rPr>
                <w:rFonts w:cs="Arial"/>
                <w:iCs/>
              </w:rPr>
              <w:t xml:space="preserve">Where for an </w:t>
            </w:r>
            <w:r>
              <w:rPr>
                <w:rFonts w:cs="Arial"/>
                <w:iCs/>
              </w:rPr>
              <w:t>ESR</w:t>
            </w:r>
            <w:r w:rsidRPr="00372D9A">
              <w:rPr>
                <w:rFonts w:cs="Arial"/>
                <w:iCs/>
              </w:rPr>
              <w:t>:</w:t>
            </w:r>
          </w:p>
          <w:p w14:paraId="0B4E07B3" w14:textId="361956FB" w:rsidR="000169BA" w:rsidRDefault="000169BA" w:rsidP="000169BA">
            <w:pPr>
              <w:pStyle w:val="ColorfulList-Accent11"/>
              <w:spacing w:after="240"/>
              <w:ind w:left="1080"/>
              <w:jc w:val="both"/>
            </w:pPr>
            <w:r>
              <w:rPr>
                <w:rFonts w:cs="Arial"/>
                <w:iCs/>
              </w:rPr>
              <w:t>RTESRCAP</w:t>
            </w:r>
            <w:r>
              <w:rPr>
                <w:i/>
                <w:vertAlign w:val="subscript"/>
              </w:rPr>
              <w:t xml:space="preserve"> q </w:t>
            </w:r>
            <w:r>
              <w:rPr>
                <w:rFonts w:cs="Arial"/>
                <w:iCs/>
              </w:rPr>
              <w:t>=</w:t>
            </w:r>
            <w:r>
              <w:rPr>
                <w:noProof/>
              </w:rPr>
              <w:drawing>
                <wp:inline distT="0" distB="0" distL="0" distR="0" wp14:anchorId="39C3C6F3" wp14:editId="4E72C4BD">
                  <wp:extent cx="180975" cy="342900"/>
                  <wp:effectExtent l="0" t="0" r="9525" b="0"/>
                  <wp:docPr id="3311" name="Picture 33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6">
                            <a:extLst>
                              <a:ext uri="{28A0092B-C50C-407E-A947-70E740481C1C}">
                                <a14:useLocalDpi xmlns:a14="http://schemas.microsoft.com/office/drawing/2010/main" val="0"/>
                              </a:ext>
                            </a:extLst>
                          </a:blip>
                          <a:stretch>
                            <a:fillRect/>
                          </a:stretch>
                        </pic:blipFill>
                        <pic:spPr>
                          <a:xfrm>
                            <a:off x="0" y="0"/>
                            <a:ext cx="180975" cy="342900"/>
                          </a:xfrm>
                          <a:prstGeom prst="rect">
                            <a:avLst/>
                          </a:prstGeom>
                          <a:solidFill>
                            <a:schemeClr val="accent1"/>
                          </a:solidFill>
                        </pic:spPr>
                      </pic:pic>
                    </a:graphicData>
                  </a:graphic>
                </wp:inline>
              </w:drawing>
            </w:r>
            <w:r>
              <w:rPr>
                <w:rFonts w:cs="Arial"/>
                <w:iCs/>
              </w:rPr>
              <w:t xml:space="preserve">  </w:t>
            </w:r>
            <w:r>
              <w:rPr>
                <w:bCs/>
              </w:rPr>
              <w:t>(</w:t>
            </w:r>
            <w:r>
              <w:rPr>
                <w:rFonts w:cs="Arial"/>
                <w:iCs/>
              </w:rPr>
              <w:t>RTESRCAPR</w:t>
            </w:r>
            <w:r>
              <w:rPr>
                <w:i/>
                <w:vertAlign w:val="subscript"/>
              </w:rPr>
              <w:t xml:space="preserve"> q, g, p</w:t>
            </w:r>
            <w:r>
              <w:t>)</w:t>
            </w:r>
          </w:p>
          <w:p w14:paraId="4B8A200A" w14:textId="77777777" w:rsidR="000169BA" w:rsidRDefault="000169BA" w:rsidP="000169BA">
            <w:pPr>
              <w:pStyle w:val="ListParagraph"/>
              <w:spacing w:after="240"/>
              <w:ind w:left="0"/>
              <w:rPr>
                <w:rFonts w:cs="Arial"/>
                <w:iCs/>
              </w:rPr>
            </w:pPr>
            <w:r>
              <w:rPr>
                <w:rFonts w:cs="Arial"/>
                <w:iCs/>
              </w:rPr>
              <w:t>Where:</w:t>
            </w:r>
          </w:p>
          <w:p w14:paraId="006F98B2" w14:textId="679AB599" w:rsidR="000169BA" w:rsidRPr="000169BA" w:rsidRDefault="000169BA" w:rsidP="000169BA">
            <w:pPr>
              <w:pStyle w:val="ColorfulList-Accent11"/>
              <w:spacing w:after="240"/>
              <w:ind w:left="1080"/>
              <w:jc w:val="both"/>
            </w:pPr>
            <w:r w:rsidRPr="00372D9A">
              <w:rPr>
                <w:rFonts w:cs="Arial"/>
                <w:iCs/>
              </w:rPr>
              <w:t>RTESRCAP</w:t>
            </w:r>
            <w:r>
              <w:rPr>
                <w:rFonts w:cs="Arial"/>
                <w:iCs/>
              </w:rPr>
              <w:t>R</w:t>
            </w:r>
            <w:r w:rsidRPr="00372D9A">
              <w:rPr>
                <w:i/>
                <w:vertAlign w:val="subscript"/>
              </w:rPr>
              <w:t xml:space="preserve"> q</w:t>
            </w:r>
            <w:r>
              <w:rPr>
                <w:i/>
                <w:vertAlign w:val="subscript"/>
              </w:rPr>
              <w:t>, g, p</w:t>
            </w:r>
            <w:r w:rsidRPr="00372D9A" w:rsidDel="00EB725D">
              <w:t xml:space="preserve"> </w:t>
            </w:r>
            <w:r w:rsidRPr="00372D9A">
              <w:t xml:space="preserve"> </w:t>
            </w:r>
            <w:r>
              <w:rPr>
                <w:i/>
              </w:rPr>
              <w:t xml:space="preserve">= </w:t>
            </w:r>
            <w:r>
              <w:t>Min[(</w:t>
            </w:r>
            <w:r w:rsidRPr="0080555B">
              <w:t>RTOLHSL</w:t>
            </w:r>
            <w:r>
              <w:t xml:space="preserve">RA </w:t>
            </w:r>
            <w:r w:rsidRPr="0080555B">
              <w:rPr>
                <w:i/>
                <w:vertAlign w:val="subscript"/>
              </w:rPr>
              <w:t>q</w:t>
            </w:r>
            <w:r>
              <w:rPr>
                <w:i/>
                <w:vertAlign w:val="subscript"/>
              </w:rPr>
              <w:t>, r, p</w:t>
            </w:r>
            <w:r>
              <w:t xml:space="preserve"> – RTMGA </w:t>
            </w:r>
            <w:r w:rsidRPr="00372D9A">
              <w:rPr>
                <w:i/>
                <w:vertAlign w:val="subscript"/>
              </w:rPr>
              <w:t>q, r, p</w:t>
            </w:r>
            <w:r w:rsidRPr="00DF6799">
              <w:rPr>
                <w:i/>
              </w:rPr>
              <w:t xml:space="preserve"> </w:t>
            </w:r>
            <w:r>
              <w:t>+</w:t>
            </w:r>
            <w:r w:rsidRPr="00EB725D">
              <w:rPr>
                <w:bCs/>
              </w:rPr>
              <w:t xml:space="preserve"> </w:t>
            </w:r>
            <w:r w:rsidRPr="00372D9A">
              <w:rPr>
                <w:bCs/>
              </w:rPr>
              <w:t xml:space="preserve">RTCLRNPCR </w:t>
            </w:r>
            <w:r w:rsidRPr="00372D9A">
              <w:rPr>
                <w:i/>
                <w:vertAlign w:val="subscript"/>
              </w:rPr>
              <w:t>q, r, p</w:t>
            </w:r>
            <w:r>
              <w:t>),</w:t>
            </w:r>
            <w:r>
              <w:rPr>
                <w:vertAlign w:val="subscript"/>
              </w:rPr>
              <w:t xml:space="preserve"> </w:t>
            </w:r>
            <w:r>
              <w:rPr>
                <w:bCs/>
              </w:rPr>
              <w:t>(R</w:t>
            </w:r>
            <w:r w:rsidRPr="00372D9A">
              <w:rPr>
                <w:bCs/>
              </w:rPr>
              <w:t xml:space="preserve">TCLRNPCR </w:t>
            </w:r>
            <w:r w:rsidRPr="00372D9A">
              <w:rPr>
                <w:i/>
                <w:vertAlign w:val="subscript"/>
              </w:rPr>
              <w:t xml:space="preserve">q, r, p </w:t>
            </w:r>
            <w:r>
              <w:rPr>
                <w:i/>
                <w:vertAlign w:val="subscript"/>
              </w:rPr>
              <w:t xml:space="preserve"> </w:t>
            </w:r>
            <w:r w:rsidRPr="00602C41">
              <w:t>+</w:t>
            </w:r>
            <w:r>
              <w:t xml:space="preserve"> </w:t>
            </w:r>
            <w:r w:rsidRPr="00372D9A">
              <w:t>SOCT</w:t>
            </w:r>
            <w:r>
              <w:t xml:space="preserve"> </w:t>
            </w:r>
            <w:r w:rsidRPr="00372D9A">
              <w:rPr>
                <w:i/>
                <w:vertAlign w:val="subscript"/>
              </w:rPr>
              <w:t>q,</w:t>
            </w:r>
            <w:r>
              <w:rPr>
                <w:i/>
                <w:vertAlign w:val="subscript"/>
              </w:rPr>
              <w:t xml:space="preserve"> </w:t>
            </w:r>
            <w:r w:rsidRPr="00372D9A">
              <w:rPr>
                <w:i/>
                <w:vertAlign w:val="subscript"/>
              </w:rPr>
              <w:t>r</w:t>
            </w:r>
            <w:r>
              <w:t xml:space="preserve"> – SOCOM </w:t>
            </w:r>
            <w:r w:rsidRPr="00372D9A">
              <w:rPr>
                <w:i/>
                <w:vertAlign w:val="subscript"/>
              </w:rPr>
              <w:t>q,</w:t>
            </w:r>
            <w:r>
              <w:rPr>
                <w:i/>
                <w:vertAlign w:val="subscript"/>
              </w:rPr>
              <w:t xml:space="preserve"> </w:t>
            </w:r>
            <w:r w:rsidRPr="00372D9A">
              <w:rPr>
                <w:i/>
                <w:vertAlign w:val="subscript"/>
              </w:rPr>
              <w:t>r</w:t>
            </w:r>
            <w:r>
              <w:t>)]</w:t>
            </w:r>
          </w:p>
        </w:tc>
      </w:tr>
    </w:tbl>
    <w:p w14:paraId="49867241" w14:textId="77777777" w:rsidR="001F04FD" w:rsidRPr="000275BF" w:rsidRDefault="001F04FD" w:rsidP="001B11AD">
      <w:pPr>
        <w:pStyle w:val="Instructions"/>
        <w:spacing w:before="240" w:after="0"/>
        <w:ind w:left="720" w:hanging="720"/>
        <w:rPr>
          <w:b w:val="0"/>
          <w:i w:val="0"/>
        </w:rPr>
      </w:pPr>
      <w:r w:rsidRPr="000275BF">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4"/>
        <w:gridCol w:w="1133"/>
        <w:gridCol w:w="5763"/>
      </w:tblGrid>
      <w:tr w:rsidR="001F04FD" w:rsidRPr="0080555B" w14:paraId="42D0D44E" w14:textId="77777777" w:rsidTr="00356445">
        <w:trPr>
          <w:cantSplit/>
          <w:tblHeader/>
        </w:trPr>
        <w:tc>
          <w:tcPr>
            <w:tcW w:w="1312" w:type="pct"/>
          </w:tcPr>
          <w:p w14:paraId="45DA07E5" w14:textId="77777777" w:rsidR="001F04FD" w:rsidRPr="00CE4C14" w:rsidRDefault="001F04FD" w:rsidP="00AC4DEE">
            <w:pPr>
              <w:pStyle w:val="TableHead"/>
            </w:pPr>
            <w:r w:rsidRPr="00CE4C14">
              <w:t>Variable</w:t>
            </w:r>
          </w:p>
        </w:tc>
        <w:tc>
          <w:tcPr>
            <w:tcW w:w="606" w:type="pct"/>
          </w:tcPr>
          <w:p w14:paraId="586DC5B0" w14:textId="77777777" w:rsidR="001F04FD" w:rsidRPr="00CE4C14" w:rsidRDefault="001F04FD" w:rsidP="00AC4DEE">
            <w:pPr>
              <w:pStyle w:val="TableHead"/>
            </w:pPr>
            <w:r w:rsidRPr="00CE4C14">
              <w:t>Unit</w:t>
            </w:r>
          </w:p>
        </w:tc>
        <w:tc>
          <w:tcPr>
            <w:tcW w:w="3082" w:type="pct"/>
          </w:tcPr>
          <w:p w14:paraId="0645E78E" w14:textId="77777777" w:rsidR="001F04FD" w:rsidRPr="00CE4C14" w:rsidRDefault="001F04FD" w:rsidP="00AC4DEE">
            <w:pPr>
              <w:pStyle w:val="TableHead"/>
            </w:pPr>
            <w:r w:rsidRPr="00CE4C14">
              <w:t>Description</w:t>
            </w:r>
          </w:p>
        </w:tc>
      </w:tr>
      <w:tr w:rsidR="001F04FD" w:rsidRPr="0080555B" w14:paraId="60892F4F" w14:textId="77777777" w:rsidTr="00356445">
        <w:trPr>
          <w:cantSplit/>
        </w:trPr>
        <w:tc>
          <w:tcPr>
            <w:tcW w:w="1312" w:type="pct"/>
            <w:tcBorders>
              <w:bottom w:val="single" w:sz="4" w:space="0" w:color="auto"/>
            </w:tcBorders>
          </w:tcPr>
          <w:p w14:paraId="606D8422" w14:textId="77777777" w:rsidR="001F04FD" w:rsidRPr="0080555B" w:rsidRDefault="001F04FD" w:rsidP="00AC4DEE">
            <w:pPr>
              <w:pStyle w:val="tablebody0"/>
            </w:pPr>
            <w:r w:rsidRPr="0080555B">
              <w:t>RTASIAMT</w:t>
            </w:r>
            <w:r w:rsidRPr="0080555B">
              <w:rPr>
                <w:i/>
                <w:vertAlign w:val="subscript"/>
              </w:rPr>
              <w:t xml:space="preserve"> q</w:t>
            </w:r>
          </w:p>
        </w:tc>
        <w:tc>
          <w:tcPr>
            <w:tcW w:w="606" w:type="pct"/>
            <w:tcBorders>
              <w:bottom w:val="single" w:sz="4" w:space="0" w:color="auto"/>
            </w:tcBorders>
          </w:tcPr>
          <w:p w14:paraId="6472F759" w14:textId="77777777" w:rsidR="001F04FD" w:rsidRPr="0080555B" w:rsidRDefault="001F04FD" w:rsidP="00AC4DEE">
            <w:pPr>
              <w:pStyle w:val="tablebody0"/>
            </w:pPr>
            <w:r w:rsidRPr="0080555B">
              <w:t>$</w:t>
            </w:r>
          </w:p>
        </w:tc>
        <w:tc>
          <w:tcPr>
            <w:tcW w:w="3082" w:type="pct"/>
            <w:tcBorders>
              <w:bottom w:val="single" w:sz="4" w:space="0" w:color="auto"/>
            </w:tcBorders>
          </w:tcPr>
          <w:p w14:paraId="2987F9DC" w14:textId="77777777" w:rsidR="001F04FD" w:rsidRPr="0080555B" w:rsidRDefault="001F04FD" w:rsidP="00AC4DEE">
            <w:pPr>
              <w:pStyle w:val="tablebody0"/>
              <w:rPr>
                <w:i/>
              </w:rPr>
            </w:pPr>
            <w:r w:rsidRPr="0080555B">
              <w:rPr>
                <w:i/>
              </w:rPr>
              <w:t>Real-Time Ancillary Service Imbalance Amount</w:t>
            </w:r>
            <w:r w:rsidRPr="0080555B">
              <w:t>—</w:t>
            </w:r>
            <w:r w:rsidRPr="0080555B">
              <w:rPr>
                <w:iCs/>
              </w:rPr>
              <w:t xml:space="preserve">The total payment or charge to QSE </w:t>
            </w:r>
            <w:r w:rsidRPr="0080555B">
              <w:rPr>
                <w:i/>
                <w:iCs/>
              </w:rPr>
              <w:t>q</w:t>
            </w:r>
            <w:r w:rsidRPr="0080555B">
              <w:rPr>
                <w:iCs/>
              </w:rPr>
              <w:t xml:space="preserve"> </w:t>
            </w:r>
            <w:r w:rsidRPr="0080555B">
              <w:t>for the Real-Time Ancillary Service imbalance</w:t>
            </w:r>
            <w:r>
              <w:t xml:space="preserve"> associated with </w:t>
            </w:r>
            <w:r w:rsidRPr="006443E4">
              <w:t>Operating Reserve Demand Curve</w:t>
            </w:r>
            <w:r>
              <w:t xml:space="preserve"> (ORDC)</w:t>
            </w:r>
            <w:r w:rsidRPr="0080555B">
              <w:t xml:space="preserve"> </w:t>
            </w:r>
            <w:r w:rsidRPr="0080555B">
              <w:rPr>
                <w:iCs/>
              </w:rPr>
              <w:t>for each 15-minute Settlement Interval.</w:t>
            </w:r>
          </w:p>
        </w:tc>
      </w:tr>
      <w:tr w:rsidR="001F04FD" w:rsidRPr="0080555B" w14:paraId="13183668" w14:textId="77777777" w:rsidTr="00356445">
        <w:trPr>
          <w:cantSplit/>
        </w:trPr>
        <w:tc>
          <w:tcPr>
            <w:tcW w:w="1312" w:type="pct"/>
          </w:tcPr>
          <w:p w14:paraId="09E8C0FF" w14:textId="77777777" w:rsidR="001F04FD" w:rsidRPr="0080555B" w:rsidRDefault="001F04FD" w:rsidP="00AC4DEE">
            <w:pPr>
              <w:pStyle w:val="tablebody0"/>
            </w:pPr>
            <w:r>
              <w:t>RTRDASIAMT</w:t>
            </w:r>
            <w:r w:rsidRPr="0080555B">
              <w:rPr>
                <w:i/>
                <w:vertAlign w:val="subscript"/>
              </w:rPr>
              <w:t xml:space="preserve"> q</w:t>
            </w:r>
          </w:p>
        </w:tc>
        <w:tc>
          <w:tcPr>
            <w:tcW w:w="606" w:type="pct"/>
          </w:tcPr>
          <w:p w14:paraId="41409B34" w14:textId="77777777" w:rsidR="001F04FD" w:rsidRPr="0080555B" w:rsidRDefault="001F04FD" w:rsidP="00AC4DEE">
            <w:pPr>
              <w:pStyle w:val="tablebody0"/>
            </w:pPr>
            <w:r>
              <w:t>$</w:t>
            </w:r>
          </w:p>
        </w:tc>
        <w:tc>
          <w:tcPr>
            <w:tcW w:w="3082" w:type="pct"/>
          </w:tcPr>
          <w:p w14:paraId="668EE5F1" w14:textId="77777777" w:rsidR="001F04FD" w:rsidRPr="0080555B" w:rsidRDefault="001F04FD" w:rsidP="00AC4DEE">
            <w:pPr>
              <w:pStyle w:val="tablebody0"/>
              <w:rPr>
                <w:i/>
              </w:rPr>
            </w:pPr>
            <w:r w:rsidRPr="0080555B">
              <w:rPr>
                <w:i/>
              </w:rPr>
              <w:t xml:space="preserve">Real-Time </w:t>
            </w:r>
            <w:r>
              <w:rPr>
                <w:i/>
              </w:rPr>
              <w:t xml:space="preserve">Reliability Deployment </w:t>
            </w:r>
            <w:r w:rsidRPr="0080555B">
              <w:rPr>
                <w:i/>
              </w:rPr>
              <w:t>Ancillary Service Imbalance Amount</w:t>
            </w:r>
            <w:r w:rsidRPr="0080555B">
              <w:t>—</w:t>
            </w:r>
            <w:r w:rsidRPr="0080555B">
              <w:rPr>
                <w:iCs/>
              </w:rPr>
              <w:t xml:space="preserve">The total payment or charge to QSE </w:t>
            </w:r>
            <w:r w:rsidRPr="0080555B">
              <w:rPr>
                <w:i/>
                <w:iCs/>
              </w:rPr>
              <w:t>q</w:t>
            </w:r>
            <w:r w:rsidRPr="0080555B">
              <w:rPr>
                <w:iCs/>
              </w:rPr>
              <w:t xml:space="preserve"> </w:t>
            </w:r>
            <w:r w:rsidRPr="0080555B">
              <w:t xml:space="preserve">for the Real-Time Ancillary Service imbalance </w:t>
            </w:r>
            <w:r>
              <w:t xml:space="preserve">associated with Reliability Deployments </w:t>
            </w:r>
            <w:r w:rsidRPr="0080555B">
              <w:rPr>
                <w:iCs/>
              </w:rPr>
              <w:t>for each 15-minute Settlement Interval.</w:t>
            </w:r>
          </w:p>
        </w:tc>
      </w:tr>
      <w:tr w:rsidR="001F04FD" w:rsidRPr="0080555B" w14:paraId="654AD657" w14:textId="77777777" w:rsidTr="00356445">
        <w:trPr>
          <w:cantSplit/>
        </w:trPr>
        <w:tc>
          <w:tcPr>
            <w:tcW w:w="1312" w:type="pct"/>
          </w:tcPr>
          <w:p w14:paraId="22EBDDD1" w14:textId="77777777" w:rsidR="001F04FD" w:rsidRPr="0080555B" w:rsidRDefault="001F04FD" w:rsidP="00AC4DEE">
            <w:pPr>
              <w:pStyle w:val="tablebody0"/>
            </w:pPr>
            <w:r w:rsidRPr="0080555B">
              <w:t>RTASOLIMB</w:t>
            </w:r>
            <w:r w:rsidRPr="0080555B">
              <w:rPr>
                <w:i/>
                <w:vertAlign w:val="subscript"/>
              </w:rPr>
              <w:t xml:space="preserve"> q</w:t>
            </w:r>
          </w:p>
        </w:tc>
        <w:tc>
          <w:tcPr>
            <w:tcW w:w="606" w:type="pct"/>
          </w:tcPr>
          <w:p w14:paraId="4DA970F1" w14:textId="77777777" w:rsidR="001F04FD" w:rsidRPr="0080555B" w:rsidRDefault="001F04FD" w:rsidP="00AC4DEE">
            <w:pPr>
              <w:pStyle w:val="tablebody0"/>
            </w:pPr>
            <w:r w:rsidRPr="0080555B">
              <w:t>MWh</w:t>
            </w:r>
          </w:p>
        </w:tc>
        <w:tc>
          <w:tcPr>
            <w:tcW w:w="3082" w:type="pct"/>
          </w:tcPr>
          <w:p w14:paraId="785EBB78" w14:textId="6259FC2D" w:rsidR="001F04FD" w:rsidRPr="0080555B" w:rsidRDefault="001F04FD" w:rsidP="00AC4DEE">
            <w:pPr>
              <w:pStyle w:val="tablebody0"/>
              <w:rPr>
                <w:i/>
              </w:rPr>
            </w:pPr>
            <w:r w:rsidRPr="0080555B">
              <w:rPr>
                <w:i/>
              </w:rPr>
              <w:t>Real</w:t>
            </w:r>
            <w:r w:rsidR="00CB79EB">
              <w:rPr>
                <w:i/>
              </w:rPr>
              <w:t>-</w:t>
            </w:r>
            <w:r w:rsidRPr="0080555B">
              <w:rPr>
                <w:i/>
              </w:rPr>
              <w:t>Time Ancillary Service On-Line Reserve Imbalance for the QSE</w:t>
            </w:r>
            <w:r w:rsidRPr="0080555B">
              <w:t xml:space="preserve"> </w:t>
            </w:r>
            <w:r w:rsidRPr="0080555B">
              <w:sym w:font="Symbol" w:char="F0BE"/>
            </w:r>
            <w:r w:rsidRPr="0080555B">
              <w:t xml:space="preserve">The Real-Time Ancillary Service On-Line reserve imbalance for the QSE </w:t>
            </w:r>
            <w:r w:rsidRPr="0080555B">
              <w:rPr>
                <w:i/>
              </w:rPr>
              <w:t>q</w:t>
            </w:r>
            <w:r w:rsidRPr="0080555B">
              <w:t xml:space="preserve">, for each 15-minute Settlement Interval.  </w:t>
            </w:r>
          </w:p>
        </w:tc>
      </w:tr>
      <w:tr w:rsidR="001F04FD" w:rsidRPr="0080555B" w14:paraId="4B891EEB" w14:textId="77777777" w:rsidTr="00356445">
        <w:trPr>
          <w:cantSplit/>
        </w:trPr>
        <w:tc>
          <w:tcPr>
            <w:tcW w:w="1312" w:type="pct"/>
          </w:tcPr>
          <w:p w14:paraId="030DA93E" w14:textId="77777777" w:rsidR="001F04FD" w:rsidRPr="0080555B" w:rsidRDefault="001F04FD" w:rsidP="00AC4DEE">
            <w:pPr>
              <w:pStyle w:val="tablebody0"/>
            </w:pPr>
            <w:r w:rsidRPr="0080555B">
              <w:t>RTORPA</w:t>
            </w:r>
            <w:r w:rsidRPr="0080555B">
              <w:rPr>
                <w:vertAlign w:val="subscript"/>
              </w:rPr>
              <w:t xml:space="preserve"> </w:t>
            </w:r>
            <w:r w:rsidRPr="00967A0A">
              <w:rPr>
                <w:i/>
                <w:vertAlign w:val="subscript"/>
              </w:rPr>
              <w:t>y</w:t>
            </w:r>
          </w:p>
        </w:tc>
        <w:tc>
          <w:tcPr>
            <w:tcW w:w="606" w:type="pct"/>
          </w:tcPr>
          <w:p w14:paraId="3E2256A3" w14:textId="77777777" w:rsidR="001F04FD" w:rsidRPr="0080555B" w:rsidRDefault="001F04FD" w:rsidP="00AC4DEE">
            <w:pPr>
              <w:pStyle w:val="tablebody0"/>
            </w:pPr>
            <w:r w:rsidRPr="0080555B">
              <w:t>$/MWh</w:t>
            </w:r>
          </w:p>
        </w:tc>
        <w:tc>
          <w:tcPr>
            <w:tcW w:w="3082" w:type="pct"/>
          </w:tcPr>
          <w:p w14:paraId="46627E03" w14:textId="77777777" w:rsidR="001F04FD" w:rsidRPr="0080555B" w:rsidRDefault="001F04FD" w:rsidP="00AC4DEE">
            <w:pPr>
              <w:pStyle w:val="tablebody0"/>
            </w:pPr>
            <w:r w:rsidRPr="0080555B">
              <w:rPr>
                <w:i/>
              </w:rPr>
              <w:t>Real-Time On-Line Reserve Price Adder per interval</w:t>
            </w:r>
            <w:r w:rsidRPr="0080555B">
              <w:sym w:font="Symbol" w:char="F0BE"/>
            </w:r>
            <w:r w:rsidRPr="0080555B">
              <w:t xml:space="preserve">The Real-Time Price Adder for On-Line Reserves for the SCED interval </w:t>
            </w:r>
            <w:r w:rsidRPr="0080555B">
              <w:rPr>
                <w:i/>
              </w:rPr>
              <w:t>y</w:t>
            </w:r>
            <w:r w:rsidRPr="0080555B">
              <w:t>.</w:t>
            </w:r>
          </w:p>
        </w:tc>
      </w:tr>
      <w:tr w:rsidR="001F04FD" w:rsidRPr="0080555B" w14:paraId="3B21200B" w14:textId="77777777" w:rsidTr="00356445">
        <w:trPr>
          <w:cantSplit/>
        </w:trPr>
        <w:tc>
          <w:tcPr>
            <w:tcW w:w="1312" w:type="pct"/>
          </w:tcPr>
          <w:p w14:paraId="6673F170" w14:textId="77777777" w:rsidR="001F04FD" w:rsidRPr="0080555B" w:rsidRDefault="001F04FD" w:rsidP="00AC4DEE">
            <w:pPr>
              <w:pStyle w:val="tablebody0"/>
            </w:pPr>
            <w:r w:rsidRPr="0080555B">
              <w:t xml:space="preserve">RTOFFPA </w:t>
            </w:r>
            <w:r w:rsidRPr="00967A0A">
              <w:rPr>
                <w:i/>
                <w:vertAlign w:val="subscript"/>
              </w:rPr>
              <w:t>y</w:t>
            </w:r>
          </w:p>
        </w:tc>
        <w:tc>
          <w:tcPr>
            <w:tcW w:w="606" w:type="pct"/>
          </w:tcPr>
          <w:p w14:paraId="09024E40" w14:textId="77777777" w:rsidR="001F04FD" w:rsidRPr="0080555B" w:rsidRDefault="001F04FD" w:rsidP="00AC4DEE">
            <w:pPr>
              <w:pStyle w:val="tablebody0"/>
            </w:pPr>
            <w:r w:rsidRPr="0080555B">
              <w:t>$/MWh</w:t>
            </w:r>
          </w:p>
        </w:tc>
        <w:tc>
          <w:tcPr>
            <w:tcW w:w="3082" w:type="pct"/>
          </w:tcPr>
          <w:p w14:paraId="3880AAB1" w14:textId="77777777" w:rsidR="001F04FD" w:rsidRPr="0080555B" w:rsidRDefault="001F04FD" w:rsidP="00AC4DEE">
            <w:pPr>
              <w:pStyle w:val="tablebody0"/>
              <w:rPr>
                <w:i/>
                <w:iCs/>
              </w:rPr>
            </w:pPr>
            <w:r w:rsidRPr="0080555B">
              <w:rPr>
                <w:i/>
              </w:rPr>
              <w:t>Real-Time Off-Line Reserve Price Adder per interval</w:t>
            </w:r>
            <w:r w:rsidRPr="0080555B">
              <w:sym w:font="Symbol" w:char="F0BE"/>
            </w:r>
            <w:r w:rsidRPr="0080555B">
              <w:t xml:space="preserve">The Real-Time Price Adder for Off-Line Reserves for the SCED interval </w:t>
            </w:r>
            <w:r w:rsidRPr="0080555B">
              <w:rPr>
                <w:i/>
              </w:rPr>
              <w:t>y</w:t>
            </w:r>
            <w:r w:rsidRPr="0080555B">
              <w:t>.</w:t>
            </w:r>
          </w:p>
        </w:tc>
      </w:tr>
      <w:tr w:rsidR="001F04FD" w:rsidRPr="0080555B" w14:paraId="38062739" w14:textId="77777777" w:rsidTr="00356445">
        <w:trPr>
          <w:cantSplit/>
        </w:trPr>
        <w:tc>
          <w:tcPr>
            <w:tcW w:w="1312" w:type="pct"/>
            <w:tcBorders>
              <w:bottom w:val="single" w:sz="4" w:space="0" w:color="auto"/>
            </w:tcBorders>
          </w:tcPr>
          <w:p w14:paraId="00D71460" w14:textId="77777777" w:rsidR="001F04FD" w:rsidRPr="0080555B" w:rsidRDefault="001F04FD" w:rsidP="00AC4DEE">
            <w:pPr>
              <w:pStyle w:val="tablebody0"/>
            </w:pPr>
            <w:r w:rsidRPr="0080555B">
              <w:t xml:space="preserve">TLMP </w:t>
            </w:r>
            <w:r w:rsidRPr="00967A0A">
              <w:rPr>
                <w:i/>
                <w:vertAlign w:val="subscript"/>
              </w:rPr>
              <w:t>y</w:t>
            </w:r>
          </w:p>
        </w:tc>
        <w:tc>
          <w:tcPr>
            <w:tcW w:w="606" w:type="pct"/>
            <w:tcBorders>
              <w:bottom w:val="single" w:sz="4" w:space="0" w:color="auto"/>
            </w:tcBorders>
          </w:tcPr>
          <w:p w14:paraId="56355A33" w14:textId="77777777" w:rsidR="001F04FD" w:rsidRPr="0080555B" w:rsidRDefault="001F04FD" w:rsidP="00AC4DEE">
            <w:pPr>
              <w:pStyle w:val="tablebody0"/>
              <w:rPr>
                <w:iCs/>
              </w:rPr>
            </w:pPr>
            <w:r w:rsidRPr="0080555B">
              <w:t>second</w:t>
            </w:r>
          </w:p>
        </w:tc>
        <w:tc>
          <w:tcPr>
            <w:tcW w:w="3082" w:type="pct"/>
            <w:tcBorders>
              <w:bottom w:val="single" w:sz="4" w:space="0" w:color="auto"/>
            </w:tcBorders>
          </w:tcPr>
          <w:p w14:paraId="57D240A0" w14:textId="77777777" w:rsidR="001F04FD" w:rsidRPr="0080555B" w:rsidRDefault="001F04FD" w:rsidP="00AC4DEE">
            <w:pPr>
              <w:pStyle w:val="tablebody0"/>
            </w:pPr>
            <w:r w:rsidRPr="0080555B">
              <w:rPr>
                <w:i/>
                <w:iCs/>
              </w:rPr>
              <w:t xml:space="preserve">Duration of </w:t>
            </w:r>
            <w:r w:rsidRPr="0080555B">
              <w:rPr>
                <w:i/>
              </w:rPr>
              <w:t>SCED</w:t>
            </w:r>
            <w:r w:rsidRPr="0080555B">
              <w:rPr>
                <w:i/>
                <w:iCs/>
              </w:rPr>
              <w:t xml:space="preserve"> interval per interval</w:t>
            </w:r>
            <w:r w:rsidRPr="0080555B">
              <w:sym w:font="Symbol" w:char="F0BE"/>
            </w:r>
            <w:r w:rsidRPr="0080555B">
              <w:t xml:space="preserve">The duration of the SCED interval </w:t>
            </w:r>
            <w:r w:rsidRPr="0080555B">
              <w:rPr>
                <w:i/>
                <w:iCs/>
              </w:rPr>
              <w:t>y</w:t>
            </w:r>
            <w:r w:rsidRPr="0080555B">
              <w:t>.</w:t>
            </w:r>
          </w:p>
        </w:tc>
      </w:tr>
      <w:tr w:rsidR="001F04FD" w:rsidRPr="0080555B" w14:paraId="192B322F" w14:textId="77777777" w:rsidTr="00356445">
        <w:trPr>
          <w:cantSplit/>
        </w:trPr>
        <w:tc>
          <w:tcPr>
            <w:tcW w:w="1312" w:type="pct"/>
            <w:tcBorders>
              <w:bottom w:val="single" w:sz="4" w:space="0" w:color="auto"/>
            </w:tcBorders>
          </w:tcPr>
          <w:p w14:paraId="5F1B7B2A" w14:textId="77777777" w:rsidR="001F04FD" w:rsidRPr="0080555B" w:rsidRDefault="001F04FD" w:rsidP="00AC4DEE">
            <w:pPr>
              <w:pStyle w:val="tablebody0"/>
            </w:pPr>
            <w:r w:rsidRPr="00181BDE">
              <w:t>RTRDP</w:t>
            </w:r>
          </w:p>
        </w:tc>
        <w:tc>
          <w:tcPr>
            <w:tcW w:w="606" w:type="pct"/>
            <w:tcBorders>
              <w:bottom w:val="single" w:sz="4" w:space="0" w:color="auto"/>
            </w:tcBorders>
          </w:tcPr>
          <w:p w14:paraId="3C50E2B5" w14:textId="77777777" w:rsidR="001F04FD" w:rsidRPr="0080555B" w:rsidRDefault="001F04FD" w:rsidP="00AC4DEE">
            <w:pPr>
              <w:pStyle w:val="tablebody0"/>
            </w:pPr>
            <w:r w:rsidRPr="00181BDE">
              <w:t>$/MWh</w:t>
            </w:r>
          </w:p>
        </w:tc>
        <w:tc>
          <w:tcPr>
            <w:tcW w:w="3082" w:type="pct"/>
            <w:tcBorders>
              <w:bottom w:val="single" w:sz="4" w:space="0" w:color="auto"/>
            </w:tcBorders>
          </w:tcPr>
          <w:p w14:paraId="06161B8A" w14:textId="6BD47041" w:rsidR="001F04FD" w:rsidRPr="0080555B" w:rsidRDefault="001F04FD" w:rsidP="00CC0885">
            <w:pPr>
              <w:pStyle w:val="tablebody0"/>
              <w:rPr>
                <w:i/>
                <w:iCs/>
              </w:rPr>
            </w:pPr>
            <w:r w:rsidRPr="00181BDE">
              <w:rPr>
                <w:i/>
              </w:rPr>
              <w:t>Real-Time On-Line Reliability Deployment Price</w:t>
            </w:r>
            <w:r w:rsidRPr="00181BDE">
              <w:sym w:font="Symbol" w:char="F0BE"/>
            </w:r>
            <w:r w:rsidRPr="00181BDE">
              <w:t xml:space="preserve">The Real-Time price for the 15-minute Settlement Interval, reflecting the impact of reliability deployments on energy prices that is calculated </w:t>
            </w:r>
            <w:r w:rsidRPr="00181BDE">
              <w:rPr>
                <w:bCs/>
              </w:rPr>
              <w:t>from the Real-</w:t>
            </w:r>
            <w:r w:rsidR="00CC0885">
              <w:rPr>
                <w:bCs/>
              </w:rPr>
              <w:t>T</w:t>
            </w:r>
            <w:r w:rsidRPr="00181BDE">
              <w:rPr>
                <w:bCs/>
              </w:rPr>
              <w:t>ime On-Line Reliability Deployment Price Adder</w:t>
            </w:r>
            <w:r w:rsidRPr="00181BDE">
              <w:t>.</w:t>
            </w:r>
          </w:p>
        </w:tc>
      </w:tr>
      <w:tr w:rsidR="001F04FD" w:rsidRPr="0080555B" w14:paraId="19D76CCF" w14:textId="77777777" w:rsidTr="00356445">
        <w:trPr>
          <w:cantSplit/>
        </w:trPr>
        <w:tc>
          <w:tcPr>
            <w:tcW w:w="1312" w:type="pct"/>
            <w:tcBorders>
              <w:bottom w:val="single" w:sz="4" w:space="0" w:color="auto"/>
            </w:tcBorders>
          </w:tcPr>
          <w:p w14:paraId="2930FFA1" w14:textId="77777777" w:rsidR="001F04FD" w:rsidRPr="0080555B" w:rsidRDefault="001F04FD" w:rsidP="00AC4DEE">
            <w:pPr>
              <w:pStyle w:val="tablebody0"/>
            </w:pPr>
            <w:r w:rsidRPr="00181BDE">
              <w:t>RTORDPA</w:t>
            </w:r>
            <w:r w:rsidRPr="00181BDE">
              <w:rPr>
                <w:vertAlign w:val="subscript"/>
              </w:rPr>
              <w:t xml:space="preserve"> </w:t>
            </w:r>
            <w:r w:rsidRPr="00967A0A">
              <w:rPr>
                <w:i/>
                <w:vertAlign w:val="subscript"/>
              </w:rPr>
              <w:t>y</w:t>
            </w:r>
          </w:p>
        </w:tc>
        <w:tc>
          <w:tcPr>
            <w:tcW w:w="606" w:type="pct"/>
            <w:tcBorders>
              <w:bottom w:val="single" w:sz="4" w:space="0" w:color="auto"/>
            </w:tcBorders>
          </w:tcPr>
          <w:p w14:paraId="57CB9310" w14:textId="77777777" w:rsidR="001F04FD" w:rsidRPr="0080555B" w:rsidRDefault="001F04FD" w:rsidP="00AC4DEE">
            <w:pPr>
              <w:pStyle w:val="tablebody0"/>
            </w:pPr>
            <w:r w:rsidRPr="00181BDE">
              <w:t>$/MWh</w:t>
            </w:r>
          </w:p>
        </w:tc>
        <w:tc>
          <w:tcPr>
            <w:tcW w:w="3082" w:type="pct"/>
            <w:tcBorders>
              <w:bottom w:val="single" w:sz="4" w:space="0" w:color="auto"/>
            </w:tcBorders>
          </w:tcPr>
          <w:p w14:paraId="37D5A2E8" w14:textId="77777777" w:rsidR="001F04FD" w:rsidRPr="0080555B" w:rsidRDefault="001F04FD" w:rsidP="00AC4DEE">
            <w:pPr>
              <w:pStyle w:val="tablebody0"/>
              <w:rPr>
                <w:i/>
                <w:iCs/>
              </w:rPr>
            </w:pPr>
            <w:r w:rsidRPr="00181BDE">
              <w:rPr>
                <w:i/>
              </w:rPr>
              <w:t>Real-Time On-Line Reliability Deployment Price Adder</w:t>
            </w:r>
            <w:r w:rsidRPr="00181BDE">
              <w:sym w:font="Symbol" w:char="F0BE"/>
            </w:r>
            <w:r w:rsidRPr="00181BDE">
              <w:t xml:space="preserve">The Real-Time Price Adder that captures the impact of reliability deployments on energy prices for the SCED interval </w:t>
            </w:r>
            <w:r w:rsidRPr="00181BDE">
              <w:rPr>
                <w:i/>
              </w:rPr>
              <w:t>y</w:t>
            </w:r>
            <w:r w:rsidRPr="00181BDE">
              <w:t>.</w:t>
            </w:r>
          </w:p>
        </w:tc>
      </w:tr>
      <w:tr w:rsidR="001F04FD" w:rsidRPr="0080555B" w14:paraId="7D189007" w14:textId="77777777" w:rsidTr="00356445">
        <w:trPr>
          <w:cantSplit/>
        </w:trPr>
        <w:tc>
          <w:tcPr>
            <w:tcW w:w="1312" w:type="pct"/>
          </w:tcPr>
          <w:p w14:paraId="78760275" w14:textId="77777777" w:rsidR="001F04FD" w:rsidRPr="0080555B" w:rsidRDefault="001F04FD" w:rsidP="00AC4DEE">
            <w:pPr>
              <w:pStyle w:val="tablebody0"/>
              <w:rPr>
                <w:i/>
              </w:rPr>
            </w:pPr>
            <w:r w:rsidRPr="0080555B">
              <w:lastRenderedPageBreak/>
              <w:t xml:space="preserve">RNWF </w:t>
            </w:r>
            <w:r w:rsidRPr="0080555B">
              <w:rPr>
                <w:i/>
                <w:vertAlign w:val="subscript"/>
              </w:rPr>
              <w:t>y</w:t>
            </w:r>
          </w:p>
        </w:tc>
        <w:tc>
          <w:tcPr>
            <w:tcW w:w="606" w:type="pct"/>
          </w:tcPr>
          <w:p w14:paraId="62494AB9" w14:textId="77777777" w:rsidR="001F04FD" w:rsidRPr="0080555B" w:rsidRDefault="001F04FD" w:rsidP="00AC4DEE">
            <w:pPr>
              <w:pStyle w:val="tablebody0"/>
            </w:pPr>
            <w:r w:rsidRPr="0080555B">
              <w:t>none</w:t>
            </w:r>
          </w:p>
        </w:tc>
        <w:tc>
          <w:tcPr>
            <w:tcW w:w="3082" w:type="pct"/>
          </w:tcPr>
          <w:p w14:paraId="30C47DBD" w14:textId="77777777" w:rsidR="001F04FD" w:rsidRPr="0080555B" w:rsidRDefault="001F04FD" w:rsidP="00AC4DEE">
            <w:pPr>
              <w:pStyle w:val="tablebody0"/>
            </w:pPr>
            <w:r w:rsidRPr="0080555B">
              <w:rPr>
                <w:i/>
              </w:rPr>
              <w:t>Resource Node Weighting Factor per interval</w:t>
            </w:r>
            <w:r w:rsidRPr="0080555B">
              <w:sym w:font="Symbol" w:char="F0BE"/>
            </w:r>
            <w:r w:rsidRPr="0080555B">
              <w:t xml:space="preserve">The weight used in the Resource Node Settlement Point Price calculation for the portion of the SCED interval </w:t>
            </w:r>
            <w:r w:rsidRPr="0080555B">
              <w:rPr>
                <w:i/>
              </w:rPr>
              <w:t>y</w:t>
            </w:r>
            <w:r w:rsidRPr="0080555B">
              <w:t xml:space="preserve"> within the 15-minute Settlement Interval.</w:t>
            </w:r>
          </w:p>
        </w:tc>
      </w:tr>
      <w:tr w:rsidR="001F04FD" w:rsidRPr="0080555B" w14:paraId="1FF5DC27" w14:textId="77777777" w:rsidTr="00356445">
        <w:trPr>
          <w:cantSplit/>
        </w:trPr>
        <w:tc>
          <w:tcPr>
            <w:tcW w:w="1312" w:type="pct"/>
          </w:tcPr>
          <w:p w14:paraId="325A4A9D" w14:textId="77777777" w:rsidR="001F04FD" w:rsidRPr="0080555B" w:rsidRDefault="001F04FD" w:rsidP="00AC4DEE">
            <w:pPr>
              <w:pStyle w:val="tablebody0"/>
              <w:rPr>
                <w:i/>
              </w:rPr>
            </w:pPr>
            <w:r w:rsidRPr="0080555B">
              <w:t>RTRSVPOR</w:t>
            </w:r>
          </w:p>
        </w:tc>
        <w:tc>
          <w:tcPr>
            <w:tcW w:w="606" w:type="pct"/>
          </w:tcPr>
          <w:p w14:paraId="4CED3C6E" w14:textId="77777777" w:rsidR="001F04FD" w:rsidRPr="0080555B" w:rsidRDefault="001F04FD" w:rsidP="00AC4DEE">
            <w:pPr>
              <w:pStyle w:val="tablebody0"/>
            </w:pPr>
            <w:r w:rsidRPr="0080555B">
              <w:t>$/MWh</w:t>
            </w:r>
          </w:p>
        </w:tc>
        <w:tc>
          <w:tcPr>
            <w:tcW w:w="3082" w:type="pct"/>
          </w:tcPr>
          <w:p w14:paraId="4434282B" w14:textId="77777777" w:rsidR="001F04FD" w:rsidRPr="0080555B" w:rsidRDefault="001F04FD" w:rsidP="00AC4DEE">
            <w:pPr>
              <w:pStyle w:val="tablebody0"/>
            </w:pPr>
            <w:r w:rsidRPr="0080555B">
              <w:rPr>
                <w:i/>
              </w:rPr>
              <w:t>Real-Time Reserve Price for On-Line Reserves</w:t>
            </w:r>
            <w:r w:rsidRPr="0080555B">
              <w:sym w:font="Symbol" w:char="F0BE"/>
            </w:r>
            <w:r w:rsidRPr="0080555B">
              <w:t>The Real-Time Reserve Price for On-Line Reserves for the 15-minute Settlement Interval.</w:t>
            </w:r>
          </w:p>
        </w:tc>
      </w:tr>
      <w:tr w:rsidR="001F04FD" w:rsidRPr="0080555B" w14:paraId="5ABC02D6" w14:textId="77777777" w:rsidTr="00356445">
        <w:trPr>
          <w:cantSplit/>
        </w:trPr>
        <w:tc>
          <w:tcPr>
            <w:tcW w:w="1312" w:type="pct"/>
          </w:tcPr>
          <w:p w14:paraId="360B988A" w14:textId="77777777" w:rsidR="001F04FD" w:rsidRPr="0080555B" w:rsidRDefault="001F04FD" w:rsidP="00AC4DEE">
            <w:pPr>
              <w:pStyle w:val="tablebody0"/>
            </w:pPr>
            <w:r w:rsidRPr="0080555B">
              <w:t>RTRSVPOFF</w:t>
            </w:r>
          </w:p>
        </w:tc>
        <w:tc>
          <w:tcPr>
            <w:tcW w:w="606" w:type="pct"/>
          </w:tcPr>
          <w:p w14:paraId="75E7ADD6" w14:textId="77777777" w:rsidR="001F04FD" w:rsidRPr="0080555B" w:rsidRDefault="001F04FD" w:rsidP="00AC4DEE">
            <w:pPr>
              <w:pStyle w:val="tablebody0"/>
            </w:pPr>
            <w:r w:rsidRPr="0080555B">
              <w:t>$/MWh</w:t>
            </w:r>
          </w:p>
        </w:tc>
        <w:tc>
          <w:tcPr>
            <w:tcW w:w="3082" w:type="pct"/>
          </w:tcPr>
          <w:p w14:paraId="5404E46D" w14:textId="77777777" w:rsidR="001F04FD" w:rsidRPr="0080555B" w:rsidRDefault="001F04FD" w:rsidP="00AC4DEE">
            <w:pPr>
              <w:pStyle w:val="tablebody0"/>
              <w:rPr>
                <w:i/>
              </w:rPr>
            </w:pPr>
            <w:r w:rsidRPr="0080555B">
              <w:rPr>
                <w:i/>
              </w:rPr>
              <w:t>Real-Time Reserve Price for Off-Line Reserves</w:t>
            </w:r>
            <w:r w:rsidRPr="0080555B">
              <w:sym w:font="Symbol" w:char="F0BE"/>
            </w:r>
            <w:r w:rsidRPr="0080555B">
              <w:t>The Real-Time Reserve Price for Off-Line Reserves for the 15-minute Settlement Interval.</w:t>
            </w:r>
          </w:p>
        </w:tc>
      </w:tr>
      <w:tr w:rsidR="001F04FD" w:rsidRPr="0080555B" w14:paraId="4A31520E" w14:textId="77777777" w:rsidTr="00356445">
        <w:trPr>
          <w:cantSplit/>
        </w:trPr>
        <w:tc>
          <w:tcPr>
            <w:tcW w:w="1312" w:type="pct"/>
          </w:tcPr>
          <w:p w14:paraId="79C5B264" w14:textId="77777777" w:rsidR="001F04FD" w:rsidRPr="0080555B" w:rsidRDefault="001F04FD" w:rsidP="00AC4DEE">
            <w:pPr>
              <w:pStyle w:val="tablebody0"/>
            </w:pPr>
            <w:r w:rsidRPr="0080555B">
              <w:t>RTOLCAP</w:t>
            </w:r>
            <w:r w:rsidRPr="0080555B">
              <w:rPr>
                <w:i/>
                <w:vertAlign w:val="subscript"/>
              </w:rPr>
              <w:t xml:space="preserve"> q</w:t>
            </w:r>
            <w:r w:rsidRPr="0080555B">
              <w:t xml:space="preserve">  </w:t>
            </w:r>
          </w:p>
        </w:tc>
        <w:tc>
          <w:tcPr>
            <w:tcW w:w="606" w:type="pct"/>
          </w:tcPr>
          <w:p w14:paraId="3059A0B0" w14:textId="77777777" w:rsidR="001F04FD" w:rsidRPr="0080555B" w:rsidRDefault="001F04FD" w:rsidP="00AC4DEE">
            <w:pPr>
              <w:pStyle w:val="tablebody0"/>
            </w:pPr>
            <w:r w:rsidRPr="0080555B">
              <w:t>MWh</w:t>
            </w:r>
          </w:p>
        </w:tc>
        <w:tc>
          <w:tcPr>
            <w:tcW w:w="3082" w:type="pct"/>
          </w:tcPr>
          <w:p w14:paraId="79764B3D" w14:textId="77777777" w:rsidR="001F04FD" w:rsidRPr="0080555B" w:rsidRDefault="001F04FD" w:rsidP="00AC4DEE">
            <w:pPr>
              <w:pStyle w:val="tablebody0"/>
              <w:rPr>
                <w:i/>
              </w:rPr>
            </w:pPr>
            <w:r w:rsidRPr="0080555B">
              <w:rPr>
                <w:i/>
              </w:rPr>
              <w:t xml:space="preserve">Real-Time On-Line </w:t>
            </w:r>
            <w:r>
              <w:rPr>
                <w:i/>
              </w:rPr>
              <w:t xml:space="preserve">Reserve </w:t>
            </w:r>
            <w:r w:rsidRPr="0080555B">
              <w:rPr>
                <w:i/>
              </w:rPr>
              <w:t>Capacity for the QSE</w:t>
            </w:r>
            <w:r w:rsidRPr="0080555B">
              <w:sym w:font="Symbol" w:char="F0BE"/>
            </w:r>
            <w:r w:rsidRPr="0080555B">
              <w:t xml:space="preserve">The Real-Time </w:t>
            </w:r>
            <w:r>
              <w:t xml:space="preserve">reserve </w:t>
            </w:r>
            <w:r w:rsidRPr="0080555B">
              <w:t xml:space="preserve">capacity of On-Line Resources available for the QSE </w:t>
            </w:r>
            <w:r w:rsidRPr="0080555B">
              <w:rPr>
                <w:i/>
              </w:rPr>
              <w:t>q</w:t>
            </w:r>
            <w:r w:rsidRPr="0080555B">
              <w:t>, for the 15-minute Settlement Interval.</w:t>
            </w:r>
          </w:p>
        </w:tc>
      </w:tr>
      <w:tr w:rsidR="001F04FD" w:rsidRPr="0080555B" w14:paraId="689E8275" w14:textId="77777777" w:rsidTr="00356445">
        <w:trPr>
          <w:cantSplit/>
        </w:trPr>
        <w:tc>
          <w:tcPr>
            <w:tcW w:w="1312" w:type="pct"/>
          </w:tcPr>
          <w:p w14:paraId="6125B654" w14:textId="77777777" w:rsidR="001F04FD" w:rsidRPr="0080555B" w:rsidRDefault="001F04FD" w:rsidP="00AC4DEE">
            <w:pPr>
              <w:pStyle w:val="tablebody0"/>
            </w:pPr>
            <w:r w:rsidRPr="0080555B">
              <w:t>RTOLHSL</w:t>
            </w:r>
            <w:r>
              <w:t>RA</w:t>
            </w:r>
            <w:r w:rsidRPr="0080555B">
              <w:t xml:space="preserve"> </w:t>
            </w:r>
            <w:r w:rsidRPr="0080555B">
              <w:rPr>
                <w:i/>
                <w:vertAlign w:val="subscript"/>
              </w:rPr>
              <w:t>q</w:t>
            </w:r>
            <w:r>
              <w:rPr>
                <w:i/>
                <w:vertAlign w:val="subscript"/>
              </w:rPr>
              <w:t>, r, p</w:t>
            </w:r>
          </w:p>
        </w:tc>
        <w:tc>
          <w:tcPr>
            <w:tcW w:w="606" w:type="pct"/>
          </w:tcPr>
          <w:p w14:paraId="7ED0AD26" w14:textId="77777777" w:rsidR="001F04FD" w:rsidRPr="0080555B" w:rsidRDefault="001F04FD" w:rsidP="00AC4DEE">
            <w:pPr>
              <w:pStyle w:val="tablebody0"/>
            </w:pPr>
            <w:r w:rsidRPr="0080555B">
              <w:t>MWh</w:t>
            </w:r>
          </w:p>
        </w:tc>
        <w:tc>
          <w:tcPr>
            <w:tcW w:w="3082" w:type="pct"/>
          </w:tcPr>
          <w:p w14:paraId="268F7594" w14:textId="77777777" w:rsidR="001F04FD" w:rsidRPr="00353A56" w:rsidRDefault="001F04FD" w:rsidP="00AC4DEE">
            <w:pPr>
              <w:pStyle w:val="tablebody0"/>
              <w:rPr>
                <w:i/>
              </w:rPr>
            </w:pPr>
            <w:r w:rsidRPr="00A20AF6">
              <w:rPr>
                <w:i/>
                <w:szCs w:val="18"/>
              </w:rPr>
              <w:t xml:space="preserve">Real-Time </w:t>
            </w:r>
            <w:r>
              <w:rPr>
                <w:i/>
                <w:szCs w:val="18"/>
              </w:rPr>
              <w:t xml:space="preserve">Adjusted </w:t>
            </w:r>
            <w:r w:rsidRPr="00A20AF6">
              <w:rPr>
                <w:i/>
                <w:szCs w:val="18"/>
              </w:rPr>
              <w:t>On-Line High Sustained Limit for the Resource</w:t>
            </w:r>
            <w:r w:rsidRPr="00A20AF6">
              <w:rPr>
                <w:szCs w:val="18"/>
              </w:rPr>
              <w:sym w:font="Symbol" w:char="F0BE"/>
            </w:r>
            <w:r w:rsidRPr="00A20AF6">
              <w:rPr>
                <w:szCs w:val="18"/>
              </w:rPr>
              <w:t xml:space="preserve">The Real-Time telemetered HSL for the Resource </w:t>
            </w:r>
            <w:r w:rsidR="000F3CEA" w:rsidRPr="00D04442">
              <w:rPr>
                <w:i/>
                <w:szCs w:val="18"/>
              </w:rPr>
              <w:t>r</w:t>
            </w:r>
            <w:r w:rsidR="000F3CEA" w:rsidRPr="006624C0">
              <w:t xml:space="preserve"> represented by QSE </w:t>
            </w:r>
            <w:r w:rsidR="000F3CEA" w:rsidRPr="006624C0">
              <w:rPr>
                <w:i/>
              </w:rPr>
              <w:t>q</w:t>
            </w:r>
            <w:r w:rsidR="000F3CEA" w:rsidRPr="006624C0">
              <w:t xml:space="preserve"> at Resource Node </w:t>
            </w:r>
            <w:r w:rsidR="000F3CEA" w:rsidRPr="006624C0">
              <w:rPr>
                <w:i/>
              </w:rPr>
              <w:t>p</w:t>
            </w:r>
            <w:r w:rsidR="000F3CEA" w:rsidRPr="00A20AF6">
              <w:rPr>
                <w:szCs w:val="18"/>
              </w:rPr>
              <w:t xml:space="preserve"> </w:t>
            </w:r>
            <w:r w:rsidRPr="00A20AF6">
              <w:rPr>
                <w:szCs w:val="18"/>
              </w:rPr>
              <w:t>that is available to SCED, integrated over the 15-minute Settlement Interval</w:t>
            </w:r>
            <w:r w:rsidRPr="00B6611B">
              <w:rPr>
                <w:szCs w:val="18"/>
              </w:rPr>
              <w:t xml:space="preserve">, and </w:t>
            </w:r>
            <w:r w:rsidRPr="00B6611B">
              <w:t>adjusted pursuant to paragraphs (3)</w:t>
            </w:r>
            <w:r>
              <w:t xml:space="preserve"> and </w:t>
            </w:r>
            <w:r w:rsidRPr="00B6611B">
              <w:t>(4)</w:t>
            </w:r>
            <w:r>
              <w:t xml:space="preserve"> </w:t>
            </w:r>
            <w:r w:rsidRPr="00B6611B">
              <w:t>above</w:t>
            </w:r>
            <w:r w:rsidRPr="00A20AF6">
              <w:rPr>
                <w:szCs w:val="18"/>
              </w:rPr>
              <w:t>.</w:t>
            </w:r>
          </w:p>
        </w:tc>
      </w:tr>
      <w:tr w:rsidR="001F04FD" w:rsidRPr="0080555B" w14:paraId="1C1335FC" w14:textId="77777777" w:rsidTr="00356445">
        <w:trPr>
          <w:cantSplit/>
        </w:trPr>
        <w:tc>
          <w:tcPr>
            <w:tcW w:w="1312" w:type="pct"/>
          </w:tcPr>
          <w:p w14:paraId="23FFBE96" w14:textId="77777777" w:rsidR="001F04FD" w:rsidRPr="0080555B" w:rsidRDefault="001F04FD" w:rsidP="00AC4DEE">
            <w:pPr>
              <w:pStyle w:val="tablebody0"/>
            </w:pPr>
            <w:r w:rsidRPr="0080555B">
              <w:t xml:space="preserve">RTOLHSL </w:t>
            </w:r>
            <w:r w:rsidRPr="0080555B">
              <w:rPr>
                <w:i/>
                <w:vertAlign w:val="subscript"/>
              </w:rPr>
              <w:t>q</w:t>
            </w:r>
          </w:p>
        </w:tc>
        <w:tc>
          <w:tcPr>
            <w:tcW w:w="606" w:type="pct"/>
          </w:tcPr>
          <w:p w14:paraId="253F528A" w14:textId="77777777" w:rsidR="001F04FD" w:rsidRPr="0080555B" w:rsidRDefault="001F04FD" w:rsidP="00AC4DEE">
            <w:pPr>
              <w:pStyle w:val="tablebody0"/>
            </w:pPr>
            <w:r w:rsidRPr="0080555B">
              <w:t>MWh</w:t>
            </w:r>
          </w:p>
        </w:tc>
        <w:tc>
          <w:tcPr>
            <w:tcW w:w="3082" w:type="pct"/>
          </w:tcPr>
          <w:p w14:paraId="68F6F560" w14:textId="77777777" w:rsidR="00356445" w:rsidRPr="0080555B" w:rsidRDefault="001F04FD" w:rsidP="00AC4DEE">
            <w:pPr>
              <w:pStyle w:val="tablebody0"/>
              <w:rPr>
                <w:i/>
              </w:rPr>
            </w:pPr>
            <w:r w:rsidRPr="0080555B">
              <w:rPr>
                <w:i/>
              </w:rPr>
              <w:t>Real-Time On-Line High Sustained Limit for the QSE</w:t>
            </w:r>
            <w:r w:rsidRPr="0080555B">
              <w:sym w:font="Symbol" w:char="F0BE"/>
            </w:r>
            <w:r w:rsidRPr="0080555B">
              <w:t xml:space="preserve">The Real-Time telemetered HSL for all Generation Resources available to SCED, </w:t>
            </w:r>
            <w:r>
              <w:t xml:space="preserve">pursuant to paragraphs (3) and (4) above, </w:t>
            </w:r>
            <w:r w:rsidRPr="0080555B">
              <w:t xml:space="preserve">integrated over the 15-minute Settlement Interval for the QSE </w:t>
            </w:r>
            <w:r w:rsidRPr="0080555B">
              <w:rPr>
                <w:i/>
              </w:rPr>
              <w:t>q</w:t>
            </w:r>
            <w:r w:rsidRPr="00936D9F">
              <w:t>, discounted by the system-wide discount factor.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rsidRPr="0021367F" w14:paraId="6693281A" w14:textId="77777777" w:rsidTr="005C5A9B">
              <w:trPr>
                <w:trHeight w:val="206"/>
              </w:trPr>
              <w:tc>
                <w:tcPr>
                  <w:tcW w:w="9576" w:type="dxa"/>
                  <w:shd w:val="pct12" w:color="auto" w:fill="auto"/>
                </w:tcPr>
                <w:p w14:paraId="6530596F" w14:textId="746298A0" w:rsidR="00356445" w:rsidRPr="0021367F" w:rsidRDefault="00356445" w:rsidP="00356445">
                  <w:pPr>
                    <w:spacing w:before="120" w:after="240"/>
                    <w:rPr>
                      <w:b/>
                      <w:i/>
                      <w:iCs/>
                    </w:rPr>
                  </w:pPr>
                  <w:r>
                    <w:rPr>
                      <w:b/>
                      <w:i/>
                      <w:iCs/>
                    </w:rPr>
                    <w:t>[NPRR987</w:t>
                  </w:r>
                  <w:r w:rsidRPr="0021367F">
                    <w:rPr>
                      <w:b/>
                      <w:i/>
                      <w:iCs/>
                    </w:rPr>
                    <w:t>:  Replace the description above with the following upon system implementation:]</w:t>
                  </w:r>
                </w:p>
                <w:p w14:paraId="0AE3F74E" w14:textId="6A207652" w:rsidR="00356445" w:rsidRPr="0021367F" w:rsidRDefault="00356445" w:rsidP="00356445">
                  <w:pPr>
                    <w:spacing w:after="60"/>
                    <w:rPr>
                      <w:b/>
                      <w:i/>
                      <w:iCs/>
                      <w:sz w:val="20"/>
                    </w:rPr>
                  </w:pPr>
                  <w:r w:rsidRPr="0021367F">
                    <w:rPr>
                      <w:i/>
                      <w:sz w:val="20"/>
                    </w:rPr>
                    <w:t>Real-Time On-Line High Sustained Limit for the QSE</w:t>
                  </w:r>
                  <w:r w:rsidRPr="0021367F">
                    <w:rPr>
                      <w:sz w:val="20"/>
                    </w:rPr>
                    <w:sym w:font="Symbol" w:char="F0BE"/>
                  </w:r>
                  <w:r w:rsidRPr="0021367F">
                    <w:rPr>
                      <w:sz w:val="20"/>
                    </w:rPr>
                    <w:t>The</w:t>
                  </w:r>
                  <w:r>
                    <w:rPr>
                      <w:sz w:val="20"/>
                    </w:rPr>
                    <w:t xml:space="preserve"> integrated</w:t>
                  </w:r>
                  <w:r w:rsidRPr="0021367F">
                    <w:rPr>
                      <w:sz w:val="20"/>
                    </w:rPr>
                    <w:t xml:space="preserve"> Real-Time telemetered HSL for all Generation Resources</w:t>
                  </w:r>
                  <w:r w:rsidRPr="00AA1C33">
                    <w:rPr>
                      <w:sz w:val="20"/>
                    </w:rPr>
                    <w:t xml:space="preserve">, not including </w:t>
                  </w:r>
                  <w:r>
                    <w:rPr>
                      <w:sz w:val="20"/>
                    </w:rPr>
                    <w:t xml:space="preserve">modeled Generation Resources associated with </w:t>
                  </w:r>
                  <w:r w:rsidRPr="00AA1C33">
                    <w:rPr>
                      <w:sz w:val="20"/>
                    </w:rPr>
                    <w:t>E</w:t>
                  </w:r>
                  <w:r>
                    <w:rPr>
                      <w:sz w:val="20"/>
                    </w:rPr>
                    <w:t>SR</w:t>
                  </w:r>
                  <w:r w:rsidRPr="00AA1C33">
                    <w:rPr>
                      <w:sz w:val="20"/>
                    </w:rPr>
                    <w:t>s,</w:t>
                  </w:r>
                  <w:r w:rsidRPr="0021367F">
                    <w:rPr>
                      <w:sz w:val="20"/>
                    </w:rPr>
                    <w:t xml:space="preserve"> available to SCED, pursuant to paragraphs (3) and (4) above, </w:t>
                  </w:r>
                  <w:r>
                    <w:rPr>
                      <w:sz w:val="20"/>
                    </w:rPr>
                    <w:t xml:space="preserve">integrated </w:t>
                  </w:r>
                  <w:r w:rsidRPr="0021367F">
                    <w:rPr>
                      <w:sz w:val="20"/>
                    </w:rPr>
                    <w:t xml:space="preserve">over the 15-minute Settlement Interval for the QSE </w:t>
                  </w:r>
                  <w:r w:rsidRPr="0021367F">
                    <w:rPr>
                      <w:i/>
                      <w:sz w:val="20"/>
                    </w:rPr>
                    <w:t>q</w:t>
                  </w:r>
                  <w:r w:rsidRPr="0021367F">
                    <w:rPr>
                      <w:sz w:val="20"/>
                    </w:rPr>
                    <w:t>, discounted by the system-wide discount factor.</w:t>
                  </w:r>
                </w:p>
              </w:tc>
            </w:tr>
          </w:tbl>
          <w:p w14:paraId="094E4E01" w14:textId="14B46E44" w:rsidR="001F04FD" w:rsidRPr="0080555B" w:rsidRDefault="001F04FD" w:rsidP="00AC4DEE">
            <w:pPr>
              <w:pStyle w:val="tablebody0"/>
              <w:rPr>
                <w:i/>
              </w:rPr>
            </w:pPr>
          </w:p>
        </w:tc>
      </w:tr>
      <w:tr w:rsidR="001F04FD" w:rsidRPr="0080555B" w14:paraId="308C9828" w14:textId="77777777" w:rsidTr="00356445">
        <w:trPr>
          <w:cantSplit/>
        </w:trPr>
        <w:tc>
          <w:tcPr>
            <w:tcW w:w="1312" w:type="pct"/>
            <w:tcBorders>
              <w:bottom w:val="single" w:sz="4" w:space="0" w:color="auto"/>
            </w:tcBorders>
          </w:tcPr>
          <w:p w14:paraId="280AD22D" w14:textId="77777777" w:rsidR="001F04FD" w:rsidRPr="0080555B" w:rsidRDefault="001F04FD" w:rsidP="00AC4DEE">
            <w:pPr>
              <w:pStyle w:val="tablebody0"/>
            </w:pPr>
            <w:r w:rsidRPr="0080555B">
              <w:t xml:space="preserve">RTASRESP </w:t>
            </w:r>
            <w:r w:rsidRPr="0080555B">
              <w:rPr>
                <w:i/>
                <w:vertAlign w:val="subscript"/>
              </w:rPr>
              <w:t>q</w:t>
            </w:r>
          </w:p>
        </w:tc>
        <w:tc>
          <w:tcPr>
            <w:tcW w:w="606" w:type="pct"/>
            <w:tcBorders>
              <w:bottom w:val="single" w:sz="4" w:space="0" w:color="auto"/>
            </w:tcBorders>
          </w:tcPr>
          <w:p w14:paraId="422DC2B8" w14:textId="77777777" w:rsidR="001F04FD" w:rsidRPr="0080555B" w:rsidRDefault="001F04FD" w:rsidP="00AC4DEE">
            <w:pPr>
              <w:pStyle w:val="tablebody0"/>
            </w:pPr>
            <w:r w:rsidRPr="0080555B">
              <w:t>MW</w:t>
            </w:r>
          </w:p>
        </w:tc>
        <w:tc>
          <w:tcPr>
            <w:tcW w:w="3082" w:type="pct"/>
            <w:tcBorders>
              <w:bottom w:val="single" w:sz="4" w:space="0" w:color="auto"/>
            </w:tcBorders>
          </w:tcPr>
          <w:p w14:paraId="6715207F" w14:textId="204AFD10" w:rsidR="001F04FD" w:rsidRPr="0080555B" w:rsidRDefault="00B55307" w:rsidP="00417B4E">
            <w:pPr>
              <w:pStyle w:val="tablebody0"/>
              <w:rPr>
                <w:i/>
              </w:rPr>
            </w:pPr>
            <w:r w:rsidRPr="0003648D">
              <w:rPr>
                <w:i/>
              </w:rPr>
              <w:t>Real-Time Ancillary Service Supply Responsibility for the QSE</w:t>
            </w:r>
            <w:r w:rsidRPr="0003648D">
              <w:sym w:font="Symbol" w:char="F0BE"/>
            </w:r>
            <w:r w:rsidRPr="0003648D">
              <w:t xml:space="preserve">The Real-Time Ancillary Service Supply Responsibility for Reg-Up, </w:t>
            </w:r>
            <w:r>
              <w:t>ECRS</w:t>
            </w:r>
            <w:r w:rsidRPr="0003648D">
              <w:t xml:space="preserve">, </w:t>
            </w:r>
            <w:r>
              <w:t>RRS</w:t>
            </w:r>
            <w:r w:rsidRPr="0003648D">
              <w:t xml:space="preserve"> and Non-Spin pursuant to Section 4.4.7.4, Ancillary Service Supply Responsibility, for the QSE </w:t>
            </w:r>
            <w:r w:rsidRPr="0003648D">
              <w:rPr>
                <w:i/>
              </w:rPr>
              <w:t>q</w:t>
            </w:r>
            <w:r w:rsidRPr="0003648D">
              <w:t>, for the 15-minute Settlement Interval.</w:t>
            </w:r>
          </w:p>
        </w:tc>
      </w:tr>
      <w:tr w:rsidR="001F04FD" w:rsidRPr="0080555B" w14:paraId="218F0706" w14:textId="77777777" w:rsidTr="00356445">
        <w:trPr>
          <w:cantSplit/>
        </w:trPr>
        <w:tc>
          <w:tcPr>
            <w:tcW w:w="1312" w:type="pct"/>
          </w:tcPr>
          <w:p w14:paraId="1CB5FF37" w14:textId="77777777" w:rsidR="001F04FD" w:rsidRPr="0080555B" w:rsidRDefault="001F04FD" w:rsidP="00AC4DEE">
            <w:pPr>
              <w:pStyle w:val="tablebody0"/>
            </w:pPr>
            <w:r w:rsidRPr="0080555B">
              <w:lastRenderedPageBreak/>
              <w:t xml:space="preserve">RTCLRCAP </w:t>
            </w:r>
            <w:r w:rsidRPr="0080555B">
              <w:rPr>
                <w:i/>
                <w:vertAlign w:val="subscript"/>
              </w:rPr>
              <w:t>q</w:t>
            </w:r>
          </w:p>
        </w:tc>
        <w:tc>
          <w:tcPr>
            <w:tcW w:w="606" w:type="pct"/>
          </w:tcPr>
          <w:p w14:paraId="0D0C9BCD" w14:textId="77777777" w:rsidR="001F04FD" w:rsidRPr="0080555B" w:rsidRDefault="001F04FD" w:rsidP="00AC4DEE">
            <w:pPr>
              <w:pStyle w:val="tablebody0"/>
            </w:pPr>
            <w:r w:rsidRPr="0080555B">
              <w:t>MWh</w:t>
            </w:r>
          </w:p>
        </w:tc>
        <w:tc>
          <w:tcPr>
            <w:tcW w:w="3082" w:type="pct"/>
          </w:tcPr>
          <w:p w14:paraId="229DAED2" w14:textId="77777777" w:rsidR="00356445" w:rsidRPr="0080555B" w:rsidRDefault="001F04FD" w:rsidP="00AC4DEE">
            <w:pPr>
              <w:pStyle w:val="tablebody0"/>
              <w:rPr>
                <w:i/>
              </w:rPr>
            </w:pPr>
            <w:r w:rsidRPr="0080555B">
              <w:rPr>
                <w:i/>
              </w:rPr>
              <w:t>Real-Time Capacity from Controllable Load Resources for the QSE</w:t>
            </w:r>
            <w:r w:rsidRPr="0080555B">
              <w:t>—The Real-Time capacity</w:t>
            </w:r>
            <w:r w:rsidRPr="0010409C">
              <w:t xml:space="preserve"> and Reg</w:t>
            </w:r>
            <w:r>
              <w:t>-</w:t>
            </w:r>
            <w:r w:rsidRPr="0010409C">
              <w:t>Up minus Non-Spin</w:t>
            </w:r>
            <w:r w:rsidRPr="0080555B">
              <w:t xml:space="preserve"> available from all Controllable Load Resources available to SCED for the QSE </w:t>
            </w:r>
            <w:r w:rsidRPr="0080555B">
              <w:rPr>
                <w:i/>
              </w:rPr>
              <w:t>q</w:t>
            </w:r>
            <w:r w:rsidRPr="0080555B">
              <w:t>,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rsidRPr="0021367F" w14:paraId="23682A22" w14:textId="77777777" w:rsidTr="005C5A9B">
              <w:trPr>
                <w:trHeight w:val="206"/>
              </w:trPr>
              <w:tc>
                <w:tcPr>
                  <w:tcW w:w="9576" w:type="dxa"/>
                  <w:shd w:val="pct12" w:color="auto" w:fill="auto"/>
                </w:tcPr>
                <w:p w14:paraId="16486C7B" w14:textId="77777777" w:rsidR="00356445" w:rsidRPr="0021367F" w:rsidRDefault="00356445" w:rsidP="00356445">
                  <w:pPr>
                    <w:spacing w:before="120" w:after="240"/>
                    <w:rPr>
                      <w:b/>
                      <w:i/>
                      <w:iCs/>
                    </w:rPr>
                  </w:pPr>
                  <w:r>
                    <w:rPr>
                      <w:b/>
                      <w:i/>
                      <w:iCs/>
                    </w:rPr>
                    <w:t>[NPRR987</w:t>
                  </w:r>
                  <w:r w:rsidRPr="0021367F">
                    <w:rPr>
                      <w:b/>
                      <w:i/>
                      <w:iCs/>
                    </w:rPr>
                    <w:t>:  Replace the description above with the following upon system implementation:]</w:t>
                  </w:r>
                </w:p>
                <w:p w14:paraId="73767B61" w14:textId="758B1999" w:rsidR="00356445" w:rsidRPr="0021367F" w:rsidRDefault="00356445" w:rsidP="00356445">
                  <w:pPr>
                    <w:spacing w:after="60"/>
                    <w:rPr>
                      <w:b/>
                      <w:i/>
                      <w:iCs/>
                      <w:sz w:val="20"/>
                    </w:rPr>
                  </w:pPr>
                  <w:r w:rsidRPr="0021367F">
                    <w:rPr>
                      <w:i/>
                      <w:sz w:val="20"/>
                    </w:rPr>
                    <w:t>Real-Time Capacity from Controllable Load Resources for the QSE</w:t>
                  </w:r>
                  <w:r w:rsidRPr="0021367F">
                    <w:rPr>
                      <w:sz w:val="20"/>
                    </w:rPr>
                    <w:t>—The Real-Time capacity and Reg-Up minus Non-Spin available from all Controllable Load Resources</w:t>
                  </w:r>
                  <w:r w:rsidRPr="00AA1C33">
                    <w:rPr>
                      <w:sz w:val="20"/>
                    </w:rPr>
                    <w:t>, not including</w:t>
                  </w:r>
                  <w:r>
                    <w:rPr>
                      <w:sz w:val="20"/>
                    </w:rPr>
                    <w:t xml:space="preserve"> modeled Controllable Load Resources associated with </w:t>
                  </w:r>
                  <w:r w:rsidRPr="00AA1C33">
                    <w:rPr>
                      <w:sz w:val="20"/>
                    </w:rPr>
                    <w:t>E</w:t>
                  </w:r>
                  <w:r>
                    <w:rPr>
                      <w:sz w:val="20"/>
                    </w:rPr>
                    <w:t>SR</w:t>
                  </w:r>
                  <w:r w:rsidRPr="00AA1C33">
                    <w:rPr>
                      <w:sz w:val="20"/>
                    </w:rPr>
                    <w:t>s</w:t>
                  </w:r>
                  <w:r w:rsidRPr="0021367F">
                    <w:rPr>
                      <w:sz w:val="20"/>
                    </w:rPr>
                    <w:t xml:space="preserve"> available to SCED for the QSE </w:t>
                  </w:r>
                  <w:r w:rsidRPr="0021367F">
                    <w:rPr>
                      <w:i/>
                      <w:sz w:val="20"/>
                    </w:rPr>
                    <w:t>q</w:t>
                  </w:r>
                  <w:r w:rsidRPr="0021367F">
                    <w:rPr>
                      <w:sz w:val="20"/>
                    </w:rPr>
                    <w:t>, integrated over the 15-minute Settlement Interval.</w:t>
                  </w:r>
                </w:p>
              </w:tc>
            </w:tr>
          </w:tbl>
          <w:p w14:paraId="37C1D181" w14:textId="207AD081" w:rsidR="001F04FD" w:rsidRPr="0080555B" w:rsidRDefault="001F04FD" w:rsidP="00AC4DEE">
            <w:pPr>
              <w:pStyle w:val="tablebody0"/>
              <w:rPr>
                <w:i/>
              </w:rPr>
            </w:pPr>
          </w:p>
        </w:tc>
      </w:tr>
      <w:tr w:rsidR="001F04FD" w:rsidRPr="0080555B" w14:paraId="30485853" w14:textId="77777777" w:rsidTr="00356445">
        <w:trPr>
          <w:cantSplit/>
        </w:trPr>
        <w:tc>
          <w:tcPr>
            <w:tcW w:w="1312" w:type="pct"/>
            <w:tcBorders>
              <w:bottom w:val="single" w:sz="4" w:space="0" w:color="auto"/>
            </w:tcBorders>
          </w:tcPr>
          <w:p w14:paraId="070D3DC3" w14:textId="77777777" w:rsidR="001F04FD" w:rsidRPr="0080555B" w:rsidRDefault="001F04FD" w:rsidP="00AC4DEE">
            <w:pPr>
              <w:pStyle w:val="tablebody0"/>
            </w:pPr>
            <w:r w:rsidRPr="00A05195">
              <w:t>RTNCLRCAP</w:t>
            </w:r>
            <w:r w:rsidRPr="00A05195">
              <w:rPr>
                <w:b/>
                <w:i/>
                <w:vertAlign w:val="subscript"/>
              </w:rPr>
              <w:t xml:space="preserve"> q</w:t>
            </w:r>
          </w:p>
        </w:tc>
        <w:tc>
          <w:tcPr>
            <w:tcW w:w="606" w:type="pct"/>
            <w:tcBorders>
              <w:bottom w:val="single" w:sz="4" w:space="0" w:color="auto"/>
            </w:tcBorders>
          </w:tcPr>
          <w:p w14:paraId="22070762" w14:textId="77777777" w:rsidR="001F04FD" w:rsidRPr="0080555B" w:rsidRDefault="001F04FD" w:rsidP="00AC4DEE">
            <w:pPr>
              <w:pStyle w:val="tablebody0"/>
            </w:pPr>
            <w:r w:rsidRPr="00A05195">
              <w:t>MWh</w:t>
            </w:r>
          </w:p>
        </w:tc>
        <w:tc>
          <w:tcPr>
            <w:tcW w:w="3082" w:type="pct"/>
            <w:tcBorders>
              <w:bottom w:val="single" w:sz="4" w:space="0" w:color="auto"/>
            </w:tcBorders>
          </w:tcPr>
          <w:p w14:paraId="02B2EE28" w14:textId="53C73662" w:rsidR="00AF45BD" w:rsidRPr="0080555B" w:rsidRDefault="001F04FD" w:rsidP="00AC4DEE">
            <w:pPr>
              <w:pStyle w:val="tablebody0"/>
              <w:rPr>
                <w:i/>
              </w:rPr>
            </w:pPr>
            <w:r w:rsidRPr="00A05195">
              <w:rPr>
                <w:i/>
              </w:rPr>
              <w:t xml:space="preserve">Real-Time Capacity from Non-Controllable Load Resources carrying </w:t>
            </w:r>
            <w:r w:rsidR="00BA7613">
              <w:rPr>
                <w:i/>
              </w:rPr>
              <w:t>ERCOT Contingency Reserve or</w:t>
            </w:r>
            <w:r w:rsidR="00BA7613" w:rsidRPr="00A05195">
              <w:rPr>
                <w:i/>
              </w:rPr>
              <w:t xml:space="preserve"> </w:t>
            </w:r>
            <w:r w:rsidRPr="00A05195">
              <w:rPr>
                <w:i/>
              </w:rPr>
              <w:t>Responsive Reserve for the QSE</w:t>
            </w:r>
            <w:r w:rsidRPr="00A05195">
              <w:t xml:space="preserve">—The Real-Time </w:t>
            </w:r>
            <w:r>
              <w:t>c</w:t>
            </w:r>
            <w:r w:rsidRPr="00A05195">
              <w:t>apacity for a</w:t>
            </w:r>
            <w:r>
              <w:t>ll Load</w:t>
            </w:r>
            <w:r w:rsidRPr="00A05195">
              <w:t xml:space="preserve"> Resource</w:t>
            </w:r>
            <w:r>
              <w:t>s other than Controllable Load Resources</w:t>
            </w:r>
            <w:r w:rsidRPr="00A05195">
              <w:t xml:space="preserve"> that </w:t>
            </w:r>
            <w:r>
              <w:t>have</w:t>
            </w:r>
            <w:r w:rsidRPr="00A05195">
              <w:t xml:space="preserve"> a validated Real-Time </w:t>
            </w:r>
            <w:r w:rsidR="00BA7613">
              <w:t xml:space="preserve">ECRS or </w:t>
            </w:r>
            <w:r w:rsidRPr="00A05195">
              <w:t xml:space="preserve">RRS Ancillary Service Schedule for the QSE </w:t>
            </w:r>
            <w:r w:rsidRPr="00A05195">
              <w:rPr>
                <w:i/>
              </w:rPr>
              <w:t>q</w:t>
            </w:r>
            <w:r w:rsidRPr="00A05195">
              <w:t>, integrated over the 15-minute Settlement Interval.</w:t>
            </w:r>
          </w:p>
          <w:p w14:paraId="08C608B2" w14:textId="77777777" w:rsidR="001F04FD" w:rsidRPr="0080555B" w:rsidRDefault="001F04FD" w:rsidP="00AC4DEE">
            <w:pPr>
              <w:pStyle w:val="tablebody0"/>
              <w:rPr>
                <w:i/>
              </w:rPr>
            </w:pPr>
          </w:p>
        </w:tc>
      </w:tr>
      <w:tr w:rsidR="00327C76" w:rsidRPr="0080555B" w14:paraId="2E9367CB" w14:textId="77777777" w:rsidTr="00356445">
        <w:trPr>
          <w:cantSplit/>
        </w:trPr>
        <w:tc>
          <w:tcPr>
            <w:tcW w:w="1312" w:type="pct"/>
            <w:tcBorders>
              <w:bottom w:val="single" w:sz="4" w:space="0" w:color="auto"/>
            </w:tcBorders>
          </w:tcPr>
          <w:p w14:paraId="627142D0" w14:textId="77777777" w:rsidR="00327C76" w:rsidRPr="00A05195" w:rsidRDefault="00327C76" w:rsidP="00327C76">
            <w:pPr>
              <w:pStyle w:val="tablebody0"/>
            </w:pPr>
            <w:r>
              <w:t>RTNCLRRRS</w:t>
            </w:r>
            <w:r w:rsidRPr="00A05195">
              <w:rPr>
                <w:i/>
                <w:vertAlign w:val="subscript"/>
              </w:rPr>
              <w:t xml:space="preserve"> q</w:t>
            </w:r>
          </w:p>
        </w:tc>
        <w:tc>
          <w:tcPr>
            <w:tcW w:w="606" w:type="pct"/>
            <w:tcBorders>
              <w:bottom w:val="single" w:sz="4" w:space="0" w:color="auto"/>
            </w:tcBorders>
          </w:tcPr>
          <w:p w14:paraId="2E1D1D86" w14:textId="77777777" w:rsidR="00327C76" w:rsidRPr="00A05195" w:rsidRDefault="00327C76" w:rsidP="00327C76">
            <w:pPr>
              <w:pStyle w:val="tablebody0"/>
            </w:pPr>
            <w:r>
              <w:t>MWh</w:t>
            </w:r>
          </w:p>
        </w:tc>
        <w:tc>
          <w:tcPr>
            <w:tcW w:w="3082" w:type="pct"/>
            <w:tcBorders>
              <w:bottom w:val="single" w:sz="4" w:space="0" w:color="auto"/>
            </w:tcBorders>
          </w:tcPr>
          <w:p w14:paraId="2E02701A" w14:textId="77777777" w:rsidR="00327C76" w:rsidRPr="00A05195" w:rsidRDefault="00327C76" w:rsidP="00327C76">
            <w:pPr>
              <w:pStyle w:val="tablebody0"/>
              <w:rPr>
                <w:i/>
              </w:rPr>
            </w:pPr>
            <w:r w:rsidRPr="00A05195">
              <w:rPr>
                <w:i/>
              </w:rPr>
              <w:t>Real-Time Non-Controllable Load Resources Responsive Reserve for the QSE</w:t>
            </w:r>
            <w:r w:rsidRPr="00A05195">
              <w:rPr>
                <w:i/>
                <w:szCs w:val="18"/>
              </w:rPr>
              <w:t>—</w:t>
            </w:r>
            <w:r w:rsidRPr="00A20AF6">
              <w:rPr>
                <w:szCs w:val="18"/>
              </w:rPr>
              <w:t xml:space="preserve">The </w:t>
            </w:r>
            <w:r w:rsidRPr="003E514A">
              <w:t xml:space="preserve">validated </w:t>
            </w:r>
            <w:r w:rsidRPr="0095592C">
              <w:rPr>
                <w:szCs w:val="18"/>
              </w:rPr>
              <w:t>Real</w:t>
            </w:r>
            <w:r w:rsidRPr="00A20AF6">
              <w:rPr>
                <w:szCs w:val="18"/>
              </w:rPr>
              <w:t xml:space="preserve">-Time telemetered </w:t>
            </w:r>
            <w:r>
              <w:rPr>
                <w:szCs w:val="18"/>
              </w:rPr>
              <w:t xml:space="preserve">RRS </w:t>
            </w:r>
            <w:r w:rsidRPr="00A20AF6">
              <w:rPr>
                <w:szCs w:val="18"/>
              </w:rPr>
              <w:t xml:space="preserve">Ancillary Service </w:t>
            </w:r>
            <w:r>
              <w:rPr>
                <w:szCs w:val="18"/>
              </w:rPr>
              <w:t>Supply Responsibility</w:t>
            </w:r>
            <w:r w:rsidRPr="00A20AF6">
              <w:rPr>
                <w:szCs w:val="18"/>
              </w:rPr>
              <w:t xml:space="preserve"> </w:t>
            </w:r>
            <w:r w:rsidRPr="00A05195">
              <w:t>for a</w:t>
            </w:r>
            <w:r>
              <w:t>ll Load</w:t>
            </w:r>
            <w:r w:rsidRPr="00A05195">
              <w:t xml:space="preserve"> Resource</w:t>
            </w:r>
            <w:r>
              <w:t xml:space="preserve">s other than Controllable Load Resources for QSE </w:t>
            </w:r>
            <w:r>
              <w:rPr>
                <w:i/>
                <w:szCs w:val="18"/>
              </w:rPr>
              <w:t xml:space="preserve">q </w:t>
            </w:r>
            <w:r w:rsidRPr="00A20AF6">
              <w:rPr>
                <w:szCs w:val="18"/>
              </w:rPr>
              <w:t xml:space="preserve">discounted by the </w:t>
            </w:r>
            <w:r>
              <w:rPr>
                <w:szCs w:val="18"/>
              </w:rPr>
              <w:t>system-wide</w:t>
            </w:r>
            <w:r w:rsidRPr="00A20AF6">
              <w:rPr>
                <w:szCs w:val="18"/>
              </w:rPr>
              <w:t xml:space="preserve"> discount factor, integrated over the 15-minute Settlement Interval.</w:t>
            </w:r>
          </w:p>
        </w:tc>
      </w:tr>
      <w:tr w:rsidR="00327C76" w:rsidRPr="0080555B" w14:paraId="47446765" w14:textId="77777777" w:rsidTr="00356445">
        <w:trPr>
          <w:cantSplit/>
        </w:trPr>
        <w:tc>
          <w:tcPr>
            <w:tcW w:w="1312" w:type="pct"/>
            <w:tcBorders>
              <w:bottom w:val="single" w:sz="4" w:space="0" w:color="auto"/>
            </w:tcBorders>
          </w:tcPr>
          <w:p w14:paraId="6801A21F" w14:textId="77777777" w:rsidR="00327C76" w:rsidRPr="00A05195" w:rsidRDefault="00327C76" w:rsidP="00327C76">
            <w:pPr>
              <w:pStyle w:val="tablebody0"/>
            </w:pPr>
            <w:r>
              <w:t>RTNCLRRRSR</w:t>
            </w:r>
            <w:r w:rsidRPr="00A05195">
              <w:rPr>
                <w:i/>
                <w:vertAlign w:val="subscript"/>
              </w:rPr>
              <w:t xml:space="preserve"> q</w:t>
            </w:r>
            <w:r>
              <w:rPr>
                <w:i/>
                <w:vertAlign w:val="subscript"/>
              </w:rPr>
              <w:t>, r, p</w:t>
            </w:r>
          </w:p>
        </w:tc>
        <w:tc>
          <w:tcPr>
            <w:tcW w:w="606" w:type="pct"/>
            <w:tcBorders>
              <w:bottom w:val="single" w:sz="4" w:space="0" w:color="auto"/>
            </w:tcBorders>
          </w:tcPr>
          <w:p w14:paraId="21B57520" w14:textId="77777777" w:rsidR="00327C76" w:rsidRPr="00A05195" w:rsidRDefault="00327C76" w:rsidP="00327C76">
            <w:pPr>
              <w:pStyle w:val="tablebody0"/>
            </w:pPr>
            <w:r>
              <w:t>MWh</w:t>
            </w:r>
          </w:p>
        </w:tc>
        <w:tc>
          <w:tcPr>
            <w:tcW w:w="3082" w:type="pct"/>
            <w:tcBorders>
              <w:bottom w:val="single" w:sz="4" w:space="0" w:color="auto"/>
            </w:tcBorders>
          </w:tcPr>
          <w:p w14:paraId="495B1BC0" w14:textId="77777777" w:rsidR="00327C76" w:rsidRPr="00A05195" w:rsidRDefault="00327C76" w:rsidP="00327C76">
            <w:pPr>
              <w:pStyle w:val="tablebody0"/>
              <w:rPr>
                <w:i/>
              </w:rPr>
            </w:pPr>
            <w:r w:rsidRPr="00A05195">
              <w:rPr>
                <w:i/>
              </w:rPr>
              <w:t>Real-Time Non-Controllable Load Resource Responsive Reserve</w:t>
            </w:r>
            <w:r w:rsidRPr="00A05195">
              <w:rPr>
                <w:i/>
                <w:szCs w:val="18"/>
              </w:rPr>
              <w:t>—</w:t>
            </w:r>
            <w:r w:rsidRPr="00A20AF6">
              <w:rPr>
                <w:szCs w:val="18"/>
              </w:rPr>
              <w:t xml:space="preserve">The </w:t>
            </w:r>
            <w:r w:rsidRPr="003E514A">
              <w:t xml:space="preserve">validated </w:t>
            </w:r>
            <w:r w:rsidRPr="0095592C">
              <w:rPr>
                <w:szCs w:val="18"/>
              </w:rPr>
              <w:t>Real</w:t>
            </w:r>
            <w:r w:rsidRPr="00A20AF6">
              <w:rPr>
                <w:szCs w:val="18"/>
              </w:rPr>
              <w:t xml:space="preserve">-Time telemetered </w:t>
            </w:r>
            <w:r>
              <w:rPr>
                <w:szCs w:val="18"/>
              </w:rPr>
              <w:t xml:space="preserve">RRS </w:t>
            </w:r>
            <w:r w:rsidRPr="00A20AF6">
              <w:rPr>
                <w:szCs w:val="18"/>
              </w:rPr>
              <w:t xml:space="preserve">Ancillary Service </w:t>
            </w:r>
            <w:r>
              <w:rPr>
                <w:szCs w:val="18"/>
              </w:rPr>
              <w:t>Resource Responsibility</w:t>
            </w:r>
            <w:r w:rsidRPr="00A20AF6">
              <w:rPr>
                <w:szCs w:val="18"/>
              </w:rPr>
              <w:t xml:space="preserve"> for </w:t>
            </w:r>
            <w:r>
              <w:t>the Load</w:t>
            </w:r>
            <w:r w:rsidRPr="00A05195">
              <w:t xml:space="preserve"> Resource</w:t>
            </w:r>
            <w:r>
              <w:t xml:space="preserve"> </w:t>
            </w:r>
            <w:r>
              <w:rPr>
                <w:i/>
                <w:szCs w:val="18"/>
              </w:rPr>
              <w:t xml:space="preserve">r </w:t>
            </w:r>
            <w:r>
              <w:rPr>
                <w:szCs w:val="18"/>
              </w:rPr>
              <w:t xml:space="preserve">(which is not a </w:t>
            </w:r>
            <w:r w:rsidRPr="00A05195">
              <w:rPr>
                <w:szCs w:val="18"/>
              </w:rPr>
              <w:t>Controllable Load Resource</w:t>
            </w:r>
            <w:r>
              <w:rPr>
                <w:szCs w:val="18"/>
              </w:rPr>
              <w:t>)</w:t>
            </w:r>
            <w:r w:rsidRPr="006624C0">
              <w:t xml:space="preserve"> represented by QSE </w:t>
            </w:r>
            <w:r w:rsidRPr="006624C0">
              <w:rPr>
                <w:i/>
              </w:rPr>
              <w:t>q</w:t>
            </w:r>
            <w:r w:rsidRPr="006624C0">
              <w:t xml:space="preserve"> at Resource Node </w:t>
            </w:r>
            <w:r w:rsidRPr="006624C0">
              <w:rPr>
                <w:i/>
              </w:rPr>
              <w:t>p</w:t>
            </w:r>
            <w:r w:rsidRPr="00A20AF6">
              <w:rPr>
                <w:szCs w:val="18"/>
              </w:rPr>
              <w:t>, integrated over the 15-minute Settlement Interval.</w:t>
            </w:r>
          </w:p>
        </w:tc>
      </w:tr>
      <w:tr w:rsidR="00BA7613" w:rsidRPr="0080555B" w14:paraId="4321A2FF" w14:textId="77777777" w:rsidTr="00356445">
        <w:trPr>
          <w:cantSplit/>
        </w:trPr>
        <w:tc>
          <w:tcPr>
            <w:tcW w:w="1312" w:type="pct"/>
            <w:tcBorders>
              <w:bottom w:val="single" w:sz="4" w:space="0" w:color="auto"/>
            </w:tcBorders>
          </w:tcPr>
          <w:p w14:paraId="6EB882AA" w14:textId="7310A018" w:rsidR="00BA7613" w:rsidRDefault="00BA7613" w:rsidP="00BA7613">
            <w:pPr>
              <w:pStyle w:val="tablebody0"/>
            </w:pPr>
            <w:r w:rsidRPr="0003648D">
              <w:t>RTNCLR</w:t>
            </w:r>
            <w:r>
              <w:t>ECR</w:t>
            </w:r>
            <w:r w:rsidRPr="0003648D">
              <w:t>S</w:t>
            </w:r>
            <w:r w:rsidRPr="0003648D">
              <w:rPr>
                <w:i/>
                <w:vertAlign w:val="subscript"/>
              </w:rPr>
              <w:t xml:space="preserve"> q</w:t>
            </w:r>
          </w:p>
        </w:tc>
        <w:tc>
          <w:tcPr>
            <w:tcW w:w="606" w:type="pct"/>
            <w:tcBorders>
              <w:bottom w:val="single" w:sz="4" w:space="0" w:color="auto"/>
            </w:tcBorders>
          </w:tcPr>
          <w:p w14:paraId="3779AFB1" w14:textId="5FDAAE48" w:rsidR="00BA7613" w:rsidRDefault="00BA7613" w:rsidP="00BA7613">
            <w:pPr>
              <w:pStyle w:val="tablebody0"/>
            </w:pPr>
            <w:r w:rsidRPr="0003648D">
              <w:t>MWh</w:t>
            </w:r>
          </w:p>
        </w:tc>
        <w:tc>
          <w:tcPr>
            <w:tcW w:w="3082" w:type="pct"/>
            <w:tcBorders>
              <w:bottom w:val="single" w:sz="4" w:space="0" w:color="auto"/>
            </w:tcBorders>
          </w:tcPr>
          <w:p w14:paraId="5255DD8F" w14:textId="635CD9D8" w:rsidR="00BA7613" w:rsidRPr="00A05195" w:rsidRDefault="00BA7613" w:rsidP="00BA7613">
            <w:pPr>
              <w:pStyle w:val="tablebody0"/>
              <w:rPr>
                <w:i/>
              </w:rPr>
            </w:pPr>
            <w:r w:rsidRPr="0003648D">
              <w:rPr>
                <w:i/>
              </w:rPr>
              <w:t xml:space="preserve">Real-Time Non-Controllable Load Resources </w:t>
            </w:r>
            <w:r>
              <w:rPr>
                <w:i/>
              </w:rPr>
              <w:t xml:space="preserve">ERCOT Contingency Reserve </w:t>
            </w:r>
            <w:r w:rsidRPr="0003648D">
              <w:rPr>
                <w:i/>
              </w:rPr>
              <w:t xml:space="preserve"> for the QSE</w:t>
            </w:r>
            <w:r w:rsidRPr="0003648D">
              <w:rPr>
                <w:i/>
                <w:szCs w:val="18"/>
              </w:rPr>
              <w:t>—</w:t>
            </w:r>
            <w:r w:rsidRPr="0003648D">
              <w:rPr>
                <w:szCs w:val="18"/>
              </w:rPr>
              <w:t xml:space="preserve">The </w:t>
            </w:r>
            <w:r w:rsidRPr="0003648D">
              <w:t xml:space="preserve">validated </w:t>
            </w:r>
            <w:r w:rsidRPr="0003648D">
              <w:rPr>
                <w:szCs w:val="18"/>
              </w:rPr>
              <w:t xml:space="preserve">Real-Time telemetered </w:t>
            </w:r>
            <w:r>
              <w:rPr>
                <w:szCs w:val="18"/>
              </w:rPr>
              <w:t xml:space="preserve">ECRS </w:t>
            </w:r>
            <w:r w:rsidRPr="0003648D">
              <w:rPr>
                <w:szCs w:val="18"/>
              </w:rPr>
              <w:t xml:space="preserve">Ancillary Service Supply Responsibility </w:t>
            </w:r>
            <w:r w:rsidRPr="0003648D">
              <w:t xml:space="preserve">for all Load Resources other than Controllable Load Resources for QSE </w:t>
            </w:r>
            <w:r w:rsidRPr="0003648D">
              <w:rPr>
                <w:i/>
                <w:szCs w:val="18"/>
              </w:rPr>
              <w:t xml:space="preserve">q </w:t>
            </w:r>
            <w:r w:rsidRPr="0003648D">
              <w:rPr>
                <w:szCs w:val="18"/>
              </w:rPr>
              <w:t>discounted by the system-wide discount factor, integrated over the 15-minute Settlement Interval.</w:t>
            </w:r>
          </w:p>
        </w:tc>
      </w:tr>
      <w:tr w:rsidR="00BA7613" w:rsidRPr="0080555B" w14:paraId="745BDCAA" w14:textId="77777777" w:rsidTr="00356445">
        <w:trPr>
          <w:cantSplit/>
        </w:trPr>
        <w:tc>
          <w:tcPr>
            <w:tcW w:w="1312" w:type="pct"/>
            <w:tcBorders>
              <w:bottom w:val="single" w:sz="4" w:space="0" w:color="auto"/>
            </w:tcBorders>
          </w:tcPr>
          <w:p w14:paraId="08B65A97" w14:textId="7C1E1D90" w:rsidR="00BA7613" w:rsidRDefault="00BA7613" w:rsidP="00BA7613">
            <w:pPr>
              <w:pStyle w:val="tablebody0"/>
            </w:pPr>
            <w:r w:rsidRPr="0003648D">
              <w:t>RTNCLR</w:t>
            </w:r>
            <w:r>
              <w:t>ECR</w:t>
            </w:r>
            <w:r w:rsidRPr="0003648D">
              <w:t>SR</w:t>
            </w:r>
            <w:r w:rsidRPr="0003648D">
              <w:rPr>
                <w:i/>
                <w:vertAlign w:val="subscript"/>
              </w:rPr>
              <w:t xml:space="preserve"> q, r, p</w:t>
            </w:r>
          </w:p>
        </w:tc>
        <w:tc>
          <w:tcPr>
            <w:tcW w:w="606" w:type="pct"/>
            <w:tcBorders>
              <w:bottom w:val="single" w:sz="4" w:space="0" w:color="auto"/>
            </w:tcBorders>
          </w:tcPr>
          <w:p w14:paraId="56BE16BD" w14:textId="2A61254F" w:rsidR="00BA7613" w:rsidRDefault="00BA7613" w:rsidP="00BA7613">
            <w:pPr>
              <w:pStyle w:val="tablebody0"/>
            </w:pPr>
            <w:r w:rsidRPr="0003648D">
              <w:t>MWh</w:t>
            </w:r>
          </w:p>
        </w:tc>
        <w:tc>
          <w:tcPr>
            <w:tcW w:w="3082" w:type="pct"/>
            <w:tcBorders>
              <w:bottom w:val="single" w:sz="4" w:space="0" w:color="auto"/>
            </w:tcBorders>
          </w:tcPr>
          <w:p w14:paraId="557B403A" w14:textId="6BE1153F" w:rsidR="00BA7613" w:rsidRPr="00A05195" w:rsidRDefault="00BA7613" w:rsidP="00BA7613">
            <w:pPr>
              <w:pStyle w:val="tablebody0"/>
              <w:rPr>
                <w:i/>
              </w:rPr>
            </w:pPr>
            <w:r w:rsidRPr="0003648D">
              <w:rPr>
                <w:i/>
              </w:rPr>
              <w:t xml:space="preserve">Real-Time Non-Controllable Load Resource </w:t>
            </w:r>
            <w:r>
              <w:rPr>
                <w:i/>
              </w:rPr>
              <w:t xml:space="preserve">ERCOT Contingency Reserve </w:t>
            </w:r>
            <w:r w:rsidRPr="0003648D">
              <w:rPr>
                <w:i/>
                <w:szCs w:val="18"/>
              </w:rPr>
              <w:t>—</w:t>
            </w:r>
            <w:r w:rsidRPr="0003648D">
              <w:rPr>
                <w:szCs w:val="18"/>
              </w:rPr>
              <w:t xml:space="preserve">The </w:t>
            </w:r>
            <w:r w:rsidRPr="0003648D">
              <w:t xml:space="preserve">validated </w:t>
            </w:r>
            <w:r w:rsidRPr="0003648D">
              <w:rPr>
                <w:szCs w:val="18"/>
              </w:rPr>
              <w:t xml:space="preserve">Real-Time telemetered </w:t>
            </w:r>
            <w:r>
              <w:rPr>
                <w:szCs w:val="18"/>
              </w:rPr>
              <w:t xml:space="preserve">ECRS </w:t>
            </w:r>
            <w:r w:rsidRPr="0003648D">
              <w:rPr>
                <w:szCs w:val="18"/>
              </w:rPr>
              <w:t xml:space="preserve">Ancillary Service Resource Responsibility for </w:t>
            </w:r>
            <w:r w:rsidRPr="0003648D">
              <w:t xml:space="preserve">the Load Resource </w:t>
            </w:r>
            <w:r w:rsidRPr="0003648D">
              <w:rPr>
                <w:i/>
                <w:szCs w:val="18"/>
              </w:rPr>
              <w:t xml:space="preserve">r </w:t>
            </w:r>
            <w:r w:rsidRPr="0003648D">
              <w:rPr>
                <w:szCs w:val="18"/>
              </w:rPr>
              <w:t>(which is not a Controllable Load Resource)</w:t>
            </w:r>
            <w:r w:rsidRPr="0003648D">
              <w:t xml:space="preserve"> represented by QSE </w:t>
            </w:r>
            <w:r w:rsidRPr="0003648D">
              <w:rPr>
                <w:i/>
              </w:rPr>
              <w:t>q</w:t>
            </w:r>
            <w:r w:rsidRPr="0003648D">
              <w:t xml:space="preserve"> at Resource Node </w:t>
            </w:r>
            <w:r w:rsidRPr="0003648D">
              <w:rPr>
                <w:i/>
              </w:rPr>
              <w:t>p</w:t>
            </w:r>
            <w:r w:rsidRPr="0003648D">
              <w:rPr>
                <w:szCs w:val="18"/>
              </w:rPr>
              <w:t>, integrated over the 15-minute Settlement Interval.</w:t>
            </w:r>
          </w:p>
        </w:tc>
      </w:tr>
      <w:tr w:rsidR="00BE197B" w:rsidRPr="0080555B" w14:paraId="5AD1A8EE" w14:textId="77777777" w:rsidTr="00356445">
        <w:trPr>
          <w:cantSplit/>
        </w:trPr>
        <w:tc>
          <w:tcPr>
            <w:tcW w:w="1312" w:type="pct"/>
            <w:tcBorders>
              <w:bottom w:val="single" w:sz="4" w:space="0" w:color="auto"/>
            </w:tcBorders>
          </w:tcPr>
          <w:p w14:paraId="04A8E446" w14:textId="77777777" w:rsidR="00BE197B" w:rsidRPr="0080555B" w:rsidRDefault="00BE197B" w:rsidP="00BE197B">
            <w:pPr>
              <w:pStyle w:val="tablebody0"/>
            </w:pPr>
            <w:r w:rsidRPr="00A05195">
              <w:t>RTNCLRNP</w:t>
            </w:r>
            <w:r>
              <w:t>C</w:t>
            </w:r>
            <w:r w:rsidRPr="00A05195">
              <w:t>R</w:t>
            </w:r>
            <w:r w:rsidRPr="00A05195">
              <w:rPr>
                <w:i/>
                <w:vertAlign w:val="subscript"/>
              </w:rPr>
              <w:t xml:space="preserve"> q,</w:t>
            </w:r>
            <w:r>
              <w:rPr>
                <w:i/>
                <w:vertAlign w:val="subscript"/>
              </w:rPr>
              <w:t xml:space="preserve"> </w:t>
            </w:r>
            <w:r w:rsidRPr="00A05195">
              <w:rPr>
                <w:i/>
                <w:vertAlign w:val="subscript"/>
              </w:rPr>
              <w:t>r,</w:t>
            </w:r>
            <w:r>
              <w:rPr>
                <w:i/>
                <w:vertAlign w:val="subscript"/>
              </w:rPr>
              <w:t xml:space="preserve"> </w:t>
            </w:r>
            <w:r w:rsidRPr="00A05195">
              <w:rPr>
                <w:i/>
                <w:vertAlign w:val="subscript"/>
              </w:rPr>
              <w:t>p</w:t>
            </w:r>
          </w:p>
        </w:tc>
        <w:tc>
          <w:tcPr>
            <w:tcW w:w="606" w:type="pct"/>
            <w:tcBorders>
              <w:bottom w:val="single" w:sz="4" w:space="0" w:color="auto"/>
            </w:tcBorders>
          </w:tcPr>
          <w:p w14:paraId="5E4A0308" w14:textId="77777777" w:rsidR="00BE197B" w:rsidRPr="0080555B" w:rsidRDefault="00BE197B" w:rsidP="00BE197B">
            <w:pPr>
              <w:pStyle w:val="tablebody0"/>
            </w:pPr>
            <w:r w:rsidRPr="00A05195">
              <w:t>MWh</w:t>
            </w:r>
          </w:p>
        </w:tc>
        <w:tc>
          <w:tcPr>
            <w:tcW w:w="3082" w:type="pct"/>
            <w:tcBorders>
              <w:bottom w:val="single" w:sz="4" w:space="0" w:color="auto"/>
            </w:tcBorders>
          </w:tcPr>
          <w:p w14:paraId="58632D2F" w14:textId="22A3B572" w:rsidR="00AF45BD" w:rsidRPr="0080555B" w:rsidRDefault="00BE197B" w:rsidP="00BE197B">
            <w:pPr>
              <w:pStyle w:val="tablebody0"/>
              <w:rPr>
                <w:i/>
              </w:rPr>
            </w:pPr>
            <w:r w:rsidRPr="00A05195">
              <w:rPr>
                <w:i/>
                <w:szCs w:val="18"/>
              </w:rPr>
              <w:t xml:space="preserve">Real-Time Non-Controllable Load Resource Net Power </w:t>
            </w:r>
            <w:r>
              <w:rPr>
                <w:i/>
                <w:szCs w:val="18"/>
              </w:rPr>
              <w:t>Consumption</w:t>
            </w:r>
            <w:r w:rsidRPr="00A05195">
              <w:rPr>
                <w:i/>
                <w:szCs w:val="18"/>
              </w:rPr>
              <w:t>—</w:t>
            </w:r>
            <w:r w:rsidRPr="00A05195">
              <w:rPr>
                <w:szCs w:val="18"/>
              </w:rPr>
              <w:t xml:space="preserve">The Real-Time net </w:t>
            </w:r>
            <w:r>
              <w:rPr>
                <w:szCs w:val="18"/>
              </w:rPr>
              <w:t xml:space="preserve">real </w:t>
            </w:r>
            <w:r w:rsidRPr="00A05195">
              <w:rPr>
                <w:szCs w:val="18"/>
              </w:rPr>
              <w:t xml:space="preserve">power </w:t>
            </w:r>
            <w:r>
              <w:rPr>
                <w:szCs w:val="18"/>
              </w:rPr>
              <w:t>consumption</w:t>
            </w:r>
            <w:r w:rsidRPr="00A05195">
              <w:rPr>
                <w:szCs w:val="18"/>
              </w:rPr>
              <w:t xml:space="preserve"> from the </w:t>
            </w:r>
            <w:r>
              <w:rPr>
                <w:szCs w:val="18"/>
              </w:rPr>
              <w:t xml:space="preserve">Load Resource </w:t>
            </w:r>
            <w:r>
              <w:rPr>
                <w:i/>
                <w:szCs w:val="18"/>
              </w:rPr>
              <w:t xml:space="preserve">r </w:t>
            </w:r>
            <w:r>
              <w:rPr>
                <w:szCs w:val="18"/>
              </w:rPr>
              <w:t xml:space="preserve">(which is not a </w:t>
            </w:r>
            <w:r w:rsidRPr="00A05195">
              <w:rPr>
                <w:szCs w:val="18"/>
              </w:rPr>
              <w:t>Controllable Load Resource</w:t>
            </w:r>
            <w:r>
              <w:rPr>
                <w:szCs w:val="18"/>
              </w:rPr>
              <w:t>)</w:t>
            </w:r>
            <w:r w:rsidRPr="00A05195">
              <w:rPr>
                <w:i/>
                <w:szCs w:val="18"/>
              </w:rPr>
              <w:t xml:space="preserve">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t xml:space="preserve"> </w:t>
            </w:r>
            <w:r w:rsidRPr="00A05195">
              <w:t xml:space="preserve">that has a validated Real-Time </w:t>
            </w:r>
            <w:r w:rsidR="00BA7613">
              <w:t xml:space="preserve">ECRS, </w:t>
            </w:r>
            <w:r w:rsidRPr="00A05195">
              <w:t>RRS</w:t>
            </w:r>
            <w:r w:rsidR="00BA7613">
              <w:t>,</w:t>
            </w:r>
            <w:r w:rsidRPr="00A05195">
              <w:t xml:space="preserve"> </w:t>
            </w:r>
            <w:r w:rsidR="00013237">
              <w:t xml:space="preserve">or Non-Spin </w:t>
            </w:r>
            <w:r w:rsidRPr="00A05195">
              <w:t>Ancillary Service Schedule</w:t>
            </w:r>
            <w:r w:rsidRPr="00A05195">
              <w:rPr>
                <w:szCs w:val="18"/>
              </w:rPr>
              <w:t xml:space="preserve"> integrated over the 15-minute Settlement Interval</w:t>
            </w:r>
            <w:r>
              <w:rPr>
                <w:szCs w:val="18"/>
              </w:rPr>
              <w:t>.</w:t>
            </w:r>
          </w:p>
          <w:p w14:paraId="2F3336FF" w14:textId="77777777" w:rsidR="00BE197B" w:rsidRPr="0080555B" w:rsidRDefault="00BE197B" w:rsidP="00BE197B">
            <w:pPr>
              <w:pStyle w:val="tablebody0"/>
              <w:rPr>
                <w:i/>
              </w:rPr>
            </w:pPr>
          </w:p>
        </w:tc>
      </w:tr>
      <w:tr w:rsidR="00BE197B" w:rsidRPr="0080555B" w14:paraId="5DFC5250" w14:textId="77777777" w:rsidTr="00356445">
        <w:trPr>
          <w:cantSplit/>
        </w:trPr>
        <w:tc>
          <w:tcPr>
            <w:tcW w:w="1312" w:type="pct"/>
            <w:tcBorders>
              <w:bottom w:val="single" w:sz="4" w:space="0" w:color="auto"/>
            </w:tcBorders>
          </w:tcPr>
          <w:p w14:paraId="384A9990" w14:textId="77777777" w:rsidR="00BE197B" w:rsidRPr="0080555B" w:rsidRDefault="00BE197B" w:rsidP="00BE197B">
            <w:pPr>
              <w:pStyle w:val="tablebody0"/>
            </w:pPr>
            <w:r w:rsidRPr="00A05195">
              <w:lastRenderedPageBreak/>
              <w:t>RTNCLRL</w:t>
            </w:r>
            <w:r>
              <w:t>PC</w:t>
            </w:r>
            <w:r w:rsidRPr="00A05195">
              <w:t>R</w:t>
            </w:r>
            <w:r w:rsidRPr="00A05195">
              <w:rPr>
                <w:i/>
                <w:vertAlign w:val="subscript"/>
              </w:rPr>
              <w:t xml:space="preserve"> q,</w:t>
            </w:r>
            <w:r>
              <w:rPr>
                <w:i/>
                <w:vertAlign w:val="subscript"/>
              </w:rPr>
              <w:t xml:space="preserve"> </w:t>
            </w:r>
            <w:r w:rsidRPr="00A05195">
              <w:rPr>
                <w:i/>
                <w:vertAlign w:val="subscript"/>
              </w:rPr>
              <w:t>r,</w:t>
            </w:r>
            <w:r>
              <w:rPr>
                <w:i/>
                <w:vertAlign w:val="subscript"/>
              </w:rPr>
              <w:t xml:space="preserve"> </w:t>
            </w:r>
            <w:r w:rsidRPr="00A05195">
              <w:rPr>
                <w:i/>
                <w:vertAlign w:val="subscript"/>
              </w:rPr>
              <w:t>p</w:t>
            </w:r>
          </w:p>
        </w:tc>
        <w:tc>
          <w:tcPr>
            <w:tcW w:w="606" w:type="pct"/>
            <w:tcBorders>
              <w:bottom w:val="single" w:sz="4" w:space="0" w:color="auto"/>
            </w:tcBorders>
          </w:tcPr>
          <w:p w14:paraId="20F200C2" w14:textId="77777777" w:rsidR="00BE197B" w:rsidRPr="0080555B" w:rsidRDefault="00BE197B" w:rsidP="00BE197B">
            <w:pPr>
              <w:pStyle w:val="tablebody0"/>
            </w:pPr>
            <w:r w:rsidRPr="00A05195">
              <w:t>MWh</w:t>
            </w:r>
          </w:p>
        </w:tc>
        <w:tc>
          <w:tcPr>
            <w:tcW w:w="3082" w:type="pct"/>
            <w:tcBorders>
              <w:bottom w:val="single" w:sz="4" w:space="0" w:color="auto"/>
            </w:tcBorders>
          </w:tcPr>
          <w:p w14:paraId="7F13C4FA" w14:textId="4A867D98" w:rsidR="00AF45BD" w:rsidRPr="0080555B" w:rsidRDefault="00BE197B" w:rsidP="00BE197B">
            <w:pPr>
              <w:pStyle w:val="tablebody0"/>
              <w:rPr>
                <w:i/>
              </w:rPr>
            </w:pPr>
            <w:r w:rsidRPr="00A05195">
              <w:rPr>
                <w:i/>
                <w:szCs w:val="18"/>
              </w:rPr>
              <w:t xml:space="preserve">Real-Time </w:t>
            </w:r>
            <w:r>
              <w:rPr>
                <w:i/>
                <w:szCs w:val="18"/>
              </w:rPr>
              <w:t>Non-</w:t>
            </w:r>
            <w:r w:rsidRPr="00A05195">
              <w:rPr>
                <w:i/>
                <w:szCs w:val="18"/>
              </w:rPr>
              <w:t>Controllable Load Resource</w:t>
            </w:r>
            <w:r w:rsidRPr="00A05195" w:rsidDel="00FF1F3E">
              <w:rPr>
                <w:i/>
              </w:rPr>
              <w:t xml:space="preserve"> </w:t>
            </w:r>
            <w:r>
              <w:rPr>
                <w:i/>
              </w:rPr>
              <w:t>Low Power Consumption</w:t>
            </w:r>
            <w:r w:rsidRPr="00A05195">
              <w:rPr>
                <w:i/>
                <w:szCs w:val="18"/>
              </w:rPr>
              <w:t>—</w:t>
            </w:r>
            <w:r>
              <w:rPr>
                <w:szCs w:val="18"/>
              </w:rPr>
              <w:t xml:space="preserve">The Real-Time Low Power Consumption (LPC) from the Load Resource </w:t>
            </w:r>
            <w:r>
              <w:rPr>
                <w:i/>
                <w:szCs w:val="18"/>
              </w:rPr>
              <w:t xml:space="preserve">r </w:t>
            </w:r>
            <w:r>
              <w:rPr>
                <w:szCs w:val="18"/>
              </w:rPr>
              <w:t xml:space="preserve">(which is not a </w:t>
            </w:r>
            <w:r w:rsidRPr="00A05195">
              <w:rPr>
                <w:szCs w:val="18"/>
              </w:rPr>
              <w:t>Controllable Load Resource</w:t>
            </w:r>
            <w:r>
              <w:rPr>
                <w:szCs w:val="18"/>
              </w:rPr>
              <w:t>)</w:t>
            </w:r>
            <w:r w:rsidRPr="00A05195">
              <w:rPr>
                <w:i/>
                <w:szCs w:val="18"/>
              </w:rPr>
              <w:t xml:space="preserve">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t xml:space="preserve"> </w:t>
            </w:r>
            <w:r w:rsidRPr="00A05195">
              <w:t xml:space="preserve">that has a validated Real-Time </w:t>
            </w:r>
            <w:r w:rsidR="00BA7613">
              <w:t xml:space="preserve">ECRS, </w:t>
            </w:r>
            <w:r w:rsidRPr="00A05195">
              <w:t>RRS</w:t>
            </w:r>
            <w:r w:rsidR="00BA7613">
              <w:t>,</w:t>
            </w:r>
            <w:r w:rsidRPr="00A05195">
              <w:t xml:space="preserve"> </w:t>
            </w:r>
            <w:r w:rsidR="00013237">
              <w:t xml:space="preserve">or Non-Spin </w:t>
            </w:r>
            <w:r w:rsidRPr="00A05195">
              <w:t xml:space="preserve">Ancillary Service </w:t>
            </w:r>
            <w:r>
              <w:t xml:space="preserve">Schedule </w:t>
            </w:r>
            <w:r w:rsidRPr="00A05195">
              <w:rPr>
                <w:szCs w:val="18"/>
              </w:rPr>
              <w:t>integrated over the 15-minute Settlement Interval</w:t>
            </w:r>
            <w:r w:rsidR="00234FA4">
              <w:rPr>
                <w:szCs w:val="18"/>
              </w:rPr>
              <w:t>.</w:t>
            </w:r>
            <w:r w:rsidRPr="00A05195" w:rsidDel="00374E0F">
              <w:rPr>
                <w:szCs w:val="18"/>
              </w:rPr>
              <w:t xml:space="preserve"> </w:t>
            </w:r>
          </w:p>
          <w:p w14:paraId="04B99100" w14:textId="77777777" w:rsidR="00BE197B" w:rsidRPr="0080555B" w:rsidRDefault="00BE197B" w:rsidP="00BE197B">
            <w:pPr>
              <w:pStyle w:val="tablebody0"/>
              <w:rPr>
                <w:i/>
              </w:rPr>
            </w:pPr>
          </w:p>
        </w:tc>
      </w:tr>
      <w:tr w:rsidR="00BE197B" w:rsidRPr="0080555B" w14:paraId="4EFEB95C" w14:textId="77777777" w:rsidTr="00356445">
        <w:trPr>
          <w:cantSplit/>
        </w:trPr>
        <w:tc>
          <w:tcPr>
            <w:tcW w:w="1312" w:type="pct"/>
            <w:tcBorders>
              <w:bottom w:val="single" w:sz="4" w:space="0" w:color="auto"/>
            </w:tcBorders>
          </w:tcPr>
          <w:p w14:paraId="33EEB270" w14:textId="77777777" w:rsidR="00BE197B" w:rsidRPr="0080555B" w:rsidRDefault="00BE197B" w:rsidP="00BE197B">
            <w:pPr>
              <w:pStyle w:val="tablebody0"/>
            </w:pPr>
            <w:r w:rsidRPr="00A05195">
              <w:t>RTNCLRNP</w:t>
            </w:r>
            <w:r>
              <w:t>C</w:t>
            </w:r>
            <w:r w:rsidRPr="00A05195">
              <w:rPr>
                <w:i/>
                <w:vertAlign w:val="subscript"/>
              </w:rPr>
              <w:t xml:space="preserve"> q</w:t>
            </w:r>
          </w:p>
        </w:tc>
        <w:tc>
          <w:tcPr>
            <w:tcW w:w="606" w:type="pct"/>
            <w:tcBorders>
              <w:bottom w:val="single" w:sz="4" w:space="0" w:color="auto"/>
            </w:tcBorders>
          </w:tcPr>
          <w:p w14:paraId="67403153" w14:textId="77777777" w:rsidR="00BE197B" w:rsidRPr="0080555B" w:rsidRDefault="00BE197B" w:rsidP="00BE197B">
            <w:pPr>
              <w:pStyle w:val="tablebody0"/>
            </w:pPr>
            <w:r w:rsidRPr="00A05195">
              <w:t>MWh</w:t>
            </w:r>
          </w:p>
        </w:tc>
        <w:tc>
          <w:tcPr>
            <w:tcW w:w="3082" w:type="pct"/>
            <w:tcBorders>
              <w:bottom w:val="single" w:sz="4" w:space="0" w:color="auto"/>
            </w:tcBorders>
          </w:tcPr>
          <w:p w14:paraId="4DD712F2" w14:textId="3B4A1260" w:rsidR="00BE197B" w:rsidRPr="0080555B" w:rsidRDefault="00BE197B" w:rsidP="00BE197B">
            <w:pPr>
              <w:pStyle w:val="tablebody0"/>
              <w:rPr>
                <w:i/>
              </w:rPr>
            </w:pPr>
            <w:r w:rsidRPr="00A05195">
              <w:rPr>
                <w:i/>
                <w:szCs w:val="18"/>
              </w:rPr>
              <w:t xml:space="preserve">Real-Time Non-Controllable Load Resource Net Power </w:t>
            </w:r>
            <w:r>
              <w:rPr>
                <w:i/>
                <w:szCs w:val="18"/>
              </w:rPr>
              <w:t>Consumption</w:t>
            </w:r>
            <w:r w:rsidRPr="00A05195">
              <w:rPr>
                <w:i/>
                <w:szCs w:val="18"/>
              </w:rPr>
              <w:t xml:space="preserve"> for the QSE—</w:t>
            </w:r>
            <w:r w:rsidRPr="00A05195">
              <w:rPr>
                <w:szCs w:val="18"/>
              </w:rPr>
              <w:t>The</w:t>
            </w:r>
            <w:r>
              <w:rPr>
                <w:szCs w:val="18"/>
              </w:rPr>
              <w:t xml:space="preserve"> Real-Time net real power consumption from all Load Resources other than </w:t>
            </w:r>
            <w:r w:rsidRPr="00A05195">
              <w:rPr>
                <w:szCs w:val="18"/>
              </w:rPr>
              <w:t xml:space="preserve">Controllable Load Resources </w:t>
            </w:r>
            <w:r>
              <w:rPr>
                <w:szCs w:val="18"/>
              </w:rPr>
              <w:t xml:space="preserve">for QSE </w:t>
            </w:r>
            <w:r>
              <w:rPr>
                <w:i/>
                <w:szCs w:val="18"/>
              </w:rPr>
              <w:t xml:space="preserve">q </w:t>
            </w:r>
            <w:r w:rsidRPr="00A05195">
              <w:t xml:space="preserve">that </w:t>
            </w:r>
            <w:r>
              <w:t>have</w:t>
            </w:r>
            <w:r w:rsidRPr="00A05195">
              <w:t xml:space="preserve"> a validated Real-Time </w:t>
            </w:r>
            <w:r w:rsidR="00BA7613">
              <w:t xml:space="preserve">ECRS, </w:t>
            </w:r>
            <w:r w:rsidRPr="00A05195">
              <w:t>RRS</w:t>
            </w:r>
            <w:r w:rsidR="00BA7613">
              <w:t>,</w:t>
            </w:r>
            <w:r w:rsidRPr="00A05195">
              <w:t xml:space="preserve"> </w:t>
            </w:r>
            <w:r w:rsidR="00013237">
              <w:t xml:space="preserve">or Non-Spin </w:t>
            </w:r>
            <w:r w:rsidRPr="00A05195">
              <w:t>Ancillary Service Schedule</w:t>
            </w:r>
            <w:r w:rsidRPr="00A05195">
              <w:rPr>
                <w:szCs w:val="18"/>
              </w:rPr>
              <w:t xml:space="preserve"> integrated over the 15-minute Settlement Interval discounted by the system-wide discount factor.</w:t>
            </w:r>
          </w:p>
        </w:tc>
      </w:tr>
      <w:tr w:rsidR="00BE197B" w:rsidRPr="0080555B" w14:paraId="081D0F4C" w14:textId="77777777" w:rsidTr="00356445">
        <w:trPr>
          <w:cantSplit/>
        </w:trPr>
        <w:tc>
          <w:tcPr>
            <w:tcW w:w="1312" w:type="pct"/>
            <w:tcBorders>
              <w:bottom w:val="single" w:sz="4" w:space="0" w:color="auto"/>
            </w:tcBorders>
          </w:tcPr>
          <w:p w14:paraId="1D19EA65" w14:textId="77777777" w:rsidR="00BE197B" w:rsidRPr="0080555B" w:rsidRDefault="00BE197B" w:rsidP="00BE197B">
            <w:pPr>
              <w:pStyle w:val="tablebody0"/>
            </w:pPr>
            <w:r w:rsidRPr="00A05195">
              <w:t>RTNCLR</w:t>
            </w:r>
            <w:r>
              <w:t>LPC</w:t>
            </w:r>
            <w:r w:rsidRPr="00A05195">
              <w:rPr>
                <w:i/>
                <w:vertAlign w:val="subscript"/>
              </w:rPr>
              <w:t xml:space="preserve"> q</w:t>
            </w:r>
          </w:p>
        </w:tc>
        <w:tc>
          <w:tcPr>
            <w:tcW w:w="606" w:type="pct"/>
            <w:tcBorders>
              <w:bottom w:val="single" w:sz="4" w:space="0" w:color="auto"/>
            </w:tcBorders>
          </w:tcPr>
          <w:p w14:paraId="0641F4B8" w14:textId="77777777" w:rsidR="00BE197B" w:rsidRPr="0080555B" w:rsidRDefault="00BE197B" w:rsidP="00BE197B">
            <w:pPr>
              <w:pStyle w:val="tablebody0"/>
            </w:pPr>
            <w:r w:rsidRPr="00A05195">
              <w:t>MWh</w:t>
            </w:r>
          </w:p>
        </w:tc>
        <w:tc>
          <w:tcPr>
            <w:tcW w:w="3082" w:type="pct"/>
            <w:tcBorders>
              <w:bottom w:val="single" w:sz="4" w:space="0" w:color="auto"/>
            </w:tcBorders>
          </w:tcPr>
          <w:p w14:paraId="2B55EA05" w14:textId="47E1C2FE" w:rsidR="00AF45BD" w:rsidRPr="0080555B" w:rsidRDefault="00BE197B" w:rsidP="00BE197B">
            <w:pPr>
              <w:pStyle w:val="tablebody0"/>
              <w:rPr>
                <w:i/>
              </w:rPr>
            </w:pPr>
            <w:r w:rsidRPr="00A05195">
              <w:rPr>
                <w:i/>
              </w:rPr>
              <w:t>Real-Time Non-Controllable Load Resource Low Power Consumption</w:t>
            </w:r>
            <w:r w:rsidRPr="00A05195">
              <w:rPr>
                <w:i/>
                <w:szCs w:val="18"/>
              </w:rPr>
              <w:t xml:space="preserve"> for the QSE—</w:t>
            </w:r>
            <w:r w:rsidRPr="00A05195">
              <w:rPr>
                <w:szCs w:val="18"/>
              </w:rPr>
              <w:t>The Real-Time L</w:t>
            </w:r>
            <w:r>
              <w:rPr>
                <w:szCs w:val="18"/>
              </w:rPr>
              <w:t>PC</w:t>
            </w:r>
            <w:r w:rsidRPr="00A05195">
              <w:rPr>
                <w:szCs w:val="18"/>
              </w:rPr>
              <w:t xml:space="preserve"> from </w:t>
            </w:r>
            <w:r>
              <w:rPr>
                <w:szCs w:val="18"/>
              </w:rPr>
              <w:t xml:space="preserve">all Load Resources other than </w:t>
            </w:r>
            <w:r w:rsidRPr="00A05195">
              <w:rPr>
                <w:szCs w:val="18"/>
              </w:rPr>
              <w:t>Controllable Load Resources</w:t>
            </w:r>
            <w:r w:rsidRPr="00A05195">
              <w:rPr>
                <w:i/>
                <w:szCs w:val="18"/>
              </w:rPr>
              <w:t xml:space="preserve"> </w:t>
            </w:r>
            <w:r>
              <w:rPr>
                <w:szCs w:val="18"/>
              </w:rPr>
              <w:t xml:space="preserve">for QSE </w:t>
            </w:r>
            <w:r>
              <w:rPr>
                <w:i/>
                <w:szCs w:val="18"/>
              </w:rPr>
              <w:t xml:space="preserve">q </w:t>
            </w:r>
            <w:r w:rsidRPr="00A05195">
              <w:t xml:space="preserve">that </w:t>
            </w:r>
            <w:r>
              <w:t>have</w:t>
            </w:r>
            <w:r w:rsidRPr="00A05195">
              <w:t xml:space="preserve"> a validated Real-Time </w:t>
            </w:r>
            <w:r w:rsidR="00BA7613">
              <w:t xml:space="preserve">ECRS, </w:t>
            </w:r>
            <w:r w:rsidRPr="00A05195">
              <w:t>RRS</w:t>
            </w:r>
            <w:r w:rsidR="00BA7613">
              <w:t>,</w:t>
            </w:r>
            <w:r w:rsidRPr="00A05195">
              <w:t xml:space="preserve"> </w:t>
            </w:r>
            <w:r w:rsidR="00013237">
              <w:t xml:space="preserve">or Non-Spin </w:t>
            </w:r>
            <w:r w:rsidRPr="00A05195">
              <w:t>Ancillary Service Schedule</w:t>
            </w:r>
            <w:r w:rsidRPr="00A05195">
              <w:rPr>
                <w:szCs w:val="18"/>
              </w:rPr>
              <w:t xml:space="preserve"> integrated over the 15-minute Settlement Interval discounted by the system-wide discount factor.</w:t>
            </w:r>
          </w:p>
          <w:p w14:paraId="1B7C3C2B" w14:textId="77777777" w:rsidR="00BE197B" w:rsidRPr="0080555B" w:rsidRDefault="00BE197B" w:rsidP="00BE197B">
            <w:pPr>
              <w:pStyle w:val="tablebody0"/>
              <w:rPr>
                <w:i/>
              </w:rPr>
            </w:pPr>
          </w:p>
        </w:tc>
      </w:tr>
      <w:tr w:rsidR="00013237" w:rsidRPr="0080555B" w14:paraId="654D1BE5" w14:textId="77777777" w:rsidTr="00356445">
        <w:trPr>
          <w:cantSplit/>
        </w:trPr>
        <w:tc>
          <w:tcPr>
            <w:tcW w:w="1312" w:type="pct"/>
            <w:tcBorders>
              <w:bottom w:val="single" w:sz="4" w:space="0" w:color="auto"/>
            </w:tcBorders>
          </w:tcPr>
          <w:p w14:paraId="46230015" w14:textId="0565A2A3" w:rsidR="00013237" w:rsidRPr="00A05195" w:rsidRDefault="00013237" w:rsidP="00013237">
            <w:pPr>
              <w:pStyle w:val="tablebody0"/>
            </w:pPr>
            <w:r w:rsidRPr="00A05195">
              <w:t>RTNCLR</w:t>
            </w:r>
            <w:r>
              <w:t>NS</w:t>
            </w:r>
            <w:r w:rsidRPr="00A05195">
              <w:t>CAP</w:t>
            </w:r>
            <w:r w:rsidRPr="00A05195">
              <w:rPr>
                <w:b/>
                <w:i/>
                <w:vertAlign w:val="subscript"/>
              </w:rPr>
              <w:t xml:space="preserve"> q</w:t>
            </w:r>
          </w:p>
        </w:tc>
        <w:tc>
          <w:tcPr>
            <w:tcW w:w="606" w:type="pct"/>
            <w:tcBorders>
              <w:bottom w:val="single" w:sz="4" w:space="0" w:color="auto"/>
            </w:tcBorders>
          </w:tcPr>
          <w:p w14:paraId="47C6EDC9" w14:textId="271CFA18" w:rsidR="00013237" w:rsidRPr="00A05195" w:rsidRDefault="00013237" w:rsidP="00013237">
            <w:pPr>
              <w:pStyle w:val="tablebody0"/>
            </w:pPr>
            <w:r w:rsidRPr="00A05195">
              <w:t>MWh</w:t>
            </w:r>
          </w:p>
        </w:tc>
        <w:tc>
          <w:tcPr>
            <w:tcW w:w="3082" w:type="pct"/>
            <w:tcBorders>
              <w:bottom w:val="single" w:sz="4" w:space="0" w:color="auto"/>
            </w:tcBorders>
          </w:tcPr>
          <w:p w14:paraId="359D0ECA" w14:textId="1DB32B02" w:rsidR="00013237" w:rsidRPr="00A05195" w:rsidRDefault="00013237" w:rsidP="00013237">
            <w:pPr>
              <w:pStyle w:val="tablebody0"/>
              <w:rPr>
                <w:i/>
              </w:rPr>
            </w:pPr>
            <w:r w:rsidRPr="00A05195">
              <w:rPr>
                <w:i/>
              </w:rPr>
              <w:t xml:space="preserve">Real-Time Capacity from Non-Controllable Load Resources carrying </w:t>
            </w:r>
            <w:r>
              <w:rPr>
                <w:i/>
              </w:rPr>
              <w:t>Non-Spin</w:t>
            </w:r>
            <w:r w:rsidRPr="00A05195">
              <w:rPr>
                <w:i/>
              </w:rPr>
              <w:t xml:space="preserve"> for the QSE</w:t>
            </w:r>
            <w:r w:rsidRPr="00A05195">
              <w:t xml:space="preserve">—The Real-Time </w:t>
            </w:r>
            <w:r>
              <w:t>c</w:t>
            </w:r>
            <w:r w:rsidRPr="00A05195">
              <w:t>apacity for a</w:t>
            </w:r>
            <w:r>
              <w:t>ll Load</w:t>
            </w:r>
            <w:r w:rsidRPr="00A05195">
              <w:t xml:space="preserve"> Resource</w:t>
            </w:r>
            <w:r>
              <w:t>s that are not Controllable Load Resources</w:t>
            </w:r>
            <w:r w:rsidRPr="00A05195">
              <w:t xml:space="preserve"> </w:t>
            </w:r>
            <w:r>
              <w:t xml:space="preserve">and </w:t>
            </w:r>
            <w:r w:rsidRPr="00A05195">
              <w:t xml:space="preserve">that </w:t>
            </w:r>
            <w:r>
              <w:t>have</w:t>
            </w:r>
            <w:r w:rsidRPr="00A05195">
              <w:t xml:space="preserve"> a validated Real-Time </w:t>
            </w:r>
            <w:r>
              <w:t>Non-Spin</w:t>
            </w:r>
            <w:r w:rsidRPr="00A05195">
              <w:t xml:space="preserve"> Ancillary Service Schedule for the QSE </w:t>
            </w:r>
            <w:r w:rsidRPr="00A05195">
              <w:rPr>
                <w:i/>
              </w:rPr>
              <w:t>q</w:t>
            </w:r>
            <w:r w:rsidRPr="00A05195">
              <w:t>, integrated over the 15-minute Settlement Interval.</w:t>
            </w:r>
          </w:p>
        </w:tc>
      </w:tr>
      <w:tr w:rsidR="00013237" w:rsidRPr="0080555B" w14:paraId="4F3F11C0" w14:textId="77777777" w:rsidTr="00356445">
        <w:trPr>
          <w:cantSplit/>
        </w:trPr>
        <w:tc>
          <w:tcPr>
            <w:tcW w:w="1312" w:type="pct"/>
            <w:tcBorders>
              <w:bottom w:val="single" w:sz="4" w:space="0" w:color="auto"/>
            </w:tcBorders>
          </w:tcPr>
          <w:p w14:paraId="5898BB20" w14:textId="7D85BFB8" w:rsidR="00013237" w:rsidRPr="00A05195" w:rsidRDefault="00013237" w:rsidP="00013237">
            <w:pPr>
              <w:pStyle w:val="tablebody0"/>
            </w:pPr>
            <w:r w:rsidRPr="0080555B">
              <w:t>RT</w:t>
            </w:r>
            <w:r>
              <w:t>N</w:t>
            </w:r>
            <w:r w:rsidRPr="0080555B">
              <w:t>CLRNS</w:t>
            </w:r>
            <w:r>
              <w:t>R</w:t>
            </w:r>
            <w:r w:rsidRPr="0080555B">
              <w:rPr>
                <w:i/>
                <w:vertAlign w:val="subscript"/>
              </w:rPr>
              <w:t xml:space="preserve"> q</w:t>
            </w:r>
            <w:r>
              <w:rPr>
                <w:i/>
                <w:vertAlign w:val="subscript"/>
              </w:rPr>
              <w:t>, r, p</w:t>
            </w:r>
          </w:p>
        </w:tc>
        <w:tc>
          <w:tcPr>
            <w:tcW w:w="606" w:type="pct"/>
            <w:tcBorders>
              <w:bottom w:val="single" w:sz="4" w:space="0" w:color="auto"/>
            </w:tcBorders>
          </w:tcPr>
          <w:p w14:paraId="764FA8C4" w14:textId="0F18E770" w:rsidR="00013237" w:rsidRPr="00A05195" w:rsidRDefault="00013237" w:rsidP="00013237">
            <w:pPr>
              <w:pStyle w:val="tablebody0"/>
            </w:pPr>
            <w:r w:rsidRPr="0080555B">
              <w:t>MWh</w:t>
            </w:r>
          </w:p>
        </w:tc>
        <w:tc>
          <w:tcPr>
            <w:tcW w:w="3082" w:type="pct"/>
            <w:tcBorders>
              <w:bottom w:val="single" w:sz="4" w:space="0" w:color="auto"/>
            </w:tcBorders>
          </w:tcPr>
          <w:p w14:paraId="690A67DA" w14:textId="49737540" w:rsidR="00013237" w:rsidRPr="00A05195" w:rsidRDefault="00013237" w:rsidP="00013237">
            <w:pPr>
              <w:pStyle w:val="tablebody0"/>
              <w:rPr>
                <w:i/>
              </w:rPr>
            </w:pPr>
            <w:r w:rsidRPr="00A20AF6">
              <w:rPr>
                <w:i/>
                <w:szCs w:val="18"/>
              </w:rPr>
              <w:t>Real-Time Non</w:t>
            </w:r>
            <w:r>
              <w:rPr>
                <w:i/>
                <w:szCs w:val="18"/>
              </w:rPr>
              <w:t>-</w:t>
            </w:r>
            <w:r w:rsidRPr="00A20AF6">
              <w:rPr>
                <w:i/>
                <w:szCs w:val="18"/>
              </w:rPr>
              <w:t xml:space="preserve">Spin Schedule for the </w:t>
            </w:r>
            <w:r>
              <w:rPr>
                <w:i/>
                <w:szCs w:val="18"/>
              </w:rPr>
              <w:t>Non-</w:t>
            </w:r>
            <w:r w:rsidRPr="00A20AF6">
              <w:rPr>
                <w:i/>
                <w:szCs w:val="18"/>
              </w:rPr>
              <w:t xml:space="preserve">Controllable Load Resource </w:t>
            </w:r>
            <w:r w:rsidRPr="00A20AF6">
              <w:rPr>
                <w:i/>
                <w:szCs w:val="18"/>
              </w:rPr>
              <w:sym w:font="Symbol" w:char="F0BE"/>
            </w:r>
            <w:r w:rsidRPr="00A20AF6">
              <w:rPr>
                <w:szCs w:val="18"/>
              </w:rPr>
              <w:t xml:space="preserve">The </w:t>
            </w:r>
            <w:r>
              <w:rPr>
                <w:szCs w:val="18"/>
              </w:rPr>
              <w:t>validated</w:t>
            </w:r>
            <w:r w:rsidRPr="00A20AF6">
              <w:rPr>
                <w:szCs w:val="18"/>
              </w:rPr>
              <w:t xml:space="preserve"> Real</w:t>
            </w:r>
            <w:r>
              <w:rPr>
                <w:szCs w:val="18"/>
              </w:rPr>
              <w:t>-</w:t>
            </w:r>
            <w:r w:rsidRPr="00A20AF6">
              <w:rPr>
                <w:szCs w:val="18"/>
              </w:rPr>
              <w:t>Time telemetered Non-Spin Ancillary Service Schedule for the Load Resource</w:t>
            </w:r>
            <w:r>
              <w:rPr>
                <w:i/>
                <w:szCs w:val="18"/>
              </w:rPr>
              <w:t xml:space="preserve"> r</w:t>
            </w:r>
            <w:r w:rsidRPr="006624C0">
              <w:t xml:space="preserve"> </w:t>
            </w:r>
            <w:r>
              <w:t xml:space="preserve">that is not a Controllable Load Resources </w:t>
            </w:r>
            <w:r w:rsidRPr="006624C0">
              <w:t xml:space="preserve">represented by QSE </w:t>
            </w:r>
            <w:r w:rsidRPr="006624C0">
              <w:rPr>
                <w:i/>
              </w:rPr>
              <w:t>q</w:t>
            </w:r>
            <w:r w:rsidRPr="006624C0">
              <w:t xml:space="preserve"> at Resource Node </w:t>
            </w:r>
            <w:r w:rsidRPr="006624C0">
              <w:rPr>
                <w:i/>
              </w:rPr>
              <w:t>p</w:t>
            </w:r>
            <w:r w:rsidRPr="00A20AF6">
              <w:rPr>
                <w:szCs w:val="18"/>
              </w:rPr>
              <w:t xml:space="preserve">, </w:t>
            </w:r>
            <w:r>
              <w:t>integrated</w:t>
            </w:r>
            <w:r w:rsidRPr="00A20AF6">
              <w:rPr>
                <w:szCs w:val="18"/>
              </w:rPr>
              <w:t xml:space="preserve"> over the 15-minute Settlement Interval.</w:t>
            </w:r>
          </w:p>
        </w:tc>
      </w:tr>
      <w:tr w:rsidR="00013237" w:rsidRPr="0080555B" w14:paraId="1F7FD213" w14:textId="77777777" w:rsidTr="00356445">
        <w:trPr>
          <w:cantSplit/>
        </w:trPr>
        <w:tc>
          <w:tcPr>
            <w:tcW w:w="1312" w:type="pct"/>
            <w:tcBorders>
              <w:bottom w:val="single" w:sz="4" w:space="0" w:color="auto"/>
            </w:tcBorders>
          </w:tcPr>
          <w:p w14:paraId="400A5683" w14:textId="6D65EF9D" w:rsidR="00013237" w:rsidRPr="00A05195" w:rsidRDefault="00013237" w:rsidP="00013237">
            <w:pPr>
              <w:pStyle w:val="tablebody0"/>
            </w:pPr>
            <w:r w:rsidRPr="0080555B">
              <w:t>RT</w:t>
            </w:r>
            <w:r>
              <w:t>N</w:t>
            </w:r>
            <w:r w:rsidRPr="0080555B">
              <w:t>CLRNS</w:t>
            </w:r>
            <w:r w:rsidRPr="0080555B">
              <w:rPr>
                <w:i/>
                <w:vertAlign w:val="subscript"/>
              </w:rPr>
              <w:t xml:space="preserve"> q</w:t>
            </w:r>
          </w:p>
        </w:tc>
        <w:tc>
          <w:tcPr>
            <w:tcW w:w="606" w:type="pct"/>
            <w:tcBorders>
              <w:bottom w:val="single" w:sz="4" w:space="0" w:color="auto"/>
            </w:tcBorders>
          </w:tcPr>
          <w:p w14:paraId="67A5C065" w14:textId="7AA6524B" w:rsidR="00013237" w:rsidRPr="00A05195" w:rsidRDefault="00013237" w:rsidP="00013237">
            <w:pPr>
              <w:pStyle w:val="tablebody0"/>
            </w:pPr>
            <w:r w:rsidRPr="0080555B">
              <w:t>MWh</w:t>
            </w:r>
          </w:p>
        </w:tc>
        <w:tc>
          <w:tcPr>
            <w:tcW w:w="3082" w:type="pct"/>
            <w:tcBorders>
              <w:bottom w:val="single" w:sz="4" w:space="0" w:color="auto"/>
            </w:tcBorders>
          </w:tcPr>
          <w:p w14:paraId="5CD2D69B" w14:textId="59AFF59D" w:rsidR="00013237" w:rsidRPr="00A05195" w:rsidRDefault="00013237" w:rsidP="00013237">
            <w:pPr>
              <w:pStyle w:val="tablebody0"/>
              <w:rPr>
                <w:i/>
              </w:rPr>
            </w:pPr>
            <w:r>
              <w:rPr>
                <w:i/>
              </w:rPr>
              <w:t>Real-Time Non-</w:t>
            </w:r>
            <w:r w:rsidRPr="0080555B">
              <w:rPr>
                <w:i/>
              </w:rPr>
              <w:t xml:space="preserve">Spin Schedule for </w:t>
            </w:r>
            <w:r>
              <w:rPr>
                <w:i/>
              </w:rPr>
              <w:t>Non-</w:t>
            </w:r>
            <w:r w:rsidRPr="0080555B">
              <w:rPr>
                <w:i/>
              </w:rPr>
              <w:t>Controllable Load Resources for the QSE</w:t>
            </w:r>
            <w:r w:rsidRPr="0080555B">
              <w:sym w:font="Symbol" w:char="F0BE"/>
            </w:r>
            <w:r w:rsidRPr="0080555B">
              <w:t>The Real</w:t>
            </w:r>
            <w:r>
              <w:t>-</w:t>
            </w:r>
            <w:r w:rsidRPr="0080555B">
              <w:t>Time telemetered Non-Spin Ancillary Service Schedule for all Load Resources</w:t>
            </w:r>
            <w:r>
              <w:t xml:space="preserve"> that are not Controllable Load Resources </w:t>
            </w:r>
            <w:r w:rsidRPr="0080555B">
              <w:t xml:space="preserve">for the QSE </w:t>
            </w:r>
            <w:r w:rsidRPr="0080555B">
              <w:rPr>
                <w:i/>
              </w:rPr>
              <w:t>q</w:t>
            </w:r>
            <w:r w:rsidRPr="0080555B">
              <w:t>, integrated over the 15-minute Settlement Interval</w:t>
            </w:r>
            <w:r>
              <w:t xml:space="preserve"> discounted by the </w:t>
            </w:r>
            <w:r>
              <w:rPr>
                <w:szCs w:val="18"/>
              </w:rPr>
              <w:t>system-wide</w:t>
            </w:r>
            <w:r>
              <w:t xml:space="preserve"> discount factor</w:t>
            </w:r>
            <w:r w:rsidRPr="0080555B">
              <w:t>.</w:t>
            </w:r>
          </w:p>
        </w:tc>
      </w:tr>
      <w:tr w:rsidR="00013237" w:rsidRPr="0080555B" w14:paraId="6295322C" w14:textId="77777777" w:rsidTr="00356445">
        <w:trPr>
          <w:cantSplit/>
        </w:trPr>
        <w:tc>
          <w:tcPr>
            <w:tcW w:w="1312" w:type="pct"/>
            <w:tcBorders>
              <w:bottom w:val="single" w:sz="4" w:space="0" w:color="auto"/>
            </w:tcBorders>
          </w:tcPr>
          <w:p w14:paraId="71F91386" w14:textId="4E6E774E" w:rsidR="00013237" w:rsidRPr="00A05195" w:rsidRDefault="00013237" w:rsidP="00013237">
            <w:pPr>
              <w:pStyle w:val="tablebody0"/>
            </w:pPr>
            <w:r w:rsidRPr="00602C41">
              <w:t>RT</w:t>
            </w:r>
            <w:r>
              <w:t>N</w:t>
            </w:r>
            <w:r w:rsidRPr="00602C41">
              <w:t xml:space="preserve">CLRNSRESP </w:t>
            </w:r>
            <w:r w:rsidRPr="00602C41">
              <w:rPr>
                <w:i/>
                <w:vertAlign w:val="subscript"/>
              </w:rPr>
              <w:t>q</w:t>
            </w:r>
          </w:p>
        </w:tc>
        <w:tc>
          <w:tcPr>
            <w:tcW w:w="606" w:type="pct"/>
            <w:tcBorders>
              <w:bottom w:val="single" w:sz="4" w:space="0" w:color="auto"/>
            </w:tcBorders>
          </w:tcPr>
          <w:p w14:paraId="7B6EEAB8" w14:textId="7EE3BB0E" w:rsidR="00013237" w:rsidRPr="00A05195" w:rsidRDefault="00013237" w:rsidP="00013237">
            <w:pPr>
              <w:pStyle w:val="tablebody0"/>
            </w:pPr>
            <w:r w:rsidRPr="0080555B">
              <w:t>MW</w:t>
            </w:r>
            <w:r>
              <w:t>h</w:t>
            </w:r>
          </w:p>
        </w:tc>
        <w:tc>
          <w:tcPr>
            <w:tcW w:w="3082" w:type="pct"/>
            <w:tcBorders>
              <w:bottom w:val="single" w:sz="4" w:space="0" w:color="auto"/>
            </w:tcBorders>
          </w:tcPr>
          <w:p w14:paraId="692F9C89" w14:textId="018C127C" w:rsidR="00013237" w:rsidRPr="00A05195" w:rsidRDefault="00013237" w:rsidP="00013237">
            <w:pPr>
              <w:pStyle w:val="tablebody0"/>
              <w:rPr>
                <w:i/>
              </w:rPr>
            </w:pPr>
            <w:r w:rsidRPr="0080555B">
              <w:rPr>
                <w:i/>
              </w:rPr>
              <w:t xml:space="preserve">Real-Time </w:t>
            </w:r>
            <w:r>
              <w:rPr>
                <w:i/>
              </w:rPr>
              <w:t>Non-</w:t>
            </w:r>
            <w:r w:rsidRPr="0080555B">
              <w:rPr>
                <w:i/>
              </w:rPr>
              <w:t>Controllable Load Resource Non-Spin Responsibility for the QSE</w:t>
            </w:r>
            <w:r w:rsidRPr="0080555B">
              <w:sym w:font="Symbol" w:char="F0BE"/>
            </w:r>
            <w:r w:rsidRPr="0080555B">
              <w:t xml:space="preserve">The Real Time </w:t>
            </w:r>
            <w:r>
              <w:t xml:space="preserve">telemetered </w:t>
            </w:r>
            <w:r w:rsidRPr="0080555B">
              <w:t xml:space="preserve">Non-Spin Ancillary Service Supply Responsibility for all Load Resources </w:t>
            </w:r>
            <w:r>
              <w:t>that are not Controllable Load Resources</w:t>
            </w:r>
            <w:r w:rsidRPr="0080555B">
              <w:t xml:space="preserve"> </w:t>
            </w:r>
            <w:r>
              <w:t>discounted by the system-wide discount factor</w:t>
            </w:r>
            <w:r w:rsidRPr="0080555B">
              <w:t xml:space="preserve"> for the QSE </w:t>
            </w:r>
            <w:r w:rsidRPr="0080555B">
              <w:rPr>
                <w:i/>
              </w:rPr>
              <w:t>q</w:t>
            </w:r>
            <w:r w:rsidRPr="0080555B">
              <w:t xml:space="preserve">, </w:t>
            </w:r>
            <w:r w:rsidRPr="00A94098">
              <w:rPr>
                <w:szCs w:val="18"/>
              </w:rPr>
              <w:t>integrated over</w:t>
            </w:r>
            <w:r w:rsidRPr="0080555B">
              <w:t xml:space="preserve"> the 15-minute Settlement Interval</w:t>
            </w:r>
            <w:r>
              <w:t>.</w:t>
            </w:r>
          </w:p>
        </w:tc>
      </w:tr>
      <w:tr w:rsidR="00013237" w:rsidRPr="0080555B" w14:paraId="3F36779A" w14:textId="77777777" w:rsidTr="00356445">
        <w:trPr>
          <w:cantSplit/>
        </w:trPr>
        <w:tc>
          <w:tcPr>
            <w:tcW w:w="1312" w:type="pct"/>
            <w:tcBorders>
              <w:bottom w:val="single" w:sz="4" w:space="0" w:color="auto"/>
            </w:tcBorders>
          </w:tcPr>
          <w:p w14:paraId="265B525B" w14:textId="75ADBF0A" w:rsidR="00013237" w:rsidRPr="00A05195" w:rsidRDefault="00013237" w:rsidP="00013237">
            <w:pPr>
              <w:pStyle w:val="tablebody0"/>
            </w:pPr>
            <w:r w:rsidRPr="00A45193">
              <w:t xml:space="preserve">RTNCLRNSRESPR </w:t>
            </w:r>
            <w:r w:rsidRPr="001710FA">
              <w:rPr>
                <w:i/>
                <w:iCs/>
                <w:vertAlign w:val="subscript"/>
              </w:rPr>
              <w:t>q, r, p</w:t>
            </w:r>
          </w:p>
        </w:tc>
        <w:tc>
          <w:tcPr>
            <w:tcW w:w="606" w:type="pct"/>
            <w:tcBorders>
              <w:bottom w:val="single" w:sz="4" w:space="0" w:color="auto"/>
            </w:tcBorders>
          </w:tcPr>
          <w:p w14:paraId="18732748" w14:textId="2586D1FB" w:rsidR="00013237" w:rsidRPr="00A05195" w:rsidRDefault="00013237" w:rsidP="00013237">
            <w:pPr>
              <w:pStyle w:val="tablebody0"/>
            </w:pPr>
            <w:r>
              <w:t>MWh</w:t>
            </w:r>
          </w:p>
        </w:tc>
        <w:tc>
          <w:tcPr>
            <w:tcW w:w="3082" w:type="pct"/>
            <w:tcBorders>
              <w:bottom w:val="single" w:sz="4" w:space="0" w:color="auto"/>
            </w:tcBorders>
          </w:tcPr>
          <w:p w14:paraId="14B6ADCE" w14:textId="4032460D" w:rsidR="00013237" w:rsidRPr="00A05195" w:rsidRDefault="00013237" w:rsidP="00013237">
            <w:pPr>
              <w:pStyle w:val="tablebody0"/>
              <w:rPr>
                <w:i/>
              </w:rPr>
            </w:pPr>
            <w:r w:rsidRPr="0080555B">
              <w:rPr>
                <w:i/>
              </w:rPr>
              <w:t xml:space="preserve">Real-Time </w:t>
            </w:r>
            <w:r>
              <w:rPr>
                <w:i/>
              </w:rPr>
              <w:t>Non-</w:t>
            </w:r>
            <w:r w:rsidRPr="0080555B">
              <w:rPr>
                <w:i/>
              </w:rPr>
              <w:t>Controllable Load Resource Non-Spin Responsibility for the</w:t>
            </w:r>
            <w:r>
              <w:rPr>
                <w:i/>
              </w:rPr>
              <w:t xml:space="preserve"> Resource</w:t>
            </w:r>
            <w:r w:rsidRPr="0080555B">
              <w:sym w:font="Symbol" w:char="F0BE"/>
            </w:r>
            <w:r w:rsidRPr="0080555B">
              <w:t>The Real</w:t>
            </w:r>
            <w:r>
              <w:t>-</w:t>
            </w:r>
            <w:r w:rsidRPr="0080555B">
              <w:t xml:space="preserve">Time </w:t>
            </w:r>
            <w:r>
              <w:t xml:space="preserve">telemetered </w:t>
            </w:r>
            <w:r w:rsidRPr="0080555B">
              <w:t xml:space="preserve">Non-Spin Ancillary Service </w:t>
            </w:r>
            <w:r>
              <w:t>Resource</w:t>
            </w:r>
            <w:r w:rsidRPr="0080555B">
              <w:t xml:space="preserve"> Responsibility for </w:t>
            </w:r>
            <w:r>
              <w:t xml:space="preserve">the Load Resource </w:t>
            </w:r>
            <w:r w:rsidRPr="0063479B">
              <w:rPr>
                <w:i/>
              </w:rPr>
              <w:t>r</w:t>
            </w:r>
            <w:r w:rsidRPr="006624C0">
              <w:t xml:space="preserve"> </w:t>
            </w:r>
            <w:r>
              <w:t>that is not a Controllable Load Resource re</w:t>
            </w:r>
            <w:r w:rsidRPr="006624C0">
              <w:t xml:space="preserve">presented by QSE </w:t>
            </w:r>
            <w:r w:rsidRPr="006624C0">
              <w:rPr>
                <w:i/>
              </w:rPr>
              <w:t>q</w:t>
            </w:r>
            <w:r w:rsidRPr="006624C0">
              <w:t xml:space="preserve"> at Resource Node </w:t>
            </w:r>
            <w:r w:rsidRPr="006624C0">
              <w:rPr>
                <w:i/>
              </w:rPr>
              <w:t>p</w:t>
            </w:r>
            <w:r w:rsidRPr="0080555B">
              <w:t xml:space="preserve">  </w:t>
            </w:r>
            <w:r w:rsidRPr="00A94098">
              <w:rPr>
                <w:szCs w:val="18"/>
              </w:rPr>
              <w:t>integrated over the 15-minute Settlement Interval.</w:t>
            </w:r>
          </w:p>
        </w:tc>
      </w:tr>
      <w:tr w:rsidR="00BE197B" w:rsidRPr="0080555B" w14:paraId="5BC93CD0" w14:textId="77777777" w:rsidTr="00356445">
        <w:trPr>
          <w:cantSplit/>
        </w:trPr>
        <w:tc>
          <w:tcPr>
            <w:tcW w:w="1312" w:type="pct"/>
            <w:tcBorders>
              <w:bottom w:val="single" w:sz="4" w:space="0" w:color="auto"/>
            </w:tcBorders>
          </w:tcPr>
          <w:p w14:paraId="5DE089A2" w14:textId="77777777" w:rsidR="00BE197B" w:rsidRPr="0080555B" w:rsidRDefault="00BE197B" w:rsidP="00BE197B">
            <w:pPr>
              <w:pStyle w:val="tablebody0"/>
            </w:pPr>
            <w:r w:rsidRPr="00A05195">
              <w:lastRenderedPageBreak/>
              <w:t>RTCLRNP</w:t>
            </w:r>
            <w:r>
              <w:t>C</w:t>
            </w:r>
            <w:r w:rsidRPr="00A05195">
              <w:t xml:space="preserve">R </w:t>
            </w:r>
            <w:r w:rsidRPr="00A05195">
              <w:rPr>
                <w:i/>
                <w:vertAlign w:val="subscript"/>
              </w:rPr>
              <w:t>q, r, p</w:t>
            </w:r>
          </w:p>
        </w:tc>
        <w:tc>
          <w:tcPr>
            <w:tcW w:w="606" w:type="pct"/>
            <w:tcBorders>
              <w:bottom w:val="single" w:sz="4" w:space="0" w:color="auto"/>
            </w:tcBorders>
          </w:tcPr>
          <w:p w14:paraId="0A0D0072" w14:textId="77777777" w:rsidR="00BE197B" w:rsidRPr="0080555B" w:rsidRDefault="00BE197B" w:rsidP="00BE197B">
            <w:pPr>
              <w:pStyle w:val="tablebody0"/>
            </w:pPr>
            <w:r w:rsidRPr="00A05195">
              <w:t>MWh</w:t>
            </w:r>
          </w:p>
        </w:tc>
        <w:tc>
          <w:tcPr>
            <w:tcW w:w="3082" w:type="pct"/>
            <w:tcBorders>
              <w:bottom w:val="single" w:sz="4" w:space="0" w:color="auto"/>
            </w:tcBorders>
          </w:tcPr>
          <w:p w14:paraId="1ED53C35" w14:textId="77777777" w:rsidR="00356445" w:rsidRPr="00A20AF6" w:rsidRDefault="00BE197B" w:rsidP="00BE197B">
            <w:pPr>
              <w:pStyle w:val="tablebody0"/>
              <w:rPr>
                <w:i/>
                <w:szCs w:val="18"/>
              </w:rPr>
            </w:pPr>
            <w:r w:rsidRPr="00A05195">
              <w:rPr>
                <w:i/>
                <w:szCs w:val="18"/>
              </w:rPr>
              <w:t xml:space="preserve">Real-Time Net Power </w:t>
            </w:r>
            <w:r>
              <w:rPr>
                <w:i/>
                <w:szCs w:val="18"/>
              </w:rPr>
              <w:t>Consumption</w:t>
            </w:r>
            <w:r w:rsidRPr="00A05195">
              <w:rPr>
                <w:i/>
                <w:szCs w:val="18"/>
              </w:rPr>
              <w:t xml:space="preserve"> from the Controllable Load Resource—</w:t>
            </w:r>
            <w:r w:rsidRPr="00A05195">
              <w:rPr>
                <w:szCs w:val="18"/>
              </w:rPr>
              <w:t xml:space="preserve">The Real-Time net </w:t>
            </w:r>
            <w:r>
              <w:rPr>
                <w:szCs w:val="18"/>
              </w:rPr>
              <w:t xml:space="preserve">real </w:t>
            </w:r>
            <w:r w:rsidRPr="00A05195">
              <w:rPr>
                <w:szCs w:val="18"/>
              </w:rPr>
              <w:t xml:space="preserve">power </w:t>
            </w:r>
            <w:r>
              <w:rPr>
                <w:szCs w:val="18"/>
              </w:rPr>
              <w:t>consumption</w:t>
            </w:r>
            <w:r w:rsidRPr="00A05195">
              <w:rPr>
                <w:szCs w:val="18"/>
              </w:rPr>
              <w:t xml:space="preserve"> from the Controllable Load Resource </w:t>
            </w:r>
            <w:r w:rsidRPr="00A05195">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rPr>
                <w:szCs w:val="18"/>
              </w:rPr>
              <w:t xml:space="preserve"> </w:t>
            </w:r>
            <w:r w:rsidRPr="00A05195">
              <w:rPr>
                <w:szCs w:val="18"/>
              </w:rPr>
              <w:t>available to SCED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6E2148AB" w14:textId="77777777" w:rsidTr="005C5A9B">
              <w:trPr>
                <w:trHeight w:val="206"/>
              </w:trPr>
              <w:tc>
                <w:tcPr>
                  <w:tcW w:w="9576" w:type="dxa"/>
                  <w:shd w:val="pct12" w:color="auto" w:fill="auto"/>
                </w:tcPr>
                <w:p w14:paraId="75738568" w14:textId="74C679EF" w:rsidR="00356445" w:rsidRDefault="00356445" w:rsidP="00356445">
                  <w:pPr>
                    <w:pStyle w:val="Instructions"/>
                    <w:spacing w:before="120"/>
                  </w:pPr>
                  <w:r>
                    <w:t>[NPRR987:  Replace the description above with the following upon system implementation:]</w:t>
                  </w:r>
                </w:p>
                <w:p w14:paraId="6BD1E3E9" w14:textId="4A1D006B" w:rsidR="00356445" w:rsidRPr="00AF45BD" w:rsidRDefault="00356445" w:rsidP="00356445">
                  <w:pPr>
                    <w:pStyle w:val="tablebody0"/>
                    <w:rPr>
                      <w:i/>
                    </w:rPr>
                  </w:pPr>
                  <w:r w:rsidRPr="0021367F">
                    <w:rPr>
                      <w:i/>
                      <w:szCs w:val="18"/>
                    </w:rPr>
                    <w:t>Real-Time Net Power Consumption from the Controllable Load Resource—</w:t>
                  </w:r>
                  <w:r w:rsidRPr="0021367F">
                    <w:rPr>
                      <w:szCs w:val="18"/>
                    </w:rPr>
                    <w:t>The Real-Time net real power consumption from the Controllable Load Resource</w:t>
                  </w:r>
                  <w:r>
                    <w:rPr>
                      <w:szCs w:val="18"/>
                    </w:rPr>
                    <w:t xml:space="preserve"> </w:t>
                  </w:r>
                  <w:r w:rsidRPr="00C54C7A">
                    <w:rPr>
                      <w:szCs w:val="18"/>
                    </w:rPr>
                    <w:t>or modeled Controllable Loa</w:t>
                  </w:r>
                  <w:r>
                    <w:rPr>
                      <w:szCs w:val="18"/>
                    </w:rPr>
                    <w:t>d Resource associated with an ESR,</w:t>
                  </w:r>
                  <w:r w:rsidRPr="0021367F">
                    <w:rPr>
                      <w:szCs w:val="18"/>
                    </w:rPr>
                    <w:t xml:space="preserve"> </w:t>
                  </w:r>
                  <w:r w:rsidRPr="0021367F">
                    <w:rPr>
                      <w:i/>
                      <w:szCs w:val="18"/>
                    </w:rPr>
                    <w:t>r</w:t>
                  </w:r>
                  <w:r>
                    <w:rPr>
                      <w:i/>
                      <w:szCs w:val="18"/>
                    </w:rPr>
                    <w:t xml:space="preserve"> </w:t>
                  </w:r>
                  <w:r w:rsidRPr="0021367F">
                    <w:t xml:space="preserve">represented by QSE </w:t>
                  </w:r>
                  <w:r w:rsidRPr="0021367F">
                    <w:rPr>
                      <w:i/>
                    </w:rPr>
                    <w:t>q</w:t>
                  </w:r>
                  <w:r w:rsidRPr="0021367F">
                    <w:t xml:space="preserve"> at Resource Node </w:t>
                  </w:r>
                  <w:r w:rsidRPr="0021367F">
                    <w:rPr>
                      <w:i/>
                    </w:rPr>
                    <w:t>p</w:t>
                  </w:r>
                  <w:r w:rsidRPr="0021367F">
                    <w:rPr>
                      <w:szCs w:val="18"/>
                    </w:rPr>
                    <w:t xml:space="preserve"> available to SCED integrated over the 15-minute Settlement Interval.</w:t>
                  </w:r>
                </w:p>
              </w:tc>
            </w:tr>
          </w:tbl>
          <w:p w14:paraId="2FD6BACE" w14:textId="7556D278" w:rsidR="00BE197B" w:rsidRPr="00A20AF6" w:rsidRDefault="00BE197B" w:rsidP="00BE197B">
            <w:pPr>
              <w:pStyle w:val="tablebody0"/>
              <w:rPr>
                <w:i/>
                <w:szCs w:val="18"/>
              </w:rPr>
            </w:pPr>
          </w:p>
        </w:tc>
      </w:tr>
      <w:tr w:rsidR="00BE197B" w:rsidRPr="0080555B" w14:paraId="269A3DAC" w14:textId="77777777" w:rsidTr="00356445">
        <w:trPr>
          <w:cantSplit/>
        </w:trPr>
        <w:tc>
          <w:tcPr>
            <w:tcW w:w="1312" w:type="pct"/>
            <w:tcBorders>
              <w:bottom w:val="single" w:sz="4" w:space="0" w:color="auto"/>
            </w:tcBorders>
          </w:tcPr>
          <w:p w14:paraId="522ED872" w14:textId="77777777" w:rsidR="00BE197B" w:rsidRPr="0080555B" w:rsidRDefault="00BE197B" w:rsidP="00BE197B">
            <w:pPr>
              <w:pStyle w:val="tablebody0"/>
            </w:pPr>
            <w:r w:rsidRPr="00A05195">
              <w:t>RTCLRNP</w:t>
            </w:r>
            <w:r>
              <w:t>C</w:t>
            </w:r>
            <w:r w:rsidRPr="00A05195">
              <w:t xml:space="preserve"> </w:t>
            </w:r>
            <w:r w:rsidRPr="00A05195">
              <w:rPr>
                <w:i/>
                <w:vertAlign w:val="subscript"/>
              </w:rPr>
              <w:t>q</w:t>
            </w:r>
          </w:p>
        </w:tc>
        <w:tc>
          <w:tcPr>
            <w:tcW w:w="606" w:type="pct"/>
            <w:tcBorders>
              <w:bottom w:val="single" w:sz="4" w:space="0" w:color="auto"/>
            </w:tcBorders>
          </w:tcPr>
          <w:p w14:paraId="6A3261EE" w14:textId="77777777" w:rsidR="00BE197B" w:rsidRPr="0080555B" w:rsidRDefault="00BE197B" w:rsidP="00BE197B">
            <w:pPr>
              <w:pStyle w:val="tablebody0"/>
            </w:pPr>
            <w:r w:rsidRPr="00A05195">
              <w:t>MWh</w:t>
            </w:r>
          </w:p>
        </w:tc>
        <w:tc>
          <w:tcPr>
            <w:tcW w:w="3082" w:type="pct"/>
            <w:tcBorders>
              <w:bottom w:val="single" w:sz="4" w:space="0" w:color="auto"/>
            </w:tcBorders>
          </w:tcPr>
          <w:p w14:paraId="2883919A" w14:textId="77777777" w:rsidR="00356445" w:rsidRPr="0080555B" w:rsidRDefault="00BE197B" w:rsidP="00BE197B">
            <w:pPr>
              <w:pStyle w:val="tablebody0"/>
              <w:rPr>
                <w:i/>
              </w:rPr>
            </w:pPr>
            <w:r w:rsidRPr="00A05195">
              <w:rPr>
                <w:i/>
              </w:rPr>
              <w:t xml:space="preserve">Real-Time Net Power </w:t>
            </w:r>
            <w:r>
              <w:rPr>
                <w:i/>
              </w:rPr>
              <w:t>Consumption</w:t>
            </w:r>
            <w:r w:rsidRPr="00A05195">
              <w:rPr>
                <w:i/>
              </w:rPr>
              <w:t xml:space="preserve"> from Controllable Load Resources for the QSE</w:t>
            </w:r>
            <w:r w:rsidRPr="00A05195">
              <w:t xml:space="preserve">—The Real-Time net </w:t>
            </w:r>
            <w:r>
              <w:t xml:space="preserve">real </w:t>
            </w:r>
            <w:r w:rsidRPr="00A05195">
              <w:t xml:space="preserve">power </w:t>
            </w:r>
            <w:r>
              <w:t>consumption</w:t>
            </w:r>
            <w:r w:rsidRPr="00A05195">
              <w:t xml:space="preserve"> from all Controllable Load Resources available to SCED integrated over the 15-minute Settlement Interval for the QSE </w:t>
            </w:r>
            <w:r w:rsidRPr="00A05195">
              <w:rPr>
                <w:i/>
              </w:rPr>
              <w:t>q</w:t>
            </w:r>
            <w:r w:rsidRPr="00A05195">
              <w:rPr>
                <w:szCs w:val="18"/>
              </w:rPr>
              <w:t xml:space="preserve"> discounted by the system-wide discount factor</w:t>
            </w:r>
            <w:r w:rsidRPr="00A0519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7F8FC7C0" w14:textId="77777777" w:rsidTr="005C5A9B">
              <w:trPr>
                <w:trHeight w:val="206"/>
              </w:trPr>
              <w:tc>
                <w:tcPr>
                  <w:tcW w:w="9576" w:type="dxa"/>
                  <w:shd w:val="pct12" w:color="auto" w:fill="auto"/>
                </w:tcPr>
                <w:p w14:paraId="5A757C96" w14:textId="77777777" w:rsidR="00356445" w:rsidRDefault="00356445" w:rsidP="00356445">
                  <w:pPr>
                    <w:pStyle w:val="Instructions"/>
                    <w:spacing w:before="120"/>
                  </w:pPr>
                  <w:r>
                    <w:t>[NPRR987:  Replace the description above with the following upon system implementation:]</w:t>
                  </w:r>
                </w:p>
                <w:p w14:paraId="683976CF" w14:textId="62C2A280" w:rsidR="00356445" w:rsidRPr="00AF45BD" w:rsidRDefault="00356445" w:rsidP="00356445">
                  <w:pPr>
                    <w:pStyle w:val="tablebody0"/>
                    <w:rPr>
                      <w:i/>
                    </w:rPr>
                  </w:pPr>
                  <w:r w:rsidRPr="0021367F">
                    <w:rPr>
                      <w:i/>
                    </w:rPr>
                    <w:t>Real-Time Net Power Consumption from Controllable Load Resources for the QSE</w:t>
                  </w:r>
                  <w:r w:rsidRPr="0021367F">
                    <w:t>—The Real-Time net real power consumption from all Controllable Load Resources</w:t>
                  </w:r>
                  <w:r w:rsidRPr="00AA1C33">
                    <w:t xml:space="preserve">, not including </w:t>
                  </w:r>
                  <w:r>
                    <w:t xml:space="preserve">modeled Controllable Load Resources associated with </w:t>
                  </w:r>
                  <w:r w:rsidRPr="00AA1C33">
                    <w:t>E</w:t>
                  </w:r>
                  <w:r>
                    <w:t>SR</w:t>
                  </w:r>
                  <w:r w:rsidRPr="00AA1C33">
                    <w:t>s,</w:t>
                  </w:r>
                  <w:r w:rsidRPr="0021367F">
                    <w:t xml:space="preserve"> available to SCED integrated over the 15-minute Settlement Interval for the QSE </w:t>
                  </w:r>
                  <w:r w:rsidRPr="0021367F">
                    <w:rPr>
                      <w:i/>
                    </w:rPr>
                    <w:t>q</w:t>
                  </w:r>
                  <w:r w:rsidRPr="0021367F">
                    <w:rPr>
                      <w:szCs w:val="18"/>
                    </w:rPr>
                    <w:t xml:space="preserve"> discounted by the system-wide discount factor</w:t>
                  </w:r>
                  <w:r w:rsidRPr="0021367F">
                    <w:t>.</w:t>
                  </w:r>
                </w:p>
              </w:tc>
            </w:tr>
          </w:tbl>
          <w:p w14:paraId="29E3E378" w14:textId="3879822C" w:rsidR="00BE197B" w:rsidRPr="0080555B" w:rsidRDefault="00BE197B" w:rsidP="00BE197B">
            <w:pPr>
              <w:pStyle w:val="tablebody0"/>
              <w:rPr>
                <w:i/>
              </w:rPr>
            </w:pPr>
          </w:p>
        </w:tc>
      </w:tr>
      <w:tr w:rsidR="00BE197B" w:rsidRPr="0080555B" w14:paraId="4CA7A2A0" w14:textId="77777777" w:rsidTr="00356445">
        <w:trPr>
          <w:cantSplit/>
          <w:trHeight w:val="728"/>
        </w:trPr>
        <w:tc>
          <w:tcPr>
            <w:tcW w:w="1312" w:type="pct"/>
            <w:tcBorders>
              <w:bottom w:val="single" w:sz="4" w:space="0" w:color="auto"/>
            </w:tcBorders>
          </w:tcPr>
          <w:p w14:paraId="063CC97A" w14:textId="77777777" w:rsidR="00BE197B" w:rsidRPr="0080555B" w:rsidRDefault="00BE197B" w:rsidP="00BE197B">
            <w:pPr>
              <w:pStyle w:val="tablebody0"/>
            </w:pPr>
            <w:r w:rsidRPr="00A05195">
              <w:t>RTCLRL</w:t>
            </w:r>
            <w:r>
              <w:t>PC</w:t>
            </w:r>
            <w:r w:rsidRPr="00A05195">
              <w:t xml:space="preserve">R </w:t>
            </w:r>
            <w:r w:rsidRPr="00A05195">
              <w:rPr>
                <w:i/>
                <w:vertAlign w:val="subscript"/>
              </w:rPr>
              <w:t>q, r, p</w:t>
            </w:r>
          </w:p>
        </w:tc>
        <w:tc>
          <w:tcPr>
            <w:tcW w:w="606" w:type="pct"/>
            <w:tcBorders>
              <w:bottom w:val="single" w:sz="4" w:space="0" w:color="auto"/>
            </w:tcBorders>
          </w:tcPr>
          <w:p w14:paraId="650A0690" w14:textId="77777777" w:rsidR="00BE197B" w:rsidRPr="0080555B" w:rsidRDefault="00BE197B" w:rsidP="00BE197B">
            <w:pPr>
              <w:pStyle w:val="tablebody0"/>
            </w:pPr>
            <w:r w:rsidRPr="00A05195">
              <w:t>MWh</w:t>
            </w:r>
          </w:p>
        </w:tc>
        <w:tc>
          <w:tcPr>
            <w:tcW w:w="3082" w:type="pct"/>
            <w:tcBorders>
              <w:bottom w:val="single" w:sz="4" w:space="0" w:color="auto"/>
            </w:tcBorders>
          </w:tcPr>
          <w:p w14:paraId="06862965" w14:textId="77777777" w:rsidR="00356445" w:rsidRPr="00A20AF6" w:rsidRDefault="00BE197B" w:rsidP="00BE197B">
            <w:pPr>
              <w:pStyle w:val="tablebody0"/>
              <w:rPr>
                <w:i/>
                <w:szCs w:val="18"/>
              </w:rPr>
            </w:pPr>
            <w:r w:rsidRPr="00A05195">
              <w:rPr>
                <w:i/>
                <w:szCs w:val="18"/>
              </w:rPr>
              <w:t xml:space="preserve">Real-Time Low </w:t>
            </w:r>
            <w:r>
              <w:rPr>
                <w:i/>
                <w:szCs w:val="18"/>
              </w:rPr>
              <w:t>Power Consumption</w:t>
            </w:r>
            <w:r w:rsidRPr="00A05195">
              <w:rPr>
                <w:i/>
                <w:szCs w:val="18"/>
              </w:rPr>
              <w:t xml:space="preserve"> for the Controllable Load Resource—</w:t>
            </w:r>
            <w:r w:rsidRPr="00A05195">
              <w:rPr>
                <w:szCs w:val="18"/>
              </w:rPr>
              <w:t>The Real-Time L</w:t>
            </w:r>
            <w:r>
              <w:rPr>
                <w:szCs w:val="18"/>
              </w:rPr>
              <w:t>PC</w:t>
            </w:r>
            <w:r w:rsidRPr="00A05195">
              <w:rPr>
                <w:szCs w:val="18"/>
              </w:rPr>
              <w:t xml:space="preserve"> from the Controllable Load Resource </w:t>
            </w:r>
            <w:r w:rsidRPr="00A05195">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rPr>
                <w:szCs w:val="18"/>
              </w:rPr>
              <w:t xml:space="preserve"> </w:t>
            </w:r>
            <w:r w:rsidRPr="00A05195">
              <w:rPr>
                <w:szCs w:val="18"/>
              </w:rPr>
              <w:t>available to SCED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6AE9DDB7" w14:textId="77777777" w:rsidTr="005C5A9B">
              <w:trPr>
                <w:trHeight w:val="206"/>
              </w:trPr>
              <w:tc>
                <w:tcPr>
                  <w:tcW w:w="9576" w:type="dxa"/>
                  <w:shd w:val="pct12" w:color="auto" w:fill="auto"/>
                </w:tcPr>
                <w:p w14:paraId="63EEBE89" w14:textId="77777777" w:rsidR="00356445" w:rsidRDefault="00356445" w:rsidP="00356445">
                  <w:pPr>
                    <w:pStyle w:val="Instructions"/>
                    <w:spacing w:before="120"/>
                  </w:pPr>
                  <w:r>
                    <w:t>[NPRR987:  Replace the description above with the following upon system implementation:]</w:t>
                  </w:r>
                </w:p>
                <w:p w14:paraId="59108C79" w14:textId="064A48F8" w:rsidR="00356445" w:rsidRPr="00AF45BD" w:rsidRDefault="00356445" w:rsidP="00356445">
                  <w:pPr>
                    <w:pStyle w:val="tablebody0"/>
                    <w:rPr>
                      <w:i/>
                    </w:rPr>
                  </w:pPr>
                  <w:r w:rsidRPr="0021367F">
                    <w:rPr>
                      <w:i/>
                      <w:szCs w:val="18"/>
                    </w:rPr>
                    <w:t>Real-Time Low Power Consumption for the Controllable Load Resource—</w:t>
                  </w:r>
                  <w:r w:rsidRPr="0021367F">
                    <w:rPr>
                      <w:szCs w:val="18"/>
                    </w:rPr>
                    <w:t>The Real-Time LPC from the Controllable Load Resource</w:t>
                  </w:r>
                  <w:r>
                    <w:rPr>
                      <w:szCs w:val="18"/>
                    </w:rPr>
                    <w:t xml:space="preserve"> </w:t>
                  </w:r>
                  <w:r>
                    <w:t xml:space="preserve">or modeled Controllable Load Resource associated with an </w:t>
                  </w:r>
                  <w:r w:rsidRPr="00AA1C33">
                    <w:t>E</w:t>
                  </w:r>
                  <w:r>
                    <w:t>SR,</w:t>
                  </w:r>
                  <w:r w:rsidRPr="0021367F">
                    <w:rPr>
                      <w:szCs w:val="18"/>
                    </w:rPr>
                    <w:t xml:space="preserve"> </w:t>
                  </w:r>
                  <w:r w:rsidRPr="0021367F">
                    <w:rPr>
                      <w:i/>
                      <w:szCs w:val="18"/>
                    </w:rPr>
                    <w:t xml:space="preserve">r </w:t>
                  </w:r>
                  <w:r w:rsidRPr="0021367F">
                    <w:t xml:space="preserve">represented by QSE </w:t>
                  </w:r>
                  <w:r w:rsidRPr="0021367F">
                    <w:rPr>
                      <w:i/>
                    </w:rPr>
                    <w:t>q</w:t>
                  </w:r>
                  <w:r w:rsidRPr="0021367F">
                    <w:t xml:space="preserve"> at Resource Node </w:t>
                  </w:r>
                  <w:r w:rsidRPr="0021367F">
                    <w:rPr>
                      <w:i/>
                    </w:rPr>
                    <w:t>p</w:t>
                  </w:r>
                  <w:r w:rsidRPr="0021367F">
                    <w:rPr>
                      <w:szCs w:val="18"/>
                    </w:rPr>
                    <w:t xml:space="preserve"> available to SCED integrated over the 15-minute Settlement Interval.</w:t>
                  </w:r>
                </w:p>
              </w:tc>
            </w:tr>
          </w:tbl>
          <w:p w14:paraId="4CAAB9D3" w14:textId="5DEDCAB3" w:rsidR="00BE197B" w:rsidRPr="00A20AF6" w:rsidRDefault="00BE197B" w:rsidP="00BE197B">
            <w:pPr>
              <w:pStyle w:val="tablebody0"/>
              <w:rPr>
                <w:i/>
                <w:szCs w:val="18"/>
              </w:rPr>
            </w:pPr>
          </w:p>
        </w:tc>
      </w:tr>
      <w:tr w:rsidR="00BE197B" w:rsidRPr="0080555B" w14:paraId="29ACA810" w14:textId="77777777" w:rsidTr="00356445">
        <w:trPr>
          <w:cantSplit/>
        </w:trPr>
        <w:tc>
          <w:tcPr>
            <w:tcW w:w="1312" w:type="pct"/>
            <w:tcBorders>
              <w:bottom w:val="single" w:sz="4" w:space="0" w:color="auto"/>
            </w:tcBorders>
          </w:tcPr>
          <w:p w14:paraId="5616BF32" w14:textId="77777777" w:rsidR="00BE197B" w:rsidRPr="0080555B" w:rsidRDefault="00BE197B" w:rsidP="00BE197B">
            <w:pPr>
              <w:pStyle w:val="tablebody0"/>
            </w:pPr>
            <w:r w:rsidRPr="00A05195">
              <w:lastRenderedPageBreak/>
              <w:t>RTCLRL</w:t>
            </w:r>
            <w:r>
              <w:t>PC</w:t>
            </w:r>
            <w:r w:rsidRPr="00A05195">
              <w:t xml:space="preserve"> </w:t>
            </w:r>
            <w:r w:rsidRPr="00A05195">
              <w:rPr>
                <w:i/>
                <w:vertAlign w:val="subscript"/>
              </w:rPr>
              <w:t>q</w:t>
            </w:r>
          </w:p>
        </w:tc>
        <w:tc>
          <w:tcPr>
            <w:tcW w:w="606" w:type="pct"/>
            <w:tcBorders>
              <w:bottom w:val="single" w:sz="4" w:space="0" w:color="auto"/>
            </w:tcBorders>
          </w:tcPr>
          <w:p w14:paraId="41B1D0A8" w14:textId="77777777" w:rsidR="00BE197B" w:rsidRPr="0080555B" w:rsidRDefault="00BE197B" w:rsidP="00BE197B">
            <w:pPr>
              <w:pStyle w:val="tablebody0"/>
            </w:pPr>
            <w:r w:rsidRPr="00A05195">
              <w:t>MWh</w:t>
            </w:r>
          </w:p>
        </w:tc>
        <w:tc>
          <w:tcPr>
            <w:tcW w:w="3082" w:type="pct"/>
            <w:tcBorders>
              <w:bottom w:val="single" w:sz="4" w:space="0" w:color="auto"/>
            </w:tcBorders>
          </w:tcPr>
          <w:p w14:paraId="43FC9E16" w14:textId="77777777" w:rsidR="00356445" w:rsidRPr="0080555B" w:rsidRDefault="00BE197B" w:rsidP="00BE197B">
            <w:pPr>
              <w:pStyle w:val="tablebody0"/>
              <w:rPr>
                <w:i/>
              </w:rPr>
            </w:pPr>
            <w:r w:rsidRPr="00A05195">
              <w:rPr>
                <w:i/>
              </w:rPr>
              <w:t xml:space="preserve">Real-Time Low </w:t>
            </w:r>
            <w:r>
              <w:rPr>
                <w:i/>
              </w:rPr>
              <w:t>Power Consumption</w:t>
            </w:r>
            <w:r w:rsidRPr="00A05195">
              <w:rPr>
                <w:i/>
              </w:rPr>
              <w:t xml:space="preserve"> from Controllable Load Resources for the QSE</w:t>
            </w:r>
            <w:r w:rsidRPr="00A05195">
              <w:t>—The Real-Time L</w:t>
            </w:r>
            <w:r>
              <w:t>PC</w:t>
            </w:r>
            <w:r w:rsidRPr="00A05195">
              <w:t xml:space="preserve"> from Controllable Load Resources available to SCED integrated over the 15-minute Settlement Interval for the QSE </w:t>
            </w:r>
            <w:r w:rsidRPr="00A05195">
              <w:rPr>
                <w:i/>
              </w:rPr>
              <w:t>q</w:t>
            </w:r>
            <w:r w:rsidRPr="00A05195">
              <w:rPr>
                <w:szCs w:val="18"/>
              </w:rPr>
              <w:t xml:space="preserve"> discounted by the system-wide discount factor</w:t>
            </w:r>
            <w:r w:rsidRPr="00A0519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162A7D4C" w14:textId="77777777" w:rsidTr="005C5A9B">
              <w:trPr>
                <w:trHeight w:val="206"/>
              </w:trPr>
              <w:tc>
                <w:tcPr>
                  <w:tcW w:w="9576" w:type="dxa"/>
                  <w:shd w:val="pct12" w:color="auto" w:fill="auto"/>
                </w:tcPr>
                <w:p w14:paraId="4D499CD7" w14:textId="77777777" w:rsidR="00356445" w:rsidRDefault="00356445" w:rsidP="00356445">
                  <w:pPr>
                    <w:pStyle w:val="Instructions"/>
                    <w:spacing w:before="120"/>
                  </w:pPr>
                  <w:r>
                    <w:t>[NPRR987:  Replace the description above with the following upon system implementation:]</w:t>
                  </w:r>
                </w:p>
                <w:p w14:paraId="1C12BEB2" w14:textId="3EA74A14" w:rsidR="00356445" w:rsidRPr="00AF45BD" w:rsidRDefault="00356445" w:rsidP="00356445">
                  <w:pPr>
                    <w:pStyle w:val="tablebody0"/>
                    <w:rPr>
                      <w:i/>
                    </w:rPr>
                  </w:pPr>
                  <w:r w:rsidRPr="0021367F">
                    <w:rPr>
                      <w:i/>
                    </w:rPr>
                    <w:t>Real-Time Low Power Consumption from Controllable Load Resources for the QSE</w:t>
                  </w:r>
                  <w:r w:rsidRPr="0021367F">
                    <w:t>—The Real-Time LPC from Controllable Load Resources</w:t>
                  </w:r>
                  <w:r w:rsidRPr="00AA1C33">
                    <w:t xml:space="preserve">, not including </w:t>
                  </w:r>
                  <w:r>
                    <w:t xml:space="preserve">modeled Controllable Load Resources associated with </w:t>
                  </w:r>
                  <w:r w:rsidRPr="00AA1C33">
                    <w:t>E</w:t>
                  </w:r>
                  <w:r>
                    <w:t>SR</w:t>
                  </w:r>
                  <w:r w:rsidRPr="00AA1C33">
                    <w:t>s,</w:t>
                  </w:r>
                  <w:r w:rsidRPr="0021367F">
                    <w:t xml:space="preserve"> available to SCED integrated over the 15-minute Settlement Interval for the QSE </w:t>
                  </w:r>
                  <w:r w:rsidRPr="0021367F">
                    <w:rPr>
                      <w:i/>
                    </w:rPr>
                    <w:t>q</w:t>
                  </w:r>
                  <w:r w:rsidRPr="0021367F">
                    <w:rPr>
                      <w:szCs w:val="18"/>
                    </w:rPr>
                    <w:t xml:space="preserve"> discounted by the system-wide discount factor</w:t>
                  </w:r>
                  <w:r w:rsidRPr="0021367F">
                    <w:t>.</w:t>
                  </w:r>
                </w:p>
              </w:tc>
            </w:tr>
          </w:tbl>
          <w:p w14:paraId="5D9EA1A9" w14:textId="394C6CF4" w:rsidR="00BE197B" w:rsidRPr="0080555B" w:rsidRDefault="00BE197B" w:rsidP="00BE197B">
            <w:pPr>
              <w:pStyle w:val="tablebody0"/>
              <w:rPr>
                <w:i/>
              </w:rPr>
            </w:pPr>
          </w:p>
        </w:tc>
      </w:tr>
      <w:tr w:rsidR="00BE197B" w:rsidRPr="0080555B" w14:paraId="641107FB" w14:textId="77777777" w:rsidTr="00356445">
        <w:trPr>
          <w:cantSplit/>
        </w:trPr>
        <w:tc>
          <w:tcPr>
            <w:tcW w:w="1312" w:type="pct"/>
            <w:tcBorders>
              <w:bottom w:val="single" w:sz="4" w:space="0" w:color="auto"/>
            </w:tcBorders>
          </w:tcPr>
          <w:p w14:paraId="5FB83538" w14:textId="77777777" w:rsidR="00BE197B" w:rsidRDefault="00BE197B" w:rsidP="00BE197B">
            <w:pPr>
              <w:pStyle w:val="tablebody0"/>
            </w:pPr>
            <w:r w:rsidRPr="00A05195">
              <w:t xml:space="preserve">RTCLRREG </w:t>
            </w:r>
            <w:r w:rsidRPr="00A05195">
              <w:rPr>
                <w:i/>
                <w:vertAlign w:val="subscript"/>
              </w:rPr>
              <w:t>q</w:t>
            </w:r>
          </w:p>
        </w:tc>
        <w:tc>
          <w:tcPr>
            <w:tcW w:w="606" w:type="pct"/>
            <w:tcBorders>
              <w:bottom w:val="single" w:sz="4" w:space="0" w:color="auto"/>
            </w:tcBorders>
          </w:tcPr>
          <w:p w14:paraId="38DE8328" w14:textId="77777777" w:rsidR="00BE197B" w:rsidRPr="004368B4" w:rsidRDefault="00BE197B" w:rsidP="00BE197B">
            <w:pPr>
              <w:pStyle w:val="tablebody0"/>
            </w:pPr>
            <w:r w:rsidRPr="00A05195">
              <w:t>MWh</w:t>
            </w:r>
          </w:p>
        </w:tc>
        <w:tc>
          <w:tcPr>
            <w:tcW w:w="3082" w:type="pct"/>
            <w:tcBorders>
              <w:bottom w:val="single" w:sz="4" w:space="0" w:color="auto"/>
            </w:tcBorders>
          </w:tcPr>
          <w:p w14:paraId="4B5A58E4" w14:textId="528707D6" w:rsidR="00BE197B" w:rsidRDefault="00BE197B" w:rsidP="00BE197B">
            <w:pPr>
              <w:pStyle w:val="tablebody0"/>
              <w:rPr>
                <w:i/>
              </w:rPr>
            </w:pPr>
            <w:r w:rsidRPr="00A05195">
              <w:rPr>
                <w:i/>
              </w:rPr>
              <w:t>Real-Time Controllable Load Resources Regulation-Up Schedule for the QSE</w:t>
            </w:r>
            <w:r w:rsidRPr="00A05195">
              <w:t xml:space="preserve">—The Real-Time Reg-Up Ancillary Service Schedule from all Controllable Load Resources </w:t>
            </w:r>
            <w:r w:rsidR="0098796C">
              <w:t xml:space="preserve">not available to SCED </w:t>
            </w:r>
            <w:r w:rsidRPr="00A05195">
              <w:t xml:space="preserve">with Primary Frequency Response for the QSE </w:t>
            </w:r>
            <w:r w:rsidRPr="00A05195">
              <w:rPr>
                <w:i/>
              </w:rPr>
              <w:t>q</w:t>
            </w:r>
            <w:r w:rsidRPr="00A05195">
              <w:t>, integrated over the 15-minute Settlement Interval</w:t>
            </w:r>
            <w:r w:rsidRPr="00A05195">
              <w:rPr>
                <w:szCs w:val="18"/>
              </w:rPr>
              <w:t xml:space="preserve"> discounted by the system-wide discount factor</w:t>
            </w:r>
            <w:r w:rsidRPr="00A05195">
              <w:t>.</w:t>
            </w:r>
          </w:p>
        </w:tc>
      </w:tr>
      <w:tr w:rsidR="00BE197B" w:rsidRPr="0080555B" w14:paraId="039A6C07" w14:textId="77777777" w:rsidTr="00356445">
        <w:trPr>
          <w:cantSplit/>
        </w:trPr>
        <w:tc>
          <w:tcPr>
            <w:tcW w:w="1312" w:type="pct"/>
            <w:tcBorders>
              <w:bottom w:val="single" w:sz="4" w:space="0" w:color="auto"/>
            </w:tcBorders>
          </w:tcPr>
          <w:p w14:paraId="7C6C0A43" w14:textId="77777777" w:rsidR="00BE197B" w:rsidRDefault="00BE197B" w:rsidP="00BE197B">
            <w:pPr>
              <w:pStyle w:val="tablebody0"/>
            </w:pPr>
            <w:r w:rsidRPr="00A05195">
              <w:t>RTCLRREGR</w:t>
            </w:r>
            <w:r w:rsidRPr="00A05195">
              <w:rPr>
                <w:vertAlign w:val="subscript"/>
              </w:rPr>
              <w:t xml:space="preserve"> </w:t>
            </w:r>
            <w:r w:rsidRPr="00A05195">
              <w:rPr>
                <w:i/>
                <w:vertAlign w:val="subscript"/>
              </w:rPr>
              <w:t>q, r, p</w:t>
            </w:r>
          </w:p>
        </w:tc>
        <w:tc>
          <w:tcPr>
            <w:tcW w:w="606" w:type="pct"/>
            <w:tcBorders>
              <w:bottom w:val="single" w:sz="4" w:space="0" w:color="auto"/>
            </w:tcBorders>
          </w:tcPr>
          <w:p w14:paraId="57D2A3A0" w14:textId="77777777" w:rsidR="00BE197B" w:rsidRPr="004368B4" w:rsidRDefault="00BE197B" w:rsidP="00BE197B">
            <w:pPr>
              <w:pStyle w:val="tablebody0"/>
            </w:pPr>
            <w:r w:rsidRPr="00A05195">
              <w:t>MWh</w:t>
            </w:r>
          </w:p>
        </w:tc>
        <w:tc>
          <w:tcPr>
            <w:tcW w:w="3082" w:type="pct"/>
            <w:tcBorders>
              <w:bottom w:val="single" w:sz="4" w:space="0" w:color="auto"/>
            </w:tcBorders>
          </w:tcPr>
          <w:p w14:paraId="46DC118F" w14:textId="01759888" w:rsidR="00BE197B" w:rsidRPr="008B4140" w:rsidRDefault="00BE197B" w:rsidP="00BE197B">
            <w:pPr>
              <w:pStyle w:val="tablebody0"/>
              <w:rPr>
                <w:i/>
                <w:szCs w:val="18"/>
                <w:lang w:val="pt-BR"/>
              </w:rPr>
            </w:pPr>
            <w:r w:rsidRPr="00A05195">
              <w:rPr>
                <w:i/>
                <w:szCs w:val="18"/>
                <w:lang w:val="pt-BR"/>
              </w:rPr>
              <w:t>Real-Time Controllable Load Resource Regulation-Up Schedule for the Resource</w:t>
            </w:r>
            <w:r w:rsidRPr="00A05195">
              <w:rPr>
                <w:szCs w:val="18"/>
                <w:lang w:val="pt-BR"/>
              </w:rPr>
              <w:t xml:space="preserve">—The </w:t>
            </w:r>
            <w:r w:rsidRPr="00A05195">
              <w:t>validated</w:t>
            </w:r>
            <w:r w:rsidRPr="00A05195">
              <w:rPr>
                <w:color w:val="FF0000"/>
              </w:rPr>
              <w:t xml:space="preserve"> </w:t>
            </w:r>
            <w:r w:rsidRPr="00A05195">
              <w:rPr>
                <w:szCs w:val="18"/>
                <w:lang w:val="pt-BR"/>
              </w:rPr>
              <w:t>Real-Time Reg-Up Ancillary Service Schedule for the Controllable Load Resource</w:t>
            </w:r>
            <w:r w:rsidR="001140F6">
              <w:t xml:space="preserve"> not available to SCED</w:t>
            </w:r>
            <w:r w:rsidRPr="00A05195">
              <w:rPr>
                <w:szCs w:val="18"/>
                <w:lang w:val="pt-BR"/>
              </w:rPr>
              <w:t xml:space="preserve"> </w:t>
            </w:r>
            <w:r w:rsidRPr="00A05195">
              <w:rPr>
                <w:i/>
                <w:szCs w:val="18"/>
                <w:lang w:val="pt-BR"/>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rPr>
                <w:szCs w:val="18"/>
                <w:lang w:val="pt-BR"/>
              </w:rPr>
              <w:t xml:space="preserve"> </w:t>
            </w:r>
            <w:r w:rsidRPr="00A05195">
              <w:rPr>
                <w:szCs w:val="18"/>
                <w:lang w:val="pt-BR"/>
              </w:rPr>
              <w:t>with Primary Frequency Response, integrated over the 15-minute Settlement Interval</w:t>
            </w:r>
            <w:r w:rsidR="00C02A98">
              <w:rPr>
                <w:szCs w:val="18"/>
                <w:lang w:val="pt-BR"/>
              </w:rPr>
              <w:t>.</w:t>
            </w:r>
          </w:p>
        </w:tc>
      </w:tr>
      <w:tr w:rsidR="00BE197B" w:rsidRPr="0080555B" w14:paraId="1D287F71" w14:textId="77777777" w:rsidTr="00356445">
        <w:trPr>
          <w:cantSplit/>
        </w:trPr>
        <w:tc>
          <w:tcPr>
            <w:tcW w:w="1312" w:type="pct"/>
          </w:tcPr>
          <w:p w14:paraId="562EEA2F" w14:textId="77777777" w:rsidR="00BE197B" w:rsidRPr="0080555B" w:rsidRDefault="00BE197B" w:rsidP="00BE197B">
            <w:pPr>
              <w:pStyle w:val="tablebody0"/>
            </w:pPr>
            <w:r w:rsidRPr="0080555B">
              <w:t>RTMG</w:t>
            </w:r>
            <w:r>
              <w:t>A</w:t>
            </w:r>
            <w:r w:rsidRPr="0080555B">
              <w:t xml:space="preserve"> </w:t>
            </w:r>
            <w:r w:rsidRPr="00967A0A">
              <w:rPr>
                <w:i/>
                <w:vertAlign w:val="subscript"/>
              </w:rPr>
              <w:t>q, r, p</w:t>
            </w:r>
          </w:p>
        </w:tc>
        <w:tc>
          <w:tcPr>
            <w:tcW w:w="606" w:type="pct"/>
          </w:tcPr>
          <w:p w14:paraId="60DAFC44" w14:textId="77777777" w:rsidR="00BE197B" w:rsidRPr="0080555B" w:rsidRDefault="00BE197B" w:rsidP="00BE197B">
            <w:pPr>
              <w:pStyle w:val="tablebody0"/>
            </w:pPr>
            <w:r w:rsidRPr="0080555B">
              <w:t>MWh</w:t>
            </w:r>
          </w:p>
        </w:tc>
        <w:tc>
          <w:tcPr>
            <w:tcW w:w="3082" w:type="pct"/>
          </w:tcPr>
          <w:p w14:paraId="4C0CABD2" w14:textId="77777777" w:rsidR="00BE197B" w:rsidRPr="0080555B" w:rsidRDefault="00BE197B" w:rsidP="000F3CEA">
            <w:pPr>
              <w:pStyle w:val="tablebody0"/>
              <w:rPr>
                <w:i/>
              </w:rPr>
            </w:pPr>
            <w:r w:rsidRPr="0080555B">
              <w:rPr>
                <w:i/>
              </w:rPr>
              <w:t xml:space="preserve">Real-Time </w:t>
            </w:r>
            <w:r>
              <w:rPr>
                <w:i/>
              </w:rPr>
              <w:t xml:space="preserve">Adjusted </w:t>
            </w:r>
            <w:r w:rsidRPr="0080555B">
              <w:rPr>
                <w:i/>
              </w:rPr>
              <w:t>Metered Generation per QSE per Settlement Point per Resource</w:t>
            </w:r>
            <w:r w:rsidRPr="0080555B">
              <w:t xml:space="preserve">—The </w:t>
            </w:r>
            <w:r>
              <w:t xml:space="preserve">adjusted </w:t>
            </w:r>
            <w:r w:rsidRPr="0080555B">
              <w:t>metered generation</w:t>
            </w:r>
            <w:r w:rsidRPr="00B6611B">
              <w:t>, pursuant to paragraphs (3)</w:t>
            </w:r>
            <w:r>
              <w:t xml:space="preserve"> and </w:t>
            </w:r>
            <w:r w:rsidRPr="00B6611B">
              <w:t>(4)</w:t>
            </w:r>
            <w:r>
              <w:t xml:space="preserve"> </w:t>
            </w:r>
            <w:r w:rsidRPr="00B6611B">
              <w:t>above</w:t>
            </w:r>
            <w:r>
              <w:rPr>
                <w:szCs w:val="18"/>
              </w:rPr>
              <w:t>,</w:t>
            </w:r>
            <w:r w:rsidRPr="0080555B">
              <w:t xml:space="preserve"> of Generation Resource </w:t>
            </w:r>
            <w:r w:rsidRPr="0080555B">
              <w:rPr>
                <w:i/>
              </w:rPr>
              <w:t>r</w:t>
            </w:r>
            <w:r w:rsidRPr="0080555B">
              <w:t xml:space="preserve"> </w:t>
            </w:r>
            <w:r w:rsidR="000F3CEA" w:rsidRPr="006624C0">
              <w:t xml:space="preserve">represented by QSE </w:t>
            </w:r>
            <w:r w:rsidR="000F3CEA" w:rsidRPr="006624C0">
              <w:rPr>
                <w:i/>
              </w:rPr>
              <w:t>q</w:t>
            </w:r>
            <w:r w:rsidR="000F3CEA" w:rsidRPr="0080555B">
              <w:t xml:space="preserve"> </w:t>
            </w:r>
            <w:r w:rsidRPr="0080555B">
              <w:t xml:space="preserve">at Resource Node </w:t>
            </w:r>
            <w:r w:rsidRPr="0080555B">
              <w:rPr>
                <w:i/>
              </w:rPr>
              <w:t>p</w:t>
            </w:r>
            <w:r w:rsidRPr="0080555B">
              <w:t xml:space="preserve"> in Real-Time for the 15-minute Settlement Interval.  Where for a Combined Cycle Train, the Resource </w:t>
            </w:r>
            <w:r w:rsidRPr="0080555B">
              <w:rPr>
                <w:i/>
              </w:rPr>
              <w:t xml:space="preserve">r </w:t>
            </w:r>
            <w:r w:rsidRPr="0080555B">
              <w:t>is the Combined Cycle Train.</w:t>
            </w:r>
          </w:p>
        </w:tc>
      </w:tr>
      <w:tr w:rsidR="00BE197B" w:rsidRPr="0080555B" w14:paraId="727DA11D" w14:textId="77777777" w:rsidTr="00356445">
        <w:trPr>
          <w:cantSplit/>
        </w:trPr>
        <w:tc>
          <w:tcPr>
            <w:tcW w:w="1312" w:type="pct"/>
          </w:tcPr>
          <w:p w14:paraId="35ADD7F6" w14:textId="77777777" w:rsidR="00BE197B" w:rsidRPr="0080555B" w:rsidRDefault="00BE197B" w:rsidP="00BE197B">
            <w:pPr>
              <w:pStyle w:val="tablebody0"/>
            </w:pPr>
            <w:r w:rsidRPr="0080555B">
              <w:t>RTMG</w:t>
            </w:r>
            <w:r>
              <w:t>Q</w:t>
            </w:r>
            <w:r w:rsidRPr="0080555B">
              <w:t xml:space="preserve"> </w:t>
            </w:r>
            <w:r w:rsidRPr="00625701">
              <w:rPr>
                <w:i/>
                <w:vertAlign w:val="subscript"/>
              </w:rPr>
              <w:t>q</w:t>
            </w:r>
          </w:p>
        </w:tc>
        <w:tc>
          <w:tcPr>
            <w:tcW w:w="606" w:type="pct"/>
          </w:tcPr>
          <w:p w14:paraId="6942BDE6" w14:textId="77777777" w:rsidR="00BE197B" w:rsidRPr="0080555B" w:rsidRDefault="00BE197B" w:rsidP="00BE197B">
            <w:pPr>
              <w:pStyle w:val="tablebody0"/>
            </w:pPr>
            <w:r w:rsidRPr="0080555B">
              <w:t>MWh</w:t>
            </w:r>
          </w:p>
        </w:tc>
        <w:tc>
          <w:tcPr>
            <w:tcW w:w="3082" w:type="pct"/>
          </w:tcPr>
          <w:p w14:paraId="1DAC949F" w14:textId="77777777" w:rsidR="00356445" w:rsidRPr="00353A56" w:rsidRDefault="00BE197B" w:rsidP="00BE197B">
            <w:pPr>
              <w:pStyle w:val="tablebody0"/>
              <w:rPr>
                <w:i/>
              </w:rPr>
            </w:pPr>
            <w:r w:rsidRPr="00A20AF6">
              <w:rPr>
                <w:i/>
                <w:szCs w:val="18"/>
              </w:rPr>
              <w:t>Real-Time Metered Generation per QSE</w:t>
            </w:r>
            <w:r w:rsidRPr="00A20AF6">
              <w:rPr>
                <w:szCs w:val="18"/>
              </w:rPr>
              <w:t>—The metered generation</w:t>
            </w:r>
            <w:r>
              <w:rPr>
                <w:szCs w:val="18"/>
              </w:rPr>
              <w:t xml:space="preserve">, </w:t>
            </w:r>
            <w:r>
              <w:t xml:space="preserve">discounted by the </w:t>
            </w:r>
            <w:r>
              <w:rPr>
                <w:szCs w:val="18"/>
              </w:rPr>
              <w:t>system-wide</w:t>
            </w:r>
            <w:r>
              <w:t xml:space="preserve"> discount factor,</w:t>
            </w:r>
            <w:r w:rsidRPr="00A20AF6">
              <w:rPr>
                <w:szCs w:val="18"/>
              </w:rPr>
              <w:t xml:space="preserve"> of all generation Resources represented by QSE </w:t>
            </w:r>
            <w:r>
              <w:rPr>
                <w:i/>
                <w:szCs w:val="18"/>
              </w:rPr>
              <w:t xml:space="preserve">q </w:t>
            </w:r>
            <w:r w:rsidRPr="00A20AF6">
              <w:rPr>
                <w:szCs w:val="18"/>
              </w:rPr>
              <w:t>in Real-Time for the 15-minute Settlement Interval</w:t>
            </w:r>
            <w:r>
              <w:rPr>
                <w:szCs w:val="18"/>
              </w:rPr>
              <w:t xml:space="preserve">, </w:t>
            </w:r>
            <w:r>
              <w:t>pursuant to paragraphs (3) and (4) above</w:t>
            </w:r>
            <w:r w:rsidRPr="00A20AF6">
              <w:rPr>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57AAFC86" w14:textId="77777777" w:rsidTr="005C5A9B">
              <w:trPr>
                <w:trHeight w:val="206"/>
              </w:trPr>
              <w:tc>
                <w:tcPr>
                  <w:tcW w:w="9576" w:type="dxa"/>
                  <w:shd w:val="pct12" w:color="auto" w:fill="auto"/>
                </w:tcPr>
                <w:p w14:paraId="00CE53A2" w14:textId="77777777" w:rsidR="00356445" w:rsidRDefault="00356445" w:rsidP="00356445">
                  <w:pPr>
                    <w:pStyle w:val="Instructions"/>
                    <w:spacing w:before="120"/>
                  </w:pPr>
                  <w:r>
                    <w:t>[NPRR987:  Replace the description above with the following upon system implementation:]</w:t>
                  </w:r>
                </w:p>
                <w:p w14:paraId="066B265A" w14:textId="51853A8F" w:rsidR="00356445" w:rsidRPr="00AF45BD" w:rsidRDefault="00356445" w:rsidP="00356445">
                  <w:pPr>
                    <w:pStyle w:val="tablebody0"/>
                    <w:rPr>
                      <w:i/>
                    </w:rPr>
                  </w:pPr>
                  <w:r w:rsidRPr="0021367F">
                    <w:rPr>
                      <w:i/>
                      <w:szCs w:val="18"/>
                    </w:rPr>
                    <w:t>Real-Time Metered Generation per QSE</w:t>
                  </w:r>
                  <w:r w:rsidRPr="0021367F">
                    <w:rPr>
                      <w:szCs w:val="18"/>
                    </w:rPr>
                    <w:t xml:space="preserve">—The metered generation, </w:t>
                  </w:r>
                  <w:r w:rsidRPr="0021367F">
                    <w:t xml:space="preserve">discounted by the </w:t>
                  </w:r>
                  <w:r w:rsidRPr="0021367F">
                    <w:rPr>
                      <w:szCs w:val="18"/>
                    </w:rPr>
                    <w:t>system-wide</w:t>
                  </w:r>
                  <w:r w:rsidRPr="0021367F">
                    <w:t xml:space="preserve"> discount factor,</w:t>
                  </w:r>
                  <w:r w:rsidRPr="0021367F">
                    <w:rPr>
                      <w:szCs w:val="18"/>
                    </w:rPr>
                    <w:t xml:space="preserve"> of all </w:t>
                  </w:r>
                  <w:r>
                    <w:rPr>
                      <w:szCs w:val="18"/>
                    </w:rPr>
                    <w:t>G</w:t>
                  </w:r>
                  <w:r w:rsidRPr="0021367F">
                    <w:rPr>
                      <w:szCs w:val="18"/>
                    </w:rPr>
                    <w:t>eneration Resources</w:t>
                  </w:r>
                  <w:r w:rsidRPr="00AA1C33">
                    <w:t xml:space="preserve">, not including </w:t>
                  </w:r>
                  <w:r>
                    <w:t xml:space="preserve">modeled Generation Resources associated with </w:t>
                  </w:r>
                  <w:r w:rsidRPr="00AA1C33">
                    <w:t>E</w:t>
                  </w:r>
                  <w:r>
                    <w:t>SR</w:t>
                  </w:r>
                  <w:r w:rsidRPr="00AA1C33">
                    <w:t>s,</w:t>
                  </w:r>
                  <w:r w:rsidRPr="0021367F">
                    <w:rPr>
                      <w:szCs w:val="18"/>
                    </w:rPr>
                    <w:t xml:space="preserve"> represented by QSE </w:t>
                  </w:r>
                  <w:r w:rsidRPr="0021367F">
                    <w:rPr>
                      <w:i/>
                      <w:szCs w:val="18"/>
                    </w:rPr>
                    <w:t xml:space="preserve">q </w:t>
                  </w:r>
                  <w:r w:rsidRPr="0021367F">
                    <w:rPr>
                      <w:szCs w:val="18"/>
                    </w:rPr>
                    <w:t xml:space="preserve">in Real-Time for the 15-minute Settlement Interval, </w:t>
                  </w:r>
                  <w:r w:rsidRPr="0021367F">
                    <w:t>pursuant to paragraphs (3) and (4) above</w:t>
                  </w:r>
                  <w:r w:rsidRPr="0021367F">
                    <w:rPr>
                      <w:szCs w:val="18"/>
                    </w:rPr>
                    <w:t>.</w:t>
                  </w:r>
                </w:p>
              </w:tc>
            </w:tr>
          </w:tbl>
          <w:p w14:paraId="407C0FF9" w14:textId="703789C1" w:rsidR="00BE197B" w:rsidRPr="00353A56" w:rsidRDefault="00BE197B" w:rsidP="00BE197B">
            <w:pPr>
              <w:pStyle w:val="tablebody0"/>
              <w:rPr>
                <w:i/>
              </w:rPr>
            </w:pPr>
          </w:p>
        </w:tc>
      </w:tr>
      <w:tr w:rsidR="00356445" w:rsidRPr="0080555B" w14:paraId="17F70CAE" w14:textId="77777777" w:rsidTr="00356445">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56445" w14:paraId="07A9F87F" w14:textId="77777777" w:rsidTr="005C5A9B">
              <w:trPr>
                <w:trHeight w:val="206"/>
              </w:trPr>
              <w:tc>
                <w:tcPr>
                  <w:tcW w:w="9576" w:type="dxa"/>
                  <w:shd w:val="pct12" w:color="auto" w:fill="auto"/>
                </w:tcPr>
                <w:p w14:paraId="0BCA6C8E" w14:textId="69BB47C6" w:rsidR="00356445" w:rsidRDefault="00356445" w:rsidP="00356445">
                  <w:pPr>
                    <w:pStyle w:val="Instructions"/>
                    <w:spacing w:before="120"/>
                  </w:pPr>
                  <w:r>
                    <w:lastRenderedPageBreak/>
                    <w:t>[</w:t>
                  </w:r>
                  <w:r w:rsidR="004F2298">
                    <w:t>NPRR987</w:t>
                  </w:r>
                  <w:r w:rsidRPr="00356445">
                    <w:t xml:space="preserve">:  Insert the variables “RTESRCAPR </w:t>
                  </w:r>
                  <w:r w:rsidRPr="00356445">
                    <w:rPr>
                      <w:vertAlign w:val="subscript"/>
                    </w:rPr>
                    <w:t>q, g, p</w:t>
                  </w:r>
                  <w:r w:rsidRPr="00356445">
                    <w:t xml:space="preserve">”, “RTESRCAP </w:t>
                  </w:r>
                  <w:r w:rsidRPr="00356445">
                    <w:rPr>
                      <w:vertAlign w:val="subscript"/>
                    </w:rPr>
                    <w:t>q</w:t>
                  </w:r>
                  <w:r w:rsidRPr="00356445">
                    <w:t xml:space="preserve">”, “SOCT </w:t>
                  </w:r>
                  <w:r w:rsidRPr="00356445">
                    <w:rPr>
                      <w:vertAlign w:val="subscript"/>
                    </w:rPr>
                    <w:t>q, r</w:t>
                  </w:r>
                  <w:r w:rsidRPr="00356445">
                    <w:t xml:space="preserve">”, and “SOCOM </w:t>
                  </w:r>
                  <w:r w:rsidRPr="00356445">
                    <w:rPr>
                      <w:vertAlign w:val="subscript"/>
                    </w:rPr>
                    <w:t>q, r</w:t>
                  </w:r>
                  <w:r w:rsidRPr="00356445">
                    <w:t>”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356445" w:rsidRPr="0003648D" w14:paraId="61F6023B" w14:textId="77777777" w:rsidTr="005C5A9B">
                    <w:trPr>
                      <w:cantSplit/>
                    </w:trPr>
                    <w:tc>
                      <w:tcPr>
                        <w:tcW w:w="1279" w:type="pct"/>
                        <w:tcBorders>
                          <w:bottom w:val="single" w:sz="4" w:space="0" w:color="auto"/>
                        </w:tcBorders>
                      </w:tcPr>
                      <w:p w14:paraId="6FB33855" w14:textId="0427F9DE" w:rsidR="00356445" w:rsidRPr="0003648D" w:rsidRDefault="00356445" w:rsidP="00356445">
                        <w:pPr>
                          <w:pStyle w:val="tablebody0"/>
                        </w:pPr>
                        <w:r w:rsidRPr="00C265BC">
                          <w:t>RTESRC</w:t>
                        </w:r>
                        <w:r>
                          <w:t>APR</w:t>
                        </w:r>
                        <w:r w:rsidRPr="00C265BC">
                          <w:t xml:space="preserve"> </w:t>
                        </w:r>
                        <w:r w:rsidRPr="00C265BC">
                          <w:rPr>
                            <w:i/>
                            <w:vertAlign w:val="subscript"/>
                          </w:rPr>
                          <w:t xml:space="preserve">q, </w:t>
                        </w:r>
                        <w:r>
                          <w:rPr>
                            <w:i/>
                            <w:vertAlign w:val="subscript"/>
                          </w:rPr>
                          <w:t>g</w:t>
                        </w:r>
                        <w:r w:rsidRPr="00C265BC">
                          <w:rPr>
                            <w:i/>
                            <w:vertAlign w:val="subscript"/>
                          </w:rPr>
                          <w:t>, p</w:t>
                        </w:r>
                      </w:p>
                    </w:tc>
                    <w:tc>
                      <w:tcPr>
                        <w:tcW w:w="623" w:type="pct"/>
                        <w:tcBorders>
                          <w:bottom w:val="single" w:sz="4" w:space="0" w:color="auto"/>
                        </w:tcBorders>
                      </w:tcPr>
                      <w:p w14:paraId="49851049" w14:textId="0CA97106" w:rsidR="00356445" w:rsidRPr="0003648D" w:rsidRDefault="00356445" w:rsidP="00356445">
                        <w:pPr>
                          <w:pStyle w:val="tablebody0"/>
                        </w:pPr>
                        <w:r w:rsidRPr="00C265BC">
                          <w:t>MWh</w:t>
                        </w:r>
                      </w:p>
                    </w:tc>
                    <w:tc>
                      <w:tcPr>
                        <w:tcW w:w="3098" w:type="pct"/>
                        <w:tcBorders>
                          <w:bottom w:val="single" w:sz="4" w:space="0" w:color="auto"/>
                        </w:tcBorders>
                      </w:tcPr>
                      <w:p w14:paraId="10CEA0A8" w14:textId="4204ABB9" w:rsidR="00356445" w:rsidRPr="0003648D" w:rsidRDefault="00356445" w:rsidP="00356445">
                        <w:pPr>
                          <w:pStyle w:val="tablebody0"/>
                          <w:rPr>
                            <w:i/>
                          </w:rPr>
                        </w:pPr>
                        <w:r w:rsidRPr="00C265BC">
                          <w:rPr>
                            <w:i/>
                            <w:szCs w:val="18"/>
                          </w:rPr>
                          <w:t>Real-Time Capacity from an Energy Storage Resource</w:t>
                        </w:r>
                        <w:r w:rsidRPr="00C265BC">
                          <w:rPr>
                            <w:szCs w:val="18"/>
                          </w:rPr>
                          <w:t xml:space="preserve"> –</w:t>
                        </w:r>
                        <w:r w:rsidRPr="00C265BC">
                          <w:rPr>
                            <w:i/>
                            <w:szCs w:val="18"/>
                          </w:rPr>
                          <w:t xml:space="preserve"> </w:t>
                        </w:r>
                        <w:r w:rsidRPr="00C265BC">
                          <w:rPr>
                            <w:szCs w:val="18"/>
                          </w:rPr>
                          <w:t xml:space="preserve">Capacity provided by </w:t>
                        </w:r>
                        <w:r>
                          <w:rPr>
                            <w:szCs w:val="18"/>
                          </w:rPr>
                          <w:t xml:space="preserve">an </w:t>
                        </w:r>
                        <w:r w:rsidRPr="00C265BC">
                          <w:rPr>
                            <w:szCs w:val="18"/>
                          </w:rPr>
                          <w:t>E</w:t>
                        </w:r>
                        <w:r>
                          <w:rPr>
                            <w:szCs w:val="18"/>
                          </w:rPr>
                          <w:t xml:space="preserve">SR </w:t>
                        </w:r>
                        <w:r>
                          <w:rPr>
                            <w:i/>
                            <w:szCs w:val="18"/>
                          </w:rPr>
                          <w:t>g</w:t>
                        </w:r>
                        <w:r>
                          <w:rPr>
                            <w:szCs w:val="18"/>
                          </w:rPr>
                          <w:t>,</w:t>
                        </w:r>
                        <w:r w:rsidRPr="00C265BC">
                          <w:rPr>
                            <w:szCs w:val="18"/>
                          </w:rPr>
                          <w:t xml:space="preserve"> </w:t>
                        </w:r>
                        <w:r>
                          <w:rPr>
                            <w:szCs w:val="18"/>
                          </w:rPr>
                          <w:t xml:space="preserve">represented by QSE </w:t>
                        </w:r>
                        <w:r>
                          <w:rPr>
                            <w:i/>
                            <w:szCs w:val="18"/>
                          </w:rPr>
                          <w:t>q</w:t>
                        </w:r>
                        <w:r w:rsidRPr="0021367F">
                          <w:t xml:space="preserve"> at Resource Node </w:t>
                        </w:r>
                        <w:r w:rsidRPr="0021367F">
                          <w:rPr>
                            <w:i/>
                          </w:rPr>
                          <w:t>p</w:t>
                        </w:r>
                        <w:r>
                          <w:rPr>
                            <w:i/>
                            <w:szCs w:val="18"/>
                          </w:rPr>
                          <w:t xml:space="preserve">, </w:t>
                        </w:r>
                        <w:r w:rsidRPr="00C265BC">
                          <w:rPr>
                            <w:szCs w:val="18"/>
                          </w:rPr>
                          <w:t xml:space="preserve">which considers energy limitations of the </w:t>
                        </w:r>
                        <w:r>
                          <w:rPr>
                            <w:szCs w:val="18"/>
                          </w:rPr>
                          <w:t xml:space="preserve">ESR </w:t>
                        </w:r>
                        <w:r w:rsidRPr="00C265BC">
                          <w:rPr>
                            <w:szCs w:val="18"/>
                          </w:rPr>
                          <w:t>and potentially higher contribution when charging for the</w:t>
                        </w:r>
                        <w:r w:rsidRPr="00C265BC">
                          <w:t>15-minute Settlement Interval</w:t>
                        </w:r>
                        <w:r w:rsidRPr="00C265BC">
                          <w:rPr>
                            <w:i/>
                            <w:szCs w:val="18"/>
                          </w:rPr>
                          <w:t>.</w:t>
                        </w:r>
                      </w:p>
                    </w:tc>
                  </w:tr>
                  <w:tr w:rsidR="00356445" w:rsidRPr="0003648D" w14:paraId="2E126052" w14:textId="77777777" w:rsidTr="00356445">
                    <w:trPr>
                      <w:cantSplit/>
                    </w:trPr>
                    <w:tc>
                      <w:tcPr>
                        <w:tcW w:w="1279" w:type="pct"/>
                      </w:tcPr>
                      <w:p w14:paraId="35C069ED" w14:textId="4D995D50" w:rsidR="00356445" w:rsidRPr="0003648D" w:rsidRDefault="00356445" w:rsidP="00356445">
                        <w:pPr>
                          <w:pStyle w:val="tablebody0"/>
                        </w:pPr>
                        <w:r w:rsidRPr="00C265BC">
                          <w:t>RTESRC</w:t>
                        </w:r>
                        <w:r>
                          <w:t>AP</w:t>
                        </w:r>
                        <w:r w:rsidRPr="00C265BC">
                          <w:t xml:space="preserve"> </w:t>
                        </w:r>
                        <w:r>
                          <w:rPr>
                            <w:i/>
                            <w:vertAlign w:val="subscript"/>
                          </w:rPr>
                          <w:t>q</w:t>
                        </w:r>
                      </w:p>
                    </w:tc>
                    <w:tc>
                      <w:tcPr>
                        <w:tcW w:w="623" w:type="pct"/>
                      </w:tcPr>
                      <w:p w14:paraId="31AC706E" w14:textId="0F9DA7C6" w:rsidR="00356445" w:rsidRPr="0003648D" w:rsidRDefault="00356445" w:rsidP="00356445">
                        <w:pPr>
                          <w:pStyle w:val="tablebody0"/>
                        </w:pPr>
                        <w:r w:rsidRPr="00C265BC">
                          <w:t>MWh</w:t>
                        </w:r>
                      </w:p>
                    </w:tc>
                    <w:tc>
                      <w:tcPr>
                        <w:tcW w:w="3098" w:type="pct"/>
                      </w:tcPr>
                      <w:p w14:paraId="3F6202CE" w14:textId="2E3A0503" w:rsidR="00356445" w:rsidRPr="0003648D" w:rsidRDefault="00356445" w:rsidP="00356445">
                        <w:pPr>
                          <w:pStyle w:val="tablebody0"/>
                          <w:rPr>
                            <w:i/>
                          </w:rPr>
                        </w:pPr>
                        <w:r w:rsidRPr="00C265BC">
                          <w:rPr>
                            <w:i/>
                            <w:szCs w:val="18"/>
                          </w:rPr>
                          <w:t>Real-Time Capacity from Energy Storage Resource</w:t>
                        </w:r>
                        <w:r>
                          <w:rPr>
                            <w:i/>
                            <w:szCs w:val="18"/>
                          </w:rPr>
                          <w:t>s</w:t>
                        </w:r>
                        <w:r w:rsidRPr="00C265BC">
                          <w:rPr>
                            <w:i/>
                            <w:szCs w:val="18"/>
                          </w:rPr>
                          <w:t xml:space="preserve"> per QSE – </w:t>
                        </w:r>
                        <w:r w:rsidRPr="00C265BC">
                          <w:rPr>
                            <w:szCs w:val="18"/>
                          </w:rPr>
                          <w:t xml:space="preserve">Capacity provided by </w:t>
                        </w:r>
                        <w:r>
                          <w:rPr>
                            <w:szCs w:val="18"/>
                          </w:rPr>
                          <w:t xml:space="preserve">all </w:t>
                        </w:r>
                        <w:r w:rsidRPr="00C265BC">
                          <w:rPr>
                            <w:szCs w:val="18"/>
                          </w:rPr>
                          <w:t>ESRs</w:t>
                        </w:r>
                        <w:r>
                          <w:rPr>
                            <w:szCs w:val="18"/>
                          </w:rPr>
                          <w:t xml:space="preserve">, represented by QSE </w:t>
                        </w:r>
                        <w:r w:rsidRPr="00E31D77">
                          <w:rPr>
                            <w:i/>
                            <w:szCs w:val="18"/>
                          </w:rPr>
                          <w:t>q</w:t>
                        </w:r>
                        <w:r>
                          <w:rPr>
                            <w:szCs w:val="18"/>
                          </w:rPr>
                          <w:t>,</w:t>
                        </w:r>
                        <w:r w:rsidRPr="0021367F">
                          <w:t xml:space="preserve"> for the 15-minute Settlement Interval</w:t>
                        </w:r>
                        <w:r>
                          <w:rPr>
                            <w:szCs w:val="18"/>
                          </w:rPr>
                          <w:t xml:space="preserve">. </w:t>
                        </w:r>
                      </w:p>
                    </w:tc>
                  </w:tr>
                  <w:tr w:rsidR="00356445" w:rsidRPr="0003648D" w14:paraId="1E82BD99" w14:textId="77777777" w:rsidTr="00356445">
                    <w:trPr>
                      <w:cantSplit/>
                    </w:trPr>
                    <w:tc>
                      <w:tcPr>
                        <w:tcW w:w="1279" w:type="pct"/>
                      </w:tcPr>
                      <w:p w14:paraId="2C04C165" w14:textId="02DF12C5" w:rsidR="00356445" w:rsidRPr="0003648D" w:rsidRDefault="00356445" w:rsidP="00356445">
                        <w:pPr>
                          <w:pStyle w:val="tablebody0"/>
                        </w:pPr>
                        <w:r w:rsidRPr="00C265BC">
                          <w:t xml:space="preserve">SOCT </w:t>
                        </w:r>
                        <w:r w:rsidRPr="00C265BC">
                          <w:rPr>
                            <w:i/>
                            <w:vertAlign w:val="subscript"/>
                          </w:rPr>
                          <w:t>q,</w:t>
                        </w:r>
                        <w:r>
                          <w:rPr>
                            <w:i/>
                            <w:vertAlign w:val="subscript"/>
                          </w:rPr>
                          <w:t xml:space="preserve"> </w:t>
                        </w:r>
                        <w:r w:rsidRPr="00C265BC">
                          <w:rPr>
                            <w:i/>
                            <w:vertAlign w:val="subscript"/>
                          </w:rPr>
                          <w:t>r</w:t>
                        </w:r>
                      </w:p>
                    </w:tc>
                    <w:tc>
                      <w:tcPr>
                        <w:tcW w:w="623" w:type="pct"/>
                      </w:tcPr>
                      <w:p w14:paraId="4D7C1D34" w14:textId="42DFB867" w:rsidR="00356445" w:rsidRPr="0003648D" w:rsidRDefault="00356445" w:rsidP="00356445">
                        <w:pPr>
                          <w:pStyle w:val="tablebody0"/>
                        </w:pPr>
                        <w:r w:rsidRPr="00C265BC">
                          <w:t>MWh</w:t>
                        </w:r>
                      </w:p>
                    </w:tc>
                    <w:tc>
                      <w:tcPr>
                        <w:tcW w:w="3098" w:type="pct"/>
                      </w:tcPr>
                      <w:p w14:paraId="2D7938BF" w14:textId="1BB22109" w:rsidR="00356445" w:rsidRPr="0003648D" w:rsidRDefault="00356445" w:rsidP="00356445">
                        <w:pPr>
                          <w:pStyle w:val="tablebody0"/>
                          <w:rPr>
                            <w:i/>
                          </w:rPr>
                        </w:pPr>
                        <w:r w:rsidRPr="00C265BC">
                          <w:rPr>
                            <w:i/>
                          </w:rPr>
                          <w:t xml:space="preserve">State of Charge Telemetered by </w:t>
                        </w:r>
                        <w:r>
                          <w:rPr>
                            <w:i/>
                          </w:rPr>
                          <w:t xml:space="preserve">an </w:t>
                        </w:r>
                        <w:r w:rsidRPr="00C265BC">
                          <w:rPr>
                            <w:i/>
                          </w:rPr>
                          <w:t xml:space="preserve">Energy Storage Resource – </w:t>
                        </w:r>
                        <w:r w:rsidRPr="00C265BC">
                          <w:t xml:space="preserve">The </w:t>
                        </w:r>
                        <w:r>
                          <w:t xml:space="preserve">average </w:t>
                        </w:r>
                        <w:r w:rsidRPr="00C265BC">
                          <w:t xml:space="preserve">telemetered state of charge of Resource </w:t>
                        </w:r>
                        <w:r w:rsidRPr="00C265BC">
                          <w:rPr>
                            <w:i/>
                          </w:rPr>
                          <w:t>r</w:t>
                        </w:r>
                        <w:r w:rsidRPr="0021367F">
                          <w:t>,</w:t>
                        </w:r>
                        <w:r w:rsidRPr="00C265BC">
                          <w:t xml:space="preserve"> represented by QSE </w:t>
                        </w:r>
                        <w:r w:rsidRPr="00C265BC">
                          <w:rPr>
                            <w:i/>
                          </w:rPr>
                          <w:t>q</w:t>
                        </w:r>
                        <w:r w:rsidRPr="0021367F">
                          <w:t>,</w:t>
                        </w:r>
                        <w:r w:rsidRPr="00C265BC">
                          <w:t xml:space="preserve"> over the 15-minute Settlement Interval.</w:t>
                        </w:r>
                      </w:p>
                    </w:tc>
                  </w:tr>
                  <w:tr w:rsidR="00356445" w:rsidRPr="0003648D" w14:paraId="440B5AAC" w14:textId="77777777" w:rsidTr="005C5A9B">
                    <w:trPr>
                      <w:cantSplit/>
                    </w:trPr>
                    <w:tc>
                      <w:tcPr>
                        <w:tcW w:w="1279" w:type="pct"/>
                        <w:tcBorders>
                          <w:bottom w:val="single" w:sz="4" w:space="0" w:color="auto"/>
                        </w:tcBorders>
                      </w:tcPr>
                      <w:p w14:paraId="4DD1E54C" w14:textId="1BAA2A0B" w:rsidR="00356445" w:rsidRPr="0003648D" w:rsidRDefault="00356445" w:rsidP="00356445">
                        <w:pPr>
                          <w:pStyle w:val="tablebody0"/>
                        </w:pPr>
                        <w:r w:rsidRPr="00C265BC">
                          <w:t xml:space="preserve">SOCOM </w:t>
                        </w:r>
                        <w:r w:rsidRPr="00C265BC">
                          <w:rPr>
                            <w:i/>
                            <w:vertAlign w:val="subscript"/>
                          </w:rPr>
                          <w:t>q,</w:t>
                        </w:r>
                        <w:r>
                          <w:rPr>
                            <w:i/>
                            <w:vertAlign w:val="subscript"/>
                          </w:rPr>
                          <w:t xml:space="preserve"> </w:t>
                        </w:r>
                        <w:r w:rsidRPr="00C265BC">
                          <w:rPr>
                            <w:i/>
                            <w:vertAlign w:val="subscript"/>
                          </w:rPr>
                          <w:t>r</w:t>
                        </w:r>
                      </w:p>
                    </w:tc>
                    <w:tc>
                      <w:tcPr>
                        <w:tcW w:w="623" w:type="pct"/>
                        <w:tcBorders>
                          <w:bottom w:val="single" w:sz="4" w:space="0" w:color="auto"/>
                        </w:tcBorders>
                      </w:tcPr>
                      <w:p w14:paraId="08567A71" w14:textId="6A1B9E51" w:rsidR="00356445" w:rsidRPr="0003648D" w:rsidRDefault="00356445" w:rsidP="00356445">
                        <w:pPr>
                          <w:pStyle w:val="tablebody0"/>
                        </w:pPr>
                        <w:r w:rsidRPr="00C265BC">
                          <w:t>MWh</w:t>
                        </w:r>
                      </w:p>
                    </w:tc>
                    <w:tc>
                      <w:tcPr>
                        <w:tcW w:w="3098" w:type="pct"/>
                        <w:tcBorders>
                          <w:bottom w:val="single" w:sz="4" w:space="0" w:color="auto"/>
                        </w:tcBorders>
                      </w:tcPr>
                      <w:p w14:paraId="78A3EEC1" w14:textId="40957DB7" w:rsidR="00356445" w:rsidRPr="0003648D" w:rsidRDefault="00356445" w:rsidP="00356445">
                        <w:pPr>
                          <w:pStyle w:val="tablebody0"/>
                          <w:rPr>
                            <w:i/>
                          </w:rPr>
                        </w:pPr>
                        <w:r w:rsidRPr="00C265BC">
                          <w:rPr>
                            <w:i/>
                          </w:rPr>
                          <w:t xml:space="preserve">State of Charge Operating Minimum for </w:t>
                        </w:r>
                        <w:r>
                          <w:rPr>
                            <w:i/>
                          </w:rPr>
                          <w:t xml:space="preserve">an </w:t>
                        </w:r>
                        <w:r w:rsidRPr="00C265BC">
                          <w:rPr>
                            <w:i/>
                          </w:rPr>
                          <w:t>Energy Storage Resource</w:t>
                        </w:r>
                        <w:r w:rsidRPr="00C265BC">
                          <w:t xml:space="preserve"> –</w:t>
                        </w:r>
                        <w:r>
                          <w:t>T</w:t>
                        </w:r>
                        <w:r w:rsidRPr="00C265BC">
                          <w:t xml:space="preserve">he </w:t>
                        </w:r>
                        <w:r>
                          <w:t xml:space="preserve">average </w:t>
                        </w:r>
                        <w:r w:rsidRPr="00C265BC">
                          <w:t xml:space="preserve">telemetered state of charge operating minimum of Resource </w:t>
                        </w:r>
                        <w:r w:rsidRPr="00C265BC">
                          <w:rPr>
                            <w:i/>
                          </w:rPr>
                          <w:t>r</w:t>
                        </w:r>
                        <w:r w:rsidRPr="0021367F">
                          <w:t>,</w:t>
                        </w:r>
                        <w:r w:rsidRPr="00C265BC">
                          <w:t xml:space="preserve"> represented by QSE </w:t>
                        </w:r>
                        <w:r w:rsidRPr="00C265BC">
                          <w:rPr>
                            <w:i/>
                          </w:rPr>
                          <w:t>q</w:t>
                        </w:r>
                        <w:r w:rsidRPr="0021367F">
                          <w:t>,</w:t>
                        </w:r>
                        <w:r w:rsidRPr="00C265BC">
                          <w:t xml:space="preserve"> over the 15-minute Settlement Interval</w:t>
                        </w:r>
                        <w:r>
                          <w:t>.</w:t>
                        </w:r>
                      </w:p>
                    </w:tc>
                  </w:tr>
                </w:tbl>
                <w:p w14:paraId="1205E835" w14:textId="77777777" w:rsidR="00356445" w:rsidRPr="00AF45BD" w:rsidRDefault="00356445" w:rsidP="00356445">
                  <w:pPr>
                    <w:pStyle w:val="tablebody0"/>
                    <w:rPr>
                      <w:i/>
                    </w:rPr>
                  </w:pPr>
                </w:p>
              </w:tc>
            </w:tr>
          </w:tbl>
          <w:p w14:paraId="787ABECF" w14:textId="77777777" w:rsidR="00356445" w:rsidRPr="0080555B" w:rsidRDefault="00356445" w:rsidP="00BE197B">
            <w:pPr>
              <w:pStyle w:val="tablebody0"/>
              <w:rPr>
                <w:i/>
              </w:rPr>
            </w:pPr>
          </w:p>
        </w:tc>
      </w:tr>
      <w:tr w:rsidR="00BE197B" w:rsidRPr="0080555B" w14:paraId="52FC9F74" w14:textId="77777777" w:rsidTr="00356445">
        <w:trPr>
          <w:cantSplit/>
        </w:trPr>
        <w:tc>
          <w:tcPr>
            <w:tcW w:w="1312" w:type="pct"/>
          </w:tcPr>
          <w:p w14:paraId="589AD7AF" w14:textId="77777777" w:rsidR="00BE197B" w:rsidRPr="0080555B" w:rsidRDefault="00BE197B" w:rsidP="00BE197B">
            <w:pPr>
              <w:pStyle w:val="tablebody0"/>
              <w:rPr>
                <w:i/>
              </w:rPr>
            </w:pPr>
            <w:r w:rsidRPr="0080555B">
              <w:t>RTASOFFIMB</w:t>
            </w:r>
            <w:r w:rsidRPr="0080555B">
              <w:rPr>
                <w:i/>
                <w:vertAlign w:val="subscript"/>
              </w:rPr>
              <w:t xml:space="preserve"> q</w:t>
            </w:r>
          </w:p>
        </w:tc>
        <w:tc>
          <w:tcPr>
            <w:tcW w:w="606" w:type="pct"/>
          </w:tcPr>
          <w:p w14:paraId="4751420B" w14:textId="77777777" w:rsidR="00BE197B" w:rsidRPr="0080555B" w:rsidRDefault="00BE197B" w:rsidP="00BE197B">
            <w:pPr>
              <w:pStyle w:val="tablebody0"/>
            </w:pPr>
            <w:r w:rsidRPr="0080555B">
              <w:t>MWh</w:t>
            </w:r>
          </w:p>
        </w:tc>
        <w:tc>
          <w:tcPr>
            <w:tcW w:w="3082" w:type="pct"/>
          </w:tcPr>
          <w:p w14:paraId="135F884D" w14:textId="77777777" w:rsidR="00BE197B" w:rsidRPr="0080555B" w:rsidRDefault="00BE197B" w:rsidP="00BE197B">
            <w:pPr>
              <w:pStyle w:val="tablebody0"/>
            </w:pPr>
            <w:r w:rsidRPr="0080555B">
              <w:rPr>
                <w:i/>
              </w:rPr>
              <w:t>Real-Time Ancillary Service Off-Line Reserve Imbalance for the QSE</w:t>
            </w:r>
            <w:r w:rsidRPr="0080555B">
              <w:sym w:font="Symbol" w:char="F0BE"/>
            </w:r>
            <w:r w:rsidRPr="0080555B">
              <w:t xml:space="preserve">The Real-Time Ancillary Service Off-Line reserve imbalance for the QSE </w:t>
            </w:r>
            <w:r w:rsidRPr="0080555B">
              <w:rPr>
                <w:i/>
              </w:rPr>
              <w:t>q</w:t>
            </w:r>
            <w:r w:rsidRPr="0080555B">
              <w:t xml:space="preserve">, for each 15-minute Settlement Interval.  </w:t>
            </w:r>
          </w:p>
        </w:tc>
      </w:tr>
      <w:tr w:rsidR="00BE197B" w:rsidRPr="0080555B" w14:paraId="24C55911" w14:textId="77777777" w:rsidTr="00356445">
        <w:trPr>
          <w:cantSplit/>
        </w:trPr>
        <w:tc>
          <w:tcPr>
            <w:tcW w:w="1312" w:type="pct"/>
          </w:tcPr>
          <w:p w14:paraId="407E08CC" w14:textId="77777777" w:rsidR="00BE197B" w:rsidRPr="0080555B" w:rsidRDefault="00BE197B" w:rsidP="00BE197B">
            <w:pPr>
              <w:pStyle w:val="tablebody0"/>
              <w:rPr>
                <w:i/>
              </w:rPr>
            </w:pPr>
            <w:r w:rsidRPr="0080555B">
              <w:t>RTOFFCAP</w:t>
            </w:r>
            <w:r w:rsidRPr="0080555B">
              <w:rPr>
                <w:i/>
                <w:vertAlign w:val="subscript"/>
              </w:rPr>
              <w:t xml:space="preserve"> q</w:t>
            </w:r>
            <w:r w:rsidRPr="0080555B">
              <w:t xml:space="preserve">  </w:t>
            </w:r>
          </w:p>
        </w:tc>
        <w:tc>
          <w:tcPr>
            <w:tcW w:w="606" w:type="pct"/>
          </w:tcPr>
          <w:p w14:paraId="3E2443EA" w14:textId="77777777" w:rsidR="00BE197B" w:rsidRPr="0080555B" w:rsidRDefault="00BE197B" w:rsidP="00BE197B">
            <w:pPr>
              <w:pStyle w:val="tablebody0"/>
            </w:pPr>
            <w:r w:rsidRPr="0080555B">
              <w:t>MWh</w:t>
            </w:r>
          </w:p>
        </w:tc>
        <w:tc>
          <w:tcPr>
            <w:tcW w:w="3082" w:type="pct"/>
          </w:tcPr>
          <w:p w14:paraId="29F0539D" w14:textId="77777777" w:rsidR="00E779AF" w:rsidRPr="0080555B" w:rsidRDefault="00BE197B" w:rsidP="00BE197B">
            <w:pPr>
              <w:pStyle w:val="tablebody0"/>
            </w:pPr>
            <w:r w:rsidRPr="0080555B">
              <w:rPr>
                <w:i/>
              </w:rPr>
              <w:t xml:space="preserve">Real-Time Off-Line </w:t>
            </w:r>
            <w:r>
              <w:rPr>
                <w:i/>
              </w:rPr>
              <w:t xml:space="preserve">Reserve </w:t>
            </w:r>
            <w:r w:rsidRPr="0080555B">
              <w:rPr>
                <w:i/>
              </w:rPr>
              <w:t>Capacity for the QSE</w:t>
            </w:r>
            <w:r w:rsidRPr="0080555B">
              <w:sym w:font="Symbol" w:char="F0BE"/>
            </w:r>
            <w:r w:rsidRPr="0080555B">
              <w:t xml:space="preserve">The Real-Time </w:t>
            </w:r>
            <w:r>
              <w:t xml:space="preserve">reserve </w:t>
            </w:r>
            <w:r w:rsidRPr="0080555B">
              <w:t xml:space="preserve">capacity of Off-Line Resources available for the QSE </w:t>
            </w:r>
            <w:r w:rsidRPr="0080555B">
              <w:rPr>
                <w:i/>
              </w:rPr>
              <w:t>q</w:t>
            </w:r>
            <w:r w:rsidRPr="0080555B">
              <w:t>, for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694DBEC3" w14:textId="77777777" w:rsidTr="00745852">
              <w:trPr>
                <w:trHeight w:val="206"/>
              </w:trPr>
              <w:tc>
                <w:tcPr>
                  <w:tcW w:w="9576" w:type="dxa"/>
                  <w:shd w:val="pct12" w:color="auto" w:fill="auto"/>
                </w:tcPr>
                <w:p w14:paraId="03C467A9" w14:textId="663A627F" w:rsidR="00E779AF" w:rsidRDefault="00E779AF" w:rsidP="00E779AF">
                  <w:pPr>
                    <w:pStyle w:val="Instructions"/>
                    <w:spacing w:before="120"/>
                  </w:pPr>
                  <w:r>
                    <w:t>[NPRR1069:  Replace the description above with the following upon system implementation of NPRR987:]</w:t>
                  </w:r>
                </w:p>
                <w:p w14:paraId="20C965A9" w14:textId="1C79047C" w:rsidR="00E779AF" w:rsidRPr="00AF45BD" w:rsidRDefault="00E779AF" w:rsidP="00E779AF">
                  <w:pPr>
                    <w:pStyle w:val="tablebody0"/>
                    <w:rPr>
                      <w:i/>
                    </w:rPr>
                  </w:pPr>
                  <w:r w:rsidRPr="00C429FC">
                    <w:rPr>
                      <w:i/>
                    </w:rPr>
                    <w:t>Real-Time Off-Line Reserve Capacity for the QSE</w:t>
                  </w:r>
                  <w:r w:rsidRPr="00C429FC">
                    <w:sym w:font="Symbol" w:char="F0BE"/>
                  </w:r>
                  <w:r w:rsidRPr="00C429FC">
                    <w:t>The Real-Time reserve capacity of Off-Line Resources</w:t>
                  </w:r>
                  <w:r w:rsidRPr="00F92423">
                    <w:t>, not including modeled Generation Resources associated with ESRs,</w:t>
                  </w:r>
                  <w:r w:rsidRPr="00C429FC">
                    <w:t xml:space="preserve"> available for the QSE </w:t>
                  </w:r>
                  <w:r w:rsidRPr="00C429FC">
                    <w:rPr>
                      <w:i/>
                    </w:rPr>
                    <w:t>q</w:t>
                  </w:r>
                  <w:r w:rsidRPr="00C429FC">
                    <w:t>, for the 15-minute Settlement Interval.</w:t>
                  </w:r>
                </w:p>
              </w:tc>
            </w:tr>
          </w:tbl>
          <w:p w14:paraId="104E3EA1" w14:textId="41425CD6" w:rsidR="00BE197B" w:rsidRPr="0080555B" w:rsidRDefault="00BE197B" w:rsidP="00BE197B">
            <w:pPr>
              <w:pStyle w:val="tablebody0"/>
            </w:pPr>
          </w:p>
        </w:tc>
      </w:tr>
      <w:tr w:rsidR="00BE197B" w:rsidRPr="0080555B" w14:paraId="1F7B09ED" w14:textId="77777777" w:rsidTr="00356445">
        <w:trPr>
          <w:cantSplit/>
        </w:trPr>
        <w:tc>
          <w:tcPr>
            <w:tcW w:w="1312" w:type="pct"/>
          </w:tcPr>
          <w:p w14:paraId="41F6ABF4" w14:textId="77777777" w:rsidR="00BE197B" w:rsidRPr="008F1530" w:rsidRDefault="00BE197B" w:rsidP="00BE197B">
            <w:pPr>
              <w:pStyle w:val="tablebody0"/>
            </w:pPr>
            <w:r w:rsidRPr="0072763F">
              <w:lastRenderedPageBreak/>
              <w:t>RTCST30HSL</w:t>
            </w:r>
            <w:r w:rsidRPr="0080555B">
              <w:rPr>
                <w:i/>
                <w:vertAlign w:val="subscript"/>
              </w:rPr>
              <w:t xml:space="preserve"> q</w:t>
            </w:r>
          </w:p>
        </w:tc>
        <w:tc>
          <w:tcPr>
            <w:tcW w:w="606" w:type="pct"/>
          </w:tcPr>
          <w:p w14:paraId="2F2F941F" w14:textId="77777777" w:rsidR="00BE197B" w:rsidRPr="008F1530" w:rsidRDefault="00BE197B" w:rsidP="00BE197B">
            <w:pPr>
              <w:pStyle w:val="tablebody0"/>
            </w:pPr>
            <w:r w:rsidRPr="0080555B">
              <w:t>MWh</w:t>
            </w:r>
          </w:p>
        </w:tc>
        <w:tc>
          <w:tcPr>
            <w:tcW w:w="3082" w:type="pct"/>
          </w:tcPr>
          <w:p w14:paraId="63C112D4" w14:textId="77777777" w:rsidR="00E779AF" w:rsidRPr="00A62476" w:rsidRDefault="00BE197B" w:rsidP="00D13CF2">
            <w:pPr>
              <w:pStyle w:val="tablebody0"/>
              <w:rPr>
                <w:i/>
              </w:rPr>
            </w:pPr>
            <w:r>
              <w:rPr>
                <w:i/>
              </w:rPr>
              <w:t>Real-Time Generation Resources with Cold Start Available in 30 Minutes</w:t>
            </w:r>
            <w:r w:rsidRPr="0080555B">
              <w:sym w:font="Symbol" w:char="F0BE"/>
            </w:r>
            <w:r w:rsidRPr="0072763F">
              <w:t>The Real-Time telemetered HSLs of Generation Resources</w:t>
            </w:r>
            <w:r>
              <w:t xml:space="preserve">, excluding </w:t>
            </w:r>
            <w:r w:rsidR="00D13CF2">
              <w:t>Intermittent Renewable Resources (</w:t>
            </w:r>
            <w:r>
              <w:t>IRRs</w:t>
            </w:r>
            <w:r w:rsidR="00D13CF2">
              <w:t>)</w:t>
            </w:r>
            <w:r>
              <w:t>,</w:t>
            </w:r>
            <w:r w:rsidRPr="0072763F">
              <w:t xml:space="preserve"> </w:t>
            </w:r>
            <w:r>
              <w:t xml:space="preserve">that </w:t>
            </w:r>
            <w:r w:rsidRPr="0072763F">
              <w:t xml:space="preserve">have telemetered </w:t>
            </w:r>
            <w:r>
              <w:t xml:space="preserve">an </w:t>
            </w:r>
            <w:r w:rsidRPr="0072763F">
              <w:t xml:space="preserve">OFF Resource Status and can be started from a cold temperature state in 30 minutes for the QSE </w:t>
            </w:r>
            <w:r w:rsidRPr="00625701">
              <w:rPr>
                <w:i/>
              </w:rPr>
              <w:t>q</w:t>
            </w:r>
            <w:r w:rsidRPr="0072763F">
              <w:t>, time-weighted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1812E4C4" w14:textId="77777777" w:rsidTr="00745852">
              <w:trPr>
                <w:trHeight w:val="206"/>
              </w:trPr>
              <w:tc>
                <w:tcPr>
                  <w:tcW w:w="9576" w:type="dxa"/>
                  <w:shd w:val="pct12" w:color="auto" w:fill="auto"/>
                </w:tcPr>
                <w:p w14:paraId="00FC2AF5" w14:textId="77777777" w:rsidR="00E779AF" w:rsidRDefault="00E779AF" w:rsidP="00E779AF">
                  <w:pPr>
                    <w:pStyle w:val="Instructions"/>
                    <w:spacing w:before="120"/>
                  </w:pPr>
                  <w:r>
                    <w:t>[NPRR1069:  Replace the description above with the following upon system implementation of NPRR987:]</w:t>
                  </w:r>
                </w:p>
                <w:p w14:paraId="6508A79B" w14:textId="2E764199" w:rsidR="00E779AF" w:rsidRPr="00AF45BD" w:rsidRDefault="00E779AF" w:rsidP="00E779AF">
                  <w:pPr>
                    <w:pStyle w:val="tablebody0"/>
                    <w:rPr>
                      <w:i/>
                    </w:rPr>
                  </w:pPr>
                  <w:r w:rsidRPr="00C429FC">
                    <w:rPr>
                      <w:i/>
                    </w:rPr>
                    <w:t>Real-Time Generation Resources with Cold Start Available in 30 Minutes</w:t>
                  </w:r>
                  <w:r w:rsidRPr="00C429FC">
                    <w:sym w:font="Symbol" w:char="F0BE"/>
                  </w:r>
                  <w:r w:rsidRPr="00C429FC">
                    <w:t>The Real-Time telemetered HSLs of Generation Resources, excluding Intermittent Renewable Resources (IRRs)</w:t>
                  </w:r>
                  <w:r w:rsidRPr="00F92423">
                    <w:t xml:space="preserve"> and modeled Generation Resources associated with ESRs</w:t>
                  </w:r>
                  <w:r w:rsidRPr="00C429FC">
                    <w:t xml:space="preserve">, that have telemetered an OFF Resource Status and can be started from a cold temperature state in 30 minutes for the QSE </w:t>
                  </w:r>
                  <w:r w:rsidRPr="00C429FC">
                    <w:rPr>
                      <w:i/>
                    </w:rPr>
                    <w:t>q</w:t>
                  </w:r>
                  <w:r w:rsidRPr="00C429FC">
                    <w:t>, time-weighted over the 15-minute Settlement Interval.</w:t>
                  </w:r>
                </w:p>
              </w:tc>
            </w:tr>
          </w:tbl>
          <w:p w14:paraId="4F5232FE" w14:textId="7551F215" w:rsidR="00BE197B" w:rsidRPr="00A62476" w:rsidRDefault="00BE197B" w:rsidP="00D13CF2">
            <w:pPr>
              <w:pStyle w:val="tablebody0"/>
              <w:rPr>
                <w:i/>
              </w:rPr>
            </w:pPr>
          </w:p>
        </w:tc>
      </w:tr>
      <w:tr w:rsidR="00BE197B" w:rsidRPr="0080555B" w14:paraId="1D94FB31" w14:textId="77777777" w:rsidTr="00356445">
        <w:trPr>
          <w:cantSplit/>
        </w:trPr>
        <w:tc>
          <w:tcPr>
            <w:tcW w:w="1312" w:type="pct"/>
            <w:tcBorders>
              <w:bottom w:val="single" w:sz="4" w:space="0" w:color="auto"/>
            </w:tcBorders>
          </w:tcPr>
          <w:p w14:paraId="4E387FCB" w14:textId="77777777" w:rsidR="00BE197B" w:rsidRPr="008F1530" w:rsidRDefault="00BE197B" w:rsidP="00BE197B">
            <w:pPr>
              <w:pStyle w:val="tablebody0"/>
            </w:pPr>
            <w:r w:rsidRPr="0072763F">
              <w:t>RTOFFNSHSL</w:t>
            </w:r>
            <w:r w:rsidRPr="0080555B">
              <w:rPr>
                <w:i/>
                <w:vertAlign w:val="subscript"/>
              </w:rPr>
              <w:t xml:space="preserve"> q</w:t>
            </w:r>
          </w:p>
        </w:tc>
        <w:tc>
          <w:tcPr>
            <w:tcW w:w="606" w:type="pct"/>
            <w:tcBorders>
              <w:bottom w:val="single" w:sz="4" w:space="0" w:color="auto"/>
            </w:tcBorders>
          </w:tcPr>
          <w:p w14:paraId="688B7F83" w14:textId="77777777" w:rsidR="00BE197B" w:rsidRPr="008F1530" w:rsidRDefault="00BE197B" w:rsidP="00BE197B">
            <w:pPr>
              <w:pStyle w:val="tablebody0"/>
            </w:pPr>
            <w:r w:rsidRPr="0080555B">
              <w:t>MWh</w:t>
            </w:r>
          </w:p>
        </w:tc>
        <w:tc>
          <w:tcPr>
            <w:tcW w:w="3082" w:type="pct"/>
            <w:tcBorders>
              <w:bottom w:val="single" w:sz="4" w:space="0" w:color="auto"/>
            </w:tcBorders>
          </w:tcPr>
          <w:p w14:paraId="6B59528F" w14:textId="083B2D36" w:rsidR="00C71420" w:rsidRPr="00A62476" w:rsidRDefault="00C71420" w:rsidP="00C71420">
            <w:pPr>
              <w:pStyle w:val="tablebody0"/>
              <w:rPr>
                <w:i/>
              </w:rPr>
            </w:pPr>
            <w:r>
              <w:rPr>
                <w:i/>
              </w:rPr>
              <w:t>Real-Time Generation Resources with Off-Line Non-Spin Schedule</w:t>
            </w:r>
            <w:r w:rsidRPr="0080555B">
              <w:sym w:font="Symbol" w:char="F0BE"/>
            </w:r>
            <w:r w:rsidRPr="0072763F">
              <w:t xml:space="preserve">The Real-Time telemetered HSLs of </w:t>
            </w:r>
            <w:r>
              <w:t xml:space="preserve">Off-Line </w:t>
            </w:r>
            <w:r w:rsidRPr="0072763F">
              <w:t xml:space="preserve">Generation Resources </w:t>
            </w:r>
            <w:r>
              <w:t>that</w:t>
            </w:r>
            <w:r w:rsidRPr="0072763F">
              <w:t xml:space="preserve"> have telemetered </w:t>
            </w:r>
            <w:r>
              <w:t xml:space="preserve">an </w:t>
            </w:r>
            <w:r w:rsidRPr="0072763F">
              <w:t>OFF</w:t>
            </w:r>
            <w:r>
              <w:t>NS</w:t>
            </w:r>
            <w:r w:rsidRPr="0072763F">
              <w:t xml:space="preserve"> Resource Status for the QSE </w:t>
            </w:r>
            <w:r w:rsidRPr="00051550">
              <w:rPr>
                <w:i/>
              </w:rPr>
              <w:t>q</w:t>
            </w:r>
            <w:r w:rsidRPr="0072763F">
              <w:t>, time-weighted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06131C78" w14:textId="77777777" w:rsidTr="00C71420">
              <w:trPr>
                <w:trHeight w:val="206"/>
              </w:trPr>
              <w:tc>
                <w:tcPr>
                  <w:tcW w:w="5523" w:type="dxa"/>
                  <w:shd w:val="pct12" w:color="auto" w:fill="auto"/>
                </w:tcPr>
                <w:p w14:paraId="219E8BD0" w14:textId="77777777" w:rsidR="00C71420" w:rsidRDefault="00C71420" w:rsidP="00C71420">
                  <w:pPr>
                    <w:pStyle w:val="Instructions"/>
                    <w:spacing w:before="120"/>
                  </w:pPr>
                  <w:r>
                    <w:t>[NPRR1069:  Replace the description above with the following upon system implementation of NPRR987:]</w:t>
                  </w:r>
                </w:p>
                <w:p w14:paraId="3AA27945" w14:textId="5A6662C3" w:rsidR="00E779AF" w:rsidRPr="00AF45BD" w:rsidRDefault="00C71420" w:rsidP="00C71420">
                  <w:pPr>
                    <w:pStyle w:val="tablebody0"/>
                    <w:rPr>
                      <w:i/>
                    </w:rPr>
                  </w:pPr>
                  <w:r w:rsidRPr="00C429FC">
                    <w:rPr>
                      <w:i/>
                    </w:rPr>
                    <w:t>Real-Time Generation Resources with Off-Line Non-Spin Schedule</w:t>
                  </w:r>
                  <w:r w:rsidRPr="00C429FC">
                    <w:sym w:font="Symbol" w:char="F0BE"/>
                  </w:r>
                  <w:r w:rsidRPr="00C429FC">
                    <w:t xml:space="preserve">The Real-Time telemetered HSLs of </w:t>
                  </w:r>
                  <w:r>
                    <w:t xml:space="preserve">Off-Line </w:t>
                  </w:r>
                  <w:r w:rsidRPr="00C429FC">
                    <w:t>Generation Resources</w:t>
                  </w:r>
                  <w:r w:rsidRPr="00F92423">
                    <w:t>, not including modeled Generation Resources associated with ESRs,</w:t>
                  </w:r>
                  <w:r w:rsidRPr="00C429FC">
                    <w:t xml:space="preserve"> that have telemetered an OFFNS Resource Status for the QSE </w:t>
                  </w:r>
                  <w:r w:rsidRPr="00C429FC">
                    <w:rPr>
                      <w:i/>
                    </w:rPr>
                    <w:t>q</w:t>
                  </w:r>
                  <w:r w:rsidRPr="00C429FC">
                    <w:t>, time-weighted over the 15-minute Settlement Interval.</w:t>
                  </w:r>
                </w:p>
              </w:tc>
            </w:tr>
          </w:tbl>
          <w:p w14:paraId="4AA7AC97" w14:textId="513044C3" w:rsidR="00BE197B" w:rsidRPr="00A62476" w:rsidRDefault="00BE197B" w:rsidP="00417B4E">
            <w:pPr>
              <w:pStyle w:val="tablebody0"/>
              <w:rPr>
                <w:i/>
              </w:rPr>
            </w:pPr>
          </w:p>
        </w:tc>
      </w:tr>
      <w:tr w:rsidR="00BE197B" w:rsidRPr="0080555B" w14:paraId="2328AE1B" w14:textId="77777777" w:rsidTr="00356445">
        <w:trPr>
          <w:cantSplit/>
        </w:trPr>
        <w:tc>
          <w:tcPr>
            <w:tcW w:w="1312" w:type="pct"/>
          </w:tcPr>
          <w:p w14:paraId="77755493" w14:textId="77777777" w:rsidR="00BE197B" w:rsidRPr="0080555B" w:rsidRDefault="00BE197B" w:rsidP="00BE197B">
            <w:pPr>
              <w:pStyle w:val="tablebody0"/>
            </w:pPr>
            <w:r w:rsidRPr="0080555B">
              <w:t>RTASOFF</w:t>
            </w:r>
            <w:r>
              <w:t>R</w:t>
            </w:r>
            <w:r w:rsidRPr="0080555B">
              <w:t xml:space="preserve"> </w:t>
            </w:r>
            <w:r w:rsidRPr="0080555B">
              <w:rPr>
                <w:i/>
                <w:vertAlign w:val="subscript"/>
              </w:rPr>
              <w:t>q</w:t>
            </w:r>
            <w:r>
              <w:rPr>
                <w:i/>
                <w:vertAlign w:val="subscript"/>
              </w:rPr>
              <w:t>, r, p</w:t>
            </w:r>
          </w:p>
        </w:tc>
        <w:tc>
          <w:tcPr>
            <w:tcW w:w="606" w:type="pct"/>
          </w:tcPr>
          <w:p w14:paraId="6B3A7A12" w14:textId="77777777" w:rsidR="00BE197B" w:rsidRPr="0080555B" w:rsidRDefault="00BE197B" w:rsidP="00BE197B">
            <w:pPr>
              <w:pStyle w:val="tablebody0"/>
            </w:pPr>
            <w:r w:rsidRPr="0080555B">
              <w:t>MWh</w:t>
            </w:r>
          </w:p>
        </w:tc>
        <w:tc>
          <w:tcPr>
            <w:tcW w:w="3082" w:type="pct"/>
          </w:tcPr>
          <w:p w14:paraId="3D69E951" w14:textId="77777777" w:rsidR="00BE197B" w:rsidRPr="00353A56" w:rsidRDefault="00BE197B" w:rsidP="00417B4E">
            <w:pPr>
              <w:pStyle w:val="tablebody0"/>
              <w:rPr>
                <w:i/>
              </w:rPr>
            </w:pPr>
            <w:r w:rsidRPr="00A20AF6">
              <w:rPr>
                <w:i/>
                <w:szCs w:val="18"/>
              </w:rPr>
              <w:t>Real-Time Ancillary Service Schedule for the Off-Line Generation Resource</w:t>
            </w:r>
            <w:r w:rsidRPr="00A20AF6">
              <w:rPr>
                <w:szCs w:val="18"/>
              </w:rPr>
              <w:sym w:font="Symbol" w:char="F0BE"/>
            </w:r>
            <w:r w:rsidRPr="00A20AF6">
              <w:rPr>
                <w:szCs w:val="18"/>
              </w:rPr>
              <w:t xml:space="preserve">The </w:t>
            </w:r>
            <w:r w:rsidRPr="003E514A">
              <w:t xml:space="preserve">validated </w:t>
            </w:r>
            <w:r w:rsidRPr="0095592C">
              <w:rPr>
                <w:szCs w:val="18"/>
              </w:rPr>
              <w:t>Real</w:t>
            </w:r>
            <w:r w:rsidRPr="00A20AF6">
              <w:rPr>
                <w:szCs w:val="18"/>
              </w:rPr>
              <w:t xml:space="preserve">-Time telemetered Ancillary Service Schedule for the Off-Line Generation Resource </w:t>
            </w:r>
            <w:r>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Pr="00A20AF6">
              <w:rPr>
                <w:szCs w:val="18"/>
              </w:rPr>
              <w:t>, integrated over the 15-minute Settlement Interval.</w:t>
            </w:r>
          </w:p>
        </w:tc>
      </w:tr>
      <w:tr w:rsidR="00BE197B" w:rsidRPr="0080555B" w14:paraId="0F8F1085" w14:textId="77777777" w:rsidTr="00356445">
        <w:trPr>
          <w:cantSplit/>
        </w:trPr>
        <w:tc>
          <w:tcPr>
            <w:tcW w:w="1312" w:type="pct"/>
          </w:tcPr>
          <w:p w14:paraId="6AAC07F0" w14:textId="77777777" w:rsidR="00BE197B" w:rsidRPr="0080555B" w:rsidRDefault="00BE197B" w:rsidP="00BE197B">
            <w:pPr>
              <w:pStyle w:val="tablebody0"/>
              <w:rPr>
                <w:i/>
              </w:rPr>
            </w:pPr>
            <w:r w:rsidRPr="0080555B">
              <w:lastRenderedPageBreak/>
              <w:t xml:space="preserve">RTASOFF </w:t>
            </w:r>
            <w:r w:rsidRPr="0080555B">
              <w:rPr>
                <w:i/>
                <w:vertAlign w:val="subscript"/>
              </w:rPr>
              <w:t>q</w:t>
            </w:r>
          </w:p>
        </w:tc>
        <w:tc>
          <w:tcPr>
            <w:tcW w:w="606" w:type="pct"/>
          </w:tcPr>
          <w:p w14:paraId="64B982FD" w14:textId="77777777" w:rsidR="00BE197B" w:rsidRPr="0080555B" w:rsidRDefault="00BE197B" w:rsidP="00BE197B">
            <w:pPr>
              <w:pStyle w:val="tablebody0"/>
            </w:pPr>
            <w:r w:rsidRPr="0080555B">
              <w:t>MWh</w:t>
            </w:r>
          </w:p>
        </w:tc>
        <w:tc>
          <w:tcPr>
            <w:tcW w:w="3082" w:type="pct"/>
          </w:tcPr>
          <w:p w14:paraId="0EE498EC" w14:textId="77777777" w:rsidR="00E779AF" w:rsidRPr="0080555B" w:rsidRDefault="00BE197B" w:rsidP="00BE197B">
            <w:pPr>
              <w:pStyle w:val="tablebody0"/>
            </w:pPr>
            <w:r w:rsidRPr="0080555B">
              <w:rPr>
                <w:i/>
              </w:rPr>
              <w:t>Real-Time Ancillary Service Schedule for Off-Line Generation Resources for the QSE</w:t>
            </w:r>
            <w:r w:rsidRPr="0080555B">
              <w:sym w:font="Symbol" w:char="F0BE"/>
            </w:r>
            <w:r w:rsidRPr="0080555B">
              <w:t>The Real-Time telemetered Ancillary Service Schedule for all Off-Line Generation Resources</w:t>
            </w:r>
            <w:r w:rsidR="00417B4E" w:rsidRPr="000E5D97">
              <w:t xml:space="preserve"> </w:t>
            </w:r>
            <w:r w:rsidR="00417B4E" w:rsidRPr="000E5D97">
              <w:rPr>
                <w:szCs w:val="18"/>
              </w:rPr>
              <w:t>discounted by the system-wide discount factor</w:t>
            </w:r>
            <w:r>
              <w:t xml:space="preserve"> </w:t>
            </w:r>
            <w:r w:rsidRPr="0080555B">
              <w:t xml:space="preserve">for the QSE </w:t>
            </w:r>
            <w:r w:rsidRPr="0080555B">
              <w:rPr>
                <w:i/>
              </w:rPr>
              <w:t>q</w:t>
            </w:r>
            <w:r w:rsidRPr="0080555B">
              <w:t>, integrated over the 15-minute Settlement Interval.</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00700480" w14:textId="77777777" w:rsidTr="00745852">
              <w:trPr>
                <w:trHeight w:val="206"/>
              </w:trPr>
              <w:tc>
                <w:tcPr>
                  <w:tcW w:w="9576" w:type="dxa"/>
                  <w:shd w:val="pct12" w:color="auto" w:fill="auto"/>
                </w:tcPr>
                <w:p w14:paraId="72CB52A6" w14:textId="77777777" w:rsidR="00E779AF" w:rsidRDefault="00E779AF" w:rsidP="00E779AF">
                  <w:pPr>
                    <w:pStyle w:val="Instructions"/>
                    <w:spacing w:before="120"/>
                  </w:pPr>
                  <w:r>
                    <w:t>[NPRR1069:  Replace the description above with the following upon system implementation of NPRR987:]</w:t>
                  </w:r>
                </w:p>
                <w:p w14:paraId="7D2E9DFE" w14:textId="2AFD2034" w:rsidR="00E779AF" w:rsidRPr="00AF45BD" w:rsidRDefault="00E779AF" w:rsidP="00E779AF">
                  <w:pPr>
                    <w:pStyle w:val="tablebody0"/>
                    <w:rPr>
                      <w:i/>
                    </w:rPr>
                  </w:pPr>
                  <w:r w:rsidRPr="00C429FC">
                    <w:rPr>
                      <w:i/>
                    </w:rPr>
                    <w:t>Real-Time Ancillary Service Schedule for Off-Line Generation Resources for the QSE</w:t>
                  </w:r>
                  <w:r w:rsidRPr="00C429FC">
                    <w:sym w:font="Symbol" w:char="F0BE"/>
                  </w:r>
                  <w:r w:rsidRPr="00C429FC">
                    <w:t>The Real-Time telemetered Ancillary Service Schedule for all Off-Line Generation Resources</w:t>
                  </w:r>
                  <w:r w:rsidRPr="00F92423">
                    <w:t>, not including modeled Generation Resources associated with ESRs,</w:t>
                  </w:r>
                  <w:r w:rsidRPr="00C429FC">
                    <w:t xml:space="preserve"> </w:t>
                  </w:r>
                  <w:r w:rsidRPr="00C429FC">
                    <w:rPr>
                      <w:szCs w:val="18"/>
                    </w:rPr>
                    <w:t>discounted by the system-wide discount factor</w:t>
                  </w:r>
                  <w:r w:rsidRPr="00C429FC">
                    <w:t xml:space="preserve"> for the QSE </w:t>
                  </w:r>
                  <w:r w:rsidRPr="00C429FC">
                    <w:rPr>
                      <w:i/>
                    </w:rPr>
                    <w:t>q</w:t>
                  </w:r>
                  <w:r w:rsidRPr="00C429FC">
                    <w:t>, integrated over the 15-minute Settlement Interval.</w:t>
                  </w:r>
                </w:p>
              </w:tc>
            </w:tr>
          </w:tbl>
          <w:p w14:paraId="3BE306F7" w14:textId="51824D84" w:rsidR="00BE197B" w:rsidRPr="0080555B" w:rsidRDefault="00BE197B" w:rsidP="00BE197B">
            <w:pPr>
              <w:pStyle w:val="tablebody0"/>
            </w:pPr>
          </w:p>
        </w:tc>
      </w:tr>
      <w:tr w:rsidR="00BE197B" w:rsidRPr="0080555B" w14:paraId="027EE51F" w14:textId="77777777" w:rsidTr="00356445">
        <w:trPr>
          <w:cantSplit/>
        </w:trPr>
        <w:tc>
          <w:tcPr>
            <w:tcW w:w="1312" w:type="pct"/>
          </w:tcPr>
          <w:p w14:paraId="7E79692C" w14:textId="77777777" w:rsidR="00BE197B" w:rsidRPr="0080555B" w:rsidRDefault="00BE197B" w:rsidP="00BE197B">
            <w:pPr>
              <w:pStyle w:val="tablebody0"/>
            </w:pPr>
            <w:r>
              <w:t>HRRADJ</w:t>
            </w:r>
            <w:r w:rsidRPr="0080555B">
              <w:rPr>
                <w:i/>
                <w:vertAlign w:val="subscript"/>
              </w:rPr>
              <w:t xml:space="preserve"> q</w:t>
            </w:r>
            <w:r>
              <w:rPr>
                <w:i/>
                <w:vertAlign w:val="subscript"/>
              </w:rPr>
              <w:t>, r, p</w:t>
            </w:r>
          </w:p>
        </w:tc>
        <w:tc>
          <w:tcPr>
            <w:tcW w:w="606" w:type="pct"/>
          </w:tcPr>
          <w:p w14:paraId="12C4B94B" w14:textId="77777777" w:rsidR="00BE197B" w:rsidRPr="0080555B" w:rsidRDefault="00BE197B" w:rsidP="00BE197B">
            <w:pPr>
              <w:pStyle w:val="tablebody0"/>
            </w:pPr>
            <w:r w:rsidRPr="0080555B">
              <w:t xml:space="preserve">MW </w:t>
            </w:r>
          </w:p>
        </w:tc>
        <w:tc>
          <w:tcPr>
            <w:tcW w:w="3082" w:type="pct"/>
          </w:tcPr>
          <w:p w14:paraId="200532E9" w14:textId="77777777" w:rsidR="00BE197B" w:rsidRPr="00353A56" w:rsidRDefault="00BE197B" w:rsidP="000809F8">
            <w:pPr>
              <w:pStyle w:val="tablebody0"/>
              <w:rPr>
                <w:i/>
              </w:rPr>
            </w:pPr>
            <w:r w:rsidRPr="00A20AF6">
              <w:rPr>
                <w:i/>
                <w:szCs w:val="18"/>
              </w:rPr>
              <w:t>Ancillary Service Resource Responsibility Capacity for Responsive Reserve at Adjustment Period—</w:t>
            </w:r>
            <w:r w:rsidRPr="00A20AF6">
              <w:rPr>
                <w:szCs w:val="18"/>
              </w:rPr>
              <w:t xml:space="preserve">The </w:t>
            </w:r>
            <w:r w:rsidR="000809F8">
              <w:rPr>
                <w:szCs w:val="18"/>
              </w:rPr>
              <w:t xml:space="preserve">RRS </w:t>
            </w:r>
            <w:r w:rsidRPr="00A20AF6">
              <w:rPr>
                <w:szCs w:val="18"/>
              </w:rPr>
              <w:t xml:space="preserve">Ancillary Service </w:t>
            </w:r>
            <w:r>
              <w:rPr>
                <w:szCs w:val="18"/>
              </w:rPr>
              <w:t xml:space="preserve">Resource </w:t>
            </w:r>
            <w:r w:rsidRPr="00A20AF6">
              <w:rPr>
                <w:szCs w:val="18"/>
              </w:rPr>
              <w:t xml:space="preserve">Responsibility for the Resource </w:t>
            </w:r>
            <w:r>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20AF6">
              <w:rPr>
                <w:szCs w:val="18"/>
              </w:rPr>
              <w:t xml:space="preserve"> </w:t>
            </w:r>
            <w:r w:rsidRPr="00A20AF6">
              <w:rPr>
                <w:szCs w:val="18"/>
              </w:rPr>
              <w:t xml:space="preserve">as seen in the last </w:t>
            </w:r>
            <w:r>
              <w:rPr>
                <w:szCs w:val="18"/>
              </w:rPr>
              <w:t>Current Operating Plan (</w:t>
            </w:r>
            <w:r w:rsidRPr="00A20AF6">
              <w:rPr>
                <w:szCs w:val="18"/>
              </w:rPr>
              <w:t>COP</w:t>
            </w:r>
            <w:r>
              <w:rPr>
                <w:szCs w:val="18"/>
              </w:rPr>
              <w:t>)</w:t>
            </w:r>
            <w:r w:rsidRPr="00A20AF6">
              <w:rPr>
                <w:szCs w:val="18"/>
              </w:rPr>
              <w:t xml:space="preserve"> and Trades Snapshot at the end of the Adjustment Period, for the hour that includes the 15-minute </w:t>
            </w:r>
            <w:r>
              <w:rPr>
                <w:szCs w:val="18"/>
              </w:rPr>
              <w:t>S</w:t>
            </w:r>
            <w:r w:rsidRPr="00A20AF6">
              <w:rPr>
                <w:szCs w:val="18"/>
              </w:rPr>
              <w:t xml:space="preserve">ettlement </w:t>
            </w:r>
            <w:r>
              <w:rPr>
                <w:szCs w:val="18"/>
              </w:rPr>
              <w:t>I</w:t>
            </w:r>
            <w:r w:rsidRPr="00A20AF6">
              <w:rPr>
                <w:szCs w:val="18"/>
              </w:rPr>
              <w:t>nterval.</w:t>
            </w:r>
          </w:p>
        </w:tc>
      </w:tr>
      <w:tr w:rsidR="00BA7613" w:rsidRPr="0080555B" w14:paraId="3E9203C9" w14:textId="77777777" w:rsidTr="00356445">
        <w:trPr>
          <w:cantSplit/>
        </w:trPr>
        <w:tc>
          <w:tcPr>
            <w:tcW w:w="1312" w:type="pct"/>
          </w:tcPr>
          <w:p w14:paraId="3025A3EA" w14:textId="19925690" w:rsidR="00BA7613" w:rsidRDefault="00BA7613" w:rsidP="00BA7613">
            <w:pPr>
              <w:pStyle w:val="tablebody0"/>
            </w:pPr>
            <w:r w:rsidRPr="0003648D">
              <w:t>H</w:t>
            </w:r>
            <w:r>
              <w:t>EC</w:t>
            </w:r>
            <w:r w:rsidRPr="0003648D">
              <w:t>RADJ</w:t>
            </w:r>
            <w:r w:rsidRPr="0003648D">
              <w:rPr>
                <w:i/>
                <w:vertAlign w:val="subscript"/>
              </w:rPr>
              <w:t xml:space="preserve"> q, r, p</w:t>
            </w:r>
          </w:p>
        </w:tc>
        <w:tc>
          <w:tcPr>
            <w:tcW w:w="606" w:type="pct"/>
          </w:tcPr>
          <w:p w14:paraId="2F0E2598" w14:textId="1E0F9CB8" w:rsidR="00BA7613" w:rsidRPr="0080555B" w:rsidRDefault="00BA7613" w:rsidP="00BA7613">
            <w:pPr>
              <w:pStyle w:val="tablebody0"/>
            </w:pPr>
            <w:r w:rsidRPr="0003648D">
              <w:t xml:space="preserve">MW </w:t>
            </w:r>
          </w:p>
        </w:tc>
        <w:tc>
          <w:tcPr>
            <w:tcW w:w="3082" w:type="pct"/>
          </w:tcPr>
          <w:p w14:paraId="4CC50D0A" w14:textId="483AE6CD" w:rsidR="00BA7613" w:rsidRPr="00A20AF6" w:rsidRDefault="00BA7613" w:rsidP="00BA7613">
            <w:pPr>
              <w:pStyle w:val="tablebody0"/>
              <w:rPr>
                <w:i/>
                <w:szCs w:val="18"/>
              </w:rPr>
            </w:pPr>
            <w:r w:rsidRPr="0003648D">
              <w:rPr>
                <w:i/>
                <w:szCs w:val="18"/>
              </w:rPr>
              <w:t xml:space="preserve">Ancillary Service Resource Responsibility Capacity for </w:t>
            </w:r>
            <w:r>
              <w:rPr>
                <w:i/>
                <w:szCs w:val="18"/>
              </w:rPr>
              <w:t>ERCOT Contingency Reserve Service</w:t>
            </w:r>
            <w:r w:rsidRPr="0003648D">
              <w:rPr>
                <w:i/>
                <w:szCs w:val="18"/>
              </w:rPr>
              <w:t xml:space="preserve"> at Adjustment Period—</w:t>
            </w:r>
            <w:r w:rsidRPr="0003648D">
              <w:rPr>
                <w:szCs w:val="18"/>
              </w:rPr>
              <w:t xml:space="preserve">The </w:t>
            </w:r>
            <w:r>
              <w:rPr>
                <w:szCs w:val="18"/>
              </w:rPr>
              <w:t>ECRS</w:t>
            </w:r>
            <w:r w:rsidRPr="0003648D">
              <w:rPr>
                <w:szCs w:val="18"/>
              </w:rPr>
              <w:t xml:space="preserve"> Ancillary Service Resource Responsibility for the Resource </w:t>
            </w:r>
            <w:r w:rsidRPr="0003648D">
              <w:rPr>
                <w:i/>
                <w:szCs w:val="18"/>
              </w:rPr>
              <w:t xml:space="preserve">r </w:t>
            </w:r>
            <w:r w:rsidRPr="0003648D">
              <w:t xml:space="preserve">represented by QSE </w:t>
            </w:r>
            <w:r w:rsidRPr="0003648D">
              <w:rPr>
                <w:i/>
              </w:rPr>
              <w:t>q</w:t>
            </w:r>
            <w:r w:rsidRPr="0003648D">
              <w:t xml:space="preserve"> at Resource Node </w:t>
            </w:r>
            <w:r w:rsidRPr="0003648D">
              <w:rPr>
                <w:i/>
              </w:rPr>
              <w:t>p</w:t>
            </w:r>
            <w:r w:rsidRPr="0003648D">
              <w:rPr>
                <w:szCs w:val="18"/>
              </w:rPr>
              <w:t xml:space="preserve"> as seen in the last COP and Trades Snapshot at the end of the Adjustment Period, for the hour that includes the 15-minute Settlement Interval.</w:t>
            </w:r>
          </w:p>
        </w:tc>
      </w:tr>
      <w:tr w:rsidR="0009153B" w:rsidRPr="0080555B" w14:paraId="1395FF38" w14:textId="77777777" w:rsidTr="0009153B">
        <w:trPr>
          <w:cantSplit/>
        </w:trPr>
        <w:tc>
          <w:tcPr>
            <w:tcW w:w="5000" w:type="pct"/>
            <w:gridSpan w:val="3"/>
          </w:tcPr>
          <w:p w14:paraId="737967F4" w14:textId="77777777" w:rsidR="0009153B" w:rsidRPr="00A20AF6" w:rsidRDefault="0009153B" w:rsidP="00BE197B">
            <w:pPr>
              <w:pStyle w:val="tablebody0"/>
              <w:rPr>
                <w:i/>
                <w:szCs w:val="18"/>
              </w:rPr>
            </w:pPr>
          </w:p>
        </w:tc>
      </w:tr>
      <w:tr w:rsidR="00BE197B" w:rsidRPr="0080555B" w14:paraId="47666D76" w14:textId="77777777" w:rsidTr="00356445">
        <w:trPr>
          <w:cantSplit/>
        </w:trPr>
        <w:tc>
          <w:tcPr>
            <w:tcW w:w="1312" w:type="pct"/>
          </w:tcPr>
          <w:p w14:paraId="7C6CB951" w14:textId="77777777" w:rsidR="00BE197B" w:rsidRPr="0080555B" w:rsidRDefault="00BE197B" w:rsidP="00BE197B">
            <w:pPr>
              <w:pStyle w:val="tablebody0"/>
            </w:pPr>
            <w:r>
              <w:t>HRUADJ</w:t>
            </w:r>
            <w:r w:rsidRPr="0080555B">
              <w:rPr>
                <w:i/>
                <w:vertAlign w:val="subscript"/>
              </w:rPr>
              <w:t xml:space="preserve"> q</w:t>
            </w:r>
            <w:r>
              <w:rPr>
                <w:i/>
                <w:vertAlign w:val="subscript"/>
              </w:rPr>
              <w:t>, r, p</w:t>
            </w:r>
          </w:p>
        </w:tc>
        <w:tc>
          <w:tcPr>
            <w:tcW w:w="606" w:type="pct"/>
          </w:tcPr>
          <w:p w14:paraId="720E5E8B" w14:textId="77777777" w:rsidR="00BE197B" w:rsidRPr="0080555B" w:rsidRDefault="00BE197B" w:rsidP="00BE197B">
            <w:pPr>
              <w:pStyle w:val="tablebody0"/>
            </w:pPr>
            <w:r w:rsidRPr="0080555B">
              <w:t>MW</w:t>
            </w:r>
          </w:p>
        </w:tc>
        <w:tc>
          <w:tcPr>
            <w:tcW w:w="3082" w:type="pct"/>
          </w:tcPr>
          <w:p w14:paraId="2C4E0018" w14:textId="77777777" w:rsidR="00BE197B" w:rsidRPr="0080555B" w:rsidRDefault="00BE197B" w:rsidP="00BE197B">
            <w:pPr>
              <w:pStyle w:val="tablebody0"/>
              <w:rPr>
                <w:i/>
              </w:rPr>
            </w:pPr>
            <w:r w:rsidRPr="00A20AF6">
              <w:rPr>
                <w:i/>
                <w:szCs w:val="18"/>
              </w:rPr>
              <w:t>Ancillary Service Resource Responsibility Capacity for Reg-Up at Adjustment Period—</w:t>
            </w:r>
            <w:r w:rsidRPr="00A94098">
              <w:rPr>
                <w:szCs w:val="18"/>
              </w:rPr>
              <w:t xml:space="preserve">The Regulation Up Ancillary Service </w:t>
            </w:r>
            <w:r>
              <w:rPr>
                <w:szCs w:val="18"/>
              </w:rPr>
              <w:t xml:space="preserve">Resource </w:t>
            </w:r>
            <w:r w:rsidRPr="00A94098">
              <w:rPr>
                <w:szCs w:val="18"/>
              </w:rPr>
              <w:t xml:space="preserve">Responsibility for the Resource </w:t>
            </w:r>
            <w:r>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94098">
              <w:rPr>
                <w:szCs w:val="18"/>
              </w:rPr>
              <w:t xml:space="preserve"> </w:t>
            </w:r>
            <w:r w:rsidRPr="00A94098">
              <w:rPr>
                <w:szCs w:val="18"/>
              </w:rPr>
              <w:t xml:space="preserve">as seen in the last COP and Trades Snapshot at the end of the Adjustment Period, for the hour that includes the 15-minute </w:t>
            </w:r>
            <w:r>
              <w:rPr>
                <w:szCs w:val="18"/>
              </w:rPr>
              <w:t>S</w:t>
            </w:r>
            <w:r w:rsidRPr="00A94098">
              <w:rPr>
                <w:szCs w:val="18"/>
              </w:rPr>
              <w:t xml:space="preserve">ettlement </w:t>
            </w:r>
            <w:r>
              <w:rPr>
                <w:szCs w:val="18"/>
              </w:rPr>
              <w:t>I</w:t>
            </w:r>
            <w:r w:rsidRPr="00A94098">
              <w:rPr>
                <w:szCs w:val="18"/>
              </w:rPr>
              <w:t>nterval.</w:t>
            </w:r>
          </w:p>
        </w:tc>
      </w:tr>
      <w:tr w:rsidR="00BE197B" w:rsidRPr="0080555B" w14:paraId="61B6295A" w14:textId="77777777" w:rsidTr="00356445">
        <w:trPr>
          <w:cantSplit/>
        </w:trPr>
        <w:tc>
          <w:tcPr>
            <w:tcW w:w="1312" w:type="pct"/>
          </w:tcPr>
          <w:p w14:paraId="3F82326A" w14:textId="77777777" w:rsidR="00BE197B" w:rsidRPr="0080555B" w:rsidRDefault="00BE197B" w:rsidP="00BE197B">
            <w:pPr>
              <w:pStyle w:val="tablebody0"/>
            </w:pPr>
            <w:r>
              <w:t>HNSADJ</w:t>
            </w:r>
            <w:r w:rsidRPr="0080555B">
              <w:rPr>
                <w:i/>
                <w:vertAlign w:val="subscript"/>
              </w:rPr>
              <w:t xml:space="preserve"> q</w:t>
            </w:r>
            <w:r>
              <w:rPr>
                <w:i/>
                <w:vertAlign w:val="subscript"/>
              </w:rPr>
              <w:t>, r, p</w:t>
            </w:r>
          </w:p>
        </w:tc>
        <w:tc>
          <w:tcPr>
            <w:tcW w:w="606" w:type="pct"/>
          </w:tcPr>
          <w:p w14:paraId="00D4F197" w14:textId="77777777" w:rsidR="00BE197B" w:rsidRPr="0080555B" w:rsidRDefault="00BE197B" w:rsidP="00BE197B">
            <w:pPr>
              <w:pStyle w:val="tablebody0"/>
            </w:pPr>
            <w:r w:rsidRPr="0080555B">
              <w:t>MW</w:t>
            </w:r>
          </w:p>
        </w:tc>
        <w:tc>
          <w:tcPr>
            <w:tcW w:w="3082" w:type="pct"/>
          </w:tcPr>
          <w:p w14:paraId="0444E29C" w14:textId="77777777" w:rsidR="00BE197B" w:rsidRPr="00353A56" w:rsidRDefault="00BE197B" w:rsidP="00BE197B">
            <w:pPr>
              <w:pStyle w:val="tablebody0"/>
              <w:rPr>
                <w:i/>
              </w:rPr>
            </w:pPr>
            <w:r w:rsidRPr="00A20AF6">
              <w:rPr>
                <w:i/>
                <w:szCs w:val="18"/>
              </w:rPr>
              <w:t>Ancillary Service Resource Responsibility Capacity for Non-Spin at Adjustment Period—</w:t>
            </w:r>
            <w:r w:rsidRPr="00A20AF6">
              <w:rPr>
                <w:szCs w:val="18"/>
              </w:rPr>
              <w:t>The Non</w:t>
            </w:r>
            <w:r>
              <w:rPr>
                <w:szCs w:val="18"/>
              </w:rPr>
              <w:t>-</w:t>
            </w:r>
            <w:r w:rsidRPr="00A20AF6">
              <w:rPr>
                <w:szCs w:val="18"/>
              </w:rPr>
              <w:t xml:space="preserve">Spin Ancillary Service </w:t>
            </w:r>
            <w:r>
              <w:rPr>
                <w:szCs w:val="18"/>
              </w:rPr>
              <w:t xml:space="preserve">Resource </w:t>
            </w:r>
            <w:r w:rsidRPr="00A20AF6">
              <w:rPr>
                <w:szCs w:val="18"/>
              </w:rPr>
              <w:t xml:space="preserve">Responsibility for the Resource </w:t>
            </w:r>
            <w:r>
              <w:rPr>
                <w:i/>
                <w:szCs w:val="18"/>
              </w:rPr>
              <w:t>r</w:t>
            </w:r>
            <w:r w:rsidR="000F3CEA" w:rsidRPr="006624C0">
              <w:t xml:space="preserve"> represented by QSE </w:t>
            </w:r>
            <w:r w:rsidR="000F3CEA" w:rsidRPr="006624C0">
              <w:rPr>
                <w:i/>
              </w:rPr>
              <w:t>q</w:t>
            </w:r>
            <w:r w:rsidR="000F3CEA" w:rsidRPr="006624C0">
              <w:t xml:space="preserve"> at Resource Node </w:t>
            </w:r>
            <w:r w:rsidR="000F3CEA" w:rsidRPr="006624C0">
              <w:rPr>
                <w:i/>
              </w:rPr>
              <w:t>p</w:t>
            </w:r>
            <w:r>
              <w:rPr>
                <w:i/>
                <w:szCs w:val="18"/>
              </w:rPr>
              <w:t xml:space="preserve"> </w:t>
            </w:r>
            <w:r w:rsidRPr="00A20AF6">
              <w:rPr>
                <w:szCs w:val="18"/>
              </w:rPr>
              <w:t>as seen in the last COP and Trades Snapshot at the end of the Adjustment Period, for the hour that includes the 15-minute Settlement Interval.</w:t>
            </w:r>
          </w:p>
        </w:tc>
      </w:tr>
      <w:tr w:rsidR="00BE197B" w:rsidRPr="0080555B" w14:paraId="72361832" w14:textId="77777777" w:rsidTr="00356445">
        <w:trPr>
          <w:cantSplit/>
        </w:trPr>
        <w:tc>
          <w:tcPr>
            <w:tcW w:w="1312" w:type="pct"/>
          </w:tcPr>
          <w:p w14:paraId="245D4D41" w14:textId="77777777" w:rsidR="00BE197B" w:rsidRPr="0080555B" w:rsidRDefault="00BE197B" w:rsidP="00BE197B">
            <w:pPr>
              <w:pStyle w:val="tablebody0"/>
            </w:pPr>
            <w:r>
              <w:t>RTRUCNBBRESP</w:t>
            </w:r>
            <w:r w:rsidRPr="0080555B">
              <w:t xml:space="preserve"> </w:t>
            </w:r>
            <w:r w:rsidRPr="0080555B">
              <w:rPr>
                <w:i/>
                <w:vertAlign w:val="subscript"/>
              </w:rPr>
              <w:t>q</w:t>
            </w:r>
          </w:p>
        </w:tc>
        <w:tc>
          <w:tcPr>
            <w:tcW w:w="606" w:type="pct"/>
          </w:tcPr>
          <w:p w14:paraId="2A696BE4" w14:textId="77777777" w:rsidR="00BE197B" w:rsidRPr="0080555B" w:rsidRDefault="00BE197B" w:rsidP="00BE197B">
            <w:pPr>
              <w:pStyle w:val="tablebody0"/>
            </w:pPr>
            <w:r w:rsidRPr="0080555B">
              <w:t>MW</w:t>
            </w:r>
            <w:r>
              <w:t>h</w:t>
            </w:r>
          </w:p>
        </w:tc>
        <w:tc>
          <w:tcPr>
            <w:tcW w:w="3082" w:type="pct"/>
          </w:tcPr>
          <w:p w14:paraId="295CC2ED" w14:textId="1A375D22" w:rsidR="000809F8" w:rsidRPr="000809F8" w:rsidRDefault="00BE197B" w:rsidP="00BE197B">
            <w:pPr>
              <w:pStyle w:val="tablebody0"/>
            </w:pPr>
            <w:r w:rsidRPr="00A20AF6">
              <w:rPr>
                <w:i/>
              </w:rPr>
              <w:t>Real-Time RUC Ancillary Service Supply Responsibility for the QSE in Non-Buy-Back hours</w:t>
            </w:r>
            <w:r w:rsidRPr="00A20AF6">
              <w:sym w:font="Symbol" w:char="F0BE"/>
            </w:r>
            <w:r w:rsidRPr="00A20AF6">
              <w:t xml:space="preserve">The Real-Time Ancillary Service Supply Responsibility </w:t>
            </w:r>
            <w:r>
              <w:t xml:space="preserve">for Reg-Up, </w:t>
            </w:r>
            <w:r w:rsidR="008B2D35">
              <w:t xml:space="preserve">ECRS, </w:t>
            </w:r>
            <w:r>
              <w:t>RRS</w:t>
            </w:r>
            <w:r w:rsidR="008B2D35">
              <w:t>,</w:t>
            </w:r>
            <w:r>
              <w:t xml:space="preserve"> and Non-Spin</w:t>
            </w:r>
            <w:r w:rsidRPr="00A20AF6">
              <w:t xml:space="preserve"> </w:t>
            </w:r>
            <w:r>
              <w:t>pursuant to the Ancillary Service awards</w:t>
            </w:r>
            <w:r w:rsidRPr="00A20AF6">
              <w:t xml:space="preserve">, for the 15-minute </w:t>
            </w:r>
            <w:r>
              <w:t>S</w:t>
            </w:r>
            <w:r w:rsidRPr="00A20AF6">
              <w:t xml:space="preserve">ettlement </w:t>
            </w:r>
            <w:r>
              <w:t>I</w:t>
            </w:r>
            <w:r w:rsidRPr="00A20AF6">
              <w:t>nterval that falls within a RUC</w:t>
            </w:r>
            <w:r>
              <w:t>-Committed H</w:t>
            </w:r>
            <w:r w:rsidRPr="00A20AF6">
              <w:t xml:space="preserve">our, </w:t>
            </w:r>
            <w:r w:rsidRPr="00A94098">
              <w:rPr>
                <w:szCs w:val="18"/>
              </w:rPr>
              <w:t xml:space="preserve">discounted by the </w:t>
            </w:r>
            <w:r>
              <w:rPr>
                <w:szCs w:val="18"/>
              </w:rPr>
              <w:t>system-wide</w:t>
            </w:r>
            <w:r w:rsidRPr="00A94098">
              <w:rPr>
                <w:szCs w:val="18"/>
              </w:rPr>
              <w:t xml:space="preserve"> discount factor for the QSE </w:t>
            </w:r>
            <w:r w:rsidRPr="00A94098">
              <w:rPr>
                <w:i/>
                <w:szCs w:val="18"/>
              </w:rPr>
              <w:t>q</w:t>
            </w:r>
            <w:r>
              <w:rPr>
                <w:i/>
                <w:szCs w:val="18"/>
              </w:rPr>
              <w:t>.</w:t>
            </w:r>
          </w:p>
          <w:p w14:paraId="4714560D" w14:textId="77777777" w:rsidR="00BE197B" w:rsidRPr="000809F8" w:rsidRDefault="00BE197B" w:rsidP="00BE197B">
            <w:pPr>
              <w:pStyle w:val="tablebody0"/>
            </w:pPr>
          </w:p>
        </w:tc>
      </w:tr>
      <w:tr w:rsidR="00BE197B" w:rsidRPr="0080555B" w14:paraId="32DDAA95" w14:textId="77777777" w:rsidTr="00356445">
        <w:trPr>
          <w:cantSplit/>
          <w:trHeight w:val="962"/>
        </w:trPr>
        <w:tc>
          <w:tcPr>
            <w:tcW w:w="1312" w:type="pct"/>
          </w:tcPr>
          <w:p w14:paraId="204B3073" w14:textId="77777777" w:rsidR="00BE197B" w:rsidRPr="0080555B" w:rsidRDefault="00BE197B" w:rsidP="00BE197B">
            <w:pPr>
              <w:pStyle w:val="tablebody0"/>
            </w:pPr>
            <w:r>
              <w:lastRenderedPageBreak/>
              <w:t>RTRUCASA</w:t>
            </w:r>
            <w:r w:rsidRPr="000275BF">
              <w:rPr>
                <w:i/>
                <w:vertAlign w:val="subscript"/>
              </w:rPr>
              <w:t xml:space="preserve"> q, r</w:t>
            </w:r>
          </w:p>
        </w:tc>
        <w:tc>
          <w:tcPr>
            <w:tcW w:w="606" w:type="pct"/>
          </w:tcPr>
          <w:p w14:paraId="7F8E7009" w14:textId="77777777" w:rsidR="00BE197B" w:rsidRPr="0080555B" w:rsidRDefault="00BE197B" w:rsidP="00BE197B">
            <w:pPr>
              <w:pStyle w:val="tablebody0"/>
            </w:pPr>
            <w:r w:rsidRPr="0080555B">
              <w:t>MW</w:t>
            </w:r>
          </w:p>
        </w:tc>
        <w:tc>
          <w:tcPr>
            <w:tcW w:w="3082" w:type="pct"/>
          </w:tcPr>
          <w:p w14:paraId="166CF552" w14:textId="7C08F348" w:rsidR="00E741B2" w:rsidRPr="005642DB" w:rsidRDefault="00BE197B" w:rsidP="00BE197B">
            <w:pPr>
              <w:pStyle w:val="tablebody0"/>
            </w:pPr>
            <w:r>
              <w:rPr>
                <w:i/>
              </w:rPr>
              <w:t>Real-Time RUC Ancillary Service Awards</w:t>
            </w:r>
            <w:r w:rsidRPr="00A20AF6">
              <w:sym w:font="Symbol" w:char="F0BE"/>
            </w:r>
            <w:r>
              <w:t xml:space="preserve">The Real-Time Ancillary Service award to the RUC Resource </w:t>
            </w:r>
            <w:r>
              <w:rPr>
                <w:i/>
              </w:rPr>
              <w:t xml:space="preserve">r </w:t>
            </w:r>
            <w:r>
              <w:t xml:space="preserve">for Reg-Up, </w:t>
            </w:r>
            <w:r w:rsidR="008B2D35">
              <w:t xml:space="preserve">ECRS, </w:t>
            </w:r>
            <w:r>
              <w:t>RRS</w:t>
            </w:r>
            <w:r w:rsidR="00E741B2">
              <w:t>,</w:t>
            </w:r>
            <w:r>
              <w:t xml:space="preserve"> and Non-Spin for the hour that includes the </w:t>
            </w:r>
            <w:r w:rsidRPr="00A20AF6">
              <w:t xml:space="preserve">15-minute </w:t>
            </w:r>
            <w:r>
              <w:t>S</w:t>
            </w:r>
            <w:r w:rsidRPr="00A20AF6">
              <w:t xml:space="preserve">ettlement </w:t>
            </w:r>
            <w:r>
              <w:t>I</w:t>
            </w:r>
            <w:r w:rsidRPr="00A20AF6">
              <w:t>nterval that falls within a RUC</w:t>
            </w:r>
            <w:r>
              <w:t>-Committed H</w:t>
            </w:r>
            <w:r w:rsidRPr="00A20AF6">
              <w:t>our</w:t>
            </w:r>
            <w:r w:rsidRPr="00A94098">
              <w:rPr>
                <w:szCs w:val="18"/>
              </w:rPr>
              <w:t xml:space="preserve"> for the QSE </w:t>
            </w:r>
            <w:r w:rsidRPr="00A94098">
              <w:rPr>
                <w:i/>
                <w:szCs w:val="18"/>
              </w:rPr>
              <w:t>q</w:t>
            </w:r>
            <w:r>
              <w:rPr>
                <w:i/>
                <w:szCs w:val="18"/>
              </w:rPr>
              <w:t>.</w:t>
            </w:r>
          </w:p>
          <w:p w14:paraId="2164CB72" w14:textId="77777777" w:rsidR="00BE197B" w:rsidRPr="005642DB" w:rsidRDefault="00BE197B" w:rsidP="00BE197B">
            <w:pPr>
              <w:pStyle w:val="tablebody0"/>
            </w:pPr>
          </w:p>
        </w:tc>
      </w:tr>
      <w:bookmarkEnd w:id="2766"/>
      <w:tr w:rsidR="00BE197B" w:rsidRPr="0080555B" w14:paraId="05BC71B2" w14:textId="77777777" w:rsidTr="00356445">
        <w:trPr>
          <w:cantSplit/>
        </w:trPr>
        <w:tc>
          <w:tcPr>
            <w:tcW w:w="1312" w:type="pct"/>
          </w:tcPr>
          <w:p w14:paraId="6D4BDF1E" w14:textId="77777777" w:rsidR="00BE197B" w:rsidRPr="0080555B" w:rsidRDefault="00BE197B" w:rsidP="00BE197B">
            <w:pPr>
              <w:pStyle w:val="tablebody0"/>
            </w:pPr>
            <w:r>
              <w:t>RTRMRRESP</w:t>
            </w:r>
            <w:r w:rsidRPr="0080555B">
              <w:rPr>
                <w:i/>
                <w:vertAlign w:val="subscript"/>
              </w:rPr>
              <w:t xml:space="preserve"> q</w:t>
            </w:r>
          </w:p>
        </w:tc>
        <w:tc>
          <w:tcPr>
            <w:tcW w:w="606" w:type="pct"/>
          </w:tcPr>
          <w:p w14:paraId="12BB6D33" w14:textId="77777777" w:rsidR="00BE197B" w:rsidRPr="0080555B" w:rsidRDefault="00BE197B" w:rsidP="00BE197B">
            <w:pPr>
              <w:pStyle w:val="tablebody0"/>
            </w:pPr>
            <w:r w:rsidRPr="0080555B">
              <w:t>MW</w:t>
            </w:r>
            <w:r>
              <w:t>h</w:t>
            </w:r>
          </w:p>
        </w:tc>
        <w:tc>
          <w:tcPr>
            <w:tcW w:w="3082" w:type="pct"/>
          </w:tcPr>
          <w:p w14:paraId="3B58F533" w14:textId="5149622C" w:rsidR="00E741B2" w:rsidRPr="00353A56" w:rsidRDefault="00BE197B" w:rsidP="00BE197B">
            <w:pPr>
              <w:pStyle w:val="tablebody0"/>
              <w:rPr>
                <w:i/>
              </w:rPr>
            </w:pPr>
            <w:r w:rsidRPr="00A20AF6">
              <w:rPr>
                <w:i/>
                <w:szCs w:val="18"/>
              </w:rPr>
              <w:t>Real-Time Ancillary Service Supply Responsibility for RMR Units represented by the QSE</w:t>
            </w:r>
            <w:r w:rsidRPr="0080555B">
              <w:sym w:font="Symbol" w:char="F0BE"/>
            </w:r>
            <w:r w:rsidRPr="00A20AF6">
              <w:rPr>
                <w:szCs w:val="18"/>
              </w:rPr>
              <w:t xml:space="preserve">The Real-Time Ancillary Service Supply Responsibility </w:t>
            </w:r>
            <w:r>
              <w:t>as set forth in</w:t>
            </w:r>
            <w:r w:rsidRPr="00353A56">
              <w:t xml:space="preserve"> the end of the</w:t>
            </w:r>
            <w:r>
              <w:t xml:space="preserve"> Adjustment Period COP for Reg-Up, </w:t>
            </w:r>
            <w:r w:rsidR="008B2D35">
              <w:t xml:space="preserve">ECRS, </w:t>
            </w:r>
            <w:r>
              <w:t>RRS</w:t>
            </w:r>
            <w:r w:rsidR="00E741B2">
              <w:t>,</w:t>
            </w:r>
            <w:r>
              <w:t xml:space="preserve"> and Non-Spin</w:t>
            </w:r>
            <w:r w:rsidRPr="00A20AF6">
              <w:rPr>
                <w:szCs w:val="18"/>
              </w:rPr>
              <w:t xml:space="preserve"> for all RMR</w:t>
            </w:r>
            <w:r>
              <w:rPr>
                <w:szCs w:val="18"/>
              </w:rPr>
              <w:t xml:space="preserve"> Units</w:t>
            </w:r>
            <w:r w:rsidRPr="00A20AF6">
              <w:rPr>
                <w:szCs w:val="18"/>
              </w:rPr>
              <w:t xml:space="preserve"> </w:t>
            </w:r>
            <w:r w:rsidRPr="00A94098">
              <w:rPr>
                <w:szCs w:val="18"/>
              </w:rPr>
              <w:t xml:space="preserve">discounted by the </w:t>
            </w:r>
            <w:r>
              <w:rPr>
                <w:szCs w:val="18"/>
              </w:rPr>
              <w:t>system-wide</w:t>
            </w:r>
            <w:r w:rsidRPr="00A94098">
              <w:rPr>
                <w:szCs w:val="18"/>
              </w:rPr>
              <w:t xml:space="preserve"> discount factor for the QSE </w:t>
            </w:r>
            <w:r w:rsidRPr="00A94098">
              <w:rPr>
                <w:i/>
                <w:szCs w:val="18"/>
              </w:rPr>
              <w:t>q</w:t>
            </w:r>
            <w:r w:rsidRPr="00A94098">
              <w:rPr>
                <w:szCs w:val="18"/>
              </w:rPr>
              <w:t>, integrated over the 15-minute Settlement Interval.</w:t>
            </w:r>
          </w:p>
          <w:p w14:paraId="08B7942F" w14:textId="77777777" w:rsidR="00BE197B" w:rsidRPr="00353A56" w:rsidRDefault="00BE197B" w:rsidP="00BE197B">
            <w:pPr>
              <w:pStyle w:val="tablebody0"/>
              <w:rPr>
                <w:i/>
              </w:rPr>
            </w:pPr>
          </w:p>
        </w:tc>
      </w:tr>
      <w:tr w:rsidR="00BE197B" w:rsidRPr="0080555B" w14:paraId="20AA2E3B" w14:textId="77777777" w:rsidTr="00356445">
        <w:trPr>
          <w:cantSplit/>
        </w:trPr>
        <w:tc>
          <w:tcPr>
            <w:tcW w:w="1312" w:type="pct"/>
            <w:tcBorders>
              <w:bottom w:val="single" w:sz="4" w:space="0" w:color="auto"/>
            </w:tcBorders>
          </w:tcPr>
          <w:p w14:paraId="4F4E148E" w14:textId="77777777" w:rsidR="00BE197B" w:rsidRPr="0080555B" w:rsidRDefault="00BE197B" w:rsidP="00BE197B">
            <w:pPr>
              <w:pStyle w:val="tablebody0"/>
              <w:rPr>
                <w:i/>
              </w:rPr>
            </w:pPr>
            <w:r w:rsidRPr="0010409C">
              <w:t xml:space="preserve">SYS_GEN_DISCFACTOR </w:t>
            </w:r>
          </w:p>
        </w:tc>
        <w:tc>
          <w:tcPr>
            <w:tcW w:w="606" w:type="pct"/>
            <w:tcBorders>
              <w:bottom w:val="single" w:sz="4" w:space="0" w:color="auto"/>
            </w:tcBorders>
          </w:tcPr>
          <w:p w14:paraId="0177734A" w14:textId="77777777" w:rsidR="00BE197B" w:rsidRPr="0080555B" w:rsidRDefault="00BE197B" w:rsidP="00BE197B">
            <w:pPr>
              <w:pStyle w:val="tablebody0"/>
            </w:pPr>
            <w:r w:rsidRPr="0010409C">
              <w:t>none</w:t>
            </w:r>
          </w:p>
        </w:tc>
        <w:tc>
          <w:tcPr>
            <w:tcW w:w="3082" w:type="pct"/>
            <w:tcBorders>
              <w:bottom w:val="single" w:sz="4" w:space="0" w:color="auto"/>
            </w:tcBorders>
          </w:tcPr>
          <w:p w14:paraId="5E8EA058" w14:textId="77777777" w:rsidR="00BE197B" w:rsidRPr="0080555B" w:rsidRDefault="00BE197B" w:rsidP="00BE197B">
            <w:pPr>
              <w:pStyle w:val="tablebody0"/>
            </w:pPr>
            <w:r w:rsidRPr="0010409C">
              <w:rPr>
                <w:i/>
              </w:rPr>
              <w:t>System-Wide Discount Factor</w:t>
            </w:r>
            <w:r w:rsidRPr="0010409C">
              <w:t xml:space="preserve"> – The system-wide discount factor used to discount inputs used in the calculation of Real-Time Ancillary Services Imbalance payment or charge is calculated </w:t>
            </w:r>
            <w:r>
              <w:t>as</w:t>
            </w:r>
            <w:r w:rsidRPr="00E80CD2">
              <w:t xml:space="preserve"> the average of the </w:t>
            </w:r>
            <w:r>
              <w:t xml:space="preserve">currently approved </w:t>
            </w:r>
            <w:r w:rsidRPr="00E80CD2">
              <w:t xml:space="preserve">Reserve Discount Factors (RDFs) </w:t>
            </w:r>
            <w:r>
              <w:t>applied to the temperatures from the current</w:t>
            </w:r>
            <w:r w:rsidRPr="00E80CD2">
              <w:t xml:space="preserve"> Season from the year prior</w:t>
            </w:r>
            <w:r w:rsidRPr="0010409C">
              <w:t>.  </w:t>
            </w:r>
          </w:p>
        </w:tc>
      </w:tr>
      <w:tr w:rsidR="00BE197B" w:rsidRPr="0080555B" w14:paraId="4B204B7D" w14:textId="77777777" w:rsidTr="00356445">
        <w:trPr>
          <w:cantSplit/>
        </w:trPr>
        <w:tc>
          <w:tcPr>
            <w:tcW w:w="1312" w:type="pct"/>
            <w:tcBorders>
              <w:bottom w:val="single" w:sz="4" w:space="0" w:color="auto"/>
            </w:tcBorders>
          </w:tcPr>
          <w:p w14:paraId="3BBC5FB5" w14:textId="77777777" w:rsidR="00BE197B" w:rsidRPr="0010409C" w:rsidRDefault="00BE197B" w:rsidP="00BE197B">
            <w:pPr>
              <w:pStyle w:val="tablebody0"/>
            </w:pPr>
            <w:r w:rsidRPr="00747285">
              <w:t>UGEN</w:t>
            </w:r>
            <w:r w:rsidRPr="00B6611B">
              <w:rPr>
                <w:i/>
                <w:vertAlign w:val="subscript"/>
              </w:rPr>
              <w:t xml:space="preserve"> q, r, p</w:t>
            </w:r>
          </w:p>
        </w:tc>
        <w:tc>
          <w:tcPr>
            <w:tcW w:w="606" w:type="pct"/>
            <w:tcBorders>
              <w:bottom w:val="single" w:sz="4" w:space="0" w:color="auto"/>
            </w:tcBorders>
          </w:tcPr>
          <w:p w14:paraId="44B0672A" w14:textId="77777777" w:rsidR="00BE197B" w:rsidRPr="0010409C" w:rsidRDefault="00BE197B" w:rsidP="00BE197B">
            <w:pPr>
              <w:pStyle w:val="tablebody0"/>
            </w:pPr>
            <w:r>
              <w:t>MWh</w:t>
            </w:r>
          </w:p>
        </w:tc>
        <w:tc>
          <w:tcPr>
            <w:tcW w:w="3082" w:type="pct"/>
            <w:tcBorders>
              <w:bottom w:val="single" w:sz="4" w:space="0" w:color="auto"/>
            </w:tcBorders>
          </w:tcPr>
          <w:p w14:paraId="3E7289E1" w14:textId="77777777" w:rsidR="00BE197B" w:rsidRPr="0010409C" w:rsidRDefault="00BE197B" w:rsidP="00BE197B">
            <w:pPr>
              <w:pStyle w:val="tablebody0"/>
              <w:rPr>
                <w:i/>
              </w:rPr>
            </w:pPr>
            <w:r w:rsidRPr="006624C0">
              <w:rPr>
                <w:i/>
              </w:rPr>
              <w:t>Under Generation Volumes per QSE per Settlement Point per Resource</w:t>
            </w:r>
            <w:r w:rsidRPr="006624C0">
              <w:t xml:space="preserve">—The amount 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w:t>
            </w:r>
            <w:r>
              <w:t>.</w:t>
            </w:r>
          </w:p>
        </w:tc>
      </w:tr>
      <w:tr w:rsidR="00BE197B" w:rsidRPr="0080555B" w14:paraId="201406EB" w14:textId="77777777" w:rsidTr="00356445">
        <w:trPr>
          <w:cantSplit/>
        </w:trPr>
        <w:tc>
          <w:tcPr>
            <w:tcW w:w="1312" w:type="pct"/>
            <w:tcBorders>
              <w:bottom w:val="single" w:sz="4" w:space="0" w:color="auto"/>
            </w:tcBorders>
          </w:tcPr>
          <w:p w14:paraId="30FCD094" w14:textId="77777777" w:rsidR="00BE197B" w:rsidRPr="0010409C" w:rsidRDefault="00BE197B" w:rsidP="00BE197B">
            <w:pPr>
              <w:pStyle w:val="tablebody0"/>
            </w:pPr>
            <w:r w:rsidRPr="00893150">
              <w:t>UGEN</w:t>
            </w:r>
            <w:r>
              <w:t>A</w:t>
            </w:r>
            <w:r w:rsidRPr="00B6611B">
              <w:rPr>
                <w:i/>
                <w:vertAlign w:val="subscript"/>
              </w:rPr>
              <w:t xml:space="preserve"> q, r, p</w:t>
            </w:r>
          </w:p>
        </w:tc>
        <w:tc>
          <w:tcPr>
            <w:tcW w:w="606" w:type="pct"/>
            <w:tcBorders>
              <w:bottom w:val="single" w:sz="4" w:space="0" w:color="auto"/>
            </w:tcBorders>
          </w:tcPr>
          <w:p w14:paraId="6DDA9342" w14:textId="77777777" w:rsidR="00BE197B" w:rsidRPr="0010409C" w:rsidRDefault="00BE197B" w:rsidP="00BE197B">
            <w:pPr>
              <w:pStyle w:val="tablebody0"/>
            </w:pPr>
            <w:r>
              <w:t>MWh</w:t>
            </w:r>
          </w:p>
        </w:tc>
        <w:tc>
          <w:tcPr>
            <w:tcW w:w="3082" w:type="pct"/>
            <w:tcBorders>
              <w:bottom w:val="single" w:sz="4" w:space="0" w:color="auto"/>
            </w:tcBorders>
          </w:tcPr>
          <w:p w14:paraId="75502E7A" w14:textId="77777777" w:rsidR="00BE197B" w:rsidRPr="0010409C" w:rsidRDefault="00BE197B" w:rsidP="00BE197B">
            <w:pPr>
              <w:pStyle w:val="tablebody0"/>
              <w:rPr>
                <w:i/>
              </w:rPr>
            </w:pPr>
            <w:r>
              <w:rPr>
                <w:i/>
              </w:rPr>
              <w:t xml:space="preserve">Adjusted </w:t>
            </w:r>
            <w:r w:rsidRPr="006624C0">
              <w:rPr>
                <w:i/>
              </w:rPr>
              <w:t>Under Generation Volumes per QSE per Settlement Point per Resource</w:t>
            </w:r>
            <w:r>
              <w:t xml:space="preserve">—The amount </w:t>
            </w:r>
            <w:r w:rsidRPr="006624C0">
              <w:t xml:space="preserve">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w:t>
            </w:r>
            <w:r>
              <w:t xml:space="preserve"> adjusted pursuant to paragraph</w:t>
            </w:r>
            <w:r w:rsidRPr="00B6611B">
              <w:t xml:space="preserve"> (</w:t>
            </w:r>
            <w:r>
              <w:t>6) above.</w:t>
            </w:r>
          </w:p>
        </w:tc>
      </w:tr>
      <w:tr w:rsidR="004F2298" w:rsidRPr="0080555B" w14:paraId="3E7930A9" w14:textId="77777777" w:rsidTr="004F2298">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4F2298" w14:paraId="142BD948" w14:textId="77777777" w:rsidTr="005C5A9B">
              <w:trPr>
                <w:trHeight w:val="206"/>
              </w:trPr>
              <w:tc>
                <w:tcPr>
                  <w:tcW w:w="9576" w:type="dxa"/>
                  <w:shd w:val="pct12" w:color="auto" w:fill="auto"/>
                </w:tcPr>
                <w:p w14:paraId="7B2F5D74" w14:textId="5AC50BDF" w:rsidR="004F2298" w:rsidRDefault="004F2298" w:rsidP="004F2298">
                  <w:pPr>
                    <w:pStyle w:val="Instructions"/>
                    <w:spacing w:before="120"/>
                  </w:pPr>
                  <w:r>
                    <w:t>[NPRR987</w:t>
                  </w:r>
                  <w:r w:rsidRPr="00356445">
                    <w:t>:  Insert the variabl</w:t>
                  </w:r>
                  <w:r w:rsidRPr="004F2298">
                    <w:t xml:space="preserve">es “UPESR </w:t>
                  </w:r>
                  <w:r w:rsidRPr="004F2298">
                    <w:rPr>
                      <w:vertAlign w:val="subscript"/>
                    </w:rPr>
                    <w:t>q, r, p</w:t>
                  </w:r>
                  <w:r w:rsidRPr="004F2298">
                    <w:t>” and “UPESRA</w:t>
                  </w:r>
                  <w:r w:rsidRPr="004F2298">
                    <w:rPr>
                      <w:vertAlign w:val="subscript"/>
                    </w:rPr>
                    <w:t xml:space="preserve"> q, r, p</w:t>
                  </w:r>
                  <w:r w:rsidRPr="004F2298">
                    <w:t>”</w:t>
                  </w:r>
                  <w:r w:rsidRPr="00356445">
                    <w:t xml:space="preserve">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4F2298" w:rsidRPr="0003648D" w14:paraId="29ED9A7D" w14:textId="77777777" w:rsidTr="005C5A9B">
                    <w:trPr>
                      <w:cantSplit/>
                    </w:trPr>
                    <w:tc>
                      <w:tcPr>
                        <w:tcW w:w="1279" w:type="pct"/>
                        <w:tcBorders>
                          <w:bottom w:val="single" w:sz="4" w:space="0" w:color="auto"/>
                        </w:tcBorders>
                      </w:tcPr>
                      <w:p w14:paraId="63211251" w14:textId="4F4D0EF8" w:rsidR="004F2298" w:rsidRPr="0003648D" w:rsidRDefault="004F2298" w:rsidP="004F2298">
                        <w:pPr>
                          <w:pStyle w:val="tablebody0"/>
                        </w:pPr>
                        <w:r w:rsidRPr="00C265BC">
                          <w:t xml:space="preserve">UPESR </w:t>
                        </w:r>
                        <w:r w:rsidRPr="00C265BC">
                          <w:rPr>
                            <w:i/>
                            <w:vertAlign w:val="subscript"/>
                          </w:rPr>
                          <w:t>q, r, p</w:t>
                        </w:r>
                      </w:p>
                    </w:tc>
                    <w:tc>
                      <w:tcPr>
                        <w:tcW w:w="623" w:type="pct"/>
                        <w:tcBorders>
                          <w:bottom w:val="single" w:sz="4" w:space="0" w:color="auto"/>
                        </w:tcBorders>
                      </w:tcPr>
                      <w:p w14:paraId="06C88BEA" w14:textId="5A4432B2" w:rsidR="004F2298" w:rsidRPr="0003648D" w:rsidRDefault="004F2298" w:rsidP="004F2298">
                        <w:pPr>
                          <w:pStyle w:val="tablebody0"/>
                        </w:pPr>
                        <w:r w:rsidRPr="00C265BC">
                          <w:t>MWh</w:t>
                        </w:r>
                      </w:p>
                    </w:tc>
                    <w:tc>
                      <w:tcPr>
                        <w:tcW w:w="3098" w:type="pct"/>
                        <w:tcBorders>
                          <w:bottom w:val="single" w:sz="4" w:space="0" w:color="auto"/>
                        </w:tcBorders>
                      </w:tcPr>
                      <w:p w14:paraId="56AC455B" w14:textId="0559BCB8" w:rsidR="004F2298" w:rsidRPr="0003648D" w:rsidRDefault="004F2298" w:rsidP="004F2298">
                        <w:pPr>
                          <w:pStyle w:val="tablebody0"/>
                          <w:rPr>
                            <w:i/>
                          </w:rPr>
                        </w:pPr>
                        <w:r w:rsidRPr="00C265BC">
                          <w:rPr>
                            <w:i/>
                          </w:rPr>
                          <w:t>Under-Performance Volumes per QSE per Settlement Point per Resource</w:t>
                        </w:r>
                        <w:r w:rsidRPr="00C265BC">
                          <w:t xml:space="preserve">—The amount the ESR under-performed divided evenly among the </w:t>
                        </w:r>
                        <w:r>
                          <w:t xml:space="preserve">modeled </w:t>
                        </w:r>
                        <w:r w:rsidRPr="00C265BC">
                          <w:t xml:space="preserve">Generation and Controllable Load Resources </w:t>
                        </w:r>
                        <w:r w:rsidRPr="00C265BC">
                          <w:rPr>
                            <w:i/>
                          </w:rPr>
                          <w:t>r</w:t>
                        </w:r>
                        <w:r w:rsidRPr="00C265BC">
                          <w:t xml:space="preserve"> in the ESR</w:t>
                        </w:r>
                        <w:r w:rsidRPr="00C265BC">
                          <w:rPr>
                            <w:i/>
                          </w:rPr>
                          <w:t xml:space="preserve">, </w:t>
                        </w:r>
                        <w:r w:rsidRPr="00C265BC">
                          <w:t xml:space="preserve">represented by QSE </w:t>
                        </w:r>
                        <w:r w:rsidRPr="00C265BC">
                          <w:rPr>
                            <w:i/>
                          </w:rPr>
                          <w:t>q</w:t>
                        </w:r>
                        <w:r w:rsidRPr="00C265BC">
                          <w:t xml:space="preserve"> at Resource Node </w:t>
                        </w:r>
                        <w:r w:rsidRPr="00C265BC">
                          <w:rPr>
                            <w:i/>
                          </w:rPr>
                          <w:t xml:space="preserve">p, </w:t>
                        </w:r>
                        <w:r w:rsidRPr="00C265BC">
                          <w:t>for the 15</w:t>
                        </w:r>
                        <w:r>
                          <w:t>-</w:t>
                        </w:r>
                        <w:r w:rsidRPr="00C265BC">
                          <w:t>minute Settlement Interval.</w:t>
                        </w:r>
                      </w:p>
                    </w:tc>
                  </w:tr>
                  <w:tr w:rsidR="004F2298" w:rsidRPr="0003648D" w14:paraId="08AA0777" w14:textId="77777777" w:rsidTr="005C5A9B">
                    <w:trPr>
                      <w:cantSplit/>
                    </w:trPr>
                    <w:tc>
                      <w:tcPr>
                        <w:tcW w:w="1279" w:type="pct"/>
                      </w:tcPr>
                      <w:p w14:paraId="1B4C6C81" w14:textId="5EA9A174" w:rsidR="004F2298" w:rsidRPr="0003648D" w:rsidRDefault="004F2298" w:rsidP="004F2298">
                        <w:pPr>
                          <w:pStyle w:val="tablebody0"/>
                        </w:pPr>
                        <w:r w:rsidRPr="00C265BC">
                          <w:t>UPESRA</w:t>
                        </w:r>
                        <w:r w:rsidRPr="00C265BC">
                          <w:rPr>
                            <w:i/>
                            <w:vertAlign w:val="subscript"/>
                          </w:rPr>
                          <w:t xml:space="preserve"> q, r, p</w:t>
                        </w:r>
                      </w:p>
                    </w:tc>
                    <w:tc>
                      <w:tcPr>
                        <w:tcW w:w="623" w:type="pct"/>
                      </w:tcPr>
                      <w:p w14:paraId="5DEB4217" w14:textId="2CA3CB57" w:rsidR="004F2298" w:rsidRPr="0003648D" w:rsidRDefault="004F2298" w:rsidP="004F2298">
                        <w:pPr>
                          <w:pStyle w:val="tablebody0"/>
                        </w:pPr>
                        <w:r w:rsidRPr="00C265BC">
                          <w:t>MWh</w:t>
                        </w:r>
                      </w:p>
                    </w:tc>
                    <w:tc>
                      <w:tcPr>
                        <w:tcW w:w="3098" w:type="pct"/>
                      </w:tcPr>
                      <w:p w14:paraId="25535329" w14:textId="22BC872C" w:rsidR="004F2298" w:rsidRPr="0003648D" w:rsidRDefault="004F2298" w:rsidP="004F2298">
                        <w:pPr>
                          <w:pStyle w:val="tablebody0"/>
                          <w:rPr>
                            <w:i/>
                          </w:rPr>
                        </w:pPr>
                        <w:r w:rsidRPr="00C265BC">
                          <w:rPr>
                            <w:i/>
                          </w:rPr>
                          <w:t>Adjusted Under-Performance Volumes per QSE per Settlement Point per Resource</w:t>
                        </w:r>
                        <w:r w:rsidRPr="00C265BC">
                          <w:t xml:space="preserve"> — The amount the ESR under-performed divided evenly among the </w:t>
                        </w:r>
                        <w:r>
                          <w:t xml:space="preserve">modeled </w:t>
                        </w:r>
                        <w:r w:rsidRPr="00C265BC">
                          <w:t xml:space="preserve">Generation and Controllable Load Resources </w:t>
                        </w:r>
                        <w:r w:rsidRPr="00C265BC">
                          <w:rPr>
                            <w:i/>
                          </w:rPr>
                          <w:t>r</w:t>
                        </w:r>
                        <w:r w:rsidRPr="00C265BC">
                          <w:t xml:space="preserve"> in the ESR</w:t>
                        </w:r>
                        <w:r w:rsidRPr="00C265BC">
                          <w:rPr>
                            <w:i/>
                          </w:rPr>
                          <w:t xml:space="preserve">, </w:t>
                        </w:r>
                        <w:r w:rsidRPr="00C265BC">
                          <w:t xml:space="preserve">represented by QSE </w:t>
                        </w:r>
                        <w:r w:rsidRPr="00C265BC">
                          <w:rPr>
                            <w:i/>
                          </w:rPr>
                          <w:t>q</w:t>
                        </w:r>
                        <w:r w:rsidRPr="00C265BC">
                          <w:t xml:space="preserve"> at Resource Node </w:t>
                        </w:r>
                        <w:r w:rsidRPr="00C265BC">
                          <w:rPr>
                            <w:i/>
                          </w:rPr>
                          <w:t xml:space="preserve">p, </w:t>
                        </w:r>
                        <w:r w:rsidRPr="00C265BC">
                          <w:t>for the 15</w:t>
                        </w:r>
                        <w:r>
                          <w:t>-</w:t>
                        </w:r>
                        <w:r w:rsidRPr="00C265BC">
                          <w:t>minute Settlement Interval adjusted pursuant to paragraph (6) above.</w:t>
                        </w:r>
                      </w:p>
                    </w:tc>
                  </w:tr>
                </w:tbl>
                <w:p w14:paraId="1BE7516F" w14:textId="77777777" w:rsidR="004F2298" w:rsidRPr="00AF45BD" w:rsidRDefault="004F2298" w:rsidP="004F2298">
                  <w:pPr>
                    <w:pStyle w:val="tablebody0"/>
                    <w:rPr>
                      <w:i/>
                    </w:rPr>
                  </w:pPr>
                </w:p>
              </w:tc>
            </w:tr>
          </w:tbl>
          <w:p w14:paraId="01D75F8C" w14:textId="77777777" w:rsidR="004F2298" w:rsidRPr="0080555B" w:rsidRDefault="004F2298" w:rsidP="00BE197B">
            <w:pPr>
              <w:pStyle w:val="tablebody0"/>
            </w:pPr>
          </w:p>
        </w:tc>
      </w:tr>
      <w:tr w:rsidR="00BE197B" w:rsidRPr="0080555B" w14:paraId="69798DA0" w14:textId="77777777" w:rsidTr="00356445">
        <w:trPr>
          <w:cantSplit/>
        </w:trPr>
        <w:tc>
          <w:tcPr>
            <w:tcW w:w="1312" w:type="pct"/>
          </w:tcPr>
          <w:p w14:paraId="3B5A1DF1" w14:textId="77777777" w:rsidR="00BE197B" w:rsidRPr="0080555B" w:rsidRDefault="00BE197B" w:rsidP="00BE197B">
            <w:pPr>
              <w:pStyle w:val="tablebody0"/>
            </w:pPr>
            <w:r w:rsidRPr="0080555B">
              <w:rPr>
                <w:i/>
              </w:rPr>
              <w:t>r</w:t>
            </w:r>
          </w:p>
        </w:tc>
        <w:tc>
          <w:tcPr>
            <w:tcW w:w="606" w:type="pct"/>
          </w:tcPr>
          <w:p w14:paraId="0B3B85B7" w14:textId="77777777" w:rsidR="00BE197B" w:rsidRPr="0080555B" w:rsidRDefault="00BE197B" w:rsidP="00BE197B">
            <w:pPr>
              <w:pStyle w:val="tablebody0"/>
            </w:pPr>
            <w:r w:rsidRPr="0080555B">
              <w:t>none</w:t>
            </w:r>
          </w:p>
        </w:tc>
        <w:tc>
          <w:tcPr>
            <w:tcW w:w="3082" w:type="pct"/>
          </w:tcPr>
          <w:p w14:paraId="058564D2" w14:textId="77777777" w:rsidR="00BE197B" w:rsidRPr="0080555B" w:rsidRDefault="00BE197B" w:rsidP="00BE197B">
            <w:pPr>
              <w:pStyle w:val="tablebody0"/>
              <w:rPr>
                <w:i/>
              </w:rPr>
            </w:pPr>
            <w:r w:rsidRPr="0080555B">
              <w:t>A Generation or Load Resource.</w:t>
            </w:r>
          </w:p>
        </w:tc>
      </w:tr>
      <w:tr w:rsidR="00BE197B" w:rsidRPr="0080555B" w14:paraId="23AEDCB9" w14:textId="77777777" w:rsidTr="00356445">
        <w:trPr>
          <w:cantSplit/>
        </w:trPr>
        <w:tc>
          <w:tcPr>
            <w:tcW w:w="1312" w:type="pct"/>
          </w:tcPr>
          <w:p w14:paraId="773B1BF2" w14:textId="77777777" w:rsidR="00BE197B" w:rsidRPr="0080555B" w:rsidRDefault="00BE197B" w:rsidP="00BE197B">
            <w:pPr>
              <w:pStyle w:val="tablebody0"/>
            </w:pPr>
            <w:r w:rsidRPr="0080555B">
              <w:rPr>
                <w:i/>
              </w:rPr>
              <w:t>y</w:t>
            </w:r>
          </w:p>
        </w:tc>
        <w:tc>
          <w:tcPr>
            <w:tcW w:w="606" w:type="pct"/>
          </w:tcPr>
          <w:p w14:paraId="31AC178A" w14:textId="77777777" w:rsidR="00BE197B" w:rsidRPr="0080555B" w:rsidRDefault="00BE197B" w:rsidP="00BE197B">
            <w:pPr>
              <w:pStyle w:val="tablebody0"/>
            </w:pPr>
            <w:r w:rsidRPr="0080555B">
              <w:t>none</w:t>
            </w:r>
          </w:p>
        </w:tc>
        <w:tc>
          <w:tcPr>
            <w:tcW w:w="3082" w:type="pct"/>
          </w:tcPr>
          <w:p w14:paraId="320FD017" w14:textId="77777777" w:rsidR="00BE197B" w:rsidRPr="0080555B" w:rsidRDefault="00BE197B" w:rsidP="00BE197B">
            <w:pPr>
              <w:pStyle w:val="tablebody0"/>
              <w:rPr>
                <w:i/>
              </w:rPr>
            </w:pPr>
            <w:r w:rsidRPr="0080555B">
              <w:t>A SCED interval in the 15-minute Settlement Interval.  The summation is over the total number of SCED runs that cover the 15-minute Settlement Interval.</w:t>
            </w:r>
          </w:p>
        </w:tc>
      </w:tr>
      <w:tr w:rsidR="00BE197B" w:rsidRPr="0080555B" w14:paraId="1A54151B" w14:textId="77777777" w:rsidTr="00356445">
        <w:trPr>
          <w:cantSplit/>
        </w:trPr>
        <w:tc>
          <w:tcPr>
            <w:tcW w:w="1312" w:type="pct"/>
          </w:tcPr>
          <w:p w14:paraId="06565AEF" w14:textId="77777777" w:rsidR="00BE197B" w:rsidRPr="0080555B" w:rsidRDefault="00BE197B" w:rsidP="00BE197B">
            <w:pPr>
              <w:pStyle w:val="tablebody0"/>
              <w:rPr>
                <w:i/>
              </w:rPr>
            </w:pPr>
            <w:r>
              <w:rPr>
                <w:i/>
              </w:rPr>
              <w:t>q</w:t>
            </w:r>
          </w:p>
        </w:tc>
        <w:tc>
          <w:tcPr>
            <w:tcW w:w="606" w:type="pct"/>
          </w:tcPr>
          <w:p w14:paraId="39EB3F5E" w14:textId="77777777" w:rsidR="00BE197B" w:rsidRPr="0080555B" w:rsidRDefault="00BE197B" w:rsidP="00BE197B">
            <w:pPr>
              <w:pStyle w:val="tablebody0"/>
            </w:pPr>
            <w:r w:rsidRPr="0080555B">
              <w:t>none</w:t>
            </w:r>
          </w:p>
        </w:tc>
        <w:tc>
          <w:tcPr>
            <w:tcW w:w="3082" w:type="pct"/>
          </w:tcPr>
          <w:p w14:paraId="10EACA00" w14:textId="77777777" w:rsidR="00BE197B" w:rsidRPr="0080555B" w:rsidRDefault="00BE197B" w:rsidP="00BE197B">
            <w:pPr>
              <w:pStyle w:val="tablebody0"/>
            </w:pPr>
            <w:r w:rsidRPr="0080555B">
              <w:t>A QSE.</w:t>
            </w:r>
          </w:p>
        </w:tc>
      </w:tr>
      <w:tr w:rsidR="000F3CEA" w:rsidRPr="0080555B" w14:paraId="2EB9B875" w14:textId="77777777" w:rsidTr="00356445">
        <w:trPr>
          <w:cantSplit/>
        </w:trPr>
        <w:tc>
          <w:tcPr>
            <w:tcW w:w="1312" w:type="pct"/>
          </w:tcPr>
          <w:p w14:paraId="26BA5BA4" w14:textId="77777777" w:rsidR="000F3CEA" w:rsidRDefault="000F3CEA" w:rsidP="000F3CEA">
            <w:pPr>
              <w:pStyle w:val="tablebody0"/>
              <w:rPr>
                <w:i/>
              </w:rPr>
            </w:pPr>
            <w:r w:rsidRPr="00D661BC">
              <w:rPr>
                <w:i/>
              </w:rPr>
              <w:t>p</w:t>
            </w:r>
          </w:p>
        </w:tc>
        <w:tc>
          <w:tcPr>
            <w:tcW w:w="606" w:type="pct"/>
          </w:tcPr>
          <w:p w14:paraId="565A6A35" w14:textId="77777777" w:rsidR="000F3CEA" w:rsidRPr="0080555B" w:rsidRDefault="000F3CEA" w:rsidP="000F3CEA">
            <w:pPr>
              <w:pStyle w:val="tablebody0"/>
            </w:pPr>
            <w:r>
              <w:t>none</w:t>
            </w:r>
          </w:p>
        </w:tc>
        <w:tc>
          <w:tcPr>
            <w:tcW w:w="3082" w:type="pct"/>
          </w:tcPr>
          <w:p w14:paraId="65A965F8" w14:textId="77777777" w:rsidR="000F3CEA" w:rsidRPr="0080555B" w:rsidRDefault="000F3CEA" w:rsidP="000F3CEA">
            <w:pPr>
              <w:pStyle w:val="tablebody0"/>
            </w:pPr>
            <w:r>
              <w:t>A Resource Node Settlement Point.</w:t>
            </w:r>
          </w:p>
        </w:tc>
      </w:tr>
      <w:tr w:rsidR="004F2298" w:rsidRPr="0080555B" w14:paraId="5957B86C" w14:textId="77777777" w:rsidTr="004F2298">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4F2298" w14:paraId="0297DAEE" w14:textId="77777777" w:rsidTr="005C5A9B">
              <w:trPr>
                <w:trHeight w:val="206"/>
              </w:trPr>
              <w:tc>
                <w:tcPr>
                  <w:tcW w:w="9576" w:type="dxa"/>
                  <w:shd w:val="pct12" w:color="auto" w:fill="auto"/>
                </w:tcPr>
                <w:p w14:paraId="1F986F71" w14:textId="76A99381" w:rsidR="004F2298" w:rsidRDefault="004F2298" w:rsidP="004F2298">
                  <w:pPr>
                    <w:pStyle w:val="Instructions"/>
                    <w:spacing w:before="120"/>
                  </w:pPr>
                  <w:r>
                    <w:lastRenderedPageBreak/>
                    <w:t>[NPRR987</w:t>
                  </w:r>
                  <w:r w:rsidRPr="00356445">
                    <w:t>:  Insert the variabl</w:t>
                  </w:r>
                  <w:r w:rsidRPr="004F2298">
                    <w:t>e “</w:t>
                  </w:r>
                  <w:r>
                    <w:t>g</w:t>
                  </w:r>
                  <w:r w:rsidRPr="004F2298">
                    <w:t>”</w:t>
                  </w:r>
                  <w:r w:rsidRPr="00356445">
                    <w:t xml:space="preserve">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4F2298" w:rsidRPr="0003648D" w14:paraId="251C1454" w14:textId="77777777" w:rsidTr="005C5A9B">
                    <w:trPr>
                      <w:cantSplit/>
                    </w:trPr>
                    <w:tc>
                      <w:tcPr>
                        <w:tcW w:w="1279" w:type="pct"/>
                        <w:tcBorders>
                          <w:bottom w:val="single" w:sz="4" w:space="0" w:color="auto"/>
                        </w:tcBorders>
                      </w:tcPr>
                      <w:p w14:paraId="35F7FD52" w14:textId="3C861B45" w:rsidR="004F2298" w:rsidRPr="0003648D" w:rsidRDefault="004F2298" w:rsidP="004F2298">
                        <w:pPr>
                          <w:pStyle w:val="tablebody0"/>
                        </w:pPr>
                        <w:r>
                          <w:rPr>
                            <w:i/>
                          </w:rPr>
                          <w:t>g</w:t>
                        </w:r>
                      </w:p>
                    </w:tc>
                    <w:tc>
                      <w:tcPr>
                        <w:tcW w:w="623" w:type="pct"/>
                        <w:tcBorders>
                          <w:bottom w:val="single" w:sz="4" w:space="0" w:color="auto"/>
                        </w:tcBorders>
                      </w:tcPr>
                      <w:p w14:paraId="05BE0045" w14:textId="1074B344" w:rsidR="004F2298" w:rsidRPr="0003648D" w:rsidRDefault="004F2298" w:rsidP="004F2298">
                        <w:pPr>
                          <w:pStyle w:val="tablebody0"/>
                        </w:pPr>
                        <w:r>
                          <w:t>none</w:t>
                        </w:r>
                      </w:p>
                    </w:tc>
                    <w:tc>
                      <w:tcPr>
                        <w:tcW w:w="3098" w:type="pct"/>
                        <w:tcBorders>
                          <w:bottom w:val="single" w:sz="4" w:space="0" w:color="auto"/>
                        </w:tcBorders>
                      </w:tcPr>
                      <w:p w14:paraId="651D037F" w14:textId="49510038" w:rsidR="004F2298" w:rsidRPr="0003648D" w:rsidRDefault="004F2298" w:rsidP="004F2298">
                        <w:pPr>
                          <w:pStyle w:val="tablebody0"/>
                          <w:rPr>
                            <w:i/>
                          </w:rPr>
                        </w:pPr>
                        <w:r>
                          <w:t>An ESR.</w:t>
                        </w:r>
                      </w:p>
                    </w:tc>
                  </w:tr>
                </w:tbl>
                <w:p w14:paraId="30D5512C" w14:textId="77777777" w:rsidR="004F2298" w:rsidRPr="00AF45BD" w:rsidRDefault="004F2298" w:rsidP="004F2298">
                  <w:pPr>
                    <w:pStyle w:val="tablebody0"/>
                    <w:rPr>
                      <w:i/>
                    </w:rPr>
                  </w:pPr>
                </w:p>
              </w:tc>
            </w:tr>
          </w:tbl>
          <w:p w14:paraId="2FAB4A8C" w14:textId="77777777" w:rsidR="004F2298" w:rsidRDefault="004F2298" w:rsidP="000F3CEA">
            <w:pPr>
              <w:pStyle w:val="tablebody0"/>
            </w:pPr>
          </w:p>
        </w:tc>
      </w:tr>
    </w:tbl>
    <w:p w14:paraId="25E6206B" w14:textId="77DB2221" w:rsidR="001F04FD" w:rsidRPr="000275BF" w:rsidRDefault="001F04FD" w:rsidP="001F04FD">
      <w:pPr>
        <w:pStyle w:val="Instructions"/>
        <w:spacing w:before="240" w:after="120"/>
        <w:ind w:left="720" w:hanging="720"/>
        <w:rPr>
          <w:b w:val="0"/>
          <w:i w:val="0"/>
          <w:iCs w:val="0"/>
        </w:rPr>
      </w:pPr>
      <w:r w:rsidRPr="000275BF">
        <w:rPr>
          <w:b w:val="0"/>
          <w:i w:val="0"/>
        </w:rPr>
        <w:t>(</w:t>
      </w:r>
      <w:r>
        <w:rPr>
          <w:b w:val="0"/>
          <w:i w:val="0"/>
        </w:rPr>
        <w:t>8</w:t>
      </w:r>
      <w:r w:rsidRPr="000275BF">
        <w:rPr>
          <w:b w:val="0"/>
          <w:i w:val="0"/>
        </w:rPr>
        <w:t>)</w:t>
      </w:r>
      <w:r w:rsidRPr="000275BF">
        <w:rPr>
          <w:b w:val="0"/>
          <w:i w:val="0"/>
        </w:rPr>
        <w:tab/>
        <w:t>The payment to each QSE for the Ancillary Service reserves associated with RUC Resources that have received a RUC Dispatch to provide Ancillary Services in which the 15-minute Settlement Interval is part of a RUC Buy-Back Hour based on the RUC opt out prov</w:t>
      </w:r>
      <w:r w:rsidR="00B84541">
        <w:rPr>
          <w:b w:val="0"/>
          <w:i w:val="0"/>
        </w:rPr>
        <w:t>ision set forth in paragraph (1</w:t>
      </w:r>
      <w:r w:rsidR="00910305">
        <w:rPr>
          <w:b w:val="0"/>
          <w:i w:val="0"/>
        </w:rPr>
        <w:t>4</w:t>
      </w:r>
      <w:r w:rsidRPr="000275BF">
        <w:rPr>
          <w:b w:val="0"/>
          <w:i w:val="0"/>
        </w:rPr>
        <w:t>) of Section 5.5.2</w:t>
      </w:r>
      <w:r>
        <w:rPr>
          <w:b w:val="0"/>
          <w:i w:val="0"/>
        </w:rPr>
        <w:t xml:space="preserve"> </w:t>
      </w:r>
      <w:r w:rsidRPr="000275BF">
        <w:rPr>
          <w:b w:val="0"/>
          <w:i w:val="0"/>
        </w:rPr>
        <w:t>for a given 15-minute Settlement Interval is calculated as follows:</w:t>
      </w:r>
    </w:p>
    <w:p w14:paraId="08768064" w14:textId="77777777" w:rsidR="001F04FD" w:rsidRDefault="001F04FD" w:rsidP="001F04FD">
      <w:pPr>
        <w:spacing w:before="240" w:after="240"/>
        <w:ind w:left="3600" w:hanging="2434"/>
        <w:rPr>
          <w:b/>
        </w:rPr>
      </w:pPr>
      <w:r w:rsidRPr="000275BF">
        <w:rPr>
          <w:b/>
        </w:rPr>
        <w:t xml:space="preserve">RTRUCRSVAMT </w:t>
      </w:r>
      <w:r w:rsidRPr="000275BF">
        <w:rPr>
          <w:b/>
          <w:i/>
          <w:vertAlign w:val="subscript"/>
        </w:rPr>
        <w:t>q</w:t>
      </w:r>
      <w:r w:rsidRPr="000275BF">
        <w:rPr>
          <w:b/>
        </w:rPr>
        <w:t xml:space="preserve"> =</w:t>
      </w:r>
      <w:r w:rsidRPr="000275BF">
        <w:rPr>
          <w:b/>
        </w:rPr>
        <w:tab/>
        <w:t xml:space="preserve">(-1) * (RTRUCRESP </w:t>
      </w:r>
      <w:r w:rsidRPr="000275BF">
        <w:rPr>
          <w:b/>
          <w:i/>
          <w:vertAlign w:val="subscript"/>
        </w:rPr>
        <w:t>q</w:t>
      </w:r>
      <w:r w:rsidRPr="000275BF">
        <w:rPr>
          <w:b/>
        </w:rPr>
        <w:t xml:space="preserve"> * RTRSVPOR)</w:t>
      </w:r>
    </w:p>
    <w:p w14:paraId="452835CC" w14:textId="77777777" w:rsidR="001F04FD" w:rsidRDefault="001F04FD" w:rsidP="001F04FD">
      <w:pPr>
        <w:spacing w:before="240" w:after="240"/>
        <w:ind w:left="3600" w:hanging="2434"/>
        <w:rPr>
          <w:b/>
        </w:rPr>
      </w:pPr>
      <w:r w:rsidRPr="000275BF">
        <w:rPr>
          <w:b/>
        </w:rPr>
        <w:t>RT</w:t>
      </w:r>
      <w:r>
        <w:rPr>
          <w:b/>
        </w:rPr>
        <w:t>RD</w:t>
      </w:r>
      <w:r w:rsidRPr="000275BF">
        <w:rPr>
          <w:b/>
        </w:rPr>
        <w:t xml:space="preserve">RUCRSVAMT </w:t>
      </w:r>
      <w:r w:rsidRPr="000275BF">
        <w:rPr>
          <w:b/>
          <w:i/>
          <w:vertAlign w:val="subscript"/>
        </w:rPr>
        <w:t>q</w:t>
      </w:r>
      <w:r w:rsidRPr="000275BF">
        <w:rPr>
          <w:b/>
        </w:rPr>
        <w:t xml:space="preserve"> =</w:t>
      </w:r>
      <w:r w:rsidRPr="000275BF">
        <w:rPr>
          <w:b/>
        </w:rPr>
        <w:tab/>
        <w:t xml:space="preserve">(-1) * (RTRUCRESP </w:t>
      </w:r>
      <w:r w:rsidRPr="000275BF">
        <w:rPr>
          <w:b/>
          <w:i/>
          <w:vertAlign w:val="subscript"/>
        </w:rPr>
        <w:t>q</w:t>
      </w:r>
      <w:r w:rsidRPr="000275BF">
        <w:rPr>
          <w:b/>
        </w:rPr>
        <w:t xml:space="preserve"> * </w:t>
      </w:r>
      <w:r>
        <w:rPr>
          <w:b/>
        </w:rPr>
        <w:t>RTRDP</w:t>
      </w:r>
      <w:r w:rsidRPr="000275BF">
        <w:rPr>
          <w:b/>
        </w:rPr>
        <w:t>)</w:t>
      </w:r>
    </w:p>
    <w:p w14:paraId="32A4B92A" w14:textId="77777777" w:rsidR="001F04FD" w:rsidRPr="00A20AF6" w:rsidRDefault="001F04FD" w:rsidP="001F04FD">
      <w:pPr>
        <w:spacing w:after="240"/>
      </w:pPr>
      <w:r w:rsidRPr="00A20AF6">
        <w:t>Where:</w:t>
      </w:r>
    </w:p>
    <w:p w14:paraId="746042DE" w14:textId="77777777" w:rsidR="001F04FD" w:rsidRPr="000275BF" w:rsidRDefault="001F04FD" w:rsidP="001F04FD">
      <w:pPr>
        <w:spacing w:after="240"/>
        <w:ind w:left="720"/>
        <w:rPr>
          <w:b/>
        </w:rPr>
      </w:pPr>
      <w:r w:rsidRPr="00A20AF6">
        <w:t>RTRUCRESP</w:t>
      </w:r>
      <w:r>
        <w:t> </w:t>
      </w:r>
      <w:r w:rsidRPr="00DD42BD">
        <w:rPr>
          <w:i/>
          <w:vertAlign w:val="subscript"/>
        </w:rPr>
        <w:t>q</w:t>
      </w:r>
      <w:r w:rsidR="001C490B">
        <w:rPr>
          <w:i/>
          <w:vertAlign w:val="subscript"/>
        </w:rPr>
        <w:t xml:space="preserve"> </w:t>
      </w:r>
      <w:r w:rsidRPr="00B074A0">
        <w:t>=</w:t>
      </w:r>
      <w:r w:rsidRPr="00A20AF6">
        <w:t xml:space="preserve"> </w:t>
      </w:r>
      <w:r w:rsidRPr="000275BF">
        <w:rPr>
          <w:position w:val="-18"/>
        </w:rPr>
        <w:object w:dxaOrig="225" w:dyaOrig="420" w14:anchorId="04B869C8">
          <v:shape id="_x0000_i1395" type="#_x0000_t75" style="width:12pt;height:24pt" o:ole="">
            <v:imagedata r:id="rId159" o:title=""/>
          </v:shape>
          <o:OLEObject Type="Embed" ProgID="Equation.3" ShapeID="_x0000_i1395" DrawAspect="Content" ObjectID="_1815025583" r:id="rId487"/>
        </w:object>
      </w:r>
      <w:r w:rsidRPr="000275BF" w:rsidDel="0018509B">
        <w:t xml:space="preserve"> </w:t>
      </w:r>
      <w:r>
        <w:t>RTRUCASA</w:t>
      </w:r>
      <w:r w:rsidRPr="000275BF">
        <w:rPr>
          <w:i/>
          <w:vertAlign w:val="subscript"/>
        </w:rPr>
        <w:t xml:space="preserve"> q, r</w:t>
      </w:r>
      <w:r>
        <w:t xml:space="preserve"> * ¼</w:t>
      </w:r>
    </w:p>
    <w:p w14:paraId="2BF22AD9"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1F04FD" w:rsidRPr="00AF4E13" w14:paraId="46E2B527" w14:textId="77777777" w:rsidTr="00AC4DEE">
        <w:trPr>
          <w:cantSplit/>
          <w:tblHeader/>
        </w:trPr>
        <w:tc>
          <w:tcPr>
            <w:tcW w:w="1146" w:type="pct"/>
          </w:tcPr>
          <w:p w14:paraId="04628567" w14:textId="77777777" w:rsidR="001F04FD" w:rsidRPr="00CE4C14" w:rsidRDefault="001F04FD" w:rsidP="00AC4DEE">
            <w:pPr>
              <w:pStyle w:val="TableHead"/>
            </w:pPr>
            <w:r w:rsidRPr="00CE4C14">
              <w:t>Variable</w:t>
            </w:r>
          </w:p>
        </w:tc>
        <w:tc>
          <w:tcPr>
            <w:tcW w:w="675" w:type="pct"/>
          </w:tcPr>
          <w:p w14:paraId="52A4673B" w14:textId="77777777" w:rsidR="001F04FD" w:rsidRPr="00CE4C14" w:rsidRDefault="001F04FD" w:rsidP="00AC4DEE">
            <w:pPr>
              <w:pStyle w:val="TableHead"/>
            </w:pPr>
            <w:r w:rsidRPr="00CE4C14">
              <w:t>Unit</w:t>
            </w:r>
          </w:p>
        </w:tc>
        <w:tc>
          <w:tcPr>
            <w:tcW w:w="3179" w:type="pct"/>
          </w:tcPr>
          <w:p w14:paraId="08191FB9" w14:textId="77777777" w:rsidR="001F04FD" w:rsidRPr="00CE4C14" w:rsidRDefault="001F04FD" w:rsidP="00AC4DEE">
            <w:pPr>
              <w:pStyle w:val="TableHead"/>
            </w:pPr>
            <w:r w:rsidRPr="00CE4C14">
              <w:t>Description</w:t>
            </w:r>
          </w:p>
        </w:tc>
      </w:tr>
      <w:tr w:rsidR="001F04FD" w14:paraId="4D52A682" w14:textId="77777777" w:rsidTr="00AC4DEE">
        <w:trPr>
          <w:cantSplit/>
        </w:trPr>
        <w:tc>
          <w:tcPr>
            <w:tcW w:w="1146" w:type="pct"/>
            <w:tcBorders>
              <w:bottom w:val="single" w:sz="4" w:space="0" w:color="auto"/>
            </w:tcBorders>
          </w:tcPr>
          <w:p w14:paraId="024C74CF" w14:textId="77777777" w:rsidR="001F04FD" w:rsidRPr="00D106C5" w:rsidRDefault="001F04FD" w:rsidP="00AC4DEE">
            <w:pPr>
              <w:pStyle w:val="tablebody0"/>
            </w:pPr>
            <w:r w:rsidRPr="009612BC">
              <w:t>RTRUCRSV</w:t>
            </w:r>
            <w:r>
              <w:t>A</w:t>
            </w:r>
            <w:r w:rsidRPr="009612BC">
              <w:t>MT</w:t>
            </w:r>
            <w:r w:rsidRPr="00936D9F">
              <w:rPr>
                <w:vertAlign w:val="subscript"/>
              </w:rPr>
              <w:t xml:space="preserve"> </w:t>
            </w:r>
            <w:r w:rsidRPr="00967A0A">
              <w:rPr>
                <w:i/>
                <w:vertAlign w:val="subscript"/>
              </w:rPr>
              <w:t>q</w:t>
            </w:r>
          </w:p>
        </w:tc>
        <w:tc>
          <w:tcPr>
            <w:tcW w:w="675" w:type="pct"/>
            <w:tcBorders>
              <w:bottom w:val="single" w:sz="4" w:space="0" w:color="auto"/>
            </w:tcBorders>
          </w:tcPr>
          <w:p w14:paraId="4A29E24B" w14:textId="77777777" w:rsidR="001F04FD" w:rsidRPr="004368B4" w:rsidRDefault="001F04FD" w:rsidP="00AC4DEE">
            <w:pPr>
              <w:pStyle w:val="tablebody0"/>
            </w:pPr>
            <w:r w:rsidRPr="004368B4">
              <w:t>$</w:t>
            </w:r>
          </w:p>
        </w:tc>
        <w:tc>
          <w:tcPr>
            <w:tcW w:w="3179" w:type="pct"/>
            <w:tcBorders>
              <w:bottom w:val="single" w:sz="4" w:space="0" w:color="auto"/>
            </w:tcBorders>
          </w:tcPr>
          <w:p w14:paraId="43DB40D3" w14:textId="77777777" w:rsidR="001F04FD" w:rsidRDefault="001F04FD" w:rsidP="00AC4DEE">
            <w:pPr>
              <w:pStyle w:val="tablebody0"/>
              <w:rPr>
                <w:i/>
              </w:rPr>
            </w:pPr>
            <w:r>
              <w:rPr>
                <w:i/>
              </w:rPr>
              <w:t>Real-Time RUC Ancillary Service Reserve Amount</w:t>
            </w:r>
            <w:r w:rsidRPr="004368B4">
              <w:t>—</w:t>
            </w:r>
            <w:r w:rsidRPr="00997DBF">
              <w:rPr>
                <w:iCs/>
              </w:rPr>
              <w:t xml:space="preserve">The total payment </w:t>
            </w:r>
            <w:r>
              <w:rPr>
                <w:iCs/>
              </w:rPr>
              <w:t>|</w:t>
            </w:r>
            <w:r w:rsidRPr="00997DBF">
              <w:rPr>
                <w:iCs/>
              </w:rPr>
              <w:t xml:space="preserve">to QSE </w:t>
            </w:r>
            <w:r w:rsidRPr="00672F2C">
              <w:rPr>
                <w:i/>
                <w:iCs/>
              </w:rPr>
              <w:t>q</w:t>
            </w:r>
            <w:r w:rsidRPr="00997DBF">
              <w:rPr>
                <w:iCs/>
              </w:rPr>
              <w:t xml:space="preserve"> </w:t>
            </w:r>
            <w:r w:rsidRPr="00997DBF">
              <w:t xml:space="preserve">for </w:t>
            </w:r>
            <w:r>
              <w:t>the Real-Time RUC Ancillary Service Reserve payment associated with ORDC</w:t>
            </w:r>
            <w:r w:rsidRPr="00997DBF">
              <w:t xml:space="preserve"> </w:t>
            </w:r>
            <w:r w:rsidRPr="00997DBF">
              <w:rPr>
                <w:iCs/>
              </w:rPr>
              <w:t>for each 15-minute Settlement Interval.</w:t>
            </w:r>
          </w:p>
        </w:tc>
      </w:tr>
      <w:tr w:rsidR="001F04FD" w14:paraId="711096E0" w14:textId="77777777" w:rsidTr="00AC4DEE">
        <w:trPr>
          <w:cantSplit/>
        </w:trPr>
        <w:tc>
          <w:tcPr>
            <w:tcW w:w="1146" w:type="pct"/>
          </w:tcPr>
          <w:p w14:paraId="76CAAA7B" w14:textId="77777777" w:rsidR="001F04FD" w:rsidRPr="00D106C5" w:rsidRDefault="001F04FD" w:rsidP="00AC4DEE">
            <w:pPr>
              <w:pStyle w:val="tablebody0"/>
            </w:pPr>
            <w:r w:rsidRPr="009612BC">
              <w:t>RT</w:t>
            </w:r>
            <w:r>
              <w:t>RD</w:t>
            </w:r>
            <w:r w:rsidRPr="009612BC">
              <w:t>RUCRSV</w:t>
            </w:r>
            <w:r>
              <w:t>A</w:t>
            </w:r>
            <w:r w:rsidRPr="009612BC">
              <w:t xml:space="preserve">MT </w:t>
            </w:r>
            <w:r w:rsidRPr="00967A0A">
              <w:rPr>
                <w:i/>
                <w:vertAlign w:val="subscript"/>
              </w:rPr>
              <w:t>q</w:t>
            </w:r>
          </w:p>
        </w:tc>
        <w:tc>
          <w:tcPr>
            <w:tcW w:w="675" w:type="pct"/>
          </w:tcPr>
          <w:p w14:paraId="57FB280B" w14:textId="77777777" w:rsidR="001F04FD" w:rsidRPr="004368B4" w:rsidRDefault="001F04FD" w:rsidP="00AC4DEE">
            <w:pPr>
              <w:pStyle w:val="tablebody0"/>
            </w:pPr>
            <w:r w:rsidRPr="004368B4">
              <w:t>$</w:t>
            </w:r>
          </w:p>
        </w:tc>
        <w:tc>
          <w:tcPr>
            <w:tcW w:w="3179" w:type="pct"/>
          </w:tcPr>
          <w:p w14:paraId="593C1579" w14:textId="77777777" w:rsidR="001F04FD" w:rsidRDefault="001F04FD" w:rsidP="00AC4DEE">
            <w:pPr>
              <w:pStyle w:val="tablebody0"/>
              <w:rPr>
                <w:i/>
              </w:rPr>
            </w:pPr>
            <w:r>
              <w:rPr>
                <w:i/>
              </w:rPr>
              <w:t>Real-Time Reliability Deployment RUC Ancillary Service Reserve Amount</w:t>
            </w:r>
            <w:r w:rsidRPr="004368B4">
              <w:t>—</w:t>
            </w:r>
            <w:r w:rsidRPr="00997DBF">
              <w:rPr>
                <w:iCs/>
              </w:rPr>
              <w:t xml:space="preserve">The total payment </w:t>
            </w:r>
            <w:r>
              <w:rPr>
                <w:iCs/>
              </w:rPr>
              <w:t>|</w:t>
            </w:r>
            <w:r w:rsidRPr="00997DBF">
              <w:rPr>
                <w:iCs/>
              </w:rPr>
              <w:t xml:space="preserve">to QSE </w:t>
            </w:r>
            <w:r w:rsidRPr="00672F2C">
              <w:rPr>
                <w:i/>
                <w:iCs/>
              </w:rPr>
              <w:t>q</w:t>
            </w:r>
            <w:r w:rsidRPr="00997DBF">
              <w:rPr>
                <w:iCs/>
              </w:rPr>
              <w:t xml:space="preserve"> </w:t>
            </w:r>
            <w:r w:rsidRPr="00997DBF">
              <w:t xml:space="preserve">for </w:t>
            </w:r>
            <w:r>
              <w:t>the Real-Time RUC Ancillary Service Reserve payment associated with reliability deployments</w:t>
            </w:r>
            <w:r w:rsidRPr="00997DBF">
              <w:t xml:space="preserve"> </w:t>
            </w:r>
            <w:r w:rsidRPr="00997DBF">
              <w:rPr>
                <w:iCs/>
              </w:rPr>
              <w:t>for each 15-minute Settlement Interval.</w:t>
            </w:r>
          </w:p>
        </w:tc>
      </w:tr>
      <w:tr w:rsidR="001F04FD" w14:paraId="3B1F56D9" w14:textId="77777777" w:rsidTr="00AC4DEE">
        <w:trPr>
          <w:cantSplit/>
        </w:trPr>
        <w:tc>
          <w:tcPr>
            <w:tcW w:w="1146" w:type="pct"/>
            <w:tcBorders>
              <w:bottom w:val="single" w:sz="4" w:space="0" w:color="auto"/>
            </w:tcBorders>
          </w:tcPr>
          <w:p w14:paraId="2478FA00" w14:textId="77777777" w:rsidR="001F04FD" w:rsidRDefault="001F04FD" w:rsidP="00AC4DEE">
            <w:pPr>
              <w:pStyle w:val="tablebody0"/>
            </w:pPr>
            <w:r w:rsidRPr="00D106C5">
              <w:t>RT</w:t>
            </w:r>
            <w:r>
              <w:t>RUC</w:t>
            </w:r>
            <w:r w:rsidRPr="00D106C5">
              <w:t xml:space="preserve">RESP </w:t>
            </w:r>
            <w:r w:rsidRPr="0024448A">
              <w:rPr>
                <w:i/>
                <w:vertAlign w:val="subscript"/>
              </w:rPr>
              <w:t>q</w:t>
            </w:r>
          </w:p>
        </w:tc>
        <w:tc>
          <w:tcPr>
            <w:tcW w:w="675" w:type="pct"/>
            <w:tcBorders>
              <w:bottom w:val="single" w:sz="4" w:space="0" w:color="auto"/>
            </w:tcBorders>
          </w:tcPr>
          <w:p w14:paraId="501B97C2" w14:textId="77777777" w:rsidR="001F04FD" w:rsidRDefault="001F04FD" w:rsidP="00AC4DEE">
            <w:pPr>
              <w:pStyle w:val="tablebody0"/>
            </w:pPr>
            <w:r w:rsidRPr="004368B4">
              <w:t>MW</w:t>
            </w:r>
            <w:r>
              <w:t>h</w:t>
            </w:r>
          </w:p>
        </w:tc>
        <w:tc>
          <w:tcPr>
            <w:tcW w:w="3179" w:type="pct"/>
            <w:tcBorders>
              <w:bottom w:val="single" w:sz="4" w:space="0" w:color="auto"/>
            </w:tcBorders>
          </w:tcPr>
          <w:p w14:paraId="713FE41E" w14:textId="6BD212F2" w:rsidR="001F04FD" w:rsidRDefault="001F04FD" w:rsidP="00AC4DEE">
            <w:pPr>
              <w:pStyle w:val="tablebody0"/>
              <w:rPr>
                <w:i/>
              </w:rPr>
            </w:pPr>
            <w:r>
              <w:rPr>
                <w:i/>
              </w:rPr>
              <w:t>Real-Time RUC Ancillary Service Supply Responsibility for the QSE</w:t>
            </w:r>
            <w:r w:rsidRPr="00351F0F">
              <w:sym w:font="Symbol" w:char="F0BE"/>
            </w:r>
            <w:r w:rsidRPr="00351F0F">
              <w:t xml:space="preserve">The </w:t>
            </w:r>
            <w:r>
              <w:t xml:space="preserve">Real-Time Ancillary Service Supply Responsibility pursuant to the Ancillary Service awards for Reg-Up, </w:t>
            </w:r>
            <w:r w:rsidR="008B2D35">
              <w:t xml:space="preserve">ECRS, </w:t>
            </w:r>
            <w:r>
              <w:t>RRS</w:t>
            </w:r>
            <w:r w:rsidR="006E0A95">
              <w:t>,</w:t>
            </w:r>
            <w:r>
              <w:t xml:space="preserve"> and Non-Spin for all RUC Resources that </w:t>
            </w:r>
            <w:r w:rsidR="00B84541">
              <w:t>have opted out per paragraph (1</w:t>
            </w:r>
            <w:r w:rsidR="00910305">
              <w:t>4</w:t>
            </w:r>
            <w:r>
              <w:t xml:space="preserve">) of Section 5.5.2 for the QSE </w:t>
            </w:r>
            <w:r w:rsidRPr="00C356D0">
              <w:rPr>
                <w:i/>
              </w:rPr>
              <w:t>q</w:t>
            </w:r>
            <w:r w:rsidRPr="00351F0F">
              <w:t xml:space="preserve">, </w:t>
            </w:r>
            <w:r>
              <w:t>for the 15-minute Settlement Interval.</w:t>
            </w:r>
          </w:p>
        </w:tc>
      </w:tr>
      <w:tr w:rsidR="001F04FD" w14:paraId="28BB5DF6" w14:textId="77777777" w:rsidTr="00AC4DEE">
        <w:trPr>
          <w:cantSplit/>
        </w:trPr>
        <w:tc>
          <w:tcPr>
            <w:tcW w:w="1146" w:type="pct"/>
          </w:tcPr>
          <w:p w14:paraId="3C5397BA" w14:textId="77777777" w:rsidR="001F04FD" w:rsidRDefault="001F04FD" w:rsidP="00AC4DEE">
            <w:pPr>
              <w:pStyle w:val="tablebody0"/>
            </w:pPr>
            <w:r>
              <w:t>RTRUCASA</w:t>
            </w:r>
            <w:r w:rsidRPr="000275BF">
              <w:rPr>
                <w:i/>
                <w:vertAlign w:val="subscript"/>
              </w:rPr>
              <w:t xml:space="preserve"> q, r</w:t>
            </w:r>
          </w:p>
        </w:tc>
        <w:tc>
          <w:tcPr>
            <w:tcW w:w="675" w:type="pct"/>
          </w:tcPr>
          <w:p w14:paraId="6DF08CB0" w14:textId="77777777" w:rsidR="001F04FD" w:rsidRPr="004368B4" w:rsidRDefault="001F04FD" w:rsidP="00AC4DEE">
            <w:pPr>
              <w:pStyle w:val="tablebody0"/>
            </w:pPr>
            <w:r w:rsidRPr="0080555B">
              <w:t>MW</w:t>
            </w:r>
          </w:p>
        </w:tc>
        <w:tc>
          <w:tcPr>
            <w:tcW w:w="3179" w:type="pct"/>
          </w:tcPr>
          <w:p w14:paraId="40523F23" w14:textId="61DC6CB0" w:rsidR="006E0A95" w:rsidRPr="00E2332B" w:rsidRDefault="001F04FD" w:rsidP="00AC4DEE">
            <w:pPr>
              <w:pStyle w:val="tablebody0"/>
              <w:rPr>
                <w:i/>
              </w:rPr>
            </w:pPr>
            <w:r>
              <w:rPr>
                <w:i/>
              </w:rPr>
              <w:t>Real-Time RUC Ancillary Service Awards</w:t>
            </w:r>
            <w:r w:rsidRPr="00351F0F">
              <w:sym w:font="Symbol" w:char="F0BE"/>
            </w:r>
            <w:r>
              <w:t xml:space="preserve">The Real-Time Ancillary Service award to the RUC Resource </w:t>
            </w:r>
            <w:r>
              <w:rPr>
                <w:i/>
              </w:rPr>
              <w:t xml:space="preserve">r </w:t>
            </w:r>
            <w:r>
              <w:t xml:space="preserve">for Reg-Up, </w:t>
            </w:r>
            <w:r w:rsidR="008B2D35">
              <w:t xml:space="preserve">ECRS, </w:t>
            </w:r>
            <w:r>
              <w:t>RRS</w:t>
            </w:r>
            <w:r w:rsidR="006E0A95">
              <w:t>,</w:t>
            </w:r>
            <w:r>
              <w:t xml:space="preserve"> and Non-Spin for the </w:t>
            </w:r>
            <w:r w:rsidRPr="00A20AF6">
              <w:t xml:space="preserve">15-minute </w:t>
            </w:r>
            <w:r>
              <w:t>S</w:t>
            </w:r>
            <w:r w:rsidRPr="00A20AF6">
              <w:t xml:space="preserve">ettlement </w:t>
            </w:r>
            <w:r>
              <w:t>I</w:t>
            </w:r>
            <w:r w:rsidRPr="00A20AF6">
              <w:t>nterval that falls within a RUC</w:t>
            </w:r>
            <w:r>
              <w:t>-Committed H</w:t>
            </w:r>
            <w:r w:rsidRPr="00A20AF6">
              <w:t>our</w:t>
            </w:r>
            <w:r w:rsidRPr="00A94098">
              <w:rPr>
                <w:szCs w:val="18"/>
              </w:rPr>
              <w:t xml:space="preserve"> for the QSE </w:t>
            </w:r>
            <w:r w:rsidRPr="00A94098">
              <w:rPr>
                <w:i/>
                <w:szCs w:val="18"/>
              </w:rPr>
              <w:t>q</w:t>
            </w:r>
            <w:r>
              <w:rPr>
                <w:i/>
                <w:szCs w:val="18"/>
              </w:rPr>
              <w:t>.</w:t>
            </w:r>
          </w:p>
          <w:p w14:paraId="3C97DB0D" w14:textId="77777777" w:rsidR="001F04FD" w:rsidRPr="00E2332B" w:rsidRDefault="001F04FD" w:rsidP="00AC4DEE">
            <w:pPr>
              <w:pStyle w:val="tablebody0"/>
              <w:rPr>
                <w:i/>
              </w:rPr>
            </w:pPr>
          </w:p>
        </w:tc>
      </w:tr>
      <w:tr w:rsidR="001F04FD" w14:paraId="513BEB11" w14:textId="77777777" w:rsidTr="00AC4DEE">
        <w:trPr>
          <w:cantSplit/>
        </w:trPr>
        <w:tc>
          <w:tcPr>
            <w:tcW w:w="1146" w:type="pct"/>
            <w:tcBorders>
              <w:bottom w:val="single" w:sz="4" w:space="0" w:color="auto"/>
            </w:tcBorders>
          </w:tcPr>
          <w:p w14:paraId="371070D9" w14:textId="77777777" w:rsidR="001F04FD" w:rsidRDefault="001F04FD" w:rsidP="00AC4DEE">
            <w:pPr>
              <w:pStyle w:val="tablebody0"/>
              <w:rPr>
                <w:i/>
              </w:rPr>
            </w:pPr>
            <w:r>
              <w:t>RTRSVPOR</w:t>
            </w:r>
          </w:p>
        </w:tc>
        <w:tc>
          <w:tcPr>
            <w:tcW w:w="675" w:type="pct"/>
            <w:tcBorders>
              <w:bottom w:val="single" w:sz="4" w:space="0" w:color="auto"/>
            </w:tcBorders>
          </w:tcPr>
          <w:p w14:paraId="0CC5FD71" w14:textId="77777777" w:rsidR="001F04FD" w:rsidRPr="0080555B" w:rsidRDefault="001F04FD" w:rsidP="00AC4DEE">
            <w:pPr>
              <w:pStyle w:val="tablebody0"/>
            </w:pPr>
            <w:r w:rsidRPr="004368B4">
              <w:t>$/MWh</w:t>
            </w:r>
          </w:p>
        </w:tc>
        <w:tc>
          <w:tcPr>
            <w:tcW w:w="3179" w:type="pct"/>
            <w:tcBorders>
              <w:bottom w:val="single" w:sz="4" w:space="0" w:color="auto"/>
            </w:tcBorders>
          </w:tcPr>
          <w:p w14:paraId="22988BE7" w14:textId="77777777" w:rsidR="001F04FD" w:rsidRPr="0080555B" w:rsidRDefault="001F04FD" w:rsidP="00AC4DEE">
            <w:pPr>
              <w:pStyle w:val="tablebody0"/>
            </w:pPr>
            <w:r w:rsidRPr="00E2332B">
              <w:rPr>
                <w:i/>
              </w:rPr>
              <w:t>Real-Time Reserve Price</w:t>
            </w:r>
            <w:r>
              <w:rPr>
                <w:i/>
              </w:rPr>
              <w:t xml:space="preserve"> for</w:t>
            </w:r>
            <w:r w:rsidRPr="00E2332B">
              <w:rPr>
                <w:i/>
              </w:rPr>
              <w:t xml:space="preserve"> On-Line Reserves</w:t>
            </w:r>
            <w:r w:rsidRPr="00E2332B">
              <w:sym w:font="Symbol" w:char="F0BE"/>
            </w:r>
            <w:r w:rsidRPr="00E2332B">
              <w:t xml:space="preserve">The </w:t>
            </w:r>
            <w:r w:rsidRPr="00111608">
              <w:t xml:space="preserve">Real-Time Reserve Price for On-Line Reserves </w:t>
            </w:r>
            <w:r w:rsidRPr="00E2332B">
              <w:t>for the 15-minute Settlement Interval.</w:t>
            </w:r>
          </w:p>
        </w:tc>
      </w:tr>
      <w:tr w:rsidR="001F04FD" w14:paraId="71CDAA84" w14:textId="77777777" w:rsidTr="00AC4DEE">
        <w:trPr>
          <w:cantSplit/>
        </w:trPr>
        <w:tc>
          <w:tcPr>
            <w:tcW w:w="1146" w:type="pct"/>
            <w:tcBorders>
              <w:bottom w:val="single" w:sz="4" w:space="0" w:color="auto"/>
            </w:tcBorders>
          </w:tcPr>
          <w:p w14:paraId="02B5D654" w14:textId="77777777" w:rsidR="001F04FD" w:rsidRDefault="001F04FD" w:rsidP="00AC4DEE">
            <w:pPr>
              <w:pStyle w:val="tablebody0"/>
            </w:pPr>
            <w:r w:rsidRPr="00181BDE">
              <w:t>RTRDP</w:t>
            </w:r>
          </w:p>
        </w:tc>
        <w:tc>
          <w:tcPr>
            <w:tcW w:w="675" w:type="pct"/>
            <w:tcBorders>
              <w:bottom w:val="single" w:sz="4" w:space="0" w:color="auto"/>
            </w:tcBorders>
          </w:tcPr>
          <w:p w14:paraId="14EBFE41" w14:textId="77777777" w:rsidR="001F04FD" w:rsidRPr="004368B4" w:rsidRDefault="001F04FD" w:rsidP="00AC4DEE">
            <w:pPr>
              <w:pStyle w:val="tablebody0"/>
            </w:pPr>
            <w:r w:rsidRPr="00181BDE">
              <w:t>$/MWh</w:t>
            </w:r>
          </w:p>
        </w:tc>
        <w:tc>
          <w:tcPr>
            <w:tcW w:w="3179" w:type="pct"/>
            <w:tcBorders>
              <w:bottom w:val="single" w:sz="4" w:space="0" w:color="auto"/>
            </w:tcBorders>
          </w:tcPr>
          <w:p w14:paraId="3C85BDC3" w14:textId="4FE353F7" w:rsidR="001F04FD" w:rsidRPr="00E2332B" w:rsidRDefault="001F04FD" w:rsidP="00CC0885">
            <w:pPr>
              <w:pStyle w:val="tablebody0"/>
              <w:rPr>
                <w:i/>
              </w:rPr>
            </w:pPr>
            <w:r w:rsidRPr="00181BDE">
              <w:rPr>
                <w:i/>
              </w:rPr>
              <w:t xml:space="preserve">Real-Time On-Line Reliability Deployment Price </w:t>
            </w:r>
            <w:r w:rsidRPr="00181BDE">
              <w:sym w:font="Symbol" w:char="F0BE"/>
            </w:r>
            <w:r w:rsidRPr="00181BDE">
              <w:t xml:space="preserve">The Real-Time price for the 15-minute Settlement Interval, reflecting the impact of reliability deployments on energy prices that is calculated </w:t>
            </w:r>
            <w:r w:rsidRPr="00181BDE">
              <w:rPr>
                <w:bCs/>
              </w:rPr>
              <w:t>from the Real-</w:t>
            </w:r>
            <w:r w:rsidR="00CC0885">
              <w:rPr>
                <w:bCs/>
              </w:rPr>
              <w:t>T</w:t>
            </w:r>
            <w:r w:rsidRPr="00181BDE">
              <w:rPr>
                <w:bCs/>
              </w:rPr>
              <w:t>ime On-Line Reliability Deployment Price Adder</w:t>
            </w:r>
            <w:r w:rsidRPr="00181BDE">
              <w:t>.</w:t>
            </w:r>
          </w:p>
        </w:tc>
      </w:tr>
      <w:tr w:rsidR="001F04FD" w14:paraId="6CF62C03" w14:textId="77777777" w:rsidTr="00AC4DEE">
        <w:trPr>
          <w:cantSplit/>
        </w:trPr>
        <w:tc>
          <w:tcPr>
            <w:tcW w:w="1146" w:type="pct"/>
          </w:tcPr>
          <w:p w14:paraId="7A13917F" w14:textId="77777777" w:rsidR="001F04FD" w:rsidRPr="00D106C5" w:rsidRDefault="001F04FD" w:rsidP="00AC4DEE">
            <w:pPr>
              <w:pStyle w:val="tablebody0"/>
            </w:pPr>
            <w:r>
              <w:rPr>
                <w:i/>
              </w:rPr>
              <w:lastRenderedPageBreak/>
              <w:t>q</w:t>
            </w:r>
          </w:p>
        </w:tc>
        <w:tc>
          <w:tcPr>
            <w:tcW w:w="675" w:type="pct"/>
          </w:tcPr>
          <w:p w14:paraId="5BC1A59A" w14:textId="77777777" w:rsidR="001F04FD" w:rsidRPr="004368B4" w:rsidRDefault="001F04FD" w:rsidP="00AC4DEE">
            <w:pPr>
              <w:pStyle w:val="tablebody0"/>
            </w:pPr>
            <w:r w:rsidRPr="0080555B">
              <w:t>none</w:t>
            </w:r>
          </w:p>
        </w:tc>
        <w:tc>
          <w:tcPr>
            <w:tcW w:w="3179" w:type="pct"/>
          </w:tcPr>
          <w:p w14:paraId="2EFAF783" w14:textId="77777777" w:rsidR="001F04FD" w:rsidRDefault="001F04FD" w:rsidP="00AC4DEE">
            <w:pPr>
              <w:pStyle w:val="tablebody0"/>
              <w:rPr>
                <w:i/>
              </w:rPr>
            </w:pPr>
            <w:r w:rsidRPr="0080555B">
              <w:t>A QSE.</w:t>
            </w:r>
          </w:p>
        </w:tc>
      </w:tr>
      <w:tr w:rsidR="00207DD7" w14:paraId="4EEE7A1A" w14:textId="77777777" w:rsidTr="00AC4DEE">
        <w:trPr>
          <w:cantSplit/>
        </w:trPr>
        <w:tc>
          <w:tcPr>
            <w:tcW w:w="1146" w:type="pct"/>
          </w:tcPr>
          <w:p w14:paraId="3B035D9C" w14:textId="1193865C" w:rsidR="00207DD7" w:rsidRDefault="008871B2" w:rsidP="00207DD7">
            <w:pPr>
              <w:pStyle w:val="tablebody0"/>
              <w:rPr>
                <w:i/>
              </w:rPr>
            </w:pPr>
            <w:r>
              <w:rPr>
                <w:i/>
              </w:rPr>
              <w:t>r</w:t>
            </w:r>
          </w:p>
        </w:tc>
        <w:tc>
          <w:tcPr>
            <w:tcW w:w="675" w:type="pct"/>
          </w:tcPr>
          <w:p w14:paraId="0B2B0084" w14:textId="77777777" w:rsidR="00207DD7" w:rsidRPr="0080555B" w:rsidRDefault="00207DD7" w:rsidP="00207DD7">
            <w:pPr>
              <w:pStyle w:val="tablebody0"/>
            </w:pPr>
            <w:r w:rsidRPr="0080555B">
              <w:t>none</w:t>
            </w:r>
          </w:p>
        </w:tc>
        <w:tc>
          <w:tcPr>
            <w:tcW w:w="3179" w:type="pct"/>
          </w:tcPr>
          <w:p w14:paraId="0BBF8F70" w14:textId="77777777" w:rsidR="00207DD7" w:rsidRPr="0080555B" w:rsidRDefault="00207DD7" w:rsidP="00207DD7">
            <w:pPr>
              <w:pStyle w:val="tablebody0"/>
            </w:pPr>
            <w:r w:rsidRPr="0080555B">
              <w:t>A Generation Resource.</w:t>
            </w:r>
          </w:p>
        </w:tc>
      </w:tr>
    </w:tbl>
    <w:p w14:paraId="26633614" w14:textId="77777777" w:rsidR="008871B2" w:rsidRPr="008871B2" w:rsidRDefault="008871B2" w:rsidP="008871B2">
      <w:pPr>
        <w:pStyle w:val="BodyText"/>
        <w:spacing w:after="0"/>
      </w:pPr>
      <w:bookmarkStart w:id="2771" w:name="_Toc397505051"/>
      <w:bookmarkStart w:id="2772" w:name="_Toc402357183"/>
      <w:bookmarkStart w:id="2773" w:name="_Toc412617247"/>
      <w:bookmarkStart w:id="2774" w:name="_Toc422486563"/>
      <w:bookmarkStart w:id="2775" w:name="_Toc433093416"/>
      <w:bookmarkStart w:id="2776" w:name="_Toc433093574"/>
      <w:bookmarkStart w:id="2777" w:name="_Toc440874804"/>
      <w:bookmarkStart w:id="2778" w:name="_Toc448142361"/>
      <w:bookmarkStart w:id="2779" w:name="_Toc448142518"/>
      <w:bookmarkStart w:id="2780" w:name="_Toc458770359"/>
      <w:bookmarkStart w:id="2781" w:name="_Toc459294327"/>
      <w:bookmarkStart w:id="2782" w:name="_Toc463262821"/>
      <w:bookmarkStart w:id="2783" w:name="_Toc468286896"/>
      <w:bookmarkStart w:id="2784" w:name="_Toc481502936"/>
      <w:bookmarkStart w:id="2785" w:name="_Toc496080103"/>
      <w:bookmarkEnd w:id="2767"/>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06945806" w14:textId="77777777" w:rsidTr="001138B9">
        <w:trPr>
          <w:trHeight w:val="206"/>
        </w:trPr>
        <w:tc>
          <w:tcPr>
            <w:tcW w:w="9350" w:type="dxa"/>
            <w:shd w:val="pct12" w:color="auto" w:fill="auto"/>
          </w:tcPr>
          <w:p w14:paraId="2D00864F" w14:textId="5BAF614D" w:rsidR="008871B2" w:rsidRDefault="008871B2" w:rsidP="001138B9">
            <w:pPr>
              <w:pStyle w:val="Instructions"/>
              <w:spacing w:before="120"/>
            </w:pPr>
            <w:r>
              <w:t xml:space="preserve">[NPRR1010:  Replace Section 6.7.5 above </w:t>
            </w:r>
            <w:r w:rsidR="00221A13">
              <w:t xml:space="preserve">with the following </w:t>
            </w:r>
            <w:r>
              <w:t>upon system implementation of the Real-Time Co-Optimization (RTC) project:]</w:t>
            </w:r>
          </w:p>
          <w:p w14:paraId="42064BBD" w14:textId="04368FE4" w:rsidR="008871B2" w:rsidRPr="008871B2" w:rsidRDefault="008871B2" w:rsidP="008871B2">
            <w:pPr>
              <w:keepNext/>
              <w:tabs>
                <w:tab w:val="left" w:pos="1080"/>
              </w:tabs>
              <w:spacing w:before="480" w:after="240"/>
              <w:outlineLvl w:val="2"/>
              <w:rPr>
                <w:b/>
                <w:bCs/>
                <w:i/>
              </w:rPr>
            </w:pPr>
            <w:bookmarkStart w:id="2786" w:name="_Toc60040750"/>
            <w:bookmarkStart w:id="2787" w:name="_Toc65151809"/>
            <w:bookmarkStart w:id="2788" w:name="_Toc80174835"/>
            <w:bookmarkStart w:id="2789" w:name="_Toc108712601"/>
            <w:bookmarkStart w:id="2790" w:name="_Toc112417720"/>
            <w:bookmarkStart w:id="2791" w:name="_Toc119310389"/>
            <w:bookmarkStart w:id="2792" w:name="_Toc125966322"/>
            <w:bookmarkStart w:id="2793" w:name="_Toc135992421"/>
            <w:bookmarkStart w:id="2794" w:name="_Toc170303616"/>
            <w:bookmarkStart w:id="2795" w:name="_Toc175157520"/>
            <w:bookmarkStart w:id="2796" w:name="_Toc204411749"/>
            <w:r>
              <w:rPr>
                <w:b/>
                <w:bCs/>
                <w:i/>
              </w:rPr>
              <w:t>6.7.5</w:t>
            </w:r>
            <w:r>
              <w:rPr>
                <w:b/>
                <w:bCs/>
                <w:i/>
              </w:rPr>
              <w:tab/>
              <w:t>Real-Time Ancillary Service Charges and Payments</w:t>
            </w:r>
            <w:bookmarkEnd w:id="2786"/>
            <w:bookmarkEnd w:id="2787"/>
            <w:bookmarkEnd w:id="2788"/>
            <w:bookmarkEnd w:id="2789"/>
            <w:bookmarkEnd w:id="2790"/>
            <w:bookmarkEnd w:id="2791"/>
            <w:bookmarkEnd w:id="2792"/>
            <w:bookmarkEnd w:id="2793"/>
            <w:bookmarkEnd w:id="2794"/>
            <w:bookmarkEnd w:id="2795"/>
            <w:bookmarkEnd w:id="2796"/>
          </w:p>
        </w:tc>
      </w:tr>
    </w:tbl>
    <w:p w14:paraId="02AEA42A"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3A58F5B9" w14:textId="77777777" w:rsidTr="001138B9">
        <w:trPr>
          <w:trHeight w:val="206"/>
        </w:trPr>
        <w:tc>
          <w:tcPr>
            <w:tcW w:w="9350" w:type="dxa"/>
            <w:shd w:val="pct12" w:color="auto" w:fill="auto"/>
          </w:tcPr>
          <w:p w14:paraId="00DCA1A6" w14:textId="50BA416B" w:rsidR="008871B2" w:rsidRDefault="008871B2" w:rsidP="001138B9">
            <w:pPr>
              <w:pStyle w:val="Instructions"/>
              <w:spacing w:before="120"/>
            </w:pPr>
            <w:r>
              <w:t>[NPRR1010:  Insert Section 6.7.5.1 below upon system implementation of the Real-Time Co-Optimization (RTC) project:]</w:t>
            </w:r>
          </w:p>
          <w:p w14:paraId="6A204F76" w14:textId="77777777" w:rsidR="00CF5D7F" w:rsidRDefault="00CF5D7F" w:rsidP="00CF5D7F">
            <w:pPr>
              <w:pStyle w:val="H4"/>
              <w:spacing w:before="480"/>
            </w:pPr>
            <w:bookmarkStart w:id="2797" w:name="_Toc204411750"/>
            <w:r>
              <w:t>6.7.5.1</w:t>
            </w:r>
            <w:r>
              <w:tab/>
              <w:t>Real-Time Ancillary Service Imbalance Payment or Charge</w:t>
            </w:r>
            <w:bookmarkEnd w:id="2797"/>
          </w:p>
          <w:p w14:paraId="74953F3A" w14:textId="77777777" w:rsidR="00CF5D7F" w:rsidRDefault="00CF5D7F" w:rsidP="00CF5D7F">
            <w:pPr>
              <w:spacing w:after="240"/>
            </w:pPr>
            <w:r>
              <w:t>(1)</w:t>
            </w:r>
            <w:r>
              <w:tab/>
              <w:t>The payments or charges to each QSE for Real-Time Ancillary Services are as follows:</w:t>
            </w:r>
          </w:p>
          <w:p w14:paraId="1CA77A5A" w14:textId="77777777" w:rsidR="00CF5D7F" w:rsidRDefault="00CF5D7F" w:rsidP="00CF5D7F">
            <w:pPr>
              <w:spacing w:after="240"/>
              <w:ind w:left="1440" w:hanging="720"/>
            </w:pPr>
            <w:r>
              <w:t>(a)</w:t>
            </w:r>
            <w:r>
              <w:tab/>
              <w:t>Ancillary Service Imbalance payment or charges based on Real-Time Ancillary Service prices with an imbalance quantity determined by:</w:t>
            </w:r>
          </w:p>
          <w:p w14:paraId="600D7FEC" w14:textId="77777777" w:rsidR="00CF5D7F" w:rsidRDefault="00CF5D7F" w:rsidP="00CF5D7F">
            <w:pPr>
              <w:spacing w:after="240"/>
              <w:ind w:left="720" w:firstLine="720"/>
            </w:pPr>
            <w:r>
              <w:t>(i)</w:t>
            </w:r>
            <w:r>
              <w:tab/>
              <w:t>The Real-Time Ancillary Service awarded; minus</w:t>
            </w:r>
          </w:p>
          <w:p w14:paraId="00F1678A" w14:textId="77777777" w:rsidR="00CF5D7F" w:rsidRDefault="00CF5D7F" w:rsidP="00CF5D7F">
            <w:pPr>
              <w:spacing w:after="240"/>
              <w:ind w:left="2160" w:hanging="720"/>
            </w:pPr>
            <w:r>
              <w:t>(ii)</w:t>
            </w:r>
            <w:r>
              <w:tab/>
              <w:t>The amount of Day-Ahead Market (DAM) Ancillary Service awards cleared in the DAM; minus</w:t>
            </w:r>
          </w:p>
          <w:p w14:paraId="481DD4B3" w14:textId="77777777" w:rsidR="00CF5D7F" w:rsidRDefault="00CF5D7F" w:rsidP="00CF5D7F">
            <w:pPr>
              <w:spacing w:after="240"/>
              <w:ind w:left="2160" w:hanging="720"/>
            </w:pPr>
            <w:r>
              <w:t>(iii)</w:t>
            </w:r>
            <w:r>
              <w:tab/>
              <w:t>The amount of DAM Self Arranged Ancillary Services; plus</w:t>
            </w:r>
          </w:p>
          <w:p w14:paraId="3B75C061" w14:textId="77777777" w:rsidR="00CF5D7F" w:rsidRDefault="00CF5D7F" w:rsidP="00CF5D7F">
            <w:pPr>
              <w:spacing w:after="240"/>
              <w:ind w:left="2160" w:hanging="720"/>
            </w:pPr>
            <w:r>
              <w:t>(iv)</w:t>
            </w:r>
            <w:r>
              <w:tab/>
              <w:t>The amount of Ancillary Service Trades where the QSE is the buyer; minus</w:t>
            </w:r>
          </w:p>
          <w:p w14:paraId="2F621704" w14:textId="77777777" w:rsidR="00CF5D7F" w:rsidRDefault="00CF5D7F" w:rsidP="00CF5D7F">
            <w:pPr>
              <w:spacing w:after="240"/>
              <w:ind w:left="2160" w:hanging="720"/>
            </w:pPr>
            <w:r>
              <w:t>(v)</w:t>
            </w:r>
            <w:r>
              <w:tab/>
              <w:t>The amount of Ancillary Service Trades where the QSE is the seller.</w:t>
            </w:r>
          </w:p>
          <w:p w14:paraId="336B432E" w14:textId="77777777" w:rsidR="00CF5D7F" w:rsidRDefault="00CF5D7F" w:rsidP="00CF5D7F">
            <w:pPr>
              <w:spacing w:after="240"/>
              <w:ind w:left="1440" w:hanging="720"/>
            </w:pPr>
            <w:r>
              <w:t>(b)</w:t>
            </w:r>
            <w:r>
              <w:tab/>
              <w:t>Charges for Ancillary Service Only Offers purchased in the DAM.</w:t>
            </w:r>
          </w:p>
          <w:p w14:paraId="2B320E3D" w14:textId="6CE88B9D" w:rsidR="008871B2" w:rsidRPr="00CF5D7F" w:rsidRDefault="00CF5D7F" w:rsidP="00CF5D7F">
            <w:pPr>
              <w:spacing w:after="240"/>
              <w:ind w:left="1440" w:hanging="720"/>
            </w:pPr>
            <w:r>
              <w:t>(c)</w:t>
            </w:r>
            <w:r>
              <w:tab/>
              <w:t>Charges for any Ancillary Service trade overage per paragraph (7) of Section 4.4.7.1, Self-Arranged Ancillary Service Quantities.</w:t>
            </w:r>
          </w:p>
        </w:tc>
      </w:tr>
    </w:tbl>
    <w:p w14:paraId="01D7906B"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381E99F3" w14:textId="77777777" w:rsidTr="001138B9">
        <w:trPr>
          <w:trHeight w:val="206"/>
        </w:trPr>
        <w:tc>
          <w:tcPr>
            <w:tcW w:w="9350" w:type="dxa"/>
            <w:shd w:val="pct12" w:color="auto" w:fill="auto"/>
          </w:tcPr>
          <w:p w14:paraId="45CBF857" w14:textId="67F71E63" w:rsidR="008871B2" w:rsidRDefault="008871B2" w:rsidP="001138B9">
            <w:pPr>
              <w:pStyle w:val="Instructions"/>
              <w:spacing w:before="120"/>
            </w:pPr>
            <w:r>
              <w:t>[NPRR1010</w:t>
            </w:r>
            <w:r w:rsidR="00103BC5">
              <w:t xml:space="preserve"> and NPRR1245</w:t>
            </w:r>
            <w:r>
              <w:t>:  Insert Section 6.7.5.2 below upon system implementation of the Real-Time Co-Optimization (RTC) project:]</w:t>
            </w:r>
          </w:p>
          <w:p w14:paraId="559F60FC" w14:textId="77777777" w:rsidR="00352A0F" w:rsidRDefault="00352A0F" w:rsidP="00352A0F">
            <w:pPr>
              <w:pStyle w:val="H4"/>
              <w:spacing w:before="480"/>
            </w:pPr>
            <w:bookmarkStart w:id="2798" w:name="_Hlk189036407"/>
            <w:bookmarkStart w:id="2799" w:name="_Toc204411751"/>
            <w:r>
              <w:lastRenderedPageBreak/>
              <w:t>6.7.5.2</w:t>
            </w:r>
            <w:r>
              <w:tab/>
              <w:t>Regulation Up Service Payments and Charges</w:t>
            </w:r>
            <w:bookmarkEnd w:id="2799"/>
          </w:p>
          <w:p w14:paraId="5E587B83" w14:textId="588B8871" w:rsidR="00352A0F" w:rsidRDefault="00352A0F" w:rsidP="00352A0F">
            <w:r>
              <w:t>(1)</w:t>
            </w:r>
            <w:r>
              <w:tab/>
              <w:t>Reg-Up Imbalance Payment or Charge:</w:t>
            </w:r>
          </w:p>
          <w:p w14:paraId="038733E0" w14:textId="02E959DE" w:rsidR="00352A0F" w:rsidRDefault="00352A0F" w:rsidP="00352A0F">
            <w:pPr>
              <w:pStyle w:val="FormulaBold"/>
            </w:pPr>
            <w:r>
              <w:t>RTRUIMBAMT</w:t>
            </w:r>
            <w:r>
              <w:rPr>
                <w:i/>
                <w:vertAlign w:val="subscript"/>
              </w:rPr>
              <w:t xml:space="preserve"> q  </w:t>
            </w:r>
            <w:r>
              <w:t xml:space="preserve">= </w:t>
            </w:r>
            <w:r>
              <w:tab/>
              <w:t>(-1) * [</w:t>
            </w:r>
            <w:r>
              <w:rPr>
                <w:position w:val="-18"/>
              </w:rPr>
              <w:object w:dxaOrig="285" w:dyaOrig="570" w14:anchorId="73BC3085">
                <v:shape id="_x0000_i1396" type="#_x0000_t75" style="width:12pt;height:30pt" o:ole="">
                  <v:imagedata r:id="rId159" o:title=""/>
                </v:shape>
                <o:OLEObject Type="Embed" ProgID="Equation.3" ShapeID="_x0000_i1396" DrawAspect="Content" ObjectID="_1815025584" r:id="rId488"/>
              </w:object>
            </w:r>
            <w:r>
              <w:t>[</w:t>
            </w:r>
            <w:r>
              <w:rPr>
                <w:rStyle w:val="BodyTextChar"/>
              </w:rPr>
              <w:t xml:space="preserve">RTRUREV </w:t>
            </w:r>
            <w:r>
              <w:rPr>
                <w:i/>
                <w:vertAlign w:val="subscript"/>
                <w:lang w:val="it-IT"/>
              </w:rPr>
              <w:t xml:space="preserve">q, r </w:t>
            </w:r>
            <w:r>
              <w:t>– (1/4)</w:t>
            </w:r>
            <w:r w:rsidR="003900E4">
              <w:t xml:space="preserve"> </w:t>
            </w:r>
            <w:r>
              <w:t>* (PCRUR</w:t>
            </w:r>
            <w:r>
              <w:rPr>
                <w:i/>
              </w:rPr>
              <w:t xml:space="preserve"> </w:t>
            </w:r>
            <w:r>
              <w:rPr>
                <w:i/>
                <w:vertAlign w:val="subscript"/>
              </w:rPr>
              <w:t>r, q, DAM</w:t>
            </w:r>
            <w:r>
              <w:t xml:space="preserve"> * RTMCPCRU)] – (1/4)</w:t>
            </w:r>
            <w:r w:rsidR="003900E4">
              <w:t xml:space="preserve"> </w:t>
            </w:r>
            <w:r>
              <w:t>*</w:t>
            </w:r>
            <w:r w:rsidR="001050F2">
              <w:t xml:space="preserve"> </w:t>
            </w:r>
            <w:r>
              <w:t xml:space="preserve">(DASARUQ </w:t>
            </w:r>
            <w:r>
              <w:rPr>
                <w:i/>
                <w:vertAlign w:val="subscript"/>
              </w:rPr>
              <w:t>q</w:t>
            </w:r>
            <w:r>
              <w:t xml:space="preserve"> * RTMCPCRU) + (1/4) * (RUTP </w:t>
            </w:r>
            <w:r>
              <w:rPr>
                <w:i/>
                <w:vertAlign w:val="subscript"/>
              </w:rPr>
              <w:t>q</w:t>
            </w:r>
            <w:r>
              <w:t xml:space="preserve"> – RUTS </w:t>
            </w:r>
            <w:r>
              <w:rPr>
                <w:i/>
                <w:vertAlign w:val="subscript"/>
              </w:rPr>
              <w:t>q</w:t>
            </w:r>
            <w:r>
              <w:t>) * RTMCPCRU]</w:t>
            </w:r>
          </w:p>
          <w:p w14:paraId="74DDBF56" w14:textId="77777777" w:rsidR="00352A0F" w:rsidRDefault="00352A0F" w:rsidP="00352A0F">
            <w:pPr>
              <w:pStyle w:val="FormulaBold"/>
            </w:pPr>
            <w:r>
              <w:t xml:space="preserve">Where:   </w:t>
            </w:r>
          </w:p>
          <w:p w14:paraId="7A023176" w14:textId="77777777" w:rsidR="00352A0F" w:rsidRDefault="00352A0F" w:rsidP="00352A0F">
            <w:pPr>
              <w:pStyle w:val="FormulaBold"/>
            </w:pPr>
            <w:r>
              <w:rPr>
                <w:rStyle w:val="BodyTextChar"/>
              </w:rPr>
              <w:t xml:space="preserve">RTRUREV </w:t>
            </w:r>
            <w:r>
              <w:rPr>
                <w:i/>
                <w:vertAlign w:val="subscript"/>
                <w:lang w:val="it-IT"/>
              </w:rPr>
              <w:t xml:space="preserve">q, r </w:t>
            </w:r>
            <w:r>
              <w:rPr>
                <w:i/>
              </w:rPr>
              <w:t xml:space="preserve"> =  </w:t>
            </w:r>
            <w:r>
              <w:t>(1/4) * RTRUAWD</w:t>
            </w:r>
            <w:r>
              <w:rPr>
                <w:i/>
                <w:vertAlign w:val="subscript"/>
              </w:rPr>
              <w:t xml:space="preserve"> </w:t>
            </w:r>
            <w:r>
              <w:rPr>
                <w:i/>
                <w:vertAlign w:val="subscript"/>
                <w:lang w:val="it-IT"/>
              </w:rPr>
              <w:t>q, r</w:t>
            </w:r>
            <w:r>
              <w:t xml:space="preserve"> * RTMCPCRUR </w:t>
            </w:r>
            <w:r>
              <w:rPr>
                <w:i/>
                <w:vertAlign w:val="subscript"/>
                <w:lang w:val="it-IT"/>
              </w:rPr>
              <w:t xml:space="preserve">q, r </w:t>
            </w:r>
          </w:p>
          <w:p w14:paraId="4130795F" w14:textId="67EB0957" w:rsidR="00352A0F" w:rsidRDefault="00352A0F" w:rsidP="00352A0F">
            <w:pPr>
              <w:pStyle w:val="FormulaBold"/>
            </w:pPr>
            <w:r>
              <w:t xml:space="preserve">RTMCPCRUR </w:t>
            </w:r>
            <w:r>
              <w:rPr>
                <w:i/>
                <w:vertAlign w:val="subscript"/>
                <w:lang w:val="it-IT"/>
              </w:rPr>
              <w:t>q, r</w:t>
            </w:r>
            <w:r>
              <w:rPr>
                <w:i/>
              </w:rPr>
              <w:t xml:space="preserve"> = </w:t>
            </w:r>
            <w:r w:rsidR="00443E82">
              <w:rPr>
                <w:position w:val="-22"/>
              </w:rPr>
              <w:object w:dxaOrig="285" w:dyaOrig="285" w14:anchorId="159E668A">
                <v:shape id="_x0000_i1397" type="#_x0000_t75" style="width:30pt;height:30pt" o:ole="">
                  <v:imagedata r:id="rId22" o:title=""/>
                </v:shape>
                <o:OLEObject Type="Embed" ProgID="Equation.3" ShapeID="_x0000_i1397" DrawAspect="Content" ObjectID="_1815025585" r:id="rId489"/>
              </w:object>
            </w:r>
            <w:r>
              <w:t xml:space="preserve"> (RURWF</w:t>
            </w:r>
            <w:r>
              <w:rPr>
                <w:i/>
                <w:vertAlign w:val="subscript"/>
              </w:rPr>
              <w:t xml:space="preserve"> q, r, y</w:t>
            </w:r>
            <w:r>
              <w:t xml:space="preserve"> * (RTMCPCRUS</w:t>
            </w:r>
            <w:r>
              <w:rPr>
                <w:i/>
                <w:vertAlign w:val="subscript"/>
              </w:rPr>
              <w:t xml:space="preserve"> y</w:t>
            </w:r>
            <w:r>
              <w:t xml:space="preserve"> + RTRDPARUS </w:t>
            </w:r>
            <w:r>
              <w:rPr>
                <w:i/>
                <w:vertAlign w:val="subscript"/>
              </w:rPr>
              <w:t>y</w:t>
            </w:r>
            <w:r>
              <w:t>))</w:t>
            </w:r>
          </w:p>
          <w:p w14:paraId="7BAD14F0" w14:textId="475CB474" w:rsidR="00352A0F" w:rsidRDefault="00352A0F" w:rsidP="00352A0F">
            <w:pPr>
              <w:pStyle w:val="FormulaBold"/>
              <w:rPr>
                <w:i/>
                <w:vertAlign w:val="subscript"/>
              </w:rPr>
            </w:pPr>
            <w:r>
              <w:t>RTRUAWD</w:t>
            </w:r>
            <w:r>
              <w:rPr>
                <w:i/>
                <w:vertAlign w:val="subscript"/>
              </w:rPr>
              <w:t xml:space="preserve"> q, r  </w:t>
            </w:r>
            <w:r>
              <w:tab/>
              <w:t xml:space="preserve">=  </w:t>
            </w:r>
            <w:r w:rsidR="00443E82">
              <w:rPr>
                <w:position w:val="-22"/>
              </w:rPr>
              <w:object w:dxaOrig="285" w:dyaOrig="285" w14:anchorId="78D0784C">
                <v:shape id="_x0000_i1398" type="#_x0000_t75" style="width:30pt;height:30pt" o:ole="">
                  <v:imagedata r:id="rId22" o:title=""/>
                </v:shape>
                <o:OLEObject Type="Embed" ProgID="Equation.3" ShapeID="_x0000_i1398" DrawAspect="Content" ObjectID="_1815025586" r:id="rId490"/>
              </w:object>
            </w:r>
            <w:r>
              <w:t xml:space="preserve"> (RNWF </w:t>
            </w:r>
            <w:r>
              <w:rPr>
                <w:i/>
                <w:vertAlign w:val="subscript"/>
              </w:rPr>
              <w:t>y</w:t>
            </w:r>
            <w:r>
              <w:t xml:space="preserve"> * RTRUAWDS</w:t>
            </w:r>
            <w:r>
              <w:rPr>
                <w:i/>
                <w:vertAlign w:val="subscript"/>
              </w:rPr>
              <w:t xml:space="preserve"> q, r, y</w:t>
            </w:r>
            <w:r>
              <w:t>)</w:t>
            </w:r>
          </w:p>
          <w:p w14:paraId="3A093CD0" w14:textId="77777777" w:rsidR="00352A0F" w:rsidRDefault="00352A0F" w:rsidP="00352A0F">
            <w:pPr>
              <w:pStyle w:val="BodyTextNumbered"/>
              <w:ind w:left="0" w:firstLine="720"/>
            </w:pPr>
            <w:r>
              <w:t>Where:</w:t>
            </w:r>
          </w:p>
          <w:p w14:paraId="0F6EDAB2" w14:textId="1F01CCF1" w:rsidR="00352A0F" w:rsidRDefault="00352A0F" w:rsidP="00352A0F">
            <w:pPr>
              <w:pStyle w:val="NoSpacing"/>
              <w:rPr>
                <w:position w:val="-22"/>
              </w:rPr>
            </w:pPr>
            <w:r>
              <w:t xml:space="preserve">           RURWF</w:t>
            </w:r>
            <w:r>
              <w:rPr>
                <w:i/>
                <w:vertAlign w:val="subscript"/>
              </w:rPr>
              <w:t xml:space="preserve"> q, r, y</w:t>
            </w:r>
            <w:r>
              <w:rPr>
                <w:vertAlign w:val="subscript"/>
              </w:rPr>
              <w:tab/>
              <w:t xml:space="preserve"> </w:t>
            </w:r>
            <w:r>
              <w:t>=  [max(0.001, RTRUAWDS</w:t>
            </w:r>
            <w:r>
              <w:rPr>
                <w:i/>
                <w:vertAlign w:val="subscript"/>
              </w:rPr>
              <w:t xml:space="preserve"> q, r, y</w:t>
            </w:r>
            <w:r>
              <w:t>) * TLMP</w:t>
            </w:r>
            <w:r>
              <w:rPr>
                <w:i/>
                <w:vertAlign w:val="subscript"/>
              </w:rPr>
              <w:t xml:space="preserve"> y</w:t>
            </w:r>
            <w:r>
              <w:t>] / [</w:t>
            </w:r>
            <w:r w:rsidR="00221A13">
              <w:rPr>
                <w:b/>
                <w:position w:val="-22"/>
              </w:rPr>
              <w:object w:dxaOrig="285" w:dyaOrig="285" w14:anchorId="70A3F657">
                <v:shape id="_x0000_i1399" type="#_x0000_t75" style="width:24.6pt;height:24.6pt" o:ole="">
                  <v:imagedata r:id="rId22" o:title=""/>
                </v:shape>
                <o:OLEObject Type="Embed" ProgID="Equation.3" ShapeID="_x0000_i1399" DrawAspect="Content" ObjectID="_1815025587" r:id="rId491"/>
              </w:object>
            </w:r>
            <w:r>
              <w:t>max(0.001,</w:t>
            </w:r>
          </w:p>
          <w:p w14:paraId="2AC89E0E" w14:textId="53B068B5" w:rsidR="00352A0F" w:rsidRDefault="00352A0F" w:rsidP="00352A0F">
            <w:pPr>
              <w:pStyle w:val="NoSpacing"/>
              <w:rPr>
                <w:position w:val="-22"/>
              </w:rPr>
            </w:pPr>
            <w:r>
              <w:rPr>
                <w:position w:val="-22"/>
              </w:rPr>
              <w:t xml:space="preserve">                                         RTRUAWDS </w:t>
            </w:r>
            <w:r>
              <w:rPr>
                <w:i/>
                <w:position w:val="-22"/>
                <w:vertAlign w:val="subscript"/>
              </w:rPr>
              <w:t>q, r, y</w:t>
            </w:r>
            <w:r>
              <w:rPr>
                <w:position w:val="-22"/>
              </w:rPr>
              <w:t xml:space="preserve">) * TLMP </w:t>
            </w:r>
            <w:r>
              <w:rPr>
                <w:i/>
                <w:position w:val="-22"/>
                <w:vertAlign w:val="subscript"/>
              </w:rPr>
              <w:t>y</w:t>
            </w:r>
            <w:r>
              <w:rPr>
                <w:position w:val="-22"/>
              </w:rPr>
              <w:t>]</w:t>
            </w:r>
          </w:p>
          <w:p w14:paraId="6D644C2F" w14:textId="77777777" w:rsidR="00352A0F" w:rsidRDefault="00352A0F" w:rsidP="00352A0F">
            <w:pPr>
              <w:spacing w:after="240"/>
              <w:ind w:firstLine="720"/>
            </w:pPr>
            <w:r>
              <w:t>And:</w:t>
            </w:r>
          </w:p>
          <w:p w14:paraId="3BCBA3C1" w14:textId="14FB91B1" w:rsidR="00352A0F" w:rsidRDefault="00352A0F" w:rsidP="00352A0F">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sidR="000333B4">
              <w:rPr>
                <w:position w:val="-22"/>
                <w:szCs w:val="24"/>
              </w:rPr>
              <w:object w:dxaOrig="285" w:dyaOrig="285" w14:anchorId="5D2E55D3">
                <v:shape id="_x0000_i1400" type="#_x0000_t75" style="width:30pt;height:30pt" o:ole="">
                  <v:imagedata r:id="rId22" o:title=""/>
                </v:shape>
                <o:OLEObject Type="Embed" ProgID="Equation.3" ShapeID="_x0000_i1400" DrawAspect="Content" ObjectID="_1815025588" r:id="rId492"/>
              </w:object>
            </w:r>
            <w:r>
              <w:t xml:space="preserve">TLMP </w:t>
            </w:r>
            <w:r>
              <w:rPr>
                <w:i/>
                <w:vertAlign w:val="subscript"/>
              </w:rPr>
              <w:t>y</w:t>
            </w:r>
          </w:p>
          <w:p w14:paraId="0E56068C" w14:textId="77777777" w:rsidR="00352A0F" w:rsidRDefault="00352A0F" w:rsidP="00352A0F">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352A0F" w14:paraId="3639AD22" w14:textId="77777777" w:rsidTr="00352A0F">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1545DDC3" w14:textId="77777777" w:rsidR="00352A0F" w:rsidRDefault="00352A0F" w:rsidP="00352A0F">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34593E75" w14:textId="77777777" w:rsidR="00352A0F" w:rsidRDefault="00352A0F" w:rsidP="00352A0F">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5EBDE651" w14:textId="77777777" w:rsidR="00352A0F" w:rsidRDefault="00352A0F" w:rsidP="00352A0F">
                  <w:pPr>
                    <w:pStyle w:val="TableHead"/>
                  </w:pPr>
                  <w:r>
                    <w:t>Description</w:t>
                  </w:r>
                </w:p>
              </w:tc>
            </w:tr>
            <w:tr w:rsidR="00352A0F" w14:paraId="2AD3A000"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5DB3C6EB" w14:textId="77777777" w:rsidR="00352A0F" w:rsidRDefault="00352A0F" w:rsidP="00352A0F">
                  <w:pPr>
                    <w:pStyle w:val="tablebody0"/>
                  </w:pPr>
                  <w:r>
                    <w:t xml:space="preserve">RTRUIMBAMT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4E30FD8"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5E3AF95" w14:textId="50A87CC0" w:rsidR="00352A0F" w:rsidRDefault="00352A0F" w:rsidP="00352A0F">
                  <w:pPr>
                    <w:pStyle w:val="tablebody0"/>
                    <w:rPr>
                      <w:i/>
                    </w:rPr>
                  </w:pPr>
                  <w:r>
                    <w:rPr>
                      <w:i/>
                    </w:rPr>
                    <w:t>Real-Time Reg-Up Imbalance Amount for the QSE</w:t>
                  </w:r>
                  <w:r>
                    <w:t xml:space="preserve">—The total payment or charge to QSE </w:t>
                  </w:r>
                  <w:r>
                    <w:rPr>
                      <w:i/>
                    </w:rPr>
                    <w:t>q</w:t>
                  </w:r>
                  <w:r>
                    <w:t xml:space="preserve"> for the Real-Time Reg-Up imbalance for each 15-minute Settlement Interval.</w:t>
                  </w:r>
                </w:p>
              </w:tc>
            </w:tr>
            <w:tr w:rsidR="00352A0F" w14:paraId="406676CF"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13ADF4AC" w14:textId="77777777" w:rsidR="00352A0F" w:rsidRDefault="00352A0F" w:rsidP="00352A0F">
                  <w:pPr>
                    <w:pStyle w:val="tablebody0"/>
                  </w:pPr>
                  <w:r>
                    <w:t xml:space="preserve">RTRUREV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139027B4"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C4FE73B" w14:textId="3FDC2655" w:rsidR="00352A0F" w:rsidRDefault="00352A0F" w:rsidP="00352A0F">
                  <w:pPr>
                    <w:pStyle w:val="tablebody0"/>
                    <w:rPr>
                      <w:i/>
                    </w:rPr>
                  </w:pPr>
                  <w:r>
                    <w:rPr>
                      <w:i/>
                    </w:rPr>
                    <w:t>Real-Time Reg-Up Revenue</w:t>
                  </w:r>
                  <w:r>
                    <w:t xml:space="preserve">—The Real-Time Reg-Up revenue for QSE </w:t>
                  </w:r>
                  <w:r>
                    <w:rPr>
                      <w:i/>
                    </w:rPr>
                    <w:t xml:space="preserve">q </w:t>
                  </w:r>
                  <w:r>
                    <w:t>calculated for</w:t>
                  </w:r>
                  <w:r>
                    <w:rPr>
                      <w:i/>
                    </w:rPr>
                    <w:t xml:space="preserve"> </w:t>
                  </w:r>
                  <w:r>
                    <w:t xml:space="preserve">Resource </w:t>
                  </w:r>
                  <w:r>
                    <w:rPr>
                      <w:i/>
                    </w:rPr>
                    <w:t xml:space="preserve">r </w:t>
                  </w:r>
                  <w:r>
                    <w:t xml:space="preserve">for the 15-minute Settlement Interval.  Where for a Combined Cycle Train, the Resource </w:t>
                  </w:r>
                  <w:r>
                    <w:rPr>
                      <w:i/>
                    </w:rPr>
                    <w:t>r</w:t>
                  </w:r>
                  <w:r>
                    <w:t xml:space="preserve"> is the Combined Cycle Train.</w:t>
                  </w:r>
                </w:p>
              </w:tc>
            </w:tr>
            <w:tr w:rsidR="00352A0F" w14:paraId="46956959"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35E8BBC4" w14:textId="77777777" w:rsidR="00352A0F" w:rsidRDefault="00352A0F" w:rsidP="00352A0F">
                  <w:pPr>
                    <w:pStyle w:val="tablebody0"/>
                  </w:pPr>
                  <w:r>
                    <w:t>RTRDPARUS</w:t>
                  </w:r>
                  <w:r>
                    <w:rPr>
                      <w:rFonts w:ascii="Segoe UI" w:hAnsi="Segoe UI" w:cs="Segoe UI"/>
                      <w:color w:val="000000"/>
                    </w:rPr>
                    <w:t xml:space="preserve">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3C781C81"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6EA5395" w14:textId="505E11E2" w:rsidR="00352A0F" w:rsidRDefault="00352A0F" w:rsidP="00352A0F">
                  <w:pPr>
                    <w:pStyle w:val="tablebody0"/>
                    <w:rPr>
                      <w:i/>
                    </w:rPr>
                  </w:pPr>
                  <w:r>
                    <w:rPr>
                      <w:i/>
                      <w:szCs w:val="18"/>
                    </w:rPr>
                    <w:t xml:space="preserve">Real-Time </w:t>
                  </w:r>
                  <w:r>
                    <w:rPr>
                      <w:i/>
                    </w:rPr>
                    <w:t xml:space="preserve">Reliability Deployment Price Adder </w:t>
                  </w:r>
                  <w:r>
                    <w:rPr>
                      <w:i/>
                      <w:szCs w:val="18"/>
                    </w:rPr>
                    <w:t xml:space="preserve">for Ancillary Service for Reg-Up </w:t>
                  </w:r>
                  <w:r>
                    <w:rPr>
                      <w:i/>
                    </w:rPr>
                    <w:t>per SCED interval</w:t>
                  </w:r>
                  <w:r w:rsidR="00937CFE" w:rsidRPr="00A552C3">
                    <w:rPr>
                      <w:iCs/>
                    </w:rPr>
                    <w:t>—</w:t>
                  </w:r>
                  <w:r>
                    <w:t xml:space="preserve">The Real-Time price adder for Reg-Up that captures the impact of reliability deployments on Reg-Up prices for the SCED interval </w:t>
                  </w:r>
                  <w:r w:rsidRPr="00952F33">
                    <w:rPr>
                      <w:i/>
                      <w:iCs/>
                    </w:rPr>
                    <w:t>y</w:t>
                  </w:r>
                  <w:r>
                    <w:t>.</w:t>
                  </w:r>
                </w:p>
              </w:tc>
            </w:tr>
            <w:tr w:rsidR="00352A0F" w14:paraId="3B56296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CF75C96" w14:textId="77777777" w:rsidR="00352A0F" w:rsidRDefault="00352A0F" w:rsidP="00352A0F">
                  <w:pPr>
                    <w:pStyle w:val="tablebody0"/>
                  </w:pPr>
                  <w:r>
                    <w:t>RTRUAWD</w:t>
                  </w:r>
                  <w:r>
                    <w:rPr>
                      <w:i/>
                      <w:vertAlign w:val="subscript"/>
                    </w:rPr>
                    <w:t xml:space="preserve"> q, r</w:t>
                  </w:r>
                </w:p>
              </w:tc>
              <w:tc>
                <w:tcPr>
                  <w:tcW w:w="623" w:type="pct"/>
                  <w:tcBorders>
                    <w:top w:val="single" w:sz="4" w:space="0" w:color="auto"/>
                    <w:left w:val="single" w:sz="4" w:space="0" w:color="auto"/>
                    <w:bottom w:val="single" w:sz="4" w:space="0" w:color="auto"/>
                    <w:right w:val="single" w:sz="4" w:space="0" w:color="auto"/>
                  </w:tcBorders>
                  <w:hideMark/>
                </w:tcPr>
                <w:p w14:paraId="68A7DDDA"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AF6DBAD" w14:textId="77D9B8BD" w:rsidR="00352A0F" w:rsidRDefault="00352A0F" w:rsidP="00352A0F">
                  <w:pPr>
                    <w:pStyle w:val="tablebody0"/>
                    <w:rPr>
                      <w:i/>
                    </w:rPr>
                  </w:pPr>
                  <w:r>
                    <w:rPr>
                      <w:i/>
                    </w:rPr>
                    <w:t>Real-Time Reg-Up Award per Resource per QSE</w:t>
                  </w:r>
                  <w:r>
                    <w:t xml:space="preserve">—The Reg-Up amount awarded to QSE </w:t>
                  </w:r>
                  <w:r>
                    <w:rPr>
                      <w:i/>
                    </w:rPr>
                    <w:t>q</w:t>
                  </w:r>
                  <w:r>
                    <w:t xml:space="preserve"> for Resource </w:t>
                  </w:r>
                  <w:r>
                    <w:rPr>
                      <w:i/>
                    </w:rPr>
                    <w:t>r</w:t>
                  </w:r>
                  <w:r>
                    <w:t xml:space="preserve"> in Real-Time </w:t>
                  </w:r>
                  <w:r>
                    <w:rPr>
                      <w:szCs w:val="18"/>
                    </w:rPr>
                    <w:t xml:space="preserve">for </w:t>
                  </w:r>
                  <w:r>
                    <w:t xml:space="preserve">the 15-minute Settlement Interval.  Where for a Combined Cycle Train, the Resource </w:t>
                  </w:r>
                  <w:r>
                    <w:rPr>
                      <w:i/>
                    </w:rPr>
                    <w:t xml:space="preserve">r </w:t>
                  </w:r>
                  <w:r>
                    <w:t>is the Combined Cycle Train.</w:t>
                  </w:r>
                </w:p>
              </w:tc>
            </w:tr>
            <w:tr w:rsidR="00352A0F" w14:paraId="0EFEA021"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37F3F0A" w14:textId="518082A4" w:rsidR="00352A0F" w:rsidRDefault="00352A0F" w:rsidP="00352A0F">
                  <w:pPr>
                    <w:pStyle w:val="tablebody0"/>
                  </w:pPr>
                  <w:r>
                    <w:lastRenderedPageBreak/>
                    <w:t xml:space="preserve">RTRUAWDS </w:t>
                  </w:r>
                  <w:r>
                    <w:rPr>
                      <w:i/>
                      <w:vertAlign w:val="subscript"/>
                    </w:rPr>
                    <w:t>q, r, y</w:t>
                  </w:r>
                </w:p>
              </w:tc>
              <w:tc>
                <w:tcPr>
                  <w:tcW w:w="623" w:type="pct"/>
                  <w:tcBorders>
                    <w:top w:val="single" w:sz="4" w:space="0" w:color="auto"/>
                    <w:left w:val="single" w:sz="4" w:space="0" w:color="auto"/>
                    <w:bottom w:val="single" w:sz="4" w:space="0" w:color="auto"/>
                    <w:right w:val="single" w:sz="4" w:space="0" w:color="auto"/>
                  </w:tcBorders>
                  <w:hideMark/>
                </w:tcPr>
                <w:p w14:paraId="73A24EAD"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4B1405B" w14:textId="1F895E0D" w:rsidR="00352A0F" w:rsidRDefault="00352A0F" w:rsidP="00352A0F">
                  <w:pPr>
                    <w:pStyle w:val="tablebody0"/>
                    <w:rPr>
                      <w:i/>
                    </w:rPr>
                  </w:pPr>
                  <w:r>
                    <w:rPr>
                      <w:i/>
                    </w:rPr>
                    <w:t>Real-Time Reg-Up Award per Resource per QSE per SCED interval</w:t>
                  </w:r>
                  <w:r w:rsidR="002018B0" w:rsidRPr="00A552C3">
                    <w:rPr>
                      <w:iCs/>
                    </w:rPr>
                    <w:t>—</w:t>
                  </w:r>
                  <w:r>
                    <w:t xml:space="preserve">The Reg-Up amount awarded to QSE </w:t>
                  </w:r>
                  <w:r>
                    <w:rPr>
                      <w:i/>
                    </w:rPr>
                    <w:t>q</w:t>
                  </w:r>
                  <w:r>
                    <w:t xml:space="preserve"> for Resource </w:t>
                  </w:r>
                  <w:r>
                    <w:rPr>
                      <w:i/>
                    </w:rPr>
                    <w:t xml:space="preserve">r </w:t>
                  </w:r>
                  <w:r>
                    <w:t>in Real-Time</w:t>
                  </w:r>
                  <w:r>
                    <w:rPr>
                      <w:i/>
                    </w:rPr>
                    <w:t xml:space="preserve"> </w:t>
                  </w:r>
                  <w:r>
                    <w:t xml:space="preserve">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352A0F" w14:paraId="0ACA02C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5951C6E3" w14:textId="77777777" w:rsidR="00352A0F" w:rsidRDefault="00352A0F" w:rsidP="00352A0F">
                  <w:pPr>
                    <w:pStyle w:val="tablebody0"/>
                  </w:pPr>
                  <w:r>
                    <w:t xml:space="preserve">RTMCPCRUR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3147D572"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BD44E3B" w14:textId="58623388" w:rsidR="00352A0F" w:rsidRDefault="00352A0F" w:rsidP="00352A0F">
                  <w:pPr>
                    <w:pStyle w:val="tablebody0"/>
                    <w:rPr>
                      <w:iCs/>
                    </w:rPr>
                  </w:pPr>
                  <w:r>
                    <w:rPr>
                      <w:i/>
                    </w:rPr>
                    <w:t>Real-Time Market Clearing Price for Capacity for Reg-Up per Resource per QSE</w:t>
                  </w:r>
                  <w:r>
                    <w:sym w:font="Symbol" w:char="F0BE"/>
                  </w:r>
                  <w:r>
                    <w:t xml:space="preserve">The Real-Time MCPC for Reg-Up for Resource </w:t>
                  </w:r>
                  <w:r>
                    <w:rPr>
                      <w:i/>
                    </w:rPr>
                    <w:t>r</w:t>
                  </w:r>
                  <w:r>
                    <w:t xml:space="preserve">, represented by QSE </w:t>
                  </w:r>
                  <w:r>
                    <w:rPr>
                      <w:i/>
                    </w:rPr>
                    <w:t xml:space="preserve">q </w:t>
                  </w:r>
                  <w:r>
                    <w:t xml:space="preserve">for the 15-minute Settlement Interval.  Where for a Combined Cycle Train, the Resource </w:t>
                  </w:r>
                  <w:r w:rsidRPr="00952F33">
                    <w:rPr>
                      <w:i/>
                      <w:iCs/>
                    </w:rPr>
                    <w:t>r</w:t>
                  </w:r>
                  <w:r>
                    <w:t xml:space="preserve"> is the Combined Cycle Train.</w:t>
                  </w:r>
                </w:p>
              </w:tc>
            </w:tr>
            <w:tr w:rsidR="00352A0F" w14:paraId="463F05B6"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2D961DD" w14:textId="77777777" w:rsidR="00352A0F" w:rsidRDefault="00352A0F" w:rsidP="00352A0F">
                  <w:pPr>
                    <w:pStyle w:val="tablebody0"/>
                  </w:pPr>
                  <w:r>
                    <w:t>RTMCPCRUS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688C1F65"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29D43CD" w14:textId="26DB9E49" w:rsidR="00352A0F" w:rsidRDefault="00352A0F" w:rsidP="00352A0F">
                  <w:pPr>
                    <w:pStyle w:val="tablebody0"/>
                    <w:rPr>
                      <w:i/>
                    </w:rPr>
                  </w:pPr>
                  <w:r>
                    <w:rPr>
                      <w:i/>
                      <w:szCs w:val="18"/>
                    </w:rPr>
                    <w:t xml:space="preserve">Real-Time Market Clearing Price for Capacity for Reg-Up </w:t>
                  </w:r>
                  <w:r>
                    <w:rPr>
                      <w:i/>
                    </w:rPr>
                    <w:t>per SCED interval</w:t>
                  </w:r>
                  <w:r w:rsidR="008841BB" w:rsidRPr="00A552C3">
                    <w:rPr>
                      <w:iCs/>
                    </w:rPr>
                    <w:t>—</w:t>
                  </w:r>
                  <w:r>
                    <w:t xml:space="preserve">The Real-Time MCPC for Reg-Up for the SCED interval </w:t>
                  </w:r>
                  <w:r>
                    <w:rPr>
                      <w:i/>
                    </w:rPr>
                    <w:t>y.</w:t>
                  </w:r>
                </w:p>
              </w:tc>
            </w:tr>
            <w:tr w:rsidR="00352A0F" w14:paraId="6BAED1D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ACAE2B7" w14:textId="77777777" w:rsidR="00352A0F" w:rsidRDefault="00352A0F" w:rsidP="00352A0F">
                  <w:pPr>
                    <w:pStyle w:val="tablebody0"/>
                  </w:pPr>
                  <w:r>
                    <w:t xml:space="preserve">PCRUR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5468913F"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A990703" w14:textId="77777777" w:rsidR="00352A0F" w:rsidRDefault="00352A0F" w:rsidP="00352A0F">
                  <w:pPr>
                    <w:pStyle w:val="tablebody0"/>
                    <w:rPr>
                      <w:i/>
                    </w:rPr>
                  </w:pPr>
                  <w:r>
                    <w:rPr>
                      <w:i/>
                    </w:rPr>
                    <w:t>Procured Capacity for Reg-Up per Resource per QSE in DAM</w:t>
                  </w:r>
                  <w:r>
                    <w:t xml:space="preserve">—The Reg-Up capacity awarded to QSE </w:t>
                  </w:r>
                  <w:r>
                    <w:rPr>
                      <w:i/>
                    </w:rPr>
                    <w:t>q</w:t>
                  </w:r>
                  <w:r>
                    <w:t xml:space="preserve"> in the DAM for Resource </w:t>
                  </w:r>
                  <w:r>
                    <w:rPr>
                      <w:i/>
                    </w:rPr>
                    <w:t>r</w:t>
                  </w:r>
                  <w:r>
                    <w:t xml:space="preserve"> for the Operating Hour.  Where for a Combined Cycle Train, the Resource </w:t>
                  </w:r>
                  <w:r>
                    <w:rPr>
                      <w:i/>
                    </w:rPr>
                    <w:t>r</w:t>
                  </w:r>
                  <w:r>
                    <w:t xml:space="preserve"> is a Combined Cycle Generation Resource within the Combined Cycle Train.</w:t>
                  </w:r>
                </w:p>
              </w:tc>
            </w:tr>
            <w:tr w:rsidR="00352A0F" w14:paraId="7D159F00"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2CB5C19C" w14:textId="77777777" w:rsidR="00352A0F" w:rsidRDefault="00352A0F" w:rsidP="00352A0F">
                  <w:pPr>
                    <w:pStyle w:val="tablebody0"/>
                  </w:pPr>
                  <w:r>
                    <w:t xml:space="preserve">RTMCPCRU </w:t>
                  </w:r>
                </w:p>
              </w:tc>
              <w:tc>
                <w:tcPr>
                  <w:tcW w:w="623" w:type="pct"/>
                  <w:tcBorders>
                    <w:top w:val="single" w:sz="4" w:space="0" w:color="auto"/>
                    <w:left w:val="single" w:sz="4" w:space="0" w:color="auto"/>
                    <w:bottom w:val="single" w:sz="4" w:space="0" w:color="auto"/>
                    <w:right w:val="single" w:sz="4" w:space="0" w:color="auto"/>
                  </w:tcBorders>
                  <w:hideMark/>
                </w:tcPr>
                <w:p w14:paraId="53D14BAC"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F50E2B3" w14:textId="570BCF90" w:rsidR="00352A0F" w:rsidRDefault="00352A0F" w:rsidP="00352A0F">
                  <w:pPr>
                    <w:pStyle w:val="tablebody0"/>
                    <w:rPr>
                      <w:i/>
                    </w:rPr>
                  </w:pPr>
                  <w:r>
                    <w:rPr>
                      <w:i/>
                      <w:szCs w:val="18"/>
                    </w:rPr>
                    <w:t>Real-Time Market Clearing Price for Capacity for Reg-Up</w:t>
                  </w:r>
                  <w:r w:rsidR="002D2D7F" w:rsidRPr="00A552C3">
                    <w:rPr>
                      <w:iCs/>
                    </w:rPr>
                    <w:t>—</w:t>
                  </w:r>
                  <w:r>
                    <w:t>The Real-Time MCPC for Reg-Up for the 15-minute Settlement Interval.</w:t>
                  </w:r>
                </w:p>
              </w:tc>
            </w:tr>
            <w:tr w:rsidR="00352A0F" w14:paraId="332C3F6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4181C91F" w14:textId="77777777" w:rsidR="00352A0F" w:rsidRDefault="00352A0F" w:rsidP="00352A0F">
                  <w:pPr>
                    <w:pStyle w:val="tablebody0"/>
                  </w:pPr>
                  <w:r>
                    <w:t>DASARUQ</w:t>
                  </w:r>
                  <w:r>
                    <w:rPr>
                      <w:b/>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2B0D897F"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160A1CE" w14:textId="77777777" w:rsidR="00352A0F" w:rsidRDefault="00352A0F" w:rsidP="00352A0F">
                  <w:pPr>
                    <w:pStyle w:val="tablebody0"/>
                    <w:rPr>
                      <w:i/>
                    </w:rPr>
                  </w:pPr>
                  <w:r>
                    <w:rPr>
                      <w:i/>
                      <w:iCs/>
                    </w:rPr>
                    <w:t>Day-Ahead Self-Arranged Reg-Up Quantity per QSE</w:t>
                  </w:r>
                  <w:r>
                    <w:rPr>
                      <w:iCs/>
                    </w:rPr>
                    <w:t xml:space="preserve">—The self-arranged Reg-Up quantity submitted by QSE </w:t>
                  </w:r>
                  <w:r>
                    <w:rPr>
                      <w:i/>
                      <w:iCs/>
                    </w:rPr>
                    <w:t>q</w:t>
                  </w:r>
                  <w:r>
                    <w:rPr>
                      <w:iCs/>
                    </w:rPr>
                    <w:t xml:space="preserve"> before 1000 in the DAM for the Operating Hour.</w:t>
                  </w:r>
                </w:p>
              </w:tc>
            </w:tr>
            <w:tr w:rsidR="00352A0F" w14:paraId="52D219E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4389AEB5" w14:textId="77777777" w:rsidR="00352A0F" w:rsidRDefault="00352A0F" w:rsidP="00352A0F">
                  <w:pPr>
                    <w:pStyle w:val="tablebody0"/>
                  </w:pPr>
                  <w:r>
                    <w:t>RUTP</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1400307F"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6512A56" w14:textId="25C50C39" w:rsidR="00352A0F" w:rsidRDefault="00352A0F" w:rsidP="00352A0F">
                  <w:pPr>
                    <w:pStyle w:val="tablebody0"/>
                    <w:rPr>
                      <w:i/>
                    </w:rPr>
                  </w:pPr>
                  <w:r>
                    <w:rPr>
                      <w:i/>
                      <w:szCs w:val="18"/>
                    </w:rPr>
                    <w:t>Trade Purchases for Reg-Up for the QSE—</w:t>
                  </w:r>
                  <w:r>
                    <w:rPr>
                      <w:szCs w:val="18"/>
                    </w:rPr>
                    <w:t xml:space="preserve">The final approved trade purchases for QSE </w:t>
                  </w:r>
                  <w:r>
                    <w:rPr>
                      <w:i/>
                      <w:szCs w:val="18"/>
                    </w:rPr>
                    <w:t>q</w:t>
                  </w:r>
                  <w:r>
                    <w:rPr>
                      <w:szCs w:val="18"/>
                    </w:rPr>
                    <w:t xml:space="preserve"> for Reg-Up for the Operating Hour.</w:t>
                  </w:r>
                </w:p>
              </w:tc>
            </w:tr>
            <w:tr w:rsidR="00352A0F" w14:paraId="65742FF1"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138AC00" w14:textId="77777777" w:rsidR="00352A0F" w:rsidRDefault="00352A0F" w:rsidP="00352A0F">
                  <w:pPr>
                    <w:pStyle w:val="tablebody0"/>
                  </w:pPr>
                  <w:r>
                    <w:t>RUTS</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562B6A38"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A96C799" w14:textId="4098A6FD" w:rsidR="00352A0F" w:rsidRDefault="00352A0F" w:rsidP="00352A0F">
                  <w:pPr>
                    <w:pStyle w:val="tablebody0"/>
                    <w:rPr>
                      <w:i/>
                    </w:rPr>
                  </w:pPr>
                  <w:r>
                    <w:rPr>
                      <w:i/>
                      <w:szCs w:val="18"/>
                    </w:rPr>
                    <w:t>Trade Sales for Reg-Up for the QSE—</w:t>
                  </w:r>
                  <w:r>
                    <w:rPr>
                      <w:szCs w:val="18"/>
                    </w:rPr>
                    <w:t xml:space="preserve">The final approved trade sales for QSE </w:t>
                  </w:r>
                  <w:r>
                    <w:rPr>
                      <w:i/>
                      <w:szCs w:val="18"/>
                    </w:rPr>
                    <w:t>q</w:t>
                  </w:r>
                  <w:r>
                    <w:rPr>
                      <w:szCs w:val="18"/>
                    </w:rPr>
                    <w:t xml:space="preserve"> for Reg-Up for the Operating Hour.</w:t>
                  </w:r>
                </w:p>
              </w:tc>
            </w:tr>
            <w:tr w:rsidR="00352A0F" w14:paraId="7E8C4440"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356017F4" w14:textId="77777777" w:rsidR="00352A0F" w:rsidRDefault="00352A0F" w:rsidP="00352A0F">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4283B898" w14:textId="77777777" w:rsidR="00352A0F" w:rsidRDefault="00352A0F" w:rsidP="00352A0F">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524D6799" w14:textId="66B05FC2" w:rsidR="00352A0F" w:rsidRDefault="00352A0F" w:rsidP="00352A0F">
                  <w:pPr>
                    <w:pStyle w:val="tablebody0"/>
                    <w:rPr>
                      <w:i/>
                    </w:rPr>
                  </w:pPr>
                  <w:r>
                    <w:rPr>
                      <w:i/>
                      <w:iCs/>
                    </w:rPr>
                    <w:t xml:space="preserve">Duration of </w:t>
                  </w:r>
                  <w:r>
                    <w:rPr>
                      <w:i/>
                    </w:rPr>
                    <w:t>SCED</w:t>
                  </w:r>
                  <w:r>
                    <w:rPr>
                      <w:i/>
                      <w:iCs/>
                    </w:rPr>
                    <w:t xml:space="preserve"> interval per interval</w:t>
                  </w:r>
                  <w:r w:rsidR="003A72E3" w:rsidRPr="00A552C3">
                    <w:rPr>
                      <w:iCs/>
                    </w:rPr>
                    <w:t>—</w:t>
                  </w:r>
                  <w:r>
                    <w:t xml:space="preserve">The duration of the SCED interval </w:t>
                  </w:r>
                  <w:r>
                    <w:rPr>
                      <w:i/>
                      <w:iCs/>
                    </w:rPr>
                    <w:t>y</w:t>
                  </w:r>
                  <w:r>
                    <w:t>.</w:t>
                  </w:r>
                </w:p>
              </w:tc>
            </w:tr>
            <w:tr w:rsidR="00352A0F" w14:paraId="261B26D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6234C20" w14:textId="77777777" w:rsidR="00352A0F" w:rsidRDefault="00352A0F" w:rsidP="00352A0F">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732C51A5"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64527F9" w14:textId="68EF54C8" w:rsidR="00352A0F" w:rsidRDefault="00352A0F" w:rsidP="00352A0F">
                  <w:pPr>
                    <w:pStyle w:val="tablebody0"/>
                    <w:rPr>
                      <w:i/>
                    </w:rPr>
                  </w:pPr>
                  <w:r>
                    <w:rPr>
                      <w:i/>
                    </w:rPr>
                    <w:t>Resource Node Weighting Factor per interval</w:t>
                  </w:r>
                  <w:r w:rsidR="003A72E3" w:rsidRPr="00A552C3">
                    <w:rPr>
                      <w:iCs/>
                    </w:rPr>
                    <w:t>—</w:t>
                  </w:r>
                  <w:r>
                    <w:t xml:space="preserve">The weight used in the Ancillary Service award calculation for the portion of the SCED interval </w:t>
                  </w:r>
                  <w:r>
                    <w:rPr>
                      <w:i/>
                    </w:rPr>
                    <w:t>y</w:t>
                  </w:r>
                  <w:r>
                    <w:t xml:space="preserve"> within the Settlement Interval</w:t>
                  </w:r>
                  <w:r>
                    <w:rPr>
                      <w:i/>
                    </w:rPr>
                    <w:t>.</w:t>
                  </w:r>
                </w:p>
              </w:tc>
            </w:tr>
            <w:tr w:rsidR="00352A0F" w14:paraId="1DEFCCEA"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AADE676" w14:textId="75181B09" w:rsidR="00352A0F" w:rsidRDefault="00352A0F" w:rsidP="00352A0F">
                  <w:pPr>
                    <w:pStyle w:val="tablebody0"/>
                  </w:pPr>
                  <w:r>
                    <w:t xml:space="preserve">RURWF </w:t>
                  </w:r>
                  <w:r>
                    <w:rPr>
                      <w:i/>
                      <w:vertAlign w:val="subscript"/>
                    </w:rPr>
                    <w:t>q, r, y</w:t>
                  </w:r>
                </w:p>
              </w:tc>
              <w:tc>
                <w:tcPr>
                  <w:tcW w:w="623" w:type="pct"/>
                  <w:tcBorders>
                    <w:top w:val="single" w:sz="4" w:space="0" w:color="auto"/>
                    <w:left w:val="single" w:sz="4" w:space="0" w:color="auto"/>
                    <w:bottom w:val="single" w:sz="4" w:space="0" w:color="auto"/>
                    <w:right w:val="single" w:sz="4" w:space="0" w:color="auto"/>
                  </w:tcBorders>
                  <w:hideMark/>
                </w:tcPr>
                <w:p w14:paraId="7C6F2D55"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502B0872" w14:textId="181DC62B" w:rsidR="00352A0F" w:rsidRDefault="00352A0F" w:rsidP="00C1706D">
                  <w:pPr>
                    <w:pStyle w:val="tablebody0"/>
                    <w:rPr>
                      <w:i/>
                    </w:rPr>
                  </w:pPr>
                  <w:r>
                    <w:rPr>
                      <w:i/>
                    </w:rPr>
                    <w:t>Reg-Up Resource Node Weighting Factor per interval</w:t>
                  </w:r>
                  <w:r w:rsidR="003A72E3" w:rsidRPr="00A552C3">
                    <w:rPr>
                      <w:iCs/>
                    </w:rPr>
                    <w:t>—</w:t>
                  </w:r>
                  <w:r>
                    <w:t xml:space="preserve">The Reg-Up Resource weight, based on Reg-Up awards, used in the Real-Time MCPC calculation for the portion of the SCED interval </w:t>
                  </w:r>
                  <w:r>
                    <w:rPr>
                      <w:i/>
                    </w:rPr>
                    <w:t>y</w:t>
                  </w:r>
                  <w:r>
                    <w:t xml:space="preserve"> within the Settlement Interval.  Where for a Combined Cycle Train, the Resource </w:t>
                  </w:r>
                  <w:r>
                    <w:rPr>
                      <w:i/>
                    </w:rPr>
                    <w:t xml:space="preserve">r </w:t>
                  </w:r>
                  <w:r>
                    <w:t xml:space="preserve">is a Combined Cycle Generation Resource within the Combined Cycle Train.   </w:t>
                  </w:r>
                </w:p>
              </w:tc>
            </w:tr>
            <w:tr w:rsidR="00352A0F" w14:paraId="1EAA18D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1394FC23" w14:textId="77777777" w:rsidR="00352A0F" w:rsidRDefault="00352A0F" w:rsidP="00352A0F">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559976FF"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B76FBE2" w14:textId="77777777" w:rsidR="00352A0F" w:rsidRDefault="00352A0F" w:rsidP="00352A0F">
                  <w:pPr>
                    <w:pStyle w:val="tablebody0"/>
                    <w:rPr>
                      <w:i/>
                    </w:rPr>
                  </w:pPr>
                  <w:r>
                    <w:t>A Resource.</w:t>
                  </w:r>
                </w:p>
              </w:tc>
            </w:tr>
            <w:tr w:rsidR="00352A0F" w14:paraId="35516C6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E87E72A" w14:textId="77777777" w:rsidR="00352A0F" w:rsidRDefault="00352A0F" w:rsidP="00352A0F">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3EBC2826"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535D173D" w14:textId="77777777" w:rsidR="00352A0F" w:rsidRDefault="00352A0F" w:rsidP="00352A0F">
                  <w:pPr>
                    <w:pStyle w:val="tablebody0"/>
                  </w:pPr>
                  <w:r>
                    <w:t>A QSE.</w:t>
                  </w:r>
                </w:p>
              </w:tc>
            </w:tr>
            <w:tr w:rsidR="00352A0F" w14:paraId="3746DC45"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FB8A52E" w14:textId="77777777" w:rsidR="00352A0F" w:rsidRDefault="00352A0F" w:rsidP="00352A0F">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39A58F8E"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F811D1E" w14:textId="77777777" w:rsidR="00352A0F" w:rsidRDefault="00352A0F" w:rsidP="00352A0F">
                  <w:pPr>
                    <w:pStyle w:val="tablebody0"/>
                  </w:pPr>
                  <w:r>
                    <w:t>A SCED interval in the 15-minute Settlement Interval.</w:t>
                  </w:r>
                </w:p>
              </w:tc>
            </w:tr>
          </w:tbl>
          <w:p w14:paraId="736ED86D" w14:textId="77777777" w:rsidR="00352A0F" w:rsidRDefault="00352A0F" w:rsidP="00352A0F">
            <w:pPr>
              <w:spacing w:before="240" w:after="240"/>
            </w:pPr>
            <w:r>
              <w:t>(2)</w:t>
            </w:r>
            <w:r>
              <w:tab/>
              <w:t>Reg-Up Only Charge:</w:t>
            </w:r>
          </w:p>
          <w:p w14:paraId="7E71B585" w14:textId="77777777" w:rsidR="00352A0F" w:rsidRDefault="00352A0F" w:rsidP="00352A0F">
            <w:pPr>
              <w:pStyle w:val="FormulaBold"/>
            </w:pPr>
            <w:r>
              <w:t>RTRUOAMT</w:t>
            </w:r>
            <w:r>
              <w:rPr>
                <w:i/>
                <w:vertAlign w:val="subscript"/>
              </w:rPr>
              <w:t xml:space="preserve"> q  </w:t>
            </w:r>
            <w:r>
              <w:t xml:space="preserve">= </w:t>
            </w:r>
            <w:r>
              <w:tab/>
              <w:t xml:space="preserve">(1/4) * DARUOAWD </w:t>
            </w:r>
            <w:r>
              <w:rPr>
                <w:i/>
                <w:vertAlign w:val="subscript"/>
              </w:rPr>
              <w:t>q</w:t>
            </w:r>
            <w:r>
              <w:t xml:space="preserve"> * RTMCPCRU</w:t>
            </w:r>
          </w:p>
          <w:p w14:paraId="6B4DAD1E" w14:textId="77777777" w:rsidR="00352A0F" w:rsidRDefault="00352A0F" w:rsidP="00352A0F">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352A0F" w14:paraId="44F6EB91" w14:textId="77777777" w:rsidTr="00352A0F">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1DF75734" w14:textId="77777777" w:rsidR="00352A0F" w:rsidRDefault="00352A0F" w:rsidP="00352A0F">
                  <w:pPr>
                    <w:pStyle w:val="TableHead"/>
                  </w:pPr>
                  <w:r>
                    <w:lastRenderedPageBreak/>
                    <w:t>Variable</w:t>
                  </w:r>
                </w:p>
              </w:tc>
              <w:tc>
                <w:tcPr>
                  <w:tcW w:w="623" w:type="pct"/>
                  <w:tcBorders>
                    <w:top w:val="single" w:sz="4" w:space="0" w:color="auto"/>
                    <w:left w:val="single" w:sz="4" w:space="0" w:color="auto"/>
                    <w:bottom w:val="single" w:sz="4" w:space="0" w:color="auto"/>
                    <w:right w:val="single" w:sz="4" w:space="0" w:color="auto"/>
                  </w:tcBorders>
                  <w:hideMark/>
                </w:tcPr>
                <w:p w14:paraId="34D930BF" w14:textId="77777777" w:rsidR="00352A0F" w:rsidRDefault="00352A0F" w:rsidP="00352A0F">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0B2FD479" w14:textId="77777777" w:rsidR="00352A0F" w:rsidRDefault="00352A0F" w:rsidP="00352A0F">
                  <w:pPr>
                    <w:pStyle w:val="TableHead"/>
                  </w:pPr>
                  <w:r>
                    <w:t>Description</w:t>
                  </w:r>
                </w:p>
              </w:tc>
            </w:tr>
            <w:tr w:rsidR="00352A0F" w14:paraId="50C3129D"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4FB7E9B3" w14:textId="77777777" w:rsidR="00352A0F" w:rsidRDefault="00352A0F" w:rsidP="00352A0F">
                  <w:pPr>
                    <w:pStyle w:val="tablebody0"/>
                  </w:pPr>
                  <w:r>
                    <w:t xml:space="preserve">RTRUOAMT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D8D5191"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17F03D7" w14:textId="3967818F" w:rsidR="00352A0F" w:rsidRDefault="00352A0F" w:rsidP="00352A0F">
                  <w:pPr>
                    <w:pStyle w:val="tablebody0"/>
                    <w:rPr>
                      <w:i/>
                    </w:rPr>
                  </w:pPr>
                  <w:r>
                    <w:rPr>
                      <w:i/>
                    </w:rPr>
                    <w:t>Real-Time Reg-Up Only Amount for the QSE</w:t>
                  </w:r>
                  <w:r>
                    <w:t xml:space="preserve">—The total charge to QSE </w:t>
                  </w:r>
                  <w:r>
                    <w:rPr>
                      <w:i/>
                    </w:rPr>
                    <w:t>q</w:t>
                  </w:r>
                  <w:r>
                    <w:t xml:space="preserve"> in Real-Time for Reg-Up Only awards for each 15-minute Settlement Interval.</w:t>
                  </w:r>
                </w:p>
              </w:tc>
            </w:tr>
            <w:tr w:rsidR="00352A0F" w14:paraId="2527664F"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6AE041F" w14:textId="77777777" w:rsidR="00352A0F" w:rsidRDefault="00352A0F" w:rsidP="00352A0F">
                  <w:pPr>
                    <w:pStyle w:val="tablebody0"/>
                  </w:pPr>
                  <w:r>
                    <w:t xml:space="preserve">DARUOAWD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CE11977"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29ABBE8" w14:textId="5283C7FD" w:rsidR="00352A0F" w:rsidRDefault="00352A0F" w:rsidP="00352A0F">
                  <w:pPr>
                    <w:pStyle w:val="tablebody0"/>
                  </w:pPr>
                  <w:r>
                    <w:rPr>
                      <w:i/>
                    </w:rPr>
                    <w:t>Day-Ahead Reg-Up Only Award for the QSE</w:t>
                  </w:r>
                  <w:r>
                    <w:sym w:font="Symbol" w:char="F0BE"/>
                  </w:r>
                  <w:r>
                    <w:t xml:space="preserve">The Reg-Up only capacity awarded in the DAM to the QSE </w:t>
                  </w:r>
                  <w:r>
                    <w:rPr>
                      <w:i/>
                    </w:rPr>
                    <w:t>q</w:t>
                  </w:r>
                  <w:r>
                    <w:t xml:space="preserve"> for the </w:t>
                  </w:r>
                  <w:r>
                    <w:rPr>
                      <w:szCs w:val="18"/>
                    </w:rPr>
                    <w:t>Operating Hour</w:t>
                  </w:r>
                  <w:r>
                    <w:t>.</w:t>
                  </w:r>
                </w:p>
              </w:tc>
            </w:tr>
            <w:tr w:rsidR="00352A0F" w14:paraId="115514D1"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38CB2EC" w14:textId="77777777" w:rsidR="00352A0F" w:rsidRDefault="00352A0F" w:rsidP="00352A0F">
                  <w:pPr>
                    <w:pStyle w:val="tablebody0"/>
                  </w:pPr>
                  <w:r>
                    <w:t xml:space="preserve">RTMCPCRU </w:t>
                  </w:r>
                </w:p>
              </w:tc>
              <w:tc>
                <w:tcPr>
                  <w:tcW w:w="623" w:type="pct"/>
                  <w:tcBorders>
                    <w:top w:val="single" w:sz="4" w:space="0" w:color="auto"/>
                    <w:left w:val="single" w:sz="4" w:space="0" w:color="auto"/>
                    <w:bottom w:val="single" w:sz="4" w:space="0" w:color="auto"/>
                    <w:right w:val="single" w:sz="4" w:space="0" w:color="auto"/>
                  </w:tcBorders>
                  <w:hideMark/>
                </w:tcPr>
                <w:p w14:paraId="77B8F9D9"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E55EC40" w14:textId="36C40A02" w:rsidR="00352A0F" w:rsidRDefault="00352A0F" w:rsidP="00352A0F">
                  <w:pPr>
                    <w:pStyle w:val="tablebody0"/>
                    <w:rPr>
                      <w:i/>
                    </w:rPr>
                  </w:pPr>
                  <w:r>
                    <w:rPr>
                      <w:i/>
                      <w:szCs w:val="18"/>
                    </w:rPr>
                    <w:t>Real-Time Market Clearing Price for Capacity for Reg-Up</w:t>
                  </w:r>
                  <w:r w:rsidR="003A72E3" w:rsidRPr="00A552C3">
                    <w:rPr>
                      <w:iCs/>
                    </w:rPr>
                    <w:t>—</w:t>
                  </w:r>
                  <w:r>
                    <w:t>The Real-Time MCPC for Reg-Up for the 15-minute Settlement Interval.</w:t>
                  </w:r>
                </w:p>
              </w:tc>
            </w:tr>
            <w:tr w:rsidR="00352A0F" w14:paraId="7ED1CBE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80C46EF" w14:textId="77777777" w:rsidR="00352A0F" w:rsidRDefault="00352A0F" w:rsidP="00352A0F">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5A09EA5B"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970935A" w14:textId="77777777" w:rsidR="00352A0F" w:rsidRDefault="00352A0F" w:rsidP="00352A0F">
                  <w:pPr>
                    <w:pStyle w:val="tablebody0"/>
                  </w:pPr>
                  <w:r>
                    <w:t>A QSE.</w:t>
                  </w:r>
                </w:p>
              </w:tc>
            </w:tr>
          </w:tbl>
          <w:p w14:paraId="0C76ED9A" w14:textId="77777777" w:rsidR="00352A0F" w:rsidRDefault="00352A0F" w:rsidP="00352A0F">
            <w:pPr>
              <w:spacing w:before="240" w:after="240"/>
            </w:pPr>
            <w:r>
              <w:t>(3)</w:t>
            </w:r>
            <w:r>
              <w:tab/>
              <w:t>Reg-Up Trade Overage Charges:</w:t>
            </w:r>
          </w:p>
          <w:p w14:paraId="4985DDF3" w14:textId="77777777" w:rsidR="00352A0F" w:rsidRDefault="00352A0F" w:rsidP="00352A0F">
            <w:pPr>
              <w:pStyle w:val="FormulaBold"/>
            </w:pPr>
            <w:r>
              <w:t>RTRUTOAMT</w:t>
            </w:r>
            <w:r>
              <w:rPr>
                <w:i/>
                <w:vertAlign w:val="subscript"/>
              </w:rPr>
              <w:t xml:space="preserve"> q  </w:t>
            </w:r>
            <w:r>
              <w:t xml:space="preserve">= </w:t>
            </w:r>
            <w:r>
              <w:tab/>
              <w:t xml:space="preserve">(1/4) * RTRUTO </w:t>
            </w:r>
            <w:r>
              <w:rPr>
                <w:i/>
                <w:vertAlign w:val="subscript"/>
              </w:rPr>
              <w:t>q</w:t>
            </w:r>
            <w:r>
              <w:t xml:space="preserve"> * RTMCPCRU</w:t>
            </w:r>
          </w:p>
          <w:p w14:paraId="2FA0852D" w14:textId="77777777" w:rsidR="00352A0F" w:rsidRDefault="00352A0F" w:rsidP="00352A0F">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352A0F" w14:paraId="5F55693A" w14:textId="77777777" w:rsidTr="00352A0F">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C21D748" w14:textId="77777777" w:rsidR="00352A0F" w:rsidRDefault="00352A0F" w:rsidP="00352A0F">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794CA704" w14:textId="77777777" w:rsidR="00352A0F" w:rsidRDefault="00352A0F" w:rsidP="00352A0F">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0CB037B2" w14:textId="77777777" w:rsidR="00352A0F" w:rsidRDefault="00352A0F" w:rsidP="00352A0F">
                  <w:pPr>
                    <w:pStyle w:val="TableHead"/>
                  </w:pPr>
                  <w:r>
                    <w:t>Description</w:t>
                  </w:r>
                </w:p>
              </w:tc>
            </w:tr>
            <w:tr w:rsidR="00352A0F" w14:paraId="014D5C77"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AB2AD6F" w14:textId="77777777" w:rsidR="00352A0F" w:rsidRDefault="00352A0F" w:rsidP="00352A0F">
                  <w:pPr>
                    <w:pStyle w:val="tablebody0"/>
                  </w:pPr>
                  <w:r>
                    <w:t xml:space="preserve">RTRUTOAMT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3B47395"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CC3096D" w14:textId="7442985E" w:rsidR="00352A0F" w:rsidRDefault="00352A0F" w:rsidP="00352A0F">
                  <w:pPr>
                    <w:pStyle w:val="tablebody0"/>
                    <w:rPr>
                      <w:i/>
                    </w:rPr>
                  </w:pPr>
                  <w:r>
                    <w:rPr>
                      <w:i/>
                    </w:rPr>
                    <w:t>Real-Time Reg-Up Trade Overage Amount for the QSE</w:t>
                  </w:r>
                  <w:r>
                    <w:t xml:space="preserve">—The total charge to QSE </w:t>
                  </w:r>
                  <w:r>
                    <w:rPr>
                      <w:i/>
                    </w:rPr>
                    <w:t>q</w:t>
                  </w:r>
                  <w:r>
                    <w:t xml:space="preserve"> in Real-Time for Reg-Up trade overages for each 15-minute Settlement Interval.</w:t>
                  </w:r>
                </w:p>
              </w:tc>
            </w:tr>
            <w:tr w:rsidR="00352A0F" w14:paraId="5915742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FE0E7BF" w14:textId="77777777" w:rsidR="00352A0F" w:rsidRDefault="00352A0F" w:rsidP="00352A0F">
                  <w:pPr>
                    <w:pStyle w:val="tablebody0"/>
                  </w:pPr>
                  <w:r>
                    <w:t xml:space="preserve">RTRUTO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42274BCD"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893CC67" w14:textId="1BA09B66" w:rsidR="00352A0F" w:rsidRDefault="00352A0F" w:rsidP="001759DA">
                  <w:pPr>
                    <w:pStyle w:val="tablebody0"/>
                  </w:pPr>
                  <w:r>
                    <w:rPr>
                      <w:i/>
                    </w:rPr>
                    <w:t>Real-Time Reg-Up Trade Overage for the QSE</w:t>
                  </w:r>
                  <w:r>
                    <w:sym w:font="Symbol" w:char="F0BE"/>
                  </w:r>
                  <w:r>
                    <w:t xml:space="preserve">The quantity of submitted Reg-Up trades in excess of DAM self-arrangement quantities for the QSE </w:t>
                  </w:r>
                  <w:r>
                    <w:rPr>
                      <w:i/>
                    </w:rPr>
                    <w:t>q</w:t>
                  </w:r>
                  <w:r>
                    <w:t xml:space="preserve"> for the </w:t>
                  </w:r>
                  <w:r>
                    <w:rPr>
                      <w:szCs w:val="18"/>
                    </w:rPr>
                    <w:t>Operating Hour</w:t>
                  </w:r>
                  <w:r>
                    <w:t>.</w:t>
                  </w:r>
                </w:p>
              </w:tc>
            </w:tr>
            <w:tr w:rsidR="00352A0F" w14:paraId="1D69926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27166D10" w14:textId="77777777" w:rsidR="00352A0F" w:rsidRDefault="00352A0F" w:rsidP="00352A0F">
                  <w:pPr>
                    <w:pStyle w:val="tablebody0"/>
                  </w:pPr>
                  <w:r>
                    <w:t xml:space="preserve">RTMCPCRU </w:t>
                  </w:r>
                </w:p>
              </w:tc>
              <w:tc>
                <w:tcPr>
                  <w:tcW w:w="623" w:type="pct"/>
                  <w:tcBorders>
                    <w:top w:val="single" w:sz="4" w:space="0" w:color="auto"/>
                    <w:left w:val="single" w:sz="4" w:space="0" w:color="auto"/>
                    <w:bottom w:val="single" w:sz="4" w:space="0" w:color="auto"/>
                    <w:right w:val="single" w:sz="4" w:space="0" w:color="auto"/>
                  </w:tcBorders>
                  <w:hideMark/>
                </w:tcPr>
                <w:p w14:paraId="2262D7AE"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4F8F205" w14:textId="7F87F8E8" w:rsidR="00352A0F" w:rsidRDefault="00352A0F" w:rsidP="00352A0F">
                  <w:pPr>
                    <w:pStyle w:val="tablebody0"/>
                    <w:rPr>
                      <w:i/>
                    </w:rPr>
                  </w:pPr>
                  <w:r>
                    <w:rPr>
                      <w:i/>
                      <w:szCs w:val="18"/>
                    </w:rPr>
                    <w:t>Real-Time Market Clearing Price for Capacity for Reg-Up</w:t>
                  </w:r>
                  <w:r w:rsidR="0028305D" w:rsidRPr="00A552C3">
                    <w:rPr>
                      <w:iCs/>
                    </w:rPr>
                    <w:t>—</w:t>
                  </w:r>
                  <w:r>
                    <w:t>The Real-Time MCPC for Reg-Up for the 15-minute Settlement Interval.</w:t>
                  </w:r>
                </w:p>
              </w:tc>
            </w:tr>
            <w:tr w:rsidR="00352A0F" w14:paraId="3A3CDE4A"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622DC39" w14:textId="77777777" w:rsidR="00352A0F" w:rsidRDefault="00352A0F" w:rsidP="00352A0F">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3267703E"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549C5FA" w14:textId="77777777" w:rsidR="00352A0F" w:rsidRDefault="00352A0F" w:rsidP="00352A0F">
                  <w:pPr>
                    <w:pStyle w:val="tablebody0"/>
                  </w:pPr>
                  <w:r>
                    <w:t>A QSE.</w:t>
                  </w:r>
                </w:p>
              </w:tc>
            </w:tr>
            <w:bookmarkEnd w:id="2798"/>
          </w:tbl>
          <w:p w14:paraId="3D030689" w14:textId="295705C5" w:rsidR="008871B2" w:rsidRPr="008871B2" w:rsidRDefault="008871B2" w:rsidP="001138B9">
            <w:pPr>
              <w:keepNext/>
              <w:tabs>
                <w:tab w:val="left" w:pos="1080"/>
              </w:tabs>
              <w:spacing w:before="480" w:after="240"/>
              <w:outlineLvl w:val="2"/>
              <w:rPr>
                <w:b/>
                <w:bCs/>
                <w:i/>
              </w:rPr>
            </w:pPr>
          </w:p>
        </w:tc>
      </w:tr>
    </w:tbl>
    <w:p w14:paraId="0904D380"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314369FB" w14:textId="77777777" w:rsidTr="001138B9">
        <w:trPr>
          <w:trHeight w:val="206"/>
        </w:trPr>
        <w:tc>
          <w:tcPr>
            <w:tcW w:w="9350" w:type="dxa"/>
            <w:shd w:val="pct12" w:color="auto" w:fill="auto"/>
          </w:tcPr>
          <w:p w14:paraId="19328F46" w14:textId="1E17FC6B" w:rsidR="008871B2" w:rsidRDefault="008871B2" w:rsidP="001138B9">
            <w:pPr>
              <w:pStyle w:val="Instructions"/>
              <w:spacing w:before="120"/>
            </w:pPr>
            <w:r>
              <w:t>[NPRR1010</w:t>
            </w:r>
            <w:r w:rsidR="00103BC5">
              <w:t xml:space="preserve"> and NPRR1245</w:t>
            </w:r>
            <w:r>
              <w:t>:  Insert Section 6.7.5.3 below upon system implementation of the Real-Time Co-Optimization (RTC) project:]</w:t>
            </w:r>
          </w:p>
          <w:p w14:paraId="70858E07" w14:textId="77777777" w:rsidR="007D4B3E" w:rsidRDefault="007D4B3E" w:rsidP="007D4B3E">
            <w:pPr>
              <w:pStyle w:val="H4"/>
              <w:spacing w:before="480"/>
            </w:pPr>
            <w:bookmarkStart w:id="2800" w:name="_Toc204411752"/>
            <w:r>
              <w:t>6.7.5.3</w:t>
            </w:r>
            <w:r>
              <w:tab/>
              <w:t>Regulation Down Service Payments and Charges</w:t>
            </w:r>
            <w:bookmarkEnd w:id="2800"/>
          </w:p>
          <w:p w14:paraId="29073DE7" w14:textId="079D4C40" w:rsidR="007D4B3E" w:rsidRDefault="007D4B3E" w:rsidP="007D4B3E">
            <w:r>
              <w:t>(1)</w:t>
            </w:r>
            <w:r>
              <w:tab/>
              <w:t>Reg-Down Imbalance Payment or Charge:</w:t>
            </w:r>
          </w:p>
          <w:p w14:paraId="15DE7F6B" w14:textId="627B20E6" w:rsidR="007D4B3E" w:rsidRDefault="007D4B3E" w:rsidP="007D4B3E">
            <w:pPr>
              <w:pStyle w:val="FormulaBold"/>
            </w:pPr>
            <w:r>
              <w:t>RTRDIMBAMT</w:t>
            </w:r>
            <w:r>
              <w:rPr>
                <w:i/>
                <w:vertAlign w:val="subscript"/>
              </w:rPr>
              <w:t xml:space="preserve"> q  </w:t>
            </w:r>
            <w:r>
              <w:t xml:space="preserve">= </w:t>
            </w:r>
            <w:r>
              <w:tab/>
              <w:t>(-1) * [</w:t>
            </w:r>
            <w:r>
              <w:rPr>
                <w:position w:val="-18"/>
              </w:rPr>
              <w:object w:dxaOrig="285" w:dyaOrig="570" w14:anchorId="1DD4572E">
                <v:shape id="_x0000_i1401" type="#_x0000_t75" style="width:12pt;height:30pt" o:ole="">
                  <v:imagedata r:id="rId159" o:title=""/>
                </v:shape>
                <o:OLEObject Type="Embed" ProgID="Equation.3" ShapeID="_x0000_i1401" DrawAspect="Content" ObjectID="_1815025589" r:id="rId493"/>
              </w:object>
            </w:r>
            <w:r>
              <w:t>[</w:t>
            </w:r>
            <w:r>
              <w:rPr>
                <w:rStyle w:val="BodyTextChar"/>
              </w:rPr>
              <w:t xml:space="preserve">RTRDREV </w:t>
            </w:r>
            <w:r>
              <w:rPr>
                <w:i/>
                <w:vertAlign w:val="subscript"/>
              </w:rPr>
              <w:t xml:space="preserve">q, r </w:t>
            </w:r>
            <w:r>
              <w:t>– (1/4) * (PCRDR</w:t>
            </w:r>
            <w:r>
              <w:rPr>
                <w:i/>
              </w:rPr>
              <w:t xml:space="preserve"> </w:t>
            </w:r>
            <w:r>
              <w:rPr>
                <w:i/>
                <w:vertAlign w:val="subscript"/>
              </w:rPr>
              <w:t>r, q, DAM</w:t>
            </w:r>
            <w:r>
              <w:t xml:space="preserve"> * RTMCPCRD)] – (1/4) * (DASARDQ </w:t>
            </w:r>
            <w:r>
              <w:rPr>
                <w:i/>
                <w:vertAlign w:val="subscript"/>
              </w:rPr>
              <w:t>q</w:t>
            </w:r>
            <w:r>
              <w:t xml:space="preserve"> * RTMCPCRD) + (1/4) * (RDTP </w:t>
            </w:r>
            <w:r>
              <w:rPr>
                <w:i/>
                <w:vertAlign w:val="subscript"/>
              </w:rPr>
              <w:t>q</w:t>
            </w:r>
            <w:r>
              <w:t xml:space="preserve"> – RDTS </w:t>
            </w:r>
            <w:r>
              <w:rPr>
                <w:i/>
                <w:vertAlign w:val="subscript"/>
              </w:rPr>
              <w:t>q</w:t>
            </w:r>
            <w:r>
              <w:t>) * RTMCPCRD]</w:t>
            </w:r>
          </w:p>
          <w:p w14:paraId="13CADDB4" w14:textId="77777777" w:rsidR="007D4B3E" w:rsidRDefault="007D4B3E" w:rsidP="007D4B3E">
            <w:pPr>
              <w:pStyle w:val="FormulaBold"/>
            </w:pPr>
            <w:r>
              <w:t xml:space="preserve">Where:   </w:t>
            </w:r>
          </w:p>
          <w:p w14:paraId="68A7EDD9" w14:textId="77777777" w:rsidR="007D4B3E" w:rsidRDefault="007D4B3E" w:rsidP="007D4B3E">
            <w:pPr>
              <w:pStyle w:val="FormulaBold"/>
            </w:pPr>
            <w:r>
              <w:rPr>
                <w:rStyle w:val="BodyTextChar"/>
              </w:rPr>
              <w:t xml:space="preserve">RTRDREV </w:t>
            </w:r>
            <w:r>
              <w:rPr>
                <w:i/>
                <w:vertAlign w:val="subscript"/>
              </w:rPr>
              <w:t xml:space="preserve">q, r </w:t>
            </w:r>
            <w:r>
              <w:rPr>
                <w:i/>
              </w:rPr>
              <w:t xml:space="preserve"> =     </w:t>
            </w:r>
            <w:r>
              <w:t>(1/4) * RTRDAWD</w:t>
            </w:r>
            <w:r>
              <w:rPr>
                <w:i/>
                <w:vertAlign w:val="subscript"/>
              </w:rPr>
              <w:t xml:space="preserve"> q, r</w:t>
            </w:r>
            <w:r>
              <w:t xml:space="preserve"> * RTMCPCRDR </w:t>
            </w:r>
            <w:r>
              <w:rPr>
                <w:i/>
                <w:vertAlign w:val="subscript"/>
              </w:rPr>
              <w:t>q,</w:t>
            </w:r>
            <w:r>
              <w:rPr>
                <w:i/>
              </w:rPr>
              <w:t xml:space="preserve"> </w:t>
            </w:r>
            <w:r>
              <w:rPr>
                <w:i/>
                <w:vertAlign w:val="subscript"/>
              </w:rPr>
              <w:t>r</w:t>
            </w:r>
          </w:p>
          <w:p w14:paraId="0D5C8529" w14:textId="3D922CA1" w:rsidR="007D4B3E" w:rsidRDefault="007D4B3E" w:rsidP="007D4B3E">
            <w:pPr>
              <w:pStyle w:val="FormulaBold"/>
            </w:pPr>
            <w:r>
              <w:lastRenderedPageBreak/>
              <w:t xml:space="preserve">RTMCPCRDR </w:t>
            </w:r>
            <w:r>
              <w:rPr>
                <w:i/>
                <w:vertAlign w:val="subscript"/>
              </w:rPr>
              <w:t>q, r</w:t>
            </w:r>
            <w:r>
              <w:rPr>
                <w:i/>
              </w:rPr>
              <w:t xml:space="preserve">  = </w:t>
            </w:r>
            <w:r w:rsidR="00936E32">
              <w:rPr>
                <w:position w:val="-22"/>
              </w:rPr>
              <w:object w:dxaOrig="285" w:dyaOrig="285" w14:anchorId="76213AE7">
                <v:shape id="_x0000_i1402" type="#_x0000_t75" style="width:30pt;height:30pt" o:ole="">
                  <v:imagedata r:id="rId22" o:title=""/>
                </v:shape>
                <o:OLEObject Type="Embed" ProgID="Equation.3" ShapeID="_x0000_i1402" DrawAspect="Content" ObjectID="_1815025590" r:id="rId494"/>
              </w:object>
            </w:r>
            <w:r>
              <w:t xml:space="preserve"> (RDRWF</w:t>
            </w:r>
            <w:r>
              <w:rPr>
                <w:i/>
                <w:vertAlign w:val="subscript"/>
              </w:rPr>
              <w:t xml:space="preserve"> q, r, y</w:t>
            </w:r>
            <w:r>
              <w:t xml:space="preserve"> * (RTMCPCRDS</w:t>
            </w:r>
            <w:r>
              <w:rPr>
                <w:i/>
                <w:vertAlign w:val="subscript"/>
              </w:rPr>
              <w:t xml:space="preserve"> y</w:t>
            </w:r>
            <w:r>
              <w:t xml:space="preserve"> + RTRDPARDS </w:t>
            </w:r>
            <w:r>
              <w:rPr>
                <w:i/>
                <w:vertAlign w:val="subscript"/>
              </w:rPr>
              <w:t>y</w:t>
            </w:r>
            <w:r>
              <w:t>))</w:t>
            </w:r>
          </w:p>
          <w:p w14:paraId="316D3BE1" w14:textId="111EDAA6" w:rsidR="007D4B3E" w:rsidRDefault="007D4B3E" w:rsidP="007D4B3E">
            <w:pPr>
              <w:pStyle w:val="FormulaBold"/>
              <w:rPr>
                <w:i/>
                <w:vertAlign w:val="subscript"/>
              </w:rPr>
            </w:pPr>
            <w:r>
              <w:t>RTRDAWD</w:t>
            </w:r>
            <w:r>
              <w:rPr>
                <w:i/>
                <w:vertAlign w:val="subscript"/>
              </w:rPr>
              <w:t xml:space="preserve"> q, r     </w:t>
            </w:r>
            <w:r>
              <w:t xml:space="preserve">=  </w:t>
            </w:r>
            <w:r w:rsidR="00936E32">
              <w:rPr>
                <w:position w:val="-22"/>
              </w:rPr>
              <w:object w:dxaOrig="285" w:dyaOrig="285" w14:anchorId="73DD9CC9">
                <v:shape id="_x0000_i1403" type="#_x0000_t75" style="width:30pt;height:30pt" o:ole="">
                  <v:imagedata r:id="rId22" o:title=""/>
                </v:shape>
                <o:OLEObject Type="Embed" ProgID="Equation.3" ShapeID="_x0000_i1403" DrawAspect="Content" ObjectID="_1815025591" r:id="rId495"/>
              </w:object>
            </w:r>
            <w:r>
              <w:t xml:space="preserve"> (RNWF </w:t>
            </w:r>
            <w:r>
              <w:rPr>
                <w:i/>
                <w:vertAlign w:val="subscript"/>
              </w:rPr>
              <w:t>y</w:t>
            </w:r>
            <w:r>
              <w:rPr>
                <w:vertAlign w:val="subscript"/>
              </w:rPr>
              <w:t xml:space="preserve"> </w:t>
            </w:r>
            <w:r>
              <w:t>* RTRDAWDS</w:t>
            </w:r>
            <w:r>
              <w:rPr>
                <w:i/>
                <w:vertAlign w:val="subscript"/>
              </w:rPr>
              <w:t xml:space="preserve"> q, r, y</w:t>
            </w:r>
            <w:r>
              <w:t>)</w:t>
            </w:r>
          </w:p>
          <w:p w14:paraId="469EF33D" w14:textId="77777777" w:rsidR="007D4B3E" w:rsidRDefault="007D4B3E" w:rsidP="007D4B3E">
            <w:pPr>
              <w:pStyle w:val="BodyTextNumbered"/>
              <w:ind w:left="0" w:firstLine="720"/>
            </w:pPr>
            <w:r>
              <w:t>Where:</w:t>
            </w:r>
          </w:p>
          <w:p w14:paraId="5AE65675" w14:textId="4969051D" w:rsidR="007D4B3E" w:rsidRDefault="007D4B3E" w:rsidP="007D4B3E">
            <w:pPr>
              <w:pStyle w:val="NoSpacing"/>
              <w:spacing w:after="240"/>
            </w:pPr>
            <w:r>
              <w:t xml:space="preserve">           RDRWF</w:t>
            </w:r>
            <w:r>
              <w:rPr>
                <w:i/>
                <w:vertAlign w:val="subscript"/>
              </w:rPr>
              <w:t xml:space="preserve"> q, r, y</w:t>
            </w:r>
            <w:r>
              <w:rPr>
                <w:vertAlign w:val="subscript"/>
              </w:rPr>
              <w:tab/>
              <w:t xml:space="preserve">  </w:t>
            </w:r>
            <w:r>
              <w:t>=  [max(0.001, RTRDAWDS</w:t>
            </w:r>
            <w:r>
              <w:rPr>
                <w:i/>
                <w:vertAlign w:val="subscript"/>
              </w:rPr>
              <w:t xml:space="preserve"> q, r, y</w:t>
            </w:r>
            <w:r>
              <w:t>) * TLMP</w:t>
            </w:r>
            <w:r>
              <w:rPr>
                <w:i/>
                <w:vertAlign w:val="subscript"/>
              </w:rPr>
              <w:t xml:space="preserve"> y</w:t>
            </w:r>
            <w:r>
              <w:t>] / [</w:t>
            </w:r>
            <w:r w:rsidR="00936E32">
              <w:rPr>
                <w:b/>
                <w:position w:val="-22"/>
              </w:rPr>
              <w:object w:dxaOrig="285" w:dyaOrig="285" w14:anchorId="17D4C861">
                <v:shape id="_x0000_i1404" type="#_x0000_t75" style="width:30pt;height:30pt" o:ole="">
                  <v:imagedata r:id="rId22" o:title=""/>
                </v:shape>
                <o:OLEObject Type="Embed" ProgID="Equation.3" ShapeID="_x0000_i1404" DrawAspect="Content" ObjectID="_1815025592" r:id="rId496"/>
              </w:object>
            </w:r>
            <w:r>
              <w:t>max(0.001,</w:t>
            </w:r>
          </w:p>
          <w:p w14:paraId="518FA48A" w14:textId="54A8844F" w:rsidR="007D4B3E" w:rsidRDefault="007D4B3E" w:rsidP="007D4B3E">
            <w:pPr>
              <w:pStyle w:val="NoSpacing"/>
              <w:spacing w:after="240"/>
              <w:ind w:firstLine="720"/>
              <w:rPr>
                <w:position w:val="-22"/>
              </w:rPr>
            </w:pPr>
            <w:r>
              <w:t xml:space="preserve"> </w:t>
            </w:r>
            <w:r>
              <w:tab/>
            </w:r>
            <w:r>
              <w:tab/>
              <w:t xml:space="preserve">      RTRDAWDS</w:t>
            </w:r>
            <w:r>
              <w:rPr>
                <w:i/>
                <w:vertAlign w:val="subscript"/>
              </w:rPr>
              <w:t xml:space="preserve"> q, r, y</w:t>
            </w:r>
            <w:r>
              <w:t>) * TLMP</w:t>
            </w:r>
            <w:r>
              <w:rPr>
                <w:i/>
                <w:vertAlign w:val="subscript"/>
              </w:rPr>
              <w:t xml:space="preserve"> y</w:t>
            </w:r>
            <w:r>
              <w:t>]</w:t>
            </w:r>
          </w:p>
          <w:p w14:paraId="0EA81A67" w14:textId="77777777" w:rsidR="007D4B3E" w:rsidRDefault="007D4B3E" w:rsidP="007D4B3E">
            <w:pPr>
              <w:spacing w:after="240"/>
              <w:ind w:firstLine="720"/>
            </w:pPr>
            <w:r>
              <w:t>And:</w:t>
            </w:r>
          </w:p>
          <w:p w14:paraId="620993D8" w14:textId="12ABB7E4" w:rsidR="007D4B3E" w:rsidRDefault="007D4B3E" w:rsidP="007D4B3E">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sidR="00936E32">
              <w:rPr>
                <w:position w:val="-22"/>
                <w:szCs w:val="24"/>
              </w:rPr>
              <w:object w:dxaOrig="285" w:dyaOrig="285" w14:anchorId="5917E05E">
                <v:shape id="_x0000_i1405" type="#_x0000_t75" style="width:30pt;height:30pt" o:ole="">
                  <v:imagedata r:id="rId22" o:title=""/>
                </v:shape>
                <o:OLEObject Type="Embed" ProgID="Equation.3" ShapeID="_x0000_i1405" DrawAspect="Content" ObjectID="_1815025593" r:id="rId497"/>
              </w:object>
            </w:r>
            <w:r>
              <w:t xml:space="preserve">TLMP </w:t>
            </w:r>
            <w:r>
              <w:rPr>
                <w:i/>
                <w:vertAlign w:val="subscript"/>
              </w:rPr>
              <w:t>y</w:t>
            </w:r>
          </w:p>
          <w:p w14:paraId="2479A8AD" w14:textId="77777777" w:rsidR="007D4B3E" w:rsidRDefault="007D4B3E" w:rsidP="007D4B3E">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D4B3E" w14:paraId="0CA15053" w14:textId="77777777" w:rsidTr="007D4B3E">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6A48BB34" w14:textId="77777777" w:rsidR="007D4B3E" w:rsidRDefault="007D4B3E" w:rsidP="007D4B3E">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0342A93D" w14:textId="77777777" w:rsidR="007D4B3E" w:rsidRDefault="007D4B3E" w:rsidP="007D4B3E">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2F63397E" w14:textId="77777777" w:rsidR="007D4B3E" w:rsidRDefault="007D4B3E" w:rsidP="007D4B3E">
                  <w:pPr>
                    <w:pStyle w:val="TableHead"/>
                  </w:pPr>
                  <w:r>
                    <w:t>Description</w:t>
                  </w:r>
                </w:p>
              </w:tc>
            </w:tr>
            <w:tr w:rsidR="007D4B3E" w14:paraId="4A4A0016"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23933774" w14:textId="77777777" w:rsidR="007D4B3E" w:rsidRDefault="007D4B3E" w:rsidP="007D4B3E">
                  <w:pPr>
                    <w:pStyle w:val="tablebody0"/>
                  </w:pPr>
                  <w:r>
                    <w:t xml:space="preserve">RTRDIMBAMT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1C31290"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3AC0BB6" w14:textId="4A515A6B" w:rsidR="007D4B3E" w:rsidRDefault="007D4B3E" w:rsidP="007D4B3E">
                  <w:pPr>
                    <w:pStyle w:val="tablebody0"/>
                    <w:rPr>
                      <w:i/>
                    </w:rPr>
                  </w:pPr>
                  <w:r>
                    <w:rPr>
                      <w:i/>
                    </w:rPr>
                    <w:t>Real-Time Reg-Down Imbalance Amount for the QSE</w:t>
                  </w:r>
                  <w:r>
                    <w:t xml:space="preserve">—The total payment or charge to QSE </w:t>
                  </w:r>
                  <w:r>
                    <w:rPr>
                      <w:i/>
                    </w:rPr>
                    <w:t>q</w:t>
                  </w:r>
                  <w:r>
                    <w:t xml:space="preserve"> for the Real-Time Reg-Down imbalance for each 15-minute Settlement Interval.</w:t>
                  </w:r>
                </w:p>
              </w:tc>
            </w:tr>
            <w:tr w:rsidR="007D4B3E" w14:paraId="3F918BB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3F223F6" w14:textId="77777777" w:rsidR="007D4B3E" w:rsidRDefault="007D4B3E" w:rsidP="007D4B3E">
                  <w:pPr>
                    <w:pStyle w:val="tablebody0"/>
                  </w:pPr>
                  <w:r>
                    <w:t>RTRDAWD</w:t>
                  </w:r>
                  <w:r>
                    <w:rPr>
                      <w:vertAlign w:val="subscript"/>
                    </w:rPr>
                    <w:t xml:space="preserve">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4B5A5149"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2ED2AD8" w14:textId="7EC40F70" w:rsidR="007D4B3E" w:rsidRDefault="007D4B3E" w:rsidP="007D4B3E">
                  <w:pPr>
                    <w:pStyle w:val="tablebody0"/>
                    <w:rPr>
                      <w:i/>
                    </w:rPr>
                  </w:pPr>
                  <w:r>
                    <w:rPr>
                      <w:i/>
                    </w:rPr>
                    <w:t>Real-Time Reg-Down Award per Resource per QSE</w:t>
                  </w:r>
                  <w:r w:rsidR="008D5F67" w:rsidRPr="00A552C3">
                    <w:rPr>
                      <w:iCs/>
                    </w:rPr>
                    <w:t>—</w:t>
                  </w:r>
                  <w:r>
                    <w:t xml:space="preserve">The Reg-Down amount awarded to QSE </w:t>
                  </w:r>
                  <w:r>
                    <w:rPr>
                      <w:i/>
                    </w:rPr>
                    <w:t>q</w:t>
                  </w:r>
                  <w:r>
                    <w:t xml:space="preserve"> for Resource </w:t>
                  </w:r>
                  <w:r>
                    <w:rPr>
                      <w:i/>
                    </w:rPr>
                    <w:t>r</w:t>
                  </w:r>
                  <w:r>
                    <w:t xml:space="preserve"> in Real-Time </w:t>
                  </w:r>
                  <w:r>
                    <w:rPr>
                      <w:szCs w:val="18"/>
                    </w:rPr>
                    <w:t xml:space="preserve">for </w:t>
                  </w:r>
                  <w:r>
                    <w:t xml:space="preserve">the 15-minute Settlement Interval.  Where for a Combined Cycle Train, the Resource </w:t>
                  </w:r>
                  <w:r>
                    <w:rPr>
                      <w:i/>
                    </w:rPr>
                    <w:t xml:space="preserve">r </w:t>
                  </w:r>
                  <w:r>
                    <w:t>is the Combined Cycle Train.</w:t>
                  </w:r>
                </w:p>
              </w:tc>
            </w:tr>
            <w:tr w:rsidR="007D4B3E" w14:paraId="69721FCC"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DA8DC5E" w14:textId="77777777" w:rsidR="007D4B3E" w:rsidRDefault="007D4B3E" w:rsidP="007D4B3E">
                  <w:pPr>
                    <w:pStyle w:val="tablebody0"/>
                  </w:pPr>
                  <w:r>
                    <w:t xml:space="preserve">RTRDREV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621ADE89"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3BD8062F" w14:textId="72828A93" w:rsidR="007D4B3E" w:rsidRDefault="007D4B3E" w:rsidP="007D4B3E">
                  <w:pPr>
                    <w:pStyle w:val="tablebody0"/>
                  </w:pPr>
                  <w:r>
                    <w:rPr>
                      <w:i/>
                    </w:rPr>
                    <w:t>Real-Time Reg-Down Revenue</w:t>
                  </w:r>
                  <w:r>
                    <w:t xml:space="preserve">—The Real-Time Reg-Down revenue for QSE </w:t>
                  </w:r>
                  <w:r>
                    <w:rPr>
                      <w:i/>
                    </w:rPr>
                    <w:t xml:space="preserve">q </w:t>
                  </w:r>
                  <w:r>
                    <w:t xml:space="preserve">calculated for Resource </w:t>
                  </w:r>
                  <w:r>
                    <w:rPr>
                      <w:i/>
                    </w:rPr>
                    <w:t>r</w:t>
                  </w:r>
                  <w:r>
                    <w:t xml:space="preserve"> for the 15-minute Settlement Interval.  Where for a Combined Cycle Train, the Resource </w:t>
                  </w:r>
                  <w:r>
                    <w:rPr>
                      <w:i/>
                    </w:rPr>
                    <w:t>r</w:t>
                  </w:r>
                  <w:r>
                    <w:t xml:space="preserve"> is the Combined Cycle Train.</w:t>
                  </w:r>
                </w:p>
              </w:tc>
            </w:tr>
            <w:tr w:rsidR="007D4B3E" w14:paraId="52629934"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A3AD66F" w14:textId="155018B0" w:rsidR="007D4B3E" w:rsidRDefault="007D4B3E" w:rsidP="007D4B3E">
                  <w:pPr>
                    <w:pStyle w:val="tablebody0"/>
                  </w:pPr>
                  <w:r>
                    <w:t>RTRDAWDS</w:t>
                  </w:r>
                  <w:r>
                    <w:rPr>
                      <w:vertAlign w:val="subscript"/>
                    </w:rPr>
                    <w:t xml:space="preserve"> </w:t>
                  </w:r>
                  <w:r>
                    <w:rPr>
                      <w:i/>
                      <w:vertAlign w:val="subscript"/>
                    </w:rPr>
                    <w:t>q, r, y</w:t>
                  </w:r>
                </w:p>
              </w:tc>
              <w:tc>
                <w:tcPr>
                  <w:tcW w:w="623" w:type="pct"/>
                  <w:tcBorders>
                    <w:top w:val="single" w:sz="4" w:space="0" w:color="auto"/>
                    <w:left w:val="single" w:sz="4" w:space="0" w:color="auto"/>
                    <w:bottom w:val="single" w:sz="4" w:space="0" w:color="auto"/>
                    <w:right w:val="single" w:sz="4" w:space="0" w:color="auto"/>
                  </w:tcBorders>
                  <w:hideMark/>
                </w:tcPr>
                <w:p w14:paraId="1E414DCC"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A524D0C" w14:textId="525B43ED" w:rsidR="007D4B3E" w:rsidRDefault="007D4B3E" w:rsidP="007D4B3E">
                  <w:pPr>
                    <w:pStyle w:val="tablebody0"/>
                    <w:rPr>
                      <w:i/>
                    </w:rPr>
                  </w:pPr>
                  <w:r>
                    <w:rPr>
                      <w:i/>
                    </w:rPr>
                    <w:t>Real-Time Reg-Down Award per Resource per QSE per SCED interval</w:t>
                  </w:r>
                  <w:r w:rsidR="00C2255C" w:rsidRPr="00A552C3">
                    <w:rPr>
                      <w:iCs/>
                    </w:rPr>
                    <w:t>—</w:t>
                  </w:r>
                  <w:r>
                    <w:t xml:space="preserve">The Reg-Down Amount awarded to QSE </w:t>
                  </w:r>
                  <w:r>
                    <w:rPr>
                      <w:i/>
                    </w:rPr>
                    <w:t>q</w:t>
                  </w:r>
                  <w:r>
                    <w:t xml:space="preserve"> for Resource </w:t>
                  </w:r>
                  <w:r>
                    <w:rPr>
                      <w:i/>
                    </w:rPr>
                    <w:t>r</w:t>
                  </w:r>
                  <w:r>
                    <w:t xml:space="preserve"> in Real-Time 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7D4B3E" w14:paraId="46827ED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2B9C438C" w14:textId="77777777" w:rsidR="007D4B3E" w:rsidRDefault="007D4B3E" w:rsidP="007D4B3E">
                  <w:pPr>
                    <w:pStyle w:val="tablebody0"/>
                  </w:pPr>
                  <w:r>
                    <w:t xml:space="preserve">RTMCPCRDR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24D81BAA"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1AA1F61" w14:textId="67D5320A" w:rsidR="007D4B3E" w:rsidRDefault="007D4B3E" w:rsidP="007D4B3E">
                  <w:pPr>
                    <w:pStyle w:val="tablebody0"/>
                    <w:rPr>
                      <w:iCs/>
                    </w:rPr>
                  </w:pPr>
                  <w:r>
                    <w:rPr>
                      <w:i/>
                    </w:rPr>
                    <w:t>Real-Time Market Clearing Price for Capacity for Reg-Down per Resource per QSE</w:t>
                  </w:r>
                  <w:r>
                    <w:sym w:font="Symbol" w:char="F0BE"/>
                  </w:r>
                  <w:r>
                    <w:t xml:space="preserve">The Real-Time MCPC for Reg-Down for Resource </w:t>
                  </w:r>
                  <w:r>
                    <w:rPr>
                      <w:i/>
                    </w:rPr>
                    <w:t>r</w:t>
                  </w:r>
                  <w:r>
                    <w:t xml:space="preserve">, represented by QSE </w:t>
                  </w:r>
                  <w:r>
                    <w:rPr>
                      <w:i/>
                    </w:rPr>
                    <w:t xml:space="preserve">q </w:t>
                  </w:r>
                  <w:r>
                    <w:t xml:space="preserve">for the 15-minute Settlement Interval. </w:t>
                  </w:r>
                  <w:r w:rsidR="00221A13">
                    <w:t xml:space="preserve"> </w:t>
                  </w:r>
                  <w:r>
                    <w:t xml:space="preserve">Where for a Combined Cycle Train, the Resource </w:t>
                  </w:r>
                  <w:r>
                    <w:rPr>
                      <w:i/>
                    </w:rPr>
                    <w:t>r</w:t>
                  </w:r>
                  <w:r>
                    <w:t xml:space="preserve"> is the Combined Cycle Train.</w:t>
                  </w:r>
                </w:p>
              </w:tc>
            </w:tr>
            <w:tr w:rsidR="007D4B3E" w14:paraId="5D171BAC"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747E2B5" w14:textId="77777777" w:rsidR="007D4B3E" w:rsidRDefault="007D4B3E" w:rsidP="007D4B3E">
                  <w:pPr>
                    <w:pStyle w:val="tablebody0"/>
                  </w:pPr>
                  <w:r>
                    <w:t>RTMCPCRDS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3BD0F7DF"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AC1EFBD" w14:textId="6969B63F" w:rsidR="007D4B3E" w:rsidRDefault="007D4B3E" w:rsidP="007D4B3E">
                  <w:pPr>
                    <w:pStyle w:val="tablebody0"/>
                    <w:rPr>
                      <w:i/>
                    </w:rPr>
                  </w:pPr>
                  <w:r>
                    <w:rPr>
                      <w:i/>
                    </w:rPr>
                    <w:t>Real-Time Market Clearing Price for Capacity for Reg-Down per SCED interval</w:t>
                  </w:r>
                  <w:r w:rsidR="00C2255C" w:rsidRPr="00A552C3">
                    <w:rPr>
                      <w:iCs/>
                    </w:rPr>
                    <w:t>—</w:t>
                  </w:r>
                  <w:r>
                    <w:t xml:space="preserve">The Real-Time MCPC for Reg-Down for the SCED interval </w:t>
                  </w:r>
                  <w:r>
                    <w:rPr>
                      <w:i/>
                    </w:rPr>
                    <w:t>y.</w:t>
                  </w:r>
                </w:p>
              </w:tc>
            </w:tr>
            <w:tr w:rsidR="007D4B3E" w14:paraId="4D23B8F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A8D728B" w14:textId="77777777" w:rsidR="007D4B3E" w:rsidRDefault="007D4B3E" w:rsidP="007D4B3E">
                  <w:pPr>
                    <w:pStyle w:val="tablebody0"/>
                  </w:pPr>
                  <w:r>
                    <w:t xml:space="preserve">PCRDR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7F702F42"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DD20558" w14:textId="77777777" w:rsidR="007D4B3E" w:rsidRDefault="007D4B3E" w:rsidP="007D4B3E">
                  <w:pPr>
                    <w:pStyle w:val="tablebody0"/>
                    <w:rPr>
                      <w:i/>
                    </w:rPr>
                  </w:pPr>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w:t>
                  </w:r>
                  <w:r>
                    <w:rPr>
                      <w:szCs w:val="18"/>
                    </w:rPr>
                    <w:t>Operating Hour</w:t>
                  </w:r>
                  <w:r>
                    <w:t xml:space="preserve">.  Where for a Combined Cycle Train, the Resource </w:t>
                  </w:r>
                  <w:r>
                    <w:rPr>
                      <w:i/>
                    </w:rPr>
                    <w:t xml:space="preserve">r </w:t>
                  </w:r>
                  <w:r>
                    <w:t>is a Combined Cycle Generation Resource within the Combined Cycle Train.</w:t>
                  </w:r>
                </w:p>
              </w:tc>
            </w:tr>
            <w:tr w:rsidR="007D4B3E" w14:paraId="7D09D7DA"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6E7AC353" w14:textId="77777777" w:rsidR="007D4B3E" w:rsidRDefault="007D4B3E" w:rsidP="007D4B3E">
                  <w:pPr>
                    <w:pStyle w:val="tablebody0"/>
                  </w:pPr>
                  <w:r>
                    <w:lastRenderedPageBreak/>
                    <w:t>RTMCPCRD</w:t>
                  </w:r>
                </w:p>
              </w:tc>
              <w:tc>
                <w:tcPr>
                  <w:tcW w:w="623" w:type="pct"/>
                  <w:tcBorders>
                    <w:top w:val="single" w:sz="4" w:space="0" w:color="auto"/>
                    <w:left w:val="single" w:sz="4" w:space="0" w:color="auto"/>
                    <w:bottom w:val="single" w:sz="4" w:space="0" w:color="auto"/>
                    <w:right w:val="single" w:sz="4" w:space="0" w:color="auto"/>
                  </w:tcBorders>
                  <w:hideMark/>
                </w:tcPr>
                <w:p w14:paraId="76A435D2"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4B19E12" w14:textId="181EF9BD" w:rsidR="007D4B3E" w:rsidRDefault="007D4B3E" w:rsidP="007D4B3E">
                  <w:pPr>
                    <w:pStyle w:val="tablebody0"/>
                    <w:rPr>
                      <w:i/>
                    </w:rPr>
                  </w:pPr>
                  <w:r>
                    <w:rPr>
                      <w:i/>
                    </w:rPr>
                    <w:t>Real-Time Market Clearing Price for Capacity for Reg-Down</w:t>
                  </w:r>
                  <w:r w:rsidR="00F074F6" w:rsidRPr="00A552C3">
                    <w:rPr>
                      <w:iCs/>
                    </w:rPr>
                    <w:t>—</w:t>
                  </w:r>
                  <w:r>
                    <w:t>The Real-Time MCPC for Reg-Down for the 15-minute Settlement Interval.</w:t>
                  </w:r>
                </w:p>
              </w:tc>
            </w:tr>
            <w:tr w:rsidR="007D4B3E" w14:paraId="20314623"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7DAAB2B0" w14:textId="77777777" w:rsidR="007D4B3E" w:rsidRDefault="007D4B3E" w:rsidP="007D4B3E">
                  <w:pPr>
                    <w:pStyle w:val="tablebody0"/>
                  </w:pPr>
                  <w:r>
                    <w:t xml:space="preserve">RTRDPARDS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18960ABE"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F26D7CA" w14:textId="550BB044" w:rsidR="007D4B3E" w:rsidRDefault="007D4B3E" w:rsidP="007D4B3E">
                  <w:pPr>
                    <w:pStyle w:val="tablebody0"/>
                    <w:rPr>
                      <w:i/>
                    </w:rPr>
                  </w:pPr>
                  <w:r>
                    <w:rPr>
                      <w:i/>
                      <w:szCs w:val="18"/>
                    </w:rPr>
                    <w:t xml:space="preserve">Real-Time </w:t>
                  </w:r>
                  <w:r>
                    <w:rPr>
                      <w:i/>
                    </w:rPr>
                    <w:t xml:space="preserve">Reliability Deployment Price Adder </w:t>
                  </w:r>
                  <w:r>
                    <w:rPr>
                      <w:i/>
                      <w:szCs w:val="18"/>
                    </w:rPr>
                    <w:t xml:space="preserve">for Ancillary Service for Reg-Down </w:t>
                  </w:r>
                  <w:r>
                    <w:rPr>
                      <w:i/>
                    </w:rPr>
                    <w:t>per SCED interval</w:t>
                  </w:r>
                  <w:r w:rsidR="00F074F6" w:rsidRPr="00A552C3">
                    <w:rPr>
                      <w:iCs/>
                    </w:rPr>
                    <w:t>—</w:t>
                  </w:r>
                  <w:r>
                    <w:t xml:space="preserve">The Real-Time price adder for Reg-Down that captures the impact of reliability deployments on Reg-Down prices for the SCED interval </w:t>
                  </w:r>
                  <w:r>
                    <w:rPr>
                      <w:i/>
                    </w:rPr>
                    <w:t>y</w:t>
                  </w:r>
                  <w:r>
                    <w:t>.</w:t>
                  </w:r>
                </w:p>
              </w:tc>
            </w:tr>
            <w:tr w:rsidR="007D4B3E" w14:paraId="107789FB"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D5C79D2" w14:textId="77777777" w:rsidR="007D4B3E" w:rsidRDefault="007D4B3E" w:rsidP="007D4B3E">
                  <w:pPr>
                    <w:pStyle w:val="tablebody0"/>
                  </w:pPr>
                  <w:r>
                    <w:t>DASARDQ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7FBA1D3D"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200B6F5" w14:textId="3C76021C" w:rsidR="007D4B3E" w:rsidRDefault="007D4B3E" w:rsidP="007D4B3E">
                  <w:pPr>
                    <w:pStyle w:val="tablebody0"/>
                    <w:rPr>
                      <w:i/>
                    </w:rPr>
                  </w:pPr>
                  <w:r>
                    <w:rPr>
                      <w:i/>
                      <w:iCs/>
                    </w:rPr>
                    <w:t>Day-Ahead Self-Arranged Reg-Down Quantity per QSE</w:t>
                  </w:r>
                  <w:r>
                    <w:rPr>
                      <w:iCs/>
                    </w:rPr>
                    <w:t xml:space="preserve">—The self-arranged Reg-Down quantity submitted by QSE </w:t>
                  </w:r>
                  <w:r>
                    <w:rPr>
                      <w:i/>
                      <w:iCs/>
                    </w:rPr>
                    <w:t>q</w:t>
                  </w:r>
                  <w:r>
                    <w:rPr>
                      <w:iCs/>
                    </w:rPr>
                    <w:t xml:space="preserve"> before 1000 in the DAM for the Operating Hour.</w:t>
                  </w:r>
                </w:p>
              </w:tc>
            </w:tr>
            <w:tr w:rsidR="007D4B3E" w14:paraId="03450B80"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4F525C5" w14:textId="77777777" w:rsidR="007D4B3E" w:rsidRDefault="007D4B3E" w:rsidP="007D4B3E">
                  <w:pPr>
                    <w:pStyle w:val="tablebody0"/>
                  </w:pPr>
                  <w:r>
                    <w:t xml:space="preserve">RDTP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BB6CA43"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E7A4210" w14:textId="3D69A827" w:rsidR="007D4B3E" w:rsidRDefault="007D4B3E" w:rsidP="007D4B3E">
                  <w:pPr>
                    <w:pStyle w:val="tablebody0"/>
                    <w:rPr>
                      <w:i/>
                    </w:rPr>
                  </w:pPr>
                  <w:r>
                    <w:rPr>
                      <w:i/>
                    </w:rPr>
                    <w:t>Trade Purchases for Reg-Down for the QSE</w:t>
                  </w:r>
                  <w:r>
                    <w:t>—</w:t>
                  </w:r>
                  <w:r>
                    <w:rPr>
                      <w:szCs w:val="18"/>
                    </w:rPr>
                    <w:t xml:space="preserve">The trade purchases for QSE </w:t>
                  </w:r>
                  <w:r>
                    <w:rPr>
                      <w:i/>
                      <w:szCs w:val="18"/>
                    </w:rPr>
                    <w:t>q</w:t>
                  </w:r>
                  <w:r>
                    <w:rPr>
                      <w:szCs w:val="18"/>
                    </w:rPr>
                    <w:t xml:space="preserve"> for Reg-Down for the Operating Hour.</w:t>
                  </w:r>
                </w:p>
              </w:tc>
            </w:tr>
            <w:tr w:rsidR="007D4B3E" w14:paraId="66D67218"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0AD6DD02" w14:textId="77777777" w:rsidR="007D4B3E" w:rsidRDefault="007D4B3E" w:rsidP="007D4B3E">
                  <w:pPr>
                    <w:pStyle w:val="tablebody0"/>
                  </w:pPr>
                  <w:r>
                    <w:t xml:space="preserve">RDTS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FE94F59"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495EDF3" w14:textId="232B1757" w:rsidR="007D4B3E" w:rsidRDefault="007D4B3E" w:rsidP="007D4B3E">
                  <w:pPr>
                    <w:pStyle w:val="tablebody0"/>
                    <w:rPr>
                      <w:i/>
                    </w:rPr>
                  </w:pPr>
                  <w:r>
                    <w:rPr>
                      <w:i/>
                    </w:rPr>
                    <w:t>Trade Sales for Reg-Down for the QSE</w:t>
                  </w:r>
                  <w:r>
                    <w:t>—</w:t>
                  </w:r>
                  <w:r>
                    <w:rPr>
                      <w:szCs w:val="18"/>
                    </w:rPr>
                    <w:t xml:space="preserve">The trade sales for QSE </w:t>
                  </w:r>
                  <w:r>
                    <w:rPr>
                      <w:i/>
                      <w:szCs w:val="18"/>
                    </w:rPr>
                    <w:t>q</w:t>
                  </w:r>
                  <w:r>
                    <w:rPr>
                      <w:szCs w:val="18"/>
                    </w:rPr>
                    <w:t xml:space="preserve"> for Reg-Down for the Operating Hour.</w:t>
                  </w:r>
                </w:p>
              </w:tc>
            </w:tr>
            <w:tr w:rsidR="007D4B3E" w14:paraId="1778F584"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BE3F55C" w14:textId="77777777" w:rsidR="007D4B3E" w:rsidRDefault="007D4B3E" w:rsidP="007D4B3E">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0348A0D1" w14:textId="77777777" w:rsidR="007D4B3E" w:rsidRDefault="007D4B3E" w:rsidP="007D4B3E">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144E35F7" w14:textId="47B2A432" w:rsidR="007D4B3E" w:rsidRDefault="007D4B3E" w:rsidP="007D4B3E">
                  <w:pPr>
                    <w:pStyle w:val="tablebody0"/>
                    <w:rPr>
                      <w:i/>
                    </w:rPr>
                  </w:pPr>
                  <w:r>
                    <w:rPr>
                      <w:i/>
                      <w:iCs/>
                    </w:rPr>
                    <w:t xml:space="preserve">Duration of </w:t>
                  </w:r>
                  <w:r>
                    <w:rPr>
                      <w:i/>
                    </w:rPr>
                    <w:t>SCED</w:t>
                  </w:r>
                  <w:r>
                    <w:rPr>
                      <w:i/>
                      <w:iCs/>
                    </w:rPr>
                    <w:t xml:space="preserve"> interval per interval</w:t>
                  </w:r>
                  <w:r w:rsidR="00ED75E9" w:rsidRPr="00A552C3">
                    <w:rPr>
                      <w:iCs/>
                    </w:rPr>
                    <w:t>—</w:t>
                  </w:r>
                  <w:r>
                    <w:t xml:space="preserve">The duration of the SCED interval </w:t>
                  </w:r>
                  <w:r>
                    <w:rPr>
                      <w:i/>
                      <w:iCs/>
                    </w:rPr>
                    <w:t>y</w:t>
                  </w:r>
                  <w:r>
                    <w:t>.</w:t>
                  </w:r>
                </w:p>
              </w:tc>
            </w:tr>
            <w:tr w:rsidR="007D4B3E" w14:paraId="14FA29F0"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66F7696" w14:textId="77777777" w:rsidR="007D4B3E" w:rsidRDefault="007D4B3E" w:rsidP="007D4B3E">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4D2523B8"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24D831C5" w14:textId="6C41946A" w:rsidR="007D4B3E" w:rsidRDefault="007D4B3E" w:rsidP="007D4B3E">
                  <w:pPr>
                    <w:pStyle w:val="tablebody0"/>
                    <w:rPr>
                      <w:i/>
                    </w:rPr>
                  </w:pPr>
                  <w:r>
                    <w:rPr>
                      <w:i/>
                    </w:rPr>
                    <w:t>Resource Node Weighting Factor per interval</w:t>
                  </w:r>
                  <w:r w:rsidR="00ED75E9" w:rsidRPr="00A552C3">
                    <w:rPr>
                      <w:iCs/>
                    </w:rPr>
                    <w:t>—</w:t>
                  </w:r>
                  <w:r>
                    <w:t xml:space="preserve">The weight used in the Ancillary Service award calculation for the portion of the SCED interval </w:t>
                  </w:r>
                  <w:r w:rsidRPr="00952F33">
                    <w:rPr>
                      <w:i/>
                      <w:iCs/>
                    </w:rPr>
                    <w:t>y</w:t>
                  </w:r>
                  <w:r>
                    <w:t xml:space="preserve"> within the Settlement Interval.</w:t>
                  </w:r>
                </w:p>
              </w:tc>
            </w:tr>
            <w:tr w:rsidR="007D4B3E" w14:paraId="0EB4A48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C2787B8" w14:textId="4FD7C9B3" w:rsidR="007D4B3E" w:rsidRDefault="007D4B3E" w:rsidP="007D4B3E">
                  <w:pPr>
                    <w:pStyle w:val="tablebody0"/>
                  </w:pPr>
                  <w:r>
                    <w:t xml:space="preserve">RDRWF </w:t>
                  </w:r>
                  <w:r>
                    <w:rPr>
                      <w:i/>
                      <w:vertAlign w:val="subscript"/>
                    </w:rPr>
                    <w:t>q, r, y</w:t>
                  </w:r>
                </w:p>
              </w:tc>
              <w:tc>
                <w:tcPr>
                  <w:tcW w:w="623" w:type="pct"/>
                  <w:tcBorders>
                    <w:top w:val="single" w:sz="4" w:space="0" w:color="auto"/>
                    <w:left w:val="single" w:sz="4" w:space="0" w:color="auto"/>
                    <w:bottom w:val="single" w:sz="4" w:space="0" w:color="auto"/>
                    <w:right w:val="single" w:sz="4" w:space="0" w:color="auto"/>
                  </w:tcBorders>
                  <w:hideMark/>
                </w:tcPr>
                <w:p w14:paraId="738E8C23"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EA302F1" w14:textId="64B9B58A" w:rsidR="007D4B3E" w:rsidRDefault="007D4B3E" w:rsidP="007D4B3E">
                  <w:pPr>
                    <w:pStyle w:val="tablebody0"/>
                    <w:rPr>
                      <w:i/>
                    </w:rPr>
                  </w:pPr>
                  <w:r>
                    <w:rPr>
                      <w:i/>
                    </w:rPr>
                    <w:t>Regulation Down Resource Node Weighting Factor per interval</w:t>
                  </w:r>
                  <w:r w:rsidR="002854FC" w:rsidRPr="00A552C3">
                    <w:rPr>
                      <w:iCs/>
                    </w:rPr>
                    <w:t>—</w:t>
                  </w:r>
                  <w:r>
                    <w:t xml:space="preserve">The Reg-Down Resource weight, based on Reg-Down awards, used in the Real-Time MCPC calculation for the portion of the SCED interval </w:t>
                  </w:r>
                  <w:r w:rsidRPr="00952F33">
                    <w:rPr>
                      <w:i/>
                      <w:iCs/>
                    </w:rPr>
                    <w:t>y</w:t>
                  </w:r>
                  <w:r>
                    <w:t xml:space="preserve"> within the Settlement Interval.  Where for a Combined Cycle Train, the Resource </w:t>
                  </w:r>
                  <w:r w:rsidRPr="00952F33">
                    <w:rPr>
                      <w:i/>
                      <w:iCs/>
                    </w:rPr>
                    <w:t>r</w:t>
                  </w:r>
                  <w:r>
                    <w:t xml:space="preserve"> is a Combined Cycle Generation Resource within the Combined Cycle Train.   </w:t>
                  </w:r>
                </w:p>
              </w:tc>
            </w:tr>
            <w:tr w:rsidR="007D4B3E" w14:paraId="1FA7A9E0"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317B13F" w14:textId="77777777" w:rsidR="007D4B3E" w:rsidRDefault="007D4B3E" w:rsidP="007D4B3E">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7EF78331"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870EFAD" w14:textId="77777777" w:rsidR="007D4B3E" w:rsidRDefault="007D4B3E" w:rsidP="007D4B3E">
                  <w:pPr>
                    <w:pStyle w:val="tablebody0"/>
                    <w:rPr>
                      <w:i/>
                    </w:rPr>
                  </w:pPr>
                  <w:r>
                    <w:t>A Resource.</w:t>
                  </w:r>
                </w:p>
              </w:tc>
            </w:tr>
            <w:tr w:rsidR="007D4B3E" w14:paraId="10065F09"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7E2CAABF" w14:textId="77777777" w:rsidR="007D4B3E" w:rsidRDefault="007D4B3E" w:rsidP="007D4B3E">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129F6051"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73ED1E1" w14:textId="77777777" w:rsidR="007D4B3E" w:rsidRDefault="007D4B3E" w:rsidP="007D4B3E">
                  <w:pPr>
                    <w:pStyle w:val="tablebody0"/>
                  </w:pPr>
                  <w:r>
                    <w:t>A QSE.</w:t>
                  </w:r>
                </w:p>
              </w:tc>
            </w:tr>
            <w:tr w:rsidR="007D4B3E" w14:paraId="688D032D"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F789BE2" w14:textId="77777777" w:rsidR="007D4B3E" w:rsidRDefault="007D4B3E" w:rsidP="007D4B3E">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31010F1C"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0AD6F21" w14:textId="77777777" w:rsidR="007D4B3E" w:rsidRDefault="007D4B3E" w:rsidP="007D4B3E">
                  <w:pPr>
                    <w:pStyle w:val="tablebody0"/>
                  </w:pPr>
                  <w:r>
                    <w:t>A SCED interval in the 15-minute Settlement Interval.</w:t>
                  </w:r>
                </w:p>
              </w:tc>
            </w:tr>
          </w:tbl>
          <w:p w14:paraId="3756BECB" w14:textId="77777777" w:rsidR="007D4B3E" w:rsidRDefault="007D4B3E" w:rsidP="007D4B3E">
            <w:pPr>
              <w:spacing w:before="240" w:after="240"/>
            </w:pPr>
            <w:r>
              <w:t>(2)</w:t>
            </w:r>
            <w:r>
              <w:tab/>
              <w:t>Reg-Down Only Charge:</w:t>
            </w:r>
          </w:p>
          <w:p w14:paraId="15E251F5" w14:textId="77777777" w:rsidR="007D4B3E" w:rsidRDefault="007D4B3E" w:rsidP="007D4B3E">
            <w:pPr>
              <w:pStyle w:val="FormulaBold"/>
            </w:pPr>
            <w:r>
              <w:t>RTRDOAMT</w:t>
            </w:r>
            <w:r>
              <w:rPr>
                <w:i/>
                <w:vertAlign w:val="subscript"/>
              </w:rPr>
              <w:t xml:space="preserve"> q  </w:t>
            </w:r>
            <w:r>
              <w:t xml:space="preserve">= </w:t>
            </w:r>
            <w:r>
              <w:tab/>
              <w:t xml:space="preserve">(1/4) * DARDOAWD </w:t>
            </w:r>
            <w:r>
              <w:rPr>
                <w:i/>
                <w:vertAlign w:val="subscript"/>
              </w:rPr>
              <w:t>q</w:t>
            </w:r>
            <w:r>
              <w:t xml:space="preserve"> * RTMCPCRD</w:t>
            </w:r>
          </w:p>
          <w:p w14:paraId="266EE02C" w14:textId="77777777" w:rsidR="007D4B3E" w:rsidRDefault="007D4B3E" w:rsidP="007D4B3E">
            <w:pPr>
              <w:pStyle w:val="Instructions"/>
              <w:spacing w:after="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D4B3E" w14:paraId="4F464DEB" w14:textId="77777777" w:rsidTr="007D4B3E">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069ACC5C" w14:textId="77777777" w:rsidR="007D4B3E" w:rsidRDefault="007D4B3E" w:rsidP="007D4B3E">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7B9E86C3" w14:textId="77777777" w:rsidR="007D4B3E" w:rsidRDefault="007D4B3E" w:rsidP="007D4B3E">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0BA4E087" w14:textId="77777777" w:rsidR="007D4B3E" w:rsidRDefault="007D4B3E" w:rsidP="007D4B3E">
                  <w:pPr>
                    <w:pStyle w:val="TableHead"/>
                  </w:pPr>
                  <w:r>
                    <w:t>Description</w:t>
                  </w:r>
                </w:p>
              </w:tc>
            </w:tr>
            <w:tr w:rsidR="007D4B3E" w14:paraId="786B3153"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7281706" w14:textId="77777777" w:rsidR="007D4B3E" w:rsidRDefault="007D4B3E" w:rsidP="007D4B3E">
                  <w:pPr>
                    <w:pStyle w:val="tablebody0"/>
                  </w:pPr>
                  <w:r>
                    <w:t xml:space="preserve">RTRDOAMT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808152D"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9212A94" w14:textId="7A640956" w:rsidR="007D4B3E" w:rsidRDefault="007D4B3E" w:rsidP="007D4B3E">
                  <w:pPr>
                    <w:pStyle w:val="tablebody0"/>
                    <w:rPr>
                      <w:i/>
                    </w:rPr>
                  </w:pPr>
                  <w:r>
                    <w:rPr>
                      <w:i/>
                    </w:rPr>
                    <w:t>Real-Time Reg-Down Only Amount for the QSE</w:t>
                  </w:r>
                  <w:r>
                    <w:t xml:space="preserve">—The total charge to QSE </w:t>
                  </w:r>
                  <w:r>
                    <w:rPr>
                      <w:i/>
                    </w:rPr>
                    <w:t>q</w:t>
                  </w:r>
                  <w:r>
                    <w:t xml:space="preserve"> in Real-Time for Reg-Down only awards for each 15-minute Settlement Interval.</w:t>
                  </w:r>
                </w:p>
              </w:tc>
            </w:tr>
            <w:tr w:rsidR="007D4B3E" w14:paraId="1C65039F"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3503AE2" w14:textId="77777777" w:rsidR="007D4B3E" w:rsidRDefault="007D4B3E" w:rsidP="007D4B3E">
                  <w:pPr>
                    <w:pStyle w:val="tablebody0"/>
                  </w:pPr>
                  <w:r>
                    <w:t xml:space="preserve">DARDOAWD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77EFC225"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3F801AC" w14:textId="722C51AC" w:rsidR="007D4B3E" w:rsidRDefault="007D4B3E" w:rsidP="007D4B3E">
                  <w:pPr>
                    <w:pStyle w:val="tablebody0"/>
                    <w:rPr>
                      <w:i/>
                    </w:rPr>
                  </w:pPr>
                  <w:r>
                    <w:rPr>
                      <w:i/>
                    </w:rPr>
                    <w:t>Day-Ahead Reg-Down Only Award for the QSE</w:t>
                  </w:r>
                  <w:r>
                    <w:sym w:font="Symbol" w:char="F0BE"/>
                  </w:r>
                  <w:r>
                    <w:t xml:space="preserve">The Reg-Down only capacity awarded in the DAM to the QSE </w:t>
                  </w:r>
                  <w:r>
                    <w:rPr>
                      <w:i/>
                    </w:rPr>
                    <w:t>q</w:t>
                  </w:r>
                  <w:r>
                    <w:t xml:space="preserve"> for the </w:t>
                  </w:r>
                  <w:r>
                    <w:rPr>
                      <w:szCs w:val="18"/>
                    </w:rPr>
                    <w:t>Operating Hour</w:t>
                  </w:r>
                  <w:r>
                    <w:t>.</w:t>
                  </w:r>
                </w:p>
              </w:tc>
            </w:tr>
            <w:tr w:rsidR="007D4B3E" w14:paraId="395A2F75"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6A489FF5" w14:textId="77777777" w:rsidR="007D4B3E" w:rsidRDefault="007D4B3E" w:rsidP="007D4B3E">
                  <w:pPr>
                    <w:pStyle w:val="tablebody0"/>
                  </w:pPr>
                  <w:r>
                    <w:t>RTMCPCRD</w:t>
                  </w:r>
                </w:p>
              </w:tc>
              <w:tc>
                <w:tcPr>
                  <w:tcW w:w="623" w:type="pct"/>
                  <w:tcBorders>
                    <w:top w:val="single" w:sz="4" w:space="0" w:color="auto"/>
                    <w:left w:val="single" w:sz="4" w:space="0" w:color="auto"/>
                    <w:bottom w:val="single" w:sz="4" w:space="0" w:color="auto"/>
                    <w:right w:val="single" w:sz="4" w:space="0" w:color="auto"/>
                  </w:tcBorders>
                  <w:hideMark/>
                </w:tcPr>
                <w:p w14:paraId="7F2D78DB"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E825742" w14:textId="26B8CCFB" w:rsidR="007D4B3E" w:rsidRDefault="007D4B3E" w:rsidP="007D4B3E">
                  <w:pPr>
                    <w:pStyle w:val="tablebody0"/>
                    <w:rPr>
                      <w:i/>
                    </w:rPr>
                  </w:pPr>
                  <w:r>
                    <w:rPr>
                      <w:i/>
                    </w:rPr>
                    <w:t>Real-Time Market Clearing Price for Capacity for Reg-Down</w:t>
                  </w:r>
                  <w:r w:rsidR="0065408B" w:rsidRPr="00A552C3">
                    <w:rPr>
                      <w:iCs/>
                    </w:rPr>
                    <w:t>—</w:t>
                  </w:r>
                  <w:r>
                    <w:t>The Real-Time MCPC for Reg-Down for the 15-minute Settlement Interval.</w:t>
                  </w:r>
                </w:p>
              </w:tc>
            </w:tr>
            <w:tr w:rsidR="007D4B3E" w14:paraId="1CA284A5"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3DB62FC" w14:textId="77777777" w:rsidR="007D4B3E" w:rsidRDefault="007D4B3E" w:rsidP="007D4B3E">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22714254"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6E0A4FC1" w14:textId="77777777" w:rsidR="007D4B3E" w:rsidRDefault="007D4B3E" w:rsidP="007D4B3E">
                  <w:pPr>
                    <w:pStyle w:val="tablebody0"/>
                  </w:pPr>
                  <w:r>
                    <w:t>A QSE.</w:t>
                  </w:r>
                </w:p>
              </w:tc>
            </w:tr>
          </w:tbl>
          <w:p w14:paraId="21C76637" w14:textId="77777777" w:rsidR="007D4B3E" w:rsidRDefault="007D4B3E" w:rsidP="007D4B3E">
            <w:pPr>
              <w:spacing w:before="240" w:after="240"/>
            </w:pPr>
            <w:r>
              <w:t>(3)</w:t>
            </w:r>
            <w:r>
              <w:tab/>
              <w:t>Reg-Down Trade Overage Charge:</w:t>
            </w:r>
          </w:p>
          <w:p w14:paraId="79A90F43" w14:textId="77777777" w:rsidR="007D4B3E" w:rsidRDefault="007D4B3E" w:rsidP="007D4B3E">
            <w:pPr>
              <w:pStyle w:val="FormulaBold"/>
            </w:pPr>
            <w:r>
              <w:lastRenderedPageBreak/>
              <w:t>RTRDTOAMT</w:t>
            </w:r>
            <w:r>
              <w:rPr>
                <w:i/>
                <w:vertAlign w:val="subscript"/>
              </w:rPr>
              <w:t xml:space="preserve"> q  </w:t>
            </w:r>
            <w:r>
              <w:t xml:space="preserve">= </w:t>
            </w:r>
            <w:r>
              <w:tab/>
              <w:t xml:space="preserve">(1/4) * RTRDTO </w:t>
            </w:r>
            <w:r>
              <w:rPr>
                <w:i/>
                <w:vertAlign w:val="subscript"/>
              </w:rPr>
              <w:t>q</w:t>
            </w:r>
            <w:r>
              <w:t xml:space="preserve"> * RTMCPCRD</w:t>
            </w:r>
          </w:p>
          <w:p w14:paraId="65BB81E3" w14:textId="77777777" w:rsidR="007D4B3E" w:rsidRDefault="007D4B3E" w:rsidP="007D4B3E">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D4B3E" w14:paraId="2085D5DC" w14:textId="77777777" w:rsidTr="007D4B3E">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6572C7BD" w14:textId="77777777" w:rsidR="007D4B3E" w:rsidRDefault="007D4B3E" w:rsidP="007D4B3E">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7F659B89" w14:textId="77777777" w:rsidR="007D4B3E" w:rsidRDefault="007D4B3E" w:rsidP="007D4B3E">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780CDCF7" w14:textId="77777777" w:rsidR="007D4B3E" w:rsidRDefault="007D4B3E" w:rsidP="007D4B3E">
                  <w:pPr>
                    <w:pStyle w:val="TableHead"/>
                  </w:pPr>
                  <w:r>
                    <w:t>Description</w:t>
                  </w:r>
                </w:p>
              </w:tc>
            </w:tr>
            <w:tr w:rsidR="007D4B3E" w14:paraId="6F3DE59C"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96A2293" w14:textId="77777777" w:rsidR="007D4B3E" w:rsidRDefault="007D4B3E" w:rsidP="007D4B3E">
                  <w:pPr>
                    <w:pStyle w:val="tablebody0"/>
                  </w:pPr>
                  <w:r>
                    <w:t xml:space="preserve">RTRDTOAMT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7BD5073"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04C4069A" w14:textId="1A9C71AF" w:rsidR="007D4B3E" w:rsidRDefault="007D4B3E" w:rsidP="007D4B3E">
                  <w:pPr>
                    <w:pStyle w:val="tablebody0"/>
                    <w:rPr>
                      <w:i/>
                    </w:rPr>
                  </w:pPr>
                  <w:r>
                    <w:rPr>
                      <w:i/>
                    </w:rPr>
                    <w:t>Real-Time Reg-Down Trade Overage Amount for the QSE</w:t>
                  </w:r>
                  <w:r>
                    <w:t xml:space="preserve">—The total charge to QSE </w:t>
                  </w:r>
                  <w:r>
                    <w:rPr>
                      <w:i/>
                    </w:rPr>
                    <w:t>q</w:t>
                  </w:r>
                  <w:r>
                    <w:t xml:space="preserve"> in Real-Time for Reg-Down trade overages for each 15-minute Settlement Interval.</w:t>
                  </w:r>
                </w:p>
              </w:tc>
            </w:tr>
            <w:tr w:rsidR="007D4B3E" w14:paraId="5ADD06E7"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349E7D32" w14:textId="77777777" w:rsidR="007D4B3E" w:rsidRDefault="007D4B3E" w:rsidP="007D4B3E">
                  <w:pPr>
                    <w:pStyle w:val="tablebody0"/>
                  </w:pPr>
                  <w:r>
                    <w:t xml:space="preserve">RTRDTO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F35B3D1"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A402BCD" w14:textId="273D54E7" w:rsidR="007D4B3E" w:rsidRDefault="007D4B3E" w:rsidP="007D4B3E">
                  <w:pPr>
                    <w:pStyle w:val="tablebody0"/>
                  </w:pPr>
                  <w:r>
                    <w:rPr>
                      <w:i/>
                    </w:rPr>
                    <w:t>Real-Time Reg-Down Trade Overage for the QSE</w:t>
                  </w:r>
                  <w:r>
                    <w:sym w:font="Symbol" w:char="F0BE"/>
                  </w:r>
                  <w:r>
                    <w:t xml:space="preserve">The quantity of submitted Reg-Down trades in excess of their DAM self- arrangement quantity for the QSE </w:t>
                  </w:r>
                  <w:r>
                    <w:rPr>
                      <w:i/>
                    </w:rPr>
                    <w:t>q</w:t>
                  </w:r>
                  <w:r>
                    <w:t xml:space="preserve"> for the </w:t>
                  </w:r>
                  <w:r>
                    <w:rPr>
                      <w:szCs w:val="18"/>
                    </w:rPr>
                    <w:t>Operating Hour</w:t>
                  </w:r>
                  <w:r>
                    <w:t>.</w:t>
                  </w:r>
                </w:p>
              </w:tc>
            </w:tr>
            <w:tr w:rsidR="007D4B3E" w14:paraId="78277607"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6C5EA4EE" w14:textId="77777777" w:rsidR="007D4B3E" w:rsidRDefault="007D4B3E" w:rsidP="007D4B3E">
                  <w:pPr>
                    <w:pStyle w:val="tablebody0"/>
                  </w:pPr>
                  <w:r>
                    <w:t>RTMCPCRD</w:t>
                  </w:r>
                </w:p>
              </w:tc>
              <w:tc>
                <w:tcPr>
                  <w:tcW w:w="623" w:type="pct"/>
                  <w:tcBorders>
                    <w:top w:val="single" w:sz="4" w:space="0" w:color="auto"/>
                    <w:left w:val="single" w:sz="4" w:space="0" w:color="auto"/>
                    <w:bottom w:val="single" w:sz="4" w:space="0" w:color="auto"/>
                    <w:right w:val="single" w:sz="4" w:space="0" w:color="auto"/>
                  </w:tcBorders>
                  <w:hideMark/>
                </w:tcPr>
                <w:p w14:paraId="05EA3693"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53C5F7A" w14:textId="586CBF99" w:rsidR="007D4B3E" w:rsidRDefault="007D4B3E" w:rsidP="007D4B3E">
                  <w:pPr>
                    <w:pStyle w:val="tablebody0"/>
                    <w:rPr>
                      <w:i/>
                    </w:rPr>
                  </w:pPr>
                  <w:r>
                    <w:rPr>
                      <w:i/>
                    </w:rPr>
                    <w:t>Real-Time Market Clearing Price for Capacity for Reg-Down</w:t>
                  </w:r>
                  <w:r w:rsidR="006B6C59" w:rsidRPr="00A552C3">
                    <w:rPr>
                      <w:iCs/>
                    </w:rPr>
                    <w:t>—</w:t>
                  </w:r>
                  <w:r>
                    <w:t>The Real-Time MCPC for Reg-Down for the 15-minute Settlement Interval.</w:t>
                  </w:r>
                </w:p>
              </w:tc>
            </w:tr>
            <w:tr w:rsidR="007D4B3E" w14:paraId="62DAE2F6"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CE7D8EA" w14:textId="77777777" w:rsidR="007D4B3E" w:rsidRDefault="007D4B3E" w:rsidP="007D4B3E">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057951EB"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A484DBC" w14:textId="77777777" w:rsidR="007D4B3E" w:rsidRDefault="007D4B3E" w:rsidP="007D4B3E">
                  <w:pPr>
                    <w:pStyle w:val="tablebody0"/>
                  </w:pPr>
                  <w:r>
                    <w:t>A QSE.</w:t>
                  </w:r>
                </w:p>
              </w:tc>
            </w:tr>
          </w:tbl>
          <w:p w14:paraId="43AF25A1" w14:textId="0FFCBA5D" w:rsidR="008871B2" w:rsidRPr="008871B2" w:rsidRDefault="008871B2" w:rsidP="001138B9">
            <w:pPr>
              <w:keepNext/>
              <w:tabs>
                <w:tab w:val="left" w:pos="1080"/>
              </w:tabs>
              <w:spacing w:before="480" w:after="240"/>
              <w:outlineLvl w:val="2"/>
              <w:rPr>
                <w:b/>
                <w:bCs/>
                <w:i/>
              </w:rPr>
            </w:pPr>
          </w:p>
        </w:tc>
      </w:tr>
    </w:tbl>
    <w:p w14:paraId="02458985"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75BEACA2" w14:textId="77777777" w:rsidTr="001138B9">
        <w:trPr>
          <w:trHeight w:val="206"/>
        </w:trPr>
        <w:tc>
          <w:tcPr>
            <w:tcW w:w="9350" w:type="dxa"/>
            <w:shd w:val="pct12" w:color="auto" w:fill="auto"/>
          </w:tcPr>
          <w:p w14:paraId="40B963CC" w14:textId="2E7C972E" w:rsidR="008871B2" w:rsidRDefault="008871B2" w:rsidP="001138B9">
            <w:pPr>
              <w:pStyle w:val="Instructions"/>
              <w:spacing w:before="120"/>
            </w:pPr>
            <w:r>
              <w:t>[NPRR1010</w:t>
            </w:r>
            <w:r w:rsidR="00103BC5">
              <w:t xml:space="preserve"> and NPRR1245</w:t>
            </w:r>
            <w:r>
              <w:t>:  Insert Section 6.7.5.4 below upon system implementation of the Real-Time Co-Optimization (RTC) project:]</w:t>
            </w:r>
          </w:p>
          <w:p w14:paraId="6807E9C0" w14:textId="77777777" w:rsidR="00BA2684" w:rsidRDefault="00BA2684" w:rsidP="00BA2684">
            <w:pPr>
              <w:pStyle w:val="H4"/>
              <w:spacing w:before="480"/>
            </w:pPr>
            <w:bookmarkStart w:id="2801" w:name="_Toc204411753"/>
            <w:r>
              <w:t>6.7.5.4</w:t>
            </w:r>
            <w:r>
              <w:tab/>
              <w:t>Responsive Reserve Payments and Charges</w:t>
            </w:r>
            <w:bookmarkEnd w:id="2801"/>
          </w:p>
          <w:p w14:paraId="129F4CC2" w14:textId="7B369F86" w:rsidR="00BA2684" w:rsidRDefault="00BA2684" w:rsidP="00BA2684">
            <w:r>
              <w:t>(1)</w:t>
            </w:r>
            <w:r>
              <w:tab/>
              <w:t>RRS Imbalance Payment or Charge:</w:t>
            </w:r>
          </w:p>
          <w:p w14:paraId="0450786F" w14:textId="20B5F0FF" w:rsidR="00BA2684" w:rsidRDefault="00BA2684" w:rsidP="00BA2684">
            <w:pPr>
              <w:pStyle w:val="FormulaBold"/>
            </w:pPr>
            <w:r>
              <w:t>RTRRIMBAMT</w:t>
            </w:r>
            <w:r>
              <w:rPr>
                <w:i/>
                <w:vertAlign w:val="subscript"/>
              </w:rPr>
              <w:t xml:space="preserve"> q  </w:t>
            </w:r>
            <w:r>
              <w:t xml:space="preserve">= </w:t>
            </w:r>
            <w:r>
              <w:tab/>
              <w:t>(-1) * [</w:t>
            </w:r>
            <w:r>
              <w:rPr>
                <w:position w:val="-18"/>
              </w:rPr>
              <w:object w:dxaOrig="285" w:dyaOrig="570" w14:anchorId="2B556C62">
                <v:shape id="_x0000_i1406" type="#_x0000_t75" style="width:12pt;height:30pt" o:ole="">
                  <v:imagedata r:id="rId159" o:title=""/>
                </v:shape>
                <o:OLEObject Type="Embed" ProgID="Equation.3" ShapeID="_x0000_i1406" DrawAspect="Content" ObjectID="_1815025594" r:id="rId498"/>
              </w:object>
            </w:r>
            <w:r>
              <w:t>[</w:t>
            </w:r>
            <w:r>
              <w:rPr>
                <w:rStyle w:val="BodyTextChar"/>
              </w:rPr>
              <w:t xml:space="preserve">RTRRREV </w:t>
            </w:r>
            <w:r>
              <w:rPr>
                <w:i/>
                <w:vertAlign w:val="subscript"/>
              </w:rPr>
              <w:t xml:space="preserve">q, r </w:t>
            </w:r>
            <w:r>
              <w:t>– (1/4) * (PCRRR</w:t>
            </w:r>
            <w:r>
              <w:rPr>
                <w:i/>
              </w:rPr>
              <w:t xml:space="preserve"> </w:t>
            </w:r>
            <w:r>
              <w:rPr>
                <w:i/>
                <w:vertAlign w:val="subscript"/>
              </w:rPr>
              <w:t>r, q, DAM</w:t>
            </w:r>
            <w:r>
              <w:t xml:space="preserve"> * RTMCPCRR)] – (1/4) * (DASARRQ </w:t>
            </w:r>
            <w:r>
              <w:rPr>
                <w:i/>
                <w:vertAlign w:val="subscript"/>
              </w:rPr>
              <w:t>q</w:t>
            </w:r>
            <w:r>
              <w:t xml:space="preserve"> * RTMCPCRR) + (1/4) * (RRTP </w:t>
            </w:r>
            <w:r>
              <w:rPr>
                <w:i/>
                <w:vertAlign w:val="subscript"/>
              </w:rPr>
              <w:t>q</w:t>
            </w:r>
            <w:r>
              <w:t xml:space="preserve"> – RRTS </w:t>
            </w:r>
            <w:r>
              <w:rPr>
                <w:i/>
                <w:vertAlign w:val="subscript"/>
              </w:rPr>
              <w:t>q</w:t>
            </w:r>
            <w:r>
              <w:t>) * RTMCPCRR]</w:t>
            </w:r>
          </w:p>
          <w:p w14:paraId="1E28F884" w14:textId="77777777" w:rsidR="00BA2684" w:rsidRDefault="00BA2684" w:rsidP="00BA2684">
            <w:pPr>
              <w:pStyle w:val="FormulaBold"/>
            </w:pPr>
            <w:r>
              <w:t xml:space="preserve">Where:   </w:t>
            </w:r>
          </w:p>
          <w:p w14:paraId="24D2B0A7" w14:textId="77777777" w:rsidR="00BA2684" w:rsidRDefault="00BA2684" w:rsidP="00BA2684">
            <w:pPr>
              <w:pStyle w:val="FormulaBold"/>
            </w:pPr>
            <w:r>
              <w:rPr>
                <w:rStyle w:val="BodyTextChar"/>
              </w:rPr>
              <w:t xml:space="preserve">RTRRREV </w:t>
            </w:r>
            <w:r>
              <w:rPr>
                <w:i/>
                <w:vertAlign w:val="subscript"/>
              </w:rPr>
              <w:t xml:space="preserve">q, r </w:t>
            </w:r>
            <w:r>
              <w:rPr>
                <w:i/>
              </w:rPr>
              <w:t xml:space="preserve"> =     </w:t>
            </w:r>
            <w:r>
              <w:t>(1/4) * RTRRAWD</w:t>
            </w:r>
            <w:r>
              <w:rPr>
                <w:i/>
                <w:vertAlign w:val="subscript"/>
              </w:rPr>
              <w:t xml:space="preserve"> q, r</w:t>
            </w:r>
            <w:r>
              <w:t xml:space="preserve"> * RTMCPCRRR </w:t>
            </w:r>
            <w:r>
              <w:rPr>
                <w:i/>
                <w:vertAlign w:val="subscript"/>
              </w:rPr>
              <w:t>q, r</w:t>
            </w:r>
          </w:p>
          <w:p w14:paraId="41CFC232" w14:textId="0B77FEB6" w:rsidR="00BA2684" w:rsidRDefault="00BA2684" w:rsidP="00BA2684">
            <w:pPr>
              <w:pStyle w:val="FormulaBold"/>
            </w:pPr>
            <w:r>
              <w:t xml:space="preserve">RTMCPCRRR </w:t>
            </w:r>
            <w:r>
              <w:rPr>
                <w:i/>
                <w:vertAlign w:val="subscript"/>
              </w:rPr>
              <w:t>q, r</w:t>
            </w:r>
            <w:r>
              <w:rPr>
                <w:i/>
              </w:rPr>
              <w:t xml:space="preserve"> = </w:t>
            </w:r>
            <w:r w:rsidR="00936E32">
              <w:rPr>
                <w:position w:val="-22"/>
              </w:rPr>
              <w:object w:dxaOrig="285" w:dyaOrig="285" w14:anchorId="072BB21D">
                <v:shape id="_x0000_i1407" type="#_x0000_t75" style="width:18pt;height:35.4pt" o:ole="">
                  <v:imagedata r:id="rId22" o:title=""/>
                </v:shape>
                <o:OLEObject Type="Embed" ProgID="Equation.3" ShapeID="_x0000_i1407" DrawAspect="Content" ObjectID="_1815025595" r:id="rId499"/>
              </w:object>
            </w:r>
            <w:r>
              <w:t xml:space="preserve"> (RRRWF</w:t>
            </w:r>
            <w:r>
              <w:rPr>
                <w:i/>
                <w:vertAlign w:val="subscript"/>
              </w:rPr>
              <w:t xml:space="preserve"> q, r, y</w:t>
            </w:r>
            <w:r>
              <w:t xml:space="preserve"> * (RTMCPCRRS</w:t>
            </w:r>
            <w:r>
              <w:rPr>
                <w:i/>
                <w:vertAlign w:val="subscript"/>
              </w:rPr>
              <w:t xml:space="preserve"> y</w:t>
            </w:r>
            <w:r>
              <w:t xml:space="preserve"> + RTRDPARRS </w:t>
            </w:r>
            <w:r>
              <w:rPr>
                <w:i/>
                <w:vertAlign w:val="subscript"/>
              </w:rPr>
              <w:t>y</w:t>
            </w:r>
            <w:r>
              <w:t>))</w:t>
            </w:r>
          </w:p>
          <w:p w14:paraId="5A59D599" w14:textId="76E2C8AB" w:rsidR="00BA2684" w:rsidRDefault="00BA2684" w:rsidP="00BA2684">
            <w:pPr>
              <w:pStyle w:val="FormulaBold"/>
            </w:pPr>
            <w:r>
              <w:t>RTRRAWD</w:t>
            </w:r>
            <w:r>
              <w:rPr>
                <w:i/>
                <w:vertAlign w:val="subscript"/>
              </w:rPr>
              <w:t xml:space="preserve"> q, r  </w:t>
            </w:r>
            <w:r>
              <w:tab/>
              <w:t xml:space="preserve">=  </w:t>
            </w:r>
            <w:r w:rsidR="00103BC5">
              <w:rPr>
                <w:position w:val="-22"/>
              </w:rPr>
              <w:object w:dxaOrig="285" w:dyaOrig="285" w14:anchorId="325CB317">
                <v:shape id="_x0000_i1408" type="#_x0000_t75" style="width:12pt;height:30pt" o:ole="">
                  <v:imagedata r:id="rId22" o:title=""/>
                </v:shape>
                <o:OLEObject Type="Embed" ProgID="Equation.3" ShapeID="_x0000_i1408" DrawAspect="Content" ObjectID="_1815025596" r:id="rId500"/>
              </w:object>
            </w:r>
            <w:r>
              <w:t xml:space="preserve"> (RNWF </w:t>
            </w:r>
            <w:r>
              <w:rPr>
                <w:i/>
                <w:vertAlign w:val="subscript"/>
              </w:rPr>
              <w:t>y</w:t>
            </w:r>
            <w:r>
              <w:rPr>
                <w:vertAlign w:val="subscript"/>
              </w:rPr>
              <w:t xml:space="preserve"> </w:t>
            </w:r>
            <w:r>
              <w:t>* RTRRAWDS</w:t>
            </w:r>
            <w:r>
              <w:rPr>
                <w:i/>
                <w:vertAlign w:val="subscript"/>
              </w:rPr>
              <w:t xml:space="preserve"> q, r, y</w:t>
            </w:r>
            <w:r>
              <w:t>)</w:t>
            </w:r>
          </w:p>
          <w:p w14:paraId="43643BD4" w14:textId="77777777" w:rsidR="00BA2684" w:rsidRDefault="00BA2684" w:rsidP="00BA2684">
            <w:pPr>
              <w:pStyle w:val="BodyTextNumbered"/>
              <w:ind w:left="0" w:firstLine="720"/>
            </w:pPr>
            <w:r>
              <w:t>Where:</w:t>
            </w:r>
          </w:p>
          <w:p w14:paraId="77580768" w14:textId="2B208ED7" w:rsidR="00BA2684" w:rsidRDefault="00BA2684" w:rsidP="00BA2684">
            <w:pPr>
              <w:pStyle w:val="NoSpacing"/>
            </w:pPr>
            <w:r>
              <w:t xml:space="preserve">           RRRWF</w:t>
            </w:r>
            <w:r>
              <w:rPr>
                <w:i/>
                <w:vertAlign w:val="subscript"/>
              </w:rPr>
              <w:t xml:space="preserve"> q, r, y</w:t>
            </w:r>
            <w:r>
              <w:rPr>
                <w:vertAlign w:val="subscript"/>
              </w:rPr>
              <w:t xml:space="preserve">  </w:t>
            </w:r>
            <w:r>
              <w:t>= [max(0.001, RTRRAWDS</w:t>
            </w:r>
            <w:r>
              <w:rPr>
                <w:i/>
                <w:vertAlign w:val="subscript"/>
              </w:rPr>
              <w:t xml:space="preserve"> q, r, y</w:t>
            </w:r>
            <w:r>
              <w:t>) * TLMP</w:t>
            </w:r>
            <w:r>
              <w:rPr>
                <w:i/>
                <w:vertAlign w:val="subscript"/>
              </w:rPr>
              <w:t xml:space="preserve"> y</w:t>
            </w:r>
            <w:r>
              <w:t>] / [</w:t>
            </w:r>
            <w:r w:rsidR="00936E32">
              <w:rPr>
                <w:b/>
                <w:position w:val="-22"/>
              </w:rPr>
              <w:object w:dxaOrig="285" w:dyaOrig="285" w14:anchorId="294F47CF">
                <v:shape id="_x0000_i1409" type="#_x0000_t75" style="width:30pt;height:30pt" o:ole="">
                  <v:imagedata r:id="rId22" o:title=""/>
                </v:shape>
                <o:OLEObject Type="Embed" ProgID="Equation.3" ShapeID="_x0000_i1409" DrawAspect="Content" ObjectID="_1815025597" r:id="rId501"/>
              </w:object>
            </w:r>
            <w:r>
              <w:t>max(0.001,</w:t>
            </w:r>
          </w:p>
          <w:p w14:paraId="0721275B" w14:textId="668510F0" w:rsidR="00BA2684" w:rsidRDefault="00BA2684" w:rsidP="00BA2684">
            <w:pPr>
              <w:pStyle w:val="NoSpacing"/>
              <w:rPr>
                <w:vertAlign w:val="subscript"/>
              </w:rPr>
            </w:pPr>
            <w:r>
              <w:t xml:space="preserve"> </w:t>
            </w:r>
            <w:r>
              <w:tab/>
            </w:r>
            <w:r>
              <w:tab/>
              <w:t xml:space="preserve">                RTRRAWDS</w:t>
            </w:r>
            <w:r>
              <w:rPr>
                <w:i/>
                <w:vertAlign w:val="subscript"/>
              </w:rPr>
              <w:t xml:space="preserve"> q, r, y</w:t>
            </w:r>
            <w:r>
              <w:t>) * TLMP</w:t>
            </w:r>
            <w:r>
              <w:rPr>
                <w:i/>
                <w:vertAlign w:val="subscript"/>
              </w:rPr>
              <w:t xml:space="preserve"> y</w:t>
            </w:r>
            <w:r>
              <w:t>]</w:t>
            </w:r>
            <w:r>
              <w:rPr>
                <w:vertAlign w:val="subscript"/>
              </w:rPr>
              <w:t xml:space="preserve"> </w:t>
            </w:r>
          </w:p>
          <w:p w14:paraId="1DEF8A3A" w14:textId="77777777" w:rsidR="00BA2684" w:rsidRDefault="00BA2684" w:rsidP="00BA2684">
            <w:pPr>
              <w:spacing w:after="240"/>
              <w:ind w:firstLine="720"/>
            </w:pPr>
            <w:r>
              <w:t>And:</w:t>
            </w:r>
          </w:p>
          <w:p w14:paraId="0996A771" w14:textId="4C364608" w:rsidR="00BA2684" w:rsidRDefault="00BA2684" w:rsidP="00BA2684">
            <w:pPr>
              <w:spacing w:after="240"/>
              <w:ind w:firstLine="720"/>
              <w:rPr>
                <w:i/>
                <w:vertAlign w:val="subscript"/>
              </w:rPr>
            </w:pPr>
            <w:r>
              <w:lastRenderedPageBreak/>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sidR="00103BC5">
              <w:rPr>
                <w:position w:val="-22"/>
                <w:szCs w:val="24"/>
              </w:rPr>
              <w:object w:dxaOrig="285" w:dyaOrig="285" w14:anchorId="61828A7E">
                <v:shape id="_x0000_i1410" type="#_x0000_t75" style="width:18pt;height:24.6pt" o:ole="">
                  <v:imagedata r:id="rId22" o:title=""/>
                </v:shape>
                <o:OLEObject Type="Embed" ProgID="Equation.3" ShapeID="_x0000_i1410" DrawAspect="Content" ObjectID="_1815025598" r:id="rId502"/>
              </w:object>
            </w:r>
            <w:r>
              <w:t xml:space="preserve">TLMP </w:t>
            </w:r>
            <w:r>
              <w:rPr>
                <w:i/>
                <w:vertAlign w:val="subscript"/>
              </w:rPr>
              <w:t>y</w:t>
            </w:r>
          </w:p>
          <w:p w14:paraId="73A261C1" w14:textId="77777777" w:rsidR="00BA2684" w:rsidRDefault="00BA2684" w:rsidP="00BA2684">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BA2684" w14:paraId="6F0A108A" w14:textId="77777777" w:rsidTr="00BA2684">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78D22CC" w14:textId="77777777" w:rsidR="00BA2684" w:rsidRDefault="00BA2684" w:rsidP="00BA2684">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3C7CC559" w14:textId="77777777" w:rsidR="00BA2684" w:rsidRDefault="00BA2684" w:rsidP="00BA2684">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19ABCDFD" w14:textId="77777777" w:rsidR="00BA2684" w:rsidRDefault="00BA2684" w:rsidP="00BA2684">
                  <w:pPr>
                    <w:pStyle w:val="TableHead"/>
                  </w:pPr>
                  <w:r>
                    <w:t>Description</w:t>
                  </w:r>
                </w:p>
              </w:tc>
            </w:tr>
            <w:tr w:rsidR="00BA2684" w14:paraId="1773AB9D"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0296FB9" w14:textId="77777777" w:rsidR="00BA2684" w:rsidRDefault="00BA2684" w:rsidP="00BA2684">
                  <w:pPr>
                    <w:pStyle w:val="tablebody0"/>
                  </w:pPr>
                  <w:r>
                    <w:t xml:space="preserve">RTRRIMBAMT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0AFF423"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93593CA" w14:textId="28260A6B" w:rsidR="00BA2684" w:rsidRDefault="00BA2684" w:rsidP="00BA2684">
                  <w:pPr>
                    <w:pStyle w:val="tablebody0"/>
                    <w:rPr>
                      <w:i/>
                    </w:rPr>
                  </w:pPr>
                  <w:r>
                    <w:rPr>
                      <w:i/>
                    </w:rPr>
                    <w:t>Real-Time Responsive Reserve Imbalance Amount for the QSE</w:t>
                  </w:r>
                  <w:r>
                    <w:t xml:space="preserve">—The total payment or charge to QSE </w:t>
                  </w:r>
                  <w:r>
                    <w:rPr>
                      <w:i/>
                    </w:rPr>
                    <w:t>q</w:t>
                  </w:r>
                  <w:r>
                    <w:t xml:space="preserve"> for the Real-Time RRS imbalance for each 15-minute Settlement Interval.</w:t>
                  </w:r>
                </w:p>
              </w:tc>
            </w:tr>
            <w:tr w:rsidR="00BA2684" w14:paraId="63B1DE96"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B8B7562" w14:textId="074777ED" w:rsidR="00BA2684" w:rsidRDefault="00BA2684" w:rsidP="00BA2684">
                  <w:pPr>
                    <w:pStyle w:val="tablebody0"/>
                  </w:pPr>
                  <w:r>
                    <w:t>RTRRAWD</w:t>
                  </w:r>
                  <w:r>
                    <w:rPr>
                      <w:i/>
                      <w:vertAlign w:val="subscript"/>
                    </w:rPr>
                    <w:t xml:space="preserve"> q,</w:t>
                  </w:r>
                  <w:r w:rsidR="00DC7F61">
                    <w:rPr>
                      <w:i/>
                      <w:vertAlign w:val="subscript"/>
                    </w:rPr>
                    <w:t xml:space="preserve"> </w:t>
                  </w:r>
                  <w:r>
                    <w:rPr>
                      <w:i/>
                      <w:vertAlign w:val="subscript"/>
                    </w:rPr>
                    <w:t>r</w:t>
                  </w:r>
                </w:p>
              </w:tc>
              <w:tc>
                <w:tcPr>
                  <w:tcW w:w="623" w:type="pct"/>
                  <w:tcBorders>
                    <w:top w:val="single" w:sz="4" w:space="0" w:color="auto"/>
                    <w:left w:val="single" w:sz="4" w:space="0" w:color="auto"/>
                    <w:bottom w:val="single" w:sz="4" w:space="0" w:color="auto"/>
                    <w:right w:val="single" w:sz="4" w:space="0" w:color="auto"/>
                  </w:tcBorders>
                  <w:hideMark/>
                </w:tcPr>
                <w:p w14:paraId="40231827"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D626B0F" w14:textId="60CC1309" w:rsidR="00BA2684" w:rsidRDefault="00BA2684" w:rsidP="00BA2684">
                  <w:pPr>
                    <w:pStyle w:val="tablebody0"/>
                    <w:rPr>
                      <w:i/>
                    </w:rPr>
                  </w:pPr>
                  <w:r>
                    <w:rPr>
                      <w:i/>
                    </w:rPr>
                    <w:t>Real-Time Responsive Reserve Award per Resource per QSE</w:t>
                  </w:r>
                  <w:r>
                    <w:t xml:space="preserve">—The RRS amount awarded to QSE </w:t>
                  </w:r>
                  <w:r>
                    <w:rPr>
                      <w:i/>
                    </w:rPr>
                    <w:t>q</w:t>
                  </w:r>
                  <w:r>
                    <w:t xml:space="preserve"> for Resource </w:t>
                  </w:r>
                  <w:r>
                    <w:rPr>
                      <w:i/>
                    </w:rPr>
                    <w:t>r</w:t>
                  </w:r>
                  <w:r>
                    <w:t xml:space="preserve"> in Real-Time </w:t>
                  </w:r>
                  <w:r>
                    <w:rPr>
                      <w:szCs w:val="18"/>
                    </w:rPr>
                    <w:t xml:space="preserve">for the </w:t>
                  </w:r>
                  <w:r>
                    <w:t xml:space="preserve">15-minute Settlement Interval.  Where for a Combined Cycle Train, the Resource </w:t>
                  </w:r>
                  <w:r>
                    <w:rPr>
                      <w:i/>
                    </w:rPr>
                    <w:t xml:space="preserve">r </w:t>
                  </w:r>
                  <w:r>
                    <w:t>is the Combined Cycle Train.</w:t>
                  </w:r>
                </w:p>
              </w:tc>
            </w:tr>
            <w:tr w:rsidR="00BA2684" w14:paraId="5C45399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39B50CEA" w14:textId="77777777" w:rsidR="00BA2684" w:rsidRDefault="00BA2684" w:rsidP="00BA2684">
                  <w:pPr>
                    <w:pStyle w:val="tablebody0"/>
                  </w:pPr>
                  <w:r>
                    <w:t xml:space="preserve">RTRRREV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71BD407A"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045F6F80" w14:textId="61F116FC" w:rsidR="00BA2684" w:rsidRDefault="00BA2684" w:rsidP="00BA2684">
                  <w:pPr>
                    <w:pStyle w:val="tablebody0"/>
                    <w:rPr>
                      <w:i/>
                    </w:rPr>
                  </w:pPr>
                  <w:r>
                    <w:rPr>
                      <w:i/>
                    </w:rPr>
                    <w:t>Real-Time Responsive Reserve Revenue</w:t>
                  </w:r>
                  <w:r>
                    <w:t xml:space="preserve">—The Real-Time RRS revenue for QSE </w:t>
                  </w:r>
                  <w:r>
                    <w:rPr>
                      <w:i/>
                    </w:rPr>
                    <w:t xml:space="preserve">q </w:t>
                  </w:r>
                  <w:r>
                    <w:t xml:space="preserve">calculated for Resource </w:t>
                  </w:r>
                  <w:r>
                    <w:rPr>
                      <w:i/>
                    </w:rPr>
                    <w:t xml:space="preserve">r </w:t>
                  </w:r>
                  <w:r>
                    <w:t xml:space="preserve">for the 15-minute Settlement Interval.  Where for a Combined Cycle Train, the Resource </w:t>
                  </w:r>
                  <w:r>
                    <w:rPr>
                      <w:i/>
                    </w:rPr>
                    <w:t>r</w:t>
                  </w:r>
                  <w:r>
                    <w:t xml:space="preserve"> is the Combined Cycle Train.</w:t>
                  </w:r>
                </w:p>
              </w:tc>
            </w:tr>
            <w:tr w:rsidR="00BA2684" w14:paraId="74594DD3"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6C06479" w14:textId="77777777" w:rsidR="00BA2684" w:rsidRDefault="00BA2684" w:rsidP="00BA2684">
                  <w:pPr>
                    <w:pStyle w:val="tablebody0"/>
                  </w:pPr>
                  <w:r>
                    <w:t xml:space="preserve">RTRDPARRS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7DDB5C61"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374010D" w14:textId="47A8F3EA" w:rsidR="00BA2684" w:rsidRDefault="00BA2684" w:rsidP="00BA2684">
                  <w:pPr>
                    <w:pStyle w:val="tablebody0"/>
                  </w:pPr>
                  <w:r>
                    <w:rPr>
                      <w:i/>
                    </w:rPr>
                    <w:t>Real-Time Reliability Deployment Price Adder for Ancillary Service for Responsive Reserve per SCED interval</w:t>
                  </w:r>
                  <w:r w:rsidR="003E4FCD" w:rsidRPr="00A552C3">
                    <w:rPr>
                      <w:iCs/>
                    </w:rPr>
                    <w:t>—</w:t>
                  </w:r>
                  <w:r>
                    <w:t xml:space="preserve">The Real-Time price adder for RRS that captures the impact of reliability deployments on RRS prices for the SCED interval </w:t>
                  </w:r>
                  <w:r w:rsidRPr="00DA6215">
                    <w:rPr>
                      <w:i/>
                      <w:iCs/>
                    </w:rPr>
                    <w:t>y</w:t>
                  </w:r>
                  <w:r>
                    <w:t xml:space="preserve">. </w:t>
                  </w:r>
                </w:p>
              </w:tc>
            </w:tr>
            <w:tr w:rsidR="00BA2684" w14:paraId="5B7C2FA2"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210B8C65" w14:textId="130183A9" w:rsidR="00BA2684" w:rsidRDefault="00BA2684" w:rsidP="00BA2684">
                  <w:pPr>
                    <w:pStyle w:val="tablebody0"/>
                  </w:pPr>
                  <w:r>
                    <w:t xml:space="preserve">RTRRAWDS </w:t>
                  </w:r>
                  <w:r>
                    <w:rPr>
                      <w:i/>
                      <w:vertAlign w:val="subscript"/>
                    </w:rPr>
                    <w:t>q, r, y</w:t>
                  </w:r>
                </w:p>
              </w:tc>
              <w:tc>
                <w:tcPr>
                  <w:tcW w:w="623" w:type="pct"/>
                  <w:tcBorders>
                    <w:top w:val="single" w:sz="4" w:space="0" w:color="auto"/>
                    <w:left w:val="single" w:sz="4" w:space="0" w:color="auto"/>
                    <w:bottom w:val="single" w:sz="4" w:space="0" w:color="auto"/>
                    <w:right w:val="single" w:sz="4" w:space="0" w:color="auto"/>
                  </w:tcBorders>
                  <w:hideMark/>
                </w:tcPr>
                <w:p w14:paraId="5315B22B"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260ED4C" w14:textId="59CE5779" w:rsidR="00BA2684" w:rsidRDefault="00BA2684" w:rsidP="00BA2684">
                  <w:pPr>
                    <w:pStyle w:val="tablebody0"/>
                    <w:rPr>
                      <w:i/>
                    </w:rPr>
                  </w:pPr>
                  <w:r>
                    <w:rPr>
                      <w:i/>
                    </w:rPr>
                    <w:t>Real-Time Responsive Reserve Award per Resource per QSE per SCED interval</w:t>
                  </w:r>
                  <w:r w:rsidR="003E4FCD" w:rsidRPr="00A552C3">
                    <w:rPr>
                      <w:iCs/>
                    </w:rPr>
                    <w:t>—</w:t>
                  </w:r>
                  <w:r>
                    <w:t xml:space="preserve">The RRS amount awarded to QSE </w:t>
                  </w:r>
                  <w:r>
                    <w:rPr>
                      <w:i/>
                    </w:rPr>
                    <w:t>q</w:t>
                  </w:r>
                  <w:r>
                    <w:t xml:space="preserve"> for Resource </w:t>
                  </w:r>
                  <w:r>
                    <w:rPr>
                      <w:i/>
                    </w:rPr>
                    <w:t>r</w:t>
                  </w:r>
                  <w:r>
                    <w:t xml:space="preserve"> in Real-Time 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BA2684" w14:paraId="7C7C5AE0"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63C4E71" w14:textId="77777777" w:rsidR="00BA2684" w:rsidRDefault="00BA2684" w:rsidP="00BA2684">
                  <w:pPr>
                    <w:pStyle w:val="tablebody0"/>
                  </w:pPr>
                  <w:r>
                    <w:t xml:space="preserve">RTMCPCRRR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129A27CF"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EF5F31C" w14:textId="5EC6CD42" w:rsidR="00BA2684" w:rsidRDefault="00BA2684" w:rsidP="00BA2684">
                  <w:pPr>
                    <w:pStyle w:val="tablebody0"/>
                    <w:rPr>
                      <w:iCs/>
                    </w:rPr>
                  </w:pPr>
                  <w:r>
                    <w:rPr>
                      <w:i/>
                    </w:rPr>
                    <w:t>Real-Time Market Clearing Price for Capacity for Responsive Reserve per Resource per QSE</w:t>
                  </w:r>
                  <w:r>
                    <w:sym w:font="Symbol" w:char="F0BE"/>
                  </w:r>
                  <w:r>
                    <w:t xml:space="preserve">The Real-Time MCPC for RRS for Resource </w:t>
                  </w:r>
                  <w:r>
                    <w:rPr>
                      <w:i/>
                    </w:rPr>
                    <w:t>r</w:t>
                  </w:r>
                  <w:r>
                    <w:t xml:space="preserve">, represented by QSE </w:t>
                  </w:r>
                  <w:r>
                    <w:rPr>
                      <w:i/>
                    </w:rPr>
                    <w:t xml:space="preserve">q </w:t>
                  </w:r>
                  <w:r>
                    <w:t xml:space="preserve">for the 15-minute Settlement Interval.  Where for a Combined Cycle Train, the Resource </w:t>
                  </w:r>
                  <w:r>
                    <w:rPr>
                      <w:i/>
                    </w:rPr>
                    <w:t>r</w:t>
                  </w:r>
                  <w:r>
                    <w:t xml:space="preserve"> is the Combined Cycle Train.</w:t>
                  </w:r>
                </w:p>
              </w:tc>
            </w:tr>
            <w:tr w:rsidR="00BA2684" w14:paraId="175908C9"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9B73E2F" w14:textId="77777777" w:rsidR="00BA2684" w:rsidRDefault="00BA2684" w:rsidP="00BA2684">
                  <w:pPr>
                    <w:pStyle w:val="tablebody0"/>
                  </w:pPr>
                  <w:r>
                    <w:t>RTMCPCRRS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15D95FD4"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F3DF7D2" w14:textId="3B6701C2" w:rsidR="00BA2684" w:rsidRDefault="00BA2684" w:rsidP="000627E2">
                  <w:pPr>
                    <w:pStyle w:val="tablebody0"/>
                    <w:rPr>
                      <w:i/>
                    </w:rPr>
                  </w:pPr>
                  <w:r>
                    <w:rPr>
                      <w:i/>
                    </w:rPr>
                    <w:t>Real-Time Market Clearing Price for Capacity for Responsive Reserve per SCED interval</w:t>
                  </w:r>
                  <w:r w:rsidR="00595CA6" w:rsidRPr="00A552C3">
                    <w:rPr>
                      <w:iCs/>
                    </w:rPr>
                    <w:t>—</w:t>
                  </w:r>
                  <w:r>
                    <w:t xml:space="preserve">The Real-Time MCPC for RRS for the SCED interval </w:t>
                  </w:r>
                  <w:r>
                    <w:rPr>
                      <w:i/>
                    </w:rPr>
                    <w:t>y.</w:t>
                  </w:r>
                </w:p>
              </w:tc>
            </w:tr>
            <w:tr w:rsidR="00BA2684" w14:paraId="507F823D"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DB2C429" w14:textId="77777777" w:rsidR="00BA2684" w:rsidRDefault="00BA2684" w:rsidP="00BA2684">
                  <w:pPr>
                    <w:pStyle w:val="tablebody0"/>
                  </w:pPr>
                  <w:r>
                    <w:t xml:space="preserve">PCRRR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5E1C3B20"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C15197B" w14:textId="77777777" w:rsidR="00BA2684" w:rsidRDefault="00BA2684" w:rsidP="00BA2684">
                  <w:pPr>
                    <w:pStyle w:val="tablebody0"/>
                    <w:rPr>
                      <w:i/>
                    </w:rPr>
                  </w:pPr>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r>
                    <w:rPr>
                      <w:szCs w:val="18"/>
                    </w:rPr>
                    <w:t>Operating Hour</w:t>
                  </w:r>
                  <w:r>
                    <w:t xml:space="preserve">.  Where for a Combined Cycle Train, the Resource </w:t>
                  </w:r>
                  <w:r>
                    <w:rPr>
                      <w:i/>
                    </w:rPr>
                    <w:t xml:space="preserve">r </w:t>
                  </w:r>
                  <w:r>
                    <w:t>is a Combined Cycle Generation Resource within the Combined Cycle Train.</w:t>
                  </w:r>
                </w:p>
              </w:tc>
            </w:tr>
            <w:tr w:rsidR="00BA2684" w14:paraId="1D64D996" w14:textId="77777777" w:rsidTr="00BA2684">
              <w:trPr>
                <w:cantSplit/>
              </w:trPr>
              <w:tc>
                <w:tcPr>
                  <w:tcW w:w="1279" w:type="pct"/>
                  <w:tcBorders>
                    <w:top w:val="single" w:sz="4" w:space="0" w:color="auto"/>
                    <w:left w:val="single" w:sz="4" w:space="0" w:color="auto"/>
                    <w:bottom w:val="single" w:sz="4" w:space="0" w:color="auto"/>
                    <w:right w:val="single" w:sz="4" w:space="0" w:color="auto"/>
                  </w:tcBorders>
                </w:tcPr>
                <w:p w14:paraId="46B4300F" w14:textId="77777777" w:rsidR="00BA2684" w:rsidRDefault="00BA2684" w:rsidP="00BA2684">
                  <w:pPr>
                    <w:pStyle w:val="tablebody0"/>
                  </w:pPr>
                  <w:r>
                    <w:t>RTMCPCRR</w:t>
                  </w:r>
                </w:p>
                <w:p w14:paraId="09A47762" w14:textId="77777777" w:rsidR="00BA2684" w:rsidRDefault="00BA2684" w:rsidP="00BA2684">
                  <w:pPr>
                    <w:pStyle w:val="tablebody0"/>
                  </w:pPr>
                </w:p>
              </w:tc>
              <w:tc>
                <w:tcPr>
                  <w:tcW w:w="623" w:type="pct"/>
                  <w:tcBorders>
                    <w:top w:val="single" w:sz="4" w:space="0" w:color="auto"/>
                    <w:left w:val="single" w:sz="4" w:space="0" w:color="auto"/>
                    <w:bottom w:val="single" w:sz="4" w:space="0" w:color="auto"/>
                    <w:right w:val="single" w:sz="4" w:space="0" w:color="auto"/>
                  </w:tcBorders>
                  <w:hideMark/>
                </w:tcPr>
                <w:p w14:paraId="0584AC78"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DD91E1B" w14:textId="560BDCEA" w:rsidR="00BA2684" w:rsidRDefault="00BA2684" w:rsidP="00BA2684">
                  <w:pPr>
                    <w:pStyle w:val="tablebody0"/>
                    <w:rPr>
                      <w:i/>
                    </w:rPr>
                  </w:pPr>
                  <w:r>
                    <w:rPr>
                      <w:i/>
                    </w:rPr>
                    <w:t>Real-Time Market Clearing Price for Capacity for Responsive Reserve</w:t>
                  </w:r>
                  <w:r w:rsidR="002D3D7F" w:rsidRPr="00A552C3">
                    <w:rPr>
                      <w:iCs/>
                    </w:rPr>
                    <w:t>—</w:t>
                  </w:r>
                  <w:r>
                    <w:t>The Real-Time MCPC for RRS for the 15-minute Settlement Interval.</w:t>
                  </w:r>
                </w:p>
              </w:tc>
            </w:tr>
            <w:tr w:rsidR="00BA2684" w14:paraId="562AD5DA"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0FC18EC" w14:textId="77777777" w:rsidR="00BA2684" w:rsidRDefault="00BA2684" w:rsidP="00BA2684">
                  <w:pPr>
                    <w:pStyle w:val="tablebody0"/>
                  </w:pPr>
                  <w:r>
                    <w:t>DASARRQ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2254EFE0"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F832B8F" w14:textId="77777777" w:rsidR="00BA2684" w:rsidRDefault="00BA2684" w:rsidP="00BA2684">
                  <w:pPr>
                    <w:pStyle w:val="tablebody0"/>
                    <w:rPr>
                      <w:i/>
                    </w:rPr>
                  </w:pPr>
                  <w:r>
                    <w:rPr>
                      <w:i/>
                      <w:iCs/>
                    </w:rPr>
                    <w:t>Day-Ahead Self-Arranged Responsive Reserve Quantity per QSE</w:t>
                  </w:r>
                  <w:r>
                    <w:rPr>
                      <w:iCs/>
                    </w:rPr>
                    <w:t xml:space="preserve">—The self-arranged RRS quantity submitted by QSE </w:t>
                  </w:r>
                  <w:r>
                    <w:rPr>
                      <w:i/>
                      <w:iCs/>
                    </w:rPr>
                    <w:t>q</w:t>
                  </w:r>
                  <w:r>
                    <w:rPr>
                      <w:iCs/>
                    </w:rPr>
                    <w:t xml:space="preserve"> before 1000 in the DAM for the Operating Hour.</w:t>
                  </w:r>
                </w:p>
              </w:tc>
            </w:tr>
            <w:tr w:rsidR="00BA2684" w14:paraId="1077DE5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45B0248" w14:textId="77777777" w:rsidR="00BA2684" w:rsidRDefault="00BA2684" w:rsidP="00BA2684">
                  <w:pPr>
                    <w:pStyle w:val="tablebody0"/>
                  </w:pPr>
                  <w:r>
                    <w:t>RRTP</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7273682F"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070BFB8" w14:textId="6EE77B80" w:rsidR="00BA2684" w:rsidRDefault="00BA2684" w:rsidP="00BA2684">
                  <w:pPr>
                    <w:pStyle w:val="tablebody0"/>
                    <w:rPr>
                      <w:i/>
                    </w:rPr>
                  </w:pPr>
                  <w:r>
                    <w:rPr>
                      <w:i/>
                    </w:rPr>
                    <w:t>Trade Purchases for Responsive Reserve for the QSE</w:t>
                  </w:r>
                  <w:r>
                    <w:rPr>
                      <w:i/>
                      <w:szCs w:val="18"/>
                    </w:rPr>
                    <w:t>—</w:t>
                  </w:r>
                  <w:r>
                    <w:rPr>
                      <w:szCs w:val="18"/>
                    </w:rPr>
                    <w:t xml:space="preserve">The trade purchases for QSE </w:t>
                  </w:r>
                  <w:r>
                    <w:rPr>
                      <w:i/>
                      <w:szCs w:val="18"/>
                    </w:rPr>
                    <w:t>q</w:t>
                  </w:r>
                  <w:r>
                    <w:rPr>
                      <w:szCs w:val="18"/>
                    </w:rPr>
                    <w:t xml:space="preserve"> for RRS for the Operating Hour.</w:t>
                  </w:r>
                </w:p>
              </w:tc>
            </w:tr>
            <w:tr w:rsidR="00BA2684" w14:paraId="0F3929E5"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19AA4E5" w14:textId="77777777" w:rsidR="00BA2684" w:rsidRDefault="00BA2684" w:rsidP="00BA2684">
                  <w:pPr>
                    <w:pStyle w:val="tablebody0"/>
                  </w:pPr>
                  <w:r>
                    <w:t xml:space="preserve">RRTS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4B4E2DA"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A6F69C3" w14:textId="4CB9EA12" w:rsidR="00BA2684" w:rsidRDefault="00BA2684" w:rsidP="00BA2684">
                  <w:pPr>
                    <w:pStyle w:val="tablebody0"/>
                    <w:rPr>
                      <w:i/>
                    </w:rPr>
                  </w:pPr>
                  <w:r>
                    <w:rPr>
                      <w:i/>
                    </w:rPr>
                    <w:t>Trade Sales for Responsive Reserve for the QSE</w:t>
                  </w:r>
                  <w:r>
                    <w:rPr>
                      <w:i/>
                      <w:szCs w:val="18"/>
                    </w:rPr>
                    <w:t>—</w:t>
                  </w:r>
                  <w:r>
                    <w:rPr>
                      <w:szCs w:val="18"/>
                    </w:rPr>
                    <w:t xml:space="preserve">The trade sales for QSE </w:t>
                  </w:r>
                  <w:r>
                    <w:rPr>
                      <w:i/>
                      <w:szCs w:val="18"/>
                    </w:rPr>
                    <w:t>q</w:t>
                  </w:r>
                  <w:r>
                    <w:rPr>
                      <w:szCs w:val="18"/>
                    </w:rPr>
                    <w:t xml:space="preserve"> for RRS for the Operating Hour.</w:t>
                  </w:r>
                </w:p>
              </w:tc>
            </w:tr>
            <w:tr w:rsidR="00BA2684" w14:paraId="6C96F9DB"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1F08F7AE" w14:textId="77777777" w:rsidR="00BA2684" w:rsidRDefault="00BA2684" w:rsidP="00BA2684">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36129E9C" w14:textId="77777777" w:rsidR="00BA2684" w:rsidRDefault="00BA2684" w:rsidP="00BA2684">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035B9CB2" w14:textId="701C50E6" w:rsidR="00BA2684" w:rsidRDefault="00BA2684" w:rsidP="00BA2684">
                  <w:pPr>
                    <w:pStyle w:val="tablebody0"/>
                    <w:rPr>
                      <w:i/>
                    </w:rPr>
                  </w:pPr>
                  <w:r>
                    <w:rPr>
                      <w:i/>
                      <w:iCs/>
                    </w:rPr>
                    <w:t xml:space="preserve">Duration of </w:t>
                  </w:r>
                  <w:r>
                    <w:rPr>
                      <w:i/>
                    </w:rPr>
                    <w:t>SCED</w:t>
                  </w:r>
                  <w:r>
                    <w:rPr>
                      <w:i/>
                      <w:iCs/>
                    </w:rPr>
                    <w:t xml:space="preserve"> interval per interval</w:t>
                  </w:r>
                  <w:r w:rsidR="00A168E9" w:rsidRPr="00A552C3">
                    <w:rPr>
                      <w:iCs/>
                    </w:rPr>
                    <w:t>—</w:t>
                  </w:r>
                  <w:r>
                    <w:t xml:space="preserve">The duration of the SCED interval </w:t>
                  </w:r>
                  <w:r>
                    <w:rPr>
                      <w:i/>
                      <w:iCs/>
                    </w:rPr>
                    <w:t>y</w:t>
                  </w:r>
                  <w:r>
                    <w:t>.</w:t>
                  </w:r>
                </w:p>
              </w:tc>
            </w:tr>
            <w:tr w:rsidR="00BA2684" w14:paraId="0F4A21B5"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6FC324D" w14:textId="77777777" w:rsidR="00BA2684" w:rsidRDefault="00BA2684" w:rsidP="00BA2684">
                  <w:pPr>
                    <w:pStyle w:val="tablebody0"/>
                  </w:pPr>
                  <w:r>
                    <w:lastRenderedPageBreak/>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4422BBF8"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391E6A6" w14:textId="3C4DE81D" w:rsidR="00BA2684" w:rsidRDefault="00BA2684" w:rsidP="00BA2684">
                  <w:pPr>
                    <w:pStyle w:val="tablebody0"/>
                    <w:rPr>
                      <w:i/>
                    </w:rPr>
                  </w:pPr>
                  <w:r>
                    <w:rPr>
                      <w:i/>
                    </w:rPr>
                    <w:t>Resource Node Weighting Factor per interval</w:t>
                  </w:r>
                  <w:r w:rsidR="005E5CA0" w:rsidRPr="00A552C3">
                    <w:rPr>
                      <w:iCs/>
                    </w:rPr>
                    <w:t>—</w:t>
                  </w:r>
                  <w:r>
                    <w:t xml:space="preserve">The weight used in the Ancillary Service award calculation for the portion of the SCED interval </w:t>
                  </w:r>
                  <w:r w:rsidRPr="00DA6215">
                    <w:rPr>
                      <w:i/>
                      <w:iCs/>
                    </w:rPr>
                    <w:t>y</w:t>
                  </w:r>
                  <w:r>
                    <w:t xml:space="preserve"> within the Settlement Interval.</w:t>
                  </w:r>
                </w:p>
              </w:tc>
            </w:tr>
            <w:tr w:rsidR="00BA2684" w14:paraId="45D0839C"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29FBE776" w14:textId="176EB0C1" w:rsidR="00BA2684" w:rsidRDefault="00BA2684" w:rsidP="00BA2684">
                  <w:pPr>
                    <w:pStyle w:val="tablebody0"/>
                  </w:pPr>
                  <w:r>
                    <w:t xml:space="preserve">RRRWF </w:t>
                  </w:r>
                  <w:r>
                    <w:rPr>
                      <w:i/>
                      <w:vertAlign w:val="subscript"/>
                    </w:rPr>
                    <w:t>q, r, y</w:t>
                  </w:r>
                </w:p>
              </w:tc>
              <w:tc>
                <w:tcPr>
                  <w:tcW w:w="623" w:type="pct"/>
                  <w:tcBorders>
                    <w:top w:val="single" w:sz="4" w:space="0" w:color="auto"/>
                    <w:left w:val="single" w:sz="4" w:space="0" w:color="auto"/>
                    <w:bottom w:val="single" w:sz="4" w:space="0" w:color="auto"/>
                    <w:right w:val="single" w:sz="4" w:space="0" w:color="auto"/>
                  </w:tcBorders>
                  <w:hideMark/>
                </w:tcPr>
                <w:p w14:paraId="3FEB5104"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18FD44E" w14:textId="6D61F255" w:rsidR="00BA2684" w:rsidRDefault="00BA2684" w:rsidP="00BA2684">
                  <w:pPr>
                    <w:pStyle w:val="tablebody0"/>
                    <w:rPr>
                      <w:i/>
                    </w:rPr>
                  </w:pPr>
                  <w:r>
                    <w:rPr>
                      <w:i/>
                    </w:rPr>
                    <w:t>Responsive Reserve Resource Node Weighting Factor per interval</w:t>
                  </w:r>
                  <w:r w:rsidR="006D707E" w:rsidRPr="00A552C3">
                    <w:rPr>
                      <w:iCs/>
                    </w:rPr>
                    <w:t>—</w:t>
                  </w:r>
                  <w:r>
                    <w:t xml:space="preserve">The RRS Resource weight, based on RRS awards, used in the Real-Time MCPC calculation for the portion of the SCED interval </w:t>
                  </w:r>
                  <w:r w:rsidRPr="00221A13">
                    <w:rPr>
                      <w:i/>
                    </w:rPr>
                    <w:t>y</w:t>
                  </w:r>
                  <w:r>
                    <w:t xml:space="preserve"> within the Settlement Interval.  Where for a Combined Cycle Train, the Resource </w:t>
                  </w:r>
                  <w:r>
                    <w:rPr>
                      <w:i/>
                    </w:rPr>
                    <w:t xml:space="preserve">r </w:t>
                  </w:r>
                  <w:r>
                    <w:t xml:space="preserve">is a Combined Cycle Generation Resource within the Combined Cycle Train.   </w:t>
                  </w:r>
                </w:p>
              </w:tc>
            </w:tr>
            <w:tr w:rsidR="00BA2684" w14:paraId="7655DD68"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B55D841" w14:textId="77777777" w:rsidR="00BA2684" w:rsidRDefault="00BA2684" w:rsidP="00BA2684">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5756149F"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C61FDE4" w14:textId="77777777" w:rsidR="00BA2684" w:rsidRDefault="00BA2684" w:rsidP="00BA2684">
                  <w:pPr>
                    <w:pStyle w:val="tablebody0"/>
                    <w:rPr>
                      <w:i/>
                    </w:rPr>
                  </w:pPr>
                  <w:r>
                    <w:t>A Resource.</w:t>
                  </w:r>
                </w:p>
              </w:tc>
            </w:tr>
            <w:tr w:rsidR="00BA2684" w14:paraId="31EAFF20"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571BC6DB" w14:textId="77777777" w:rsidR="00BA2684" w:rsidRDefault="00BA2684" w:rsidP="00BA2684">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5FA8A4EF"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63CC5BCF" w14:textId="77777777" w:rsidR="00BA2684" w:rsidRDefault="00BA2684" w:rsidP="00BA2684">
                  <w:pPr>
                    <w:pStyle w:val="tablebody0"/>
                  </w:pPr>
                  <w:r>
                    <w:t>A QSE.</w:t>
                  </w:r>
                </w:p>
              </w:tc>
            </w:tr>
            <w:tr w:rsidR="00BA2684" w14:paraId="04667AF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1F4A29D2" w14:textId="77777777" w:rsidR="00BA2684" w:rsidRDefault="00BA2684" w:rsidP="00BA2684">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7B3323CB"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3F12006" w14:textId="77777777" w:rsidR="00BA2684" w:rsidRDefault="00BA2684" w:rsidP="00BA2684">
                  <w:pPr>
                    <w:pStyle w:val="tablebody0"/>
                  </w:pPr>
                  <w:r>
                    <w:t>A SCED interval in the 15-minute Settlement Interval.</w:t>
                  </w:r>
                </w:p>
              </w:tc>
            </w:tr>
          </w:tbl>
          <w:p w14:paraId="7D7B7351" w14:textId="77777777" w:rsidR="00BA2684" w:rsidRDefault="00BA2684" w:rsidP="00BA2684">
            <w:pPr>
              <w:spacing w:before="240" w:after="240"/>
            </w:pPr>
            <w:r>
              <w:t>(2)</w:t>
            </w:r>
            <w:r>
              <w:tab/>
              <w:t>RRS Only Charge:</w:t>
            </w:r>
          </w:p>
          <w:p w14:paraId="0403F340" w14:textId="77777777" w:rsidR="00BA2684" w:rsidRDefault="00BA2684" w:rsidP="00BA2684">
            <w:pPr>
              <w:pStyle w:val="FormulaBold"/>
            </w:pPr>
            <w:r>
              <w:t>RTRROAMT</w:t>
            </w:r>
            <w:r>
              <w:rPr>
                <w:i/>
                <w:vertAlign w:val="subscript"/>
              </w:rPr>
              <w:t xml:space="preserve"> q  </w:t>
            </w:r>
            <w:r>
              <w:t xml:space="preserve">= </w:t>
            </w:r>
            <w:r>
              <w:tab/>
              <w:t xml:space="preserve">(1/4) * DARROAWD </w:t>
            </w:r>
            <w:r>
              <w:rPr>
                <w:i/>
                <w:vertAlign w:val="subscript"/>
              </w:rPr>
              <w:t>q</w:t>
            </w:r>
            <w:r>
              <w:t xml:space="preserve"> * RTMCPCRR</w:t>
            </w:r>
          </w:p>
          <w:p w14:paraId="26978570" w14:textId="77777777" w:rsidR="00BA2684" w:rsidRDefault="00BA2684" w:rsidP="00BA2684">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BA2684" w14:paraId="62EA2508" w14:textId="77777777" w:rsidTr="00BA2684">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1DE6F374" w14:textId="77777777" w:rsidR="00BA2684" w:rsidRDefault="00BA2684" w:rsidP="00BA2684">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401673D8" w14:textId="77777777" w:rsidR="00BA2684" w:rsidRDefault="00BA2684" w:rsidP="00BA2684">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386702FB" w14:textId="77777777" w:rsidR="00BA2684" w:rsidRDefault="00BA2684" w:rsidP="00BA2684">
                  <w:pPr>
                    <w:pStyle w:val="TableHead"/>
                  </w:pPr>
                  <w:r>
                    <w:t>Description</w:t>
                  </w:r>
                </w:p>
              </w:tc>
            </w:tr>
            <w:tr w:rsidR="00BA2684" w14:paraId="2A79238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B9B998B" w14:textId="77777777" w:rsidR="00BA2684" w:rsidRDefault="00BA2684" w:rsidP="00BA2684">
                  <w:pPr>
                    <w:pStyle w:val="tablebody0"/>
                  </w:pPr>
                  <w:r>
                    <w:t xml:space="preserve">RTRROAMT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B5E4A15"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5B4CC046" w14:textId="3D8AC951" w:rsidR="00BA2684" w:rsidRDefault="00BA2684" w:rsidP="00BA2684">
                  <w:pPr>
                    <w:pStyle w:val="tablebody0"/>
                    <w:rPr>
                      <w:i/>
                    </w:rPr>
                  </w:pPr>
                  <w:r>
                    <w:rPr>
                      <w:i/>
                    </w:rPr>
                    <w:t>Real-Time Responsive Reserve Only Amount for the QSE</w:t>
                  </w:r>
                  <w:r>
                    <w:t xml:space="preserve">—The total charge to QSE </w:t>
                  </w:r>
                  <w:r>
                    <w:rPr>
                      <w:i/>
                    </w:rPr>
                    <w:t>q</w:t>
                  </w:r>
                  <w:r>
                    <w:t xml:space="preserve"> in Real-Time for RRS only awards for each 15-minute Settlement Interval.</w:t>
                  </w:r>
                </w:p>
              </w:tc>
            </w:tr>
            <w:tr w:rsidR="00BA2684" w14:paraId="47B7098C"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0455EE88" w14:textId="77777777" w:rsidR="00BA2684" w:rsidRDefault="00BA2684" w:rsidP="00BA2684">
                  <w:pPr>
                    <w:pStyle w:val="tablebody0"/>
                  </w:pPr>
                  <w:r>
                    <w:t xml:space="preserve">DARROAWD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FAC991E"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B7AF933" w14:textId="5FBB4904" w:rsidR="00BA2684" w:rsidRDefault="00BA2684" w:rsidP="00BA2684">
                  <w:pPr>
                    <w:pStyle w:val="tablebody0"/>
                    <w:rPr>
                      <w:i/>
                    </w:rPr>
                  </w:pPr>
                  <w:r>
                    <w:rPr>
                      <w:i/>
                    </w:rPr>
                    <w:t>Day-Ahead Responsive Reserve Only Award for the QSE</w:t>
                  </w:r>
                  <w:r>
                    <w:sym w:font="Symbol" w:char="F0BE"/>
                  </w:r>
                  <w:r>
                    <w:t xml:space="preserve">The RRS only capacity awarded in the DAM to the QSE </w:t>
                  </w:r>
                  <w:r>
                    <w:rPr>
                      <w:i/>
                    </w:rPr>
                    <w:t>q</w:t>
                  </w:r>
                  <w:r>
                    <w:t xml:space="preserve"> for the </w:t>
                  </w:r>
                  <w:r>
                    <w:rPr>
                      <w:szCs w:val="18"/>
                    </w:rPr>
                    <w:t>Operating Hour</w:t>
                  </w:r>
                  <w:r>
                    <w:t>.</w:t>
                  </w:r>
                </w:p>
              </w:tc>
            </w:tr>
            <w:tr w:rsidR="00BA2684" w14:paraId="1A95A769" w14:textId="77777777" w:rsidTr="00BA2684">
              <w:trPr>
                <w:cantSplit/>
              </w:trPr>
              <w:tc>
                <w:tcPr>
                  <w:tcW w:w="1279" w:type="pct"/>
                  <w:tcBorders>
                    <w:top w:val="single" w:sz="4" w:space="0" w:color="auto"/>
                    <w:left w:val="single" w:sz="4" w:space="0" w:color="auto"/>
                    <w:bottom w:val="single" w:sz="4" w:space="0" w:color="auto"/>
                    <w:right w:val="single" w:sz="4" w:space="0" w:color="auto"/>
                  </w:tcBorders>
                </w:tcPr>
                <w:p w14:paraId="53F6088A" w14:textId="77777777" w:rsidR="00BA2684" w:rsidRDefault="00BA2684" w:rsidP="00BA2684">
                  <w:pPr>
                    <w:pStyle w:val="tablebody0"/>
                  </w:pPr>
                  <w:r>
                    <w:t>RTMCPCRR</w:t>
                  </w:r>
                </w:p>
                <w:p w14:paraId="20B27751" w14:textId="77777777" w:rsidR="00BA2684" w:rsidRDefault="00BA2684" w:rsidP="00BA2684">
                  <w:pPr>
                    <w:pStyle w:val="tablebody0"/>
                  </w:pPr>
                </w:p>
              </w:tc>
              <w:tc>
                <w:tcPr>
                  <w:tcW w:w="623" w:type="pct"/>
                  <w:tcBorders>
                    <w:top w:val="single" w:sz="4" w:space="0" w:color="auto"/>
                    <w:left w:val="single" w:sz="4" w:space="0" w:color="auto"/>
                    <w:bottom w:val="single" w:sz="4" w:space="0" w:color="auto"/>
                    <w:right w:val="single" w:sz="4" w:space="0" w:color="auto"/>
                  </w:tcBorders>
                  <w:hideMark/>
                </w:tcPr>
                <w:p w14:paraId="79982874"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D54D5A9" w14:textId="132F803F" w:rsidR="00BA2684" w:rsidRDefault="00BA2684" w:rsidP="008B3E08">
                  <w:pPr>
                    <w:pStyle w:val="tablebody0"/>
                    <w:rPr>
                      <w:i/>
                    </w:rPr>
                  </w:pPr>
                  <w:r>
                    <w:rPr>
                      <w:i/>
                    </w:rPr>
                    <w:t>Real-Time Market Clearing Price for Capacity for Responsive Reserve</w:t>
                  </w:r>
                  <w:r w:rsidR="00DA4057" w:rsidRPr="00A552C3">
                    <w:rPr>
                      <w:iCs/>
                    </w:rPr>
                    <w:t>—</w:t>
                  </w:r>
                  <w:r>
                    <w:t>The Real-Time MCPC for RRS for the 15-minute Settlement Interval.</w:t>
                  </w:r>
                </w:p>
              </w:tc>
            </w:tr>
            <w:tr w:rsidR="00BA2684" w14:paraId="39451D89"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A443A03" w14:textId="77777777" w:rsidR="00BA2684" w:rsidRDefault="00BA2684" w:rsidP="00BA2684">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2672813F"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1D526FB" w14:textId="77777777" w:rsidR="00BA2684" w:rsidRDefault="00BA2684" w:rsidP="00BA2684">
                  <w:pPr>
                    <w:pStyle w:val="tablebody0"/>
                  </w:pPr>
                  <w:r>
                    <w:t>A QSE.</w:t>
                  </w:r>
                </w:p>
              </w:tc>
            </w:tr>
          </w:tbl>
          <w:p w14:paraId="2B8AED02" w14:textId="77777777" w:rsidR="00BA2684" w:rsidRDefault="00BA2684" w:rsidP="00BA2684">
            <w:pPr>
              <w:spacing w:before="240" w:after="240"/>
              <w:rPr>
                <w:i/>
                <w:iCs/>
              </w:rPr>
            </w:pPr>
            <w:r>
              <w:t>(3)</w:t>
            </w:r>
            <w:r>
              <w:tab/>
              <w:t xml:space="preserve">RRS Trade Overage Charge: </w:t>
            </w:r>
          </w:p>
          <w:p w14:paraId="0BB33035" w14:textId="77777777" w:rsidR="00BA2684" w:rsidRDefault="00BA2684" w:rsidP="00BA2684">
            <w:pPr>
              <w:pStyle w:val="FormulaBold"/>
            </w:pPr>
            <w:r>
              <w:t>RTRRTOAMT</w:t>
            </w:r>
            <w:r>
              <w:rPr>
                <w:i/>
                <w:vertAlign w:val="subscript"/>
              </w:rPr>
              <w:t xml:space="preserve"> q  </w:t>
            </w:r>
            <w:r>
              <w:t xml:space="preserve">= </w:t>
            </w:r>
            <w:r>
              <w:tab/>
              <w:t xml:space="preserve">(1/4) * RTRRTO </w:t>
            </w:r>
            <w:r>
              <w:rPr>
                <w:i/>
                <w:vertAlign w:val="subscript"/>
              </w:rPr>
              <w:t>q</w:t>
            </w:r>
            <w:r>
              <w:t xml:space="preserve"> * RTMCPCRR</w:t>
            </w:r>
          </w:p>
          <w:p w14:paraId="744D29DB" w14:textId="77777777" w:rsidR="00BA2684" w:rsidRDefault="00BA2684" w:rsidP="00BA2684">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BA2684" w14:paraId="60A6B66C" w14:textId="77777777" w:rsidTr="00BA2684">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4F4BB723" w14:textId="77777777" w:rsidR="00BA2684" w:rsidRDefault="00BA2684" w:rsidP="00BA2684">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26BD87DE" w14:textId="77777777" w:rsidR="00BA2684" w:rsidRDefault="00BA2684" w:rsidP="00BA2684">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5012146F" w14:textId="77777777" w:rsidR="00BA2684" w:rsidRDefault="00BA2684" w:rsidP="00BA2684">
                  <w:pPr>
                    <w:pStyle w:val="TableHead"/>
                  </w:pPr>
                  <w:r>
                    <w:t>Description</w:t>
                  </w:r>
                </w:p>
              </w:tc>
            </w:tr>
            <w:tr w:rsidR="00BA2684" w14:paraId="4C5D98E3"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6B12DBD" w14:textId="77777777" w:rsidR="00BA2684" w:rsidRDefault="00BA2684" w:rsidP="00BA2684">
                  <w:pPr>
                    <w:pStyle w:val="tablebody0"/>
                  </w:pPr>
                  <w:r>
                    <w:t xml:space="preserve">RTRRTOAMT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634AA11"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D6D1223" w14:textId="51111C6B" w:rsidR="00BA2684" w:rsidRDefault="00BA2684" w:rsidP="00BA2684">
                  <w:pPr>
                    <w:pStyle w:val="tablebody0"/>
                    <w:rPr>
                      <w:i/>
                    </w:rPr>
                  </w:pPr>
                  <w:r>
                    <w:rPr>
                      <w:i/>
                    </w:rPr>
                    <w:t>Real-Time Responsive Reserve Trade Overage Amount for the QSE</w:t>
                  </w:r>
                  <w:r>
                    <w:t xml:space="preserve">—The total charge to QSE </w:t>
                  </w:r>
                  <w:r>
                    <w:rPr>
                      <w:i/>
                    </w:rPr>
                    <w:t>q</w:t>
                  </w:r>
                  <w:r>
                    <w:t xml:space="preserve"> in Real-Time for RRS trade overages for each 15-minute Settlement Interval.</w:t>
                  </w:r>
                </w:p>
              </w:tc>
            </w:tr>
            <w:tr w:rsidR="00BA2684" w14:paraId="36E0A007"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3DBF23F1" w14:textId="77777777" w:rsidR="00BA2684" w:rsidRDefault="00BA2684" w:rsidP="00BA2684">
                  <w:pPr>
                    <w:pStyle w:val="tablebody0"/>
                  </w:pPr>
                  <w:r>
                    <w:t xml:space="preserve">RTRRTO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8D2A878"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495EE37" w14:textId="20655B76" w:rsidR="00BA2684" w:rsidRDefault="00BA2684" w:rsidP="00BA2684">
                  <w:pPr>
                    <w:pStyle w:val="tablebody0"/>
                  </w:pPr>
                  <w:r>
                    <w:rPr>
                      <w:i/>
                    </w:rPr>
                    <w:t>Real-Time Responsive Reserve Trade Overage for the QSE</w:t>
                  </w:r>
                  <w:r>
                    <w:sym w:font="Symbol" w:char="F0BE"/>
                  </w:r>
                  <w:r>
                    <w:t xml:space="preserve">The quantity of submitted RRS trades in excess of their DAM self-arrangement quantity for the QSE </w:t>
                  </w:r>
                  <w:r>
                    <w:rPr>
                      <w:i/>
                    </w:rPr>
                    <w:t>q</w:t>
                  </w:r>
                  <w:r>
                    <w:t xml:space="preserve"> for the </w:t>
                  </w:r>
                  <w:r>
                    <w:rPr>
                      <w:szCs w:val="18"/>
                    </w:rPr>
                    <w:t>Operating Hour</w:t>
                  </w:r>
                  <w:r>
                    <w:t>.</w:t>
                  </w:r>
                </w:p>
              </w:tc>
            </w:tr>
            <w:tr w:rsidR="00BA2684" w14:paraId="1074A96D" w14:textId="77777777" w:rsidTr="00BA2684">
              <w:trPr>
                <w:cantSplit/>
              </w:trPr>
              <w:tc>
                <w:tcPr>
                  <w:tcW w:w="1279" w:type="pct"/>
                  <w:tcBorders>
                    <w:top w:val="single" w:sz="4" w:space="0" w:color="auto"/>
                    <w:left w:val="single" w:sz="4" w:space="0" w:color="auto"/>
                    <w:bottom w:val="single" w:sz="4" w:space="0" w:color="auto"/>
                    <w:right w:val="single" w:sz="4" w:space="0" w:color="auto"/>
                  </w:tcBorders>
                </w:tcPr>
                <w:p w14:paraId="626803AF" w14:textId="77777777" w:rsidR="00BA2684" w:rsidRDefault="00BA2684" w:rsidP="00BA2684">
                  <w:pPr>
                    <w:pStyle w:val="tablebody0"/>
                  </w:pPr>
                  <w:r>
                    <w:t>RTMCPCRR</w:t>
                  </w:r>
                </w:p>
                <w:p w14:paraId="4B6233EE" w14:textId="77777777" w:rsidR="00BA2684" w:rsidRDefault="00BA2684" w:rsidP="00BA2684">
                  <w:pPr>
                    <w:pStyle w:val="tablebody0"/>
                  </w:pPr>
                </w:p>
              </w:tc>
              <w:tc>
                <w:tcPr>
                  <w:tcW w:w="623" w:type="pct"/>
                  <w:tcBorders>
                    <w:top w:val="single" w:sz="4" w:space="0" w:color="auto"/>
                    <w:left w:val="single" w:sz="4" w:space="0" w:color="auto"/>
                    <w:bottom w:val="single" w:sz="4" w:space="0" w:color="auto"/>
                    <w:right w:val="single" w:sz="4" w:space="0" w:color="auto"/>
                  </w:tcBorders>
                  <w:hideMark/>
                </w:tcPr>
                <w:p w14:paraId="116F05C2"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B3CA436" w14:textId="72355A1F" w:rsidR="00BA2684" w:rsidRDefault="00BA2684" w:rsidP="00BA2684">
                  <w:pPr>
                    <w:pStyle w:val="tablebody0"/>
                    <w:rPr>
                      <w:i/>
                    </w:rPr>
                  </w:pPr>
                  <w:r>
                    <w:rPr>
                      <w:i/>
                    </w:rPr>
                    <w:t>Real-Time Market Clearing Price for Capacity for Responsive Reserve</w:t>
                  </w:r>
                  <w:r w:rsidR="009C6688" w:rsidRPr="00A552C3">
                    <w:rPr>
                      <w:iCs/>
                    </w:rPr>
                    <w:t>—</w:t>
                  </w:r>
                  <w:r>
                    <w:t>The Real-Time MCPC for RRS for the 15-minute Settlement Interval.</w:t>
                  </w:r>
                </w:p>
              </w:tc>
            </w:tr>
            <w:tr w:rsidR="00BA2684" w14:paraId="4327778A"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6946D2C" w14:textId="77777777" w:rsidR="00BA2684" w:rsidRDefault="00BA2684" w:rsidP="00BA2684">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672D2220"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9830A1B" w14:textId="77777777" w:rsidR="00BA2684" w:rsidRDefault="00BA2684" w:rsidP="00BA2684">
                  <w:pPr>
                    <w:pStyle w:val="tablebody0"/>
                  </w:pPr>
                  <w:r>
                    <w:t>A QSE.</w:t>
                  </w:r>
                </w:p>
              </w:tc>
            </w:tr>
          </w:tbl>
          <w:p w14:paraId="23365098" w14:textId="1403758C" w:rsidR="008871B2" w:rsidRPr="008871B2" w:rsidRDefault="008871B2" w:rsidP="001138B9">
            <w:pPr>
              <w:keepNext/>
              <w:tabs>
                <w:tab w:val="left" w:pos="1080"/>
              </w:tabs>
              <w:spacing w:before="480" w:after="240"/>
              <w:outlineLvl w:val="2"/>
              <w:rPr>
                <w:b/>
                <w:bCs/>
                <w:i/>
              </w:rPr>
            </w:pPr>
          </w:p>
        </w:tc>
      </w:tr>
    </w:tbl>
    <w:p w14:paraId="2EF1C5C1"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72D4AC10" w14:textId="77777777" w:rsidTr="001138B9">
        <w:trPr>
          <w:trHeight w:val="206"/>
        </w:trPr>
        <w:tc>
          <w:tcPr>
            <w:tcW w:w="9350" w:type="dxa"/>
            <w:shd w:val="pct12" w:color="auto" w:fill="auto"/>
          </w:tcPr>
          <w:p w14:paraId="0C3C3D2E" w14:textId="3D3AA05F" w:rsidR="008871B2" w:rsidRDefault="008871B2" w:rsidP="001138B9">
            <w:pPr>
              <w:pStyle w:val="Instructions"/>
              <w:spacing w:before="120"/>
            </w:pPr>
            <w:r>
              <w:lastRenderedPageBreak/>
              <w:t>[NPRR1010</w:t>
            </w:r>
            <w:r w:rsidR="00857818">
              <w:t xml:space="preserve"> and NPRR1245</w:t>
            </w:r>
            <w:r>
              <w:t>:  Insert Section 6.7.5.5 below upon system implementation of the Real-Time Co-Optimization (RTC) project:]</w:t>
            </w:r>
          </w:p>
          <w:p w14:paraId="5CBB80BB" w14:textId="77777777" w:rsidR="00771428" w:rsidRDefault="00771428" w:rsidP="00771428">
            <w:pPr>
              <w:pStyle w:val="H4"/>
              <w:spacing w:before="480"/>
            </w:pPr>
            <w:bookmarkStart w:id="2802" w:name="_Toc204411754"/>
            <w:r>
              <w:t>6.7.5.5</w:t>
            </w:r>
            <w:r>
              <w:tab/>
              <w:t>Non-Spinning Reserve Service Payments and Charges</w:t>
            </w:r>
            <w:bookmarkEnd w:id="2802"/>
          </w:p>
          <w:p w14:paraId="20466193" w14:textId="6B5303BA" w:rsidR="00771428" w:rsidRDefault="00771428" w:rsidP="00771428">
            <w:r>
              <w:t>(1)</w:t>
            </w:r>
            <w:r>
              <w:tab/>
              <w:t>Non-Spin Imbalance Payment or Charge:</w:t>
            </w:r>
          </w:p>
          <w:p w14:paraId="471A08F6" w14:textId="54A3D010" w:rsidR="00771428" w:rsidRDefault="00771428" w:rsidP="00771428">
            <w:pPr>
              <w:pStyle w:val="FormulaBold"/>
            </w:pPr>
            <w:r>
              <w:t>RTNSIMBAMT</w:t>
            </w:r>
            <w:r>
              <w:rPr>
                <w:i/>
                <w:vertAlign w:val="subscript"/>
              </w:rPr>
              <w:t xml:space="preserve"> q  </w:t>
            </w:r>
            <w:r>
              <w:t xml:space="preserve">= </w:t>
            </w:r>
            <w:r>
              <w:tab/>
              <w:t>(-1) * [</w:t>
            </w:r>
            <w:r>
              <w:rPr>
                <w:position w:val="-18"/>
              </w:rPr>
              <w:object w:dxaOrig="285" w:dyaOrig="570" w14:anchorId="27725E43">
                <v:shape id="_x0000_i1411" type="#_x0000_t75" style="width:12pt;height:30pt" o:ole="">
                  <v:imagedata r:id="rId159" o:title=""/>
                </v:shape>
                <o:OLEObject Type="Embed" ProgID="Equation.3" ShapeID="_x0000_i1411" DrawAspect="Content" ObjectID="_1815025599" r:id="rId503"/>
              </w:object>
            </w:r>
            <w:r>
              <w:t>[</w:t>
            </w:r>
            <w:r>
              <w:rPr>
                <w:rStyle w:val="BodyTextChar"/>
              </w:rPr>
              <w:t xml:space="preserve">RTNSREV </w:t>
            </w:r>
            <w:r>
              <w:rPr>
                <w:i/>
                <w:vertAlign w:val="subscript"/>
              </w:rPr>
              <w:t xml:space="preserve">q, r </w:t>
            </w:r>
            <w:r>
              <w:t>– (1/4) * (PCNSR</w:t>
            </w:r>
            <w:r>
              <w:rPr>
                <w:i/>
              </w:rPr>
              <w:t xml:space="preserve"> </w:t>
            </w:r>
            <w:r>
              <w:rPr>
                <w:i/>
                <w:vertAlign w:val="subscript"/>
              </w:rPr>
              <w:t>r, q, DAM</w:t>
            </w:r>
            <w:r>
              <w:t xml:space="preserve"> * RTMCPCNS)] – (1/4) * (DASANSQ </w:t>
            </w:r>
            <w:r>
              <w:rPr>
                <w:i/>
                <w:vertAlign w:val="subscript"/>
              </w:rPr>
              <w:t>q</w:t>
            </w:r>
            <w:r>
              <w:t xml:space="preserve"> * RTMCPCNS) + (1/4) * (NSTP </w:t>
            </w:r>
            <w:r>
              <w:rPr>
                <w:i/>
                <w:vertAlign w:val="subscript"/>
              </w:rPr>
              <w:t>q</w:t>
            </w:r>
            <w:r>
              <w:t xml:space="preserve"> – NSTS </w:t>
            </w:r>
            <w:r>
              <w:rPr>
                <w:i/>
                <w:vertAlign w:val="subscript"/>
              </w:rPr>
              <w:t>q</w:t>
            </w:r>
            <w:r>
              <w:t>) * RTMCPCNS]</w:t>
            </w:r>
          </w:p>
          <w:p w14:paraId="4CD6A6EC" w14:textId="77777777" w:rsidR="00771428" w:rsidRDefault="00771428" w:rsidP="00771428">
            <w:pPr>
              <w:pStyle w:val="FormulaBold"/>
            </w:pPr>
            <w:r>
              <w:t xml:space="preserve">Where:   </w:t>
            </w:r>
          </w:p>
          <w:p w14:paraId="61CE989A" w14:textId="77777777" w:rsidR="00771428" w:rsidRDefault="00771428" w:rsidP="00771428">
            <w:pPr>
              <w:pStyle w:val="FormulaBold"/>
            </w:pPr>
            <w:r>
              <w:rPr>
                <w:rStyle w:val="BodyTextChar"/>
              </w:rPr>
              <w:t xml:space="preserve">RTNSREV </w:t>
            </w:r>
            <w:r>
              <w:rPr>
                <w:i/>
                <w:vertAlign w:val="subscript"/>
              </w:rPr>
              <w:t xml:space="preserve">q, r </w:t>
            </w:r>
            <w:r>
              <w:rPr>
                <w:i/>
              </w:rPr>
              <w:t xml:space="preserve"> =     </w:t>
            </w:r>
            <w:r>
              <w:t>(1/4) * RTNSAWD</w:t>
            </w:r>
            <w:r>
              <w:rPr>
                <w:i/>
                <w:vertAlign w:val="subscript"/>
              </w:rPr>
              <w:t xml:space="preserve"> q, r</w:t>
            </w:r>
            <w:r>
              <w:t xml:space="preserve"> * RTMCPCNSR </w:t>
            </w:r>
            <w:r>
              <w:rPr>
                <w:i/>
                <w:vertAlign w:val="subscript"/>
              </w:rPr>
              <w:t>q, r</w:t>
            </w:r>
          </w:p>
          <w:p w14:paraId="4DC1493A" w14:textId="0B5961F9" w:rsidR="00771428" w:rsidRDefault="00771428" w:rsidP="00771428">
            <w:pPr>
              <w:pStyle w:val="FormulaBold"/>
            </w:pPr>
            <w:r>
              <w:t xml:space="preserve">RTMCPCNSR </w:t>
            </w:r>
            <w:r>
              <w:rPr>
                <w:i/>
                <w:vertAlign w:val="subscript"/>
              </w:rPr>
              <w:t>q, r</w:t>
            </w:r>
            <w:r>
              <w:rPr>
                <w:i/>
              </w:rPr>
              <w:t xml:space="preserve"> = </w:t>
            </w:r>
            <w:r w:rsidR="00936E32">
              <w:rPr>
                <w:position w:val="-22"/>
              </w:rPr>
              <w:object w:dxaOrig="285" w:dyaOrig="285" w14:anchorId="6996F62C">
                <v:shape id="_x0000_i1412" type="#_x0000_t75" style="width:30pt;height:30pt" o:ole="">
                  <v:imagedata r:id="rId22" o:title=""/>
                </v:shape>
                <o:OLEObject Type="Embed" ProgID="Equation.3" ShapeID="_x0000_i1412" DrawAspect="Content" ObjectID="_1815025600" r:id="rId504"/>
              </w:object>
            </w:r>
            <w:r>
              <w:t xml:space="preserve"> (NSRWF</w:t>
            </w:r>
            <w:r>
              <w:rPr>
                <w:i/>
                <w:vertAlign w:val="subscript"/>
              </w:rPr>
              <w:t xml:space="preserve"> q, r, y</w:t>
            </w:r>
            <w:r>
              <w:t xml:space="preserve"> * (RTMCPCNSS</w:t>
            </w:r>
            <w:r>
              <w:rPr>
                <w:i/>
                <w:vertAlign w:val="subscript"/>
              </w:rPr>
              <w:t xml:space="preserve"> y</w:t>
            </w:r>
            <w:r>
              <w:t xml:space="preserve"> + RTRDPANSS </w:t>
            </w:r>
            <w:r>
              <w:rPr>
                <w:i/>
                <w:vertAlign w:val="subscript"/>
              </w:rPr>
              <w:t>y</w:t>
            </w:r>
            <w:r>
              <w:t>))</w:t>
            </w:r>
          </w:p>
          <w:p w14:paraId="0B230486" w14:textId="2D19526B" w:rsidR="00771428" w:rsidRDefault="00771428" w:rsidP="00771428">
            <w:pPr>
              <w:pStyle w:val="FormulaBold"/>
              <w:rPr>
                <w:i/>
                <w:vertAlign w:val="subscript"/>
              </w:rPr>
            </w:pPr>
            <w:r>
              <w:t>RTNSAWD</w:t>
            </w:r>
            <w:r>
              <w:rPr>
                <w:i/>
                <w:vertAlign w:val="subscript"/>
              </w:rPr>
              <w:t xml:space="preserve"> q, r  </w:t>
            </w:r>
            <w:r>
              <w:tab/>
              <w:t xml:space="preserve">=  </w:t>
            </w:r>
            <w:r w:rsidR="00936E32">
              <w:rPr>
                <w:position w:val="-22"/>
              </w:rPr>
              <w:object w:dxaOrig="285" w:dyaOrig="285" w14:anchorId="5F6EDAE9">
                <v:shape id="_x0000_i1413" type="#_x0000_t75" style="width:30pt;height:30pt" o:ole="">
                  <v:imagedata r:id="rId22" o:title=""/>
                </v:shape>
                <o:OLEObject Type="Embed" ProgID="Equation.3" ShapeID="_x0000_i1413" DrawAspect="Content" ObjectID="_1815025601" r:id="rId505"/>
              </w:object>
            </w:r>
            <w:r>
              <w:t xml:space="preserve"> (RNWF </w:t>
            </w:r>
            <w:r>
              <w:rPr>
                <w:i/>
                <w:vertAlign w:val="subscript"/>
              </w:rPr>
              <w:t>y</w:t>
            </w:r>
            <w:r>
              <w:rPr>
                <w:vertAlign w:val="subscript"/>
              </w:rPr>
              <w:t xml:space="preserve"> </w:t>
            </w:r>
            <w:r>
              <w:t>* RTNSAWDS</w:t>
            </w:r>
            <w:r>
              <w:rPr>
                <w:i/>
                <w:vertAlign w:val="subscript"/>
              </w:rPr>
              <w:t xml:space="preserve"> q, r, y</w:t>
            </w:r>
            <w:r>
              <w:t>)</w:t>
            </w:r>
          </w:p>
          <w:p w14:paraId="597142F9" w14:textId="77777777" w:rsidR="00771428" w:rsidRDefault="00771428" w:rsidP="00771428">
            <w:pPr>
              <w:pStyle w:val="FormulaBold"/>
            </w:pPr>
            <w:r>
              <w:t>Where:</w:t>
            </w:r>
          </w:p>
          <w:p w14:paraId="6923306F" w14:textId="23CFDD8C" w:rsidR="00771428" w:rsidRDefault="00771428" w:rsidP="00771428">
            <w:pPr>
              <w:pStyle w:val="NoSpacing"/>
              <w:spacing w:after="240"/>
              <w:ind w:left="720"/>
            </w:pPr>
            <w:r>
              <w:t>NSRWF</w:t>
            </w:r>
            <w:r>
              <w:rPr>
                <w:i/>
                <w:vertAlign w:val="subscript"/>
              </w:rPr>
              <w:t xml:space="preserve"> q, r, y</w:t>
            </w:r>
            <w:r>
              <w:rPr>
                <w:vertAlign w:val="subscript"/>
              </w:rPr>
              <w:t xml:space="preserve">   </w:t>
            </w:r>
            <w:r>
              <w:t>=  [max(0.001, RTNSAWDS</w:t>
            </w:r>
            <w:r>
              <w:rPr>
                <w:i/>
                <w:vertAlign w:val="subscript"/>
              </w:rPr>
              <w:t xml:space="preserve"> q, r, y</w:t>
            </w:r>
            <w:r>
              <w:t>) * TLMP</w:t>
            </w:r>
            <w:r>
              <w:rPr>
                <w:i/>
                <w:vertAlign w:val="subscript"/>
              </w:rPr>
              <w:t xml:space="preserve"> y</w:t>
            </w:r>
            <w:r>
              <w:t>] / [</w:t>
            </w:r>
            <w:r w:rsidR="00936E32">
              <w:rPr>
                <w:b/>
                <w:position w:val="-22"/>
              </w:rPr>
              <w:object w:dxaOrig="285" w:dyaOrig="285" w14:anchorId="3AD1102F">
                <v:shape id="_x0000_i1414" type="#_x0000_t75" style="width:24.6pt;height:24.6pt" o:ole="">
                  <v:imagedata r:id="rId22" o:title=""/>
                </v:shape>
                <o:OLEObject Type="Embed" ProgID="Equation.3" ShapeID="_x0000_i1414" DrawAspect="Content" ObjectID="_1815025602" r:id="rId506"/>
              </w:object>
            </w:r>
            <w:r>
              <w:t>max(0.001,</w:t>
            </w:r>
          </w:p>
          <w:p w14:paraId="0605F456" w14:textId="67952F7F" w:rsidR="00771428" w:rsidRDefault="00771428" w:rsidP="00771428">
            <w:pPr>
              <w:pStyle w:val="NoSpacing"/>
              <w:spacing w:after="240"/>
              <w:rPr>
                <w:vertAlign w:val="subscript"/>
              </w:rPr>
            </w:pPr>
            <w:r>
              <w:t xml:space="preserve">  </w:t>
            </w:r>
            <w:r>
              <w:tab/>
            </w:r>
            <w:r>
              <w:tab/>
            </w:r>
            <w:r>
              <w:tab/>
              <w:t xml:space="preserve">      RTNSAWDS</w:t>
            </w:r>
            <w:r>
              <w:rPr>
                <w:i/>
                <w:vertAlign w:val="subscript"/>
              </w:rPr>
              <w:t xml:space="preserve"> q, r, y</w:t>
            </w:r>
            <w:r>
              <w:t>) * TLMP</w:t>
            </w:r>
            <w:r>
              <w:rPr>
                <w:i/>
                <w:vertAlign w:val="subscript"/>
              </w:rPr>
              <w:t xml:space="preserve"> y</w:t>
            </w:r>
            <w:r>
              <w:t>]</w:t>
            </w:r>
            <w:r>
              <w:rPr>
                <w:vertAlign w:val="subscript"/>
              </w:rPr>
              <w:t xml:space="preserve"> </w:t>
            </w:r>
          </w:p>
          <w:p w14:paraId="2D7B2AD6" w14:textId="77777777" w:rsidR="00771428" w:rsidRDefault="00771428" w:rsidP="00771428">
            <w:pPr>
              <w:pStyle w:val="FormulaBold"/>
            </w:pPr>
            <w:r>
              <w:t>And:</w:t>
            </w:r>
          </w:p>
          <w:p w14:paraId="692711EE" w14:textId="55AF4266" w:rsidR="00771428" w:rsidRDefault="00771428" w:rsidP="00771428">
            <w:pPr>
              <w:spacing w:after="240"/>
              <w:ind w:firstLine="720"/>
              <w:rPr>
                <w:i/>
                <w:vertAlign w:val="subscript"/>
              </w:rPr>
            </w:pPr>
            <w:r>
              <w:t xml:space="preserve">RNWF </w:t>
            </w:r>
            <w:r>
              <w:rPr>
                <w:i/>
                <w:vertAlign w:val="subscript"/>
              </w:rPr>
              <w:t xml:space="preserve">y </w:t>
            </w:r>
            <w:r>
              <w:t>=</w:t>
            </w:r>
            <w:r>
              <w:tab/>
            </w:r>
            <w:r>
              <w:tab/>
              <w:t xml:space="preserve">TLMP </w:t>
            </w:r>
            <w:r>
              <w:rPr>
                <w:i/>
                <w:vertAlign w:val="subscript"/>
              </w:rPr>
              <w:t>y</w:t>
            </w:r>
            <w:r>
              <w:t xml:space="preserve"> </w:t>
            </w:r>
            <w:r>
              <w:rPr>
                <w:color w:val="000000"/>
                <w:sz w:val="32"/>
                <w:szCs w:val="32"/>
              </w:rPr>
              <w:t>/</w:t>
            </w:r>
            <w:r>
              <w:rPr>
                <w:color w:val="000000"/>
              </w:rPr>
              <w:t xml:space="preserve"> </w:t>
            </w:r>
            <w:r w:rsidR="00936E32">
              <w:rPr>
                <w:position w:val="-22"/>
                <w:szCs w:val="24"/>
              </w:rPr>
              <w:object w:dxaOrig="285" w:dyaOrig="285" w14:anchorId="0166B85D">
                <v:shape id="_x0000_i1415" type="#_x0000_t75" style="width:24.6pt;height:24.6pt" o:ole="">
                  <v:imagedata r:id="rId22" o:title=""/>
                </v:shape>
                <o:OLEObject Type="Embed" ProgID="Equation.3" ShapeID="_x0000_i1415" DrawAspect="Content" ObjectID="_1815025603" r:id="rId507"/>
              </w:object>
            </w:r>
            <w:r>
              <w:t xml:space="preserve">TLMP </w:t>
            </w:r>
            <w:r>
              <w:rPr>
                <w:i/>
                <w:vertAlign w:val="subscript"/>
              </w:rPr>
              <w:t>y</w:t>
            </w:r>
          </w:p>
          <w:p w14:paraId="1AE7CE86" w14:textId="77777777" w:rsidR="00771428" w:rsidRDefault="00771428" w:rsidP="00771428">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71428" w14:paraId="70FA2377" w14:textId="77777777" w:rsidTr="00771428">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49EAB635" w14:textId="77777777" w:rsidR="00771428" w:rsidRDefault="00771428" w:rsidP="00771428">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4C5CECB0" w14:textId="77777777" w:rsidR="00771428" w:rsidRDefault="00771428" w:rsidP="00771428">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23F1092F" w14:textId="77777777" w:rsidR="00771428" w:rsidRDefault="00771428" w:rsidP="00771428">
                  <w:pPr>
                    <w:pStyle w:val="TableHead"/>
                  </w:pPr>
                  <w:r>
                    <w:t>Description</w:t>
                  </w:r>
                </w:p>
              </w:tc>
            </w:tr>
            <w:tr w:rsidR="00771428" w14:paraId="6BA55300"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472F92CD" w14:textId="77777777" w:rsidR="00771428" w:rsidRDefault="00771428" w:rsidP="00771428">
                  <w:pPr>
                    <w:pStyle w:val="tablebody0"/>
                  </w:pPr>
                  <w:r>
                    <w:t xml:space="preserve">RTNSIMBAMT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71FA502"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6409EBBB" w14:textId="1FC4155D" w:rsidR="00771428" w:rsidRDefault="00771428" w:rsidP="00771428">
                  <w:pPr>
                    <w:pStyle w:val="tablebody0"/>
                    <w:rPr>
                      <w:i/>
                    </w:rPr>
                  </w:pPr>
                  <w:r>
                    <w:rPr>
                      <w:i/>
                    </w:rPr>
                    <w:t>Real-Time Non-Spin Imbalance Amount for the QSE</w:t>
                  </w:r>
                  <w:r>
                    <w:t xml:space="preserve">—The total payment or charge to QSE </w:t>
                  </w:r>
                  <w:r>
                    <w:rPr>
                      <w:i/>
                    </w:rPr>
                    <w:t>q</w:t>
                  </w:r>
                  <w:r>
                    <w:t xml:space="preserve"> for the Real-Time Non-Spin imbalance for each 15-minute Settlement Interval.</w:t>
                  </w:r>
                </w:p>
              </w:tc>
            </w:tr>
            <w:tr w:rsidR="00771428" w14:paraId="47E15DF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406E20AF" w14:textId="77777777" w:rsidR="00771428" w:rsidRDefault="00771428" w:rsidP="00771428">
                  <w:pPr>
                    <w:pStyle w:val="tablebody0"/>
                  </w:pPr>
                  <w:r>
                    <w:t>RTNSAWD</w:t>
                  </w:r>
                  <w:r>
                    <w:rPr>
                      <w:i/>
                      <w:vertAlign w:val="subscript"/>
                    </w:rPr>
                    <w:t xml:space="preserve"> q, r</w:t>
                  </w:r>
                </w:p>
              </w:tc>
              <w:tc>
                <w:tcPr>
                  <w:tcW w:w="623" w:type="pct"/>
                  <w:tcBorders>
                    <w:top w:val="single" w:sz="4" w:space="0" w:color="auto"/>
                    <w:left w:val="single" w:sz="4" w:space="0" w:color="auto"/>
                    <w:bottom w:val="single" w:sz="4" w:space="0" w:color="auto"/>
                    <w:right w:val="single" w:sz="4" w:space="0" w:color="auto"/>
                  </w:tcBorders>
                  <w:hideMark/>
                </w:tcPr>
                <w:p w14:paraId="5BE8B2D0"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920BC38" w14:textId="382EFC7A" w:rsidR="00771428" w:rsidRDefault="00771428" w:rsidP="00771428">
                  <w:pPr>
                    <w:pStyle w:val="tablebody0"/>
                    <w:rPr>
                      <w:i/>
                    </w:rPr>
                  </w:pPr>
                  <w:r>
                    <w:rPr>
                      <w:i/>
                    </w:rPr>
                    <w:t>Real Time Non-Spin Award per Resource per QSE</w:t>
                  </w:r>
                  <w:r w:rsidR="00D90F6F" w:rsidRPr="00A552C3">
                    <w:rPr>
                      <w:iCs/>
                    </w:rPr>
                    <w:t>—</w:t>
                  </w:r>
                  <w:r>
                    <w:t xml:space="preserve">The Non-Spin amount awarded to QSE </w:t>
                  </w:r>
                  <w:r>
                    <w:rPr>
                      <w:i/>
                    </w:rPr>
                    <w:t>q</w:t>
                  </w:r>
                  <w:r>
                    <w:t xml:space="preserve"> for Resource </w:t>
                  </w:r>
                  <w:r>
                    <w:rPr>
                      <w:i/>
                    </w:rPr>
                    <w:t>r</w:t>
                  </w:r>
                  <w:r>
                    <w:t xml:space="preserve"> in Real-Time </w:t>
                  </w:r>
                  <w:r>
                    <w:rPr>
                      <w:szCs w:val="18"/>
                    </w:rPr>
                    <w:t xml:space="preserve">for the </w:t>
                  </w:r>
                  <w:r>
                    <w:t xml:space="preserve">15-minute Settlement Interval.  Where for a Combined Cycle Train, the Resource </w:t>
                  </w:r>
                  <w:r>
                    <w:rPr>
                      <w:i/>
                    </w:rPr>
                    <w:t xml:space="preserve">r </w:t>
                  </w:r>
                  <w:r>
                    <w:t>is the Combined Cycle Train.</w:t>
                  </w:r>
                </w:p>
              </w:tc>
            </w:tr>
            <w:tr w:rsidR="00771428" w14:paraId="0CBEAC5D"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BDF0B0D" w14:textId="77777777" w:rsidR="00771428" w:rsidRDefault="00771428" w:rsidP="00771428">
                  <w:pPr>
                    <w:pStyle w:val="tablebody0"/>
                  </w:pPr>
                  <w:r>
                    <w:t xml:space="preserve">RTNSREV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26B7B349"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065CEE2" w14:textId="495C7A48" w:rsidR="00771428" w:rsidRDefault="00771428" w:rsidP="00771428">
                  <w:pPr>
                    <w:pStyle w:val="tablebody0"/>
                    <w:rPr>
                      <w:i/>
                    </w:rPr>
                  </w:pPr>
                  <w:r>
                    <w:rPr>
                      <w:i/>
                    </w:rPr>
                    <w:t>Real-Time Non-Spin Revenue</w:t>
                  </w:r>
                  <w:r>
                    <w:t xml:space="preserve">—The Real-Time Non-Spin revenue for QSE </w:t>
                  </w:r>
                  <w:r>
                    <w:rPr>
                      <w:i/>
                    </w:rPr>
                    <w:t xml:space="preserve">q </w:t>
                  </w:r>
                  <w:r>
                    <w:t xml:space="preserve">calculated for Resource </w:t>
                  </w:r>
                  <w:r>
                    <w:rPr>
                      <w:i/>
                    </w:rPr>
                    <w:t>r</w:t>
                  </w:r>
                  <w:r>
                    <w:t xml:space="preserve"> for the 15-minute Settlement interval.  Where for a Combined Cycle Train, the Resource </w:t>
                  </w:r>
                  <w:r>
                    <w:rPr>
                      <w:i/>
                    </w:rPr>
                    <w:t>r</w:t>
                  </w:r>
                  <w:r>
                    <w:t xml:space="preserve"> is the Combined Cycle Train.</w:t>
                  </w:r>
                </w:p>
              </w:tc>
            </w:tr>
            <w:tr w:rsidR="00771428" w14:paraId="0804077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09E733CB" w14:textId="069AEABD" w:rsidR="00771428" w:rsidRDefault="00771428" w:rsidP="00771428">
                  <w:pPr>
                    <w:pStyle w:val="tablebody0"/>
                  </w:pPr>
                  <w:r>
                    <w:lastRenderedPageBreak/>
                    <w:t>RTNSAWDS</w:t>
                  </w:r>
                  <w:r>
                    <w:rPr>
                      <w:i/>
                      <w:vertAlign w:val="subscript"/>
                    </w:rPr>
                    <w:t xml:space="preserve"> q, r, y</w:t>
                  </w:r>
                </w:p>
              </w:tc>
              <w:tc>
                <w:tcPr>
                  <w:tcW w:w="623" w:type="pct"/>
                  <w:tcBorders>
                    <w:top w:val="single" w:sz="4" w:space="0" w:color="auto"/>
                    <w:left w:val="single" w:sz="4" w:space="0" w:color="auto"/>
                    <w:bottom w:val="single" w:sz="4" w:space="0" w:color="auto"/>
                    <w:right w:val="single" w:sz="4" w:space="0" w:color="auto"/>
                  </w:tcBorders>
                  <w:hideMark/>
                </w:tcPr>
                <w:p w14:paraId="05BABB95"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7BAE585" w14:textId="409A3E89" w:rsidR="00771428" w:rsidRDefault="00771428" w:rsidP="00771428">
                  <w:pPr>
                    <w:pStyle w:val="tablebody0"/>
                    <w:rPr>
                      <w:i/>
                    </w:rPr>
                  </w:pPr>
                  <w:r>
                    <w:rPr>
                      <w:i/>
                    </w:rPr>
                    <w:t>Real Time Non-Spin Award per Resource per QSE</w:t>
                  </w:r>
                  <w:r>
                    <w:t xml:space="preserve"> </w:t>
                  </w:r>
                  <w:r>
                    <w:rPr>
                      <w:i/>
                    </w:rPr>
                    <w:t>per SCED interval</w:t>
                  </w:r>
                  <w:r w:rsidR="002B1595" w:rsidRPr="00A552C3">
                    <w:rPr>
                      <w:iCs/>
                    </w:rPr>
                    <w:t>—</w:t>
                  </w:r>
                  <w:r>
                    <w:t xml:space="preserve">The Non-Spin Amount awarded to QSE </w:t>
                  </w:r>
                  <w:r>
                    <w:rPr>
                      <w:i/>
                    </w:rPr>
                    <w:t>q</w:t>
                  </w:r>
                  <w:r>
                    <w:t xml:space="preserve"> for Resource </w:t>
                  </w:r>
                  <w:r>
                    <w:rPr>
                      <w:i/>
                    </w:rPr>
                    <w:t>r</w:t>
                  </w:r>
                  <w:r>
                    <w:t xml:space="preserve"> in Real-Time 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771428" w14:paraId="2FD27FD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D9F4C81" w14:textId="2A7C0A77" w:rsidR="00771428" w:rsidRDefault="00771428" w:rsidP="00771428">
                  <w:pPr>
                    <w:pStyle w:val="tablebody0"/>
                  </w:pPr>
                  <w:r>
                    <w:t xml:space="preserve">RTMCPCNSR </w:t>
                  </w:r>
                  <w:r>
                    <w:rPr>
                      <w:i/>
                      <w:vertAlign w:val="subscript"/>
                    </w:rPr>
                    <w:t>q,</w:t>
                  </w:r>
                  <w:r w:rsidR="00F42313">
                    <w:rPr>
                      <w:i/>
                      <w:vertAlign w:val="subscript"/>
                    </w:rPr>
                    <w:t xml:space="preserve"> </w:t>
                  </w:r>
                  <w:r>
                    <w:rPr>
                      <w:i/>
                      <w:vertAlign w:val="subscript"/>
                    </w:rPr>
                    <w:t>r</w:t>
                  </w:r>
                </w:p>
              </w:tc>
              <w:tc>
                <w:tcPr>
                  <w:tcW w:w="623" w:type="pct"/>
                  <w:tcBorders>
                    <w:top w:val="single" w:sz="4" w:space="0" w:color="auto"/>
                    <w:left w:val="single" w:sz="4" w:space="0" w:color="auto"/>
                    <w:bottom w:val="single" w:sz="4" w:space="0" w:color="auto"/>
                    <w:right w:val="single" w:sz="4" w:space="0" w:color="auto"/>
                  </w:tcBorders>
                  <w:hideMark/>
                </w:tcPr>
                <w:p w14:paraId="0346B667"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AD0301C" w14:textId="072A4245" w:rsidR="00771428" w:rsidRDefault="00771428" w:rsidP="00771428">
                  <w:pPr>
                    <w:pStyle w:val="tablebody0"/>
                    <w:rPr>
                      <w:iCs/>
                    </w:rPr>
                  </w:pPr>
                  <w:r>
                    <w:rPr>
                      <w:i/>
                    </w:rPr>
                    <w:t>Real-Time Market Clearing Price for Capacity for Non-Spin per Resource per QSE</w:t>
                  </w:r>
                  <w:r>
                    <w:sym w:font="Symbol" w:char="F0BE"/>
                  </w:r>
                  <w:r>
                    <w:t xml:space="preserve">The Real-Time MCPC for Non-Spin for Resource </w:t>
                  </w:r>
                  <w:r>
                    <w:rPr>
                      <w:i/>
                    </w:rPr>
                    <w:t>r</w:t>
                  </w:r>
                  <w:r>
                    <w:t xml:space="preserve">, represented by QSE </w:t>
                  </w:r>
                  <w:r>
                    <w:rPr>
                      <w:i/>
                    </w:rPr>
                    <w:t xml:space="preserve">q </w:t>
                  </w:r>
                  <w:r>
                    <w:t xml:space="preserve">for the 15-minute Settlement Interval. </w:t>
                  </w:r>
                  <w:r w:rsidR="00221A13">
                    <w:t xml:space="preserve"> </w:t>
                  </w:r>
                  <w:r>
                    <w:t xml:space="preserve">Where for a Combined Cycle Train, the Resource </w:t>
                  </w:r>
                  <w:r>
                    <w:rPr>
                      <w:i/>
                    </w:rPr>
                    <w:t>r</w:t>
                  </w:r>
                  <w:r>
                    <w:t xml:space="preserve"> is the Combined Cycle Train.</w:t>
                  </w:r>
                </w:p>
              </w:tc>
            </w:tr>
            <w:tr w:rsidR="00771428" w14:paraId="6B7FD83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397F012B" w14:textId="77777777" w:rsidR="00771428" w:rsidRDefault="00771428" w:rsidP="00771428">
                  <w:pPr>
                    <w:pStyle w:val="tablebody0"/>
                  </w:pPr>
                  <w:r>
                    <w:t>RTMCPCNSS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585CB2F3"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749F66E" w14:textId="2CB7F498" w:rsidR="00771428" w:rsidRDefault="00771428" w:rsidP="00771428">
                  <w:pPr>
                    <w:pStyle w:val="tablebody0"/>
                    <w:rPr>
                      <w:i/>
                    </w:rPr>
                  </w:pPr>
                  <w:r>
                    <w:rPr>
                      <w:i/>
                    </w:rPr>
                    <w:t>Real-Time Market Clearing Price for Capacity for Non-Spin per SCED Interval</w:t>
                  </w:r>
                  <w:r w:rsidR="00F42313" w:rsidRPr="00A552C3">
                    <w:rPr>
                      <w:iCs/>
                    </w:rPr>
                    <w:t>—</w:t>
                  </w:r>
                  <w:r>
                    <w:t xml:space="preserve">The Real-Time MCPC for Non-Spin for the SCED interval </w:t>
                  </w:r>
                  <w:r>
                    <w:rPr>
                      <w:i/>
                    </w:rPr>
                    <w:t>y.</w:t>
                  </w:r>
                </w:p>
              </w:tc>
            </w:tr>
            <w:tr w:rsidR="00771428" w14:paraId="63F92B7C"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296925F" w14:textId="77777777" w:rsidR="00771428" w:rsidRDefault="00771428" w:rsidP="00771428">
                  <w:pPr>
                    <w:pStyle w:val="tablebody0"/>
                  </w:pPr>
                  <w:r>
                    <w:t xml:space="preserve">PCNSR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0579F8A5"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34472E9" w14:textId="77777777" w:rsidR="00771428" w:rsidRDefault="00771428" w:rsidP="00771428">
                  <w:pPr>
                    <w:pStyle w:val="tablebody0"/>
                    <w:rPr>
                      <w:i/>
                    </w:rPr>
                  </w:pPr>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r>
                    <w:rPr>
                      <w:szCs w:val="18"/>
                    </w:rPr>
                    <w:t>Operating Hour</w:t>
                  </w:r>
                  <w:r>
                    <w:t xml:space="preserve">.  Where for a Combined Cycle Train, the Resource </w:t>
                  </w:r>
                  <w:r>
                    <w:rPr>
                      <w:i/>
                    </w:rPr>
                    <w:t xml:space="preserve">r </w:t>
                  </w:r>
                  <w:r>
                    <w:t>is a Combined Cycle Generation Resource within the Combined Cycle Train.</w:t>
                  </w:r>
                </w:p>
              </w:tc>
            </w:tr>
            <w:tr w:rsidR="00771428" w14:paraId="24D57F2D"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690621E4" w14:textId="77777777" w:rsidR="00771428" w:rsidRDefault="00771428" w:rsidP="00771428">
                  <w:pPr>
                    <w:pStyle w:val="tablebody0"/>
                  </w:pPr>
                  <w:r>
                    <w:t>RTMCPCNS</w:t>
                  </w:r>
                </w:p>
              </w:tc>
              <w:tc>
                <w:tcPr>
                  <w:tcW w:w="623" w:type="pct"/>
                  <w:tcBorders>
                    <w:top w:val="single" w:sz="4" w:space="0" w:color="auto"/>
                    <w:left w:val="single" w:sz="4" w:space="0" w:color="auto"/>
                    <w:bottom w:val="single" w:sz="4" w:space="0" w:color="auto"/>
                    <w:right w:val="single" w:sz="4" w:space="0" w:color="auto"/>
                  </w:tcBorders>
                  <w:hideMark/>
                </w:tcPr>
                <w:p w14:paraId="2B4F0C9C"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2A37BEA" w14:textId="1D98F8E5" w:rsidR="00771428" w:rsidRDefault="00771428" w:rsidP="00771428">
                  <w:pPr>
                    <w:pStyle w:val="tablebody0"/>
                    <w:rPr>
                      <w:i/>
                    </w:rPr>
                  </w:pPr>
                  <w:r>
                    <w:rPr>
                      <w:i/>
                    </w:rPr>
                    <w:t>Real-Time Market Clearing Price for Capacity for Non-Spin</w:t>
                  </w:r>
                  <w:r w:rsidR="00E328B4" w:rsidRPr="00A552C3">
                    <w:rPr>
                      <w:iCs/>
                    </w:rPr>
                    <w:t>—</w:t>
                  </w:r>
                  <w:r>
                    <w:t>The Real-Time MCPC for Non-Spin for the 15-minute Settlement Interval.</w:t>
                  </w:r>
                </w:p>
              </w:tc>
            </w:tr>
            <w:tr w:rsidR="00771428" w14:paraId="6B91B87E"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D7C998C" w14:textId="77777777" w:rsidR="00771428" w:rsidRDefault="00771428" w:rsidP="00771428">
                  <w:pPr>
                    <w:pStyle w:val="tablebody0"/>
                  </w:pPr>
                  <w:r>
                    <w:t xml:space="preserve">RTRDPANSS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201B4C2E"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2463CA7" w14:textId="2797BE56" w:rsidR="00771428" w:rsidRDefault="00771428" w:rsidP="00771428">
                  <w:pPr>
                    <w:pStyle w:val="tablebody0"/>
                    <w:rPr>
                      <w:i/>
                    </w:rPr>
                  </w:pPr>
                  <w:r>
                    <w:rPr>
                      <w:i/>
                    </w:rPr>
                    <w:t>Real-Time Reliability Deployment Price Adder for Ancillary Service for Non-Spin per SCED interval</w:t>
                  </w:r>
                  <w:r w:rsidR="002B18C7" w:rsidRPr="00A552C3">
                    <w:rPr>
                      <w:iCs/>
                    </w:rPr>
                    <w:t>—</w:t>
                  </w:r>
                  <w:r>
                    <w:t xml:space="preserve">The Real-Time price adder for Non-Spin that captures the impact of reliability deployments on Non-Spin prices for the SCED interval </w:t>
                  </w:r>
                  <w:r>
                    <w:rPr>
                      <w:i/>
                    </w:rPr>
                    <w:t>y</w:t>
                  </w:r>
                  <w:r>
                    <w:t xml:space="preserve">. </w:t>
                  </w:r>
                </w:p>
              </w:tc>
            </w:tr>
            <w:tr w:rsidR="00771428" w14:paraId="10FDE1A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05FB435" w14:textId="77777777" w:rsidR="00771428" w:rsidRDefault="00771428" w:rsidP="00771428">
                  <w:pPr>
                    <w:pStyle w:val="tablebody0"/>
                  </w:pPr>
                  <w:r>
                    <w:t>DASANSQ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0291279B"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5A90A53" w14:textId="77777777" w:rsidR="00771428" w:rsidRDefault="00771428" w:rsidP="00771428">
                  <w:pPr>
                    <w:pStyle w:val="tablebody0"/>
                    <w:rPr>
                      <w:i/>
                    </w:rPr>
                  </w:pPr>
                  <w:r>
                    <w:rPr>
                      <w:i/>
                      <w:iCs/>
                    </w:rPr>
                    <w:t>Day-Ahead Self-Arranged Non-Spin Quantity per QSE</w:t>
                  </w:r>
                  <w:r>
                    <w:rPr>
                      <w:iCs/>
                    </w:rPr>
                    <w:t xml:space="preserve">—The self-arranged Non-Spin quantity submitted by QSE </w:t>
                  </w:r>
                  <w:r>
                    <w:rPr>
                      <w:i/>
                      <w:iCs/>
                    </w:rPr>
                    <w:t>q</w:t>
                  </w:r>
                  <w:r>
                    <w:rPr>
                      <w:iCs/>
                    </w:rPr>
                    <w:t xml:space="preserve"> before 1000 in the DAM for the Operating Hour.</w:t>
                  </w:r>
                </w:p>
              </w:tc>
            </w:tr>
            <w:tr w:rsidR="00771428" w14:paraId="5A2B0022"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76C6A9CB" w14:textId="77777777" w:rsidR="00771428" w:rsidRDefault="00771428" w:rsidP="00771428">
                  <w:pPr>
                    <w:pStyle w:val="tablebody0"/>
                  </w:pPr>
                  <w:r>
                    <w:t xml:space="preserve">NSTP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E6CC0B0"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D290829" w14:textId="2B8ABE13" w:rsidR="00771428" w:rsidRDefault="00771428" w:rsidP="00771428">
                  <w:pPr>
                    <w:pStyle w:val="tablebody0"/>
                    <w:rPr>
                      <w:i/>
                    </w:rPr>
                  </w:pPr>
                  <w:r>
                    <w:rPr>
                      <w:i/>
                    </w:rPr>
                    <w:t>Trade Purchases for Non-Spin for the QSE</w:t>
                  </w:r>
                  <w:r>
                    <w:t>—</w:t>
                  </w:r>
                  <w:r>
                    <w:rPr>
                      <w:szCs w:val="18"/>
                    </w:rPr>
                    <w:t xml:space="preserve">The trade purchases for QSE </w:t>
                  </w:r>
                  <w:r>
                    <w:rPr>
                      <w:i/>
                      <w:szCs w:val="18"/>
                    </w:rPr>
                    <w:t>q</w:t>
                  </w:r>
                  <w:r>
                    <w:rPr>
                      <w:szCs w:val="18"/>
                    </w:rPr>
                    <w:t xml:space="preserve"> for Non-Spin for the Operating Hour.</w:t>
                  </w:r>
                </w:p>
              </w:tc>
            </w:tr>
            <w:tr w:rsidR="00771428" w14:paraId="234624AE"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3EB10047" w14:textId="77777777" w:rsidR="00771428" w:rsidRDefault="00771428" w:rsidP="00771428">
                  <w:pPr>
                    <w:pStyle w:val="tablebody0"/>
                  </w:pPr>
                  <w:r>
                    <w:t xml:space="preserve">NSTS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7647B29"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4D5A5CA" w14:textId="283BEA98" w:rsidR="00771428" w:rsidRDefault="00771428" w:rsidP="00771428">
                  <w:pPr>
                    <w:pStyle w:val="tablebody0"/>
                    <w:rPr>
                      <w:i/>
                    </w:rPr>
                  </w:pPr>
                  <w:r>
                    <w:rPr>
                      <w:i/>
                      <w:szCs w:val="18"/>
                    </w:rPr>
                    <w:t>Trade Sales for Non-Spin for the QSE—</w:t>
                  </w:r>
                  <w:r>
                    <w:rPr>
                      <w:szCs w:val="18"/>
                    </w:rPr>
                    <w:t xml:space="preserve">The trade sales for QSE </w:t>
                  </w:r>
                  <w:r>
                    <w:rPr>
                      <w:i/>
                      <w:szCs w:val="18"/>
                    </w:rPr>
                    <w:t>q</w:t>
                  </w:r>
                  <w:r>
                    <w:rPr>
                      <w:szCs w:val="18"/>
                    </w:rPr>
                    <w:t xml:space="preserve"> for Non-Spin for the Operating Hour.</w:t>
                  </w:r>
                </w:p>
              </w:tc>
            </w:tr>
            <w:tr w:rsidR="00771428" w14:paraId="2A3427F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4F9E912" w14:textId="77777777" w:rsidR="00771428" w:rsidRDefault="00771428" w:rsidP="00771428">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126F4AC8" w14:textId="77777777" w:rsidR="00771428" w:rsidRDefault="00771428" w:rsidP="00771428">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52949C11" w14:textId="1EFCD250" w:rsidR="00771428" w:rsidRDefault="00771428" w:rsidP="00771428">
                  <w:pPr>
                    <w:pStyle w:val="tablebody0"/>
                    <w:rPr>
                      <w:i/>
                    </w:rPr>
                  </w:pPr>
                  <w:r>
                    <w:rPr>
                      <w:i/>
                      <w:iCs/>
                    </w:rPr>
                    <w:t xml:space="preserve">Duration of </w:t>
                  </w:r>
                  <w:r>
                    <w:rPr>
                      <w:i/>
                    </w:rPr>
                    <w:t>SCED</w:t>
                  </w:r>
                  <w:r>
                    <w:rPr>
                      <w:i/>
                      <w:iCs/>
                    </w:rPr>
                    <w:t xml:space="preserve"> interval per interval</w:t>
                  </w:r>
                  <w:r w:rsidR="00566800" w:rsidRPr="00A552C3">
                    <w:rPr>
                      <w:iCs/>
                    </w:rPr>
                    <w:t>—</w:t>
                  </w:r>
                  <w:r>
                    <w:t xml:space="preserve">The duration of the SCED interval </w:t>
                  </w:r>
                  <w:r>
                    <w:rPr>
                      <w:i/>
                      <w:iCs/>
                    </w:rPr>
                    <w:t>y</w:t>
                  </w:r>
                  <w:r>
                    <w:t>.</w:t>
                  </w:r>
                </w:p>
              </w:tc>
            </w:tr>
            <w:tr w:rsidR="00771428" w14:paraId="40AD1F14"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DEE2F3C" w14:textId="77777777" w:rsidR="00771428" w:rsidRDefault="00771428" w:rsidP="00771428">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2596D7FB"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26E88117" w14:textId="37446E89" w:rsidR="00771428" w:rsidRDefault="00771428" w:rsidP="00771428">
                  <w:pPr>
                    <w:pStyle w:val="tablebody0"/>
                    <w:rPr>
                      <w:i/>
                    </w:rPr>
                  </w:pPr>
                  <w:r>
                    <w:rPr>
                      <w:i/>
                    </w:rPr>
                    <w:t>Resource Node Weighting Factor per interval</w:t>
                  </w:r>
                  <w:r w:rsidR="00566800" w:rsidRPr="00A552C3">
                    <w:rPr>
                      <w:iCs/>
                    </w:rPr>
                    <w:t>—</w:t>
                  </w:r>
                  <w:r>
                    <w:t xml:space="preserve">The weight used in the Ancillary Service award calculation for the portion of the SCED interval </w:t>
                  </w:r>
                  <w:r w:rsidRPr="00DA6215">
                    <w:rPr>
                      <w:i/>
                      <w:iCs/>
                    </w:rPr>
                    <w:t>y</w:t>
                  </w:r>
                  <w:r>
                    <w:t xml:space="preserve"> within the Settlement Interval.</w:t>
                  </w:r>
                </w:p>
              </w:tc>
            </w:tr>
            <w:tr w:rsidR="00771428" w14:paraId="09B47BB5"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4C8E264B" w14:textId="326A103F" w:rsidR="00771428" w:rsidRDefault="00771428" w:rsidP="00771428">
                  <w:pPr>
                    <w:pStyle w:val="tablebody0"/>
                  </w:pPr>
                  <w:r>
                    <w:t xml:space="preserve">NSRWF </w:t>
                  </w:r>
                  <w:r>
                    <w:rPr>
                      <w:i/>
                      <w:vertAlign w:val="subscript"/>
                    </w:rPr>
                    <w:t>q, r, y</w:t>
                  </w:r>
                </w:p>
              </w:tc>
              <w:tc>
                <w:tcPr>
                  <w:tcW w:w="623" w:type="pct"/>
                  <w:tcBorders>
                    <w:top w:val="single" w:sz="4" w:space="0" w:color="auto"/>
                    <w:left w:val="single" w:sz="4" w:space="0" w:color="auto"/>
                    <w:bottom w:val="single" w:sz="4" w:space="0" w:color="auto"/>
                    <w:right w:val="single" w:sz="4" w:space="0" w:color="auto"/>
                  </w:tcBorders>
                  <w:hideMark/>
                </w:tcPr>
                <w:p w14:paraId="045FF7E5"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0B5CE33" w14:textId="5D7F4A8F" w:rsidR="00771428" w:rsidRDefault="00771428" w:rsidP="00771428">
                  <w:pPr>
                    <w:pStyle w:val="tablebody0"/>
                    <w:rPr>
                      <w:i/>
                    </w:rPr>
                  </w:pPr>
                  <w:r>
                    <w:rPr>
                      <w:i/>
                    </w:rPr>
                    <w:t>Non-Spin Resource Node Weighting Factor per interval</w:t>
                  </w:r>
                  <w:r w:rsidR="00566800" w:rsidRPr="00A552C3">
                    <w:rPr>
                      <w:iCs/>
                    </w:rPr>
                    <w:t>—</w:t>
                  </w:r>
                  <w:r>
                    <w:t xml:space="preserve">The Non-Spin Resource weight, based on Non-Spin awards, used in the Real-Time MCPC calculation for the portion of the SCED interval </w:t>
                  </w:r>
                  <w:r w:rsidRPr="00233C78">
                    <w:rPr>
                      <w:i/>
                    </w:rPr>
                    <w:t>y</w:t>
                  </w:r>
                  <w:r>
                    <w:t xml:space="preserve"> within the Settlement Interval</w:t>
                  </w:r>
                  <w:r>
                    <w:rPr>
                      <w:i/>
                    </w:rPr>
                    <w:t xml:space="preserve">.  </w:t>
                  </w:r>
                  <w:r>
                    <w:t xml:space="preserve">Where for a Combined Cycle Train, the Resource </w:t>
                  </w:r>
                  <w:r>
                    <w:rPr>
                      <w:i/>
                    </w:rPr>
                    <w:t xml:space="preserve">r </w:t>
                  </w:r>
                  <w:r>
                    <w:t xml:space="preserve">is a Combined Cycle Generation Resource within the Combined Cycle Train.   </w:t>
                  </w:r>
                </w:p>
              </w:tc>
            </w:tr>
            <w:tr w:rsidR="00771428" w14:paraId="3D1E6DE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6BFA87EC" w14:textId="77777777" w:rsidR="00771428" w:rsidRDefault="00771428" w:rsidP="00771428">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053D5948"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D96CC0A" w14:textId="77777777" w:rsidR="00771428" w:rsidRDefault="00771428" w:rsidP="00771428">
                  <w:pPr>
                    <w:pStyle w:val="tablebody0"/>
                    <w:rPr>
                      <w:i/>
                    </w:rPr>
                  </w:pPr>
                  <w:r>
                    <w:t>A Resource.</w:t>
                  </w:r>
                </w:p>
              </w:tc>
            </w:tr>
            <w:tr w:rsidR="00771428" w14:paraId="6DA0ED3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36B21B1" w14:textId="77777777" w:rsidR="00771428" w:rsidRDefault="00771428" w:rsidP="00771428">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4FF856EC"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52B6A7D" w14:textId="77777777" w:rsidR="00771428" w:rsidRDefault="00771428" w:rsidP="00771428">
                  <w:pPr>
                    <w:pStyle w:val="tablebody0"/>
                  </w:pPr>
                  <w:r>
                    <w:t>A QSE.</w:t>
                  </w:r>
                </w:p>
              </w:tc>
            </w:tr>
            <w:tr w:rsidR="00771428" w14:paraId="61017DD5"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1B92C79" w14:textId="77777777" w:rsidR="00771428" w:rsidRDefault="00771428" w:rsidP="00771428">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47EC0189"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403CDF8" w14:textId="77777777" w:rsidR="00771428" w:rsidRDefault="00771428" w:rsidP="00771428">
                  <w:pPr>
                    <w:pStyle w:val="tablebody0"/>
                  </w:pPr>
                  <w:r>
                    <w:t>A SCED interval in the 15-minute Settlement Interval.</w:t>
                  </w:r>
                </w:p>
              </w:tc>
            </w:tr>
          </w:tbl>
          <w:p w14:paraId="41B94525" w14:textId="77777777" w:rsidR="00771428" w:rsidRDefault="00771428" w:rsidP="00771428">
            <w:pPr>
              <w:spacing w:before="240" w:after="240"/>
            </w:pPr>
            <w:r>
              <w:t>(2)</w:t>
            </w:r>
            <w:r>
              <w:tab/>
              <w:t>Non-Spin Only Charge:</w:t>
            </w:r>
          </w:p>
          <w:p w14:paraId="7B9E6D70" w14:textId="77777777" w:rsidR="00771428" w:rsidRDefault="00771428" w:rsidP="00771428">
            <w:pPr>
              <w:pStyle w:val="FormulaBold"/>
            </w:pPr>
            <w:r>
              <w:lastRenderedPageBreak/>
              <w:t>RTNSOAMT</w:t>
            </w:r>
            <w:r>
              <w:rPr>
                <w:i/>
                <w:vertAlign w:val="subscript"/>
              </w:rPr>
              <w:t xml:space="preserve"> q  </w:t>
            </w:r>
            <w:r>
              <w:t xml:space="preserve">= </w:t>
            </w:r>
            <w:r>
              <w:tab/>
              <w:t xml:space="preserve">(1/4) * DANSOAWD </w:t>
            </w:r>
            <w:r>
              <w:rPr>
                <w:i/>
                <w:vertAlign w:val="subscript"/>
              </w:rPr>
              <w:t>q</w:t>
            </w:r>
            <w:r>
              <w:t xml:space="preserve"> * RTMCPCNS</w:t>
            </w:r>
          </w:p>
          <w:p w14:paraId="07D94918" w14:textId="77777777" w:rsidR="00771428" w:rsidRDefault="00771428" w:rsidP="00771428">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71428" w14:paraId="7BB97EB3" w14:textId="77777777" w:rsidTr="00771428">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5D5C44F" w14:textId="77777777" w:rsidR="00771428" w:rsidRDefault="00771428" w:rsidP="00771428">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64D8D314" w14:textId="77777777" w:rsidR="00771428" w:rsidRDefault="00771428" w:rsidP="00771428">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6D2691EF" w14:textId="77777777" w:rsidR="00771428" w:rsidRDefault="00771428" w:rsidP="00771428">
                  <w:pPr>
                    <w:pStyle w:val="TableHead"/>
                  </w:pPr>
                  <w:r>
                    <w:t>Description</w:t>
                  </w:r>
                </w:p>
              </w:tc>
            </w:tr>
            <w:tr w:rsidR="00771428" w14:paraId="5AC6FFC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63E830E" w14:textId="77777777" w:rsidR="00771428" w:rsidRDefault="00771428" w:rsidP="00771428">
                  <w:pPr>
                    <w:pStyle w:val="tablebody0"/>
                  </w:pPr>
                  <w:r>
                    <w:t xml:space="preserve">RTNSOAMT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77366475"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CB8DB6E" w14:textId="6613EC97" w:rsidR="00771428" w:rsidRDefault="00771428" w:rsidP="00771428">
                  <w:pPr>
                    <w:pStyle w:val="tablebody0"/>
                    <w:rPr>
                      <w:i/>
                    </w:rPr>
                  </w:pPr>
                  <w:r>
                    <w:rPr>
                      <w:i/>
                    </w:rPr>
                    <w:t>Real-Time Non-Spin Only Amount for the QSE</w:t>
                  </w:r>
                  <w:r>
                    <w:t xml:space="preserve">—The total charge to QSE </w:t>
                  </w:r>
                  <w:r>
                    <w:rPr>
                      <w:i/>
                    </w:rPr>
                    <w:t>q</w:t>
                  </w:r>
                  <w:r>
                    <w:t xml:space="preserve"> in Real-Time for Non-Spin only award for each 15-minute Settlement Interval.</w:t>
                  </w:r>
                </w:p>
              </w:tc>
            </w:tr>
            <w:tr w:rsidR="00771428" w14:paraId="505EC21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F4F2FAA" w14:textId="77777777" w:rsidR="00771428" w:rsidRDefault="00771428" w:rsidP="00771428">
                  <w:pPr>
                    <w:pStyle w:val="tablebody0"/>
                  </w:pPr>
                  <w:r>
                    <w:t xml:space="preserve">DANSOAWD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BE45357"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15E0E7E" w14:textId="256840D0" w:rsidR="00771428" w:rsidRDefault="00771428" w:rsidP="00771428">
                  <w:pPr>
                    <w:pStyle w:val="tablebody0"/>
                    <w:rPr>
                      <w:i/>
                    </w:rPr>
                  </w:pPr>
                  <w:r>
                    <w:rPr>
                      <w:i/>
                    </w:rPr>
                    <w:t>Day-Ahead Non-Spin Only Award for the QSE</w:t>
                  </w:r>
                  <w:r>
                    <w:sym w:font="Symbol" w:char="F0BE"/>
                  </w:r>
                  <w:r>
                    <w:t xml:space="preserve">The Non-Spin only capacity awarded in the DAM to the QSE </w:t>
                  </w:r>
                  <w:r>
                    <w:rPr>
                      <w:i/>
                    </w:rPr>
                    <w:t>q</w:t>
                  </w:r>
                  <w:r>
                    <w:t xml:space="preserve"> for the </w:t>
                  </w:r>
                  <w:r>
                    <w:rPr>
                      <w:szCs w:val="18"/>
                    </w:rPr>
                    <w:t>Operating Hour</w:t>
                  </w:r>
                  <w:r>
                    <w:t>.</w:t>
                  </w:r>
                </w:p>
              </w:tc>
            </w:tr>
            <w:tr w:rsidR="00771428" w14:paraId="4225757E"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E49407A" w14:textId="77777777" w:rsidR="00771428" w:rsidRDefault="00771428" w:rsidP="00771428">
                  <w:pPr>
                    <w:pStyle w:val="tablebody0"/>
                  </w:pPr>
                  <w:r>
                    <w:t>RTMCPCNS</w:t>
                  </w:r>
                </w:p>
              </w:tc>
              <w:tc>
                <w:tcPr>
                  <w:tcW w:w="623" w:type="pct"/>
                  <w:tcBorders>
                    <w:top w:val="single" w:sz="4" w:space="0" w:color="auto"/>
                    <w:left w:val="single" w:sz="4" w:space="0" w:color="auto"/>
                    <w:bottom w:val="single" w:sz="4" w:space="0" w:color="auto"/>
                    <w:right w:val="single" w:sz="4" w:space="0" w:color="auto"/>
                  </w:tcBorders>
                  <w:hideMark/>
                </w:tcPr>
                <w:p w14:paraId="3B3B6AC7"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17C21B1" w14:textId="3BE0F2F8" w:rsidR="00771428" w:rsidRDefault="00771428" w:rsidP="00771428">
                  <w:pPr>
                    <w:pStyle w:val="tablebody0"/>
                    <w:rPr>
                      <w:i/>
                    </w:rPr>
                  </w:pPr>
                  <w:r>
                    <w:rPr>
                      <w:i/>
                    </w:rPr>
                    <w:t>Real-Time Market Clearing Price for Capacity for Non-Spin</w:t>
                  </w:r>
                  <w:r w:rsidR="00566800" w:rsidRPr="00A552C3">
                    <w:rPr>
                      <w:iCs/>
                    </w:rPr>
                    <w:t>—</w:t>
                  </w:r>
                  <w:r>
                    <w:t>The Real-Time MCPC for Non-Spin for the 15-minute Settlement Interval.</w:t>
                  </w:r>
                </w:p>
              </w:tc>
            </w:tr>
            <w:tr w:rsidR="00771428" w14:paraId="2A004004"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321935B8" w14:textId="77777777" w:rsidR="00771428" w:rsidRDefault="00771428" w:rsidP="00771428">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0C2EB09C"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639FF33" w14:textId="77777777" w:rsidR="00771428" w:rsidRDefault="00771428" w:rsidP="00771428">
                  <w:pPr>
                    <w:pStyle w:val="tablebody0"/>
                  </w:pPr>
                  <w:r>
                    <w:t>A QSE.</w:t>
                  </w:r>
                </w:p>
              </w:tc>
            </w:tr>
          </w:tbl>
          <w:p w14:paraId="66A48FED" w14:textId="3FD5DDF9" w:rsidR="00771428" w:rsidRDefault="00771428" w:rsidP="00771428">
            <w:pPr>
              <w:spacing w:before="240" w:after="240"/>
            </w:pPr>
            <w:r>
              <w:t>(3)</w:t>
            </w:r>
            <w:r>
              <w:tab/>
              <w:t>Non-Spin Trade Overage Charge:</w:t>
            </w:r>
          </w:p>
          <w:p w14:paraId="523252F5" w14:textId="77777777" w:rsidR="00771428" w:rsidRDefault="00771428" w:rsidP="00771428">
            <w:pPr>
              <w:pStyle w:val="FormulaBold"/>
            </w:pPr>
            <w:r>
              <w:t>RTNSTOAMT</w:t>
            </w:r>
            <w:r>
              <w:rPr>
                <w:i/>
                <w:vertAlign w:val="subscript"/>
              </w:rPr>
              <w:t xml:space="preserve"> q  </w:t>
            </w:r>
            <w:r>
              <w:t xml:space="preserve">= </w:t>
            </w:r>
            <w:r>
              <w:tab/>
              <w:t xml:space="preserve">(1/4) * RTNSTO </w:t>
            </w:r>
            <w:r>
              <w:rPr>
                <w:i/>
                <w:vertAlign w:val="subscript"/>
              </w:rPr>
              <w:t>q</w:t>
            </w:r>
            <w:r>
              <w:t xml:space="preserve"> * RTMCPCRNS</w:t>
            </w:r>
          </w:p>
          <w:p w14:paraId="6FA5755D" w14:textId="77777777" w:rsidR="00771428" w:rsidRDefault="00771428" w:rsidP="0077142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71428" w14:paraId="7F4A31AA" w14:textId="77777777" w:rsidTr="00771428">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994745C" w14:textId="77777777" w:rsidR="00771428" w:rsidRDefault="00771428" w:rsidP="00771428">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0F40C5C4" w14:textId="77777777" w:rsidR="00771428" w:rsidRDefault="00771428" w:rsidP="00771428">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42EFA999" w14:textId="77777777" w:rsidR="00771428" w:rsidRDefault="00771428" w:rsidP="00771428">
                  <w:pPr>
                    <w:pStyle w:val="TableHead"/>
                  </w:pPr>
                  <w:r>
                    <w:t>Description</w:t>
                  </w:r>
                </w:p>
              </w:tc>
            </w:tr>
            <w:tr w:rsidR="00771428" w14:paraId="173CEAD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C6033DA" w14:textId="77777777" w:rsidR="00771428" w:rsidRDefault="00771428" w:rsidP="00771428">
                  <w:pPr>
                    <w:pStyle w:val="tablebody0"/>
                  </w:pPr>
                  <w:r>
                    <w:t xml:space="preserve">RTNSTOAMT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71B21E04"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593667E7" w14:textId="0AB1770C" w:rsidR="00771428" w:rsidRDefault="00771428" w:rsidP="00771428">
                  <w:pPr>
                    <w:pStyle w:val="tablebody0"/>
                    <w:rPr>
                      <w:i/>
                    </w:rPr>
                  </w:pPr>
                  <w:r>
                    <w:rPr>
                      <w:i/>
                    </w:rPr>
                    <w:t>Real-Time Non-Spin Trade Overage Amount for the QSE</w:t>
                  </w:r>
                  <w:r>
                    <w:t xml:space="preserve">—The total charge to QSE </w:t>
                  </w:r>
                  <w:r>
                    <w:rPr>
                      <w:i/>
                    </w:rPr>
                    <w:t>q</w:t>
                  </w:r>
                  <w:r>
                    <w:t xml:space="preserve"> in Real-Time for Non-Spin trade overages for each 15-minute Settlement Interval.</w:t>
                  </w:r>
                </w:p>
              </w:tc>
            </w:tr>
            <w:tr w:rsidR="00771428" w14:paraId="4D6058EF"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70A702F" w14:textId="77777777" w:rsidR="00771428" w:rsidRDefault="00771428" w:rsidP="00771428">
                  <w:pPr>
                    <w:pStyle w:val="tablebody0"/>
                  </w:pPr>
                  <w:r>
                    <w:t xml:space="preserve">RTNSTO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67E7D64"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D9D0F4A" w14:textId="6C7D491C" w:rsidR="00771428" w:rsidRDefault="00771428" w:rsidP="00771428">
                  <w:pPr>
                    <w:pStyle w:val="tablebody0"/>
                  </w:pPr>
                  <w:r>
                    <w:rPr>
                      <w:i/>
                    </w:rPr>
                    <w:t>Real-Time Non-Spin Trade Overage for the QSE</w:t>
                  </w:r>
                  <w:r>
                    <w:sym w:font="Symbol" w:char="F0BE"/>
                  </w:r>
                  <w:r>
                    <w:t xml:space="preserve">The quantity of submitted Non-Spin trades in excess of their DAM self-arrangement quantity for the QSE </w:t>
                  </w:r>
                  <w:r>
                    <w:rPr>
                      <w:i/>
                    </w:rPr>
                    <w:t>q</w:t>
                  </w:r>
                  <w:r>
                    <w:t xml:space="preserve"> for the </w:t>
                  </w:r>
                  <w:r>
                    <w:rPr>
                      <w:szCs w:val="18"/>
                    </w:rPr>
                    <w:t>Operating Hour</w:t>
                  </w:r>
                  <w:r>
                    <w:t>.</w:t>
                  </w:r>
                </w:p>
              </w:tc>
            </w:tr>
            <w:tr w:rsidR="00771428" w14:paraId="054C029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04409481" w14:textId="77777777" w:rsidR="00771428" w:rsidRDefault="00771428" w:rsidP="00771428">
                  <w:pPr>
                    <w:pStyle w:val="tablebody0"/>
                  </w:pPr>
                  <w:r>
                    <w:t>RTMCPCNS</w:t>
                  </w:r>
                </w:p>
              </w:tc>
              <w:tc>
                <w:tcPr>
                  <w:tcW w:w="623" w:type="pct"/>
                  <w:tcBorders>
                    <w:top w:val="single" w:sz="4" w:space="0" w:color="auto"/>
                    <w:left w:val="single" w:sz="4" w:space="0" w:color="auto"/>
                    <w:bottom w:val="single" w:sz="4" w:space="0" w:color="auto"/>
                    <w:right w:val="single" w:sz="4" w:space="0" w:color="auto"/>
                  </w:tcBorders>
                  <w:hideMark/>
                </w:tcPr>
                <w:p w14:paraId="3C8DDDDF"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9859904" w14:textId="59D9CD5B" w:rsidR="00771428" w:rsidRDefault="00771428" w:rsidP="00771428">
                  <w:pPr>
                    <w:pStyle w:val="tablebody0"/>
                    <w:rPr>
                      <w:i/>
                    </w:rPr>
                  </w:pPr>
                  <w:r>
                    <w:rPr>
                      <w:i/>
                    </w:rPr>
                    <w:t xml:space="preserve">Real-Time Market Clearing Price </w:t>
                  </w:r>
                  <w:r>
                    <w:rPr>
                      <w:bCs/>
                      <w:i/>
                      <w:lang w:val="pt-BR"/>
                    </w:rPr>
                    <w:t xml:space="preserve">for Capacity </w:t>
                  </w:r>
                  <w:r>
                    <w:rPr>
                      <w:i/>
                    </w:rPr>
                    <w:t>for Non-Spin</w:t>
                  </w:r>
                  <w:r w:rsidR="00566800" w:rsidRPr="00A552C3">
                    <w:rPr>
                      <w:iCs/>
                    </w:rPr>
                    <w:t>—</w:t>
                  </w:r>
                  <w:r>
                    <w:t>The Real-Time MCPC for Non-Spin for the 15-minute Settlement Interval.</w:t>
                  </w:r>
                </w:p>
              </w:tc>
            </w:tr>
            <w:tr w:rsidR="00771428" w14:paraId="49DD50E2"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00C80BF" w14:textId="77777777" w:rsidR="00771428" w:rsidRDefault="00771428" w:rsidP="00771428">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0AB3FF13"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64D2DA8" w14:textId="77777777" w:rsidR="00771428" w:rsidRDefault="00771428" w:rsidP="00771428">
                  <w:pPr>
                    <w:pStyle w:val="tablebody0"/>
                  </w:pPr>
                  <w:r>
                    <w:t>A QSE.</w:t>
                  </w:r>
                </w:p>
              </w:tc>
            </w:tr>
          </w:tbl>
          <w:p w14:paraId="7E03CCCC" w14:textId="2AA1BA2A" w:rsidR="008871B2" w:rsidRPr="008871B2" w:rsidRDefault="008871B2" w:rsidP="001138B9">
            <w:pPr>
              <w:keepNext/>
              <w:tabs>
                <w:tab w:val="left" w:pos="1080"/>
              </w:tabs>
              <w:spacing w:before="480" w:after="240"/>
              <w:outlineLvl w:val="2"/>
              <w:rPr>
                <w:b/>
                <w:bCs/>
                <w:i/>
              </w:rPr>
            </w:pPr>
          </w:p>
        </w:tc>
      </w:tr>
    </w:tbl>
    <w:p w14:paraId="63D9C8B0"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0ED24B0A" w14:textId="77777777" w:rsidTr="001138B9">
        <w:trPr>
          <w:trHeight w:val="206"/>
        </w:trPr>
        <w:tc>
          <w:tcPr>
            <w:tcW w:w="9350" w:type="dxa"/>
            <w:shd w:val="pct12" w:color="auto" w:fill="auto"/>
          </w:tcPr>
          <w:p w14:paraId="34F4F0EA" w14:textId="5531BCE4" w:rsidR="008871B2" w:rsidRDefault="008871B2" w:rsidP="001138B9">
            <w:pPr>
              <w:pStyle w:val="Instructions"/>
              <w:spacing w:before="120"/>
            </w:pPr>
            <w:r>
              <w:t>[NPRR1010</w:t>
            </w:r>
            <w:r w:rsidR="00857818">
              <w:t xml:space="preserve"> and NPRR1245</w:t>
            </w:r>
            <w:r>
              <w:t>:  Insert Section 6.7.5.6 below upon system implementation of the Real-Time Co-Optimization (RTC) project:]</w:t>
            </w:r>
          </w:p>
          <w:p w14:paraId="0B3694CF" w14:textId="77777777" w:rsidR="00CC5182" w:rsidRDefault="00CC5182" w:rsidP="00CC5182">
            <w:pPr>
              <w:pStyle w:val="H4"/>
              <w:spacing w:before="480"/>
            </w:pPr>
            <w:bookmarkStart w:id="2803" w:name="_Toc204411755"/>
            <w:r>
              <w:t>6.7.5.6</w:t>
            </w:r>
            <w:r>
              <w:tab/>
              <w:t>ERCOT Contingency Reserve Service Payments and Charges</w:t>
            </w:r>
            <w:bookmarkEnd w:id="2803"/>
          </w:p>
          <w:p w14:paraId="47F76F0A" w14:textId="77777777" w:rsidR="00CC5182" w:rsidRDefault="00CC5182" w:rsidP="00CC5182">
            <w:r>
              <w:t>(1)</w:t>
            </w:r>
            <w:r>
              <w:tab/>
              <w:t>ECRS Imbalance Payment or Charge:</w:t>
            </w:r>
          </w:p>
          <w:p w14:paraId="7A6BA20E" w14:textId="5652078A" w:rsidR="00CC5182" w:rsidRDefault="00CC5182" w:rsidP="00CC5182">
            <w:pPr>
              <w:pStyle w:val="FormulaBold"/>
              <w:ind w:left="2340" w:hanging="1620"/>
            </w:pPr>
            <w:r>
              <w:t>RTECRIMBAMT</w:t>
            </w:r>
            <w:r>
              <w:rPr>
                <w:i/>
                <w:vertAlign w:val="subscript"/>
              </w:rPr>
              <w:t xml:space="preserve"> q </w:t>
            </w:r>
            <w:r>
              <w:t>= (-1) * [</w:t>
            </w:r>
            <w:r>
              <w:rPr>
                <w:position w:val="-18"/>
              </w:rPr>
              <w:object w:dxaOrig="285" w:dyaOrig="570" w14:anchorId="7F822EF5">
                <v:shape id="_x0000_i1416" type="#_x0000_t75" style="width:12pt;height:30pt" o:ole="">
                  <v:imagedata r:id="rId159" o:title=""/>
                </v:shape>
                <o:OLEObject Type="Embed" ProgID="Equation.3" ShapeID="_x0000_i1416" DrawAspect="Content" ObjectID="_1815025604" r:id="rId508"/>
              </w:object>
            </w:r>
            <w:r>
              <w:t>[RTECRREV</w:t>
            </w:r>
            <w:r>
              <w:rPr>
                <w:i/>
                <w:vertAlign w:val="subscript"/>
              </w:rPr>
              <w:t xml:space="preserve">q, r </w:t>
            </w:r>
            <w:r>
              <w:t>– (1/4) * (PCECRR</w:t>
            </w:r>
            <w:r>
              <w:rPr>
                <w:i/>
              </w:rPr>
              <w:t xml:space="preserve"> </w:t>
            </w:r>
            <w:r>
              <w:rPr>
                <w:i/>
                <w:vertAlign w:val="subscript"/>
              </w:rPr>
              <w:t>r, q, DAM</w:t>
            </w:r>
            <w:r>
              <w:t xml:space="preserve"> *</w:t>
            </w:r>
          </w:p>
          <w:p w14:paraId="0E34E19C" w14:textId="77777777" w:rsidR="00CC5182" w:rsidRDefault="00CC5182" w:rsidP="00CC5182">
            <w:pPr>
              <w:pStyle w:val="FormulaBold"/>
              <w:ind w:left="2340" w:firstLine="270"/>
            </w:pPr>
            <w:r>
              <w:t xml:space="preserve">RTMCPCECR)] – (1/4) * (DASAECRQ </w:t>
            </w:r>
            <w:r>
              <w:rPr>
                <w:i/>
                <w:vertAlign w:val="subscript"/>
              </w:rPr>
              <w:t>q</w:t>
            </w:r>
            <w:r>
              <w:t xml:space="preserve"> * RTMCPCECR) + (1/4) * (ECRTP </w:t>
            </w:r>
            <w:r>
              <w:rPr>
                <w:i/>
                <w:vertAlign w:val="subscript"/>
              </w:rPr>
              <w:t>q</w:t>
            </w:r>
            <w:r>
              <w:t xml:space="preserve"> – ECRTS </w:t>
            </w:r>
            <w:r>
              <w:rPr>
                <w:i/>
                <w:vertAlign w:val="subscript"/>
              </w:rPr>
              <w:t>q</w:t>
            </w:r>
            <w:r>
              <w:t>) * RTMCPCECR]</w:t>
            </w:r>
          </w:p>
          <w:p w14:paraId="1DBFCE27" w14:textId="77777777" w:rsidR="00CC5182" w:rsidRDefault="00CC5182" w:rsidP="00CC5182">
            <w:pPr>
              <w:pStyle w:val="FormulaBold"/>
            </w:pPr>
            <w:r>
              <w:lastRenderedPageBreak/>
              <w:t xml:space="preserve">Where:   </w:t>
            </w:r>
          </w:p>
          <w:p w14:paraId="625475A6" w14:textId="77777777" w:rsidR="00CC5182" w:rsidRDefault="00CC5182" w:rsidP="00CC5182">
            <w:pPr>
              <w:pStyle w:val="FormulaBold"/>
            </w:pPr>
            <w:r>
              <w:rPr>
                <w:rStyle w:val="BodyTextChar"/>
              </w:rPr>
              <w:t>RT</w:t>
            </w:r>
            <w:r>
              <w:t>ECR</w:t>
            </w:r>
            <w:r>
              <w:rPr>
                <w:rStyle w:val="BodyTextChar"/>
              </w:rPr>
              <w:t xml:space="preserve">REV </w:t>
            </w:r>
            <w:r>
              <w:rPr>
                <w:i/>
                <w:vertAlign w:val="subscript"/>
              </w:rPr>
              <w:t xml:space="preserve">q, r </w:t>
            </w:r>
            <w:r>
              <w:rPr>
                <w:i/>
              </w:rPr>
              <w:t xml:space="preserve"> =     </w:t>
            </w:r>
            <w:r>
              <w:t>(1/4) * RTECRAWD</w:t>
            </w:r>
            <w:r>
              <w:rPr>
                <w:i/>
                <w:vertAlign w:val="subscript"/>
              </w:rPr>
              <w:t xml:space="preserve"> q, r</w:t>
            </w:r>
            <w:r>
              <w:t xml:space="preserve"> * RTMCPCECRR </w:t>
            </w:r>
            <w:r>
              <w:rPr>
                <w:i/>
                <w:vertAlign w:val="subscript"/>
              </w:rPr>
              <w:t>q,</w:t>
            </w:r>
            <w:r>
              <w:rPr>
                <w:i/>
              </w:rPr>
              <w:t xml:space="preserve"> </w:t>
            </w:r>
            <w:r>
              <w:rPr>
                <w:i/>
                <w:vertAlign w:val="subscript"/>
              </w:rPr>
              <w:t>r</w:t>
            </w:r>
          </w:p>
          <w:p w14:paraId="5D324615" w14:textId="23F82628" w:rsidR="00CC5182" w:rsidRDefault="00CC5182" w:rsidP="00CC5182">
            <w:pPr>
              <w:pStyle w:val="FormulaBold"/>
            </w:pPr>
            <w:r>
              <w:t xml:space="preserve">RTMCPCECRR </w:t>
            </w:r>
            <w:r>
              <w:rPr>
                <w:i/>
                <w:vertAlign w:val="subscript"/>
              </w:rPr>
              <w:t>q, r</w:t>
            </w:r>
            <w:r>
              <w:rPr>
                <w:i/>
              </w:rPr>
              <w:t xml:space="preserve"> = </w:t>
            </w:r>
            <w:r w:rsidR="00936E32">
              <w:rPr>
                <w:position w:val="-22"/>
              </w:rPr>
              <w:object w:dxaOrig="285" w:dyaOrig="285" w14:anchorId="40507B25">
                <v:shape id="_x0000_i1417" type="#_x0000_t75" style="width:24.6pt;height:24.6pt" o:ole="">
                  <v:imagedata r:id="rId22" o:title=""/>
                </v:shape>
                <o:OLEObject Type="Embed" ProgID="Equation.3" ShapeID="_x0000_i1417" DrawAspect="Content" ObjectID="_1815025605" r:id="rId509"/>
              </w:object>
            </w:r>
            <w:r>
              <w:t>(ECRRWF</w:t>
            </w:r>
            <w:r>
              <w:rPr>
                <w:i/>
                <w:vertAlign w:val="subscript"/>
              </w:rPr>
              <w:t xml:space="preserve"> q, r, y</w:t>
            </w:r>
            <w:r>
              <w:t xml:space="preserve"> * (RTMCPCECRS</w:t>
            </w:r>
            <w:r>
              <w:rPr>
                <w:i/>
                <w:vertAlign w:val="subscript"/>
              </w:rPr>
              <w:t xml:space="preserve"> y</w:t>
            </w:r>
            <w:r>
              <w:t xml:space="preserve"> + RTRDPAECRS </w:t>
            </w:r>
            <w:r>
              <w:rPr>
                <w:i/>
                <w:vertAlign w:val="subscript"/>
              </w:rPr>
              <w:t>y</w:t>
            </w:r>
            <w:r>
              <w:rPr>
                <w:i/>
              </w:rPr>
              <w:t>))</w:t>
            </w:r>
          </w:p>
          <w:p w14:paraId="6CB7793B" w14:textId="20F1C4F5" w:rsidR="00CC5182" w:rsidRDefault="00CC5182" w:rsidP="00CC5182">
            <w:pPr>
              <w:pStyle w:val="FormulaBold"/>
              <w:rPr>
                <w:i/>
                <w:vertAlign w:val="subscript"/>
              </w:rPr>
            </w:pPr>
            <w:r>
              <w:t>RTECRAWD</w:t>
            </w:r>
            <w:r>
              <w:rPr>
                <w:i/>
                <w:vertAlign w:val="subscript"/>
              </w:rPr>
              <w:t xml:space="preserve"> q,</w:t>
            </w:r>
            <w:r w:rsidR="000C051B">
              <w:rPr>
                <w:i/>
                <w:vertAlign w:val="subscript"/>
              </w:rPr>
              <w:t xml:space="preserve"> </w:t>
            </w:r>
            <w:r>
              <w:rPr>
                <w:i/>
                <w:vertAlign w:val="subscript"/>
              </w:rPr>
              <w:t xml:space="preserve">r  </w:t>
            </w:r>
            <w:r>
              <w:t xml:space="preserve"> =  </w:t>
            </w:r>
            <w:r w:rsidR="00936E32">
              <w:rPr>
                <w:position w:val="-22"/>
              </w:rPr>
              <w:object w:dxaOrig="285" w:dyaOrig="285" w14:anchorId="6A9103F2">
                <v:shape id="_x0000_i1418" type="#_x0000_t75" style="width:24.6pt;height:24.6pt" o:ole="">
                  <v:imagedata r:id="rId22" o:title=""/>
                </v:shape>
                <o:OLEObject Type="Embed" ProgID="Equation.3" ShapeID="_x0000_i1418" DrawAspect="Content" ObjectID="_1815025606" r:id="rId510"/>
              </w:object>
            </w:r>
            <w:r>
              <w:t xml:space="preserve"> (RNWF </w:t>
            </w:r>
            <w:r>
              <w:rPr>
                <w:i/>
                <w:vertAlign w:val="subscript"/>
              </w:rPr>
              <w:t>y</w:t>
            </w:r>
            <w:r>
              <w:rPr>
                <w:vertAlign w:val="subscript"/>
              </w:rPr>
              <w:t xml:space="preserve"> </w:t>
            </w:r>
            <w:r>
              <w:t>* RTECRAWDS</w:t>
            </w:r>
            <w:r>
              <w:rPr>
                <w:i/>
                <w:vertAlign w:val="subscript"/>
              </w:rPr>
              <w:t xml:space="preserve"> q, r, y</w:t>
            </w:r>
            <w:r>
              <w:t>)</w:t>
            </w:r>
          </w:p>
          <w:p w14:paraId="55B2B1F6" w14:textId="77777777" w:rsidR="00CC5182" w:rsidRDefault="00CC5182" w:rsidP="00CC5182">
            <w:pPr>
              <w:pStyle w:val="BodyTextNumbered"/>
              <w:ind w:left="0" w:firstLine="720"/>
            </w:pPr>
            <w:r>
              <w:t>Where:</w:t>
            </w:r>
          </w:p>
          <w:p w14:paraId="43620900" w14:textId="6DBC73A8" w:rsidR="00CC5182" w:rsidRDefault="00CC5182" w:rsidP="00CC5182">
            <w:pPr>
              <w:pStyle w:val="NoSpacing"/>
              <w:ind w:left="1440" w:hanging="720"/>
            </w:pPr>
            <w:r>
              <w:t>ECRRWF</w:t>
            </w:r>
            <w:r>
              <w:rPr>
                <w:i/>
                <w:vertAlign w:val="subscript"/>
              </w:rPr>
              <w:t xml:space="preserve"> q, r, y</w:t>
            </w:r>
            <w:r>
              <w:rPr>
                <w:vertAlign w:val="subscript"/>
              </w:rPr>
              <w:t xml:space="preserve"> </w:t>
            </w:r>
            <w:r>
              <w:t xml:space="preserve"> =    [max(0.001, RTECRAWDS</w:t>
            </w:r>
            <w:r>
              <w:rPr>
                <w:i/>
                <w:vertAlign w:val="subscript"/>
              </w:rPr>
              <w:t xml:space="preserve"> q, r, y</w:t>
            </w:r>
            <w:r>
              <w:t>) * TLMP</w:t>
            </w:r>
            <w:r>
              <w:rPr>
                <w:i/>
                <w:vertAlign w:val="subscript"/>
              </w:rPr>
              <w:t xml:space="preserve"> y</w:t>
            </w:r>
            <w:r>
              <w:t>] / [</w:t>
            </w:r>
            <w:r w:rsidR="00221A13">
              <w:rPr>
                <w:b/>
                <w:position w:val="-22"/>
              </w:rPr>
              <w:object w:dxaOrig="285" w:dyaOrig="285" w14:anchorId="58513C05">
                <v:shape id="_x0000_i1419" type="#_x0000_t75" style="width:24.6pt;height:24.6pt" o:ole="">
                  <v:imagedata r:id="rId22" o:title=""/>
                </v:shape>
                <o:OLEObject Type="Embed" ProgID="Equation.3" ShapeID="_x0000_i1419" DrawAspect="Content" ObjectID="_1815025607" r:id="rId511"/>
              </w:object>
            </w:r>
            <w:r>
              <w:t>max(0.001,</w:t>
            </w:r>
          </w:p>
          <w:p w14:paraId="23002EA7" w14:textId="71ADEFBC" w:rsidR="00CC5182" w:rsidRDefault="00CC5182" w:rsidP="00CC5182">
            <w:pPr>
              <w:pStyle w:val="NoSpacing"/>
              <w:spacing w:after="240"/>
              <w:ind w:left="2160" w:firstLine="720"/>
            </w:pPr>
            <w:r>
              <w:t>RTECRAWDS</w:t>
            </w:r>
            <w:r>
              <w:rPr>
                <w:i/>
                <w:vertAlign w:val="subscript"/>
              </w:rPr>
              <w:t xml:space="preserve"> q, r, y</w:t>
            </w:r>
            <w:r>
              <w:t>) * TLMP</w:t>
            </w:r>
            <w:r>
              <w:rPr>
                <w:i/>
                <w:vertAlign w:val="subscript"/>
              </w:rPr>
              <w:t xml:space="preserve"> y</w:t>
            </w:r>
            <w:r>
              <w:t>]</w:t>
            </w:r>
            <w:r>
              <w:rPr>
                <w:vertAlign w:val="subscript"/>
              </w:rPr>
              <w:t xml:space="preserve"> </w:t>
            </w:r>
          </w:p>
          <w:p w14:paraId="590A747D" w14:textId="77777777" w:rsidR="00CC5182" w:rsidRDefault="00CC5182" w:rsidP="00CC5182">
            <w:pPr>
              <w:pStyle w:val="NoSpacing"/>
              <w:spacing w:after="240"/>
              <w:ind w:left="1440" w:hanging="720"/>
            </w:pPr>
            <w:r>
              <w:t>And:</w:t>
            </w:r>
          </w:p>
          <w:p w14:paraId="0123C59E" w14:textId="7A9E0F5E" w:rsidR="00CC5182" w:rsidRDefault="00CC5182" w:rsidP="00CC5182">
            <w:pPr>
              <w:spacing w:after="240"/>
              <w:ind w:left="1440" w:hanging="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sidR="00936E32">
              <w:rPr>
                <w:position w:val="-22"/>
                <w:szCs w:val="24"/>
              </w:rPr>
              <w:object w:dxaOrig="285" w:dyaOrig="285" w14:anchorId="3F78753E">
                <v:shape id="_x0000_i1420" type="#_x0000_t75" style="width:24.6pt;height:24.6pt" o:ole="">
                  <v:imagedata r:id="rId22" o:title=""/>
                </v:shape>
                <o:OLEObject Type="Embed" ProgID="Equation.3" ShapeID="_x0000_i1420" DrawAspect="Content" ObjectID="_1815025608" r:id="rId512"/>
              </w:object>
            </w:r>
            <w:r>
              <w:t xml:space="preserve">TLMP </w:t>
            </w:r>
            <w:r>
              <w:rPr>
                <w:i/>
                <w:vertAlign w:val="subscript"/>
              </w:rPr>
              <w:t>y</w:t>
            </w:r>
          </w:p>
          <w:p w14:paraId="5460E895" w14:textId="77777777" w:rsidR="00CC5182" w:rsidRDefault="00CC5182" w:rsidP="00CC5182">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CC5182" w14:paraId="62F7DE16" w14:textId="77777777" w:rsidTr="00CC5182">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24C78016" w14:textId="77777777" w:rsidR="00CC5182" w:rsidRDefault="00CC5182" w:rsidP="00CC5182">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148996C6" w14:textId="77777777" w:rsidR="00CC5182" w:rsidRDefault="00CC5182" w:rsidP="00CC5182">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7D69E80B" w14:textId="77777777" w:rsidR="00CC5182" w:rsidRDefault="00CC5182" w:rsidP="00CC5182">
                  <w:pPr>
                    <w:pStyle w:val="TableHead"/>
                  </w:pPr>
                  <w:r>
                    <w:t>Description</w:t>
                  </w:r>
                </w:p>
              </w:tc>
            </w:tr>
            <w:tr w:rsidR="00CC5182" w14:paraId="445F6B00"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A0FE801" w14:textId="77777777" w:rsidR="00CC5182" w:rsidRDefault="00CC5182" w:rsidP="00CC5182">
                  <w:pPr>
                    <w:pStyle w:val="tablebody0"/>
                  </w:pPr>
                  <w:r>
                    <w:t xml:space="preserve">RTECRIMBAMT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F444B6D"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6A0E5F00" w14:textId="38D2FB4E" w:rsidR="00CC5182" w:rsidRDefault="00CC5182" w:rsidP="00CC5182">
                  <w:pPr>
                    <w:pStyle w:val="tablebody0"/>
                    <w:rPr>
                      <w:i/>
                    </w:rPr>
                  </w:pPr>
                  <w:r>
                    <w:rPr>
                      <w:i/>
                    </w:rPr>
                    <w:t>Real-Time ERCOT Contingency Reserve Service Imbalance Amount for the QSE—</w:t>
                  </w:r>
                  <w:r>
                    <w:t xml:space="preserve">The total payment or charge to QSE </w:t>
                  </w:r>
                  <w:r w:rsidRPr="00221A13">
                    <w:rPr>
                      <w:i/>
                    </w:rPr>
                    <w:t>q</w:t>
                  </w:r>
                  <w:r>
                    <w:t xml:space="preserve"> for the Real-Time ECRS imbalance for each 15-minute Settlement Interval.</w:t>
                  </w:r>
                </w:p>
              </w:tc>
            </w:tr>
            <w:tr w:rsidR="00CC5182" w14:paraId="63A89BF7"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B98BD56" w14:textId="16D40808" w:rsidR="00CC5182" w:rsidRDefault="00CC5182" w:rsidP="00CC5182">
                  <w:pPr>
                    <w:pStyle w:val="tablebody0"/>
                  </w:pPr>
                  <w:r>
                    <w:t xml:space="preserve">RTECRAWD </w:t>
                  </w:r>
                  <w:r>
                    <w:rPr>
                      <w:vertAlign w:val="subscript"/>
                    </w:rPr>
                    <w:t>q,</w:t>
                  </w:r>
                  <w:r w:rsidR="00E74F4F">
                    <w:rPr>
                      <w:vertAlign w:val="subscript"/>
                    </w:rPr>
                    <w:t xml:space="preserve"> </w:t>
                  </w:r>
                  <w:r>
                    <w:rPr>
                      <w:vertAlign w:val="subscript"/>
                    </w:rPr>
                    <w:t>r</w:t>
                  </w:r>
                </w:p>
              </w:tc>
              <w:tc>
                <w:tcPr>
                  <w:tcW w:w="623" w:type="pct"/>
                  <w:tcBorders>
                    <w:top w:val="single" w:sz="4" w:space="0" w:color="auto"/>
                    <w:left w:val="single" w:sz="4" w:space="0" w:color="auto"/>
                    <w:bottom w:val="single" w:sz="4" w:space="0" w:color="auto"/>
                    <w:right w:val="single" w:sz="4" w:space="0" w:color="auto"/>
                  </w:tcBorders>
                  <w:hideMark/>
                </w:tcPr>
                <w:p w14:paraId="4DA45A04"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51E3A20" w14:textId="6FBE8F5D" w:rsidR="00CC5182" w:rsidRDefault="00CC5182" w:rsidP="00CC5182">
                  <w:pPr>
                    <w:pStyle w:val="tablebody0"/>
                    <w:rPr>
                      <w:i/>
                    </w:rPr>
                  </w:pPr>
                  <w:r>
                    <w:rPr>
                      <w:i/>
                    </w:rPr>
                    <w:t>Real-Time ERCOT Contingency Reserve Service Award per Resource per QSE</w:t>
                  </w:r>
                  <w:r>
                    <w:sym w:font="Symbol" w:char="F0BE"/>
                  </w:r>
                  <w:r>
                    <w:t xml:space="preserve">The ECRS amount awarded to QSE </w:t>
                  </w:r>
                  <w:r>
                    <w:rPr>
                      <w:i/>
                    </w:rPr>
                    <w:t>q</w:t>
                  </w:r>
                  <w:r>
                    <w:t xml:space="preserve"> for Resource </w:t>
                  </w:r>
                  <w:r>
                    <w:rPr>
                      <w:i/>
                    </w:rPr>
                    <w:t>r</w:t>
                  </w:r>
                  <w:r>
                    <w:t xml:space="preserve"> in Real-Time for the 15-minute Settlement Interval.  Where for a Combined Cycle Train, the Resource </w:t>
                  </w:r>
                  <w:r>
                    <w:rPr>
                      <w:i/>
                    </w:rPr>
                    <w:t>r</w:t>
                  </w:r>
                  <w:r>
                    <w:t xml:space="preserve"> is a Combined Cycle Generation Resource within the Combined Cycle Train.</w:t>
                  </w:r>
                </w:p>
              </w:tc>
            </w:tr>
            <w:tr w:rsidR="00CC5182" w14:paraId="30AE376E"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674315D" w14:textId="77777777" w:rsidR="00CC5182" w:rsidRDefault="00CC5182" w:rsidP="00CC5182">
                  <w:pPr>
                    <w:pStyle w:val="tablebody0"/>
                  </w:pPr>
                  <w:r>
                    <w:t xml:space="preserve">RTECRREV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4296A66F"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87BCE83" w14:textId="7C8EDC2A" w:rsidR="00CC5182" w:rsidRDefault="00CC5182" w:rsidP="00CC5182">
                  <w:pPr>
                    <w:pStyle w:val="tablebody0"/>
                    <w:rPr>
                      <w:i/>
                    </w:rPr>
                  </w:pPr>
                  <w:r>
                    <w:rPr>
                      <w:i/>
                    </w:rPr>
                    <w:t>Real-Time ERCOT Contingency Reserve Service Revenue</w:t>
                  </w:r>
                  <w:r>
                    <w:t xml:space="preserve">—The Real-Time ECRS revenue for QSE </w:t>
                  </w:r>
                  <w:r>
                    <w:rPr>
                      <w:i/>
                    </w:rPr>
                    <w:t xml:space="preserve">q </w:t>
                  </w:r>
                  <w:r>
                    <w:t xml:space="preserve">calculated for Resource </w:t>
                  </w:r>
                  <w:r>
                    <w:rPr>
                      <w:i/>
                    </w:rPr>
                    <w:t>r</w:t>
                  </w:r>
                  <w:r>
                    <w:t xml:space="preserve"> for the 15-minute Settlement Interval.  Where for a Combined Cycle Train, the Resource </w:t>
                  </w:r>
                  <w:r>
                    <w:rPr>
                      <w:i/>
                    </w:rPr>
                    <w:t>r</w:t>
                  </w:r>
                  <w:r>
                    <w:t xml:space="preserve"> is the Combined Cycle Train.</w:t>
                  </w:r>
                </w:p>
              </w:tc>
            </w:tr>
            <w:tr w:rsidR="00CC5182" w14:paraId="3A241E76"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6914783" w14:textId="0FA1415B" w:rsidR="00CC5182" w:rsidRDefault="00CC5182" w:rsidP="00CC5182">
                  <w:pPr>
                    <w:pStyle w:val="tablebody0"/>
                  </w:pPr>
                  <w:r>
                    <w:t xml:space="preserve">RTECRAWDS </w:t>
                  </w:r>
                  <w:r>
                    <w:rPr>
                      <w:i/>
                      <w:vertAlign w:val="subscript"/>
                    </w:rPr>
                    <w:t>q, r, y</w:t>
                  </w:r>
                </w:p>
              </w:tc>
              <w:tc>
                <w:tcPr>
                  <w:tcW w:w="623" w:type="pct"/>
                  <w:tcBorders>
                    <w:top w:val="single" w:sz="4" w:space="0" w:color="auto"/>
                    <w:left w:val="single" w:sz="4" w:space="0" w:color="auto"/>
                    <w:bottom w:val="single" w:sz="4" w:space="0" w:color="auto"/>
                    <w:right w:val="single" w:sz="4" w:space="0" w:color="auto"/>
                  </w:tcBorders>
                  <w:hideMark/>
                </w:tcPr>
                <w:p w14:paraId="2E712A2F"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66C0C63" w14:textId="45459330" w:rsidR="00CC5182" w:rsidRDefault="00CC5182" w:rsidP="00CC5182">
                  <w:pPr>
                    <w:pStyle w:val="tablebody0"/>
                    <w:rPr>
                      <w:i/>
                    </w:rPr>
                  </w:pPr>
                  <w:r>
                    <w:rPr>
                      <w:i/>
                    </w:rPr>
                    <w:t>Real-Time ERCOT Contingency Reserve Service Award per Resource per QSE per SCED interval</w:t>
                  </w:r>
                  <w:r w:rsidR="00E74F4F" w:rsidRPr="00A552C3">
                    <w:rPr>
                      <w:iCs/>
                    </w:rPr>
                    <w:t>—</w:t>
                  </w:r>
                  <w:r>
                    <w:t xml:space="preserve">The ECRS amount awarded to QSE </w:t>
                  </w:r>
                  <w:r>
                    <w:rPr>
                      <w:i/>
                    </w:rPr>
                    <w:t>q</w:t>
                  </w:r>
                  <w:r>
                    <w:t xml:space="preserve"> for Resource </w:t>
                  </w:r>
                  <w:r>
                    <w:rPr>
                      <w:i/>
                    </w:rPr>
                    <w:t>r</w:t>
                  </w:r>
                  <w:r>
                    <w:t xml:space="preserve"> in Real-Time for the SCED interval </w:t>
                  </w:r>
                  <w:r>
                    <w:rPr>
                      <w:i/>
                    </w:rPr>
                    <w:t>y.</w:t>
                  </w:r>
                  <w:r>
                    <w:t xml:space="preserve"> </w:t>
                  </w:r>
                  <w:r w:rsidR="00221A13">
                    <w:t xml:space="preserve"> </w:t>
                  </w:r>
                  <w:r>
                    <w:t xml:space="preserve">Where for a Combined Cycle Train, the Resource </w:t>
                  </w:r>
                  <w:r w:rsidRPr="00221A13">
                    <w:rPr>
                      <w:i/>
                    </w:rPr>
                    <w:t>r</w:t>
                  </w:r>
                  <w:r>
                    <w:t xml:space="preserve"> is the Combined Cycle Train.</w:t>
                  </w:r>
                </w:p>
              </w:tc>
            </w:tr>
            <w:tr w:rsidR="00CC5182" w14:paraId="3BB34EC2"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6B16F4F" w14:textId="77777777" w:rsidR="00CC5182" w:rsidRDefault="00CC5182" w:rsidP="00CC5182">
                  <w:pPr>
                    <w:pStyle w:val="tablebody0"/>
                  </w:pPr>
                  <w:r>
                    <w:t xml:space="preserve">RTMCPCECRR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3007E664"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A1E691D" w14:textId="36834BC5" w:rsidR="00CC5182" w:rsidRDefault="00CC5182" w:rsidP="00CC5182">
                  <w:pPr>
                    <w:pStyle w:val="tablebody0"/>
                    <w:rPr>
                      <w:iCs/>
                    </w:rPr>
                  </w:pPr>
                  <w:r>
                    <w:rPr>
                      <w:i/>
                    </w:rPr>
                    <w:t>Real-Time Market Clearing Price for Capacity for ERCOT Contingency Reserve Service per Resource per QSE</w:t>
                  </w:r>
                  <w:r>
                    <w:sym w:font="Symbol" w:char="F0BE"/>
                  </w:r>
                  <w:r>
                    <w:t xml:space="preserve">The Real-Time MCPC for ECRS for Resource </w:t>
                  </w:r>
                  <w:r>
                    <w:rPr>
                      <w:i/>
                    </w:rPr>
                    <w:t>r</w:t>
                  </w:r>
                  <w:r>
                    <w:t xml:space="preserve">, represented by QSE </w:t>
                  </w:r>
                  <w:r>
                    <w:rPr>
                      <w:i/>
                    </w:rPr>
                    <w:t xml:space="preserve">q </w:t>
                  </w:r>
                  <w:r>
                    <w:t xml:space="preserve">for the 15-minute Settlement Interval.  Where for a Combined Cycle Train, the Resource </w:t>
                  </w:r>
                  <w:r>
                    <w:rPr>
                      <w:i/>
                    </w:rPr>
                    <w:t>r</w:t>
                  </w:r>
                  <w:r>
                    <w:t xml:space="preserve"> is the Combined Cycle Train.</w:t>
                  </w:r>
                </w:p>
              </w:tc>
            </w:tr>
            <w:tr w:rsidR="00CC5182" w14:paraId="27A584A4"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8E13E6B" w14:textId="77777777" w:rsidR="00CC5182" w:rsidRDefault="00CC5182" w:rsidP="00CC5182">
                  <w:pPr>
                    <w:pStyle w:val="tablebody0"/>
                  </w:pPr>
                  <w:r>
                    <w:t>RTMCPCECRS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242475D3"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5C8E929" w14:textId="73497660" w:rsidR="00CC5182" w:rsidRDefault="00CC5182" w:rsidP="00CC5182">
                  <w:pPr>
                    <w:pStyle w:val="tablebody0"/>
                    <w:rPr>
                      <w:i/>
                    </w:rPr>
                  </w:pPr>
                  <w:r>
                    <w:rPr>
                      <w:i/>
                    </w:rPr>
                    <w:t>Real-Time Market Clearing Price</w:t>
                  </w:r>
                  <w:r>
                    <w:rPr>
                      <w:bCs/>
                      <w:i/>
                      <w:lang w:val="pt-BR"/>
                    </w:rPr>
                    <w:t xml:space="preserve"> for Capacity</w:t>
                  </w:r>
                  <w:r>
                    <w:rPr>
                      <w:i/>
                    </w:rPr>
                    <w:t xml:space="preserve"> for ERCOT Contingency Reserve Service per SCED Interval</w:t>
                  </w:r>
                  <w:r>
                    <w:t xml:space="preserve">—The Real-Time MCPC for ECRS for the SCED interval </w:t>
                  </w:r>
                  <w:r>
                    <w:rPr>
                      <w:i/>
                    </w:rPr>
                    <w:t>y.</w:t>
                  </w:r>
                </w:p>
              </w:tc>
            </w:tr>
            <w:tr w:rsidR="00CC5182" w14:paraId="5A327D0C"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3DE4AA4" w14:textId="77777777" w:rsidR="00CC5182" w:rsidRDefault="00CC5182" w:rsidP="00CC5182">
                  <w:pPr>
                    <w:pStyle w:val="tablebody0"/>
                  </w:pPr>
                  <w:r>
                    <w:rPr>
                      <w:iCs/>
                    </w:rPr>
                    <w:lastRenderedPageBreak/>
                    <w:t xml:space="preserve">PCECRR </w:t>
                  </w:r>
                  <w:r>
                    <w:rPr>
                      <w:i/>
                      <w:iCs/>
                      <w:vertAlign w:val="subscript"/>
                    </w:rPr>
                    <w:t>r,</w:t>
                  </w:r>
                  <w:r>
                    <w:rPr>
                      <w:i/>
                      <w:iCs/>
                    </w:rPr>
                    <w:t xml:space="preserve"> </w:t>
                  </w:r>
                  <w:r>
                    <w:rPr>
                      <w:i/>
                      <w:iCs/>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51E23EDB"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F924A1F" w14:textId="77777777" w:rsidR="00CC5182" w:rsidRDefault="00CC5182" w:rsidP="00CC5182">
                  <w:pPr>
                    <w:pStyle w:val="tablebody0"/>
                    <w:rPr>
                      <w:i/>
                    </w:rPr>
                  </w:pPr>
                  <w:r>
                    <w:rPr>
                      <w:i/>
                      <w:iCs/>
                    </w:rPr>
                    <w:t>Procured Capacity for ERCOT Contingency Reserve Service per Resource per QSE in DAM</w:t>
                  </w:r>
                  <w:r>
                    <w:rPr>
                      <w:iCs/>
                    </w:rPr>
                    <w:t xml:space="preserve">—The ECRS capacity awarded to QSE </w:t>
                  </w:r>
                  <w:r>
                    <w:rPr>
                      <w:i/>
                      <w:iCs/>
                    </w:rPr>
                    <w:t>q</w:t>
                  </w:r>
                  <w:r>
                    <w:rPr>
                      <w:iCs/>
                    </w:rPr>
                    <w:t xml:space="preserve"> in the DAM for Resource </w:t>
                  </w:r>
                  <w:r>
                    <w:rPr>
                      <w:i/>
                      <w:iCs/>
                    </w:rPr>
                    <w:t>r</w:t>
                  </w:r>
                  <w:r>
                    <w:rPr>
                      <w:iCs/>
                    </w:rPr>
                    <w:t xml:space="preserve"> for the </w:t>
                  </w:r>
                  <w:r>
                    <w:rPr>
                      <w:szCs w:val="18"/>
                    </w:rPr>
                    <w:t>Operating Hour</w:t>
                  </w:r>
                  <w:r>
                    <w:rPr>
                      <w:iCs/>
                    </w:rPr>
                    <w:t xml:space="preserve">.  Where for a Combined Cycle Train, the Resource </w:t>
                  </w:r>
                  <w:r>
                    <w:rPr>
                      <w:i/>
                      <w:iCs/>
                    </w:rPr>
                    <w:t xml:space="preserve">r </w:t>
                  </w:r>
                  <w:r>
                    <w:rPr>
                      <w:iCs/>
                    </w:rPr>
                    <w:t>is a Combined Cycle Generation Resource within the Combined Cycle Train.</w:t>
                  </w:r>
                </w:p>
              </w:tc>
            </w:tr>
            <w:tr w:rsidR="00CC5182" w14:paraId="5120D7A2"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DF423E1" w14:textId="77777777" w:rsidR="00CC5182" w:rsidRDefault="00CC5182" w:rsidP="00CC5182">
                  <w:pPr>
                    <w:pStyle w:val="tablebody0"/>
                  </w:pPr>
                  <w:r>
                    <w:t>RTMCPCECR</w:t>
                  </w:r>
                </w:p>
              </w:tc>
              <w:tc>
                <w:tcPr>
                  <w:tcW w:w="623" w:type="pct"/>
                  <w:tcBorders>
                    <w:top w:val="single" w:sz="4" w:space="0" w:color="auto"/>
                    <w:left w:val="single" w:sz="4" w:space="0" w:color="auto"/>
                    <w:bottom w:val="single" w:sz="4" w:space="0" w:color="auto"/>
                    <w:right w:val="single" w:sz="4" w:space="0" w:color="auto"/>
                  </w:tcBorders>
                  <w:hideMark/>
                </w:tcPr>
                <w:p w14:paraId="7A114581"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3A44CBE" w14:textId="4C0DF5A4" w:rsidR="00CC5182" w:rsidRDefault="00CC5182" w:rsidP="00CC5182">
                  <w:pPr>
                    <w:pStyle w:val="tablebody0"/>
                    <w:rPr>
                      <w:i/>
                    </w:rPr>
                  </w:pPr>
                  <w:r>
                    <w:rPr>
                      <w:i/>
                    </w:rPr>
                    <w:t>Real-Time Market Clearing Price for Capacity for ERCOT Contingency Reserve Service</w:t>
                  </w:r>
                  <w:r>
                    <w:t>—The Real-Time MCPC for ECRS for the 15-minute Settlement Interval.</w:t>
                  </w:r>
                </w:p>
              </w:tc>
            </w:tr>
            <w:tr w:rsidR="00CC5182" w14:paraId="17B04F9C"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73FD4E0C" w14:textId="77777777" w:rsidR="00CC5182" w:rsidRDefault="00CC5182" w:rsidP="00CC5182">
                  <w:pPr>
                    <w:pStyle w:val="tablebody0"/>
                  </w:pPr>
                  <w:r>
                    <w:t xml:space="preserve">RTRDPAECRS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57A80749"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42C6F22" w14:textId="4E956D25" w:rsidR="00CC5182" w:rsidRDefault="00CC5182" w:rsidP="00CC5182">
                  <w:pPr>
                    <w:pStyle w:val="tablebody0"/>
                    <w:rPr>
                      <w:i/>
                    </w:rPr>
                  </w:pPr>
                  <w:r>
                    <w:rPr>
                      <w:i/>
                    </w:rPr>
                    <w:t>Real-Time Reliability Deployment Price Adder for Ancillary Service for ERCOT Contingency Reserve Service per SCED interval</w:t>
                  </w:r>
                  <w:r w:rsidR="002341C4" w:rsidRPr="00A552C3">
                    <w:rPr>
                      <w:iCs/>
                    </w:rPr>
                    <w:t>—</w:t>
                  </w:r>
                  <w:r>
                    <w:t xml:space="preserve">The Real-Time price adder for ECRS that captures the impact of reliability deployments on ECRS prices for the SCED interval </w:t>
                  </w:r>
                  <w:r>
                    <w:rPr>
                      <w:i/>
                    </w:rPr>
                    <w:t>y</w:t>
                  </w:r>
                  <w:r>
                    <w:t xml:space="preserve">. </w:t>
                  </w:r>
                </w:p>
              </w:tc>
            </w:tr>
            <w:tr w:rsidR="00CC5182" w14:paraId="530872FE"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1EAC87F" w14:textId="77777777" w:rsidR="00CC5182" w:rsidRDefault="00CC5182" w:rsidP="00CC5182">
                  <w:pPr>
                    <w:pStyle w:val="tablebody0"/>
                  </w:pPr>
                  <w:r>
                    <w:t>DASAECRQ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071A8C27"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07F69BE" w14:textId="77777777" w:rsidR="00CC5182" w:rsidRDefault="00CC5182" w:rsidP="00CC5182">
                  <w:pPr>
                    <w:pStyle w:val="tablebody0"/>
                    <w:rPr>
                      <w:i/>
                    </w:rPr>
                  </w:pPr>
                  <w:r>
                    <w:rPr>
                      <w:i/>
                      <w:iCs/>
                    </w:rPr>
                    <w:t>Day-Ahead Self-Arranged ERCOT Contingency Reserve Service Quantity per QSE</w:t>
                  </w:r>
                  <w:r>
                    <w:rPr>
                      <w:iCs/>
                    </w:rPr>
                    <w:t xml:space="preserve">—The self-arranged ECRS quantity submitted by QSE </w:t>
                  </w:r>
                  <w:r>
                    <w:rPr>
                      <w:i/>
                      <w:iCs/>
                    </w:rPr>
                    <w:t>q</w:t>
                  </w:r>
                  <w:r>
                    <w:rPr>
                      <w:iCs/>
                    </w:rPr>
                    <w:t xml:space="preserve"> before 1000 in the DAM for the Operating Hour.</w:t>
                  </w:r>
                </w:p>
              </w:tc>
            </w:tr>
            <w:tr w:rsidR="00CC5182" w14:paraId="45C16624"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0630535E" w14:textId="77777777" w:rsidR="00CC5182" w:rsidRDefault="00CC5182" w:rsidP="00CC5182">
                  <w:pPr>
                    <w:pStyle w:val="tablebody0"/>
                  </w:pPr>
                  <w:r>
                    <w:t xml:space="preserve">ECRTP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6FAEF81"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3C2DDBC" w14:textId="5588F2BE" w:rsidR="00CC5182" w:rsidRDefault="00CC5182" w:rsidP="00CC5182">
                  <w:pPr>
                    <w:pStyle w:val="tablebody0"/>
                    <w:rPr>
                      <w:i/>
                    </w:rPr>
                  </w:pPr>
                  <w:r>
                    <w:rPr>
                      <w:i/>
                    </w:rPr>
                    <w:t>Trade Purchases for ERCOT Contingency Reserve Service for the QSE—</w:t>
                  </w:r>
                  <w:r>
                    <w:t xml:space="preserve">The trade purchases for QSE </w:t>
                  </w:r>
                  <w:r>
                    <w:rPr>
                      <w:i/>
                    </w:rPr>
                    <w:t>q</w:t>
                  </w:r>
                  <w:r>
                    <w:t xml:space="preserve"> for ECRS for the </w:t>
                  </w:r>
                  <w:r>
                    <w:rPr>
                      <w:szCs w:val="18"/>
                    </w:rPr>
                    <w:t>Operating Hour</w:t>
                  </w:r>
                  <w:r>
                    <w:t>.</w:t>
                  </w:r>
                </w:p>
              </w:tc>
            </w:tr>
            <w:tr w:rsidR="00CC5182" w14:paraId="0ABF458F"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7783BAF" w14:textId="77777777" w:rsidR="00CC5182" w:rsidRDefault="00CC5182" w:rsidP="00CC5182">
                  <w:pPr>
                    <w:pStyle w:val="tablebody0"/>
                  </w:pPr>
                  <w:r>
                    <w:t xml:space="preserve">ECRTS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4A9682CA"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B244D89" w14:textId="01D535C0" w:rsidR="00CC5182" w:rsidRDefault="00CC5182" w:rsidP="00CC5182">
                  <w:pPr>
                    <w:pStyle w:val="tablebody0"/>
                    <w:rPr>
                      <w:i/>
                    </w:rPr>
                  </w:pPr>
                  <w:r>
                    <w:rPr>
                      <w:i/>
                    </w:rPr>
                    <w:t>Trade Sales for ERCOT Contingency Reserve Service for the QSE—</w:t>
                  </w:r>
                  <w:r>
                    <w:t xml:space="preserve">The trade sales for QSE </w:t>
                  </w:r>
                  <w:r>
                    <w:rPr>
                      <w:i/>
                    </w:rPr>
                    <w:t>q</w:t>
                  </w:r>
                  <w:r>
                    <w:t xml:space="preserve"> for ECRS for the </w:t>
                  </w:r>
                  <w:r>
                    <w:rPr>
                      <w:szCs w:val="18"/>
                    </w:rPr>
                    <w:t>Operating Hour</w:t>
                  </w:r>
                  <w:r>
                    <w:t>.</w:t>
                  </w:r>
                </w:p>
              </w:tc>
            </w:tr>
            <w:tr w:rsidR="00CC5182" w14:paraId="5EF5A55E"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6DC28AF" w14:textId="77777777" w:rsidR="00CC5182" w:rsidRDefault="00CC5182" w:rsidP="00CC5182">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2711A215" w14:textId="77777777" w:rsidR="00CC5182" w:rsidRDefault="00CC5182" w:rsidP="00CC5182">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6A83D7AB" w14:textId="63E41125" w:rsidR="00CC5182" w:rsidRDefault="00CC5182" w:rsidP="00CC5182">
                  <w:pPr>
                    <w:pStyle w:val="tablebody0"/>
                    <w:rPr>
                      <w:i/>
                    </w:rPr>
                  </w:pPr>
                  <w:r>
                    <w:rPr>
                      <w:i/>
                      <w:iCs/>
                    </w:rPr>
                    <w:t xml:space="preserve">Duration of </w:t>
                  </w:r>
                  <w:r>
                    <w:rPr>
                      <w:i/>
                    </w:rPr>
                    <w:t>SCED</w:t>
                  </w:r>
                  <w:r>
                    <w:rPr>
                      <w:i/>
                      <w:iCs/>
                    </w:rPr>
                    <w:t xml:space="preserve"> interval per interval</w:t>
                  </w:r>
                  <w:r w:rsidR="00F63473" w:rsidRPr="00A552C3">
                    <w:rPr>
                      <w:iCs/>
                    </w:rPr>
                    <w:t>—</w:t>
                  </w:r>
                  <w:r>
                    <w:t xml:space="preserve">The duration of the SCED interval </w:t>
                  </w:r>
                  <w:r>
                    <w:rPr>
                      <w:i/>
                      <w:iCs/>
                    </w:rPr>
                    <w:t>y</w:t>
                  </w:r>
                  <w:r>
                    <w:t>.</w:t>
                  </w:r>
                </w:p>
              </w:tc>
            </w:tr>
            <w:tr w:rsidR="00CC5182" w14:paraId="4B1A236B"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0D5F6B8" w14:textId="77777777" w:rsidR="00CC5182" w:rsidRDefault="00CC5182" w:rsidP="00CC5182">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7B66B613"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2E63F0D0" w14:textId="2D5CC273" w:rsidR="00CC5182" w:rsidRDefault="00CC5182" w:rsidP="00CC5182">
                  <w:pPr>
                    <w:pStyle w:val="tablebody0"/>
                    <w:rPr>
                      <w:i/>
                    </w:rPr>
                  </w:pPr>
                  <w:r>
                    <w:rPr>
                      <w:i/>
                    </w:rPr>
                    <w:t>Resource Node Weighting Factor per interval</w:t>
                  </w:r>
                  <w:r w:rsidR="00F63473" w:rsidRPr="00A552C3">
                    <w:rPr>
                      <w:iCs/>
                    </w:rPr>
                    <w:t>—</w:t>
                  </w:r>
                  <w:r>
                    <w:t xml:space="preserve">The weight used in the Ancillary Service award calculation for the portion of the SCED interval </w:t>
                  </w:r>
                  <w:r w:rsidRPr="00233C78">
                    <w:rPr>
                      <w:i/>
                    </w:rPr>
                    <w:t>y</w:t>
                  </w:r>
                  <w:r>
                    <w:t xml:space="preserve"> within the Settlement Interval.</w:t>
                  </w:r>
                </w:p>
              </w:tc>
            </w:tr>
            <w:tr w:rsidR="00CC5182" w14:paraId="4DCC703A"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44CDA121" w14:textId="5A9C7697" w:rsidR="00CC5182" w:rsidRDefault="00CC5182" w:rsidP="00CC5182">
                  <w:pPr>
                    <w:pStyle w:val="tablebody0"/>
                  </w:pPr>
                  <w:r>
                    <w:t xml:space="preserve">ECRRWF </w:t>
                  </w:r>
                  <w:r>
                    <w:rPr>
                      <w:i/>
                      <w:vertAlign w:val="subscript"/>
                    </w:rPr>
                    <w:t>q, r, y</w:t>
                  </w:r>
                </w:p>
              </w:tc>
              <w:tc>
                <w:tcPr>
                  <w:tcW w:w="623" w:type="pct"/>
                  <w:tcBorders>
                    <w:top w:val="single" w:sz="4" w:space="0" w:color="auto"/>
                    <w:left w:val="single" w:sz="4" w:space="0" w:color="auto"/>
                    <w:bottom w:val="single" w:sz="4" w:space="0" w:color="auto"/>
                    <w:right w:val="single" w:sz="4" w:space="0" w:color="auto"/>
                  </w:tcBorders>
                  <w:hideMark/>
                </w:tcPr>
                <w:p w14:paraId="1FAB3FFD"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7C28DF4" w14:textId="6EA7AE21" w:rsidR="00CC5182" w:rsidRDefault="00CC5182" w:rsidP="00CC5182">
                  <w:pPr>
                    <w:pStyle w:val="tablebody0"/>
                    <w:rPr>
                      <w:i/>
                    </w:rPr>
                  </w:pPr>
                  <w:r>
                    <w:rPr>
                      <w:i/>
                    </w:rPr>
                    <w:t>ERCOT Contingency Reserve Service Resource Node Weighting Factor per interval</w:t>
                  </w:r>
                  <w:r w:rsidR="00F63473" w:rsidRPr="00A552C3">
                    <w:rPr>
                      <w:iCs/>
                    </w:rPr>
                    <w:t>—</w:t>
                  </w:r>
                  <w:r>
                    <w:t xml:space="preserve">The ECRS Resource weight, based on ECRS awards, used in the Real-Time MCPC calculation for the portion of the SCED interval </w:t>
                  </w:r>
                  <w:r w:rsidRPr="00233C78">
                    <w:rPr>
                      <w:i/>
                    </w:rPr>
                    <w:t>y</w:t>
                  </w:r>
                  <w:r>
                    <w:t xml:space="preserve"> within the Settlement Interval. </w:t>
                  </w:r>
                  <w:r>
                    <w:rPr>
                      <w:i/>
                    </w:rPr>
                    <w:t xml:space="preserve"> </w:t>
                  </w:r>
                  <w:r>
                    <w:t xml:space="preserve">Where for a Combined Cycle Train, the Resource </w:t>
                  </w:r>
                  <w:r>
                    <w:rPr>
                      <w:i/>
                    </w:rPr>
                    <w:t xml:space="preserve">r </w:t>
                  </w:r>
                  <w:r>
                    <w:t xml:space="preserve">is a Combined Cycle Generation Resource within the Combined Cycle Train.   </w:t>
                  </w:r>
                </w:p>
              </w:tc>
            </w:tr>
            <w:tr w:rsidR="00CC5182" w14:paraId="794CD2B8"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36FA4FD1" w14:textId="77777777" w:rsidR="00CC5182" w:rsidRDefault="00CC5182" w:rsidP="00CC5182">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3BD4CA3C"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6D5F3A4F" w14:textId="77777777" w:rsidR="00CC5182" w:rsidRDefault="00CC5182" w:rsidP="00CC5182">
                  <w:pPr>
                    <w:pStyle w:val="tablebody0"/>
                    <w:rPr>
                      <w:i/>
                    </w:rPr>
                  </w:pPr>
                  <w:r>
                    <w:t>A Resource.</w:t>
                  </w:r>
                </w:p>
              </w:tc>
            </w:tr>
            <w:tr w:rsidR="00CC5182" w14:paraId="19CD1929"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33CDDF3" w14:textId="77777777" w:rsidR="00CC5182" w:rsidRDefault="00CC5182" w:rsidP="00CC5182">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211B658E"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313CDDB" w14:textId="77777777" w:rsidR="00CC5182" w:rsidRDefault="00CC5182" w:rsidP="00CC5182">
                  <w:pPr>
                    <w:pStyle w:val="tablebody0"/>
                  </w:pPr>
                  <w:r>
                    <w:t>A QSE.</w:t>
                  </w:r>
                </w:p>
              </w:tc>
            </w:tr>
            <w:tr w:rsidR="00CC5182" w14:paraId="27F8BE7F"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C4B021F" w14:textId="77777777" w:rsidR="00CC5182" w:rsidRDefault="00CC5182" w:rsidP="00CC5182">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149D635D"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4F9A340" w14:textId="77777777" w:rsidR="00CC5182" w:rsidRDefault="00CC5182" w:rsidP="00CC5182">
                  <w:pPr>
                    <w:pStyle w:val="tablebody0"/>
                  </w:pPr>
                  <w:r>
                    <w:t>A SCED interval in the 15-minute Settlement Interval.</w:t>
                  </w:r>
                </w:p>
              </w:tc>
            </w:tr>
          </w:tbl>
          <w:p w14:paraId="2D5729EF" w14:textId="31D028A4" w:rsidR="00CC5182" w:rsidRDefault="00CC5182" w:rsidP="00CC5182">
            <w:pPr>
              <w:spacing w:before="240" w:after="240"/>
            </w:pPr>
            <w:r>
              <w:t>(2)</w:t>
            </w:r>
            <w:r>
              <w:tab/>
              <w:t>ECRS Only Charge:</w:t>
            </w:r>
          </w:p>
          <w:p w14:paraId="03F08062" w14:textId="77777777" w:rsidR="00CC5182" w:rsidRDefault="00CC5182" w:rsidP="00CC5182">
            <w:pPr>
              <w:pStyle w:val="FormulaBold"/>
            </w:pPr>
            <w:r>
              <w:t>RTECROAMT</w:t>
            </w:r>
            <w:r>
              <w:rPr>
                <w:i/>
                <w:vertAlign w:val="subscript"/>
              </w:rPr>
              <w:t xml:space="preserve"> q  </w:t>
            </w:r>
            <w:r>
              <w:t xml:space="preserve">= </w:t>
            </w:r>
            <w:r>
              <w:tab/>
              <w:t xml:space="preserve">(1/4) * DAECROAWD </w:t>
            </w:r>
            <w:r>
              <w:rPr>
                <w:i/>
                <w:vertAlign w:val="subscript"/>
              </w:rPr>
              <w:t>q</w:t>
            </w:r>
            <w:r>
              <w:t xml:space="preserve"> * RTMCPCECR</w:t>
            </w:r>
          </w:p>
          <w:p w14:paraId="3C79D8D0" w14:textId="77777777" w:rsidR="00CC5182" w:rsidRDefault="00CC5182" w:rsidP="00CC5182">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CC5182" w14:paraId="4AA07C79" w14:textId="77777777" w:rsidTr="00CC5182">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297F79A8" w14:textId="77777777" w:rsidR="00CC5182" w:rsidRDefault="00CC5182" w:rsidP="00CC5182">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1A6AF08F" w14:textId="77777777" w:rsidR="00CC5182" w:rsidRDefault="00CC5182" w:rsidP="00CC5182">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139B5F37" w14:textId="77777777" w:rsidR="00CC5182" w:rsidRDefault="00CC5182" w:rsidP="00CC5182">
                  <w:pPr>
                    <w:pStyle w:val="TableHead"/>
                  </w:pPr>
                  <w:r>
                    <w:t>Description</w:t>
                  </w:r>
                </w:p>
              </w:tc>
            </w:tr>
            <w:tr w:rsidR="00CC5182" w14:paraId="228879B4"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09D41057" w14:textId="77777777" w:rsidR="00CC5182" w:rsidRDefault="00CC5182" w:rsidP="00CC5182">
                  <w:pPr>
                    <w:pStyle w:val="tablebody0"/>
                  </w:pPr>
                  <w:r>
                    <w:t xml:space="preserve">RTECROAMT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783A00A"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F9F6F94" w14:textId="19B3F0C6" w:rsidR="00CC5182" w:rsidRDefault="00CC5182" w:rsidP="00CC5182">
                  <w:pPr>
                    <w:pStyle w:val="tablebody0"/>
                    <w:rPr>
                      <w:i/>
                    </w:rPr>
                  </w:pPr>
                  <w:r>
                    <w:rPr>
                      <w:i/>
                    </w:rPr>
                    <w:t>Real-Time ERCOT Contingency Reserve Service Only Amount for the QSE—</w:t>
                  </w:r>
                  <w:r>
                    <w:t xml:space="preserve">The total charge to QSE </w:t>
                  </w:r>
                  <w:r>
                    <w:rPr>
                      <w:i/>
                    </w:rPr>
                    <w:t>q</w:t>
                  </w:r>
                  <w:r>
                    <w:t xml:space="preserve"> in Real-Time for ECRS only awards for each 15-minute Settlement Interval.</w:t>
                  </w:r>
                </w:p>
              </w:tc>
            </w:tr>
            <w:tr w:rsidR="00CC5182" w14:paraId="1C5066C9"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8B1A875" w14:textId="77777777" w:rsidR="00CC5182" w:rsidRDefault="00CC5182" w:rsidP="00CC5182">
                  <w:pPr>
                    <w:pStyle w:val="tablebody0"/>
                  </w:pPr>
                  <w:r>
                    <w:t xml:space="preserve">DAECROAWD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29887F2"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0A3F08F" w14:textId="2728A390" w:rsidR="00CC5182" w:rsidRDefault="00CC5182" w:rsidP="00CC5182">
                  <w:pPr>
                    <w:pStyle w:val="tablebody0"/>
                    <w:rPr>
                      <w:i/>
                    </w:rPr>
                  </w:pPr>
                  <w:r>
                    <w:rPr>
                      <w:i/>
                    </w:rPr>
                    <w:t>Day-Ahead ERCOT Contingency Service Only Award for the QSE</w:t>
                  </w:r>
                  <w:r>
                    <w:sym w:font="Symbol" w:char="F0BE"/>
                  </w:r>
                  <w:r>
                    <w:t xml:space="preserve">The ECRS only capacity awarded in the DAM to the QSE </w:t>
                  </w:r>
                  <w:r>
                    <w:rPr>
                      <w:i/>
                    </w:rPr>
                    <w:t>q</w:t>
                  </w:r>
                  <w:r>
                    <w:t xml:space="preserve"> for the </w:t>
                  </w:r>
                  <w:r>
                    <w:rPr>
                      <w:szCs w:val="18"/>
                    </w:rPr>
                    <w:t>Operating Hour</w:t>
                  </w:r>
                  <w:r>
                    <w:t>.</w:t>
                  </w:r>
                </w:p>
              </w:tc>
            </w:tr>
            <w:tr w:rsidR="00CC5182" w14:paraId="005D961A"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383E66A" w14:textId="77777777" w:rsidR="00CC5182" w:rsidRDefault="00CC5182" w:rsidP="00CC5182">
                  <w:pPr>
                    <w:pStyle w:val="tablebody0"/>
                  </w:pPr>
                  <w:r>
                    <w:lastRenderedPageBreak/>
                    <w:t>RTMCPCECR</w:t>
                  </w:r>
                </w:p>
              </w:tc>
              <w:tc>
                <w:tcPr>
                  <w:tcW w:w="623" w:type="pct"/>
                  <w:tcBorders>
                    <w:top w:val="single" w:sz="4" w:space="0" w:color="auto"/>
                    <w:left w:val="single" w:sz="4" w:space="0" w:color="auto"/>
                    <w:bottom w:val="single" w:sz="4" w:space="0" w:color="auto"/>
                    <w:right w:val="single" w:sz="4" w:space="0" w:color="auto"/>
                  </w:tcBorders>
                  <w:hideMark/>
                </w:tcPr>
                <w:p w14:paraId="062B4F98"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69940F3" w14:textId="6D22321E" w:rsidR="00CC5182" w:rsidRDefault="00CC5182" w:rsidP="00CC5182">
                  <w:pPr>
                    <w:pStyle w:val="tablebody0"/>
                    <w:rPr>
                      <w:i/>
                    </w:rPr>
                  </w:pPr>
                  <w:r>
                    <w:rPr>
                      <w:i/>
                    </w:rPr>
                    <w:t>Real-Time Market Clearing Price</w:t>
                  </w:r>
                  <w:r>
                    <w:rPr>
                      <w:bCs/>
                      <w:i/>
                      <w:lang w:val="pt-BR"/>
                    </w:rPr>
                    <w:t xml:space="preserve"> for Capacity</w:t>
                  </w:r>
                  <w:r>
                    <w:rPr>
                      <w:i/>
                    </w:rPr>
                    <w:t xml:space="preserve"> for ERCOT Contingency Reserve Service</w:t>
                  </w:r>
                  <w:r>
                    <w:t>—The Real-Time MCPC for ECRS for the 15-minute Settlement Interval.</w:t>
                  </w:r>
                </w:p>
              </w:tc>
            </w:tr>
            <w:tr w:rsidR="00CC5182" w14:paraId="28870CEC"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1542589" w14:textId="77777777" w:rsidR="00CC5182" w:rsidRDefault="00CC5182" w:rsidP="00CC5182">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3430B431"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B7D7F3C" w14:textId="77777777" w:rsidR="00CC5182" w:rsidRDefault="00CC5182" w:rsidP="00CC5182">
                  <w:pPr>
                    <w:pStyle w:val="tablebody0"/>
                  </w:pPr>
                  <w:r>
                    <w:t>A QSE.</w:t>
                  </w:r>
                </w:p>
              </w:tc>
            </w:tr>
          </w:tbl>
          <w:p w14:paraId="60077154" w14:textId="53E98F2D" w:rsidR="00CC5182" w:rsidRDefault="00CC5182" w:rsidP="00CC5182">
            <w:pPr>
              <w:spacing w:before="240" w:after="240"/>
            </w:pPr>
            <w:r>
              <w:t>(3)</w:t>
            </w:r>
            <w:r>
              <w:tab/>
              <w:t>ECRS Trade Overage Charge:</w:t>
            </w:r>
          </w:p>
          <w:p w14:paraId="18939B2E" w14:textId="77777777" w:rsidR="00CC5182" w:rsidRDefault="00CC5182" w:rsidP="00CC5182">
            <w:pPr>
              <w:pStyle w:val="FormulaBold"/>
            </w:pPr>
            <w:r>
              <w:t>RTECRTOAMT</w:t>
            </w:r>
            <w:r>
              <w:rPr>
                <w:i/>
                <w:vertAlign w:val="subscript"/>
              </w:rPr>
              <w:t xml:space="preserve"> q  </w:t>
            </w:r>
            <w:r>
              <w:t xml:space="preserve">= </w:t>
            </w:r>
            <w:r>
              <w:tab/>
              <w:t xml:space="preserve">(1/4) * RTECRTO </w:t>
            </w:r>
            <w:r>
              <w:rPr>
                <w:i/>
                <w:vertAlign w:val="subscript"/>
              </w:rPr>
              <w:t>q</w:t>
            </w:r>
            <w:r>
              <w:t xml:space="preserve"> * RTMCPCRECR</w:t>
            </w:r>
          </w:p>
          <w:p w14:paraId="71B4EA42" w14:textId="77777777" w:rsidR="00CC5182" w:rsidRDefault="00CC5182" w:rsidP="00CC5182">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CC5182" w14:paraId="3A1244E8" w14:textId="77777777" w:rsidTr="00CC5182">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448BC8CF" w14:textId="77777777" w:rsidR="00CC5182" w:rsidRDefault="00CC5182" w:rsidP="00CC5182">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41A37727" w14:textId="77777777" w:rsidR="00CC5182" w:rsidRDefault="00CC5182" w:rsidP="00CC5182">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371EF7B9" w14:textId="77777777" w:rsidR="00CC5182" w:rsidRDefault="00CC5182" w:rsidP="00CC5182">
                  <w:pPr>
                    <w:pStyle w:val="TableHead"/>
                  </w:pPr>
                  <w:r>
                    <w:t>Description</w:t>
                  </w:r>
                </w:p>
              </w:tc>
            </w:tr>
            <w:tr w:rsidR="00CC5182" w14:paraId="2586377B"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9EA43CF" w14:textId="77777777" w:rsidR="00CC5182" w:rsidRDefault="00CC5182" w:rsidP="00CC5182">
                  <w:pPr>
                    <w:pStyle w:val="tablebody0"/>
                  </w:pPr>
                  <w:r>
                    <w:t xml:space="preserve">RTECRTOAMT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B3839A2"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707E91A" w14:textId="422688F0" w:rsidR="00CC5182" w:rsidRDefault="00CC5182" w:rsidP="00CC5182">
                  <w:pPr>
                    <w:pStyle w:val="tablebody0"/>
                    <w:rPr>
                      <w:i/>
                    </w:rPr>
                  </w:pPr>
                  <w:r>
                    <w:rPr>
                      <w:i/>
                    </w:rPr>
                    <w:t>Real-Time ERCOT Contingency Reserve Service Trade Overage Amount for the QSE</w:t>
                  </w:r>
                  <w:r>
                    <w:t xml:space="preserve">—The total charge to QSE </w:t>
                  </w:r>
                  <w:r>
                    <w:rPr>
                      <w:i/>
                    </w:rPr>
                    <w:t>q</w:t>
                  </w:r>
                  <w:r>
                    <w:t xml:space="preserve"> in Real-Time for ECRS trade overages for each 15-minute Settlement Interval.</w:t>
                  </w:r>
                </w:p>
              </w:tc>
            </w:tr>
            <w:tr w:rsidR="00CC5182" w14:paraId="5F4E76A2"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90B2388" w14:textId="77777777" w:rsidR="00CC5182" w:rsidRDefault="00CC5182" w:rsidP="00CC5182">
                  <w:pPr>
                    <w:pStyle w:val="tablebody0"/>
                  </w:pPr>
                  <w:r>
                    <w:t xml:space="preserve">RTECRTO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B5ED493"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00DDFC5" w14:textId="6685DFAD" w:rsidR="00CC5182" w:rsidRDefault="00CC5182" w:rsidP="00CC5182">
                  <w:pPr>
                    <w:pStyle w:val="tablebody0"/>
                  </w:pPr>
                  <w:r>
                    <w:rPr>
                      <w:i/>
                    </w:rPr>
                    <w:t>Real-Time ERCOT Contingency Reserve Service Trade Overage for the QSE</w:t>
                  </w:r>
                  <w:r>
                    <w:sym w:font="Symbol" w:char="F0BE"/>
                  </w:r>
                  <w:r>
                    <w:t xml:space="preserve">The quantity of submitted ECRS trades in excess of their DAM self-arrangement quantity for the QSE </w:t>
                  </w:r>
                  <w:r>
                    <w:rPr>
                      <w:i/>
                    </w:rPr>
                    <w:t>q</w:t>
                  </w:r>
                  <w:r>
                    <w:t xml:space="preserve"> for the </w:t>
                  </w:r>
                  <w:r>
                    <w:rPr>
                      <w:szCs w:val="18"/>
                    </w:rPr>
                    <w:t>Operating Hour</w:t>
                  </w:r>
                  <w:r>
                    <w:t>.</w:t>
                  </w:r>
                </w:p>
              </w:tc>
            </w:tr>
            <w:tr w:rsidR="00CC5182" w14:paraId="3AD9F370"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02A1E9C" w14:textId="77777777" w:rsidR="00CC5182" w:rsidRDefault="00CC5182" w:rsidP="00CC5182">
                  <w:pPr>
                    <w:pStyle w:val="tablebody0"/>
                  </w:pPr>
                  <w:r>
                    <w:t>RTMCPCECR</w:t>
                  </w:r>
                </w:p>
              </w:tc>
              <w:tc>
                <w:tcPr>
                  <w:tcW w:w="623" w:type="pct"/>
                  <w:tcBorders>
                    <w:top w:val="single" w:sz="4" w:space="0" w:color="auto"/>
                    <w:left w:val="single" w:sz="4" w:space="0" w:color="auto"/>
                    <w:bottom w:val="single" w:sz="4" w:space="0" w:color="auto"/>
                    <w:right w:val="single" w:sz="4" w:space="0" w:color="auto"/>
                  </w:tcBorders>
                  <w:hideMark/>
                </w:tcPr>
                <w:p w14:paraId="4AE526E1"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4116845" w14:textId="46295D20" w:rsidR="00CC5182" w:rsidRDefault="00CC5182" w:rsidP="00CC5182">
                  <w:pPr>
                    <w:pStyle w:val="tablebody0"/>
                    <w:rPr>
                      <w:i/>
                    </w:rPr>
                  </w:pPr>
                  <w:r>
                    <w:rPr>
                      <w:i/>
                    </w:rPr>
                    <w:t>Real-Time Market Clearing Price</w:t>
                  </w:r>
                  <w:r>
                    <w:rPr>
                      <w:bCs/>
                      <w:i/>
                      <w:lang w:val="pt-BR"/>
                    </w:rPr>
                    <w:t xml:space="preserve"> for Capacity</w:t>
                  </w:r>
                  <w:r>
                    <w:rPr>
                      <w:i/>
                    </w:rPr>
                    <w:t xml:space="preserve"> for ERCOT Contingency Reserve Service</w:t>
                  </w:r>
                  <w:r>
                    <w:t>—The Real-Time MCPC for ECRS for the 15-minute Settlement Interval.</w:t>
                  </w:r>
                </w:p>
              </w:tc>
            </w:tr>
            <w:tr w:rsidR="00CC5182" w14:paraId="4C90722B"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65CD765" w14:textId="77777777" w:rsidR="00CC5182" w:rsidRDefault="00CC5182" w:rsidP="00CC5182">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42C01103"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5D597954" w14:textId="77777777" w:rsidR="00CC5182" w:rsidRDefault="00CC5182" w:rsidP="00CC5182">
                  <w:pPr>
                    <w:pStyle w:val="tablebody0"/>
                  </w:pPr>
                  <w:r>
                    <w:t>A QSE.</w:t>
                  </w:r>
                </w:p>
              </w:tc>
            </w:tr>
          </w:tbl>
          <w:p w14:paraId="33CB06D8" w14:textId="423047EA" w:rsidR="008871B2" w:rsidRPr="008871B2" w:rsidRDefault="008871B2" w:rsidP="001138B9">
            <w:pPr>
              <w:keepNext/>
              <w:tabs>
                <w:tab w:val="left" w:pos="1080"/>
              </w:tabs>
              <w:spacing w:before="480" w:after="240"/>
              <w:outlineLvl w:val="2"/>
              <w:rPr>
                <w:b/>
                <w:bCs/>
                <w:i/>
              </w:rPr>
            </w:pPr>
          </w:p>
        </w:tc>
      </w:tr>
    </w:tbl>
    <w:p w14:paraId="34956572"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4DF163E1" w14:textId="77777777" w:rsidTr="001138B9">
        <w:trPr>
          <w:trHeight w:val="206"/>
        </w:trPr>
        <w:tc>
          <w:tcPr>
            <w:tcW w:w="9350" w:type="dxa"/>
            <w:shd w:val="pct12" w:color="auto" w:fill="auto"/>
          </w:tcPr>
          <w:p w14:paraId="6261A3B3" w14:textId="029E8127" w:rsidR="008871B2" w:rsidRDefault="008871B2" w:rsidP="001138B9">
            <w:pPr>
              <w:pStyle w:val="Instructions"/>
              <w:spacing w:before="120"/>
            </w:pPr>
            <w:r>
              <w:t>[NPRR1010</w:t>
            </w:r>
            <w:r w:rsidR="00857818">
              <w:t xml:space="preserve"> and NPRR1245</w:t>
            </w:r>
            <w:r>
              <w:t>:  Insert Section 6.7.5.7 below upon system implementation of the Real-Time Co-Optimization (RTC) project:]</w:t>
            </w:r>
          </w:p>
          <w:p w14:paraId="5497BAAF" w14:textId="77777777" w:rsidR="00CC5182" w:rsidRPr="00CC5182" w:rsidRDefault="00CC5182" w:rsidP="00CC5182">
            <w:pPr>
              <w:pStyle w:val="Heading4"/>
              <w:numPr>
                <w:ilvl w:val="0"/>
                <w:numId w:val="0"/>
              </w:numPr>
              <w:spacing w:before="480"/>
            </w:pPr>
            <w:bookmarkStart w:id="2804" w:name="_Toc204411756"/>
            <w:r w:rsidRPr="00CC5182">
              <w:rPr>
                <w:bCs w:val="0"/>
              </w:rPr>
              <w:t>6.7.5.7</w:t>
            </w:r>
            <w:r w:rsidRPr="00CC5182">
              <w:rPr>
                <w:bCs w:val="0"/>
              </w:rPr>
              <w:tab/>
              <w:t>Real-Time Derated Ancillary Service Capability Payment</w:t>
            </w:r>
            <w:bookmarkEnd w:id="2804"/>
          </w:p>
          <w:p w14:paraId="5BE1ABB5" w14:textId="77777777" w:rsidR="00CC5182" w:rsidRDefault="00CC5182" w:rsidP="00CC5182">
            <w:pPr>
              <w:spacing w:after="240"/>
              <w:ind w:left="720" w:hanging="720"/>
              <w:rPr>
                <w:color w:val="000000"/>
              </w:rPr>
            </w:pPr>
            <w:r>
              <w:rPr>
                <w:color w:val="000000"/>
              </w:rPr>
              <w:t>(1)</w:t>
            </w:r>
            <w:r>
              <w:rPr>
                <w:color w:val="000000"/>
              </w:rPr>
              <w:tab/>
              <w:t xml:space="preserve">If ERCOT manually reduces the amount of an Ancillary Service that may be awarded to a Resource in Real-Time under paragraph (6) of Section 6.4.9.1.1, Ancillary Service Awards, and the reduction reduces the payment the QSE would have received under Section 6.7.5.1, Real-Time Ancillary Service Imbalance Payment or Charge, the QSE may be eligible for a Real-Time derated Ancillary Service capability payment under this Section. </w:t>
            </w:r>
          </w:p>
          <w:p w14:paraId="7B851A50" w14:textId="77777777" w:rsidR="00CC5182" w:rsidRDefault="00CC5182" w:rsidP="00CC5182">
            <w:pPr>
              <w:spacing w:after="240"/>
              <w:ind w:left="720" w:hanging="720"/>
              <w:rPr>
                <w:color w:val="000000"/>
              </w:rPr>
            </w:pPr>
            <w:r>
              <w:rPr>
                <w:color w:val="000000"/>
              </w:rPr>
              <w:t>(2)</w:t>
            </w:r>
            <w:r>
              <w:rPr>
                <w:color w:val="000000"/>
              </w:rPr>
              <w:tab/>
              <w:t xml:space="preserve">In order to be eligible for a Real-Time derated Ancillary Service capability payment, the QSE must: </w:t>
            </w:r>
          </w:p>
          <w:p w14:paraId="3C4F6DEB" w14:textId="3BE661CD" w:rsidR="00CC5182" w:rsidRDefault="00CC5182" w:rsidP="00CC5182">
            <w:pPr>
              <w:spacing w:after="240"/>
              <w:ind w:left="1440" w:hanging="720"/>
              <w:rPr>
                <w:color w:val="000000"/>
              </w:rPr>
            </w:pPr>
            <w:r>
              <w:rPr>
                <w:color w:val="000000"/>
              </w:rPr>
              <w:t>(a)</w:t>
            </w:r>
            <w:r>
              <w:rPr>
                <w:color w:val="000000"/>
              </w:rPr>
              <w:tab/>
              <w:t>File a timely Settlement and billing dispute, identifying the following items, by Settlement Interval:</w:t>
            </w:r>
          </w:p>
          <w:p w14:paraId="77C61FD9" w14:textId="77777777" w:rsidR="00221A13" w:rsidRDefault="00CC5182" w:rsidP="00221A13">
            <w:pPr>
              <w:spacing w:after="240"/>
              <w:ind w:left="2160" w:hanging="720"/>
            </w:pPr>
            <w:r>
              <w:t>(i)</w:t>
            </w:r>
            <w:r>
              <w:tab/>
              <w:t>Dollar amount and calculation of the estimated Real-Time derated Ancillary Service capability payment;</w:t>
            </w:r>
          </w:p>
          <w:p w14:paraId="4E3897C7" w14:textId="1042D2C3" w:rsidR="00CC5182" w:rsidRPr="00221A13" w:rsidRDefault="00CC5182" w:rsidP="00221A13">
            <w:pPr>
              <w:spacing w:after="240"/>
              <w:ind w:left="2160" w:hanging="720"/>
            </w:pPr>
            <w:r>
              <w:lastRenderedPageBreak/>
              <w:t>(ii)</w:t>
            </w:r>
            <w:r>
              <w:tab/>
            </w:r>
            <w:r>
              <w:rPr>
                <w:color w:val="000000"/>
              </w:rPr>
              <w:t>The quantity of Ancillary Service awards, by Ancillary Service product, that were not awarded due to ERCOT’s manual reduction of the Resource’s Ancillary Service capability;</w:t>
            </w:r>
          </w:p>
          <w:p w14:paraId="6C238B1A" w14:textId="77777777" w:rsidR="00CC5182" w:rsidRDefault="00CC5182" w:rsidP="00CC5182">
            <w:pPr>
              <w:spacing w:after="240"/>
              <w:ind w:left="2160" w:hanging="720"/>
              <w:rPr>
                <w:color w:val="000000"/>
              </w:rPr>
            </w:pPr>
            <w:r>
              <w:rPr>
                <w:color w:val="000000"/>
              </w:rPr>
              <w:t>(iii)</w:t>
            </w:r>
            <w:r>
              <w:rPr>
                <w:color w:val="000000"/>
              </w:rPr>
              <w:tab/>
              <w:t>Any additional revenues earned by the QSE under Section 6.6.3.1, Real-Time Energy Imbalance Payment or Charge at a Resource Node; and</w:t>
            </w:r>
          </w:p>
          <w:p w14:paraId="2A9C4E2C" w14:textId="77777777" w:rsidR="00CC5182" w:rsidRDefault="00CC5182" w:rsidP="00CC5182">
            <w:pPr>
              <w:spacing w:after="240"/>
              <w:ind w:left="2160" w:hanging="720"/>
              <w:rPr>
                <w:color w:val="000000"/>
              </w:rPr>
            </w:pPr>
            <w:r>
              <w:rPr>
                <w:color w:val="000000"/>
              </w:rPr>
              <w:t>(iv)</w:t>
            </w:r>
            <w:r>
              <w:rPr>
                <w:color w:val="000000"/>
              </w:rPr>
              <w:tab/>
              <w:t>Any additional revenues earned by the QSE under Section 6.7.5.1, Real-Time Ancillary Service Imbalance Payment or Charge.</w:t>
            </w:r>
          </w:p>
          <w:p w14:paraId="496FACD9" w14:textId="6E9C3BC8" w:rsidR="00CC5182" w:rsidRDefault="00CC5182" w:rsidP="00CC5182">
            <w:pPr>
              <w:spacing w:after="240"/>
              <w:ind w:left="1440" w:hanging="720"/>
              <w:rPr>
                <w:color w:val="000000"/>
              </w:rPr>
            </w:pPr>
            <w:r>
              <w:rPr>
                <w:color w:val="000000"/>
              </w:rPr>
              <w:t>(b)</w:t>
            </w:r>
            <w:r>
              <w:rPr>
                <w:color w:val="000000"/>
              </w:rPr>
              <w:tab/>
              <w:t>Have submitted an Ancillary Service Offer for the disputed Settlement Interval(s).  The Ancillary Service Offer used to calculate the Real-Time derated Ancillary Service capability payment shall be the most recent offer received by ERCOT effective for the disputed Settlement Interval(s) before ERCOT manually reduced the amount of Ancillary Service to be awarded.</w:t>
            </w:r>
          </w:p>
          <w:p w14:paraId="5C46E9E1" w14:textId="77777777" w:rsidR="00CC5182" w:rsidRDefault="00CC5182" w:rsidP="00CC5182">
            <w:pPr>
              <w:spacing w:after="240"/>
              <w:ind w:left="720" w:hanging="720"/>
              <w:rPr>
                <w:color w:val="000000"/>
              </w:rPr>
            </w:pPr>
            <w:r>
              <w:rPr>
                <w:color w:val="000000"/>
              </w:rPr>
              <w:t>(3)</w:t>
            </w:r>
            <w:r>
              <w:rPr>
                <w:color w:val="000000"/>
              </w:rPr>
              <w:tab/>
              <w:t xml:space="preserve">ERCOT shall attempt to validate the calculations provided by the QSE, and may request additional supporting documentation or explanation with respect to the submitted materials within 15 Business Days of receipt.  Additional information requested by ERCOT must be provided by the QSE within 15 Business Days of ERCOT’s request.  Upon determination by ERCOT that no additional supporting documentation or explanation is needed from the disputing QSE, ERCOT shall notify the QSE of its acceptance or rejection of the claim for the </w:t>
            </w:r>
            <w:r>
              <w:t>Real-Time derated Ancillary Service capability payment</w:t>
            </w:r>
            <w:r>
              <w:rPr>
                <w:color w:val="000000"/>
              </w:rPr>
              <w:t xml:space="preserve"> within 15 Business Days.</w:t>
            </w:r>
          </w:p>
          <w:p w14:paraId="27874FE8" w14:textId="77777777" w:rsidR="00CC5182" w:rsidRDefault="00CC5182" w:rsidP="00CC5182">
            <w:pPr>
              <w:spacing w:after="240"/>
              <w:ind w:left="720" w:hanging="720"/>
              <w:rPr>
                <w:color w:val="000000"/>
              </w:rPr>
            </w:pPr>
            <w:r>
              <w:rPr>
                <w:color w:val="000000"/>
              </w:rPr>
              <w:t>(4)</w:t>
            </w:r>
            <w:r>
              <w:rPr>
                <w:color w:val="000000"/>
              </w:rPr>
              <w:tab/>
              <w:t>The price used to determine the derated MWs that were not awarded due to the manual reduction shall be the Real-Time MCPC for the Ancillary Service that was reduced.</w:t>
            </w:r>
          </w:p>
          <w:p w14:paraId="0D1131BB" w14:textId="76595BD3" w:rsidR="00CC5182" w:rsidRDefault="00CC5182" w:rsidP="00CC5182">
            <w:pPr>
              <w:spacing w:after="240"/>
              <w:ind w:left="720" w:hanging="720"/>
              <w:rPr>
                <w:color w:val="000000"/>
              </w:rPr>
            </w:pPr>
            <w:r>
              <w:rPr>
                <w:color w:val="000000"/>
              </w:rPr>
              <w:t>(5)</w:t>
            </w:r>
            <w:r>
              <w:rPr>
                <w:color w:val="000000"/>
              </w:rPr>
              <w:tab/>
              <w:t>The amount recoverable under this section shall be capped by the Real-Time MCPC for the Ancillary Service that was reduced, multiplied by the reduced quantity.</w:t>
            </w:r>
          </w:p>
          <w:p w14:paraId="67AD7A1E" w14:textId="77777777" w:rsidR="00CC5182" w:rsidRDefault="00CC5182" w:rsidP="00CC5182">
            <w:pPr>
              <w:spacing w:after="240"/>
              <w:ind w:left="720" w:hanging="720"/>
              <w:rPr>
                <w:color w:val="000000"/>
              </w:rPr>
            </w:pPr>
            <w:r>
              <w:rPr>
                <w:color w:val="000000"/>
              </w:rPr>
              <w:t>(6)</w:t>
            </w:r>
            <w:r>
              <w:rPr>
                <w:color w:val="000000"/>
              </w:rPr>
              <w:tab/>
              <w:t>The amount recoverable under this Section shall be reduced by any additional revenue received by the QSE, as determined in paragraphs (2)(a)(iii) and (2)(a)(iv) above. </w:t>
            </w:r>
          </w:p>
          <w:p w14:paraId="0532D108" w14:textId="77777777" w:rsidR="00CC5182" w:rsidRDefault="00CC5182" w:rsidP="00CC5182">
            <w:pPr>
              <w:spacing w:after="240"/>
              <w:ind w:left="720" w:hanging="720"/>
              <w:rPr>
                <w:color w:val="000000"/>
              </w:rPr>
            </w:pPr>
            <w:r>
              <w:rPr>
                <w:color w:val="000000"/>
              </w:rPr>
              <w:t>(7)</w:t>
            </w:r>
            <w:r>
              <w:rPr>
                <w:color w:val="000000"/>
              </w:rPr>
              <w:tab/>
              <w:t xml:space="preserve">The Real-Time derated Ancillary Service capability payment for a given 15-minute Settlement Interval is calculated as follows:  </w:t>
            </w:r>
          </w:p>
          <w:p w14:paraId="0989C440" w14:textId="3B25E287" w:rsidR="00CC5182" w:rsidRDefault="00CC5182" w:rsidP="00CC5182">
            <w:pPr>
              <w:spacing w:after="240"/>
              <w:ind w:left="2340" w:hanging="1620"/>
              <w:rPr>
                <w:color w:val="000000"/>
              </w:rPr>
            </w:pPr>
            <w:r>
              <w:rPr>
                <w:b/>
                <w:bCs/>
                <w:lang w:val="pt-BR"/>
              </w:rPr>
              <w:t xml:space="preserve">RTDASAMT </w:t>
            </w:r>
            <w:r>
              <w:rPr>
                <w:b/>
                <w:bCs/>
                <w:i/>
                <w:vertAlign w:val="subscript"/>
                <w:lang w:val="es-ES"/>
              </w:rPr>
              <w:t xml:space="preserve">q </w:t>
            </w:r>
            <w:r>
              <w:rPr>
                <w:b/>
                <w:bCs/>
                <w:lang w:val="pt-BR"/>
              </w:rPr>
              <w:t xml:space="preserve">= </w:t>
            </w:r>
            <w:r>
              <w:rPr>
                <w:b/>
                <w:bCs/>
                <w:vertAlign w:val="subscript"/>
                <w:lang w:val="es-ES"/>
              </w:rPr>
              <w:t xml:space="preserve"> </w:t>
            </w:r>
            <w:r>
              <w:rPr>
                <w:b/>
                <w:bCs/>
                <w:lang w:val="es-ES"/>
              </w:rPr>
              <w:t xml:space="preserve">(-1) * </w:t>
            </w:r>
            <w:r w:rsidR="00857818" w:rsidRPr="00D476E3">
              <w:rPr>
                <w:b/>
                <w:bCs/>
              </w:rPr>
              <w:t>Max [0,</w:t>
            </w:r>
            <w:r w:rsidR="00857818" w:rsidRPr="00D476E3">
              <w:t xml:space="preserve"> </w:t>
            </w:r>
            <w:r>
              <w:rPr>
                <w:b/>
                <w:bCs/>
                <w:lang w:val="es-ES"/>
              </w:rPr>
              <w:t>Min[(</w:t>
            </w:r>
            <w:r>
              <w:rPr>
                <w:b/>
                <w:bCs/>
                <w:lang w:val="pt-BR"/>
              </w:rPr>
              <w:t xml:space="preserve">RTRUILD </w:t>
            </w:r>
            <w:r>
              <w:rPr>
                <w:b/>
                <w:bCs/>
                <w:i/>
                <w:vertAlign w:val="subscript"/>
                <w:lang w:val="es-ES"/>
              </w:rPr>
              <w:t xml:space="preserve">q </w:t>
            </w:r>
            <w:r>
              <w:rPr>
                <w:b/>
                <w:bCs/>
                <w:lang w:val="pt-BR"/>
              </w:rPr>
              <w:t xml:space="preserve">+ RTRDILD </w:t>
            </w:r>
            <w:r>
              <w:rPr>
                <w:b/>
                <w:bCs/>
                <w:i/>
                <w:vertAlign w:val="subscript"/>
                <w:lang w:val="es-ES"/>
              </w:rPr>
              <w:t xml:space="preserve">q </w:t>
            </w:r>
            <w:r>
              <w:rPr>
                <w:b/>
                <w:bCs/>
                <w:lang w:val="pt-BR"/>
              </w:rPr>
              <w:t xml:space="preserve">+ RTRRILD </w:t>
            </w:r>
            <w:r>
              <w:rPr>
                <w:b/>
                <w:bCs/>
                <w:i/>
                <w:vertAlign w:val="subscript"/>
                <w:lang w:val="es-ES"/>
              </w:rPr>
              <w:t xml:space="preserve">q </w:t>
            </w:r>
            <w:r>
              <w:rPr>
                <w:b/>
                <w:bCs/>
                <w:lang w:val="pt-BR"/>
              </w:rPr>
              <w:t>+ RTNSILD</w:t>
            </w:r>
            <w:r w:rsidR="00857818">
              <w:rPr>
                <w:b/>
                <w:bCs/>
                <w:lang w:val="pt-BR"/>
              </w:rPr>
              <w:t xml:space="preserve"> </w:t>
            </w:r>
            <w:r>
              <w:rPr>
                <w:b/>
                <w:bCs/>
                <w:i/>
                <w:vertAlign w:val="subscript"/>
                <w:lang w:val="es-ES"/>
              </w:rPr>
              <w:t xml:space="preserve">q </w:t>
            </w:r>
            <w:r>
              <w:rPr>
                <w:b/>
                <w:bCs/>
                <w:lang w:val="pt-BR"/>
              </w:rPr>
              <w:t xml:space="preserve">+ RTECRILD </w:t>
            </w:r>
            <w:r>
              <w:rPr>
                <w:b/>
                <w:bCs/>
                <w:i/>
                <w:vertAlign w:val="subscript"/>
                <w:lang w:val="es-ES"/>
              </w:rPr>
              <w:t xml:space="preserve">q </w:t>
            </w:r>
            <w:r>
              <w:rPr>
                <w:b/>
                <w:bCs/>
                <w:i/>
                <w:vertAlign w:val="subscript"/>
                <w:lang w:val="pt-BR"/>
              </w:rPr>
              <w:t xml:space="preserve"> </w:t>
            </w:r>
            <w:r>
              <w:rPr>
                <w:b/>
                <w:bCs/>
                <w:lang w:val="pt-BR"/>
              </w:rPr>
              <w:t xml:space="preserve">– RTEIRD </w:t>
            </w:r>
            <w:r>
              <w:rPr>
                <w:i/>
                <w:iCs/>
                <w:sz w:val="20"/>
                <w:vertAlign w:val="subscript"/>
              </w:rPr>
              <w:t>q</w:t>
            </w:r>
            <w:r>
              <w:rPr>
                <w:b/>
                <w:bCs/>
                <w:lang w:val="pt-BR"/>
              </w:rPr>
              <w:t xml:space="preserve"> – RTASIRD</w:t>
            </w:r>
            <w:r>
              <w:rPr>
                <w:b/>
                <w:bCs/>
                <w:i/>
                <w:vertAlign w:val="subscript"/>
                <w:lang w:val="pt-BR"/>
              </w:rPr>
              <w:t xml:space="preserve"> q</w:t>
            </w:r>
            <w:r>
              <w:rPr>
                <w:b/>
                <w:bCs/>
                <w:lang w:val="es-ES"/>
              </w:rPr>
              <w:t xml:space="preserve">), </w:t>
            </w:r>
            <w:r>
              <w:rPr>
                <w:position w:val="-18"/>
                <w:szCs w:val="24"/>
              </w:rPr>
              <w:object w:dxaOrig="285" w:dyaOrig="570" w14:anchorId="7B5059F3">
                <v:shape id="_x0000_i1421" type="#_x0000_t75" style="width:12pt;height:30pt" o:ole="">
                  <v:imagedata r:id="rId159" o:title=""/>
                </v:shape>
                <o:OLEObject Type="Embed" ProgID="Equation.3" ShapeID="_x0000_i1421" DrawAspect="Content" ObjectID="_1815025609" r:id="rId513"/>
              </w:object>
            </w:r>
            <w:r>
              <w:rPr>
                <w:b/>
              </w:rPr>
              <w:t>RTDASCAP</w:t>
            </w:r>
            <w:r w:rsidR="00857818">
              <w:rPr>
                <w:b/>
              </w:rPr>
              <w:t xml:space="preserve"> </w:t>
            </w:r>
            <w:r>
              <w:rPr>
                <w:b/>
                <w:i/>
                <w:vertAlign w:val="subscript"/>
              </w:rPr>
              <w:t>q,</w:t>
            </w:r>
            <w:r w:rsidR="00857818">
              <w:rPr>
                <w:b/>
                <w:i/>
                <w:vertAlign w:val="subscript"/>
              </w:rPr>
              <w:t xml:space="preserve"> </w:t>
            </w:r>
            <w:r>
              <w:rPr>
                <w:b/>
                <w:i/>
                <w:vertAlign w:val="subscript"/>
              </w:rPr>
              <w:t>r</w:t>
            </w:r>
            <w:r>
              <w:rPr>
                <w:b/>
              </w:rPr>
              <w:t>]</w:t>
            </w:r>
            <w:r w:rsidR="00857818">
              <w:rPr>
                <w:b/>
              </w:rPr>
              <w:t>]</w:t>
            </w:r>
          </w:p>
          <w:p w14:paraId="053A8267" w14:textId="77777777" w:rsidR="00CC5182" w:rsidRDefault="00CC5182" w:rsidP="00CC5182">
            <w:pPr>
              <w:tabs>
                <w:tab w:val="left" w:pos="1440"/>
                <w:tab w:val="left" w:pos="2340"/>
              </w:tabs>
              <w:spacing w:after="240"/>
              <w:ind w:left="3420" w:hanging="2700"/>
              <w:jc w:val="both"/>
              <w:rPr>
                <w:bCs/>
                <w:lang w:val="pt-BR"/>
              </w:rPr>
            </w:pPr>
            <w:r>
              <w:rPr>
                <w:bCs/>
                <w:lang w:val="pt-BR"/>
              </w:rPr>
              <w:t>Where:</w:t>
            </w:r>
          </w:p>
          <w:p w14:paraId="6A91A38E" w14:textId="67083728" w:rsidR="00CC5182" w:rsidRDefault="00CC5182" w:rsidP="00857818">
            <w:pPr>
              <w:tabs>
                <w:tab w:val="left" w:pos="1440"/>
                <w:tab w:val="left" w:pos="2250"/>
              </w:tabs>
              <w:spacing w:after="240"/>
              <w:ind w:left="1980" w:hanging="1260"/>
              <w:jc w:val="both"/>
              <w:rPr>
                <w:bCs/>
                <w:i/>
                <w:vertAlign w:val="subscript"/>
                <w:lang w:val="pt-BR"/>
              </w:rPr>
            </w:pPr>
            <w:r>
              <w:t>RTDASCAP</w:t>
            </w:r>
            <w:r w:rsidR="00857818">
              <w:t xml:space="preserve"> </w:t>
            </w:r>
            <w:r>
              <w:rPr>
                <w:i/>
                <w:vertAlign w:val="subscript"/>
              </w:rPr>
              <w:t>q. r</w:t>
            </w:r>
            <w:r>
              <w:t xml:space="preserve"> =  (1/4) * (RTMCPCRU</w:t>
            </w:r>
            <w:r>
              <w:rPr>
                <w:bCs/>
                <w:lang w:val="pt-BR"/>
              </w:rPr>
              <w:t xml:space="preserve"> * RTRUDQ </w:t>
            </w:r>
            <w:r>
              <w:rPr>
                <w:bCs/>
                <w:i/>
                <w:vertAlign w:val="subscript"/>
                <w:lang w:val="pt-BR"/>
              </w:rPr>
              <w:t>q, r</w:t>
            </w:r>
            <w:r>
              <w:rPr>
                <w:b/>
                <w:bCs/>
                <w:i/>
                <w:vertAlign w:val="subscript"/>
                <w:lang w:val="es-ES"/>
              </w:rPr>
              <w:t xml:space="preserve"> </w:t>
            </w:r>
            <w:r>
              <w:rPr>
                <w:b/>
                <w:bCs/>
                <w:lang w:val="pt-BR"/>
              </w:rPr>
              <w:t>+</w:t>
            </w:r>
            <w:r w:rsidR="00857818">
              <w:rPr>
                <w:b/>
                <w:bCs/>
                <w:lang w:val="pt-BR"/>
              </w:rPr>
              <w:t xml:space="preserve"> </w:t>
            </w:r>
            <w:r>
              <w:t>RTMCPCRD</w:t>
            </w:r>
            <w:r>
              <w:rPr>
                <w:bCs/>
                <w:lang w:val="pt-BR"/>
              </w:rPr>
              <w:t xml:space="preserve"> * RTRDDQ </w:t>
            </w:r>
            <w:r>
              <w:rPr>
                <w:bCs/>
                <w:i/>
                <w:vertAlign w:val="subscript"/>
                <w:lang w:val="pt-BR"/>
              </w:rPr>
              <w:t>q, r</w:t>
            </w:r>
            <w:r w:rsidR="00857818">
              <w:rPr>
                <w:bCs/>
                <w:i/>
                <w:vertAlign w:val="subscript"/>
                <w:lang w:val="pt-BR"/>
              </w:rPr>
              <w:t xml:space="preserve"> </w:t>
            </w:r>
            <w:r>
              <w:rPr>
                <w:b/>
                <w:bCs/>
                <w:lang w:val="pt-BR"/>
              </w:rPr>
              <w:t xml:space="preserve">+ </w:t>
            </w:r>
            <w:r>
              <w:t>RTMCPCRR</w:t>
            </w:r>
            <w:r>
              <w:rPr>
                <w:bCs/>
                <w:lang w:val="pt-BR"/>
              </w:rPr>
              <w:t xml:space="preserve"> * RTRRDQ </w:t>
            </w:r>
            <w:r>
              <w:rPr>
                <w:bCs/>
                <w:i/>
                <w:vertAlign w:val="subscript"/>
                <w:lang w:val="pt-BR"/>
              </w:rPr>
              <w:t xml:space="preserve">q, r </w:t>
            </w:r>
            <w:r>
              <w:rPr>
                <w:b/>
                <w:bCs/>
                <w:lang w:val="pt-BR"/>
              </w:rPr>
              <w:t xml:space="preserve">+ </w:t>
            </w:r>
            <w:r>
              <w:t>RTMCPCNS</w:t>
            </w:r>
            <w:r>
              <w:rPr>
                <w:bCs/>
                <w:lang w:val="pt-BR"/>
              </w:rPr>
              <w:t xml:space="preserve"> * RTNSDQ </w:t>
            </w:r>
            <w:r>
              <w:rPr>
                <w:bCs/>
                <w:i/>
                <w:vertAlign w:val="subscript"/>
                <w:lang w:val="pt-BR"/>
              </w:rPr>
              <w:t xml:space="preserve">q, r </w:t>
            </w:r>
            <w:r>
              <w:rPr>
                <w:b/>
                <w:bCs/>
                <w:lang w:val="pt-BR"/>
              </w:rPr>
              <w:t xml:space="preserve">+ </w:t>
            </w:r>
            <w:r>
              <w:rPr>
                <w:bCs/>
                <w:i/>
                <w:vertAlign w:val="subscript"/>
                <w:lang w:val="pt-BR"/>
              </w:rPr>
              <w:t xml:space="preserve"> </w:t>
            </w:r>
          </w:p>
          <w:p w14:paraId="703C5F2A" w14:textId="4D00C99A" w:rsidR="00CC5182" w:rsidRDefault="00CC5182" w:rsidP="00CC5182">
            <w:pPr>
              <w:tabs>
                <w:tab w:val="left" w:pos="1440"/>
                <w:tab w:val="left" w:pos="2250"/>
              </w:tabs>
              <w:spacing w:before="240" w:after="240"/>
              <w:ind w:left="1980" w:hanging="1350"/>
              <w:jc w:val="both"/>
              <w:rPr>
                <w:bCs/>
                <w:lang w:val="pt-BR"/>
              </w:rPr>
            </w:pPr>
            <w:r>
              <w:rPr>
                <w:bCs/>
                <w:i/>
                <w:vertAlign w:val="subscript"/>
                <w:lang w:val="pt-BR"/>
              </w:rPr>
              <w:lastRenderedPageBreak/>
              <w:tab/>
            </w:r>
            <w:r>
              <w:rPr>
                <w:bCs/>
                <w:i/>
                <w:vertAlign w:val="subscript"/>
                <w:lang w:val="pt-BR"/>
              </w:rPr>
              <w:tab/>
            </w:r>
            <w:r>
              <w:t>RTMCPCECR</w:t>
            </w:r>
            <w:r>
              <w:rPr>
                <w:bCs/>
                <w:lang w:val="pt-BR"/>
              </w:rPr>
              <w:t xml:space="preserve"> * RTECRDQ </w:t>
            </w:r>
            <w:r>
              <w:rPr>
                <w:bCs/>
                <w:i/>
                <w:vertAlign w:val="subscript"/>
                <w:lang w:val="pt-BR"/>
              </w:rPr>
              <w:t>q, r</w:t>
            </w:r>
            <w:r>
              <w:rPr>
                <w:bCs/>
                <w:lang w:val="pt-BR"/>
              </w:rPr>
              <w:t>)</w:t>
            </w:r>
          </w:p>
          <w:p w14:paraId="571BD3A1" w14:textId="77777777" w:rsidR="00CC5182" w:rsidRDefault="00CC5182" w:rsidP="00CC5182">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739"/>
              <w:gridCol w:w="6273"/>
            </w:tblGrid>
            <w:tr w:rsidR="00CC5182" w14:paraId="5133637E"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192AD9D" w14:textId="77777777" w:rsidR="00CC5182" w:rsidRDefault="00CC5182" w:rsidP="00CC5182">
                  <w:pPr>
                    <w:spacing w:after="240"/>
                    <w:rPr>
                      <w:b/>
                      <w:iCs/>
                      <w:sz w:val="20"/>
                    </w:rPr>
                  </w:pPr>
                  <w:r>
                    <w:rPr>
                      <w:b/>
                      <w:iCs/>
                      <w:sz w:val="20"/>
                    </w:rPr>
                    <w:t>Variable</w:t>
                  </w:r>
                </w:p>
              </w:tc>
              <w:tc>
                <w:tcPr>
                  <w:tcW w:w="395" w:type="pct"/>
                  <w:tcBorders>
                    <w:top w:val="single" w:sz="4" w:space="0" w:color="auto"/>
                    <w:left w:val="single" w:sz="4" w:space="0" w:color="auto"/>
                    <w:bottom w:val="single" w:sz="4" w:space="0" w:color="auto"/>
                    <w:right w:val="single" w:sz="4" w:space="0" w:color="auto"/>
                  </w:tcBorders>
                  <w:hideMark/>
                </w:tcPr>
                <w:p w14:paraId="531B4FFA" w14:textId="77777777" w:rsidR="00CC5182" w:rsidRDefault="00CC5182" w:rsidP="00CC5182">
                  <w:pPr>
                    <w:spacing w:after="240"/>
                    <w:rPr>
                      <w:b/>
                      <w:iCs/>
                      <w:sz w:val="20"/>
                    </w:rPr>
                  </w:pPr>
                  <w:r>
                    <w:rPr>
                      <w:b/>
                      <w:iCs/>
                      <w:sz w:val="20"/>
                    </w:rPr>
                    <w:t>Unit</w:t>
                  </w:r>
                </w:p>
              </w:tc>
              <w:tc>
                <w:tcPr>
                  <w:tcW w:w="3448" w:type="pct"/>
                  <w:tcBorders>
                    <w:top w:val="single" w:sz="4" w:space="0" w:color="auto"/>
                    <w:left w:val="single" w:sz="4" w:space="0" w:color="auto"/>
                    <w:bottom w:val="single" w:sz="4" w:space="0" w:color="auto"/>
                    <w:right w:val="single" w:sz="4" w:space="0" w:color="auto"/>
                  </w:tcBorders>
                  <w:hideMark/>
                </w:tcPr>
                <w:p w14:paraId="59D811E5" w14:textId="77777777" w:rsidR="00CC5182" w:rsidRDefault="00CC5182" w:rsidP="00CC5182">
                  <w:pPr>
                    <w:spacing w:after="240"/>
                    <w:rPr>
                      <w:b/>
                      <w:iCs/>
                      <w:sz w:val="20"/>
                    </w:rPr>
                  </w:pPr>
                  <w:r>
                    <w:rPr>
                      <w:b/>
                      <w:iCs/>
                      <w:sz w:val="20"/>
                    </w:rPr>
                    <w:t>Description</w:t>
                  </w:r>
                </w:p>
              </w:tc>
            </w:tr>
            <w:tr w:rsidR="00CC5182" w14:paraId="4ECB1CAF"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3B7CC8CB" w14:textId="77777777" w:rsidR="00CC5182" w:rsidRDefault="00CC5182" w:rsidP="00CC5182">
                  <w:pPr>
                    <w:spacing w:after="60"/>
                    <w:rPr>
                      <w:iCs/>
                      <w:sz w:val="20"/>
                    </w:rPr>
                  </w:pPr>
                  <w:r>
                    <w:rPr>
                      <w:bCs/>
                      <w:sz w:val="20"/>
                      <w:lang w:val="pt-BR"/>
                    </w:rPr>
                    <w:t>RTDASAMT</w:t>
                  </w:r>
                  <w:r>
                    <w:rPr>
                      <w:bCs/>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3D2FDC6D" w14:textId="77777777" w:rsidR="00CC5182" w:rsidRDefault="00CC5182" w:rsidP="00CC5182">
                  <w:pPr>
                    <w:spacing w:after="60"/>
                    <w:rPr>
                      <w:iCs/>
                      <w:sz w:val="20"/>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702822C7" w14:textId="77777777" w:rsidR="00CC5182" w:rsidRDefault="00CC5182" w:rsidP="00CC5182">
                  <w:pPr>
                    <w:spacing w:after="60"/>
                    <w:rPr>
                      <w:iCs/>
                      <w:sz w:val="20"/>
                    </w:rPr>
                  </w:pPr>
                  <w:r>
                    <w:rPr>
                      <w:i/>
                      <w:iCs/>
                      <w:sz w:val="20"/>
                    </w:rPr>
                    <w:t>Real-Time Derated Ancillary Service Amount</w:t>
                  </w:r>
                  <w:r>
                    <w:rPr>
                      <w:iCs/>
                      <w:sz w:val="20"/>
                    </w:rPr>
                    <w:t xml:space="preserve">—The payment to QSE </w:t>
                  </w:r>
                  <w:r>
                    <w:rPr>
                      <w:i/>
                      <w:iCs/>
                      <w:sz w:val="20"/>
                    </w:rPr>
                    <w:t>q</w:t>
                  </w:r>
                  <w:r>
                    <w:rPr>
                      <w:iCs/>
                      <w:sz w:val="20"/>
                    </w:rPr>
                    <w:t xml:space="preserve"> for amounts recoverable resulting from a manual reduction of Ancillary Services by ERCOT for the 15-minute Settlement Interval.</w:t>
                  </w:r>
                </w:p>
              </w:tc>
            </w:tr>
            <w:tr w:rsidR="00CC5182" w14:paraId="73E93898"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1185118" w14:textId="77777777" w:rsidR="00CC5182" w:rsidRDefault="00CC5182" w:rsidP="00CC5182">
                  <w:pPr>
                    <w:spacing w:after="60"/>
                    <w:rPr>
                      <w:iCs/>
                      <w:sz w:val="20"/>
                    </w:rPr>
                  </w:pPr>
                  <w:r>
                    <w:rPr>
                      <w:bCs/>
                      <w:sz w:val="20"/>
                      <w:lang w:val="pt-BR"/>
                    </w:rPr>
                    <w:t>RTRUILD</w:t>
                  </w:r>
                  <w:r>
                    <w:rPr>
                      <w:b/>
                      <w:bCs/>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7CEBF8A8" w14:textId="77777777" w:rsidR="00CC5182" w:rsidRDefault="00CC5182" w:rsidP="00CC5182">
                  <w:pPr>
                    <w:spacing w:after="60"/>
                    <w:rPr>
                      <w:iCs/>
                      <w:sz w:val="20"/>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03AF374D" w14:textId="1A6B55B8" w:rsidR="00CC5182" w:rsidRDefault="00CC5182" w:rsidP="00CC5182">
                  <w:pPr>
                    <w:spacing w:after="60"/>
                    <w:rPr>
                      <w:i/>
                      <w:iCs/>
                      <w:sz w:val="20"/>
                    </w:rPr>
                  </w:pPr>
                  <w:r>
                    <w:rPr>
                      <w:i/>
                      <w:iCs/>
                      <w:sz w:val="20"/>
                    </w:rPr>
                    <w:t>Real-Time Derated Regulation Up Imbalance Losses for Deration</w:t>
                  </w:r>
                  <w:r>
                    <w:rPr>
                      <w:iCs/>
                      <w:sz w:val="20"/>
                    </w:rPr>
                    <w:t xml:space="preserve">—The payments not made to QSE </w:t>
                  </w:r>
                  <w:r>
                    <w:rPr>
                      <w:i/>
                      <w:iCs/>
                      <w:sz w:val="20"/>
                    </w:rPr>
                    <w:t>q</w:t>
                  </w:r>
                  <w:r>
                    <w:rPr>
                      <w:iCs/>
                      <w:sz w:val="20"/>
                    </w:rPr>
                    <w:t xml:space="preserve"> under paragraph (1) of Section 6.7.5.2, Regulation</w:t>
                  </w:r>
                  <w:r w:rsidR="00221A13">
                    <w:rPr>
                      <w:iCs/>
                      <w:sz w:val="20"/>
                    </w:rPr>
                    <w:t xml:space="preserve"> </w:t>
                  </w:r>
                  <w:r>
                    <w:rPr>
                      <w:iCs/>
                      <w:sz w:val="20"/>
                    </w:rPr>
                    <w:t>Up Service Payments and Charges, for the 15-minute Settlement Interval.</w:t>
                  </w:r>
                </w:p>
              </w:tc>
            </w:tr>
            <w:tr w:rsidR="00CC5182" w14:paraId="34935853"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552D2531" w14:textId="77777777" w:rsidR="00CC5182" w:rsidRDefault="00CC5182" w:rsidP="00CC5182">
                  <w:pPr>
                    <w:spacing w:after="60"/>
                    <w:rPr>
                      <w:bCs/>
                      <w:sz w:val="20"/>
                      <w:lang w:val="pt-BR"/>
                    </w:rPr>
                  </w:pPr>
                  <w:r>
                    <w:rPr>
                      <w:bCs/>
                      <w:sz w:val="20"/>
                      <w:lang w:val="pt-BR"/>
                    </w:rPr>
                    <w:t xml:space="preserve">RTRDILD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3FF899F3"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3F36CE41" w14:textId="77777777" w:rsidR="00CC5182" w:rsidRDefault="00CC5182" w:rsidP="00CC5182">
                  <w:pPr>
                    <w:spacing w:after="60"/>
                    <w:rPr>
                      <w:bCs/>
                      <w:sz w:val="20"/>
                      <w:lang w:val="pt-BR"/>
                    </w:rPr>
                  </w:pPr>
                  <w:r>
                    <w:rPr>
                      <w:bCs/>
                      <w:i/>
                      <w:sz w:val="20"/>
                      <w:lang w:val="pt-BR"/>
                    </w:rPr>
                    <w:t>Real-Time Derated Regulation Down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6.7.5.3, Regulation Down Service Payments and Charges, for the 15-minute Settlement Interval.</w:t>
                  </w:r>
                </w:p>
              </w:tc>
            </w:tr>
            <w:tr w:rsidR="00CC5182" w14:paraId="590D1858"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13B03149" w14:textId="77777777" w:rsidR="00CC5182" w:rsidRDefault="00CC5182" w:rsidP="00CC5182">
                  <w:pPr>
                    <w:spacing w:after="60"/>
                    <w:rPr>
                      <w:bCs/>
                      <w:sz w:val="20"/>
                      <w:lang w:val="pt-BR"/>
                    </w:rPr>
                  </w:pPr>
                  <w:r>
                    <w:rPr>
                      <w:bCs/>
                      <w:sz w:val="20"/>
                      <w:lang w:val="pt-BR"/>
                    </w:rPr>
                    <w:t xml:space="preserve">RTRRILD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695F7BC8"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0F1CA5B0" w14:textId="77777777" w:rsidR="00CC5182" w:rsidRDefault="00CC5182" w:rsidP="00CC5182">
                  <w:pPr>
                    <w:spacing w:after="60"/>
                    <w:rPr>
                      <w:bCs/>
                      <w:sz w:val="20"/>
                      <w:lang w:val="pt-BR"/>
                    </w:rPr>
                  </w:pPr>
                  <w:r>
                    <w:rPr>
                      <w:bCs/>
                      <w:i/>
                      <w:sz w:val="20"/>
                      <w:lang w:val="pt-BR"/>
                    </w:rPr>
                    <w:t>Real-Time Derated Responsive Reserve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6.7.5.4, Responsive Reserve Payments and Charges, for the 15-minute Settlement Interval.</w:t>
                  </w:r>
                </w:p>
              </w:tc>
            </w:tr>
            <w:tr w:rsidR="00CC5182" w14:paraId="261B5764"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66BC5C7" w14:textId="77777777" w:rsidR="00CC5182" w:rsidRDefault="00CC5182" w:rsidP="00CC5182">
                  <w:pPr>
                    <w:spacing w:after="60"/>
                    <w:rPr>
                      <w:bCs/>
                      <w:sz w:val="20"/>
                      <w:lang w:val="pt-BR"/>
                    </w:rPr>
                  </w:pPr>
                  <w:r>
                    <w:rPr>
                      <w:bCs/>
                      <w:sz w:val="20"/>
                      <w:lang w:val="pt-BR"/>
                    </w:rPr>
                    <w:t xml:space="preserve">RTNSILD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4F8F4D04"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478A779B" w14:textId="77777777" w:rsidR="00CC5182" w:rsidRDefault="00CC5182" w:rsidP="00CC5182">
                  <w:pPr>
                    <w:spacing w:after="60"/>
                    <w:rPr>
                      <w:bCs/>
                      <w:sz w:val="20"/>
                      <w:lang w:val="pt-BR"/>
                    </w:rPr>
                  </w:pPr>
                  <w:r>
                    <w:rPr>
                      <w:bCs/>
                      <w:i/>
                      <w:sz w:val="20"/>
                      <w:lang w:val="pt-BR"/>
                    </w:rPr>
                    <w:t>Real-Time Derated Non-Spin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6.7.5.5, Non-Spinning Reserve Service Payments and Charges, for the 15-minute Settlement Interval.</w:t>
                  </w:r>
                </w:p>
              </w:tc>
            </w:tr>
            <w:tr w:rsidR="00CC5182" w14:paraId="1A54D851"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01F46841" w14:textId="77777777" w:rsidR="00CC5182" w:rsidRDefault="00CC5182" w:rsidP="00CC5182">
                  <w:pPr>
                    <w:spacing w:after="60"/>
                    <w:rPr>
                      <w:bCs/>
                      <w:sz w:val="20"/>
                      <w:lang w:val="pt-BR"/>
                    </w:rPr>
                  </w:pPr>
                  <w:r>
                    <w:rPr>
                      <w:bCs/>
                      <w:sz w:val="20"/>
                      <w:lang w:val="pt-BR"/>
                    </w:rPr>
                    <w:t xml:space="preserve">RTECRILD </w:t>
                  </w:r>
                  <w:r>
                    <w:rPr>
                      <w:bCs/>
                      <w:sz w:val="20"/>
                      <w:vertAlign w:val="subscript"/>
                      <w:lang w:val="pt-BR"/>
                    </w:rPr>
                    <w:t>q</w:t>
                  </w:r>
                </w:p>
              </w:tc>
              <w:tc>
                <w:tcPr>
                  <w:tcW w:w="395" w:type="pct"/>
                  <w:tcBorders>
                    <w:top w:val="single" w:sz="4" w:space="0" w:color="auto"/>
                    <w:left w:val="single" w:sz="4" w:space="0" w:color="auto"/>
                    <w:bottom w:val="single" w:sz="4" w:space="0" w:color="auto"/>
                    <w:right w:val="single" w:sz="4" w:space="0" w:color="auto"/>
                  </w:tcBorders>
                  <w:hideMark/>
                </w:tcPr>
                <w:p w14:paraId="18503FAF"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59A7EDA6" w14:textId="77777777" w:rsidR="00CC5182" w:rsidRDefault="00CC5182" w:rsidP="00CC5182">
                  <w:pPr>
                    <w:spacing w:after="60"/>
                    <w:rPr>
                      <w:bCs/>
                      <w:sz w:val="20"/>
                      <w:lang w:val="pt-BR"/>
                    </w:rPr>
                  </w:pPr>
                  <w:r>
                    <w:rPr>
                      <w:bCs/>
                      <w:i/>
                      <w:sz w:val="20"/>
                      <w:lang w:val="pt-BR"/>
                    </w:rPr>
                    <w:t>Real-Time Derated ERCOT Contingency Reserve Service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6.7.5.6, ERCOT Contingency Reserve Service Payments and Charges, for the 15-minute Settlement Interval.</w:t>
                  </w:r>
                </w:p>
              </w:tc>
            </w:tr>
            <w:tr w:rsidR="00CC5182" w14:paraId="79029F5D"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3FB5B31" w14:textId="77777777" w:rsidR="00CC5182" w:rsidRDefault="00CC5182" w:rsidP="00CC5182">
                  <w:pPr>
                    <w:spacing w:after="60"/>
                    <w:rPr>
                      <w:bCs/>
                      <w:szCs w:val="24"/>
                    </w:rPr>
                  </w:pPr>
                  <w:r>
                    <w:rPr>
                      <w:bCs/>
                      <w:sz w:val="20"/>
                      <w:lang w:val="pt-BR"/>
                    </w:rPr>
                    <w:t>RTEIRD</w:t>
                  </w:r>
                  <w:r>
                    <w:rPr>
                      <w:b/>
                      <w:bCs/>
                      <w:i/>
                      <w:vertAlign w:val="subscript"/>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1CE63062" w14:textId="77777777" w:rsidR="00CC5182" w:rsidRDefault="00CC5182" w:rsidP="00CC5182">
                  <w:pPr>
                    <w:spacing w:after="60"/>
                    <w:rPr>
                      <w:iCs/>
                      <w:sz w:val="20"/>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45DAE150" w14:textId="3D0028A9" w:rsidR="00CC5182" w:rsidRDefault="00CC5182" w:rsidP="00F12B75">
                  <w:pPr>
                    <w:spacing w:after="60"/>
                    <w:rPr>
                      <w:i/>
                      <w:iCs/>
                      <w:sz w:val="20"/>
                    </w:rPr>
                  </w:pPr>
                  <w:r>
                    <w:rPr>
                      <w:i/>
                      <w:iCs/>
                      <w:sz w:val="20"/>
                    </w:rPr>
                    <w:t>Real-Time Energy Imbalance Revenues for Deration</w:t>
                  </w:r>
                  <w:r>
                    <w:rPr>
                      <w:iCs/>
                      <w:sz w:val="20"/>
                    </w:rPr>
                    <w:t xml:space="preserve">—The additional payments to QSE </w:t>
                  </w:r>
                  <w:r>
                    <w:rPr>
                      <w:i/>
                      <w:iCs/>
                      <w:sz w:val="20"/>
                    </w:rPr>
                    <w:t>q</w:t>
                  </w:r>
                  <w:r>
                    <w:rPr>
                      <w:iCs/>
                      <w:sz w:val="20"/>
                    </w:rPr>
                    <w:t xml:space="preserve"> under Section 6.6.3.1.</w:t>
                  </w:r>
                </w:p>
              </w:tc>
            </w:tr>
            <w:tr w:rsidR="00CC5182" w14:paraId="71BB0081"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74A8A2CD" w14:textId="77777777" w:rsidR="00CC5182" w:rsidRDefault="00CC5182" w:rsidP="00CC5182">
                  <w:pPr>
                    <w:spacing w:after="60"/>
                    <w:rPr>
                      <w:bCs/>
                      <w:sz w:val="20"/>
                      <w:lang w:val="pt-BR"/>
                    </w:rPr>
                  </w:pPr>
                  <w:r>
                    <w:rPr>
                      <w:bCs/>
                      <w:sz w:val="20"/>
                      <w:lang w:val="pt-BR"/>
                    </w:rPr>
                    <w:t>RTASIRD</w:t>
                  </w:r>
                  <w:r>
                    <w:rPr>
                      <w:b/>
                      <w:bCs/>
                      <w:i/>
                      <w:vertAlign w:val="subscript"/>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047A8198" w14:textId="77777777" w:rsidR="00CC5182" w:rsidRDefault="00CC5182" w:rsidP="00CC5182">
                  <w:pPr>
                    <w:spacing w:after="60"/>
                    <w:rPr>
                      <w:iCs/>
                      <w:sz w:val="20"/>
                      <w:szCs w:val="24"/>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6ACA6614" w14:textId="77777777" w:rsidR="00CC5182" w:rsidRDefault="00CC5182" w:rsidP="00CC5182">
                  <w:pPr>
                    <w:spacing w:after="60"/>
                    <w:rPr>
                      <w:i/>
                      <w:iCs/>
                      <w:sz w:val="20"/>
                    </w:rPr>
                  </w:pPr>
                  <w:r>
                    <w:rPr>
                      <w:i/>
                      <w:iCs/>
                      <w:sz w:val="20"/>
                    </w:rPr>
                    <w:t>Real-Time Ancillary Service Imbalance Revenues for Deration</w:t>
                  </w:r>
                  <w:r>
                    <w:rPr>
                      <w:iCs/>
                      <w:sz w:val="20"/>
                    </w:rPr>
                    <w:t xml:space="preserve">—The additional Ancillary Service imbalance payments to QSE </w:t>
                  </w:r>
                  <w:r>
                    <w:rPr>
                      <w:i/>
                      <w:iCs/>
                      <w:sz w:val="20"/>
                    </w:rPr>
                    <w:t>q</w:t>
                  </w:r>
                  <w:r>
                    <w:rPr>
                      <w:iCs/>
                      <w:sz w:val="20"/>
                    </w:rPr>
                    <w:t xml:space="preserve"> for all Ancillary Service products for the 15-minute Settlement Interval.</w:t>
                  </w:r>
                </w:p>
              </w:tc>
            </w:tr>
            <w:tr w:rsidR="00CC5182" w14:paraId="61A31520"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2E0F3CCA" w14:textId="77777777" w:rsidR="00CC5182" w:rsidRDefault="00CC5182" w:rsidP="00CC5182">
                  <w:pPr>
                    <w:spacing w:after="60"/>
                    <w:rPr>
                      <w:bCs/>
                      <w:sz w:val="20"/>
                      <w:lang w:val="pt-BR"/>
                    </w:rPr>
                  </w:pPr>
                  <w:r>
                    <w:rPr>
                      <w:bCs/>
                      <w:sz w:val="20"/>
                      <w:lang w:val="pt-BR"/>
                    </w:rPr>
                    <w:t>RTDASCAP</w:t>
                  </w:r>
                  <w:r>
                    <w:rPr>
                      <w:i/>
                      <w:iCs/>
                      <w:sz w:val="20"/>
                      <w:vertAlign w:val="subscript"/>
                    </w:rPr>
                    <w:t xml:space="preserve"> q, r</w:t>
                  </w:r>
                </w:p>
              </w:tc>
              <w:tc>
                <w:tcPr>
                  <w:tcW w:w="395" w:type="pct"/>
                  <w:tcBorders>
                    <w:top w:val="single" w:sz="4" w:space="0" w:color="auto"/>
                    <w:left w:val="single" w:sz="4" w:space="0" w:color="auto"/>
                    <w:bottom w:val="single" w:sz="4" w:space="0" w:color="auto"/>
                    <w:right w:val="single" w:sz="4" w:space="0" w:color="auto"/>
                  </w:tcBorders>
                  <w:hideMark/>
                </w:tcPr>
                <w:p w14:paraId="199BE8D4" w14:textId="77777777" w:rsidR="00CC5182" w:rsidRDefault="00CC5182" w:rsidP="00CC5182">
                  <w:pPr>
                    <w:spacing w:after="60"/>
                    <w:rPr>
                      <w:iCs/>
                      <w:sz w:val="20"/>
                      <w:szCs w:val="24"/>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0D3FBF85" w14:textId="7699BC77" w:rsidR="00CC5182" w:rsidRDefault="00CC5182" w:rsidP="00CC5182">
                  <w:pPr>
                    <w:autoSpaceDE w:val="0"/>
                    <w:autoSpaceDN w:val="0"/>
                    <w:rPr>
                      <w:sz w:val="20"/>
                    </w:rPr>
                  </w:pPr>
                  <w:r>
                    <w:rPr>
                      <w:i/>
                      <w:iCs/>
                      <w:sz w:val="20"/>
                    </w:rPr>
                    <w:t>Real-Time Derated Ancillary Service Payment Cap—</w:t>
                  </w:r>
                  <w:r>
                    <w:rPr>
                      <w:sz w:val="20"/>
                    </w:rPr>
                    <w:t xml:space="preserve">The amount recoverable for Resource </w:t>
                  </w:r>
                  <w:r>
                    <w:rPr>
                      <w:i/>
                      <w:sz w:val="20"/>
                    </w:rPr>
                    <w:t xml:space="preserve">r </w:t>
                  </w:r>
                  <w:r>
                    <w:rPr>
                      <w:sz w:val="20"/>
                    </w:rPr>
                    <w:t xml:space="preserve">represented by QSE </w:t>
                  </w:r>
                  <w:r>
                    <w:rPr>
                      <w:i/>
                      <w:sz w:val="20"/>
                    </w:rPr>
                    <w:t>q,</w:t>
                  </w:r>
                  <w:r>
                    <w:rPr>
                      <w:sz w:val="20"/>
                    </w:rPr>
                    <w:t xml:space="preserve"> capped by the Real-Time MCPC for the Ancillary Service product that was derated, multiplied by the quantity by which the Resource’s capability to provide the Ancillary Service was reduced for the 15-minute Settlement Interval. </w:t>
                  </w:r>
                  <w:r w:rsidR="00857818">
                    <w:rPr>
                      <w:sz w:val="20"/>
                    </w:rPr>
                    <w:t xml:space="preserve"> </w:t>
                  </w:r>
                  <w:r w:rsidR="00857818" w:rsidRPr="00D476E3">
                    <w:rPr>
                      <w:iCs/>
                      <w:sz w:val="20"/>
                    </w:rPr>
                    <w:t xml:space="preserve">Where for a Combined Cycle Train, the Resource </w:t>
                  </w:r>
                  <w:r w:rsidR="00857818" w:rsidRPr="00D476E3">
                    <w:rPr>
                      <w:i/>
                      <w:iCs/>
                      <w:sz w:val="20"/>
                    </w:rPr>
                    <w:t xml:space="preserve">r </w:t>
                  </w:r>
                  <w:r w:rsidR="00857818" w:rsidRPr="00D476E3">
                    <w:rPr>
                      <w:iCs/>
                      <w:sz w:val="20"/>
                    </w:rPr>
                    <w:t>is the Combined Cycle Train.</w:t>
                  </w:r>
                </w:p>
              </w:tc>
            </w:tr>
            <w:tr w:rsidR="00CC5182" w14:paraId="19304BDF"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86E553A" w14:textId="77777777" w:rsidR="00CC5182" w:rsidRDefault="00CC5182" w:rsidP="00CC5182">
                  <w:pPr>
                    <w:spacing w:after="60"/>
                    <w:rPr>
                      <w:bCs/>
                      <w:sz w:val="20"/>
                      <w:lang w:val="pt-BR"/>
                    </w:rPr>
                  </w:pPr>
                  <w:r>
                    <w:rPr>
                      <w:bCs/>
                      <w:sz w:val="20"/>
                      <w:lang w:val="pt-BR"/>
                    </w:rPr>
                    <w:t xml:space="preserve">RTMCPCRU </w:t>
                  </w:r>
                </w:p>
              </w:tc>
              <w:tc>
                <w:tcPr>
                  <w:tcW w:w="395" w:type="pct"/>
                  <w:tcBorders>
                    <w:top w:val="single" w:sz="4" w:space="0" w:color="auto"/>
                    <w:left w:val="single" w:sz="4" w:space="0" w:color="auto"/>
                    <w:bottom w:val="single" w:sz="4" w:space="0" w:color="auto"/>
                    <w:right w:val="single" w:sz="4" w:space="0" w:color="auto"/>
                  </w:tcBorders>
                  <w:hideMark/>
                </w:tcPr>
                <w:p w14:paraId="4BC85B6D"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606837C4" w14:textId="2D86CB0E" w:rsidR="00CC5182" w:rsidRDefault="00CC5182" w:rsidP="00CC5182">
                  <w:pPr>
                    <w:spacing w:after="60"/>
                    <w:rPr>
                      <w:bCs/>
                      <w:sz w:val="20"/>
                      <w:lang w:val="pt-BR"/>
                    </w:rPr>
                  </w:pPr>
                  <w:r>
                    <w:rPr>
                      <w:bCs/>
                      <w:i/>
                      <w:sz w:val="20"/>
                      <w:lang w:val="pt-BR"/>
                    </w:rPr>
                    <w:t>Real-Time Market Clearing Price for Capacity for Regulation Up</w:t>
                  </w:r>
                  <w:r w:rsidR="00097790" w:rsidRPr="00A552C3">
                    <w:rPr>
                      <w:iCs/>
                      <w:sz w:val="20"/>
                    </w:rPr>
                    <w:t>—</w:t>
                  </w:r>
                  <w:r>
                    <w:rPr>
                      <w:bCs/>
                      <w:sz w:val="20"/>
                      <w:lang w:val="pt-BR"/>
                    </w:rPr>
                    <w:t xml:space="preserve">The Real-Time MCPC for Reg-Up for the 15-minute Settlement Interval. </w:t>
                  </w:r>
                </w:p>
              </w:tc>
            </w:tr>
            <w:tr w:rsidR="00CC5182" w14:paraId="604D9FE3"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CDB728A" w14:textId="77777777" w:rsidR="00CC5182" w:rsidRDefault="00CC5182" w:rsidP="00CC5182">
                  <w:pPr>
                    <w:spacing w:after="60"/>
                    <w:rPr>
                      <w:bCs/>
                      <w:sz w:val="20"/>
                      <w:lang w:val="pt-BR"/>
                    </w:rPr>
                  </w:pPr>
                  <w:r>
                    <w:rPr>
                      <w:bCs/>
                      <w:sz w:val="20"/>
                      <w:lang w:val="pt-BR"/>
                    </w:rPr>
                    <w:t>RTMCPCRD</w:t>
                  </w:r>
                </w:p>
              </w:tc>
              <w:tc>
                <w:tcPr>
                  <w:tcW w:w="395" w:type="pct"/>
                  <w:tcBorders>
                    <w:top w:val="single" w:sz="4" w:space="0" w:color="auto"/>
                    <w:left w:val="single" w:sz="4" w:space="0" w:color="auto"/>
                    <w:bottom w:val="single" w:sz="4" w:space="0" w:color="auto"/>
                    <w:right w:val="single" w:sz="4" w:space="0" w:color="auto"/>
                  </w:tcBorders>
                  <w:hideMark/>
                </w:tcPr>
                <w:p w14:paraId="39C611BE"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7EA3785E" w14:textId="272890E2" w:rsidR="00CC5182" w:rsidRDefault="00CC5182" w:rsidP="00CC5182">
                  <w:pPr>
                    <w:spacing w:after="60"/>
                    <w:rPr>
                      <w:bCs/>
                      <w:sz w:val="20"/>
                      <w:lang w:val="pt-BR"/>
                    </w:rPr>
                  </w:pPr>
                  <w:r>
                    <w:rPr>
                      <w:bCs/>
                      <w:i/>
                      <w:sz w:val="20"/>
                      <w:lang w:val="pt-BR"/>
                    </w:rPr>
                    <w:t>Real-Time Market Clearing Price for Capacity for Regulation Down</w:t>
                  </w:r>
                  <w:r w:rsidR="00097790" w:rsidRPr="00A552C3">
                    <w:rPr>
                      <w:iCs/>
                      <w:sz w:val="20"/>
                    </w:rPr>
                    <w:t>—</w:t>
                  </w:r>
                  <w:r>
                    <w:rPr>
                      <w:bCs/>
                      <w:sz w:val="20"/>
                      <w:lang w:val="pt-BR"/>
                    </w:rPr>
                    <w:t>The Real-Time MCPC for Reg-Down for the 15-minute Settlement Interval.</w:t>
                  </w:r>
                </w:p>
              </w:tc>
            </w:tr>
            <w:tr w:rsidR="00CC5182" w14:paraId="64A5BF9F" w14:textId="77777777" w:rsidTr="00CC5182">
              <w:tc>
                <w:tcPr>
                  <w:tcW w:w="1157" w:type="pct"/>
                  <w:tcBorders>
                    <w:top w:val="single" w:sz="4" w:space="0" w:color="auto"/>
                    <w:left w:val="single" w:sz="4" w:space="0" w:color="auto"/>
                    <w:bottom w:val="single" w:sz="4" w:space="0" w:color="auto"/>
                    <w:right w:val="single" w:sz="4" w:space="0" w:color="auto"/>
                  </w:tcBorders>
                </w:tcPr>
                <w:p w14:paraId="00A0CE63" w14:textId="0DB86060" w:rsidR="00CC5182" w:rsidRPr="00621E3C" w:rsidRDefault="00CC5182" w:rsidP="00CC5182">
                  <w:pPr>
                    <w:spacing w:after="60"/>
                    <w:rPr>
                      <w:bCs/>
                      <w:szCs w:val="24"/>
                      <w:lang w:val="pt-BR"/>
                    </w:rPr>
                  </w:pPr>
                  <w:r>
                    <w:rPr>
                      <w:bCs/>
                      <w:sz w:val="20"/>
                      <w:lang w:val="pt-BR"/>
                    </w:rPr>
                    <w:t>RTMCPCRR</w:t>
                  </w:r>
                </w:p>
              </w:tc>
              <w:tc>
                <w:tcPr>
                  <w:tcW w:w="395" w:type="pct"/>
                  <w:tcBorders>
                    <w:top w:val="single" w:sz="4" w:space="0" w:color="auto"/>
                    <w:left w:val="single" w:sz="4" w:space="0" w:color="auto"/>
                    <w:bottom w:val="single" w:sz="4" w:space="0" w:color="auto"/>
                    <w:right w:val="single" w:sz="4" w:space="0" w:color="auto"/>
                  </w:tcBorders>
                  <w:hideMark/>
                </w:tcPr>
                <w:p w14:paraId="341A5002"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707C1E5D" w14:textId="5A4AFBCD" w:rsidR="00CC5182" w:rsidRDefault="00CC5182" w:rsidP="00CC5182">
                  <w:pPr>
                    <w:spacing w:after="60"/>
                    <w:rPr>
                      <w:bCs/>
                      <w:sz w:val="20"/>
                      <w:lang w:val="pt-BR"/>
                    </w:rPr>
                  </w:pPr>
                  <w:r>
                    <w:rPr>
                      <w:bCs/>
                      <w:i/>
                      <w:sz w:val="20"/>
                      <w:lang w:val="pt-BR"/>
                    </w:rPr>
                    <w:t>Real-Time Market Clearing Price for Capacity for Responsive Reserve</w:t>
                  </w:r>
                  <w:r w:rsidR="00AD3EB1" w:rsidRPr="00A552C3">
                    <w:rPr>
                      <w:iCs/>
                      <w:sz w:val="20"/>
                    </w:rPr>
                    <w:t>—</w:t>
                  </w:r>
                  <w:r>
                    <w:rPr>
                      <w:bCs/>
                      <w:sz w:val="20"/>
                      <w:lang w:val="pt-BR"/>
                    </w:rPr>
                    <w:t>The Real-Time MCPC for RRS for the 15-minute Settlement Interval.</w:t>
                  </w:r>
                </w:p>
              </w:tc>
            </w:tr>
            <w:tr w:rsidR="00CC5182" w14:paraId="055825E9"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5B5134C" w14:textId="77777777" w:rsidR="00CC5182" w:rsidRDefault="00CC5182" w:rsidP="00CC5182">
                  <w:pPr>
                    <w:spacing w:after="60"/>
                    <w:rPr>
                      <w:bCs/>
                      <w:sz w:val="20"/>
                      <w:lang w:val="pt-BR"/>
                    </w:rPr>
                  </w:pPr>
                  <w:r>
                    <w:rPr>
                      <w:bCs/>
                      <w:sz w:val="20"/>
                      <w:lang w:val="pt-BR"/>
                    </w:rPr>
                    <w:t>RTMCPCNS</w:t>
                  </w:r>
                </w:p>
              </w:tc>
              <w:tc>
                <w:tcPr>
                  <w:tcW w:w="395" w:type="pct"/>
                  <w:tcBorders>
                    <w:top w:val="single" w:sz="4" w:space="0" w:color="auto"/>
                    <w:left w:val="single" w:sz="4" w:space="0" w:color="auto"/>
                    <w:bottom w:val="single" w:sz="4" w:space="0" w:color="auto"/>
                    <w:right w:val="single" w:sz="4" w:space="0" w:color="auto"/>
                  </w:tcBorders>
                  <w:hideMark/>
                </w:tcPr>
                <w:p w14:paraId="4EB230F6"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250D2BDB" w14:textId="6FFECFED" w:rsidR="00CC5182" w:rsidRDefault="00CC5182" w:rsidP="00CC5182">
                  <w:pPr>
                    <w:spacing w:after="60"/>
                    <w:rPr>
                      <w:bCs/>
                      <w:sz w:val="20"/>
                      <w:lang w:val="pt-BR"/>
                    </w:rPr>
                  </w:pPr>
                  <w:r>
                    <w:rPr>
                      <w:bCs/>
                      <w:i/>
                      <w:sz w:val="20"/>
                      <w:lang w:val="pt-BR"/>
                    </w:rPr>
                    <w:t>Real-Time Market Clearing Price for Capacity for Non-Spin</w:t>
                  </w:r>
                  <w:r w:rsidR="00AD3EB1" w:rsidRPr="00A552C3">
                    <w:rPr>
                      <w:iCs/>
                      <w:sz w:val="20"/>
                    </w:rPr>
                    <w:t>—</w:t>
                  </w:r>
                  <w:r>
                    <w:rPr>
                      <w:bCs/>
                      <w:sz w:val="20"/>
                      <w:lang w:val="pt-BR"/>
                    </w:rPr>
                    <w:t>The Real-Time MCPC for Non-Spin for the 15-minute Settlement Interval.</w:t>
                  </w:r>
                </w:p>
              </w:tc>
            </w:tr>
            <w:tr w:rsidR="00CC5182" w14:paraId="771E6158"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21B31BB6" w14:textId="77777777" w:rsidR="00CC5182" w:rsidRDefault="00CC5182" w:rsidP="00CC5182">
                  <w:pPr>
                    <w:spacing w:after="60"/>
                    <w:rPr>
                      <w:bCs/>
                      <w:sz w:val="20"/>
                      <w:lang w:val="pt-BR"/>
                    </w:rPr>
                  </w:pPr>
                  <w:r>
                    <w:rPr>
                      <w:bCs/>
                      <w:sz w:val="20"/>
                      <w:lang w:val="pt-BR"/>
                    </w:rPr>
                    <w:t>RTMCPCECR</w:t>
                  </w:r>
                </w:p>
              </w:tc>
              <w:tc>
                <w:tcPr>
                  <w:tcW w:w="395" w:type="pct"/>
                  <w:tcBorders>
                    <w:top w:val="single" w:sz="4" w:space="0" w:color="auto"/>
                    <w:left w:val="single" w:sz="4" w:space="0" w:color="auto"/>
                    <w:bottom w:val="single" w:sz="4" w:space="0" w:color="auto"/>
                    <w:right w:val="single" w:sz="4" w:space="0" w:color="auto"/>
                  </w:tcBorders>
                  <w:hideMark/>
                </w:tcPr>
                <w:p w14:paraId="6F3AD434"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3EEBCCD8" w14:textId="361C4B91" w:rsidR="00CC5182" w:rsidRDefault="00CC5182" w:rsidP="00CC5182">
                  <w:pPr>
                    <w:spacing w:after="60"/>
                    <w:rPr>
                      <w:bCs/>
                      <w:sz w:val="20"/>
                      <w:lang w:val="pt-BR"/>
                    </w:rPr>
                  </w:pPr>
                  <w:r>
                    <w:rPr>
                      <w:bCs/>
                      <w:i/>
                      <w:sz w:val="20"/>
                      <w:lang w:val="pt-BR"/>
                    </w:rPr>
                    <w:t>Real-Time Market Clearing Price for Capacity for ERCOT Contingency Reserve Service</w:t>
                  </w:r>
                  <w:r>
                    <w:rPr>
                      <w:bCs/>
                      <w:sz w:val="20"/>
                      <w:lang w:val="pt-BR"/>
                    </w:rPr>
                    <w:t>—The Real-Time MCPC for ECRS for the 15-minute Settlement Interval.</w:t>
                  </w:r>
                </w:p>
              </w:tc>
            </w:tr>
            <w:tr w:rsidR="00CC5182" w14:paraId="2EB54E67"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38955DE" w14:textId="77777777" w:rsidR="00CC5182" w:rsidRDefault="00CC5182" w:rsidP="00CC5182">
                  <w:pPr>
                    <w:spacing w:after="60"/>
                    <w:rPr>
                      <w:bCs/>
                      <w:i/>
                      <w:sz w:val="20"/>
                      <w:lang w:val="pt-BR"/>
                    </w:rPr>
                  </w:pPr>
                  <w:r>
                    <w:rPr>
                      <w:bCs/>
                      <w:sz w:val="20"/>
                      <w:lang w:val="pt-BR"/>
                    </w:rPr>
                    <w:lastRenderedPageBreak/>
                    <w:t>RTRUDQ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26B00AE1"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4A9E1C6D" w14:textId="6C6E180E" w:rsidR="00CC5182" w:rsidRDefault="00CC5182" w:rsidP="004A6858">
                  <w:pPr>
                    <w:spacing w:after="60"/>
                    <w:rPr>
                      <w:bCs/>
                      <w:sz w:val="20"/>
                      <w:lang w:val="pt-BR"/>
                    </w:rPr>
                  </w:pPr>
                  <w:r>
                    <w:rPr>
                      <w:bCs/>
                      <w:i/>
                      <w:sz w:val="20"/>
                      <w:lang w:val="pt-BR"/>
                    </w:rPr>
                    <w:t>Real-Time Regulation Up Derated Quantity</w:t>
                  </w:r>
                  <w:r w:rsidR="00041023" w:rsidRPr="00A552C3">
                    <w:rPr>
                      <w:iCs/>
                      <w:sz w:val="20"/>
                    </w:rPr>
                    <w:t>—</w:t>
                  </w:r>
                  <w:r>
                    <w:rPr>
                      <w:bCs/>
                      <w:sz w:val="20"/>
                      <w:lang w:val="pt-BR"/>
                    </w:rPr>
                    <w:t xml:space="preserve">The Reg-Up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r w:rsidR="00857818" w:rsidRPr="00D476E3">
                    <w:rPr>
                      <w:iCs/>
                      <w:sz w:val="20"/>
                    </w:rPr>
                    <w:t xml:space="preserve"> </w:t>
                  </w:r>
                  <w:r w:rsidR="00857818">
                    <w:rPr>
                      <w:iCs/>
                      <w:sz w:val="20"/>
                    </w:rPr>
                    <w:t xml:space="preserve"> </w:t>
                  </w:r>
                  <w:r w:rsidR="00857818" w:rsidRPr="00D476E3">
                    <w:rPr>
                      <w:iCs/>
                      <w:sz w:val="20"/>
                    </w:rPr>
                    <w:t xml:space="preserve">Where for a Combined Cycle Train, the Resource </w:t>
                  </w:r>
                  <w:r w:rsidR="00857818" w:rsidRPr="00D476E3">
                    <w:rPr>
                      <w:i/>
                      <w:iCs/>
                      <w:sz w:val="20"/>
                    </w:rPr>
                    <w:t xml:space="preserve">r </w:t>
                  </w:r>
                  <w:r w:rsidR="00857818" w:rsidRPr="00D476E3">
                    <w:rPr>
                      <w:iCs/>
                      <w:sz w:val="20"/>
                    </w:rPr>
                    <w:t>is the Combined Cycle Train.</w:t>
                  </w:r>
                </w:p>
              </w:tc>
            </w:tr>
            <w:tr w:rsidR="00CC5182" w14:paraId="5EDE82CD"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7C8D7FDC" w14:textId="77777777" w:rsidR="00CC5182" w:rsidRDefault="00CC5182" w:rsidP="00CC5182">
                  <w:pPr>
                    <w:spacing w:after="60"/>
                    <w:rPr>
                      <w:bCs/>
                      <w:sz w:val="20"/>
                      <w:lang w:val="pt-BR"/>
                    </w:rPr>
                  </w:pPr>
                  <w:r>
                    <w:rPr>
                      <w:bCs/>
                      <w:sz w:val="20"/>
                      <w:lang w:val="pt-BR"/>
                    </w:rPr>
                    <w:t>RTRDDQ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5B6F0ED6"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4E990195" w14:textId="7FE8B040" w:rsidR="00CC5182" w:rsidRDefault="00CC5182" w:rsidP="004A6858">
                  <w:pPr>
                    <w:spacing w:after="60"/>
                    <w:rPr>
                      <w:bCs/>
                      <w:sz w:val="20"/>
                      <w:lang w:val="pt-BR"/>
                    </w:rPr>
                  </w:pPr>
                  <w:r>
                    <w:rPr>
                      <w:bCs/>
                      <w:i/>
                      <w:sz w:val="20"/>
                      <w:lang w:val="pt-BR"/>
                    </w:rPr>
                    <w:t>Real-Time Regulation Down Derated</w:t>
                  </w:r>
                  <w:r>
                    <w:rPr>
                      <w:bCs/>
                      <w:sz w:val="20"/>
                      <w:lang w:val="pt-BR"/>
                    </w:rPr>
                    <w:t xml:space="preserve"> </w:t>
                  </w:r>
                  <w:r>
                    <w:rPr>
                      <w:bCs/>
                      <w:i/>
                      <w:sz w:val="20"/>
                      <w:lang w:val="pt-BR"/>
                    </w:rPr>
                    <w:t>Quantity</w:t>
                  </w:r>
                  <w:r w:rsidR="00902CFF" w:rsidRPr="00A552C3">
                    <w:rPr>
                      <w:iCs/>
                      <w:sz w:val="20"/>
                    </w:rPr>
                    <w:t>—</w:t>
                  </w:r>
                  <w:r>
                    <w:rPr>
                      <w:bCs/>
                      <w:sz w:val="20"/>
                      <w:lang w:val="pt-BR"/>
                    </w:rPr>
                    <w:t xml:space="preserve">The Reg-Down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r w:rsidR="00857818">
                    <w:rPr>
                      <w:bCs/>
                      <w:sz w:val="20"/>
                      <w:lang w:val="pt-BR"/>
                    </w:rPr>
                    <w:t xml:space="preserve"> </w:t>
                  </w:r>
                  <w:r w:rsidR="006E3872">
                    <w:rPr>
                      <w:bCs/>
                      <w:sz w:val="20"/>
                      <w:lang w:val="pt-BR"/>
                    </w:rPr>
                    <w:t xml:space="preserve"> </w:t>
                  </w:r>
                  <w:r w:rsidR="00857818" w:rsidRPr="00D476E3">
                    <w:rPr>
                      <w:iCs/>
                      <w:sz w:val="20"/>
                    </w:rPr>
                    <w:t xml:space="preserve">Where for a Combined Cycle Train, the Resource </w:t>
                  </w:r>
                  <w:r w:rsidR="00857818" w:rsidRPr="00D476E3">
                    <w:rPr>
                      <w:i/>
                      <w:iCs/>
                      <w:sz w:val="20"/>
                    </w:rPr>
                    <w:t xml:space="preserve">r </w:t>
                  </w:r>
                  <w:r w:rsidR="00857818" w:rsidRPr="00D476E3">
                    <w:rPr>
                      <w:iCs/>
                      <w:sz w:val="20"/>
                    </w:rPr>
                    <w:t>is the Combined Cycle Train.</w:t>
                  </w:r>
                </w:p>
              </w:tc>
            </w:tr>
            <w:tr w:rsidR="00CC5182" w14:paraId="6671D7F2"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194CCBDD" w14:textId="77777777" w:rsidR="00CC5182" w:rsidRDefault="00CC5182" w:rsidP="00CC5182">
                  <w:pPr>
                    <w:spacing w:after="60"/>
                    <w:rPr>
                      <w:bCs/>
                      <w:sz w:val="20"/>
                      <w:lang w:val="pt-BR"/>
                    </w:rPr>
                  </w:pPr>
                  <w:r>
                    <w:rPr>
                      <w:bCs/>
                      <w:sz w:val="20"/>
                      <w:lang w:val="pt-BR"/>
                    </w:rPr>
                    <w:t>RTRRDQ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3235AB83"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50018C57" w14:textId="4033CDEE" w:rsidR="00CC5182" w:rsidRDefault="00CC5182" w:rsidP="004A6858">
                  <w:pPr>
                    <w:spacing w:after="60"/>
                    <w:rPr>
                      <w:bCs/>
                      <w:sz w:val="20"/>
                      <w:lang w:val="pt-BR"/>
                    </w:rPr>
                  </w:pPr>
                  <w:r>
                    <w:rPr>
                      <w:bCs/>
                      <w:i/>
                      <w:sz w:val="20"/>
                      <w:lang w:val="pt-BR"/>
                    </w:rPr>
                    <w:t>Real-Time Responsive Reserve Derated Quantity</w:t>
                  </w:r>
                  <w:r w:rsidR="006E3872" w:rsidRPr="00A552C3">
                    <w:rPr>
                      <w:iCs/>
                      <w:sz w:val="20"/>
                    </w:rPr>
                    <w:t>—</w:t>
                  </w:r>
                  <w:r>
                    <w:rPr>
                      <w:bCs/>
                      <w:sz w:val="20"/>
                      <w:lang w:val="pt-BR"/>
                    </w:rPr>
                    <w:t xml:space="preserve">The RRS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r w:rsidR="00857818" w:rsidRPr="00D476E3">
                    <w:rPr>
                      <w:iCs/>
                      <w:sz w:val="20"/>
                    </w:rPr>
                    <w:t xml:space="preserve"> </w:t>
                  </w:r>
                  <w:r w:rsidR="00857818">
                    <w:rPr>
                      <w:iCs/>
                      <w:sz w:val="20"/>
                    </w:rPr>
                    <w:t xml:space="preserve"> </w:t>
                  </w:r>
                  <w:r w:rsidR="00857818" w:rsidRPr="00D476E3">
                    <w:rPr>
                      <w:iCs/>
                      <w:sz w:val="20"/>
                    </w:rPr>
                    <w:t xml:space="preserve">Where for a Combined Cycle Train, the Resource </w:t>
                  </w:r>
                  <w:r w:rsidR="00857818" w:rsidRPr="00D476E3">
                    <w:rPr>
                      <w:i/>
                      <w:iCs/>
                      <w:sz w:val="20"/>
                    </w:rPr>
                    <w:t xml:space="preserve">r </w:t>
                  </w:r>
                  <w:r w:rsidR="00857818" w:rsidRPr="00D476E3">
                    <w:rPr>
                      <w:iCs/>
                      <w:sz w:val="20"/>
                    </w:rPr>
                    <w:t>is the Combined Cycle Train.</w:t>
                  </w:r>
                </w:p>
              </w:tc>
            </w:tr>
            <w:tr w:rsidR="00CC5182" w14:paraId="55EB926E"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38763FCC" w14:textId="77777777" w:rsidR="00CC5182" w:rsidRDefault="00CC5182" w:rsidP="00CC5182">
                  <w:pPr>
                    <w:spacing w:after="60"/>
                    <w:rPr>
                      <w:bCs/>
                      <w:sz w:val="20"/>
                      <w:lang w:val="pt-BR"/>
                    </w:rPr>
                  </w:pPr>
                  <w:r>
                    <w:rPr>
                      <w:bCs/>
                      <w:sz w:val="20"/>
                      <w:lang w:val="pt-BR"/>
                    </w:rPr>
                    <w:t>RTECRDQ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2B7A49A1"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0D677B22" w14:textId="03093543" w:rsidR="00CC5182" w:rsidRDefault="00CC5182" w:rsidP="00755483">
                  <w:pPr>
                    <w:spacing w:after="60"/>
                    <w:rPr>
                      <w:bCs/>
                      <w:sz w:val="20"/>
                      <w:lang w:val="pt-BR"/>
                    </w:rPr>
                  </w:pPr>
                  <w:r>
                    <w:rPr>
                      <w:bCs/>
                      <w:i/>
                      <w:sz w:val="20"/>
                      <w:lang w:val="pt-BR"/>
                    </w:rPr>
                    <w:t>Real-Time ERCOT Contingency Reserve Service Derated Quantity</w:t>
                  </w:r>
                  <w:r w:rsidR="006E3872" w:rsidRPr="00A552C3">
                    <w:rPr>
                      <w:iCs/>
                      <w:sz w:val="20"/>
                    </w:rPr>
                    <w:t>—</w:t>
                  </w:r>
                  <w:r>
                    <w:rPr>
                      <w:bCs/>
                      <w:sz w:val="20"/>
                      <w:lang w:val="pt-BR"/>
                    </w:rPr>
                    <w:t xml:space="preserve">The ECRS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r w:rsidR="00857818">
                    <w:rPr>
                      <w:bCs/>
                      <w:sz w:val="20"/>
                      <w:lang w:val="pt-BR"/>
                    </w:rPr>
                    <w:t xml:space="preserve">  </w:t>
                  </w:r>
                  <w:r w:rsidR="00857818" w:rsidRPr="00D476E3">
                    <w:rPr>
                      <w:iCs/>
                      <w:sz w:val="20"/>
                    </w:rPr>
                    <w:t xml:space="preserve">Where for a Combined Cycle Train, the Resource </w:t>
                  </w:r>
                  <w:r w:rsidR="00857818" w:rsidRPr="00D476E3">
                    <w:rPr>
                      <w:i/>
                      <w:iCs/>
                      <w:sz w:val="20"/>
                    </w:rPr>
                    <w:t xml:space="preserve">r </w:t>
                  </w:r>
                  <w:r w:rsidR="00857818" w:rsidRPr="00D476E3">
                    <w:rPr>
                      <w:iCs/>
                      <w:sz w:val="20"/>
                    </w:rPr>
                    <w:t>is the Combined Cycle Train.</w:t>
                  </w:r>
                </w:p>
              </w:tc>
            </w:tr>
            <w:tr w:rsidR="00CC5182" w14:paraId="5067E302"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95D5FF3" w14:textId="77777777" w:rsidR="00CC5182" w:rsidRDefault="00CC5182" w:rsidP="00CC5182">
                  <w:pPr>
                    <w:spacing w:after="60"/>
                    <w:rPr>
                      <w:bCs/>
                      <w:sz w:val="20"/>
                      <w:lang w:val="pt-BR"/>
                    </w:rPr>
                  </w:pPr>
                  <w:r>
                    <w:rPr>
                      <w:bCs/>
                      <w:sz w:val="20"/>
                      <w:lang w:val="pt-BR"/>
                    </w:rPr>
                    <w:t>RTNSDQ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1E36CCE3"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375EF19D" w14:textId="78DA98EE" w:rsidR="00CC5182" w:rsidRDefault="00CC5182" w:rsidP="00755483">
                  <w:pPr>
                    <w:spacing w:after="60"/>
                    <w:rPr>
                      <w:bCs/>
                      <w:sz w:val="20"/>
                      <w:lang w:val="pt-BR"/>
                    </w:rPr>
                  </w:pPr>
                  <w:r>
                    <w:rPr>
                      <w:bCs/>
                      <w:i/>
                      <w:sz w:val="20"/>
                      <w:lang w:val="pt-BR"/>
                    </w:rPr>
                    <w:t>Real-Time Non-Spin Derated Quantity</w:t>
                  </w:r>
                  <w:r w:rsidR="006E3872" w:rsidRPr="00A552C3">
                    <w:rPr>
                      <w:iCs/>
                      <w:sz w:val="20"/>
                    </w:rPr>
                    <w:t>—</w:t>
                  </w:r>
                  <w:r>
                    <w:rPr>
                      <w:bCs/>
                      <w:sz w:val="20"/>
                      <w:lang w:val="pt-BR"/>
                    </w:rPr>
                    <w:t>The Non</w:t>
                  </w:r>
                  <w:r w:rsidR="00221A13">
                    <w:rPr>
                      <w:bCs/>
                      <w:sz w:val="20"/>
                      <w:lang w:val="pt-BR"/>
                    </w:rPr>
                    <w:t>-</w:t>
                  </w:r>
                  <w:r>
                    <w:rPr>
                      <w:bCs/>
                      <w:sz w:val="20"/>
                      <w:lang w:val="pt-BR"/>
                    </w:rPr>
                    <w:t xml:space="preserve">Spin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r w:rsidR="00857818" w:rsidRPr="00D476E3">
                    <w:rPr>
                      <w:iCs/>
                      <w:sz w:val="20"/>
                    </w:rPr>
                    <w:t xml:space="preserve"> </w:t>
                  </w:r>
                  <w:r w:rsidR="00857818">
                    <w:rPr>
                      <w:iCs/>
                      <w:sz w:val="20"/>
                    </w:rPr>
                    <w:t xml:space="preserve"> </w:t>
                  </w:r>
                  <w:r w:rsidR="00857818" w:rsidRPr="00D476E3">
                    <w:rPr>
                      <w:iCs/>
                      <w:sz w:val="20"/>
                    </w:rPr>
                    <w:t xml:space="preserve">Where for a Combined Cycle Train, the Resource </w:t>
                  </w:r>
                  <w:r w:rsidR="00857818" w:rsidRPr="00D476E3">
                    <w:rPr>
                      <w:i/>
                      <w:iCs/>
                      <w:sz w:val="20"/>
                    </w:rPr>
                    <w:t xml:space="preserve">r </w:t>
                  </w:r>
                  <w:r w:rsidR="00857818" w:rsidRPr="00D476E3">
                    <w:rPr>
                      <w:iCs/>
                      <w:sz w:val="20"/>
                    </w:rPr>
                    <w:t>is the Combined Cycle Train.</w:t>
                  </w:r>
                </w:p>
              </w:tc>
            </w:tr>
            <w:tr w:rsidR="00CC5182" w14:paraId="00C8A613"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3C7CAECD" w14:textId="77777777" w:rsidR="00CC5182" w:rsidRDefault="00CC5182" w:rsidP="00CC5182">
                  <w:pPr>
                    <w:spacing w:after="60"/>
                    <w:rPr>
                      <w:bCs/>
                      <w:sz w:val="20"/>
                      <w:lang w:val="pt-BR"/>
                    </w:rPr>
                  </w:pPr>
                  <w:r>
                    <w:rPr>
                      <w:i/>
                      <w:sz w:val="20"/>
                    </w:rPr>
                    <w:t>q</w:t>
                  </w:r>
                </w:p>
              </w:tc>
              <w:tc>
                <w:tcPr>
                  <w:tcW w:w="395" w:type="pct"/>
                  <w:tcBorders>
                    <w:top w:val="single" w:sz="4" w:space="0" w:color="auto"/>
                    <w:left w:val="single" w:sz="4" w:space="0" w:color="auto"/>
                    <w:bottom w:val="single" w:sz="4" w:space="0" w:color="auto"/>
                    <w:right w:val="single" w:sz="4" w:space="0" w:color="auto"/>
                  </w:tcBorders>
                  <w:hideMark/>
                </w:tcPr>
                <w:p w14:paraId="164AB79B" w14:textId="77777777" w:rsidR="00CC5182" w:rsidRDefault="00CC5182" w:rsidP="00CC5182">
                  <w:pPr>
                    <w:spacing w:after="60"/>
                    <w:rPr>
                      <w:bCs/>
                      <w:sz w:val="20"/>
                      <w:lang w:val="pt-BR"/>
                    </w:rPr>
                  </w:pPr>
                  <w:r>
                    <w:rPr>
                      <w:sz w:val="20"/>
                    </w:rPr>
                    <w:t>none</w:t>
                  </w:r>
                </w:p>
              </w:tc>
              <w:tc>
                <w:tcPr>
                  <w:tcW w:w="3448" w:type="pct"/>
                  <w:tcBorders>
                    <w:top w:val="single" w:sz="4" w:space="0" w:color="auto"/>
                    <w:left w:val="single" w:sz="4" w:space="0" w:color="auto"/>
                    <w:bottom w:val="single" w:sz="4" w:space="0" w:color="auto"/>
                    <w:right w:val="single" w:sz="4" w:space="0" w:color="auto"/>
                  </w:tcBorders>
                  <w:hideMark/>
                </w:tcPr>
                <w:p w14:paraId="4B727393" w14:textId="77777777" w:rsidR="00CC5182" w:rsidRDefault="00CC5182" w:rsidP="00CC5182">
                  <w:pPr>
                    <w:spacing w:after="60"/>
                    <w:rPr>
                      <w:bCs/>
                      <w:i/>
                      <w:sz w:val="20"/>
                      <w:lang w:val="pt-BR"/>
                    </w:rPr>
                  </w:pPr>
                  <w:r>
                    <w:rPr>
                      <w:sz w:val="20"/>
                    </w:rPr>
                    <w:t>A QSE.</w:t>
                  </w:r>
                </w:p>
              </w:tc>
            </w:tr>
            <w:tr w:rsidR="00CC5182" w14:paraId="381771CD" w14:textId="77777777" w:rsidTr="00CC5182">
              <w:trPr>
                <w:trHeight w:val="89"/>
              </w:trPr>
              <w:tc>
                <w:tcPr>
                  <w:tcW w:w="1157" w:type="pct"/>
                  <w:tcBorders>
                    <w:top w:val="single" w:sz="4" w:space="0" w:color="auto"/>
                    <w:left w:val="single" w:sz="4" w:space="0" w:color="auto"/>
                    <w:bottom w:val="single" w:sz="4" w:space="0" w:color="auto"/>
                    <w:right w:val="single" w:sz="4" w:space="0" w:color="auto"/>
                  </w:tcBorders>
                  <w:hideMark/>
                </w:tcPr>
                <w:p w14:paraId="2C97C7F2" w14:textId="77777777" w:rsidR="00CC5182" w:rsidRDefault="00CC5182" w:rsidP="00CC5182">
                  <w:pPr>
                    <w:spacing w:after="60"/>
                    <w:rPr>
                      <w:i/>
                      <w:sz w:val="20"/>
                      <w:szCs w:val="24"/>
                    </w:rPr>
                  </w:pPr>
                  <w:r>
                    <w:rPr>
                      <w:i/>
                      <w:sz w:val="20"/>
                    </w:rPr>
                    <w:t>r</w:t>
                  </w:r>
                </w:p>
              </w:tc>
              <w:tc>
                <w:tcPr>
                  <w:tcW w:w="395" w:type="pct"/>
                  <w:tcBorders>
                    <w:top w:val="single" w:sz="4" w:space="0" w:color="auto"/>
                    <w:left w:val="single" w:sz="4" w:space="0" w:color="auto"/>
                    <w:bottom w:val="single" w:sz="4" w:space="0" w:color="auto"/>
                    <w:right w:val="single" w:sz="4" w:space="0" w:color="auto"/>
                  </w:tcBorders>
                  <w:hideMark/>
                </w:tcPr>
                <w:p w14:paraId="55DE6CB9" w14:textId="77777777" w:rsidR="00CC5182" w:rsidRDefault="00CC5182" w:rsidP="00CC5182">
                  <w:pPr>
                    <w:spacing w:after="60"/>
                    <w:rPr>
                      <w:sz w:val="20"/>
                    </w:rPr>
                  </w:pPr>
                  <w:r>
                    <w:rPr>
                      <w:sz w:val="20"/>
                    </w:rPr>
                    <w:t>none</w:t>
                  </w:r>
                </w:p>
              </w:tc>
              <w:tc>
                <w:tcPr>
                  <w:tcW w:w="3448" w:type="pct"/>
                  <w:tcBorders>
                    <w:top w:val="single" w:sz="4" w:space="0" w:color="auto"/>
                    <w:left w:val="single" w:sz="4" w:space="0" w:color="auto"/>
                    <w:bottom w:val="single" w:sz="4" w:space="0" w:color="auto"/>
                    <w:right w:val="single" w:sz="4" w:space="0" w:color="auto"/>
                  </w:tcBorders>
                  <w:hideMark/>
                </w:tcPr>
                <w:p w14:paraId="50FDEA6E" w14:textId="77777777" w:rsidR="00CC5182" w:rsidRDefault="00CC5182" w:rsidP="00CC5182">
                  <w:pPr>
                    <w:spacing w:after="60"/>
                    <w:rPr>
                      <w:sz w:val="20"/>
                    </w:rPr>
                  </w:pPr>
                  <w:r>
                    <w:rPr>
                      <w:sz w:val="20"/>
                    </w:rPr>
                    <w:t xml:space="preserve">A Resource. </w:t>
                  </w:r>
                </w:p>
              </w:tc>
            </w:tr>
          </w:tbl>
          <w:p w14:paraId="56D1E956" w14:textId="5F79DC57" w:rsidR="008871B2" w:rsidRPr="008871B2" w:rsidRDefault="008871B2" w:rsidP="001138B9">
            <w:pPr>
              <w:keepNext/>
              <w:tabs>
                <w:tab w:val="left" w:pos="1080"/>
              </w:tabs>
              <w:spacing w:before="480" w:after="240"/>
              <w:outlineLvl w:val="2"/>
              <w:rPr>
                <w:b/>
                <w:bCs/>
                <w:i/>
              </w:rPr>
            </w:pPr>
          </w:p>
        </w:tc>
      </w:tr>
    </w:tbl>
    <w:p w14:paraId="40918E32"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451005B3" w14:textId="77777777" w:rsidTr="001138B9">
        <w:trPr>
          <w:trHeight w:val="206"/>
        </w:trPr>
        <w:tc>
          <w:tcPr>
            <w:tcW w:w="9350" w:type="dxa"/>
            <w:shd w:val="pct12" w:color="auto" w:fill="auto"/>
          </w:tcPr>
          <w:p w14:paraId="2B08FDBD" w14:textId="25D3A306" w:rsidR="008871B2" w:rsidRDefault="008871B2" w:rsidP="001138B9">
            <w:pPr>
              <w:pStyle w:val="Instructions"/>
              <w:spacing w:before="120"/>
            </w:pPr>
            <w:r>
              <w:t>[NPRR1010</w:t>
            </w:r>
            <w:r w:rsidR="00857818">
              <w:t xml:space="preserve"> and NPRR1245</w:t>
            </w:r>
            <w:r>
              <w:t>:  Insert Section 6.7.5.8 below upon system implementation of the Real-Time Co-Optimization (RTC) project:]</w:t>
            </w:r>
          </w:p>
          <w:p w14:paraId="5D4CC809" w14:textId="77777777" w:rsidR="00CC5182" w:rsidRPr="00CC5182" w:rsidRDefault="00CC5182" w:rsidP="00CC5182">
            <w:pPr>
              <w:pStyle w:val="Heading4"/>
              <w:numPr>
                <w:ilvl w:val="0"/>
                <w:numId w:val="0"/>
              </w:numPr>
            </w:pPr>
            <w:bookmarkStart w:id="2805" w:name="_Toc204411757"/>
            <w:r w:rsidRPr="00CC5182">
              <w:rPr>
                <w:bCs w:val="0"/>
              </w:rPr>
              <w:t>6.7.5.8</w:t>
            </w:r>
            <w:r w:rsidRPr="00CC5182">
              <w:rPr>
                <w:bCs w:val="0"/>
              </w:rPr>
              <w:tab/>
              <w:t>Real-Time Derated Ancillary Service Capability Charge</w:t>
            </w:r>
            <w:bookmarkEnd w:id="2805"/>
          </w:p>
          <w:p w14:paraId="65A2EBBE" w14:textId="62064FA5" w:rsidR="00CC5182" w:rsidRDefault="00CC5182" w:rsidP="00CC5182">
            <w:pPr>
              <w:pStyle w:val="BodyText"/>
              <w:ind w:left="720" w:hanging="720"/>
            </w:pPr>
            <w:r>
              <w:t>(1)</w:t>
            </w:r>
            <w:r>
              <w:tab/>
              <w:t xml:space="preserve">The total cost for Real-Time derated Ancillary Service payments is allocated to QSEs representing Load based on Load Ratio Share (LRS). </w:t>
            </w:r>
            <w:r w:rsidR="00221A13">
              <w:t xml:space="preserve"> </w:t>
            </w:r>
            <w:r>
              <w:t>The Real-Time derated Ancillary Service Payment allocations to each QSE for a given 15-minute Settlement Interval are calculated as follows:</w:t>
            </w:r>
          </w:p>
          <w:p w14:paraId="363AB622" w14:textId="77777777" w:rsidR="00CC5182" w:rsidRDefault="00CC5182" w:rsidP="00CC5182">
            <w:pPr>
              <w:pStyle w:val="BodyText"/>
              <w:ind w:left="1440"/>
            </w:pPr>
            <w:r>
              <w:t xml:space="preserve">LARTDASAMT </w:t>
            </w:r>
            <w:r>
              <w:rPr>
                <w:i/>
                <w:vertAlign w:val="subscript"/>
              </w:rPr>
              <w:t>q</w:t>
            </w:r>
            <w:r>
              <w:t xml:space="preserve"> =</w:t>
            </w:r>
            <w:r>
              <w:tab/>
              <w:t xml:space="preserve">(-1) * RTDASAMTTOT * LRS </w:t>
            </w:r>
            <w:r>
              <w:rPr>
                <w:i/>
                <w:vertAlign w:val="subscript"/>
              </w:rPr>
              <w:t>q</w:t>
            </w:r>
          </w:p>
          <w:p w14:paraId="056A1597" w14:textId="77777777" w:rsidR="00CC5182" w:rsidRDefault="00CC5182" w:rsidP="00CC5182">
            <w:pPr>
              <w:pStyle w:val="BodyText"/>
              <w:ind w:left="720" w:hanging="720"/>
            </w:pPr>
            <w:r>
              <w:tab/>
              <w:t>Where:</w:t>
            </w:r>
          </w:p>
          <w:p w14:paraId="51CAF029" w14:textId="49562F2D" w:rsidR="00CC5182" w:rsidRDefault="00CC5182" w:rsidP="00CC5182">
            <w:pPr>
              <w:pStyle w:val="BodyText"/>
              <w:ind w:left="720" w:firstLine="720"/>
              <w:rPr>
                <w:bCs/>
                <w:i/>
                <w:vertAlign w:val="subscript"/>
                <w:lang w:val="es-ES"/>
              </w:rPr>
            </w:pPr>
            <w:r>
              <w:t xml:space="preserve">RTDASAMTTOT = </w:t>
            </w:r>
            <w:r w:rsidR="00221A13">
              <w:rPr>
                <w:position w:val="-22"/>
                <w:szCs w:val="24"/>
              </w:rPr>
              <w:object w:dxaOrig="150" w:dyaOrig="285" w14:anchorId="7BD2B3E8">
                <v:shape id="_x0000_i1422" type="#_x0000_t75" style="width:12pt;height:24.6pt" o:ole="">
                  <v:imagedata r:id="rId328" o:title=""/>
                </v:shape>
                <o:OLEObject Type="Embed" ProgID="Equation.3" ShapeID="_x0000_i1422" DrawAspect="Content" ObjectID="_1815025610" r:id="rId514"/>
              </w:object>
            </w:r>
            <w:r>
              <w:t xml:space="preserve"> </w:t>
            </w:r>
            <w:r>
              <w:rPr>
                <w:bCs/>
                <w:lang w:val="pt-BR"/>
              </w:rPr>
              <w:t xml:space="preserve">RTDASAMT </w:t>
            </w:r>
            <w:r>
              <w:rPr>
                <w:bCs/>
                <w:i/>
                <w:vertAlign w:val="subscript"/>
                <w:lang w:val="es-ES"/>
              </w:rPr>
              <w:t>q</w:t>
            </w:r>
          </w:p>
          <w:p w14:paraId="716C3879" w14:textId="77777777" w:rsidR="00CC5182" w:rsidRPr="00CC5182" w:rsidRDefault="00CC5182" w:rsidP="00CC5182">
            <w:pPr>
              <w:pStyle w:val="Instructions"/>
              <w:spacing w:after="0"/>
              <w:ind w:left="720" w:hanging="720"/>
              <w:rPr>
                <w:b w:val="0"/>
                <w:i w:val="0"/>
              </w:rPr>
            </w:pPr>
            <w:r w:rsidRPr="00CC5182">
              <w:rPr>
                <w:b w:val="0"/>
                <w:i w:val="0"/>
                <w:iCs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703"/>
              <w:gridCol w:w="6290"/>
            </w:tblGrid>
            <w:tr w:rsidR="00CC5182" w14:paraId="73A17826"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5FBF6328" w14:textId="77777777" w:rsidR="00CC5182" w:rsidRDefault="00CC5182" w:rsidP="00CC5182">
                  <w:pPr>
                    <w:spacing w:after="240"/>
                    <w:rPr>
                      <w:b/>
                      <w:iCs/>
                      <w:sz w:val="20"/>
                    </w:rPr>
                  </w:pPr>
                  <w:r>
                    <w:rPr>
                      <w:b/>
                      <w:iCs/>
                      <w:sz w:val="20"/>
                    </w:rPr>
                    <w:t>Variable</w:t>
                  </w:r>
                </w:p>
              </w:tc>
              <w:tc>
                <w:tcPr>
                  <w:tcW w:w="386" w:type="pct"/>
                  <w:tcBorders>
                    <w:top w:val="single" w:sz="4" w:space="0" w:color="auto"/>
                    <w:left w:val="single" w:sz="4" w:space="0" w:color="auto"/>
                    <w:bottom w:val="single" w:sz="4" w:space="0" w:color="auto"/>
                    <w:right w:val="single" w:sz="4" w:space="0" w:color="auto"/>
                  </w:tcBorders>
                  <w:hideMark/>
                </w:tcPr>
                <w:p w14:paraId="4C4BD045" w14:textId="77777777" w:rsidR="00CC5182" w:rsidRDefault="00CC5182" w:rsidP="00CC5182">
                  <w:pPr>
                    <w:spacing w:after="240"/>
                    <w:rPr>
                      <w:b/>
                      <w:iCs/>
                      <w:sz w:val="20"/>
                    </w:rPr>
                  </w:pPr>
                  <w:r>
                    <w:rPr>
                      <w:b/>
                      <w:iCs/>
                      <w:sz w:val="20"/>
                    </w:rPr>
                    <w:t>Unit</w:t>
                  </w:r>
                </w:p>
              </w:tc>
              <w:tc>
                <w:tcPr>
                  <w:tcW w:w="3452" w:type="pct"/>
                  <w:tcBorders>
                    <w:top w:val="single" w:sz="4" w:space="0" w:color="auto"/>
                    <w:left w:val="single" w:sz="4" w:space="0" w:color="auto"/>
                    <w:bottom w:val="single" w:sz="4" w:space="0" w:color="auto"/>
                    <w:right w:val="single" w:sz="4" w:space="0" w:color="auto"/>
                  </w:tcBorders>
                  <w:hideMark/>
                </w:tcPr>
                <w:p w14:paraId="1381BFA2" w14:textId="77777777" w:rsidR="00CC5182" w:rsidRDefault="00CC5182" w:rsidP="00CC5182">
                  <w:pPr>
                    <w:spacing w:after="240"/>
                    <w:rPr>
                      <w:b/>
                      <w:iCs/>
                      <w:sz w:val="20"/>
                    </w:rPr>
                  </w:pPr>
                  <w:r>
                    <w:rPr>
                      <w:b/>
                      <w:iCs/>
                      <w:sz w:val="20"/>
                    </w:rPr>
                    <w:t>Description</w:t>
                  </w:r>
                </w:p>
              </w:tc>
            </w:tr>
            <w:tr w:rsidR="00CC5182" w14:paraId="6D0B7A60"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148B42E4" w14:textId="77777777" w:rsidR="00CC5182" w:rsidRDefault="00CC5182" w:rsidP="00CC5182">
                  <w:pPr>
                    <w:spacing w:after="60"/>
                    <w:rPr>
                      <w:iCs/>
                      <w:sz w:val="20"/>
                    </w:rPr>
                  </w:pPr>
                  <w:r>
                    <w:rPr>
                      <w:bCs/>
                      <w:sz w:val="20"/>
                      <w:lang w:val="pt-BR"/>
                    </w:rPr>
                    <w:t>LARTDASAMT</w:t>
                  </w:r>
                  <w:r>
                    <w:rPr>
                      <w:bCs/>
                      <w:lang w:val="pt-BR"/>
                    </w:rPr>
                    <w:t xml:space="preserve"> </w:t>
                  </w:r>
                  <w:r>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hideMark/>
                </w:tcPr>
                <w:p w14:paraId="3D91ECAF" w14:textId="77777777" w:rsidR="00CC5182" w:rsidRDefault="00CC5182" w:rsidP="00CC5182">
                  <w:pPr>
                    <w:spacing w:after="60"/>
                    <w:rPr>
                      <w:iCs/>
                      <w:sz w:val="20"/>
                    </w:rPr>
                  </w:pPr>
                  <w:r>
                    <w:rPr>
                      <w:iCs/>
                      <w:sz w:val="20"/>
                    </w:rPr>
                    <w:t>$</w:t>
                  </w:r>
                </w:p>
              </w:tc>
              <w:tc>
                <w:tcPr>
                  <w:tcW w:w="3452" w:type="pct"/>
                  <w:tcBorders>
                    <w:top w:val="single" w:sz="4" w:space="0" w:color="auto"/>
                    <w:left w:val="single" w:sz="4" w:space="0" w:color="auto"/>
                    <w:bottom w:val="single" w:sz="4" w:space="0" w:color="auto"/>
                    <w:right w:val="single" w:sz="4" w:space="0" w:color="auto"/>
                  </w:tcBorders>
                  <w:hideMark/>
                </w:tcPr>
                <w:p w14:paraId="2231D6D5" w14:textId="4E287756" w:rsidR="00CC5182" w:rsidRDefault="00CC5182" w:rsidP="00CC5182">
                  <w:pPr>
                    <w:spacing w:after="60"/>
                    <w:rPr>
                      <w:iCs/>
                      <w:sz w:val="20"/>
                    </w:rPr>
                  </w:pPr>
                  <w:r>
                    <w:rPr>
                      <w:i/>
                      <w:iCs/>
                      <w:sz w:val="20"/>
                    </w:rPr>
                    <w:t>Load Allocated Real-Time Derated Ancillary Service Amount per QSE</w:t>
                  </w:r>
                  <w:r w:rsidR="00D4433A" w:rsidRPr="00A552C3">
                    <w:rPr>
                      <w:iCs/>
                      <w:sz w:val="20"/>
                    </w:rPr>
                    <w:t>—</w:t>
                  </w:r>
                  <w:r>
                    <w:rPr>
                      <w:iCs/>
                      <w:sz w:val="20"/>
                    </w:rPr>
                    <w:t xml:space="preserve">The charge to QSE </w:t>
                  </w:r>
                  <w:r>
                    <w:rPr>
                      <w:i/>
                      <w:iCs/>
                      <w:sz w:val="20"/>
                    </w:rPr>
                    <w:t>q</w:t>
                  </w:r>
                  <w:r>
                    <w:rPr>
                      <w:iCs/>
                      <w:sz w:val="20"/>
                    </w:rPr>
                    <w:t xml:space="preserve"> due to a manual reduction of Ancillary Services to be awarded for the 15-minute Settlement Interval.</w:t>
                  </w:r>
                </w:p>
              </w:tc>
            </w:tr>
            <w:tr w:rsidR="00CC5182" w14:paraId="7D6591BE"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6C629C46" w14:textId="77777777" w:rsidR="00CC5182" w:rsidRDefault="00CC5182" w:rsidP="00CC5182">
                  <w:pPr>
                    <w:spacing w:after="60"/>
                    <w:rPr>
                      <w:iCs/>
                      <w:sz w:val="20"/>
                    </w:rPr>
                  </w:pPr>
                  <w:r>
                    <w:rPr>
                      <w:bCs/>
                      <w:sz w:val="20"/>
                      <w:lang w:val="pt-BR"/>
                    </w:rPr>
                    <w:t>RTDASAMTTOT</w:t>
                  </w:r>
                </w:p>
              </w:tc>
              <w:tc>
                <w:tcPr>
                  <w:tcW w:w="386" w:type="pct"/>
                  <w:tcBorders>
                    <w:top w:val="single" w:sz="4" w:space="0" w:color="auto"/>
                    <w:left w:val="single" w:sz="4" w:space="0" w:color="auto"/>
                    <w:bottom w:val="single" w:sz="4" w:space="0" w:color="auto"/>
                    <w:right w:val="single" w:sz="4" w:space="0" w:color="auto"/>
                  </w:tcBorders>
                  <w:hideMark/>
                </w:tcPr>
                <w:p w14:paraId="1E121CBF" w14:textId="77777777" w:rsidR="00CC5182" w:rsidRDefault="00CC5182" w:rsidP="00CC5182">
                  <w:pPr>
                    <w:spacing w:after="60"/>
                    <w:rPr>
                      <w:iCs/>
                      <w:sz w:val="20"/>
                    </w:rPr>
                  </w:pPr>
                  <w:r>
                    <w:rPr>
                      <w:iCs/>
                      <w:sz w:val="20"/>
                    </w:rPr>
                    <w:t>$</w:t>
                  </w:r>
                </w:p>
              </w:tc>
              <w:tc>
                <w:tcPr>
                  <w:tcW w:w="3452" w:type="pct"/>
                  <w:tcBorders>
                    <w:top w:val="single" w:sz="4" w:space="0" w:color="auto"/>
                    <w:left w:val="single" w:sz="4" w:space="0" w:color="auto"/>
                    <w:bottom w:val="single" w:sz="4" w:space="0" w:color="auto"/>
                    <w:right w:val="single" w:sz="4" w:space="0" w:color="auto"/>
                  </w:tcBorders>
                  <w:hideMark/>
                </w:tcPr>
                <w:p w14:paraId="37E593D8" w14:textId="0176EEF2" w:rsidR="00CC5182" w:rsidRDefault="00CC5182" w:rsidP="00CC5182">
                  <w:pPr>
                    <w:spacing w:after="60"/>
                    <w:rPr>
                      <w:i/>
                      <w:iCs/>
                      <w:sz w:val="20"/>
                    </w:rPr>
                  </w:pPr>
                  <w:r>
                    <w:rPr>
                      <w:i/>
                      <w:iCs/>
                      <w:sz w:val="20"/>
                    </w:rPr>
                    <w:t>Real-Time Derated Ancillary Service Amount Total</w:t>
                  </w:r>
                  <w:r>
                    <w:rPr>
                      <w:iCs/>
                      <w:sz w:val="20"/>
                    </w:rPr>
                    <w:t xml:space="preserve">—The total of all payments to all QSEs for amounts recoverable due to an ERCOT issued </w:t>
                  </w:r>
                  <w:r>
                    <w:rPr>
                      <w:iCs/>
                      <w:sz w:val="20"/>
                    </w:rPr>
                    <w:lastRenderedPageBreak/>
                    <w:t>manual reduction of Ancillary Services to be awarded for the 15-minute Settlement Interval.</w:t>
                  </w:r>
                </w:p>
              </w:tc>
            </w:tr>
            <w:tr w:rsidR="00CC5182" w14:paraId="1B524B4D"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3C9522C8" w14:textId="77777777" w:rsidR="00CC5182" w:rsidRDefault="00CC5182" w:rsidP="00CC5182">
                  <w:pPr>
                    <w:spacing w:after="60"/>
                    <w:rPr>
                      <w:bCs/>
                      <w:sz w:val="20"/>
                      <w:lang w:val="pt-BR"/>
                    </w:rPr>
                  </w:pPr>
                  <w:r>
                    <w:rPr>
                      <w:bCs/>
                      <w:sz w:val="20"/>
                      <w:lang w:val="pt-BR"/>
                    </w:rPr>
                    <w:lastRenderedPageBreak/>
                    <w:t>RTDASAMT</w:t>
                  </w:r>
                  <w:r>
                    <w:rPr>
                      <w:bCs/>
                      <w:lang w:val="pt-BR"/>
                    </w:rPr>
                    <w:t xml:space="preserve"> </w:t>
                  </w:r>
                  <w:r>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hideMark/>
                </w:tcPr>
                <w:p w14:paraId="406416C4" w14:textId="77777777" w:rsidR="00CC5182" w:rsidRDefault="00CC5182" w:rsidP="00CC5182">
                  <w:pPr>
                    <w:spacing w:after="60"/>
                    <w:rPr>
                      <w:iCs/>
                      <w:sz w:val="20"/>
                      <w:szCs w:val="24"/>
                    </w:rPr>
                  </w:pPr>
                  <w:r>
                    <w:rPr>
                      <w:iCs/>
                      <w:sz w:val="20"/>
                    </w:rPr>
                    <w:t>$</w:t>
                  </w:r>
                </w:p>
              </w:tc>
              <w:tc>
                <w:tcPr>
                  <w:tcW w:w="3452" w:type="pct"/>
                  <w:tcBorders>
                    <w:top w:val="single" w:sz="4" w:space="0" w:color="auto"/>
                    <w:left w:val="single" w:sz="4" w:space="0" w:color="auto"/>
                    <w:bottom w:val="single" w:sz="4" w:space="0" w:color="auto"/>
                    <w:right w:val="single" w:sz="4" w:space="0" w:color="auto"/>
                  </w:tcBorders>
                  <w:hideMark/>
                </w:tcPr>
                <w:p w14:paraId="5ACA3B50" w14:textId="77777777" w:rsidR="00CC5182" w:rsidRDefault="00CC5182" w:rsidP="00CC5182">
                  <w:pPr>
                    <w:spacing w:after="60"/>
                    <w:rPr>
                      <w:i/>
                      <w:iCs/>
                      <w:sz w:val="20"/>
                    </w:rPr>
                  </w:pPr>
                  <w:r>
                    <w:rPr>
                      <w:i/>
                      <w:iCs/>
                      <w:sz w:val="20"/>
                    </w:rPr>
                    <w:t>Real-Time Derated Ancillary Service Amount</w:t>
                  </w:r>
                  <w:r>
                    <w:rPr>
                      <w:iCs/>
                      <w:sz w:val="20"/>
                    </w:rPr>
                    <w:t xml:space="preserve">—The payment to QSE </w:t>
                  </w:r>
                  <w:r>
                    <w:rPr>
                      <w:i/>
                      <w:iCs/>
                      <w:sz w:val="20"/>
                    </w:rPr>
                    <w:t>q</w:t>
                  </w:r>
                  <w:r>
                    <w:rPr>
                      <w:iCs/>
                      <w:sz w:val="20"/>
                    </w:rPr>
                    <w:t xml:space="preserve"> for amounts recoverable due to an ERCOT issued manual reduction of Ancillary Services to be awarded for the 15-minute Settlement Interval.</w:t>
                  </w:r>
                </w:p>
              </w:tc>
            </w:tr>
            <w:tr w:rsidR="00CC5182" w14:paraId="3E3BE3DB"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3F1F7747" w14:textId="77777777" w:rsidR="00CC5182" w:rsidRDefault="00CC5182" w:rsidP="00CC5182">
                  <w:pPr>
                    <w:spacing w:after="60"/>
                    <w:rPr>
                      <w:bCs/>
                      <w:sz w:val="20"/>
                      <w:lang w:val="pt-BR"/>
                    </w:rPr>
                  </w:pPr>
                  <w:r>
                    <w:rPr>
                      <w:sz w:val="20"/>
                    </w:rPr>
                    <w:t>LRS</w:t>
                  </w:r>
                  <w:r>
                    <w:rPr>
                      <w:sz w:val="20"/>
                      <w:vertAlign w:val="subscript"/>
                    </w:rPr>
                    <w:t xml:space="preserve"> </w:t>
                  </w:r>
                  <w:r>
                    <w:rPr>
                      <w:i/>
                      <w:sz w:val="20"/>
                      <w:vertAlign w:val="subscript"/>
                    </w:rPr>
                    <w:t>q</w:t>
                  </w:r>
                </w:p>
              </w:tc>
              <w:tc>
                <w:tcPr>
                  <w:tcW w:w="386" w:type="pct"/>
                  <w:tcBorders>
                    <w:top w:val="single" w:sz="4" w:space="0" w:color="auto"/>
                    <w:left w:val="single" w:sz="4" w:space="0" w:color="auto"/>
                    <w:bottom w:val="single" w:sz="4" w:space="0" w:color="auto"/>
                    <w:right w:val="single" w:sz="4" w:space="0" w:color="auto"/>
                  </w:tcBorders>
                  <w:hideMark/>
                </w:tcPr>
                <w:p w14:paraId="352FC260" w14:textId="77777777" w:rsidR="00CC5182" w:rsidRDefault="00CC5182" w:rsidP="00CC5182">
                  <w:pPr>
                    <w:spacing w:after="60"/>
                    <w:rPr>
                      <w:iCs/>
                      <w:sz w:val="20"/>
                    </w:rPr>
                  </w:pPr>
                  <w:r>
                    <w:rPr>
                      <w:sz w:val="20"/>
                    </w:rPr>
                    <w:t>none</w:t>
                  </w:r>
                </w:p>
              </w:tc>
              <w:tc>
                <w:tcPr>
                  <w:tcW w:w="3452" w:type="pct"/>
                  <w:tcBorders>
                    <w:top w:val="single" w:sz="4" w:space="0" w:color="auto"/>
                    <w:left w:val="single" w:sz="4" w:space="0" w:color="auto"/>
                    <w:bottom w:val="single" w:sz="4" w:space="0" w:color="auto"/>
                    <w:right w:val="single" w:sz="4" w:space="0" w:color="auto"/>
                  </w:tcBorders>
                  <w:hideMark/>
                </w:tcPr>
                <w:p w14:paraId="04409FB7" w14:textId="77777777" w:rsidR="00CC5182" w:rsidRDefault="00CC5182" w:rsidP="00CC5182">
                  <w:pPr>
                    <w:spacing w:after="60"/>
                    <w:rPr>
                      <w:i/>
                      <w:iCs/>
                      <w:sz w:val="20"/>
                    </w:rPr>
                  </w:pPr>
                  <w:r>
                    <w:rPr>
                      <w:i/>
                      <w:sz w:val="20"/>
                    </w:rPr>
                    <w:t>Load Ratio Share per QSE</w:t>
                  </w:r>
                  <w:r>
                    <w:rPr>
                      <w:sz w:val="20"/>
                    </w:rPr>
                    <w:t xml:space="preserve">—The LRS as defined in Section 6.6.2.2, QSE Load Ratio Share for a 15-Minute Settlement Interval, for QSE </w:t>
                  </w:r>
                  <w:r>
                    <w:rPr>
                      <w:i/>
                      <w:sz w:val="20"/>
                    </w:rPr>
                    <w:t>q</w:t>
                  </w:r>
                  <w:r>
                    <w:rPr>
                      <w:sz w:val="20"/>
                    </w:rPr>
                    <w:t xml:space="preserve"> for the 15-minute Settlement Interval.</w:t>
                  </w:r>
                </w:p>
              </w:tc>
            </w:tr>
            <w:tr w:rsidR="00CC5182" w14:paraId="28334426"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1AA12120" w14:textId="77777777" w:rsidR="00CC5182" w:rsidRDefault="00CC5182" w:rsidP="00CC5182">
                  <w:pPr>
                    <w:spacing w:after="60"/>
                    <w:rPr>
                      <w:bCs/>
                      <w:i/>
                      <w:sz w:val="20"/>
                      <w:lang w:val="pt-BR"/>
                    </w:rPr>
                  </w:pPr>
                  <w:r>
                    <w:rPr>
                      <w:bCs/>
                      <w:i/>
                      <w:sz w:val="20"/>
                      <w:lang w:val="pt-BR"/>
                    </w:rPr>
                    <w:t>q</w:t>
                  </w:r>
                </w:p>
              </w:tc>
              <w:tc>
                <w:tcPr>
                  <w:tcW w:w="386" w:type="pct"/>
                  <w:tcBorders>
                    <w:top w:val="single" w:sz="4" w:space="0" w:color="auto"/>
                    <w:left w:val="single" w:sz="4" w:space="0" w:color="auto"/>
                    <w:bottom w:val="single" w:sz="4" w:space="0" w:color="auto"/>
                    <w:right w:val="single" w:sz="4" w:space="0" w:color="auto"/>
                  </w:tcBorders>
                  <w:hideMark/>
                </w:tcPr>
                <w:p w14:paraId="328096ED" w14:textId="77777777" w:rsidR="00CC5182" w:rsidRDefault="00CC5182" w:rsidP="00CC5182">
                  <w:pPr>
                    <w:spacing w:after="60"/>
                    <w:rPr>
                      <w:iCs/>
                      <w:sz w:val="20"/>
                      <w:szCs w:val="24"/>
                    </w:rPr>
                  </w:pPr>
                  <w:r>
                    <w:rPr>
                      <w:iCs/>
                      <w:sz w:val="20"/>
                    </w:rPr>
                    <w:t>none</w:t>
                  </w:r>
                </w:p>
              </w:tc>
              <w:tc>
                <w:tcPr>
                  <w:tcW w:w="3452" w:type="pct"/>
                  <w:tcBorders>
                    <w:top w:val="single" w:sz="4" w:space="0" w:color="auto"/>
                    <w:left w:val="single" w:sz="4" w:space="0" w:color="auto"/>
                    <w:bottom w:val="single" w:sz="4" w:space="0" w:color="auto"/>
                    <w:right w:val="single" w:sz="4" w:space="0" w:color="auto"/>
                  </w:tcBorders>
                  <w:hideMark/>
                </w:tcPr>
                <w:p w14:paraId="0A2AD4D2" w14:textId="77777777" w:rsidR="00CC5182" w:rsidRDefault="00CC5182" w:rsidP="00CC5182">
                  <w:pPr>
                    <w:spacing w:after="60"/>
                    <w:rPr>
                      <w:iCs/>
                      <w:sz w:val="20"/>
                    </w:rPr>
                  </w:pPr>
                  <w:r>
                    <w:rPr>
                      <w:iCs/>
                      <w:sz w:val="20"/>
                    </w:rPr>
                    <w:t>A QSE.</w:t>
                  </w:r>
                </w:p>
              </w:tc>
            </w:tr>
          </w:tbl>
          <w:p w14:paraId="12FB12E1" w14:textId="22F1B001" w:rsidR="008871B2" w:rsidRPr="008871B2" w:rsidRDefault="008871B2" w:rsidP="001138B9">
            <w:pPr>
              <w:keepNext/>
              <w:tabs>
                <w:tab w:val="left" w:pos="1080"/>
              </w:tabs>
              <w:spacing w:before="480" w:after="240"/>
              <w:outlineLvl w:val="2"/>
              <w:rPr>
                <w:b/>
                <w:bCs/>
                <w:i/>
              </w:rPr>
            </w:pPr>
          </w:p>
        </w:tc>
      </w:tr>
    </w:tbl>
    <w:p w14:paraId="2DCF1D0D" w14:textId="77777777" w:rsidR="001F04FD" w:rsidRPr="0080555B" w:rsidRDefault="001F04FD" w:rsidP="001F04FD">
      <w:pPr>
        <w:pStyle w:val="H3"/>
        <w:spacing w:before="480"/>
        <w:ind w:left="0" w:firstLine="0"/>
      </w:pPr>
      <w:bookmarkStart w:id="2806" w:name="_Toc204411758"/>
      <w:r w:rsidRPr="0080555B">
        <w:lastRenderedPageBreak/>
        <w:t>6.7.</w:t>
      </w:r>
      <w:r>
        <w:t>6</w:t>
      </w:r>
      <w:r w:rsidRPr="0080555B">
        <w:tab/>
        <w:t xml:space="preserve">Real-Time Ancillary Service Imbalance </w:t>
      </w:r>
      <w:r>
        <w:t>Revenue Neutrality Allocation</w:t>
      </w:r>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806"/>
    </w:p>
    <w:p w14:paraId="7D9A3AE2" w14:textId="31E9F8D2" w:rsidR="001F04FD" w:rsidRPr="00213B85" w:rsidRDefault="001F04FD" w:rsidP="001F04FD">
      <w:pPr>
        <w:pStyle w:val="BodyText"/>
        <w:ind w:left="720" w:hanging="720"/>
        <w:rPr>
          <w:iCs w:val="0"/>
        </w:rPr>
      </w:pPr>
      <w:r>
        <w:t>(1)</w:t>
      </w:r>
      <w:r>
        <w:tab/>
        <w:t>The total cost for Ancillary Service Imbalance payments and charges</w:t>
      </w:r>
      <w:r w:rsidRPr="00991FAF">
        <w:t xml:space="preserve"> </w:t>
      </w:r>
      <w:r>
        <w:t>associated with ORDC and reliability deployments</w:t>
      </w:r>
      <w:r w:rsidRPr="00991FAF">
        <w:t xml:space="preserve"> is allocated to the QSEs representing</w:t>
      </w:r>
      <w:r>
        <w:t xml:space="preserve"> Load based on Load Ratio Share (LRS).  The Real-Time Ancillary Service imbalance revenue neutrality allocations to each QSE for a given 15-minute Settlement Interval are calculated as follows:</w:t>
      </w:r>
    </w:p>
    <w:p w14:paraId="20D1F507" w14:textId="77777777" w:rsidR="001F04FD" w:rsidRDefault="001F04FD" w:rsidP="001F04FD">
      <w:pPr>
        <w:pStyle w:val="FormulaBold"/>
        <w:ind w:left="3600" w:hanging="2430"/>
      </w:pPr>
      <w:r>
        <w:t xml:space="preserve">LAASIRNAMT </w:t>
      </w:r>
      <w:r>
        <w:rPr>
          <w:i/>
          <w:vertAlign w:val="subscript"/>
        </w:rPr>
        <w:t>q</w:t>
      </w:r>
      <w:r>
        <w:t>=</w:t>
      </w:r>
      <w:r>
        <w:tab/>
      </w:r>
      <w:r>
        <w:tab/>
        <w:t xml:space="preserve">(-1) * [(RTASIAMTTOT + RTRUCRSVAMTTOT) * LRS </w:t>
      </w:r>
      <w:r>
        <w:rPr>
          <w:i/>
          <w:vertAlign w:val="subscript"/>
        </w:rPr>
        <w:t>q</w:t>
      </w:r>
      <w:r w:rsidRPr="0005626C">
        <w:t>]</w:t>
      </w:r>
    </w:p>
    <w:p w14:paraId="31B1CA03" w14:textId="403BB4DC" w:rsidR="001F04FD" w:rsidRPr="007243C1" w:rsidRDefault="001F04FD" w:rsidP="001F04FD">
      <w:pPr>
        <w:pStyle w:val="FormulaBold"/>
        <w:ind w:left="3600" w:hanging="2430"/>
      </w:pPr>
      <w:r>
        <w:t xml:space="preserve">LARDASIRNAMT </w:t>
      </w:r>
      <w:r>
        <w:rPr>
          <w:i/>
          <w:vertAlign w:val="subscript"/>
        </w:rPr>
        <w:t>q</w:t>
      </w:r>
      <w:r>
        <w:t>=</w:t>
      </w:r>
      <w:r>
        <w:tab/>
        <w:t xml:space="preserve">(-1) * [(RTRDASIAMTTOT + RTRDRUCRSVAMTTOT) * LRS </w:t>
      </w:r>
      <w:r>
        <w:rPr>
          <w:i/>
          <w:vertAlign w:val="subscript"/>
        </w:rPr>
        <w:t>q</w:t>
      </w:r>
      <w:r w:rsidRPr="0005626C">
        <w:t>]</w:t>
      </w:r>
    </w:p>
    <w:p w14:paraId="0C9F9EF9" w14:textId="77777777" w:rsidR="001F04FD" w:rsidRDefault="001F04FD" w:rsidP="001F04FD">
      <w:pPr>
        <w:pStyle w:val="BodyText"/>
      </w:pPr>
      <w:r>
        <w:t>Where:</w:t>
      </w:r>
    </w:p>
    <w:p w14:paraId="62A26DAD" w14:textId="77777777" w:rsidR="001F04FD" w:rsidRDefault="001F04FD" w:rsidP="001F04FD">
      <w:pPr>
        <w:pStyle w:val="Formula"/>
        <w:ind w:leftChars="488" w:left="3600" w:hangingChars="1012" w:hanging="2429"/>
        <w:rPr>
          <w:i/>
          <w:vertAlign w:val="subscript"/>
        </w:rPr>
      </w:pPr>
      <w:r>
        <w:t>RTASIAMTTOT</w:t>
      </w:r>
      <w:r>
        <w:tab/>
      </w:r>
      <w:r>
        <w:tab/>
        <w:t>=</w:t>
      </w:r>
      <w:r>
        <w:tab/>
      </w:r>
      <w:r w:rsidRPr="006F784F">
        <w:rPr>
          <w:position w:val="-22"/>
        </w:rPr>
        <w:object w:dxaOrig="210" w:dyaOrig="465" w14:anchorId="31BEC359">
          <v:shape id="_x0000_i1423" type="#_x0000_t75" style="width:5.4pt;height:24.6pt" o:ole="">
            <v:imagedata r:id="rId325" o:title=""/>
          </v:shape>
          <o:OLEObject Type="Embed" ProgID="Equation.3" ShapeID="_x0000_i1423" DrawAspect="Content" ObjectID="_1815025611" r:id="rId515"/>
        </w:object>
      </w:r>
      <w:r>
        <w:t xml:space="preserve">RTASIAMT </w:t>
      </w:r>
      <w:r>
        <w:rPr>
          <w:i/>
          <w:vertAlign w:val="subscript"/>
        </w:rPr>
        <w:t>q</w:t>
      </w:r>
    </w:p>
    <w:p w14:paraId="0C568109" w14:textId="77777777" w:rsidR="001F04FD" w:rsidRDefault="001F04FD" w:rsidP="001F04FD">
      <w:pPr>
        <w:pStyle w:val="Formula"/>
        <w:ind w:leftChars="487" w:left="3598" w:hangingChars="1012" w:hanging="2429"/>
        <w:rPr>
          <w:i/>
          <w:vertAlign w:val="subscript"/>
        </w:rPr>
      </w:pPr>
      <w:r>
        <w:t>RTRUCRSVAMTTOT</w:t>
      </w:r>
      <w:r>
        <w:tab/>
        <w:t>=</w:t>
      </w:r>
      <w:r>
        <w:tab/>
      </w:r>
      <w:r w:rsidRPr="006F784F">
        <w:rPr>
          <w:position w:val="-22"/>
        </w:rPr>
        <w:object w:dxaOrig="210" w:dyaOrig="465" w14:anchorId="7E58EED1">
          <v:shape id="_x0000_i1424" type="#_x0000_t75" style="width:5.4pt;height:24.6pt" o:ole="">
            <v:imagedata r:id="rId325" o:title=""/>
          </v:shape>
          <o:OLEObject Type="Embed" ProgID="Equation.3" ShapeID="_x0000_i1424" DrawAspect="Content" ObjectID="_1815025612" r:id="rId516"/>
        </w:object>
      </w:r>
      <w:r>
        <w:t xml:space="preserve"> </w:t>
      </w:r>
      <w:r w:rsidRPr="00407DDC">
        <w:t>RTRUCRSV</w:t>
      </w:r>
      <w:r>
        <w:t>A</w:t>
      </w:r>
      <w:r w:rsidRPr="00407DDC">
        <w:t xml:space="preserve">MT </w:t>
      </w:r>
      <w:r w:rsidRPr="0080555B">
        <w:rPr>
          <w:i/>
          <w:vertAlign w:val="subscript"/>
        </w:rPr>
        <w:t>q</w:t>
      </w:r>
    </w:p>
    <w:p w14:paraId="6DA0DB0F" w14:textId="0E6D6660" w:rsidR="001F04FD" w:rsidRDefault="001F04FD" w:rsidP="001F04FD">
      <w:pPr>
        <w:pStyle w:val="Formula"/>
        <w:ind w:leftChars="488" w:left="3600" w:hangingChars="1012" w:hanging="2429"/>
        <w:rPr>
          <w:i/>
          <w:vertAlign w:val="subscript"/>
        </w:rPr>
      </w:pPr>
      <w:r>
        <w:t>RTRDASIAMTTOT</w:t>
      </w:r>
      <w:r>
        <w:tab/>
        <w:t>=</w:t>
      </w:r>
      <w:r>
        <w:tab/>
      </w:r>
      <w:r w:rsidRPr="006F784F">
        <w:rPr>
          <w:position w:val="-22"/>
        </w:rPr>
        <w:object w:dxaOrig="210" w:dyaOrig="465" w14:anchorId="34CEBEB0">
          <v:shape id="_x0000_i1425" type="#_x0000_t75" style="width:5.4pt;height:24.6pt" o:ole="">
            <v:imagedata r:id="rId325" o:title=""/>
          </v:shape>
          <o:OLEObject Type="Embed" ProgID="Equation.3" ShapeID="_x0000_i1425" DrawAspect="Content" ObjectID="_1815025613" r:id="rId517"/>
        </w:object>
      </w:r>
      <w:r>
        <w:t xml:space="preserve">RTRDASIAMT </w:t>
      </w:r>
      <w:r>
        <w:rPr>
          <w:i/>
          <w:vertAlign w:val="subscript"/>
        </w:rPr>
        <w:t>q</w:t>
      </w:r>
    </w:p>
    <w:p w14:paraId="4F00AF68" w14:textId="48AFD0BA" w:rsidR="001F04FD" w:rsidRDefault="001F04FD" w:rsidP="001F04FD">
      <w:pPr>
        <w:pStyle w:val="Formula"/>
        <w:ind w:leftChars="487" w:left="3598" w:hangingChars="1012" w:hanging="2429"/>
        <w:rPr>
          <w:i/>
          <w:vertAlign w:val="subscript"/>
        </w:rPr>
      </w:pPr>
      <w:r>
        <w:t>RTRDRUCRSVAMTTOT=</w:t>
      </w:r>
      <w:r>
        <w:tab/>
      </w:r>
      <w:r w:rsidRPr="006F784F">
        <w:rPr>
          <w:position w:val="-22"/>
        </w:rPr>
        <w:object w:dxaOrig="210" w:dyaOrig="465" w14:anchorId="7A763C07">
          <v:shape id="_x0000_i1426" type="#_x0000_t75" style="width:5.4pt;height:24.6pt" o:ole="">
            <v:imagedata r:id="rId325" o:title=""/>
          </v:shape>
          <o:OLEObject Type="Embed" ProgID="Equation.3" ShapeID="_x0000_i1426" DrawAspect="Content" ObjectID="_1815025614" r:id="rId518"/>
        </w:object>
      </w:r>
      <w:r>
        <w:t xml:space="preserve"> </w:t>
      </w:r>
      <w:r w:rsidRPr="00407DDC">
        <w:t>RT</w:t>
      </w:r>
      <w:r>
        <w:t>RD</w:t>
      </w:r>
      <w:r w:rsidRPr="00407DDC">
        <w:t>RUCRSV</w:t>
      </w:r>
      <w:r>
        <w:t>A</w:t>
      </w:r>
      <w:r w:rsidRPr="00407DDC">
        <w:t xml:space="preserve">MT </w:t>
      </w:r>
      <w:r w:rsidRPr="0080555B">
        <w:rPr>
          <w:i/>
          <w:vertAlign w:val="subscript"/>
        </w:rPr>
        <w:t>q</w:t>
      </w:r>
    </w:p>
    <w:p w14:paraId="6856046B"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605"/>
        <w:gridCol w:w="6362"/>
      </w:tblGrid>
      <w:tr w:rsidR="001F04FD" w14:paraId="140E9C5E" w14:textId="77777777" w:rsidTr="00AC4DEE">
        <w:trPr>
          <w:tblHeader/>
        </w:trPr>
        <w:tc>
          <w:tcPr>
            <w:tcW w:w="1244" w:type="pct"/>
          </w:tcPr>
          <w:p w14:paraId="46F45C54" w14:textId="77777777" w:rsidR="001F04FD" w:rsidRPr="00CE4C14" w:rsidRDefault="001F04FD" w:rsidP="00AC4DEE">
            <w:pPr>
              <w:pStyle w:val="TableHead"/>
            </w:pPr>
            <w:r w:rsidRPr="00CE4C14">
              <w:t>Variable</w:t>
            </w:r>
          </w:p>
        </w:tc>
        <w:tc>
          <w:tcPr>
            <w:tcW w:w="316" w:type="pct"/>
          </w:tcPr>
          <w:p w14:paraId="2786EC17" w14:textId="77777777" w:rsidR="001F04FD" w:rsidRPr="00CE4C14" w:rsidRDefault="001F04FD" w:rsidP="00AC4DEE">
            <w:pPr>
              <w:pStyle w:val="TableHead"/>
            </w:pPr>
            <w:r w:rsidRPr="00CE4C14">
              <w:t>Unit</w:t>
            </w:r>
          </w:p>
        </w:tc>
        <w:tc>
          <w:tcPr>
            <w:tcW w:w="3440" w:type="pct"/>
          </w:tcPr>
          <w:p w14:paraId="7E1C0592" w14:textId="77777777" w:rsidR="001F04FD" w:rsidRPr="00CE4C14" w:rsidRDefault="001F04FD" w:rsidP="00AC4DEE">
            <w:pPr>
              <w:pStyle w:val="TableHead"/>
            </w:pPr>
            <w:r w:rsidRPr="00CE4C14">
              <w:t>Definition</w:t>
            </w:r>
          </w:p>
        </w:tc>
      </w:tr>
      <w:tr w:rsidR="001F04FD" w14:paraId="14A16DC6" w14:textId="77777777" w:rsidTr="00AC4DEE">
        <w:tc>
          <w:tcPr>
            <w:tcW w:w="1244" w:type="pct"/>
          </w:tcPr>
          <w:p w14:paraId="0F916C09" w14:textId="77777777" w:rsidR="001F04FD" w:rsidRPr="00CE4C14" w:rsidRDefault="001F04FD" w:rsidP="00AC4DEE">
            <w:pPr>
              <w:pStyle w:val="TableBody"/>
            </w:pPr>
            <w:r w:rsidRPr="00CE4C14">
              <w:t xml:space="preserve">LAASIRNAMT </w:t>
            </w:r>
            <w:r w:rsidRPr="000275BF">
              <w:rPr>
                <w:i/>
                <w:vertAlign w:val="subscript"/>
              </w:rPr>
              <w:t>q</w:t>
            </w:r>
          </w:p>
        </w:tc>
        <w:tc>
          <w:tcPr>
            <w:tcW w:w="316" w:type="pct"/>
          </w:tcPr>
          <w:p w14:paraId="58EA5D59" w14:textId="77777777" w:rsidR="001F04FD" w:rsidRPr="00CE4C14" w:rsidRDefault="001F04FD" w:rsidP="00AC4DEE">
            <w:pPr>
              <w:pStyle w:val="TableBody"/>
            </w:pPr>
            <w:r w:rsidRPr="00CE4C14">
              <w:t>$</w:t>
            </w:r>
          </w:p>
        </w:tc>
        <w:tc>
          <w:tcPr>
            <w:tcW w:w="3440" w:type="pct"/>
          </w:tcPr>
          <w:p w14:paraId="320C157F" w14:textId="77777777" w:rsidR="001F04FD" w:rsidRPr="00CE4C14" w:rsidRDefault="001F04FD" w:rsidP="00AC4DEE">
            <w:pPr>
              <w:pStyle w:val="TableBody"/>
            </w:pPr>
            <w:r w:rsidRPr="00CE4C14">
              <w:rPr>
                <w:i/>
              </w:rPr>
              <w:t>Load-Allocated Ancillary Service Imbalance Revenue Neutrality</w:t>
            </w:r>
            <w:r>
              <w:rPr>
                <w:i/>
              </w:rPr>
              <w:t xml:space="preserve"> </w:t>
            </w:r>
            <w:r w:rsidRPr="00CE4C14">
              <w:rPr>
                <w:i/>
              </w:rPr>
              <w:t>Amount per QSE</w:t>
            </w:r>
            <w:r w:rsidRPr="00CE4C14">
              <w:t xml:space="preserve">—The QSE </w:t>
            </w:r>
            <w:r w:rsidRPr="00CE4C14">
              <w:rPr>
                <w:i/>
              </w:rPr>
              <w:t>q</w:t>
            </w:r>
            <w:r w:rsidRPr="00CE4C14">
              <w:t xml:space="preserve">’s share of the total Real-Time Ancillary Service imbalance revenue neutrality amount </w:t>
            </w:r>
            <w:r>
              <w:t xml:space="preserve">associated with ORDC </w:t>
            </w:r>
            <w:r w:rsidRPr="00CE4C14">
              <w:t>for the 15-minute Settlement Interval.</w:t>
            </w:r>
          </w:p>
        </w:tc>
      </w:tr>
      <w:tr w:rsidR="001F04FD" w14:paraId="6C54BD72" w14:textId="77777777" w:rsidTr="00AC4DEE">
        <w:tc>
          <w:tcPr>
            <w:tcW w:w="1244" w:type="pct"/>
          </w:tcPr>
          <w:p w14:paraId="0FFD0718" w14:textId="03045DFF" w:rsidR="001F04FD" w:rsidRPr="00CE4C14" w:rsidRDefault="001F04FD" w:rsidP="00AC4DEE">
            <w:pPr>
              <w:pStyle w:val="TableBody"/>
            </w:pPr>
            <w:r w:rsidRPr="00CE4C14">
              <w:t>LA</w:t>
            </w:r>
            <w:r>
              <w:t>RD</w:t>
            </w:r>
            <w:r w:rsidRPr="00CE4C14">
              <w:t xml:space="preserve">ASIRNAMT </w:t>
            </w:r>
            <w:r w:rsidRPr="000275BF">
              <w:rPr>
                <w:i/>
                <w:vertAlign w:val="subscript"/>
              </w:rPr>
              <w:t>q</w:t>
            </w:r>
          </w:p>
        </w:tc>
        <w:tc>
          <w:tcPr>
            <w:tcW w:w="316" w:type="pct"/>
          </w:tcPr>
          <w:p w14:paraId="7905E61A" w14:textId="5996A40D" w:rsidR="001F04FD" w:rsidRPr="00CE4C14" w:rsidRDefault="001F04FD" w:rsidP="00AC4DEE">
            <w:pPr>
              <w:pStyle w:val="TableBody"/>
            </w:pPr>
            <w:r w:rsidRPr="00CE4C14">
              <w:t>$</w:t>
            </w:r>
          </w:p>
        </w:tc>
        <w:tc>
          <w:tcPr>
            <w:tcW w:w="3440" w:type="pct"/>
          </w:tcPr>
          <w:p w14:paraId="72597119" w14:textId="68F18A1D" w:rsidR="001F04FD" w:rsidRPr="00CE4C14" w:rsidRDefault="001F04FD" w:rsidP="00AC4DEE">
            <w:pPr>
              <w:pStyle w:val="TableBody"/>
              <w:rPr>
                <w:i/>
              </w:rPr>
            </w:pPr>
            <w:r w:rsidRPr="00CE4C14">
              <w:rPr>
                <w:i/>
              </w:rPr>
              <w:t xml:space="preserve">Load-Allocated </w:t>
            </w:r>
            <w:r>
              <w:rPr>
                <w:i/>
              </w:rPr>
              <w:t xml:space="preserve">Reliability Deployment </w:t>
            </w:r>
            <w:r w:rsidRPr="00CE4C14">
              <w:rPr>
                <w:i/>
              </w:rPr>
              <w:t>Ancillary Service Imbalance Revenue Neutrality</w:t>
            </w:r>
            <w:r>
              <w:rPr>
                <w:i/>
              </w:rPr>
              <w:t xml:space="preserve"> </w:t>
            </w:r>
            <w:r w:rsidRPr="00CE4C14">
              <w:rPr>
                <w:i/>
              </w:rPr>
              <w:t>Amount per QSE</w:t>
            </w:r>
            <w:r w:rsidRPr="00CE4C14">
              <w:t xml:space="preserve">—The QSE </w:t>
            </w:r>
            <w:r w:rsidRPr="00CE4C14">
              <w:rPr>
                <w:i/>
              </w:rPr>
              <w:t>q</w:t>
            </w:r>
            <w:r w:rsidRPr="00CE4C14">
              <w:t xml:space="preserve">’s share of the total Real-Time Ancillary Service imbalance revenue neutrality amount </w:t>
            </w:r>
            <w:r>
              <w:t xml:space="preserve">associated with Reliability Deployments </w:t>
            </w:r>
            <w:r w:rsidRPr="00CE4C14">
              <w:t>for the 15-minute Settlement Interval.</w:t>
            </w:r>
          </w:p>
        </w:tc>
      </w:tr>
      <w:tr w:rsidR="001F04FD" w14:paraId="068C9C55" w14:textId="77777777" w:rsidTr="00AC4DEE">
        <w:tc>
          <w:tcPr>
            <w:tcW w:w="1244" w:type="pct"/>
          </w:tcPr>
          <w:p w14:paraId="09F4B7E0" w14:textId="77777777" w:rsidR="001F04FD" w:rsidRPr="00CE4C14" w:rsidRDefault="001F04FD" w:rsidP="00AC4DEE">
            <w:pPr>
              <w:pStyle w:val="TableBody"/>
            </w:pPr>
            <w:r w:rsidRPr="00CE4C14">
              <w:lastRenderedPageBreak/>
              <w:t>RTASIAMTTOT</w:t>
            </w:r>
          </w:p>
        </w:tc>
        <w:tc>
          <w:tcPr>
            <w:tcW w:w="316" w:type="pct"/>
          </w:tcPr>
          <w:p w14:paraId="0C3ED0CA" w14:textId="77777777" w:rsidR="001F04FD" w:rsidRPr="00CE4C14" w:rsidRDefault="001F04FD" w:rsidP="00AC4DEE">
            <w:pPr>
              <w:pStyle w:val="TableBody"/>
            </w:pPr>
            <w:r w:rsidRPr="00CE4C14">
              <w:t>$</w:t>
            </w:r>
          </w:p>
        </w:tc>
        <w:tc>
          <w:tcPr>
            <w:tcW w:w="3440" w:type="pct"/>
          </w:tcPr>
          <w:p w14:paraId="60DC82A3" w14:textId="77777777" w:rsidR="001F04FD" w:rsidRPr="00CE4C14" w:rsidRDefault="001F04FD" w:rsidP="00AC4DEE">
            <w:pPr>
              <w:pStyle w:val="TableBody"/>
              <w:rPr>
                <w:i/>
              </w:rPr>
            </w:pPr>
            <w:r w:rsidRPr="00CE4C14">
              <w:rPr>
                <w:i/>
              </w:rPr>
              <w:t>Real-Time Ancillary Service Imbalance Market Total Amount</w:t>
            </w:r>
            <w:r w:rsidRPr="00CE4C14">
              <w:t>—</w:t>
            </w:r>
            <w:r w:rsidRPr="00CE4C14">
              <w:rPr>
                <w:iCs w:val="0"/>
              </w:rPr>
              <w:t xml:space="preserve">The total payment or charge to all QSEs </w:t>
            </w:r>
            <w:r w:rsidRPr="00CE4C14">
              <w:t>for the Real-Time Ancillary Service imbalance</w:t>
            </w:r>
            <w:r>
              <w:t xml:space="preserve"> associated with ORDC</w:t>
            </w:r>
            <w:r w:rsidRPr="00CE4C14">
              <w:t xml:space="preserve"> </w:t>
            </w:r>
            <w:r w:rsidRPr="00CE4C14">
              <w:rPr>
                <w:iCs w:val="0"/>
              </w:rPr>
              <w:t>for each 15-minute Settlement Interval.</w:t>
            </w:r>
          </w:p>
        </w:tc>
      </w:tr>
      <w:tr w:rsidR="001F04FD" w14:paraId="66688771" w14:textId="77777777" w:rsidTr="00AC4DEE">
        <w:tc>
          <w:tcPr>
            <w:tcW w:w="1244" w:type="pct"/>
          </w:tcPr>
          <w:p w14:paraId="5B5618AF" w14:textId="77777777" w:rsidR="001F04FD" w:rsidRPr="00CE4C14" w:rsidRDefault="001F04FD" w:rsidP="00AC4DEE">
            <w:pPr>
              <w:pStyle w:val="TableBody"/>
            </w:pPr>
            <w:r w:rsidRPr="00CE4C14">
              <w:t>RTASIAMT</w:t>
            </w:r>
            <w:r w:rsidRPr="00CE4C14">
              <w:rPr>
                <w:i/>
                <w:vertAlign w:val="subscript"/>
              </w:rPr>
              <w:t xml:space="preserve"> q</w:t>
            </w:r>
          </w:p>
        </w:tc>
        <w:tc>
          <w:tcPr>
            <w:tcW w:w="316" w:type="pct"/>
          </w:tcPr>
          <w:p w14:paraId="10FDC712" w14:textId="77777777" w:rsidR="001F04FD" w:rsidRPr="00CE4C14" w:rsidRDefault="001F04FD" w:rsidP="00AC4DEE">
            <w:pPr>
              <w:pStyle w:val="TableBody"/>
            </w:pPr>
            <w:r w:rsidRPr="00CE4C14">
              <w:t>$</w:t>
            </w:r>
          </w:p>
        </w:tc>
        <w:tc>
          <w:tcPr>
            <w:tcW w:w="3440" w:type="pct"/>
          </w:tcPr>
          <w:p w14:paraId="72CABAAE" w14:textId="77777777" w:rsidR="001F04FD" w:rsidRPr="00CE4C14" w:rsidRDefault="001F04FD" w:rsidP="00AC4DEE">
            <w:pPr>
              <w:pStyle w:val="TableBody"/>
            </w:pPr>
            <w:r w:rsidRPr="00CE4C14">
              <w:rPr>
                <w:i/>
              </w:rPr>
              <w:t>Real-Time Ancillary Service Imbalance Amount</w:t>
            </w:r>
            <w:r w:rsidRPr="00CE4C14">
              <w:t>—</w:t>
            </w:r>
            <w:r w:rsidRPr="00CE4C14">
              <w:rPr>
                <w:iCs w:val="0"/>
              </w:rPr>
              <w:t xml:space="preserve">The total payment or charge to QSE </w:t>
            </w:r>
            <w:r w:rsidRPr="00CE4C14">
              <w:rPr>
                <w:i/>
                <w:iCs w:val="0"/>
              </w:rPr>
              <w:t>q</w:t>
            </w:r>
            <w:r w:rsidRPr="00CE4C14">
              <w:rPr>
                <w:iCs w:val="0"/>
              </w:rPr>
              <w:t xml:space="preserve"> </w:t>
            </w:r>
            <w:r w:rsidRPr="00CE4C14">
              <w:t>for the Real-Time Ancillary Service imbalance</w:t>
            </w:r>
            <w:r>
              <w:t xml:space="preserve"> associated with ORDC</w:t>
            </w:r>
            <w:r w:rsidRPr="00CE4C14">
              <w:t xml:space="preserve"> </w:t>
            </w:r>
            <w:r w:rsidRPr="00CE4C14">
              <w:rPr>
                <w:iCs w:val="0"/>
              </w:rPr>
              <w:t>for each 15-minute Settlement Interval.</w:t>
            </w:r>
          </w:p>
        </w:tc>
      </w:tr>
      <w:tr w:rsidR="001F04FD" w14:paraId="508CCCD7" w14:textId="77777777" w:rsidTr="00AC4DEE">
        <w:tc>
          <w:tcPr>
            <w:tcW w:w="1244" w:type="pct"/>
          </w:tcPr>
          <w:p w14:paraId="5320D8FC" w14:textId="4F46E0EC" w:rsidR="001F04FD" w:rsidRPr="00CE4C14" w:rsidRDefault="001F04FD" w:rsidP="00AC4DEE">
            <w:pPr>
              <w:pStyle w:val="TableBody"/>
            </w:pPr>
            <w:r>
              <w:t>RTRDASIAMTTOT</w:t>
            </w:r>
          </w:p>
        </w:tc>
        <w:tc>
          <w:tcPr>
            <w:tcW w:w="316" w:type="pct"/>
          </w:tcPr>
          <w:p w14:paraId="2E311AB5" w14:textId="6D2F9FE3" w:rsidR="001F04FD" w:rsidRPr="00CE4C14" w:rsidRDefault="001F04FD" w:rsidP="00AC4DEE">
            <w:pPr>
              <w:pStyle w:val="TableBody"/>
            </w:pPr>
            <w:r>
              <w:t>$</w:t>
            </w:r>
          </w:p>
        </w:tc>
        <w:tc>
          <w:tcPr>
            <w:tcW w:w="3440" w:type="pct"/>
          </w:tcPr>
          <w:p w14:paraId="2CDA5F75" w14:textId="069046D4" w:rsidR="001F04FD" w:rsidRPr="00CE4C14" w:rsidRDefault="001F04FD" w:rsidP="00AC4DEE">
            <w:pPr>
              <w:pStyle w:val="TableBody"/>
              <w:rPr>
                <w:i/>
              </w:rPr>
            </w:pPr>
            <w:r w:rsidRPr="0080555B">
              <w:rPr>
                <w:i/>
              </w:rPr>
              <w:t xml:space="preserve">Real-Time </w:t>
            </w:r>
            <w:r>
              <w:rPr>
                <w:i/>
              </w:rPr>
              <w:t xml:space="preserve">Reliability Deployment </w:t>
            </w:r>
            <w:r w:rsidRPr="0080555B">
              <w:rPr>
                <w:i/>
              </w:rPr>
              <w:t xml:space="preserve">Ancillary Service Imbalance </w:t>
            </w:r>
            <w:r>
              <w:rPr>
                <w:i/>
              </w:rPr>
              <w:t xml:space="preserve">Market Total </w:t>
            </w:r>
            <w:r w:rsidRPr="0080555B">
              <w:rPr>
                <w:i/>
              </w:rPr>
              <w:t>Amount</w:t>
            </w:r>
            <w:r w:rsidRPr="0080555B">
              <w:t>—</w:t>
            </w:r>
            <w:r w:rsidRPr="0080555B">
              <w:rPr>
                <w:iCs w:val="0"/>
              </w:rPr>
              <w:t>The total payment o</w:t>
            </w:r>
            <w:r>
              <w:rPr>
                <w:iCs w:val="0"/>
              </w:rPr>
              <w:t xml:space="preserve">r charge to all QSEs </w:t>
            </w:r>
            <w:r w:rsidRPr="0080555B">
              <w:t xml:space="preserve">for the Real-Time Ancillary Service imbalance </w:t>
            </w:r>
            <w:r>
              <w:t xml:space="preserve">associated with Reliability Deployments </w:t>
            </w:r>
            <w:r w:rsidRPr="0080555B">
              <w:rPr>
                <w:iCs w:val="0"/>
              </w:rPr>
              <w:t>for each 15-minute Settlement Interval.</w:t>
            </w:r>
          </w:p>
        </w:tc>
      </w:tr>
      <w:tr w:rsidR="001F04FD" w14:paraId="332ED9E2" w14:textId="77777777" w:rsidTr="00AC4DEE">
        <w:tc>
          <w:tcPr>
            <w:tcW w:w="1244" w:type="pct"/>
          </w:tcPr>
          <w:p w14:paraId="449B3CEE" w14:textId="7FC6AEFE" w:rsidR="001F04FD" w:rsidRPr="00213B85" w:rsidRDefault="001F04FD" w:rsidP="00AC4DEE">
            <w:pPr>
              <w:pStyle w:val="TableBody"/>
            </w:pPr>
            <w:r>
              <w:t xml:space="preserve">RTRDASIAMT </w:t>
            </w:r>
            <w:r>
              <w:rPr>
                <w:i/>
                <w:vertAlign w:val="subscript"/>
              </w:rPr>
              <w:t>q</w:t>
            </w:r>
          </w:p>
        </w:tc>
        <w:tc>
          <w:tcPr>
            <w:tcW w:w="316" w:type="pct"/>
          </w:tcPr>
          <w:p w14:paraId="127D54B9" w14:textId="04343B3E" w:rsidR="001F04FD" w:rsidRPr="00CE4C14" w:rsidRDefault="001F04FD" w:rsidP="00AC4DEE">
            <w:pPr>
              <w:pStyle w:val="TableBody"/>
            </w:pPr>
            <w:r>
              <w:t>$</w:t>
            </w:r>
          </w:p>
        </w:tc>
        <w:tc>
          <w:tcPr>
            <w:tcW w:w="3440" w:type="pct"/>
          </w:tcPr>
          <w:p w14:paraId="6D280403" w14:textId="0168A7A6" w:rsidR="001F04FD" w:rsidRPr="00CE4C14" w:rsidRDefault="001F04FD" w:rsidP="00AC4DEE">
            <w:pPr>
              <w:pStyle w:val="TableBody"/>
              <w:rPr>
                <w:i/>
              </w:rPr>
            </w:pPr>
            <w:r w:rsidRPr="0080555B">
              <w:rPr>
                <w:i/>
              </w:rPr>
              <w:t xml:space="preserve">Real-Time </w:t>
            </w:r>
            <w:r>
              <w:rPr>
                <w:i/>
              </w:rPr>
              <w:t xml:space="preserve">Reliability Deployment </w:t>
            </w:r>
            <w:r w:rsidRPr="0080555B">
              <w:rPr>
                <w:i/>
              </w:rPr>
              <w:t>Ancillary Service Imbalance Amount</w:t>
            </w:r>
            <w:r w:rsidRPr="0080555B">
              <w:t>—</w:t>
            </w:r>
            <w:r w:rsidRPr="0080555B">
              <w:rPr>
                <w:iCs w:val="0"/>
              </w:rPr>
              <w:t xml:space="preserve">The total payment or charge to QSE </w:t>
            </w:r>
            <w:r w:rsidRPr="0080555B">
              <w:rPr>
                <w:i/>
                <w:iCs w:val="0"/>
              </w:rPr>
              <w:t>q</w:t>
            </w:r>
            <w:r w:rsidRPr="0080555B">
              <w:rPr>
                <w:iCs w:val="0"/>
              </w:rPr>
              <w:t xml:space="preserve"> </w:t>
            </w:r>
            <w:r w:rsidRPr="0080555B">
              <w:t xml:space="preserve">for the Real-Time Ancillary Service imbalance </w:t>
            </w:r>
            <w:r>
              <w:t xml:space="preserve">associated with Reliability Deployments </w:t>
            </w:r>
            <w:r w:rsidRPr="0080555B">
              <w:rPr>
                <w:iCs w:val="0"/>
              </w:rPr>
              <w:t>for each 15-minute Settlement Interval.</w:t>
            </w:r>
          </w:p>
        </w:tc>
      </w:tr>
      <w:tr w:rsidR="001F04FD" w14:paraId="3D17B8E1" w14:textId="77777777" w:rsidTr="00AC4DEE">
        <w:tc>
          <w:tcPr>
            <w:tcW w:w="1244" w:type="pct"/>
          </w:tcPr>
          <w:p w14:paraId="27697112" w14:textId="77777777" w:rsidR="001F04FD" w:rsidRPr="00CE4C14" w:rsidRDefault="001F04FD" w:rsidP="00AC4DEE">
            <w:pPr>
              <w:pStyle w:val="TableBody"/>
            </w:pPr>
            <w:r w:rsidRPr="00CE4C14">
              <w:t>RTRUCRSVAMTTOT</w:t>
            </w:r>
          </w:p>
        </w:tc>
        <w:tc>
          <w:tcPr>
            <w:tcW w:w="316" w:type="pct"/>
          </w:tcPr>
          <w:p w14:paraId="13237B56" w14:textId="77777777" w:rsidR="001F04FD" w:rsidRPr="00CE4C14" w:rsidRDefault="001F04FD" w:rsidP="00AC4DEE">
            <w:pPr>
              <w:pStyle w:val="TableBody"/>
            </w:pPr>
            <w:r w:rsidRPr="00CE4C14">
              <w:t>$</w:t>
            </w:r>
          </w:p>
        </w:tc>
        <w:tc>
          <w:tcPr>
            <w:tcW w:w="3440" w:type="pct"/>
          </w:tcPr>
          <w:p w14:paraId="533F43C5" w14:textId="77777777" w:rsidR="001F04FD" w:rsidRPr="00CE4C14" w:rsidRDefault="001F04FD" w:rsidP="00AC4DEE">
            <w:pPr>
              <w:pStyle w:val="TableBody"/>
              <w:rPr>
                <w:i/>
              </w:rPr>
            </w:pPr>
            <w:r w:rsidRPr="00CE4C14">
              <w:rPr>
                <w:i/>
              </w:rPr>
              <w:t>Real-Time RUC Ancillary Service Reserve Market Total Amount</w:t>
            </w:r>
            <w:r w:rsidRPr="00CE4C14">
              <w:t>—</w:t>
            </w:r>
            <w:r w:rsidRPr="00CE4C14">
              <w:rPr>
                <w:iCs w:val="0"/>
              </w:rPr>
              <w:t xml:space="preserve">The total payment to all QSEs </w:t>
            </w:r>
            <w:r w:rsidRPr="00CE4C14">
              <w:t xml:space="preserve">for the Real-Time RUC Ancillary Service reserve payments </w:t>
            </w:r>
            <w:r>
              <w:t xml:space="preserve">associated with ORDC </w:t>
            </w:r>
            <w:r w:rsidRPr="00CE4C14">
              <w:rPr>
                <w:iCs w:val="0"/>
              </w:rPr>
              <w:t>for each 15-minute Settlement Interval.</w:t>
            </w:r>
          </w:p>
        </w:tc>
      </w:tr>
      <w:tr w:rsidR="001F04FD" w14:paraId="26CFD4C8" w14:textId="77777777" w:rsidTr="00AC4DEE">
        <w:tc>
          <w:tcPr>
            <w:tcW w:w="1244" w:type="pct"/>
          </w:tcPr>
          <w:p w14:paraId="521C612F" w14:textId="77777777" w:rsidR="001F04FD" w:rsidRPr="00CE4C14" w:rsidRDefault="001F04FD" w:rsidP="00AC4DEE">
            <w:pPr>
              <w:pStyle w:val="TableBody"/>
            </w:pPr>
            <w:r w:rsidRPr="00CE4C14">
              <w:t xml:space="preserve">RTRUCRSVAMT </w:t>
            </w:r>
            <w:r w:rsidRPr="00CE4C14">
              <w:rPr>
                <w:i/>
                <w:vertAlign w:val="subscript"/>
              </w:rPr>
              <w:t>q</w:t>
            </w:r>
          </w:p>
        </w:tc>
        <w:tc>
          <w:tcPr>
            <w:tcW w:w="316" w:type="pct"/>
          </w:tcPr>
          <w:p w14:paraId="25C932ED" w14:textId="77777777" w:rsidR="001F04FD" w:rsidRPr="00CE4C14" w:rsidRDefault="001F04FD" w:rsidP="00AC4DEE">
            <w:pPr>
              <w:pStyle w:val="TableBody"/>
            </w:pPr>
            <w:r w:rsidRPr="00CE4C14">
              <w:t>$</w:t>
            </w:r>
          </w:p>
        </w:tc>
        <w:tc>
          <w:tcPr>
            <w:tcW w:w="3440" w:type="pct"/>
          </w:tcPr>
          <w:p w14:paraId="32B36253" w14:textId="77777777" w:rsidR="001F04FD" w:rsidRPr="00CE4C14" w:rsidRDefault="001F04FD" w:rsidP="00AC4DEE">
            <w:pPr>
              <w:pStyle w:val="TableBody"/>
              <w:rPr>
                <w:i/>
              </w:rPr>
            </w:pPr>
            <w:r w:rsidRPr="00CE4C14">
              <w:rPr>
                <w:i/>
              </w:rPr>
              <w:t>Real-Time RUC Ancillary Service Reserve Amount</w:t>
            </w:r>
            <w:r w:rsidRPr="00CE4C14">
              <w:t>—</w:t>
            </w:r>
            <w:r w:rsidRPr="00CE4C14">
              <w:rPr>
                <w:iCs w:val="0"/>
              </w:rPr>
              <w:t xml:space="preserve">The total payment to QSE </w:t>
            </w:r>
            <w:r w:rsidRPr="00CE4C14">
              <w:rPr>
                <w:i/>
                <w:iCs w:val="0"/>
              </w:rPr>
              <w:t>q</w:t>
            </w:r>
            <w:r w:rsidRPr="00CE4C14">
              <w:rPr>
                <w:iCs w:val="0"/>
              </w:rPr>
              <w:t xml:space="preserve"> </w:t>
            </w:r>
            <w:r w:rsidRPr="00CE4C14">
              <w:t>for the Real-Time RUC Ancillary Service reserve payment</w:t>
            </w:r>
            <w:r>
              <w:t xml:space="preserve"> associated with ORDC</w:t>
            </w:r>
            <w:r w:rsidRPr="00CE4C14">
              <w:t xml:space="preserve"> </w:t>
            </w:r>
            <w:r w:rsidRPr="00CE4C14">
              <w:rPr>
                <w:iCs w:val="0"/>
              </w:rPr>
              <w:t>for each 15-minute Settlement Interval.</w:t>
            </w:r>
          </w:p>
        </w:tc>
      </w:tr>
      <w:tr w:rsidR="001F04FD" w14:paraId="01FDDB2A" w14:textId="77777777" w:rsidTr="00AC4DEE">
        <w:tc>
          <w:tcPr>
            <w:tcW w:w="1244" w:type="pct"/>
          </w:tcPr>
          <w:p w14:paraId="0E22D334" w14:textId="25C2654F" w:rsidR="001F04FD" w:rsidRPr="00CE4C14" w:rsidRDefault="001F04FD" w:rsidP="00AC4DEE">
            <w:pPr>
              <w:pStyle w:val="TableBody"/>
            </w:pPr>
            <w:r>
              <w:t>RTRDRUCRSVAMTTOT</w:t>
            </w:r>
          </w:p>
        </w:tc>
        <w:tc>
          <w:tcPr>
            <w:tcW w:w="316" w:type="pct"/>
          </w:tcPr>
          <w:p w14:paraId="690D1D7F" w14:textId="2DB55D58" w:rsidR="001F04FD" w:rsidRPr="00CE4C14" w:rsidRDefault="001F04FD" w:rsidP="00AC4DEE">
            <w:pPr>
              <w:pStyle w:val="TableBody"/>
            </w:pPr>
            <w:r>
              <w:t>$</w:t>
            </w:r>
          </w:p>
        </w:tc>
        <w:tc>
          <w:tcPr>
            <w:tcW w:w="3440" w:type="pct"/>
          </w:tcPr>
          <w:p w14:paraId="37318666" w14:textId="6BF22A6F" w:rsidR="001F04FD" w:rsidRPr="00CE4C14" w:rsidRDefault="001F04FD" w:rsidP="00AC4DEE">
            <w:pPr>
              <w:pStyle w:val="TableBody"/>
            </w:pPr>
            <w:r>
              <w:rPr>
                <w:i/>
              </w:rPr>
              <w:t>Real-Time Reliability Deployment RUC Ancillary Service Reserve Market Total Amount</w:t>
            </w:r>
            <w:r w:rsidRPr="004368B4">
              <w:t>—</w:t>
            </w:r>
            <w:r w:rsidRPr="00997DBF">
              <w:rPr>
                <w:iCs w:val="0"/>
              </w:rPr>
              <w:t xml:space="preserve">The total payment </w:t>
            </w:r>
            <w:r>
              <w:rPr>
                <w:iCs w:val="0"/>
              </w:rPr>
              <w:t xml:space="preserve">|to all QSEs </w:t>
            </w:r>
            <w:r w:rsidRPr="00997DBF">
              <w:t xml:space="preserve">for </w:t>
            </w:r>
            <w:r>
              <w:t>the Real-Time RUC Ancillary Service Reserve payment as a result of Reliability Deployments</w:t>
            </w:r>
            <w:r w:rsidRPr="00997DBF">
              <w:t xml:space="preserve"> </w:t>
            </w:r>
            <w:r w:rsidRPr="00997DBF">
              <w:rPr>
                <w:iCs w:val="0"/>
              </w:rPr>
              <w:t>for each 15-minute Settlement Interval.</w:t>
            </w:r>
          </w:p>
        </w:tc>
      </w:tr>
      <w:tr w:rsidR="001F04FD" w14:paraId="763D887F" w14:textId="77777777" w:rsidTr="00AC4DEE">
        <w:tc>
          <w:tcPr>
            <w:tcW w:w="1244" w:type="pct"/>
          </w:tcPr>
          <w:p w14:paraId="02CD8126" w14:textId="68D73E61" w:rsidR="001F04FD" w:rsidRPr="00CE4C14" w:rsidRDefault="001F04FD" w:rsidP="00AC4DEE">
            <w:pPr>
              <w:pStyle w:val="TableBody"/>
            </w:pPr>
            <w:r w:rsidRPr="00407DDC">
              <w:t>RT</w:t>
            </w:r>
            <w:r>
              <w:t>RD</w:t>
            </w:r>
            <w:r w:rsidRPr="00407DDC">
              <w:t>RUCRSV</w:t>
            </w:r>
            <w:r>
              <w:t>A</w:t>
            </w:r>
            <w:r w:rsidRPr="00407DDC">
              <w:t xml:space="preserve">MT </w:t>
            </w:r>
            <w:r w:rsidRPr="0080555B">
              <w:rPr>
                <w:i/>
                <w:vertAlign w:val="subscript"/>
              </w:rPr>
              <w:t>q</w:t>
            </w:r>
          </w:p>
        </w:tc>
        <w:tc>
          <w:tcPr>
            <w:tcW w:w="316" w:type="pct"/>
          </w:tcPr>
          <w:p w14:paraId="20E04CB3" w14:textId="2480FDD6" w:rsidR="001F04FD" w:rsidRPr="00CE4C14" w:rsidRDefault="001F04FD" w:rsidP="00AC4DEE">
            <w:pPr>
              <w:pStyle w:val="TableBody"/>
            </w:pPr>
            <w:r>
              <w:t>$</w:t>
            </w:r>
          </w:p>
        </w:tc>
        <w:tc>
          <w:tcPr>
            <w:tcW w:w="3440" w:type="pct"/>
          </w:tcPr>
          <w:p w14:paraId="57EB3AD9" w14:textId="068497D6" w:rsidR="001F04FD" w:rsidRPr="00CE4C14" w:rsidRDefault="001F04FD" w:rsidP="00AC4DEE">
            <w:pPr>
              <w:pStyle w:val="TableBody"/>
            </w:pPr>
            <w:r>
              <w:rPr>
                <w:i/>
              </w:rPr>
              <w:t>Real-Time Reliability Deployment RUC Ancillary Service Reserve Amount</w:t>
            </w:r>
            <w:r w:rsidRPr="004368B4">
              <w:t>—</w:t>
            </w:r>
            <w:r w:rsidRPr="00997DBF">
              <w:rPr>
                <w:iCs w:val="0"/>
              </w:rPr>
              <w:t xml:space="preserve">The total payment </w:t>
            </w:r>
            <w:r>
              <w:rPr>
                <w:iCs w:val="0"/>
              </w:rPr>
              <w:t>|</w:t>
            </w:r>
            <w:r w:rsidRPr="00997DBF">
              <w:rPr>
                <w:iCs w:val="0"/>
              </w:rPr>
              <w:t xml:space="preserve">to QSE </w:t>
            </w:r>
            <w:r w:rsidRPr="00672F2C">
              <w:rPr>
                <w:i/>
                <w:iCs w:val="0"/>
              </w:rPr>
              <w:t>q</w:t>
            </w:r>
            <w:r w:rsidRPr="00997DBF">
              <w:rPr>
                <w:iCs w:val="0"/>
              </w:rPr>
              <w:t xml:space="preserve"> </w:t>
            </w:r>
            <w:r w:rsidRPr="00997DBF">
              <w:t xml:space="preserve">for </w:t>
            </w:r>
            <w:r>
              <w:t>the Real-Time RUC Ancillary Service Reserve payment as a result of Reliability Deployments</w:t>
            </w:r>
            <w:r w:rsidRPr="00997DBF">
              <w:t xml:space="preserve"> </w:t>
            </w:r>
            <w:r w:rsidRPr="00997DBF">
              <w:rPr>
                <w:iCs w:val="0"/>
              </w:rPr>
              <w:t>for each 15-minute Settlement Interval.</w:t>
            </w:r>
          </w:p>
        </w:tc>
      </w:tr>
      <w:tr w:rsidR="001F04FD" w14:paraId="281E069D" w14:textId="77777777" w:rsidTr="00AC4DEE">
        <w:tc>
          <w:tcPr>
            <w:tcW w:w="1244" w:type="pct"/>
          </w:tcPr>
          <w:p w14:paraId="31AA5F08" w14:textId="77777777" w:rsidR="001F04FD" w:rsidRPr="00CE4C14" w:rsidRDefault="001F04FD" w:rsidP="00AC4DEE">
            <w:pPr>
              <w:pStyle w:val="TableBody"/>
            </w:pPr>
            <w:r w:rsidRPr="00CE4C14">
              <w:t xml:space="preserve">LRS </w:t>
            </w:r>
            <w:r w:rsidRPr="00CE4C14">
              <w:rPr>
                <w:i/>
                <w:vertAlign w:val="subscript"/>
              </w:rPr>
              <w:t>q</w:t>
            </w:r>
          </w:p>
        </w:tc>
        <w:tc>
          <w:tcPr>
            <w:tcW w:w="316" w:type="pct"/>
          </w:tcPr>
          <w:p w14:paraId="700C8926" w14:textId="77777777" w:rsidR="001F04FD" w:rsidRPr="00CE4C14" w:rsidRDefault="001F04FD" w:rsidP="00AC4DEE">
            <w:pPr>
              <w:pStyle w:val="TableBody"/>
            </w:pPr>
            <w:r w:rsidRPr="00CE4C14">
              <w:t>none</w:t>
            </w:r>
          </w:p>
        </w:tc>
        <w:tc>
          <w:tcPr>
            <w:tcW w:w="3440" w:type="pct"/>
          </w:tcPr>
          <w:p w14:paraId="2BF66F71" w14:textId="77777777" w:rsidR="001F04FD" w:rsidRPr="00CE4C14" w:rsidRDefault="001F04FD" w:rsidP="00AC4DEE">
            <w:pPr>
              <w:pStyle w:val="TableBody"/>
            </w:pPr>
            <w:r w:rsidRPr="00CE4C14">
              <w:t xml:space="preserve">The LRS calculated for QSE </w:t>
            </w:r>
            <w:r w:rsidRPr="00CE4C14">
              <w:rPr>
                <w:i/>
              </w:rPr>
              <w:t>q</w:t>
            </w:r>
            <w:r w:rsidRPr="00CE4C14">
              <w:t xml:space="preserve"> for the 15-minute Settlement Interval.  See Section 6.6.2.2, QSE Load Ratio Share for a 15-Minute Settlement Interval.</w:t>
            </w:r>
          </w:p>
        </w:tc>
      </w:tr>
      <w:tr w:rsidR="001F04FD" w14:paraId="7232E30A" w14:textId="77777777" w:rsidTr="00AC4DEE">
        <w:tc>
          <w:tcPr>
            <w:tcW w:w="1244" w:type="pct"/>
          </w:tcPr>
          <w:p w14:paraId="22F0703B" w14:textId="77777777" w:rsidR="001F04FD" w:rsidRPr="000275BF" w:rsidRDefault="001F04FD" w:rsidP="00AC4DEE">
            <w:pPr>
              <w:pStyle w:val="TableBody"/>
              <w:rPr>
                <w:i/>
              </w:rPr>
            </w:pPr>
            <w:r w:rsidRPr="000275BF">
              <w:rPr>
                <w:i/>
              </w:rPr>
              <w:t>q</w:t>
            </w:r>
          </w:p>
        </w:tc>
        <w:tc>
          <w:tcPr>
            <w:tcW w:w="316" w:type="pct"/>
          </w:tcPr>
          <w:p w14:paraId="7D0E4DF0" w14:textId="77777777" w:rsidR="001F04FD" w:rsidRPr="00CE4C14" w:rsidRDefault="001F04FD" w:rsidP="00AC4DEE">
            <w:pPr>
              <w:pStyle w:val="TableBody"/>
            </w:pPr>
            <w:r w:rsidRPr="00CE4C14">
              <w:t>none</w:t>
            </w:r>
          </w:p>
        </w:tc>
        <w:tc>
          <w:tcPr>
            <w:tcW w:w="3440" w:type="pct"/>
          </w:tcPr>
          <w:p w14:paraId="28D0ED78" w14:textId="77777777" w:rsidR="001F04FD" w:rsidRPr="00CE4C14" w:rsidRDefault="001F04FD" w:rsidP="00AC4DEE">
            <w:pPr>
              <w:pStyle w:val="TableBody"/>
              <w:rPr>
                <w:i/>
              </w:rPr>
            </w:pPr>
            <w:r w:rsidRPr="00CE4C14">
              <w:t>A QSE.</w:t>
            </w:r>
          </w:p>
        </w:tc>
      </w:tr>
    </w:tbl>
    <w:p w14:paraId="00D7BDD7" w14:textId="77777777" w:rsidR="000E1BF8" w:rsidRPr="000E1BF8" w:rsidRDefault="000E1BF8" w:rsidP="000E1BF8">
      <w:pPr>
        <w:keepNext/>
        <w:tabs>
          <w:tab w:val="left" w:pos="1080"/>
        </w:tabs>
        <w:ind w:left="1080" w:hanging="1080"/>
        <w:outlineLvl w:val="2"/>
        <w:rPr>
          <w:b/>
          <w:bCs/>
        </w:rPr>
      </w:pPr>
      <w:bookmarkStart w:id="2807" w:name="_Toc448142362"/>
      <w:bookmarkStart w:id="2808" w:name="_Toc448142519"/>
      <w:bookmarkStart w:id="2809" w:name="_Toc458770360"/>
      <w:bookmarkStart w:id="2810" w:name="_Toc459294328"/>
      <w:bookmarkStart w:id="2811" w:name="_Toc463262822"/>
      <w:bookmarkStart w:id="2812" w:name="_Toc468286897"/>
      <w:bookmarkStart w:id="2813" w:name="_Toc481502937"/>
      <w:bookmarkStart w:id="2814" w:name="_Toc496080104"/>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E1BF8" w14:paraId="1772A670" w14:textId="77777777" w:rsidTr="001138B9">
        <w:trPr>
          <w:trHeight w:val="206"/>
        </w:trPr>
        <w:tc>
          <w:tcPr>
            <w:tcW w:w="9350" w:type="dxa"/>
            <w:shd w:val="pct12" w:color="auto" w:fill="auto"/>
          </w:tcPr>
          <w:p w14:paraId="1582D419" w14:textId="274EF183" w:rsidR="000E1BF8" w:rsidRDefault="000E1BF8" w:rsidP="001138B9">
            <w:pPr>
              <w:pStyle w:val="Instructions"/>
              <w:spacing w:before="120"/>
            </w:pPr>
            <w:r>
              <w:t xml:space="preserve">[NPRR1010:  Replace Section 6.7.6 above </w:t>
            </w:r>
            <w:r w:rsidR="00221A13">
              <w:t xml:space="preserve">with the following </w:t>
            </w:r>
            <w:r>
              <w:t>upon system implementation of the Real-Time Co-Optimization (RTC) project:]</w:t>
            </w:r>
          </w:p>
          <w:p w14:paraId="3AD63211" w14:textId="77777777" w:rsidR="000E1BF8" w:rsidRDefault="000E1BF8" w:rsidP="000E1BF8">
            <w:pPr>
              <w:keepNext/>
              <w:tabs>
                <w:tab w:val="left" w:pos="1080"/>
              </w:tabs>
              <w:spacing w:before="480" w:after="240"/>
              <w:outlineLvl w:val="2"/>
              <w:rPr>
                <w:b/>
                <w:bCs/>
                <w:i/>
              </w:rPr>
            </w:pPr>
            <w:bookmarkStart w:id="2815" w:name="_Toc60040760"/>
            <w:bookmarkStart w:id="2816" w:name="_Toc65151819"/>
            <w:bookmarkStart w:id="2817" w:name="_Toc80174845"/>
            <w:bookmarkStart w:id="2818" w:name="_Toc108712611"/>
            <w:bookmarkStart w:id="2819" w:name="_Toc112417730"/>
            <w:bookmarkStart w:id="2820" w:name="_Toc119310399"/>
            <w:bookmarkStart w:id="2821" w:name="_Toc125966332"/>
            <w:bookmarkStart w:id="2822" w:name="_Toc135992431"/>
            <w:bookmarkStart w:id="2823" w:name="_Toc170303626"/>
            <w:bookmarkStart w:id="2824" w:name="_Toc175157530"/>
            <w:bookmarkStart w:id="2825" w:name="_Toc204411759"/>
            <w:r>
              <w:rPr>
                <w:b/>
                <w:bCs/>
                <w:i/>
              </w:rPr>
              <w:t>6.7.6</w:t>
            </w:r>
            <w:r>
              <w:rPr>
                <w:b/>
                <w:bCs/>
                <w:i/>
              </w:rPr>
              <w:tab/>
              <w:t>Real-Time Ancillary Service Revenue Neutrality Allocation</w:t>
            </w:r>
            <w:bookmarkEnd w:id="2815"/>
            <w:bookmarkEnd w:id="2816"/>
            <w:bookmarkEnd w:id="2817"/>
            <w:bookmarkEnd w:id="2818"/>
            <w:bookmarkEnd w:id="2819"/>
            <w:bookmarkEnd w:id="2820"/>
            <w:bookmarkEnd w:id="2821"/>
            <w:bookmarkEnd w:id="2822"/>
            <w:bookmarkEnd w:id="2823"/>
            <w:bookmarkEnd w:id="2824"/>
            <w:bookmarkEnd w:id="2825"/>
          </w:p>
          <w:p w14:paraId="464B8227" w14:textId="77777777" w:rsidR="000E1BF8" w:rsidRDefault="000E1BF8" w:rsidP="000E1BF8">
            <w:pPr>
              <w:pStyle w:val="BodyText"/>
              <w:ind w:left="720" w:hanging="720"/>
              <w:rPr>
                <w:szCs w:val="24"/>
              </w:rPr>
            </w:pPr>
            <w:r>
              <w:t>(1)</w:t>
            </w:r>
            <w:r>
              <w:tab/>
              <w:t>The total cost for Real-Time Ancillary Service payments and charges is allocated to the QSEs representing Load based on Load Ratio Share (LRS).  The Real-Time Ancillary Service allocations to each QSE for a given 15-minute Settlement Interval are calculated as follows:</w:t>
            </w:r>
          </w:p>
          <w:p w14:paraId="59CCF30D" w14:textId="77777777" w:rsidR="000E1BF8" w:rsidRDefault="000E1BF8" w:rsidP="000E1BF8">
            <w:pPr>
              <w:pStyle w:val="BodyText"/>
              <w:ind w:left="1440" w:hanging="720"/>
            </w:pPr>
            <w:r>
              <w:t>(a)         For Reg-Up:</w:t>
            </w:r>
          </w:p>
          <w:p w14:paraId="26950E3E" w14:textId="77777777" w:rsidR="000E1BF8" w:rsidRDefault="000E1BF8" w:rsidP="000E1BF8">
            <w:pPr>
              <w:pStyle w:val="BodyText"/>
              <w:spacing w:after="0"/>
              <w:ind w:left="1440" w:hanging="720"/>
            </w:pPr>
            <w:r>
              <w:t xml:space="preserve">LARTRUAMT </w:t>
            </w:r>
            <w:r>
              <w:rPr>
                <w:i/>
                <w:vertAlign w:val="subscript"/>
              </w:rPr>
              <w:t>q</w:t>
            </w:r>
            <w:r>
              <w:t xml:space="preserve"> =</w:t>
            </w:r>
            <w:r>
              <w:tab/>
              <w:t xml:space="preserve">(-1) * (RTRUIMBAMTTOT + RTRUOAMTTOT + </w:t>
            </w:r>
          </w:p>
          <w:p w14:paraId="3F50362B" w14:textId="77777777" w:rsidR="000E1BF8" w:rsidRDefault="000E1BF8" w:rsidP="000E1BF8">
            <w:pPr>
              <w:pStyle w:val="BodyText"/>
              <w:ind w:left="2160" w:firstLine="720"/>
            </w:pPr>
            <w:r>
              <w:t xml:space="preserve">RTRUTOAMTTOT) * LRS </w:t>
            </w:r>
            <w:r>
              <w:rPr>
                <w:i/>
                <w:vertAlign w:val="subscript"/>
              </w:rPr>
              <w:t>q</w:t>
            </w:r>
          </w:p>
          <w:p w14:paraId="033ADAB4" w14:textId="77777777" w:rsidR="000E1BF8" w:rsidRDefault="000E1BF8" w:rsidP="000E1BF8">
            <w:pPr>
              <w:pStyle w:val="BodyText"/>
              <w:ind w:left="1440" w:hanging="720"/>
            </w:pPr>
            <w:r>
              <w:lastRenderedPageBreak/>
              <w:t>Where:</w:t>
            </w:r>
          </w:p>
          <w:p w14:paraId="03E4DF05" w14:textId="52E48932" w:rsidR="000E1BF8" w:rsidRDefault="000E1BF8" w:rsidP="000E1BF8">
            <w:pPr>
              <w:pStyle w:val="BodyText"/>
              <w:ind w:left="1440" w:hanging="720"/>
            </w:pPr>
            <w:r>
              <w:t xml:space="preserve">RTRUIMBAMTTOT = </w:t>
            </w:r>
            <w:r>
              <w:rPr>
                <w:noProof/>
              </w:rPr>
              <w:drawing>
                <wp:inline distT="0" distB="0" distL="0" distR="0" wp14:anchorId="3A07EF48" wp14:editId="6DE7062B">
                  <wp:extent cx="146685" cy="293370"/>
                  <wp:effectExtent l="0" t="0" r="5715"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(RTRUIMBAMT </w:t>
            </w:r>
            <w:r>
              <w:rPr>
                <w:i/>
                <w:vertAlign w:val="subscript"/>
              </w:rPr>
              <w:t>q</w:t>
            </w:r>
            <w:r>
              <w:t>)</w:t>
            </w:r>
          </w:p>
          <w:p w14:paraId="7E4C7C0F" w14:textId="6F1AB5C6" w:rsidR="000E1BF8" w:rsidRDefault="000E1BF8" w:rsidP="000E1BF8">
            <w:pPr>
              <w:pStyle w:val="BodyText"/>
              <w:ind w:left="1440" w:hanging="720"/>
            </w:pPr>
            <w:r>
              <w:t xml:space="preserve">RTRUOAMTTOT = </w:t>
            </w:r>
            <w:r>
              <w:rPr>
                <w:noProof/>
              </w:rPr>
              <w:drawing>
                <wp:inline distT="0" distB="0" distL="0" distR="0" wp14:anchorId="5D73684F" wp14:editId="373E60F7">
                  <wp:extent cx="146685" cy="293370"/>
                  <wp:effectExtent l="0" t="0" r="5715"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(RTRUOAMT </w:t>
            </w:r>
            <w:r>
              <w:rPr>
                <w:i/>
                <w:vertAlign w:val="subscript"/>
              </w:rPr>
              <w:t>q</w:t>
            </w:r>
            <w:r>
              <w:t>)</w:t>
            </w:r>
          </w:p>
          <w:p w14:paraId="574059F4" w14:textId="558987B3" w:rsidR="000E1BF8" w:rsidRDefault="000E1BF8" w:rsidP="000E1BF8">
            <w:pPr>
              <w:pStyle w:val="BodyText"/>
              <w:ind w:left="1440" w:hanging="720"/>
            </w:pPr>
            <w:r>
              <w:t xml:space="preserve">RTRUTOAMTTOT = </w:t>
            </w:r>
            <w:r>
              <w:rPr>
                <w:noProof/>
              </w:rPr>
              <w:drawing>
                <wp:inline distT="0" distB="0" distL="0" distR="0" wp14:anchorId="2F757FA8" wp14:editId="64D18934">
                  <wp:extent cx="146685" cy="293370"/>
                  <wp:effectExtent l="0" t="0" r="5715"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(RTRUTOAMT </w:t>
            </w:r>
            <w:r>
              <w:rPr>
                <w:i/>
                <w:vertAlign w:val="subscript"/>
              </w:rPr>
              <w:t>q</w:t>
            </w:r>
            <w:r>
              <w:t>)</w:t>
            </w:r>
          </w:p>
          <w:p w14:paraId="5AC7C2C6"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73F72359"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3C881DAA" w14:textId="77777777" w:rsidR="000E1BF8" w:rsidRDefault="000E1BF8" w:rsidP="000E1BF8">
                  <w:pPr>
                    <w:pStyle w:val="TableHead"/>
                  </w:pPr>
                  <w:r>
                    <w:rPr>
                      <w:b w:val="0"/>
                      <w:iCs w:val="0"/>
                    </w:rPr>
                    <w:t>Variable</w:t>
                  </w:r>
                </w:p>
              </w:tc>
              <w:tc>
                <w:tcPr>
                  <w:tcW w:w="675" w:type="pct"/>
                  <w:tcBorders>
                    <w:top w:val="single" w:sz="4" w:space="0" w:color="auto"/>
                    <w:left w:val="single" w:sz="4" w:space="0" w:color="auto"/>
                    <w:bottom w:val="single" w:sz="4" w:space="0" w:color="auto"/>
                    <w:right w:val="single" w:sz="4" w:space="0" w:color="auto"/>
                  </w:tcBorders>
                  <w:hideMark/>
                </w:tcPr>
                <w:p w14:paraId="4CE6E6A3"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512AD9EC" w14:textId="77777777" w:rsidR="000E1BF8" w:rsidRDefault="000E1BF8" w:rsidP="000E1BF8">
                  <w:pPr>
                    <w:pStyle w:val="TableHead"/>
                  </w:pPr>
                  <w:r>
                    <w:t>Description</w:t>
                  </w:r>
                </w:p>
              </w:tc>
            </w:tr>
            <w:tr w:rsidR="000E1BF8" w14:paraId="12842B9D"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B140DC2" w14:textId="77777777" w:rsidR="000E1BF8" w:rsidRDefault="000E1BF8" w:rsidP="000E1BF8">
                  <w:pPr>
                    <w:pStyle w:val="tablebody0"/>
                  </w:pPr>
                  <w:r>
                    <w:t xml:space="preserve">LARTRUAMT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B60B233"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47A14FEE" w14:textId="77777777" w:rsidR="000E1BF8" w:rsidRDefault="000E1BF8" w:rsidP="000E1BF8">
                  <w:pPr>
                    <w:pStyle w:val="tablebody0"/>
                    <w:rPr>
                      <w:i/>
                    </w:rPr>
                  </w:pPr>
                  <w:r>
                    <w:rPr>
                      <w:i/>
                    </w:rPr>
                    <w:t>Load-Allocated Real-Time Reg-Up Amount for the QSE</w:t>
                  </w:r>
                  <w:r>
                    <w:t xml:space="preserve">— The QSE </w:t>
                  </w:r>
                  <w:r>
                    <w:rPr>
                      <w:i/>
                    </w:rPr>
                    <w:t>q</w:t>
                  </w:r>
                  <w:r>
                    <w:softHyphen/>
                    <w:t>’s share of the total Real-Time Reg-Up amount for the 15-minute Settlement Interval.</w:t>
                  </w:r>
                </w:p>
              </w:tc>
            </w:tr>
            <w:tr w:rsidR="000E1BF8" w14:paraId="2EA511DF"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389EAD1" w14:textId="77777777" w:rsidR="000E1BF8" w:rsidRDefault="000E1BF8" w:rsidP="000E1BF8">
                  <w:pPr>
                    <w:pStyle w:val="tablebody0"/>
                  </w:pPr>
                  <w:r>
                    <w:t xml:space="preserve">RTRUIMBAMT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0D024A64"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2BEC988D" w14:textId="77777777" w:rsidR="000E1BF8" w:rsidRDefault="000E1BF8" w:rsidP="000E1BF8">
                  <w:pPr>
                    <w:pStyle w:val="tablebody0"/>
                    <w:rPr>
                      <w:i/>
                    </w:rPr>
                  </w:pPr>
                  <w:r>
                    <w:rPr>
                      <w:i/>
                    </w:rPr>
                    <w:t xml:space="preserve">Real-Time Reg-Up Imbalance Amount for the QSE - </w:t>
                  </w:r>
                  <w:r>
                    <w:t xml:space="preserve">The total payment or charge to QSE </w:t>
                  </w:r>
                  <w:r>
                    <w:rPr>
                      <w:i/>
                    </w:rPr>
                    <w:t>q</w:t>
                  </w:r>
                  <w:r>
                    <w:t xml:space="preserve"> for the Real-Time Reg-Up imbalance for each 15-minute Settlement Interval.</w:t>
                  </w:r>
                </w:p>
              </w:tc>
            </w:tr>
            <w:tr w:rsidR="000E1BF8" w14:paraId="1E69BE4C"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DAB57C7" w14:textId="77777777" w:rsidR="000E1BF8" w:rsidRDefault="000E1BF8" w:rsidP="000E1BF8">
                  <w:pPr>
                    <w:pStyle w:val="tablebody0"/>
                  </w:pPr>
                  <w:r>
                    <w:t xml:space="preserve">RTRUOAMT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015336E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06CF116" w14:textId="77777777" w:rsidR="000E1BF8" w:rsidRDefault="000E1BF8" w:rsidP="000E1BF8">
                  <w:pPr>
                    <w:pStyle w:val="tablebody0"/>
                    <w:rPr>
                      <w:i/>
                    </w:rPr>
                  </w:pPr>
                  <w:r>
                    <w:rPr>
                      <w:i/>
                    </w:rPr>
                    <w:t>Real-Time Reg-Up Only Amount for the QSE</w:t>
                  </w:r>
                  <w:r>
                    <w:t xml:space="preserve">— The total charge to QSE </w:t>
                  </w:r>
                  <w:r>
                    <w:rPr>
                      <w:i/>
                    </w:rPr>
                    <w:t>q</w:t>
                  </w:r>
                  <w:r>
                    <w:t xml:space="preserve"> in Real-Time for Reg-Up only awards for each 15-minute Settlement Interval.</w:t>
                  </w:r>
                </w:p>
              </w:tc>
            </w:tr>
            <w:tr w:rsidR="000E1BF8" w14:paraId="2ABBF84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59B63ECD" w14:textId="77777777" w:rsidR="000E1BF8" w:rsidRDefault="000E1BF8" w:rsidP="000E1BF8">
                  <w:pPr>
                    <w:pStyle w:val="tablebody0"/>
                  </w:pPr>
                  <w:r>
                    <w:t>RTRUIMBAMTTOT</w:t>
                  </w:r>
                </w:p>
              </w:tc>
              <w:tc>
                <w:tcPr>
                  <w:tcW w:w="675" w:type="pct"/>
                  <w:tcBorders>
                    <w:top w:val="single" w:sz="4" w:space="0" w:color="auto"/>
                    <w:left w:val="single" w:sz="4" w:space="0" w:color="auto"/>
                    <w:bottom w:val="single" w:sz="4" w:space="0" w:color="auto"/>
                    <w:right w:val="single" w:sz="4" w:space="0" w:color="auto"/>
                  </w:tcBorders>
                  <w:hideMark/>
                </w:tcPr>
                <w:p w14:paraId="3F942C7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327AC3F2" w14:textId="77777777" w:rsidR="000E1BF8" w:rsidRDefault="000E1BF8" w:rsidP="000E1BF8">
                  <w:pPr>
                    <w:pStyle w:val="tablebody0"/>
                    <w:rPr>
                      <w:i/>
                    </w:rPr>
                  </w:pPr>
                  <w:r>
                    <w:rPr>
                      <w:i/>
                    </w:rPr>
                    <w:t xml:space="preserve">Real-Time Reg-Up Imbalance Market Total Amount - </w:t>
                  </w:r>
                  <w:r>
                    <w:t>The total payment or charge to all QSEs for the Real-Time Reg-Up imbalance for each 15-minute Settlement Interval.</w:t>
                  </w:r>
                </w:p>
              </w:tc>
            </w:tr>
            <w:tr w:rsidR="000E1BF8" w14:paraId="6B68519B"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8307BB6" w14:textId="77777777" w:rsidR="000E1BF8" w:rsidRDefault="000E1BF8" w:rsidP="000E1BF8">
                  <w:pPr>
                    <w:pStyle w:val="tablebody0"/>
                  </w:pPr>
                  <w:r>
                    <w:t>RTRUOAMTTOT</w:t>
                  </w:r>
                </w:p>
              </w:tc>
              <w:tc>
                <w:tcPr>
                  <w:tcW w:w="675" w:type="pct"/>
                  <w:tcBorders>
                    <w:top w:val="single" w:sz="4" w:space="0" w:color="auto"/>
                    <w:left w:val="single" w:sz="4" w:space="0" w:color="auto"/>
                    <w:bottom w:val="single" w:sz="4" w:space="0" w:color="auto"/>
                    <w:right w:val="single" w:sz="4" w:space="0" w:color="auto"/>
                  </w:tcBorders>
                  <w:hideMark/>
                </w:tcPr>
                <w:p w14:paraId="4706A645"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52584E6" w14:textId="77777777" w:rsidR="000E1BF8" w:rsidRDefault="000E1BF8" w:rsidP="000E1BF8">
                  <w:pPr>
                    <w:pStyle w:val="tablebody0"/>
                    <w:rPr>
                      <w:i/>
                    </w:rPr>
                  </w:pPr>
                  <w:r>
                    <w:rPr>
                      <w:i/>
                    </w:rPr>
                    <w:t xml:space="preserve">Real-Time Reg-Up Only Market Total Amount - </w:t>
                  </w:r>
                  <w:r>
                    <w:t>The total charge to all QSEs in Real-Time for Reg-Up only awards for each 15-minute Settlement Interval.</w:t>
                  </w:r>
                </w:p>
              </w:tc>
            </w:tr>
            <w:tr w:rsidR="000E1BF8" w14:paraId="42302431"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C0F9049" w14:textId="77777777" w:rsidR="000E1BF8" w:rsidRDefault="000E1BF8" w:rsidP="000E1BF8">
                  <w:pPr>
                    <w:pStyle w:val="tablebody0"/>
                  </w:pPr>
                  <w:r>
                    <w:t xml:space="preserve">RTRUTOAMT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1C1F066E"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D466F7E" w14:textId="77777777" w:rsidR="000E1BF8" w:rsidRDefault="000E1BF8" w:rsidP="000E1BF8">
                  <w:pPr>
                    <w:pStyle w:val="tablebody0"/>
                    <w:rPr>
                      <w:i/>
                    </w:rPr>
                  </w:pPr>
                  <w:r>
                    <w:rPr>
                      <w:i/>
                    </w:rPr>
                    <w:t>Real-Time Reg-Up Trade Overage Amount for the QSE</w:t>
                  </w:r>
                  <w:r>
                    <w:t xml:space="preserve">— The total charge to QSE </w:t>
                  </w:r>
                  <w:r>
                    <w:rPr>
                      <w:i/>
                    </w:rPr>
                    <w:t>q</w:t>
                  </w:r>
                  <w:r>
                    <w:t xml:space="preserve"> in Real-Time for Reg-Up trade overages for each 15-minute Settlement Interval.</w:t>
                  </w:r>
                </w:p>
              </w:tc>
            </w:tr>
            <w:tr w:rsidR="000E1BF8" w14:paraId="51D00259"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BE94989" w14:textId="77777777" w:rsidR="000E1BF8" w:rsidRDefault="000E1BF8" w:rsidP="000E1BF8">
                  <w:pPr>
                    <w:pStyle w:val="tablebody0"/>
                  </w:pPr>
                  <w:r>
                    <w:t>RTRUTOAMTTOT</w:t>
                  </w:r>
                </w:p>
              </w:tc>
              <w:tc>
                <w:tcPr>
                  <w:tcW w:w="675" w:type="pct"/>
                  <w:tcBorders>
                    <w:top w:val="single" w:sz="4" w:space="0" w:color="auto"/>
                    <w:left w:val="single" w:sz="4" w:space="0" w:color="auto"/>
                    <w:bottom w:val="single" w:sz="4" w:space="0" w:color="auto"/>
                    <w:right w:val="single" w:sz="4" w:space="0" w:color="auto"/>
                  </w:tcBorders>
                  <w:hideMark/>
                </w:tcPr>
                <w:p w14:paraId="4FB6EF86"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380FD0F4" w14:textId="77777777" w:rsidR="000E1BF8" w:rsidRDefault="000E1BF8" w:rsidP="000E1BF8">
                  <w:pPr>
                    <w:pStyle w:val="tablebody0"/>
                    <w:rPr>
                      <w:i/>
                    </w:rPr>
                  </w:pPr>
                  <w:r>
                    <w:rPr>
                      <w:i/>
                    </w:rPr>
                    <w:t xml:space="preserve">Real-Time Reg-Up Trade Overage Total Amount </w:t>
                  </w:r>
                  <w:r>
                    <w:t>— The total charge to all QSEs for Real-Time Reg-Up trade overages for each 15-minute Settlement Interval.</w:t>
                  </w:r>
                </w:p>
              </w:tc>
            </w:tr>
            <w:tr w:rsidR="000E1BF8" w14:paraId="65BF9FDC"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3F6E4C7" w14:textId="77777777" w:rsidR="000E1BF8" w:rsidRDefault="000E1BF8" w:rsidP="000E1BF8">
                  <w:pPr>
                    <w:pStyle w:val="tablebody0"/>
                  </w:pPr>
                  <w:r>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21B374F8"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7C9B1D4A" w14:textId="77777777" w:rsidR="000E1BF8" w:rsidRDefault="000E1BF8" w:rsidP="000E1BF8">
                  <w:pPr>
                    <w:pStyle w:val="tablebody0"/>
                    <w:rPr>
                      <w:i/>
                    </w:rPr>
                  </w:pPr>
                  <w:r>
                    <w:rPr>
                      <w:i/>
                    </w:rPr>
                    <w:t>Load Ratio Share per QSE</w:t>
                  </w:r>
                  <w:r>
                    <w:t xml:space="preserve">—The LRS as defined in Section 6.6.2.2, QSE Load Ratio Share for a 15-Minute Settlement Interval, for QSE </w:t>
                  </w:r>
                  <w:r>
                    <w:rPr>
                      <w:i/>
                    </w:rPr>
                    <w:t>q</w:t>
                  </w:r>
                  <w:r>
                    <w:t xml:space="preserve"> for the 15-minute Settlement Interval.</w:t>
                  </w:r>
                </w:p>
              </w:tc>
            </w:tr>
            <w:tr w:rsidR="000E1BF8" w14:paraId="550C548D"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3649E0E" w14:textId="77777777" w:rsidR="000E1BF8" w:rsidRDefault="000E1BF8" w:rsidP="000E1BF8">
                  <w:pPr>
                    <w:pStyle w:val="tablebody0"/>
                  </w:pPr>
                  <w:r>
                    <w:rPr>
                      <w:i/>
                    </w:rPr>
                    <w:t>q</w:t>
                  </w:r>
                </w:p>
              </w:tc>
              <w:tc>
                <w:tcPr>
                  <w:tcW w:w="675" w:type="pct"/>
                  <w:tcBorders>
                    <w:top w:val="single" w:sz="4" w:space="0" w:color="auto"/>
                    <w:left w:val="single" w:sz="4" w:space="0" w:color="auto"/>
                    <w:bottom w:val="single" w:sz="4" w:space="0" w:color="auto"/>
                    <w:right w:val="single" w:sz="4" w:space="0" w:color="auto"/>
                  </w:tcBorders>
                  <w:hideMark/>
                </w:tcPr>
                <w:p w14:paraId="46103E7A"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78399B6B" w14:textId="77777777" w:rsidR="000E1BF8" w:rsidRDefault="000E1BF8" w:rsidP="000E1BF8">
                  <w:pPr>
                    <w:pStyle w:val="tablebody0"/>
                    <w:rPr>
                      <w:i/>
                    </w:rPr>
                  </w:pPr>
                  <w:r>
                    <w:t>A QSE.</w:t>
                  </w:r>
                </w:p>
              </w:tc>
            </w:tr>
          </w:tbl>
          <w:p w14:paraId="551488A7" w14:textId="77777777" w:rsidR="000E1BF8" w:rsidRDefault="000E1BF8" w:rsidP="000E1BF8">
            <w:pPr>
              <w:pStyle w:val="BodyText"/>
              <w:spacing w:before="240"/>
              <w:ind w:left="1440" w:hanging="720"/>
            </w:pPr>
            <w:r>
              <w:t>(b)         For Reg-Down:</w:t>
            </w:r>
          </w:p>
          <w:p w14:paraId="0FCB49EF" w14:textId="77777777" w:rsidR="000E1BF8" w:rsidRDefault="000E1BF8" w:rsidP="000E1BF8">
            <w:pPr>
              <w:ind w:left="1440" w:hanging="720"/>
            </w:pPr>
            <w:r>
              <w:t xml:space="preserve">LARTRDAMT </w:t>
            </w:r>
            <w:r>
              <w:rPr>
                <w:i/>
                <w:vertAlign w:val="subscript"/>
              </w:rPr>
              <w:t>q</w:t>
            </w:r>
            <w:r>
              <w:t xml:space="preserve"> =</w:t>
            </w:r>
            <w:r>
              <w:tab/>
              <w:t>(-1)</w:t>
            </w:r>
            <w:r>
              <w:rPr>
                <w:b/>
              </w:rPr>
              <w:t xml:space="preserve"> * (</w:t>
            </w:r>
            <w:r>
              <w:t xml:space="preserve">RTRDIMBAMTTOT + RTRDOAMTTOT + </w:t>
            </w:r>
          </w:p>
          <w:p w14:paraId="04E01272" w14:textId="77777777" w:rsidR="000E1BF8" w:rsidRDefault="000E1BF8" w:rsidP="000E1BF8">
            <w:pPr>
              <w:spacing w:after="240"/>
              <w:ind w:left="2160" w:firstLine="720"/>
              <w:rPr>
                <w:i/>
                <w:vertAlign w:val="subscript"/>
              </w:rPr>
            </w:pPr>
            <w:r>
              <w:t xml:space="preserve">RTRDTOAMTTOT) * LRS </w:t>
            </w:r>
            <w:r>
              <w:rPr>
                <w:i/>
                <w:vertAlign w:val="subscript"/>
              </w:rPr>
              <w:t>q</w:t>
            </w:r>
          </w:p>
          <w:p w14:paraId="233050DE" w14:textId="77777777" w:rsidR="000E1BF8" w:rsidRDefault="000E1BF8" w:rsidP="000E1BF8">
            <w:pPr>
              <w:spacing w:after="240"/>
              <w:ind w:left="1440" w:hanging="720"/>
            </w:pPr>
            <w:r>
              <w:t>Where:</w:t>
            </w:r>
          </w:p>
          <w:p w14:paraId="0F9B29FF" w14:textId="5DA64DF5" w:rsidR="000E1BF8" w:rsidRDefault="000E1BF8" w:rsidP="000E1BF8">
            <w:pPr>
              <w:pStyle w:val="BodyText"/>
              <w:ind w:left="1440" w:hanging="720"/>
            </w:pPr>
            <w:r>
              <w:t xml:space="preserve">RTRDIMBAMTTOT = </w:t>
            </w:r>
            <w:r>
              <w:rPr>
                <w:noProof/>
                <w:position w:val="-22"/>
              </w:rPr>
              <w:drawing>
                <wp:inline distT="0" distB="0" distL="0" distR="0" wp14:anchorId="49AF2B85" wp14:editId="32435F28">
                  <wp:extent cx="146685" cy="293370"/>
                  <wp:effectExtent l="0" t="0" r="5715"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(RTRDIMBAMT </w:t>
            </w:r>
            <w:r>
              <w:rPr>
                <w:i/>
                <w:vertAlign w:val="subscript"/>
              </w:rPr>
              <w:t>q</w:t>
            </w:r>
            <w:r>
              <w:t>)</w:t>
            </w:r>
          </w:p>
          <w:p w14:paraId="4EA6CAD7" w14:textId="44593558" w:rsidR="000E1BF8" w:rsidRDefault="000E1BF8" w:rsidP="000E1BF8">
            <w:pPr>
              <w:spacing w:after="240"/>
              <w:ind w:left="1440" w:hanging="720"/>
            </w:pPr>
            <w:r>
              <w:lastRenderedPageBreak/>
              <w:t xml:space="preserve">RTRDOAMTTOT = </w:t>
            </w:r>
            <w:r>
              <w:rPr>
                <w:noProof/>
                <w:position w:val="-22"/>
              </w:rPr>
              <w:drawing>
                <wp:inline distT="0" distB="0" distL="0" distR="0" wp14:anchorId="60255ED6" wp14:editId="129DA1E9">
                  <wp:extent cx="146685" cy="293370"/>
                  <wp:effectExtent l="0" t="0" r="5715"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(RTRDOAMT </w:t>
            </w:r>
            <w:r>
              <w:rPr>
                <w:i/>
                <w:vertAlign w:val="subscript"/>
              </w:rPr>
              <w:t>q</w:t>
            </w:r>
            <w:r>
              <w:t>)</w:t>
            </w:r>
          </w:p>
          <w:p w14:paraId="6FC08493" w14:textId="6A271C05" w:rsidR="000E1BF8" w:rsidRDefault="000E1BF8" w:rsidP="000E1BF8">
            <w:pPr>
              <w:spacing w:after="240"/>
              <w:ind w:left="1440" w:hanging="720"/>
            </w:pPr>
            <w:r>
              <w:t xml:space="preserve">RTRDTOAMTTOT = </w:t>
            </w:r>
            <w:r>
              <w:rPr>
                <w:noProof/>
                <w:position w:val="-22"/>
              </w:rPr>
              <w:drawing>
                <wp:inline distT="0" distB="0" distL="0" distR="0" wp14:anchorId="14B42990" wp14:editId="24AF0A33">
                  <wp:extent cx="146685" cy="293370"/>
                  <wp:effectExtent l="0" t="0" r="5715"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(RTRDTOAMT </w:t>
            </w:r>
            <w:r>
              <w:rPr>
                <w:i/>
                <w:vertAlign w:val="subscript"/>
              </w:rPr>
              <w:t>q</w:t>
            </w:r>
            <w:r>
              <w:t>)</w:t>
            </w:r>
          </w:p>
          <w:p w14:paraId="47AAFFE0"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30D70946"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0627139D" w14:textId="77777777" w:rsidR="000E1BF8" w:rsidRDefault="000E1BF8" w:rsidP="000E1BF8">
                  <w:pPr>
                    <w:pStyle w:val="TableHead"/>
                  </w:pPr>
                  <w:r>
                    <w:rPr>
                      <w:b w:val="0"/>
                      <w:iCs w:val="0"/>
                    </w:rPr>
                    <w:t>Variable</w:t>
                  </w:r>
                </w:p>
              </w:tc>
              <w:tc>
                <w:tcPr>
                  <w:tcW w:w="675" w:type="pct"/>
                  <w:tcBorders>
                    <w:top w:val="single" w:sz="4" w:space="0" w:color="auto"/>
                    <w:left w:val="single" w:sz="4" w:space="0" w:color="auto"/>
                    <w:bottom w:val="single" w:sz="4" w:space="0" w:color="auto"/>
                    <w:right w:val="single" w:sz="4" w:space="0" w:color="auto"/>
                  </w:tcBorders>
                  <w:hideMark/>
                </w:tcPr>
                <w:p w14:paraId="24281C58"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31D41930" w14:textId="77777777" w:rsidR="000E1BF8" w:rsidRDefault="000E1BF8" w:rsidP="000E1BF8">
                  <w:pPr>
                    <w:pStyle w:val="TableHead"/>
                  </w:pPr>
                  <w:r>
                    <w:t>Description</w:t>
                  </w:r>
                </w:p>
              </w:tc>
            </w:tr>
            <w:tr w:rsidR="000E1BF8" w14:paraId="6F6FF361"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48B9D2B" w14:textId="77777777" w:rsidR="000E1BF8" w:rsidRDefault="000E1BF8" w:rsidP="000E1BF8">
                  <w:pPr>
                    <w:pStyle w:val="tablebody0"/>
                  </w:pPr>
                  <w:r>
                    <w:t xml:space="preserve">LARTRDAMT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3B19533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559926BD" w14:textId="77777777" w:rsidR="000E1BF8" w:rsidRDefault="000E1BF8" w:rsidP="000E1BF8">
                  <w:pPr>
                    <w:pStyle w:val="tablebody0"/>
                    <w:rPr>
                      <w:i/>
                    </w:rPr>
                  </w:pPr>
                  <w:r>
                    <w:rPr>
                      <w:i/>
                    </w:rPr>
                    <w:t>Load-Allocated Real-Time Reg-Down Amount for the QSE</w:t>
                  </w:r>
                  <w:r>
                    <w:t xml:space="preserve"> </w:t>
                  </w:r>
                  <w:r>
                    <w:sym w:font="Symbol" w:char="F0BE"/>
                  </w:r>
                  <w:r>
                    <w:t xml:space="preserve"> The QSE </w:t>
                  </w:r>
                  <w:r>
                    <w:rPr>
                      <w:i/>
                    </w:rPr>
                    <w:t>q</w:t>
                  </w:r>
                  <w:r>
                    <w:t>’s share of the total Real-Time Reg-Down amount for the 15-minute Settlement Interval.</w:t>
                  </w:r>
                </w:p>
              </w:tc>
            </w:tr>
            <w:tr w:rsidR="000E1BF8" w14:paraId="311FCF2F"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4D8BE75" w14:textId="77777777" w:rsidR="000E1BF8" w:rsidRDefault="000E1BF8" w:rsidP="000E1BF8">
                  <w:pPr>
                    <w:pStyle w:val="tablebody0"/>
                  </w:pPr>
                  <w:r>
                    <w:t xml:space="preserve">RTRDIMBAMT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A0F6FD5"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3D423CB5" w14:textId="77777777" w:rsidR="000E1BF8" w:rsidRDefault="000E1BF8" w:rsidP="000E1BF8">
                  <w:pPr>
                    <w:pStyle w:val="tablebody0"/>
                    <w:rPr>
                      <w:i/>
                    </w:rPr>
                  </w:pPr>
                  <w:r>
                    <w:rPr>
                      <w:i/>
                    </w:rPr>
                    <w:t xml:space="preserve">Real-Time Reg-Down Imbalance Amount for the QSE - </w:t>
                  </w:r>
                  <w:r>
                    <w:t xml:space="preserve">The total payment or charge to QSE </w:t>
                  </w:r>
                  <w:r>
                    <w:rPr>
                      <w:i/>
                    </w:rPr>
                    <w:t>q</w:t>
                  </w:r>
                  <w:r>
                    <w:t xml:space="preserve"> for the Real-Time Reg-Down imbalance for each 15-minute Settlement Interval.</w:t>
                  </w:r>
                </w:p>
              </w:tc>
            </w:tr>
            <w:tr w:rsidR="000E1BF8" w14:paraId="1330770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2C5C1957" w14:textId="77777777" w:rsidR="000E1BF8" w:rsidRDefault="000E1BF8" w:rsidP="000E1BF8">
                  <w:pPr>
                    <w:pStyle w:val="tablebody0"/>
                  </w:pPr>
                  <w:r>
                    <w:t xml:space="preserve">RTRDOAMT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6444DB3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409AF186" w14:textId="77777777" w:rsidR="000E1BF8" w:rsidRDefault="000E1BF8" w:rsidP="000E1BF8">
                  <w:pPr>
                    <w:pStyle w:val="tablebody0"/>
                    <w:rPr>
                      <w:i/>
                    </w:rPr>
                  </w:pPr>
                  <w:r>
                    <w:rPr>
                      <w:i/>
                    </w:rPr>
                    <w:t>Real-Time Reg-Down Only Amount for the QSE</w:t>
                  </w:r>
                  <w:r>
                    <w:t xml:space="preserve">— The total charge to QSE </w:t>
                  </w:r>
                  <w:r>
                    <w:rPr>
                      <w:i/>
                    </w:rPr>
                    <w:t>q</w:t>
                  </w:r>
                  <w:r>
                    <w:t xml:space="preserve"> in Real-Time for Reg-Down only awards for each 15-minute Settlement Interval.</w:t>
                  </w:r>
                </w:p>
              </w:tc>
            </w:tr>
            <w:tr w:rsidR="000E1BF8" w14:paraId="6A092F23"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552F6BF" w14:textId="77777777" w:rsidR="000E1BF8" w:rsidRDefault="000E1BF8" w:rsidP="000E1BF8">
                  <w:pPr>
                    <w:pStyle w:val="tablebody0"/>
                  </w:pPr>
                  <w:r>
                    <w:t>RTRDIMBAMTTOT</w:t>
                  </w:r>
                </w:p>
              </w:tc>
              <w:tc>
                <w:tcPr>
                  <w:tcW w:w="675" w:type="pct"/>
                  <w:tcBorders>
                    <w:top w:val="single" w:sz="4" w:space="0" w:color="auto"/>
                    <w:left w:val="single" w:sz="4" w:space="0" w:color="auto"/>
                    <w:bottom w:val="single" w:sz="4" w:space="0" w:color="auto"/>
                    <w:right w:val="single" w:sz="4" w:space="0" w:color="auto"/>
                  </w:tcBorders>
                  <w:hideMark/>
                </w:tcPr>
                <w:p w14:paraId="1AD0E7DD"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5B5BC108" w14:textId="77777777" w:rsidR="000E1BF8" w:rsidRDefault="000E1BF8" w:rsidP="000E1BF8">
                  <w:pPr>
                    <w:pStyle w:val="tablebody0"/>
                    <w:rPr>
                      <w:i/>
                    </w:rPr>
                  </w:pPr>
                  <w:r>
                    <w:rPr>
                      <w:i/>
                    </w:rPr>
                    <w:t xml:space="preserve">Real-Time Reg-Down Imbalance Market Total Amount - </w:t>
                  </w:r>
                  <w:r>
                    <w:t>The total payment or charge to all QSEs for the Real-Time Reg-Down imbalance for each 15-minute Settlement Interval.</w:t>
                  </w:r>
                </w:p>
              </w:tc>
            </w:tr>
            <w:tr w:rsidR="000E1BF8" w14:paraId="3E3AAF12"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D624CBE" w14:textId="77777777" w:rsidR="000E1BF8" w:rsidRDefault="000E1BF8" w:rsidP="000E1BF8">
                  <w:pPr>
                    <w:pStyle w:val="tablebody0"/>
                  </w:pPr>
                  <w:r>
                    <w:t>RTRDOAMTTOT</w:t>
                  </w:r>
                </w:p>
              </w:tc>
              <w:tc>
                <w:tcPr>
                  <w:tcW w:w="675" w:type="pct"/>
                  <w:tcBorders>
                    <w:top w:val="single" w:sz="4" w:space="0" w:color="auto"/>
                    <w:left w:val="single" w:sz="4" w:space="0" w:color="auto"/>
                    <w:bottom w:val="single" w:sz="4" w:space="0" w:color="auto"/>
                    <w:right w:val="single" w:sz="4" w:space="0" w:color="auto"/>
                  </w:tcBorders>
                  <w:hideMark/>
                </w:tcPr>
                <w:p w14:paraId="3F271EF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5ADBD301" w14:textId="77777777" w:rsidR="000E1BF8" w:rsidRDefault="000E1BF8" w:rsidP="000E1BF8">
                  <w:pPr>
                    <w:pStyle w:val="tablebody0"/>
                    <w:rPr>
                      <w:i/>
                    </w:rPr>
                  </w:pPr>
                  <w:r>
                    <w:rPr>
                      <w:i/>
                    </w:rPr>
                    <w:t xml:space="preserve">Real-Time Reg-Down Only Market Total Amount - </w:t>
                  </w:r>
                  <w:r>
                    <w:t>The total charge to all QSEs in Real-Time for Reg-Down only awards for each 15-minute Settlement Interval.</w:t>
                  </w:r>
                </w:p>
              </w:tc>
            </w:tr>
            <w:tr w:rsidR="000E1BF8" w14:paraId="1FFAD1B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C5B19FB" w14:textId="77777777" w:rsidR="000E1BF8" w:rsidRDefault="000E1BF8" w:rsidP="000E1BF8">
                  <w:pPr>
                    <w:pStyle w:val="tablebody0"/>
                  </w:pPr>
                  <w:r>
                    <w:t xml:space="preserve">RTRDTOAMT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E00A73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A1C050E" w14:textId="77777777" w:rsidR="000E1BF8" w:rsidRDefault="000E1BF8" w:rsidP="000E1BF8">
                  <w:pPr>
                    <w:pStyle w:val="tablebody0"/>
                    <w:rPr>
                      <w:i/>
                    </w:rPr>
                  </w:pPr>
                  <w:r>
                    <w:rPr>
                      <w:i/>
                    </w:rPr>
                    <w:t>Real-Time Reg-Down Trade Overage Amount for the QSE</w:t>
                  </w:r>
                  <w:r>
                    <w:t xml:space="preserve">— The total charge to QSE </w:t>
                  </w:r>
                  <w:r>
                    <w:rPr>
                      <w:i/>
                    </w:rPr>
                    <w:t>q</w:t>
                  </w:r>
                  <w:r>
                    <w:t xml:space="preserve"> in Real-Time for Reg-Down trade overages for each 15-minute Settlement Interval.</w:t>
                  </w:r>
                </w:p>
              </w:tc>
            </w:tr>
            <w:tr w:rsidR="000E1BF8" w14:paraId="13EF7A0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44C150C" w14:textId="77777777" w:rsidR="000E1BF8" w:rsidRDefault="000E1BF8" w:rsidP="000E1BF8">
                  <w:pPr>
                    <w:pStyle w:val="tablebody0"/>
                  </w:pPr>
                  <w:r>
                    <w:t>RTRDOAMTTOT</w:t>
                  </w:r>
                </w:p>
              </w:tc>
              <w:tc>
                <w:tcPr>
                  <w:tcW w:w="675" w:type="pct"/>
                  <w:tcBorders>
                    <w:top w:val="single" w:sz="4" w:space="0" w:color="auto"/>
                    <w:left w:val="single" w:sz="4" w:space="0" w:color="auto"/>
                    <w:bottom w:val="single" w:sz="4" w:space="0" w:color="auto"/>
                    <w:right w:val="single" w:sz="4" w:space="0" w:color="auto"/>
                  </w:tcBorders>
                  <w:hideMark/>
                </w:tcPr>
                <w:p w14:paraId="25D056B6"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449B4694" w14:textId="77777777" w:rsidR="000E1BF8" w:rsidRDefault="000E1BF8" w:rsidP="000E1BF8">
                  <w:pPr>
                    <w:pStyle w:val="tablebody0"/>
                    <w:rPr>
                      <w:i/>
                    </w:rPr>
                  </w:pPr>
                  <w:r>
                    <w:rPr>
                      <w:i/>
                    </w:rPr>
                    <w:t xml:space="preserve">Real-Time Reg-Down Trade Overage Total Amount </w:t>
                  </w:r>
                  <w:r>
                    <w:t>— The total charge to all QSEs for Real-Time Reg-Down trade overages for each 15-minute Settlement Interval.</w:t>
                  </w:r>
                </w:p>
              </w:tc>
            </w:tr>
            <w:tr w:rsidR="000E1BF8" w14:paraId="4F165216"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5292559" w14:textId="77777777" w:rsidR="000E1BF8" w:rsidRDefault="000E1BF8" w:rsidP="000E1BF8">
                  <w:pPr>
                    <w:pStyle w:val="tablebody0"/>
                  </w:pPr>
                  <w:r>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68ABA1F"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43131B97" w14:textId="4A24AAD1"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4ECB505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2657F4DA" w14:textId="77777777" w:rsidR="000E1BF8" w:rsidRDefault="000E1BF8" w:rsidP="000E1BF8">
                  <w:pPr>
                    <w:pStyle w:val="tablebody0"/>
                  </w:pPr>
                  <w:r>
                    <w:rPr>
                      <w:i/>
                    </w:rPr>
                    <w:t>q</w:t>
                  </w:r>
                </w:p>
              </w:tc>
              <w:tc>
                <w:tcPr>
                  <w:tcW w:w="675" w:type="pct"/>
                  <w:tcBorders>
                    <w:top w:val="single" w:sz="4" w:space="0" w:color="auto"/>
                    <w:left w:val="single" w:sz="4" w:space="0" w:color="auto"/>
                    <w:bottom w:val="single" w:sz="4" w:space="0" w:color="auto"/>
                    <w:right w:val="single" w:sz="4" w:space="0" w:color="auto"/>
                  </w:tcBorders>
                  <w:hideMark/>
                </w:tcPr>
                <w:p w14:paraId="17592764"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5248D2C9" w14:textId="77777777" w:rsidR="000E1BF8" w:rsidRDefault="000E1BF8" w:rsidP="000E1BF8">
                  <w:pPr>
                    <w:pStyle w:val="tablebody0"/>
                    <w:rPr>
                      <w:i/>
                    </w:rPr>
                  </w:pPr>
                  <w:r>
                    <w:t>A QSE.</w:t>
                  </w:r>
                </w:p>
              </w:tc>
            </w:tr>
          </w:tbl>
          <w:p w14:paraId="68D62C50" w14:textId="77777777" w:rsidR="000E1BF8" w:rsidRDefault="000E1BF8" w:rsidP="000E1BF8">
            <w:pPr>
              <w:pStyle w:val="BodyText"/>
              <w:spacing w:before="240"/>
              <w:ind w:left="1440" w:hanging="720"/>
            </w:pPr>
            <w:r>
              <w:t xml:space="preserve"> (c)         For Responsive Reserve (RRS):</w:t>
            </w:r>
          </w:p>
          <w:p w14:paraId="7B6EEBED" w14:textId="77777777" w:rsidR="000E1BF8" w:rsidRDefault="000E1BF8" w:rsidP="000E1BF8">
            <w:pPr>
              <w:spacing w:before="240"/>
              <w:ind w:left="1440" w:hanging="720"/>
            </w:pPr>
            <w:r>
              <w:t xml:space="preserve">LARTRRAMT </w:t>
            </w:r>
            <w:r>
              <w:rPr>
                <w:i/>
                <w:vertAlign w:val="subscript"/>
              </w:rPr>
              <w:t>q</w:t>
            </w:r>
            <w:r>
              <w:t xml:space="preserve"> =</w:t>
            </w:r>
            <w:r>
              <w:tab/>
              <w:t>(-1)</w:t>
            </w:r>
            <w:r>
              <w:rPr>
                <w:b/>
              </w:rPr>
              <w:t xml:space="preserve"> * (</w:t>
            </w:r>
            <w:r>
              <w:t xml:space="preserve">RTRRIMBAMTTOT + RTRROAMTTOT + </w:t>
            </w:r>
          </w:p>
          <w:p w14:paraId="695DCE65" w14:textId="77777777" w:rsidR="000E1BF8" w:rsidRDefault="000E1BF8" w:rsidP="000E1BF8">
            <w:pPr>
              <w:spacing w:after="240"/>
              <w:ind w:left="2160" w:firstLine="720"/>
              <w:rPr>
                <w:i/>
                <w:vertAlign w:val="subscript"/>
              </w:rPr>
            </w:pPr>
            <w:r>
              <w:t xml:space="preserve">RTRRTOAMTTOT) * LRS </w:t>
            </w:r>
            <w:r>
              <w:rPr>
                <w:i/>
                <w:vertAlign w:val="subscript"/>
              </w:rPr>
              <w:t>q</w:t>
            </w:r>
          </w:p>
          <w:p w14:paraId="4EC3D6BA" w14:textId="77777777" w:rsidR="000E1BF8" w:rsidRDefault="000E1BF8" w:rsidP="000E1BF8">
            <w:pPr>
              <w:spacing w:before="240"/>
              <w:ind w:left="1440" w:hanging="720"/>
            </w:pPr>
            <w:r>
              <w:t>Where:</w:t>
            </w:r>
          </w:p>
          <w:p w14:paraId="4A1175D6" w14:textId="26831399" w:rsidR="000E1BF8" w:rsidRDefault="000E1BF8" w:rsidP="000E1BF8">
            <w:pPr>
              <w:spacing w:after="240"/>
              <w:ind w:left="1440" w:hanging="720"/>
            </w:pPr>
            <w:r>
              <w:t xml:space="preserve">RTRRIMBAMTTOT = </w:t>
            </w:r>
            <w:r>
              <w:rPr>
                <w:noProof/>
              </w:rPr>
              <w:drawing>
                <wp:inline distT="0" distB="0" distL="0" distR="0" wp14:anchorId="5EAB296A" wp14:editId="27D80D4D">
                  <wp:extent cx="146685" cy="293370"/>
                  <wp:effectExtent l="0" t="0" r="5715"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(RTRRIMBAMT </w:t>
            </w:r>
            <w:r>
              <w:rPr>
                <w:i/>
                <w:vertAlign w:val="subscript"/>
              </w:rPr>
              <w:t>q</w:t>
            </w:r>
            <w:r>
              <w:t>)</w:t>
            </w:r>
          </w:p>
          <w:p w14:paraId="1AE26B89" w14:textId="3C739C4F" w:rsidR="000E1BF8" w:rsidRDefault="000E1BF8" w:rsidP="000E1BF8">
            <w:pPr>
              <w:spacing w:after="240"/>
              <w:ind w:left="1440" w:hanging="720"/>
            </w:pPr>
            <w:r>
              <w:t xml:space="preserve">RTRROAMTTOT = </w:t>
            </w:r>
            <w:r>
              <w:rPr>
                <w:noProof/>
              </w:rPr>
              <w:drawing>
                <wp:inline distT="0" distB="0" distL="0" distR="0" wp14:anchorId="6760B8DF" wp14:editId="551FB51A">
                  <wp:extent cx="146685" cy="293370"/>
                  <wp:effectExtent l="0" t="0" r="5715"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(RTRROAMT </w:t>
            </w:r>
            <w:r>
              <w:rPr>
                <w:i/>
                <w:vertAlign w:val="subscript"/>
              </w:rPr>
              <w:t>q</w:t>
            </w:r>
            <w:r>
              <w:t>)</w:t>
            </w:r>
          </w:p>
          <w:p w14:paraId="7B44239C" w14:textId="64C1C265" w:rsidR="000E1BF8" w:rsidRDefault="000E1BF8" w:rsidP="000E1BF8">
            <w:pPr>
              <w:spacing w:after="240"/>
              <w:ind w:left="1440" w:hanging="720"/>
            </w:pPr>
            <w:r>
              <w:t xml:space="preserve">RTRRTOAMTTOT = </w:t>
            </w:r>
            <w:r>
              <w:rPr>
                <w:noProof/>
              </w:rPr>
              <w:drawing>
                <wp:inline distT="0" distB="0" distL="0" distR="0" wp14:anchorId="04A13C66" wp14:editId="379831F8">
                  <wp:extent cx="146685" cy="293370"/>
                  <wp:effectExtent l="0" t="0" r="5715"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(RTRRTOAMT </w:t>
            </w:r>
            <w:r>
              <w:rPr>
                <w:i/>
                <w:vertAlign w:val="subscript"/>
              </w:rPr>
              <w:t>q</w:t>
            </w:r>
            <w:r>
              <w:t>)</w:t>
            </w:r>
          </w:p>
          <w:p w14:paraId="00170466"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33C76140"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0E105FC0" w14:textId="77777777" w:rsidR="000E1BF8" w:rsidRDefault="000E1BF8" w:rsidP="000E1BF8">
                  <w:pPr>
                    <w:pStyle w:val="TableHead"/>
                  </w:pPr>
                  <w:r>
                    <w:rPr>
                      <w:b w:val="0"/>
                      <w:iCs w:val="0"/>
                    </w:rPr>
                    <w:lastRenderedPageBreak/>
                    <w:t>Variable</w:t>
                  </w:r>
                </w:p>
              </w:tc>
              <w:tc>
                <w:tcPr>
                  <w:tcW w:w="675" w:type="pct"/>
                  <w:tcBorders>
                    <w:top w:val="single" w:sz="4" w:space="0" w:color="auto"/>
                    <w:left w:val="single" w:sz="4" w:space="0" w:color="auto"/>
                    <w:bottom w:val="single" w:sz="4" w:space="0" w:color="auto"/>
                    <w:right w:val="single" w:sz="4" w:space="0" w:color="auto"/>
                  </w:tcBorders>
                  <w:hideMark/>
                </w:tcPr>
                <w:p w14:paraId="2536000D"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23ACB5CE" w14:textId="77777777" w:rsidR="000E1BF8" w:rsidRDefault="000E1BF8" w:rsidP="000E1BF8">
                  <w:pPr>
                    <w:pStyle w:val="TableHead"/>
                  </w:pPr>
                  <w:r>
                    <w:t>Description</w:t>
                  </w:r>
                </w:p>
              </w:tc>
            </w:tr>
            <w:tr w:rsidR="000E1BF8" w14:paraId="7B7114B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2EA9DAF" w14:textId="77777777" w:rsidR="000E1BF8" w:rsidRDefault="000E1BF8" w:rsidP="000E1BF8">
                  <w:pPr>
                    <w:pStyle w:val="tablebody0"/>
                  </w:pPr>
                  <w:r>
                    <w:t xml:space="preserve">LARTRRAMT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DAFF659"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28AA1E1" w14:textId="77777777" w:rsidR="000E1BF8" w:rsidRDefault="000E1BF8" w:rsidP="000E1BF8">
                  <w:pPr>
                    <w:pStyle w:val="tablebody0"/>
                    <w:rPr>
                      <w:i/>
                    </w:rPr>
                  </w:pPr>
                  <w:r>
                    <w:rPr>
                      <w:i/>
                    </w:rPr>
                    <w:t>Load-Allocated Real-Time Responsive Reserve Amount for the QSE</w:t>
                  </w:r>
                  <w:r>
                    <w:t xml:space="preserve"> </w:t>
                  </w:r>
                  <w:r>
                    <w:sym w:font="Symbol" w:char="F0BE"/>
                  </w:r>
                  <w:r>
                    <w:t xml:space="preserve"> The QSE’s share of the total Real-Time RRS amount for the 15-minute Settlement Interval.</w:t>
                  </w:r>
                </w:p>
              </w:tc>
            </w:tr>
            <w:tr w:rsidR="000E1BF8" w14:paraId="0083BDCA"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C34CAD5" w14:textId="77777777" w:rsidR="000E1BF8" w:rsidRDefault="000E1BF8" w:rsidP="000E1BF8">
                  <w:pPr>
                    <w:pStyle w:val="tablebody0"/>
                  </w:pPr>
                  <w:r>
                    <w:t xml:space="preserve">RTRRIMBAMT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50562E1C"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1533D51F" w14:textId="77777777" w:rsidR="000E1BF8" w:rsidRDefault="000E1BF8" w:rsidP="000E1BF8">
                  <w:pPr>
                    <w:pStyle w:val="tablebody0"/>
                    <w:rPr>
                      <w:i/>
                    </w:rPr>
                  </w:pPr>
                  <w:r>
                    <w:rPr>
                      <w:i/>
                    </w:rPr>
                    <w:t xml:space="preserve">Real-Time Responsive Reserve Imbalance Amount for the QSE - </w:t>
                  </w:r>
                  <w:r>
                    <w:t xml:space="preserve">The total payment or charge to QSE </w:t>
                  </w:r>
                  <w:r>
                    <w:rPr>
                      <w:i/>
                    </w:rPr>
                    <w:t>q</w:t>
                  </w:r>
                  <w:r>
                    <w:t xml:space="preserve"> for the Real-Time RRS imbalance for each 15-minute Settlement Interval.</w:t>
                  </w:r>
                </w:p>
              </w:tc>
            </w:tr>
            <w:tr w:rsidR="000E1BF8" w14:paraId="415F3723"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59149259" w14:textId="77777777" w:rsidR="000E1BF8" w:rsidRDefault="000E1BF8" w:rsidP="000E1BF8">
                  <w:pPr>
                    <w:pStyle w:val="tablebody0"/>
                  </w:pPr>
                  <w:r>
                    <w:t xml:space="preserve">RTRROAMT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053F415F"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6BB7AB4" w14:textId="77777777" w:rsidR="000E1BF8" w:rsidRDefault="000E1BF8" w:rsidP="000E1BF8">
                  <w:pPr>
                    <w:pStyle w:val="tablebody0"/>
                    <w:rPr>
                      <w:i/>
                    </w:rPr>
                  </w:pPr>
                  <w:r>
                    <w:rPr>
                      <w:i/>
                    </w:rPr>
                    <w:t>Real-Time Responsive Reserve Only Amount for the QSE</w:t>
                  </w:r>
                  <w:r>
                    <w:t xml:space="preserve">— The total charge to QSE </w:t>
                  </w:r>
                  <w:r>
                    <w:rPr>
                      <w:i/>
                    </w:rPr>
                    <w:t>q</w:t>
                  </w:r>
                  <w:r>
                    <w:t xml:space="preserve"> in Real-Time for RRS only awards for each 15-minute Settlement Interval.</w:t>
                  </w:r>
                </w:p>
              </w:tc>
            </w:tr>
            <w:tr w:rsidR="000E1BF8" w14:paraId="4405820E"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CD31B31" w14:textId="77777777" w:rsidR="000E1BF8" w:rsidRDefault="000E1BF8" w:rsidP="000E1BF8">
                  <w:pPr>
                    <w:pStyle w:val="tablebody0"/>
                  </w:pPr>
                  <w:r>
                    <w:t>RTRRIMBAMTTOT</w:t>
                  </w:r>
                </w:p>
              </w:tc>
              <w:tc>
                <w:tcPr>
                  <w:tcW w:w="675" w:type="pct"/>
                  <w:tcBorders>
                    <w:top w:val="single" w:sz="4" w:space="0" w:color="auto"/>
                    <w:left w:val="single" w:sz="4" w:space="0" w:color="auto"/>
                    <w:bottom w:val="single" w:sz="4" w:space="0" w:color="auto"/>
                    <w:right w:val="single" w:sz="4" w:space="0" w:color="auto"/>
                  </w:tcBorders>
                  <w:hideMark/>
                </w:tcPr>
                <w:p w14:paraId="49C73311"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9FEEE36" w14:textId="77777777" w:rsidR="000E1BF8" w:rsidRDefault="000E1BF8" w:rsidP="000E1BF8">
                  <w:pPr>
                    <w:pStyle w:val="tablebody0"/>
                    <w:rPr>
                      <w:i/>
                    </w:rPr>
                  </w:pPr>
                  <w:r>
                    <w:rPr>
                      <w:i/>
                    </w:rPr>
                    <w:t xml:space="preserve">Real-Time Responsive Reserve Imbalance Market Total Amount - </w:t>
                  </w:r>
                  <w:r>
                    <w:t>The total payment or charge to all QSEs for the Real-Time RRS imbalance for each 15-minute Settlement Interval.</w:t>
                  </w:r>
                </w:p>
              </w:tc>
            </w:tr>
            <w:tr w:rsidR="000E1BF8" w14:paraId="2E21209E"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225B376B" w14:textId="77777777" w:rsidR="000E1BF8" w:rsidRDefault="000E1BF8" w:rsidP="000E1BF8">
                  <w:pPr>
                    <w:pStyle w:val="tablebody0"/>
                  </w:pPr>
                  <w:r>
                    <w:t>RTRROAMTTOT</w:t>
                  </w:r>
                </w:p>
              </w:tc>
              <w:tc>
                <w:tcPr>
                  <w:tcW w:w="675" w:type="pct"/>
                  <w:tcBorders>
                    <w:top w:val="single" w:sz="4" w:space="0" w:color="auto"/>
                    <w:left w:val="single" w:sz="4" w:space="0" w:color="auto"/>
                    <w:bottom w:val="single" w:sz="4" w:space="0" w:color="auto"/>
                    <w:right w:val="single" w:sz="4" w:space="0" w:color="auto"/>
                  </w:tcBorders>
                  <w:hideMark/>
                </w:tcPr>
                <w:p w14:paraId="2069BFAB"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13EAB4A7" w14:textId="77777777" w:rsidR="000E1BF8" w:rsidRDefault="000E1BF8" w:rsidP="000E1BF8">
                  <w:pPr>
                    <w:pStyle w:val="tablebody0"/>
                    <w:rPr>
                      <w:i/>
                    </w:rPr>
                  </w:pPr>
                  <w:r>
                    <w:rPr>
                      <w:i/>
                    </w:rPr>
                    <w:t xml:space="preserve">Real-Time Responsive Reserve Only Market Total Amount - </w:t>
                  </w:r>
                  <w:r>
                    <w:t>The total charge to all QSEs in Real-Time for RRS only awards for each 15-minute Settlement Interval.</w:t>
                  </w:r>
                </w:p>
              </w:tc>
            </w:tr>
            <w:tr w:rsidR="000E1BF8" w14:paraId="465A912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7ED1ED8" w14:textId="77777777" w:rsidR="000E1BF8" w:rsidRDefault="000E1BF8" w:rsidP="000E1BF8">
                  <w:pPr>
                    <w:pStyle w:val="tablebody0"/>
                  </w:pPr>
                  <w:r>
                    <w:t xml:space="preserve">RTRRTOAMT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6EC52F5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1DB51104" w14:textId="77777777" w:rsidR="000E1BF8" w:rsidRDefault="000E1BF8" w:rsidP="000E1BF8">
                  <w:pPr>
                    <w:pStyle w:val="tablebody0"/>
                    <w:rPr>
                      <w:i/>
                    </w:rPr>
                  </w:pPr>
                  <w:r>
                    <w:rPr>
                      <w:i/>
                    </w:rPr>
                    <w:t>Real-Time Responsive Reserve Trade Overage Amount for the QSE</w:t>
                  </w:r>
                  <w:r>
                    <w:t xml:space="preserve">— The total charge to QSE </w:t>
                  </w:r>
                  <w:r>
                    <w:rPr>
                      <w:i/>
                    </w:rPr>
                    <w:t>q</w:t>
                  </w:r>
                  <w:r>
                    <w:t xml:space="preserve"> in Real-Time for RRS trade overages for each 15-minute Settlement Interval.</w:t>
                  </w:r>
                </w:p>
              </w:tc>
            </w:tr>
            <w:tr w:rsidR="000E1BF8" w14:paraId="02C56865"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B7F890B" w14:textId="77777777" w:rsidR="000E1BF8" w:rsidRDefault="000E1BF8" w:rsidP="000E1BF8">
                  <w:pPr>
                    <w:pStyle w:val="tablebody0"/>
                  </w:pPr>
                  <w:r>
                    <w:t>RTRROAMTTOT</w:t>
                  </w:r>
                </w:p>
              </w:tc>
              <w:tc>
                <w:tcPr>
                  <w:tcW w:w="675" w:type="pct"/>
                  <w:tcBorders>
                    <w:top w:val="single" w:sz="4" w:space="0" w:color="auto"/>
                    <w:left w:val="single" w:sz="4" w:space="0" w:color="auto"/>
                    <w:bottom w:val="single" w:sz="4" w:space="0" w:color="auto"/>
                    <w:right w:val="single" w:sz="4" w:space="0" w:color="auto"/>
                  </w:tcBorders>
                  <w:hideMark/>
                </w:tcPr>
                <w:p w14:paraId="06B938DA"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0AC6AC1C" w14:textId="77777777" w:rsidR="000E1BF8" w:rsidRDefault="000E1BF8" w:rsidP="000E1BF8">
                  <w:pPr>
                    <w:pStyle w:val="tablebody0"/>
                    <w:rPr>
                      <w:i/>
                    </w:rPr>
                  </w:pPr>
                  <w:r>
                    <w:rPr>
                      <w:i/>
                    </w:rPr>
                    <w:t xml:space="preserve">Real-Time Responsive Reserve Trade Overage Total Amount </w:t>
                  </w:r>
                  <w:r>
                    <w:t>— The total charge to all QSEs for Real-Time RRS trade overages for each 15-minute Settlement Interval.</w:t>
                  </w:r>
                </w:p>
              </w:tc>
            </w:tr>
            <w:tr w:rsidR="000E1BF8" w14:paraId="3D8100BA"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A42A356" w14:textId="77777777" w:rsidR="000E1BF8" w:rsidRDefault="000E1BF8" w:rsidP="000E1BF8">
                  <w:pPr>
                    <w:pStyle w:val="tablebody0"/>
                  </w:pPr>
                  <w:r>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19810060"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04F81D19" w14:textId="7BBA0271"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269243E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905C5B3" w14:textId="77777777" w:rsidR="000E1BF8" w:rsidRDefault="000E1BF8" w:rsidP="000E1BF8">
                  <w:pPr>
                    <w:pStyle w:val="tablebody0"/>
                  </w:pPr>
                  <w:r>
                    <w:rPr>
                      <w:i/>
                    </w:rPr>
                    <w:t>q</w:t>
                  </w:r>
                </w:p>
              </w:tc>
              <w:tc>
                <w:tcPr>
                  <w:tcW w:w="675" w:type="pct"/>
                  <w:tcBorders>
                    <w:top w:val="single" w:sz="4" w:space="0" w:color="auto"/>
                    <w:left w:val="single" w:sz="4" w:space="0" w:color="auto"/>
                    <w:bottom w:val="single" w:sz="4" w:space="0" w:color="auto"/>
                    <w:right w:val="single" w:sz="4" w:space="0" w:color="auto"/>
                  </w:tcBorders>
                  <w:hideMark/>
                </w:tcPr>
                <w:p w14:paraId="0D7E2D9C"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3CA87B62" w14:textId="77777777" w:rsidR="000E1BF8" w:rsidRDefault="000E1BF8" w:rsidP="000E1BF8">
                  <w:pPr>
                    <w:pStyle w:val="tablebody0"/>
                    <w:rPr>
                      <w:i/>
                    </w:rPr>
                  </w:pPr>
                  <w:r>
                    <w:t>A QSE.</w:t>
                  </w:r>
                </w:p>
              </w:tc>
            </w:tr>
          </w:tbl>
          <w:p w14:paraId="5443E4EF" w14:textId="77777777" w:rsidR="000E1BF8" w:rsidRDefault="000E1BF8" w:rsidP="000E1BF8">
            <w:pPr>
              <w:pStyle w:val="BodyText"/>
              <w:spacing w:before="240"/>
              <w:ind w:left="1440" w:hanging="720"/>
            </w:pPr>
            <w:r>
              <w:t>(d)         For Non-Spin:</w:t>
            </w:r>
          </w:p>
          <w:p w14:paraId="4BB293DE" w14:textId="77777777" w:rsidR="000E1BF8" w:rsidRDefault="000E1BF8" w:rsidP="000E1BF8">
            <w:pPr>
              <w:pStyle w:val="BodyText"/>
              <w:spacing w:before="240" w:after="0"/>
              <w:ind w:left="1440" w:hanging="720"/>
            </w:pPr>
            <w:r>
              <w:t xml:space="preserve">LARTNSAMT </w:t>
            </w:r>
            <w:r>
              <w:rPr>
                <w:i/>
                <w:vertAlign w:val="subscript"/>
              </w:rPr>
              <w:t>q</w:t>
            </w:r>
            <w:r>
              <w:t xml:space="preserve"> =</w:t>
            </w:r>
            <w:r>
              <w:tab/>
              <w:t xml:space="preserve">(-1) * (RTNSIMBAMTTOT + RTNSOAMTTOT + </w:t>
            </w:r>
          </w:p>
          <w:p w14:paraId="1CDF8CD5" w14:textId="77777777" w:rsidR="000E1BF8" w:rsidRDefault="000E1BF8" w:rsidP="000E1BF8">
            <w:pPr>
              <w:pStyle w:val="BodyText"/>
              <w:ind w:left="2160" w:firstLine="720"/>
            </w:pPr>
            <w:r>
              <w:t xml:space="preserve">RTNSTOAMTTOT) * LRS </w:t>
            </w:r>
            <w:r>
              <w:rPr>
                <w:i/>
                <w:vertAlign w:val="subscript"/>
              </w:rPr>
              <w:t>q</w:t>
            </w:r>
          </w:p>
          <w:p w14:paraId="472A9168" w14:textId="77777777" w:rsidR="000E1BF8" w:rsidRDefault="000E1BF8" w:rsidP="000E1BF8">
            <w:pPr>
              <w:pStyle w:val="BodyText"/>
              <w:ind w:left="1440" w:hanging="720"/>
            </w:pPr>
            <w:r>
              <w:t>Where:</w:t>
            </w:r>
          </w:p>
          <w:p w14:paraId="47192E4E" w14:textId="0D31C648" w:rsidR="000E1BF8" w:rsidRDefault="000E1BF8" w:rsidP="000E1BF8">
            <w:pPr>
              <w:pStyle w:val="BodyText"/>
              <w:ind w:left="1440" w:hanging="720"/>
            </w:pPr>
            <w:r>
              <w:t xml:space="preserve">RTNSIMBAMTTOT = </w:t>
            </w:r>
            <w:r>
              <w:rPr>
                <w:noProof/>
              </w:rPr>
              <w:drawing>
                <wp:inline distT="0" distB="0" distL="0" distR="0" wp14:anchorId="3896D26C" wp14:editId="2675B872">
                  <wp:extent cx="146685" cy="293370"/>
                  <wp:effectExtent l="0" t="0" r="5715"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(RTNSIMBAMT </w:t>
            </w:r>
            <w:r>
              <w:rPr>
                <w:i/>
                <w:vertAlign w:val="subscript"/>
              </w:rPr>
              <w:t>q</w:t>
            </w:r>
            <w:r>
              <w:t>)</w:t>
            </w:r>
          </w:p>
          <w:p w14:paraId="2C1232EA" w14:textId="216EC9D6" w:rsidR="000E1BF8" w:rsidRDefault="000E1BF8" w:rsidP="000E1BF8">
            <w:pPr>
              <w:pStyle w:val="BodyText"/>
              <w:ind w:left="1440" w:hanging="720"/>
            </w:pPr>
            <w:r>
              <w:t xml:space="preserve">RTNSOAMTTOT = </w:t>
            </w:r>
            <w:r>
              <w:rPr>
                <w:noProof/>
              </w:rPr>
              <w:drawing>
                <wp:inline distT="0" distB="0" distL="0" distR="0" wp14:anchorId="0D134A03" wp14:editId="5AD11065">
                  <wp:extent cx="146685" cy="293370"/>
                  <wp:effectExtent l="0" t="0" r="5715"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(RTNSOAMT </w:t>
            </w:r>
            <w:r>
              <w:rPr>
                <w:i/>
                <w:vertAlign w:val="subscript"/>
              </w:rPr>
              <w:t>q</w:t>
            </w:r>
            <w:r>
              <w:t>)</w:t>
            </w:r>
          </w:p>
          <w:p w14:paraId="513806E9" w14:textId="490BDC32" w:rsidR="000E1BF8" w:rsidRDefault="000E1BF8" w:rsidP="000E1BF8">
            <w:pPr>
              <w:pStyle w:val="BodyText"/>
              <w:ind w:left="1440" w:hanging="720"/>
            </w:pPr>
            <w:r>
              <w:t xml:space="preserve">RTNSTOAMTTOT = </w:t>
            </w:r>
            <w:r>
              <w:rPr>
                <w:noProof/>
              </w:rPr>
              <w:drawing>
                <wp:inline distT="0" distB="0" distL="0" distR="0" wp14:anchorId="380B0139" wp14:editId="2BCBEB3A">
                  <wp:extent cx="146685" cy="293370"/>
                  <wp:effectExtent l="0" t="0" r="5715"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(RTNSTOAMT </w:t>
            </w:r>
            <w:r>
              <w:rPr>
                <w:i/>
                <w:vertAlign w:val="subscript"/>
              </w:rPr>
              <w:t>q</w:t>
            </w:r>
            <w:r>
              <w:t>)</w:t>
            </w:r>
          </w:p>
          <w:p w14:paraId="6D6DF28E"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560E6B31"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2DFF3097" w14:textId="77777777" w:rsidR="000E1BF8" w:rsidRDefault="000E1BF8" w:rsidP="000E1BF8">
                  <w:pPr>
                    <w:pStyle w:val="TableHead"/>
                  </w:pPr>
                  <w:r>
                    <w:rPr>
                      <w:b w:val="0"/>
                      <w:iCs w:val="0"/>
                    </w:rPr>
                    <w:t>Variable</w:t>
                  </w:r>
                </w:p>
              </w:tc>
              <w:tc>
                <w:tcPr>
                  <w:tcW w:w="675" w:type="pct"/>
                  <w:tcBorders>
                    <w:top w:val="single" w:sz="4" w:space="0" w:color="auto"/>
                    <w:left w:val="single" w:sz="4" w:space="0" w:color="auto"/>
                    <w:bottom w:val="single" w:sz="4" w:space="0" w:color="auto"/>
                    <w:right w:val="single" w:sz="4" w:space="0" w:color="auto"/>
                  </w:tcBorders>
                  <w:hideMark/>
                </w:tcPr>
                <w:p w14:paraId="31F7E633"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0E470819" w14:textId="77777777" w:rsidR="000E1BF8" w:rsidRDefault="000E1BF8" w:rsidP="000E1BF8">
                  <w:pPr>
                    <w:pStyle w:val="TableHead"/>
                  </w:pPr>
                  <w:r>
                    <w:t>Description</w:t>
                  </w:r>
                </w:p>
              </w:tc>
            </w:tr>
            <w:tr w:rsidR="000E1BF8" w14:paraId="6956A170"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23314EA" w14:textId="77777777" w:rsidR="000E1BF8" w:rsidRDefault="000E1BF8" w:rsidP="000E1BF8">
                  <w:pPr>
                    <w:pStyle w:val="tablebody0"/>
                  </w:pPr>
                  <w:r>
                    <w:t xml:space="preserve">LARTNSAMT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CB60DE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F3F4568" w14:textId="77777777" w:rsidR="000E1BF8" w:rsidRDefault="000E1BF8" w:rsidP="000E1BF8">
                  <w:pPr>
                    <w:pStyle w:val="tablebody0"/>
                    <w:rPr>
                      <w:i/>
                    </w:rPr>
                  </w:pPr>
                  <w:r>
                    <w:rPr>
                      <w:i/>
                    </w:rPr>
                    <w:t>Load-Allocated Real-Time Non-Spin Amount for the QSE</w:t>
                  </w:r>
                  <w:r>
                    <w:t xml:space="preserve"> </w:t>
                  </w:r>
                  <w:r>
                    <w:sym w:font="Symbol" w:char="F0BE"/>
                  </w:r>
                  <w:r>
                    <w:t xml:space="preserve"> The QSE’s share of the total Real-Time Non-Spin amount for the 15-minute Settlement Interval.</w:t>
                  </w:r>
                </w:p>
              </w:tc>
            </w:tr>
            <w:tr w:rsidR="000E1BF8" w14:paraId="13901555"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B7C2CDD" w14:textId="77777777" w:rsidR="000E1BF8" w:rsidRDefault="000E1BF8" w:rsidP="000E1BF8">
                  <w:pPr>
                    <w:pStyle w:val="tablebody0"/>
                  </w:pPr>
                  <w:r>
                    <w:lastRenderedPageBreak/>
                    <w:t xml:space="preserve">RTNSIMBAMT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25D1F8B2"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033E9969" w14:textId="77777777" w:rsidR="000E1BF8" w:rsidRDefault="000E1BF8" w:rsidP="000E1BF8">
                  <w:pPr>
                    <w:pStyle w:val="tablebody0"/>
                    <w:rPr>
                      <w:i/>
                    </w:rPr>
                  </w:pPr>
                  <w:r>
                    <w:rPr>
                      <w:i/>
                    </w:rPr>
                    <w:t xml:space="preserve">Real-Time Non-Spin Imbalance Amount for the QSE - </w:t>
                  </w:r>
                  <w:r>
                    <w:t xml:space="preserve">The total payment or charge to QSE </w:t>
                  </w:r>
                  <w:r>
                    <w:rPr>
                      <w:i/>
                    </w:rPr>
                    <w:t>q</w:t>
                  </w:r>
                  <w:r>
                    <w:t xml:space="preserve"> for the Real-Time Non-Spin imbalance for each 15-minute Settlement Interval.</w:t>
                  </w:r>
                </w:p>
              </w:tc>
            </w:tr>
            <w:tr w:rsidR="000E1BF8" w14:paraId="5AB0A53A"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98F1C99" w14:textId="77777777" w:rsidR="000E1BF8" w:rsidRDefault="000E1BF8" w:rsidP="000E1BF8">
                  <w:pPr>
                    <w:pStyle w:val="tablebody0"/>
                  </w:pPr>
                  <w:r>
                    <w:t xml:space="preserve">RTNSOAMT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2248E556"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192E038" w14:textId="77777777" w:rsidR="000E1BF8" w:rsidRDefault="000E1BF8" w:rsidP="000E1BF8">
                  <w:pPr>
                    <w:pStyle w:val="tablebody0"/>
                    <w:rPr>
                      <w:i/>
                    </w:rPr>
                  </w:pPr>
                  <w:r>
                    <w:rPr>
                      <w:i/>
                    </w:rPr>
                    <w:t>Real-Time Non-Spin Only Amount for the QSE</w:t>
                  </w:r>
                  <w:r>
                    <w:t xml:space="preserve">— The total charge to QSE </w:t>
                  </w:r>
                  <w:r>
                    <w:rPr>
                      <w:i/>
                    </w:rPr>
                    <w:t>q</w:t>
                  </w:r>
                  <w:r>
                    <w:t xml:space="preserve"> in Real-Time for Non-Spin only awards for each 15-minute Settlement Interval.</w:t>
                  </w:r>
                </w:p>
              </w:tc>
            </w:tr>
            <w:tr w:rsidR="000E1BF8" w14:paraId="6E9970C1"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5BF7697" w14:textId="77777777" w:rsidR="000E1BF8" w:rsidRDefault="000E1BF8" w:rsidP="000E1BF8">
                  <w:pPr>
                    <w:pStyle w:val="tablebody0"/>
                  </w:pPr>
                  <w:r>
                    <w:t>RTNSIMBAMTTOT</w:t>
                  </w:r>
                </w:p>
              </w:tc>
              <w:tc>
                <w:tcPr>
                  <w:tcW w:w="675" w:type="pct"/>
                  <w:tcBorders>
                    <w:top w:val="single" w:sz="4" w:space="0" w:color="auto"/>
                    <w:left w:val="single" w:sz="4" w:space="0" w:color="auto"/>
                    <w:bottom w:val="single" w:sz="4" w:space="0" w:color="auto"/>
                    <w:right w:val="single" w:sz="4" w:space="0" w:color="auto"/>
                  </w:tcBorders>
                  <w:hideMark/>
                </w:tcPr>
                <w:p w14:paraId="5D35547F"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1F77D94" w14:textId="77777777" w:rsidR="000E1BF8" w:rsidRDefault="000E1BF8" w:rsidP="000E1BF8">
                  <w:pPr>
                    <w:pStyle w:val="tablebody0"/>
                    <w:rPr>
                      <w:i/>
                    </w:rPr>
                  </w:pPr>
                  <w:r>
                    <w:rPr>
                      <w:i/>
                    </w:rPr>
                    <w:t xml:space="preserve">Real-Time Non-Spin Imbalance Market Total Amount - </w:t>
                  </w:r>
                  <w:r>
                    <w:t>The total payment or charge to all QSEs for the Real-Time Non-Spin imbalance for each 15-minute Settlement Interval.</w:t>
                  </w:r>
                </w:p>
              </w:tc>
            </w:tr>
            <w:tr w:rsidR="000E1BF8" w14:paraId="1E0948FB"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F877BBA" w14:textId="77777777" w:rsidR="000E1BF8" w:rsidRDefault="000E1BF8" w:rsidP="000E1BF8">
                  <w:pPr>
                    <w:pStyle w:val="tablebody0"/>
                  </w:pPr>
                  <w:r>
                    <w:t>RTNSOAMTTOT</w:t>
                  </w:r>
                </w:p>
              </w:tc>
              <w:tc>
                <w:tcPr>
                  <w:tcW w:w="675" w:type="pct"/>
                  <w:tcBorders>
                    <w:top w:val="single" w:sz="4" w:space="0" w:color="auto"/>
                    <w:left w:val="single" w:sz="4" w:space="0" w:color="auto"/>
                    <w:bottom w:val="single" w:sz="4" w:space="0" w:color="auto"/>
                    <w:right w:val="single" w:sz="4" w:space="0" w:color="auto"/>
                  </w:tcBorders>
                  <w:hideMark/>
                </w:tcPr>
                <w:p w14:paraId="5BA2395A"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97F2708" w14:textId="77777777" w:rsidR="000E1BF8" w:rsidRDefault="000E1BF8" w:rsidP="000E1BF8">
                  <w:pPr>
                    <w:pStyle w:val="tablebody0"/>
                    <w:rPr>
                      <w:i/>
                    </w:rPr>
                  </w:pPr>
                  <w:r>
                    <w:rPr>
                      <w:i/>
                    </w:rPr>
                    <w:t xml:space="preserve">Real-Time Non-Spin Only Market Total Amount - </w:t>
                  </w:r>
                  <w:r>
                    <w:t>The total charge to all QSEs in Real-Time for Non-Spin only awards for each 15-minute Settlement Interval.</w:t>
                  </w:r>
                </w:p>
              </w:tc>
            </w:tr>
            <w:tr w:rsidR="000E1BF8" w14:paraId="127679B5"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5418E63" w14:textId="77777777" w:rsidR="000E1BF8" w:rsidRDefault="000E1BF8" w:rsidP="000E1BF8">
                  <w:pPr>
                    <w:pStyle w:val="tablebody0"/>
                  </w:pPr>
                  <w:r>
                    <w:t xml:space="preserve">RTNSTOAMT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1F00579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B2C02DB" w14:textId="77777777" w:rsidR="000E1BF8" w:rsidRDefault="000E1BF8" w:rsidP="000E1BF8">
                  <w:pPr>
                    <w:pStyle w:val="tablebody0"/>
                    <w:rPr>
                      <w:i/>
                    </w:rPr>
                  </w:pPr>
                  <w:r>
                    <w:rPr>
                      <w:i/>
                    </w:rPr>
                    <w:t>Real-Time Non-Spin Trade Overage Amount for the QSE</w:t>
                  </w:r>
                  <w:r>
                    <w:t xml:space="preserve">— The total charge to QSE </w:t>
                  </w:r>
                  <w:r>
                    <w:rPr>
                      <w:i/>
                    </w:rPr>
                    <w:t>q</w:t>
                  </w:r>
                  <w:r>
                    <w:t xml:space="preserve"> in Real-Time for Non-Spin trade overages for each 15-minute Settlement Interval.</w:t>
                  </w:r>
                </w:p>
              </w:tc>
            </w:tr>
            <w:tr w:rsidR="000E1BF8" w14:paraId="5065BE60"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627C8D4" w14:textId="77777777" w:rsidR="000E1BF8" w:rsidRDefault="000E1BF8" w:rsidP="000E1BF8">
                  <w:pPr>
                    <w:pStyle w:val="tablebody0"/>
                  </w:pPr>
                  <w:r>
                    <w:t>RTNSOAMTTOT</w:t>
                  </w:r>
                </w:p>
              </w:tc>
              <w:tc>
                <w:tcPr>
                  <w:tcW w:w="675" w:type="pct"/>
                  <w:tcBorders>
                    <w:top w:val="single" w:sz="4" w:space="0" w:color="auto"/>
                    <w:left w:val="single" w:sz="4" w:space="0" w:color="auto"/>
                    <w:bottom w:val="single" w:sz="4" w:space="0" w:color="auto"/>
                    <w:right w:val="single" w:sz="4" w:space="0" w:color="auto"/>
                  </w:tcBorders>
                  <w:hideMark/>
                </w:tcPr>
                <w:p w14:paraId="1F505013"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71CA152" w14:textId="77777777" w:rsidR="000E1BF8" w:rsidRDefault="000E1BF8" w:rsidP="000E1BF8">
                  <w:pPr>
                    <w:pStyle w:val="tablebody0"/>
                    <w:rPr>
                      <w:i/>
                    </w:rPr>
                  </w:pPr>
                  <w:r>
                    <w:rPr>
                      <w:i/>
                    </w:rPr>
                    <w:t xml:space="preserve">Real-Time Non-Spin Trade Overage Total Amount </w:t>
                  </w:r>
                  <w:r>
                    <w:t>— The total charge to all QSEs for Real-Time Non-Spin trade overages for each 15-minute Settlement Interval.</w:t>
                  </w:r>
                </w:p>
              </w:tc>
            </w:tr>
            <w:tr w:rsidR="000E1BF8" w14:paraId="6AFB36B4"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A453ED1" w14:textId="77777777" w:rsidR="000E1BF8" w:rsidRDefault="000E1BF8" w:rsidP="000E1BF8">
                  <w:pPr>
                    <w:pStyle w:val="tablebody0"/>
                  </w:pPr>
                  <w:r>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D87BEE0"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5BB2873E" w14:textId="5C8019BC"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6326D6C9"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26E87C9" w14:textId="77777777" w:rsidR="000E1BF8" w:rsidRDefault="000E1BF8" w:rsidP="000E1BF8">
                  <w:pPr>
                    <w:pStyle w:val="tablebody0"/>
                  </w:pPr>
                  <w:r>
                    <w:rPr>
                      <w:i/>
                    </w:rPr>
                    <w:t>q</w:t>
                  </w:r>
                </w:p>
              </w:tc>
              <w:tc>
                <w:tcPr>
                  <w:tcW w:w="675" w:type="pct"/>
                  <w:tcBorders>
                    <w:top w:val="single" w:sz="4" w:space="0" w:color="auto"/>
                    <w:left w:val="single" w:sz="4" w:space="0" w:color="auto"/>
                    <w:bottom w:val="single" w:sz="4" w:space="0" w:color="auto"/>
                    <w:right w:val="single" w:sz="4" w:space="0" w:color="auto"/>
                  </w:tcBorders>
                  <w:hideMark/>
                </w:tcPr>
                <w:p w14:paraId="255BEF2E"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52F38449" w14:textId="77777777" w:rsidR="000E1BF8" w:rsidRDefault="000E1BF8" w:rsidP="000E1BF8">
                  <w:pPr>
                    <w:pStyle w:val="tablebody0"/>
                    <w:rPr>
                      <w:i/>
                    </w:rPr>
                  </w:pPr>
                  <w:r>
                    <w:t>A QSE.</w:t>
                  </w:r>
                </w:p>
              </w:tc>
            </w:tr>
          </w:tbl>
          <w:p w14:paraId="640AB6EE" w14:textId="77777777" w:rsidR="000E1BF8" w:rsidRDefault="000E1BF8" w:rsidP="000E1BF8">
            <w:pPr>
              <w:pStyle w:val="BodyText"/>
              <w:spacing w:before="240"/>
              <w:ind w:left="1440" w:hanging="720"/>
            </w:pPr>
            <w:r>
              <w:t xml:space="preserve"> (e)         For ERCOT Contingency Reserve Service (ECRS):</w:t>
            </w:r>
          </w:p>
          <w:p w14:paraId="0A18C778" w14:textId="77777777" w:rsidR="000E1BF8" w:rsidRDefault="000E1BF8" w:rsidP="000E1BF8">
            <w:pPr>
              <w:pStyle w:val="BodyText"/>
              <w:spacing w:after="0"/>
              <w:ind w:left="1440" w:hanging="720"/>
            </w:pPr>
            <w:r>
              <w:t xml:space="preserve">LARTECRAMT </w:t>
            </w:r>
            <w:r>
              <w:rPr>
                <w:i/>
                <w:vertAlign w:val="subscript"/>
              </w:rPr>
              <w:t>q</w:t>
            </w:r>
            <w:r>
              <w:t xml:space="preserve"> = (-1) * (RTECRIMBAMTTOT + RTECROAMTTOT + </w:t>
            </w:r>
          </w:p>
          <w:p w14:paraId="73A8F57F" w14:textId="77777777" w:rsidR="000E1BF8" w:rsidRDefault="000E1BF8" w:rsidP="000E1BF8">
            <w:pPr>
              <w:pStyle w:val="BodyText"/>
              <w:ind w:left="1440" w:hanging="720"/>
            </w:pPr>
            <w:r>
              <w:t xml:space="preserve"> </w:t>
            </w:r>
            <w:r>
              <w:tab/>
            </w:r>
            <w:r>
              <w:tab/>
            </w:r>
            <w:r>
              <w:tab/>
              <w:t xml:space="preserve">RTECRTOAMTTOT) * LRS </w:t>
            </w:r>
            <w:r>
              <w:rPr>
                <w:i/>
                <w:vertAlign w:val="subscript"/>
              </w:rPr>
              <w:t>q</w:t>
            </w:r>
          </w:p>
          <w:p w14:paraId="33DEFE1A" w14:textId="77777777" w:rsidR="000E1BF8" w:rsidRDefault="000E1BF8" w:rsidP="000E1BF8">
            <w:pPr>
              <w:pStyle w:val="BodyText"/>
              <w:ind w:left="1440" w:hanging="720"/>
            </w:pPr>
            <w:r>
              <w:t>Where:</w:t>
            </w:r>
          </w:p>
          <w:p w14:paraId="0CC6F3C1" w14:textId="79ADCE49" w:rsidR="000E1BF8" w:rsidRDefault="000E1BF8" w:rsidP="000E1BF8">
            <w:pPr>
              <w:pStyle w:val="BodyText"/>
              <w:ind w:left="1440" w:hanging="720"/>
            </w:pPr>
            <w:r>
              <w:t xml:space="preserve">RTECRIMBAMTTOT = </w:t>
            </w:r>
            <w:r>
              <w:rPr>
                <w:noProof/>
              </w:rPr>
              <w:drawing>
                <wp:inline distT="0" distB="0" distL="0" distR="0" wp14:anchorId="193AC106" wp14:editId="20CD2915">
                  <wp:extent cx="146685" cy="293370"/>
                  <wp:effectExtent l="0" t="0" r="5715"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(RTECRIMBAMT </w:t>
            </w:r>
            <w:r>
              <w:rPr>
                <w:i/>
                <w:vertAlign w:val="subscript"/>
              </w:rPr>
              <w:t>q</w:t>
            </w:r>
            <w:r>
              <w:t>)</w:t>
            </w:r>
          </w:p>
          <w:p w14:paraId="4781F174" w14:textId="21450932" w:rsidR="000E1BF8" w:rsidRDefault="000E1BF8" w:rsidP="000E1BF8">
            <w:pPr>
              <w:pStyle w:val="BodyText"/>
              <w:ind w:left="1440" w:hanging="720"/>
            </w:pPr>
            <w:r>
              <w:t xml:space="preserve">RTECROAMTTOT = </w:t>
            </w:r>
            <w:r>
              <w:rPr>
                <w:noProof/>
                <w:position w:val="-22"/>
              </w:rPr>
              <w:drawing>
                <wp:inline distT="0" distB="0" distL="0" distR="0" wp14:anchorId="7E0BCA6F" wp14:editId="4E7CB553">
                  <wp:extent cx="146685" cy="293370"/>
                  <wp:effectExtent l="0" t="0" r="5715"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(RTECROAMT </w:t>
            </w:r>
            <w:r>
              <w:rPr>
                <w:i/>
                <w:vertAlign w:val="subscript"/>
              </w:rPr>
              <w:t>q</w:t>
            </w:r>
            <w:r>
              <w:t>)</w:t>
            </w:r>
          </w:p>
          <w:p w14:paraId="5F18CDC6" w14:textId="42654DFF" w:rsidR="000E1BF8" w:rsidRDefault="000E1BF8" w:rsidP="000E1BF8">
            <w:pPr>
              <w:pStyle w:val="BodyText"/>
              <w:ind w:left="1440" w:hanging="720"/>
            </w:pPr>
            <w:r>
              <w:t xml:space="preserve">RTECRTOAMTTOT = </w:t>
            </w:r>
            <w:r>
              <w:rPr>
                <w:noProof/>
                <w:position w:val="-22"/>
              </w:rPr>
              <w:drawing>
                <wp:inline distT="0" distB="0" distL="0" distR="0" wp14:anchorId="2561FA90" wp14:editId="0D4C47A5">
                  <wp:extent cx="146685" cy="293370"/>
                  <wp:effectExtent l="0" t="0" r="5715" b="0"/>
                  <wp:docPr id="3754" name="Pictur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(RTECRTOAMT </w:t>
            </w:r>
            <w:r>
              <w:rPr>
                <w:i/>
                <w:vertAlign w:val="subscript"/>
              </w:rPr>
              <w:t>q</w:t>
            </w:r>
            <w:r>
              <w:t>)</w:t>
            </w:r>
          </w:p>
          <w:p w14:paraId="559B0E94"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25"/>
              <w:gridCol w:w="1162"/>
              <w:gridCol w:w="5723"/>
            </w:tblGrid>
            <w:tr w:rsidR="000E1BF8" w14:paraId="0A111364" w14:textId="77777777" w:rsidTr="000E1BF8">
              <w:trPr>
                <w:cantSplit/>
                <w:tblHeader/>
              </w:trPr>
              <w:tc>
                <w:tcPr>
                  <w:tcW w:w="1221" w:type="pct"/>
                  <w:tcBorders>
                    <w:top w:val="single" w:sz="4" w:space="0" w:color="auto"/>
                    <w:left w:val="single" w:sz="4" w:space="0" w:color="auto"/>
                    <w:bottom w:val="single" w:sz="4" w:space="0" w:color="auto"/>
                    <w:right w:val="single" w:sz="4" w:space="0" w:color="auto"/>
                  </w:tcBorders>
                  <w:hideMark/>
                </w:tcPr>
                <w:p w14:paraId="388B21F4" w14:textId="77777777" w:rsidR="000E1BF8" w:rsidRDefault="000E1BF8" w:rsidP="000E1BF8">
                  <w:pPr>
                    <w:pStyle w:val="TableHead"/>
                  </w:pPr>
                  <w:r>
                    <w:rPr>
                      <w:b w:val="0"/>
                      <w:iCs w:val="0"/>
                    </w:rPr>
                    <w:t>Variable</w:t>
                  </w:r>
                </w:p>
              </w:tc>
              <w:tc>
                <w:tcPr>
                  <w:tcW w:w="638" w:type="pct"/>
                  <w:tcBorders>
                    <w:top w:val="single" w:sz="4" w:space="0" w:color="auto"/>
                    <w:left w:val="single" w:sz="4" w:space="0" w:color="auto"/>
                    <w:bottom w:val="single" w:sz="4" w:space="0" w:color="auto"/>
                    <w:right w:val="single" w:sz="4" w:space="0" w:color="auto"/>
                  </w:tcBorders>
                  <w:hideMark/>
                </w:tcPr>
                <w:p w14:paraId="4CA24D7B" w14:textId="77777777" w:rsidR="000E1BF8" w:rsidRDefault="000E1BF8" w:rsidP="000E1BF8">
                  <w:pPr>
                    <w:pStyle w:val="TableHead"/>
                  </w:pPr>
                  <w:r>
                    <w:t>Unit</w:t>
                  </w:r>
                </w:p>
              </w:tc>
              <w:tc>
                <w:tcPr>
                  <w:tcW w:w="3141" w:type="pct"/>
                  <w:tcBorders>
                    <w:top w:val="single" w:sz="4" w:space="0" w:color="auto"/>
                    <w:left w:val="single" w:sz="4" w:space="0" w:color="auto"/>
                    <w:bottom w:val="single" w:sz="4" w:space="0" w:color="auto"/>
                    <w:right w:val="single" w:sz="4" w:space="0" w:color="auto"/>
                  </w:tcBorders>
                  <w:hideMark/>
                </w:tcPr>
                <w:p w14:paraId="0983383C" w14:textId="77777777" w:rsidR="000E1BF8" w:rsidRDefault="000E1BF8" w:rsidP="000E1BF8">
                  <w:pPr>
                    <w:pStyle w:val="TableHead"/>
                  </w:pPr>
                  <w:r>
                    <w:t>Description</w:t>
                  </w:r>
                </w:p>
              </w:tc>
            </w:tr>
            <w:tr w:rsidR="000E1BF8" w14:paraId="0D899DAA"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4C21A2A4" w14:textId="77777777" w:rsidR="000E1BF8" w:rsidRDefault="000E1BF8" w:rsidP="000E1BF8">
                  <w:pPr>
                    <w:pStyle w:val="tablebody0"/>
                  </w:pPr>
                  <w:r>
                    <w:t xml:space="preserve">LARTECRAMT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41695A13"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1B16558" w14:textId="77777777" w:rsidR="000E1BF8" w:rsidRDefault="000E1BF8" w:rsidP="000E1BF8">
                  <w:pPr>
                    <w:pStyle w:val="tablebody0"/>
                    <w:rPr>
                      <w:i/>
                    </w:rPr>
                  </w:pPr>
                  <w:r>
                    <w:rPr>
                      <w:i/>
                    </w:rPr>
                    <w:t xml:space="preserve">Load-Allocated Real-Time ERCOT Contingency Reserve Service Amount for the QSE - </w:t>
                  </w:r>
                  <w:r>
                    <w:t xml:space="preserve">The QSE </w:t>
                  </w:r>
                  <w:r>
                    <w:rPr>
                      <w:i/>
                    </w:rPr>
                    <w:t>q</w:t>
                  </w:r>
                  <w:r>
                    <w:t>’s share of the total Real-Time ECRS amount for the 15-minute Settlement Interval.</w:t>
                  </w:r>
                </w:p>
              </w:tc>
            </w:tr>
            <w:tr w:rsidR="000E1BF8" w14:paraId="6D5BB475"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73723B2E" w14:textId="77777777" w:rsidR="000E1BF8" w:rsidRDefault="000E1BF8" w:rsidP="000E1BF8">
                  <w:pPr>
                    <w:pStyle w:val="tablebody0"/>
                  </w:pPr>
                  <w:r>
                    <w:t xml:space="preserve">RTECRIMBAMT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00553BF1"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60E93323" w14:textId="77777777" w:rsidR="000E1BF8" w:rsidRDefault="000E1BF8" w:rsidP="000E1BF8">
                  <w:pPr>
                    <w:pStyle w:val="tablebody0"/>
                    <w:rPr>
                      <w:i/>
                    </w:rPr>
                  </w:pPr>
                  <w:r>
                    <w:rPr>
                      <w:i/>
                    </w:rPr>
                    <w:t xml:space="preserve">Real-Time ERCOT Contingency Reserve Service Imbalance Amount for the QSE - </w:t>
                  </w:r>
                  <w:r>
                    <w:t xml:space="preserve">The total payment or charge to QSE </w:t>
                  </w:r>
                  <w:r>
                    <w:rPr>
                      <w:i/>
                    </w:rPr>
                    <w:t>q</w:t>
                  </w:r>
                  <w:r>
                    <w:t xml:space="preserve"> for the Real-Time ECRS imbalance for each 15-minute Settlement Interval.</w:t>
                  </w:r>
                </w:p>
              </w:tc>
            </w:tr>
            <w:tr w:rsidR="000E1BF8" w14:paraId="6EE3DC44"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7226E68F" w14:textId="77777777" w:rsidR="000E1BF8" w:rsidRDefault="000E1BF8" w:rsidP="000E1BF8">
                  <w:pPr>
                    <w:pStyle w:val="tablebody0"/>
                  </w:pPr>
                  <w:r>
                    <w:t xml:space="preserve">RTECROAMT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5967F81B"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4A5FCE7" w14:textId="77777777" w:rsidR="000E1BF8" w:rsidRDefault="000E1BF8" w:rsidP="000E1BF8">
                  <w:pPr>
                    <w:pStyle w:val="tablebody0"/>
                    <w:rPr>
                      <w:i/>
                    </w:rPr>
                  </w:pPr>
                  <w:r>
                    <w:rPr>
                      <w:i/>
                    </w:rPr>
                    <w:t xml:space="preserve">Real-Time ERCOT Contingency Reserve Service Only Amount for the QSE— </w:t>
                  </w:r>
                  <w:r>
                    <w:t xml:space="preserve">The total charge to QSE </w:t>
                  </w:r>
                  <w:r>
                    <w:rPr>
                      <w:i/>
                    </w:rPr>
                    <w:t>q</w:t>
                  </w:r>
                  <w:r>
                    <w:t xml:space="preserve"> in Real-Time for ECRS only awards for each 15-minute Settlement Interval.</w:t>
                  </w:r>
                </w:p>
              </w:tc>
            </w:tr>
            <w:tr w:rsidR="000E1BF8" w14:paraId="38697C83"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36861F4E" w14:textId="77777777" w:rsidR="000E1BF8" w:rsidRDefault="000E1BF8" w:rsidP="000E1BF8">
                  <w:pPr>
                    <w:pStyle w:val="tablebody0"/>
                  </w:pPr>
                  <w:r>
                    <w:lastRenderedPageBreak/>
                    <w:t>RTECRIMBAMTTOT</w:t>
                  </w:r>
                </w:p>
              </w:tc>
              <w:tc>
                <w:tcPr>
                  <w:tcW w:w="638" w:type="pct"/>
                  <w:tcBorders>
                    <w:top w:val="single" w:sz="4" w:space="0" w:color="auto"/>
                    <w:left w:val="single" w:sz="4" w:space="0" w:color="auto"/>
                    <w:bottom w:val="single" w:sz="4" w:space="0" w:color="auto"/>
                    <w:right w:val="single" w:sz="4" w:space="0" w:color="auto"/>
                  </w:tcBorders>
                  <w:hideMark/>
                </w:tcPr>
                <w:p w14:paraId="526BBDE4"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A60A368" w14:textId="77777777" w:rsidR="000E1BF8" w:rsidRDefault="000E1BF8" w:rsidP="000E1BF8">
                  <w:pPr>
                    <w:pStyle w:val="tablebody0"/>
                    <w:rPr>
                      <w:i/>
                    </w:rPr>
                  </w:pPr>
                  <w:r>
                    <w:rPr>
                      <w:i/>
                    </w:rPr>
                    <w:t xml:space="preserve">Real-Time ERCOT Contingency Reserve Service Imbalance Market Total Amount - </w:t>
                  </w:r>
                  <w:r>
                    <w:t>The total payment or charge to all QSEs for the Real-Time ECRS imbalance for each 15-minute Settlement Interval.</w:t>
                  </w:r>
                </w:p>
              </w:tc>
            </w:tr>
            <w:tr w:rsidR="000E1BF8" w14:paraId="2EE68248"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41DA7C1D" w14:textId="77777777" w:rsidR="000E1BF8" w:rsidRDefault="000E1BF8" w:rsidP="000E1BF8">
                  <w:pPr>
                    <w:pStyle w:val="tablebody0"/>
                  </w:pPr>
                  <w:r>
                    <w:t>RTECROAMTTOT</w:t>
                  </w:r>
                </w:p>
              </w:tc>
              <w:tc>
                <w:tcPr>
                  <w:tcW w:w="638" w:type="pct"/>
                  <w:tcBorders>
                    <w:top w:val="single" w:sz="4" w:space="0" w:color="auto"/>
                    <w:left w:val="single" w:sz="4" w:space="0" w:color="auto"/>
                    <w:bottom w:val="single" w:sz="4" w:space="0" w:color="auto"/>
                    <w:right w:val="single" w:sz="4" w:space="0" w:color="auto"/>
                  </w:tcBorders>
                  <w:hideMark/>
                </w:tcPr>
                <w:p w14:paraId="75D84C28"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5EEA2C1" w14:textId="77777777" w:rsidR="000E1BF8" w:rsidRDefault="000E1BF8" w:rsidP="000E1BF8">
                  <w:pPr>
                    <w:pStyle w:val="tablebody0"/>
                    <w:rPr>
                      <w:i/>
                    </w:rPr>
                  </w:pPr>
                  <w:r>
                    <w:rPr>
                      <w:i/>
                    </w:rPr>
                    <w:t xml:space="preserve">Real-Time ERCOT Contingency Reserve Service Only Market Total Amount - </w:t>
                  </w:r>
                  <w:r>
                    <w:t>The total charge to all QSEs in Real-Time for ECRS only awards for each 15-minute Settlement Interval.</w:t>
                  </w:r>
                </w:p>
              </w:tc>
            </w:tr>
            <w:tr w:rsidR="000E1BF8" w14:paraId="4CAAEAC7"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5C20D886" w14:textId="77777777" w:rsidR="000E1BF8" w:rsidRDefault="000E1BF8" w:rsidP="000E1BF8">
                  <w:pPr>
                    <w:pStyle w:val="tablebody0"/>
                  </w:pPr>
                  <w:r>
                    <w:t xml:space="preserve">RTECRTOAMT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731F7ABF"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19B4EB13" w14:textId="77777777" w:rsidR="000E1BF8" w:rsidRDefault="000E1BF8" w:rsidP="000E1BF8">
                  <w:pPr>
                    <w:pStyle w:val="tablebody0"/>
                    <w:rPr>
                      <w:i/>
                    </w:rPr>
                  </w:pPr>
                  <w:r>
                    <w:rPr>
                      <w:i/>
                    </w:rPr>
                    <w:t>Real-Time ERCOT Contingency Reserve Service Trade Overage Amount for the QSE</w:t>
                  </w:r>
                  <w:r>
                    <w:t xml:space="preserve">— The total charge to QSE </w:t>
                  </w:r>
                  <w:r>
                    <w:rPr>
                      <w:i/>
                    </w:rPr>
                    <w:t>q</w:t>
                  </w:r>
                  <w:r>
                    <w:t xml:space="preserve"> in Real-Time for ECRS trade overages for each 15-minute Settlement Interval.</w:t>
                  </w:r>
                </w:p>
              </w:tc>
            </w:tr>
            <w:tr w:rsidR="000E1BF8" w14:paraId="7C2BC4EF"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53FDBAF2" w14:textId="77777777" w:rsidR="000E1BF8" w:rsidRDefault="000E1BF8" w:rsidP="000E1BF8">
                  <w:pPr>
                    <w:pStyle w:val="tablebody0"/>
                  </w:pPr>
                  <w:r>
                    <w:t>RTECROAMTTOT</w:t>
                  </w:r>
                </w:p>
              </w:tc>
              <w:tc>
                <w:tcPr>
                  <w:tcW w:w="638" w:type="pct"/>
                  <w:tcBorders>
                    <w:top w:val="single" w:sz="4" w:space="0" w:color="auto"/>
                    <w:left w:val="single" w:sz="4" w:space="0" w:color="auto"/>
                    <w:bottom w:val="single" w:sz="4" w:space="0" w:color="auto"/>
                    <w:right w:val="single" w:sz="4" w:space="0" w:color="auto"/>
                  </w:tcBorders>
                  <w:hideMark/>
                </w:tcPr>
                <w:p w14:paraId="47F9A9E9"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4FF81ADF" w14:textId="77777777" w:rsidR="000E1BF8" w:rsidRDefault="000E1BF8" w:rsidP="000E1BF8">
                  <w:pPr>
                    <w:pStyle w:val="tablebody0"/>
                    <w:rPr>
                      <w:i/>
                    </w:rPr>
                  </w:pPr>
                  <w:r>
                    <w:rPr>
                      <w:i/>
                    </w:rPr>
                    <w:t xml:space="preserve">Real-Time ERCOT Contingency Reserve Service Trade Overage Total Amount </w:t>
                  </w:r>
                  <w:r>
                    <w:t>— The total charge to all QSEs for Real-Time ECRS trade overages for each 15-minute Settlement Interval.</w:t>
                  </w:r>
                </w:p>
              </w:tc>
            </w:tr>
            <w:tr w:rsidR="000E1BF8" w14:paraId="098149D5"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362F028E" w14:textId="77777777" w:rsidR="000E1BF8" w:rsidRDefault="000E1BF8" w:rsidP="000E1BF8">
                  <w:pPr>
                    <w:pStyle w:val="tablebody0"/>
                    <w:rPr>
                      <w:b/>
                    </w:rPr>
                  </w:pPr>
                  <w:r>
                    <w:t>LRS</w:t>
                  </w:r>
                  <w:r>
                    <w:rPr>
                      <w:vertAlign w:val="subscript"/>
                    </w:rPr>
                    <w:t xml:space="preserve">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4481D3A2" w14:textId="77777777" w:rsidR="000E1BF8" w:rsidRDefault="000E1BF8" w:rsidP="000E1BF8">
                  <w:pPr>
                    <w:pStyle w:val="tablebody0"/>
                  </w:pPr>
                  <w:r>
                    <w:t>none</w:t>
                  </w:r>
                </w:p>
              </w:tc>
              <w:tc>
                <w:tcPr>
                  <w:tcW w:w="3141" w:type="pct"/>
                  <w:tcBorders>
                    <w:top w:val="single" w:sz="4" w:space="0" w:color="auto"/>
                    <w:left w:val="single" w:sz="4" w:space="0" w:color="auto"/>
                    <w:bottom w:val="single" w:sz="4" w:space="0" w:color="auto"/>
                    <w:right w:val="single" w:sz="4" w:space="0" w:color="auto"/>
                  </w:tcBorders>
                  <w:hideMark/>
                </w:tcPr>
                <w:p w14:paraId="43A0C3B8" w14:textId="6E3E4D56"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39FCF5FA"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3FFA17A4" w14:textId="77777777" w:rsidR="000E1BF8" w:rsidRDefault="000E1BF8" w:rsidP="000E1BF8">
                  <w:pPr>
                    <w:pStyle w:val="tablebody0"/>
                  </w:pPr>
                  <w:r>
                    <w:rPr>
                      <w:i/>
                    </w:rPr>
                    <w:t>q</w:t>
                  </w:r>
                </w:p>
              </w:tc>
              <w:tc>
                <w:tcPr>
                  <w:tcW w:w="638" w:type="pct"/>
                  <w:tcBorders>
                    <w:top w:val="single" w:sz="4" w:space="0" w:color="auto"/>
                    <w:left w:val="single" w:sz="4" w:space="0" w:color="auto"/>
                    <w:bottom w:val="single" w:sz="4" w:space="0" w:color="auto"/>
                    <w:right w:val="single" w:sz="4" w:space="0" w:color="auto"/>
                  </w:tcBorders>
                  <w:hideMark/>
                </w:tcPr>
                <w:p w14:paraId="7869CF4F" w14:textId="77777777" w:rsidR="000E1BF8" w:rsidRDefault="000E1BF8" w:rsidP="000E1BF8">
                  <w:pPr>
                    <w:pStyle w:val="tablebody0"/>
                  </w:pPr>
                  <w:r>
                    <w:t>none</w:t>
                  </w:r>
                </w:p>
              </w:tc>
              <w:tc>
                <w:tcPr>
                  <w:tcW w:w="3141" w:type="pct"/>
                  <w:tcBorders>
                    <w:top w:val="single" w:sz="4" w:space="0" w:color="auto"/>
                    <w:left w:val="single" w:sz="4" w:space="0" w:color="auto"/>
                    <w:bottom w:val="single" w:sz="4" w:space="0" w:color="auto"/>
                    <w:right w:val="single" w:sz="4" w:space="0" w:color="auto"/>
                  </w:tcBorders>
                  <w:hideMark/>
                </w:tcPr>
                <w:p w14:paraId="0E42F6A6" w14:textId="77777777" w:rsidR="000E1BF8" w:rsidRDefault="000E1BF8" w:rsidP="000E1BF8">
                  <w:pPr>
                    <w:pStyle w:val="tablebody0"/>
                    <w:rPr>
                      <w:i/>
                    </w:rPr>
                  </w:pPr>
                  <w:r>
                    <w:t>A QSE.</w:t>
                  </w:r>
                </w:p>
              </w:tc>
            </w:tr>
          </w:tbl>
          <w:p w14:paraId="2D119AF6" w14:textId="24EBB050" w:rsidR="000E1BF8" w:rsidRPr="00A4149C" w:rsidRDefault="000E1BF8" w:rsidP="001138B9">
            <w:pPr>
              <w:spacing w:after="240"/>
              <w:ind w:left="720" w:hanging="720"/>
            </w:pPr>
          </w:p>
        </w:tc>
      </w:tr>
    </w:tbl>
    <w:p w14:paraId="253CFDA8" w14:textId="69C8AB50" w:rsidR="001F04FD" w:rsidRPr="004A2B16" w:rsidRDefault="001F04FD" w:rsidP="001F04FD">
      <w:pPr>
        <w:keepNext/>
        <w:tabs>
          <w:tab w:val="left" w:pos="1080"/>
        </w:tabs>
        <w:spacing w:before="480" w:after="240"/>
        <w:ind w:left="1080" w:hanging="1080"/>
        <w:outlineLvl w:val="2"/>
        <w:rPr>
          <w:b/>
          <w:bCs/>
          <w:i/>
        </w:rPr>
      </w:pPr>
      <w:bookmarkStart w:id="2826" w:name="_Toc204411760"/>
      <w:r w:rsidRPr="004A2B16">
        <w:rPr>
          <w:b/>
          <w:bCs/>
          <w:i/>
        </w:rPr>
        <w:lastRenderedPageBreak/>
        <w:t>6.7.</w:t>
      </w:r>
      <w:r>
        <w:rPr>
          <w:b/>
          <w:bCs/>
          <w:i/>
        </w:rPr>
        <w:t>7</w:t>
      </w:r>
      <w:r w:rsidRPr="004A2B16">
        <w:rPr>
          <w:b/>
          <w:bCs/>
          <w:i/>
        </w:rPr>
        <w:tab/>
        <w:t>Adjustments to Net Cost Allocations for Real-Time Ancillary Services</w:t>
      </w:r>
      <w:bookmarkEnd w:id="2807"/>
      <w:bookmarkEnd w:id="2808"/>
      <w:bookmarkEnd w:id="2809"/>
      <w:bookmarkEnd w:id="2810"/>
      <w:bookmarkEnd w:id="2811"/>
      <w:bookmarkEnd w:id="2812"/>
      <w:bookmarkEnd w:id="2813"/>
      <w:bookmarkEnd w:id="2814"/>
      <w:bookmarkEnd w:id="2826"/>
    </w:p>
    <w:p w14:paraId="2FDBD5CC" w14:textId="63371BFE" w:rsidR="001F04FD" w:rsidRPr="004A2B16" w:rsidRDefault="001F04FD" w:rsidP="001F04FD">
      <w:pPr>
        <w:spacing w:before="120" w:after="240"/>
        <w:rPr>
          <w:szCs w:val="24"/>
        </w:rPr>
      </w:pPr>
      <w:r w:rsidRPr="004A2B16">
        <w:rPr>
          <w:szCs w:val="24"/>
        </w:rPr>
        <w:t>If ERCOT assigns Ancillary Service during a Watch, the incremental cost for assigned Ancillary Service is calculated in this section.</w:t>
      </w:r>
    </w:p>
    <w:p w14:paraId="1FA5BCB1" w14:textId="77777777" w:rsidR="001F04FD" w:rsidRPr="004A2B16" w:rsidRDefault="001F04FD" w:rsidP="001F04FD">
      <w:pPr>
        <w:spacing w:after="240"/>
        <w:ind w:left="720" w:hanging="720"/>
        <w:rPr>
          <w:iCs/>
        </w:rPr>
      </w:pPr>
      <w:r w:rsidRPr="004A2B16">
        <w:rPr>
          <w:iCs/>
        </w:rPr>
        <w:t>(1)</w:t>
      </w:r>
      <w:r w:rsidRPr="004A2B16">
        <w:rPr>
          <w:iCs/>
        </w:rPr>
        <w:tab/>
        <w:t>For Reg-Up, if applicable:</w:t>
      </w:r>
    </w:p>
    <w:p w14:paraId="34449404" w14:textId="77777777" w:rsidR="001F04FD" w:rsidRPr="004A2B16" w:rsidRDefault="001F04FD" w:rsidP="001F04FD">
      <w:pPr>
        <w:spacing w:after="240"/>
        <w:ind w:left="1440" w:hanging="720"/>
      </w:pPr>
      <w:r w:rsidRPr="004A2B16">
        <w:t>(a)</w:t>
      </w:r>
      <w:r w:rsidRPr="004A2B16">
        <w:tab/>
        <w:t>The total costs for Reg-Up for a given Operating Hour during a Watch is calculated as follows:</w:t>
      </w:r>
    </w:p>
    <w:p w14:paraId="45EF1C65" w14:textId="77777777" w:rsidR="001F04FD" w:rsidRPr="004A2B16" w:rsidRDefault="001F04FD" w:rsidP="001F04FD">
      <w:pPr>
        <w:spacing w:after="240"/>
        <w:ind w:left="2880" w:hanging="2160"/>
        <w:rPr>
          <w:b/>
          <w:bCs/>
          <w:szCs w:val="24"/>
        </w:rPr>
      </w:pPr>
      <w:r w:rsidRPr="004A2B16">
        <w:rPr>
          <w:b/>
          <w:bCs/>
          <w:szCs w:val="24"/>
        </w:rPr>
        <w:t>ARUCOSTTOT</w:t>
      </w:r>
      <w:r w:rsidRPr="004A2B16">
        <w:rPr>
          <w:b/>
          <w:bCs/>
          <w:szCs w:val="24"/>
        </w:rPr>
        <w:tab/>
        <w:t>=</w:t>
      </w:r>
      <w:r w:rsidRPr="004A2B16">
        <w:rPr>
          <w:b/>
          <w:bCs/>
          <w:szCs w:val="24"/>
        </w:rPr>
        <w:tab/>
        <w:t>(-1) * RTAURUAMTTOT + RUCOSTTOT</w:t>
      </w:r>
    </w:p>
    <w:p w14:paraId="0121185A" w14:textId="77777777" w:rsidR="001F04FD" w:rsidRPr="000A1457" w:rsidRDefault="001F04FD" w:rsidP="001F04FD">
      <w:pPr>
        <w:spacing w:after="240"/>
        <w:rPr>
          <w:bCs/>
          <w:szCs w:val="24"/>
        </w:rPr>
      </w:pPr>
      <w:r w:rsidRPr="000A1457">
        <w:rPr>
          <w:bCs/>
          <w:szCs w:val="24"/>
        </w:rPr>
        <w:t xml:space="preserve">Where: </w:t>
      </w:r>
    </w:p>
    <w:p w14:paraId="6DAFD703" w14:textId="77777777" w:rsidR="001F04FD" w:rsidRPr="004A2B16" w:rsidRDefault="001F04FD" w:rsidP="001F04FD">
      <w:pPr>
        <w:spacing w:after="240"/>
        <w:ind w:left="720"/>
        <w:rPr>
          <w:szCs w:val="24"/>
        </w:rPr>
      </w:pPr>
      <w:r w:rsidRPr="004A2B16">
        <w:rPr>
          <w:szCs w:val="24"/>
        </w:rPr>
        <w:t>Total payment of Real-Time Ancillary Service Assignment procured capacity for un-deployed Reg-Up</w:t>
      </w:r>
    </w:p>
    <w:p w14:paraId="0DD86F47" w14:textId="1EA062EF" w:rsidR="001F04FD" w:rsidRPr="004A2B16" w:rsidRDefault="001F04FD" w:rsidP="001F04FD">
      <w:pPr>
        <w:spacing w:after="240"/>
        <w:ind w:left="2880" w:hanging="2160"/>
        <w:rPr>
          <w:szCs w:val="24"/>
        </w:rPr>
      </w:pPr>
      <w:r w:rsidRPr="004A2B16">
        <w:rPr>
          <w:bCs/>
          <w:szCs w:val="24"/>
        </w:rPr>
        <w:t>RTAURUAMT</w:t>
      </w:r>
      <w:r w:rsidRPr="004A2B16">
        <w:rPr>
          <w:szCs w:val="24"/>
        </w:rPr>
        <w:t>TOT</w:t>
      </w:r>
      <w:r w:rsidRPr="004A2B16">
        <w:rPr>
          <w:szCs w:val="24"/>
        </w:rPr>
        <w:tab/>
        <w:t>=</w:t>
      </w:r>
      <w:r w:rsidRPr="004A2B16">
        <w:rPr>
          <w:szCs w:val="24"/>
        </w:rPr>
        <w:tab/>
      </w:r>
      <w:r w:rsidR="00A94020">
        <w:rPr>
          <w:noProof/>
          <w:position w:val="-30"/>
          <w:szCs w:val="24"/>
        </w:rPr>
        <w:drawing>
          <wp:inline distT="0" distB="0" distL="0" distR="0" wp14:anchorId="24E9CD6F" wp14:editId="20A2BFAF">
            <wp:extent cx="295275" cy="3619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00A94020">
        <w:rPr>
          <w:noProof/>
          <w:position w:val="-28"/>
          <w:szCs w:val="24"/>
        </w:rPr>
        <w:drawing>
          <wp:inline distT="0" distB="0" distL="0" distR="0" wp14:anchorId="387ADC96" wp14:editId="230A8808">
            <wp:extent cx="295275" cy="3429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rsidR="00A94020">
        <w:rPr>
          <w:noProof/>
          <w:position w:val="-30"/>
          <w:szCs w:val="24"/>
        </w:rPr>
        <w:drawing>
          <wp:inline distT="0" distB="0" distL="0" distR="0" wp14:anchorId="5C6D4859" wp14:editId="69E13727">
            <wp:extent cx="295275" cy="3619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00A94020">
        <w:rPr>
          <w:noProof/>
          <w:position w:val="-28"/>
          <w:szCs w:val="24"/>
        </w:rPr>
        <w:drawing>
          <wp:inline distT="0" distB="0" distL="0" distR="0" wp14:anchorId="677D60B6" wp14:editId="25C189E7">
            <wp:extent cx="295275" cy="4381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295275" cy="438150"/>
                    </a:xfrm>
                    <a:prstGeom prst="rect">
                      <a:avLst/>
                    </a:prstGeom>
                    <a:noFill/>
                    <a:ln>
                      <a:noFill/>
                    </a:ln>
                  </pic:spPr>
                </pic:pic>
              </a:graphicData>
            </a:graphic>
          </wp:inline>
        </w:drawing>
      </w:r>
      <w:r w:rsidRPr="004A2B16">
        <w:rPr>
          <w:szCs w:val="24"/>
        </w:rPr>
        <w:t>RTAURUAMT</w:t>
      </w:r>
      <w:r w:rsidRPr="004A2B16">
        <w:rPr>
          <w:b/>
          <w:szCs w:val="24"/>
        </w:rPr>
        <w:t xml:space="preserve"> </w:t>
      </w:r>
      <w:r w:rsidRPr="004A2B16">
        <w:rPr>
          <w:i/>
          <w:szCs w:val="24"/>
          <w:vertAlign w:val="subscript"/>
        </w:rPr>
        <w:t>q,r,p, i</w:t>
      </w:r>
    </w:p>
    <w:p w14:paraId="4331A613" w14:textId="77777777" w:rsidR="001F04FD" w:rsidRPr="004A2B16" w:rsidRDefault="001F04FD" w:rsidP="001F04FD">
      <w:pPr>
        <w:rPr>
          <w:szCs w:val="24"/>
        </w:rPr>
      </w:pPr>
      <w:r w:rsidRPr="004A2B16">
        <w:rPr>
          <w:szCs w:val="24"/>
        </w:rPr>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6752F75D" w14:textId="77777777" w:rsidTr="00AC4DEE">
        <w:tc>
          <w:tcPr>
            <w:tcW w:w="1191" w:type="pct"/>
          </w:tcPr>
          <w:p w14:paraId="62BCF1FB" w14:textId="77777777" w:rsidR="001F04FD" w:rsidRPr="00A02D58" w:rsidRDefault="001F04FD" w:rsidP="00AC4DEE">
            <w:pPr>
              <w:pStyle w:val="TableHead"/>
            </w:pPr>
            <w:r w:rsidRPr="00A02D58">
              <w:t>Variable</w:t>
            </w:r>
          </w:p>
        </w:tc>
        <w:tc>
          <w:tcPr>
            <w:tcW w:w="335" w:type="pct"/>
          </w:tcPr>
          <w:p w14:paraId="059C042D" w14:textId="77777777" w:rsidR="001F04FD" w:rsidRPr="00A02D58" w:rsidRDefault="001F04FD" w:rsidP="00AC4DEE">
            <w:pPr>
              <w:pStyle w:val="TableHead"/>
            </w:pPr>
            <w:r w:rsidRPr="00A02D58">
              <w:t>Unit</w:t>
            </w:r>
          </w:p>
        </w:tc>
        <w:tc>
          <w:tcPr>
            <w:tcW w:w="3474" w:type="pct"/>
          </w:tcPr>
          <w:p w14:paraId="4D58EB98" w14:textId="77777777" w:rsidR="001F04FD" w:rsidRPr="00A02D58" w:rsidRDefault="001F04FD" w:rsidP="00AC4DEE">
            <w:pPr>
              <w:pStyle w:val="TableHead"/>
            </w:pPr>
            <w:r w:rsidRPr="00A02D58">
              <w:t>Description</w:t>
            </w:r>
          </w:p>
        </w:tc>
      </w:tr>
      <w:tr w:rsidR="001F04FD" w:rsidRPr="00A02D58" w14:paraId="509EAD03" w14:textId="77777777" w:rsidTr="00AC4DEE">
        <w:tc>
          <w:tcPr>
            <w:tcW w:w="1191" w:type="pct"/>
          </w:tcPr>
          <w:p w14:paraId="74E8A01F" w14:textId="77777777" w:rsidR="001F04FD" w:rsidRPr="007E037D" w:rsidRDefault="001F04FD" w:rsidP="00AC4DEE">
            <w:pPr>
              <w:pStyle w:val="TableBody"/>
            </w:pPr>
            <w:r w:rsidRPr="007E037D">
              <w:t>ARUCOSTTOT</w:t>
            </w:r>
          </w:p>
        </w:tc>
        <w:tc>
          <w:tcPr>
            <w:tcW w:w="335" w:type="pct"/>
          </w:tcPr>
          <w:p w14:paraId="1B53B056" w14:textId="77777777" w:rsidR="001F04FD" w:rsidRDefault="001F04FD" w:rsidP="00AC4DEE">
            <w:pPr>
              <w:pStyle w:val="TableBody"/>
            </w:pPr>
            <w:r w:rsidRPr="007E037D">
              <w:t>$</w:t>
            </w:r>
          </w:p>
        </w:tc>
        <w:tc>
          <w:tcPr>
            <w:tcW w:w="3474" w:type="pct"/>
          </w:tcPr>
          <w:p w14:paraId="74A09C72" w14:textId="77777777" w:rsidR="001F04FD" w:rsidRPr="00A02D58" w:rsidRDefault="001F04FD" w:rsidP="00AC4DEE">
            <w:pPr>
              <w:pStyle w:val="TableBody"/>
            </w:pPr>
            <w:r w:rsidRPr="004A2B16">
              <w:rPr>
                <w:i/>
              </w:rPr>
              <w:t>Reg-Up Cost Total</w:t>
            </w:r>
            <w:r w:rsidRPr="00A02D58">
              <w:t>—The total costs for Reg-Up</w:t>
            </w:r>
            <w:r>
              <w:t xml:space="preserve"> that includes costs of assigned Ancillary Service during a Watch for the hour.</w:t>
            </w:r>
          </w:p>
        </w:tc>
      </w:tr>
      <w:tr w:rsidR="001F04FD" w:rsidRPr="00A02D58" w14:paraId="05D55809" w14:textId="77777777" w:rsidTr="00AC4DEE">
        <w:tc>
          <w:tcPr>
            <w:tcW w:w="1191" w:type="pct"/>
          </w:tcPr>
          <w:p w14:paraId="72601FA2" w14:textId="77777777" w:rsidR="001F04FD" w:rsidRDefault="001F04FD" w:rsidP="00AC4DEE">
            <w:pPr>
              <w:pStyle w:val="TableBody"/>
            </w:pPr>
            <w:r>
              <w:t>RUCOSTTOT</w:t>
            </w:r>
          </w:p>
        </w:tc>
        <w:tc>
          <w:tcPr>
            <w:tcW w:w="335" w:type="pct"/>
          </w:tcPr>
          <w:p w14:paraId="6CAA77FE" w14:textId="77777777" w:rsidR="001F04FD" w:rsidRPr="00A02D58" w:rsidRDefault="001F04FD" w:rsidP="00AC4DEE">
            <w:pPr>
              <w:pStyle w:val="TableBody"/>
            </w:pPr>
            <w:r>
              <w:t>$</w:t>
            </w:r>
          </w:p>
        </w:tc>
        <w:tc>
          <w:tcPr>
            <w:tcW w:w="3474" w:type="pct"/>
          </w:tcPr>
          <w:p w14:paraId="62CA4C13" w14:textId="77777777" w:rsidR="001F04FD" w:rsidRPr="004A2B16" w:rsidRDefault="001F04FD" w:rsidP="00AC4DEE">
            <w:pPr>
              <w:pStyle w:val="TableBody"/>
            </w:pPr>
            <w:r w:rsidRPr="004A2B16">
              <w:rPr>
                <w:i/>
              </w:rPr>
              <w:t>Reg-Up Cost Total</w:t>
            </w:r>
            <w:r w:rsidRPr="00A02D58">
              <w:t>—The net total costs for Reg-Up for the hour.</w:t>
            </w:r>
          </w:p>
        </w:tc>
      </w:tr>
      <w:tr w:rsidR="001F04FD" w:rsidRPr="00A02D58" w14:paraId="72D05B91" w14:textId="77777777" w:rsidTr="00AC4DEE">
        <w:tc>
          <w:tcPr>
            <w:tcW w:w="1191" w:type="pct"/>
            <w:tcBorders>
              <w:top w:val="single" w:sz="4" w:space="0" w:color="auto"/>
              <w:left w:val="single" w:sz="4" w:space="0" w:color="auto"/>
              <w:bottom w:val="single" w:sz="4" w:space="0" w:color="auto"/>
              <w:right w:val="single" w:sz="4" w:space="0" w:color="auto"/>
            </w:tcBorders>
          </w:tcPr>
          <w:p w14:paraId="649F10A8" w14:textId="77777777" w:rsidR="001F04FD" w:rsidRPr="00131358" w:rsidRDefault="001F04FD" w:rsidP="00AC4DEE">
            <w:pPr>
              <w:pStyle w:val="TableBody"/>
            </w:pPr>
            <w:r w:rsidRPr="004A2B16">
              <w:t>RTAURUAMT</w:t>
            </w:r>
            <w:r w:rsidRPr="00131358">
              <w:t>TOT</w:t>
            </w:r>
          </w:p>
        </w:tc>
        <w:tc>
          <w:tcPr>
            <w:tcW w:w="335" w:type="pct"/>
            <w:tcBorders>
              <w:top w:val="single" w:sz="4" w:space="0" w:color="auto"/>
              <w:left w:val="single" w:sz="4" w:space="0" w:color="auto"/>
              <w:bottom w:val="single" w:sz="4" w:space="0" w:color="auto"/>
              <w:right w:val="single" w:sz="4" w:space="0" w:color="auto"/>
            </w:tcBorders>
          </w:tcPr>
          <w:p w14:paraId="454EF07F" w14:textId="77777777" w:rsidR="001F04FD" w:rsidRPr="00131358" w:rsidRDefault="001F04FD" w:rsidP="00AC4DEE">
            <w:pPr>
              <w:pStyle w:val="TableBody"/>
            </w:pPr>
            <w:r w:rsidRPr="00131358">
              <w:t>$</w:t>
            </w:r>
          </w:p>
        </w:tc>
        <w:tc>
          <w:tcPr>
            <w:tcW w:w="3474" w:type="pct"/>
            <w:tcBorders>
              <w:top w:val="single" w:sz="4" w:space="0" w:color="auto"/>
              <w:left w:val="single" w:sz="4" w:space="0" w:color="auto"/>
              <w:bottom w:val="single" w:sz="4" w:space="0" w:color="auto"/>
              <w:right w:val="single" w:sz="4" w:space="0" w:color="auto"/>
            </w:tcBorders>
          </w:tcPr>
          <w:p w14:paraId="006D0E75" w14:textId="77777777" w:rsidR="001F04FD" w:rsidRPr="005D75C3" w:rsidRDefault="001F04FD" w:rsidP="00AC4DEE">
            <w:pPr>
              <w:pStyle w:val="TableBody"/>
            </w:pPr>
            <w:r w:rsidRPr="004A2B16">
              <w:rPr>
                <w:i/>
              </w:rPr>
              <w:t>Real-Time Assigned Un-Deployed Regulation Up Payment Amount Total for all QSEs</w:t>
            </w:r>
            <w:r w:rsidRPr="00A02D58">
              <w:t>—</w:t>
            </w:r>
            <w:r w:rsidRPr="00131358">
              <w:t xml:space="preserve">The payments to all </w:t>
            </w:r>
            <w:r w:rsidRPr="005D75C3">
              <w:t>QSEs for the Real-Time un-deployed Reg-Up Ancillary Service Assignment for the hour.</w:t>
            </w:r>
          </w:p>
        </w:tc>
      </w:tr>
      <w:tr w:rsidR="001F04FD" w:rsidRPr="00A02D58" w14:paraId="190A9C29" w14:textId="77777777" w:rsidTr="00AC4DEE">
        <w:tc>
          <w:tcPr>
            <w:tcW w:w="1191" w:type="pct"/>
            <w:tcBorders>
              <w:top w:val="single" w:sz="4" w:space="0" w:color="auto"/>
              <w:left w:val="single" w:sz="4" w:space="0" w:color="auto"/>
              <w:bottom w:val="single" w:sz="4" w:space="0" w:color="auto"/>
              <w:right w:val="single" w:sz="4" w:space="0" w:color="auto"/>
            </w:tcBorders>
          </w:tcPr>
          <w:p w14:paraId="3E55CB4E" w14:textId="77777777" w:rsidR="001F04FD" w:rsidRPr="00131358" w:rsidRDefault="001F04FD" w:rsidP="00AC4DEE">
            <w:pPr>
              <w:pStyle w:val="TableBody"/>
            </w:pPr>
            <w:r w:rsidRPr="00456718">
              <w:t>RTAURUAMT</w:t>
            </w:r>
            <w:r w:rsidRPr="004A2B16">
              <w:t xml:space="preserve"> </w:t>
            </w:r>
            <w:r w:rsidRPr="004A2B16">
              <w:rPr>
                <w:i/>
                <w:vertAlign w:val="subscript"/>
              </w:rPr>
              <w:t>q,r,p,i</w:t>
            </w:r>
          </w:p>
        </w:tc>
        <w:tc>
          <w:tcPr>
            <w:tcW w:w="335" w:type="pct"/>
            <w:tcBorders>
              <w:top w:val="single" w:sz="4" w:space="0" w:color="auto"/>
              <w:left w:val="single" w:sz="4" w:space="0" w:color="auto"/>
              <w:bottom w:val="single" w:sz="4" w:space="0" w:color="auto"/>
              <w:right w:val="single" w:sz="4" w:space="0" w:color="auto"/>
            </w:tcBorders>
          </w:tcPr>
          <w:p w14:paraId="7C65377D" w14:textId="77777777" w:rsidR="001F04FD" w:rsidRPr="00131358" w:rsidRDefault="001F04FD" w:rsidP="00AC4DEE">
            <w:pPr>
              <w:pStyle w:val="TableBody"/>
            </w:pPr>
            <w:r w:rsidRPr="00131358">
              <w:t>$</w:t>
            </w:r>
          </w:p>
        </w:tc>
        <w:tc>
          <w:tcPr>
            <w:tcW w:w="3474" w:type="pct"/>
            <w:tcBorders>
              <w:top w:val="single" w:sz="4" w:space="0" w:color="auto"/>
              <w:left w:val="single" w:sz="4" w:space="0" w:color="auto"/>
              <w:bottom w:val="single" w:sz="4" w:space="0" w:color="auto"/>
              <w:right w:val="single" w:sz="4" w:space="0" w:color="auto"/>
            </w:tcBorders>
          </w:tcPr>
          <w:p w14:paraId="520EB38A" w14:textId="77777777" w:rsidR="001F04FD" w:rsidRPr="00A87906" w:rsidRDefault="001F04FD" w:rsidP="00AC4DEE">
            <w:pPr>
              <w:pStyle w:val="TableBody"/>
            </w:pPr>
            <w:r w:rsidRPr="004A2B16">
              <w:rPr>
                <w:i/>
              </w:rPr>
              <w:t>Real-Time Assigned Un-Deployed Regulation Up Payment Amount per QSE</w:t>
            </w:r>
            <w:r w:rsidRPr="00A02D58">
              <w:t>—</w:t>
            </w:r>
            <w:r w:rsidRPr="00131358">
              <w:t xml:space="preserve">The payment to QSE </w:t>
            </w:r>
            <w:r w:rsidRPr="000A1457">
              <w:rPr>
                <w:i/>
              </w:rPr>
              <w:t>q</w:t>
            </w:r>
            <w:r w:rsidRPr="005D75C3">
              <w:t xml:space="preserve"> for a Real-Time un-deployed Reg-Up Ancillary </w:t>
            </w:r>
            <w:r w:rsidRPr="005D75C3">
              <w:lastRenderedPageBreak/>
              <w:t>Service Assig</w:t>
            </w:r>
            <w:r w:rsidRPr="00E51F31">
              <w:t xml:space="preserve">nment to Resource </w:t>
            </w:r>
            <w:r w:rsidRPr="000A1457">
              <w:rPr>
                <w:i/>
              </w:rPr>
              <w:t>r</w:t>
            </w:r>
            <w:r w:rsidRPr="00AB6F41">
              <w:t xml:space="preserve"> at Settlement Point </w:t>
            </w:r>
            <w:r w:rsidRPr="000A1457">
              <w:rPr>
                <w:i/>
              </w:rPr>
              <w:t>p</w:t>
            </w:r>
            <w:r w:rsidRPr="00AB6F41">
              <w:t xml:space="preserve"> for the 15-minute Settlement Interval </w:t>
            </w:r>
            <w:r w:rsidRPr="000A1457">
              <w:rPr>
                <w:i/>
              </w:rPr>
              <w:t>i</w:t>
            </w:r>
            <w:r w:rsidRPr="00A87906">
              <w:t>.</w:t>
            </w:r>
          </w:p>
        </w:tc>
      </w:tr>
      <w:tr w:rsidR="001F04FD" w:rsidRPr="00A02D58" w14:paraId="13AD47EE" w14:textId="77777777" w:rsidTr="00AC4DEE">
        <w:tc>
          <w:tcPr>
            <w:tcW w:w="1191" w:type="pct"/>
            <w:tcBorders>
              <w:top w:val="single" w:sz="4" w:space="0" w:color="auto"/>
              <w:left w:val="single" w:sz="4" w:space="0" w:color="auto"/>
              <w:bottom w:val="single" w:sz="4" w:space="0" w:color="auto"/>
              <w:right w:val="single" w:sz="4" w:space="0" w:color="auto"/>
            </w:tcBorders>
          </w:tcPr>
          <w:p w14:paraId="4715A15E" w14:textId="77777777" w:rsidR="001F04FD" w:rsidRPr="004A2B16" w:rsidRDefault="001F04FD" w:rsidP="00AC4DEE">
            <w:pPr>
              <w:pStyle w:val="TableBody"/>
              <w:rPr>
                <w:i/>
              </w:rPr>
            </w:pPr>
            <w:r w:rsidRPr="004A2B16">
              <w:rPr>
                <w:i/>
              </w:rPr>
              <w:lastRenderedPageBreak/>
              <w:t>q</w:t>
            </w:r>
          </w:p>
        </w:tc>
        <w:tc>
          <w:tcPr>
            <w:tcW w:w="335" w:type="pct"/>
            <w:tcBorders>
              <w:top w:val="single" w:sz="4" w:space="0" w:color="auto"/>
              <w:left w:val="single" w:sz="4" w:space="0" w:color="auto"/>
              <w:bottom w:val="single" w:sz="4" w:space="0" w:color="auto"/>
              <w:right w:val="single" w:sz="4" w:space="0" w:color="auto"/>
            </w:tcBorders>
          </w:tcPr>
          <w:p w14:paraId="23DC7023"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5AC6B226" w14:textId="77777777" w:rsidR="001F04FD" w:rsidRPr="00A02D58" w:rsidRDefault="001F04FD" w:rsidP="00AC4DEE">
            <w:pPr>
              <w:pStyle w:val="TableBody"/>
            </w:pPr>
            <w:r w:rsidRPr="00A02D58">
              <w:t>A QSE.</w:t>
            </w:r>
          </w:p>
        </w:tc>
      </w:tr>
      <w:tr w:rsidR="001F04FD" w:rsidRPr="00A02D58" w14:paraId="31C2A350"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79AD2D0E" w14:textId="77777777" w:rsidR="001F04FD" w:rsidRPr="004A2B16" w:rsidRDefault="001F04FD" w:rsidP="00AC4DEE">
            <w:pPr>
              <w:pStyle w:val="TableBody"/>
              <w:rPr>
                <w:i/>
              </w:rPr>
            </w:pPr>
            <w:r w:rsidRPr="004A2B16">
              <w:rPr>
                <w:i/>
              </w:rPr>
              <w:t>r</w:t>
            </w:r>
          </w:p>
        </w:tc>
        <w:tc>
          <w:tcPr>
            <w:tcW w:w="335" w:type="pct"/>
            <w:tcBorders>
              <w:top w:val="single" w:sz="4" w:space="0" w:color="auto"/>
              <w:left w:val="single" w:sz="4" w:space="0" w:color="auto"/>
              <w:bottom w:val="single" w:sz="4" w:space="0" w:color="auto"/>
              <w:right w:val="single" w:sz="4" w:space="0" w:color="auto"/>
            </w:tcBorders>
          </w:tcPr>
          <w:p w14:paraId="03A669C0"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2233A160" w14:textId="77777777" w:rsidR="001F04FD" w:rsidRPr="004A2B16" w:rsidRDefault="001F04FD" w:rsidP="00AC4DEE">
            <w:pPr>
              <w:pStyle w:val="TableBody"/>
            </w:pPr>
            <w:r w:rsidRPr="004A2B16">
              <w:t>A Generation Resource that was allocated Reg-Up Ancillary Service Assignment by the QSE.</w:t>
            </w:r>
          </w:p>
        </w:tc>
      </w:tr>
      <w:tr w:rsidR="001F04FD" w:rsidRPr="00A02D58" w14:paraId="158B02C6" w14:textId="77777777" w:rsidTr="00AC4DEE">
        <w:tblPrEx>
          <w:tblCellMar>
            <w:left w:w="115" w:type="dxa"/>
            <w:right w:w="115" w:type="dxa"/>
          </w:tblCellMar>
        </w:tblPrEx>
        <w:trPr>
          <w:cantSplit/>
          <w:trHeight w:val="467"/>
          <w:tblHeader/>
        </w:trPr>
        <w:tc>
          <w:tcPr>
            <w:tcW w:w="1191" w:type="pct"/>
            <w:tcBorders>
              <w:top w:val="single" w:sz="4" w:space="0" w:color="auto"/>
              <w:left w:val="single" w:sz="4" w:space="0" w:color="auto"/>
              <w:bottom w:val="single" w:sz="4" w:space="0" w:color="auto"/>
              <w:right w:val="single" w:sz="4" w:space="0" w:color="auto"/>
            </w:tcBorders>
          </w:tcPr>
          <w:p w14:paraId="12FFF9D3" w14:textId="77777777" w:rsidR="001F04FD" w:rsidRPr="004A2B16" w:rsidRDefault="001F04FD" w:rsidP="00AC4DEE">
            <w:pPr>
              <w:pStyle w:val="TableBody"/>
              <w:rPr>
                <w:i/>
              </w:rPr>
            </w:pPr>
            <w:r w:rsidRPr="004A2B16">
              <w:rPr>
                <w:i/>
              </w:rPr>
              <w:t>p</w:t>
            </w:r>
          </w:p>
        </w:tc>
        <w:tc>
          <w:tcPr>
            <w:tcW w:w="335" w:type="pct"/>
            <w:tcBorders>
              <w:top w:val="single" w:sz="4" w:space="0" w:color="auto"/>
              <w:left w:val="single" w:sz="4" w:space="0" w:color="auto"/>
              <w:bottom w:val="single" w:sz="4" w:space="0" w:color="auto"/>
              <w:right w:val="single" w:sz="4" w:space="0" w:color="auto"/>
            </w:tcBorders>
          </w:tcPr>
          <w:p w14:paraId="011FCB41"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3BC5278C" w14:textId="77777777" w:rsidR="001F04FD" w:rsidRPr="004A2B16" w:rsidRDefault="001F04FD" w:rsidP="00AC4DEE">
            <w:pPr>
              <w:pStyle w:val="TableBody"/>
            </w:pPr>
            <w:r w:rsidRPr="004A2B16">
              <w:t>A Settlement Point for the Resource Node that was allocated Reg-Up Ancillary Service Assignment by the QSE.</w:t>
            </w:r>
          </w:p>
        </w:tc>
      </w:tr>
      <w:tr w:rsidR="001F04FD" w:rsidRPr="00A02D58" w14:paraId="43EE81FD"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10F62DDD" w14:textId="77777777" w:rsidR="001F04FD" w:rsidRPr="004A2B16" w:rsidRDefault="001F04FD" w:rsidP="00AC4DEE">
            <w:pPr>
              <w:pStyle w:val="TableBody"/>
              <w:rPr>
                <w:i/>
              </w:rPr>
            </w:pPr>
            <w:r w:rsidRPr="004A2B16">
              <w:rPr>
                <w:i/>
              </w:rPr>
              <w:t>i</w:t>
            </w:r>
          </w:p>
        </w:tc>
        <w:tc>
          <w:tcPr>
            <w:tcW w:w="335" w:type="pct"/>
            <w:tcBorders>
              <w:top w:val="single" w:sz="4" w:space="0" w:color="auto"/>
              <w:left w:val="single" w:sz="4" w:space="0" w:color="auto"/>
              <w:bottom w:val="single" w:sz="4" w:space="0" w:color="auto"/>
              <w:right w:val="single" w:sz="4" w:space="0" w:color="auto"/>
            </w:tcBorders>
          </w:tcPr>
          <w:p w14:paraId="4F4A3926"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6D7F33AE" w14:textId="77777777" w:rsidR="001F04FD" w:rsidRPr="00A02D58" w:rsidRDefault="001F04FD" w:rsidP="00AC4DEE">
            <w:pPr>
              <w:pStyle w:val="TableBody"/>
            </w:pPr>
            <w:r w:rsidRPr="00A02D58">
              <w:t>A 15-minute Settlement Interval in the Operating Hour.</w:t>
            </w:r>
          </w:p>
        </w:tc>
      </w:tr>
    </w:tbl>
    <w:p w14:paraId="2FFD906B" w14:textId="77777777" w:rsidR="001F04FD" w:rsidRDefault="001F04FD" w:rsidP="001F04FD">
      <w:pPr>
        <w:pStyle w:val="List"/>
        <w:spacing w:before="240"/>
      </w:pPr>
      <w:r w:rsidRPr="00A02D58">
        <w:t>(b)</w:t>
      </w:r>
      <w:r w:rsidRPr="00A02D58">
        <w:tab/>
        <w:t>Each QSE’s share of the total costs for Reg-Up for the Operating Hour</w:t>
      </w:r>
      <w:r>
        <w:t>,</w:t>
      </w:r>
      <w:r w:rsidRPr="00A02D58">
        <w:t xml:space="preserve"> </w:t>
      </w:r>
      <w:r>
        <w:t xml:space="preserve">including Ancillary Service costs assigned during a Watch </w:t>
      </w:r>
      <w:r w:rsidRPr="00A02D58">
        <w:t>is calculated as follows:</w:t>
      </w:r>
    </w:p>
    <w:p w14:paraId="2D9A139E" w14:textId="77777777" w:rsidR="001F04FD" w:rsidRPr="00AE693E" w:rsidRDefault="001F04FD" w:rsidP="001F04FD">
      <w:pPr>
        <w:pStyle w:val="FormulaBold"/>
      </w:pPr>
      <w:r w:rsidRPr="00727227">
        <w:t xml:space="preserve">ARUCOST </w:t>
      </w:r>
      <w:r w:rsidRPr="00727227">
        <w:rPr>
          <w:i/>
          <w:vertAlign w:val="subscript"/>
        </w:rPr>
        <w:t>q</w:t>
      </w:r>
      <w:r w:rsidRPr="00727227">
        <w:tab/>
        <w:t>=</w:t>
      </w:r>
      <w:r w:rsidRPr="00727227">
        <w:tab/>
        <w:t xml:space="preserve">ARUPR * ARUQ </w:t>
      </w:r>
      <w:r w:rsidRPr="00727227">
        <w:rPr>
          <w:i/>
          <w:vertAlign w:val="subscript"/>
        </w:rPr>
        <w:t>q</w:t>
      </w:r>
    </w:p>
    <w:p w14:paraId="0AEF5776" w14:textId="77777777" w:rsidR="001F04FD" w:rsidRPr="00D8133F" w:rsidRDefault="001F04FD" w:rsidP="001F04FD">
      <w:pPr>
        <w:pStyle w:val="BodyText"/>
      </w:pPr>
      <w:r w:rsidRPr="00D8133F">
        <w:t>Where:</w:t>
      </w:r>
    </w:p>
    <w:p w14:paraId="1AFB1326" w14:textId="77777777" w:rsidR="001F04FD" w:rsidRPr="00EF7931" w:rsidRDefault="001F04FD" w:rsidP="001F04FD">
      <w:pPr>
        <w:pStyle w:val="Formula"/>
        <w:ind w:left="2880" w:hanging="2160"/>
      </w:pPr>
      <w:r w:rsidRPr="00EF7931">
        <w:t>ARUPR</w:t>
      </w:r>
      <w:r w:rsidRPr="00EF7931">
        <w:tab/>
        <w:t>=</w:t>
      </w:r>
      <w:r w:rsidRPr="00EF7931">
        <w:tab/>
        <w:t>ARUCOSTTOT / ARUQTOT</w:t>
      </w:r>
    </w:p>
    <w:p w14:paraId="2D1A6502" w14:textId="77777777" w:rsidR="001F04FD" w:rsidRPr="004057CD" w:rsidRDefault="001F04FD" w:rsidP="001F04FD">
      <w:pPr>
        <w:pStyle w:val="Formula"/>
        <w:ind w:left="2880" w:hanging="2160"/>
      </w:pPr>
      <w:r w:rsidRPr="004057CD">
        <w:t>ARUQTOT</w:t>
      </w:r>
      <w:r w:rsidRPr="004057CD">
        <w:tab/>
        <w:t>=</w:t>
      </w:r>
      <w:r w:rsidRPr="004057CD">
        <w:tab/>
      </w:r>
      <w:r w:rsidRPr="004057CD">
        <w:rPr>
          <w:position w:val="-22"/>
          <w:lang w:val="pt-BR"/>
        </w:rPr>
        <w:object w:dxaOrig="225" w:dyaOrig="465" w14:anchorId="4FF412EA">
          <v:shape id="_x0000_i1427" type="#_x0000_t75" style="width:12pt;height:18pt" o:ole="">
            <v:imagedata r:id="rId433" o:title=""/>
          </v:shape>
          <o:OLEObject Type="Embed" ProgID="Equation.3" ShapeID="_x0000_i1427" DrawAspect="Content" ObjectID="_1815025615" r:id="rId524"/>
        </w:object>
      </w:r>
      <w:r w:rsidRPr="004057CD">
        <w:rPr>
          <w:lang w:val="pt-BR"/>
        </w:rPr>
        <w:t>A</w:t>
      </w:r>
      <w:r w:rsidRPr="004057CD">
        <w:t xml:space="preserve">RUQ </w:t>
      </w:r>
      <w:r w:rsidRPr="004057CD">
        <w:rPr>
          <w:i/>
          <w:vertAlign w:val="subscript"/>
        </w:rPr>
        <w:t>q</w:t>
      </w:r>
    </w:p>
    <w:p w14:paraId="68A1CD26" w14:textId="77777777" w:rsidR="001F04FD" w:rsidRPr="00D7423A" w:rsidRDefault="001F04FD" w:rsidP="001F04FD">
      <w:pPr>
        <w:pStyle w:val="Formula"/>
        <w:ind w:left="2880" w:hanging="2160"/>
      </w:pPr>
      <w:r w:rsidRPr="004057CD">
        <w:t>A</w:t>
      </w:r>
      <w:r w:rsidRPr="00AB2A01">
        <w:t xml:space="preserve">RUQ </w:t>
      </w:r>
      <w:r w:rsidRPr="00AB2A01">
        <w:rPr>
          <w:i/>
          <w:vertAlign w:val="subscript"/>
        </w:rPr>
        <w:t>q</w:t>
      </w:r>
      <w:r w:rsidRPr="00AB2A01">
        <w:rPr>
          <w:i/>
          <w:vertAlign w:val="subscript"/>
        </w:rPr>
        <w:tab/>
      </w:r>
      <w:r w:rsidRPr="00AB2A01">
        <w:t>=</w:t>
      </w:r>
      <w:r w:rsidRPr="00AB2A01">
        <w:tab/>
      </w:r>
      <w:r w:rsidRPr="00E278AD">
        <w:t>A</w:t>
      </w:r>
      <w:r w:rsidRPr="00C700DF">
        <w:t xml:space="preserve">RUO </w:t>
      </w:r>
      <w:r w:rsidRPr="00C700DF">
        <w:rPr>
          <w:i/>
          <w:vertAlign w:val="subscript"/>
        </w:rPr>
        <w:t>q</w:t>
      </w:r>
      <w:r w:rsidRPr="00D7423A">
        <w:t xml:space="preserve"> – SARUQ </w:t>
      </w:r>
      <w:r w:rsidRPr="00D7423A">
        <w:rPr>
          <w:i/>
          <w:vertAlign w:val="subscript"/>
        </w:rPr>
        <w:t>q</w:t>
      </w:r>
    </w:p>
    <w:p w14:paraId="22481953" w14:textId="77777777" w:rsidR="001F04FD" w:rsidRPr="00727227" w:rsidRDefault="001F04FD" w:rsidP="001F04FD">
      <w:pPr>
        <w:pStyle w:val="Formula"/>
        <w:ind w:left="2880" w:hanging="2160"/>
        <w:rPr>
          <w:vertAlign w:val="subscript"/>
          <w:lang w:val="fr-FR"/>
        </w:rPr>
      </w:pPr>
      <w:r w:rsidRPr="00605094">
        <w:t xml:space="preserve">ARUO </w:t>
      </w:r>
      <w:r w:rsidRPr="00605094">
        <w:rPr>
          <w:i/>
          <w:vertAlign w:val="subscript"/>
        </w:rPr>
        <w:t>q</w:t>
      </w:r>
      <w:r w:rsidRPr="00605094">
        <w:rPr>
          <w:i/>
          <w:vertAlign w:val="subscript"/>
        </w:rPr>
        <w:tab/>
      </w:r>
      <w:r w:rsidRPr="00605094">
        <w:t>=</w:t>
      </w:r>
      <w:r w:rsidRPr="00605094">
        <w:tab/>
        <w:t xml:space="preserve">WAURUTOT </w:t>
      </w:r>
      <w:r w:rsidRPr="00C975E5">
        <w:t>* HLRS</w:t>
      </w:r>
      <w:r w:rsidRPr="00C975E5">
        <w:rPr>
          <w:i/>
          <w:vertAlign w:val="subscript"/>
        </w:rPr>
        <w:t xml:space="preserve"> q</w:t>
      </w:r>
      <w:r w:rsidRPr="00C975E5">
        <w:t xml:space="preserve"> + </w:t>
      </w:r>
      <w:r w:rsidRPr="00435DEF">
        <w:t>RUO</w:t>
      </w:r>
      <w:r w:rsidRPr="00727227">
        <w:rPr>
          <w:i/>
          <w:vertAlign w:val="subscript"/>
        </w:rPr>
        <w:t xml:space="preserve"> q</w:t>
      </w:r>
      <w:r w:rsidRPr="00727227">
        <w:rPr>
          <w:vertAlign w:val="subscript"/>
        </w:rPr>
        <w:t xml:space="preserve"> </w:t>
      </w:r>
    </w:p>
    <w:p w14:paraId="43005BEB" w14:textId="77777777" w:rsidR="001F04FD" w:rsidRPr="004057CD" w:rsidRDefault="001F04FD" w:rsidP="001F04FD">
      <w:pPr>
        <w:pStyle w:val="Formula"/>
        <w:ind w:left="2880" w:hanging="2160"/>
        <w:rPr>
          <w:lang w:val="fr-FR"/>
        </w:rPr>
      </w:pPr>
      <w:r w:rsidRPr="00D8133F">
        <w:t>WAURUTOT</w:t>
      </w:r>
      <w:r w:rsidRPr="00D8133F">
        <w:tab/>
      </w:r>
      <w:r w:rsidRPr="00D8133F">
        <w:rPr>
          <w:lang w:val="fr-FR"/>
        </w:rPr>
        <w:t>=</w:t>
      </w:r>
      <w:r w:rsidRPr="00D8133F">
        <w:rPr>
          <w:lang w:val="fr-FR"/>
        </w:rPr>
        <w:tab/>
      </w:r>
      <w:r w:rsidRPr="004057CD">
        <w:rPr>
          <w:position w:val="-22"/>
          <w:lang w:val="pt-BR"/>
        </w:rPr>
        <w:object w:dxaOrig="225" w:dyaOrig="465" w14:anchorId="61866AF4">
          <v:shape id="_x0000_i1428" type="#_x0000_t75" style="width:12pt;height:18pt" o:ole="">
            <v:imagedata r:id="rId433" o:title=""/>
          </v:shape>
          <o:OLEObject Type="Embed" ProgID="Equation.3" ShapeID="_x0000_i1428" DrawAspect="Content" ObjectID="_1815025616" r:id="rId525"/>
        </w:object>
      </w:r>
      <w:r w:rsidRPr="004057CD">
        <w:rPr>
          <w:position w:val="-18"/>
          <w:lang w:val="pt-BR"/>
        </w:rPr>
        <w:object w:dxaOrig="220" w:dyaOrig="420" w14:anchorId="7CC20B92">
          <v:shape id="_x0000_i1429" type="#_x0000_t75" style="width:12pt;height:24pt" o:ole="">
            <v:imagedata r:id="rId413" o:title=""/>
          </v:shape>
          <o:OLEObject Type="Embed" ProgID="Equation.3" ShapeID="_x0000_i1429" DrawAspect="Content" ObjectID="_1815025617" r:id="rId526"/>
        </w:object>
      </w:r>
      <w:r w:rsidRPr="00C700DF">
        <w:rPr>
          <w:position w:val="-18"/>
          <w:lang w:val="pt-BR"/>
        </w:rPr>
        <w:object w:dxaOrig="220" w:dyaOrig="420" w14:anchorId="3B42E6B0">
          <v:shape id="_x0000_i1430" type="#_x0000_t75" style="width:12pt;height:24pt" o:ole="">
            <v:imagedata r:id="rId527" o:title=""/>
          </v:shape>
          <o:OLEObject Type="Embed" ProgID="Equation.3" ShapeID="_x0000_i1430" DrawAspect="Content" ObjectID="_1815025618" r:id="rId528"/>
        </w:object>
      </w:r>
      <w:r w:rsidRPr="004057CD">
        <w:t xml:space="preserve">RTAURUR </w:t>
      </w:r>
      <w:r w:rsidRPr="004057CD">
        <w:rPr>
          <w:i/>
          <w:vertAlign w:val="subscript"/>
        </w:rPr>
        <w:t>q,r,p</w:t>
      </w:r>
    </w:p>
    <w:p w14:paraId="7FD32D3E" w14:textId="77777777" w:rsidR="001F04FD" w:rsidRPr="004057CD" w:rsidRDefault="001F04FD" w:rsidP="001F04FD">
      <w:pPr>
        <w:keepNext/>
        <w:spacing w:before="240"/>
      </w:pPr>
      <w:r w:rsidRPr="004057C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20B9B6FE" w14:textId="77777777" w:rsidTr="00AC4DEE">
        <w:tc>
          <w:tcPr>
            <w:tcW w:w="1191" w:type="pct"/>
          </w:tcPr>
          <w:p w14:paraId="637BB2C9" w14:textId="77777777" w:rsidR="001F04FD" w:rsidRPr="00A02D58" w:rsidRDefault="001F04FD" w:rsidP="00AC4DEE">
            <w:pPr>
              <w:pStyle w:val="TableHead"/>
            </w:pPr>
            <w:r w:rsidRPr="00A02D58">
              <w:t>Variable</w:t>
            </w:r>
          </w:p>
        </w:tc>
        <w:tc>
          <w:tcPr>
            <w:tcW w:w="335" w:type="pct"/>
          </w:tcPr>
          <w:p w14:paraId="1B86AE40" w14:textId="77777777" w:rsidR="001F04FD" w:rsidRPr="00A02D58" w:rsidRDefault="001F04FD" w:rsidP="00AC4DEE">
            <w:pPr>
              <w:pStyle w:val="TableHead"/>
            </w:pPr>
            <w:r w:rsidRPr="00A02D58">
              <w:t>Unit</w:t>
            </w:r>
          </w:p>
        </w:tc>
        <w:tc>
          <w:tcPr>
            <w:tcW w:w="3474" w:type="pct"/>
          </w:tcPr>
          <w:p w14:paraId="18D78FF0" w14:textId="77777777" w:rsidR="001F04FD" w:rsidRPr="00A02D58" w:rsidRDefault="001F04FD" w:rsidP="00AC4DEE">
            <w:pPr>
              <w:pStyle w:val="TableHead"/>
            </w:pPr>
            <w:r w:rsidRPr="00A02D58">
              <w:t>Description</w:t>
            </w:r>
          </w:p>
        </w:tc>
      </w:tr>
      <w:tr w:rsidR="001F04FD" w:rsidRPr="00A02D58" w14:paraId="40E9C735" w14:textId="77777777" w:rsidTr="00AC4DEE">
        <w:tc>
          <w:tcPr>
            <w:tcW w:w="1191" w:type="pct"/>
          </w:tcPr>
          <w:p w14:paraId="0FADE8B9" w14:textId="77777777" w:rsidR="001F04FD" w:rsidRPr="007E037D" w:rsidRDefault="001F04FD" w:rsidP="00AC4DEE">
            <w:pPr>
              <w:pStyle w:val="TableBody"/>
            </w:pPr>
            <w:r w:rsidRPr="000A0BDA">
              <w:t xml:space="preserve">ARUCOST </w:t>
            </w:r>
            <w:r w:rsidRPr="000A0BDA">
              <w:rPr>
                <w:i/>
                <w:vertAlign w:val="subscript"/>
              </w:rPr>
              <w:t>q</w:t>
            </w:r>
          </w:p>
        </w:tc>
        <w:tc>
          <w:tcPr>
            <w:tcW w:w="335" w:type="pct"/>
          </w:tcPr>
          <w:p w14:paraId="1DC5A866" w14:textId="77777777" w:rsidR="001F04FD" w:rsidRDefault="001F04FD" w:rsidP="00AC4DEE">
            <w:pPr>
              <w:pStyle w:val="TableBody"/>
            </w:pPr>
            <w:r w:rsidRPr="000A0BDA">
              <w:t>$</w:t>
            </w:r>
          </w:p>
        </w:tc>
        <w:tc>
          <w:tcPr>
            <w:tcW w:w="3474" w:type="pct"/>
          </w:tcPr>
          <w:p w14:paraId="42DA0475" w14:textId="77777777" w:rsidR="001F04FD" w:rsidRPr="00A02D58" w:rsidRDefault="001F04FD" w:rsidP="00AC4DEE">
            <w:pPr>
              <w:pStyle w:val="TableBody"/>
            </w:pPr>
            <w:r w:rsidRPr="000A0BDA">
              <w:rPr>
                <w:i/>
              </w:rPr>
              <w:t>Reg-Up Cost per QSE</w:t>
            </w:r>
            <w:r w:rsidRPr="000A0BDA">
              <w:t xml:space="preserve">—QSE </w:t>
            </w:r>
            <w:r w:rsidRPr="000A0BDA">
              <w:rPr>
                <w:i/>
              </w:rPr>
              <w:t>q</w:t>
            </w:r>
            <w:r w:rsidRPr="000A0BDA">
              <w:t>’s share of the net total costs for Reg-Up that includes</w:t>
            </w:r>
            <w:r>
              <w:t xml:space="preserve"> costs of assigned Ancillary Service during a W</w:t>
            </w:r>
            <w:r w:rsidRPr="006E2C25">
              <w:t>atch</w:t>
            </w:r>
            <w:r w:rsidRPr="00E6216A">
              <w:t>, for the hour</w:t>
            </w:r>
            <w:r w:rsidRPr="000A0BDA">
              <w:t>.</w:t>
            </w:r>
          </w:p>
        </w:tc>
      </w:tr>
      <w:tr w:rsidR="001F04FD" w:rsidRPr="00A02D58" w14:paraId="308FC401" w14:textId="77777777" w:rsidTr="00AC4DEE">
        <w:tc>
          <w:tcPr>
            <w:tcW w:w="1191" w:type="pct"/>
          </w:tcPr>
          <w:p w14:paraId="638C19C3" w14:textId="77777777" w:rsidR="001F04FD" w:rsidRDefault="001F04FD" w:rsidP="00AC4DEE">
            <w:pPr>
              <w:pStyle w:val="TableBody"/>
            </w:pPr>
            <w:r w:rsidRPr="000A0BDA">
              <w:t>ARUPR</w:t>
            </w:r>
          </w:p>
        </w:tc>
        <w:tc>
          <w:tcPr>
            <w:tcW w:w="335" w:type="pct"/>
          </w:tcPr>
          <w:p w14:paraId="10C5420F" w14:textId="77777777" w:rsidR="001F04FD" w:rsidRPr="00A02D58" w:rsidRDefault="001F04FD" w:rsidP="00AC4DEE">
            <w:pPr>
              <w:pStyle w:val="TableBody"/>
            </w:pPr>
            <w:r w:rsidRPr="000A0BDA">
              <w:t>$/MW per hour</w:t>
            </w:r>
          </w:p>
        </w:tc>
        <w:tc>
          <w:tcPr>
            <w:tcW w:w="3474" w:type="pct"/>
          </w:tcPr>
          <w:p w14:paraId="7A83E25B" w14:textId="77777777" w:rsidR="001F04FD" w:rsidRPr="004A2B16" w:rsidRDefault="001F04FD" w:rsidP="00AC4DEE">
            <w:pPr>
              <w:pStyle w:val="TableBody"/>
            </w:pPr>
            <w:r w:rsidRPr="000A0BDA">
              <w:rPr>
                <w:i/>
              </w:rPr>
              <w:t>Reg-Up Price—</w:t>
            </w:r>
            <w:r w:rsidRPr="000A0BDA">
              <w:t>The price for Reg-Up calculated based on the net total costs for Reg-Up, for the hour.</w:t>
            </w:r>
          </w:p>
        </w:tc>
      </w:tr>
      <w:tr w:rsidR="001F04FD" w:rsidRPr="00A02D58" w14:paraId="048BCED0" w14:textId="77777777" w:rsidTr="00AC4DEE">
        <w:tc>
          <w:tcPr>
            <w:tcW w:w="1191" w:type="pct"/>
            <w:tcBorders>
              <w:top w:val="single" w:sz="4" w:space="0" w:color="auto"/>
              <w:left w:val="single" w:sz="4" w:space="0" w:color="auto"/>
              <w:bottom w:val="single" w:sz="4" w:space="0" w:color="auto"/>
              <w:right w:val="single" w:sz="4" w:space="0" w:color="auto"/>
            </w:tcBorders>
          </w:tcPr>
          <w:p w14:paraId="165F3973" w14:textId="77777777" w:rsidR="001F04FD" w:rsidRPr="00131358" w:rsidRDefault="001F04FD" w:rsidP="00AC4DEE">
            <w:pPr>
              <w:pStyle w:val="TableBody"/>
            </w:pPr>
            <w:r w:rsidRPr="000A0BDA">
              <w:t>ARUCOSTTOT</w:t>
            </w:r>
          </w:p>
        </w:tc>
        <w:tc>
          <w:tcPr>
            <w:tcW w:w="335" w:type="pct"/>
            <w:tcBorders>
              <w:top w:val="single" w:sz="4" w:space="0" w:color="auto"/>
              <w:left w:val="single" w:sz="4" w:space="0" w:color="auto"/>
              <w:bottom w:val="single" w:sz="4" w:space="0" w:color="auto"/>
              <w:right w:val="single" w:sz="4" w:space="0" w:color="auto"/>
            </w:tcBorders>
          </w:tcPr>
          <w:p w14:paraId="5E2BB782" w14:textId="77777777" w:rsidR="001F04FD" w:rsidRPr="00131358" w:rsidRDefault="001F04FD" w:rsidP="00AC4DEE">
            <w:pPr>
              <w:pStyle w:val="TableBody"/>
            </w:pPr>
            <w:r w:rsidRPr="000A0BDA">
              <w:t>$</w:t>
            </w:r>
          </w:p>
        </w:tc>
        <w:tc>
          <w:tcPr>
            <w:tcW w:w="3474" w:type="pct"/>
            <w:tcBorders>
              <w:top w:val="single" w:sz="4" w:space="0" w:color="auto"/>
              <w:left w:val="single" w:sz="4" w:space="0" w:color="auto"/>
              <w:bottom w:val="single" w:sz="4" w:space="0" w:color="auto"/>
              <w:right w:val="single" w:sz="4" w:space="0" w:color="auto"/>
            </w:tcBorders>
          </w:tcPr>
          <w:p w14:paraId="4E2BE20C" w14:textId="77777777" w:rsidR="001F04FD" w:rsidRPr="005D75C3" w:rsidRDefault="001F04FD" w:rsidP="00AC4DEE">
            <w:pPr>
              <w:pStyle w:val="TableBody"/>
            </w:pPr>
            <w:r w:rsidRPr="000A0BDA">
              <w:rPr>
                <w:i/>
              </w:rPr>
              <w:t>Reg-Up Cost Total</w:t>
            </w:r>
            <w:r w:rsidRPr="000A0BDA">
              <w:t>—The total costs for Reg-Up that includes</w:t>
            </w:r>
            <w:r>
              <w:t xml:space="preserve"> costs of assigned Ancillary Service during a W</w:t>
            </w:r>
            <w:r w:rsidRPr="006E2C25">
              <w:t>atch for the hour.</w:t>
            </w:r>
          </w:p>
        </w:tc>
      </w:tr>
      <w:tr w:rsidR="001F04FD" w:rsidRPr="00A02D58" w14:paraId="0524E14C" w14:textId="77777777" w:rsidTr="00AC4DEE">
        <w:tc>
          <w:tcPr>
            <w:tcW w:w="1191" w:type="pct"/>
            <w:tcBorders>
              <w:top w:val="single" w:sz="4" w:space="0" w:color="auto"/>
              <w:left w:val="single" w:sz="4" w:space="0" w:color="auto"/>
              <w:bottom w:val="single" w:sz="4" w:space="0" w:color="auto"/>
              <w:right w:val="single" w:sz="4" w:space="0" w:color="auto"/>
            </w:tcBorders>
          </w:tcPr>
          <w:p w14:paraId="0289BCFC" w14:textId="77777777" w:rsidR="001F04FD" w:rsidRPr="00131358" w:rsidRDefault="001F04FD" w:rsidP="00AC4DEE">
            <w:pPr>
              <w:pStyle w:val="TableBody"/>
            </w:pPr>
            <w:r w:rsidRPr="000A0BDA">
              <w:t>ARUQTOT</w:t>
            </w:r>
          </w:p>
        </w:tc>
        <w:tc>
          <w:tcPr>
            <w:tcW w:w="335" w:type="pct"/>
            <w:tcBorders>
              <w:top w:val="single" w:sz="4" w:space="0" w:color="auto"/>
              <w:left w:val="single" w:sz="4" w:space="0" w:color="auto"/>
              <w:bottom w:val="single" w:sz="4" w:space="0" w:color="auto"/>
              <w:right w:val="single" w:sz="4" w:space="0" w:color="auto"/>
            </w:tcBorders>
          </w:tcPr>
          <w:p w14:paraId="7923C498" w14:textId="77777777" w:rsidR="001F04FD" w:rsidRPr="001313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6C39EC23" w14:textId="77777777" w:rsidR="001F04FD" w:rsidRPr="00A87906" w:rsidRDefault="001F04FD" w:rsidP="00AC4DEE">
            <w:pPr>
              <w:pStyle w:val="TableBody"/>
            </w:pPr>
            <w:r w:rsidRPr="000A0BDA">
              <w:rPr>
                <w:i/>
              </w:rPr>
              <w:t>Reg-Up Quantity Total</w:t>
            </w:r>
            <w:r w:rsidRPr="000A0BDA">
              <w:t>—The sum of every QSE’s portion of its Ancillary Service Obligation that is not self-arranged in either DAM or any SASM</w:t>
            </w:r>
            <w:r w:rsidRPr="00DF672C">
              <w:t xml:space="preserve"> </w:t>
            </w:r>
            <w:r>
              <w:t>that includes</w:t>
            </w:r>
            <w:r w:rsidRPr="00DF672C">
              <w:t xml:space="preserve"> assigne</w:t>
            </w:r>
            <w:r>
              <w:t>d Ancillary Service, during a Watch,</w:t>
            </w:r>
            <w:r w:rsidRPr="004057CD">
              <w:t xml:space="preserve"> for the hour.</w:t>
            </w:r>
          </w:p>
        </w:tc>
      </w:tr>
      <w:tr w:rsidR="001F04FD" w:rsidRPr="00A02D58" w14:paraId="37C64D8F" w14:textId="77777777" w:rsidTr="00AC4DEE">
        <w:tc>
          <w:tcPr>
            <w:tcW w:w="1191" w:type="pct"/>
            <w:tcBorders>
              <w:top w:val="single" w:sz="4" w:space="0" w:color="auto"/>
              <w:left w:val="single" w:sz="4" w:space="0" w:color="auto"/>
              <w:bottom w:val="single" w:sz="4" w:space="0" w:color="auto"/>
              <w:right w:val="single" w:sz="4" w:space="0" w:color="auto"/>
            </w:tcBorders>
          </w:tcPr>
          <w:p w14:paraId="72E3C758" w14:textId="77777777" w:rsidR="001F04FD" w:rsidRPr="004A2B16" w:rsidRDefault="001F04FD" w:rsidP="00AC4DEE">
            <w:pPr>
              <w:pStyle w:val="TableBody"/>
              <w:rPr>
                <w:i/>
              </w:rPr>
            </w:pPr>
            <w:r w:rsidRPr="000A0BDA">
              <w:t xml:space="preserve">ARUQ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276377A7"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2DF1FEBC" w14:textId="77777777" w:rsidR="001F04FD" w:rsidRPr="00A02D58" w:rsidRDefault="001F04FD" w:rsidP="00AC4DEE">
            <w:pPr>
              <w:pStyle w:val="TableBody"/>
            </w:pPr>
            <w:r w:rsidRPr="000A0BDA">
              <w:rPr>
                <w:i/>
              </w:rPr>
              <w:t>Reg-Up Quantity per QSE</w:t>
            </w:r>
            <w:r w:rsidRPr="000A0BDA">
              <w:t xml:space="preserve">—The portion of QSE </w:t>
            </w:r>
            <w:r w:rsidRPr="000A0BDA">
              <w:rPr>
                <w:i/>
              </w:rPr>
              <w:t>q</w:t>
            </w:r>
            <w:r w:rsidRPr="000A0BDA">
              <w:t xml:space="preserve">’s total Ancillary Service Obligation that is not self-arranged in either DAM or any SASM, </w:t>
            </w:r>
            <w:r>
              <w:t>that includes</w:t>
            </w:r>
            <w:r w:rsidRPr="00DF672C">
              <w:t xml:space="preserve"> assigne</w:t>
            </w:r>
            <w:r>
              <w:t>d Ancillary Service, during a Watch</w:t>
            </w:r>
            <w:r w:rsidRPr="00AE693E">
              <w:t xml:space="preserve"> for the hour.</w:t>
            </w:r>
          </w:p>
        </w:tc>
      </w:tr>
      <w:tr w:rsidR="001F04FD" w:rsidRPr="00A02D58" w14:paraId="4DAA8848"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4D9A49EE" w14:textId="77777777" w:rsidR="001F04FD" w:rsidRPr="004A2B16" w:rsidRDefault="001F04FD" w:rsidP="00AC4DEE">
            <w:pPr>
              <w:pStyle w:val="TableBody"/>
              <w:rPr>
                <w:i/>
              </w:rPr>
            </w:pPr>
            <w:r w:rsidRPr="000A0BDA">
              <w:t>WAURUTOT</w:t>
            </w:r>
          </w:p>
        </w:tc>
        <w:tc>
          <w:tcPr>
            <w:tcW w:w="335" w:type="pct"/>
            <w:tcBorders>
              <w:top w:val="single" w:sz="4" w:space="0" w:color="auto"/>
              <w:left w:val="single" w:sz="4" w:space="0" w:color="auto"/>
              <w:bottom w:val="single" w:sz="4" w:space="0" w:color="auto"/>
              <w:right w:val="single" w:sz="4" w:space="0" w:color="auto"/>
            </w:tcBorders>
          </w:tcPr>
          <w:p w14:paraId="33130747"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7C0B0422" w14:textId="77777777" w:rsidR="001F04FD" w:rsidRPr="004A2B16" w:rsidRDefault="001F04FD" w:rsidP="00AC4DEE">
            <w:pPr>
              <w:pStyle w:val="TableBody"/>
            </w:pPr>
            <w:r w:rsidRPr="000A0BDA">
              <w:rPr>
                <w:i/>
              </w:rPr>
              <w:t xml:space="preserve">Watch Assigned Un-Deployed Regulation Up Quantity- </w:t>
            </w:r>
            <w:r w:rsidRPr="000A0BDA">
              <w:t>The total market wide quantity of un-deployed Reg-Up Ancillary Service Assignment for the hour.</w:t>
            </w:r>
          </w:p>
        </w:tc>
      </w:tr>
      <w:tr w:rsidR="001F04FD" w:rsidRPr="00A02D58" w14:paraId="5CA6DD00" w14:textId="77777777" w:rsidTr="00AC4DEE">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223B1CC8" w14:textId="77777777" w:rsidR="001F04FD" w:rsidRPr="004A2B16" w:rsidRDefault="001F04FD" w:rsidP="00AC4DEE">
            <w:pPr>
              <w:pStyle w:val="TableBody"/>
              <w:rPr>
                <w:i/>
              </w:rPr>
            </w:pPr>
            <w:r w:rsidRPr="000A0BDA">
              <w:lastRenderedPageBreak/>
              <w:t xml:space="preserve">RTAURUR </w:t>
            </w:r>
            <w:r w:rsidRPr="000A0BDA">
              <w:rPr>
                <w:i/>
                <w:vertAlign w:val="subscript"/>
              </w:rPr>
              <w:t>q,r</w:t>
            </w:r>
            <w:r w:rsidRPr="000A0BDA">
              <w:t xml:space="preserve"> </w:t>
            </w:r>
            <w:r w:rsidRPr="000A0BDA">
              <w:rPr>
                <w:i/>
                <w:vertAlign w:val="subscript"/>
              </w:rPr>
              <w:t xml:space="preserve"> </w:t>
            </w:r>
            <w:r w:rsidRPr="000A0BDA">
              <w:t xml:space="preserve"> </w:t>
            </w:r>
          </w:p>
        </w:tc>
        <w:tc>
          <w:tcPr>
            <w:tcW w:w="335" w:type="pct"/>
            <w:tcBorders>
              <w:top w:val="single" w:sz="4" w:space="0" w:color="auto"/>
              <w:left w:val="single" w:sz="4" w:space="0" w:color="auto"/>
              <w:bottom w:val="single" w:sz="4" w:space="0" w:color="auto"/>
              <w:right w:val="single" w:sz="4" w:space="0" w:color="auto"/>
            </w:tcBorders>
          </w:tcPr>
          <w:p w14:paraId="50CBEA57"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39E9E299" w14:textId="77777777" w:rsidR="001F04FD" w:rsidRPr="004A2B16" w:rsidRDefault="001F04FD" w:rsidP="00AC4DEE">
            <w:pPr>
              <w:pStyle w:val="TableBody"/>
            </w:pPr>
            <w:r w:rsidRPr="000A0BDA">
              <w:rPr>
                <w:i/>
              </w:rPr>
              <w:t xml:space="preserve">Real-Time Assigned Un-Deployed Regulation Up Quantity per Resource per QSE - </w:t>
            </w:r>
            <w:r w:rsidRPr="000A0BDA">
              <w:t>The quantity of un-deployed</w:t>
            </w:r>
            <w:r w:rsidRPr="000A0BDA">
              <w:rPr>
                <w:i/>
              </w:rPr>
              <w:t xml:space="preserve"> </w:t>
            </w:r>
            <w:r w:rsidRPr="000A0BDA">
              <w:t xml:space="preserve">Reg-Up Ancillary Service Assignment to a QSE </w:t>
            </w:r>
            <w:r w:rsidRPr="000A0BDA">
              <w:rPr>
                <w:i/>
              </w:rPr>
              <w:t>q</w:t>
            </w:r>
            <w:r w:rsidRPr="000A0BDA">
              <w:t xml:space="preserve"> for Resource </w:t>
            </w:r>
            <w:r w:rsidRPr="000A0BDA">
              <w:rPr>
                <w:i/>
              </w:rPr>
              <w:t>r</w:t>
            </w:r>
            <w:r w:rsidRPr="000A0BDA">
              <w:t xml:space="preserve"> for the hour.  Where for a Combined Cycle Train, the Resource </w:t>
            </w:r>
            <w:r w:rsidRPr="000A0BDA">
              <w:rPr>
                <w:i/>
              </w:rPr>
              <w:t xml:space="preserve">r </w:t>
            </w:r>
            <w:r w:rsidRPr="000A0BDA">
              <w:t>is a Combined Cycle Generation Resource within the Combined Cycle Train.</w:t>
            </w:r>
          </w:p>
        </w:tc>
      </w:tr>
      <w:tr w:rsidR="001F04FD" w:rsidRPr="00A02D58" w14:paraId="65B32919"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879258A" w14:textId="77777777" w:rsidR="001F04FD" w:rsidRPr="004A2B16" w:rsidRDefault="001F04FD" w:rsidP="00AC4DEE">
            <w:pPr>
              <w:pStyle w:val="TableBody"/>
              <w:rPr>
                <w:i/>
              </w:rPr>
            </w:pPr>
            <w:r w:rsidRPr="000A0BDA">
              <w:t xml:space="preserve">ARUO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2AA1DF20"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1EF986C0" w14:textId="77777777" w:rsidR="001F04FD" w:rsidRPr="00A02D58" w:rsidRDefault="001F04FD" w:rsidP="00AC4DEE">
            <w:pPr>
              <w:pStyle w:val="TableBody"/>
            </w:pPr>
            <w:r w:rsidRPr="000A0BDA">
              <w:rPr>
                <w:i/>
              </w:rPr>
              <w:t>Reg-Up Obligation per QSE</w:t>
            </w:r>
            <w:r w:rsidRPr="000A0BDA">
              <w:t xml:space="preserve">—The Ancillary Service Obligation of QSE </w:t>
            </w:r>
            <w:r w:rsidRPr="000A0BDA">
              <w:rPr>
                <w:i/>
              </w:rPr>
              <w:t>q</w:t>
            </w:r>
            <w:r w:rsidRPr="000A0BDA">
              <w:t xml:space="preserve">, for the hour during a </w:t>
            </w:r>
            <w:r>
              <w:t>W</w:t>
            </w:r>
            <w:r w:rsidRPr="006E2C25">
              <w:t>atch.</w:t>
            </w:r>
          </w:p>
        </w:tc>
      </w:tr>
      <w:tr w:rsidR="001F04FD" w:rsidRPr="00A02D58" w14:paraId="5654B34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253C8A83" w14:textId="77777777" w:rsidR="001F04FD" w:rsidRPr="004A2B16" w:rsidRDefault="001F04FD" w:rsidP="00AC4DEE">
            <w:pPr>
              <w:pStyle w:val="TableBody"/>
              <w:rPr>
                <w:i/>
              </w:rPr>
            </w:pPr>
            <w:r w:rsidRPr="00AE693E">
              <w:t xml:space="preserve">RUO </w:t>
            </w:r>
            <w:r w:rsidRPr="00D77832">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1E9A82AF" w14:textId="77777777" w:rsidR="001F04FD" w:rsidRDefault="001F04FD" w:rsidP="00AC4DEE">
            <w:pPr>
              <w:pStyle w:val="TableBody"/>
            </w:pPr>
            <w:r w:rsidRPr="00727227">
              <w:t>MW</w:t>
            </w:r>
          </w:p>
        </w:tc>
        <w:tc>
          <w:tcPr>
            <w:tcW w:w="3474" w:type="pct"/>
            <w:tcBorders>
              <w:top w:val="single" w:sz="4" w:space="0" w:color="auto"/>
              <w:left w:val="single" w:sz="4" w:space="0" w:color="auto"/>
              <w:bottom w:val="single" w:sz="4" w:space="0" w:color="auto"/>
              <w:right w:val="single" w:sz="4" w:space="0" w:color="auto"/>
            </w:tcBorders>
          </w:tcPr>
          <w:p w14:paraId="289424CE" w14:textId="77777777" w:rsidR="001F04FD" w:rsidRPr="00A02D58" w:rsidRDefault="001F04FD" w:rsidP="00AC4DEE">
            <w:pPr>
              <w:pStyle w:val="TableBody"/>
            </w:pPr>
            <w:r w:rsidRPr="00D8133F">
              <w:rPr>
                <w:i/>
              </w:rPr>
              <w:t>Reg-Up Obligation per QSE</w:t>
            </w:r>
            <w:r w:rsidRPr="00D8133F">
              <w:t xml:space="preserve">—The Ancillary Service Obligation of QSE </w:t>
            </w:r>
            <w:r w:rsidRPr="00D8133F">
              <w:rPr>
                <w:i/>
              </w:rPr>
              <w:t>q</w:t>
            </w:r>
            <w:r w:rsidRPr="00D8133F">
              <w:t>, for the hour.</w:t>
            </w:r>
          </w:p>
        </w:tc>
      </w:tr>
      <w:tr w:rsidR="001F04FD" w:rsidRPr="00A02D58" w14:paraId="170BD0D9"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A6E665D" w14:textId="77777777" w:rsidR="001F04FD" w:rsidRPr="004A2B16" w:rsidRDefault="001F04FD" w:rsidP="00AC4DEE">
            <w:pPr>
              <w:pStyle w:val="TableBody"/>
              <w:rPr>
                <w:i/>
              </w:rPr>
            </w:pPr>
            <w:r w:rsidRPr="000A0BDA">
              <w:t xml:space="preserve">HLRS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4859C0C5"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36452E3E" w14:textId="77777777" w:rsidR="001F04FD" w:rsidRPr="00A02D58" w:rsidRDefault="001F04FD" w:rsidP="00BD4C7C">
            <w:pPr>
              <w:pStyle w:val="TableBody"/>
            </w:pPr>
            <w:r w:rsidRPr="000A0BDA">
              <w:rPr>
                <w:i/>
              </w:rPr>
              <w:t>The Hourly Load Ratio Share calculated for QSE q for the hour</w:t>
            </w:r>
            <w:r w:rsidRPr="000A0BDA">
              <w:t>.  See Section 6.6.2.</w:t>
            </w:r>
            <w:r w:rsidR="00BD4C7C">
              <w:t>4</w:t>
            </w:r>
            <w:r w:rsidRPr="000A0BDA">
              <w:t>, QSE Load Ratio Share for an Operating Hour.</w:t>
            </w:r>
          </w:p>
        </w:tc>
      </w:tr>
      <w:tr w:rsidR="001F04FD" w:rsidRPr="00A02D58" w14:paraId="1E3227C3"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3B57E3E2" w14:textId="77777777" w:rsidR="001F04FD" w:rsidRPr="004A2B16" w:rsidRDefault="001F04FD" w:rsidP="00AC4DEE">
            <w:pPr>
              <w:pStyle w:val="TableBody"/>
              <w:rPr>
                <w:i/>
              </w:rPr>
            </w:pPr>
            <w:r w:rsidRPr="000A0BDA">
              <w:t>SARUQ</w:t>
            </w:r>
            <w:r w:rsidRPr="000A0BDA">
              <w:rPr>
                <w:vertAlign w:val="subscript"/>
              </w:rPr>
              <w:t xml:space="preserve">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35CE20C8" w14:textId="77777777" w:rsidR="001F04FD" w:rsidRDefault="001F04FD" w:rsidP="00AC4DEE">
            <w:pPr>
              <w:pStyle w:val="TableBody"/>
            </w:pPr>
            <w:r w:rsidRPr="00C975E5">
              <w:t>MW</w:t>
            </w:r>
          </w:p>
        </w:tc>
        <w:tc>
          <w:tcPr>
            <w:tcW w:w="3474" w:type="pct"/>
            <w:tcBorders>
              <w:top w:val="single" w:sz="4" w:space="0" w:color="auto"/>
              <w:left w:val="single" w:sz="4" w:space="0" w:color="auto"/>
              <w:bottom w:val="single" w:sz="4" w:space="0" w:color="auto"/>
              <w:right w:val="single" w:sz="4" w:space="0" w:color="auto"/>
            </w:tcBorders>
          </w:tcPr>
          <w:p w14:paraId="3FCC5DAA" w14:textId="77777777" w:rsidR="001F04FD" w:rsidRPr="00A02D58" w:rsidRDefault="001F04FD" w:rsidP="00AC4DEE">
            <w:pPr>
              <w:pStyle w:val="TableBody"/>
            </w:pPr>
            <w:r w:rsidRPr="00E31F19">
              <w:rPr>
                <w:i/>
              </w:rPr>
              <w:t>Total Self-Arranged Reg-Up Quantity per QSE for all markets</w:t>
            </w:r>
            <w:r w:rsidRPr="00E31F19">
              <w:t>—The sum of all self-arranged Reg-Up quantities su</w:t>
            </w:r>
            <w:r w:rsidRPr="006E2C25">
              <w:t xml:space="preserve">bmitted by </w:t>
            </w:r>
            <w:r w:rsidRPr="00E6216A">
              <w:t xml:space="preserve">QSE </w:t>
            </w:r>
            <w:r w:rsidRPr="000A0BDA">
              <w:rPr>
                <w:i/>
              </w:rPr>
              <w:t>q</w:t>
            </w:r>
            <w:r w:rsidRPr="000A0BDA">
              <w:t xml:space="preserve"> for DAM and all SASMs.</w:t>
            </w:r>
          </w:p>
        </w:tc>
      </w:tr>
      <w:tr w:rsidR="001F04FD" w:rsidRPr="00A02D58" w14:paraId="03FC9098"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52C37FD" w14:textId="77777777" w:rsidR="001F04FD" w:rsidRPr="004A2B16" w:rsidRDefault="001F04FD" w:rsidP="00AC4DEE">
            <w:pPr>
              <w:pStyle w:val="TableBody"/>
              <w:rPr>
                <w:i/>
              </w:rPr>
            </w:pPr>
            <w:r w:rsidRPr="000A0BDA">
              <w:rPr>
                <w:i/>
              </w:rPr>
              <w:t>q</w:t>
            </w:r>
          </w:p>
        </w:tc>
        <w:tc>
          <w:tcPr>
            <w:tcW w:w="335" w:type="pct"/>
            <w:tcBorders>
              <w:top w:val="single" w:sz="4" w:space="0" w:color="auto"/>
              <w:left w:val="single" w:sz="4" w:space="0" w:color="auto"/>
              <w:bottom w:val="single" w:sz="4" w:space="0" w:color="auto"/>
              <w:right w:val="single" w:sz="4" w:space="0" w:color="auto"/>
            </w:tcBorders>
          </w:tcPr>
          <w:p w14:paraId="0C6C97B7"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3D0500CD" w14:textId="77777777" w:rsidR="001F04FD" w:rsidRPr="00A02D58" w:rsidRDefault="001F04FD" w:rsidP="00AC4DEE">
            <w:pPr>
              <w:pStyle w:val="TableBody"/>
            </w:pPr>
            <w:r w:rsidRPr="000A0BDA">
              <w:t>A QSE.</w:t>
            </w:r>
          </w:p>
        </w:tc>
      </w:tr>
      <w:tr w:rsidR="001F04FD" w:rsidRPr="00A02D58" w14:paraId="59F2988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B43BBB6" w14:textId="77777777" w:rsidR="001F04FD" w:rsidRPr="004A2B16" w:rsidRDefault="001F04FD" w:rsidP="00AC4DEE">
            <w:pPr>
              <w:pStyle w:val="TableBody"/>
              <w:rPr>
                <w:i/>
              </w:rPr>
            </w:pPr>
            <w:r w:rsidRPr="000A0BDA">
              <w:rPr>
                <w:i/>
              </w:rPr>
              <w:t>r</w:t>
            </w:r>
          </w:p>
        </w:tc>
        <w:tc>
          <w:tcPr>
            <w:tcW w:w="335" w:type="pct"/>
            <w:tcBorders>
              <w:top w:val="single" w:sz="4" w:space="0" w:color="auto"/>
              <w:left w:val="single" w:sz="4" w:space="0" w:color="auto"/>
              <w:bottom w:val="single" w:sz="4" w:space="0" w:color="auto"/>
              <w:right w:val="single" w:sz="4" w:space="0" w:color="auto"/>
            </w:tcBorders>
          </w:tcPr>
          <w:p w14:paraId="4084FA34"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487F6280" w14:textId="77777777" w:rsidR="001F04FD" w:rsidRPr="00A02D58" w:rsidRDefault="001F04FD" w:rsidP="00AC4DEE">
            <w:pPr>
              <w:pStyle w:val="TableBody"/>
            </w:pPr>
            <w:r w:rsidRPr="000A1457">
              <w:t>A Generation Resource</w:t>
            </w:r>
            <w:r w:rsidRPr="00D77832">
              <w:rPr>
                <w:i/>
              </w:rPr>
              <w:t xml:space="preserve"> </w:t>
            </w:r>
            <w:r w:rsidRPr="00D77832">
              <w:t>that was allocated Reg-Up Ancillary Service Assignment by the QSE.</w:t>
            </w:r>
          </w:p>
        </w:tc>
      </w:tr>
      <w:tr w:rsidR="001F04FD" w:rsidRPr="00A02D58" w14:paraId="68CDA37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4AD22638" w14:textId="77777777" w:rsidR="001F04FD" w:rsidRPr="004A2B16" w:rsidRDefault="001F04FD" w:rsidP="00AC4DEE">
            <w:pPr>
              <w:pStyle w:val="TableBody"/>
              <w:rPr>
                <w:i/>
              </w:rPr>
            </w:pPr>
            <w:r w:rsidRPr="000A0BDA">
              <w:rPr>
                <w:i/>
              </w:rPr>
              <w:t>p</w:t>
            </w:r>
          </w:p>
        </w:tc>
        <w:tc>
          <w:tcPr>
            <w:tcW w:w="335" w:type="pct"/>
            <w:tcBorders>
              <w:top w:val="single" w:sz="4" w:space="0" w:color="auto"/>
              <w:left w:val="single" w:sz="4" w:space="0" w:color="auto"/>
              <w:bottom w:val="single" w:sz="4" w:space="0" w:color="auto"/>
              <w:right w:val="single" w:sz="4" w:space="0" w:color="auto"/>
            </w:tcBorders>
          </w:tcPr>
          <w:p w14:paraId="7B110E81"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586654BC" w14:textId="77777777" w:rsidR="001F04FD" w:rsidRPr="00A02D58" w:rsidRDefault="001F04FD" w:rsidP="00AC4DEE">
            <w:pPr>
              <w:pStyle w:val="TableBody"/>
            </w:pPr>
            <w:r w:rsidRPr="00D77832">
              <w:t>A Settlement Point for the Resource Node that was allocated Reg-Up Ancillary Service Assignment by the QSE.</w:t>
            </w:r>
          </w:p>
        </w:tc>
      </w:tr>
    </w:tbl>
    <w:p w14:paraId="3404C6AD" w14:textId="77777777" w:rsidR="001F04FD" w:rsidRPr="00D8133F" w:rsidRDefault="001F04FD" w:rsidP="001F04FD">
      <w:pPr>
        <w:pStyle w:val="List"/>
        <w:spacing w:before="240"/>
      </w:pPr>
      <w:r w:rsidRPr="000A0BDA">
        <w:t>(c)</w:t>
      </w:r>
      <w:r w:rsidRPr="000A0BDA">
        <w:tab/>
        <w:t xml:space="preserve">The </w:t>
      </w:r>
      <w:r>
        <w:t>incremental cost</w:t>
      </w:r>
      <w:r w:rsidRPr="00727227">
        <w:t xml:space="preserve"> to each QSE’s for assigned Reg-Up for the Operating Hour, is calcu</w:t>
      </w:r>
      <w:r w:rsidRPr="00D8133F">
        <w:t>lated as follows:</w:t>
      </w:r>
    </w:p>
    <w:p w14:paraId="3646A866" w14:textId="77777777" w:rsidR="001F04FD" w:rsidRPr="000A1457" w:rsidRDefault="001F04FD" w:rsidP="001F04FD">
      <w:pPr>
        <w:ind w:left="3600" w:hanging="2160"/>
        <w:rPr>
          <w:b/>
          <w:i/>
          <w:vertAlign w:val="subscript"/>
        </w:rPr>
      </w:pPr>
      <w:r w:rsidRPr="000A1457">
        <w:rPr>
          <w:b/>
        </w:rPr>
        <w:t>NETARTRUAMT</w:t>
      </w:r>
      <w:r w:rsidRPr="000A1457">
        <w:rPr>
          <w:b/>
          <w:i/>
          <w:vertAlign w:val="subscript"/>
        </w:rPr>
        <w:t xml:space="preserve"> q</w:t>
      </w:r>
      <w:r w:rsidRPr="000A1457">
        <w:rPr>
          <w:b/>
        </w:rPr>
        <w:t xml:space="preserve">  = ARUCOST </w:t>
      </w:r>
      <w:r w:rsidRPr="000A1457">
        <w:rPr>
          <w:b/>
          <w:i/>
          <w:vertAlign w:val="subscript"/>
        </w:rPr>
        <w:t>q</w:t>
      </w:r>
      <w:r w:rsidRPr="000A1457">
        <w:rPr>
          <w:b/>
        </w:rPr>
        <w:t xml:space="preserve"> – RUCOST </w:t>
      </w:r>
      <w:r w:rsidRPr="000A1457">
        <w:rPr>
          <w:b/>
          <w:i/>
          <w:vertAlign w:val="subscript"/>
        </w:rPr>
        <w:t>q</w:t>
      </w:r>
      <w:r w:rsidRPr="000A1457">
        <w:rPr>
          <w:b/>
        </w:rPr>
        <w:t xml:space="preserve"> </w:t>
      </w:r>
    </w:p>
    <w:p w14:paraId="4FB72AD1" w14:textId="77777777" w:rsidR="001F04FD" w:rsidRPr="004057CD" w:rsidRDefault="001F04FD" w:rsidP="001F04FD">
      <w:pPr>
        <w:ind w:left="720" w:firstLine="720"/>
        <w:rPr>
          <w:b/>
        </w:rPr>
      </w:pPr>
    </w:p>
    <w:p w14:paraId="40F284FE" w14:textId="77777777" w:rsidR="001F04FD" w:rsidRPr="00AB2A01" w:rsidRDefault="001F04FD" w:rsidP="001F04FD">
      <w:r w:rsidRPr="00AB2A01">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31AE941A" w14:textId="77777777" w:rsidTr="00AC4DEE">
        <w:tc>
          <w:tcPr>
            <w:tcW w:w="1191" w:type="pct"/>
          </w:tcPr>
          <w:p w14:paraId="32E4E1C9" w14:textId="77777777" w:rsidR="001F04FD" w:rsidRPr="00A02D58" w:rsidRDefault="001F04FD" w:rsidP="00AC4DEE">
            <w:pPr>
              <w:pStyle w:val="TableHead"/>
            </w:pPr>
            <w:r w:rsidRPr="00A02D58">
              <w:t>Variable</w:t>
            </w:r>
          </w:p>
        </w:tc>
        <w:tc>
          <w:tcPr>
            <w:tcW w:w="335" w:type="pct"/>
          </w:tcPr>
          <w:p w14:paraId="11B6A9E0" w14:textId="77777777" w:rsidR="001F04FD" w:rsidRPr="00A02D58" w:rsidRDefault="001F04FD" w:rsidP="00AC4DEE">
            <w:pPr>
              <w:pStyle w:val="TableHead"/>
            </w:pPr>
            <w:r w:rsidRPr="00A02D58">
              <w:t>Unit</w:t>
            </w:r>
          </w:p>
        </w:tc>
        <w:tc>
          <w:tcPr>
            <w:tcW w:w="3474" w:type="pct"/>
          </w:tcPr>
          <w:p w14:paraId="279F9F4A" w14:textId="77777777" w:rsidR="001F04FD" w:rsidRPr="00A02D58" w:rsidRDefault="001F04FD" w:rsidP="00AC4DEE">
            <w:pPr>
              <w:pStyle w:val="TableHead"/>
            </w:pPr>
            <w:r w:rsidRPr="00A02D58">
              <w:t>Description</w:t>
            </w:r>
          </w:p>
        </w:tc>
      </w:tr>
      <w:tr w:rsidR="001F04FD" w:rsidRPr="00A02D58" w14:paraId="38C17204" w14:textId="77777777" w:rsidTr="00AC4DEE">
        <w:tc>
          <w:tcPr>
            <w:tcW w:w="1191" w:type="pct"/>
          </w:tcPr>
          <w:p w14:paraId="11748875" w14:textId="77777777" w:rsidR="001F04FD" w:rsidRPr="007E037D" w:rsidRDefault="001F04FD" w:rsidP="00AC4DEE">
            <w:pPr>
              <w:pStyle w:val="TableBody"/>
            </w:pPr>
            <w:r w:rsidRPr="000A0BDA">
              <w:t>NETARTRUAMT</w:t>
            </w:r>
            <w:r w:rsidRPr="000A0BDA">
              <w:rPr>
                <w:b/>
                <w:i/>
                <w:vertAlign w:val="subscript"/>
              </w:rPr>
              <w:t xml:space="preserve"> </w:t>
            </w:r>
            <w:r w:rsidRPr="000A1457">
              <w:rPr>
                <w:i/>
                <w:vertAlign w:val="subscript"/>
              </w:rPr>
              <w:t>q</w:t>
            </w:r>
            <w:r w:rsidRPr="00B22EE1">
              <w:t xml:space="preserve"> </w:t>
            </w:r>
            <w:r w:rsidRPr="000A0BDA">
              <w:t xml:space="preserve"> </w:t>
            </w:r>
          </w:p>
        </w:tc>
        <w:tc>
          <w:tcPr>
            <w:tcW w:w="335" w:type="pct"/>
          </w:tcPr>
          <w:p w14:paraId="3EA3B045" w14:textId="77777777" w:rsidR="001F04FD" w:rsidRDefault="001F04FD" w:rsidP="00AC4DEE">
            <w:pPr>
              <w:pStyle w:val="TableBody"/>
            </w:pPr>
            <w:r w:rsidRPr="000A0BDA">
              <w:t>$</w:t>
            </w:r>
          </w:p>
        </w:tc>
        <w:tc>
          <w:tcPr>
            <w:tcW w:w="3474" w:type="pct"/>
          </w:tcPr>
          <w:p w14:paraId="28AE10A6" w14:textId="77777777" w:rsidR="001F04FD" w:rsidRPr="00A02D58" w:rsidRDefault="001F04FD" w:rsidP="00AC4DEE">
            <w:pPr>
              <w:pStyle w:val="TableBody"/>
            </w:pPr>
            <w:r w:rsidRPr="000A0BDA">
              <w:rPr>
                <w:i/>
              </w:rPr>
              <w:t>Real-Time Reg-Up Amount per QSE</w:t>
            </w:r>
            <w:r w:rsidRPr="000A0BDA">
              <w:t xml:space="preserve">—The net adjustment to QSE </w:t>
            </w:r>
            <w:r w:rsidRPr="000A0BDA">
              <w:rPr>
                <w:i/>
              </w:rPr>
              <w:t>q</w:t>
            </w:r>
            <w:r w:rsidRPr="000A0BDA">
              <w:t>’s share of the costs for assigned Reg-Up, for the hour.</w:t>
            </w:r>
          </w:p>
        </w:tc>
      </w:tr>
      <w:tr w:rsidR="001F04FD" w:rsidRPr="00A02D58" w14:paraId="4DBEF4F5" w14:textId="77777777" w:rsidTr="00AC4DEE">
        <w:tc>
          <w:tcPr>
            <w:tcW w:w="1191" w:type="pct"/>
          </w:tcPr>
          <w:p w14:paraId="703FE8C1" w14:textId="77777777" w:rsidR="001F04FD" w:rsidRDefault="001F04FD" w:rsidP="00AC4DEE">
            <w:pPr>
              <w:pStyle w:val="TableBody"/>
            </w:pPr>
            <w:r w:rsidRPr="000A0BDA">
              <w:t>ARUCOST</w:t>
            </w:r>
            <w:r w:rsidRPr="000A0BDA">
              <w:rPr>
                <w:b/>
              </w:rPr>
              <w:t xml:space="preserve"> </w:t>
            </w:r>
            <w:r w:rsidRPr="000A1457">
              <w:rPr>
                <w:i/>
                <w:vertAlign w:val="subscript"/>
              </w:rPr>
              <w:t>q</w:t>
            </w:r>
          </w:p>
        </w:tc>
        <w:tc>
          <w:tcPr>
            <w:tcW w:w="335" w:type="pct"/>
          </w:tcPr>
          <w:p w14:paraId="5ED12421" w14:textId="77777777" w:rsidR="001F04FD" w:rsidRPr="00A02D58" w:rsidRDefault="001F04FD" w:rsidP="00AC4DEE">
            <w:pPr>
              <w:pStyle w:val="TableBody"/>
            </w:pPr>
            <w:r w:rsidRPr="000A0BDA">
              <w:t>$</w:t>
            </w:r>
          </w:p>
        </w:tc>
        <w:tc>
          <w:tcPr>
            <w:tcW w:w="3474" w:type="pct"/>
          </w:tcPr>
          <w:p w14:paraId="1863F51C" w14:textId="77777777" w:rsidR="001F04FD" w:rsidRPr="004A2B16" w:rsidRDefault="001F04FD" w:rsidP="00AC4DEE">
            <w:pPr>
              <w:pStyle w:val="TableBody"/>
            </w:pPr>
            <w:r w:rsidRPr="000A0BDA">
              <w:rPr>
                <w:i/>
              </w:rPr>
              <w:t>Reg-Up Cost per QSE</w:t>
            </w:r>
            <w:r w:rsidRPr="000A0BDA">
              <w:t xml:space="preserve">—QSE </w:t>
            </w:r>
            <w:r w:rsidRPr="000A0BDA">
              <w:rPr>
                <w:i/>
              </w:rPr>
              <w:t>q</w:t>
            </w:r>
            <w:r w:rsidRPr="000A0BDA">
              <w:t xml:space="preserve">’s share of the net total costs for Reg-Up that includes costs of assigned </w:t>
            </w:r>
            <w:r>
              <w:t>Ancillary Service</w:t>
            </w:r>
            <w:r w:rsidRPr="000A0BDA">
              <w:t xml:space="preserve"> during a </w:t>
            </w:r>
            <w:r>
              <w:t>W</w:t>
            </w:r>
            <w:r w:rsidRPr="000A0BDA">
              <w:t>atch, for the hour.</w:t>
            </w:r>
          </w:p>
        </w:tc>
      </w:tr>
      <w:tr w:rsidR="001F04FD" w:rsidRPr="00A02D58" w14:paraId="11BC15C7" w14:textId="77777777" w:rsidTr="00AC4DEE">
        <w:tc>
          <w:tcPr>
            <w:tcW w:w="1191" w:type="pct"/>
            <w:tcBorders>
              <w:top w:val="single" w:sz="4" w:space="0" w:color="auto"/>
              <w:left w:val="single" w:sz="4" w:space="0" w:color="auto"/>
              <w:bottom w:val="single" w:sz="4" w:space="0" w:color="auto"/>
              <w:right w:val="single" w:sz="4" w:space="0" w:color="auto"/>
            </w:tcBorders>
          </w:tcPr>
          <w:p w14:paraId="31C84747" w14:textId="77777777" w:rsidR="001F04FD" w:rsidRPr="00131358" w:rsidRDefault="001F04FD" w:rsidP="00AC4DEE">
            <w:pPr>
              <w:pStyle w:val="TableBody"/>
            </w:pPr>
            <w:r w:rsidRPr="000A0BDA">
              <w:t xml:space="preserve">RUCOST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6B633453" w14:textId="77777777" w:rsidR="001F04FD" w:rsidRPr="00131358" w:rsidRDefault="001F04FD" w:rsidP="00AC4DEE">
            <w:pPr>
              <w:pStyle w:val="TableBody"/>
            </w:pPr>
            <w:r w:rsidRPr="000A0BDA">
              <w:t>$</w:t>
            </w:r>
          </w:p>
        </w:tc>
        <w:tc>
          <w:tcPr>
            <w:tcW w:w="3474" w:type="pct"/>
            <w:tcBorders>
              <w:top w:val="single" w:sz="4" w:space="0" w:color="auto"/>
              <w:left w:val="single" w:sz="4" w:space="0" w:color="auto"/>
              <w:bottom w:val="single" w:sz="4" w:space="0" w:color="auto"/>
              <w:right w:val="single" w:sz="4" w:space="0" w:color="auto"/>
            </w:tcBorders>
          </w:tcPr>
          <w:p w14:paraId="57DB4392" w14:textId="77777777" w:rsidR="001F04FD" w:rsidRPr="005D75C3" w:rsidRDefault="001F04FD" w:rsidP="00AC4DEE">
            <w:pPr>
              <w:pStyle w:val="TableBody"/>
            </w:pPr>
            <w:r w:rsidRPr="000A0BDA">
              <w:rPr>
                <w:i/>
              </w:rPr>
              <w:t>Reg-Up Cost per QSE</w:t>
            </w:r>
            <w:r w:rsidRPr="000A0BDA">
              <w:t xml:space="preserve">—QSE </w:t>
            </w:r>
            <w:r w:rsidRPr="000A0BDA">
              <w:rPr>
                <w:i/>
              </w:rPr>
              <w:t>q</w:t>
            </w:r>
            <w:r w:rsidRPr="000A0BDA">
              <w:t>’s share of the net total costs for Reg-Up, for the hour.</w:t>
            </w:r>
          </w:p>
        </w:tc>
      </w:tr>
      <w:tr w:rsidR="001F04FD" w:rsidRPr="00A02D58" w14:paraId="635F0D72" w14:textId="77777777" w:rsidTr="00AC4DEE">
        <w:tc>
          <w:tcPr>
            <w:tcW w:w="1191" w:type="pct"/>
            <w:tcBorders>
              <w:top w:val="single" w:sz="4" w:space="0" w:color="auto"/>
              <w:left w:val="single" w:sz="4" w:space="0" w:color="auto"/>
              <w:bottom w:val="single" w:sz="4" w:space="0" w:color="auto"/>
              <w:right w:val="single" w:sz="4" w:space="0" w:color="auto"/>
            </w:tcBorders>
          </w:tcPr>
          <w:p w14:paraId="779C2FAF" w14:textId="77777777" w:rsidR="001F04FD" w:rsidRPr="00131358" w:rsidRDefault="001F04FD" w:rsidP="00AC4DEE">
            <w:pPr>
              <w:pStyle w:val="TableBody"/>
            </w:pPr>
            <w:r w:rsidRPr="000A0BDA">
              <w:rPr>
                <w:i/>
              </w:rPr>
              <w:t>q</w:t>
            </w:r>
          </w:p>
        </w:tc>
        <w:tc>
          <w:tcPr>
            <w:tcW w:w="335" w:type="pct"/>
            <w:tcBorders>
              <w:top w:val="single" w:sz="4" w:space="0" w:color="auto"/>
              <w:left w:val="single" w:sz="4" w:space="0" w:color="auto"/>
              <w:bottom w:val="single" w:sz="4" w:space="0" w:color="auto"/>
              <w:right w:val="single" w:sz="4" w:space="0" w:color="auto"/>
            </w:tcBorders>
          </w:tcPr>
          <w:p w14:paraId="3DDE35D9" w14:textId="77777777" w:rsidR="001F04FD" w:rsidRPr="00131358"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10C4A79E" w14:textId="77777777" w:rsidR="001F04FD" w:rsidRPr="00A87906" w:rsidRDefault="001F04FD" w:rsidP="00AC4DEE">
            <w:pPr>
              <w:pStyle w:val="TableBody"/>
            </w:pPr>
            <w:r w:rsidRPr="000A0BDA">
              <w:t>A QSE.</w:t>
            </w:r>
          </w:p>
        </w:tc>
      </w:tr>
    </w:tbl>
    <w:p w14:paraId="5093BF55" w14:textId="77777777" w:rsidR="001F04FD" w:rsidRPr="000A0BDA" w:rsidRDefault="001F04FD" w:rsidP="001F04FD">
      <w:pPr>
        <w:pStyle w:val="BodyTextNumbered"/>
        <w:spacing w:before="240"/>
        <w:rPr>
          <w:iCs/>
        </w:rPr>
      </w:pPr>
      <w:r w:rsidRPr="000A0BDA">
        <w:rPr>
          <w:iCs/>
        </w:rPr>
        <w:t>(2)</w:t>
      </w:r>
      <w:r w:rsidRPr="000A0BDA">
        <w:rPr>
          <w:iCs/>
        </w:rPr>
        <w:tab/>
        <w:t>For RRS, if applicable:</w:t>
      </w:r>
    </w:p>
    <w:p w14:paraId="4F1FEF74" w14:textId="77777777" w:rsidR="001F04FD" w:rsidRPr="00727227" w:rsidRDefault="001F04FD" w:rsidP="001F04FD">
      <w:pPr>
        <w:pStyle w:val="List"/>
      </w:pPr>
      <w:r w:rsidRPr="000A0BDA">
        <w:t>(a)</w:t>
      </w:r>
      <w:r w:rsidRPr="000A0BDA">
        <w:tab/>
        <w:t xml:space="preserve">The total costs for RRS for a given Operating Hour </w:t>
      </w:r>
      <w:r>
        <w:t xml:space="preserve">during a Watch </w:t>
      </w:r>
      <w:r w:rsidRPr="00727227">
        <w:t>is calculated as follows:</w:t>
      </w:r>
    </w:p>
    <w:p w14:paraId="17320B3C" w14:textId="77777777" w:rsidR="001F04FD" w:rsidRPr="00727227" w:rsidRDefault="001F04FD" w:rsidP="001F04FD">
      <w:pPr>
        <w:pStyle w:val="FormulaBold"/>
      </w:pPr>
      <w:r w:rsidRPr="00727227">
        <w:t xml:space="preserve">ARRCOSTTOT </w:t>
      </w:r>
      <w:r w:rsidRPr="00727227">
        <w:tab/>
        <w:t>=</w:t>
      </w:r>
      <w:r w:rsidRPr="00727227">
        <w:tab/>
        <w:t xml:space="preserve">(-1) * </w:t>
      </w:r>
      <w:r>
        <w:t>RTAURRAMTTOT</w:t>
      </w:r>
      <w:r w:rsidRPr="00727227">
        <w:t xml:space="preserve"> + RRCOSTTOT </w:t>
      </w:r>
    </w:p>
    <w:p w14:paraId="75E5CB52" w14:textId="77777777" w:rsidR="001F04FD" w:rsidRPr="00A02D58" w:rsidRDefault="001F04FD" w:rsidP="001F04FD">
      <w:pPr>
        <w:pStyle w:val="BodyText"/>
      </w:pPr>
      <w:r w:rsidRPr="00D8133F">
        <w:t>Where:</w:t>
      </w:r>
      <w:r w:rsidRPr="00A02D58">
        <w:t xml:space="preserve"> </w:t>
      </w:r>
    </w:p>
    <w:p w14:paraId="0BB5F06B" w14:textId="77777777" w:rsidR="001F04FD" w:rsidRPr="00A02D58" w:rsidRDefault="001F04FD" w:rsidP="001F04FD">
      <w:pPr>
        <w:ind w:left="720"/>
      </w:pPr>
      <w:r w:rsidRPr="00A02D58">
        <w:t>Total payment of Real-Time A</w:t>
      </w:r>
      <w:r>
        <w:t xml:space="preserve">ncillary </w:t>
      </w:r>
      <w:r w:rsidRPr="00A02D58">
        <w:t>S</w:t>
      </w:r>
      <w:r>
        <w:t>ervice</w:t>
      </w:r>
      <w:r w:rsidRPr="00A02D58">
        <w:t xml:space="preserve"> Assignment procured capacity for </w:t>
      </w:r>
      <w:r>
        <w:t>u</w:t>
      </w:r>
      <w:r w:rsidRPr="00A02D58">
        <w:t>n-</w:t>
      </w:r>
      <w:r>
        <w:t>d</w:t>
      </w:r>
      <w:r w:rsidRPr="00A02D58">
        <w:t>eployed RRS</w:t>
      </w:r>
    </w:p>
    <w:p w14:paraId="5DD4F470" w14:textId="77777777" w:rsidR="001F04FD" w:rsidRPr="00A02D58" w:rsidRDefault="001F04FD" w:rsidP="001F04FD"/>
    <w:p w14:paraId="4DB25609" w14:textId="77777777" w:rsidR="001F04FD" w:rsidRPr="00582ACD" w:rsidRDefault="001F04FD" w:rsidP="001F04FD">
      <w:pPr>
        <w:pStyle w:val="FormulaBold"/>
        <w:rPr>
          <w:b w:val="0"/>
        </w:rPr>
      </w:pPr>
      <w:r w:rsidRPr="00582ACD">
        <w:rPr>
          <w:b w:val="0"/>
        </w:rPr>
        <w:lastRenderedPageBreak/>
        <w:t xml:space="preserve">RTAURRAMTTOT </w:t>
      </w:r>
      <w:r w:rsidRPr="00582ACD">
        <w:rPr>
          <w:b w:val="0"/>
        </w:rPr>
        <w:tab/>
        <w:t>=</w:t>
      </w:r>
      <w:r w:rsidRPr="00582ACD">
        <w:rPr>
          <w:b w:val="0"/>
        </w:rPr>
        <w:tab/>
      </w:r>
      <w:r w:rsidRPr="00582ACD">
        <w:rPr>
          <w:b w:val="0"/>
          <w:position w:val="-30"/>
        </w:rPr>
        <w:object w:dxaOrig="460" w:dyaOrig="560" w14:anchorId="1098B127">
          <v:shape id="_x0000_i1431" type="#_x0000_t75" style="width:18pt;height:30pt" o:ole="">
            <v:imagedata r:id="rId529" o:title=""/>
          </v:shape>
          <o:OLEObject Type="Embed" ProgID="Equation.3" ShapeID="_x0000_i1431" DrawAspect="Content" ObjectID="_1815025619" r:id="rId530"/>
        </w:object>
      </w:r>
      <w:r w:rsidRPr="00582ACD">
        <w:rPr>
          <w:b w:val="0"/>
          <w:position w:val="-28"/>
        </w:rPr>
        <w:object w:dxaOrig="460" w:dyaOrig="540" w14:anchorId="4CD0D605">
          <v:shape id="_x0000_i1432" type="#_x0000_t75" style="width:18pt;height:30pt" o:ole="">
            <v:imagedata r:id="rId531" o:title=""/>
          </v:shape>
          <o:OLEObject Type="Embed" ProgID="Equation.3" ShapeID="_x0000_i1432" DrawAspect="Content" ObjectID="_1815025620" r:id="rId532"/>
        </w:object>
      </w:r>
      <w:r w:rsidRPr="00582ACD">
        <w:rPr>
          <w:b w:val="0"/>
          <w:position w:val="-30"/>
        </w:rPr>
        <w:object w:dxaOrig="460" w:dyaOrig="560" w14:anchorId="02AF6825">
          <v:shape id="_x0000_i1433" type="#_x0000_t75" style="width:18pt;height:30pt" o:ole="">
            <v:imagedata r:id="rId533" o:title=""/>
          </v:shape>
          <o:OLEObject Type="Embed" ProgID="Equation.3" ShapeID="_x0000_i1433" DrawAspect="Content" ObjectID="_1815025621" r:id="rId534"/>
        </w:object>
      </w:r>
      <w:r w:rsidRPr="00582ACD">
        <w:rPr>
          <w:b w:val="0"/>
          <w:position w:val="-28"/>
        </w:rPr>
        <w:object w:dxaOrig="460" w:dyaOrig="680" w14:anchorId="1E3AFD41">
          <v:shape id="_x0000_i1434" type="#_x0000_t75" style="width:18pt;height:36.6pt" o:ole="">
            <v:imagedata r:id="rId535" o:title=""/>
          </v:shape>
          <o:OLEObject Type="Embed" ProgID="Equation.3" ShapeID="_x0000_i1434" DrawAspect="Content" ObjectID="_1815025622" r:id="rId536"/>
        </w:object>
      </w:r>
      <w:r w:rsidRPr="00582ACD">
        <w:rPr>
          <w:b w:val="0"/>
        </w:rPr>
        <w:t xml:space="preserve">RTAURRAMT </w:t>
      </w:r>
      <w:r w:rsidRPr="00582ACD">
        <w:rPr>
          <w:b w:val="0"/>
          <w:i/>
          <w:vertAlign w:val="subscript"/>
        </w:rPr>
        <w:t>q,</w:t>
      </w:r>
      <w:r w:rsidR="000809F8">
        <w:rPr>
          <w:b w:val="0"/>
          <w:i/>
          <w:vertAlign w:val="subscript"/>
        </w:rPr>
        <w:t xml:space="preserve"> </w:t>
      </w:r>
      <w:r w:rsidRPr="00582ACD">
        <w:rPr>
          <w:b w:val="0"/>
          <w:i/>
          <w:vertAlign w:val="subscript"/>
        </w:rPr>
        <w:t>r,</w:t>
      </w:r>
      <w:r w:rsidR="000809F8">
        <w:rPr>
          <w:b w:val="0"/>
          <w:i/>
          <w:vertAlign w:val="subscript"/>
        </w:rPr>
        <w:t xml:space="preserve"> </w:t>
      </w:r>
      <w:r w:rsidRPr="00582ACD">
        <w:rPr>
          <w:b w:val="0"/>
          <w:i/>
          <w:vertAlign w:val="subscript"/>
        </w:rPr>
        <w:t>p, i</w:t>
      </w:r>
    </w:p>
    <w:p w14:paraId="4D9B7FF2" w14:textId="77777777" w:rsidR="001F04FD" w:rsidRPr="00A02D58" w:rsidRDefault="001F04FD" w:rsidP="001F04FD">
      <w:r w:rsidRPr="00A02D58">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78A47D9D" w14:textId="77777777" w:rsidTr="00AC4DEE">
        <w:tc>
          <w:tcPr>
            <w:tcW w:w="1191" w:type="pct"/>
          </w:tcPr>
          <w:p w14:paraId="6188373C" w14:textId="77777777" w:rsidR="001F04FD" w:rsidRPr="00A02D58" w:rsidRDefault="001F04FD" w:rsidP="00AC4DEE">
            <w:pPr>
              <w:pStyle w:val="TableHead"/>
            </w:pPr>
            <w:r w:rsidRPr="00A02D58">
              <w:t>Variable</w:t>
            </w:r>
          </w:p>
        </w:tc>
        <w:tc>
          <w:tcPr>
            <w:tcW w:w="335" w:type="pct"/>
          </w:tcPr>
          <w:p w14:paraId="41BBEE36" w14:textId="77777777" w:rsidR="001F04FD" w:rsidRPr="00A02D58" w:rsidRDefault="001F04FD" w:rsidP="00AC4DEE">
            <w:pPr>
              <w:pStyle w:val="TableHead"/>
            </w:pPr>
            <w:r w:rsidRPr="00A02D58">
              <w:t>Unit</w:t>
            </w:r>
          </w:p>
        </w:tc>
        <w:tc>
          <w:tcPr>
            <w:tcW w:w="3474" w:type="pct"/>
          </w:tcPr>
          <w:p w14:paraId="61AE594B" w14:textId="77777777" w:rsidR="001F04FD" w:rsidRPr="00A02D58" w:rsidRDefault="001F04FD" w:rsidP="00AC4DEE">
            <w:pPr>
              <w:pStyle w:val="TableHead"/>
            </w:pPr>
            <w:r w:rsidRPr="00A02D58">
              <w:t>Description</w:t>
            </w:r>
          </w:p>
        </w:tc>
      </w:tr>
      <w:tr w:rsidR="001F04FD" w:rsidRPr="00A02D58" w14:paraId="72D24300" w14:textId="77777777" w:rsidTr="00AC4DEE">
        <w:tc>
          <w:tcPr>
            <w:tcW w:w="1191" w:type="pct"/>
          </w:tcPr>
          <w:p w14:paraId="5973FB67" w14:textId="77777777" w:rsidR="001F04FD" w:rsidRPr="007E037D" w:rsidRDefault="001F04FD" w:rsidP="00AC4DEE">
            <w:pPr>
              <w:pStyle w:val="TableBody"/>
            </w:pPr>
            <w:r>
              <w:t>A</w:t>
            </w:r>
            <w:r w:rsidRPr="00A02D58">
              <w:t>RRCOSTTOT</w:t>
            </w:r>
          </w:p>
        </w:tc>
        <w:tc>
          <w:tcPr>
            <w:tcW w:w="335" w:type="pct"/>
          </w:tcPr>
          <w:p w14:paraId="51807290" w14:textId="77777777" w:rsidR="001F04FD" w:rsidRDefault="001F04FD" w:rsidP="00AC4DEE">
            <w:pPr>
              <w:pStyle w:val="TableBody"/>
            </w:pPr>
            <w:r w:rsidRPr="00A02D58">
              <w:t>$</w:t>
            </w:r>
          </w:p>
        </w:tc>
        <w:tc>
          <w:tcPr>
            <w:tcW w:w="3474" w:type="pct"/>
          </w:tcPr>
          <w:p w14:paraId="47B7D77A" w14:textId="77777777" w:rsidR="001F04FD" w:rsidRPr="00A02D58" w:rsidRDefault="001F04FD" w:rsidP="00AC4DEE">
            <w:pPr>
              <w:pStyle w:val="TableBody"/>
            </w:pPr>
            <w:r w:rsidRPr="00AD7B88">
              <w:rPr>
                <w:i/>
              </w:rPr>
              <w:t>Responsive Reserve</w:t>
            </w:r>
            <w:r w:rsidRPr="00A02D58">
              <w:rPr>
                <w:i/>
              </w:rPr>
              <w:t xml:space="preserve"> Cost Total</w:t>
            </w:r>
            <w:r w:rsidRPr="00A02D58">
              <w:t xml:space="preserve">—The net total costs for RRS </w:t>
            </w:r>
            <w:r>
              <w:t xml:space="preserve">that includes costs of assigned Ancillary Service during a Watch </w:t>
            </w:r>
            <w:r w:rsidRPr="00A02D58">
              <w:t>for the hour.</w:t>
            </w:r>
          </w:p>
        </w:tc>
      </w:tr>
      <w:tr w:rsidR="001F04FD" w:rsidRPr="00A02D58" w14:paraId="0B355AF5" w14:textId="77777777" w:rsidTr="00AC4DEE">
        <w:tc>
          <w:tcPr>
            <w:tcW w:w="1191" w:type="pct"/>
          </w:tcPr>
          <w:p w14:paraId="0761557C" w14:textId="77777777" w:rsidR="001F04FD" w:rsidRDefault="001F04FD" w:rsidP="00AC4DEE">
            <w:pPr>
              <w:pStyle w:val="TableBody"/>
            </w:pPr>
            <w:r w:rsidRPr="00A02D58">
              <w:t>RRCOSTTOT</w:t>
            </w:r>
          </w:p>
        </w:tc>
        <w:tc>
          <w:tcPr>
            <w:tcW w:w="335" w:type="pct"/>
          </w:tcPr>
          <w:p w14:paraId="3C191A8A" w14:textId="77777777" w:rsidR="001F04FD" w:rsidRPr="00A02D58" w:rsidRDefault="001F04FD" w:rsidP="00AC4DEE">
            <w:pPr>
              <w:pStyle w:val="TableBody"/>
            </w:pPr>
            <w:r>
              <w:t>$</w:t>
            </w:r>
          </w:p>
        </w:tc>
        <w:tc>
          <w:tcPr>
            <w:tcW w:w="3474" w:type="pct"/>
          </w:tcPr>
          <w:p w14:paraId="2A1BE538" w14:textId="77777777" w:rsidR="001F04FD" w:rsidRPr="004A2B16" w:rsidRDefault="001F04FD" w:rsidP="00AC4DEE">
            <w:pPr>
              <w:pStyle w:val="TableBody"/>
            </w:pPr>
            <w:r w:rsidRPr="00A02D58">
              <w:rPr>
                <w:i/>
              </w:rPr>
              <w:t>Responsive Reserve Cost Total</w:t>
            </w:r>
            <w:r w:rsidRPr="00A02D58">
              <w:t xml:space="preserve">—The net total costs for RRS for the hour.  </w:t>
            </w:r>
          </w:p>
        </w:tc>
      </w:tr>
      <w:tr w:rsidR="001F04FD" w:rsidRPr="00A02D58" w14:paraId="2E6CD771" w14:textId="77777777" w:rsidTr="00AC4DEE">
        <w:tc>
          <w:tcPr>
            <w:tcW w:w="1191" w:type="pct"/>
            <w:tcBorders>
              <w:top w:val="single" w:sz="4" w:space="0" w:color="auto"/>
              <w:left w:val="single" w:sz="4" w:space="0" w:color="auto"/>
              <w:bottom w:val="single" w:sz="4" w:space="0" w:color="auto"/>
              <w:right w:val="single" w:sz="4" w:space="0" w:color="auto"/>
            </w:tcBorders>
          </w:tcPr>
          <w:p w14:paraId="18EF12AB" w14:textId="77777777" w:rsidR="001F04FD" w:rsidRPr="00131358" w:rsidRDefault="001F04FD" w:rsidP="00AC4DEE">
            <w:pPr>
              <w:pStyle w:val="TableBody"/>
            </w:pPr>
            <w:r w:rsidRPr="00A02D58">
              <w:t>RTAURRAMTTOT</w:t>
            </w:r>
          </w:p>
        </w:tc>
        <w:tc>
          <w:tcPr>
            <w:tcW w:w="335" w:type="pct"/>
            <w:tcBorders>
              <w:top w:val="single" w:sz="4" w:space="0" w:color="auto"/>
              <w:left w:val="single" w:sz="4" w:space="0" w:color="auto"/>
              <w:bottom w:val="single" w:sz="4" w:space="0" w:color="auto"/>
              <w:right w:val="single" w:sz="4" w:space="0" w:color="auto"/>
            </w:tcBorders>
          </w:tcPr>
          <w:p w14:paraId="26ABDD4D" w14:textId="77777777" w:rsidR="001F04FD" w:rsidRPr="00131358" w:rsidRDefault="001F04FD" w:rsidP="00AC4DEE">
            <w:pPr>
              <w:pStyle w:val="TableBody"/>
            </w:pPr>
            <w:r w:rsidRPr="00A02D58">
              <w:t>$</w:t>
            </w:r>
          </w:p>
        </w:tc>
        <w:tc>
          <w:tcPr>
            <w:tcW w:w="3474" w:type="pct"/>
            <w:tcBorders>
              <w:top w:val="single" w:sz="4" w:space="0" w:color="auto"/>
              <w:left w:val="single" w:sz="4" w:space="0" w:color="auto"/>
              <w:bottom w:val="single" w:sz="4" w:space="0" w:color="auto"/>
              <w:right w:val="single" w:sz="4" w:space="0" w:color="auto"/>
            </w:tcBorders>
          </w:tcPr>
          <w:p w14:paraId="2A5588C6" w14:textId="77777777" w:rsidR="001F04FD" w:rsidRPr="005D75C3" w:rsidRDefault="001F04FD" w:rsidP="000809F8">
            <w:pPr>
              <w:pStyle w:val="TableBody"/>
            </w:pPr>
            <w:r w:rsidRPr="00A02D58">
              <w:rPr>
                <w:i/>
              </w:rPr>
              <w:t>Real-Time Assigned Un-Deployed Responsive Reserve Payment Amount Total</w:t>
            </w:r>
            <w:r w:rsidR="000809F8">
              <w:rPr>
                <w:i/>
              </w:rPr>
              <w:t xml:space="preserve"> </w:t>
            </w:r>
            <w:r w:rsidRPr="00A02D58">
              <w:rPr>
                <w:i/>
              </w:rPr>
              <w:t xml:space="preserve">for all QSEs - </w:t>
            </w:r>
            <w:r w:rsidRPr="00A02D58">
              <w:t xml:space="preserve">The payments to all QSEs for the Real-Time un-deployed </w:t>
            </w:r>
            <w:r>
              <w:t>RRS</w:t>
            </w:r>
            <w:r w:rsidRPr="00A02D58">
              <w:t xml:space="preserve"> </w:t>
            </w:r>
            <w:r>
              <w:t>Ancillary Service A</w:t>
            </w:r>
            <w:r w:rsidRPr="00A02D58">
              <w:t>ssignment for the hour.</w:t>
            </w:r>
          </w:p>
        </w:tc>
      </w:tr>
      <w:tr w:rsidR="001F04FD" w:rsidRPr="00A02D58" w14:paraId="36D1FB92" w14:textId="77777777" w:rsidTr="00AC4DEE">
        <w:tc>
          <w:tcPr>
            <w:tcW w:w="1191" w:type="pct"/>
            <w:tcBorders>
              <w:top w:val="single" w:sz="4" w:space="0" w:color="auto"/>
              <w:left w:val="single" w:sz="4" w:space="0" w:color="auto"/>
              <w:bottom w:val="single" w:sz="4" w:space="0" w:color="auto"/>
              <w:right w:val="single" w:sz="4" w:space="0" w:color="auto"/>
            </w:tcBorders>
          </w:tcPr>
          <w:p w14:paraId="2091D6C8" w14:textId="77777777" w:rsidR="001F04FD" w:rsidRPr="00131358" w:rsidRDefault="001F04FD" w:rsidP="00AC4DEE">
            <w:pPr>
              <w:pStyle w:val="TableBody"/>
            </w:pPr>
            <w:r w:rsidRPr="00A02D58">
              <w:t>RTAURRAMT</w:t>
            </w:r>
            <w:r w:rsidRPr="00A02D58">
              <w:rPr>
                <w:b/>
              </w:rPr>
              <w:t xml:space="preserve"> </w:t>
            </w:r>
            <w:r w:rsidRPr="00A02D58">
              <w:rPr>
                <w:i/>
                <w:vertAlign w:val="subscript"/>
              </w:rPr>
              <w:t>q, r,p,i</w:t>
            </w:r>
          </w:p>
        </w:tc>
        <w:tc>
          <w:tcPr>
            <w:tcW w:w="335" w:type="pct"/>
            <w:tcBorders>
              <w:top w:val="single" w:sz="4" w:space="0" w:color="auto"/>
              <w:left w:val="single" w:sz="4" w:space="0" w:color="auto"/>
              <w:bottom w:val="single" w:sz="4" w:space="0" w:color="auto"/>
              <w:right w:val="single" w:sz="4" w:space="0" w:color="auto"/>
            </w:tcBorders>
          </w:tcPr>
          <w:p w14:paraId="15E96A23" w14:textId="77777777" w:rsidR="001F04FD" w:rsidRPr="00131358" w:rsidRDefault="001F04FD" w:rsidP="00AC4DEE">
            <w:pPr>
              <w:pStyle w:val="TableBody"/>
            </w:pPr>
            <w:r w:rsidRPr="00A02D58">
              <w:t>$</w:t>
            </w:r>
          </w:p>
        </w:tc>
        <w:tc>
          <w:tcPr>
            <w:tcW w:w="3474" w:type="pct"/>
            <w:tcBorders>
              <w:top w:val="single" w:sz="4" w:space="0" w:color="auto"/>
              <w:left w:val="single" w:sz="4" w:space="0" w:color="auto"/>
              <w:bottom w:val="single" w:sz="4" w:space="0" w:color="auto"/>
              <w:right w:val="single" w:sz="4" w:space="0" w:color="auto"/>
            </w:tcBorders>
          </w:tcPr>
          <w:p w14:paraId="36996C06" w14:textId="77777777" w:rsidR="001F04FD" w:rsidRPr="00A87906" w:rsidRDefault="001F04FD" w:rsidP="00AC4DEE">
            <w:pPr>
              <w:pStyle w:val="TableBody"/>
            </w:pPr>
            <w:r w:rsidRPr="00A02D58">
              <w:rPr>
                <w:i/>
              </w:rPr>
              <w:t xml:space="preserve">Real-Time Assigned Un-Deployed Responsive Reserve Payment Amount per QSE - </w:t>
            </w:r>
            <w:r w:rsidRPr="00A02D58">
              <w:t xml:space="preserve">The payment to QSE </w:t>
            </w:r>
            <w:r w:rsidRPr="00732474">
              <w:rPr>
                <w:i/>
              </w:rPr>
              <w:t>q</w:t>
            </w:r>
            <w:r w:rsidRPr="00A02D58">
              <w:t xml:space="preserve"> for a Real-Time un-deployed </w:t>
            </w:r>
            <w:r>
              <w:t>RRS Ancillary Service A</w:t>
            </w:r>
            <w:r w:rsidRPr="00A02D58">
              <w:t xml:space="preserve">ssignment </w:t>
            </w:r>
            <w:r>
              <w:t xml:space="preserve">to Resource </w:t>
            </w:r>
            <w:r w:rsidRPr="001F2A44">
              <w:rPr>
                <w:i/>
              </w:rPr>
              <w:t>r</w:t>
            </w:r>
            <w:r>
              <w:t xml:space="preserve"> </w:t>
            </w:r>
            <w:r w:rsidRPr="00A02D58">
              <w:t xml:space="preserve">at Settlement Point </w:t>
            </w:r>
            <w:r w:rsidRPr="00732474">
              <w:rPr>
                <w:i/>
              </w:rPr>
              <w:t>p</w:t>
            </w:r>
            <w:r w:rsidRPr="00A02D58">
              <w:t xml:space="preserve"> for the 15-minute Settlement Interval </w:t>
            </w:r>
            <w:r w:rsidRPr="00732474">
              <w:rPr>
                <w:i/>
              </w:rPr>
              <w:t>i</w:t>
            </w:r>
            <w:r w:rsidRPr="00A02D58">
              <w:t>.</w:t>
            </w:r>
          </w:p>
        </w:tc>
      </w:tr>
      <w:tr w:rsidR="001F04FD" w:rsidRPr="00A02D58" w14:paraId="318405B8" w14:textId="77777777" w:rsidTr="00AC4DEE">
        <w:tc>
          <w:tcPr>
            <w:tcW w:w="1191" w:type="pct"/>
            <w:tcBorders>
              <w:top w:val="single" w:sz="4" w:space="0" w:color="auto"/>
              <w:left w:val="single" w:sz="4" w:space="0" w:color="auto"/>
              <w:bottom w:val="single" w:sz="4" w:space="0" w:color="auto"/>
              <w:right w:val="single" w:sz="4" w:space="0" w:color="auto"/>
            </w:tcBorders>
          </w:tcPr>
          <w:p w14:paraId="30ACDE44" w14:textId="77777777" w:rsidR="001F04FD" w:rsidRPr="004A2B16" w:rsidRDefault="001F04FD" w:rsidP="00AC4DEE">
            <w:pPr>
              <w:pStyle w:val="TableBody"/>
              <w:rPr>
                <w:i/>
              </w:rPr>
            </w:pPr>
            <w:r w:rsidRPr="001F2A44">
              <w:rPr>
                <w:i/>
              </w:rPr>
              <w:t>q</w:t>
            </w:r>
          </w:p>
        </w:tc>
        <w:tc>
          <w:tcPr>
            <w:tcW w:w="335" w:type="pct"/>
            <w:tcBorders>
              <w:top w:val="single" w:sz="4" w:space="0" w:color="auto"/>
              <w:left w:val="single" w:sz="4" w:space="0" w:color="auto"/>
              <w:bottom w:val="single" w:sz="4" w:space="0" w:color="auto"/>
              <w:right w:val="single" w:sz="4" w:space="0" w:color="auto"/>
            </w:tcBorders>
          </w:tcPr>
          <w:p w14:paraId="72D7A274" w14:textId="77777777" w:rsidR="001F04FD" w:rsidRPr="00A02D58" w:rsidRDefault="001F04FD" w:rsidP="00AC4DEE">
            <w:pPr>
              <w:pStyle w:val="TableBody"/>
            </w:pPr>
            <w:r w:rsidRPr="00A02D58">
              <w:t>none</w:t>
            </w:r>
          </w:p>
        </w:tc>
        <w:tc>
          <w:tcPr>
            <w:tcW w:w="3474" w:type="pct"/>
            <w:tcBorders>
              <w:top w:val="single" w:sz="4" w:space="0" w:color="auto"/>
              <w:left w:val="single" w:sz="4" w:space="0" w:color="auto"/>
              <w:bottom w:val="single" w:sz="4" w:space="0" w:color="auto"/>
              <w:right w:val="single" w:sz="4" w:space="0" w:color="auto"/>
            </w:tcBorders>
          </w:tcPr>
          <w:p w14:paraId="55802E7B" w14:textId="77777777" w:rsidR="001F04FD" w:rsidRPr="00A02D58" w:rsidRDefault="001F04FD" w:rsidP="00AC4DEE">
            <w:pPr>
              <w:pStyle w:val="TableBody"/>
            </w:pPr>
            <w:r w:rsidRPr="00A02D58">
              <w:t>A QSE.</w:t>
            </w:r>
          </w:p>
        </w:tc>
      </w:tr>
      <w:tr w:rsidR="001F04FD" w:rsidRPr="00A02D58" w14:paraId="488FC785"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30DC1FF0" w14:textId="77777777" w:rsidR="001F04FD" w:rsidRPr="004A2B16" w:rsidRDefault="001F04FD" w:rsidP="00AC4DEE">
            <w:pPr>
              <w:pStyle w:val="TableBody"/>
              <w:rPr>
                <w:i/>
              </w:rPr>
            </w:pPr>
            <w:r w:rsidRPr="00DB2D18">
              <w:rPr>
                <w:i/>
              </w:rPr>
              <w:t>r</w:t>
            </w:r>
          </w:p>
        </w:tc>
        <w:tc>
          <w:tcPr>
            <w:tcW w:w="335" w:type="pct"/>
            <w:tcBorders>
              <w:top w:val="single" w:sz="4" w:space="0" w:color="auto"/>
              <w:left w:val="single" w:sz="4" w:space="0" w:color="auto"/>
              <w:bottom w:val="single" w:sz="4" w:space="0" w:color="auto"/>
              <w:right w:val="single" w:sz="4" w:space="0" w:color="auto"/>
            </w:tcBorders>
          </w:tcPr>
          <w:p w14:paraId="07C20798" w14:textId="77777777" w:rsidR="001F04FD" w:rsidRPr="00A02D58" w:rsidRDefault="001F04FD" w:rsidP="00AC4DEE">
            <w:pPr>
              <w:pStyle w:val="TableBody"/>
            </w:pPr>
            <w:r w:rsidRPr="002E1ED9">
              <w:t>none</w:t>
            </w:r>
          </w:p>
        </w:tc>
        <w:tc>
          <w:tcPr>
            <w:tcW w:w="3474" w:type="pct"/>
            <w:tcBorders>
              <w:top w:val="single" w:sz="4" w:space="0" w:color="auto"/>
              <w:left w:val="single" w:sz="4" w:space="0" w:color="auto"/>
              <w:bottom w:val="single" w:sz="4" w:space="0" w:color="auto"/>
              <w:right w:val="single" w:sz="4" w:space="0" w:color="auto"/>
            </w:tcBorders>
          </w:tcPr>
          <w:p w14:paraId="39A9F7AF" w14:textId="77777777" w:rsidR="001F04FD" w:rsidRPr="004A2B16" w:rsidRDefault="001F04FD" w:rsidP="00AC4DEE">
            <w:pPr>
              <w:pStyle w:val="TableBody"/>
            </w:pPr>
            <w:r w:rsidRPr="002E1ED9">
              <w:t>A Generation Re</w:t>
            </w:r>
            <w:r>
              <w:t>source that was allocated RRS</w:t>
            </w:r>
            <w:r w:rsidRPr="002E1ED9">
              <w:t xml:space="preserve"> Ancillary Service Assignment by the QSE.</w:t>
            </w:r>
          </w:p>
        </w:tc>
      </w:tr>
      <w:tr w:rsidR="001F04FD" w:rsidRPr="00A02D58" w14:paraId="4A3B134A" w14:textId="77777777" w:rsidTr="00AC4DEE">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4EE61614" w14:textId="77777777" w:rsidR="001F04FD" w:rsidRPr="004A2B16" w:rsidRDefault="001F04FD" w:rsidP="00AC4DEE">
            <w:pPr>
              <w:pStyle w:val="TableBody"/>
              <w:rPr>
                <w:i/>
              </w:rPr>
            </w:pPr>
            <w:r w:rsidRPr="00DB2D18">
              <w:rPr>
                <w:i/>
              </w:rPr>
              <w:t>p</w:t>
            </w:r>
          </w:p>
        </w:tc>
        <w:tc>
          <w:tcPr>
            <w:tcW w:w="335" w:type="pct"/>
            <w:tcBorders>
              <w:top w:val="single" w:sz="4" w:space="0" w:color="auto"/>
              <w:left w:val="single" w:sz="4" w:space="0" w:color="auto"/>
              <w:bottom w:val="single" w:sz="4" w:space="0" w:color="auto"/>
              <w:right w:val="single" w:sz="4" w:space="0" w:color="auto"/>
            </w:tcBorders>
          </w:tcPr>
          <w:p w14:paraId="6BE9D228" w14:textId="77777777" w:rsidR="001F04FD" w:rsidRPr="00A02D58" w:rsidRDefault="001F04FD" w:rsidP="00AC4DEE">
            <w:pPr>
              <w:pStyle w:val="TableBody"/>
            </w:pPr>
            <w:r w:rsidRPr="002E1ED9">
              <w:t>none</w:t>
            </w:r>
          </w:p>
        </w:tc>
        <w:tc>
          <w:tcPr>
            <w:tcW w:w="3474" w:type="pct"/>
            <w:tcBorders>
              <w:top w:val="single" w:sz="4" w:space="0" w:color="auto"/>
              <w:left w:val="single" w:sz="4" w:space="0" w:color="auto"/>
              <w:bottom w:val="single" w:sz="4" w:space="0" w:color="auto"/>
              <w:right w:val="single" w:sz="4" w:space="0" w:color="auto"/>
            </w:tcBorders>
          </w:tcPr>
          <w:p w14:paraId="04304105" w14:textId="77777777" w:rsidR="001F04FD" w:rsidRPr="004A2B16" w:rsidRDefault="001F04FD" w:rsidP="00AC4DEE">
            <w:pPr>
              <w:pStyle w:val="TableBody"/>
            </w:pPr>
            <w:r w:rsidRPr="002E1ED9">
              <w:t>A Settlement Point for the Resourc</w:t>
            </w:r>
            <w:r>
              <w:t>e Node that was allocated RRS</w:t>
            </w:r>
            <w:r w:rsidRPr="002E1ED9">
              <w:t xml:space="preserve"> Ancillary Service Assignment by the QSE.</w:t>
            </w:r>
          </w:p>
        </w:tc>
      </w:tr>
      <w:tr w:rsidR="001F04FD" w:rsidRPr="00A02D58" w14:paraId="3E1C6FB0"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575FD9BE" w14:textId="77777777" w:rsidR="001F04FD" w:rsidRPr="004A2B16" w:rsidRDefault="001F04FD" w:rsidP="00AC4DEE">
            <w:pPr>
              <w:pStyle w:val="TableBody"/>
              <w:rPr>
                <w:i/>
              </w:rPr>
            </w:pPr>
            <w:r w:rsidRPr="001F2A44">
              <w:rPr>
                <w:i/>
              </w:rPr>
              <w:t>i</w:t>
            </w:r>
          </w:p>
        </w:tc>
        <w:tc>
          <w:tcPr>
            <w:tcW w:w="335" w:type="pct"/>
            <w:tcBorders>
              <w:top w:val="single" w:sz="4" w:space="0" w:color="auto"/>
              <w:left w:val="single" w:sz="4" w:space="0" w:color="auto"/>
              <w:bottom w:val="single" w:sz="4" w:space="0" w:color="auto"/>
              <w:right w:val="single" w:sz="4" w:space="0" w:color="auto"/>
            </w:tcBorders>
          </w:tcPr>
          <w:p w14:paraId="13314264" w14:textId="77777777" w:rsidR="001F04FD" w:rsidRPr="00A02D58" w:rsidRDefault="001F04FD" w:rsidP="00AC4DEE">
            <w:pPr>
              <w:pStyle w:val="TableBody"/>
            </w:pPr>
            <w:r w:rsidRPr="00A02D58">
              <w:t>none</w:t>
            </w:r>
          </w:p>
        </w:tc>
        <w:tc>
          <w:tcPr>
            <w:tcW w:w="3474" w:type="pct"/>
            <w:tcBorders>
              <w:top w:val="single" w:sz="4" w:space="0" w:color="auto"/>
              <w:left w:val="single" w:sz="4" w:space="0" w:color="auto"/>
              <w:bottom w:val="single" w:sz="4" w:space="0" w:color="auto"/>
              <w:right w:val="single" w:sz="4" w:space="0" w:color="auto"/>
            </w:tcBorders>
          </w:tcPr>
          <w:p w14:paraId="63CCAD2C" w14:textId="77777777" w:rsidR="001F04FD" w:rsidRPr="00A02D58" w:rsidRDefault="001F04FD" w:rsidP="00AC4DEE">
            <w:pPr>
              <w:pStyle w:val="TableBody"/>
            </w:pPr>
            <w:r w:rsidRPr="00A02D58">
              <w:t>A 15-minute Settlement Interval in the Operating Hour.</w:t>
            </w:r>
          </w:p>
        </w:tc>
      </w:tr>
    </w:tbl>
    <w:p w14:paraId="63F592B2" w14:textId="77777777" w:rsidR="001F04FD" w:rsidRDefault="001F04FD" w:rsidP="001F04FD">
      <w:pPr>
        <w:pStyle w:val="List"/>
        <w:spacing w:before="240"/>
      </w:pPr>
      <w:r w:rsidRPr="00A02D58">
        <w:t>(b)</w:t>
      </w:r>
      <w:r w:rsidRPr="00A02D58">
        <w:tab/>
        <w:t>Each QSE’s share of the net total costs for RRS for the Operating Hou</w:t>
      </w:r>
      <w:r>
        <w:t xml:space="preserve">r, including Ancillary Service costs assigned during a Watch is </w:t>
      </w:r>
      <w:r w:rsidRPr="00A02D58">
        <w:t>calculated as follows:</w:t>
      </w:r>
    </w:p>
    <w:p w14:paraId="5F0995BF" w14:textId="77777777" w:rsidR="001F04FD" w:rsidRPr="006C21A9" w:rsidRDefault="001F04FD" w:rsidP="001F04FD">
      <w:pPr>
        <w:pStyle w:val="FormulaBold"/>
      </w:pPr>
      <w:r w:rsidRPr="00727227">
        <w:t>ARRCOST</w:t>
      </w:r>
      <w:r w:rsidRPr="006C21A9">
        <w:t xml:space="preserve"> </w:t>
      </w:r>
      <w:r w:rsidRPr="006C21A9">
        <w:rPr>
          <w:i/>
          <w:vertAlign w:val="subscript"/>
        </w:rPr>
        <w:t>q</w:t>
      </w:r>
      <w:r w:rsidRPr="006C21A9">
        <w:tab/>
        <w:t>=</w:t>
      </w:r>
      <w:r w:rsidRPr="006C21A9">
        <w:tab/>
      </w:r>
      <w:r w:rsidRPr="00727227">
        <w:t>ARRPR</w:t>
      </w:r>
      <w:r w:rsidRPr="006C21A9">
        <w:t xml:space="preserve"> * </w:t>
      </w:r>
      <w:r w:rsidRPr="00727227">
        <w:t>ARRQ</w:t>
      </w:r>
      <w:r w:rsidRPr="006C21A9">
        <w:t xml:space="preserve"> </w:t>
      </w:r>
      <w:r w:rsidRPr="006C21A9">
        <w:rPr>
          <w:i/>
          <w:vertAlign w:val="subscript"/>
        </w:rPr>
        <w:t>q</w:t>
      </w:r>
    </w:p>
    <w:p w14:paraId="0DC2AD7C" w14:textId="77777777" w:rsidR="001F04FD" w:rsidRPr="006C21A9" w:rsidRDefault="001F04FD" w:rsidP="001F04FD">
      <w:pPr>
        <w:pStyle w:val="BodyText"/>
      </w:pPr>
      <w:r w:rsidRPr="006C21A9">
        <w:t>Where:</w:t>
      </w:r>
    </w:p>
    <w:p w14:paraId="00863382" w14:textId="77777777" w:rsidR="001F04FD" w:rsidRPr="006C21A9" w:rsidRDefault="001F04FD" w:rsidP="001F04FD">
      <w:pPr>
        <w:pStyle w:val="Formula"/>
        <w:ind w:left="2880" w:hanging="2160"/>
      </w:pPr>
      <w:r w:rsidRPr="00727227">
        <w:t>ARRPR</w:t>
      </w:r>
      <w:r w:rsidRPr="006C21A9">
        <w:tab/>
        <w:t>=</w:t>
      </w:r>
      <w:r w:rsidRPr="006C21A9">
        <w:tab/>
      </w:r>
      <w:r w:rsidRPr="00727227">
        <w:t>ARRCOSTTOT</w:t>
      </w:r>
      <w:r w:rsidRPr="006C21A9">
        <w:t xml:space="preserve"> / </w:t>
      </w:r>
      <w:r w:rsidRPr="00727227">
        <w:t>ARRQTOT</w:t>
      </w:r>
    </w:p>
    <w:p w14:paraId="3772C450" w14:textId="77777777" w:rsidR="001F04FD" w:rsidRPr="006C21A9" w:rsidRDefault="001F04FD" w:rsidP="001F04FD">
      <w:pPr>
        <w:pStyle w:val="Formula"/>
        <w:ind w:left="2880" w:hanging="2160"/>
      </w:pPr>
      <w:r w:rsidRPr="00727227">
        <w:t>ARRQTOT</w:t>
      </w:r>
      <w:r w:rsidRPr="006C21A9">
        <w:tab/>
        <w:t>=</w:t>
      </w:r>
      <w:r w:rsidRPr="006C21A9">
        <w:tab/>
      </w:r>
      <w:r w:rsidRPr="006C21A9">
        <w:rPr>
          <w:position w:val="-22"/>
          <w:lang w:val="pt-BR"/>
        </w:rPr>
        <w:object w:dxaOrig="225" w:dyaOrig="465" w14:anchorId="581267BA">
          <v:shape id="_x0000_i1435" type="#_x0000_t75" style="width:12pt;height:18pt" o:ole="">
            <v:imagedata r:id="rId433" o:title=""/>
          </v:shape>
          <o:OLEObject Type="Embed" ProgID="Equation.3" ShapeID="_x0000_i1435" DrawAspect="Content" ObjectID="_1815025623" r:id="rId537"/>
        </w:object>
      </w:r>
      <w:r w:rsidRPr="006C21A9">
        <w:rPr>
          <w:lang w:val="pt-BR"/>
        </w:rPr>
        <w:t>A</w:t>
      </w:r>
      <w:r w:rsidRPr="006C21A9">
        <w:t xml:space="preserve">RRQ </w:t>
      </w:r>
      <w:r w:rsidRPr="006C21A9">
        <w:rPr>
          <w:i/>
          <w:vertAlign w:val="subscript"/>
        </w:rPr>
        <w:t>q</w:t>
      </w:r>
    </w:p>
    <w:p w14:paraId="48E212D8" w14:textId="77777777" w:rsidR="001F04FD" w:rsidRPr="006C21A9" w:rsidRDefault="001F04FD" w:rsidP="001F04FD">
      <w:pPr>
        <w:pStyle w:val="Formula"/>
        <w:ind w:left="2880" w:hanging="2160"/>
        <w:rPr>
          <w:lang w:val="es-ES"/>
        </w:rPr>
      </w:pPr>
      <w:r w:rsidRPr="00727227">
        <w:rPr>
          <w:lang w:val="es-ES"/>
        </w:rPr>
        <w:t>ARRQ</w:t>
      </w:r>
      <w:r w:rsidRPr="006C21A9">
        <w:rPr>
          <w:lang w:val="es-ES"/>
        </w:rPr>
        <w:t xml:space="preserve"> </w:t>
      </w:r>
      <w:r w:rsidRPr="006C21A9">
        <w:rPr>
          <w:i/>
          <w:vertAlign w:val="subscript"/>
          <w:lang w:val="es-ES"/>
        </w:rPr>
        <w:t>q</w:t>
      </w:r>
      <w:r w:rsidRPr="006C21A9">
        <w:rPr>
          <w:lang w:val="es-ES"/>
        </w:rPr>
        <w:tab/>
        <w:t>=</w:t>
      </w:r>
      <w:r w:rsidRPr="006C21A9">
        <w:rPr>
          <w:lang w:val="es-ES"/>
        </w:rPr>
        <w:tab/>
        <w:t xml:space="preserve">ARRO </w:t>
      </w:r>
      <w:r w:rsidRPr="006C21A9">
        <w:rPr>
          <w:i/>
          <w:vertAlign w:val="subscript"/>
          <w:lang w:val="es-ES"/>
        </w:rPr>
        <w:t>q</w:t>
      </w:r>
      <w:r w:rsidRPr="006C21A9">
        <w:rPr>
          <w:lang w:val="es-ES"/>
        </w:rPr>
        <w:t xml:space="preserve"> – SARRQ </w:t>
      </w:r>
      <w:r w:rsidRPr="006C21A9">
        <w:rPr>
          <w:i/>
          <w:vertAlign w:val="subscript"/>
          <w:lang w:val="es-ES"/>
        </w:rPr>
        <w:t>q</w:t>
      </w:r>
    </w:p>
    <w:p w14:paraId="23F9CF59" w14:textId="77777777" w:rsidR="001F04FD" w:rsidRPr="006C21A9" w:rsidRDefault="001F04FD" w:rsidP="001F04FD">
      <w:pPr>
        <w:pStyle w:val="Formula"/>
        <w:ind w:left="2880" w:hanging="2160"/>
        <w:rPr>
          <w:i/>
          <w:vertAlign w:val="subscript"/>
          <w:lang w:val="fr-FR"/>
        </w:rPr>
      </w:pPr>
      <w:r w:rsidRPr="006C21A9">
        <w:rPr>
          <w:lang w:val="es-ES"/>
        </w:rPr>
        <w:t xml:space="preserve">ARRO </w:t>
      </w:r>
      <w:r w:rsidRPr="006C21A9">
        <w:rPr>
          <w:i/>
          <w:vertAlign w:val="subscript"/>
          <w:lang w:val="es-ES"/>
        </w:rPr>
        <w:t>q</w:t>
      </w:r>
      <w:r w:rsidRPr="006C21A9">
        <w:rPr>
          <w:lang w:val="es-ES"/>
        </w:rPr>
        <w:tab/>
        <w:t>=</w:t>
      </w:r>
      <w:r w:rsidRPr="006C21A9">
        <w:rPr>
          <w:lang w:val="es-ES"/>
        </w:rPr>
        <w:tab/>
        <w:t>WAURRTOT * HLRS</w:t>
      </w:r>
      <w:r w:rsidR="008052F7">
        <w:rPr>
          <w:lang w:val="es-ES"/>
        </w:rPr>
        <w:t xml:space="preserve"> </w:t>
      </w:r>
      <w:r w:rsidR="008052F7">
        <w:rPr>
          <w:i/>
          <w:vertAlign w:val="subscript"/>
          <w:lang w:val="es-ES"/>
        </w:rPr>
        <w:t>q</w:t>
      </w:r>
      <w:r w:rsidRPr="006C21A9">
        <w:rPr>
          <w:lang w:val="es-ES"/>
        </w:rPr>
        <w:t xml:space="preserve"> + </w:t>
      </w:r>
      <w:r w:rsidRPr="00727227">
        <w:rPr>
          <w:lang w:val="es-ES"/>
        </w:rPr>
        <w:t>RRO</w:t>
      </w:r>
      <w:r w:rsidRPr="006C21A9">
        <w:rPr>
          <w:lang w:val="es-ES"/>
        </w:rPr>
        <w:t xml:space="preserve"> </w:t>
      </w:r>
      <w:r w:rsidRPr="006C21A9">
        <w:rPr>
          <w:i/>
          <w:vertAlign w:val="subscript"/>
          <w:lang w:val="es-ES"/>
        </w:rPr>
        <w:t>q</w:t>
      </w:r>
      <w:r w:rsidRPr="006C21A9">
        <w:rPr>
          <w:lang w:val="pt-BR"/>
        </w:rPr>
        <w:t xml:space="preserve"> </w:t>
      </w:r>
    </w:p>
    <w:p w14:paraId="41944BDE" w14:textId="77777777" w:rsidR="001F04FD" w:rsidRPr="006C21A9" w:rsidRDefault="001F04FD" w:rsidP="001F04FD">
      <w:pPr>
        <w:pStyle w:val="Formula"/>
        <w:ind w:left="2880" w:hanging="2160"/>
        <w:rPr>
          <w:lang w:val="fr-FR"/>
        </w:rPr>
      </w:pPr>
      <w:r w:rsidRPr="00727227">
        <w:rPr>
          <w:lang w:val="es-ES"/>
        </w:rPr>
        <w:t>WAURRTOT</w:t>
      </w:r>
      <w:r w:rsidRPr="006C21A9">
        <w:rPr>
          <w:lang w:val="fr-FR"/>
        </w:rPr>
        <w:tab/>
        <w:t>=</w:t>
      </w:r>
      <w:r w:rsidRPr="006C21A9">
        <w:rPr>
          <w:lang w:val="fr-FR"/>
        </w:rPr>
        <w:tab/>
      </w:r>
      <w:r w:rsidRPr="004057CD">
        <w:rPr>
          <w:position w:val="-22"/>
          <w:lang w:val="pt-BR"/>
        </w:rPr>
        <w:object w:dxaOrig="225" w:dyaOrig="465" w14:anchorId="5522357E">
          <v:shape id="_x0000_i1436" type="#_x0000_t75" style="width:12pt;height:18pt" o:ole="">
            <v:imagedata r:id="rId433" o:title=""/>
          </v:shape>
          <o:OLEObject Type="Embed" ProgID="Equation.3" ShapeID="_x0000_i1436" DrawAspect="Content" ObjectID="_1815025624" r:id="rId538"/>
        </w:object>
      </w:r>
      <w:r w:rsidRPr="004057CD">
        <w:rPr>
          <w:position w:val="-18"/>
          <w:lang w:val="pt-BR"/>
        </w:rPr>
        <w:object w:dxaOrig="220" w:dyaOrig="420" w14:anchorId="1C6B0455">
          <v:shape id="_x0000_i1437" type="#_x0000_t75" style="width:12pt;height:24pt" o:ole="">
            <v:imagedata r:id="rId413" o:title=""/>
          </v:shape>
          <o:OLEObject Type="Embed" ProgID="Equation.3" ShapeID="_x0000_i1437" DrawAspect="Content" ObjectID="_1815025625" r:id="rId539"/>
        </w:object>
      </w:r>
      <w:r w:rsidRPr="00C700DF">
        <w:rPr>
          <w:position w:val="-18"/>
          <w:lang w:val="pt-BR"/>
        </w:rPr>
        <w:object w:dxaOrig="220" w:dyaOrig="420" w14:anchorId="5091F763">
          <v:shape id="_x0000_i1438" type="#_x0000_t75" style="width:12pt;height:24pt" o:ole="">
            <v:imagedata r:id="rId527" o:title=""/>
          </v:shape>
          <o:OLEObject Type="Embed" ProgID="Equation.3" ShapeID="_x0000_i1438" DrawAspect="Content" ObjectID="_1815025626" r:id="rId540"/>
        </w:object>
      </w:r>
      <w:r w:rsidRPr="006C21A9">
        <w:t>RTAURR</w:t>
      </w:r>
      <w:r>
        <w:t>R</w:t>
      </w:r>
      <w:r w:rsidRPr="006C21A9">
        <w:t xml:space="preserve"> </w:t>
      </w:r>
      <w:r w:rsidRPr="006C21A9">
        <w:rPr>
          <w:i/>
          <w:vertAlign w:val="subscript"/>
        </w:rPr>
        <w:t>q,</w:t>
      </w:r>
      <w:r w:rsidR="008052F7">
        <w:rPr>
          <w:i/>
          <w:vertAlign w:val="subscript"/>
        </w:rPr>
        <w:t xml:space="preserve"> </w:t>
      </w:r>
      <w:r w:rsidRPr="006C21A9">
        <w:rPr>
          <w:i/>
          <w:vertAlign w:val="subscript"/>
        </w:rPr>
        <w:t>r,</w:t>
      </w:r>
      <w:r w:rsidR="008052F7">
        <w:rPr>
          <w:i/>
          <w:vertAlign w:val="subscript"/>
        </w:rPr>
        <w:t xml:space="preserve"> </w:t>
      </w:r>
      <w:r w:rsidRPr="006C21A9">
        <w:rPr>
          <w:i/>
          <w:vertAlign w:val="subscript"/>
        </w:rPr>
        <w:t>p</w:t>
      </w:r>
    </w:p>
    <w:p w14:paraId="712F68E0" w14:textId="77777777" w:rsidR="001F04FD" w:rsidRPr="006C21A9" w:rsidRDefault="001F04FD" w:rsidP="001F04FD">
      <w:pPr>
        <w:keepNext/>
      </w:pPr>
      <w:r w:rsidRPr="006C21A9">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744"/>
        <w:gridCol w:w="6433"/>
      </w:tblGrid>
      <w:tr w:rsidR="001F04FD" w:rsidRPr="00A02D58" w14:paraId="08C9A09F" w14:textId="77777777" w:rsidTr="00AC4DEE">
        <w:tc>
          <w:tcPr>
            <w:tcW w:w="1191" w:type="pct"/>
          </w:tcPr>
          <w:p w14:paraId="42D7426D" w14:textId="77777777" w:rsidR="001F04FD" w:rsidRPr="00A02D58" w:rsidRDefault="001F04FD" w:rsidP="00AC4DEE">
            <w:pPr>
              <w:pStyle w:val="TableHead"/>
            </w:pPr>
            <w:r w:rsidRPr="00A02D58">
              <w:t>Variable</w:t>
            </w:r>
          </w:p>
        </w:tc>
        <w:tc>
          <w:tcPr>
            <w:tcW w:w="395" w:type="pct"/>
          </w:tcPr>
          <w:p w14:paraId="571C1C8C" w14:textId="77777777" w:rsidR="001F04FD" w:rsidRPr="00A02D58" w:rsidRDefault="001F04FD" w:rsidP="00AC4DEE">
            <w:pPr>
              <w:pStyle w:val="TableHead"/>
            </w:pPr>
            <w:r w:rsidRPr="00A02D58">
              <w:t>Unit</w:t>
            </w:r>
          </w:p>
        </w:tc>
        <w:tc>
          <w:tcPr>
            <w:tcW w:w="3414" w:type="pct"/>
          </w:tcPr>
          <w:p w14:paraId="6C80159A" w14:textId="77777777" w:rsidR="001F04FD" w:rsidRPr="00A02D58" w:rsidRDefault="001F04FD" w:rsidP="00AC4DEE">
            <w:pPr>
              <w:pStyle w:val="TableHead"/>
            </w:pPr>
            <w:r w:rsidRPr="00A02D58">
              <w:t>Description</w:t>
            </w:r>
          </w:p>
        </w:tc>
      </w:tr>
      <w:tr w:rsidR="001F04FD" w:rsidRPr="00A02D58" w14:paraId="27C949D2" w14:textId="77777777" w:rsidTr="00AC4DEE">
        <w:tc>
          <w:tcPr>
            <w:tcW w:w="1191" w:type="pct"/>
          </w:tcPr>
          <w:p w14:paraId="3A23A7FD" w14:textId="77777777" w:rsidR="001F04FD" w:rsidRPr="007E037D" w:rsidRDefault="001F04FD" w:rsidP="00AC4DEE">
            <w:pPr>
              <w:pStyle w:val="TableBody"/>
            </w:pPr>
            <w:r w:rsidRPr="00727227">
              <w:t>ARRCOST</w:t>
            </w:r>
            <w:r w:rsidRPr="006C21A9">
              <w:t xml:space="preserve"> </w:t>
            </w:r>
            <w:r w:rsidRPr="006C21A9">
              <w:rPr>
                <w:i/>
                <w:vertAlign w:val="subscript"/>
              </w:rPr>
              <w:t>q</w:t>
            </w:r>
          </w:p>
        </w:tc>
        <w:tc>
          <w:tcPr>
            <w:tcW w:w="395" w:type="pct"/>
          </w:tcPr>
          <w:p w14:paraId="04F05F8B" w14:textId="77777777" w:rsidR="001F04FD" w:rsidRDefault="001F04FD" w:rsidP="00AC4DEE">
            <w:pPr>
              <w:pStyle w:val="TableBody"/>
            </w:pPr>
            <w:r w:rsidRPr="006C21A9">
              <w:t>$</w:t>
            </w:r>
          </w:p>
        </w:tc>
        <w:tc>
          <w:tcPr>
            <w:tcW w:w="3414" w:type="pct"/>
          </w:tcPr>
          <w:p w14:paraId="148E07AE" w14:textId="77777777" w:rsidR="001F04FD" w:rsidRPr="00A02D58" w:rsidRDefault="001F04FD" w:rsidP="00AC4DEE">
            <w:pPr>
              <w:pStyle w:val="TableBody"/>
            </w:pPr>
            <w:r w:rsidRPr="006C21A9">
              <w:rPr>
                <w:i/>
              </w:rPr>
              <w:t>Responsive Reserve Cost per QSE</w:t>
            </w:r>
            <w:r w:rsidRPr="006C21A9">
              <w:t xml:space="preserve">—QSE </w:t>
            </w:r>
            <w:r w:rsidRPr="006C21A9">
              <w:rPr>
                <w:i/>
              </w:rPr>
              <w:t>q</w:t>
            </w:r>
            <w:r w:rsidRPr="006C21A9">
              <w:t xml:space="preserve">’s share of the net total costs for RRS, </w:t>
            </w:r>
            <w:r w:rsidRPr="00DF672C">
              <w:t xml:space="preserve">that includes costs of assigned </w:t>
            </w:r>
            <w:r>
              <w:t>Ancillary Service</w:t>
            </w:r>
            <w:r w:rsidRPr="00DF672C">
              <w:t xml:space="preserve"> during a </w:t>
            </w:r>
            <w:r>
              <w:t>W</w:t>
            </w:r>
            <w:r w:rsidRPr="00DF672C">
              <w:t>atch</w:t>
            </w:r>
            <w:r w:rsidRPr="006C21A9">
              <w:t xml:space="preserve"> for the hour.</w:t>
            </w:r>
          </w:p>
        </w:tc>
      </w:tr>
      <w:tr w:rsidR="001F04FD" w:rsidRPr="004A2B16" w14:paraId="719579A3" w14:textId="77777777" w:rsidTr="00AC4DEE">
        <w:tc>
          <w:tcPr>
            <w:tcW w:w="1191" w:type="pct"/>
          </w:tcPr>
          <w:p w14:paraId="7021CC30" w14:textId="77777777" w:rsidR="001F04FD" w:rsidRDefault="001F04FD" w:rsidP="00AC4DEE">
            <w:pPr>
              <w:pStyle w:val="TableBody"/>
            </w:pPr>
            <w:r w:rsidRPr="00727227">
              <w:lastRenderedPageBreak/>
              <w:t>ARRPR</w:t>
            </w:r>
          </w:p>
        </w:tc>
        <w:tc>
          <w:tcPr>
            <w:tcW w:w="395" w:type="pct"/>
          </w:tcPr>
          <w:p w14:paraId="5BA3318A" w14:textId="77777777" w:rsidR="001F04FD" w:rsidRPr="00A02D58" w:rsidRDefault="001F04FD" w:rsidP="00AC4DEE">
            <w:pPr>
              <w:pStyle w:val="TableBody"/>
            </w:pPr>
            <w:r w:rsidRPr="006C21A9">
              <w:t>$/MW per hour</w:t>
            </w:r>
          </w:p>
        </w:tc>
        <w:tc>
          <w:tcPr>
            <w:tcW w:w="3414" w:type="pct"/>
          </w:tcPr>
          <w:p w14:paraId="1EB06EC0" w14:textId="77777777" w:rsidR="001F04FD" w:rsidRPr="004A2B16" w:rsidRDefault="001F04FD" w:rsidP="00AC4DEE">
            <w:pPr>
              <w:pStyle w:val="TableBody"/>
            </w:pPr>
            <w:r w:rsidRPr="006C21A9">
              <w:rPr>
                <w:i/>
              </w:rPr>
              <w:t>Responsive Reserve Price—</w:t>
            </w:r>
            <w:r w:rsidRPr="006C21A9">
              <w:t xml:space="preserve">The price for RRS calculated based on the net total costs for RRS </w:t>
            </w:r>
            <w:r w:rsidRPr="00DF672C">
              <w:t xml:space="preserve">that includes costs of assigned </w:t>
            </w:r>
            <w:r>
              <w:t>Ancillary Service</w:t>
            </w:r>
            <w:r w:rsidRPr="00DF672C">
              <w:t xml:space="preserve"> during a </w:t>
            </w:r>
            <w:r>
              <w:t>W</w:t>
            </w:r>
            <w:r w:rsidRPr="00DF672C">
              <w:t>atch</w:t>
            </w:r>
            <w:r w:rsidRPr="006C21A9">
              <w:t xml:space="preserve"> for the hour.</w:t>
            </w:r>
          </w:p>
        </w:tc>
      </w:tr>
      <w:tr w:rsidR="001F04FD" w:rsidRPr="005D75C3" w14:paraId="76EFCD3A" w14:textId="77777777" w:rsidTr="00AC4DEE">
        <w:tc>
          <w:tcPr>
            <w:tcW w:w="1191" w:type="pct"/>
            <w:tcBorders>
              <w:top w:val="single" w:sz="4" w:space="0" w:color="auto"/>
              <w:left w:val="single" w:sz="4" w:space="0" w:color="auto"/>
              <w:bottom w:val="single" w:sz="4" w:space="0" w:color="auto"/>
              <w:right w:val="single" w:sz="4" w:space="0" w:color="auto"/>
            </w:tcBorders>
          </w:tcPr>
          <w:p w14:paraId="0E6863C5" w14:textId="77777777" w:rsidR="001F04FD" w:rsidRPr="00131358" w:rsidRDefault="001F04FD" w:rsidP="00AC4DEE">
            <w:pPr>
              <w:pStyle w:val="TableBody"/>
            </w:pPr>
            <w:r w:rsidRPr="00727227">
              <w:t>ARRCOSTTOT</w:t>
            </w:r>
          </w:p>
        </w:tc>
        <w:tc>
          <w:tcPr>
            <w:tcW w:w="395" w:type="pct"/>
            <w:tcBorders>
              <w:top w:val="single" w:sz="4" w:space="0" w:color="auto"/>
              <w:left w:val="single" w:sz="4" w:space="0" w:color="auto"/>
              <w:bottom w:val="single" w:sz="4" w:space="0" w:color="auto"/>
              <w:right w:val="single" w:sz="4" w:space="0" w:color="auto"/>
            </w:tcBorders>
          </w:tcPr>
          <w:p w14:paraId="55C8324A" w14:textId="77777777" w:rsidR="001F04FD" w:rsidRPr="00131358" w:rsidRDefault="001F04FD" w:rsidP="00AC4DEE">
            <w:pPr>
              <w:pStyle w:val="TableBody"/>
            </w:pPr>
            <w:r w:rsidRPr="006C21A9">
              <w:t>$</w:t>
            </w:r>
          </w:p>
        </w:tc>
        <w:tc>
          <w:tcPr>
            <w:tcW w:w="3414" w:type="pct"/>
            <w:tcBorders>
              <w:top w:val="single" w:sz="4" w:space="0" w:color="auto"/>
              <w:left w:val="single" w:sz="4" w:space="0" w:color="auto"/>
              <w:bottom w:val="single" w:sz="4" w:space="0" w:color="auto"/>
              <w:right w:val="single" w:sz="4" w:space="0" w:color="auto"/>
            </w:tcBorders>
          </w:tcPr>
          <w:p w14:paraId="7C3E23C9" w14:textId="77777777" w:rsidR="001F04FD" w:rsidRPr="005D75C3" w:rsidRDefault="001F04FD" w:rsidP="00AC4DEE">
            <w:pPr>
              <w:pStyle w:val="TableBody"/>
            </w:pPr>
            <w:r w:rsidRPr="006C21A9">
              <w:rPr>
                <w:i/>
              </w:rPr>
              <w:t>Responsive Reserve Cost Total</w:t>
            </w:r>
            <w:r w:rsidRPr="006C21A9">
              <w:t xml:space="preserve">—The net total costs for RRS </w:t>
            </w:r>
            <w:r w:rsidRPr="00DF672C">
              <w:t xml:space="preserve">that includes costs of assigned </w:t>
            </w:r>
            <w:r>
              <w:t>Ancillary Service</w:t>
            </w:r>
            <w:r w:rsidRPr="00DF672C">
              <w:t xml:space="preserve"> during a </w:t>
            </w:r>
            <w:r>
              <w:t>W</w:t>
            </w:r>
            <w:r w:rsidRPr="00DF672C">
              <w:t>atch</w:t>
            </w:r>
            <w:r w:rsidRPr="006C21A9">
              <w:t xml:space="preserve"> for the hour. </w:t>
            </w:r>
          </w:p>
        </w:tc>
      </w:tr>
      <w:tr w:rsidR="001F04FD" w:rsidRPr="00A87906" w14:paraId="4B20E80C" w14:textId="77777777" w:rsidTr="00AC4DEE">
        <w:tc>
          <w:tcPr>
            <w:tcW w:w="1191" w:type="pct"/>
            <w:tcBorders>
              <w:top w:val="single" w:sz="4" w:space="0" w:color="auto"/>
              <w:left w:val="single" w:sz="4" w:space="0" w:color="auto"/>
              <w:bottom w:val="single" w:sz="4" w:space="0" w:color="auto"/>
              <w:right w:val="single" w:sz="4" w:space="0" w:color="auto"/>
            </w:tcBorders>
          </w:tcPr>
          <w:p w14:paraId="68A129F9" w14:textId="77777777" w:rsidR="001F04FD" w:rsidRPr="00131358" w:rsidRDefault="001F04FD" w:rsidP="00AC4DEE">
            <w:pPr>
              <w:pStyle w:val="TableBody"/>
            </w:pPr>
            <w:r w:rsidRPr="00727227">
              <w:t>ARRQTOT</w:t>
            </w:r>
          </w:p>
        </w:tc>
        <w:tc>
          <w:tcPr>
            <w:tcW w:w="395" w:type="pct"/>
            <w:tcBorders>
              <w:top w:val="single" w:sz="4" w:space="0" w:color="auto"/>
              <w:left w:val="single" w:sz="4" w:space="0" w:color="auto"/>
              <w:bottom w:val="single" w:sz="4" w:space="0" w:color="auto"/>
              <w:right w:val="single" w:sz="4" w:space="0" w:color="auto"/>
            </w:tcBorders>
          </w:tcPr>
          <w:p w14:paraId="09D411B3" w14:textId="77777777" w:rsidR="001F04FD" w:rsidRPr="001313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27B7A425" w14:textId="77777777" w:rsidR="001F04FD" w:rsidRPr="00A87906" w:rsidRDefault="001F04FD" w:rsidP="00AC4DEE">
            <w:pPr>
              <w:pStyle w:val="TableBody"/>
            </w:pPr>
            <w:r w:rsidRPr="006C21A9">
              <w:rPr>
                <w:i/>
              </w:rPr>
              <w:t>Responsive Reserve Quantity Total</w:t>
            </w:r>
            <w:r w:rsidRPr="006C21A9">
              <w:t>—The sum of every QSE’s portion of its Ancillary Service Obligation that is not self-arranged in either DAM or any SASM</w:t>
            </w:r>
            <w:r w:rsidRPr="00DF672C">
              <w:t xml:space="preserve"> </w:t>
            </w:r>
            <w:r>
              <w:t>that includes</w:t>
            </w:r>
            <w:r w:rsidRPr="00DF672C">
              <w:t xml:space="preserve"> assigne</w:t>
            </w:r>
            <w:r>
              <w:t>d Ancillary Service, during a Watch,</w:t>
            </w:r>
            <w:r w:rsidRPr="006C21A9">
              <w:t>, for the hour.</w:t>
            </w:r>
          </w:p>
        </w:tc>
      </w:tr>
      <w:tr w:rsidR="001F04FD" w:rsidRPr="00A02D58" w14:paraId="530A4BC2" w14:textId="77777777" w:rsidTr="00AC4DEE">
        <w:tc>
          <w:tcPr>
            <w:tcW w:w="1191" w:type="pct"/>
            <w:tcBorders>
              <w:top w:val="single" w:sz="4" w:space="0" w:color="auto"/>
              <w:left w:val="single" w:sz="4" w:space="0" w:color="auto"/>
              <w:bottom w:val="single" w:sz="4" w:space="0" w:color="auto"/>
              <w:right w:val="single" w:sz="4" w:space="0" w:color="auto"/>
            </w:tcBorders>
          </w:tcPr>
          <w:p w14:paraId="4872EE93" w14:textId="77777777" w:rsidR="001F04FD" w:rsidRPr="004A2B16" w:rsidRDefault="001F04FD" w:rsidP="00AC4DEE">
            <w:pPr>
              <w:pStyle w:val="TableBody"/>
              <w:rPr>
                <w:i/>
              </w:rPr>
            </w:pPr>
            <w:r w:rsidRPr="00727227">
              <w:t>WAURRTOT</w:t>
            </w:r>
          </w:p>
        </w:tc>
        <w:tc>
          <w:tcPr>
            <w:tcW w:w="395" w:type="pct"/>
            <w:tcBorders>
              <w:top w:val="single" w:sz="4" w:space="0" w:color="auto"/>
              <w:left w:val="single" w:sz="4" w:space="0" w:color="auto"/>
              <w:bottom w:val="single" w:sz="4" w:space="0" w:color="auto"/>
              <w:right w:val="single" w:sz="4" w:space="0" w:color="auto"/>
            </w:tcBorders>
          </w:tcPr>
          <w:p w14:paraId="7C374B8D"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705A4B5E" w14:textId="77777777" w:rsidR="001F04FD" w:rsidRPr="00A02D58" w:rsidRDefault="001F04FD" w:rsidP="00AC4DEE">
            <w:pPr>
              <w:pStyle w:val="TableBody"/>
            </w:pPr>
            <w:r w:rsidRPr="006C21A9">
              <w:rPr>
                <w:i/>
              </w:rPr>
              <w:t>Watch Assigned Un-Deployed Responsive Reserve Quantity</w:t>
            </w:r>
            <w:r w:rsidRPr="006C21A9">
              <w:t>—The total market wide quantity of un-deployed RRS Ancillary Service Assignment for the hour.</w:t>
            </w:r>
          </w:p>
        </w:tc>
      </w:tr>
      <w:tr w:rsidR="001F04FD" w:rsidRPr="004A2B16" w14:paraId="0F3BD439"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4D093FFF" w14:textId="77777777" w:rsidR="001F04FD" w:rsidRPr="004A2B16" w:rsidRDefault="001F04FD" w:rsidP="00AC4DEE">
            <w:pPr>
              <w:pStyle w:val="TableBody"/>
              <w:rPr>
                <w:i/>
              </w:rPr>
            </w:pPr>
            <w:r w:rsidRPr="006C21A9">
              <w:t xml:space="preserve">RTAURRR </w:t>
            </w:r>
            <w:r w:rsidRPr="006C21A9">
              <w:rPr>
                <w:i/>
                <w:vertAlign w:val="subscript"/>
              </w:rPr>
              <w:t>q,r</w:t>
            </w:r>
          </w:p>
        </w:tc>
        <w:tc>
          <w:tcPr>
            <w:tcW w:w="395" w:type="pct"/>
            <w:tcBorders>
              <w:top w:val="single" w:sz="4" w:space="0" w:color="auto"/>
              <w:left w:val="single" w:sz="4" w:space="0" w:color="auto"/>
              <w:bottom w:val="single" w:sz="4" w:space="0" w:color="auto"/>
              <w:right w:val="single" w:sz="4" w:space="0" w:color="auto"/>
            </w:tcBorders>
          </w:tcPr>
          <w:p w14:paraId="76E8F067"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615B864B" w14:textId="77777777" w:rsidR="001F04FD" w:rsidRPr="004A2B16" w:rsidRDefault="001F04FD" w:rsidP="00AC4DEE">
            <w:pPr>
              <w:pStyle w:val="TableBody"/>
            </w:pPr>
            <w:r w:rsidRPr="006C21A9">
              <w:rPr>
                <w:i/>
              </w:rPr>
              <w:t>Real-Time Assigned Un-Deployed Responsive Reserve</w:t>
            </w:r>
            <w:r>
              <w:rPr>
                <w:i/>
              </w:rPr>
              <w:t xml:space="preserve"> </w:t>
            </w:r>
            <w:r w:rsidRPr="006C21A9">
              <w:rPr>
                <w:i/>
              </w:rPr>
              <w:t>Quantity per Resource per QSE</w:t>
            </w:r>
            <w:r w:rsidRPr="006C21A9">
              <w:t xml:space="preserve">—The quantity of un-deployed RRS Ancillary Service Assignment to a QSE </w:t>
            </w:r>
            <w:r w:rsidRPr="006C21A9">
              <w:rPr>
                <w:i/>
              </w:rPr>
              <w:t>q</w:t>
            </w:r>
            <w:r w:rsidRPr="006C21A9">
              <w:t xml:space="preserve"> for Resource </w:t>
            </w:r>
            <w:r w:rsidRPr="006C21A9">
              <w:rPr>
                <w:i/>
              </w:rPr>
              <w:t>r</w:t>
            </w:r>
            <w:r w:rsidRPr="006C21A9">
              <w:t xml:space="preserve"> for the hour.  Where for a Combined Cycle Train, the Resource </w:t>
            </w:r>
            <w:r w:rsidRPr="006C21A9">
              <w:rPr>
                <w:i/>
              </w:rPr>
              <w:t xml:space="preserve">r </w:t>
            </w:r>
            <w:r w:rsidRPr="006C21A9">
              <w:t>is a Combined Cycle Generation Resource within the Combined Cycle Train.</w:t>
            </w:r>
          </w:p>
        </w:tc>
      </w:tr>
      <w:tr w:rsidR="001F04FD" w:rsidRPr="004A2B16" w14:paraId="15160033" w14:textId="77777777" w:rsidTr="00AC4DEE">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0549548B" w14:textId="77777777" w:rsidR="001F04FD" w:rsidRPr="004A2B16" w:rsidRDefault="001F04FD" w:rsidP="00AC4DEE">
            <w:pPr>
              <w:pStyle w:val="TableBody"/>
              <w:rPr>
                <w:i/>
              </w:rPr>
            </w:pPr>
            <w:r w:rsidRPr="00727227">
              <w:t>ARRQ</w:t>
            </w:r>
            <w:r w:rsidRPr="006C21A9">
              <w:t xml:space="preserve">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693D170F"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67AA8DFD" w14:textId="77777777" w:rsidR="001F04FD" w:rsidRPr="004A2B16" w:rsidRDefault="001F04FD" w:rsidP="00AC4DEE">
            <w:pPr>
              <w:pStyle w:val="TableBody"/>
            </w:pPr>
            <w:r w:rsidRPr="006C21A9">
              <w:rPr>
                <w:i/>
              </w:rPr>
              <w:t>Responsive Reserve Quantity per QSE</w:t>
            </w:r>
            <w:r w:rsidRPr="006C21A9">
              <w:t xml:space="preserve">—The portion of QSE </w:t>
            </w:r>
            <w:r w:rsidRPr="006C21A9">
              <w:rPr>
                <w:i/>
              </w:rPr>
              <w:t>q</w:t>
            </w:r>
            <w:r w:rsidRPr="006C21A9">
              <w:t>’s Ancillary Service Obligation that is not self-arranged in either DAM or any SASM, for the hour.</w:t>
            </w:r>
          </w:p>
        </w:tc>
      </w:tr>
      <w:tr w:rsidR="001F04FD" w:rsidRPr="00A02D58" w14:paraId="58DF9A6C"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8125D7A" w14:textId="77777777" w:rsidR="001F04FD" w:rsidRPr="004A2B16" w:rsidRDefault="001F04FD" w:rsidP="00AC4DEE">
            <w:pPr>
              <w:pStyle w:val="TableBody"/>
              <w:rPr>
                <w:i/>
              </w:rPr>
            </w:pPr>
            <w:r w:rsidRPr="00727227">
              <w:t>ARRO</w:t>
            </w:r>
            <w:r w:rsidRPr="006C21A9">
              <w:t xml:space="preserve">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4398C698"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570794AD" w14:textId="77777777" w:rsidR="001F04FD" w:rsidRPr="00A02D58" w:rsidRDefault="001F04FD" w:rsidP="00AC4DEE">
            <w:pPr>
              <w:pStyle w:val="TableBody"/>
            </w:pPr>
            <w:r w:rsidRPr="006C21A9">
              <w:rPr>
                <w:i/>
              </w:rPr>
              <w:t>Responsive Reserve Obligation per QSE</w:t>
            </w:r>
            <w:r w:rsidRPr="006C21A9">
              <w:t xml:space="preserve">—The Ancillary Service Obligation of QSE </w:t>
            </w:r>
            <w:r w:rsidRPr="006C21A9">
              <w:rPr>
                <w:i/>
              </w:rPr>
              <w:t>q</w:t>
            </w:r>
            <w:r w:rsidRPr="006C21A9">
              <w:t>, for the hour.</w:t>
            </w:r>
          </w:p>
        </w:tc>
      </w:tr>
      <w:tr w:rsidR="001F04FD" w:rsidRPr="00A02D58" w14:paraId="3D9203E0"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1533F874" w14:textId="77777777" w:rsidR="001F04FD" w:rsidRPr="004A2B16" w:rsidRDefault="001F04FD" w:rsidP="00AC4DEE">
            <w:pPr>
              <w:pStyle w:val="TableBody"/>
              <w:rPr>
                <w:i/>
              </w:rPr>
            </w:pPr>
            <w:r w:rsidRPr="00727227">
              <w:t>RRO</w:t>
            </w:r>
            <w:r w:rsidRPr="006C21A9">
              <w:t xml:space="preserve">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05CF3E1B" w14:textId="77777777" w:rsidR="001F04FD"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7A8E3B9E" w14:textId="77777777" w:rsidR="001F04FD" w:rsidRPr="00A02D58" w:rsidRDefault="001F04FD" w:rsidP="00AC4DEE">
            <w:pPr>
              <w:pStyle w:val="TableBody"/>
            </w:pPr>
            <w:r w:rsidRPr="006C21A9">
              <w:rPr>
                <w:i/>
              </w:rPr>
              <w:t>Responsive Reserve Obligation per QSE</w:t>
            </w:r>
            <w:r w:rsidRPr="006C21A9">
              <w:t xml:space="preserve">—The Ancillary Service Obligation of QSE </w:t>
            </w:r>
            <w:r w:rsidRPr="006C21A9">
              <w:rPr>
                <w:i/>
              </w:rPr>
              <w:t>q</w:t>
            </w:r>
            <w:r w:rsidRPr="006C21A9">
              <w:t>, for the hour.</w:t>
            </w:r>
          </w:p>
        </w:tc>
      </w:tr>
      <w:tr w:rsidR="001F04FD" w:rsidRPr="00A02D58" w14:paraId="76564EDB"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25AB7C5F" w14:textId="77777777" w:rsidR="001F04FD" w:rsidRPr="004A2B16" w:rsidRDefault="001F04FD" w:rsidP="00AC4DEE">
            <w:pPr>
              <w:pStyle w:val="TableBody"/>
              <w:rPr>
                <w:i/>
              </w:rPr>
            </w:pPr>
            <w:r w:rsidRPr="006C21A9">
              <w:t xml:space="preserve">HLRS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3ECF13BD" w14:textId="77777777" w:rsidR="001F04FD" w:rsidRDefault="001F04FD" w:rsidP="00AC4DEE">
            <w:pPr>
              <w:pStyle w:val="TableBody"/>
            </w:pPr>
            <w:r w:rsidRPr="006C21A9">
              <w:t>none</w:t>
            </w:r>
          </w:p>
        </w:tc>
        <w:tc>
          <w:tcPr>
            <w:tcW w:w="3414" w:type="pct"/>
            <w:tcBorders>
              <w:top w:val="single" w:sz="4" w:space="0" w:color="auto"/>
              <w:left w:val="single" w:sz="4" w:space="0" w:color="auto"/>
              <w:bottom w:val="single" w:sz="4" w:space="0" w:color="auto"/>
              <w:right w:val="single" w:sz="4" w:space="0" w:color="auto"/>
            </w:tcBorders>
          </w:tcPr>
          <w:p w14:paraId="29352196" w14:textId="77777777" w:rsidR="001F04FD" w:rsidRPr="00A02D58" w:rsidRDefault="001F04FD" w:rsidP="00BD4C7C">
            <w:pPr>
              <w:pStyle w:val="TableBody"/>
            </w:pPr>
            <w:r w:rsidRPr="006C21A9">
              <w:rPr>
                <w:i/>
              </w:rPr>
              <w:t>The Hourly Load Ratio Share calculated for QSE q for the hour</w:t>
            </w:r>
            <w:r w:rsidRPr="006C21A9">
              <w:t>.  See Section 6.6.2.</w:t>
            </w:r>
            <w:r w:rsidR="00BD4C7C">
              <w:t>4</w:t>
            </w:r>
            <w:r w:rsidRPr="006C21A9">
              <w:t>.</w:t>
            </w:r>
          </w:p>
        </w:tc>
      </w:tr>
      <w:tr w:rsidR="001F04FD" w:rsidRPr="00A02D58" w14:paraId="58308ECE"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681C1FD1" w14:textId="77777777" w:rsidR="001F04FD" w:rsidRPr="004A2B16" w:rsidRDefault="001F04FD" w:rsidP="00AC4DEE">
            <w:pPr>
              <w:pStyle w:val="TableBody"/>
              <w:rPr>
                <w:i/>
              </w:rPr>
            </w:pPr>
            <w:r w:rsidRPr="006C21A9">
              <w:t xml:space="preserve">SARRQ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19FD834C" w14:textId="77777777" w:rsidR="001F04FD"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2DA2C371" w14:textId="77777777" w:rsidR="001F04FD" w:rsidRPr="00A02D58" w:rsidRDefault="001F04FD" w:rsidP="00AC4DEE">
            <w:pPr>
              <w:pStyle w:val="TableBody"/>
            </w:pPr>
            <w:r w:rsidRPr="006C21A9">
              <w:rPr>
                <w:i/>
              </w:rPr>
              <w:t>Total Self-Arranged Responsive Reserve Quantity per QSE for all markets</w:t>
            </w:r>
            <w:r w:rsidRPr="006C21A9">
              <w:t xml:space="preserve">—The sum of all self-arranged RRS quantities submitted by QSE </w:t>
            </w:r>
            <w:r w:rsidRPr="006C21A9">
              <w:rPr>
                <w:i/>
              </w:rPr>
              <w:t>q</w:t>
            </w:r>
            <w:r w:rsidRPr="006C21A9">
              <w:t xml:space="preserve"> for DAM and all SASMs.</w:t>
            </w:r>
          </w:p>
        </w:tc>
      </w:tr>
      <w:tr w:rsidR="001F04FD" w:rsidRPr="00A02D58" w14:paraId="179BC3B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59E35CFC" w14:textId="77777777" w:rsidR="001F04FD" w:rsidRPr="004A2B16" w:rsidRDefault="001F04FD" w:rsidP="00AC4DEE">
            <w:pPr>
              <w:pStyle w:val="TableBody"/>
              <w:rPr>
                <w:i/>
              </w:rPr>
            </w:pPr>
            <w:r w:rsidRPr="006C21A9">
              <w:rPr>
                <w:i/>
              </w:rPr>
              <w:t>q</w:t>
            </w:r>
          </w:p>
        </w:tc>
        <w:tc>
          <w:tcPr>
            <w:tcW w:w="395" w:type="pct"/>
            <w:tcBorders>
              <w:top w:val="single" w:sz="4" w:space="0" w:color="auto"/>
              <w:left w:val="single" w:sz="4" w:space="0" w:color="auto"/>
              <w:bottom w:val="single" w:sz="4" w:space="0" w:color="auto"/>
              <w:right w:val="single" w:sz="4" w:space="0" w:color="auto"/>
            </w:tcBorders>
          </w:tcPr>
          <w:p w14:paraId="02731BD3" w14:textId="77777777" w:rsidR="001F04FD" w:rsidRDefault="001F04FD" w:rsidP="00AC4DEE">
            <w:pPr>
              <w:pStyle w:val="TableBody"/>
            </w:pPr>
            <w:r w:rsidRPr="006C21A9">
              <w:t>none</w:t>
            </w:r>
          </w:p>
        </w:tc>
        <w:tc>
          <w:tcPr>
            <w:tcW w:w="3414" w:type="pct"/>
            <w:tcBorders>
              <w:top w:val="single" w:sz="4" w:space="0" w:color="auto"/>
              <w:left w:val="single" w:sz="4" w:space="0" w:color="auto"/>
              <w:bottom w:val="single" w:sz="4" w:space="0" w:color="auto"/>
              <w:right w:val="single" w:sz="4" w:space="0" w:color="auto"/>
            </w:tcBorders>
          </w:tcPr>
          <w:p w14:paraId="14FF0CD3" w14:textId="77777777" w:rsidR="001F04FD" w:rsidRPr="00A02D58" w:rsidRDefault="001F04FD" w:rsidP="00AC4DEE">
            <w:pPr>
              <w:pStyle w:val="TableBody"/>
            </w:pPr>
            <w:r w:rsidRPr="006C21A9">
              <w:t>A QSE.</w:t>
            </w:r>
          </w:p>
        </w:tc>
      </w:tr>
      <w:tr w:rsidR="001F04FD" w:rsidRPr="00A02D58" w14:paraId="5F93373C"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4DAFEB6B" w14:textId="77777777" w:rsidR="001F04FD" w:rsidRPr="004A2B16" w:rsidRDefault="001F04FD" w:rsidP="00AC4DEE">
            <w:pPr>
              <w:pStyle w:val="TableBody"/>
              <w:rPr>
                <w:i/>
              </w:rPr>
            </w:pPr>
            <w:r w:rsidRPr="006C21A9">
              <w:rPr>
                <w:i/>
              </w:rPr>
              <w:t>r</w:t>
            </w:r>
          </w:p>
        </w:tc>
        <w:tc>
          <w:tcPr>
            <w:tcW w:w="395" w:type="pct"/>
            <w:tcBorders>
              <w:top w:val="single" w:sz="4" w:space="0" w:color="auto"/>
              <w:left w:val="single" w:sz="4" w:space="0" w:color="auto"/>
              <w:bottom w:val="single" w:sz="4" w:space="0" w:color="auto"/>
              <w:right w:val="single" w:sz="4" w:space="0" w:color="auto"/>
            </w:tcBorders>
          </w:tcPr>
          <w:p w14:paraId="70E73A97" w14:textId="77777777" w:rsidR="001F04FD" w:rsidRDefault="001F04FD" w:rsidP="00AC4DEE">
            <w:pPr>
              <w:pStyle w:val="TableBody"/>
            </w:pPr>
            <w:r w:rsidRPr="006C21A9">
              <w:t>none</w:t>
            </w:r>
          </w:p>
        </w:tc>
        <w:tc>
          <w:tcPr>
            <w:tcW w:w="3414" w:type="pct"/>
            <w:tcBorders>
              <w:top w:val="single" w:sz="4" w:space="0" w:color="auto"/>
              <w:left w:val="single" w:sz="4" w:space="0" w:color="auto"/>
              <w:bottom w:val="single" w:sz="4" w:space="0" w:color="auto"/>
              <w:right w:val="single" w:sz="4" w:space="0" w:color="auto"/>
            </w:tcBorders>
          </w:tcPr>
          <w:p w14:paraId="71BFA113" w14:textId="77777777" w:rsidR="001F04FD" w:rsidRPr="00A02D58" w:rsidRDefault="001F04FD" w:rsidP="00AC4DEE">
            <w:pPr>
              <w:pStyle w:val="TableBody"/>
            </w:pPr>
            <w:r w:rsidRPr="006C21A9">
              <w:t>A Generation Resource that was allocated RRS Ancillary Service Assignment by the QSE.</w:t>
            </w:r>
          </w:p>
        </w:tc>
      </w:tr>
      <w:tr w:rsidR="001F04FD" w:rsidRPr="00A02D58" w14:paraId="20942BFF"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2DBAD0D7" w14:textId="77777777" w:rsidR="001F04FD" w:rsidRPr="004A2B16" w:rsidRDefault="001F04FD" w:rsidP="00AC4DEE">
            <w:pPr>
              <w:pStyle w:val="TableBody"/>
              <w:rPr>
                <w:i/>
              </w:rPr>
            </w:pPr>
            <w:r w:rsidRPr="00DB2D18">
              <w:rPr>
                <w:i/>
              </w:rPr>
              <w:t>p</w:t>
            </w:r>
          </w:p>
        </w:tc>
        <w:tc>
          <w:tcPr>
            <w:tcW w:w="395" w:type="pct"/>
            <w:tcBorders>
              <w:top w:val="single" w:sz="4" w:space="0" w:color="auto"/>
              <w:left w:val="single" w:sz="4" w:space="0" w:color="auto"/>
              <w:bottom w:val="single" w:sz="4" w:space="0" w:color="auto"/>
              <w:right w:val="single" w:sz="4" w:space="0" w:color="auto"/>
            </w:tcBorders>
          </w:tcPr>
          <w:p w14:paraId="72EA8BFD" w14:textId="77777777" w:rsidR="001F04FD" w:rsidRDefault="001F04FD" w:rsidP="00AC4DEE">
            <w:pPr>
              <w:pStyle w:val="TableBody"/>
            </w:pPr>
            <w:r w:rsidRPr="002E1ED9">
              <w:t>none</w:t>
            </w:r>
          </w:p>
        </w:tc>
        <w:tc>
          <w:tcPr>
            <w:tcW w:w="3414" w:type="pct"/>
            <w:tcBorders>
              <w:top w:val="single" w:sz="4" w:space="0" w:color="auto"/>
              <w:left w:val="single" w:sz="4" w:space="0" w:color="auto"/>
              <w:bottom w:val="single" w:sz="4" w:space="0" w:color="auto"/>
              <w:right w:val="single" w:sz="4" w:space="0" w:color="auto"/>
            </w:tcBorders>
          </w:tcPr>
          <w:p w14:paraId="2B09587B" w14:textId="77777777" w:rsidR="001F04FD" w:rsidRPr="00A02D58" w:rsidRDefault="001F04FD" w:rsidP="00AC4DEE">
            <w:pPr>
              <w:pStyle w:val="TableBody"/>
            </w:pPr>
            <w:r w:rsidRPr="002E1ED9">
              <w:t>A Settlement Point for the Resourc</w:t>
            </w:r>
            <w:r>
              <w:t>e Node that was allocated RRS</w:t>
            </w:r>
            <w:r w:rsidRPr="002E1ED9">
              <w:t xml:space="preserve"> Ancillary Service Assignment by the QSE.</w:t>
            </w:r>
          </w:p>
        </w:tc>
      </w:tr>
    </w:tbl>
    <w:p w14:paraId="6F6889C9" w14:textId="77777777" w:rsidR="001F04FD" w:rsidRPr="001C2227" w:rsidRDefault="001F04FD" w:rsidP="001F04FD">
      <w:pPr>
        <w:pStyle w:val="List"/>
        <w:spacing w:before="240"/>
      </w:pPr>
      <w:r w:rsidRPr="00A02D58">
        <w:t>(c)</w:t>
      </w:r>
      <w:r w:rsidRPr="00A02D58">
        <w:tab/>
      </w:r>
      <w:r w:rsidRPr="001C2227">
        <w:t xml:space="preserve">The </w:t>
      </w:r>
      <w:r>
        <w:t>incremental cost</w:t>
      </w:r>
      <w:r w:rsidRPr="001C2227">
        <w:t xml:space="preserve"> to each QSE’s for assigned R</w:t>
      </w:r>
      <w:r>
        <w:t>RS</w:t>
      </w:r>
      <w:r w:rsidRPr="001C2227">
        <w:t xml:space="preserve"> for the Operating Hour, is calculated as follows:</w:t>
      </w:r>
    </w:p>
    <w:p w14:paraId="187ACE0C" w14:textId="77777777" w:rsidR="001F04FD" w:rsidRPr="00AA5D7C" w:rsidRDefault="001F04FD" w:rsidP="001F04FD">
      <w:pPr>
        <w:pStyle w:val="List"/>
        <w:rPr>
          <w:b/>
          <w:i/>
          <w:vertAlign w:val="subscript"/>
          <w:lang w:val="pt-BR"/>
        </w:rPr>
      </w:pPr>
      <w:r w:rsidRPr="00AA5D7C">
        <w:rPr>
          <w:b/>
          <w:lang w:val="pt-BR"/>
        </w:rPr>
        <w:t xml:space="preserve">NETARTRRAMT </w:t>
      </w:r>
      <w:r w:rsidRPr="00AA5D7C">
        <w:rPr>
          <w:b/>
          <w:i/>
          <w:vertAlign w:val="subscript"/>
          <w:lang w:val="pt-BR"/>
        </w:rPr>
        <w:t>q</w:t>
      </w:r>
      <w:r w:rsidRPr="00AA5D7C">
        <w:rPr>
          <w:b/>
          <w:lang w:val="pt-BR"/>
        </w:rPr>
        <w:tab/>
        <w:t>=</w:t>
      </w:r>
      <w:r w:rsidRPr="00AA5D7C">
        <w:rPr>
          <w:b/>
          <w:lang w:val="pt-BR"/>
        </w:rPr>
        <w:tab/>
        <w:t xml:space="preserve">ARRCOST </w:t>
      </w:r>
      <w:r w:rsidRPr="00AA5D7C">
        <w:rPr>
          <w:b/>
          <w:i/>
          <w:vertAlign w:val="subscript"/>
          <w:lang w:val="pt-BR"/>
        </w:rPr>
        <w:t>q</w:t>
      </w:r>
      <w:r w:rsidRPr="00AA5D7C">
        <w:rPr>
          <w:b/>
          <w:lang w:val="pt-BR"/>
        </w:rPr>
        <w:t xml:space="preserve"> – </w:t>
      </w:r>
      <w:r w:rsidRPr="00AA5D7C">
        <w:rPr>
          <w:b/>
        </w:rPr>
        <w:t xml:space="preserve">RRCOST </w:t>
      </w:r>
      <w:r w:rsidRPr="00AA5D7C">
        <w:rPr>
          <w:b/>
          <w:i/>
          <w:vertAlign w:val="subscript"/>
        </w:rPr>
        <w:t>q</w:t>
      </w:r>
      <w:r w:rsidRPr="00AA5D7C">
        <w:rPr>
          <w:b/>
          <w:i/>
          <w:vertAlign w:val="subscript"/>
          <w:lang w:val="pt-BR"/>
        </w:rPr>
        <w:t xml:space="preserve"> </w:t>
      </w:r>
    </w:p>
    <w:p w14:paraId="3A3F56BC" w14:textId="77777777" w:rsidR="001F04FD" w:rsidRPr="00A02D58" w:rsidRDefault="001F04FD" w:rsidP="001F04FD">
      <w:r w:rsidRPr="00A02D58">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2EDC94D7" w14:textId="77777777" w:rsidTr="00AC4DEE">
        <w:tc>
          <w:tcPr>
            <w:tcW w:w="1191" w:type="pct"/>
          </w:tcPr>
          <w:p w14:paraId="2AEF42DD" w14:textId="77777777" w:rsidR="001F04FD" w:rsidRPr="00A02D58" w:rsidRDefault="001F04FD" w:rsidP="00AC4DEE">
            <w:pPr>
              <w:pStyle w:val="TableHead"/>
            </w:pPr>
            <w:r w:rsidRPr="00A02D58">
              <w:t>Variable</w:t>
            </w:r>
          </w:p>
        </w:tc>
        <w:tc>
          <w:tcPr>
            <w:tcW w:w="335" w:type="pct"/>
          </w:tcPr>
          <w:p w14:paraId="37E4E696" w14:textId="77777777" w:rsidR="001F04FD" w:rsidRPr="00A02D58" w:rsidRDefault="001F04FD" w:rsidP="00AC4DEE">
            <w:pPr>
              <w:pStyle w:val="TableHead"/>
            </w:pPr>
            <w:r w:rsidRPr="00A02D58">
              <w:t>Unit</w:t>
            </w:r>
          </w:p>
        </w:tc>
        <w:tc>
          <w:tcPr>
            <w:tcW w:w="3474" w:type="pct"/>
          </w:tcPr>
          <w:p w14:paraId="636EDB36" w14:textId="77777777" w:rsidR="001F04FD" w:rsidRPr="00A02D58" w:rsidRDefault="001F04FD" w:rsidP="00AC4DEE">
            <w:pPr>
              <w:pStyle w:val="TableHead"/>
            </w:pPr>
            <w:r w:rsidRPr="00A02D58">
              <w:t>Description</w:t>
            </w:r>
          </w:p>
        </w:tc>
      </w:tr>
      <w:tr w:rsidR="001F04FD" w:rsidRPr="00A02D58" w14:paraId="660D1595" w14:textId="77777777" w:rsidTr="00AC4DEE">
        <w:tc>
          <w:tcPr>
            <w:tcW w:w="1191" w:type="pct"/>
          </w:tcPr>
          <w:p w14:paraId="5F46B6FF" w14:textId="77777777" w:rsidR="001F04FD" w:rsidRPr="007E037D" w:rsidRDefault="001F04FD" w:rsidP="00AC4DEE">
            <w:pPr>
              <w:pStyle w:val="TableBody"/>
            </w:pPr>
            <w:r>
              <w:rPr>
                <w:lang w:val="pt-BR"/>
              </w:rPr>
              <w:t xml:space="preserve">NETARTRRAMT </w:t>
            </w:r>
            <w:r w:rsidRPr="001F2A44">
              <w:rPr>
                <w:i/>
                <w:vertAlign w:val="subscript"/>
              </w:rPr>
              <w:t>q</w:t>
            </w:r>
          </w:p>
        </w:tc>
        <w:tc>
          <w:tcPr>
            <w:tcW w:w="335" w:type="pct"/>
          </w:tcPr>
          <w:p w14:paraId="36E74C00" w14:textId="77777777" w:rsidR="001F04FD" w:rsidRDefault="001F04FD" w:rsidP="00AC4DEE">
            <w:pPr>
              <w:pStyle w:val="TableBody"/>
            </w:pPr>
            <w:r w:rsidRPr="00A02D58">
              <w:t>$</w:t>
            </w:r>
          </w:p>
        </w:tc>
        <w:tc>
          <w:tcPr>
            <w:tcW w:w="3474" w:type="pct"/>
          </w:tcPr>
          <w:p w14:paraId="625B5D09" w14:textId="77777777" w:rsidR="001F04FD" w:rsidRPr="00A02D58" w:rsidRDefault="001F04FD" w:rsidP="00AC4DEE">
            <w:pPr>
              <w:pStyle w:val="TableBody"/>
            </w:pPr>
            <w:r w:rsidRPr="001C2227">
              <w:rPr>
                <w:i/>
              </w:rPr>
              <w:t xml:space="preserve">Real-Time </w:t>
            </w:r>
            <w:r w:rsidRPr="00A02D58">
              <w:rPr>
                <w:i/>
              </w:rPr>
              <w:t xml:space="preserve">Responsive Reserve </w:t>
            </w:r>
            <w:r w:rsidRPr="001C2227">
              <w:rPr>
                <w:i/>
              </w:rPr>
              <w:t>Amount per QSE</w:t>
            </w:r>
            <w:r w:rsidRPr="001C2227">
              <w:t xml:space="preserve">—The net adjustment to QSE </w:t>
            </w:r>
            <w:r w:rsidRPr="001C2227">
              <w:rPr>
                <w:i/>
              </w:rPr>
              <w:t>q</w:t>
            </w:r>
            <w:r w:rsidRPr="001C2227">
              <w:t xml:space="preserve">’s share of the costs for assigned </w:t>
            </w:r>
            <w:r>
              <w:t>RRS</w:t>
            </w:r>
            <w:r w:rsidRPr="001C2227">
              <w:t>, for the hour.</w:t>
            </w:r>
          </w:p>
        </w:tc>
      </w:tr>
      <w:tr w:rsidR="001F04FD" w:rsidRPr="004A2B16" w14:paraId="297B6F04" w14:textId="77777777" w:rsidTr="00AC4DEE">
        <w:tc>
          <w:tcPr>
            <w:tcW w:w="1191" w:type="pct"/>
          </w:tcPr>
          <w:p w14:paraId="1F01E3E0" w14:textId="77777777" w:rsidR="001F04FD" w:rsidRDefault="001F04FD" w:rsidP="00AC4DEE">
            <w:pPr>
              <w:pStyle w:val="TableBody"/>
            </w:pPr>
            <w:r w:rsidRPr="00A02D58">
              <w:t xml:space="preserve">RRCOST </w:t>
            </w:r>
            <w:r w:rsidRPr="001F2A44">
              <w:rPr>
                <w:i/>
                <w:vertAlign w:val="subscript"/>
              </w:rPr>
              <w:t>q</w:t>
            </w:r>
          </w:p>
        </w:tc>
        <w:tc>
          <w:tcPr>
            <w:tcW w:w="335" w:type="pct"/>
          </w:tcPr>
          <w:p w14:paraId="268FCDB0" w14:textId="77777777" w:rsidR="001F04FD" w:rsidRPr="00A02D58" w:rsidRDefault="001F04FD" w:rsidP="00AC4DEE">
            <w:pPr>
              <w:pStyle w:val="TableBody"/>
            </w:pPr>
            <w:r w:rsidRPr="00A02D58">
              <w:t>$</w:t>
            </w:r>
          </w:p>
        </w:tc>
        <w:tc>
          <w:tcPr>
            <w:tcW w:w="3474" w:type="pct"/>
          </w:tcPr>
          <w:p w14:paraId="75D28D16" w14:textId="77777777" w:rsidR="001F04FD" w:rsidRPr="004A2B16" w:rsidRDefault="001F04FD" w:rsidP="00AC4DEE">
            <w:pPr>
              <w:pStyle w:val="TableBody"/>
            </w:pPr>
            <w:r w:rsidRPr="00A02D58">
              <w:rPr>
                <w:i/>
              </w:rPr>
              <w:t>Responsive Reserve Cost per QSE</w:t>
            </w:r>
            <w:r w:rsidRPr="00A02D58">
              <w:t xml:space="preserve">—QSE </w:t>
            </w:r>
            <w:r w:rsidRPr="00A02D58">
              <w:rPr>
                <w:i/>
              </w:rPr>
              <w:t>q</w:t>
            </w:r>
            <w:r w:rsidRPr="00A02D58">
              <w:t>’s share of the net total costs for RRS, for the hour.</w:t>
            </w:r>
          </w:p>
        </w:tc>
      </w:tr>
      <w:tr w:rsidR="001F04FD" w:rsidRPr="005D75C3" w14:paraId="795C3550" w14:textId="77777777" w:rsidTr="00AC4DEE">
        <w:tc>
          <w:tcPr>
            <w:tcW w:w="1191" w:type="pct"/>
            <w:tcBorders>
              <w:top w:val="single" w:sz="4" w:space="0" w:color="auto"/>
              <w:left w:val="single" w:sz="4" w:space="0" w:color="auto"/>
              <w:bottom w:val="single" w:sz="4" w:space="0" w:color="auto"/>
              <w:right w:val="single" w:sz="4" w:space="0" w:color="auto"/>
            </w:tcBorders>
          </w:tcPr>
          <w:p w14:paraId="7F5EC730" w14:textId="77777777" w:rsidR="001F04FD" w:rsidRPr="00131358" w:rsidRDefault="001F04FD" w:rsidP="00AC4DEE">
            <w:pPr>
              <w:pStyle w:val="TableBody"/>
            </w:pPr>
            <w:r>
              <w:rPr>
                <w:lang w:val="pt-BR"/>
              </w:rPr>
              <w:t>A</w:t>
            </w:r>
            <w:r w:rsidRPr="00A02D58">
              <w:rPr>
                <w:lang w:val="pt-BR"/>
              </w:rPr>
              <w:t xml:space="preserve">RRCOST </w:t>
            </w:r>
            <w:r w:rsidRPr="001F2A44">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720C7B5D" w14:textId="77777777" w:rsidR="001F04FD" w:rsidRPr="00131358" w:rsidRDefault="001F04FD" w:rsidP="00AC4DEE">
            <w:pPr>
              <w:pStyle w:val="TableBody"/>
            </w:pPr>
            <w:r w:rsidRPr="00A02D58">
              <w:t>$</w:t>
            </w:r>
          </w:p>
        </w:tc>
        <w:tc>
          <w:tcPr>
            <w:tcW w:w="3474" w:type="pct"/>
            <w:tcBorders>
              <w:top w:val="single" w:sz="4" w:space="0" w:color="auto"/>
              <w:left w:val="single" w:sz="4" w:space="0" w:color="auto"/>
              <w:bottom w:val="single" w:sz="4" w:space="0" w:color="auto"/>
              <w:right w:val="single" w:sz="4" w:space="0" w:color="auto"/>
            </w:tcBorders>
          </w:tcPr>
          <w:p w14:paraId="63E59399" w14:textId="77777777" w:rsidR="001F04FD" w:rsidRPr="005D75C3" w:rsidRDefault="001F04FD" w:rsidP="00AC4DEE">
            <w:pPr>
              <w:pStyle w:val="TableBody"/>
            </w:pPr>
            <w:r w:rsidRPr="00A02D58">
              <w:rPr>
                <w:i/>
              </w:rPr>
              <w:t>Responsive Reserve</w:t>
            </w:r>
            <w:r w:rsidRPr="00727227">
              <w:rPr>
                <w:i/>
              </w:rPr>
              <w:t xml:space="preserve"> Cost per QSE</w:t>
            </w:r>
            <w:r w:rsidRPr="00727227">
              <w:t xml:space="preserve">—QSE </w:t>
            </w:r>
            <w:r w:rsidRPr="00727227">
              <w:rPr>
                <w:i/>
              </w:rPr>
              <w:t>q</w:t>
            </w:r>
            <w:r w:rsidRPr="00727227">
              <w:t>’s share of the net total costs for R</w:t>
            </w:r>
            <w:r>
              <w:t>RS</w:t>
            </w:r>
            <w:r w:rsidRPr="00727227">
              <w:t xml:space="preserve"> that includes costs of assigned </w:t>
            </w:r>
            <w:r>
              <w:t>Ancillary Service</w:t>
            </w:r>
            <w:r w:rsidRPr="00727227">
              <w:t xml:space="preserve"> during a </w:t>
            </w:r>
            <w:r>
              <w:t>W</w:t>
            </w:r>
            <w:r w:rsidRPr="00727227">
              <w:t>atch, for the hour.</w:t>
            </w:r>
          </w:p>
        </w:tc>
      </w:tr>
      <w:tr w:rsidR="001F04FD" w:rsidRPr="00A87906" w14:paraId="2D1DE29A" w14:textId="77777777" w:rsidTr="00AC4DEE">
        <w:tc>
          <w:tcPr>
            <w:tcW w:w="1191" w:type="pct"/>
            <w:tcBorders>
              <w:top w:val="single" w:sz="4" w:space="0" w:color="auto"/>
              <w:left w:val="single" w:sz="4" w:space="0" w:color="auto"/>
              <w:bottom w:val="single" w:sz="4" w:space="0" w:color="auto"/>
              <w:right w:val="single" w:sz="4" w:space="0" w:color="auto"/>
            </w:tcBorders>
          </w:tcPr>
          <w:p w14:paraId="61762B02" w14:textId="77777777" w:rsidR="001F04FD" w:rsidRPr="00131358" w:rsidRDefault="001F04FD" w:rsidP="00AC4DEE">
            <w:pPr>
              <w:pStyle w:val="TableBody"/>
            </w:pPr>
            <w:r w:rsidRPr="001F2A44">
              <w:rPr>
                <w:i/>
              </w:rPr>
              <w:lastRenderedPageBreak/>
              <w:t>q</w:t>
            </w:r>
          </w:p>
        </w:tc>
        <w:tc>
          <w:tcPr>
            <w:tcW w:w="335" w:type="pct"/>
            <w:tcBorders>
              <w:top w:val="single" w:sz="4" w:space="0" w:color="auto"/>
              <w:left w:val="single" w:sz="4" w:space="0" w:color="auto"/>
              <w:bottom w:val="single" w:sz="4" w:space="0" w:color="auto"/>
              <w:right w:val="single" w:sz="4" w:space="0" w:color="auto"/>
            </w:tcBorders>
          </w:tcPr>
          <w:p w14:paraId="0D5CC9C4" w14:textId="77777777" w:rsidR="001F04FD" w:rsidRPr="00131358" w:rsidRDefault="001F04FD" w:rsidP="00AC4DEE">
            <w:pPr>
              <w:pStyle w:val="TableBody"/>
            </w:pPr>
            <w:r w:rsidRPr="00A02D58">
              <w:t>none</w:t>
            </w:r>
          </w:p>
        </w:tc>
        <w:tc>
          <w:tcPr>
            <w:tcW w:w="3474" w:type="pct"/>
            <w:tcBorders>
              <w:top w:val="single" w:sz="4" w:space="0" w:color="auto"/>
              <w:left w:val="single" w:sz="4" w:space="0" w:color="auto"/>
              <w:bottom w:val="single" w:sz="4" w:space="0" w:color="auto"/>
              <w:right w:val="single" w:sz="4" w:space="0" w:color="auto"/>
            </w:tcBorders>
          </w:tcPr>
          <w:p w14:paraId="3BB5161B" w14:textId="77777777" w:rsidR="001F04FD" w:rsidRPr="00A87906" w:rsidRDefault="001F04FD" w:rsidP="00AC4DEE">
            <w:pPr>
              <w:pStyle w:val="TableBody"/>
            </w:pPr>
            <w:r w:rsidRPr="00A02D58">
              <w:t>A QSE.</w:t>
            </w:r>
          </w:p>
        </w:tc>
      </w:tr>
    </w:tbl>
    <w:p w14:paraId="2B368053" w14:textId="77777777" w:rsidR="008B2D35" w:rsidRPr="0003648D" w:rsidRDefault="008B2D35" w:rsidP="008B2D35">
      <w:pPr>
        <w:pStyle w:val="BodyTextNumbered"/>
        <w:spacing w:before="240"/>
        <w:rPr>
          <w:iCs/>
        </w:rPr>
      </w:pPr>
      <w:bookmarkStart w:id="2827" w:name="_Hlk135906221"/>
      <w:r w:rsidRPr="0003648D">
        <w:rPr>
          <w:iCs/>
        </w:rPr>
        <w:t>(3)</w:t>
      </w:r>
      <w:r w:rsidRPr="0003648D">
        <w:rPr>
          <w:iCs/>
        </w:rPr>
        <w:tab/>
        <w:t xml:space="preserve">For </w:t>
      </w:r>
      <w:r>
        <w:rPr>
          <w:iCs/>
        </w:rPr>
        <w:t>ECRS</w:t>
      </w:r>
      <w:r w:rsidRPr="0003648D">
        <w:rPr>
          <w:iCs/>
        </w:rPr>
        <w:t>, if applicable:</w:t>
      </w:r>
    </w:p>
    <w:p w14:paraId="64E5C9C4" w14:textId="77777777" w:rsidR="008B2D35" w:rsidRPr="0003648D" w:rsidRDefault="008B2D35" w:rsidP="008B2D35">
      <w:pPr>
        <w:pStyle w:val="List"/>
      </w:pPr>
      <w:r w:rsidRPr="0003648D">
        <w:t>(a)</w:t>
      </w:r>
      <w:r w:rsidRPr="0003648D">
        <w:tab/>
        <w:t xml:space="preserve">The total costs for </w:t>
      </w:r>
      <w:r>
        <w:t>ECRS</w:t>
      </w:r>
      <w:r w:rsidRPr="0003648D">
        <w:t xml:space="preserve"> for a given Operating Hour during a Watch is calculated as follows:</w:t>
      </w:r>
    </w:p>
    <w:p w14:paraId="5E7A4755" w14:textId="77777777" w:rsidR="008B2D35" w:rsidRPr="006B16CB" w:rsidRDefault="008B2D35" w:rsidP="008B2D35">
      <w:pPr>
        <w:pStyle w:val="FormulaBold"/>
      </w:pPr>
      <w:r w:rsidRPr="006B16CB">
        <w:t xml:space="preserve">AECRCOSTTOT </w:t>
      </w:r>
      <w:r w:rsidRPr="006B16CB">
        <w:tab/>
        <w:t>=</w:t>
      </w:r>
      <w:r w:rsidRPr="006B16CB">
        <w:tab/>
        <w:t xml:space="preserve">(-1) * RTAUECRAMTTOT + ECRCOSTTOT </w:t>
      </w:r>
    </w:p>
    <w:p w14:paraId="140F6DA2" w14:textId="77777777" w:rsidR="008B2D35" w:rsidRPr="006E0A95" w:rsidRDefault="008B2D35" w:rsidP="008B2D35">
      <w:pPr>
        <w:pStyle w:val="BodyText"/>
      </w:pPr>
      <w:r w:rsidRPr="006E0A95">
        <w:t xml:space="preserve">Where: </w:t>
      </w:r>
    </w:p>
    <w:p w14:paraId="2EEDACF4" w14:textId="77777777" w:rsidR="008B2D35" w:rsidRPr="009E6703" w:rsidRDefault="008B2D35" w:rsidP="008B2D35">
      <w:pPr>
        <w:ind w:left="720"/>
      </w:pPr>
      <w:r w:rsidRPr="006B16CB">
        <w:t xml:space="preserve">Total payment of Real-Time Ancillary Service Assignment procured capacity for un-deployed </w:t>
      </w:r>
      <w:r w:rsidRPr="009E6703">
        <w:t>ECRS</w:t>
      </w:r>
    </w:p>
    <w:p w14:paraId="6F10E2F5" w14:textId="77777777" w:rsidR="008B2D35" w:rsidRPr="009E6703" w:rsidRDefault="008B2D35" w:rsidP="008B2D35"/>
    <w:p w14:paraId="75DFB46E" w14:textId="77777777" w:rsidR="008B2D35" w:rsidRPr="006E0A95" w:rsidRDefault="008B2D35" w:rsidP="008B2D35">
      <w:pPr>
        <w:pStyle w:val="FormulaBold"/>
        <w:rPr>
          <w:b w:val="0"/>
        </w:rPr>
      </w:pPr>
      <w:r w:rsidRPr="006E0A95">
        <w:rPr>
          <w:b w:val="0"/>
        </w:rPr>
        <w:t xml:space="preserve">RTAUECRAMTTOT </w:t>
      </w:r>
      <w:r w:rsidRPr="006E0A95">
        <w:rPr>
          <w:b w:val="0"/>
        </w:rPr>
        <w:tab/>
        <w:t>=</w:t>
      </w:r>
      <w:r w:rsidRPr="006E0A95">
        <w:rPr>
          <w:b w:val="0"/>
        </w:rPr>
        <w:tab/>
      </w:r>
      <w:r w:rsidRPr="006E0A95">
        <w:rPr>
          <w:b w:val="0"/>
          <w:position w:val="-30"/>
        </w:rPr>
        <w:object w:dxaOrig="460" w:dyaOrig="560" w14:anchorId="02122831">
          <v:shape id="_x0000_i1439" type="#_x0000_t75" style="width:18pt;height:30pt" o:ole="">
            <v:imagedata r:id="rId529" o:title=""/>
          </v:shape>
          <o:OLEObject Type="Embed" ProgID="Equation.3" ShapeID="_x0000_i1439" DrawAspect="Content" ObjectID="_1815025627" r:id="rId541"/>
        </w:object>
      </w:r>
      <w:r w:rsidRPr="006E0A95">
        <w:rPr>
          <w:b w:val="0"/>
          <w:position w:val="-28"/>
        </w:rPr>
        <w:object w:dxaOrig="460" w:dyaOrig="540" w14:anchorId="0D9C88F1">
          <v:shape id="_x0000_i1440" type="#_x0000_t75" style="width:18pt;height:30pt" o:ole="">
            <v:imagedata r:id="rId531" o:title=""/>
          </v:shape>
          <o:OLEObject Type="Embed" ProgID="Equation.3" ShapeID="_x0000_i1440" DrawAspect="Content" ObjectID="_1815025628" r:id="rId542"/>
        </w:object>
      </w:r>
      <w:r w:rsidRPr="006E0A95">
        <w:rPr>
          <w:b w:val="0"/>
          <w:position w:val="-30"/>
        </w:rPr>
        <w:object w:dxaOrig="460" w:dyaOrig="560" w14:anchorId="493E2E50">
          <v:shape id="_x0000_i1441" type="#_x0000_t75" style="width:18pt;height:30pt" o:ole="">
            <v:imagedata r:id="rId533" o:title=""/>
          </v:shape>
          <o:OLEObject Type="Embed" ProgID="Equation.3" ShapeID="_x0000_i1441" DrawAspect="Content" ObjectID="_1815025629" r:id="rId543"/>
        </w:object>
      </w:r>
      <w:r w:rsidRPr="006E0A95">
        <w:rPr>
          <w:b w:val="0"/>
          <w:position w:val="-28"/>
        </w:rPr>
        <w:object w:dxaOrig="460" w:dyaOrig="680" w14:anchorId="71839CB5">
          <v:shape id="_x0000_i1442" type="#_x0000_t75" style="width:18pt;height:36.6pt" o:ole="">
            <v:imagedata r:id="rId535" o:title=""/>
          </v:shape>
          <o:OLEObject Type="Embed" ProgID="Equation.3" ShapeID="_x0000_i1442" DrawAspect="Content" ObjectID="_1815025630" r:id="rId544"/>
        </w:object>
      </w:r>
      <w:r w:rsidRPr="006E0A95">
        <w:rPr>
          <w:b w:val="0"/>
        </w:rPr>
        <w:t xml:space="preserve">RTAUECRAMT </w:t>
      </w:r>
      <w:r w:rsidRPr="006E0A95">
        <w:rPr>
          <w:b w:val="0"/>
          <w:i/>
          <w:vertAlign w:val="subscript"/>
        </w:rPr>
        <w:t>q, r, p, i</w:t>
      </w:r>
    </w:p>
    <w:p w14:paraId="2219E1AA" w14:textId="77777777" w:rsidR="008B2D35" w:rsidRPr="0003648D" w:rsidRDefault="008B2D35" w:rsidP="008B2D35">
      <w:r w:rsidRPr="0003648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8B2D35" w:rsidRPr="0003648D" w14:paraId="72C25A91" w14:textId="77777777" w:rsidTr="00B82144">
        <w:tc>
          <w:tcPr>
            <w:tcW w:w="1191" w:type="pct"/>
          </w:tcPr>
          <w:p w14:paraId="55F2FA6B" w14:textId="77777777" w:rsidR="008B2D35" w:rsidRPr="0003648D" w:rsidRDefault="008B2D35" w:rsidP="00B82144">
            <w:pPr>
              <w:pStyle w:val="TableHead"/>
            </w:pPr>
            <w:r w:rsidRPr="0003648D">
              <w:t>Variable</w:t>
            </w:r>
          </w:p>
        </w:tc>
        <w:tc>
          <w:tcPr>
            <w:tcW w:w="335" w:type="pct"/>
          </w:tcPr>
          <w:p w14:paraId="657DB588" w14:textId="77777777" w:rsidR="008B2D35" w:rsidRPr="0003648D" w:rsidRDefault="008B2D35" w:rsidP="00B82144">
            <w:pPr>
              <w:pStyle w:val="TableHead"/>
            </w:pPr>
            <w:r w:rsidRPr="0003648D">
              <w:t>Unit</w:t>
            </w:r>
          </w:p>
        </w:tc>
        <w:tc>
          <w:tcPr>
            <w:tcW w:w="3474" w:type="pct"/>
          </w:tcPr>
          <w:p w14:paraId="22AA1A5E" w14:textId="77777777" w:rsidR="008B2D35" w:rsidRPr="0003648D" w:rsidRDefault="008B2D35" w:rsidP="00B82144">
            <w:pPr>
              <w:pStyle w:val="TableHead"/>
            </w:pPr>
            <w:r w:rsidRPr="0003648D">
              <w:t>Description</w:t>
            </w:r>
          </w:p>
        </w:tc>
      </w:tr>
      <w:tr w:rsidR="008B2D35" w:rsidRPr="0003648D" w14:paraId="5AA6399B" w14:textId="77777777" w:rsidTr="00B82144">
        <w:tc>
          <w:tcPr>
            <w:tcW w:w="1191" w:type="pct"/>
          </w:tcPr>
          <w:p w14:paraId="25196563" w14:textId="77777777" w:rsidR="008B2D35" w:rsidRPr="0003648D" w:rsidRDefault="008B2D35" w:rsidP="00B82144">
            <w:pPr>
              <w:pStyle w:val="TableBody"/>
            </w:pPr>
            <w:r w:rsidRPr="0003648D">
              <w:t>A</w:t>
            </w:r>
            <w:r>
              <w:t>EC</w:t>
            </w:r>
            <w:r w:rsidRPr="0003648D">
              <w:t>RCOSTTOT</w:t>
            </w:r>
          </w:p>
        </w:tc>
        <w:tc>
          <w:tcPr>
            <w:tcW w:w="335" w:type="pct"/>
          </w:tcPr>
          <w:p w14:paraId="5A53526B" w14:textId="77777777" w:rsidR="008B2D35" w:rsidRPr="0003648D" w:rsidRDefault="008B2D35" w:rsidP="00B82144">
            <w:pPr>
              <w:pStyle w:val="TableBody"/>
            </w:pPr>
            <w:r w:rsidRPr="0003648D">
              <w:t>$</w:t>
            </w:r>
          </w:p>
        </w:tc>
        <w:tc>
          <w:tcPr>
            <w:tcW w:w="3474" w:type="pct"/>
          </w:tcPr>
          <w:p w14:paraId="498DA957" w14:textId="77777777" w:rsidR="008B2D35" w:rsidRPr="0003648D" w:rsidRDefault="008B2D35" w:rsidP="00B82144">
            <w:pPr>
              <w:pStyle w:val="TableBody"/>
            </w:pPr>
            <w:r>
              <w:rPr>
                <w:i/>
              </w:rPr>
              <w:t>ERCOT Contingency Reserve Service</w:t>
            </w:r>
            <w:r w:rsidRPr="0003648D">
              <w:rPr>
                <w:i/>
              </w:rPr>
              <w:t xml:space="preserve"> Cost Total</w:t>
            </w:r>
            <w:r w:rsidRPr="0003648D">
              <w:t xml:space="preserve">—The net total costs for </w:t>
            </w:r>
            <w:r>
              <w:t>ECRS</w:t>
            </w:r>
            <w:r w:rsidRPr="0003648D">
              <w:t xml:space="preserve"> that includes costs of assigned Ancillary Service during a Watch for the hour.</w:t>
            </w:r>
          </w:p>
        </w:tc>
      </w:tr>
      <w:tr w:rsidR="008B2D35" w:rsidRPr="0003648D" w14:paraId="6014BEB5" w14:textId="77777777" w:rsidTr="00B82144">
        <w:tc>
          <w:tcPr>
            <w:tcW w:w="1191" w:type="pct"/>
          </w:tcPr>
          <w:p w14:paraId="35FCE8B2" w14:textId="77777777" w:rsidR="008B2D35" w:rsidRPr="0003648D" w:rsidRDefault="008B2D35" w:rsidP="00B82144">
            <w:pPr>
              <w:pStyle w:val="TableBody"/>
            </w:pPr>
            <w:r>
              <w:t>EC</w:t>
            </w:r>
            <w:r w:rsidRPr="0003648D">
              <w:t>RCOSTTOT</w:t>
            </w:r>
          </w:p>
        </w:tc>
        <w:tc>
          <w:tcPr>
            <w:tcW w:w="335" w:type="pct"/>
          </w:tcPr>
          <w:p w14:paraId="4277B208" w14:textId="77777777" w:rsidR="008B2D35" w:rsidRPr="0003648D" w:rsidRDefault="008B2D35" w:rsidP="00B82144">
            <w:pPr>
              <w:pStyle w:val="TableBody"/>
            </w:pPr>
            <w:r w:rsidRPr="0003648D">
              <w:t>$</w:t>
            </w:r>
          </w:p>
        </w:tc>
        <w:tc>
          <w:tcPr>
            <w:tcW w:w="3474" w:type="pct"/>
          </w:tcPr>
          <w:p w14:paraId="04F5ADAF" w14:textId="77777777" w:rsidR="008B2D35" w:rsidRPr="0003648D" w:rsidRDefault="008B2D35" w:rsidP="00B82144">
            <w:pPr>
              <w:pStyle w:val="TableBody"/>
            </w:pPr>
            <w:r>
              <w:rPr>
                <w:i/>
              </w:rPr>
              <w:t>ERCOT Contingency Reserve Service</w:t>
            </w:r>
            <w:r w:rsidRPr="0003648D">
              <w:rPr>
                <w:i/>
              </w:rPr>
              <w:t xml:space="preserve"> Cost Total</w:t>
            </w:r>
            <w:r w:rsidRPr="0003648D">
              <w:t xml:space="preserve">—The net total costs for </w:t>
            </w:r>
            <w:r>
              <w:t>ECRS</w:t>
            </w:r>
            <w:r w:rsidRPr="0003648D">
              <w:t xml:space="preserve"> for the hour.  </w:t>
            </w:r>
          </w:p>
        </w:tc>
      </w:tr>
      <w:tr w:rsidR="008B2D35" w:rsidRPr="0003648D" w14:paraId="6386C826" w14:textId="77777777" w:rsidTr="00B82144">
        <w:tc>
          <w:tcPr>
            <w:tcW w:w="1191" w:type="pct"/>
            <w:tcBorders>
              <w:top w:val="single" w:sz="4" w:space="0" w:color="auto"/>
              <w:left w:val="single" w:sz="4" w:space="0" w:color="auto"/>
              <w:bottom w:val="single" w:sz="4" w:space="0" w:color="auto"/>
              <w:right w:val="single" w:sz="4" w:space="0" w:color="auto"/>
            </w:tcBorders>
          </w:tcPr>
          <w:p w14:paraId="16E4FF12" w14:textId="77777777" w:rsidR="008B2D35" w:rsidRPr="0003648D" w:rsidRDefault="008B2D35" w:rsidP="00B82144">
            <w:pPr>
              <w:pStyle w:val="TableBody"/>
            </w:pPr>
            <w:r w:rsidRPr="0003648D">
              <w:t>RTAU</w:t>
            </w:r>
            <w:r>
              <w:t>EC</w:t>
            </w:r>
            <w:r w:rsidRPr="0003648D">
              <w:t>RAMTTOT</w:t>
            </w:r>
          </w:p>
        </w:tc>
        <w:tc>
          <w:tcPr>
            <w:tcW w:w="335" w:type="pct"/>
            <w:tcBorders>
              <w:top w:val="single" w:sz="4" w:space="0" w:color="auto"/>
              <w:left w:val="single" w:sz="4" w:space="0" w:color="auto"/>
              <w:bottom w:val="single" w:sz="4" w:space="0" w:color="auto"/>
              <w:right w:val="single" w:sz="4" w:space="0" w:color="auto"/>
            </w:tcBorders>
          </w:tcPr>
          <w:p w14:paraId="6A1A1CCB" w14:textId="77777777" w:rsidR="008B2D35" w:rsidRPr="0003648D" w:rsidRDefault="008B2D35" w:rsidP="00B82144">
            <w:pPr>
              <w:pStyle w:val="TableBody"/>
            </w:pPr>
            <w:r w:rsidRPr="0003648D">
              <w:t>$</w:t>
            </w:r>
          </w:p>
        </w:tc>
        <w:tc>
          <w:tcPr>
            <w:tcW w:w="3474" w:type="pct"/>
            <w:tcBorders>
              <w:top w:val="single" w:sz="4" w:space="0" w:color="auto"/>
              <w:left w:val="single" w:sz="4" w:space="0" w:color="auto"/>
              <w:bottom w:val="single" w:sz="4" w:space="0" w:color="auto"/>
              <w:right w:val="single" w:sz="4" w:space="0" w:color="auto"/>
            </w:tcBorders>
          </w:tcPr>
          <w:p w14:paraId="06CF8DFD" w14:textId="77777777" w:rsidR="008B2D35" w:rsidRPr="0003648D" w:rsidRDefault="008B2D35" w:rsidP="00B82144">
            <w:pPr>
              <w:pStyle w:val="TableBody"/>
            </w:pPr>
            <w:r w:rsidRPr="0003648D">
              <w:rPr>
                <w:i/>
              </w:rPr>
              <w:t xml:space="preserve">Real-Time Assigned Un-Deployed </w:t>
            </w:r>
            <w:r>
              <w:rPr>
                <w:i/>
              </w:rPr>
              <w:t>ERCOT Contingency Reserve Service</w:t>
            </w:r>
            <w:r w:rsidRPr="0003648D">
              <w:rPr>
                <w:i/>
              </w:rPr>
              <w:t xml:space="preserve"> Payment Amount Total for all QSEs - </w:t>
            </w:r>
            <w:r w:rsidRPr="0003648D">
              <w:t xml:space="preserve">The payments to all QSEs for the Real-Time un-deployed </w:t>
            </w:r>
            <w:r>
              <w:t>ECRS</w:t>
            </w:r>
            <w:r w:rsidRPr="0003648D">
              <w:t xml:space="preserve"> Ancillary Service Assignment for the hour.</w:t>
            </w:r>
          </w:p>
        </w:tc>
      </w:tr>
      <w:tr w:rsidR="008B2D35" w:rsidRPr="0003648D" w14:paraId="7C2B5269" w14:textId="77777777" w:rsidTr="00B82144">
        <w:tc>
          <w:tcPr>
            <w:tcW w:w="1191" w:type="pct"/>
            <w:tcBorders>
              <w:top w:val="single" w:sz="4" w:space="0" w:color="auto"/>
              <w:left w:val="single" w:sz="4" w:space="0" w:color="auto"/>
              <w:bottom w:val="single" w:sz="4" w:space="0" w:color="auto"/>
              <w:right w:val="single" w:sz="4" w:space="0" w:color="auto"/>
            </w:tcBorders>
          </w:tcPr>
          <w:p w14:paraId="44B93E35" w14:textId="77777777" w:rsidR="008B2D35" w:rsidRPr="0003648D" w:rsidRDefault="008B2D35" w:rsidP="00B82144">
            <w:pPr>
              <w:pStyle w:val="TableBody"/>
            </w:pPr>
            <w:r w:rsidRPr="0003648D">
              <w:t>RTAU</w:t>
            </w:r>
            <w:r>
              <w:t>EC</w:t>
            </w:r>
            <w:r w:rsidRPr="0003648D">
              <w:t>RAMT</w:t>
            </w:r>
            <w:r w:rsidRPr="0003648D">
              <w:rPr>
                <w:b/>
              </w:rPr>
              <w:t xml:space="preserve"> </w:t>
            </w:r>
            <w:r w:rsidRPr="0003648D">
              <w:rPr>
                <w:i/>
                <w:vertAlign w:val="subscript"/>
              </w:rPr>
              <w:t>q, r,</w:t>
            </w:r>
            <w:r>
              <w:rPr>
                <w:i/>
                <w:vertAlign w:val="subscript"/>
              </w:rPr>
              <w:t xml:space="preserve"> </w:t>
            </w:r>
            <w:r w:rsidRPr="0003648D">
              <w:rPr>
                <w:i/>
                <w:vertAlign w:val="subscript"/>
              </w:rPr>
              <w:t>p,</w:t>
            </w:r>
            <w:r>
              <w:rPr>
                <w:i/>
                <w:vertAlign w:val="subscript"/>
              </w:rPr>
              <w:t xml:space="preserve"> </w:t>
            </w:r>
            <w:r w:rsidRPr="0003648D">
              <w:rPr>
                <w:i/>
                <w:vertAlign w:val="subscript"/>
              </w:rPr>
              <w:t>i</w:t>
            </w:r>
          </w:p>
        </w:tc>
        <w:tc>
          <w:tcPr>
            <w:tcW w:w="335" w:type="pct"/>
            <w:tcBorders>
              <w:top w:val="single" w:sz="4" w:space="0" w:color="auto"/>
              <w:left w:val="single" w:sz="4" w:space="0" w:color="auto"/>
              <w:bottom w:val="single" w:sz="4" w:space="0" w:color="auto"/>
              <w:right w:val="single" w:sz="4" w:space="0" w:color="auto"/>
            </w:tcBorders>
          </w:tcPr>
          <w:p w14:paraId="11946062" w14:textId="77777777" w:rsidR="008B2D35" w:rsidRPr="0003648D" w:rsidRDefault="008B2D35" w:rsidP="00B82144">
            <w:pPr>
              <w:pStyle w:val="TableBody"/>
            </w:pPr>
            <w:r w:rsidRPr="0003648D">
              <w:t>$</w:t>
            </w:r>
          </w:p>
        </w:tc>
        <w:tc>
          <w:tcPr>
            <w:tcW w:w="3474" w:type="pct"/>
            <w:tcBorders>
              <w:top w:val="single" w:sz="4" w:space="0" w:color="auto"/>
              <w:left w:val="single" w:sz="4" w:space="0" w:color="auto"/>
              <w:bottom w:val="single" w:sz="4" w:space="0" w:color="auto"/>
              <w:right w:val="single" w:sz="4" w:space="0" w:color="auto"/>
            </w:tcBorders>
          </w:tcPr>
          <w:p w14:paraId="04423D03" w14:textId="77777777" w:rsidR="008B2D35" w:rsidRPr="0003648D" w:rsidRDefault="008B2D35" w:rsidP="00B82144">
            <w:pPr>
              <w:pStyle w:val="TableBody"/>
            </w:pPr>
            <w:r w:rsidRPr="0096460A">
              <w:rPr>
                <w:i/>
              </w:rPr>
              <w:t xml:space="preserve">Real-Time Assigned Un-Deployed ERCOT Contingency Reserve Service Payment Amount per QSE - </w:t>
            </w:r>
            <w:r w:rsidRPr="0096460A">
              <w:t xml:space="preserve">The payment to QSE </w:t>
            </w:r>
            <w:r w:rsidRPr="0096460A">
              <w:rPr>
                <w:i/>
              </w:rPr>
              <w:t>q</w:t>
            </w:r>
            <w:r w:rsidRPr="0096460A">
              <w:t xml:space="preserve"> for a Real-Time un-deployed ECRS Ancillary Service Assignment to Resource </w:t>
            </w:r>
            <w:r w:rsidRPr="0096460A">
              <w:rPr>
                <w:i/>
              </w:rPr>
              <w:t>r</w:t>
            </w:r>
            <w:r w:rsidRPr="0096460A">
              <w:t xml:space="preserve"> at Settlement Point </w:t>
            </w:r>
            <w:r w:rsidRPr="0096460A">
              <w:rPr>
                <w:i/>
              </w:rPr>
              <w:t>p</w:t>
            </w:r>
            <w:r w:rsidRPr="0096460A">
              <w:t xml:space="preserve"> for the 15-minute Settlement Interval </w:t>
            </w:r>
            <w:r w:rsidRPr="0096460A">
              <w:rPr>
                <w:i/>
              </w:rPr>
              <w:t>i</w:t>
            </w:r>
            <w:r w:rsidRPr="0096460A">
              <w:t>.</w:t>
            </w:r>
          </w:p>
        </w:tc>
      </w:tr>
      <w:tr w:rsidR="008B2D35" w:rsidRPr="0003648D" w14:paraId="3B339319" w14:textId="77777777" w:rsidTr="00B82144">
        <w:tc>
          <w:tcPr>
            <w:tcW w:w="1191" w:type="pct"/>
            <w:tcBorders>
              <w:top w:val="single" w:sz="4" w:space="0" w:color="auto"/>
              <w:left w:val="single" w:sz="4" w:space="0" w:color="auto"/>
              <w:bottom w:val="single" w:sz="4" w:space="0" w:color="auto"/>
              <w:right w:val="single" w:sz="4" w:space="0" w:color="auto"/>
            </w:tcBorders>
          </w:tcPr>
          <w:p w14:paraId="25057A6F" w14:textId="77777777" w:rsidR="008B2D35" w:rsidRPr="0003648D" w:rsidRDefault="008B2D35" w:rsidP="00B82144">
            <w:pPr>
              <w:pStyle w:val="TableBody"/>
              <w:rPr>
                <w:i/>
              </w:rPr>
            </w:pPr>
            <w:r w:rsidRPr="0003648D">
              <w:rPr>
                <w:i/>
              </w:rPr>
              <w:t>q</w:t>
            </w:r>
          </w:p>
        </w:tc>
        <w:tc>
          <w:tcPr>
            <w:tcW w:w="335" w:type="pct"/>
            <w:tcBorders>
              <w:top w:val="single" w:sz="4" w:space="0" w:color="auto"/>
              <w:left w:val="single" w:sz="4" w:space="0" w:color="auto"/>
              <w:bottom w:val="single" w:sz="4" w:space="0" w:color="auto"/>
              <w:right w:val="single" w:sz="4" w:space="0" w:color="auto"/>
            </w:tcBorders>
          </w:tcPr>
          <w:p w14:paraId="5E36CA91" w14:textId="77777777" w:rsidR="008B2D35" w:rsidRPr="0003648D" w:rsidRDefault="008B2D35" w:rsidP="00B82144">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7705F922" w14:textId="77777777" w:rsidR="008B2D35" w:rsidRPr="0003648D" w:rsidRDefault="008B2D35" w:rsidP="00B82144">
            <w:pPr>
              <w:pStyle w:val="TableBody"/>
            </w:pPr>
            <w:r w:rsidRPr="0003648D">
              <w:t>A QSE.</w:t>
            </w:r>
          </w:p>
        </w:tc>
      </w:tr>
      <w:tr w:rsidR="008B2D35" w:rsidRPr="0003648D" w14:paraId="69E99322" w14:textId="77777777" w:rsidTr="00B82144">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449F08C3" w14:textId="77777777" w:rsidR="008B2D35" w:rsidRPr="0003648D" w:rsidRDefault="008B2D35" w:rsidP="00B82144">
            <w:pPr>
              <w:pStyle w:val="TableBody"/>
              <w:rPr>
                <w:i/>
              </w:rPr>
            </w:pPr>
            <w:r w:rsidRPr="0003648D">
              <w:rPr>
                <w:i/>
              </w:rPr>
              <w:t>r</w:t>
            </w:r>
          </w:p>
        </w:tc>
        <w:tc>
          <w:tcPr>
            <w:tcW w:w="335" w:type="pct"/>
            <w:tcBorders>
              <w:top w:val="single" w:sz="4" w:space="0" w:color="auto"/>
              <w:left w:val="single" w:sz="4" w:space="0" w:color="auto"/>
              <w:bottom w:val="single" w:sz="4" w:space="0" w:color="auto"/>
              <w:right w:val="single" w:sz="4" w:space="0" w:color="auto"/>
            </w:tcBorders>
          </w:tcPr>
          <w:p w14:paraId="24200326" w14:textId="77777777" w:rsidR="008B2D35" w:rsidRPr="0003648D" w:rsidRDefault="008B2D35" w:rsidP="00B82144">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7B258844" w14:textId="77777777" w:rsidR="008B2D35" w:rsidRPr="0003648D" w:rsidRDefault="008B2D35" w:rsidP="00B82144">
            <w:pPr>
              <w:pStyle w:val="TableBody"/>
            </w:pPr>
            <w:r w:rsidRPr="0003648D">
              <w:t xml:space="preserve">A Generation Resource that was allocated </w:t>
            </w:r>
            <w:r>
              <w:t>ECRS</w:t>
            </w:r>
            <w:r w:rsidRPr="0003648D">
              <w:t xml:space="preserve"> Ancillary Service Assignment by the QSE.</w:t>
            </w:r>
          </w:p>
        </w:tc>
      </w:tr>
      <w:tr w:rsidR="008B2D35" w:rsidRPr="0003648D" w14:paraId="6DC75518" w14:textId="77777777" w:rsidTr="00B82144">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40BE7810" w14:textId="77777777" w:rsidR="008B2D35" w:rsidRPr="0003648D" w:rsidRDefault="008B2D35" w:rsidP="00B82144">
            <w:pPr>
              <w:pStyle w:val="TableBody"/>
              <w:rPr>
                <w:i/>
              </w:rPr>
            </w:pPr>
            <w:r w:rsidRPr="0003648D">
              <w:rPr>
                <w:i/>
              </w:rPr>
              <w:t>p</w:t>
            </w:r>
          </w:p>
        </w:tc>
        <w:tc>
          <w:tcPr>
            <w:tcW w:w="335" w:type="pct"/>
            <w:tcBorders>
              <w:top w:val="single" w:sz="4" w:space="0" w:color="auto"/>
              <w:left w:val="single" w:sz="4" w:space="0" w:color="auto"/>
              <w:bottom w:val="single" w:sz="4" w:space="0" w:color="auto"/>
              <w:right w:val="single" w:sz="4" w:space="0" w:color="auto"/>
            </w:tcBorders>
          </w:tcPr>
          <w:p w14:paraId="6610C930" w14:textId="77777777" w:rsidR="008B2D35" w:rsidRPr="0003648D" w:rsidRDefault="008B2D35" w:rsidP="00B82144">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2D032C4D" w14:textId="77777777" w:rsidR="008B2D35" w:rsidRPr="0003648D" w:rsidRDefault="008B2D35" w:rsidP="00B82144">
            <w:pPr>
              <w:pStyle w:val="TableBody"/>
            </w:pPr>
            <w:r w:rsidRPr="0003648D">
              <w:t xml:space="preserve">A Settlement Point for the Resource Node that was allocated </w:t>
            </w:r>
            <w:r>
              <w:t>ECRS</w:t>
            </w:r>
            <w:r w:rsidRPr="0003648D">
              <w:t xml:space="preserve"> Ancillary Service Assignment by the QSE.</w:t>
            </w:r>
          </w:p>
        </w:tc>
      </w:tr>
      <w:tr w:rsidR="008B2D35" w:rsidRPr="0003648D" w14:paraId="141453A3"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131872BB" w14:textId="77777777" w:rsidR="008B2D35" w:rsidRPr="0003648D" w:rsidRDefault="008B2D35" w:rsidP="00B82144">
            <w:pPr>
              <w:pStyle w:val="TableBody"/>
              <w:rPr>
                <w:i/>
              </w:rPr>
            </w:pPr>
            <w:r w:rsidRPr="0003648D">
              <w:rPr>
                <w:i/>
              </w:rPr>
              <w:t>i</w:t>
            </w:r>
          </w:p>
        </w:tc>
        <w:tc>
          <w:tcPr>
            <w:tcW w:w="335" w:type="pct"/>
            <w:tcBorders>
              <w:top w:val="single" w:sz="4" w:space="0" w:color="auto"/>
              <w:left w:val="single" w:sz="4" w:space="0" w:color="auto"/>
              <w:bottom w:val="single" w:sz="4" w:space="0" w:color="auto"/>
              <w:right w:val="single" w:sz="4" w:space="0" w:color="auto"/>
            </w:tcBorders>
          </w:tcPr>
          <w:p w14:paraId="2BF630E6" w14:textId="77777777" w:rsidR="008B2D35" w:rsidRPr="0003648D" w:rsidRDefault="008B2D35" w:rsidP="00B82144">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1EBEAD8A" w14:textId="77777777" w:rsidR="008B2D35" w:rsidRPr="0003648D" w:rsidRDefault="008B2D35" w:rsidP="00B82144">
            <w:pPr>
              <w:pStyle w:val="TableBody"/>
            </w:pPr>
            <w:r w:rsidRPr="0003648D">
              <w:t>A 15-minute Settlement Interval in the Operating Hour.</w:t>
            </w:r>
          </w:p>
        </w:tc>
      </w:tr>
    </w:tbl>
    <w:p w14:paraId="6AD95926" w14:textId="77777777" w:rsidR="008B2D35" w:rsidRPr="0003648D" w:rsidRDefault="008B2D35" w:rsidP="008B2D35">
      <w:pPr>
        <w:pStyle w:val="List"/>
        <w:spacing w:before="240"/>
      </w:pPr>
      <w:r w:rsidRPr="0003648D">
        <w:t>(b)</w:t>
      </w:r>
      <w:r w:rsidRPr="0003648D">
        <w:tab/>
        <w:t xml:space="preserve">Each QSE’s share of the net total costs for </w:t>
      </w:r>
      <w:r>
        <w:t>ECRS</w:t>
      </w:r>
      <w:r w:rsidRPr="0003648D">
        <w:t xml:space="preserve"> for the Operating Hour, including Ancillary Service costs assigned during a Watch is calculated as follows:</w:t>
      </w:r>
    </w:p>
    <w:p w14:paraId="2F3DE4D7" w14:textId="77777777" w:rsidR="008B2D35" w:rsidRPr="0003648D" w:rsidRDefault="008B2D35" w:rsidP="008B2D35">
      <w:pPr>
        <w:pStyle w:val="FormulaBold"/>
      </w:pPr>
      <w:r w:rsidRPr="0003648D">
        <w:t>A</w:t>
      </w:r>
      <w:r>
        <w:t>EC</w:t>
      </w:r>
      <w:r w:rsidRPr="0003648D">
        <w:t xml:space="preserve">RCOST </w:t>
      </w:r>
      <w:r w:rsidRPr="0003648D">
        <w:rPr>
          <w:i/>
          <w:vertAlign w:val="subscript"/>
        </w:rPr>
        <w:t>q</w:t>
      </w:r>
      <w:r w:rsidRPr="0003648D">
        <w:tab/>
        <w:t>=</w:t>
      </w:r>
      <w:r w:rsidRPr="0003648D">
        <w:tab/>
        <w:t>A</w:t>
      </w:r>
      <w:r>
        <w:t>EC</w:t>
      </w:r>
      <w:r w:rsidRPr="0003648D">
        <w:t>RPR * A</w:t>
      </w:r>
      <w:r>
        <w:t>EC</w:t>
      </w:r>
      <w:r w:rsidRPr="0003648D">
        <w:t xml:space="preserve">RQ </w:t>
      </w:r>
      <w:r w:rsidRPr="0003648D">
        <w:rPr>
          <w:i/>
          <w:vertAlign w:val="subscript"/>
        </w:rPr>
        <w:t>q</w:t>
      </w:r>
    </w:p>
    <w:p w14:paraId="7480E471" w14:textId="77777777" w:rsidR="008B2D35" w:rsidRPr="0003648D" w:rsidRDefault="008B2D35" w:rsidP="008B2D35">
      <w:pPr>
        <w:pStyle w:val="BodyText"/>
      </w:pPr>
      <w:r w:rsidRPr="0003648D">
        <w:t>Where:</w:t>
      </w:r>
    </w:p>
    <w:p w14:paraId="0FC8C92D" w14:textId="77777777" w:rsidR="008B2D35" w:rsidRPr="0003648D" w:rsidRDefault="008B2D35" w:rsidP="008B2D35">
      <w:pPr>
        <w:pStyle w:val="Formula"/>
        <w:ind w:left="2880" w:hanging="2160"/>
      </w:pPr>
      <w:r w:rsidRPr="0003648D">
        <w:t>A</w:t>
      </w:r>
      <w:r>
        <w:t>EC</w:t>
      </w:r>
      <w:r w:rsidRPr="0003648D">
        <w:t>RPR</w:t>
      </w:r>
      <w:r w:rsidRPr="0003648D">
        <w:tab/>
        <w:t>=</w:t>
      </w:r>
      <w:r w:rsidRPr="0003648D">
        <w:tab/>
        <w:t>A</w:t>
      </w:r>
      <w:r>
        <w:t>EC</w:t>
      </w:r>
      <w:r w:rsidRPr="0003648D">
        <w:t>RCOSTTOT / A</w:t>
      </w:r>
      <w:r>
        <w:t>EC</w:t>
      </w:r>
      <w:r w:rsidRPr="0003648D">
        <w:t>RQTOT</w:t>
      </w:r>
    </w:p>
    <w:p w14:paraId="24DA7C38" w14:textId="77777777" w:rsidR="008B2D35" w:rsidRPr="0003648D" w:rsidRDefault="008B2D35" w:rsidP="008B2D35">
      <w:pPr>
        <w:pStyle w:val="Formula"/>
        <w:ind w:left="2880" w:hanging="2160"/>
      </w:pPr>
      <w:r w:rsidRPr="0003648D">
        <w:lastRenderedPageBreak/>
        <w:t>A</w:t>
      </w:r>
      <w:r>
        <w:t>EC</w:t>
      </w:r>
      <w:r w:rsidRPr="0003648D">
        <w:t>RQTOT</w:t>
      </w:r>
      <w:r w:rsidRPr="0003648D">
        <w:tab/>
        <w:t>=</w:t>
      </w:r>
      <w:r w:rsidRPr="0003648D">
        <w:tab/>
      </w:r>
      <w:r w:rsidRPr="0003648D">
        <w:rPr>
          <w:position w:val="-22"/>
          <w:lang w:val="pt-BR"/>
        </w:rPr>
        <w:object w:dxaOrig="225" w:dyaOrig="465" w14:anchorId="611FD04D">
          <v:shape id="_x0000_i1443" type="#_x0000_t75" style="width:12pt;height:18pt" o:ole="">
            <v:imagedata r:id="rId433" o:title=""/>
          </v:shape>
          <o:OLEObject Type="Embed" ProgID="Equation.3" ShapeID="_x0000_i1443" DrawAspect="Content" ObjectID="_1815025631" r:id="rId545"/>
        </w:object>
      </w:r>
      <w:r w:rsidRPr="0003648D">
        <w:rPr>
          <w:lang w:val="pt-BR"/>
        </w:rPr>
        <w:t>A</w:t>
      </w:r>
      <w:r>
        <w:t>EC</w:t>
      </w:r>
      <w:r w:rsidRPr="0003648D">
        <w:t xml:space="preserve">RQ </w:t>
      </w:r>
      <w:r w:rsidRPr="0003648D">
        <w:rPr>
          <w:i/>
          <w:vertAlign w:val="subscript"/>
        </w:rPr>
        <w:t>q</w:t>
      </w:r>
    </w:p>
    <w:p w14:paraId="6CDC4503" w14:textId="77777777" w:rsidR="008B2D35" w:rsidRPr="0003648D" w:rsidRDefault="008B2D35" w:rsidP="008B2D35">
      <w:pPr>
        <w:pStyle w:val="Formula"/>
        <w:ind w:left="2880" w:hanging="2160"/>
        <w:rPr>
          <w:lang w:val="es-ES"/>
        </w:rPr>
      </w:pPr>
      <w:r w:rsidRPr="0003648D">
        <w:rPr>
          <w:lang w:val="es-ES"/>
        </w:rPr>
        <w:t>A</w:t>
      </w:r>
      <w:r>
        <w:rPr>
          <w:lang w:val="es-ES"/>
        </w:rPr>
        <w:t>EC</w:t>
      </w:r>
      <w:r w:rsidRPr="0003648D">
        <w:rPr>
          <w:lang w:val="es-ES"/>
        </w:rPr>
        <w:t xml:space="preserve">RQ </w:t>
      </w:r>
      <w:r w:rsidRPr="0003648D">
        <w:rPr>
          <w:i/>
          <w:vertAlign w:val="subscript"/>
          <w:lang w:val="es-ES"/>
        </w:rPr>
        <w:t>q</w:t>
      </w:r>
      <w:r w:rsidRPr="0003648D">
        <w:rPr>
          <w:lang w:val="es-ES"/>
        </w:rPr>
        <w:tab/>
        <w:t>=</w:t>
      </w:r>
      <w:r w:rsidRPr="0003648D">
        <w:rPr>
          <w:lang w:val="es-ES"/>
        </w:rPr>
        <w:tab/>
        <w:t>A</w:t>
      </w:r>
      <w:r>
        <w:rPr>
          <w:lang w:val="es-ES"/>
        </w:rPr>
        <w:t>EC</w:t>
      </w:r>
      <w:r w:rsidRPr="0003648D">
        <w:rPr>
          <w:lang w:val="es-ES"/>
        </w:rPr>
        <w:t xml:space="preserve">RO </w:t>
      </w:r>
      <w:r w:rsidRPr="0003648D">
        <w:rPr>
          <w:i/>
          <w:vertAlign w:val="subscript"/>
          <w:lang w:val="es-ES"/>
        </w:rPr>
        <w:t>q</w:t>
      </w:r>
      <w:r w:rsidRPr="0003648D">
        <w:rPr>
          <w:lang w:val="es-ES"/>
        </w:rPr>
        <w:t xml:space="preserve"> – SA</w:t>
      </w:r>
      <w:r>
        <w:rPr>
          <w:lang w:val="es-ES"/>
        </w:rPr>
        <w:t>EC</w:t>
      </w:r>
      <w:r w:rsidRPr="0003648D">
        <w:rPr>
          <w:lang w:val="es-ES"/>
        </w:rPr>
        <w:t xml:space="preserve">RQ </w:t>
      </w:r>
      <w:r w:rsidRPr="0003648D">
        <w:rPr>
          <w:i/>
          <w:vertAlign w:val="subscript"/>
          <w:lang w:val="es-ES"/>
        </w:rPr>
        <w:t>q</w:t>
      </w:r>
    </w:p>
    <w:p w14:paraId="595067AB" w14:textId="1772FE14" w:rsidR="008B2D35" w:rsidRPr="0003648D" w:rsidRDefault="008B2D35" w:rsidP="008B2D35">
      <w:pPr>
        <w:pStyle w:val="Formula"/>
        <w:ind w:left="2880" w:hanging="2160"/>
        <w:rPr>
          <w:i/>
          <w:vertAlign w:val="subscript"/>
          <w:lang w:val="fr-FR"/>
        </w:rPr>
      </w:pPr>
      <w:r w:rsidRPr="0003648D">
        <w:rPr>
          <w:lang w:val="es-ES"/>
        </w:rPr>
        <w:t>A</w:t>
      </w:r>
      <w:r>
        <w:rPr>
          <w:lang w:val="es-ES"/>
        </w:rPr>
        <w:t>EC</w:t>
      </w:r>
      <w:r w:rsidRPr="0003648D">
        <w:rPr>
          <w:lang w:val="es-ES"/>
        </w:rPr>
        <w:t xml:space="preserve">RO </w:t>
      </w:r>
      <w:r w:rsidRPr="0003648D">
        <w:rPr>
          <w:i/>
          <w:vertAlign w:val="subscript"/>
          <w:lang w:val="es-ES"/>
        </w:rPr>
        <w:t>q</w:t>
      </w:r>
      <w:r w:rsidRPr="0003648D">
        <w:rPr>
          <w:lang w:val="es-ES"/>
        </w:rPr>
        <w:tab/>
        <w:t>=</w:t>
      </w:r>
      <w:r w:rsidRPr="0003648D">
        <w:rPr>
          <w:lang w:val="es-ES"/>
        </w:rPr>
        <w:tab/>
        <w:t>WAU</w:t>
      </w:r>
      <w:r>
        <w:rPr>
          <w:lang w:val="es-ES"/>
        </w:rPr>
        <w:t>EC</w:t>
      </w:r>
      <w:r w:rsidRPr="0003648D">
        <w:rPr>
          <w:lang w:val="es-ES"/>
        </w:rPr>
        <w:t>RTOT * HLRS</w:t>
      </w:r>
      <w:r w:rsidRPr="008745C7">
        <w:rPr>
          <w:i/>
          <w:vertAlign w:val="subscript"/>
        </w:rPr>
        <w:t xml:space="preserve"> </w:t>
      </w:r>
      <w:r w:rsidRPr="0003648D">
        <w:rPr>
          <w:i/>
          <w:vertAlign w:val="subscript"/>
        </w:rPr>
        <w:t>q</w:t>
      </w:r>
      <w:r w:rsidRPr="0003648D">
        <w:rPr>
          <w:lang w:val="es-ES"/>
        </w:rPr>
        <w:t xml:space="preserve"> + </w:t>
      </w:r>
      <w:r>
        <w:rPr>
          <w:lang w:val="es-ES"/>
        </w:rPr>
        <w:t>EC</w:t>
      </w:r>
      <w:r w:rsidRPr="0003648D">
        <w:rPr>
          <w:lang w:val="es-ES"/>
        </w:rPr>
        <w:t xml:space="preserve">RO </w:t>
      </w:r>
      <w:r w:rsidRPr="0003648D">
        <w:rPr>
          <w:i/>
          <w:vertAlign w:val="subscript"/>
          <w:lang w:val="es-ES"/>
        </w:rPr>
        <w:t>q</w:t>
      </w:r>
      <w:r w:rsidRPr="0003648D">
        <w:rPr>
          <w:lang w:val="pt-BR"/>
        </w:rPr>
        <w:t xml:space="preserve"> </w:t>
      </w:r>
    </w:p>
    <w:p w14:paraId="7CA5F464" w14:textId="77777777" w:rsidR="008B2D35" w:rsidRPr="0003648D" w:rsidRDefault="008B2D35" w:rsidP="008B2D35">
      <w:pPr>
        <w:pStyle w:val="Formula"/>
        <w:ind w:left="2880" w:hanging="2160"/>
        <w:rPr>
          <w:lang w:val="fr-FR"/>
        </w:rPr>
      </w:pPr>
      <w:r w:rsidRPr="0003648D">
        <w:rPr>
          <w:lang w:val="es-ES"/>
        </w:rPr>
        <w:t>WAU</w:t>
      </w:r>
      <w:r>
        <w:rPr>
          <w:lang w:val="es-ES"/>
        </w:rPr>
        <w:t>EC</w:t>
      </w:r>
      <w:r w:rsidRPr="0003648D">
        <w:rPr>
          <w:lang w:val="es-ES"/>
        </w:rPr>
        <w:t>RTOT</w:t>
      </w:r>
      <w:r w:rsidRPr="0003648D">
        <w:rPr>
          <w:lang w:val="fr-FR"/>
        </w:rPr>
        <w:tab/>
        <w:t>=</w:t>
      </w:r>
      <w:r w:rsidRPr="0003648D">
        <w:rPr>
          <w:lang w:val="fr-FR"/>
        </w:rPr>
        <w:tab/>
      </w:r>
      <w:r w:rsidRPr="0003648D">
        <w:rPr>
          <w:position w:val="-22"/>
          <w:lang w:val="pt-BR"/>
        </w:rPr>
        <w:object w:dxaOrig="225" w:dyaOrig="465" w14:anchorId="1C870041">
          <v:shape id="_x0000_i1444" type="#_x0000_t75" style="width:12pt;height:18pt" o:ole="">
            <v:imagedata r:id="rId433" o:title=""/>
          </v:shape>
          <o:OLEObject Type="Embed" ProgID="Equation.3" ShapeID="_x0000_i1444" DrawAspect="Content" ObjectID="_1815025632" r:id="rId546"/>
        </w:object>
      </w:r>
      <w:r w:rsidRPr="0003648D">
        <w:rPr>
          <w:position w:val="-18"/>
          <w:lang w:val="pt-BR"/>
        </w:rPr>
        <w:object w:dxaOrig="220" w:dyaOrig="420" w14:anchorId="02216EC5">
          <v:shape id="_x0000_i1445" type="#_x0000_t75" style="width:12pt;height:24pt" o:ole="">
            <v:imagedata r:id="rId413" o:title=""/>
          </v:shape>
          <o:OLEObject Type="Embed" ProgID="Equation.3" ShapeID="_x0000_i1445" DrawAspect="Content" ObjectID="_1815025633" r:id="rId547"/>
        </w:object>
      </w:r>
      <w:r w:rsidRPr="0003648D">
        <w:rPr>
          <w:position w:val="-18"/>
          <w:lang w:val="pt-BR"/>
        </w:rPr>
        <w:object w:dxaOrig="220" w:dyaOrig="420" w14:anchorId="57A33509">
          <v:shape id="_x0000_i1446" type="#_x0000_t75" style="width:12pt;height:24pt" o:ole="">
            <v:imagedata r:id="rId527" o:title=""/>
          </v:shape>
          <o:OLEObject Type="Embed" ProgID="Equation.3" ShapeID="_x0000_i1446" DrawAspect="Content" ObjectID="_1815025634" r:id="rId548"/>
        </w:object>
      </w:r>
      <w:r w:rsidRPr="0003648D">
        <w:t>RTAU</w:t>
      </w:r>
      <w:r>
        <w:t>EC</w:t>
      </w:r>
      <w:r w:rsidRPr="0003648D">
        <w:t xml:space="preserve">RR </w:t>
      </w:r>
      <w:r w:rsidRPr="0003648D">
        <w:rPr>
          <w:i/>
          <w:vertAlign w:val="subscript"/>
        </w:rPr>
        <w:t>q,</w:t>
      </w:r>
      <w:r>
        <w:rPr>
          <w:i/>
          <w:vertAlign w:val="subscript"/>
        </w:rPr>
        <w:t xml:space="preserve"> </w:t>
      </w:r>
      <w:r w:rsidRPr="0003648D">
        <w:rPr>
          <w:i/>
          <w:vertAlign w:val="subscript"/>
        </w:rPr>
        <w:t>r,</w:t>
      </w:r>
      <w:r>
        <w:rPr>
          <w:i/>
          <w:vertAlign w:val="subscript"/>
        </w:rPr>
        <w:t xml:space="preserve"> </w:t>
      </w:r>
      <w:r w:rsidRPr="0003648D">
        <w:rPr>
          <w:i/>
          <w:vertAlign w:val="subscript"/>
        </w:rPr>
        <w:t>p</w:t>
      </w:r>
    </w:p>
    <w:p w14:paraId="059DA867" w14:textId="77777777" w:rsidR="008B2D35" w:rsidRPr="0003648D" w:rsidRDefault="008B2D35" w:rsidP="008B2D35">
      <w:pPr>
        <w:keepNext/>
      </w:pPr>
      <w:r w:rsidRPr="0003648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44"/>
        <w:gridCol w:w="6433"/>
      </w:tblGrid>
      <w:tr w:rsidR="008B2D35" w:rsidRPr="0003648D" w14:paraId="6E936B79" w14:textId="77777777" w:rsidTr="00B82144">
        <w:tc>
          <w:tcPr>
            <w:tcW w:w="1191" w:type="pct"/>
          </w:tcPr>
          <w:p w14:paraId="0C522581" w14:textId="77777777" w:rsidR="008B2D35" w:rsidRPr="0003648D" w:rsidRDefault="008B2D35" w:rsidP="00B82144">
            <w:pPr>
              <w:pStyle w:val="TableHead"/>
            </w:pPr>
            <w:r w:rsidRPr="0003648D">
              <w:t>Variable</w:t>
            </w:r>
          </w:p>
        </w:tc>
        <w:tc>
          <w:tcPr>
            <w:tcW w:w="395" w:type="pct"/>
          </w:tcPr>
          <w:p w14:paraId="46756E2D" w14:textId="77777777" w:rsidR="008B2D35" w:rsidRPr="0003648D" w:rsidRDefault="008B2D35" w:rsidP="00B82144">
            <w:pPr>
              <w:pStyle w:val="TableHead"/>
            </w:pPr>
            <w:r w:rsidRPr="0003648D">
              <w:t>Unit</w:t>
            </w:r>
          </w:p>
        </w:tc>
        <w:tc>
          <w:tcPr>
            <w:tcW w:w="3414" w:type="pct"/>
          </w:tcPr>
          <w:p w14:paraId="2210838D" w14:textId="77777777" w:rsidR="008B2D35" w:rsidRPr="0003648D" w:rsidRDefault="008B2D35" w:rsidP="00B82144">
            <w:pPr>
              <w:pStyle w:val="TableHead"/>
            </w:pPr>
            <w:r w:rsidRPr="0003648D">
              <w:t>Description</w:t>
            </w:r>
          </w:p>
        </w:tc>
      </w:tr>
      <w:tr w:rsidR="008B2D35" w:rsidRPr="0003648D" w14:paraId="2948249F" w14:textId="77777777" w:rsidTr="00B82144">
        <w:tc>
          <w:tcPr>
            <w:tcW w:w="1191" w:type="pct"/>
          </w:tcPr>
          <w:p w14:paraId="288EE417" w14:textId="77777777" w:rsidR="008B2D35" w:rsidRPr="0003648D" w:rsidRDefault="008B2D35" w:rsidP="00B82144">
            <w:pPr>
              <w:pStyle w:val="TableBody"/>
            </w:pPr>
            <w:r w:rsidRPr="0003648D">
              <w:t>A</w:t>
            </w:r>
            <w:r>
              <w:t>ECR</w:t>
            </w:r>
            <w:r w:rsidRPr="0003648D">
              <w:t xml:space="preserve">COST </w:t>
            </w:r>
            <w:r w:rsidRPr="0003648D">
              <w:rPr>
                <w:i/>
                <w:vertAlign w:val="subscript"/>
              </w:rPr>
              <w:t>q</w:t>
            </w:r>
          </w:p>
        </w:tc>
        <w:tc>
          <w:tcPr>
            <w:tcW w:w="395" w:type="pct"/>
          </w:tcPr>
          <w:p w14:paraId="0CD105D3" w14:textId="77777777" w:rsidR="008B2D35" w:rsidRPr="0003648D" w:rsidRDefault="008B2D35" w:rsidP="00B82144">
            <w:pPr>
              <w:pStyle w:val="TableBody"/>
            </w:pPr>
            <w:r w:rsidRPr="0003648D">
              <w:t>$</w:t>
            </w:r>
          </w:p>
        </w:tc>
        <w:tc>
          <w:tcPr>
            <w:tcW w:w="3414" w:type="pct"/>
          </w:tcPr>
          <w:p w14:paraId="49D91D5C" w14:textId="77777777" w:rsidR="008B2D35" w:rsidRPr="0003648D" w:rsidRDefault="008B2D35" w:rsidP="00B82144">
            <w:pPr>
              <w:pStyle w:val="TableBody"/>
            </w:pPr>
            <w:r>
              <w:rPr>
                <w:i/>
              </w:rPr>
              <w:t>ERCOT Contingency Reserve Service</w:t>
            </w:r>
            <w:r w:rsidRPr="0003648D">
              <w:rPr>
                <w:i/>
              </w:rPr>
              <w:t xml:space="preserve"> Cost per QSE</w:t>
            </w:r>
            <w:r w:rsidRPr="0003648D">
              <w:t xml:space="preserve">—QSE </w:t>
            </w:r>
            <w:r w:rsidRPr="0003648D">
              <w:rPr>
                <w:i/>
              </w:rPr>
              <w:t>q</w:t>
            </w:r>
            <w:r w:rsidRPr="0003648D">
              <w:t xml:space="preserve">’s share of the net total costs for </w:t>
            </w:r>
            <w:r>
              <w:t>ECRS</w:t>
            </w:r>
            <w:r w:rsidRPr="0003648D">
              <w:t>, that includes costs of assigned Ancillary Service during a Watch for the hour.</w:t>
            </w:r>
          </w:p>
        </w:tc>
      </w:tr>
      <w:tr w:rsidR="008B2D35" w:rsidRPr="0003648D" w14:paraId="2BD996E9" w14:textId="77777777" w:rsidTr="00B82144">
        <w:tc>
          <w:tcPr>
            <w:tcW w:w="1191" w:type="pct"/>
          </w:tcPr>
          <w:p w14:paraId="4FB1A534" w14:textId="77777777" w:rsidR="008B2D35" w:rsidRPr="0003648D" w:rsidRDefault="008B2D35" w:rsidP="00B82144">
            <w:pPr>
              <w:pStyle w:val="TableBody"/>
            </w:pPr>
            <w:r w:rsidRPr="0003648D">
              <w:t>A</w:t>
            </w:r>
            <w:r>
              <w:t>ECR</w:t>
            </w:r>
            <w:r w:rsidRPr="0003648D">
              <w:t>PR</w:t>
            </w:r>
          </w:p>
        </w:tc>
        <w:tc>
          <w:tcPr>
            <w:tcW w:w="395" w:type="pct"/>
          </w:tcPr>
          <w:p w14:paraId="6D1B93A1" w14:textId="77777777" w:rsidR="008B2D35" w:rsidRPr="0003648D" w:rsidRDefault="008B2D35" w:rsidP="00B82144">
            <w:pPr>
              <w:pStyle w:val="TableBody"/>
            </w:pPr>
            <w:r w:rsidRPr="0003648D">
              <w:t>$/MW per hour</w:t>
            </w:r>
          </w:p>
        </w:tc>
        <w:tc>
          <w:tcPr>
            <w:tcW w:w="3414" w:type="pct"/>
          </w:tcPr>
          <w:p w14:paraId="55FB7C3A" w14:textId="77777777" w:rsidR="008B2D35" w:rsidRPr="0003648D" w:rsidRDefault="008B2D35" w:rsidP="00B82144">
            <w:pPr>
              <w:pStyle w:val="TableBody"/>
            </w:pPr>
            <w:r>
              <w:rPr>
                <w:i/>
              </w:rPr>
              <w:t>ERCOT Contingency Reserve Service</w:t>
            </w:r>
            <w:r w:rsidRPr="0003648D">
              <w:rPr>
                <w:i/>
              </w:rPr>
              <w:t xml:space="preserve"> Price—</w:t>
            </w:r>
            <w:r w:rsidRPr="0003648D">
              <w:t xml:space="preserve">The price for </w:t>
            </w:r>
            <w:r>
              <w:t>ECRS</w:t>
            </w:r>
            <w:r w:rsidRPr="0003648D">
              <w:t xml:space="preserve"> calculated based on the net total costs for </w:t>
            </w:r>
            <w:r>
              <w:t>ECRS</w:t>
            </w:r>
            <w:r w:rsidRPr="0003648D">
              <w:t xml:space="preserve"> that includes costs of assigned Ancillary Service during a Watch for the hour.</w:t>
            </w:r>
          </w:p>
        </w:tc>
      </w:tr>
      <w:tr w:rsidR="008B2D35" w:rsidRPr="0003648D" w14:paraId="225041EC" w14:textId="77777777" w:rsidTr="00B82144">
        <w:tc>
          <w:tcPr>
            <w:tcW w:w="1191" w:type="pct"/>
            <w:tcBorders>
              <w:top w:val="single" w:sz="4" w:space="0" w:color="auto"/>
              <w:left w:val="single" w:sz="4" w:space="0" w:color="auto"/>
              <w:bottom w:val="single" w:sz="4" w:space="0" w:color="auto"/>
              <w:right w:val="single" w:sz="4" w:space="0" w:color="auto"/>
            </w:tcBorders>
          </w:tcPr>
          <w:p w14:paraId="557F3A51" w14:textId="77777777" w:rsidR="008B2D35" w:rsidRPr="0003648D" w:rsidRDefault="008B2D35" w:rsidP="00B82144">
            <w:pPr>
              <w:pStyle w:val="TableBody"/>
            </w:pPr>
            <w:r w:rsidRPr="0003648D">
              <w:t>A</w:t>
            </w:r>
            <w:r>
              <w:t>ECR</w:t>
            </w:r>
            <w:r w:rsidRPr="0003648D">
              <w:t>COSTTOT</w:t>
            </w:r>
          </w:p>
        </w:tc>
        <w:tc>
          <w:tcPr>
            <w:tcW w:w="395" w:type="pct"/>
            <w:tcBorders>
              <w:top w:val="single" w:sz="4" w:space="0" w:color="auto"/>
              <w:left w:val="single" w:sz="4" w:space="0" w:color="auto"/>
              <w:bottom w:val="single" w:sz="4" w:space="0" w:color="auto"/>
              <w:right w:val="single" w:sz="4" w:space="0" w:color="auto"/>
            </w:tcBorders>
          </w:tcPr>
          <w:p w14:paraId="0CED0ED2" w14:textId="77777777" w:rsidR="008B2D35" w:rsidRPr="0003648D" w:rsidRDefault="008B2D35" w:rsidP="00B82144">
            <w:pPr>
              <w:pStyle w:val="TableBody"/>
            </w:pPr>
            <w:r w:rsidRPr="0003648D">
              <w:t>$</w:t>
            </w:r>
          </w:p>
        </w:tc>
        <w:tc>
          <w:tcPr>
            <w:tcW w:w="3414" w:type="pct"/>
            <w:tcBorders>
              <w:top w:val="single" w:sz="4" w:space="0" w:color="auto"/>
              <w:left w:val="single" w:sz="4" w:space="0" w:color="auto"/>
              <w:bottom w:val="single" w:sz="4" w:space="0" w:color="auto"/>
              <w:right w:val="single" w:sz="4" w:space="0" w:color="auto"/>
            </w:tcBorders>
          </w:tcPr>
          <w:p w14:paraId="7D5E3626" w14:textId="77777777" w:rsidR="008B2D35" w:rsidRPr="0003648D" w:rsidRDefault="008B2D35" w:rsidP="00B82144">
            <w:pPr>
              <w:pStyle w:val="TableBody"/>
            </w:pPr>
            <w:r>
              <w:rPr>
                <w:i/>
              </w:rPr>
              <w:t>ERCOT Contingency Reserve Service</w:t>
            </w:r>
            <w:r w:rsidRPr="0003648D">
              <w:rPr>
                <w:i/>
              </w:rPr>
              <w:t xml:space="preserve"> Cost Total</w:t>
            </w:r>
            <w:r w:rsidRPr="0003648D">
              <w:t xml:space="preserve">—The net total costs for </w:t>
            </w:r>
            <w:r>
              <w:t>ECRS</w:t>
            </w:r>
            <w:r w:rsidRPr="0003648D">
              <w:t xml:space="preserve"> that includes costs of assigned Ancillary Service during a Watch for the hour. </w:t>
            </w:r>
          </w:p>
        </w:tc>
      </w:tr>
      <w:tr w:rsidR="008B2D35" w:rsidRPr="0003648D" w14:paraId="4A8A54E7" w14:textId="77777777" w:rsidTr="00B82144">
        <w:tc>
          <w:tcPr>
            <w:tcW w:w="1191" w:type="pct"/>
            <w:tcBorders>
              <w:top w:val="single" w:sz="4" w:space="0" w:color="auto"/>
              <w:left w:val="single" w:sz="4" w:space="0" w:color="auto"/>
              <w:bottom w:val="single" w:sz="4" w:space="0" w:color="auto"/>
              <w:right w:val="single" w:sz="4" w:space="0" w:color="auto"/>
            </w:tcBorders>
          </w:tcPr>
          <w:p w14:paraId="7BFDC6C9" w14:textId="77777777" w:rsidR="008B2D35" w:rsidRPr="0003648D" w:rsidRDefault="008B2D35" w:rsidP="00B82144">
            <w:pPr>
              <w:pStyle w:val="TableBody"/>
            </w:pPr>
            <w:r w:rsidRPr="0003648D">
              <w:t>A</w:t>
            </w:r>
            <w:r>
              <w:t>ECR</w:t>
            </w:r>
            <w:r w:rsidRPr="0003648D">
              <w:t>QTOT</w:t>
            </w:r>
          </w:p>
        </w:tc>
        <w:tc>
          <w:tcPr>
            <w:tcW w:w="395" w:type="pct"/>
            <w:tcBorders>
              <w:top w:val="single" w:sz="4" w:space="0" w:color="auto"/>
              <w:left w:val="single" w:sz="4" w:space="0" w:color="auto"/>
              <w:bottom w:val="single" w:sz="4" w:space="0" w:color="auto"/>
              <w:right w:val="single" w:sz="4" w:space="0" w:color="auto"/>
            </w:tcBorders>
          </w:tcPr>
          <w:p w14:paraId="51BFF4DF"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4C21DF8F" w14:textId="77777777" w:rsidR="008B2D35" w:rsidRPr="0003648D" w:rsidRDefault="008B2D35" w:rsidP="00B82144">
            <w:pPr>
              <w:pStyle w:val="TableBody"/>
            </w:pPr>
            <w:r>
              <w:rPr>
                <w:i/>
              </w:rPr>
              <w:t>ERCOT Contingency Reserve Service</w:t>
            </w:r>
            <w:r w:rsidRPr="0003648D">
              <w:rPr>
                <w:i/>
              </w:rPr>
              <w:t xml:space="preserve"> Quantity Total</w:t>
            </w:r>
            <w:r w:rsidRPr="0003648D">
              <w:t>—The sum of every QSE’s portion of its Ancillary Service Obligation that is not self-arranged in either DAM or any SASM that includes assigned Ancillary Service, during a Watch, for the hour.</w:t>
            </w:r>
          </w:p>
        </w:tc>
      </w:tr>
      <w:tr w:rsidR="008B2D35" w:rsidRPr="0003648D" w14:paraId="4C64366D" w14:textId="77777777" w:rsidTr="00B82144">
        <w:tc>
          <w:tcPr>
            <w:tcW w:w="1191" w:type="pct"/>
            <w:tcBorders>
              <w:top w:val="single" w:sz="4" w:space="0" w:color="auto"/>
              <w:left w:val="single" w:sz="4" w:space="0" w:color="auto"/>
              <w:bottom w:val="single" w:sz="4" w:space="0" w:color="auto"/>
              <w:right w:val="single" w:sz="4" w:space="0" w:color="auto"/>
            </w:tcBorders>
          </w:tcPr>
          <w:p w14:paraId="37E80799" w14:textId="77777777" w:rsidR="008B2D35" w:rsidRPr="0003648D" w:rsidRDefault="008B2D35" w:rsidP="00B82144">
            <w:pPr>
              <w:pStyle w:val="TableBody"/>
              <w:rPr>
                <w:i/>
              </w:rPr>
            </w:pPr>
            <w:r w:rsidRPr="0003648D">
              <w:t>WAU</w:t>
            </w:r>
            <w:r>
              <w:t>ECR</w:t>
            </w:r>
            <w:r w:rsidRPr="0003648D">
              <w:t>TOT</w:t>
            </w:r>
          </w:p>
        </w:tc>
        <w:tc>
          <w:tcPr>
            <w:tcW w:w="395" w:type="pct"/>
            <w:tcBorders>
              <w:top w:val="single" w:sz="4" w:space="0" w:color="auto"/>
              <w:left w:val="single" w:sz="4" w:space="0" w:color="auto"/>
              <w:bottom w:val="single" w:sz="4" w:space="0" w:color="auto"/>
              <w:right w:val="single" w:sz="4" w:space="0" w:color="auto"/>
            </w:tcBorders>
          </w:tcPr>
          <w:p w14:paraId="5B783EB7"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2F0ACCEC" w14:textId="77777777" w:rsidR="008B2D35" w:rsidRPr="0003648D" w:rsidRDefault="008B2D35" w:rsidP="00B82144">
            <w:pPr>
              <w:pStyle w:val="TableBody"/>
            </w:pPr>
            <w:r w:rsidRPr="0003648D">
              <w:rPr>
                <w:i/>
              </w:rPr>
              <w:t xml:space="preserve">Watch Assigned Un-Deployed </w:t>
            </w:r>
            <w:r>
              <w:rPr>
                <w:i/>
              </w:rPr>
              <w:t>ERCOT Contingency Reserve Service</w:t>
            </w:r>
            <w:r w:rsidRPr="0003648D">
              <w:rPr>
                <w:i/>
              </w:rPr>
              <w:t xml:space="preserve"> Quantity</w:t>
            </w:r>
            <w:r w:rsidRPr="0003648D">
              <w:t xml:space="preserve">—The total market wide quantity of un-deployed </w:t>
            </w:r>
            <w:r>
              <w:t>ECRS</w:t>
            </w:r>
            <w:r w:rsidRPr="0003648D">
              <w:t xml:space="preserve"> Ancillary Service Assignment for the hour.</w:t>
            </w:r>
          </w:p>
        </w:tc>
      </w:tr>
      <w:tr w:rsidR="008B2D35" w:rsidRPr="0003648D" w14:paraId="4D556C2B" w14:textId="77777777" w:rsidTr="00B82144">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3B88D262" w14:textId="77777777" w:rsidR="008B2D35" w:rsidRPr="0003648D" w:rsidRDefault="008B2D35" w:rsidP="00B82144">
            <w:pPr>
              <w:pStyle w:val="TableBody"/>
              <w:rPr>
                <w:i/>
              </w:rPr>
            </w:pPr>
            <w:r w:rsidRPr="0003648D">
              <w:t>RTAU</w:t>
            </w:r>
            <w:r>
              <w:t>ECR</w:t>
            </w:r>
            <w:r w:rsidRPr="0003648D">
              <w:t xml:space="preserve">R </w:t>
            </w:r>
            <w:r w:rsidRPr="0003648D">
              <w:rPr>
                <w:i/>
                <w:vertAlign w:val="subscript"/>
              </w:rPr>
              <w:t>q,</w:t>
            </w:r>
            <w:r>
              <w:rPr>
                <w:i/>
                <w:vertAlign w:val="subscript"/>
              </w:rPr>
              <w:t xml:space="preserve"> </w:t>
            </w:r>
            <w:r w:rsidRPr="0003648D">
              <w:rPr>
                <w:i/>
                <w:vertAlign w:val="subscript"/>
              </w:rPr>
              <w:t>r</w:t>
            </w:r>
          </w:p>
        </w:tc>
        <w:tc>
          <w:tcPr>
            <w:tcW w:w="395" w:type="pct"/>
            <w:tcBorders>
              <w:top w:val="single" w:sz="4" w:space="0" w:color="auto"/>
              <w:left w:val="single" w:sz="4" w:space="0" w:color="auto"/>
              <w:bottom w:val="single" w:sz="4" w:space="0" w:color="auto"/>
              <w:right w:val="single" w:sz="4" w:space="0" w:color="auto"/>
            </w:tcBorders>
          </w:tcPr>
          <w:p w14:paraId="0AFBCAD4"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78A0D698" w14:textId="77777777" w:rsidR="008B2D35" w:rsidRPr="0003648D" w:rsidRDefault="008B2D35" w:rsidP="00B82144">
            <w:pPr>
              <w:pStyle w:val="TableBody"/>
            </w:pPr>
            <w:r w:rsidRPr="0003648D">
              <w:rPr>
                <w:i/>
              </w:rPr>
              <w:t xml:space="preserve">Real-Time Assigned Un-Deployed </w:t>
            </w:r>
            <w:r>
              <w:rPr>
                <w:i/>
              </w:rPr>
              <w:t>ERCOT Contingency Reserve Service</w:t>
            </w:r>
            <w:r w:rsidRPr="0003648D">
              <w:rPr>
                <w:i/>
              </w:rPr>
              <w:t xml:space="preserve"> Quantity per Resource per QSE</w:t>
            </w:r>
            <w:r w:rsidRPr="0003648D">
              <w:t xml:space="preserve">—The quantity of un-deployed </w:t>
            </w:r>
            <w:r>
              <w:t>ECRS</w:t>
            </w:r>
            <w:r w:rsidRPr="0003648D">
              <w:t xml:space="preserve"> Ancillary Service Assignment to a QSE </w:t>
            </w:r>
            <w:r w:rsidRPr="0003648D">
              <w:rPr>
                <w:i/>
              </w:rPr>
              <w:t>q</w:t>
            </w:r>
            <w:r w:rsidRPr="0003648D">
              <w:t xml:space="preserve"> for Resource </w:t>
            </w:r>
            <w:r w:rsidRPr="0003648D">
              <w:rPr>
                <w:i/>
              </w:rPr>
              <w:t>r</w:t>
            </w:r>
            <w:r w:rsidRPr="0003648D">
              <w:t xml:space="preserve"> for the hour.  Where for a Combined Cycle Train, the Resource </w:t>
            </w:r>
            <w:r w:rsidRPr="0003648D">
              <w:rPr>
                <w:i/>
              </w:rPr>
              <w:t xml:space="preserve">r </w:t>
            </w:r>
            <w:r w:rsidRPr="0003648D">
              <w:t>is a Combined Cycle Generation Resource within the Combined Cycle Train.</w:t>
            </w:r>
          </w:p>
        </w:tc>
      </w:tr>
      <w:tr w:rsidR="008B2D35" w:rsidRPr="0003648D" w14:paraId="7C31CCEC" w14:textId="77777777" w:rsidTr="00B82144">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61239DA3" w14:textId="77777777" w:rsidR="008B2D35" w:rsidRPr="0003648D" w:rsidRDefault="008B2D35" w:rsidP="00B82144">
            <w:pPr>
              <w:pStyle w:val="TableBody"/>
              <w:rPr>
                <w:i/>
              </w:rPr>
            </w:pPr>
            <w:r w:rsidRPr="0003648D">
              <w:t>A</w:t>
            </w:r>
            <w:r>
              <w:t>ECR</w:t>
            </w:r>
            <w:r w:rsidRPr="0003648D">
              <w:t xml:space="preserve">Q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2E636543"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36307629" w14:textId="77777777" w:rsidR="008B2D35" w:rsidRPr="0003648D" w:rsidRDefault="008B2D35" w:rsidP="00B82144">
            <w:pPr>
              <w:pStyle w:val="TableBody"/>
            </w:pPr>
            <w:r>
              <w:rPr>
                <w:i/>
              </w:rPr>
              <w:t>ERCOT Contingency Reserve Service</w:t>
            </w:r>
            <w:r w:rsidRPr="0003648D">
              <w:rPr>
                <w:i/>
              </w:rPr>
              <w:t xml:space="preserve"> Quantity per QSE</w:t>
            </w:r>
            <w:r w:rsidRPr="0003648D">
              <w:t xml:space="preserve">—The portion of QSE </w:t>
            </w:r>
            <w:r w:rsidRPr="0003648D">
              <w:rPr>
                <w:i/>
              </w:rPr>
              <w:t>q</w:t>
            </w:r>
            <w:r w:rsidRPr="0003648D">
              <w:t>’s Ancillary Service Obligation that is not self-arranged in either DAM or any SASM, for the hour.</w:t>
            </w:r>
          </w:p>
        </w:tc>
      </w:tr>
      <w:tr w:rsidR="008B2D35" w:rsidRPr="0003648D" w14:paraId="220E0F38"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1D8F6542" w14:textId="77777777" w:rsidR="008B2D35" w:rsidRPr="0003648D" w:rsidRDefault="008B2D35" w:rsidP="00B82144">
            <w:pPr>
              <w:pStyle w:val="TableBody"/>
              <w:rPr>
                <w:i/>
              </w:rPr>
            </w:pPr>
            <w:r w:rsidRPr="0003648D">
              <w:t>A</w:t>
            </w:r>
            <w:r>
              <w:t>ECR</w:t>
            </w:r>
            <w:r w:rsidRPr="0003648D">
              <w:t xml:space="preserve">O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212C61A1"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3EAA305C" w14:textId="77777777" w:rsidR="008B2D35" w:rsidRPr="0003648D" w:rsidRDefault="008B2D35" w:rsidP="00B82144">
            <w:pPr>
              <w:pStyle w:val="TableBody"/>
            </w:pPr>
            <w:r>
              <w:rPr>
                <w:i/>
              </w:rPr>
              <w:t>ERCOT Contingency Reserve Service</w:t>
            </w:r>
            <w:r w:rsidRPr="0003648D">
              <w:rPr>
                <w:i/>
              </w:rPr>
              <w:t xml:space="preserve"> Obligation per QSE</w:t>
            </w:r>
            <w:r w:rsidRPr="0003648D">
              <w:t xml:space="preserve">—The Ancillary Service Obligation of QSE </w:t>
            </w:r>
            <w:r w:rsidRPr="0003648D">
              <w:rPr>
                <w:i/>
              </w:rPr>
              <w:t>q</w:t>
            </w:r>
            <w:r w:rsidRPr="0003648D">
              <w:t>, for the hour.</w:t>
            </w:r>
          </w:p>
        </w:tc>
      </w:tr>
      <w:tr w:rsidR="008B2D35" w:rsidRPr="0003648D" w14:paraId="03848F7A"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106A8A00" w14:textId="77777777" w:rsidR="008B2D35" w:rsidRPr="0003648D" w:rsidRDefault="008B2D35" w:rsidP="00B82144">
            <w:pPr>
              <w:pStyle w:val="TableBody"/>
              <w:rPr>
                <w:i/>
              </w:rPr>
            </w:pPr>
            <w:r>
              <w:t>ECR</w:t>
            </w:r>
            <w:r w:rsidRPr="0003648D">
              <w:t xml:space="preserve">O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623CCD62"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51A008F5" w14:textId="77777777" w:rsidR="008B2D35" w:rsidRPr="0003648D" w:rsidRDefault="008B2D35" w:rsidP="00B82144">
            <w:pPr>
              <w:pStyle w:val="TableBody"/>
            </w:pPr>
            <w:r>
              <w:rPr>
                <w:i/>
              </w:rPr>
              <w:t>ERCOT Contingency Reserve Service</w:t>
            </w:r>
            <w:r w:rsidRPr="0003648D">
              <w:rPr>
                <w:i/>
              </w:rPr>
              <w:t xml:space="preserve"> Obligation per QSE</w:t>
            </w:r>
            <w:r w:rsidRPr="0003648D">
              <w:t xml:space="preserve">—The Ancillary Service Obligation of QSE </w:t>
            </w:r>
            <w:r w:rsidRPr="0003648D">
              <w:rPr>
                <w:i/>
              </w:rPr>
              <w:t>q</w:t>
            </w:r>
            <w:r w:rsidRPr="0003648D">
              <w:t>, for the hour.</w:t>
            </w:r>
          </w:p>
        </w:tc>
      </w:tr>
      <w:tr w:rsidR="008B2D35" w:rsidRPr="0003648D" w14:paraId="64D7F07A"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0F80E116" w14:textId="77777777" w:rsidR="008B2D35" w:rsidRPr="0003648D" w:rsidRDefault="008B2D35" w:rsidP="00B82144">
            <w:pPr>
              <w:pStyle w:val="TableBody"/>
              <w:rPr>
                <w:i/>
              </w:rPr>
            </w:pPr>
            <w:r w:rsidRPr="0003648D">
              <w:t xml:space="preserve">HLRS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5E47D172" w14:textId="77777777" w:rsidR="008B2D35" w:rsidRPr="0003648D" w:rsidRDefault="008B2D35" w:rsidP="00B82144">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043AF50F" w14:textId="77777777" w:rsidR="008B2D35" w:rsidRPr="0003648D" w:rsidRDefault="008B2D35" w:rsidP="00B82144">
            <w:pPr>
              <w:pStyle w:val="TableBody"/>
            </w:pPr>
            <w:r w:rsidRPr="0003648D">
              <w:rPr>
                <w:i/>
              </w:rPr>
              <w:t>The Hourly Load Ratio Share calculated for QSE q for the hour</w:t>
            </w:r>
            <w:r w:rsidRPr="0003648D">
              <w:t>.  See Section 6.6.2.4.</w:t>
            </w:r>
          </w:p>
        </w:tc>
      </w:tr>
      <w:tr w:rsidR="008B2D35" w:rsidRPr="0003648D" w14:paraId="53001B36"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4B3162B8" w14:textId="77777777" w:rsidR="008B2D35" w:rsidRPr="0003648D" w:rsidRDefault="008B2D35" w:rsidP="00B82144">
            <w:pPr>
              <w:pStyle w:val="TableBody"/>
              <w:rPr>
                <w:i/>
              </w:rPr>
            </w:pPr>
            <w:r w:rsidRPr="0003648D">
              <w:t>SA</w:t>
            </w:r>
            <w:r>
              <w:t>EC</w:t>
            </w:r>
            <w:r w:rsidRPr="0003648D">
              <w:t xml:space="preserve">RQ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40A503FC"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1596BDE8" w14:textId="77777777" w:rsidR="008B2D35" w:rsidRPr="0003648D" w:rsidRDefault="008B2D35" w:rsidP="00B82144">
            <w:pPr>
              <w:pStyle w:val="TableBody"/>
            </w:pPr>
            <w:r w:rsidRPr="0003648D">
              <w:rPr>
                <w:i/>
              </w:rPr>
              <w:t xml:space="preserve">Total Self-Arranged </w:t>
            </w:r>
            <w:r>
              <w:rPr>
                <w:i/>
              </w:rPr>
              <w:t>ERCOT Contingency Reserve Service</w:t>
            </w:r>
            <w:r w:rsidRPr="0003648D">
              <w:rPr>
                <w:i/>
              </w:rPr>
              <w:t xml:space="preserve"> Quantity per QSE for all markets</w:t>
            </w:r>
            <w:r w:rsidRPr="0003648D">
              <w:t xml:space="preserve">—The sum of all self-arranged </w:t>
            </w:r>
            <w:r>
              <w:t>ECRS</w:t>
            </w:r>
            <w:r w:rsidRPr="0003648D">
              <w:t xml:space="preserve"> quantities submitted by QSE </w:t>
            </w:r>
            <w:r w:rsidRPr="0003648D">
              <w:rPr>
                <w:i/>
              </w:rPr>
              <w:t>q</w:t>
            </w:r>
            <w:r w:rsidRPr="0003648D">
              <w:t xml:space="preserve"> for DAM and all SASMs.</w:t>
            </w:r>
          </w:p>
        </w:tc>
      </w:tr>
      <w:tr w:rsidR="008B2D35" w:rsidRPr="0003648D" w14:paraId="2F5ED9ED"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4620CDB8" w14:textId="77777777" w:rsidR="008B2D35" w:rsidRPr="0003648D" w:rsidRDefault="008B2D35" w:rsidP="00B82144">
            <w:pPr>
              <w:pStyle w:val="TableBody"/>
              <w:rPr>
                <w:i/>
              </w:rPr>
            </w:pPr>
            <w:r w:rsidRPr="0003648D">
              <w:rPr>
                <w:i/>
              </w:rPr>
              <w:t>q</w:t>
            </w:r>
          </w:p>
        </w:tc>
        <w:tc>
          <w:tcPr>
            <w:tcW w:w="395" w:type="pct"/>
            <w:tcBorders>
              <w:top w:val="single" w:sz="4" w:space="0" w:color="auto"/>
              <w:left w:val="single" w:sz="4" w:space="0" w:color="auto"/>
              <w:bottom w:val="single" w:sz="4" w:space="0" w:color="auto"/>
              <w:right w:val="single" w:sz="4" w:space="0" w:color="auto"/>
            </w:tcBorders>
          </w:tcPr>
          <w:p w14:paraId="7380E348" w14:textId="77777777" w:rsidR="008B2D35" w:rsidRPr="0003648D" w:rsidRDefault="008B2D35" w:rsidP="00B82144">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329C4063" w14:textId="77777777" w:rsidR="008B2D35" w:rsidRPr="0003648D" w:rsidRDefault="008B2D35" w:rsidP="00B82144">
            <w:pPr>
              <w:pStyle w:val="TableBody"/>
            </w:pPr>
            <w:r w:rsidRPr="0003648D">
              <w:t>A QSE.</w:t>
            </w:r>
          </w:p>
        </w:tc>
      </w:tr>
      <w:tr w:rsidR="008B2D35" w:rsidRPr="0003648D" w14:paraId="209C5022"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64DB2945" w14:textId="77777777" w:rsidR="008B2D35" w:rsidRPr="0003648D" w:rsidRDefault="008B2D35" w:rsidP="00B82144">
            <w:pPr>
              <w:pStyle w:val="TableBody"/>
              <w:rPr>
                <w:i/>
              </w:rPr>
            </w:pPr>
            <w:r w:rsidRPr="0003648D">
              <w:rPr>
                <w:i/>
              </w:rPr>
              <w:t>r</w:t>
            </w:r>
          </w:p>
        </w:tc>
        <w:tc>
          <w:tcPr>
            <w:tcW w:w="395" w:type="pct"/>
            <w:tcBorders>
              <w:top w:val="single" w:sz="4" w:space="0" w:color="auto"/>
              <w:left w:val="single" w:sz="4" w:space="0" w:color="auto"/>
              <w:bottom w:val="single" w:sz="4" w:space="0" w:color="auto"/>
              <w:right w:val="single" w:sz="4" w:space="0" w:color="auto"/>
            </w:tcBorders>
          </w:tcPr>
          <w:p w14:paraId="46CB238B" w14:textId="77777777" w:rsidR="008B2D35" w:rsidRPr="0003648D" w:rsidRDefault="008B2D35" w:rsidP="00B82144">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7A1F5F6A" w14:textId="77777777" w:rsidR="008B2D35" w:rsidRPr="0003648D" w:rsidRDefault="008B2D35" w:rsidP="00B82144">
            <w:pPr>
              <w:pStyle w:val="TableBody"/>
            </w:pPr>
            <w:r w:rsidRPr="0003648D">
              <w:t xml:space="preserve">A Generation Resource that was allocated </w:t>
            </w:r>
            <w:r>
              <w:t>ECRS</w:t>
            </w:r>
            <w:r w:rsidRPr="0003648D">
              <w:t xml:space="preserve"> Ancillary Service Assignment by the QSE.</w:t>
            </w:r>
          </w:p>
        </w:tc>
      </w:tr>
      <w:tr w:rsidR="008B2D35" w:rsidRPr="0003648D" w14:paraId="5D099837"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27BAEE1D" w14:textId="77777777" w:rsidR="008B2D35" w:rsidRPr="0003648D" w:rsidRDefault="008B2D35" w:rsidP="00B82144">
            <w:pPr>
              <w:pStyle w:val="TableBody"/>
              <w:rPr>
                <w:i/>
              </w:rPr>
            </w:pPr>
            <w:r w:rsidRPr="0003648D">
              <w:rPr>
                <w:i/>
              </w:rPr>
              <w:t>p</w:t>
            </w:r>
          </w:p>
        </w:tc>
        <w:tc>
          <w:tcPr>
            <w:tcW w:w="395" w:type="pct"/>
            <w:tcBorders>
              <w:top w:val="single" w:sz="4" w:space="0" w:color="auto"/>
              <w:left w:val="single" w:sz="4" w:space="0" w:color="auto"/>
              <w:bottom w:val="single" w:sz="4" w:space="0" w:color="auto"/>
              <w:right w:val="single" w:sz="4" w:space="0" w:color="auto"/>
            </w:tcBorders>
          </w:tcPr>
          <w:p w14:paraId="494D8622" w14:textId="77777777" w:rsidR="008B2D35" w:rsidRPr="0003648D" w:rsidRDefault="008B2D35" w:rsidP="00B82144">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3E1F97A6" w14:textId="77777777" w:rsidR="008B2D35" w:rsidRPr="0003648D" w:rsidRDefault="008B2D35" w:rsidP="00B82144">
            <w:pPr>
              <w:pStyle w:val="TableBody"/>
            </w:pPr>
            <w:r w:rsidRPr="0003648D">
              <w:t xml:space="preserve">A Settlement Point for the Resource Node that was allocated </w:t>
            </w:r>
            <w:r>
              <w:t>ECRS</w:t>
            </w:r>
            <w:r w:rsidRPr="0003648D">
              <w:t xml:space="preserve"> Ancillary Service Assignment by the QSE.</w:t>
            </w:r>
          </w:p>
        </w:tc>
      </w:tr>
    </w:tbl>
    <w:p w14:paraId="542158CF" w14:textId="77777777" w:rsidR="008B2D35" w:rsidRPr="0003648D" w:rsidRDefault="008B2D35" w:rsidP="008B2D35">
      <w:pPr>
        <w:pStyle w:val="List"/>
        <w:spacing w:before="240"/>
      </w:pPr>
      <w:r w:rsidRPr="0003648D">
        <w:lastRenderedPageBreak/>
        <w:t>(c)</w:t>
      </w:r>
      <w:r w:rsidRPr="0003648D">
        <w:tab/>
        <w:t xml:space="preserve">The incremental cost to each QSE’s for assigned </w:t>
      </w:r>
      <w:r>
        <w:t>ECRS</w:t>
      </w:r>
      <w:r w:rsidRPr="0003648D">
        <w:t xml:space="preserve"> for the Operating Hour, is calculated as follows:</w:t>
      </w:r>
    </w:p>
    <w:p w14:paraId="1E58ED72" w14:textId="77777777" w:rsidR="008B2D35" w:rsidRPr="006B16CB" w:rsidRDefault="008B2D35" w:rsidP="008B2D35">
      <w:pPr>
        <w:pStyle w:val="List"/>
        <w:rPr>
          <w:b/>
          <w:i/>
          <w:vertAlign w:val="subscript"/>
          <w:lang w:val="pt-BR"/>
        </w:rPr>
      </w:pPr>
      <w:r w:rsidRPr="006B16CB">
        <w:rPr>
          <w:b/>
          <w:lang w:val="pt-BR"/>
        </w:rPr>
        <w:t xml:space="preserve">NETARTECRAMT </w:t>
      </w:r>
      <w:r w:rsidRPr="006B16CB">
        <w:rPr>
          <w:b/>
          <w:i/>
          <w:vertAlign w:val="subscript"/>
          <w:lang w:val="pt-BR"/>
        </w:rPr>
        <w:t>q</w:t>
      </w:r>
      <w:r w:rsidRPr="006B16CB">
        <w:rPr>
          <w:b/>
          <w:lang w:val="pt-BR"/>
        </w:rPr>
        <w:tab/>
        <w:t>=</w:t>
      </w:r>
      <w:r w:rsidRPr="006B16CB">
        <w:rPr>
          <w:b/>
          <w:lang w:val="pt-BR"/>
        </w:rPr>
        <w:tab/>
        <w:t xml:space="preserve">AECRCOST </w:t>
      </w:r>
      <w:r w:rsidRPr="006B16CB">
        <w:rPr>
          <w:b/>
          <w:i/>
          <w:vertAlign w:val="subscript"/>
          <w:lang w:val="pt-BR"/>
        </w:rPr>
        <w:t>q</w:t>
      </w:r>
      <w:r w:rsidRPr="006B16CB">
        <w:rPr>
          <w:b/>
          <w:lang w:val="pt-BR"/>
        </w:rPr>
        <w:t xml:space="preserve"> – </w:t>
      </w:r>
      <w:r w:rsidRPr="006B16CB">
        <w:rPr>
          <w:b/>
        </w:rPr>
        <w:t xml:space="preserve">ECRCOST </w:t>
      </w:r>
      <w:r w:rsidRPr="006B16CB">
        <w:rPr>
          <w:b/>
          <w:i/>
          <w:vertAlign w:val="subscript"/>
        </w:rPr>
        <w:t>q</w:t>
      </w:r>
      <w:r w:rsidRPr="006B16CB">
        <w:rPr>
          <w:b/>
          <w:i/>
          <w:vertAlign w:val="subscript"/>
          <w:lang w:val="pt-BR"/>
        </w:rPr>
        <w:t xml:space="preserve"> </w:t>
      </w:r>
    </w:p>
    <w:p w14:paraId="5499E5A3" w14:textId="77777777" w:rsidR="008B2D35" w:rsidRPr="0003648D" w:rsidRDefault="008B2D35" w:rsidP="008B2D35">
      <w:r w:rsidRPr="0003648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8B2D35" w:rsidRPr="0003648D" w14:paraId="75C28649" w14:textId="77777777" w:rsidTr="00B82144">
        <w:tc>
          <w:tcPr>
            <w:tcW w:w="1191" w:type="pct"/>
          </w:tcPr>
          <w:p w14:paraId="2F0B7309" w14:textId="77777777" w:rsidR="008B2D35" w:rsidRPr="0003648D" w:rsidRDefault="008B2D35" w:rsidP="00B82144">
            <w:pPr>
              <w:pStyle w:val="TableHead"/>
            </w:pPr>
            <w:r w:rsidRPr="0003648D">
              <w:t>Variable</w:t>
            </w:r>
          </w:p>
        </w:tc>
        <w:tc>
          <w:tcPr>
            <w:tcW w:w="335" w:type="pct"/>
          </w:tcPr>
          <w:p w14:paraId="6548EB6C" w14:textId="77777777" w:rsidR="008B2D35" w:rsidRPr="0003648D" w:rsidRDefault="008B2D35" w:rsidP="00B82144">
            <w:pPr>
              <w:pStyle w:val="TableHead"/>
            </w:pPr>
            <w:r w:rsidRPr="0003648D">
              <w:t>Unit</w:t>
            </w:r>
          </w:p>
        </w:tc>
        <w:tc>
          <w:tcPr>
            <w:tcW w:w="3474" w:type="pct"/>
          </w:tcPr>
          <w:p w14:paraId="397C6F31" w14:textId="77777777" w:rsidR="008B2D35" w:rsidRPr="0003648D" w:rsidRDefault="008B2D35" w:rsidP="00B82144">
            <w:pPr>
              <w:pStyle w:val="TableHead"/>
            </w:pPr>
            <w:r w:rsidRPr="0003648D">
              <w:t>Description</w:t>
            </w:r>
          </w:p>
        </w:tc>
      </w:tr>
      <w:tr w:rsidR="008B2D35" w:rsidRPr="0003648D" w14:paraId="5FD316B4" w14:textId="77777777" w:rsidTr="00B82144">
        <w:tc>
          <w:tcPr>
            <w:tcW w:w="1191" w:type="pct"/>
          </w:tcPr>
          <w:p w14:paraId="42A69668" w14:textId="77777777" w:rsidR="008B2D35" w:rsidRPr="0003648D" w:rsidRDefault="008B2D35" w:rsidP="00B82144">
            <w:pPr>
              <w:pStyle w:val="TableBody"/>
            </w:pPr>
            <w:r w:rsidRPr="0003648D">
              <w:rPr>
                <w:lang w:val="pt-BR"/>
              </w:rPr>
              <w:t>NETART</w:t>
            </w:r>
            <w:r>
              <w:rPr>
                <w:lang w:val="pt-BR"/>
              </w:rPr>
              <w:t>EC</w:t>
            </w:r>
            <w:r w:rsidRPr="0003648D">
              <w:rPr>
                <w:lang w:val="pt-BR"/>
              </w:rPr>
              <w:t xml:space="preserve">RAMT </w:t>
            </w:r>
            <w:r w:rsidRPr="0003648D">
              <w:rPr>
                <w:i/>
                <w:vertAlign w:val="subscript"/>
              </w:rPr>
              <w:t>q</w:t>
            </w:r>
          </w:p>
        </w:tc>
        <w:tc>
          <w:tcPr>
            <w:tcW w:w="335" w:type="pct"/>
          </w:tcPr>
          <w:p w14:paraId="0BE4DF3D" w14:textId="77777777" w:rsidR="008B2D35" w:rsidRPr="0003648D" w:rsidRDefault="008B2D35" w:rsidP="00B82144">
            <w:pPr>
              <w:pStyle w:val="TableBody"/>
            </w:pPr>
            <w:r w:rsidRPr="0003648D">
              <w:t>$</w:t>
            </w:r>
          </w:p>
        </w:tc>
        <w:tc>
          <w:tcPr>
            <w:tcW w:w="3474" w:type="pct"/>
          </w:tcPr>
          <w:p w14:paraId="6654D743" w14:textId="77777777" w:rsidR="008B2D35" w:rsidRPr="0003648D" w:rsidRDefault="008B2D35" w:rsidP="00B82144">
            <w:pPr>
              <w:pStyle w:val="TableBody"/>
            </w:pPr>
            <w:r w:rsidRPr="0003648D">
              <w:rPr>
                <w:i/>
              </w:rPr>
              <w:t xml:space="preserve">Real-Time </w:t>
            </w:r>
            <w:r>
              <w:rPr>
                <w:i/>
              </w:rPr>
              <w:t>ERCOT Contingency Reserve Service</w:t>
            </w:r>
            <w:r w:rsidRPr="0003648D">
              <w:rPr>
                <w:i/>
              </w:rPr>
              <w:t xml:space="preserve"> Amount per QSE</w:t>
            </w:r>
            <w:r w:rsidRPr="0003648D">
              <w:t xml:space="preserve">—The net adjustment to QSE </w:t>
            </w:r>
            <w:r w:rsidRPr="0003648D">
              <w:rPr>
                <w:i/>
              </w:rPr>
              <w:t>q</w:t>
            </w:r>
            <w:r w:rsidRPr="0003648D">
              <w:t xml:space="preserve">’s share of the costs for assigned </w:t>
            </w:r>
            <w:r>
              <w:t>ECRS</w:t>
            </w:r>
            <w:r w:rsidRPr="0003648D">
              <w:t>, for the hour.</w:t>
            </w:r>
          </w:p>
        </w:tc>
      </w:tr>
      <w:tr w:rsidR="008B2D35" w:rsidRPr="0003648D" w14:paraId="2E4A4F1E" w14:textId="77777777" w:rsidTr="00B82144">
        <w:tc>
          <w:tcPr>
            <w:tcW w:w="1191" w:type="pct"/>
          </w:tcPr>
          <w:p w14:paraId="401AF0C6" w14:textId="77777777" w:rsidR="008B2D35" w:rsidRPr="0003648D" w:rsidRDefault="008B2D35" w:rsidP="00B82144">
            <w:pPr>
              <w:pStyle w:val="TableBody"/>
            </w:pPr>
            <w:r>
              <w:t>EC</w:t>
            </w:r>
            <w:r w:rsidRPr="0003648D">
              <w:t xml:space="preserve">RCOST </w:t>
            </w:r>
            <w:r w:rsidRPr="0003648D">
              <w:rPr>
                <w:i/>
                <w:vertAlign w:val="subscript"/>
              </w:rPr>
              <w:t>q</w:t>
            </w:r>
          </w:p>
        </w:tc>
        <w:tc>
          <w:tcPr>
            <w:tcW w:w="335" w:type="pct"/>
          </w:tcPr>
          <w:p w14:paraId="6493BFA8" w14:textId="77777777" w:rsidR="008B2D35" w:rsidRPr="0003648D" w:rsidRDefault="008B2D35" w:rsidP="00B82144">
            <w:pPr>
              <w:pStyle w:val="TableBody"/>
            </w:pPr>
            <w:r w:rsidRPr="0003648D">
              <w:t>$</w:t>
            </w:r>
          </w:p>
        </w:tc>
        <w:tc>
          <w:tcPr>
            <w:tcW w:w="3474" w:type="pct"/>
          </w:tcPr>
          <w:p w14:paraId="132C872C" w14:textId="77777777" w:rsidR="008B2D35" w:rsidRPr="0003648D" w:rsidRDefault="008B2D35" w:rsidP="00B82144">
            <w:pPr>
              <w:pStyle w:val="TableBody"/>
            </w:pPr>
            <w:r>
              <w:rPr>
                <w:i/>
              </w:rPr>
              <w:t>ERCOT Contingency Reserve Service</w:t>
            </w:r>
            <w:r w:rsidRPr="0003648D">
              <w:rPr>
                <w:i/>
              </w:rPr>
              <w:t xml:space="preserve"> Cost per QSE</w:t>
            </w:r>
            <w:r w:rsidRPr="0003648D">
              <w:t xml:space="preserve">—QSE </w:t>
            </w:r>
            <w:r w:rsidRPr="0003648D">
              <w:rPr>
                <w:i/>
              </w:rPr>
              <w:t>q</w:t>
            </w:r>
            <w:r w:rsidRPr="0003648D">
              <w:t xml:space="preserve">’s share of the net total costs for </w:t>
            </w:r>
            <w:r>
              <w:t>ECRS</w:t>
            </w:r>
            <w:r w:rsidRPr="0003648D">
              <w:t>, for the hour.</w:t>
            </w:r>
          </w:p>
        </w:tc>
      </w:tr>
      <w:tr w:rsidR="008B2D35" w:rsidRPr="0003648D" w14:paraId="63FECCBE" w14:textId="77777777" w:rsidTr="00B82144">
        <w:tc>
          <w:tcPr>
            <w:tcW w:w="1191" w:type="pct"/>
            <w:tcBorders>
              <w:top w:val="single" w:sz="4" w:space="0" w:color="auto"/>
              <w:left w:val="single" w:sz="4" w:space="0" w:color="auto"/>
              <w:bottom w:val="single" w:sz="4" w:space="0" w:color="auto"/>
              <w:right w:val="single" w:sz="4" w:space="0" w:color="auto"/>
            </w:tcBorders>
          </w:tcPr>
          <w:p w14:paraId="73CA0B36" w14:textId="77777777" w:rsidR="008B2D35" w:rsidRPr="0003648D" w:rsidRDefault="008B2D35" w:rsidP="00B82144">
            <w:pPr>
              <w:pStyle w:val="TableBody"/>
            </w:pPr>
            <w:r w:rsidRPr="0003648D">
              <w:rPr>
                <w:lang w:val="pt-BR"/>
              </w:rPr>
              <w:t>A</w:t>
            </w:r>
            <w:r>
              <w:rPr>
                <w:lang w:val="pt-BR"/>
              </w:rPr>
              <w:t>EC</w:t>
            </w:r>
            <w:r w:rsidRPr="0003648D">
              <w:rPr>
                <w:lang w:val="pt-BR"/>
              </w:rPr>
              <w:t xml:space="preserve">RCOST </w:t>
            </w:r>
            <w:r w:rsidRPr="0003648D">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291D043D" w14:textId="77777777" w:rsidR="008B2D35" w:rsidRPr="0003648D" w:rsidRDefault="008B2D35" w:rsidP="00B82144">
            <w:pPr>
              <w:pStyle w:val="TableBody"/>
            </w:pPr>
            <w:r w:rsidRPr="0003648D">
              <w:t>$</w:t>
            </w:r>
          </w:p>
        </w:tc>
        <w:tc>
          <w:tcPr>
            <w:tcW w:w="3474" w:type="pct"/>
            <w:tcBorders>
              <w:top w:val="single" w:sz="4" w:space="0" w:color="auto"/>
              <w:left w:val="single" w:sz="4" w:space="0" w:color="auto"/>
              <w:bottom w:val="single" w:sz="4" w:space="0" w:color="auto"/>
              <w:right w:val="single" w:sz="4" w:space="0" w:color="auto"/>
            </w:tcBorders>
          </w:tcPr>
          <w:p w14:paraId="5938681C" w14:textId="77777777" w:rsidR="008B2D35" w:rsidRPr="0003648D" w:rsidRDefault="008B2D35" w:rsidP="00B82144">
            <w:pPr>
              <w:pStyle w:val="TableBody"/>
            </w:pPr>
            <w:r>
              <w:rPr>
                <w:i/>
              </w:rPr>
              <w:t>ERCOT Contingency Reserve Service</w:t>
            </w:r>
            <w:r w:rsidRPr="0003648D">
              <w:rPr>
                <w:i/>
              </w:rPr>
              <w:t xml:space="preserve"> Cost per QSE</w:t>
            </w:r>
            <w:r w:rsidRPr="0003648D">
              <w:t xml:space="preserve">—QSE </w:t>
            </w:r>
            <w:r w:rsidRPr="0003648D">
              <w:rPr>
                <w:i/>
              </w:rPr>
              <w:t>q</w:t>
            </w:r>
            <w:r w:rsidRPr="0003648D">
              <w:t xml:space="preserve">’s share of the net total costs for </w:t>
            </w:r>
            <w:r>
              <w:t>ECRS</w:t>
            </w:r>
            <w:r w:rsidRPr="0003648D">
              <w:t xml:space="preserve"> that includes costs of assigned Ancillary Service during a Watch, for the hour.</w:t>
            </w:r>
          </w:p>
        </w:tc>
      </w:tr>
      <w:tr w:rsidR="008B2D35" w:rsidRPr="0003648D" w14:paraId="119AFF6F" w14:textId="77777777" w:rsidTr="00B82144">
        <w:tc>
          <w:tcPr>
            <w:tcW w:w="1191" w:type="pct"/>
            <w:tcBorders>
              <w:top w:val="single" w:sz="4" w:space="0" w:color="auto"/>
              <w:left w:val="single" w:sz="4" w:space="0" w:color="auto"/>
              <w:bottom w:val="single" w:sz="4" w:space="0" w:color="auto"/>
              <w:right w:val="single" w:sz="4" w:space="0" w:color="auto"/>
            </w:tcBorders>
          </w:tcPr>
          <w:p w14:paraId="4101754E" w14:textId="77777777" w:rsidR="008B2D35" w:rsidRPr="0003648D" w:rsidRDefault="008B2D35" w:rsidP="00B82144">
            <w:pPr>
              <w:pStyle w:val="TableBody"/>
            </w:pPr>
            <w:r w:rsidRPr="0003648D">
              <w:rPr>
                <w:i/>
              </w:rPr>
              <w:t>q</w:t>
            </w:r>
          </w:p>
        </w:tc>
        <w:tc>
          <w:tcPr>
            <w:tcW w:w="335" w:type="pct"/>
            <w:tcBorders>
              <w:top w:val="single" w:sz="4" w:space="0" w:color="auto"/>
              <w:left w:val="single" w:sz="4" w:space="0" w:color="auto"/>
              <w:bottom w:val="single" w:sz="4" w:space="0" w:color="auto"/>
              <w:right w:val="single" w:sz="4" w:space="0" w:color="auto"/>
            </w:tcBorders>
          </w:tcPr>
          <w:p w14:paraId="6FFE1AD5" w14:textId="77777777" w:rsidR="008B2D35" w:rsidRPr="0003648D" w:rsidRDefault="008B2D35" w:rsidP="00B82144">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025853FF" w14:textId="77777777" w:rsidR="008B2D35" w:rsidRPr="0003648D" w:rsidRDefault="008B2D35" w:rsidP="00B82144">
            <w:pPr>
              <w:pStyle w:val="TableBody"/>
            </w:pPr>
            <w:r w:rsidRPr="0003648D">
              <w:t>A QSE.</w:t>
            </w:r>
          </w:p>
        </w:tc>
      </w:tr>
      <w:bookmarkEnd w:id="2827"/>
    </w:tbl>
    <w:p w14:paraId="0005217C" w14:textId="77777777" w:rsidR="000E1BF8" w:rsidRPr="000E1BF8" w:rsidRDefault="000E1BF8" w:rsidP="000E1BF8">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E1BF8" w14:paraId="1D206D13" w14:textId="77777777" w:rsidTr="001138B9">
        <w:trPr>
          <w:trHeight w:val="206"/>
        </w:trPr>
        <w:tc>
          <w:tcPr>
            <w:tcW w:w="9350" w:type="dxa"/>
            <w:shd w:val="pct12" w:color="auto" w:fill="auto"/>
          </w:tcPr>
          <w:p w14:paraId="78B399CE" w14:textId="5B173E63" w:rsidR="000E1BF8" w:rsidRPr="00B06583" w:rsidRDefault="000E1BF8" w:rsidP="005952D5">
            <w:pPr>
              <w:pStyle w:val="Instructions"/>
              <w:spacing w:before="120"/>
            </w:pPr>
            <w:r>
              <w:t>[NPRR1010:  Delete Section 6.7.7 above upon system implementation of the Real-Time Co-Optimization (RTC) project</w:t>
            </w:r>
            <w:r w:rsidR="00221A13">
              <w:t>.</w:t>
            </w:r>
            <w:r>
              <w:t>]</w:t>
            </w:r>
          </w:p>
        </w:tc>
      </w:tr>
    </w:tbl>
    <w:p w14:paraId="06C4D075" w14:textId="33C26CB9" w:rsidR="00162CAA" w:rsidRPr="00162CAA" w:rsidRDefault="00162CAA" w:rsidP="0095782B">
      <w:pPr>
        <w:pStyle w:val="H2"/>
        <w:spacing w:before="480"/>
        <w:ind w:left="907" w:hanging="907"/>
        <w:rPr>
          <w:snapToGrid w:val="0"/>
        </w:rPr>
      </w:pPr>
      <w:bookmarkStart w:id="2828" w:name="_Toc204411761"/>
      <w:r w:rsidRPr="00162CAA">
        <w:rPr>
          <w:bCs/>
          <w:snapToGrid w:val="0"/>
        </w:rPr>
        <w:t>6.8</w:t>
      </w:r>
      <w:r w:rsidR="003D3379">
        <w:rPr>
          <w:bCs/>
          <w:snapToGrid w:val="0"/>
        </w:rPr>
        <w:tab/>
      </w:r>
      <w:r w:rsidRPr="00162CAA">
        <w:rPr>
          <w:snapToGrid w:val="0"/>
        </w:rPr>
        <w:t xml:space="preserve">Settlement for Operating Losses During an LCAP </w:t>
      </w:r>
      <w:r w:rsidRPr="00162CAA">
        <w:rPr>
          <w:bCs/>
          <w:snapToGrid w:val="0"/>
        </w:rPr>
        <w:t>Effective Period</w:t>
      </w:r>
      <w:bookmarkEnd w:id="2828"/>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72829" w14:paraId="2A84ECCB" w14:textId="77777777" w:rsidTr="00072829">
        <w:trPr>
          <w:trHeight w:val="206"/>
        </w:trPr>
        <w:tc>
          <w:tcPr>
            <w:tcW w:w="9350" w:type="dxa"/>
            <w:shd w:val="pct12" w:color="auto" w:fill="auto"/>
          </w:tcPr>
          <w:p w14:paraId="657D886F" w14:textId="66117527" w:rsidR="00072829" w:rsidRDefault="00072829" w:rsidP="00B327B6">
            <w:pPr>
              <w:pStyle w:val="Instructions"/>
              <w:spacing w:before="120"/>
            </w:pPr>
            <w:r>
              <w:t>[NPRR1216:  Replace</w:t>
            </w:r>
            <w:r w:rsidR="00566E39">
              <w:t xml:space="preserve"> the title for</w:t>
            </w:r>
            <w:r>
              <w:t xml:space="preserve"> Section 6.8 above with the following upon system implementation:]</w:t>
            </w:r>
          </w:p>
          <w:p w14:paraId="0B3BF577" w14:textId="77777777" w:rsidR="00072829" w:rsidRPr="00072829" w:rsidRDefault="00072829" w:rsidP="00072829">
            <w:pPr>
              <w:pStyle w:val="H2"/>
              <w:spacing w:before="480"/>
              <w:ind w:left="907" w:hanging="907"/>
              <w:rPr>
                <w:snapToGrid w:val="0"/>
              </w:rPr>
            </w:pPr>
            <w:bookmarkStart w:id="2829" w:name="_Toc204411762"/>
            <w:r w:rsidRPr="00072829">
              <w:rPr>
                <w:snapToGrid w:val="0"/>
              </w:rPr>
              <w:t xml:space="preserve">6.8       </w:t>
            </w:r>
            <w:r w:rsidRPr="00CF7EAF">
              <w:rPr>
                <w:snapToGrid w:val="0"/>
              </w:rPr>
              <w:t xml:space="preserve">Settlement for Operating Losses During an LCAP or ECAP </w:t>
            </w:r>
            <w:r w:rsidRPr="00072829">
              <w:rPr>
                <w:snapToGrid w:val="0"/>
              </w:rPr>
              <w:t>Effective Period</w:t>
            </w:r>
            <w:bookmarkEnd w:id="2829"/>
          </w:p>
          <w:p w14:paraId="1BE7E690" w14:textId="37106693" w:rsidR="00072829" w:rsidRPr="00A4149C" w:rsidRDefault="00072829" w:rsidP="00B327B6">
            <w:pPr>
              <w:pStyle w:val="TableBody"/>
            </w:pPr>
          </w:p>
        </w:tc>
      </w:tr>
    </w:tbl>
    <w:p w14:paraId="477DBA85" w14:textId="77777777" w:rsidR="00162CAA" w:rsidRPr="003D3379" w:rsidRDefault="00162CAA" w:rsidP="00E4313A">
      <w:pPr>
        <w:keepNext/>
        <w:tabs>
          <w:tab w:val="left" w:pos="1080"/>
        </w:tabs>
        <w:spacing w:before="240" w:after="240"/>
        <w:ind w:left="1080" w:hanging="1080"/>
        <w:outlineLvl w:val="2"/>
        <w:rPr>
          <w:b/>
          <w:bCs/>
          <w:i/>
          <w:iCs/>
          <w:snapToGrid w:val="0"/>
        </w:rPr>
      </w:pPr>
      <w:bookmarkStart w:id="2830" w:name="_Toc204411763"/>
      <w:r w:rsidRPr="003D3379">
        <w:rPr>
          <w:b/>
          <w:bCs/>
          <w:i/>
          <w:iCs/>
          <w:snapToGrid w:val="0"/>
        </w:rPr>
        <w:t>6.8.1</w:t>
      </w:r>
      <w:r w:rsidR="003D3379">
        <w:rPr>
          <w:b/>
          <w:bCs/>
          <w:i/>
          <w:iCs/>
          <w:snapToGrid w:val="0"/>
        </w:rPr>
        <w:tab/>
      </w:r>
      <w:r w:rsidRPr="003D3379">
        <w:rPr>
          <w:b/>
          <w:bCs/>
          <w:i/>
          <w:iCs/>
          <w:snapToGrid w:val="0"/>
        </w:rPr>
        <w:t xml:space="preserve">Determination of </w:t>
      </w:r>
      <w:r w:rsidRPr="003D3379">
        <w:rPr>
          <w:b/>
          <w:i/>
          <w:iCs/>
          <w:snapToGrid w:val="0"/>
        </w:rPr>
        <w:t xml:space="preserve">Operating Losses During an LCAP </w:t>
      </w:r>
      <w:r w:rsidRPr="003D3379">
        <w:rPr>
          <w:b/>
          <w:bCs/>
          <w:i/>
          <w:iCs/>
          <w:snapToGrid w:val="0"/>
        </w:rPr>
        <w:t>Effective Period</w:t>
      </w:r>
      <w:bookmarkEnd w:id="2830"/>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72829" w14:paraId="4F734EE0" w14:textId="77777777" w:rsidTr="00B327B6">
        <w:trPr>
          <w:trHeight w:val="206"/>
        </w:trPr>
        <w:tc>
          <w:tcPr>
            <w:tcW w:w="9350" w:type="dxa"/>
            <w:shd w:val="pct12" w:color="auto" w:fill="auto"/>
          </w:tcPr>
          <w:p w14:paraId="273F98BE" w14:textId="2DF3F71E" w:rsidR="00072829" w:rsidRDefault="00072829" w:rsidP="00B327B6">
            <w:pPr>
              <w:pStyle w:val="Instructions"/>
              <w:spacing w:before="120"/>
            </w:pPr>
            <w:r>
              <w:t xml:space="preserve">[NPRR1216:  Replace </w:t>
            </w:r>
            <w:r w:rsidR="00566E39">
              <w:t xml:space="preserve">the title for </w:t>
            </w:r>
            <w:r>
              <w:t>Section 6.8.1 above with the following upon system implementation:]</w:t>
            </w:r>
          </w:p>
          <w:p w14:paraId="46553F89" w14:textId="4EAF71F9" w:rsidR="00072829" w:rsidRPr="00072829" w:rsidRDefault="00072829" w:rsidP="00072829">
            <w:pPr>
              <w:keepNext/>
              <w:tabs>
                <w:tab w:val="left" w:pos="1080"/>
              </w:tabs>
              <w:spacing w:before="240" w:after="240"/>
              <w:ind w:left="1080" w:hanging="1080"/>
              <w:outlineLvl w:val="2"/>
              <w:rPr>
                <w:b/>
                <w:bCs/>
                <w:snapToGrid w:val="0"/>
              </w:rPr>
            </w:pPr>
            <w:bookmarkStart w:id="2831" w:name="_Hlk156377805"/>
            <w:bookmarkStart w:id="2832" w:name="_Toc204411764"/>
            <w:r w:rsidRPr="00072829">
              <w:rPr>
                <w:b/>
                <w:bCs/>
                <w:i/>
                <w:iCs/>
                <w:snapToGrid w:val="0"/>
              </w:rPr>
              <w:t>6.8.1    Determination of Operating Losses During an LCAP or ECAP Effective Period</w:t>
            </w:r>
            <w:bookmarkEnd w:id="2831"/>
            <w:bookmarkEnd w:id="2832"/>
          </w:p>
        </w:tc>
      </w:tr>
    </w:tbl>
    <w:p w14:paraId="3D696BFD" w14:textId="3CE483C6" w:rsidR="00162CAA" w:rsidRPr="00162CAA" w:rsidRDefault="00162CAA" w:rsidP="00D61479">
      <w:pPr>
        <w:spacing w:before="240" w:after="240"/>
        <w:ind w:left="720" w:hanging="720"/>
      </w:pPr>
      <w:r w:rsidRPr="00162CAA">
        <w:t>(1)</w:t>
      </w:r>
      <w:r w:rsidRPr="00162CAA">
        <w:tab/>
        <w:t xml:space="preserve">In order for a Qualified Scheduling Entity (QSE) that represents a Generation Resource or Energy Storage Resource (ESR) to recover actual marginal costs for operating losses during a Low System-Wide Offer Cap (LCAP) Effective Period, and incurred as calculated in Section 6.8.2, Recovery of Operating Losses During an LCAP Effective Period, the QSE shall timely submit a Settlement and billing dispute for each affected Operating Day, consistent with the dispute process described in Section 9.14, Settlement </w:t>
      </w:r>
      <w:r w:rsidRPr="00162CAA">
        <w:lastRenderedPageBreak/>
        <w:t>and Billing Dispute Process.</w:t>
      </w:r>
      <w:r w:rsidR="003D3379">
        <w:t xml:space="preserve">  </w:t>
      </w:r>
      <w:r w:rsidRPr="00162CAA">
        <w:t xml:space="preserve">The QSE shall also submit, through the Settlement and billing dispute process, and within 60 days of the issuance of a Real-Time Market (RTM) Initial Statement for an Operating Day, the following information: </w:t>
      </w:r>
      <w:r w:rsidRPr="00162CAA">
        <w:tab/>
      </w:r>
    </w:p>
    <w:p w14:paraId="1060A36D" w14:textId="77777777" w:rsidR="00162CAA" w:rsidRPr="00162CAA" w:rsidRDefault="00162CAA" w:rsidP="00162CAA">
      <w:pPr>
        <w:spacing w:after="240"/>
        <w:ind w:left="1440" w:hanging="720"/>
      </w:pPr>
      <w:r w:rsidRPr="00162CAA">
        <w:t>(a)</w:t>
      </w:r>
      <w:r w:rsidRPr="00162CAA">
        <w:tab/>
        <w:t>For a Generation Resource:</w:t>
      </w:r>
    </w:p>
    <w:p w14:paraId="666A5042" w14:textId="77777777" w:rsidR="00162CAA" w:rsidRPr="00162CAA" w:rsidRDefault="00162CAA" w:rsidP="00162CAA">
      <w:pPr>
        <w:spacing w:after="240"/>
        <w:ind w:left="2160" w:hanging="720"/>
      </w:pPr>
      <w:r w:rsidRPr="00162CAA">
        <w:t>(i)</w:t>
      </w:r>
      <w:r w:rsidRPr="00162CAA">
        <w:tab/>
        <w:t>All fuel purchases used to determine the weighted average fuel price included in the calculation of the actual marginal operating fuel cost component, for the Generation Resource, for the 15-minute Settlement Interval within the Operating Day.</w:t>
      </w:r>
    </w:p>
    <w:p w14:paraId="1795CEA5" w14:textId="77777777" w:rsidR="00162CAA" w:rsidRPr="00162CAA" w:rsidRDefault="00162CAA" w:rsidP="00162CAA">
      <w:pPr>
        <w:spacing w:after="240"/>
        <w:ind w:left="1440" w:hanging="720"/>
      </w:pPr>
      <w:r w:rsidRPr="00162CAA">
        <w:t>(b)</w:t>
      </w:r>
      <w:r w:rsidRPr="00162CAA">
        <w:tab/>
        <w:t>For an ESR:</w:t>
      </w:r>
    </w:p>
    <w:p w14:paraId="69253B2C" w14:textId="5D6B3D36" w:rsidR="00162CAA" w:rsidRPr="00162CAA" w:rsidRDefault="00162CAA" w:rsidP="00162CAA">
      <w:pPr>
        <w:spacing w:after="240"/>
        <w:ind w:left="2160" w:hanging="720"/>
      </w:pPr>
      <w:r w:rsidRPr="00162CAA">
        <w:t>(i)</w:t>
      </w:r>
      <w:r w:rsidRPr="00162CAA">
        <w:tab/>
        <w:t>The actual variable O&amp;M rate incurred during the LCAP Effective Period in lieu of the Standard Operations and Maintenance Cost (STOM) defined in Section 6.8.2; and</w:t>
      </w:r>
    </w:p>
    <w:p w14:paraId="545BFFC5" w14:textId="77777777" w:rsidR="00162CAA" w:rsidRPr="00162CAA" w:rsidRDefault="00162CAA" w:rsidP="00162CAA">
      <w:pPr>
        <w:spacing w:after="240"/>
        <w:ind w:left="2160" w:hanging="720"/>
      </w:pPr>
      <w:r w:rsidRPr="00162CAA">
        <w:t>(ii)</w:t>
      </w:r>
      <w:r w:rsidRPr="00162CAA">
        <w:tab/>
        <w:t>The average electricity cost incurred to charge the ESR for the amount of discharge during the LCAP Effective Period.</w:t>
      </w:r>
    </w:p>
    <w:p w14:paraId="686FFAE9" w14:textId="77777777" w:rsidR="00162CAA" w:rsidRPr="00162CAA" w:rsidRDefault="00162CAA" w:rsidP="00162CAA">
      <w:pPr>
        <w:spacing w:after="240"/>
        <w:ind w:left="1440" w:hanging="720"/>
      </w:pPr>
      <w:r w:rsidRPr="00162CAA">
        <w:t>(c)</w:t>
      </w:r>
      <w:r w:rsidRPr="00162CAA">
        <w:tab/>
        <w:t>An attestation signed by an officer or executive with authority to bind the QSE stating that the information contained in the Settlement and billing dispute is accurate and that fixed costs (fees, penalties, and similar non-gas costs) were not included in the calculation of the weighted average fuel price.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72829" w14:paraId="7718C894" w14:textId="77777777" w:rsidTr="00B327B6">
        <w:trPr>
          <w:trHeight w:val="206"/>
        </w:trPr>
        <w:tc>
          <w:tcPr>
            <w:tcW w:w="9350" w:type="dxa"/>
            <w:shd w:val="pct12" w:color="auto" w:fill="auto"/>
          </w:tcPr>
          <w:p w14:paraId="7E1122B7" w14:textId="31A81CE9" w:rsidR="00072829" w:rsidRDefault="00072829" w:rsidP="00B327B6">
            <w:pPr>
              <w:pStyle w:val="Instructions"/>
              <w:spacing w:before="120"/>
            </w:pPr>
            <w:bookmarkStart w:id="2833" w:name="_Hlk77686274"/>
            <w:r>
              <w:t>[NPRR1216:  Replace paragraph (1) above with the following upon system implementation:]</w:t>
            </w:r>
          </w:p>
          <w:p w14:paraId="69CA52CE" w14:textId="689DC8CD" w:rsidR="00072829" w:rsidRPr="00072829" w:rsidRDefault="00072829" w:rsidP="00072829">
            <w:pPr>
              <w:spacing w:after="240"/>
              <w:ind w:left="720" w:hanging="720"/>
            </w:pPr>
            <w:r w:rsidRPr="00072829">
              <w:t>(1)</w:t>
            </w:r>
            <w:r w:rsidRPr="00072829">
              <w:tab/>
              <w:t xml:space="preserve">In order for a Qualified Scheduling Entity (QSE) that represents a Generation Resource or Energy Storage Resource (ESR) to recover actual marginal costs for operating losses during a Low System-Wide Offer Cap (LCAP) or an Emergency Offer Cap (ECAP) Effective Period, and incurred as calculated in Section 6.8.2, Recovery of Operating Losses During an LCAP or ECAP Effective Period, the </w:t>
            </w:r>
            <w:bookmarkStart w:id="2834" w:name="_Hlk143503138"/>
            <w:r w:rsidRPr="00072829">
              <w:t xml:space="preserve">QSE shall timely submit a Settlement and billing dispute for each affected Operating Day, consistent with the dispute process described in Section 9.14, Settlement and Billing Dispute Process. </w:t>
            </w:r>
            <w:bookmarkEnd w:id="2834"/>
            <w:r w:rsidR="00C71C62">
              <w:t xml:space="preserve"> </w:t>
            </w:r>
            <w:r w:rsidRPr="00072829">
              <w:t>The QSE shall also submit, through the Settlement and billing dispute process, and within 60 days of the issuance of a Real-Time Market (RTM) Initial Statement for an Operating Day, the following information:</w:t>
            </w:r>
          </w:p>
          <w:p w14:paraId="11D79230" w14:textId="77777777" w:rsidR="00072829" w:rsidRPr="00072829" w:rsidRDefault="00072829" w:rsidP="00072829">
            <w:pPr>
              <w:spacing w:after="240"/>
              <w:ind w:left="1440" w:hanging="720"/>
            </w:pPr>
            <w:r w:rsidRPr="00072829">
              <w:t>(a)</w:t>
            </w:r>
            <w:r w:rsidRPr="00072829">
              <w:tab/>
              <w:t>For a Generation Resource:</w:t>
            </w:r>
          </w:p>
          <w:p w14:paraId="160FFDC0" w14:textId="77777777" w:rsidR="00072829" w:rsidRPr="00072829" w:rsidRDefault="00072829" w:rsidP="00072829">
            <w:pPr>
              <w:spacing w:after="240"/>
              <w:ind w:left="2160" w:hanging="720"/>
            </w:pPr>
            <w:r w:rsidRPr="00072829">
              <w:t>(i)</w:t>
            </w:r>
            <w:r w:rsidRPr="00072829">
              <w:tab/>
              <w:t>All fuel purchases used to determine the weighted average fuel price included in the calculation of the actual marginal operating fuel cost component, for the Generation Resource, for the 15-minute Settlement Interval within the Operating Day.</w:t>
            </w:r>
          </w:p>
          <w:p w14:paraId="7E867F12" w14:textId="08FF5D3A" w:rsidR="00072829" w:rsidRPr="00072829" w:rsidRDefault="00072829" w:rsidP="00072829">
            <w:pPr>
              <w:spacing w:after="240"/>
              <w:ind w:left="1440" w:hanging="720"/>
            </w:pPr>
            <w:r w:rsidRPr="00072829">
              <w:lastRenderedPageBreak/>
              <w:t>(b)</w:t>
            </w:r>
            <w:r w:rsidRPr="00072829">
              <w:tab/>
              <w:t>For an ESR</w:t>
            </w:r>
            <w:r>
              <w:t>,</w:t>
            </w:r>
            <w:r w:rsidRPr="00072829">
              <w:t xml:space="preserve"> the average electricity cost incurred to charge the ESR for the amount of discharge during the LCAP or ECAP Effective Period.</w:t>
            </w:r>
          </w:p>
          <w:p w14:paraId="08C5CAF5" w14:textId="77777777" w:rsidR="00072829" w:rsidRPr="00072829" w:rsidRDefault="00072829" w:rsidP="00072829">
            <w:pPr>
              <w:spacing w:after="240"/>
              <w:ind w:left="1440" w:hanging="720"/>
            </w:pPr>
            <w:r w:rsidRPr="00072829">
              <w:t>(c)</w:t>
            </w:r>
            <w:r w:rsidRPr="00072829">
              <w:tab/>
              <w:t>For Resources with approved Raw Verifiable Operations and Maintenance Cost Above LSL</w:t>
            </w:r>
            <w:r w:rsidRPr="00072829">
              <w:rPr>
                <w:i/>
                <w:iCs/>
                <w:sz w:val="20"/>
              </w:rPr>
              <w:t xml:space="preserve"> </w:t>
            </w:r>
            <w:r w:rsidRPr="00072829">
              <w:t>(ROM), the QSE may submit an Incremental Variable Operations and Maintenance Costs (IVC) rate for costs incurred during the LCAP or ECAP Effective Period that were not included in the currently approved ROM value, subject to verification and approval by ERCOT.</w:t>
            </w:r>
          </w:p>
          <w:p w14:paraId="2707BE65" w14:textId="41732DDD" w:rsidR="00072829" w:rsidRPr="00072829" w:rsidRDefault="00072829" w:rsidP="00072829">
            <w:pPr>
              <w:spacing w:after="240"/>
              <w:ind w:left="1440" w:hanging="720"/>
            </w:pPr>
            <w:r w:rsidRPr="00072829">
              <w:t>(d)</w:t>
            </w:r>
            <w:r w:rsidRPr="00072829">
              <w:tab/>
              <w:t>For Resources that do not have approved ROM, the QSE may submit an IVC rate for costs incurred during the LCAP or ECAP Effective Period in lieu of the Standard Operations and Maintenance Cost (STOM), defined in Section 6.8.2, Recovery of Operating Losses During an LCAP or ECAP Effective Period, subject to verification and approval by ERCOT.</w:t>
            </w:r>
          </w:p>
          <w:p w14:paraId="726DBDD7" w14:textId="07A8F7FC" w:rsidR="00072829" w:rsidRPr="00072829" w:rsidRDefault="00072829" w:rsidP="00072829">
            <w:pPr>
              <w:spacing w:after="240"/>
              <w:ind w:left="1440" w:hanging="720"/>
            </w:pPr>
            <w:r w:rsidRPr="00072829">
              <w:t>(e)</w:t>
            </w:r>
            <w:r w:rsidRPr="00072829">
              <w:tab/>
              <w:t>An attestation signed by an officer or executive with authority to bind the QSE stating that the information contained in the Settlement and billing dispute is accurate and that fixed costs (e.g., fees, penalties, and similar non-gas costs) were not included in the calculation of the weighted average fuel price.  If the marginal fuel cost exceeds the HCAP, the attestation must also include the following provision:  “All marginal fuel costs included in this submission are solely related to the provision of fuel or services directly related to the provision of the purchased fuel.”</w:t>
            </w:r>
          </w:p>
        </w:tc>
      </w:tr>
    </w:tbl>
    <w:p w14:paraId="2AF9AE63" w14:textId="1E0C2CD9" w:rsidR="00162CAA" w:rsidRPr="00162CAA" w:rsidRDefault="00162CAA" w:rsidP="00D61479">
      <w:pPr>
        <w:spacing w:before="240" w:after="240"/>
        <w:ind w:left="720" w:hanging="720"/>
      </w:pPr>
      <w:r w:rsidRPr="00162CAA">
        <w:lastRenderedPageBreak/>
        <w:t>(2)</w:t>
      </w:r>
      <w:r w:rsidRPr="00162CAA">
        <w:tab/>
        <w:t>The calculation of operating losses under Section 6.8.2 applies only when the Real-Time Settlement Point Price for the Resource is equal to or exceeds the LCAP or when the Resource’s Energy Offer Curve is at the LCAP and the Resource receives a Dispatch Instruction or a Base Point above its Low Sustained Limit (LSL).</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64A29" w14:paraId="59B1F5C2" w14:textId="77777777" w:rsidTr="00764A29">
        <w:trPr>
          <w:trHeight w:val="206"/>
        </w:trPr>
        <w:tc>
          <w:tcPr>
            <w:tcW w:w="9350" w:type="dxa"/>
            <w:shd w:val="pct12" w:color="auto" w:fill="auto"/>
          </w:tcPr>
          <w:bookmarkEnd w:id="2833"/>
          <w:p w14:paraId="3ED19BBB" w14:textId="384CD7ED" w:rsidR="00764A29" w:rsidRDefault="00764A29" w:rsidP="00B327B6">
            <w:pPr>
              <w:pStyle w:val="Instructions"/>
              <w:spacing w:before="120"/>
            </w:pPr>
            <w:r>
              <w:t>[NPRR1216:  Replace paragraph (2) above with the following upon system implementation:]</w:t>
            </w:r>
          </w:p>
          <w:p w14:paraId="16B7ABF7" w14:textId="77777777" w:rsidR="00764A29" w:rsidRPr="00CF7EAF" w:rsidRDefault="00764A29" w:rsidP="00764A29">
            <w:pPr>
              <w:spacing w:after="240"/>
              <w:ind w:left="720" w:hanging="720"/>
            </w:pPr>
            <w:r w:rsidRPr="00CF7EAF">
              <w:t>(2)</w:t>
            </w:r>
            <w:r w:rsidRPr="00CF7EAF">
              <w:tab/>
              <w:t>The calculation of operating losses under Section 6.8.2 applies:</w:t>
            </w:r>
          </w:p>
          <w:p w14:paraId="1F4CE0B3" w14:textId="6507FC2D" w:rsidR="00764A29" w:rsidRPr="00CF7EAF" w:rsidRDefault="00764A29" w:rsidP="00764A29">
            <w:pPr>
              <w:spacing w:after="240"/>
              <w:ind w:left="1440" w:hanging="720"/>
            </w:pPr>
            <w:r w:rsidRPr="00CF7EAF">
              <w:t>(a)</w:t>
            </w:r>
            <w:r w:rsidRPr="00CF7EAF">
              <w:tab/>
              <w:t>When the Real-Time Settlement Point Price for the Resource is equal to or exceeds the LCAP or ECAP; and</w:t>
            </w:r>
          </w:p>
          <w:p w14:paraId="1F8558F2" w14:textId="37D1930B" w:rsidR="00764A29" w:rsidRPr="00072829" w:rsidRDefault="00764A29" w:rsidP="00764A29">
            <w:pPr>
              <w:spacing w:after="240"/>
              <w:ind w:left="1440" w:hanging="720"/>
            </w:pPr>
            <w:r w:rsidRPr="00CF7EAF">
              <w:t>(b)</w:t>
            </w:r>
            <w:r w:rsidRPr="00CF7EAF">
              <w:tab/>
              <w:t>When the Resource’s Energy Offer Curve is at the LCAP or ECAP and the Resource receives a Dispatch Instruction or a Base Point above its Low Sustained Limit (LSL).</w:t>
            </w:r>
          </w:p>
        </w:tc>
      </w:tr>
    </w:tbl>
    <w:p w14:paraId="3CE97F00" w14:textId="77777777" w:rsidR="00764A29" w:rsidRDefault="00764A29"/>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64A29" w:rsidRPr="00CF7EAF" w14:paraId="61846093" w14:textId="77777777" w:rsidTr="00764A29">
        <w:trPr>
          <w:trHeight w:val="386"/>
        </w:trPr>
        <w:tc>
          <w:tcPr>
            <w:tcW w:w="9350" w:type="dxa"/>
            <w:shd w:val="pct12" w:color="auto" w:fill="auto"/>
          </w:tcPr>
          <w:p w14:paraId="0EBA3D29" w14:textId="77777777" w:rsidR="00764A29" w:rsidRPr="00CF7EAF" w:rsidRDefault="00764A29" w:rsidP="00B327B6">
            <w:pPr>
              <w:spacing w:before="120" w:after="240"/>
              <w:rPr>
                <w:b/>
                <w:i/>
                <w:iCs/>
              </w:rPr>
            </w:pPr>
            <w:r w:rsidRPr="00CF7EAF">
              <w:rPr>
                <w:b/>
                <w:i/>
                <w:iCs/>
              </w:rPr>
              <w:lastRenderedPageBreak/>
              <w:t>[NPRR1216:  Replace paragraph (2) above with the following upon system implementation of the Real-Time Co-Optimization (RTC) project:]</w:t>
            </w:r>
          </w:p>
          <w:p w14:paraId="19C90F76" w14:textId="77777777" w:rsidR="00764A29" w:rsidRPr="00CF7EAF" w:rsidRDefault="00764A29" w:rsidP="00B327B6">
            <w:pPr>
              <w:spacing w:after="240"/>
              <w:ind w:left="720" w:hanging="720"/>
              <w:rPr>
                <w:color w:val="000000"/>
              </w:rPr>
            </w:pPr>
            <w:r w:rsidRPr="00CF7EAF">
              <w:t>(2)</w:t>
            </w:r>
            <w:r w:rsidRPr="00CF7EAF">
              <w:tab/>
            </w:r>
            <w:r w:rsidRPr="00CF7EAF">
              <w:rPr>
                <w:color w:val="000000"/>
              </w:rPr>
              <w:t>The calculation of operating losses under Section 6.8.2 applies:</w:t>
            </w:r>
          </w:p>
          <w:p w14:paraId="5162D2DF" w14:textId="1717F9B7" w:rsidR="00764A29" w:rsidRPr="00CF7EAF" w:rsidRDefault="00764A29" w:rsidP="00B327B6">
            <w:pPr>
              <w:spacing w:after="240"/>
              <w:ind w:left="1440" w:hanging="720"/>
            </w:pPr>
            <w:r w:rsidRPr="00CF7EAF">
              <w:t>(a)</w:t>
            </w:r>
            <w:r w:rsidRPr="00CF7EAF">
              <w:tab/>
              <w:t xml:space="preserve">When the Real-Time Settlement Point Price for the Resource is equal to or exceeds the LCAP or ECAP; and </w:t>
            </w:r>
          </w:p>
          <w:p w14:paraId="574086E8" w14:textId="2E267059" w:rsidR="00764A29" w:rsidRPr="00CF7EAF" w:rsidRDefault="00764A29" w:rsidP="00B327B6">
            <w:pPr>
              <w:spacing w:after="240"/>
              <w:ind w:left="1440" w:hanging="720"/>
              <w:rPr>
                <w:color w:val="000000"/>
              </w:rPr>
            </w:pPr>
            <w:r w:rsidRPr="00CF7EAF">
              <w:t>(b)</w:t>
            </w:r>
            <w:r w:rsidRPr="00CF7EAF">
              <w:tab/>
              <w:t>When the Resource’s Energy Offer Curve or Energy Bid/Offer Curve is at the LCAP or ECAP and the Resource receives a Dispatch Instruction or a Base Point above its Low Sustained Limit (LSL).</w:t>
            </w:r>
          </w:p>
        </w:tc>
      </w:tr>
    </w:tbl>
    <w:p w14:paraId="47A3DB77" w14:textId="3B0F7A6D" w:rsidR="00162CAA" w:rsidRPr="00162CAA" w:rsidRDefault="00162CAA" w:rsidP="00D61479">
      <w:pPr>
        <w:spacing w:before="240" w:after="240"/>
        <w:ind w:left="720" w:hanging="720"/>
      </w:pPr>
      <w:r w:rsidRPr="00162CAA">
        <w:t>(3)</w:t>
      </w:r>
      <w:r w:rsidRPr="00162CAA">
        <w:tab/>
        <w:t xml:space="preserve">Fuel prices may include all </w:t>
      </w:r>
      <w:bookmarkStart w:id="2835" w:name="_Hlk77692128"/>
      <w:r w:rsidRPr="00162CAA">
        <w:t xml:space="preserve">variable </w:t>
      </w:r>
      <w:bookmarkEnd w:id="2835"/>
      <w:r w:rsidRPr="00162CAA">
        <w:t xml:space="preserve">costs associated with the purchase, transportation, and storage of fuel. </w:t>
      </w:r>
    </w:p>
    <w:p w14:paraId="7427335A" w14:textId="77777777" w:rsidR="00162CAA" w:rsidRPr="00162CAA" w:rsidRDefault="00162CAA" w:rsidP="00162CAA">
      <w:pPr>
        <w:spacing w:after="240"/>
        <w:ind w:left="720" w:hanging="720"/>
      </w:pPr>
      <w:r w:rsidRPr="00162CAA">
        <w:t>(4)</w:t>
      </w:r>
      <w:r w:rsidRPr="00162CAA">
        <w:tab/>
        <w:t xml:space="preserve">ERCOT will consider the documentation provided by the QSE in order to determine the weighted average fuel price for a Generation Resource or the average fuel cost for an ESR during an LCAP Effective Period.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64A29" w14:paraId="2708A2FB" w14:textId="77777777" w:rsidTr="00B327B6">
        <w:trPr>
          <w:trHeight w:val="206"/>
        </w:trPr>
        <w:tc>
          <w:tcPr>
            <w:tcW w:w="9350" w:type="dxa"/>
            <w:shd w:val="pct12" w:color="auto" w:fill="auto"/>
          </w:tcPr>
          <w:p w14:paraId="0238E560" w14:textId="6A446D73" w:rsidR="00764A29" w:rsidRDefault="00764A29" w:rsidP="00B327B6">
            <w:pPr>
              <w:pStyle w:val="Instructions"/>
              <w:spacing w:before="120"/>
            </w:pPr>
            <w:r>
              <w:t>[NPRR1216:  Replace paragraph (4) above with the following upon system implementation:]</w:t>
            </w:r>
          </w:p>
          <w:p w14:paraId="3A10869A" w14:textId="3AA34C2B" w:rsidR="00764A29" w:rsidRPr="00072829" w:rsidRDefault="00764A29" w:rsidP="00764A29">
            <w:pPr>
              <w:spacing w:after="240"/>
              <w:ind w:left="720" w:hanging="720"/>
            </w:pPr>
            <w:r w:rsidRPr="00CF7EAF">
              <w:t>(4)</w:t>
            </w:r>
            <w:r w:rsidRPr="00CF7EAF">
              <w:tab/>
              <w:t>ERCOT will consider the documentation provided by the QSE in order to determine the weighted average fuel price for a Generation Resource or the average electricity cost to charge for an ESR during an LCAP or ECAP Effective Period.</w:t>
            </w:r>
          </w:p>
        </w:tc>
      </w:tr>
    </w:tbl>
    <w:p w14:paraId="3546A4B8" w14:textId="77777777" w:rsidR="00764A29" w:rsidRPr="00162CAA" w:rsidRDefault="00162CAA" w:rsidP="00764A29">
      <w:pPr>
        <w:spacing w:before="240" w:after="240"/>
        <w:ind w:left="720" w:hanging="720"/>
      </w:pPr>
      <w:r w:rsidRPr="00162CAA">
        <w:t>(5)</w:t>
      </w:r>
      <w:r w:rsidRPr="00162CAA">
        <w:tab/>
        <w:t xml:space="preserve">For purposes of determining operating losses during an LCAP Effective Period, ERCOT may request additional information, documentation, or clarification from the QSE.  A QSE shall respond to any such request within ten Business Days.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64A29" w14:paraId="2C18F6C5" w14:textId="77777777" w:rsidTr="00B327B6">
        <w:trPr>
          <w:trHeight w:val="206"/>
        </w:trPr>
        <w:tc>
          <w:tcPr>
            <w:tcW w:w="9350" w:type="dxa"/>
            <w:shd w:val="pct12" w:color="auto" w:fill="auto"/>
          </w:tcPr>
          <w:p w14:paraId="7229F61D" w14:textId="3D2745E6" w:rsidR="00764A29" w:rsidRDefault="00764A29" w:rsidP="00B327B6">
            <w:pPr>
              <w:pStyle w:val="Instructions"/>
              <w:spacing w:before="120"/>
            </w:pPr>
            <w:r>
              <w:t>[NPRR1216:  Replace paragraph (5) above with the following upon system implementation:]</w:t>
            </w:r>
          </w:p>
          <w:p w14:paraId="066DD3CA" w14:textId="321EED68" w:rsidR="00764A29" w:rsidRPr="00CF7EAF" w:rsidRDefault="00764A29" w:rsidP="00764A29">
            <w:pPr>
              <w:spacing w:after="240"/>
              <w:ind w:left="720" w:hanging="720"/>
            </w:pPr>
            <w:r w:rsidRPr="00CF7EAF">
              <w:t>(5)</w:t>
            </w:r>
            <w:r w:rsidRPr="00CF7EAF">
              <w:tab/>
              <w:t xml:space="preserve">For purposes of determining operating losses during an LCAP or ECAP Effective Period, ERCOT may request additional information, documentation, or clarification from the QSE.  In addition, if the </w:t>
            </w:r>
            <w:r w:rsidR="00305151">
              <w:t xml:space="preserve">marginal fuel cost </w:t>
            </w:r>
            <w:r w:rsidRPr="00CF7EAF">
              <w:t xml:space="preserve">exceeds the HCAP, ERCOT may require copies of relevant fuel purchase contracts.  A QSE shall respond to any such request within ten Business Days.  Failure to provide such information to ERCOT shall result in denial of the fuel reimbursement request.  </w:t>
            </w:r>
          </w:p>
          <w:p w14:paraId="3E62A494" w14:textId="77777777" w:rsidR="00764A29" w:rsidRPr="00CF7EAF" w:rsidRDefault="00764A29" w:rsidP="00764A29">
            <w:pPr>
              <w:spacing w:after="240"/>
              <w:ind w:left="720" w:hanging="720"/>
            </w:pPr>
            <w:r w:rsidRPr="00CF7EAF">
              <w:t>(6)</w:t>
            </w:r>
            <w:r w:rsidRPr="00CF7EAF">
              <w:tab/>
              <w:t>At ERCOT’s sole discretion, submission and follow-up information deadlines may be extended on a case-by-case basis.</w:t>
            </w:r>
          </w:p>
          <w:p w14:paraId="6950A472" w14:textId="77777777" w:rsidR="00764A29" w:rsidRPr="00CF7EAF" w:rsidRDefault="00764A29" w:rsidP="00764A29">
            <w:pPr>
              <w:spacing w:after="240"/>
              <w:ind w:left="720" w:hanging="720"/>
            </w:pPr>
            <w:bookmarkStart w:id="2836" w:name="_Hlk145407965"/>
            <w:r w:rsidRPr="00CF7EAF">
              <w:lastRenderedPageBreak/>
              <w:t>(7)</w:t>
            </w:r>
            <w:r w:rsidRPr="00CF7EAF">
              <w:tab/>
              <w:t xml:space="preserve">Notwithstanding paragraphs (1) through (5) above: </w:t>
            </w:r>
          </w:p>
          <w:bookmarkEnd w:id="2836"/>
          <w:p w14:paraId="55C18BB8" w14:textId="77777777" w:rsidR="00764A29" w:rsidRPr="00CF7EAF" w:rsidRDefault="00764A29" w:rsidP="00764A29">
            <w:pPr>
              <w:spacing w:after="240"/>
              <w:ind w:left="1440" w:hanging="720"/>
            </w:pPr>
            <w:r w:rsidRPr="00CF7EAF">
              <w:t>(a)</w:t>
            </w:r>
            <w:r w:rsidRPr="00CF7EAF">
              <w:tab/>
              <w:t xml:space="preserve">A QSE representing a Generation Resource cannot submit a dispute to recover the incremental fuel costs incurred under both Section 9.14.7, Disputes for RUC Make-Whole Payment for Fuel Costs, and </w:t>
            </w:r>
            <w:bookmarkStart w:id="2837" w:name="_Hlk156387237"/>
            <w:r w:rsidRPr="00CF7EAF">
              <w:t>Section 6.8.1, Determination of Operating Losses During an LCAP or ECAP Effective Period</w:t>
            </w:r>
            <w:bookmarkEnd w:id="2837"/>
            <w:r w:rsidRPr="00CF7EAF">
              <w:t xml:space="preserve">; and </w:t>
            </w:r>
          </w:p>
          <w:p w14:paraId="4ED3BD7B" w14:textId="6A81D581" w:rsidR="00764A29" w:rsidRPr="00072829" w:rsidRDefault="00764A29" w:rsidP="00764A29">
            <w:pPr>
              <w:spacing w:after="240"/>
              <w:ind w:left="1440" w:hanging="720"/>
            </w:pPr>
            <w:r w:rsidRPr="00CF7EAF">
              <w:t>(b)</w:t>
            </w:r>
            <w:r w:rsidRPr="00CF7EAF">
              <w:tab/>
              <w:t>A QSE representing a Switchable Generation Resource that ERCOT directs to switch to the ERCOT Control Area cannot submit a dispute to recover the same incremental fuel and operations costs under both Section 6.6.12.1, Switchable Generation Make-Whole Payment, and Section 6.8.1, Determination of Operating Losses During an LCAP or ECAP Effective Period.</w:t>
            </w:r>
          </w:p>
        </w:tc>
      </w:tr>
    </w:tbl>
    <w:p w14:paraId="11906CB8" w14:textId="52F8EC2F" w:rsidR="00162CAA" w:rsidRPr="003D3379" w:rsidRDefault="00162CAA" w:rsidP="00764A29">
      <w:pPr>
        <w:spacing w:before="480" w:after="240"/>
        <w:ind w:left="720" w:hanging="720"/>
        <w:rPr>
          <w:i/>
          <w:iCs/>
          <w:snapToGrid w:val="0"/>
        </w:rPr>
      </w:pPr>
      <w:r w:rsidRPr="00162CAA">
        <w:lastRenderedPageBreak/>
        <w:t xml:space="preserve"> </w:t>
      </w:r>
      <w:bookmarkStart w:id="2838" w:name="_Toc60038352"/>
      <w:r w:rsidRPr="003D3379">
        <w:rPr>
          <w:b/>
          <w:bCs/>
          <w:i/>
          <w:iCs/>
          <w:snapToGrid w:val="0"/>
        </w:rPr>
        <w:t>6.8.2</w:t>
      </w:r>
      <w:bookmarkEnd w:id="2838"/>
      <w:r w:rsidR="003D3379">
        <w:rPr>
          <w:b/>
          <w:bCs/>
          <w:i/>
          <w:iCs/>
          <w:snapToGrid w:val="0"/>
        </w:rPr>
        <w:tab/>
      </w:r>
      <w:r w:rsidRPr="003D3379">
        <w:rPr>
          <w:b/>
          <w:i/>
          <w:iCs/>
          <w:snapToGrid w:val="0"/>
        </w:rPr>
        <w:t>Recovery of Operating Losses During an LCAP Effective Period</w:t>
      </w:r>
    </w:p>
    <w:p w14:paraId="6CA794D3" w14:textId="77777777" w:rsidR="00162CAA" w:rsidRPr="00162CAA" w:rsidRDefault="00162CAA" w:rsidP="00162CAA">
      <w:pPr>
        <w:spacing w:after="240"/>
        <w:ind w:left="720" w:hanging="720"/>
      </w:pPr>
      <w:r w:rsidRPr="00162CAA">
        <w:t>(1)</w:t>
      </w:r>
      <w:r w:rsidRPr="00162CAA">
        <w:tab/>
        <w:t>ERCOT shall calculate the recovery of operating losses during an LCAP Effective Period with the actual marginal costs that exceed LCAP revenues in accordance with this Section.</w:t>
      </w:r>
    </w:p>
    <w:p w14:paraId="74055584" w14:textId="77777777" w:rsidR="00162CAA" w:rsidRPr="00162CAA" w:rsidRDefault="00162CAA" w:rsidP="00162CAA">
      <w:pPr>
        <w:spacing w:after="240"/>
        <w:ind w:left="720" w:hanging="720"/>
      </w:pPr>
      <w:r w:rsidRPr="00162CAA">
        <w:t>(2)</w:t>
      </w:r>
      <w:r w:rsidRPr="00162CAA">
        <w:tab/>
        <w:t>The actual marginal cost (AMC) and marginal energy production (MEP) used to calculate operating losses (OPL) for a Combined Cycle Train are the AMC and MEP that correspond to the Combined Cycle Generation Resource, within a Combined Cycle Train, that operates in Real-Time for the 15-minute Settlement Interval.</w:t>
      </w:r>
    </w:p>
    <w:p w14:paraId="0BAE9454" w14:textId="77777777" w:rsidR="00162CAA" w:rsidRPr="00162CAA" w:rsidRDefault="00162CAA" w:rsidP="00162CAA">
      <w:pPr>
        <w:spacing w:before="240" w:after="240"/>
        <w:ind w:left="720" w:hanging="720"/>
        <w:rPr>
          <w:szCs w:val="24"/>
        </w:rPr>
      </w:pPr>
      <w:r w:rsidRPr="00162CAA">
        <w:rPr>
          <w:szCs w:val="24"/>
        </w:rPr>
        <w:t xml:space="preserve">(3)       Payment for operating losses during an LCAP Effective Period is calculated as follows:  </w:t>
      </w:r>
    </w:p>
    <w:p w14:paraId="437D193B" w14:textId="77777777" w:rsidR="00162CAA" w:rsidRPr="003D3379" w:rsidRDefault="00162CAA" w:rsidP="00162CAA">
      <w:pPr>
        <w:spacing w:before="240" w:after="240"/>
        <w:ind w:left="2160" w:hanging="1440"/>
        <w:rPr>
          <w:b/>
          <w:bCs/>
          <w:i/>
          <w:szCs w:val="24"/>
          <w:vertAlign w:val="subscript"/>
        </w:rPr>
      </w:pPr>
      <w:r w:rsidRPr="003D3379">
        <w:rPr>
          <w:b/>
          <w:bCs/>
          <w:szCs w:val="24"/>
        </w:rPr>
        <w:t xml:space="preserve">OPLPAMT </w:t>
      </w:r>
      <w:r w:rsidRPr="003D3379">
        <w:rPr>
          <w:b/>
          <w:bCs/>
          <w:i/>
          <w:szCs w:val="24"/>
          <w:vertAlign w:val="subscript"/>
        </w:rPr>
        <w:t>q, r, i</w:t>
      </w:r>
      <w:r w:rsidRPr="003D3379">
        <w:rPr>
          <w:b/>
          <w:bCs/>
          <w:szCs w:val="24"/>
        </w:rPr>
        <w:t xml:space="preserve">  =  (-1) * (OPL</w:t>
      </w:r>
      <w:r w:rsidRPr="003D3379">
        <w:rPr>
          <w:b/>
          <w:bCs/>
          <w:i/>
          <w:szCs w:val="24"/>
          <w:vertAlign w:val="subscript"/>
        </w:rPr>
        <w:t xml:space="preserve"> q, r, i</w:t>
      </w:r>
      <w:r w:rsidRPr="003D3379">
        <w:rPr>
          <w:b/>
          <w:bCs/>
          <w:szCs w:val="24"/>
        </w:rPr>
        <w:t xml:space="preserve"> + ADJOPL</w:t>
      </w:r>
      <w:r w:rsidRPr="003D3379">
        <w:rPr>
          <w:b/>
          <w:bCs/>
          <w:i/>
          <w:szCs w:val="24"/>
          <w:vertAlign w:val="subscript"/>
        </w:rPr>
        <w:t xml:space="preserve"> q, r, i</w:t>
      </w:r>
      <w:r w:rsidRPr="003D3379">
        <w:rPr>
          <w:b/>
          <w:bCs/>
          <w:szCs w:val="24"/>
        </w:rPr>
        <w:t>)</w:t>
      </w:r>
    </w:p>
    <w:p w14:paraId="313DC78C" w14:textId="77777777" w:rsidR="00162CAA" w:rsidRPr="00162CAA" w:rsidRDefault="00162CAA" w:rsidP="00162CAA">
      <w:pPr>
        <w:spacing w:after="240"/>
        <w:ind w:left="720"/>
        <w:rPr>
          <w:szCs w:val="24"/>
        </w:rPr>
      </w:pPr>
      <w:r w:rsidRPr="00162CAA">
        <w:rPr>
          <w:szCs w:val="24"/>
        </w:rPr>
        <w:t>Where,</w:t>
      </w:r>
    </w:p>
    <w:p w14:paraId="2A1D1AE8" w14:textId="77777777" w:rsidR="00162CAA" w:rsidRPr="00162CAA" w:rsidRDefault="00162CAA" w:rsidP="00162CAA">
      <w:pPr>
        <w:spacing w:after="240"/>
        <w:ind w:left="1440" w:hanging="720"/>
        <w:rPr>
          <w:iCs/>
          <w:szCs w:val="24"/>
        </w:rPr>
      </w:pPr>
      <w:r w:rsidRPr="00162CAA">
        <w:rPr>
          <w:iCs/>
          <w:szCs w:val="24"/>
        </w:rPr>
        <w:t>For the Generation Resource:</w:t>
      </w:r>
    </w:p>
    <w:p w14:paraId="399DEFFA" w14:textId="5C1CE227" w:rsidR="00162CAA" w:rsidRPr="00162CAA" w:rsidRDefault="00162CAA" w:rsidP="00162CAA">
      <w:pPr>
        <w:tabs>
          <w:tab w:val="decimal" w:pos="1440"/>
          <w:tab w:val="left" w:pos="2340"/>
        </w:tabs>
        <w:spacing w:after="240"/>
        <w:ind w:left="3420" w:hanging="1980"/>
        <w:rPr>
          <w:bCs/>
          <w:i/>
          <w:szCs w:val="24"/>
          <w:vertAlign w:val="subscript"/>
        </w:rPr>
      </w:pPr>
      <w:r w:rsidRPr="00162CAA">
        <w:rPr>
          <w:bCs/>
          <w:szCs w:val="24"/>
        </w:rPr>
        <w:t>OPL</w:t>
      </w:r>
      <w:r w:rsidRPr="00162CAA">
        <w:rPr>
          <w:i/>
          <w:szCs w:val="24"/>
          <w:vertAlign w:val="subscript"/>
        </w:rPr>
        <w:t xml:space="preserve"> </w:t>
      </w:r>
      <w:r w:rsidRPr="00162CAA">
        <w:rPr>
          <w:bCs/>
          <w:i/>
          <w:szCs w:val="24"/>
          <w:vertAlign w:val="subscript"/>
        </w:rPr>
        <w:t>q, r,</w:t>
      </w:r>
      <w:r w:rsidR="00786744">
        <w:rPr>
          <w:bCs/>
          <w:i/>
          <w:szCs w:val="24"/>
          <w:vertAlign w:val="subscript"/>
        </w:rPr>
        <w:t xml:space="preserve"> </w:t>
      </w:r>
      <w:r w:rsidRPr="00162CAA">
        <w:rPr>
          <w:bCs/>
          <w:i/>
          <w:szCs w:val="24"/>
          <w:vertAlign w:val="subscript"/>
        </w:rPr>
        <w:t xml:space="preserve">i           </w:t>
      </w:r>
      <w:r w:rsidRPr="00162CAA">
        <w:rPr>
          <w:bCs/>
          <w:szCs w:val="24"/>
        </w:rPr>
        <w:t xml:space="preserve">  = </w:t>
      </w:r>
      <w:r w:rsidRPr="00162CAA">
        <w:rPr>
          <w:bCs/>
          <w:szCs w:val="24"/>
        </w:rPr>
        <w:tab/>
        <w:t xml:space="preserve">Max(0, (AMC </w:t>
      </w:r>
      <w:r w:rsidRPr="00162CAA">
        <w:rPr>
          <w:bCs/>
          <w:i/>
          <w:szCs w:val="24"/>
          <w:vertAlign w:val="subscript"/>
        </w:rPr>
        <w:t>q, r, i</w:t>
      </w:r>
      <w:r w:rsidRPr="00162CAA">
        <w:rPr>
          <w:bCs/>
          <w:szCs w:val="24"/>
        </w:rPr>
        <w:t xml:space="preserve"> - Max(LCAP, RTSPP</w:t>
      </w:r>
      <w:r w:rsidRPr="00162CAA">
        <w:rPr>
          <w:szCs w:val="24"/>
        </w:rPr>
        <w:t xml:space="preserve"> </w:t>
      </w:r>
      <w:r w:rsidRPr="00162CAA">
        <w:rPr>
          <w:i/>
          <w:szCs w:val="24"/>
          <w:vertAlign w:val="subscript"/>
        </w:rPr>
        <w:t>p, i</w:t>
      </w:r>
      <w:r w:rsidRPr="00162CAA">
        <w:rPr>
          <w:bCs/>
          <w:szCs w:val="24"/>
        </w:rPr>
        <w:t>)) *</w:t>
      </w:r>
      <w:r w:rsidRPr="00162CAA">
        <w:rPr>
          <w:szCs w:val="24"/>
        </w:rPr>
        <w:t xml:space="preserve"> Min(</w:t>
      </w:r>
      <w:r w:rsidRPr="00162CAA">
        <w:rPr>
          <w:bCs/>
          <w:szCs w:val="24"/>
        </w:rPr>
        <w:t xml:space="preserve">RTMG </w:t>
      </w:r>
      <w:r w:rsidRPr="00162CAA">
        <w:rPr>
          <w:bCs/>
          <w:i/>
          <w:szCs w:val="24"/>
          <w:vertAlign w:val="subscript"/>
        </w:rPr>
        <w:t>q, r, i</w:t>
      </w:r>
      <w:r w:rsidRPr="00162CAA">
        <w:rPr>
          <w:szCs w:val="24"/>
        </w:rPr>
        <w:t>, MEP</w:t>
      </w:r>
      <w:r w:rsidRPr="00162CAA">
        <w:rPr>
          <w:bCs/>
          <w:i/>
          <w:szCs w:val="24"/>
          <w:vertAlign w:val="subscript"/>
        </w:rPr>
        <w:t xml:space="preserve"> q, r, i</w:t>
      </w:r>
      <w:r w:rsidRPr="00162CAA">
        <w:rPr>
          <w:bCs/>
          <w:szCs w:val="24"/>
        </w:rPr>
        <w:t xml:space="preserve">))  </w:t>
      </w:r>
    </w:p>
    <w:p w14:paraId="7B0C1E69" w14:textId="77777777" w:rsidR="00162CAA" w:rsidRPr="00162CAA" w:rsidRDefault="00162CAA" w:rsidP="00162CAA">
      <w:pPr>
        <w:spacing w:after="240"/>
        <w:ind w:firstLine="720"/>
        <w:rPr>
          <w:iCs/>
          <w:szCs w:val="24"/>
        </w:rPr>
      </w:pPr>
      <w:r w:rsidRPr="00162CAA">
        <w:rPr>
          <w:iCs/>
          <w:szCs w:val="24"/>
        </w:rPr>
        <w:t>If ERCOT approved verifiable costs for the Generation Resource:</w:t>
      </w:r>
    </w:p>
    <w:p w14:paraId="1AF7A51F" w14:textId="77777777" w:rsidR="00162CAA" w:rsidRPr="00162CAA" w:rsidRDefault="00162CAA" w:rsidP="00162CAA">
      <w:pPr>
        <w:tabs>
          <w:tab w:val="left" w:pos="2340"/>
          <w:tab w:val="left" w:pos="3420"/>
        </w:tabs>
        <w:spacing w:after="240"/>
        <w:ind w:left="720"/>
        <w:rPr>
          <w:bCs/>
          <w:iCs/>
          <w:szCs w:val="24"/>
        </w:rPr>
      </w:pPr>
      <w:r w:rsidRPr="00162CAA">
        <w:rPr>
          <w:bCs/>
          <w:iCs/>
          <w:szCs w:val="24"/>
        </w:rPr>
        <w:t xml:space="preserve">          AMC </w:t>
      </w:r>
      <w:r w:rsidRPr="00162CAA">
        <w:rPr>
          <w:bCs/>
          <w:i/>
          <w:szCs w:val="24"/>
          <w:vertAlign w:val="subscript"/>
        </w:rPr>
        <w:t>q, r, i</w:t>
      </w:r>
      <w:r w:rsidRPr="00162CAA">
        <w:rPr>
          <w:bCs/>
          <w:iCs/>
          <w:szCs w:val="24"/>
        </w:rPr>
        <w:t xml:space="preserve">    =        AHR </w:t>
      </w:r>
      <w:r w:rsidRPr="00162CAA">
        <w:rPr>
          <w:bCs/>
          <w:i/>
          <w:szCs w:val="24"/>
          <w:vertAlign w:val="subscript"/>
        </w:rPr>
        <w:t>q, r, i</w:t>
      </w:r>
      <w:r w:rsidRPr="00162CAA">
        <w:rPr>
          <w:bCs/>
          <w:iCs/>
          <w:szCs w:val="24"/>
        </w:rPr>
        <w:t xml:space="preserve"> * WAFP </w:t>
      </w:r>
      <w:r w:rsidRPr="00162CAA">
        <w:rPr>
          <w:bCs/>
          <w:i/>
          <w:szCs w:val="24"/>
          <w:vertAlign w:val="subscript"/>
        </w:rPr>
        <w:t>q, r, i</w:t>
      </w:r>
      <w:r w:rsidRPr="00162CAA">
        <w:rPr>
          <w:bCs/>
          <w:iCs/>
          <w:szCs w:val="24"/>
        </w:rPr>
        <w:t xml:space="preserve">  + ROM </w:t>
      </w:r>
      <w:r w:rsidRPr="00162CAA">
        <w:rPr>
          <w:bCs/>
          <w:i/>
          <w:szCs w:val="24"/>
          <w:vertAlign w:val="subscript"/>
        </w:rPr>
        <w:t>q, r</w:t>
      </w:r>
      <w:r w:rsidRPr="00162CAA">
        <w:rPr>
          <w:bCs/>
          <w:iCs/>
          <w:szCs w:val="24"/>
        </w:rPr>
        <w:t xml:space="preserve">   </w:t>
      </w:r>
    </w:p>
    <w:p w14:paraId="29865D38" w14:textId="77777777" w:rsidR="00162CAA" w:rsidRPr="00162CAA" w:rsidRDefault="00162CAA" w:rsidP="00162CAA">
      <w:pPr>
        <w:tabs>
          <w:tab w:val="left" w:pos="2340"/>
          <w:tab w:val="left" w:pos="3420"/>
        </w:tabs>
        <w:spacing w:after="240"/>
        <w:ind w:left="720"/>
        <w:rPr>
          <w:bCs/>
          <w:iCs/>
          <w:szCs w:val="24"/>
        </w:rPr>
      </w:pPr>
      <w:r w:rsidRPr="00162CAA">
        <w:rPr>
          <w:szCs w:val="24"/>
        </w:rPr>
        <w:t xml:space="preserve">          MEP</w:t>
      </w:r>
      <w:r w:rsidRPr="00162CAA">
        <w:rPr>
          <w:bCs/>
          <w:i/>
          <w:szCs w:val="24"/>
          <w:vertAlign w:val="subscript"/>
        </w:rPr>
        <w:t xml:space="preserve"> q, r, i</w:t>
      </w:r>
      <w:r w:rsidRPr="00162CAA">
        <w:rPr>
          <w:bCs/>
          <w:szCs w:val="24"/>
        </w:rPr>
        <w:tab/>
        <w:t xml:space="preserve">  =       AMF</w:t>
      </w:r>
      <w:r w:rsidRPr="00162CAA">
        <w:rPr>
          <w:bCs/>
          <w:i/>
          <w:szCs w:val="24"/>
          <w:vertAlign w:val="subscript"/>
          <w:lang w:val="es-ES"/>
        </w:rPr>
        <w:t xml:space="preserve"> q, r, i</w:t>
      </w:r>
      <w:r w:rsidRPr="00162CAA">
        <w:rPr>
          <w:bCs/>
          <w:szCs w:val="24"/>
        </w:rPr>
        <w:t xml:space="preserve"> / AHR </w:t>
      </w:r>
      <w:r w:rsidRPr="00162CAA">
        <w:rPr>
          <w:bCs/>
          <w:i/>
          <w:szCs w:val="24"/>
          <w:vertAlign w:val="subscript"/>
          <w:lang w:val="es-ES"/>
        </w:rPr>
        <w:t xml:space="preserve">q, r, i </w:t>
      </w:r>
    </w:p>
    <w:p w14:paraId="22B307B6" w14:textId="77777777" w:rsidR="00162CAA" w:rsidRPr="00162CAA" w:rsidRDefault="00162CAA" w:rsidP="00162CAA">
      <w:pPr>
        <w:tabs>
          <w:tab w:val="left" w:pos="2340"/>
          <w:tab w:val="left" w:pos="3420"/>
        </w:tabs>
        <w:spacing w:after="240"/>
        <w:ind w:left="720"/>
        <w:rPr>
          <w:bCs/>
          <w:iCs/>
          <w:szCs w:val="24"/>
        </w:rPr>
      </w:pPr>
      <w:r w:rsidRPr="00162CAA">
        <w:rPr>
          <w:bCs/>
          <w:iCs/>
          <w:szCs w:val="24"/>
        </w:rPr>
        <w:t xml:space="preserve">Otherwise, </w:t>
      </w:r>
    </w:p>
    <w:p w14:paraId="493B86D7" w14:textId="77777777" w:rsidR="00162CAA" w:rsidRPr="00162CAA" w:rsidRDefault="00162CAA" w:rsidP="00162CAA">
      <w:pPr>
        <w:tabs>
          <w:tab w:val="decimal" w:pos="1440"/>
          <w:tab w:val="left" w:pos="2340"/>
        </w:tabs>
        <w:spacing w:after="240"/>
        <w:ind w:left="3420" w:hanging="1980"/>
        <w:rPr>
          <w:bCs/>
          <w:szCs w:val="24"/>
        </w:rPr>
      </w:pPr>
      <w:r w:rsidRPr="00162CAA">
        <w:rPr>
          <w:bCs/>
          <w:szCs w:val="24"/>
        </w:rPr>
        <w:t xml:space="preserve">AMC </w:t>
      </w:r>
      <w:r w:rsidRPr="00162CAA">
        <w:rPr>
          <w:bCs/>
          <w:i/>
          <w:szCs w:val="24"/>
          <w:vertAlign w:val="subscript"/>
        </w:rPr>
        <w:t xml:space="preserve">q, r, i   </w:t>
      </w:r>
      <w:r w:rsidRPr="00162CAA">
        <w:rPr>
          <w:bCs/>
          <w:szCs w:val="24"/>
        </w:rPr>
        <w:t xml:space="preserve"> = </w:t>
      </w:r>
      <w:r w:rsidRPr="00162CAA">
        <w:rPr>
          <w:bCs/>
          <w:szCs w:val="24"/>
        </w:rPr>
        <w:tab/>
        <w:t xml:space="preserve"> P</w:t>
      </w:r>
      <w:r w:rsidRPr="00162CAA">
        <w:rPr>
          <w:bCs/>
          <w:szCs w:val="24"/>
          <w:lang w:val="pt-BR"/>
        </w:rPr>
        <w:t xml:space="preserve">AHR </w:t>
      </w:r>
      <w:r w:rsidRPr="00162CAA">
        <w:rPr>
          <w:bCs/>
          <w:i/>
          <w:szCs w:val="24"/>
          <w:vertAlign w:val="subscript"/>
          <w:lang w:val="es-ES"/>
        </w:rPr>
        <w:t>q, r, i</w:t>
      </w:r>
      <w:r w:rsidRPr="00162CAA">
        <w:rPr>
          <w:bCs/>
          <w:szCs w:val="24"/>
          <w:lang w:val="es-ES"/>
        </w:rPr>
        <w:t xml:space="preserve"> </w:t>
      </w:r>
      <w:r w:rsidRPr="00162CAA">
        <w:rPr>
          <w:bCs/>
          <w:szCs w:val="24"/>
        </w:rPr>
        <w:t xml:space="preserve">* </w:t>
      </w:r>
      <w:r w:rsidRPr="00162CAA">
        <w:rPr>
          <w:szCs w:val="24"/>
        </w:rPr>
        <w:t>WAFP</w:t>
      </w:r>
      <w:r w:rsidRPr="00162CAA">
        <w:rPr>
          <w:i/>
          <w:szCs w:val="24"/>
        </w:rPr>
        <w:t xml:space="preserve"> </w:t>
      </w:r>
      <w:r w:rsidRPr="00162CAA">
        <w:rPr>
          <w:bCs/>
          <w:i/>
          <w:szCs w:val="24"/>
          <w:vertAlign w:val="subscript"/>
          <w:lang w:val="es-ES"/>
        </w:rPr>
        <w:t xml:space="preserve">q, r, i </w:t>
      </w:r>
      <w:r w:rsidRPr="00162CAA">
        <w:rPr>
          <w:i/>
          <w:szCs w:val="24"/>
          <w:vertAlign w:val="subscript"/>
          <w:lang w:val="es-ES"/>
        </w:rPr>
        <w:t xml:space="preserve"> </w:t>
      </w:r>
      <w:r w:rsidRPr="00162CAA">
        <w:rPr>
          <w:bCs/>
          <w:szCs w:val="24"/>
        </w:rPr>
        <w:t xml:space="preserve">+ STOM </w:t>
      </w:r>
      <w:r w:rsidRPr="00162CAA">
        <w:rPr>
          <w:bCs/>
          <w:i/>
          <w:szCs w:val="24"/>
          <w:vertAlign w:val="subscript"/>
        </w:rPr>
        <w:t>rc</w:t>
      </w:r>
      <w:r w:rsidRPr="00162CAA">
        <w:rPr>
          <w:bCs/>
          <w:szCs w:val="24"/>
        </w:rPr>
        <w:t xml:space="preserve">    </w:t>
      </w:r>
    </w:p>
    <w:p w14:paraId="0BB0C904" w14:textId="77777777" w:rsidR="00162CAA" w:rsidRPr="00162CAA" w:rsidRDefault="00162CAA" w:rsidP="00162CAA">
      <w:pPr>
        <w:tabs>
          <w:tab w:val="decimal" w:pos="1440"/>
          <w:tab w:val="left" w:pos="2340"/>
        </w:tabs>
        <w:spacing w:after="240"/>
        <w:ind w:left="3420" w:hanging="1980"/>
        <w:rPr>
          <w:bCs/>
          <w:szCs w:val="24"/>
        </w:rPr>
      </w:pPr>
      <w:r w:rsidRPr="00162CAA">
        <w:rPr>
          <w:szCs w:val="24"/>
        </w:rPr>
        <w:t>MEP</w:t>
      </w:r>
      <w:r w:rsidRPr="00162CAA">
        <w:rPr>
          <w:bCs/>
          <w:i/>
          <w:szCs w:val="24"/>
          <w:vertAlign w:val="subscript"/>
        </w:rPr>
        <w:t xml:space="preserve"> q, r, i</w:t>
      </w:r>
      <w:r w:rsidRPr="00162CAA">
        <w:rPr>
          <w:bCs/>
          <w:szCs w:val="24"/>
        </w:rPr>
        <w:tab/>
        <w:t xml:space="preserve">        =       AMF</w:t>
      </w:r>
      <w:r w:rsidRPr="00162CAA">
        <w:rPr>
          <w:bCs/>
          <w:i/>
          <w:szCs w:val="24"/>
          <w:vertAlign w:val="subscript"/>
          <w:lang w:val="es-ES"/>
        </w:rPr>
        <w:t xml:space="preserve"> q, r, i</w:t>
      </w:r>
      <w:r w:rsidRPr="00162CAA">
        <w:rPr>
          <w:bCs/>
          <w:szCs w:val="24"/>
        </w:rPr>
        <w:t xml:space="preserve"> / PAHR </w:t>
      </w:r>
      <w:r w:rsidRPr="00162CAA">
        <w:rPr>
          <w:bCs/>
          <w:i/>
          <w:szCs w:val="24"/>
          <w:vertAlign w:val="subscript"/>
          <w:lang w:val="es-ES"/>
        </w:rPr>
        <w:t xml:space="preserve">q, r, i </w:t>
      </w:r>
    </w:p>
    <w:p w14:paraId="181C48F1" w14:textId="77777777" w:rsidR="00162CAA" w:rsidRPr="00162CAA" w:rsidRDefault="00162CAA" w:rsidP="00162CAA">
      <w:pPr>
        <w:tabs>
          <w:tab w:val="left" w:pos="2340"/>
          <w:tab w:val="left" w:pos="3420"/>
        </w:tabs>
        <w:spacing w:after="240"/>
        <w:ind w:left="720"/>
        <w:rPr>
          <w:bCs/>
          <w:iCs/>
          <w:szCs w:val="24"/>
        </w:rPr>
      </w:pPr>
      <w:r w:rsidRPr="00162CAA">
        <w:rPr>
          <w:bCs/>
          <w:iCs/>
          <w:szCs w:val="24"/>
        </w:rPr>
        <w:lastRenderedPageBreak/>
        <w:t>For ESRs:</w:t>
      </w:r>
    </w:p>
    <w:p w14:paraId="1026F8A8" w14:textId="3E3F3DBE" w:rsidR="00162CAA" w:rsidRPr="00162CAA" w:rsidRDefault="00162CAA" w:rsidP="00162CAA">
      <w:pPr>
        <w:tabs>
          <w:tab w:val="left" w:pos="2340"/>
        </w:tabs>
        <w:spacing w:after="240"/>
        <w:ind w:left="3420" w:hanging="1980"/>
        <w:rPr>
          <w:bCs/>
          <w:i/>
          <w:szCs w:val="24"/>
          <w:vertAlign w:val="subscript"/>
        </w:rPr>
      </w:pPr>
      <w:r w:rsidRPr="00162CAA">
        <w:rPr>
          <w:bCs/>
          <w:szCs w:val="24"/>
        </w:rPr>
        <w:t xml:space="preserve">OPL </w:t>
      </w:r>
      <w:r w:rsidRPr="00162CAA">
        <w:rPr>
          <w:bCs/>
          <w:i/>
          <w:szCs w:val="24"/>
          <w:vertAlign w:val="subscript"/>
        </w:rPr>
        <w:t xml:space="preserve">q, r, i </w:t>
      </w:r>
      <w:r w:rsidRPr="00162CAA">
        <w:rPr>
          <w:bCs/>
          <w:szCs w:val="24"/>
        </w:rPr>
        <w:t xml:space="preserve">        = </w:t>
      </w:r>
      <w:r w:rsidRPr="00162CAA">
        <w:rPr>
          <w:bCs/>
          <w:szCs w:val="24"/>
        </w:rPr>
        <w:tab/>
        <w:t xml:space="preserve">Max(0, (AMC </w:t>
      </w:r>
      <w:r w:rsidRPr="00162CAA">
        <w:rPr>
          <w:bCs/>
          <w:i/>
          <w:szCs w:val="24"/>
          <w:vertAlign w:val="subscript"/>
        </w:rPr>
        <w:t xml:space="preserve">q, r, i </w:t>
      </w:r>
      <w:r w:rsidRPr="00162CAA">
        <w:rPr>
          <w:bCs/>
          <w:szCs w:val="24"/>
        </w:rPr>
        <w:t>- Max(LCAP, RTSPP</w:t>
      </w:r>
      <w:r w:rsidRPr="00162CAA">
        <w:rPr>
          <w:i/>
          <w:szCs w:val="24"/>
          <w:vertAlign w:val="subscript"/>
        </w:rPr>
        <w:t xml:space="preserve"> p, i</w:t>
      </w:r>
      <w:r w:rsidRPr="00162CAA">
        <w:rPr>
          <w:bCs/>
          <w:szCs w:val="24"/>
        </w:rPr>
        <w:t xml:space="preserve">)) * RTMG </w:t>
      </w:r>
      <w:r w:rsidRPr="00162CAA">
        <w:rPr>
          <w:bCs/>
          <w:i/>
          <w:szCs w:val="24"/>
          <w:vertAlign w:val="subscript"/>
        </w:rPr>
        <w:t>q, r, i</w:t>
      </w:r>
      <w:r w:rsidRPr="00162CAA">
        <w:rPr>
          <w:bCs/>
          <w:szCs w:val="24"/>
        </w:rPr>
        <w:t>)</w:t>
      </w:r>
    </w:p>
    <w:p w14:paraId="421DF3DD" w14:textId="77777777" w:rsidR="00162CAA" w:rsidRPr="00162CAA" w:rsidRDefault="00162CAA" w:rsidP="00162CAA">
      <w:pPr>
        <w:tabs>
          <w:tab w:val="left" w:pos="2340"/>
          <w:tab w:val="left" w:pos="3420"/>
        </w:tabs>
        <w:spacing w:after="240"/>
        <w:ind w:left="720"/>
        <w:rPr>
          <w:bCs/>
          <w:iCs/>
          <w:szCs w:val="24"/>
        </w:rPr>
      </w:pPr>
      <w:r w:rsidRPr="00162CAA">
        <w:rPr>
          <w:bCs/>
          <w:iCs/>
          <w:szCs w:val="24"/>
        </w:rPr>
        <w:t>Where,</w:t>
      </w:r>
    </w:p>
    <w:p w14:paraId="12212CEB" w14:textId="77777777" w:rsidR="00162CAA" w:rsidRPr="00162CAA" w:rsidRDefault="00162CAA" w:rsidP="00162CAA">
      <w:pPr>
        <w:tabs>
          <w:tab w:val="decimal" w:pos="1440"/>
          <w:tab w:val="left" w:pos="2340"/>
        </w:tabs>
        <w:spacing w:after="240"/>
        <w:ind w:left="3420" w:hanging="1980"/>
        <w:rPr>
          <w:bCs/>
          <w:i/>
          <w:szCs w:val="24"/>
          <w:vertAlign w:val="subscript"/>
        </w:rPr>
      </w:pPr>
      <w:r w:rsidRPr="00162CAA">
        <w:rPr>
          <w:bCs/>
          <w:szCs w:val="24"/>
        </w:rPr>
        <w:t xml:space="preserve">AMC </w:t>
      </w:r>
      <w:r w:rsidRPr="00162CAA">
        <w:rPr>
          <w:bCs/>
          <w:i/>
          <w:szCs w:val="24"/>
          <w:vertAlign w:val="subscript"/>
        </w:rPr>
        <w:t xml:space="preserve">q, r, i    </w:t>
      </w:r>
      <w:r w:rsidRPr="00162CAA">
        <w:rPr>
          <w:bCs/>
          <w:szCs w:val="24"/>
        </w:rPr>
        <w:t xml:space="preserve"> = </w:t>
      </w:r>
      <w:r w:rsidRPr="00162CAA">
        <w:rPr>
          <w:bCs/>
          <w:szCs w:val="24"/>
        </w:rPr>
        <w:tab/>
        <w:t>A</w:t>
      </w:r>
      <w:r w:rsidRPr="00162CAA">
        <w:rPr>
          <w:szCs w:val="24"/>
        </w:rPr>
        <w:t>FC</w:t>
      </w:r>
      <w:r w:rsidRPr="00162CAA">
        <w:rPr>
          <w:bCs/>
          <w:i/>
          <w:szCs w:val="24"/>
          <w:vertAlign w:val="subscript"/>
          <w:lang w:val="es-ES"/>
        </w:rPr>
        <w:t xml:space="preserve"> q, r, i</w:t>
      </w:r>
      <w:r w:rsidRPr="00162CAA">
        <w:rPr>
          <w:i/>
          <w:szCs w:val="24"/>
          <w:vertAlign w:val="subscript"/>
          <w:lang w:val="es-ES"/>
        </w:rPr>
        <w:t xml:space="preserve"> </w:t>
      </w:r>
      <w:r w:rsidRPr="00162CAA">
        <w:rPr>
          <w:bCs/>
          <w:szCs w:val="24"/>
        </w:rPr>
        <w:t xml:space="preserve">+ STOM </w:t>
      </w:r>
      <w:r w:rsidRPr="00162CAA">
        <w:rPr>
          <w:bCs/>
          <w:i/>
          <w:szCs w:val="24"/>
          <w:vertAlign w:val="subscript"/>
        </w:rPr>
        <w:t>rc</w:t>
      </w:r>
      <w:r w:rsidRPr="00162CAA">
        <w:rPr>
          <w:bCs/>
          <w:szCs w:val="24"/>
        </w:rPr>
        <w:t xml:space="preserve">    </w:t>
      </w:r>
    </w:p>
    <w:p w14:paraId="1DC4FFBA" w14:textId="77777777" w:rsidR="00162CAA" w:rsidRPr="00162CAA" w:rsidRDefault="00162CAA" w:rsidP="00162CAA">
      <w:pPr>
        <w:rPr>
          <w:szCs w:val="24"/>
        </w:rPr>
      </w:pPr>
      <w:r w:rsidRPr="00162CAA">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5"/>
        <w:gridCol w:w="1135"/>
        <w:gridCol w:w="6330"/>
      </w:tblGrid>
      <w:tr w:rsidR="00162CAA" w:rsidRPr="00162CAA" w14:paraId="5F2D635D" w14:textId="77777777" w:rsidTr="00890B99">
        <w:trPr>
          <w:cantSplit/>
          <w:trHeight w:val="359"/>
          <w:tblHeader/>
        </w:trPr>
        <w:tc>
          <w:tcPr>
            <w:tcW w:w="1008" w:type="pct"/>
            <w:tcBorders>
              <w:top w:val="single" w:sz="4" w:space="0" w:color="auto"/>
              <w:left w:val="single" w:sz="4" w:space="0" w:color="auto"/>
              <w:bottom w:val="single" w:sz="6" w:space="0" w:color="auto"/>
              <w:right w:val="single" w:sz="6" w:space="0" w:color="auto"/>
            </w:tcBorders>
            <w:hideMark/>
          </w:tcPr>
          <w:p w14:paraId="29933992" w14:textId="77777777" w:rsidR="00162CAA" w:rsidRPr="00162CAA" w:rsidRDefault="00162CAA" w:rsidP="00162CAA">
            <w:pPr>
              <w:spacing w:after="240"/>
              <w:rPr>
                <w:b/>
                <w:iCs/>
                <w:sz w:val="20"/>
                <w:szCs w:val="24"/>
              </w:rPr>
            </w:pPr>
            <w:r w:rsidRPr="00162CAA">
              <w:rPr>
                <w:b/>
                <w:iCs/>
                <w:sz w:val="20"/>
                <w:szCs w:val="24"/>
              </w:rPr>
              <w:t>Variable</w:t>
            </w:r>
          </w:p>
        </w:tc>
        <w:tc>
          <w:tcPr>
            <w:tcW w:w="607" w:type="pct"/>
            <w:tcBorders>
              <w:top w:val="single" w:sz="4" w:space="0" w:color="auto"/>
              <w:left w:val="single" w:sz="6" w:space="0" w:color="auto"/>
              <w:bottom w:val="single" w:sz="6" w:space="0" w:color="auto"/>
              <w:right w:val="single" w:sz="6" w:space="0" w:color="auto"/>
            </w:tcBorders>
            <w:hideMark/>
          </w:tcPr>
          <w:p w14:paraId="101455F5" w14:textId="77777777" w:rsidR="00162CAA" w:rsidRPr="00162CAA" w:rsidRDefault="00162CAA" w:rsidP="00162CAA">
            <w:pPr>
              <w:spacing w:after="240"/>
              <w:jc w:val="center"/>
              <w:rPr>
                <w:b/>
                <w:iCs/>
                <w:sz w:val="20"/>
                <w:szCs w:val="24"/>
              </w:rPr>
            </w:pPr>
            <w:r w:rsidRPr="00162CAA">
              <w:rPr>
                <w:b/>
                <w:iCs/>
                <w:sz w:val="20"/>
                <w:szCs w:val="24"/>
              </w:rPr>
              <w:t>Unit</w:t>
            </w:r>
          </w:p>
        </w:tc>
        <w:tc>
          <w:tcPr>
            <w:tcW w:w="3385" w:type="pct"/>
            <w:tcBorders>
              <w:top w:val="single" w:sz="4" w:space="0" w:color="auto"/>
              <w:left w:val="single" w:sz="6" w:space="0" w:color="auto"/>
              <w:bottom w:val="single" w:sz="6" w:space="0" w:color="auto"/>
              <w:right w:val="single" w:sz="4" w:space="0" w:color="auto"/>
            </w:tcBorders>
            <w:hideMark/>
          </w:tcPr>
          <w:p w14:paraId="77324927" w14:textId="77777777" w:rsidR="00162CAA" w:rsidRPr="00162CAA" w:rsidRDefault="00162CAA" w:rsidP="00162CAA">
            <w:pPr>
              <w:spacing w:after="240"/>
              <w:rPr>
                <w:b/>
                <w:iCs/>
                <w:sz w:val="20"/>
                <w:szCs w:val="24"/>
              </w:rPr>
            </w:pPr>
            <w:r w:rsidRPr="00162CAA">
              <w:rPr>
                <w:b/>
                <w:iCs/>
                <w:sz w:val="20"/>
                <w:szCs w:val="24"/>
              </w:rPr>
              <w:t>Definition</w:t>
            </w:r>
          </w:p>
        </w:tc>
      </w:tr>
      <w:tr w:rsidR="00162CAA" w:rsidRPr="00162CAA" w14:paraId="6DE41FB8"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B49CCE9" w14:textId="77777777" w:rsidR="00162CAA" w:rsidRPr="00162CAA" w:rsidRDefault="00162CAA" w:rsidP="00162CAA">
            <w:pPr>
              <w:spacing w:after="60"/>
              <w:rPr>
                <w:iCs/>
                <w:sz w:val="20"/>
                <w:szCs w:val="24"/>
              </w:rPr>
            </w:pPr>
            <w:r w:rsidRPr="00162CAA">
              <w:rPr>
                <w:iCs/>
                <w:sz w:val="20"/>
                <w:szCs w:val="24"/>
              </w:rPr>
              <w:t xml:space="preserve">OPLPAMT </w:t>
            </w:r>
            <w:r w:rsidRPr="00162CAA">
              <w:rPr>
                <w:i/>
                <w:iCs/>
                <w:sz w:val="20"/>
                <w:szCs w:val="24"/>
                <w:vertAlign w:val="subscript"/>
              </w:rPr>
              <w:t>q, r, i</w:t>
            </w:r>
            <w:r w:rsidRPr="00162CAA">
              <w:rPr>
                <w:b/>
                <w:iCs/>
                <w:sz w:val="20"/>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0946F697" w14:textId="77777777" w:rsidR="00162CAA" w:rsidRPr="00162CAA" w:rsidRDefault="00162CAA" w:rsidP="00162CAA">
            <w:pPr>
              <w:spacing w:after="60"/>
              <w:rPr>
                <w:iCs/>
                <w:sz w:val="20"/>
                <w:szCs w:val="24"/>
              </w:rPr>
            </w:pPr>
            <w:r w:rsidRPr="00162CAA">
              <w:rPr>
                <w:iCs/>
                <w:sz w:val="20"/>
                <w:szCs w:val="24"/>
              </w:rPr>
              <w:t>$</w:t>
            </w:r>
          </w:p>
        </w:tc>
        <w:tc>
          <w:tcPr>
            <w:tcW w:w="3385" w:type="pct"/>
            <w:tcBorders>
              <w:top w:val="single" w:sz="6" w:space="0" w:color="auto"/>
              <w:left w:val="single" w:sz="6" w:space="0" w:color="auto"/>
              <w:bottom w:val="single" w:sz="6" w:space="0" w:color="auto"/>
              <w:right w:val="single" w:sz="4" w:space="0" w:color="auto"/>
            </w:tcBorders>
            <w:hideMark/>
          </w:tcPr>
          <w:p w14:paraId="026EC0B9" w14:textId="77777777" w:rsidR="00162CAA" w:rsidRPr="00162CAA" w:rsidRDefault="00162CAA" w:rsidP="00162CAA">
            <w:pPr>
              <w:spacing w:after="60"/>
              <w:rPr>
                <w:iCs/>
                <w:sz w:val="20"/>
                <w:szCs w:val="24"/>
              </w:rPr>
            </w:pPr>
            <w:r w:rsidRPr="00162CAA">
              <w:rPr>
                <w:i/>
                <w:iCs/>
                <w:sz w:val="20"/>
                <w:szCs w:val="24"/>
              </w:rPr>
              <w:t>Operating Losses Payment Amount –</w:t>
            </w:r>
            <w:r w:rsidRPr="00162CAA">
              <w:rPr>
                <w:iCs/>
                <w:sz w:val="20"/>
                <w:szCs w:val="24"/>
              </w:rPr>
              <w:t xml:space="preserve"> The operating losses payment to the QSE </w:t>
            </w:r>
            <w:r w:rsidRPr="00162CAA">
              <w:rPr>
                <w:i/>
                <w:iCs/>
                <w:sz w:val="20"/>
                <w:szCs w:val="24"/>
              </w:rPr>
              <w:t>q,</w:t>
            </w:r>
            <w:r w:rsidRPr="00162CAA">
              <w:rPr>
                <w:iCs/>
                <w:sz w:val="20"/>
                <w:szCs w:val="24"/>
              </w:rPr>
              <w:t xml:space="preserve"> for Resource </w:t>
            </w:r>
            <w:r w:rsidRPr="00162CAA">
              <w:rPr>
                <w:i/>
                <w:iCs/>
                <w:sz w:val="20"/>
                <w:szCs w:val="24"/>
              </w:rPr>
              <w:t>r</w:t>
            </w:r>
            <w:r w:rsidRPr="00162CAA">
              <w:rPr>
                <w:iCs/>
                <w:sz w:val="20"/>
                <w:szCs w:val="24"/>
              </w:rPr>
              <w:t xml:space="preserve">, 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iCs/>
                <w:sz w:val="20"/>
                <w:szCs w:val="24"/>
              </w:rPr>
              <w:t xml:space="preserve">r </w:t>
            </w:r>
            <w:r w:rsidRPr="00162CAA">
              <w:rPr>
                <w:iCs/>
                <w:sz w:val="20"/>
                <w:szCs w:val="24"/>
              </w:rPr>
              <w:t>is the Combined Cycle Train.</w:t>
            </w:r>
          </w:p>
        </w:tc>
      </w:tr>
      <w:tr w:rsidR="00162CAA" w:rsidRPr="00162CAA" w14:paraId="3EB6A42B"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3A1BD9F" w14:textId="77777777" w:rsidR="00162CAA" w:rsidRPr="00162CAA" w:rsidRDefault="00162CAA" w:rsidP="00162CAA">
            <w:pPr>
              <w:spacing w:after="60"/>
              <w:rPr>
                <w:sz w:val="20"/>
                <w:szCs w:val="24"/>
              </w:rPr>
            </w:pPr>
            <w:r w:rsidRPr="00162CAA">
              <w:rPr>
                <w:sz w:val="20"/>
                <w:szCs w:val="24"/>
              </w:rPr>
              <w:t>OPL</w:t>
            </w:r>
            <w:r w:rsidRPr="00162CAA">
              <w:rPr>
                <w:szCs w:val="24"/>
              </w:rPr>
              <w:t xml:space="preserve"> </w:t>
            </w:r>
            <w:r w:rsidRPr="00162CAA">
              <w:rPr>
                <w:i/>
                <w:iCs/>
                <w:sz w:val="20"/>
                <w:szCs w:val="24"/>
                <w:vertAlign w:val="subscript"/>
              </w:rPr>
              <w:t>q, r, i</w:t>
            </w:r>
            <w:r w:rsidRPr="00162CAA">
              <w:rPr>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4EF45D32" w14:textId="77777777" w:rsidR="00162CAA" w:rsidRPr="00162CAA" w:rsidRDefault="00162CAA" w:rsidP="00162CAA">
            <w:pPr>
              <w:spacing w:after="60"/>
              <w:rPr>
                <w:sz w:val="20"/>
                <w:szCs w:val="24"/>
              </w:rPr>
            </w:pPr>
            <w:r w:rsidRPr="00162CAA">
              <w:rPr>
                <w:szCs w:val="24"/>
              </w:rPr>
              <w:t>$</w:t>
            </w:r>
          </w:p>
        </w:tc>
        <w:tc>
          <w:tcPr>
            <w:tcW w:w="3385" w:type="pct"/>
            <w:tcBorders>
              <w:top w:val="single" w:sz="6" w:space="0" w:color="auto"/>
              <w:left w:val="single" w:sz="6" w:space="0" w:color="auto"/>
              <w:bottom w:val="single" w:sz="6" w:space="0" w:color="auto"/>
              <w:right w:val="single" w:sz="4" w:space="0" w:color="auto"/>
            </w:tcBorders>
            <w:hideMark/>
          </w:tcPr>
          <w:p w14:paraId="0FA8183D" w14:textId="77777777" w:rsidR="00162CAA" w:rsidRPr="00162CAA" w:rsidRDefault="00162CAA" w:rsidP="00162CAA">
            <w:pPr>
              <w:spacing w:after="60"/>
              <w:rPr>
                <w:i/>
                <w:iCs/>
                <w:sz w:val="20"/>
                <w:szCs w:val="24"/>
              </w:rPr>
            </w:pPr>
            <w:r w:rsidRPr="00162CAA">
              <w:rPr>
                <w:i/>
                <w:iCs/>
                <w:sz w:val="20"/>
                <w:szCs w:val="24"/>
              </w:rPr>
              <w:t>Operating Losses</w:t>
            </w:r>
            <w:r w:rsidRPr="00162CAA">
              <w:rPr>
                <w:szCs w:val="24"/>
              </w:rPr>
              <w:t xml:space="preserve"> – </w:t>
            </w:r>
            <w:r w:rsidRPr="00162CAA">
              <w:rPr>
                <w:iCs/>
                <w:sz w:val="20"/>
                <w:szCs w:val="24"/>
              </w:rPr>
              <w:t xml:space="preserve">The operating losses for Resource </w:t>
            </w:r>
            <w:r w:rsidRPr="00162CAA">
              <w:rPr>
                <w:i/>
                <w:iCs/>
                <w:sz w:val="20"/>
                <w:szCs w:val="24"/>
              </w:rPr>
              <w:t>r</w:t>
            </w:r>
            <w:r w:rsidRPr="00162CAA">
              <w:rPr>
                <w:iCs/>
                <w:sz w:val="20"/>
                <w:szCs w:val="24"/>
              </w:rPr>
              <w:t xml:space="preserve">, represented by QSE </w:t>
            </w:r>
            <w:r w:rsidRPr="00162CAA">
              <w:rPr>
                <w:i/>
                <w:iCs/>
                <w:sz w:val="20"/>
                <w:szCs w:val="24"/>
              </w:rPr>
              <w:t>q,</w:t>
            </w:r>
            <w:r w:rsidRPr="00162CAA">
              <w:rPr>
                <w:iCs/>
                <w:sz w:val="20"/>
                <w:szCs w:val="24"/>
              </w:rPr>
              <w:t xml:space="preserve"> 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iCs/>
                <w:sz w:val="20"/>
                <w:szCs w:val="24"/>
              </w:rPr>
              <w:t xml:space="preserve">r </w:t>
            </w:r>
            <w:r w:rsidRPr="00162CAA">
              <w:rPr>
                <w:iCs/>
                <w:sz w:val="20"/>
                <w:szCs w:val="24"/>
              </w:rPr>
              <w:t>is the Combined Cycle Train.</w:t>
            </w:r>
          </w:p>
        </w:tc>
      </w:tr>
      <w:tr w:rsidR="00162CAA" w:rsidRPr="00162CAA" w14:paraId="6D338ABF"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7FC4CE73" w14:textId="77777777" w:rsidR="00162CAA" w:rsidRPr="00162CAA" w:rsidRDefault="00162CAA" w:rsidP="00162CAA">
            <w:pPr>
              <w:spacing w:after="60"/>
              <w:rPr>
                <w:sz w:val="20"/>
                <w:szCs w:val="24"/>
              </w:rPr>
            </w:pPr>
            <w:r w:rsidRPr="00162CAA">
              <w:rPr>
                <w:sz w:val="20"/>
                <w:szCs w:val="24"/>
              </w:rPr>
              <w:t xml:space="preserve">ADJOPL </w:t>
            </w:r>
            <w:r w:rsidRPr="00162CAA">
              <w:rPr>
                <w:i/>
                <w:sz w:val="20"/>
                <w:szCs w:val="24"/>
                <w:vertAlign w:val="subscript"/>
              </w:rPr>
              <w:t>q, r, i</w:t>
            </w:r>
            <w:r w:rsidRPr="00162CAA">
              <w:rPr>
                <w:b/>
                <w:sz w:val="20"/>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3C3100E6" w14:textId="77777777" w:rsidR="00162CAA" w:rsidRPr="00162CAA" w:rsidRDefault="00162CAA" w:rsidP="00162CAA">
            <w:pPr>
              <w:spacing w:after="60"/>
              <w:rPr>
                <w:sz w:val="20"/>
                <w:szCs w:val="24"/>
              </w:rPr>
            </w:pPr>
            <w:r w:rsidRPr="00162CAA">
              <w:rPr>
                <w:sz w:val="20"/>
                <w:szCs w:val="24"/>
              </w:rPr>
              <w:t>$</w:t>
            </w:r>
          </w:p>
        </w:tc>
        <w:tc>
          <w:tcPr>
            <w:tcW w:w="3385" w:type="pct"/>
            <w:tcBorders>
              <w:top w:val="single" w:sz="6" w:space="0" w:color="auto"/>
              <w:left w:val="single" w:sz="6" w:space="0" w:color="auto"/>
              <w:bottom w:val="single" w:sz="6" w:space="0" w:color="auto"/>
              <w:right w:val="single" w:sz="4" w:space="0" w:color="auto"/>
            </w:tcBorders>
            <w:hideMark/>
          </w:tcPr>
          <w:p w14:paraId="3EFC396B" w14:textId="77777777" w:rsidR="00162CAA" w:rsidRPr="00162CAA" w:rsidRDefault="00162CAA" w:rsidP="00162CAA">
            <w:pPr>
              <w:spacing w:after="60"/>
              <w:rPr>
                <w:i/>
                <w:sz w:val="20"/>
                <w:szCs w:val="24"/>
              </w:rPr>
            </w:pPr>
            <w:r w:rsidRPr="00162CAA">
              <w:rPr>
                <w:i/>
                <w:iCs/>
                <w:sz w:val="20"/>
                <w:szCs w:val="24"/>
              </w:rPr>
              <w:t>Operating Losses</w:t>
            </w:r>
            <w:r w:rsidRPr="00162CAA">
              <w:rPr>
                <w:szCs w:val="24"/>
              </w:rPr>
              <w:t xml:space="preserve"> </w:t>
            </w:r>
            <w:r w:rsidRPr="00162CAA">
              <w:rPr>
                <w:i/>
                <w:iCs/>
                <w:sz w:val="20"/>
                <w:szCs w:val="24"/>
              </w:rPr>
              <w:t>Adjustment</w:t>
            </w:r>
            <w:r w:rsidRPr="00162CAA">
              <w:rPr>
                <w:szCs w:val="24"/>
              </w:rPr>
              <w:t xml:space="preserve"> – </w:t>
            </w:r>
            <w:r w:rsidRPr="00162CAA">
              <w:rPr>
                <w:iCs/>
                <w:sz w:val="20"/>
                <w:szCs w:val="24"/>
              </w:rPr>
              <w:t xml:space="preserve">The adjustment to the operating losses for Resource </w:t>
            </w:r>
            <w:r w:rsidRPr="00162CAA">
              <w:rPr>
                <w:i/>
                <w:iCs/>
                <w:sz w:val="20"/>
                <w:szCs w:val="24"/>
              </w:rPr>
              <w:t>r</w:t>
            </w:r>
            <w:r w:rsidRPr="00162CAA">
              <w:rPr>
                <w:iCs/>
                <w:sz w:val="20"/>
                <w:szCs w:val="24"/>
              </w:rPr>
              <w:t xml:space="preserve">, represented by QSE </w:t>
            </w:r>
            <w:r w:rsidRPr="00162CAA">
              <w:rPr>
                <w:i/>
                <w:iCs/>
                <w:sz w:val="20"/>
                <w:szCs w:val="24"/>
              </w:rPr>
              <w:t xml:space="preserve">q, </w:t>
            </w:r>
            <w:r w:rsidRPr="00162CAA">
              <w:rPr>
                <w:iCs/>
                <w:sz w:val="20"/>
                <w:szCs w:val="24"/>
              </w:rPr>
              <w:t xml:space="preserve">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iCs/>
                <w:sz w:val="20"/>
                <w:szCs w:val="24"/>
              </w:rPr>
              <w:t xml:space="preserve">r </w:t>
            </w:r>
            <w:r w:rsidRPr="00162CAA">
              <w:rPr>
                <w:iCs/>
                <w:sz w:val="20"/>
                <w:szCs w:val="24"/>
              </w:rPr>
              <w:t>is the Combined Cycle Train.</w:t>
            </w:r>
          </w:p>
        </w:tc>
      </w:tr>
      <w:tr w:rsidR="00162CAA" w:rsidRPr="00162CAA" w14:paraId="5ED52335"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D5EA929" w14:textId="77777777" w:rsidR="00162CAA" w:rsidRPr="00162CAA" w:rsidRDefault="00162CAA" w:rsidP="00162CAA">
            <w:pPr>
              <w:spacing w:after="60"/>
              <w:rPr>
                <w:sz w:val="20"/>
                <w:szCs w:val="24"/>
              </w:rPr>
            </w:pPr>
            <w:r w:rsidRPr="00162CAA">
              <w:rPr>
                <w:sz w:val="20"/>
                <w:szCs w:val="24"/>
              </w:rPr>
              <w:t>WAFP</w:t>
            </w:r>
            <w:r w:rsidRPr="00162CAA">
              <w:rPr>
                <w:bCs/>
                <w:i/>
                <w:szCs w:val="24"/>
                <w:vertAlign w:val="subscript"/>
                <w:lang w:val="es-ES"/>
              </w:rPr>
              <w:t xml:space="preserve"> </w:t>
            </w:r>
            <w:r w:rsidRPr="00162CAA">
              <w:rPr>
                <w:i/>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638C79C3" w14:textId="77777777" w:rsidR="00162CAA" w:rsidRPr="00162CAA" w:rsidRDefault="00162CAA" w:rsidP="00162CAA">
            <w:pPr>
              <w:spacing w:after="60"/>
              <w:rPr>
                <w:sz w:val="20"/>
                <w:szCs w:val="24"/>
              </w:rPr>
            </w:pPr>
            <w:r w:rsidRPr="00162CAA">
              <w:rPr>
                <w:iCs/>
                <w:sz w:val="20"/>
                <w:szCs w:val="24"/>
              </w:rPr>
              <w:t>$/MMBtu</w:t>
            </w:r>
          </w:p>
        </w:tc>
        <w:tc>
          <w:tcPr>
            <w:tcW w:w="3385" w:type="pct"/>
            <w:tcBorders>
              <w:top w:val="single" w:sz="6" w:space="0" w:color="auto"/>
              <w:left w:val="single" w:sz="6" w:space="0" w:color="auto"/>
              <w:bottom w:val="single" w:sz="6" w:space="0" w:color="auto"/>
              <w:right w:val="single" w:sz="4" w:space="0" w:color="auto"/>
            </w:tcBorders>
            <w:hideMark/>
          </w:tcPr>
          <w:p w14:paraId="1F280F06" w14:textId="24411D24" w:rsidR="00162CAA" w:rsidRPr="00162CAA" w:rsidRDefault="00162CAA" w:rsidP="00162CAA">
            <w:pPr>
              <w:spacing w:after="60"/>
              <w:rPr>
                <w:i/>
                <w:sz w:val="20"/>
                <w:szCs w:val="24"/>
              </w:rPr>
            </w:pPr>
            <w:r w:rsidRPr="00162CAA">
              <w:rPr>
                <w:i/>
                <w:sz w:val="20"/>
                <w:szCs w:val="24"/>
              </w:rPr>
              <w:t>Weighted Average Fuel Price</w:t>
            </w:r>
            <w:r w:rsidR="00FC7FA4">
              <w:rPr>
                <w:i/>
                <w:sz w:val="20"/>
                <w:szCs w:val="24"/>
              </w:rPr>
              <w:t xml:space="preserve"> </w:t>
            </w:r>
            <w:r w:rsidR="00FC7FA4" w:rsidRPr="00162CAA">
              <w:rPr>
                <w:szCs w:val="24"/>
              </w:rPr>
              <w:t>–</w:t>
            </w:r>
            <w:r w:rsidR="00FC7FA4">
              <w:rPr>
                <w:szCs w:val="24"/>
              </w:rPr>
              <w:t xml:space="preserve"> </w:t>
            </w:r>
            <w:r w:rsidRPr="00162CAA">
              <w:rPr>
                <w:sz w:val="20"/>
                <w:szCs w:val="24"/>
              </w:rPr>
              <w:t xml:space="preserve">The volume-weighted average price of fuel submitted to ERCOT for the LCAP Effective Period for a specific Resource </w:t>
            </w:r>
            <w:r w:rsidRPr="00162CAA">
              <w:rPr>
                <w:i/>
                <w:iCs/>
                <w:sz w:val="20"/>
                <w:szCs w:val="24"/>
              </w:rPr>
              <w:t>r,</w:t>
            </w:r>
            <w:r w:rsidRPr="00162CAA">
              <w:rPr>
                <w:sz w:val="20"/>
                <w:szCs w:val="24"/>
              </w:rPr>
              <w:t xml:space="preserve"> represented by QSE </w:t>
            </w:r>
            <w:r w:rsidRPr="00162CAA">
              <w:rPr>
                <w:i/>
                <w:iCs/>
                <w:sz w:val="20"/>
                <w:szCs w:val="24"/>
              </w:rPr>
              <w:t>q,</w:t>
            </w:r>
            <w:r w:rsidRPr="00162CAA">
              <w:rPr>
                <w:sz w:val="20"/>
                <w:szCs w:val="24"/>
              </w:rPr>
              <w:t xml:space="preserve"> and specific 15-minute Settlement Interval </w:t>
            </w:r>
            <w:r w:rsidRPr="00162CAA">
              <w:rPr>
                <w:i/>
                <w:iCs/>
                <w:sz w:val="20"/>
                <w:szCs w:val="24"/>
              </w:rPr>
              <w:t>i</w:t>
            </w:r>
            <w:r w:rsidRPr="00162CAA">
              <w:rPr>
                <w:sz w:val="20"/>
                <w:szCs w:val="24"/>
              </w:rPr>
              <w:t xml:space="preserve"> within the Operating Day.</w:t>
            </w:r>
            <w:r w:rsidR="0021573A">
              <w:rPr>
                <w:sz w:val="20"/>
                <w:szCs w:val="24"/>
              </w:rPr>
              <w:t xml:space="preserve">  </w:t>
            </w:r>
            <w:r w:rsidRPr="00162CAA">
              <w:rPr>
                <w:iCs/>
                <w:sz w:val="20"/>
                <w:szCs w:val="24"/>
              </w:rPr>
              <w:t xml:space="preserve">Where for a Combined Cycle Train, the Resource </w:t>
            </w:r>
            <w:r w:rsidRPr="00162CAA">
              <w:rPr>
                <w:i/>
                <w:sz w:val="20"/>
                <w:szCs w:val="24"/>
              </w:rPr>
              <w:t>r</w:t>
            </w:r>
            <w:r w:rsidRPr="00162CAA">
              <w:rPr>
                <w:iCs/>
                <w:sz w:val="20"/>
                <w:szCs w:val="24"/>
              </w:rPr>
              <w:t xml:space="preserve"> is a Combined Cycle Generation Resource within the Combined Cycle Train.</w:t>
            </w:r>
          </w:p>
        </w:tc>
      </w:tr>
      <w:tr w:rsidR="00162CAA" w:rsidRPr="00162CAA" w14:paraId="387875FF"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31B493C7" w14:textId="77777777" w:rsidR="00162CAA" w:rsidRPr="00162CAA" w:rsidRDefault="00162CAA" w:rsidP="00162CAA">
            <w:pPr>
              <w:spacing w:after="60"/>
              <w:rPr>
                <w:iCs/>
                <w:sz w:val="20"/>
                <w:szCs w:val="24"/>
              </w:rPr>
            </w:pPr>
            <w:r w:rsidRPr="00162CAA">
              <w:rPr>
                <w:iCs/>
                <w:sz w:val="20"/>
                <w:szCs w:val="24"/>
              </w:rPr>
              <w:t xml:space="preserve">AMC </w:t>
            </w:r>
            <w:r w:rsidRPr="00162CAA">
              <w:rPr>
                <w:i/>
                <w:iCs/>
                <w:sz w:val="20"/>
                <w:szCs w:val="24"/>
                <w:vertAlign w:val="subscript"/>
              </w:rPr>
              <w:t>q, r, i</w:t>
            </w:r>
            <w:r w:rsidRPr="00162CAA">
              <w:rPr>
                <w:iCs/>
                <w:sz w:val="20"/>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779605DE"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516C07EA" w14:textId="77777777" w:rsidR="00162CAA" w:rsidRPr="00162CAA" w:rsidRDefault="00162CAA" w:rsidP="00162CAA">
            <w:pPr>
              <w:spacing w:after="60"/>
              <w:rPr>
                <w:iCs/>
                <w:sz w:val="20"/>
                <w:szCs w:val="24"/>
              </w:rPr>
            </w:pPr>
            <w:r w:rsidRPr="00162CAA">
              <w:rPr>
                <w:i/>
                <w:iCs/>
                <w:sz w:val="20"/>
                <w:szCs w:val="24"/>
              </w:rPr>
              <w:t>Actual Marginal Cost –</w:t>
            </w:r>
            <w:r w:rsidRPr="00162CAA">
              <w:rPr>
                <w:sz w:val="20"/>
                <w:szCs w:val="24"/>
              </w:rPr>
              <w:t xml:space="preserve"> </w:t>
            </w:r>
            <w:r w:rsidRPr="00162CAA">
              <w:rPr>
                <w:iCs/>
                <w:sz w:val="20"/>
                <w:szCs w:val="24"/>
              </w:rPr>
              <w:t xml:space="preserve">The actual marginal costs for Resource </w:t>
            </w:r>
            <w:r w:rsidRPr="00162CAA">
              <w:rPr>
                <w:i/>
                <w:iCs/>
                <w:sz w:val="20"/>
                <w:szCs w:val="24"/>
              </w:rPr>
              <w:t xml:space="preserve">r </w:t>
            </w:r>
            <w:r w:rsidRPr="00162CAA">
              <w:rPr>
                <w:iCs/>
                <w:sz w:val="20"/>
                <w:szCs w:val="24"/>
              </w:rPr>
              <w:t>represented by QSE</w:t>
            </w:r>
            <w:r w:rsidRPr="00162CAA">
              <w:rPr>
                <w:i/>
                <w:iCs/>
                <w:sz w:val="20"/>
                <w:szCs w:val="24"/>
              </w:rPr>
              <w:t xml:space="preserve"> q</w:t>
            </w:r>
            <w:r w:rsidRPr="00162CAA">
              <w:rPr>
                <w:iCs/>
                <w:sz w:val="20"/>
                <w:szCs w:val="24"/>
              </w:rPr>
              <w:t xml:space="preserve"> for the </w:t>
            </w:r>
            <w:r w:rsidRPr="00162CAA">
              <w:rPr>
                <w:sz w:val="20"/>
                <w:szCs w:val="24"/>
              </w:rPr>
              <w:t xml:space="preserve">15-minute Settlement Interval </w:t>
            </w:r>
            <w:r w:rsidRPr="00162CAA">
              <w:rPr>
                <w:i/>
                <w:iCs/>
                <w:sz w:val="20"/>
                <w:szCs w:val="24"/>
              </w:rPr>
              <w:t>i</w:t>
            </w:r>
            <w:r w:rsidRPr="00162CAA">
              <w:rPr>
                <w:sz w:val="20"/>
                <w:szCs w:val="24"/>
              </w:rPr>
              <w:t xml:space="preserve"> within the Operating Day.</w:t>
            </w:r>
            <w:r w:rsidRPr="00162CAA">
              <w:rPr>
                <w:iCs/>
                <w:sz w:val="20"/>
                <w:szCs w:val="24"/>
              </w:rPr>
              <w:t xml:space="preserve">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3EF890FC"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00539740" w14:textId="77777777" w:rsidR="00162CAA" w:rsidRPr="00162CAA" w:rsidRDefault="00162CAA" w:rsidP="00162CAA">
            <w:pPr>
              <w:spacing w:after="60"/>
              <w:rPr>
                <w:iCs/>
                <w:sz w:val="20"/>
                <w:szCs w:val="24"/>
              </w:rPr>
            </w:pPr>
            <w:r w:rsidRPr="00162CAA">
              <w:rPr>
                <w:iCs/>
                <w:sz w:val="20"/>
                <w:szCs w:val="24"/>
              </w:rPr>
              <w:t>LCAP</w:t>
            </w:r>
          </w:p>
        </w:tc>
        <w:tc>
          <w:tcPr>
            <w:tcW w:w="607" w:type="pct"/>
            <w:tcBorders>
              <w:top w:val="single" w:sz="6" w:space="0" w:color="auto"/>
              <w:left w:val="single" w:sz="6" w:space="0" w:color="auto"/>
              <w:bottom w:val="single" w:sz="6" w:space="0" w:color="auto"/>
              <w:right w:val="single" w:sz="6" w:space="0" w:color="auto"/>
            </w:tcBorders>
            <w:hideMark/>
          </w:tcPr>
          <w:p w14:paraId="21DE1D09"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10CB13E" w14:textId="77777777" w:rsidR="00162CAA" w:rsidRPr="00162CAA" w:rsidRDefault="00162CAA" w:rsidP="00162CAA">
            <w:pPr>
              <w:spacing w:after="60"/>
              <w:rPr>
                <w:i/>
                <w:iCs/>
                <w:sz w:val="20"/>
                <w:szCs w:val="24"/>
              </w:rPr>
            </w:pPr>
            <w:r w:rsidRPr="00162CAA">
              <w:rPr>
                <w:i/>
                <w:iCs/>
                <w:sz w:val="20"/>
                <w:szCs w:val="24"/>
              </w:rPr>
              <w:t xml:space="preserve">Low System Wide Offer Cap – </w:t>
            </w:r>
            <w:r w:rsidRPr="00162CAA">
              <w:rPr>
                <w:iCs/>
                <w:sz w:val="20"/>
                <w:szCs w:val="24"/>
              </w:rPr>
              <w:t>The value set per paragraph (1) of Section 4.4.11, System-Wide Offer Caps.</w:t>
            </w:r>
          </w:p>
        </w:tc>
      </w:tr>
      <w:tr w:rsidR="00162CAA" w:rsidRPr="00162CAA" w14:paraId="7E084C56"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0DED7E1" w14:textId="77777777" w:rsidR="00162CAA" w:rsidRPr="00162CAA" w:rsidRDefault="00162CAA" w:rsidP="00162CAA">
            <w:pPr>
              <w:spacing w:after="60"/>
              <w:rPr>
                <w:iCs/>
                <w:sz w:val="20"/>
                <w:szCs w:val="24"/>
              </w:rPr>
            </w:pPr>
            <w:r w:rsidRPr="00162CAA">
              <w:rPr>
                <w:iCs/>
                <w:sz w:val="20"/>
                <w:szCs w:val="24"/>
              </w:rPr>
              <w:t xml:space="preserve">ROM </w:t>
            </w:r>
            <w:r w:rsidRPr="00162CAA">
              <w:rPr>
                <w:i/>
                <w:iCs/>
                <w:sz w:val="20"/>
                <w:szCs w:val="24"/>
                <w:vertAlign w:val="subscript"/>
              </w:rPr>
              <w:t>q, r</w:t>
            </w:r>
          </w:p>
        </w:tc>
        <w:tc>
          <w:tcPr>
            <w:tcW w:w="607" w:type="pct"/>
            <w:tcBorders>
              <w:top w:val="single" w:sz="6" w:space="0" w:color="auto"/>
              <w:left w:val="single" w:sz="6" w:space="0" w:color="auto"/>
              <w:bottom w:val="single" w:sz="6" w:space="0" w:color="auto"/>
              <w:right w:val="single" w:sz="6" w:space="0" w:color="auto"/>
            </w:tcBorders>
            <w:hideMark/>
          </w:tcPr>
          <w:p w14:paraId="600CC5C0"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50B4FFB" w14:textId="70E1C690" w:rsidR="00162CAA" w:rsidRPr="00162CAA" w:rsidRDefault="00162CAA" w:rsidP="00162CAA">
            <w:pPr>
              <w:spacing w:after="60"/>
              <w:rPr>
                <w:i/>
                <w:iCs/>
                <w:sz w:val="20"/>
                <w:szCs w:val="24"/>
              </w:rPr>
            </w:pPr>
            <w:r w:rsidRPr="00162CAA">
              <w:rPr>
                <w:i/>
                <w:iCs/>
                <w:sz w:val="20"/>
                <w:szCs w:val="24"/>
              </w:rPr>
              <w:t xml:space="preserve">Raw Verifiable Operations and Maintenance Cost Above LSL – </w:t>
            </w:r>
            <w:r w:rsidRPr="00162CAA">
              <w:rPr>
                <w:iCs/>
                <w:sz w:val="20"/>
                <w:szCs w:val="24"/>
              </w:rPr>
              <w:t xml:space="preserve">The raw verifiable O&amp;M cost for the Resource </w:t>
            </w:r>
            <w:r w:rsidRPr="00162CAA">
              <w:rPr>
                <w:i/>
                <w:iCs/>
                <w:sz w:val="20"/>
                <w:szCs w:val="24"/>
              </w:rPr>
              <w:t xml:space="preserve">r </w:t>
            </w:r>
            <w:r w:rsidRPr="00162CAA">
              <w:rPr>
                <w:iCs/>
                <w:sz w:val="20"/>
                <w:szCs w:val="24"/>
              </w:rPr>
              <w:t>represented by QSE</w:t>
            </w:r>
            <w:r w:rsidRPr="00162CAA">
              <w:rPr>
                <w:i/>
                <w:iCs/>
                <w:sz w:val="20"/>
                <w:szCs w:val="24"/>
              </w:rPr>
              <w:t xml:space="preserve"> q</w:t>
            </w:r>
            <w:r w:rsidRPr="00162CAA">
              <w:rPr>
                <w:iCs/>
                <w:sz w:val="20"/>
                <w:szCs w:val="24"/>
              </w:rPr>
              <w:t xml:space="preserve"> for operations above LSL.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7D685698"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1F657E9F" w14:textId="77777777" w:rsidR="00162CAA" w:rsidRPr="00162CAA" w:rsidRDefault="00162CAA" w:rsidP="00162CAA">
            <w:pPr>
              <w:spacing w:after="60"/>
              <w:rPr>
                <w:iCs/>
                <w:sz w:val="20"/>
                <w:szCs w:val="24"/>
              </w:rPr>
            </w:pPr>
            <w:r w:rsidRPr="00162CAA">
              <w:rPr>
                <w:iCs/>
                <w:sz w:val="20"/>
                <w:szCs w:val="24"/>
              </w:rPr>
              <w:t xml:space="preserve">AMF </w:t>
            </w:r>
            <w:r w:rsidRPr="00162CAA">
              <w:rPr>
                <w:i/>
                <w:iCs/>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13B76B83" w14:textId="77777777" w:rsidR="00162CAA" w:rsidRPr="00162CAA" w:rsidRDefault="00162CAA" w:rsidP="00162CAA">
            <w:pPr>
              <w:spacing w:after="60"/>
              <w:rPr>
                <w:iCs/>
                <w:sz w:val="20"/>
                <w:szCs w:val="24"/>
              </w:rPr>
            </w:pPr>
            <w:r w:rsidRPr="00162CAA">
              <w:rPr>
                <w:iCs/>
                <w:sz w:val="20"/>
                <w:szCs w:val="24"/>
              </w:rPr>
              <w:t>MMBtu</w:t>
            </w:r>
          </w:p>
        </w:tc>
        <w:tc>
          <w:tcPr>
            <w:tcW w:w="3385" w:type="pct"/>
            <w:tcBorders>
              <w:top w:val="single" w:sz="6" w:space="0" w:color="auto"/>
              <w:left w:val="single" w:sz="6" w:space="0" w:color="auto"/>
              <w:bottom w:val="single" w:sz="6" w:space="0" w:color="auto"/>
              <w:right w:val="single" w:sz="4" w:space="0" w:color="auto"/>
            </w:tcBorders>
            <w:hideMark/>
          </w:tcPr>
          <w:p w14:paraId="7EA43A95" w14:textId="77777777" w:rsidR="00162CAA" w:rsidRPr="00162CAA" w:rsidRDefault="00162CAA" w:rsidP="00162CAA">
            <w:pPr>
              <w:spacing w:after="60"/>
              <w:rPr>
                <w:i/>
                <w:iCs/>
                <w:sz w:val="20"/>
                <w:szCs w:val="24"/>
              </w:rPr>
            </w:pPr>
            <w:r w:rsidRPr="00162CAA">
              <w:rPr>
                <w:i/>
                <w:iCs/>
                <w:sz w:val="20"/>
                <w:szCs w:val="24"/>
              </w:rPr>
              <w:t xml:space="preserve">Actual Marginal Fuel per QSE per Resource - </w:t>
            </w:r>
            <w:r w:rsidRPr="00162CAA">
              <w:rPr>
                <w:iCs/>
                <w:sz w:val="20"/>
                <w:szCs w:val="24"/>
              </w:rPr>
              <w:t xml:space="preserve">The actual marginal purchased and delivered fuel for the Resource </w:t>
            </w:r>
            <w:r w:rsidRPr="00162CAA">
              <w:rPr>
                <w:i/>
                <w:sz w:val="20"/>
                <w:szCs w:val="24"/>
              </w:rPr>
              <w:t>r</w:t>
            </w:r>
            <w:r w:rsidRPr="00162CAA">
              <w:rPr>
                <w:iCs/>
                <w:sz w:val="20"/>
                <w:szCs w:val="24"/>
              </w:rPr>
              <w:t xml:space="preserve"> represented by QSE </w:t>
            </w:r>
            <w:r w:rsidRPr="00162CAA">
              <w:rPr>
                <w:i/>
                <w:sz w:val="20"/>
                <w:szCs w:val="24"/>
              </w:rPr>
              <w:t>q</w:t>
            </w:r>
            <w:r w:rsidRPr="00162CAA">
              <w:rPr>
                <w:iCs/>
                <w:sz w:val="20"/>
                <w:szCs w:val="24"/>
              </w:rPr>
              <w:t xml:space="preserve"> for the </w:t>
            </w:r>
            <w:r w:rsidRPr="00162CAA">
              <w:rPr>
                <w:sz w:val="20"/>
                <w:szCs w:val="24"/>
              </w:rPr>
              <w:t xml:space="preserve">15-minute Settlement Interval </w:t>
            </w:r>
            <w:r w:rsidRPr="00162CAA">
              <w:rPr>
                <w:i/>
                <w:iCs/>
                <w:sz w:val="20"/>
                <w:szCs w:val="24"/>
              </w:rPr>
              <w:t>i</w:t>
            </w:r>
            <w:r w:rsidRPr="00162CAA">
              <w:rPr>
                <w:sz w:val="20"/>
                <w:szCs w:val="24"/>
              </w:rPr>
              <w:t xml:space="preserve"> within the Operating Day.  </w:t>
            </w:r>
            <w:r w:rsidRPr="00162CAA">
              <w:rPr>
                <w:iCs/>
                <w:sz w:val="20"/>
                <w:szCs w:val="24"/>
              </w:rPr>
              <w:t xml:space="preserve">The AMF represents only the fuel used to calculate the weighted average fuel price, WAFP.  Where for a Combined Cycle Train, the Resource </w:t>
            </w:r>
            <w:r w:rsidRPr="00162CAA">
              <w:rPr>
                <w:i/>
                <w:iCs/>
                <w:sz w:val="20"/>
                <w:szCs w:val="24"/>
              </w:rPr>
              <w:t>r</w:t>
            </w:r>
            <w:r w:rsidRPr="00162CAA">
              <w:rPr>
                <w:iCs/>
                <w:sz w:val="20"/>
                <w:szCs w:val="24"/>
              </w:rPr>
              <w:t xml:space="preserve"> is a Combined Cycle Generation Resource within the Combined Cycle Train.  For Resources that are granted a dispute under Section 9.14.7, Disputes for RUC Make-Whole Payment for Fuel Costs, the actual marginal purchased and delivered fuel shall include only fuel for operations above LSL.</w:t>
            </w:r>
          </w:p>
        </w:tc>
      </w:tr>
      <w:tr w:rsidR="00162CAA" w:rsidRPr="00162CAA" w14:paraId="68177724"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26CEF7C9" w14:textId="77777777" w:rsidR="00162CAA" w:rsidRPr="00162CAA" w:rsidRDefault="00162CAA" w:rsidP="00162CAA">
            <w:pPr>
              <w:spacing w:after="60"/>
              <w:rPr>
                <w:iCs/>
                <w:sz w:val="20"/>
                <w:szCs w:val="24"/>
              </w:rPr>
            </w:pPr>
            <w:r w:rsidRPr="00162CAA">
              <w:rPr>
                <w:iCs/>
                <w:sz w:val="20"/>
                <w:szCs w:val="24"/>
              </w:rPr>
              <w:lastRenderedPageBreak/>
              <w:t xml:space="preserve">STOM </w:t>
            </w:r>
            <w:r w:rsidRPr="00162CAA">
              <w:rPr>
                <w:i/>
                <w:iCs/>
                <w:sz w:val="20"/>
                <w:szCs w:val="24"/>
                <w:vertAlign w:val="subscript"/>
              </w:rPr>
              <w:t>rc</w:t>
            </w:r>
            <w:r w:rsidRPr="00162CAA">
              <w:rPr>
                <w:iCs/>
                <w:sz w:val="20"/>
                <w:szCs w:val="24"/>
                <w:vertAlign w:val="subscript"/>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6D04A984"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6E82270" w14:textId="77777777" w:rsidR="00162CAA" w:rsidRPr="00162CAA" w:rsidRDefault="00162CAA" w:rsidP="00162CAA">
            <w:pPr>
              <w:spacing w:after="60"/>
              <w:rPr>
                <w:iCs/>
                <w:sz w:val="20"/>
                <w:szCs w:val="24"/>
              </w:rPr>
            </w:pPr>
            <w:r w:rsidRPr="00162CAA">
              <w:rPr>
                <w:i/>
                <w:iCs/>
                <w:sz w:val="20"/>
                <w:szCs w:val="24"/>
              </w:rPr>
              <w:t xml:space="preserve">Standard Operations and Maintenance Cost – </w:t>
            </w:r>
            <w:r w:rsidRPr="00162CAA">
              <w:rPr>
                <w:iCs/>
                <w:sz w:val="20"/>
                <w:szCs w:val="24"/>
              </w:rPr>
              <w:t xml:space="preserve">The standard O&amp;M cost for the Resource category </w:t>
            </w:r>
            <w:r w:rsidRPr="00162CAA">
              <w:rPr>
                <w:i/>
                <w:iCs/>
                <w:sz w:val="20"/>
                <w:szCs w:val="24"/>
              </w:rPr>
              <w:t>rc</w:t>
            </w:r>
            <w:r w:rsidRPr="00162CAA">
              <w:rPr>
                <w:iCs/>
                <w:sz w:val="20"/>
                <w:szCs w:val="24"/>
              </w:rPr>
              <w:t xml:space="preserve"> for operations above LSL, as described in paragraph (6)(c) of Section 5.6.1, Verifiable Costs.  For an ESR, STOM shall be set at $0.3/MWh.</w:t>
            </w:r>
          </w:p>
          <w:p w14:paraId="5339B667" w14:textId="77777777" w:rsidR="00162CAA" w:rsidRPr="00162CAA" w:rsidRDefault="00162CAA" w:rsidP="00162CAA">
            <w:pPr>
              <w:rPr>
                <w:sz w:val="20"/>
              </w:rPr>
            </w:pPr>
          </w:p>
        </w:tc>
      </w:tr>
      <w:tr w:rsidR="00162CAA" w:rsidRPr="00162CAA" w14:paraId="3C6D83CF"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742853B" w14:textId="77777777" w:rsidR="00162CAA" w:rsidRPr="00162CAA" w:rsidRDefault="00162CAA" w:rsidP="00162CAA">
            <w:pPr>
              <w:spacing w:after="60"/>
              <w:rPr>
                <w:iCs/>
                <w:sz w:val="20"/>
                <w:szCs w:val="24"/>
              </w:rPr>
            </w:pPr>
            <w:r w:rsidRPr="00162CAA">
              <w:rPr>
                <w:iCs/>
                <w:sz w:val="20"/>
                <w:szCs w:val="24"/>
              </w:rPr>
              <w:t>RTSPP</w:t>
            </w:r>
            <w:r w:rsidRPr="00162CAA">
              <w:rPr>
                <w:i/>
                <w:sz w:val="20"/>
                <w:szCs w:val="24"/>
                <w:vertAlign w:val="subscript"/>
              </w:rPr>
              <w:t xml:space="preserve"> p, i</w:t>
            </w:r>
          </w:p>
        </w:tc>
        <w:tc>
          <w:tcPr>
            <w:tcW w:w="607" w:type="pct"/>
            <w:tcBorders>
              <w:top w:val="single" w:sz="6" w:space="0" w:color="auto"/>
              <w:left w:val="single" w:sz="6" w:space="0" w:color="auto"/>
              <w:bottom w:val="single" w:sz="6" w:space="0" w:color="auto"/>
              <w:right w:val="single" w:sz="6" w:space="0" w:color="auto"/>
            </w:tcBorders>
            <w:hideMark/>
          </w:tcPr>
          <w:p w14:paraId="7DFE0A83"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15E63AE1" w14:textId="77777777" w:rsidR="00162CAA" w:rsidRPr="00162CAA" w:rsidRDefault="00162CAA" w:rsidP="00162CAA">
            <w:pPr>
              <w:spacing w:after="60"/>
              <w:rPr>
                <w:iCs/>
                <w:sz w:val="20"/>
                <w:szCs w:val="24"/>
              </w:rPr>
            </w:pPr>
            <w:r w:rsidRPr="00162CAA">
              <w:rPr>
                <w:i/>
                <w:iCs/>
                <w:sz w:val="20"/>
                <w:szCs w:val="24"/>
              </w:rPr>
              <w:t xml:space="preserve">Real-Time Settlement Point Price - </w:t>
            </w:r>
            <w:r w:rsidRPr="00162CAA">
              <w:rPr>
                <w:iCs/>
                <w:sz w:val="20"/>
                <w:szCs w:val="24"/>
              </w:rPr>
              <w:t xml:space="preserve">The Real-Time Settlement Point Price at the Settlement Point </w:t>
            </w:r>
            <w:r w:rsidRPr="00162CAA">
              <w:rPr>
                <w:i/>
                <w:iCs/>
                <w:sz w:val="20"/>
                <w:szCs w:val="24"/>
              </w:rPr>
              <w:t xml:space="preserve">p, </w:t>
            </w:r>
            <w:r w:rsidRPr="00162CAA">
              <w:rPr>
                <w:iCs/>
                <w:sz w:val="20"/>
                <w:szCs w:val="24"/>
              </w:rPr>
              <w:t xml:space="preserve">for the 15-minute Settlement Interval </w:t>
            </w:r>
            <w:r w:rsidRPr="00162CAA">
              <w:rPr>
                <w:i/>
                <w:iCs/>
                <w:sz w:val="20"/>
                <w:szCs w:val="24"/>
              </w:rPr>
              <w:t>i</w:t>
            </w:r>
            <w:r w:rsidRPr="00162CAA">
              <w:rPr>
                <w:iCs/>
                <w:sz w:val="20"/>
                <w:szCs w:val="24"/>
              </w:rPr>
              <w:t>.</w:t>
            </w:r>
          </w:p>
        </w:tc>
      </w:tr>
      <w:tr w:rsidR="00162CAA" w:rsidRPr="00162CAA" w14:paraId="34C2B213"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50666D45" w14:textId="77777777" w:rsidR="00162CAA" w:rsidRPr="00162CAA" w:rsidRDefault="00162CAA" w:rsidP="00162CAA">
            <w:pPr>
              <w:spacing w:after="60"/>
              <w:rPr>
                <w:iCs/>
                <w:sz w:val="20"/>
                <w:szCs w:val="24"/>
              </w:rPr>
            </w:pPr>
            <w:r w:rsidRPr="00162CAA">
              <w:rPr>
                <w:iCs/>
                <w:sz w:val="20"/>
                <w:szCs w:val="24"/>
              </w:rPr>
              <w:t xml:space="preserve">AFC </w:t>
            </w:r>
            <w:r w:rsidRPr="00162CAA">
              <w:rPr>
                <w:i/>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047ADE71"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78B43784" w14:textId="676D10BD" w:rsidR="00162CAA" w:rsidRPr="00162CAA" w:rsidRDefault="00162CAA" w:rsidP="00162CAA">
            <w:pPr>
              <w:spacing w:after="60"/>
              <w:rPr>
                <w:i/>
                <w:iCs/>
                <w:sz w:val="20"/>
                <w:szCs w:val="24"/>
              </w:rPr>
            </w:pPr>
            <w:r w:rsidRPr="00162CAA">
              <w:rPr>
                <w:i/>
                <w:iCs/>
                <w:sz w:val="20"/>
                <w:szCs w:val="24"/>
              </w:rPr>
              <w:t xml:space="preserve">Average Fuel Cost per Resource </w:t>
            </w:r>
            <w:r w:rsidR="00AA496E" w:rsidRPr="00AA496E">
              <w:rPr>
                <w:i/>
                <w:iCs/>
                <w:sz w:val="20"/>
                <w:szCs w:val="24"/>
              </w:rPr>
              <w:t>-</w:t>
            </w:r>
            <w:r w:rsidR="00AA496E">
              <w:rPr>
                <w:i/>
                <w:iCs/>
                <w:sz w:val="20"/>
                <w:szCs w:val="24"/>
              </w:rPr>
              <w:t xml:space="preserve"> </w:t>
            </w:r>
            <w:r w:rsidRPr="00162CAA">
              <w:rPr>
                <w:iCs/>
                <w:sz w:val="20"/>
                <w:szCs w:val="24"/>
              </w:rPr>
              <w:t>The average electricity cost used to charge the ESR</w:t>
            </w:r>
            <w:r w:rsidRPr="00162CAA">
              <w:rPr>
                <w:i/>
                <w:iCs/>
                <w:sz w:val="20"/>
                <w:szCs w:val="24"/>
              </w:rPr>
              <w:t xml:space="preserve"> r </w:t>
            </w:r>
            <w:r w:rsidRPr="00162CAA">
              <w:rPr>
                <w:iCs/>
                <w:sz w:val="20"/>
                <w:szCs w:val="24"/>
              </w:rPr>
              <w:t>represented by QSE</w:t>
            </w:r>
            <w:r w:rsidRPr="00162CAA">
              <w:rPr>
                <w:i/>
                <w:iCs/>
                <w:sz w:val="20"/>
                <w:szCs w:val="24"/>
              </w:rPr>
              <w:t xml:space="preserve"> q</w:t>
            </w:r>
            <w:r w:rsidRPr="00162CAA">
              <w:rPr>
                <w:iCs/>
                <w:sz w:val="20"/>
                <w:szCs w:val="24"/>
              </w:rPr>
              <w:t xml:space="preserve"> applicable to the energy discharge for the 15-minute Settlement Interval </w:t>
            </w:r>
            <w:r w:rsidRPr="00162CAA">
              <w:rPr>
                <w:i/>
                <w:sz w:val="20"/>
                <w:szCs w:val="24"/>
              </w:rPr>
              <w:t>i</w:t>
            </w:r>
            <w:r w:rsidRPr="00162CAA">
              <w:rPr>
                <w:iCs/>
                <w:sz w:val="20"/>
                <w:szCs w:val="24"/>
              </w:rPr>
              <w:t xml:space="preserve"> within the Operating Day.</w:t>
            </w:r>
          </w:p>
        </w:tc>
      </w:tr>
      <w:tr w:rsidR="00162CAA" w:rsidRPr="00162CAA" w14:paraId="64E73A6D"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2C3644C4" w14:textId="77777777" w:rsidR="00162CAA" w:rsidRPr="00162CAA" w:rsidRDefault="00162CAA" w:rsidP="00162CAA">
            <w:pPr>
              <w:spacing w:after="60"/>
              <w:rPr>
                <w:i/>
                <w:iCs/>
                <w:sz w:val="20"/>
                <w:szCs w:val="24"/>
              </w:rPr>
            </w:pPr>
            <w:r w:rsidRPr="00162CAA">
              <w:rPr>
                <w:iCs/>
                <w:sz w:val="20"/>
                <w:szCs w:val="24"/>
                <w:lang w:val="pt-BR"/>
              </w:rPr>
              <w:t xml:space="preserve">AHR </w:t>
            </w:r>
            <w:r w:rsidRPr="00162CAA">
              <w:rPr>
                <w:i/>
                <w:iCs/>
                <w:sz w:val="20"/>
                <w:szCs w:val="24"/>
                <w:vertAlign w:val="subscript"/>
                <w:lang w:val="es-ES"/>
              </w:rPr>
              <w:t>q, r, i</w:t>
            </w:r>
          </w:p>
        </w:tc>
        <w:tc>
          <w:tcPr>
            <w:tcW w:w="607" w:type="pct"/>
            <w:tcBorders>
              <w:top w:val="single" w:sz="6" w:space="0" w:color="auto"/>
              <w:left w:val="single" w:sz="6" w:space="0" w:color="auto"/>
              <w:bottom w:val="single" w:sz="6" w:space="0" w:color="auto"/>
              <w:right w:val="single" w:sz="6" w:space="0" w:color="auto"/>
            </w:tcBorders>
            <w:hideMark/>
          </w:tcPr>
          <w:p w14:paraId="38F8E015" w14:textId="77777777" w:rsidR="00162CAA" w:rsidRPr="00162CAA" w:rsidRDefault="00162CAA" w:rsidP="00162CAA">
            <w:pPr>
              <w:spacing w:after="60"/>
              <w:rPr>
                <w:iCs/>
                <w:sz w:val="20"/>
                <w:szCs w:val="24"/>
              </w:rPr>
            </w:pPr>
            <w:r w:rsidRPr="00162CAA">
              <w:rPr>
                <w:iCs/>
                <w:sz w:val="20"/>
                <w:szCs w:val="24"/>
              </w:rPr>
              <w:t>MMBtu / MWh</w:t>
            </w:r>
          </w:p>
        </w:tc>
        <w:tc>
          <w:tcPr>
            <w:tcW w:w="3385" w:type="pct"/>
            <w:tcBorders>
              <w:top w:val="single" w:sz="6" w:space="0" w:color="auto"/>
              <w:left w:val="single" w:sz="6" w:space="0" w:color="auto"/>
              <w:bottom w:val="single" w:sz="6" w:space="0" w:color="auto"/>
              <w:right w:val="single" w:sz="4" w:space="0" w:color="auto"/>
            </w:tcBorders>
            <w:hideMark/>
          </w:tcPr>
          <w:p w14:paraId="3EB9470B" w14:textId="77777777" w:rsidR="00162CAA" w:rsidRPr="00162CAA" w:rsidRDefault="00162CAA" w:rsidP="00162CAA">
            <w:pPr>
              <w:spacing w:after="60"/>
              <w:rPr>
                <w:iCs/>
                <w:sz w:val="20"/>
                <w:szCs w:val="24"/>
              </w:rPr>
            </w:pPr>
            <w:r w:rsidRPr="00162CAA">
              <w:rPr>
                <w:i/>
                <w:iCs/>
                <w:sz w:val="20"/>
                <w:szCs w:val="24"/>
              </w:rPr>
              <w:t xml:space="preserve">Average Heat Rate per Resource – </w:t>
            </w:r>
            <w:r w:rsidRPr="00162CAA">
              <w:rPr>
                <w:iCs/>
                <w:sz w:val="20"/>
                <w:szCs w:val="24"/>
              </w:rPr>
              <w:t xml:space="preserve">The verifiable average heat rate for the Resource </w:t>
            </w:r>
            <w:r w:rsidRPr="00162CAA">
              <w:rPr>
                <w:i/>
                <w:iCs/>
                <w:sz w:val="20"/>
                <w:szCs w:val="24"/>
              </w:rPr>
              <w:t xml:space="preserve">r </w:t>
            </w:r>
            <w:r w:rsidRPr="00162CAA">
              <w:rPr>
                <w:iCs/>
                <w:sz w:val="20"/>
                <w:szCs w:val="24"/>
              </w:rPr>
              <w:t>represented by QSE</w:t>
            </w:r>
            <w:r w:rsidRPr="00162CAA">
              <w:rPr>
                <w:i/>
                <w:iCs/>
                <w:sz w:val="20"/>
                <w:szCs w:val="24"/>
              </w:rPr>
              <w:t xml:space="preserve"> q</w:t>
            </w:r>
            <w:r w:rsidRPr="00162CAA">
              <w:rPr>
                <w:iCs/>
                <w:sz w:val="20"/>
                <w:szCs w:val="24"/>
              </w:rPr>
              <w:t xml:space="preserve">, for operating levels between LSL and High Sustained Limit (HSL), for the 15-minute Settlement Interval </w:t>
            </w:r>
            <w:r w:rsidRPr="00162CAA">
              <w:rPr>
                <w:i/>
                <w:iCs/>
                <w:sz w:val="20"/>
                <w:szCs w:val="24"/>
              </w:rPr>
              <w:t>i</w:t>
            </w:r>
            <w:r w:rsidRPr="00162CAA">
              <w:rPr>
                <w:iCs/>
                <w:sz w:val="20"/>
                <w:szCs w:val="24"/>
              </w:rPr>
              <w:t xml:space="preserve">.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3A6C43AD"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15B941BD" w14:textId="77777777" w:rsidR="00162CAA" w:rsidRPr="00162CAA" w:rsidRDefault="00162CAA" w:rsidP="00162CAA">
            <w:pPr>
              <w:spacing w:after="60"/>
              <w:rPr>
                <w:iCs/>
                <w:sz w:val="20"/>
                <w:szCs w:val="24"/>
                <w:lang w:val="pt-BR"/>
              </w:rPr>
            </w:pPr>
            <w:r w:rsidRPr="00162CAA">
              <w:rPr>
                <w:iCs/>
                <w:sz w:val="20"/>
                <w:szCs w:val="24"/>
              </w:rPr>
              <w:t>PA</w:t>
            </w:r>
            <w:r w:rsidRPr="00162CAA">
              <w:rPr>
                <w:iCs/>
                <w:sz w:val="20"/>
                <w:szCs w:val="24"/>
                <w:lang w:val="pt-BR"/>
              </w:rPr>
              <w:t xml:space="preserve">HR </w:t>
            </w:r>
            <w:r w:rsidRPr="00162CAA">
              <w:rPr>
                <w:i/>
                <w:iCs/>
                <w:sz w:val="20"/>
                <w:szCs w:val="24"/>
                <w:vertAlign w:val="subscript"/>
                <w:lang w:val="pt-BR"/>
              </w:rPr>
              <w:t xml:space="preserve">q, </w:t>
            </w:r>
            <w:r w:rsidRPr="00162CAA">
              <w:rPr>
                <w:i/>
                <w:iCs/>
                <w:sz w:val="20"/>
                <w:szCs w:val="24"/>
                <w:vertAlign w:val="subscript"/>
              </w:rPr>
              <w:t xml:space="preserve">r, </w:t>
            </w:r>
            <w:r w:rsidRPr="00162CAA">
              <w:rPr>
                <w:i/>
                <w:iCs/>
                <w:sz w:val="20"/>
                <w:szCs w:val="24"/>
                <w:vertAlign w:val="subscript"/>
                <w:lang w:val="es-ES"/>
              </w:rPr>
              <w:t>i</w:t>
            </w:r>
          </w:p>
        </w:tc>
        <w:tc>
          <w:tcPr>
            <w:tcW w:w="607" w:type="pct"/>
            <w:tcBorders>
              <w:top w:val="single" w:sz="6" w:space="0" w:color="auto"/>
              <w:left w:val="single" w:sz="6" w:space="0" w:color="auto"/>
              <w:bottom w:val="single" w:sz="6" w:space="0" w:color="auto"/>
              <w:right w:val="single" w:sz="6" w:space="0" w:color="auto"/>
            </w:tcBorders>
            <w:hideMark/>
          </w:tcPr>
          <w:p w14:paraId="7F1BB6D7" w14:textId="77777777" w:rsidR="00162CAA" w:rsidRPr="00162CAA" w:rsidRDefault="00162CAA" w:rsidP="00162CAA">
            <w:pPr>
              <w:spacing w:after="60"/>
              <w:rPr>
                <w:iCs/>
                <w:sz w:val="20"/>
                <w:szCs w:val="24"/>
              </w:rPr>
            </w:pPr>
            <w:r w:rsidRPr="00162CAA">
              <w:rPr>
                <w:iCs/>
                <w:sz w:val="20"/>
                <w:szCs w:val="24"/>
              </w:rPr>
              <w:t>MMBtu / MWh</w:t>
            </w:r>
          </w:p>
        </w:tc>
        <w:tc>
          <w:tcPr>
            <w:tcW w:w="3385" w:type="pct"/>
            <w:tcBorders>
              <w:top w:val="single" w:sz="6" w:space="0" w:color="auto"/>
              <w:left w:val="single" w:sz="6" w:space="0" w:color="auto"/>
              <w:bottom w:val="single" w:sz="6" w:space="0" w:color="auto"/>
              <w:right w:val="single" w:sz="4" w:space="0" w:color="auto"/>
            </w:tcBorders>
            <w:hideMark/>
          </w:tcPr>
          <w:p w14:paraId="6542455F" w14:textId="78233023" w:rsidR="00162CAA" w:rsidRPr="00162CAA" w:rsidRDefault="00162CAA" w:rsidP="00162CAA">
            <w:pPr>
              <w:spacing w:after="60"/>
              <w:rPr>
                <w:i/>
                <w:iCs/>
                <w:sz w:val="20"/>
                <w:szCs w:val="24"/>
              </w:rPr>
            </w:pPr>
            <w:r w:rsidRPr="00162CAA">
              <w:rPr>
                <w:i/>
                <w:iCs/>
                <w:sz w:val="20"/>
                <w:szCs w:val="24"/>
              </w:rPr>
              <w:t xml:space="preserve">Proxy Average Heat Rate – </w:t>
            </w:r>
            <w:r w:rsidRPr="00162CAA">
              <w:rPr>
                <w:iCs/>
                <w:sz w:val="20"/>
                <w:szCs w:val="24"/>
              </w:rPr>
              <w:t xml:space="preserve">The proxy average heat rate for the Resource </w:t>
            </w:r>
            <w:r w:rsidRPr="00162CAA">
              <w:rPr>
                <w:i/>
                <w:iCs/>
                <w:sz w:val="20"/>
                <w:szCs w:val="24"/>
              </w:rPr>
              <w:t>r,</w:t>
            </w:r>
            <w:r w:rsidRPr="00162CAA">
              <w:rPr>
                <w:iCs/>
                <w:sz w:val="20"/>
                <w:szCs w:val="24"/>
              </w:rPr>
              <w:t xml:space="preserve"> represented by QSE</w:t>
            </w:r>
            <w:r w:rsidRPr="00162CAA">
              <w:rPr>
                <w:i/>
                <w:iCs/>
                <w:sz w:val="20"/>
                <w:szCs w:val="24"/>
              </w:rPr>
              <w:t xml:space="preserve"> q</w:t>
            </w:r>
            <w:r w:rsidRPr="00162CAA">
              <w:rPr>
                <w:iCs/>
                <w:sz w:val="20"/>
                <w:szCs w:val="24"/>
              </w:rPr>
              <w:t xml:space="preserve">, for the 15-minute Settlement Interval </w:t>
            </w:r>
            <w:r w:rsidRPr="00162CAA">
              <w:rPr>
                <w:i/>
                <w:iCs/>
                <w:sz w:val="20"/>
                <w:szCs w:val="24"/>
              </w:rPr>
              <w:t>i</w:t>
            </w:r>
            <w:r w:rsidRPr="00162CAA">
              <w:rPr>
                <w:iCs/>
                <w:sz w:val="20"/>
                <w:szCs w:val="24"/>
              </w:rPr>
              <w:t xml:space="preserve">.  Where for a Combined Cycle Train, the Resource </w:t>
            </w:r>
            <w:r w:rsidRPr="00162CAA">
              <w:rPr>
                <w:i/>
                <w:iCs/>
                <w:sz w:val="20"/>
                <w:szCs w:val="24"/>
              </w:rPr>
              <w:t xml:space="preserve">r </w:t>
            </w:r>
            <w:r w:rsidRPr="00162CAA">
              <w:rPr>
                <w:iCs/>
                <w:sz w:val="20"/>
                <w:szCs w:val="24"/>
              </w:rPr>
              <w:t>is a Combined Cycle Generation Resource within the Combined Cycle Train.</w:t>
            </w:r>
          </w:p>
        </w:tc>
      </w:tr>
      <w:tr w:rsidR="00162CAA" w:rsidRPr="00162CAA" w14:paraId="2833A6CE"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66D087B" w14:textId="77777777" w:rsidR="00162CAA" w:rsidRPr="00162CAA" w:rsidRDefault="00162CAA" w:rsidP="00162CAA">
            <w:pPr>
              <w:spacing w:after="60"/>
              <w:rPr>
                <w:iCs/>
                <w:sz w:val="20"/>
                <w:szCs w:val="24"/>
              </w:rPr>
            </w:pPr>
            <w:r w:rsidRPr="00162CAA">
              <w:rPr>
                <w:iCs/>
                <w:sz w:val="20"/>
                <w:szCs w:val="24"/>
              </w:rPr>
              <w:t xml:space="preserve">RTMG </w:t>
            </w:r>
            <w:r w:rsidRPr="00162CAA">
              <w:rPr>
                <w:i/>
                <w:iCs/>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7FEB3F34"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7EE4BD00" w14:textId="41245C35" w:rsidR="00162CAA" w:rsidRPr="00162CAA" w:rsidRDefault="00162CAA" w:rsidP="00162CAA">
            <w:pPr>
              <w:spacing w:after="60"/>
              <w:rPr>
                <w:iCs/>
                <w:sz w:val="20"/>
                <w:szCs w:val="24"/>
              </w:rPr>
            </w:pPr>
            <w:r w:rsidRPr="00162CAA">
              <w:rPr>
                <w:i/>
                <w:iCs/>
                <w:sz w:val="20"/>
                <w:szCs w:val="24"/>
              </w:rPr>
              <w:t>Real-Time Metered Generation per QSE per Resource by Settlement Interval by hour</w:t>
            </w:r>
            <w:r w:rsidR="00074771">
              <w:rPr>
                <w:i/>
                <w:iCs/>
                <w:sz w:val="20"/>
                <w:szCs w:val="24"/>
              </w:rPr>
              <w:t xml:space="preserve"> </w:t>
            </w:r>
            <w:r w:rsidR="00074771" w:rsidRPr="00162CAA">
              <w:rPr>
                <w:i/>
                <w:iCs/>
                <w:sz w:val="20"/>
                <w:szCs w:val="24"/>
              </w:rPr>
              <w:t>–</w:t>
            </w:r>
            <w:r w:rsidR="00074771">
              <w:rPr>
                <w:i/>
                <w:iCs/>
                <w:sz w:val="20"/>
                <w:szCs w:val="24"/>
              </w:rPr>
              <w:t xml:space="preserve"> </w:t>
            </w:r>
            <w:r w:rsidRPr="00162CAA">
              <w:rPr>
                <w:iCs/>
                <w:sz w:val="20"/>
                <w:szCs w:val="24"/>
              </w:rPr>
              <w:t xml:space="preserve">The Real-Time energy from Resource </w:t>
            </w:r>
            <w:r w:rsidRPr="00162CAA">
              <w:rPr>
                <w:i/>
                <w:sz w:val="20"/>
                <w:szCs w:val="24"/>
              </w:rPr>
              <w:t>r</w:t>
            </w:r>
            <w:r w:rsidRPr="00162CAA">
              <w:rPr>
                <w:iCs/>
                <w:sz w:val="20"/>
                <w:szCs w:val="24"/>
              </w:rPr>
              <w:t xml:space="preserve"> represented by QSE </w:t>
            </w:r>
            <w:r w:rsidRPr="00162CAA">
              <w:rPr>
                <w:i/>
                <w:sz w:val="20"/>
                <w:szCs w:val="24"/>
              </w:rPr>
              <w:t>q</w:t>
            </w:r>
            <w:r w:rsidRPr="00162CAA">
              <w:rPr>
                <w:iCs/>
                <w:sz w:val="20"/>
                <w:szCs w:val="24"/>
              </w:rPr>
              <w:t xml:space="preserve">, for the 15-minute Settlement Interval </w:t>
            </w:r>
            <w:r w:rsidRPr="00162CAA">
              <w:rPr>
                <w:i/>
                <w:sz w:val="20"/>
                <w:szCs w:val="24"/>
              </w:rPr>
              <w:t>i</w:t>
            </w:r>
            <w:r w:rsidRPr="00162CAA">
              <w:rPr>
                <w:iCs/>
                <w:sz w:val="20"/>
                <w:szCs w:val="24"/>
              </w:rPr>
              <w:t xml:space="preserve">.  Where for a Combined Cycle Train, the Resource </w:t>
            </w:r>
            <w:r w:rsidRPr="00D61479">
              <w:rPr>
                <w:i/>
                <w:sz w:val="20"/>
                <w:szCs w:val="24"/>
              </w:rPr>
              <w:t>r</w:t>
            </w:r>
            <w:r w:rsidRPr="00162CAA">
              <w:rPr>
                <w:iCs/>
                <w:sz w:val="20"/>
                <w:szCs w:val="24"/>
              </w:rPr>
              <w:t xml:space="preserve"> is the Combined Cycle Train.  For Resources that are granted a dispute under Section 9.14.7, the Real-Time energy represents the energy produced for operations above LSL.</w:t>
            </w:r>
          </w:p>
        </w:tc>
      </w:tr>
      <w:tr w:rsidR="00162CAA" w:rsidRPr="00162CAA" w14:paraId="0B46C28D"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09305C6" w14:textId="77777777" w:rsidR="00162CAA" w:rsidRPr="00162CAA" w:rsidRDefault="00162CAA" w:rsidP="00162CAA">
            <w:pPr>
              <w:spacing w:after="60"/>
              <w:rPr>
                <w:iCs/>
                <w:sz w:val="20"/>
                <w:szCs w:val="24"/>
              </w:rPr>
            </w:pPr>
            <w:r w:rsidRPr="00162CAA">
              <w:rPr>
                <w:iCs/>
                <w:sz w:val="20"/>
                <w:szCs w:val="24"/>
              </w:rPr>
              <w:t>MEP</w:t>
            </w:r>
            <w:r w:rsidRPr="00162CAA">
              <w:rPr>
                <w:szCs w:val="24"/>
              </w:rPr>
              <w:t xml:space="preserve"> </w:t>
            </w:r>
            <w:r w:rsidRPr="00162CAA">
              <w:rPr>
                <w:i/>
                <w:iCs/>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03516E13"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5F88D04" w14:textId="7004FCEB" w:rsidR="00162CAA" w:rsidRPr="00162CAA" w:rsidRDefault="00162CAA" w:rsidP="00162CAA">
            <w:pPr>
              <w:spacing w:after="60"/>
              <w:rPr>
                <w:i/>
                <w:iCs/>
                <w:sz w:val="20"/>
                <w:szCs w:val="24"/>
              </w:rPr>
            </w:pPr>
            <w:r w:rsidRPr="00162CAA">
              <w:rPr>
                <w:i/>
                <w:iCs/>
                <w:sz w:val="20"/>
                <w:szCs w:val="24"/>
              </w:rPr>
              <w:t xml:space="preserve">Marginal Energy Production per QSE per Resource by Settlement Interval </w:t>
            </w:r>
            <w:r w:rsidR="00AC7B7A" w:rsidRPr="00162CAA">
              <w:rPr>
                <w:i/>
                <w:iCs/>
                <w:sz w:val="20"/>
                <w:szCs w:val="24"/>
              </w:rPr>
              <w:t>–</w:t>
            </w:r>
            <w:r w:rsidRPr="00162CAA">
              <w:rPr>
                <w:szCs w:val="24"/>
              </w:rPr>
              <w:t xml:space="preserve"> </w:t>
            </w:r>
            <w:r w:rsidRPr="00162CAA">
              <w:rPr>
                <w:iCs/>
                <w:sz w:val="20"/>
                <w:szCs w:val="24"/>
              </w:rPr>
              <w:t xml:space="preserve">The calculated marginal generation of Resource </w:t>
            </w:r>
            <w:r w:rsidRPr="00162CAA">
              <w:rPr>
                <w:i/>
                <w:sz w:val="20"/>
                <w:szCs w:val="24"/>
              </w:rPr>
              <w:t>r</w:t>
            </w:r>
            <w:r w:rsidRPr="00162CAA">
              <w:rPr>
                <w:iCs/>
                <w:sz w:val="20"/>
                <w:szCs w:val="24"/>
              </w:rPr>
              <w:t xml:space="preserve"> represented by QSE </w:t>
            </w:r>
            <w:r w:rsidRPr="00162CAA">
              <w:rPr>
                <w:i/>
                <w:sz w:val="20"/>
                <w:szCs w:val="24"/>
              </w:rPr>
              <w:t>q</w:t>
            </w:r>
            <w:r w:rsidRPr="00162CAA">
              <w:rPr>
                <w:iCs/>
                <w:sz w:val="20"/>
                <w:szCs w:val="24"/>
              </w:rPr>
              <w:t xml:space="preserve"> in Real-Time for the 15-minute Settlement Interval </w:t>
            </w:r>
            <w:r w:rsidRPr="00162CAA">
              <w:rPr>
                <w:i/>
                <w:sz w:val="20"/>
                <w:szCs w:val="24"/>
              </w:rPr>
              <w:t>i</w:t>
            </w:r>
            <w:r w:rsidRPr="00162CAA">
              <w:rPr>
                <w:iCs/>
                <w:sz w:val="20"/>
                <w:szCs w:val="24"/>
              </w:rPr>
              <w:t xml:space="preserve">.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20572FC6"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34A25B83" w14:textId="77777777" w:rsidR="00162CAA" w:rsidRPr="00162CAA" w:rsidRDefault="00162CAA" w:rsidP="00162CAA">
            <w:pPr>
              <w:spacing w:after="60"/>
              <w:rPr>
                <w:i/>
                <w:iCs/>
                <w:sz w:val="20"/>
                <w:szCs w:val="24"/>
              </w:rPr>
            </w:pPr>
            <w:r w:rsidRPr="00162CAA">
              <w:rPr>
                <w:i/>
                <w:iCs/>
                <w:sz w:val="20"/>
                <w:szCs w:val="24"/>
              </w:rPr>
              <w:t>q</w:t>
            </w:r>
          </w:p>
        </w:tc>
        <w:tc>
          <w:tcPr>
            <w:tcW w:w="607" w:type="pct"/>
            <w:tcBorders>
              <w:top w:val="single" w:sz="6" w:space="0" w:color="auto"/>
              <w:left w:val="single" w:sz="6" w:space="0" w:color="auto"/>
              <w:bottom w:val="single" w:sz="6" w:space="0" w:color="auto"/>
              <w:right w:val="single" w:sz="6" w:space="0" w:color="auto"/>
            </w:tcBorders>
            <w:hideMark/>
          </w:tcPr>
          <w:p w14:paraId="539D8495"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5CF439B8" w14:textId="77777777" w:rsidR="00162CAA" w:rsidRPr="00162CAA" w:rsidRDefault="00162CAA" w:rsidP="00162CAA">
            <w:pPr>
              <w:spacing w:after="60"/>
              <w:rPr>
                <w:iCs/>
                <w:sz w:val="20"/>
                <w:szCs w:val="24"/>
              </w:rPr>
            </w:pPr>
            <w:r w:rsidRPr="00162CAA">
              <w:rPr>
                <w:iCs/>
                <w:sz w:val="20"/>
                <w:szCs w:val="24"/>
              </w:rPr>
              <w:t>A QSE.</w:t>
            </w:r>
          </w:p>
        </w:tc>
      </w:tr>
      <w:tr w:rsidR="00162CAA" w:rsidRPr="00162CAA" w14:paraId="698260F0"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4BD06FEF" w14:textId="77777777" w:rsidR="00162CAA" w:rsidRPr="00162CAA" w:rsidRDefault="00162CAA" w:rsidP="00162CAA">
            <w:pPr>
              <w:spacing w:after="60"/>
              <w:rPr>
                <w:i/>
                <w:iCs/>
                <w:sz w:val="20"/>
                <w:szCs w:val="24"/>
              </w:rPr>
            </w:pPr>
            <w:r w:rsidRPr="00162CAA">
              <w:rPr>
                <w:i/>
                <w:iCs/>
                <w:sz w:val="20"/>
                <w:szCs w:val="24"/>
              </w:rPr>
              <w:t>r</w:t>
            </w:r>
          </w:p>
        </w:tc>
        <w:tc>
          <w:tcPr>
            <w:tcW w:w="607" w:type="pct"/>
            <w:tcBorders>
              <w:top w:val="single" w:sz="6" w:space="0" w:color="auto"/>
              <w:left w:val="single" w:sz="6" w:space="0" w:color="auto"/>
              <w:bottom w:val="single" w:sz="6" w:space="0" w:color="auto"/>
              <w:right w:val="single" w:sz="6" w:space="0" w:color="auto"/>
            </w:tcBorders>
            <w:hideMark/>
          </w:tcPr>
          <w:p w14:paraId="1662F5B9"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6D798223" w14:textId="77777777" w:rsidR="00162CAA" w:rsidRPr="00162CAA" w:rsidRDefault="00162CAA" w:rsidP="00162CAA">
            <w:pPr>
              <w:spacing w:after="60"/>
              <w:rPr>
                <w:iCs/>
                <w:sz w:val="20"/>
                <w:szCs w:val="24"/>
              </w:rPr>
            </w:pPr>
            <w:r w:rsidRPr="00162CAA">
              <w:rPr>
                <w:iCs/>
                <w:sz w:val="20"/>
                <w:szCs w:val="24"/>
              </w:rPr>
              <w:t>A Generation Resource or ESR.</w:t>
            </w:r>
          </w:p>
        </w:tc>
      </w:tr>
      <w:tr w:rsidR="00162CAA" w:rsidRPr="00162CAA" w14:paraId="179EADC1"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49CDCA80" w14:textId="77777777" w:rsidR="00162CAA" w:rsidRPr="00162CAA" w:rsidRDefault="00162CAA" w:rsidP="00162CAA">
            <w:pPr>
              <w:spacing w:after="60"/>
              <w:rPr>
                <w:i/>
                <w:iCs/>
                <w:sz w:val="20"/>
                <w:szCs w:val="24"/>
              </w:rPr>
            </w:pPr>
            <w:r w:rsidRPr="00162CAA">
              <w:rPr>
                <w:i/>
                <w:iCs/>
                <w:sz w:val="20"/>
                <w:szCs w:val="24"/>
              </w:rPr>
              <w:t>i</w:t>
            </w:r>
          </w:p>
        </w:tc>
        <w:tc>
          <w:tcPr>
            <w:tcW w:w="607" w:type="pct"/>
            <w:tcBorders>
              <w:top w:val="single" w:sz="6" w:space="0" w:color="auto"/>
              <w:left w:val="single" w:sz="6" w:space="0" w:color="auto"/>
              <w:bottom w:val="single" w:sz="6" w:space="0" w:color="auto"/>
              <w:right w:val="single" w:sz="6" w:space="0" w:color="auto"/>
            </w:tcBorders>
            <w:hideMark/>
          </w:tcPr>
          <w:p w14:paraId="76DE7F3E"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50C45932" w14:textId="77777777" w:rsidR="00162CAA" w:rsidRPr="00162CAA" w:rsidRDefault="00162CAA" w:rsidP="00162CAA">
            <w:pPr>
              <w:spacing w:after="60"/>
              <w:rPr>
                <w:iCs/>
                <w:sz w:val="20"/>
                <w:szCs w:val="24"/>
              </w:rPr>
            </w:pPr>
            <w:r w:rsidRPr="00162CAA">
              <w:rPr>
                <w:iCs/>
                <w:sz w:val="20"/>
                <w:szCs w:val="24"/>
              </w:rPr>
              <w:t>A 15-minute Settlement Interval within the Operating Day during an LCAP Effective Period.</w:t>
            </w:r>
          </w:p>
        </w:tc>
      </w:tr>
      <w:tr w:rsidR="00162CAA" w:rsidRPr="00162CAA" w14:paraId="3B635D5B"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3D7C8FBE" w14:textId="77777777" w:rsidR="00162CAA" w:rsidRPr="00162CAA" w:rsidRDefault="00162CAA" w:rsidP="00162CAA">
            <w:pPr>
              <w:spacing w:after="60"/>
              <w:rPr>
                <w:i/>
                <w:iCs/>
                <w:sz w:val="20"/>
                <w:szCs w:val="24"/>
              </w:rPr>
            </w:pPr>
            <w:r w:rsidRPr="00162CAA">
              <w:rPr>
                <w:i/>
                <w:iCs/>
                <w:sz w:val="20"/>
                <w:szCs w:val="24"/>
              </w:rPr>
              <w:t>rc</w:t>
            </w:r>
          </w:p>
        </w:tc>
        <w:tc>
          <w:tcPr>
            <w:tcW w:w="607" w:type="pct"/>
            <w:tcBorders>
              <w:top w:val="single" w:sz="6" w:space="0" w:color="auto"/>
              <w:left w:val="single" w:sz="6" w:space="0" w:color="auto"/>
              <w:bottom w:val="single" w:sz="6" w:space="0" w:color="auto"/>
              <w:right w:val="single" w:sz="6" w:space="0" w:color="auto"/>
            </w:tcBorders>
            <w:hideMark/>
          </w:tcPr>
          <w:p w14:paraId="6EA34290"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083D86A7" w14:textId="408D9776" w:rsidR="00162CAA" w:rsidRPr="00162CAA" w:rsidRDefault="00162CAA" w:rsidP="00162CAA">
            <w:pPr>
              <w:spacing w:after="60"/>
              <w:rPr>
                <w:iCs/>
                <w:sz w:val="20"/>
                <w:szCs w:val="24"/>
              </w:rPr>
            </w:pPr>
            <w:r w:rsidRPr="00162CAA">
              <w:rPr>
                <w:iCs/>
                <w:sz w:val="20"/>
                <w:szCs w:val="24"/>
              </w:rPr>
              <w:t>A Resource category</w:t>
            </w:r>
            <w:r w:rsidR="00AC7B7A">
              <w:rPr>
                <w:iCs/>
                <w:sz w:val="20"/>
                <w:szCs w:val="24"/>
              </w:rPr>
              <w:t>.</w:t>
            </w:r>
          </w:p>
        </w:tc>
      </w:tr>
    </w:tbl>
    <w:p w14:paraId="6E0137BC" w14:textId="6F8D2BA8" w:rsidR="00162CAA" w:rsidRPr="00162CAA" w:rsidRDefault="00162CAA" w:rsidP="00162CAA">
      <w:pPr>
        <w:spacing w:before="240" w:after="240"/>
        <w:ind w:left="720" w:hanging="720"/>
        <w:rPr>
          <w:iCs/>
          <w:szCs w:val="24"/>
        </w:rPr>
      </w:pPr>
      <w:r w:rsidRPr="00162CAA">
        <w:rPr>
          <w:iCs/>
          <w:szCs w:val="24"/>
        </w:rPr>
        <w:t>(</w:t>
      </w:r>
      <w:r w:rsidR="00010E34">
        <w:rPr>
          <w:iCs/>
          <w:szCs w:val="24"/>
        </w:rPr>
        <w:t>4</w:t>
      </w:r>
      <w:r w:rsidRPr="00162CAA">
        <w:rPr>
          <w:iCs/>
          <w:szCs w:val="24"/>
        </w:rPr>
        <w:t>)</w:t>
      </w:r>
      <w:r w:rsidRPr="00162CAA">
        <w:rPr>
          <w:iCs/>
          <w:szCs w:val="24"/>
        </w:rPr>
        <w:tab/>
        <w:t>The total compensation to each QSE for operating losses during an LCAP Effective Period for the 15-minute Settlement Interval is calculated as follows:</w:t>
      </w:r>
    </w:p>
    <w:p w14:paraId="3FC412AB" w14:textId="1D3B862C" w:rsidR="00162CAA" w:rsidRPr="003D3379" w:rsidRDefault="00162CAA" w:rsidP="00162CAA">
      <w:pPr>
        <w:spacing w:after="240"/>
        <w:ind w:left="1440" w:hanging="720"/>
        <w:rPr>
          <w:b/>
          <w:bCs/>
          <w:i/>
          <w:iCs/>
          <w:szCs w:val="24"/>
          <w:vertAlign w:val="subscript"/>
          <w:lang w:val="es-ES"/>
        </w:rPr>
      </w:pPr>
      <w:r w:rsidRPr="003D3379">
        <w:rPr>
          <w:b/>
          <w:bCs/>
          <w:iCs/>
          <w:szCs w:val="24"/>
        </w:rPr>
        <w:t xml:space="preserve">OPLPAMTQSETOT </w:t>
      </w:r>
      <w:r w:rsidRPr="003D3379">
        <w:rPr>
          <w:b/>
          <w:bCs/>
          <w:i/>
          <w:iCs/>
          <w:szCs w:val="24"/>
          <w:vertAlign w:val="subscript"/>
        </w:rPr>
        <w:t xml:space="preserve">q  </w:t>
      </w:r>
      <w:r w:rsidRPr="003D3379">
        <w:rPr>
          <w:b/>
          <w:bCs/>
          <w:iCs/>
          <w:szCs w:val="24"/>
        </w:rPr>
        <w:t xml:space="preserve">       =  </w:t>
      </w:r>
      <w:r w:rsidRPr="003D3379">
        <w:rPr>
          <w:b/>
          <w:bCs/>
          <w:iCs/>
          <w:szCs w:val="24"/>
        </w:rPr>
        <w:tab/>
      </w:r>
      <w:r w:rsidRPr="003D3379">
        <w:rPr>
          <w:b/>
          <w:bCs/>
          <w:noProof/>
          <w:position w:val="-18"/>
          <w:szCs w:val="24"/>
        </w:rPr>
        <w:drawing>
          <wp:inline distT="0" distB="0" distL="0" distR="0" wp14:anchorId="3F9EDDAE" wp14:editId="4CAB3B85">
            <wp:extent cx="190500" cy="361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90500" cy="361950"/>
                    </a:xfrm>
                    <a:prstGeom prst="rect">
                      <a:avLst/>
                    </a:prstGeom>
                    <a:noFill/>
                    <a:ln>
                      <a:noFill/>
                    </a:ln>
                  </pic:spPr>
                </pic:pic>
              </a:graphicData>
            </a:graphic>
          </wp:inline>
        </w:drawing>
      </w:r>
      <w:r w:rsidRPr="003D3379">
        <w:rPr>
          <w:b/>
          <w:bCs/>
          <w:szCs w:val="24"/>
        </w:rPr>
        <w:t xml:space="preserve"> </w:t>
      </w:r>
      <w:r w:rsidRPr="003D3379">
        <w:rPr>
          <w:b/>
          <w:bCs/>
          <w:iCs/>
          <w:szCs w:val="24"/>
        </w:rPr>
        <w:t xml:space="preserve">OPLPAMT </w:t>
      </w:r>
      <w:r w:rsidRPr="003D3379">
        <w:rPr>
          <w:b/>
          <w:bCs/>
          <w:i/>
          <w:iCs/>
          <w:sz w:val="20"/>
          <w:szCs w:val="24"/>
          <w:vertAlign w:val="subscript"/>
        </w:rPr>
        <w:t>q, r, i</w:t>
      </w:r>
    </w:p>
    <w:p w14:paraId="600D0F33" w14:textId="77777777" w:rsidR="00162CAA" w:rsidRPr="00162CAA" w:rsidRDefault="00162CAA" w:rsidP="00162CAA">
      <w:pPr>
        <w:rPr>
          <w:szCs w:val="24"/>
        </w:rPr>
      </w:pPr>
      <w:r w:rsidRPr="00162CAA">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162CAA" w:rsidRPr="00162CAA" w14:paraId="338D95C1" w14:textId="77777777" w:rsidTr="00764A29">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700CF2A3" w14:textId="77777777" w:rsidR="00162CAA" w:rsidRPr="00162CAA" w:rsidRDefault="00162CAA" w:rsidP="00162CAA">
            <w:pPr>
              <w:spacing w:after="240"/>
              <w:rPr>
                <w:b/>
                <w:iCs/>
                <w:sz w:val="20"/>
                <w:szCs w:val="24"/>
              </w:rPr>
            </w:pPr>
            <w:r w:rsidRPr="00162CAA">
              <w:rPr>
                <w:b/>
                <w:iCs/>
                <w:sz w:val="20"/>
                <w:szCs w:val="24"/>
              </w:rPr>
              <w:t>Variable</w:t>
            </w:r>
          </w:p>
        </w:tc>
        <w:tc>
          <w:tcPr>
            <w:tcW w:w="433" w:type="pct"/>
            <w:tcBorders>
              <w:top w:val="single" w:sz="4" w:space="0" w:color="auto"/>
              <w:left w:val="single" w:sz="4" w:space="0" w:color="auto"/>
              <w:bottom w:val="single" w:sz="4" w:space="0" w:color="auto"/>
              <w:right w:val="single" w:sz="4" w:space="0" w:color="auto"/>
            </w:tcBorders>
            <w:hideMark/>
          </w:tcPr>
          <w:p w14:paraId="3BC5529F" w14:textId="77777777" w:rsidR="00162CAA" w:rsidRPr="00162CAA" w:rsidRDefault="00162CAA" w:rsidP="00162CAA">
            <w:pPr>
              <w:spacing w:after="240"/>
              <w:rPr>
                <w:b/>
                <w:iCs/>
                <w:sz w:val="20"/>
                <w:szCs w:val="24"/>
              </w:rPr>
            </w:pPr>
            <w:r w:rsidRPr="00162CAA">
              <w:rPr>
                <w:b/>
                <w:iCs/>
                <w:sz w:val="20"/>
                <w:szCs w:val="24"/>
              </w:rPr>
              <w:t>Unit</w:t>
            </w:r>
          </w:p>
        </w:tc>
        <w:tc>
          <w:tcPr>
            <w:tcW w:w="3174" w:type="pct"/>
            <w:tcBorders>
              <w:top w:val="single" w:sz="4" w:space="0" w:color="auto"/>
              <w:left w:val="single" w:sz="4" w:space="0" w:color="auto"/>
              <w:bottom w:val="single" w:sz="4" w:space="0" w:color="auto"/>
              <w:right w:val="single" w:sz="4" w:space="0" w:color="auto"/>
            </w:tcBorders>
            <w:hideMark/>
          </w:tcPr>
          <w:p w14:paraId="1BFF7DE6" w14:textId="77777777" w:rsidR="00162CAA" w:rsidRPr="00162CAA" w:rsidRDefault="00162CAA" w:rsidP="00162CAA">
            <w:pPr>
              <w:spacing w:after="240"/>
              <w:rPr>
                <w:b/>
                <w:iCs/>
                <w:sz w:val="20"/>
                <w:szCs w:val="24"/>
              </w:rPr>
            </w:pPr>
            <w:r w:rsidRPr="00162CAA">
              <w:rPr>
                <w:b/>
                <w:iCs/>
                <w:sz w:val="20"/>
                <w:szCs w:val="24"/>
              </w:rPr>
              <w:t>Definition</w:t>
            </w:r>
          </w:p>
        </w:tc>
      </w:tr>
      <w:tr w:rsidR="00162CAA" w:rsidRPr="00162CAA" w14:paraId="0AECBAB8" w14:textId="77777777" w:rsidTr="00764A29">
        <w:trPr>
          <w:cantSplit/>
        </w:trPr>
        <w:tc>
          <w:tcPr>
            <w:tcW w:w="1393" w:type="pct"/>
            <w:tcBorders>
              <w:top w:val="single" w:sz="4" w:space="0" w:color="auto"/>
              <w:left w:val="single" w:sz="4" w:space="0" w:color="auto"/>
              <w:bottom w:val="single" w:sz="4" w:space="0" w:color="auto"/>
              <w:right w:val="single" w:sz="4" w:space="0" w:color="auto"/>
            </w:tcBorders>
            <w:hideMark/>
          </w:tcPr>
          <w:p w14:paraId="59B6E59A" w14:textId="77777777" w:rsidR="00162CAA" w:rsidRPr="00162CAA" w:rsidRDefault="00162CAA" w:rsidP="00162CAA">
            <w:pPr>
              <w:spacing w:after="60"/>
              <w:rPr>
                <w:iCs/>
                <w:sz w:val="20"/>
                <w:szCs w:val="24"/>
              </w:rPr>
            </w:pPr>
            <w:r w:rsidRPr="00162CAA">
              <w:rPr>
                <w:iCs/>
                <w:sz w:val="20"/>
                <w:szCs w:val="24"/>
              </w:rPr>
              <w:t>OPLPAMTQSETOT</w:t>
            </w:r>
            <w:r w:rsidRPr="00162CAA">
              <w:rPr>
                <w:b/>
                <w:iCs/>
                <w:sz w:val="20"/>
                <w:szCs w:val="24"/>
              </w:rPr>
              <w:t xml:space="preserve"> </w:t>
            </w:r>
            <w:r w:rsidRPr="00162CAA">
              <w:rPr>
                <w:i/>
                <w:iCs/>
                <w:sz w:val="20"/>
                <w:szCs w:val="24"/>
                <w:vertAlign w:val="subscript"/>
              </w:rPr>
              <w:t>q</w:t>
            </w:r>
            <w:r w:rsidRPr="00162CAA">
              <w:rPr>
                <w:iCs/>
                <w:sz w:val="20"/>
                <w:szCs w:val="24"/>
              </w:rPr>
              <w:t xml:space="preserve"> </w:t>
            </w:r>
          </w:p>
        </w:tc>
        <w:tc>
          <w:tcPr>
            <w:tcW w:w="433" w:type="pct"/>
            <w:tcBorders>
              <w:top w:val="single" w:sz="4" w:space="0" w:color="auto"/>
              <w:left w:val="single" w:sz="4" w:space="0" w:color="auto"/>
              <w:bottom w:val="single" w:sz="4" w:space="0" w:color="auto"/>
              <w:right w:val="single" w:sz="4" w:space="0" w:color="auto"/>
            </w:tcBorders>
            <w:hideMark/>
          </w:tcPr>
          <w:p w14:paraId="589332A4" w14:textId="77777777" w:rsidR="00162CAA" w:rsidRPr="00162CAA" w:rsidRDefault="00162CAA" w:rsidP="00162CAA">
            <w:pPr>
              <w:spacing w:after="60"/>
              <w:rPr>
                <w:iCs/>
                <w:sz w:val="20"/>
                <w:szCs w:val="24"/>
              </w:rPr>
            </w:pPr>
            <w:r w:rsidRPr="00162CAA">
              <w:rPr>
                <w:iCs/>
                <w:sz w:val="20"/>
                <w:szCs w:val="24"/>
              </w:rPr>
              <w:t>$</w:t>
            </w:r>
          </w:p>
        </w:tc>
        <w:tc>
          <w:tcPr>
            <w:tcW w:w="3174" w:type="pct"/>
            <w:tcBorders>
              <w:top w:val="single" w:sz="4" w:space="0" w:color="auto"/>
              <w:left w:val="single" w:sz="4" w:space="0" w:color="auto"/>
              <w:bottom w:val="single" w:sz="4" w:space="0" w:color="auto"/>
              <w:right w:val="single" w:sz="4" w:space="0" w:color="auto"/>
            </w:tcBorders>
            <w:hideMark/>
          </w:tcPr>
          <w:p w14:paraId="220A946C" w14:textId="77777777" w:rsidR="00162CAA" w:rsidRPr="00162CAA" w:rsidRDefault="00162CAA" w:rsidP="00162CAA">
            <w:pPr>
              <w:spacing w:after="60"/>
              <w:rPr>
                <w:iCs/>
                <w:sz w:val="20"/>
                <w:szCs w:val="24"/>
              </w:rPr>
            </w:pPr>
            <w:r w:rsidRPr="00162CAA">
              <w:rPr>
                <w:i/>
                <w:iCs/>
                <w:sz w:val="20"/>
                <w:szCs w:val="24"/>
              </w:rPr>
              <w:t xml:space="preserve">Total Operating Losses Payment Amount per QSE – </w:t>
            </w:r>
            <w:r w:rsidRPr="00162CAA">
              <w:rPr>
                <w:iCs/>
                <w:sz w:val="20"/>
                <w:szCs w:val="24"/>
              </w:rPr>
              <w:t xml:space="preserve">The total operating losses payment to the QSE </w:t>
            </w:r>
            <w:r w:rsidRPr="00162CAA">
              <w:rPr>
                <w:i/>
                <w:sz w:val="20"/>
                <w:szCs w:val="24"/>
              </w:rPr>
              <w:t>q</w:t>
            </w:r>
            <w:r w:rsidRPr="00162CAA">
              <w:rPr>
                <w:iCs/>
                <w:sz w:val="20"/>
                <w:szCs w:val="24"/>
              </w:rPr>
              <w:t xml:space="preserve">, for all Resources, for the 15-minute Settlement Interval within the Operating Day.  </w:t>
            </w:r>
          </w:p>
        </w:tc>
      </w:tr>
      <w:tr w:rsidR="00162CAA" w:rsidRPr="00162CAA" w14:paraId="6E1C42CE" w14:textId="77777777" w:rsidTr="00764A29">
        <w:trPr>
          <w:cantSplit/>
        </w:trPr>
        <w:tc>
          <w:tcPr>
            <w:tcW w:w="1393" w:type="pct"/>
            <w:tcBorders>
              <w:top w:val="single" w:sz="4" w:space="0" w:color="auto"/>
              <w:left w:val="single" w:sz="4" w:space="0" w:color="auto"/>
              <w:bottom w:val="single" w:sz="4" w:space="0" w:color="auto"/>
              <w:right w:val="single" w:sz="4" w:space="0" w:color="auto"/>
            </w:tcBorders>
            <w:hideMark/>
          </w:tcPr>
          <w:p w14:paraId="36C3E343" w14:textId="77777777" w:rsidR="00162CAA" w:rsidRPr="00162CAA" w:rsidRDefault="00162CAA" w:rsidP="00162CAA">
            <w:pPr>
              <w:spacing w:after="60"/>
              <w:rPr>
                <w:iCs/>
                <w:sz w:val="20"/>
                <w:szCs w:val="24"/>
              </w:rPr>
            </w:pPr>
            <w:r w:rsidRPr="00162CAA">
              <w:rPr>
                <w:iCs/>
                <w:sz w:val="20"/>
                <w:szCs w:val="24"/>
              </w:rPr>
              <w:lastRenderedPageBreak/>
              <w:t xml:space="preserve">OPLPAMT </w:t>
            </w:r>
            <w:r w:rsidRPr="00162CAA">
              <w:rPr>
                <w:i/>
                <w:iCs/>
                <w:sz w:val="20"/>
                <w:szCs w:val="24"/>
                <w:vertAlign w:val="subscript"/>
              </w:rPr>
              <w:t>q, r, i</w:t>
            </w:r>
            <w:r w:rsidRPr="00162CAA">
              <w:rPr>
                <w:szCs w:val="24"/>
              </w:rPr>
              <w:t xml:space="preserve">  </w:t>
            </w:r>
          </w:p>
        </w:tc>
        <w:tc>
          <w:tcPr>
            <w:tcW w:w="433" w:type="pct"/>
            <w:tcBorders>
              <w:top w:val="single" w:sz="4" w:space="0" w:color="auto"/>
              <w:left w:val="single" w:sz="4" w:space="0" w:color="auto"/>
              <w:bottom w:val="single" w:sz="4" w:space="0" w:color="auto"/>
              <w:right w:val="single" w:sz="4" w:space="0" w:color="auto"/>
            </w:tcBorders>
            <w:hideMark/>
          </w:tcPr>
          <w:p w14:paraId="13F24095" w14:textId="77777777" w:rsidR="00162CAA" w:rsidRPr="00162CAA" w:rsidRDefault="00162CAA" w:rsidP="00162CAA">
            <w:pPr>
              <w:spacing w:after="60"/>
              <w:rPr>
                <w:i/>
                <w:iCs/>
                <w:sz w:val="20"/>
                <w:szCs w:val="24"/>
              </w:rPr>
            </w:pPr>
            <w:r w:rsidRPr="00162CAA">
              <w:rPr>
                <w:szCs w:val="24"/>
              </w:rPr>
              <w:t>$</w:t>
            </w:r>
          </w:p>
        </w:tc>
        <w:tc>
          <w:tcPr>
            <w:tcW w:w="3174" w:type="pct"/>
            <w:tcBorders>
              <w:top w:val="single" w:sz="4" w:space="0" w:color="auto"/>
              <w:left w:val="single" w:sz="4" w:space="0" w:color="auto"/>
              <w:bottom w:val="single" w:sz="4" w:space="0" w:color="auto"/>
              <w:right w:val="single" w:sz="4" w:space="0" w:color="auto"/>
            </w:tcBorders>
            <w:hideMark/>
          </w:tcPr>
          <w:p w14:paraId="4FA4534B" w14:textId="77777777" w:rsidR="00162CAA" w:rsidRPr="00162CAA" w:rsidRDefault="00162CAA" w:rsidP="00162CAA">
            <w:pPr>
              <w:spacing w:after="60"/>
              <w:rPr>
                <w:iCs/>
                <w:sz w:val="20"/>
                <w:szCs w:val="24"/>
              </w:rPr>
            </w:pPr>
            <w:r w:rsidRPr="00162CAA">
              <w:rPr>
                <w:i/>
                <w:iCs/>
                <w:sz w:val="20"/>
                <w:szCs w:val="24"/>
              </w:rPr>
              <w:t>Operating Losses Payment Amount</w:t>
            </w:r>
            <w:r w:rsidRPr="00162CAA">
              <w:rPr>
                <w:szCs w:val="24"/>
              </w:rPr>
              <w:t xml:space="preserve"> – </w:t>
            </w:r>
            <w:r w:rsidRPr="00162CAA">
              <w:rPr>
                <w:iCs/>
                <w:sz w:val="20"/>
                <w:szCs w:val="24"/>
              </w:rPr>
              <w:t xml:space="preserve">The operating losses payment to the QSE </w:t>
            </w:r>
            <w:r w:rsidRPr="00162CAA">
              <w:rPr>
                <w:i/>
                <w:sz w:val="20"/>
                <w:szCs w:val="24"/>
              </w:rPr>
              <w:t>q</w:t>
            </w:r>
            <w:r w:rsidRPr="00162CAA">
              <w:rPr>
                <w:iCs/>
                <w:sz w:val="20"/>
                <w:szCs w:val="24"/>
              </w:rPr>
              <w:t xml:space="preserve">, for Resource </w:t>
            </w:r>
            <w:r w:rsidRPr="00162CAA">
              <w:rPr>
                <w:i/>
                <w:sz w:val="20"/>
                <w:szCs w:val="24"/>
              </w:rPr>
              <w:t>r</w:t>
            </w:r>
            <w:r w:rsidRPr="00162CAA">
              <w:rPr>
                <w:iCs/>
                <w:sz w:val="20"/>
                <w:szCs w:val="24"/>
              </w:rPr>
              <w:t xml:space="preserve">, 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sz w:val="20"/>
                <w:szCs w:val="24"/>
              </w:rPr>
              <w:t>r</w:t>
            </w:r>
            <w:r w:rsidRPr="00162CAA">
              <w:rPr>
                <w:iCs/>
                <w:sz w:val="20"/>
                <w:szCs w:val="24"/>
              </w:rPr>
              <w:t xml:space="preserve"> is the Combined Cycle Train.</w:t>
            </w:r>
          </w:p>
        </w:tc>
      </w:tr>
      <w:tr w:rsidR="00162CAA" w:rsidRPr="00162CAA" w14:paraId="4FF942CC" w14:textId="77777777" w:rsidTr="00764A29">
        <w:trPr>
          <w:cantSplit/>
        </w:trPr>
        <w:tc>
          <w:tcPr>
            <w:tcW w:w="1393" w:type="pct"/>
            <w:tcBorders>
              <w:top w:val="single" w:sz="4" w:space="0" w:color="auto"/>
              <w:left w:val="single" w:sz="4" w:space="0" w:color="auto"/>
              <w:bottom w:val="single" w:sz="4" w:space="0" w:color="auto"/>
              <w:right w:val="single" w:sz="4" w:space="0" w:color="auto"/>
            </w:tcBorders>
            <w:hideMark/>
          </w:tcPr>
          <w:p w14:paraId="4D3BBB84" w14:textId="77777777" w:rsidR="00162CAA" w:rsidRPr="00162CAA" w:rsidRDefault="00162CAA" w:rsidP="00162CAA">
            <w:pPr>
              <w:spacing w:after="60"/>
              <w:rPr>
                <w:i/>
                <w:iCs/>
                <w:sz w:val="20"/>
                <w:szCs w:val="24"/>
              </w:rPr>
            </w:pPr>
            <w:r w:rsidRPr="00162CAA">
              <w:rPr>
                <w:i/>
                <w:iCs/>
                <w:sz w:val="20"/>
                <w:szCs w:val="24"/>
              </w:rPr>
              <w:t>q</w:t>
            </w:r>
          </w:p>
        </w:tc>
        <w:tc>
          <w:tcPr>
            <w:tcW w:w="433" w:type="pct"/>
            <w:tcBorders>
              <w:top w:val="single" w:sz="4" w:space="0" w:color="auto"/>
              <w:left w:val="single" w:sz="4" w:space="0" w:color="auto"/>
              <w:bottom w:val="single" w:sz="4" w:space="0" w:color="auto"/>
              <w:right w:val="single" w:sz="4" w:space="0" w:color="auto"/>
            </w:tcBorders>
            <w:hideMark/>
          </w:tcPr>
          <w:p w14:paraId="07959956" w14:textId="77777777" w:rsidR="00162CAA" w:rsidRPr="00162CAA" w:rsidRDefault="00162CAA" w:rsidP="00162CAA">
            <w:pPr>
              <w:spacing w:after="60"/>
              <w:rPr>
                <w:iCs/>
                <w:sz w:val="20"/>
                <w:szCs w:val="24"/>
              </w:rPr>
            </w:pPr>
            <w:r w:rsidRPr="00162CAA">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11283EAE" w14:textId="77777777" w:rsidR="00162CAA" w:rsidRPr="00162CAA" w:rsidRDefault="00162CAA" w:rsidP="00162CAA">
            <w:pPr>
              <w:spacing w:after="60"/>
              <w:rPr>
                <w:iCs/>
                <w:sz w:val="20"/>
                <w:szCs w:val="24"/>
              </w:rPr>
            </w:pPr>
            <w:r w:rsidRPr="00162CAA">
              <w:rPr>
                <w:iCs/>
                <w:sz w:val="20"/>
                <w:szCs w:val="24"/>
              </w:rPr>
              <w:t>A QSE.</w:t>
            </w:r>
          </w:p>
        </w:tc>
      </w:tr>
      <w:tr w:rsidR="00162CAA" w:rsidRPr="00162CAA" w14:paraId="3BC7ADAE" w14:textId="77777777" w:rsidTr="00764A29">
        <w:trPr>
          <w:cantSplit/>
        </w:trPr>
        <w:tc>
          <w:tcPr>
            <w:tcW w:w="1393" w:type="pct"/>
            <w:tcBorders>
              <w:top w:val="single" w:sz="4" w:space="0" w:color="auto"/>
              <w:left w:val="single" w:sz="4" w:space="0" w:color="auto"/>
              <w:bottom w:val="single" w:sz="4" w:space="0" w:color="auto"/>
              <w:right w:val="single" w:sz="4" w:space="0" w:color="auto"/>
            </w:tcBorders>
            <w:hideMark/>
          </w:tcPr>
          <w:p w14:paraId="28845EAF" w14:textId="77777777" w:rsidR="00162CAA" w:rsidRPr="00162CAA" w:rsidRDefault="00162CAA" w:rsidP="00162CAA">
            <w:pPr>
              <w:spacing w:after="60"/>
              <w:rPr>
                <w:i/>
                <w:iCs/>
                <w:sz w:val="20"/>
                <w:szCs w:val="24"/>
              </w:rPr>
            </w:pPr>
            <w:r w:rsidRPr="00162CAA">
              <w:rPr>
                <w:i/>
                <w:iCs/>
                <w:sz w:val="20"/>
                <w:szCs w:val="24"/>
              </w:rPr>
              <w:t>r</w:t>
            </w:r>
          </w:p>
        </w:tc>
        <w:tc>
          <w:tcPr>
            <w:tcW w:w="433" w:type="pct"/>
            <w:tcBorders>
              <w:top w:val="single" w:sz="4" w:space="0" w:color="auto"/>
              <w:left w:val="single" w:sz="4" w:space="0" w:color="auto"/>
              <w:bottom w:val="single" w:sz="4" w:space="0" w:color="auto"/>
              <w:right w:val="single" w:sz="4" w:space="0" w:color="auto"/>
            </w:tcBorders>
            <w:hideMark/>
          </w:tcPr>
          <w:p w14:paraId="7931197E" w14:textId="77777777" w:rsidR="00162CAA" w:rsidRPr="00162CAA" w:rsidRDefault="00162CAA" w:rsidP="00162CAA">
            <w:pPr>
              <w:spacing w:after="60"/>
              <w:rPr>
                <w:iCs/>
                <w:sz w:val="20"/>
                <w:szCs w:val="24"/>
              </w:rPr>
            </w:pPr>
            <w:r w:rsidRPr="00162CAA">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6BABE045" w14:textId="77777777" w:rsidR="00162CAA" w:rsidRPr="00162CAA" w:rsidRDefault="00162CAA" w:rsidP="00162CAA">
            <w:pPr>
              <w:spacing w:after="60"/>
              <w:rPr>
                <w:iCs/>
                <w:sz w:val="20"/>
                <w:szCs w:val="24"/>
              </w:rPr>
            </w:pPr>
            <w:r w:rsidRPr="00162CAA">
              <w:rPr>
                <w:iCs/>
                <w:sz w:val="20"/>
                <w:szCs w:val="24"/>
              </w:rPr>
              <w:t>A Generation Resource or ESR.</w:t>
            </w:r>
          </w:p>
        </w:tc>
      </w:tr>
      <w:tr w:rsidR="00162CAA" w:rsidRPr="00162CAA" w14:paraId="7F2411BD" w14:textId="77777777" w:rsidTr="00764A29">
        <w:trPr>
          <w:cantSplit/>
        </w:trPr>
        <w:tc>
          <w:tcPr>
            <w:tcW w:w="1393" w:type="pct"/>
            <w:tcBorders>
              <w:top w:val="single" w:sz="4" w:space="0" w:color="auto"/>
              <w:left w:val="single" w:sz="4" w:space="0" w:color="auto"/>
              <w:bottom w:val="single" w:sz="4" w:space="0" w:color="auto"/>
              <w:right w:val="single" w:sz="4" w:space="0" w:color="auto"/>
            </w:tcBorders>
            <w:hideMark/>
          </w:tcPr>
          <w:p w14:paraId="765EB45D" w14:textId="77777777" w:rsidR="00162CAA" w:rsidRPr="00162CAA" w:rsidRDefault="00162CAA" w:rsidP="00162CAA">
            <w:pPr>
              <w:spacing w:after="60"/>
              <w:rPr>
                <w:i/>
                <w:iCs/>
                <w:sz w:val="20"/>
                <w:szCs w:val="24"/>
              </w:rPr>
            </w:pPr>
            <w:r w:rsidRPr="00162CAA">
              <w:rPr>
                <w:i/>
                <w:iCs/>
                <w:sz w:val="20"/>
                <w:szCs w:val="24"/>
              </w:rPr>
              <w:t>i</w:t>
            </w:r>
          </w:p>
        </w:tc>
        <w:tc>
          <w:tcPr>
            <w:tcW w:w="433" w:type="pct"/>
            <w:tcBorders>
              <w:top w:val="single" w:sz="4" w:space="0" w:color="auto"/>
              <w:left w:val="single" w:sz="4" w:space="0" w:color="auto"/>
              <w:bottom w:val="single" w:sz="4" w:space="0" w:color="auto"/>
              <w:right w:val="single" w:sz="4" w:space="0" w:color="auto"/>
            </w:tcBorders>
            <w:hideMark/>
          </w:tcPr>
          <w:p w14:paraId="2A3A50EB" w14:textId="77777777" w:rsidR="00162CAA" w:rsidRPr="00162CAA" w:rsidRDefault="00162CAA" w:rsidP="00162CAA">
            <w:pPr>
              <w:spacing w:after="60"/>
              <w:rPr>
                <w:iCs/>
                <w:sz w:val="20"/>
                <w:szCs w:val="24"/>
              </w:rPr>
            </w:pPr>
            <w:r w:rsidRPr="00162CAA">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1A3F0809" w14:textId="77777777" w:rsidR="00162CAA" w:rsidRPr="00162CAA" w:rsidRDefault="00162CAA" w:rsidP="00162CAA">
            <w:pPr>
              <w:spacing w:after="60"/>
              <w:rPr>
                <w:iCs/>
                <w:sz w:val="20"/>
                <w:szCs w:val="24"/>
              </w:rPr>
            </w:pPr>
            <w:r w:rsidRPr="00162CAA">
              <w:rPr>
                <w:iCs/>
                <w:sz w:val="20"/>
                <w:szCs w:val="24"/>
              </w:rPr>
              <w:t>A 15-minute Settlement Interval within the Operating Day during an LCAP Effective Period.</w:t>
            </w:r>
          </w:p>
        </w:tc>
      </w:tr>
    </w:tbl>
    <w:p w14:paraId="17A1F7D3" w14:textId="77777777" w:rsidR="00764A29" w:rsidRDefault="00764A29"/>
    <w:tbl>
      <w:tblPr>
        <w:tblW w:w="500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2"/>
      </w:tblGrid>
      <w:tr w:rsidR="00764A29" w14:paraId="3ED87DC1" w14:textId="77777777" w:rsidTr="00764A29">
        <w:trPr>
          <w:trHeight w:val="206"/>
        </w:trPr>
        <w:tc>
          <w:tcPr>
            <w:tcW w:w="5000" w:type="pct"/>
            <w:shd w:val="pct12" w:color="auto" w:fill="auto"/>
          </w:tcPr>
          <w:p w14:paraId="1E4CA668" w14:textId="123F8CAE" w:rsidR="00764A29" w:rsidRDefault="00764A29" w:rsidP="00B327B6">
            <w:pPr>
              <w:pStyle w:val="Instructions"/>
              <w:spacing w:before="120"/>
            </w:pPr>
            <w:bookmarkStart w:id="2839" w:name="_Toc72925597"/>
            <w:bookmarkStart w:id="2840" w:name="_Toc74113622"/>
            <w:bookmarkStart w:id="2841" w:name="_Toc88017254"/>
            <w:bookmarkStart w:id="2842" w:name="_Toc101091058"/>
            <w:bookmarkStart w:id="2843" w:name="_Toc400547193"/>
            <w:bookmarkStart w:id="2844" w:name="_Toc405384298"/>
            <w:bookmarkStart w:id="2845" w:name="_Toc405543565"/>
            <w:bookmarkStart w:id="2846" w:name="_Toc428178074"/>
            <w:bookmarkStart w:id="2847" w:name="_Toc440872705"/>
            <w:bookmarkStart w:id="2848" w:name="_Toc458766250"/>
            <w:bookmarkStart w:id="2849" w:name="_Toc459292655"/>
            <w:bookmarkStart w:id="2850" w:name="_Toc60038362"/>
            <w:bookmarkStart w:id="2851" w:name="_Toc493250760"/>
            <w:bookmarkStart w:id="2852" w:name="_Toc181499"/>
            <w:bookmarkStart w:id="2853" w:name="_Toc181597"/>
            <w:r>
              <w:t>[NPRR1086 and NPRR1216:  Replace applicable portions of Section 6.8.2 above with the following upon system implementation of NPRR1029 for NPRR1086; or upon system implementation for NPRR1216:]</w:t>
            </w:r>
          </w:p>
          <w:p w14:paraId="3D8D4361" w14:textId="77777777" w:rsidR="00764A29" w:rsidRPr="00D61479" w:rsidRDefault="00764A29" w:rsidP="00D61479">
            <w:pPr>
              <w:keepNext/>
              <w:widowControl w:val="0"/>
              <w:tabs>
                <w:tab w:val="left" w:pos="1260"/>
              </w:tabs>
              <w:spacing w:before="240" w:after="240"/>
              <w:ind w:left="1267" w:hanging="1267"/>
              <w:outlineLvl w:val="3"/>
              <w:rPr>
                <w:i/>
                <w:iCs/>
                <w:snapToGrid w:val="0"/>
              </w:rPr>
            </w:pPr>
            <w:bookmarkStart w:id="2854" w:name="_Hlk178096563"/>
            <w:bookmarkStart w:id="2855" w:name="_Toc204411765"/>
            <w:r w:rsidRPr="00D61479">
              <w:rPr>
                <w:b/>
                <w:bCs/>
                <w:i/>
                <w:iCs/>
                <w:snapToGrid w:val="0"/>
              </w:rPr>
              <w:t xml:space="preserve">6.8.2   </w:t>
            </w:r>
            <w:r w:rsidRPr="00D61479">
              <w:rPr>
                <w:b/>
                <w:i/>
                <w:iCs/>
                <w:snapToGrid w:val="0"/>
              </w:rPr>
              <w:t xml:space="preserve">Recovery of Operating Losses During an LCAP or </w:t>
            </w:r>
            <w:r w:rsidRPr="00D61479">
              <w:rPr>
                <w:b/>
                <w:bCs/>
                <w:i/>
                <w:iCs/>
                <w:snapToGrid w:val="0"/>
              </w:rPr>
              <w:t>ECAP</w:t>
            </w:r>
            <w:r w:rsidRPr="00D61479">
              <w:rPr>
                <w:b/>
                <w:i/>
                <w:iCs/>
                <w:snapToGrid w:val="0"/>
              </w:rPr>
              <w:t xml:space="preserve"> Effective Period</w:t>
            </w:r>
            <w:bookmarkEnd w:id="2855"/>
          </w:p>
          <w:p w14:paraId="6F5EC53D" w14:textId="77777777" w:rsidR="00764A29" w:rsidRPr="00764A29" w:rsidRDefault="00764A29" w:rsidP="00764A29">
            <w:pPr>
              <w:spacing w:after="240"/>
              <w:ind w:left="720" w:hanging="720"/>
            </w:pPr>
            <w:r w:rsidRPr="00764A29">
              <w:t>(1)</w:t>
            </w:r>
            <w:r w:rsidRPr="00764A29">
              <w:tab/>
              <w:t>ERCOT shall calculate the recovery of operating losses during an LCAP or ECAP Effective Period with the actual marginal costs that exceed LCAP or ECAP revenues in accordance with this Section.</w:t>
            </w:r>
          </w:p>
          <w:p w14:paraId="21C1AFAC" w14:textId="77777777" w:rsidR="00764A29" w:rsidRPr="00764A29" w:rsidRDefault="00764A29" w:rsidP="00764A29">
            <w:pPr>
              <w:spacing w:after="240"/>
              <w:ind w:left="720" w:hanging="720"/>
            </w:pPr>
            <w:r w:rsidRPr="00764A29">
              <w:t>(2)</w:t>
            </w:r>
            <w:r w:rsidRPr="00764A29">
              <w:tab/>
              <w:t>The actual marginal cost (AMC) and marginal energy production (MEP) used to calculate operating losses (OPL) for a Combined Cycle Train are the AMC and MEP that correspond to the Combined Cycle Generation Resource, within a Combined Cycle Train, that operates in Real-Time for the 15-minute Settlement Interval.</w:t>
            </w:r>
          </w:p>
          <w:p w14:paraId="1E7D0C5D" w14:textId="77777777" w:rsidR="00764A29" w:rsidRPr="00764A29" w:rsidRDefault="00764A29" w:rsidP="00764A29">
            <w:pPr>
              <w:spacing w:before="240" w:after="240"/>
              <w:ind w:left="720" w:hanging="720"/>
              <w:rPr>
                <w:szCs w:val="24"/>
              </w:rPr>
            </w:pPr>
            <w:r w:rsidRPr="00764A29">
              <w:rPr>
                <w:szCs w:val="24"/>
              </w:rPr>
              <w:t xml:space="preserve">(3)       Payment for operating losses during an LCAP or ECAP Effective Period is calculated as follows:  </w:t>
            </w:r>
          </w:p>
          <w:p w14:paraId="3E500C13" w14:textId="77777777" w:rsidR="00764A29" w:rsidRPr="00764A29" w:rsidRDefault="00764A29" w:rsidP="00764A29">
            <w:pPr>
              <w:spacing w:after="240"/>
              <w:ind w:left="720"/>
              <w:rPr>
                <w:szCs w:val="24"/>
              </w:rPr>
            </w:pPr>
            <w:r w:rsidRPr="00764A29">
              <w:rPr>
                <w:szCs w:val="24"/>
              </w:rPr>
              <w:t xml:space="preserve">OPLPAMT </w:t>
            </w:r>
            <w:r w:rsidRPr="00764A29">
              <w:rPr>
                <w:i/>
                <w:szCs w:val="24"/>
                <w:vertAlign w:val="subscript"/>
              </w:rPr>
              <w:t>q, r, i</w:t>
            </w:r>
            <w:r w:rsidRPr="00764A29">
              <w:rPr>
                <w:szCs w:val="24"/>
              </w:rPr>
              <w:t xml:space="preserve">  =  (-1) * (OPL</w:t>
            </w:r>
            <w:r w:rsidRPr="00764A29">
              <w:rPr>
                <w:i/>
                <w:szCs w:val="24"/>
                <w:vertAlign w:val="subscript"/>
              </w:rPr>
              <w:t xml:space="preserve"> q, r, i</w:t>
            </w:r>
            <w:r w:rsidRPr="00764A29">
              <w:rPr>
                <w:szCs w:val="24"/>
              </w:rPr>
              <w:t xml:space="preserve"> + ADJOPL</w:t>
            </w:r>
            <w:r w:rsidRPr="00764A29">
              <w:rPr>
                <w:i/>
                <w:szCs w:val="24"/>
                <w:vertAlign w:val="subscript"/>
              </w:rPr>
              <w:t xml:space="preserve"> q, r, i</w:t>
            </w:r>
            <w:r w:rsidRPr="00764A29">
              <w:rPr>
                <w:szCs w:val="24"/>
              </w:rPr>
              <w:t>)</w:t>
            </w:r>
          </w:p>
          <w:p w14:paraId="1FEC08E6" w14:textId="77777777" w:rsidR="00764A29" w:rsidRPr="00764A29" w:rsidRDefault="00764A29" w:rsidP="00764A29">
            <w:pPr>
              <w:spacing w:after="240"/>
              <w:ind w:left="720"/>
              <w:rPr>
                <w:szCs w:val="24"/>
              </w:rPr>
            </w:pPr>
            <w:r w:rsidRPr="00764A29">
              <w:rPr>
                <w:szCs w:val="24"/>
              </w:rPr>
              <w:t>Where,</w:t>
            </w:r>
          </w:p>
          <w:p w14:paraId="3D1E2AC8" w14:textId="77777777" w:rsidR="00764A29" w:rsidRPr="00764A29" w:rsidRDefault="00764A29" w:rsidP="00764A29">
            <w:pPr>
              <w:spacing w:after="240"/>
              <w:ind w:left="1440" w:hanging="720"/>
              <w:rPr>
                <w:iCs/>
                <w:szCs w:val="24"/>
              </w:rPr>
            </w:pPr>
            <w:r w:rsidRPr="00764A29">
              <w:rPr>
                <w:iCs/>
                <w:szCs w:val="24"/>
              </w:rPr>
              <w:t>For the Generation Resource:</w:t>
            </w:r>
          </w:p>
          <w:p w14:paraId="495C2295" w14:textId="7B854568" w:rsidR="00764A29" w:rsidRPr="00764A29" w:rsidRDefault="00764A29" w:rsidP="00764A29">
            <w:pPr>
              <w:tabs>
                <w:tab w:val="decimal" w:pos="1440"/>
                <w:tab w:val="left" w:pos="2340"/>
              </w:tabs>
              <w:spacing w:after="240"/>
              <w:ind w:left="3420" w:hanging="1980"/>
              <w:rPr>
                <w:bCs/>
                <w:szCs w:val="24"/>
                <w:lang w:val="sv-SE"/>
              </w:rPr>
            </w:pPr>
            <w:r w:rsidRPr="00764A29">
              <w:rPr>
                <w:bCs/>
                <w:szCs w:val="24"/>
                <w:lang w:val="sv-SE"/>
              </w:rPr>
              <w:t>OPL</w:t>
            </w:r>
            <w:r w:rsidRPr="00764A29">
              <w:rPr>
                <w:i/>
                <w:szCs w:val="24"/>
                <w:vertAlign w:val="subscript"/>
                <w:lang w:val="sv-SE"/>
              </w:rPr>
              <w:t xml:space="preserve"> </w:t>
            </w:r>
            <w:r w:rsidRPr="00764A29">
              <w:rPr>
                <w:bCs/>
                <w:i/>
                <w:szCs w:val="24"/>
                <w:vertAlign w:val="subscript"/>
                <w:lang w:val="sv-SE"/>
              </w:rPr>
              <w:t>q, r,</w:t>
            </w:r>
            <w:r w:rsidR="00AE0530">
              <w:rPr>
                <w:bCs/>
                <w:i/>
                <w:szCs w:val="24"/>
                <w:vertAlign w:val="subscript"/>
                <w:lang w:val="sv-SE"/>
              </w:rPr>
              <w:t xml:space="preserve"> </w:t>
            </w:r>
            <w:r w:rsidRPr="00764A29">
              <w:rPr>
                <w:bCs/>
                <w:i/>
                <w:szCs w:val="24"/>
                <w:vertAlign w:val="subscript"/>
                <w:lang w:val="sv-SE"/>
              </w:rPr>
              <w:t xml:space="preserve">i           </w:t>
            </w:r>
            <w:r w:rsidRPr="00764A29">
              <w:rPr>
                <w:bCs/>
                <w:szCs w:val="24"/>
                <w:lang w:val="sv-SE"/>
              </w:rPr>
              <w:t xml:space="preserve">  = </w:t>
            </w:r>
            <w:r w:rsidRPr="00764A29">
              <w:rPr>
                <w:bCs/>
                <w:szCs w:val="24"/>
                <w:lang w:val="sv-SE"/>
              </w:rPr>
              <w:tab/>
              <w:t xml:space="preserve">Max(0, (AMC </w:t>
            </w:r>
            <w:r w:rsidRPr="00764A29">
              <w:rPr>
                <w:bCs/>
                <w:i/>
                <w:szCs w:val="24"/>
                <w:vertAlign w:val="subscript"/>
                <w:lang w:val="sv-SE"/>
              </w:rPr>
              <w:t>q, r, i</w:t>
            </w:r>
            <w:r w:rsidRPr="00764A29">
              <w:rPr>
                <w:bCs/>
                <w:szCs w:val="24"/>
                <w:lang w:val="sv-SE"/>
              </w:rPr>
              <w:t xml:space="preserve"> - Max(LCAP, RTSPP</w:t>
            </w:r>
            <w:r w:rsidRPr="00764A29">
              <w:rPr>
                <w:szCs w:val="24"/>
                <w:lang w:val="sv-SE"/>
              </w:rPr>
              <w:t xml:space="preserve"> </w:t>
            </w:r>
            <w:r w:rsidRPr="00764A29">
              <w:rPr>
                <w:i/>
                <w:szCs w:val="24"/>
                <w:vertAlign w:val="subscript"/>
                <w:lang w:val="sv-SE"/>
              </w:rPr>
              <w:t>p, i</w:t>
            </w:r>
            <w:r w:rsidRPr="00764A29">
              <w:rPr>
                <w:bCs/>
                <w:szCs w:val="24"/>
                <w:lang w:val="sv-SE"/>
              </w:rPr>
              <w:t>)) *</w:t>
            </w:r>
            <w:r w:rsidRPr="00764A29">
              <w:rPr>
                <w:szCs w:val="24"/>
                <w:lang w:val="sv-SE"/>
              </w:rPr>
              <w:t xml:space="preserve"> Min(</w:t>
            </w:r>
            <w:r w:rsidRPr="00764A29">
              <w:rPr>
                <w:bCs/>
                <w:szCs w:val="24"/>
                <w:lang w:val="sv-SE"/>
              </w:rPr>
              <w:t xml:space="preserve">RTMG </w:t>
            </w:r>
            <w:r w:rsidRPr="00764A29">
              <w:rPr>
                <w:bCs/>
                <w:i/>
                <w:szCs w:val="24"/>
                <w:vertAlign w:val="subscript"/>
                <w:lang w:val="sv-SE"/>
              </w:rPr>
              <w:t>q, r, i</w:t>
            </w:r>
            <w:r w:rsidRPr="00764A29">
              <w:rPr>
                <w:szCs w:val="24"/>
                <w:lang w:val="sv-SE"/>
              </w:rPr>
              <w:t>, MEP</w:t>
            </w:r>
            <w:r w:rsidRPr="00764A29">
              <w:rPr>
                <w:bCs/>
                <w:i/>
                <w:szCs w:val="24"/>
                <w:vertAlign w:val="subscript"/>
                <w:lang w:val="sv-SE"/>
              </w:rPr>
              <w:t xml:space="preserve"> q, r, i</w:t>
            </w:r>
            <w:r w:rsidRPr="00764A29">
              <w:rPr>
                <w:bCs/>
                <w:szCs w:val="24"/>
                <w:lang w:val="sv-SE"/>
              </w:rPr>
              <w:t xml:space="preserve">))  </w:t>
            </w:r>
          </w:p>
          <w:p w14:paraId="6EA7857E" w14:textId="0F8A6BE7" w:rsidR="00764A29" w:rsidRPr="00764A29" w:rsidRDefault="00764A29" w:rsidP="00764A29">
            <w:pPr>
              <w:tabs>
                <w:tab w:val="left" w:pos="2340"/>
                <w:tab w:val="left" w:pos="3420"/>
              </w:tabs>
              <w:spacing w:after="240"/>
              <w:ind w:left="1440"/>
              <w:rPr>
                <w:bCs/>
                <w:iCs/>
                <w:szCs w:val="24"/>
                <w:lang w:val="sv-SE"/>
              </w:rPr>
            </w:pPr>
            <w:r w:rsidRPr="00764A29">
              <w:rPr>
                <w:bCs/>
                <w:iCs/>
                <w:szCs w:val="24"/>
                <w:lang w:val="sv-SE"/>
              </w:rPr>
              <w:t xml:space="preserve">AMC </w:t>
            </w:r>
            <w:r w:rsidRPr="00764A29">
              <w:rPr>
                <w:bCs/>
                <w:i/>
                <w:szCs w:val="24"/>
                <w:vertAlign w:val="subscript"/>
                <w:lang w:val="sv-SE"/>
              </w:rPr>
              <w:t>q, r, i</w:t>
            </w:r>
            <w:r w:rsidRPr="00764A29">
              <w:rPr>
                <w:bCs/>
                <w:iCs/>
                <w:szCs w:val="24"/>
                <w:lang w:val="sv-SE"/>
              </w:rPr>
              <w:t xml:space="preserve">    =     MFC </w:t>
            </w:r>
            <w:r w:rsidRPr="00764A29">
              <w:rPr>
                <w:bCs/>
                <w:i/>
                <w:szCs w:val="24"/>
                <w:vertAlign w:val="subscript"/>
                <w:lang w:val="sv-SE"/>
              </w:rPr>
              <w:t xml:space="preserve">q, r, i </w:t>
            </w:r>
            <w:r w:rsidRPr="00764A29">
              <w:rPr>
                <w:bCs/>
                <w:iCs/>
                <w:szCs w:val="24"/>
                <w:lang w:val="sv-SE"/>
              </w:rPr>
              <w:t xml:space="preserve">+ VOM </w:t>
            </w:r>
            <w:r w:rsidRPr="00764A29">
              <w:rPr>
                <w:bCs/>
                <w:i/>
                <w:szCs w:val="24"/>
                <w:vertAlign w:val="subscript"/>
                <w:lang w:val="sv-SE"/>
              </w:rPr>
              <w:t>q, r</w:t>
            </w:r>
            <w:r w:rsidRPr="00764A29">
              <w:rPr>
                <w:bCs/>
                <w:iCs/>
                <w:szCs w:val="24"/>
                <w:lang w:val="sv-SE"/>
              </w:rPr>
              <w:t xml:space="preserve">     </w:t>
            </w:r>
          </w:p>
          <w:p w14:paraId="2BB92B09" w14:textId="77777777" w:rsidR="00764A29" w:rsidRPr="00764A29" w:rsidRDefault="00764A29" w:rsidP="00764A29">
            <w:pPr>
              <w:spacing w:after="240"/>
              <w:ind w:firstLine="720"/>
              <w:rPr>
                <w:iCs/>
                <w:szCs w:val="24"/>
              </w:rPr>
            </w:pPr>
            <w:r w:rsidRPr="00764A29">
              <w:rPr>
                <w:iCs/>
                <w:szCs w:val="24"/>
              </w:rPr>
              <w:t>If ERCOT approved ROM for the Generation Resource:</w:t>
            </w:r>
          </w:p>
          <w:p w14:paraId="79B4C046" w14:textId="77777777" w:rsidR="00764A29" w:rsidRPr="00764A29" w:rsidRDefault="00764A29" w:rsidP="00764A29">
            <w:pPr>
              <w:tabs>
                <w:tab w:val="decimal" w:pos="1440"/>
                <w:tab w:val="left" w:pos="2340"/>
              </w:tabs>
              <w:spacing w:after="240"/>
              <w:ind w:left="3420" w:hanging="1980"/>
              <w:rPr>
                <w:bCs/>
                <w:iCs/>
                <w:szCs w:val="24"/>
                <w:lang w:val="sv-SE"/>
              </w:rPr>
            </w:pPr>
            <w:r w:rsidRPr="00764A29">
              <w:rPr>
                <w:bCs/>
                <w:szCs w:val="24"/>
              </w:rPr>
              <w:t>MEP</w:t>
            </w:r>
            <w:r w:rsidRPr="00764A29">
              <w:rPr>
                <w:bCs/>
                <w:i/>
                <w:szCs w:val="24"/>
                <w:vertAlign w:val="subscript"/>
                <w:lang w:val="sv-SE"/>
              </w:rPr>
              <w:t xml:space="preserve"> q, r, i</w:t>
            </w:r>
            <w:r w:rsidRPr="00764A29">
              <w:rPr>
                <w:bCs/>
                <w:szCs w:val="24"/>
                <w:lang w:val="sv-SE"/>
              </w:rPr>
              <w:tab/>
              <w:t xml:space="preserve">  =       AMF</w:t>
            </w:r>
            <w:r w:rsidRPr="00764A29">
              <w:rPr>
                <w:bCs/>
                <w:i/>
                <w:szCs w:val="24"/>
                <w:vertAlign w:val="subscript"/>
                <w:lang w:val="es-ES"/>
              </w:rPr>
              <w:t xml:space="preserve"> q, r, i</w:t>
            </w:r>
            <w:r w:rsidRPr="00764A29">
              <w:rPr>
                <w:bCs/>
                <w:szCs w:val="24"/>
                <w:lang w:val="sv-SE"/>
              </w:rPr>
              <w:t xml:space="preserve"> / AHR </w:t>
            </w:r>
            <w:r w:rsidRPr="00764A29">
              <w:rPr>
                <w:bCs/>
                <w:i/>
                <w:szCs w:val="24"/>
                <w:vertAlign w:val="subscript"/>
                <w:lang w:val="es-ES"/>
              </w:rPr>
              <w:t xml:space="preserve">q, r, i </w:t>
            </w:r>
          </w:p>
          <w:p w14:paraId="26412CA0" w14:textId="77777777" w:rsidR="00764A29" w:rsidRPr="00764A29" w:rsidRDefault="00764A29" w:rsidP="00764A29">
            <w:pPr>
              <w:tabs>
                <w:tab w:val="decimal" w:pos="1440"/>
                <w:tab w:val="left" w:pos="2340"/>
              </w:tabs>
              <w:spacing w:after="240"/>
              <w:ind w:left="3420" w:hanging="1980"/>
              <w:rPr>
                <w:bCs/>
                <w:iCs/>
                <w:szCs w:val="24"/>
                <w:lang w:val="sv-SE"/>
              </w:rPr>
            </w:pPr>
            <w:r w:rsidRPr="00764A29">
              <w:rPr>
                <w:bCs/>
                <w:szCs w:val="24"/>
              </w:rPr>
              <w:t>MFC</w:t>
            </w:r>
            <w:r w:rsidRPr="00764A29">
              <w:rPr>
                <w:bCs/>
                <w:iCs/>
                <w:szCs w:val="24"/>
                <w:lang w:val="sv-SE"/>
              </w:rPr>
              <w:t xml:space="preserve"> </w:t>
            </w:r>
            <w:r w:rsidRPr="00764A29">
              <w:rPr>
                <w:bCs/>
                <w:i/>
                <w:szCs w:val="24"/>
                <w:vertAlign w:val="subscript"/>
                <w:lang w:val="sv-SE"/>
              </w:rPr>
              <w:t xml:space="preserve">q, r, i </w:t>
            </w:r>
            <w:r w:rsidRPr="00764A29">
              <w:rPr>
                <w:bCs/>
                <w:iCs/>
                <w:szCs w:val="24"/>
                <w:lang w:val="sv-SE"/>
              </w:rPr>
              <w:t xml:space="preserve">     =   AHR </w:t>
            </w:r>
            <w:r w:rsidRPr="00764A29">
              <w:rPr>
                <w:bCs/>
                <w:i/>
                <w:szCs w:val="24"/>
                <w:vertAlign w:val="subscript"/>
                <w:lang w:val="sv-SE"/>
              </w:rPr>
              <w:t>q, r, i</w:t>
            </w:r>
            <w:r w:rsidRPr="00764A29">
              <w:rPr>
                <w:bCs/>
                <w:iCs/>
                <w:szCs w:val="24"/>
                <w:lang w:val="sv-SE"/>
              </w:rPr>
              <w:t xml:space="preserve"> * WAFP </w:t>
            </w:r>
            <w:r w:rsidRPr="00764A29">
              <w:rPr>
                <w:bCs/>
                <w:i/>
                <w:szCs w:val="24"/>
                <w:vertAlign w:val="subscript"/>
                <w:lang w:val="sv-SE"/>
              </w:rPr>
              <w:t>q, r, i</w:t>
            </w:r>
            <w:r w:rsidRPr="00764A29">
              <w:rPr>
                <w:bCs/>
                <w:iCs/>
                <w:szCs w:val="24"/>
                <w:lang w:val="sv-SE"/>
              </w:rPr>
              <w:t xml:space="preserve">  </w:t>
            </w:r>
          </w:p>
          <w:p w14:paraId="2D59BEE2" w14:textId="7C329787" w:rsidR="00764A29" w:rsidRPr="00764A29" w:rsidRDefault="00764A29" w:rsidP="00764A29">
            <w:pPr>
              <w:tabs>
                <w:tab w:val="decimal" w:pos="1440"/>
                <w:tab w:val="left" w:pos="2340"/>
              </w:tabs>
              <w:spacing w:after="240"/>
              <w:ind w:left="3420" w:hanging="1980"/>
              <w:rPr>
                <w:bCs/>
                <w:iCs/>
                <w:szCs w:val="24"/>
                <w:lang w:val="sv-SE"/>
              </w:rPr>
            </w:pPr>
            <w:r w:rsidRPr="00764A29">
              <w:rPr>
                <w:bCs/>
                <w:szCs w:val="24"/>
              </w:rPr>
              <w:t>VOM</w:t>
            </w:r>
            <w:r w:rsidRPr="00764A29">
              <w:rPr>
                <w:bCs/>
                <w:iCs/>
                <w:szCs w:val="24"/>
                <w:lang w:val="sv-SE"/>
              </w:rPr>
              <w:t xml:space="preserve"> </w:t>
            </w:r>
            <w:r w:rsidRPr="00764A29">
              <w:rPr>
                <w:bCs/>
                <w:i/>
                <w:szCs w:val="24"/>
                <w:vertAlign w:val="subscript"/>
                <w:lang w:val="sv-SE"/>
              </w:rPr>
              <w:t>q, r</w:t>
            </w:r>
            <w:r w:rsidRPr="00764A29">
              <w:rPr>
                <w:bCs/>
                <w:iCs/>
                <w:szCs w:val="24"/>
                <w:lang w:val="sv-SE"/>
              </w:rPr>
              <w:t xml:space="preserve">   =    ROM </w:t>
            </w:r>
            <w:r w:rsidRPr="00764A29">
              <w:rPr>
                <w:bCs/>
                <w:i/>
                <w:szCs w:val="24"/>
                <w:vertAlign w:val="subscript"/>
                <w:lang w:val="sv-SE"/>
              </w:rPr>
              <w:t>q, r</w:t>
            </w:r>
            <w:r w:rsidRPr="00764A29">
              <w:rPr>
                <w:bCs/>
                <w:iCs/>
                <w:szCs w:val="24"/>
                <w:lang w:val="sv-SE"/>
              </w:rPr>
              <w:t xml:space="preserve"> + IVC </w:t>
            </w:r>
            <w:r w:rsidRPr="00764A29">
              <w:rPr>
                <w:bCs/>
                <w:i/>
                <w:szCs w:val="24"/>
                <w:vertAlign w:val="subscript"/>
                <w:lang w:val="sv-SE"/>
              </w:rPr>
              <w:t>q, r</w:t>
            </w:r>
            <w:r w:rsidRPr="00764A29">
              <w:rPr>
                <w:bCs/>
                <w:iCs/>
                <w:szCs w:val="24"/>
                <w:lang w:val="sv-SE"/>
              </w:rPr>
              <w:t xml:space="preserve">   </w:t>
            </w:r>
          </w:p>
          <w:p w14:paraId="66FCA5E3" w14:textId="77777777" w:rsidR="00764A29" w:rsidRPr="00764A29" w:rsidRDefault="00764A29" w:rsidP="00764A29">
            <w:pPr>
              <w:tabs>
                <w:tab w:val="left" w:pos="2340"/>
                <w:tab w:val="left" w:pos="3420"/>
              </w:tabs>
              <w:spacing w:after="240"/>
              <w:ind w:left="720"/>
              <w:rPr>
                <w:bCs/>
                <w:iCs/>
                <w:szCs w:val="24"/>
              </w:rPr>
            </w:pPr>
            <w:r w:rsidRPr="00764A29">
              <w:rPr>
                <w:bCs/>
                <w:iCs/>
                <w:szCs w:val="24"/>
              </w:rPr>
              <w:lastRenderedPageBreak/>
              <w:t xml:space="preserve">Otherwise, </w:t>
            </w:r>
          </w:p>
          <w:p w14:paraId="0574E1BD" w14:textId="77777777" w:rsidR="00764A29" w:rsidRPr="00764A29" w:rsidRDefault="00764A29" w:rsidP="00764A29">
            <w:pPr>
              <w:tabs>
                <w:tab w:val="decimal" w:pos="1440"/>
                <w:tab w:val="left" w:pos="2340"/>
              </w:tabs>
              <w:spacing w:after="240"/>
              <w:ind w:left="3420" w:hanging="1980"/>
              <w:rPr>
                <w:bCs/>
                <w:szCs w:val="24"/>
              </w:rPr>
            </w:pPr>
            <w:r w:rsidRPr="00764A29">
              <w:rPr>
                <w:bCs/>
                <w:szCs w:val="24"/>
              </w:rPr>
              <w:t xml:space="preserve">MFC </w:t>
            </w:r>
            <w:r w:rsidRPr="00764A29">
              <w:rPr>
                <w:bCs/>
                <w:i/>
                <w:szCs w:val="24"/>
                <w:vertAlign w:val="subscript"/>
              </w:rPr>
              <w:t xml:space="preserve">q, r, i   </w:t>
            </w:r>
            <w:r w:rsidRPr="00764A29">
              <w:rPr>
                <w:bCs/>
                <w:szCs w:val="24"/>
              </w:rPr>
              <w:t xml:space="preserve"> = </w:t>
            </w:r>
            <w:r w:rsidRPr="00764A29">
              <w:rPr>
                <w:bCs/>
                <w:szCs w:val="24"/>
              </w:rPr>
              <w:tab/>
              <w:t>P</w:t>
            </w:r>
            <w:r w:rsidRPr="00764A29">
              <w:rPr>
                <w:bCs/>
                <w:szCs w:val="24"/>
                <w:lang w:val="pt-BR"/>
              </w:rPr>
              <w:t xml:space="preserve">AHR </w:t>
            </w:r>
            <w:r w:rsidRPr="00764A29">
              <w:rPr>
                <w:bCs/>
                <w:i/>
                <w:szCs w:val="24"/>
                <w:vertAlign w:val="subscript"/>
                <w:lang w:val="es-ES"/>
              </w:rPr>
              <w:t>q, r, i</w:t>
            </w:r>
            <w:r w:rsidRPr="00764A29">
              <w:rPr>
                <w:bCs/>
                <w:szCs w:val="24"/>
                <w:lang w:val="es-ES"/>
              </w:rPr>
              <w:t xml:space="preserve"> </w:t>
            </w:r>
            <w:r w:rsidRPr="00764A29">
              <w:rPr>
                <w:bCs/>
                <w:szCs w:val="24"/>
              </w:rPr>
              <w:t xml:space="preserve">* </w:t>
            </w:r>
            <w:r w:rsidRPr="00764A29">
              <w:rPr>
                <w:szCs w:val="24"/>
              </w:rPr>
              <w:t>WAFP</w:t>
            </w:r>
            <w:r w:rsidRPr="00764A29">
              <w:rPr>
                <w:i/>
                <w:szCs w:val="24"/>
              </w:rPr>
              <w:t xml:space="preserve"> </w:t>
            </w:r>
            <w:r w:rsidRPr="00764A29">
              <w:rPr>
                <w:bCs/>
                <w:i/>
                <w:szCs w:val="24"/>
                <w:vertAlign w:val="subscript"/>
                <w:lang w:val="es-ES"/>
              </w:rPr>
              <w:t>q, r, i</w:t>
            </w:r>
            <w:r w:rsidRPr="00764A29">
              <w:rPr>
                <w:bCs/>
                <w:szCs w:val="24"/>
              </w:rPr>
              <w:t xml:space="preserve">    </w:t>
            </w:r>
          </w:p>
          <w:p w14:paraId="7004D531" w14:textId="4035CC13" w:rsidR="00764A29" w:rsidRPr="00764A29" w:rsidRDefault="00764A29" w:rsidP="00764A29">
            <w:pPr>
              <w:tabs>
                <w:tab w:val="decimal" w:pos="1440"/>
                <w:tab w:val="left" w:pos="2340"/>
              </w:tabs>
              <w:spacing w:after="240"/>
              <w:ind w:left="3420" w:hanging="1980"/>
              <w:rPr>
                <w:bCs/>
                <w:iCs/>
                <w:szCs w:val="24"/>
                <w:lang w:val="sv-SE"/>
              </w:rPr>
            </w:pPr>
            <w:r w:rsidRPr="00764A29">
              <w:rPr>
                <w:bCs/>
                <w:iCs/>
                <w:szCs w:val="24"/>
                <w:lang w:val="sv-SE"/>
              </w:rPr>
              <w:t xml:space="preserve">VOM </w:t>
            </w:r>
            <w:r w:rsidRPr="00764A29">
              <w:rPr>
                <w:bCs/>
                <w:i/>
                <w:szCs w:val="24"/>
                <w:vertAlign w:val="subscript"/>
                <w:lang w:val="sv-SE"/>
              </w:rPr>
              <w:t>q, r</w:t>
            </w:r>
            <w:r w:rsidRPr="00764A29">
              <w:rPr>
                <w:bCs/>
                <w:iCs/>
                <w:szCs w:val="24"/>
                <w:lang w:val="sv-SE"/>
              </w:rPr>
              <w:t xml:space="preserve">     =     </w:t>
            </w:r>
            <w:r w:rsidRPr="00764A29">
              <w:rPr>
                <w:bCs/>
                <w:iCs/>
                <w:szCs w:val="24"/>
                <w:lang w:val="sv-SE"/>
              </w:rPr>
              <w:tab/>
            </w:r>
            <w:r w:rsidRPr="00764A29">
              <w:rPr>
                <w:bCs/>
                <w:szCs w:val="24"/>
              </w:rPr>
              <w:t>Max (</w:t>
            </w:r>
            <w:r w:rsidRPr="00764A29">
              <w:rPr>
                <w:bCs/>
                <w:iCs/>
                <w:szCs w:val="24"/>
                <w:lang w:val="sv-SE"/>
              </w:rPr>
              <w:t xml:space="preserve">IVC </w:t>
            </w:r>
            <w:r w:rsidRPr="00764A29">
              <w:rPr>
                <w:bCs/>
                <w:i/>
                <w:szCs w:val="24"/>
                <w:vertAlign w:val="subscript"/>
                <w:lang w:val="sv-SE"/>
              </w:rPr>
              <w:t>q, r</w:t>
            </w:r>
            <w:r w:rsidRPr="00764A29">
              <w:rPr>
                <w:bCs/>
                <w:iCs/>
                <w:szCs w:val="24"/>
                <w:lang w:val="sv-SE"/>
              </w:rPr>
              <w:t>,</w:t>
            </w:r>
            <w:r w:rsidRPr="00764A29">
              <w:rPr>
                <w:bCs/>
                <w:i/>
                <w:szCs w:val="24"/>
                <w:vertAlign w:val="subscript"/>
                <w:lang w:val="sv-SE"/>
              </w:rPr>
              <w:t xml:space="preserve"> </w:t>
            </w:r>
            <w:r w:rsidRPr="00764A29">
              <w:rPr>
                <w:bCs/>
                <w:szCs w:val="24"/>
              </w:rPr>
              <w:t xml:space="preserve">STOM </w:t>
            </w:r>
            <w:r w:rsidRPr="00764A29">
              <w:rPr>
                <w:bCs/>
                <w:i/>
                <w:szCs w:val="24"/>
                <w:vertAlign w:val="subscript"/>
              </w:rPr>
              <w:t>rc</w:t>
            </w:r>
            <w:r w:rsidRPr="00764A29">
              <w:rPr>
                <w:bCs/>
                <w:iCs/>
                <w:szCs w:val="24"/>
              </w:rPr>
              <w:t>)</w:t>
            </w:r>
          </w:p>
          <w:p w14:paraId="0473A839" w14:textId="77777777" w:rsidR="00764A29" w:rsidRPr="00764A29" w:rsidRDefault="00764A29" w:rsidP="00764A29">
            <w:pPr>
              <w:tabs>
                <w:tab w:val="decimal" w:pos="1440"/>
                <w:tab w:val="left" w:pos="2340"/>
              </w:tabs>
              <w:spacing w:after="240"/>
              <w:ind w:left="3420" w:hanging="1980"/>
              <w:rPr>
                <w:bCs/>
                <w:szCs w:val="24"/>
                <w:lang w:val="sv-SE"/>
              </w:rPr>
            </w:pPr>
            <w:r w:rsidRPr="00764A29">
              <w:rPr>
                <w:szCs w:val="24"/>
                <w:lang w:val="sv-SE"/>
              </w:rPr>
              <w:t>MEP</w:t>
            </w:r>
            <w:r w:rsidRPr="00764A29">
              <w:rPr>
                <w:bCs/>
                <w:i/>
                <w:szCs w:val="24"/>
                <w:vertAlign w:val="subscript"/>
                <w:lang w:val="sv-SE"/>
              </w:rPr>
              <w:t xml:space="preserve"> q, r, i</w:t>
            </w:r>
            <w:r w:rsidRPr="00764A29">
              <w:rPr>
                <w:bCs/>
                <w:szCs w:val="24"/>
                <w:lang w:val="sv-SE"/>
              </w:rPr>
              <w:tab/>
              <w:t xml:space="preserve">        =</w:t>
            </w:r>
            <w:r w:rsidRPr="00764A29">
              <w:rPr>
                <w:bCs/>
                <w:szCs w:val="24"/>
                <w:lang w:val="sv-SE"/>
              </w:rPr>
              <w:tab/>
              <w:t>AMF</w:t>
            </w:r>
            <w:r w:rsidRPr="00764A29">
              <w:rPr>
                <w:bCs/>
                <w:i/>
                <w:szCs w:val="24"/>
                <w:vertAlign w:val="subscript"/>
                <w:lang w:val="es-ES"/>
              </w:rPr>
              <w:t xml:space="preserve"> q, r, i</w:t>
            </w:r>
            <w:r w:rsidRPr="00764A29">
              <w:rPr>
                <w:bCs/>
                <w:szCs w:val="24"/>
                <w:lang w:val="sv-SE"/>
              </w:rPr>
              <w:t xml:space="preserve"> / PAHR </w:t>
            </w:r>
            <w:r w:rsidRPr="00764A29">
              <w:rPr>
                <w:bCs/>
                <w:i/>
                <w:szCs w:val="24"/>
                <w:vertAlign w:val="subscript"/>
                <w:lang w:val="es-ES"/>
              </w:rPr>
              <w:t xml:space="preserve">q, r, i </w:t>
            </w:r>
          </w:p>
          <w:p w14:paraId="64094A14" w14:textId="77777777" w:rsidR="00764A29" w:rsidRPr="00764A29" w:rsidRDefault="00764A29" w:rsidP="00764A29">
            <w:pPr>
              <w:tabs>
                <w:tab w:val="left" w:pos="2340"/>
                <w:tab w:val="left" w:pos="3420"/>
              </w:tabs>
              <w:spacing w:after="240"/>
              <w:ind w:left="720"/>
              <w:rPr>
                <w:bCs/>
                <w:iCs/>
                <w:szCs w:val="24"/>
                <w:lang w:val="sv-SE"/>
              </w:rPr>
            </w:pPr>
            <w:r w:rsidRPr="00764A29">
              <w:rPr>
                <w:bCs/>
                <w:iCs/>
                <w:szCs w:val="24"/>
                <w:lang w:val="sv-SE"/>
              </w:rPr>
              <w:t>For ESRs:</w:t>
            </w:r>
          </w:p>
          <w:p w14:paraId="536BC405" w14:textId="0FF613BF" w:rsidR="00764A29" w:rsidRPr="00764A29" w:rsidRDefault="00764A29" w:rsidP="00764A29">
            <w:pPr>
              <w:tabs>
                <w:tab w:val="left" w:pos="2340"/>
              </w:tabs>
              <w:spacing w:after="240"/>
              <w:ind w:left="3420" w:hanging="1980"/>
              <w:rPr>
                <w:bCs/>
                <w:i/>
                <w:szCs w:val="24"/>
                <w:vertAlign w:val="subscript"/>
                <w:lang w:val="sv-SE"/>
              </w:rPr>
            </w:pPr>
            <w:r w:rsidRPr="00764A29">
              <w:rPr>
                <w:bCs/>
                <w:szCs w:val="24"/>
                <w:lang w:val="sv-SE"/>
              </w:rPr>
              <w:t xml:space="preserve">OPL </w:t>
            </w:r>
            <w:r w:rsidRPr="00764A29">
              <w:rPr>
                <w:bCs/>
                <w:i/>
                <w:szCs w:val="24"/>
                <w:vertAlign w:val="subscript"/>
                <w:lang w:val="sv-SE"/>
              </w:rPr>
              <w:t xml:space="preserve">q, r, i </w:t>
            </w:r>
            <w:r w:rsidRPr="00764A29">
              <w:rPr>
                <w:bCs/>
                <w:szCs w:val="24"/>
                <w:lang w:val="sv-SE"/>
              </w:rPr>
              <w:t xml:space="preserve">        = </w:t>
            </w:r>
            <w:r w:rsidRPr="00764A29">
              <w:rPr>
                <w:bCs/>
                <w:szCs w:val="24"/>
                <w:lang w:val="sv-SE"/>
              </w:rPr>
              <w:tab/>
              <w:t xml:space="preserve">Max(0, (AMC </w:t>
            </w:r>
            <w:r w:rsidRPr="00764A29">
              <w:rPr>
                <w:bCs/>
                <w:i/>
                <w:szCs w:val="24"/>
                <w:vertAlign w:val="subscript"/>
                <w:lang w:val="sv-SE"/>
              </w:rPr>
              <w:t xml:space="preserve">q, r, i </w:t>
            </w:r>
            <w:r w:rsidRPr="00764A29">
              <w:rPr>
                <w:bCs/>
                <w:szCs w:val="24"/>
                <w:lang w:val="sv-SE"/>
              </w:rPr>
              <w:t>- Max(LCAP, RTSPP</w:t>
            </w:r>
            <w:r w:rsidRPr="00764A29">
              <w:rPr>
                <w:i/>
                <w:szCs w:val="24"/>
                <w:vertAlign w:val="subscript"/>
                <w:lang w:val="sv-SE"/>
              </w:rPr>
              <w:t xml:space="preserve"> p, i</w:t>
            </w:r>
            <w:r w:rsidRPr="00764A29">
              <w:rPr>
                <w:bCs/>
                <w:szCs w:val="24"/>
                <w:lang w:val="sv-SE"/>
              </w:rPr>
              <w:t xml:space="preserve">)) * RTMG </w:t>
            </w:r>
            <w:r w:rsidRPr="00764A29">
              <w:rPr>
                <w:bCs/>
                <w:i/>
                <w:szCs w:val="24"/>
                <w:vertAlign w:val="subscript"/>
                <w:lang w:val="sv-SE"/>
              </w:rPr>
              <w:t>q, r, i</w:t>
            </w:r>
            <w:r w:rsidRPr="00764A29">
              <w:rPr>
                <w:bCs/>
                <w:szCs w:val="24"/>
                <w:lang w:val="sv-SE"/>
              </w:rPr>
              <w:t>)</w:t>
            </w:r>
          </w:p>
          <w:p w14:paraId="684BDD17" w14:textId="77777777" w:rsidR="00764A29" w:rsidRPr="00764A29" w:rsidRDefault="00764A29" w:rsidP="00764A29">
            <w:pPr>
              <w:tabs>
                <w:tab w:val="left" w:pos="2340"/>
                <w:tab w:val="left" w:pos="3420"/>
              </w:tabs>
              <w:spacing w:after="240"/>
              <w:ind w:left="720"/>
              <w:rPr>
                <w:bCs/>
                <w:iCs/>
                <w:szCs w:val="24"/>
              </w:rPr>
            </w:pPr>
            <w:r w:rsidRPr="00764A29">
              <w:rPr>
                <w:bCs/>
                <w:iCs/>
                <w:szCs w:val="24"/>
              </w:rPr>
              <w:t>Where,</w:t>
            </w:r>
          </w:p>
          <w:p w14:paraId="416D9D10" w14:textId="77777777" w:rsidR="00764A29" w:rsidRPr="00764A29" w:rsidRDefault="00764A29" w:rsidP="00764A29">
            <w:pPr>
              <w:tabs>
                <w:tab w:val="decimal" w:pos="1440"/>
                <w:tab w:val="left" w:pos="2340"/>
              </w:tabs>
              <w:spacing w:after="240"/>
              <w:ind w:left="3420" w:hanging="1980"/>
              <w:rPr>
                <w:bCs/>
                <w:i/>
                <w:szCs w:val="24"/>
                <w:vertAlign w:val="subscript"/>
              </w:rPr>
            </w:pPr>
            <w:r w:rsidRPr="00764A29">
              <w:rPr>
                <w:bCs/>
                <w:szCs w:val="24"/>
              </w:rPr>
              <w:t xml:space="preserve">AMC </w:t>
            </w:r>
            <w:r w:rsidRPr="00764A29">
              <w:rPr>
                <w:bCs/>
                <w:i/>
                <w:szCs w:val="24"/>
                <w:vertAlign w:val="subscript"/>
              </w:rPr>
              <w:t xml:space="preserve">q, r, i    </w:t>
            </w:r>
            <w:r w:rsidRPr="00764A29">
              <w:rPr>
                <w:bCs/>
                <w:szCs w:val="24"/>
              </w:rPr>
              <w:t xml:space="preserve"> = </w:t>
            </w:r>
            <w:r w:rsidRPr="00764A29">
              <w:rPr>
                <w:bCs/>
                <w:szCs w:val="24"/>
              </w:rPr>
              <w:tab/>
              <w:t>A</w:t>
            </w:r>
            <w:r w:rsidRPr="00764A29">
              <w:rPr>
                <w:szCs w:val="24"/>
              </w:rPr>
              <w:t>FC</w:t>
            </w:r>
            <w:r w:rsidRPr="00764A29">
              <w:rPr>
                <w:bCs/>
                <w:i/>
                <w:szCs w:val="24"/>
                <w:vertAlign w:val="subscript"/>
                <w:lang w:val="es-ES"/>
              </w:rPr>
              <w:t xml:space="preserve"> q, r, i</w:t>
            </w:r>
            <w:r w:rsidRPr="00764A29">
              <w:rPr>
                <w:i/>
                <w:szCs w:val="24"/>
                <w:vertAlign w:val="subscript"/>
                <w:lang w:val="es-ES"/>
              </w:rPr>
              <w:t xml:space="preserve"> </w:t>
            </w:r>
            <w:r w:rsidRPr="00764A29">
              <w:rPr>
                <w:bCs/>
                <w:szCs w:val="24"/>
              </w:rPr>
              <w:t xml:space="preserve">+ STOM </w:t>
            </w:r>
            <w:r w:rsidRPr="00764A29">
              <w:rPr>
                <w:bCs/>
                <w:i/>
                <w:szCs w:val="24"/>
                <w:vertAlign w:val="subscript"/>
              </w:rPr>
              <w:t>rc</w:t>
            </w:r>
            <w:r w:rsidRPr="00764A29">
              <w:rPr>
                <w:bCs/>
                <w:szCs w:val="24"/>
              </w:rPr>
              <w:t xml:space="preserve">    </w:t>
            </w:r>
          </w:p>
          <w:p w14:paraId="252F4342" w14:textId="77777777" w:rsidR="00764A29" w:rsidRPr="00764A29" w:rsidRDefault="00764A29" w:rsidP="00764A29">
            <w:pPr>
              <w:rPr>
                <w:szCs w:val="24"/>
              </w:rPr>
            </w:pPr>
            <w:r w:rsidRPr="00764A29">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757"/>
              <w:gridCol w:w="1026"/>
              <w:gridCol w:w="6329"/>
            </w:tblGrid>
            <w:tr w:rsidR="00764A29" w:rsidRPr="00764A29" w14:paraId="354D3D79" w14:textId="77777777" w:rsidTr="00B327B6">
              <w:trPr>
                <w:cantSplit/>
                <w:trHeight w:val="359"/>
                <w:tblHeader/>
              </w:trPr>
              <w:tc>
                <w:tcPr>
                  <w:tcW w:w="964" w:type="pct"/>
                  <w:tcBorders>
                    <w:top w:val="single" w:sz="4" w:space="0" w:color="auto"/>
                    <w:left w:val="single" w:sz="4" w:space="0" w:color="auto"/>
                    <w:bottom w:val="single" w:sz="6" w:space="0" w:color="auto"/>
                    <w:right w:val="single" w:sz="6" w:space="0" w:color="auto"/>
                  </w:tcBorders>
                  <w:hideMark/>
                </w:tcPr>
                <w:p w14:paraId="213409A7" w14:textId="77777777" w:rsidR="00764A29" w:rsidRPr="00764A29" w:rsidRDefault="00764A29" w:rsidP="00764A29">
                  <w:pPr>
                    <w:spacing w:after="240"/>
                    <w:rPr>
                      <w:b/>
                      <w:iCs/>
                      <w:sz w:val="20"/>
                      <w:szCs w:val="24"/>
                    </w:rPr>
                  </w:pPr>
                  <w:r w:rsidRPr="00764A29">
                    <w:rPr>
                      <w:b/>
                      <w:iCs/>
                      <w:sz w:val="20"/>
                      <w:szCs w:val="24"/>
                    </w:rPr>
                    <w:t>Variable</w:t>
                  </w:r>
                </w:p>
              </w:tc>
              <w:tc>
                <w:tcPr>
                  <w:tcW w:w="563" w:type="pct"/>
                  <w:tcBorders>
                    <w:top w:val="single" w:sz="4" w:space="0" w:color="auto"/>
                    <w:left w:val="single" w:sz="6" w:space="0" w:color="auto"/>
                    <w:bottom w:val="single" w:sz="6" w:space="0" w:color="auto"/>
                    <w:right w:val="single" w:sz="6" w:space="0" w:color="auto"/>
                  </w:tcBorders>
                  <w:hideMark/>
                </w:tcPr>
                <w:p w14:paraId="64631ADE" w14:textId="77777777" w:rsidR="00764A29" w:rsidRPr="00764A29" w:rsidRDefault="00764A29" w:rsidP="00764A29">
                  <w:pPr>
                    <w:spacing w:after="240"/>
                    <w:jc w:val="center"/>
                    <w:rPr>
                      <w:b/>
                      <w:iCs/>
                      <w:sz w:val="20"/>
                      <w:szCs w:val="24"/>
                    </w:rPr>
                  </w:pPr>
                  <w:r w:rsidRPr="00764A29">
                    <w:rPr>
                      <w:b/>
                      <w:iCs/>
                      <w:sz w:val="20"/>
                      <w:szCs w:val="24"/>
                    </w:rPr>
                    <w:t>Unit</w:t>
                  </w:r>
                </w:p>
              </w:tc>
              <w:tc>
                <w:tcPr>
                  <w:tcW w:w="3473" w:type="pct"/>
                  <w:tcBorders>
                    <w:top w:val="single" w:sz="4" w:space="0" w:color="auto"/>
                    <w:left w:val="single" w:sz="6" w:space="0" w:color="auto"/>
                    <w:bottom w:val="single" w:sz="6" w:space="0" w:color="auto"/>
                    <w:right w:val="single" w:sz="4" w:space="0" w:color="auto"/>
                  </w:tcBorders>
                  <w:hideMark/>
                </w:tcPr>
                <w:p w14:paraId="490A9043" w14:textId="77777777" w:rsidR="00764A29" w:rsidRPr="00764A29" w:rsidRDefault="00764A29" w:rsidP="00764A29">
                  <w:pPr>
                    <w:spacing w:after="240"/>
                    <w:rPr>
                      <w:b/>
                      <w:iCs/>
                      <w:sz w:val="20"/>
                      <w:szCs w:val="24"/>
                    </w:rPr>
                  </w:pPr>
                  <w:r w:rsidRPr="00764A29">
                    <w:rPr>
                      <w:b/>
                      <w:iCs/>
                      <w:sz w:val="20"/>
                      <w:szCs w:val="24"/>
                    </w:rPr>
                    <w:t>Definition</w:t>
                  </w:r>
                </w:p>
              </w:tc>
            </w:tr>
            <w:tr w:rsidR="00764A29" w:rsidRPr="00764A29" w14:paraId="57059BF4"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6F3C0A58" w14:textId="77777777" w:rsidR="00764A29" w:rsidRPr="00764A29" w:rsidRDefault="00764A29" w:rsidP="00764A29">
                  <w:pPr>
                    <w:spacing w:after="60"/>
                    <w:rPr>
                      <w:iCs/>
                      <w:sz w:val="20"/>
                      <w:szCs w:val="24"/>
                    </w:rPr>
                  </w:pPr>
                  <w:r w:rsidRPr="00764A29">
                    <w:rPr>
                      <w:iCs/>
                      <w:sz w:val="20"/>
                      <w:szCs w:val="24"/>
                    </w:rPr>
                    <w:t xml:space="preserve">OPLPAMT </w:t>
                  </w:r>
                  <w:r w:rsidRPr="00764A29">
                    <w:rPr>
                      <w:i/>
                      <w:iCs/>
                      <w:sz w:val="20"/>
                      <w:szCs w:val="24"/>
                      <w:vertAlign w:val="subscript"/>
                    </w:rPr>
                    <w:t>q, r, i</w:t>
                  </w:r>
                  <w:r w:rsidRPr="00764A29">
                    <w:rPr>
                      <w:b/>
                      <w:iCs/>
                      <w:sz w:val="20"/>
                      <w:szCs w:val="24"/>
                    </w:rPr>
                    <w:t xml:space="preserve">  </w:t>
                  </w:r>
                </w:p>
              </w:tc>
              <w:tc>
                <w:tcPr>
                  <w:tcW w:w="563" w:type="pct"/>
                  <w:tcBorders>
                    <w:top w:val="single" w:sz="6" w:space="0" w:color="auto"/>
                    <w:left w:val="single" w:sz="6" w:space="0" w:color="auto"/>
                    <w:bottom w:val="single" w:sz="6" w:space="0" w:color="auto"/>
                    <w:right w:val="single" w:sz="6" w:space="0" w:color="auto"/>
                  </w:tcBorders>
                  <w:hideMark/>
                </w:tcPr>
                <w:p w14:paraId="6D65C56E" w14:textId="77777777" w:rsidR="00764A29" w:rsidRPr="00764A29" w:rsidRDefault="00764A29" w:rsidP="00764A29">
                  <w:pPr>
                    <w:spacing w:after="60"/>
                    <w:rPr>
                      <w:iCs/>
                      <w:sz w:val="20"/>
                      <w:szCs w:val="24"/>
                    </w:rPr>
                  </w:pPr>
                  <w:r w:rsidRPr="00764A29">
                    <w:rPr>
                      <w:iCs/>
                      <w:sz w:val="20"/>
                      <w:szCs w:val="24"/>
                    </w:rPr>
                    <w:t>$</w:t>
                  </w:r>
                </w:p>
              </w:tc>
              <w:tc>
                <w:tcPr>
                  <w:tcW w:w="3473" w:type="pct"/>
                  <w:tcBorders>
                    <w:top w:val="single" w:sz="6" w:space="0" w:color="auto"/>
                    <w:left w:val="single" w:sz="6" w:space="0" w:color="auto"/>
                    <w:bottom w:val="single" w:sz="6" w:space="0" w:color="auto"/>
                    <w:right w:val="single" w:sz="4" w:space="0" w:color="auto"/>
                  </w:tcBorders>
                  <w:hideMark/>
                </w:tcPr>
                <w:p w14:paraId="745409B7" w14:textId="77777777" w:rsidR="00764A29" w:rsidRPr="00764A29" w:rsidRDefault="00764A29" w:rsidP="00764A29">
                  <w:pPr>
                    <w:spacing w:after="60"/>
                    <w:rPr>
                      <w:iCs/>
                      <w:sz w:val="20"/>
                      <w:szCs w:val="24"/>
                    </w:rPr>
                  </w:pPr>
                  <w:r w:rsidRPr="00764A29">
                    <w:rPr>
                      <w:i/>
                      <w:iCs/>
                      <w:sz w:val="20"/>
                      <w:szCs w:val="24"/>
                    </w:rPr>
                    <w:t>Operating Losses Payment Amount –</w:t>
                  </w:r>
                  <w:r w:rsidRPr="00764A29">
                    <w:rPr>
                      <w:iCs/>
                      <w:sz w:val="20"/>
                      <w:szCs w:val="24"/>
                    </w:rPr>
                    <w:t xml:space="preserve"> The operating losses payment to the QSE </w:t>
                  </w:r>
                  <w:r w:rsidRPr="00764A29">
                    <w:rPr>
                      <w:i/>
                      <w:iCs/>
                      <w:sz w:val="20"/>
                      <w:szCs w:val="24"/>
                    </w:rPr>
                    <w:t>q,</w:t>
                  </w:r>
                  <w:r w:rsidRPr="00764A29">
                    <w:rPr>
                      <w:iCs/>
                      <w:sz w:val="20"/>
                      <w:szCs w:val="24"/>
                    </w:rPr>
                    <w:t xml:space="preserve"> for Resource </w:t>
                  </w:r>
                  <w:r w:rsidRPr="00764A29">
                    <w:rPr>
                      <w:i/>
                      <w:iCs/>
                      <w:sz w:val="20"/>
                      <w:szCs w:val="24"/>
                    </w:rPr>
                    <w:t>r</w:t>
                  </w:r>
                  <w:r w:rsidRPr="00764A29">
                    <w:rPr>
                      <w:iCs/>
                      <w:sz w:val="20"/>
                      <w:szCs w:val="24"/>
                    </w:rPr>
                    <w:t xml:space="preserve">, for the 15-minute Settlement Interval </w:t>
                  </w:r>
                  <w:r w:rsidRPr="00764A29">
                    <w:rPr>
                      <w:i/>
                      <w:sz w:val="20"/>
                      <w:szCs w:val="24"/>
                    </w:rPr>
                    <w:t>i</w:t>
                  </w:r>
                  <w:r w:rsidRPr="00764A29">
                    <w:rPr>
                      <w:iCs/>
                      <w:sz w:val="20"/>
                      <w:szCs w:val="24"/>
                    </w:rPr>
                    <w:t xml:space="preserve"> within the Operating Day.  Where for a Combined Cycle Train, the Resource </w:t>
                  </w:r>
                  <w:r w:rsidRPr="00764A29">
                    <w:rPr>
                      <w:i/>
                      <w:iCs/>
                      <w:sz w:val="20"/>
                      <w:szCs w:val="24"/>
                    </w:rPr>
                    <w:t xml:space="preserve">r </w:t>
                  </w:r>
                  <w:r w:rsidRPr="00764A29">
                    <w:rPr>
                      <w:iCs/>
                      <w:sz w:val="20"/>
                      <w:szCs w:val="24"/>
                    </w:rPr>
                    <w:t>is the Combined Cycle Train.</w:t>
                  </w:r>
                </w:p>
              </w:tc>
            </w:tr>
            <w:tr w:rsidR="00764A29" w:rsidRPr="00764A29" w14:paraId="6CF01ED6"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0D3CBDD4" w14:textId="77777777" w:rsidR="00764A29" w:rsidRPr="00764A29" w:rsidRDefault="00764A29" w:rsidP="00764A29">
                  <w:pPr>
                    <w:spacing w:after="60"/>
                    <w:rPr>
                      <w:sz w:val="20"/>
                      <w:szCs w:val="24"/>
                    </w:rPr>
                  </w:pPr>
                  <w:r w:rsidRPr="00764A29">
                    <w:rPr>
                      <w:sz w:val="20"/>
                      <w:szCs w:val="24"/>
                    </w:rPr>
                    <w:t>OPL</w:t>
                  </w:r>
                  <w:r w:rsidRPr="00764A29">
                    <w:rPr>
                      <w:szCs w:val="24"/>
                    </w:rPr>
                    <w:t xml:space="preserve"> </w:t>
                  </w:r>
                  <w:r w:rsidRPr="00764A29">
                    <w:rPr>
                      <w:i/>
                      <w:iCs/>
                      <w:sz w:val="20"/>
                      <w:szCs w:val="24"/>
                      <w:vertAlign w:val="subscript"/>
                    </w:rPr>
                    <w:t>q, r, i</w:t>
                  </w:r>
                  <w:r w:rsidRPr="00764A29">
                    <w:rPr>
                      <w:szCs w:val="24"/>
                    </w:rPr>
                    <w:t xml:space="preserve">  </w:t>
                  </w:r>
                </w:p>
              </w:tc>
              <w:tc>
                <w:tcPr>
                  <w:tcW w:w="563" w:type="pct"/>
                  <w:tcBorders>
                    <w:top w:val="single" w:sz="6" w:space="0" w:color="auto"/>
                    <w:left w:val="single" w:sz="6" w:space="0" w:color="auto"/>
                    <w:bottom w:val="single" w:sz="6" w:space="0" w:color="auto"/>
                    <w:right w:val="single" w:sz="6" w:space="0" w:color="auto"/>
                  </w:tcBorders>
                  <w:hideMark/>
                </w:tcPr>
                <w:p w14:paraId="6E4B2DDA" w14:textId="77777777" w:rsidR="00764A29" w:rsidRPr="00764A29" w:rsidRDefault="00764A29" w:rsidP="00764A29">
                  <w:pPr>
                    <w:spacing w:after="60"/>
                    <w:rPr>
                      <w:sz w:val="20"/>
                      <w:szCs w:val="24"/>
                    </w:rPr>
                  </w:pPr>
                  <w:r w:rsidRPr="00764A29">
                    <w:rPr>
                      <w:szCs w:val="24"/>
                    </w:rPr>
                    <w:t>$</w:t>
                  </w:r>
                </w:p>
              </w:tc>
              <w:tc>
                <w:tcPr>
                  <w:tcW w:w="3473" w:type="pct"/>
                  <w:tcBorders>
                    <w:top w:val="single" w:sz="6" w:space="0" w:color="auto"/>
                    <w:left w:val="single" w:sz="6" w:space="0" w:color="auto"/>
                    <w:bottom w:val="single" w:sz="6" w:space="0" w:color="auto"/>
                    <w:right w:val="single" w:sz="4" w:space="0" w:color="auto"/>
                  </w:tcBorders>
                  <w:hideMark/>
                </w:tcPr>
                <w:p w14:paraId="552AFB1B" w14:textId="77777777" w:rsidR="00764A29" w:rsidRPr="00764A29" w:rsidRDefault="00764A29" w:rsidP="00764A29">
                  <w:pPr>
                    <w:spacing w:after="60"/>
                    <w:rPr>
                      <w:i/>
                      <w:iCs/>
                      <w:sz w:val="20"/>
                      <w:szCs w:val="24"/>
                    </w:rPr>
                  </w:pPr>
                  <w:r w:rsidRPr="00764A29">
                    <w:rPr>
                      <w:i/>
                      <w:iCs/>
                      <w:sz w:val="20"/>
                      <w:szCs w:val="24"/>
                    </w:rPr>
                    <w:t>Operating Losses</w:t>
                  </w:r>
                  <w:r w:rsidRPr="00764A29">
                    <w:rPr>
                      <w:szCs w:val="24"/>
                    </w:rPr>
                    <w:t xml:space="preserve"> – </w:t>
                  </w:r>
                  <w:r w:rsidRPr="00764A29">
                    <w:rPr>
                      <w:iCs/>
                      <w:sz w:val="20"/>
                      <w:szCs w:val="24"/>
                    </w:rPr>
                    <w:t xml:space="preserve">The operating losses for Resource </w:t>
                  </w:r>
                  <w:r w:rsidRPr="00764A29">
                    <w:rPr>
                      <w:i/>
                      <w:iCs/>
                      <w:sz w:val="20"/>
                      <w:szCs w:val="24"/>
                    </w:rPr>
                    <w:t>r</w:t>
                  </w:r>
                  <w:r w:rsidRPr="00764A29">
                    <w:rPr>
                      <w:iCs/>
                      <w:sz w:val="20"/>
                      <w:szCs w:val="24"/>
                    </w:rPr>
                    <w:t xml:space="preserve">, represented by QSE </w:t>
                  </w:r>
                  <w:r w:rsidRPr="00764A29">
                    <w:rPr>
                      <w:i/>
                      <w:iCs/>
                      <w:sz w:val="20"/>
                      <w:szCs w:val="24"/>
                    </w:rPr>
                    <w:t>q,</w:t>
                  </w:r>
                  <w:r w:rsidRPr="00764A29">
                    <w:rPr>
                      <w:iCs/>
                      <w:sz w:val="20"/>
                      <w:szCs w:val="24"/>
                    </w:rPr>
                    <w:t xml:space="preserve"> for the 15-minute Settlement Interval </w:t>
                  </w:r>
                  <w:r w:rsidRPr="00764A29">
                    <w:rPr>
                      <w:i/>
                      <w:sz w:val="20"/>
                      <w:szCs w:val="24"/>
                    </w:rPr>
                    <w:t>i</w:t>
                  </w:r>
                  <w:r w:rsidRPr="00764A29">
                    <w:rPr>
                      <w:iCs/>
                      <w:sz w:val="20"/>
                      <w:szCs w:val="24"/>
                    </w:rPr>
                    <w:t xml:space="preserve"> within the Operating Day.  Where for a Combined Cycle Train, the Resource </w:t>
                  </w:r>
                  <w:r w:rsidRPr="00764A29">
                    <w:rPr>
                      <w:i/>
                      <w:iCs/>
                      <w:sz w:val="20"/>
                      <w:szCs w:val="24"/>
                    </w:rPr>
                    <w:t xml:space="preserve">r </w:t>
                  </w:r>
                  <w:r w:rsidRPr="00764A29">
                    <w:rPr>
                      <w:iCs/>
                      <w:sz w:val="20"/>
                      <w:szCs w:val="24"/>
                    </w:rPr>
                    <w:t>is the Combined Cycle Train.</w:t>
                  </w:r>
                </w:p>
              </w:tc>
            </w:tr>
            <w:tr w:rsidR="00764A29" w:rsidRPr="00764A29" w14:paraId="02633231"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52DBE463" w14:textId="77777777" w:rsidR="00764A29" w:rsidRPr="00764A29" w:rsidRDefault="00764A29" w:rsidP="00764A29">
                  <w:pPr>
                    <w:spacing w:after="60"/>
                    <w:rPr>
                      <w:sz w:val="20"/>
                      <w:szCs w:val="24"/>
                    </w:rPr>
                  </w:pPr>
                  <w:r w:rsidRPr="00764A29">
                    <w:rPr>
                      <w:sz w:val="20"/>
                      <w:szCs w:val="24"/>
                    </w:rPr>
                    <w:t xml:space="preserve">ADJOPL </w:t>
                  </w:r>
                  <w:r w:rsidRPr="00764A29">
                    <w:rPr>
                      <w:i/>
                      <w:sz w:val="20"/>
                      <w:szCs w:val="24"/>
                      <w:vertAlign w:val="subscript"/>
                    </w:rPr>
                    <w:t>q, r, i</w:t>
                  </w:r>
                  <w:r w:rsidRPr="00764A29">
                    <w:rPr>
                      <w:b/>
                      <w:sz w:val="20"/>
                      <w:szCs w:val="24"/>
                    </w:rPr>
                    <w:t xml:space="preserve">  </w:t>
                  </w:r>
                </w:p>
              </w:tc>
              <w:tc>
                <w:tcPr>
                  <w:tcW w:w="563" w:type="pct"/>
                  <w:tcBorders>
                    <w:top w:val="single" w:sz="6" w:space="0" w:color="auto"/>
                    <w:left w:val="single" w:sz="6" w:space="0" w:color="auto"/>
                    <w:bottom w:val="single" w:sz="6" w:space="0" w:color="auto"/>
                    <w:right w:val="single" w:sz="6" w:space="0" w:color="auto"/>
                  </w:tcBorders>
                  <w:hideMark/>
                </w:tcPr>
                <w:p w14:paraId="58D5927D" w14:textId="77777777" w:rsidR="00764A29" w:rsidRPr="00764A29" w:rsidRDefault="00764A29" w:rsidP="00764A29">
                  <w:pPr>
                    <w:spacing w:after="60"/>
                    <w:rPr>
                      <w:sz w:val="20"/>
                      <w:szCs w:val="24"/>
                    </w:rPr>
                  </w:pPr>
                  <w:r w:rsidRPr="00764A29">
                    <w:rPr>
                      <w:sz w:val="20"/>
                      <w:szCs w:val="24"/>
                    </w:rPr>
                    <w:t>$</w:t>
                  </w:r>
                </w:p>
              </w:tc>
              <w:tc>
                <w:tcPr>
                  <w:tcW w:w="3473" w:type="pct"/>
                  <w:tcBorders>
                    <w:top w:val="single" w:sz="6" w:space="0" w:color="auto"/>
                    <w:left w:val="single" w:sz="6" w:space="0" w:color="auto"/>
                    <w:bottom w:val="single" w:sz="6" w:space="0" w:color="auto"/>
                    <w:right w:val="single" w:sz="4" w:space="0" w:color="auto"/>
                  </w:tcBorders>
                  <w:hideMark/>
                </w:tcPr>
                <w:p w14:paraId="1461AE2A" w14:textId="77777777" w:rsidR="00764A29" w:rsidRPr="00764A29" w:rsidRDefault="00764A29" w:rsidP="00764A29">
                  <w:pPr>
                    <w:spacing w:after="60"/>
                    <w:rPr>
                      <w:i/>
                      <w:sz w:val="20"/>
                      <w:szCs w:val="24"/>
                    </w:rPr>
                  </w:pPr>
                  <w:r w:rsidRPr="00764A29">
                    <w:rPr>
                      <w:i/>
                      <w:iCs/>
                      <w:sz w:val="20"/>
                      <w:szCs w:val="24"/>
                    </w:rPr>
                    <w:t>Operating Losses</w:t>
                  </w:r>
                  <w:r w:rsidRPr="00764A29">
                    <w:rPr>
                      <w:szCs w:val="24"/>
                    </w:rPr>
                    <w:t xml:space="preserve"> </w:t>
                  </w:r>
                  <w:r w:rsidRPr="00764A29">
                    <w:rPr>
                      <w:i/>
                      <w:iCs/>
                      <w:sz w:val="20"/>
                      <w:szCs w:val="24"/>
                    </w:rPr>
                    <w:t>Adjustment</w:t>
                  </w:r>
                  <w:r w:rsidRPr="00764A29">
                    <w:rPr>
                      <w:szCs w:val="24"/>
                    </w:rPr>
                    <w:t xml:space="preserve"> – </w:t>
                  </w:r>
                  <w:r w:rsidRPr="00764A29">
                    <w:rPr>
                      <w:iCs/>
                      <w:sz w:val="20"/>
                      <w:szCs w:val="24"/>
                    </w:rPr>
                    <w:t xml:space="preserve">The adjustment to the operating losses for Resource </w:t>
                  </w:r>
                  <w:r w:rsidRPr="00764A29">
                    <w:rPr>
                      <w:i/>
                      <w:iCs/>
                      <w:sz w:val="20"/>
                      <w:szCs w:val="24"/>
                    </w:rPr>
                    <w:t>r</w:t>
                  </w:r>
                  <w:r w:rsidRPr="00764A29">
                    <w:rPr>
                      <w:iCs/>
                      <w:sz w:val="20"/>
                      <w:szCs w:val="24"/>
                    </w:rPr>
                    <w:t xml:space="preserve">, represented by QSE </w:t>
                  </w:r>
                  <w:r w:rsidRPr="00764A29">
                    <w:rPr>
                      <w:i/>
                      <w:iCs/>
                      <w:sz w:val="20"/>
                      <w:szCs w:val="24"/>
                    </w:rPr>
                    <w:t xml:space="preserve">q, </w:t>
                  </w:r>
                  <w:r w:rsidRPr="00764A29">
                    <w:rPr>
                      <w:iCs/>
                      <w:sz w:val="20"/>
                      <w:szCs w:val="24"/>
                    </w:rPr>
                    <w:t xml:space="preserve">for the 15-minute Settlement Interval </w:t>
                  </w:r>
                  <w:r w:rsidRPr="00764A29">
                    <w:rPr>
                      <w:i/>
                      <w:sz w:val="20"/>
                      <w:szCs w:val="24"/>
                    </w:rPr>
                    <w:t>i</w:t>
                  </w:r>
                  <w:r w:rsidRPr="00764A29">
                    <w:rPr>
                      <w:iCs/>
                      <w:sz w:val="20"/>
                      <w:szCs w:val="24"/>
                    </w:rPr>
                    <w:t xml:space="preserve"> within the Operating Day.  Where for a Combined Cycle Train, the Resource </w:t>
                  </w:r>
                  <w:r w:rsidRPr="00764A29">
                    <w:rPr>
                      <w:i/>
                      <w:iCs/>
                      <w:sz w:val="20"/>
                      <w:szCs w:val="24"/>
                    </w:rPr>
                    <w:t xml:space="preserve">r </w:t>
                  </w:r>
                  <w:r w:rsidRPr="00764A29">
                    <w:rPr>
                      <w:iCs/>
                      <w:sz w:val="20"/>
                      <w:szCs w:val="24"/>
                    </w:rPr>
                    <w:t>is the Combined Cycle Train.</w:t>
                  </w:r>
                </w:p>
              </w:tc>
            </w:tr>
            <w:tr w:rsidR="00764A29" w:rsidRPr="00764A29" w14:paraId="351FDDEF"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3289265E" w14:textId="77777777" w:rsidR="00764A29" w:rsidRPr="00764A29" w:rsidRDefault="00764A29" w:rsidP="00764A29">
                  <w:pPr>
                    <w:spacing w:after="60"/>
                    <w:rPr>
                      <w:sz w:val="20"/>
                      <w:szCs w:val="24"/>
                    </w:rPr>
                  </w:pPr>
                  <w:r w:rsidRPr="00764A29">
                    <w:rPr>
                      <w:sz w:val="20"/>
                      <w:szCs w:val="24"/>
                    </w:rPr>
                    <w:t>WAFP</w:t>
                  </w:r>
                  <w:r w:rsidRPr="00764A29">
                    <w:rPr>
                      <w:bCs/>
                      <w:i/>
                      <w:szCs w:val="24"/>
                      <w:vertAlign w:val="subscript"/>
                      <w:lang w:val="es-ES"/>
                    </w:rPr>
                    <w:t xml:space="preserve"> </w:t>
                  </w:r>
                  <w:r w:rsidRPr="00764A29">
                    <w:rPr>
                      <w:i/>
                      <w:sz w:val="20"/>
                      <w:szCs w:val="24"/>
                      <w:vertAlign w:val="subscript"/>
                    </w:rPr>
                    <w:t>q, r, i</w:t>
                  </w:r>
                </w:p>
              </w:tc>
              <w:tc>
                <w:tcPr>
                  <w:tcW w:w="563" w:type="pct"/>
                  <w:tcBorders>
                    <w:top w:val="single" w:sz="6" w:space="0" w:color="auto"/>
                    <w:left w:val="single" w:sz="6" w:space="0" w:color="auto"/>
                    <w:bottom w:val="single" w:sz="6" w:space="0" w:color="auto"/>
                    <w:right w:val="single" w:sz="6" w:space="0" w:color="auto"/>
                  </w:tcBorders>
                  <w:hideMark/>
                </w:tcPr>
                <w:p w14:paraId="5291B034" w14:textId="77777777" w:rsidR="00764A29" w:rsidRPr="00764A29" w:rsidRDefault="00764A29" w:rsidP="00764A29">
                  <w:pPr>
                    <w:spacing w:after="60"/>
                    <w:rPr>
                      <w:sz w:val="20"/>
                      <w:szCs w:val="24"/>
                    </w:rPr>
                  </w:pPr>
                  <w:r w:rsidRPr="00764A29">
                    <w:rPr>
                      <w:iCs/>
                      <w:sz w:val="20"/>
                      <w:szCs w:val="24"/>
                    </w:rPr>
                    <w:t>$/MMBtu</w:t>
                  </w:r>
                </w:p>
              </w:tc>
              <w:tc>
                <w:tcPr>
                  <w:tcW w:w="3473" w:type="pct"/>
                  <w:tcBorders>
                    <w:top w:val="single" w:sz="6" w:space="0" w:color="auto"/>
                    <w:left w:val="single" w:sz="6" w:space="0" w:color="auto"/>
                    <w:bottom w:val="single" w:sz="6" w:space="0" w:color="auto"/>
                    <w:right w:val="single" w:sz="4" w:space="0" w:color="auto"/>
                  </w:tcBorders>
                  <w:hideMark/>
                </w:tcPr>
                <w:p w14:paraId="3A219362" w14:textId="295E9681" w:rsidR="00764A29" w:rsidRPr="00764A29" w:rsidRDefault="00764A29" w:rsidP="00764A29">
                  <w:pPr>
                    <w:spacing w:after="60"/>
                    <w:rPr>
                      <w:i/>
                      <w:sz w:val="20"/>
                      <w:szCs w:val="24"/>
                    </w:rPr>
                  </w:pPr>
                  <w:r w:rsidRPr="00764A29">
                    <w:rPr>
                      <w:i/>
                      <w:sz w:val="20"/>
                      <w:szCs w:val="24"/>
                    </w:rPr>
                    <w:t>Weighted Average Fuel Price</w:t>
                  </w:r>
                  <w:r w:rsidR="00873DFB">
                    <w:rPr>
                      <w:i/>
                      <w:sz w:val="20"/>
                      <w:szCs w:val="24"/>
                    </w:rPr>
                    <w:t xml:space="preserve"> </w:t>
                  </w:r>
                  <w:r w:rsidR="00873DFB" w:rsidRPr="00764A29">
                    <w:rPr>
                      <w:szCs w:val="24"/>
                    </w:rPr>
                    <w:t>–</w:t>
                  </w:r>
                  <w:r w:rsidR="00873DFB">
                    <w:rPr>
                      <w:szCs w:val="24"/>
                    </w:rPr>
                    <w:t xml:space="preserve"> </w:t>
                  </w:r>
                  <w:r w:rsidRPr="00764A29">
                    <w:rPr>
                      <w:sz w:val="20"/>
                      <w:szCs w:val="24"/>
                    </w:rPr>
                    <w:t xml:space="preserve">The volume-weighted average price of fuel submitted to ERCOT for the LCAP or ECAP Effective Period for a specific Resource </w:t>
                  </w:r>
                  <w:r w:rsidRPr="00764A29">
                    <w:rPr>
                      <w:i/>
                      <w:iCs/>
                      <w:sz w:val="20"/>
                      <w:szCs w:val="24"/>
                    </w:rPr>
                    <w:t>r,</w:t>
                  </w:r>
                  <w:r w:rsidRPr="00764A29">
                    <w:rPr>
                      <w:sz w:val="20"/>
                      <w:szCs w:val="24"/>
                    </w:rPr>
                    <w:t xml:space="preserve"> represented by QSE </w:t>
                  </w:r>
                  <w:r w:rsidRPr="00764A29">
                    <w:rPr>
                      <w:i/>
                      <w:iCs/>
                      <w:sz w:val="20"/>
                      <w:szCs w:val="24"/>
                    </w:rPr>
                    <w:t>q,</w:t>
                  </w:r>
                  <w:r w:rsidRPr="00764A29">
                    <w:rPr>
                      <w:sz w:val="20"/>
                      <w:szCs w:val="24"/>
                    </w:rPr>
                    <w:t xml:space="preserve"> and specific 15-minute Settlement Interval </w:t>
                  </w:r>
                  <w:r w:rsidRPr="00764A29">
                    <w:rPr>
                      <w:i/>
                      <w:iCs/>
                      <w:sz w:val="20"/>
                      <w:szCs w:val="24"/>
                    </w:rPr>
                    <w:t>i</w:t>
                  </w:r>
                  <w:r w:rsidRPr="00764A29">
                    <w:rPr>
                      <w:sz w:val="20"/>
                      <w:szCs w:val="24"/>
                    </w:rPr>
                    <w:t xml:space="preserve"> within the Operating Day.</w:t>
                  </w:r>
                  <w:r w:rsidRPr="00764A29">
                    <w:rPr>
                      <w:szCs w:val="24"/>
                    </w:rPr>
                    <w:t xml:space="preserve"> </w:t>
                  </w:r>
                  <w:r w:rsidR="00873DFB">
                    <w:rPr>
                      <w:szCs w:val="24"/>
                    </w:rPr>
                    <w:t xml:space="preserve"> </w:t>
                  </w:r>
                  <w:r w:rsidRPr="00764A29">
                    <w:rPr>
                      <w:iCs/>
                      <w:sz w:val="20"/>
                      <w:szCs w:val="24"/>
                    </w:rPr>
                    <w:t xml:space="preserve">Where for a Combined Cycle Train, the Resource </w:t>
                  </w:r>
                  <w:r w:rsidRPr="00764A29">
                    <w:rPr>
                      <w:i/>
                      <w:sz w:val="20"/>
                      <w:szCs w:val="24"/>
                    </w:rPr>
                    <w:t>r</w:t>
                  </w:r>
                  <w:r w:rsidRPr="00764A29">
                    <w:rPr>
                      <w:iCs/>
                      <w:sz w:val="20"/>
                      <w:szCs w:val="24"/>
                    </w:rPr>
                    <w:t xml:space="preserve"> is a Combined Cycle Generation Resource within the Combined Cycle Train.</w:t>
                  </w:r>
                </w:p>
              </w:tc>
            </w:tr>
            <w:tr w:rsidR="00764A29" w:rsidRPr="00764A29" w14:paraId="529545CF"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2291F0AB" w14:textId="77777777" w:rsidR="00764A29" w:rsidRPr="00764A29" w:rsidRDefault="00764A29" w:rsidP="00764A29">
                  <w:pPr>
                    <w:spacing w:after="60"/>
                    <w:rPr>
                      <w:iCs/>
                      <w:sz w:val="20"/>
                      <w:szCs w:val="24"/>
                    </w:rPr>
                  </w:pPr>
                  <w:r w:rsidRPr="00764A29">
                    <w:rPr>
                      <w:iCs/>
                      <w:sz w:val="20"/>
                      <w:szCs w:val="24"/>
                    </w:rPr>
                    <w:t xml:space="preserve">AMC </w:t>
                  </w:r>
                  <w:r w:rsidRPr="00764A29">
                    <w:rPr>
                      <w:i/>
                      <w:iCs/>
                      <w:sz w:val="20"/>
                      <w:szCs w:val="24"/>
                      <w:vertAlign w:val="subscript"/>
                    </w:rPr>
                    <w:t>q, r, i</w:t>
                  </w:r>
                  <w:r w:rsidRPr="00764A29">
                    <w:rPr>
                      <w:iCs/>
                      <w:sz w:val="20"/>
                      <w:szCs w:val="24"/>
                    </w:rPr>
                    <w:t xml:space="preserve"> </w:t>
                  </w:r>
                </w:p>
              </w:tc>
              <w:tc>
                <w:tcPr>
                  <w:tcW w:w="563" w:type="pct"/>
                  <w:tcBorders>
                    <w:top w:val="single" w:sz="6" w:space="0" w:color="auto"/>
                    <w:left w:val="single" w:sz="6" w:space="0" w:color="auto"/>
                    <w:bottom w:val="single" w:sz="6" w:space="0" w:color="auto"/>
                    <w:right w:val="single" w:sz="6" w:space="0" w:color="auto"/>
                  </w:tcBorders>
                  <w:hideMark/>
                </w:tcPr>
                <w:p w14:paraId="53CA979A"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1E26D3BA" w14:textId="77777777" w:rsidR="00764A29" w:rsidRPr="00764A29" w:rsidRDefault="00764A29" w:rsidP="00764A29">
                  <w:pPr>
                    <w:spacing w:after="60"/>
                    <w:rPr>
                      <w:iCs/>
                      <w:sz w:val="20"/>
                      <w:szCs w:val="24"/>
                    </w:rPr>
                  </w:pPr>
                  <w:r w:rsidRPr="00764A29">
                    <w:rPr>
                      <w:i/>
                      <w:iCs/>
                      <w:sz w:val="20"/>
                      <w:szCs w:val="24"/>
                    </w:rPr>
                    <w:t>Actual Marginal Cost –</w:t>
                  </w:r>
                  <w:r w:rsidRPr="00764A29">
                    <w:rPr>
                      <w:sz w:val="20"/>
                      <w:szCs w:val="24"/>
                    </w:rPr>
                    <w:t xml:space="preserve"> </w:t>
                  </w:r>
                  <w:r w:rsidRPr="00764A29">
                    <w:rPr>
                      <w:iCs/>
                      <w:sz w:val="20"/>
                      <w:szCs w:val="24"/>
                    </w:rPr>
                    <w:t xml:space="preserve">The actual marginal costs for Resource </w:t>
                  </w:r>
                  <w:r w:rsidRPr="00764A29">
                    <w:rPr>
                      <w:i/>
                      <w:iCs/>
                      <w:sz w:val="20"/>
                      <w:szCs w:val="24"/>
                    </w:rPr>
                    <w:t xml:space="preserve">r </w:t>
                  </w:r>
                  <w:r w:rsidRPr="00764A29">
                    <w:rPr>
                      <w:iCs/>
                      <w:sz w:val="20"/>
                      <w:szCs w:val="24"/>
                    </w:rPr>
                    <w:t>represented by QSE</w:t>
                  </w:r>
                  <w:r w:rsidRPr="00764A29">
                    <w:rPr>
                      <w:i/>
                      <w:iCs/>
                      <w:sz w:val="20"/>
                      <w:szCs w:val="24"/>
                    </w:rPr>
                    <w:t xml:space="preserve"> q</w:t>
                  </w:r>
                  <w:r w:rsidRPr="00764A29">
                    <w:rPr>
                      <w:iCs/>
                      <w:sz w:val="20"/>
                      <w:szCs w:val="24"/>
                    </w:rPr>
                    <w:t xml:space="preserve"> for the </w:t>
                  </w:r>
                  <w:r w:rsidRPr="00764A29">
                    <w:rPr>
                      <w:sz w:val="20"/>
                      <w:szCs w:val="24"/>
                    </w:rPr>
                    <w:t xml:space="preserve">15-minute Settlement Interval </w:t>
                  </w:r>
                  <w:r w:rsidRPr="00764A29">
                    <w:rPr>
                      <w:i/>
                      <w:iCs/>
                      <w:sz w:val="20"/>
                      <w:szCs w:val="24"/>
                    </w:rPr>
                    <w:t>i</w:t>
                  </w:r>
                  <w:r w:rsidRPr="00764A29">
                    <w:rPr>
                      <w:sz w:val="20"/>
                      <w:szCs w:val="24"/>
                    </w:rPr>
                    <w:t xml:space="preserve"> within the Operating Day.</w:t>
                  </w:r>
                  <w:r w:rsidRPr="00764A29">
                    <w:rPr>
                      <w:iCs/>
                      <w:sz w:val="20"/>
                      <w:szCs w:val="24"/>
                    </w:rPr>
                    <w:t xml:space="preserve">  Where for a Combined Cycle Train, the Resource </w:t>
                  </w:r>
                  <w:r w:rsidRPr="00764A29">
                    <w:rPr>
                      <w:i/>
                      <w:iCs/>
                      <w:sz w:val="20"/>
                      <w:szCs w:val="24"/>
                    </w:rPr>
                    <w:t>r</w:t>
                  </w:r>
                  <w:r w:rsidRPr="00764A29">
                    <w:rPr>
                      <w:iCs/>
                      <w:sz w:val="20"/>
                      <w:szCs w:val="24"/>
                    </w:rPr>
                    <w:t xml:space="preserve"> is a Combined Cycle Generation Resource within the Combined Cycle Train.</w:t>
                  </w:r>
                </w:p>
              </w:tc>
            </w:tr>
            <w:tr w:rsidR="00764A29" w:rsidRPr="00764A29" w14:paraId="0EA79B6E" w14:textId="77777777" w:rsidTr="00B327B6">
              <w:trPr>
                <w:cantSplit/>
              </w:trPr>
              <w:tc>
                <w:tcPr>
                  <w:tcW w:w="964" w:type="pct"/>
                  <w:tcBorders>
                    <w:top w:val="single" w:sz="6" w:space="0" w:color="auto"/>
                    <w:left w:val="single" w:sz="4" w:space="0" w:color="auto"/>
                    <w:bottom w:val="single" w:sz="6" w:space="0" w:color="auto"/>
                    <w:right w:val="single" w:sz="6" w:space="0" w:color="auto"/>
                  </w:tcBorders>
                </w:tcPr>
                <w:p w14:paraId="43A3FBBA" w14:textId="77777777" w:rsidR="00764A29" w:rsidRPr="00764A29" w:rsidRDefault="00764A29" w:rsidP="00764A29">
                  <w:pPr>
                    <w:spacing w:after="60"/>
                    <w:rPr>
                      <w:iCs/>
                      <w:sz w:val="20"/>
                      <w:szCs w:val="24"/>
                    </w:rPr>
                  </w:pPr>
                  <w:r w:rsidRPr="00764A29">
                    <w:rPr>
                      <w:iCs/>
                      <w:sz w:val="20"/>
                      <w:szCs w:val="24"/>
                    </w:rPr>
                    <w:t xml:space="preserve">MFC </w:t>
                  </w:r>
                  <w:r w:rsidRPr="00764A29">
                    <w:rPr>
                      <w:i/>
                      <w:iCs/>
                      <w:sz w:val="20"/>
                      <w:szCs w:val="24"/>
                      <w:vertAlign w:val="subscript"/>
                    </w:rPr>
                    <w:t>q, r, i</w:t>
                  </w:r>
                  <w:r w:rsidRPr="00764A29">
                    <w:rPr>
                      <w:iCs/>
                      <w:sz w:val="20"/>
                      <w:szCs w:val="24"/>
                    </w:rPr>
                    <w:t xml:space="preserve"> </w:t>
                  </w:r>
                </w:p>
              </w:tc>
              <w:tc>
                <w:tcPr>
                  <w:tcW w:w="563" w:type="pct"/>
                  <w:tcBorders>
                    <w:top w:val="single" w:sz="6" w:space="0" w:color="auto"/>
                    <w:left w:val="single" w:sz="6" w:space="0" w:color="auto"/>
                    <w:bottom w:val="single" w:sz="6" w:space="0" w:color="auto"/>
                    <w:right w:val="single" w:sz="6" w:space="0" w:color="auto"/>
                  </w:tcBorders>
                </w:tcPr>
                <w:p w14:paraId="04FCED22"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tcPr>
                <w:p w14:paraId="7621EDAA" w14:textId="77777777" w:rsidR="00764A29" w:rsidRPr="00764A29" w:rsidRDefault="00764A29" w:rsidP="00764A29">
                  <w:pPr>
                    <w:spacing w:after="60"/>
                    <w:rPr>
                      <w:iCs/>
                      <w:sz w:val="20"/>
                      <w:szCs w:val="24"/>
                    </w:rPr>
                  </w:pPr>
                  <w:r w:rsidRPr="00764A29">
                    <w:rPr>
                      <w:iCs/>
                      <w:sz w:val="20"/>
                      <w:szCs w:val="24"/>
                    </w:rPr>
                    <w:t xml:space="preserve">Marginal Fuel Cost – The marginal fuel cost for Resource </w:t>
                  </w:r>
                  <w:r w:rsidRPr="00764A29">
                    <w:rPr>
                      <w:i/>
                      <w:sz w:val="20"/>
                      <w:szCs w:val="24"/>
                    </w:rPr>
                    <w:t>r</w:t>
                  </w:r>
                  <w:r w:rsidRPr="00764A29">
                    <w:rPr>
                      <w:iCs/>
                      <w:sz w:val="20"/>
                      <w:szCs w:val="24"/>
                    </w:rPr>
                    <w:t xml:space="preserve"> represented by QSE </w:t>
                  </w:r>
                  <w:r w:rsidRPr="00764A29">
                    <w:rPr>
                      <w:i/>
                      <w:sz w:val="20"/>
                      <w:szCs w:val="24"/>
                    </w:rPr>
                    <w:t>q</w:t>
                  </w:r>
                  <w:r w:rsidRPr="00764A29">
                    <w:rPr>
                      <w:iCs/>
                      <w:sz w:val="20"/>
                      <w:szCs w:val="24"/>
                    </w:rPr>
                    <w:t xml:space="preserve"> for the 15-minute Settlement Interval </w:t>
                  </w:r>
                  <w:r w:rsidRPr="00764A29">
                    <w:rPr>
                      <w:i/>
                      <w:sz w:val="20"/>
                      <w:szCs w:val="24"/>
                    </w:rPr>
                    <w:t>i</w:t>
                  </w:r>
                  <w:r w:rsidRPr="00764A29">
                    <w:rPr>
                      <w:iCs/>
                      <w:sz w:val="20"/>
                      <w:szCs w:val="24"/>
                    </w:rPr>
                    <w:t xml:space="preserve"> within the Operating Day.  Where for a Combined Cycle Train, the Resource </w:t>
                  </w:r>
                  <w:r w:rsidRPr="00764A29">
                    <w:rPr>
                      <w:i/>
                      <w:sz w:val="20"/>
                      <w:szCs w:val="24"/>
                    </w:rPr>
                    <w:t>r</w:t>
                  </w:r>
                  <w:r w:rsidRPr="00764A29">
                    <w:rPr>
                      <w:iCs/>
                      <w:sz w:val="20"/>
                      <w:szCs w:val="24"/>
                    </w:rPr>
                    <w:t xml:space="preserve"> is a Combined Cycle Generation Resource within the Combined Cycle Train.</w:t>
                  </w:r>
                </w:p>
              </w:tc>
            </w:tr>
            <w:tr w:rsidR="00764A29" w:rsidRPr="00764A29" w14:paraId="5A03543B"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4F028A6D" w14:textId="77777777" w:rsidR="00764A29" w:rsidRPr="00764A29" w:rsidRDefault="00764A29" w:rsidP="00764A29">
                  <w:pPr>
                    <w:spacing w:after="60"/>
                    <w:rPr>
                      <w:iCs/>
                      <w:sz w:val="20"/>
                      <w:szCs w:val="24"/>
                    </w:rPr>
                  </w:pPr>
                  <w:r w:rsidRPr="00764A29">
                    <w:rPr>
                      <w:iCs/>
                      <w:sz w:val="20"/>
                      <w:szCs w:val="24"/>
                    </w:rPr>
                    <w:t>LCAP</w:t>
                  </w:r>
                </w:p>
              </w:tc>
              <w:tc>
                <w:tcPr>
                  <w:tcW w:w="563" w:type="pct"/>
                  <w:tcBorders>
                    <w:top w:val="single" w:sz="6" w:space="0" w:color="auto"/>
                    <w:left w:val="single" w:sz="6" w:space="0" w:color="auto"/>
                    <w:bottom w:val="single" w:sz="6" w:space="0" w:color="auto"/>
                    <w:right w:val="single" w:sz="6" w:space="0" w:color="auto"/>
                  </w:tcBorders>
                  <w:hideMark/>
                </w:tcPr>
                <w:p w14:paraId="2F854BAB"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27B4B152" w14:textId="77777777" w:rsidR="00764A29" w:rsidRPr="00764A29" w:rsidRDefault="00764A29" w:rsidP="00764A29">
                  <w:pPr>
                    <w:spacing w:after="60"/>
                    <w:rPr>
                      <w:i/>
                      <w:iCs/>
                      <w:sz w:val="20"/>
                      <w:szCs w:val="24"/>
                    </w:rPr>
                  </w:pPr>
                  <w:r w:rsidRPr="00764A29">
                    <w:rPr>
                      <w:i/>
                      <w:iCs/>
                      <w:sz w:val="20"/>
                      <w:szCs w:val="24"/>
                    </w:rPr>
                    <w:t xml:space="preserve">Low System Wide Offer Cap – </w:t>
                  </w:r>
                  <w:r w:rsidRPr="00764A29">
                    <w:rPr>
                      <w:iCs/>
                      <w:sz w:val="20"/>
                      <w:szCs w:val="24"/>
                    </w:rPr>
                    <w:t>The value set per paragraph (1) of Section 4.4.11, System-Wide Offer Caps.</w:t>
                  </w:r>
                </w:p>
              </w:tc>
            </w:tr>
            <w:tr w:rsidR="00764A29" w:rsidRPr="00764A29" w14:paraId="2BF5305E"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4CC3332D" w14:textId="77777777" w:rsidR="00764A29" w:rsidRPr="00764A29" w:rsidRDefault="00764A29" w:rsidP="00764A29">
                  <w:pPr>
                    <w:spacing w:after="60"/>
                    <w:rPr>
                      <w:iCs/>
                      <w:sz w:val="20"/>
                      <w:szCs w:val="24"/>
                    </w:rPr>
                  </w:pPr>
                  <w:r w:rsidRPr="00764A29">
                    <w:rPr>
                      <w:iCs/>
                      <w:sz w:val="20"/>
                      <w:szCs w:val="24"/>
                    </w:rPr>
                    <w:lastRenderedPageBreak/>
                    <w:t xml:space="preserve">ROM </w:t>
                  </w:r>
                  <w:r w:rsidRPr="00764A29">
                    <w:rPr>
                      <w:i/>
                      <w:iCs/>
                      <w:sz w:val="20"/>
                      <w:szCs w:val="24"/>
                      <w:vertAlign w:val="subscript"/>
                    </w:rPr>
                    <w:t>q, r</w:t>
                  </w:r>
                </w:p>
              </w:tc>
              <w:tc>
                <w:tcPr>
                  <w:tcW w:w="563" w:type="pct"/>
                  <w:tcBorders>
                    <w:top w:val="single" w:sz="6" w:space="0" w:color="auto"/>
                    <w:left w:val="single" w:sz="6" w:space="0" w:color="auto"/>
                    <w:bottom w:val="single" w:sz="6" w:space="0" w:color="auto"/>
                    <w:right w:val="single" w:sz="6" w:space="0" w:color="auto"/>
                  </w:tcBorders>
                  <w:hideMark/>
                </w:tcPr>
                <w:p w14:paraId="778F13B8"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46F479E5" w14:textId="77777777" w:rsidR="00764A29" w:rsidRPr="00764A29" w:rsidRDefault="00764A29" w:rsidP="00764A29">
                  <w:pPr>
                    <w:spacing w:after="60"/>
                    <w:rPr>
                      <w:i/>
                      <w:iCs/>
                      <w:sz w:val="20"/>
                      <w:szCs w:val="24"/>
                    </w:rPr>
                  </w:pPr>
                  <w:r w:rsidRPr="00764A29">
                    <w:rPr>
                      <w:i/>
                      <w:iCs/>
                      <w:sz w:val="20"/>
                      <w:szCs w:val="24"/>
                    </w:rPr>
                    <w:t xml:space="preserve">Raw Verifiable Operations and Maintenance Cost Above LSL – </w:t>
                  </w:r>
                  <w:r w:rsidRPr="00764A29">
                    <w:rPr>
                      <w:iCs/>
                      <w:sz w:val="20"/>
                      <w:szCs w:val="24"/>
                    </w:rPr>
                    <w:t xml:space="preserve">The raw verifiable O&amp;M cost for the Resource </w:t>
                  </w:r>
                  <w:r w:rsidRPr="00764A29">
                    <w:rPr>
                      <w:i/>
                      <w:iCs/>
                      <w:sz w:val="20"/>
                      <w:szCs w:val="24"/>
                    </w:rPr>
                    <w:t xml:space="preserve">r </w:t>
                  </w:r>
                  <w:r w:rsidRPr="00764A29">
                    <w:rPr>
                      <w:iCs/>
                      <w:sz w:val="20"/>
                      <w:szCs w:val="24"/>
                    </w:rPr>
                    <w:t>represented by QSE</w:t>
                  </w:r>
                  <w:r w:rsidRPr="00764A29">
                    <w:rPr>
                      <w:i/>
                      <w:iCs/>
                      <w:sz w:val="20"/>
                      <w:szCs w:val="24"/>
                    </w:rPr>
                    <w:t xml:space="preserve"> q</w:t>
                  </w:r>
                  <w:r w:rsidRPr="00764A29">
                    <w:rPr>
                      <w:iCs/>
                      <w:sz w:val="20"/>
                      <w:szCs w:val="24"/>
                    </w:rPr>
                    <w:t xml:space="preserve"> for operations above Low Sustained Limit (LSL).  Where for a Combined Cycle Train, the Resource </w:t>
                  </w:r>
                  <w:r w:rsidRPr="00764A29">
                    <w:rPr>
                      <w:i/>
                      <w:iCs/>
                      <w:sz w:val="20"/>
                      <w:szCs w:val="24"/>
                    </w:rPr>
                    <w:t>r</w:t>
                  </w:r>
                  <w:r w:rsidRPr="00764A29">
                    <w:rPr>
                      <w:iCs/>
                      <w:sz w:val="20"/>
                      <w:szCs w:val="24"/>
                    </w:rPr>
                    <w:t xml:space="preserve"> is a Combined Cycle Generation Resource within the Combined Cycle Train.</w:t>
                  </w:r>
                </w:p>
              </w:tc>
            </w:tr>
            <w:tr w:rsidR="00764A29" w:rsidRPr="00764A29" w14:paraId="0D50F38B" w14:textId="77777777" w:rsidTr="00B327B6">
              <w:trPr>
                <w:cantSplit/>
              </w:trPr>
              <w:tc>
                <w:tcPr>
                  <w:tcW w:w="964" w:type="pct"/>
                  <w:tcBorders>
                    <w:top w:val="single" w:sz="6" w:space="0" w:color="auto"/>
                    <w:left w:val="single" w:sz="4" w:space="0" w:color="auto"/>
                    <w:bottom w:val="single" w:sz="6" w:space="0" w:color="auto"/>
                    <w:right w:val="single" w:sz="6" w:space="0" w:color="auto"/>
                  </w:tcBorders>
                </w:tcPr>
                <w:p w14:paraId="784D4862" w14:textId="77777777" w:rsidR="00764A29" w:rsidRPr="00764A29" w:rsidRDefault="00764A29" w:rsidP="00764A29">
                  <w:pPr>
                    <w:spacing w:after="60"/>
                    <w:rPr>
                      <w:iCs/>
                      <w:sz w:val="20"/>
                      <w:szCs w:val="24"/>
                    </w:rPr>
                  </w:pPr>
                  <w:r w:rsidRPr="00764A29">
                    <w:rPr>
                      <w:iCs/>
                      <w:sz w:val="20"/>
                      <w:szCs w:val="24"/>
                    </w:rPr>
                    <w:t xml:space="preserve">VOM </w:t>
                  </w:r>
                  <w:r w:rsidRPr="00764A29">
                    <w:rPr>
                      <w:i/>
                      <w:iCs/>
                      <w:sz w:val="20"/>
                      <w:szCs w:val="24"/>
                      <w:vertAlign w:val="subscript"/>
                    </w:rPr>
                    <w:t>q, r</w:t>
                  </w:r>
                </w:p>
              </w:tc>
              <w:tc>
                <w:tcPr>
                  <w:tcW w:w="563" w:type="pct"/>
                  <w:tcBorders>
                    <w:top w:val="single" w:sz="6" w:space="0" w:color="auto"/>
                    <w:left w:val="single" w:sz="6" w:space="0" w:color="auto"/>
                    <w:bottom w:val="single" w:sz="6" w:space="0" w:color="auto"/>
                    <w:right w:val="single" w:sz="6" w:space="0" w:color="auto"/>
                  </w:tcBorders>
                </w:tcPr>
                <w:p w14:paraId="47DEC752"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tcPr>
                <w:p w14:paraId="48916809" w14:textId="77777777" w:rsidR="00764A29" w:rsidRPr="00764A29" w:rsidRDefault="00764A29" w:rsidP="00764A29">
                  <w:pPr>
                    <w:spacing w:after="60"/>
                    <w:rPr>
                      <w:iCs/>
                      <w:sz w:val="20"/>
                      <w:szCs w:val="24"/>
                    </w:rPr>
                  </w:pPr>
                  <w:r w:rsidRPr="00764A29">
                    <w:rPr>
                      <w:iCs/>
                      <w:sz w:val="20"/>
                      <w:szCs w:val="24"/>
                    </w:rPr>
                    <w:t xml:space="preserve">Variable Operations and Maintenance Cost – The variable operations and maintenance cost incurred by the Resource </w:t>
                  </w:r>
                  <w:r w:rsidRPr="00764A29">
                    <w:rPr>
                      <w:i/>
                      <w:sz w:val="20"/>
                      <w:szCs w:val="24"/>
                    </w:rPr>
                    <w:t>r</w:t>
                  </w:r>
                  <w:r w:rsidRPr="00764A29">
                    <w:rPr>
                      <w:iCs/>
                      <w:sz w:val="20"/>
                      <w:szCs w:val="24"/>
                    </w:rPr>
                    <w:t xml:space="preserve"> represented by QSE </w:t>
                  </w:r>
                  <w:r w:rsidRPr="00764A29">
                    <w:rPr>
                      <w:i/>
                      <w:sz w:val="20"/>
                      <w:szCs w:val="24"/>
                    </w:rPr>
                    <w:t>q</w:t>
                  </w:r>
                  <w:r w:rsidRPr="00764A29">
                    <w:rPr>
                      <w:iCs/>
                      <w:sz w:val="20"/>
                      <w:szCs w:val="24"/>
                    </w:rPr>
                    <w:t xml:space="preserve"> for operations after breaker close.  Where for a Combined Cycle Train, the Resource </w:t>
                  </w:r>
                  <w:r w:rsidRPr="00764A29">
                    <w:rPr>
                      <w:i/>
                      <w:sz w:val="20"/>
                      <w:szCs w:val="24"/>
                    </w:rPr>
                    <w:t>r</w:t>
                  </w:r>
                  <w:r w:rsidRPr="00764A29">
                    <w:rPr>
                      <w:iCs/>
                      <w:sz w:val="20"/>
                      <w:szCs w:val="24"/>
                    </w:rPr>
                    <w:t xml:space="preserve"> is a Combined Cycle Generation Resource within the Combined Cycle Train.</w:t>
                  </w:r>
                </w:p>
              </w:tc>
            </w:tr>
            <w:tr w:rsidR="00764A29" w:rsidRPr="00764A29" w14:paraId="08849C5E" w14:textId="77777777" w:rsidTr="00B327B6">
              <w:trPr>
                <w:cantSplit/>
              </w:trPr>
              <w:tc>
                <w:tcPr>
                  <w:tcW w:w="964" w:type="pct"/>
                  <w:tcBorders>
                    <w:top w:val="single" w:sz="6" w:space="0" w:color="auto"/>
                    <w:left w:val="single" w:sz="4" w:space="0" w:color="auto"/>
                    <w:bottom w:val="single" w:sz="6" w:space="0" w:color="auto"/>
                    <w:right w:val="single" w:sz="6" w:space="0" w:color="auto"/>
                  </w:tcBorders>
                </w:tcPr>
                <w:p w14:paraId="759BDFE7" w14:textId="77777777" w:rsidR="00764A29" w:rsidRPr="00764A29" w:rsidRDefault="00764A29" w:rsidP="00764A29">
                  <w:pPr>
                    <w:spacing w:after="60"/>
                    <w:rPr>
                      <w:iCs/>
                      <w:sz w:val="20"/>
                      <w:szCs w:val="24"/>
                    </w:rPr>
                  </w:pPr>
                  <w:r w:rsidRPr="00764A29">
                    <w:rPr>
                      <w:iCs/>
                      <w:sz w:val="20"/>
                      <w:szCs w:val="24"/>
                    </w:rPr>
                    <w:t xml:space="preserve">IVC </w:t>
                  </w:r>
                  <w:r w:rsidRPr="00764A29">
                    <w:rPr>
                      <w:i/>
                      <w:iCs/>
                      <w:sz w:val="20"/>
                      <w:szCs w:val="24"/>
                      <w:vertAlign w:val="subscript"/>
                    </w:rPr>
                    <w:t>q, r</w:t>
                  </w:r>
                </w:p>
              </w:tc>
              <w:tc>
                <w:tcPr>
                  <w:tcW w:w="563" w:type="pct"/>
                  <w:tcBorders>
                    <w:top w:val="single" w:sz="6" w:space="0" w:color="auto"/>
                    <w:left w:val="single" w:sz="6" w:space="0" w:color="auto"/>
                    <w:bottom w:val="single" w:sz="6" w:space="0" w:color="auto"/>
                    <w:right w:val="single" w:sz="6" w:space="0" w:color="auto"/>
                  </w:tcBorders>
                </w:tcPr>
                <w:p w14:paraId="77E99AE6"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tcPr>
                <w:p w14:paraId="57E85EAB" w14:textId="77777777" w:rsidR="00764A29" w:rsidRPr="00764A29" w:rsidRDefault="00764A29" w:rsidP="00764A29">
                  <w:pPr>
                    <w:spacing w:after="60"/>
                    <w:rPr>
                      <w:iCs/>
                      <w:sz w:val="20"/>
                      <w:szCs w:val="24"/>
                    </w:rPr>
                  </w:pPr>
                  <w:r w:rsidRPr="00764A29">
                    <w:rPr>
                      <w:iCs/>
                      <w:sz w:val="20"/>
                      <w:szCs w:val="24"/>
                    </w:rPr>
                    <w:t xml:space="preserve">Incremental Variable Operations and Maintenance Cost – The incremental variable operations and maintenance cost incurred by the Resource </w:t>
                  </w:r>
                  <w:r w:rsidRPr="00764A29">
                    <w:rPr>
                      <w:i/>
                      <w:sz w:val="20"/>
                      <w:szCs w:val="24"/>
                    </w:rPr>
                    <w:t>r</w:t>
                  </w:r>
                  <w:r w:rsidRPr="00764A29">
                    <w:rPr>
                      <w:iCs/>
                      <w:sz w:val="20"/>
                      <w:szCs w:val="24"/>
                    </w:rPr>
                    <w:t xml:space="preserve"> represented by QSE </w:t>
                  </w:r>
                  <w:r w:rsidRPr="00764A29">
                    <w:rPr>
                      <w:i/>
                      <w:sz w:val="20"/>
                      <w:szCs w:val="24"/>
                    </w:rPr>
                    <w:t>q</w:t>
                  </w:r>
                  <w:r w:rsidRPr="00764A29">
                    <w:rPr>
                      <w:iCs/>
                      <w:sz w:val="20"/>
                      <w:szCs w:val="24"/>
                    </w:rPr>
                    <w:t xml:space="preserve"> for operations after breaker close.  Where for a Combined Cycle Train, the Resource </w:t>
                  </w:r>
                  <w:r w:rsidRPr="00764A29">
                    <w:rPr>
                      <w:i/>
                      <w:sz w:val="20"/>
                      <w:szCs w:val="24"/>
                    </w:rPr>
                    <w:t>r</w:t>
                  </w:r>
                  <w:r w:rsidRPr="00764A29">
                    <w:rPr>
                      <w:iCs/>
                      <w:sz w:val="20"/>
                      <w:szCs w:val="24"/>
                    </w:rPr>
                    <w:t xml:space="preserve"> is a Combined Cycle Generation Resource within the Combined Cycle Train.</w:t>
                  </w:r>
                </w:p>
              </w:tc>
            </w:tr>
            <w:tr w:rsidR="00764A29" w:rsidRPr="00764A29" w14:paraId="3C8E7ED3"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626F783F" w14:textId="77777777" w:rsidR="00764A29" w:rsidRPr="00764A29" w:rsidRDefault="00764A29" w:rsidP="00764A29">
                  <w:pPr>
                    <w:spacing w:after="60"/>
                    <w:rPr>
                      <w:iCs/>
                      <w:sz w:val="20"/>
                      <w:szCs w:val="24"/>
                    </w:rPr>
                  </w:pPr>
                  <w:r w:rsidRPr="00764A29">
                    <w:rPr>
                      <w:iCs/>
                      <w:sz w:val="20"/>
                      <w:szCs w:val="24"/>
                    </w:rPr>
                    <w:t xml:space="preserve">AMF </w:t>
                  </w:r>
                  <w:r w:rsidRPr="00764A29">
                    <w:rPr>
                      <w:i/>
                      <w:iCs/>
                      <w:sz w:val="20"/>
                      <w:szCs w:val="24"/>
                      <w:vertAlign w:val="subscript"/>
                    </w:rPr>
                    <w:t>q, r, i</w:t>
                  </w:r>
                </w:p>
              </w:tc>
              <w:tc>
                <w:tcPr>
                  <w:tcW w:w="563" w:type="pct"/>
                  <w:tcBorders>
                    <w:top w:val="single" w:sz="6" w:space="0" w:color="auto"/>
                    <w:left w:val="single" w:sz="6" w:space="0" w:color="auto"/>
                    <w:bottom w:val="single" w:sz="6" w:space="0" w:color="auto"/>
                    <w:right w:val="single" w:sz="6" w:space="0" w:color="auto"/>
                  </w:tcBorders>
                  <w:hideMark/>
                </w:tcPr>
                <w:p w14:paraId="6964E845" w14:textId="77777777" w:rsidR="00764A29" w:rsidRPr="00764A29" w:rsidRDefault="00764A29" w:rsidP="00764A29">
                  <w:pPr>
                    <w:spacing w:after="60"/>
                    <w:rPr>
                      <w:iCs/>
                      <w:sz w:val="20"/>
                      <w:szCs w:val="24"/>
                    </w:rPr>
                  </w:pPr>
                  <w:r w:rsidRPr="00764A29">
                    <w:rPr>
                      <w:iCs/>
                      <w:sz w:val="20"/>
                      <w:szCs w:val="24"/>
                    </w:rPr>
                    <w:t>MMBtu</w:t>
                  </w:r>
                </w:p>
              </w:tc>
              <w:tc>
                <w:tcPr>
                  <w:tcW w:w="3473" w:type="pct"/>
                  <w:tcBorders>
                    <w:top w:val="single" w:sz="6" w:space="0" w:color="auto"/>
                    <w:left w:val="single" w:sz="6" w:space="0" w:color="auto"/>
                    <w:bottom w:val="single" w:sz="6" w:space="0" w:color="auto"/>
                    <w:right w:val="single" w:sz="4" w:space="0" w:color="auto"/>
                  </w:tcBorders>
                  <w:hideMark/>
                </w:tcPr>
                <w:p w14:paraId="5F2F81AC" w14:textId="77777777" w:rsidR="00764A29" w:rsidRPr="00764A29" w:rsidRDefault="00764A29" w:rsidP="00764A29">
                  <w:pPr>
                    <w:spacing w:after="60"/>
                    <w:rPr>
                      <w:i/>
                      <w:iCs/>
                      <w:sz w:val="20"/>
                      <w:szCs w:val="24"/>
                    </w:rPr>
                  </w:pPr>
                  <w:r w:rsidRPr="00764A29">
                    <w:rPr>
                      <w:i/>
                      <w:iCs/>
                      <w:sz w:val="20"/>
                      <w:szCs w:val="24"/>
                    </w:rPr>
                    <w:t xml:space="preserve">Actual Marginal Fuel per QSE per Resource - </w:t>
                  </w:r>
                  <w:r w:rsidRPr="00764A29">
                    <w:rPr>
                      <w:iCs/>
                      <w:sz w:val="20"/>
                      <w:szCs w:val="24"/>
                    </w:rPr>
                    <w:t xml:space="preserve">The actual marginal purchased and delivered fuel for the Resource </w:t>
                  </w:r>
                  <w:r w:rsidRPr="00764A29">
                    <w:rPr>
                      <w:i/>
                      <w:sz w:val="20"/>
                      <w:szCs w:val="24"/>
                    </w:rPr>
                    <w:t>r</w:t>
                  </w:r>
                  <w:r w:rsidRPr="00764A29">
                    <w:rPr>
                      <w:iCs/>
                      <w:sz w:val="20"/>
                      <w:szCs w:val="24"/>
                    </w:rPr>
                    <w:t xml:space="preserve"> represented by QSE </w:t>
                  </w:r>
                  <w:r w:rsidRPr="00764A29">
                    <w:rPr>
                      <w:i/>
                      <w:sz w:val="20"/>
                      <w:szCs w:val="24"/>
                    </w:rPr>
                    <w:t>q</w:t>
                  </w:r>
                  <w:r w:rsidRPr="00764A29">
                    <w:rPr>
                      <w:iCs/>
                      <w:sz w:val="20"/>
                      <w:szCs w:val="24"/>
                    </w:rPr>
                    <w:t xml:space="preserve"> for the </w:t>
                  </w:r>
                  <w:r w:rsidRPr="00764A29">
                    <w:rPr>
                      <w:sz w:val="20"/>
                      <w:szCs w:val="24"/>
                    </w:rPr>
                    <w:t xml:space="preserve">15-minute Settlement Interval </w:t>
                  </w:r>
                  <w:r w:rsidRPr="00764A29">
                    <w:rPr>
                      <w:i/>
                      <w:iCs/>
                      <w:sz w:val="20"/>
                      <w:szCs w:val="24"/>
                    </w:rPr>
                    <w:t>i</w:t>
                  </w:r>
                  <w:r w:rsidRPr="00764A29">
                    <w:rPr>
                      <w:sz w:val="20"/>
                      <w:szCs w:val="24"/>
                    </w:rPr>
                    <w:t xml:space="preserve"> within the Operating Day.  </w:t>
                  </w:r>
                  <w:r w:rsidRPr="00764A29">
                    <w:rPr>
                      <w:iCs/>
                      <w:sz w:val="20"/>
                      <w:szCs w:val="24"/>
                    </w:rPr>
                    <w:t xml:space="preserve">The AMF represents only the fuel used to calculate the weighted average fuel price, WAFP.  Where for a Combined Cycle Train, the Resource </w:t>
                  </w:r>
                  <w:r w:rsidRPr="00764A29">
                    <w:rPr>
                      <w:i/>
                      <w:iCs/>
                      <w:sz w:val="20"/>
                      <w:szCs w:val="24"/>
                    </w:rPr>
                    <w:t>r</w:t>
                  </w:r>
                  <w:r w:rsidRPr="00764A29">
                    <w:rPr>
                      <w:iCs/>
                      <w:sz w:val="20"/>
                      <w:szCs w:val="24"/>
                    </w:rPr>
                    <w:t xml:space="preserve"> is a Combined Cycle Generation Resource within the Combined Cycle Train.</w:t>
                  </w:r>
                </w:p>
              </w:tc>
            </w:tr>
            <w:tr w:rsidR="00764A29" w:rsidRPr="00764A29" w14:paraId="43857173"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41A4283D" w14:textId="77777777" w:rsidR="00764A29" w:rsidRPr="00764A29" w:rsidRDefault="00764A29" w:rsidP="00764A29">
                  <w:pPr>
                    <w:spacing w:after="60"/>
                    <w:rPr>
                      <w:iCs/>
                      <w:sz w:val="20"/>
                      <w:szCs w:val="24"/>
                    </w:rPr>
                  </w:pPr>
                  <w:r w:rsidRPr="00764A29">
                    <w:rPr>
                      <w:iCs/>
                      <w:sz w:val="20"/>
                      <w:szCs w:val="24"/>
                    </w:rPr>
                    <w:t xml:space="preserve">STOM </w:t>
                  </w:r>
                  <w:r w:rsidRPr="00764A29">
                    <w:rPr>
                      <w:i/>
                      <w:iCs/>
                      <w:sz w:val="20"/>
                      <w:szCs w:val="24"/>
                      <w:vertAlign w:val="subscript"/>
                    </w:rPr>
                    <w:t>rc</w:t>
                  </w:r>
                  <w:r w:rsidRPr="00764A29">
                    <w:rPr>
                      <w:iCs/>
                      <w:sz w:val="20"/>
                      <w:szCs w:val="24"/>
                      <w:vertAlign w:val="subscript"/>
                    </w:rPr>
                    <w:t xml:space="preserve"> </w:t>
                  </w:r>
                </w:p>
              </w:tc>
              <w:tc>
                <w:tcPr>
                  <w:tcW w:w="563" w:type="pct"/>
                  <w:tcBorders>
                    <w:top w:val="single" w:sz="6" w:space="0" w:color="auto"/>
                    <w:left w:val="single" w:sz="6" w:space="0" w:color="auto"/>
                    <w:bottom w:val="single" w:sz="6" w:space="0" w:color="auto"/>
                    <w:right w:val="single" w:sz="6" w:space="0" w:color="auto"/>
                  </w:tcBorders>
                  <w:hideMark/>
                </w:tcPr>
                <w:p w14:paraId="51A87FDB"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1C0694C1" w14:textId="34E96355" w:rsidR="00764A29" w:rsidRPr="00764A29" w:rsidRDefault="00764A29" w:rsidP="00764A29">
                  <w:pPr>
                    <w:spacing w:after="60"/>
                    <w:rPr>
                      <w:iCs/>
                      <w:sz w:val="20"/>
                      <w:szCs w:val="24"/>
                    </w:rPr>
                  </w:pPr>
                  <w:r w:rsidRPr="00764A29">
                    <w:rPr>
                      <w:i/>
                      <w:iCs/>
                      <w:sz w:val="20"/>
                      <w:szCs w:val="24"/>
                    </w:rPr>
                    <w:t xml:space="preserve">Standard Operations and Maintenance Cost – </w:t>
                  </w:r>
                  <w:r w:rsidRPr="00764A29">
                    <w:rPr>
                      <w:iCs/>
                      <w:sz w:val="20"/>
                      <w:szCs w:val="24"/>
                    </w:rPr>
                    <w:t xml:space="preserve">The standard O&amp;M cost for the Resource category </w:t>
                  </w:r>
                  <w:r w:rsidRPr="00764A29">
                    <w:rPr>
                      <w:i/>
                      <w:iCs/>
                      <w:sz w:val="20"/>
                      <w:szCs w:val="24"/>
                    </w:rPr>
                    <w:t>rc</w:t>
                  </w:r>
                  <w:r w:rsidRPr="00764A29">
                    <w:rPr>
                      <w:iCs/>
                      <w:sz w:val="20"/>
                      <w:szCs w:val="24"/>
                    </w:rPr>
                    <w:t>, shall be set to the minimum energy variable O&amp;M costs, as described in paragraph (6)(c) of Section 5.6.1, Verifiable Costs.  For an ESR, STOM shall be set at $0.3/MWh and for a DC-Coupled Resource, the value shall be set at $4.40/MWh.</w:t>
                  </w:r>
                </w:p>
              </w:tc>
            </w:tr>
            <w:tr w:rsidR="00764A29" w:rsidRPr="00764A29" w14:paraId="1BEDC0FC"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715E3199" w14:textId="77777777" w:rsidR="00764A29" w:rsidRPr="00764A29" w:rsidRDefault="00764A29" w:rsidP="00764A29">
                  <w:pPr>
                    <w:spacing w:after="60"/>
                    <w:rPr>
                      <w:iCs/>
                      <w:sz w:val="20"/>
                      <w:szCs w:val="24"/>
                    </w:rPr>
                  </w:pPr>
                  <w:r w:rsidRPr="00764A29">
                    <w:rPr>
                      <w:iCs/>
                      <w:sz w:val="20"/>
                      <w:szCs w:val="24"/>
                    </w:rPr>
                    <w:t>RTSPP</w:t>
                  </w:r>
                  <w:r w:rsidRPr="00764A29">
                    <w:rPr>
                      <w:i/>
                      <w:sz w:val="20"/>
                      <w:szCs w:val="24"/>
                      <w:vertAlign w:val="subscript"/>
                    </w:rPr>
                    <w:t xml:space="preserve"> p, i</w:t>
                  </w:r>
                </w:p>
              </w:tc>
              <w:tc>
                <w:tcPr>
                  <w:tcW w:w="563" w:type="pct"/>
                  <w:tcBorders>
                    <w:top w:val="single" w:sz="6" w:space="0" w:color="auto"/>
                    <w:left w:val="single" w:sz="6" w:space="0" w:color="auto"/>
                    <w:bottom w:val="single" w:sz="6" w:space="0" w:color="auto"/>
                    <w:right w:val="single" w:sz="6" w:space="0" w:color="auto"/>
                  </w:tcBorders>
                  <w:hideMark/>
                </w:tcPr>
                <w:p w14:paraId="45A1BF35"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69311B35" w14:textId="77777777" w:rsidR="00764A29" w:rsidRPr="00764A29" w:rsidRDefault="00764A29" w:rsidP="00764A29">
                  <w:pPr>
                    <w:spacing w:after="60"/>
                    <w:rPr>
                      <w:iCs/>
                      <w:sz w:val="20"/>
                      <w:szCs w:val="24"/>
                    </w:rPr>
                  </w:pPr>
                  <w:r w:rsidRPr="00764A29">
                    <w:rPr>
                      <w:i/>
                      <w:iCs/>
                      <w:sz w:val="20"/>
                      <w:szCs w:val="24"/>
                    </w:rPr>
                    <w:t xml:space="preserve">Real-Time Settlement Point Price - </w:t>
                  </w:r>
                  <w:r w:rsidRPr="00764A29">
                    <w:rPr>
                      <w:iCs/>
                      <w:sz w:val="20"/>
                      <w:szCs w:val="24"/>
                    </w:rPr>
                    <w:t xml:space="preserve">The Real-Time Settlement Point Price at the Settlement Point </w:t>
                  </w:r>
                  <w:r w:rsidRPr="00764A29">
                    <w:rPr>
                      <w:i/>
                      <w:iCs/>
                      <w:sz w:val="20"/>
                      <w:szCs w:val="24"/>
                    </w:rPr>
                    <w:t xml:space="preserve">p, </w:t>
                  </w:r>
                  <w:r w:rsidRPr="00764A29">
                    <w:rPr>
                      <w:iCs/>
                      <w:sz w:val="20"/>
                      <w:szCs w:val="24"/>
                    </w:rPr>
                    <w:t xml:space="preserve">for the 15-minute Settlement Interval </w:t>
                  </w:r>
                  <w:r w:rsidRPr="00764A29">
                    <w:rPr>
                      <w:i/>
                      <w:iCs/>
                      <w:sz w:val="20"/>
                      <w:szCs w:val="24"/>
                    </w:rPr>
                    <w:t>i</w:t>
                  </w:r>
                  <w:r w:rsidRPr="00764A29">
                    <w:rPr>
                      <w:iCs/>
                      <w:sz w:val="20"/>
                      <w:szCs w:val="24"/>
                    </w:rPr>
                    <w:t>.</w:t>
                  </w:r>
                </w:p>
              </w:tc>
            </w:tr>
            <w:tr w:rsidR="00764A29" w:rsidRPr="00764A29" w14:paraId="056364CE"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0B113946" w14:textId="77777777" w:rsidR="00764A29" w:rsidRPr="00764A29" w:rsidRDefault="00764A29" w:rsidP="00764A29">
                  <w:pPr>
                    <w:spacing w:after="60"/>
                    <w:rPr>
                      <w:iCs/>
                      <w:sz w:val="20"/>
                      <w:szCs w:val="24"/>
                    </w:rPr>
                  </w:pPr>
                  <w:r w:rsidRPr="00764A29">
                    <w:rPr>
                      <w:iCs/>
                      <w:sz w:val="20"/>
                      <w:szCs w:val="24"/>
                    </w:rPr>
                    <w:t xml:space="preserve">AFC </w:t>
                  </w:r>
                  <w:r w:rsidRPr="00764A29">
                    <w:rPr>
                      <w:i/>
                      <w:sz w:val="20"/>
                      <w:szCs w:val="24"/>
                      <w:vertAlign w:val="subscript"/>
                    </w:rPr>
                    <w:t>q, r, i</w:t>
                  </w:r>
                </w:p>
              </w:tc>
              <w:tc>
                <w:tcPr>
                  <w:tcW w:w="563" w:type="pct"/>
                  <w:tcBorders>
                    <w:top w:val="single" w:sz="6" w:space="0" w:color="auto"/>
                    <w:left w:val="single" w:sz="6" w:space="0" w:color="auto"/>
                    <w:bottom w:val="single" w:sz="6" w:space="0" w:color="auto"/>
                    <w:right w:val="single" w:sz="6" w:space="0" w:color="auto"/>
                  </w:tcBorders>
                  <w:hideMark/>
                </w:tcPr>
                <w:p w14:paraId="2ECEEEF9"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53B2974E" w14:textId="51BD6A16" w:rsidR="00764A29" w:rsidRPr="00764A29" w:rsidRDefault="00764A29" w:rsidP="00764A29">
                  <w:pPr>
                    <w:spacing w:after="60"/>
                    <w:rPr>
                      <w:i/>
                      <w:iCs/>
                      <w:sz w:val="20"/>
                      <w:szCs w:val="24"/>
                    </w:rPr>
                  </w:pPr>
                  <w:r w:rsidRPr="00764A29">
                    <w:rPr>
                      <w:i/>
                      <w:iCs/>
                      <w:sz w:val="20"/>
                      <w:szCs w:val="24"/>
                    </w:rPr>
                    <w:t xml:space="preserve">Average Fuel Cost per Resource </w:t>
                  </w:r>
                  <w:r w:rsidR="00166B04" w:rsidRPr="00764A29">
                    <w:rPr>
                      <w:szCs w:val="24"/>
                    </w:rPr>
                    <w:t>–</w:t>
                  </w:r>
                  <w:r w:rsidR="009C31F8">
                    <w:rPr>
                      <w:i/>
                      <w:iCs/>
                      <w:sz w:val="20"/>
                      <w:szCs w:val="24"/>
                    </w:rPr>
                    <w:t xml:space="preserve"> </w:t>
                  </w:r>
                  <w:r w:rsidRPr="00764A29">
                    <w:rPr>
                      <w:iCs/>
                      <w:sz w:val="20"/>
                      <w:szCs w:val="24"/>
                    </w:rPr>
                    <w:t>The average electricity cost used to charge the ESR</w:t>
                  </w:r>
                  <w:r w:rsidRPr="00764A29">
                    <w:rPr>
                      <w:i/>
                      <w:iCs/>
                      <w:sz w:val="20"/>
                      <w:szCs w:val="24"/>
                    </w:rPr>
                    <w:t xml:space="preserve"> r </w:t>
                  </w:r>
                  <w:r w:rsidRPr="00764A29">
                    <w:rPr>
                      <w:iCs/>
                      <w:sz w:val="20"/>
                      <w:szCs w:val="24"/>
                    </w:rPr>
                    <w:t>represented by QSE</w:t>
                  </w:r>
                  <w:r w:rsidRPr="00764A29">
                    <w:rPr>
                      <w:i/>
                      <w:iCs/>
                      <w:sz w:val="20"/>
                      <w:szCs w:val="24"/>
                    </w:rPr>
                    <w:t xml:space="preserve"> q</w:t>
                  </w:r>
                  <w:r w:rsidRPr="00764A29">
                    <w:rPr>
                      <w:iCs/>
                      <w:sz w:val="20"/>
                      <w:szCs w:val="24"/>
                    </w:rPr>
                    <w:t xml:space="preserve"> applicable to the energy discharge for the 15-minute Settlement Interval </w:t>
                  </w:r>
                  <w:r w:rsidRPr="00764A29">
                    <w:rPr>
                      <w:i/>
                      <w:sz w:val="20"/>
                      <w:szCs w:val="24"/>
                    </w:rPr>
                    <w:t>i</w:t>
                  </w:r>
                  <w:r w:rsidRPr="00764A29">
                    <w:rPr>
                      <w:iCs/>
                      <w:sz w:val="20"/>
                      <w:szCs w:val="24"/>
                    </w:rPr>
                    <w:t xml:space="preserve"> within the Operating Day.</w:t>
                  </w:r>
                </w:p>
              </w:tc>
            </w:tr>
            <w:tr w:rsidR="00764A29" w:rsidRPr="00764A29" w14:paraId="572ACE97"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511EE1AA" w14:textId="77777777" w:rsidR="00764A29" w:rsidRPr="00764A29" w:rsidRDefault="00764A29" w:rsidP="00764A29">
                  <w:pPr>
                    <w:spacing w:after="60"/>
                    <w:rPr>
                      <w:i/>
                      <w:iCs/>
                      <w:sz w:val="20"/>
                      <w:szCs w:val="24"/>
                    </w:rPr>
                  </w:pPr>
                  <w:r w:rsidRPr="00764A29">
                    <w:rPr>
                      <w:iCs/>
                      <w:sz w:val="20"/>
                      <w:szCs w:val="24"/>
                      <w:lang w:val="pt-BR"/>
                    </w:rPr>
                    <w:t xml:space="preserve">AHR </w:t>
                  </w:r>
                  <w:r w:rsidRPr="00764A29">
                    <w:rPr>
                      <w:i/>
                      <w:iCs/>
                      <w:sz w:val="20"/>
                      <w:szCs w:val="24"/>
                      <w:vertAlign w:val="subscript"/>
                      <w:lang w:val="es-ES"/>
                    </w:rPr>
                    <w:t>q, r, i</w:t>
                  </w:r>
                </w:p>
              </w:tc>
              <w:tc>
                <w:tcPr>
                  <w:tcW w:w="563" w:type="pct"/>
                  <w:tcBorders>
                    <w:top w:val="single" w:sz="6" w:space="0" w:color="auto"/>
                    <w:left w:val="single" w:sz="6" w:space="0" w:color="auto"/>
                    <w:bottom w:val="single" w:sz="6" w:space="0" w:color="auto"/>
                    <w:right w:val="single" w:sz="6" w:space="0" w:color="auto"/>
                  </w:tcBorders>
                  <w:hideMark/>
                </w:tcPr>
                <w:p w14:paraId="28C424C1" w14:textId="77777777" w:rsidR="00764A29" w:rsidRPr="00764A29" w:rsidRDefault="00764A29" w:rsidP="00764A29">
                  <w:pPr>
                    <w:spacing w:after="60"/>
                    <w:rPr>
                      <w:iCs/>
                      <w:sz w:val="20"/>
                      <w:szCs w:val="24"/>
                    </w:rPr>
                  </w:pPr>
                  <w:r w:rsidRPr="00764A29">
                    <w:rPr>
                      <w:iCs/>
                      <w:sz w:val="20"/>
                      <w:szCs w:val="24"/>
                    </w:rPr>
                    <w:t>MMBtu / MWh</w:t>
                  </w:r>
                </w:p>
              </w:tc>
              <w:tc>
                <w:tcPr>
                  <w:tcW w:w="3473" w:type="pct"/>
                  <w:tcBorders>
                    <w:top w:val="single" w:sz="6" w:space="0" w:color="auto"/>
                    <w:left w:val="single" w:sz="6" w:space="0" w:color="auto"/>
                    <w:bottom w:val="single" w:sz="6" w:space="0" w:color="auto"/>
                    <w:right w:val="single" w:sz="4" w:space="0" w:color="auto"/>
                  </w:tcBorders>
                  <w:hideMark/>
                </w:tcPr>
                <w:p w14:paraId="07C2CC78" w14:textId="77777777" w:rsidR="00764A29" w:rsidRPr="00764A29" w:rsidRDefault="00764A29" w:rsidP="00764A29">
                  <w:pPr>
                    <w:spacing w:after="60"/>
                    <w:rPr>
                      <w:iCs/>
                      <w:sz w:val="20"/>
                      <w:szCs w:val="24"/>
                    </w:rPr>
                  </w:pPr>
                  <w:r w:rsidRPr="00764A29">
                    <w:rPr>
                      <w:i/>
                      <w:iCs/>
                      <w:sz w:val="20"/>
                      <w:szCs w:val="24"/>
                    </w:rPr>
                    <w:t xml:space="preserve">Average Heat Rate per Resource – </w:t>
                  </w:r>
                  <w:r w:rsidRPr="00764A29">
                    <w:rPr>
                      <w:iCs/>
                      <w:sz w:val="20"/>
                      <w:szCs w:val="24"/>
                    </w:rPr>
                    <w:t xml:space="preserve">The verifiable or actual submitted average heat rate for the Resource </w:t>
                  </w:r>
                  <w:r w:rsidRPr="00764A29">
                    <w:rPr>
                      <w:i/>
                      <w:iCs/>
                      <w:sz w:val="20"/>
                      <w:szCs w:val="24"/>
                    </w:rPr>
                    <w:t xml:space="preserve">r </w:t>
                  </w:r>
                  <w:r w:rsidRPr="00764A29">
                    <w:rPr>
                      <w:iCs/>
                      <w:sz w:val="20"/>
                      <w:szCs w:val="24"/>
                    </w:rPr>
                    <w:t>represented by QSE</w:t>
                  </w:r>
                  <w:r w:rsidRPr="00764A29">
                    <w:rPr>
                      <w:i/>
                      <w:iCs/>
                      <w:sz w:val="20"/>
                      <w:szCs w:val="24"/>
                    </w:rPr>
                    <w:t xml:space="preserve"> q</w:t>
                  </w:r>
                  <w:r w:rsidRPr="00764A29">
                    <w:rPr>
                      <w:iCs/>
                      <w:sz w:val="20"/>
                      <w:szCs w:val="24"/>
                    </w:rPr>
                    <w:t xml:space="preserve">, for operating levels between LSL and High Sustained Limit (HSL), for the 15-minute Settlement Interval </w:t>
                  </w:r>
                  <w:r w:rsidRPr="00764A29">
                    <w:rPr>
                      <w:i/>
                      <w:iCs/>
                      <w:sz w:val="20"/>
                      <w:szCs w:val="24"/>
                    </w:rPr>
                    <w:t>i</w:t>
                  </w:r>
                  <w:r w:rsidRPr="00764A29">
                    <w:rPr>
                      <w:iCs/>
                      <w:sz w:val="20"/>
                      <w:szCs w:val="24"/>
                    </w:rPr>
                    <w:t xml:space="preserve">.  Where for a Combined Cycle Train, the Resource </w:t>
                  </w:r>
                  <w:r w:rsidRPr="00764A29">
                    <w:rPr>
                      <w:i/>
                      <w:iCs/>
                      <w:sz w:val="20"/>
                      <w:szCs w:val="24"/>
                    </w:rPr>
                    <w:t>r</w:t>
                  </w:r>
                  <w:r w:rsidRPr="00764A29">
                    <w:rPr>
                      <w:iCs/>
                      <w:sz w:val="20"/>
                      <w:szCs w:val="24"/>
                    </w:rPr>
                    <w:t xml:space="preserve"> is a Combined Cycle Generation Resource within the Combined Cycle Train.</w:t>
                  </w:r>
                </w:p>
              </w:tc>
            </w:tr>
            <w:tr w:rsidR="00764A29" w:rsidRPr="00764A29" w14:paraId="54BFE0CF"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20445D23" w14:textId="77777777" w:rsidR="00764A29" w:rsidRPr="00764A29" w:rsidRDefault="00764A29" w:rsidP="00764A29">
                  <w:pPr>
                    <w:spacing w:after="60"/>
                    <w:rPr>
                      <w:iCs/>
                      <w:sz w:val="20"/>
                      <w:szCs w:val="24"/>
                      <w:lang w:val="pt-BR"/>
                    </w:rPr>
                  </w:pPr>
                  <w:r w:rsidRPr="00764A29">
                    <w:rPr>
                      <w:iCs/>
                      <w:sz w:val="20"/>
                      <w:szCs w:val="24"/>
                    </w:rPr>
                    <w:t>PA</w:t>
                  </w:r>
                  <w:r w:rsidRPr="00764A29">
                    <w:rPr>
                      <w:iCs/>
                      <w:sz w:val="20"/>
                      <w:szCs w:val="24"/>
                      <w:lang w:val="pt-BR"/>
                    </w:rPr>
                    <w:t xml:space="preserve">HR </w:t>
                  </w:r>
                  <w:r w:rsidRPr="00764A29">
                    <w:rPr>
                      <w:i/>
                      <w:iCs/>
                      <w:sz w:val="20"/>
                      <w:szCs w:val="24"/>
                      <w:vertAlign w:val="subscript"/>
                      <w:lang w:val="pt-BR"/>
                    </w:rPr>
                    <w:t xml:space="preserve">q, </w:t>
                  </w:r>
                  <w:r w:rsidRPr="00764A29">
                    <w:rPr>
                      <w:i/>
                      <w:iCs/>
                      <w:sz w:val="20"/>
                      <w:szCs w:val="24"/>
                      <w:vertAlign w:val="subscript"/>
                    </w:rPr>
                    <w:t xml:space="preserve">r, </w:t>
                  </w:r>
                  <w:r w:rsidRPr="00764A29">
                    <w:rPr>
                      <w:i/>
                      <w:iCs/>
                      <w:sz w:val="20"/>
                      <w:szCs w:val="24"/>
                      <w:vertAlign w:val="subscript"/>
                      <w:lang w:val="es-ES"/>
                    </w:rPr>
                    <w:t>i</w:t>
                  </w:r>
                </w:p>
              </w:tc>
              <w:tc>
                <w:tcPr>
                  <w:tcW w:w="563" w:type="pct"/>
                  <w:tcBorders>
                    <w:top w:val="single" w:sz="6" w:space="0" w:color="auto"/>
                    <w:left w:val="single" w:sz="6" w:space="0" w:color="auto"/>
                    <w:bottom w:val="single" w:sz="6" w:space="0" w:color="auto"/>
                    <w:right w:val="single" w:sz="6" w:space="0" w:color="auto"/>
                  </w:tcBorders>
                  <w:hideMark/>
                </w:tcPr>
                <w:p w14:paraId="79B5B8DD" w14:textId="77777777" w:rsidR="00764A29" w:rsidRPr="00764A29" w:rsidRDefault="00764A29" w:rsidP="00764A29">
                  <w:pPr>
                    <w:spacing w:after="60"/>
                    <w:rPr>
                      <w:iCs/>
                      <w:sz w:val="20"/>
                      <w:szCs w:val="24"/>
                    </w:rPr>
                  </w:pPr>
                  <w:r w:rsidRPr="00764A29">
                    <w:rPr>
                      <w:iCs/>
                      <w:sz w:val="20"/>
                      <w:szCs w:val="24"/>
                    </w:rPr>
                    <w:t>MMBtu / MWh</w:t>
                  </w:r>
                </w:p>
              </w:tc>
              <w:tc>
                <w:tcPr>
                  <w:tcW w:w="3473" w:type="pct"/>
                  <w:tcBorders>
                    <w:top w:val="single" w:sz="6" w:space="0" w:color="auto"/>
                    <w:left w:val="single" w:sz="6" w:space="0" w:color="auto"/>
                    <w:bottom w:val="single" w:sz="6" w:space="0" w:color="auto"/>
                    <w:right w:val="single" w:sz="4" w:space="0" w:color="auto"/>
                  </w:tcBorders>
                  <w:hideMark/>
                </w:tcPr>
                <w:p w14:paraId="4B81FC7B" w14:textId="7513F464" w:rsidR="00764A29" w:rsidRPr="00764A29" w:rsidRDefault="00764A29" w:rsidP="00764A29">
                  <w:pPr>
                    <w:spacing w:after="60"/>
                    <w:rPr>
                      <w:i/>
                      <w:iCs/>
                      <w:sz w:val="20"/>
                      <w:szCs w:val="24"/>
                    </w:rPr>
                  </w:pPr>
                  <w:r w:rsidRPr="00764A29">
                    <w:rPr>
                      <w:i/>
                      <w:iCs/>
                      <w:sz w:val="20"/>
                      <w:szCs w:val="24"/>
                    </w:rPr>
                    <w:t xml:space="preserve">Proxy Average Heat Rate – </w:t>
                  </w:r>
                  <w:r w:rsidRPr="00764A29">
                    <w:rPr>
                      <w:iCs/>
                      <w:sz w:val="20"/>
                      <w:szCs w:val="24"/>
                    </w:rPr>
                    <w:t xml:space="preserve">The proxy or actual submitted average heat rate for the Resource </w:t>
                  </w:r>
                  <w:r w:rsidRPr="00764A29">
                    <w:rPr>
                      <w:i/>
                      <w:iCs/>
                      <w:sz w:val="20"/>
                      <w:szCs w:val="24"/>
                    </w:rPr>
                    <w:t>r,</w:t>
                  </w:r>
                  <w:r w:rsidRPr="00764A29">
                    <w:rPr>
                      <w:iCs/>
                      <w:sz w:val="20"/>
                      <w:szCs w:val="24"/>
                    </w:rPr>
                    <w:t xml:space="preserve"> represented by QSE</w:t>
                  </w:r>
                  <w:r w:rsidRPr="00764A29">
                    <w:rPr>
                      <w:i/>
                      <w:iCs/>
                      <w:sz w:val="20"/>
                      <w:szCs w:val="24"/>
                    </w:rPr>
                    <w:t xml:space="preserve"> q</w:t>
                  </w:r>
                  <w:r w:rsidRPr="00764A29">
                    <w:rPr>
                      <w:iCs/>
                      <w:sz w:val="20"/>
                      <w:szCs w:val="24"/>
                    </w:rPr>
                    <w:t xml:space="preserve">, for the 15-minute Settlement Interval </w:t>
                  </w:r>
                  <w:r w:rsidRPr="00764A29">
                    <w:rPr>
                      <w:i/>
                      <w:iCs/>
                      <w:sz w:val="20"/>
                      <w:szCs w:val="24"/>
                    </w:rPr>
                    <w:t>i</w:t>
                  </w:r>
                  <w:r w:rsidRPr="00764A29">
                    <w:rPr>
                      <w:iCs/>
                      <w:sz w:val="20"/>
                      <w:szCs w:val="24"/>
                    </w:rPr>
                    <w:t xml:space="preserve">.  Where for a Combined Cycle Train, the Resource </w:t>
                  </w:r>
                  <w:r w:rsidRPr="00764A29">
                    <w:rPr>
                      <w:i/>
                      <w:iCs/>
                      <w:sz w:val="20"/>
                      <w:szCs w:val="24"/>
                    </w:rPr>
                    <w:t xml:space="preserve">r </w:t>
                  </w:r>
                  <w:r w:rsidRPr="00764A29">
                    <w:rPr>
                      <w:iCs/>
                      <w:sz w:val="20"/>
                      <w:szCs w:val="24"/>
                    </w:rPr>
                    <w:t>is a Combined Cycle Generation Resource within the Combined Cycle Train.</w:t>
                  </w:r>
                </w:p>
              </w:tc>
            </w:tr>
            <w:tr w:rsidR="00764A29" w:rsidRPr="00764A29" w14:paraId="223CB29D"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60205524" w14:textId="77777777" w:rsidR="00764A29" w:rsidRPr="00764A29" w:rsidRDefault="00764A29" w:rsidP="00764A29">
                  <w:pPr>
                    <w:spacing w:after="60"/>
                    <w:rPr>
                      <w:iCs/>
                      <w:sz w:val="20"/>
                      <w:szCs w:val="24"/>
                    </w:rPr>
                  </w:pPr>
                  <w:r w:rsidRPr="00764A29">
                    <w:rPr>
                      <w:iCs/>
                      <w:sz w:val="20"/>
                      <w:szCs w:val="24"/>
                    </w:rPr>
                    <w:t xml:space="preserve">RTMG </w:t>
                  </w:r>
                  <w:r w:rsidRPr="00764A29">
                    <w:rPr>
                      <w:i/>
                      <w:iCs/>
                      <w:sz w:val="20"/>
                      <w:szCs w:val="24"/>
                      <w:vertAlign w:val="subscript"/>
                    </w:rPr>
                    <w:t>q, r, i</w:t>
                  </w:r>
                </w:p>
              </w:tc>
              <w:tc>
                <w:tcPr>
                  <w:tcW w:w="563" w:type="pct"/>
                  <w:tcBorders>
                    <w:top w:val="single" w:sz="6" w:space="0" w:color="auto"/>
                    <w:left w:val="single" w:sz="6" w:space="0" w:color="auto"/>
                    <w:bottom w:val="single" w:sz="6" w:space="0" w:color="auto"/>
                    <w:right w:val="single" w:sz="6" w:space="0" w:color="auto"/>
                  </w:tcBorders>
                  <w:hideMark/>
                </w:tcPr>
                <w:p w14:paraId="536F2E27"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6B4A7378" w14:textId="51639922" w:rsidR="00764A29" w:rsidRPr="00764A29" w:rsidRDefault="00764A29" w:rsidP="00764A29">
                  <w:pPr>
                    <w:spacing w:after="60"/>
                    <w:rPr>
                      <w:iCs/>
                      <w:sz w:val="20"/>
                      <w:szCs w:val="24"/>
                    </w:rPr>
                  </w:pPr>
                  <w:r w:rsidRPr="00764A29">
                    <w:rPr>
                      <w:i/>
                      <w:iCs/>
                      <w:sz w:val="20"/>
                      <w:szCs w:val="24"/>
                    </w:rPr>
                    <w:t>Real-Time Metered Generation per QSE per Resource by Settlement Interval by hour</w:t>
                  </w:r>
                  <w:r w:rsidR="00C1227B">
                    <w:rPr>
                      <w:i/>
                      <w:iCs/>
                      <w:sz w:val="20"/>
                      <w:szCs w:val="24"/>
                    </w:rPr>
                    <w:t xml:space="preserve"> </w:t>
                  </w:r>
                  <w:r w:rsidR="00C1227B" w:rsidRPr="00764A29">
                    <w:rPr>
                      <w:szCs w:val="24"/>
                    </w:rPr>
                    <w:t>–</w:t>
                  </w:r>
                  <w:r w:rsidR="00C1227B">
                    <w:rPr>
                      <w:i/>
                      <w:iCs/>
                      <w:sz w:val="20"/>
                      <w:szCs w:val="24"/>
                    </w:rPr>
                    <w:t xml:space="preserve"> </w:t>
                  </w:r>
                  <w:r w:rsidRPr="00764A29">
                    <w:rPr>
                      <w:iCs/>
                      <w:sz w:val="20"/>
                      <w:szCs w:val="24"/>
                    </w:rPr>
                    <w:t xml:space="preserve">The Real-Time energy from Resource </w:t>
                  </w:r>
                  <w:r w:rsidRPr="00764A29">
                    <w:rPr>
                      <w:i/>
                      <w:sz w:val="20"/>
                      <w:szCs w:val="24"/>
                    </w:rPr>
                    <w:t>r</w:t>
                  </w:r>
                  <w:r w:rsidRPr="00764A29">
                    <w:rPr>
                      <w:iCs/>
                      <w:sz w:val="20"/>
                      <w:szCs w:val="24"/>
                    </w:rPr>
                    <w:t xml:space="preserve"> represented by QSE </w:t>
                  </w:r>
                  <w:r w:rsidRPr="00764A29">
                    <w:rPr>
                      <w:i/>
                      <w:sz w:val="20"/>
                      <w:szCs w:val="24"/>
                    </w:rPr>
                    <w:t>q</w:t>
                  </w:r>
                  <w:r w:rsidRPr="00764A29">
                    <w:rPr>
                      <w:iCs/>
                      <w:sz w:val="20"/>
                      <w:szCs w:val="24"/>
                    </w:rPr>
                    <w:t xml:space="preserve">, for the 15-minute Settlement Interval </w:t>
                  </w:r>
                  <w:r w:rsidRPr="00764A29">
                    <w:rPr>
                      <w:i/>
                      <w:sz w:val="20"/>
                      <w:szCs w:val="24"/>
                    </w:rPr>
                    <w:t>i</w:t>
                  </w:r>
                  <w:r w:rsidRPr="00764A29">
                    <w:rPr>
                      <w:iCs/>
                      <w:sz w:val="20"/>
                      <w:szCs w:val="24"/>
                    </w:rPr>
                    <w:t xml:space="preserve">.  Where for a Combined Cycle Train, the Resource </w:t>
                  </w:r>
                  <w:r w:rsidRPr="00D61479">
                    <w:rPr>
                      <w:i/>
                      <w:sz w:val="20"/>
                      <w:szCs w:val="24"/>
                    </w:rPr>
                    <w:t>r</w:t>
                  </w:r>
                  <w:r w:rsidRPr="00764A29">
                    <w:rPr>
                      <w:iCs/>
                      <w:sz w:val="20"/>
                      <w:szCs w:val="24"/>
                    </w:rPr>
                    <w:t xml:space="preserve"> is the Combined Cycle Train.</w:t>
                  </w:r>
                </w:p>
              </w:tc>
            </w:tr>
            <w:tr w:rsidR="00764A29" w:rsidRPr="00764A29" w14:paraId="516603BE"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0D9CF9CB" w14:textId="77777777" w:rsidR="00764A29" w:rsidRPr="00764A29" w:rsidRDefault="00764A29" w:rsidP="00764A29">
                  <w:pPr>
                    <w:spacing w:after="60"/>
                    <w:rPr>
                      <w:iCs/>
                      <w:sz w:val="20"/>
                      <w:szCs w:val="24"/>
                    </w:rPr>
                  </w:pPr>
                  <w:r w:rsidRPr="00764A29">
                    <w:rPr>
                      <w:iCs/>
                      <w:sz w:val="20"/>
                      <w:szCs w:val="24"/>
                    </w:rPr>
                    <w:t>MEP</w:t>
                  </w:r>
                  <w:r w:rsidRPr="00764A29">
                    <w:rPr>
                      <w:szCs w:val="24"/>
                    </w:rPr>
                    <w:t xml:space="preserve"> </w:t>
                  </w:r>
                  <w:r w:rsidRPr="00764A29">
                    <w:rPr>
                      <w:i/>
                      <w:iCs/>
                      <w:sz w:val="20"/>
                      <w:szCs w:val="24"/>
                      <w:vertAlign w:val="subscript"/>
                    </w:rPr>
                    <w:t>q, r, i</w:t>
                  </w:r>
                </w:p>
              </w:tc>
              <w:tc>
                <w:tcPr>
                  <w:tcW w:w="563" w:type="pct"/>
                  <w:tcBorders>
                    <w:top w:val="single" w:sz="6" w:space="0" w:color="auto"/>
                    <w:left w:val="single" w:sz="6" w:space="0" w:color="auto"/>
                    <w:bottom w:val="single" w:sz="6" w:space="0" w:color="auto"/>
                    <w:right w:val="single" w:sz="6" w:space="0" w:color="auto"/>
                  </w:tcBorders>
                  <w:hideMark/>
                </w:tcPr>
                <w:p w14:paraId="5A27A288" w14:textId="77777777" w:rsidR="00764A29" w:rsidRPr="00764A29" w:rsidRDefault="00764A29" w:rsidP="00764A29">
                  <w:pPr>
                    <w:spacing w:after="60"/>
                    <w:rPr>
                      <w:iCs/>
                      <w:sz w:val="20"/>
                      <w:szCs w:val="24"/>
                    </w:rPr>
                  </w:pPr>
                  <w:r w:rsidRPr="00764A29">
                    <w:rPr>
                      <w:iCs/>
                      <w:sz w:val="20"/>
                      <w:szCs w:val="24"/>
                    </w:rPr>
                    <w:t>MWh</w:t>
                  </w:r>
                </w:p>
              </w:tc>
              <w:tc>
                <w:tcPr>
                  <w:tcW w:w="3473" w:type="pct"/>
                  <w:tcBorders>
                    <w:top w:val="single" w:sz="6" w:space="0" w:color="auto"/>
                    <w:left w:val="single" w:sz="6" w:space="0" w:color="auto"/>
                    <w:bottom w:val="single" w:sz="6" w:space="0" w:color="auto"/>
                    <w:right w:val="single" w:sz="4" w:space="0" w:color="auto"/>
                  </w:tcBorders>
                  <w:hideMark/>
                </w:tcPr>
                <w:p w14:paraId="3D9327AE" w14:textId="3B7C7ACF" w:rsidR="00764A29" w:rsidRPr="00764A29" w:rsidRDefault="00764A29" w:rsidP="00764A29">
                  <w:pPr>
                    <w:spacing w:after="60"/>
                    <w:rPr>
                      <w:i/>
                      <w:iCs/>
                      <w:sz w:val="20"/>
                      <w:szCs w:val="24"/>
                    </w:rPr>
                  </w:pPr>
                  <w:r w:rsidRPr="00764A29">
                    <w:rPr>
                      <w:i/>
                      <w:iCs/>
                      <w:sz w:val="20"/>
                      <w:szCs w:val="24"/>
                    </w:rPr>
                    <w:t xml:space="preserve">Marginal Energy Production per QSE per Resource by Settlement Interval </w:t>
                  </w:r>
                  <w:r w:rsidR="00C1227B" w:rsidRPr="00764A29">
                    <w:rPr>
                      <w:szCs w:val="24"/>
                    </w:rPr>
                    <w:t>–</w:t>
                  </w:r>
                  <w:r w:rsidRPr="00764A29">
                    <w:rPr>
                      <w:szCs w:val="24"/>
                    </w:rPr>
                    <w:t xml:space="preserve"> </w:t>
                  </w:r>
                  <w:r w:rsidRPr="00764A29">
                    <w:rPr>
                      <w:iCs/>
                      <w:sz w:val="20"/>
                      <w:szCs w:val="24"/>
                    </w:rPr>
                    <w:t xml:space="preserve">The calculated marginal generation of Resource </w:t>
                  </w:r>
                  <w:r w:rsidRPr="00764A29">
                    <w:rPr>
                      <w:i/>
                      <w:sz w:val="20"/>
                      <w:szCs w:val="24"/>
                    </w:rPr>
                    <w:t>r</w:t>
                  </w:r>
                  <w:r w:rsidRPr="00764A29">
                    <w:rPr>
                      <w:iCs/>
                      <w:sz w:val="20"/>
                      <w:szCs w:val="24"/>
                    </w:rPr>
                    <w:t xml:space="preserve"> represented by QSE </w:t>
                  </w:r>
                  <w:r w:rsidRPr="00764A29">
                    <w:rPr>
                      <w:i/>
                      <w:sz w:val="20"/>
                      <w:szCs w:val="24"/>
                    </w:rPr>
                    <w:t>q</w:t>
                  </w:r>
                  <w:r w:rsidRPr="00764A29">
                    <w:rPr>
                      <w:iCs/>
                      <w:sz w:val="20"/>
                      <w:szCs w:val="24"/>
                    </w:rPr>
                    <w:t xml:space="preserve"> in Real-Time for the 15-minute Settlement Interval </w:t>
                  </w:r>
                  <w:r w:rsidRPr="00764A29">
                    <w:rPr>
                      <w:i/>
                      <w:sz w:val="20"/>
                      <w:szCs w:val="24"/>
                    </w:rPr>
                    <w:t>i</w:t>
                  </w:r>
                  <w:r w:rsidRPr="00764A29">
                    <w:rPr>
                      <w:iCs/>
                      <w:sz w:val="20"/>
                      <w:szCs w:val="24"/>
                    </w:rPr>
                    <w:t xml:space="preserve">.  Where for a Combined Cycle Train, the Resource </w:t>
                  </w:r>
                  <w:r w:rsidRPr="00764A29">
                    <w:rPr>
                      <w:i/>
                      <w:iCs/>
                      <w:sz w:val="20"/>
                      <w:szCs w:val="24"/>
                    </w:rPr>
                    <w:t>r</w:t>
                  </w:r>
                  <w:r w:rsidRPr="00764A29">
                    <w:rPr>
                      <w:iCs/>
                      <w:sz w:val="20"/>
                      <w:szCs w:val="24"/>
                    </w:rPr>
                    <w:t xml:space="preserve"> is a Combined Cycle Generation Resource within the Combined Cycle Train.</w:t>
                  </w:r>
                </w:p>
              </w:tc>
            </w:tr>
            <w:tr w:rsidR="00764A29" w:rsidRPr="00764A29" w14:paraId="64372F50"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51AA7F71" w14:textId="77777777" w:rsidR="00764A29" w:rsidRPr="00764A29" w:rsidRDefault="00764A29" w:rsidP="00764A29">
                  <w:pPr>
                    <w:spacing w:after="60"/>
                    <w:rPr>
                      <w:i/>
                      <w:iCs/>
                      <w:sz w:val="20"/>
                      <w:szCs w:val="24"/>
                    </w:rPr>
                  </w:pPr>
                  <w:r w:rsidRPr="00764A29">
                    <w:rPr>
                      <w:i/>
                      <w:iCs/>
                      <w:sz w:val="20"/>
                      <w:szCs w:val="24"/>
                    </w:rPr>
                    <w:t>q</w:t>
                  </w:r>
                </w:p>
              </w:tc>
              <w:tc>
                <w:tcPr>
                  <w:tcW w:w="563" w:type="pct"/>
                  <w:tcBorders>
                    <w:top w:val="single" w:sz="6" w:space="0" w:color="auto"/>
                    <w:left w:val="single" w:sz="6" w:space="0" w:color="auto"/>
                    <w:bottom w:val="single" w:sz="6" w:space="0" w:color="auto"/>
                    <w:right w:val="single" w:sz="6" w:space="0" w:color="auto"/>
                  </w:tcBorders>
                  <w:hideMark/>
                </w:tcPr>
                <w:p w14:paraId="14E7EFB7" w14:textId="77777777" w:rsidR="00764A29" w:rsidRPr="00764A29" w:rsidRDefault="00764A29" w:rsidP="00764A29">
                  <w:pPr>
                    <w:spacing w:after="60"/>
                    <w:rPr>
                      <w:iCs/>
                      <w:sz w:val="20"/>
                      <w:szCs w:val="24"/>
                    </w:rPr>
                  </w:pPr>
                  <w:r w:rsidRPr="00764A29">
                    <w:rPr>
                      <w:iCs/>
                      <w:sz w:val="20"/>
                      <w:szCs w:val="24"/>
                    </w:rPr>
                    <w:t>None</w:t>
                  </w:r>
                </w:p>
              </w:tc>
              <w:tc>
                <w:tcPr>
                  <w:tcW w:w="3473" w:type="pct"/>
                  <w:tcBorders>
                    <w:top w:val="single" w:sz="6" w:space="0" w:color="auto"/>
                    <w:left w:val="single" w:sz="6" w:space="0" w:color="auto"/>
                    <w:bottom w:val="single" w:sz="6" w:space="0" w:color="auto"/>
                    <w:right w:val="single" w:sz="4" w:space="0" w:color="auto"/>
                  </w:tcBorders>
                  <w:hideMark/>
                </w:tcPr>
                <w:p w14:paraId="20E3F4E8" w14:textId="77777777" w:rsidR="00764A29" w:rsidRPr="00764A29" w:rsidRDefault="00764A29" w:rsidP="00764A29">
                  <w:pPr>
                    <w:spacing w:after="60"/>
                    <w:rPr>
                      <w:iCs/>
                      <w:sz w:val="20"/>
                      <w:szCs w:val="24"/>
                    </w:rPr>
                  </w:pPr>
                  <w:r w:rsidRPr="00764A29">
                    <w:rPr>
                      <w:iCs/>
                      <w:sz w:val="20"/>
                      <w:szCs w:val="24"/>
                    </w:rPr>
                    <w:t>A QSE.</w:t>
                  </w:r>
                </w:p>
              </w:tc>
            </w:tr>
            <w:tr w:rsidR="00764A29" w:rsidRPr="00764A29" w14:paraId="68B89963"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341EF165" w14:textId="77777777" w:rsidR="00764A29" w:rsidRPr="00764A29" w:rsidRDefault="00764A29" w:rsidP="00764A29">
                  <w:pPr>
                    <w:spacing w:after="60"/>
                    <w:rPr>
                      <w:i/>
                      <w:iCs/>
                      <w:sz w:val="20"/>
                      <w:szCs w:val="24"/>
                    </w:rPr>
                  </w:pPr>
                  <w:r w:rsidRPr="00764A29">
                    <w:rPr>
                      <w:i/>
                      <w:iCs/>
                      <w:sz w:val="20"/>
                      <w:szCs w:val="24"/>
                    </w:rPr>
                    <w:lastRenderedPageBreak/>
                    <w:t>r</w:t>
                  </w:r>
                </w:p>
              </w:tc>
              <w:tc>
                <w:tcPr>
                  <w:tcW w:w="563" w:type="pct"/>
                  <w:tcBorders>
                    <w:top w:val="single" w:sz="6" w:space="0" w:color="auto"/>
                    <w:left w:val="single" w:sz="6" w:space="0" w:color="auto"/>
                    <w:bottom w:val="single" w:sz="6" w:space="0" w:color="auto"/>
                    <w:right w:val="single" w:sz="6" w:space="0" w:color="auto"/>
                  </w:tcBorders>
                  <w:hideMark/>
                </w:tcPr>
                <w:p w14:paraId="221F87A9" w14:textId="77777777" w:rsidR="00764A29" w:rsidRPr="00764A29" w:rsidRDefault="00764A29" w:rsidP="00764A29">
                  <w:pPr>
                    <w:spacing w:after="60"/>
                    <w:rPr>
                      <w:iCs/>
                      <w:sz w:val="20"/>
                      <w:szCs w:val="24"/>
                    </w:rPr>
                  </w:pPr>
                  <w:r w:rsidRPr="00764A29">
                    <w:rPr>
                      <w:iCs/>
                      <w:sz w:val="20"/>
                      <w:szCs w:val="24"/>
                    </w:rPr>
                    <w:t>None</w:t>
                  </w:r>
                </w:p>
              </w:tc>
              <w:tc>
                <w:tcPr>
                  <w:tcW w:w="3473" w:type="pct"/>
                  <w:tcBorders>
                    <w:top w:val="single" w:sz="6" w:space="0" w:color="auto"/>
                    <w:left w:val="single" w:sz="6" w:space="0" w:color="auto"/>
                    <w:bottom w:val="single" w:sz="6" w:space="0" w:color="auto"/>
                    <w:right w:val="single" w:sz="4" w:space="0" w:color="auto"/>
                  </w:tcBorders>
                  <w:hideMark/>
                </w:tcPr>
                <w:p w14:paraId="2EA41B50" w14:textId="77777777" w:rsidR="00764A29" w:rsidRPr="00764A29" w:rsidRDefault="00764A29" w:rsidP="00764A29">
                  <w:pPr>
                    <w:spacing w:after="60"/>
                    <w:rPr>
                      <w:iCs/>
                      <w:sz w:val="20"/>
                      <w:szCs w:val="24"/>
                    </w:rPr>
                  </w:pPr>
                  <w:r w:rsidRPr="00764A29">
                    <w:rPr>
                      <w:iCs/>
                      <w:sz w:val="20"/>
                      <w:szCs w:val="24"/>
                    </w:rPr>
                    <w:t>A Generation Resource or ESR.</w:t>
                  </w:r>
                </w:p>
              </w:tc>
            </w:tr>
            <w:tr w:rsidR="00764A29" w:rsidRPr="00764A29" w14:paraId="6F4732AA"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0CE15631" w14:textId="77777777" w:rsidR="00764A29" w:rsidRPr="00764A29" w:rsidRDefault="00764A29" w:rsidP="00764A29">
                  <w:pPr>
                    <w:spacing w:after="60"/>
                    <w:rPr>
                      <w:i/>
                      <w:iCs/>
                      <w:sz w:val="20"/>
                      <w:szCs w:val="24"/>
                    </w:rPr>
                  </w:pPr>
                  <w:r w:rsidRPr="00764A29">
                    <w:rPr>
                      <w:i/>
                      <w:iCs/>
                      <w:sz w:val="20"/>
                      <w:szCs w:val="24"/>
                    </w:rPr>
                    <w:t>i</w:t>
                  </w:r>
                </w:p>
              </w:tc>
              <w:tc>
                <w:tcPr>
                  <w:tcW w:w="563" w:type="pct"/>
                  <w:tcBorders>
                    <w:top w:val="single" w:sz="6" w:space="0" w:color="auto"/>
                    <w:left w:val="single" w:sz="6" w:space="0" w:color="auto"/>
                    <w:bottom w:val="single" w:sz="6" w:space="0" w:color="auto"/>
                    <w:right w:val="single" w:sz="6" w:space="0" w:color="auto"/>
                  </w:tcBorders>
                  <w:hideMark/>
                </w:tcPr>
                <w:p w14:paraId="3BB44681" w14:textId="77777777" w:rsidR="00764A29" w:rsidRPr="00764A29" w:rsidRDefault="00764A29" w:rsidP="00764A29">
                  <w:pPr>
                    <w:spacing w:after="60"/>
                    <w:rPr>
                      <w:iCs/>
                      <w:sz w:val="20"/>
                      <w:szCs w:val="24"/>
                    </w:rPr>
                  </w:pPr>
                  <w:r w:rsidRPr="00764A29">
                    <w:rPr>
                      <w:iCs/>
                      <w:sz w:val="20"/>
                      <w:szCs w:val="24"/>
                    </w:rPr>
                    <w:t>None</w:t>
                  </w:r>
                </w:p>
              </w:tc>
              <w:tc>
                <w:tcPr>
                  <w:tcW w:w="3473" w:type="pct"/>
                  <w:tcBorders>
                    <w:top w:val="single" w:sz="6" w:space="0" w:color="auto"/>
                    <w:left w:val="single" w:sz="6" w:space="0" w:color="auto"/>
                    <w:bottom w:val="single" w:sz="6" w:space="0" w:color="auto"/>
                    <w:right w:val="single" w:sz="4" w:space="0" w:color="auto"/>
                  </w:tcBorders>
                  <w:hideMark/>
                </w:tcPr>
                <w:p w14:paraId="0E019F41" w14:textId="77777777" w:rsidR="00764A29" w:rsidRPr="00764A29" w:rsidRDefault="00764A29" w:rsidP="00764A29">
                  <w:pPr>
                    <w:spacing w:after="60"/>
                    <w:rPr>
                      <w:iCs/>
                      <w:sz w:val="20"/>
                      <w:szCs w:val="24"/>
                    </w:rPr>
                  </w:pPr>
                  <w:r w:rsidRPr="00764A29">
                    <w:rPr>
                      <w:iCs/>
                      <w:sz w:val="20"/>
                      <w:szCs w:val="24"/>
                    </w:rPr>
                    <w:t>A 15-minute Settlement Interval within the Operating Day during an LCAP or ECAP Effective Period.</w:t>
                  </w:r>
                </w:p>
              </w:tc>
            </w:tr>
            <w:tr w:rsidR="00764A29" w:rsidRPr="00764A29" w14:paraId="4621845B" w14:textId="77777777" w:rsidTr="00B327B6">
              <w:trPr>
                <w:cantSplit/>
              </w:trPr>
              <w:tc>
                <w:tcPr>
                  <w:tcW w:w="964" w:type="pct"/>
                  <w:tcBorders>
                    <w:top w:val="single" w:sz="6" w:space="0" w:color="auto"/>
                    <w:left w:val="single" w:sz="4" w:space="0" w:color="auto"/>
                    <w:bottom w:val="single" w:sz="6" w:space="0" w:color="auto"/>
                    <w:right w:val="single" w:sz="6" w:space="0" w:color="auto"/>
                  </w:tcBorders>
                  <w:hideMark/>
                </w:tcPr>
                <w:p w14:paraId="196F8A7D" w14:textId="77777777" w:rsidR="00764A29" w:rsidRPr="00764A29" w:rsidRDefault="00764A29" w:rsidP="00764A29">
                  <w:pPr>
                    <w:spacing w:after="60"/>
                    <w:rPr>
                      <w:i/>
                      <w:iCs/>
                      <w:sz w:val="20"/>
                      <w:szCs w:val="24"/>
                    </w:rPr>
                  </w:pPr>
                  <w:r w:rsidRPr="00764A29">
                    <w:rPr>
                      <w:i/>
                      <w:iCs/>
                      <w:sz w:val="20"/>
                      <w:szCs w:val="24"/>
                    </w:rPr>
                    <w:t>rc</w:t>
                  </w:r>
                </w:p>
              </w:tc>
              <w:tc>
                <w:tcPr>
                  <w:tcW w:w="563" w:type="pct"/>
                  <w:tcBorders>
                    <w:top w:val="single" w:sz="6" w:space="0" w:color="auto"/>
                    <w:left w:val="single" w:sz="6" w:space="0" w:color="auto"/>
                    <w:bottom w:val="single" w:sz="6" w:space="0" w:color="auto"/>
                    <w:right w:val="single" w:sz="6" w:space="0" w:color="auto"/>
                  </w:tcBorders>
                  <w:hideMark/>
                </w:tcPr>
                <w:p w14:paraId="67209215" w14:textId="77777777" w:rsidR="00764A29" w:rsidRPr="00764A29" w:rsidRDefault="00764A29" w:rsidP="00764A29">
                  <w:pPr>
                    <w:spacing w:after="60"/>
                    <w:rPr>
                      <w:iCs/>
                      <w:sz w:val="20"/>
                      <w:szCs w:val="24"/>
                    </w:rPr>
                  </w:pPr>
                  <w:r w:rsidRPr="00764A29">
                    <w:rPr>
                      <w:iCs/>
                      <w:sz w:val="20"/>
                      <w:szCs w:val="24"/>
                    </w:rPr>
                    <w:t>None</w:t>
                  </w:r>
                </w:p>
              </w:tc>
              <w:tc>
                <w:tcPr>
                  <w:tcW w:w="3473" w:type="pct"/>
                  <w:tcBorders>
                    <w:top w:val="single" w:sz="6" w:space="0" w:color="auto"/>
                    <w:left w:val="single" w:sz="6" w:space="0" w:color="auto"/>
                    <w:bottom w:val="single" w:sz="6" w:space="0" w:color="auto"/>
                    <w:right w:val="single" w:sz="4" w:space="0" w:color="auto"/>
                  </w:tcBorders>
                  <w:hideMark/>
                </w:tcPr>
                <w:p w14:paraId="67912411" w14:textId="5E80D812" w:rsidR="00764A29" w:rsidRPr="00764A29" w:rsidRDefault="00764A29" w:rsidP="00764A29">
                  <w:pPr>
                    <w:spacing w:after="60"/>
                    <w:rPr>
                      <w:iCs/>
                      <w:sz w:val="20"/>
                      <w:szCs w:val="24"/>
                    </w:rPr>
                  </w:pPr>
                  <w:r w:rsidRPr="00764A29">
                    <w:rPr>
                      <w:iCs/>
                      <w:sz w:val="20"/>
                      <w:szCs w:val="24"/>
                    </w:rPr>
                    <w:t>A Resource category</w:t>
                  </w:r>
                  <w:r w:rsidR="00A96D2E">
                    <w:rPr>
                      <w:iCs/>
                      <w:sz w:val="20"/>
                      <w:szCs w:val="24"/>
                    </w:rPr>
                    <w:t>.</w:t>
                  </w:r>
                </w:p>
              </w:tc>
            </w:tr>
          </w:tbl>
          <w:p w14:paraId="0EDF6B48" w14:textId="53373A4A" w:rsidR="00764A29" w:rsidRPr="00764A29" w:rsidRDefault="00764A29" w:rsidP="00764A29">
            <w:pPr>
              <w:spacing w:before="240" w:after="240"/>
              <w:ind w:left="720" w:hanging="720"/>
              <w:rPr>
                <w:iCs/>
                <w:szCs w:val="24"/>
              </w:rPr>
            </w:pPr>
            <w:r w:rsidRPr="00764A29">
              <w:rPr>
                <w:iCs/>
                <w:szCs w:val="24"/>
              </w:rPr>
              <w:t>(</w:t>
            </w:r>
            <w:r w:rsidR="00010E34">
              <w:rPr>
                <w:iCs/>
                <w:szCs w:val="24"/>
              </w:rPr>
              <w:t>4</w:t>
            </w:r>
            <w:r w:rsidRPr="00764A29">
              <w:rPr>
                <w:iCs/>
                <w:szCs w:val="24"/>
              </w:rPr>
              <w:t>)</w:t>
            </w:r>
            <w:r w:rsidRPr="00764A29">
              <w:rPr>
                <w:iCs/>
                <w:szCs w:val="24"/>
              </w:rPr>
              <w:tab/>
              <w:t xml:space="preserve">The total compensation to each QSE for operating losses during an LCAP or </w:t>
            </w:r>
            <w:r w:rsidRPr="00764A29">
              <w:rPr>
                <w:szCs w:val="24"/>
              </w:rPr>
              <w:t>ECAP</w:t>
            </w:r>
            <w:r w:rsidRPr="00764A29">
              <w:rPr>
                <w:iCs/>
                <w:szCs w:val="24"/>
              </w:rPr>
              <w:t xml:space="preserve"> Effective Period for the 15-minute Settlement Interval is calculated as follows:</w:t>
            </w:r>
          </w:p>
          <w:p w14:paraId="2C2362ED" w14:textId="77777777" w:rsidR="00764A29" w:rsidRPr="00764A29" w:rsidRDefault="00764A29" w:rsidP="00764A29">
            <w:pPr>
              <w:spacing w:after="240"/>
              <w:ind w:left="1440" w:hanging="720"/>
              <w:rPr>
                <w:b/>
                <w:iCs/>
                <w:sz w:val="20"/>
                <w:szCs w:val="24"/>
              </w:rPr>
            </w:pPr>
            <w:r w:rsidRPr="00764A29">
              <w:rPr>
                <w:iCs/>
                <w:szCs w:val="24"/>
              </w:rPr>
              <w:t xml:space="preserve">OPLPAMTQSETOT </w:t>
            </w:r>
            <w:r w:rsidRPr="00764A29">
              <w:rPr>
                <w:i/>
                <w:iCs/>
                <w:szCs w:val="24"/>
                <w:vertAlign w:val="subscript"/>
              </w:rPr>
              <w:t xml:space="preserve">q  </w:t>
            </w:r>
            <w:r w:rsidRPr="00764A29">
              <w:rPr>
                <w:iCs/>
                <w:szCs w:val="24"/>
              </w:rPr>
              <w:t xml:space="preserve">       =  </w:t>
            </w:r>
            <w:r w:rsidRPr="00764A29">
              <w:rPr>
                <w:iCs/>
                <w:szCs w:val="24"/>
              </w:rPr>
              <w:tab/>
            </w:r>
            <w:r w:rsidRPr="00764A29">
              <w:rPr>
                <w:noProof/>
                <w:position w:val="-18"/>
                <w:szCs w:val="24"/>
              </w:rPr>
              <w:drawing>
                <wp:inline distT="0" distB="0" distL="0" distR="0" wp14:anchorId="228BE60E" wp14:editId="6C056041">
                  <wp:extent cx="190500" cy="361950"/>
                  <wp:effectExtent l="0" t="0" r="0" b="0"/>
                  <wp:docPr id="1555096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90500" cy="361950"/>
                          </a:xfrm>
                          <a:prstGeom prst="rect">
                            <a:avLst/>
                          </a:prstGeom>
                          <a:noFill/>
                          <a:ln>
                            <a:noFill/>
                          </a:ln>
                        </pic:spPr>
                      </pic:pic>
                    </a:graphicData>
                  </a:graphic>
                </wp:inline>
              </w:drawing>
            </w:r>
            <w:r w:rsidRPr="00764A29">
              <w:rPr>
                <w:szCs w:val="24"/>
              </w:rPr>
              <w:t xml:space="preserve"> </w:t>
            </w:r>
            <w:r w:rsidRPr="00764A29">
              <w:rPr>
                <w:iCs/>
                <w:szCs w:val="24"/>
              </w:rPr>
              <w:t xml:space="preserve">OPLPAMT </w:t>
            </w:r>
            <w:r w:rsidRPr="00764A29">
              <w:rPr>
                <w:i/>
                <w:iCs/>
                <w:sz w:val="20"/>
                <w:szCs w:val="24"/>
                <w:vertAlign w:val="subscript"/>
              </w:rPr>
              <w:t>q, r, i</w:t>
            </w:r>
            <w:r w:rsidRPr="00764A29">
              <w:rPr>
                <w:b/>
                <w:iCs/>
                <w:sz w:val="20"/>
                <w:szCs w:val="24"/>
              </w:rPr>
              <w:t xml:space="preserve">  </w:t>
            </w:r>
          </w:p>
          <w:p w14:paraId="6496F9A8" w14:textId="77777777" w:rsidR="00764A29" w:rsidRPr="00764A29" w:rsidRDefault="00764A29" w:rsidP="00764A29">
            <w:pPr>
              <w:rPr>
                <w:szCs w:val="24"/>
              </w:rPr>
            </w:pPr>
            <w:r w:rsidRPr="00764A29">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9"/>
              <w:gridCol w:w="789"/>
              <w:gridCol w:w="5784"/>
            </w:tblGrid>
            <w:tr w:rsidR="00764A29" w:rsidRPr="00764A29" w14:paraId="0BC9A320" w14:textId="77777777" w:rsidTr="00B327B6">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0EF4A0E3" w14:textId="77777777" w:rsidR="00764A29" w:rsidRPr="00764A29" w:rsidRDefault="00764A29" w:rsidP="00764A29">
                  <w:pPr>
                    <w:spacing w:after="240"/>
                    <w:rPr>
                      <w:b/>
                      <w:iCs/>
                      <w:sz w:val="20"/>
                      <w:szCs w:val="24"/>
                    </w:rPr>
                  </w:pPr>
                  <w:r w:rsidRPr="00764A29">
                    <w:rPr>
                      <w:b/>
                      <w:iCs/>
                      <w:sz w:val="20"/>
                      <w:szCs w:val="24"/>
                    </w:rPr>
                    <w:t>Variable</w:t>
                  </w:r>
                </w:p>
              </w:tc>
              <w:tc>
                <w:tcPr>
                  <w:tcW w:w="433" w:type="pct"/>
                  <w:tcBorders>
                    <w:top w:val="single" w:sz="4" w:space="0" w:color="auto"/>
                    <w:left w:val="single" w:sz="4" w:space="0" w:color="auto"/>
                    <w:bottom w:val="single" w:sz="4" w:space="0" w:color="auto"/>
                    <w:right w:val="single" w:sz="4" w:space="0" w:color="auto"/>
                  </w:tcBorders>
                  <w:hideMark/>
                </w:tcPr>
                <w:p w14:paraId="59CCEBCC" w14:textId="77777777" w:rsidR="00764A29" w:rsidRPr="00764A29" w:rsidRDefault="00764A29" w:rsidP="00764A29">
                  <w:pPr>
                    <w:spacing w:after="240"/>
                    <w:rPr>
                      <w:b/>
                      <w:iCs/>
                      <w:sz w:val="20"/>
                      <w:szCs w:val="24"/>
                    </w:rPr>
                  </w:pPr>
                  <w:r w:rsidRPr="00764A29">
                    <w:rPr>
                      <w:b/>
                      <w:iCs/>
                      <w:sz w:val="20"/>
                      <w:szCs w:val="24"/>
                    </w:rPr>
                    <w:t>Unit</w:t>
                  </w:r>
                </w:p>
              </w:tc>
              <w:tc>
                <w:tcPr>
                  <w:tcW w:w="3174" w:type="pct"/>
                  <w:tcBorders>
                    <w:top w:val="single" w:sz="4" w:space="0" w:color="auto"/>
                    <w:left w:val="single" w:sz="4" w:space="0" w:color="auto"/>
                    <w:bottom w:val="single" w:sz="4" w:space="0" w:color="auto"/>
                    <w:right w:val="single" w:sz="4" w:space="0" w:color="auto"/>
                  </w:tcBorders>
                  <w:hideMark/>
                </w:tcPr>
                <w:p w14:paraId="257EC7F4" w14:textId="77777777" w:rsidR="00764A29" w:rsidRPr="00764A29" w:rsidRDefault="00764A29" w:rsidP="00764A29">
                  <w:pPr>
                    <w:spacing w:after="240"/>
                    <w:rPr>
                      <w:b/>
                      <w:iCs/>
                      <w:sz w:val="20"/>
                      <w:szCs w:val="24"/>
                    </w:rPr>
                  </w:pPr>
                  <w:r w:rsidRPr="00764A29">
                    <w:rPr>
                      <w:b/>
                      <w:iCs/>
                      <w:sz w:val="20"/>
                      <w:szCs w:val="24"/>
                    </w:rPr>
                    <w:t>Definition</w:t>
                  </w:r>
                </w:p>
              </w:tc>
            </w:tr>
            <w:tr w:rsidR="00764A29" w:rsidRPr="00764A29" w14:paraId="04F7D7B7" w14:textId="77777777" w:rsidTr="00B327B6">
              <w:trPr>
                <w:cantSplit/>
              </w:trPr>
              <w:tc>
                <w:tcPr>
                  <w:tcW w:w="1393" w:type="pct"/>
                  <w:tcBorders>
                    <w:top w:val="single" w:sz="4" w:space="0" w:color="auto"/>
                    <w:left w:val="single" w:sz="4" w:space="0" w:color="auto"/>
                    <w:bottom w:val="single" w:sz="4" w:space="0" w:color="auto"/>
                    <w:right w:val="single" w:sz="4" w:space="0" w:color="auto"/>
                  </w:tcBorders>
                  <w:hideMark/>
                </w:tcPr>
                <w:p w14:paraId="5183C10A" w14:textId="77777777" w:rsidR="00764A29" w:rsidRPr="00764A29" w:rsidRDefault="00764A29" w:rsidP="00764A29">
                  <w:pPr>
                    <w:spacing w:after="60"/>
                    <w:rPr>
                      <w:iCs/>
                      <w:sz w:val="20"/>
                      <w:szCs w:val="24"/>
                    </w:rPr>
                  </w:pPr>
                  <w:r w:rsidRPr="00764A29">
                    <w:rPr>
                      <w:iCs/>
                      <w:sz w:val="20"/>
                      <w:szCs w:val="24"/>
                    </w:rPr>
                    <w:t>OPLPAMTQSETOT</w:t>
                  </w:r>
                  <w:r w:rsidRPr="00764A29">
                    <w:rPr>
                      <w:b/>
                      <w:iCs/>
                      <w:sz w:val="20"/>
                      <w:szCs w:val="24"/>
                    </w:rPr>
                    <w:t xml:space="preserve"> </w:t>
                  </w:r>
                  <w:r w:rsidRPr="00764A29">
                    <w:rPr>
                      <w:i/>
                      <w:iCs/>
                      <w:sz w:val="20"/>
                      <w:szCs w:val="24"/>
                      <w:vertAlign w:val="subscript"/>
                    </w:rPr>
                    <w:t>q</w:t>
                  </w:r>
                  <w:r w:rsidRPr="00764A29">
                    <w:rPr>
                      <w:iCs/>
                      <w:sz w:val="20"/>
                      <w:szCs w:val="24"/>
                    </w:rPr>
                    <w:t xml:space="preserve"> </w:t>
                  </w:r>
                </w:p>
              </w:tc>
              <w:tc>
                <w:tcPr>
                  <w:tcW w:w="433" w:type="pct"/>
                  <w:tcBorders>
                    <w:top w:val="single" w:sz="4" w:space="0" w:color="auto"/>
                    <w:left w:val="single" w:sz="4" w:space="0" w:color="auto"/>
                    <w:bottom w:val="single" w:sz="4" w:space="0" w:color="auto"/>
                    <w:right w:val="single" w:sz="4" w:space="0" w:color="auto"/>
                  </w:tcBorders>
                  <w:hideMark/>
                </w:tcPr>
                <w:p w14:paraId="4691823C" w14:textId="77777777" w:rsidR="00764A29" w:rsidRPr="00764A29" w:rsidRDefault="00764A29" w:rsidP="00764A29">
                  <w:pPr>
                    <w:spacing w:after="60"/>
                    <w:rPr>
                      <w:iCs/>
                      <w:sz w:val="20"/>
                      <w:szCs w:val="24"/>
                    </w:rPr>
                  </w:pPr>
                  <w:r w:rsidRPr="00764A29">
                    <w:rPr>
                      <w:iCs/>
                      <w:sz w:val="20"/>
                      <w:szCs w:val="24"/>
                    </w:rPr>
                    <w:t>$</w:t>
                  </w:r>
                </w:p>
              </w:tc>
              <w:tc>
                <w:tcPr>
                  <w:tcW w:w="3174" w:type="pct"/>
                  <w:tcBorders>
                    <w:top w:val="single" w:sz="4" w:space="0" w:color="auto"/>
                    <w:left w:val="single" w:sz="4" w:space="0" w:color="auto"/>
                    <w:bottom w:val="single" w:sz="4" w:space="0" w:color="auto"/>
                    <w:right w:val="single" w:sz="4" w:space="0" w:color="auto"/>
                  </w:tcBorders>
                  <w:hideMark/>
                </w:tcPr>
                <w:p w14:paraId="573E1D53" w14:textId="77777777" w:rsidR="00764A29" w:rsidRPr="00764A29" w:rsidRDefault="00764A29" w:rsidP="00764A29">
                  <w:pPr>
                    <w:spacing w:after="60"/>
                    <w:rPr>
                      <w:iCs/>
                      <w:sz w:val="20"/>
                      <w:szCs w:val="24"/>
                    </w:rPr>
                  </w:pPr>
                  <w:r w:rsidRPr="00764A29">
                    <w:rPr>
                      <w:i/>
                      <w:iCs/>
                      <w:sz w:val="20"/>
                      <w:szCs w:val="24"/>
                    </w:rPr>
                    <w:t xml:space="preserve">Total Operating Losses Payment Amount per QSE – </w:t>
                  </w:r>
                  <w:r w:rsidRPr="00764A29">
                    <w:rPr>
                      <w:iCs/>
                      <w:sz w:val="20"/>
                      <w:szCs w:val="24"/>
                    </w:rPr>
                    <w:t xml:space="preserve">The total operating losses payment to the QSE </w:t>
                  </w:r>
                  <w:r w:rsidRPr="00764A29">
                    <w:rPr>
                      <w:i/>
                      <w:sz w:val="20"/>
                      <w:szCs w:val="24"/>
                    </w:rPr>
                    <w:t>q</w:t>
                  </w:r>
                  <w:r w:rsidRPr="00764A29">
                    <w:rPr>
                      <w:iCs/>
                      <w:sz w:val="20"/>
                      <w:szCs w:val="24"/>
                    </w:rPr>
                    <w:t xml:space="preserve">, for all Resources, for the 15-minute Settlement Interval within the Operating Day.  </w:t>
                  </w:r>
                </w:p>
              </w:tc>
            </w:tr>
            <w:tr w:rsidR="00764A29" w:rsidRPr="00764A29" w14:paraId="34E0C250" w14:textId="77777777" w:rsidTr="00B327B6">
              <w:trPr>
                <w:cantSplit/>
              </w:trPr>
              <w:tc>
                <w:tcPr>
                  <w:tcW w:w="1393" w:type="pct"/>
                  <w:tcBorders>
                    <w:top w:val="single" w:sz="4" w:space="0" w:color="auto"/>
                    <w:left w:val="single" w:sz="4" w:space="0" w:color="auto"/>
                    <w:bottom w:val="single" w:sz="4" w:space="0" w:color="auto"/>
                    <w:right w:val="single" w:sz="4" w:space="0" w:color="auto"/>
                  </w:tcBorders>
                  <w:hideMark/>
                </w:tcPr>
                <w:p w14:paraId="331B43CD" w14:textId="77777777" w:rsidR="00764A29" w:rsidRPr="00764A29" w:rsidRDefault="00764A29" w:rsidP="00764A29">
                  <w:pPr>
                    <w:spacing w:after="60"/>
                    <w:rPr>
                      <w:iCs/>
                      <w:sz w:val="20"/>
                      <w:szCs w:val="24"/>
                    </w:rPr>
                  </w:pPr>
                  <w:r w:rsidRPr="00764A29">
                    <w:rPr>
                      <w:iCs/>
                      <w:sz w:val="20"/>
                      <w:szCs w:val="24"/>
                    </w:rPr>
                    <w:t xml:space="preserve">OPLPAMT </w:t>
                  </w:r>
                  <w:r w:rsidRPr="00764A29">
                    <w:rPr>
                      <w:i/>
                      <w:iCs/>
                      <w:sz w:val="20"/>
                      <w:szCs w:val="24"/>
                      <w:vertAlign w:val="subscript"/>
                    </w:rPr>
                    <w:t>q, r, i</w:t>
                  </w:r>
                  <w:r w:rsidRPr="00764A29">
                    <w:rPr>
                      <w:szCs w:val="24"/>
                    </w:rPr>
                    <w:t xml:space="preserve">  </w:t>
                  </w:r>
                </w:p>
              </w:tc>
              <w:tc>
                <w:tcPr>
                  <w:tcW w:w="433" w:type="pct"/>
                  <w:tcBorders>
                    <w:top w:val="single" w:sz="4" w:space="0" w:color="auto"/>
                    <w:left w:val="single" w:sz="4" w:space="0" w:color="auto"/>
                    <w:bottom w:val="single" w:sz="4" w:space="0" w:color="auto"/>
                    <w:right w:val="single" w:sz="4" w:space="0" w:color="auto"/>
                  </w:tcBorders>
                  <w:hideMark/>
                </w:tcPr>
                <w:p w14:paraId="3804CB6B" w14:textId="77777777" w:rsidR="00764A29" w:rsidRPr="00764A29" w:rsidRDefault="00764A29" w:rsidP="00764A29">
                  <w:pPr>
                    <w:spacing w:after="60"/>
                    <w:rPr>
                      <w:i/>
                      <w:iCs/>
                      <w:sz w:val="20"/>
                      <w:szCs w:val="24"/>
                    </w:rPr>
                  </w:pPr>
                  <w:r w:rsidRPr="00764A29">
                    <w:rPr>
                      <w:szCs w:val="24"/>
                    </w:rPr>
                    <w:t>$</w:t>
                  </w:r>
                </w:p>
              </w:tc>
              <w:tc>
                <w:tcPr>
                  <w:tcW w:w="3174" w:type="pct"/>
                  <w:tcBorders>
                    <w:top w:val="single" w:sz="4" w:space="0" w:color="auto"/>
                    <w:left w:val="single" w:sz="4" w:space="0" w:color="auto"/>
                    <w:bottom w:val="single" w:sz="4" w:space="0" w:color="auto"/>
                    <w:right w:val="single" w:sz="4" w:space="0" w:color="auto"/>
                  </w:tcBorders>
                  <w:hideMark/>
                </w:tcPr>
                <w:p w14:paraId="2AFC8756" w14:textId="77777777" w:rsidR="00764A29" w:rsidRPr="00764A29" w:rsidRDefault="00764A29" w:rsidP="00764A29">
                  <w:pPr>
                    <w:spacing w:after="60"/>
                    <w:rPr>
                      <w:iCs/>
                      <w:sz w:val="20"/>
                      <w:szCs w:val="24"/>
                    </w:rPr>
                  </w:pPr>
                  <w:r w:rsidRPr="00764A29">
                    <w:rPr>
                      <w:i/>
                      <w:iCs/>
                      <w:sz w:val="20"/>
                      <w:szCs w:val="24"/>
                    </w:rPr>
                    <w:t>Operating Losses Payment Amount</w:t>
                  </w:r>
                  <w:r w:rsidRPr="00764A29">
                    <w:rPr>
                      <w:szCs w:val="24"/>
                    </w:rPr>
                    <w:t xml:space="preserve"> – </w:t>
                  </w:r>
                  <w:r w:rsidRPr="00764A29">
                    <w:rPr>
                      <w:iCs/>
                      <w:sz w:val="20"/>
                      <w:szCs w:val="24"/>
                    </w:rPr>
                    <w:t xml:space="preserve">The operating losses payment to the QSE </w:t>
                  </w:r>
                  <w:r w:rsidRPr="00764A29">
                    <w:rPr>
                      <w:i/>
                      <w:sz w:val="20"/>
                      <w:szCs w:val="24"/>
                    </w:rPr>
                    <w:t>q</w:t>
                  </w:r>
                  <w:r w:rsidRPr="00764A29">
                    <w:rPr>
                      <w:iCs/>
                      <w:sz w:val="20"/>
                      <w:szCs w:val="24"/>
                    </w:rPr>
                    <w:t xml:space="preserve">, for Resource </w:t>
                  </w:r>
                  <w:r w:rsidRPr="00764A29">
                    <w:rPr>
                      <w:i/>
                      <w:sz w:val="20"/>
                      <w:szCs w:val="24"/>
                    </w:rPr>
                    <w:t>r</w:t>
                  </w:r>
                  <w:r w:rsidRPr="00764A29">
                    <w:rPr>
                      <w:iCs/>
                      <w:sz w:val="20"/>
                      <w:szCs w:val="24"/>
                    </w:rPr>
                    <w:t xml:space="preserve">, for the 15-minute Settlement Interval </w:t>
                  </w:r>
                  <w:r w:rsidRPr="00764A29">
                    <w:rPr>
                      <w:i/>
                      <w:sz w:val="20"/>
                      <w:szCs w:val="24"/>
                    </w:rPr>
                    <w:t>i</w:t>
                  </w:r>
                  <w:r w:rsidRPr="00764A29">
                    <w:rPr>
                      <w:iCs/>
                      <w:sz w:val="20"/>
                      <w:szCs w:val="24"/>
                    </w:rPr>
                    <w:t xml:space="preserve"> within the Operating Day.  Where for a Combined Cycle Train, the Resource </w:t>
                  </w:r>
                  <w:r w:rsidRPr="00764A29">
                    <w:rPr>
                      <w:i/>
                      <w:sz w:val="20"/>
                      <w:szCs w:val="24"/>
                    </w:rPr>
                    <w:t>r</w:t>
                  </w:r>
                  <w:r w:rsidRPr="00764A29">
                    <w:rPr>
                      <w:iCs/>
                      <w:sz w:val="20"/>
                      <w:szCs w:val="24"/>
                    </w:rPr>
                    <w:t xml:space="preserve"> is the Combined Cycle Train.</w:t>
                  </w:r>
                </w:p>
              </w:tc>
            </w:tr>
            <w:tr w:rsidR="00764A29" w:rsidRPr="00764A29" w14:paraId="4317536E" w14:textId="77777777" w:rsidTr="00B327B6">
              <w:trPr>
                <w:cantSplit/>
              </w:trPr>
              <w:tc>
                <w:tcPr>
                  <w:tcW w:w="1393" w:type="pct"/>
                  <w:tcBorders>
                    <w:top w:val="single" w:sz="4" w:space="0" w:color="auto"/>
                    <w:left w:val="single" w:sz="4" w:space="0" w:color="auto"/>
                    <w:bottom w:val="single" w:sz="4" w:space="0" w:color="auto"/>
                    <w:right w:val="single" w:sz="4" w:space="0" w:color="auto"/>
                  </w:tcBorders>
                  <w:hideMark/>
                </w:tcPr>
                <w:p w14:paraId="2D8B4943" w14:textId="77777777" w:rsidR="00764A29" w:rsidRPr="00764A29" w:rsidRDefault="00764A29" w:rsidP="00764A29">
                  <w:pPr>
                    <w:spacing w:after="60"/>
                    <w:rPr>
                      <w:i/>
                      <w:iCs/>
                      <w:sz w:val="20"/>
                      <w:szCs w:val="24"/>
                    </w:rPr>
                  </w:pPr>
                  <w:r w:rsidRPr="00764A29">
                    <w:rPr>
                      <w:i/>
                      <w:iCs/>
                      <w:sz w:val="20"/>
                      <w:szCs w:val="24"/>
                    </w:rPr>
                    <w:t>q</w:t>
                  </w:r>
                </w:p>
              </w:tc>
              <w:tc>
                <w:tcPr>
                  <w:tcW w:w="433" w:type="pct"/>
                  <w:tcBorders>
                    <w:top w:val="single" w:sz="4" w:space="0" w:color="auto"/>
                    <w:left w:val="single" w:sz="4" w:space="0" w:color="auto"/>
                    <w:bottom w:val="single" w:sz="4" w:space="0" w:color="auto"/>
                    <w:right w:val="single" w:sz="4" w:space="0" w:color="auto"/>
                  </w:tcBorders>
                  <w:hideMark/>
                </w:tcPr>
                <w:p w14:paraId="53864CC8" w14:textId="77777777" w:rsidR="00764A29" w:rsidRPr="00764A29" w:rsidRDefault="00764A29" w:rsidP="00764A29">
                  <w:pPr>
                    <w:spacing w:after="60"/>
                    <w:rPr>
                      <w:iCs/>
                      <w:sz w:val="20"/>
                      <w:szCs w:val="24"/>
                    </w:rPr>
                  </w:pPr>
                  <w:r w:rsidRPr="00764A29">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623C6C65" w14:textId="77777777" w:rsidR="00764A29" w:rsidRPr="00764A29" w:rsidRDefault="00764A29" w:rsidP="00764A29">
                  <w:pPr>
                    <w:spacing w:after="60"/>
                    <w:rPr>
                      <w:iCs/>
                      <w:sz w:val="20"/>
                      <w:szCs w:val="24"/>
                    </w:rPr>
                  </w:pPr>
                  <w:r w:rsidRPr="00764A29">
                    <w:rPr>
                      <w:iCs/>
                      <w:sz w:val="20"/>
                      <w:szCs w:val="24"/>
                    </w:rPr>
                    <w:t>A QSE.</w:t>
                  </w:r>
                </w:p>
              </w:tc>
            </w:tr>
            <w:tr w:rsidR="00764A29" w:rsidRPr="00764A29" w14:paraId="1E963333" w14:textId="77777777" w:rsidTr="00B327B6">
              <w:trPr>
                <w:cantSplit/>
              </w:trPr>
              <w:tc>
                <w:tcPr>
                  <w:tcW w:w="1393" w:type="pct"/>
                  <w:tcBorders>
                    <w:top w:val="single" w:sz="4" w:space="0" w:color="auto"/>
                    <w:left w:val="single" w:sz="4" w:space="0" w:color="auto"/>
                    <w:bottom w:val="single" w:sz="4" w:space="0" w:color="auto"/>
                    <w:right w:val="single" w:sz="4" w:space="0" w:color="auto"/>
                  </w:tcBorders>
                  <w:hideMark/>
                </w:tcPr>
                <w:p w14:paraId="70E87CA6" w14:textId="77777777" w:rsidR="00764A29" w:rsidRPr="00764A29" w:rsidRDefault="00764A29" w:rsidP="00764A29">
                  <w:pPr>
                    <w:spacing w:after="60"/>
                    <w:rPr>
                      <w:i/>
                      <w:iCs/>
                      <w:sz w:val="20"/>
                      <w:szCs w:val="24"/>
                    </w:rPr>
                  </w:pPr>
                  <w:r w:rsidRPr="00764A29">
                    <w:rPr>
                      <w:i/>
                      <w:iCs/>
                      <w:sz w:val="20"/>
                      <w:szCs w:val="24"/>
                    </w:rPr>
                    <w:t>r</w:t>
                  </w:r>
                </w:p>
              </w:tc>
              <w:tc>
                <w:tcPr>
                  <w:tcW w:w="433" w:type="pct"/>
                  <w:tcBorders>
                    <w:top w:val="single" w:sz="4" w:space="0" w:color="auto"/>
                    <w:left w:val="single" w:sz="4" w:space="0" w:color="auto"/>
                    <w:bottom w:val="single" w:sz="4" w:space="0" w:color="auto"/>
                    <w:right w:val="single" w:sz="4" w:space="0" w:color="auto"/>
                  </w:tcBorders>
                  <w:hideMark/>
                </w:tcPr>
                <w:p w14:paraId="2202D668" w14:textId="77777777" w:rsidR="00764A29" w:rsidRPr="00764A29" w:rsidRDefault="00764A29" w:rsidP="00764A29">
                  <w:pPr>
                    <w:spacing w:after="60"/>
                    <w:rPr>
                      <w:iCs/>
                      <w:sz w:val="20"/>
                      <w:szCs w:val="24"/>
                    </w:rPr>
                  </w:pPr>
                  <w:r w:rsidRPr="00764A29">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61E80F0C" w14:textId="77777777" w:rsidR="00764A29" w:rsidRPr="00764A29" w:rsidRDefault="00764A29" w:rsidP="00764A29">
                  <w:pPr>
                    <w:spacing w:after="60"/>
                    <w:rPr>
                      <w:iCs/>
                      <w:sz w:val="20"/>
                      <w:szCs w:val="24"/>
                    </w:rPr>
                  </w:pPr>
                  <w:r w:rsidRPr="00764A29">
                    <w:rPr>
                      <w:iCs/>
                      <w:sz w:val="20"/>
                      <w:szCs w:val="24"/>
                    </w:rPr>
                    <w:t>A Generation Resource or ESR.</w:t>
                  </w:r>
                </w:p>
              </w:tc>
            </w:tr>
            <w:tr w:rsidR="00764A29" w:rsidRPr="00764A29" w14:paraId="00E66A62" w14:textId="77777777" w:rsidTr="00B327B6">
              <w:trPr>
                <w:cantSplit/>
              </w:trPr>
              <w:tc>
                <w:tcPr>
                  <w:tcW w:w="1393" w:type="pct"/>
                  <w:tcBorders>
                    <w:top w:val="single" w:sz="4" w:space="0" w:color="auto"/>
                    <w:left w:val="single" w:sz="4" w:space="0" w:color="auto"/>
                    <w:bottom w:val="single" w:sz="4" w:space="0" w:color="auto"/>
                    <w:right w:val="single" w:sz="4" w:space="0" w:color="auto"/>
                  </w:tcBorders>
                  <w:hideMark/>
                </w:tcPr>
                <w:p w14:paraId="0336FE54" w14:textId="77777777" w:rsidR="00764A29" w:rsidRPr="00764A29" w:rsidRDefault="00764A29" w:rsidP="00764A29">
                  <w:pPr>
                    <w:spacing w:after="60"/>
                    <w:rPr>
                      <w:i/>
                      <w:iCs/>
                      <w:sz w:val="20"/>
                      <w:szCs w:val="24"/>
                    </w:rPr>
                  </w:pPr>
                  <w:r w:rsidRPr="00764A29">
                    <w:rPr>
                      <w:i/>
                      <w:iCs/>
                      <w:sz w:val="20"/>
                      <w:szCs w:val="24"/>
                    </w:rPr>
                    <w:t>i</w:t>
                  </w:r>
                </w:p>
              </w:tc>
              <w:tc>
                <w:tcPr>
                  <w:tcW w:w="433" w:type="pct"/>
                  <w:tcBorders>
                    <w:top w:val="single" w:sz="4" w:space="0" w:color="auto"/>
                    <w:left w:val="single" w:sz="4" w:space="0" w:color="auto"/>
                    <w:bottom w:val="single" w:sz="4" w:space="0" w:color="auto"/>
                    <w:right w:val="single" w:sz="4" w:space="0" w:color="auto"/>
                  </w:tcBorders>
                  <w:hideMark/>
                </w:tcPr>
                <w:p w14:paraId="6FC784F9" w14:textId="77777777" w:rsidR="00764A29" w:rsidRPr="00764A29" w:rsidRDefault="00764A29" w:rsidP="00764A29">
                  <w:pPr>
                    <w:spacing w:after="60"/>
                    <w:rPr>
                      <w:iCs/>
                      <w:sz w:val="20"/>
                      <w:szCs w:val="24"/>
                    </w:rPr>
                  </w:pPr>
                  <w:r w:rsidRPr="00764A29">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544547F5" w14:textId="77777777" w:rsidR="00764A29" w:rsidRPr="00764A29" w:rsidRDefault="00764A29" w:rsidP="00764A29">
                  <w:pPr>
                    <w:spacing w:after="60"/>
                    <w:rPr>
                      <w:iCs/>
                      <w:sz w:val="20"/>
                      <w:szCs w:val="24"/>
                    </w:rPr>
                  </w:pPr>
                  <w:r w:rsidRPr="00764A29">
                    <w:rPr>
                      <w:iCs/>
                      <w:sz w:val="20"/>
                      <w:szCs w:val="24"/>
                    </w:rPr>
                    <w:t>A 15-minute Settlement Interval within the Operating Day during an LCAP or ECAP Effective Period.</w:t>
                  </w:r>
                </w:p>
              </w:tc>
            </w:tr>
            <w:bookmarkEnd w:id="2854"/>
          </w:tbl>
          <w:p w14:paraId="21C28797" w14:textId="4C7EF517" w:rsidR="00764A29" w:rsidRPr="00072829" w:rsidRDefault="00764A29" w:rsidP="00B327B6">
            <w:pPr>
              <w:spacing w:after="240"/>
              <w:ind w:left="1440" w:hanging="720"/>
            </w:pPr>
          </w:p>
        </w:tc>
      </w:tr>
    </w:tbl>
    <w:p w14:paraId="25C98303" w14:textId="77777777" w:rsidR="00162CAA" w:rsidRPr="00162CAA" w:rsidRDefault="00162CAA" w:rsidP="00162CAA">
      <w:pPr>
        <w:keepNext/>
        <w:tabs>
          <w:tab w:val="left" w:pos="1080"/>
        </w:tabs>
        <w:spacing w:before="480" w:after="240"/>
        <w:ind w:left="1080" w:hanging="1080"/>
        <w:outlineLvl w:val="2"/>
        <w:rPr>
          <w:bCs/>
        </w:rPr>
      </w:pPr>
      <w:bookmarkStart w:id="2856" w:name="_Toc204411766"/>
      <w:r w:rsidRPr="00162CAA">
        <w:rPr>
          <w:b/>
          <w:bCs/>
          <w:i/>
        </w:rPr>
        <w:lastRenderedPageBreak/>
        <w:t>6.8.3</w:t>
      </w:r>
      <w:r w:rsidRPr="00162CAA">
        <w:rPr>
          <w:b/>
          <w:bCs/>
          <w:i/>
        </w:rPr>
        <w:tab/>
      </w:r>
      <w:bookmarkEnd w:id="2839"/>
      <w:bookmarkEnd w:id="2840"/>
      <w:bookmarkEnd w:id="2841"/>
      <w:bookmarkEnd w:id="2842"/>
      <w:bookmarkEnd w:id="2843"/>
      <w:bookmarkEnd w:id="2844"/>
      <w:bookmarkEnd w:id="2845"/>
      <w:bookmarkEnd w:id="2846"/>
      <w:bookmarkEnd w:id="2847"/>
      <w:bookmarkEnd w:id="2848"/>
      <w:bookmarkEnd w:id="2849"/>
      <w:bookmarkEnd w:id="2850"/>
      <w:r w:rsidRPr="00162CAA">
        <w:rPr>
          <w:b/>
          <w:bCs/>
          <w:i/>
        </w:rPr>
        <w:t>Charges for Operating Losses During an LCAP Effective Period</w:t>
      </w:r>
      <w:bookmarkEnd w:id="2856"/>
    </w:p>
    <w:p w14:paraId="3EB3CD9A" w14:textId="03027628" w:rsidR="00162CAA" w:rsidRPr="00162CAA" w:rsidRDefault="00162CAA" w:rsidP="00162CAA">
      <w:pPr>
        <w:spacing w:after="240"/>
        <w:ind w:left="720" w:hanging="720"/>
        <w:rPr>
          <w:szCs w:val="24"/>
        </w:rPr>
      </w:pPr>
      <w:r w:rsidRPr="00162CAA">
        <w:rPr>
          <w:szCs w:val="24"/>
        </w:rPr>
        <w:t>(1)</w:t>
      </w:r>
      <w:r w:rsidRPr="00162CAA">
        <w:rPr>
          <w:szCs w:val="24"/>
        </w:rPr>
        <w:tab/>
        <w:t>All QSEs that were capacity-short in a Settlement Interval for which actual marginal costs above the LCAP are recovered will be charged for that shortage, as described in Section 6.8.3.1, Charges for Capacity Shortfalls During an LCAP Effective Period.  If revenues from the charges under Section 6.8.3.1 are not enough to cover all actual marginal costs above the LCAP for a Settlement Interval, then the difference will be uplifted to all QSEs on a Load Ratio Share (LRS) basis, as described in</w:t>
      </w:r>
      <w:r w:rsidR="003D3379" w:rsidRPr="00162CAA">
        <w:rPr>
          <w:szCs w:val="24"/>
        </w:rPr>
        <w:t xml:space="preserve"> </w:t>
      </w:r>
      <w:r w:rsidR="003D3379">
        <w:rPr>
          <w:szCs w:val="24"/>
        </w:rPr>
        <w:t xml:space="preserve">Section </w:t>
      </w:r>
      <w:r w:rsidRPr="00162CAA">
        <w:rPr>
          <w:szCs w:val="24"/>
        </w:rPr>
        <w:t>6.8.3.2, Uplift Charges for an LCAP Effective Period.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64A29" w14:paraId="79BE14A1" w14:textId="77777777" w:rsidTr="00764A29">
        <w:trPr>
          <w:trHeight w:val="206"/>
        </w:trPr>
        <w:tc>
          <w:tcPr>
            <w:tcW w:w="9350" w:type="dxa"/>
            <w:shd w:val="pct12" w:color="auto" w:fill="auto"/>
          </w:tcPr>
          <w:p w14:paraId="3CE008CA" w14:textId="235782BC" w:rsidR="00764A29" w:rsidRPr="00A4149C" w:rsidRDefault="00764A29" w:rsidP="00B327B6">
            <w:pPr>
              <w:pStyle w:val="Instructions"/>
              <w:spacing w:before="120"/>
            </w:pPr>
            <w:bookmarkStart w:id="2857" w:name="_Toc400547194"/>
            <w:bookmarkStart w:id="2858" w:name="_Toc405384299"/>
            <w:bookmarkStart w:id="2859" w:name="_Toc405543566"/>
            <w:bookmarkStart w:id="2860" w:name="_Toc428178075"/>
            <w:bookmarkStart w:id="2861" w:name="_Toc440872706"/>
            <w:bookmarkStart w:id="2862" w:name="_Toc458766251"/>
            <w:bookmarkStart w:id="2863" w:name="_Toc459292656"/>
            <w:bookmarkStart w:id="2864" w:name="_Toc60038363"/>
            <w:r>
              <w:t>[NPRR1216:  Delete Section 6.8.3 above upon system implementation and renumber accordingly.]</w:t>
            </w:r>
          </w:p>
        </w:tc>
      </w:tr>
    </w:tbl>
    <w:p w14:paraId="12E359AD" w14:textId="77777777" w:rsidR="00162CAA" w:rsidRPr="00162CAA" w:rsidRDefault="00162CAA" w:rsidP="00162CAA">
      <w:pPr>
        <w:pStyle w:val="H4"/>
        <w:spacing w:before="480"/>
        <w:ind w:left="1267" w:hanging="1267"/>
      </w:pPr>
      <w:bookmarkStart w:id="2865" w:name="_Toc204411767"/>
      <w:r w:rsidRPr="00162CAA">
        <w:t>6.8.3.1</w:t>
      </w:r>
      <w:r w:rsidRPr="00162CAA">
        <w:tab/>
        <w:t>Charges for Capacity Shortfalls During an LCAP Effective Period</w:t>
      </w:r>
      <w:bookmarkEnd w:id="2865"/>
      <w:r w:rsidRPr="00162CAA">
        <w:t xml:space="preserve"> </w:t>
      </w:r>
      <w:bookmarkEnd w:id="2857"/>
      <w:bookmarkEnd w:id="2858"/>
      <w:bookmarkEnd w:id="2859"/>
      <w:bookmarkEnd w:id="2860"/>
      <w:bookmarkEnd w:id="2861"/>
      <w:bookmarkEnd w:id="2862"/>
      <w:bookmarkEnd w:id="2863"/>
      <w:bookmarkEnd w:id="2864"/>
    </w:p>
    <w:p w14:paraId="36F3F553" w14:textId="77777777" w:rsidR="00162CAA" w:rsidRPr="00162CAA" w:rsidRDefault="00162CAA" w:rsidP="00162CAA">
      <w:pPr>
        <w:spacing w:after="240"/>
        <w:ind w:left="720" w:hanging="720"/>
        <w:rPr>
          <w:szCs w:val="24"/>
        </w:rPr>
      </w:pPr>
      <w:r w:rsidRPr="00162CAA">
        <w:rPr>
          <w:szCs w:val="24"/>
        </w:rPr>
        <w:t>(1)</w:t>
      </w:r>
      <w:r w:rsidRPr="00162CAA">
        <w:rPr>
          <w:szCs w:val="24"/>
        </w:rPr>
        <w:tab/>
        <w:t>The dollar amount charged to each QSE due to capacity shortfalls for any Settlement Intervals in an LCAP Effective Period is calculated as follows:</w:t>
      </w:r>
    </w:p>
    <w:p w14:paraId="481742D3"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lastRenderedPageBreak/>
        <w:t xml:space="preserve">LCAPCSAMT </w:t>
      </w:r>
      <w:r w:rsidRPr="00162CAA">
        <w:rPr>
          <w:b/>
          <w:bCs/>
          <w:i/>
          <w:szCs w:val="24"/>
          <w:vertAlign w:val="subscript"/>
        </w:rPr>
        <w:t>i, q</w:t>
      </w:r>
      <w:r w:rsidRPr="00162CAA">
        <w:rPr>
          <w:b/>
          <w:bCs/>
          <w:szCs w:val="24"/>
        </w:rPr>
        <w:tab/>
        <w:t>=</w:t>
      </w:r>
      <w:r w:rsidRPr="00162CAA">
        <w:rPr>
          <w:b/>
          <w:bCs/>
          <w:szCs w:val="24"/>
        </w:rPr>
        <w:tab/>
        <w:t>(-1) * Max [(LCAPSFRS</w:t>
      </w:r>
      <w:r w:rsidRPr="00162CAA">
        <w:rPr>
          <w:b/>
          <w:bCs/>
          <w:i/>
          <w:szCs w:val="24"/>
          <w:vertAlign w:val="subscript"/>
        </w:rPr>
        <w:t xml:space="preserve"> i, q</w:t>
      </w:r>
      <w:r w:rsidRPr="00162CAA">
        <w:rPr>
          <w:b/>
          <w:bCs/>
          <w:szCs w:val="24"/>
        </w:rPr>
        <w:t xml:space="preserve"> * OPLPAMTTOT</w:t>
      </w:r>
      <w:r w:rsidRPr="00162CAA">
        <w:rPr>
          <w:b/>
          <w:bCs/>
          <w:i/>
          <w:szCs w:val="24"/>
          <w:vertAlign w:val="subscript"/>
        </w:rPr>
        <w:t xml:space="preserve"> i</w:t>
      </w:r>
      <w:r w:rsidRPr="00162CAA">
        <w:rPr>
          <w:b/>
          <w:bCs/>
          <w:szCs w:val="24"/>
        </w:rPr>
        <w:t xml:space="preserve">), </w:t>
      </w:r>
      <w:r w:rsidRPr="00162CAA">
        <w:rPr>
          <w:b/>
          <w:bCs/>
          <w:szCs w:val="24"/>
        </w:rPr>
        <w:br/>
        <w:t xml:space="preserve">(((1/4) * LCAPSF </w:t>
      </w:r>
      <w:r w:rsidRPr="00162CAA">
        <w:rPr>
          <w:b/>
          <w:bCs/>
          <w:i/>
          <w:szCs w:val="24"/>
          <w:vertAlign w:val="subscript"/>
        </w:rPr>
        <w:t>i, q</w:t>
      </w:r>
      <w:r w:rsidRPr="00162CAA">
        <w:rPr>
          <w:b/>
          <w:bCs/>
          <w:szCs w:val="24"/>
        </w:rPr>
        <w:t>) * OPLPAMTTOT</w:t>
      </w:r>
      <w:r w:rsidRPr="00162CAA">
        <w:rPr>
          <w:b/>
          <w:bCs/>
          <w:i/>
          <w:szCs w:val="24"/>
          <w:vertAlign w:val="subscript"/>
        </w:rPr>
        <w:t xml:space="preserve"> i</w:t>
      </w:r>
      <w:r w:rsidRPr="00162CAA">
        <w:rPr>
          <w:b/>
          <w:bCs/>
          <w:szCs w:val="24"/>
        </w:rPr>
        <w:t xml:space="preserve"> / OPLCAPTOT</w:t>
      </w:r>
      <w:r w:rsidRPr="00162CAA">
        <w:rPr>
          <w:b/>
          <w:bCs/>
          <w:i/>
          <w:szCs w:val="24"/>
          <w:vertAlign w:val="subscript"/>
        </w:rPr>
        <w:t xml:space="preserve"> i</w:t>
      </w:r>
      <w:r w:rsidRPr="00162CAA">
        <w:rPr>
          <w:b/>
          <w:bCs/>
          <w:szCs w:val="24"/>
        </w:rPr>
        <w:t xml:space="preserve">)] </w:t>
      </w:r>
    </w:p>
    <w:p w14:paraId="3F6B720B" w14:textId="77777777" w:rsidR="00162CAA" w:rsidRPr="00162CAA" w:rsidRDefault="00162CAA" w:rsidP="00162CAA">
      <w:pPr>
        <w:spacing w:after="240"/>
        <w:ind w:left="720"/>
      </w:pPr>
      <w:r w:rsidRPr="00162CAA">
        <w:t>Where:</w:t>
      </w:r>
    </w:p>
    <w:p w14:paraId="1802DE39" w14:textId="77777777" w:rsidR="00162CAA" w:rsidRPr="00162CAA" w:rsidRDefault="00162CAA" w:rsidP="00162CAA">
      <w:pPr>
        <w:tabs>
          <w:tab w:val="left" w:pos="2340"/>
          <w:tab w:val="left" w:pos="3420"/>
        </w:tabs>
        <w:spacing w:after="240"/>
        <w:ind w:left="3420" w:hanging="2700"/>
        <w:rPr>
          <w:bCs/>
          <w:i/>
          <w:szCs w:val="24"/>
          <w:vertAlign w:val="subscript"/>
        </w:rPr>
      </w:pPr>
      <w:r w:rsidRPr="00162CAA">
        <w:rPr>
          <w:bCs/>
          <w:szCs w:val="24"/>
        </w:rPr>
        <w:t xml:space="preserve">OPLPAMTTOT </w:t>
      </w:r>
      <w:r w:rsidRPr="00162CAA">
        <w:rPr>
          <w:bCs/>
          <w:i/>
          <w:szCs w:val="24"/>
          <w:vertAlign w:val="subscript"/>
        </w:rPr>
        <w:t xml:space="preserve">i </w:t>
      </w:r>
      <w:r w:rsidRPr="00162CAA">
        <w:rPr>
          <w:bCs/>
          <w:szCs w:val="24"/>
        </w:rPr>
        <w:tab/>
        <w:t>=</w:t>
      </w:r>
      <w:r w:rsidRPr="00162CAA">
        <w:rPr>
          <w:bCs/>
          <w:szCs w:val="24"/>
        </w:rPr>
        <w:tab/>
      </w:r>
      <w:r w:rsidRPr="00162CAA">
        <w:rPr>
          <w:bCs/>
          <w:position w:val="-22"/>
          <w:szCs w:val="24"/>
        </w:rPr>
        <w:object w:dxaOrig="270" w:dyaOrig="585" w14:anchorId="6105BC61">
          <v:shape id="_x0000_i1447" type="#_x0000_t75" style="width:12pt;height:30pt" o:ole="">
            <v:imagedata r:id="rId550" o:title=""/>
          </v:shape>
          <o:OLEObject Type="Embed" ProgID="Equation.3" ShapeID="_x0000_i1447" DrawAspect="Content" ObjectID="_1815025635" r:id="rId551"/>
        </w:object>
      </w:r>
      <w:r w:rsidRPr="00162CAA">
        <w:rPr>
          <w:bCs/>
          <w:szCs w:val="24"/>
        </w:rPr>
        <w:t>OPLPAMTQSETOT</w:t>
      </w:r>
      <w:r w:rsidRPr="00162CAA">
        <w:rPr>
          <w:bCs/>
          <w:i/>
          <w:szCs w:val="24"/>
          <w:vertAlign w:val="subscript"/>
        </w:rPr>
        <w:t xml:space="preserve"> i, q</w:t>
      </w:r>
    </w:p>
    <w:p w14:paraId="4113FC76" w14:textId="77777777" w:rsidR="00162CAA" w:rsidRPr="00162CAA" w:rsidRDefault="00162CAA" w:rsidP="00162CAA">
      <w:pPr>
        <w:tabs>
          <w:tab w:val="left" w:pos="2340"/>
          <w:tab w:val="left" w:pos="3240"/>
          <w:tab w:val="left" w:pos="3420"/>
        </w:tabs>
        <w:spacing w:after="240"/>
        <w:ind w:left="3420" w:hanging="2700"/>
        <w:rPr>
          <w:bCs/>
          <w:szCs w:val="24"/>
        </w:rPr>
      </w:pPr>
      <w:r w:rsidRPr="00162CAA">
        <w:rPr>
          <w:bCs/>
          <w:szCs w:val="24"/>
        </w:rPr>
        <w:t xml:space="preserve">OPLCAPTOT </w:t>
      </w:r>
      <w:r w:rsidRPr="00162CAA">
        <w:rPr>
          <w:bCs/>
          <w:i/>
          <w:szCs w:val="24"/>
          <w:vertAlign w:val="subscript"/>
        </w:rPr>
        <w:t>i</w:t>
      </w:r>
      <w:r w:rsidRPr="00162CAA">
        <w:rPr>
          <w:bCs/>
          <w:szCs w:val="24"/>
        </w:rPr>
        <w:tab/>
        <w:t xml:space="preserve">    </w:t>
      </w:r>
      <w:r w:rsidRPr="00162CAA">
        <w:rPr>
          <w:bCs/>
          <w:szCs w:val="24"/>
        </w:rPr>
        <w:tab/>
      </w:r>
      <w:r w:rsidRPr="00162CAA">
        <w:rPr>
          <w:bCs/>
          <w:szCs w:val="24"/>
        </w:rPr>
        <w:tab/>
        <w:t>=</w:t>
      </w:r>
      <w:r w:rsidRPr="00162CAA">
        <w:rPr>
          <w:bCs/>
          <w:szCs w:val="24"/>
        </w:rPr>
        <w:tab/>
      </w:r>
      <w:r w:rsidRPr="00162CAA">
        <w:rPr>
          <w:bCs/>
          <w:position w:val="-22"/>
          <w:szCs w:val="24"/>
        </w:rPr>
        <w:object w:dxaOrig="270" w:dyaOrig="645" w14:anchorId="3418C75B">
          <v:shape id="_x0000_i1448" type="#_x0000_t75" style="width:12pt;height:30pt" o:ole="">
            <v:imagedata r:id="rId550" o:title=""/>
          </v:shape>
          <o:OLEObject Type="Embed" ProgID="Equation.3" ShapeID="_x0000_i1448" DrawAspect="Content" ObjectID="_1815025636" r:id="rId552"/>
        </w:object>
      </w:r>
      <w:r w:rsidRPr="00162CAA">
        <w:rPr>
          <w:bCs/>
          <w:position w:val="-18"/>
          <w:szCs w:val="24"/>
        </w:rPr>
        <w:object w:dxaOrig="270" w:dyaOrig="585" w14:anchorId="35A4BA09">
          <v:shape id="_x0000_i1449" type="#_x0000_t75" style="width:12pt;height:30pt" o:ole="">
            <v:imagedata r:id="rId553" o:title=""/>
          </v:shape>
          <o:OLEObject Type="Embed" ProgID="Equation.3" ShapeID="_x0000_i1449" DrawAspect="Content" ObjectID="_1815025637" r:id="rId554"/>
        </w:object>
      </w:r>
      <w:r w:rsidRPr="00162CAA">
        <w:rPr>
          <w:bCs/>
          <w:szCs w:val="24"/>
        </w:rPr>
        <w:t xml:space="preserve">RTMG </w:t>
      </w:r>
      <w:r w:rsidRPr="00162CAA">
        <w:rPr>
          <w:bCs/>
          <w:i/>
          <w:szCs w:val="24"/>
          <w:vertAlign w:val="subscript"/>
        </w:rPr>
        <w:t>q, r, i</w:t>
      </w:r>
    </w:p>
    <w:p w14:paraId="36C906D8" w14:textId="77777777" w:rsidR="00162CAA" w:rsidRPr="00162CAA" w:rsidRDefault="00162CAA" w:rsidP="00162CAA">
      <w:pPr>
        <w:rPr>
          <w:szCs w:val="24"/>
        </w:rPr>
      </w:pPr>
      <w:r w:rsidRPr="00162CAA">
        <w:rPr>
          <w:szCs w:val="24"/>
        </w:rPr>
        <w:t>The above variables are defined as follows:</w:t>
      </w:r>
    </w:p>
    <w:tbl>
      <w:tblPr>
        <w:tblW w:w="5002" w:type="pct"/>
        <w:tblInd w:w="-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668"/>
        <w:gridCol w:w="683"/>
        <w:gridCol w:w="6003"/>
      </w:tblGrid>
      <w:tr w:rsidR="00162CAA" w:rsidRPr="00162CAA" w14:paraId="60B76634" w14:textId="77777777" w:rsidTr="00764A29">
        <w:trPr>
          <w:tblHeader/>
        </w:trPr>
        <w:tc>
          <w:tcPr>
            <w:tcW w:w="1426" w:type="pct"/>
            <w:tcBorders>
              <w:top w:val="single" w:sz="4" w:space="0" w:color="auto"/>
              <w:left w:val="single" w:sz="4" w:space="0" w:color="auto"/>
              <w:bottom w:val="single" w:sz="6" w:space="0" w:color="auto"/>
              <w:right w:val="single" w:sz="6" w:space="0" w:color="auto"/>
            </w:tcBorders>
            <w:hideMark/>
          </w:tcPr>
          <w:p w14:paraId="59186D5A" w14:textId="77777777" w:rsidR="00162CAA" w:rsidRPr="00162CAA" w:rsidRDefault="00162CAA" w:rsidP="00162CAA">
            <w:pPr>
              <w:spacing w:after="240"/>
              <w:rPr>
                <w:b/>
                <w:iCs/>
                <w:sz w:val="20"/>
              </w:rPr>
            </w:pPr>
            <w:r w:rsidRPr="00162CAA">
              <w:rPr>
                <w:b/>
                <w:iCs/>
                <w:sz w:val="20"/>
              </w:rPr>
              <w:t>Variable</w:t>
            </w:r>
          </w:p>
        </w:tc>
        <w:tc>
          <w:tcPr>
            <w:tcW w:w="365" w:type="pct"/>
            <w:tcBorders>
              <w:top w:val="single" w:sz="4" w:space="0" w:color="auto"/>
              <w:left w:val="single" w:sz="6" w:space="0" w:color="auto"/>
              <w:bottom w:val="single" w:sz="6" w:space="0" w:color="auto"/>
              <w:right w:val="single" w:sz="6" w:space="0" w:color="auto"/>
            </w:tcBorders>
            <w:hideMark/>
          </w:tcPr>
          <w:p w14:paraId="1927EA38" w14:textId="77777777" w:rsidR="00162CAA" w:rsidRPr="00162CAA" w:rsidRDefault="00162CAA" w:rsidP="00162CAA">
            <w:pPr>
              <w:spacing w:after="240"/>
              <w:jc w:val="center"/>
              <w:rPr>
                <w:b/>
                <w:iCs/>
                <w:sz w:val="20"/>
              </w:rPr>
            </w:pPr>
            <w:r w:rsidRPr="00162CAA">
              <w:rPr>
                <w:b/>
                <w:iCs/>
                <w:sz w:val="20"/>
              </w:rPr>
              <w:t>Unit</w:t>
            </w:r>
          </w:p>
        </w:tc>
        <w:tc>
          <w:tcPr>
            <w:tcW w:w="3209" w:type="pct"/>
            <w:tcBorders>
              <w:top w:val="single" w:sz="4" w:space="0" w:color="auto"/>
              <w:left w:val="single" w:sz="6" w:space="0" w:color="auto"/>
              <w:bottom w:val="single" w:sz="6" w:space="0" w:color="auto"/>
              <w:right w:val="single" w:sz="4" w:space="0" w:color="auto"/>
            </w:tcBorders>
            <w:hideMark/>
          </w:tcPr>
          <w:p w14:paraId="2B5115A0" w14:textId="77777777" w:rsidR="00162CAA" w:rsidRPr="00162CAA" w:rsidRDefault="00162CAA" w:rsidP="00162CAA">
            <w:pPr>
              <w:spacing w:after="240"/>
              <w:rPr>
                <w:b/>
                <w:iCs/>
                <w:sz w:val="20"/>
              </w:rPr>
            </w:pPr>
            <w:r w:rsidRPr="00162CAA">
              <w:rPr>
                <w:b/>
                <w:iCs/>
                <w:sz w:val="20"/>
              </w:rPr>
              <w:t>Definition</w:t>
            </w:r>
          </w:p>
        </w:tc>
      </w:tr>
      <w:tr w:rsidR="00162CAA" w:rsidRPr="00162CAA" w14:paraId="0EC471BC" w14:textId="77777777" w:rsidTr="00764A29">
        <w:tc>
          <w:tcPr>
            <w:tcW w:w="1426" w:type="pct"/>
            <w:tcBorders>
              <w:top w:val="single" w:sz="6" w:space="0" w:color="auto"/>
              <w:left w:val="single" w:sz="4" w:space="0" w:color="auto"/>
              <w:bottom w:val="single" w:sz="6" w:space="0" w:color="auto"/>
              <w:right w:val="single" w:sz="6" w:space="0" w:color="auto"/>
            </w:tcBorders>
            <w:hideMark/>
          </w:tcPr>
          <w:p w14:paraId="76D8B2E0" w14:textId="77777777" w:rsidR="00162CAA" w:rsidRPr="00162CAA" w:rsidRDefault="00162CAA" w:rsidP="00162CAA">
            <w:pPr>
              <w:spacing w:after="60"/>
              <w:rPr>
                <w:iCs/>
                <w:sz w:val="20"/>
              </w:rPr>
            </w:pPr>
            <w:r w:rsidRPr="00162CAA">
              <w:rPr>
                <w:iCs/>
                <w:sz w:val="20"/>
              </w:rPr>
              <w:t xml:space="preserve">LCAPCSAMT </w:t>
            </w:r>
            <w:r w:rsidRPr="00162CAA">
              <w:rPr>
                <w:i/>
                <w:iCs/>
                <w:sz w:val="20"/>
                <w:vertAlign w:val="subscript"/>
              </w:rPr>
              <w:t xml:space="preserve"> i, q</w:t>
            </w:r>
          </w:p>
        </w:tc>
        <w:tc>
          <w:tcPr>
            <w:tcW w:w="365" w:type="pct"/>
            <w:tcBorders>
              <w:top w:val="single" w:sz="6" w:space="0" w:color="auto"/>
              <w:left w:val="single" w:sz="6" w:space="0" w:color="auto"/>
              <w:bottom w:val="single" w:sz="6" w:space="0" w:color="auto"/>
              <w:right w:val="single" w:sz="6" w:space="0" w:color="auto"/>
            </w:tcBorders>
            <w:hideMark/>
          </w:tcPr>
          <w:p w14:paraId="72534158" w14:textId="77777777" w:rsidR="00162CAA" w:rsidRPr="00162CAA" w:rsidRDefault="00162CAA" w:rsidP="00162CAA">
            <w:pPr>
              <w:spacing w:after="60"/>
              <w:jc w:val="center"/>
              <w:rPr>
                <w:iCs/>
                <w:sz w:val="20"/>
              </w:rPr>
            </w:pPr>
            <w:r w:rsidRPr="00162CAA">
              <w:rPr>
                <w:iCs/>
                <w:sz w:val="20"/>
              </w:rPr>
              <w:t>$</w:t>
            </w:r>
          </w:p>
        </w:tc>
        <w:tc>
          <w:tcPr>
            <w:tcW w:w="3209" w:type="pct"/>
            <w:tcBorders>
              <w:top w:val="single" w:sz="6" w:space="0" w:color="auto"/>
              <w:left w:val="single" w:sz="6" w:space="0" w:color="auto"/>
              <w:bottom w:val="single" w:sz="6" w:space="0" w:color="auto"/>
              <w:right w:val="single" w:sz="4" w:space="0" w:color="auto"/>
            </w:tcBorders>
            <w:hideMark/>
          </w:tcPr>
          <w:p w14:paraId="7EFEC47A" w14:textId="77777777" w:rsidR="00162CAA" w:rsidRPr="00162CAA" w:rsidRDefault="00162CAA" w:rsidP="00162CAA">
            <w:pPr>
              <w:spacing w:after="60"/>
              <w:rPr>
                <w:iCs/>
                <w:sz w:val="20"/>
              </w:rPr>
            </w:pPr>
            <w:r w:rsidRPr="00162CAA">
              <w:rPr>
                <w:i/>
                <w:iCs/>
                <w:sz w:val="20"/>
              </w:rPr>
              <w:t>LCAP Capacity-Short Amount</w:t>
            </w:r>
            <w:r w:rsidRPr="00162CAA">
              <w:rPr>
                <w:iCs/>
                <w:sz w:val="20"/>
              </w:rPr>
              <w:t xml:space="preserve">—The charge to a QSE </w:t>
            </w:r>
            <w:r w:rsidRPr="00162CAA">
              <w:rPr>
                <w:i/>
                <w:iCs/>
                <w:sz w:val="20"/>
              </w:rPr>
              <w:t>q</w:t>
            </w:r>
            <w:r w:rsidRPr="00162CAA">
              <w:rPr>
                <w:iCs/>
                <w:sz w:val="20"/>
              </w:rPr>
              <w:t>, due to capacity shortfall for an LCAP</w:t>
            </w:r>
            <w:r w:rsidRPr="00162CAA">
              <w:rPr>
                <w:i/>
                <w:iCs/>
                <w:sz w:val="20"/>
              </w:rPr>
              <w:t xml:space="preserve"> </w:t>
            </w:r>
            <w:r w:rsidRPr="00162CAA">
              <w:rPr>
                <w:iCs/>
                <w:sz w:val="20"/>
              </w:rPr>
              <w:t>Effective</w:t>
            </w:r>
            <w:r w:rsidRPr="00162CAA">
              <w:rPr>
                <w:i/>
                <w:iCs/>
                <w:sz w:val="20"/>
              </w:rPr>
              <w:t xml:space="preserve"> </w:t>
            </w:r>
            <w:r w:rsidRPr="00162CAA">
              <w:rPr>
                <w:iCs/>
                <w:sz w:val="20"/>
              </w:rPr>
              <w:t>Period, for the 15-minute Settlement Interval</w:t>
            </w:r>
            <w:r w:rsidRPr="00162CAA">
              <w:rPr>
                <w:i/>
                <w:iCs/>
                <w:sz w:val="20"/>
              </w:rPr>
              <w:t xml:space="preserve"> i</w:t>
            </w:r>
            <w:r w:rsidRPr="00162CAA">
              <w:rPr>
                <w:iCs/>
                <w:sz w:val="20"/>
              </w:rPr>
              <w:t>.</w:t>
            </w:r>
          </w:p>
        </w:tc>
      </w:tr>
      <w:tr w:rsidR="00162CAA" w:rsidRPr="00162CAA" w14:paraId="696B0D3D" w14:textId="77777777" w:rsidTr="00764A29">
        <w:trPr>
          <w:cantSplit/>
        </w:trPr>
        <w:tc>
          <w:tcPr>
            <w:tcW w:w="1426" w:type="pct"/>
            <w:tcBorders>
              <w:top w:val="single" w:sz="4" w:space="0" w:color="auto"/>
              <w:left w:val="single" w:sz="4" w:space="0" w:color="auto"/>
              <w:bottom w:val="single" w:sz="4" w:space="0" w:color="auto"/>
              <w:right w:val="single" w:sz="4" w:space="0" w:color="auto"/>
            </w:tcBorders>
            <w:hideMark/>
          </w:tcPr>
          <w:p w14:paraId="214C050D" w14:textId="77777777" w:rsidR="00162CAA" w:rsidRPr="00162CAA" w:rsidRDefault="00162CAA" w:rsidP="00162CAA">
            <w:pPr>
              <w:spacing w:after="60"/>
              <w:rPr>
                <w:iCs/>
                <w:sz w:val="20"/>
                <w:szCs w:val="24"/>
              </w:rPr>
            </w:pPr>
            <w:r w:rsidRPr="00162CAA">
              <w:rPr>
                <w:iCs/>
                <w:sz w:val="20"/>
                <w:szCs w:val="24"/>
              </w:rPr>
              <w:t>OPLPAMTQSETOT</w:t>
            </w:r>
            <w:r w:rsidRPr="00162CAA">
              <w:rPr>
                <w:b/>
                <w:iCs/>
                <w:sz w:val="20"/>
                <w:szCs w:val="24"/>
              </w:rPr>
              <w:t xml:space="preserve"> </w:t>
            </w:r>
            <w:r w:rsidRPr="00162CAA">
              <w:rPr>
                <w:i/>
                <w:iCs/>
                <w:sz w:val="20"/>
                <w:szCs w:val="24"/>
                <w:vertAlign w:val="subscript"/>
              </w:rPr>
              <w:t>i, q</w:t>
            </w:r>
            <w:r w:rsidRPr="00162CAA">
              <w:rPr>
                <w:iCs/>
                <w:sz w:val="20"/>
                <w:szCs w:val="24"/>
              </w:rPr>
              <w:t xml:space="preserve"> </w:t>
            </w:r>
          </w:p>
        </w:tc>
        <w:tc>
          <w:tcPr>
            <w:tcW w:w="365" w:type="pct"/>
            <w:tcBorders>
              <w:top w:val="single" w:sz="4" w:space="0" w:color="auto"/>
              <w:left w:val="single" w:sz="4" w:space="0" w:color="auto"/>
              <w:bottom w:val="single" w:sz="4" w:space="0" w:color="auto"/>
              <w:right w:val="single" w:sz="4" w:space="0" w:color="auto"/>
            </w:tcBorders>
            <w:hideMark/>
          </w:tcPr>
          <w:p w14:paraId="7C6A8FB2" w14:textId="77777777" w:rsidR="00162CAA" w:rsidRPr="00162CAA" w:rsidRDefault="00162CAA" w:rsidP="00162CAA">
            <w:pPr>
              <w:spacing w:after="60"/>
              <w:jc w:val="center"/>
              <w:rPr>
                <w:iCs/>
                <w:sz w:val="20"/>
                <w:szCs w:val="24"/>
              </w:rPr>
            </w:pPr>
            <w:r w:rsidRPr="00162CAA">
              <w:rPr>
                <w:iCs/>
                <w:sz w:val="20"/>
                <w:szCs w:val="24"/>
              </w:rPr>
              <w:t>$</w:t>
            </w:r>
          </w:p>
        </w:tc>
        <w:tc>
          <w:tcPr>
            <w:tcW w:w="3209" w:type="pct"/>
            <w:tcBorders>
              <w:top w:val="single" w:sz="4" w:space="0" w:color="auto"/>
              <w:left w:val="single" w:sz="4" w:space="0" w:color="auto"/>
              <w:bottom w:val="single" w:sz="4" w:space="0" w:color="auto"/>
              <w:right w:val="single" w:sz="4" w:space="0" w:color="auto"/>
            </w:tcBorders>
            <w:hideMark/>
          </w:tcPr>
          <w:p w14:paraId="1F17A6E9" w14:textId="77777777" w:rsidR="00162CAA" w:rsidRPr="00162CAA" w:rsidRDefault="00162CAA" w:rsidP="00162CAA">
            <w:pPr>
              <w:spacing w:after="60"/>
              <w:rPr>
                <w:iCs/>
                <w:sz w:val="20"/>
                <w:szCs w:val="24"/>
              </w:rPr>
            </w:pPr>
            <w:r w:rsidRPr="00162CAA">
              <w:rPr>
                <w:i/>
                <w:iCs/>
                <w:sz w:val="20"/>
                <w:szCs w:val="24"/>
              </w:rPr>
              <w:t xml:space="preserve">Total Operating Losses Payment Amount per QSE – </w:t>
            </w:r>
            <w:r w:rsidRPr="00162CAA">
              <w:rPr>
                <w:iCs/>
                <w:sz w:val="20"/>
                <w:szCs w:val="24"/>
              </w:rPr>
              <w:t xml:space="preserve">The total operating losses payment to the QSE </w:t>
            </w:r>
            <w:r w:rsidRPr="00162CAA">
              <w:rPr>
                <w:i/>
                <w:iCs/>
                <w:sz w:val="20"/>
                <w:szCs w:val="24"/>
              </w:rPr>
              <w:t>q</w:t>
            </w:r>
            <w:r w:rsidRPr="00162CAA">
              <w:rPr>
                <w:iCs/>
                <w:sz w:val="20"/>
                <w:szCs w:val="24"/>
              </w:rPr>
              <w:t xml:space="preserve">, for all Resources, for the 15-minute settlement interval </w:t>
            </w:r>
            <w:r w:rsidRPr="00162CAA">
              <w:rPr>
                <w:i/>
                <w:sz w:val="20"/>
              </w:rPr>
              <w:t xml:space="preserve">i </w:t>
            </w:r>
            <w:r w:rsidRPr="00162CAA">
              <w:rPr>
                <w:sz w:val="20"/>
              </w:rPr>
              <w:t>within the Operating Day.</w:t>
            </w:r>
            <w:r w:rsidRPr="00162CAA">
              <w:rPr>
                <w:iCs/>
                <w:sz w:val="20"/>
                <w:szCs w:val="24"/>
              </w:rPr>
              <w:t xml:space="preserve"> </w:t>
            </w:r>
            <w:r w:rsidRPr="00162CAA">
              <w:rPr>
                <w:iCs/>
                <w:sz w:val="20"/>
              </w:rPr>
              <w:t xml:space="preserve"> </w:t>
            </w:r>
          </w:p>
        </w:tc>
      </w:tr>
      <w:tr w:rsidR="00162CAA" w:rsidRPr="00162CAA" w14:paraId="22B3661B" w14:textId="77777777" w:rsidTr="00764A29">
        <w:tc>
          <w:tcPr>
            <w:tcW w:w="1426" w:type="pct"/>
            <w:tcBorders>
              <w:top w:val="single" w:sz="6" w:space="0" w:color="auto"/>
              <w:left w:val="single" w:sz="4" w:space="0" w:color="auto"/>
              <w:bottom w:val="single" w:sz="6" w:space="0" w:color="auto"/>
              <w:right w:val="single" w:sz="6" w:space="0" w:color="auto"/>
            </w:tcBorders>
            <w:hideMark/>
          </w:tcPr>
          <w:p w14:paraId="4AE7B9C5" w14:textId="77777777" w:rsidR="00162CAA" w:rsidRPr="00162CAA" w:rsidRDefault="00162CAA" w:rsidP="00162CAA">
            <w:pPr>
              <w:spacing w:after="60"/>
              <w:rPr>
                <w:iCs/>
                <w:sz w:val="20"/>
              </w:rPr>
            </w:pPr>
            <w:r w:rsidRPr="00162CAA">
              <w:rPr>
                <w:iCs/>
                <w:sz w:val="20"/>
              </w:rPr>
              <w:t xml:space="preserve">OPLPAMTTOT </w:t>
            </w:r>
            <w:r w:rsidRPr="00162CAA">
              <w:rPr>
                <w:i/>
                <w:iCs/>
                <w:sz w:val="20"/>
                <w:vertAlign w:val="subscript"/>
              </w:rPr>
              <w:t>i</w:t>
            </w:r>
          </w:p>
        </w:tc>
        <w:tc>
          <w:tcPr>
            <w:tcW w:w="365" w:type="pct"/>
            <w:tcBorders>
              <w:top w:val="single" w:sz="6" w:space="0" w:color="auto"/>
              <w:left w:val="single" w:sz="6" w:space="0" w:color="auto"/>
              <w:bottom w:val="single" w:sz="6" w:space="0" w:color="auto"/>
              <w:right w:val="single" w:sz="6" w:space="0" w:color="auto"/>
            </w:tcBorders>
            <w:hideMark/>
          </w:tcPr>
          <w:p w14:paraId="36CEA7E3" w14:textId="77777777" w:rsidR="00162CAA" w:rsidRPr="00162CAA" w:rsidRDefault="00162CAA" w:rsidP="00162CAA">
            <w:pPr>
              <w:spacing w:after="60"/>
              <w:jc w:val="center"/>
              <w:rPr>
                <w:iCs/>
                <w:sz w:val="20"/>
              </w:rPr>
            </w:pPr>
            <w:r w:rsidRPr="00162CAA">
              <w:rPr>
                <w:iCs/>
                <w:sz w:val="20"/>
              </w:rPr>
              <w:t>$</w:t>
            </w:r>
          </w:p>
        </w:tc>
        <w:tc>
          <w:tcPr>
            <w:tcW w:w="3209" w:type="pct"/>
            <w:tcBorders>
              <w:top w:val="single" w:sz="6" w:space="0" w:color="auto"/>
              <w:left w:val="single" w:sz="6" w:space="0" w:color="auto"/>
              <w:bottom w:val="single" w:sz="6" w:space="0" w:color="auto"/>
              <w:right w:val="single" w:sz="4" w:space="0" w:color="auto"/>
            </w:tcBorders>
            <w:hideMark/>
          </w:tcPr>
          <w:p w14:paraId="310B89D4" w14:textId="77777777" w:rsidR="00162CAA" w:rsidRPr="00162CAA" w:rsidRDefault="00162CAA" w:rsidP="00162CAA">
            <w:pPr>
              <w:spacing w:after="60"/>
              <w:rPr>
                <w:iCs/>
                <w:sz w:val="20"/>
              </w:rPr>
            </w:pPr>
            <w:r w:rsidRPr="00162CAA">
              <w:rPr>
                <w:i/>
                <w:sz w:val="20"/>
              </w:rPr>
              <w:t xml:space="preserve">Total Operating Losses Payment Amount – </w:t>
            </w:r>
            <w:r w:rsidRPr="00162CAA">
              <w:rPr>
                <w:iCs/>
                <w:sz w:val="20"/>
              </w:rPr>
              <w:t>The sum of Operating Losses Payments to all QSEs, for the 15-minute Settlement Interval</w:t>
            </w:r>
            <w:r w:rsidRPr="00162CAA">
              <w:rPr>
                <w:i/>
                <w:iCs/>
                <w:sz w:val="20"/>
              </w:rPr>
              <w:t xml:space="preserve"> i</w:t>
            </w:r>
            <w:r w:rsidRPr="00162CAA">
              <w:rPr>
                <w:iCs/>
                <w:sz w:val="20"/>
              </w:rPr>
              <w:t>.</w:t>
            </w:r>
          </w:p>
        </w:tc>
      </w:tr>
      <w:tr w:rsidR="00245978" w:rsidRPr="00162CAA" w14:paraId="59AF2E8F" w14:textId="77777777" w:rsidTr="00764A29">
        <w:tc>
          <w:tcPr>
            <w:tcW w:w="1426" w:type="pct"/>
            <w:tcBorders>
              <w:top w:val="single" w:sz="6" w:space="0" w:color="auto"/>
              <w:left w:val="single" w:sz="4" w:space="0" w:color="auto"/>
              <w:bottom w:val="single" w:sz="6" w:space="0" w:color="auto"/>
              <w:right w:val="single" w:sz="6" w:space="0" w:color="auto"/>
            </w:tcBorders>
          </w:tcPr>
          <w:p w14:paraId="5760D659" w14:textId="6C29B9F6" w:rsidR="00245978" w:rsidRPr="00162CAA" w:rsidRDefault="00245978" w:rsidP="00245978">
            <w:pPr>
              <w:spacing w:after="60"/>
              <w:rPr>
                <w:iCs/>
                <w:sz w:val="20"/>
              </w:rPr>
            </w:pPr>
            <w:r w:rsidRPr="00162CAA">
              <w:rPr>
                <w:iCs/>
                <w:sz w:val="20"/>
              </w:rPr>
              <w:t xml:space="preserve">LCAPSFRS </w:t>
            </w:r>
            <w:r w:rsidRPr="00162CAA">
              <w:rPr>
                <w:i/>
                <w:iCs/>
                <w:sz w:val="20"/>
                <w:vertAlign w:val="subscript"/>
              </w:rPr>
              <w:t>i, q</w:t>
            </w:r>
          </w:p>
        </w:tc>
        <w:tc>
          <w:tcPr>
            <w:tcW w:w="365" w:type="pct"/>
            <w:tcBorders>
              <w:top w:val="single" w:sz="6" w:space="0" w:color="auto"/>
              <w:left w:val="single" w:sz="6" w:space="0" w:color="auto"/>
              <w:bottom w:val="single" w:sz="6" w:space="0" w:color="auto"/>
              <w:right w:val="single" w:sz="6" w:space="0" w:color="auto"/>
            </w:tcBorders>
          </w:tcPr>
          <w:p w14:paraId="390C0B8B" w14:textId="17CFF55A"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6" w:space="0" w:color="auto"/>
              <w:right w:val="single" w:sz="4" w:space="0" w:color="auto"/>
            </w:tcBorders>
          </w:tcPr>
          <w:p w14:paraId="1E23ACF6" w14:textId="20042F3A" w:rsidR="00245978" w:rsidRPr="00162CAA" w:rsidRDefault="00245978" w:rsidP="00245978">
            <w:pPr>
              <w:spacing w:after="60"/>
              <w:rPr>
                <w:iCs/>
                <w:sz w:val="20"/>
              </w:rPr>
            </w:pPr>
            <w:r w:rsidRPr="00162CAA">
              <w:rPr>
                <w:i/>
                <w:iCs/>
                <w:sz w:val="20"/>
              </w:rPr>
              <w:t>LCAP Effective Period Shortfall Ratio Share</w:t>
            </w:r>
            <w:r w:rsidRPr="00162CAA">
              <w:rPr>
                <w:iCs/>
                <w:sz w:val="20"/>
              </w:rPr>
              <w:t>—The ratio of the QSE</w:t>
            </w:r>
            <w:r w:rsidRPr="00162CAA">
              <w:rPr>
                <w:i/>
                <w:iCs/>
                <w:sz w:val="20"/>
              </w:rPr>
              <w:t xml:space="preserve"> q</w:t>
            </w:r>
            <w:r w:rsidRPr="00162CAA">
              <w:rPr>
                <w:iCs/>
                <w:sz w:val="20"/>
              </w:rPr>
              <w:t>’s capacity shortfall to the sum of all QSEs’ capacity shortfalls for an LCAP Effective Period for the 15-minute Settlement Interval</w:t>
            </w:r>
            <w:r w:rsidRPr="00162CAA">
              <w:rPr>
                <w:i/>
                <w:iCs/>
                <w:sz w:val="20"/>
              </w:rPr>
              <w:t xml:space="preserve"> i</w:t>
            </w:r>
            <w:r w:rsidRPr="00162CAA">
              <w:rPr>
                <w:iCs/>
                <w:sz w:val="20"/>
              </w:rPr>
              <w:t>.  See Section 6.8.3.1.1, Capacity Shortfall Ratio Share for an LCAP Effective Period.</w:t>
            </w:r>
          </w:p>
        </w:tc>
      </w:tr>
      <w:tr w:rsidR="00245978" w:rsidRPr="00162CAA" w14:paraId="34234717" w14:textId="77777777" w:rsidTr="00764A29">
        <w:tc>
          <w:tcPr>
            <w:tcW w:w="1426" w:type="pct"/>
            <w:tcBorders>
              <w:top w:val="single" w:sz="6" w:space="0" w:color="auto"/>
              <w:left w:val="single" w:sz="4" w:space="0" w:color="auto"/>
              <w:bottom w:val="single" w:sz="6" w:space="0" w:color="auto"/>
              <w:right w:val="single" w:sz="6" w:space="0" w:color="auto"/>
            </w:tcBorders>
          </w:tcPr>
          <w:p w14:paraId="309A11F2" w14:textId="5B947A04" w:rsidR="00245978" w:rsidRPr="00162CAA" w:rsidRDefault="00245978" w:rsidP="00245978">
            <w:pPr>
              <w:spacing w:after="60"/>
              <w:rPr>
                <w:iCs/>
                <w:sz w:val="20"/>
              </w:rPr>
            </w:pPr>
            <w:r w:rsidRPr="00162CAA">
              <w:rPr>
                <w:iCs/>
                <w:sz w:val="20"/>
              </w:rPr>
              <w:t xml:space="preserve">LCAPSF </w:t>
            </w:r>
            <w:r w:rsidRPr="00162CAA">
              <w:rPr>
                <w:i/>
                <w:iCs/>
                <w:sz w:val="20"/>
                <w:vertAlign w:val="subscript"/>
              </w:rPr>
              <w:t xml:space="preserve"> i, q</w:t>
            </w:r>
          </w:p>
        </w:tc>
        <w:tc>
          <w:tcPr>
            <w:tcW w:w="365" w:type="pct"/>
            <w:tcBorders>
              <w:top w:val="single" w:sz="6" w:space="0" w:color="auto"/>
              <w:left w:val="single" w:sz="6" w:space="0" w:color="auto"/>
              <w:bottom w:val="single" w:sz="6" w:space="0" w:color="auto"/>
              <w:right w:val="single" w:sz="6" w:space="0" w:color="auto"/>
            </w:tcBorders>
          </w:tcPr>
          <w:p w14:paraId="21AF3D45" w14:textId="6A19E343" w:rsidR="00245978" w:rsidRPr="00162CAA" w:rsidRDefault="00245978" w:rsidP="00245978">
            <w:pPr>
              <w:spacing w:after="60"/>
              <w:jc w:val="center"/>
              <w:rPr>
                <w:iCs/>
                <w:sz w:val="20"/>
              </w:rPr>
            </w:pPr>
            <w:r w:rsidRPr="00162CAA">
              <w:rPr>
                <w:iCs/>
                <w:sz w:val="20"/>
              </w:rPr>
              <w:t>MW</w:t>
            </w:r>
          </w:p>
        </w:tc>
        <w:tc>
          <w:tcPr>
            <w:tcW w:w="3209" w:type="pct"/>
            <w:tcBorders>
              <w:top w:val="single" w:sz="6" w:space="0" w:color="auto"/>
              <w:left w:val="single" w:sz="6" w:space="0" w:color="auto"/>
              <w:bottom w:val="single" w:sz="6" w:space="0" w:color="auto"/>
              <w:right w:val="single" w:sz="4" w:space="0" w:color="auto"/>
            </w:tcBorders>
          </w:tcPr>
          <w:p w14:paraId="5ACE3710" w14:textId="7E306C2F" w:rsidR="00245978" w:rsidRPr="00162CAA" w:rsidRDefault="00245978" w:rsidP="00245978">
            <w:pPr>
              <w:spacing w:after="60"/>
              <w:rPr>
                <w:iCs/>
                <w:sz w:val="20"/>
              </w:rPr>
            </w:pPr>
            <w:r w:rsidRPr="00162CAA">
              <w:rPr>
                <w:i/>
                <w:iCs/>
                <w:sz w:val="20"/>
              </w:rPr>
              <w:t>LCAP Shortfall</w:t>
            </w:r>
            <w:r w:rsidRPr="00162CAA">
              <w:rPr>
                <w:iCs/>
                <w:sz w:val="20"/>
              </w:rPr>
              <w:t>—The QSE</w:t>
            </w:r>
            <w:r w:rsidRPr="00162CAA">
              <w:rPr>
                <w:i/>
                <w:iCs/>
                <w:sz w:val="20"/>
              </w:rPr>
              <w:t xml:space="preserve"> q</w:t>
            </w:r>
            <w:r w:rsidRPr="00162CAA">
              <w:rPr>
                <w:iCs/>
                <w:sz w:val="20"/>
              </w:rPr>
              <w:t>’s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 xml:space="preserve">.  See formula in </w:t>
            </w:r>
            <w:r>
              <w:rPr>
                <w:iCs/>
                <w:sz w:val="20"/>
              </w:rPr>
              <w:t xml:space="preserve">Section </w:t>
            </w:r>
            <w:r w:rsidRPr="00162CAA">
              <w:rPr>
                <w:iCs/>
                <w:sz w:val="20"/>
              </w:rPr>
              <w:t>6.8.3.1.1.</w:t>
            </w:r>
          </w:p>
        </w:tc>
      </w:tr>
      <w:tr w:rsidR="00245978" w:rsidRPr="00162CAA" w14:paraId="7A5C094A" w14:textId="77777777" w:rsidTr="00764A29">
        <w:tc>
          <w:tcPr>
            <w:tcW w:w="1426" w:type="pct"/>
            <w:tcBorders>
              <w:top w:val="single" w:sz="6" w:space="0" w:color="auto"/>
              <w:left w:val="single" w:sz="4" w:space="0" w:color="auto"/>
              <w:bottom w:val="single" w:sz="6" w:space="0" w:color="auto"/>
              <w:right w:val="single" w:sz="6" w:space="0" w:color="auto"/>
            </w:tcBorders>
          </w:tcPr>
          <w:p w14:paraId="486B14DF" w14:textId="22B34807" w:rsidR="00245978" w:rsidRPr="00162CAA" w:rsidRDefault="00245978" w:rsidP="00245978">
            <w:pPr>
              <w:spacing w:after="60"/>
              <w:rPr>
                <w:iCs/>
                <w:sz w:val="20"/>
              </w:rPr>
            </w:pPr>
            <w:r w:rsidRPr="00162CAA">
              <w:rPr>
                <w:iCs/>
                <w:sz w:val="20"/>
              </w:rPr>
              <w:t xml:space="preserve">OPLCAPTOT </w:t>
            </w:r>
            <w:r w:rsidRPr="00162CAA">
              <w:rPr>
                <w:i/>
                <w:iCs/>
                <w:sz w:val="20"/>
                <w:vertAlign w:val="subscript"/>
              </w:rPr>
              <w:t>i</w:t>
            </w:r>
          </w:p>
        </w:tc>
        <w:tc>
          <w:tcPr>
            <w:tcW w:w="365" w:type="pct"/>
            <w:tcBorders>
              <w:top w:val="single" w:sz="6" w:space="0" w:color="auto"/>
              <w:left w:val="single" w:sz="6" w:space="0" w:color="auto"/>
              <w:bottom w:val="single" w:sz="6" w:space="0" w:color="auto"/>
              <w:right w:val="single" w:sz="6" w:space="0" w:color="auto"/>
            </w:tcBorders>
          </w:tcPr>
          <w:p w14:paraId="4F0C8ED8" w14:textId="52DEFF3F" w:rsidR="00245978" w:rsidRPr="00162CAA" w:rsidRDefault="00245978" w:rsidP="00245978">
            <w:pPr>
              <w:spacing w:after="60"/>
              <w:jc w:val="center"/>
              <w:rPr>
                <w:iCs/>
                <w:sz w:val="20"/>
              </w:rPr>
            </w:pPr>
            <w:r w:rsidRPr="00162CAA">
              <w:rPr>
                <w:iCs/>
                <w:sz w:val="20"/>
              </w:rPr>
              <w:t>MWh</w:t>
            </w:r>
          </w:p>
        </w:tc>
        <w:tc>
          <w:tcPr>
            <w:tcW w:w="3209" w:type="pct"/>
            <w:tcBorders>
              <w:top w:val="single" w:sz="6" w:space="0" w:color="auto"/>
              <w:left w:val="single" w:sz="6" w:space="0" w:color="auto"/>
              <w:bottom w:val="single" w:sz="6" w:space="0" w:color="auto"/>
              <w:right w:val="single" w:sz="4" w:space="0" w:color="auto"/>
            </w:tcBorders>
          </w:tcPr>
          <w:p w14:paraId="2FD0DA86" w14:textId="4FF2F166" w:rsidR="00245978" w:rsidRPr="00162CAA" w:rsidRDefault="00245978" w:rsidP="00245978">
            <w:pPr>
              <w:spacing w:after="60"/>
              <w:rPr>
                <w:iCs/>
                <w:sz w:val="20"/>
              </w:rPr>
            </w:pPr>
            <w:r w:rsidRPr="00162CAA">
              <w:rPr>
                <w:i/>
                <w:iCs/>
                <w:sz w:val="20"/>
              </w:rPr>
              <w:t>Operating Loss Capacity Total</w:t>
            </w:r>
            <w:r w:rsidRPr="00162CAA">
              <w:rPr>
                <w:iCs/>
                <w:sz w:val="20"/>
              </w:rPr>
              <w:t>—The sum of the Real-Time Metered Generation (RTMG) of all Resources compensated for an LCAP Effective Period for the 15-minute Settlement Interval</w:t>
            </w:r>
            <w:r w:rsidRPr="00162CAA">
              <w:rPr>
                <w:i/>
                <w:iCs/>
                <w:sz w:val="20"/>
              </w:rPr>
              <w:t xml:space="preserve"> i</w:t>
            </w:r>
            <w:r w:rsidRPr="00162CAA">
              <w:rPr>
                <w:iCs/>
                <w:sz w:val="20"/>
              </w:rPr>
              <w:t xml:space="preserve">.  </w:t>
            </w:r>
          </w:p>
        </w:tc>
      </w:tr>
      <w:tr w:rsidR="00245978" w:rsidRPr="00162CAA" w14:paraId="5AFB91E4" w14:textId="77777777" w:rsidTr="00764A29">
        <w:tc>
          <w:tcPr>
            <w:tcW w:w="1426" w:type="pct"/>
            <w:tcBorders>
              <w:top w:val="single" w:sz="6" w:space="0" w:color="auto"/>
              <w:left w:val="single" w:sz="4" w:space="0" w:color="auto"/>
              <w:bottom w:val="single" w:sz="6" w:space="0" w:color="auto"/>
              <w:right w:val="single" w:sz="6" w:space="0" w:color="auto"/>
            </w:tcBorders>
            <w:hideMark/>
          </w:tcPr>
          <w:p w14:paraId="37DD4815" w14:textId="77777777" w:rsidR="00245978" w:rsidRPr="00162CAA" w:rsidRDefault="00245978" w:rsidP="00245978">
            <w:pPr>
              <w:spacing w:after="60"/>
              <w:rPr>
                <w:iCs/>
                <w:sz w:val="20"/>
              </w:rPr>
            </w:pPr>
            <w:r w:rsidRPr="00162CAA">
              <w:rPr>
                <w:iCs/>
                <w:sz w:val="20"/>
              </w:rPr>
              <w:t xml:space="preserve">RTMG </w:t>
            </w:r>
            <w:r w:rsidRPr="00162CAA">
              <w:rPr>
                <w:i/>
                <w:iCs/>
                <w:sz w:val="20"/>
                <w:vertAlign w:val="subscript"/>
              </w:rPr>
              <w:t>q, r, i</w:t>
            </w:r>
          </w:p>
        </w:tc>
        <w:tc>
          <w:tcPr>
            <w:tcW w:w="365" w:type="pct"/>
            <w:tcBorders>
              <w:top w:val="single" w:sz="6" w:space="0" w:color="auto"/>
              <w:left w:val="single" w:sz="6" w:space="0" w:color="auto"/>
              <w:bottom w:val="single" w:sz="6" w:space="0" w:color="auto"/>
              <w:right w:val="single" w:sz="6" w:space="0" w:color="auto"/>
            </w:tcBorders>
            <w:hideMark/>
          </w:tcPr>
          <w:p w14:paraId="3F230C32" w14:textId="77777777" w:rsidR="00245978" w:rsidRPr="00162CAA" w:rsidRDefault="00245978" w:rsidP="00245978">
            <w:pPr>
              <w:spacing w:after="60"/>
              <w:jc w:val="center"/>
              <w:rPr>
                <w:iCs/>
                <w:sz w:val="20"/>
              </w:rPr>
            </w:pPr>
            <w:r w:rsidRPr="00162CAA">
              <w:rPr>
                <w:iCs/>
                <w:sz w:val="20"/>
              </w:rPr>
              <w:t>MWh</w:t>
            </w:r>
          </w:p>
        </w:tc>
        <w:tc>
          <w:tcPr>
            <w:tcW w:w="3209" w:type="pct"/>
            <w:tcBorders>
              <w:top w:val="single" w:sz="6" w:space="0" w:color="auto"/>
              <w:left w:val="single" w:sz="6" w:space="0" w:color="auto"/>
              <w:bottom w:val="single" w:sz="6" w:space="0" w:color="auto"/>
              <w:right w:val="single" w:sz="4" w:space="0" w:color="auto"/>
            </w:tcBorders>
            <w:hideMark/>
          </w:tcPr>
          <w:p w14:paraId="3E97A757" w14:textId="77777777" w:rsidR="00245978" w:rsidRPr="00162CAA" w:rsidRDefault="00245978" w:rsidP="00245978">
            <w:pPr>
              <w:spacing w:after="60"/>
              <w:rPr>
                <w:iCs/>
                <w:sz w:val="20"/>
              </w:rPr>
            </w:pPr>
            <w:r w:rsidRPr="00162CAA">
              <w:rPr>
                <w:i/>
                <w:iCs/>
                <w:sz w:val="20"/>
              </w:rPr>
              <w:t>Real-Time Metered Generation per QSE per Resource by Settlement Interval by hour—</w:t>
            </w:r>
            <w:r w:rsidRPr="00162CAA">
              <w:rPr>
                <w:iCs/>
                <w:sz w:val="20"/>
              </w:rPr>
              <w:t xml:space="preserve">The Real-Time energy from Resource </w:t>
            </w:r>
            <w:r w:rsidRPr="00162CAA">
              <w:rPr>
                <w:i/>
                <w:iCs/>
                <w:sz w:val="20"/>
              </w:rPr>
              <w:t>r</w:t>
            </w:r>
            <w:r w:rsidRPr="00162CAA">
              <w:rPr>
                <w:iCs/>
                <w:sz w:val="20"/>
              </w:rPr>
              <w:t xml:space="preserve"> represented by QSE </w:t>
            </w:r>
            <w:r w:rsidRPr="00162CAA">
              <w:rPr>
                <w:i/>
                <w:iCs/>
                <w:sz w:val="20"/>
              </w:rPr>
              <w:t>q</w:t>
            </w:r>
            <w:r w:rsidRPr="00162CAA">
              <w:rPr>
                <w:iCs/>
                <w:sz w:val="20"/>
              </w:rPr>
              <w:t xml:space="preserve">, for the 15-minute Settlement Interval </w:t>
            </w:r>
            <w:r w:rsidRPr="00162CAA">
              <w:rPr>
                <w:i/>
                <w:iCs/>
                <w:sz w:val="20"/>
              </w:rPr>
              <w:t>i</w:t>
            </w:r>
            <w:r w:rsidRPr="00162CAA">
              <w:rPr>
                <w:iCs/>
                <w:sz w:val="20"/>
              </w:rPr>
              <w:t xml:space="preserve">.  Where for a Combined Cycle Train, the Resource r is the Combined Cycle Train. For Resources that </w:t>
            </w:r>
            <w:r w:rsidRPr="00162CAA">
              <w:rPr>
                <w:sz w:val="20"/>
              </w:rPr>
              <w:t xml:space="preserve">are granted </w:t>
            </w:r>
            <w:r w:rsidRPr="00162CAA">
              <w:rPr>
                <w:iCs/>
                <w:sz w:val="20"/>
              </w:rPr>
              <w:t xml:space="preserve">a dispute under Section 9.14.7, Disputes for RUC Make-Whole Payment for Fuel Costs, </w:t>
            </w:r>
            <w:r w:rsidRPr="00162CAA">
              <w:rPr>
                <w:sz w:val="20"/>
              </w:rPr>
              <w:t xml:space="preserve">the </w:t>
            </w:r>
            <w:r w:rsidRPr="00162CAA">
              <w:rPr>
                <w:iCs/>
                <w:sz w:val="20"/>
              </w:rPr>
              <w:t xml:space="preserve">Real-Time energy </w:t>
            </w:r>
            <w:r w:rsidRPr="00162CAA">
              <w:rPr>
                <w:sz w:val="20"/>
              </w:rPr>
              <w:t xml:space="preserve"> represents the energy produced </w:t>
            </w:r>
            <w:r w:rsidRPr="00162CAA">
              <w:rPr>
                <w:iCs/>
                <w:sz w:val="20"/>
              </w:rPr>
              <w:t>for operations above LSL.</w:t>
            </w:r>
          </w:p>
        </w:tc>
      </w:tr>
      <w:tr w:rsidR="00245978" w:rsidRPr="00162CAA" w14:paraId="062A3862" w14:textId="77777777" w:rsidTr="00764A29">
        <w:tc>
          <w:tcPr>
            <w:tcW w:w="1426" w:type="pct"/>
            <w:tcBorders>
              <w:top w:val="single" w:sz="6" w:space="0" w:color="auto"/>
              <w:left w:val="single" w:sz="4" w:space="0" w:color="auto"/>
              <w:bottom w:val="single" w:sz="6" w:space="0" w:color="auto"/>
              <w:right w:val="single" w:sz="6" w:space="0" w:color="auto"/>
            </w:tcBorders>
            <w:hideMark/>
          </w:tcPr>
          <w:p w14:paraId="0018B724" w14:textId="77777777" w:rsidR="00245978" w:rsidRPr="00162CAA" w:rsidRDefault="00245978" w:rsidP="00245978">
            <w:pPr>
              <w:spacing w:after="60"/>
              <w:rPr>
                <w:i/>
                <w:iCs/>
                <w:sz w:val="20"/>
                <w:highlight w:val="yellow"/>
              </w:rPr>
            </w:pPr>
            <w:r w:rsidRPr="00162CAA">
              <w:rPr>
                <w:i/>
                <w:iCs/>
                <w:sz w:val="20"/>
              </w:rPr>
              <w:t>i</w:t>
            </w:r>
          </w:p>
        </w:tc>
        <w:tc>
          <w:tcPr>
            <w:tcW w:w="365" w:type="pct"/>
            <w:tcBorders>
              <w:top w:val="single" w:sz="6" w:space="0" w:color="auto"/>
              <w:left w:val="single" w:sz="6" w:space="0" w:color="auto"/>
              <w:bottom w:val="single" w:sz="6" w:space="0" w:color="auto"/>
              <w:right w:val="single" w:sz="6" w:space="0" w:color="auto"/>
            </w:tcBorders>
            <w:hideMark/>
          </w:tcPr>
          <w:p w14:paraId="4F36955A" w14:textId="77777777"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6" w:space="0" w:color="auto"/>
              <w:right w:val="single" w:sz="4" w:space="0" w:color="auto"/>
            </w:tcBorders>
            <w:hideMark/>
          </w:tcPr>
          <w:p w14:paraId="7C0C7D27" w14:textId="77777777" w:rsidR="00245978" w:rsidRPr="00162CAA" w:rsidRDefault="00245978" w:rsidP="00245978">
            <w:pPr>
              <w:spacing w:after="60"/>
              <w:rPr>
                <w:iCs/>
                <w:sz w:val="20"/>
              </w:rPr>
            </w:pPr>
            <w:r w:rsidRPr="00162CAA">
              <w:rPr>
                <w:iCs/>
                <w:sz w:val="20"/>
              </w:rPr>
              <w:t>A 15-minute Settlement Interval.</w:t>
            </w:r>
          </w:p>
        </w:tc>
      </w:tr>
      <w:tr w:rsidR="00245978" w:rsidRPr="00162CAA" w14:paraId="5468422E" w14:textId="77777777" w:rsidTr="00764A29">
        <w:tc>
          <w:tcPr>
            <w:tcW w:w="1426" w:type="pct"/>
            <w:tcBorders>
              <w:top w:val="single" w:sz="6" w:space="0" w:color="auto"/>
              <w:left w:val="single" w:sz="4" w:space="0" w:color="auto"/>
              <w:bottom w:val="single" w:sz="6" w:space="0" w:color="auto"/>
              <w:right w:val="single" w:sz="6" w:space="0" w:color="auto"/>
            </w:tcBorders>
            <w:hideMark/>
          </w:tcPr>
          <w:p w14:paraId="1CC1BAC8" w14:textId="77777777" w:rsidR="00245978" w:rsidRPr="00162CAA" w:rsidRDefault="00245978" w:rsidP="00245978">
            <w:pPr>
              <w:spacing w:after="60"/>
              <w:rPr>
                <w:i/>
                <w:iCs/>
                <w:sz w:val="20"/>
                <w:highlight w:val="yellow"/>
              </w:rPr>
            </w:pPr>
            <w:r w:rsidRPr="00162CAA">
              <w:rPr>
                <w:i/>
                <w:iCs/>
                <w:sz w:val="20"/>
              </w:rPr>
              <w:t>q</w:t>
            </w:r>
          </w:p>
        </w:tc>
        <w:tc>
          <w:tcPr>
            <w:tcW w:w="365" w:type="pct"/>
            <w:tcBorders>
              <w:top w:val="single" w:sz="6" w:space="0" w:color="auto"/>
              <w:left w:val="single" w:sz="6" w:space="0" w:color="auto"/>
              <w:bottom w:val="single" w:sz="6" w:space="0" w:color="auto"/>
              <w:right w:val="single" w:sz="6" w:space="0" w:color="auto"/>
            </w:tcBorders>
            <w:hideMark/>
          </w:tcPr>
          <w:p w14:paraId="4F274074" w14:textId="77777777"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6" w:space="0" w:color="auto"/>
              <w:right w:val="single" w:sz="4" w:space="0" w:color="auto"/>
            </w:tcBorders>
            <w:hideMark/>
          </w:tcPr>
          <w:p w14:paraId="2FE08C04" w14:textId="77777777" w:rsidR="00245978" w:rsidRPr="00162CAA" w:rsidRDefault="00245978" w:rsidP="00245978">
            <w:pPr>
              <w:spacing w:after="60"/>
              <w:rPr>
                <w:iCs/>
                <w:sz w:val="20"/>
              </w:rPr>
            </w:pPr>
            <w:r w:rsidRPr="00162CAA">
              <w:rPr>
                <w:iCs/>
                <w:sz w:val="20"/>
              </w:rPr>
              <w:t>A QSE.</w:t>
            </w:r>
          </w:p>
        </w:tc>
      </w:tr>
      <w:tr w:rsidR="00245978" w:rsidRPr="00162CAA" w14:paraId="1050FE5B" w14:textId="77777777" w:rsidTr="00764A29">
        <w:tc>
          <w:tcPr>
            <w:tcW w:w="1426" w:type="pct"/>
            <w:tcBorders>
              <w:top w:val="single" w:sz="6" w:space="0" w:color="auto"/>
              <w:left w:val="single" w:sz="4" w:space="0" w:color="auto"/>
              <w:bottom w:val="single" w:sz="4" w:space="0" w:color="auto"/>
              <w:right w:val="single" w:sz="6" w:space="0" w:color="auto"/>
            </w:tcBorders>
            <w:hideMark/>
          </w:tcPr>
          <w:p w14:paraId="3EBFB88D" w14:textId="77777777" w:rsidR="00245978" w:rsidRPr="00162CAA" w:rsidRDefault="00245978" w:rsidP="00245978">
            <w:pPr>
              <w:spacing w:after="60"/>
              <w:rPr>
                <w:i/>
                <w:iCs/>
                <w:sz w:val="20"/>
              </w:rPr>
            </w:pPr>
            <w:r w:rsidRPr="00162CAA">
              <w:rPr>
                <w:i/>
                <w:iCs/>
                <w:sz w:val="20"/>
              </w:rPr>
              <w:t>r</w:t>
            </w:r>
          </w:p>
        </w:tc>
        <w:tc>
          <w:tcPr>
            <w:tcW w:w="365" w:type="pct"/>
            <w:tcBorders>
              <w:top w:val="single" w:sz="6" w:space="0" w:color="auto"/>
              <w:left w:val="single" w:sz="6" w:space="0" w:color="auto"/>
              <w:bottom w:val="single" w:sz="4" w:space="0" w:color="auto"/>
              <w:right w:val="single" w:sz="6" w:space="0" w:color="auto"/>
            </w:tcBorders>
            <w:hideMark/>
          </w:tcPr>
          <w:p w14:paraId="5C17CAE5" w14:textId="77777777"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4" w:space="0" w:color="auto"/>
              <w:right w:val="single" w:sz="4" w:space="0" w:color="auto"/>
            </w:tcBorders>
            <w:hideMark/>
          </w:tcPr>
          <w:p w14:paraId="17CF8C95" w14:textId="77777777" w:rsidR="00245978" w:rsidRPr="00162CAA" w:rsidRDefault="00245978" w:rsidP="00245978">
            <w:pPr>
              <w:spacing w:after="60"/>
              <w:rPr>
                <w:iCs/>
                <w:sz w:val="20"/>
              </w:rPr>
            </w:pPr>
            <w:r w:rsidRPr="00162CAA">
              <w:rPr>
                <w:iCs/>
                <w:sz w:val="20"/>
              </w:rPr>
              <w:t xml:space="preserve">A Generation Resource or ESR that is compensated during an LCAP Effective Period for the hour that includes the Settlement Interval </w:t>
            </w:r>
            <w:r w:rsidRPr="00162CAA">
              <w:rPr>
                <w:i/>
                <w:iCs/>
                <w:sz w:val="20"/>
              </w:rPr>
              <w:t>i</w:t>
            </w:r>
            <w:r w:rsidRPr="00162CAA">
              <w:rPr>
                <w:iCs/>
                <w:sz w:val="20"/>
              </w:rPr>
              <w:t xml:space="preserve"> .</w:t>
            </w:r>
          </w:p>
        </w:tc>
      </w:tr>
    </w:tbl>
    <w:p w14:paraId="36271487" w14:textId="77777777" w:rsidR="00764A29" w:rsidRDefault="00764A29"/>
    <w:tbl>
      <w:tblPr>
        <w:tblW w:w="500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2"/>
      </w:tblGrid>
      <w:tr w:rsidR="00764A29" w14:paraId="4878F19E" w14:textId="77777777" w:rsidTr="00764A29">
        <w:trPr>
          <w:trHeight w:val="206"/>
        </w:trPr>
        <w:tc>
          <w:tcPr>
            <w:tcW w:w="5000" w:type="pct"/>
            <w:shd w:val="pct12" w:color="auto" w:fill="auto"/>
          </w:tcPr>
          <w:p w14:paraId="733EBA2B" w14:textId="46BB854A" w:rsidR="00764A29" w:rsidRPr="00A4149C" w:rsidRDefault="00764A29" w:rsidP="00B327B6">
            <w:pPr>
              <w:pStyle w:val="Instructions"/>
              <w:spacing w:before="120"/>
            </w:pPr>
            <w:bookmarkStart w:id="2866" w:name="_Toc400547195"/>
            <w:bookmarkStart w:id="2867" w:name="_Toc405384300"/>
            <w:bookmarkStart w:id="2868" w:name="_Toc405543567"/>
            <w:bookmarkStart w:id="2869" w:name="_Toc428178076"/>
            <w:bookmarkStart w:id="2870" w:name="_Toc440872707"/>
            <w:bookmarkStart w:id="2871" w:name="_Toc458766252"/>
            <w:bookmarkStart w:id="2872" w:name="_Toc459292657"/>
            <w:bookmarkStart w:id="2873" w:name="_Toc60038364"/>
            <w:r>
              <w:t>[NPRR1216:  Delete Section 6.8.3.1 above upon system implementation and renumber accordingly.]</w:t>
            </w:r>
          </w:p>
        </w:tc>
      </w:tr>
    </w:tbl>
    <w:p w14:paraId="0E3AB4D1" w14:textId="77777777" w:rsidR="00162CAA" w:rsidRPr="00162CAA" w:rsidRDefault="00162CAA" w:rsidP="00162CAA">
      <w:pPr>
        <w:pStyle w:val="H5"/>
        <w:spacing w:before="480"/>
        <w:ind w:left="720" w:hanging="720"/>
      </w:pPr>
      <w:bookmarkStart w:id="2874" w:name="_Toc204411768"/>
      <w:r w:rsidRPr="00162CAA">
        <w:lastRenderedPageBreak/>
        <w:t>6.8.3.1.1</w:t>
      </w:r>
      <w:r w:rsidRPr="00162CAA">
        <w:tab/>
        <w:t>Capacity Shortfall Ratio Share for an LCAP Effective Period</w:t>
      </w:r>
      <w:bookmarkEnd w:id="2874"/>
      <w:r w:rsidRPr="00162CAA">
        <w:t xml:space="preserve"> </w:t>
      </w:r>
      <w:bookmarkEnd w:id="2866"/>
      <w:bookmarkEnd w:id="2867"/>
      <w:bookmarkEnd w:id="2868"/>
      <w:bookmarkEnd w:id="2869"/>
      <w:bookmarkEnd w:id="2870"/>
      <w:bookmarkEnd w:id="2871"/>
      <w:bookmarkEnd w:id="2872"/>
      <w:bookmarkEnd w:id="2873"/>
    </w:p>
    <w:p w14:paraId="7D375B89" w14:textId="77777777" w:rsidR="00162CAA" w:rsidRPr="00162CAA" w:rsidRDefault="00162CAA" w:rsidP="00162CAA">
      <w:pPr>
        <w:spacing w:after="240"/>
        <w:ind w:left="720" w:hanging="720"/>
      </w:pPr>
      <w:r w:rsidRPr="00162CAA">
        <w:t>(1)</w:t>
      </w:r>
      <w:r w:rsidRPr="00162CAA">
        <w:tab/>
        <w:t>For Combined Cycle Generation Resources, if more than one Combined Cycle Generation Resource is shown On-Line in its COP for the same Settlement hour, then the provisions of paragraph (6)(a) of Section 3.9.1, Current Operating Plan (COP) Criteria, apply in the determination of the On-Line Combined Cycle Generation Resource for that Settlement hour.</w:t>
      </w:r>
    </w:p>
    <w:p w14:paraId="4FBF9E04" w14:textId="77777777" w:rsidR="00162CAA" w:rsidRPr="00162CAA" w:rsidRDefault="00162CAA" w:rsidP="00162CAA">
      <w:pPr>
        <w:spacing w:after="240"/>
        <w:ind w:left="720" w:hanging="720"/>
      </w:pPr>
      <w:r w:rsidRPr="00162CAA">
        <w:t>(2)</w:t>
      </w:r>
      <w:r w:rsidRPr="00162CAA">
        <w:tab/>
        <w:t>The capacity shortfall ratio share of a specific QSE for an LCAP Effective Period is calculated, for a 15-minute Settlement Interval, as follows:</w:t>
      </w:r>
    </w:p>
    <w:p w14:paraId="051DD40D"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t xml:space="preserve">LCAPSFRS </w:t>
      </w:r>
      <w:r w:rsidRPr="00162CAA">
        <w:rPr>
          <w:b/>
          <w:bCs/>
          <w:i/>
          <w:szCs w:val="24"/>
          <w:vertAlign w:val="subscript"/>
        </w:rPr>
        <w:t>i, q</w:t>
      </w:r>
      <w:r w:rsidRPr="00162CAA">
        <w:rPr>
          <w:b/>
          <w:bCs/>
          <w:szCs w:val="24"/>
        </w:rPr>
        <w:tab/>
        <w:t>=</w:t>
      </w:r>
      <w:r w:rsidRPr="00162CAA">
        <w:rPr>
          <w:b/>
          <w:bCs/>
          <w:szCs w:val="24"/>
        </w:rPr>
        <w:tab/>
        <w:t>LCAPSF</w:t>
      </w:r>
      <w:r w:rsidRPr="00162CAA">
        <w:rPr>
          <w:b/>
          <w:bCs/>
          <w:i/>
          <w:szCs w:val="24"/>
          <w:vertAlign w:val="subscript"/>
        </w:rPr>
        <w:t xml:space="preserve"> i, q</w:t>
      </w:r>
      <w:r w:rsidRPr="00162CAA">
        <w:rPr>
          <w:b/>
          <w:bCs/>
          <w:szCs w:val="24"/>
        </w:rPr>
        <w:t xml:space="preserve"> / LCAPSFTOT </w:t>
      </w:r>
      <w:r w:rsidRPr="00162CAA">
        <w:rPr>
          <w:b/>
          <w:bCs/>
          <w:i/>
          <w:szCs w:val="24"/>
          <w:vertAlign w:val="subscript"/>
        </w:rPr>
        <w:t>i</w:t>
      </w:r>
    </w:p>
    <w:p w14:paraId="645CACF8" w14:textId="77777777" w:rsidR="00162CAA" w:rsidRPr="00162CAA" w:rsidRDefault="00162CAA" w:rsidP="00162CAA">
      <w:pPr>
        <w:spacing w:after="240"/>
        <w:ind w:firstLine="720"/>
        <w:rPr>
          <w:szCs w:val="24"/>
        </w:rPr>
      </w:pPr>
      <w:r w:rsidRPr="00162CAA">
        <w:rPr>
          <w:szCs w:val="24"/>
        </w:rPr>
        <w:t>Where:</w:t>
      </w:r>
    </w:p>
    <w:p w14:paraId="5264936A" w14:textId="77777777" w:rsidR="00162CAA" w:rsidRPr="00162CAA" w:rsidRDefault="00162CAA" w:rsidP="00162CAA">
      <w:pPr>
        <w:tabs>
          <w:tab w:val="left" w:pos="2340"/>
          <w:tab w:val="left" w:pos="3420"/>
        </w:tabs>
        <w:spacing w:after="240"/>
        <w:ind w:left="3420" w:right="-180" w:hanging="2700"/>
        <w:rPr>
          <w:b/>
          <w:bCs/>
          <w:i/>
          <w:szCs w:val="24"/>
          <w:vertAlign w:val="subscript"/>
        </w:rPr>
      </w:pPr>
      <w:r w:rsidRPr="00162CAA">
        <w:rPr>
          <w:b/>
          <w:bCs/>
          <w:szCs w:val="24"/>
        </w:rPr>
        <w:t>LCAPSFTOT</w:t>
      </w:r>
      <w:r w:rsidRPr="00162CAA">
        <w:rPr>
          <w:b/>
          <w:bCs/>
          <w:i/>
          <w:szCs w:val="24"/>
          <w:vertAlign w:val="subscript"/>
        </w:rPr>
        <w:t xml:space="preserve"> i</w:t>
      </w:r>
      <w:r w:rsidRPr="00162CAA">
        <w:rPr>
          <w:b/>
          <w:bCs/>
          <w:szCs w:val="24"/>
        </w:rPr>
        <w:tab/>
        <w:t>=</w:t>
      </w:r>
      <w:r w:rsidRPr="00162CAA">
        <w:rPr>
          <w:b/>
          <w:bCs/>
          <w:szCs w:val="24"/>
        </w:rPr>
        <w:tab/>
      </w:r>
      <w:r w:rsidRPr="00162CAA">
        <w:rPr>
          <w:b/>
          <w:bCs/>
          <w:position w:val="-22"/>
          <w:szCs w:val="24"/>
        </w:rPr>
        <w:object w:dxaOrig="270" w:dyaOrig="510" w14:anchorId="0B81CC28">
          <v:shape id="_x0000_i1450" type="#_x0000_t75" style="width:12pt;height:24.6pt" o:ole="">
            <v:imagedata r:id="rId555" o:title=""/>
          </v:shape>
          <o:OLEObject Type="Embed" ProgID="Equation.3" ShapeID="_x0000_i1450" DrawAspect="Content" ObjectID="_1815025638" r:id="rId556"/>
        </w:object>
      </w:r>
      <w:r w:rsidRPr="00162CAA">
        <w:rPr>
          <w:b/>
          <w:bCs/>
          <w:szCs w:val="24"/>
        </w:rPr>
        <w:t xml:space="preserve"> LCAPSF </w:t>
      </w:r>
      <w:r w:rsidRPr="00162CAA">
        <w:rPr>
          <w:b/>
          <w:bCs/>
          <w:i/>
          <w:szCs w:val="24"/>
          <w:vertAlign w:val="subscript"/>
        </w:rPr>
        <w:t xml:space="preserve"> i, q</w:t>
      </w:r>
    </w:p>
    <w:p w14:paraId="777823DE" w14:textId="77777777" w:rsidR="00162CAA" w:rsidRPr="00162CAA" w:rsidRDefault="00162CAA" w:rsidP="00162CAA">
      <w:pPr>
        <w:spacing w:after="240"/>
        <w:ind w:left="720" w:hanging="720"/>
      </w:pPr>
      <w:r w:rsidRPr="00162CAA">
        <w:t>(3)</w:t>
      </w:r>
      <w:r w:rsidRPr="00162CAA">
        <w:tab/>
        <w:t>The LCAP Shortfall in MW for a QSE for the 15-minute Settlement Interval is:</w:t>
      </w:r>
    </w:p>
    <w:p w14:paraId="5704FE19" w14:textId="77777777" w:rsidR="00162CAA" w:rsidRPr="00162CAA" w:rsidRDefault="00162CAA" w:rsidP="00162CAA">
      <w:pPr>
        <w:tabs>
          <w:tab w:val="left" w:pos="2340"/>
          <w:tab w:val="left" w:pos="3420"/>
        </w:tabs>
        <w:spacing w:after="240"/>
        <w:ind w:left="3420" w:right="-180" w:hanging="2700"/>
        <w:rPr>
          <w:b/>
          <w:bCs/>
          <w:szCs w:val="24"/>
          <w:lang w:val="it-IT"/>
        </w:rPr>
      </w:pPr>
      <w:r w:rsidRPr="00162CAA">
        <w:rPr>
          <w:b/>
          <w:bCs/>
          <w:szCs w:val="24"/>
          <w:lang w:val="it-IT"/>
        </w:rPr>
        <w:t>LCAPSF</w:t>
      </w:r>
      <w:r w:rsidRPr="00162CAA">
        <w:rPr>
          <w:b/>
          <w:bCs/>
          <w:i/>
          <w:szCs w:val="24"/>
          <w:vertAlign w:val="subscript"/>
          <w:lang w:val="it-IT"/>
        </w:rPr>
        <w:t xml:space="preserve"> i, q</w:t>
      </w:r>
      <w:r w:rsidRPr="00162CAA">
        <w:rPr>
          <w:b/>
          <w:bCs/>
          <w:szCs w:val="24"/>
          <w:lang w:val="it-IT"/>
        </w:rPr>
        <w:tab/>
        <w:t>=</w:t>
      </w:r>
      <w:r w:rsidRPr="00162CAA">
        <w:rPr>
          <w:b/>
          <w:bCs/>
          <w:szCs w:val="24"/>
          <w:lang w:val="it-IT"/>
        </w:rPr>
        <w:tab/>
        <w:t>Max (0, ((</w:t>
      </w:r>
      <w:r w:rsidRPr="00162CAA">
        <w:rPr>
          <w:b/>
          <w:bCs/>
          <w:position w:val="-22"/>
          <w:szCs w:val="24"/>
        </w:rPr>
        <w:object w:dxaOrig="270" w:dyaOrig="510" w14:anchorId="0D81C8B1">
          <v:shape id="_x0000_i1451" type="#_x0000_t75" style="width:12pt;height:24.6pt" o:ole="">
            <v:imagedata r:id="rId557" o:title=""/>
          </v:shape>
          <o:OLEObject Type="Embed" ProgID="Equation.3" ShapeID="_x0000_i1451" DrawAspect="Content" ObjectID="_1815025639" r:id="rId558"/>
        </w:object>
      </w:r>
      <w:r w:rsidRPr="00162CAA">
        <w:rPr>
          <w:b/>
          <w:bCs/>
          <w:szCs w:val="24"/>
          <w:lang w:val="it-IT"/>
        </w:rPr>
        <w:t xml:space="preserve">RTAML </w:t>
      </w:r>
      <w:r w:rsidRPr="00162CAA">
        <w:rPr>
          <w:b/>
          <w:bCs/>
          <w:i/>
          <w:szCs w:val="24"/>
          <w:vertAlign w:val="subscript"/>
          <w:lang w:val="it-IT"/>
        </w:rPr>
        <w:t>q, p, i</w:t>
      </w:r>
      <w:r w:rsidRPr="00162CAA">
        <w:rPr>
          <w:b/>
          <w:bCs/>
          <w:szCs w:val="24"/>
          <w:lang w:val="it-IT"/>
        </w:rPr>
        <w:t xml:space="preserve">) *4) – </w:t>
      </w:r>
      <w:r w:rsidRPr="00162CAA">
        <w:rPr>
          <w:b/>
          <w:bCs/>
          <w:szCs w:val="24"/>
        </w:rPr>
        <w:t>LCAP</w:t>
      </w:r>
      <w:r w:rsidRPr="00162CAA">
        <w:rPr>
          <w:b/>
          <w:bCs/>
          <w:szCs w:val="24"/>
          <w:lang w:val="it-IT"/>
        </w:rPr>
        <w:t>CAP</w:t>
      </w:r>
      <w:r w:rsidRPr="00162CAA">
        <w:rPr>
          <w:b/>
          <w:bCs/>
          <w:i/>
          <w:szCs w:val="24"/>
          <w:vertAlign w:val="subscript"/>
          <w:lang w:val="it-IT"/>
        </w:rPr>
        <w:t>q, i</w:t>
      </w:r>
      <w:r w:rsidRPr="00162CAA">
        <w:rPr>
          <w:b/>
          <w:bCs/>
          <w:szCs w:val="24"/>
          <w:lang w:val="it-IT"/>
        </w:rPr>
        <w:t>)</w:t>
      </w:r>
    </w:p>
    <w:p w14:paraId="7594E80F" w14:textId="1552DF25" w:rsidR="00162CAA" w:rsidRPr="00162CAA" w:rsidRDefault="00162CAA" w:rsidP="00162CAA">
      <w:pPr>
        <w:spacing w:after="240"/>
        <w:ind w:left="720" w:hanging="720"/>
      </w:pPr>
      <w:r w:rsidRPr="00162CAA">
        <w:t>(4)</w:t>
      </w:r>
      <w:r w:rsidRPr="00162CAA">
        <w:tab/>
        <w:t>The amount of capacity that a QSE had in Real-Time for a 15-minute Settlement Interval, excluding capacity from</w:t>
      </w:r>
      <w:r w:rsidR="003D3379" w:rsidRPr="00162CAA">
        <w:t xml:space="preserve"> </w:t>
      </w:r>
      <w:r w:rsidR="003D3379">
        <w:t>Intermittent Renewable Resources (</w:t>
      </w:r>
      <w:r w:rsidR="003D3379" w:rsidRPr="00162CAA">
        <w:t>IRRs</w:t>
      </w:r>
      <w:r w:rsidR="003D3379">
        <w:t>)</w:t>
      </w:r>
      <w:r w:rsidR="003D3379" w:rsidRPr="00162CAA">
        <w:t xml:space="preserve">, </w:t>
      </w:r>
      <w:r w:rsidRPr="00162CAA">
        <w:t>is:</w:t>
      </w:r>
    </w:p>
    <w:p w14:paraId="6C9785A0"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t xml:space="preserve">LCAPCAP </w:t>
      </w:r>
      <w:r w:rsidRPr="00162CAA">
        <w:rPr>
          <w:b/>
          <w:bCs/>
          <w:i/>
          <w:szCs w:val="24"/>
          <w:vertAlign w:val="subscript"/>
        </w:rPr>
        <w:t>i, q</w:t>
      </w:r>
      <w:r w:rsidRPr="00162CAA">
        <w:rPr>
          <w:b/>
          <w:bCs/>
          <w:szCs w:val="24"/>
        </w:rPr>
        <w:t xml:space="preserve"> =</w:t>
      </w:r>
      <w:r w:rsidRPr="00162CAA">
        <w:rPr>
          <w:b/>
          <w:bCs/>
          <w:szCs w:val="24"/>
        </w:rPr>
        <w:tab/>
      </w:r>
      <w:r w:rsidRPr="00162CAA">
        <w:rPr>
          <w:b/>
          <w:bCs/>
          <w:szCs w:val="24"/>
        </w:rPr>
        <w:tab/>
      </w:r>
      <w:r w:rsidRPr="00162CAA">
        <w:rPr>
          <w:b/>
          <w:bCs/>
          <w:position w:val="-18"/>
          <w:szCs w:val="24"/>
        </w:rPr>
        <w:object w:dxaOrig="270" w:dyaOrig="525" w14:anchorId="46FCDD95">
          <v:shape id="_x0000_i1452" type="#_x0000_t75" style="width:12pt;height:24pt" o:ole="">
            <v:imagedata r:id="rId559" o:title=""/>
          </v:shape>
          <o:OLEObject Type="Embed" ProgID="Equation.3" ShapeID="_x0000_i1452" DrawAspect="Content" ObjectID="_1815025640" r:id="rId560"/>
        </w:object>
      </w:r>
      <w:r w:rsidRPr="00162CAA">
        <w:rPr>
          <w:b/>
          <w:bCs/>
          <w:szCs w:val="24"/>
        </w:rPr>
        <w:t xml:space="preserve"> LCAPHASLADJ </w:t>
      </w:r>
      <w:r w:rsidRPr="00162CAA">
        <w:rPr>
          <w:b/>
          <w:bCs/>
          <w:i/>
          <w:szCs w:val="24"/>
          <w:vertAlign w:val="subscript"/>
        </w:rPr>
        <w:t>q, r, h</w:t>
      </w:r>
      <w:r w:rsidRPr="00162CAA">
        <w:rPr>
          <w:b/>
          <w:bCs/>
          <w:szCs w:val="24"/>
        </w:rPr>
        <w:t xml:space="preserve"> + (RUCCPADJ </w:t>
      </w:r>
      <w:r w:rsidRPr="00162CAA">
        <w:rPr>
          <w:b/>
          <w:bCs/>
          <w:i/>
          <w:szCs w:val="24"/>
          <w:vertAlign w:val="subscript"/>
        </w:rPr>
        <w:t>q, h</w:t>
      </w:r>
      <w:r w:rsidRPr="00162CAA">
        <w:rPr>
          <w:b/>
          <w:bCs/>
          <w:szCs w:val="24"/>
        </w:rPr>
        <w:t xml:space="preserve"> – RUCCSADJ </w:t>
      </w:r>
      <w:r w:rsidRPr="00162CAA">
        <w:rPr>
          <w:b/>
          <w:bCs/>
          <w:i/>
          <w:szCs w:val="24"/>
          <w:vertAlign w:val="subscript"/>
        </w:rPr>
        <w:t>q, h</w:t>
      </w:r>
      <w:r w:rsidRPr="00162CAA">
        <w:rPr>
          <w:b/>
          <w:bCs/>
          <w:szCs w:val="24"/>
        </w:rPr>
        <w:t>) + (</w:t>
      </w:r>
      <w:r w:rsidRPr="00162CAA">
        <w:rPr>
          <w:b/>
          <w:bCs/>
          <w:position w:val="-22"/>
          <w:szCs w:val="24"/>
        </w:rPr>
        <w:object w:dxaOrig="330" w:dyaOrig="510" w14:anchorId="6DCD6834">
          <v:shape id="_x0000_i1453" type="#_x0000_t75" style="width:18pt;height:24.6pt" o:ole="">
            <v:imagedata r:id="rId561" o:title=""/>
          </v:shape>
          <o:OLEObject Type="Embed" ProgID="Equation.3" ShapeID="_x0000_i1453" DrawAspect="Content" ObjectID="_1815025641" r:id="rId562"/>
        </w:object>
      </w:r>
      <w:r w:rsidRPr="00162CAA">
        <w:rPr>
          <w:b/>
          <w:bCs/>
          <w:szCs w:val="24"/>
        </w:rPr>
        <w:t xml:space="preserve">DAEP </w:t>
      </w:r>
      <w:r w:rsidRPr="00162CAA">
        <w:rPr>
          <w:b/>
          <w:bCs/>
          <w:i/>
          <w:szCs w:val="24"/>
          <w:vertAlign w:val="subscript"/>
        </w:rPr>
        <w:t>q, p, h</w:t>
      </w:r>
      <w:r w:rsidRPr="00162CAA">
        <w:rPr>
          <w:b/>
          <w:bCs/>
          <w:szCs w:val="24"/>
        </w:rPr>
        <w:t xml:space="preserve"> – </w:t>
      </w:r>
      <w:r w:rsidRPr="00162CAA">
        <w:rPr>
          <w:b/>
          <w:bCs/>
          <w:position w:val="-22"/>
          <w:szCs w:val="24"/>
        </w:rPr>
        <w:object w:dxaOrig="270" w:dyaOrig="510" w14:anchorId="7C23933D">
          <v:shape id="_x0000_i1454" type="#_x0000_t75" style="width:12pt;height:24.6pt" o:ole="">
            <v:imagedata r:id="rId563" o:title=""/>
          </v:shape>
          <o:OLEObject Type="Embed" ProgID="Equation.3" ShapeID="_x0000_i1454" DrawAspect="Content" ObjectID="_1815025642" r:id="rId564"/>
        </w:object>
      </w:r>
      <w:r w:rsidRPr="00162CAA">
        <w:rPr>
          <w:b/>
          <w:bCs/>
          <w:szCs w:val="24"/>
        </w:rPr>
        <w:t xml:space="preserve">DAES </w:t>
      </w:r>
      <w:r w:rsidRPr="00162CAA">
        <w:rPr>
          <w:b/>
          <w:bCs/>
          <w:i/>
          <w:szCs w:val="24"/>
          <w:vertAlign w:val="subscript"/>
        </w:rPr>
        <w:t>q, p, h</w:t>
      </w:r>
      <w:r w:rsidRPr="00162CAA">
        <w:rPr>
          <w:b/>
          <w:bCs/>
          <w:szCs w:val="24"/>
        </w:rPr>
        <w:t>) + (</w:t>
      </w:r>
      <w:r w:rsidRPr="00162CAA">
        <w:rPr>
          <w:b/>
          <w:bCs/>
          <w:position w:val="-22"/>
          <w:szCs w:val="24"/>
        </w:rPr>
        <w:object w:dxaOrig="270" w:dyaOrig="510" w14:anchorId="7BD49134">
          <v:shape id="_x0000_i1455" type="#_x0000_t75" style="width:12pt;height:24.6pt" o:ole="">
            <v:imagedata r:id="rId561" o:title=""/>
          </v:shape>
          <o:OLEObject Type="Embed" ProgID="Equation.3" ShapeID="_x0000_i1455" DrawAspect="Content" ObjectID="_1815025643" r:id="rId565"/>
        </w:object>
      </w:r>
      <w:r w:rsidRPr="00162CAA">
        <w:rPr>
          <w:b/>
          <w:bCs/>
          <w:szCs w:val="24"/>
        </w:rPr>
        <w:t xml:space="preserve">RTQQEPADJ </w:t>
      </w:r>
      <w:r w:rsidRPr="00162CAA">
        <w:rPr>
          <w:b/>
          <w:bCs/>
          <w:i/>
          <w:szCs w:val="24"/>
          <w:vertAlign w:val="subscript"/>
        </w:rPr>
        <w:t>q, p, i</w:t>
      </w:r>
      <w:r w:rsidRPr="00162CAA">
        <w:rPr>
          <w:b/>
          <w:bCs/>
          <w:szCs w:val="24"/>
        </w:rPr>
        <w:t xml:space="preserve"> – </w:t>
      </w:r>
      <w:r w:rsidRPr="00162CAA">
        <w:rPr>
          <w:b/>
          <w:bCs/>
          <w:position w:val="-22"/>
          <w:szCs w:val="24"/>
        </w:rPr>
        <w:object w:dxaOrig="225" w:dyaOrig="510" w14:anchorId="24D37672">
          <v:shape id="_x0000_i1456" type="#_x0000_t75" style="width:12pt;height:24.6pt" o:ole="">
            <v:imagedata r:id="rId561" o:title=""/>
          </v:shape>
          <o:OLEObject Type="Embed" ProgID="Equation.3" ShapeID="_x0000_i1456" DrawAspect="Content" ObjectID="_1815025644" r:id="rId566"/>
        </w:object>
      </w:r>
      <w:r w:rsidRPr="00162CAA">
        <w:rPr>
          <w:b/>
          <w:bCs/>
          <w:szCs w:val="24"/>
        </w:rPr>
        <w:t xml:space="preserve">RTQQESADJ </w:t>
      </w:r>
      <w:r w:rsidRPr="00162CAA">
        <w:rPr>
          <w:b/>
          <w:bCs/>
          <w:i/>
          <w:szCs w:val="24"/>
          <w:vertAlign w:val="subscript"/>
        </w:rPr>
        <w:t>q, p, i</w:t>
      </w:r>
      <w:r w:rsidRPr="00162CAA">
        <w:rPr>
          <w:b/>
          <w:bCs/>
          <w:szCs w:val="24"/>
        </w:rPr>
        <w:t xml:space="preserve">) +  </w:t>
      </w:r>
      <w:r w:rsidRPr="00162CAA">
        <w:rPr>
          <w:b/>
          <w:bCs/>
          <w:position w:val="-22"/>
          <w:szCs w:val="24"/>
        </w:rPr>
        <w:object w:dxaOrig="270" w:dyaOrig="600" w14:anchorId="5F73C54F">
          <v:shape id="_x0000_i1457" type="#_x0000_t75" style="width:12pt;height:30pt" o:ole="">
            <v:imagedata r:id="rId561" o:title=""/>
          </v:shape>
          <o:OLEObject Type="Embed" ProgID="Equation.3" ShapeID="_x0000_i1457" DrawAspect="Content" ObjectID="_1815025645" r:id="rId567"/>
        </w:object>
      </w:r>
      <w:r w:rsidRPr="00162CAA">
        <w:rPr>
          <w:b/>
          <w:bCs/>
          <w:position w:val="-22"/>
          <w:szCs w:val="24"/>
        </w:rPr>
        <w:t xml:space="preserve"> </w:t>
      </w:r>
      <w:r w:rsidRPr="00162CAA">
        <w:rPr>
          <w:b/>
          <w:bCs/>
          <w:szCs w:val="24"/>
        </w:rPr>
        <w:t xml:space="preserve">DCIMPADJ </w:t>
      </w:r>
      <w:r w:rsidRPr="00162CAA">
        <w:rPr>
          <w:b/>
          <w:bCs/>
          <w:i/>
          <w:szCs w:val="24"/>
          <w:vertAlign w:val="subscript"/>
        </w:rPr>
        <w:t>q, p, i</w:t>
      </w:r>
    </w:p>
    <w:p w14:paraId="0BEE46D6" w14:textId="77777777" w:rsidR="00162CAA" w:rsidRPr="00162CAA" w:rsidRDefault="00162CAA" w:rsidP="00162CAA">
      <w:pPr>
        <w:tabs>
          <w:tab w:val="left" w:pos="2340"/>
          <w:tab w:val="left" w:pos="3420"/>
        </w:tabs>
        <w:ind w:right="-180"/>
        <w:rPr>
          <w:szCs w:val="24"/>
        </w:rPr>
      </w:pPr>
      <w:r w:rsidRPr="00162CAA">
        <w:rPr>
          <w:szCs w:val="24"/>
        </w:rPr>
        <w:t>The above variables are defined as follows:</w:t>
      </w:r>
    </w:p>
    <w:tbl>
      <w:tblPr>
        <w:tblW w:w="5041" w:type="pct"/>
        <w:tblInd w:w="-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064"/>
        <w:gridCol w:w="862"/>
        <w:gridCol w:w="6501"/>
      </w:tblGrid>
      <w:tr w:rsidR="00162CAA" w:rsidRPr="00162CAA" w14:paraId="28487057" w14:textId="77777777" w:rsidTr="00764A29">
        <w:trPr>
          <w:cantSplit/>
          <w:tblHeader/>
        </w:trPr>
        <w:tc>
          <w:tcPr>
            <w:tcW w:w="1095" w:type="pct"/>
            <w:tcBorders>
              <w:top w:val="single" w:sz="4" w:space="0" w:color="auto"/>
              <w:left w:val="single" w:sz="4" w:space="0" w:color="auto"/>
              <w:bottom w:val="single" w:sz="6" w:space="0" w:color="auto"/>
              <w:right w:val="single" w:sz="6" w:space="0" w:color="auto"/>
            </w:tcBorders>
            <w:hideMark/>
          </w:tcPr>
          <w:p w14:paraId="4F202F05" w14:textId="77777777" w:rsidR="00162CAA" w:rsidRPr="00162CAA" w:rsidRDefault="00162CAA" w:rsidP="00162CAA">
            <w:pPr>
              <w:spacing w:after="240"/>
              <w:rPr>
                <w:b/>
                <w:iCs/>
                <w:sz w:val="20"/>
              </w:rPr>
            </w:pPr>
            <w:r w:rsidRPr="00162CAA">
              <w:rPr>
                <w:b/>
                <w:iCs/>
                <w:sz w:val="20"/>
              </w:rPr>
              <w:t>Variable</w:t>
            </w:r>
          </w:p>
        </w:tc>
        <w:tc>
          <w:tcPr>
            <w:tcW w:w="457" w:type="pct"/>
            <w:tcBorders>
              <w:top w:val="single" w:sz="4" w:space="0" w:color="auto"/>
              <w:left w:val="single" w:sz="6" w:space="0" w:color="auto"/>
              <w:bottom w:val="single" w:sz="6" w:space="0" w:color="auto"/>
              <w:right w:val="single" w:sz="6" w:space="0" w:color="auto"/>
            </w:tcBorders>
            <w:hideMark/>
          </w:tcPr>
          <w:p w14:paraId="20B8C443" w14:textId="77777777" w:rsidR="00162CAA" w:rsidRPr="00162CAA" w:rsidRDefault="00162CAA" w:rsidP="00162CAA">
            <w:pPr>
              <w:spacing w:after="240"/>
              <w:jc w:val="center"/>
              <w:rPr>
                <w:b/>
                <w:iCs/>
                <w:sz w:val="20"/>
              </w:rPr>
            </w:pPr>
            <w:r w:rsidRPr="00162CAA">
              <w:rPr>
                <w:b/>
                <w:iCs/>
                <w:sz w:val="20"/>
              </w:rPr>
              <w:t>Unit</w:t>
            </w:r>
          </w:p>
        </w:tc>
        <w:tc>
          <w:tcPr>
            <w:tcW w:w="3448" w:type="pct"/>
            <w:tcBorders>
              <w:top w:val="single" w:sz="4" w:space="0" w:color="auto"/>
              <w:left w:val="single" w:sz="6" w:space="0" w:color="auto"/>
              <w:bottom w:val="single" w:sz="6" w:space="0" w:color="auto"/>
              <w:right w:val="single" w:sz="4" w:space="0" w:color="auto"/>
            </w:tcBorders>
            <w:hideMark/>
          </w:tcPr>
          <w:p w14:paraId="6B4DF1F7" w14:textId="77777777" w:rsidR="00162CAA" w:rsidRPr="00162CAA" w:rsidRDefault="00162CAA" w:rsidP="00162CAA">
            <w:pPr>
              <w:spacing w:after="240"/>
              <w:rPr>
                <w:b/>
                <w:iCs/>
                <w:sz w:val="20"/>
              </w:rPr>
            </w:pPr>
            <w:r w:rsidRPr="00162CAA">
              <w:rPr>
                <w:b/>
                <w:iCs/>
                <w:sz w:val="20"/>
              </w:rPr>
              <w:t>Definition</w:t>
            </w:r>
          </w:p>
        </w:tc>
      </w:tr>
      <w:tr w:rsidR="00162CAA" w:rsidRPr="00162CAA" w14:paraId="6FFA951F"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7E0A8AC0" w14:textId="77777777" w:rsidR="00162CAA" w:rsidRPr="00162CAA" w:rsidRDefault="00162CAA" w:rsidP="00162CAA">
            <w:pPr>
              <w:spacing w:after="60"/>
              <w:rPr>
                <w:iCs/>
                <w:sz w:val="20"/>
              </w:rPr>
            </w:pPr>
            <w:r w:rsidRPr="00162CAA">
              <w:rPr>
                <w:iCs/>
                <w:sz w:val="20"/>
              </w:rPr>
              <w:t xml:space="preserve">LCAPSFRS </w:t>
            </w:r>
            <w:r w:rsidRPr="00162CAA">
              <w:rPr>
                <w:i/>
                <w:iCs/>
                <w:sz w:val="20"/>
                <w:vertAlign w:val="subscript"/>
              </w:rPr>
              <w:t>i, q</w:t>
            </w:r>
          </w:p>
        </w:tc>
        <w:tc>
          <w:tcPr>
            <w:tcW w:w="457" w:type="pct"/>
            <w:tcBorders>
              <w:top w:val="single" w:sz="6" w:space="0" w:color="auto"/>
              <w:left w:val="single" w:sz="6" w:space="0" w:color="auto"/>
              <w:bottom w:val="single" w:sz="6" w:space="0" w:color="auto"/>
              <w:right w:val="single" w:sz="6" w:space="0" w:color="auto"/>
            </w:tcBorders>
            <w:hideMark/>
          </w:tcPr>
          <w:p w14:paraId="7579DD16" w14:textId="77777777" w:rsidR="00162CAA" w:rsidRPr="00162CAA" w:rsidRDefault="00162CAA" w:rsidP="00162CAA">
            <w:pPr>
              <w:spacing w:after="60"/>
              <w:jc w:val="center"/>
              <w:rPr>
                <w:iCs/>
                <w:sz w:val="20"/>
              </w:rPr>
            </w:pPr>
            <w:r w:rsidRPr="00162CAA">
              <w:rPr>
                <w:iCs/>
                <w:sz w:val="20"/>
              </w:rPr>
              <w:t>none</w:t>
            </w:r>
          </w:p>
        </w:tc>
        <w:tc>
          <w:tcPr>
            <w:tcW w:w="3448" w:type="pct"/>
            <w:tcBorders>
              <w:top w:val="single" w:sz="6" w:space="0" w:color="auto"/>
              <w:left w:val="single" w:sz="6" w:space="0" w:color="auto"/>
              <w:bottom w:val="single" w:sz="6" w:space="0" w:color="auto"/>
              <w:right w:val="single" w:sz="4" w:space="0" w:color="auto"/>
            </w:tcBorders>
            <w:hideMark/>
          </w:tcPr>
          <w:p w14:paraId="5F238037" w14:textId="77777777" w:rsidR="00162CAA" w:rsidRPr="00162CAA" w:rsidRDefault="00162CAA" w:rsidP="00162CAA">
            <w:pPr>
              <w:spacing w:after="60"/>
              <w:rPr>
                <w:iCs/>
                <w:sz w:val="20"/>
              </w:rPr>
            </w:pPr>
            <w:r w:rsidRPr="00162CAA">
              <w:rPr>
                <w:i/>
                <w:iCs/>
                <w:sz w:val="20"/>
              </w:rPr>
              <w:t>LCAP Effective Period Shortfall Ratio Share</w:t>
            </w:r>
            <w:r w:rsidRPr="00162CAA">
              <w:rPr>
                <w:iCs/>
                <w:sz w:val="20"/>
              </w:rPr>
              <w:t>—The ratio of the QSE</w:t>
            </w:r>
            <w:r w:rsidRPr="00162CAA">
              <w:rPr>
                <w:i/>
                <w:iCs/>
                <w:sz w:val="20"/>
              </w:rPr>
              <w:t xml:space="preserve"> q</w:t>
            </w:r>
            <w:r w:rsidRPr="00162CAA">
              <w:rPr>
                <w:iCs/>
                <w:sz w:val="20"/>
              </w:rPr>
              <w:t>’s capacity shortfall to the sum of all QSEs’ capacity shortfalls for an LCAP Effective Period for the 15-minute Settlement Interval</w:t>
            </w:r>
            <w:r w:rsidRPr="00162CAA">
              <w:rPr>
                <w:i/>
                <w:iCs/>
                <w:sz w:val="20"/>
              </w:rPr>
              <w:t xml:space="preserve"> i</w:t>
            </w:r>
            <w:r w:rsidRPr="00162CAA">
              <w:rPr>
                <w:iCs/>
                <w:sz w:val="20"/>
              </w:rPr>
              <w:t>.</w:t>
            </w:r>
          </w:p>
        </w:tc>
      </w:tr>
      <w:tr w:rsidR="00162CAA" w:rsidRPr="00162CAA" w14:paraId="60312982"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7B37A99D" w14:textId="77777777" w:rsidR="00162CAA" w:rsidRPr="00162CAA" w:rsidRDefault="00162CAA" w:rsidP="00162CAA">
            <w:pPr>
              <w:spacing w:after="60"/>
              <w:rPr>
                <w:iCs/>
                <w:sz w:val="20"/>
              </w:rPr>
            </w:pPr>
            <w:r w:rsidRPr="00162CAA">
              <w:rPr>
                <w:iCs/>
                <w:sz w:val="20"/>
              </w:rPr>
              <w:t xml:space="preserve">LCAPSF </w:t>
            </w:r>
            <w:r w:rsidRPr="00162CAA">
              <w:rPr>
                <w:i/>
                <w:iCs/>
                <w:sz w:val="20"/>
                <w:vertAlign w:val="subscript"/>
              </w:rPr>
              <w:t xml:space="preserve"> i, q</w:t>
            </w:r>
          </w:p>
        </w:tc>
        <w:tc>
          <w:tcPr>
            <w:tcW w:w="457" w:type="pct"/>
            <w:tcBorders>
              <w:top w:val="single" w:sz="6" w:space="0" w:color="auto"/>
              <w:left w:val="single" w:sz="6" w:space="0" w:color="auto"/>
              <w:bottom w:val="single" w:sz="6" w:space="0" w:color="auto"/>
              <w:right w:val="single" w:sz="6" w:space="0" w:color="auto"/>
            </w:tcBorders>
            <w:hideMark/>
          </w:tcPr>
          <w:p w14:paraId="2172E6D8"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500EBB38" w14:textId="77777777" w:rsidR="00162CAA" w:rsidRPr="00162CAA" w:rsidRDefault="00162CAA" w:rsidP="00162CAA">
            <w:pPr>
              <w:spacing w:after="60"/>
              <w:rPr>
                <w:iCs/>
                <w:sz w:val="20"/>
              </w:rPr>
            </w:pPr>
            <w:r w:rsidRPr="00162CAA">
              <w:rPr>
                <w:i/>
                <w:iCs/>
                <w:sz w:val="20"/>
              </w:rPr>
              <w:t>LCAP Shortfall</w:t>
            </w:r>
            <w:r w:rsidRPr="00162CAA">
              <w:rPr>
                <w:iCs/>
                <w:sz w:val="20"/>
              </w:rPr>
              <w:t>—The QSE</w:t>
            </w:r>
            <w:r w:rsidRPr="00162CAA">
              <w:rPr>
                <w:i/>
                <w:iCs/>
                <w:sz w:val="20"/>
              </w:rPr>
              <w:t xml:space="preserve"> q</w:t>
            </w:r>
            <w:r w:rsidRPr="00162CAA">
              <w:rPr>
                <w:iCs/>
                <w:sz w:val="20"/>
              </w:rPr>
              <w:t>’s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w:t>
            </w:r>
          </w:p>
        </w:tc>
      </w:tr>
      <w:tr w:rsidR="00162CAA" w:rsidRPr="00162CAA" w14:paraId="523EE1FD"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59125C15" w14:textId="77777777" w:rsidR="00162CAA" w:rsidRPr="00162CAA" w:rsidRDefault="00162CAA" w:rsidP="00162CAA">
            <w:pPr>
              <w:spacing w:after="60"/>
              <w:rPr>
                <w:iCs/>
                <w:sz w:val="20"/>
              </w:rPr>
            </w:pPr>
            <w:r w:rsidRPr="00162CAA">
              <w:rPr>
                <w:iCs/>
                <w:sz w:val="20"/>
              </w:rPr>
              <w:t xml:space="preserve">LCAPSFTOT </w:t>
            </w:r>
            <w:r w:rsidRPr="00162CAA">
              <w:rPr>
                <w:i/>
                <w:iCs/>
                <w:sz w:val="20"/>
                <w:vertAlign w:val="subscript"/>
              </w:rPr>
              <w:t xml:space="preserve"> i</w:t>
            </w:r>
          </w:p>
        </w:tc>
        <w:tc>
          <w:tcPr>
            <w:tcW w:w="457" w:type="pct"/>
            <w:tcBorders>
              <w:top w:val="single" w:sz="6" w:space="0" w:color="auto"/>
              <w:left w:val="single" w:sz="6" w:space="0" w:color="auto"/>
              <w:bottom w:val="single" w:sz="6" w:space="0" w:color="auto"/>
              <w:right w:val="single" w:sz="6" w:space="0" w:color="auto"/>
            </w:tcBorders>
            <w:hideMark/>
          </w:tcPr>
          <w:p w14:paraId="30637523"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72917B94" w14:textId="77777777" w:rsidR="00162CAA" w:rsidRPr="00162CAA" w:rsidRDefault="00162CAA" w:rsidP="00162CAA">
            <w:pPr>
              <w:spacing w:after="60"/>
              <w:rPr>
                <w:i/>
                <w:iCs/>
                <w:sz w:val="20"/>
              </w:rPr>
            </w:pPr>
            <w:r w:rsidRPr="00162CAA">
              <w:rPr>
                <w:i/>
                <w:iCs/>
                <w:sz w:val="20"/>
              </w:rPr>
              <w:t>LCAP Shortfall Total</w:t>
            </w:r>
            <w:r w:rsidRPr="00162CAA">
              <w:rPr>
                <w:iCs/>
                <w:sz w:val="20"/>
              </w:rPr>
              <w:t>—The sum of all QSEs’ capacity shortfalls, for an LCAP Effective Period for a 15-minute Settlement Interval</w:t>
            </w:r>
            <w:r w:rsidRPr="00162CAA">
              <w:rPr>
                <w:i/>
                <w:iCs/>
                <w:sz w:val="20"/>
              </w:rPr>
              <w:t xml:space="preserve"> i</w:t>
            </w:r>
            <w:r w:rsidRPr="00162CAA">
              <w:rPr>
                <w:iCs/>
                <w:sz w:val="20"/>
              </w:rPr>
              <w:t>.</w:t>
            </w:r>
          </w:p>
        </w:tc>
      </w:tr>
      <w:tr w:rsidR="00162CAA" w:rsidRPr="00162CAA" w14:paraId="2E3F7B4C"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51707F40" w14:textId="77777777" w:rsidR="00162CAA" w:rsidRPr="00162CAA" w:rsidRDefault="00162CAA" w:rsidP="00162CAA">
            <w:pPr>
              <w:spacing w:after="60"/>
              <w:rPr>
                <w:iCs/>
                <w:sz w:val="20"/>
              </w:rPr>
            </w:pPr>
            <w:r w:rsidRPr="00162CAA">
              <w:rPr>
                <w:iCs/>
                <w:sz w:val="20"/>
              </w:rPr>
              <w:t xml:space="preserve">LCAPCAP </w:t>
            </w:r>
            <w:r w:rsidRPr="00162CAA">
              <w:rPr>
                <w:i/>
                <w:iCs/>
                <w:sz w:val="20"/>
                <w:vertAlign w:val="subscript"/>
              </w:rPr>
              <w:t xml:space="preserve"> q, i</w:t>
            </w:r>
          </w:p>
        </w:tc>
        <w:tc>
          <w:tcPr>
            <w:tcW w:w="457" w:type="pct"/>
            <w:tcBorders>
              <w:top w:val="single" w:sz="6" w:space="0" w:color="auto"/>
              <w:left w:val="single" w:sz="6" w:space="0" w:color="auto"/>
              <w:bottom w:val="single" w:sz="6" w:space="0" w:color="auto"/>
              <w:right w:val="single" w:sz="6" w:space="0" w:color="auto"/>
            </w:tcBorders>
            <w:hideMark/>
          </w:tcPr>
          <w:p w14:paraId="63CE9A02"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07F71DD0" w14:textId="77777777" w:rsidR="00162CAA" w:rsidRPr="00162CAA" w:rsidRDefault="00162CAA" w:rsidP="00162CAA">
            <w:pPr>
              <w:spacing w:after="60"/>
              <w:rPr>
                <w:iCs/>
                <w:sz w:val="20"/>
              </w:rPr>
            </w:pPr>
            <w:r w:rsidRPr="00162CAA">
              <w:rPr>
                <w:i/>
                <w:iCs/>
                <w:sz w:val="20"/>
              </w:rPr>
              <w:t>LCAP Capacity at Adjustment Period</w:t>
            </w:r>
            <w:r w:rsidRPr="00162CAA">
              <w:rPr>
                <w:iCs/>
                <w:sz w:val="20"/>
              </w:rPr>
              <w:t xml:space="preserve">—The QSE </w:t>
            </w:r>
            <w:r w:rsidRPr="00162CAA">
              <w:rPr>
                <w:i/>
                <w:iCs/>
                <w:sz w:val="20"/>
              </w:rPr>
              <w:t>q</w:t>
            </w:r>
            <w:r w:rsidRPr="00162CAA">
              <w:rPr>
                <w:iCs/>
                <w:sz w:val="20"/>
              </w:rPr>
              <w:t>’s Adjustment Period calculated capacity for the 15-minute Settlement Interval</w:t>
            </w:r>
            <w:r w:rsidRPr="00162CAA">
              <w:rPr>
                <w:i/>
                <w:iCs/>
                <w:sz w:val="20"/>
              </w:rPr>
              <w:t xml:space="preserve"> i</w:t>
            </w:r>
            <w:r w:rsidRPr="00162CAA">
              <w:rPr>
                <w:iCs/>
                <w:sz w:val="20"/>
              </w:rPr>
              <w:t>.</w:t>
            </w:r>
          </w:p>
        </w:tc>
      </w:tr>
      <w:tr w:rsidR="00162CAA" w:rsidRPr="00162CAA" w14:paraId="02AC7AC6"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5469D811" w14:textId="77777777" w:rsidR="00162CAA" w:rsidRPr="00162CAA" w:rsidRDefault="00162CAA" w:rsidP="00162CAA">
            <w:pPr>
              <w:spacing w:after="60"/>
              <w:rPr>
                <w:iCs/>
                <w:sz w:val="20"/>
              </w:rPr>
            </w:pPr>
            <w:r w:rsidRPr="00162CAA">
              <w:rPr>
                <w:iCs/>
                <w:sz w:val="20"/>
              </w:rPr>
              <w:t xml:space="preserve">RTAML </w:t>
            </w:r>
            <w:r w:rsidRPr="00162CAA">
              <w:rPr>
                <w:i/>
                <w:iCs/>
                <w:sz w:val="20"/>
                <w:vertAlign w:val="subscript"/>
              </w:rPr>
              <w:t>q, p, i</w:t>
            </w:r>
          </w:p>
        </w:tc>
        <w:tc>
          <w:tcPr>
            <w:tcW w:w="457" w:type="pct"/>
            <w:tcBorders>
              <w:top w:val="single" w:sz="6" w:space="0" w:color="auto"/>
              <w:left w:val="single" w:sz="6" w:space="0" w:color="auto"/>
              <w:bottom w:val="single" w:sz="6" w:space="0" w:color="auto"/>
              <w:right w:val="single" w:sz="6" w:space="0" w:color="auto"/>
            </w:tcBorders>
            <w:hideMark/>
          </w:tcPr>
          <w:p w14:paraId="7B92EC9F" w14:textId="77777777" w:rsidR="00162CAA" w:rsidRPr="00162CAA" w:rsidRDefault="00162CAA" w:rsidP="00162CAA">
            <w:pPr>
              <w:spacing w:after="60"/>
              <w:jc w:val="center"/>
              <w:rPr>
                <w:iCs/>
                <w:sz w:val="20"/>
              </w:rPr>
            </w:pPr>
            <w:r w:rsidRPr="00162CAA">
              <w:rPr>
                <w:iCs/>
                <w:sz w:val="20"/>
              </w:rPr>
              <w:t>MWh</w:t>
            </w:r>
          </w:p>
        </w:tc>
        <w:tc>
          <w:tcPr>
            <w:tcW w:w="3448" w:type="pct"/>
            <w:tcBorders>
              <w:top w:val="single" w:sz="6" w:space="0" w:color="auto"/>
              <w:left w:val="single" w:sz="6" w:space="0" w:color="auto"/>
              <w:bottom w:val="single" w:sz="6" w:space="0" w:color="auto"/>
              <w:right w:val="single" w:sz="4" w:space="0" w:color="auto"/>
            </w:tcBorders>
            <w:hideMark/>
          </w:tcPr>
          <w:p w14:paraId="4E8C97E8" w14:textId="77777777" w:rsidR="00162CAA" w:rsidRPr="00162CAA" w:rsidRDefault="00162CAA" w:rsidP="00162CAA">
            <w:pPr>
              <w:spacing w:after="60"/>
              <w:rPr>
                <w:i/>
                <w:iCs/>
                <w:sz w:val="20"/>
              </w:rPr>
            </w:pPr>
            <w:r w:rsidRPr="00162CAA">
              <w:rPr>
                <w:i/>
                <w:iCs/>
                <w:sz w:val="20"/>
              </w:rPr>
              <w:t>Real-Time Adjusted Metered Load</w:t>
            </w:r>
            <w:r w:rsidRPr="00162CAA">
              <w:rPr>
                <w:iCs/>
                <w:sz w:val="20"/>
              </w:rPr>
              <w:t xml:space="preserve">—The QSE </w:t>
            </w:r>
            <w:r w:rsidRPr="00162CAA">
              <w:rPr>
                <w:i/>
                <w:iCs/>
                <w:sz w:val="20"/>
              </w:rPr>
              <w:t>q</w:t>
            </w:r>
            <w:r w:rsidRPr="00162CAA">
              <w:rPr>
                <w:iCs/>
                <w:sz w:val="20"/>
              </w:rPr>
              <w:t xml:space="preserve">’s Adjusted Metered Load (AML) at the Settlement Point </w:t>
            </w:r>
            <w:r w:rsidRPr="00162CAA">
              <w:rPr>
                <w:i/>
                <w:iCs/>
                <w:sz w:val="20"/>
              </w:rPr>
              <w:t>p</w:t>
            </w:r>
            <w:r w:rsidRPr="00162CAA">
              <w:rPr>
                <w:iCs/>
                <w:sz w:val="20"/>
              </w:rPr>
              <w:t xml:space="preserve"> for the 15-minute Settlement Interval</w:t>
            </w:r>
            <w:r w:rsidRPr="00162CAA">
              <w:rPr>
                <w:i/>
                <w:iCs/>
                <w:sz w:val="20"/>
              </w:rPr>
              <w:t xml:space="preserve"> i</w:t>
            </w:r>
            <w:r w:rsidRPr="00162CAA">
              <w:rPr>
                <w:iCs/>
                <w:sz w:val="20"/>
              </w:rPr>
              <w:t>.</w:t>
            </w:r>
          </w:p>
        </w:tc>
      </w:tr>
      <w:tr w:rsidR="00162CAA" w:rsidRPr="00162CAA" w14:paraId="6483A46B"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2DEEA917" w14:textId="77777777" w:rsidR="00162CAA" w:rsidRPr="00162CAA" w:rsidRDefault="00162CAA" w:rsidP="00162CAA">
            <w:pPr>
              <w:spacing w:after="60"/>
              <w:rPr>
                <w:iCs/>
                <w:sz w:val="20"/>
              </w:rPr>
            </w:pPr>
            <w:r w:rsidRPr="00162CAA">
              <w:rPr>
                <w:iCs/>
                <w:sz w:val="20"/>
              </w:rPr>
              <w:lastRenderedPageBreak/>
              <w:t>DCIMPADJ</w:t>
            </w:r>
            <w:r w:rsidRPr="00162CAA">
              <w:rPr>
                <w:i/>
                <w:iCs/>
                <w:sz w:val="20"/>
              </w:rPr>
              <w:t xml:space="preserve"> </w:t>
            </w:r>
            <w:r w:rsidRPr="00162CAA">
              <w:rPr>
                <w:i/>
                <w:iCs/>
                <w:sz w:val="20"/>
                <w:vertAlign w:val="subscript"/>
              </w:rPr>
              <w:t>q, p, i</w:t>
            </w:r>
          </w:p>
        </w:tc>
        <w:tc>
          <w:tcPr>
            <w:tcW w:w="457" w:type="pct"/>
            <w:tcBorders>
              <w:top w:val="single" w:sz="6" w:space="0" w:color="auto"/>
              <w:left w:val="single" w:sz="6" w:space="0" w:color="auto"/>
              <w:bottom w:val="single" w:sz="6" w:space="0" w:color="auto"/>
              <w:right w:val="single" w:sz="6" w:space="0" w:color="auto"/>
            </w:tcBorders>
            <w:hideMark/>
          </w:tcPr>
          <w:p w14:paraId="37D9A2D0"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3347CCAC" w14:textId="77777777" w:rsidR="00162CAA" w:rsidRPr="00162CAA" w:rsidRDefault="00162CAA" w:rsidP="00162CAA">
            <w:pPr>
              <w:spacing w:after="60"/>
              <w:rPr>
                <w:i/>
                <w:iCs/>
                <w:sz w:val="20"/>
              </w:rPr>
            </w:pPr>
            <w:r w:rsidRPr="00162CAA">
              <w:rPr>
                <w:i/>
                <w:iCs/>
                <w:sz w:val="20"/>
              </w:rPr>
              <w:t>DC Tie Import per QSE per Settlement Point</w:t>
            </w:r>
            <w:r w:rsidRPr="00162CAA">
              <w:rPr>
                <w:iCs/>
                <w:sz w:val="20"/>
              </w:rPr>
              <w:t xml:space="preserve">—The approved aggregated DC Tie Schedule submitted by QSE </w:t>
            </w:r>
            <w:r w:rsidRPr="00162CAA">
              <w:rPr>
                <w:i/>
                <w:iCs/>
                <w:sz w:val="20"/>
              </w:rPr>
              <w:t>q</w:t>
            </w:r>
            <w:r w:rsidRPr="00162CAA">
              <w:rPr>
                <w:iCs/>
                <w:sz w:val="20"/>
              </w:rPr>
              <w:t xml:space="preserve"> as an importer into the ERCOT System through DC Tie </w:t>
            </w:r>
            <w:r w:rsidRPr="00162CAA">
              <w:rPr>
                <w:i/>
                <w:iCs/>
                <w:sz w:val="20"/>
              </w:rPr>
              <w:t>p</w:t>
            </w:r>
            <w:r w:rsidRPr="00162CAA">
              <w:rPr>
                <w:iCs/>
                <w:sz w:val="20"/>
              </w:rPr>
              <w:t xml:space="preserve"> according to the Adjustment Period snapshot, for the 15-minute Settlement Interval</w:t>
            </w:r>
            <w:r w:rsidRPr="00162CAA">
              <w:rPr>
                <w:i/>
                <w:iCs/>
                <w:sz w:val="20"/>
              </w:rPr>
              <w:t xml:space="preserve"> i</w:t>
            </w:r>
            <w:r w:rsidRPr="00162CAA">
              <w:rPr>
                <w:iCs/>
                <w:sz w:val="20"/>
              </w:rPr>
              <w:t>.</w:t>
            </w:r>
          </w:p>
        </w:tc>
      </w:tr>
      <w:tr w:rsidR="00162CAA" w:rsidRPr="00162CAA" w14:paraId="6A1A14BF"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29479715" w14:textId="77777777" w:rsidR="00162CAA" w:rsidRPr="00162CAA" w:rsidRDefault="00162CAA" w:rsidP="00162CAA">
            <w:pPr>
              <w:spacing w:after="60"/>
              <w:rPr>
                <w:iCs/>
                <w:sz w:val="20"/>
              </w:rPr>
            </w:pPr>
            <w:r w:rsidRPr="00162CAA">
              <w:rPr>
                <w:iCs/>
                <w:sz w:val="20"/>
              </w:rPr>
              <w:t xml:space="preserve">LCAPHASLADJ </w:t>
            </w:r>
            <w:r w:rsidRPr="00162CAA">
              <w:rPr>
                <w:i/>
                <w:iCs/>
                <w:sz w:val="20"/>
                <w:vertAlign w:val="subscript"/>
              </w:rPr>
              <w:t>q, r, h</w:t>
            </w:r>
          </w:p>
        </w:tc>
        <w:tc>
          <w:tcPr>
            <w:tcW w:w="457" w:type="pct"/>
            <w:tcBorders>
              <w:top w:val="single" w:sz="6" w:space="0" w:color="auto"/>
              <w:left w:val="single" w:sz="6" w:space="0" w:color="auto"/>
              <w:bottom w:val="single" w:sz="6" w:space="0" w:color="auto"/>
              <w:right w:val="single" w:sz="6" w:space="0" w:color="auto"/>
            </w:tcBorders>
            <w:hideMark/>
          </w:tcPr>
          <w:p w14:paraId="3A7BBDEC"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3831D08A" w14:textId="77777777" w:rsidR="00162CAA" w:rsidRPr="00162CAA" w:rsidRDefault="00162CAA" w:rsidP="00162CAA">
            <w:pPr>
              <w:spacing w:after="60"/>
              <w:rPr>
                <w:i/>
                <w:iCs/>
                <w:sz w:val="20"/>
              </w:rPr>
            </w:pPr>
            <w:r w:rsidRPr="00162CAA">
              <w:rPr>
                <w:i/>
                <w:iCs/>
                <w:sz w:val="20"/>
              </w:rPr>
              <w:t>LCAP Effective Period High Ancillary Services Limit at Adjustment Period</w:t>
            </w:r>
            <w:r w:rsidRPr="00162CAA">
              <w:rPr>
                <w:iCs/>
                <w:sz w:val="20"/>
              </w:rPr>
              <w:t xml:space="preserve">—The HASL of Resource </w:t>
            </w:r>
            <w:r w:rsidRPr="00162CAA">
              <w:rPr>
                <w:i/>
                <w:iCs/>
                <w:sz w:val="20"/>
              </w:rPr>
              <w:t>r,</w:t>
            </w:r>
            <w:r w:rsidRPr="00162CAA">
              <w:rPr>
                <w:iCs/>
                <w:sz w:val="20"/>
              </w:rPr>
              <w:t xml:space="preserve"> represented by the QSE </w:t>
            </w:r>
            <w:r w:rsidRPr="00162CAA">
              <w:rPr>
                <w:i/>
                <w:iCs/>
                <w:sz w:val="20"/>
              </w:rPr>
              <w:t>q</w:t>
            </w:r>
            <w:r w:rsidRPr="00162CAA">
              <w:rPr>
                <w:iCs/>
                <w:sz w:val="20"/>
              </w:rPr>
              <w:t xml:space="preserve">, according to the Adjustment Period COP and Trades snapshot, for the hour </w:t>
            </w:r>
            <w:r w:rsidRPr="00162CAA">
              <w:rPr>
                <w:i/>
                <w:iCs/>
                <w:sz w:val="20"/>
              </w:rPr>
              <w:t>h</w:t>
            </w:r>
            <w:r w:rsidRPr="00162CAA">
              <w:rPr>
                <w:iCs/>
                <w:sz w:val="20"/>
              </w:rPr>
              <w:t xml:space="preserve"> that includes the 15-minute Settlement Interval.  Where for a Combined Cycle Train, the Resource </w:t>
            </w:r>
            <w:r w:rsidRPr="00162CAA">
              <w:rPr>
                <w:i/>
                <w:iCs/>
                <w:sz w:val="20"/>
              </w:rPr>
              <w:t xml:space="preserve">r </w:t>
            </w:r>
            <w:r w:rsidRPr="00162CAA">
              <w:rPr>
                <w:iCs/>
                <w:sz w:val="20"/>
              </w:rPr>
              <w:t xml:space="preserve">is a Combined Cycle Generation Resource within the Combined Cycle Train.  </w:t>
            </w:r>
          </w:p>
        </w:tc>
      </w:tr>
      <w:tr w:rsidR="00162CAA" w:rsidRPr="00162CAA" w14:paraId="75E2E31D"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059AE2B2" w14:textId="77777777" w:rsidR="00162CAA" w:rsidRPr="00162CAA" w:rsidRDefault="00162CAA" w:rsidP="00162CAA">
            <w:pPr>
              <w:spacing w:after="60"/>
              <w:rPr>
                <w:iCs/>
                <w:sz w:val="20"/>
              </w:rPr>
            </w:pPr>
            <w:r w:rsidRPr="00162CAA">
              <w:rPr>
                <w:iCs/>
                <w:sz w:val="20"/>
              </w:rPr>
              <w:t xml:space="preserve">RUCCPADJ </w:t>
            </w:r>
            <w:r w:rsidRPr="00162CAA">
              <w:rPr>
                <w:i/>
                <w:iCs/>
                <w:sz w:val="20"/>
                <w:vertAlign w:val="subscript"/>
              </w:rPr>
              <w:t>q, h</w:t>
            </w:r>
          </w:p>
        </w:tc>
        <w:tc>
          <w:tcPr>
            <w:tcW w:w="457" w:type="pct"/>
            <w:tcBorders>
              <w:top w:val="single" w:sz="6" w:space="0" w:color="auto"/>
              <w:left w:val="single" w:sz="6" w:space="0" w:color="auto"/>
              <w:bottom w:val="single" w:sz="6" w:space="0" w:color="auto"/>
              <w:right w:val="single" w:sz="6" w:space="0" w:color="auto"/>
            </w:tcBorders>
            <w:hideMark/>
          </w:tcPr>
          <w:p w14:paraId="21F76B15"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2BD3C2BF" w14:textId="36EEA5CC" w:rsidR="00162CAA" w:rsidRPr="00162CAA" w:rsidRDefault="00162CAA" w:rsidP="00162CAA">
            <w:pPr>
              <w:spacing w:after="60"/>
              <w:rPr>
                <w:i/>
                <w:iCs/>
                <w:sz w:val="20"/>
              </w:rPr>
            </w:pPr>
            <w:r w:rsidRPr="00162CAA">
              <w:rPr>
                <w:i/>
                <w:iCs/>
                <w:sz w:val="20"/>
              </w:rPr>
              <w:t>RUC Capacity Purchase at Adjustment Period</w:t>
            </w:r>
            <w:r w:rsidRPr="00162CAA">
              <w:rPr>
                <w:iCs/>
                <w:sz w:val="20"/>
              </w:rPr>
              <w:t xml:space="preserve">—The QSE </w:t>
            </w:r>
            <w:r w:rsidRPr="00162CAA">
              <w:rPr>
                <w:i/>
                <w:iCs/>
                <w:sz w:val="20"/>
              </w:rPr>
              <w:t>q</w:t>
            </w:r>
            <w:r w:rsidRPr="00162CAA">
              <w:rPr>
                <w:iCs/>
                <w:sz w:val="20"/>
              </w:rPr>
              <w:t xml:space="preserve">’s capacity purchase, according to the Adjustment Period </w:t>
            </w:r>
            <w:r w:rsidR="003D3379">
              <w:rPr>
                <w:iCs/>
                <w:sz w:val="20"/>
              </w:rPr>
              <w:t>s</w:t>
            </w:r>
            <w:r w:rsidRPr="00162CAA">
              <w:rPr>
                <w:iCs/>
                <w:sz w:val="20"/>
              </w:rPr>
              <w:t xml:space="preserve">napshot for the hour </w:t>
            </w:r>
            <w:r w:rsidRPr="00162CAA">
              <w:rPr>
                <w:i/>
                <w:iCs/>
                <w:sz w:val="20"/>
              </w:rPr>
              <w:t>h</w:t>
            </w:r>
            <w:r w:rsidRPr="00162CAA">
              <w:rPr>
                <w:iCs/>
                <w:sz w:val="20"/>
              </w:rPr>
              <w:t xml:space="preserve"> that includes the 15-minute Settlement Interval.</w:t>
            </w:r>
          </w:p>
        </w:tc>
      </w:tr>
      <w:tr w:rsidR="00162CAA" w:rsidRPr="00162CAA" w14:paraId="7FEAC0C1"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1C2FC58D" w14:textId="77777777" w:rsidR="00162CAA" w:rsidRPr="00162CAA" w:rsidRDefault="00162CAA" w:rsidP="00162CAA">
            <w:pPr>
              <w:spacing w:after="60"/>
              <w:rPr>
                <w:iCs/>
                <w:sz w:val="20"/>
              </w:rPr>
            </w:pPr>
            <w:r w:rsidRPr="00162CAA">
              <w:rPr>
                <w:iCs/>
                <w:sz w:val="20"/>
              </w:rPr>
              <w:t xml:space="preserve">RUCCSADJ </w:t>
            </w:r>
            <w:r w:rsidRPr="00162CAA">
              <w:rPr>
                <w:i/>
                <w:iCs/>
                <w:sz w:val="20"/>
                <w:vertAlign w:val="subscript"/>
              </w:rPr>
              <w:t>q, h</w:t>
            </w:r>
          </w:p>
        </w:tc>
        <w:tc>
          <w:tcPr>
            <w:tcW w:w="457" w:type="pct"/>
            <w:tcBorders>
              <w:top w:val="single" w:sz="6" w:space="0" w:color="auto"/>
              <w:left w:val="single" w:sz="6" w:space="0" w:color="auto"/>
              <w:bottom w:val="single" w:sz="6" w:space="0" w:color="auto"/>
              <w:right w:val="single" w:sz="6" w:space="0" w:color="auto"/>
            </w:tcBorders>
            <w:hideMark/>
          </w:tcPr>
          <w:p w14:paraId="6FBA68FE"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5D5AD002" w14:textId="7014ADAF" w:rsidR="00162CAA" w:rsidRPr="00162CAA" w:rsidRDefault="00162CAA" w:rsidP="00162CAA">
            <w:pPr>
              <w:spacing w:after="60"/>
              <w:rPr>
                <w:i/>
                <w:iCs/>
                <w:sz w:val="20"/>
              </w:rPr>
            </w:pPr>
            <w:r w:rsidRPr="00162CAA">
              <w:rPr>
                <w:i/>
                <w:iCs/>
                <w:sz w:val="20"/>
              </w:rPr>
              <w:t>RUC Capacity Sale at Adjustment Period</w:t>
            </w:r>
            <w:r w:rsidRPr="00162CAA">
              <w:rPr>
                <w:iCs/>
                <w:sz w:val="20"/>
              </w:rPr>
              <w:t xml:space="preserve">—The QSE </w:t>
            </w:r>
            <w:r w:rsidRPr="00162CAA">
              <w:rPr>
                <w:i/>
                <w:iCs/>
                <w:sz w:val="20"/>
              </w:rPr>
              <w:t>q</w:t>
            </w:r>
            <w:r w:rsidRPr="00162CAA">
              <w:rPr>
                <w:iCs/>
                <w:sz w:val="20"/>
              </w:rPr>
              <w:t xml:space="preserve">’s capacity sale, according to the Adjustment Period </w:t>
            </w:r>
            <w:r w:rsidR="003D3379">
              <w:rPr>
                <w:iCs/>
                <w:sz w:val="20"/>
              </w:rPr>
              <w:t>s</w:t>
            </w:r>
            <w:r w:rsidRPr="00162CAA">
              <w:rPr>
                <w:iCs/>
                <w:sz w:val="20"/>
              </w:rPr>
              <w:t xml:space="preserve">napshot for the hour </w:t>
            </w:r>
            <w:r w:rsidRPr="00162CAA">
              <w:rPr>
                <w:i/>
                <w:iCs/>
                <w:sz w:val="20"/>
              </w:rPr>
              <w:t>h</w:t>
            </w:r>
            <w:r w:rsidRPr="00162CAA">
              <w:rPr>
                <w:iCs/>
                <w:sz w:val="20"/>
              </w:rPr>
              <w:t xml:space="preserve"> that includes the 15-minute Settlement Interval.</w:t>
            </w:r>
          </w:p>
        </w:tc>
      </w:tr>
      <w:tr w:rsidR="00162CAA" w:rsidRPr="00162CAA" w14:paraId="1309CFEA"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6BF198C2" w14:textId="77777777" w:rsidR="00162CAA" w:rsidRPr="00162CAA" w:rsidRDefault="00162CAA" w:rsidP="00162CAA">
            <w:pPr>
              <w:spacing w:after="60"/>
              <w:rPr>
                <w:iCs/>
                <w:sz w:val="20"/>
              </w:rPr>
            </w:pPr>
            <w:r w:rsidRPr="00162CAA">
              <w:rPr>
                <w:iCs/>
                <w:sz w:val="20"/>
              </w:rPr>
              <w:t xml:space="preserve">DAEP </w:t>
            </w:r>
            <w:r w:rsidRPr="00162CAA">
              <w:rPr>
                <w:i/>
                <w:iCs/>
                <w:sz w:val="20"/>
                <w:vertAlign w:val="subscript"/>
              </w:rPr>
              <w:t>q, p, h</w:t>
            </w:r>
          </w:p>
        </w:tc>
        <w:tc>
          <w:tcPr>
            <w:tcW w:w="457" w:type="pct"/>
            <w:tcBorders>
              <w:top w:val="single" w:sz="6" w:space="0" w:color="auto"/>
              <w:left w:val="single" w:sz="6" w:space="0" w:color="auto"/>
              <w:bottom w:val="single" w:sz="6" w:space="0" w:color="auto"/>
              <w:right w:val="single" w:sz="6" w:space="0" w:color="auto"/>
            </w:tcBorders>
            <w:hideMark/>
          </w:tcPr>
          <w:p w14:paraId="2E7E3301"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3A776FD3" w14:textId="77777777" w:rsidR="00162CAA" w:rsidRPr="00162CAA" w:rsidRDefault="00162CAA" w:rsidP="00162CAA">
            <w:pPr>
              <w:spacing w:after="60"/>
              <w:rPr>
                <w:i/>
                <w:iCs/>
                <w:sz w:val="20"/>
              </w:rPr>
            </w:pPr>
            <w:r w:rsidRPr="00162CAA">
              <w:rPr>
                <w:i/>
                <w:iCs/>
                <w:sz w:val="20"/>
              </w:rPr>
              <w:t>Day-Ahead Energy Purchase</w:t>
            </w:r>
            <w:r w:rsidRPr="00162CAA">
              <w:rPr>
                <w:iCs/>
                <w:sz w:val="20"/>
              </w:rPr>
              <w:t xml:space="preserve">—The QSE </w:t>
            </w:r>
            <w:r w:rsidRPr="00162CAA">
              <w:rPr>
                <w:i/>
                <w:iCs/>
                <w:sz w:val="20"/>
              </w:rPr>
              <w:t>q</w:t>
            </w:r>
            <w:r w:rsidRPr="00162CAA">
              <w:rPr>
                <w:iCs/>
                <w:sz w:val="20"/>
              </w:rPr>
              <w:t xml:space="preserve">’s energy purchased in the DAM at the Settlement Point </w:t>
            </w:r>
            <w:r w:rsidRPr="00162CAA">
              <w:rPr>
                <w:i/>
                <w:iCs/>
                <w:sz w:val="20"/>
              </w:rPr>
              <w:t>p</w:t>
            </w:r>
            <w:r w:rsidRPr="00162CAA">
              <w:rPr>
                <w:iCs/>
                <w:sz w:val="20"/>
              </w:rPr>
              <w:t xml:space="preserve"> for the hour</w:t>
            </w:r>
            <w:r w:rsidRPr="00162CAA">
              <w:rPr>
                <w:i/>
                <w:iCs/>
                <w:sz w:val="20"/>
              </w:rPr>
              <w:t xml:space="preserve"> h</w:t>
            </w:r>
            <w:r w:rsidRPr="00162CAA">
              <w:rPr>
                <w:iCs/>
                <w:sz w:val="20"/>
              </w:rPr>
              <w:t xml:space="preserve"> that includes the 15-minute Settlement Interval.</w:t>
            </w:r>
          </w:p>
        </w:tc>
      </w:tr>
      <w:tr w:rsidR="00162CAA" w:rsidRPr="00162CAA" w14:paraId="2204C557"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7A7A0AD0" w14:textId="77777777" w:rsidR="00162CAA" w:rsidRPr="00162CAA" w:rsidRDefault="00162CAA" w:rsidP="00162CAA">
            <w:pPr>
              <w:spacing w:after="60"/>
              <w:rPr>
                <w:iCs/>
                <w:sz w:val="20"/>
              </w:rPr>
            </w:pPr>
            <w:r w:rsidRPr="00162CAA">
              <w:rPr>
                <w:iCs/>
                <w:sz w:val="20"/>
              </w:rPr>
              <w:t xml:space="preserve">DAES </w:t>
            </w:r>
            <w:r w:rsidRPr="00162CAA">
              <w:rPr>
                <w:i/>
                <w:iCs/>
                <w:sz w:val="20"/>
                <w:vertAlign w:val="subscript"/>
              </w:rPr>
              <w:t>q, p, h</w:t>
            </w:r>
          </w:p>
        </w:tc>
        <w:tc>
          <w:tcPr>
            <w:tcW w:w="457" w:type="pct"/>
            <w:tcBorders>
              <w:top w:val="single" w:sz="6" w:space="0" w:color="auto"/>
              <w:left w:val="single" w:sz="6" w:space="0" w:color="auto"/>
              <w:bottom w:val="single" w:sz="6" w:space="0" w:color="auto"/>
              <w:right w:val="single" w:sz="6" w:space="0" w:color="auto"/>
            </w:tcBorders>
            <w:hideMark/>
          </w:tcPr>
          <w:p w14:paraId="36FDC05B"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3FC92106" w14:textId="77777777" w:rsidR="00162CAA" w:rsidRPr="00162CAA" w:rsidRDefault="00162CAA" w:rsidP="00162CAA">
            <w:pPr>
              <w:spacing w:after="60"/>
              <w:rPr>
                <w:i/>
                <w:iCs/>
                <w:sz w:val="20"/>
              </w:rPr>
            </w:pPr>
            <w:r w:rsidRPr="00162CAA">
              <w:rPr>
                <w:i/>
                <w:iCs/>
                <w:sz w:val="20"/>
              </w:rPr>
              <w:t>Day-Ahead Energy Sale</w:t>
            </w:r>
            <w:r w:rsidRPr="00162CAA">
              <w:rPr>
                <w:iCs/>
                <w:sz w:val="20"/>
              </w:rPr>
              <w:t xml:space="preserve">—The QSE </w:t>
            </w:r>
            <w:r w:rsidRPr="00162CAA">
              <w:rPr>
                <w:i/>
                <w:iCs/>
                <w:sz w:val="20"/>
              </w:rPr>
              <w:t>q</w:t>
            </w:r>
            <w:r w:rsidRPr="00162CAA">
              <w:rPr>
                <w:iCs/>
                <w:sz w:val="20"/>
              </w:rPr>
              <w:t xml:space="preserve">’s energy sold in the DAM at the Settlement Point </w:t>
            </w:r>
            <w:r w:rsidRPr="00162CAA">
              <w:rPr>
                <w:i/>
                <w:iCs/>
                <w:sz w:val="20"/>
              </w:rPr>
              <w:t>p</w:t>
            </w:r>
            <w:r w:rsidRPr="00162CAA">
              <w:rPr>
                <w:iCs/>
                <w:sz w:val="20"/>
              </w:rPr>
              <w:t xml:space="preserve"> for the hour</w:t>
            </w:r>
            <w:r w:rsidRPr="00162CAA">
              <w:rPr>
                <w:i/>
                <w:iCs/>
                <w:sz w:val="20"/>
              </w:rPr>
              <w:t xml:space="preserve"> h</w:t>
            </w:r>
            <w:r w:rsidRPr="00162CAA">
              <w:rPr>
                <w:iCs/>
                <w:sz w:val="20"/>
              </w:rPr>
              <w:t xml:space="preserve"> that includes the 15-minute Settlement Interval.</w:t>
            </w:r>
          </w:p>
        </w:tc>
      </w:tr>
      <w:tr w:rsidR="00162CAA" w:rsidRPr="00162CAA" w14:paraId="491D04D0"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2C134C22" w14:textId="77777777" w:rsidR="00162CAA" w:rsidRPr="00162CAA" w:rsidRDefault="00162CAA" w:rsidP="00162CAA">
            <w:pPr>
              <w:spacing w:after="60"/>
              <w:rPr>
                <w:iCs/>
                <w:sz w:val="20"/>
              </w:rPr>
            </w:pPr>
            <w:r w:rsidRPr="00162CAA">
              <w:rPr>
                <w:iCs/>
                <w:sz w:val="20"/>
              </w:rPr>
              <w:t xml:space="preserve">RTQQEPADJ </w:t>
            </w:r>
            <w:r w:rsidRPr="00162CAA">
              <w:rPr>
                <w:i/>
                <w:iCs/>
                <w:sz w:val="20"/>
                <w:vertAlign w:val="subscript"/>
              </w:rPr>
              <w:t>q, p, i</w:t>
            </w:r>
          </w:p>
        </w:tc>
        <w:tc>
          <w:tcPr>
            <w:tcW w:w="457" w:type="pct"/>
            <w:tcBorders>
              <w:top w:val="single" w:sz="6" w:space="0" w:color="auto"/>
              <w:left w:val="single" w:sz="6" w:space="0" w:color="auto"/>
              <w:bottom w:val="single" w:sz="6" w:space="0" w:color="auto"/>
              <w:right w:val="single" w:sz="6" w:space="0" w:color="auto"/>
            </w:tcBorders>
            <w:hideMark/>
          </w:tcPr>
          <w:p w14:paraId="7B5C90A9"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29269B35" w14:textId="77777777" w:rsidR="00162CAA" w:rsidRPr="00162CAA" w:rsidRDefault="00162CAA" w:rsidP="00162CAA">
            <w:pPr>
              <w:spacing w:after="60"/>
              <w:rPr>
                <w:iCs/>
                <w:sz w:val="20"/>
              </w:rPr>
            </w:pPr>
            <w:r w:rsidRPr="00162CAA">
              <w:rPr>
                <w:i/>
                <w:iCs/>
                <w:sz w:val="20"/>
              </w:rPr>
              <w:t>QSE-to-QSE Energy Purchase by QSE by point</w:t>
            </w:r>
            <w:r w:rsidRPr="00162CAA">
              <w:rPr>
                <w:iCs/>
                <w:sz w:val="20"/>
              </w:rPr>
              <w:t xml:space="preserve">—The QSE </w:t>
            </w:r>
            <w:r w:rsidRPr="00162CAA">
              <w:rPr>
                <w:i/>
                <w:iCs/>
                <w:sz w:val="20"/>
              </w:rPr>
              <w:t>q</w:t>
            </w:r>
            <w:r w:rsidRPr="00162CAA">
              <w:rPr>
                <w:iCs/>
                <w:sz w:val="20"/>
              </w:rPr>
              <w:t xml:space="preserve">’s Energy Trades in which the QSE is the buyer at the delivery Settlement Point </w:t>
            </w:r>
            <w:r w:rsidRPr="00162CAA">
              <w:rPr>
                <w:i/>
                <w:iCs/>
                <w:sz w:val="20"/>
              </w:rPr>
              <w:t>p</w:t>
            </w:r>
            <w:r w:rsidRPr="00162CAA">
              <w:rPr>
                <w:iCs/>
                <w:sz w:val="20"/>
              </w:rPr>
              <w:t xml:space="preserve"> for the 15-minute Settlement Interval</w:t>
            </w:r>
            <w:r w:rsidRPr="00162CAA">
              <w:rPr>
                <w:i/>
                <w:iCs/>
                <w:sz w:val="20"/>
              </w:rPr>
              <w:t xml:space="preserve"> i</w:t>
            </w:r>
            <w:r w:rsidRPr="00162CAA">
              <w:rPr>
                <w:iCs/>
                <w:sz w:val="20"/>
              </w:rPr>
              <w:t>, according to the Adjustment Period snapshot.</w:t>
            </w:r>
          </w:p>
        </w:tc>
      </w:tr>
      <w:tr w:rsidR="00162CAA" w:rsidRPr="00162CAA" w14:paraId="3B2A375E"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794E811E" w14:textId="77777777" w:rsidR="00162CAA" w:rsidRPr="00162CAA" w:rsidRDefault="00162CAA" w:rsidP="00162CAA">
            <w:pPr>
              <w:spacing w:after="60"/>
              <w:rPr>
                <w:iCs/>
                <w:sz w:val="20"/>
              </w:rPr>
            </w:pPr>
            <w:r w:rsidRPr="00162CAA">
              <w:rPr>
                <w:iCs/>
                <w:sz w:val="20"/>
              </w:rPr>
              <w:t xml:space="preserve">RTQQESADJ </w:t>
            </w:r>
            <w:r w:rsidRPr="00162CAA">
              <w:rPr>
                <w:i/>
                <w:iCs/>
                <w:sz w:val="20"/>
                <w:vertAlign w:val="subscript"/>
              </w:rPr>
              <w:t>q, p, i</w:t>
            </w:r>
          </w:p>
        </w:tc>
        <w:tc>
          <w:tcPr>
            <w:tcW w:w="457" w:type="pct"/>
            <w:tcBorders>
              <w:top w:val="single" w:sz="6" w:space="0" w:color="auto"/>
              <w:left w:val="single" w:sz="6" w:space="0" w:color="auto"/>
              <w:bottom w:val="single" w:sz="6" w:space="0" w:color="auto"/>
              <w:right w:val="single" w:sz="6" w:space="0" w:color="auto"/>
            </w:tcBorders>
            <w:hideMark/>
          </w:tcPr>
          <w:p w14:paraId="53BC48C5" w14:textId="77777777" w:rsidR="00162CAA" w:rsidRPr="00162CAA" w:rsidRDefault="00162CAA" w:rsidP="00162CAA">
            <w:pPr>
              <w:spacing w:after="60"/>
              <w:jc w:val="center"/>
              <w:rPr>
                <w:iCs/>
                <w:sz w:val="20"/>
              </w:rPr>
            </w:pPr>
            <w:r w:rsidRPr="00162CAA">
              <w:rPr>
                <w:iCs/>
                <w:sz w:val="20"/>
              </w:rPr>
              <w:t>MW</w:t>
            </w:r>
          </w:p>
        </w:tc>
        <w:tc>
          <w:tcPr>
            <w:tcW w:w="3448" w:type="pct"/>
            <w:tcBorders>
              <w:top w:val="single" w:sz="6" w:space="0" w:color="auto"/>
              <w:left w:val="single" w:sz="6" w:space="0" w:color="auto"/>
              <w:bottom w:val="single" w:sz="6" w:space="0" w:color="auto"/>
              <w:right w:val="single" w:sz="4" w:space="0" w:color="auto"/>
            </w:tcBorders>
            <w:hideMark/>
          </w:tcPr>
          <w:p w14:paraId="7940848E" w14:textId="77777777" w:rsidR="00162CAA" w:rsidRPr="00162CAA" w:rsidRDefault="00162CAA" w:rsidP="00162CAA">
            <w:pPr>
              <w:spacing w:after="60"/>
              <w:rPr>
                <w:i/>
                <w:iCs/>
                <w:sz w:val="20"/>
              </w:rPr>
            </w:pPr>
            <w:r w:rsidRPr="00162CAA">
              <w:rPr>
                <w:i/>
                <w:iCs/>
                <w:sz w:val="20"/>
              </w:rPr>
              <w:t>QSE-to-QSE Energy Sale by QSE by point</w:t>
            </w:r>
            <w:r w:rsidRPr="00162CAA">
              <w:rPr>
                <w:iCs/>
                <w:sz w:val="20"/>
              </w:rPr>
              <w:t xml:space="preserve">—The QSE </w:t>
            </w:r>
            <w:r w:rsidRPr="00162CAA">
              <w:rPr>
                <w:i/>
                <w:iCs/>
                <w:sz w:val="20"/>
              </w:rPr>
              <w:t>q</w:t>
            </w:r>
            <w:r w:rsidRPr="00162CAA">
              <w:rPr>
                <w:iCs/>
                <w:sz w:val="20"/>
              </w:rPr>
              <w:t xml:space="preserve">’s Energy Trades in which the QSE is the seller at the delivery Settlement Point </w:t>
            </w:r>
            <w:r w:rsidRPr="00162CAA">
              <w:rPr>
                <w:i/>
                <w:iCs/>
                <w:sz w:val="20"/>
              </w:rPr>
              <w:t>p</w:t>
            </w:r>
            <w:r w:rsidRPr="00162CAA">
              <w:rPr>
                <w:iCs/>
                <w:sz w:val="20"/>
              </w:rPr>
              <w:t xml:space="preserve"> for the 15-minute Settlement Interval</w:t>
            </w:r>
            <w:r w:rsidRPr="00162CAA">
              <w:rPr>
                <w:i/>
                <w:iCs/>
                <w:sz w:val="20"/>
              </w:rPr>
              <w:t xml:space="preserve"> i</w:t>
            </w:r>
            <w:r w:rsidRPr="00162CAA">
              <w:rPr>
                <w:iCs/>
                <w:sz w:val="20"/>
              </w:rPr>
              <w:t>, according to the Adjustment Period snapshot.</w:t>
            </w:r>
          </w:p>
        </w:tc>
      </w:tr>
      <w:tr w:rsidR="00162CAA" w:rsidRPr="00162CAA" w14:paraId="330BC1D8"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5D9AEDAF" w14:textId="77777777" w:rsidR="00162CAA" w:rsidRPr="00162CAA" w:rsidRDefault="00162CAA" w:rsidP="00162CAA">
            <w:pPr>
              <w:spacing w:after="60"/>
              <w:rPr>
                <w:iCs/>
                <w:sz w:val="20"/>
              </w:rPr>
            </w:pPr>
            <w:r w:rsidRPr="00162CAA">
              <w:rPr>
                <w:i/>
                <w:iCs/>
                <w:sz w:val="20"/>
              </w:rPr>
              <w:t>q</w:t>
            </w:r>
          </w:p>
        </w:tc>
        <w:tc>
          <w:tcPr>
            <w:tcW w:w="457" w:type="pct"/>
            <w:tcBorders>
              <w:top w:val="single" w:sz="6" w:space="0" w:color="auto"/>
              <w:left w:val="single" w:sz="6" w:space="0" w:color="auto"/>
              <w:bottom w:val="single" w:sz="6" w:space="0" w:color="auto"/>
              <w:right w:val="single" w:sz="6" w:space="0" w:color="auto"/>
            </w:tcBorders>
            <w:hideMark/>
          </w:tcPr>
          <w:p w14:paraId="1B9D38EE" w14:textId="77777777" w:rsidR="00162CAA" w:rsidRPr="00162CAA" w:rsidRDefault="00162CAA" w:rsidP="00162CAA">
            <w:pPr>
              <w:spacing w:after="60"/>
              <w:jc w:val="center"/>
              <w:rPr>
                <w:iCs/>
                <w:sz w:val="20"/>
              </w:rPr>
            </w:pPr>
            <w:r w:rsidRPr="00162CAA">
              <w:rPr>
                <w:iCs/>
                <w:sz w:val="20"/>
              </w:rPr>
              <w:t>none</w:t>
            </w:r>
          </w:p>
        </w:tc>
        <w:tc>
          <w:tcPr>
            <w:tcW w:w="3448" w:type="pct"/>
            <w:tcBorders>
              <w:top w:val="single" w:sz="6" w:space="0" w:color="auto"/>
              <w:left w:val="single" w:sz="6" w:space="0" w:color="auto"/>
              <w:bottom w:val="single" w:sz="6" w:space="0" w:color="auto"/>
              <w:right w:val="single" w:sz="4" w:space="0" w:color="auto"/>
            </w:tcBorders>
            <w:hideMark/>
          </w:tcPr>
          <w:p w14:paraId="799DBA94" w14:textId="77777777" w:rsidR="00162CAA" w:rsidRPr="00162CAA" w:rsidRDefault="00162CAA" w:rsidP="00162CAA">
            <w:pPr>
              <w:spacing w:after="60"/>
              <w:rPr>
                <w:i/>
                <w:iCs/>
                <w:sz w:val="20"/>
              </w:rPr>
            </w:pPr>
            <w:r w:rsidRPr="00162CAA">
              <w:rPr>
                <w:iCs/>
                <w:sz w:val="20"/>
              </w:rPr>
              <w:t>A QSE.</w:t>
            </w:r>
          </w:p>
        </w:tc>
      </w:tr>
      <w:tr w:rsidR="00162CAA" w:rsidRPr="00162CAA" w14:paraId="67DDD877" w14:textId="77777777" w:rsidTr="00764A29">
        <w:trPr>
          <w:cantSplit/>
        </w:trPr>
        <w:tc>
          <w:tcPr>
            <w:tcW w:w="1095" w:type="pct"/>
            <w:tcBorders>
              <w:top w:val="single" w:sz="6" w:space="0" w:color="auto"/>
              <w:left w:val="single" w:sz="4" w:space="0" w:color="auto"/>
              <w:bottom w:val="single" w:sz="6" w:space="0" w:color="auto"/>
              <w:right w:val="single" w:sz="6" w:space="0" w:color="auto"/>
            </w:tcBorders>
            <w:hideMark/>
          </w:tcPr>
          <w:p w14:paraId="65183B88" w14:textId="77777777" w:rsidR="00162CAA" w:rsidRPr="00162CAA" w:rsidRDefault="00162CAA" w:rsidP="00162CAA">
            <w:pPr>
              <w:spacing w:after="60"/>
              <w:rPr>
                <w:iCs/>
                <w:sz w:val="20"/>
              </w:rPr>
            </w:pPr>
            <w:r w:rsidRPr="00162CAA">
              <w:rPr>
                <w:i/>
                <w:iCs/>
                <w:sz w:val="20"/>
              </w:rPr>
              <w:t>p</w:t>
            </w:r>
          </w:p>
        </w:tc>
        <w:tc>
          <w:tcPr>
            <w:tcW w:w="457" w:type="pct"/>
            <w:tcBorders>
              <w:top w:val="single" w:sz="6" w:space="0" w:color="auto"/>
              <w:left w:val="single" w:sz="6" w:space="0" w:color="auto"/>
              <w:bottom w:val="single" w:sz="6" w:space="0" w:color="auto"/>
              <w:right w:val="single" w:sz="6" w:space="0" w:color="auto"/>
            </w:tcBorders>
            <w:hideMark/>
          </w:tcPr>
          <w:p w14:paraId="6DB0B5DB" w14:textId="77777777" w:rsidR="00162CAA" w:rsidRPr="00162CAA" w:rsidRDefault="00162CAA" w:rsidP="00162CAA">
            <w:pPr>
              <w:spacing w:after="60"/>
              <w:jc w:val="center"/>
              <w:rPr>
                <w:iCs/>
                <w:sz w:val="20"/>
              </w:rPr>
            </w:pPr>
            <w:r w:rsidRPr="00162CAA">
              <w:rPr>
                <w:iCs/>
                <w:sz w:val="20"/>
              </w:rPr>
              <w:t>none</w:t>
            </w:r>
          </w:p>
        </w:tc>
        <w:tc>
          <w:tcPr>
            <w:tcW w:w="3448" w:type="pct"/>
            <w:tcBorders>
              <w:top w:val="single" w:sz="6" w:space="0" w:color="auto"/>
              <w:left w:val="single" w:sz="6" w:space="0" w:color="auto"/>
              <w:bottom w:val="single" w:sz="6" w:space="0" w:color="auto"/>
              <w:right w:val="single" w:sz="4" w:space="0" w:color="auto"/>
            </w:tcBorders>
            <w:hideMark/>
          </w:tcPr>
          <w:p w14:paraId="2F3D9084" w14:textId="77777777" w:rsidR="00162CAA" w:rsidRPr="00162CAA" w:rsidRDefault="00162CAA" w:rsidP="00162CAA">
            <w:pPr>
              <w:spacing w:after="60"/>
              <w:rPr>
                <w:i/>
                <w:iCs/>
                <w:sz w:val="20"/>
              </w:rPr>
            </w:pPr>
            <w:r w:rsidRPr="00162CAA">
              <w:rPr>
                <w:iCs/>
                <w:sz w:val="20"/>
              </w:rPr>
              <w:t>A Settlement Point.</w:t>
            </w:r>
          </w:p>
        </w:tc>
      </w:tr>
      <w:tr w:rsidR="00162CAA" w:rsidRPr="00162CAA" w14:paraId="1F5307B6" w14:textId="77777777" w:rsidTr="00764A29">
        <w:tc>
          <w:tcPr>
            <w:tcW w:w="1095" w:type="pct"/>
            <w:tcBorders>
              <w:top w:val="single" w:sz="6" w:space="0" w:color="auto"/>
              <w:left w:val="single" w:sz="4" w:space="0" w:color="auto"/>
              <w:bottom w:val="single" w:sz="6" w:space="0" w:color="auto"/>
              <w:right w:val="single" w:sz="6" w:space="0" w:color="auto"/>
            </w:tcBorders>
            <w:hideMark/>
          </w:tcPr>
          <w:p w14:paraId="44C63621" w14:textId="77777777" w:rsidR="00162CAA" w:rsidRPr="00162CAA" w:rsidRDefault="00162CAA" w:rsidP="00162CAA">
            <w:pPr>
              <w:spacing w:after="60"/>
              <w:rPr>
                <w:iCs/>
                <w:sz w:val="20"/>
              </w:rPr>
            </w:pPr>
            <w:r w:rsidRPr="00162CAA">
              <w:rPr>
                <w:i/>
                <w:iCs/>
                <w:sz w:val="20"/>
              </w:rPr>
              <w:t>r</w:t>
            </w:r>
          </w:p>
        </w:tc>
        <w:tc>
          <w:tcPr>
            <w:tcW w:w="457" w:type="pct"/>
            <w:tcBorders>
              <w:top w:val="single" w:sz="6" w:space="0" w:color="auto"/>
              <w:left w:val="single" w:sz="6" w:space="0" w:color="auto"/>
              <w:bottom w:val="single" w:sz="6" w:space="0" w:color="auto"/>
              <w:right w:val="single" w:sz="6" w:space="0" w:color="auto"/>
            </w:tcBorders>
            <w:hideMark/>
          </w:tcPr>
          <w:p w14:paraId="03177538" w14:textId="77777777" w:rsidR="00162CAA" w:rsidRPr="00162CAA" w:rsidRDefault="00162CAA" w:rsidP="00162CAA">
            <w:pPr>
              <w:spacing w:after="60"/>
              <w:jc w:val="center"/>
              <w:rPr>
                <w:iCs/>
                <w:sz w:val="20"/>
              </w:rPr>
            </w:pPr>
            <w:r w:rsidRPr="00162CAA">
              <w:rPr>
                <w:iCs/>
                <w:sz w:val="20"/>
              </w:rPr>
              <w:t>none</w:t>
            </w:r>
          </w:p>
        </w:tc>
        <w:tc>
          <w:tcPr>
            <w:tcW w:w="3448" w:type="pct"/>
            <w:tcBorders>
              <w:top w:val="single" w:sz="6" w:space="0" w:color="auto"/>
              <w:left w:val="single" w:sz="6" w:space="0" w:color="auto"/>
              <w:bottom w:val="single" w:sz="6" w:space="0" w:color="auto"/>
              <w:right w:val="single" w:sz="4" w:space="0" w:color="auto"/>
            </w:tcBorders>
            <w:hideMark/>
          </w:tcPr>
          <w:p w14:paraId="35F8A808" w14:textId="1EEE4F56" w:rsidR="00162CAA" w:rsidRPr="00162CAA" w:rsidRDefault="00162CAA" w:rsidP="00162CAA">
            <w:pPr>
              <w:spacing w:after="60"/>
              <w:rPr>
                <w:i/>
                <w:iCs/>
                <w:sz w:val="20"/>
              </w:rPr>
            </w:pPr>
            <w:r w:rsidRPr="00162CAA">
              <w:rPr>
                <w:iCs/>
                <w:sz w:val="20"/>
              </w:rPr>
              <w:t xml:space="preserve">A Generation Resource that is QSE-committed or planning to operate as a Quick Start Generation Resource (QSGR) for the Settlement Interval as shown by the Resource Status of OFFQS in the Adjustment Period snapshot; or a Switchable Generation Resource (SWGR) released by a non-ERCOT Control Area Operator (CAO) to operate in the ERCOT Control Area due to an </w:t>
            </w:r>
            <w:r w:rsidR="003D3379" w:rsidRPr="00162CAA">
              <w:rPr>
                <w:iCs/>
                <w:sz w:val="20"/>
              </w:rPr>
              <w:t xml:space="preserve">ERCOT </w:t>
            </w:r>
            <w:r w:rsidR="003D3379">
              <w:rPr>
                <w:iCs/>
                <w:sz w:val="20"/>
              </w:rPr>
              <w:t>Reliability Unit Commitment (</w:t>
            </w:r>
            <w:r w:rsidR="003D3379" w:rsidRPr="00162CAA">
              <w:rPr>
                <w:iCs/>
                <w:sz w:val="20"/>
              </w:rPr>
              <w:t>RUC</w:t>
            </w:r>
            <w:r w:rsidR="003D3379">
              <w:rPr>
                <w:iCs/>
                <w:sz w:val="20"/>
              </w:rPr>
              <w:t>)</w:t>
            </w:r>
            <w:r w:rsidR="003D3379" w:rsidRPr="00162CAA">
              <w:rPr>
                <w:iCs/>
                <w:sz w:val="20"/>
              </w:rPr>
              <w:t xml:space="preserve"> instruction for an actual or anticipated </w:t>
            </w:r>
            <w:r w:rsidR="003D3379">
              <w:rPr>
                <w:iCs/>
                <w:sz w:val="20"/>
              </w:rPr>
              <w:t>Energy Emergency Alert (</w:t>
            </w:r>
            <w:r w:rsidR="003D3379" w:rsidRPr="00162CAA">
              <w:rPr>
                <w:iCs/>
                <w:sz w:val="20"/>
              </w:rPr>
              <w:t>EEA</w:t>
            </w:r>
            <w:r w:rsidR="003D3379">
              <w:rPr>
                <w:iCs/>
                <w:sz w:val="20"/>
              </w:rPr>
              <w:t xml:space="preserve">) </w:t>
            </w:r>
            <w:r w:rsidRPr="00162CAA">
              <w:rPr>
                <w:iCs/>
                <w:sz w:val="20"/>
              </w:rPr>
              <w:t>condition.  If the Settlement Interval is a</w:t>
            </w:r>
            <w:r w:rsidR="003D3379" w:rsidRPr="00162CAA">
              <w:rPr>
                <w:iCs/>
                <w:sz w:val="20"/>
              </w:rPr>
              <w:t xml:space="preserve"> </w:t>
            </w:r>
            <w:r w:rsidR="003D3379">
              <w:rPr>
                <w:iCs/>
                <w:sz w:val="20"/>
              </w:rPr>
              <w:t>Reliability Unit Commitment for Additional Capacity (</w:t>
            </w:r>
            <w:r w:rsidR="003D3379" w:rsidRPr="00162CAA">
              <w:rPr>
                <w:iCs/>
                <w:sz w:val="20"/>
              </w:rPr>
              <w:t>RUCAC</w:t>
            </w:r>
            <w:r w:rsidR="003D3379">
              <w:rPr>
                <w:iCs/>
                <w:sz w:val="20"/>
              </w:rPr>
              <w:t>)</w:t>
            </w:r>
            <w:r w:rsidR="003D3379" w:rsidRPr="00162CAA">
              <w:rPr>
                <w:iCs/>
                <w:sz w:val="20"/>
              </w:rPr>
              <w:t xml:space="preserve">-Interval, </w:t>
            </w:r>
            <w:r w:rsidR="003D3379" w:rsidRPr="00162CAA">
              <w:rPr>
                <w:i/>
                <w:iCs/>
                <w:sz w:val="20"/>
              </w:rPr>
              <w:t>r</w:t>
            </w:r>
            <w:r w:rsidR="003D3379" w:rsidRPr="00162CAA">
              <w:rPr>
                <w:iCs/>
                <w:sz w:val="20"/>
              </w:rPr>
              <w:t xml:space="preserve"> r</w:t>
            </w:r>
            <w:r w:rsidRPr="00162CAA">
              <w:rPr>
                <w:iCs/>
                <w:sz w:val="20"/>
              </w:rPr>
              <w:t>epresents the Combined Cycle Generation Resource that was QSE-committed at the time the RUCAC was issued.</w:t>
            </w:r>
          </w:p>
        </w:tc>
      </w:tr>
      <w:tr w:rsidR="00162CAA" w:rsidRPr="00162CAA" w14:paraId="7312E3AC" w14:textId="77777777" w:rsidTr="00764A29">
        <w:tc>
          <w:tcPr>
            <w:tcW w:w="1095" w:type="pct"/>
            <w:tcBorders>
              <w:top w:val="single" w:sz="6" w:space="0" w:color="auto"/>
              <w:left w:val="single" w:sz="4" w:space="0" w:color="auto"/>
              <w:bottom w:val="single" w:sz="6" w:space="0" w:color="auto"/>
              <w:right w:val="single" w:sz="6" w:space="0" w:color="auto"/>
            </w:tcBorders>
            <w:hideMark/>
          </w:tcPr>
          <w:p w14:paraId="4F5BA290" w14:textId="77777777" w:rsidR="00162CAA" w:rsidRPr="00162CAA" w:rsidRDefault="00162CAA" w:rsidP="00162CAA">
            <w:pPr>
              <w:spacing w:after="60"/>
              <w:rPr>
                <w:i/>
                <w:iCs/>
                <w:sz w:val="20"/>
              </w:rPr>
            </w:pPr>
            <w:r w:rsidRPr="00162CAA">
              <w:rPr>
                <w:i/>
                <w:iCs/>
                <w:sz w:val="20"/>
              </w:rPr>
              <w:t>i</w:t>
            </w:r>
          </w:p>
        </w:tc>
        <w:tc>
          <w:tcPr>
            <w:tcW w:w="457" w:type="pct"/>
            <w:tcBorders>
              <w:top w:val="single" w:sz="6" w:space="0" w:color="auto"/>
              <w:left w:val="single" w:sz="6" w:space="0" w:color="auto"/>
              <w:bottom w:val="single" w:sz="6" w:space="0" w:color="auto"/>
              <w:right w:val="single" w:sz="6" w:space="0" w:color="auto"/>
            </w:tcBorders>
            <w:hideMark/>
          </w:tcPr>
          <w:p w14:paraId="0978592A" w14:textId="77777777" w:rsidR="00162CAA" w:rsidRPr="00162CAA" w:rsidRDefault="00162CAA" w:rsidP="00162CAA">
            <w:pPr>
              <w:spacing w:after="60"/>
              <w:jc w:val="center"/>
              <w:rPr>
                <w:iCs/>
                <w:sz w:val="20"/>
              </w:rPr>
            </w:pPr>
            <w:r w:rsidRPr="00162CAA">
              <w:rPr>
                <w:iCs/>
                <w:sz w:val="20"/>
              </w:rPr>
              <w:t>none</w:t>
            </w:r>
          </w:p>
        </w:tc>
        <w:tc>
          <w:tcPr>
            <w:tcW w:w="3448" w:type="pct"/>
            <w:tcBorders>
              <w:top w:val="single" w:sz="6" w:space="0" w:color="auto"/>
              <w:left w:val="single" w:sz="6" w:space="0" w:color="auto"/>
              <w:bottom w:val="single" w:sz="6" w:space="0" w:color="auto"/>
              <w:right w:val="single" w:sz="4" w:space="0" w:color="auto"/>
            </w:tcBorders>
            <w:hideMark/>
          </w:tcPr>
          <w:p w14:paraId="6901547B" w14:textId="77777777" w:rsidR="00162CAA" w:rsidRPr="00162CAA" w:rsidRDefault="00162CAA" w:rsidP="00162CAA">
            <w:pPr>
              <w:spacing w:after="60"/>
              <w:rPr>
                <w:iCs/>
                <w:sz w:val="20"/>
              </w:rPr>
            </w:pPr>
            <w:r w:rsidRPr="00162CAA">
              <w:rPr>
                <w:iCs/>
                <w:sz w:val="20"/>
              </w:rPr>
              <w:t>A 15-minute Settlement Interval.</w:t>
            </w:r>
          </w:p>
        </w:tc>
      </w:tr>
      <w:tr w:rsidR="00162CAA" w:rsidRPr="00162CAA" w14:paraId="75219101" w14:textId="77777777" w:rsidTr="00764A29">
        <w:tc>
          <w:tcPr>
            <w:tcW w:w="1095" w:type="pct"/>
            <w:tcBorders>
              <w:top w:val="single" w:sz="6" w:space="0" w:color="auto"/>
              <w:left w:val="single" w:sz="4" w:space="0" w:color="auto"/>
              <w:bottom w:val="single" w:sz="4" w:space="0" w:color="auto"/>
              <w:right w:val="single" w:sz="6" w:space="0" w:color="auto"/>
            </w:tcBorders>
            <w:hideMark/>
          </w:tcPr>
          <w:p w14:paraId="36B53A64" w14:textId="77777777" w:rsidR="00162CAA" w:rsidRPr="00162CAA" w:rsidRDefault="00162CAA" w:rsidP="00162CAA">
            <w:pPr>
              <w:spacing w:after="60"/>
              <w:rPr>
                <w:i/>
                <w:iCs/>
                <w:sz w:val="20"/>
              </w:rPr>
            </w:pPr>
            <w:r w:rsidRPr="00162CAA">
              <w:rPr>
                <w:i/>
                <w:iCs/>
                <w:sz w:val="20"/>
              </w:rPr>
              <w:t>h</w:t>
            </w:r>
          </w:p>
        </w:tc>
        <w:tc>
          <w:tcPr>
            <w:tcW w:w="457" w:type="pct"/>
            <w:tcBorders>
              <w:top w:val="single" w:sz="6" w:space="0" w:color="auto"/>
              <w:left w:val="single" w:sz="6" w:space="0" w:color="auto"/>
              <w:bottom w:val="single" w:sz="4" w:space="0" w:color="auto"/>
              <w:right w:val="single" w:sz="6" w:space="0" w:color="auto"/>
            </w:tcBorders>
            <w:hideMark/>
          </w:tcPr>
          <w:p w14:paraId="618DE05F" w14:textId="77777777" w:rsidR="00162CAA" w:rsidRPr="00162CAA" w:rsidRDefault="00162CAA" w:rsidP="00162CAA">
            <w:pPr>
              <w:spacing w:after="60"/>
              <w:jc w:val="center"/>
              <w:rPr>
                <w:iCs/>
                <w:sz w:val="20"/>
              </w:rPr>
            </w:pPr>
            <w:r w:rsidRPr="00162CAA">
              <w:rPr>
                <w:iCs/>
                <w:sz w:val="20"/>
              </w:rPr>
              <w:t>none</w:t>
            </w:r>
          </w:p>
        </w:tc>
        <w:tc>
          <w:tcPr>
            <w:tcW w:w="3448" w:type="pct"/>
            <w:tcBorders>
              <w:top w:val="single" w:sz="6" w:space="0" w:color="auto"/>
              <w:left w:val="single" w:sz="6" w:space="0" w:color="auto"/>
              <w:bottom w:val="single" w:sz="4" w:space="0" w:color="auto"/>
              <w:right w:val="single" w:sz="4" w:space="0" w:color="auto"/>
            </w:tcBorders>
            <w:hideMark/>
          </w:tcPr>
          <w:p w14:paraId="1AE598BF" w14:textId="77777777" w:rsidR="00162CAA" w:rsidRPr="00162CAA" w:rsidRDefault="00162CAA" w:rsidP="00162CAA">
            <w:pPr>
              <w:spacing w:after="60"/>
              <w:rPr>
                <w:iCs/>
                <w:sz w:val="20"/>
              </w:rPr>
            </w:pPr>
            <w:r w:rsidRPr="00162CAA">
              <w:rPr>
                <w:iCs/>
                <w:sz w:val="20"/>
              </w:rPr>
              <w:t xml:space="preserve">The hour that includes the Settlement Interval </w:t>
            </w:r>
            <w:r w:rsidRPr="00162CAA">
              <w:rPr>
                <w:i/>
                <w:iCs/>
                <w:sz w:val="20"/>
              </w:rPr>
              <w:t>i</w:t>
            </w:r>
            <w:r w:rsidRPr="00162CAA">
              <w:rPr>
                <w:iCs/>
                <w:sz w:val="20"/>
              </w:rPr>
              <w:t xml:space="preserve">. </w:t>
            </w:r>
          </w:p>
        </w:tc>
      </w:tr>
    </w:tbl>
    <w:p w14:paraId="59DE9EF3" w14:textId="77777777" w:rsidR="00764A29" w:rsidRDefault="00764A29"/>
    <w:tbl>
      <w:tblPr>
        <w:tblW w:w="500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2"/>
      </w:tblGrid>
      <w:tr w:rsidR="00764A29" w14:paraId="6E3D5B68" w14:textId="77777777" w:rsidTr="00764A29">
        <w:trPr>
          <w:trHeight w:val="206"/>
        </w:trPr>
        <w:tc>
          <w:tcPr>
            <w:tcW w:w="5000" w:type="pct"/>
            <w:shd w:val="pct12" w:color="auto" w:fill="auto"/>
          </w:tcPr>
          <w:p w14:paraId="6F88CD6A" w14:textId="6CAFC654" w:rsidR="00764A29" w:rsidRPr="00A4149C" w:rsidRDefault="00764A29" w:rsidP="00B327B6">
            <w:pPr>
              <w:pStyle w:val="Instructions"/>
              <w:spacing w:before="120"/>
            </w:pPr>
            <w:bookmarkStart w:id="2875" w:name="_Toc400547198"/>
            <w:bookmarkStart w:id="2876" w:name="_Toc405384303"/>
            <w:bookmarkStart w:id="2877" w:name="_Toc405543570"/>
            <w:bookmarkStart w:id="2878" w:name="_Toc428178079"/>
            <w:bookmarkStart w:id="2879" w:name="_Toc440872709"/>
            <w:bookmarkStart w:id="2880" w:name="_Toc458766254"/>
            <w:bookmarkStart w:id="2881" w:name="_Toc459292659"/>
            <w:bookmarkStart w:id="2882" w:name="_Toc60038366"/>
            <w:r>
              <w:t>[NPRR1216:  Delete Section 6.8.3.1.1 above upon system implementation and renumber accordingly.]</w:t>
            </w:r>
          </w:p>
        </w:tc>
      </w:tr>
    </w:tbl>
    <w:p w14:paraId="23C4C75B" w14:textId="77777777" w:rsidR="00162CAA" w:rsidRPr="00162CAA" w:rsidRDefault="00162CAA" w:rsidP="00162CAA">
      <w:pPr>
        <w:pStyle w:val="H4"/>
        <w:spacing w:before="480"/>
        <w:ind w:left="1267" w:hanging="1267"/>
      </w:pPr>
      <w:bookmarkStart w:id="2883" w:name="_Toc204411769"/>
      <w:r w:rsidRPr="00162CAA">
        <w:lastRenderedPageBreak/>
        <w:t>6.8.3.2</w:t>
      </w:r>
      <w:r w:rsidRPr="00162CAA">
        <w:tab/>
        <w:t>Uplift Charges for an LCAP Effective Period</w:t>
      </w:r>
      <w:bookmarkEnd w:id="2875"/>
      <w:bookmarkEnd w:id="2876"/>
      <w:bookmarkEnd w:id="2877"/>
      <w:bookmarkEnd w:id="2878"/>
      <w:bookmarkEnd w:id="2879"/>
      <w:bookmarkEnd w:id="2880"/>
      <w:bookmarkEnd w:id="2881"/>
      <w:bookmarkEnd w:id="2882"/>
      <w:bookmarkEnd w:id="2883"/>
    </w:p>
    <w:p w14:paraId="4F20A86D" w14:textId="4783CD00" w:rsidR="00162CAA" w:rsidRPr="00162CAA" w:rsidRDefault="00162CAA" w:rsidP="00162CAA">
      <w:pPr>
        <w:spacing w:after="240"/>
        <w:ind w:left="720" w:hanging="720"/>
      </w:pPr>
      <w:r w:rsidRPr="00162CAA">
        <w:t>(1)</w:t>
      </w:r>
      <w:r w:rsidRPr="00162CAA">
        <w:tab/>
        <w:t xml:space="preserve">If the revenues from the charges under Section 6.8.3.1, Charges for Capacity Shortfalls During an LCAP Effective Period, are not enough to cover all LCAP Effective Period payments, for a 15-minute Settlement Interval, then the difference will be uplifted to all QSEs </w:t>
      </w:r>
      <w:r w:rsidR="003D3379" w:rsidRPr="00162CAA">
        <w:t>on a</w:t>
      </w:r>
      <w:r w:rsidR="003D3379">
        <w:t xml:space="preserve">n LRS </w:t>
      </w:r>
      <w:r w:rsidRPr="00162CAA">
        <w:t xml:space="preserve">basis as an LCAP Effective Period Uplift Charge, calculated as follows: </w:t>
      </w:r>
    </w:p>
    <w:p w14:paraId="32EA4A8B"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t xml:space="preserve">LALCAPAMT </w:t>
      </w:r>
      <w:r w:rsidRPr="00162CAA">
        <w:rPr>
          <w:b/>
          <w:bCs/>
          <w:i/>
          <w:szCs w:val="24"/>
          <w:vertAlign w:val="subscript"/>
        </w:rPr>
        <w:t>q, i</w:t>
      </w:r>
      <w:r w:rsidRPr="00162CAA">
        <w:rPr>
          <w:b/>
          <w:bCs/>
          <w:szCs w:val="24"/>
        </w:rPr>
        <w:tab/>
        <w:t>=</w:t>
      </w:r>
      <w:r w:rsidRPr="00162CAA">
        <w:rPr>
          <w:b/>
          <w:bCs/>
          <w:szCs w:val="24"/>
        </w:rPr>
        <w:tab/>
        <w:t xml:space="preserve">(-1) * [OPLPAMTTOT </w:t>
      </w:r>
      <w:r w:rsidRPr="00162CAA">
        <w:rPr>
          <w:b/>
          <w:bCs/>
          <w:i/>
          <w:szCs w:val="24"/>
          <w:vertAlign w:val="subscript"/>
        </w:rPr>
        <w:t>i</w:t>
      </w:r>
      <w:r w:rsidRPr="00162CAA">
        <w:rPr>
          <w:b/>
          <w:bCs/>
          <w:szCs w:val="24"/>
        </w:rPr>
        <w:t xml:space="preserve"> + LCAPCSAMTTOT </w:t>
      </w:r>
      <w:r w:rsidRPr="00162CAA">
        <w:rPr>
          <w:b/>
          <w:bCs/>
          <w:i/>
          <w:szCs w:val="24"/>
          <w:vertAlign w:val="subscript"/>
        </w:rPr>
        <w:t>i</w:t>
      </w:r>
      <w:r w:rsidRPr="00162CAA">
        <w:rPr>
          <w:b/>
          <w:bCs/>
          <w:szCs w:val="24"/>
        </w:rPr>
        <w:t xml:space="preserve">] * LRS </w:t>
      </w:r>
      <w:r w:rsidRPr="00162CAA">
        <w:rPr>
          <w:b/>
          <w:bCs/>
          <w:i/>
          <w:szCs w:val="24"/>
          <w:vertAlign w:val="subscript"/>
        </w:rPr>
        <w:t>q, i</w:t>
      </w:r>
    </w:p>
    <w:p w14:paraId="613A9461" w14:textId="77777777" w:rsidR="00162CAA" w:rsidRPr="003D3379" w:rsidRDefault="00162CAA" w:rsidP="00162CAA">
      <w:pPr>
        <w:tabs>
          <w:tab w:val="left" w:pos="2340"/>
          <w:tab w:val="left" w:pos="3420"/>
        </w:tabs>
        <w:spacing w:after="240"/>
        <w:ind w:left="3420" w:right="-180" w:hanging="2700"/>
        <w:rPr>
          <w:szCs w:val="24"/>
        </w:rPr>
      </w:pPr>
      <w:r w:rsidRPr="003D3379">
        <w:rPr>
          <w:szCs w:val="24"/>
        </w:rPr>
        <w:t>Where:</w:t>
      </w:r>
    </w:p>
    <w:p w14:paraId="1F5B3DEF" w14:textId="77777777" w:rsidR="00162CAA" w:rsidRPr="00162CAA" w:rsidRDefault="00162CAA" w:rsidP="00162CAA">
      <w:pPr>
        <w:tabs>
          <w:tab w:val="left" w:pos="2340"/>
          <w:tab w:val="left" w:pos="3420"/>
        </w:tabs>
        <w:spacing w:after="240"/>
        <w:ind w:left="3420" w:hanging="2700"/>
        <w:rPr>
          <w:bCs/>
          <w:i/>
          <w:szCs w:val="24"/>
          <w:vertAlign w:val="subscript"/>
        </w:rPr>
      </w:pPr>
      <w:r w:rsidRPr="00162CAA">
        <w:rPr>
          <w:bCs/>
          <w:szCs w:val="24"/>
        </w:rPr>
        <w:tab/>
        <w:t xml:space="preserve">OPLPAMTTOT </w:t>
      </w:r>
      <w:r w:rsidRPr="00162CAA">
        <w:rPr>
          <w:bCs/>
          <w:i/>
          <w:szCs w:val="24"/>
          <w:vertAlign w:val="subscript"/>
        </w:rPr>
        <w:t xml:space="preserve">i </w:t>
      </w:r>
      <w:r w:rsidRPr="00162CAA">
        <w:rPr>
          <w:bCs/>
          <w:szCs w:val="24"/>
        </w:rPr>
        <w:tab/>
      </w:r>
      <w:r w:rsidRPr="00162CAA">
        <w:rPr>
          <w:bCs/>
          <w:szCs w:val="24"/>
        </w:rPr>
        <w:tab/>
        <w:t>=</w:t>
      </w:r>
      <w:r w:rsidRPr="00162CAA">
        <w:rPr>
          <w:bCs/>
          <w:szCs w:val="24"/>
        </w:rPr>
        <w:tab/>
      </w:r>
      <w:r w:rsidRPr="00162CAA">
        <w:rPr>
          <w:bCs/>
          <w:position w:val="-22"/>
          <w:szCs w:val="24"/>
        </w:rPr>
        <w:object w:dxaOrig="330" w:dyaOrig="630" w14:anchorId="776555FE">
          <v:shape id="_x0000_i1458" type="#_x0000_t75" style="width:18pt;height:30pt" o:ole="">
            <v:imagedata r:id="rId550" o:title=""/>
          </v:shape>
          <o:OLEObject Type="Embed" ProgID="Equation.3" ShapeID="_x0000_i1458" DrawAspect="Content" ObjectID="_1815025646" r:id="rId568"/>
        </w:object>
      </w:r>
      <w:r w:rsidRPr="00162CAA">
        <w:rPr>
          <w:bCs/>
          <w:szCs w:val="24"/>
        </w:rPr>
        <w:t>OPLPAMTQSETOT</w:t>
      </w:r>
      <w:r w:rsidRPr="00162CAA">
        <w:rPr>
          <w:bCs/>
          <w:i/>
          <w:szCs w:val="24"/>
          <w:vertAlign w:val="subscript"/>
        </w:rPr>
        <w:t xml:space="preserve"> i, q</w:t>
      </w:r>
    </w:p>
    <w:p w14:paraId="0A63B47F" w14:textId="77777777" w:rsidR="00162CAA" w:rsidRPr="00162CAA" w:rsidRDefault="00162CAA" w:rsidP="00162CAA">
      <w:pPr>
        <w:tabs>
          <w:tab w:val="left" w:pos="2340"/>
          <w:tab w:val="left" w:pos="3420"/>
        </w:tabs>
        <w:spacing w:after="240"/>
        <w:ind w:left="3420" w:hanging="2700"/>
        <w:rPr>
          <w:bCs/>
          <w:szCs w:val="24"/>
          <w:lang w:val="it-IT"/>
        </w:rPr>
      </w:pPr>
      <w:r w:rsidRPr="00162CAA">
        <w:rPr>
          <w:bCs/>
          <w:szCs w:val="24"/>
          <w:lang w:val="it-IT"/>
        </w:rPr>
        <w:tab/>
        <w:t xml:space="preserve">LCAPCSAMTTOT </w:t>
      </w:r>
      <w:r w:rsidRPr="00162CAA">
        <w:rPr>
          <w:bCs/>
          <w:i/>
          <w:szCs w:val="24"/>
          <w:vertAlign w:val="subscript"/>
          <w:lang w:val="it-IT"/>
        </w:rPr>
        <w:t>i</w:t>
      </w:r>
      <w:r w:rsidRPr="00162CAA">
        <w:rPr>
          <w:bCs/>
          <w:szCs w:val="24"/>
          <w:lang w:val="it-IT"/>
        </w:rPr>
        <w:tab/>
        <w:t xml:space="preserve"> =</w:t>
      </w:r>
      <w:r w:rsidRPr="00162CAA">
        <w:rPr>
          <w:bCs/>
          <w:szCs w:val="24"/>
          <w:lang w:val="it-IT"/>
        </w:rPr>
        <w:tab/>
      </w:r>
      <w:r w:rsidRPr="00162CAA">
        <w:rPr>
          <w:bCs/>
          <w:position w:val="-22"/>
          <w:szCs w:val="24"/>
        </w:rPr>
        <w:object w:dxaOrig="330" w:dyaOrig="630" w14:anchorId="05A0D981">
          <v:shape id="_x0000_i1459" type="#_x0000_t75" style="width:18pt;height:30pt" o:ole="">
            <v:imagedata r:id="rId550" o:title=""/>
          </v:shape>
          <o:OLEObject Type="Embed" ProgID="Equation.3" ShapeID="_x0000_i1459" DrawAspect="Content" ObjectID="_1815025647" r:id="rId569"/>
        </w:object>
      </w:r>
      <w:r w:rsidRPr="00162CAA">
        <w:rPr>
          <w:bCs/>
          <w:szCs w:val="24"/>
        </w:rPr>
        <w:t>LCAP</w:t>
      </w:r>
      <w:r w:rsidRPr="00162CAA">
        <w:rPr>
          <w:bCs/>
          <w:szCs w:val="24"/>
          <w:lang w:val="it-IT"/>
        </w:rPr>
        <w:t xml:space="preserve">CSAMT </w:t>
      </w:r>
      <w:r w:rsidRPr="00162CAA">
        <w:rPr>
          <w:bCs/>
          <w:i/>
          <w:szCs w:val="24"/>
          <w:vertAlign w:val="subscript"/>
          <w:lang w:val="it-IT"/>
        </w:rPr>
        <w:t>i, q</w:t>
      </w:r>
    </w:p>
    <w:p w14:paraId="2E10283B" w14:textId="77777777" w:rsidR="00162CAA" w:rsidRPr="00162CAA" w:rsidRDefault="00162CAA" w:rsidP="00162CAA">
      <w:pPr>
        <w:rPr>
          <w:szCs w:val="24"/>
        </w:rPr>
      </w:pPr>
      <w:r w:rsidRPr="00162CAA">
        <w:rPr>
          <w:szCs w:val="24"/>
        </w:rPr>
        <w:t>The above variables are defined as follows:</w:t>
      </w:r>
    </w:p>
    <w:tbl>
      <w:tblPr>
        <w:tblW w:w="4949" w:type="pct"/>
        <w:tblInd w:w="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211"/>
        <w:gridCol w:w="615"/>
        <w:gridCol w:w="6429"/>
      </w:tblGrid>
      <w:tr w:rsidR="00162CAA" w:rsidRPr="00162CAA" w14:paraId="2C97084F" w14:textId="77777777" w:rsidTr="008B7FF7">
        <w:tc>
          <w:tcPr>
            <w:tcW w:w="1195" w:type="pct"/>
            <w:tcBorders>
              <w:top w:val="single" w:sz="4" w:space="0" w:color="auto"/>
              <w:left w:val="single" w:sz="4" w:space="0" w:color="auto"/>
              <w:bottom w:val="single" w:sz="6" w:space="0" w:color="auto"/>
              <w:right w:val="single" w:sz="6" w:space="0" w:color="auto"/>
            </w:tcBorders>
            <w:hideMark/>
          </w:tcPr>
          <w:p w14:paraId="3CE42CD6" w14:textId="77777777" w:rsidR="00162CAA" w:rsidRPr="00162CAA" w:rsidRDefault="00162CAA" w:rsidP="00162CAA">
            <w:pPr>
              <w:spacing w:after="240"/>
              <w:rPr>
                <w:b/>
                <w:iCs/>
                <w:sz w:val="20"/>
              </w:rPr>
            </w:pPr>
            <w:r w:rsidRPr="00162CAA">
              <w:rPr>
                <w:b/>
                <w:iCs/>
                <w:sz w:val="20"/>
              </w:rPr>
              <w:t>Variable</w:t>
            </w:r>
          </w:p>
        </w:tc>
        <w:tc>
          <w:tcPr>
            <w:tcW w:w="332" w:type="pct"/>
            <w:tcBorders>
              <w:top w:val="single" w:sz="4" w:space="0" w:color="auto"/>
              <w:left w:val="single" w:sz="6" w:space="0" w:color="auto"/>
              <w:bottom w:val="single" w:sz="6" w:space="0" w:color="auto"/>
              <w:right w:val="single" w:sz="6" w:space="0" w:color="auto"/>
            </w:tcBorders>
            <w:hideMark/>
          </w:tcPr>
          <w:p w14:paraId="1898D993" w14:textId="77777777" w:rsidR="00162CAA" w:rsidRPr="00162CAA" w:rsidRDefault="00162CAA" w:rsidP="00162CAA">
            <w:pPr>
              <w:spacing w:after="240"/>
              <w:jc w:val="center"/>
              <w:rPr>
                <w:b/>
                <w:iCs/>
                <w:sz w:val="20"/>
              </w:rPr>
            </w:pPr>
            <w:r w:rsidRPr="00162CAA">
              <w:rPr>
                <w:b/>
                <w:iCs/>
                <w:sz w:val="20"/>
              </w:rPr>
              <w:t>Unit</w:t>
            </w:r>
          </w:p>
        </w:tc>
        <w:tc>
          <w:tcPr>
            <w:tcW w:w="3473" w:type="pct"/>
            <w:tcBorders>
              <w:top w:val="single" w:sz="4" w:space="0" w:color="auto"/>
              <w:left w:val="single" w:sz="6" w:space="0" w:color="auto"/>
              <w:bottom w:val="single" w:sz="6" w:space="0" w:color="auto"/>
              <w:right w:val="single" w:sz="4" w:space="0" w:color="auto"/>
            </w:tcBorders>
            <w:hideMark/>
          </w:tcPr>
          <w:p w14:paraId="3ADF88FC" w14:textId="77777777" w:rsidR="00162CAA" w:rsidRPr="00162CAA" w:rsidRDefault="00162CAA" w:rsidP="00162CAA">
            <w:pPr>
              <w:spacing w:after="240"/>
              <w:rPr>
                <w:b/>
                <w:iCs/>
                <w:sz w:val="20"/>
              </w:rPr>
            </w:pPr>
            <w:r w:rsidRPr="00162CAA">
              <w:rPr>
                <w:b/>
                <w:iCs/>
                <w:sz w:val="20"/>
              </w:rPr>
              <w:t>Definition</w:t>
            </w:r>
          </w:p>
        </w:tc>
      </w:tr>
      <w:tr w:rsidR="00162CAA" w:rsidRPr="00162CAA" w14:paraId="732B58E9"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39269398" w14:textId="77777777" w:rsidR="00162CAA" w:rsidRPr="00162CAA" w:rsidRDefault="00162CAA" w:rsidP="00162CAA">
            <w:pPr>
              <w:spacing w:after="60"/>
              <w:rPr>
                <w:iCs/>
                <w:sz w:val="20"/>
              </w:rPr>
            </w:pPr>
            <w:r w:rsidRPr="00162CAA">
              <w:rPr>
                <w:iCs/>
                <w:sz w:val="20"/>
              </w:rPr>
              <w:t xml:space="preserve">LALCAPAMT </w:t>
            </w:r>
            <w:r w:rsidRPr="00162CAA">
              <w:rPr>
                <w:i/>
                <w:iCs/>
                <w:sz w:val="20"/>
                <w:vertAlign w:val="subscript"/>
              </w:rPr>
              <w:t>q, i</w:t>
            </w:r>
          </w:p>
        </w:tc>
        <w:tc>
          <w:tcPr>
            <w:tcW w:w="332" w:type="pct"/>
            <w:tcBorders>
              <w:top w:val="single" w:sz="6" w:space="0" w:color="auto"/>
              <w:left w:val="single" w:sz="6" w:space="0" w:color="auto"/>
              <w:bottom w:val="single" w:sz="6" w:space="0" w:color="auto"/>
              <w:right w:val="single" w:sz="6" w:space="0" w:color="auto"/>
            </w:tcBorders>
            <w:hideMark/>
          </w:tcPr>
          <w:p w14:paraId="17F90058"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468EE671" w14:textId="039A4E4A" w:rsidR="00162CAA" w:rsidRPr="00162CAA" w:rsidRDefault="00162CAA" w:rsidP="00162CAA">
            <w:pPr>
              <w:spacing w:after="60"/>
              <w:rPr>
                <w:iCs/>
                <w:sz w:val="20"/>
              </w:rPr>
            </w:pPr>
            <w:r w:rsidRPr="00162CAA">
              <w:rPr>
                <w:i/>
                <w:iCs/>
                <w:sz w:val="20"/>
              </w:rPr>
              <w:t>Load Allocated LCAP Effective Period Uplift Charge</w:t>
            </w:r>
            <w:r w:rsidR="00DE7A12">
              <w:rPr>
                <w:i/>
                <w:iCs/>
                <w:sz w:val="20"/>
              </w:rPr>
              <w:t xml:space="preserve"> </w:t>
            </w:r>
            <w:r w:rsidR="00DE7A12" w:rsidRPr="00162CAA">
              <w:rPr>
                <w:i/>
                <w:iCs/>
                <w:sz w:val="20"/>
                <w:szCs w:val="24"/>
              </w:rPr>
              <w:t>–</w:t>
            </w:r>
            <w:r w:rsidR="00DE7A12">
              <w:rPr>
                <w:iCs/>
                <w:sz w:val="20"/>
              </w:rPr>
              <w:t xml:space="preserve"> </w:t>
            </w:r>
            <w:r w:rsidRPr="00162CAA">
              <w:rPr>
                <w:iCs/>
                <w:sz w:val="20"/>
              </w:rPr>
              <w:t xml:space="preserve">The amount owed from the QSE </w:t>
            </w:r>
            <w:r w:rsidRPr="00162CAA">
              <w:rPr>
                <w:i/>
                <w:iCs/>
                <w:sz w:val="20"/>
              </w:rPr>
              <w:t xml:space="preserve">q, </w:t>
            </w:r>
            <w:r w:rsidRPr="00162CAA">
              <w:rPr>
                <w:iCs/>
                <w:sz w:val="20"/>
              </w:rPr>
              <w:t xml:space="preserve">based on </w:t>
            </w:r>
            <w:r w:rsidR="003D3379">
              <w:rPr>
                <w:iCs/>
                <w:sz w:val="20"/>
              </w:rPr>
              <w:t>LRS</w:t>
            </w:r>
            <w:r w:rsidRPr="00162CAA">
              <w:rPr>
                <w:iCs/>
                <w:sz w:val="20"/>
              </w:rPr>
              <w:t xml:space="preserve">, for the 15-minute Settlement Interval </w:t>
            </w:r>
            <w:r w:rsidRPr="00162CAA">
              <w:rPr>
                <w:i/>
                <w:iCs/>
                <w:sz w:val="20"/>
              </w:rPr>
              <w:t>i</w:t>
            </w:r>
            <w:r w:rsidRPr="00162CAA">
              <w:rPr>
                <w:iCs/>
                <w:sz w:val="20"/>
              </w:rPr>
              <w:t>.</w:t>
            </w:r>
          </w:p>
        </w:tc>
      </w:tr>
      <w:tr w:rsidR="00162CAA" w:rsidRPr="00162CAA" w14:paraId="66691BB1" w14:textId="77777777" w:rsidTr="008B7FF7">
        <w:trPr>
          <w:cantSplit/>
        </w:trPr>
        <w:tc>
          <w:tcPr>
            <w:tcW w:w="1195" w:type="pct"/>
            <w:tcBorders>
              <w:top w:val="single" w:sz="4" w:space="0" w:color="auto"/>
              <w:left w:val="single" w:sz="4" w:space="0" w:color="auto"/>
              <w:bottom w:val="single" w:sz="4" w:space="0" w:color="auto"/>
              <w:right w:val="single" w:sz="4" w:space="0" w:color="auto"/>
            </w:tcBorders>
            <w:hideMark/>
          </w:tcPr>
          <w:p w14:paraId="60FED702" w14:textId="77777777" w:rsidR="00162CAA" w:rsidRPr="00162CAA" w:rsidRDefault="00162CAA" w:rsidP="00162CAA">
            <w:pPr>
              <w:spacing w:after="60"/>
              <w:rPr>
                <w:iCs/>
                <w:sz w:val="20"/>
                <w:szCs w:val="24"/>
              </w:rPr>
            </w:pPr>
            <w:r w:rsidRPr="00162CAA">
              <w:rPr>
                <w:iCs/>
                <w:sz w:val="20"/>
                <w:szCs w:val="24"/>
              </w:rPr>
              <w:t>OPLPAMTQSETOT</w:t>
            </w:r>
            <w:r w:rsidRPr="00162CAA">
              <w:rPr>
                <w:b/>
                <w:iCs/>
                <w:sz w:val="20"/>
                <w:szCs w:val="24"/>
              </w:rPr>
              <w:t xml:space="preserve"> </w:t>
            </w:r>
            <w:r w:rsidRPr="00162CAA">
              <w:rPr>
                <w:i/>
                <w:iCs/>
                <w:sz w:val="20"/>
                <w:szCs w:val="24"/>
                <w:vertAlign w:val="subscript"/>
              </w:rPr>
              <w:t>i, q</w:t>
            </w:r>
            <w:r w:rsidRPr="00162CAA">
              <w:rPr>
                <w:iCs/>
                <w:sz w:val="20"/>
                <w:szCs w:val="24"/>
              </w:rPr>
              <w:t xml:space="preserve"> </w:t>
            </w:r>
          </w:p>
        </w:tc>
        <w:tc>
          <w:tcPr>
            <w:tcW w:w="332" w:type="pct"/>
            <w:tcBorders>
              <w:top w:val="single" w:sz="4" w:space="0" w:color="auto"/>
              <w:left w:val="single" w:sz="4" w:space="0" w:color="auto"/>
              <w:bottom w:val="single" w:sz="4" w:space="0" w:color="auto"/>
              <w:right w:val="single" w:sz="4" w:space="0" w:color="auto"/>
            </w:tcBorders>
            <w:hideMark/>
          </w:tcPr>
          <w:p w14:paraId="2B8B4504" w14:textId="77777777" w:rsidR="00162CAA" w:rsidRPr="00162CAA" w:rsidRDefault="00162CAA" w:rsidP="00162CAA">
            <w:pPr>
              <w:spacing w:after="60"/>
              <w:jc w:val="center"/>
              <w:rPr>
                <w:iCs/>
                <w:sz w:val="20"/>
                <w:szCs w:val="24"/>
              </w:rPr>
            </w:pPr>
            <w:r w:rsidRPr="00162CAA">
              <w:rPr>
                <w:iCs/>
                <w:sz w:val="20"/>
                <w:szCs w:val="24"/>
              </w:rPr>
              <w:t>$</w:t>
            </w:r>
          </w:p>
        </w:tc>
        <w:tc>
          <w:tcPr>
            <w:tcW w:w="3473" w:type="pct"/>
            <w:tcBorders>
              <w:top w:val="single" w:sz="4" w:space="0" w:color="auto"/>
              <w:left w:val="single" w:sz="4" w:space="0" w:color="auto"/>
              <w:bottom w:val="single" w:sz="4" w:space="0" w:color="auto"/>
              <w:right w:val="single" w:sz="4" w:space="0" w:color="auto"/>
            </w:tcBorders>
            <w:hideMark/>
          </w:tcPr>
          <w:p w14:paraId="18E36367" w14:textId="77777777" w:rsidR="00162CAA" w:rsidRPr="00162CAA" w:rsidRDefault="00162CAA" w:rsidP="00162CAA">
            <w:pPr>
              <w:spacing w:after="60"/>
              <w:rPr>
                <w:iCs/>
                <w:sz w:val="20"/>
                <w:szCs w:val="24"/>
              </w:rPr>
            </w:pPr>
            <w:r w:rsidRPr="00162CAA">
              <w:rPr>
                <w:i/>
                <w:iCs/>
                <w:sz w:val="20"/>
                <w:szCs w:val="24"/>
              </w:rPr>
              <w:t xml:space="preserve">Total Operating Losses Payment Amount per QSE – </w:t>
            </w:r>
            <w:r w:rsidRPr="00162CAA">
              <w:rPr>
                <w:iCs/>
                <w:sz w:val="20"/>
                <w:szCs w:val="24"/>
              </w:rPr>
              <w:t xml:space="preserve">The total operating losses payment to the QSE </w:t>
            </w:r>
            <w:r w:rsidRPr="00162CAA">
              <w:rPr>
                <w:i/>
                <w:iCs/>
                <w:sz w:val="20"/>
                <w:szCs w:val="24"/>
              </w:rPr>
              <w:t>q</w:t>
            </w:r>
            <w:r w:rsidRPr="00162CAA">
              <w:rPr>
                <w:iCs/>
                <w:sz w:val="20"/>
                <w:szCs w:val="24"/>
              </w:rPr>
              <w:t xml:space="preserve">, for all Resources, for the 15-minute Settlement Interval </w:t>
            </w:r>
            <w:r w:rsidRPr="00162CAA">
              <w:rPr>
                <w:i/>
                <w:sz w:val="20"/>
                <w:szCs w:val="24"/>
              </w:rPr>
              <w:t xml:space="preserve">i </w:t>
            </w:r>
            <w:r w:rsidRPr="00162CAA">
              <w:rPr>
                <w:sz w:val="20"/>
                <w:szCs w:val="24"/>
              </w:rPr>
              <w:t>within the Operating Day</w:t>
            </w:r>
            <w:r w:rsidRPr="00162CAA">
              <w:rPr>
                <w:szCs w:val="24"/>
              </w:rPr>
              <w:t>.</w:t>
            </w:r>
            <w:r w:rsidRPr="00162CAA">
              <w:rPr>
                <w:iCs/>
                <w:sz w:val="20"/>
                <w:szCs w:val="24"/>
              </w:rPr>
              <w:t xml:space="preserve"> </w:t>
            </w:r>
            <w:r w:rsidRPr="00162CAA">
              <w:rPr>
                <w:iCs/>
                <w:sz w:val="20"/>
              </w:rPr>
              <w:t xml:space="preserve"> </w:t>
            </w:r>
          </w:p>
        </w:tc>
      </w:tr>
      <w:tr w:rsidR="00162CAA" w:rsidRPr="00162CAA" w14:paraId="4BC1C683"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695834C2" w14:textId="77777777" w:rsidR="00162CAA" w:rsidRPr="00162CAA" w:rsidRDefault="00162CAA" w:rsidP="00162CAA">
            <w:pPr>
              <w:spacing w:after="60"/>
              <w:rPr>
                <w:iCs/>
                <w:sz w:val="20"/>
              </w:rPr>
            </w:pPr>
            <w:r w:rsidRPr="00162CAA">
              <w:rPr>
                <w:iCs/>
                <w:sz w:val="20"/>
              </w:rPr>
              <w:t xml:space="preserve">OPLPAMTTOT </w:t>
            </w:r>
            <w:r w:rsidRPr="00162CAA">
              <w:rPr>
                <w:i/>
                <w:iCs/>
                <w:sz w:val="20"/>
                <w:vertAlign w:val="subscript"/>
              </w:rPr>
              <w:t>i</w:t>
            </w:r>
          </w:p>
        </w:tc>
        <w:tc>
          <w:tcPr>
            <w:tcW w:w="332" w:type="pct"/>
            <w:tcBorders>
              <w:top w:val="single" w:sz="6" w:space="0" w:color="auto"/>
              <w:left w:val="single" w:sz="6" w:space="0" w:color="auto"/>
              <w:bottom w:val="single" w:sz="6" w:space="0" w:color="auto"/>
              <w:right w:val="single" w:sz="6" w:space="0" w:color="auto"/>
            </w:tcBorders>
            <w:hideMark/>
          </w:tcPr>
          <w:p w14:paraId="77ECE00C"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555C29F0" w14:textId="7B94A56C" w:rsidR="00162CAA" w:rsidRPr="00162CAA" w:rsidRDefault="00162CAA" w:rsidP="00162CAA">
            <w:pPr>
              <w:spacing w:after="60"/>
              <w:rPr>
                <w:iCs/>
                <w:sz w:val="20"/>
              </w:rPr>
            </w:pPr>
            <w:r w:rsidRPr="00162CAA">
              <w:rPr>
                <w:i/>
                <w:sz w:val="20"/>
              </w:rPr>
              <w:t>Total Operating Losses Payment Amount –</w:t>
            </w:r>
            <w:r w:rsidRPr="00162CAA">
              <w:rPr>
                <w:iCs/>
                <w:sz w:val="20"/>
              </w:rPr>
              <w:t>The sum of</w:t>
            </w:r>
            <w:r w:rsidR="003D3379" w:rsidRPr="00162CAA">
              <w:rPr>
                <w:iCs/>
                <w:sz w:val="20"/>
              </w:rPr>
              <w:t xml:space="preserve"> </w:t>
            </w:r>
            <w:r w:rsidR="003D3379">
              <w:rPr>
                <w:iCs/>
                <w:sz w:val="20"/>
              </w:rPr>
              <w:t>o</w:t>
            </w:r>
            <w:r w:rsidR="003D3379" w:rsidRPr="00162CAA">
              <w:rPr>
                <w:iCs/>
                <w:sz w:val="20"/>
              </w:rPr>
              <w:t xml:space="preserve">perating </w:t>
            </w:r>
            <w:r w:rsidR="003D3379">
              <w:rPr>
                <w:iCs/>
                <w:sz w:val="20"/>
              </w:rPr>
              <w:t>l</w:t>
            </w:r>
            <w:r w:rsidR="003D3379" w:rsidRPr="00162CAA">
              <w:rPr>
                <w:iCs/>
                <w:sz w:val="20"/>
              </w:rPr>
              <w:t xml:space="preserve">osses </w:t>
            </w:r>
            <w:r w:rsidR="003D3379">
              <w:rPr>
                <w:iCs/>
                <w:sz w:val="20"/>
              </w:rPr>
              <w:t>p</w:t>
            </w:r>
            <w:r w:rsidR="003D3379" w:rsidRPr="00162CAA">
              <w:rPr>
                <w:iCs/>
                <w:sz w:val="20"/>
              </w:rPr>
              <w:t>ayments</w:t>
            </w:r>
            <w:r w:rsidRPr="00162CAA">
              <w:rPr>
                <w:iCs/>
                <w:sz w:val="20"/>
              </w:rPr>
              <w:t xml:space="preserve"> to all QSEs, for the 15-minute Settlement Interval</w:t>
            </w:r>
            <w:r w:rsidRPr="00162CAA">
              <w:rPr>
                <w:i/>
                <w:iCs/>
                <w:sz w:val="20"/>
              </w:rPr>
              <w:t xml:space="preserve"> i</w:t>
            </w:r>
            <w:r w:rsidRPr="00162CAA">
              <w:rPr>
                <w:iCs/>
                <w:sz w:val="20"/>
              </w:rPr>
              <w:t>.</w:t>
            </w:r>
          </w:p>
        </w:tc>
      </w:tr>
      <w:tr w:rsidR="00162CAA" w:rsidRPr="00162CAA" w14:paraId="084FD098"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63E95FC3" w14:textId="77777777" w:rsidR="00162CAA" w:rsidRPr="00162CAA" w:rsidRDefault="00162CAA" w:rsidP="00162CAA">
            <w:pPr>
              <w:spacing w:after="60"/>
              <w:rPr>
                <w:iCs/>
                <w:sz w:val="20"/>
              </w:rPr>
            </w:pPr>
            <w:r w:rsidRPr="00162CAA">
              <w:rPr>
                <w:iCs/>
                <w:sz w:val="20"/>
              </w:rPr>
              <w:t xml:space="preserve">LCAPCSAMTTOT </w:t>
            </w:r>
            <w:r w:rsidRPr="00162CAA">
              <w:rPr>
                <w:i/>
                <w:iCs/>
                <w:sz w:val="20"/>
                <w:vertAlign w:val="subscript"/>
              </w:rPr>
              <w:t>i</w:t>
            </w:r>
          </w:p>
        </w:tc>
        <w:tc>
          <w:tcPr>
            <w:tcW w:w="332" w:type="pct"/>
            <w:tcBorders>
              <w:top w:val="single" w:sz="6" w:space="0" w:color="auto"/>
              <w:left w:val="single" w:sz="6" w:space="0" w:color="auto"/>
              <w:bottom w:val="single" w:sz="6" w:space="0" w:color="auto"/>
              <w:right w:val="single" w:sz="6" w:space="0" w:color="auto"/>
            </w:tcBorders>
            <w:hideMark/>
          </w:tcPr>
          <w:p w14:paraId="0B0BA352"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58852E58" w14:textId="77777777" w:rsidR="00162CAA" w:rsidRPr="00162CAA" w:rsidRDefault="00162CAA" w:rsidP="00162CAA">
            <w:pPr>
              <w:spacing w:after="60"/>
              <w:rPr>
                <w:iCs/>
                <w:sz w:val="20"/>
              </w:rPr>
            </w:pPr>
            <w:r w:rsidRPr="00162CAA">
              <w:rPr>
                <w:i/>
                <w:iCs/>
                <w:sz w:val="20"/>
              </w:rPr>
              <w:t>LCAP Capacity-Short Amount Total</w:t>
            </w:r>
            <w:r w:rsidRPr="00162CAA">
              <w:rPr>
                <w:iCs/>
                <w:sz w:val="20"/>
              </w:rPr>
              <w:t xml:space="preserve">—The total of all charges to all QSEs </w:t>
            </w:r>
            <w:r w:rsidRPr="00162CAA">
              <w:rPr>
                <w:i/>
                <w:iCs/>
                <w:sz w:val="20"/>
              </w:rPr>
              <w:t>q</w:t>
            </w:r>
            <w:r w:rsidRPr="00162CAA">
              <w:rPr>
                <w:iCs/>
                <w:sz w:val="20"/>
              </w:rPr>
              <w:t>, due to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w:t>
            </w:r>
          </w:p>
        </w:tc>
      </w:tr>
      <w:tr w:rsidR="00162CAA" w:rsidRPr="00162CAA" w14:paraId="15BB8239"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79021CE6" w14:textId="77777777" w:rsidR="00162CAA" w:rsidRPr="00162CAA" w:rsidRDefault="00162CAA" w:rsidP="00162CAA">
            <w:pPr>
              <w:spacing w:after="60"/>
              <w:rPr>
                <w:iCs/>
                <w:sz w:val="20"/>
              </w:rPr>
            </w:pPr>
            <w:r w:rsidRPr="00162CAA">
              <w:rPr>
                <w:iCs/>
                <w:sz w:val="20"/>
              </w:rPr>
              <w:t xml:space="preserve">LCAPCSAMT </w:t>
            </w:r>
            <w:r w:rsidRPr="00162CAA">
              <w:rPr>
                <w:i/>
                <w:iCs/>
                <w:sz w:val="20"/>
                <w:vertAlign w:val="subscript"/>
              </w:rPr>
              <w:t xml:space="preserve"> i, q</w:t>
            </w:r>
          </w:p>
        </w:tc>
        <w:tc>
          <w:tcPr>
            <w:tcW w:w="332" w:type="pct"/>
            <w:tcBorders>
              <w:top w:val="single" w:sz="6" w:space="0" w:color="auto"/>
              <w:left w:val="single" w:sz="6" w:space="0" w:color="auto"/>
              <w:bottom w:val="single" w:sz="6" w:space="0" w:color="auto"/>
              <w:right w:val="single" w:sz="6" w:space="0" w:color="auto"/>
            </w:tcBorders>
            <w:hideMark/>
          </w:tcPr>
          <w:p w14:paraId="611BA0E8"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7BF8E022" w14:textId="77777777" w:rsidR="00162CAA" w:rsidRPr="00162CAA" w:rsidRDefault="00162CAA" w:rsidP="00162CAA">
            <w:pPr>
              <w:spacing w:after="60"/>
              <w:rPr>
                <w:iCs/>
                <w:sz w:val="20"/>
              </w:rPr>
            </w:pPr>
            <w:r w:rsidRPr="00162CAA">
              <w:rPr>
                <w:i/>
                <w:iCs/>
                <w:sz w:val="20"/>
              </w:rPr>
              <w:t>LCAP Capacity-Short Amount</w:t>
            </w:r>
            <w:r w:rsidRPr="00162CAA">
              <w:rPr>
                <w:iCs/>
                <w:sz w:val="20"/>
              </w:rPr>
              <w:t xml:space="preserve">—The charge to QSE </w:t>
            </w:r>
            <w:r w:rsidRPr="00162CAA">
              <w:rPr>
                <w:i/>
                <w:iCs/>
                <w:sz w:val="20"/>
              </w:rPr>
              <w:t>q</w:t>
            </w:r>
            <w:r w:rsidRPr="00162CAA">
              <w:rPr>
                <w:iCs/>
                <w:sz w:val="20"/>
              </w:rPr>
              <w:t>, due to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w:t>
            </w:r>
          </w:p>
        </w:tc>
      </w:tr>
      <w:tr w:rsidR="00162CAA" w:rsidRPr="00162CAA" w14:paraId="4BAF633A"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557F8093" w14:textId="77777777" w:rsidR="00162CAA" w:rsidRPr="00162CAA" w:rsidRDefault="00162CAA" w:rsidP="00162CAA">
            <w:pPr>
              <w:spacing w:after="60"/>
              <w:rPr>
                <w:iCs/>
                <w:sz w:val="20"/>
              </w:rPr>
            </w:pPr>
            <w:r w:rsidRPr="00162CAA">
              <w:rPr>
                <w:iCs/>
                <w:sz w:val="20"/>
              </w:rPr>
              <w:t xml:space="preserve">LRS </w:t>
            </w:r>
            <w:r w:rsidRPr="00162CAA">
              <w:rPr>
                <w:i/>
                <w:iCs/>
                <w:sz w:val="20"/>
                <w:vertAlign w:val="subscript"/>
              </w:rPr>
              <w:t>q, i</w:t>
            </w:r>
          </w:p>
        </w:tc>
        <w:tc>
          <w:tcPr>
            <w:tcW w:w="332" w:type="pct"/>
            <w:tcBorders>
              <w:top w:val="single" w:sz="6" w:space="0" w:color="auto"/>
              <w:left w:val="single" w:sz="6" w:space="0" w:color="auto"/>
              <w:bottom w:val="single" w:sz="6" w:space="0" w:color="auto"/>
              <w:right w:val="single" w:sz="6" w:space="0" w:color="auto"/>
            </w:tcBorders>
            <w:hideMark/>
          </w:tcPr>
          <w:p w14:paraId="17746644" w14:textId="77777777" w:rsidR="00162CAA" w:rsidRPr="00162CAA" w:rsidRDefault="00162CAA" w:rsidP="00162CAA">
            <w:pPr>
              <w:spacing w:after="60"/>
              <w:jc w:val="center"/>
              <w:rPr>
                <w:iCs/>
                <w:sz w:val="20"/>
              </w:rPr>
            </w:pPr>
            <w:r w:rsidRPr="00162CAA">
              <w:rPr>
                <w:iCs/>
                <w:sz w:val="20"/>
              </w:rPr>
              <w:t>none</w:t>
            </w:r>
          </w:p>
        </w:tc>
        <w:tc>
          <w:tcPr>
            <w:tcW w:w="3473" w:type="pct"/>
            <w:tcBorders>
              <w:top w:val="single" w:sz="6" w:space="0" w:color="auto"/>
              <w:left w:val="single" w:sz="6" w:space="0" w:color="auto"/>
              <w:bottom w:val="single" w:sz="6" w:space="0" w:color="auto"/>
              <w:right w:val="single" w:sz="4" w:space="0" w:color="auto"/>
            </w:tcBorders>
            <w:hideMark/>
          </w:tcPr>
          <w:p w14:paraId="6783F087" w14:textId="150F08D2" w:rsidR="00162CAA" w:rsidRPr="00162CAA" w:rsidRDefault="00162CAA" w:rsidP="00162CAA">
            <w:pPr>
              <w:spacing w:after="60"/>
              <w:rPr>
                <w:i/>
                <w:iCs/>
                <w:sz w:val="20"/>
              </w:rPr>
            </w:pPr>
            <w:r w:rsidRPr="00162CAA">
              <w:rPr>
                <w:i/>
                <w:iCs/>
                <w:sz w:val="20"/>
              </w:rPr>
              <w:t>Load Ratio Share</w:t>
            </w:r>
            <w:r w:rsidRPr="00162CAA">
              <w:rPr>
                <w:iCs/>
                <w:sz w:val="20"/>
              </w:rPr>
              <w:t xml:space="preserve">—The ratio </w:t>
            </w:r>
            <w:r w:rsidR="003D3379" w:rsidRPr="00162CAA">
              <w:rPr>
                <w:iCs/>
                <w:sz w:val="20"/>
              </w:rPr>
              <w:t xml:space="preserve">of </w:t>
            </w:r>
            <w:r w:rsidR="003D3379">
              <w:rPr>
                <w:iCs/>
                <w:sz w:val="20"/>
              </w:rPr>
              <w:t>AML</w:t>
            </w:r>
            <w:r w:rsidR="003D3379" w:rsidRPr="00162CAA">
              <w:rPr>
                <w:iCs/>
                <w:sz w:val="20"/>
              </w:rPr>
              <w:t xml:space="preserve"> to the total ERCOT </w:t>
            </w:r>
            <w:r w:rsidR="003D3379">
              <w:rPr>
                <w:iCs/>
                <w:sz w:val="20"/>
              </w:rPr>
              <w:t>AML</w:t>
            </w:r>
            <w:r w:rsidR="003D3379" w:rsidRPr="00162CAA">
              <w:rPr>
                <w:iCs/>
                <w:sz w:val="20"/>
              </w:rPr>
              <w:t xml:space="preserve"> for </w:t>
            </w:r>
            <w:r w:rsidRPr="00162CAA">
              <w:rPr>
                <w:iCs/>
                <w:sz w:val="20"/>
              </w:rPr>
              <w:t>the 15-minute Settlement Interval.  See Section 6.6.2, Load Ratio Share, item (2).</w:t>
            </w:r>
          </w:p>
        </w:tc>
      </w:tr>
      <w:tr w:rsidR="00162CAA" w:rsidRPr="00162CAA" w14:paraId="28D731BA"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227E8F66" w14:textId="77777777" w:rsidR="00162CAA" w:rsidRPr="00162CAA" w:rsidRDefault="00162CAA" w:rsidP="00162CAA">
            <w:pPr>
              <w:spacing w:after="60"/>
              <w:rPr>
                <w:i/>
                <w:iCs/>
                <w:sz w:val="20"/>
              </w:rPr>
            </w:pPr>
            <w:r w:rsidRPr="00162CAA">
              <w:rPr>
                <w:i/>
                <w:iCs/>
                <w:sz w:val="20"/>
              </w:rPr>
              <w:t>i</w:t>
            </w:r>
          </w:p>
        </w:tc>
        <w:tc>
          <w:tcPr>
            <w:tcW w:w="332" w:type="pct"/>
            <w:tcBorders>
              <w:top w:val="single" w:sz="6" w:space="0" w:color="auto"/>
              <w:left w:val="single" w:sz="6" w:space="0" w:color="auto"/>
              <w:bottom w:val="single" w:sz="6" w:space="0" w:color="auto"/>
              <w:right w:val="single" w:sz="6" w:space="0" w:color="auto"/>
            </w:tcBorders>
            <w:hideMark/>
          </w:tcPr>
          <w:p w14:paraId="6C500209" w14:textId="77777777" w:rsidR="00162CAA" w:rsidRPr="00162CAA" w:rsidRDefault="00162CAA" w:rsidP="00162CAA">
            <w:pPr>
              <w:spacing w:after="60"/>
              <w:jc w:val="center"/>
              <w:rPr>
                <w:iCs/>
                <w:sz w:val="20"/>
              </w:rPr>
            </w:pPr>
            <w:r w:rsidRPr="00162CAA">
              <w:rPr>
                <w:iCs/>
                <w:sz w:val="20"/>
              </w:rPr>
              <w:t>none</w:t>
            </w:r>
          </w:p>
        </w:tc>
        <w:tc>
          <w:tcPr>
            <w:tcW w:w="3473" w:type="pct"/>
            <w:tcBorders>
              <w:top w:val="single" w:sz="6" w:space="0" w:color="auto"/>
              <w:left w:val="single" w:sz="6" w:space="0" w:color="auto"/>
              <w:bottom w:val="single" w:sz="6" w:space="0" w:color="auto"/>
              <w:right w:val="single" w:sz="4" w:space="0" w:color="auto"/>
            </w:tcBorders>
            <w:hideMark/>
          </w:tcPr>
          <w:p w14:paraId="546B0622" w14:textId="77777777" w:rsidR="00162CAA" w:rsidRPr="00162CAA" w:rsidRDefault="00162CAA" w:rsidP="00162CAA">
            <w:pPr>
              <w:spacing w:after="60"/>
              <w:rPr>
                <w:iCs/>
                <w:sz w:val="20"/>
              </w:rPr>
            </w:pPr>
            <w:r w:rsidRPr="00162CAA">
              <w:rPr>
                <w:iCs/>
                <w:sz w:val="20"/>
              </w:rPr>
              <w:t>A 15-minute Settlement Interval.</w:t>
            </w:r>
          </w:p>
        </w:tc>
      </w:tr>
      <w:tr w:rsidR="00162CAA" w:rsidRPr="00162CAA" w14:paraId="4B8E2A32" w14:textId="77777777" w:rsidTr="008B7FF7">
        <w:tc>
          <w:tcPr>
            <w:tcW w:w="1195" w:type="pct"/>
            <w:tcBorders>
              <w:top w:val="single" w:sz="6" w:space="0" w:color="auto"/>
              <w:left w:val="single" w:sz="4" w:space="0" w:color="auto"/>
              <w:bottom w:val="single" w:sz="6" w:space="0" w:color="auto"/>
              <w:right w:val="single" w:sz="6" w:space="0" w:color="auto"/>
            </w:tcBorders>
            <w:hideMark/>
          </w:tcPr>
          <w:p w14:paraId="629B6B35" w14:textId="77777777" w:rsidR="00162CAA" w:rsidRPr="00162CAA" w:rsidRDefault="00162CAA" w:rsidP="00162CAA">
            <w:pPr>
              <w:spacing w:after="60"/>
              <w:rPr>
                <w:i/>
                <w:iCs/>
                <w:sz w:val="20"/>
              </w:rPr>
            </w:pPr>
            <w:r w:rsidRPr="00162CAA">
              <w:rPr>
                <w:i/>
                <w:iCs/>
                <w:sz w:val="20"/>
              </w:rPr>
              <w:t>q</w:t>
            </w:r>
          </w:p>
        </w:tc>
        <w:tc>
          <w:tcPr>
            <w:tcW w:w="332" w:type="pct"/>
            <w:tcBorders>
              <w:top w:val="single" w:sz="6" w:space="0" w:color="auto"/>
              <w:left w:val="single" w:sz="6" w:space="0" w:color="auto"/>
              <w:bottom w:val="single" w:sz="6" w:space="0" w:color="auto"/>
              <w:right w:val="single" w:sz="6" w:space="0" w:color="auto"/>
            </w:tcBorders>
            <w:hideMark/>
          </w:tcPr>
          <w:p w14:paraId="7F6CCAC2" w14:textId="77777777" w:rsidR="00162CAA" w:rsidRPr="00162CAA" w:rsidRDefault="00162CAA" w:rsidP="00162CAA">
            <w:pPr>
              <w:spacing w:after="60"/>
              <w:jc w:val="center"/>
              <w:rPr>
                <w:iCs/>
                <w:sz w:val="20"/>
              </w:rPr>
            </w:pPr>
            <w:r w:rsidRPr="00162CAA">
              <w:rPr>
                <w:iCs/>
                <w:sz w:val="20"/>
              </w:rPr>
              <w:t>none</w:t>
            </w:r>
          </w:p>
        </w:tc>
        <w:tc>
          <w:tcPr>
            <w:tcW w:w="3473" w:type="pct"/>
            <w:tcBorders>
              <w:top w:val="single" w:sz="6" w:space="0" w:color="auto"/>
              <w:left w:val="single" w:sz="6" w:space="0" w:color="auto"/>
              <w:bottom w:val="single" w:sz="6" w:space="0" w:color="auto"/>
              <w:right w:val="single" w:sz="4" w:space="0" w:color="auto"/>
            </w:tcBorders>
            <w:hideMark/>
          </w:tcPr>
          <w:p w14:paraId="0BAB7402" w14:textId="77777777" w:rsidR="00162CAA" w:rsidRPr="00162CAA" w:rsidRDefault="00162CAA" w:rsidP="00162CAA">
            <w:pPr>
              <w:spacing w:after="60"/>
              <w:rPr>
                <w:iCs/>
                <w:sz w:val="20"/>
              </w:rPr>
            </w:pPr>
            <w:r w:rsidRPr="00162CAA">
              <w:rPr>
                <w:iCs/>
                <w:sz w:val="20"/>
              </w:rPr>
              <w:t>A QSE.</w:t>
            </w:r>
          </w:p>
        </w:tc>
      </w:tr>
    </w:tbl>
    <w:p w14:paraId="546755E8" w14:textId="77777777" w:rsidR="008B7FF7" w:rsidRDefault="008B7FF7"/>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B7FF7" w14:paraId="51DC6C63" w14:textId="77777777" w:rsidTr="008B7FF7">
        <w:trPr>
          <w:trHeight w:val="206"/>
        </w:trPr>
        <w:tc>
          <w:tcPr>
            <w:tcW w:w="5000" w:type="pct"/>
            <w:shd w:val="pct12" w:color="auto" w:fill="auto"/>
          </w:tcPr>
          <w:p w14:paraId="1DB807C8" w14:textId="77777777" w:rsidR="008B7FF7" w:rsidRDefault="008B7FF7" w:rsidP="00B327B6">
            <w:pPr>
              <w:pStyle w:val="Instructions"/>
              <w:spacing w:before="120"/>
            </w:pPr>
            <w:bookmarkStart w:id="2884" w:name="_Hlk76542775"/>
            <w:bookmarkEnd w:id="2851"/>
            <w:bookmarkEnd w:id="2852"/>
            <w:bookmarkEnd w:id="2853"/>
            <w:r>
              <w:t>[NPRR1216:  Replace Section 6.8.3.2 above upon system implementation and renumber accordingly.]</w:t>
            </w:r>
          </w:p>
          <w:p w14:paraId="25FA019B" w14:textId="77777777" w:rsidR="008B7FF7" w:rsidRPr="00D61479" w:rsidRDefault="008B7FF7" w:rsidP="008B7FF7">
            <w:pPr>
              <w:keepNext/>
              <w:widowControl w:val="0"/>
              <w:tabs>
                <w:tab w:val="left" w:pos="1260"/>
              </w:tabs>
              <w:spacing w:before="240" w:after="240"/>
              <w:ind w:left="1267" w:hanging="1267"/>
              <w:outlineLvl w:val="3"/>
              <w:rPr>
                <w:b/>
                <w:bCs/>
                <w:i/>
                <w:iCs/>
                <w:snapToGrid w:val="0"/>
              </w:rPr>
            </w:pPr>
            <w:bookmarkStart w:id="2885" w:name="_Toc204411770"/>
            <w:r w:rsidRPr="00D61479">
              <w:rPr>
                <w:b/>
                <w:bCs/>
                <w:i/>
                <w:iCs/>
                <w:snapToGrid w:val="0"/>
              </w:rPr>
              <w:t>6.8.3</w:t>
            </w:r>
            <w:r w:rsidRPr="00D61479">
              <w:rPr>
                <w:b/>
                <w:bCs/>
                <w:i/>
                <w:iCs/>
                <w:snapToGrid w:val="0"/>
              </w:rPr>
              <w:tab/>
              <w:t>Charges for Operating Losses During an LCAP or ECAP Effective Period</w:t>
            </w:r>
            <w:bookmarkEnd w:id="2885"/>
          </w:p>
          <w:p w14:paraId="031C6576" w14:textId="77777777" w:rsidR="008B7FF7" w:rsidRPr="008B7FF7" w:rsidRDefault="008B7FF7" w:rsidP="008B7FF7">
            <w:pPr>
              <w:spacing w:before="240" w:after="240"/>
              <w:ind w:left="720" w:hanging="720"/>
            </w:pPr>
            <w:r w:rsidRPr="008B7FF7">
              <w:t>(1)</w:t>
            </w:r>
            <w:r w:rsidRPr="008B7FF7">
              <w:tab/>
              <w:t>ERCOT shall allocate the total operating losses payment amount to the QSEs representing Loads.  The resulting charge to each QSE’s Load Ratio Share (LRS) for a 15-minute Settlement Interval is calculated as follows:</w:t>
            </w:r>
          </w:p>
          <w:p w14:paraId="736D24A6" w14:textId="2DA158B9" w:rsidR="008B7FF7" w:rsidRPr="008B7FF7" w:rsidRDefault="008B7FF7" w:rsidP="008B7FF7">
            <w:pPr>
              <w:tabs>
                <w:tab w:val="left" w:pos="2340"/>
                <w:tab w:val="left" w:pos="3420"/>
              </w:tabs>
              <w:spacing w:after="240"/>
              <w:ind w:left="3420" w:hanging="2700"/>
              <w:rPr>
                <w:b/>
                <w:bCs/>
                <w:szCs w:val="24"/>
                <w:lang w:val="sv-SE"/>
              </w:rPr>
            </w:pPr>
            <w:r w:rsidRPr="008B7FF7">
              <w:rPr>
                <w:b/>
                <w:bCs/>
                <w:szCs w:val="24"/>
                <w:lang w:val="sv-SE"/>
              </w:rPr>
              <w:lastRenderedPageBreak/>
              <w:t xml:space="preserve">LALCAPAMT </w:t>
            </w:r>
            <w:r w:rsidRPr="008B7FF7">
              <w:rPr>
                <w:b/>
                <w:bCs/>
                <w:i/>
                <w:szCs w:val="24"/>
                <w:vertAlign w:val="subscript"/>
                <w:lang w:val="sv-SE"/>
              </w:rPr>
              <w:t>q, i</w:t>
            </w:r>
            <w:r w:rsidRPr="008B7FF7">
              <w:rPr>
                <w:b/>
                <w:bCs/>
                <w:szCs w:val="24"/>
                <w:lang w:val="sv-SE"/>
              </w:rPr>
              <w:tab/>
              <w:t>=</w:t>
            </w:r>
            <w:r w:rsidRPr="008B7FF7">
              <w:rPr>
                <w:b/>
                <w:bCs/>
                <w:szCs w:val="24"/>
                <w:lang w:val="sv-SE"/>
              </w:rPr>
              <w:tab/>
              <w:t xml:space="preserve">(-1) * OPLPAMTTOT </w:t>
            </w:r>
            <w:r w:rsidRPr="008B7FF7">
              <w:rPr>
                <w:b/>
                <w:bCs/>
                <w:i/>
                <w:szCs w:val="24"/>
                <w:vertAlign w:val="subscript"/>
                <w:lang w:val="sv-SE"/>
              </w:rPr>
              <w:t>i</w:t>
            </w:r>
            <w:r w:rsidRPr="008B7FF7">
              <w:rPr>
                <w:b/>
                <w:bCs/>
                <w:szCs w:val="24"/>
                <w:lang w:val="sv-SE"/>
              </w:rPr>
              <w:t xml:space="preserve"> * LRS </w:t>
            </w:r>
            <w:r w:rsidRPr="008B7FF7">
              <w:rPr>
                <w:b/>
                <w:bCs/>
                <w:i/>
                <w:szCs w:val="24"/>
                <w:vertAlign w:val="subscript"/>
                <w:lang w:val="sv-SE"/>
              </w:rPr>
              <w:t>q, i</w:t>
            </w:r>
          </w:p>
          <w:p w14:paraId="3D23EAC5" w14:textId="77777777" w:rsidR="008B7FF7" w:rsidRPr="008B7FF7" w:rsidRDefault="008B7FF7" w:rsidP="008B7FF7">
            <w:pPr>
              <w:tabs>
                <w:tab w:val="left" w:pos="2340"/>
                <w:tab w:val="left" w:pos="3420"/>
              </w:tabs>
              <w:spacing w:after="240"/>
              <w:ind w:left="3420" w:hanging="2700"/>
              <w:rPr>
                <w:b/>
                <w:bCs/>
                <w:szCs w:val="24"/>
              </w:rPr>
            </w:pPr>
            <w:r w:rsidRPr="008B7FF7">
              <w:rPr>
                <w:b/>
                <w:bCs/>
                <w:szCs w:val="24"/>
              </w:rPr>
              <w:t>Where:</w:t>
            </w:r>
          </w:p>
          <w:p w14:paraId="25F258B7" w14:textId="2C6970C3" w:rsidR="008B7FF7" w:rsidRPr="008B7FF7" w:rsidRDefault="008B7FF7" w:rsidP="008B7FF7">
            <w:pPr>
              <w:tabs>
                <w:tab w:val="left" w:pos="2340"/>
                <w:tab w:val="left" w:pos="3420"/>
              </w:tabs>
              <w:spacing w:after="240"/>
              <w:ind w:left="3420" w:hanging="2700"/>
              <w:rPr>
                <w:bCs/>
                <w:i/>
                <w:szCs w:val="24"/>
                <w:vertAlign w:val="subscript"/>
              </w:rPr>
            </w:pPr>
            <w:r w:rsidRPr="008B7FF7">
              <w:rPr>
                <w:bCs/>
                <w:szCs w:val="24"/>
              </w:rPr>
              <w:t xml:space="preserve">OPLPAMTTOT </w:t>
            </w:r>
            <w:r w:rsidRPr="008B7FF7">
              <w:rPr>
                <w:bCs/>
                <w:i/>
                <w:szCs w:val="24"/>
                <w:vertAlign w:val="subscript"/>
              </w:rPr>
              <w:t xml:space="preserve">i </w:t>
            </w:r>
            <w:r w:rsidRPr="008B7FF7">
              <w:rPr>
                <w:bCs/>
                <w:szCs w:val="24"/>
              </w:rPr>
              <w:tab/>
            </w:r>
            <w:r w:rsidRPr="008B7FF7">
              <w:rPr>
                <w:bCs/>
                <w:szCs w:val="24"/>
              </w:rPr>
              <w:tab/>
              <w:t>=</w:t>
            </w:r>
            <w:r w:rsidRPr="008B7FF7">
              <w:rPr>
                <w:bCs/>
                <w:szCs w:val="24"/>
              </w:rPr>
              <w:tab/>
            </w:r>
            <w:r w:rsidRPr="008B7FF7">
              <w:rPr>
                <w:bCs/>
                <w:position w:val="-22"/>
                <w:szCs w:val="24"/>
              </w:rPr>
              <w:object w:dxaOrig="330" w:dyaOrig="630" w14:anchorId="3ADC06B4">
                <v:shape id="_x0000_i1460" type="#_x0000_t75" style="width:12pt;height:30pt" o:ole="">
                  <v:imagedata r:id="rId550" o:title=""/>
                </v:shape>
                <o:OLEObject Type="Embed" ProgID="Equation.3" ShapeID="_x0000_i1460" DrawAspect="Content" ObjectID="_1815025648" r:id="rId570"/>
              </w:object>
            </w:r>
            <w:r w:rsidRPr="008B7FF7">
              <w:rPr>
                <w:bCs/>
                <w:szCs w:val="24"/>
              </w:rPr>
              <w:t>OPLPAMTQSETOT</w:t>
            </w:r>
            <w:r w:rsidRPr="008B7FF7">
              <w:rPr>
                <w:bCs/>
                <w:i/>
                <w:szCs w:val="24"/>
                <w:vertAlign w:val="subscript"/>
              </w:rPr>
              <w:t xml:space="preserve"> i, q</w:t>
            </w:r>
          </w:p>
          <w:p w14:paraId="1A260B1D" w14:textId="77777777" w:rsidR="008B7FF7" w:rsidRPr="008B7FF7" w:rsidRDefault="008B7FF7" w:rsidP="008B7FF7">
            <w:pPr>
              <w:spacing w:before="120"/>
              <w:rPr>
                <w:szCs w:val="24"/>
              </w:rPr>
            </w:pPr>
            <w:r w:rsidRPr="008B7FF7">
              <w:rPr>
                <w:szCs w:val="24"/>
              </w:rPr>
              <w:t>The above variables are defined as follows:</w:t>
            </w:r>
          </w:p>
          <w:tbl>
            <w:tblPr>
              <w:tblW w:w="495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151"/>
              <w:gridCol w:w="605"/>
              <w:gridCol w:w="6263"/>
            </w:tblGrid>
            <w:tr w:rsidR="008B7FF7" w:rsidRPr="008B7FF7" w14:paraId="1BC6E7DC" w14:textId="77777777" w:rsidTr="008B7FF7">
              <w:tc>
                <w:tcPr>
                  <w:tcW w:w="1193" w:type="pct"/>
                  <w:tcBorders>
                    <w:top w:val="single" w:sz="4" w:space="0" w:color="auto"/>
                    <w:left w:val="single" w:sz="4" w:space="0" w:color="auto"/>
                    <w:bottom w:val="single" w:sz="6" w:space="0" w:color="auto"/>
                    <w:right w:val="single" w:sz="6" w:space="0" w:color="auto"/>
                  </w:tcBorders>
                  <w:hideMark/>
                </w:tcPr>
                <w:p w14:paraId="408515CD" w14:textId="77777777" w:rsidR="008B7FF7" w:rsidRPr="008B7FF7" w:rsidRDefault="008B7FF7" w:rsidP="008B7FF7">
                  <w:pPr>
                    <w:spacing w:after="240"/>
                    <w:rPr>
                      <w:b/>
                      <w:iCs/>
                      <w:sz w:val="20"/>
                    </w:rPr>
                  </w:pPr>
                  <w:r w:rsidRPr="008B7FF7">
                    <w:rPr>
                      <w:b/>
                      <w:iCs/>
                      <w:sz w:val="20"/>
                    </w:rPr>
                    <w:t>Variable</w:t>
                  </w:r>
                </w:p>
              </w:tc>
              <w:tc>
                <w:tcPr>
                  <w:tcW w:w="335" w:type="pct"/>
                  <w:tcBorders>
                    <w:top w:val="single" w:sz="4" w:space="0" w:color="auto"/>
                    <w:left w:val="single" w:sz="6" w:space="0" w:color="auto"/>
                    <w:bottom w:val="single" w:sz="6" w:space="0" w:color="auto"/>
                    <w:right w:val="single" w:sz="6" w:space="0" w:color="auto"/>
                  </w:tcBorders>
                  <w:hideMark/>
                </w:tcPr>
                <w:p w14:paraId="4CA23123" w14:textId="77777777" w:rsidR="008B7FF7" w:rsidRPr="008B7FF7" w:rsidRDefault="008B7FF7" w:rsidP="008B7FF7">
                  <w:pPr>
                    <w:spacing w:after="240"/>
                    <w:jc w:val="center"/>
                    <w:rPr>
                      <w:b/>
                      <w:iCs/>
                      <w:sz w:val="20"/>
                    </w:rPr>
                  </w:pPr>
                  <w:r w:rsidRPr="008B7FF7">
                    <w:rPr>
                      <w:b/>
                      <w:iCs/>
                      <w:sz w:val="20"/>
                    </w:rPr>
                    <w:t>Unit</w:t>
                  </w:r>
                </w:p>
              </w:tc>
              <w:tc>
                <w:tcPr>
                  <w:tcW w:w="3472" w:type="pct"/>
                  <w:tcBorders>
                    <w:top w:val="single" w:sz="4" w:space="0" w:color="auto"/>
                    <w:left w:val="single" w:sz="6" w:space="0" w:color="auto"/>
                    <w:bottom w:val="single" w:sz="6" w:space="0" w:color="auto"/>
                    <w:right w:val="single" w:sz="4" w:space="0" w:color="auto"/>
                  </w:tcBorders>
                  <w:hideMark/>
                </w:tcPr>
                <w:p w14:paraId="0543F97D" w14:textId="77777777" w:rsidR="008B7FF7" w:rsidRPr="008B7FF7" w:rsidRDefault="008B7FF7" w:rsidP="008B7FF7">
                  <w:pPr>
                    <w:spacing w:after="240"/>
                    <w:rPr>
                      <w:b/>
                      <w:iCs/>
                      <w:sz w:val="20"/>
                    </w:rPr>
                  </w:pPr>
                  <w:r w:rsidRPr="008B7FF7">
                    <w:rPr>
                      <w:b/>
                      <w:iCs/>
                      <w:sz w:val="20"/>
                    </w:rPr>
                    <w:t>Definition</w:t>
                  </w:r>
                </w:p>
              </w:tc>
            </w:tr>
            <w:tr w:rsidR="008B7FF7" w:rsidRPr="008B7FF7" w14:paraId="68914694" w14:textId="77777777" w:rsidTr="008B7FF7">
              <w:tc>
                <w:tcPr>
                  <w:tcW w:w="1193" w:type="pct"/>
                  <w:tcBorders>
                    <w:top w:val="single" w:sz="6" w:space="0" w:color="auto"/>
                    <w:left w:val="single" w:sz="4" w:space="0" w:color="auto"/>
                    <w:bottom w:val="single" w:sz="6" w:space="0" w:color="auto"/>
                    <w:right w:val="single" w:sz="6" w:space="0" w:color="auto"/>
                  </w:tcBorders>
                  <w:hideMark/>
                </w:tcPr>
                <w:p w14:paraId="38B9A648" w14:textId="77777777" w:rsidR="008B7FF7" w:rsidRPr="008B7FF7" w:rsidRDefault="008B7FF7" w:rsidP="008B7FF7">
                  <w:pPr>
                    <w:spacing w:after="60"/>
                    <w:rPr>
                      <w:iCs/>
                      <w:sz w:val="20"/>
                    </w:rPr>
                  </w:pPr>
                  <w:r w:rsidRPr="008B7FF7">
                    <w:rPr>
                      <w:iCs/>
                      <w:sz w:val="20"/>
                    </w:rPr>
                    <w:t xml:space="preserve">LALCAPAMT </w:t>
                  </w:r>
                  <w:r w:rsidRPr="008B7FF7">
                    <w:rPr>
                      <w:i/>
                      <w:iCs/>
                      <w:sz w:val="20"/>
                      <w:vertAlign w:val="subscript"/>
                    </w:rPr>
                    <w:t>q, i</w:t>
                  </w:r>
                </w:p>
              </w:tc>
              <w:tc>
                <w:tcPr>
                  <w:tcW w:w="335" w:type="pct"/>
                  <w:tcBorders>
                    <w:top w:val="single" w:sz="6" w:space="0" w:color="auto"/>
                    <w:left w:val="single" w:sz="6" w:space="0" w:color="auto"/>
                    <w:bottom w:val="single" w:sz="6" w:space="0" w:color="auto"/>
                    <w:right w:val="single" w:sz="6" w:space="0" w:color="auto"/>
                  </w:tcBorders>
                  <w:hideMark/>
                </w:tcPr>
                <w:p w14:paraId="452CFD4F" w14:textId="77777777" w:rsidR="008B7FF7" w:rsidRPr="008B7FF7" w:rsidRDefault="008B7FF7" w:rsidP="008B7FF7">
                  <w:pPr>
                    <w:spacing w:after="60"/>
                    <w:jc w:val="center"/>
                    <w:rPr>
                      <w:iCs/>
                      <w:sz w:val="20"/>
                    </w:rPr>
                  </w:pPr>
                  <w:r w:rsidRPr="008B7FF7">
                    <w:rPr>
                      <w:iCs/>
                      <w:sz w:val="20"/>
                    </w:rPr>
                    <w:t>$</w:t>
                  </w:r>
                </w:p>
              </w:tc>
              <w:tc>
                <w:tcPr>
                  <w:tcW w:w="3472" w:type="pct"/>
                  <w:tcBorders>
                    <w:top w:val="single" w:sz="6" w:space="0" w:color="auto"/>
                    <w:left w:val="single" w:sz="6" w:space="0" w:color="auto"/>
                    <w:bottom w:val="single" w:sz="6" w:space="0" w:color="auto"/>
                    <w:right w:val="single" w:sz="4" w:space="0" w:color="auto"/>
                  </w:tcBorders>
                  <w:hideMark/>
                </w:tcPr>
                <w:p w14:paraId="69FEA1C7" w14:textId="6AEC5909" w:rsidR="008B7FF7" w:rsidRPr="008B7FF7" w:rsidRDefault="008B7FF7" w:rsidP="008B7FF7">
                  <w:pPr>
                    <w:spacing w:after="60"/>
                    <w:rPr>
                      <w:iCs/>
                      <w:sz w:val="20"/>
                    </w:rPr>
                  </w:pPr>
                  <w:r w:rsidRPr="008B7FF7">
                    <w:rPr>
                      <w:i/>
                      <w:iCs/>
                      <w:sz w:val="20"/>
                    </w:rPr>
                    <w:t>Load Allocated LCAP or ECAP Effective Period Charge</w:t>
                  </w:r>
                  <w:r w:rsidR="00BB727A">
                    <w:rPr>
                      <w:i/>
                      <w:iCs/>
                      <w:sz w:val="20"/>
                    </w:rPr>
                    <w:t xml:space="preserve"> </w:t>
                  </w:r>
                  <w:r w:rsidR="00BB727A" w:rsidRPr="00764A29">
                    <w:rPr>
                      <w:szCs w:val="24"/>
                    </w:rPr>
                    <w:t>–</w:t>
                  </w:r>
                  <w:r w:rsidR="00BB727A">
                    <w:rPr>
                      <w:iCs/>
                      <w:sz w:val="20"/>
                    </w:rPr>
                    <w:t xml:space="preserve"> </w:t>
                  </w:r>
                  <w:r w:rsidRPr="008B7FF7">
                    <w:rPr>
                      <w:iCs/>
                      <w:sz w:val="20"/>
                    </w:rPr>
                    <w:t xml:space="preserve">The amount owed from the QSE </w:t>
                  </w:r>
                  <w:r w:rsidRPr="008B7FF7">
                    <w:rPr>
                      <w:i/>
                      <w:iCs/>
                      <w:sz w:val="20"/>
                    </w:rPr>
                    <w:t xml:space="preserve">q, </w:t>
                  </w:r>
                  <w:r w:rsidRPr="008B7FF7">
                    <w:rPr>
                      <w:iCs/>
                      <w:sz w:val="20"/>
                    </w:rPr>
                    <w:t xml:space="preserve">based on Load Ratio Share, for the 15-minute Settlement Interval </w:t>
                  </w:r>
                  <w:r w:rsidRPr="008B7FF7">
                    <w:rPr>
                      <w:i/>
                      <w:iCs/>
                      <w:sz w:val="20"/>
                    </w:rPr>
                    <w:t>i</w:t>
                  </w:r>
                  <w:r w:rsidRPr="008B7FF7">
                    <w:rPr>
                      <w:iCs/>
                      <w:sz w:val="20"/>
                    </w:rPr>
                    <w:t>.</w:t>
                  </w:r>
                </w:p>
              </w:tc>
            </w:tr>
            <w:tr w:rsidR="008B7FF7" w:rsidRPr="008B7FF7" w14:paraId="788E3178" w14:textId="77777777" w:rsidTr="008B7FF7">
              <w:trPr>
                <w:cantSplit/>
              </w:trPr>
              <w:tc>
                <w:tcPr>
                  <w:tcW w:w="1193" w:type="pct"/>
                  <w:tcBorders>
                    <w:top w:val="single" w:sz="4" w:space="0" w:color="auto"/>
                    <w:left w:val="single" w:sz="4" w:space="0" w:color="auto"/>
                    <w:bottom w:val="single" w:sz="4" w:space="0" w:color="auto"/>
                    <w:right w:val="single" w:sz="4" w:space="0" w:color="auto"/>
                  </w:tcBorders>
                  <w:hideMark/>
                </w:tcPr>
                <w:p w14:paraId="284D7C33" w14:textId="77777777" w:rsidR="008B7FF7" w:rsidRPr="008B7FF7" w:rsidRDefault="008B7FF7" w:rsidP="008B7FF7">
                  <w:pPr>
                    <w:spacing w:after="60"/>
                    <w:rPr>
                      <w:iCs/>
                      <w:sz w:val="20"/>
                      <w:szCs w:val="24"/>
                    </w:rPr>
                  </w:pPr>
                  <w:r w:rsidRPr="008B7FF7">
                    <w:rPr>
                      <w:iCs/>
                      <w:sz w:val="20"/>
                      <w:szCs w:val="24"/>
                    </w:rPr>
                    <w:t>OPLPAMTQSETOT</w:t>
                  </w:r>
                  <w:r w:rsidRPr="008B7FF7">
                    <w:rPr>
                      <w:b/>
                      <w:iCs/>
                      <w:sz w:val="20"/>
                      <w:szCs w:val="24"/>
                    </w:rPr>
                    <w:t xml:space="preserve"> </w:t>
                  </w:r>
                  <w:r w:rsidRPr="008B7FF7">
                    <w:rPr>
                      <w:i/>
                      <w:iCs/>
                      <w:sz w:val="20"/>
                      <w:szCs w:val="24"/>
                      <w:vertAlign w:val="subscript"/>
                    </w:rPr>
                    <w:t>i, q</w:t>
                  </w:r>
                  <w:r w:rsidRPr="008B7FF7">
                    <w:rPr>
                      <w:iCs/>
                      <w:sz w:val="20"/>
                      <w:szCs w:val="24"/>
                    </w:rPr>
                    <w:t xml:space="preserve"> </w:t>
                  </w:r>
                </w:p>
              </w:tc>
              <w:tc>
                <w:tcPr>
                  <w:tcW w:w="335" w:type="pct"/>
                  <w:tcBorders>
                    <w:top w:val="single" w:sz="4" w:space="0" w:color="auto"/>
                    <w:left w:val="single" w:sz="4" w:space="0" w:color="auto"/>
                    <w:bottom w:val="single" w:sz="4" w:space="0" w:color="auto"/>
                    <w:right w:val="single" w:sz="4" w:space="0" w:color="auto"/>
                  </w:tcBorders>
                  <w:hideMark/>
                </w:tcPr>
                <w:p w14:paraId="3FA2819A" w14:textId="77777777" w:rsidR="008B7FF7" w:rsidRPr="008B7FF7" w:rsidRDefault="008B7FF7" w:rsidP="008B7FF7">
                  <w:pPr>
                    <w:spacing w:after="60"/>
                    <w:jc w:val="center"/>
                    <w:rPr>
                      <w:iCs/>
                      <w:sz w:val="20"/>
                      <w:szCs w:val="24"/>
                    </w:rPr>
                  </w:pPr>
                  <w:r w:rsidRPr="008B7FF7">
                    <w:rPr>
                      <w:iCs/>
                      <w:sz w:val="20"/>
                      <w:szCs w:val="24"/>
                    </w:rPr>
                    <w:t>$</w:t>
                  </w:r>
                </w:p>
              </w:tc>
              <w:tc>
                <w:tcPr>
                  <w:tcW w:w="3472" w:type="pct"/>
                  <w:tcBorders>
                    <w:top w:val="single" w:sz="4" w:space="0" w:color="auto"/>
                    <w:left w:val="single" w:sz="4" w:space="0" w:color="auto"/>
                    <w:bottom w:val="single" w:sz="4" w:space="0" w:color="auto"/>
                    <w:right w:val="single" w:sz="4" w:space="0" w:color="auto"/>
                  </w:tcBorders>
                  <w:hideMark/>
                </w:tcPr>
                <w:p w14:paraId="5852B8F3" w14:textId="77777777" w:rsidR="008B7FF7" w:rsidRPr="008B7FF7" w:rsidRDefault="008B7FF7" w:rsidP="008B7FF7">
                  <w:pPr>
                    <w:spacing w:after="60"/>
                    <w:rPr>
                      <w:iCs/>
                      <w:sz w:val="20"/>
                      <w:szCs w:val="24"/>
                    </w:rPr>
                  </w:pPr>
                  <w:r w:rsidRPr="008B7FF7">
                    <w:rPr>
                      <w:i/>
                      <w:iCs/>
                      <w:sz w:val="20"/>
                      <w:szCs w:val="24"/>
                    </w:rPr>
                    <w:t xml:space="preserve">Total Operating Losses Payment Amount per QSE – </w:t>
                  </w:r>
                  <w:r w:rsidRPr="008B7FF7">
                    <w:rPr>
                      <w:iCs/>
                      <w:sz w:val="20"/>
                      <w:szCs w:val="24"/>
                    </w:rPr>
                    <w:t xml:space="preserve">The total operating losses payment to the QSE </w:t>
                  </w:r>
                  <w:r w:rsidRPr="008B7FF7">
                    <w:rPr>
                      <w:i/>
                      <w:iCs/>
                      <w:sz w:val="20"/>
                      <w:szCs w:val="24"/>
                    </w:rPr>
                    <w:t>q</w:t>
                  </w:r>
                  <w:r w:rsidRPr="008B7FF7">
                    <w:rPr>
                      <w:iCs/>
                      <w:sz w:val="20"/>
                      <w:szCs w:val="24"/>
                    </w:rPr>
                    <w:t xml:space="preserve">, for all Resources, for the 15-minute Settlement Interval </w:t>
                  </w:r>
                  <w:r w:rsidRPr="008B7FF7">
                    <w:rPr>
                      <w:i/>
                      <w:sz w:val="20"/>
                      <w:szCs w:val="24"/>
                    </w:rPr>
                    <w:t xml:space="preserve">i </w:t>
                  </w:r>
                  <w:r w:rsidRPr="008B7FF7">
                    <w:rPr>
                      <w:sz w:val="20"/>
                      <w:szCs w:val="24"/>
                    </w:rPr>
                    <w:t>within the Operating Day</w:t>
                  </w:r>
                  <w:r w:rsidRPr="008B7FF7">
                    <w:rPr>
                      <w:szCs w:val="24"/>
                    </w:rPr>
                    <w:t>.</w:t>
                  </w:r>
                  <w:r w:rsidRPr="008B7FF7">
                    <w:rPr>
                      <w:iCs/>
                      <w:sz w:val="20"/>
                      <w:szCs w:val="24"/>
                    </w:rPr>
                    <w:t xml:space="preserve"> </w:t>
                  </w:r>
                  <w:r w:rsidRPr="008B7FF7">
                    <w:rPr>
                      <w:iCs/>
                      <w:sz w:val="20"/>
                    </w:rPr>
                    <w:t xml:space="preserve"> </w:t>
                  </w:r>
                </w:p>
              </w:tc>
            </w:tr>
            <w:tr w:rsidR="008B7FF7" w:rsidRPr="008B7FF7" w14:paraId="6BBF9A3F" w14:textId="77777777" w:rsidTr="008B7FF7">
              <w:tc>
                <w:tcPr>
                  <w:tcW w:w="1193" w:type="pct"/>
                  <w:tcBorders>
                    <w:top w:val="single" w:sz="6" w:space="0" w:color="auto"/>
                    <w:left w:val="single" w:sz="4" w:space="0" w:color="auto"/>
                    <w:bottom w:val="single" w:sz="6" w:space="0" w:color="auto"/>
                    <w:right w:val="single" w:sz="6" w:space="0" w:color="auto"/>
                  </w:tcBorders>
                  <w:hideMark/>
                </w:tcPr>
                <w:p w14:paraId="020CB7B7" w14:textId="77777777" w:rsidR="008B7FF7" w:rsidRPr="008B7FF7" w:rsidRDefault="008B7FF7" w:rsidP="008B7FF7">
                  <w:pPr>
                    <w:spacing w:after="60"/>
                    <w:rPr>
                      <w:iCs/>
                      <w:sz w:val="20"/>
                    </w:rPr>
                  </w:pPr>
                  <w:r w:rsidRPr="008B7FF7">
                    <w:rPr>
                      <w:iCs/>
                      <w:sz w:val="20"/>
                    </w:rPr>
                    <w:t xml:space="preserve">OPLPAMTTOT </w:t>
                  </w:r>
                  <w:r w:rsidRPr="008B7FF7">
                    <w:rPr>
                      <w:i/>
                      <w:iCs/>
                      <w:sz w:val="20"/>
                      <w:vertAlign w:val="subscript"/>
                    </w:rPr>
                    <w:t>i</w:t>
                  </w:r>
                </w:p>
              </w:tc>
              <w:tc>
                <w:tcPr>
                  <w:tcW w:w="335" w:type="pct"/>
                  <w:tcBorders>
                    <w:top w:val="single" w:sz="6" w:space="0" w:color="auto"/>
                    <w:left w:val="single" w:sz="6" w:space="0" w:color="auto"/>
                    <w:bottom w:val="single" w:sz="6" w:space="0" w:color="auto"/>
                    <w:right w:val="single" w:sz="6" w:space="0" w:color="auto"/>
                  </w:tcBorders>
                  <w:hideMark/>
                </w:tcPr>
                <w:p w14:paraId="3CF0A958" w14:textId="77777777" w:rsidR="008B7FF7" w:rsidRPr="008B7FF7" w:rsidRDefault="008B7FF7" w:rsidP="008B7FF7">
                  <w:pPr>
                    <w:spacing w:after="60"/>
                    <w:jc w:val="center"/>
                    <w:rPr>
                      <w:iCs/>
                      <w:sz w:val="20"/>
                    </w:rPr>
                  </w:pPr>
                  <w:r w:rsidRPr="008B7FF7">
                    <w:rPr>
                      <w:iCs/>
                      <w:sz w:val="20"/>
                    </w:rPr>
                    <w:t>$</w:t>
                  </w:r>
                </w:p>
              </w:tc>
              <w:tc>
                <w:tcPr>
                  <w:tcW w:w="3472" w:type="pct"/>
                  <w:tcBorders>
                    <w:top w:val="single" w:sz="6" w:space="0" w:color="auto"/>
                    <w:left w:val="single" w:sz="6" w:space="0" w:color="auto"/>
                    <w:bottom w:val="single" w:sz="6" w:space="0" w:color="auto"/>
                    <w:right w:val="single" w:sz="4" w:space="0" w:color="auto"/>
                  </w:tcBorders>
                  <w:hideMark/>
                </w:tcPr>
                <w:p w14:paraId="779D61D8" w14:textId="77777777" w:rsidR="008B7FF7" w:rsidRPr="008B7FF7" w:rsidRDefault="008B7FF7" w:rsidP="008B7FF7">
                  <w:pPr>
                    <w:spacing w:after="60"/>
                    <w:rPr>
                      <w:iCs/>
                      <w:sz w:val="20"/>
                    </w:rPr>
                  </w:pPr>
                  <w:r w:rsidRPr="008B7FF7">
                    <w:rPr>
                      <w:i/>
                      <w:sz w:val="20"/>
                    </w:rPr>
                    <w:t xml:space="preserve">Total Operating Losses Payment Amount – </w:t>
                  </w:r>
                  <w:r w:rsidRPr="008B7FF7">
                    <w:rPr>
                      <w:iCs/>
                      <w:sz w:val="20"/>
                    </w:rPr>
                    <w:t>The sum of Operating Losses Payments to all QSEs, for the 15-minute Settlement Interval</w:t>
                  </w:r>
                  <w:r w:rsidRPr="008B7FF7">
                    <w:rPr>
                      <w:i/>
                      <w:iCs/>
                      <w:sz w:val="20"/>
                    </w:rPr>
                    <w:t xml:space="preserve"> i</w:t>
                  </w:r>
                  <w:r w:rsidRPr="008B7FF7">
                    <w:rPr>
                      <w:iCs/>
                      <w:sz w:val="20"/>
                    </w:rPr>
                    <w:t>.</w:t>
                  </w:r>
                </w:p>
              </w:tc>
            </w:tr>
            <w:tr w:rsidR="008B7FF7" w:rsidRPr="008B7FF7" w14:paraId="43AC709B" w14:textId="77777777" w:rsidTr="008B7FF7">
              <w:tc>
                <w:tcPr>
                  <w:tcW w:w="1193" w:type="pct"/>
                  <w:tcBorders>
                    <w:top w:val="single" w:sz="6" w:space="0" w:color="auto"/>
                    <w:left w:val="single" w:sz="4" w:space="0" w:color="auto"/>
                    <w:bottom w:val="single" w:sz="6" w:space="0" w:color="auto"/>
                    <w:right w:val="single" w:sz="6" w:space="0" w:color="auto"/>
                  </w:tcBorders>
                  <w:hideMark/>
                </w:tcPr>
                <w:p w14:paraId="5C856171" w14:textId="77777777" w:rsidR="008B7FF7" w:rsidRPr="008B7FF7" w:rsidRDefault="008B7FF7" w:rsidP="008B7FF7">
                  <w:pPr>
                    <w:spacing w:after="60"/>
                    <w:rPr>
                      <w:iCs/>
                      <w:sz w:val="20"/>
                    </w:rPr>
                  </w:pPr>
                  <w:r w:rsidRPr="008B7FF7">
                    <w:rPr>
                      <w:iCs/>
                      <w:sz w:val="20"/>
                    </w:rPr>
                    <w:t xml:space="preserve">LRS </w:t>
                  </w:r>
                  <w:r w:rsidRPr="008B7FF7">
                    <w:rPr>
                      <w:i/>
                      <w:iCs/>
                      <w:sz w:val="20"/>
                      <w:vertAlign w:val="subscript"/>
                    </w:rPr>
                    <w:t>q, i</w:t>
                  </w:r>
                </w:p>
              </w:tc>
              <w:tc>
                <w:tcPr>
                  <w:tcW w:w="335" w:type="pct"/>
                  <w:tcBorders>
                    <w:top w:val="single" w:sz="6" w:space="0" w:color="auto"/>
                    <w:left w:val="single" w:sz="6" w:space="0" w:color="auto"/>
                    <w:bottom w:val="single" w:sz="6" w:space="0" w:color="auto"/>
                    <w:right w:val="single" w:sz="6" w:space="0" w:color="auto"/>
                  </w:tcBorders>
                  <w:hideMark/>
                </w:tcPr>
                <w:p w14:paraId="03F80359" w14:textId="77777777" w:rsidR="008B7FF7" w:rsidRPr="008B7FF7" w:rsidRDefault="008B7FF7" w:rsidP="008B7FF7">
                  <w:pPr>
                    <w:spacing w:after="60"/>
                    <w:jc w:val="center"/>
                    <w:rPr>
                      <w:iCs/>
                      <w:sz w:val="20"/>
                    </w:rPr>
                  </w:pPr>
                  <w:r w:rsidRPr="008B7FF7">
                    <w:rPr>
                      <w:iCs/>
                      <w:sz w:val="20"/>
                    </w:rPr>
                    <w:t>none</w:t>
                  </w:r>
                </w:p>
              </w:tc>
              <w:tc>
                <w:tcPr>
                  <w:tcW w:w="3472" w:type="pct"/>
                  <w:tcBorders>
                    <w:top w:val="single" w:sz="6" w:space="0" w:color="auto"/>
                    <w:left w:val="single" w:sz="6" w:space="0" w:color="auto"/>
                    <w:bottom w:val="single" w:sz="6" w:space="0" w:color="auto"/>
                    <w:right w:val="single" w:sz="4" w:space="0" w:color="auto"/>
                  </w:tcBorders>
                  <w:hideMark/>
                </w:tcPr>
                <w:p w14:paraId="5CA511E5" w14:textId="77777777" w:rsidR="008B7FF7" w:rsidRPr="008B7FF7" w:rsidRDefault="008B7FF7" w:rsidP="008B7FF7">
                  <w:pPr>
                    <w:spacing w:after="60"/>
                    <w:rPr>
                      <w:i/>
                      <w:iCs/>
                      <w:sz w:val="20"/>
                    </w:rPr>
                  </w:pPr>
                  <w:r w:rsidRPr="008B7FF7">
                    <w:rPr>
                      <w:i/>
                      <w:iCs/>
                      <w:sz w:val="20"/>
                    </w:rPr>
                    <w:t>Load Ratio Share</w:t>
                  </w:r>
                  <w:r w:rsidRPr="008B7FF7">
                    <w:rPr>
                      <w:iCs/>
                      <w:sz w:val="20"/>
                    </w:rPr>
                    <w:t xml:space="preserve"> </w:t>
                  </w:r>
                  <w:r w:rsidRPr="008B7FF7">
                    <w:rPr>
                      <w:i/>
                      <w:sz w:val="20"/>
                    </w:rPr>
                    <w:t xml:space="preserve">– </w:t>
                  </w:r>
                  <w:r w:rsidRPr="008B7FF7">
                    <w:rPr>
                      <w:iCs/>
                      <w:sz w:val="20"/>
                    </w:rPr>
                    <w:t>The ratio of Adjusted Metered Load to the total ERCOT Adjusted Metered Load for the 15-minute Settlement Interval.  See Section 6.6.2, Load Ratio Share, item (2).</w:t>
                  </w:r>
                </w:p>
              </w:tc>
            </w:tr>
            <w:tr w:rsidR="008B7FF7" w:rsidRPr="008B7FF7" w14:paraId="7A875642" w14:textId="77777777" w:rsidTr="008B7FF7">
              <w:tc>
                <w:tcPr>
                  <w:tcW w:w="1193" w:type="pct"/>
                  <w:tcBorders>
                    <w:top w:val="single" w:sz="6" w:space="0" w:color="auto"/>
                    <w:left w:val="single" w:sz="4" w:space="0" w:color="auto"/>
                    <w:bottom w:val="single" w:sz="6" w:space="0" w:color="auto"/>
                    <w:right w:val="single" w:sz="6" w:space="0" w:color="auto"/>
                  </w:tcBorders>
                  <w:hideMark/>
                </w:tcPr>
                <w:p w14:paraId="4968D229" w14:textId="77777777" w:rsidR="008B7FF7" w:rsidRPr="008B7FF7" w:rsidRDefault="008B7FF7" w:rsidP="008B7FF7">
                  <w:pPr>
                    <w:spacing w:after="60"/>
                    <w:rPr>
                      <w:i/>
                      <w:iCs/>
                      <w:sz w:val="20"/>
                    </w:rPr>
                  </w:pPr>
                  <w:r w:rsidRPr="008B7FF7">
                    <w:rPr>
                      <w:i/>
                      <w:iCs/>
                      <w:sz w:val="20"/>
                    </w:rPr>
                    <w:t>i</w:t>
                  </w:r>
                </w:p>
              </w:tc>
              <w:tc>
                <w:tcPr>
                  <w:tcW w:w="335" w:type="pct"/>
                  <w:tcBorders>
                    <w:top w:val="single" w:sz="6" w:space="0" w:color="auto"/>
                    <w:left w:val="single" w:sz="6" w:space="0" w:color="auto"/>
                    <w:bottom w:val="single" w:sz="6" w:space="0" w:color="auto"/>
                    <w:right w:val="single" w:sz="6" w:space="0" w:color="auto"/>
                  </w:tcBorders>
                  <w:hideMark/>
                </w:tcPr>
                <w:p w14:paraId="55533F4B" w14:textId="77777777" w:rsidR="008B7FF7" w:rsidRPr="008B7FF7" w:rsidRDefault="008B7FF7" w:rsidP="008B7FF7">
                  <w:pPr>
                    <w:spacing w:after="60"/>
                    <w:jc w:val="center"/>
                    <w:rPr>
                      <w:iCs/>
                      <w:sz w:val="20"/>
                    </w:rPr>
                  </w:pPr>
                  <w:r w:rsidRPr="008B7FF7">
                    <w:rPr>
                      <w:iCs/>
                      <w:sz w:val="20"/>
                    </w:rPr>
                    <w:t>none</w:t>
                  </w:r>
                </w:p>
              </w:tc>
              <w:tc>
                <w:tcPr>
                  <w:tcW w:w="3472" w:type="pct"/>
                  <w:tcBorders>
                    <w:top w:val="single" w:sz="6" w:space="0" w:color="auto"/>
                    <w:left w:val="single" w:sz="6" w:space="0" w:color="auto"/>
                    <w:bottom w:val="single" w:sz="6" w:space="0" w:color="auto"/>
                    <w:right w:val="single" w:sz="4" w:space="0" w:color="auto"/>
                  </w:tcBorders>
                  <w:hideMark/>
                </w:tcPr>
                <w:p w14:paraId="75AFF643" w14:textId="77777777" w:rsidR="008B7FF7" w:rsidRPr="008B7FF7" w:rsidRDefault="008B7FF7" w:rsidP="008B7FF7">
                  <w:pPr>
                    <w:spacing w:after="60"/>
                    <w:rPr>
                      <w:iCs/>
                      <w:sz w:val="20"/>
                    </w:rPr>
                  </w:pPr>
                  <w:r w:rsidRPr="008B7FF7">
                    <w:rPr>
                      <w:iCs/>
                      <w:sz w:val="20"/>
                    </w:rPr>
                    <w:t>A 15-minute Settlement Interval.</w:t>
                  </w:r>
                </w:p>
              </w:tc>
            </w:tr>
            <w:tr w:rsidR="008B7FF7" w:rsidRPr="008B7FF7" w14:paraId="2316093D" w14:textId="77777777" w:rsidTr="008B7FF7">
              <w:tc>
                <w:tcPr>
                  <w:tcW w:w="1193" w:type="pct"/>
                  <w:tcBorders>
                    <w:top w:val="single" w:sz="6" w:space="0" w:color="auto"/>
                    <w:left w:val="single" w:sz="4" w:space="0" w:color="auto"/>
                    <w:bottom w:val="single" w:sz="6" w:space="0" w:color="auto"/>
                    <w:right w:val="single" w:sz="6" w:space="0" w:color="auto"/>
                  </w:tcBorders>
                  <w:hideMark/>
                </w:tcPr>
                <w:p w14:paraId="35050DCD" w14:textId="77777777" w:rsidR="008B7FF7" w:rsidRPr="008B7FF7" w:rsidRDefault="008B7FF7" w:rsidP="008B7FF7">
                  <w:pPr>
                    <w:spacing w:after="60"/>
                    <w:rPr>
                      <w:i/>
                      <w:iCs/>
                      <w:sz w:val="20"/>
                    </w:rPr>
                  </w:pPr>
                  <w:r w:rsidRPr="008B7FF7">
                    <w:rPr>
                      <w:i/>
                      <w:iCs/>
                      <w:sz w:val="20"/>
                    </w:rPr>
                    <w:t>q</w:t>
                  </w:r>
                </w:p>
              </w:tc>
              <w:tc>
                <w:tcPr>
                  <w:tcW w:w="335" w:type="pct"/>
                  <w:tcBorders>
                    <w:top w:val="single" w:sz="6" w:space="0" w:color="auto"/>
                    <w:left w:val="single" w:sz="6" w:space="0" w:color="auto"/>
                    <w:bottom w:val="single" w:sz="6" w:space="0" w:color="auto"/>
                    <w:right w:val="single" w:sz="6" w:space="0" w:color="auto"/>
                  </w:tcBorders>
                  <w:hideMark/>
                </w:tcPr>
                <w:p w14:paraId="1DEF33A3" w14:textId="77777777" w:rsidR="008B7FF7" w:rsidRPr="008B7FF7" w:rsidRDefault="008B7FF7" w:rsidP="008B7FF7">
                  <w:pPr>
                    <w:spacing w:after="60"/>
                    <w:jc w:val="center"/>
                    <w:rPr>
                      <w:iCs/>
                      <w:sz w:val="20"/>
                    </w:rPr>
                  </w:pPr>
                  <w:r w:rsidRPr="008B7FF7">
                    <w:rPr>
                      <w:iCs/>
                      <w:sz w:val="20"/>
                    </w:rPr>
                    <w:t>none</w:t>
                  </w:r>
                </w:p>
              </w:tc>
              <w:tc>
                <w:tcPr>
                  <w:tcW w:w="3472" w:type="pct"/>
                  <w:tcBorders>
                    <w:top w:val="single" w:sz="6" w:space="0" w:color="auto"/>
                    <w:left w:val="single" w:sz="6" w:space="0" w:color="auto"/>
                    <w:bottom w:val="single" w:sz="6" w:space="0" w:color="auto"/>
                    <w:right w:val="single" w:sz="4" w:space="0" w:color="auto"/>
                  </w:tcBorders>
                  <w:hideMark/>
                </w:tcPr>
                <w:p w14:paraId="7C9CB699" w14:textId="77777777" w:rsidR="008B7FF7" w:rsidRPr="008B7FF7" w:rsidRDefault="008B7FF7" w:rsidP="008B7FF7">
                  <w:pPr>
                    <w:spacing w:after="60"/>
                    <w:rPr>
                      <w:iCs/>
                      <w:sz w:val="20"/>
                    </w:rPr>
                  </w:pPr>
                  <w:r w:rsidRPr="008B7FF7">
                    <w:rPr>
                      <w:iCs/>
                      <w:sz w:val="20"/>
                    </w:rPr>
                    <w:t>A QSE.</w:t>
                  </w:r>
                </w:p>
              </w:tc>
            </w:tr>
          </w:tbl>
          <w:p w14:paraId="2154EB87" w14:textId="5A7ABD74" w:rsidR="008B7FF7" w:rsidRPr="00A4149C" w:rsidRDefault="008B7FF7" w:rsidP="00B327B6">
            <w:pPr>
              <w:pStyle w:val="Instructions"/>
              <w:spacing w:before="120"/>
            </w:pPr>
          </w:p>
        </w:tc>
      </w:tr>
    </w:tbl>
    <w:p w14:paraId="27F5A638" w14:textId="77777777" w:rsidR="00162CAA" w:rsidRPr="00162CAA" w:rsidRDefault="00162CAA" w:rsidP="00162CAA">
      <w:pPr>
        <w:keepNext/>
        <w:tabs>
          <w:tab w:val="left" w:pos="1080"/>
        </w:tabs>
        <w:spacing w:before="480" w:after="240"/>
        <w:ind w:left="1080" w:hanging="1080"/>
        <w:outlineLvl w:val="2"/>
        <w:rPr>
          <w:b/>
          <w:bCs/>
          <w:i/>
        </w:rPr>
      </w:pPr>
      <w:bookmarkStart w:id="2886" w:name="_Toc204411771"/>
      <w:r w:rsidRPr="00162CAA">
        <w:rPr>
          <w:b/>
          <w:bCs/>
          <w:i/>
        </w:rPr>
        <w:lastRenderedPageBreak/>
        <w:t>6.8.4    Miscellaneous Invoice for Payments and Charges for an LCAP Effective Period</w:t>
      </w:r>
      <w:bookmarkEnd w:id="2886"/>
      <w:r w:rsidRPr="00162CAA">
        <w:rPr>
          <w:b/>
          <w:bCs/>
          <w:i/>
        </w:rPr>
        <w:t xml:space="preserve">  </w:t>
      </w:r>
    </w:p>
    <w:p w14:paraId="15F674F5" w14:textId="77777777" w:rsidR="00162CAA" w:rsidRPr="00162CAA" w:rsidRDefault="00162CAA" w:rsidP="00162CAA">
      <w:pPr>
        <w:spacing w:after="240"/>
        <w:ind w:left="720" w:hanging="720"/>
        <w:rPr>
          <w:bCs/>
          <w:iCs/>
          <w:szCs w:val="24"/>
        </w:rPr>
      </w:pPr>
      <w:r w:rsidRPr="00162CAA">
        <w:rPr>
          <w:bCs/>
          <w:iCs/>
          <w:szCs w:val="24"/>
        </w:rPr>
        <w:t>(1)</w:t>
      </w:r>
      <w:r w:rsidRPr="00162CAA">
        <w:rPr>
          <w:bCs/>
          <w:iCs/>
          <w:szCs w:val="24"/>
        </w:rPr>
        <w:tab/>
        <w:t>ERCOT shall issue one-time miscellaneous Invoices using the most recent available Settlement data at the time the Invoices were issued.</w:t>
      </w:r>
    </w:p>
    <w:p w14:paraId="2AF1A0D7" w14:textId="77777777" w:rsidR="00162CAA" w:rsidRPr="00162CAA" w:rsidRDefault="00162CAA" w:rsidP="00162CAA">
      <w:pPr>
        <w:spacing w:after="240"/>
        <w:ind w:left="720" w:hanging="720"/>
        <w:rPr>
          <w:bCs/>
          <w:szCs w:val="24"/>
        </w:rPr>
      </w:pPr>
      <w:r w:rsidRPr="00162CAA">
        <w:rPr>
          <w:bCs/>
          <w:iCs/>
          <w:szCs w:val="24"/>
        </w:rPr>
        <w:t>(2)</w:t>
      </w:r>
      <w:r w:rsidRPr="00162CAA">
        <w:rPr>
          <w:bCs/>
          <w:iCs/>
          <w:szCs w:val="24"/>
        </w:rPr>
        <w:tab/>
        <w:t xml:space="preserve">ERCOT shall issue miscellaneous Invoices to </w:t>
      </w:r>
      <w:r w:rsidRPr="00162CAA">
        <w:rPr>
          <w:szCs w:val="24"/>
        </w:rPr>
        <w:t>QSEs</w:t>
      </w:r>
      <w:r w:rsidRPr="00162CAA">
        <w:rPr>
          <w:bCs/>
          <w:iCs/>
          <w:szCs w:val="24"/>
        </w:rPr>
        <w:t xml:space="preserve"> for payment of operating losses during an LCAP Effective Period,</w:t>
      </w:r>
      <w:r w:rsidRPr="00162CAA">
        <w:rPr>
          <w:bCs/>
          <w:szCs w:val="24"/>
        </w:rPr>
        <w:t xml:space="preserve"> as described in Section 6.8.2, Recovery of Operating Losses During an LCAP Effective Period.  </w:t>
      </w:r>
    </w:p>
    <w:p w14:paraId="12B416AC" w14:textId="77777777" w:rsidR="00162CAA" w:rsidRPr="00162CAA" w:rsidRDefault="00162CAA" w:rsidP="00162CAA">
      <w:pPr>
        <w:spacing w:after="240"/>
        <w:ind w:left="720" w:hanging="720"/>
        <w:rPr>
          <w:bCs/>
          <w:iCs/>
          <w:szCs w:val="24"/>
        </w:rPr>
      </w:pPr>
      <w:r w:rsidRPr="00162CAA">
        <w:rPr>
          <w:bCs/>
          <w:iCs/>
          <w:szCs w:val="24"/>
        </w:rPr>
        <w:t>(3)</w:t>
      </w:r>
      <w:r w:rsidRPr="00162CAA">
        <w:rPr>
          <w:bCs/>
          <w:iCs/>
          <w:szCs w:val="24"/>
        </w:rPr>
        <w:tab/>
        <w:t xml:space="preserve">ERCOT shall issue miscellaneous Invoices and allocate costs to the impacted QSEs as described in Section 6.8.3, Charges for Operating Losses During an LCAP Effective Period. </w:t>
      </w:r>
    </w:p>
    <w:p w14:paraId="21D691AA" w14:textId="77777777" w:rsidR="00162CAA" w:rsidRPr="00162CAA" w:rsidRDefault="00162CAA" w:rsidP="00162CAA">
      <w:pPr>
        <w:spacing w:after="240"/>
        <w:ind w:left="720" w:hanging="720"/>
        <w:rPr>
          <w:szCs w:val="24"/>
        </w:rPr>
      </w:pPr>
      <w:r w:rsidRPr="00162CAA">
        <w:rPr>
          <w:szCs w:val="24"/>
        </w:rPr>
        <w:t>(4)</w:t>
      </w:r>
      <w:r w:rsidRPr="00162CAA">
        <w:rPr>
          <w:szCs w:val="24"/>
        </w:rPr>
        <w:tab/>
        <w:t xml:space="preserve">ERCOT </w:t>
      </w:r>
      <w:r w:rsidRPr="00162CAA">
        <w:rPr>
          <w:bCs/>
          <w:szCs w:val="24"/>
        </w:rPr>
        <w:t>shall</w:t>
      </w:r>
      <w:r w:rsidRPr="00162CAA">
        <w:rPr>
          <w:szCs w:val="24"/>
        </w:rPr>
        <w:t xml:space="preserve"> issue a Market Notice in conjunction with the issuance of miscellaneous Invoices for payments or charges for an LCAP Effective Period.</w:t>
      </w:r>
      <w:bookmarkEnd w:id="2884"/>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B7FF7" w14:paraId="1E8AC1CD" w14:textId="77777777" w:rsidTr="00B327B6">
        <w:trPr>
          <w:trHeight w:val="206"/>
        </w:trPr>
        <w:tc>
          <w:tcPr>
            <w:tcW w:w="5000" w:type="pct"/>
            <w:shd w:val="pct12" w:color="auto" w:fill="auto"/>
          </w:tcPr>
          <w:p w14:paraId="3746EA3E" w14:textId="1C6A376A" w:rsidR="008B7FF7" w:rsidRDefault="008B7FF7" w:rsidP="00B327B6">
            <w:pPr>
              <w:pStyle w:val="Instructions"/>
              <w:spacing w:before="120"/>
            </w:pPr>
            <w:r>
              <w:t>[NPRR1216:  Replace Section 6.8.4 above with the following upon system implementation:]</w:t>
            </w:r>
          </w:p>
          <w:p w14:paraId="4EA44CC7" w14:textId="77777777" w:rsidR="008B7FF7" w:rsidRPr="00CF7EAF" w:rsidRDefault="008B7FF7" w:rsidP="008B7FF7">
            <w:pPr>
              <w:keepNext/>
              <w:tabs>
                <w:tab w:val="left" w:pos="1080"/>
              </w:tabs>
              <w:spacing w:before="240" w:after="240"/>
              <w:ind w:left="720" w:hanging="720"/>
              <w:outlineLvl w:val="2"/>
              <w:rPr>
                <w:b/>
                <w:bCs/>
                <w:i/>
              </w:rPr>
            </w:pPr>
            <w:bookmarkStart w:id="2887" w:name="_Toc204411772"/>
            <w:r w:rsidRPr="00CF7EAF">
              <w:rPr>
                <w:b/>
                <w:bCs/>
                <w:i/>
              </w:rPr>
              <w:lastRenderedPageBreak/>
              <w:t>6.8.4    Miscellaneous Invoice for Payments and Charges for an LCAP or ECAP Effective Period</w:t>
            </w:r>
            <w:bookmarkEnd w:id="2887"/>
            <w:r w:rsidRPr="00CF7EAF">
              <w:rPr>
                <w:b/>
                <w:bCs/>
                <w:i/>
              </w:rPr>
              <w:t xml:space="preserve">  </w:t>
            </w:r>
          </w:p>
          <w:p w14:paraId="10224D4E" w14:textId="77777777" w:rsidR="008B7FF7" w:rsidRPr="00CF7EAF" w:rsidRDefault="008B7FF7" w:rsidP="008B7FF7">
            <w:pPr>
              <w:spacing w:after="240"/>
              <w:ind w:left="720" w:hanging="720"/>
              <w:rPr>
                <w:bCs/>
                <w:iCs/>
              </w:rPr>
            </w:pPr>
            <w:r w:rsidRPr="00CF7EAF">
              <w:rPr>
                <w:bCs/>
                <w:iCs/>
              </w:rPr>
              <w:t>(1)</w:t>
            </w:r>
            <w:r w:rsidRPr="00CF7EAF">
              <w:rPr>
                <w:bCs/>
                <w:iCs/>
              </w:rPr>
              <w:tab/>
              <w:t>ERCOT shall issue one-time miscellaneous Invoices using the most recent available Settlement data at the time the Invoices were issued.</w:t>
            </w:r>
          </w:p>
          <w:p w14:paraId="0EFC691A" w14:textId="77777777" w:rsidR="008B7FF7" w:rsidRPr="00CF7EAF" w:rsidRDefault="008B7FF7" w:rsidP="008B7FF7">
            <w:pPr>
              <w:spacing w:after="240"/>
              <w:ind w:left="720" w:hanging="720"/>
              <w:rPr>
                <w:bCs/>
              </w:rPr>
            </w:pPr>
            <w:r w:rsidRPr="00CF7EAF">
              <w:rPr>
                <w:bCs/>
                <w:iCs/>
              </w:rPr>
              <w:t>(2)</w:t>
            </w:r>
            <w:r w:rsidRPr="00CF7EAF">
              <w:rPr>
                <w:bCs/>
                <w:iCs/>
              </w:rPr>
              <w:tab/>
              <w:t xml:space="preserve">ERCOT shall issue miscellaneous Invoices to </w:t>
            </w:r>
            <w:r w:rsidRPr="00CF7EAF">
              <w:t>QSEs</w:t>
            </w:r>
            <w:r w:rsidRPr="00CF7EAF">
              <w:rPr>
                <w:bCs/>
                <w:iCs/>
              </w:rPr>
              <w:t xml:space="preserve"> for payment of operating losses during an LCAP or ECAP Effective Period,</w:t>
            </w:r>
            <w:r w:rsidRPr="00CF7EAF">
              <w:rPr>
                <w:bCs/>
              </w:rPr>
              <w:t xml:space="preserve"> as described in Section 6.8.2, Recovery of Operating Losses During an LCAP or ECAP Effective Period.  </w:t>
            </w:r>
          </w:p>
          <w:p w14:paraId="0458D407" w14:textId="77777777" w:rsidR="008B7FF7" w:rsidRPr="00CF7EAF" w:rsidRDefault="008B7FF7" w:rsidP="008B7FF7">
            <w:pPr>
              <w:spacing w:after="240"/>
              <w:ind w:left="720" w:hanging="720"/>
              <w:rPr>
                <w:bCs/>
                <w:iCs/>
              </w:rPr>
            </w:pPr>
            <w:r w:rsidRPr="00CF7EAF">
              <w:rPr>
                <w:bCs/>
                <w:iCs/>
              </w:rPr>
              <w:t>(3)</w:t>
            </w:r>
            <w:r w:rsidRPr="00CF7EAF">
              <w:rPr>
                <w:bCs/>
                <w:iCs/>
              </w:rPr>
              <w:tab/>
              <w:t xml:space="preserve">ERCOT shall issue miscellaneous Invoices and allocate costs to the impacted QSEs as described in Section 6.8.3, Charges for Operating Losses During an LCAP or ECAP Effective Period. </w:t>
            </w:r>
          </w:p>
          <w:p w14:paraId="0CC28C3D" w14:textId="320AB767" w:rsidR="008B7FF7" w:rsidRPr="00A4149C" w:rsidRDefault="008B7FF7" w:rsidP="008B7FF7">
            <w:pPr>
              <w:spacing w:after="240"/>
              <w:ind w:left="720" w:hanging="720"/>
            </w:pPr>
            <w:r w:rsidRPr="00CF7EAF">
              <w:t>(4)</w:t>
            </w:r>
            <w:r w:rsidRPr="00CF7EAF">
              <w:tab/>
              <w:t xml:space="preserve">ERCOT </w:t>
            </w:r>
            <w:r w:rsidRPr="00CF7EAF">
              <w:rPr>
                <w:bCs/>
              </w:rPr>
              <w:t>shall</w:t>
            </w:r>
            <w:r w:rsidRPr="00CF7EAF">
              <w:t xml:space="preserve"> issue a Market Notice in conjunction with the issuance of miscellaneous Invoices for payments or charges for an LCAP or ECAP Effective Period.</w:t>
            </w:r>
          </w:p>
        </w:tc>
      </w:tr>
    </w:tbl>
    <w:p w14:paraId="5284BC3F" w14:textId="77777777" w:rsidR="008B7FF7" w:rsidRDefault="008B7FF7"/>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B7FF7" w:rsidRPr="00CF7EAF" w14:paraId="21E20A93" w14:textId="77777777" w:rsidTr="008B7FF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tcPr>
          <w:p w14:paraId="62F3110D" w14:textId="7EEDC6FE" w:rsidR="008B7FF7" w:rsidRPr="008B7FF7" w:rsidRDefault="008B7FF7" w:rsidP="008B7FF7">
            <w:pPr>
              <w:pStyle w:val="Instructions"/>
            </w:pPr>
            <w:r w:rsidRPr="00CF7EAF">
              <w:t xml:space="preserve">[NPRR1216:  Delete Section 6.8.4 above upon </w:t>
            </w:r>
            <w:r>
              <w:t xml:space="preserve">Phase 2 </w:t>
            </w:r>
            <w:r w:rsidRPr="00CF7EAF">
              <w:t>system implementation.]</w:t>
            </w:r>
          </w:p>
        </w:tc>
      </w:tr>
    </w:tbl>
    <w:p w14:paraId="5A66784B" w14:textId="77777777" w:rsidR="000E1BF8" w:rsidRPr="000E1BF8" w:rsidRDefault="000E1BF8" w:rsidP="000E1BF8">
      <w:pPr>
        <w:pStyle w:val="BodyText"/>
      </w:pPr>
    </w:p>
    <w:sectPr w:rsidR="000E1BF8" w:rsidRPr="000E1BF8" w:rsidSect="00163B6D">
      <w:headerReference w:type="even" r:id="rId571"/>
      <w:headerReference w:type="default" r:id="rId572"/>
      <w:footerReference w:type="default" r:id="rId573"/>
      <w:pgSz w:w="12240" w:h="15840" w:code="1"/>
      <w:pgMar w:top="1440" w:right="1440" w:bottom="1440" w:left="1440"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005EE" w14:textId="77777777" w:rsidR="00CE2F4B" w:rsidRDefault="00CE2F4B">
      <w:r>
        <w:separator/>
      </w:r>
    </w:p>
  </w:endnote>
  <w:endnote w:type="continuationSeparator" w:id="0">
    <w:p w14:paraId="4B824C38" w14:textId="77777777" w:rsidR="00CE2F4B" w:rsidRDefault="00CE2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EB107" w14:textId="77777777" w:rsidR="00847E53" w:rsidRDefault="00847E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6-4</w:t>
    </w:r>
    <w:r>
      <w:rPr>
        <w:rStyle w:val="PageNumber"/>
      </w:rPr>
      <w:fldChar w:fldCharType="end"/>
    </w:r>
  </w:p>
  <w:p w14:paraId="62BA06B9" w14:textId="77777777" w:rsidR="00847E53" w:rsidRDefault="00847E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5B7FC" w14:textId="77777777" w:rsidR="00847E53" w:rsidRDefault="00847E53">
    <w:pPr>
      <w:pStyle w:val="Footer"/>
      <w:pBdr>
        <w:top w:val="none" w:sz="0" w:space="0" w:color="auto"/>
      </w:pBdr>
      <w:jc w:val="center"/>
    </w:pPr>
    <w:r>
      <w:t>PUBLIC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C5E6A" w14:textId="45C99F16" w:rsidR="00847E53" w:rsidRDefault="00847E53">
    <w:pPr>
      <w:pStyle w:val="Footer"/>
      <w:spacing w:before="0" w:after="0"/>
    </w:pPr>
    <w:r>
      <w:t xml:space="preserve">ERCOT Nodal Protocols – </w:t>
    </w:r>
    <w:r w:rsidR="007763BA">
      <w:t>August</w:t>
    </w:r>
    <w:r w:rsidR="00AD58D8">
      <w:t xml:space="preserve"> </w:t>
    </w:r>
    <w:r w:rsidR="00072829">
      <w:t>1</w:t>
    </w:r>
    <w:r>
      <w:t>, 202</w:t>
    </w:r>
    <w:r w:rsidR="0070447C">
      <w:t>5</w:t>
    </w:r>
  </w:p>
  <w:p w14:paraId="0D9EECB1" w14:textId="77777777" w:rsidR="00847E53" w:rsidRDefault="00847E53">
    <w:pPr>
      <w:pStyle w:val="Footer"/>
      <w:spacing w:before="0" w:after="0"/>
      <w:jc w:val="center"/>
    </w:pPr>
    <w:r>
      <w:t>PUBLIC</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C0840" w14:textId="7DE00136" w:rsidR="00847E53" w:rsidRDefault="00847E53">
    <w:pPr>
      <w:pStyle w:val="Footer"/>
      <w:spacing w:before="0" w:after="0"/>
    </w:pPr>
    <w:r>
      <w:t xml:space="preserve">ERCOT Nodal Protocols – </w:t>
    </w:r>
    <w:r w:rsidR="007763BA">
      <w:t>August</w:t>
    </w:r>
    <w:r w:rsidR="00AD58D8">
      <w:t xml:space="preserve"> </w:t>
    </w:r>
    <w:r w:rsidR="00072829">
      <w:t>1</w:t>
    </w:r>
    <w:r>
      <w:t>, 202</w:t>
    </w:r>
    <w:r w:rsidR="0070447C">
      <w:t>5</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6-113</w:t>
    </w:r>
    <w:r>
      <w:rPr>
        <w:rStyle w:val="PageNumber"/>
      </w:rPr>
      <w:fldChar w:fldCharType="end"/>
    </w:r>
  </w:p>
  <w:p w14:paraId="63C56D18" w14:textId="77777777" w:rsidR="00847E53" w:rsidRDefault="00847E53">
    <w:pPr>
      <w:pStyle w:val="Footer"/>
      <w:spacing w:before="0" w:after="0"/>
      <w:jc w:val="center"/>
    </w:pPr>
    <w:r>
      <w:t>PUBLIC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69F21" w14:textId="77777777" w:rsidR="00CE2F4B" w:rsidRDefault="00CE2F4B">
      <w:r>
        <w:separator/>
      </w:r>
    </w:p>
  </w:footnote>
  <w:footnote w:type="continuationSeparator" w:id="0">
    <w:p w14:paraId="75F711FE" w14:textId="77777777" w:rsidR="00CE2F4B" w:rsidRDefault="00CE2F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659C0" w14:textId="77777777" w:rsidR="00847E53" w:rsidRDefault="00847E53">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F47CA" w14:textId="77777777" w:rsidR="00847E53" w:rsidRDefault="00847E53">
    <w:pPr>
      <w:pStyle w:val="Header"/>
    </w:pPr>
    <w:r>
      <w:t>Section 6:  Table of 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C0EAA" w14:textId="77777777" w:rsidR="00847E53" w:rsidRDefault="00847E5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10148" w14:textId="77777777" w:rsidR="00847E53" w:rsidRDefault="00847E53">
    <w:pPr>
      <w:pStyle w:val="Header"/>
    </w:pPr>
    <w:r>
      <w:t>Section 6:  Adjustment Period and Real-Time Operations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F7A2FD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6062D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4FCA17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246A37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866F5E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B94A24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1A19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7344DE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4EAA4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0E32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multilevel"/>
    <w:tmpl w:val="BC5A54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2" w15:restartNumberingAfterBreak="0">
    <w:nsid w:val="01331FBD"/>
    <w:multiLevelType w:val="hybridMultilevel"/>
    <w:tmpl w:val="206E6AEC"/>
    <w:lvl w:ilvl="0" w:tplc="9DA0B1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5E42166"/>
    <w:multiLevelType w:val="hybridMultilevel"/>
    <w:tmpl w:val="1854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3E27D5"/>
    <w:multiLevelType w:val="hybridMultilevel"/>
    <w:tmpl w:val="A0FC7628"/>
    <w:lvl w:ilvl="0" w:tplc="6714F8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AC17CB"/>
    <w:multiLevelType w:val="hybridMultilevel"/>
    <w:tmpl w:val="D444EEA0"/>
    <w:lvl w:ilvl="0" w:tplc="9DA0B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6F434C"/>
    <w:multiLevelType w:val="hybridMultilevel"/>
    <w:tmpl w:val="EF46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DF51AB"/>
    <w:multiLevelType w:val="hybridMultilevel"/>
    <w:tmpl w:val="43489124"/>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2DC01D7"/>
    <w:multiLevelType w:val="hybridMultilevel"/>
    <w:tmpl w:val="CA5E0E18"/>
    <w:lvl w:ilvl="0" w:tplc="055C06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3A24688"/>
    <w:multiLevelType w:val="hybridMultilevel"/>
    <w:tmpl w:val="25C09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F92F37"/>
    <w:multiLevelType w:val="hybridMultilevel"/>
    <w:tmpl w:val="3334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34546E"/>
    <w:multiLevelType w:val="hybridMultilevel"/>
    <w:tmpl w:val="95B24F24"/>
    <w:lvl w:ilvl="0" w:tplc="FBBAB3DA">
      <w:start w:val="1"/>
      <w:numFmt w:val="bullet"/>
      <w:lvlText w:val=""/>
      <w:lvlJc w:val="left"/>
      <w:pPr>
        <w:ind w:left="97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522E52"/>
    <w:multiLevelType w:val="hybridMultilevel"/>
    <w:tmpl w:val="AD08915E"/>
    <w:lvl w:ilvl="0" w:tplc="B64288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3F87D58"/>
    <w:multiLevelType w:val="hybridMultilevel"/>
    <w:tmpl w:val="F39062F8"/>
    <w:lvl w:ilvl="0" w:tplc="FFFFFFFF">
      <w:start w:val="1"/>
      <w:numFmt w:val="bullet"/>
      <w:lvlText w:val=""/>
      <w:lvlJc w:val="left"/>
      <w:pPr>
        <w:tabs>
          <w:tab w:val="num" w:pos="2520"/>
        </w:tabs>
        <w:ind w:left="2520" w:hanging="720"/>
      </w:pPr>
      <w:rPr>
        <w:rFonts w:ascii="Symbol" w:hAnsi="Symbol" w:hint="default"/>
      </w:rPr>
    </w:lvl>
    <w:lvl w:ilvl="1" w:tplc="FFFFFFFF" w:tentative="1">
      <w:start w:val="1"/>
      <w:numFmt w:val="bullet"/>
      <w:lvlText w:val="o"/>
      <w:lvlJc w:val="left"/>
      <w:pPr>
        <w:tabs>
          <w:tab w:val="num" w:pos="3960"/>
        </w:tabs>
        <w:ind w:left="3960" w:hanging="360"/>
      </w:pPr>
      <w:rPr>
        <w:rFonts w:ascii="Courier New" w:hAnsi="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tentative="1">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25" w15:restartNumberingAfterBreak="0">
    <w:nsid w:val="4A823264"/>
    <w:multiLevelType w:val="hybridMultilevel"/>
    <w:tmpl w:val="3DBCD944"/>
    <w:lvl w:ilvl="0" w:tplc="8258020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9EF626A"/>
    <w:multiLevelType w:val="multilevel"/>
    <w:tmpl w:val="7DA4985E"/>
    <w:lvl w:ilvl="0">
      <w:start w:val="6"/>
      <w:numFmt w:val="decimal"/>
      <w:lvlText w:val="%1"/>
      <w:lvlJc w:val="left"/>
      <w:pPr>
        <w:tabs>
          <w:tab w:val="num" w:pos="1260"/>
        </w:tabs>
        <w:ind w:left="1260" w:hanging="1260"/>
      </w:pPr>
      <w:rPr>
        <w:rFonts w:hint="default"/>
      </w:rPr>
    </w:lvl>
    <w:lvl w:ilvl="1">
      <w:start w:val="6"/>
      <w:numFmt w:val="decimal"/>
      <w:lvlText w:val="%1.%2"/>
      <w:lvlJc w:val="left"/>
      <w:pPr>
        <w:tabs>
          <w:tab w:val="num" w:pos="1260"/>
        </w:tabs>
        <w:ind w:left="1260" w:hanging="1260"/>
      </w:pPr>
      <w:rPr>
        <w:rFonts w:hint="default"/>
      </w:rPr>
    </w:lvl>
    <w:lvl w:ilvl="2">
      <w:start w:val="1"/>
      <w:numFmt w:val="decimal"/>
      <w:lvlText w:val="%1.%2.%3"/>
      <w:lvlJc w:val="left"/>
      <w:pPr>
        <w:tabs>
          <w:tab w:val="num" w:pos="1260"/>
        </w:tabs>
        <w:ind w:left="1260" w:hanging="1260"/>
      </w:pPr>
      <w:rPr>
        <w:rFonts w:hint="default"/>
      </w:rPr>
    </w:lvl>
    <w:lvl w:ilvl="3">
      <w:start w:val="5"/>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260"/>
        </w:tabs>
        <w:ind w:left="1260" w:hanging="126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F00576E"/>
    <w:multiLevelType w:val="hybridMultilevel"/>
    <w:tmpl w:val="9B94FD1C"/>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9" w15:restartNumberingAfterBreak="0">
    <w:nsid w:val="65802E81"/>
    <w:multiLevelType w:val="hybridMultilevel"/>
    <w:tmpl w:val="AFBC2F2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0" w15:restartNumberingAfterBreak="0">
    <w:nsid w:val="66510064"/>
    <w:multiLevelType w:val="multilevel"/>
    <w:tmpl w:val="C3CC0A34"/>
    <w:lvl w:ilvl="0">
      <w:start w:val="6"/>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1" w15:restartNumberingAfterBreak="0">
    <w:nsid w:val="66CF6858"/>
    <w:multiLevelType w:val="hybridMultilevel"/>
    <w:tmpl w:val="8406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B735B7"/>
    <w:multiLevelType w:val="hybridMultilevel"/>
    <w:tmpl w:val="F252E148"/>
    <w:lvl w:ilvl="0" w:tplc="DD0247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A329B3"/>
    <w:multiLevelType w:val="hybridMultilevel"/>
    <w:tmpl w:val="3EB282C8"/>
    <w:lvl w:ilvl="0" w:tplc="708C4898">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7125694A"/>
    <w:multiLevelType w:val="hybridMultilevel"/>
    <w:tmpl w:val="7BA25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060C90"/>
    <w:multiLevelType w:val="hybridMultilevel"/>
    <w:tmpl w:val="246208DE"/>
    <w:lvl w:ilvl="0" w:tplc="9434FC1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ACC4596"/>
    <w:multiLevelType w:val="hybridMultilevel"/>
    <w:tmpl w:val="3D0A2E26"/>
    <w:lvl w:ilvl="0" w:tplc="412A4CD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num w:numId="1" w16cid:durableId="588394967">
    <w:abstractNumId w:val="30"/>
  </w:num>
  <w:num w:numId="2" w16cid:durableId="1523787623">
    <w:abstractNumId w:val="18"/>
  </w:num>
  <w:num w:numId="3" w16cid:durableId="642658412">
    <w:abstractNumId w:val="17"/>
  </w:num>
  <w:num w:numId="4" w16cid:durableId="1318267891">
    <w:abstractNumId w:val="26"/>
  </w:num>
  <w:num w:numId="5" w16cid:durableId="303512108">
    <w:abstractNumId w:val="12"/>
  </w:num>
  <w:num w:numId="6" w16cid:durableId="486629358">
    <w:abstractNumId w:val="15"/>
  </w:num>
  <w:num w:numId="7" w16cid:durableId="1663117771">
    <w:abstractNumId w:val="9"/>
  </w:num>
  <w:num w:numId="8" w16cid:durableId="92286252">
    <w:abstractNumId w:val="7"/>
  </w:num>
  <w:num w:numId="9" w16cid:durableId="1175457146">
    <w:abstractNumId w:val="6"/>
  </w:num>
  <w:num w:numId="10" w16cid:durableId="1618370192">
    <w:abstractNumId w:val="5"/>
  </w:num>
  <w:num w:numId="11" w16cid:durableId="972828304">
    <w:abstractNumId w:val="4"/>
  </w:num>
  <w:num w:numId="12" w16cid:durableId="1467358918">
    <w:abstractNumId w:val="8"/>
  </w:num>
  <w:num w:numId="13" w16cid:durableId="1920091159">
    <w:abstractNumId w:val="3"/>
  </w:num>
  <w:num w:numId="14" w16cid:durableId="1678536635">
    <w:abstractNumId w:val="2"/>
  </w:num>
  <w:num w:numId="15" w16cid:durableId="2018146079">
    <w:abstractNumId w:val="1"/>
  </w:num>
  <w:num w:numId="16" w16cid:durableId="1682321493">
    <w:abstractNumId w:val="0"/>
  </w:num>
  <w:num w:numId="17" w16cid:durableId="593170576">
    <w:abstractNumId w:val="35"/>
  </w:num>
  <w:num w:numId="18" w16cid:durableId="1082946959">
    <w:abstractNumId w:val="21"/>
  </w:num>
  <w:num w:numId="19" w16cid:durableId="656691241">
    <w:abstractNumId w:val="36"/>
  </w:num>
  <w:num w:numId="20" w16cid:durableId="208759907">
    <w:abstractNumId w:val="23"/>
  </w:num>
  <w:num w:numId="21" w16cid:durableId="10160742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49347319">
    <w:abstractNumId w:val="37"/>
  </w:num>
  <w:num w:numId="23" w16cid:durableId="1255866520">
    <w:abstractNumId w:val="11"/>
  </w:num>
  <w:num w:numId="24" w16cid:durableId="1221408044">
    <w:abstractNumId w:val="17"/>
  </w:num>
  <w:num w:numId="25" w16cid:durableId="1640651447">
    <w:abstractNumId w:val="18"/>
  </w:num>
  <w:num w:numId="26" w16cid:durableId="460271880">
    <w:abstractNumId w:val="19"/>
  </w:num>
  <w:num w:numId="27" w16cid:durableId="399790951">
    <w:abstractNumId w:val="25"/>
  </w:num>
  <w:num w:numId="28" w16cid:durableId="2070379207">
    <w:abstractNumId w:val="32"/>
  </w:num>
  <w:num w:numId="29" w16cid:durableId="403720512">
    <w:abstractNumId w:val="24"/>
  </w:num>
  <w:num w:numId="30" w16cid:durableId="813646416">
    <w:abstractNumId w:val="27"/>
  </w:num>
  <w:num w:numId="31" w16cid:durableId="211887938">
    <w:abstractNumId w:val="13"/>
  </w:num>
  <w:num w:numId="32" w16cid:durableId="525410908">
    <w:abstractNumId w:val="28"/>
  </w:num>
  <w:num w:numId="33" w16cid:durableId="1809593539">
    <w:abstractNumId w:val="10"/>
  </w:num>
  <w:num w:numId="34" w16cid:durableId="1265264300">
    <w:abstractNumId w:val="29"/>
  </w:num>
  <w:num w:numId="35" w16cid:durableId="210114154">
    <w:abstractNumId w:val="33"/>
  </w:num>
  <w:num w:numId="36" w16cid:durableId="143471110">
    <w:abstractNumId w:val="34"/>
  </w:num>
  <w:num w:numId="37" w16cid:durableId="1866793999">
    <w:abstractNumId w:val="22"/>
  </w:num>
  <w:num w:numId="38" w16cid:durableId="1996520035">
    <w:abstractNumId w:val="31"/>
  </w:num>
  <w:num w:numId="39" w16cid:durableId="948467893">
    <w:abstractNumId w:val="16"/>
  </w:num>
  <w:num w:numId="40" w16cid:durableId="2135127544">
    <w:abstractNumId w:val="14"/>
  </w:num>
  <w:num w:numId="41" w16cid:durableId="33962831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55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FF9"/>
    <w:rsid w:val="00000566"/>
    <w:rsid w:val="0000090E"/>
    <w:rsid w:val="00000CED"/>
    <w:rsid w:val="00001C85"/>
    <w:rsid w:val="00001F04"/>
    <w:rsid w:val="00002480"/>
    <w:rsid w:val="000026E4"/>
    <w:rsid w:val="000028CC"/>
    <w:rsid w:val="00002953"/>
    <w:rsid w:val="00002B0B"/>
    <w:rsid w:val="00002E40"/>
    <w:rsid w:val="00004439"/>
    <w:rsid w:val="00004794"/>
    <w:rsid w:val="000054C9"/>
    <w:rsid w:val="000055C2"/>
    <w:rsid w:val="00005EAE"/>
    <w:rsid w:val="00006A9F"/>
    <w:rsid w:val="000073DF"/>
    <w:rsid w:val="0000784E"/>
    <w:rsid w:val="00007CEC"/>
    <w:rsid w:val="000101A0"/>
    <w:rsid w:val="0001084D"/>
    <w:rsid w:val="00010E34"/>
    <w:rsid w:val="00011466"/>
    <w:rsid w:val="00011D3F"/>
    <w:rsid w:val="00012013"/>
    <w:rsid w:val="00012F03"/>
    <w:rsid w:val="00013237"/>
    <w:rsid w:val="0001484D"/>
    <w:rsid w:val="00015350"/>
    <w:rsid w:val="00015475"/>
    <w:rsid w:val="00015E6D"/>
    <w:rsid w:val="000169BA"/>
    <w:rsid w:val="00016A30"/>
    <w:rsid w:val="00017821"/>
    <w:rsid w:val="00017E10"/>
    <w:rsid w:val="00020052"/>
    <w:rsid w:val="00020654"/>
    <w:rsid w:val="00020E00"/>
    <w:rsid w:val="000229CF"/>
    <w:rsid w:val="00022B1F"/>
    <w:rsid w:val="00023971"/>
    <w:rsid w:val="00024571"/>
    <w:rsid w:val="00024DA7"/>
    <w:rsid w:val="00025D0B"/>
    <w:rsid w:val="000266C6"/>
    <w:rsid w:val="0002693D"/>
    <w:rsid w:val="00026B75"/>
    <w:rsid w:val="00026D8B"/>
    <w:rsid w:val="00030906"/>
    <w:rsid w:val="0003094A"/>
    <w:rsid w:val="00031AC3"/>
    <w:rsid w:val="000333B4"/>
    <w:rsid w:val="00035822"/>
    <w:rsid w:val="00036295"/>
    <w:rsid w:val="000363CB"/>
    <w:rsid w:val="00036739"/>
    <w:rsid w:val="000402E8"/>
    <w:rsid w:val="00041023"/>
    <w:rsid w:val="00041084"/>
    <w:rsid w:val="0004177A"/>
    <w:rsid w:val="0004184E"/>
    <w:rsid w:val="00042001"/>
    <w:rsid w:val="00043BF4"/>
    <w:rsid w:val="00043CF0"/>
    <w:rsid w:val="00043D95"/>
    <w:rsid w:val="00044161"/>
    <w:rsid w:val="000445FA"/>
    <w:rsid w:val="00045AB4"/>
    <w:rsid w:val="00045FBB"/>
    <w:rsid w:val="000468AC"/>
    <w:rsid w:val="00050246"/>
    <w:rsid w:val="0005057D"/>
    <w:rsid w:val="00050CAD"/>
    <w:rsid w:val="000520A3"/>
    <w:rsid w:val="00052561"/>
    <w:rsid w:val="000526E3"/>
    <w:rsid w:val="00052DE1"/>
    <w:rsid w:val="00052E36"/>
    <w:rsid w:val="0005352F"/>
    <w:rsid w:val="000545FA"/>
    <w:rsid w:val="00054A09"/>
    <w:rsid w:val="000554AB"/>
    <w:rsid w:val="00057024"/>
    <w:rsid w:val="000577FD"/>
    <w:rsid w:val="00057FF4"/>
    <w:rsid w:val="00060778"/>
    <w:rsid w:val="00060FF0"/>
    <w:rsid w:val="000619A3"/>
    <w:rsid w:val="000627E2"/>
    <w:rsid w:val="00062ED5"/>
    <w:rsid w:val="00062F25"/>
    <w:rsid w:val="00062F8C"/>
    <w:rsid w:val="0006334F"/>
    <w:rsid w:val="00064207"/>
    <w:rsid w:val="00064475"/>
    <w:rsid w:val="00065446"/>
    <w:rsid w:val="00065EC3"/>
    <w:rsid w:val="00070608"/>
    <w:rsid w:val="00071FE7"/>
    <w:rsid w:val="0007207E"/>
    <w:rsid w:val="00072829"/>
    <w:rsid w:val="00073351"/>
    <w:rsid w:val="00073F39"/>
    <w:rsid w:val="00073FC4"/>
    <w:rsid w:val="00074771"/>
    <w:rsid w:val="000747B5"/>
    <w:rsid w:val="00074FED"/>
    <w:rsid w:val="00075DEB"/>
    <w:rsid w:val="00075F06"/>
    <w:rsid w:val="00077376"/>
    <w:rsid w:val="00077764"/>
    <w:rsid w:val="000778B5"/>
    <w:rsid w:val="000778F6"/>
    <w:rsid w:val="00077C18"/>
    <w:rsid w:val="000800A9"/>
    <w:rsid w:val="000809F8"/>
    <w:rsid w:val="00082248"/>
    <w:rsid w:val="0008276E"/>
    <w:rsid w:val="00082984"/>
    <w:rsid w:val="0008391D"/>
    <w:rsid w:val="00083A07"/>
    <w:rsid w:val="00083DC3"/>
    <w:rsid w:val="000846BC"/>
    <w:rsid w:val="00086215"/>
    <w:rsid w:val="00086327"/>
    <w:rsid w:val="00086EAB"/>
    <w:rsid w:val="000871CF"/>
    <w:rsid w:val="00087F34"/>
    <w:rsid w:val="00090907"/>
    <w:rsid w:val="00090A9F"/>
    <w:rsid w:val="00091181"/>
    <w:rsid w:val="0009153B"/>
    <w:rsid w:val="0009164A"/>
    <w:rsid w:val="00091795"/>
    <w:rsid w:val="00091864"/>
    <w:rsid w:val="000932C9"/>
    <w:rsid w:val="000935B3"/>
    <w:rsid w:val="00093CD6"/>
    <w:rsid w:val="000946E5"/>
    <w:rsid w:val="00094CCC"/>
    <w:rsid w:val="0009513E"/>
    <w:rsid w:val="00095A39"/>
    <w:rsid w:val="00096089"/>
    <w:rsid w:val="00096A8C"/>
    <w:rsid w:val="00096CDE"/>
    <w:rsid w:val="00096EA3"/>
    <w:rsid w:val="0009759D"/>
    <w:rsid w:val="00097790"/>
    <w:rsid w:val="00097886"/>
    <w:rsid w:val="000A0348"/>
    <w:rsid w:val="000A1457"/>
    <w:rsid w:val="000A1D62"/>
    <w:rsid w:val="000A1FB1"/>
    <w:rsid w:val="000A23D1"/>
    <w:rsid w:val="000A297B"/>
    <w:rsid w:val="000A2AC2"/>
    <w:rsid w:val="000A4787"/>
    <w:rsid w:val="000A52C2"/>
    <w:rsid w:val="000A64BE"/>
    <w:rsid w:val="000A6A84"/>
    <w:rsid w:val="000A71A7"/>
    <w:rsid w:val="000A71B4"/>
    <w:rsid w:val="000B094E"/>
    <w:rsid w:val="000B1D41"/>
    <w:rsid w:val="000B2AE1"/>
    <w:rsid w:val="000B2DD1"/>
    <w:rsid w:val="000B3F7E"/>
    <w:rsid w:val="000B4BD6"/>
    <w:rsid w:val="000B53D6"/>
    <w:rsid w:val="000B5736"/>
    <w:rsid w:val="000B6981"/>
    <w:rsid w:val="000B7373"/>
    <w:rsid w:val="000C0211"/>
    <w:rsid w:val="000C0366"/>
    <w:rsid w:val="000C0509"/>
    <w:rsid w:val="000C051B"/>
    <w:rsid w:val="000C1590"/>
    <w:rsid w:val="000C1E34"/>
    <w:rsid w:val="000C1EEE"/>
    <w:rsid w:val="000C2249"/>
    <w:rsid w:val="000C2966"/>
    <w:rsid w:val="000C2F8C"/>
    <w:rsid w:val="000C30B5"/>
    <w:rsid w:val="000C30C4"/>
    <w:rsid w:val="000C52C9"/>
    <w:rsid w:val="000C5652"/>
    <w:rsid w:val="000C5F44"/>
    <w:rsid w:val="000C668E"/>
    <w:rsid w:val="000C6FFF"/>
    <w:rsid w:val="000C710D"/>
    <w:rsid w:val="000C75ED"/>
    <w:rsid w:val="000C76D1"/>
    <w:rsid w:val="000D0678"/>
    <w:rsid w:val="000D14FE"/>
    <w:rsid w:val="000D1A5D"/>
    <w:rsid w:val="000D1C0D"/>
    <w:rsid w:val="000D262D"/>
    <w:rsid w:val="000D2EEE"/>
    <w:rsid w:val="000D3AEA"/>
    <w:rsid w:val="000D3DC1"/>
    <w:rsid w:val="000D4C38"/>
    <w:rsid w:val="000D4D62"/>
    <w:rsid w:val="000D500E"/>
    <w:rsid w:val="000D534C"/>
    <w:rsid w:val="000D5541"/>
    <w:rsid w:val="000D62ED"/>
    <w:rsid w:val="000D657F"/>
    <w:rsid w:val="000D6728"/>
    <w:rsid w:val="000D6E93"/>
    <w:rsid w:val="000D7680"/>
    <w:rsid w:val="000E0031"/>
    <w:rsid w:val="000E16BC"/>
    <w:rsid w:val="000E178A"/>
    <w:rsid w:val="000E1B9D"/>
    <w:rsid w:val="000E1BF8"/>
    <w:rsid w:val="000E20D3"/>
    <w:rsid w:val="000E22A9"/>
    <w:rsid w:val="000E2F2C"/>
    <w:rsid w:val="000E3447"/>
    <w:rsid w:val="000E356A"/>
    <w:rsid w:val="000E3735"/>
    <w:rsid w:val="000E3A0F"/>
    <w:rsid w:val="000E412A"/>
    <w:rsid w:val="000E4CFB"/>
    <w:rsid w:val="000E5065"/>
    <w:rsid w:val="000E55F3"/>
    <w:rsid w:val="000E5916"/>
    <w:rsid w:val="000E6D97"/>
    <w:rsid w:val="000E795F"/>
    <w:rsid w:val="000F0BAD"/>
    <w:rsid w:val="000F19D4"/>
    <w:rsid w:val="000F2BCF"/>
    <w:rsid w:val="000F30A5"/>
    <w:rsid w:val="000F3CEA"/>
    <w:rsid w:val="000F448F"/>
    <w:rsid w:val="000F620F"/>
    <w:rsid w:val="000F6422"/>
    <w:rsid w:val="000F6AB9"/>
    <w:rsid w:val="000F6ECD"/>
    <w:rsid w:val="000F793F"/>
    <w:rsid w:val="001003E6"/>
    <w:rsid w:val="001016DD"/>
    <w:rsid w:val="00101702"/>
    <w:rsid w:val="00101E04"/>
    <w:rsid w:val="00101FDF"/>
    <w:rsid w:val="00102C7D"/>
    <w:rsid w:val="00103BC5"/>
    <w:rsid w:val="001047CF"/>
    <w:rsid w:val="001050F2"/>
    <w:rsid w:val="001055C2"/>
    <w:rsid w:val="001060D1"/>
    <w:rsid w:val="001074ED"/>
    <w:rsid w:val="00107CC2"/>
    <w:rsid w:val="001100BF"/>
    <w:rsid w:val="001106C6"/>
    <w:rsid w:val="00110CAA"/>
    <w:rsid w:val="00111762"/>
    <w:rsid w:val="0011301A"/>
    <w:rsid w:val="0011303E"/>
    <w:rsid w:val="001132CD"/>
    <w:rsid w:val="0011352E"/>
    <w:rsid w:val="001138B9"/>
    <w:rsid w:val="001140F6"/>
    <w:rsid w:val="00114164"/>
    <w:rsid w:val="0011669A"/>
    <w:rsid w:val="00120D60"/>
    <w:rsid w:val="001225FF"/>
    <w:rsid w:val="00122777"/>
    <w:rsid w:val="00122925"/>
    <w:rsid w:val="001232F6"/>
    <w:rsid w:val="00123F28"/>
    <w:rsid w:val="00124410"/>
    <w:rsid w:val="00124B89"/>
    <w:rsid w:val="00124CA4"/>
    <w:rsid w:val="00124CD9"/>
    <w:rsid w:val="00124DCF"/>
    <w:rsid w:val="00125072"/>
    <w:rsid w:val="00125F54"/>
    <w:rsid w:val="00126220"/>
    <w:rsid w:val="00126495"/>
    <w:rsid w:val="0012677F"/>
    <w:rsid w:val="00126E53"/>
    <w:rsid w:val="00130DBD"/>
    <w:rsid w:val="00132A4B"/>
    <w:rsid w:val="00132BC1"/>
    <w:rsid w:val="00133296"/>
    <w:rsid w:val="001335E7"/>
    <w:rsid w:val="001336DC"/>
    <w:rsid w:val="00134227"/>
    <w:rsid w:val="00134AC6"/>
    <w:rsid w:val="00134BA9"/>
    <w:rsid w:val="0013555F"/>
    <w:rsid w:val="0013559C"/>
    <w:rsid w:val="00135A7D"/>
    <w:rsid w:val="0013663B"/>
    <w:rsid w:val="001403C9"/>
    <w:rsid w:val="00140F42"/>
    <w:rsid w:val="0014151E"/>
    <w:rsid w:val="001421CA"/>
    <w:rsid w:val="00142344"/>
    <w:rsid w:val="00142463"/>
    <w:rsid w:val="00142F7A"/>
    <w:rsid w:val="001441AB"/>
    <w:rsid w:val="00144252"/>
    <w:rsid w:val="00144D6A"/>
    <w:rsid w:val="00144F23"/>
    <w:rsid w:val="0014600D"/>
    <w:rsid w:val="00146F58"/>
    <w:rsid w:val="00147124"/>
    <w:rsid w:val="00147943"/>
    <w:rsid w:val="00147A53"/>
    <w:rsid w:val="00147C3B"/>
    <w:rsid w:val="00150223"/>
    <w:rsid w:val="001503B2"/>
    <w:rsid w:val="00150534"/>
    <w:rsid w:val="00150BEB"/>
    <w:rsid w:val="00151051"/>
    <w:rsid w:val="0015115C"/>
    <w:rsid w:val="001517C7"/>
    <w:rsid w:val="00152377"/>
    <w:rsid w:val="00152F71"/>
    <w:rsid w:val="0015372B"/>
    <w:rsid w:val="0015393D"/>
    <w:rsid w:val="001543D5"/>
    <w:rsid w:val="00154FF3"/>
    <w:rsid w:val="001557F2"/>
    <w:rsid w:val="00155D5F"/>
    <w:rsid w:val="001577F9"/>
    <w:rsid w:val="00157962"/>
    <w:rsid w:val="00160304"/>
    <w:rsid w:val="00160AE8"/>
    <w:rsid w:val="00160C15"/>
    <w:rsid w:val="0016238E"/>
    <w:rsid w:val="001629C3"/>
    <w:rsid w:val="00162CAA"/>
    <w:rsid w:val="00163B6D"/>
    <w:rsid w:val="001647F4"/>
    <w:rsid w:val="00164880"/>
    <w:rsid w:val="00164ED6"/>
    <w:rsid w:val="00166B04"/>
    <w:rsid w:val="001675E4"/>
    <w:rsid w:val="001675E9"/>
    <w:rsid w:val="00170E09"/>
    <w:rsid w:val="00171831"/>
    <w:rsid w:val="00172067"/>
    <w:rsid w:val="00172351"/>
    <w:rsid w:val="00172497"/>
    <w:rsid w:val="00172DD3"/>
    <w:rsid w:val="001730FE"/>
    <w:rsid w:val="0017397A"/>
    <w:rsid w:val="00173A7F"/>
    <w:rsid w:val="001746EA"/>
    <w:rsid w:val="001754D0"/>
    <w:rsid w:val="00175930"/>
    <w:rsid w:val="001759DA"/>
    <w:rsid w:val="00175C42"/>
    <w:rsid w:val="001765B4"/>
    <w:rsid w:val="00176A26"/>
    <w:rsid w:val="0017735D"/>
    <w:rsid w:val="001812BD"/>
    <w:rsid w:val="0018192E"/>
    <w:rsid w:val="0018223C"/>
    <w:rsid w:val="0018254B"/>
    <w:rsid w:val="001837C4"/>
    <w:rsid w:val="0018445E"/>
    <w:rsid w:val="00184592"/>
    <w:rsid w:val="001845CD"/>
    <w:rsid w:val="001847EB"/>
    <w:rsid w:val="00184CA3"/>
    <w:rsid w:val="0018587E"/>
    <w:rsid w:val="00186863"/>
    <w:rsid w:val="00186D32"/>
    <w:rsid w:val="0018785B"/>
    <w:rsid w:val="001920BD"/>
    <w:rsid w:val="00192EFF"/>
    <w:rsid w:val="00194E91"/>
    <w:rsid w:val="001962A1"/>
    <w:rsid w:val="00196B38"/>
    <w:rsid w:val="00196B62"/>
    <w:rsid w:val="00196E0F"/>
    <w:rsid w:val="001979DF"/>
    <w:rsid w:val="001A0ED1"/>
    <w:rsid w:val="001A1946"/>
    <w:rsid w:val="001A1C24"/>
    <w:rsid w:val="001A1ED5"/>
    <w:rsid w:val="001A290D"/>
    <w:rsid w:val="001A29B1"/>
    <w:rsid w:val="001A2A4E"/>
    <w:rsid w:val="001A37D3"/>
    <w:rsid w:val="001A4202"/>
    <w:rsid w:val="001A4257"/>
    <w:rsid w:val="001A6006"/>
    <w:rsid w:val="001A65BF"/>
    <w:rsid w:val="001A78EC"/>
    <w:rsid w:val="001A7DF3"/>
    <w:rsid w:val="001B01E3"/>
    <w:rsid w:val="001B026B"/>
    <w:rsid w:val="001B11AD"/>
    <w:rsid w:val="001B1546"/>
    <w:rsid w:val="001B19D5"/>
    <w:rsid w:val="001B1A8E"/>
    <w:rsid w:val="001B1AFA"/>
    <w:rsid w:val="001B737D"/>
    <w:rsid w:val="001C0176"/>
    <w:rsid w:val="001C0FC7"/>
    <w:rsid w:val="001C0FEC"/>
    <w:rsid w:val="001C0FF9"/>
    <w:rsid w:val="001C1627"/>
    <w:rsid w:val="001C180C"/>
    <w:rsid w:val="001C2922"/>
    <w:rsid w:val="001C2BC4"/>
    <w:rsid w:val="001C34D7"/>
    <w:rsid w:val="001C37BE"/>
    <w:rsid w:val="001C490B"/>
    <w:rsid w:val="001C51B4"/>
    <w:rsid w:val="001C55F4"/>
    <w:rsid w:val="001C6386"/>
    <w:rsid w:val="001C68CC"/>
    <w:rsid w:val="001C70C9"/>
    <w:rsid w:val="001C7293"/>
    <w:rsid w:val="001C74DD"/>
    <w:rsid w:val="001C7670"/>
    <w:rsid w:val="001D09AB"/>
    <w:rsid w:val="001D250C"/>
    <w:rsid w:val="001D2F3D"/>
    <w:rsid w:val="001D2FC5"/>
    <w:rsid w:val="001D3530"/>
    <w:rsid w:val="001D3E0B"/>
    <w:rsid w:val="001D4C77"/>
    <w:rsid w:val="001D4E56"/>
    <w:rsid w:val="001D5DAC"/>
    <w:rsid w:val="001D689C"/>
    <w:rsid w:val="001E06A3"/>
    <w:rsid w:val="001E163F"/>
    <w:rsid w:val="001E1FA7"/>
    <w:rsid w:val="001E2376"/>
    <w:rsid w:val="001E2A82"/>
    <w:rsid w:val="001E2C4D"/>
    <w:rsid w:val="001E4447"/>
    <w:rsid w:val="001E4802"/>
    <w:rsid w:val="001E567F"/>
    <w:rsid w:val="001E5EA5"/>
    <w:rsid w:val="001E68DA"/>
    <w:rsid w:val="001E71A3"/>
    <w:rsid w:val="001E753B"/>
    <w:rsid w:val="001E774B"/>
    <w:rsid w:val="001E7D23"/>
    <w:rsid w:val="001E7FE6"/>
    <w:rsid w:val="001F04FD"/>
    <w:rsid w:val="001F0DC8"/>
    <w:rsid w:val="001F1397"/>
    <w:rsid w:val="001F147F"/>
    <w:rsid w:val="001F1A61"/>
    <w:rsid w:val="001F1F77"/>
    <w:rsid w:val="001F2D51"/>
    <w:rsid w:val="001F3516"/>
    <w:rsid w:val="001F3541"/>
    <w:rsid w:val="001F3C10"/>
    <w:rsid w:val="001F5155"/>
    <w:rsid w:val="001F55B1"/>
    <w:rsid w:val="001F7A5E"/>
    <w:rsid w:val="001F7DAE"/>
    <w:rsid w:val="002012DA"/>
    <w:rsid w:val="00201765"/>
    <w:rsid w:val="002018B0"/>
    <w:rsid w:val="00201C4E"/>
    <w:rsid w:val="002025C7"/>
    <w:rsid w:val="00202637"/>
    <w:rsid w:val="00202FAA"/>
    <w:rsid w:val="00204D2A"/>
    <w:rsid w:val="002055D5"/>
    <w:rsid w:val="00206172"/>
    <w:rsid w:val="00207AC3"/>
    <w:rsid w:val="00207DD7"/>
    <w:rsid w:val="002102B0"/>
    <w:rsid w:val="00210647"/>
    <w:rsid w:val="00210676"/>
    <w:rsid w:val="002111D7"/>
    <w:rsid w:val="00211945"/>
    <w:rsid w:val="00211E14"/>
    <w:rsid w:val="00213B72"/>
    <w:rsid w:val="00213D57"/>
    <w:rsid w:val="0021573A"/>
    <w:rsid w:val="0021589B"/>
    <w:rsid w:val="00215982"/>
    <w:rsid w:val="00216C2A"/>
    <w:rsid w:val="00221644"/>
    <w:rsid w:val="00221A13"/>
    <w:rsid w:val="00221BB6"/>
    <w:rsid w:val="002224A4"/>
    <w:rsid w:val="00222B2B"/>
    <w:rsid w:val="00223426"/>
    <w:rsid w:val="0022373F"/>
    <w:rsid w:val="002237FD"/>
    <w:rsid w:val="00223D68"/>
    <w:rsid w:val="00224021"/>
    <w:rsid w:val="00224A11"/>
    <w:rsid w:val="00225758"/>
    <w:rsid w:val="0022627B"/>
    <w:rsid w:val="00226B32"/>
    <w:rsid w:val="00226E86"/>
    <w:rsid w:val="00227BCB"/>
    <w:rsid w:val="00227FBE"/>
    <w:rsid w:val="0023008D"/>
    <w:rsid w:val="00230182"/>
    <w:rsid w:val="00230F30"/>
    <w:rsid w:val="00231690"/>
    <w:rsid w:val="00231B5D"/>
    <w:rsid w:val="0023315A"/>
    <w:rsid w:val="00233303"/>
    <w:rsid w:val="0023356F"/>
    <w:rsid w:val="00233C78"/>
    <w:rsid w:val="00233E49"/>
    <w:rsid w:val="002341C4"/>
    <w:rsid w:val="00234FA4"/>
    <w:rsid w:val="00234FC1"/>
    <w:rsid w:val="00235D03"/>
    <w:rsid w:val="00235DE4"/>
    <w:rsid w:val="00236030"/>
    <w:rsid w:val="00236104"/>
    <w:rsid w:val="0023731B"/>
    <w:rsid w:val="00237AE8"/>
    <w:rsid w:val="00237F21"/>
    <w:rsid w:val="002401F7"/>
    <w:rsid w:val="0024071F"/>
    <w:rsid w:val="002416B5"/>
    <w:rsid w:val="00242604"/>
    <w:rsid w:val="002427FA"/>
    <w:rsid w:val="00243207"/>
    <w:rsid w:val="00243338"/>
    <w:rsid w:val="002433C7"/>
    <w:rsid w:val="00243D22"/>
    <w:rsid w:val="00243FD3"/>
    <w:rsid w:val="00243FE9"/>
    <w:rsid w:val="002444FE"/>
    <w:rsid w:val="00244B27"/>
    <w:rsid w:val="00244B89"/>
    <w:rsid w:val="002458AE"/>
    <w:rsid w:val="00245978"/>
    <w:rsid w:val="002466C0"/>
    <w:rsid w:val="002470D1"/>
    <w:rsid w:val="00247C2A"/>
    <w:rsid w:val="002517BC"/>
    <w:rsid w:val="002519E7"/>
    <w:rsid w:val="00251A5E"/>
    <w:rsid w:val="002531A6"/>
    <w:rsid w:val="002532DC"/>
    <w:rsid w:val="00253391"/>
    <w:rsid w:val="002544E5"/>
    <w:rsid w:val="0025679E"/>
    <w:rsid w:val="00256DD1"/>
    <w:rsid w:val="002574F1"/>
    <w:rsid w:val="0026031C"/>
    <w:rsid w:val="0026064D"/>
    <w:rsid w:val="00261125"/>
    <w:rsid w:val="0026181A"/>
    <w:rsid w:val="00261F65"/>
    <w:rsid w:val="0026313F"/>
    <w:rsid w:val="002634AD"/>
    <w:rsid w:val="002638DA"/>
    <w:rsid w:val="00263D10"/>
    <w:rsid w:val="00266C9D"/>
    <w:rsid w:val="00267839"/>
    <w:rsid w:val="002704CF"/>
    <w:rsid w:val="00272B4E"/>
    <w:rsid w:val="002731C4"/>
    <w:rsid w:val="002732A3"/>
    <w:rsid w:val="002734AA"/>
    <w:rsid w:val="002740AF"/>
    <w:rsid w:val="00274583"/>
    <w:rsid w:val="00275027"/>
    <w:rsid w:val="00275091"/>
    <w:rsid w:val="002761D1"/>
    <w:rsid w:val="00276BD3"/>
    <w:rsid w:val="00277D88"/>
    <w:rsid w:val="00277FF9"/>
    <w:rsid w:val="002809CB"/>
    <w:rsid w:val="00280E04"/>
    <w:rsid w:val="00281DEA"/>
    <w:rsid w:val="002827F7"/>
    <w:rsid w:val="0028305D"/>
    <w:rsid w:val="00283970"/>
    <w:rsid w:val="00283C47"/>
    <w:rsid w:val="00283DFC"/>
    <w:rsid w:val="002854FC"/>
    <w:rsid w:val="00285A4F"/>
    <w:rsid w:val="00285DD7"/>
    <w:rsid w:val="0028663E"/>
    <w:rsid w:val="00286EDB"/>
    <w:rsid w:val="00286FD1"/>
    <w:rsid w:val="002877D1"/>
    <w:rsid w:val="00290003"/>
    <w:rsid w:val="00290135"/>
    <w:rsid w:val="002914A3"/>
    <w:rsid w:val="00291DAD"/>
    <w:rsid w:val="00292359"/>
    <w:rsid w:val="00292E39"/>
    <w:rsid w:val="00292E75"/>
    <w:rsid w:val="00293899"/>
    <w:rsid w:val="00293D76"/>
    <w:rsid w:val="00294484"/>
    <w:rsid w:val="00294E58"/>
    <w:rsid w:val="00294F2D"/>
    <w:rsid w:val="00295768"/>
    <w:rsid w:val="00295D73"/>
    <w:rsid w:val="00296750"/>
    <w:rsid w:val="00296EF6"/>
    <w:rsid w:val="00297437"/>
    <w:rsid w:val="00297A7E"/>
    <w:rsid w:val="002A03E2"/>
    <w:rsid w:val="002A0AD7"/>
    <w:rsid w:val="002A2247"/>
    <w:rsid w:val="002A245D"/>
    <w:rsid w:val="002A2564"/>
    <w:rsid w:val="002A2D73"/>
    <w:rsid w:val="002A2F43"/>
    <w:rsid w:val="002A367C"/>
    <w:rsid w:val="002A3C2C"/>
    <w:rsid w:val="002A620F"/>
    <w:rsid w:val="002A736E"/>
    <w:rsid w:val="002A7971"/>
    <w:rsid w:val="002A7BA2"/>
    <w:rsid w:val="002A7BFB"/>
    <w:rsid w:val="002B1595"/>
    <w:rsid w:val="002B183F"/>
    <w:rsid w:val="002B18C7"/>
    <w:rsid w:val="002B1922"/>
    <w:rsid w:val="002B1B83"/>
    <w:rsid w:val="002B1E33"/>
    <w:rsid w:val="002B2244"/>
    <w:rsid w:val="002B2DF9"/>
    <w:rsid w:val="002B3F3E"/>
    <w:rsid w:val="002B41A6"/>
    <w:rsid w:val="002B4B2F"/>
    <w:rsid w:val="002B4DEF"/>
    <w:rsid w:val="002B506A"/>
    <w:rsid w:val="002B5070"/>
    <w:rsid w:val="002B516C"/>
    <w:rsid w:val="002B5AE9"/>
    <w:rsid w:val="002B5C5B"/>
    <w:rsid w:val="002B5D80"/>
    <w:rsid w:val="002B620E"/>
    <w:rsid w:val="002B67BE"/>
    <w:rsid w:val="002B67D6"/>
    <w:rsid w:val="002B7047"/>
    <w:rsid w:val="002B72E7"/>
    <w:rsid w:val="002B735C"/>
    <w:rsid w:val="002B7726"/>
    <w:rsid w:val="002C04DC"/>
    <w:rsid w:val="002C0ED5"/>
    <w:rsid w:val="002C30E7"/>
    <w:rsid w:val="002C448D"/>
    <w:rsid w:val="002C472C"/>
    <w:rsid w:val="002C4BBA"/>
    <w:rsid w:val="002C5AB2"/>
    <w:rsid w:val="002C6440"/>
    <w:rsid w:val="002C6FAE"/>
    <w:rsid w:val="002C7EEC"/>
    <w:rsid w:val="002D0753"/>
    <w:rsid w:val="002D0A0B"/>
    <w:rsid w:val="002D0D73"/>
    <w:rsid w:val="002D16AB"/>
    <w:rsid w:val="002D23E6"/>
    <w:rsid w:val="002D28ED"/>
    <w:rsid w:val="002D2B6C"/>
    <w:rsid w:val="002D2D7F"/>
    <w:rsid w:val="002D30D5"/>
    <w:rsid w:val="002D385D"/>
    <w:rsid w:val="002D3D7F"/>
    <w:rsid w:val="002D411E"/>
    <w:rsid w:val="002D5050"/>
    <w:rsid w:val="002D57E3"/>
    <w:rsid w:val="002D590C"/>
    <w:rsid w:val="002D5B11"/>
    <w:rsid w:val="002D5C44"/>
    <w:rsid w:val="002D6795"/>
    <w:rsid w:val="002D7A93"/>
    <w:rsid w:val="002D7F17"/>
    <w:rsid w:val="002E27E9"/>
    <w:rsid w:val="002E2B7B"/>
    <w:rsid w:val="002E3041"/>
    <w:rsid w:val="002E3A4D"/>
    <w:rsid w:val="002E3DBC"/>
    <w:rsid w:val="002E4059"/>
    <w:rsid w:val="002E4A29"/>
    <w:rsid w:val="002E60F6"/>
    <w:rsid w:val="002E6706"/>
    <w:rsid w:val="002E6A2A"/>
    <w:rsid w:val="002E713A"/>
    <w:rsid w:val="002E7D22"/>
    <w:rsid w:val="002F038E"/>
    <w:rsid w:val="002F0DFA"/>
    <w:rsid w:val="002F11FE"/>
    <w:rsid w:val="002F1471"/>
    <w:rsid w:val="002F1AE6"/>
    <w:rsid w:val="002F2B59"/>
    <w:rsid w:val="002F319A"/>
    <w:rsid w:val="002F3D6D"/>
    <w:rsid w:val="002F3F37"/>
    <w:rsid w:val="002F4D2E"/>
    <w:rsid w:val="002F527F"/>
    <w:rsid w:val="002F55A8"/>
    <w:rsid w:val="002F5823"/>
    <w:rsid w:val="002F6BCB"/>
    <w:rsid w:val="002F6E69"/>
    <w:rsid w:val="002F73C9"/>
    <w:rsid w:val="002F777C"/>
    <w:rsid w:val="003016E5"/>
    <w:rsid w:val="00301C39"/>
    <w:rsid w:val="00301FCF"/>
    <w:rsid w:val="00302514"/>
    <w:rsid w:val="00302900"/>
    <w:rsid w:val="00302F29"/>
    <w:rsid w:val="00303DD1"/>
    <w:rsid w:val="00303EF0"/>
    <w:rsid w:val="00304433"/>
    <w:rsid w:val="00305151"/>
    <w:rsid w:val="00305BDC"/>
    <w:rsid w:val="00305EBC"/>
    <w:rsid w:val="00305EC0"/>
    <w:rsid w:val="00306699"/>
    <w:rsid w:val="0030702F"/>
    <w:rsid w:val="00310C0B"/>
    <w:rsid w:val="0031180B"/>
    <w:rsid w:val="00311FF1"/>
    <w:rsid w:val="0031359E"/>
    <w:rsid w:val="00313A70"/>
    <w:rsid w:val="00314848"/>
    <w:rsid w:val="00315F0D"/>
    <w:rsid w:val="00316AC4"/>
    <w:rsid w:val="00316CC9"/>
    <w:rsid w:val="00316EE7"/>
    <w:rsid w:val="0031750B"/>
    <w:rsid w:val="003175C1"/>
    <w:rsid w:val="00317CFB"/>
    <w:rsid w:val="00320905"/>
    <w:rsid w:val="0032129F"/>
    <w:rsid w:val="003229D6"/>
    <w:rsid w:val="00322BA1"/>
    <w:rsid w:val="003235C1"/>
    <w:rsid w:val="00323C20"/>
    <w:rsid w:val="003262AD"/>
    <w:rsid w:val="00326E07"/>
    <w:rsid w:val="00326E23"/>
    <w:rsid w:val="003273CB"/>
    <w:rsid w:val="00327C76"/>
    <w:rsid w:val="003302D0"/>
    <w:rsid w:val="003303CF"/>
    <w:rsid w:val="0033075C"/>
    <w:rsid w:val="00330C95"/>
    <w:rsid w:val="00330E8C"/>
    <w:rsid w:val="00330FCC"/>
    <w:rsid w:val="00331C85"/>
    <w:rsid w:val="003347DD"/>
    <w:rsid w:val="00334A68"/>
    <w:rsid w:val="00336E4B"/>
    <w:rsid w:val="00337D2D"/>
    <w:rsid w:val="00340777"/>
    <w:rsid w:val="00341780"/>
    <w:rsid w:val="00341E07"/>
    <w:rsid w:val="00341E22"/>
    <w:rsid w:val="00342511"/>
    <w:rsid w:val="00342A55"/>
    <w:rsid w:val="00343095"/>
    <w:rsid w:val="0034316B"/>
    <w:rsid w:val="00343671"/>
    <w:rsid w:val="00343992"/>
    <w:rsid w:val="00343BAF"/>
    <w:rsid w:val="00344609"/>
    <w:rsid w:val="00344B1B"/>
    <w:rsid w:val="003451DD"/>
    <w:rsid w:val="003458BC"/>
    <w:rsid w:val="003459E8"/>
    <w:rsid w:val="003474AD"/>
    <w:rsid w:val="00347857"/>
    <w:rsid w:val="00347AEF"/>
    <w:rsid w:val="00347D2D"/>
    <w:rsid w:val="003512D1"/>
    <w:rsid w:val="00351B7A"/>
    <w:rsid w:val="00352A0F"/>
    <w:rsid w:val="00353AC8"/>
    <w:rsid w:val="003545E8"/>
    <w:rsid w:val="00356445"/>
    <w:rsid w:val="003567FF"/>
    <w:rsid w:val="00356E4B"/>
    <w:rsid w:val="003579EE"/>
    <w:rsid w:val="00357CFC"/>
    <w:rsid w:val="00357D2C"/>
    <w:rsid w:val="00360905"/>
    <w:rsid w:val="00360A7A"/>
    <w:rsid w:val="00360CD5"/>
    <w:rsid w:val="0036172A"/>
    <w:rsid w:val="003618AC"/>
    <w:rsid w:val="00361AA4"/>
    <w:rsid w:val="00361E89"/>
    <w:rsid w:val="00362CE4"/>
    <w:rsid w:val="00363707"/>
    <w:rsid w:val="0036499C"/>
    <w:rsid w:val="003649AF"/>
    <w:rsid w:val="00364D59"/>
    <w:rsid w:val="00364F71"/>
    <w:rsid w:val="003660D6"/>
    <w:rsid w:val="00366373"/>
    <w:rsid w:val="00366FCD"/>
    <w:rsid w:val="003673D6"/>
    <w:rsid w:val="00367749"/>
    <w:rsid w:val="00370E68"/>
    <w:rsid w:val="00370F95"/>
    <w:rsid w:val="00370FA8"/>
    <w:rsid w:val="003712B1"/>
    <w:rsid w:val="00371616"/>
    <w:rsid w:val="003719FB"/>
    <w:rsid w:val="003727C9"/>
    <w:rsid w:val="00372D7A"/>
    <w:rsid w:val="00373914"/>
    <w:rsid w:val="00374C47"/>
    <w:rsid w:val="00374F87"/>
    <w:rsid w:val="00375887"/>
    <w:rsid w:val="0037603F"/>
    <w:rsid w:val="003762C8"/>
    <w:rsid w:val="00376F97"/>
    <w:rsid w:val="003779F5"/>
    <w:rsid w:val="00377B11"/>
    <w:rsid w:val="003810AB"/>
    <w:rsid w:val="003816CB"/>
    <w:rsid w:val="0038280D"/>
    <w:rsid w:val="0038335C"/>
    <w:rsid w:val="00384047"/>
    <w:rsid w:val="003847FF"/>
    <w:rsid w:val="00384EF9"/>
    <w:rsid w:val="003854A3"/>
    <w:rsid w:val="00386B58"/>
    <w:rsid w:val="00387324"/>
    <w:rsid w:val="00387493"/>
    <w:rsid w:val="00387A40"/>
    <w:rsid w:val="003900E4"/>
    <w:rsid w:val="003904E6"/>
    <w:rsid w:val="0039182E"/>
    <w:rsid w:val="00391D8B"/>
    <w:rsid w:val="00392666"/>
    <w:rsid w:val="00393A29"/>
    <w:rsid w:val="00393C33"/>
    <w:rsid w:val="0039421D"/>
    <w:rsid w:val="003946D7"/>
    <w:rsid w:val="003948AF"/>
    <w:rsid w:val="00394CE1"/>
    <w:rsid w:val="00394D9C"/>
    <w:rsid w:val="00394ED1"/>
    <w:rsid w:val="00395267"/>
    <w:rsid w:val="00395C3C"/>
    <w:rsid w:val="003963CD"/>
    <w:rsid w:val="00396A0F"/>
    <w:rsid w:val="003974B0"/>
    <w:rsid w:val="003976E9"/>
    <w:rsid w:val="003978C8"/>
    <w:rsid w:val="003978EB"/>
    <w:rsid w:val="00397906"/>
    <w:rsid w:val="00397A7F"/>
    <w:rsid w:val="00397FCE"/>
    <w:rsid w:val="003A0403"/>
    <w:rsid w:val="003A0CB9"/>
    <w:rsid w:val="003A0D59"/>
    <w:rsid w:val="003A1996"/>
    <w:rsid w:val="003A3C9D"/>
    <w:rsid w:val="003A3EE1"/>
    <w:rsid w:val="003A4075"/>
    <w:rsid w:val="003A44AA"/>
    <w:rsid w:val="003A4D89"/>
    <w:rsid w:val="003A521E"/>
    <w:rsid w:val="003A58FF"/>
    <w:rsid w:val="003A5AC3"/>
    <w:rsid w:val="003A680A"/>
    <w:rsid w:val="003A6CCF"/>
    <w:rsid w:val="003A72E3"/>
    <w:rsid w:val="003A7628"/>
    <w:rsid w:val="003A7801"/>
    <w:rsid w:val="003A7F32"/>
    <w:rsid w:val="003B05E0"/>
    <w:rsid w:val="003B23BE"/>
    <w:rsid w:val="003B25C6"/>
    <w:rsid w:val="003B2616"/>
    <w:rsid w:val="003B2F40"/>
    <w:rsid w:val="003B3A3E"/>
    <w:rsid w:val="003B46CE"/>
    <w:rsid w:val="003B4D84"/>
    <w:rsid w:val="003B5252"/>
    <w:rsid w:val="003B623B"/>
    <w:rsid w:val="003B64E5"/>
    <w:rsid w:val="003B77DB"/>
    <w:rsid w:val="003B7F86"/>
    <w:rsid w:val="003C098D"/>
    <w:rsid w:val="003C098F"/>
    <w:rsid w:val="003C0DF9"/>
    <w:rsid w:val="003C0E24"/>
    <w:rsid w:val="003C1250"/>
    <w:rsid w:val="003C1ACD"/>
    <w:rsid w:val="003C21E1"/>
    <w:rsid w:val="003C2BD5"/>
    <w:rsid w:val="003C2D8B"/>
    <w:rsid w:val="003C3AD8"/>
    <w:rsid w:val="003C3FC4"/>
    <w:rsid w:val="003C4369"/>
    <w:rsid w:val="003C46B5"/>
    <w:rsid w:val="003C46C8"/>
    <w:rsid w:val="003C6139"/>
    <w:rsid w:val="003D016F"/>
    <w:rsid w:val="003D0AA4"/>
    <w:rsid w:val="003D0B9C"/>
    <w:rsid w:val="003D2297"/>
    <w:rsid w:val="003D2634"/>
    <w:rsid w:val="003D26F9"/>
    <w:rsid w:val="003D274B"/>
    <w:rsid w:val="003D3379"/>
    <w:rsid w:val="003D368E"/>
    <w:rsid w:val="003D39E0"/>
    <w:rsid w:val="003D3DCF"/>
    <w:rsid w:val="003D4CBF"/>
    <w:rsid w:val="003D4DE3"/>
    <w:rsid w:val="003D4E9E"/>
    <w:rsid w:val="003D4F77"/>
    <w:rsid w:val="003D6691"/>
    <w:rsid w:val="003D77E1"/>
    <w:rsid w:val="003D7A22"/>
    <w:rsid w:val="003D7AB5"/>
    <w:rsid w:val="003E2347"/>
    <w:rsid w:val="003E2750"/>
    <w:rsid w:val="003E30EF"/>
    <w:rsid w:val="003E3DF5"/>
    <w:rsid w:val="003E42A7"/>
    <w:rsid w:val="003E4FCD"/>
    <w:rsid w:val="003E52F1"/>
    <w:rsid w:val="003E5E33"/>
    <w:rsid w:val="003E6EF2"/>
    <w:rsid w:val="003E7BAA"/>
    <w:rsid w:val="003F14E3"/>
    <w:rsid w:val="003F160F"/>
    <w:rsid w:val="003F1B6B"/>
    <w:rsid w:val="003F29A0"/>
    <w:rsid w:val="003F3792"/>
    <w:rsid w:val="003F383B"/>
    <w:rsid w:val="003F3DC4"/>
    <w:rsid w:val="003F46E3"/>
    <w:rsid w:val="003F473B"/>
    <w:rsid w:val="003F4A21"/>
    <w:rsid w:val="003F53D0"/>
    <w:rsid w:val="003F5E79"/>
    <w:rsid w:val="003F6011"/>
    <w:rsid w:val="003F6684"/>
    <w:rsid w:val="003F6C1A"/>
    <w:rsid w:val="003F735B"/>
    <w:rsid w:val="003F739B"/>
    <w:rsid w:val="003F73AF"/>
    <w:rsid w:val="003F7506"/>
    <w:rsid w:val="003F758C"/>
    <w:rsid w:val="0040046F"/>
    <w:rsid w:val="004007D1"/>
    <w:rsid w:val="00400801"/>
    <w:rsid w:val="00400BC3"/>
    <w:rsid w:val="00401F04"/>
    <w:rsid w:val="00401F42"/>
    <w:rsid w:val="00402051"/>
    <w:rsid w:val="00402A85"/>
    <w:rsid w:val="0040329E"/>
    <w:rsid w:val="00405155"/>
    <w:rsid w:val="00405D90"/>
    <w:rsid w:val="0040637E"/>
    <w:rsid w:val="004066D4"/>
    <w:rsid w:val="004067E8"/>
    <w:rsid w:val="0040684F"/>
    <w:rsid w:val="0040767B"/>
    <w:rsid w:val="0040769C"/>
    <w:rsid w:val="00407C84"/>
    <w:rsid w:val="00410285"/>
    <w:rsid w:val="004108AD"/>
    <w:rsid w:val="004116AE"/>
    <w:rsid w:val="00411ACA"/>
    <w:rsid w:val="00413071"/>
    <w:rsid w:val="004139A4"/>
    <w:rsid w:val="0041428D"/>
    <w:rsid w:val="00414FEA"/>
    <w:rsid w:val="00415AEF"/>
    <w:rsid w:val="0041629A"/>
    <w:rsid w:val="004171C7"/>
    <w:rsid w:val="004178FB"/>
    <w:rsid w:val="00417B4E"/>
    <w:rsid w:val="004201FA"/>
    <w:rsid w:val="00420709"/>
    <w:rsid w:val="00420FAF"/>
    <w:rsid w:val="004211E1"/>
    <w:rsid w:val="00421A47"/>
    <w:rsid w:val="00422E13"/>
    <w:rsid w:val="00423D31"/>
    <w:rsid w:val="0042512D"/>
    <w:rsid w:val="00425355"/>
    <w:rsid w:val="00426000"/>
    <w:rsid w:val="00426186"/>
    <w:rsid w:val="00426634"/>
    <w:rsid w:val="00426931"/>
    <w:rsid w:val="00426A3E"/>
    <w:rsid w:val="00426BFC"/>
    <w:rsid w:val="00427AA2"/>
    <w:rsid w:val="00427EDA"/>
    <w:rsid w:val="00430429"/>
    <w:rsid w:val="00431432"/>
    <w:rsid w:val="00431554"/>
    <w:rsid w:val="00431C69"/>
    <w:rsid w:val="00431F0B"/>
    <w:rsid w:val="004328DE"/>
    <w:rsid w:val="00433A74"/>
    <w:rsid w:val="004347E2"/>
    <w:rsid w:val="00435DBD"/>
    <w:rsid w:val="00436830"/>
    <w:rsid w:val="00437451"/>
    <w:rsid w:val="00437C6D"/>
    <w:rsid w:val="00440B24"/>
    <w:rsid w:val="00440E99"/>
    <w:rsid w:val="00440FC6"/>
    <w:rsid w:val="00441415"/>
    <w:rsid w:val="00441494"/>
    <w:rsid w:val="004415B7"/>
    <w:rsid w:val="00442A63"/>
    <w:rsid w:val="00443320"/>
    <w:rsid w:val="00443616"/>
    <w:rsid w:val="00443620"/>
    <w:rsid w:val="00443E82"/>
    <w:rsid w:val="004443C3"/>
    <w:rsid w:val="00444476"/>
    <w:rsid w:val="00446C58"/>
    <w:rsid w:val="00446D56"/>
    <w:rsid w:val="00446DBD"/>
    <w:rsid w:val="00446EB7"/>
    <w:rsid w:val="00450E29"/>
    <w:rsid w:val="004510FA"/>
    <w:rsid w:val="0045143A"/>
    <w:rsid w:val="00453B06"/>
    <w:rsid w:val="00454C35"/>
    <w:rsid w:val="00454C86"/>
    <w:rsid w:val="00456109"/>
    <w:rsid w:val="00456326"/>
    <w:rsid w:val="00456736"/>
    <w:rsid w:val="00456975"/>
    <w:rsid w:val="00456EEF"/>
    <w:rsid w:val="0045796A"/>
    <w:rsid w:val="00460A86"/>
    <w:rsid w:val="0046144F"/>
    <w:rsid w:val="00461970"/>
    <w:rsid w:val="00462942"/>
    <w:rsid w:val="00462B26"/>
    <w:rsid w:val="00463695"/>
    <w:rsid w:val="00463ECC"/>
    <w:rsid w:val="00464265"/>
    <w:rsid w:val="004645DA"/>
    <w:rsid w:val="004648F7"/>
    <w:rsid w:val="00465C0A"/>
    <w:rsid w:val="00466751"/>
    <w:rsid w:val="0046687F"/>
    <w:rsid w:val="004669BA"/>
    <w:rsid w:val="00467363"/>
    <w:rsid w:val="00467A55"/>
    <w:rsid w:val="004701C3"/>
    <w:rsid w:val="00470AB8"/>
    <w:rsid w:val="00470F66"/>
    <w:rsid w:val="0047162D"/>
    <w:rsid w:val="0047181B"/>
    <w:rsid w:val="00471C40"/>
    <w:rsid w:val="004724D5"/>
    <w:rsid w:val="004727D2"/>
    <w:rsid w:val="004739C6"/>
    <w:rsid w:val="00473A46"/>
    <w:rsid w:val="00474717"/>
    <w:rsid w:val="00474C49"/>
    <w:rsid w:val="0047536B"/>
    <w:rsid w:val="004756F6"/>
    <w:rsid w:val="00476733"/>
    <w:rsid w:val="004771AF"/>
    <w:rsid w:val="00477E68"/>
    <w:rsid w:val="00477F93"/>
    <w:rsid w:val="00480525"/>
    <w:rsid w:val="004823FA"/>
    <w:rsid w:val="00482640"/>
    <w:rsid w:val="00482F20"/>
    <w:rsid w:val="00482FEB"/>
    <w:rsid w:val="004837DD"/>
    <w:rsid w:val="00483C5A"/>
    <w:rsid w:val="004840D6"/>
    <w:rsid w:val="00484C4A"/>
    <w:rsid w:val="00485785"/>
    <w:rsid w:val="00485AB8"/>
    <w:rsid w:val="00485D86"/>
    <w:rsid w:val="00485D99"/>
    <w:rsid w:val="00486647"/>
    <w:rsid w:val="00487A38"/>
    <w:rsid w:val="00487DB1"/>
    <w:rsid w:val="004906F6"/>
    <w:rsid w:val="00490BDC"/>
    <w:rsid w:val="00490BFE"/>
    <w:rsid w:val="00490E8F"/>
    <w:rsid w:val="004913C5"/>
    <w:rsid w:val="004924C5"/>
    <w:rsid w:val="00492CB8"/>
    <w:rsid w:val="00493673"/>
    <w:rsid w:val="004939D2"/>
    <w:rsid w:val="00493D87"/>
    <w:rsid w:val="004940BD"/>
    <w:rsid w:val="00494238"/>
    <w:rsid w:val="0049448C"/>
    <w:rsid w:val="0049494B"/>
    <w:rsid w:val="00495016"/>
    <w:rsid w:val="00495C8E"/>
    <w:rsid w:val="00496513"/>
    <w:rsid w:val="004965B5"/>
    <w:rsid w:val="004965EC"/>
    <w:rsid w:val="00496744"/>
    <w:rsid w:val="00496BE5"/>
    <w:rsid w:val="00496C38"/>
    <w:rsid w:val="00496F16"/>
    <w:rsid w:val="00497E3E"/>
    <w:rsid w:val="004A091F"/>
    <w:rsid w:val="004A0ABD"/>
    <w:rsid w:val="004A1126"/>
    <w:rsid w:val="004A1D18"/>
    <w:rsid w:val="004A2AA6"/>
    <w:rsid w:val="004A2B16"/>
    <w:rsid w:val="004A3739"/>
    <w:rsid w:val="004A39F9"/>
    <w:rsid w:val="004A4733"/>
    <w:rsid w:val="004A4849"/>
    <w:rsid w:val="004A4DDB"/>
    <w:rsid w:val="004A5B0B"/>
    <w:rsid w:val="004A665A"/>
    <w:rsid w:val="004A6858"/>
    <w:rsid w:val="004A7660"/>
    <w:rsid w:val="004A7782"/>
    <w:rsid w:val="004A78E0"/>
    <w:rsid w:val="004A7B46"/>
    <w:rsid w:val="004A7CB3"/>
    <w:rsid w:val="004A7ECF"/>
    <w:rsid w:val="004B0DA4"/>
    <w:rsid w:val="004B1B9D"/>
    <w:rsid w:val="004B22DF"/>
    <w:rsid w:val="004B3248"/>
    <w:rsid w:val="004B3525"/>
    <w:rsid w:val="004B52B4"/>
    <w:rsid w:val="004B6019"/>
    <w:rsid w:val="004B67CA"/>
    <w:rsid w:val="004B6A08"/>
    <w:rsid w:val="004B6E53"/>
    <w:rsid w:val="004B7147"/>
    <w:rsid w:val="004B7622"/>
    <w:rsid w:val="004C036A"/>
    <w:rsid w:val="004C1CD6"/>
    <w:rsid w:val="004C2079"/>
    <w:rsid w:val="004C248D"/>
    <w:rsid w:val="004C2754"/>
    <w:rsid w:val="004C2CFA"/>
    <w:rsid w:val="004C32A5"/>
    <w:rsid w:val="004C346A"/>
    <w:rsid w:val="004C40D7"/>
    <w:rsid w:val="004C48C1"/>
    <w:rsid w:val="004C538F"/>
    <w:rsid w:val="004C54B2"/>
    <w:rsid w:val="004C5779"/>
    <w:rsid w:val="004C5A3C"/>
    <w:rsid w:val="004C72B7"/>
    <w:rsid w:val="004D029C"/>
    <w:rsid w:val="004D16AD"/>
    <w:rsid w:val="004D1724"/>
    <w:rsid w:val="004D2827"/>
    <w:rsid w:val="004D4251"/>
    <w:rsid w:val="004D5023"/>
    <w:rsid w:val="004D50F3"/>
    <w:rsid w:val="004D55AF"/>
    <w:rsid w:val="004D678D"/>
    <w:rsid w:val="004D6DFA"/>
    <w:rsid w:val="004E0395"/>
    <w:rsid w:val="004E05F9"/>
    <w:rsid w:val="004E071B"/>
    <w:rsid w:val="004E1490"/>
    <w:rsid w:val="004E1F91"/>
    <w:rsid w:val="004E219F"/>
    <w:rsid w:val="004E28B2"/>
    <w:rsid w:val="004E340A"/>
    <w:rsid w:val="004E4151"/>
    <w:rsid w:val="004E4A46"/>
    <w:rsid w:val="004E4B05"/>
    <w:rsid w:val="004E554E"/>
    <w:rsid w:val="004E58E9"/>
    <w:rsid w:val="004E66A1"/>
    <w:rsid w:val="004F01B5"/>
    <w:rsid w:val="004F08F1"/>
    <w:rsid w:val="004F0B9F"/>
    <w:rsid w:val="004F18AF"/>
    <w:rsid w:val="004F1C4C"/>
    <w:rsid w:val="004F1CE6"/>
    <w:rsid w:val="004F2298"/>
    <w:rsid w:val="004F2445"/>
    <w:rsid w:val="004F4AC1"/>
    <w:rsid w:val="004F4B4F"/>
    <w:rsid w:val="004F5A41"/>
    <w:rsid w:val="004F7F4D"/>
    <w:rsid w:val="005006D5"/>
    <w:rsid w:val="005009AD"/>
    <w:rsid w:val="00501B50"/>
    <w:rsid w:val="005030ED"/>
    <w:rsid w:val="00503DD0"/>
    <w:rsid w:val="00503EF4"/>
    <w:rsid w:val="0050447A"/>
    <w:rsid w:val="0050458F"/>
    <w:rsid w:val="0050535E"/>
    <w:rsid w:val="005061FD"/>
    <w:rsid w:val="0050685E"/>
    <w:rsid w:val="005075DF"/>
    <w:rsid w:val="00507C32"/>
    <w:rsid w:val="00510B70"/>
    <w:rsid w:val="00510E47"/>
    <w:rsid w:val="0051118D"/>
    <w:rsid w:val="00512F93"/>
    <w:rsid w:val="0051393B"/>
    <w:rsid w:val="00513A82"/>
    <w:rsid w:val="00514A42"/>
    <w:rsid w:val="00514AFA"/>
    <w:rsid w:val="0051509C"/>
    <w:rsid w:val="005161BF"/>
    <w:rsid w:val="00516F78"/>
    <w:rsid w:val="00516F86"/>
    <w:rsid w:val="00517106"/>
    <w:rsid w:val="00517362"/>
    <w:rsid w:val="005173D2"/>
    <w:rsid w:val="00520639"/>
    <w:rsid w:val="005215C5"/>
    <w:rsid w:val="00522CAA"/>
    <w:rsid w:val="00522F13"/>
    <w:rsid w:val="005233BF"/>
    <w:rsid w:val="0052368D"/>
    <w:rsid w:val="00523A76"/>
    <w:rsid w:val="00523F79"/>
    <w:rsid w:val="00524281"/>
    <w:rsid w:val="00525E33"/>
    <w:rsid w:val="005264EC"/>
    <w:rsid w:val="0052684A"/>
    <w:rsid w:val="00527A80"/>
    <w:rsid w:val="00530066"/>
    <w:rsid w:val="0053016B"/>
    <w:rsid w:val="0053020C"/>
    <w:rsid w:val="005309FD"/>
    <w:rsid w:val="005310B6"/>
    <w:rsid w:val="00531362"/>
    <w:rsid w:val="005329CD"/>
    <w:rsid w:val="00532A75"/>
    <w:rsid w:val="00532E7C"/>
    <w:rsid w:val="0053481C"/>
    <w:rsid w:val="005354D5"/>
    <w:rsid w:val="005355F6"/>
    <w:rsid w:val="00535930"/>
    <w:rsid w:val="005367A3"/>
    <w:rsid w:val="00536B98"/>
    <w:rsid w:val="00537026"/>
    <w:rsid w:val="005379A5"/>
    <w:rsid w:val="00537E31"/>
    <w:rsid w:val="00537F28"/>
    <w:rsid w:val="00540AB6"/>
    <w:rsid w:val="0054220F"/>
    <w:rsid w:val="005425C2"/>
    <w:rsid w:val="00543BC9"/>
    <w:rsid w:val="00544592"/>
    <w:rsid w:val="00545B17"/>
    <w:rsid w:val="0054619E"/>
    <w:rsid w:val="00547317"/>
    <w:rsid w:val="0054748B"/>
    <w:rsid w:val="00547A51"/>
    <w:rsid w:val="00547A86"/>
    <w:rsid w:val="00551ACD"/>
    <w:rsid w:val="00553FDC"/>
    <w:rsid w:val="0055420E"/>
    <w:rsid w:val="00556481"/>
    <w:rsid w:val="005567A3"/>
    <w:rsid w:val="0055721B"/>
    <w:rsid w:val="005578D2"/>
    <w:rsid w:val="00560647"/>
    <w:rsid w:val="00562507"/>
    <w:rsid w:val="005629F4"/>
    <w:rsid w:val="00563928"/>
    <w:rsid w:val="00563E9C"/>
    <w:rsid w:val="00564E87"/>
    <w:rsid w:val="005659F9"/>
    <w:rsid w:val="00566800"/>
    <w:rsid w:val="0056684A"/>
    <w:rsid w:val="00566E39"/>
    <w:rsid w:val="00567494"/>
    <w:rsid w:val="005675AB"/>
    <w:rsid w:val="00567A2A"/>
    <w:rsid w:val="005707C4"/>
    <w:rsid w:val="00570FE2"/>
    <w:rsid w:val="00571CB5"/>
    <w:rsid w:val="00572195"/>
    <w:rsid w:val="005726D1"/>
    <w:rsid w:val="005728E5"/>
    <w:rsid w:val="00572BB7"/>
    <w:rsid w:val="00572C14"/>
    <w:rsid w:val="00573122"/>
    <w:rsid w:val="005734EE"/>
    <w:rsid w:val="00573810"/>
    <w:rsid w:val="005738D4"/>
    <w:rsid w:val="00573B9E"/>
    <w:rsid w:val="0057461A"/>
    <w:rsid w:val="00574AA7"/>
    <w:rsid w:val="005755D9"/>
    <w:rsid w:val="00575D3A"/>
    <w:rsid w:val="00577296"/>
    <w:rsid w:val="005777E0"/>
    <w:rsid w:val="0058136B"/>
    <w:rsid w:val="005814DD"/>
    <w:rsid w:val="0058150D"/>
    <w:rsid w:val="00581B13"/>
    <w:rsid w:val="00581B93"/>
    <w:rsid w:val="00581C90"/>
    <w:rsid w:val="00582ACD"/>
    <w:rsid w:val="00584326"/>
    <w:rsid w:val="0058432B"/>
    <w:rsid w:val="0058435E"/>
    <w:rsid w:val="00584550"/>
    <w:rsid w:val="00585019"/>
    <w:rsid w:val="00585AA5"/>
    <w:rsid w:val="005867E8"/>
    <w:rsid w:val="00586829"/>
    <w:rsid w:val="005901F6"/>
    <w:rsid w:val="00590838"/>
    <w:rsid w:val="00590889"/>
    <w:rsid w:val="005911C2"/>
    <w:rsid w:val="00591200"/>
    <w:rsid w:val="00591FEE"/>
    <w:rsid w:val="00592A45"/>
    <w:rsid w:val="00594E4D"/>
    <w:rsid w:val="0059521E"/>
    <w:rsid w:val="005952D5"/>
    <w:rsid w:val="00595CA6"/>
    <w:rsid w:val="00595F3F"/>
    <w:rsid w:val="0059649E"/>
    <w:rsid w:val="005971F3"/>
    <w:rsid w:val="005975E8"/>
    <w:rsid w:val="00597FDD"/>
    <w:rsid w:val="005A1251"/>
    <w:rsid w:val="005A174A"/>
    <w:rsid w:val="005A18E7"/>
    <w:rsid w:val="005A328C"/>
    <w:rsid w:val="005A4CF0"/>
    <w:rsid w:val="005A571D"/>
    <w:rsid w:val="005A755E"/>
    <w:rsid w:val="005A7D2B"/>
    <w:rsid w:val="005B069A"/>
    <w:rsid w:val="005B0B47"/>
    <w:rsid w:val="005B0D57"/>
    <w:rsid w:val="005B1A1E"/>
    <w:rsid w:val="005B1AEA"/>
    <w:rsid w:val="005B251A"/>
    <w:rsid w:val="005B34DD"/>
    <w:rsid w:val="005B387A"/>
    <w:rsid w:val="005B3A10"/>
    <w:rsid w:val="005B416F"/>
    <w:rsid w:val="005B455B"/>
    <w:rsid w:val="005B4AEE"/>
    <w:rsid w:val="005B4EDE"/>
    <w:rsid w:val="005B5717"/>
    <w:rsid w:val="005B5875"/>
    <w:rsid w:val="005B6369"/>
    <w:rsid w:val="005B69A4"/>
    <w:rsid w:val="005B6FF7"/>
    <w:rsid w:val="005B74E3"/>
    <w:rsid w:val="005C0197"/>
    <w:rsid w:val="005C0C90"/>
    <w:rsid w:val="005C1E65"/>
    <w:rsid w:val="005C27DA"/>
    <w:rsid w:val="005C2B49"/>
    <w:rsid w:val="005C2D31"/>
    <w:rsid w:val="005C2DC7"/>
    <w:rsid w:val="005C30B8"/>
    <w:rsid w:val="005C33AE"/>
    <w:rsid w:val="005C42E7"/>
    <w:rsid w:val="005C4450"/>
    <w:rsid w:val="005C4544"/>
    <w:rsid w:val="005C5370"/>
    <w:rsid w:val="005C5A9B"/>
    <w:rsid w:val="005C5D09"/>
    <w:rsid w:val="005C61E3"/>
    <w:rsid w:val="005C61F3"/>
    <w:rsid w:val="005C6B2F"/>
    <w:rsid w:val="005C6B50"/>
    <w:rsid w:val="005C6D56"/>
    <w:rsid w:val="005C704F"/>
    <w:rsid w:val="005C7491"/>
    <w:rsid w:val="005C77EF"/>
    <w:rsid w:val="005C7988"/>
    <w:rsid w:val="005C7AA8"/>
    <w:rsid w:val="005D03A4"/>
    <w:rsid w:val="005D18C8"/>
    <w:rsid w:val="005D1E52"/>
    <w:rsid w:val="005D29F3"/>
    <w:rsid w:val="005D2DD0"/>
    <w:rsid w:val="005D345E"/>
    <w:rsid w:val="005D390B"/>
    <w:rsid w:val="005D3D90"/>
    <w:rsid w:val="005D422A"/>
    <w:rsid w:val="005D68C2"/>
    <w:rsid w:val="005E0731"/>
    <w:rsid w:val="005E0C3E"/>
    <w:rsid w:val="005E11C0"/>
    <w:rsid w:val="005E139D"/>
    <w:rsid w:val="005E349E"/>
    <w:rsid w:val="005E5ABD"/>
    <w:rsid w:val="005E5CA0"/>
    <w:rsid w:val="005E62C6"/>
    <w:rsid w:val="005E6EDF"/>
    <w:rsid w:val="005F033D"/>
    <w:rsid w:val="005F17EF"/>
    <w:rsid w:val="005F232E"/>
    <w:rsid w:val="005F29DB"/>
    <w:rsid w:val="005F3940"/>
    <w:rsid w:val="005F3FD4"/>
    <w:rsid w:val="005F406D"/>
    <w:rsid w:val="005F4645"/>
    <w:rsid w:val="005F5645"/>
    <w:rsid w:val="005F63FE"/>
    <w:rsid w:val="005F66C6"/>
    <w:rsid w:val="00601A86"/>
    <w:rsid w:val="006021B8"/>
    <w:rsid w:val="00602883"/>
    <w:rsid w:val="00603360"/>
    <w:rsid w:val="00603616"/>
    <w:rsid w:val="006041A1"/>
    <w:rsid w:val="0060488A"/>
    <w:rsid w:val="00605FC6"/>
    <w:rsid w:val="00606B30"/>
    <w:rsid w:val="00606BE1"/>
    <w:rsid w:val="006072E6"/>
    <w:rsid w:val="00607709"/>
    <w:rsid w:val="00611796"/>
    <w:rsid w:val="006129CF"/>
    <w:rsid w:val="006133CF"/>
    <w:rsid w:val="00613DE3"/>
    <w:rsid w:val="00614118"/>
    <w:rsid w:val="00614444"/>
    <w:rsid w:val="00614937"/>
    <w:rsid w:val="00614A3C"/>
    <w:rsid w:val="006152E6"/>
    <w:rsid w:val="006164A6"/>
    <w:rsid w:val="006169D8"/>
    <w:rsid w:val="00616C24"/>
    <w:rsid w:val="00617070"/>
    <w:rsid w:val="006170BA"/>
    <w:rsid w:val="006179AF"/>
    <w:rsid w:val="00617E02"/>
    <w:rsid w:val="006208B1"/>
    <w:rsid w:val="00620C1B"/>
    <w:rsid w:val="00621710"/>
    <w:rsid w:val="00621E3C"/>
    <w:rsid w:val="00622012"/>
    <w:rsid w:val="00622175"/>
    <w:rsid w:val="00622523"/>
    <w:rsid w:val="00622854"/>
    <w:rsid w:val="00623066"/>
    <w:rsid w:val="00623F26"/>
    <w:rsid w:val="00624FA2"/>
    <w:rsid w:val="00625EF6"/>
    <w:rsid w:val="00626141"/>
    <w:rsid w:val="006261D4"/>
    <w:rsid w:val="00627019"/>
    <w:rsid w:val="006270F8"/>
    <w:rsid w:val="00627814"/>
    <w:rsid w:val="00627984"/>
    <w:rsid w:val="006301CB"/>
    <w:rsid w:val="006310B6"/>
    <w:rsid w:val="00631802"/>
    <w:rsid w:val="006318D5"/>
    <w:rsid w:val="00632776"/>
    <w:rsid w:val="00632873"/>
    <w:rsid w:val="00632B25"/>
    <w:rsid w:val="00632C73"/>
    <w:rsid w:val="006331A2"/>
    <w:rsid w:val="0063339B"/>
    <w:rsid w:val="00633725"/>
    <w:rsid w:val="00633EBD"/>
    <w:rsid w:val="00634C84"/>
    <w:rsid w:val="00634D43"/>
    <w:rsid w:val="00635146"/>
    <w:rsid w:val="00635AF8"/>
    <w:rsid w:val="00636003"/>
    <w:rsid w:val="00636A1B"/>
    <w:rsid w:val="00637160"/>
    <w:rsid w:val="0063763C"/>
    <w:rsid w:val="00637B86"/>
    <w:rsid w:val="006406A1"/>
    <w:rsid w:val="00640D52"/>
    <w:rsid w:val="0064112F"/>
    <w:rsid w:val="0064146D"/>
    <w:rsid w:val="006414C3"/>
    <w:rsid w:val="00641A57"/>
    <w:rsid w:val="00641E7A"/>
    <w:rsid w:val="006425C7"/>
    <w:rsid w:val="00642E80"/>
    <w:rsid w:val="00643BEC"/>
    <w:rsid w:val="006443E4"/>
    <w:rsid w:val="006444D9"/>
    <w:rsid w:val="00644B26"/>
    <w:rsid w:val="00644D1F"/>
    <w:rsid w:val="00644D24"/>
    <w:rsid w:val="00645A83"/>
    <w:rsid w:val="006465B2"/>
    <w:rsid w:val="00646753"/>
    <w:rsid w:val="00646E61"/>
    <w:rsid w:val="0064773E"/>
    <w:rsid w:val="00647F76"/>
    <w:rsid w:val="00650530"/>
    <w:rsid w:val="00650777"/>
    <w:rsid w:val="00651B2D"/>
    <w:rsid w:val="006520E3"/>
    <w:rsid w:val="00652D0C"/>
    <w:rsid w:val="00653828"/>
    <w:rsid w:val="00653AA6"/>
    <w:rsid w:val="0065408B"/>
    <w:rsid w:val="006541C8"/>
    <w:rsid w:val="00654474"/>
    <w:rsid w:val="0065571F"/>
    <w:rsid w:val="006563AE"/>
    <w:rsid w:val="00656F44"/>
    <w:rsid w:val="0065716F"/>
    <w:rsid w:val="00657414"/>
    <w:rsid w:val="006575B8"/>
    <w:rsid w:val="00657819"/>
    <w:rsid w:val="00657849"/>
    <w:rsid w:val="006601AD"/>
    <w:rsid w:val="00660B27"/>
    <w:rsid w:val="006612A4"/>
    <w:rsid w:val="006612C7"/>
    <w:rsid w:val="006628B7"/>
    <w:rsid w:val="00663188"/>
    <w:rsid w:val="006635FE"/>
    <w:rsid w:val="00663874"/>
    <w:rsid w:val="00664276"/>
    <w:rsid w:val="00665245"/>
    <w:rsid w:val="006666E1"/>
    <w:rsid w:val="00667495"/>
    <w:rsid w:val="006674EA"/>
    <w:rsid w:val="006676B7"/>
    <w:rsid w:val="00667912"/>
    <w:rsid w:val="00667CAA"/>
    <w:rsid w:val="00667F22"/>
    <w:rsid w:val="006720F2"/>
    <w:rsid w:val="006722C1"/>
    <w:rsid w:val="00672315"/>
    <w:rsid w:val="00672AD6"/>
    <w:rsid w:val="00672F11"/>
    <w:rsid w:val="00673054"/>
    <w:rsid w:val="00673DAC"/>
    <w:rsid w:val="00674579"/>
    <w:rsid w:val="0067463F"/>
    <w:rsid w:val="00674E70"/>
    <w:rsid w:val="006755E2"/>
    <w:rsid w:val="00676234"/>
    <w:rsid w:val="00676B7C"/>
    <w:rsid w:val="00676BC3"/>
    <w:rsid w:val="00676F00"/>
    <w:rsid w:val="0067773D"/>
    <w:rsid w:val="00677CD9"/>
    <w:rsid w:val="006801DE"/>
    <w:rsid w:val="00680CB8"/>
    <w:rsid w:val="00682A92"/>
    <w:rsid w:val="006837CD"/>
    <w:rsid w:val="00683A03"/>
    <w:rsid w:val="00683CF9"/>
    <w:rsid w:val="00683F75"/>
    <w:rsid w:val="0068419D"/>
    <w:rsid w:val="0068465A"/>
    <w:rsid w:val="00684DEF"/>
    <w:rsid w:val="0068671D"/>
    <w:rsid w:val="006873C7"/>
    <w:rsid w:val="00687F9C"/>
    <w:rsid w:val="00690683"/>
    <w:rsid w:val="00691109"/>
    <w:rsid w:val="006914E7"/>
    <w:rsid w:val="00693022"/>
    <w:rsid w:val="006930B7"/>
    <w:rsid w:val="006937EF"/>
    <w:rsid w:val="00693D2A"/>
    <w:rsid w:val="00694BD2"/>
    <w:rsid w:val="00694FFB"/>
    <w:rsid w:val="0069524B"/>
    <w:rsid w:val="006952D5"/>
    <w:rsid w:val="006957A8"/>
    <w:rsid w:val="006963EB"/>
    <w:rsid w:val="006968AD"/>
    <w:rsid w:val="00697B6D"/>
    <w:rsid w:val="006A033B"/>
    <w:rsid w:val="006A0500"/>
    <w:rsid w:val="006A09F6"/>
    <w:rsid w:val="006A1D6B"/>
    <w:rsid w:val="006A215A"/>
    <w:rsid w:val="006A338A"/>
    <w:rsid w:val="006A3CBE"/>
    <w:rsid w:val="006A4469"/>
    <w:rsid w:val="006A4D16"/>
    <w:rsid w:val="006A5004"/>
    <w:rsid w:val="006A5592"/>
    <w:rsid w:val="006A564B"/>
    <w:rsid w:val="006A580F"/>
    <w:rsid w:val="006A5C38"/>
    <w:rsid w:val="006A63DD"/>
    <w:rsid w:val="006A7C08"/>
    <w:rsid w:val="006B01C3"/>
    <w:rsid w:val="006B0E64"/>
    <w:rsid w:val="006B16CB"/>
    <w:rsid w:val="006B490E"/>
    <w:rsid w:val="006B4B8C"/>
    <w:rsid w:val="006B4C54"/>
    <w:rsid w:val="006B4D07"/>
    <w:rsid w:val="006B4D53"/>
    <w:rsid w:val="006B51D2"/>
    <w:rsid w:val="006B5F1A"/>
    <w:rsid w:val="006B60EC"/>
    <w:rsid w:val="006B6C59"/>
    <w:rsid w:val="006B72E9"/>
    <w:rsid w:val="006C029F"/>
    <w:rsid w:val="006C0A74"/>
    <w:rsid w:val="006C1246"/>
    <w:rsid w:val="006C177D"/>
    <w:rsid w:val="006C1A1B"/>
    <w:rsid w:val="006C226F"/>
    <w:rsid w:val="006C2581"/>
    <w:rsid w:val="006C25A3"/>
    <w:rsid w:val="006C2699"/>
    <w:rsid w:val="006C2A8D"/>
    <w:rsid w:val="006C31D0"/>
    <w:rsid w:val="006C3674"/>
    <w:rsid w:val="006C375B"/>
    <w:rsid w:val="006C4F86"/>
    <w:rsid w:val="006C5083"/>
    <w:rsid w:val="006C5A42"/>
    <w:rsid w:val="006C5AE2"/>
    <w:rsid w:val="006C5B5E"/>
    <w:rsid w:val="006C5D72"/>
    <w:rsid w:val="006C6628"/>
    <w:rsid w:val="006C66EB"/>
    <w:rsid w:val="006C6A47"/>
    <w:rsid w:val="006C6BA4"/>
    <w:rsid w:val="006C76FF"/>
    <w:rsid w:val="006D0D5B"/>
    <w:rsid w:val="006D1172"/>
    <w:rsid w:val="006D2732"/>
    <w:rsid w:val="006D2B88"/>
    <w:rsid w:val="006D3418"/>
    <w:rsid w:val="006D34E1"/>
    <w:rsid w:val="006D44BF"/>
    <w:rsid w:val="006D52F8"/>
    <w:rsid w:val="006D55B7"/>
    <w:rsid w:val="006D5749"/>
    <w:rsid w:val="006D6523"/>
    <w:rsid w:val="006D707E"/>
    <w:rsid w:val="006D75B5"/>
    <w:rsid w:val="006D7B7D"/>
    <w:rsid w:val="006D7DC3"/>
    <w:rsid w:val="006E0110"/>
    <w:rsid w:val="006E01A2"/>
    <w:rsid w:val="006E057E"/>
    <w:rsid w:val="006E0A95"/>
    <w:rsid w:val="006E158A"/>
    <w:rsid w:val="006E1ADE"/>
    <w:rsid w:val="006E1C22"/>
    <w:rsid w:val="006E1F31"/>
    <w:rsid w:val="006E3872"/>
    <w:rsid w:val="006E4321"/>
    <w:rsid w:val="006E5C45"/>
    <w:rsid w:val="006E5C66"/>
    <w:rsid w:val="006E693C"/>
    <w:rsid w:val="006E7364"/>
    <w:rsid w:val="006F0020"/>
    <w:rsid w:val="006F08EC"/>
    <w:rsid w:val="006F1831"/>
    <w:rsid w:val="006F1BB9"/>
    <w:rsid w:val="006F25E0"/>
    <w:rsid w:val="006F2F0F"/>
    <w:rsid w:val="006F35B7"/>
    <w:rsid w:val="006F3F86"/>
    <w:rsid w:val="006F54AB"/>
    <w:rsid w:val="006F59E4"/>
    <w:rsid w:val="006F5A43"/>
    <w:rsid w:val="006F60D8"/>
    <w:rsid w:val="006F6289"/>
    <w:rsid w:val="006F6D95"/>
    <w:rsid w:val="006F7954"/>
    <w:rsid w:val="00700047"/>
    <w:rsid w:val="007003CA"/>
    <w:rsid w:val="0070050A"/>
    <w:rsid w:val="00701D71"/>
    <w:rsid w:val="007022F8"/>
    <w:rsid w:val="007026FF"/>
    <w:rsid w:val="0070293D"/>
    <w:rsid w:val="007032C4"/>
    <w:rsid w:val="00703A4B"/>
    <w:rsid w:val="0070447C"/>
    <w:rsid w:val="00705783"/>
    <w:rsid w:val="00706396"/>
    <w:rsid w:val="007065C0"/>
    <w:rsid w:val="007074FD"/>
    <w:rsid w:val="007077A8"/>
    <w:rsid w:val="00707ECB"/>
    <w:rsid w:val="0071025E"/>
    <w:rsid w:val="00710C83"/>
    <w:rsid w:val="00712B03"/>
    <w:rsid w:val="00712F36"/>
    <w:rsid w:val="00714823"/>
    <w:rsid w:val="00715089"/>
    <w:rsid w:val="007153B4"/>
    <w:rsid w:val="007154AD"/>
    <w:rsid w:val="00715AD0"/>
    <w:rsid w:val="00715CA6"/>
    <w:rsid w:val="007169E1"/>
    <w:rsid w:val="00716AB8"/>
    <w:rsid w:val="00716B54"/>
    <w:rsid w:val="00720B34"/>
    <w:rsid w:val="00720BF0"/>
    <w:rsid w:val="00720E3C"/>
    <w:rsid w:val="0072108B"/>
    <w:rsid w:val="0072151E"/>
    <w:rsid w:val="00722326"/>
    <w:rsid w:val="00724233"/>
    <w:rsid w:val="007249DD"/>
    <w:rsid w:val="00724F8A"/>
    <w:rsid w:val="00725152"/>
    <w:rsid w:val="007257CD"/>
    <w:rsid w:val="00726791"/>
    <w:rsid w:val="00727BC6"/>
    <w:rsid w:val="00731E97"/>
    <w:rsid w:val="007329DC"/>
    <w:rsid w:val="00732F85"/>
    <w:rsid w:val="00732FD4"/>
    <w:rsid w:val="00732FE1"/>
    <w:rsid w:val="007332D0"/>
    <w:rsid w:val="00733824"/>
    <w:rsid w:val="00733D5E"/>
    <w:rsid w:val="007347CA"/>
    <w:rsid w:val="00735841"/>
    <w:rsid w:val="00735A77"/>
    <w:rsid w:val="0073640D"/>
    <w:rsid w:val="00737853"/>
    <w:rsid w:val="00737B38"/>
    <w:rsid w:val="00740438"/>
    <w:rsid w:val="0074061B"/>
    <w:rsid w:val="00740A6B"/>
    <w:rsid w:val="00740A6E"/>
    <w:rsid w:val="00741515"/>
    <w:rsid w:val="007415BF"/>
    <w:rsid w:val="007418A7"/>
    <w:rsid w:val="00741931"/>
    <w:rsid w:val="0074205D"/>
    <w:rsid w:val="00743454"/>
    <w:rsid w:val="00743737"/>
    <w:rsid w:val="007440C7"/>
    <w:rsid w:val="0074411A"/>
    <w:rsid w:val="00745343"/>
    <w:rsid w:val="007453CA"/>
    <w:rsid w:val="0074578C"/>
    <w:rsid w:val="00745851"/>
    <w:rsid w:val="00745852"/>
    <w:rsid w:val="00745A27"/>
    <w:rsid w:val="00745D95"/>
    <w:rsid w:val="007460FA"/>
    <w:rsid w:val="007472E5"/>
    <w:rsid w:val="007477A1"/>
    <w:rsid w:val="00750DB7"/>
    <w:rsid w:val="0075204B"/>
    <w:rsid w:val="007525BF"/>
    <w:rsid w:val="00752622"/>
    <w:rsid w:val="00752857"/>
    <w:rsid w:val="007531B1"/>
    <w:rsid w:val="0075323E"/>
    <w:rsid w:val="00753A11"/>
    <w:rsid w:val="00753CD4"/>
    <w:rsid w:val="00754931"/>
    <w:rsid w:val="00755483"/>
    <w:rsid w:val="00757111"/>
    <w:rsid w:val="007576E4"/>
    <w:rsid w:val="00757C20"/>
    <w:rsid w:val="007603E6"/>
    <w:rsid w:val="0076067E"/>
    <w:rsid w:val="00760B74"/>
    <w:rsid w:val="00760FD9"/>
    <w:rsid w:val="007619B8"/>
    <w:rsid w:val="00762233"/>
    <w:rsid w:val="0076227F"/>
    <w:rsid w:val="0076272C"/>
    <w:rsid w:val="007634B9"/>
    <w:rsid w:val="00763C00"/>
    <w:rsid w:val="0076434B"/>
    <w:rsid w:val="00764A29"/>
    <w:rsid w:val="00764FAB"/>
    <w:rsid w:val="0076509B"/>
    <w:rsid w:val="007656A7"/>
    <w:rsid w:val="0076576D"/>
    <w:rsid w:val="00766054"/>
    <w:rsid w:val="00766F7E"/>
    <w:rsid w:val="00767B0B"/>
    <w:rsid w:val="00770087"/>
    <w:rsid w:val="007704C4"/>
    <w:rsid w:val="00770630"/>
    <w:rsid w:val="0077065E"/>
    <w:rsid w:val="00771428"/>
    <w:rsid w:val="00771E83"/>
    <w:rsid w:val="00772B1D"/>
    <w:rsid w:val="00772E1E"/>
    <w:rsid w:val="007735DA"/>
    <w:rsid w:val="00773B28"/>
    <w:rsid w:val="007745EE"/>
    <w:rsid w:val="0077476B"/>
    <w:rsid w:val="00775B77"/>
    <w:rsid w:val="00775EDD"/>
    <w:rsid w:val="0077602C"/>
    <w:rsid w:val="00776199"/>
    <w:rsid w:val="007763BA"/>
    <w:rsid w:val="00776B44"/>
    <w:rsid w:val="00777232"/>
    <w:rsid w:val="007776F1"/>
    <w:rsid w:val="007777B8"/>
    <w:rsid w:val="00780EEA"/>
    <w:rsid w:val="00780FD5"/>
    <w:rsid w:val="007812BE"/>
    <w:rsid w:val="007817BE"/>
    <w:rsid w:val="007818B2"/>
    <w:rsid w:val="0078265A"/>
    <w:rsid w:val="00782DB9"/>
    <w:rsid w:val="00783C06"/>
    <w:rsid w:val="00784ABF"/>
    <w:rsid w:val="00785038"/>
    <w:rsid w:val="007858A7"/>
    <w:rsid w:val="007865C4"/>
    <w:rsid w:val="00786744"/>
    <w:rsid w:val="00790D88"/>
    <w:rsid w:val="00790E97"/>
    <w:rsid w:val="00790EF1"/>
    <w:rsid w:val="00791D5F"/>
    <w:rsid w:val="00792091"/>
    <w:rsid w:val="00792AC7"/>
    <w:rsid w:val="00792AED"/>
    <w:rsid w:val="00792C7F"/>
    <w:rsid w:val="0079719E"/>
    <w:rsid w:val="0079790F"/>
    <w:rsid w:val="00797E57"/>
    <w:rsid w:val="007A0072"/>
    <w:rsid w:val="007A07FE"/>
    <w:rsid w:val="007A0944"/>
    <w:rsid w:val="007A0A04"/>
    <w:rsid w:val="007A1489"/>
    <w:rsid w:val="007A2819"/>
    <w:rsid w:val="007A5B40"/>
    <w:rsid w:val="007A5C17"/>
    <w:rsid w:val="007A5F57"/>
    <w:rsid w:val="007A6AEC"/>
    <w:rsid w:val="007A7651"/>
    <w:rsid w:val="007B034B"/>
    <w:rsid w:val="007B0DCE"/>
    <w:rsid w:val="007B1006"/>
    <w:rsid w:val="007B16F4"/>
    <w:rsid w:val="007B1C84"/>
    <w:rsid w:val="007B25B1"/>
    <w:rsid w:val="007B28FB"/>
    <w:rsid w:val="007B3086"/>
    <w:rsid w:val="007B5759"/>
    <w:rsid w:val="007B71BC"/>
    <w:rsid w:val="007B7493"/>
    <w:rsid w:val="007C0BC2"/>
    <w:rsid w:val="007C158D"/>
    <w:rsid w:val="007C1FBF"/>
    <w:rsid w:val="007C205F"/>
    <w:rsid w:val="007C2D9A"/>
    <w:rsid w:val="007C3967"/>
    <w:rsid w:val="007C3AE6"/>
    <w:rsid w:val="007C3AE8"/>
    <w:rsid w:val="007C3DC9"/>
    <w:rsid w:val="007C4B00"/>
    <w:rsid w:val="007C5E27"/>
    <w:rsid w:val="007C625B"/>
    <w:rsid w:val="007C6435"/>
    <w:rsid w:val="007C6775"/>
    <w:rsid w:val="007C7690"/>
    <w:rsid w:val="007D0871"/>
    <w:rsid w:val="007D0AC0"/>
    <w:rsid w:val="007D0E63"/>
    <w:rsid w:val="007D1BA4"/>
    <w:rsid w:val="007D1F73"/>
    <w:rsid w:val="007D1FB3"/>
    <w:rsid w:val="007D3019"/>
    <w:rsid w:val="007D32AA"/>
    <w:rsid w:val="007D3D9B"/>
    <w:rsid w:val="007D47B5"/>
    <w:rsid w:val="007D4B3E"/>
    <w:rsid w:val="007D5142"/>
    <w:rsid w:val="007D5377"/>
    <w:rsid w:val="007D5529"/>
    <w:rsid w:val="007D5F98"/>
    <w:rsid w:val="007D6DE7"/>
    <w:rsid w:val="007D701A"/>
    <w:rsid w:val="007D79D3"/>
    <w:rsid w:val="007E0BFA"/>
    <w:rsid w:val="007E0C1D"/>
    <w:rsid w:val="007E12B1"/>
    <w:rsid w:val="007E3514"/>
    <w:rsid w:val="007E4E22"/>
    <w:rsid w:val="007E786F"/>
    <w:rsid w:val="007E7A35"/>
    <w:rsid w:val="007E7C22"/>
    <w:rsid w:val="007E7D06"/>
    <w:rsid w:val="007F053D"/>
    <w:rsid w:val="007F16F8"/>
    <w:rsid w:val="007F174C"/>
    <w:rsid w:val="007F2796"/>
    <w:rsid w:val="007F2C93"/>
    <w:rsid w:val="007F3D90"/>
    <w:rsid w:val="007F4724"/>
    <w:rsid w:val="007F4A9A"/>
    <w:rsid w:val="007F5136"/>
    <w:rsid w:val="007F5974"/>
    <w:rsid w:val="007F5C35"/>
    <w:rsid w:val="007F75D0"/>
    <w:rsid w:val="007F7653"/>
    <w:rsid w:val="00800062"/>
    <w:rsid w:val="00800891"/>
    <w:rsid w:val="00800A97"/>
    <w:rsid w:val="008015A9"/>
    <w:rsid w:val="0080185B"/>
    <w:rsid w:val="00801955"/>
    <w:rsid w:val="00802253"/>
    <w:rsid w:val="008022A3"/>
    <w:rsid w:val="00802F23"/>
    <w:rsid w:val="008036F7"/>
    <w:rsid w:val="00803F85"/>
    <w:rsid w:val="008050FF"/>
    <w:rsid w:val="008052F7"/>
    <w:rsid w:val="00806724"/>
    <w:rsid w:val="008076A2"/>
    <w:rsid w:val="00810AE3"/>
    <w:rsid w:val="00810D23"/>
    <w:rsid w:val="00810EBA"/>
    <w:rsid w:val="00811CCD"/>
    <w:rsid w:val="00812BB8"/>
    <w:rsid w:val="00812EDE"/>
    <w:rsid w:val="00812FC0"/>
    <w:rsid w:val="008132C0"/>
    <w:rsid w:val="0081399B"/>
    <w:rsid w:val="00814267"/>
    <w:rsid w:val="00814954"/>
    <w:rsid w:val="00814AE6"/>
    <w:rsid w:val="00814B3E"/>
    <w:rsid w:val="00814F1F"/>
    <w:rsid w:val="008152FC"/>
    <w:rsid w:val="0081592D"/>
    <w:rsid w:val="00816AA4"/>
    <w:rsid w:val="00816B42"/>
    <w:rsid w:val="00816CF3"/>
    <w:rsid w:val="008173D7"/>
    <w:rsid w:val="00820417"/>
    <w:rsid w:val="008222B8"/>
    <w:rsid w:val="00824543"/>
    <w:rsid w:val="008261B1"/>
    <w:rsid w:val="00826982"/>
    <w:rsid w:val="00826C8A"/>
    <w:rsid w:val="008301B1"/>
    <w:rsid w:val="00830256"/>
    <w:rsid w:val="008304D7"/>
    <w:rsid w:val="00830ABD"/>
    <w:rsid w:val="008315FA"/>
    <w:rsid w:val="008323F3"/>
    <w:rsid w:val="00832506"/>
    <w:rsid w:val="008325D1"/>
    <w:rsid w:val="00832BEA"/>
    <w:rsid w:val="00832D19"/>
    <w:rsid w:val="00833A36"/>
    <w:rsid w:val="00833EDB"/>
    <w:rsid w:val="00833F14"/>
    <w:rsid w:val="00834203"/>
    <w:rsid w:val="008362C3"/>
    <w:rsid w:val="00837DE8"/>
    <w:rsid w:val="008417AF"/>
    <w:rsid w:val="00841ABF"/>
    <w:rsid w:val="00842038"/>
    <w:rsid w:val="008441BD"/>
    <w:rsid w:val="00844688"/>
    <w:rsid w:val="00844FE5"/>
    <w:rsid w:val="00845D28"/>
    <w:rsid w:val="00847330"/>
    <w:rsid w:val="00847582"/>
    <w:rsid w:val="00847E52"/>
    <w:rsid w:val="00847E53"/>
    <w:rsid w:val="00850957"/>
    <w:rsid w:val="00851766"/>
    <w:rsid w:val="00851B83"/>
    <w:rsid w:val="008524A7"/>
    <w:rsid w:val="008528ED"/>
    <w:rsid w:val="008530F9"/>
    <w:rsid w:val="00853AD7"/>
    <w:rsid w:val="0085552B"/>
    <w:rsid w:val="0085575B"/>
    <w:rsid w:val="00855C21"/>
    <w:rsid w:val="00856A6F"/>
    <w:rsid w:val="00857020"/>
    <w:rsid w:val="00857818"/>
    <w:rsid w:val="00857A14"/>
    <w:rsid w:val="00857D4F"/>
    <w:rsid w:val="00857E43"/>
    <w:rsid w:val="008611B7"/>
    <w:rsid w:val="00861F04"/>
    <w:rsid w:val="0086216B"/>
    <w:rsid w:val="00862975"/>
    <w:rsid w:val="008635AD"/>
    <w:rsid w:val="008637F7"/>
    <w:rsid w:val="0086494F"/>
    <w:rsid w:val="00864FBA"/>
    <w:rsid w:val="008652B1"/>
    <w:rsid w:val="008655AF"/>
    <w:rsid w:val="008658D0"/>
    <w:rsid w:val="00866B4D"/>
    <w:rsid w:val="00866C60"/>
    <w:rsid w:val="008674DD"/>
    <w:rsid w:val="0087043C"/>
    <w:rsid w:val="00870B24"/>
    <w:rsid w:val="0087187B"/>
    <w:rsid w:val="00872468"/>
    <w:rsid w:val="00873B6B"/>
    <w:rsid w:val="00873BD5"/>
    <w:rsid w:val="00873DFB"/>
    <w:rsid w:val="0087426F"/>
    <w:rsid w:val="00874902"/>
    <w:rsid w:val="00875DBB"/>
    <w:rsid w:val="00875FB4"/>
    <w:rsid w:val="00876534"/>
    <w:rsid w:val="00877DED"/>
    <w:rsid w:val="008805A7"/>
    <w:rsid w:val="00880845"/>
    <w:rsid w:val="00880ED7"/>
    <w:rsid w:val="00880FAB"/>
    <w:rsid w:val="0088124F"/>
    <w:rsid w:val="008823E4"/>
    <w:rsid w:val="00882A2C"/>
    <w:rsid w:val="0088377A"/>
    <w:rsid w:val="008841BB"/>
    <w:rsid w:val="00884232"/>
    <w:rsid w:val="008844A7"/>
    <w:rsid w:val="00884B20"/>
    <w:rsid w:val="00885698"/>
    <w:rsid w:val="00885B78"/>
    <w:rsid w:val="008871B2"/>
    <w:rsid w:val="008873D7"/>
    <w:rsid w:val="0088741B"/>
    <w:rsid w:val="00887D61"/>
    <w:rsid w:val="00890B99"/>
    <w:rsid w:val="00890D87"/>
    <w:rsid w:val="00891156"/>
    <w:rsid w:val="00891503"/>
    <w:rsid w:val="00891C5D"/>
    <w:rsid w:val="00892994"/>
    <w:rsid w:val="00892E12"/>
    <w:rsid w:val="008934D7"/>
    <w:rsid w:val="0089433A"/>
    <w:rsid w:val="00894E54"/>
    <w:rsid w:val="00895576"/>
    <w:rsid w:val="00896027"/>
    <w:rsid w:val="008A0D41"/>
    <w:rsid w:val="008A1A4D"/>
    <w:rsid w:val="008A25E2"/>
    <w:rsid w:val="008A2A15"/>
    <w:rsid w:val="008A34A4"/>
    <w:rsid w:val="008A379D"/>
    <w:rsid w:val="008A3DA3"/>
    <w:rsid w:val="008A4924"/>
    <w:rsid w:val="008A543E"/>
    <w:rsid w:val="008A54A2"/>
    <w:rsid w:val="008A5A12"/>
    <w:rsid w:val="008A6583"/>
    <w:rsid w:val="008A6B58"/>
    <w:rsid w:val="008A7087"/>
    <w:rsid w:val="008A73DC"/>
    <w:rsid w:val="008B123E"/>
    <w:rsid w:val="008B13F4"/>
    <w:rsid w:val="008B1FC9"/>
    <w:rsid w:val="008B2000"/>
    <w:rsid w:val="008B27D8"/>
    <w:rsid w:val="008B2D35"/>
    <w:rsid w:val="008B3E08"/>
    <w:rsid w:val="008B4535"/>
    <w:rsid w:val="008B5755"/>
    <w:rsid w:val="008B5D3D"/>
    <w:rsid w:val="008B60A4"/>
    <w:rsid w:val="008B61FA"/>
    <w:rsid w:val="008B66B5"/>
    <w:rsid w:val="008B6921"/>
    <w:rsid w:val="008B78CC"/>
    <w:rsid w:val="008B7FF7"/>
    <w:rsid w:val="008C0169"/>
    <w:rsid w:val="008C1987"/>
    <w:rsid w:val="008C1CE4"/>
    <w:rsid w:val="008C2590"/>
    <w:rsid w:val="008C2996"/>
    <w:rsid w:val="008C3226"/>
    <w:rsid w:val="008C3475"/>
    <w:rsid w:val="008C3507"/>
    <w:rsid w:val="008C3F9B"/>
    <w:rsid w:val="008C5104"/>
    <w:rsid w:val="008C5B01"/>
    <w:rsid w:val="008C79EE"/>
    <w:rsid w:val="008C7E79"/>
    <w:rsid w:val="008D0217"/>
    <w:rsid w:val="008D37E4"/>
    <w:rsid w:val="008D38D3"/>
    <w:rsid w:val="008D41BA"/>
    <w:rsid w:val="008D4862"/>
    <w:rsid w:val="008D55FF"/>
    <w:rsid w:val="008D5629"/>
    <w:rsid w:val="008D5F67"/>
    <w:rsid w:val="008D5F70"/>
    <w:rsid w:val="008D61B8"/>
    <w:rsid w:val="008D6212"/>
    <w:rsid w:val="008D714B"/>
    <w:rsid w:val="008D7D6C"/>
    <w:rsid w:val="008E0101"/>
    <w:rsid w:val="008E0379"/>
    <w:rsid w:val="008E16DD"/>
    <w:rsid w:val="008E1EA1"/>
    <w:rsid w:val="008E2780"/>
    <w:rsid w:val="008E28C2"/>
    <w:rsid w:val="008E2BE2"/>
    <w:rsid w:val="008E2E93"/>
    <w:rsid w:val="008E41FB"/>
    <w:rsid w:val="008E5041"/>
    <w:rsid w:val="008E6198"/>
    <w:rsid w:val="008E724B"/>
    <w:rsid w:val="008E725B"/>
    <w:rsid w:val="008E77DB"/>
    <w:rsid w:val="008E78E1"/>
    <w:rsid w:val="008F0AA0"/>
    <w:rsid w:val="008F199D"/>
    <w:rsid w:val="008F1B6E"/>
    <w:rsid w:val="008F2000"/>
    <w:rsid w:val="008F39F7"/>
    <w:rsid w:val="008F3A44"/>
    <w:rsid w:val="008F3FC8"/>
    <w:rsid w:val="008F4B78"/>
    <w:rsid w:val="008F5079"/>
    <w:rsid w:val="008F5430"/>
    <w:rsid w:val="008F6246"/>
    <w:rsid w:val="008F7A23"/>
    <w:rsid w:val="00901D94"/>
    <w:rsid w:val="00901DDE"/>
    <w:rsid w:val="00902CFF"/>
    <w:rsid w:val="009032F5"/>
    <w:rsid w:val="00904158"/>
    <w:rsid w:val="00904396"/>
    <w:rsid w:val="009046DB"/>
    <w:rsid w:val="0090488D"/>
    <w:rsid w:val="00904947"/>
    <w:rsid w:val="009051F7"/>
    <w:rsid w:val="009058F4"/>
    <w:rsid w:val="00905B8C"/>
    <w:rsid w:val="00907F33"/>
    <w:rsid w:val="00910305"/>
    <w:rsid w:val="00910734"/>
    <w:rsid w:val="0091139F"/>
    <w:rsid w:val="009117A3"/>
    <w:rsid w:val="00911E24"/>
    <w:rsid w:val="009123B6"/>
    <w:rsid w:val="00912BE2"/>
    <w:rsid w:val="0091302C"/>
    <w:rsid w:val="009133AD"/>
    <w:rsid w:val="00913448"/>
    <w:rsid w:val="009136C9"/>
    <w:rsid w:val="0091522C"/>
    <w:rsid w:val="00915909"/>
    <w:rsid w:val="00915BA9"/>
    <w:rsid w:val="00917335"/>
    <w:rsid w:val="009174FB"/>
    <w:rsid w:val="00917CC5"/>
    <w:rsid w:val="00921BB5"/>
    <w:rsid w:val="00921D6C"/>
    <w:rsid w:val="0092270C"/>
    <w:rsid w:val="00922ECC"/>
    <w:rsid w:val="009232D1"/>
    <w:rsid w:val="00923585"/>
    <w:rsid w:val="00923D29"/>
    <w:rsid w:val="009257B7"/>
    <w:rsid w:val="00925924"/>
    <w:rsid w:val="00925E7F"/>
    <w:rsid w:val="00926A32"/>
    <w:rsid w:val="009275B6"/>
    <w:rsid w:val="0092766A"/>
    <w:rsid w:val="00927DAC"/>
    <w:rsid w:val="00927EC2"/>
    <w:rsid w:val="009307AE"/>
    <w:rsid w:val="0093187A"/>
    <w:rsid w:val="00932083"/>
    <w:rsid w:val="00932B61"/>
    <w:rsid w:val="00933477"/>
    <w:rsid w:val="00935574"/>
    <w:rsid w:val="0093699B"/>
    <w:rsid w:val="00936D9F"/>
    <w:rsid w:val="00936E32"/>
    <w:rsid w:val="00937CFE"/>
    <w:rsid w:val="0094032C"/>
    <w:rsid w:val="00941BE9"/>
    <w:rsid w:val="0094200F"/>
    <w:rsid w:val="00946880"/>
    <w:rsid w:val="00946881"/>
    <w:rsid w:val="00947351"/>
    <w:rsid w:val="00947B54"/>
    <w:rsid w:val="00947C1C"/>
    <w:rsid w:val="00951BC9"/>
    <w:rsid w:val="00952F33"/>
    <w:rsid w:val="00953C66"/>
    <w:rsid w:val="00953D5C"/>
    <w:rsid w:val="00954C44"/>
    <w:rsid w:val="00954FBC"/>
    <w:rsid w:val="00955335"/>
    <w:rsid w:val="00955C61"/>
    <w:rsid w:val="009563FC"/>
    <w:rsid w:val="00956696"/>
    <w:rsid w:val="00956C2B"/>
    <w:rsid w:val="00956DC1"/>
    <w:rsid w:val="0095751B"/>
    <w:rsid w:val="0095782B"/>
    <w:rsid w:val="00957D5F"/>
    <w:rsid w:val="00960137"/>
    <w:rsid w:val="0096098F"/>
    <w:rsid w:val="009618C7"/>
    <w:rsid w:val="00963981"/>
    <w:rsid w:val="0096460A"/>
    <w:rsid w:val="009653B4"/>
    <w:rsid w:val="009653C4"/>
    <w:rsid w:val="009663CF"/>
    <w:rsid w:val="00966E1D"/>
    <w:rsid w:val="009676E9"/>
    <w:rsid w:val="00967A0A"/>
    <w:rsid w:val="00967F3A"/>
    <w:rsid w:val="00970FF1"/>
    <w:rsid w:val="00971920"/>
    <w:rsid w:val="009721AC"/>
    <w:rsid w:val="00972E17"/>
    <w:rsid w:val="00972F45"/>
    <w:rsid w:val="009733CB"/>
    <w:rsid w:val="00973752"/>
    <w:rsid w:val="00973899"/>
    <w:rsid w:val="009738D4"/>
    <w:rsid w:val="00973ABB"/>
    <w:rsid w:val="00973BD2"/>
    <w:rsid w:val="00973BEB"/>
    <w:rsid w:val="00974819"/>
    <w:rsid w:val="00974F2C"/>
    <w:rsid w:val="00974FBE"/>
    <w:rsid w:val="00975976"/>
    <w:rsid w:val="009759D7"/>
    <w:rsid w:val="00977908"/>
    <w:rsid w:val="0098177F"/>
    <w:rsid w:val="00982FAB"/>
    <w:rsid w:val="00983804"/>
    <w:rsid w:val="00983879"/>
    <w:rsid w:val="00983BDE"/>
    <w:rsid w:val="009841DB"/>
    <w:rsid w:val="00984A7C"/>
    <w:rsid w:val="0098514D"/>
    <w:rsid w:val="00985A9C"/>
    <w:rsid w:val="009861FC"/>
    <w:rsid w:val="00986347"/>
    <w:rsid w:val="0098659C"/>
    <w:rsid w:val="00986A68"/>
    <w:rsid w:val="00986DDA"/>
    <w:rsid w:val="0098796C"/>
    <w:rsid w:val="00987987"/>
    <w:rsid w:val="00987C0A"/>
    <w:rsid w:val="00987D8E"/>
    <w:rsid w:val="009913CB"/>
    <w:rsid w:val="0099247E"/>
    <w:rsid w:val="00992E7F"/>
    <w:rsid w:val="00993C96"/>
    <w:rsid w:val="009942F9"/>
    <w:rsid w:val="009944D7"/>
    <w:rsid w:val="009961B4"/>
    <w:rsid w:val="009978C4"/>
    <w:rsid w:val="009A0CB8"/>
    <w:rsid w:val="009A1344"/>
    <w:rsid w:val="009A1BD4"/>
    <w:rsid w:val="009A1F23"/>
    <w:rsid w:val="009A2663"/>
    <w:rsid w:val="009A3123"/>
    <w:rsid w:val="009A47A2"/>
    <w:rsid w:val="009A5000"/>
    <w:rsid w:val="009A53FA"/>
    <w:rsid w:val="009A5523"/>
    <w:rsid w:val="009A56E3"/>
    <w:rsid w:val="009A5CE0"/>
    <w:rsid w:val="009A634F"/>
    <w:rsid w:val="009A7155"/>
    <w:rsid w:val="009A754D"/>
    <w:rsid w:val="009A775D"/>
    <w:rsid w:val="009A7BE1"/>
    <w:rsid w:val="009B0162"/>
    <w:rsid w:val="009B10F6"/>
    <w:rsid w:val="009B1FAB"/>
    <w:rsid w:val="009B2186"/>
    <w:rsid w:val="009B2773"/>
    <w:rsid w:val="009B3645"/>
    <w:rsid w:val="009B4478"/>
    <w:rsid w:val="009B480C"/>
    <w:rsid w:val="009B4E80"/>
    <w:rsid w:val="009B5497"/>
    <w:rsid w:val="009B6865"/>
    <w:rsid w:val="009B7B76"/>
    <w:rsid w:val="009B7C62"/>
    <w:rsid w:val="009C1DC7"/>
    <w:rsid w:val="009C2515"/>
    <w:rsid w:val="009C2E2D"/>
    <w:rsid w:val="009C2EEB"/>
    <w:rsid w:val="009C31F8"/>
    <w:rsid w:val="009C388E"/>
    <w:rsid w:val="009C45F9"/>
    <w:rsid w:val="009C4859"/>
    <w:rsid w:val="009C4B72"/>
    <w:rsid w:val="009C5763"/>
    <w:rsid w:val="009C6688"/>
    <w:rsid w:val="009D024A"/>
    <w:rsid w:val="009D0682"/>
    <w:rsid w:val="009D12A5"/>
    <w:rsid w:val="009D13F0"/>
    <w:rsid w:val="009D25C1"/>
    <w:rsid w:val="009D338C"/>
    <w:rsid w:val="009D3C79"/>
    <w:rsid w:val="009D40E3"/>
    <w:rsid w:val="009D4867"/>
    <w:rsid w:val="009D50C5"/>
    <w:rsid w:val="009D6B0D"/>
    <w:rsid w:val="009D71E5"/>
    <w:rsid w:val="009D7C34"/>
    <w:rsid w:val="009D7E77"/>
    <w:rsid w:val="009E0BB8"/>
    <w:rsid w:val="009E10C7"/>
    <w:rsid w:val="009E1C57"/>
    <w:rsid w:val="009E2600"/>
    <w:rsid w:val="009E3281"/>
    <w:rsid w:val="009E3BCD"/>
    <w:rsid w:val="009E475C"/>
    <w:rsid w:val="009E6703"/>
    <w:rsid w:val="009E68BD"/>
    <w:rsid w:val="009E6B92"/>
    <w:rsid w:val="009E7262"/>
    <w:rsid w:val="009E7633"/>
    <w:rsid w:val="009E7BCF"/>
    <w:rsid w:val="009F0264"/>
    <w:rsid w:val="009F03BB"/>
    <w:rsid w:val="009F142E"/>
    <w:rsid w:val="009F203C"/>
    <w:rsid w:val="009F2868"/>
    <w:rsid w:val="009F2D7B"/>
    <w:rsid w:val="009F33F3"/>
    <w:rsid w:val="009F39CD"/>
    <w:rsid w:val="009F3C21"/>
    <w:rsid w:val="009F4394"/>
    <w:rsid w:val="009F548F"/>
    <w:rsid w:val="009F62BA"/>
    <w:rsid w:val="009F63E1"/>
    <w:rsid w:val="009F7A6D"/>
    <w:rsid w:val="009F7CAC"/>
    <w:rsid w:val="00A00430"/>
    <w:rsid w:val="00A004CF"/>
    <w:rsid w:val="00A00C94"/>
    <w:rsid w:val="00A01999"/>
    <w:rsid w:val="00A01A2C"/>
    <w:rsid w:val="00A02B41"/>
    <w:rsid w:val="00A05B7A"/>
    <w:rsid w:val="00A0631D"/>
    <w:rsid w:val="00A066B2"/>
    <w:rsid w:val="00A06812"/>
    <w:rsid w:val="00A07032"/>
    <w:rsid w:val="00A07A61"/>
    <w:rsid w:val="00A10891"/>
    <w:rsid w:val="00A10AD2"/>
    <w:rsid w:val="00A10CBA"/>
    <w:rsid w:val="00A11229"/>
    <w:rsid w:val="00A11824"/>
    <w:rsid w:val="00A119B4"/>
    <w:rsid w:val="00A12D94"/>
    <w:rsid w:val="00A12F03"/>
    <w:rsid w:val="00A1378D"/>
    <w:rsid w:val="00A138FA"/>
    <w:rsid w:val="00A13CF2"/>
    <w:rsid w:val="00A13E30"/>
    <w:rsid w:val="00A13FF9"/>
    <w:rsid w:val="00A14044"/>
    <w:rsid w:val="00A14285"/>
    <w:rsid w:val="00A14334"/>
    <w:rsid w:val="00A14B0A"/>
    <w:rsid w:val="00A16828"/>
    <w:rsid w:val="00A168E9"/>
    <w:rsid w:val="00A16AF1"/>
    <w:rsid w:val="00A1709B"/>
    <w:rsid w:val="00A2034C"/>
    <w:rsid w:val="00A219D9"/>
    <w:rsid w:val="00A21E7F"/>
    <w:rsid w:val="00A2264F"/>
    <w:rsid w:val="00A2294D"/>
    <w:rsid w:val="00A22AE4"/>
    <w:rsid w:val="00A233CD"/>
    <w:rsid w:val="00A233FA"/>
    <w:rsid w:val="00A2346D"/>
    <w:rsid w:val="00A25872"/>
    <w:rsid w:val="00A2699B"/>
    <w:rsid w:val="00A26DAE"/>
    <w:rsid w:val="00A26F8C"/>
    <w:rsid w:val="00A27360"/>
    <w:rsid w:val="00A2748C"/>
    <w:rsid w:val="00A2781F"/>
    <w:rsid w:val="00A27865"/>
    <w:rsid w:val="00A27C4B"/>
    <w:rsid w:val="00A3063D"/>
    <w:rsid w:val="00A3222B"/>
    <w:rsid w:val="00A32B43"/>
    <w:rsid w:val="00A32F8A"/>
    <w:rsid w:val="00A3317D"/>
    <w:rsid w:val="00A33E2A"/>
    <w:rsid w:val="00A3488F"/>
    <w:rsid w:val="00A34C1F"/>
    <w:rsid w:val="00A3515A"/>
    <w:rsid w:val="00A35554"/>
    <w:rsid w:val="00A35A5E"/>
    <w:rsid w:val="00A35FEA"/>
    <w:rsid w:val="00A366B5"/>
    <w:rsid w:val="00A36DC5"/>
    <w:rsid w:val="00A36EAA"/>
    <w:rsid w:val="00A37589"/>
    <w:rsid w:val="00A37F32"/>
    <w:rsid w:val="00A405F2"/>
    <w:rsid w:val="00A4149C"/>
    <w:rsid w:val="00A4156B"/>
    <w:rsid w:val="00A4168E"/>
    <w:rsid w:val="00A41C56"/>
    <w:rsid w:val="00A41DA8"/>
    <w:rsid w:val="00A43298"/>
    <w:rsid w:val="00A4440B"/>
    <w:rsid w:val="00A447B2"/>
    <w:rsid w:val="00A44F9D"/>
    <w:rsid w:val="00A45118"/>
    <w:rsid w:val="00A46896"/>
    <w:rsid w:val="00A468AE"/>
    <w:rsid w:val="00A46D8E"/>
    <w:rsid w:val="00A47A88"/>
    <w:rsid w:val="00A47DAE"/>
    <w:rsid w:val="00A47E51"/>
    <w:rsid w:val="00A501E2"/>
    <w:rsid w:val="00A50905"/>
    <w:rsid w:val="00A50CEF"/>
    <w:rsid w:val="00A50DF7"/>
    <w:rsid w:val="00A50E64"/>
    <w:rsid w:val="00A5140B"/>
    <w:rsid w:val="00A52305"/>
    <w:rsid w:val="00A52C17"/>
    <w:rsid w:val="00A532AC"/>
    <w:rsid w:val="00A53433"/>
    <w:rsid w:val="00A5391D"/>
    <w:rsid w:val="00A53AA1"/>
    <w:rsid w:val="00A546DC"/>
    <w:rsid w:val="00A5535F"/>
    <w:rsid w:val="00A5595E"/>
    <w:rsid w:val="00A55B79"/>
    <w:rsid w:val="00A55DF0"/>
    <w:rsid w:val="00A55FE6"/>
    <w:rsid w:val="00A574A4"/>
    <w:rsid w:val="00A575C3"/>
    <w:rsid w:val="00A617F5"/>
    <w:rsid w:val="00A61E57"/>
    <w:rsid w:val="00A6284F"/>
    <w:rsid w:val="00A628E7"/>
    <w:rsid w:val="00A64332"/>
    <w:rsid w:val="00A65875"/>
    <w:rsid w:val="00A659AC"/>
    <w:rsid w:val="00A66241"/>
    <w:rsid w:val="00A66566"/>
    <w:rsid w:val="00A669D4"/>
    <w:rsid w:val="00A66E64"/>
    <w:rsid w:val="00A67803"/>
    <w:rsid w:val="00A704D7"/>
    <w:rsid w:val="00A71782"/>
    <w:rsid w:val="00A71F32"/>
    <w:rsid w:val="00A72070"/>
    <w:rsid w:val="00A7350C"/>
    <w:rsid w:val="00A74DED"/>
    <w:rsid w:val="00A74F89"/>
    <w:rsid w:val="00A75454"/>
    <w:rsid w:val="00A76B33"/>
    <w:rsid w:val="00A76C0B"/>
    <w:rsid w:val="00A77E6A"/>
    <w:rsid w:val="00A77EFF"/>
    <w:rsid w:val="00A81BC7"/>
    <w:rsid w:val="00A82339"/>
    <w:rsid w:val="00A82448"/>
    <w:rsid w:val="00A82BBE"/>
    <w:rsid w:val="00A838F2"/>
    <w:rsid w:val="00A83CBF"/>
    <w:rsid w:val="00A857E2"/>
    <w:rsid w:val="00A863F2"/>
    <w:rsid w:val="00A8644E"/>
    <w:rsid w:val="00A869D8"/>
    <w:rsid w:val="00A86E86"/>
    <w:rsid w:val="00A8792F"/>
    <w:rsid w:val="00A9049E"/>
    <w:rsid w:val="00A904E9"/>
    <w:rsid w:val="00A9115A"/>
    <w:rsid w:val="00A92568"/>
    <w:rsid w:val="00A93158"/>
    <w:rsid w:val="00A93ECE"/>
    <w:rsid w:val="00A94020"/>
    <w:rsid w:val="00A944E3"/>
    <w:rsid w:val="00A951BD"/>
    <w:rsid w:val="00A9627B"/>
    <w:rsid w:val="00A963B0"/>
    <w:rsid w:val="00A963C0"/>
    <w:rsid w:val="00A964D6"/>
    <w:rsid w:val="00A96980"/>
    <w:rsid w:val="00A96AED"/>
    <w:rsid w:val="00A96D2E"/>
    <w:rsid w:val="00AA0076"/>
    <w:rsid w:val="00AA0DDA"/>
    <w:rsid w:val="00AA16B3"/>
    <w:rsid w:val="00AA1AB3"/>
    <w:rsid w:val="00AA1FD1"/>
    <w:rsid w:val="00AA242D"/>
    <w:rsid w:val="00AA2AEE"/>
    <w:rsid w:val="00AA3127"/>
    <w:rsid w:val="00AA432B"/>
    <w:rsid w:val="00AA43E9"/>
    <w:rsid w:val="00AA4670"/>
    <w:rsid w:val="00AA496E"/>
    <w:rsid w:val="00AA4A2C"/>
    <w:rsid w:val="00AA554A"/>
    <w:rsid w:val="00AA5D7C"/>
    <w:rsid w:val="00AA638D"/>
    <w:rsid w:val="00AA66DC"/>
    <w:rsid w:val="00AB066D"/>
    <w:rsid w:val="00AB0B74"/>
    <w:rsid w:val="00AB130D"/>
    <w:rsid w:val="00AB158D"/>
    <w:rsid w:val="00AB24AB"/>
    <w:rsid w:val="00AB278A"/>
    <w:rsid w:val="00AB2BB6"/>
    <w:rsid w:val="00AB3046"/>
    <w:rsid w:val="00AB38A1"/>
    <w:rsid w:val="00AB45BE"/>
    <w:rsid w:val="00AB4DA1"/>
    <w:rsid w:val="00AB6120"/>
    <w:rsid w:val="00AB690C"/>
    <w:rsid w:val="00AB6A66"/>
    <w:rsid w:val="00AB769D"/>
    <w:rsid w:val="00AC08B8"/>
    <w:rsid w:val="00AC1609"/>
    <w:rsid w:val="00AC1CF5"/>
    <w:rsid w:val="00AC2697"/>
    <w:rsid w:val="00AC321B"/>
    <w:rsid w:val="00AC3C8A"/>
    <w:rsid w:val="00AC3DA5"/>
    <w:rsid w:val="00AC4192"/>
    <w:rsid w:val="00AC441F"/>
    <w:rsid w:val="00AC4758"/>
    <w:rsid w:val="00AC4DE5"/>
    <w:rsid w:val="00AC4DEE"/>
    <w:rsid w:val="00AC51EB"/>
    <w:rsid w:val="00AC650A"/>
    <w:rsid w:val="00AC6548"/>
    <w:rsid w:val="00AC6E7A"/>
    <w:rsid w:val="00AC71FA"/>
    <w:rsid w:val="00AC775D"/>
    <w:rsid w:val="00AC7A56"/>
    <w:rsid w:val="00AC7B7A"/>
    <w:rsid w:val="00AD038F"/>
    <w:rsid w:val="00AD0F01"/>
    <w:rsid w:val="00AD110A"/>
    <w:rsid w:val="00AD13EE"/>
    <w:rsid w:val="00AD1ABE"/>
    <w:rsid w:val="00AD30C8"/>
    <w:rsid w:val="00AD3EB1"/>
    <w:rsid w:val="00AD426B"/>
    <w:rsid w:val="00AD486D"/>
    <w:rsid w:val="00AD4DC6"/>
    <w:rsid w:val="00AD4E77"/>
    <w:rsid w:val="00AD58D8"/>
    <w:rsid w:val="00AD5E69"/>
    <w:rsid w:val="00AD6F93"/>
    <w:rsid w:val="00AD786D"/>
    <w:rsid w:val="00AE00DB"/>
    <w:rsid w:val="00AE00FE"/>
    <w:rsid w:val="00AE0530"/>
    <w:rsid w:val="00AE1531"/>
    <w:rsid w:val="00AE1EB6"/>
    <w:rsid w:val="00AE2B7B"/>
    <w:rsid w:val="00AE33E4"/>
    <w:rsid w:val="00AE37EC"/>
    <w:rsid w:val="00AE42A8"/>
    <w:rsid w:val="00AE4E53"/>
    <w:rsid w:val="00AE5596"/>
    <w:rsid w:val="00AE5A55"/>
    <w:rsid w:val="00AE5DD1"/>
    <w:rsid w:val="00AE6023"/>
    <w:rsid w:val="00AE6163"/>
    <w:rsid w:val="00AE6C4D"/>
    <w:rsid w:val="00AE702A"/>
    <w:rsid w:val="00AE766D"/>
    <w:rsid w:val="00AE7C6C"/>
    <w:rsid w:val="00AE7F72"/>
    <w:rsid w:val="00AF03B5"/>
    <w:rsid w:val="00AF0A36"/>
    <w:rsid w:val="00AF0C9B"/>
    <w:rsid w:val="00AF0CF3"/>
    <w:rsid w:val="00AF31F1"/>
    <w:rsid w:val="00AF3712"/>
    <w:rsid w:val="00AF38C7"/>
    <w:rsid w:val="00AF3B3E"/>
    <w:rsid w:val="00AF45BD"/>
    <w:rsid w:val="00AF498B"/>
    <w:rsid w:val="00AF5701"/>
    <w:rsid w:val="00AF5CF2"/>
    <w:rsid w:val="00AF64C0"/>
    <w:rsid w:val="00AF686B"/>
    <w:rsid w:val="00AF6BD9"/>
    <w:rsid w:val="00AF768B"/>
    <w:rsid w:val="00AF7E3C"/>
    <w:rsid w:val="00AF7FAD"/>
    <w:rsid w:val="00B00909"/>
    <w:rsid w:val="00B01122"/>
    <w:rsid w:val="00B0115B"/>
    <w:rsid w:val="00B01359"/>
    <w:rsid w:val="00B01FCD"/>
    <w:rsid w:val="00B02259"/>
    <w:rsid w:val="00B026AD"/>
    <w:rsid w:val="00B02C5A"/>
    <w:rsid w:val="00B039ED"/>
    <w:rsid w:val="00B040C2"/>
    <w:rsid w:val="00B04966"/>
    <w:rsid w:val="00B04A83"/>
    <w:rsid w:val="00B0521F"/>
    <w:rsid w:val="00B0573D"/>
    <w:rsid w:val="00B05B2D"/>
    <w:rsid w:val="00B06583"/>
    <w:rsid w:val="00B074A0"/>
    <w:rsid w:val="00B07D39"/>
    <w:rsid w:val="00B1023D"/>
    <w:rsid w:val="00B11620"/>
    <w:rsid w:val="00B11DBA"/>
    <w:rsid w:val="00B1316D"/>
    <w:rsid w:val="00B13282"/>
    <w:rsid w:val="00B15E7C"/>
    <w:rsid w:val="00B16520"/>
    <w:rsid w:val="00B16899"/>
    <w:rsid w:val="00B17C05"/>
    <w:rsid w:val="00B17C2D"/>
    <w:rsid w:val="00B20273"/>
    <w:rsid w:val="00B20439"/>
    <w:rsid w:val="00B2063D"/>
    <w:rsid w:val="00B218A5"/>
    <w:rsid w:val="00B21E3A"/>
    <w:rsid w:val="00B21F9A"/>
    <w:rsid w:val="00B223D7"/>
    <w:rsid w:val="00B22EE1"/>
    <w:rsid w:val="00B22F98"/>
    <w:rsid w:val="00B24127"/>
    <w:rsid w:val="00B2454D"/>
    <w:rsid w:val="00B2483C"/>
    <w:rsid w:val="00B25AA4"/>
    <w:rsid w:val="00B2638E"/>
    <w:rsid w:val="00B26538"/>
    <w:rsid w:val="00B267EA"/>
    <w:rsid w:val="00B26928"/>
    <w:rsid w:val="00B27012"/>
    <w:rsid w:val="00B27B23"/>
    <w:rsid w:val="00B311BB"/>
    <w:rsid w:val="00B3159C"/>
    <w:rsid w:val="00B33FBE"/>
    <w:rsid w:val="00B34833"/>
    <w:rsid w:val="00B352DC"/>
    <w:rsid w:val="00B36370"/>
    <w:rsid w:val="00B3700E"/>
    <w:rsid w:val="00B375D5"/>
    <w:rsid w:val="00B376A9"/>
    <w:rsid w:val="00B3775E"/>
    <w:rsid w:val="00B37C4B"/>
    <w:rsid w:val="00B37FCD"/>
    <w:rsid w:val="00B4018E"/>
    <w:rsid w:val="00B4028E"/>
    <w:rsid w:val="00B416A8"/>
    <w:rsid w:val="00B42098"/>
    <w:rsid w:val="00B422CE"/>
    <w:rsid w:val="00B42E55"/>
    <w:rsid w:val="00B43D9E"/>
    <w:rsid w:val="00B44A84"/>
    <w:rsid w:val="00B44DD8"/>
    <w:rsid w:val="00B4542B"/>
    <w:rsid w:val="00B46708"/>
    <w:rsid w:val="00B50239"/>
    <w:rsid w:val="00B50DCB"/>
    <w:rsid w:val="00B5194B"/>
    <w:rsid w:val="00B51A50"/>
    <w:rsid w:val="00B5219D"/>
    <w:rsid w:val="00B531AA"/>
    <w:rsid w:val="00B5393C"/>
    <w:rsid w:val="00B53C5C"/>
    <w:rsid w:val="00B54C11"/>
    <w:rsid w:val="00B54D66"/>
    <w:rsid w:val="00B55307"/>
    <w:rsid w:val="00B5561B"/>
    <w:rsid w:val="00B55BB9"/>
    <w:rsid w:val="00B55F80"/>
    <w:rsid w:val="00B563DA"/>
    <w:rsid w:val="00B57348"/>
    <w:rsid w:val="00B5793A"/>
    <w:rsid w:val="00B57B59"/>
    <w:rsid w:val="00B61776"/>
    <w:rsid w:val="00B62DF4"/>
    <w:rsid w:val="00B64AD3"/>
    <w:rsid w:val="00B650E2"/>
    <w:rsid w:val="00B65153"/>
    <w:rsid w:val="00B6651E"/>
    <w:rsid w:val="00B66A20"/>
    <w:rsid w:val="00B66EA4"/>
    <w:rsid w:val="00B6797A"/>
    <w:rsid w:val="00B67A71"/>
    <w:rsid w:val="00B67C64"/>
    <w:rsid w:val="00B67CCE"/>
    <w:rsid w:val="00B742F0"/>
    <w:rsid w:val="00B769E9"/>
    <w:rsid w:val="00B76B12"/>
    <w:rsid w:val="00B80BA6"/>
    <w:rsid w:val="00B80E54"/>
    <w:rsid w:val="00B80FB1"/>
    <w:rsid w:val="00B815D4"/>
    <w:rsid w:val="00B81A12"/>
    <w:rsid w:val="00B81CB6"/>
    <w:rsid w:val="00B81DDE"/>
    <w:rsid w:val="00B822C0"/>
    <w:rsid w:val="00B8255F"/>
    <w:rsid w:val="00B82B42"/>
    <w:rsid w:val="00B831EE"/>
    <w:rsid w:val="00B833AC"/>
    <w:rsid w:val="00B84541"/>
    <w:rsid w:val="00B845A8"/>
    <w:rsid w:val="00B84F08"/>
    <w:rsid w:val="00B86141"/>
    <w:rsid w:val="00B87CDF"/>
    <w:rsid w:val="00B908E3"/>
    <w:rsid w:val="00B90ACA"/>
    <w:rsid w:val="00B9101F"/>
    <w:rsid w:val="00B91F26"/>
    <w:rsid w:val="00B92462"/>
    <w:rsid w:val="00B9372B"/>
    <w:rsid w:val="00B94AE9"/>
    <w:rsid w:val="00B94C14"/>
    <w:rsid w:val="00B95477"/>
    <w:rsid w:val="00B95B49"/>
    <w:rsid w:val="00B95C52"/>
    <w:rsid w:val="00B96AA7"/>
    <w:rsid w:val="00B96D37"/>
    <w:rsid w:val="00B97577"/>
    <w:rsid w:val="00BA049F"/>
    <w:rsid w:val="00BA1412"/>
    <w:rsid w:val="00BA2684"/>
    <w:rsid w:val="00BA29CC"/>
    <w:rsid w:val="00BA3F0D"/>
    <w:rsid w:val="00BA43CA"/>
    <w:rsid w:val="00BA723A"/>
    <w:rsid w:val="00BA73E7"/>
    <w:rsid w:val="00BA7506"/>
    <w:rsid w:val="00BA7613"/>
    <w:rsid w:val="00BB011D"/>
    <w:rsid w:val="00BB10B3"/>
    <w:rsid w:val="00BB1D66"/>
    <w:rsid w:val="00BB24A1"/>
    <w:rsid w:val="00BB40E3"/>
    <w:rsid w:val="00BB44BE"/>
    <w:rsid w:val="00BB4BD5"/>
    <w:rsid w:val="00BB6A5D"/>
    <w:rsid w:val="00BB6C60"/>
    <w:rsid w:val="00BB6E06"/>
    <w:rsid w:val="00BB727A"/>
    <w:rsid w:val="00BB7360"/>
    <w:rsid w:val="00BB7F40"/>
    <w:rsid w:val="00BC0338"/>
    <w:rsid w:val="00BC03DD"/>
    <w:rsid w:val="00BC054A"/>
    <w:rsid w:val="00BC0BCA"/>
    <w:rsid w:val="00BC125C"/>
    <w:rsid w:val="00BC156E"/>
    <w:rsid w:val="00BC1C06"/>
    <w:rsid w:val="00BC383F"/>
    <w:rsid w:val="00BC4317"/>
    <w:rsid w:val="00BC438D"/>
    <w:rsid w:val="00BC6120"/>
    <w:rsid w:val="00BC6345"/>
    <w:rsid w:val="00BD06D7"/>
    <w:rsid w:val="00BD10B5"/>
    <w:rsid w:val="00BD10DA"/>
    <w:rsid w:val="00BD19E2"/>
    <w:rsid w:val="00BD233D"/>
    <w:rsid w:val="00BD3031"/>
    <w:rsid w:val="00BD3772"/>
    <w:rsid w:val="00BD48E9"/>
    <w:rsid w:val="00BD4C7C"/>
    <w:rsid w:val="00BD6B85"/>
    <w:rsid w:val="00BD759A"/>
    <w:rsid w:val="00BD7CC8"/>
    <w:rsid w:val="00BD7F1A"/>
    <w:rsid w:val="00BE01C9"/>
    <w:rsid w:val="00BE0B3C"/>
    <w:rsid w:val="00BE11B6"/>
    <w:rsid w:val="00BE136C"/>
    <w:rsid w:val="00BE197B"/>
    <w:rsid w:val="00BE1B01"/>
    <w:rsid w:val="00BE2C2E"/>
    <w:rsid w:val="00BE2EAC"/>
    <w:rsid w:val="00BE3142"/>
    <w:rsid w:val="00BE3301"/>
    <w:rsid w:val="00BE571E"/>
    <w:rsid w:val="00BE6092"/>
    <w:rsid w:val="00BE778F"/>
    <w:rsid w:val="00BF224E"/>
    <w:rsid w:val="00BF48B2"/>
    <w:rsid w:val="00BF697E"/>
    <w:rsid w:val="00BF74CF"/>
    <w:rsid w:val="00C01872"/>
    <w:rsid w:val="00C01952"/>
    <w:rsid w:val="00C01A52"/>
    <w:rsid w:val="00C01EFD"/>
    <w:rsid w:val="00C02747"/>
    <w:rsid w:val="00C02A98"/>
    <w:rsid w:val="00C02B09"/>
    <w:rsid w:val="00C02FC6"/>
    <w:rsid w:val="00C03D95"/>
    <w:rsid w:val="00C04382"/>
    <w:rsid w:val="00C0477D"/>
    <w:rsid w:val="00C04A7E"/>
    <w:rsid w:val="00C0502C"/>
    <w:rsid w:val="00C050FD"/>
    <w:rsid w:val="00C058EB"/>
    <w:rsid w:val="00C05D80"/>
    <w:rsid w:val="00C07D1F"/>
    <w:rsid w:val="00C07FF1"/>
    <w:rsid w:val="00C10A45"/>
    <w:rsid w:val="00C1115D"/>
    <w:rsid w:val="00C11245"/>
    <w:rsid w:val="00C11D9F"/>
    <w:rsid w:val="00C12262"/>
    <w:rsid w:val="00C1227B"/>
    <w:rsid w:val="00C1234C"/>
    <w:rsid w:val="00C12EE1"/>
    <w:rsid w:val="00C12F80"/>
    <w:rsid w:val="00C132EA"/>
    <w:rsid w:val="00C14E8D"/>
    <w:rsid w:val="00C153E4"/>
    <w:rsid w:val="00C16EEB"/>
    <w:rsid w:val="00C1706D"/>
    <w:rsid w:val="00C20228"/>
    <w:rsid w:val="00C20F1F"/>
    <w:rsid w:val="00C215CF"/>
    <w:rsid w:val="00C2255C"/>
    <w:rsid w:val="00C22690"/>
    <w:rsid w:val="00C22DE9"/>
    <w:rsid w:val="00C23DEE"/>
    <w:rsid w:val="00C26BA9"/>
    <w:rsid w:val="00C27DC2"/>
    <w:rsid w:val="00C30E33"/>
    <w:rsid w:val="00C322D6"/>
    <w:rsid w:val="00C3334D"/>
    <w:rsid w:val="00C33870"/>
    <w:rsid w:val="00C34705"/>
    <w:rsid w:val="00C35B90"/>
    <w:rsid w:val="00C35C17"/>
    <w:rsid w:val="00C36150"/>
    <w:rsid w:val="00C363A0"/>
    <w:rsid w:val="00C36EDA"/>
    <w:rsid w:val="00C36F13"/>
    <w:rsid w:val="00C40597"/>
    <w:rsid w:val="00C405C5"/>
    <w:rsid w:val="00C40AD8"/>
    <w:rsid w:val="00C411E8"/>
    <w:rsid w:val="00C416AE"/>
    <w:rsid w:val="00C41A17"/>
    <w:rsid w:val="00C42189"/>
    <w:rsid w:val="00C425F0"/>
    <w:rsid w:val="00C427DC"/>
    <w:rsid w:val="00C42989"/>
    <w:rsid w:val="00C42F55"/>
    <w:rsid w:val="00C4333E"/>
    <w:rsid w:val="00C43C66"/>
    <w:rsid w:val="00C43C84"/>
    <w:rsid w:val="00C43DB8"/>
    <w:rsid w:val="00C43DEB"/>
    <w:rsid w:val="00C44B73"/>
    <w:rsid w:val="00C45F4D"/>
    <w:rsid w:val="00C469CE"/>
    <w:rsid w:val="00C4765B"/>
    <w:rsid w:val="00C476E8"/>
    <w:rsid w:val="00C47A26"/>
    <w:rsid w:val="00C47A9D"/>
    <w:rsid w:val="00C47D06"/>
    <w:rsid w:val="00C50C63"/>
    <w:rsid w:val="00C50E5E"/>
    <w:rsid w:val="00C51026"/>
    <w:rsid w:val="00C52231"/>
    <w:rsid w:val="00C52BB8"/>
    <w:rsid w:val="00C54508"/>
    <w:rsid w:val="00C5454B"/>
    <w:rsid w:val="00C54927"/>
    <w:rsid w:val="00C549F0"/>
    <w:rsid w:val="00C552D9"/>
    <w:rsid w:val="00C5531B"/>
    <w:rsid w:val="00C5600A"/>
    <w:rsid w:val="00C5603A"/>
    <w:rsid w:val="00C5632E"/>
    <w:rsid w:val="00C56A02"/>
    <w:rsid w:val="00C56C34"/>
    <w:rsid w:val="00C57701"/>
    <w:rsid w:val="00C578BB"/>
    <w:rsid w:val="00C60B69"/>
    <w:rsid w:val="00C60F4B"/>
    <w:rsid w:val="00C61B40"/>
    <w:rsid w:val="00C62DB2"/>
    <w:rsid w:val="00C64411"/>
    <w:rsid w:val="00C64AEE"/>
    <w:rsid w:val="00C64CFE"/>
    <w:rsid w:val="00C64EA0"/>
    <w:rsid w:val="00C6540B"/>
    <w:rsid w:val="00C65425"/>
    <w:rsid w:val="00C66135"/>
    <w:rsid w:val="00C66FE8"/>
    <w:rsid w:val="00C67FF2"/>
    <w:rsid w:val="00C700F5"/>
    <w:rsid w:val="00C71420"/>
    <w:rsid w:val="00C71C62"/>
    <w:rsid w:val="00C72C45"/>
    <w:rsid w:val="00C72E54"/>
    <w:rsid w:val="00C74570"/>
    <w:rsid w:val="00C74DE0"/>
    <w:rsid w:val="00C75A66"/>
    <w:rsid w:val="00C80018"/>
    <w:rsid w:val="00C81CAB"/>
    <w:rsid w:val="00C820F5"/>
    <w:rsid w:val="00C820F7"/>
    <w:rsid w:val="00C824DE"/>
    <w:rsid w:val="00C830CE"/>
    <w:rsid w:val="00C83B06"/>
    <w:rsid w:val="00C84276"/>
    <w:rsid w:val="00C8434E"/>
    <w:rsid w:val="00C858E5"/>
    <w:rsid w:val="00C85A9A"/>
    <w:rsid w:val="00C85F54"/>
    <w:rsid w:val="00C861ED"/>
    <w:rsid w:val="00C8668B"/>
    <w:rsid w:val="00C874A1"/>
    <w:rsid w:val="00C87E92"/>
    <w:rsid w:val="00C905D3"/>
    <w:rsid w:val="00C9075A"/>
    <w:rsid w:val="00C907E1"/>
    <w:rsid w:val="00C9132E"/>
    <w:rsid w:val="00C922D2"/>
    <w:rsid w:val="00C92338"/>
    <w:rsid w:val="00C9282F"/>
    <w:rsid w:val="00C92FD9"/>
    <w:rsid w:val="00C9301F"/>
    <w:rsid w:val="00C952ED"/>
    <w:rsid w:val="00C95FDD"/>
    <w:rsid w:val="00C96764"/>
    <w:rsid w:val="00CA0CFF"/>
    <w:rsid w:val="00CA0D95"/>
    <w:rsid w:val="00CA2206"/>
    <w:rsid w:val="00CA2565"/>
    <w:rsid w:val="00CA2BEB"/>
    <w:rsid w:val="00CA3010"/>
    <w:rsid w:val="00CA3344"/>
    <w:rsid w:val="00CA5F76"/>
    <w:rsid w:val="00CA748F"/>
    <w:rsid w:val="00CA7684"/>
    <w:rsid w:val="00CA77E6"/>
    <w:rsid w:val="00CA7E20"/>
    <w:rsid w:val="00CA7FDE"/>
    <w:rsid w:val="00CB25ED"/>
    <w:rsid w:val="00CB3F90"/>
    <w:rsid w:val="00CB410F"/>
    <w:rsid w:val="00CB42C4"/>
    <w:rsid w:val="00CB55DC"/>
    <w:rsid w:val="00CB5B59"/>
    <w:rsid w:val="00CB7223"/>
    <w:rsid w:val="00CB7744"/>
    <w:rsid w:val="00CB79EB"/>
    <w:rsid w:val="00CC067A"/>
    <w:rsid w:val="00CC0885"/>
    <w:rsid w:val="00CC16D4"/>
    <w:rsid w:val="00CC17AD"/>
    <w:rsid w:val="00CC1A63"/>
    <w:rsid w:val="00CC1DA5"/>
    <w:rsid w:val="00CC1ED7"/>
    <w:rsid w:val="00CC3476"/>
    <w:rsid w:val="00CC5182"/>
    <w:rsid w:val="00CC54B6"/>
    <w:rsid w:val="00CC5C5F"/>
    <w:rsid w:val="00CC6150"/>
    <w:rsid w:val="00CC6176"/>
    <w:rsid w:val="00CC638A"/>
    <w:rsid w:val="00CC715A"/>
    <w:rsid w:val="00CD0285"/>
    <w:rsid w:val="00CD04A7"/>
    <w:rsid w:val="00CD0E1A"/>
    <w:rsid w:val="00CD4682"/>
    <w:rsid w:val="00CD6B92"/>
    <w:rsid w:val="00CE0A72"/>
    <w:rsid w:val="00CE0C1D"/>
    <w:rsid w:val="00CE0CD6"/>
    <w:rsid w:val="00CE1011"/>
    <w:rsid w:val="00CE190D"/>
    <w:rsid w:val="00CE2F4B"/>
    <w:rsid w:val="00CE3539"/>
    <w:rsid w:val="00CE36D7"/>
    <w:rsid w:val="00CE3A65"/>
    <w:rsid w:val="00CE3F29"/>
    <w:rsid w:val="00CE544D"/>
    <w:rsid w:val="00CE56E5"/>
    <w:rsid w:val="00CE5CFC"/>
    <w:rsid w:val="00CE6756"/>
    <w:rsid w:val="00CE74E6"/>
    <w:rsid w:val="00CE7F2B"/>
    <w:rsid w:val="00CF0067"/>
    <w:rsid w:val="00CF02AE"/>
    <w:rsid w:val="00CF0873"/>
    <w:rsid w:val="00CF0E49"/>
    <w:rsid w:val="00CF1CA7"/>
    <w:rsid w:val="00CF216D"/>
    <w:rsid w:val="00CF2C86"/>
    <w:rsid w:val="00CF3D4A"/>
    <w:rsid w:val="00CF3E5D"/>
    <w:rsid w:val="00CF4B13"/>
    <w:rsid w:val="00CF5D7F"/>
    <w:rsid w:val="00CF6614"/>
    <w:rsid w:val="00D003DD"/>
    <w:rsid w:val="00D00543"/>
    <w:rsid w:val="00D013D7"/>
    <w:rsid w:val="00D01B2A"/>
    <w:rsid w:val="00D0288C"/>
    <w:rsid w:val="00D02A39"/>
    <w:rsid w:val="00D02BFE"/>
    <w:rsid w:val="00D048AE"/>
    <w:rsid w:val="00D05316"/>
    <w:rsid w:val="00D05FFE"/>
    <w:rsid w:val="00D06247"/>
    <w:rsid w:val="00D065CA"/>
    <w:rsid w:val="00D06E2E"/>
    <w:rsid w:val="00D07EEE"/>
    <w:rsid w:val="00D12273"/>
    <w:rsid w:val="00D12855"/>
    <w:rsid w:val="00D13CF2"/>
    <w:rsid w:val="00D14291"/>
    <w:rsid w:val="00D146E7"/>
    <w:rsid w:val="00D14735"/>
    <w:rsid w:val="00D1494B"/>
    <w:rsid w:val="00D14A5A"/>
    <w:rsid w:val="00D14D4E"/>
    <w:rsid w:val="00D167EF"/>
    <w:rsid w:val="00D17A9A"/>
    <w:rsid w:val="00D208BC"/>
    <w:rsid w:val="00D22011"/>
    <w:rsid w:val="00D221E2"/>
    <w:rsid w:val="00D222D9"/>
    <w:rsid w:val="00D22FE6"/>
    <w:rsid w:val="00D2354D"/>
    <w:rsid w:val="00D23ADD"/>
    <w:rsid w:val="00D23C98"/>
    <w:rsid w:val="00D24997"/>
    <w:rsid w:val="00D267F4"/>
    <w:rsid w:val="00D2686F"/>
    <w:rsid w:val="00D275AB"/>
    <w:rsid w:val="00D305FE"/>
    <w:rsid w:val="00D30B34"/>
    <w:rsid w:val="00D30F69"/>
    <w:rsid w:val="00D314E1"/>
    <w:rsid w:val="00D316C9"/>
    <w:rsid w:val="00D31A31"/>
    <w:rsid w:val="00D31F72"/>
    <w:rsid w:val="00D326C6"/>
    <w:rsid w:val="00D33346"/>
    <w:rsid w:val="00D3410D"/>
    <w:rsid w:val="00D34111"/>
    <w:rsid w:val="00D35483"/>
    <w:rsid w:val="00D355CB"/>
    <w:rsid w:val="00D3578A"/>
    <w:rsid w:val="00D36115"/>
    <w:rsid w:val="00D4088C"/>
    <w:rsid w:val="00D4102A"/>
    <w:rsid w:val="00D41BAB"/>
    <w:rsid w:val="00D42541"/>
    <w:rsid w:val="00D42A6E"/>
    <w:rsid w:val="00D430E9"/>
    <w:rsid w:val="00D4433A"/>
    <w:rsid w:val="00D443AA"/>
    <w:rsid w:val="00D45767"/>
    <w:rsid w:val="00D45EC3"/>
    <w:rsid w:val="00D46B94"/>
    <w:rsid w:val="00D479D5"/>
    <w:rsid w:val="00D50482"/>
    <w:rsid w:val="00D50BE6"/>
    <w:rsid w:val="00D5222B"/>
    <w:rsid w:val="00D52958"/>
    <w:rsid w:val="00D5379D"/>
    <w:rsid w:val="00D55903"/>
    <w:rsid w:val="00D55979"/>
    <w:rsid w:val="00D5634A"/>
    <w:rsid w:val="00D56763"/>
    <w:rsid w:val="00D56BB3"/>
    <w:rsid w:val="00D56F98"/>
    <w:rsid w:val="00D57AAD"/>
    <w:rsid w:val="00D600FF"/>
    <w:rsid w:val="00D607BA"/>
    <w:rsid w:val="00D60C85"/>
    <w:rsid w:val="00D60D3F"/>
    <w:rsid w:val="00D61479"/>
    <w:rsid w:val="00D617D0"/>
    <w:rsid w:val="00D62BEF"/>
    <w:rsid w:val="00D62DA1"/>
    <w:rsid w:val="00D64341"/>
    <w:rsid w:val="00D655D2"/>
    <w:rsid w:val="00D65744"/>
    <w:rsid w:val="00D66126"/>
    <w:rsid w:val="00D67B9E"/>
    <w:rsid w:val="00D67C9C"/>
    <w:rsid w:val="00D7149F"/>
    <w:rsid w:val="00D716A1"/>
    <w:rsid w:val="00D72EDA"/>
    <w:rsid w:val="00D73631"/>
    <w:rsid w:val="00D748C6"/>
    <w:rsid w:val="00D74C96"/>
    <w:rsid w:val="00D74F4E"/>
    <w:rsid w:val="00D76D39"/>
    <w:rsid w:val="00D7779A"/>
    <w:rsid w:val="00D779AB"/>
    <w:rsid w:val="00D804B8"/>
    <w:rsid w:val="00D80725"/>
    <w:rsid w:val="00D811F1"/>
    <w:rsid w:val="00D814F7"/>
    <w:rsid w:val="00D81D75"/>
    <w:rsid w:val="00D8308C"/>
    <w:rsid w:val="00D84FCD"/>
    <w:rsid w:val="00D85149"/>
    <w:rsid w:val="00D852B2"/>
    <w:rsid w:val="00D856C3"/>
    <w:rsid w:val="00D85B50"/>
    <w:rsid w:val="00D8607C"/>
    <w:rsid w:val="00D864DA"/>
    <w:rsid w:val="00D86ECC"/>
    <w:rsid w:val="00D874D1"/>
    <w:rsid w:val="00D87F39"/>
    <w:rsid w:val="00D9059E"/>
    <w:rsid w:val="00D9062D"/>
    <w:rsid w:val="00D90F6F"/>
    <w:rsid w:val="00D91AAB"/>
    <w:rsid w:val="00D92457"/>
    <w:rsid w:val="00D927E6"/>
    <w:rsid w:val="00D93529"/>
    <w:rsid w:val="00D94BFC"/>
    <w:rsid w:val="00D95082"/>
    <w:rsid w:val="00D95776"/>
    <w:rsid w:val="00D97021"/>
    <w:rsid w:val="00D97A23"/>
    <w:rsid w:val="00D97EB0"/>
    <w:rsid w:val="00D97FEA"/>
    <w:rsid w:val="00DA0FAD"/>
    <w:rsid w:val="00DA19B4"/>
    <w:rsid w:val="00DA1D44"/>
    <w:rsid w:val="00DA1DFB"/>
    <w:rsid w:val="00DA1E33"/>
    <w:rsid w:val="00DA24A0"/>
    <w:rsid w:val="00DA31CA"/>
    <w:rsid w:val="00DA3C82"/>
    <w:rsid w:val="00DA4057"/>
    <w:rsid w:val="00DA421D"/>
    <w:rsid w:val="00DA5067"/>
    <w:rsid w:val="00DA6215"/>
    <w:rsid w:val="00DA669C"/>
    <w:rsid w:val="00DA6E55"/>
    <w:rsid w:val="00DA7BDE"/>
    <w:rsid w:val="00DB0EDA"/>
    <w:rsid w:val="00DB12B4"/>
    <w:rsid w:val="00DB1959"/>
    <w:rsid w:val="00DB1CB9"/>
    <w:rsid w:val="00DB1DD2"/>
    <w:rsid w:val="00DB23B1"/>
    <w:rsid w:val="00DB2BB5"/>
    <w:rsid w:val="00DB3017"/>
    <w:rsid w:val="00DB3D4A"/>
    <w:rsid w:val="00DB3E94"/>
    <w:rsid w:val="00DB521F"/>
    <w:rsid w:val="00DB5793"/>
    <w:rsid w:val="00DB6E87"/>
    <w:rsid w:val="00DB7A6D"/>
    <w:rsid w:val="00DB7D62"/>
    <w:rsid w:val="00DC02CD"/>
    <w:rsid w:val="00DC0B36"/>
    <w:rsid w:val="00DC32AE"/>
    <w:rsid w:val="00DC3A9A"/>
    <w:rsid w:val="00DC3C0F"/>
    <w:rsid w:val="00DC3C3E"/>
    <w:rsid w:val="00DC3E11"/>
    <w:rsid w:val="00DC46CF"/>
    <w:rsid w:val="00DC54E0"/>
    <w:rsid w:val="00DC5824"/>
    <w:rsid w:val="00DC5C61"/>
    <w:rsid w:val="00DC66B7"/>
    <w:rsid w:val="00DC6B32"/>
    <w:rsid w:val="00DC6D12"/>
    <w:rsid w:val="00DC7F34"/>
    <w:rsid w:val="00DC7F61"/>
    <w:rsid w:val="00DD0169"/>
    <w:rsid w:val="00DD0589"/>
    <w:rsid w:val="00DD071D"/>
    <w:rsid w:val="00DD0A69"/>
    <w:rsid w:val="00DD1123"/>
    <w:rsid w:val="00DD136B"/>
    <w:rsid w:val="00DD1CFF"/>
    <w:rsid w:val="00DD2750"/>
    <w:rsid w:val="00DD3C9A"/>
    <w:rsid w:val="00DD3FB8"/>
    <w:rsid w:val="00DD4604"/>
    <w:rsid w:val="00DD59E6"/>
    <w:rsid w:val="00DD5A51"/>
    <w:rsid w:val="00DD6FA8"/>
    <w:rsid w:val="00DD6FAF"/>
    <w:rsid w:val="00DD770D"/>
    <w:rsid w:val="00DE07DE"/>
    <w:rsid w:val="00DE17EC"/>
    <w:rsid w:val="00DE1A24"/>
    <w:rsid w:val="00DE1D05"/>
    <w:rsid w:val="00DE2112"/>
    <w:rsid w:val="00DE24DE"/>
    <w:rsid w:val="00DE269E"/>
    <w:rsid w:val="00DE2B6B"/>
    <w:rsid w:val="00DE310B"/>
    <w:rsid w:val="00DE3252"/>
    <w:rsid w:val="00DE3800"/>
    <w:rsid w:val="00DE555F"/>
    <w:rsid w:val="00DE5692"/>
    <w:rsid w:val="00DE63E3"/>
    <w:rsid w:val="00DE648A"/>
    <w:rsid w:val="00DE74B1"/>
    <w:rsid w:val="00DE75C6"/>
    <w:rsid w:val="00DE75C8"/>
    <w:rsid w:val="00DE78AA"/>
    <w:rsid w:val="00DE7A12"/>
    <w:rsid w:val="00DE7D38"/>
    <w:rsid w:val="00DF079F"/>
    <w:rsid w:val="00DF0BE4"/>
    <w:rsid w:val="00DF18A8"/>
    <w:rsid w:val="00DF29E0"/>
    <w:rsid w:val="00DF592B"/>
    <w:rsid w:val="00DF66E2"/>
    <w:rsid w:val="00DF6BBE"/>
    <w:rsid w:val="00DF7682"/>
    <w:rsid w:val="00DF78B0"/>
    <w:rsid w:val="00DF7C53"/>
    <w:rsid w:val="00DF7E33"/>
    <w:rsid w:val="00E00F63"/>
    <w:rsid w:val="00E00FE1"/>
    <w:rsid w:val="00E023E1"/>
    <w:rsid w:val="00E03417"/>
    <w:rsid w:val="00E03CA3"/>
    <w:rsid w:val="00E0443F"/>
    <w:rsid w:val="00E04972"/>
    <w:rsid w:val="00E04FF5"/>
    <w:rsid w:val="00E05337"/>
    <w:rsid w:val="00E05E17"/>
    <w:rsid w:val="00E07775"/>
    <w:rsid w:val="00E0777E"/>
    <w:rsid w:val="00E07B58"/>
    <w:rsid w:val="00E07F27"/>
    <w:rsid w:val="00E10C1C"/>
    <w:rsid w:val="00E10D12"/>
    <w:rsid w:val="00E11738"/>
    <w:rsid w:val="00E1324C"/>
    <w:rsid w:val="00E135FC"/>
    <w:rsid w:val="00E136FB"/>
    <w:rsid w:val="00E14009"/>
    <w:rsid w:val="00E15336"/>
    <w:rsid w:val="00E15B17"/>
    <w:rsid w:val="00E15B46"/>
    <w:rsid w:val="00E15F1D"/>
    <w:rsid w:val="00E163A1"/>
    <w:rsid w:val="00E16CA0"/>
    <w:rsid w:val="00E171B0"/>
    <w:rsid w:val="00E1796A"/>
    <w:rsid w:val="00E211A4"/>
    <w:rsid w:val="00E21852"/>
    <w:rsid w:val="00E21F4F"/>
    <w:rsid w:val="00E2223F"/>
    <w:rsid w:val="00E226B8"/>
    <w:rsid w:val="00E22847"/>
    <w:rsid w:val="00E228C6"/>
    <w:rsid w:val="00E2407A"/>
    <w:rsid w:val="00E24191"/>
    <w:rsid w:val="00E2466A"/>
    <w:rsid w:val="00E24693"/>
    <w:rsid w:val="00E2493D"/>
    <w:rsid w:val="00E24C37"/>
    <w:rsid w:val="00E255BA"/>
    <w:rsid w:val="00E2565B"/>
    <w:rsid w:val="00E25A7C"/>
    <w:rsid w:val="00E2788A"/>
    <w:rsid w:val="00E27E1C"/>
    <w:rsid w:val="00E314E9"/>
    <w:rsid w:val="00E326D7"/>
    <w:rsid w:val="00E3284B"/>
    <w:rsid w:val="00E328B4"/>
    <w:rsid w:val="00E32F40"/>
    <w:rsid w:val="00E330FE"/>
    <w:rsid w:val="00E332FC"/>
    <w:rsid w:val="00E3479C"/>
    <w:rsid w:val="00E34FFD"/>
    <w:rsid w:val="00E3548E"/>
    <w:rsid w:val="00E355BB"/>
    <w:rsid w:val="00E35622"/>
    <w:rsid w:val="00E35A62"/>
    <w:rsid w:val="00E3628F"/>
    <w:rsid w:val="00E36702"/>
    <w:rsid w:val="00E36F7F"/>
    <w:rsid w:val="00E37CFB"/>
    <w:rsid w:val="00E4028A"/>
    <w:rsid w:val="00E409FD"/>
    <w:rsid w:val="00E41CEB"/>
    <w:rsid w:val="00E4241B"/>
    <w:rsid w:val="00E42D8B"/>
    <w:rsid w:val="00E4313A"/>
    <w:rsid w:val="00E4388D"/>
    <w:rsid w:val="00E4453A"/>
    <w:rsid w:val="00E44F61"/>
    <w:rsid w:val="00E45953"/>
    <w:rsid w:val="00E4645A"/>
    <w:rsid w:val="00E46AC3"/>
    <w:rsid w:val="00E46D29"/>
    <w:rsid w:val="00E4736D"/>
    <w:rsid w:val="00E47B24"/>
    <w:rsid w:val="00E50EC7"/>
    <w:rsid w:val="00E5155E"/>
    <w:rsid w:val="00E518A7"/>
    <w:rsid w:val="00E52C5C"/>
    <w:rsid w:val="00E535BE"/>
    <w:rsid w:val="00E53977"/>
    <w:rsid w:val="00E53D7F"/>
    <w:rsid w:val="00E54C5F"/>
    <w:rsid w:val="00E5694F"/>
    <w:rsid w:val="00E569B9"/>
    <w:rsid w:val="00E57DCF"/>
    <w:rsid w:val="00E57EE0"/>
    <w:rsid w:val="00E608A7"/>
    <w:rsid w:val="00E60B84"/>
    <w:rsid w:val="00E60E99"/>
    <w:rsid w:val="00E61C62"/>
    <w:rsid w:val="00E61D29"/>
    <w:rsid w:val="00E621A1"/>
    <w:rsid w:val="00E62A42"/>
    <w:rsid w:val="00E63865"/>
    <w:rsid w:val="00E63B0F"/>
    <w:rsid w:val="00E6503E"/>
    <w:rsid w:val="00E66623"/>
    <w:rsid w:val="00E66916"/>
    <w:rsid w:val="00E67833"/>
    <w:rsid w:val="00E67976"/>
    <w:rsid w:val="00E67FE3"/>
    <w:rsid w:val="00E7133C"/>
    <w:rsid w:val="00E714D5"/>
    <w:rsid w:val="00E71A15"/>
    <w:rsid w:val="00E71BDB"/>
    <w:rsid w:val="00E72903"/>
    <w:rsid w:val="00E741B2"/>
    <w:rsid w:val="00E7426E"/>
    <w:rsid w:val="00E74842"/>
    <w:rsid w:val="00E74C8B"/>
    <w:rsid w:val="00E74F4F"/>
    <w:rsid w:val="00E75154"/>
    <w:rsid w:val="00E753CB"/>
    <w:rsid w:val="00E75DC2"/>
    <w:rsid w:val="00E76174"/>
    <w:rsid w:val="00E7641C"/>
    <w:rsid w:val="00E76A63"/>
    <w:rsid w:val="00E7745B"/>
    <w:rsid w:val="00E779AF"/>
    <w:rsid w:val="00E81046"/>
    <w:rsid w:val="00E812A6"/>
    <w:rsid w:val="00E819EA"/>
    <w:rsid w:val="00E82FE2"/>
    <w:rsid w:val="00E83064"/>
    <w:rsid w:val="00E831E6"/>
    <w:rsid w:val="00E83322"/>
    <w:rsid w:val="00E84DD1"/>
    <w:rsid w:val="00E85A52"/>
    <w:rsid w:val="00E8646B"/>
    <w:rsid w:val="00E87332"/>
    <w:rsid w:val="00E87687"/>
    <w:rsid w:val="00E90727"/>
    <w:rsid w:val="00E9155C"/>
    <w:rsid w:val="00E91BBF"/>
    <w:rsid w:val="00E91FFF"/>
    <w:rsid w:val="00E921AF"/>
    <w:rsid w:val="00E92C57"/>
    <w:rsid w:val="00E930E0"/>
    <w:rsid w:val="00E9412A"/>
    <w:rsid w:val="00E942B8"/>
    <w:rsid w:val="00E9465D"/>
    <w:rsid w:val="00E958F5"/>
    <w:rsid w:val="00E9654A"/>
    <w:rsid w:val="00E97EEA"/>
    <w:rsid w:val="00EA0394"/>
    <w:rsid w:val="00EA10B7"/>
    <w:rsid w:val="00EA1351"/>
    <w:rsid w:val="00EA204D"/>
    <w:rsid w:val="00EA2CE7"/>
    <w:rsid w:val="00EA3A2C"/>
    <w:rsid w:val="00EA3B12"/>
    <w:rsid w:val="00EA3FA6"/>
    <w:rsid w:val="00EA43DF"/>
    <w:rsid w:val="00EA46F9"/>
    <w:rsid w:val="00EA4B95"/>
    <w:rsid w:val="00EA4C4D"/>
    <w:rsid w:val="00EA6172"/>
    <w:rsid w:val="00EA6FD7"/>
    <w:rsid w:val="00EA7072"/>
    <w:rsid w:val="00EA7252"/>
    <w:rsid w:val="00EA74C2"/>
    <w:rsid w:val="00EA77D0"/>
    <w:rsid w:val="00EA784D"/>
    <w:rsid w:val="00EB06C1"/>
    <w:rsid w:val="00EB07E1"/>
    <w:rsid w:val="00EB0849"/>
    <w:rsid w:val="00EB0C90"/>
    <w:rsid w:val="00EB1665"/>
    <w:rsid w:val="00EB2642"/>
    <w:rsid w:val="00EB463D"/>
    <w:rsid w:val="00EB4B2C"/>
    <w:rsid w:val="00EB5109"/>
    <w:rsid w:val="00EB5809"/>
    <w:rsid w:val="00EB5BC6"/>
    <w:rsid w:val="00EB624D"/>
    <w:rsid w:val="00EB69D3"/>
    <w:rsid w:val="00EB716C"/>
    <w:rsid w:val="00EC0374"/>
    <w:rsid w:val="00EC0BD7"/>
    <w:rsid w:val="00EC1972"/>
    <w:rsid w:val="00EC1DD9"/>
    <w:rsid w:val="00EC3726"/>
    <w:rsid w:val="00EC3E12"/>
    <w:rsid w:val="00EC46C4"/>
    <w:rsid w:val="00EC4D68"/>
    <w:rsid w:val="00EC4F05"/>
    <w:rsid w:val="00EC50FF"/>
    <w:rsid w:val="00EC5231"/>
    <w:rsid w:val="00EC5A18"/>
    <w:rsid w:val="00EC6A86"/>
    <w:rsid w:val="00EC6FFC"/>
    <w:rsid w:val="00EC76E1"/>
    <w:rsid w:val="00ED0318"/>
    <w:rsid w:val="00ED0DBB"/>
    <w:rsid w:val="00ED1596"/>
    <w:rsid w:val="00ED1A6C"/>
    <w:rsid w:val="00ED1EF6"/>
    <w:rsid w:val="00ED2847"/>
    <w:rsid w:val="00ED2C7C"/>
    <w:rsid w:val="00ED3376"/>
    <w:rsid w:val="00ED366A"/>
    <w:rsid w:val="00ED4341"/>
    <w:rsid w:val="00ED4C7D"/>
    <w:rsid w:val="00ED5143"/>
    <w:rsid w:val="00ED61C3"/>
    <w:rsid w:val="00ED6682"/>
    <w:rsid w:val="00ED722B"/>
    <w:rsid w:val="00ED74F0"/>
    <w:rsid w:val="00ED75E9"/>
    <w:rsid w:val="00ED7721"/>
    <w:rsid w:val="00ED7B6A"/>
    <w:rsid w:val="00EE0708"/>
    <w:rsid w:val="00EE13F5"/>
    <w:rsid w:val="00EE16CE"/>
    <w:rsid w:val="00EE1A55"/>
    <w:rsid w:val="00EE372C"/>
    <w:rsid w:val="00EE3B4B"/>
    <w:rsid w:val="00EE3D1D"/>
    <w:rsid w:val="00EE42C6"/>
    <w:rsid w:val="00EE4598"/>
    <w:rsid w:val="00EE463A"/>
    <w:rsid w:val="00EE47CF"/>
    <w:rsid w:val="00EE5128"/>
    <w:rsid w:val="00EE5352"/>
    <w:rsid w:val="00EE6A50"/>
    <w:rsid w:val="00EF0436"/>
    <w:rsid w:val="00EF05B5"/>
    <w:rsid w:val="00EF0762"/>
    <w:rsid w:val="00EF07DC"/>
    <w:rsid w:val="00EF0865"/>
    <w:rsid w:val="00EF1265"/>
    <w:rsid w:val="00EF12D3"/>
    <w:rsid w:val="00EF1488"/>
    <w:rsid w:val="00EF1C03"/>
    <w:rsid w:val="00EF35D3"/>
    <w:rsid w:val="00EF3FBF"/>
    <w:rsid w:val="00EF41AD"/>
    <w:rsid w:val="00EF4B9A"/>
    <w:rsid w:val="00EF4C3D"/>
    <w:rsid w:val="00EF4F58"/>
    <w:rsid w:val="00EF4FEE"/>
    <w:rsid w:val="00EF5E03"/>
    <w:rsid w:val="00EF74C5"/>
    <w:rsid w:val="00EF7F7F"/>
    <w:rsid w:val="00F00076"/>
    <w:rsid w:val="00F00417"/>
    <w:rsid w:val="00F00B2C"/>
    <w:rsid w:val="00F012C1"/>
    <w:rsid w:val="00F01D8F"/>
    <w:rsid w:val="00F02B78"/>
    <w:rsid w:val="00F03916"/>
    <w:rsid w:val="00F03C42"/>
    <w:rsid w:val="00F03F86"/>
    <w:rsid w:val="00F03FB2"/>
    <w:rsid w:val="00F06A69"/>
    <w:rsid w:val="00F06DB0"/>
    <w:rsid w:val="00F074F6"/>
    <w:rsid w:val="00F076F7"/>
    <w:rsid w:val="00F07BAA"/>
    <w:rsid w:val="00F07F30"/>
    <w:rsid w:val="00F10015"/>
    <w:rsid w:val="00F10148"/>
    <w:rsid w:val="00F1032D"/>
    <w:rsid w:val="00F114F9"/>
    <w:rsid w:val="00F12B75"/>
    <w:rsid w:val="00F12CF4"/>
    <w:rsid w:val="00F1321C"/>
    <w:rsid w:val="00F144CE"/>
    <w:rsid w:val="00F1527E"/>
    <w:rsid w:val="00F15AC4"/>
    <w:rsid w:val="00F15CAD"/>
    <w:rsid w:val="00F16E7A"/>
    <w:rsid w:val="00F17687"/>
    <w:rsid w:val="00F221F2"/>
    <w:rsid w:val="00F22728"/>
    <w:rsid w:val="00F23A52"/>
    <w:rsid w:val="00F2537D"/>
    <w:rsid w:val="00F25645"/>
    <w:rsid w:val="00F25EE7"/>
    <w:rsid w:val="00F26601"/>
    <w:rsid w:val="00F2672B"/>
    <w:rsid w:val="00F26F08"/>
    <w:rsid w:val="00F27746"/>
    <w:rsid w:val="00F27831"/>
    <w:rsid w:val="00F31055"/>
    <w:rsid w:val="00F33476"/>
    <w:rsid w:val="00F335C2"/>
    <w:rsid w:val="00F338F4"/>
    <w:rsid w:val="00F33EAF"/>
    <w:rsid w:val="00F3417E"/>
    <w:rsid w:val="00F342A1"/>
    <w:rsid w:val="00F349A5"/>
    <w:rsid w:val="00F34AF6"/>
    <w:rsid w:val="00F35A4E"/>
    <w:rsid w:val="00F35E61"/>
    <w:rsid w:val="00F365A4"/>
    <w:rsid w:val="00F36EFF"/>
    <w:rsid w:val="00F371D4"/>
    <w:rsid w:val="00F40D0D"/>
    <w:rsid w:val="00F411AC"/>
    <w:rsid w:val="00F42313"/>
    <w:rsid w:val="00F42437"/>
    <w:rsid w:val="00F42446"/>
    <w:rsid w:val="00F42848"/>
    <w:rsid w:val="00F429B4"/>
    <w:rsid w:val="00F43476"/>
    <w:rsid w:val="00F43DDF"/>
    <w:rsid w:val="00F44E55"/>
    <w:rsid w:val="00F45232"/>
    <w:rsid w:val="00F466D8"/>
    <w:rsid w:val="00F46726"/>
    <w:rsid w:val="00F46731"/>
    <w:rsid w:val="00F4675A"/>
    <w:rsid w:val="00F4686B"/>
    <w:rsid w:val="00F468C2"/>
    <w:rsid w:val="00F46B0F"/>
    <w:rsid w:val="00F46ED2"/>
    <w:rsid w:val="00F4735B"/>
    <w:rsid w:val="00F47949"/>
    <w:rsid w:val="00F47F93"/>
    <w:rsid w:val="00F47FAE"/>
    <w:rsid w:val="00F510E2"/>
    <w:rsid w:val="00F539D6"/>
    <w:rsid w:val="00F53C1B"/>
    <w:rsid w:val="00F53FB2"/>
    <w:rsid w:val="00F548AA"/>
    <w:rsid w:val="00F548F7"/>
    <w:rsid w:val="00F5497E"/>
    <w:rsid w:val="00F54C08"/>
    <w:rsid w:val="00F55240"/>
    <w:rsid w:val="00F553C1"/>
    <w:rsid w:val="00F55D4D"/>
    <w:rsid w:val="00F564EC"/>
    <w:rsid w:val="00F56C9E"/>
    <w:rsid w:val="00F56CB9"/>
    <w:rsid w:val="00F56D1E"/>
    <w:rsid w:val="00F573EF"/>
    <w:rsid w:val="00F60063"/>
    <w:rsid w:val="00F601F9"/>
    <w:rsid w:val="00F602B7"/>
    <w:rsid w:val="00F60641"/>
    <w:rsid w:val="00F60EF4"/>
    <w:rsid w:val="00F61076"/>
    <w:rsid w:val="00F610D9"/>
    <w:rsid w:val="00F61418"/>
    <w:rsid w:val="00F615C9"/>
    <w:rsid w:val="00F623FB"/>
    <w:rsid w:val="00F62EB5"/>
    <w:rsid w:val="00F63473"/>
    <w:rsid w:val="00F63B12"/>
    <w:rsid w:val="00F63CDD"/>
    <w:rsid w:val="00F64146"/>
    <w:rsid w:val="00F64A50"/>
    <w:rsid w:val="00F64B56"/>
    <w:rsid w:val="00F64D00"/>
    <w:rsid w:val="00F653D6"/>
    <w:rsid w:val="00F6555B"/>
    <w:rsid w:val="00F65784"/>
    <w:rsid w:val="00F65897"/>
    <w:rsid w:val="00F65AD1"/>
    <w:rsid w:val="00F65B43"/>
    <w:rsid w:val="00F668FA"/>
    <w:rsid w:val="00F66EF6"/>
    <w:rsid w:val="00F6719C"/>
    <w:rsid w:val="00F67929"/>
    <w:rsid w:val="00F67ADA"/>
    <w:rsid w:val="00F705CD"/>
    <w:rsid w:val="00F70C01"/>
    <w:rsid w:val="00F713DF"/>
    <w:rsid w:val="00F714CB"/>
    <w:rsid w:val="00F72153"/>
    <w:rsid w:val="00F725CA"/>
    <w:rsid w:val="00F726A9"/>
    <w:rsid w:val="00F72D94"/>
    <w:rsid w:val="00F74586"/>
    <w:rsid w:val="00F74937"/>
    <w:rsid w:val="00F74AB7"/>
    <w:rsid w:val="00F75E29"/>
    <w:rsid w:val="00F75EA8"/>
    <w:rsid w:val="00F769E9"/>
    <w:rsid w:val="00F76BC5"/>
    <w:rsid w:val="00F773F9"/>
    <w:rsid w:val="00F774D9"/>
    <w:rsid w:val="00F779E8"/>
    <w:rsid w:val="00F809C6"/>
    <w:rsid w:val="00F80C62"/>
    <w:rsid w:val="00F82958"/>
    <w:rsid w:val="00F8431F"/>
    <w:rsid w:val="00F852E2"/>
    <w:rsid w:val="00F85B9C"/>
    <w:rsid w:val="00F86B0E"/>
    <w:rsid w:val="00F86C73"/>
    <w:rsid w:val="00F86D77"/>
    <w:rsid w:val="00F87A8D"/>
    <w:rsid w:val="00F87E5B"/>
    <w:rsid w:val="00F87E8A"/>
    <w:rsid w:val="00F9007E"/>
    <w:rsid w:val="00F90332"/>
    <w:rsid w:val="00F908C6"/>
    <w:rsid w:val="00F9222C"/>
    <w:rsid w:val="00F92D24"/>
    <w:rsid w:val="00F932D1"/>
    <w:rsid w:val="00F936C1"/>
    <w:rsid w:val="00F93B9F"/>
    <w:rsid w:val="00F94E96"/>
    <w:rsid w:val="00F94F20"/>
    <w:rsid w:val="00F969DB"/>
    <w:rsid w:val="00F97FFD"/>
    <w:rsid w:val="00FA0372"/>
    <w:rsid w:val="00FA0AF4"/>
    <w:rsid w:val="00FA0BFF"/>
    <w:rsid w:val="00FA163A"/>
    <w:rsid w:val="00FA433F"/>
    <w:rsid w:val="00FA4638"/>
    <w:rsid w:val="00FA4B7C"/>
    <w:rsid w:val="00FA5C6D"/>
    <w:rsid w:val="00FA7951"/>
    <w:rsid w:val="00FA7B59"/>
    <w:rsid w:val="00FB0413"/>
    <w:rsid w:val="00FB0FBD"/>
    <w:rsid w:val="00FB1DA3"/>
    <w:rsid w:val="00FB2B19"/>
    <w:rsid w:val="00FB362D"/>
    <w:rsid w:val="00FB5064"/>
    <w:rsid w:val="00FB52E4"/>
    <w:rsid w:val="00FB599C"/>
    <w:rsid w:val="00FB5BBD"/>
    <w:rsid w:val="00FB5F0C"/>
    <w:rsid w:val="00FB7AE0"/>
    <w:rsid w:val="00FC0A29"/>
    <w:rsid w:val="00FC15FD"/>
    <w:rsid w:val="00FC2577"/>
    <w:rsid w:val="00FC26B9"/>
    <w:rsid w:val="00FC35DE"/>
    <w:rsid w:val="00FC3A24"/>
    <w:rsid w:val="00FC44EE"/>
    <w:rsid w:val="00FC539A"/>
    <w:rsid w:val="00FC57CF"/>
    <w:rsid w:val="00FC5B43"/>
    <w:rsid w:val="00FC5B77"/>
    <w:rsid w:val="00FC6926"/>
    <w:rsid w:val="00FC6CEC"/>
    <w:rsid w:val="00FC7F38"/>
    <w:rsid w:val="00FC7FA4"/>
    <w:rsid w:val="00FD0CA5"/>
    <w:rsid w:val="00FD1C41"/>
    <w:rsid w:val="00FD2145"/>
    <w:rsid w:val="00FD220A"/>
    <w:rsid w:val="00FD23BA"/>
    <w:rsid w:val="00FD55A4"/>
    <w:rsid w:val="00FD61A7"/>
    <w:rsid w:val="00FD7122"/>
    <w:rsid w:val="00FE1B8A"/>
    <w:rsid w:val="00FE1C93"/>
    <w:rsid w:val="00FE33A3"/>
    <w:rsid w:val="00FE340C"/>
    <w:rsid w:val="00FE350E"/>
    <w:rsid w:val="00FE38AC"/>
    <w:rsid w:val="00FE3F62"/>
    <w:rsid w:val="00FE43B8"/>
    <w:rsid w:val="00FE4D63"/>
    <w:rsid w:val="00FE5D3E"/>
    <w:rsid w:val="00FE6A91"/>
    <w:rsid w:val="00FE6E3D"/>
    <w:rsid w:val="00FE72F4"/>
    <w:rsid w:val="00FE7BE7"/>
    <w:rsid w:val="00FF0290"/>
    <w:rsid w:val="00FF0C31"/>
    <w:rsid w:val="00FF22C6"/>
    <w:rsid w:val="00FF2663"/>
    <w:rsid w:val="00FF2DB3"/>
    <w:rsid w:val="00FF429C"/>
    <w:rsid w:val="00FF44AA"/>
    <w:rsid w:val="00FF4EC5"/>
    <w:rsid w:val="00FF57C5"/>
    <w:rsid w:val="00FF64CE"/>
    <w:rsid w:val="00FF7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54"/>
    <o:shapelayout v:ext="edit">
      <o:idmap v:ext="edit" data="2,3,4,5"/>
    </o:shapelayout>
  </w:shapeDefaults>
  <w:decimalSymbol w:val="."/>
  <w:listSeparator w:val=","/>
  <w14:docId w14:val="785A79CD"/>
  <w15:chartTrackingRefBased/>
  <w15:docId w15:val="{D45FCE24-C552-436F-B203-D0C0D4284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5A43"/>
    <w:rPr>
      <w:rFonts w:ascii="Times New Roman" w:eastAsia="Times New Roman" w:hAnsi="Times New Roman"/>
      <w:sz w:val="24"/>
    </w:rPr>
  </w:style>
  <w:style w:type="paragraph" w:styleId="Heading1">
    <w:name w:val="heading 1"/>
    <w:aliases w:val="h1"/>
    <w:basedOn w:val="Normal"/>
    <w:next w:val="BodyText"/>
    <w:link w:val="Heading1Char"/>
    <w:qFormat/>
    <w:rsid w:val="00A13FF9"/>
    <w:pPr>
      <w:keepNext/>
      <w:numPr>
        <w:numId w:val="1"/>
      </w:numPr>
      <w:spacing w:after="240"/>
      <w:outlineLvl w:val="0"/>
    </w:pPr>
    <w:rPr>
      <w:b/>
      <w:caps/>
    </w:rPr>
  </w:style>
  <w:style w:type="paragraph" w:styleId="Heading2">
    <w:name w:val="heading 2"/>
    <w:aliases w:val="h2"/>
    <w:basedOn w:val="Normal"/>
    <w:next w:val="BodyText"/>
    <w:link w:val="Heading2Char"/>
    <w:qFormat/>
    <w:rsid w:val="00A13FF9"/>
    <w:pPr>
      <w:keepNext/>
      <w:numPr>
        <w:ilvl w:val="1"/>
        <w:numId w:val="1"/>
      </w:numPr>
      <w:tabs>
        <w:tab w:val="left" w:pos="720"/>
      </w:tabs>
      <w:spacing w:before="240" w:after="240"/>
      <w:outlineLvl w:val="1"/>
    </w:pPr>
    <w:rPr>
      <w:b/>
    </w:rPr>
  </w:style>
  <w:style w:type="paragraph" w:styleId="Heading3">
    <w:name w:val="heading 3"/>
    <w:aliases w:val="h3"/>
    <w:basedOn w:val="Normal"/>
    <w:next w:val="BodyText"/>
    <w:link w:val="Heading3Char"/>
    <w:uiPriority w:val="9"/>
    <w:qFormat/>
    <w:rsid w:val="00A13FF9"/>
    <w:pPr>
      <w:keepNext/>
      <w:numPr>
        <w:ilvl w:val="2"/>
        <w:numId w:val="1"/>
      </w:numPr>
      <w:tabs>
        <w:tab w:val="left" w:pos="1008"/>
      </w:tabs>
      <w:spacing w:before="240" w:after="240"/>
      <w:outlineLvl w:val="2"/>
    </w:pPr>
    <w:rPr>
      <w:b/>
      <w:bCs/>
      <w:i/>
    </w:rPr>
  </w:style>
  <w:style w:type="paragraph" w:styleId="Heading4">
    <w:name w:val="heading 4"/>
    <w:aliases w:val="h4,delete"/>
    <w:basedOn w:val="Normal"/>
    <w:next w:val="BodyText"/>
    <w:link w:val="Heading4Char"/>
    <w:uiPriority w:val="9"/>
    <w:qFormat/>
    <w:rsid w:val="00A13FF9"/>
    <w:pPr>
      <w:keepNext/>
      <w:widowControl w:val="0"/>
      <w:numPr>
        <w:ilvl w:val="3"/>
        <w:numId w:val="1"/>
      </w:numPr>
      <w:tabs>
        <w:tab w:val="left" w:pos="1296"/>
      </w:tabs>
      <w:spacing w:before="240" w:after="240"/>
      <w:outlineLvl w:val="3"/>
    </w:pPr>
    <w:rPr>
      <w:b/>
      <w:bCs/>
      <w:snapToGrid w:val="0"/>
    </w:rPr>
  </w:style>
  <w:style w:type="paragraph" w:styleId="Heading5">
    <w:name w:val="heading 5"/>
    <w:aliases w:val="h5"/>
    <w:basedOn w:val="Normal"/>
    <w:next w:val="BodyText"/>
    <w:link w:val="Heading5Char"/>
    <w:qFormat/>
    <w:rsid w:val="00A13FF9"/>
    <w:pPr>
      <w:keepNext/>
      <w:numPr>
        <w:ilvl w:val="4"/>
        <w:numId w:val="1"/>
      </w:numPr>
      <w:tabs>
        <w:tab w:val="left" w:pos="1440"/>
      </w:tabs>
      <w:spacing w:before="240" w:after="240"/>
      <w:outlineLvl w:val="4"/>
    </w:pPr>
    <w:rPr>
      <w:b/>
      <w:bCs/>
      <w:i/>
      <w:iCs/>
      <w:szCs w:val="26"/>
    </w:rPr>
  </w:style>
  <w:style w:type="paragraph" w:styleId="Heading6">
    <w:name w:val="heading 6"/>
    <w:aliases w:val="h6"/>
    <w:basedOn w:val="Normal"/>
    <w:next w:val="BodyText"/>
    <w:link w:val="Heading6Char"/>
    <w:qFormat/>
    <w:rsid w:val="00A13FF9"/>
    <w:pPr>
      <w:keepNext/>
      <w:numPr>
        <w:ilvl w:val="5"/>
        <w:numId w:val="1"/>
      </w:numPr>
      <w:tabs>
        <w:tab w:val="left" w:pos="1584"/>
      </w:tabs>
      <w:spacing w:before="240" w:after="240"/>
      <w:outlineLvl w:val="5"/>
    </w:pPr>
    <w:rPr>
      <w:b/>
      <w:bCs/>
      <w:szCs w:val="22"/>
    </w:rPr>
  </w:style>
  <w:style w:type="paragraph" w:styleId="Heading7">
    <w:name w:val="heading 7"/>
    <w:basedOn w:val="Normal"/>
    <w:next w:val="BodyText"/>
    <w:link w:val="Heading7Char"/>
    <w:qFormat/>
    <w:rsid w:val="00A13FF9"/>
    <w:pPr>
      <w:keepNext/>
      <w:numPr>
        <w:ilvl w:val="6"/>
        <w:numId w:val="1"/>
      </w:numPr>
      <w:tabs>
        <w:tab w:val="left" w:pos="1728"/>
      </w:tabs>
      <w:spacing w:before="240" w:after="240"/>
      <w:outlineLvl w:val="6"/>
    </w:pPr>
    <w:rPr>
      <w:szCs w:val="24"/>
    </w:rPr>
  </w:style>
  <w:style w:type="paragraph" w:styleId="Heading8">
    <w:name w:val="heading 8"/>
    <w:basedOn w:val="Normal"/>
    <w:next w:val="BodyText"/>
    <w:link w:val="Heading8Char"/>
    <w:qFormat/>
    <w:rsid w:val="00A13FF9"/>
    <w:pPr>
      <w:keepNext/>
      <w:numPr>
        <w:ilvl w:val="7"/>
        <w:numId w:val="1"/>
      </w:numPr>
      <w:tabs>
        <w:tab w:val="left" w:pos="1872"/>
      </w:tabs>
      <w:spacing w:before="240" w:after="240"/>
      <w:outlineLvl w:val="7"/>
    </w:pPr>
    <w:rPr>
      <w:i/>
      <w:iCs/>
      <w:szCs w:val="24"/>
    </w:rPr>
  </w:style>
  <w:style w:type="paragraph" w:styleId="Heading9">
    <w:name w:val="heading 9"/>
    <w:basedOn w:val="Normal"/>
    <w:next w:val="BodyText"/>
    <w:link w:val="Heading9Char"/>
    <w:qFormat/>
    <w:rsid w:val="00A13FF9"/>
    <w:pPr>
      <w:keepNext/>
      <w:numPr>
        <w:ilvl w:val="8"/>
        <w:numId w:val="1"/>
      </w:numPr>
      <w:tabs>
        <w:tab w:val="left" w:pos="2160"/>
      </w:tabs>
      <w:spacing w:before="240" w:after="240"/>
      <w:outlineLvl w:val="8"/>
    </w:pPr>
    <w:rPr>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rsid w:val="00A13FF9"/>
    <w:rPr>
      <w:rFonts w:ascii="Times New Roman" w:eastAsia="Times New Roman" w:hAnsi="Times New Roman" w:cs="Times New Roman"/>
      <w:b/>
      <w:caps/>
      <w:sz w:val="24"/>
      <w:szCs w:val="20"/>
    </w:rPr>
  </w:style>
  <w:style w:type="character" w:customStyle="1" w:styleId="Heading2Char">
    <w:name w:val="Heading 2 Char"/>
    <w:aliases w:val="h2 Char"/>
    <w:link w:val="Heading2"/>
    <w:rsid w:val="00A13FF9"/>
    <w:rPr>
      <w:rFonts w:ascii="Times New Roman" w:eastAsia="Times New Roman" w:hAnsi="Times New Roman" w:cs="Times New Roman"/>
      <w:b/>
      <w:sz w:val="24"/>
      <w:szCs w:val="20"/>
    </w:rPr>
  </w:style>
  <w:style w:type="character" w:customStyle="1" w:styleId="Heading3Char">
    <w:name w:val="Heading 3 Char"/>
    <w:aliases w:val="h3 Char"/>
    <w:link w:val="Heading3"/>
    <w:uiPriority w:val="9"/>
    <w:rsid w:val="00A13FF9"/>
    <w:rPr>
      <w:rFonts w:ascii="Times New Roman" w:eastAsia="Times New Roman" w:hAnsi="Times New Roman" w:cs="Times New Roman"/>
      <w:b/>
      <w:bCs/>
      <w:i/>
      <w:sz w:val="24"/>
      <w:szCs w:val="20"/>
    </w:rPr>
  </w:style>
  <w:style w:type="character" w:customStyle="1" w:styleId="Heading4Char">
    <w:name w:val="Heading 4 Char"/>
    <w:aliases w:val="h4 Char,delete Char"/>
    <w:link w:val="Heading4"/>
    <w:uiPriority w:val="9"/>
    <w:rsid w:val="00A13FF9"/>
    <w:rPr>
      <w:rFonts w:ascii="Times New Roman" w:eastAsia="Times New Roman" w:hAnsi="Times New Roman" w:cs="Times New Roman"/>
      <w:b/>
      <w:bCs/>
      <w:snapToGrid w:val="0"/>
      <w:sz w:val="24"/>
      <w:szCs w:val="20"/>
    </w:rPr>
  </w:style>
  <w:style w:type="character" w:customStyle="1" w:styleId="Heading5Char">
    <w:name w:val="Heading 5 Char"/>
    <w:aliases w:val="h5 Char"/>
    <w:link w:val="Heading5"/>
    <w:rsid w:val="00A13FF9"/>
    <w:rPr>
      <w:rFonts w:ascii="Times New Roman" w:eastAsia="Times New Roman" w:hAnsi="Times New Roman" w:cs="Times New Roman"/>
      <w:b/>
      <w:bCs/>
      <w:i/>
      <w:iCs/>
      <w:sz w:val="24"/>
      <w:szCs w:val="26"/>
    </w:rPr>
  </w:style>
  <w:style w:type="character" w:customStyle="1" w:styleId="Heading6Char">
    <w:name w:val="Heading 6 Char"/>
    <w:aliases w:val="h6 Char"/>
    <w:link w:val="Heading6"/>
    <w:rsid w:val="00A13FF9"/>
    <w:rPr>
      <w:rFonts w:ascii="Times New Roman" w:eastAsia="Times New Roman" w:hAnsi="Times New Roman" w:cs="Times New Roman"/>
      <w:b/>
      <w:bCs/>
      <w:sz w:val="24"/>
    </w:rPr>
  </w:style>
  <w:style w:type="character" w:customStyle="1" w:styleId="Heading7Char">
    <w:name w:val="Heading 7 Char"/>
    <w:link w:val="Heading7"/>
    <w:rsid w:val="00A13FF9"/>
    <w:rPr>
      <w:rFonts w:ascii="Times New Roman" w:eastAsia="Times New Roman" w:hAnsi="Times New Roman" w:cs="Times New Roman"/>
      <w:sz w:val="24"/>
      <w:szCs w:val="24"/>
    </w:rPr>
  </w:style>
  <w:style w:type="character" w:customStyle="1" w:styleId="Heading8Char">
    <w:name w:val="Heading 8 Char"/>
    <w:link w:val="Heading8"/>
    <w:rsid w:val="00A13FF9"/>
    <w:rPr>
      <w:rFonts w:ascii="Times New Roman" w:eastAsia="Times New Roman" w:hAnsi="Times New Roman" w:cs="Times New Roman"/>
      <w:i/>
      <w:iCs/>
      <w:sz w:val="24"/>
      <w:szCs w:val="24"/>
    </w:rPr>
  </w:style>
  <w:style w:type="character" w:customStyle="1" w:styleId="Heading9Char">
    <w:name w:val="Heading 9 Char"/>
    <w:link w:val="Heading9"/>
    <w:rsid w:val="00A13FF9"/>
    <w:rPr>
      <w:rFonts w:ascii="Times New Roman" w:eastAsia="Times New Roman" w:hAnsi="Times New Roman" w:cs="Times New Roman"/>
      <w:b/>
      <w:sz w:val="24"/>
      <w:szCs w:val="24"/>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1"/>
    <w:rsid w:val="00A13FF9"/>
    <w:pPr>
      <w:spacing w:after="240"/>
    </w:pPr>
    <w:rPr>
      <w:iCs/>
    </w:rPr>
  </w:style>
  <w:style w:type="character" w:customStyle="1" w:styleId="BodyTextChar">
    <w:name w:val="Body Text Char"/>
    <w:aliases w:val="Char1 Char Char Char,Body Text Char2 Char Char Char1,Body Text Char2 Char Char Char Char Char Char Char Char Char Char Char Char1,Body Text Char3,Body Text Char1 Char Ch Char, Char1 Char Char Char"/>
    <w:uiPriority w:val="99"/>
    <w:rsid w:val="00A13FF9"/>
    <w:rPr>
      <w:rFonts w:ascii="Times New Roman" w:eastAsia="Times New Roman" w:hAnsi="Times New Roman" w:cs="Times New Roman"/>
      <w:sz w:val="24"/>
      <w:szCs w:val="20"/>
    </w:rPr>
  </w:style>
  <w:style w:type="character" w:customStyle="1" w:styleId="BodyTextChar1">
    <w:name w:val="Body Text Char1"/>
    <w:aliases w:val="Char Char Char Char Char Char Char,Char Char Char Char Char Char Charh2 Char,... Char, Char Char Char Char Char Char Char1, Char Char Char Char Char Char Char Char,Body Text Char Char Char,Body Text Char1 Char Char Char"/>
    <w:link w:val="BodyText"/>
    <w:rsid w:val="00A13FF9"/>
    <w:rPr>
      <w:rFonts w:ascii="Times New Roman" w:eastAsia="Times New Roman" w:hAnsi="Times New Roman" w:cs="Times New Roman"/>
      <w:iCs/>
      <w:sz w:val="24"/>
      <w:szCs w:val="20"/>
    </w:r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A13FF9"/>
    <w:rPr>
      <w:iCs/>
      <w:sz w:val="24"/>
      <w:lang w:val="en-US" w:eastAsia="en-US" w:bidi="ar-SA"/>
    </w:rPr>
  </w:style>
  <w:style w:type="paragraph" w:styleId="List">
    <w:name w:val="List"/>
    <w:aliases w:val=" Char2 Char Char Char Char, Char2 Char, Char1,Char2 Char Char Char Char"/>
    <w:basedOn w:val="Normal"/>
    <w:link w:val="ListChar"/>
    <w:rsid w:val="00A13FF9"/>
    <w:pPr>
      <w:spacing w:after="240"/>
      <w:ind w:left="1440" w:hanging="720"/>
    </w:pPr>
  </w:style>
  <w:style w:type="paragraph" w:styleId="Footer">
    <w:name w:val="footer"/>
    <w:basedOn w:val="Normal"/>
    <w:link w:val="FooterChar"/>
    <w:rsid w:val="00A13FF9"/>
    <w:pPr>
      <w:pBdr>
        <w:top w:val="single" w:sz="4" w:space="0" w:color="auto"/>
      </w:pBdr>
      <w:tabs>
        <w:tab w:val="center" w:pos="4680"/>
        <w:tab w:val="right" w:pos="9360"/>
      </w:tabs>
      <w:spacing w:before="120" w:after="120"/>
    </w:pPr>
    <w:rPr>
      <w:smallCaps/>
      <w:sz w:val="20"/>
    </w:rPr>
  </w:style>
  <w:style w:type="character" w:customStyle="1" w:styleId="FooterChar">
    <w:name w:val="Footer Char"/>
    <w:link w:val="Footer"/>
    <w:rsid w:val="00A13FF9"/>
    <w:rPr>
      <w:rFonts w:ascii="Times New Roman" w:eastAsia="Times New Roman" w:hAnsi="Times New Roman" w:cs="Times New Roman"/>
      <w:smallCaps/>
      <w:sz w:val="20"/>
      <w:szCs w:val="20"/>
    </w:rPr>
  </w:style>
  <w:style w:type="paragraph" w:styleId="FootnoteText">
    <w:name w:val="footnote text"/>
    <w:basedOn w:val="Normal"/>
    <w:link w:val="FootnoteTextChar"/>
    <w:rsid w:val="00A13FF9"/>
    <w:rPr>
      <w:sz w:val="18"/>
    </w:rPr>
  </w:style>
  <w:style w:type="character" w:customStyle="1" w:styleId="FootnoteTextChar">
    <w:name w:val="Footnote Text Char"/>
    <w:link w:val="FootnoteText"/>
    <w:rsid w:val="00A13FF9"/>
    <w:rPr>
      <w:rFonts w:ascii="Times New Roman" w:eastAsia="Times New Roman" w:hAnsi="Times New Roman" w:cs="Times New Roman"/>
      <w:sz w:val="18"/>
      <w:szCs w:val="20"/>
    </w:rPr>
  </w:style>
  <w:style w:type="paragraph" w:styleId="Header">
    <w:name w:val="header"/>
    <w:basedOn w:val="Normal"/>
    <w:link w:val="HeaderChar"/>
    <w:rsid w:val="00A13FF9"/>
    <w:pPr>
      <w:pBdr>
        <w:bottom w:val="single" w:sz="4" w:space="1" w:color="auto"/>
      </w:pBdr>
      <w:tabs>
        <w:tab w:val="center" w:pos="4680"/>
        <w:tab w:val="right" w:pos="9360"/>
      </w:tabs>
      <w:jc w:val="right"/>
    </w:pPr>
    <w:rPr>
      <w:smallCaps/>
      <w:sz w:val="20"/>
    </w:rPr>
  </w:style>
  <w:style w:type="character" w:customStyle="1" w:styleId="HeaderChar">
    <w:name w:val="Header Char"/>
    <w:link w:val="Header"/>
    <w:rsid w:val="00A13FF9"/>
    <w:rPr>
      <w:rFonts w:ascii="Times New Roman" w:eastAsia="Times New Roman" w:hAnsi="Times New Roman" w:cs="Times New Roman"/>
      <w:smallCaps/>
      <w:sz w:val="20"/>
      <w:szCs w:val="20"/>
    </w:rPr>
  </w:style>
  <w:style w:type="character" w:styleId="Hyperlink">
    <w:name w:val="Hyperlink"/>
    <w:uiPriority w:val="99"/>
    <w:rsid w:val="00A13FF9"/>
    <w:rPr>
      <w:color w:val="0000FF"/>
      <w:u w:val="single"/>
    </w:rPr>
  </w:style>
  <w:style w:type="paragraph" w:styleId="TOC1">
    <w:name w:val="toc 1"/>
    <w:basedOn w:val="Normal"/>
    <w:next w:val="Normal"/>
    <w:autoRedefine/>
    <w:uiPriority w:val="39"/>
    <w:rsid w:val="009E7BCF"/>
    <w:pPr>
      <w:tabs>
        <w:tab w:val="left" w:pos="540"/>
        <w:tab w:val="right" w:leader="dot" w:pos="9360"/>
      </w:tabs>
      <w:spacing w:before="120" w:after="120"/>
      <w:ind w:left="540" w:right="720" w:hanging="540"/>
    </w:pPr>
    <w:rPr>
      <w:b/>
      <w:bCs/>
      <w:noProof/>
    </w:rPr>
  </w:style>
  <w:style w:type="paragraph" w:styleId="TOC2">
    <w:name w:val="toc 2"/>
    <w:basedOn w:val="Normal"/>
    <w:next w:val="Normal"/>
    <w:autoRedefine/>
    <w:uiPriority w:val="39"/>
    <w:rsid w:val="00A13FF9"/>
    <w:pPr>
      <w:tabs>
        <w:tab w:val="left" w:pos="1260"/>
        <w:tab w:val="right" w:leader="dot" w:pos="9360"/>
      </w:tabs>
      <w:ind w:left="1260" w:right="720" w:hanging="720"/>
    </w:pPr>
    <w:rPr>
      <w:sz w:val="20"/>
    </w:rPr>
  </w:style>
  <w:style w:type="paragraph" w:styleId="TOC3">
    <w:name w:val="toc 3"/>
    <w:basedOn w:val="Normal"/>
    <w:next w:val="Normal"/>
    <w:autoRedefine/>
    <w:uiPriority w:val="39"/>
    <w:rsid w:val="0098177F"/>
    <w:pPr>
      <w:tabs>
        <w:tab w:val="left" w:pos="1980"/>
        <w:tab w:val="right" w:leader="dot" w:pos="9360"/>
      </w:tabs>
      <w:ind w:left="1980" w:right="720" w:hanging="900"/>
    </w:pPr>
    <w:rPr>
      <w:i/>
      <w:iCs/>
      <w:noProof/>
      <w:sz w:val="20"/>
    </w:rPr>
  </w:style>
  <w:style w:type="character" w:styleId="PageNumber">
    <w:name w:val="page number"/>
    <w:basedOn w:val="DefaultParagraphFont"/>
    <w:rsid w:val="00A13FF9"/>
  </w:style>
  <w:style w:type="paragraph" w:styleId="TOC4">
    <w:name w:val="toc 4"/>
    <w:basedOn w:val="Normal"/>
    <w:next w:val="Normal"/>
    <w:autoRedefine/>
    <w:uiPriority w:val="39"/>
    <w:rsid w:val="007A5F57"/>
    <w:pPr>
      <w:tabs>
        <w:tab w:val="left" w:pos="2700"/>
        <w:tab w:val="right" w:leader="dot" w:pos="9360"/>
      </w:tabs>
      <w:ind w:left="2700" w:right="720" w:hanging="1080"/>
    </w:pPr>
    <w:rPr>
      <w:noProof/>
      <w:sz w:val="20"/>
      <w:lang w:val="fr-FR"/>
    </w:rPr>
  </w:style>
  <w:style w:type="paragraph" w:styleId="TOC5">
    <w:name w:val="toc 5"/>
    <w:basedOn w:val="Normal"/>
    <w:next w:val="Normal"/>
    <w:autoRedefine/>
    <w:uiPriority w:val="39"/>
    <w:rsid w:val="00A13FF9"/>
    <w:pPr>
      <w:tabs>
        <w:tab w:val="left" w:pos="3600"/>
        <w:tab w:val="right" w:leader="dot" w:pos="9360"/>
      </w:tabs>
      <w:ind w:left="3600" w:right="720" w:hanging="1260"/>
    </w:pPr>
    <w:rPr>
      <w:i/>
      <w:noProof/>
      <w:sz w:val="18"/>
      <w:szCs w:val="18"/>
    </w:rPr>
  </w:style>
  <w:style w:type="paragraph" w:styleId="List2">
    <w:name w:val="List 2"/>
    <w:aliases w:val="Char2,Char2 Char Char, Char2"/>
    <w:basedOn w:val="Normal"/>
    <w:link w:val="List2Char"/>
    <w:rsid w:val="00A13FF9"/>
    <w:pPr>
      <w:spacing w:after="240"/>
      <w:ind w:left="2160" w:hanging="720"/>
    </w:pPr>
  </w:style>
  <w:style w:type="paragraph" w:styleId="List3">
    <w:name w:val="List 3"/>
    <w:basedOn w:val="Normal"/>
    <w:rsid w:val="00A13FF9"/>
    <w:pPr>
      <w:spacing w:after="240"/>
      <w:ind w:left="2880" w:hanging="720"/>
    </w:pPr>
  </w:style>
  <w:style w:type="paragraph" w:styleId="TOC6">
    <w:name w:val="toc 6"/>
    <w:basedOn w:val="Normal"/>
    <w:next w:val="Normal"/>
    <w:autoRedefine/>
    <w:uiPriority w:val="39"/>
    <w:rsid w:val="00A13FF9"/>
    <w:pPr>
      <w:tabs>
        <w:tab w:val="left" w:pos="4500"/>
        <w:tab w:val="right" w:leader="dot" w:pos="9360"/>
      </w:tabs>
      <w:ind w:left="4500" w:right="720" w:hanging="1440"/>
    </w:pPr>
    <w:rPr>
      <w:sz w:val="18"/>
      <w:szCs w:val="18"/>
    </w:rPr>
  </w:style>
  <w:style w:type="paragraph" w:styleId="TOC7">
    <w:name w:val="toc 7"/>
    <w:basedOn w:val="Normal"/>
    <w:next w:val="Normal"/>
    <w:autoRedefine/>
    <w:uiPriority w:val="39"/>
    <w:rsid w:val="00A13FF9"/>
    <w:pPr>
      <w:tabs>
        <w:tab w:val="left" w:pos="5400"/>
        <w:tab w:val="right" w:leader="dot" w:pos="9360"/>
      </w:tabs>
      <w:ind w:left="5400" w:right="720" w:hanging="1620"/>
    </w:pPr>
    <w:rPr>
      <w:i/>
      <w:noProof/>
      <w:sz w:val="18"/>
      <w:szCs w:val="18"/>
    </w:rPr>
  </w:style>
  <w:style w:type="paragraph" w:styleId="TOC8">
    <w:name w:val="toc 8"/>
    <w:basedOn w:val="Normal"/>
    <w:next w:val="Normal"/>
    <w:autoRedefine/>
    <w:uiPriority w:val="39"/>
    <w:rsid w:val="00A13FF9"/>
    <w:pPr>
      <w:ind w:left="1680"/>
    </w:pPr>
    <w:rPr>
      <w:sz w:val="18"/>
      <w:szCs w:val="18"/>
    </w:rPr>
  </w:style>
  <w:style w:type="paragraph" w:styleId="TOC9">
    <w:name w:val="toc 9"/>
    <w:basedOn w:val="Normal"/>
    <w:next w:val="Normal"/>
    <w:autoRedefine/>
    <w:uiPriority w:val="39"/>
    <w:rsid w:val="00A13FF9"/>
    <w:pPr>
      <w:ind w:left="1920"/>
    </w:pPr>
    <w:rPr>
      <w:sz w:val="18"/>
      <w:szCs w:val="18"/>
    </w:rPr>
  </w:style>
  <w:style w:type="paragraph" w:customStyle="1" w:styleId="H5">
    <w:name w:val="H5"/>
    <w:basedOn w:val="Heading5"/>
    <w:next w:val="BodyText"/>
    <w:link w:val="H5Char"/>
    <w:rsid w:val="00A13FF9"/>
    <w:pPr>
      <w:numPr>
        <w:ilvl w:val="0"/>
        <w:numId w:val="0"/>
      </w:numPr>
      <w:tabs>
        <w:tab w:val="clear" w:pos="1440"/>
        <w:tab w:val="left" w:pos="1620"/>
      </w:tabs>
      <w:ind w:left="1620" w:hanging="1620"/>
    </w:pPr>
  </w:style>
  <w:style w:type="paragraph" w:customStyle="1" w:styleId="H2">
    <w:name w:val="H2"/>
    <w:basedOn w:val="Heading2"/>
    <w:next w:val="BodyText"/>
    <w:link w:val="H2Char"/>
    <w:rsid w:val="00A13FF9"/>
    <w:pPr>
      <w:numPr>
        <w:ilvl w:val="0"/>
        <w:numId w:val="0"/>
      </w:numPr>
      <w:tabs>
        <w:tab w:val="clear" w:pos="720"/>
        <w:tab w:val="left" w:pos="900"/>
      </w:tabs>
      <w:ind w:left="900" w:hanging="900"/>
    </w:pPr>
  </w:style>
  <w:style w:type="paragraph" w:customStyle="1" w:styleId="H4">
    <w:name w:val="H4"/>
    <w:basedOn w:val="Heading4"/>
    <w:next w:val="BodyText"/>
    <w:link w:val="H4Char"/>
    <w:rsid w:val="00A13FF9"/>
    <w:pPr>
      <w:numPr>
        <w:ilvl w:val="0"/>
        <w:numId w:val="0"/>
      </w:numPr>
      <w:tabs>
        <w:tab w:val="clear" w:pos="1296"/>
        <w:tab w:val="left" w:pos="1260"/>
      </w:tabs>
      <w:ind w:left="1260" w:hanging="1260"/>
    </w:pPr>
  </w:style>
  <w:style w:type="paragraph" w:customStyle="1" w:styleId="H6">
    <w:name w:val="H6"/>
    <w:basedOn w:val="Heading6"/>
    <w:next w:val="BodyText"/>
    <w:link w:val="H6Char"/>
    <w:rsid w:val="00A13FF9"/>
    <w:pPr>
      <w:numPr>
        <w:ilvl w:val="0"/>
        <w:numId w:val="0"/>
      </w:numPr>
      <w:tabs>
        <w:tab w:val="clear" w:pos="1584"/>
        <w:tab w:val="left" w:pos="1800"/>
      </w:tabs>
      <w:ind w:left="1800" w:hanging="1800"/>
    </w:pPr>
  </w:style>
  <w:style w:type="paragraph" w:customStyle="1" w:styleId="H7">
    <w:name w:val="H7"/>
    <w:basedOn w:val="Heading7"/>
    <w:next w:val="BodyText"/>
    <w:rsid w:val="00A13FF9"/>
    <w:pPr>
      <w:numPr>
        <w:ilvl w:val="0"/>
        <w:numId w:val="0"/>
      </w:numPr>
      <w:tabs>
        <w:tab w:val="clear" w:pos="1728"/>
        <w:tab w:val="left" w:pos="1980"/>
      </w:tabs>
      <w:ind w:left="1980" w:hanging="1980"/>
    </w:pPr>
    <w:rPr>
      <w:b/>
      <w:i/>
    </w:rPr>
  </w:style>
  <w:style w:type="paragraph" w:customStyle="1" w:styleId="H8">
    <w:name w:val="H8"/>
    <w:basedOn w:val="Heading8"/>
    <w:next w:val="BodyText"/>
    <w:rsid w:val="00A13FF9"/>
    <w:pPr>
      <w:numPr>
        <w:ilvl w:val="0"/>
        <w:numId w:val="0"/>
      </w:numPr>
      <w:tabs>
        <w:tab w:val="clear" w:pos="1872"/>
        <w:tab w:val="left" w:pos="2160"/>
      </w:tabs>
      <w:ind w:left="2160" w:hanging="2160"/>
    </w:pPr>
    <w:rPr>
      <w:b/>
      <w:i w:val="0"/>
    </w:rPr>
  </w:style>
  <w:style w:type="paragraph" w:customStyle="1" w:styleId="H9">
    <w:name w:val="H9"/>
    <w:basedOn w:val="Heading9"/>
    <w:next w:val="BodyText"/>
    <w:rsid w:val="00A13FF9"/>
    <w:pPr>
      <w:numPr>
        <w:ilvl w:val="0"/>
        <w:numId w:val="0"/>
      </w:numPr>
      <w:tabs>
        <w:tab w:val="clear" w:pos="2160"/>
        <w:tab w:val="left" w:pos="2340"/>
      </w:tabs>
      <w:ind w:left="2340" w:hanging="2340"/>
    </w:pPr>
    <w:rPr>
      <w:i/>
    </w:rPr>
  </w:style>
  <w:style w:type="paragraph" w:customStyle="1" w:styleId="VariableDefinition">
    <w:name w:val="Variable Definition"/>
    <w:basedOn w:val="Normal"/>
    <w:link w:val="VariableDefinitionChar"/>
    <w:rsid w:val="00A13FF9"/>
    <w:pPr>
      <w:tabs>
        <w:tab w:val="left" w:pos="2160"/>
      </w:tabs>
      <w:spacing w:after="240"/>
      <w:ind w:left="2160" w:hanging="1440"/>
      <w:contextualSpacing/>
    </w:pPr>
    <w:rPr>
      <w:iCs/>
    </w:rPr>
  </w:style>
  <w:style w:type="paragraph" w:customStyle="1" w:styleId="FormulaBold">
    <w:name w:val="Formula Bold"/>
    <w:basedOn w:val="Normal"/>
    <w:link w:val="FormulaBoldChar"/>
    <w:rsid w:val="00A13FF9"/>
    <w:pPr>
      <w:tabs>
        <w:tab w:val="left" w:pos="2250"/>
        <w:tab w:val="left" w:pos="3150"/>
        <w:tab w:val="left" w:pos="3960"/>
      </w:tabs>
      <w:spacing w:after="240"/>
      <w:ind w:left="3960" w:hanging="3240"/>
    </w:pPr>
    <w:rPr>
      <w:b/>
      <w:bCs/>
      <w:szCs w:val="24"/>
    </w:rPr>
  </w:style>
  <w:style w:type="character" w:customStyle="1" w:styleId="FormulaBoldChar">
    <w:name w:val="Formula Bold Char"/>
    <w:link w:val="FormulaBold"/>
    <w:rsid w:val="00A13FF9"/>
    <w:rPr>
      <w:rFonts w:ascii="Times New Roman" w:eastAsia="Times New Roman" w:hAnsi="Times New Roman" w:cs="Times New Roman"/>
      <w:b/>
      <w:bCs/>
      <w:sz w:val="24"/>
      <w:szCs w:val="24"/>
    </w:rPr>
  </w:style>
  <w:style w:type="paragraph" w:customStyle="1" w:styleId="Formula">
    <w:name w:val="Formula"/>
    <w:basedOn w:val="Normal"/>
    <w:link w:val="FormulaChar"/>
    <w:rsid w:val="00A13FF9"/>
    <w:pPr>
      <w:tabs>
        <w:tab w:val="left" w:pos="2160"/>
        <w:tab w:val="left" w:pos="2880"/>
      </w:tabs>
      <w:spacing w:after="240"/>
      <w:ind w:leftChars="300" w:left="300" w:hangingChars="900" w:hanging="900"/>
    </w:pPr>
    <w:rPr>
      <w:bCs/>
      <w:szCs w:val="24"/>
    </w:rPr>
  </w:style>
  <w:style w:type="paragraph" w:customStyle="1" w:styleId="BodyTextNumbered">
    <w:name w:val="Body Text Numbered"/>
    <w:basedOn w:val="BodyText"/>
    <w:link w:val="BodyTextNumberedChar"/>
    <w:rsid w:val="00A13FF9"/>
    <w:pPr>
      <w:ind w:left="720" w:hanging="720"/>
    </w:pPr>
    <w:rPr>
      <w:iCs w:val="0"/>
    </w:rPr>
  </w:style>
  <w:style w:type="paragraph" w:customStyle="1" w:styleId="tablecontents">
    <w:name w:val="table contents"/>
    <w:basedOn w:val="Normal"/>
    <w:rsid w:val="00A13FF9"/>
    <w:rPr>
      <w:sz w:val="20"/>
    </w:rPr>
  </w:style>
  <w:style w:type="paragraph" w:styleId="BalloonText">
    <w:name w:val="Balloon Text"/>
    <w:basedOn w:val="Normal"/>
    <w:link w:val="BalloonTextChar"/>
    <w:uiPriority w:val="99"/>
    <w:rsid w:val="00A13FF9"/>
    <w:rPr>
      <w:rFonts w:ascii="Tahoma" w:hAnsi="Tahoma" w:cs="Tahoma"/>
      <w:sz w:val="16"/>
      <w:szCs w:val="16"/>
    </w:rPr>
  </w:style>
  <w:style w:type="character" w:customStyle="1" w:styleId="BalloonTextChar">
    <w:name w:val="Balloon Text Char"/>
    <w:link w:val="BalloonText"/>
    <w:uiPriority w:val="99"/>
    <w:rsid w:val="00A13FF9"/>
    <w:rPr>
      <w:rFonts w:ascii="Tahoma" w:eastAsia="Times New Roman" w:hAnsi="Tahoma" w:cs="Tahoma"/>
      <w:sz w:val="16"/>
      <w:szCs w:val="16"/>
    </w:rPr>
  </w:style>
  <w:style w:type="character" w:styleId="CommentReference">
    <w:name w:val="annotation reference"/>
    <w:rsid w:val="00A13FF9"/>
    <w:rPr>
      <w:sz w:val="16"/>
      <w:szCs w:val="16"/>
    </w:rPr>
  </w:style>
  <w:style w:type="paragraph" w:styleId="CommentText">
    <w:name w:val="annotation text"/>
    <w:basedOn w:val="Normal"/>
    <w:link w:val="CommentTextChar"/>
    <w:rsid w:val="00A13FF9"/>
    <w:rPr>
      <w:sz w:val="20"/>
    </w:rPr>
  </w:style>
  <w:style w:type="character" w:customStyle="1" w:styleId="CommentTextChar">
    <w:name w:val="Comment Text Char"/>
    <w:link w:val="CommentText"/>
    <w:rsid w:val="00A13FF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A13FF9"/>
    <w:rPr>
      <w:b/>
      <w:bCs/>
    </w:rPr>
  </w:style>
  <w:style w:type="character" w:customStyle="1" w:styleId="CommentSubjectChar">
    <w:name w:val="Comment Subject Char"/>
    <w:link w:val="CommentSubject"/>
    <w:uiPriority w:val="99"/>
    <w:rsid w:val="00A13FF9"/>
    <w:rPr>
      <w:rFonts w:ascii="Times New Roman" w:eastAsia="Times New Roman" w:hAnsi="Times New Roman" w:cs="Times New Roman"/>
      <w:b/>
      <w:bCs/>
      <w:sz w:val="20"/>
      <w:szCs w:val="20"/>
    </w:rPr>
  </w:style>
  <w:style w:type="paragraph" w:customStyle="1" w:styleId="HeadSub">
    <w:name w:val="Head Sub"/>
    <w:basedOn w:val="BodyText"/>
    <w:next w:val="BodyText"/>
    <w:rsid w:val="00A13FF9"/>
    <w:pPr>
      <w:keepNext/>
      <w:spacing w:before="240"/>
    </w:pPr>
    <w:rPr>
      <w:b/>
    </w:rPr>
  </w:style>
  <w:style w:type="paragraph" w:customStyle="1" w:styleId="TableBody">
    <w:name w:val="Table Body"/>
    <w:basedOn w:val="BodyText"/>
    <w:rsid w:val="00A13FF9"/>
    <w:pPr>
      <w:spacing w:after="60"/>
    </w:pPr>
    <w:rPr>
      <w:sz w:val="20"/>
    </w:rPr>
  </w:style>
  <w:style w:type="paragraph" w:customStyle="1" w:styleId="TableHead">
    <w:name w:val="Table Head"/>
    <w:basedOn w:val="BodyText"/>
    <w:rsid w:val="00A13FF9"/>
    <w:pPr>
      <w:spacing w:after="120"/>
    </w:pPr>
    <w:rPr>
      <w:b/>
      <w:sz w:val="20"/>
    </w:rPr>
  </w:style>
  <w:style w:type="paragraph" w:styleId="DocumentMap">
    <w:name w:val="Document Map"/>
    <w:basedOn w:val="Normal"/>
    <w:link w:val="DocumentMapChar"/>
    <w:rsid w:val="00A13FF9"/>
    <w:pPr>
      <w:shd w:val="clear" w:color="auto" w:fill="000080"/>
    </w:pPr>
    <w:rPr>
      <w:rFonts w:ascii="Tahoma" w:hAnsi="Tahoma" w:cs="Tahoma"/>
      <w:sz w:val="20"/>
    </w:rPr>
  </w:style>
  <w:style w:type="character" w:customStyle="1" w:styleId="DocumentMapChar">
    <w:name w:val="Document Map Char"/>
    <w:link w:val="DocumentMap"/>
    <w:rsid w:val="00A13FF9"/>
    <w:rPr>
      <w:rFonts w:ascii="Tahoma" w:eastAsia="Times New Roman" w:hAnsi="Tahoma" w:cs="Tahoma"/>
      <w:sz w:val="20"/>
      <w:szCs w:val="20"/>
      <w:shd w:val="clear" w:color="auto" w:fill="000080"/>
    </w:rPr>
  </w:style>
  <w:style w:type="character" w:styleId="FollowedHyperlink">
    <w:name w:val="FollowedHyperlink"/>
    <w:rsid w:val="00A13FF9"/>
    <w:rPr>
      <w:color w:val="800080"/>
      <w:u w:val="single"/>
    </w:rPr>
  </w:style>
  <w:style w:type="paragraph" w:customStyle="1" w:styleId="Default">
    <w:name w:val="Default"/>
    <w:rsid w:val="00A13FF9"/>
    <w:pPr>
      <w:autoSpaceDE w:val="0"/>
      <w:autoSpaceDN w:val="0"/>
      <w:adjustRightInd w:val="0"/>
    </w:pPr>
    <w:rPr>
      <w:rFonts w:ascii="Arial" w:eastAsia="Times New Roman" w:hAnsi="Arial" w:cs="Arial"/>
      <w:color w:val="000000"/>
      <w:sz w:val="24"/>
      <w:szCs w:val="24"/>
    </w:rPr>
  </w:style>
  <w:style w:type="paragraph" w:customStyle="1" w:styleId="VariableDefinitionwide">
    <w:name w:val="Variable Definition wide"/>
    <w:basedOn w:val="Normal"/>
    <w:rsid w:val="00A13FF9"/>
    <w:pPr>
      <w:tabs>
        <w:tab w:val="left" w:pos="2160"/>
      </w:tabs>
      <w:spacing w:after="240"/>
      <w:ind w:left="4320" w:hanging="3600"/>
      <w:contextualSpacing/>
    </w:pPr>
    <w:rPr>
      <w:iCs/>
    </w:rPr>
  </w:style>
  <w:style w:type="paragraph" w:styleId="BlockText">
    <w:name w:val="Block Text"/>
    <w:basedOn w:val="Normal"/>
    <w:rsid w:val="00A13FF9"/>
    <w:pPr>
      <w:spacing w:after="120"/>
      <w:ind w:left="1440" w:right="1440"/>
    </w:pPr>
  </w:style>
  <w:style w:type="paragraph" w:styleId="NormalWeb">
    <w:name w:val="Normal (Web)"/>
    <w:basedOn w:val="Normal"/>
    <w:uiPriority w:val="99"/>
    <w:rsid w:val="00A13FF9"/>
    <w:pPr>
      <w:spacing w:before="100" w:beforeAutospacing="1" w:after="100" w:afterAutospacing="1"/>
    </w:pPr>
    <w:rPr>
      <w:szCs w:val="24"/>
    </w:rPr>
  </w:style>
  <w:style w:type="paragraph" w:customStyle="1" w:styleId="H3">
    <w:name w:val="H3"/>
    <w:basedOn w:val="Heading3"/>
    <w:next w:val="BodyText"/>
    <w:link w:val="H3Char"/>
    <w:rsid w:val="00A13FF9"/>
    <w:pPr>
      <w:numPr>
        <w:ilvl w:val="0"/>
        <w:numId w:val="0"/>
      </w:numPr>
      <w:tabs>
        <w:tab w:val="clear" w:pos="1008"/>
        <w:tab w:val="left" w:pos="1080"/>
      </w:tabs>
      <w:ind w:left="1080" w:hanging="1080"/>
    </w:pPr>
  </w:style>
  <w:style w:type="table" w:styleId="TableGrid">
    <w:name w:val="Table Grid"/>
    <w:basedOn w:val="TableNormal"/>
    <w:rsid w:val="00A13FF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Char">
    <w:name w:val="H2 Char"/>
    <w:link w:val="H2"/>
    <w:rsid w:val="00A13FF9"/>
    <w:rPr>
      <w:rFonts w:ascii="Times New Roman" w:eastAsia="Times New Roman" w:hAnsi="Times New Roman" w:cs="Times New Roman"/>
      <w:b/>
      <w:sz w:val="24"/>
      <w:szCs w:val="20"/>
    </w:rPr>
  </w:style>
  <w:style w:type="character" w:customStyle="1" w:styleId="CharChar">
    <w:name w:val="Char Char"/>
    <w:aliases w:val="Body Text Indent Char, Char Char"/>
    <w:rsid w:val="00A13FF9"/>
    <w:rPr>
      <w:iCs/>
      <w:sz w:val="24"/>
      <w:lang w:val="en-US" w:eastAsia="en-US" w:bidi="ar-SA"/>
    </w:rPr>
  </w:style>
  <w:style w:type="paragraph" w:customStyle="1" w:styleId="NormalArial">
    <w:name w:val="Normal+Arial"/>
    <w:basedOn w:val="Normal"/>
    <w:link w:val="NormalArialChar"/>
    <w:rsid w:val="00A13FF9"/>
    <w:rPr>
      <w:rFonts w:ascii="Arial" w:hAnsi="Arial"/>
      <w:szCs w:val="24"/>
    </w:rPr>
  </w:style>
  <w:style w:type="paragraph" w:customStyle="1" w:styleId="TableBullet">
    <w:name w:val="Table Bullet"/>
    <w:basedOn w:val="TableBody"/>
    <w:rsid w:val="00A13FF9"/>
    <w:pPr>
      <w:numPr>
        <w:numId w:val="2"/>
      </w:numPr>
      <w:tabs>
        <w:tab w:val="clear" w:pos="360"/>
        <w:tab w:val="num" w:pos="1080"/>
      </w:tabs>
      <w:ind w:left="0" w:firstLine="0"/>
    </w:pPr>
  </w:style>
  <w:style w:type="character" w:customStyle="1" w:styleId="NormalArialChar">
    <w:name w:val="Normal+Arial Char"/>
    <w:link w:val="NormalArial"/>
    <w:rsid w:val="00A13FF9"/>
    <w:rPr>
      <w:rFonts w:ascii="Arial" w:eastAsia="Times New Roman" w:hAnsi="Arial" w:cs="Times New Roman"/>
      <w:sz w:val="24"/>
      <w:szCs w:val="24"/>
    </w:rPr>
  </w:style>
  <w:style w:type="character" w:customStyle="1" w:styleId="BodyTextNumberedChar">
    <w:name w:val="Body Text Numbered Char"/>
    <w:link w:val="BodyTextNumbered"/>
    <w:rsid w:val="00A13FF9"/>
    <w:rPr>
      <w:rFonts w:ascii="Times New Roman" w:eastAsia="Times New Roman" w:hAnsi="Times New Roman" w:cs="Times New Roman"/>
      <w:sz w:val="24"/>
      <w:szCs w:val="20"/>
    </w:rPr>
  </w:style>
  <w:style w:type="character" w:customStyle="1" w:styleId="BodyTextCharChar2">
    <w:name w:val="Body Text Char Char2"/>
    <w:aliases w:val=" Char Char Char Char Char Char Char Char1,Body Text Char Char Char Char Char, Char Char Char Char Char Char Char Char1 Char Char Char, Char Char Char Char Char Char1 Char"/>
    <w:rsid w:val="00A13FF9"/>
    <w:rPr>
      <w:iCs/>
      <w:sz w:val="24"/>
      <w:lang w:val="en-US" w:eastAsia="en-US" w:bidi="ar-SA"/>
    </w:rPr>
  </w:style>
  <w:style w:type="character" w:customStyle="1" w:styleId="ListChar">
    <w:name w:val="List Char"/>
    <w:aliases w:val=" Char2 Char Char Char Char Char1, Char2 Char Char, Char1 Char,Char2 Char Char Char Char Char1"/>
    <w:link w:val="List"/>
    <w:rsid w:val="00A13FF9"/>
    <w:rPr>
      <w:rFonts w:ascii="Times New Roman" w:eastAsia="Times New Roman" w:hAnsi="Times New Roman" w:cs="Times New Roman"/>
      <w:sz w:val="24"/>
      <w:szCs w:val="20"/>
    </w:rPr>
  </w:style>
  <w:style w:type="character" w:customStyle="1" w:styleId="BodyTextNumberedChar1">
    <w:name w:val="Body Text Numbered Char1"/>
    <w:rsid w:val="00A13FF9"/>
    <w:rPr>
      <w:iCs/>
      <w:sz w:val="24"/>
      <w:lang w:val="en-US" w:eastAsia="en-US" w:bidi="ar-SA"/>
    </w:rPr>
  </w:style>
  <w:style w:type="character" w:customStyle="1" w:styleId="FormulaChar">
    <w:name w:val="Formula Char"/>
    <w:link w:val="Formula"/>
    <w:rsid w:val="00A13FF9"/>
    <w:rPr>
      <w:rFonts w:ascii="Times New Roman" w:eastAsia="Times New Roman" w:hAnsi="Times New Roman" w:cs="Times New Roman"/>
      <w:bCs/>
      <w:sz w:val="24"/>
      <w:szCs w:val="24"/>
    </w:rPr>
  </w:style>
  <w:style w:type="paragraph" w:customStyle="1" w:styleId="Char3">
    <w:name w:val="Char3"/>
    <w:basedOn w:val="Normal"/>
    <w:rsid w:val="00A13FF9"/>
    <w:pPr>
      <w:spacing w:after="160" w:line="240" w:lineRule="exact"/>
    </w:pPr>
    <w:rPr>
      <w:rFonts w:ascii="Verdana" w:hAnsi="Verdana"/>
      <w:sz w:val="16"/>
    </w:rPr>
  </w:style>
  <w:style w:type="paragraph" w:customStyle="1" w:styleId="Char">
    <w:name w:val="Char"/>
    <w:basedOn w:val="Normal"/>
    <w:rsid w:val="00A13FF9"/>
    <w:pPr>
      <w:spacing w:after="160" w:line="240" w:lineRule="exact"/>
    </w:pPr>
    <w:rPr>
      <w:rFonts w:ascii="Verdana" w:hAnsi="Verdana"/>
      <w:sz w:val="16"/>
    </w:rPr>
  </w:style>
  <w:style w:type="paragraph" w:customStyle="1" w:styleId="formula0">
    <w:name w:val="formula"/>
    <w:basedOn w:val="Normal"/>
    <w:rsid w:val="00A13FF9"/>
    <w:pPr>
      <w:spacing w:after="120"/>
      <w:ind w:left="720" w:hanging="720"/>
    </w:pPr>
    <w:rPr>
      <w:szCs w:val="24"/>
    </w:rPr>
  </w:style>
  <w:style w:type="character" w:customStyle="1" w:styleId="H4Char">
    <w:name w:val="H4 Char"/>
    <w:link w:val="H4"/>
    <w:rsid w:val="00A13FF9"/>
    <w:rPr>
      <w:rFonts w:ascii="Times New Roman" w:eastAsia="Times New Roman" w:hAnsi="Times New Roman" w:cs="Times New Roman"/>
      <w:b/>
      <w:bCs/>
      <w:snapToGrid w:val="0"/>
      <w:sz w:val="24"/>
      <w:szCs w:val="20"/>
    </w:rPr>
  </w:style>
  <w:style w:type="paragraph" w:customStyle="1" w:styleId="tablebody0">
    <w:name w:val="tablebody"/>
    <w:basedOn w:val="Normal"/>
    <w:rsid w:val="00A13FF9"/>
    <w:pPr>
      <w:spacing w:after="60"/>
    </w:pPr>
    <w:rPr>
      <w:sz w:val="20"/>
    </w:rPr>
  </w:style>
  <w:style w:type="paragraph" w:customStyle="1" w:styleId="Instructions">
    <w:name w:val="Instructions"/>
    <w:basedOn w:val="BodyText"/>
    <w:link w:val="InstructionsChar"/>
    <w:rsid w:val="00A13FF9"/>
    <w:rPr>
      <w:b/>
      <w:i/>
      <w:szCs w:val="24"/>
    </w:rPr>
  </w:style>
  <w:style w:type="character" w:customStyle="1" w:styleId="InstructionsChar">
    <w:name w:val="Instructions Char"/>
    <w:link w:val="Instructions"/>
    <w:rsid w:val="00A13FF9"/>
    <w:rPr>
      <w:rFonts w:ascii="Times New Roman" w:eastAsia="Times New Roman" w:hAnsi="Times New Roman" w:cs="Times New Roman"/>
      <w:b/>
      <w:i/>
      <w:iCs/>
      <w:sz w:val="24"/>
      <w:szCs w:val="24"/>
    </w:rPr>
  </w:style>
  <w:style w:type="paragraph" w:customStyle="1" w:styleId="Char4">
    <w:name w:val="Char4"/>
    <w:basedOn w:val="Normal"/>
    <w:rsid w:val="00A13FF9"/>
    <w:pPr>
      <w:spacing w:after="160" w:line="240" w:lineRule="exact"/>
    </w:pPr>
    <w:rPr>
      <w:rFonts w:ascii="Verdana" w:hAnsi="Verdana"/>
      <w:sz w:val="16"/>
    </w:rPr>
  </w:style>
  <w:style w:type="paragraph" w:customStyle="1" w:styleId="TXUHeader">
    <w:name w:val="TXUHeader"/>
    <w:basedOn w:val="Normal"/>
    <w:rsid w:val="00A13FF9"/>
    <w:pPr>
      <w:tabs>
        <w:tab w:val="right" w:pos="9360"/>
      </w:tabs>
    </w:pPr>
    <w:rPr>
      <w:noProof/>
      <w:sz w:val="16"/>
    </w:rPr>
  </w:style>
  <w:style w:type="paragraph" w:customStyle="1" w:styleId="Char32">
    <w:name w:val="Char32"/>
    <w:basedOn w:val="Normal"/>
    <w:rsid w:val="00A13FF9"/>
    <w:pPr>
      <w:spacing w:after="160" w:line="240" w:lineRule="exact"/>
    </w:pPr>
    <w:rPr>
      <w:rFonts w:ascii="Verdana" w:hAnsi="Verdana"/>
      <w:sz w:val="16"/>
    </w:rPr>
  </w:style>
  <w:style w:type="paragraph" w:customStyle="1" w:styleId="Char31">
    <w:name w:val="Char31"/>
    <w:basedOn w:val="Normal"/>
    <w:rsid w:val="00A13FF9"/>
    <w:pPr>
      <w:spacing w:after="160" w:line="240" w:lineRule="exact"/>
    </w:pPr>
    <w:rPr>
      <w:rFonts w:ascii="Verdana" w:hAnsi="Verdana"/>
      <w:sz w:val="16"/>
    </w:rPr>
  </w:style>
  <w:style w:type="character" w:customStyle="1" w:styleId="H5Char">
    <w:name w:val="H5 Char"/>
    <w:link w:val="H5"/>
    <w:rsid w:val="00A13FF9"/>
    <w:rPr>
      <w:rFonts w:ascii="Times New Roman" w:eastAsia="Times New Roman" w:hAnsi="Times New Roman" w:cs="Times New Roman"/>
      <w:b/>
      <w:bCs/>
      <w:i/>
      <w:iCs/>
      <w:sz w:val="24"/>
      <w:szCs w:val="26"/>
    </w:rPr>
  </w:style>
  <w:style w:type="paragraph" w:customStyle="1" w:styleId="TableBulletBullet">
    <w:name w:val="Table Bullet/Bullet"/>
    <w:basedOn w:val="Normal"/>
    <w:rsid w:val="00A13FF9"/>
    <w:pPr>
      <w:numPr>
        <w:numId w:val="3"/>
      </w:numPr>
    </w:pPr>
  </w:style>
  <w:style w:type="paragraph" w:customStyle="1" w:styleId="Char1">
    <w:name w:val="Char1"/>
    <w:basedOn w:val="Normal"/>
    <w:rsid w:val="00A13FF9"/>
    <w:pPr>
      <w:spacing w:after="160" w:line="240" w:lineRule="exact"/>
    </w:pPr>
    <w:rPr>
      <w:rFonts w:ascii="Verdana" w:hAnsi="Verdana"/>
      <w:sz w:val="16"/>
    </w:rPr>
  </w:style>
  <w:style w:type="paragraph" w:customStyle="1" w:styleId="Char11">
    <w:name w:val="Char11"/>
    <w:basedOn w:val="Normal"/>
    <w:rsid w:val="00A13FF9"/>
    <w:pPr>
      <w:spacing w:after="160" w:line="240" w:lineRule="exact"/>
    </w:pPr>
    <w:rPr>
      <w:rFonts w:ascii="Verdana" w:hAnsi="Verdana"/>
      <w:sz w:val="16"/>
    </w:rPr>
  </w:style>
  <w:style w:type="paragraph" w:styleId="Revision">
    <w:name w:val="Revision"/>
    <w:hidden/>
    <w:uiPriority w:val="99"/>
    <w:rsid w:val="00A13FF9"/>
    <w:rPr>
      <w:rFonts w:ascii="Times New Roman" w:eastAsia="Times New Roman" w:hAnsi="Times New Roman"/>
      <w:sz w:val="24"/>
    </w:rPr>
  </w:style>
  <w:style w:type="character" w:customStyle="1" w:styleId="H3Char">
    <w:name w:val="H3 Char"/>
    <w:link w:val="H3"/>
    <w:rsid w:val="00A13FF9"/>
    <w:rPr>
      <w:rFonts w:ascii="Times New Roman" w:eastAsia="Times New Roman" w:hAnsi="Times New Roman" w:cs="Times New Roman"/>
      <w:b/>
      <w:bCs/>
      <w:i/>
      <w:sz w:val="24"/>
      <w:szCs w:val="20"/>
    </w:rPr>
  </w:style>
  <w:style w:type="table" w:customStyle="1" w:styleId="BoxedLanguage">
    <w:name w:val="Boxed Language"/>
    <w:basedOn w:val="TableNormal"/>
    <w:rsid w:val="00A13FF9"/>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TXUSubject">
    <w:name w:val="TXUSubject"/>
    <w:basedOn w:val="Normal"/>
    <w:next w:val="Normal"/>
    <w:rsid w:val="00A13FF9"/>
    <w:pPr>
      <w:spacing w:after="240"/>
    </w:pPr>
    <w:rPr>
      <w:b/>
      <w:sz w:val="20"/>
    </w:rPr>
  </w:style>
  <w:style w:type="table" w:customStyle="1" w:styleId="FormulaVariableTable">
    <w:name w:val="Formula Variable Table"/>
    <w:basedOn w:val="TableNormal"/>
    <w:rsid w:val="00A13FF9"/>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character" w:customStyle="1" w:styleId="ListChar1">
    <w:name w:val="List Char1"/>
    <w:aliases w:val=" Char2 Char Char Char Char Char, Char2 Char Char1,Char1 Char1"/>
    <w:uiPriority w:val="99"/>
    <w:rsid w:val="00A13FF9"/>
    <w:rPr>
      <w:sz w:val="24"/>
    </w:rPr>
  </w:style>
  <w:style w:type="character" w:customStyle="1" w:styleId="H6Char">
    <w:name w:val="H6 Char"/>
    <w:link w:val="H6"/>
    <w:rsid w:val="00A13FF9"/>
    <w:rPr>
      <w:rFonts w:ascii="Times New Roman" w:eastAsia="Times New Roman" w:hAnsi="Times New Roman" w:cs="Times New Roman"/>
      <w:b/>
      <w:bCs/>
      <w:sz w:val="24"/>
    </w:rPr>
  </w:style>
  <w:style w:type="paragraph" w:customStyle="1" w:styleId="ColorfulList-Accent11">
    <w:name w:val="Colorful List - Accent 11"/>
    <w:basedOn w:val="Normal"/>
    <w:qFormat/>
    <w:rsid w:val="000169BA"/>
    <w:pPr>
      <w:ind w:left="720"/>
      <w:contextualSpacing/>
    </w:pPr>
    <w:rPr>
      <w:szCs w:val="24"/>
    </w:rPr>
  </w:style>
  <w:style w:type="paragraph" w:styleId="ListParagraph">
    <w:name w:val="List Paragraph"/>
    <w:basedOn w:val="Normal"/>
    <w:uiPriority w:val="34"/>
    <w:qFormat/>
    <w:rsid w:val="000169BA"/>
    <w:pPr>
      <w:ind w:left="720"/>
      <w:contextualSpacing/>
    </w:pPr>
    <w:rPr>
      <w:szCs w:val="24"/>
    </w:rPr>
  </w:style>
  <w:style w:type="character" w:customStyle="1" w:styleId="msoins0">
    <w:name w:val="msoins"/>
    <w:rsid w:val="00C61B40"/>
  </w:style>
  <w:style w:type="paragraph" w:styleId="HTMLAddress">
    <w:name w:val="HTML Address"/>
    <w:basedOn w:val="Normal"/>
    <w:link w:val="HTMLAddressChar"/>
    <w:unhideWhenUsed/>
    <w:rsid w:val="00773B28"/>
    <w:rPr>
      <w:i/>
      <w:iCs/>
    </w:rPr>
  </w:style>
  <w:style w:type="character" w:customStyle="1" w:styleId="HTMLAddressChar">
    <w:name w:val="HTML Address Char"/>
    <w:basedOn w:val="DefaultParagraphFont"/>
    <w:link w:val="HTMLAddress"/>
    <w:rsid w:val="00773B28"/>
    <w:rPr>
      <w:rFonts w:ascii="Times New Roman" w:eastAsia="Times New Roman" w:hAnsi="Times New Roman"/>
      <w:i/>
      <w:iCs/>
      <w:sz w:val="24"/>
    </w:rPr>
  </w:style>
  <w:style w:type="character" w:customStyle="1" w:styleId="Heading1Char1">
    <w:name w:val="Heading 1 Char1"/>
    <w:aliases w:val="h1 Char1"/>
    <w:basedOn w:val="DefaultParagraphFont"/>
    <w:rsid w:val="00773B28"/>
    <w:rPr>
      <w:rFonts w:asciiTheme="majorHAnsi" w:eastAsiaTheme="majorEastAsia" w:hAnsiTheme="majorHAnsi" w:cstheme="majorBidi"/>
      <w:color w:val="2E74B5" w:themeColor="accent1" w:themeShade="BF"/>
      <w:sz w:val="32"/>
      <w:szCs w:val="32"/>
    </w:rPr>
  </w:style>
  <w:style w:type="character" w:customStyle="1" w:styleId="Heading2Char1">
    <w:name w:val="Heading 2 Char1"/>
    <w:aliases w:val="h2 Char1"/>
    <w:basedOn w:val="DefaultParagraphFont"/>
    <w:semiHidden/>
    <w:rsid w:val="00773B28"/>
    <w:rPr>
      <w:rFonts w:asciiTheme="majorHAnsi" w:eastAsiaTheme="majorEastAsia" w:hAnsiTheme="majorHAnsi" w:cstheme="majorBidi"/>
      <w:color w:val="2E74B5" w:themeColor="accent1" w:themeShade="BF"/>
      <w:sz w:val="26"/>
      <w:szCs w:val="26"/>
    </w:rPr>
  </w:style>
  <w:style w:type="character" w:customStyle="1" w:styleId="Heading3Char1">
    <w:name w:val="Heading 3 Char1"/>
    <w:aliases w:val="h3 Char1"/>
    <w:basedOn w:val="DefaultParagraphFont"/>
    <w:semiHidden/>
    <w:rsid w:val="00773B28"/>
    <w:rPr>
      <w:rFonts w:asciiTheme="majorHAnsi" w:eastAsiaTheme="majorEastAsia" w:hAnsiTheme="majorHAnsi" w:cstheme="majorBidi"/>
      <w:color w:val="1F4D78" w:themeColor="accent1" w:themeShade="7F"/>
      <w:sz w:val="24"/>
      <w:szCs w:val="24"/>
    </w:rPr>
  </w:style>
  <w:style w:type="character" w:customStyle="1" w:styleId="Heading4Char1">
    <w:name w:val="Heading 4 Char1"/>
    <w:aliases w:val="h4 Char1,delete Char1"/>
    <w:basedOn w:val="DefaultParagraphFont"/>
    <w:semiHidden/>
    <w:rsid w:val="00773B28"/>
    <w:rPr>
      <w:rFonts w:asciiTheme="majorHAnsi" w:eastAsiaTheme="majorEastAsia" w:hAnsiTheme="majorHAnsi" w:cstheme="majorBidi"/>
      <w:i/>
      <w:iCs/>
      <w:color w:val="2E74B5" w:themeColor="accent1" w:themeShade="BF"/>
      <w:sz w:val="24"/>
      <w:szCs w:val="24"/>
    </w:rPr>
  </w:style>
  <w:style w:type="character" w:customStyle="1" w:styleId="Heading5Char1">
    <w:name w:val="Heading 5 Char1"/>
    <w:aliases w:val="h5 Char1"/>
    <w:basedOn w:val="DefaultParagraphFont"/>
    <w:semiHidden/>
    <w:rsid w:val="00773B28"/>
    <w:rPr>
      <w:rFonts w:asciiTheme="majorHAnsi" w:eastAsiaTheme="majorEastAsia" w:hAnsiTheme="majorHAnsi" w:cstheme="majorBidi"/>
      <w:color w:val="2E74B5" w:themeColor="accent1" w:themeShade="BF"/>
      <w:sz w:val="24"/>
      <w:szCs w:val="24"/>
    </w:rPr>
  </w:style>
  <w:style w:type="character" w:customStyle="1" w:styleId="Heading6Char1">
    <w:name w:val="Heading 6 Char1"/>
    <w:aliases w:val="h6 Char1"/>
    <w:basedOn w:val="DefaultParagraphFont"/>
    <w:semiHidden/>
    <w:rsid w:val="00773B28"/>
    <w:rPr>
      <w:rFonts w:asciiTheme="majorHAnsi" w:eastAsiaTheme="majorEastAsia" w:hAnsiTheme="majorHAnsi" w:cstheme="majorBidi"/>
      <w:color w:val="1F4D78" w:themeColor="accent1" w:themeShade="7F"/>
      <w:sz w:val="24"/>
      <w:szCs w:val="24"/>
    </w:rPr>
  </w:style>
  <w:style w:type="paragraph" w:styleId="HTMLPreformatted">
    <w:name w:val="HTML Preformatted"/>
    <w:basedOn w:val="Normal"/>
    <w:link w:val="HTMLPreformattedChar"/>
    <w:unhideWhenUsed/>
    <w:rsid w:val="00773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773B28"/>
    <w:rPr>
      <w:rFonts w:ascii="Courier New" w:eastAsia="Times New Roman" w:hAnsi="Courier New" w:cs="Courier New"/>
    </w:rPr>
  </w:style>
  <w:style w:type="paragraph" w:styleId="Index1">
    <w:name w:val="index 1"/>
    <w:basedOn w:val="Normal"/>
    <w:next w:val="Normal"/>
    <w:autoRedefine/>
    <w:unhideWhenUsed/>
    <w:rsid w:val="00773B28"/>
    <w:pPr>
      <w:ind w:left="240" w:hanging="240"/>
    </w:pPr>
  </w:style>
  <w:style w:type="paragraph" w:styleId="Index2">
    <w:name w:val="index 2"/>
    <w:basedOn w:val="Normal"/>
    <w:next w:val="Normal"/>
    <w:autoRedefine/>
    <w:unhideWhenUsed/>
    <w:rsid w:val="00773B28"/>
    <w:pPr>
      <w:ind w:left="480" w:hanging="240"/>
    </w:pPr>
  </w:style>
  <w:style w:type="paragraph" w:styleId="Index3">
    <w:name w:val="index 3"/>
    <w:basedOn w:val="Normal"/>
    <w:next w:val="Normal"/>
    <w:autoRedefine/>
    <w:unhideWhenUsed/>
    <w:rsid w:val="00773B28"/>
    <w:pPr>
      <w:ind w:left="720" w:hanging="240"/>
    </w:pPr>
  </w:style>
  <w:style w:type="paragraph" w:styleId="Index4">
    <w:name w:val="index 4"/>
    <w:basedOn w:val="Normal"/>
    <w:next w:val="Normal"/>
    <w:autoRedefine/>
    <w:unhideWhenUsed/>
    <w:rsid w:val="00773B28"/>
    <w:pPr>
      <w:ind w:left="960" w:hanging="240"/>
    </w:pPr>
  </w:style>
  <w:style w:type="paragraph" w:styleId="Index5">
    <w:name w:val="index 5"/>
    <w:basedOn w:val="Normal"/>
    <w:next w:val="Normal"/>
    <w:autoRedefine/>
    <w:unhideWhenUsed/>
    <w:rsid w:val="00773B28"/>
    <w:pPr>
      <w:ind w:left="1200" w:hanging="240"/>
    </w:pPr>
  </w:style>
  <w:style w:type="paragraph" w:styleId="Index6">
    <w:name w:val="index 6"/>
    <w:basedOn w:val="Normal"/>
    <w:next w:val="Normal"/>
    <w:autoRedefine/>
    <w:unhideWhenUsed/>
    <w:rsid w:val="00773B28"/>
    <w:pPr>
      <w:ind w:left="1440" w:hanging="240"/>
    </w:pPr>
  </w:style>
  <w:style w:type="paragraph" w:styleId="Index7">
    <w:name w:val="index 7"/>
    <w:basedOn w:val="Normal"/>
    <w:next w:val="Normal"/>
    <w:autoRedefine/>
    <w:unhideWhenUsed/>
    <w:rsid w:val="00773B28"/>
    <w:pPr>
      <w:ind w:left="1680" w:hanging="240"/>
    </w:pPr>
  </w:style>
  <w:style w:type="paragraph" w:styleId="Index8">
    <w:name w:val="index 8"/>
    <w:basedOn w:val="Normal"/>
    <w:next w:val="Normal"/>
    <w:autoRedefine/>
    <w:unhideWhenUsed/>
    <w:rsid w:val="00773B28"/>
    <w:pPr>
      <w:ind w:left="1920" w:hanging="240"/>
    </w:pPr>
  </w:style>
  <w:style w:type="paragraph" w:styleId="Index9">
    <w:name w:val="index 9"/>
    <w:basedOn w:val="Normal"/>
    <w:next w:val="Normal"/>
    <w:autoRedefine/>
    <w:unhideWhenUsed/>
    <w:rsid w:val="00773B28"/>
    <w:pPr>
      <w:ind w:left="2160" w:hanging="240"/>
    </w:pPr>
  </w:style>
  <w:style w:type="paragraph" w:styleId="NormalIndent">
    <w:name w:val="Normal Indent"/>
    <w:basedOn w:val="Normal"/>
    <w:unhideWhenUsed/>
    <w:rsid w:val="00773B28"/>
    <w:pPr>
      <w:ind w:left="720"/>
    </w:pPr>
  </w:style>
  <w:style w:type="paragraph" w:styleId="IndexHeading">
    <w:name w:val="index heading"/>
    <w:basedOn w:val="Normal"/>
    <w:next w:val="Index1"/>
    <w:unhideWhenUsed/>
    <w:rsid w:val="00773B28"/>
    <w:rPr>
      <w:rFonts w:ascii="Arial" w:hAnsi="Arial" w:cs="Arial"/>
      <w:b/>
      <w:bCs/>
    </w:rPr>
  </w:style>
  <w:style w:type="paragraph" w:styleId="Caption">
    <w:name w:val="caption"/>
    <w:basedOn w:val="Normal"/>
    <w:next w:val="Normal"/>
    <w:unhideWhenUsed/>
    <w:qFormat/>
    <w:rsid w:val="00773B28"/>
    <w:rPr>
      <w:b/>
      <w:bCs/>
      <w:sz w:val="20"/>
    </w:rPr>
  </w:style>
  <w:style w:type="paragraph" w:styleId="TableofFigures">
    <w:name w:val="table of figures"/>
    <w:basedOn w:val="Normal"/>
    <w:next w:val="Normal"/>
    <w:unhideWhenUsed/>
    <w:rsid w:val="00773B28"/>
  </w:style>
  <w:style w:type="paragraph" w:styleId="EnvelopeAddress">
    <w:name w:val="envelope address"/>
    <w:basedOn w:val="Normal"/>
    <w:unhideWhenUsed/>
    <w:rsid w:val="00773B28"/>
    <w:pPr>
      <w:framePr w:w="7920" w:h="1980" w:hSpace="180" w:wrap="auto" w:hAnchor="page" w:xAlign="center" w:yAlign="bottom"/>
      <w:ind w:left="2880"/>
    </w:pPr>
    <w:rPr>
      <w:rFonts w:ascii="Arial" w:hAnsi="Arial" w:cs="Arial"/>
      <w:szCs w:val="24"/>
    </w:rPr>
  </w:style>
  <w:style w:type="paragraph" w:styleId="EnvelopeReturn">
    <w:name w:val="envelope return"/>
    <w:basedOn w:val="Normal"/>
    <w:unhideWhenUsed/>
    <w:rsid w:val="00773B28"/>
    <w:rPr>
      <w:rFonts w:ascii="Arial" w:hAnsi="Arial" w:cs="Arial"/>
      <w:sz w:val="20"/>
    </w:rPr>
  </w:style>
  <w:style w:type="paragraph" w:styleId="EndnoteText">
    <w:name w:val="endnote text"/>
    <w:basedOn w:val="Normal"/>
    <w:link w:val="EndnoteTextChar"/>
    <w:unhideWhenUsed/>
    <w:rsid w:val="00773B28"/>
    <w:rPr>
      <w:sz w:val="20"/>
    </w:rPr>
  </w:style>
  <w:style w:type="character" w:customStyle="1" w:styleId="EndnoteTextChar">
    <w:name w:val="Endnote Text Char"/>
    <w:basedOn w:val="DefaultParagraphFont"/>
    <w:link w:val="EndnoteText"/>
    <w:rsid w:val="00773B28"/>
    <w:rPr>
      <w:rFonts w:ascii="Times New Roman" w:eastAsia="Times New Roman" w:hAnsi="Times New Roman"/>
    </w:rPr>
  </w:style>
  <w:style w:type="paragraph" w:styleId="TableofAuthorities">
    <w:name w:val="table of authorities"/>
    <w:basedOn w:val="Normal"/>
    <w:next w:val="Normal"/>
    <w:unhideWhenUsed/>
    <w:rsid w:val="00773B28"/>
    <w:pPr>
      <w:ind w:left="240" w:hanging="240"/>
    </w:pPr>
  </w:style>
  <w:style w:type="paragraph" w:styleId="MacroText">
    <w:name w:val="macro"/>
    <w:link w:val="MacroTextChar"/>
    <w:unhideWhenUsed/>
    <w:rsid w:val="00773B2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link w:val="MacroText"/>
    <w:rsid w:val="00773B28"/>
    <w:rPr>
      <w:rFonts w:ascii="Courier New" w:eastAsia="Times New Roman" w:hAnsi="Courier New" w:cs="Courier New"/>
    </w:rPr>
  </w:style>
  <w:style w:type="paragraph" w:styleId="TOAHeading">
    <w:name w:val="toa heading"/>
    <w:basedOn w:val="Normal"/>
    <w:next w:val="Normal"/>
    <w:unhideWhenUsed/>
    <w:rsid w:val="00773B28"/>
    <w:pPr>
      <w:spacing w:before="120"/>
    </w:pPr>
    <w:rPr>
      <w:rFonts w:ascii="Arial" w:hAnsi="Arial" w:cs="Arial"/>
      <w:b/>
      <w:bCs/>
      <w:szCs w:val="24"/>
    </w:rPr>
  </w:style>
  <w:style w:type="paragraph" w:styleId="ListBullet">
    <w:name w:val="List Bullet"/>
    <w:basedOn w:val="Normal"/>
    <w:unhideWhenUsed/>
    <w:rsid w:val="00773B28"/>
    <w:pPr>
      <w:tabs>
        <w:tab w:val="num" w:pos="360"/>
      </w:tabs>
      <w:ind w:left="360" w:hanging="360"/>
    </w:pPr>
  </w:style>
  <w:style w:type="paragraph" w:styleId="ListNumber">
    <w:name w:val="List Number"/>
    <w:basedOn w:val="Normal"/>
    <w:unhideWhenUsed/>
    <w:rsid w:val="00773B28"/>
    <w:pPr>
      <w:tabs>
        <w:tab w:val="num" w:pos="360"/>
      </w:tabs>
      <w:ind w:left="360" w:hanging="360"/>
    </w:pPr>
  </w:style>
  <w:style w:type="character" w:customStyle="1" w:styleId="List2Char">
    <w:name w:val="List 2 Char"/>
    <w:aliases w:val="Char2 Char,Char2 Char Char Char, Char2 Char1"/>
    <w:link w:val="List2"/>
    <w:locked/>
    <w:rsid w:val="00773B28"/>
    <w:rPr>
      <w:rFonts w:ascii="Times New Roman" w:eastAsia="Times New Roman" w:hAnsi="Times New Roman"/>
      <w:sz w:val="24"/>
    </w:rPr>
  </w:style>
  <w:style w:type="paragraph" w:styleId="List4">
    <w:name w:val="List 4"/>
    <w:basedOn w:val="Normal"/>
    <w:unhideWhenUsed/>
    <w:rsid w:val="00773B28"/>
    <w:pPr>
      <w:ind w:left="1440" w:hanging="360"/>
    </w:pPr>
  </w:style>
  <w:style w:type="paragraph" w:styleId="List5">
    <w:name w:val="List 5"/>
    <w:basedOn w:val="Normal"/>
    <w:unhideWhenUsed/>
    <w:rsid w:val="00773B28"/>
    <w:pPr>
      <w:ind w:left="1800" w:hanging="360"/>
    </w:pPr>
  </w:style>
  <w:style w:type="paragraph" w:styleId="ListBullet2">
    <w:name w:val="List Bullet 2"/>
    <w:basedOn w:val="Normal"/>
    <w:unhideWhenUsed/>
    <w:rsid w:val="00773B28"/>
    <w:pPr>
      <w:tabs>
        <w:tab w:val="num" w:pos="720"/>
      </w:tabs>
      <w:ind w:left="720" w:hanging="360"/>
    </w:pPr>
  </w:style>
  <w:style w:type="paragraph" w:styleId="ListBullet3">
    <w:name w:val="List Bullet 3"/>
    <w:basedOn w:val="Normal"/>
    <w:unhideWhenUsed/>
    <w:rsid w:val="00773B28"/>
    <w:pPr>
      <w:tabs>
        <w:tab w:val="num" w:pos="1080"/>
      </w:tabs>
      <w:ind w:left="1080" w:hanging="360"/>
    </w:pPr>
  </w:style>
  <w:style w:type="paragraph" w:styleId="ListBullet4">
    <w:name w:val="List Bullet 4"/>
    <w:basedOn w:val="Normal"/>
    <w:unhideWhenUsed/>
    <w:rsid w:val="00773B28"/>
    <w:pPr>
      <w:tabs>
        <w:tab w:val="num" w:pos="1440"/>
      </w:tabs>
      <w:ind w:left="1440" w:hanging="360"/>
    </w:pPr>
  </w:style>
  <w:style w:type="paragraph" w:styleId="ListBullet5">
    <w:name w:val="List Bullet 5"/>
    <w:basedOn w:val="Normal"/>
    <w:unhideWhenUsed/>
    <w:rsid w:val="00773B28"/>
    <w:pPr>
      <w:tabs>
        <w:tab w:val="num" w:pos="1800"/>
      </w:tabs>
      <w:ind w:left="1800" w:hanging="360"/>
    </w:pPr>
  </w:style>
  <w:style w:type="paragraph" w:styleId="ListNumber2">
    <w:name w:val="List Number 2"/>
    <w:basedOn w:val="Normal"/>
    <w:unhideWhenUsed/>
    <w:rsid w:val="00773B28"/>
    <w:pPr>
      <w:tabs>
        <w:tab w:val="num" w:pos="720"/>
      </w:tabs>
      <w:ind w:left="720" w:hanging="360"/>
    </w:pPr>
  </w:style>
  <w:style w:type="paragraph" w:styleId="ListNumber3">
    <w:name w:val="List Number 3"/>
    <w:basedOn w:val="Normal"/>
    <w:unhideWhenUsed/>
    <w:rsid w:val="00773B28"/>
    <w:pPr>
      <w:tabs>
        <w:tab w:val="num" w:pos="1080"/>
      </w:tabs>
      <w:ind w:left="1080" w:hanging="360"/>
    </w:pPr>
  </w:style>
  <w:style w:type="paragraph" w:styleId="ListNumber4">
    <w:name w:val="List Number 4"/>
    <w:basedOn w:val="Normal"/>
    <w:unhideWhenUsed/>
    <w:rsid w:val="00773B28"/>
    <w:pPr>
      <w:tabs>
        <w:tab w:val="num" w:pos="1440"/>
      </w:tabs>
      <w:ind w:left="1440" w:hanging="360"/>
    </w:pPr>
  </w:style>
  <w:style w:type="paragraph" w:styleId="ListNumber5">
    <w:name w:val="List Number 5"/>
    <w:basedOn w:val="Normal"/>
    <w:unhideWhenUsed/>
    <w:rsid w:val="00773B28"/>
    <w:pPr>
      <w:tabs>
        <w:tab w:val="num" w:pos="1800"/>
      </w:tabs>
      <w:ind w:left="1800" w:hanging="360"/>
    </w:pPr>
  </w:style>
  <w:style w:type="paragraph" w:styleId="Title">
    <w:name w:val="Title"/>
    <w:basedOn w:val="Normal"/>
    <w:link w:val="TitleChar"/>
    <w:qFormat/>
    <w:rsid w:val="00773B28"/>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773B28"/>
    <w:rPr>
      <w:rFonts w:ascii="Arial" w:eastAsia="Times New Roman" w:hAnsi="Arial" w:cs="Arial"/>
      <w:b/>
      <w:bCs/>
      <w:kern w:val="28"/>
      <w:sz w:val="32"/>
      <w:szCs w:val="32"/>
    </w:rPr>
  </w:style>
  <w:style w:type="paragraph" w:styleId="Closing">
    <w:name w:val="Closing"/>
    <w:basedOn w:val="Normal"/>
    <w:link w:val="ClosingChar"/>
    <w:unhideWhenUsed/>
    <w:rsid w:val="00773B28"/>
    <w:pPr>
      <w:ind w:left="4320"/>
    </w:pPr>
  </w:style>
  <w:style w:type="character" w:customStyle="1" w:styleId="ClosingChar">
    <w:name w:val="Closing Char"/>
    <w:basedOn w:val="DefaultParagraphFont"/>
    <w:link w:val="Closing"/>
    <w:rsid w:val="00773B28"/>
    <w:rPr>
      <w:rFonts w:ascii="Times New Roman" w:eastAsia="Times New Roman" w:hAnsi="Times New Roman"/>
      <w:sz w:val="24"/>
    </w:rPr>
  </w:style>
  <w:style w:type="paragraph" w:styleId="Signature">
    <w:name w:val="Signature"/>
    <w:basedOn w:val="Normal"/>
    <w:link w:val="SignatureChar"/>
    <w:unhideWhenUsed/>
    <w:rsid w:val="00773B28"/>
    <w:pPr>
      <w:ind w:left="4320"/>
    </w:pPr>
  </w:style>
  <w:style w:type="character" w:customStyle="1" w:styleId="SignatureChar">
    <w:name w:val="Signature Char"/>
    <w:basedOn w:val="DefaultParagraphFont"/>
    <w:link w:val="Signature"/>
    <w:rsid w:val="00773B28"/>
    <w:rPr>
      <w:rFonts w:ascii="Times New Roman" w:eastAsia="Times New Roman" w:hAnsi="Times New Roman"/>
      <w:sz w:val="24"/>
    </w:rPr>
  </w:style>
  <w:style w:type="paragraph" w:styleId="BodyTextIndent">
    <w:name w:val="Body Text Indent"/>
    <w:aliases w:val=" Char"/>
    <w:basedOn w:val="Normal"/>
    <w:link w:val="BodyTextIndentChar1"/>
    <w:unhideWhenUsed/>
    <w:rsid w:val="00773B28"/>
    <w:pPr>
      <w:spacing w:after="160" w:line="240" w:lineRule="exact"/>
    </w:pPr>
    <w:rPr>
      <w:rFonts w:ascii="Verdana" w:hAnsi="Verdana"/>
      <w:sz w:val="16"/>
    </w:rPr>
  </w:style>
  <w:style w:type="character" w:customStyle="1" w:styleId="BodyTextIndentChar1">
    <w:name w:val="Body Text Indent Char1"/>
    <w:aliases w:val=" Char Char1"/>
    <w:basedOn w:val="DefaultParagraphFont"/>
    <w:link w:val="BodyTextIndent"/>
    <w:uiPriority w:val="99"/>
    <w:rsid w:val="00773B28"/>
    <w:rPr>
      <w:rFonts w:ascii="Verdana" w:eastAsia="Times New Roman" w:hAnsi="Verdana"/>
      <w:sz w:val="16"/>
    </w:rPr>
  </w:style>
  <w:style w:type="paragraph" w:styleId="ListContinue">
    <w:name w:val="List Continue"/>
    <w:basedOn w:val="Normal"/>
    <w:unhideWhenUsed/>
    <w:rsid w:val="00773B28"/>
    <w:pPr>
      <w:spacing w:after="120"/>
      <w:ind w:left="360"/>
    </w:pPr>
  </w:style>
  <w:style w:type="paragraph" w:styleId="ListContinue2">
    <w:name w:val="List Continue 2"/>
    <w:basedOn w:val="Normal"/>
    <w:unhideWhenUsed/>
    <w:rsid w:val="00773B28"/>
    <w:pPr>
      <w:spacing w:after="120"/>
      <w:ind w:left="720"/>
    </w:pPr>
  </w:style>
  <w:style w:type="paragraph" w:styleId="ListContinue3">
    <w:name w:val="List Continue 3"/>
    <w:basedOn w:val="Normal"/>
    <w:unhideWhenUsed/>
    <w:rsid w:val="00773B28"/>
    <w:pPr>
      <w:spacing w:after="120"/>
      <w:ind w:left="1080"/>
    </w:pPr>
  </w:style>
  <w:style w:type="paragraph" w:styleId="ListContinue4">
    <w:name w:val="List Continue 4"/>
    <w:basedOn w:val="Normal"/>
    <w:unhideWhenUsed/>
    <w:rsid w:val="00773B28"/>
    <w:pPr>
      <w:spacing w:after="120"/>
      <w:ind w:left="1440"/>
    </w:pPr>
  </w:style>
  <w:style w:type="paragraph" w:styleId="ListContinue5">
    <w:name w:val="List Continue 5"/>
    <w:basedOn w:val="Normal"/>
    <w:unhideWhenUsed/>
    <w:rsid w:val="00773B28"/>
    <w:pPr>
      <w:spacing w:after="120"/>
      <w:ind w:left="1800"/>
    </w:pPr>
  </w:style>
  <w:style w:type="paragraph" w:styleId="MessageHeader">
    <w:name w:val="Message Header"/>
    <w:basedOn w:val="Normal"/>
    <w:link w:val="MessageHeaderChar"/>
    <w:unhideWhenUsed/>
    <w:rsid w:val="00773B2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basedOn w:val="DefaultParagraphFont"/>
    <w:link w:val="MessageHeader"/>
    <w:rsid w:val="00773B28"/>
    <w:rPr>
      <w:rFonts w:ascii="Arial" w:eastAsia="Times New Roman" w:hAnsi="Arial" w:cs="Arial"/>
      <w:sz w:val="24"/>
      <w:szCs w:val="24"/>
      <w:shd w:val="pct20" w:color="auto" w:fill="auto"/>
    </w:rPr>
  </w:style>
  <w:style w:type="paragraph" w:styleId="Subtitle">
    <w:name w:val="Subtitle"/>
    <w:basedOn w:val="Normal"/>
    <w:link w:val="SubtitleChar"/>
    <w:qFormat/>
    <w:rsid w:val="00773B28"/>
    <w:pPr>
      <w:spacing w:after="60"/>
      <w:jc w:val="center"/>
      <w:outlineLvl w:val="1"/>
    </w:pPr>
    <w:rPr>
      <w:rFonts w:ascii="Arial" w:hAnsi="Arial" w:cs="Arial"/>
      <w:szCs w:val="24"/>
    </w:rPr>
  </w:style>
  <w:style w:type="character" w:customStyle="1" w:styleId="SubtitleChar">
    <w:name w:val="Subtitle Char"/>
    <w:basedOn w:val="DefaultParagraphFont"/>
    <w:link w:val="Subtitle"/>
    <w:rsid w:val="00773B28"/>
    <w:rPr>
      <w:rFonts w:ascii="Arial" w:eastAsia="Times New Roman" w:hAnsi="Arial" w:cs="Arial"/>
      <w:sz w:val="24"/>
      <w:szCs w:val="24"/>
    </w:rPr>
  </w:style>
  <w:style w:type="paragraph" w:styleId="Salutation">
    <w:name w:val="Salutation"/>
    <w:basedOn w:val="Normal"/>
    <w:next w:val="Normal"/>
    <w:link w:val="SalutationChar"/>
    <w:unhideWhenUsed/>
    <w:rsid w:val="00773B28"/>
  </w:style>
  <w:style w:type="character" w:customStyle="1" w:styleId="SalutationChar">
    <w:name w:val="Salutation Char"/>
    <w:basedOn w:val="DefaultParagraphFont"/>
    <w:link w:val="Salutation"/>
    <w:rsid w:val="00773B28"/>
    <w:rPr>
      <w:rFonts w:ascii="Times New Roman" w:eastAsia="Times New Roman" w:hAnsi="Times New Roman"/>
      <w:sz w:val="24"/>
    </w:rPr>
  </w:style>
  <w:style w:type="paragraph" w:styleId="Date">
    <w:name w:val="Date"/>
    <w:basedOn w:val="Normal"/>
    <w:next w:val="Normal"/>
    <w:link w:val="DateChar"/>
    <w:unhideWhenUsed/>
    <w:rsid w:val="00773B28"/>
  </w:style>
  <w:style w:type="character" w:customStyle="1" w:styleId="DateChar">
    <w:name w:val="Date Char"/>
    <w:basedOn w:val="DefaultParagraphFont"/>
    <w:link w:val="Date"/>
    <w:rsid w:val="00773B28"/>
    <w:rPr>
      <w:rFonts w:ascii="Times New Roman" w:eastAsia="Times New Roman" w:hAnsi="Times New Roman"/>
      <w:sz w:val="24"/>
    </w:rPr>
  </w:style>
  <w:style w:type="paragraph" w:styleId="BodyTextFirstIndent2">
    <w:name w:val="Body Text First Indent 2"/>
    <w:basedOn w:val="BodyTextIndent"/>
    <w:link w:val="BodyTextFirstIndent2Char"/>
    <w:unhideWhenUsed/>
    <w:rsid w:val="00773B28"/>
    <w:pPr>
      <w:spacing w:after="120" w:line="240" w:lineRule="auto"/>
      <w:ind w:left="360" w:firstLine="210"/>
    </w:pPr>
    <w:rPr>
      <w:rFonts w:ascii="Times New Roman" w:hAnsi="Times New Roman"/>
      <w:sz w:val="24"/>
    </w:rPr>
  </w:style>
  <w:style w:type="character" w:customStyle="1" w:styleId="BodyTextFirstIndent2Char">
    <w:name w:val="Body Text First Indent 2 Char"/>
    <w:basedOn w:val="BodyTextIndentChar1"/>
    <w:link w:val="BodyTextFirstIndent2"/>
    <w:rsid w:val="00773B28"/>
    <w:rPr>
      <w:rFonts w:ascii="Times New Roman" w:eastAsia="Times New Roman" w:hAnsi="Times New Roman"/>
      <w:sz w:val="24"/>
    </w:rPr>
  </w:style>
  <w:style w:type="paragraph" w:styleId="NoteHeading">
    <w:name w:val="Note Heading"/>
    <w:basedOn w:val="Normal"/>
    <w:next w:val="Normal"/>
    <w:link w:val="NoteHeadingChar"/>
    <w:unhideWhenUsed/>
    <w:rsid w:val="00773B28"/>
  </w:style>
  <w:style w:type="character" w:customStyle="1" w:styleId="NoteHeadingChar">
    <w:name w:val="Note Heading Char"/>
    <w:basedOn w:val="DefaultParagraphFont"/>
    <w:link w:val="NoteHeading"/>
    <w:rsid w:val="00773B28"/>
    <w:rPr>
      <w:rFonts w:ascii="Times New Roman" w:eastAsia="Times New Roman" w:hAnsi="Times New Roman"/>
      <w:sz w:val="24"/>
    </w:rPr>
  </w:style>
  <w:style w:type="paragraph" w:styleId="BodyText2">
    <w:name w:val="Body Text 2"/>
    <w:basedOn w:val="Normal"/>
    <w:link w:val="BodyText2Char"/>
    <w:unhideWhenUsed/>
    <w:rsid w:val="00773B28"/>
    <w:pPr>
      <w:spacing w:after="120" w:line="480" w:lineRule="auto"/>
    </w:pPr>
  </w:style>
  <w:style w:type="character" w:customStyle="1" w:styleId="BodyText2Char">
    <w:name w:val="Body Text 2 Char"/>
    <w:basedOn w:val="DefaultParagraphFont"/>
    <w:link w:val="BodyText2"/>
    <w:rsid w:val="00773B28"/>
    <w:rPr>
      <w:rFonts w:ascii="Times New Roman" w:eastAsia="Times New Roman" w:hAnsi="Times New Roman"/>
      <w:sz w:val="24"/>
    </w:rPr>
  </w:style>
  <w:style w:type="paragraph" w:styleId="BodyText3">
    <w:name w:val="Body Text 3"/>
    <w:basedOn w:val="Normal"/>
    <w:link w:val="BodyText3Char"/>
    <w:unhideWhenUsed/>
    <w:rsid w:val="00773B28"/>
    <w:pPr>
      <w:spacing w:after="120"/>
    </w:pPr>
    <w:rPr>
      <w:sz w:val="16"/>
      <w:szCs w:val="16"/>
    </w:rPr>
  </w:style>
  <w:style w:type="character" w:customStyle="1" w:styleId="BodyText3Char">
    <w:name w:val="Body Text 3 Char"/>
    <w:basedOn w:val="DefaultParagraphFont"/>
    <w:link w:val="BodyText3"/>
    <w:rsid w:val="00773B28"/>
    <w:rPr>
      <w:rFonts w:ascii="Times New Roman" w:eastAsia="Times New Roman" w:hAnsi="Times New Roman"/>
      <w:sz w:val="16"/>
      <w:szCs w:val="16"/>
    </w:rPr>
  </w:style>
  <w:style w:type="paragraph" w:styleId="BodyTextIndent2">
    <w:name w:val="Body Text Indent 2"/>
    <w:basedOn w:val="Normal"/>
    <w:link w:val="BodyTextIndent2Char"/>
    <w:unhideWhenUsed/>
    <w:rsid w:val="00773B28"/>
    <w:pPr>
      <w:spacing w:after="120" w:line="480" w:lineRule="auto"/>
      <w:ind w:left="360"/>
    </w:pPr>
  </w:style>
  <w:style w:type="character" w:customStyle="1" w:styleId="BodyTextIndent2Char">
    <w:name w:val="Body Text Indent 2 Char"/>
    <w:basedOn w:val="DefaultParagraphFont"/>
    <w:link w:val="BodyTextIndent2"/>
    <w:rsid w:val="00773B28"/>
    <w:rPr>
      <w:rFonts w:ascii="Times New Roman" w:eastAsia="Times New Roman" w:hAnsi="Times New Roman"/>
      <w:sz w:val="24"/>
    </w:rPr>
  </w:style>
  <w:style w:type="paragraph" w:styleId="BodyTextIndent3">
    <w:name w:val="Body Text Indent 3"/>
    <w:basedOn w:val="Normal"/>
    <w:link w:val="BodyTextIndent3Char"/>
    <w:unhideWhenUsed/>
    <w:rsid w:val="00773B28"/>
    <w:pPr>
      <w:spacing w:after="120"/>
      <w:ind w:left="360"/>
    </w:pPr>
    <w:rPr>
      <w:sz w:val="16"/>
      <w:szCs w:val="16"/>
    </w:rPr>
  </w:style>
  <w:style w:type="character" w:customStyle="1" w:styleId="BodyTextIndent3Char">
    <w:name w:val="Body Text Indent 3 Char"/>
    <w:basedOn w:val="DefaultParagraphFont"/>
    <w:link w:val="BodyTextIndent3"/>
    <w:rsid w:val="00773B28"/>
    <w:rPr>
      <w:rFonts w:ascii="Times New Roman" w:eastAsia="Times New Roman" w:hAnsi="Times New Roman"/>
      <w:sz w:val="16"/>
      <w:szCs w:val="16"/>
    </w:rPr>
  </w:style>
  <w:style w:type="paragraph" w:styleId="PlainText">
    <w:name w:val="Plain Text"/>
    <w:basedOn w:val="Normal"/>
    <w:link w:val="PlainTextChar"/>
    <w:unhideWhenUsed/>
    <w:rsid w:val="00773B28"/>
    <w:rPr>
      <w:rFonts w:ascii="Courier New" w:hAnsi="Courier New" w:cs="Courier New"/>
      <w:sz w:val="20"/>
    </w:rPr>
  </w:style>
  <w:style w:type="character" w:customStyle="1" w:styleId="PlainTextChar">
    <w:name w:val="Plain Text Char"/>
    <w:basedOn w:val="DefaultParagraphFont"/>
    <w:link w:val="PlainText"/>
    <w:rsid w:val="00773B28"/>
    <w:rPr>
      <w:rFonts w:ascii="Courier New" w:eastAsia="Times New Roman" w:hAnsi="Courier New" w:cs="Courier New"/>
    </w:rPr>
  </w:style>
  <w:style w:type="paragraph" w:styleId="E-mailSignature">
    <w:name w:val="E-mail Signature"/>
    <w:basedOn w:val="Normal"/>
    <w:link w:val="E-mailSignatureChar"/>
    <w:unhideWhenUsed/>
    <w:rsid w:val="00773B28"/>
  </w:style>
  <w:style w:type="character" w:customStyle="1" w:styleId="E-mailSignatureChar">
    <w:name w:val="E-mail Signature Char"/>
    <w:basedOn w:val="DefaultParagraphFont"/>
    <w:link w:val="E-mailSignature"/>
    <w:rsid w:val="00773B28"/>
    <w:rPr>
      <w:rFonts w:ascii="Times New Roman" w:eastAsia="Times New Roman" w:hAnsi="Times New Roman"/>
      <w:sz w:val="24"/>
    </w:rPr>
  </w:style>
  <w:style w:type="paragraph" w:styleId="NoSpacing">
    <w:name w:val="No Spacing"/>
    <w:uiPriority w:val="1"/>
    <w:qFormat/>
    <w:rsid w:val="00773B28"/>
    <w:rPr>
      <w:rFonts w:ascii="Times New Roman" w:eastAsia="Times New Roman" w:hAnsi="Times New Roman"/>
      <w:sz w:val="24"/>
      <w:szCs w:val="24"/>
    </w:rPr>
  </w:style>
  <w:style w:type="paragraph" w:customStyle="1" w:styleId="TXUNormal">
    <w:name w:val="TXUNormal"/>
    <w:rsid w:val="00773B28"/>
    <w:pPr>
      <w:spacing w:after="120"/>
    </w:pPr>
    <w:rPr>
      <w:rFonts w:ascii="Times New Roman" w:eastAsia="Times New Roman" w:hAnsi="Times New Roman"/>
    </w:rPr>
  </w:style>
  <w:style w:type="paragraph" w:customStyle="1" w:styleId="TXUHeaderForm">
    <w:name w:val="TXUHeaderForm"/>
    <w:basedOn w:val="TXUHeader"/>
    <w:next w:val="Normal"/>
    <w:rsid w:val="00773B28"/>
    <w:rPr>
      <w:sz w:val="24"/>
    </w:rPr>
  </w:style>
  <w:style w:type="paragraph" w:customStyle="1" w:styleId="TXUFooter">
    <w:name w:val="TXUFooter"/>
    <w:basedOn w:val="TXUNormal"/>
    <w:rsid w:val="00773B28"/>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sid w:val="00773B28"/>
    <w:rPr>
      <w:sz w:val="20"/>
    </w:rPr>
  </w:style>
  <w:style w:type="paragraph" w:customStyle="1" w:styleId="Comments">
    <w:name w:val="Comments"/>
    <w:basedOn w:val="Normal"/>
    <w:rsid w:val="00773B28"/>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style>
  <w:style w:type="character" w:customStyle="1" w:styleId="BulletChar">
    <w:name w:val="Bullet Char"/>
    <w:link w:val="Bullet"/>
    <w:locked/>
    <w:rsid w:val="00773B28"/>
    <w:rPr>
      <w:sz w:val="24"/>
    </w:rPr>
  </w:style>
  <w:style w:type="paragraph" w:customStyle="1" w:styleId="Bullet">
    <w:name w:val="Bullet"/>
    <w:basedOn w:val="Normal"/>
    <w:link w:val="BulletChar"/>
    <w:rsid w:val="00773B28"/>
    <w:pPr>
      <w:numPr>
        <w:numId w:val="22"/>
      </w:numPr>
      <w:tabs>
        <w:tab w:val="clear" w:pos="360"/>
        <w:tab w:val="num" w:pos="432"/>
      </w:tabs>
      <w:spacing w:after="180"/>
      <w:ind w:left="432" w:hanging="432"/>
    </w:pPr>
    <w:rPr>
      <w:rFonts w:ascii="Calibri" w:eastAsia="Calibri" w:hAnsi="Calibri"/>
    </w:rPr>
  </w:style>
  <w:style w:type="character" w:customStyle="1" w:styleId="BulletIndentChar">
    <w:name w:val="Bullet Indent Char"/>
    <w:link w:val="BulletIndent"/>
    <w:locked/>
    <w:rsid w:val="00773B28"/>
    <w:rPr>
      <w:sz w:val="24"/>
    </w:rPr>
  </w:style>
  <w:style w:type="paragraph" w:customStyle="1" w:styleId="BulletIndent">
    <w:name w:val="Bullet Indent"/>
    <w:basedOn w:val="Normal"/>
    <w:link w:val="BulletIndentChar"/>
    <w:rsid w:val="00773B28"/>
    <w:pPr>
      <w:numPr>
        <w:numId w:val="23"/>
      </w:numPr>
      <w:tabs>
        <w:tab w:val="clear" w:pos="360"/>
        <w:tab w:val="num" w:pos="432"/>
      </w:tabs>
      <w:spacing w:after="180"/>
      <w:ind w:left="432" w:hanging="432"/>
    </w:pPr>
    <w:rPr>
      <w:rFonts w:ascii="Calibri" w:eastAsia="Calibri" w:hAnsi="Calibri"/>
    </w:rPr>
  </w:style>
  <w:style w:type="character" w:customStyle="1" w:styleId="ListSubChar">
    <w:name w:val="List Sub Char"/>
    <w:link w:val="ListSub"/>
    <w:locked/>
    <w:rsid w:val="00773B28"/>
    <w:rPr>
      <w:sz w:val="24"/>
    </w:rPr>
  </w:style>
  <w:style w:type="paragraph" w:customStyle="1" w:styleId="ListSub">
    <w:name w:val="List Sub"/>
    <w:basedOn w:val="List"/>
    <w:link w:val="ListSubChar"/>
    <w:rsid w:val="00773B28"/>
    <w:pPr>
      <w:ind w:left="720" w:firstLine="0"/>
    </w:pPr>
    <w:rPr>
      <w:rFonts w:ascii="Calibri" w:eastAsia="Calibri" w:hAnsi="Calibri"/>
    </w:rPr>
  </w:style>
  <w:style w:type="paragraph" w:customStyle="1" w:styleId="Spaceafterbox">
    <w:name w:val="Space after box"/>
    <w:basedOn w:val="Normal"/>
    <w:rsid w:val="00773B28"/>
  </w:style>
  <w:style w:type="character" w:customStyle="1" w:styleId="VariableDefinitionChar">
    <w:name w:val="Variable Definition Char"/>
    <w:link w:val="VariableDefinition"/>
    <w:locked/>
    <w:rsid w:val="00773B28"/>
    <w:rPr>
      <w:rFonts w:ascii="Times New Roman" w:eastAsia="Times New Roman" w:hAnsi="Times New Roman"/>
      <w:iCs/>
      <w:sz w:val="24"/>
    </w:rPr>
  </w:style>
  <w:style w:type="paragraph" w:customStyle="1" w:styleId="TermDefinition">
    <w:name w:val="Term Definition"/>
    <w:basedOn w:val="Normal"/>
    <w:rsid w:val="00773B28"/>
    <w:pPr>
      <w:spacing w:after="60"/>
      <w:ind w:left="720"/>
    </w:pPr>
  </w:style>
  <w:style w:type="character" w:customStyle="1" w:styleId="TermTitleChar">
    <w:name w:val="Term Title Char"/>
    <w:link w:val="TermTitle"/>
    <w:locked/>
    <w:rsid w:val="00773B28"/>
    <w:rPr>
      <w:b/>
      <w:sz w:val="24"/>
    </w:rPr>
  </w:style>
  <w:style w:type="paragraph" w:customStyle="1" w:styleId="TermTitle">
    <w:name w:val="Term Title"/>
    <w:basedOn w:val="Normal"/>
    <w:link w:val="TermTitleChar"/>
    <w:rsid w:val="00773B28"/>
    <w:pPr>
      <w:spacing w:before="120"/>
      <w:ind w:left="720"/>
    </w:pPr>
    <w:rPr>
      <w:rFonts w:ascii="Calibri" w:eastAsia="Calibri" w:hAnsi="Calibri"/>
      <w:b/>
    </w:rPr>
  </w:style>
  <w:style w:type="paragraph" w:customStyle="1" w:styleId="Style1">
    <w:name w:val="Style1"/>
    <w:basedOn w:val="BodyText3"/>
    <w:rsid w:val="00773B28"/>
    <w:rPr>
      <w:b/>
      <w:sz w:val="40"/>
      <w:szCs w:val="40"/>
    </w:rPr>
  </w:style>
  <w:style w:type="paragraph" w:customStyle="1" w:styleId="note">
    <w:name w:val="note"/>
    <w:basedOn w:val="Normal"/>
    <w:rsid w:val="00773B28"/>
    <w:rPr>
      <w:sz w:val="22"/>
    </w:rPr>
  </w:style>
  <w:style w:type="paragraph" w:customStyle="1" w:styleId="List1">
    <w:name w:val="List1"/>
    <w:basedOn w:val="H4"/>
    <w:rsid w:val="00773B28"/>
    <w:pPr>
      <w:tabs>
        <w:tab w:val="clear" w:pos="1260"/>
      </w:tabs>
      <w:snapToGrid w:val="0"/>
      <w:ind w:left="1440" w:hanging="720"/>
    </w:pPr>
    <w:rPr>
      <w:rFonts w:ascii="Calibri" w:eastAsia="Calibri" w:hAnsi="Calibri"/>
      <w:b w:val="0"/>
      <w:bCs w:val="0"/>
      <w:snapToGrid/>
    </w:rPr>
  </w:style>
  <w:style w:type="paragraph" w:customStyle="1" w:styleId="Bullet15">
    <w:name w:val="Bullet (1.5)"/>
    <w:basedOn w:val="Normal"/>
    <w:rsid w:val="00773B28"/>
    <w:pPr>
      <w:tabs>
        <w:tab w:val="num" w:pos="2520"/>
      </w:tabs>
      <w:spacing w:after="120"/>
      <w:ind w:left="2520" w:hanging="720"/>
    </w:pPr>
  </w:style>
  <w:style w:type="character" w:customStyle="1" w:styleId="BulletCharCharChar">
    <w:name w:val="Bullet Char Char Char"/>
    <w:link w:val="BulletCharChar"/>
    <w:locked/>
    <w:rsid w:val="00773B28"/>
    <w:rPr>
      <w:sz w:val="24"/>
    </w:rPr>
  </w:style>
  <w:style w:type="paragraph" w:customStyle="1" w:styleId="BulletCharChar">
    <w:name w:val="Bullet Char Char"/>
    <w:basedOn w:val="Normal"/>
    <w:link w:val="BulletCharCharChar"/>
    <w:rsid w:val="00773B28"/>
    <w:pPr>
      <w:tabs>
        <w:tab w:val="num" w:pos="450"/>
      </w:tabs>
      <w:spacing w:after="180"/>
      <w:ind w:left="450" w:hanging="360"/>
    </w:pPr>
    <w:rPr>
      <w:rFonts w:ascii="Calibri" w:eastAsia="Calibri" w:hAnsi="Calibri"/>
    </w:rPr>
  </w:style>
  <w:style w:type="paragraph" w:customStyle="1" w:styleId="bodytextnumbered0">
    <w:name w:val="bodytextnumbered"/>
    <w:basedOn w:val="Normal"/>
    <w:rsid w:val="00773B28"/>
    <w:pPr>
      <w:spacing w:after="240"/>
      <w:ind w:left="720" w:hanging="720"/>
    </w:pPr>
    <w:rPr>
      <w:rFonts w:eastAsia="Calibri"/>
      <w:szCs w:val="24"/>
    </w:rPr>
  </w:style>
  <w:style w:type="paragraph" w:customStyle="1" w:styleId="PJMNormal">
    <w:name w:val="PJM_Normal"/>
    <w:basedOn w:val="Default"/>
    <w:next w:val="Default"/>
    <w:rsid w:val="00773B28"/>
    <w:pPr>
      <w:spacing w:before="120" w:after="120"/>
    </w:pPr>
    <w:rPr>
      <w:rFonts w:cs="Times New Roman"/>
      <w:color w:val="auto"/>
    </w:rPr>
  </w:style>
  <w:style w:type="paragraph" w:customStyle="1" w:styleId="PJMListOutline1">
    <w:name w:val="PJM_List_Outline_1"/>
    <w:basedOn w:val="Default"/>
    <w:next w:val="Default"/>
    <w:rsid w:val="00773B28"/>
    <w:pPr>
      <w:spacing w:before="120" w:after="120"/>
    </w:pPr>
    <w:rPr>
      <w:rFonts w:cs="Times New Roman"/>
      <w:color w:val="auto"/>
    </w:rPr>
  </w:style>
  <w:style w:type="paragraph" w:customStyle="1" w:styleId="VariableDefinition1">
    <w:name w:val="Variable Definition+1"/>
    <w:basedOn w:val="Default"/>
    <w:next w:val="Default"/>
    <w:rsid w:val="00773B28"/>
    <w:pPr>
      <w:spacing w:after="240"/>
    </w:pPr>
    <w:rPr>
      <w:rFonts w:ascii="Times New Roman" w:hAnsi="Times New Roman" w:cs="Times New Roman"/>
      <w:color w:val="auto"/>
    </w:rPr>
  </w:style>
  <w:style w:type="paragraph" w:customStyle="1" w:styleId="ListSub2">
    <w:name w:val="List Sub+2"/>
    <w:basedOn w:val="Default"/>
    <w:next w:val="Default"/>
    <w:rsid w:val="00773B28"/>
    <w:pPr>
      <w:spacing w:after="240"/>
    </w:pPr>
    <w:rPr>
      <w:rFonts w:ascii="Times New Roman" w:hAnsi="Times New Roman" w:cs="Times New Roman"/>
      <w:color w:val="auto"/>
    </w:rPr>
  </w:style>
  <w:style w:type="paragraph" w:customStyle="1" w:styleId="H">
    <w:name w:val="H%"/>
    <w:basedOn w:val="H4"/>
    <w:rsid w:val="00773B28"/>
    <w:pPr>
      <w:snapToGrid w:val="0"/>
    </w:pPr>
    <w:rPr>
      <w:rFonts w:ascii="Calibri" w:eastAsia="Calibri" w:hAnsi="Calibri"/>
      <w:snapToGrid/>
      <w:szCs w:val="24"/>
    </w:rPr>
  </w:style>
  <w:style w:type="paragraph" w:customStyle="1" w:styleId="Style2">
    <w:name w:val="Style2"/>
    <w:basedOn w:val="H5"/>
    <w:autoRedefine/>
    <w:rsid w:val="00773B28"/>
    <w:rPr>
      <w:rFonts w:ascii="Calibri" w:eastAsia="Calibri" w:hAnsi="Calibri"/>
      <w:i w:val="0"/>
    </w:rPr>
  </w:style>
  <w:style w:type="paragraph" w:customStyle="1" w:styleId="listintroduction">
    <w:name w:val="listintroduction"/>
    <w:basedOn w:val="Normal"/>
    <w:rsid w:val="00773B28"/>
    <w:pPr>
      <w:keepNext/>
      <w:spacing w:after="240"/>
    </w:pPr>
    <w:rPr>
      <w:szCs w:val="24"/>
    </w:rPr>
  </w:style>
  <w:style w:type="paragraph" w:customStyle="1" w:styleId="RegularText">
    <w:name w:val="Regular Text"/>
    <w:basedOn w:val="Normal"/>
    <w:rsid w:val="00773B28"/>
    <w:pPr>
      <w:spacing w:before="120" w:after="120"/>
      <w:ind w:left="432"/>
      <w:jc w:val="both"/>
    </w:pPr>
  </w:style>
  <w:style w:type="character" w:styleId="FootnoteReference">
    <w:name w:val="footnote reference"/>
    <w:unhideWhenUsed/>
    <w:rsid w:val="00773B28"/>
    <w:rPr>
      <w:vertAlign w:val="superscript"/>
    </w:rPr>
  </w:style>
  <w:style w:type="character" w:styleId="PlaceholderText">
    <w:name w:val="Placeholder Text"/>
    <w:basedOn w:val="DefaultParagraphFont"/>
    <w:uiPriority w:val="99"/>
    <w:rsid w:val="00773B28"/>
    <w:rPr>
      <w:color w:val="808080"/>
    </w:rPr>
  </w:style>
  <w:style w:type="character" w:customStyle="1" w:styleId="CharCharCharCharCharCharCharChar">
    <w:name w:val="Char Char Char Char Char Char Char Char"/>
    <w:rsid w:val="00773B28"/>
    <w:rPr>
      <w:iCs/>
      <w:sz w:val="24"/>
      <w:lang w:val="en-US" w:eastAsia="en-US" w:bidi="ar-SA"/>
    </w:rPr>
  </w:style>
  <w:style w:type="paragraph" w:customStyle="1" w:styleId="InstructionsCharCharCharCharCharChar">
    <w:name w:val="Instructions Char Char Char Char Char Char"/>
    <w:basedOn w:val="Normal"/>
    <w:link w:val="InstructionsCharCharCharCharCharCharChar"/>
    <w:rsid w:val="00773B28"/>
    <w:rPr>
      <w:szCs w:val="24"/>
    </w:rPr>
  </w:style>
  <w:style w:type="character" w:customStyle="1" w:styleId="InstructionsCharCharCharCharCharCharChar">
    <w:name w:val="Instructions Char Char Char Char Char Char Char"/>
    <w:link w:val="InstructionsCharCharCharCharCharChar"/>
    <w:locked/>
    <w:rsid w:val="00773B28"/>
    <w:rPr>
      <w:rFonts w:ascii="Times New Roman" w:eastAsia="Times New Roman" w:hAnsi="Times New Roman"/>
      <w:sz w:val="24"/>
      <w:szCs w:val="24"/>
    </w:rPr>
  </w:style>
  <w:style w:type="character" w:customStyle="1" w:styleId="CharCharCharCharCharCharCharChar1">
    <w:name w:val="Char Char Char Char Char Char Char Char1"/>
    <w:rsid w:val="00773B28"/>
    <w:rPr>
      <w:iCs/>
      <w:sz w:val="24"/>
      <w:lang w:val="en-US" w:eastAsia="en-US" w:bidi="ar-SA"/>
    </w:rPr>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773B28"/>
    <w:rPr>
      <w:iCs/>
      <w:sz w:val="24"/>
      <w:lang w:val="en-US" w:eastAsia="en-US" w:bidi="ar-SA"/>
    </w:rPr>
  </w:style>
  <w:style w:type="character" w:customStyle="1" w:styleId="H2CharChar">
    <w:name w:val="H2 Char Char"/>
    <w:rsid w:val="00773B28"/>
    <w:rPr>
      <w:b w:val="0"/>
      <w:bCs w:val="0"/>
      <w:sz w:val="24"/>
      <w:lang w:val="en-US" w:eastAsia="en-US" w:bidi="ar-SA"/>
    </w:rPr>
  </w:style>
  <w:style w:type="character" w:customStyle="1" w:styleId="CharCharCharCharChar">
    <w:name w:val="Char Char Char Char Char"/>
    <w:aliases w:val="Body Text Char2 Char2,Char Char Char Char Char1,Body Text Char2 Char, Char Char Char Char Char1"/>
    <w:rsid w:val="00773B28"/>
    <w:rPr>
      <w:iCs/>
      <w:sz w:val="24"/>
      <w:lang w:val="en-US" w:eastAsia="en-US" w:bidi="ar-SA"/>
    </w:rPr>
  </w:style>
  <w:style w:type="character" w:customStyle="1" w:styleId="BodyTextChar2Char1">
    <w:name w:val="Body Text Char2 Char1"/>
    <w:aliases w:val="Char Char Char Char11,Char Char Char Char111"/>
    <w:rsid w:val="00773B28"/>
    <w:rPr>
      <w:iCs/>
      <w:sz w:val="24"/>
      <w:lang w:val="en-US" w:eastAsia="en-US" w:bidi="ar-SA"/>
    </w:rPr>
  </w:style>
  <w:style w:type="paragraph" w:customStyle="1" w:styleId="ListIntroduction0">
    <w:name w:val="List Introduction"/>
    <w:basedOn w:val="Normal"/>
    <w:link w:val="ListIntroductionChar"/>
    <w:rsid w:val="00773B28"/>
    <w:rPr>
      <w:szCs w:val="24"/>
    </w:rPr>
  </w:style>
  <w:style w:type="character" w:customStyle="1" w:styleId="ListIntroductionChar">
    <w:name w:val="List Introduction Char"/>
    <w:link w:val="ListIntroduction0"/>
    <w:locked/>
    <w:rsid w:val="00773B28"/>
    <w:rPr>
      <w:rFonts w:ascii="Times New Roman" w:eastAsia="Times New Roman" w:hAnsi="Times New Roman"/>
      <w:sz w:val="24"/>
      <w:szCs w:val="24"/>
    </w:rPr>
  </w:style>
  <w:style w:type="character" w:customStyle="1" w:styleId="BodyTextNumberedCharChar">
    <w:name w:val="Body Text Numbered Char Char"/>
    <w:rsid w:val="00773B28"/>
    <w:rPr>
      <w:iCs/>
      <w:sz w:val="24"/>
      <w:lang w:val="en-US" w:eastAsia="en-US" w:bidi="ar-SA"/>
    </w:rPr>
  </w:style>
  <w:style w:type="character" w:customStyle="1" w:styleId="DeltaViewInsertion">
    <w:name w:val="DeltaView Insertion"/>
    <w:rsid w:val="00773B28"/>
    <w:rPr>
      <w:color w:val="0000FF"/>
      <w:spacing w:val="0"/>
      <w:u w:val="double"/>
    </w:rPr>
  </w:style>
  <w:style w:type="character" w:customStyle="1" w:styleId="DeltaViewMoveDestination">
    <w:name w:val="DeltaView Move Destination"/>
    <w:rsid w:val="00773B28"/>
    <w:rPr>
      <w:color w:val="00C000"/>
      <w:spacing w:val="0"/>
      <w:u w:val="double"/>
    </w:rPr>
  </w:style>
  <w:style w:type="paragraph" w:styleId="BodyTextFirstIndent">
    <w:name w:val="Body Text First Indent"/>
    <w:basedOn w:val="BodyText"/>
    <w:link w:val="BodyTextFirstIndentChar"/>
    <w:unhideWhenUsed/>
    <w:rsid w:val="00773B28"/>
    <w:pPr>
      <w:spacing w:after="0"/>
      <w:ind w:firstLine="360"/>
    </w:pPr>
    <w:rPr>
      <w:iCs w:val="0"/>
      <w:szCs w:val="24"/>
    </w:rPr>
  </w:style>
  <w:style w:type="character" w:customStyle="1" w:styleId="BodyTextFirstIndentChar">
    <w:name w:val="Body Text First Indent Char"/>
    <w:basedOn w:val="BodyTextChar1"/>
    <w:link w:val="BodyTextFirstIndent"/>
    <w:rsid w:val="00773B28"/>
    <w:rPr>
      <w:rFonts w:ascii="Times New Roman" w:eastAsia="Times New Roman" w:hAnsi="Times New Roman" w:cs="Times New Roman"/>
      <w:iCs w:val="0"/>
      <w:sz w:val="24"/>
      <w:szCs w:val="24"/>
    </w:rPr>
  </w:style>
  <w:style w:type="character" w:customStyle="1" w:styleId="BodyTextChar2">
    <w:name w:val="Body Text Char2"/>
    <w:aliases w:val="Char Char Char Char Char Char Char2,Char Char Char Char Char Char Charh2 Char1,... Char1, Char Char Char Char Char Char Char2, Char Char Char Char Char Char Char Char3,Body Text Char Char Char3,Body Text Char1 Char Char Char3"/>
    <w:basedOn w:val="DefaultParagraphFont"/>
    <w:rsid w:val="00773B28"/>
    <w:rPr>
      <w:rFonts w:ascii="Times New Roman" w:eastAsia="Times New Roman" w:hAnsi="Times New Roman"/>
      <w:sz w:val="24"/>
      <w:szCs w:val="24"/>
    </w:rPr>
  </w:style>
  <w:style w:type="character" w:customStyle="1" w:styleId="H3Char1">
    <w:name w:val="H3 Char1"/>
    <w:rsid w:val="00773B28"/>
    <w:rPr>
      <w:b/>
      <w:bCs/>
      <w:i/>
      <w:iCs w:val="0"/>
      <w:sz w:val="24"/>
      <w:lang w:val="en-US" w:eastAsia="en-US" w:bidi="ar-SA"/>
    </w:rPr>
  </w:style>
  <w:style w:type="character" w:customStyle="1" w:styleId="bodytextnumberedchar0">
    <w:name w:val="bodytextnumberedchar"/>
    <w:rsid w:val="00773B28"/>
  </w:style>
  <w:style w:type="character" w:customStyle="1" w:styleId="TableHeadChar">
    <w:name w:val="Table Head Char"/>
    <w:rsid w:val="00773B28"/>
    <w:rPr>
      <w:b/>
      <w:bCs w:val="0"/>
      <w:iCs/>
      <w:sz w:val="24"/>
      <w:lang w:val="en-US" w:eastAsia="en-US" w:bidi="ar-SA"/>
    </w:rPr>
  </w:style>
  <w:style w:type="character" w:customStyle="1" w:styleId="Char1CharChar">
    <w:name w:val="Char1 Char Char"/>
    <w:rsid w:val="00773B28"/>
    <w:rPr>
      <w:iCs/>
      <w:sz w:val="24"/>
      <w:lang w:val="en-US" w:eastAsia="en-US" w:bidi="ar-SA"/>
    </w:rPr>
  </w:style>
  <w:style w:type="character" w:customStyle="1" w:styleId="CharChar2">
    <w:name w:val="Char Char2"/>
    <w:rsid w:val="00773B28"/>
    <w:rPr>
      <w:b/>
      <w:bCs/>
      <w:i/>
      <w:iCs w:val="0"/>
      <w:sz w:val="24"/>
      <w:lang w:val="en-US" w:eastAsia="en-US" w:bidi="ar-SA"/>
    </w:rPr>
  </w:style>
  <w:style w:type="character" w:customStyle="1" w:styleId="Char21">
    <w:name w:val="Char21"/>
    <w:rsid w:val="00773B28"/>
    <w:rPr>
      <w:b/>
      <w:bCs/>
      <w:i/>
      <w:iCs w:val="0"/>
      <w:sz w:val="24"/>
      <w:lang w:val="en-US" w:eastAsia="en-US" w:bidi="ar-SA"/>
    </w:rPr>
  </w:style>
  <w:style w:type="character" w:customStyle="1" w:styleId="CharCharChar">
    <w:name w:val="Char Char Char"/>
    <w:rsid w:val="00773B28"/>
    <w:rPr>
      <w:sz w:val="24"/>
      <w:lang w:val="en-US" w:eastAsia="en-US" w:bidi="ar-SA"/>
    </w:rPr>
  </w:style>
  <w:style w:type="character" w:customStyle="1" w:styleId="h3CharChar">
    <w:name w:val="h3 Char Char"/>
    <w:rsid w:val="00773B28"/>
    <w:rPr>
      <w:b/>
      <w:bCs/>
      <w:i/>
      <w:iCs w:val="0"/>
      <w:sz w:val="24"/>
      <w:lang w:val="en-US" w:eastAsia="en-US" w:bidi="ar-SA"/>
    </w:rPr>
  </w:style>
  <w:style w:type="character" w:customStyle="1" w:styleId="InstructionsCharChar">
    <w:name w:val="Instructions Char Char"/>
    <w:rsid w:val="00773B28"/>
    <w:rPr>
      <w:b/>
      <w:bCs w:val="0"/>
      <w:i/>
      <w:iCs/>
      <w:sz w:val="24"/>
      <w:szCs w:val="24"/>
      <w:lang w:val="en-US" w:eastAsia="en-US" w:bidi="ar-SA"/>
    </w:rPr>
  </w:style>
  <w:style w:type="character" w:customStyle="1" w:styleId="CharCharCharChar1">
    <w:name w:val="Char Char Char Char1"/>
    <w:aliases w:val="Char1 Char Char Char Char, Char1 Char Char Char Char"/>
    <w:rsid w:val="00773B28"/>
    <w:rPr>
      <w:sz w:val="24"/>
      <w:lang w:val="en-US" w:eastAsia="en-US" w:bidi="ar-SA"/>
    </w:rPr>
  </w:style>
  <w:style w:type="character" w:customStyle="1" w:styleId="H3CharChar0">
    <w:name w:val="H3 Char Char"/>
    <w:rsid w:val="00773B28"/>
    <w:rPr>
      <w:b w:val="0"/>
      <w:bCs w:val="0"/>
      <w:i w:val="0"/>
      <w:iCs w:val="0"/>
      <w:sz w:val="24"/>
      <w:lang w:val="en-US" w:eastAsia="en-US" w:bidi="ar-SA"/>
    </w:rPr>
  </w:style>
  <w:style w:type="character" w:customStyle="1" w:styleId="ListIntroductionCharChar">
    <w:name w:val="List Introduction Char Char"/>
    <w:rsid w:val="00773B28"/>
    <w:rPr>
      <w:iCs/>
      <w:sz w:val="24"/>
      <w:lang w:val="en-US" w:eastAsia="en-US" w:bidi="ar-SA"/>
    </w:rPr>
  </w:style>
  <w:style w:type="character" w:customStyle="1" w:styleId="H4CharChar">
    <w:name w:val="H4 Char Char"/>
    <w:rsid w:val="00773B28"/>
    <w:rPr>
      <w:b/>
      <w:bCs/>
      <w:snapToGrid/>
      <w:sz w:val="24"/>
      <w:lang w:val="en-US" w:eastAsia="en-US" w:bidi="ar-SA"/>
    </w:rPr>
  </w:style>
  <w:style w:type="character" w:customStyle="1" w:styleId="Char2CharChar1">
    <w:name w:val="Char2 Char Char1"/>
    <w:rsid w:val="00773B28"/>
    <w:rPr>
      <w:sz w:val="24"/>
      <w:lang w:val="en-US" w:eastAsia="en-US" w:bidi="ar-SA"/>
    </w:rPr>
  </w:style>
  <w:style w:type="character" w:customStyle="1" w:styleId="CharChar3">
    <w:name w:val="Char Char3"/>
    <w:rsid w:val="00773B28"/>
    <w:rPr>
      <w:sz w:val="24"/>
      <w:lang w:val="en-US" w:eastAsia="en-US" w:bidi="ar-SA"/>
    </w:rPr>
  </w:style>
  <w:style w:type="character" w:customStyle="1" w:styleId="CharCharChar11">
    <w:name w:val="Char Char Char11"/>
    <w:aliases w:val="Char111,Body Text Char Char11,Char Char Char Char Char21,Char1 Char Char11,Body Text Char2 Char Char21,Body Text Char2 Char Char Char Char Char Char Char Char Char Char Char11,Body Text Char2 Char31,Body Text Char2 Char41"/>
    <w:rsid w:val="00773B28"/>
    <w:rPr>
      <w:sz w:val="24"/>
      <w:lang w:val="en-US" w:eastAsia="en-US" w:bidi="ar-SA"/>
    </w:rPr>
  </w:style>
  <w:style w:type="character" w:customStyle="1" w:styleId="CharChar4">
    <w:name w:val="Char Char4"/>
    <w:rsid w:val="00773B28"/>
    <w:rPr>
      <w:sz w:val="24"/>
      <w:lang w:val="en-US" w:eastAsia="en-US" w:bidi="ar-SA"/>
    </w:rPr>
  </w:style>
  <w:style w:type="character" w:customStyle="1" w:styleId="Char1CharChar1">
    <w:name w:val="Char1 Char Char1"/>
    <w:rsid w:val="00773B28"/>
    <w:rPr>
      <w:sz w:val="24"/>
      <w:lang w:val="en-US" w:eastAsia="en-US" w:bidi="ar-SA"/>
    </w:rPr>
  </w:style>
  <w:style w:type="character" w:customStyle="1" w:styleId="CharChar12">
    <w:name w:val="Char Char12"/>
    <w:rsid w:val="00773B28"/>
    <w:rPr>
      <w:sz w:val="24"/>
      <w:lang w:val="en-US" w:eastAsia="en-US" w:bidi="ar-SA"/>
    </w:rPr>
  </w:style>
  <w:style w:type="character" w:customStyle="1" w:styleId="CharChar5">
    <w:name w:val="Char Char5"/>
    <w:rsid w:val="00773B28"/>
    <w:rPr>
      <w:iCs/>
      <w:sz w:val="24"/>
      <w:lang w:val="en-US" w:eastAsia="en-US" w:bidi="ar-SA"/>
    </w:rPr>
  </w:style>
  <w:style w:type="character" w:customStyle="1" w:styleId="CharCharCharChar3">
    <w:name w:val="Char Char Char Char3"/>
    <w:rsid w:val="00773B28"/>
    <w:rPr>
      <w:iCs/>
      <w:sz w:val="24"/>
      <w:lang w:val="en-US" w:eastAsia="en-US" w:bidi="ar-SA"/>
    </w:rPr>
  </w:style>
  <w:style w:type="character" w:customStyle="1" w:styleId="CharChar42">
    <w:name w:val="Char Char42"/>
    <w:rsid w:val="00773B28"/>
    <w:rPr>
      <w:sz w:val="24"/>
      <w:lang w:val="en-US" w:eastAsia="en-US" w:bidi="ar-SA"/>
    </w:rPr>
  </w:style>
  <w:style w:type="character" w:customStyle="1" w:styleId="CharCharChar2">
    <w:name w:val="Char Char Char2"/>
    <w:rsid w:val="00773B28"/>
    <w:rPr>
      <w:iCs/>
      <w:sz w:val="24"/>
      <w:lang w:val="en-US" w:eastAsia="en-US" w:bidi="ar-SA"/>
    </w:rPr>
  </w:style>
  <w:style w:type="character" w:customStyle="1" w:styleId="Char1CharChar12">
    <w:name w:val="Char1 Char Char12"/>
    <w:rsid w:val="00773B28"/>
    <w:rPr>
      <w:sz w:val="24"/>
      <w:lang w:val="en-US" w:eastAsia="en-US" w:bidi="ar-SA"/>
    </w:rPr>
  </w:style>
  <w:style w:type="character" w:customStyle="1" w:styleId="CharCharChar22">
    <w:name w:val="Char Char Char22"/>
    <w:rsid w:val="00773B28"/>
    <w:rPr>
      <w:iCs/>
      <w:sz w:val="24"/>
      <w:lang w:val="en-US" w:eastAsia="en-US" w:bidi="ar-SA"/>
    </w:rPr>
  </w:style>
  <w:style w:type="character" w:customStyle="1" w:styleId="CharChar6">
    <w:name w:val="Char Char6"/>
    <w:rsid w:val="00773B28"/>
    <w:rPr>
      <w:sz w:val="24"/>
      <w:lang w:val="en-US" w:eastAsia="en-US" w:bidi="ar-SA"/>
    </w:rPr>
  </w:style>
  <w:style w:type="character" w:customStyle="1" w:styleId="ListCharChar">
    <w:name w:val="List Char Char"/>
    <w:rsid w:val="00773B28"/>
    <w:rPr>
      <w:sz w:val="24"/>
      <w:lang w:val="en-US" w:eastAsia="en-US" w:bidi="ar-SA"/>
    </w:rPr>
  </w:style>
  <w:style w:type="character" w:customStyle="1" w:styleId="CharChar11">
    <w:name w:val="Char Char11"/>
    <w:rsid w:val="00773B28"/>
    <w:rPr>
      <w:sz w:val="24"/>
      <w:lang w:val="en-US" w:eastAsia="en-US" w:bidi="ar-SA"/>
    </w:rPr>
  </w:style>
  <w:style w:type="character" w:customStyle="1" w:styleId="CharCharCharChar2">
    <w:name w:val="Char Char Char Char2"/>
    <w:aliases w:val="Char Char Char Char Char Char1,Char1 Char Char Char1,Body Text Char2 Char Char Char,Body Text Char2 Char Char Char Char Char Char Char Char Char Char Char Char,Body Text Char2 Char Char1, Char Char Char Char Char Char1"/>
    <w:rsid w:val="00773B28"/>
    <w:rPr>
      <w:iCs/>
      <w:sz w:val="24"/>
      <w:lang w:val="en-US" w:eastAsia="en-US" w:bidi="ar-SA"/>
    </w:rPr>
  </w:style>
  <w:style w:type="character" w:customStyle="1" w:styleId="CharChar41">
    <w:name w:val="Char Char41"/>
    <w:rsid w:val="00773B28"/>
    <w:rPr>
      <w:sz w:val="24"/>
      <w:lang w:val="en-US" w:eastAsia="en-US" w:bidi="ar-SA"/>
    </w:rPr>
  </w:style>
  <w:style w:type="character" w:customStyle="1" w:styleId="CharCharChar21">
    <w:name w:val="Char Char Char21"/>
    <w:rsid w:val="00773B28"/>
    <w:rPr>
      <w:iCs/>
      <w:sz w:val="24"/>
      <w:lang w:val="en-US" w:eastAsia="en-US" w:bidi="ar-SA"/>
    </w:rPr>
  </w:style>
  <w:style w:type="character" w:customStyle="1" w:styleId="BodyText1Char">
    <w:name w:val="Body Text1 Char"/>
    <w:aliases w:val="Char11 Char,Char Char Char Char Char Char Char Char Char Char Char Char Char Char Char Char Char Char Char Char Char Char Char Char, Char11 Char"/>
    <w:rsid w:val="00773B28"/>
    <w:rPr>
      <w:iCs/>
      <w:sz w:val="24"/>
      <w:lang w:val="en-US" w:eastAsia="en-US" w:bidi="ar-SA"/>
    </w:rPr>
  </w:style>
  <w:style w:type="character" w:customStyle="1" w:styleId="TextChar">
    <w:name w:val="Text Char"/>
    <w:rsid w:val="00773B28"/>
    <w:rPr>
      <w:iCs/>
      <w:sz w:val="24"/>
      <w:lang w:val="en-US" w:eastAsia="en-US" w:bidi="ar-SA"/>
    </w:rPr>
  </w:style>
  <w:style w:type="table" w:customStyle="1" w:styleId="VariableTable">
    <w:name w:val="Variable Table"/>
    <w:basedOn w:val="TableNormal"/>
    <w:rsid w:val="00773B28"/>
    <w:rPr>
      <w:rFonts w:ascii="Times New Roman" w:eastAsia="Times New Roman" w:hAnsi="Times New Roman"/>
    </w:rPr>
    <w:tblPr>
      <w:tblInd w:w="0" w:type="nil"/>
    </w:tblPr>
  </w:style>
  <w:style w:type="table" w:customStyle="1" w:styleId="TableGrid1">
    <w:name w:val="Table Grid1"/>
    <w:basedOn w:val="TableNormal"/>
    <w:rsid w:val="00773B28"/>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rsid w:val="00773B2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
    <w:name w:val="Boxed Language1"/>
    <w:basedOn w:val="TableNormal"/>
    <w:rsid w:val="00773B2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773B28"/>
    <w:rPr>
      <w:rFonts w:ascii="Times New Roman" w:eastAsia="Times New Roman" w:hAnsi="Times New Roman"/>
    </w:rPr>
    <w:tblPr>
      <w:tblInd w:w="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cs="Times New Roman"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equals">
    <w:name w:val="equals"/>
    <w:basedOn w:val="Normal"/>
    <w:rsid w:val="00773B28"/>
    <w:pPr>
      <w:spacing w:after="240"/>
      <w:ind w:left="3168" w:hanging="2880"/>
    </w:pPr>
    <w:rPr>
      <w:iCs/>
    </w:rPr>
  </w:style>
  <w:style w:type="paragraph" w:customStyle="1" w:styleId="Acronym">
    <w:name w:val="Acronym"/>
    <w:basedOn w:val="Normal"/>
    <w:rsid w:val="00773B28"/>
    <w:pPr>
      <w:tabs>
        <w:tab w:val="left" w:pos="1440"/>
      </w:tabs>
    </w:pPr>
    <w:rPr>
      <w:iCs/>
    </w:rPr>
  </w:style>
  <w:style w:type="character" w:customStyle="1" w:styleId="CharChar1">
    <w:name w:val="Char Char1"/>
    <w:rsid w:val="00D81D75"/>
    <w:rPr>
      <w:b/>
      <w:bCs/>
      <w:i/>
      <w:iCs/>
      <w:sz w:val="24"/>
      <w:szCs w:val="26"/>
      <w:lang w:val="en-US" w:eastAsia="en-US" w:bidi="ar-SA"/>
    </w:rPr>
  </w:style>
  <w:style w:type="character" w:customStyle="1" w:styleId="Char2CharCharCharCharChar">
    <w:name w:val="Char2 Char Char Char Char Char"/>
    <w:aliases w:val=" Char2 Char Char Char"/>
    <w:rsid w:val="00D81D75"/>
    <w:rPr>
      <w:sz w:val="24"/>
      <w:lang w:val="en-US" w:eastAsia="en-US" w:bidi="ar-SA"/>
    </w:rPr>
  </w:style>
  <w:style w:type="character" w:customStyle="1" w:styleId="CharCharCharChar">
    <w:name w:val="Char Char Char Char"/>
    <w:aliases w:val="Body Text Char2 Char Char"/>
    <w:rsid w:val="00D81D75"/>
    <w:rPr>
      <w:iCs/>
      <w:sz w:val="24"/>
      <w:lang w:val="en-US" w:eastAsia="en-US" w:bidi="ar-SA"/>
    </w:rPr>
  </w:style>
  <w:style w:type="character" w:styleId="Strong">
    <w:name w:val="Strong"/>
    <w:qFormat/>
    <w:rsid w:val="00D81D75"/>
    <w:rPr>
      <w:b/>
      <w:bCs/>
    </w:rPr>
  </w:style>
  <w:style w:type="paragraph" w:customStyle="1" w:styleId="BulletIndent2">
    <w:name w:val="Bullet Indent 2"/>
    <w:basedOn w:val="BulletIndent"/>
    <w:rsid w:val="00D81D75"/>
    <w:pPr>
      <w:numPr>
        <w:numId w:val="0"/>
      </w:numPr>
      <w:tabs>
        <w:tab w:val="left" w:pos="2520"/>
      </w:tabs>
      <w:ind w:left="2520" w:hanging="547"/>
    </w:pPr>
    <w:rPr>
      <w:rFonts w:ascii="Times New Roman" w:eastAsia="Times New Roman" w:hAnsi="Times New Roman"/>
    </w:rPr>
  </w:style>
  <w:style w:type="character" w:customStyle="1" w:styleId="ListCharChar1">
    <w:name w:val="List Char Char1"/>
    <w:rsid w:val="00D81D75"/>
    <w:rPr>
      <w:sz w:val="24"/>
      <w:lang w:val="en-US" w:eastAsia="en-US" w:bidi="ar-SA"/>
    </w:rPr>
  </w:style>
  <w:style w:type="character" w:customStyle="1" w:styleId="UnresolvedMention1">
    <w:name w:val="Unresolved Mention1"/>
    <w:basedOn w:val="DefaultParagraphFont"/>
    <w:uiPriority w:val="99"/>
    <w:semiHidden/>
    <w:unhideWhenUsed/>
    <w:rsid w:val="00D81D75"/>
    <w:rPr>
      <w:color w:val="605E5C"/>
      <w:shd w:val="clear" w:color="auto" w:fill="E1DFDD"/>
    </w:rPr>
  </w:style>
  <w:style w:type="table" w:customStyle="1" w:styleId="BoxedLanguage2">
    <w:name w:val="Boxed Language2"/>
    <w:basedOn w:val="TableNormal"/>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2">
    <w:name w:val="Formula Variable Table2"/>
    <w:basedOn w:val="TableNormal"/>
    <w:rsid w:val="00D81D75"/>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3">
    <w:name w:val="Table Grid3"/>
    <w:basedOn w:val="TableNormal"/>
    <w:next w:val="TableGrid"/>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1">
    <w:name w:val="Variable Table1"/>
    <w:basedOn w:val="TableNormal"/>
    <w:rsid w:val="00D81D75"/>
    <w:rPr>
      <w:rFonts w:ascii="Times New Roman" w:eastAsia="Times New Roman" w:hAnsi="Times New Roman"/>
    </w:rPr>
    <w:tblPr/>
  </w:style>
  <w:style w:type="table" w:customStyle="1" w:styleId="TableGrid11">
    <w:name w:val="Table Grid11"/>
    <w:basedOn w:val="TableNormal"/>
    <w:next w:val="TableGrid"/>
    <w:rsid w:val="00D81D7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oxedLanguage3">
    <w:name w:val="Boxed Language3"/>
    <w:basedOn w:val="TableNormal"/>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3">
    <w:name w:val="Formula Variable Table3"/>
    <w:basedOn w:val="TableNormal"/>
    <w:rsid w:val="00D81D75"/>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4">
    <w:name w:val="Table Grid4"/>
    <w:basedOn w:val="TableNormal"/>
    <w:next w:val="TableGrid"/>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2">
    <w:name w:val="Variable Table2"/>
    <w:basedOn w:val="TableNormal"/>
    <w:rsid w:val="00D81D75"/>
    <w:rPr>
      <w:rFonts w:ascii="Times New Roman" w:eastAsia="Times New Roman" w:hAnsi="Times New Roman"/>
    </w:rPr>
    <w:tblPr/>
  </w:style>
  <w:style w:type="table" w:customStyle="1" w:styleId="TableGrid12">
    <w:name w:val="Table Grid12"/>
    <w:basedOn w:val="TableNormal"/>
    <w:next w:val="TableGrid"/>
    <w:rsid w:val="00D81D7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1">
    <w:name w:val="Boxed Language11"/>
    <w:basedOn w:val="TableNormal"/>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1">
    <w:name w:val="Formula Variable Table11"/>
    <w:basedOn w:val="TableNormal"/>
    <w:rsid w:val="00D81D75"/>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character" w:styleId="UnresolvedMention">
    <w:name w:val="Unresolved Mention"/>
    <w:basedOn w:val="DefaultParagraphFont"/>
    <w:uiPriority w:val="99"/>
    <w:semiHidden/>
    <w:unhideWhenUsed/>
    <w:rsid w:val="00E4313A"/>
    <w:rPr>
      <w:color w:val="605E5C"/>
      <w:shd w:val="clear" w:color="auto" w:fill="E1DFDD"/>
    </w:rPr>
  </w:style>
  <w:style w:type="character" w:customStyle="1" w:styleId="BodyTextIndentChar2">
    <w:name w:val="Body Text Indent Char2"/>
    <w:aliases w:val=" Char Char2"/>
    <w:basedOn w:val="DefaultParagraphFont"/>
    <w:rsid w:val="00567A2A"/>
    <w:rPr>
      <w:iCs/>
      <w:sz w:val="24"/>
    </w:rPr>
  </w:style>
  <w:style w:type="table" w:customStyle="1" w:styleId="FormulaVariableTable111">
    <w:name w:val="Formula Variable Table111"/>
    <w:basedOn w:val="TableNormal"/>
    <w:rsid w:val="00567A2A"/>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5">
    <w:name w:val="Table Grid5"/>
    <w:basedOn w:val="TableNormal"/>
    <w:next w:val="TableGrid"/>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4">
    <w:name w:val="Boxed Language4"/>
    <w:basedOn w:val="TableNormal"/>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4">
    <w:name w:val="Formula Variable Table4"/>
    <w:basedOn w:val="TableNormal"/>
    <w:rsid w:val="00567A2A"/>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VariableTable3">
    <w:name w:val="Variable Table3"/>
    <w:basedOn w:val="TableNormal"/>
    <w:rsid w:val="00567A2A"/>
    <w:rPr>
      <w:rFonts w:ascii="Times New Roman" w:eastAsia="Times New Roman" w:hAnsi="Times New Roman"/>
    </w:rPr>
    <w:tblPr>
      <w:tblInd w:w="0" w:type="nil"/>
    </w:tblPr>
  </w:style>
  <w:style w:type="table" w:customStyle="1" w:styleId="TableGrid13">
    <w:name w:val="Table Grid13"/>
    <w:basedOn w:val="TableNormal"/>
    <w:rsid w:val="00567A2A"/>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rsid w:val="00567A2A"/>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2">
    <w:name w:val="Boxed Language12"/>
    <w:basedOn w:val="TableNormal"/>
    <w:rsid w:val="00567A2A"/>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2">
    <w:name w:val="Formula Variable Table12"/>
    <w:basedOn w:val="TableNormal"/>
    <w:rsid w:val="00567A2A"/>
    <w:rPr>
      <w:rFonts w:ascii="Times New Roman" w:eastAsia="Times New Roman" w:hAnsi="Times New Roman"/>
    </w:rPr>
    <w:tblPr>
      <w:tblInd w:w="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cs="Times New Roman"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BoxedLanguage21">
    <w:name w:val="Boxed Language21"/>
    <w:basedOn w:val="TableNormal"/>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21">
    <w:name w:val="Formula Variable Table21"/>
    <w:basedOn w:val="TableNormal"/>
    <w:rsid w:val="00567A2A"/>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31">
    <w:name w:val="Table Grid31"/>
    <w:basedOn w:val="TableNormal"/>
    <w:next w:val="TableGrid"/>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11">
    <w:name w:val="Variable Table11"/>
    <w:basedOn w:val="TableNormal"/>
    <w:rsid w:val="00567A2A"/>
    <w:rPr>
      <w:rFonts w:ascii="Times New Roman" w:eastAsia="Times New Roman" w:hAnsi="Times New Roman"/>
    </w:rPr>
    <w:tblPr/>
  </w:style>
  <w:style w:type="table" w:customStyle="1" w:styleId="TableGrid111">
    <w:name w:val="Table Grid111"/>
    <w:basedOn w:val="TableNormal"/>
    <w:next w:val="TableGrid"/>
    <w:rsid w:val="00567A2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oxedLanguage31">
    <w:name w:val="Boxed Language31"/>
    <w:basedOn w:val="TableNormal"/>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31">
    <w:name w:val="Formula Variable Table31"/>
    <w:basedOn w:val="TableNormal"/>
    <w:rsid w:val="00567A2A"/>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41">
    <w:name w:val="Table Grid41"/>
    <w:basedOn w:val="TableNormal"/>
    <w:next w:val="TableGrid"/>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21">
    <w:name w:val="Variable Table21"/>
    <w:basedOn w:val="TableNormal"/>
    <w:rsid w:val="00567A2A"/>
    <w:rPr>
      <w:rFonts w:ascii="Times New Roman" w:eastAsia="Times New Roman" w:hAnsi="Times New Roman"/>
    </w:rPr>
    <w:tblPr/>
  </w:style>
  <w:style w:type="table" w:customStyle="1" w:styleId="TableGrid121">
    <w:name w:val="Table Grid121"/>
    <w:basedOn w:val="TableNormal"/>
    <w:next w:val="TableGrid"/>
    <w:rsid w:val="00567A2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11">
    <w:name w:val="Boxed Language111"/>
    <w:basedOn w:val="TableNormal"/>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12">
    <w:name w:val="Formula Variable Table112"/>
    <w:basedOn w:val="TableNormal"/>
    <w:rsid w:val="00567A2A"/>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character" w:customStyle="1" w:styleId="ui-provider">
    <w:name w:val="ui-provider"/>
    <w:basedOn w:val="DefaultParagraphFont"/>
    <w:rsid w:val="009944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1617">
      <w:bodyDiv w:val="1"/>
      <w:marLeft w:val="0"/>
      <w:marRight w:val="0"/>
      <w:marTop w:val="0"/>
      <w:marBottom w:val="0"/>
      <w:divBdr>
        <w:top w:val="none" w:sz="0" w:space="0" w:color="auto"/>
        <w:left w:val="none" w:sz="0" w:space="0" w:color="auto"/>
        <w:bottom w:val="none" w:sz="0" w:space="0" w:color="auto"/>
        <w:right w:val="none" w:sz="0" w:space="0" w:color="auto"/>
      </w:divBdr>
    </w:div>
    <w:div w:id="26223770">
      <w:bodyDiv w:val="1"/>
      <w:marLeft w:val="0"/>
      <w:marRight w:val="0"/>
      <w:marTop w:val="0"/>
      <w:marBottom w:val="0"/>
      <w:divBdr>
        <w:top w:val="none" w:sz="0" w:space="0" w:color="auto"/>
        <w:left w:val="none" w:sz="0" w:space="0" w:color="auto"/>
        <w:bottom w:val="none" w:sz="0" w:space="0" w:color="auto"/>
        <w:right w:val="none" w:sz="0" w:space="0" w:color="auto"/>
      </w:divBdr>
    </w:div>
    <w:div w:id="341973728">
      <w:bodyDiv w:val="1"/>
      <w:marLeft w:val="0"/>
      <w:marRight w:val="0"/>
      <w:marTop w:val="0"/>
      <w:marBottom w:val="0"/>
      <w:divBdr>
        <w:top w:val="none" w:sz="0" w:space="0" w:color="auto"/>
        <w:left w:val="none" w:sz="0" w:space="0" w:color="auto"/>
        <w:bottom w:val="none" w:sz="0" w:space="0" w:color="auto"/>
        <w:right w:val="none" w:sz="0" w:space="0" w:color="auto"/>
      </w:divBdr>
    </w:div>
    <w:div w:id="384067590">
      <w:bodyDiv w:val="1"/>
      <w:marLeft w:val="0"/>
      <w:marRight w:val="0"/>
      <w:marTop w:val="0"/>
      <w:marBottom w:val="0"/>
      <w:divBdr>
        <w:top w:val="none" w:sz="0" w:space="0" w:color="auto"/>
        <w:left w:val="none" w:sz="0" w:space="0" w:color="auto"/>
        <w:bottom w:val="none" w:sz="0" w:space="0" w:color="auto"/>
        <w:right w:val="none" w:sz="0" w:space="0" w:color="auto"/>
      </w:divBdr>
    </w:div>
    <w:div w:id="399984184">
      <w:bodyDiv w:val="1"/>
      <w:marLeft w:val="0"/>
      <w:marRight w:val="0"/>
      <w:marTop w:val="0"/>
      <w:marBottom w:val="0"/>
      <w:divBdr>
        <w:top w:val="none" w:sz="0" w:space="0" w:color="auto"/>
        <w:left w:val="none" w:sz="0" w:space="0" w:color="auto"/>
        <w:bottom w:val="none" w:sz="0" w:space="0" w:color="auto"/>
        <w:right w:val="none" w:sz="0" w:space="0" w:color="auto"/>
      </w:divBdr>
    </w:div>
    <w:div w:id="503475334">
      <w:bodyDiv w:val="1"/>
      <w:marLeft w:val="0"/>
      <w:marRight w:val="0"/>
      <w:marTop w:val="0"/>
      <w:marBottom w:val="0"/>
      <w:divBdr>
        <w:top w:val="none" w:sz="0" w:space="0" w:color="auto"/>
        <w:left w:val="none" w:sz="0" w:space="0" w:color="auto"/>
        <w:bottom w:val="none" w:sz="0" w:space="0" w:color="auto"/>
        <w:right w:val="none" w:sz="0" w:space="0" w:color="auto"/>
      </w:divBdr>
    </w:div>
    <w:div w:id="538201306">
      <w:bodyDiv w:val="1"/>
      <w:marLeft w:val="0"/>
      <w:marRight w:val="0"/>
      <w:marTop w:val="0"/>
      <w:marBottom w:val="0"/>
      <w:divBdr>
        <w:top w:val="none" w:sz="0" w:space="0" w:color="auto"/>
        <w:left w:val="none" w:sz="0" w:space="0" w:color="auto"/>
        <w:bottom w:val="none" w:sz="0" w:space="0" w:color="auto"/>
        <w:right w:val="none" w:sz="0" w:space="0" w:color="auto"/>
      </w:divBdr>
    </w:div>
    <w:div w:id="564294947">
      <w:bodyDiv w:val="1"/>
      <w:marLeft w:val="0"/>
      <w:marRight w:val="0"/>
      <w:marTop w:val="0"/>
      <w:marBottom w:val="0"/>
      <w:divBdr>
        <w:top w:val="none" w:sz="0" w:space="0" w:color="auto"/>
        <w:left w:val="none" w:sz="0" w:space="0" w:color="auto"/>
        <w:bottom w:val="none" w:sz="0" w:space="0" w:color="auto"/>
        <w:right w:val="none" w:sz="0" w:space="0" w:color="auto"/>
      </w:divBdr>
    </w:div>
    <w:div w:id="740442591">
      <w:bodyDiv w:val="1"/>
      <w:marLeft w:val="0"/>
      <w:marRight w:val="0"/>
      <w:marTop w:val="0"/>
      <w:marBottom w:val="0"/>
      <w:divBdr>
        <w:top w:val="none" w:sz="0" w:space="0" w:color="auto"/>
        <w:left w:val="none" w:sz="0" w:space="0" w:color="auto"/>
        <w:bottom w:val="none" w:sz="0" w:space="0" w:color="auto"/>
        <w:right w:val="none" w:sz="0" w:space="0" w:color="auto"/>
      </w:divBdr>
    </w:div>
    <w:div w:id="976958186">
      <w:bodyDiv w:val="1"/>
      <w:marLeft w:val="0"/>
      <w:marRight w:val="0"/>
      <w:marTop w:val="0"/>
      <w:marBottom w:val="0"/>
      <w:divBdr>
        <w:top w:val="none" w:sz="0" w:space="0" w:color="auto"/>
        <w:left w:val="none" w:sz="0" w:space="0" w:color="auto"/>
        <w:bottom w:val="none" w:sz="0" w:space="0" w:color="auto"/>
        <w:right w:val="none" w:sz="0" w:space="0" w:color="auto"/>
      </w:divBdr>
    </w:div>
    <w:div w:id="1006714655">
      <w:bodyDiv w:val="1"/>
      <w:marLeft w:val="0"/>
      <w:marRight w:val="0"/>
      <w:marTop w:val="0"/>
      <w:marBottom w:val="0"/>
      <w:divBdr>
        <w:top w:val="none" w:sz="0" w:space="0" w:color="auto"/>
        <w:left w:val="none" w:sz="0" w:space="0" w:color="auto"/>
        <w:bottom w:val="none" w:sz="0" w:space="0" w:color="auto"/>
        <w:right w:val="none" w:sz="0" w:space="0" w:color="auto"/>
      </w:divBdr>
    </w:div>
    <w:div w:id="1193885112">
      <w:bodyDiv w:val="1"/>
      <w:marLeft w:val="0"/>
      <w:marRight w:val="0"/>
      <w:marTop w:val="0"/>
      <w:marBottom w:val="0"/>
      <w:divBdr>
        <w:top w:val="none" w:sz="0" w:space="0" w:color="auto"/>
        <w:left w:val="none" w:sz="0" w:space="0" w:color="auto"/>
        <w:bottom w:val="none" w:sz="0" w:space="0" w:color="auto"/>
        <w:right w:val="none" w:sz="0" w:space="0" w:color="auto"/>
      </w:divBdr>
    </w:div>
    <w:div w:id="1278902238">
      <w:bodyDiv w:val="1"/>
      <w:marLeft w:val="0"/>
      <w:marRight w:val="0"/>
      <w:marTop w:val="0"/>
      <w:marBottom w:val="0"/>
      <w:divBdr>
        <w:top w:val="none" w:sz="0" w:space="0" w:color="auto"/>
        <w:left w:val="none" w:sz="0" w:space="0" w:color="auto"/>
        <w:bottom w:val="none" w:sz="0" w:space="0" w:color="auto"/>
        <w:right w:val="none" w:sz="0" w:space="0" w:color="auto"/>
      </w:divBdr>
    </w:div>
    <w:div w:id="1350912899">
      <w:bodyDiv w:val="1"/>
      <w:marLeft w:val="0"/>
      <w:marRight w:val="0"/>
      <w:marTop w:val="0"/>
      <w:marBottom w:val="0"/>
      <w:divBdr>
        <w:top w:val="none" w:sz="0" w:space="0" w:color="auto"/>
        <w:left w:val="none" w:sz="0" w:space="0" w:color="auto"/>
        <w:bottom w:val="none" w:sz="0" w:space="0" w:color="auto"/>
        <w:right w:val="none" w:sz="0" w:space="0" w:color="auto"/>
      </w:divBdr>
    </w:div>
    <w:div w:id="1428772245">
      <w:bodyDiv w:val="1"/>
      <w:marLeft w:val="0"/>
      <w:marRight w:val="0"/>
      <w:marTop w:val="0"/>
      <w:marBottom w:val="0"/>
      <w:divBdr>
        <w:top w:val="none" w:sz="0" w:space="0" w:color="auto"/>
        <w:left w:val="none" w:sz="0" w:space="0" w:color="auto"/>
        <w:bottom w:val="none" w:sz="0" w:space="0" w:color="auto"/>
        <w:right w:val="none" w:sz="0" w:space="0" w:color="auto"/>
      </w:divBdr>
    </w:div>
    <w:div w:id="1545022755">
      <w:bodyDiv w:val="1"/>
      <w:marLeft w:val="0"/>
      <w:marRight w:val="0"/>
      <w:marTop w:val="0"/>
      <w:marBottom w:val="0"/>
      <w:divBdr>
        <w:top w:val="none" w:sz="0" w:space="0" w:color="auto"/>
        <w:left w:val="none" w:sz="0" w:space="0" w:color="auto"/>
        <w:bottom w:val="none" w:sz="0" w:space="0" w:color="auto"/>
        <w:right w:val="none" w:sz="0" w:space="0" w:color="auto"/>
      </w:divBdr>
    </w:div>
    <w:div w:id="1658535008">
      <w:bodyDiv w:val="1"/>
      <w:marLeft w:val="0"/>
      <w:marRight w:val="0"/>
      <w:marTop w:val="0"/>
      <w:marBottom w:val="0"/>
      <w:divBdr>
        <w:top w:val="none" w:sz="0" w:space="0" w:color="auto"/>
        <w:left w:val="none" w:sz="0" w:space="0" w:color="auto"/>
        <w:bottom w:val="none" w:sz="0" w:space="0" w:color="auto"/>
        <w:right w:val="none" w:sz="0" w:space="0" w:color="auto"/>
      </w:divBdr>
    </w:div>
    <w:div w:id="1692612079">
      <w:bodyDiv w:val="1"/>
      <w:marLeft w:val="0"/>
      <w:marRight w:val="0"/>
      <w:marTop w:val="0"/>
      <w:marBottom w:val="0"/>
      <w:divBdr>
        <w:top w:val="none" w:sz="0" w:space="0" w:color="auto"/>
        <w:left w:val="none" w:sz="0" w:space="0" w:color="auto"/>
        <w:bottom w:val="none" w:sz="0" w:space="0" w:color="auto"/>
        <w:right w:val="none" w:sz="0" w:space="0" w:color="auto"/>
      </w:divBdr>
    </w:div>
    <w:div w:id="1708212023">
      <w:bodyDiv w:val="1"/>
      <w:marLeft w:val="0"/>
      <w:marRight w:val="0"/>
      <w:marTop w:val="0"/>
      <w:marBottom w:val="0"/>
      <w:divBdr>
        <w:top w:val="none" w:sz="0" w:space="0" w:color="auto"/>
        <w:left w:val="none" w:sz="0" w:space="0" w:color="auto"/>
        <w:bottom w:val="none" w:sz="0" w:space="0" w:color="auto"/>
        <w:right w:val="none" w:sz="0" w:space="0" w:color="auto"/>
      </w:divBdr>
    </w:div>
    <w:div w:id="1839071953">
      <w:bodyDiv w:val="1"/>
      <w:marLeft w:val="0"/>
      <w:marRight w:val="0"/>
      <w:marTop w:val="0"/>
      <w:marBottom w:val="0"/>
      <w:divBdr>
        <w:top w:val="none" w:sz="0" w:space="0" w:color="auto"/>
        <w:left w:val="none" w:sz="0" w:space="0" w:color="auto"/>
        <w:bottom w:val="none" w:sz="0" w:space="0" w:color="auto"/>
        <w:right w:val="none" w:sz="0" w:space="0" w:color="auto"/>
      </w:divBdr>
    </w:div>
    <w:div w:id="1843624201">
      <w:bodyDiv w:val="1"/>
      <w:marLeft w:val="0"/>
      <w:marRight w:val="0"/>
      <w:marTop w:val="0"/>
      <w:marBottom w:val="0"/>
      <w:divBdr>
        <w:top w:val="none" w:sz="0" w:space="0" w:color="auto"/>
        <w:left w:val="none" w:sz="0" w:space="0" w:color="auto"/>
        <w:bottom w:val="none" w:sz="0" w:space="0" w:color="auto"/>
        <w:right w:val="none" w:sz="0" w:space="0" w:color="auto"/>
      </w:divBdr>
    </w:div>
    <w:div w:id="1847288253">
      <w:bodyDiv w:val="1"/>
      <w:marLeft w:val="0"/>
      <w:marRight w:val="0"/>
      <w:marTop w:val="0"/>
      <w:marBottom w:val="0"/>
      <w:divBdr>
        <w:top w:val="none" w:sz="0" w:space="0" w:color="auto"/>
        <w:left w:val="none" w:sz="0" w:space="0" w:color="auto"/>
        <w:bottom w:val="none" w:sz="0" w:space="0" w:color="auto"/>
        <w:right w:val="none" w:sz="0" w:space="0" w:color="auto"/>
      </w:divBdr>
    </w:div>
    <w:div w:id="1904833385">
      <w:bodyDiv w:val="1"/>
      <w:marLeft w:val="0"/>
      <w:marRight w:val="0"/>
      <w:marTop w:val="0"/>
      <w:marBottom w:val="0"/>
      <w:divBdr>
        <w:top w:val="none" w:sz="0" w:space="0" w:color="auto"/>
        <w:left w:val="none" w:sz="0" w:space="0" w:color="auto"/>
        <w:bottom w:val="none" w:sz="0" w:space="0" w:color="auto"/>
        <w:right w:val="none" w:sz="0" w:space="0" w:color="auto"/>
      </w:divBdr>
    </w:div>
    <w:div w:id="1915579373">
      <w:bodyDiv w:val="1"/>
      <w:marLeft w:val="0"/>
      <w:marRight w:val="0"/>
      <w:marTop w:val="0"/>
      <w:marBottom w:val="0"/>
      <w:divBdr>
        <w:top w:val="none" w:sz="0" w:space="0" w:color="auto"/>
        <w:left w:val="none" w:sz="0" w:space="0" w:color="auto"/>
        <w:bottom w:val="none" w:sz="0" w:space="0" w:color="auto"/>
        <w:right w:val="none" w:sz="0" w:space="0" w:color="auto"/>
      </w:divBdr>
    </w:div>
    <w:div w:id="213860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86.bin"/><Relationship Id="rId21" Type="http://schemas.openxmlformats.org/officeDocument/2006/relationships/oleObject" Target="embeddings/oleObject5.bin"/><Relationship Id="rId324" Type="http://schemas.openxmlformats.org/officeDocument/2006/relationships/oleObject" Target="embeddings/oleObject242.bin"/><Relationship Id="rId531" Type="http://schemas.openxmlformats.org/officeDocument/2006/relationships/image" Target="media/image114.wmf"/><Relationship Id="rId170" Type="http://schemas.openxmlformats.org/officeDocument/2006/relationships/oleObject" Target="embeddings/oleObject129.bin"/><Relationship Id="rId268" Type="http://schemas.openxmlformats.org/officeDocument/2006/relationships/image" Target="media/image63.wmf"/><Relationship Id="rId475" Type="http://schemas.openxmlformats.org/officeDocument/2006/relationships/oleObject" Target="embeddings/oleObject358.bin"/><Relationship Id="rId32" Type="http://schemas.openxmlformats.org/officeDocument/2006/relationships/image" Target="media/image9.wmf"/><Relationship Id="rId128" Type="http://schemas.openxmlformats.org/officeDocument/2006/relationships/oleObject" Target="embeddings/oleObject94.bin"/><Relationship Id="rId335" Type="http://schemas.openxmlformats.org/officeDocument/2006/relationships/oleObject" Target="embeddings/oleObject250.bin"/><Relationship Id="rId542" Type="http://schemas.openxmlformats.org/officeDocument/2006/relationships/oleObject" Target="embeddings/oleObject414.bin"/><Relationship Id="rId181" Type="http://schemas.openxmlformats.org/officeDocument/2006/relationships/image" Target="media/image33.wmf"/><Relationship Id="rId402" Type="http://schemas.openxmlformats.org/officeDocument/2006/relationships/oleObject" Target="embeddings/oleObject298.bin"/><Relationship Id="rId279" Type="http://schemas.openxmlformats.org/officeDocument/2006/relationships/oleObject" Target="embeddings/oleObject202.bin"/><Relationship Id="rId486" Type="http://schemas.openxmlformats.org/officeDocument/2006/relationships/image" Target="media/image106.png"/><Relationship Id="rId43" Type="http://schemas.openxmlformats.org/officeDocument/2006/relationships/oleObject" Target="embeddings/oleObject21.bin"/><Relationship Id="rId139" Type="http://schemas.openxmlformats.org/officeDocument/2006/relationships/oleObject" Target="embeddings/oleObject104.bin"/><Relationship Id="rId346" Type="http://schemas.openxmlformats.org/officeDocument/2006/relationships/oleObject" Target="embeddings/oleObject257.bin"/><Relationship Id="rId553" Type="http://schemas.openxmlformats.org/officeDocument/2006/relationships/image" Target="media/image119.wmf"/><Relationship Id="rId192" Type="http://schemas.openxmlformats.org/officeDocument/2006/relationships/image" Target="media/image38.wmf"/><Relationship Id="rId206" Type="http://schemas.openxmlformats.org/officeDocument/2006/relationships/oleObject" Target="embeddings/oleObject154.bin"/><Relationship Id="rId413" Type="http://schemas.openxmlformats.org/officeDocument/2006/relationships/image" Target="media/image94.wmf"/><Relationship Id="rId497" Type="http://schemas.openxmlformats.org/officeDocument/2006/relationships/oleObject" Target="embeddings/oleObject379.bin"/><Relationship Id="rId357" Type="http://schemas.openxmlformats.org/officeDocument/2006/relationships/image" Target="media/image83.wmf"/><Relationship Id="rId54" Type="http://schemas.openxmlformats.org/officeDocument/2006/relationships/oleObject" Target="embeddings/oleObject31.bin"/><Relationship Id="rId217" Type="http://schemas.openxmlformats.org/officeDocument/2006/relationships/oleObject" Target="embeddings/oleObject162.bin"/><Relationship Id="rId564" Type="http://schemas.openxmlformats.org/officeDocument/2006/relationships/oleObject" Target="embeddings/oleObject428.bin"/><Relationship Id="rId424" Type="http://schemas.openxmlformats.org/officeDocument/2006/relationships/oleObject" Target="embeddings/oleObject316.bin"/><Relationship Id="rId270" Type="http://schemas.openxmlformats.org/officeDocument/2006/relationships/oleObject" Target="embeddings/oleObject194.bin"/><Relationship Id="rId65" Type="http://schemas.openxmlformats.org/officeDocument/2006/relationships/oleObject" Target="embeddings/oleObject40.bin"/><Relationship Id="rId130" Type="http://schemas.openxmlformats.org/officeDocument/2006/relationships/oleObject" Target="embeddings/oleObject96.bin"/><Relationship Id="rId368" Type="http://schemas.openxmlformats.org/officeDocument/2006/relationships/oleObject" Target="embeddings/oleObject270.bin"/><Relationship Id="rId575" Type="http://schemas.openxmlformats.org/officeDocument/2006/relationships/theme" Target="theme/theme1.xml"/><Relationship Id="rId228" Type="http://schemas.openxmlformats.org/officeDocument/2006/relationships/image" Target="media/image45.wmf"/><Relationship Id="rId435" Type="http://schemas.openxmlformats.org/officeDocument/2006/relationships/image" Target="media/image100.wmf"/><Relationship Id="rId281" Type="http://schemas.openxmlformats.org/officeDocument/2006/relationships/oleObject" Target="embeddings/oleObject203.bin"/><Relationship Id="rId337" Type="http://schemas.openxmlformats.org/officeDocument/2006/relationships/image" Target="media/image75.wmf"/><Relationship Id="rId502" Type="http://schemas.openxmlformats.org/officeDocument/2006/relationships/oleObject" Target="embeddings/oleObject384.bin"/><Relationship Id="rId34" Type="http://schemas.openxmlformats.org/officeDocument/2006/relationships/image" Target="media/image10.png"/><Relationship Id="rId76" Type="http://schemas.openxmlformats.org/officeDocument/2006/relationships/oleObject" Target="embeddings/oleObject51.bin"/><Relationship Id="rId141" Type="http://schemas.openxmlformats.org/officeDocument/2006/relationships/oleObject" Target="embeddings/oleObject105.bin"/><Relationship Id="rId379" Type="http://schemas.openxmlformats.org/officeDocument/2006/relationships/oleObject" Target="embeddings/oleObject281.bin"/><Relationship Id="rId544" Type="http://schemas.openxmlformats.org/officeDocument/2006/relationships/oleObject" Target="embeddings/oleObject416.bin"/><Relationship Id="rId7" Type="http://schemas.openxmlformats.org/officeDocument/2006/relationships/endnotes" Target="endnotes.xml"/><Relationship Id="rId183" Type="http://schemas.openxmlformats.org/officeDocument/2006/relationships/oleObject" Target="embeddings/oleObject138.bin"/><Relationship Id="rId239" Type="http://schemas.openxmlformats.org/officeDocument/2006/relationships/oleObject" Target="embeddings/oleObject178.bin"/><Relationship Id="rId390" Type="http://schemas.openxmlformats.org/officeDocument/2006/relationships/oleObject" Target="embeddings/oleObject289.bin"/><Relationship Id="rId404" Type="http://schemas.openxmlformats.org/officeDocument/2006/relationships/oleObject" Target="embeddings/oleObject300.bin"/><Relationship Id="rId446" Type="http://schemas.openxmlformats.org/officeDocument/2006/relationships/image" Target="media/image102.wmf"/><Relationship Id="rId250" Type="http://schemas.openxmlformats.org/officeDocument/2006/relationships/image" Target="media/image55.wmf"/><Relationship Id="rId292" Type="http://schemas.openxmlformats.org/officeDocument/2006/relationships/image" Target="media/image68.wmf"/><Relationship Id="rId306" Type="http://schemas.openxmlformats.org/officeDocument/2006/relationships/oleObject" Target="embeddings/oleObject224.bin"/><Relationship Id="rId488" Type="http://schemas.openxmlformats.org/officeDocument/2006/relationships/oleObject" Target="embeddings/oleObject370.bin"/><Relationship Id="rId45" Type="http://schemas.openxmlformats.org/officeDocument/2006/relationships/oleObject" Target="embeddings/oleObject22.bin"/><Relationship Id="rId87" Type="http://schemas.openxmlformats.org/officeDocument/2006/relationships/oleObject" Target="embeddings/oleObject62.bin"/><Relationship Id="rId110" Type="http://schemas.openxmlformats.org/officeDocument/2006/relationships/image" Target="media/image19.wmf"/><Relationship Id="rId348" Type="http://schemas.openxmlformats.org/officeDocument/2006/relationships/oleObject" Target="embeddings/oleObject258.bin"/><Relationship Id="rId513" Type="http://schemas.openxmlformats.org/officeDocument/2006/relationships/oleObject" Target="embeddings/oleObject395.bin"/><Relationship Id="rId555" Type="http://schemas.openxmlformats.org/officeDocument/2006/relationships/image" Target="media/image120.wmf"/><Relationship Id="rId152" Type="http://schemas.openxmlformats.org/officeDocument/2006/relationships/oleObject" Target="embeddings/oleObject114.bin"/><Relationship Id="rId194" Type="http://schemas.openxmlformats.org/officeDocument/2006/relationships/oleObject" Target="embeddings/oleObject144.bin"/><Relationship Id="rId208" Type="http://schemas.openxmlformats.org/officeDocument/2006/relationships/oleObject" Target="embeddings/oleObject155.bin"/><Relationship Id="rId415" Type="http://schemas.openxmlformats.org/officeDocument/2006/relationships/oleObject" Target="embeddings/oleObject309.bin"/><Relationship Id="rId457" Type="http://schemas.openxmlformats.org/officeDocument/2006/relationships/oleObject" Target="embeddings/oleObject342.bin"/><Relationship Id="rId261" Type="http://schemas.openxmlformats.org/officeDocument/2006/relationships/oleObject" Target="embeddings/oleObject192.bin"/><Relationship Id="rId499" Type="http://schemas.openxmlformats.org/officeDocument/2006/relationships/oleObject" Target="embeddings/oleObject381.bin"/><Relationship Id="rId14" Type="http://schemas.openxmlformats.org/officeDocument/2006/relationships/image" Target="media/image2.emf"/><Relationship Id="rId56" Type="http://schemas.openxmlformats.org/officeDocument/2006/relationships/oleObject" Target="embeddings/oleObject33.bin"/><Relationship Id="rId317" Type="http://schemas.openxmlformats.org/officeDocument/2006/relationships/oleObject" Target="embeddings/oleObject235.bin"/><Relationship Id="rId359" Type="http://schemas.openxmlformats.org/officeDocument/2006/relationships/oleObject" Target="embeddings/oleObject263.bin"/><Relationship Id="rId524" Type="http://schemas.openxmlformats.org/officeDocument/2006/relationships/oleObject" Target="embeddings/oleObject401.bin"/><Relationship Id="rId566" Type="http://schemas.openxmlformats.org/officeDocument/2006/relationships/oleObject" Target="embeddings/oleObject430.bin"/><Relationship Id="rId98" Type="http://schemas.openxmlformats.org/officeDocument/2006/relationships/image" Target="media/image17.wmf"/><Relationship Id="rId121" Type="http://schemas.openxmlformats.org/officeDocument/2006/relationships/oleObject" Target="embeddings/oleObject89.bin"/><Relationship Id="rId163" Type="http://schemas.openxmlformats.org/officeDocument/2006/relationships/oleObject" Target="embeddings/oleObject122.bin"/><Relationship Id="rId219" Type="http://schemas.openxmlformats.org/officeDocument/2006/relationships/image" Target="media/image44.wmf"/><Relationship Id="rId370" Type="http://schemas.openxmlformats.org/officeDocument/2006/relationships/oleObject" Target="embeddings/oleObject272.bin"/><Relationship Id="rId426" Type="http://schemas.openxmlformats.org/officeDocument/2006/relationships/oleObject" Target="embeddings/oleObject318.bin"/><Relationship Id="rId230" Type="http://schemas.openxmlformats.org/officeDocument/2006/relationships/image" Target="media/image46.wmf"/><Relationship Id="rId468" Type="http://schemas.openxmlformats.org/officeDocument/2006/relationships/oleObject" Target="embeddings/oleObject352.bin"/><Relationship Id="rId25" Type="http://schemas.openxmlformats.org/officeDocument/2006/relationships/oleObject" Target="embeddings/oleObject8.bin"/><Relationship Id="rId67" Type="http://schemas.openxmlformats.org/officeDocument/2006/relationships/oleObject" Target="embeddings/oleObject42.bin"/><Relationship Id="rId272" Type="http://schemas.openxmlformats.org/officeDocument/2006/relationships/oleObject" Target="embeddings/oleObject196.bin"/><Relationship Id="rId328" Type="http://schemas.openxmlformats.org/officeDocument/2006/relationships/image" Target="media/image72.wmf"/><Relationship Id="rId535" Type="http://schemas.openxmlformats.org/officeDocument/2006/relationships/image" Target="media/image116.wmf"/><Relationship Id="rId132" Type="http://schemas.openxmlformats.org/officeDocument/2006/relationships/oleObject" Target="embeddings/oleObject98.bin"/><Relationship Id="rId174" Type="http://schemas.openxmlformats.org/officeDocument/2006/relationships/oleObject" Target="embeddings/oleObject132.bin"/><Relationship Id="rId381" Type="http://schemas.openxmlformats.org/officeDocument/2006/relationships/oleObject" Target="embeddings/oleObject283.bin"/><Relationship Id="rId241" Type="http://schemas.openxmlformats.org/officeDocument/2006/relationships/oleObject" Target="embeddings/oleObject179.bin"/><Relationship Id="rId437" Type="http://schemas.openxmlformats.org/officeDocument/2006/relationships/image" Target="media/image101.wmf"/><Relationship Id="rId479" Type="http://schemas.openxmlformats.org/officeDocument/2006/relationships/oleObject" Target="embeddings/oleObject362.bin"/><Relationship Id="rId36" Type="http://schemas.openxmlformats.org/officeDocument/2006/relationships/oleObject" Target="embeddings/oleObject14.bin"/><Relationship Id="rId283" Type="http://schemas.openxmlformats.org/officeDocument/2006/relationships/oleObject" Target="embeddings/oleObject205.bin"/><Relationship Id="rId339" Type="http://schemas.openxmlformats.org/officeDocument/2006/relationships/oleObject" Target="embeddings/oleObject252.bin"/><Relationship Id="rId490" Type="http://schemas.openxmlformats.org/officeDocument/2006/relationships/oleObject" Target="embeddings/oleObject372.bin"/><Relationship Id="rId504" Type="http://schemas.openxmlformats.org/officeDocument/2006/relationships/oleObject" Target="embeddings/oleObject386.bin"/><Relationship Id="rId546" Type="http://schemas.openxmlformats.org/officeDocument/2006/relationships/oleObject" Target="embeddings/oleObject418.bin"/><Relationship Id="rId78" Type="http://schemas.openxmlformats.org/officeDocument/2006/relationships/oleObject" Target="embeddings/oleObject53.bin"/><Relationship Id="rId101" Type="http://schemas.openxmlformats.org/officeDocument/2006/relationships/oleObject" Target="embeddings/oleObject72.bin"/><Relationship Id="rId143" Type="http://schemas.openxmlformats.org/officeDocument/2006/relationships/oleObject" Target="embeddings/oleObject107.bin"/><Relationship Id="rId185" Type="http://schemas.openxmlformats.org/officeDocument/2006/relationships/image" Target="media/image34.wmf"/><Relationship Id="rId350" Type="http://schemas.openxmlformats.org/officeDocument/2006/relationships/image" Target="media/image79.wmf"/><Relationship Id="rId406" Type="http://schemas.openxmlformats.org/officeDocument/2006/relationships/oleObject" Target="embeddings/oleObject301.bin"/><Relationship Id="rId9" Type="http://schemas.openxmlformats.org/officeDocument/2006/relationships/footer" Target="footer1.xml"/><Relationship Id="rId210" Type="http://schemas.openxmlformats.org/officeDocument/2006/relationships/oleObject" Target="embeddings/oleObject156.bin"/><Relationship Id="rId392" Type="http://schemas.openxmlformats.org/officeDocument/2006/relationships/oleObject" Target="embeddings/oleObject291.bin"/><Relationship Id="rId448" Type="http://schemas.openxmlformats.org/officeDocument/2006/relationships/oleObject" Target="embeddings/oleObject334.bin"/><Relationship Id="rId252" Type="http://schemas.openxmlformats.org/officeDocument/2006/relationships/oleObject" Target="embeddings/oleObject185.bin"/><Relationship Id="rId294" Type="http://schemas.openxmlformats.org/officeDocument/2006/relationships/image" Target="media/image69.wmf"/><Relationship Id="rId308" Type="http://schemas.openxmlformats.org/officeDocument/2006/relationships/oleObject" Target="embeddings/oleObject226.bin"/><Relationship Id="rId515" Type="http://schemas.openxmlformats.org/officeDocument/2006/relationships/oleObject" Target="embeddings/oleObject397.bin"/><Relationship Id="rId47" Type="http://schemas.openxmlformats.org/officeDocument/2006/relationships/oleObject" Target="embeddings/oleObject24.bin"/><Relationship Id="rId89" Type="http://schemas.openxmlformats.org/officeDocument/2006/relationships/oleObject" Target="embeddings/oleObject64.bin"/><Relationship Id="rId112" Type="http://schemas.openxmlformats.org/officeDocument/2006/relationships/oleObject" Target="embeddings/oleObject81.bin"/><Relationship Id="rId154" Type="http://schemas.openxmlformats.org/officeDocument/2006/relationships/oleObject" Target="embeddings/oleObject115.bin"/><Relationship Id="rId361" Type="http://schemas.openxmlformats.org/officeDocument/2006/relationships/oleObject" Target="embeddings/oleObject265.bin"/><Relationship Id="rId557" Type="http://schemas.openxmlformats.org/officeDocument/2006/relationships/image" Target="media/image121.wmf"/><Relationship Id="rId196" Type="http://schemas.openxmlformats.org/officeDocument/2006/relationships/oleObject" Target="embeddings/oleObject146.bin"/><Relationship Id="rId417" Type="http://schemas.openxmlformats.org/officeDocument/2006/relationships/oleObject" Target="embeddings/oleObject311.bin"/><Relationship Id="rId459" Type="http://schemas.openxmlformats.org/officeDocument/2006/relationships/oleObject" Target="embeddings/oleObject344.bin"/><Relationship Id="rId16" Type="http://schemas.openxmlformats.org/officeDocument/2006/relationships/oleObject" Target="embeddings/oleObject1.bin"/><Relationship Id="rId221" Type="http://schemas.openxmlformats.org/officeDocument/2006/relationships/oleObject" Target="embeddings/oleObject165.bin"/><Relationship Id="rId263" Type="http://schemas.openxmlformats.org/officeDocument/2006/relationships/oleObject" Target="embeddings/oleObject193.bin"/><Relationship Id="rId319" Type="http://schemas.openxmlformats.org/officeDocument/2006/relationships/oleObject" Target="embeddings/oleObject237.bin"/><Relationship Id="rId470" Type="http://schemas.openxmlformats.org/officeDocument/2006/relationships/oleObject" Target="embeddings/oleObject354.bin"/><Relationship Id="rId526" Type="http://schemas.openxmlformats.org/officeDocument/2006/relationships/oleObject" Target="embeddings/oleObject403.bin"/><Relationship Id="rId58" Type="http://schemas.openxmlformats.org/officeDocument/2006/relationships/oleObject" Target="embeddings/oleObject35.bin"/><Relationship Id="rId123" Type="http://schemas.openxmlformats.org/officeDocument/2006/relationships/oleObject" Target="embeddings/oleObject90.bin"/><Relationship Id="rId330" Type="http://schemas.openxmlformats.org/officeDocument/2006/relationships/oleObject" Target="embeddings/oleObject246.bin"/><Relationship Id="rId568" Type="http://schemas.openxmlformats.org/officeDocument/2006/relationships/oleObject" Target="embeddings/oleObject432.bin"/><Relationship Id="rId165" Type="http://schemas.openxmlformats.org/officeDocument/2006/relationships/oleObject" Target="embeddings/oleObject124.bin"/><Relationship Id="rId372" Type="http://schemas.openxmlformats.org/officeDocument/2006/relationships/oleObject" Target="embeddings/oleObject274.bin"/><Relationship Id="rId428" Type="http://schemas.openxmlformats.org/officeDocument/2006/relationships/oleObject" Target="embeddings/oleObject320.bin"/><Relationship Id="rId232" Type="http://schemas.openxmlformats.org/officeDocument/2006/relationships/image" Target="media/image47.wmf"/><Relationship Id="rId274" Type="http://schemas.openxmlformats.org/officeDocument/2006/relationships/oleObject" Target="embeddings/oleObject198.bin"/><Relationship Id="rId481" Type="http://schemas.openxmlformats.org/officeDocument/2006/relationships/oleObject" Target="embeddings/oleObject364.bin"/><Relationship Id="rId27" Type="http://schemas.openxmlformats.org/officeDocument/2006/relationships/oleObject" Target="embeddings/oleObject9.bin"/><Relationship Id="rId69" Type="http://schemas.openxmlformats.org/officeDocument/2006/relationships/oleObject" Target="embeddings/oleObject44.bin"/><Relationship Id="rId134" Type="http://schemas.openxmlformats.org/officeDocument/2006/relationships/oleObject" Target="embeddings/oleObject100.bin"/><Relationship Id="rId537" Type="http://schemas.openxmlformats.org/officeDocument/2006/relationships/oleObject" Target="embeddings/oleObject409.bin"/><Relationship Id="rId80" Type="http://schemas.openxmlformats.org/officeDocument/2006/relationships/oleObject" Target="embeddings/oleObject55.bin"/><Relationship Id="rId176" Type="http://schemas.openxmlformats.org/officeDocument/2006/relationships/oleObject" Target="embeddings/oleObject134.bin"/><Relationship Id="rId341" Type="http://schemas.openxmlformats.org/officeDocument/2006/relationships/oleObject" Target="embeddings/oleObject254.bin"/><Relationship Id="rId383" Type="http://schemas.openxmlformats.org/officeDocument/2006/relationships/oleObject" Target="embeddings/oleObject284.bin"/><Relationship Id="rId439" Type="http://schemas.openxmlformats.org/officeDocument/2006/relationships/oleObject" Target="embeddings/oleObject326.bin"/><Relationship Id="rId201" Type="http://schemas.openxmlformats.org/officeDocument/2006/relationships/image" Target="media/image40.wmf"/><Relationship Id="rId243" Type="http://schemas.openxmlformats.org/officeDocument/2006/relationships/oleObject" Target="embeddings/oleObject180.bin"/><Relationship Id="rId285" Type="http://schemas.openxmlformats.org/officeDocument/2006/relationships/oleObject" Target="embeddings/oleObject207.bin"/><Relationship Id="rId450" Type="http://schemas.openxmlformats.org/officeDocument/2006/relationships/oleObject" Target="embeddings/oleObject336.bin"/><Relationship Id="rId506" Type="http://schemas.openxmlformats.org/officeDocument/2006/relationships/oleObject" Target="embeddings/oleObject388.bin"/><Relationship Id="rId38" Type="http://schemas.openxmlformats.org/officeDocument/2006/relationships/oleObject" Target="embeddings/oleObject16.bin"/><Relationship Id="rId103" Type="http://schemas.openxmlformats.org/officeDocument/2006/relationships/oleObject" Target="embeddings/oleObject74.bin"/><Relationship Id="rId310" Type="http://schemas.openxmlformats.org/officeDocument/2006/relationships/oleObject" Target="embeddings/oleObject228.bin"/><Relationship Id="rId492" Type="http://schemas.openxmlformats.org/officeDocument/2006/relationships/oleObject" Target="embeddings/oleObject374.bin"/><Relationship Id="rId548" Type="http://schemas.openxmlformats.org/officeDocument/2006/relationships/oleObject" Target="embeddings/oleObject420.bin"/><Relationship Id="rId91" Type="http://schemas.openxmlformats.org/officeDocument/2006/relationships/oleObject" Target="embeddings/oleObject65.bin"/><Relationship Id="rId145" Type="http://schemas.openxmlformats.org/officeDocument/2006/relationships/image" Target="media/image25.wmf"/><Relationship Id="rId187" Type="http://schemas.openxmlformats.org/officeDocument/2006/relationships/image" Target="media/image36.wmf"/><Relationship Id="rId352" Type="http://schemas.openxmlformats.org/officeDocument/2006/relationships/image" Target="media/image80.wmf"/><Relationship Id="rId394" Type="http://schemas.openxmlformats.org/officeDocument/2006/relationships/image" Target="media/image90.wmf"/><Relationship Id="rId408" Type="http://schemas.openxmlformats.org/officeDocument/2006/relationships/oleObject" Target="embeddings/oleObject303.bin"/><Relationship Id="rId212" Type="http://schemas.openxmlformats.org/officeDocument/2006/relationships/oleObject" Target="embeddings/oleObject158.bin"/><Relationship Id="rId254" Type="http://schemas.openxmlformats.org/officeDocument/2006/relationships/oleObject" Target="embeddings/oleObject187.bin"/><Relationship Id="rId49" Type="http://schemas.openxmlformats.org/officeDocument/2006/relationships/oleObject" Target="embeddings/oleObject26.bin"/><Relationship Id="rId114" Type="http://schemas.openxmlformats.org/officeDocument/2006/relationships/oleObject" Target="embeddings/oleObject83.bin"/><Relationship Id="rId296" Type="http://schemas.openxmlformats.org/officeDocument/2006/relationships/image" Target="media/image70.wmf"/><Relationship Id="rId461" Type="http://schemas.openxmlformats.org/officeDocument/2006/relationships/oleObject" Target="embeddings/oleObject346.bin"/><Relationship Id="rId517" Type="http://schemas.openxmlformats.org/officeDocument/2006/relationships/oleObject" Target="embeddings/oleObject399.bin"/><Relationship Id="rId559" Type="http://schemas.openxmlformats.org/officeDocument/2006/relationships/image" Target="media/image122.wmf"/><Relationship Id="rId60" Type="http://schemas.openxmlformats.org/officeDocument/2006/relationships/oleObject" Target="embeddings/oleObject37.bin"/><Relationship Id="rId156" Type="http://schemas.openxmlformats.org/officeDocument/2006/relationships/image" Target="media/image28.wmf"/><Relationship Id="rId198" Type="http://schemas.openxmlformats.org/officeDocument/2006/relationships/oleObject" Target="embeddings/oleObject147.bin"/><Relationship Id="rId321" Type="http://schemas.openxmlformats.org/officeDocument/2006/relationships/oleObject" Target="embeddings/oleObject239.bin"/><Relationship Id="rId363" Type="http://schemas.openxmlformats.org/officeDocument/2006/relationships/oleObject" Target="embeddings/oleObject266.bin"/><Relationship Id="rId419" Type="http://schemas.openxmlformats.org/officeDocument/2006/relationships/image" Target="media/image95.wmf"/><Relationship Id="rId570" Type="http://schemas.openxmlformats.org/officeDocument/2006/relationships/oleObject" Target="embeddings/oleObject434.bin"/><Relationship Id="rId223" Type="http://schemas.openxmlformats.org/officeDocument/2006/relationships/oleObject" Target="embeddings/oleObject167.bin"/><Relationship Id="rId430" Type="http://schemas.openxmlformats.org/officeDocument/2006/relationships/oleObject" Target="embeddings/oleObject322.bin"/><Relationship Id="rId18" Type="http://schemas.openxmlformats.org/officeDocument/2006/relationships/oleObject" Target="embeddings/oleObject3.bin"/><Relationship Id="rId265" Type="http://schemas.openxmlformats.org/officeDocument/2006/relationships/image" Target="media/image60.wmf"/><Relationship Id="rId472" Type="http://schemas.openxmlformats.org/officeDocument/2006/relationships/oleObject" Target="embeddings/oleObject355.bin"/><Relationship Id="rId528" Type="http://schemas.openxmlformats.org/officeDocument/2006/relationships/oleObject" Target="embeddings/oleObject404.bin"/><Relationship Id="rId125" Type="http://schemas.openxmlformats.org/officeDocument/2006/relationships/oleObject" Target="embeddings/oleObject92.bin"/><Relationship Id="rId167" Type="http://schemas.openxmlformats.org/officeDocument/2006/relationships/oleObject" Target="embeddings/oleObject126.bin"/><Relationship Id="rId332" Type="http://schemas.openxmlformats.org/officeDocument/2006/relationships/oleObject" Target="embeddings/oleObject247.bin"/><Relationship Id="rId374" Type="http://schemas.openxmlformats.org/officeDocument/2006/relationships/oleObject" Target="embeddings/oleObject276.bin"/><Relationship Id="rId71" Type="http://schemas.openxmlformats.org/officeDocument/2006/relationships/oleObject" Target="embeddings/oleObject46.bin"/><Relationship Id="rId234" Type="http://schemas.openxmlformats.org/officeDocument/2006/relationships/oleObject" Target="embeddings/oleObject175.bin"/><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oleObject" Target="embeddings/oleObject199.bin"/><Relationship Id="rId441" Type="http://schemas.openxmlformats.org/officeDocument/2006/relationships/oleObject" Target="embeddings/oleObject328.bin"/><Relationship Id="rId483" Type="http://schemas.openxmlformats.org/officeDocument/2006/relationships/oleObject" Target="embeddings/oleObject366.bin"/><Relationship Id="rId539" Type="http://schemas.openxmlformats.org/officeDocument/2006/relationships/oleObject" Target="embeddings/oleObject411.bin"/><Relationship Id="rId40" Type="http://schemas.openxmlformats.org/officeDocument/2006/relationships/oleObject" Target="embeddings/oleObject18.bin"/><Relationship Id="rId136" Type="http://schemas.openxmlformats.org/officeDocument/2006/relationships/image" Target="media/image23.wmf"/><Relationship Id="rId178" Type="http://schemas.openxmlformats.org/officeDocument/2006/relationships/image" Target="media/image31.wmf"/><Relationship Id="rId301" Type="http://schemas.openxmlformats.org/officeDocument/2006/relationships/oleObject" Target="embeddings/oleObject219.bin"/><Relationship Id="rId343" Type="http://schemas.openxmlformats.org/officeDocument/2006/relationships/image" Target="media/image76.wmf"/><Relationship Id="rId550" Type="http://schemas.openxmlformats.org/officeDocument/2006/relationships/image" Target="media/image118.wmf"/><Relationship Id="rId82" Type="http://schemas.openxmlformats.org/officeDocument/2006/relationships/oleObject" Target="embeddings/oleObject57.bin"/><Relationship Id="rId203" Type="http://schemas.openxmlformats.org/officeDocument/2006/relationships/oleObject" Target="embeddings/oleObject151.bin"/><Relationship Id="rId385" Type="http://schemas.openxmlformats.org/officeDocument/2006/relationships/oleObject" Target="embeddings/oleObject285.bin"/><Relationship Id="rId245" Type="http://schemas.openxmlformats.org/officeDocument/2006/relationships/oleObject" Target="embeddings/oleObject181.bin"/><Relationship Id="rId287" Type="http://schemas.openxmlformats.org/officeDocument/2006/relationships/oleObject" Target="embeddings/oleObject209.bin"/><Relationship Id="rId410" Type="http://schemas.openxmlformats.org/officeDocument/2006/relationships/oleObject" Target="embeddings/oleObject305.bin"/><Relationship Id="rId452" Type="http://schemas.openxmlformats.org/officeDocument/2006/relationships/oleObject" Target="embeddings/oleObject338.bin"/><Relationship Id="rId494" Type="http://schemas.openxmlformats.org/officeDocument/2006/relationships/oleObject" Target="embeddings/oleObject376.bin"/><Relationship Id="rId508" Type="http://schemas.openxmlformats.org/officeDocument/2006/relationships/oleObject" Target="embeddings/oleObject390.bin"/><Relationship Id="rId105" Type="http://schemas.openxmlformats.org/officeDocument/2006/relationships/oleObject" Target="embeddings/oleObject75.bin"/><Relationship Id="rId147" Type="http://schemas.openxmlformats.org/officeDocument/2006/relationships/oleObject" Target="embeddings/oleObject110.bin"/><Relationship Id="rId312" Type="http://schemas.openxmlformats.org/officeDocument/2006/relationships/oleObject" Target="embeddings/oleObject230.bin"/><Relationship Id="rId354" Type="http://schemas.openxmlformats.org/officeDocument/2006/relationships/image" Target="media/image81.wmf"/><Relationship Id="rId51" Type="http://schemas.openxmlformats.org/officeDocument/2006/relationships/oleObject" Target="embeddings/oleObject28.bin"/><Relationship Id="rId93" Type="http://schemas.openxmlformats.org/officeDocument/2006/relationships/oleObject" Target="embeddings/oleObject66.bin"/><Relationship Id="rId189" Type="http://schemas.openxmlformats.org/officeDocument/2006/relationships/image" Target="media/image37.wmf"/><Relationship Id="rId396" Type="http://schemas.openxmlformats.org/officeDocument/2006/relationships/image" Target="media/image91.wmf"/><Relationship Id="rId561" Type="http://schemas.openxmlformats.org/officeDocument/2006/relationships/image" Target="media/image123.wmf"/><Relationship Id="rId214" Type="http://schemas.openxmlformats.org/officeDocument/2006/relationships/oleObject" Target="embeddings/oleObject160.bin"/><Relationship Id="rId256" Type="http://schemas.openxmlformats.org/officeDocument/2006/relationships/oleObject" Target="embeddings/oleObject189.bin"/><Relationship Id="rId298" Type="http://schemas.openxmlformats.org/officeDocument/2006/relationships/oleObject" Target="embeddings/oleObject216.bin"/><Relationship Id="rId421" Type="http://schemas.openxmlformats.org/officeDocument/2006/relationships/image" Target="media/image96.wmf"/><Relationship Id="rId463" Type="http://schemas.openxmlformats.org/officeDocument/2006/relationships/image" Target="media/image104.wmf"/><Relationship Id="rId519" Type="http://schemas.openxmlformats.org/officeDocument/2006/relationships/image" Target="media/image107.wmf"/><Relationship Id="rId116" Type="http://schemas.openxmlformats.org/officeDocument/2006/relationships/oleObject" Target="embeddings/oleObject85.bin"/><Relationship Id="rId158" Type="http://schemas.openxmlformats.org/officeDocument/2006/relationships/oleObject" Target="embeddings/oleObject118.bin"/><Relationship Id="rId323" Type="http://schemas.openxmlformats.org/officeDocument/2006/relationships/oleObject" Target="embeddings/oleObject241.bin"/><Relationship Id="rId530" Type="http://schemas.openxmlformats.org/officeDocument/2006/relationships/oleObject" Target="embeddings/oleObject405.bin"/><Relationship Id="rId20" Type="http://schemas.openxmlformats.org/officeDocument/2006/relationships/image" Target="media/image4.wmf"/><Relationship Id="rId62" Type="http://schemas.openxmlformats.org/officeDocument/2006/relationships/image" Target="media/image12.wmf"/><Relationship Id="rId365" Type="http://schemas.openxmlformats.org/officeDocument/2006/relationships/oleObject" Target="embeddings/oleObject267.bin"/><Relationship Id="rId572" Type="http://schemas.openxmlformats.org/officeDocument/2006/relationships/header" Target="header4.xml"/><Relationship Id="rId225" Type="http://schemas.openxmlformats.org/officeDocument/2006/relationships/oleObject" Target="embeddings/oleObject169.bin"/><Relationship Id="rId267" Type="http://schemas.openxmlformats.org/officeDocument/2006/relationships/image" Target="media/image62.wmf"/><Relationship Id="rId432" Type="http://schemas.openxmlformats.org/officeDocument/2006/relationships/image" Target="media/image98.wmf"/><Relationship Id="rId474" Type="http://schemas.openxmlformats.org/officeDocument/2006/relationships/oleObject" Target="embeddings/oleObject357.bin"/><Relationship Id="rId127" Type="http://schemas.openxmlformats.org/officeDocument/2006/relationships/image" Target="media/image22.wmf"/><Relationship Id="rId31" Type="http://schemas.openxmlformats.org/officeDocument/2006/relationships/oleObject" Target="embeddings/oleObject11.bin"/><Relationship Id="rId73" Type="http://schemas.openxmlformats.org/officeDocument/2006/relationships/oleObject" Target="embeddings/oleObject48.bin"/><Relationship Id="rId169" Type="http://schemas.openxmlformats.org/officeDocument/2006/relationships/oleObject" Target="embeddings/oleObject128.bin"/><Relationship Id="rId334" Type="http://schemas.openxmlformats.org/officeDocument/2006/relationships/oleObject" Target="embeddings/oleObject249.bin"/><Relationship Id="rId376" Type="http://schemas.openxmlformats.org/officeDocument/2006/relationships/oleObject" Target="embeddings/oleObject278.bin"/><Relationship Id="rId541" Type="http://schemas.openxmlformats.org/officeDocument/2006/relationships/oleObject" Target="embeddings/oleObject413.bin"/><Relationship Id="rId4" Type="http://schemas.openxmlformats.org/officeDocument/2006/relationships/settings" Target="settings.xml"/><Relationship Id="rId180" Type="http://schemas.openxmlformats.org/officeDocument/2006/relationships/image" Target="media/image32.wmf"/><Relationship Id="rId236" Type="http://schemas.openxmlformats.org/officeDocument/2006/relationships/oleObject" Target="embeddings/oleObject177.bin"/><Relationship Id="rId278" Type="http://schemas.openxmlformats.org/officeDocument/2006/relationships/oleObject" Target="embeddings/oleObject201.bin"/><Relationship Id="rId401" Type="http://schemas.openxmlformats.org/officeDocument/2006/relationships/oleObject" Target="embeddings/oleObject297.bin"/><Relationship Id="rId443" Type="http://schemas.openxmlformats.org/officeDocument/2006/relationships/oleObject" Target="embeddings/oleObject330.bin"/><Relationship Id="rId303" Type="http://schemas.openxmlformats.org/officeDocument/2006/relationships/oleObject" Target="embeddings/oleObject221.bin"/><Relationship Id="rId485" Type="http://schemas.openxmlformats.org/officeDocument/2006/relationships/oleObject" Target="embeddings/oleObject368.bin"/><Relationship Id="rId42" Type="http://schemas.openxmlformats.org/officeDocument/2006/relationships/oleObject" Target="embeddings/oleObject20.bin"/><Relationship Id="rId84" Type="http://schemas.openxmlformats.org/officeDocument/2006/relationships/oleObject" Target="embeddings/oleObject59.bin"/><Relationship Id="rId138" Type="http://schemas.openxmlformats.org/officeDocument/2006/relationships/oleObject" Target="embeddings/oleObject103.bin"/><Relationship Id="rId345" Type="http://schemas.openxmlformats.org/officeDocument/2006/relationships/image" Target="media/image77.wmf"/><Relationship Id="rId387" Type="http://schemas.openxmlformats.org/officeDocument/2006/relationships/image" Target="media/image89.wmf"/><Relationship Id="rId510" Type="http://schemas.openxmlformats.org/officeDocument/2006/relationships/oleObject" Target="embeddings/oleObject392.bin"/><Relationship Id="rId552" Type="http://schemas.openxmlformats.org/officeDocument/2006/relationships/oleObject" Target="embeddings/oleObject422.bin"/><Relationship Id="rId191" Type="http://schemas.openxmlformats.org/officeDocument/2006/relationships/oleObject" Target="embeddings/oleObject142.bin"/><Relationship Id="rId205" Type="http://schemas.openxmlformats.org/officeDocument/2006/relationships/oleObject" Target="embeddings/oleObject153.bin"/><Relationship Id="rId247" Type="http://schemas.openxmlformats.org/officeDocument/2006/relationships/oleObject" Target="embeddings/oleObject182.bin"/><Relationship Id="rId412" Type="http://schemas.openxmlformats.org/officeDocument/2006/relationships/oleObject" Target="embeddings/oleObject307.bin"/><Relationship Id="rId107" Type="http://schemas.openxmlformats.org/officeDocument/2006/relationships/oleObject" Target="embeddings/oleObject77.bin"/><Relationship Id="rId289" Type="http://schemas.openxmlformats.org/officeDocument/2006/relationships/image" Target="media/image67.wmf"/><Relationship Id="rId454" Type="http://schemas.openxmlformats.org/officeDocument/2006/relationships/oleObject" Target="embeddings/oleObject339.bin"/><Relationship Id="rId496" Type="http://schemas.openxmlformats.org/officeDocument/2006/relationships/oleObject" Target="embeddings/oleObject378.bin"/><Relationship Id="rId11" Type="http://schemas.openxmlformats.org/officeDocument/2006/relationships/header" Target="header2.xml"/><Relationship Id="rId53" Type="http://schemas.openxmlformats.org/officeDocument/2006/relationships/oleObject" Target="embeddings/oleObject30.bin"/><Relationship Id="rId149" Type="http://schemas.openxmlformats.org/officeDocument/2006/relationships/oleObject" Target="embeddings/oleObject111.bin"/><Relationship Id="rId314" Type="http://schemas.openxmlformats.org/officeDocument/2006/relationships/oleObject" Target="embeddings/oleObject232.bin"/><Relationship Id="rId356" Type="http://schemas.openxmlformats.org/officeDocument/2006/relationships/oleObject" Target="embeddings/oleObject262.bin"/><Relationship Id="rId398" Type="http://schemas.openxmlformats.org/officeDocument/2006/relationships/image" Target="media/image92.wmf"/><Relationship Id="rId521" Type="http://schemas.openxmlformats.org/officeDocument/2006/relationships/image" Target="media/image109.wmf"/><Relationship Id="rId563" Type="http://schemas.openxmlformats.org/officeDocument/2006/relationships/image" Target="media/image124.wmf"/><Relationship Id="rId95" Type="http://schemas.openxmlformats.org/officeDocument/2006/relationships/oleObject" Target="embeddings/oleObject68.bin"/><Relationship Id="rId160" Type="http://schemas.openxmlformats.org/officeDocument/2006/relationships/oleObject" Target="embeddings/oleObject119.bin"/><Relationship Id="rId216" Type="http://schemas.openxmlformats.org/officeDocument/2006/relationships/oleObject" Target="embeddings/oleObject161.bin"/><Relationship Id="rId423" Type="http://schemas.openxmlformats.org/officeDocument/2006/relationships/oleObject" Target="embeddings/oleObject315.bin"/><Relationship Id="rId258" Type="http://schemas.openxmlformats.org/officeDocument/2006/relationships/oleObject" Target="embeddings/oleObject190.bin"/><Relationship Id="rId465" Type="http://schemas.openxmlformats.org/officeDocument/2006/relationships/oleObject" Target="embeddings/oleObject349.bin"/><Relationship Id="rId22" Type="http://schemas.openxmlformats.org/officeDocument/2006/relationships/image" Target="media/image5.wmf"/><Relationship Id="rId64" Type="http://schemas.openxmlformats.org/officeDocument/2006/relationships/image" Target="media/image13.wmf"/><Relationship Id="rId118" Type="http://schemas.openxmlformats.org/officeDocument/2006/relationships/oleObject" Target="embeddings/oleObject87.bin"/><Relationship Id="rId325" Type="http://schemas.openxmlformats.org/officeDocument/2006/relationships/image" Target="media/image71.wmf"/><Relationship Id="rId367" Type="http://schemas.openxmlformats.org/officeDocument/2006/relationships/oleObject" Target="embeddings/oleObject269.bin"/><Relationship Id="rId532" Type="http://schemas.openxmlformats.org/officeDocument/2006/relationships/oleObject" Target="embeddings/oleObject406.bin"/><Relationship Id="rId574" Type="http://schemas.openxmlformats.org/officeDocument/2006/relationships/fontTable" Target="fontTable.xml"/><Relationship Id="rId171" Type="http://schemas.openxmlformats.org/officeDocument/2006/relationships/oleObject" Target="embeddings/oleObject130.bin"/><Relationship Id="rId227" Type="http://schemas.openxmlformats.org/officeDocument/2006/relationships/oleObject" Target="embeddings/oleObject171.bin"/><Relationship Id="rId269" Type="http://schemas.openxmlformats.org/officeDocument/2006/relationships/image" Target="media/image64.wmf"/><Relationship Id="rId434" Type="http://schemas.openxmlformats.org/officeDocument/2006/relationships/oleObject" Target="embeddings/oleObject323.bin"/><Relationship Id="rId476" Type="http://schemas.openxmlformats.org/officeDocument/2006/relationships/oleObject" Target="embeddings/oleObject359.bin"/><Relationship Id="rId33" Type="http://schemas.openxmlformats.org/officeDocument/2006/relationships/oleObject" Target="embeddings/oleObject12.bin"/><Relationship Id="rId129" Type="http://schemas.openxmlformats.org/officeDocument/2006/relationships/oleObject" Target="embeddings/oleObject95.bin"/><Relationship Id="rId280" Type="http://schemas.openxmlformats.org/officeDocument/2006/relationships/image" Target="media/image66.wmf"/><Relationship Id="rId336" Type="http://schemas.openxmlformats.org/officeDocument/2006/relationships/image" Target="media/image74.wmf"/><Relationship Id="rId501" Type="http://schemas.openxmlformats.org/officeDocument/2006/relationships/oleObject" Target="embeddings/oleObject383.bin"/><Relationship Id="rId543" Type="http://schemas.openxmlformats.org/officeDocument/2006/relationships/oleObject" Target="embeddings/oleObject415.bin"/><Relationship Id="rId75" Type="http://schemas.openxmlformats.org/officeDocument/2006/relationships/oleObject" Target="embeddings/oleObject50.bin"/><Relationship Id="rId140" Type="http://schemas.openxmlformats.org/officeDocument/2006/relationships/image" Target="media/image24.wmf"/><Relationship Id="rId182" Type="http://schemas.openxmlformats.org/officeDocument/2006/relationships/oleObject" Target="embeddings/oleObject137.bin"/><Relationship Id="rId378" Type="http://schemas.openxmlformats.org/officeDocument/2006/relationships/oleObject" Target="embeddings/oleObject280.bin"/><Relationship Id="rId403" Type="http://schemas.openxmlformats.org/officeDocument/2006/relationships/oleObject" Target="embeddings/oleObject299.bin"/><Relationship Id="rId6" Type="http://schemas.openxmlformats.org/officeDocument/2006/relationships/footnotes" Target="footnotes.xml"/><Relationship Id="rId238" Type="http://schemas.openxmlformats.org/officeDocument/2006/relationships/image" Target="media/image49.wmf"/><Relationship Id="rId445" Type="http://schemas.openxmlformats.org/officeDocument/2006/relationships/oleObject" Target="embeddings/oleObject332.bin"/><Relationship Id="rId487" Type="http://schemas.openxmlformats.org/officeDocument/2006/relationships/oleObject" Target="embeddings/oleObject369.bin"/><Relationship Id="rId291" Type="http://schemas.openxmlformats.org/officeDocument/2006/relationships/oleObject" Target="embeddings/oleObject212.bin"/><Relationship Id="rId305" Type="http://schemas.openxmlformats.org/officeDocument/2006/relationships/oleObject" Target="embeddings/oleObject223.bin"/><Relationship Id="rId347" Type="http://schemas.openxmlformats.org/officeDocument/2006/relationships/image" Target="media/image78.wmf"/><Relationship Id="rId512" Type="http://schemas.openxmlformats.org/officeDocument/2006/relationships/oleObject" Target="embeddings/oleObject394.bin"/><Relationship Id="rId44" Type="http://schemas.openxmlformats.org/officeDocument/2006/relationships/image" Target="media/image11.wmf"/><Relationship Id="rId86" Type="http://schemas.openxmlformats.org/officeDocument/2006/relationships/oleObject" Target="embeddings/oleObject61.bin"/><Relationship Id="rId151" Type="http://schemas.openxmlformats.org/officeDocument/2006/relationships/oleObject" Target="embeddings/oleObject113.bin"/><Relationship Id="rId389" Type="http://schemas.openxmlformats.org/officeDocument/2006/relationships/oleObject" Target="embeddings/oleObject288.bin"/><Relationship Id="rId554" Type="http://schemas.openxmlformats.org/officeDocument/2006/relationships/oleObject" Target="embeddings/oleObject423.bin"/><Relationship Id="rId193" Type="http://schemas.openxmlformats.org/officeDocument/2006/relationships/oleObject" Target="embeddings/oleObject143.bin"/><Relationship Id="rId207" Type="http://schemas.openxmlformats.org/officeDocument/2006/relationships/image" Target="media/image41.wmf"/><Relationship Id="rId249" Type="http://schemas.openxmlformats.org/officeDocument/2006/relationships/oleObject" Target="embeddings/oleObject183.bin"/><Relationship Id="rId414" Type="http://schemas.openxmlformats.org/officeDocument/2006/relationships/oleObject" Target="embeddings/oleObject308.bin"/><Relationship Id="rId456" Type="http://schemas.openxmlformats.org/officeDocument/2006/relationships/oleObject" Target="embeddings/oleObject341.bin"/><Relationship Id="rId498" Type="http://schemas.openxmlformats.org/officeDocument/2006/relationships/oleObject" Target="embeddings/oleObject380.bin"/><Relationship Id="rId13" Type="http://schemas.openxmlformats.org/officeDocument/2006/relationships/image" Target="media/image1.png"/><Relationship Id="rId109" Type="http://schemas.openxmlformats.org/officeDocument/2006/relationships/oleObject" Target="embeddings/oleObject79.bin"/><Relationship Id="rId260" Type="http://schemas.openxmlformats.org/officeDocument/2006/relationships/oleObject" Target="embeddings/oleObject191.bin"/><Relationship Id="rId316" Type="http://schemas.openxmlformats.org/officeDocument/2006/relationships/oleObject" Target="embeddings/oleObject234.bin"/><Relationship Id="rId523" Type="http://schemas.openxmlformats.org/officeDocument/2006/relationships/image" Target="media/image111.wmf"/><Relationship Id="rId55" Type="http://schemas.openxmlformats.org/officeDocument/2006/relationships/oleObject" Target="embeddings/oleObject32.bin"/><Relationship Id="rId97" Type="http://schemas.openxmlformats.org/officeDocument/2006/relationships/oleObject" Target="embeddings/oleObject69.bin"/><Relationship Id="rId120" Type="http://schemas.openxmlformats.org/officeDocument/2006/relationships/image" Target="media/image20.wmf"/><Relationship Id="rId358" Type="http://schemas.openxmlformats.org/officeDocument/2006/relationships/image" Target="media/image84.wmf"/><Relationship Id="rId565" Type="http://schemas.openxmlformats.org/officeDocument/2006/relationships/oleObject" Target="embeddings/oleObject429.bin"/><Relationship Id="rId162" Type="http://schemas.openxmlformats.org/officeDocument/2006/relationships/oleObject" Target="embeddings/oleObject121.bin"/><Relationship Id="rId218" Type="http://schemas.openxmlformats.org/officeDocument/2006/relationships/oleObject" Target="embeddings/oleObject163.bin"/><Relationship Id="rId425" Type="http://schemas.openxmlformats.org/officeDocument/2006/relationships/oleObject" Target="embeddings/oleObject317.bin"/><Relationship Id="rId467" Type="http://schemas.openxmlformats.org/officeDocument/2006/relationships/oleObject" Target="embeddings/oleObject351.bin"/><Relationship Id="rId271" Type="http://schemas.openxmlformats.org/officeDocument/2006/relationships/oleObject" Target="embeddings/oleObject195.bin"/><Relationship Id="rId24" Type="http://schemas.openxmlformats.org/officeDocument/2006/relationships/oleObject" Target="embeddings/oleObject7.bin"/><Relationship Id="rId66" Type="http://schemas.openxmlformats.org/officeDocument/2006/relationships/oleObject" Target="embeddings/oleObject41.bin"/><Relationship Id="rId131" Type="http://schemas.openxmlformats.org/officeDocument/2006/relationships/oleObject" Target="embeddings/oleObject97.bin"/><Relationship Id="rId327" Type="http://schemas.openxmlformats.org/officeDocument/2006/relationships/oleObject" Target="embeddings/oleObject244.bin"/><Relationship Id="rId369" Type="http://schemas.openxmlformats.org/officeDocument/2006/relationships/oleObject" Target="embeddings/oleObject271.bin"/><Relationship Id="rId534" Type="http://schemas.openxmlformats.org/officeDocument/2006/relationships/oleObject" Target="embeddings/oleObject407.bin"/><Relationship Id="rId173" Type="http://schemas.openxmlformats.org/officeDocument/2006/relationships/oleObject" Target="embeddings/oleObject131.bin"/><Relationship Id="rId229" Type="http://schemas.openxmlformats.org/officeDocument/2006/relationships/oleObject" Target="embeddings/oleObject172.bin"/><Relationship Id="rId380" Type="http://schemas.openxmlformats.org/officeDocument/2006/relationships/oleObject" Target="embeddings/oleObject282.bin"/><Relationship Id="rId436" Type="http://schemas.openxmlformats.org/officeDocument/2006/relationships/oleObject" Target="embeddings/oleObject324.bin"/><Relationship Id="rId240" Type="http://schemas.openxmlformats.org/officeDocument/2006/relationships/image" Target="media/image50.wmf"/><Relationship Id="rId478" Type="http://schemas.openxmlformats.org/officeDocument/2006/relationships/oleObject" Target="embeddings/oleObject361.bin"/><Relationship Id="rId35" Type="http://schemas.openxmlformats.org/officeDocument/2006/relationships/oleObject" Target="embeddings/oleObject13.bin"/><Relationship Id="rId77" Type="http://schemas.openxmlformats.org/officeDocument/2006/relationships/oleObject" Target="embeddings/oleObject52.bin"/><Relationship Id="rId100" Type="http://schemas.openxmlformats.org/officeDocument/2006/relationships/oleObject" Target="embeddings/oleObject71.bin"/><Relationship Id="rId282" Type="http://schemas.openxmlformats.org/officeDocument/2006/relationships/oleObject" Target="embeddings/oleObject204.bin"/><Relationship Id="rId338" Type="http://schemas.openxmlformats.org/officeDocument/2006/relationships/oleObject" Target="embeddings/oleObject251.bin"/><Relationship Id="rId503" Type="http://schemas.openxmlformats.org/officeDocument/2006/relationships/oleObject" Target="embeddings/oleObject385.bin"/><Relationship Id="rId545" Type="http://schemas.openxmlformats.org/officeDocument/2006/relationships/oleObject" Target="embeddings/oleObject417.bin"/><Relationship Id="rId8" Type="http://schemas.openxmlformats.org/officeDocument/2006/relationships/header" Target="header1.xml"/><Relationship Id="rId142" Type="http://schemas.openxmlformats.org/officeDocument/2006/relationships/oleObject" Target="embeddings/oleObject106.bin"/><Relationship Id="rId184" Type="http://schemas.openxmlformats.org/officeDocument/2006/relationships/oleObject" Target="embeddings/oleObject139.bin"/><Relationship Id="rId391" Type="http://schemas.openxmlformats.org/officeDocument/2006/relationships/oleObject" Target="embeddings/oleObject290.bin"/><Relationship Id="rId405" Type="http://schemas.openxmlformats.org/officeDocument/2006/relationships/image" Target="media/image93.wmf"/><Relationship Id="rId447" Type="http://schemas.openxmlformats.org/officeDocument/2006/relationships/oleObject" Target="embeddings/oleObject333.bin"/><Relationship Id="rId251" Type="http://schemas.openxmlformats.org/officeDocument/2006/relationships/oleObject" Target="embeddings/oleObject184.bin"/><Relationship Id="rId489" Type="http://schemas.openxmlformats.org/officeDocument/2006/relationships/oleObject" Target="embeddings/oleObject371.bin"/><Relationship Id="rId46" Type="http://schemas.openxmlformats.org/officeDocument/2006/relationships/oleObject" Target="embeddings/oleObject23.bin"/><Relationship Id="rId293" Type="http://schemas.openxmlformats.org/officeDocument/2006/relationships/oleObject" Target="embeddings/oleObject213.bin"/><Relationship Id="rId307" Type="http://schemas.openxmlformats.org/officeDocument/2006/relationships/oleObject" Target="embeddings/oleObject225.bin"/><Relationship Id="rId349" Type="http://schemas.openxmlformats.org/officeDocument/2006/relationships/oleObject" Target="embeddings/oleObject259.bin"/><Relationship Id="rId514" Type="http://schemas.openxmlformats.org/officeDocument/2006/relationships/oleObject" Target="embeddings/oleObject396.bin"/><Relationship Id="rId556" Type="http://schemas.openxmlformats.org/officeDocument/2006/relationships/oleObject" Target="embeddings/oleObject424.bin"/><Relationship Id="rId88" Type="http://schemas.openxmlformats.org/officeDocument/2006/relationships/oleObject" Target="embeddings/oleObject63.bin"/><Relationship Id="rId111" Type="http://schemas.openxmlformats.org/officeDocument/2006/relationships/oleObject" Target="embeddings/oleObject80.bin"/><Relationship Id="rId153" Type="http://schemas.openxmlformats.org/officeDocument/2006/relationships/image" Target="media/image27.wmf"/><Relationship Id="rId195" Type="http://schemas.openxmlformats.org/officeDocument/2006/relationships/oleObject" Target="embeddings/oleObject145.bin"/><Relationship Id="rId209" Type="http://schemas.openxmlformats.org/officeDocument/2006/relationships/image" Target="media/image42.wmf"/><Relationship Id="rId360" Type="http://schemas.openxmlformats.org/officeDocument/2006/relationships/oleObject" Target="embeddings/oleObject264.bin"/><Relationship Id="rId416" Type="http://schemas.openxmlformats.org/officeDocument/2006/relationships/oleObject" Target="embeddings/oleObject310.bin"/><Relationship Id="rId220" Type="http://schemas.openxmlformats.org/officeDocument/2006/relationships/oleObject" Target="embeddings/oleObject164.bin"/><Relationship Id="rId458" Type="http://schemas.openxmlformats.org/officeDocument/2006/relationships/oleObject" Target="embeddings/oleObject343.bin"/><Relationship Id="rId15" Type="http://schemas.openxmlformats.org/officeDocument/2006/relationships/image" Target="media/image3.wmf"/><Relationship Id="rId57" Type="http://schemas.openxmlformats.org/officeDocument/2006/relationships/oleObject" Target="embeddings/oleObject34.bin"/><Relationship Id="rId262" Type="http://schemas.openxmlformats.org/officeDocument/2006/relationships/image" Target="media/image58.wmf"/><Relationship Id="rId318" Type="http://schemas.openxmlformats.org/officeDocument/2006/relationships/oleObject" Target="embeddings/oleObject236.bin"/><Relationship Id="rId525" Type="http://schemas.openxmlformats.org/officeDocument/2006/relationships/oleObject" Target="embeddings/oleObject402.bin"/><Relationship Id="rId567" Type="http://schemas.openxmlformats.org/officeDocument/2006/relationships/oleObject" Target="embeddings/oleObject431.bin"/><Relationship Id="rId99" Type="http://schemas.openxmlformats.org/officeDocument/2006/relationships/oleObject" Target="embeddings/oleObject70.bin"/><Relationship Id="rId122" Type="http://schemas.openxmlformats.org/officeDocument/2006/relationships/image" Target="media/image21.wmf"/><Relationship Id="rId164" Type="http://schemas.openxmlformats.org/officeDocument/2006/relationships/oleObject" Target="embeddings/oleObject123.bin"/><Relationship Id="rId371" Type="http://schemas.openxmlformats.org/officeDocument/2006/relationships/oleObject" Target="embeddings/oleObject273.bin"/><Relationship Id="rId427" Type="http://schemas.openxmlformats.org/officeDocument/2006/relationships/oleObject" Target="embeddings/oleObject319.bin"/><Relationship Id="rId469" Type="http://schemas.openxmlformats.org/officeDocument/2006/relationships/oleObject" Target="embeddings/oleObject353.bin"/><Relationship Id="rId26" Type="http://schemas.openxmlformats.org/officeDocument/2006/relationships/image" Target="media/image6.wmf"/><Relationship Id="rId231" Type="http://schemas.openxmlformats.org/officeDocument/2006/relationships/oleObject" Target="embeddings/oleObject173.bin"/><Relationship Id="rId273" Type="http://schemas.openxmlformats.org/officeDocument/2006/relationships/oleObject" Target="embeddings/oleObject197.bin"/><Relationship Id="rId329" Type="http://schemas.openxmlformats.org/officeDocument/2006/relationships/oleObject" Target="embeddings/oleObject245.bin"/><Relationship Id="rId480" Type="http://schemas.openxmlformats.org/officeDocument/2006/relationships/oleObject" Target="embeddings/oleObject363.bin"/><Relationship Id="rId536" Type="http://schemas.openxmlformats.org/officeDocument/2006/relationships/oleObject" Target="embeddings/oleObject408.bin"/><Relationship Id="rId68" Type="http://schemas.openxmlformats.org/officeDocument/2006/relationships/oleObject" Target="embeddings/oleObject43.bin"/><Relationship Id="rId133" Type="http://schemas.openxmlformats.org/officeDocument/2006/relationships/oleObject" Target="embeddings/oleObject99.bin"/><Relationship Id="rId175" Type="http://schemas.openxmlformats.org/officeDocument/2006/relationships/oleObject" Target="embeddings/oleObject133.bin"/><Relationship Id="rId340" Type="http://schemas.openxmlformats.org/officeDocument/2006/relationships/oleObject" Target="embeddings/oleObject253.bin"/><Relationship Id="rId200" Type="http://schemas.openxmlformats.org/officeDocument/2006/relationships/oleObject" Target="embeddings/oleObject149.bin"/><Relationship Id="rId382" Type="http://schemas.openxmlformats.org/officeDocument/2006/relationships/image" Target="media/image87.wmf"/><Relationship Id="rId438" Type="http://schemas.openxmlformats.org/officeDocument/2006/relationships/oleObject" Target="embeddings/oleObject325.bin"/><Relationship Id="rId242" Type="http://schemas.openxmlformats.org/officeDocument/2006/relationships/image" Target="media/image51.wmf"/><Relationship Id="rId284" Type="http://schemas.openxmlformats.org/officeDocument/2006/relationships/oleObject" Target="embeddings/oleObject206.bin"/><Relationship Id="rId491" Type="http://schemas.openxmlformats.org/officeDocument/2006/relationships/oleObject" Target="embeddings/oleObject373.bin"/><Relationship Id="rId505" Type="http://schemas.openxmlformats.org/officeDocument/2006/relationships/oleObject" Target="embeddings/oleObject387.bin"/><Relationship Id="rId37" Type="http://schemas.openxmlformats.org/officeDocument/2006/relationships/oleObject" Target="embeddings/oleObject15.bin"/><Relationship Id="rId79" Type="http://schemas.openxmlformats.org/officeDocument/2006/relationships/oleObject" Target="embeddings/oleObject54.bin"/><Relationship Id="rId102" Type="http://schemas.openxmlformats.org/officeDocument/2006/relationships/oleObject" Target="embeddings/oleObject73.bin"/><Relationship Id="rId144" Type="http://schemas.openxmlformats.org/officeDocument/2006/relationships/oleObject" Target="embeddings/oleObject108.bin"/><Relationship Id="rId547" Type="http://schemas.openxmlformats.org/officeDocument/2006/relationships/oleObject" Target="embeddings/oleObject419.bin"/><Relationship Id="rId90" Type="http://schemas.openxmlformats.org/officeDocument/2006/relationships/image" Target="media/image14.wmf"/><Relationship Id="rId186" Type="http://schemas.openxmlformats.org/officeDocument/2006/relationships/image" Target="media/image35.wmf"/><Relationship Id="rId351" Type="http://schemas.openxmlformats.org/officeDocument/2006/relationships/oleObject" Target="embeddings/oleObject260.bin"/><Relationship Id="rId393" Type="http://schemas.openxmlformats.org/officeDocument/2006/relationships/oleObject" Target="embeddings/oleObject292.bin"/><Relationship Id="rId407" Type="http://schemas.openxmlformats.org/officeDocument/2006/relationships/oleObject" Target="embeddings/oleObject302.bin"/><Relationship Id="rId449" Type="http://schemas.openxmlformats.org/officeDocument/2006/relationships/oleObject" Target="embeddings/oleObject335.bin"/><Relationship Id="rId211" Type="http://schemas.openxmlformats.org/officeDocument/2006/relationships/oleObject" Target="embeddings/oleObject157.bin"/><Relationship Id="rId253" Type="http://schemas.openxmlformats.org/officeDocument/2006/relationships/oleObject" Target="embeddings/oleObject186.bin"/><Relationship Id="rId295" Type="http://schemas.openxmlformats.org/officeDocument/2006/relationships/oleObject" Target="embeddings/oleObject214.bin"/><Relationship Id="rId309" Type="http://schemas.openxmlformats.org/officeDocument/2006/relationships/oleObject" Target="embeddings/oleObject227.bin"/><Relationship Id="rId460" Type="http://schemas.openxmlformats.org/officeDocument/2006/relationships/oleObject" Target="embeddings/oleObject345.bin"/><Relationship Id="rId516" Type="http://schemas.openxmlformats.org/officeDocument/2006/relationships/oleObject" Target="embeddings/oleObject398.bin"/><Relationship Id="rId48" Type="http://schemas.openxmlformats.org/officeDocument/2006/relationships/oleObject" Target="embeddings/oleObject25.bin"/><Relationship Id="rId113" Type="http://schemas.openxmlformats.org/officeDocument/2006/relationships/oleObject" Target="embeddings/oleObject82.bin"/><Relationship Id="rId320" Type="http://schemas.openxmlformats.org/officeDocument/2006/relationships/oleObject" Target="embeddings/oleObject238.bin"/><Relationship Id="rId558" Type="http://schemas.openxmlformats.org/officeDocument/2006/relationships/oleObject" Target="embeddings/oleObject425.bin"/><Relationship Id="rId155" Type="http://schemas.openxmlformats.org/officeDocument/2006/relationships/oleObject" Target="embeddings/oleObject116.bin"/><Relationship Id="rId197" Type="http://schemas.openxmlformats.org/officeDocument/2006/relationships/image" Target="media/image39.wmf"/><Relationship Id="rId362" Type="http://schemas.openxmlformats.org/officeDocument/2006/relationships/image" Target="media/image85.wmf"/><Relationship Id="rId418" Type="http://schemas.openxmlformats.org/officeDocument/2006/relationships/oleObject" Target="embeddings/oleObject312.bin"/><Relationship Id="rId222" Type="http://schemas.openxmlformats.org/officeDocument/2006/relationships/oleObject" Target="embeddings/oleObject166.bin"/><Relationship Id="rId264" Type="http://schemas.openxmlformats.org/officeDocument/2006/relationships/image" Target="media/image59.wmf"/><Relationship Id="rId471" Type="http://schemas.openxmlformats.org/officeDocument/2006/relationships/image" Target="media/image105.wmf"/><Relationship Id="rId17" Type="http://schemas.openxmlformats.org/officeDocument/2006/relationships/oleObject" Target="embeddings/oleObject2.bin"/><Relationship Id="rId59" Type="http://schemas.openxmlformats.org/officeDocument/2006/relationships/oleObject" Target="embeddings/oleObject36.bin"/><Relationship Id="rId124" Type="http://schemas.openxmlformats.org/officeDocument/2006/relationships/oleObject" Target="embeddings/oleObject91.bin"/><Relationship Id="rId527" Type="http://schemas.openxmlformats.org/officeDocument/2006/relationships/image" Target="media/image112.wmf"/><Relationship Id="rId569" Type="http://schemas.openxmlformats.org/officeDocument/2006/relationships/oleObject" Target="embeddings/oleObject433.bin"/><Relationship Id="rId70" Type="http://schemas.openxmlformats.org/officeDocument/2006/relationships/oleObject" Target="embeddings/oleObject45.bin"/><Relationship Id="rId166" Type="http://schemas.openxmlformats.org/officeDocument/2006/relationships/oleObject" Target="embeddings/oleObject125.bin"/><Relationship Id="rId331" Type="http://schemas.openxmlformats.org/officeDocument/2006/relationships/image" Target="media/image73.wmf"/><Relationship Id="rId373" Type="http://schemas.openxmlformats.org/officeDocument/2006/relationships/oleObject" Target="embeddings/oleObject275.bin"/><Relationship Id="rId429" Type="http://schemas.openxmlformats.org/officeDocument/2006/relationships/oleObject" Target="embeddings/oleObject321.bin"/><Relationship Id="rId1" Type="http://schemas.openxmlformats.org/officeDocument/2006/relationships/customXml" Target="../customXml/item1.xml"/><Relationship Id="rId233" Type="http://schemas.openxmlformats.org/officeDocument/2006/relationships/oleObject" Target="embeddings/oleObject174.bin"/><Relationship Id="rId440" Type="http://schemas.openxmlformats.org/officeDocument/2006/relationships/oleObject" Target="embeddings/oleObject327.bin"/><Relationship Id="rId28" Type="http://schemas.openxmlformats.org/officeDocument/2006/relationships/image" Target="media/image7.wmf"/><Relationship Id="rId275" Type="http://schemas.openxmlformats.org/officeDocument/2006/relationships/image" Target="media/image65.wmf"/><Relationship Id="rId300" Type="http://schemas.openxmlformats.org/officeDocument/2006/relationships/oleObject" Target="embeddings/oleObject218.bin"/><Relationship Id="rId482" Type="http://schemas.openxmlformats.org/officeDocument/2006/relationships/oleObject" Target="embeddings/oleObject365.bin"/><Relationship Id="rId538" Type="http://schemas.openxmlformats.org/officeDocument/2006/relationships/oleObject" Target="embeddings/oleObject410.bin"/><Relationship Id="rId81" Type="http://schemas.openxmlformats.org/officeDocument/2006/relationships/oleObject" Target="embeddings/oleObject56.bin"/><Relationship Id="rId135" Type="http://schemas.openxmlformats.org/officeDocument/2006/relationships/oleObject" Target="embeddings/oleObject101.bin"/><Relationship Id="rId177" Type="http://schemas.openxmlformats.org/officeDocument/2006/relationships/oleObject" Target="embeddings/oleObject135.bin"/><Relationship Id="rId342" Type="http://schemas.openxmlformats.org/officeDocument/2006/relationships/oleObject" Target="embeddings/oleObject255.bin"/><Relationship Id="rId384" Type="http://schemas.openxmlformats.org/officeDocument/2006/relationships/image" Target="media/image88.wmf"/><Relationship Id="rId202" Type="http://schemas.openxmlformats.org/officeDocument/2006/relationships/oleObject" Target="embeddings/oleObject150.bin"/><Relationship Id="rId244" Type="http://schemas.openxmlformats.org/officeDocument/2006/relationships/image" Target="media/image52.wmf"/><Relationship Id="rId39" Type="http://schemas.openxmlformats.org/officeDocument/2006/relationships/oleObject" Target="embeddings/oleObject17.bin"/><Relationship Id="rId286" Type="http://schemas.openxmlformats.org/officeDocument/2006/relationships/oleObject" Target="embeddings/oleObject208.bin"/><Relationship Id="rId451" Type="http://schemas.openxmlformats.org/officeDocument/2006/relationships/oleObject" Target="embeddings/oleObject337.bin"/><Relationship Id="rId493" Type="http://schemas.openxmlformats.org/officeDocument/2006/relationships/oleObject" Target="embeddings/oleObject375.bin"/><Relationship Id="rId507" Type="http://schemas.openxmlformats.org/officeDocument/2006/relationships/oleObject" Target="embeddings/oleObject389.bin"/><Relationship Id="rId549" Type="http://schemas.openxmlformats.org/officeDocument/2006/relationships/image" Target="media/image117.wmf"/><Relationship Id="rId50" Type="http://schemas.openxmlformats.org/officeDocument/2006/relationships/oleObject" Target="embeddings/oleObject27.bin"/><Relationship Id="rId104" Type="http://schemas.openxmlformats.org/officeDocument/2006/relationships/image" Target="media/image18.wmf"/><Relationship Id="rId146" Type="http://schemas.openxmlformats.org/officeDocument/2006/relationships/oleObject" Target="embeddings/oleObject109.bin"/><Relationship Id="rId188" Type="http://schemas.openxmlformats.org/officeDocument/2006/relationships/oleObject" Target="embeddings/oleObject140.bin"/><Relationship Id="rId311" Type="http://schemas.openxmlformats.org/officeDocument/2006/relationships/oleObject" Target="embeddings/oleObject229.bin"/><Relationship Id="rId353" Type="http://schemas.openxmlformats.org/officeDocument/2006/relationships/oleObject" Target="embeddings/oleObject261.bin"/><Relationship Id="rId395" Type="http://schemas.openxmlformats.org/officeDocument/2006/relationships/oleObject" Target="embeddings/oleObject293.bin"/><Relationship Id="rId409" Type="http://schemas.openxmlformats.org/officeDocument/2006/relationships/oleObject" Target="embeddings/oleObject304.bin"/><Relationship Id="rId560" Type="http://schemas.openxmlformats.org/officeDocument/2006/relationships/oleObject" Target="embeddings/oleObject426.bin"/><Relationship Id="rId92" Type="http://schemas.openxmlformats.org/officeDocument/2006/relationships/image" Target="media/image15.wmf"/><Relationship Id="rId213" Type="http://schemas.openxmlformats.org/officeDocument/2006/relationships/oleObject" Target="embeddings/oleObject159.bin"/><Relationship Id="rId420" Type="http://schemas.openxmlformats.org/officeDocument/2006/relationships/oleObject" Target="embeddings/oleObject313.bin"/><Relationship Id="rId255" Type="http://schemas.openxmlformats.org/officeDocument/2006/relationships/oleObject" Target="embeddings/oleObject188.bin"/><Relationship Id="rId297" Type="http://schemas.openxmlformats.org/officeDocument/2006/relationships/oleObject" Target="embeddings/oleObject215.bin"/><Relationship Id="rId462" Type="http://schemas.openxmlformats.org/officeDocument/2006/relationships/oleObject" Target="embeddings/oleObject347.bin"/><Relationship Id="rId518" Type="http://schemas.openxmlformats.org/officeDocument/2006/relationships/oleObject" Target="embeddings/oleObject400.bin"/><Relationship Id="rId115" Type="http://schemas.openxmlformats.org/officeDocument/2006/relationships/oleObject" Target="embeddings/oleObject84.bin"/><Relationship Id="rId157" Type="http://schemas.openxmlformats.org/officeDocument/2006/relationships/oleObject" Target="embeddings/oleObject117.bin"/><Relationship Id="rId322" Type="http://schemas.openxmlformats.org/officeDocument/2006/relationships/oleObject" Target="embeddings/oleObject240.bin"/><Relationship Id="rId364" Type="http://schemas.openxmlformats.org/officeDocument/2006/relationships/image" Target="media/image86.wmf"/><Relationship Id="rId61" Type="http://schemas.openxmlformats.org/officeDocument/2006/relationships/oleObject" Target="embeddings/oleObject38.bin"/><Relationship Id="rId199" Type="http://schemas.openxmlformats.org/officeDocument/2006/relationships/oleObject" Target="embeddings/oleObject148.bin"/><Relationship Id="rId571" Type="http://schemas.openxmlformats.org/officeDocument/2006/relationships/header" Target="header3.xml"/><Relationship Id="rId19" Type="http://schemas.openxmlformats.org/officeDocument/2006/relationships/oleObject" Target="embeddings/oleObject4.bin"/><Relationship Id="rId224" Type="http://schemas.openxmlformats.org/officeDocument/2006/relationships/oleObject" Target="embeddings/oleObject168.bin"/><Relationship Id="rId266" Type="http://schemas.openxmlformats.org/officeDocument/2006/relationships/image" Target="media/image61.wmf"/><Relationship Id="rId431" Type="http://schemas.openxmlformats.org/officeDocument/2006/relationships/image" Target="media/image97.wmf"/><Relationship Id="rId473" Type="http://schemas.openxmlformats.org/officeDocument/2006/relationships/oleObject" Target="embeddings/oleObject356.bin"/><Relationship Id="rId529" Type="http://schemas.openxmlformats.org/officeDocument/2006/relationships/image" Target="media/image113.wmf"/><Relationship Id="rId30" Type="http://schemas.openxmlformats.org/officeDocument/2006/relationships/image" Target="media/image8.wmf"/><Relationship Id="rId126" Type="http://schemas.openxmlformats.org/officeDocument/2006/relationships/oleObject" Target="embeddings/oleObject93.bin"/><Relationship Id="rId168" Type="http://schemas.openxmlformats.org/officeDocument/2006/relationships/oleObject" Target="embeddings/oleObject127.bin"/><Relationship Id="rId333" Type="http://schemas.openxmlformats.org/officeDocument/2006/relationships/oleObject" Target="embeddings/oleObject248.bin"/><Relationship Id="rId540" Type="http://schemas.openxmlformats.org/officeDocument/2006/relationships/oleObject" Target="embeddings/oleObject412.bin"/><Relationship Id="rId72" Type="http://schemas.openxmlformats.org/officeDocument/2006/relationships/oleObject" Target="embeddings/oleObject47.bin"/><Relationship Id="rId375" Type="http://schemas.openxmlformats.org/officeDocument/2006/relationships/oleObject" Target="embeddings/oleObject277.bin"/><Relationship Id="rId3" Type="http://schemas.openxmlformats.org/officeDocument/2006/relationships/styles" Target="styles.xml"/><Relationship Id="rId235" Type="http://schemas.openxmlformats.org/officeDocument/2006/relationships/oleObject" Target="embeddings/oleObject176.bin"/><Relationship Id="rId277" Type="http://schemas.openxmlformats.org/officeDocument/2006/relationships/oleObject" Target="embeddings/oleObject200.bin"/><Relationship Id="rId400" Type="http://schemas.openxmlformats.org/officeDocument/2006/relationships/oleObject" Target="embeddings/oleObject296.bin"/><Relationship Id="rId442" Type="http://schemas.openxmlformats.org/officeDocument/2006/relationships/oleObject" Target="embeddings/oleObject329.bin"/><Relationship Id="rId484" Type="http://schemas.openxmlformats.org/officeDocument/2006/relationships/oleObject" Target="embeddings/oleObject367.bin"/><Relationship Id="rId137" Type="http://schemas.openxmlformats.org/officeDocument/2006/relationships/oleObject" Target="embeddings/oleObject102.bin"/><Relationship Id="rId302" Type="http://schemas.openxmlformats.org/officeDocument/2006/relationships/oleObject" Target="embeddings/oleObject220.bin"/><Relationship Id="rId344" Type="http://schemas.openxmlformats.org/officeDocument/2006/relationships/oleObject" Target="embeddings/oleObject256.bin"/><Relationship Id="rId41" Type="http://schemas.openxmlformats.org/officeDocument/2006/relationships/oleObject" Target="embeddings/oleObject19.bin"/><Relationship Id="rId83" Type="http://schemas.openxmlformats.org/officeDocument/2006/relationships/oleObject" Target="embeddings/oleObject58.bin"/><Relationship Id="rId179" Type="http://schemas.openxmlformats.org/officeDocument/2006/relationships/oleObject" Target="embeddings/oleObject136.bin"/><Relationship Id="rId386" Type="http://schemas.openxmlformats.org/officeDocument/2006/relationships/oleObject" Target="embeddings/oleObject286.bin"/><Relationship Id="rId551" Type="http://schemas.openxmlformats.org/officeDocument/2006/relationships/oleObject" Target="embeddings/oleObject421.bin"/><Relationship Id="rId190" Type="http://schemas.openxmlformats.org/officeDocument/2006/relationships/oleObject" Target="embeddings/oleObject141.bin"/><Relationship Id="rId204" Type="http://schemas.openxmlformats.org/officeDocument/2006/relationships/oleObject" Target="embeddings/oleObject152.bin"/><Relationship Id="rId246" Type="http://schemas.openxmlformats.org/officeDocument/2006/relationships/image" Target="media/image53.wmf"/><Relationship Id="rId288" Type="http://schemas.openxmlformats.org/officeDocument/2006/relationships/oleObject" Target="embeddings/oleObject210.bin"/><Relationship Id="rId411" Type="http://schemas.openxmlformats.org/officeDocument/2006/relationships/oleObject" Target="embeddings/oleObject306.bin"/><Relationship Id="rId453" Type="http://schemas.openxmlformats.org/officeDocument/2006/relationships/image" Target="media/image103.wmf"/><Relationship Id="rId509" Type="http://schemas.openxmlformats.org/officeDocument/2006/relationships/oleObject" Target="embeddings/oleObject391.bin"/><Relationship Id="rId106" Type="http://schemas.openxmlformats.org/officeDocument/2006/relationships/oleObject" Target="embeddings/oleObject76.bin"/><Relationship Id="rId313" Type="http://schemas.openxmlformats.org/officeDocument/2006/relationships/oleObject" Target="embeddings/oleObject231.bin"/><Relationship Id="rId495" Type="http://schemas.openxmlformats.org/officeDocument/2006/relationships/oleObject" Target="embeddings/oleObject377.bin"/><Relationship Id="rId10" Type="http://schemas.openxmlformats.org/officeDocument/2006/relationships/footer" Target="footer2.xml"/><Relationship Id="rId52" Type="http://schemas.openxmlformats.org/officeDocument/2006/relationships/oleObject" Target="embeddings/oleObject29.bin"/><Relationship Id="rId94" Type="http://schemas.openxmlformats.org/officeDocument/2006/relationships/oleObject" Target="embeddings/oleObject67.bin"/><Relationship Id="rId148" Type="http://schemas.openxmlformats.org/officeDocument/2006/relationships/image" Target="media/image26.png"/><Relationship Id="rId355" Type="http://schemas.openxmlformats.org/officeDocument/2006/relationships/image" Target="media/image82.wmf"/><Relationship Id="rId397" Type="http://schemas.openxmlformats.org/officeDocument/2006/relationships/oleObject" Target="embeddings/oleObject294.bin"/><Relationship Id="rId520" Type="http://schemas.openxmlformats.org/officeDocument/2006/relationships/image" Target="media/image108.wmf"/><Relationship Id="rId562" Type="http://schemas.openxmlformats.org/officeDocument/2006/relationships/oleObject" Target="embeddings/oleObject427.bin"/><Relationship Id="rId215" Type="http://schemas.openxmlformats.org/officeDocument/2006/relationships/image" Target="media/image43.wmf"/><Relationship Id="rId257" Type="http://schemas.openxmlformats.org/officeDocument/2006/relationships/image" Target="media/image56.wmf"/><Relationship Id="rId422" Type="http://schemas.openxmlformats.org/officeDocument/2006/relationships/oleObject" Target="embeddings/oleObject314.bin"/><Relationship Id="rId464" Type="http://schemas.openxmlformats.org/officeDocument/2006/relationships/oleObject" Target="embeddings/oleObject348.bin"/><Relationship Id="rId299" Type="http://schemas.openxmlformats.org/officeDocument/2006/relationships/oleObject" Target="embeddings/oleObject217.bin"/><Relationship Id="rId63" Type="http://schemas.openxmlformats.org/officeDocument/2006/relationships/oleObject" Target="embeddings/oleObject39.bin"/><Relationship Id="rId159" Type="http://schemas.openxmlformats.org/officeDocument/2006/relationships/image" Target="media/image29.wmf"/><Relationship Id="rId366" Type="http://schemas.openxmlformats.org/officeDocument/2006/relationships/oleObject" Target="embeddings/oleObject268.bin"/><Relationship Id="rId573" Type="http://schemas.openxmlformats.org/officeDocument/2006/relationships/footer" Target="footer4.xml"/><Relationship Id="rId226" Type="http://schemas.openxmlformats.org/officeDocument/2006/relationships/oleObject" Target="embeddings/oleObject170.bin"/><Relationship Id="rId433" Type="http://schemas.openxmlformats.org/officeDocument/2006/relationships/image" Target="media/image99.wmf"/><Relationship Id="rId74" Type="http://schemas.openxmlformats.org/officeDocument/2006/relationships/oleObject" Target="embeddings/oleObject49.bin"/><Relationship Id="rId377" Type="http://schemas.openxmlformats.org/officeDocument/2006/relationships/oleObject" Target="embeddings/oleObject279.bin"/><Relationship Id="rId500" Type="http://schemas.openxmlformats.org/officeDocument/2006/relationships/oleObject" Target="embeddings/oleObject382.bin"/><Relationship Id="rId5" Type="http://schemas.openxmlformats.org/officeDocument/2006/relationships/webSettings" Target="webSettings.xml"/><Relationship Id="rId237" Type="http://schemas.openxmlformats.org/officeDocument/2006/relationships/image" Target="media/image48.wmf"/><Relationship Id="rId444" Type="http://schemas.openxmlformats.org/officeDocument/2006/relationships/oleObject" Target="embeddings/oleObject331.bin"/><Relationship Id="rId290" Type="http://schemas.openxmlformats.org/officeDocument/2006/relationships/oleObject" Target="embeddings/oleObject211.bin"/><Relationship Id="rId304" Type="http://schemas.openxmlformats.org/officeDocument/2006/relationships/oleObject" Target="embeddings/oleObject222.bin"/><Relationship Id="rId388" Type="http://schemas.openxmlformats.org/officeDocument/2006/relationships/oleObject" Target="embeddings/oleObject287.bin"/><Relationship Id="rId511" Type="http://schemas.openxmlformats.org/officeDocument/2006/relationships/oleObject" Target="embeddings/oleObject393.bin"/><Relationship Id="rId85" Type="http://schemas.openxmlformats.org/officeDocument/2006/relationships/oleObject" Target="embeddings/oleObject60.bin"/><Relationship Id="rId150" Type="http://schemas.openxmlformats.org/officeDocument/2006/relationships/oleObject" Target="embeddings/oleObject112.bin"/><Relationship Id="rId248" Type="http://schemas.openxmlformats.org/officeDocument/2006/relationships/image" Target="media/image54.wmf"/><Relationship Id="rId455" Type="http://schemas.openxmlformats.org/officeDocument/2006/relationships/oleObject" Target="embeddings/oleObject340.bin"/><Relationship Id="rId12" Type="http://schemas.openxmlformats.org/officeDocument/2006/relationships/footer" Target="footer3.xml"/><Relationship Id="rId108" Type="http://schemas.openxmlformats.org/officeDocument/2006/relationships/oleObject" Target="embeddings/oleObject78.bin"/><Relationship Id="rId315" Type="http://schemas.openxmlformats.org/officeDocument/2006/relationships/oleObject" Target="embeddings/oleObject233.bin"/><Relationship Id="rId522" Type="http://schemas.openxmlformats.org/officeDocument/2006/relationships/image" Target="media/image110.wmf"/><Relationship Id="rId96" Type="http://schemas.openxmlformats.org/officeDocument/2006/relationships/image" Target="media/image16.wmf"/><Relationship Id="rId161" Type="http://schemas.openxmlformats.org/officeDocument/2006/relationships/oleObject" Target="embeddings/oleObject120.bin"/><Relationship Id="rId399" Type="http://schemas.openxmlformats.org/officeDocument/2006/relationships/oleObject" Target="embeddings/oleObject295.bin"/><Relationship Id="rId259" Type="http://schemas.openxmlformats.org/officeDocument/2006/relationships/image" Target="media/image57.wmf"/><Relationship Id="rId466" Type="http://schemas.openxmlformats.org/officeDocument/2006/relationships/oleObject" Target="embeddings/oleObject350.bin"/><Relationship Id="rId23" Type="http://schemas.openxmlformats.org/officeDocument/2006/relationships/oleObject" Target="embeddings/oleObject6.bin"/><Relationship Id="rId119" Type="http://schemas.openxmlformats.org/officeDocument/2006/relationships/oleObject" Target="embeddings/oleObject88.bin"/><Relationship Id="rId326" Type="http://schemas.openxmlformats.org/officeDocument/2006/relationships/oleObject" Target="embeddings/oleObject243.bin"/><Relationship Id="rId533" Type="http://schemas.openxmlformats.org/officeDocument/2006/relationships/image" Target="media/image115.wmf"/><Relationship Id="rId172" Type="http://schemas.openxmlformats.org/officeDocument/2006/relationships/image" Target="media/image30.wmf"/><Relationship Id="rId477" Type="http://schemas.openxmlformats.org/officeDocument/2006/relationships/oleObject" Target="embeddings/oleObject36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D4AF7-9148-4D7E-A43E-68DD1F3EF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520</Pages>
  <Words>177542</Words>
  <Characters>1011995</Characters>
  <Application>Microsoft Office Word</Application>
  <DocSecurity>0</DocSecurity>
  <Lines>8433</Lines>
  <Paragraphs>2374</Paragraphs>
  <ScaleCrop>false</ScaleCrop>
  <HeadingPairs>
    <vt:vector size="2" baseType="variant">
      <vt:variant>
        <vt:lpstr>Title</vt:lpstr>
      </vt:variant>
      <vt:variant>
        <vt:i4>1</vt:i4>
      </vt:variant>
    </vt:vector>
  </HeadingPairs>
  <TitlesOfParts>
    <vt:vector size="1" baseType="lpstr">
      <vt:lpstr/>
    </vt:vector>
  </TitlesOfParts>
  <Company>The Electric Reliability Council of Texas</Company>
  <LinksUpToDate>false</LinksUpToDate>
  <CharactersWithSpaces>1187163</CharactersWithSpaces>
  <SharedDoc>false</SharedDoc>
  <HLinks>
    <vt:vector size="954" baseType="variant">
      <vt:variant>
        <vt:i4>1572918</vt:i4>
      </vt:variant>
      <vt:variant>
        <vt:i4>950</vt:i4>
      </vt:variant>
      <vt:variant>
        <vt:i4>0</vt:i4>
      </vt:variant>
      <vt:variant>
        <vt:i4>5</vt:i4>
      </vt:variant>
      <vt:variant>
        <vt:lpwstr/>
      </vt:variant>
      <vt:variant>
        <vt:lpwstr>_Toc17798786</vt:lpwstr>
      </vt:variant>
      <vt:variant>
        <vt:i4>1769526</vt:i4>
      </vt:variant>
      <vt:variant>
        <vt:i4>944</vt:i4>
      </vt:variant>
      <vt:variant>
        <vt:i4>0</vt:i4>
      </vt:variant>
      <vt:variant>
        <vt:i4>5</vt:i4>
      </vt:variant>
      <vt:variant>
        <vt:lpwstr/>
      </vt:variant>
      <vt:variant>
        <vt:lpwstr>_Toc17798785</vt:lpwstr>
      </vt:variant>
      <vt:variant>
        <vt:i4>1703990</vt:i4>
      </vt:variant>
      <vt:variant>
        <vt:i4>938</vt:i4>
      </vt:variant>
      <vt:variant>
        <vt:i4>0</vt:i4>
      </vt:variant>
      <vt:variant>
        <vt:i4>5</vt:i4>
      </vt:variant>
      <vt:variant>
        <vt:lpwstr/>
      </vt:variant>
      <vt:variant>
        <vt:lpwstr>_Toc17798784</vt:lpwstr>
      </vt:variant>
      <vt:variant>
        <vt:i4>1900598</vt:i4>
      </vt:variant>
      <vt:variant>
        <vt:i4>932</vt:i4>
      </vt:variant>
      <vt:variant>
        <vt:i4>0</vt:i4>
      </vt:variant>
      <vt:variant>
        <vt:i4>5</vt:i4>
      </vt:variant>
      <vt:variant>
        <vt:lpwstr/>
      </vt:variant>
      <vt:variant>
        <vt:lpwstr>_Toc17798783</vt:lpwstr>
      </vt:variant>
      <vt:variant>
        <vt:i4>1835062</vt:i4>
      </vt:variant>
      <vt:variant>
        <vt:i4>926</vt:i4>
      </vt:variant>
      <vt:variant>
        <vt:i4>0</vt:i4>
      </vt:variant>
      <vt:variant>
        <vt:i4>5</vt:i4>
      </vt:variant>
      <vt:variant>
        <vt:lpwstr/>
      </vt:variant>
      <vt:variant>
        <vt:lpwstr>_Toc17798782</vt:lpwstr>
      </vt:variant>
      <vt:variant>
        <vt:i4>2031670</vt:i4>
      </vt:variant>
      <vt:variant>
        <vt:i4>920</vt:i4>
      </vt:variant>
      <vt:variant>
        <vt:i4>0</vt:i4>
      </vt:variant>
      <vt:variant>
        <vt:i4>5</vt:i4>
      </vt:variant>
      <vt:variant>
        <vt:lpwstr/>
      </vt:variant>
      <vt:variant>
        <vt:lpwstr>_Toc17798781</vt:lpwstr>
      </vt:variant>
      <vt:variant>
        <vt:i4>1966134</vt:i4>
      </vt:variant>
      <vt:variant>
        <vt:i4>914</vt:i4>
      </vt:variant>
      <vt:variant>
        <vt:i4>0</vt:i4>
      </vt:variant>
      <vt:variant>
        <vt:i4>5</vt:i4>
      </vt:variant>
      <vt:variant>
        <vt:lpwstr/>
      </vt:variant>
      <vt:variant>
        <vt:lpwstr>_Toc17798780</vt:lpwstr>
      </vt:variant>
      <vt:variant>
        <vt:i4>1507385</vt:i4>
      </vt:variant>
      <vt:variant>
        <vt:i4>908</vt:i4>
      </vt:variant>
      <vt:variant>
        <vt:i4>0</vt:i4>
      </vt:variant>
      <vt:variant>
        <vt:i4>5</vt:i4>
      </vt:variant>
      <vt:variant>
        <vt:lpwstr/>
      </vt:variant>
      <vt:variant>
        <vt:lpwstr>_Toc17798779</vt:lpwstr>
      </vt:variant>
      <vt:variant>
        <vt:i4>1441849</vt:i4>
      </vt:variant>
      <vt:variant>
        <vt:i4>902</vt:i4>
      </vt:variant>
      <vt:variant>
        <vt:i4>0</vt:i4>
      </vt:variant>
      <vt:variant>
        <vt:i4>5</vt:i4>
      </vt:variant>
      <vt:variant>
        <vt:lpwstr/>
      </vt:variant>
      <vt:variant>
        <vt:lpwstr>_Toc17798778</vt:lpwstr>
      </vt:variant>
      <vt:variant>
        <vt:i4>1638457</vt:i4>
      </vt:variant>
      <vt:variant>
        <vt:i4>896</vt:i4>
      </vt:variant>
      <vt:variant>
        <vt:i4>0</vt:i4>
      </vt:variant>
      <vt:variant>
        <vt:i4>5</vt:i4>
      </vt:variant>
      <vt:variant>
        <vt:lpwstr/>
      </vt:variant>
      <vt:variant>
        <vt:lpwstr>_Toc17798777</vt:lpwstr>
      </vt:variant>
      <vt:variant>
        <vt:i4>1572921</vt:i4>
      </vt:variant>
      <vt:variant>
        <vt:i4>890</vt:i4>
      </vt:variant>
      <vt:variant>
        <vt:i4>0</vt:i4>
      </vt:variant>
      <vt:variant>
        <vt:i4>5</vt:i4>
      </vt:variant>
      <vt:variant>
        <vt:lpwstr/>
      </vt:variant>
      <vt:variant>
        <vt:lpwstr>_Toc17798776</vt:lpwstr>
      </vt:variant>
      <vt:variant>
        <vt:i4>1769529</vt:i4>
      </vt:variant>
      <vt:variant>
        <vt:i4>884</vt:i4>
      </vt:variant>
      <vt:variant>
        <vt:i4>0</vt:i4>
      </vt:variant>
      <vt:variant>
        <vt:i4>5</vt:i4>
      </vt:variant>
      <vt:variant>
        <vt:lpwstr/>
      </vt:variant>
      <vt:variant>
        <vt:lpwstr>_Toc17798775</vt:lpwstr>
      </vt:variant>
      <vt:variant>
        <vt:i4>1703993</vt:i4>
      </vt:variant>
      <vt:variant>
        <vt:i4>878</vt:i4>
      </vt:variant>
      <vt:variant>
        <vt:i4>0</vt:i4>
      </vt:variant>
      <vt:variant>
        <vt:i4>5</vt:i4>
      </vt:variant>
      <vt:variant>
        <vt:lpwstr/>
      </vt:variant>
      <vt:variant>
        <vt:lpwstr>_Toc17798774</vt:lpwstr>
      </vt:variant>
      <vt:variant>
        <vt:i4>1900601</vt:i4>
      </vt:variant>
      <vt:variant>
        <vt:i4>872</vt:i4>
      </vt:variant>
      <vt:variant>
        <vt:i4>0</vt:i4>
      </vt:variant>
      <vt:variant>
        <vt:i4>5</vt:i4>
      </vt:variant>
      <vt:variant>
        <vt:lpwstr/>
      </vt:variant>
      <vt:variant>
        <vt:lpwstr>_Toc17798773</vt:lpwstr>
      </vt:variant>
      <vt:variant>
        <vt:i4>1835065</vt:i4>
      </vt:variant>
      <vt:variant>
        <vt:i4>866</vt:i4>
      </vt:variant>
      <vt:variant>
        <vt:i4>0</vt:i4>
      </vt:variant>
      <vt:variant>
        <vt:i4>5</vt:i4>
      </vt:variant>
      <vt:variant>
        <vt:lpwstr/>
      </vt:variant>
      <vt:variant>
        <vt:lpwstr>_Toc17798772</vt:lpwstr>
      </vt:variant>
      <vt:variant>
        <vt:i4>2031673</vt:i4>
      </vt:variant>
      <vt:variant>
        <vt:i4>860</vt:i4>
      </vt:variant>
      <vt:variant>
        <vt:i4>0</vt:i4>
      </vt:variant>
      <vt:variant>
        <vt:i4>5</vt:i4>
      </vt:variant>
      <vt:variant>
        <vt:lpwstr/>
      </vt:variant>
      <vt:variant>
        <vt:lpwstr>_Toc17798771</vt:lpwstr>
      </vt:variant>
      <vt:variant>
        <vt:i4>1966137</vt:i4>
      </vt:variant>
      <vt:variant>
        <vt:i4>854</vt:i4>
      </vt:variant>
      <vt:variant>
        <vt:i4>0</vt:i4>
      </vt:variant>
      <vt:variant>
        <vt:i4>5</vt:i4>
      </vt:variant>
      <vt:variant>
        <vt:lpwstr/>
      </vt:variant>
      <vt:variant>
        <vt:lpwstr>_Toc17798770</vt:lpwstr>
      </vt:variant>
      <vt:variant>
        <vt:i4>1507384</vt:i4>
      </vt:variant>
      <vt:variant>
        <vt:i4>848</vt:i4>
      </vt:variant>
      <vt:variant>
        <vt:i4>0</vt:i4>
      </vt:variant>
      <vt:variant>
        <vt:i4>5</vt:i4>
      </vt:variant>
      <vt:variant>
        <vt:lpwstr/>
      </vt:variant>
      <vt:variant>
        <vt:lpwstr>_Toc17798769</vt:lpwstr>
      </vt:variant>
      <vt:variant>
        <vt:i4>1441848</vt:i4>
      </vt:variant>
      <vt:variant>
        <vt:i4>842</vt:i4>
      </vt:variant>
      <vt:variant>
        <vt:i4>0</vt:i4>
      </vt:variant>
      <vt:variant>
        <vt:i4>5</vt:i4>
      </vt:variant>
      <vt:variant>
        <vt:lpwstr/>
      </vt:variant>
      <vt:variant>
        <vt:lpwstr>_Toc17798768</vt:lpwstr>
      </vt:variant>
      <vt:variant>
        <vt:i4>1638456</vt:i4>
      </vt:variant>
      <vt:variant>
        <vt:i4>836</vt:i4>
      </vt:variant>
      <vt:variant>
        <vt:i4>0</vt:i4>
      </vt:variant>
      <vt:variant>
        <vt:i4>5</vt:i4>
      </vt:variant>
      <vt:variant>
        <vt:lpwstr/>
      </vt:variant>
      <vt:variant>
        <vt:lpwstr>_Toc17798767</vt:lpwstr>
      </vt:variant>
      <vt:variant>
        <vt:i4>1572920</vt:i4>
      </vt:variant>
      <vt:variant>
        <vt:i4>830</vt:i4>
      </vt:variant>
      <vt:variant>
        <vt:i4>0</vt:i4>
      </vt:variant>
      <vt:variant>
        <vt:i4>5</vt:i4>
      </vt:variant>
      <vt:variant>
        <vt:lpwstr/>
      </vt:variant>
      <vt:variant>
        <vt:lpwstr>_Toc17798766</vt:lpwstr>
      </vt:variant>
      <vt:variant>
        <vt:i4>1769528</vt:i4>
      </vt:variant>
      <vt:variant>
        <vt:i4>824</vt:i4>
      </vt:variant>
      <vt:variant>
        <vt:i4>0</vt:i4>
      </vt:variant>
      <vt:variant>
        <vt:i4>5</vt:i4>
      </vt:variant>
      <vt:variant>
        <vt:lpwstr/>
      </vt:variant>
      <vt:variant>
        <vt:lpwstr>_Toc17798765</vt:lpwstr>
      </vt:variant>
      <vt:variant>
        <vt:i4>1703992</vt:i4>
      </vt:variant>
      <vt:variant>
        <vt:i4>818</vt:i4>
      </vt:variant>
      <vt:variant>
        <vt:i4>0</vt:i4>
      </vt:variant>
      <vt:variant>
        <vt:i4>5</vt:i4>
      </vt:variant>
      <vt:variant>
        <vt:lpwstr/>
      </vt:variant>
      <vt:variant>
        <vt:lpwstr>_Toc17798764</vt:lpwstr>
      </vt:variant>
      <vt:variant>
        <vt:i4>1900600</vt:i4>
      </vt:variant>
      <vt:variant>
        <vt:i4>812</vt:i4>
      </vt:variant>
      <vt:variant>
        <vt:i4>0</vt:i4>
      </vt:variant>
      <vt:variant>
        <vt:i4>5</vt:i4>
      </vt:variant>
      <vt:variant>
        <vt:lpwstr/>
      </vt:variant>
      <vt:variant>
        <vt:lpwstr>_Toc17798763</vt:lpwstr>
      </vt:variant>
      <vt:variant>
        <vt:i4>1835064</vt:i4>
      </vt:variant>
      <vt:variant>
        <vt:i4>806</vt:i4>
      </vt:variant>
      <vt:variant>
        <vt:i4>0</vt:i4>
      </vt:variant>
      <vt:variant>
        <vt:i4>5</vt:i4>
      </vt:variant>
      <vt:variant>
        <vt:lpwstr/>
      </vt:variant>
      <vt:variant>
        <vt:lpwstr>_Toc17798762</vt:lpwstr>
      </vt:variant>
      <vt:variant>
        <vt:i4>2031672</vt:i4>
      </vt:variant>
      <vt:variant>
        <vt:i4>800</vt:i4>
      </vt:variant>
      <vt:variant>
        <vt:i4>0</vt:i4>
      </vt:variant>
      <vt:variant>
        <vt:i4>5</vt:i4>
      </vt:variant>
      <vt:variant>
        <vt:lpwstr/>
      </vt:variant>
      <vt:variant>
        <vt:lpwstr>_Toc17798761</vt:lpwstr>
      </vt:variant>
      <vt:variant>
        <vt:i4>1966136</vt:i4>
      </vt:variant>
      <vt:variant>
        <vt:i4>794</vt:i4>
      </vt:variant>
      <vt:variant>
        <vt:i4>0</vt:i4>
      </vt:variant>
      <vt:variant>
        <vt:i4>5</vt:i4>
      </vt:variant>
      <vt:variant>
        <vt:lpwstr/>
      </vt:variant>
      <vt:variant>
        <vt:lpwstr>_Toc17798760</vt:lpwstr>
      </vt:variant>
      <vt:variant>
        <vt:i4>1900603</vt:i4>
      </vt:variant>
      <vt:variant>
        <vt:i4>788</vt:i4>
      </vt:variant>
      <vt:variant>
        <vt:i4>0</vt:i4>
      </vt:variant>
      <vt:variant>
        <vt:i4>5</vt:i4>
      </vt:variant>
      <vt:variant>
        <vt:lpwstr/>
      </vt:variant>
      <vt:variant>
        <vt:lpwstr>_Toc17798753</vt:lpwstr>
      </vt:variant>
      <vt:variant>
        <vt:i4>1835067</vt:i4>
      </vt:variant>
      <vt:variant>
        <vt:i4>782</vt:i4>
      </vt:variant>
      <vt:variant>
        <vt:i4>0</vt:i4>
      </vt:variant>
      <vt:variant>
        <vt:i4>5</vt:i4>
      </vt:variant>
      <vt:variant>
        <vt:lpwstr/>
      </vt:variant>
      <vt:variant>
        <vt:lpwstr>_Toc17798752</vt:lpwstr>
      </vt:variant>
      <vt:variant>
        <vt:i4>2031675</vt:i4>
      </vt:variant>
      <vt:variant>
        <vt:i4>776</vt:i4>
      </vt:variant>
      <vt:variant>
        <vt:i4>0</vt:i4>
      </vt:variant>
      <vt:variant>
        <vt:i4>5</vt:i4>
      </vt:variant>
      <vt:variant>
        <vt:lpwstr/>
      </vt:variant>
      <vt:variant>
        <vt:lpwstr>_Toc17798751</vt:lpwstr>
      </vt:variant>
      <vt:variant>
        <vt:i4>1966139</vt:i4>
      </vt:variant>
      <vt:variant>
        <vt:i4>770</vt:i4>
      </vt:variant>
      <vt:variant>
        <vt:i4>0</vt:i4>
      </vt:variant>
      <vt:variant>
        <vt:i4>5</vt:i4>
      </vt:variant>
      <vt:variant>
        <vt:lpwstr/>
      </vt:variant>
      <vt:variant>
        <vt:lpwstr>_Toc17798750</vt:lpwstr>
      </vt:variant>
      <vt:variant>
        <vt:i4>1507386</vt:i4>
      </vt:variant>
      <vt:variant>
        <vt:i4>764</vt:i4>
      </vt:variant>
      <vt:variant>
        <vt:i4>0</vt:i4>
      </vt:variant>
      <vt:variant>
        <vt:i4>5</vt:i4>
      </vt:variant>
      <vt:variant>
        <vt:lpwstr/>
      </vt:variant>
      <vt:variant>
        <vt:lpwstr>_Toc17798749</vt:lpwstr>
      </vt:variant>
      <vt:variant>
        <vt:i4>1441850</vt:i4>
      </vt:variant>
      <vt:variant>
        <vt:i4>758</vt:i4>
      </vt:variant>
      <vt:variant>
        <vt:i4>0</vt:i4>
      </vt:variant>
      <vt:variant>
        <vt:i4>5</vt:i4>
      </vt:variant>
      <vt:variant>
        <vt:lpwstr/>
      </vt:variant>
      <vt:variant>
        <vt:lpwstr>_Toc17798748</vt:lpwstr>
      </vt:variant>
      <vt:variant>
        <vt:i4>1572922</vt:i4>
      </vt:variant>
      <vt:variant>
        <vt:i4>752</vt:i4>
      </vt:variant>
      <vt:variant>
        <vt:i4>0</vt:i4>
      </vt:variant>
      <vt:variant>
        <vt:i4>5</vt:i4>
      </vt:variant>
      <vt:variant>
        <vt:lpwstr/>
      </vt:variant>
      <vt:variant>
        <vt:lpwstr>_Toc17798746</vt:lpwstr>
      </vt:variant>
      <vt:variant>
        <vt:i4>1769530</vt:i4>
      </vt:variant>
      <vt:variant>
        <vt:i4>746</vt:i4>
      </vt:variant>
      <vt:variant>
        <vt:i4>0</vt:i4>
      </vt:variant>
      <vt:variant>
        <vt:i4>5</vt:i4>
      </vt:variant>
      <vt:variant>
        <vt:lpwstr/>
      </vt:variant>
      <vt:variant>
        <vt:lpwstr>_Toc17798745</vt:lpwstr>
      </vt:variant>
      <vt:variant>
        <vt:i4>1703994</vt:i4>
      </vt:variant>
      <vt:variant>
        <vt:i4>740</vt:i4>
      </vt:variant>
      <vt:variant>
        <vt:i4>0</vt:i4>
      </vt:variant>
      <vt:variant>
        <vt:i4>5</vt:i4>
      </vt:variant>
      <vt:variant>
        <vt:lpwstr/>
      </vt:variant>
      <vt:variant>
        <vt:lpwstr>_Toc17798744</vt:lpwstr>
      </vt:variant>
      <vt:variant>
        <vt:i4>1900602</vt:i4>
      </vt:variant>
      <vt:variant>
        <vt:i4>734</vt:i4>
      </vt:variant>
      <vt:variant>
        <vt:i4>0</vt:i4>
      </vt:variant>
      <vt:variant>
        <vt:i4>5</vt:i4>
      </vt:variant>
      <vt:variant>
        <vt:lpwstr/>
      </vt:variant>
      <vt:variant>
        <vt:lpwstr>_Toc17798743</vt:lpwstr>
      </vt:variant>
      <vt:variant>
        <vt:i4>1835066</vt:i4>
      </vt:variant>
      <vt:variant>
        <vt:i4>728</vt:i4>
      </vt:variant>
      <vt:variant>
        <vt:i4>0</vt:i4>
      </vt:variant>
      <vt:variant>
        <vt:i4>5</vt:i4>
      </vt:variant>
      <vt:variant>
        <vt:lpwstr/>
      </vt:variant>
      <vt:variant>
        <vt:lpwstr>_Toc17798742</vt:lpwstr>
      </vt:variant>
      <vt:variant>
        <vt:i4>2031674</vt:i4>
      </vt:variant>
      <vt:variant>
        <vt:i4>722</vt:i4>
      </vt:variant>
      <vt:variant>
        <vt:i4>0</vt:i4>
      </vt:variant>
      <vt:variant>
        <vt:i4>5</vt:i4>
      </vt:variant>
      <vt:variant>
        <vt:lpwstr/>
      </vt:variant>
      <vt:variant>
        <vt:lpwstr>_Toc17798741</vt:lpwstr>
      </vt:variant>
      <vt:variant>
        <vt:i4>1966138</vt:i4>
      </vt:variant>
      <vt:variant>
        <vt:i4>716</vt:i4>
      </vt:variant>
      <vt:variant>
        <vt:i4>0</vt:i4>
      </vt:variant>
      <vt:variant>
        <vt:i4>5</vt:i4>
      </vt:variant>
      <vt:variant>
        <vt:lpwstr/>
      </vt:variant>
      <vt:variant>
        <vt:lpwstr>_Toc17798740</vt:lpwstr>
      </vt:variant>
      <vt:variant>
        <vt:i4>1507389</vt:i4>
      </vt:variant>
      <vt:variant>
        <vt:i4>710</vt:i4>
      </vt:variant>
      <vt:variant>
        <vt:i4>0</vt:i4>
      </vt:variant>
      <vt:variant>
        <vt:i4>5</vt:i4>
      </vt:variant>
      <vt:variant>
        <vt:lpwstr/>
      </vt:variant>
      <vt:variant>
        <vt:lpwstr>_Toc17798739</vt:lpwstr>
      </vt:variant>
      <vt:variant>
        <vt:i4>1441853</vt:i4>
      </vt:variant>
      <vt:variant>
        <vt:i4>704</vt:i4>
      </vt:variant>
      <vt:variant>
        <vt:i4>0</vt:i4>
      </vt:variant>
      <vt:variant>
        <vt:i4>5</vt:i4>
      </vt:variant>
      <vt:variant>
        <vt:lpwstr/>
      </vt:variant>
      <vt:variant>
        <vt:lpwstr>_Toc17798738</vt:lpwstr>
      </vt:variant>
      <vt:variant>
        <vt:i4>1638461</vt:i4>
      </vt:variant>
      <vt:variant>
        <vt:i4>698</vt:i4>
      </vt:variant>
      <vt:variant>
        <vt:i4>0</vt:i4>
      </vt:variant>
      <vt:variant>
        <vt:i4>5</vt:i4>
      </vt:variant>
      <vt:variant>
        <vt:lpwstr/>
      </vt:variant>
      <vt:variant>
        <vt:lpwstr>_Toc17798737</vt:lpwstr>
      </vt:variant>
      <vt:variant>
        <vt:i4>1572925</vt:i4>
      </vt:variant>
      <vt:variant>
        <vt:i4>692</vt:i4>
      </vt:variant>
      <vt:variant>
        <vt:i4>0</vt:i4>
      </vt:variant>
      <vt:variant>
        <vt:i4>5</vt:i4>
      </vt:variant>
      <vt:variant>
        <vt:lpwstr/>
      </vt:variant>
      <vt:variant>
        <vt:lpwstr>_Toc17798736</vt:lpwstr>
      </vt:variant>
      <vt:variant>
        <vt:i4>1769533</vt:i4>
      </vt:variant>
      <vt:variant>
        <vt:i4>686</vt:i4>
      </vt:variant>
      <vt:variant>
        <vt:i4>0</vt:i4>
      </vt:variant>
      <vt:variant>
        <vt:i4>5</vt:i4>
      </vt:variant>
      <vt:variant>
        <vt:lpwstr/>
      </vt:variant>
      <vt:variant>
        <vt:lpwstr>_Toc17798735</vt:lpwstr>
      </vt:variant>
      <vt:variant>
        <vt:i4>1900605</vt:i4>
      </vt:variant>
      <vt:variant>
        <vt:i4>680</vt:i4>
      </vt:variant>
      <vt:variant>
        <vt:i4>0</vt:i4>
      </vt:variant>
      <vt:variant>
        <vt:i4>5</vt:i4>
      </vt:variant>
      <vt:variant>
        <vt:lpwstr/>
      </vt:variant>
      <vt:variant>
        <vt:lpwstr>_Toc17798733</vt:lpwstr>
      </vt:variant>
      <vt:variant>
        <vt:i4>1835069</vt:i4>
      </vt:variant>
      <vt:variant>
        <vt:i4>674</vt:i4>
      </vt:variant>
      <vt:variant>
        <vt:i4>0</vt:i4>
      </vt:variant>
      <vt:variant>
        <vt:i4>5</vt:i4>
      </vt:variant>
      <vt:variant>
        <vt:lpwstr/>
      </vt:variant>
      <vt:variant>
        <vt:lpwstr>_Toc17798732</vt:lpwstr>
      </vt:variant>
      <vt:variant>
        <vt:i4>2031677</vt:i4>
      </vt:variant>
      <vt:variant>
        <vt:i4>668</vt:i4>
      </vt:variant>
      <vt:variant>
        <vt:i4>0</vt:i4>
      </vt:variant>
      <vt:variant>
        <vt:i4>5</vt:i4>
      </vt:variant>
      <vt:variant>
        <vt:lpwstr/>
      </vt:variant>
      <vt:variant>
        <vt:lpwstr>_Toc17798731</vt:lpwstr>
      </vt:variant>
      <vt:variant>
        <vt:i4>1966141</vt:i4>
      </vt:variant>
      <vt:variant>
        <vt:i4>662</vt:i4>
      </vt:variant>
      <vt:variant>
        <vt:i4>0</vt:i4>
      </vt:variant>
      <vt:variant>
        <vt:i4>5</vt:i4>
      </vt:variant>
      <vt:variant>
        <vt:lpwstr/>
      </vt:variant>
      <vt:variant>
        <vt:lpwstr>_Toc17798730</vt:lpwstr>
      </vt:variant>
      <vt:variant>
        <vt:i4>1507388</vt:i4>
      </vt:variant>
      <vt:variant>
        <vt:i4>656</vt:i4>
      </vt:variant>
      <vt:variant>
        <vt:i4>0</vt:i4>
      </vt:variant>
      <vt:variant>
        <vt:i4>5</vt:i4>
      </vt:variant>
      <vt:variant>
        <vt:lpwstr/>
      </vt:variant>
      <vt:variant>
        <vt:lpwstr>_Toc17798729</vt:lpwstr>
      </vt:variant>
      <vt:variant>
        <vt:i4>1441852</vt:i4>
      </vt:variant>
      <vt:variant>
        <vt:i4>650</vt:i4>
      </vt:variant>
      <vt:variant>
        <vt:i4>0</vt:i4>
      </vt:variant>
      <vt:variant>
        <vt:i4>5</vt:i4>
      </vt:variant>
      <vt:variant>
        <vt:lpwstr/>
      </vt:variant>
      <vt:variant>
        <vt:lpwstr>_Toc17798728</vt:lpwstr>
      </vt:variant>
      <vt:variant>
        <vt:i4>1638460</vt:i4>
      </vt:variant>
      <vt:variant>
        <vt:i4>644</vt:i4>
      </vt:variant>
      <vt:variant>
        <vt:i4>0</vt:i4>
      </vt:variant>
      <vt:variant>
        <vt:i4>5</vt:i4>
      </vt:variant>
      <vt:variant>
        <vt:lpwstr/>
      </vt:variant>
      <vt:variant>
        <vt:lpwstr>_Toc17798727</vt:lpwstr>
      </vt:variant>
      <vt:variant>
        <vt:i4>1572924</vt:i4>
      </vt:variant>
      <vt:variant>
        <vt:i4>638</vt:i4>
      </vt:variant>
      <vt:variant>
        <vt:i4>0</vt:i4>
      </vt:variant>
      <vt:variant>
        <vt:i4>5</vt:i4>
      </vt:variant>
      <vt:variant>
        <vt:lpwstr/>
      </vt:variant>
      <vt:variant>
        <vt:lpwstr>_Toc17798726</vt:lpwstr>
      </vt:variant>
      <vt:variant>
        <vt:i4>1769532</vt:i4>
      </vt:variant>
      <vt:variant>
        <vt:i4>632</vt:i4>
      </vt:variant>
      <vt:variant>
        <vt:i4>0</vt:i4>
      </vt:variant>
      <vt:variant>
        <vt:i4>5</vt:i4>
      </vt:variant>
      <vt:variant>
        <vt:lpwstr/>
      </vt:variant>
      <vt:variant>
        <vt:lpwstr>_Toc17798725</vt:lpwstr>
      </vt:variant>
      <vt:variant>
        <vt:i4>1703996</vt:i4>
      </vt:variant>
      <vt:variant>
        <vt:i4>626</vt:i4>
      </vt:variant>
      <vt:variant>
        <vt:i4>0</vt:i4>
      </vt:variant>
      <vt:variant>
        <vt:i4>5</vt:i4>
      </vt:variant>
      <vt:variant>
        <vt:lpwstr/>
      </vt:variant>
      <vt:variant>
        <vt:lpwstr>_Toc17798724</vt:lpwstr>
      </vt:variant>
      <vt:variant>
        <vt:i4>1900604</vt:i4>
      </vt:variant>
      <vt:variant>
        <vt:i4>620</vt:i4>
      </vt:variant>
      <vt:variant>
        <vt:i4>0</vt:i4>
      </vt:variant>
      <vt:variant>
        <vt:i4>5</vt:i4>
      </vt:variant>
      <vt:variant>
        <vt:lpwstr/>
      </vt:variant>
      <vt:variant>
        <vt:lpwstr>_Toc17798723</vt:lpwstr>
      </vt:variant>
      <vt:variant>
        <vt:i4>1835068</vt:i4>
      </vt:variant>
      <vt:variant>
        <vt:i4>614</vt:i4>
      </vt:variant>
      <vt:variant>
        <vt:i4>0</vt:i4>
      </vt:variant>
      <vt:variant>
        <vt:i4>5</vt:i4>
      </vt:variant>
      <vt:variant>
        <vt:lpwstr/>
      </vt:variant>
      <vt:variant>
        <vt:lpwstr>_Toc17798722</vt:lpwstr>
      </vt:variant>
      <vt:variant>
        <vt:i4>2031676</vt:i4>
      </vt:variant>
      <vt:variant>
        <vt:i4>608</vt:i4>
      </vt:variant>
      <vt:variant>
        <vt:i4>0</vt:i4>
      </vt:variant>
      <vt:variant>
        <vt:i4>5</vt:i4>
      </vt:variant>
      <vt:variant>
        <vt:lpwstr/>
      </vt:variant>
      <vt:variant>
        <vt:lpwstr>_Toc17798721</vt:lpwstr>
      </vt:variant>
      <vt:variant>
        <vt:i4>1966140</vt:i4>
      </vt:variant>
      <vt:variant>
        <vt:i4>602</vt:i4>
      </vt:variant>
      <vt:variant>
        <vt:i4>0</vt:i4>
      </vt:variant>
      <vt:variant>
        <vt:i4>5</vt:i4>
      </vt:variant>
      <vt:variant>
        <vt:lpwstr/>
      </vt:variant>
      <vt:variant>
        <vt:lpwstr>_Toc17798720</vt:lpwstr>
      </vt:variant>
      <vt:variant>
        <vt:i4>1507391</vt:i4>
      </vt:variant>
      <vt:variant>
        <vt:i4>596</vt:i4>
      </vt:variant>
      <vt:variant>
        <vt:i4>0</vt:i4>
      </vt:variant>
      <vt:variant>
        <vt:i4>5</vt:i4>
      </vt:variant>
      <vt:variant>
        <vt:lpwstr/>
      </vt:variant>
      <vt:variant>
        <vt:lpwstr>_Toc17798719</vt:lpwstr>
      </vt:variant>
      <vt:variant>
        <vt:i4>1441855</vt:i4>
      </vt:variant>
      <vt:variant>
        <vt:i4>590</vt:i4>
      </vt:variant>
      <vt:variant>
        <vt:i4>0</vt:i4>
      </vt:variant>
      <vt:variant>
        <vt:i4>5</vt:i4>
      </vt:variant>
      <vt:variant>
        <vt:lpwstr/>
      </vt:variant>
      <vt:variant>
        <vt:lpwstr>_Toc17798718</vt:lpwstr>
      </vt:variant>
      <vt:variant>
        <vt:i4>1638463</vt:i4>
      </vt:variant>
      <vt:variant>
        <vt:i4>584</vt:i4>
      </vt:variant>
      <vt:variant>
        <vt:i4>0</vt:i4>
      </vt:variant>
      <vt:variant>
        <vt:i4>5</vt:i4>
      </vt:variant>
      <vt:variant>
        <vt:lpwstr/>
      </vt:variant>
      <vt:variant>
        <vt:lpwstr>_Toc17798717</vt:lpwstr>
      </vt:variant>
      <vt:variant>
        <vt:i4>1572927</vt:i4>
      </vt:variant>
      <vt:variant>
        <vt:i4>578</vt:i4>
      </vt:variant>
      <vt:variant>
        <vt:i4>0</vt:i4>
      </vt:variant>
      <vt:variant>
        <vt:i4>5</vt:i4>
      </vt:variant>
      <vt:variant>
        <vt:lpwstr/>
      </vt:variant>
      <vt:variant>
        <vt:lpwstr>_Toc17798716</vt:lpwstr>
      </vt:variant>
      <vt:variant>
        <vt:i4>1769535</vt:i4>
      </vt:variant>
      <vt:variant>
        <vt:i4>572</vt:i4>
      </vt:variant>
      <vt:variant>
        <vt:i4>0</vt:i4>
      </vt:variant>
      <vt:variant>
        <vt:i4>5</vt:i4>
      </vt:variant>
      <vt:variant>
        <vt:lpwstr/>
      </vt:variant>
      <vt:variant>
        <vt:lpwstr>_Toc17798715</vt:lpwstr>
      </vt:variant>
      <vt:variant>
        <vt:i4>1703999</vt:i4>
      </vt:variant>
      <vt:variant>
        <vt:i4>566</vt:i4>
      </vt:variant>
      <vt:variant>
        <vt:i4>0</vt:i4>
      </vt:variant>
      <vt:variant>
        <vt:i4>5</vt:i4>
      </vt:variant>
      <vt:variant>
        <vt:lpwstr/>
      </vt:variant>
      <vt:variant>
        <vt:lpwstr>_Toc17798714</vt:lpwstr>
      </vt:variant>
      <vt:variant>
        <vt:i4>1900607</vt:i4>
      </vt:variant>
      <vt:variant>
        <vt:i4>560</vt:i4>
      </vt:variant>
      <vt:variant>
        <vt:i4>0</vt:i4>
      </vt:variant>
      <vt:variant>
        <vt:i4>5</vt:i4>
      </vt:variant>
      <vt:variant>
        <vt:lpwstr/>
      </vt:variant>
      <vt:variant>
        <vt:lpwstr>_Toc17798713</vt:lpwstr>
      </vt:variant>
      <vt:variant>
        <vt:i4>1835071</vt:i4>
      </vt:variant>
      <vt:variant>
        <vt:i4>554</vt:i4>
      </vt:variant>
      <vt:variant>
        <vt:i4>0</vt:i4>
      </vt:variant>
      <vt:variant>
        <vt:i4>5</vt:i4>
      </vt:variant>
      <vt:variant>
        <vt:lpwstr/>
      </vt:variant>
      <vt:variant>
        <vt:lpwstr>_Toc17798712</vt:lpwstr>
      </vt:variant>
      <vt:variant>
        <vt:i4>2031679</vt:i4>
      </vt:variant>
      <vt:variant>
        <vt:i4>548</vt:i4>
      </vt:variant>
      <vt:variant>
        <vt:i4>0</vt:i4>
      </vt:variant>
      <vt:variant>
        <vt:i4>5</vt:i4>
      </vt:variant>
      <vt:variant>
        <vt:lpwstr/>
      </vt:variant>
      <vt:variant>
        <vt:lpwstr>_Toc17798711</vt:lpwstr>
      </vt:variant>
      <vt:variant>
        <vt:i4>1966143</vt:i4>
      </vt:variant>
      <vt:variant>
        <vt:i4>542</vt:i4>
      </vt:variant>
      <vt:variant>
        <vt:i4>0</vt:i4>
      </vt:variant>
      <vt:variant>
        <vt:i4>5</vt:i4>
      </vt:variant>
      <vt:variant>
        <vt:lpwstr/>
      </vt:variant>
      <vt:variant>
        <vt:lpwstr>_Toc17798710</vt:lpwstr>
      </vt:variant>
      <vt:variant>
        <vt:i4>1507390</vt:i4>
      </vt:variant>
      <vt:variant>
        <vt:i4>536</vt:i4>
      </vt:variant>
      <vt:variant>
        <vt:i4>0</vt:i4>
      </vt:variant>
      <vt:variant>
        <vt:i4>5</vt:i4>
      </vt:variant>
      <vt:variant>
        <vt:lpwstr/>
      </vt:variant>
      <vt:variant>
        <vt:lpwstr>_Toc17798709</vt:lpwstr>
      </vt:variant>
      <vt:variant>
        <vt:i4>1441854</vt:i4>
      </vt:variant>
      <vt:variant>
        <vt:i4>530</vt:i4>
      </vt:variant>
      <vt:variant>
        <vt:i4>0</vt:i4>
      </vt:variant>
      <vt:variant>
        <vt:i4>5</vt:i4>
      </vt:variant>
      <vt:variant>
        <vt:lpwstr/>
      </vt:variant>
      <vt:variant>
        <vt:lpwstr>_Toc17798708</vt:lpwstr>
      </vt:variant>
      <vt:variant>
        <vt:i4>1638462</vt:i4>
      </vt:variant>
      <vt:variant>
        <vt:i4>524</vt:i4>
      </vt:variant>
      <vt:variant>
        <vt:i4>0</vt:i4>
      </vt:variant>
      <vt:variant>
        <vt:i4>5</vt:i4>
      </vt:variant>
      <vt:variant>
        <vt:lpwstr/>
      </vt:variant>
      <vt:variant>
        <vt:lpwstr>_Toc17798707</vt:lpwstr>
      </vt:variant>
      <vt:variant>
        <vt:i4>1572926</vt:i4>
      </vt:variant>
      <vt:variant>
        <vt:i4>518</vt:i4>
      </vt:variant>
      <vt:variant>
        <vt:i4>0</vt:i4>
      </vt:variant>
      <vt:variant>
        <vt:i4>5</vt:i4>
      </vt:variant>
      <vt:variant>
        <vt:lpwstr/>
      </vt:variant>
      <vt:variant>
        <vt:lpwstr>_Toc17798706</vt:lpwstr>
      </vt:variant>
      <vt:variant>
        <vt:i4>1769534</vt:i4>
      </vt:variant>
      <vt:variant>
        <vt:i4>512</vt:i4>
      </vt:variant>
      <vt:variant>
        <vt:i4>0</vt:i4>
      </vt:variant>
      <vt:variant>
        <vt:i4>5</vt:i4>
      </vt:variant>
      <vt:variant>
        <vt:lpwstr/>
      </vt:variant>
      <vt:variant>
        <vt:lpwstr>_Toc17798705</vt:lpwstr>
      </vt:variant>
      <vt:variant>
        <vt:i4>1703998</vt:i4>
      </vt:variant>
      <vt:variant>
        <vt:i4>506</vt:i4>
      </vt:variant>
      <vt:variant>
        <vt:i4>0</vt:i4>
      </vt:variant>
      <vt:variant>
        <vt:i4>5</vt:i4>
      </vt:variant>
      <vt:variant>
        <vt:lpwstr/>
      </vt:variant>
      <vt:variant>
        <vt:lpwstr>_Toc17798704</vt:lpwstr>
      </vt:variant>
      <vt:variant>
        <vt:i4>1900606</vt:i4>
      </vt:variant>
      <vt:variant>
        <vt:i4>500</vt:i4>
      </vt:variant>
      <vt:variant>
        <vt:i4>0</vt:i4>
      </vt:variant>
      <vt:variant>
        <vt:i4>5</vt:i4>
      </vt:variant>
      <vt:variant>
        <vt:lpwstr/>
      </vt:variant>
      <vt:variant>
        <vt:lpwstr>_Toc17798703</vt:lpwstr>
      </vt:variant>
      <vt:variant>
        <vt:i4>1835070</vt:i4>
      </vt:variant>
      <vt:variant>
        <vt:i4>494</vt:i4>
      </vt:variant>
      <vt:variant>
        <vt:i4>0</vt:i4>
      </vt:variant>
      <vt:variant>
        <vt:i4>5</vt:i4>
      </vt:variant>
      <vt:variant>
        <vt:lpwstr/>
      </vt:variant>
      <vt:variant>
        <vt:lpwstr>_Toc17798702</vt:lpwstr>
      </vt:variant>
      <vt:variant>
        <vt:i4>2031678</vt:i4>
      </vt:variant>
      <vt:variant>
        <vt:i4>488</vt:i4>
      </vt:variant>
      <vt:variant>
        <vt:i4>0</vt:i4>
      </vt:variant>
      <vt:variant>
        <vt:i4>5</vt:i4>
      </vt:variant>
      <vt:variant>
        <vt:lpwstr/>
      </vt:variant>
      <vt:variant>
        <vt:lpwstr>_Toc17798701</vt:lpwstr>
      </vt:variant>
      <vt:variant>
        <vt:i4>1966142</vt:i4>
      </vt:variant>
      <vt:variant>
        <vt:i4>482</vt:i4>
      </vt:variant>
      <vt:variant>
        <vt:i4>0</vt:i4>
      </vt:variant>
      <vt:variant>
        <vt:i4>5</vt:i4>
      </vt:variant>
      <vt:variant>
        <vt:lpwstr/>
      </vt:variant>
      <vt:variant>
        <vt:lpwstr>_Toc17798700</vt:lpwstr>
      </vt:variant>
      <vt:variant>
        <vt:i4>1441847</vt:i4>
      </vt:variant>
      <vt:variant>
        <vt:i4>476</vt:i4>
      </vt:variant>
      <vt:variant>
        <vt:i4>0</vt:i4>
      </vt:variant>
      <vt:variant>
        <vt:i4>5</vt:i4>
      </vt:variant>
      <vt:variant>
        <vt:lpwstr/>
      </vt:variant>
      <vt:variant>
        <vt:lpwstr>_Toc17798699</vt:lpwstr>
      </vt:variant>
      <vt:variant>
        <vt:i4>1507383</vt:i4>
      </vt:variant>
      <vt:variant>
        <vt:i4>470</vt:i4>
      </vt:variant>
      <vt:variant>
        <vt:i4>0</vt:i4>
      </vt:variant>
      <vt:variant>
        <vt:i4>5</vt:i4>
      </vt:variant>
      <vt:variant>
        <vt:lpwstr/>
      </vt:variant>
      <vt:variant>
        <vt:lpwstr>_Toc17798698</vt:lpwstr>
      </vt:variant>
      <vt:variant>
        <vt:i4>1572919</vt:i4>
      </vt:variant>
      <vt:variant>
        <vt:i4>464</vt:i4>
      </vt:variant>
      <vt:variant>
        <vt:i4>0</vt:i4>
      </vt:variant>
      <vt:variant>
        <vt:i4>5</vt:i4>
      </vt:variant>
      <vt:variant>
        <vt:lpwstr/>
      </vt:variant>
      <vt:variant>
        <vt:lpwstr>_Toc17798697</vt:lpwstr>
      </vt:variant>
      <vt:variant>
        <vt:i4>1638455</vt:i4>
      </vt:variant>
      <vt:variant>
        <vt:i4>458</vt:i4>
      </vt:variant>
      <vt:variant>
        <vt:i4>0</vt:i4>
      </vt:variant>
      <vt:variant>
        <vt:i4>5</vt:i4>
      </vt:variant>
      <vt:variant>
        <vt:lpwstr/>
      </vt:variant>
      <vt:variant>
        <vt:lpwstr>_Toc17798696</vt:lpwstr>
      </vt:variant>
      <vt:variant>
        <vt:i4>1703991</vt:i4>
      </vt:variant>
      <vt:variant>
        <vt:i4>452</vt:i4>
      </vt:variant>
      <vt:variant>
        <vt:i4>0</vt:i4>
      </vt:variant>
      <vt:variant>
        <vt:i4>5</vt:i4>
      </vt:variant>
      <vt:variant>
        <vt:lpwstr/>
      </vt:variant>
      <vt:variant>
        <vt:lpwstr>_Toc17798695</vt:lpwstr>
      </vt:variant>
      <vt:variant>
        <vt:i4>1769527</vt:i4>
      </vt:variant>
      <vt:variant>
        <vt:i4>446</vt:i4>
      </vt:variant>
      <vt:variant>
        <vt:i4>0</vt:i4>
      </vt:variant>
      <vt:variant>
        <vt:i4>5</vt:i4>
      </vt:variant>
      <vt:variant>
        <vt:lpwstr/>
      </vt:variant>
      <vt:variant>
        <vt:lpwstr>_Toc17798694</vt:lpwstr>
      </vt:variant>
      <vt:variant>
        <vt:i4>1835063</vt:i4>
      </vt:variant>
      <vt:variant>
        <vt:i4>440</vt:i4>
      </vt:variant>
      <vt:variant>
        <vt:i4>0</vt:i4>
      </vt:variant>
      <vt:variant>
        <vt:i4>5</vt:i4>
      </vt:variant>
      <vt:variant>
        <vt:lpwstr/>
      </vt:variant>
      <vt:variant>
        <vt:lpwstr>_Toc17798693</vt:lpwstr>
      </vt:variant>
      <vt:variant>
        <vt:i4>1900599</vt:i4>
      </vt:variant>
      <vt:variant>
        <vt:i4>434</vt:i4>
      </vt:variant>
      <vt:variant>
        <vt:i4>0</vt:i4>
      </vt:variant>
      <vt:variant>
        <vt:i4>5</vt:i4>
      </vt:variant>
      <vt:variant>
        <vt:lpwstr/>
      </vt:variant>
      <vt:variant>
        <vt:lpwstr>_Toc17798692</vt:lpwstr>
      </vt:variant>
      <vt:variant>
        <vt:i4>1966135</vt:i4>
      </vt:variant>
      <vt:variant>
        <vt:i4>428</vt:i4>
      </vt:variant>
      <vt:variant>
        <vt:i4>0</vt:i4>
      </vt:variant>
      <vt:variant>
        <vt:i4>5</vt:i4>
      </vt:variant>
      <vt:variant>
        <vt:lpwstr/>
      </vt:variant>
      <vt:variant>
        <vt:lpwstr>_Toc17798691</vt:lpwstr>
      </vt:variant>
      <vt:variant>
        <vt:i4>2031671</vt:i4>
      </vt:variant>
      <vt:variant>
        <vt:i4>422</vt:i4>
      </vt:variant>
      <vt:variant>
        <vt:i4>0</vt:i4>
      </vt:variant>
      <vt:variant>
        <vt:i4>5</vt:i4>
      </vt:variant>
      <vt:variant>
        <vt:lpwstr/>
      </vt:variant>
      <vt:variant>
        <vt:lpwstr>_Toc17798690</vt:lpwstr>
      </vt:variant>
      <vt:variant>
        <vt:i4>1441846</vt:i4>
      </vt:variant>
      <vt:variant>
        <vt:i4>416</vt:i4>
      </vt:variant>
      <vt:variant>
        <vt:i4>0</vt:i4>
      </vt:variant>
      <vt:variant>
        <vt:i4>5</vt:i4>
      </vt:variant>
      <vt:variant>
        <vt:lpwstr/>
      </vt:variant>
      <vt:variant>
        <vt:lpwstr>_Toc17798689</vt:lpwstr>
      </vt:variant>
      <vt:variant>
        <vt:i4>1507382</vt:i4>
      </vt:variant>
      <vt:variant>
        <vt:i4>410</vt:i4>
      </vt:variant>
      <vt:variant>
        <vt:i4>0</vt:i4>
      </vt:variant>
      <vt:variant>
        <vt:i4>5</vt:i4>
      </vt:variant>
      <vt:variant>
        <vt:lpwstr/>
      </vt:variant>
      <vt:variant>
        <vt:lpwstr>_Toc17798688</vt:lpwstr>
      </vt:variant>
      <vt:variant>
        <vt:i4>1572918</vt:i4>
      </vt:variant>
      <vt:variant>
        <vt:i4>404</vt:i4>
      </vt:variant>
      <vt:variant>
        <vt:i4>0</vt:i4>
      </vt:variant>
      <vt:variant>
        <vt:i4>5</vt:i4>
      </vt:variant>
      <vt:variant>
        <vt:lpwstr/>
      </vt:variant>
      <vt:variant>
        <vt:lpwstr>_Toc17798687</vt:lpwstr>
      </vt:variant>
      <vt:variant>
        <vt:i4>1638454</vt:i4>
      </vt:variant>
      <vt:variant>
        <vt:i4>398</vt:i4>
      </vt:variant>
      <vt:variant>
        <vt:i4>0</vt:i4>
      </vt:variant>
      <vt:variant>
        <vt:i4>5</vt:i4>
      </vt:variant>
      <vt:variant>
        <vt:lpwstr/>
      </vt:variant>
      <vt:variant>
        <vt:lpwstr>_Toc17798686</vt:lpwstr>
      </vt:variant>
      <vt:variant>
        <vt:i4>1703990</vt:i4>
      </vt:variant>
      <vt:variant>
        <vt:i4>392</vt:i4>
      </vt:variant>
      <vt:variant>
        <vt:i4>0</vt:i4>
      </vt:variant>
      <vt:variant>
        <vt:i4>5</vt:i4>
      </vt:variant>
      <vt:variant>
        <vt:lpwstr/>
      </vt:variant>
      <vt:variant>
        <vt:lpwstr>_Toc17798685</vt:lpwstr>
      </vt:variant>
      <vt:variant>
        <vt:i4>1769526</vt:i4>
      </vt:variant>
      <vt:variant>
        <vt:i4>386</vt:i4>
      </vt:variant>
      <vt:variant>
        <vt:i4>0</vt:i4>
      </vt:variant>
      <vt:variant>
        <vt:i4>5</vt:i4>
      </vt:variant>
      <vt:variant>
        <vt:lpwstr/>
      </vt:variant>
      <vt:variant>
        <vt:lpwstr>_Toc17798684</vt:lpwstr>
      </vt:variant>
      <vt:variant>
        <vt:i4>1835062</vt:i4>
      </vt:variant>
      <vt:variant>
        <vt:i4>380</vt:i4>
      </vt:variant>
      <vt:variant>
        <vt:i4>0</vt:i4>
      </vt:variant>
      <vt:variant>
        <vt:i4>5</vt:i4>
      </vt:variant>
      <vt:variant>
        <vt:lpwstr/>
      </vt:variant>
      <vt:variant>
        <vt:lpwstr>_Toc17798683</vt:lpwstr>
      </vt:variant>
      <vt:variant>
        <vt:i4>1900598</vt:i4>
      </vt:variant>
      <vt:variant>
        <vt:i4>374</vt:i4>
      </vt:variant>
      <vt:variant>
        <vt:i4>0</vt:i4>
      </vt:variant>
      <vt:variant>
        <vt:i4>5</vt:i4>
      </vt:variant>
      <vt:variant>
        <vt:lpwstr/>
      </vt:variant>
      <vt:variant>
        <vt:lpwstr>_Toc17798682</vt:lpwstr>
      </vt:variant>
      <vt:variant>
        <vt:i4>1966134</vt:i4>
      </vt:variant>
      <vt:variant>
        <vt:i4>368</vt:i4>
      </vt:variant>
      <vt:variant>
        <vt:i4>0</vt:i4>
      </vt:variant>
      <vt:variant>
        <vt:i4>5</vt:i4>
      </vt:variant>
      <vt:variant>
        <vt:lpwstr/>
      </vt:variant>
      <vt:variant>
        <vt:lpwstr>_Toc17798681</vt:lpwstr>
      </vt:variant>
      <vt:variant>
        <vt:i4>2031670</vt:i4>
      </vt:variant>
      <vt:variant>
        <vt:i4>362</vt:i4>
      </vt:variant>
      <vt:variant>
        <vt:i4>0</vt:i4>
      </vt:variant>
      <vt:variant>
        <vt:i4>5</vt:i4>
      </vt:variant>
      <vt:variant>
        <vt:lpwstr/>
      </vt:variant>
      <vt:variant>
        <vt:lpwstr>_Toc17798680</vt:lpwstr>
      </vt:variant>
      <vt:variant>
        <vt:i4>1441849</vt:i4>
      </vt:variant>
      <vt:variant>
        <vt:i4>356</vt:i4>
      </vt:variant>
      <vt:variant>
        <vt:i4>0</vt:i4>
      </vt:variant>
      <vt:variant>
        <vt:i4>5</vt:i4>
      </vt:variant>
      <vt:variant>
        <vt:lpwstr/>
      </vt:variant>
      <vt:variant>
        <vt:lpwstr>_Toc17798679</vt:lpwstr>
      </vt:variant>
      <vt:variant>
        <vt:i4>1507385</vt:i4>
      </vt:variant>
      <vt:variant>
        <vt:i4>350</vt:i4>
      </vt:variant>
      <vt:variant>
        <vt:i4>0</vt:i4>
      </vt:variant>
      <vt:variant>
        <vt:i4>5</vt:i4>
      </vt:variant>
      <vt:variant>
        <vt:lpwstr/>
      </vt:variant>
      <vt:variant>
        <vt:lpwstr>_Toc17798678</vt:lpwstr>
      </vt:variant>
      <vt:variant>
        <vt:i4>1572921</vt:i4>
      </vt:variant>
      <vt:variant>
        <vt:i4>344</vt:i4>
      </vt:variant>
      <vt:variant>
        <vt:i4>0</vt:i4>
      </vt:variant>
      <vt:variant>
        <vt:i4>5</vt:i4>
      </vt:variant>
      <vt:variant>
        <vt:lpwstr/>
      </vt:variant>
      <vt:variant>
        <vt:lpwstr>_Toc17798677</vt:lpwstr>
      </vt:variant>
      <vt:variant>
        <vt:i4>1638457</vt:i4>
      </vt:variant>
      <vt:variant>
        <vt:i4>338</vt:i4>
      </vt:variant>
      <vt:variant>
        <vt:i4>0</vt:i4>
      </vt:variant>
      <vt:variant>
        <vt:i4>5</vt:i4>
      </vt:variant>
      <vt:variant>
        <vt:lpwstr/>
      </vt:variant>
      <vt:variant>
        <vt:lpwstr>_Toc17798676</vt:lpwstr>
      </vt:variant>
      <vt:variant>
        <vt:i4>1703993</vt:i4>
      </vt:variant>
      <vt:variant>
        <vt:i4>332</vt:i4>
      </vt:variant>
      <vt:variant>
        <vt:i4>0</vt:i4>
      </vt:variant>
      <vt:variant>
        <vt:i4>5</vt:i4>
      </vt:variant>
      <vt:variant>
        <vt:lpwstr/>
      </vt:variant>
      <vt:variant>
        <vt:lpwstr>_Toc17798675</vt:lpwstr>
      </vt:variant>
      <vt:variant>
        <vt:i4>1769529</vt:i4>
      </vt:variant>
      <vt:variant>
        <vt:i4>326</vt:i4>
      </vt:variant>
      <vt:variant>
        <vt:i4>0</vt:i4>
      </vt:variant>
      <vt:variant>
        <vt:i4>5</vt:i4>
      </vt:variant>
      <vt:variant>
        <vt:lpwstr/>
      </vt:variant>
      <vt:variant>
        <vt:lpwstr>_Toc17798674</vt:lpwstr>
      </vt:variant>
      <vt:variant>
        <vt:i4>1835065</vt:i4>
      </vt:variant>
      <vt:variant>
        <vt:i4>320</vt:i4>
      </vt:variant>
      <vt:variant>
        <vt:i4>0</vt:i4>
      </vt:variant>
      <vt:variant>
        <vt:i4>5</vt:i4>
      </vt:variant>
      <vt:variant>
        <vt:lpwstr/>
      </vt:variant>
      <vt:variant>
        <vt:lpwstr>_Toc17798673</vt:lpwstr>
      </vt:variant>
      <vt:variant>
        <vt:i4>1900601</vt:i4>
      </vt:variant>
      <vt:variant>
        <vt:i4>314</vt:i4>
      </vt:variant>
      <vt:variant>
        <vt:i4>0</vt:i4>
      </vt:variant>
      <vt:variant>
        <vt:i4>5</vt:i4>
      </vt:variant>
      <vt:variant>
        <vt:lpwstr/>
      </vt:variant>
      <vt:variant>
        <vt:lpwstr>_Toc17798672</vt:lpwstr>
      </vt:variant>
      <vt:variant>
        <vt:i4>1966137</vt:i4>
      </vt:variant>
      <vt:variant>
        <vt:i4>308</vt:i4>
      </vt:variant>
      <vt:variant>
        <vt:i4>0</vt:i4>
      </vt:variant>
      <vt:variant>
        <vt:i4>5</vt:i4>
      </vt:variant>
      <vt:variant>
        <vt:lpwstr/>
      </vt:variant>
      <vt:variant>
        <vt:lpwstr>_Toc17798671</vt:lpwstr>
      </vt:variant>
      <vt:variant>
        <vt:i4>2031673</vt:i4>
      </vt:variant>
      <vt:variant>
        <vt:i4>302</vt:i4>
      </vt:variant>
      <vt:variant>
        <vt:i4>0</vt:i4>
      </vt:variant>
      <vt:variant>
        <vt:i4>5</vt:i4>
      </vt:variant>
      <vt:variant>
        <vt:lpwstr/>
      </vt:variant>
      <vt:variant>
        <vt:lpwstr>_Toc17798670</vt:lpwstr>
      </vt:variant>
      <vt:variant>
        <vt:i4>1441848</vt:i4>
      </vt:variant>
      <vt:variant>
        <vt:i4>296</vt:i4>
      </vt:variant>
      <vt:variant>
        <vt:i4>0</vt:i4>
      </vt:variant>
      <vt:variant>
        <vt:i4>5</vt:i4>
      </vt:variant>
      <vt:variant>
        <vt:lpwstr/>
      </vt:variant>
      <vt:variant>
        <vt:lpwstr>_Toc17798669</vt:lpwstr>
      </vt:variant>
      <vt:variant>
        <vt:i4>1507384</vt:i4>
      </vt:variant>
      <vt:variant>
        <vt:i4>290</vt:i4>
      </vt:variant>
      <vt:variant>
        <vt:i4>0</vt:i4>
      </vt:variant>
      <vt:variant>
        <vt:i4>5</vt:i4>
      </vt:variant>
      <vt:variant>
        <vt:lpwstr/>
      </vt:variant>
      <vt:variant>
        <vt:lpwstr>_Toc17798668</vt:lpwstr>
      </vt:variant>
      <vt:variant>
        <vt:i4>1572920</vt:i4>
      </vt:variant>
      <vt:variant>
        <vt:i4>284</vt:i4>
      </vt:variant>
      <vt:variant>
        <vt:i4>0</vt:i4>
      </vt:variant>
      <vt:variant>
        <vt:i4>5</vt:i4>
      </vt:variant>
      <vt:variant>
        <vt:lpwstr/>
      </vt:variant>
      <vt:variant>
        <vt:lpwstr>_Toc17798667</vt:lpwstr>
      </vt:variant>
      <vt:variant>
        <vt:i4>1638456</vt:i4>
      </vt:variant>
      <vt:variant>
        <vt:i4>278</vt:i4>
      </vt:variant>
      <vt:variant>
        <vt:i4>0</vt:i4>
      </vt:variant>
      <vt:variant>
        <vt:i4>5</vt:i4>
      </vt:variant>
      <vt:variant>
        <vt:lpwstr/>
      </vt:variant>
      <vt:variant>
        <vt:lpwstr>_Toc17798666</vt:lpwstr>
      </vt:variant>
      <vt:variant>
        <vt:i4>1703992</vt:i4>
      </vt:variant>
      <vt:variant>
        <vt:i4>272</vt:i4>
      </vt:variant>
      <vt:variant>
        <vt:i4>0</vt:i4>
      </vt:variant>
      <vt:variant>
        <vt:i4>5</vt:i4>
      </vt:variant>
      <vt:variant>
        <vt:lpwstr/>
      </vt:variant>
      <vt:variant>
        <vt:lpwstr>_Toc17798665</vt:lpwstr>
      </vt:variant>
      <vt:variant>
        <vt:i4>1769528</vt:i4>
      </vt:variant>
      <vt:variant>
        <vt:i4>266</vt:i4>
      </vt:variant>
      <vt:variant>
        <vt:i4>0</vt:i4>
      </vt:variant>
      <vt:variant>
        <vt:i4>5</vt:i4>
      </vt:variant>
      <vt:variant>
        <vt:lpwstr/>
      </vt:variant>
      <vt:variant>
        <vt:lpwstr>_Toc17798664</vt:lpwstr>
      </vt:variant>
      <vt:variant>
        <vt:i4>1835064</vt:i4>
      </vt:variant>
      <vt:variant>
        <vt:i4>260</vt:i4>
      </vt:variant>
      <vt:variant>
        <vt:i4>0</vt:i4>
      </vt:variant>
      <vt:variant>
        <vt:i4>5</vt:i4>
      </vt:variant>
      <vt:variant>
        <vt:lpwstr/>
      </vt:variant>
      <vt:variant>
        <vt:lpwstr>_Toc17798663</vt:lpwstr>
      </vt:variant>
      <vt:variant>
        <vt:i4>1900600</vt:i4>
      </vt:variant>
      <vt:variant>
        <vt:i4>254</vt:i4>
      </vt:variant>
      <vt:variant>
        <vt:i4>0</vt:i4>
      </vt:variant>
      <vt:variant>
        <vt:i4>5</vt:i4>
      </vt:variant>
      <vt:variant>
        <vt:lpwstr/>
      </vt:variant>
      <vt:variant>
        <vt:lpwstr>_Toc17798662</vt:lpwstr>
      </vt:variant>
      <vt:variant>
        <vt:i4>1966136</vt:i4>
      </vt:variant>
      <vt:variant>
        <vt:i4>248</vt:i4>
      </vt:variant>
      <vt:variant>
        <vt:i4>0</vt:i4>
      </vt:variant>
      <vt:variant>
        <vt:i4>5</vt:i4>
      </vt:variant>
      <vt:variant>
        <vt:lpwstr/>
      </vt:variant>
      <vt:variant>
        <vt:lpwstr>_Toc17798661</vt:lpwstr>
      </vt:variant>
      <vt:variant>
        <vt:i4>2031672</vt:i4>
      </vt:variant>
      <vt:variant>
        <vt:i4>242</vt:i4>
      </vt:variant>
      <vt:variant>
        <vt:i4>0</vt:i4>
      </vt:variant>
      <vt:variant>
        <vt:i4>5</vt:i4>
      </vt:variant>
      <vt:variant>
        <vt:lpwstr/>
      </vt:variant>
      <vt:variant>
        <vt:lpwstr>_Toc17798660</vt:lpwstr>
      </vt:variant>
      <vt:variant>
        <vt:i4>1441851</vt:i4>
      </vt:variant>
      <vt:variant>
        <vt:i4>236</vt:i4>
      </vt:variant>
      <vt:variant>
        <vt:i4>0</vt:i4>
      </vt:variant>
      <vt:variant>
        <vt:i4>5</vt:i4>
      </vt:variant>
      <vt:variant>
        <vt:lpwstr/>
      </vt:variant>
      <vt:variant>
        <vt:lpwstr>_Toc17798659</vt:lpwstr>
      </vt:variant>
      <vt:variant>
        <vt:i4>1507387</vt:i4>
      </vt:variant>
      <vt:variant>
        <vt:i4>230</vt:i4>
      </vt:variant>
      <vt:variant>
        <vt:i4>0</vt:i4>
      </vt:variant>
      <vt:variant>
        <vt:i4>5</vt:i4>
      </vt:variant>
      <vt:variant>
        <vt:lpwstr/>
      </vt:variant>
      <vt:variant>
        <vt:lpwstr>_Toc17798658</vt:lpwstr>
      </vt:variant>
      <vt:variant>
        <vt:i4>1572923</vt:i4>
      </vt:variant>
      <vt:variant>
        <vt:i4>224</vt:i4>
      </vt:variant>
      <vt:variant>
        <vt:i4>0</vt:i4>
      </vt:variant>
      <vt:variant>
        <vt:i4>5</vt:i4>
      </vt:variant>
      <vt:variant>
        <vt:lpwstr/>
      </vt:variant>
      <vt:variant>
        <vt:lpwstr>_Toc17798657</vt:lpwstr>
      </vt:variant>
      <vt:variant>
        <vt:i4>1638459</vt:i4>
      </vt:variant>
      <vt:variant>
        <vt:i4>218</vt:i4>
      </vt:variant>
      <vt:variant>
        <vt:i4>0</vt:i4>
      </vt:variant>
      <vt:variant>
        <vt:i4>5</vt:i4>
      </vt:variant>
      <vt:variant>
        <vt:lpwstr/>
      </vt:variant>
      <vt:variant>
        <vt:lpwstr>_Toc17798656</vt:lpwstr>
      </vt:variant>
      <vt:variant>
        <vt:i4>1703995</vt:i4>
      </vt:variant>
      <vt:variant>
        <vt:i4>212</vt:i4>
      </vt:variant>
      <vt:variant>
        <vt:i4>0</vt:i4>
      </vt:variant>
      <vt:variant>
        <vt:i4>5</vt:i4>
      </vt:variant>
      <vt:variant>
        <vt:lpwstr/>
      </vt:variant>
      <vt:variant>
        <vt:lpwstr>_Toc17798655</vt:lpwstr>
      </vt:variant>
      <vt:variant>
        <vt:i4>1769531</vt:i4>
      </vt:variant>
      <vt:variant>
        <vt:i4>206</vt:i4>
      </vt:variant>
      <vt:variant>
        <vt:i4>0</vt:i4>
      </vt:variant>
      <vt:variant>
        <vt:i4>5</vt:i4>
      </vt:variant>
      <vt:variant>
        <vt:lpwstr/>
      </vt:variant>
      <vt:variant>
        <vt:lpwstr>_Toc17798654</vt:lpwstr>
      </vt:variant>
      <vt:variant>
        <vt:i4>1835067</vt:i4>
      </vt:variant>
      <vt:variant>
        <vt:i4>200</vt:i4>
      </vt:variant>
      <vt:variant>
        <vt:i4>0</vt:i4>
      </vt:variant>
      <vt:variant>
        <vt:i4>5</vt:i4>
      </vt:variant>
      <vt:variant>
        <vt:lpwstr/>
      </vt:variant>
      <vt:variant>
        <vt:lpwstr>_Toc17798653</vt:lpwstr>
      </vt:variant>
      <vt:variant>
        <vt:i4>1900603</vt:i4>
      </vt:variant>
      <vt:variant>
        <vt:i4>194</vt:i4>
      </vt:variant>
      <vt:variant>
        <vt:i4>0</vt:i4>
      </vt:variant>
      <vt:variant>
        <vt:i4>5</vt:i4>
      </vt:variant>
      <vt:variant>
        <vt:lpwstr/>
      </vt:variant>
      <vt:variant>
        <vt:lpwstr>_Toc17798652</vt:lpwstr>
      </vt:variant>
      <vt:variant>
        <vt:i4>1966139</vt:i4>
      </vt:variant>
      <vt:variant>
        <vt:i4>188</vt:i4>
      </vt:variant>
      <vt:variant>
        <vt:i4>0</vt:i4>
      </vt:variant>
      <vt:variant>
        <vt:i4>5</vt:i4>
      </vt:variant>
      <vt:variant>
        <vt:lpwstr/>
      </vt:variant>
      <vt:variant>
        <vt:lpwstr>_Toc17798651</vt:lpwstr>
      </vt:variant>
      <vt:variant>
        <vt:i4>2031675</vt:i4>
      </vt:variant>
      <vt:variant>
        <vt:i4>182</vt:i4>
      </vt:variant>
      <vt:variant>
        <vt:i4>0</vt:i4>
      </vt:variant>
      <vt:variant>
        <vt:i4>5</vt:i4>
      </vt:variant>
      <vt:variant>
        <vt:lpwstr/>
      </vt:variant>
      <vt:variant>
        <vt:lpwstr>_Toc17798650</vt:lpwstr>
      </vt:variant>
      <vt:variant>
        <vt:i4>1441850</vt:i4>
      </vt:variant>
      <vt:variant>
        <vt:i4>176</vt:i4>
      </vt:variant>
      <vt:variant>
        <vt:i4>0</vt:i4>
      </vt:variant>
      <vt:variant>
        <vt:i4>5</vt:i4>
      </vt:variant>
      <vt:variant>
        <vt:lpwstr/>
      </vt:variant>
      <vt:variant>
        <vt:lpwstr>_Toc17798649</vt:lpwstr>
      </vt:variant>
      <vt:variant>
        <vt:i4>1507386</vt:i4>
      </vt:variant>
      <vt:variant>
        <vt:i4>170</vt:i4>
      </vt:variant>
      <vt:variant>
        <vt:i4>0</vt:i4>
      </vt:variant>
      <vt:variant>
        <vt:i4>5</vt:i4>
      </vt:variant>
      <vt:variant>
        <vt:lpwstr/>
      </vt:variant>
      <vt:variant>
        <vt:lpwstr>_Toc17798648</vt:lpwstr>
      </vt:variant>
      <vt:variant>
        <vt:i4>1572922</vt:i4>
      </vt:variant>
      <vt:variant>
        <vt:i4>164</vt:i4>
      </vt:variant>
      <vt:variant>
        <vt:i4>0</vt:i4>
      </vt:variant>
      <vt:variant>
        <vt:i4>5</vt:i4>
      </vt:variant>
      <vt:variant>
        <vt:lpwstr/>
      </vt:variant>
      <vt:variant>
        <vt:lpwstr>_Toc17798647</vt:lpwstr>
      </vt:variant>
      <vt:variant>
        <vt:i4>1638458</vt:i4>
      </vt:variant>
      <vt:variant>
        <vt:i4>158</vt:i4>
      </vt:variant>
      <vt:variant>
        <vt:i4>0</vt:i4>
      </vt:variant>
      <vt:variant>
        <vt:i4>5</vt:i4>
      </vt:variant>
      <vt:variant>
        <vt:lpwstr/>
      </vt:variant>
      <vt:variant>
        <vt:lpwstr>_Toc17798646</vt:lpwstr>
      </vt:variant>
      <vt:variant>
        <vt:i4>1703994</vt:i4>
      </vt:variant>
      <vt:variant>
        <vt:i4>152</vt:i4>
      </vt:variant>
      <vt:variant>
        <vt:i4>0</vt:i4>
      </vt:variant>
      <vt:variant>
        <vt:i4>5</vt:i4>
      </vt:variant>
      <vt:variant>
        <vt:lpwstr/>
      </vt:variant>
      <vt:variant>
        <vt:lpwstr>_Toc17798645</vt:lpwstr>
      </vt:variant>
      <vt:variant>
        <vt:i4>1769530</vt:i4>
      </vt:variant>
      <vt:variant>
        <vt:i4>146</vt:i4>
      </vt:variant>
      <vt:variant>
        <vt:i4>0</vt:i4>
      </vt:variant>
      <vt:variant>
        <vt:i4>5</vt:i4>
      </vt:variant>
      <vt:variant>
        <vt:lpwstr/>
      </vt:variant>
      <vt:variant>
        <vt:lpwstr>_Toc17798644</vt:lpwstr>
      </vt:variant>
      <vt:variant>
        <vt:i4>1835066</vt:i4>
      </vt:variant>
      <vt:variant>
        <vt:i4>140</vt:i4>
      </vt:variant>
      <vt:variant>
        <vt:i4>0</vt:i4>
      </vt:variant>
      <vt:variant>
        <vt:i4>5</vt:i4>
      </vt:variant>
      <vt:variant>
        <vt:lpwstr/>
      </vt:variant>
      <vt:variant>
        <vt:lpwstr>_Toc17798643</vt:lpwstr>
      </vt:variant>
      <vt:variant>
        <vt:i4>1900602</vt:i4>
      </vt:variant>
      <vt:variant>
        <vt:i4>134</vt:i4>
      </vt:variant>
      <vt:variant>
        <vt:i4>0</vt:i4>
      </vt:variant>
      <vt:variant>
        <vt:i4>5</vt:i4>
      </vt:variant>
      <vt:variant>
        <vt:lpwstr/>
      </vt:variant>
      <vt:variant>
        <vt:lpwstr>_Toc17798642</vt:lpwstr>
      </vt:variant>
      <vt:variant>
        <vt:i4>1966138</vt:i4>
      </vt:variant>
      <vt:variant>
        <vt:i4>128</vt:i4>
      </vt:variant>
      <vt:variant>
        <vt:i4>0</vt:i4>
      </vt:variant>
      <vt:variant>
        <vt:i4>5</vt:i4>
      </vt:variant>
      <vt:variant>
        <vt:lpwstr/>
      </vt:variant>
      <vt:variant>
        <vt:lpwstr>_Toc17798641</vt:lpwstr>
      </vt:variant>
      <vt:variant>
        <vt:i4>2031674</vt:i4>
      </vt:variant>
      <vt:variant>
        <vt:i4>122</vt:i4>
      </vt:variant>
      <vt:variant>
        <vt:i4>0</vt:i4>
      </vt:variant>
      <vt:variant>
        <vt:i4>5</vt:i4>
      </vt:variant>
      <vt:variant>
        <vt:lpwstr/>
      </vt:variant>
      <vt:variant>
        <vt:lpwstr>_Toc17798640</vt:lpwstr>
      </vt:variant>
      <vt:variant>
        <vt:i4>1441853</vt:i4>
      </vt:variant>
      <vt:variant>
        <vt:i4>116</vt:i4>
      </vt:variant>
      <vt:variant>
        <vt:i4>0</vt:i4>
      </vt:variant>
      <vt:variant>
        <vt:i4>5</vt:i4>
      </vt:variant>
      <vt:variant>
        <vt:lpwstr/>
      </vt:variant>
      <vt:variant>
        <vt:lpwstr>_Toc17798639</vt:lpwstr>
      </vt:variant>
      <vt:variant>
        <vt:i4>1507389</vt:i4>
      </vt:variant>
      <vt:variant>
        <vt:i4>110</vt:i4>
      </vt:variant>
      <vt:variant>
        <vt:i4>0</vt:i4>
      </vt:variant>
      <vt:variant>
        <vt:i4>5</vt:i4>
      </vt:variant>
      <vt:variant>
        <vt:lpwstr/>
      </vt:variant>
      <vt:variant>
        <vt:lpwstr>_Toc17798638</vt:lpwstr>
      </vt:variant>
      <vt:variant>
        <vt:i4>1572925</vt:i4>
      </vt:variant>
      <vt:variant>
        <vt:i4>104</vt:i4>
      </vt:variant>
      <vt:variant>
        <vt:i4>0</vt:i4>
      </vt:variant>
      <vt:variant>
        <vt:i4>5</vt:i4>
      </vt:variant>
      <vt:variant>
        <vt:lpwstr/>
      </vt:variant>
      <vt:variant>
        <vt:lpwstr>_Toc17798637</vt:lpwstr>
      </vt:variant>
      <vt:variant>
        <vt:i4>1638461</vt:i4>
      </vt:variant>
      <vt:variant>
        <vt:i4>98</vt:i4>
      </vt:variant>
      <vt:variant>
        <vt:i4>0</vt:i4>
      </vt:variant>
      <vt:variant>
        <vt:i4>5</vt:i4>
      </vt:variant>
      <vt:variant>
        <vt:lpwstr/>
      </vt:variant>
      <vt:variant>
        <vt:lpwstr>_Toc17798636</vt:lpwstr>
      </vt:variant>
      <vt:variant>
        <vt:i4>1703997</vt:i4>
      </vt:variant>
      <vt:variant>
        <vt:i4>92</vt:i4>
      </vt:variant>
      <vt:variant>
        <vt:i4>0</vt:i4>
      </vt:variant>
      <vt:variant>
        <vt:i4>5</vt:i4>
      </vt:variant>
      <vt:variant>
        <vt:lpwstr/>
      </vt:variant>
      <vt:variant>
        <vt:lpwstr>_Toc17798635</vt:lpwstr>
      </vt:variant>
      <vt:variant>
        <vt:i4>1769533</vt:i4>
      </vt:variant>
      <vt:variant>
        <vt:i4>86</vt:i4>
      </vt:variant>
      <vt:variant>
        <vt:i4>0</vt:i4>
      </vt:variant>
      <vt:variant>
        <vt:i4>5</vt:i4>
      </vt:variant>
      <vt:variant>
        <vt:lpwstr/>
      </vt:variant>
      <vt:variant>
        <vt:lpwstr>_Toc17798634</vt:lpwstr>
      </vt:variant>
      <vt:variant>
        <vt:i4>1835069</vt:i4>
      </vt:variant>
      <vt:variant>
        <vt:i4>80</vt:i4>
      </vt:variant>
      <vt:variant>
        <vt:i4>0</vt:i4>
      </vt:variant>
      <vt:variant>
        <vt:i4>5</vt:i4>
      </vt:variant>
      <vt:variant>
        <vt:lpwstr/>
      </vt:variant>
      <vt:variant>
        <vt:lpwstr>_Toc17798633</vt:lpwstr>
      </vt:variant>
      <vt:variant>
        <vt:i4>1900605</vt:i4>
      </vt:variant>
      <vt:variant>
        <vt:i4>74</vt:i4>
      </vt:variant>
      <vt:variant>
        <vt:i4>0</vt:i4>
      </vt:variant>
      <vt:variant>
        <vt:i4>5</vt:i4>
      </vt:variant>
      <vt:variant>
        <vt:lpwstr/>
      </vt:variant>
      <vt:variant>
        <vt:lpwstr>_Toc17798632</vt:lpwstr>
      </vt:variant>
      <vt:variant>
        <vt:i4>1966141</vt:i4>
      </vt:variant>
      <vt:variant>
        <vt:i4>68</vt:i4>
      </vt:variant>
      <vt:variant>
        <vt:i4>0</vt:i4>
      </vt:variant>
      <vt:variant>
        <vt:i4>5</vt:i4>
      </vt:variant>
      <vt:variant>
        <vt:lpwstr/>
      </vt:variant>
      <vt:variant>
        <vt:lpwstr>_Toc17798631</vt:lpwstr>
      </vt:variant>
      <vt:variant>
        <vt:i4>2031677</vt:i4>
      </vt:variant>
      <vt:variant>
        <vt:i4>62</vt:i4>
      </vt:variant>
      <vt:variant>
        <vt:i4>0</vt:i4>
      </vt:variant>
      <vt:variant>
        <vt:i4>5</vt:i4>
      </vt:variant>
      <vt:variant>
        <vt:lpwstr/>
      </vt:variant>
      <vt:variant>
        <vt:lpwstr>_Toc17798630</vt:lpwstr>
      </vt:variant>
      <vt:variant>
        <vt:i4>1441852</vt:i4>
      </vt:variant>
      <vt:variant>
        <vt:i4>56</vt:i4>
      </vt:variant>
      <vt:variant>
        <vt:i4>0</vt:i4>
      </vt:variant>
      <vt:variant>
        <vt:i4>5</vt:i4>
      </vt:variant>
      <vt:variant>
        <vt:lpwstr/>
      </vt:variant>
      <vt:variant>
        <vt:lpwstr>_Toc17798629</vt:lpwstr>
      </vt:variant>
      <vt:variant>
        <vt:i4>1507388</vt:i4>
      </vt:variant>
      <vt:variant>
        <vt:i4>50</vt:i4>
      </vt:variant>
      <vt:variant>
        <vt:i4>0</vt:i4>
      </vt:variant>
      <vt:variant>
        <vt:i4>5</vt:i4>
      </vt:variant>
      <vt:variant>
        <vt:lpwstr/>
      </vt:variant>
      <vt:variant>
        <vt:lpwstr>_Toc17798628</vt:lpwstr>
      </vt:variant>
      <vt:variant>
        <vt:i4>1572924</vt:i4>
      </vt:variant>
      <vt:variant>
        <vt:i4>44</vt:i4>
      </vt:variant>
      <vt:variant>
        <vt:i4>0</vt:i4>
      </vt:variant>
      <vt:variant>
        <vt:i4>5</vt:i4>
      </vt:variant>
      <vt:variant>
        <vt:lpwstr/>
      </vt:variant>
      <vt:variant>
        <vt:lpwstr>_Toc17798627</vt:lpwstr>
      </vt:variant>
      <vt:variant>
        <vt:i4>1638460</vt:i4>
      </vt:variant>
      <vt:variant>
        <vt:i4>38</vt:i4>
      </vt:variant>
      <vt:variant>
        <vt:i4>0</vt:i4>
      </vt:variant>
      <vt:variant>
        <vt:i4>5</vt:i4>
      </vt:variant>
      <vt:variant>
        <vt:lpwstr/>
      </vt:variant>
      <vt:variant>
        <vt:lpwstr>_Toc17798626</vt:lpwstr>
      </vt:variant>
      <vt:variant>
        <vt:i4>1703996</vt:i4>
      </vt:variant>
      <vt:variant>
        <vt:i4>32</vt:i4>
      </vt:variant>
      <vt:variant>
        <vt:i4>0</vt:i4>
      </vt:variant>
      <vt:variant>
        <vt:i4>5</vt:i4>
      </vt:variant>
      <vt:variant>
        <vt:lpwstr/>
      </vt:variant>
      <vt:variant>
        <vt:lpwstr>_Toc17798625</vt:lpwstr>
      </vt:variant>
      <vt:variant>
        <vt:i4>1769532</vt:i4>
      </vt:variant>
      <vt:variant>
        <vt:i4>26</vt:i4>
      </vt:variant>
      <vt:variant>
        <vt:i4>0</vt:i4>
      </vt:variant>
      <vt:variant>
        <vt:i4>5</vt:i4>
      </vt:variant>
      <vt:variant>
        <vt:lpwstr/>
      </vt:variant>
      <vt:variant>
        <vt:lpwstr>_Toc17798624</vt:lpwstr>
      </vt:variant>
      <vt:variant>
        <vt:i4>1835068</vt:i4>
      </vt:variant>
      <vt:variant>
        <vt:i4>20</vt:i4>
      </vt:variant>
      <vt:variant>
        <vt:i4>0</vt:i4>
      </vt:variant>
      <vt:variant>
        <vt:i4>5</vt:i4>
      </vt:variant>
      <vt:variant>
        <vt:lpwstr/>
      </vt:variant>
      <vt:variant>
        <vt:lpwstr>_Toc17798623</vt:lpwstr>
      </vt:variant>
      <vt:variant>
        <vt:i4>1900604</vt:i4>
      </vt:variant>
      <vt:variant>
        <vt:i4>14</vt:i4>
      </vt:variant>
      <vt:variant>
        <vt:i4>0</vt:i4>
      </vt:variant>
      <vt:variant>
        <vt:i4>5</vt:i4>
      </vt:variant>
      <vt:variant>
        <vt:lpwstr/>
      </vt:variant>
      <vt:variant>
        <vt:lpwstr>_Toc17798622</vt:lpwstr>
      </vt:variant>
      <vt:variant>
        <vt:i4>1966140</vt:i4>
      </vt:variant>
      <vt:variant>
        <vt:i4>8</vt:i4>
      </vt:variant>
      <vt:variant>
        <vt:i4>0</vt:i4>
      </vt:variant>
      <vt:variant>
        <vt:i4>5</vt:i4>
      </vt:variant>
      <vt:variant>
        <vt:lpwstr/>
      </vt:variant>
      <vt:variant>
        <vt:lpwstr>_Toc17798621</vt:lpwstr>
      </vt:variant>
      <vt:variant>
        <vt:i4>2031676</vt:i4>
      </vt:variant>
      <vt:variant>
        <vt:i4>2</vt:i4>
      </vt:variant>
      <vt:variant>
        <vt:i4>0</vt:i4>
      </vt:variant>
      <vt:variant>
        <vt:i4>5</vt:i4>
      </vt:variant>
      <vt:variant>
        <vt:lpwstr/>
      </vt:variant>
      <vt:variant>
        <vt:lpwstr>_Toc17798620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ERCOT</dc:creator>
  <cp:keywords/>
  <dc:description/>
  <cp:lastModifiedBy>C Phillips</cp:lastModifiedBy>
  <cp:revision>2</cp:revision>
  <cp:lastPrinted>2019-04-29T18:19:00Z</cp:lastPrinted>
  <dcterms:created xsi:type="dcterms:W3CDTF">2025-07-26T13:39:00Z</dcterms:created>
  <dcterms:modified xsi:type="dcterms:W3CDTF">2025-07-26T13:39:00Z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144db1d-993e-40da-980d-6eea152adc50_Enabled">
    <vt:lpwstr>true</vt:lpwstr>
  </property>
  <property fmtid="{D5CDD505-2E9C-101B-9397-08002B2CF9AE}" pid="3" name="MSIP_Label_c144db1d-993e-40da-980d-6eea152adc50_SetDate">
    <vt:lpwstr>2025-01-29T17:42:48Z</vt:lpwstr>
  </property>
  <property fmtid="{D5CDD505-2E9C-101B-9397-08002B2CF9AE}" pid="4" name="MSIP_Label_c144db1d-993e-40da-980d-6eea152adc50_Method">
    <vt:lpwstr>Privileged</vt:lpwstr>
  </property>
  <property fmtid="{D5CDD505-2E9C-101B-9397-08002B2CF9AE}" pid="5" name="MSIP_Label_c144db1d-993e-40da-980d-6eea152adc50_Name">
    <vt:lpwstr>Public</vt:lpwstr>
  </property>
  <property fmtid="{D5CDD505-2E9C-101B-9397-08002B2CF9AE}" pid="6" name="MSIP_Label_c144db1d-993e-40da-980d-6eea152adc50_SiteId">
    <vt:lpwstr>0afb747d-bff7-4596-a9fc-950ef9e0ec45</vt:lpwstr>
  </property>
  <property fmtid="{D5CDD505-2E9C-101B-9397-08002B2CF9AE}" pid="7" name="MSIP_Label_c144db1d-993e-40da-980d-6eea152adc50_ActionId">
    <vt:lpwstr>f3ef5318-583d-4c33-8daa-7794fd2b1724</vt:lpwstr>
  </property>
  <property fmtid="{D5CDD505-2E9C-101B-9397-08002B2CF9AE}" pid="8" name="MSIP_Label_c144db1d-993e-40da-980d-6eea152adc50_ContentBits">
    <vt:lpwstr>0</vt:lpwstr>
  </property>
</Properties>
</file>